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1BACD" w14:textId="77777777" w:rsidR="00213708" w:rsidRPr="00DD318E" w:rsidRDefault="006E2057" w:rsidP="008B255C">
      <w:pPr>
        <w:pStyle w:val="TtuloPortada"/>
        <w:jc w:val="right"/>
        <w:outlineLvl w:val="0"/>
      </w:pPr>
      <w:bookmarkStart w:id="0" w:name="_Toc150226558"/>
      <w:r w:rsidRPr="005864C2">
        <w:rPr>
          <w:color w:val="365F91" w:themeColor="accent1" w:themeShade="BF"/>
        </w:rPr>
        <w:br w:type="column"/>
      </w:r>
      <w:bookmarkStart w:id="1" w:name="_Toc531005503"/>
      <w:bookmarkStart w:id="2" w:name="_Toc535247127"/>
      <w:bookmarkStart w:id="3" w:name="_Toc404027"/>
      <w:r w:rsidR="00810099" w:rsidRPr="008B255C">
        <w:rPr>
          <w:rFonts w:ascii="Arial" w:hAnsi="Arial" w:cs="Arial"/>
        </w:rPr>
        <w:t>P</w:t>
      </w:r>
      <w:r w:rsidR="009940B7" w:rsidRPr="008B255C">
        <w:rPr>
          <w:rFonts w:ascii="Arial" w:hAnsi="Arial" w:cs="Arial"/>
        </w:rPr>
        <w:t>LIEGO DE PRESCRIPCIONES TÉCNICAS PARTICULARES</w:t>
      </w:r>
      <w:bookmarkEnd w:id="1"/>
      <w:bookmarkEnd w:id="2"/>
      <w:bookmarkEnd w:id="3"/>
    </w:p>
    <w:p w14:paraId="32E81ED8" w14:textId="77777777" w:rsidR="00213708" w:rsidRPr="005864C2" w:rsidRDefault="00213708" w:rsidP="00213708">
      <w:pPr>
        <w:rPr>
          <w:color w:val="365F91" w:themeColor="accent1" w:themeShade="BF"/>
        </w:rPr>
      </w:pPr>
    </w:p>
    <w:p w14:paraId="39B81CD6" w14:textId="77777777" w:rsidR="00213708" w:rsidRPr="005864C2" w:rsidRDefault="00213708" w:rsidP="00213708">
      <w:pPr>
        <w:rPr>
          <w:color w:val="365F91" w:themeColor="accent1" w:themeShade="BF"/>
        </w:rPr>
        <w:sectPr w:rsidR="00213708" w:rsidRPr="005864C2" w:rsidSect="009940B7">
          <w:headerReference w:type="default" r:id="rId8"/>
          <w:footerReference w:type="even" r:id="rId9"/>
          <w:footerReference w:type="default" r:id="rId10"/>
          <w:type w:val="oddPage"/>
          <w:pgSz w:w="23814" w:h="16840" w:orient="landscape" w:code="8"/>
          <w:pgMar w:top="992" w:right="851" w:bottom="1418" w:left="851" w:header="567" w:footer="1021" w:gutter="1418"/>
          <w:cols w:num="2" w:space="1134"/>
        </w:sectPr>
      </w:pPr>
    </w:p>
    <w:p w14:paraId="67371748" w14:textId="77777777" w:rsidR="00CF7E84" w:rsidRPr="00DD318E" w:rsidRDefault="00CF7E84" w:rsidP="00E33506">
      <w:pPr>
        <w:tabs>
          <w:tab w:val="left" w:pos="709"/>
        </w:tabs>
        <w:suppressAutoHyphens/>
        <w:spacing w:before="120" w:after="120" w:line="360" w:lineRule="auto"/>
        <w:ind w:left="709" w:hanging="709"/>
        <w:jc w:val="center"/>
        <w:rPr>
          <w:rFonts w:ascii="Arial" w:hAnsi="Arial" w:cs="Arial"/>
        </w:rPr>
      </w:pPr>
      <w:r w:rsidRPr="00DD318E">
        <w:rPr>
          <w:rFonts w:ascii="Arial" w:hAnsi="Arial" w:cs="Arial"/>
          <w:b/>
          <w:bCs/>
        </w:rPr>
        <w:lastRenderedPageBreak/>
        <w:t>ÍNDICE</w:t>
      </w:r>
    </w:p>
    <w:p w14:paraId="47850151" w14:textId="77777777" w:rsidR="0006561B" w:rsidRDefault="00EA2DBE">
      <w:pPr>
        <w:pStyle w:val="TDC1"/>
        <w:rPr>
          <w:rFonts w:asciiTheme="minorHAnsi" w:eastAsiaTheme="minorEastAsia" w:hAnsiTheme="minorHAnsi" w:cstheme="minorBidi"/>
          <w:b w:val="0"/>
          <w:sz w:val="22"/>
          <w:szCs w:val="22"/>
          <w:lang w:val="es-ES" w:eastAsia="es-ES"/>
        </w:rPr>
      </w:pPr>
      <w:r>
        <w:rPr>
          <w:color w:val="365F91" w:themeColor="accent1" w:themeShade="BF"/>
        </w:rPr>
        <w:fldChar w:fldCharType="begin"/>
      </w:r>
      <w:r w:rsidR="001844DF">
        <w:rPr>
          <w:color w:val="365F91" w:themeColor="accent1" w:themeShade="BF"/>
        </w:rPr>
        <w:instrText xml:space="preserve"> TOC \o "1-2" \h \z \u </w:instrText>
      </w:r>
      <w:r>
        <w:rPr>
          <w:color w:val="365F91" w:themeColor="accent1" w:themeShade="BF"/>
        </w:rPr>
        <w:fldChar w:fldCharType="separate"/>
      </w:r>
      <w:hyperlink w:anchor="_Toc404027" w:history="1">
        <w:r w:rsidR="0006561B" w:rsidRPr="003B1501">
          <w:rPr>
            <w:rStyle w:val="Hipervnculo"/>
          </w:rPr>
          <w:t>PLIEGO DE PRESCRIPCIONES TÉCNICAS PARTICULARES</w:t>
        </w:r>
        <w:r w:rsidR="0006561B">
          <w:rPr>
            <w:webHidden/>
          </w:rPr>
          <w:tab/>
        </w:r>
        <w:r w:rsidR="0006561B">
          <w:rPr>
            <w:webHidden/>
          </w:rPr>
          <w:fldChar w:fldCharType="begin"/>
        </w:r>
        <w:r w:rsidR="0006561B">
          <w:rPr>
            <w:webHidden/>
          </w:rPr>
          <w:instrText xml:space="preserve"> PAGEREF _Toc404027 \h </w:instrText>
        </w:r>
        <w:r w:rsidR="0006561B">
          <w:rPr>
            <w:webHidden/>
          </w:rPr>
        </w:r>
        <w:r w:rsidR="0006561B">
          <w:rPr>
            <w:webHidden/>
          </w:rPr>
          <w:fldChar w:fldCharType="separate"/>
        </w:r>
        <w:r w:rsidR="001B26B5">
          <w:rPr>
            <w:webHidden/>
          </w:rPr>
          <w:t>1</w:t>
        </w:r>
        <w:r w:rsidR="0006561B">
          <w:rPr>
            <w:webHidden/>
          </w:rPr>
          <w:fldChar w:fldCharType="end"/>
        </w:r>
      </w:hyperlink>
    </w:p>
    <w:p w14:paraId="54906A4C" w14:textId="77777777" w:rsidR="0006561B" w:rsidRDefault="0006561B">
      <w:pPr>
        <w:pStyle w:val="TDC1"/>
        <w:rPr>
          <w:rFonts w:asciiTheme="minorHAnsi" w:eastAsiaTheme="minorEastAsia" w:hAnsiTheme="minorHAnsi" w:cstheme="minorBidi"/>
          <w:b w:val="0"/>
          <w:sz w:val="22"/>
          <w:szCs w:val="22"/>
          <w:lang w:val="es-ES" w:eastAsia="es-ES"/>
        </w:rPr>
      </w:pPr>
      <w:hyperlink w:anchor="_Toc404028" w:history="1">
        <w:r w:rsidRPr="003B1501">
          <w:rPr>
            <w:rStyle w:val="Hipervnculo"/>
          </w:rPr>
          <w:t>3.1.- Pliego de condiciones administrativas</w:t>
        </w:r>
        <w:r>
          <w:rPr>
            <w:webHidden/>
          </w:rPr>
          <w:tab/>
        </w:r>
        <w:r>
          <w:rPr>
            <w:webHidden/>
          </w:rPr>
          <w:fldChar w:fldCharType="begin"/>
        </w:r>
        <w:r>
          <w:rPr>
            <w:webHidden/>
          </w:rPr>
          <w:instrText xml:space="preserve"> PAGEREF _Toc404028 \h </w:instrText>
        </w:r>
        <w:r>
          <w:rPr>
            <w:webHidden/>
          </w:rPr>
        </w:r>
        <w:r>
          <w:rPr>
            <w:webHidden/>
          </w:rPr>
          <w:fldChar w:fldCharType="separate"/>
        </w:r>
        <w:r w:rsidR="001B26B5">
          <w:rPr>
            <w:webHidden/>
          </w:rPr>
          <w:t>17</w:t>
        </w:r>
        <w:r>
          <w:rPr>
            <w:webHidden/>
          </w:rPr>
          <w:fldChar w:fldCharType="end"/>
        </w:r>
      </w:hyperlink>
    </w:p>
    <w:p w14:paraId="434AD8B3" w14:textId="77777777" w:rsidR="0006561B" w:rsidRDefault="0006561B">
      <w:pPr>
        <w:pStyle w:val="TDC2"/>
        <w:rPr>
          <w:rFonts w:asciiTheme="minorHAnsi" w:eastAsiaTheme="minorEastAsia" w:hAnsiTheme="minorHAnsi" w:cstheme="minorBidi"/>
          <w:szCs w:val="22"/>
          <w:lang w:val="es-ES" w:eastAsia="es-ES"/>
        </w:rPr>
      </w:pPr>
      <w:hyperlink w:anchor="_Toc404029" w:history="1">
        <w:r w:rsidRPr="003B1501">
          <w:rPr>
            <w:rStyle w:val="Hipervnculo"/>
          </w:rPr>
          <w:t>3.1.1.- Generalidades</w:t>
        </w:r>
        <w:r>
          <w:rPr>
            <w:webHidden/>
          </w:rPr>
          <w:tab/>
        </w:r>
        <w:r>
          <w:rPr>
            <w:webHidden/>
          </w:rPr>
          <w:fldChar w:fldCharType="begin"/>
        </w:r>
        <w:r>
          <w:rPr>
            <w:webHidden/>
          </w:rPr>
          <w:instrText xml:space="preserve"> PAGEREF _Toc404029 \h </w:instrText>
        </w:r>
        <w:r>
          <w:rPr>
            <w:webHidden/>
          </w:rPr>
        </w:r>
        <w:r>
          <w:rPr>
            <w:webHidden/>
          </w:rPr>
          <w:fldChar w:fldCharType="separate"/>
        </w:r>
        <w:r w:rsidR="001B26B5">
          <w:rPr>
            <w:webHidden/>
          </w:rPr>
          <w:t>19</w:t>
        </w:r>
        <w:r>
          <w:rPr>
            <w:webHidden/>
          </w:rPr>
          <w:fldChar w:fldCharType="end"/>
        </w:r>
      </w:hyperlink>
    </w:p>
    <w:p w14:paraId="296824DE" w14:textId="77777777" w:rsidR="0006561B" w:rsidRDefault="0006561B">
      <w:pPr>
        <w:pStyle w:val="TDC1"/>
        <w:rPr>
          <w:rFonts w:asciiTheme="minorHAnsi" w:eastAsiaTheme="minorEastAsia" w:hAnsiTheme="minorHAnsi" w:cstheme="minorBidi"/>
          <w:b w:val="0"/>
          <w:sz w:val="22"/>
          <w:szCs w:val="22"/>
          <w:lang w:val="es-ES" w:eastAsia="es-ES"/>
        </w:rPr>
      </w:pPr>
      <w:hyperlink w:anchor="_Toc404030" w:history="1">
        <w:r w:rsidRPr="003B1501">
          <w:rPr>
            <w:rStyle w:val="Hipervnculo"/>
          </w:rPr>
          <w:t>3.2.- Pliego de prescripciones técnicas</w:t>
        </w:r>
        <w:r>
          <w:rPr>
            <w:webHidden/>
          </w:rPr>
          <w:tab/>
        </w:r>
        <w:r>
          <w:rPr>
            <w:webHidden/>
          </w:rPr>
          <w:fldChar w:fldCharType="begin"/>
        </w:r>
        <w:r>
          <w:rPr>
            <w:webHidden/>
          </w:rPr>
          <w:instrText xml:space="preserve"> PAGEREF _Toc404030 \h </w:instrText>
        </w:r>
        <w:r>
          <w:rPr>
            <w:webHidden/>
          </w:rPr>
        </w:r>
        <w:r>
          <w:rPr>
            <w:webHidden/>
          </w:rPr>
          <w:fldChar w:fldCharType="separate"/>
        </w:r>
        <w:r w:rsidR="001B26B5">
          <w:rPr>
            <w:webHidden/>
          </w:rPr>
          <w:t>21</w:t>
        </w:r>
        <w:r>
          <w:rPr>
            <w:webHidden/>
          </w:rPr>
          <w:fldChar w:fldCharType="end"/>
        </w:r>
      </w:hyperlink>
    </w:p>
    <w:p w14:paraId="1B5B2A53" w14:textId="77777777" w:rsidR="0006561B" w:rsidRDefault="0006561B">
      <w:pPr>
        <w:pStyle w:val="TDC1"/>
        <w:rPr>
          <w:rFonts w:asciiTheme="minorHAnsi" w:eastAsiaTheme="minorEastAsia" w:hAnsiTheme="minorHAnsi" w:cstheme="minorBidi"/>
          <w:b w:val="0"/>
          <w:sz w:val="22"/>
          <w:szCs w:val="22"/>
          <w:lang w:val="es-ES" w:eastAsia="es-ES"/>
        </w:rPr>
      </w:pPr>
      <w:hyperlink w:anchor="_Toc404031" w:history="1">
        <w:r w:rsidRPr="003B1501">
          <w:rPr>
            <w:rStyle w:val="Hipervnculo"/>
          </w:rPr>
          <w:t>3.2.1.- Pliego de prescripciones técnicas generales</w:t>
        </w:r>
        <w:r>
          <w:rPr>
            <w:webHidden/>
          </w:rPr>
          <w:tab/>
        </w:r>
        <w:r>
          <w:rPr>
            <w:webHidden/>
          </w:rPr>
          <w:fldChar w:fldCharType="begin"/>
        </w:r>
        <w:r>
          <w:rPr>
            <w:webHidden/>
          </w:rPr>
          <w:instrText xml:space="preserve"> PAGEREF _Toc404031 \h </w:instrText>
        </w:r>
        <w:r>
          <w:rPr>
            <w:webHidden/>
          </w:rPr>
        </w:r>
        <w:r>
          <w:rPr>
            <w:webHidden/>
          </w:rPr>
          <w:fldChar w:fldCharType="separate"/>
        </w:r>
        <w:r w:rsidR="001B26B5">
          <w:rPr>
            <w:webHidden/>
          </w:rPr>
          <w:t>23</w:t>
        </w:r>
        <w:r>
          <w:rPr>
            <w:webHidden/>
          </w:rPr>
          <w:fldChar w:fldCharType="end"/>
        </w:r>
      </w:hyperlink>
    </w:p>
    <w:p w14:paraId="1373652E" w14:textId="77777777" w:rsidR="0006561B" w:rsidRDefault="0006561B">
      <w:pPr>
        <w:pStyle w:val="TDC2"/>
        <w:rPr>
          <w:rFonts w:asciiTheme="minorHAnsi" w:eastAsiaTheme="minorEastAsia" w:hAnsiTheme="minorHAnsi" w:cstheme="minorBidi"/>
          <w:szCs w:val="22"/>
          <w:lang w:val="es-ES" w:eastAsia="es-ES"/>
        </w:rPr>
      </w:pPr>
      <w:hyperlink w:anchor="_Toc404032" w:history="1">
        <w:r w:rsidRPr="003B1501">
          <w:rPr>
            <w:rStyle w:val="Hipervnculo"/>
          </w:rPr>
          <w:t>3.2.1.1. Normativa de aplicación</w:t>
        </w:r>
        <w:r>
          <w:rPr>
            <w:webHidden/>
          </w:rPr>
          <w:tab/>
        </w:r>
        <w:r>
          <w:rPr>
            <w:webHidden/>
          </w:rPr>
          <w:fldChar w:fldCharType="begin"/>
        </w:r>
        <w:r>
          <w:rPr>
            <w:webHidden/>
          </w:rPr>
          <w:instrText xml:space="preserve"> PAGEREF _Toc404032 \h </w:instrText>
        </w:r>
        <w:r>
          <w:rPr>
            <w:webHidden/>
          </w:rPr>
        </w:r>
        <w:r>
          <w:rPr>
            <w:webHidden/>
          </w:rPr>
          <w:fldChar w:fldCharType="separate"/>
        </w:r>
        <w:r w:rsidR="001B26B5">
          <w:rPr>
            <w:webHidden/>
          </w:rPr>
          <w:t>25</w:t>
        </w:r>
        <w:r>
          <w:rPr>
            <w:webHidden/>
          </w:rPr>
          <w:fldChar w:fldCharType="end"/>
        </w:r>
      </w:hyperlink>
    </w:p>
    <w:p w14:paraId="4CFD63F0" w14:textId="77777777" w:rsidR="0006561B" w:rsidRDefault="0006561B">
      <w:pPr>
        <w:pStyle w:val="TDC1"/>
        <w:rPr>
          <w:rFonts w:asciiTheme="minorHAnsi" w:eastAsiaTheme="minorEastAsia" w:hAnsiTheme="minorHAnsi" w:cstheme="minorBidi"/>
          <w:b w:val="0"/>
          <w:sz w:val="22"/>
          <w:szCs w:val="22"/>
          <w:lang w:val="es-ES" w:eastAsia="es-ES"/>
        </w:rPr>
      </w:pPr>
      <w:hyperlink w:anchor="_Toc404033" w:history="1">
        <w:r w:rsidRPr="003B1501">
          <w:rPr>
            <w:rStyle w:val="Hipervnculo"/>
          </w:rPr>
          <w:t>3.2.2.- Pliego de prescripciones técnicas particulares</w:t>
        </w:r>
        <w:r>
          <w:rPr>
            <w:webHidden/>
          </w:rPr>
          <w:tab/>
        </w:r>
        <w:r>
          <w:rPr>
            <w:webHidden/>
          </w:rPr>
          <w:fldChar w:fldCharType="begin"/>
        </w:r>
        <w:r>
          <w:rPr>
            <w:webHidden/>
          </w:rPr>
          <w:instrText xml:space="preserve"> PAGEREF _Toc404033 \h </w:instrText>
        </w:r>
        <w:r>
          <w:rPr>
            <w:webHidden/>
          </w:rPr>
        </w:r>
        <w:r>
          <w:rPr>
            <w:webHidden/>
          </w:rPr>
          <w:fldChar w:fldCharType="separate"/>
        </w:r>
        <w:r w:rsidR="001B26B5">
          <w:rPr>
            <w:webHidden/>
          </w:rPr>
          <w:t>31</w:t>
        </w:r>
        <w:r>
          <w:rPr>
            <w:webHidden/>
          </w:rPr>
          <w:fldChar w:fldCharType="end"/>
        </w:r>
      </w:hyperlink>
    </w:p>
    <w:p w14:paraId="2FEFB9F1" w14:textId="77777777" w:rsidR="0006561B" w:rsidRDefault="0006561B">
      <w:pPr>
        <w:pStyle w:val="TDC1"/>
        <w:rPr>
          <w:rStyle w:val="Hipervnculo"/>
        </w:rPr>
      </w:pPr>
    </w:p>
    <w:p w14:paraId="1ABD1E88" w14:textId="77777777" w:rsidR="0006561B" w:rsidRDefault="0006561B">
      <w:pPr>
        <w:pStyle w:val="TDC1"/>
        <w:rPr>
          <w:rFonts w:asciiTheme="minorHAnsi" w:eastAsiaTheme="minorEastAsia" w:hAnsiTheme="minorHAnsi" w:cstheme="minorBidi"/>
          <w:b w:val="0"/>
          <w:sz w:val="22"/>
          <w:szCs w:val="22"/>
          <w:lang w:val="es-ES" w:eastAsia="es-ES"/>
        </w:rPr>
      </w:pPr>
      <w:hyperlink w:anchor="_Toc404034" w:history="1">
        <w:r w:rsidRPr="003B1501">
          <w:rPr>
            <w:rStyle w:val="Hipervnculo"/>
          </w:rPr>
          <w:t>Parte 1.- .- Introducción y Generalidades</w:t>
        </w:r>
        <w:r>
          <w:rPr>
            <w:webHidden/>
          </w:rPr>
          <w:tab/>
        </w:r>
        <w:r>
          <w:rPr>
            <w:webHidden/>
          </w:rPr>
          <w:fldChar w:fldCharType="begin"/>
        </w:r>
        <w:r>
          <w:rPr>
            <w:webHidden/>
          </w:rPr>
          <w:instrText xml:space="preserve"> PAGEREF _Toc404034 \h </w:instrText>
        </w:r>
        <w:r>
          <w:rPr>
            <w:webHidden/>
          </w:rPr>
        </w:r>
        <w:r>
          <w:rPr>
            <w:webHidden/>
          </w:rPr>
          <w:fldChar w:fldCharType="separate"/>
        </w:r>
        <w:r w:rsidR="001B26B5">
          <w:rPr>
            <w:webHidden/>
          </w:rPr>
          <w:t>33</w:t>
        </w:r>
        <w:r>
          <w:rPr>
            <w:webHidden/>
          </w:rPr>
          <w:fldChar w:fldCharType="end"/>
        </w:r>
      </w:hyperlink>
    </w:p>
    <w:p w14:paraId="644901EC" w14:textId="77777777" w:rsidR="0006561B" w:rsidRDefault="0006561B">
      <w:pPr>
        <w:pStyle w:val="TDC1"/>
        <w:rPr>
          <w:rFonts w:asciiTheme="minorHAnsi" w:eastAsiaTheme="minorEastAsia" w:hAnsiTheme="minorHAnsi" w:cstheme="minorBidi"/>
          <w:b w:val="0"/>
          <w:sz w:val="22"/>
          <w:szCs w:val="22"/>
          <w:lang w:val="es-ES" w:eastAsia="es-ES"/>
        </w:rPr>
      </w:pPr>
      <w:hyperlink w:anchor="_Toc404035" w:history="1">
        <w:r w:rsidRPr="003B1501">
          <w:rPr>
            <w:rStyle w:val="Hipervnculo"/>
          </w:rPr>
          <w:t>Artículo 100. Definición y ámbito de aplicación</w:t>
        </w:r>
        <w:r>
          <w:rPr>
            <w:webHidden/>
          </w:rPr>
          <w:tab/>
        </w:r>
        <w:r>
          <w:rPr>
            <w:webHidden/>
          </w:rPr>
          <w:fldChar w:fldCharType="begin"/>
        </w:r>
        <w:r>
          <w:rPr>
            <w:webHidden/>
          </w:rPr>
          <w:instrText xml:space="preserve"> PAGEREF _Toc404035 \h </w:instrText>
        </w:r>
        <w:r>
          <w:rPr>
            <w:webHidden/>
          </w:rPr>
        </w:r>
        <w:r>
          <w:rPr>
            <w:webHidden/>
          </w:rPr>
          <w:fldChar w:fldCharType="separate"/>
        </w:r>
        <w:r w:rsidR="001B26B5">
          <w:rPr>
            <w:webHidden/>
          </w:rPr>
          <w:t>35</w:t>
        </w:r>
        <w:r>
          <w:rPr>
            <w:webHidden/>
          </w:rPr>
          <w:fldChar w:fldCharType="end"/>
        </w:r>
      </w:hyperlink>
    </w:p>
    <w:p w14:paraId="5FDBB59D" w14:textId="77777777" w:rsidR="0006561B" w:rsidRDefault="0006561B">
      <w:pPr>
        <w:pStyle w:val="TDC2"/>
        <w:rPr>
          <w:rFonts w:asciiTheme="minorHAnsi" w:eastAsiaTheme="minorEastAsia" w:hAnsiTheme="minorHAnsi" w:cstheme="minorBidi"/>
          <w:szCs w:val="22"/>
          <w:lang w:val="es-ES" w:eastAsia="es-ES"/>
        </w:rPr>
      </w:pPr>
      <w:hyperlink w:anchor="_Toc404036" w:history="1">
        <w:r w:rsidRPr="003B1501">
          <w:rPr>
            <w:rStyle w:val="Hipervnculo"/>
          </w:rPr>
          <w:t xml:space="preserve">100.1.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_Toc404036 \h </w:instrText>
        </w:r>
        <w:r>
          <w:rPr>
            <w:webHidden/>
          </w:rPr>
        </w:r>
        <w:r>
          <w:rPr>
            <w:webHidden/>
          </w:rPr>
          <w:fldChar w:fldCharType="separate"/>
        </w:r>
        <w:r w:rsidR="001B26B5">
          <w:rPr>
            <w:webHidden/>
          </w:rPr>
          <w:t>35</w:t>
        </w:r>
        <w:r>
          <w:rPr>
            <w:webHidden/>
          </w:rPr>
          <w:fldChar w:fldCharType="end"/>
        </w:r>
      </w:hyperlink>
    </w:p>
    <w:p w14:paraId="0AD3440C" w14:textId="77777777" w:rsidR="0006561B" w:rsidRDefault="0006561B">
      <w:pPr>
        <w:pStyle w:val="TDC2"/>
        <w:rPr>
          <w:rFonts w:asciiTheme="minorHAnsi" w:eastAsiaTheme="minorEastAsia" w:hAnsiTheme="minorHAnsi" w:cstheme="minorBidi"/>
          <w:szCs w:val="22"/>
          <w:lang w:val="es-ES" w:eastAsia="es-ES"/>
        </w:rPr>
      </w:pPr>
      <w:hyperlink w:anchor="_Toc404037" w:history="1">
        <w:r w:rsidRPr="003B1501">
          <w:rPr>
            <w:rStyle w:val="Hipervnculo"/>
          </w:rPr>
          <w:t xml:space="preserve">100.2. </w:t>
        </w:r>
        <w:r>
          <w:rPr>
            <w:rFonts w:asciiTheme="minorHAnsi" w:eastAsiaTheme="minorEastAsia" w:hAnsiTheme="minorHAnsi" w:cstheme="minorBidi"/>
            <w:szCs w:val="22"/>
            <w:lang w:val="es-ES" w:eastAsia="es-ES"/>
          </w:rPr>
          <w:tab/>
        </w:r>
        <w:r w:rsidRPr="003B1501">
          <w:rPr>
            <w:rStyle w:val="Hipervnculo"/>
          </w:rPr>
          <w:t>Ámbito de aplicación</w:t>
        </w:r>
        <w:r>
          <w:rPr>
            <w:webHidden/>
          </w:rPr>
          <w:tab/>
        </w:r>
        <w:r>
          <w:rPr>
            <w:webHidden/>
          </w:rPr>
          <w:fldChar w:fldCharType="begin"/>
        </w:r>
        <w:r>
          <w:rPr>
            <w:webHidden/>
          </w:rPr>
          <w:instrText xml:space="preserve"> PAGEREF _Toc404037 \h </w:instrText>
        </w:r>
        <w:r>
          <w:rPr>
            <w:webHidden/>
          </w:rPr>
        </w:r>
        <w:r>
          <w:rPr>
            <w:webHidden/>
          </w:rPr>
          <w:fldChar w:fldCharType="separate"/>
        </w:r>
        <w:r w:rsidR="001B26B5">
          <w:rPr>
            <w:webHidden/>
          </w:rPr>
          <w:t>35</w:t>
        </w:r>
        <w:r>
          <w:rPr>
            <w:webHidden/>
          </w:rPr>
          <w:fldChar w:fldCharType="end"/>
        </w:r>
      </w:hyperlink>
    </w:p>
    <w:p w14:paraId="65E62512" w14:textId="77777777" w:rsidR="0006561B" w:rsidRDefault="0006561B">
      <w:pPr>
        <w:pStyle w:val="TDC2"/>
        <w:rPr>
          <w:rFonts w:asciiTheme="minorHAnsi" w:eastAsiaTheme="minorEastAsia" w:hAnsiTheme="minorHAnsi" w:cstheme="minorBidi"/>
          <w:szCs w:val="22"/>
          <w:lang w:val="es-ES" w:eastAsia="es-ES"/>
        </w:rPr>
      </w:pPr>
      <w:hyperlink w:anchor="_Toc404038" w:history="1">
        <w:r w:rsidRPr="003B1501">
          <w:rPr>
            <w:rStyle w:val="Hipervnculo"/>
          </w:rPr>
          <w:t xml:space="preserve">100.3. </w:t>
        </w:r>
        <w:r>
          <w:rPr>
            <w:rFonts w:asciiTheme="minorHAnsi" w:eastAsiaTheme="minorEastAsia" w:hAnsiTheme="minorHAnsi" w:cstheme="minorBidi"/>
            <w:szCs w:val="22"/>
            <w:lang w:val="es-ES" w:eastAsia="es-ES"/>
          </w:rPr>
          <w:tab/>
        </w:r>
        <w:r w:rsidRPr="003B1501">
          <w:rPr>
            <w:rStyle w:val="Hipervnculo"/>
          </w:rPr>
          <w:t>Contenido</w:t>
        </w:r>
        <w:r>
          <w:rPr>
            <w:webHidden/>
          </w:rPr>
          <w:tab/>
        </w:r>
        <w:r>
          <w:rPr>
            <w:webHidden/>
          </w:rPr>
          <w:fldChar w:fldCharType="begin"/>
        </w:r>
        <w:r>
          <w:rPr>
            <w:webHidden/>
          </w:rPr>
          <w:instrText xml:space="preserve"> PAGEREF _Toc404038 \h </w:instrText>
        </w:r>
        <w:r>
          <w:rPr>
            <w:webHidden/>
          </w:rPr>
        </w:r>
        <w:r>
          <w:rPr>
            <w:webHidden/>
          </w:rPr>
          <w:fldChar w:fldCharType="separate"/>
        </w:r>
        <w:r w:rsidR="001B26B5">
          <w:rPr>
            <w:webHidden/>
          </w:rPr>
          <w:t>35</w:t>
        </w:r>
        <w:r>
          <w:rPr>
            <w:webHidden/>
          </w:rPr>
          <w:fldChar w:fldCharType="end"/>
        </w:r>
      </w:hyperlink>
    </w:p>
    <w:p w14:paraId="492923E4" w14:textId="77777777" w:rsidR="0006561B" w:rsidRDefault="0006561B">
      <w:pPr>
        <w:pStyle w:val="TDC1"/>
        <w:rPr>
          <w:rFonts w:asciiTheme="minorHAnsi" w:eastAsiaTheme="minorEastAsia" w:hAnsiTheme="minorHAnsi" w:cstheme="minorBidi"/>
          <w:b w:val="0"/>
          <w:sz w:val="22"/>
          <w:szCs w:val="22"/>
          <w:lang w:val="es-ES" w:eastAsia="es-ES"/>
        </w:rPr>
      </w:pPr>
      <w:hyperlink w:anchor="_Toc404039" w:history="1">
        <w:r w:rsidRPr="003B1501">
          <w:rPr>
            <w:rStyle w:val="Hipervnculo"/>
          </w:rPr>
          <w:t>Artículo 101. Disposiciones generales</w:t>
        </w:r>
        <w:r>
          <w:rPr>
            <w:webHidden/>
          </w:rPr>
          <w:tab/>
        </w:r>
        <w:r>
          <w:rPr>
            <w:webHidden/>
          </w:rPr>
          <w:fldChar w:fldCharType="begin"/>
        </w:r>
        <w:r>
          <w:rPr>
            <w:webHidden/>
          </w:rPr>
          <w:instrText xml:space="preserve"> PAGEREF _Toc404039 \h </w:instrText>
        </w:r>
        <w:r>
          <w:rPr>
            <w:webHidden/>
          </w:rPr>
        </w:r>
        <w:r>
          <w:rPr>
            <w:webHidden/>
          </w:rPr>
          <w:fldChar w:fldCharType="separate"/>
        </w:r>
        <w:r w:rsidR="001B26B5">
          <w:rPr>
            <w:webHidden/>
          </w:rPr>
          <w:t>36</w:t>
        </w:r>
        <w:r>
          <w:rPr>
            <w:webHidden/>
          </w:rPr>
          <w:fldChar w:fldCharType="end"/>
        </w:r>
      </w:hyperlink>
    </w:p>
    <w:p w14:paraId="4A52C170" w14:textId="77777777" w:rsidR="0006561B" w:rsidRDefault="0006561B">
      <w:pPr>
        <w:pStyle w:val="TDC2"/>
        <w:rPr>
          <w:rFonts w:asciiTheme="minorHAnsi" w:eastAsiaTheme="minorEastAsia" w:hAnsiTheme="minorHAnsi" w:cstheme="minorBidi"/>
          <w:szCs w:val="22"/>
          <w:lang w:val="es-ES" w:eastAsia="es-ES"/>
        </w:rPr>
      </w:pPr>
      <w:hyperlink w:anchor="_Toc404040" w:history="1">
        <w:r w:rsidRPr="003B1501">
          <w:rPr>
            <w:rStyle w:val="Hipervnculo"/>
          </w:rPr>
          <w:t xml:space="preserve">101.1. </w:t>
        </w:r>
        <w:r>
          <w:rPr>
            <w:rFonts w:asciiTheme="minorHAnsi" w:eastAsiaTheme="minorEastAsia" w:hAnsiTheme="minorHAnsi" w:cstheme="minorBidi"/>
            <w:szCs w:val="22"/>
            <w:lang w:val="es-ES" w:eastAsia="es-ES"/>
          </w:rPr>
          <w:tab/>
        </w:r>
        <w:r w:rsidRPr="003B1501">
          <w:rPr>
            <w:rStyle w:val="Hipervnculo"/>
          </w:rPr>
          <w:t>Generalidades</w:t>
        </w:r>
        <w:r>
          <w:rPr>
            <w:webHidden/>
          </w:rPr>
          <w:tab/>
        </w:r>
        <w:r>
          <w:rPr>
            <w:webHidden/>
          </w:rPr>
          <w:fldChar w:fldCharType="begin"/>
        </w:r>
        <w:r>
          <w:rPr>
            <w:webHidden/>
          </w:rPr>
          <w:instrText xml:space="preserve"> PAGEREF _Toc404040 \h </w:instrText>
        </w:r>
        <w:r>
          <w:rPr>
            <w:webHidden/>
          </w:rPr>
        </w:r>
        <w:r>
          <w:rPr>
            <w:webHidden/>
          </w:rPr>
          <w:fldChar w:fldCharType="separate"/>
        </w:r>
        <w:r w:rsidR="001B26B5">
          <w:rPr>
            <w:webHidden/>
          </w:rPr>
          <w:t>36</w:t>
        </w:r>
        <w:r>
          <w:rPr>
            <w:webHidden/>
          </w:rPr>
          <w:fldChar w:fldCharType="end"/>
        </w:r>
      </w:hyperlink>
    </w:p>
    <w:p w14:paraId="63D3B6D5" w14:textId="77777777" w:rsidR="0006561B" w:rsidRDefault="0006561B">
      <w:pPr>
        <w:pStyle w:val="TDC2"/>
        <w:rPr>
          <w:rFonts w:asciiTheme="minorHAnsi" w:eastAsiaTheme="minorEastAsia" w:hAnsiTheme="minorHAnsi" w:cstheme="minorBidi"/>
          <w:szCs w:val="22"/>
          <w:lang w:val="es-ES" w:eastAsia="es-ES"/>
        </w:rPr>
      </w:pPr>
      <w:hyperlink w:anchor="_Toc404041" w:history="1">
        <w:r w:rsidRPr="003B1501">
          <w:rPr>
            <w:rStyle w:val="Hipervnculo"/>
          </w:rPr>
          <w:t>101.2.    Representantes</w:t>
        </w:r>
        <w:r>
          <w:rPr>
            <w:webHidden/>
          </w:rPr>
          <w:tab/>
        </w:r>
        <w:r>
          <w:rPr>
            <w:webHidden/>
          </w:rPr>
          <w:fldChar w:fldCharType="begin"/>
        </w:r>
        <w:r>
          <w:rPr>
            <w:webHidden/>
          </w:rPr>
          <w:instrText xml:space="preserve"> PAGEREF _Toc404041 \h </w:instrText>
        </w:r>
        <w:r>
          <w:rPr>
            <w:webHidden/>
          </w:rPr>
        </w:r>
        <w:r>
          <w:rPr>
            <w:webHidden/>
          </w:rPr>
          <w:fldChar w:fldCharType="separate"/>
        </w:r>
        <w:r w:rsidR="001B26B5">
          <w:rPr>
            <w:webHidden/>
          </w:rPr>
          <w:t>36</w:t>
        </w:r>
        <w:r>
          <w:rPr>
            <w:webHidden/>
          </w:rPr>
          <w:fldChar w:fldCharType="end"/>
        </w:r>
      </w:hyperlink>
    </w:p>
    <w:p w14:paraId="4C19FEB7" w14:textId="77777777" w:rsidR="0006561B" w:rsidRDefault="0006561B">
      <w:pPr>
        <w:pStyle w:val="TDC2"/>
        <w:rPr>
          <w:rFonts w:asciiTheme="minorHAnsi" w:eastAsiaTheme="minorEastAsia" w:hAnsiTheme="minorHAnsi" w:cstheme="minorBidi"/>
          <w:szCs w:val="22"/>
          <w:lang w:val="es-ES" w:eastAsia="es-ES"/>
        </w:rPr>
      </w:pPr>
      <w:hyperlink w:anchor="_Toc404042" w:history="1">
        <w:r w:rsidRPr="003B1501">
          <w:rPr>
            <w:rStyle w:val="Hipervnculo"/>
          </w:rPr>
          <w:t xml:space="preserve">101.3. </w:t>
        </w:r>
        <w:r>
          <w:rPr>
            <w:rFonts w:asciiTheme="minorHAnsi" w:eastAsiaTheme="minorEastAsia" w:hAnsiTheme="minorHAnsi" w:cstheme="minorBidi"/>
            <w:szCs w:val="22"/>
            <w:lang w:val="es-ES" w:eastAsia="es-ES"/>
          </w:rPr>
          <w:tab/>
        </w:r>
        <w:r w:rsidRPr="003B1501">
          <w:rPr>
            <w:rStyle w:val="Hipervnculo"/>
          </w:rPr>
          <w:t xml:space="preserve"> Delegado o representante del Contratista</w:t>
        </w:r>
        <w:r>
          <w:rPr>
            <w:webHidden/>
          </w:rPr>
          <w:tab/>
        </w:r>
        <w:r>
          <w:rPr>
            <w:webHidden/>
          </w:rPr>
          <w:fldChar w:fldCharType="begin"/>
        </w:r>
        <w:r>
          <w:rPr>
            <w:webHidden/>
          </w:rPr>
          <w:instrText xml:space="preserve"> PAGEREF _Toc404042 \h </w:instrText>
        </w:r>
        <w:r>
          <w:rPr>
            <w:webHidden/>
          </w:rPr>
        </w:r>
        <w:r>
          <w:rPr>
            <w:webHidden/>
          </w:rPr>
          <w:fldChar w:fldCharType="separate"/>
        </w:r>
        <w:r w:rsidR="001B26B5">
          <w:rPr>
            <w:webHidden/>
          </w:rPr>
          <w:t>36</w:t>
        </w:r>
        <w:r>
          <w:rPr>
            <w:webHidden/>
          </w:rPr>
          <w:fldChar w:fldCharType="end"/>
        </w:r>
      </w:hyperlink>
    </w:p>
    <w:p w14:paraId="1C4D9D8E" w14:textId="77777777" w:rsidR="0006561B" w:rsidRDefault="0006561B">
      <w:pPr>
        <w:pStyle w:val="TDC2"/>
        <w:rPr>
          <w:rFonts w:asciiTheme="minorHAnsi" w:eastAsiaTheme="minorEastAsia" w:hAnsiTheme="minorHAnsi" w:cstheme="minorBidi"/>
          <w:szCs w:val="22"/>
          <w:lang w:val="es-ES" w:eastAsia="es-ES"/>
        </w:rPr>
      </w:pPr>
      <w:hyperlink w:anchor="_Toc404043" w:history="1">
        <w:r w:rsidRPr="003B1501">
          <w:rPr>
            <w:rStyle w:val="Hipervnculo"/>
          </w:rPr>
          <w:t>101.4.</w:t>
        </w:r>
        <w:r>
          <w:rPr>
            <w:rFonts w:asciiTheme="minorHAnsi" w:eastAsiaTheme="minorEastAsia" w:hAnsiTheme="minorHAnsi" w:cstheme="minorBidi"/>
            <w:szCs w:val="22"/>
            <w:lang w:val="es-ES" w:eastAsia="es-ES"/>
          </w:rPr>
          <w:tab/>
        </w:r>
        <w:r w:rsidRPr="003B1501">
          <w:rPr>
            <w:rStyle w:val="Hipervnculo"/>
          </w:rPr>
          <w:t xml:space="preserve"> Órdenes al Contratista</w:t>
        </w:r>
        <w:r>
          <w:rPr>
            <w:webHidden/>
          </w:rPr>
          <w:tab/>
        </w:r>
        <w:r>
          <w:rPr>
            <w:webHidden/>
          </w:rPr>
          <w:fldChar w:fldCharType="begin"/>
        </w:r>
        <w:r>
          <w:rPr>
            <w:webHidden/>
          </w:rPr>
          <w:instrText xml:space="preserve"> PAGEREF _Toc404043 \h </w:instrText>
        </w:r>
        <w:r>
          <w:rPr>
            <w:webHidden/>
          </w:rPr>
        </w:r>
        <w:r>
          <w:rPr>
            <w:webHidden/>
          </w:rPr>
          <w:fldChar w:fldCharType="separate"/>
        </w:r>
        <w:r w:rsidR="001B26B5">
          <w:rPr>
            <w:webHidden/>
          </w:rPr>
          <w:t>36</w:t>
        </w:r>
        <w:r>
          <w:rPr>
            <w:webHidden/>
          </w:rPr>
          <w:fldChar w:fldCharType="end"/>
        </w:r>
      </w:hyperlink>
    </w:p>
    <w:p w14:paraId="68A219B7" w14:textId="77777777" w:rsidR="0006561B" w:rsidRDefault="0006561B">
      <w:pPr>
        <w:pStyle w:val="TDC2"/>
        <w:rPr>
          <w:rFonts w:asciiTheme="minorHAnsi" w:eastAsiaTheme="minorEastAsia" w:hAnsiTheme="minorHAnsi" w:cstheme="minorBidi"/>
          <w:szCs w:val="22"/>
          <w:lang w:val="es-ES" w:eastAsia="es-ES"/>
        </w:rPr>
      </w:pPr>
      <w:hyperlink w:anchor="_Toc404044" w:history="1">
        <w:r w:rsidRPr="003B1501">
          <w:rPr>
            <w:rStyle w:val="Hipervnculo"/>
          </w:rPr>
          <w:t xml:space="preserve">101.5. </w:t>
        </w:r>
        <w:r>
          <w:rPr>
            <w:rFonts w:asciiTheme="minorHAnsi" w:eastAsiaTheme="minorEastAsia" w:hAnsiTheme="minorHAnsi" w:cstheme="minorBidi"/>
            <w:szCs w:val="22"/>
            <w:lang w:val="es-ES" w:eastAsia="es-ES"/>
          </w:rPr>
          <w:tab/>
        </w:r>
        <w:r w:rsidRPr="003B1501">
          <w:rPr>
            <w:rStyle w:val="Hipervnculo"/>
          </w:rPr>
          <w:t xml:space="preserve"> Libro de Incidencias</w:t>
        </w:r>
        <w:r>
          <w:rPr>
            <w:webHidden/>
          </w:rPr>
          <w:tab/>
        </w:r>
        <w:r>
          <w:rPr>
            <w:webHidden/>
          </w:rPr>
          <w:fldChar w:fldCharType="begin"/>
        </w:r>
        <w:r>
          <w:rPr>
            <w:webHidden/>
          </w:rPr>
          <w:instrText xml:space="preserve"> PAGEREF _Toc404044 \h </w:instrText>
        </w:r>
        <w:r>
          <w:rPr>
            <w:webHidden/>
          </w:rPr>
        </w:r>
        <w:r>
          <w:rPr>
            <w:webHidden/>
          </w:rPr>
          <w:fldChar w:fldCharType="separate"/>
        </w:r>
        <w:r w:rsidR="001B26B5">
          <w:rPr>
            <w:webHidden/>
          </w:rPr>
          <w:t>37</w:t>
        </w:r>
        <w:r>
          <w:rPr>
            <w:webHidden/>
          </w:rPr>
          <w:fldChar w:fldCharType="end"/>
        </w:r>
      </w:hyperlink>
    </w:p>
    <w:p w14:paraId="2DC1661C" w14:textId="77777777" w:rsidR="0006561B" w:rsidRDefault="0006561B">
      <w:pPr>
        <w:pStyle w:val="TDC2"/>
        <w:rPr>
          <w:rFonts w:asciiTheme="minorHAnsi" w:eastAsiaTheme="minorEastAsia" w:hAnsiTheme="minorHAnsi" w:cstheme="minorBidi"/>
          <w:szCs w:val="22"/>
          <w:lang w:val="es-ES" w:eastAsia="es-ES"/>
        </w:rPr>
      </w:pPr>
      <w:hyperlink w:anchor="_Toc404045" w:history="1">
        <w:r w:rsidRPr="003B1501">
          <w:rPr>
            <w:rStyle w:val="Hipervnculo"/>
          </w:rPr>
          <w:t xml:space="preserve">101.6. </w:t>
        </w:r>
        <w:r>
          <w:rPr>
            <w:rFonts w:asciiTheme="minorHAnsi" w:eastAsiaTheme="minorEastAsia" w:hAnsiTheme="minorHAnsi" w:cstheme="minorBidi"/>
            <w:szCs w:val="22"/>
            <w:lang w:val="es-ES" w:eastAsia="es-ES"/>
          </w:rPr>
          <w:tab/>
        </w:r>
        <w:r w:rsidRPr="003B1501">
          <w:rPr>
            <w:rStyle w:val="Hipervnculo"/>
          </w:rPr>
          <w:t xml:space="preserve"> Subcontratos</w:t>
        </w:r>
        <w:r>
          <w:rPr>
            <w:webHidden/>
          </w:rPr>
          <w:tab/>
        </w:r>
        <w:r>
          <w:rPr>
            <w:webHidden/>
          </w:rPr>
          <w:fldChar w:fldCharType="begin"/>
        </w:r>
        <w:r>
          <w:rPr>
            <w:webHidden/>
          </w:rPr>
          <w:instrText xml:space="preserve"> PAGEREF _Toc404045 \h </w:instrText>
        </w:r>
        <w:r>
          <w:rPr>
            <w:webHidden/>
          </w:rPr>
        </w:r>
        <w:r>
          <w:rPr>
            <w:webHidden/>
          </w:rPr>
          <w:fldChar w:fldCharType="separate"/>
        </w:r>
        <w:r w:rsidR="001B26B5">
          <w:rPr>
            <w:webHidden/>
          </w:rPr>
          <w:t>37</w:t>
        </w:r>
        <w:r>
          <w:rPr>
            <w:webHidden/>
          </w:rPr>
          <w:fldChar w:fldCharType="end"/>
        </w:r>
      </w:hyperlink>
    </w:p>
    <w:p w14:paraId="6F7717D6" w14:textId="77777777" w:rsidR="0006561B" w:rsidRDefault="0006561B">
      <w:pPr>
        <w:pStyle w:val="TDC1"/>
        <w:rPr>
          <w:rFonts w:asciiTheme="minorHAnsi" w:eastAsiaTheme="minorEastAsia" w:hAnsiTheme="minorHAnsi" w:cstheme="minorBidi"/>
          <w:b w:val="0"/>
          <w:sz w:val="22"/>
          <w:szCs w:val="22"/>
          <w:lang w:val="es-ES" w:eastAsia="es-ES"/>
        </w:rPr>
      </w:pPr>
      <w:hyperlink w:anchor="_Toc404046" w:history="1">
        <w:r w:rsidRPr="003B1501">
          <w:rPr>
            <w:rStyle w:val="Hipervnculo"/>
          </w:rPr>
          <w:t>Artículo 102.- Descripción de las Obras</w:t>
        </w:r>
        <w:r>
          <w:rPr>
            <w:webHidden/>
          </w:rPr>
          <w:tab/>
        </w:r>
        <w:r>
          <w:rPr>
            <w:webHidden/>
          </w:rPr>
          <w:fldChar w:fldCharType="begin"/>
        </w:r>
        <w:r>
          <w:rPr>
            <w:webHidden/>
          </w:rPr>
          <w:instrText xml:space="preserve"> PAGEREF _Toc404046 \h </w:instrText>
        </w:r>
        <w:r>
          <w:rPr>
            <w:webHidden/>
          </w:rPr>
        </w:r>
        <w:r>
          <w:rPr>
            <w:webHidden/>
          </w:rPr>
          <w:fldChar w:fldCharType="separate"/>
        </w:r>
        <w:r w:rsidR="001B26B5">
          <w:rPr>
            <w:webHidden/>
          </w:rPr>
          <w:t>38</w:t>
        </w:r>
        <w:r>
          <w:rPr>
            <w:webHidden/>
          </w:rPr>
          <w:fldChar w:fldCharType="end"/>
        </w:r>
      </w:hyperlink>
    </w:p>
    <w:p w14:paraId="46DA5A83" w14:textId="77777777" w:rsidR="0006561B" w:rsidRDefault="0006561B">
      <w:pPr>
        <w:pStyle w:val="TDC2"/>
        <w:rPr>
          <w:rFonts w:asciiTheme="minorHAnsi" w:eastAsiaTheme="minorEastAsia" w:hAnsiTheme="minorHAnsi" w:cstheme="minorBidi"/>
          <w:szCs w:val="22"/>
          <w:lang w:val="es-ES" w:eastAsia="es-ES"/>
        </w:rPr>
      </w:pPr>
      <w:hyperlink w:anchor="_Toc404047" w:history="1">
        <w:r w:rsidRPr="003B1501">
          <w:rPr>
            <w:rStyle w:val="Hipervnculo"/>
          </w:rPr>
          <w:t xml:space="preserve">102.1. </w:t>
        </w:r>
        <w:r>
          <w:rPr>
            <w:rFonts w:asciiTheme="minorHAnsi" w:eastAsiaTheme="minorEastAsia" w:hAnsiTheme="minorHAnsi" w:cstheme="minorBidi"/>
            <w:szCs w:val="22"/>
            <w:lang w:val="es-ES" w:eastAsia="es-ES"/>
          </w:rPr>
          <w:tab/>
        </w:r>
        <w:r w:rsidRPr="003B1501">
          <w:rPr>
            <w:rStyle w:val="Hipervnculo"/>
          </w:rPr>
          <w:t>Descripción General</w:t>
        </w:r>
        <w:r>
          <w:rPr>
            <w:webHidden/>
          </w:rPr>
          <w:tab/>
        </w:r>
        <w:r>
          <w:rPr>
            <w:webHidden/>
          </w:rPr>
          <w:fldChar w:fldCharType="begin"/>
        </w:r>
        <w:r>
          <w:rPr>
            <w:webHidden/>
          </w:rPr>
          <w:instrText xml:space="preserve"> PAGEREF _Toc404047 \h </w:instrText>
        </w:r>
        <w:r>
          <w:rPr>
            <w:webHidden/>
          </w:rPr>
        </w:r>
        <w:r>
          <w:rPr>
            <w:webHidden/>
          </w:rPr>
          <w:fldChar w:fldCharType="separate"/>
        </w:r>
        <w:r w:rsidR="001B26B5">
          <w:rPr>
            <w:webHidden/>
          </w:rPr>
          <w:t>38</w:t>
        </w:r>
        <w:r>
          <w:rPr>
            <w:webHidden/>
          </w:rPr>
          <w:fldChar w:fldCharType="end"/>
        </w:r>
      </w:hyperlink>
    </w:p>
    <w:p w14:paraId="41CF317A" w14:textId="77777777" w:rsidR="0006561B" w:rsidRDefault="0006561B">
      <w:pPr>
        <w:pStyle w:val="TDC2"/>
        <w:rPr>
          <w:rFonts w:asciiTheme="minorHAnsi" w:eastAsiaTheme="minorEastAsia" w:hAnsiTheme="minorHAnsi" w:cstheme="minorBidi"/>
          <w:szCs w:val="22"/>
          <w:lang w:val="es-ES" w:eastAsia="es-ES"/>
        </w:rPr>
      </w:pPr>
      <w:hyperlink w:anchor="_Toc404048" w:history="1">
        <w:r w:rsidRPr="003B1501">
          <w:rPr>
            <w:rStyle w:val="Hipervnculo"/>
          </w:rPr>
          <w:t>102.2.</w:t>
        </w:r>
        <w:r>
          <w:rPr>
            <w:rFonts w:asciiTheme="minorHAnsi" w:eastAsiaTheme="minorEastAsia" w:hAnsiTheme="minorHAnsi" w:cstheme="minorBidi"/>
            <w:szCs w:val="22"/>
            <w:lang w:val="es-ES" w:eastAsia="es-ES"/>
          </w:rPr>
          <w:tab/>
        </w:r>
        <w:r w:rsidRPr="003B1501">
          <w:rPr>
            <w:rStyle w:val="Hipervnculo"/>
          </w:rPr>
          <w:t xml:space="preserve"> Planos</w:t>
        </w:r>
        <w:r>
          <w:rPr>
            <w:webHidden/>
          </w:rPr>
          <w:tab/>
        </w:r>
        <w:r>
          <w:rPr>
            <w:webHidden/>
          </w:rPr>
          <w:fldChar w:fldCharType="begin"/>
        </w:r>
        <w:r>
          <w:rPr>
            <w:webHidden/>
          </w:rPr>
          <w:instrText xml:space="preserve"> PAGEREF _Toc404048 \h </w:instrText>
        </w:r>
        <w:r>
          <w:rPr>
            <w:webHidden/>
          </w:rPr>
        </w:r>
        <w:r>
          <w:rPr>
            <w:webHidden/>
          </w:rPr>
          <w:fldChar w:fldCharType="separate"/>
        </w:r>
        <w:r w:rsidR="001B26B5">
          <w:rPr>
            <w:webHidden/>
          </w:rPr>
          <w:t>39</w:t>
        </w:r>
        <w:r>
          <w:rPr>
            <w:webHidden/>
          </w:rPr>
          <w:fldChar w:fldCharType="end"/>
        </w:r>
      </w:hyperlink>
    </w:p>
    <w:p w14:paraId="44A9DFA6" w14:textId="77777777" w:rsidR="0006561B" w:rsidRDefault="0006561B">
      <w:pPr>
        <w:pStyle w:val="TDC2"/>
        <w:rPr>
          <w:rFonts w:asciiTheme="minorHAnsi" w:eastAsiaTheme="minorEastAsia" w:hAnsiTheme="minorHAnsi" w:cstheme="minorBidi"/>
          <w:szCs w:val="22"/>
          <w:lang w:val="es-ES" w:eastAsia="es-ES"/>
        </w:rPr>
      </w:pPr>
      <w:hyperlink w:anchor="_Toc404049" w:history="1">
        <w:r w:rsidRPr="003B1501">
          <w:rPr>
            <w:rStyle w:val="Hipervnculo"/>
          </w:rPr>
          <w:t>102.3.</w:t>
        </w:r>
        <w:r>
          <w:rPr>
            <w:rFonts w:asciiTheme="minorHAnsi" w:eastAsiaTheme="minorEastAsia" w:hAnsiTheme="minorHAnsi" w:cstheme="minorBidi"/>
            <w:szCs w:val="22"/>
            <w:lang w:val="es-ES" w:eastAsia="es-ES"/>
          </w:rPr>
          <w:tab/>
        </w:r>
        <w:r w:rsidRPr="003B1501">
          <w:rPr>
            <w:rStyle w:val="Hipervnculo"/>
          </w:rPr>
          <w:t>Contradicciones, omisiones o errores</w:t>
        </w:r>
        <w:r>
          <w:rPr>
            <w:webHidden/>
          </w:rPr>
          <w:tab/>
        </w:r>
        <w:r>
          <w:rPr>
            <w:webHidden/>
          </w:rPr>
          <w:fldChar w:fldCharType="begin"/>
        </w:r>
        <w:r>
          <w:rPr>
            <w:webHidden/>
          </w:rPr>
          <w:instrText xml:space="preserve"> PAGEREF _Toc404049 \h </w:instrText>
        </w:r>
        <w:r>
          <w:rPr>
            <w:webHidden/>
          </w:rPr>
        </w:r>
        <w:r>
          <w:rPr>
            <w:webHidden/>
          </w:rPr>
          <w:fldChar w:fldCharType="separate"/>
        </w:r>
        <w:r w:rsidR="001B26B5">
          <w:rPr>
            <w:webHidden/>
          </w:rPr>
          <w:t>40</w:t>
        </w:r>
        <w:r>
          <w:rPr>
            <w:webHidden/>
          </w:rPr>
          <w:fldChar w:fldCharType="end"/>
        </w:r>
      </w:hyperlink>
    </w:p>
    <w:p w14:paraId="43F5C456" w14:textId="77777777" w:rsidR="0006561B" w:rsidRDefault="0006561B">
      <w:pPr>
        <w:pStyle w:val="TDC2"/>
        <w:rPr>
          <w:rFonts w:asciiTheme="minorHAnsi" w:eastAsiaTheme="minorEastAsia" w:hAnsiTheme="minorHAnsi" w:cstheme="minorBidi"/>
          <w:szCs w:val="22"/>
          <w:lang w:val="es-ES" w:eastAsia="es-ES"/>
        </w:rPr>
      </w:pPr>
      <w:hyperlink w:anchor="_Toc404050" w:history="1">
        <w:r w:rsidRPr="003B1501">
          <w:rPr>
            <w:rStyle w:val="Hipervnculo"/>
          </w:rPr>
          <w:t>102.4.</w:t>
        </w:r>
        <w:r>
          <w:rPr>
            <w:rFonts w:asciiTheme="minorHAnsi" w:eastAsiaTheme="minorEastAsia" w:hAnsiTheme="minorHAnsi" w:cstheme="minorBidi"/>
            <w:szCs w:val="22"/>
            <w:lang w:val="es-ES" w:eastAsia="es-ES"/>
          </w:rPr>
          <w:tab/>
        </w:r>
        <w:r w:rsidRPr="003B1501">
          <w:rPr>
            <w:rStyle w:val="Hipervnculo"/>
          </w:rPr>
          <w:t xml:space="preserve"> Documentos que se entregan al Contratista</w:t>
        </w:r>
        <w:r>
          <w:rPr>
            <w:webHidden/>
          </w:rPr>
          <w:tab/>
        </w:r>
        <w:r>
          <w:rPr>
            <w:webHidden/>
          </w:rPr>
          <w:fldChar w:fldCharType="begin"/>
        </w:r>
        <w:r>
          <w:rPr>
            <w:webHidden/>
          </w:rPr>
          <w:instrText xml:space="preserve"> PAGEREF _Toc404050 \h </w:instrText>
        </w:r>
        <w:r>
          <w:rPr>
            <w:webHidden/>
          </w:rPr>
        </w:r>
        <w:r>
          <w:rPr>
            <w:webHidden/>
          </w:rPr>
          <w:fldChar w:fldCharType="separate"/>
        </w:r>
        <w:r w:rsidR="001B26B5">
          <w:rPr>
            <w:webHidden/>
          </w:rPr>
          <w:t>41</w:t>
        </w:r>
        <w:r>
          <w:rPr>
            <w:webHidden/>
          </w:rPr>
          <w:fldChar w:fldCharType="end"/>
        </w:r>
      </w:hyperlink>
    </w:p>
    <w:p w14:paraId="4679F9B3" w14:textId="77777777" w:rsidR="0006561B" w:rsidRDefault="0006561B">
      <w:pPr>
        <w:pStyle w:val="TDC1"/>
        <w:rPr>
          <w:rFonts w:asciiTheme="minorHAnsi" w:eastAsiaTheme="minorEastAsia" w:hAnsiTheme="minorHAnsi" w:cstheme="minorBidi"/>
          <w:b w:val="0"/>
          <w:sz w:val="22"/>
          <w:szCs w:val="22"/>
          <w:lang w:val="es-ES" w:eastAsia="es-ES"/>
        </w:rPr>
      </w:pPr>
      <w:r>
        <w:rPr>
          <w:rStyle w:val="Hipervnculo"/>
        </w:rPr>
        <w:br w:type="column"/>
      </w:r>
      <w:hyperlink w:anchor="_Toc404051" w:history="1">
        <w:r w:rsidRPr="003B1501">
          <w:rPr>
            <w:rStyle w:val="Hipervnculo"/>
          </w:rPr>
          <w:t>Artículo 103. Iniciación de las obras</w:t>
        </w:r>
        <w:r>
          <w:rPr>
            <w:webHidden/>
          </w:rPr>
          <w:tab/>
        </w:r>
        <w:r>
          <w:rPr>
            <w:webHidden/>
          </w:rPr>
          <w:fldChar w:fldCharType="begin"/>
        </w:r>
        <w:r>
          <w:rPr>
            <w:webHidden/>
          </w:rPr>
          <w:instrText xml:space="preserve"> PAGEREF _Toc404051 \h </w:instrText>
        </w:r>
        <w:r>
          <w:rPr>
            <w:webHidden/>
          </w:rPr>
        </w:r>
        <w:r>
          <w:rPr>
            <w:webHidden/>
          </w:rPr>
          <w:fldChar w:fldCharType="separate"/>
        </w:r>
        <w:r w:rsidR="001B26B5">
          <w:rPr>
            <w:webHidden/>
          </w:rPr>
          <w:t>42</w:t>
        </w:r>
        <w:r>
          <w:rPr>
            <w:webHidden/>
          </w:rPr>
          <w:fldChar w:fldCharType="end"/>
        </w:r>
      </w:hyperlink>
    </w:p>
    <w:p w14:paraId="506D156D" w14:textId="77777777" w:rsidR="0006561B" w:rsidRDefault="0006561B">
      <w:pPr>
        <w:pStyle w:val="TDC2"/>
        <w:rPr>
          <w:rFonts w:asciiTheme="minorHAnsi" w:eastAsiaTheme="minorEastAsia" w:hAnsiTheme="minorHAnsi" w:cstheme="minorBidi"/>
          <w:szCs w:val="22"/>
          <w:lang w:val="es-ES" w:eastAsia="es-ES"/>
        </w:rPr>
      </w:pPr>
      <w:hyperlink w:anchor="_Toc404052" w:history="1">
        <w:r w:rsidRPr="003B1501">
          <w:rPr>
            <w:rStyle w:val="Hipervnculo"/>
          </w:rPr>
          <w:t xml:space="preserve">103.1. </w:t>
        </w:r>
        <w:r>
          <w:rPr>
            <w:rFonts w:asciiTheme="minorHAnsi" w:eastAsiaTheme="minorEastAsia" w:hAnsiTheme="minorHAnsi" w:cstheme="minorBidi"/>
            <w:szCs w:val="22"/>
            <w:lang w:val="es-ES" w:eastAsia="es-ES"/>
          </w:rPr>
          <w:tab/>
        </w:r>
        <w:r w:rsidRPr="003B1501">
          <w:rPr>
            <w:rStyle w:val="Hipervnculo"/>
          </w:rPr>
          <w:t>Inspección de las obras</w:t>
        </w:r>
        <w:r>
          <w:rPr>
            <w:webHidden/>
          </w:rPr>
          <w:tab/>
        </w:r>
        <w:r>
          <w:rPr>
            <w:webHidden/>
          </w:rPr>
          <w:fldChar w:fldCharType="begin"/>
        </w:r>
        <w:r>
          <w:rPr>
            <w:webHidden/>
          </w:rPr>
          <w:instrText xml:space="preserve"> PAGEREF _Toc404052 \h </w:instrText>
        </w:r>
        <w:r>
          <w:rPr>
            <w:webHidden/>
          </w:rPr>
        </w:r>
        <w:r>
          <w:rPr>
            <w:webHidden/>
          </w:rPr>
          <w:fldChar w:fldCharType="separate"/>
        </w:r>
        <w:r w:rsidR="001B26B5">
          <w:rPr>
            <w:webHidden/>
          </w:rPr>
          <w:t>42</w:t>
        </w:r>
        <w:r>
          <w:rPr>
            <w:webHidden/>
          </w:rPr>
          <w:fldChar w:fldCharType="end"/>
        </w:r>
      </w:hyperlink>
    </w:p>
    <w:p w14:paraId="03DBE8CB" w14:textId="77777777" w:rsidR="0006561B" w:rsidRDefault="0006561B">
      <w:pPr>
        <w:pStyle w:val="TDC2"/>
        <w:rPr>
          <w:rFonts w:asciiTheme="minorHAnsi" w:eastAsiaTheme="minorEastAsia" w:hAnsiTheme="minorHAnsi" w:cstheme="minorBidi"/>
          <w:szCs w:val="22"/>
          <w:lang w:val="es-ES" w:eastAsia="es-ES"/>
        </w:rPr>
      </w:pPr>
      <w:hyperlink w:anchor="_Toc404053" w:history="1">
        <w:r w:rsidRPr="003B1501">
          <w:rPr>
            <w:rStyle w:val="Hipervnculo"/>
          </w:rPr>
          <w:t>103.3.</w:t>
        </w:r>
        <w:r>
          <w:rPr>
            <w:rFonts w:asciiTheme="minorHAnsi" w:eastAsiaTheme="minorEastAsia" w:hAnsiTheme="minorHAnsi" w:cstheme="minorBidi"/>
            <w:szCs w:val="22"/>
            <w:lang w:val="es-ES" w:eastAsia="es-ES"/>
          </w:rPr>
          <w:tab/>
        </w:r>
        <w:r w:rsidRPr="003B1501">
          <w:rPr>
            <w:rStyle w:val="Hipervnculo"/>
          </w:rPr>
          <w:t xml:space="preserve"> Programa de trabajos</w:t>
        </w:r>
        <w:r>
          <w:rPr>
            <w:webHidden/>
          </w:rPr>
          <w:tab/>
        </w:r>
        <w:r>
          <w:rPr>
            <w:webHidden/>
          </w:rPr>
          <w:fldChar w:fldCharType="begin"/>
        </w:r>
        <w:r>
          <w:rPr>
            <w:webHidden/>
          </w:rPr>
          <w:instrText xml:space="preserve"> PAGEREF _Toc404053 \h </w:instrText>
        </w:r>
        <w:r>
          <w:rPr>
            <w:webHidden/>
          </w:rPr>
        </w:r>
        <w:r>
          <w:rPr>
            <w:webHidden/>
          </w:rPr>
          <w:fldChar w:fldCharType="separate"/>
        </w:r>
        <w:r w:rsidR="001B26B5">
          <w:rPr>
            <w:webHidden/>
          </w:rPr>
          <w:t>42</w:t>
        </w:r>
        <w:r>
          <w:rPr>
            <w:webHidden/>
          </w:rPr>
          <w:fldChar w:fldCharType="end"/>
        </w:r>
      </w:hyperlink>
    </w:p>
    <w:p w14:paraId="267E6055" w14:textId="77777777" w:rsidR="0006561B" w:rsidRDefault="0006561B">
      <w:pPr>
        <w:pStyle w:val="TDC2"/>
        <w:rPr>
          <w:rFonts w:asciiTheme="minorHAnsi" w:eastAsiaTheme="minorEastAsia" w:hAnsiTheme="minorHAnsi" w:cstheme="minorBidi"/>
          <w:szCs w:val="22"/>
          <w:lang w:val="es-ES" w:eastAsia="es-ES"/>
        </w:rPr>
      </w:pPr>
      <w:hyperlink w:anchor="_Toc404054" w:history="1">
        <w:r w:rsidRPr="003B1501">
          <w:rPr>
            <w:rStyle w:val="Hipervnculo"/>
          </w:rPr>
          <w:t>103.4.</w:t>
        </w:r>
        <w:r>
          <w:rPr>
            <w:rFonts w:asciiTheme="minorHAnsi" w:eastAsiaTheme="minorEastAsia" w:hAnsiTheme="minorHAnsi" w:cstheme="minorBidi"/>
            <w:szCs w:val="22"/>
            <w:lang w:val="es-ES" w:eastAsia="es-ES"/>
          </w:rPr>
          <w:tab/>
        </w:r>
        <w:r w:rsidRPr="003B1501">
          <w:rPr>
            <w:rStyle w:val="Hipervnculo"/>
          </w:rPr>
          <w:t xml:space="preserve"> Orden de iniciación de las obras</w:t>
        </w:r>
        <w:r>
          <w:rPr>
            <w:webHidden/>
          </w:rPr>
          <w:tab/>
        </w:r>
        <w:r>
          <w:rPr>
            <w:webHidden/>
          </w:rPr>
          <w:fldChar w:fldCharType="begin"/>
        </w:r>
        <w:r>
          <w:rPr>
            <w:webHidden/>
          </w:rPr>
          <w:instrText xml:space="preserve"> PAGEREF _Toc404054 \h </w:instrText>
        </w:r>
        <w:r>
          <w:rPr>
            <w:webHidden/>
          </w:rPr>
        </w:r>
        <w:r>
          <w:rPr>
            <w:webHidden/>
          </w:rPr>
          <w:fldChar w:fldCharType="separate"/>
        </w:r>
        <w:r w:rsidR="001B26B5">
          <w:rPr>
            <w:webHidden/>
          </w:rPr>
          <w:t>42</w:t>
        </w:r>
        <w:r>
          <w:rPr>
            <w:webHidden/>
          </w:rPr>
          <w:fldChar w:fldCharType="end"/>
        </w:r>
      </w:hyperlink>
    </w:p>
    <w:p w14:paraId="59425347" w14:textId="77777777" w:rsidR="0006561B" w:rsidRDefault="0006561B">
      <w:pPr>
        <w:pStyle w:val="TDC1"/>
        <w:rPr>
          <w:rFonts w:asciiTheme="minorHAnsi" w:eastAsiaTheme="minorEastAsia" w:hAnsiTheme="minorHAnsi" w:cstheme="minorBidi"/>
          <w:b w:val="0"/>
          <w:sz w:val="22"/>
          <w:szCs w:val="22"/>
          <w:lang w:val="es-ES" w:eastAsia="es-ES"/>
        </w:rPr>
      </w:pPr>
      <w:hyperlink w:anchor="_Toc404055" w:history="1">
        <w:r w:rsidRPr="003B1501">
          <w:rPr>
            <w:rStyle w:val="Hipervnculo"/>
          </w:rPr>
          <w:t>Artículo 104. Desarrollo de las obras</w:t>
        </w:r>
        <w:r>
          <w:rPr>
            <w:webHidden/>
          </w:rPr>
          <w:tab/>
        </w:r>
        <w:r>
          <w:rPr>
            <w:webHidden/>
          </w:rPr>
          <w:fldChar w:fldCharType="begin"/>
        </w:r>
        <w:r>
          <w:rPr>
            <w:webHidden/>
          </w:rPr>
          <w:instrText xml:space="preserve"> PAGEREF _Toc404055 \h </w:instrText>
        </w:r>
        <w:r>
          <w:rPr>
            <w:webHidden/>
          </w:rPr>
        </w:r>
        <w:r>
          <w:rPr>
            <w:webHidden/>
          </w:rPr>
          <w:fldChar w:fldCharType="separate"/>
        </w:r>
        <w:r w:rsidR="001B26B5">
          <w:rPr>
            <w:webHidden/>
          </w:rPr>
          <w:t>43</w:t>
        </w:r>
        <w:r>
          <w:rPr>
            <w:webHidden/>
          </w:rPr>
          <w:fldChar w:fldCharType="end"/>
        </w:r>
      </w:hyperlink>
    </w:p>
    <w:p w14:paraId="60819FAF" w14:textId="77777777" w:rsidR="0006561B" w:rsidRDefault="0006561B">
      <w:pPr>
        <w:pStyle w:val="TDC2"/>
        <w:rPr>
          <w:rFonts w:asciiTheme="minorHAnsi" w:eastAsiaTheme="minorEastAsia" w:hAnsiTheme="minorHAnsi" w:cstheme="minorBidi"/>
          <w:szCs w:val="22"/>
          <w:lang w:val="es-ES" w:eastAsia="es-ES"/>
        </w:rPr>
      </w:pPr>
      <w:hyperlink w:anchor="_Toc404056" w:history="1">
        <w:r w:rsidRPr="003B1501">
          <w:rPr>
            <w:rStyle w:val="Hipervnculo"/>
          </w:rPr>
          <w:t xml:space="preserve">104.1. </w:t>
        </w:r>
        <w:r>
          <w:rPr>
            <w:rFonts w:asciiTheme="minorHAnsi" w:eastAsiaTheme="minorEastAsia" w:hAnsiTheme="minorHAnsi" w:cstheme="minorBidi"/>
            <w:szCs w:val="22"/>
            <w:lang w:val="es-ES" w:eastAsia="es-ES"/>
          </w:rPr>
          <w:tab/>
        </w:r>
        <w:r w:rsidRPr="003B1501">
          <w:rPr>
            <w:rStyle w:val="Hipervnculo"/>
          </w:rPr>
          <w:t>Replanteo</w:t>
        </w:r>
        <w:r>
          <w:rPr>
            <w:webHidden/>
          </w:rPr>
          <w:tab/>
        </w:r>
        <w:r>
          <w:rPr>
            <w:webHidden/>
          </w:rPr>
          <w:fldChar w:fldCharType="begin"/>
        </w:r>
        <w:r>
          <w:rPr>
            <w:webHidden/>
          </w:rPr>
          <w:instrText xml:space="preserve"> PAGEREF _Toc404056 \h </w:instrText>
        </w:r>
        <w:r>
          <w:rPr>
            <w:webHidden/>
          </w:rPr>
        </w:r>
        <w:r>
          <w:rPr>
            <w:webHidden/>
          </w:rPr>
          <w:fldChar w:fldCharType="separate"/>
        </w:r>
        <w:r w:rsidR="001B26B5">
          <w:rPr>
            <w:webHidden/>
          </w:rPr>
          <w:t>43</w:t>
        </w:r>
        <w:r>
          <w:rPr>
            <w:webHidden/>
          </w:rPr>
          <w:fldChar w:fldCharType="end"/>
        </w:r>
      </w:hyperlink>
    </w:p>
    <w:p w14:paraId="67D7F50F" w14:textId="77777777" w:rsidR="0006561B" w:rsidRDefault="0006561B">
      <w:pPr>
        <w:pStyle w:val="TDC2"/>
        <w:rPr>
          <w:rFonts w:asciiTheme="minorHAnsi" w:eastAsiaTheme="minorEastAsia" w:hAnsiTheme="minorHAnsi" w:cstheme="minorBidi"/>
          <w:szCs w:val="22"/>
          <w:lang w:val="es-ES" w:eastAsia="es-ES"/>
        </w:rPr>
      </w:pPr>
      <w:hyperlink w:anchor="_Toc404057" w:history="1">
        <w:r w:rsidRPr="003B1501">
          <w:rPr>
            <w:rStyle w:val="Hipervnculo"/>
          </w:rPr>
          <w:t xml:space="preserve">104.2. </w:t>
        </w:r>
        <w:r>
          <w:rPr>
            <w:rFonts w:asciiTheme="minorHAnsi" w:eastAsiaTheme="minorEastAsia" w:hAnsiTheme="minorHAnsi" w:cstheme="minorBidi"/>
            <w:szCs w:val="22"/>
            <w:lang w:val="es-ES" w:eastAsia="es-ES"/>
          </w:rPr>
          <w:tab/>
        </w:r>
        <w:r w:rsidRPr="003B1501">
          <w:rPr>
            <w:rStyle w:val="Hipervnculo"/>
          </w:rPr>
          <w:t>Equipos de maquinaria</w:t>
        </w:r>
        <w:r>
          <w:rPr>
            <w:webHidden/>
          </w:rPr>
          <w:tab/>
        </w:r>
        <w:r>
          <w:rPr>
            <w:webHidden/>
          </w:rPr>
          <w:fldChar w:fldCharType="begin"/>
        </w:r>
        <w:r>
          <w:rPr>
            <w:webHidden/>
          </w:rPr>
          <w:instrText xml:space="preserve"> PAGEREF _Toc404057 \h </w:instrText>
        </w:r>
        <w:r>
          <w:rPr>
            <w:webHidden/>
          </w:rPr>
        </w:r>
        <w:r>
          <w:rPr>
            <w:webHidden/>
          </w:rPr>
          <w:fldChar w:fldCharType="separate"/>
        </w:r>
        <w:r w:rsidR="001B26B5">
          <w:rPr>
            <w:webHidden/>
          </w:rPr>
          <w:t>43</w:t>
        </w:r>
        <w:r>
          <w:rPr>
            <w:webHidden/>
          </w:rPr>
          <w:fldChar w:fldCharType="end"/>
        </w:r>
      </w:hyperlink>
    </w:p>
    <w:p w14:paraId="62E11D49" w14:textId="77777777" w:rsidR="0006561B" w:rsidRDefault="0006561B">
      <w:pPr>
        <w:pStyle w:val="TDC2"/>
        <w:rPr>
          <w:rFonts w:asciiTheme="minorHAnsi" w:eastAsiaTheme="minorEastAsia" w:hAnsiTheme="minorHAnsi" w:cstheme="minorBidi"/>
          <w:szCs w:val="22"/>
          <w:lang w:val="es-ES" w:eastAsia="es-ES"/>
        </w:rPr>
      </w:pPr>
      <w:hyperlink w:anchor="_Toc404058" w:history="1">
        <w:r w:rsidRPr="003B1501">
          <w:rPr>
            <w:rStyle w:val="Hipervnculo"/>
          </w:rPr>
          <w:t>104.3.   Ensayos</w:t>
        </w:r>
        <w:r>
          <w:rPr>
            <w:webHidden/>
          </w:rPr>
          <w:tab/>
        </w:r>
        <w:r>
          <w:rPr>
            <w:webHidden/>
          </w:rPr>
          <w:fldChar w:fldCharType="begin"/>
        </w:r>
        <w:r>
          <w:rPr>
            <w:webHidden/>
          </w:rPr>
          <w:instrText xml:space="preserve"> PAGEREF _Toc404058 \h </w:instrText>
        </w:r>
        <w:r>
          <w:rPr>
            <w:webHidden/>
          </w:rPr>
        </w:r>
        <w:r>
          <w:rPr>
            <w:webHidden/>
          </w:rPr>
          <w:fldChar w:fldCharType="separate"/>
        </w:r>
        <w:r w:rsidR="001B26B5">
          <w:rPr>
            <w:webHidden/>
          </w:rPr>
          <w:t>43</w:t>
        </w:r>
        <w:r>
          <w:rPr>
            <w:webHidden/>
          </w:rPr>
          <w:fldChar w:fldCharType="end"/>
        </w:r>
      </w:hyperlink>
    </w:p>
    <w:p w14:paraId="712D5561" w14:textId="77777777" w:rsidR="0006561B" w:rsidRDefault="0006561B">
      <w:pPr>
        <w:pStyle w:val="TDC2"/>
        <w:rPr>
          <w:rFonts w:asciiTheme="minorHAnsi" w:eastAsiaTheme="minorEastAsia" w:hAnsiTheme="minorHAnsi" w:cstheme="minorBidi"/>
          <w:szCs w:val="22"/>
          <w:lang w:val="es-ES" w:eastAsia="es-ES"/>
        </w:rPr>
      </w:pPr>
      <w:hyperlink w:anchor="_Toc404059" w:history="1">
        <w:r w:rsidRPr="003B1501">
          <w:rPr>
            <w:rStyle w:val="Hipervnculo"/>
          </w:rPr>
          <w:t>104.4.   Materiales</w:t>
        </w:r>
        <w:r>
          <w:rPr>
            <w:webHidden/>
          </w:rPr>
          <w:tab/>
        </w:r>
        <w:r>
          <w:rPr>
            <w:webHidden/>
          </w:rPr>
          <w:fldChar w:fldCharType="begin"/>
        </w:r>
        <w:r>
          <w:rPr>
            <w:webHidden/>
          </w:rPr>
          <w:instrText xml:space="preserve"> PAGEREF _Toc404059 \h </w:instrText>
        </w:r>
        <w:r>
          <w:rPr>
            <w:webHidden/>
          </w:rPr>
        </w:r>
        <w:r>
          <w:rPr>
            <w:webHidden/>
          </w:rPr>
          <w:fldChar w:fldCharType="separate"/>
        </w:r>
        <w:r w:rsidR="001B26B5">
          <w:rPr>
            <w:webHidden/>
          </w:rPr>
          <w:t>44</w:t>
        </w:r>
        <w:r>
          <w:rPr>
            <w:webHidden/>
          </w:rPr>
          <w:fldChar w:fldCharType="end"/>
        </w:r>
      </w:hyperlink>
    </w:p>
    <w:p w14:paraId="73315E99" w14:textId="77777777" w:rsidR="0006561B" w:rsidRDefault="0006561B">
      <w:pPr>
        <w:pStyle w:val="TDC2"/>
        <w:rPr>
          <w:rFonts w:asciiTheme="minorHAnsi" w:eastAsiaTheme="minorEastAsia" w:hAnsiTheme="minorHAnsi" w:cstheme="minorBidi"/>
          <w:szCs w:val="22"/>
          <w:lang w:val="es-ES" w:eastAsia="es-ES"/>
        </w:rPr>
      </w:pPr>
      <w:hyperlink w:anchor="_Toc404060" w:history="1">
        <w:r w:rsidRPr="003B1501">
          <w:rPr>
            <w:rStyle w:val="Hipervnculo"/>
          </w:rPr>
          <w:t>104.5.</w:t>
        </w:r>
        <w:r>
          <w:rPr>
            <w:rFonts w:asciiTheme="minorHAnsi" w:eastAsiaTheme="minorEastAsia" w:hAnsiTheme="minorHAnsi" w:cstheme="minorBidi"/>
            <w:szCs w:val="22"/>
            <w:lang w:val="es-ES" w:eastAsia="es-ES"/>
          </w:rPr>
          <w:tab/>
        </w:r>
        <w:r w:rsidRPr="003B1501">
          <w:rPr>
            <w:rStyle w:val="Hipervnculo"/>
          </w:rPr>
          <w:t xml:space="preserve"> Acopios</w:t>
        </w:r>
        <w:r>
          <w:rPr>
            <w:webHidden/>
          </w:rPr>
          <w:tab/>
        </w:r>
        <w:r>
          <w:rPr>
            <w:webHidden/>
          </w:rPr>
          <w:fldChar w:fldCharType="begin"/>
        </w:r>
        <w:r>
          <w:rPr>
            <w:webHidden/>
          </w:rPr>
          <w:instrText xml:space="preserve"> PAGEREF _Toc404060 \h </w:instrText>
        </w:r>
        <w:r>
          <w:rPr>
            <w:webHidden/>
          </w:rPr>
        </w:r>
        <w:r>
          <w:rPr>
            <w:webHidden/>
          </w:rPr>
          <w:fldChar w:fldCharType="separate"/>
        </w:r>
        <w:r w:rsidR="001B26B5">
          <w:rPr>
            <w:webHidden/>
          </w:rPr>
          <w:t>45</w:t>
        </w:r>
        <w:r>
          <w:rPr>
            <w:webHidden/>
          </w:rPr>
          <w:fldChar w:fldCharType="end"/>
        </w:r>
      </w:hyperlink>
    </w:p>
    <w:p w14:paraId="4807173B" w14:textId="77777777" w:rsidR="0006561B" w:rsidRDefault="0006561B">
      <w:pPr>
        <w:pStyle w:val="TDC2"/>
        <w:rPr>
          <w:rFonts w:asciiTheme="minorHAnsi" w:eastAsiaTheme="minorEastAsia" w:hAnsiTheme="minorHAnsi" w:cstheme="minorBidi"/>
          <w:szCs w:val="22"/>
          <w:lang w:val="es-ES" w:eastAsia="es-ES"/>
        </w:rPr>
      </w:pPr>
      <w:hyperlink w:anchor="_Toc404061" w:history="1">
        <w:r w:rsidRPr="003B1501">
          <w:rPr>
            <w:rStyle w:val="Hipervnculo"/>
          </w:rPr>
          <w:t>104.6.   Trabajos nocturnos</w:t>
        </w:r>
        <w:r>
          <w:rPr>
            <w:webHidden/>
          </w:rPr>
          <w:tab/>
        </w:r>
        <w:r>
          <w:rPr>
            <w:webHidden/>
          </w:rPr>
          <w:fldChar w:fldCharType="begin"/>
        </w:r>
        <w:r>
          <w:rPr>
            <w:webHidden/>
          </w:rPr>
          <w:instrText xml:space="preserve"> PAGEREF _Toc404061 \h </w:instrText>
        </w:r>
        <w:r>
          <w:rPr>
            <w:webHidden/>
          </w:rPr>
        </w:r>
        <w:r>
          <w:rPr>
            <w:webHidden/>
          </w:rPr>
          <w:fldChar w:fldCharType="separate"/>
        </w:r>
        <w:r w:rsidR="001B26B5">
          <w:rPr>
            <w:webHidden/>
          </w:rPr>
          <w:t>45</w:t>
        </w:r>
        <w:r>
          <w:rPr>
            <w:webHidden/>
          </w:rPr>
          <w:fldChar w:fldCharType="end"/>
        </w:r>
      </w:hyperlink>
    </w:p>
    <w:p w14:paraId="531311D1" w14:textId="77777777" w:rsidR="0006561B" w:rsidRDefault="0006561B">
      <w:pPr>
        <w:pStyle w:val="TDC2"/>
        <w:rPr>
          <w:rFonts w:asciiTheme="minorHAnsi" w:eastAsiaTheme="minorEastAsia" w:hAnsiTheme="minorHAnsi" w:cstheme="minorBidi"/>
          <w:szCs w:val="22"/>
          <w:lang w:val="es-ES" w:eastAsia="es-ES"/>
        </w:rPr>
      </w:pPr>
      <w:hyperlink w:anchor="_Toc404062" w:history="1">
        <w:r w:rsidRPr="003B1501">
          <w:rPr>
            <w:rStyle w:val="Hipervnculo"/>
          </w:rPr>
          <w:t>104.7.</w:t>
        </w:r>
        <w:r>
          <w:rPr>
            <w:rFonts w:asciiTheme="minorHAnsi" w:eastAsiaTheme="minorEastAsia" w:hAnsiTheme="minorHAnsi" w:cstheme="minorBidi"/>
            <w:szCs w:val="22"/>
            <w:lang w:val="es-ES" w:eastAsia="es-ES"/>
          </w:rPr>
          <w:tab/>
        </w:r>
        <w:r w:rsidRPr="003B1501">
          <w:rPr>
            <w:rStyle w:val="Hipervnculo"/>
          </w:rPr>
          <w:t xml:space="preserve"> Trabajos defectuosos</w:t>
        </w:r>
        <w:r>
          <w:rPr>
            <w:webHidden/>
          </w:rPr>
          <w:tab/>
        </w:r>
        <w:r>
          <w:rPr>
            <w:webHidden/>
          </w:rPr>
          <w:fldChar w:fldCharType="begin"/>
        </w:r>
        <w:r>
          <w:rPr>
            <w:webHidden/>
          </w:rPr>
          <w:instrText xml:space="preserve"> PAGEREF _Toc404062 \h </w:instrText>
        </w:r>
        <w:r>
          <w:rPr>
            <w:webHidden/>
          </w:rPr>
        </w:r>
        <w:r>
          <w:rPr>
            <w:webHidden/>
          </w:rPr>
          <w:fldChar w:fldCharType="separate"/>
        </w:r>
        <w:r w:rsidR="001B26B5">
          <w:rPr>
            <w:webHidden/>
          </w:rPr>
          <w:t>45</w:t>
        </w:r>
        <w:r>
          <w:rPr>
            <w:webHidden/>
          </w:rPr>
          <w:fldChar w:fldCharType="end"/>
        </w:r>
      </w:hyperlink>
    </w:p>
    <w:p w14:paraId="1D9F6189" w14:textId="77777777" w:rsidR="0006561B" w:rsidRDefault="0006561B">
      <w:pPr>
        <w:pStyle w:val="TDC2"/>
        <w:rPr>
          <w:rFonts w:asciiTheme="minorHAnsi" w:eastAsiaTheme="minorEastAsia" w:hAnsiTheme="minorHAnsi" w:cstheme="minorBidi"/>
          <w:szCs w:val="22"/>
          <w:lang w:val="es-ES" w:eastAsia="es-ES"/>
        </w:rPr>
      </w:pPr>
      <w:hyperlink w:anchor="_Toc404063" w:history="1">
        <w:r w:rsidRPr="003B1501">
          <w:rPr>
            <w:rStyle w:val="Hipervnculo"/>
          </w:rPr>
          <w:t>104.8.    Construcción y conservación de desvíos</w:t>
        </w:r>
        <w:r>
          <w:rPr>
            <w:webHidden/>
          </w:rPr>
          <w:tab/>
        </w:r>
        <w:r>
          <w:rPr>
            <w:webHidden/>
          </w:rPr>
          <w:fldChar w:fldCharType="begin"/>
        </w:r>
        <w:r>
          <w:rPr>
            <w:webHidden/>
          </w:rPr>
          <w:instrText xml:space="preserve"> PAGEREF _Toc404063 \h </w:instrText>
        </w:r>
        <w:r>
          <w:rPr>
            <w:webHidden/>
          </w:rPr>
        </w:r>
        <w:r>
          <w:rPr>
            <w:webHidden/>
          </w:rPr>
          <w:fldChar w:fldCharType="separate"/>
        </w:r>
        <w:r w:rsidR="001B26B5">
          <w:rPr>
            <w:webHidden/>
          </w:rPr>
          <w:t>45</w:t>
        </w:r>
        <w:r>
          <w:rPr>
            <w:webHidden/>
          </w:rPr>
          <w:fldChar w:fldCharType="end"/>
        </w:r>
      </w:hyperlink>
    </w:p>
    <w:p w14:paraId="066D79BF" w14:textId="77777777" w:rsidR="0006561B" w:rsidRDefault="0006561B">
      <w:pPr>
        <w:pStyle w:val="TDC2"/>
        <w:rPr>
          <w:rFonts w:asciiTheme="minorHAnsi" w:eastAsiaTheme="minorEastAsia" w:hAnsiTheme="minorHAnsi" w:cstheme="minorBidi"/>
          <w:szCs w:val="22"/>
          <w:lang w:val="es-ES" w:eastAsia="es-ES"/>
        </w:rPr>
      </w:pPr>
      <w:hyperlink w:anchor="_Toc404064" w:history="1">
        <w:r w:rsidRPr="003B1501">
          <w:rPr>
            <w:rStyle w:val="Hipervnculo"/>
          </w:rPr>
          <w:t>104.9.    Señalización, balizamiento y defensa de obras e instalaciones</w:t>
        </w:r>
        <w:r>
          <w:rPr>
            <w:webHidden/>
          </w:rPr>
          <w:tab/>
        </w:r>
        <w:r>
          <w:rPr>
            <w:webHidden/>
          </w:rPr>
          <w:fldChar w:fldCharType="begin"/>
        </w:r>
        <w:r>
          <w:rPr>
            <w:webHidden/>
          </w:rPr>
          <w:instrText xml:space="preserve"> PAGEREF _Toc404064 \h </w:instrText>
        </w:r>
        <w:r>
          <w:rPr>
            <w:webHidden/>
          </w:rPr>
        </w:r>
        <w:r>
          <w:rPr>
            <w:webHidden/>
          </w:rPr>
          <w:fldChar w:fldCharType="separate"/>
        </w:r>
        <w:r w:rsidR="001B26B5">
          <w:rPr>
            <w:webHidden/>
          </w:rPr>
          <w:t>46</w:t>
        </w:r>
        <w:r>
          <w:rPr>
            <w:webHidden/>
          </w:rPr>
          <w:fldChar w:fldCharType="end"/>
        </w:r>
      </w:hyperlink>
    </w:p>
    <w:p w14:paraId="30E457F9" w14:textId="77777777" w:rsidR="0006561B" w:rsidRDefault="0006561B">
      <w:pPr>
        <w:pStyle w:val="TDC2"/>
        <w:rPr>
          <w:rFonts w:asciiTheme="minorHAnsi" w:eastAsiaTheme="minorEastAsia" w:hAnsiTheme="minorHAnsi" w:cstheme="minorBidi"/>
          <w:szCs w:val="22"/>
          <w:lang w:val="es-ES" w:eastAsia="es-ES"/>
        </w:rPr>
      </w:pPr>
      <w:hyperlink w:anchor="_Toc404065" w:history="1">
        <w:r w:rsidRPr="003B1501">
          <w:rPr>
            <w:rStyle w:val="Hipervnculo"/>
          </w:rPr>
          <w:t>104.10.   Precaucione especiales durante las obras</w:t>
        </w:r>
        <w:r>
          <w:rPr>
            <w:webHidden/>
          </w:rPr>
          <w:tab/>
        </w:r>
        <w:r>
          <w:rPr>
            <w:webHidden/>
          </w:rPr>
          <w:fldChar w:fldCharType="begin"/>
        </w:r>
        <w:r>
          <w:rPr>
            <w:webHidden/>
          </w:rPr>
          <w:instrText xml:space="preserve"> PAGEREF _Toc404065 \h </w:instrText>
        </w:r>
        <w:r>
          <w:rPr>
            <w:webHidden/>
          </w:rPr>
        </w:r>
        <w:r>
          <w:rPr>
            <w:webHidden/>
          </w:rPr>
          <w:fldChar w:fldCharType="separate"/>
        </w:r>
        <w:r w:rsidR="001B26B5">
          <w:rPr>
            <w:webHidden/>
          </w:rPr>
          <w:t>46</w:t>
        </w:r>
        <w:r>
          <w:rPr>
            <w:webHidden/>
          </w:rPr>
          <w:fldChar w:fldCharType="end"/>
        </w:r>
      </w:hyperlink>
    </w:p>
    <w:p w14:paraId="430FBF27" w14:textId="77777777" w:rsidR="0006561B" w:rsidRDefault="0006561B">
      <w:pPr>
        <w:pStyle w:val="TDC2"/>
        <w:rPr>
          <w:rFonts w:asciiTheme="minorHAnsi" w:eastAsiaTheme="minorEastAsia" w:hAnsiTheme="minorHAnsi" w:cstheme="minorBidi"/>
          <w:szCs w:val="22"/>
          <w:lang w:val="es-ES" w:eastAsia="es-ES"/>
        </w:rPr>
      </w:pPr>
      <w:hyperlink w:anchor="_Toc404066" w:history="1">
        <w:r w:rsidRPr="003B1501">
          <w:rPr>
            <w:rStyle w:val="Hipervnculo"/>
          </w:rPr>
          <w:t>104.11.   Modificaciones de obra</w:t>
        </w:r>
        <w:r>
          <w:rPr>
            <w:webHidden/>
          </w:rPr>
          <w:tab/>
        </w:r>
        <w:r>
          <w:rPr>
            <w:webHidden/>
          </w:rPr>
          <w:fldChar w:fldCharType="begin"/>
        </w:r>
        <w:r>
          <w:rPr>
            <w:webHidden/>
          </w:rPr>
          <w:instrText xml:space="preserve"> PAGEREF _Toc404066 \h </w:instrText>
        </w:r>
        <w:r>
          <w:rPr>
            <w:webHidden/>
          </w:rPr>
        </w:r>
        <w:r>
          <w:rPr>
            <w:webHidden/>
          </w:rPr>
          <w:fldChar w:fldCharType="separate"/>
        </w:r>
        <w:r w:rsidR="001B26B5">
          <w:rPr>
            <w:webHidden/>
          </w:rPr>
          <w:t>47</w:t>
        </w:r>
        <w:r>
          <w:rPr>
            <w:webHidden/>
          </w:rPr>
          <w:fldChar w:fldCharType="end"/>
        </w:r>
      </w:hyperlink>
    </w:p>
    <w:p w14:paraId="4E2510E3" w14:textId="77777777" w:rsidR="0006561B" w:rsidRDefault="0006561B">
      <w:pPr>
        <w:pStyle w:val="TDC2"/>
        <w:rPr>
          <w:rFonts w:asciiTheme="minorHAnsi" w:eastAsiaTheme="minorEastAsia" w:hAnsiTheme="minorHAnsi" w:cstheme="minorBidi"/>
          <w:szCs w:val="22"/>
          <w:lang w:val="es-ES" w:eastAsia="es-ES"/>
        </w:rPr>
      </w:pPr>
      <w:hyperlink w:anchor="_Toc404067" w:history="1">
        <w:r w:rsidRPr="003B1501">
          <w:rPr>
            <w:rStyle w:val="Hipervnculo"/>
          </w:rPr>
          <w:t>104.12.   Seguridad y Salud en las Obras</w:t>
        </w:r>
        <w:r>
          <w:rPr>
            <w:webHidden/>
          </w:rPr>
          <w:tab/>
        </w:r>
        <w:r>
          <w:rPr>
            <w:webHidden/>
          </w:rPr>
          <w:fldChar w:fldCharType="begin"/>
        </w:r>
        <w:r>
          <w:rPr>
            <w:webHidden/>
          </w:rPr>
          <w:instrText xml:space="preserve"> PAGEREF _Toc404067 \h </w:instrText>
        </w:r>
        <w:r>
          <w:rPr>
            <w:webHidden/>
          </w:rPr>
        </w:r>
        <w:r>
          <w:rPr>
            <w:webHidden/>
          </w:rPr>
          <w:fldChar w:fldCharType="separate"/>
        </w:r>
        <w:r w:rsidR="001B26B5">
          <w:rPr>
            <w:webHidden/>
          </w:rPr>
          <w:t>47</w:t>
        </w:r>
        <w:r>
          <w:rPr>
            <w:webHidden/>
          </w:rPr>
          <w:fldChar w:fldCharType="end"/>
        </w:r>
      </w:hyperlink>
    </w:p>
    <w:p w14:paraId="7F05A682" w14:textId="77777777" w:rsidR="0006561B" w:rsidRDefault="0006561B">
      <w:pPr>
        <w:pStyle w:val="TDC2"/>
        <w:rPr>
          <w:rFonts w:asciiTheme="minorHAnsi" w:eastAsiaTheme="minorEastAsia" w:hAnsiTheme="minorHAnsi" w:cstheme="minorBidi"/>
          <w:szCs w:val="22"/>
          <w:lang w:val="es-ES" w:eastAsia="es-ES"/>
        </w:rPr>
      </w:pPr>
      <w:hyperlink w:anchor="_Toc404068" w:history="1">
        <w:r w:rsidRPr="003B1501">
          <w:rPr>
            <w:rStyle w:val="Hipervnculo"/>
          </w:rPr>
          <w:t>104.13.   Limpieza y terminación de las obras</w:t>
        </w:r>
        <w:r>
          <w:rPr>
            <w:webHidden/>
          </w:rPr>
          <w:tab/>
        </w:r>
        <w:r>
          <w:rPr>
            <w:webHidden/>
          </w:rPr>
          <w:fldChar w:fldCharType="begin"/>
        </w:r>
        <w:r>
          <w:rPr>
            <w:webHidden/>
          </w:rPr>
          <w:instrText xml:space="preserve"> PAGEREF _Toc404068 \h </w:instrText>
        </w:r>
        <w:r>
          <w:rPr>
            <w:webHidden/>
          </w:rPr>
        </w:r>
        <w:r>
          <w:rPr>
            <w:webHidden/>
          </w:rPr>
          <w:fldChar w:fldCharType="separate"/>
        </w:r>
        <w:r w:rsidR="001B26B5">
          <w:rPr>
            <w:webHidden/>
          </w:rPr>
          <w:t>47</w:t>
        </w:r>
        <w:r>
          <w:rPr>
            <w:webHidden/>
          </w:rPr>
          <w:fldChar w:fldCharType="end"/>
        </w:r>
      </w:hyperlink>
    </w:p>
    <w:p w14:paraId="16D1C576" w14:textId="77777777" w:rsidR="0006561B" w:rsidRDefault="0006561B">
      <w:pPr>
        <w:pStyle w:val="TDC2"/>
        <w:rPr>
          <w:rFonts w:asciiTheme="minorHAnsi" w:eastAsiaTheme="minorEastAsia" w:hAnsiTheme="minorHAnsi" w:cstheme="minorBidi"/>
          <w:szCs w:val="22"/>
          <w:lang w:val="es-ES" w:eastAsia="es-ES"/>
        </w:rPr>
      </w:pPr>
      <w:hyperlink w:anchor="_Toc404069" w:history="1">
        <w:r w:rsidRPr="003B1501">
          <w:rPr>
            <w:rStyle w:val="Hipervnculo"/>
          </w:rPr>
          <w:t>104.14.   Ejecución de las obras no especificadas en este Pliego</w:t>
        </w:r>
        <w:r>
          <w:rPr>
            <w:webHidden/>
          </w:rPr>
          <w:tab/>
        </w:r>
        <w:r>
          <w:rPr>
            <w:webHidden/>
          </w:rPr>
          <w:fldChar w:fldCharType="begin"/>
        </w:r>
        <w:r>
          <w:rPr>
            <w:webHidden/>
          </w:rPr>
          <w:instrText xml:space="preserve"> PAGEREF _Toc404069 \h </w:instrText>
        </w:r>
        <w:r>
          <w:rPr>
            <w:webHidden/>
          </w:rPr>
        </w:r>
        <w:r>
          <w:rPr>
            <w:webHidden/>
          </w:rPr>
          <w:fldChar w:fldCharType="separate"/>
        </w:r>
        <w:r w:rsidR="001B26B5">
          <w:rPr>
            <w:webHidden/>
          </w:rPr>
          <w:t>47</w:t>
        </w:r>
        <w:r>
          <w:rPr>
            <w:webHidden/>
          </w:rPr>
          <w:fldChar w:fldCharType="end"/>
        </w:r>
      </w:hyperlink>
    </w:p>
    <w:p w14:paraId="0890F9A4" w14:textId="77777777" w:rsidR="0006561B" w:rsidRDefault="0006561B">
      <w:pPr>
        <w:pStyle w:val="TDC2"/>
        <w:rPr>
          <w:rFonts w:asciiTheme="minorHAnsi" w:eastAsiaTheme="minorEastAsia" w:hAnsiTheme="minorHAnsi" w:cstheme="minorBidi"/>
          <w:szCs w:val="22"/>
          <w:lang w:val="es-ES" w:eastAsia="es-ES"/>
        </w:rPr>
      </w:pPr>
      <w:hyperlink w:anchor="_Toc404070" w:history="1">
        <w:r w:rsidRPr="003B1501">
          <w:rPr>
            <w:rStyle w:val="Hipervnculo"/>
          </w:rPr>
          <w:t>104.15.   Instalaciones auxiliares</w:t>
        </w:r>
        <w:r>
          <w:rPr>
            <w:webHidden/>
          </w:rPr>
          <w:tab/>
        </w:r>
        <w:r>
          <w:rPr>
            <w:webHidden/>
          </w:rPr>
          <w:fldChar w:fldCharType="begin"/>
        </w:r>
        <w:r>
          <w:rPr>
            <w:webHidden/>
          </w:rPr>
          <w:instrText xml:space="preserve"> PAGEREF _Toc404070 \h </w:instrText>
        </w:r>
        <w:r>
          <w:rPr>
            <w:webHidden/>
          </w:rPr>
        </w:r>
        <w:r>
          <w:rPr>
            <w:webHidden/>
          </w:rPr>
          <w:fldChar w:fldCharType="separate"/>
        </w:r>
        <w:r w:rsidR="001B26B5">
          <w:rPr>
            <w:webHidden/>
          </w:rPr>
          <w:t>47</w:t>
        </w:r>
        <w:r>
          <w:rPr>
            <w:webHidden/>
          </w:rPr>
          <w:fldChar w:fldCharType="end"/>
        </w:r>
      </w:hyperlink>
    </w:p>
    <w:p w14:paraId="3CC5BDC7" w14:textId="77777777" w:rsidR="0006561B" w:rsidRDefault="0006561B">
      <w:pPr>
        <w:pStyle w:val="TDC2"/>
        <w:rPr>
          <w:rFonts w:asciiTheme="minorHAnsi" w:eastAsiaTheme="minorEastAsia" w:hAnsiTheme="minorHAnsi" w:cstheme="minorBidi"/>
          <w:szCs w:val="22"/>
          <w:lang w:val="es-ES" w:eastAsia="es-ES"/>
        </w:rPr>
      </w:pPr>
      <w:hyperlink w:anchor="_Toc404071" w:history="1">
        <w:r w:rsidRPr="003B1501">
          <w:rPr>
            <w:rStyle w:val="Hipervnculo"/>
          </w:rPr>
          <w:t>104.16.   Conservación del Medio Ambiente</w:t>
        </w:r>
        <w:r>
          <w:rPr>
            <w:webHidden/>
          </w:rPr>
          <w:tab/>
        </w:r>
        <w:r>
          <w:rPr>
            <w:webHidden/>
          </w:rPr>
          <w:fldChar w:fldCharType="begin"/>
        </w:r>
        <w:r>
          <w:rPr>
            <w:webHidden/>
          </w:rPr>
          <w:instrText xml:space="preserve"> PAGEREF _Toc404071 \h </w:instrText>
        </w:r>
        <w:r>
          <w:rPr>
            <w:webHidden/>
          </w:rPr>
        </w:r>
        <w:r>
          <w:rPr>
            <w:webHidden/>
          </w:rPr>
          <w:fldChar w:fldCharType="separate"/>
        </w:r>
        <w:r w:rsidR="001B26B5">
          <w:rPr>
            <w:webHidden/>
          </w:rPr>
          <w:t>48</w:t>
        </w:r>
        <w:r>
          <w:rPr>
            <w:webHidden/>
          </w:rPr>
          <w:fldChar w:fldCharType="end"/>
        </w:r>
      </w:hyperlink>
    </w:p>
    <w:p w14:paraId="090E53C9" w14:textId="77777777" w:rsidR="0006561B" w:rsidRDefault="0006561B">
      <w:pPr>
        <w:pStyle w:val="TDC2"/>
        <w:rPr>
          <w:rFonts w:asciiTheme="minorHAnsi" w:eastAsiaTheme="minorEastAsia" w:hAnsiTheme="minorHAnsi" w:cstheme="minorBidi"/>
          <w:szCs w:val="22"/>
          <w:lang w:val="es-ES" w:eastAsia="es-ES"/>
        </w:rPr>
      </w:pPr>
      <w:hyperlink w:anchor="_Toc404072" w:history="1">
        <w:r w:rsidRPr="003B1501">
          <w:rPr>
            <w:rStyle w:val="Hipervnculo"/>
          </w:rPr>
          <w:t>104.17.   Protección del tráfico</w:t>
        </w:r>
        <w:r>
          <w:rPr>
            <w:webHidden/>
          </w:rPr>
          <w:tab/>
        </w:r>
        <w:r>
          <w:rPr>
            <w:webHidden/>
          </w:rPr>
          <w:fldChar w:fldCharType="begin"/>
        </w:r>
        <w:r>
          <w:rPr>
            <w:webHidden/>
          </w:rPr>
          <w:instrText xml:space="preserve"> PAGEREF _Toc404072 \h </w:instrText>
        </w:r>
        <w:r>
          <w:rPr>
            <w:webHidden/>
          </w:rPr>
        </w:r>
        <w:r>
          <w:rPr>
            <w:webHidden/>
          </w:rPr>
          <w:fldChar w:fldCharType="separate"/>
        </w:r>
        <w:r w:rsidR="001B26B5">
          <w:rPr>
            <w:webHidden/>
          </w:rPr>
          <w:t>48</w:t>
        </w:r>
        <w:r>
          <w:rPr>
            <w:webHidden/>
          </w:rPr>
          <w:fldChar w:fldCharType="end"/>
        </w:r>
      </w:hyperlink>
    </w:p>
    <w:p w14:paraId="05B10D5B" w14:textId="77777777" w:rsidR="0006561B" w:rsidRDefault="0006561B">
      <w:pPr>
        <w:pStyle w:val="TDC2"/>
        <w:rPr>
          <w:rFonts w:asciiTheme="minorHAnsi" w:eastAsiaTheme="minorEastAsia" w:hAnsiTheme="minorHAnsi" w:cstheme="minorBidi"/>
          <w:szCs w:val="22"/>
          <w:lang w:val="es-ES" w:eastAsia="es-ES"/>
        </w:rPr>
      </w:pPr>
      <w:hyperlink w:anchor="_Toc404073" w:history="1">
        <w:r w:rsidRPr="003B1501">
          <w:rPr>
            <w:rStyle w:val="Hipervnculo"/>
          </w:rPr>
          <w:t>104.18.   Estudios complementarios</w:t>
        </w:r>
        <w:r>
          <w:rPr>
            <w:webHidden/>
          </w:rPr>
          <w:tab/>
        </w:r>
        <w:r>
          <w:rPr>
            <w:webHidden/>
          </w:rPr>
          <w:fldChar w:fldCharType="begin"/>
        </w:r>
        <w:r>
          <w:rPr>
            <w:webHidden/>
          </w:rPr>
          <w:instrText xml:space="preserve"> PAGEREF _Toc404073 \h </w:instrText>
        </w:r>
        <w:r>
          <w:rPr>
            <w:webHidden/>
          </w:rPr>
        </w:r>
        <w:r>
          <w:rPr>
            <w:webHidden/>
          </w:rPr>
          <w:fldChar w:fldCharType="separate"/>
        </w:r>
        <w:r w:rsidR="001B26B5">
          <w:rPr>
            <w:webHidden/>
          </w:rPr>
          <w:t>48</w:t>
        </w:r>
        <w:r>
          <w:rPr>
            <w:webHidden/>
          </w:rPr>
          <w:fldChar w:fldCharType="end"/>
        </w:r>
      </w:hyperlink>
    </w:p>
    <w:p w14:paraId="745A0C89" w14:textId="77777777" w:rsidR="0006561B" w:rsidRDefault="0006561B">
      <w:pPr>
        <w:pStyle w:val="TDC1"/>
        <w:rPr>
          <w:rFonts w:asciiTheme="minorHAnsi" w:eastAsiaTheme="minorEastAsia" w:hAnsiTheme="minorHAnsi" w:cstheme="minorBidi"/>
          <w:b w:val="0"/>
          <w:sz w:val="22"/>
          <w:szCs w:val="22"/>
          <w:lang w:val="es-ES" w:eastAsia="es-ES"/>
        </w:rPr>
      </w:pPr>
      <w:hyperlink w:anchor="_Toc404074" w:history="1">
        <w:r w:rsidRPr="003B1501">
          <w:rPr>
            <w:rStyle w:val="Hipervnculo"/>
          </w:rPr>
          <w:t>Artículo 105. Responsabilidades especiales del Contratista</w:t>
        </w:r>
        <w:r>
          <w:rPr>
            <w:webHidden/>
          </w:rPr>
          <w:tab/>
        </w:r>
        <w:r>
          <w:rPr>
            <w:webHidden/>
          </w:rPr>
          <w:fldChar w:fldCharType="begin"/>
        </w:r>
        <w:r>
          <w:rPr>
            <w:webHidden/>
          </w:rPr>
          <w:instrText xml:space="preserve"> PAGEREF _Toc404074 \h </w:instrText>
        </w:r>
        <w:r>
          <w:rPr>
            <w:webHidden/>
          </w:rPr>
        </w:r>
        <w:r>
          <w:rPr>
            <w:webHidden/>
          </w:rPr>
          <w:fldChar w:fldCharType="separate"/>
        </w:r>
        <w:r w:rsidR="001B26B5">
          <w:rPr>
            <w:webHidden/>
          </w:rPr>
          <w:t>49</w:t>
        </w:r>
        <w:r>
          <w:rPr>
            <w:webHidden/>
          </w:rPr>
          <w:fldChar w:fldCharType="end"/>
        </w:r>
      </w:hyperlink>
    </w:p>
    <w:p w14:paraId="3D9FD19D" w14:textId="77777777" w:rsidR="0006561B" w:rsidRDefault="0006561B">
      <w:pPr>
        <w:pStyle w:val="TDC2"/>
        <w:rPr>
          <w:rFonts w:asciiTheme="minorHAnsi" w:eastAsiaTheme="minorEastAsia" w:hAnsiTheme="minorHAnsi" w:cstheme="minorBidi"/>
          <w:szCs w:val="22"/>
          <w:lang w:val="es-ES" w:eastAsia="es-ES"/>
        </w:rPr>
      </w:pPr>
      <w:hyperlink w:anchor="_Toc404075" w:history="1">
        <w:r w:rsidRPr="003B1501">
          <w:rPr>
            <w:rStyle w:val="Hipervnculo"/>
          </w:rPr>
          <w:t xml:space="preserve">105.1. </w:t>
        </w:r>
        <w:r>
          <w:rPr>
            <w:rFonts w:asciiTheme="minorHAnsi" w:eastAsiaTheme="minorEastAsia" w:hAnsiTheme="minorHAnsi" w:cstheme="minorBidi"/>
            <w:szCs w:val="22"/>
            <w:lang w:val="es-ES" w:eastAsia="es-ES"/>
          </w:rPr>
          <w:tab/>
        </w:r>
        <w:r w:rsidRPr="003B1501">
          <w:rPr>
            <w:rStyle w:val="Hipervnculo"/>
          </w:rPr>
          <w:t>Daños y perjuicios</w:t>
        </w:r>
        <w:r>
          <w:rPr>
            <w:webHidden/>
          </w:rPr>
          <w:tab/>
        </w:r>
        <w:r>
          <w:rPr>
            <w:webHidden/>
          </w:rPr>
          <w:fldChar w:fldCharType="begin"/>
        </w:r>
        <w:r>
          <w:rPr>
            <w:webHidden/>
          </w:rPr>
          <w:instrText xml:space="preserve"> PAGEREF _Toc404075 \h </w:instrText>
        </w:r>
        <w:r>
          <w:rPr>
            <w:webHidden/>
          </w:rPr>
        </w:r>
        <w:r>
          <w:rPr>
            <w:webHidden/>
          </w:rPr>
          <w:fldChar w:fldCharType="separate"/>
        </w:r>
        <w:r w:rsidR="001B26B5">
          <w:rPr>
            <w:webHidden/>
          </w:rPr>
          <w:t>49</w:t>
        </w:r>
        <w:r>
          <w:rPr>
            <w:webHidden/>
          </w:rPr>
          <w:fldChar w:fldCharType="end"/>
        </w:r>
      </w:hyperlink>
    </w:p>
    <w:p w14:paraId="373958F7" w14:textId="77777777" w:rsidR="0006561B" w:rsidRDefault="0006561B">
      <w:pPr>
        <w:pStyle w:val="TDC2"/>
        <w:rPr>
          <w:rFonts w:asciiTheme="minorHAnsi" w:eastAsiaTheme="minorEastAsia" w:hAnsiTheme="minorHAnsi" w:cstheme="minorBidi"/>
          <w:szCs w:val="22"/>
          <w:lang w:val="es-ES" w:eastAsia="es-ES"/>
        </w:rPr>
      </w:pPr>
      <w:hyperlink w:anchor="_Toc404076" w:history="1">
        <w:r w:rsidRPr="003B1501">
          <w:rPr>
            <w:rStyle w:val="Hipervnculo"/>
          </w:rPr>
          <w:t xml:space="preserve">105.4. </w:t>
        </w:r>
        <w:r>
          <w:rPr>
            <w:rFonts w:asciiTheme="minorHAnsi" w:eastAsiaTheme="minorEastAsia" w:hAnsiTheme="minorHAnsi" w:cstheme="minorBidi"/>
            <w:szCs w:val="22"/>
            <w:lang w:val="es-ES" w:eastAsia="es-ES"/>
          </w:rPr>
          <w:tab/>
        </w:r>
        <w:r w:rsidRPr="003B1501">
          <w:rPr>
            <w:rStyle w:val="Hipervnculo"/>
          </w:rPr>
          <w:t>Permisos y licencias</w:t>
        </w:r>
        <w:r>
          <w:rPr>
            <w:webHidden/>
          </w:rPr>
          <w:tab/>
        </w:r>
        <w:r>
          <w:rPr>
            <w:webHidden/>
          </w:rPr>
          <w:fldChar w:fldCharType="begin"/>
        </w:r>
        <w:r>
          <w:rPr>
            <w:webHidden/>
          </w:rPr>
          <w:instrText xml:space="preserve"> PAGEREF _Toc404076 \h </w:instrText>
        </w:r>
        <w:r>
          <w:rPr>
            <w:webHidden/>
          </w:rPr>
        </w:r>
        <w:r>
          <w:rPr>
            <w:webHidden/>
          </w:rPr>
          <w:fldChar w:fldCharType="separate"/>
        </w:r>
        <w:r w:rsidR="001B26B5">
          <w:rPr>
            <w:webHidden/>
          </w:rPr>
          <w:t>49</w:t>
        </w:r>
        <w:r>
          <w:rPr>
            <w:webHidden/>
          </w:rPr>
          <w:fldChar w:fldCharType="end"/>
        </w:r>
      </w:hyperlink>
    </w:p>
    <w:p w14:paraId="2E16C8E8" w14:textId="77777777" w:rsidR="0006561B" w:rsidRDefault="0006561B">
      <w:pPr>
        <w:pStyle w:val="TDC2"/>
        <w:rPr>
          <w:rFonts w:asciiTheme="minorHAnsi" w:eastAsiaTheme="minorEastAsia" w:hAnsiTheme="minorHAnsi" w:cstheme="minorBidi"/>
          <w:szCs w:val="22"/>
          <w:lang w:val="es-ES" w:eastAsia="es-ES"/>
        </w:rPr>
      </w:pPr>
      <w:hyperlink w:anchor="_Toc404077" w:history="1">
        <w:r w:rsidRPr="003B1501">
          <w:rPr>
            <w:rStyle w:val="Hipervnculo"/>
          </w:rPr>
          <w:t xml:space="preserve">105.5.  </w:t>
        </w:r>
        <w:r>
          <w:rPr>
            <w:rFonts w:asciiTheme="minorHAnsi" w:eastAsiaTheme="minorEastAsia" w:hAnsiTheme="minorHAnsi" w:cstheme="minorBidi"/>
            <w:szCs w:val="22"/>
            <w:lang w:val="es-ES" w:eastAsia="es-ES"/>
          </w:rPr>
          <w:tab/>
        </w:r>
        <w:r w:rsidRPr="003B1501">
          <w:rPr>
            <w:rStyle w:val="Hipervnculo"/>
          </w:rPr>
          <w:t>Recepción de materiales</w:t>
        </w:r>
        <w:r>
          <w:rPr>
            <w:webHidden/>
          </w:rPr>
          <w:tab/>
        </w:r>
        <w:r>
          <w:rPr>
            <w:webHidden/>
          </w:rPr>
          <w:fldChar w:fldCharType="begin"/>
        </w:r>
        <w:r>
          <w:rPr>
            <w:webHidden/>
          </w:rPr>
          <w:instrText xml:space="preserve"> PAGEREF _Toc404077 \h </w:instrText>
        </w:r>
        <w:r>
          <w:rPr>
            <w:webHidden/>
          </w:rPr>
        </w:r>
        <w:r>
          <w:rPr>
            <w:webHidden/>
          </w:rPr>
          <w:fldChar w:fldCharType="separate"/>
        </w:r>
        <w:r w:rsidR="001B26B5">
          <w:rPr>
            <w:webHidden/>
          </w:rPr>
          <w:t>49</w:t>
        </w:r>
        <w:r>
          <w:rPr>
            <w:webHidden/>
          </w:rPr>
          <w:fldChar w:fldCharType="end"/>
        </w:r>
      </w:hyperlink>
    </w:p>
    <w:p w14:paraId="3B264991" w14:textId="77777777" w:rsidR="0006561B" w:rsidRDefault="0006561B">
      <w:pPr>
        <w:pStyle w:val="TDC1"/>
        <w:rPr>
          <w:rFonts w:asciiTheme="minorHAnsi" w:eastAsiaTheme="minorEastAsia" w:hAnsiTheme="minorHAnsi" w:cstheme="minorBidi"/>
          <w:b w:val="0"/>
          <w:sz w:val="22"/>
          <w:szCs w:val="22"/>
          <w:lang w:val="es-ES" w:eastAsia="es-ES"/>
        </w:rPr>
      </w:pPr>
      <w:r>
        <w:rPr>
          <w:rStyle w:val="Hipervnculo"/>
        </w:rPr>
        <w:br w:type="column"/>
      </w:r>
      <w:hyperlink w:anchor="_Toc404078" w:history="1">
        <w:r w:rsidRPr="003B1501">
          <w:rPr>
            <w:rStyle w:val="Hipervnculo"/>
          </w:rPr>
          <w:t>Artículo 106.- Medición y abono de la obra</w:t>
        </w:r>
        <w:r>
          <w:rPr>
            <w:webHidden/>
          </w:rPr>
          <w:tab/>
        </w:r>
        <w:r>
          <w:rPr>
            <w:webHidden/>
          </w:rPr>
          <w:fldChar w:fldCharType="begin"/>
        </w:r>
        <w:r>
          <w:rPr>
            <w:webHidden/>
          </w:rPr>
          <w:instrText xml:space="preserve"> PAGEREF _Toc404078 \h </w:instrText>
        </w:r>
        <w:r>
          <w:rPr>
            <w:webHidden/>
          </w:rPr>
        </w:r>
        <w:r>
          <w:rPr>
            <w:webHidden/>
          </w:rPr>
          <w:fldChar w:fldCharType="separate"/>
        </w:r>
        <w:r w:rsidR="001B26B5">
          <w:rPr>
            <w:webHidden/>
          </w:rPr>
          <w:t>50</w:t>
        </w:r>
        <w:r>
          <w:rPr>
            <w:webHidden/>
          </w:rPr>
          <w:fldChar w:fldCharType="end"/>
        </w:r>
      </w:hyperlink>
    </w:p>
    <w:p w14:paraId="46E11EFC" w14:textId="77777777" w:rsidR="0006561B" w:rsidRDefault="0006561B">
      <w:pPr>
        <w:pStyle w:val="TDC2"/>
        <w:rPr>
          <w:rFonts w:asciiTheme="minorHAnsi" w:eastAsiaTheme="minorEastAsia" w:hAnsiTheme="minorHAnsi" w:cstheme="minorBidi"/>
          <w:szCs w:val="22"/>
          <w:lang w:val="es-ES" w:eastAsia="es-ES"/>
        </w:rPr>
      </w:pPr>
      <w:hyperlink w:anchor="_Toc404079" w:history="1">
        <w:r w:rsidRPr="003B1501">
          <w:rPr>
            <w:rStyle w:val="Hipervnculo"/>
          </w:rPr>
          <w:t xml:space="preserve">106.1. </w:t>
        </w:r>
        <w:r>
          <w:rPr>
            <w:rFonts w:asciiTheme="minorHAnsi" w:eastAsiaTheme="minorEastAsia" w:hAnsiTheme="minorHAnsi" w:cstheme="minorBidi"/>
            <w:szCs w:val="22"/>
            <w:lang w:val="es-ES" w:eastAsia="es-ES"/>
          </w:rPr>
          <w:tab/>
        </w:r>
        <w:r w:rsidRPr="003B1501">
          <w:rPr>
            <w:rStyle w:val="Hipervnculo"/>
          </w:rPr>
          <w:t>Medición de las obras</w:t>
        </w:r>
        <w:r>
          <w:rPr>
            <w:webHidden/>
          </w:rPr>
          <w:tab/>
        </w:r>
        <w:r>
          <w:rPr>
            <w:webHidden/>
          </w:rPr>
          <w:fldChar w:fldCharType="begin"/>
        </w:r>
        <w:r>
          <w:rPr>
            <w:webHidden/>
          </w:rPr>
          <w:instrText xml:space="preserve"> PAGEREF _Toc404079 \h </w:instrText>
        </w:r>
        <w:r>
          <w:rPr>
            <w:webHidden/>
          </w:rPr>
        </w:r>
        <w:r>
          <w:rPr>
            <w:webHidden/>
          </w:rPr>
          <w:fldChar w:fldCharType="separate"/>
        </w:r>
        <w:r w:rsidR="001B26B5">
          <w:rPr>
            <w:webHidden/>
          </w:rPr>
          <w:t>50</w:t>
        </w:r>
        <w:r>
          <w:rPr>
            <w:webHidden/>
          </w:rPr>
          <w:fldChar w:fldCharType="end"/>
        </w:r>
      </w:hyperlink>
    </w:p>
    <w:p w14:paraId="456E852F" w14:textId="77777777" w:rsidR="0006561B" w:rsidRDefault="0006561B">
      <w:pPr>
        <w:pStyle w:val="TDC2"/>
        <w:rPr>
          <w:rFonts w:asciiTheme="minorHAnsi" w:eastAsiaTheme="minorEastAsia" w:hAnsiTheme="minorHAnsi" w:cstheme="minorBidi"/>
          <w:szCs w:val="22"/>
          <w:lang w:val="es-ES" w:eastAsia="es-ES"/>
        </w:rPr>
      </w:pPr>
      <w:hyperlink w:anchor="_Toc404080" w:history="1">
        <w:r w:rsidRPr="003B1501">
          <w:rPr>
            <w:rStyle w:val="Hipervnculo"/>
          </w:rPr>
          <w:t xml:space="preserve">106.2. </w:t>
        </w:r>
        <w:r>
          <w:rPr>
            <w:rFonts w:asciiTheme="minorHAnsi" w:eastAsiaTheme="minorEastAsia" w:hAnsiTheme="minorHAnsi" w:cstheme="minorBidi"/>
            <w:szCs w:val="22"/>
            <w:lang w:val="es-ES" w:eastAsia="es-ES"/>
          </w:rPr>
          <w:tab/>
        </w:r>
        <w:r w:rsidRPr="003B1501">
          <w:rPr>
            <w:rStyle w:val="Hipervnculo"/>
          </w:rPr>
          <w:t>Abono de las obras</w:t>
        </w:r>
        <w:r>
          <w:rPr>
            <w:webHidden/>
          </w:rPr>
          <w:tab/>
        </w:r>
        <w:r>
          <w:rPr>
            <w:webHidden/>
          </w:rPr>
          <w:fldChar w:fldCharType="begin"/>
        </w:r>
        <w:r>
          <w:rPr>
            <w:webHidden/>
          </w:rPr>
          <w:instrText xml:space="preserve"> PAGEREF _Toc404080 \h </w:instrText>
        </w:r>
        <w:r>
          <w:rPr>
            <w:webHidden/>
          </w:rPr>
        </w:r>
        <w:r>
          <w:rPr>
            <w:webHidden/>
          </w:rPr>
          <w:fldChar w:fldCharType="separate"/>
        </w:r>
        <w:r w:rsidR="001B26B5">
          <w:rPr>
            <w:webHidden/>
          </w:rPr>
          <w:t>51</w:t>
        </w:r>
        <w:r>
          <w:rPr>
            <w:webHidden/>
          </w:rPr>
          <w:fldChar w:fldCharType="end"/>
        </w:r>
      </w:hyperlink>
    </w:p>
    <w:p w14:paraId="3BF83B89" w14:textId="77777777" w:rsidR="0006561B" w:rsidRDefault="0006561B">
      <w:pPr>
        <w:pStyle w:val="TDC2"/>
        <w:rPr>
          <w:rFonts w:asciiTheme="minorHAnsi" w:eastAsiaTheme="minorEastAsia" w:hAnsiTheme="minorHAnsi" w:cstheme="minorBidi"/>
          <w:szCs w:val="22"/>
          <w:lang w:val="es-ES" w:eastAsia="es-ES"/>
        </w:rPr>
      </w:pPr>
      <w:hyperlink w:anchor="_Toc404081" w:history="1">
        <w:r w:rsidRPr="003B1501">
          <w:rPr>
            <w:rStyle w:val="Hipervnculo"/>
          </w:rPr>
          <w:t xml:space="preserve">106.4. </w:t>
        </w:r>
        <w:r>
          <w:rPr>
            <w:rFonts w:asciiTheme="minorHAnsi" w:eastAsiaTheme="minorEastAsia" w:hAnsiTheme="minorHAnsi" w:cstheme="minorBidi"/>
            <w:szCs w:val="22"/>
            <w:lang w:val="es-ES" w:eastAsia="es-ES"/>
          </w:rPr>
          <w:tab/>
        </w:r>
        <w:r w:rsidRPr="003B1501">
          <w:rPr>
            <w:rStyle w:val="Hipervnculo"/>
          </w:rPr>
          <w:t>Variación de dosificaciones</w:t>
        </w:r>
        <w:r>
          <w:rPr>
            <w:webHidden/>
          </w:rPr>
          <w:tab/>
        </w:r>
        <w:r>
          <w:rPr>
            <w:webHidden/>
          </w:rPr>
          <w:fldChar w:fldCharType="begin"/>
        </w:r>
        <w:r>
          <w:rPr>
            <w:webHidden/>
          </w:rPr>
          <w:instrText xml:space="preserve"> PAGEREF _Toc404081 \h </w:instrText>
        </w:r>
        <w:r>
          <w:rPr>
            <w:webHidden/>
          </w:rPr>
        </w:r>
        <w:r>
          <w:rPr>
            <w:webHidden/>
          </w:rPr>
          <w:fldChar w:fldCharType="separate"/>
        </w:r>
        <w:r w:rsidR="001B26B5">
          <w:rPr>
            <w:webHidden/>
          </w:rPr>
          <w:t>51</w:t>
        </w:r>
        <w:r>
          <w:rPr>
            <w:webHidden/>
          </w:rPr>
          <w:fldChar w:fldCharType="end"/>
        </w:r>
      </w:hyperlink>
    </w:p>
    <w:p w14:paraId="3D10B9FB" w14:textId="77777777" w:rsidR="0006561B" w:rsidRDefault="0006561B">
      <w:pPr>
        <w:pStyle w:val="TDC2"/>
        <w:rPr>
          <w:rFonts w:asciiTheme="minorHAnsi" w:eastAsiaTheme="minorEastAsia" w:hAnsiTheme="minorHAnsi" w:cstheme="minorBidi"/>
          <w:szCs w:val="22"/>
          <w:lang w:val="es-ES" w:eastAsia="es-ES"/>
        </w:rPr>
      </w:pPr>
      <w:hyperlink w:anchor="_Toc404082" w:history="1">
        <w:r w:rsidRPr="003B1501">
          <w:rPr>
            <w:rStyle w:val="Hipervnculo"/>
          </w:rPr>
          <w:t xml:space="preserve">106.5. </w:t>
        </w:r>
        <w:r>
          <w:rPr>
            <w:rFonts w:asciiTheme="minorHAnsi" w:eastAsiaTheme="minorEastAsia" w:hAnsiTheme="minorHAnsi" w:cstheme="minorBidi"/>
            <w:szCs w:val="22"/>
            <w:lang w:val="es-ES" w:eastAsia="es-ES"/>
          </w:rPr>
          <w:tab/>
        </w:r>
        <w:r w:rsidRPr="003B1501">
          <w:rPr>
            <w:rStyle w:val="Hipervnculo"/>
          </w:rPr>
          <w:t>Gastos relativos a préstamos, yacimientos, canteras y vertederos</w:t>
        </w:r>
        <w:r>
          <w:rPr>
            <w:webHidden/>
          </w:rPr>
          <w:tab/>
        </w:r>
        <w:r>
          <w:rPr>
            <w:webHidden/>
          </w:rPr>
          <w:fldChar w:fldCharType="begin"/>
        </w:r>
        <w:r>
          <w:rPr>
            <w:webHidden/>
          </w:rPr>
          <w:instrText xml:space="preserve"> PAGEREF _Toc404082 \h </w:instrText>
        </w:r>
        <w:r>
          <w:rPr>
            <w:webHidden/>
          </w:rPr>
        </w:r>
        <w:r>
          <w:rPr>
            <w:webHidden/>
          </w:rPr>
          <w:fldChar w:fldCharType="separate"/>
        </w:r>
        <w:r w:rsidR="001B26B5">
          <w:rPr>
            <w:webHidden/>
          </w:rPr>
          <w:t>51</w:t>
        </w:r>
        <w:r>
          <w:rPr>
            <w:webHidden/>
          </w:rPr>
          <w:fldChar w:fldCharType="end"/>
        </w:r>
      </w:hyperlink>
    </w:p>
    <w:p w14:paraId="45BBA966" w14:textId="77777777" w:rsidR="0006561B" w:rsidRDefault="0006561B">
      <w:pPr>
        <w:pStyle w:val="TDC1"/>
        <w:rPr>
          <w:rFonts w:asciiTheme="minorHAnsi" w:eastAsiaTheme="minorEastAsia" w:hAnsiTheme="minorHAnsi" w:cstheme="minorBidi"/>
          <w:b w:val="0"/>
          <w:sz w:val="22"/>
          <w:szCs w:val="22"/>
          <w:lang w:val="es-ES" w:eastAsia="es-ES"/>
        </w:rPr>
      </w:pPr>
      <w:hyperlink w:anchor="_Toc404083" w:history="1">
        <w:r w:rsidRPr="003B1501">
          <w:rPr>
            <w:rStyle w:val="Hipervnculo"/>
          </w:rPr>
          <w:t>Artículo 107. Conservación de las obras</w:t>
        </w:r>
        <w:r>
          <w:rPr>
            <w:webHidden/>
          </w:rPr>
          <w:tab/>
        </w:r>
        <w:r>
          <w:rPr>
            <w:webHidden/>
          </w:rPr>
          <w:fldChar w:fldCharType="begin"/>
        </w:r>
        <w:r>
          <w:rPr>
            <w:webHidden/>
          </w:rPr>
          <w:instrText xml:space="preserve"> PAGEREF _Toc404083 \h </w:instrText>
        </w:r>
        <w:r>
          <w:rPr>
            <w:webHidden/>
          </w:rPr>
        </w:r>
        <w:r>
          <w:rPr>
            <w:webHidden/>
          </w:rPr>
          <w:fldChar w:fldCharType="separate"/>
        </w:r>
        <w:r w:rsidR="001B26B5">
          <w:rPr>
            <w:webHidden/>
          </w:rPr>
          <w:t>53</w:t>
        </w:r>
        <w:r>
          <w:rPr>
            <w:webHidden/>
          </w:rPr>
          <w:fldChar w:fldCharType="end"/>
        </w:r>
      </w:hyperlink>
    </w:p>
    <w:p w14:paraId="4B5E9861" w14:textId="77777777" w:rsidR="0006561B" w:rsidRDefault="0006561B">
      <w:pPr>
        <w:pStyle w:val="TDC2"/>
        <w:rPr>
          <w:rFonts w:asciiTheme="minorHAnsi" w:eastAsiaTheme="minorEastAsia" w:hAnsiTheme="minorHAnsi" w:cstheme="minorBidi"/>
          <w:szCs w:val="22"/>
          <w:lang w:val="es-ES" w:eastAsia="es-ES"/>
        </w:rPr>
      </w:pPr>
      <w:hyperlink w:anchor="_Toc404084" w:history="1">
        <w:r w:rsidRPr="003B1501">
          <w:rPr>
            <w:rStyle w:val="Hipervnculo"/>
          </w:rPr>
          <w:t xml:space="preserve">107.1.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_Toc404084 \h </w:instrText>
        </w:r>
        <w:r>
          <w:rPr>
            <w:webHidden/>
          </w:rPr>
        </w:r>
        <w:r>
          <w:rPr>
            <w:webHidden/>
          </w:rPr>
          <w:fldChar w:fldCharType="separate"/>
        </w:r>
        <w:r w:rsidR="001B26B5">
          <w:rPr>
            <w:webHidden/>
          </w:rPr>
          <w:t>53</w:t>
        </w:r>
        <w:r>
          <w:rPr>
            <w:webHidden/>
          </w:rPr>
          <w:fldChar w:fldCharType="end"/>
        </w:r>
      </w:hyperlink>
    </w:p>
    <w:p w14:paraId="0708916A" w14:textId="77777777" w:rsidR="0006561B" w:rsidRDefault="0006561B">
      <w:pPr>
        <w:pStyle w:val="TDC2"/>
        <w:rPr>
          <w:rFonts w:asciiTheme="minorHAnsi" w:eastAsiaTheme="minorEastAsia" w:hAnsiTheme="minorHAnsi" w:cstheme="minorBidi"/>
          <w:szCs w:val="22"/>
          <w:lang w:val="es-ES" w:eastAsia="es-ES"/>
        </w:rPr>
      </w:pPr>
      <w:hyperlink w:anchor="_Toc404085" w:history="1">
        <w:r w:rsidRPr="003B1501">
          <w:rPr>
            <w:rStyle w:val="Hipervnculo"/>
          </w:rPr>
          <w:t xml:space="preserve">107.2.  </w:t>
        </w:r>
        <w:r>
          <w:rPr>
            <w:rFonts w:asciiTheme="minorHAnsi" w:eastAsiaTheme="minorEastAsia" w:hAnsiTheme="minorHAnsi" w:cstheme="minorBidi"/>
            <w:szCs w:val="22"/>
            <w:lang w:val="es-ES" w:eastAsia="es-ES"/>
          </w:rPr>
          <w:tab/>
        </w:r>
        <w:r w:rsidRPr="003B1501">
          <w:rPr>
            <w:rStyle w:val="Hipervnculo"/>
          </w:rPr>
          <w:t>Conservación durante la ejecución de las obras</w:t>
        </w:r>
        <w:r>
          <w:rPr>
            <w:webHidden/>
          </w:rPr>
          <w:tab/>
        </w:r>
        <w:r>
          <w:rPr>
            <w:webHidden/>
          </w:rPr>
          <w:fldChar w:fldCharType="begin"/>
        </w:r>
        <w:r>
          <w:rPr>
            <w:webHidden/>
          </w:rPr>
          <w:instrText xml:space="preserve"> PAGEREF _Toc404085 \h </w:instrText>
        </w:r>
        <w:r>
          <w:rPr>
            <w:webHidden/>
          </w:rPr>
        </w:r>
        <w:r>
          <w:rPr>
            <w:webHidden/>
          </w:rPr>
          <w:fldChar w:fldCharType="separate"/>
        </w:r>
        <w:r w:rsidR="001B26B5">
          <w:rPr>
            <w:webHidden/>
          </w:rPr>
          <w:t>53</w:t>
        </w:r>
        <w:r>
          <w:rPr>
            <w:webHidden/>
          </w:rPr>
          <w:fldChar w:fldCharType="end"/>
        </w:r>
      </w:hyperlink>
    </w:p>
    <w:p w14:paraId="6EBF509E" w14:textId="77777777" w:rsidR="0006561B" w:rsidRDefault="0006561B">
      <w:pPr>
        <w:pStyle w:val="TDC2"/>
        <w:rPr>
          <w:rFonts w:asciiTheme="minorHAnsi" w:eastAsiaTheme="minorEastAsia" w:hAnsiTheme="minorHAnsi" w:cstheme="minorBidi"/>
          <w:szCs w:val="22"/>
          <w:lang w:val="es-ES" w:eastAsia="es-ES"/>
        </w:rPr>
      </w:pPr>
      <w:hyperlink w:anchor="_Toc404086" w:history="1">
        <w:r w:rsidRPr="003B1501">
          <w:rPr>
            <w:rStyle w:val="Hipervnculo"/>
          </w:rPr>
          <w:t>107.3.   Conservación durante el plazo de garantía</w:t>
        </w:r>
        <w:r>
          <w:rPr>
            <w:webHidden/>
          </w:rPr>
          <w:tab/>
        </w:r>
        <w:r>
          <w:rPr>
            <w:webHidden/>
          </w:rPr>
          <w:fldChar w:fldCharType="begin"/>
        </w:r>
        <w:r>
          <w:rPr>
            <w:webHidden/>
          </w:rPr>
          <w:instrText xml:space="preserve"> PAGEREF _Toc404086 \h </w:instrText>
        </w:r>
        <w:r>
          <w:rPr>
            <w:webHidden/>
          </w:rPr>
        </w:r>
        <w:r>
          <w:rPr>
            <w:webHidden/>
          </w:rPr>
          <w:fldChar w:fldCharType="separate"/>
        </w:r>
        <w:r w:rsidR="001B26B5">
          <w:rPr>
            <w:webHidden/>
          </w:rPr>
          <w:t>53</w:t>
        </w:r>
        <w:r>
          <w:rPr>
            <w:webHidden/>
          </w:rPr>
          <w:fldChar w:fldCharType="end"/>
        </w:r>
      </w:hyperlink>
    </w:p>
    <w:p w14:paraId="3C84B7AF" w14:textId="77777777" w:rsidR="0006561B" w:rsidRDefault="0006561B">
      <w:pPr>
        <w:pStyle w:val="TDC2"/>
        <w:rPr>
          <w:rFonts w:asciiTheme="minorHAnsi" w:eastAsiaTheme="minorEastAsia" w:hAnsiTheme="minorHAnsi" w:cstheme="minorBidi"/>
          <w:szCs w:val="22"/>
          <w:lang w:val="es-ES" w:eastAsia="es-ES"/>
        </w:rPr>
      </w:pPr>
      <w:hyperlink w:anchor="_Toc404087" w:history="1">
        <w:r w:rsidRPr="003B1501">
          <w:rPr>
            <w:rStyle w:val="Hipervnculo"/>
          </w:rPr>
          <w:t>107.4.   Desarrollo de los trabajos</w:t>
        </w:r>
        <w:r>
          <w:rPr>
            <w:webHidden/>
          </w:rPr>
          <w:tab/>
        </w:r>
        <w:r>
          <w:rPr>
            <w:webHidden/>
          </w:rPr>
          <w:fldChar w:fldCharType="begin"/>
        </w:r>
        <w:r>
          <w:rPr>
            <w:webHidden/>
          </w:rPr>
          <w:instrText xml:space="preserve"> PAGEREF _Toc404087 \h </w:instrText>
        </w:r>
        <w:r>
          <w:rPr>
            <w:webHidden/>
          </w:rPr>
        </w:r>
        <w:r>
          <w:rPr>
            <w:webHidden/>
          </w:rPr>
          <w:fldChar w:fldCharType="separate"/>
        </w:r>
        <w:r w:rsidR="001B26B5">
          <w:rPr>
            <w:webHidden/>
          </w:rPr>
          <w:t>53</w:t>
        </w:r>
        <w:r>
          <w:rPr>
            <w:webHidden/>
          </w:rPr>
          <w:fldChar w:fldCharType="end"/>
        </w:r>
      </w:hyperlink>
    </w:p>
    <w:p w14:paraId="4A8778D5" w14:textId="77777777" w:rsidR="0006561B" w:rsidRDefault="0006561B">
      <w:pPr>
        <w:pStyle w:val="TDC1"/>
        <w:rPr>
          <w:rFonts w:asciiTheme="minorHAnsi" w:eastAsiaTheme="minorEastAsia" w:hAnsiTheme="minorHAnsi" w:cstheme="minorBidi"/>
          <w:b w:val="0"/>
          <w:sz w:val="22"/>
          <w:szCs w:val="22"/>
          <w:lang w:val="es-ES" w:eastAsia="es-ES"/>
        </w:rPr>
      </w:pPr>
      <w:hyperlink w:anchor="_Toc404088" w:history="1">
        <w:r w:rsidRPr="003B1501">
          <w:rPr>
            <w:rStyle w:val="Hipervnculo"/>
          </w:rPr>
          <w:t>Artículo 108. Dirección de las Obras</w:t>
        </w:r>
        <w:r>
          <w:rPr>
            <w:webHidden/>
          </w:rPr>
          <w:tab/>
        </w:r>
        <w:r>
          <w:rPr>
            <w:webHidden/>
          </w:rPr>
          <w:fldChar w:fldCharType="begin"/>
        </w:r>
        <w:r>
          <w:rPr>
            <w:webHidden/>
          </w:rPr>
          <w:instrText xml:space="preserve"> PAGEREF _Toc404088 \h </w:instrText>
        </w:r>
        <w:r>
          <w:rPr>
            <w:webHidden/>
          </w:rPr>
        </w:r>
        <w:r>
          <w:rPr>
            <w:webHidden/>
          </w:rPr>
          <w:fldChar w:fldCharType="separate"/>
        </w:r>
        <w:r w:rsidR="001B26B5">
          <w:rPr>
            <w:webHidden/>
          </w:rPr>
          <w:t>54</w:t>
        </w:r>
        <w:r>
          <w:rPr>
            <w:webHidden/>
          </w:rPr>
          <w:fldChar w:fldCharType="end"/>
        </w:r>
      </w:hyperlink>
    </w:p>
    <w:p w14:paraId="4A336F6D" w14:textId="77777777" w:rsidR="0006561B" w:rsidRDefault="0006561B">
      <w:pPr>
        <w:pStyle w:val="TDC1"/>
        <w:rPr>
          <w:rFonts w:asciiTheme="minorHAnsi" w:eastAsiaTheme="minorEastAsia" w:hAnsiTheme="minorHAnsi" w:cstheme="minorBidi"/>
          <w:b w:val="0"/>
          <w:sz w:val="22"/>
          <w:szCs w:val="22"/>
          <w:lang w:val="es-ES" w:eastAsia="es-ES"/>
        </w:rPr>
      </w:pPr>
      <w:hyperlink w:anchor="_Toc404089" w:history="1">
        <w:r w:rsidRPr="003B1501">
          <w:rPr>
            <w:rStyle w:val="Hipervnculo"/>
          </w:rPr>
          <w:t>Artículo 109. Publicidad en la obra</w:t>
        </w:r>
        <w:r>
          <w:rPr>
            <w:webHidden/>
          </w:rPr>
          <w:tab/>
        </w:r>
        <w:r>
          <w:rPr>
            <w:webHidden/>
          </w:rPr>
          <w:fldChar w:fldCharType="begin"/>
        </w:r>
        <w:r>
          <w:rPr>
            <w:webHidden/>
          </w:rPr>
          <w:instrText xml:space="preserve"> PAGEREF _Toc404089 \h </w:instrText>
        </w:r>
        <w:r>
          <w:rPr>
            <w:webHidden/>
          </w:rPr>
        </w:r>
        <w:r>
          <w:rPr>
            <w:webHidden/>
          </w:rPr>
          <w:fldChar w:fldCharType="separate"/>
        </w:r>
        <w:r w:rsidR="001B26B5">
          <w:rPr>
            <w:webHidden/>
          </w:rPr>
          <w:t>54</w:t>
        </w:r>
        <w:r>
          <w:rPr>
            <w:webHidden/>
          </w:rPr>
          <w:fldChar w:fldCharType="end"/>
        </w:r>
      </w:hyperlink>
    </w:p>
    <w:p w14:paraId="32467F97" w14:textId="77777777" w:rsidR="0006561B" w:rsidRDefault="0006561B">
      <w:pPr>
        <w:pStyle w:val="TDC1"/>
        <w:rPr>
          <w:rFonts w:asciiTheme="minorHAnsi" w:eastAsiaTheme="minorEastAsia" w:hAnsiTheme="minorHAnsi" w:cstheme="minorBidi"/>
          <w:b w:val="0"/>
          <w:sz w:val="22"/>
          <w:szCs w:val="22"/>
          <w:lang w:val="es-ES" w:eastAsia="es-ES"/>
        </w:rPr>
      </w:pPr>
      <w:hyperlink w:anchor="_Toc404090" w:history="1">
        <w:r w:rsidRPr="003B1501">
          <w:rPr>
            <w:rStyle w:val="Hipervnculo"/>
          </w:rPr>
          <w:t>Artículo 110. Empresas suministradoras de productos</w:t>
        </w:r>
        <w:r>
          <w:rPr>
            <w:webHidden/>
          </w:rPr>
          <w:tab/>
        </w:r>
        <w:r>
          <w:rPr>
            <w:webHidden/>
          </w:rPr>
          <w:fldChar w:fldCharType="begin"/>
        </w:r>
        <w:r>
          <w:rPr>
            <w:webHidden/>
          </w:rPr>
          <w:instrText xml:space="preserve"> PAGEREF _Toc404090 \h </w:instrText>
        </w:r>
        <w:r>
          <w:rPr>
            <w:webHidden/>
          </w:rPr>
        </w:r>
        <w:r>
          <w:rPr>
            <w:webHidden/>
          </w:rPr>
          <w:fldChar w:fldCharType="separate"/>
        </w:r>
        <w:r w:rsidR="001B26B5">
          <w:rPr>
            <w:webHidden/>
          </w:rPr>
          <w:t>55</w:t>
        </w:r>
        <w:r>
          <w:rPr>
            <w:webHidden/>
          </w:rPr>
          <w:fldChar w:fldCharType="end"/>
        </w:r>
      </w:hyperlink>
    </w:p>
    <w:p w14:paraId="55999946" w14:textId="77777777" w:rsidR="0006561B" w:rsidRDefault="0006561B">
      <w:pPr>
        <w:pStyle w:val="TDC1"/>
        <w:rPr>
          <w:rFonts w:asciiTheme="minorHAnsi" w:eastAsiaTheme="minorEastAsia" w:hAnsiTheme="minorHAnsi" w:cstheme="minorBidi"/>
          <w:b w:val="0"/>
          <w:sz w:val="22"/>
          <w:szCs w:val="22"/>
          <w:lang w:val="es-ES" w:eastAsia="es-ES"/>
        </w:rPr>
      </w:pPr>
      <w:hyperlink w:anchor="_Toc404091" w:history="1">
        <w:r w:rsidRPr="003B1501">
          <w:rPr>
            <w:rStyle w:val="Hipervnculo"/>
          </w:rPr>
          <w:t>Artículo 111. Empresa aplicadora de los productos</w:t>
        </w:r>
        <w:r>
          <w:rPr>
            <w:webHidden/>
          </w:rPr>
          <w:tab/>
        </w:r>
        <w:r>
          <w:rPr>
            <w:webHidden/>
          </w:rPr>
          <w:fldChar w:fldCharType="begin"/>
        </w:r>
        <w:r>
          <w:rPr>
            <w:webHidden/>
          </w:rPr>
          <w:instrText xml:space="preserve"> PAGEREF _Toc404091 \h </w:instrText>
        </w:r>
        <w:r>
          <w:rPr>
            <w:webHidden/>
          </w:rPr>
        </w:r>
        <w:r>
          <w:rPr>
            <w:webHidden/>
          </w:rPr>
          <w:fldChar w:fldCharType="separate"/>
        </w:r>
        <w:r w:rsidR="001B26B5">
          <w:rPr>
            <w:webHidden/>
          </w:rPr>
          <w:t>55</w:t>
        </w:r>
        <w:r>
          <w:rPr>
            <w:webHidden/>
          </w:rPr>
          <w:fldChar w:fldCharType="end"/>
        </w:r>
      </w:hyperlink>
    </w:p>
    <w:p w14:paraId="0099EEF8" w14:textId="77777777" w:rsidR="0006561B" w:rsidRPr="0006561B" w:rsidRDefault="0006561B">
      <w:pPr>
        <w:pStyle w:val="TDC1"/>
        <w:rPr>
          <w:rStyle w:val="Hipervnculo"/>
          <w:sz w:val="10"/>
          <w:szCs w:val="10"/>
        </w:rPr>
      </w:pPr>
    </w:p>
    <w:p w14:paraId="2C716016" w14:textId="77777777" w:rsidR="0006561B" w:rsidRDefault="0006561B">
      <w:pPr>
        <w:pStyle w:val="TDC1"/>
        <w:rPr>
          <w:rFonts w:asciiTheme="minorHAnsi" w:eastAsiaTheme="minorEastAsia" w:hAnsiTheme="minorHAnsi" w:cstheme="minorBidi"/>
          <w:b w:val="0"/>
          <w:sz w:val="22"/>
          <w:szCs w:val="22"/>
          <w:lang w:val="es-ES" w:eastAsia="es-ES"/>
        </w:rPr>
      </w:pPr>
      <w:hyperlink w:anchor="_Toc404092" w:history="1">
        <w:r w:rsidRPr="003B1501">
          <w:rPr>
            <w:rStyle w:val="Hipervnculo"/>
          </w:rPr>
          <w:t>Parte 2.- Materiales básicos</w:t>
        </w:r>
        <w:r>
          <w:rPr>
            <w:webHidden/>
          </w:rPr>
          <w:tab/>
        </w:r>
        <w:r>
          <w:rPr>
            <w:webHidden/>
          </w:rPr>
          <w:fldChar w:fldCharType="begin"/>
        </w:r>
        <w:r>
          <w:rPr>
            <w:webHidden/>
          </w:rPr>
          <w:instrText xml:space="preserve"> PAGEREF _Toc404092 \h </w:instrText>
        </w:r>
        <w:r>
          <w:rPr>
            <w:webHidden/>
          </w:rPr>
        </w:r>
        <w:r>
          <w:rPr>
            <w:webHidden/>
          </w:rPr>
          <w:fldChar w:fldCharType="separate"/>
        </w:r>
        <w:r w:rsidR="001B26B5">
          <w:rPr>
            <w:webHidden/>
          </w:rPr>
          <w:t>57</w:t>
        </w:r>
        <w:r>
          <w:rPr>
            <w:webHidden/>
          </w:rPr>
          <w:fldChar w:fldCharType="end"/>
        </w:r>
      </w:hyperlink>
    </w:p>
    <w:p w14:paraId="147FE41E" w14:textId="77777777" w:rsidR="0006561B" w:rsidRDefault="0006561B">
      <w:pPr>
        <w:pStyle w:val="TDC1"/>
        <w:rPr>
          <w:rFonts w:asciiTheme="minorHAnsi" w:eastAsiaTheme="minorEastAsia" w:hAnsiTheme="minorHAnsi" w:cstheme="minorBidi"/>
          <w:b w:val="0"/>
          <w:sz w:val="22"/>
          <w:szCs w:val="22"/>
          <w:lang w:val="es-ES" w:eastAsia="es-ES"/>
        </w:rPr>
      </w:pPr>
      <w:hyperlink w:anchor="_Toc404093" w:history="1">
        <w:r w:rsidRPr="003B1501">
          <w:rPr>
            <w:rStyle w:val="Hipervnculo"/>
          </w:rPr>
          <w:t>Artículo 202. Cementos</w:t>
        </w:r>
        <w:r>
          <w:rPr>
            <w:webHidden/>
          </w:rPr>
          <w:tab/>
        </w:r>
        <w:r>
          <w:rPr>
            <w:webHidden/>
          </w:rPr>
          <w:fldChar w:fldCharType="begin"/>
        </w:r>
        <w:r>
          <w:rPr>
            <w:webHidden/>
          </w:rPr>
          <w:instrText xml:space="preserve"> PAGEREF _Toc404093 \h </w:instrText>
        </w:r>
        <w:r>
          <w:rPr>
            <w:webHidden/>
          </w:rPr>
        </w:r>
        <w:r>
          <w:rPr>
            <w:webHidden/>
          </w:rPr>
          <w:fldChar w:fldCharType="separate"/>
        </w:r>
        <w:r w:rsidR="001B26B5">
          <w:rPr>
            <w:webHidden/>
          </w:rPr>
          <w:t>59</w:t>
        </w:r>
        <w:r>
          <w:rPr>
            <w:webHidden/>
          </w:rPr>
          <w:fldChar w:fldCharType="end"/>
        </w:r>
      </w:hyperlink>
    </w:p>
    <w:p w14:paraId="095F13C1" w14:textId="77777777" w:rsidR="0006561B" w:rsidRDefault="0006561B">
      <w:pPr>
        <w:pStyle w:val="TDC2"/>
        <w:rPr>
          <w:rFonts w:asciiTheme="minorHAnsi" w:eastAsiaTheme="minorEastAsia" w:hAnsiTheme="minorHAnsi" w:cstheme="minorBidi"/>
          <w:szCs w:val="22"/>
          <w:lang w:val="es-ES" w:eastAsia="es-ES"/>
        </w:rPr>
      </w:pPr>
      <w:hyperlink w:anchor="_Toc404094" w:history="1">
        <w:r w:rsidRPr="003B1501">
          <w:rPr>
            <w:rStyle w:val="Hipervnculo"/>
          </w:rPr>
          <w:t>202.1. Definición</w:t>
        </w:r>
        <w:r>
          <w:rPr>
            <w:webHidden/>
          </w:rPr>
          <w:tab/>
        </w:r>
        <w:r>
          <w:rPr>
            <w:webHidden/>
          </w:rPr>
          <w:fldChar w:fldCharType="begin"/>
        </w:r>
        <w:r>
          <w:rPr>
            <w:webHidden/>
          </w:rPr>
          <w:instrText xml:space="preserve"> PAGEREF _Toc404094 \h </w:instrText>
        </w:r>
        <w:r>
          <w:rPr>
            <w:webHidden/>
          </w:rPr>
        </w:r>
        <w:r>
          <w:rPr>
            <w:webHidden/>
          </w:rPr>
          <w:fldChar w:fldCharType="separate"/>
        </w:r>
        <w:r w:rsidR="001B26B5">
          <w:rPr>
            <w:webHidden/>
          </w:rPr>
          <w:t>59</w:t>
        </w:r>
        <w:r>
          <w:rPr>
            <w:webHidden/>
          </w:rPr>
          <w:fldChar w:fldCharType="end"/>
        </w:r>
      </w:hyperlink>
    </w:p>
    <w:p w14:paraId="1F857B77" w14:textId="77777777" w:rsidR="0006561B" w:rsidRDefault="0006561B">
      <w:pPr>
        <w:pStyle w:val="TDC2"/>
        <w:rPr>
          <w:rFonts w:asciiTheme="minorHAnsi" w:eastAsiaTheme="minorEastAsia" w:hAnsiTheme="minorHAnsi" w:cstheme="minorBidi"/>
          <w:szCs w:val="22"/>
          <w:lang w:val="es-ES" w:eastAsia="es-ES"/>
        </w:rPr>
      </w:pPr>
      <w:hyperlink w:anchor="_Toc404095" w:history="1">
        <w:r w:rsidRPr="003B1501">
          <w:rPr>
            <w:rStyle w:val="Hipervnculo"/>
          </w:rPr>
          <w:t>202.2. Condiciones generales</w:t>
        </w:r>
        <w:r>
          <w:rPr>
            <w:webHidden/>
          </w:rPr>
          <w:tab/>
        </w:r>
        <w:r>
          <w:rPr>
            <w:webHidden/>
          </w:rPr>
          <w:fldChar w:fldCharType="begin"/>
        </w:r>
        <w:r>
          <w:rPr>
            <w:webHidden/>
          </w:rPr>
          <w:instrText xml:space="preserve"> PAGEREF _Toc404095 \h </w:instrText>
        </w:r>
        <w:r>
          <w:rPr>
            <w:webHidden/>
          </w:rPr>
        </w:r>
        <w:r>
          <w:rPr>
            <w:webHidden/>
          </w:rPr>
          <w:fldChar w:fldCharType="separate"/>
        </w:r>
        <w:r w:rsidR="001B26B5">
          <w:rPr>
            <w:webHidden/>
          </w:rPr>
          <w:t>59</w:t>
        </w:r>
        <w:r>
          <w:rPr>
            <w:webHidden/>
          </w:rPr>
          <w:fldChar w:fldCharType="end"/>
        </w:r>
      </w:hyperlink>
    </w:p>
    <w:p w14:paraId="5EDE43BB" w14:textId="77777777" w:rsidR="0006561B" w:rsidRDefault="0006561B">
      <w:pPr>
        <w:pStyle w:val="TDC2"/>
        <w:rPr>
          <w:rFonts w:asciiTheme="minorHAnsi" w:eastAsiaTheme="minorEastAsia" w:hAnsiTheme="minorHAnsi" w:cstheme="minorBidi"/>
          <w:szCs w:val="22"/>
          <w:lang w:val="es-ES" w:eastAsia="es-ES"/>
        </w:rPr>
      </w:pPr>
      <w:hyperlink w:anchor="_Toc404096" w:history="1">
        <w:r w:rsidRPr="003B1501">
          <w:rPr>
            <w:rStyle w:val="Hipervnculo"/>
          </w:rPr>
          <w:t>202.3. Denominaciones</w:t>
        </w:r>
        <w:r>
          <w:rPr>
            <w:webHidden/>
          </w:rPr>
          <w:tab/>
        </w:r>
        <w:r>
          <w:rPr>
            <w:webHidden/>
          </w:rPr>
          <w:fldChar w:fldCharType="begin"/>
        </w:r>
        <w:r>
          <w:rPr>
            <w:webHidden/>
          </w:rPr>
          <w:instrText xml:space="preserve"> PAGEREF _Toc404096 \h </w:instrText>
        </w:r>
        <w:r>
          <w:rPr>
            <w:webHidden/>
          </w:rPr>
        </w:r>
        <w:r>
          <w:rPr>
            <w:webHidden/>
          </w:rPr>
          <w:fldChar w:fldCharType="separate"/>
        </w:r>
        <w:r w:rsidR="001B26B5">
          <w:rPr>
            <w:webHidden/>
          </w:rPr>
          <w:t>59</w:t>
        </w:r>
        <w:r>
          <w:rPr>
            <w:webHidden/>
          </w:rPr>
          <w:fldChar w:fldCharType="end"/>
        </w:r>
      </w:hyperlink>
    </w:p>
    <w:p w14:paraId="0FD947AC" w14:textId="77777777" w:rsidR="0006561B" w:rsidRDefault="0006561B">
      <w:pPr>
        <w:pStyle w:val="TDC2"/>
        <w:rPr>
          <w:rFonts w:asciiTheme="minorHAnsi" w:eastAsiaTheme="minorEastAsia" w:hAnsiTheme="minorHAnsi" w:cstheme="minorBidi"/>
          <w:szCs w:val="22"/>
          <w:lang w:val="es-ES" w:eastAsia="es-ES"/>
        </w:rPr>
      </w:pPr>
      <w:hyperlink w:anchor="_Toc404097" w:history="1">
        <w:r w:rsidRPr="003B1501">
          <w:rPr>
            <w:rStyle w:val="Hipervnculo"/>
          </w:rPr>
          <w:t>202.4. Transporte y almacenamiento</w:t>
        </w:r>
        <w:r>
          <w:rPr>
            <w:webHidden/>
          </w:rPr>
          <w:tab/>
        </w:r>
        <w:r>
          <w:rPr>
            <w:webHidden/>
          </w:rPr>
          <w:fldChar w:fldCharType="begin"/>
        </w:r>
        <w:r>
          <w:rPr>
            <w:webHidden/>
          </w:rPr>
          <w:instrText xml:space="preserve"> PAGEREF _Toc404097 \h </w:instrText>
        </w:r>
        <w:r>
          <w:rPr>
            <w:webHidden/>
          </w:rPr>
        </w:r>
        <w:r>
          <w:rPr>
            <w:webHidden/>
          </w:rPr>
          <w:fldChar w:fldCharType="separate"/>
        </w:r>
        <w:r w:rsidR="001B26B5">
          <w:rPr>
            <w:webHidden/>
          </w:rPr>
          <w:t>59</w:t>
        </w:r>
        <w:r>
          <w:rPr>
            <w:webHidden/>
          </w:rPr>
          <w:fldChar w:fldCharType="end"/>
        </w:r>
      </w:hyperlink>
    </w:p>
    <w:p w14:paraId="1D9F4E7A" w14:textId="77777777" w:rsidR="0006561B" w:rsidRDefault="0006561B">
      <w:pPr>
        <w:pStyle w:val="TDC2"/>
        <w:rPr>
          <w:rFonts w:asciiTheme="minorHAnsi" w:eastAsiaTheme="minorEastAsia" w:hAnsiTheme="minorHAnsi" w:cstheme="minorBidi"/>
          <w:szCs w:val="22"/>
          <w:lang w:val="es-ES" w:eastAsia="es-ES"/>
        </w:rPr>
      </w:pPr>
      <w:hyperlink w:anchor="_Toc404098" w:history="1">
        <w:r w:rsidRPr="003B1501">
          <w:rPr>
            <w:rStyle w:val="Hipervnculo"/>
          </w:rPr>
          <w:t>202.6. Control de Calidad</w:t>
        </w:r>
        <w:r>
          <w:rPr>
            <w:webHidden/>
          </w:rPr>
          <w:tab/>
        </w:r>
        <w:r>
          <w:rPr>
            <w:webHidden/>
          </w:rPr>
          <w:fldChar w:fldCharType="begin"/>
        </w:r>
        <w:r>
          <w:rPr>
            <w:webHidden/>
          </w:rPr>
          <w:instrText xml:space="preserve"> PAGEREF _Toc404098 \h </w:instrText>
        </w:r>
        <w:r>
          <w:rPr>
            <w:webHidden/>
          </w:rPr>
        </w:r>
        <w:r>
          <w:rPr>
            <w:webHidden/>
          </w:rPr>
          <w:fldChar w:fldCharType="separate"/>
        </w:r>
        <w:r w:rsidR="001B26B5">
          <w:rPr>
            <w:webHidden/>
          </w:rPr>
          <w:t>59</w:t>
        </w:r>
        <w:r>
          <w:rPr>
            <w:webHidden/>
          </w:rPr>
          <w:fldChar w:fldCharType="end"/>
        </w:r>
      </w:hyperlink>
    </w:p>
    <w:p w14:paraId="0392729E" w14:textId="77777777" w:rsidR="0006561B" w:rsidRDefault="0006561B">
      <w:pPr>
        <w:pStyle w:val="TDC2"/>
        <w:rPr>
          <w:rFonts w:asciiTheme="minorHAnsi" w:eastAsiaTheme="minorEastAsia" w:hAnsiTheme="minorHAnsi" w:cstheme="minorBidi"/>
          <w:szCs w:val="22"/>
          <w:lang w:val="es-ES" w:eastAsia="es-ES"/>
        </w:rPr>
      </w:pPr>
      <w:hyperlink w:anchor="_Toc404099" w:history="1">
        <w:r w:rsidRPr="003B1501">
          <w:rPr>
            <w:rStyle w:val="Hipervnculo"/>
          </w:rPr>
          <w:t>202.7. Criterios de aceptación o rechazo</w:t>
        </w:r>
        <w:r>
          <w:rPr>
            <w:webHidden/>
          </w:rPr>
          <w:tab/>
        </w:r>
        <w:r>
          <w:rPr>
            <w:webHidden/>
          </w:rPr>
          <w:fldChar w:fldCharType="begin"/>
        </w:r>
        <w:r>
          <w:rPr>
            <w:webHidden/>
          </w:rPr>
          <w:instrText xml:space="preserve"> PAGEREF _Toc404099 \h </w:instrText>
        </w:r>
        <w:r>
          <w:rPr>
            <w:webHidden/>
          </w:rPr>
        </w:r>
        <w:r>
          <w:rPr>
            <w:webHidden/>
          </w:rPr>
          <w:fldChar w:fldCharType="separate"/>
        </w:r>
        <w:r w:rsidR="001B26B5">
          <w:rPr>
            <w:webHidden/>
          </w:rPr>
          <w:t>60</w:t>
        </w:r>
        <w:r>
          <w:rPr>
            <w:webHidden/>
          </w:rPr>
          <w:fldChar w:fldCharType="end"/>
        </w:r>
      </w:hyperlink>
    </w:p>
    <w:p w14:paraId="2443D823" w14:textId="77777777" w:rsidR="0006561B" w:rsidRDefault="0006561B">
      <w:pPr>
        <w:pStyle w:val="TDC2"/>
        <w:rPr>
          <w:rFonts w:asciiTheme="minorHAnsi" w:eastAsiaTheme="minorEastAsia" w:hAnsiTheme="minorHAnsi" w:cstheme="minorBidi"/>
          <w:szCs w:val="22"/>
          <w:lang w:val="es-ES" w:eastAsia="es-ES"/>
        </w:rPr>
      </w:pPr>
      <w:hyperlink w:anchor="_Toc404100" w:history="1">
        <w:r w:rsidRPr="003B1501">
          <w:rPr>
            <w:rStyle w:val="Hipervnculo"/>
          </w:rPr>
          <w:t>202.8. Medición y abono</w:t>
        </w:r>
        <w:r>
          <w:rPr>
            <w:webHidden/>
          </w:rPr>
          <w:tab/>
        </w:r>
        <w:r>
          <w:rPr>
            <w:webHidden/>
          </w:rPr>
          <w:fldChar w:fldCharType="begin"/>
        </w:r>
        <w:r>
          <w:rPr>
            <w:webHidden/>
          </w:rPr>
          <w:instrText xml:space="preserve"> PAGEREF _Toc404100 \h </w:instrText>
        </w:r>
        <w:r>
          <w:rPr>
            <w:webHidden/>
          </w:rPr>
        </w:r>
        <w:r>
          <w:rPr>
            <w:webHidden/>
          </w:rPr>
          <w:fldChar w:fldCharType="separate"/>
        </w:r>
        <w:r w:rsidR="001B26B5">
          <w:rPr>
            <w:webHidden/>
          </w:rPr>
          <w:t>60</w:t>
        </w:r>
        <w:r>
          <w:rPr>
            <w:webHidden/>
          </w:rPr>
          <w:fldChar w:fldCharType="end"/>
        </w:r>
      </w:hyperlink>
    </w:p>
    <w:p w14:paraId="59C78E28" w14:textId="77777777" w:rsidR="0006561B" w:rsidRDefault="0006561B">
      <w:pPr>
        <w:pStyle w:val="TDC1"/>
        <w:rPr>
          <w:rFonts w:asciiTheme="minorHAnsi" w:eastAsiaTheme="minorEastAsia" w:hAnsiTheme="minorHAnsi" w:cstheme="minorBidi"/>
          <w:b w:val="0"/>
          <w:sz w:val="22"/>
          <w:szCs w:val="22"/>
          <w:lang w:val="es-ES" w:eastAsia="es-ES"/>
        </w:rPr>
      </w:pPr>
      <w:hyperlink w:anchor="_Toc404101" w:history="1">
        <w:r w:rsidRPr="003B1501">
          <w:rPr>
            <w:rStyle w:val="Hipervnculo"/>
          </w:rPr>
          <w:t>Artículo 211. Betunes asfálticos</w:t>
        </w:r>
        <w:r>
          <w:rPr>
            <w:webHidden/>
          </w:rPr>
          <w:tab/>
        </w:r>
        <w:r>
          <w:rPr>
            <w:webHidden/>
          </w:rPr>
          <w:fldChar w:fldCharType="begin"/>
        </w:r>
        <w:r>
          <w:rPr>
            <w:webHidden/>
          </w:rPr>
          <w:instrText xml:space="preserve"> PAGEREF _Toc404101 \h </w:instrText>
        </w:r>
        <w:r>
          <w:rPr>
            <w:webHidden/>
          </w:rPr>
        </w:r>
        <w:r>
          <w:rPr>
            <w:webHidden/>
          </w:rPr>
          <w:fldChar w:fldCharType="separate"/>
        </w:r>
        <w:r w:rsidR="001B26B5">
          <w:rPr>
            <w:webHidden/>
          </w:rPr>
          <w:t>61</w:t>
        </w:r>
        <w:r>
          <w:rPr>
            <w:webHidden/>
          </w:rPr>
          <w:fldChar w:fldCharType="end"/>
        </w:r>
      </w:hyperlink>
    </w:p>
    <w:p w14:paraId="57A56D65"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02" w:history="1">
        <w:r w:rsidRPr="003B1501">
          <w:rPr>
            <w:rStyle w:val="Hipervnculo"/>
          </w:rPr>
          <w:t>211.1. Definición</w:t>
        </w:r>
        <w:r>
          <w:rPr>
            <w:webHidden/>
          </w:rPr>
          <w:tab/>
        </w:r>
        <w:r>
          <w:rPr>
            <w:webHidden/>
          </w:rPr>
          <w:fldChar w:fldCharType="begin"/>
        </w:r>
        <w:r>
          <w:rPr>
            <w:webHidden/>
          </w:rPr>
          <w:instrText xml:space="preserve"> PAGEREF _Toc404102 \h </w:instrText>
        </w:r>
        <w:r>
          <w:rPr>
            <w:webHidden/>
          </w:rPr>
        </w:r>
        <w:r>
          <w:rPr>
            <w:webHidden/>
          </w:rPr>
          <w:fldChar w:fldCharType="separate"/>
        </w:r>
        <w:r w:rsidR="001B26B5">
          <w:rPr>
            <w:webHidden/>
          </w:rPr>
          <w:t>61</w:t>
        </w:r>
        <w:r>
          <w:rPr>
            <w:webHidden/>
          </w:rPr>
          <w:fldChar w:fldCharType="end"/>
        </w:r>
      </w:hyperlink>
    </w:p>
    <w:p w14:paraId="0062A5DE"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03" w:history="1">
        <w:r w:rsidRPr="003B1501">
          <w:rPr>
            <w:rStyle w:val="Hipervnculo"/>
          </w:rPr>
          <w:t>211.2. Condiciones generales</w:t>
        </w:r>
        <w:r>
          <w:rPr>
            <w:webHidden/>
          </w:rPr>
          <w:tab/>
        </w:r>
        <w:r>
          <w:rPr>
            <w:webHidden/>
          </w:rPr>
          <w:fldChar w:fldCharType="begin"/>
        </w:r>
        <w:r>
          <w:rPr>
            <w:webHidden/>
          </w:rPr>
          <w:instrText xml:space="preserve"> PAGEREF _Toc404103 \h </w:instrText>
        </w:r>
        <w:r>
          <w:rPr>
            <w:webHidden/>
          </w:rPr>
        </w:r>
        <w:r>
          <w:rPr>
            <w:webHidden/>
          </w:rPr>
          <w:fldChar w:fldCharType="separate"/>
        </w:r>
        <w:r w:rsidR="001B26B5">
          <w:rPr>
            <w:webHidden/>
          </w:rPr>
          <w:t>61</w:t>
        </w:r>
        <w:r>
          <w:rPr>
            <w:webHidden/>
          </w:rPr>
          <w:fldChar w:fldCharType="end"/>
        </w:r>
      </w:hyperlink>
    </w:p>
    <w:p w14:paraId="6381F7E2"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04" w:history="1">
        <w:r w:rsidRPr="003B1501">
          <w:rPr>
            <w:rStyle w:val="Hipervnculo"/>
          </w:rPr>
          <w:t>211.3. Denominaciones</w:t>
        </w:r>
        <w:r>
          <w:rPr>
            <w:webHidden/>
          </w:rPr>
          <w:tab/>
        </w:r>
        <w:r>
          <w:rPr>
            <w:webHidden/>
          </w:rPr>
          <w:fldChar w:fldCharType="begin"/>
        </w:r>
        <w:r>
          <w:rPr>
            <w:webHidden/>
          </w:rPr>
          <w:instrText xml:space="preserve"> PAGEREF _Toc404104 \h </w:instrText>
        </w:r>
        <w:r>
          <w:rPr>
            <w:webHidden/>
          </w:rPr>
        </w:r>
        <w:r>
          <w:rPr>
            <w:webHidden/>
          </w:rPr>
          <w:fldChar w:fldCharType="separate"/>
        </w:r>
        <w:r w:rsidR="001B26B5">
          <w:rPr>
            <w:webHidden/>
          </w:rPr>
          <w:t>61</w:t>
        </w:r>
        <w:r>
          <w:rPr>
            <w:webHidden/>
          </w:rPr>
          <w:fldChar w:fldCharType="end"/>
        </w:r>
      </w:hyperlink>
    </w:p>
    <w:p w14:paraId="0C0F88D3"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05" w:history="1">
        <w:r w:rsidRPr="003B1501">
          <w:rPr>
            <w:rStyle w:val="Hipervnculo"/>
          </w:rPr>
          <w:t>211.4. Transporte y almacenamiento</w:t>
        </w:r>
        <w:r>
          <w:rPr>
            <w:webHidden/>
          </w:rPr>
          <w:tab/>
        </w:r>
        <w:r>
          <w:rPr>
            <w:webHidden/>
          </w:rPr>
          <w:fldChar w:fldCharType="begin"/>
        </w:r>
        <w:r>
          <w:rPr>
            <w:webHidden/>
          </w:rPr>
          <w:instrText xml:space="preserve"> PAGEREF _Toc404105 \h </w:instrText>
        </w:r>
        <w:r>
          <w:rPr>
            <w:webHidden/>
          </w:rPr>
        </w:r>
        <w:r>
          <w:rPr>
            <w:webHidden/>
          </w:rPr>
          <w:fldChar w:fldCharType="separate"/>
        </w:r>
        <w:r w:rsidR="001B26B5">
          <w:rPr>
            <w:webHidden/>
          </w:rPr>
          <w:t>61</w:t>
        </w:r>
        <w:r>
          <w:rPr>
            <w:webHidden/>
          </w:rPr>
          <w:fldChar w:fldCharType="end"/>
        </w:r>
      </w:hyperlink>
    </w:p>
    <w:p w14:paraId="4B00C1D8"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06" w:history="1">
        <w:r w:rsidRPr="003B1501">
          <w:rPr>
            <w:rStyle w:val="Hipervnculo"/>
          </w:rPr>
          <w:t>211.5. Recepción e identificación</w:t>
        </w:r>
        <w:r>
          <w:rPr>
            <w:webHidden/>
          </w:rPr>
          <w:tab/>
        </w:r>
        <w:r>
          <w:rPr>
            <w:webHidden/>
          </w:rPr>
          <w:fldChar w:fldCharType="begin"/>
        </w:r>
        <w:r>
          <w:rPr>
            <w:webHidden/>
          </w:rPr>
          <w:instrText xml:space="preserve"> PAGEREF _Toc404106 \h </w:instrText>
        </w:r>
        <w:r>
          <w:rPr>
            <w:webHidden/>
          </w:rPr>
        </w:r>
        <w:r>
          <w:rPr>
            <w:webHidden/>
          </w:rPr>
          <w:fldChar w:fldCharType="separate"/>
        </w:r>
        <w:r w:rsidR="001B26B5">
          <w:rPr>
            <w:webHidden/>
          </w:rPr>
          <w:t>62</w:t>
        </w:r>
        <w:r>
          <w:rPr>
            <w:webHidden/>
          </w:rPr>
          <w:fldChar w:fldCharType="end"/>
        </w:r>
      </w:hyperlink>
    </w:p>
    <w:p w14:paraId="77196856"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07" w:history="1">
        <w:r w:rsidRPr="003B1501">
          <w:rPr>
            <w:rStyle w:val="Hipervnculo"/>
          </w:rPr>
          <w:t>211.6. Control de calidad</w:t>
        </w:r>
        <w:r>
          <w:rPr>
            <w:webHidden/>
          </w:rPr>
          <w:tab/>
        </w:r>
        <w:r>
          <w:rPr>
            <w:webHidden/>
          </w:rPr>
          <w:fldChar w:fldCharType="begin"/>
        </w:r>
        <w:r>
          <w:rPr>
            <w:webHidden/>
          </w:rPr>
          <w:instrText xml:space="preserve"> PAGEREF _Toc404107 \h </w:instrText>
        </w:r>
        <w:r>
          <w:rPr>
            <w:webHidden/>
          </w:rPr>
        </w:r>
        <w:r>
          <w:rPr>
            <w:webHidden/>
          </w:rPr>
          <w:fldChar w:fldCharType="separate"/>
        </w:r>
        <w:r w:rsidR="001B26B5">
          <w:rPr>
            <w:webHidden/>
          </w:rPr>
          <w:t>62</w:t>
        </w:r>
        <w:r>
          <w:rPr>
            <w:webHidden/>
          </w:rPr>
          <w:fldChar w:fldCharType="end"/>
        </w:r>
      </w:hyperlink>
    </w:p>
    <w:p w14:paraId="24C4A886"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08" w:history="1">
        <w:r w:rsidRPr="003B1501">
          <w:rPr>
            <w:rStyle w:val="Hipervnculo"/>
          </w:rPr>
          <w:t>211.7. Criterios de aceptación o rechazo</w:t>
        </w:r>
        <w:r>
          <w:rPr>
            <w:webHidden/>
          </w:rPr>
          <w:tab/>
        </w:r>
        <w:r>
          <w:rPr>
            <w:webHidden/>
          </w:rPr>
          <w:fldChar w:fldCharType="begin"/>
        </w:r>
        <w:r>
          <w:rPr>
            <w:webHidden/>
          </w:rPr>
          <w:instrText xml:space="preserve"> PAGEREF _Toc404108 \h </w:instrText>
        </w:r>
        <w:r>
          <w:rPr>
            <w:webHidden/>
          </w:rPr>
        </w:r>
        <w:r>
          <w:rPr>
            <w:webHidden/>
          </w:rPr>
          <w:fldChar w:fldCharType="separate"/>
        </w:r>
        <w:r w:rsidR="001B26B5">
          <w:rPr>
            <w:webHidden/>
          </w:rPr>
          <w:t>62</w:t>
        </w:r>
        <w:r>
          <w:rPr>
            <w:webHidden/>
          </w:rPr>
          <w:fldChar w:fldCharType="end"/>
        </w:r>
      </w:hyperlink>
    </w:p>
    <w:p w14:paraId="2781EB22"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09" w:history="1">
        <w:r w:rsidRPr="003B1501">
          <w:rPr>
            <w:rStyle w:val="Hipervnculo"/>
          </w:rPr>
          <w:t>211.8. Medición y abono</w:t>
        </w:r>
        <w:r>
          <w:rPr>
            <w:webHidden/>
          </w:rPr>
          <w:tab/>
        </w:r>
        <w:r>
          <w:rPr>
            <w:webHidden/>
          </w:rPr>
          <w:fldChar w:fldCharType="begin"/>
        </w:r>
        <w:r>
          <w:rPr>
            <w:webHidden/>
          </w:rPr>
          <w:instrText xml:space="preserve"> PAGEREF _Toc404109 \h </w:instrText>
        </w:r>
        <w:r>
          <w:rPr>
            <w:webHidden/>
          </w:rPr>
        </w:r>
        <w:r>
          <w:rPr>
            <w:webHidden/>
          </w:rPr>
          <w:fldChar w:fldCharType="separate"/>
        </w:r>
        <w:r w:rsidR="001B26B5">
          <w:rPr>
            <w:webHidden/>
          </w:rPr>
          <w:t>63</w:t>
        </w:r>
        <w:r>
          <w:rPr>
            <w:webHidden/>
          </w:rPr>
          <w:fldChar w:fldCharType="end"/>
        </w:r>
      </w:hyperlink>
    </w:p>
    <w:p w14:paraId="3E2631A5" w14:textId="77777777" w:rsidR="0006561B" w:rsidRDefault="0006561B">
      <w:pPr>
        <w:pStyle w:val="TDC1"/>
        <w:rPr>
          <w:rFonts w:asciiTheme="minorHAnsi" w:eastAsiaTheme="minorEastAsia" w:hAnsiTheme="minorHAnsi" w:cstheme="minorBidi"/>
          <w:b w:val="0"/>
          <w:sz w:val="22"/>
          <w:szCs w:val="22"/>
          <w:lang w:val="es-ES" w:eastAsia="es-ES"/>
        </w:rPr>
      </w:pPr>
      <w:hyperlink w:anchor="_Toc404110" w:history="1">
        <w:r w:rsidRPr="003B1501">
          <w:rPr>
            <w:rStyle w:val="Hipervnculo"/>
          </w:rPr>
          <w:t>Artículo 212.  Betunes modificados con polímeros</w:t>
        </w:r>
        <w:r>
          <w:rPr>
            <w:webHidden/>
          </w:rPr>
          <w:tab/>
        </w:r>
        <w:r>
          <w:rPr>
            <w:webHidden/>
          </w:rPr>
          <w:fldChar w:fldCharType="begin"/>
        </w:r>
        <w:r>
          <w:rPr>
            <w:webHidden/>
          </w:rPr>
          <w:instrText xml:space="preserve"> PAGEREF _Toc404110 \h </w:instrText>
        </w:r>
        <w:r>
          <w:rPr>
            <w:webHidden/>
          </w:rPr>
        </w:r>
        <w:r>
          <w:rPr>
            <w:webHidden/>
          </w:rPr>
          <w:fldChar w:fldCharType="separate"/>
        </w:r>
        <w:r w:rsidR="001B26B5">
          <w:rPr>
            <w:webHidden/>
          </w:rPr>
          <w:t>64</w:t>
        </w:r>
        <w:r>
          <w:rPr>
            <w:webHidden/>
          </w:rPr>
          <w:fldChar w:fldCharType="end"/>
        </w:r>
      </w:hyperlink>
    </w:p>
    <w:p w14:paraId="5A4B6CEB"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11" w:history="1">
        <w:r w:rsidRPr="003B1501">
          <w:rPr>
            <w:rStyle w:val="Hipervnculo"/>
          </w:rPr>
          <w:t>212.1. Definición</w:t>
        </w:r>
        <w:r>
          <w:rPr>
            <w:webHidden/>
          </w:rPr>
          <w:tab/>
        </w:r>
        <w:r>
          <w:rPr>
            <w:webHidden/>
          </w:rPr>
          <w:fldChar w:fldCharType="begin"/>
        </w:r>
        <w:r>
          <w:rPr>
            <w:webHidden/>
          </w:rPr>
          <w:instrText xml:space="preserve"> PAGEREF _Toc404111 \h </w:instrText>
        </w:r>
        <w:r>
          <w:rPr>
            <w:webHidden/>
          </w:rPr>
        </w:r>
        <w:r>
          <w:rPr>
            <w:webHidden/>
          </w:rPr>
          <w:fldChar w:fldCharType="separate"/>
        </w:r>
        <w:r w:rsidR="001B26B5">
          <w:rPr>
            <w:webHidden/>
          </w:rPr>
          <w:t>64</w:t>
        </w:r>
        <w:r>
          <w:rPr>
            <w:webHidden/>
          </w:rPr>
          <w:fldChar w:fldCharType="end"/>
        </w:r>
      </w:hyperlink>
    </w:p>
    <w:p w14:paraId="1A9E5561"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12" w:history="1">
        <w:r w:rsidRPr="003B1501">
          <w:rPr>
            <w:rStyle w:val="Hipervnculo"/>
          </w:rPr>
          <w:t>212.2. Condiciones generales</w:t>
        </w:r>
        <w:r>
          <w:rPr>
            <w:webHidden/>
          </w:rPr>
          <w:tab/>
        </w:r>
        <w:r>
          <w:rPr>
            <w:webHidden/>
          </w:rPr>
          <w:fldChar w:fldCharType="begin"/>
        </w:r>
        <w:r>
          <w:rPr>
            <w:webHidden/>
          </w:rPr>
          <w:instrText xml:space="preserve"> PAGEREF _Toc404112 \h </w:instrText>
        </w:r>
        <w:r>
          <w:rPr>
            <w:webHidden/>
          </w:rPr>
        </w:r>
        <w:r>
          <w:rPr>
            <w:webHidden/>
          </w:rPr>
          <w:fldChar w:fldCharType="separate"/>
        </w:r>
        <w:r w:rsidR="001B26B5">
          <w:rPr>
            <w:webHidden/>
          </w:rPr>
          <w:t>64</w:t>
        </w:r>
        <w:r>
          <w:rPr>
            <w:webHidden/>
          </w:rPr>
          <w:fldChar w:fldCharType="end"/>
        </w:r>
      </w:hyperlink>
    </w:p>
    <w:p w14:paraId="473E3431"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13" w:history="1">
        <w:r w:rsidRPr="003B1501">
          <w:rPr>
            <w:rStyle w:val="Hipervnculo"/>
          </w:rPr>
          <w:t>212.3. Denominaciones</w:t>
        </w:r>
        <w:r>
          <w:rPr>
            <w:webHidden/>
          </w:rPr>
          <w:tab/>
        </w:r>
        <w:r>
          <w:rPr>
            <w:webHidden/>
          </w:rPr>
          <w:fldChar w:fldCharType="begin"/>
        </w:r>
        <w:r>
          <w:rPr>
            <w:webHidden/>
          </w:rPr>
          <w:instrText xml:space="preserve"> PAGEREF _Toc404113 \h </w:instrText>
        </w:r>
        <w:r>
          <w:rPr>
            <w:webHidden/>
          </w:rPr>
        </w:r>
        <w:r>
          <w:rPr>
            <w:webHidden/>
          </w:rPr>
          <w:fldChar w:fldCharType="separate"/>
        </w:r>
        <w:r w:rsidR="001B26B5">
          <w:rPr>
            <w:webHidden/>
          </w:rPr>
          <w:t>64</w:t>
        </w:r>
        <w:r>
          <w:rPr>
            <w:webHidden/>
          </w:rPr>
          <w:fldChar w:fldCharType="end"/>
        </w:r>
      </w:hyperlink>
    </w:p>
    <w:p w14:paraId="3865205B"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14" w:history="1">
        <w:r w:rsidRPr="003B1501">
          <w:rPr>
            <w:rStyle w:val="Hipervnculo"/>
          </w:rPr>
          <w:t>212.4. Transporte y almacenamiento</w:t>
        </w:r>
        <w:r>
          <w:rPr>
            <w:webHidden/>
          </w:rPr>
          <w:tab/>
        </w:r>
        <w:r>
          <w:rPr>
            <w:webHidden/>
          </w:rPr>
          <w:fldChar w:fldCharType="begin"/>
        </w:r>
        <w:r>
          <w:rPr>
            <w:webHidden/>
          </w:rPr>
          <w:instrText xml:space="preserve"> PAGEREF _Toc404114 \h </w:instrText>
        </w:r>
        <w:r>
          <w:rPr>
            <w:webHidden/>
          </w:rPr>
        </w:r>
        <w:r>
          <w:rPr>
            <w:webHidden/>
          </w:rPr>
          <w:fldChar w:fldCharType="separate"/>
        </w:r>
        <w:r w:rsidR="001B26B5">
          <w:rPr>
            <w:webHidden/>
          </w:rPr>
          <w:t>64</w:t>
        </w:r>
        <w:r>
          <w:rPr>
            <w:webHidden/>
          </w:rPr>
          <w:fldChar w:fldCharType="end"/>
        </w:r>
      </w:hyperlink>
    </w:p>
    <w:p w14:paraId="1A9713C2"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15" w:history="1">
        <w:r w:rsidRPr="003B1501">
          <w:rPr>
            <w:rStyle w:val="Hipervnculo"/>
          </w:rPr>
          <w:t>212.5. Recepción e identificación</w:t>
        </w:r>
        <w:r>
          <w:rPr>
            <w:webHidden/>
          </w:rPr>
          <w:tab/>
        </w:r>
        <w:r>
          <w:rPr>
            <w:webHidden/>
          </w:rPr>
          <w:fldChar w:fldCharType="begin"/>
        </w:r>
        <w:r>
          <w:rPr>
            <w:webHidden/>
          </w:rPr>
          <w:instrText xml:space="preserve"> PAGEREF _Toc404115 \h </w:instrText>
        </w:r>
        <w:r>
          <w:rPr>
            <w:webHidden/>
          </w:rPr>
        </w:r>
        <w:r>
          <w:rPr>
            <w:webHidden/>
          </w:rPr>
          <w:fldChar w:fldCharType="separate"/>
        </w:r>
        <w:r w:rsidR="001B26B5">
          <w:rPr>
            <w:webHidden/>
          </w:rPr>
          <w:t>64</w:t>
        </w:r>
        <w:r>
          <w:rPr>
            <w:webHidden/>
          </w:rPr>
          <w:fldChar w:fldCharType="end"/>
        </w:r>
      </w:hyperlink>
    </w:p>
    <w:p w14:paraId="30DDC501"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16" w:history="1">
        <w:r w:rsidRPr="003B1501">
          <w:rPr>
            <w:rStyle w:val="Hipervnculo"/>
          </w:rPr>
          <w:t>212.6. Control de Calidad</w:t>
        </w:r>
        <w:r>
          <w:rPr>
            <w:webHidden/>
          </w:rPr>
          <w:tab/>
        </w:r>
        <w:r>
          <w:rPr>
            <w:webHidden/>
          </w:rPr>
          <w:fldChar w:fldCharType="begin"/>
        </w:r>
        <w:r>
          <w:rPr>
            <w:webHidden/>
          </w:rPr>
          <w:instrText xml:space="preserve"> PAGEREF _Toc404116 \h </w:instrText>
        </w:r>
        <w:r>
          <w:rPr>
            <w:webHidden/>
          </w:rPr>
        </w:r>
        <w:r>
          <w:rPr>
            <w:webHidden/>
          </w:rPr>
          <w:fldChar w:fldCharType="separate"/>
        </w:r>
        <w:r w:rsidR="001B26B5">
          <w:rPr>
            <w:webHidden/>
          </w:rPr>
          <w:t>65</w:t>
        </w:r>
        <w:r>
          <w:rPr>
            <w:webHidden/>
          </w:rPr>
          <w:fldChar w:fldCharType="end"/>
        </w:r>
      </w:hyperlink>
    </w:p>
    <w:p w14:paraId="46DB94CC"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17" w:history="1">
        <w:r w:rsidRPr="003B1501">
          <w:rPr>
            <w:rStyle w:val="Hipervnculo"/>
          </w:rPr>
          <w:t>212.7. Criterios de aceptación o rechazo</w:t>
        </w:r>
        <w:r>
          <w:rPr>
            <w:webHidden/>
          </w:rPr>
          <w:tab/>
        </w:r>
        <w:r>
          <w:rPr>
            <w:webHidden/>
          </w:rPr>
          <w:fldChar w:fldCharType="begin"/>
        </w:r>
        <w:r>
          <w:rPr>
            <w:webHidden/>
          </w:rPr>
          <w:instrText xml:space="preserve"> PAGEREF _Toc404117 \h </w:instrText>
        </w:r>
        <w:r>
          <w:rPr>
            <w:webHidden/>
          </w:rPr>
        </w:r>
        <w:r>
          <w:rPr>
            <w:webHidden/>
          </w:rPr>
          <w:fldChar w:fldCharType="separate"/>
        </w:r>
        <w:r w:rsidR="001B26B5">
          <w:rPr>
            <w:webHidden/>
          </w:rPr>
          <w:t>65</w:t>
        </w:r>
        <w:r>
          <w:rPr>
            <w:webHidden/>
          </w:rPr>
          <w:fldChar w:fldCharType="end"/>
        </w:r>
      </w:hyperlink>
    </w:p>
    <w:p w14:paraId="70E8435A"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18" w:history="1">
        <w:r w:rsidRPr="003B1501">
          <w:rPr>
            <w:rStyle w:val="Hipervnculo"/>
          </w:rPr>
          <w:t>212.8. Medición y abono</w:t>
        </w:r>
        <w:r>
          <w:rPr>
            <w:webHidden/>
          </w:rPr>
          <w:tab/>
        </w:r>
        <w:r>
          <w:rPr>
            <w:webHidden/>
          </w:rPr>
          <w:fldChar w:fldCharType="begin"/>
        </w:r>
        <w:r>
          <w:rPr>
            <w:webHidden/>
          </w:rPr>
          <w:instrText xml:space="preserve"> PAGEREF _Toc404118 \h </w:instrText>
        </w:r>
        <w:r>
          <w:rPr>
            <w:webHidden/>
          </w:rPr>
        </w:r>
        <w:r>
          <w:rPr>
            <w:webHidden/>
          </w:rPr>
          <w:fldChar w:fldCharType="separate"/>
        </w:r>
        <w:r w:rsidR="001B26B5">
          <w:rPr>
            <w:webHidden/>
          </w:rPr>
          <w:t>66</w:t>
        </w:r>
        <w:r>
          <w:rPr>
            <w:webHidden/>
          </w:rPr>
          <w:fldChar w:fldCharType="end"/>
        </w:r>
      </w:hyperlink>
    </w:p>
    <w:p w14:paraId="196CCD75" w14:textId="77777777" w:rsidR="0006561B" w:rsidRDefault="0006561B">
      <w:pPr>
        <w:pStyle w:val="TDC1"/>
        <w:rPr>
          <w:rFonts w:asciiTheme="minorHAnsi" w:eastAsiaTheme="minorEastAsia" w:hAnsiTheme="minorHAnsi" w:cstheme="minorBidi"/>
          <w:b w:val="0"/>
          <w:sz w:val="22"/>
          <w:szCs w:val="22"/>
          <w:lang w:val="es-ES" w:eastAsia="es-ES"/>
        </w:rPr>
      </w:pPr>
      <w:hyperlink w:anchor="_Toc404119" w:history="1">
        <w:r w:rsidRPr="003B1501">
          <w:rPr>
            <w:rStyle w:val="Hipervnculo"/>
          </w:rPr>
          <w:t>Artículo 214. Emulsiones bituminosas</w:t>
        </w:r>
        <w:r>
          <w:rPr>
            <w:webHidden/>
          </w:rPr>
          <w:tab/>
        </w:r>
        <w:r>
          <w:rPr>
            <w:webHidden/>
          </w:rPr>
          <w:fldChar w:fldCharType="begin"/>
        </w:r>
        <w:r>
          <w:rPr>
            <w:webHidden/>
          </w:rPr>
          <w:instrText xml:space="preserve"> PAGEREF _Toc404119 \h </w:instrText>
        </w:r>
        <w:r>
          <w:rPr>
            <w:webHidden/>
          </w:rPr>
        </w:r>
        <w:r>
          <w:rPr>
            <w:webHidden/>
          </w:rPr>
          <w:fldChar w:fldCharType="separate"/>
        </w:r>
        <w:r w:rsidR="001B26B5">
          <w:rPr>
            <w:webHidden/>
          </w:rPr>
          <w:t>67</w:t>
        </w:r>
        <w:r>
          <w:rPr>
            <w:webHidden/>
          </w:rPr>
          <w:fldChar w:fldCharType="end"/>
        </w:r>
      </w:hyperlink>
    </w:p>
    <w:p w14:paraId="7E12BB6C"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20" w:history="1">
        <w:r w:rsidRPr="003B1501">
          <w:rPr>
            <w:rStyle w:val="Hipervnculo"/>
          </w:rPr>
          <w:t>214.1. Definición</w:t>
        </w:r>
        <w:r>
          <w:rPr>
            <w:webHidden/>
          </w:rPr>
          <w:tab/>
        </w:r>
        <w:r>
          <w:rPr>
            <w:webHidden/>
          </w:rPr>
          <w:fldChar w:fldCharType="begin"/>
        </w:r>
        <w:r>
          <w:rPr>
            <w:webHidden/>
          </w:rPr>
          <w:instrText xml:space="preserve"> PAGEREF _Toc404120 \h </w:instrText>
        </w:r>
        <w:r>
          <w:rPr>
            <w:webHidden/>
          </w:rPr>
        </w:r>
        <w:r>
          <w:rPr>
            <w:webHidden/>
          </w:rPr>
          <w:fldChar w:fldCharType="separate"/>
        </w:r>
        <w:r w:rsidR="001B26B5">
          <w:rPr>
            <w:webHidden/>
          </w:rPr>
          <w:t>67</w:t>
        </w:r>
        <w:r>
          <w:rPr>
            <w:webHidden/>
          </w:rPr>
          <w:fldChar w:fldCharType="end"/>
        </w:r>
      </w:hyperlink>
    </w:p>
    <w:p w14:paraId="2FAD07BC"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21" w:history="1">
        <w:r w:rsidRPr="003B1501">
          <w:rPr>
            <w:rStyle w:val="Hipervnculo"/>
          </w:rPr>
          <w:t>214.2. Condiciones generales</w:t>
        </w:r>
        <w:r>
          <w:rPr>
            <w:webHidden/>
          </w:rPr>
          <w:tab/>
        </w:r>
        <w:r>
          <w:rPr>
            <w:webHidden/>
          </w:rPr>
          <w:fldChar w:fldCharType="begin"/>
        </w:r>
        <w:r>
          <w:rPr>
            <w:webHidden/>
          </w:rPr>
          <w:instrText xml:space="preserve"> PAGEREF _Toc404121 \h </w:instrText>
        </w:r>
        <w:r>
          <w:rPr>
            <w:webHidden/>
          </w:rPr>
        </w:r>
        <w:r>
          <w:rPr>
            <w:webHidden/>
          </w:rPr>
          <w:fldChar w:fldCharType="separate"/>
        </w:r>
        <w:r w:rsidR="001B26B5">
          <w:rPr>
            <w:webHidden/>
          </w:rPr>
          <w:t>67</w:t>
        </w:r>
        <w:r>
          <w:rPr>
            <w:webHidden/>
          </w:rPr>
          <w:fldChar w:fldCharType="end"/>
        </w:r>
      </w:hyperlink>
    </w:p>
    <w:p w14:paraId="1C0E878C"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22" w:history="1">
        <w:r w:rsidRPr="003B1501">
          <w:rPr>
            <w:rStyle w:val="Hipervnculo"/>
          </w:rPr>
          <w:t>214.3. Denominaciones</w:t>
        </w:r>
        <w:r>
          <w:rPr>
            <w:webHidden/>
          </w:rPr>
          <w:tab/>
        </w:r>
        <w:r>
          <w:rPr>
            <w:webHidden/>
          </w:rPr>
          <w:fldChar w:fldCharType="begin"/>
        </w:r>
        <w:r>
          <w:rPr>
            <w:webHidden/>
          </w:rPr>
          <w:instrText xml:space="preserve"> PAGEREF _Toc404122 \h </w:instrText>
        </w:r>
        <w:r>
          <w:rPr>
            <w:webHidden/>
          </w:rPr>
        </w:r>
        <w:r>
          <w:rPr>
            <w:webHidden/>
          </w:rPr>
          <w:fldChar w:fldCharType="separate"/>
        </w:r>
        <w:r w:rsidR="001B26B5">
          <w:rPr>
            <w:webHidden/>
          </w:rPr>
          <w:t>67</w:t>
        </w:r>
        <w:r>
          <w:rPr>
            <w:webHidden/>
          </w:rPr>
          <w:fldChar w:fldCharType="end"/>
        </w:r>
      </w:hyperlink>
    </w:p>
    <w:p w14:paraId="7472CDF0"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23" w:history="1">
        <w:r w:rsidRPr="003B1501">
          <w:rPr>
            <w:rStyle w:val="Hipervnculo"/>
          </w:rPr>
          <w:t>214.4. Transporte y almacenamiento</w:t>
        </w:r>
        <w:r>
          <w:rPr>
            <w:webHidden/>
          </w:rPr>
          <w:tab/>
        </w:r>
        <w:r>
          <w:rPr>
            <w:webHidden/>
          </w:rPr>
          <w:fldChar w:fldCharType="begin"/>
        </w:r>
        <w:r>
          <w:rPr>
            <w:webHidden/>
          </w:rPr>
          <w:instrText xml:space="preserve"> PAGEREF _Toc404123 \h </w:instrText>
        </w:r>
        <w:r>
          <w:rPr>
            <w:webHidden/>
          </w:rPr>
        </w:r>
        <w:r>
          <w:rPr>
            <w:webHidden/>
          </w:rPr>
          <w:fldChar w:fldCharType="separate"/>
        </w:r>
        <w:r w:rsidR="001B26B5">
          <w:rPr>
            <w:webHidden/>
          </w:rPr>
          <w:t>67</w:t>
        </w:r>
        <w:r>
          <w:rPr>
            <w:webHidden/>
          </w:rPr>
          <w:fldChar w:fldCharType="end"/>
        </w:r>
      </w:hyperlink>
    </w:p>
    <w:p w14:paraId="73536659"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24" w:history="1">
        <w:r w:rsidRPr="003B1501">
          <w:rPr>
            <w:rStyle w:val="Hipervnculo"/>
          </w:rPr>
          <w:t>214.5. Recepción e identificación</w:t>
        </w:r>
        <w:r>
          <w:rPr>
            <w:webHidden/>
          </w:rPr>
          <w:tab/>
        </w:r>
        <w:r>
          <w:rPr>
            <w:webHidden/>
          </w:rPr>
          <w:fldChar w:fldCharType="begin"/>
        </w:r>
        <w:r>
          <w:rPr>
            <w:webHidden/>
          </w:rPr>
          <w:instrText xml:space="preserve"> PAGEREF _Toc404124 \h </w:instrText>
        </w:r>
        <w:r>
          <w:rPr>
            <w:webHidden/>
          </w:rPr>
        </w:r>
        <w:r>
          <w:rPr>
            <w:webHidden/>
          </w:rPr>
          <w:fldChar w:fldCharType="separate"/>
        </w:r>
        <w:r w:rsidR="001B26B5">
          <w:rPr>
            <w:webHidden/>
          </w:rPr>
          <w:t>68</w:t>
        </w:r>
        <w:r>
          <w:rPr>
            <w:webHidden/>
          </w:rPr>
          <w:fldChar w:fldCharType="end"/>
        </w:r>
      </w:hyperlink>
    </w:p>
    <w:p w14:paraId="618A4F67"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25" w:history="1">
        <w:r w:rsidRPr="003B1501">
          <w:rPr>
            <w:rStyle w:val="Hipervnculo"/>
          </w:rPr>
          <w:t>214.6. Control de calidad</w:t>
        </w:r>
        <w:r>
          <w:rPr>
            <w:webHidden/>
          </w:rPr>
          <w:tab/>
        </w:r>
        <w:r>
          <w:rPr>
            <w:webHidden/>
          </w:rPr>
          <w:fldChar w:fldCharType="begin"/>
        </w:r>
        <w:r>
          <w:rPr>
            <w:webHidden/>
          </w:rPr>
          <w:instrText xml:space="preserve"> PAGEREF _Toc404125 \h </w:instrText>
        </w:r>
        <w:r>
          <w:rPr>
            <w:webHidden/>
          </w:rPr>
        </w:r>
        <w:r>
          <w:rPr>
            <w:webHidden/>
          </w:rPr>
          <w:fldChar w:fldCharType="separate"/>
        </w:r>
        <w:r w:rsidR="001B26B5">
          <w:rPr>
            <w:webHidden/>
          </w:rPr>
          <w:t>68</w:t>
        </w:r>
        <w:r>
          <w:rPr>
            <w:webHidden/>
          </w:rPr>
          <w:fldChar w:fldCharType="end"/>
        </w:r>
      </w:hyperlink>
    </w:p>
    <w:p w14:paraId="121511FD"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26" w:history="1">
        <w:r w:rsidRPr="003B1501">
          <w:rPr>
            <w:rStyle w:val="Hipervnculo"/>
          </w:rPr>
          <w:t>214.7. Criterios de aceptación o rechazo</w:t>
        </w:r>
        <w:r>
          <w:rPr>
            <w:webHidden/>
          </w:rPr>
          <w:tab/>
        </w:r>
        <w:r>
          <w:rPr>
            <w:webHidden/>
          </w:rPr>
          <w:fldChar w:fldCharType="begin"/>
        </w:r>
        <w:r>
          <w:rPr>
            <w:webHidden/>
          </w:rPr>
          <w:instrText xml:space="preserve"> PAGEREF _Toc404126 \h </w:instrText>
        </w:r>
        <w:r>
          <w:rPr>
            <w:webHidden/>
          </w:rPr>
        </w:r>
        <w:r>
          <w:rPr>
            <w:webHidden/>
          </w:rPr>
          <w:fldChar w:fldCharType="separate"/>
        </w:r>
        <w:r w:rsidR="001B26B5">
          <w:rPr>
            <w:webHidden/>
          </w:rPr>
          <w:t>68</w:t>
        </w:r>
        <w:r>
          <w:rPr>
            <w:webHidden/>
          </w:rPr>
          <w:fldChar w:fldCharType="end"/>
        </w:r>
      </w:hyperlink>
    </w:p>
    <w:p w14:paraId="4D5FDC25" w14:textId="77777777" w:rsidR="0006561B" w:rsidRDefault="0006561B" w:rsidP="0006561B">
      <w:pPr>
        <w:pStyle w:val="TDC2"/>
        <w:spacing w:line="348" w:lineRule="auto"/>
        <w:ind w:left="992" w:hanging="567"/>
        <w:rPr>
          <w:rFonts w:asciiTheme="minorHAnsi" w:eastAsiaTheme="minorEastAsia" w:hAnsiTheme="minorHAnsi" w:cstheme="minorBidi"/>
          <w:szCs w:val="22"/>
          <w:lang w:val="es-ES" w:eastAsia="es-ES"/>
        </w:rPr>
      </w:pPr>
      <w:hyperlink w:anchor="_Toc404127" w:history="1">
        <w:r w:rsidRPr="003B1501">
          <w:rPr>
            <w:rStyle w:val="Hipervnculo"/>
          </w:rPr>
          <w:t>214.8. Medición y abono</w:t>
        </w:r>
        <w:r>
          <w:rPr>
            <w:webHidden/>
          </w:rPr>
          <w:tab/>
        </w:r>
        <w:r>
          <w:rPr>
            <w:webHidden/>
          </w:rPr>
          <w:fldChar w:fldCharType="begin"/>
        </w:r>
        <w:r>
          <w:rPr>
            <w:webHidden/>
          </w:rPr>
          <w:instrText xml:space="preserve"> PAGEREF _Toc404127 \h </w:instrText>
        </w:r>
        <w:r>
          <w:rPr>
            <w:webHidden/>
          </w:rPr>
        </w:r>
        <w:r>
          <w:rPr>
            <w:webHidden/>
          </w:rPr>
          <w:fldChar w:fldCharType="separate"/>
        </w:r>
        <w:r w:rsidR="001B26B5">
          <w:rPr>
            <w:webHidden/>
          </w:rPr>
          <w:t>69</w:t>
        </w:r>
        <w:r>
          <w:rPr>
            <w:webHidden/>
          </w:rPr>
          <w:fldChar w:fldCharType="end"/>
        </w:r>
      </w:hyperlink>
    </w:p>
    <w:p w14:paraId="718D4AFC" w14:textId="77777777" w:rsidR="0006561B" w:rsidRDefault="0006561B">
      <w:pPr>
        <w:pStyle w:val="TDC1"/>
        <w:rPr>
          <w:rFonts w:asciiTheme="minorHAnsi" w:eastAsiaTheme="minorEastAsia" w:hAnsiTheme="minorHAnsi" w:cstheme="minorBidi"/>
          <w:b w:val="0"/>
          <w:sz w:val="22"/>
          <w:szCs w:val="22"/>
          <w:lang w:val="es-ES" w:eastAsia="es-ES"/>
        </w:rPr>
      </w:pPr>
      <w:hyperlink w:anchor="_Toc404128" w:history="1">
        <w:r w:rsidRPr="003B1501">
          <w:rPr>
            <w:rStyle w:val="Hipervnculo"/>
          </w:rPr>
          <w:t>Artículo 240.  Barras corrugadas para hormigón estructural</w:t>
        </w:r>
        <w:r>
          <w:rPr>
            <w:webHidden/>
          </w:rPr>
          <w:tab/>
        </w:r>
        <w:r>
          <w:rPr>
            <w:webHidden/>
          </w:rPr>
          <w:fldChar w:fldCharType="begin"/>
        </w:r>
        <w:r>
          <w:rPr>
            <w:webHidden/>
          </w:rPr>
          <w:instrText xml:space="preserve"> PAGEREF _Toc404128 \h </w:instrText>
        </w:r>
        <w:r>
          <w:rPr>
            <w:webHidden/>
          </w:rPr>
        </w:r>
        <w:r>
          <w:rPr>
            <w:webHidden/>
          </w:rPr>
          <w:fldChar w:fldCharType="separate"/>
        </w:r>
        <w:r w:rsidR="001B26B5">
          <w:rPr>
            <w:webHidden/>
          </w:rPr>
          <w:t>70</w:t>
        </w:r>
        <w:r>
          <w:rPr>
            <w:webHidden/>
          </w:rPr>
          <w:fldChar w:fldCharType="end"/>
        </w:r>
      </w:hyperlink>
    </w:p>
    <w:p w14:paraId="548293B1" w14:textId="77777777" w:rsidR="0006561B" w:rsidRDefault="0006561B">
      <w:pPr>
        <w:pStyle w:val="TDC2"/>
        <w:rPr>
          <w:rFonts w:asciiTheme="minorHAnsi" w:eastAsiaTheme="minorEastAsia" w:hAnsiTheme="minorHAnsi" w:cstheme="minorBidi"/>
          <w:szCs w:val="22"/>
          <w:lang w:val="es-ES" w:eastAsia="es-ES"/>
        </w:rPr>
      </w:pPr>
      <w:hyperlink w:anchor="_Toc404129" w:history="1">
        <w:r w:rsidRPr="003B1501">
          <w:rPr>
            <w:rStyle w:val="Hipervnculo"/>
          </w:rPr>
          <w:t>240.1. Definición</w:t>
        </w:r>
        <w:r>
          <w:rPr>
            <w:webHidden/>
          </w:rPr>
          <w:tab/>
        </w:r>
        <w:r>
          <w:rPr>
            <w:webHidden/>
          </w:rPr>
          <w:fldChar w:fldCharType="begin"/>
        </w:r>
        <w:r>
          <w:rPr>
            <w:webHidden/>
          </w:rPr>
          <w:instrText xml:space="preserve"> PAGEREF _Toc404129 \h </w:instrText>
        </w:r>
        <w:r>
          <w:rPr>
            <w:webHidden/>
          </w:rPr>
        </w:r>
        <w:r>
          <w:rPr>
            <w:webHidden/>
          </w:rPr>
          <w:fldChar w:fldCharType="separate"/>
        </w:r>
        <w:r w:rsidR="001B26B5">
          <w:rPr>
            <w:webHidden/>
          </w:rPr>
          <w:t>70</w:t>
        </w:r>
        <w:r>
          <w:rPr>
            <w:webHidden/>
          </w:rPr>
          <w:fldChar w:fldCharType="end"/>
        </w:r>
      </w:hyperlink>
    </w:p>
    <w:p w14:paraId="3068C7BE" w14:textId="77777777" w:rsidR="0006561B" w:rsidRDefault="0006561B">
      <w:pPr>
        <w:pStyle w:val="TDC2"/>
        <w:rPr>
          <w:rFonts w:asciiTheme="minorHAnsi" w:eastAsiaTheme="minorEastAsia" w:hAnsiTheme="minorHAnsi" w:cstheme="minorBidi"/>
          <w:szCs w:val="22"/>
          <w:lang w:val="es-ES" w:eastAsia="es-ES"/>
        </w:rPr>
      </w:pPr>
      <w:hyperlink w:anchor="_Toc404130" w:history="1">
        <w:r w:rsidRPr="003B1501">
          <w:rPr>
            <w:rStyle w:val="Hipervnculo"/>
          </w:rPr>
          <w:t>240.2. Materiales</w:t>
        </w:r>
        <w:r>
          <w:rPr>
            <w:webHidden/>
          </w:rPr>
          <w:tab/>
        </w:r>
        <w:r>
          <w:rPr>
            <w:webHidden/>
          </w:rPr>
          <w:fldChar w:fldCharType="begin"/>
        </w:r>
        <w:r>
          <w:rPr>
            <w:webHidden/>
          </w:rPr>
          <w:instrText xml:space="preserve"> PAGEREF _Toc404130 \h </w:instrText>
        </w:r>
        <w:r>
          <w:rPr>
            <w:webHidden/>
          </w:rPr>
        </w:r>
        <w:r>
          <w:rPr>
            <w:webHidden/>
          </w:rPr>
          <w:fldChar w:fldCharType="separate"/>
        </w:r>
        <w:r w:rsidR="001B26B5">
          <w:rPr>
            <w:webHidden/>
          </w:rPr>
          <w:t>70</w:t>
        </w:r>
        <w:r>
          <w:rPr>
            <w:webHidden/>
          </w:rPr>
          <w:fldChar w:fldCharType="end"/>
        </w:r>
      </w:hyperlink>
    </w:p>
    <w:p w14:paraId="3EC380B7" w14:textId="77777777" w:rsidR="0006561B" w:rsidRDefault="0006561B">
      <w:pPr>
        <w:pStyle w:val="TDC2"/>
        <w:rPr>
          <w:rFonts w:asciiTheme="minorHAnsi" w:eastAsiaTheme="minorEastAsia" w:hAnsiTheme="minorHAnsi" w:cstheme="minorBidi"/>
          <w:szCs w:val="22"/>
          <w:lang w:val="es-ES" w:eastAsia="es-ES"/>
        </w:rPr>
      </w:pPr>
      <w:hyperlink w:anchor="_Toc404131" w:history="1">
        <w:r w:rsidRPr="003B1501">
          <w:rPr>
            <w:rStyle w:val="Hipervnculo"/>
          </w:rPr>
          <w:t>240.5. Recepción</w:t>
        </w:r>
        <w:r>
          <w:rPr>
            <w:webHidden/>
          </w:rPr>
          <w:tab/>
        </w:r>
        <w:r>
          <w:rPr>
            <w:webHidden/>
          </w:rPr>
          <w:fldChar w:fldCharType="begin"/>
        </w:r>
        <w:r>
          <w:rPr>
            <w:webHidden/>
          </w:rPr>
          <w:instrText xml:space="preserve"> PAGEREF _Toc404131 \h </w:instrText>
        </w:r>
        <w:r>
          <w:rPr>
            <w:webHidden/>
          </w:rPr>
        </w:r>
        <w:r>
          <w:rPr>
            <w:webHidden/>
          </w:rPr>
          <w:fldChar w:fldCharType="separate"/>
        </w:r>
        <w:r w:rsidR="001B26B5">
          <w:rPr>
            <w:webHidden/>
          </w:rPr>
          <w:t>70</w:t>
        </w:r>
        <w:r>
          <w:rPr>
            <w:webHidden/>
          </w:rPr>
          <w:fldChar w:fldCharType="end"/>
        </w:r>
      </w:hyperlink>
    </w:p>
    <w:p w14:paraId="6D2DCB43" w14:textId="77777777" w:rsidR="0006561B" w:rsidRDefault="0006561B">
      <w:pPr>
        <w:pStyle w:val="TDC2"/>
        <w:rPr>
          <w:rFonts w:asciiTheme="minorHAnsi" w:eastAsiaTheme="minorEastAsia" w:hAnsiTheme="minorHAnsi" w:cstheme="minorBidi"/>
          <w:szCs w:val="22"/>
          <w:lang w:val="es-ES" w:eastAsia="es-ES"/>
        </w:rPr>
      </w:pPr>
      <w:hyperlink w:anchor="_Toc404132" w:history="1">
        <w:r w:rsidRPr="003B1501">
          <w:rPr>
            <w:rStyle w:val="Hipervnculo"/>
          </w:rPr>
          <w:t>240.6. Medición y abono</w:t>
        </w:r>
        <w:r>
          <w:rPr>
            <w:webHidden/>
          </w:rPr>
          <w:tab/>
        </w:r>
        <w:r>
          <w:rPr>
            <w:webHidden/>
          </w:rPr>
          <w:fldChar w:fldCharType="begin"/>
        </w:r>
        <w:r>
          <w:rPr>
            <w:webHidden/>
          </w:rPr>
          <w:instrText xml:space="preserve"> PAGEREF _Toc404132 \h </w:instrText>
        </w:r>
        <w:r>
          <w:rPr>
            <w:webHidden/>
          </w:rPr>
        </w:r>
        <w:r>
          <w:rPr>
            <w:webHidden/>
          </w:rPr>
          <w:fldChar w:fldCharType="separate"/>
        </w:r>
        <w:r w:rsidR="001B26B5">
          <w:rPr>
            <w:webHidden/>
          </w:rPr>
          <w:t>70</w:t>
        </w:r>
        <w:r>
          <w:rPr>
            <w:webHidden/>
          </w:rPr>
          <w:fldChar w:fldCharType="end"/>
        </w:r>
      </w:hyperlink>
    </w:p>
    <w:p w14:paraId="10DBC0EE" w14:textId="77777777" w:rsidR="0006561B" w:rsidRDefault="0006561B">
      <w:pPr>
        <w:pStyle w:val="TDC1"/>
        <w:rPr>
          <w:rFonts w:asciiTheme="minorHAnsi" w:eastAsiaTheme="minorEastAsia" w:hAnsiTheme="minorHAnsi" w:cstheme="minorBidi"/>
          <w:b w:val="0"/>
          <w:sz w:val="22"/>
          <w:szCs w:val="22"/>
          <w:lang w:val="es-ES" w:eastAsia="es-ES"/>
        </w:rPr>
      </w:pPr>
      <w:hyperlink w:anchor="_Toc404133" w:history="1">
        <w:r w:rsidRPr="003B1501">
          <w:rPr>
            <w:rStyle w:val="Hipervnculo"/>
          </w:rPr>
          <w:t>Artículo 290. Geotextil</w:t>
        </w:r>
        <w:r>
          <w:rPr>
            <w:webHidden/>
          </w:rPr>
          <w:tab/>
        </w:r>
        <w:r>
          <w:rPr>
            <w:webHidden/>
          </w:rPr>
          <w:fldChar w:fldCharType="begin"/>
        </w:r>
        <w:r>
          <w:rPr>
            <w:webHidden/>
          </w:rPr>
          <w:instrText xml:space="preserve"> PAGEREF _Toc404133 \h </w:instrText>
        </w:r>
        <w:r>
          <w:rPr>
            <w:webHidden/>
          </w:rPr>
        </w:r>
        <w:r>
          <w:rPr>
            <w:webHidden/>
          </w:rPr>
          <w:fldChar w:fldCharType="separate"/>
        </w:r>
        <w:r w:rsidR="001B26B5">
          <w:rPr>
            <w:webHidden/>
          </w:rPr>
          <w:t>71</w:t>
        </w:r>
        <w:r>
          <w:rPr>
            <w:webHidden/>
          </w:rPr>
          <w:fldChar w:fldCharType="end"/>
        </w:r>
      </w:hyperlink>
    </w:p>
    <w:p w14:paraId="59851A0A" w14:textId="77777777" w:rsidR="0006561B" w:rsidRDefault="0006561B">
      <w:pPr>
        <w:pStyle w:val="TDC2"/>
        <w:rPr>
          <w:rFonts w:asciiTheme="minorHAnsi" w:eastAsiaTheme="minorEastAsia" w:hAnsiTheme="minorHAnsi" w:cstheme="minorBidi"/>
          <w:szCs w:val="22"/>
          <w:lang w:val="es-ES" w:eastAsia="es-ES"/>
        </w:rPr>
      </w:pPr>
      <w:hyperlink w:anchor="_Toc404134" w:history="1">
        <w:r w:rsidRPr="003B1501">
          <w:rPr>
            <w:rStyle w:val="Hipervnculo"/>
          </w:rPr>
          <w:t>290.1. Definición</w:t>
        </w:r>
        <w:r>
          <w:rPr>
            <w:webHidden/>
          </w:rPr>
          <w:tab/>
        </w:r>
        <w:r>
          <w:rPr>
            <w:webHidden/>
          </w:rPr>
          <w:fldChar w:fldCharType="begin"/>
        </w:r>
        <w:r>
          <w:rPr>
            <w:webHidden/>
          </w:rPr>
          <w:instrText xml:space="preserve"> PAGEREF _Toc404134 \h </w:instrText>
        </w:r>
        <w:r>
          <w:rPr>
            <w:webHidden/>
          </w:rPr>
        </w:r>
        <w:r>
          <w:rPr>
            <w:webHidden/>
          </w:rPr>
          <w:fldChar w:fldCharType="separate"/>
        </w:r>
        <w:r w:rsidR="001B26B5">
          <w:rPr>
            <w:webHidden/>
          </w:rPr>
          <w:t>71</w:t>
        </w:r>
        <w:r>
          <w:rPr>
            <w:webHidden/>
          </w:rPr>
          <w:fldChar w:fldCharType="end"/>
        </w:r>
      </w:hyperlink>
    </w:p>
    <w:p w14:paraId="6244D895" w14:textId="77777777" w:rsidR="0006561B" w:rsidRDefault="0006561B">
      <w:pPr>
        <w:pStyle w:val="TDC2"/>
        <w:rPr>
          <w:rFonts w:asciiTheme="minorHAnsi" w:eastAsiaTheme="minorEastAsia" w:hAnsiTheme="minorHAnsi" w:cstheme="minorBidi"/>
          <w:szCs w:val="22"/>
          <w:lang w:val="es-ES" w:eastAsia="es-ES"/>
        </w:rPr>
      </w:pPr>
      <w:hyperlink w:anchor="_Toc404135" w:history="1">
        <w:r w:rsidRPr="003B1501">
          <w:rPr>
            <w:rStyle w:val="Hipervnculo"/>
          </w:rPr>
          <w:t>290.2. Condiciones generales</w:t>
        </w:r>
        <w:r>
          <w:rPr>
            <w:webHidden/>
          </w:rPr>
          <w:tab/>
        </w:r>
        <w:r>
          <w:rPr>
            <w:webHidden/>
          </w:rPr>
          <w:fldChar w:fldCharType="begin"/>
        </w:r>
        <w:r>
          <w:rPr>
            <w:webHidden/>
          </w:rPr>
          <w:instrText xml:space="preserve"> PAGEREF _Toc404135 \h </w:instrText>
        </w:r>
        <w:r>
          <w:rPr>
            <w:webHidden/>
          </w:rPr>
        </w:r>
        <w:r>
          <w:rPr>
            <w:webHidden/>
          </w:rPr>
          <w:fldChar w:fldCharType="separate"/>
        </w:r>
        <w:r w:rsidR="001B26B5">
          <w:rPr>
            <w:webHidden/>
          </w:rPr>
          <w:t>71</w:t>
        </w:r>
        <w:r>
          <w:rPr>
            <w:webHidden/>
          </w:rPr>
          <w:fldChar w:fldCharType="end"/>
        </w:r>
      </w:hyperlink>
    </w:p>
    <w:p w14:paraId="0635BC00" w14:textId="77777777" w:rsidR="0006561B" w:rsidRDefault="0006561B">
      <w:pPr>
        <w:pStyle w:val="TDC2"/>
        <w:rPr>
          <w:rFonts w:asciiTheme="minorHAnsi" w:eastAsiaTheme="minorEastAsia" w:hAnsiTheme="minorHAnsi" w:cstheme="minorBidi"/>
          <w:szCs w:val="22"/>
          <w:lang w:val="es-ES" w:eastAsia="es-ES"/>
        </w:rPr>
      </w:pPr>
      <w:hyperlink w:anchor="_Toc404136" w:history="1">
        <w:r w:rsidRPr="003B1501">
          <w:rPr>
            <w:rStyle w:val="Hipervnculo"/>
          </w:rPr>
          <w:t>290.3. Transporte y almacenamiento</w:t>
        </w:r>
        <w:r>
          <w:rPr>
            <w:webHidden/>
          </w:rPr>
          <w:tab/>
        </w:r>
        <w:r>
          <w:rPr>
            <w:webHidden/>
          </w:rPr>
          <w:fldChar w:fldCharType="begin"/>
        </w:r>
        <w:r>
          <w:rPr>
            <w:webHidden/>
          </w:rPr>
          <w:instrText xml:space="preserve"> PAGEREF _Toc404136 \h </w:instrText>
        </w:r>
        <w:r>
          <w:rPr>
            <w:webHidden/>
          </w:rPr>
        </w:r>
        <w:r>
          <w:rPr>
            <w:webHidden/>
          </w:rPr>
          <w:fldChar w:fldCharType="separate"/>
        </w:r>
        <w:r w:rsidR="001B26B5">
          <w:rPr>
            <w:webHidden/>
          </w:rPr>
          <w:t>72</w:t>
        </w:r>
        <w:r>
          <w:rPr>
            <w:webHidden/>
          </w:rPr>
          <w:fldChar w:fldCharType="end"/>
        </w:r>
      </w:hyperlink>
    </w:p>
    <w:p w14:paraId="567A06BE" w14:textId="77777777" w:rsidR="0006561B" w:rsidRDefault="0006561B">
      <w:pPr>
        <w:pStyle w:val="TDC2"/>
        <w:rPr>
          <w:rFonts w:asciiTheme="minorHAnsi" w:eastAsiaTheme="minorEastAsia" w:hAnsiTheme="minorHAnsi" w:cstheme="minorBidi"/>
          <w:szCs w:val="22"/>
          <w:lang w:val="es-ES" w:eastAsia="es-ES"/>
        </w:rPr>
      </w:pPr>
      <w:hyperlink w:anchor="_Toc404137" w:history="1">
        <w:r w:rsidRPr="003B1501">
          <w:rPr>
            <w:rStyle w:val="Hipervnculo"/>
          </w:rPr>
          <w:t>290.4. Recepción e identificación</w:t>
        </w:r>
        <w:r>
          <w:rPr>
            <w:webHidden/>
          </w:rPr>
          <w:tab/>
        </w:r>
        <w:r>
          <w:rPr>
            <w:webHidden/>
          </w:rPr>
          <w:fldChar w:fldCharType="begin"/>
        </w:r>
        <w:r>
          <w:rPr>
            <w:webHidden/>
          </w:rPr>
          <w:instrText xml:space="preserve"> PAGEREF _Toc404137 \h </w:instrText>
        </w:r>
        <w:r>
          <w:rPr>
            <w:webHidden/>
          </w:rPr>
        </w:r>
        <w:r>
          <w:rPr>
            <w:webHidden/>
          </w:rPr>
          <w:fldChar w:fldCharType="separate"/>
        </w:r>
        <w:r w:rsidR="001B26B5">
          <w:rPr>
            <w:webHidden/>
          </w:rPr>
          <w:t>73</w:t>
        </w:r>
        <w:r>
          <w:rPr>
            <w:webHidden/>
          </w:rPr>
          <w:fldChar w:fldCharType="end"/>
        </w:r>
      </w:hyperlink>
    </w:p>
    <w:p w14:paraId="22619073" w14:textId="77777777" w:rsidR="0006561B" w:rsidRDefault="0006561B">
      <w:pPr>
        <w:pStyle w:val="TDC2"/>
        <w:rPr>
          <w:rFonts w:asciiTheme="minorHAnsi" w:eastAsiaTheme="minorEastAsia" w:hAnsiTheme="minorHAnsi" w:cstheme="minorBidi"/>
          <w:szCs w:val="22"/>
          <w:lang w:val="es-ES" w:eastAsia="es-ES"/>
        </w:rPr>
      </w:pPr>
      <w:hyperlink w:anchor="_Toc404138" w:history="1">
        <w:r w:rsidRPr="003B1501">
          <w:rPr>
            <w:rStyle w:val="Hipervnculo"/>
          </w:rPr>
          <w:t>290.5. Control de calidad</w:t>
        </w:r>
        <w:r>
          <w:rPr>
            <w:webHidden/>
          </w:rPr>
          <w:tab/>
        </w:r>
        <w:r>
          <w:rPr>
            <w:webHidden/>
          </w:rPr>
          <w:fldChar w:fldCharType="begin"/>
        </w:r>
        <w:r>
          <w:rPr>
            <w:webHidden/>
          </w:rPr>
          <w:instrText xml:space="preserve"> PAGEREF _Toc404138 \h </w:instrText>
        </w:r>
        <w:r>
          <w:rPr>
            <w:webHidden/>
          </w:rPr>
        </w:r>
        <w:r>
          <w:rPr>
            <w:webHidden/>
          </w:rPr>
          <w:fldChar w:fldCharType="separate"/>
        </w:r>
        <w:r w:rsidR="001B26B5">
          <w:rPr>
            <w:webHidden/>
          </w:rPr>
          <w:t>73</w:t>
        </w:r>
        <w:r>
          <w:rPr>
            <w:webHidden/>
          </w:rPr>
          <w:fldChar w:fldCharType="end"/>
        </w:r>
      </w:hyperlink>
    </w:p>
    <w:p w14:paraId="13EF550F" w14:textId="77777777" w:rsidR="0006561B" w:rsidRDefault="0006561B">
      <w:pPr>
        <w:pStyle w:val="TDC2"/>
        <w:rPr>
          <w:rFonts w:asciiTheme="minorHAnsi" w:eastAsiaTheme="minorEastAsia" w:hAnsiTheme="minorHAnsi" w:cstheme="minorBidi"/>
          <w:szCs w:val="22"/>
          <w:lang w:val="es-ES" w:eastAsia="es-ES"/>
        </w:rPr>
      </w:pPr>
      <w:hyperlink w:anchor="_Toc404139" w:history="1">
        <w:r w:rsidRPr="003B1501">
          <w:rPr>
            <w:rStyle w:val="Hipervnculo"/>
          </w:rPr>
          <w:t>290.6. Criterios de aceptación o rechazo</w:t>
        </w:r>
        <w:r>
          <w:rPr>
            <w:webHidden/>
          </w:rPr>
          <w:tab/>
        </w:r>
        <w:r>
          <w:rPr>
            <w:webHidden/>
          </w:rPr>
          <w:fldChar w:fldCharType="begin"/>
        </w:r>
        <w:r>
          <w:rPr>
            <w:webHidden/>
          </w:rPr>
          <w:instrText xml:space="preserve"> PAGEREF _Toc404139 \h </w:instrText>
        </w:r>
        <w:r>
          <w:rPr>
            <w:webHidden/>
          </w:rPr>
        </w:r>
        <w:r>
          <w:rPr>
            <w:webHidden/>
          </w:rPr>
          <w:fldChar w:fldCharType="separate"/>
        </w:r>
        <w:r w:rsidR="001B26B5">
          <w:rPr>
            <w:webHidden/>
          </w:rPr>
          <w:t>74</w:t>
        </w:r>
        <w:r>
          <w:rPr>
            <w:webHidden/>
          </w:rPr>
          <w:fldChar w:fldCharType="end"/>
        </w:r>
      </w:hyperlink>
    </w:p>
    <w:p w14:paraId="5F9EECA6" w14:textId="77777777" w:rsidR="0006561B" w:rsidRDefault="0006561B">
      <w:pPr>
        <w:pStyle w:val="TDC2"/>
        <w:rPr>
          <w:rFonts w:asciiTheme="minorHAnsi" w:eastAsiaTheme="minorEastAsia" w:hAnsiTheme="minorHAnsi" w:cstheme="minorBidi"/>
          <w:szCs w:val="22"/>
          <w:lang w:val="es-ES" w:eastAsia="es-ES"/>
        </w:rPr>
      </w:pPr>
      <w:hyperlink w:anchor="_Toc404140" w:history="1">
        <w:r w:rsidRPr="003B1501">
          <w:rPr>
            <w:rStyle w:val="Hipervnculo"/>
          </w:rPr>
          <w:t>290.7. Medición y abono</w:t>
        </w:r>
        <w:r>
          <w:rPr>
            <w:webHidden/>
          </w:rPr>
          <w:tab/>
        </w:r>
        <w:r>
          <w:rPr>
            <w:webHidden/>
          </w:rPr>
          <w:fldChar w:fldCharType="begin"/>
        </w:r>
        <w:r>
          <w:rPr>
            <w:webHidden/>
          </w:rPr>
          <w:instrText xml:space="preserve"> PAGEREF _Toc404140 \h </w:instrText>
        </w:r>
        <w:r>
          <w:rPr>
            <w:webHidden/>
          </w:rPr>
        </w:r>
        <w:r>
          <w:rPr>
            <w:webHidden/>
          </w:rPr>
          <w:fldChar w:fldCharType="separate"/>
        </w:r>
        <w:r w:rsidR="001B26B5">
          <w:rPr>
            <w:webHidden/>
          </w:rPr>
          <w:t>74</w:t>
        </w:r>
        <w:r>
          <w:rPr>
            <w:webHidden/>
          </w:rPr>
          <w:fldChar w:fldCharType="end"/>
        </w:r>
      </w:hyperlink>
    </w:p>
    <w:p w14:paraId="6EE99217" w14:textId="77777777" w:rsidR="0006561B" w:rsidRDefault="0006561B">
      <w:pPr>
        <w:pStyle w:val="TDC1"/>
        <w:rPr>
          <w:rFonts w:asciiTheme="minorHAnsi" w:eastAsiaTheme="minorEastAsia" w:hAnsiTheme="minorHAnsi" w:cstheme="minorBidi"/>
          <w:b w:val="0"/>
          <w:sz w:val="22"/>
          <w:szCs w:val="22"/>
          <w:lang w:val="es-ES" w:eastAsia="es-ES"/>
        </w:rPr>
      </w:pPr>
      <w:hyperlink w:anchor="_Toc404141" w:history="1">
        <w:r w:rsidRPr="003B1501">
          <w:rPr>
            <w:rStyle w:val="Hipervnculo"/>
          </w:rPr>
          <w:t>Artículo 290b. Geocompuesto para firme</w:t>
        </w:r>
        <w:r>
          <w:rPr>
            <w:webHidden/>
          </w:rPr>
          <w:tab/>
        </w:r>
        <w:r>
          <w:rPr>
            <w:webHidden/>
          </w:rPr>
          <w:fldChar w:fldCharType="begin"/>
        </w:r>
        <w:r>
          <w:rPr>
            <w:webHidden/>
          </w:rPr>
          <w:instrText xml:space="preserve"> PAGEREF _Toc404141 \h </w:instrText>
        </w:r>
        <w:r>
          <w:rPr>
            <w:webHidden/>
          </w:rPr>
        </w:r>
        <w:r>
          <w:rPr>
            <w:webHidden/>
          </w:rPr>
          <w:fldChar w:fldCharType="separate"/>
        </w:r>
        <w:r w:rsidR="001B26B5">
          <w:rPr>
            <w:webHidden/>
          </w:rPr>
          <w:t>75</w:t>
        </w:r>
        <w:r>
          <w:rPr>
            <w:webHidden/>
          </w:rPr>
          <w:fldChar w:fldCharType="end"/>
        </w:r>
      </w:hyperlink>
    </w:p>
    <w:p w14:paraId="11966AE1" w14:textId="77777777" w:rsidR="0006561B" w:rsidRDefault="0006561B">
      <w:pPr>
        <w:pStyle w:val="TDC2"/>
        <w:rPr>
          <w:rFonts w:asciiTheme="minorHAnsi" w:eastAsiaTheme="minorEastAsia" w:hAnsiTheme="minorHAnsi" w:cstheme="minorBidi"/>
          <w:szCs w:val="22"/>
          <w:lang w:val="es-ES" w:eastAsia="es-ES"/>
        </w:rPr>
      </w:pPr>
      <w:hyperlink w:anchor="_Toc404142" w:history="1">
        <w:r w:rsidRPr="003B1501">
          <w:rPr>
            <w:rStyle w:val="Hipervnculo"/>
          </w:rPr>
          <w:t>290b.1. Definición</w:t>
        </w:r>
        <w:r>
          <w:rPr>
            <w:webHidden/>
          </w:rPr>
          <w:tab/>
        </w:r>
        <w:r>
          <w:rPr>
            <w:webHidden/>
          </w:rPr>
          <w:fldChar w:fldCharType="begin"/>
        </w:r>
        <w:r>
          <w:rPr>
            <w:webHidden/>
          </w:rPr>
          <w:instrText xml:space="preserve"> PAGEREF _Toc404142 \h </w:instrText>
        </w:r>
        <w:r>
          <w:rPr>
            <w:webHidden/>
          </w:rPr>
        </w:r>
        <w:r>
          <w:rPr>
            <w:webHidden/>
          </w:rPr>
          <w:fldChar w:fldCharType="separate"/>
        </w:r>
        <w:r w:rsidR="001B26B5">
          <w:rPr>
            <w:webHidden/>
          </w:rPr>
          <w:t>75</w:t>
        </w:r>
        <w:r>
          <w:rPr>
            <w:webHidden/>
          </w:rPr>
          <w:fldChar w:fldCharType="end"/>
        </w:r>
      </w:hyperlink>
    </w:p>
    <w:p w14:paraId="528EEA37" w14:textId="77777777" w:rsidR="0006561B" w:rsidRDefault="0006561B">
      <w:pPr>
        <w:pStyle w:val="TDC2"/>
        <w:rPr>
          <w:rFonts w:asciiTheme="minorHAnsi" w:eastAsiaTheme="minorEastAsia" w:hAnsiTheme="minorHAnsi" w:cstheme="minorBidi"/>
          <w:szCs w:val="22"/>
          <w:lang w:val="es-ES" w:eastAsia="es-ES"/>
        </w:rPr>
      </w:pPr>
      <w:hyperlink w:anchor="_Toc404143" w:history="1">
        <w:r w:rsidRPr="003B1501">
          <w:rPr>
            <w:rStyle w:val="Hipervnculo"/>
          </w:rPr>
          <w:t>290b.2. Aplicación</w:t>
        </w:r>
        <w:r>
          <w:rPr>
            <w:webHidden/>
          </w:rPr>
          <w:tab/>
        </w:r>
        <w:r>
          <w:rPr>
            <w:webHidden/>
          </w:rPr>
          <w:fldChar w:fldCharType="begin"/>
        </w:r>
        <w:r>
          <w:rPr>
            <w:webHidden/>
          </w:rPr>
          <w:instrText xml:space="preserve"> PAGEREF _Toc404143 \h </w:instrText>
        </w:r>
        <w:r>
          <w:rPr>
            <w:webHidden/>
          </w:rPr>
        </w:r>
        <w:r>
          <w:rPr>
            <w:webHidden/>
          </w:rPr>
          <w:fldChar w:fldCharType="separate"/>
        </w:r>
        <w:r w:rsidR="001B26B5">
          <w:rPr>
            <w:webHidden/>
          </w:rPr>
          <w:t>75</w:t>
        </w:r>
        <w:r>
          <w:rPr>
            <w:webHidden/>
          </w:rPr>
          <w:fldChar w:fldCharType="end"/>
        </w:r>
      </w:hyperlink>
    </w:p>
    <w:p w14:paraId="4FBC2DD3" w14:textId="77777777" w:rsidR="0006561B" w:rsidRDefault="0006561B">
      <w:pPr>
        <w:pStyle w:val="TDC2"/>
        <w:rPr>
          <w:rFonts w:asciiTheme="minorHAnsi" w:eastAsiaTheme="minorEastAsia" w:hAnsiTheme="minorHAnsi" w:cstheme="minorBidi"/>
          <w:szCs w:val="22"/>
          <w:lang w:val="es-ES" w:eastAsia="es-ES"/>
        </w:rPr>
      </w:pPr>
      <w:hyperlink w:anchor="_Toc404144" w:history="1">
        <w:r w:rsidRPr="003B1501">
          <w:rPr>
            <w:rStyle w:val="Hipervnculo"/>
          </w:rPr>
          <w:t>290b.3. Materiales</w:t>
        </w:r>
        <w:r>
          <w:rPr>
            <w:webHidden/>
          </w:rPr>
          <w:tab/>
        </w:r>
        <w:r>
          <w:rPr>
            <w:webHidden/>
          </w:rPr>
          <w:fldChar w:fldCharType="begin"/>
        </w:r>
        <w:r>
          <w:rPr>
            <w:webHidden/>
          </w:rPr>
          <w:instrText xml:space="preserve"> PAGEREF _Toc404144 \h </w:instrText>
        </w:r>
        <w:r>
          <w:rPr>
            <w:webHidden/>
          </w:rPr>
        </w:r>
        <w:r>
          <w:rPr>
            <w:webHidden/>
          </w:rPr>
          <w:fldChar w:fldCharType="separate"/>
        </w:r>
        <w:r w:rsidR="001B26B5">
          <w:rPr>
            <w:webHidden/>
          </w:rPr>
          <w:t>75</w:t>
        </w:r>
        <w:r>
          <w:rPr>
            <w:webHidden/>
          </w:rPr>
          <w:fldChar w:fldCharType="end"/>
        </w:r>
      </w:hyperlink>
    </w:p>
    <w:p w14:paraId="0136DC6F" w14:textId="77777777" w:rsidR="0006561B" w:rsidRDefault="0006561B">
      <w:pPr>
        <w:pStyle w:val="TDC2"/>
        <w:rPr>
          <w:rFonts w:asciiTheme="minorHAnsi" w:eastAsiaTheme="minorEastAsia" w:hAnsiTheme="minorHAnsi" w:cstheme="minorBidi"/>
          <w:szCs w:val="22"/>
          <w:lang w:val="es-ES" w:eastAsia="es-ES"/>
        </w:rPr>
      </w:pPr>
      <w:hyperlink w:anchor="_Toc404145" w:history="1">
        <w:r w:rsidRPr="003B1501">
          <w:rPr>
            <w:rStyle w:val="Hipervnculo"/>
          </w:rPr>
          <w:t>290b.4.  Ejecución de las obras</w:t>
        </w:r>
        <w:r>
          <w:rPr>
            <w:webHidden/>
          </w:rPr>
          <w:tab/>
        </w:r>
        <w:r>
          <w:rPr>
            <w:webHidden/>
          </w:rPr>
          <w:fldChar w:fldCharType="begin"/>
        </w:r>
        <w:r>
          <w:rPr>
            <w:webHidden/>
          </w:rPr>
          <w:instrText xml:space="preserve"> PAGEREF _Toc404145 \h </w:instrText>
        </w:r>
        <w:r>
          <w:rPr>
            <w:webHidden/>
          </w:rPr>
        </w:r>
        <w:r>
          <w:rPr>
            <w:webHidden/>
          </w:rPr>
          <w:fldChar w:fldCharType="separate"/>
        </w:r>
        <w:r w:rsidR="001B26B5">
          <w:rPr>
            <w:webHidden/>
          </w:rPr>
          <w:t>76</w:t>
        </w:r>
        <w:r>
          <w:rPr>
            <w:webHidden/>
          </w:rPr>
          <w:fldChar w:fldCharType="end"/>
        </w:r>
      </w:hyperlink>
    </w:p>
    <w:p w14:paraId="30B34D91" w14:textId="77777777" w:rsidR="0006561B" w:rsidRDefault="0006561B">
      <w:pPr>
        <w:pStyle w:val="TDC2"/>
        <w:rPr>
          <w:rFonts w:asciiTheme="minorHAnsi" w:eastAsiaTheme="minorEastAsia" w:hAnsiTheme="minorHAnsi" w:cstheme="minorBidi"/>
          <w:szCs w:val="22"/>
          <w:lang w:val="es-ES" w:eastAsia="es-ES"/>
        </w:rPr>
      </w:pPr>
      <w:hyperlink w:anchor="_Toc404146" w:history="1">
        <w:r w:rsidRPr="003B1501">
          <w:rPr>
            <w:rStyle w:val="Hipervnculo"/>
          </w:rPr>
          <w:t>290b.5. Recepción y Control de calidad</w:t>
        </w:r>
        <w:r>
          <w:rPr>
            <w:webHidden/>
          </w:rPr>
          <w:tab/>
        </w:r>
        <w:r>
          <w:rPr>
            <w:webHidden/>
          </w:rPr>
          <w:fldChar w:fldCharType="begin"/>
        </w:r>
        <w:r>
          <w:rPr>
            <w:webHidden/>
          </w:rPr>
          <w:instrText xml:space="preserve"> PAGEREF _Toc404146 \h </w:instrText>
        </w:r>
        <w:r>
          <w:rPr>
            <w:webHidden/>
          </w:rPr>
        </w:r>
        <w:r>
          <w:rPr>
            <w:webHidden/>
          </w:rPr>
          <w:fldChar w:fldCharType="separate"/>
        </w:r>
        <w:r w:rsidR="001B26B5">
          <w:rPr>
            <w:webHidden/>
          </w:rPr>
          <w:t>77</w:t>
        </w:r>
        <w:r>
          <w:rPr>
            <w:webHidden/>
          </w:rPr>
          <w:fldChar w:fldCharType="end"/>
        </w:r>
      </w:hyperlink>
    </w:p>
    <w:p w14:paraId="69B372D7" w14:textId="77777777" w:rsidR="0006561B" w:rsidRDefault="0006561B">
      <w:pPr>
        <w:pStyle w:val="TDC2"/>
        <w:rPr>
          <w:rFonts w:asciiTheme="minorHAnsi" w:eastAsiaTheme="minorEastAsia" w:hAnsiTheme="minorHAnsi" w:cstheme="minorBidi"/>
          <w:szCs w:val="22"/>
          <w:lang w:val="es-ES" w:eastAsia="es-ES"/>
        </w:rPr>
      </w:pPr>
      <w:hyperlink w:anchor="_Toc404147" w:history="1">
        <w:r w:rsidRPr="003B1501">
          <w:rPr>
            <w:rStyle w:val="Hipervnculo"/>
          </w:rPr>
          <w:t>290b.6. Aceptación final</w:t>
        </w:r>
        <w:r>
          <w:rPr>
            <w:webHidden/>
          </w:rPr>
          <w:tab/>
        </w:r>
        <w:r>
          <w:rPr>
            <w:webHidden/>
          </w:rPr>
          <w:fldChar w:fldCharType="begin"/>
        </w:r>
        <w:r>
          <w:rPr>
            <w:webHidden/>
          </w:rPr>
          <w:instrText xml:space="preserve"> PAGEREF _Toc404147 \h </w:instrText>
        </w:r>
        <w:r>
          <w:rPr>
            <w:webHidden/>
          </w:rPr>
        </w:r>
        <w:r>
          <w:rPr>
            <w:webHidden/>
          </w:rPr>
          <w:fldChar w:fldCharType="separate"/>
        </w:r>
        <w:r w:rsidR="001B26B5">
          <w:rPr>
            <w:webHidden/>
          </w:rPr>
          <w:t>79</w:t>
        </w:r>
        <w:r>
          <w:rPr>
            <w:webHidden/>
          </w:rPr>
          <w:fldChar w:fldCharType="end"/>
        </w:r>
      </w:hyperlink>
    </w:p>
    <w:p w14:paraId="24498C2B" w14:textId="77777777" w:rsidR="0006561B" w:rsidRDefault="0006561B">
      <w:pPr>
        <w:pStyle w:val="TDC2"/>
        <w:rPr>
          <w:rFonts w:asciiTheme="minorHAnsi" w:eastAsiaTheme="minorEastAsia" w:hAnsiTheme="minorHAnsi" w:cstheme="minorBidi"/>
          <w:szCs w:val="22"/>
          <w:lang w:val="es-ES" w:eastAsia="es-ES"/>
        </w:rPr>
      </w:pPr>
      <w:hyperlink w:anchor="_Toc404148" w:history="1">
        <w:r w:rsidRPr="003B1501">
          <w:rPr>
            <w:rStyle w:val="Hipervnculo"/>
          </w:rPr>
          <w:t>290b.7. Tratamiento de no conformidades</w:t>
        </w:r>
        <w:r>
          <w:rPr>
            <w:webHidden/>
          </w:rPr>
          <w:tab/>
        </w:r>
        <w:r>
          <w:rPr>
            <w:webHidden/>
          </w:rPr>
          <w:fldChar w:fldCharType="begin"/>
        </w:r>
        <w:r>
          <w:rPr>
            <w:webHidden/>
          </w:rPr>
          <w:instrText xml:space="preserve"> PAGEREF _Toc404148 \h </w:instrText>
        </w:r>
        <w:r>
          <w:rPr>
            <w:webHidden/>
          </w:rPr>
        </w:r>
        <w:r>
          <w:rPr>
            <w:webHidden/>
          </w:rPr>
          <w:fldChar w:fldCharType="separate"/>
        </w:r>
        <w:r w:rsidR="001B26B5">
          <w:rPr>
            <w:webHidden/>
          </w:rPr>
          <w:t>79</w:t>
        </w:r>
        <w:r>
          <w:rPr>
            <w:webHidden/>
          </w:rPr>
          <w:fldChar w:fldCharType="end"/>
        </w:r>
      </w:hyperlink>
    </w:p>
    <w:p w14:paraId="3493188D" w14:textId="77777777" w:rsidR="0006561B" w:rsidRDefault="0006561B">
      <w:pPr>
        <w:pStyle w:val="TDC2"/>
        <w:rPr>
          <w:rFonts w:asciiTheme="minorHAnsi" w:eastAsiaTheme="minorEastAsia" w:hAnsiTheme="minorHAnsi" w:cstheme="minorBidi"/>
          <w:szCs w:val="22"/>
          <w:lang w:val="es-ES" w:eastAsia="es-ES"/>
        </w:rPr>
      </w:pPr>
      <w:hyperlink w:anchor="_Toc404149" w:history="1">
        <w:r w:rsidRPr="003B1501">
          <w:rPr>
            <w:rStyle w:val="Hipervnculo"/>
          </w:rPr>
          <w:t>290b.8. Medición y abono</w:t>
        </w:r>
        <w:r>
          <w:rPr>
            <w:webHidden/>
          </w:rPr>
          <w:tab/>
        </w:r>
        <w:r>
          <w:rPr>
            <w:webHidden/>
          </w:rPr>
          <w:fldChar w:fldCharType="begin"/>
        </w:r>
        <w:r>
          <w:rPr>
            <w:webHidden/>
          </w:rPr>
          <w:instrText xml:space="preserve"> PAGEREF _Toc404149 \h </w:instrText>
        </w:r>
        <w:r>
          <w:rPr>
            <w:webHidden/>
          </w:rPr>
        </w:r>
        <w:r>
          <w:rPr>
            <w:webHidden/>
          </w:rPr>
          <w:fldChar w:fldCharType="separate"/>
        </w:r>
        <w:r w:rsidR="001B26B5">
          <w:rPr>
            <w:webHidden/>
          </w:rPr>
          <w:t>79</w:t>
        </w:r>
        <w:r>
          <w:rPr>
            <w:webHidden/>
          </w:rPr>
          <w:fldChar w:fldCharType="end"/>
        </w:r>
      </w:hyperlink>
    </w:p>
    <w:p w14:paraId="0A21A547" w14:textId="77777777" w:rsidR="0006561B" w:rsidRPr="0006561B" w:rsidRDefault="0006561B">
      <w:pPr>
        <w:pStyle w:val="TDC1"/>
        <w:rPr>
          <w:rStyle w:val="Hipervnculo"/>
          <w:sz w:val="10"/>
          <w:szCs w:val="10"/>
        </w:rPr>
      </w:pPr>
    </w:p>
    <w:p w14:paraId="47CE5648" w14:textId="77777777" w:rsidR="0006561B" w:rsidRDefault="0006561B">
      <w:pPr>
        <w:pStyle w:val="TDC1"/>
        <w:rPr>
          <w:rFonts w:asciiTheme="minorHAnsi" w:eastAsiaTheme="minorEastAsia" w:hAnsiTheme="minorHAnsi" w:cstheme="minorBidi"/>
          <w:b w:val="0"/>
          <w:sz w:val="22"/>
          <w:szCs w:val="22"/>
          <w:lang w:val="es-ES" w:eastAsia="es-ES"/>
        </w:rPr>
      </w:pPr>
      <w:hyperlink w:anchor="_Toc404150" w:history="1">
        <w:r w:rsidRPr="003B1501">
          <w:rPr>
            <w:rStyle w:val="Hipervnculo"/>
          </w:rPr>
          <w:t>Parte 3.-  Explanaciones</w:t>
        </w:r>
        <w:r>
          <w:rPr>
            <w:webHidden/>
          </w:rPr>
          <w:tab/>
        </w:r>
        <w:r>
          <w:rPr>
            <w:webHidden/>
          </w:rPr>
          <w:fldChar w:fldCharType="begin"/>
        </w:r>
        <w:r>
          <w:rPr>
            <w:webHidden/>
          </w:rPr>
          <w:instrText xml:space="preserve"> PAGEREF _Toc404150 \h </w:instrText>
        </w:r>
        <w:r>
          <w:rPr>
            <w:webHidden/>
          </w:rPr>
        </w:r>
        <w:r>
          <w:rPr>
            <w:webHidden/>
          </w:rPr>
          <w:fldChar w:fldCharType="separate"/>
        </w:r>
        <w:r w:rsidR="001B26B5">
          <w:rPr>
            <w:webHidden/>
          </w:rPr>
          <w:t>81</w:t>
        </w:r>
        <w:r>
          <w:rPr>
            <w:webHidden/>
          </w:rPr>
          <w:fldChar w:fldCharType="end"/>
        </w:r>
      </w:hyperlink>
    </w:p>
    <w:p w14:paraId="51D0D88E" w14:textId="77777777" w:rsidR="0006561B" w:rsidRDefault="0006561B">
      <w:pPr>
        <w:pStyle w:val="TDC1"/>
        <w:rPr>
          <w:rFonts w:asciiTheme="minorHAnsi" w:eastAsiaTheme="minorEastAsia" w:hAnsiTheme="minorHAnsi" w:cstheme="minorBidi"/>
          <w:b w:val="0"/>
          <w:sz w:val="22"/>
          <w:szCs w:val="22"/>
          <w:lang w:val="es-ES" w:eastAsia="es-ES"/>
        </w:rPr>
      </w:pPr>
      <w:hyperlink w:anchor="_Toc404151" w:history="1">
        <w:r w:rsidRPr="003B1501">
          <w:rPr>
            <w:rStyle w:val="Hipervnculo"/>
          </w:rPr>
          <w:t>Artículo 300. Desbroce del terreno.</w:t>
        </w:r>
        <w:r>
          <w:rPr>
            <w:webHidden/>
          </w:rPr>
          <w:tab/>
        </w:r>
        <w:r>
          <w:rPr>
            <w:webHidden/>
          </w:rPr>
          <w:fldChar w:fldCharType="begin"/>
        </w:r>
        <w:r>
          <w:rPr>
            <w:webHidden/>
          </w:rPr>
          <w:instrText xml:space="preserve"> PAGEREF _Toc404151 \h </w:instrText>
        </w:r>
        <w:r>
          <w:rPr>
            <w:webHidden/>
          </w:rPr>
        </w:r>
        <w:r>
          <w:rPr>
            <w:webHidden/>
          </w:rPr>
          <w:fldChar w:fldCharType="separate"/>
        </w:r>
        <w:r w:rsidR="001B26B5">
          <w:rPr>
            <w:webHidden/>
          </w:rPr>
          <w:t>83</w:t>
        </w:r>
        <w:r>
          <w:rPr>
            <w:webHidden/>
          </w:rPr>
          <w:fldChar w:fldCharType="end"/>
        </w:r>
      </w:hyperlink>
    </w:p>
    <w:p w14:paraId="5410959A" w14:textId="77777777" w:rsidR="0006561B" w:rsidRDefault="0006561B">
      <w:pPr>
        <w:pStyle w:val="TDC2"/>
        <w:rPr>
          <w:rFonts w:asciiTheme="minorHAnsi" w:eastAsiaTheme="minorEastAsia" w:hAnsiTheme="minorHAnsi" w:cstheme="minorBidi"/>
          <w:szCs w:val="22"/>
          <w:lang w:val="es-ES" w:eastAsia="es-ES"/>
        </w:rPr>
      </w:pPr>
      <w:hyperlink w:anchor="_Toc404152" w:history="1">
        <w:r w:rsidRPr="003B1501">
          <w:rPr>
            <w:rStyle w:val="Hipervnculo"/>
          </w:rPr>
          <w:t>300.1. Definición</w:t>
        </w:r>
        <w:r>
          <w:rPr>
            <w:webHidden/>
          </w:rPr>
          <w:tab/>
        </w:r>
        <w:r>
          <w:rPr>
            <w:webHidden/>
          </w:rPr>
          <w:fldChar w:fldCharType="begin"/>
        </w:r>
        <w:r>
          <w:rPr>
            <w:webHidden/>
          </w:rPr>
          <w:instrText xml:space="preserve"> PAGEREF _Toc404152 \h </w:instrText>
        </w:r>
        <w:r>
          <w:rPr>
            <w:webHidden/>
          </w:rPr>
        </w:r>
        <w:r>
          <w:rPr>
            <w:webHidden/>
          </w:rPr>
          <w:fldChar w:fldCharType="separate"/>
        </w:r>
        <w:r w:rsidR="001B26B5">
          <w:rPr>
            <w:webHidden/>
          </w:rPr>
          <w:t>83</w:t>
        </w:r>
        <w:r>
          <w:rPr>
            <w:webHidden/>
          </w:rPr>
          <w:fldChar w:fldCharType="end"/>
        </w:r>
      </w:hyperlink>
    </w:p>
    <w:p w14:paraId="1B4822DE" w14:textId="77777777" w:rsidR="0006561B" w:rsidRDefault="0006561B">
      <w:pPr>
        <w:pStyle w:val="TDC2"/>
        <w:rPr>
          <w:rFonts w:asciiTheme="minorHAnsi" w:eastAsiaTheme="minorEastAsia" w:hAnsiTheme="minorHAnsi" w:cstheme="minorBidi"/>
          <w:szCs w:val="22"/>
          <w:lang w:val="es-ES" w:eastAsia="es-ES"/>
        </w:rPr>
      </w:pPr>
      <w:hyperlink w:anchor="_Toc404153" w:history="1">
        <w:r w:rsidRPr="003B1501">
          <w:rPr>
            <w:rStyle w:val="Hipervnculo"/>
          </w:rPr>
          <w:t>300.2. Ejecución de las obras</w:t>
        </w:r>
        <w:r>
          <w:rPr>
            <w:webHidden/>
          </w:rPr>
          <w:tab/>
        </w:r>
        <w:r>
          <w:rPr>
            <w:webHidden/>
          </w:rPr>
          <w:fldChar w:fldCharType="begin"/>
        </w:r>
        <w:r>
          <w:rPr>
            <w:webHidden/>
          </w:rPr>
          <w:instrText xml:space="preserve"> PAGEREF _Toc404153 \h </w:instrText>
        </w:r>
        <w:r>
          <w:rPr>
            <w:webHidden/>
          </w:rPr>
        </w:r>
        <w:r>
          <w:rPr>
            <w:webHidden/>
          </w:rPr>
          <w:fldChar w:fldCharType="separate"/>
        </w:r>
        <w:r w:rsidR="001B26B5">
          <w:rPr>
            <w:webHidden/>
          </w:rPr>
          <w:t>83</w:t>
        </w:r>
        <w:r>
          <w:rPr>
            <w:webHidden/>
          </w:rPr>
          <w:fldChar w:fldCharType="end"/>
        </w:r>
      </w:hyperlink>
    </w:p>
    <w:p w14:paraId="396E6408" w14:textId="77777777" w:rsidR="0006561B" w:rsidRDefault="0006561B">
      <w:pPr>
        <w:pStyle w:val="TDC2"/>
        <w:rPr>
          <w:rFonts w:asciiTheme="minorHAnsi" w:eastAsiaTheme="minorEastAsia" w:hAnsiTheme="minorHAnsi" w:cstheme="minorBidi"/>
          <w:szCs w:val="22"/>
          <w:lang w:val="es-ES" w:eastAsia="es-ES"/>
        </w:rPr>
      </w:pPr>
      <w:hyperlink w:anchor="_Toc404154" w:history="1">
        <w:r w:rsidRPr="003B1501">
          <w:rPr>
            <w:rStyle w:val="Hipervnculo"/>
          </w:rPr>
          <w:t>300.3. Criterios de aceptación o rechazo</w:t>
        </w:r>
        <w:r>
          <w:rPr>
            <w:webHidden/>
          </w:rPr>
          <w:tab/>
        </w:r>
        <w:r>
          <w:rPr>
            <w:webHidden/>
          </w:rPr>
          <w:fldChar w:fldCharType="begin"/>
        </w:r>
        <w:r>
          <w:rPr>
            <w:webHidden/>
          </w:rPr>
          <w:instrText xml:space="preserve"> PAGEREF _Toc404154 \h </w:instrText>
        </w:r>
        <w:r>
          <w:rPr>
            <w:webHidden/>
          </w:rPr>
        </w:r>
        <w:r>
          <w:rPr>
            <w:webHidden/>
          </w:rPr>
          <w:fldChar w:fldCharType="separate"/>
        </w:r>
        <w:r w:rsidR="001B26B5">
          <w:rPr>
            <w:webHidden/>
          </w:rPr>
          <w:t>84</w:t>
        </w:r>
        <w:r>
          <w:rPr>
            <w:webHidden/>
          </w:rPr>
          <w:fldChar w:fldCharType="end"/>
        </w:r>
      </w:hyperlink>
    </w:p>
    <w:p w14:paraId="5B006863" w14:textId="77777777" w:rsidR="0006561B" w:rsidRDefault="0006561B">
      <w:pPr>
        <w:pStyle w:val="TDC2"/>
        <w:rPr>
          <w:rFonts w:asciiTheme="minorHAnsi" w:eastAsiaTheme="minorEastAsia" w:hAnsiTheme="minorHAnsi" w:cstheme="minorBidi"/>
          <w:szCs w:val="22"/>
          <w:lang w:val="es-ES" w:eastAsia="es-ES"/>
        </w:rPr>
      </w:pPr>
      <w:hyperlink w:anchor="_Toc404155" w:history="1">
        <w:r w:rsidRPr="003B1501">
          <w:rPr>
            <w:rStyle w:val="Hipervnculo"/>
          </w:rPr>
          <w:t>300.4. Medición y abono</w:t>
        </w:r>
        <w:r>
          <w:rPr>
            <w:webHidden/>
          </w:rPr>
          <w:tab/>
        </w:r>
        <w:r>
          <w:rPr>
            <w:webHidden/>
          </w:rPr>
          <w:fldChar w:fldCharType="begin"/>
        </w:r>
        <w:r>
          <w:rPr>
            <w:webHidden/>
          </w:rPr>
          <w:instrText xml:space="preserve"> PAGEREF _Toc404155 \h </w:instrText>
        </w:r>
        <w:r>
          <w:rPr>
            <w:webHidden/>
          </w:rPr>
        </w:r>
        <w:r>
          <w:rPr>
            <w:webHidden/>
          </w:rPr>
          <w:fldChar w:fldCharType="separate"/>
        </w:r>
        <w:r w:rsidR="001B26B5">
          <w:rPr>
            <w:webHidden/>
          </w:rPr>
          <w:t>84</w:t>
        </w:r>
        <w:r>
          <w:rPr>
            <w:webHidden/>
          </w:rPr>
          <w:fldChar w:fldCharType="end"/>
        </w:r>
      </w:hyperlink>
    </w:p>
    <w:p w14:paraId="39B183DE" w14:textId="77777777" w:rsidR="0006561B" w:rsidRDefault="0006561B">
      <w:pPr>
        <w:pStyle w:val="TDC1"/>
        <w:rPr>
          <w:rFonts w:asciiTheme="minorHAnsi" w:eastAsiaTheme="minorEastAsia" w:hAnsiTheme="minorHAnsi" w:cstheme="minorBidi"/>
          <w:b w:val="0"/>
          <w:sz w:val="22"/>
          <w:szCs w:val="22"/>
          <w:lang w:val="es-ES" w:eastAsia="es-ES"/>
        </w:rPr>
      </w:pPr>
      <w:hyperlink w:anchor="_Toc404156" w:history="1">
        <w:r w:rsidRPr="003B1501">
          <w:rPr>
            <w:rStyle w:val="Hipervnculo"/>
          </w:rPr>
          <w:t>Artículo 301. Demoliciones</w:t>
        </w:r>
        <w:r>
          <w:rPr>
            <w:webHidden/>
          </w:rPr>
          <w:tab/>
        </w:r>
        <w:r>
          <w:rPr>
            <w:webHidden/>
          </w:rPr>
          <w:fldChar w:fldCharType="begin"/>
        </w:r>
        <w:r>
          <w:rPr>
            <w:webHidden/>
          </w:rPr>
          <w:instrText xml:space="preserve"> PAGEREF _Toc404156 \h </w:instrText>
        </w:r>
        <w:r>
          <w:rPr>
            <w:webHidden/>
          </w:rPr>
        </w:r>
        <w:r>
          <w:rPr>
            <w:webHidden/>
          </w:rPr>
          <w:fldChar w:fldCharType="separate"/>
        </w:r>
        <w:r w:rsidR="001B26B5">
          <w:rPr>
            <w:webHidden/>
          </w:rPr>
          <w:t>85</w:t>
        </w:r>
        <w:r>
          <w:rPr>
            <w:webHidden/>
          </w:rPr>
          <w:fldChar w:fldCharType="end"/>
        </w:r>
      </w:hyperlink>
    </w:p>
    <w:p w14:paraId="6A1CB6AF" w14:textId="77777777" w:rsidR="0006561B" w:rsidRDefault="0006561B">
      <w:pPr>
        <w:pStyle w:val="TDC2"/>
        <w:rPr>
          <w:rFonts w:asciiTheme="minorHAnsi" w:eastAsiaTheme="minorEastAsia" w:hAnsiTheme="minorHAnsi" w:cstheme="minorBidi"/>
          <w:szCs w:val="22"/>
          <w:lang w:val="es-ES" w:eastAsia="es-ES"/>
        </w:rPr>
      </w:pPr>
      <w:hyperlink w:anchor="_Toc404157" w:history="1">
        <w:r w:rsidRPr="003B1501">
          <w:rPr>
            <w:rStyle w:val="Hipervnculo"/>
          </w:rPr>
          <w:t>301.1. Definición</w:t>
        </w:r>
        <w:r>
          <w:rPr>
            <w:webHidden/>
          </w:rPr>
          <w:tab/>
        </w:r>
        <w:r>
          <w:rPr>
            <w:webHidden/>
          </w:rPr>
          <w:fldChar w:fldCharType="begin"/>
        </w:r>
        <w:r>
          <w:rPr>
            <w:webHidden/>
          </w:rPr>
          <w:instrText xml:space="preserve"> PAGEREF _Toc404157 \h </w:instrText>
        </w:r>
        <w:r>
          <w:rPr>
            <w:webHidden/>
          </w:rPr>
        </w:r>
        <w:r>
          <w:rPr>
            <w:webHidden/>
          </w:rPr>
          <w:fldChar w:fldCharType="separate"/>
        </w:r>
        <w:r w:rsidR="001B26B5">
          <w:rPr>
            <w:webHidden/>
          </w:rPr>
          <w:t>85</w:t>
        </w:r>
        <w:r>
          <w:rPr>
            <w:webHidden/>
          </w:rPr>
          <w:fldChar w:fldCharType="end"/>
        </w:r>
      </w:hyperlink>
    </w:p>
    <w:p w14:paraId="6A994C03" w14:textId="77777777" w:rsidR="0006561B" w:rsidRDefault="0006561B">
      <w:pPr>
        <w:pStyle w:val="TDC2"/>
        <w:rPr>
          <w:rFonts w:asciiTheme="minorHAnsi" w:eastAsiaTheme="minorEastAsia" w:hAnsiTheme="minorHAnsi" w:cstheme="minorBidi"/>
          <w:szCs w:val="22"/>
          <w:lang w:val="es-ES" w:eastAsia="es-ES"/>
        </w:rPr>
      </w:pPr>
      <w:hyperlink w:anchor="_Toc404158" w:history="1">
        <w:r w:rsidRPr="003B1501">
          <w:rPr>
            <w:rStyle w:val="Hipervnculo"/>
          </w:rPr>
          <w:t>301.2. Aplicación</w:t>
        </w:r>
        <w:r>
          <w:rPr>
            <w:webHidden/>
          </w:rPr>
          <w:tab/>
        </w:r>
        <w:r>
          <w:rPr>
            <w:webHidden/>
          </w:rPr>
          <w:fldChar w:fldCharType="begin"/>
        </w:r>
        <w:r>
          <w:rPr>
            <w:webHidden/>
          </w:rPr>
          <w:instrText xml:space="preserve"> PAGEREF _Toc404158 \h </w:instrText>
        </w:r>
        <w:r>
          <w:rPr>
            <w:webHidden/>
          </w:rPr>
        </w:r>
        <w:r>
          <w:rPr>
            <w:webHidden/>
          </w:rPr>
          <w:fldChar w:fldCharType="separate"/>
        </w:r>
        <w:r w:rsidR="001B26B5">
          <w:rPr>
            <w:webHidden/>
          </w:rPr>
          <w:t>85</w:t>
        </w:r>
        <w:r>
          <w:rPr>
            <w:webHidden/>
          </w:rPr>
          <w:fldChar w:fldCharType="end"/>
        </w:r>
      </w:hyperlink>
    </w:p>
    <w:p w14:paraId="1605F346" w14:textId="77777777" w:rsidR="0006561B" w:rsidRDefault="0006561B">
      <w:pPr>
        <w:pStyle w:val="TDC2"/>
        <w:rPr>
          <w:rFonts w:asciiTheme="minorHAnsi" w:eastAsiaTheme="minorEastAsia" w:hAnsiTheme="minorHAnsi" w:cstheme="minorBidi"/>
          <w:szCs w:val="22"/>
          <w:lang w:val="es-ES" w:eastAsia="es-ES"/>
        </w:rPr>
      </w:pPr>
      <w:hyperlink w:anchor="_Toc404159" w:history="1">
        <w:r w:rsidRPr="003B1501">
          <w:rPr>
            <w:rStyle w:val="Hipervnculo"/>
          </w:rPr>
          <w:t>301.3. Estudio de la demolición</w:t>
        </w:r>
        <w:r>
          <w:rPr>
            <w:webHidden/>
          </w:rPr>
          <w:tab/>
        </w:r>
        <w:r>
          <w:rPr>
            <w:webHidden/>
          </w:rPr>
          <w:fldChar w:fldCharType="begin"/>
        </w:r>
        <w:r>
          <w:rPr>
            <w:webHidden/>
          </w:rPr>
          <w:instrText xml:space="preserve"> PAGEREF _Toc404159 \h </w:instrText>
        </w:r>
        <w:r>
          <w:rPr>
            <w:webHidden/>
          </w:rPr>
        </w:r>
        <w:r>
          <w:rPr>
            <w:webHidden/>
          </w:rPr>
          <w:fldChar w:fldCharType="separate"/>
        </w:r>
        <w:r w:rsidR="001B26B5">
          <w:rPr>
            <w:webHidden/>
          </w:rPr>
          <w:t>85</w:t>
        </w:r>
        <w:r>
          <w:rPr>
            <w:webHidden/>
          </w:rPr>
          <w:fldChar w:fldCharType="end"/>
        </w:r>
      </w:hyperlink>
    </w:p>
    <w:p w14:paraId="7D527248" w14:textId="77777777" w:rsidR="0006561B" w:rsidRDefault="0006561B">
      <w:pPr>
        <w:pStyle w:val="TDC2"/>
        <w:rPr>
          <w:rFonts w:asciiTheme="minorHAnsi" w:eastAsiaTheme="minorEastAsia" w:hAnsiTheme="minorHAnsi" w:cstheme="minorBidi"/>
          <w:szCs w:val="22"/>
          <w:lang w:val="es-ES" w:eastAsia="es-ES"/>
        </w:rPr>
      </w:pPr>
      <w:hyperlink w:anchor="_Toc404160" w:history="1">
        <w:r w:rsidRPr="003B1501">
          <w:rPr>
            <w:rStyle w:val="Hipervnculo"/>
          </w:rPr>
          <w:t>301.4. Ejecución de las obras</w:t>
        </w:r>
        <w:r>
          <w:rPr>
            <w:webHidden/>
          </w:rPr>
          <w:tab/>
        </w:r>
        <w:r>
          <w:rPr>
            <w:webHidden/>
          </w:rPr>
          <w:fldChar w:fldCharType="begin"/>
        </w:r>
        <w:r>
          <w:rPr>
            <w:webHidden/>
          </w:rPr>
          <w:instrText xml:space="preserve"> PAGEREF _Toc404160 \h </w:instrText>
        </w:r>
        <w:r>
          <w:rPr>
            <w:webHidden/>
          </w:rPr>
        </w:r>
        <w:r>
          <w:rPr>
            <w:webHidden/>
          </w:rPr>
          <w:fldChar w:fldCharType="separate"/>
        </w:r>
        <w:r w:rsidR="001B26B5">
          <w:rPr>
            <w:webHidden/>
          </w:rPr>
          <w:t>86</w:t>
        </w:r>
        <w:r>
          <w:rPr>
            <w:webHidden/>
          </w:rPr>
          <w:fldChar w:fldCharType="end"/>
        </w:r>
      </w:hyperlink>
    </w:p>
    <w:p w14:paraId="5EF73AA7" w14:textId="77777777" w:rsidR="0006561B" w:rsidRDefault="0006561B">
      <w:pPr>
        <w:pStyle w:val="TDC2"/>
        <w:rPr>
          <w:rFonts w:asciiTheme="minorHAnsi" w:eastAsiaTheme="minorEastAsia" w:hAnsiTheme="minorHAnsi" w:cstheme="minorBidi"/>
          <w:szCs w:val="22"/>
          <w:lang w:val="es-ES" w:eastAsia="es-ES"/>
        </w:rPr>
      </w:pPr>
      <w:hyperlink w:anchor="_Toc404161" w:history="1">
        <w:r w:rsidRPr="003B1501">
          <w:rPr>
            <w:rStyle w:val="Hipervnculo"/>
          </w:rPr>
          <w:t>301.5. Medición y abono</w:t>
        </w:r>
        <w:r>
          <w:rPr>
            <w:webHidden/>
          </w:rPr>
          <w:tab/>
        </w:r>
        <w:r>
          <w:rPr>
            <w:webHidden/>
          </w:rPr>
          <w:fldChar w:fldCharType="begin"/>
        </w:r>
        <w:r>
          <w:rPr>
            <w:webHidden/>
          </w:rPr>
          <w:instrText xml:space="preserve"> PAGEREF _Toc404161 \h </w:instrText>
        </w:r>
        <w:r>
          <w:rPr>
            <w:webHidden/>
          </w:rPr>
        </w:r>
        <w:r>
          <w:rPr>
            <w:webHidden/>
          </w:rPr>
          <w:fldChar w:fldCharType="separate"/>
        </w:r>
        <w:r w:rsidR="001B26B5">
          <w:rPr>
            <w:webHidden/>
          </w:rPr>
          <w:t>86</w:t>
        </w:r>
        <w:r>
          <w:rPr>
            <w:webHidden/>
          </w:rPr>
          <w:fldChar w:fldCharType="end"/>
        </w:r>
      </w:hyperlink>
    </w:p>
    <w:p w14:paraId="4D91F44E" w14:textId="77777777" w:rsidR="0006561B" w:rsidRDefault="0006561B">
      <w:pPr>
        <w:pStyle w:val="TDC1"/>
        <w:rPr>
          <w:rFonts w:asciiTheme="minorHAnsi" w:eastAsiaTheme="minorEastAsia" w:hAnsiTheme="minorHAnsi" w:cstheme="minorBidi"/>
          <w:b w:val="0"/>
          <w:sz w:val="22"/>
          <w:szCs w:val="22"/>
          <w:lang w:val="es-ES" w:eastAsia="es-ES"/>
        </w:rPr>
      </w:pPr>
      <w:hyperlink w:anchor="_Toc404162" w:history="1">
        <w:r w:rsidRPr="003B1501">
          <w:rPr>
            <w:rStyle w:val="Hipervnculo"/>
          </w:rPr>
          <w:t>Artículo 305. Hidrodemolicion</w:t>
        </w:r>
        <w:r>
          <w:rPr>
            <w:webHidden/>
          </w:rPr>
          <w:tab/>
        </w:r>
        <w:r>
          <w:rPr>
            <w:webHidden/>
          </w:rPr>
          <w:fldChar w:fldCharType="begin"/>
        </w:r>
        <w:r>
          <w:rPr>
            <w:webHidden/>
          </w:rPr>
          <w:instrText xml:space="preserve"> PAGEREF _Toc404162 \h </w:instrText>
        </w:r>
        <w:r>
          <w:rPr>
            <w:webHidden/>
          </w:rPr>
        </w:r>
        <w:r>
          <w:rPr>
            <w:webHidden/>
          </w:rPr>
          <w:fldChar w:fldCharType="separate"/>
        </w:r>
        <w:r w:rsidR="001B26B5">
          <w:rPr>
            <w:webHidden/>
          </w:rPr>
          <w:t>88</w:t>
        </w:r>
        <w:r>
          <w:rPr>
            <w:webHidden/>
          </w:rPr>
          <w:fldChar w:fldCharType="end"/>
        </w:r>
      </w:hyperlink>
    </w:p>
    <w:p w14:paraId="735633CB" w14:textId="77777777" w:rsidR="0006561B" w:rsidRDefault="0006561B">
      <w:pPr>
        <w:pStyle w:val="TDC2"/>
        <w:rPr>
          <w:rFonts w:asciiTheme="minorHAnsi" w:eastAsiaTheme="minorEastAsia" w:hAnsiTheme="minorHAnsi" w:cstheme="minorBidi"/>
          <w:szCs w:val="22"/>
          <w:lang w:val="es-ES" w:eastAsia="es-ES"/>
        </w:rPr>
      </w:pPr>
      <w:hyperlink w:anchor="_Toc404163" w:history="1">
        <w:r w:rsidRPr="003B1501">
          <w:rPr>
            <w:rStyle w:val="Hipervnculo"/>
          </w:rPr>
          <w:t xml:space="preserve">305.1.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_Toc404163 \h </w:instrText>
        </w:r>
        <w:r>
          <w:rPr>
            <w:webHidden/>
          </w:rPr>
        </w:r>
        <w:r>
          <w:rPr>
            <w:webHidden/>
          </w:rPr>
          <w:fldChar w:fldCharType="separate"/>
        </w:r>
        <w:r w:rsidR="001B26B5">
          <w:rPr>
            <w:webHidden/>
          </w:rPr>
          <w:t>88</w:t>
        </w:r>
        <w:r>
          <w:rPr>
            <w:webHidden/>
          </w:rPr>
          <w:fldChar w:fldCharType="end"/>
        </w:r>
      </w:hyperlink>
    </w:p>
    <w:p w14:paraId="4D0DDC52" w14:textId="77777777" w:rsidR="0006561B" w:rsidRDefault="0006561B">
      <w:pPr>
        <w:pStyle w:val="TDC2"/>
        <w:rPr>
          <w:rFonts w:asciiTheme="minorHAnsi" w:eastAsiaTheme="minorEastAsia" w:hAnsiTheme="minorHAnsi" w:cstheme="minorBidi"/>
          <w:szCs w:val="22"/>
          <w:lang w:val="es-ES" w:eastAsia="es-ES"/>
        </w:rPr>
      </w:pPr>
      <w:hyperlink w:anchor="_Toc404164" w:history="1">
        <w:r w:rsidRPr="003B1501">
          <w:rPr>
            <w:rStyle w:val="Hipervnculo"/>
          </w:rPr>
          <w:t xml:space="preserve">305.2. </w:t>
        </w:r>
        <w:r>
          <w:rPr>
            <w:rFonts w:asciiTheme="minorHAnsi" w:eastAsiaTheme="minorEastAsia" w:hAnsiTheme="minorHAnsi" w:cstheme="minorBidi"/>
            <w:szCs w:val="22"/>
            <w:lang w:val="es-ES" w:eastAsia="es-ES"/>
          </w:rPr>
          <w:tab/>
        </w:r>
        <w:r w:rsidRPr="003B1501">
          <w:rPr>
            <w:rStyle w:val="Hipervnculo"/>
          </w:rPr>
          <w:t>Estudio de la demolición</w:t>
        </w:r>
        <w:r>
          <w:rPr>
            <w:webHidden/>
          </w:rPr>
          <w:tab/>
        </w:r>
        <w:r>
          <w:rPr>
            <w:webHidden/>
          </w:rPr>
          <w:fldChar w:fldCharType="begin"/>
        </w:r>
        <w:r>
          <w:rPr>
            <w:webHidden/>
          </w:rPr>
          <w:instrText xml:space="preserve"> PAGEREF _Toc404164 \h </w:instrText>
        </w:r>
        <w:r>
          <w:rPr>
            <w:webHidden/>
          </w:rPr>
        </w:r>
        <w:r>
          <w:rPr>
            <w:webHidden/>
          </w:rPr>
          <w:fldChar w:fldCharType="separate"/>
        </w:r>
        <w:r w:rsidR="001B26B5">
          <w:rPr>
            <w:webHidden/>
          </w:rPr>
          <w:t>88</w:t>
        </w:r>
        <w:r>
          <w:rPr>
            <w:webHidden/>
          </w:rPr>
          <w:fldChar w:fldCharType="end"/>
        </w:r>
      </w:hyperlink>
    </w:p>
    <w:p w14:paraId="27CA0D15" w14:textId="77777777" w:rsidR="0006561B" w:rsidRDefault="0006561B">
      <w:pPr>
        <w:pStyle w:val="TDC2"/>
        <w:rPr>
          <w:rFonts w:asciiTheme="minorHAnsi" w:eastAsiaTheme="minorEastAsia" w:hAnsiTheme="minorHAnsi" w:cstheme="minorBidi"/>
          <w:szCs w:val="22"/>
          <w:lang w:val="es-ES" w:eastAsia="es-ES"/>
        </w:rPr>
      </w:pPr>
      <w:hyperlink w:anchor="_Toc404165" w:history="1">
        <w:r w:rsidRPr="003B1501">
          <w:rPr>
            <w:rStyle w:val="Hipervnculo"/>
          </w:rPr>
          <w:t xml:space="preserve">305.3. </w:t>
        </w:r>
        <w:r>
          <w:rPr>
            <w:rFonts w:asciiTheme="minorHAnsi" w:eastAsiaTheme="minorEastAsia" w:hAnsiTheme="minorHAnsi" w:cstheme="minorBidi"/>
            <w:szCs w:val="22"/>
            <w:lang w:val="es-ES" w:eastAsia="es-ES"/>
          </w:rPr>
          <w:tab/>
        </w:r>
        <w:r w:rsidRPr="003B1501">
          <w:rPr>
            <w:rStyle w:val="Hipervnculo"/>
          </w:rPr>
          <w:t>Maquinaria y medios</w:t>
        </w:r>
        <w:r>
          <w:rPr>
            <w:webHidden/>
          </w:rPr>
          <w:tab/>
        </w:r>
        <w:r>
          <w:rPr>
            <w:webHidden/>
          </w:rPr>
          <w:fldChar w:fldCharType="begin"/>
        </w:r>
        <w:r>
          <w:rPr>
            <w:webHidden/>
          </w:rPr>
          <w:instrText xml:space="preserve"> PAGEREF _Toc404165 \h </w:instrText>
        </w:r>
        <w:r>
          <w:rPr>
            <w:webHidden/>
          </w:rPr>
        </w:r>
        <w:r>
          <w:rPr>
            <w:webHidden/>
          </w:rPr>
          <w:fldChar w:fldCharType="separate"/>
        </w:r>
        <w:r w:rsidR="001B26B5">
          <w:rPr>
            <w:webHidden/>
          </w:rPr>
          <w:t>89</w:t>
        </w:r>
        <w:r>
          <w:rPr>
            <w:webHidden/>
          </w:rPr>
          <w:fldChar w:fldCharType="end"/>
        </w:r>
      </w:hyperlink>
    </w:p>
    <w:p w14:paraId="0D64A990" w14:textId="77777777" w:rsidR="0006561B" w:rsidRDefault="0006561B">
      <w:pPr>
        <w:pStyle w:val="TDC2"/>
        <w:rPr>
          <w:rFonts w:asciiTheme="minorHAnsi" w:eastAsiaTheme="minorEastAsia" w:hAnsiTheme="minorHAnsi" w:cstheme="minorBidi"/>
          <w:szCs w:val="22"/>
          <w:lang w:val="es-ES" w:eastAsia="es-ES"/>
        </w:rPr>
      </w:pPr>
      <w:hyperlink w:anchor="_Toc404166" w:history="1">
        <w:r w:rsidRPr="003B1501">
          <w:rPr>
            <w:rStyle w:val="Hipervnculo"/>
          </w:rPr>
          <w:t xml:space="preserve">305.4.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_Toc404166 \h </w:instrText>
        </w:r>
        <w:r>
          <w:rPr>
            <w:webHidden/>
          </w:rPr>
        </w:r>
        <w:r>
          <w:rPr>
            <w:webHidden/>
          </w:rPr>
          <w:fldChar w:fldCharType="separate"/>
        </w:r>
        <w:r w:rsidR="001B26B5">
          <w:rPr>
            <w:webHidden/>
          </w:rPr>
          <w:t>90</w:t>
        </w:r>
        <w:r>
          <w:rPr>
            <w:webHidden/>
          </w:rPr>
          <w:fldChar w:fldCharType="end"/>
        </w:r>
      </w:hyperlink>
    </w:p>
    <w:p w14:paraId="69C99F00" w14:textId="77777777" w:rsidR="0006561B" w:rsidRDefault="0006561B">
      <w:pPr>
        <w:pStyle w:val="TDC2"/>
        <w:rPr>
          <w:rFonts w:asciiTheme="minorHAnsi" w:eastAsiaTheme="minorEastAsia" w:hAnsiTheme="minorHAnsi" w:cstheme="minorBidi"/>
          <w:szCs w:val="22"/>
          <w:lang w:val="es-ES" w:eastAsia="es-ES"/>
        </w:rPr>
      </w:pPr>
      <w:hyperlink w:anchor="_Toc404167" w:history="1">
        <w:r w:rsidRPr="003B1501">
          <w:rPr>
            <w:rStyle w:val="Hipervnculo"/>
          </w:rPr>
          <w:t xml:space="preserve">305.5. </w:t>
        </w:r>
        <w:r>
          <w:rPr>
            <w:rFonts w:asciiTheme="minorHAnsi" w:eastAsiaTheme="minorEastAsia" w:hAnsiTheme="minorHAnsi" w:cstheme="minorBidi"/>
            <w:szCs w:val="22"/>
            <w:lang w:val="es-ES" w:eastAsia="es-ES"/>
          </w:rPr>
          <w:tab/>
        </w:r>
        <w:r w:rsidRPr="003B1501">
          <w:rPr>
            <w:rStyle w:val="Hipervnculo"/>
          </w:rPr>
          <w:t>Medición y abono</w:t>
        </w:r>
        <w:r>
          <w:rPr>
            <w:webHidden/>
          </w:rPr>
          <w:tab/>
        </w:r>
        <w:r>
          <w:rPr>
            <w:webHidden/>
          </w:rPr>
          <w:fldChar w:fldCharType="begin"/>
        </w:r>
        <w:r>
          <w:rPr>
            <w:webHidden/>
          </w:rPr>
          <w:instrText xml:space="preserve"> PAGEREF _Toc404167 \h </w:instrText>
        </w:r>
        <w:r>
          <w:rPr>
            <w:webHidden/>
          </w:rPr>
        </w:r>
        <w:r>
          <w:rPr>
            <w:webHidden/>
          </w:rPr>
          <w:fldChar w:fldCharType="separate"/>
        </w:r>
        <w:r w:rsidR="001B26B5">
          <w:rPr>
            <w:webHidden/>
          </w:rPr>
          <w:t>91</w:t>
        </w:r>
        <w:r>
          <w:rPr>
            <w:webHidden/>
          </w:rPr>
          <w:fldChar w:fldCharType="end"/>
        </w:r>
      </w:hyperlink>
    </w:p>
    <w:p w14:paraId="76E5AAD9" w14:textId="77777777" w:rsidR="0006561B" w:rsidRDefault="0006561B">
      <w:pPr>
        <w:pStyle w:val="TDC1"/>
        <w:rPr>
          <w:rFonts w:asciiTheme="minorHAnsi" w:eastAsiaTheme="minorEastAsia" w:hAnsiTheme="minorHAnsi" w:cstheme="minorBidi"/>
          <w:b w:val="0"/>
          <w:sz w:val="22"/>
          <w:szCs w:val="22"/>
          <w:lang w:val="es-ES" w:eastAsia="es-ES"/>
        </w:rPr>
      </w:pPr>
      <w:hyperlink w:anchor="_Toc404168" w:history="1">
        <w:r w:rsidRPr="003B1501">
          <w:rPr>
            <w:rStyle w:val="Hipervnculo"/>
          </w:rPr>
          <w:t>Artículo 310. Desmontaje de tubería de fibrocemento</w:t>
        </w:r>
        <w:r>
          <w:rPr>
            <w:webHidden/>
          </w:rPr>
          <w:tab/>
        </w:r>
        <w:r>
          <w:rPr>
            <w:webHidden/>
          </w:rPr>
          <w:fldChar w:fldCharType="begin"/>
        </w:r>
        <w:r>
          <w:rPr>
            <w:webHidden/>
          </w:rPr>
          <w:instrText xml:space="preserve"> PAGEREF _Toc404168 \h </w:instrText>
        </w:r>
        <w:r>
          <w:rPr>
            <w:webHidden/>
          </w:rPr>
        </w:r>
        <w:r>
          <w:rPr>
            <w:webHidden/>
          </w:rPr>
          <w:fldChar w:fldCharType="separate"/>
        </w:r>
        <w:r w:rsidR="001B26B5">
          <w:rPr>
            <w:webHidden/>
          </w:rPr>
          <w:t>92</w:t>
        </w:r>
        <w:r>
          <w:rPr>
            <w:webHidden/>
          </w:rPr>
          <w:fldChar w:fldCharType="end"/>
        </w:r>
      </w:hyperlink>
    </w:p>
    <w:p w14:paraId="63D83D97" w14:textId="77777777" w:rsidR="0006561B" w:rsidRDefault="0006561B">
      <w:pPr>
        <w:pStyle w:val="TDC2"/>
        <w:rPr>
          <w:rFonts w:asciiTheme="minorHAnsi" w:eastAsiaTheme="minorEastAsia" w:hAnsiTheme="minorHAnsi" w:cstheme="minorBidi"/>
          <w:szCs w:val="22"/>
          <w:lang w:val="es-ES" w:eastAsia="es-ES"/>
        </w:rPr>
      </w:pPr>
      <w:hyperlink w:anchor="_Toc404169" w:history="1">
        <w:r w:rsidRPr="003B1501">
          <w:rPr>
            <w:rStyle w:val="Hipervnculo"/>
          </w:rPr>
          <w:t>310.1. Definición y aplicación</w:t>
        </w:r>
        <w:r>
          <w:rPr>
            <w:webHidden/>
          </w:rPr>
          <w:tab/>
        </w:r>
        <w:r>
          <w:rPr>
            <w:webHidden/>
          </w:rPr>
          <w:fldChar w:fldCharType="begin"/>
        </w:r>
        <w:r>
          <w:rPr>
            <w:webHidden/>
          </w:rPr>
          <w:instrText xml:space="preserve"> PAGEREF _Toc404169 \h </w:instrText>
        </w:r>
        <w:r>
          <w:rPr>
            <w:webHidden/>
          </w:rPr>
        </w:r>
        <w:r>
          <w:rPr>
            <w:webHidden/>
          </w:rPr>
          <w:fldChar w:fldCharType="separate"/>
        </w:r>
        <w:r w:rsidR="001B26B5">
          <w:rPr>
            <w:webHidden/>
          </w:rPr>
          <w:t>92</w:t>
        </w:r>
        <w:r>
          <w:rPr>
            <w:webHidden/>
          </w:rPr>
          <w:fldChar w:fldCharType="end"/>
        </w:r>
      </w:hyperlink>
    </w:p>
    <w:p w14:paraId="79BFC64F" w14:textId="77777777" w:rsidR="0006561B" w:rsidRDefault="0006561B">
      <w:pPr>
        <w:pStyle w:val="TDC2"/>
        <w:rPr>
          <w:rFonts w:asciiTheme="minorHAnsi" w:eastAsiaTheme="minorEastAsia" w:hAnsiTheme="minorHAnsi" w:cstheme="minorBidi"/>
          <w:szCs w:val="22"/>
          <w:lang w:val="es-ES" w:eastAsia="es-ES"/>
        </w:rPr>
      </w:pPr>
      <w:hyperlink w:anchor="_Toc404170" w:history="1">
        <w:r w:rsidRPr="003B1501">
          <w:rPr>
            <w:rStyle w:val="Hipervnculo"/>
          </w:rPr>
          <w:t>310.2. Ejecución de las obras</w:t>
        </w:r>
        <w:r>
          <w:rPr>
            <w:webHidden/>
          </w:rPr>
          <w:tab/>
        </w:r>
        <w:r>
          <w:rPr>
            <w:webHidden/>
          </w:rPr>
          <w:fldChar w:fldCharType="begin"/>
        </w:r>
        <w:r>
          <w:rPr>
            <w:webHidden/>
          </w:rPr>
          <w:instrText xml:space="preserve"> PAGEREF _Toc404170 \h </w:instrText>
        </w:r>
        <w:r>
          <w:rPr>
            <w:webHidden/>
          </w:rPr>
        </w:r>
        <w:r>
          <w:rPr>
            <w:webHidden/>
          </w:rPr>
          <w:fldChar w:fldCharType="separate"/>
        </w:r>
        <w:r w:rsidR="001B26B5">
          <w:rPr>
            <w:webHidden/>
          </w:rPr>
          <w:t>92</w:t>
        </w:r>
        <w:r>
          <w:rPr>
            <w:webHidden/>
          </w:rPr>
          <w:fldChar w:fldCharType="end"/>
        </w:r>
      </w:hyperlink>
    </w:p>
    <w:p w14:paraId="4D27B996" w14:textId="77777777" w:rsidR="0006561B" w:rsidRDefault="0006561B">
      <w:pPr>
        <w:pStyle w:val="TDC2"/>
        <w:rPr>
          <w:rFonts w:asciiTheme="minorHAnsi" w:eastAsiaTheme="minorEastAsia" w:hAnsiTheme="minorHAnsi" w:cstheme="minorBidi"/>
          <w:szCs w:val="22"/>
          <w:lang w:val="es-ES" w:eastAsia="es-ES"/>
        </w:rPr>
      </w:pPr>
      <w:hyperlink w:anchor="_Toc404171" w:history="1">
        <w:r w:rsidRPr="003B1501">
          <w:rPr>
            <w:rStyle w:val="Hipervnculo"/>
          </w:rPr>
          <w:t>310.3. Recepción</w:t>
        </w:r>
        <w:r>
          <w:rPr>
            <w:webHidden/>
          </w:rPr>
          <w:tab/>
        </w:r>
        <w:r>
          <w:rPr>
            <w:webHidden/>
          </w:rPr>
          <w:fldChar w:fldCharType="begin"/>
        </w:r>
        <w:r>
          <w:rPr>
            <w:webHidden/>
          </w:rPr>
          <w:instrText xml:space="preserve"> PAGEREF _Toc404171 \h </w:instrText>
        </w:r>
        <w:r>
          <w:rPr>
            <w:webHidden/>
          </w:rPr>
        </w:r>
        <w:r>
          <w:rPr>
            <w:webHidden/>
          </w:rPr>
          <w:fldChar w:fldCharType="separate"/>
        </w:r>
        <w:r w:rsidR="001B26B5">
          <w:rPr>
            <w:webHidden/>
          </w:rPr>
          <w:t>92</w:t>
        </w:r>
        <w:r>
          <w:rPr>
            <w:webHidden/>
          </w:rPr>
          <w:fldChar w:fldCharType="end"/>
        </w:r>
      </w:hyperlink>
    </w:p>
    <w:p w14:paraId="0807971F" w14:textId="77777777" w:rsidR="0006561B" w:rsidRDefault="0006561B">
      <w:pPr>
        <w:pStyle w:val="TDC2"/>
        <w:rPr>
          <w:rFonts w:asciiTheme="minorHAnsi" w:eastAsiaTheme="minorEastAsia" w:hAnsiTheme="minorHAnsi" w:cstheme="minorBidi"/>
          <w:szCs w:val="22"/>
          <w:lang w:val="es-ES" w:eastAsia="es-ES"/>
        </w:rPr>
      </w:pPr>
      <w:hyperlink w:anchor="_Toc404172" w:history="1">
        <w:r w:rsidRPr="003B1501">
          <w:rPr>
            <w:rStyle w:val="Hipervnculo"/>
          </w:rPr>
          <w:t>310.4. Medición y abono</w:t>
        </w:r>
        <w:r>
          <w:rPr>
            <w:webHidden/>
          </w:rPr>
          <w:tab/>
        </w:r>
        <w:r>
          <w:rPr>
            <w:webHidden/>
          </w:rPr>
          <w:fldChar w:fldCharType="begin"/>
        </w:r>
        <w:r>
          <w:rPr>
            <w:webHidden/>
          </w:rPr>
          <w:instrText xml:space="preserve"> PAGEREF _Toc404172 \h </w:instrText>
        </w:r>
        <w:r>
          <w:rPr>
            <w:webHidden/>
          </w:rPr>
        </w:r>
        <w:r>
          <w:rPr>
            <w:webHidden/>
          </w:rPr>
          <w:fldChar w:fldCharType="separate"/>
        </w:r>
        <w:r w:rsidR="001B26B5">
          <w:rPr>
            <w:webHidden/>
          </w:rPr>
          <w:t>92</w:t>
        </w:r>
        <w:r>
          <w:rPr>
            <w:webHidden/>
          </w:rPr>
          <w:fldChar w:fldCharType="end"/>
        </w:r>
      </w:hyperlink>
    </w:p>
    <w:p w14:paraId="263D3BC2" w14:textId="77777777" w:rsidR="0006561B" w:rsidRDefault="0006561B">
      <w:pPr>
        <w:pStyle w:val="TDC1"/>
        <w:rPr>
          <w:rFonts w:asciiTheme="minorHAnsi" w:eastAsiaTheme="minorEastAsia" w:hAnsiTheme="minorHAnsi" w:cstheme="minorBidi"/>
          <w:b w:val="0"/>
          <w:sz w:val="22"/>
          <w:szCs w:val="22"/>
          <w:lang w:val="es-ES" w:eastAsia="es-ES"/>
        </w:rPr>
      </w:pPr>
      <w:hyperlink w:anchor="_Toc404173" w:history="1">
        <w:r w:rsidRPr="003B1501">
          <w:rPr>
            <w:rStyle w:val="Hipervnculo"/>
          </w:rPr>
          <w:t>Artículo 311. Limpieza de obra de drenaje</w:t>
        </w:r>
        <w:r>
          <w:rPr>
            <w:webHidden/>
          </w:rPr>
          <w:tab/>
        </w:r>
        <w:r>
          <w:rPr>
            <w:webHidden/>
          </w:rPr>
          <w:fldChar w:fldCharType="begin"/>
        </w:r>
        <w:r>
          <w:rPr>
            <w:webHidden/>
          </w:rPr>
          <w:instrText xml:space="preserve"> PAGEREF _Toc404173 \h </w:instrText>
        </w:r>
        <w:r>
          <w:rPr>
            <w:webHidden/>
          </w:rPr>
        </w:r>
        <w:r>
          <w:rPr>
            <w:webHidden/>
          </w:rPr>
          <w:fldChar w:fldCharType="separate"/>
        </w:r>
        <w:r w:rsidR="001B26B5">
          <w:rPr>
            <w:webHidden/>
          </w:rPr>
          <w:t>93</w:t>
        </w:r>
        <w:r>
          <w:rPr>
            <w:webHidden/>
          </w:rPr>
          <w:fldChar w:fldCharType="end"/>
        </w:r>
      </w:hyperlink>
    </w:p>
    <w:p w14:paraId="162A3D7F" w14:textId="77777777" w:rsidR="0006561B" w:rsidRDefault="0006561B">
      <w:pPr>
        <w:pStyle w:val="TDC2"/>
        <w:rPr>
          <w:rFonts w:asciiTheme="minorHAnsi" w:eastAsiaTheme="minorEastAsia" w:hAnsiTheme="minorHAnsi" w:cstheme="minorBidi"/>
          <w:szCs w:val="22"/>
          <w:lang w:val="es-ES" w:eastAsia="es-ES"/>
        </w:rPr>
      </w:pPr>
      <w:hyperlink w:anchor="_Toc404174" w:history="1">
        <w:r w:rsidRPr="003B1501">
          <w:rPr>
            <w:rStyle w:val="Hipervnculo"/>
          </w:rPr>
          <w:t>311.1. Definición y aplicación</w:t>
        </w:r>
        <w:r>
          <w:rPr>
            <w:webHidden/>
          </w:rPr>
          <w:tab/>
        </w:r>
        <w:r>
          <w:rPr>
            <w:webHidden/>
          </w:rPr>
          <w:fldChar w:fldCharType="begin"/>
        </w:r>
        <w:r>
          <w:rPr>
            <w:webHidden/>
          </w:rPr>
          <w:instrText xml:space="preserve"> PAGEREF _Toc404174 \h </w:instrText>
        </w:r>
        <w:r>
          <w:rPr>
            <w:webHidden/>
          </w:rPr>
        </w:r>
        <w:r>
          <w:rPr>
            <w:webHidden/>
          </w:rPr>
          <w:fldChar w:fldCharType="separate"/>
        </w:r>
        <w:r w:rsidR="001B26B5">
          <w:rPr>
            <w:webHidden/>
          </w:rPr>
          <w:t>93</w:t>
        </w:r>
        <w:r>
          <w:rPr>
            <w:webHidden/>
          </w:rPr>
          <w:fldChar w:fldCharType="end"/>
        </w:r>
      </w:hyperlink>
    </w:p>
    <w:p w14:paraId="6D85F791" w14:textId="77777777" w:rsidR="0006561B" w:rsidRDefault="0006561B">
      <w:pPr>
        <w:pStyle w:val="TDC2"/>
        <w:rPr>
          <w:rFonts w:asciiTheme="minorHAnsi" w:eastAsiaTheme="minorEastAsia" w:hAnsiTheme="minorHAnsi" w:cstheme="minorBidi"/>
          <w:szCs w:val="22"/>
          <w:lang w:val="es-ES" w:eastAsia="es-ES"/>
        </w:rPr>
      </w:pPr>
      <w:hyperlink w:anchor="_Toc404175" w:history="1">
        <w:r w:rsidRPr="003B1501">
          <w:rPr>
            <w:rStyle w:val="Hipervnculo"/>
          </w:rPr>
          <w:t>311.2. Ejecución de las obras</w:t>
        </w:r>
        <w:r>
          <w:rPr>
            <w:webHidden/>
          </w:rPr>
          <w:tab/>
        </w:r>
        <w:r>
          <w:rPr>
            <w:webHidden/>
          </w:rPr>
          <w:fldChar w:fldCharType="begin"/>
        </w:r>
        <w:r>
          <w:rPr>
            <w:webHidden/>
          </w:rPr>
          <w:instrText xml:space="preserve"> PAGEREF _Toc404175 \h </w:instrText>
        </w:r>
        <w:r>
          <w:rPr>
            <w:webHidden/>
          </w:rPr>
        </w:r>
        <w:r>
          <w:rPr>
            <w:webHidden/>
          </w:rPr>
          <w:fldChar w:fldCharType="separate"/>
        </w:r>
        <w:r w:rsidR="001B26B5">
          <w:rPr>
            <w:webHidden/>
          </w:rPr>
          <w:t>93</w:t>
        </w:r>
        <w:r>
          <w:rPr>
            <w:webHidden/>
          </w:rPr>
          <w:fldChar w:fldCharType="end"/>
        </w:r>
      </w:hyperlink>
    </w:p>
    <w:p w14:paraId="47776BFD" w14:textId="77777777" w:rsidR="0006561B" w:rsidRDefault="0006561B">
      <w:pPr>
        <w:pStyle w:val="TDC2"/>
        <w:rPr>
          <w:rFonts w:asciiTheme="minorHAnsi" w:eastAsiaTheme="minorEastAsia" w:hAnsiTheme="minorHAnsi" w:cstheme="minorBidi"/>
          <w:szCs w:val="22"/>
          <w:lang w:val="es-ES" w:eastAsia="es-ES"/>
        </w:rPr>
      </w:pPr>
      <w:hyperlink w:anchor="_Toc404176" w:history="1">
        <w:r w:rsidRPr="003B1501">
          <w:rPr>
            <w:rStyle w:val="Hipervnculo"/>
          </w:rPr>
          <w:t>311.3. Recepción</w:t>
        </w:r>
        <w:r>
          <w:rPr>
            <w:webHidden/>
          </w:rPr>
          <w:tab/>
        </w:r>
        <w:r>
          <w:rPr>
            <w:webHidden/>
          </w:rPr>
          <w:fldChar w:fldCharType="begin"/>
        </w:r>
        <w:r>
          <w:rPr>
            <w:webHidden/>
          </w:rPr>
          <w:instrText xml:space="preserve"> PAGEREF _Toc404176 \h </w:instrText>
        </w:r>
        <w:r>
          <w:rPr>
            <w:webHidden/>
          </w:rPr>
        </w:r>
        <w:r>
          <w:rPr>
            <w:webHidden/>
          </w:rPr>
          <w:fldChar w:fldCharType="separate"/>
        </w:r>
        <w:r w:rsidR="001B26B5">
          <w:rPr>
            <w:webHidden/>
          </w:rPr>
          <w:t>93</w:t>
        </w:r>
        <w:r>
          <w:rPr>
            <w:webHidden/>
          </w:rPr>
          <w:fldChar w:fldCharType="end"/>
        </w:r>
      </w:hyperlink>
    </w:p>
    <w:p w14:paraId="4B769B8E" w14:textId="77777777" w:rsidR="0006561B" w:rsidRDefault="0006561B">
      <w:pPr>
        <w:pStyle w:val="TDC2"/>
        <w:rPr>
          <w:rFonts w:asciiTheme="minorHAnsi" w:eastAsiaTheme="minorEastAsia" w:hAnsiTheme="minorHAnsi" w:cstheme="minorBidi"/>
          <w:szCs w:val="22"/>
          <w:lang w:val="es-ES" w:eastAsia="es-ES"/>
        </w:rPr>
      </w:pPr>
      <w:hyperlink w:anchor="_Toc404177" w:history="1">
        <w:r w:rsidRPr="003B1501">
          <w:rPr>
            <w:rStyle w:val="Hipervnculo"/>
          </w:rPr>
          <w:t>311.4. Medición y abono</w:t>
        </w:r>
        <w:r>
          <w:rPr>
            <w:webHidden/>
          </w:rPr>
          <w:tab/>
        </w:r>
        <w:r>
          <w:rPr>
            <w:webHidden/>
          </w:rPr>
          <w:fldChar w:fldCharType="begin"/>
        </w:r>
        <w:r>
          <w:rPr>
            <w:webHidden/>
          </w:rPr>
          <w:instrText xml:space="preserve"> PAGEREF _Toc404177 \h </w:instrText>
        </w:r>
        <w:r>
          <w:rPr>
            <w:webHidden/>
          </w:rPr>
        </w:r>
        <w:r>
          <w:rPr>
            <w:webHidden/>
          </w:rPr>
          <w:fldChar w:fldCharType="separate"/>
        </w:r>
        <w:r w:rsidR="001B26B5">
          <w:rPr>
            <w:webHidden/>
          </w:rPr>
          <w:t>93</w:t>
        </w:r>
        <w:r>
          <w:rPr>
            <w:webHidden/>
          </w:rPr>
          <w:fldChar w:fldCharType="end"/>
        </w:r>
      </w:hyperlink>
    </w:p>
    <w:p w14:paraId="203A7DD7" w14:textId="77777777" w:rsidR="0006561B" w:rsidRDefault="0006561B">
      <w:pPr>
        <w:pStyle w:val="TDC1"/>
        <w:rPr>
          <w:rFonts w:asciiTheme="minorHAnsi" w:eastAsiaTheme="minorEastAsia" w:hAnsiTheme="minorHAnsi" w:cstheme="minorBidi"/>
          <w:b w:val="0"/>
          <w:sz w:val="22"/>
          <w:szCs w:val="22"/>
          <w:lang w:val="es-ES" w:eastAsia="es-ES"/>
        </w:rPr>
      </w:pPr>
      <w:hyperlink w:anchor="_Toc404178" w:history="1">
        <w:r w:rsidRPr="003B1501">
          <w:rPr>
            <w:rStyle w:val="Hipervnculo"/>
          </w:rPr>
          <w:t>Artículo 319. Fresado</w:t>
        </w:r>
        <w:r>
          <w:rPr>
            <w:webHidden/>
          </w:rPr>
          <w:tab/>
        </w:r>
        <w:r>
          <w:rPr>
            <w:webHidden/>
          </w:rPr>
          <w:fldChar w:fldCharType="begin"/>
        </w:r>
        <w:r>
          <w:rPr>
            <w:webHidden/>
          </w:rPr>
          <w:instrText xml:space="preserve"> PAGEREF _Toc404178 \h </w:instrText>
        </w:r>
        <w:r>
          <w:rPr>
            <w:webHidden/>
          </w:rPr>
        </w:r>
        <w:r>
          <w:rPr>
            <w:webHidden/>
          </w:rPr>
          <w:fldChar w:fldCharType="separate"/>
        </w:r>
        <w:r w:rsidR="001B26B5">
          <w:rPr>
            <w:webHidden/>
          </w:rPr>
          <w:t>94</w:t>
        </w:r>
        <w:r>
          <w:rPr>
            <w:webHidden/>
          </w:rPr>
          <w:fldChar w:fldCharType="end"/>
        </w:r>
      </w:hyperlink>
    </w:p>
    <w:p w14:paraId="7EFA601E" w14:textId="77777777" w:rsidR="0006561B" w:rsidRDefault="0006561B">
      <w:pPr>
        <w:pStyle w:val="TDC2"/>
        <w:rPr>
          <w:rFonts w:asciiTheme="minorHAnsi" w:eastAsiaTheme="minorEastAsia" w:hAnsiTheme="minorHAnsi" w:cstheme="minorBidi"/>
          <w:szCs w:val="22"/>
          <w:lang w:val="es-ES" w:eastAsia="es-ES"/>
        </w:rPr>
      </w:pPr>
      <w:hyperlink w:anchor="_Toc404179" w:history="1">
        <w:r w:rsidRPr="003B1501">
          <w:rPr>
            <w:rStyle w:val="Hipervnculo"/>
          </w:rPr>
          <w:t xml:space="preserve">319.1.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_Toc404179 \h </w:instrText>
        </w:r>
        <w:r>
          <w:rPr>
            <w:webHidden/>
          </w:rPr>
        </w:r>
        <w:r>
          <w:rPr>
            <w:webHidden/>
          </w:rPr>
          <w:fldChar w:fldCharType="separate"/>
        </w:r>
        <w:r w:rsidR="001B26B5">
          <w:rPr>
            <w:webHidden/>
          </w:rPr>
          <w:t>94</w:t>
        </w:r>
        <w:r>
          <w:rPr>
            <w:webHidden/>
          </w:rPr>
          <w:fldChar w:fldCharType="end"/>
        </w:r>
      </w:hyperlink>
    </w:p>
    <w:p w14:paraId="664655E2" w14:textId="77777777" w:rsidR="0006561B" w:rsidRDefault="0006561B">
      <w:pPr>
        <w:pStyle w:val="TDC2"/>
        <w:rPr>
          <w:rFonts w:asciiTheme="minorHAnsi" w:eastAsiaTheme="minorEastAsia" w:hAnsiTheme="minorHAnsi" w:cstheme="minorBidi"/>
          <w:szCs w:val="22"/>
          <w:lang w:val="es-ES" w:eastAsia="es-ES"/>
        </w:rPr>
      </w:pPr>
      <w:hyperlink w:anchor="_Toc404180" w:history="1">
        <w:r w:rsidRPr="003B1501">
          <w:rPr>
            <w:rStyle w:val="Hipervnculo"/>
          </w:rPr>
          <w:t xml:space="preserve">319.2.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_Toc404180 \h </w:instrText>
        </w:r>
        <w:r>
          <w:rPr>
            <w:webHidden/>
          </w:rPr>
        </w:r>
        <w:r>
          <w:rPr>
            <w:webHidden/>
          </w:rPr>
          <w:fldChar w:fldCharType="separate"/>
        </w:r>
        <w:r w:rsidR="001B26B5">
          <w:rPr>
            <w:webHidden/>
          </w:rPr>
          <w:t>94</w:t>
        </w:r>
        <w:r>
          <w:rPr>
            <w:webHidden/>
          </w:rPr>
          <w:fldChar w:fldCharType="end"/>
        </w:r>
      </w:hyperlink>
    </w:p>
    <w:p w14:paraId="3359AA06" w14:textId="77777777" w:rsidR="0006561B" w:rsidRDefault="0006561B">
      <w:pPr>
        <w:pStyle w:val="TDC2"/>
        <w:rPr>
          <w:rFonts w:asciiTheme="minorHAnsi" w:eastAsiaTheme="minorEastAsia" w:hAnsiTheme="minorHAnsi" w:cstheme="minorBidi"/>
          <w:szCs w:val="22"/>
          <w:lang w:val="es-ES" w:eastAsia="es-ES"/>
        </w:rPr>
      </w:pPr>
      <w:hyperlink w:anchor="_Toc404181" w:history="1">
        <w:r w:rsidRPr="003B1501">
          <w:rPr>
            <w:rStyle w:val="Hipervnculo"/>
          </w:rPr>
          <w:t>319.3.   Medición y abono</w:t>
        </w:r>
        <w:r>
          <w:rPr>
            <w:webHidden/>
          </w:rPr>
          <w:tab/>
        </w:r>
        <w:r>
          <w:rPr>
            <w:webHidden/>
          </w:rPr>
          <w:fldChar w:fldCharType="begin"/>
        </w:r>
        <w:r>
          <w:rPr>
            <w:webHidden/>
          </w:rPr>
          <w:instrText xml:space="preserve"> PAGEREF _Toc404181 \h </w:instrText>
        </w:r>
        <w:r>
          <w:rPr>
            <w:webHidden/>
          </w:rPr>
        </w:r>
        <w:r>
          <w:rPr>
            <w:webHidden/>
          </w:rPr>
          <w:fldChar w:fldCharType="separate"/>
        </w:r>
        <w:r w:rsidR="001B26B5">
          <w:rPr>
            <w:webHidden/>
          </w:rPr>
          <w:t>96</w:t>
        </w:r>
        <w:r>
          <w:rPr>
            <w:webHidden/>
          </w:rPr>
          <w:fldChar w:fldCharType="end"/>
        </w:r>
      </w:hyperlink>
    </w:p>
    <w:p w14:paraId="11DC89BD" w14:textId="77777777" w:rsidR="0006561B" w:rsidRDefault="0006561B">
      <w:pPr>
        <w:pStyle w:val="TDC1"/>
        <w:rPr>
          <w:rFonts w:asciiTheme="minorHAnsi" w:eastAsiaTheme="minorEastAsia" w:hAnsiTheme="minorHAnsi" w:cstheme="minorBidi"/>
          <w:b w:val="0"/>
          <w:sz w:val="22"/>
          <w:szCs w:val="22"/>
          <w:lang w:val="es-ES" w:eastAsia="es-ES"/>
        </w:rPr>
      </w:pPr>
      <w:hyperlink w:anchor="_Toc404182" w:history="1">
        <w:r w:rsidRPr="003B1501">
          <w:rPr>
            <w:rStyle w:val="Hipervnculo"/>
          </w:rPr>
          <w:t>Artículo 320. Excavación de la explanación y préstamos</w:t>
        </w:r>
        <w:r>
          <w:rPr>
            <w:webHidden/>
          </w:rPr>
          <w:tab/>
        </w:r>
        <w:r>
          <w:rPr>
            <w:webHidden/>
          </w:rPr>
          <w:fldChar w:fldCharType="begin"/>
        </w:r>
        <w:r>
          <w:rPr>
            <w:webHidden/>
          </w:rPr>
          <w:instrText xml:space="preserve"> PAGEREF _Toc404182 \h </w:instrText>
        </w:r>
        <w:r>
          <w:rPr>
            <w:webHidden/>
          </w:rPr>
        </w:r>
        <w:r>
          <w:rPr>
            <w:webHidden/>
          </w:rPr>
          <w:fldChar w:fldCharType="separate"/>
        </w:r>
        <w:r w:rsidR="001B26B5">
          <w:rPr>
            <w:webHidden/>
          </w:rPr>
          <w:t>97</w:t>
        </w:r>
        <w:r>
          <w:rPr>
            <w:webHidden/>
          </w:rPr>
          <w:fldChar w:fldCharType="end"/>
        </w:r>
      </w:hyperlink>
    </w:p>
    <w:p w14:paraId="549CDE2B" w14:textId="77777777" w:rsidR="0006561B" w:rsidRDefault="0006561B">
      <w:pPr>
        <w:pStyle w:val="TDC2"/>
        <w:rPr>
          <w:rFonts w:asciiTheme="minorHAnsi" w:eastAsiaTheme="minorEastAsia" w:hAnsiTheme="minorHAnsi" w:cstheme="minorBidi"/>
          <w:szCs w:val="22"/>
          <w:lang w:val="es-ES" w:eastAsia="es-ES"/>
        </w:rPr>
      </w:pPr>
      <w:hyperlink w:anchor="_Toc404183" w:history="1">
        <w:r w:rsidRPr="003B1501">
          <w:rPr>
            <w:rStyle w:val="Hipervnculo"/>
          </w:rPr>
          <w:t>320.1. Definición</w:t>
        </w:r>
        <w:r>
          <w:rPr>
            <w:webHidden/>
          </w:rPr>
          <w:tab/>
        </w:r>
        <w:r>
          <w:rPr>
            <w:webHidden/>
          </w:rPr>
          <w:fldChar w:fldCharType="begin"/>
        </w:r>
        <w:r>
          <w:rPr>
            <w:webHidden/>
          </w:rPr>
          <w:instrText xml:space="preserve"> PAGEREF _Toc404183 \h </w:instrText>
        </w:r>
        <w:r>
          <w:rPr>
            <w:webHidden/>
          </w:rPr>
        </w:r>
        <w:r>
          <w:rPr>
            <w:webHidden/>
          </w:rPr>
          <w:fldChar w:fldCharType="separate"/>
        </w:r>
        <w:r w:rsidR="001B26B5">
          <w:rPr>
            <w:webHidden/>
          </w:rPr>
          <w:t>97</w:t>
        </w:r>
        <w:r>
          <w:rPr>
            <w:webHidden/>
          </w:rPr>
          <w:fldChar w:fldCharType="end"/>
        </w:r>
      </w:hyperlink>
    </w:p>
    <w:p w14:paraId="2103EE8A" w14:textId="77777777" w:rsidR="0006561B" w:rsidRDefault="0006561B">
      <w:pPr>
        <w:pStyle w:val="TDC2"/>
        <w:rPr>
          <w:rFonts w:asciiTheme="minorHAnsi" w:eastAsiaTheme="minorEastAsia" w:hAnsiTheme="minorHAnsi" w:cstheme="minorBidi"/>
          <w:szCs w:val="22"/>
          <w:lang w:val="es-ES" w:eastAsia="es-ES"/>
        </w:rPr>
      </w:pPr>
      <w:hyperlink w:anchor="_Toc404184" w:history="1">
        <w:r w:rsidRPr="003B1501">
          <w:rPr>
            <w:rStyle w:val="Hipervnculo"/>
          </w:rPr>
          <w:t>320.2. Clasificación de las excavaciones</w:t>
        </w:r>
        <w:r>
          <w:rPr>
            <w:webHidden/>
          </w:rPr>
          <w:tab/>
        </w:r>
        <w:r>
          <w:rPr>
            <w:webHidden/>
          </w:rPr>
          <w:fldChar w:fldCharType="begin"/>
        </w:r>
        <w:r>
          <w:rPr>
            <w:webHidden/>
          </w:rPr>
          <w:instrText xml:space="preserve"> PAGEREF _Toc404184 \h </w:instrText>
        </w:r>
        <w:r>
          <w:rPr>
            <w:webHidden/>
          </w:rPr>
        </w:r>
        <w:r>
          <w:rPr>
            <w:webHidden/>
          </w:rPr>
          <w:fldChar w:fldCharType="separate"/>
        </w:r>
        <w:r w:rsidR="001B26B5">
          <w:rPr>
            <w:webHidden/>
          </w:rPr>
          <w:t>97</w:t>
        </w:r>
        <w:r>
          <w:rPr>
            <w:webHidden/>
          </w:rPr>
          <w:fldChar w:fldCharType="end"/>
        </w:r>
      </w:hyperlink>
    </w:p>
    <w:p w14:paraId="2EE2F296" w14:textId="77777777" w:rsidR="0006561B" w:rsidRDefault="0006561B">
      <w:pPr>
        <w:pStyle w:val="TDC2"/>
        <w:rPr>
          <w:rFonts w:asciiTheme="minorHAnsi" w:eastAsiaTheme="minorEastAsia" w:hAnsiTheme="minorHAnsi" w:cstheme="minorBidi"/>
          <w:szCs w:val="22"/>
          <w:lang w:val="es-ES" w:eastAsia="es-ES"/>
        </w:rPr>
      </w:pPr>
      <w:hyperlink w:anchor="_Toc404185" w:history="1">
        <w:r w:rsidRPr="003B1501">
          <w:rPr>
            <w:rStyle w:val="Hipervnculo"/>
          </w:rPr>
          <w:t>320.3. Ejecución de las obras</w:t>
        </w:r>
        <w:r>
          <w:rPr>
            <w:webHidden/>
          </w:rPr>
          <w:tab/>
        </w:r>
        <w:r>
          <w:rPr>
            <w:webHidden/>
          </w:rPr>
          <w:fldChar w:fldCharType="begin"/>
        </w:r>
        <w:r>
          <w:rPr>
            <w:webHidden/>
          </w:rPr>
          <w:instrText xml:space="preserve"> PAGEREF _Toc404185 \h </w:instrText>
        </w:r>
        <w:r>
          <w:rPr>
            <w:webHidden/>
          </w:rPr>
        </w:r>
        <w:r>
          <w:rPr>
            <w:webHidden/>
          </w:rPr>
          <w:fldChar w:fldCharType="separate"/>
        </w:r>
        <w:r w:rsidR="001B26B5">
          <w:rPr>
            <w:webHidden/>
          </w:rPr>
          <w:t>98</w:t>
        </w:r>
        <w:r>
          <w:rPr>
            <w:webHidden/>
          </w:rPr>
          <w:fldChar w:fldCharType="end"/>
        </w:r>
      </w:hyperlink>
    </w:p>
    <w:p w14:paraId="53811EC9" w14:textId="77777777" w:rsidR="0006561B" w:rsidRDefault="0006561B">
      <w:pPr>
        <w:pStyle w:val="TDC2"/>
        <w:rPr>
          <w:rFonts w:asciiTheme="minorHAnsi" w:eastAsiaTheme="minorEastAsia" w:hAnsiTheme="minorHAnsi" w:cstheme="minorBidi"/>
          <w:szCs w:val="22"/>
          <w:lang w:val="es-ES" w:eastAsia="es-ES"/>
        </w:rPr>
      </w:pPr>
      <w:hyperlink w:anchor="_Toc404186" w:history="1">
        <w:r w:rsidRPr="003B1501">
          <w:rPr>
            <w:rStyle w:val="Hipervnculo"/>
          </w:rPr>
          <w:t>320.4. Medición y abono</w:t>
        </w:r>
        <w:r>
          <w:rPr>
            <w:webHidden/>
          </w:rPr>
          <w:tab/>
        </w:r>
        <w:r>
          <w:rPr>
            <w:webHidden/>
          </w:rPr>
          <w:fldChar w:fldCharType="begin"/>
        </w:r>
        <w:r>
          <w:rPr>
            <w:webHidden/>
          </w:rPr>
          <w:instrText xml:space="preserve"> PAGEREF _Toc404186 \h </w:instrText>
        </w:r>
        <w:r>
          <w:rPr>
            <w:webHidden/>
          </w:rPr>
        </w:r>
        <w:r>
          <w:rPr>
            <w:webHidden/>
          </w:rPr>
          <w:fldChar w:fldCharType="separate"/>
        </w:r>
        <w:r w:rsidR="001B26B5">
          <w:rPr>
            <w:webHidden/>
          </w:rPr>
          <w:t>102</w:t>
        </w:r>
        <w:r>
          <w:rPr>
            <w:webHidden/>
          </w:rPr>
          <w:fldChar w:fldCharType="end"/>
        </w:r>
      </w:hyperlink>
    </w:p>
    <w:p w14:paraId="1B86EB00" w14:textId="77777777" w:rsidR="0006561B" w:rsidRDefault="0006561B">
      <w:pPr>
        <w:pStyle w:val="TDC1"/>
        <w:rPr>
          <w:rFonts w:asciiTheme="minorHAnsi" w:eastAsiaTheme="minorEastAsia" w:hAnsiTheme="minorHAnsi" w:cstheme="minorBidi"/>
          <w:b w:val="0"/>
          <w:sz w:val="22"/>
          <w:szCs w:val="22"/>
          <w:lang w:val="es-ES" w:eastAsia="es-ES"/>
        </w:rPr>
      </w:pPr>
      <w:hyperlink w:anchor="_Toc404187" w:history="1">
        <w:r w:rsidRPr="003B1501">
          <w:rPr>
            <w:rStyle w:val="Hipervnculo"/>
          </w:rPr>
          <w:t>Artículo 321. Excavaciones en zanjas y pozos</w:t>
        </w:r>
        <w:r>
          <w:rPr>
            <w:webHidden/>
          </w:rPr>
          <w:tab/>
        </w:r>
        <w:r>
          <w:rPr>
            <w:webHidden/>
          </w:rPr>
          <w:fldChar w:fldCharType="begin"/>
        </w:r>
        <w:r>
          <w:rPr>
            <w:webHidden/>
          </w:rPr>
          <w:instrText xml:space="preserve"> PAGEREF _Toc404187 \h </w:instrText>
        </w:r>
        <w:r>
          <w:rPr>
            <w:webHidden/>
          </w:rPr>
        </w:r>
        <w:r>
          <w:rPr>
            <w:webHidden/>
          </w:rPr>
          <w:fldChar w:fldCharType="separate"/>
        </w:r>
        <w:r w:rsidR="001B26B5">
          <w:rPr>
            <w:webHidden/>
          </w:rPr>
          <w:t>104</w:t>
        </w:r>
        <w:r>
          <w:rPr>
            <w:webHidden/>
          </w:rPr>
          <w:fldChar w:fldCharType="end"/>
        </w:r>
      </w:hyperlink>
    </w:p>
    <w:p w14:paraId="21F21AA5" w14:textId="77777777" w:rsidR="0006561B" w:rsidRDefault="0006561B">
      <w:pPr>
        <w:pStyle w:val="TDC2"/>
        <w:rPr>
          <w:rFonts w:asciiTheme="minorHAnsi" w:eastAsiaTheme="minorEastAsia" w:hAnsiTheme="minorHAnsi" w:cstheme="minorBidi"/>
          <w:szCs w:val="22"/>
          <w:lang w:val="es-ES" w:eastAsia="es-ES"/>
        </w:rPr>
      </w:pPr>
      <w:hyperlink w:anchor="_Toc404188" w:history="1">
        <w:r w:rsidRPr="003B1501">
          <w:rPr>
            <w:rStyle w:val="Hipervnculo"/>
          </w:rPr>
          <w:t>321.1. Aplicación</w:t>
        </w:r>
        <w:r>
          <w:rPr>
            <w:webHidden/>
          </w:rPr>
          <w:tab/>
        </w:r>
        <w:r>
          <w:rPr>
            <w:webHidden/>
          </w:rPr>
          <w:fldChar w:fldCharType="begin"/>
        </w:r>
        <w:r>
          <w:rPr>
            <w:webHidden/>
          </w:rPr>
          <w:instrText xml:space="preserve"> PAGEREF _Toc404188 \h </w:instrText>
        </w:r>
        <w:r>
          <w:rPr>
            <w:webHidden/>
          </w:rPr>
        </w:r>
        <w:r>
          <w:rPr>
            <w:webHidden/>
          </w:rPr>
          <w:fldChar w:fldCharType="separate"/>
        </w:r>
        <w:r w:rsidR="001B26B5">
          <w:rPr>
            <w:webHidden/>
          </w:rPr>
          <w:t>104</w:t>
        </w:r>
        <w:r>
          <w:rPr>
            <w:webHidden/>
          </w:rPr>
          <w:fldChar w:fldCharType="end"/>
        </w:r>
      </w:hyperlink>
    </w:p>
    <w:p w14:paraId="5FF4F5E5" w14:textId="77777777" w:rsidR="0006561B" w:rsidRDefault="0006561B">
      <w:pPr>
        <w:pStyle w:val="TDC2"/>
        <w:rPr>
          <w:rFonts w:asciiTheme="minorHAnsi" w:eastAsiaTheme="minorEastAsia" w:hAnsiTheme="minorHAnsi" w:cstheme="minorBidi"/>
          <w:szCs w:val="22"/>
          <w:lang w:val="es-ES" w:eastAsia="es-ES"/>
        </w:rPr>
      </w:pPr>
      <w:hyperlink w:anchor="_Toc404189" w:history="1">
        <w:r w:rsidRPr="003B1501">
          <w:rPr>
            <w:rStyle w:val="Hipervnculo"/>
          </w:rPr>
          <w:t>321.2. Clasificación de las excavaciones</w:t>
        </w:r>
        <w:r>
          <w:rPr>
            <w:webHidden/>
          </w:rPr>
          <w:tab/>
        </w:r>
        <w:r>
          <w:rPr>
            <w:webHidden/>
          </w:rPr>
          <w:fldChar w:fldCharType="begin"/>
        </w:r>
        <w:r>
          <w:rPr>
            <w:webHidden/>
          </w:rPr>
          <w:instrText xml:space="preserve"> PAGEREF _Toc404189 \h </w:instrText>
        </w:r>
        <w:r>
          <w:rPr>
            <w:webHidden/>
          </w:rPr>
        </w:r>
        <w:r>
          <w:rPr>
            <w:webHidden/>
          </w:rPr>
          <w:fldChar w:fldCharType="separate"/>
        </w:r>
        <w:r w:rsidR="001B26B5">
          <w:rPr>
            <w:webHidden/>
          </w:rPr>
          <w:t>104</w:t>
        </w:r>
        <w:r>
          <w:rPr>
            <w:webHidden/>
          </w:rPr>
          <w:fldChar w:fldCharType="end"/>
        </w:r>
      </w:hyperlink>
    </w:p>
    <w:p w14:paraId="538A36BF" w14:textId="77777777" w:rsidR="0006561B" w:rsidRDefault="0006561B">
      <w:pPr>
        <w:pStyle w:val="TDC2"/>
        <w:rPr>
          <w:rFonts w:asciiTheme="minorHAnsi" w:eastAsiaTheme="minorEastAsia" w:hAnsiTheme="minorHAnsi" w:cstheme="minorBidi"/>
          <w:szCs w:val="22"/>
          <w:lang w:val="es-ES" w:eastAsia="es-ES"/>
        </w:rPr>
      </w:pPr>
      <w:hyperlink w:anchor="_Toc404190" w:history="1">
        <w:r w:rsidRPr="003B1501">
          <w:rPr>
            <w:rStyle w:val="Hipervnculo"/>
          </w:rPr>
          <w:t>321.3. Ejecución de las obras</w:t>
        </w:r>
        <w:r>
          <w:rPr>
            <w:webHidden/>
          </w:rPr>
          <w:tab/>
        </w:r>
        <w:r>
          <w:rPr>
            <w:webHidden/>
          </w:rPr>
          <w:fldChar w:fldCharType="begin"/>
        </w:r>
        <w:r>
          <w:rPr>
            <w:webHidden/>
          </w:rPr>
          <w:instrText xml:space="preserve"> PAGEREF _Toc404190 \h </w:instrText>
        </w:r>
        <w:r>
          <w:rPr>
            <w:webHidden/>
          </w:rPr>
        </w:r>
        <w:r>
          <w:rPr>
            <w:webHidden/>
          </w:rPr>
          <w:fldChar w:fldCharType="separate"/>
        </w:r>
        <w:r w:rsidR="001B26B5">
          <w:rPr>
            <w:webHidden/>
          </w:rPr>
          <w:t>104</w:t>
        </w:r>
        <w:r>
          <w:rPr>
            <w:webHidden/>
          </w:rPr>
          <w:fldChar w:fldCharType="end"/>
        </w:r>
      </w:hyperlink>
    </w:p>
    <w:p w14:paraId="78630E15" w14:textId="77777777" w:rsidR="0006561B" w:rsidRDefault="0006561B">
      <w:pPr>
        <w:pStyle w:val="TDC2"/>
        <w:rPr>
          <w:rFonts w:asciiTheme="minorHAnsi" w:eastAsiaTheme="minorEastAsia" w:hAnsiTheme="minorHAnsi" w:cstheme="minorBidi"/>
          <w:szCs w:val="22"/>
          <w:lang w:val="es-ES" w:eastAsia="es-ES"/>
        </w:rPr>
      </w:pPr>
      <w:hyperlink w:anchor="_Toc404191" w:history="1">
        <w:r w:rsidRPr="003B1501">
          <w:rPr>
            <w:rStyle w:val="Hipervnculo"/>
          </w:rPr>
          <w:t>321.6. Medición y abono</w:t>
        </w:r>
        <w:r>
          <w:rPr>
            <w:webHidden/>
          </w:rPr>
          <w:tab/>
        </w:r>
        <w:r>
          <w:rPr>
            <w:webHidden/>
          </w:rPr>
          <w:fldChar w:fldCharType="begin"/>
        </w:r>
        <w:r>
          <w:rPr>
            <w:webHidden/>
          </w:rPr>
          <w:instrText xml:space="preserve"> PAGEREF _Toc404191 \h </w:instrText>
        </w:r>
        <w:r>
          <w:rPr>
            <w:webHidden/>
          </w:rPr>
        </w:r>
        <w:r>
          <w:rPr>
            <w:webHidden/>
          </w:rPr>
          <w:fldChar w:fldCharType="separate"/>
        </w:r>
        <w:r w:rsidR="001B26B5">
          <w:rPr>
            <w:webHidden/>
          </w:rPr>
          <w:t>105</w:t>
        </w:r>
        <w:r>
          <w:rPr>
            <w:webHidden/>
          </w:rPr>
          <w:fldChar w:fldCharType="end"/>
        </w:r>
      </w:hyperlink>
    </w:p>
    <w:p w14:paraId="0B202D86" w14:textId="77777777" w:rsidR="0006561B" w:rsidRDefault="0006561B">
      <w:pPr>
        <w:pStyle w:val="TDC1"/>
        <w:rPr>
          <w:rFonts w:asciiTheme="minorHAnsi" w:eastAsiaTheme="minorEastAsia" w:hAnsiTheme="minorHAnsi" w:cstheme="minorBidi"/>
          <w:b w:val="0"/>
          <w:sz w:val="22"/>
          <w:szCs w:val="22"/>
          <w:lang w:val="es-ES" w:eastAsia="es-ES"/>
        </w:rPr>
      </w:pPr>
      <w:hyperlink w:anchor="_Toc404192" w:history="1">
        <w:r w:rsidRPr="003B1501">
          <w:rPr>
            <w:rStyle w:val="Hipervnculo"/>
          </w:rPr>
          <w:t>Artículo 330. Terraplenes</w:t>
        </w:r>
        <w:r>
          <w:rPr>
            <w:webHidden/>
          </w:rPr>
          <w:tab/>
        </w:r>
        <w:r>
          <w:rPr>
            <w:webHidden/>
          </w:rPr>
          <w:fldChar w:fldCharType="begin"/>
        </w:r>
        <w:r>
          <w:rPr>
            <w:webHidden/>
          </w:rPr>
          <w:instrText xml:space="preserve"> PAGEREF _Toc404192 \h </w:instrText>
        </w:r>
        <w:r>
          <w:rPr>
            <w:webHidden/>
          </w:rPr>
        </w:r>
        <w:r>
          <w:rPr>
            <w:webHidden/>
          </w:rPr>
          <w:fldChar w:fldCharType="separate"/>
        </w:r>
        <w:r w:rsidR="001B26B5">
          <w:rPr>
            <w:webHidden/>
          </w:rPr>
          <w:t>107</w:t>
        </w:r>
        <w:r>
          <w:rPr>
            <w:webHidden/>
          </w:rPr>
          <w:fldChar w:fldCharType="end"/>
        </w:r>
      </w:hyperlink>
    </w:p>
    <w:p w14:paraId="6C7F24C0" w14:textId="77777777" w:rsidR="0006561B" w:rsidRDefault="0006561B">
      <w:pPr>
        <w:pStyle w:val="TDC2"/>
        <w:rPr>
          <w:rFonts w:asciiTheme="minorHAnsi" w:eastAsiaTheme="minorEastAsia" w:hAnsiTheme="minorHAnsi" w:cstheme="minorBidi"/>
          <w:szCs w:val="22"/>
          <w:lang w:val="es-ES" w:eastAsia="es-ES"/>
        </w:rPr>
      </w:pPr>
      <w:hyperlink w:anchor="_Toc404193" w:history="1">
        <w:r w:rsidRPr="003B1501">
          <w:rPr>
            <w:rStyle w:val="Hipervnculo"/>
          </w:rPr>
          <w:t>330.1. Aplicación</w:t>
        </w:r>
        <w:r>
          <w:rPr>
            <w:webHidden/>
          </w:rPr>
          <w:tab/>
        </w:r>
        <w:r>
          <w:rPr>
            <w:webHidden/>
          </w:rPr>
          <w:fldChar w:fldCharType="begin"/>
        </w:r>
        <w:r>
          <w:rPr>
            <w:webHidden/>
          </w:rPr>
          <w:instrText xml:space="preserve"> PAGEREF _Toc404193 \h </w:instrText>
        </w:r>
        <w:r>
          <w:rPr>
            <w:webHidden/>
          </w:rPr>
        </w:r>
        <w:r>
          <w:rPr>
            <w:webHidden/>
          </w:rPr>
          <w:fldChar w:fldCharType="separate"/>
        </w:r>
        <w:r w:rsidR="001B26B5">
          <w:rPr>
            <w:webHidden/>
          </w:rPr>
          <w:t>107</w:t>
        </w:r>
        <w:r>
          <w:rPr>
            <w:webHidden/>
          </w:rPr>
          <w:fldChar w:fldCharType="end"/>
        </w:r>
      </w:hyperlink>
    </w:p>
    <w:p w14:paraId="64B1C6FE" w14:textId="77777777" w:rsidR="0006561B" w:rsidRDefault="0006561B">
      <w:pPr>
        <w:pStyle w:val="TDC2"/>
        <w:rPr>
          <w:rFonts w:asciiTheme="minorHAnsi" w:eastAsiaTheme="minorEastAsia" w:hAnsiTheme="minorHAnsi" w:cstheme="minorBidi"/>
          <w:szCs w:val="22"/>
          <w:lang w:val="es-ES" w:eastAsia="es-ES"/>
        </w:rPr>
      </w:pPr>
      <w:hyperlink w:anchor="_Toc404194" w:history="1">
        <w:r w:rsidRPr="003B1501">
          <w:rPr>
            <w:rStyle w:val="Hipervnculo"/>
          </w:rPr>
          <w:t>330.2. Materiales</w:t>
        </w:r>
        <w:r>
          <w:rPr>
            <w:webHidden/>
          </w:rPr>
          <w:tab/>
        </w:r>
        <w:r>
          <w:rPr>
            <w:webHidden/>
          </w:rPr>
          <w:fldChar w:fldCharType="begin"/>
        </w:r>
        <w:r>
          <w:rPr>
            <w:webHidden/>
          </w:rPr>
          <w:instrText xml:space="preserve"> PAGEREF _Toc404194 \h </w:instrText>
        </w:r>
        <w:r>
          <w:rPr>
            <w:webHidden/>
          </w:rPr>
        </w:r>
        <w:r>
          <w:rPr>
            <w:webHidden/>
          </w:rPr>
          <w:fldChar w:fldCharType="separate"/>
        </w:r>
        <w:r w:rsidR="001B26B5">
          <w:rPr>
            <w:webHidden/>
          </w:rPr>
          <w:t>107</w:t>
        </w:r>
        <w:r>
          <w:rPr>
            <w:webHidden/>
          </w:rPr>
          <w:fldChar w:fldCharType="end"/>
        </w:r>
      </w:hyperlink>
    </w:p>
    <w:p w14:paraId="132BF82F" w14:textId="77777777" w:rsidR="0006561B" w:rsidRDefault="0006561B">
      <w:pPr>
        <w:pStyle w:val="TDC2"/>
        <w:rPr>
          <w:rFonts w:asciiTheme="minorHAnsi" w:eastAsiaTheme="minorEastAsia" w:hAnsiTheme="minorHAnsi" w:cstheme="minorBidi"/>
          <w:szCs w:val="22"/>
          <w:lang w:val="es-ES" w:eastAsia="es-ES"/>
        </w:rPr>
      </w:pPr>
      <w:hyperlink w:anchor="_Toc404195" w:history="1">
        <w:r w:rsidRPr="003B1501">
          <w:rPr>
            <w:rStyle w:val="Hipervnculo"/>
          </w:rPr>
          <w:t>330.5. Ejecución de las obras</w:t>
        </w:r>
        <w:r>
          <w:rPr>
            <w:webHidden/>
          </w:rPr>
          <w:tab/>
        </w:r>
        <w:r>
          <w:rPr>
            <w:webHidden/>
          </w:rPr>
          <w:fldChar w:fldCharType="begin"/>
        </w:r>
        <w:r>
          <w:rPr>
            <w:webHidden/>
          </w:rPr>
          <w:instrText xml:space="preserve"> PAGEREF _Toc404195 \h </w:instrText>
        </w:r>
        <w:r>
          <w:rPr>
            <w:webHidden/>
          </w:rPr>
        </w:r>
        <w:r>
          <w:rPr>
            <w:webHidden/>
          </w:rPr>
          <w:fldChar w:fldCharType="separate"/>
        </w:r>
        <w:r w:rsidR="001B26B5">
          <w:rPr>
            <w:webHidden/>
          </w:rPr>
          <w:t>107</w:t>
        </w:r>
        <w:r>
          <w:rPr>
            <w:webHidden/>
          </w:rPr>
          <w:fldChar w:fldCharType="end"/>
        </w:r>
      </w:hyperlink>
    </w:p>
    <w:p w14:paraId="18DCEADC" w14:textId="77777777" w:rsidR="0006561B" w:rsidRDefault="0006561B">
      <w:pPr>
        <w:pStyle w:val="TDC2"/>
        <w:rPr>
          <w:rFonts w:asciiTheme="minorHAnsi" w:eastAsiaTheme="minorEastAsia" w:hAnsiTheme="minorHAnsi" w:cstheme="minorBidi"/>
          <w:szCs w:val="22"/>
          <w:lang w:val="es-ES" w:eastAsia="es-ES"/>
        </w:rPr>
      </w:pPr>
      <w:hyperlink w:anchor="_Toc404196" w:history="1">
        <w:r w:rsidRPr="003B1501">
          <w:rPr>
            <w:rStyle w:val="Hipervnculo"/>
          </w:rPr>
          <w:t>330.6. Recepción</w:t>
        </w:r>
        <w:r>
          <w:rPr>
            <w:webHidden/>
          </w:rPr>
          <w:tab/>
        </w:r>
        <w:r>
          <w:rPr>
            <w:webHidden/>
          </w:rPr>
          <w:fldChar w:fldCharType="begin"/>
        </w:r>
        <w:r>
          <w:rPr>
            <w:webHidden/>
          </w:rPr>
          <w:instrText xml:space="preserve"> PAGEREF _Toc404196 \h </w:instrText>
        </w:r>
        <w:r>
          <w:rPr>
            <w:webHidden/>
          </w:rPr>
        </w:r>
        <w:r>
          <w:rPr>
            <w:webHidden/>
          </w:rPr>
          <w:fldChar w:fldCharType="separate"/>
        </w:r>
        <w:r w:rsidR="001B26B5">
          <w:rPr>
            <w:webHidden/>
          </w:rPr>
          <w:t>108</w:t>
        </w:r>
        <w:r>
          <w:rPr>
            <w:webHidden/>
          </w:rPr>
          <w:fldChar w:fldCharType="end"/>
        </w:r>
      </w:hyperlink>
    </w:p>
    <w:p w14:paraId="6E2AADD8" w14:textId="77777777" w:rsidR="0006561B" w:rsidRDefault="0006561B">
      <w:pPr>
        <w:pStyle w:val="TDC2"/>
        <w:rPr>
          <w:rFonts w:asciiTheme="minorHAnsi" w:eastAsiaTheme="minorEastAsia" w:hAnsiTheme="minorHAnsi" w:cstheme="minorBidi"/>
          <w:szCs w:val="22"/>
          <w:lang w:val="es-ES" w:eastAsia="es-ES"/>
        </w:rPr>
      </w:pPr>
      <w:hyperlink w:anchor="_Toc404197" w:history="1">
        <w:r w:rsidRPr="003B1501">
          <w:rPr>
            <w:rStyle w:val="Hipervnculo"/>
          </w:rPr>
          <w:t>330.6. Control de calidad</w:t>
        </w:r>
        <w:r>
          <w:rPr>
            <w:webHidden/>
          </w:rPr>
          <w:tab/>
        </w:r>
        <w:r>
          <w:rPr>
            <w:webHidden/>
          </w:rPr>
          <w:fldChar w:fldCharType="begin"/>
        </w:r>
        <w:r>
          <w:rPr>
            <w:webHidden/>
          </w:rPr>
          <w:instrText xml:space="preserve"> PAGEREF _Toc404197 \h </w:instrText>
        </w:r>
        <w:r>
          <w:rPr>
            <w:webHidden/>
          </w:rPr>
        </w:r>
        <w:r>
          <w:rPr>
            <w:webHidden/>
          </w:rPr>
          <w:fldChar w:fldCharType="separate"/>
        </w:r>
        <w:r w:rsidR="001B26B5">
          <w:rPr>
            <w:webHidden/>
          </w:rPr>
          <w:t>108</w:t>
        </w:r>
        <w:r>
          <w:rPr>
            <w:webHidden/>
          </w:rPr>
          <w:fldChar w:fldCharType="end"/>
        </w:r>
      </w:hyperlink>
    </w:p>
    <w:p w14:paraId="765C32F3" w14:textId="77777777" w:rsidR="0006561B" w:rsidRDefault="0006561B">
      <w:pPr>
        <w:pStyle w:val="TDC2"/>
        <w:rPr>
          <w:rFonts w:asciiTheme="minorHAnsi" w:eastAsiaTheme="minorEastAsia" w:hAnsiTheme="minorHAnsi" w:cstheme="minorBidi"/>
          <w:szCs w:val="22"/>
          <w:lang w:val="es-ES" w:eastAsia="es-ES"/>
        </w:rPr>
      </w:pPr>
      <w:hyperlink w:anchor="_Toc404198" w:history="1">
        <w:r w:rsidRPr="003B1501">
          <w:rPr>
            <w:rStyle w:val="Hipervnculo"/>
          </w:rPr>
          <w:t>330.7. Medición y abono</w:t>
        </w:r>
        <w:r>
          <w:rPr>
            <w:webHidden/>
          </w:rPr>
          <w:tab/>
        </w:r>
        <w:r>
          <w:rPr>
            <w:webHidden/>
          </w:rPr>
          <w:fldChar w:fldCharType="begin"/>
        </w:r>
        <w:r>
          <w:rPr>
            <w:webHidden/>
          </w:rPr>
          <w:instrText xml:space="preserve"> PAGEREF _Toc404198 \h </w:instrText>
        </w:r>
        <w:r>
          <w:rPr>
            <w:webHidden/>
          </w:rPr>
        </w:r>
        <w:r>
          <w:rPr>
            <w:webHidden/>
          </w:rPr>
          <w:fldChar w:fldCharType="separate"/>
        </w:r>
        <w:r w:rsidR="001B26B5">
          <w:rPr>
            <w:webHidden/>
          </w:rPr>
          <w:t>108</w:t>
        </w:r>
        <w:r>
          <w:rPr>
            <w:webHidden/>
          </w:rPr>
          <w:fldChar w:fldCharType="end"/>
        </w:r>
      </w:hyperlink>
    </w:p>
    <w:p w14:paraId="4A1B7B4E" w14:textId="77777777" w:rsidR="0006561B" w:rsidRDefault="0006561B">
      <w:pPr>
        <w:pStyle w:val="TDC1"/>
        <w:rPr>
          <w:rFonts w:asciiTheme="minorHAnsi" w:eastAsiaTheme="minorEastAsia" w:hAnsiTheme="minorHAnsi" w:cstheme="minorBidi"/>
          <w:b w:val="0"/>
          <w:sz w:val="22"/>
          <w:szCs w:val="22"/>
          <w:lang w:val="es-ES" w:eastAsia="es-ES"/>
        </w:rPr>
      </w:pPr>
      <w:hyperlink w:anchor="_Toc404199" w:history="1">
        <w:r w:rsidRPr="003B1501">
          <w:rPr>
            <w:rStyle w:val="Hipervnculo"/>
          </w:rPr>
          <w:t>Artículo 332. Rellenos localizados</w:t>
        </w:r>
        <w:r>
          <w:rPr>
            <w:webHidden/>
          </w:rPr>
          <w:tab/>
        </w:r>
        <w:r>
          <w:rPr>
            <w:webHidden/>
          </w:rPr>
          <w:fldChar w:fldCharType="begin"/>
        </w:r>
        <w:r>
          <w:rPr>
            <w:webHidden/>
          </w:rPr>
          <w:instrText xml:space="preserve"> PAGEREF _Toc404199 \h </w:instrText>
        </w:r>
        <w:r>
          <w:rPr>
            <w:webHidden/>
          </w:rPr>
        </w:r>
        <w:r>
          <w:rPr>
            <w:webHidden/>
          </w:rPr>
          <w:fldChar w:fldCharType="separate"/>
        </w:r>
        <w:r w:rsidR="001B26B5">
          <w:rPr>
            <w:webHidden/>
          </w:rPr>
          <w:t>109</w:t>
        </w:r>
        <w:r>
          <w:rPr>
            <w:webHidden/>
          </w:rPr>
          <w:fldChar w:fldCharType="end"/>
        </w:r>
      </w:hyperlink>
    </w:p>
    <w:p w14:paraId="1B562FE3" w14:textId="77777777" w:rsidR="0006561B" w:rsidRDefault="0006561B">
      <w:pPr>
        <w:pStyle w:val="TDC2"/>
        <w:rPr>
          <w:rFonts w:asciiTheme="minorHAnsi" w:eastAsiaTheme="minorEastAsia" w:hAnsiTheme="minorHAnsi" w:cstheme="minorBidi"/>
          <w:szCs w:val="22"/>
          <w:lang w:val="es-ES" w:eastAsia="es-ES"/>
        </w:rPr>
      </w:pPr>
      <w:hyperlink w:anchor="_Toc404200" w:history="1">
        <w:r w:rsidRPr="003B1501">
          <w:rPr>
            <w:rStyle w:val="Hipervnculo"/>
          </w:rPr>
          <w:t>332.1. Definición y aplicación</w:t>
        </w:r>
        <w:r>
          <w:rPr>
            <w:webHidden/>
          </w:rPr>
          <w:tab/>
        </w:r>
        <w:r>
          <w:rPr>
            <w:webHidden/>
          </w:rPr>
          <w:fldChar w:fldCharType="begin"/>
        </w:r>
        <w:r>
          <w:rPr>
            <w:webHidden/>
          </w:rPr>
          <w:instrText xml:space="preserve"> PAGEREF _Toc404200 \h </w:instrText>
        </w:r>
        <w:r>
          <w:rPr>
            <w:webHidden/>
          </w:rPr>
        </w:r>
        <w:r>
          <w:rPr>
            <w:webHidden/>
          </w:rPr>
          <w:fldChar w:fldCharType="separate"/>
        </w:r>
        <w:r w:rsidR="001B26B5">
          <w:rPr>
            <w:webHidden/>
          </w:rPr>
          <w:t>109</w:t>
        </w:r>
        <w:r>
          <w:rPr>
            <w:webHidden/>
          </w:rPr>
          <w:fldChar w:fldCharType="end"/>
        </w:r>
      </w:hyperlink>
    </w:p>
    <w:p w14:paraId="5477D50E" w14:textId="77777777" w:rsidR="0006561B" w:rsidRDefault="0006561B">
      <w:pPr>
        <w:pStyle w:val="TDC2"/>
        <w:rPr>
          <w:rFonts w:asciiTheme="minorHAnsi" w:eastAsiaTheme="minorEastAsia" w:hAnsiTheme="minorHAnsi" w:cstheme="minorBidi"/>
          <w:szCs w:val="22"/>
          <w:lang w:val="es-ES" w:eastAsia="es-ES"/>
        </w:rPr>
      </w:pPr>
      <w:hyperlink w:anchor="_Toc404201" w:history="1">
        <w:r w:rsidRPr="003B1501">
          <w:rPr>
            <w:rStyle w:val="Hipervnculo"/>
          </w:rPr>
          <w:t>332.2. Materiales</w:t>
        </w:r>
        <w:r>
          <w:rPr>
            <w:webHidden/>
          </w:rPr>
          <w:tab/>
        </w:r>
        <w:r>
          <w:rPr>
            <w:webHidden/>
          </w:rPr>
          <w:fldChar w:fldCharType="begin"/>
        </w:r>
        <w:r>
          <w:rPr>
            <w:webHidden/>
          </w:rPr>
          <w:instrText xml:space="preserve"> PAGEREF _Toc404201 \h </w:instrText>
        </w:r>
        <w:r>
          <w:rPr>
            <w:webHidden/>
          </w:rPr>
        </w:r>
        <w:r>
          <w:rPr>
            <w:webHidden/>
          </w:rPr>
          <w:fldChar w:fldCharType="separate"/>
        </w:r>
        <w:r w:rsidR="001B26B5">
          <w:rPr>
            <w:webHidden/>
          </w:rPr>
          <w:t>109</w:t>
        </w:r>
        <w:r>
          <w:rPr>
            <w:webHidden/>
          </w:rPr>
          <w:fldChar w:fldCharType="end"/>
        </w:r>
      </w:hyperlink>
    </w:p>
    <w:p w14:paraId="14355FC4" w14:textId="77777777" w:rsidR="0006561B" w:rsidRDefault="0006561B">
      <w:pPr>
        <w:pStyle w:val="TDC2"/>
        <w:rPr>
          <w:rFonts w:asciiTheme="minorHAnsi" w:eastAsiaTheme="minorEastAsia" w:hAnsiTheme="minorHAnsi" w:cstheme="minorBidi"/>
          <w:szCs w:val="22"/>
          <w:lang w:val="es-ES" w:eastAsia="es-ES"/>
        </w:rPr>
      </w:pPr>
      <w:hyperlink w:anchor="_Toc404202" w:history="1">
        <w:r w:rsidRPr="003B1501">
          <w:rPr>
            <w:rStyle w:val="Hipervnculo"/>
          </w:rPr>
          <w:t>332.5. Ejecución de las obras</w:t>
        </w:r>
        <w:r>
          <w:rPr>
            <w:webHidden/>
          </w:rPr>
          <w:tab/>
        </w:r>
        <w:r>
          <w:rPr>
            <w:webHidden/>
          </w:rPr>
          <w:fldChar w:fldCharType="begin"/>
        </w:r>
        <w:r>
          <w:rPr>
            <w:webHidden/>
          </w:rPr>
          <w:instrText xml:space="preserve"> PAGEREF _Toc404202 \h </w:instrText>
        </w:r>
        <w:r>
          <w:rPr>
            <w:webHidden/>
          </w:rPr>
        </w:r>
        <w:r>
          <w:rPr>
            <w:webHidden/>
          </w:rPr>
          <w:fldChar w:fldCharType="separate"/>
        </w:r>
        <w:r w:rsidR="001B26B5">
          <w:rPr>
            <w:webHidden/>
          </w:rPr>
          <w:t>109</w:t>
        </w:r>
        <w:r>
          <w:rPr>
            <w:webHidden/>
          </w:rPr>
          <w:fldChar w:fldCharType="end"/>
        </w:r>
      </w:hyperlink>
    </w:p>
    <w:p w14:paraId="5EA7A856" w14:textId="77777777" w:rsidR="0006561B" w:rsidRDefault="0006561B">
      <w:pPr>
        <w:pStyle w:val="TDC2"/>
        <w:rPr>
          <w:rFonts w:asciiTheme="minorHAnsi" w:eastAsiaTheme="minorEastAsia" w:hAnsiTheme="minorHAnsi" w:cstheme="minorBidi"/>
          <w:szCs w:val="22"/>
          <w:lang w:val="es-ES" w:eastAsia="es-ES"/>
        </w:rPr>
      </w:pPr>
      <w:hyperlink w:anchor="_Toc404203" w:history="1">
        <w:r w:rsidRPr="003B1501">
          <w:rPr>
            <w:rStyle w:val="Hipervnculo"/>
          </w:rPr>
          <w:t>332.6. Limitaciones en la ejecución</w:t>
        </w:r>
        <w:r>
          <w:rPr>
            <w:webHidden/>
          </w:rPr>
          <w:tab/>
        </w:r>
        <w:r>
          <w:rPr>
            <w:webHidden/>
          </w:rPr>
          <w:fldChar w:fldCharType="begin"/>
        </w:r>
        <w:r>
          <w:rPr>
            <w:webHidden/>
          </w:rPr>
          <w:instrText xml:space="preserve"> PAGEREF _Toc404203 \h </w:instrText>
        </w:r>
        <w:r>
          <w:rPr>
            <w:webHidden/>
          </w:rPr>
        </w:r>
        <w:r>
          <w:rPr>
            <w:webHidden/>
          </w:rPr>
          <w:fldChar w:fldCharType="separate"/>
        </w:r>
        <w:r w:rsidR="001B26B5">
          <w:rPr>
            <w:webHidden/>
          </w:rPr>
          <w:t>110</w:t>
        </w:r>
        <w:r>
          <w:rPr>
            <w:webHidden/>
          </w:rPr>
          <w:fldChar w:fldCharType="end"/>
        </w:r>
      </w:hyperlink>
    </w:p>
    <w:p w14:paraId="60F1C5AE" w14:textId="77777777" w:rsidR="0006561B" w:rsidRDefault="0006561B">
      <w:pPr>
        <w:pStyle w:val="TDC2"/>
        <w:rPr>
          <w:rFonts w:asciiTheme="minorHAnsi" w:eastAsiaTheme="minorEastAsia" w:hAnsiTheme="minorHAnsi" w:cstheme="minorBidi"/>
          <w:szCs w:val="22"/>
          <w:lang w:val="es-ES" w:eastAsia="es-ES"/>
        </w:rPr>
      </w:pPr>
      <w:hyperlink w:anchor="_Toc404204" w:history="1">
        <w:r w:rsidRPr="003B1501">
          <w:rPr>
            <w:rStyle w:val="Hipervnculo"/>
          </w:rPr>
          <w:t>332.7. Medición y abono</w:t>
        </w:r>
        <w:r>
          <w:rPr>
            <w:webHidden/>
          </w:rPr>
          <w:tab/>
        </w:r>
        <w:r>
          <w:rPr>
            <w:webHidden/>
          </w:rPr>
          <w:fldChar w:fldCharType="begin"/>
        </w:r>
        <w:r>
          <w:rPr>
            <w:webHidden/>
          </w:rPr>
          <w:instrText xml:space="preserve"> PAGEREF _Toc404204 \h </w:instrText>
        </w:r>
        <w:r>
          <w:rPr>
            <w:webHidden/>
          </w:rPr>
        </w:r>
        <w:r>
          <w:rPr>
            <w:webHidden/>
          </w:rPr>
          <w:fldChar w:fldCharType="separate"/>
        </w:r>
        <w:r w:rsidR="001B26B5">
          <w:rPr>
            <w:webHidden/>
          </w:rPr>
          <w:t>110</w:t>
        </w:r>
        <w:r>
          <w:rPr>
            <w:webHidden/>
          </w:rPr>
          <w:fldChar w:fldCharType="end"/>
        </w:r>
      </w:hyperlink>
    </w:p>
    <w:p w14:paraId="36398744" w14:textId="77777777" w:rsidR="0006561B" w:rsidRDefault="0006561B">
      <w:pPr>
        <w:pStyle w:val="TDC1"/>
        <w:rPr>
          <w:rStyle w:val="Hipervnculo"/>
        </w:rPr>
      </w:pPr>
    </w:p>
    <w:p w14:paraId="58071A7C" w14:textId="77777777" w:rsidR="0006561B" w:rsidRDefault="0006561B">
      <w:pPr>
        <w:pStyle w:val="TDC1"/>
        <w:rPr>
          <w:rFonts w:asciiTheme="minorHAnsi" w:eastAsiaTheme="minorEastAsia" w:hAnsiTheme="minorHAnsi" w:cstheme="minorBidi"/>
          <w:b w:val="0"/>
          <w:sz w:val="22"/>
          <w:szCs w:val="22"/>
          <w:lang w:val="es-ES" w:eastAsia="es-ES"/>
        </w:rPr>
      </w:pPr>
      <w:hyperlink w:anchor="_Toc404205" w:history="1">
        <w:r w:rsidRPr="003B1501">
          <w:rPr>
            <w:rStyle w:val="Hipervnculo"/>
          </w:rPr>
          <w:t>Parte 4.- Drenaje</w:t>
        </w:r>
        <w:r>
          <w:rPr>
            <w:webHidden/>
          </w:rPr>
          <w:tab/>
        </w:r>
        <w:r>
          <w:rPr>
            <w:webHidden/>
          </w:rPr>
          <w:fldChar w:fldCharType="begin"/>
        </w:r>
        <w:r>
          <w:rPr>
            <w:webHidden/>
          </w:rPr>
          <w:instrText xml:space="preserve"> PAGEREF _Toc404205 \h </w:instrText>
        </w:r>
        <w:r>
          <w:rPr>
            <w:webHidden/>
          </w:rPr>
        </w:r>
        <w:r>
          <w:rPr>
            <w:webHidden/>
          </w:rPr>
          <w:fldChar w:fldCharType="separate"/>
        </w:r>
        <w:r w:rsidR="001B26B5">
          <w:rPr>
            <w:webHidden/>
          </w:rPr>
          <w:t>111</w:t>
        </w:r>
        <w:r>
          <w:rPr>
            <w:webHidden/>
          </w:rPr>
          <w:fldChar w:fldCharType="end"/>
        </w:r>
      </w:hyperlink>
    </w:p>
    <w:p w14:paraId="238FFEA2" w14:textId="77777777" w:rsidR="0006561B" w:rsidRDefault="0006561B">
      <w:pPr>
        <w:pStyle w:val="TDC1"/>
        <w:rPr>
          <w:rFonts w:asciiTheme="minorHAnsi" w:eastAsiaTheme="minorEastAsia" w:hAnsiTheme="minorHAnsi" w:cstheme="minorBidi"/>
          <w:b w:val="0"/>
          <w:sz w:val="22"/>
          <w:szCs w:val="22"/>
          <w:lang w:val="es-ES" w:eastAsia="es-ES"/>
        </w:rPr>
      </w:pPr>
      <w:hyperlink w:anchor="_Toc404206" w:history="1">
        <w:r w:rsidRPr="003B1501">
          <w:rPr>
            <w:rStyle w:val="Hipervnculo"/>
          </w:rPr>
          <w:t>Artículo 400. Cunetas de hormigón ejecutadas en obra</w:t>
        </w:r>
        <w:r>
          <w:rPr>
            <w:webHidden/>
          </w:rPr>
          <w:tab/>
        </w:r>
        <w:r>
          <w:rPr>
            <w:webHidden/>
          </w:rPr>
          <w:fldChar w:fldCharType="begin"/>
        </w:r>
        <w:r>
          <w:rPr>
            <w:webHidden/>
          </w:rPr>
          <w:instrText xml:space="preserve"> PAGEREF _Toc404206 \h </w:instrText>
        </w:r>
        <w:r>
          <w:rPr>
            <w:webHidden/>
          </w:rPr>
        </w:r>
        <w:r>
          <w:rPr>
            <w:webHidden/>
          </w:rPr>
          <w:fldChar w:fldCharType="separate"/>
        </w:r>
        <w:r w:rsidR="001B26B5">
          <w:rPr>
            <w:webHidden/>
          </w:rPr>
          <w:t>113</w:t>
        </w:r>
        <w:r>
          <w:rPr>
            <w:webHidden/>
          </w:rPr>
          <w:fldChar w:fldCharType="end"/>
        </w:r>
      </w:hyperlink>
    </w:p>
    <w:p w14:paraId="662862CB" w14:textId="77777777" w:rsidR="0006561B" w:rsidRDefault="0006561B">
      <w:pPr>
        <w:pStyle w:val="TDC2"/>
        <w:rPr>
          <w:rFonts w:asciiTheme="minorHAnsi" w:eastAsiaTheme="minorEastAsia" w:hAnsiTheme="minorHAnsi" w:cstheme="minorBidi"/>
          <w:szCs w:val="22"/>
          <w:lang w:val="es-ES" w:eastAsia="es-ES"/>
        </w:rPr>
      </w:pPr>
      <w:hyperlink w:anchor="_Toc404207" w:history="1">
        <w:r w:rsidRPr="003B1501">
          <w:rPr>
            <w:rStyle w:val="Hipervnculo"/>
          </w:rPr>
          <w:t>400.1. Definición. Aplicación</w:t>
        </w:r>
        <w:r>
          <w:rPr>
            <w:webHidden/>
          </w:rPr>
          <w:tab/>
        </w:r>
        <w:r>
          <w:rPr>
            <w:webHidden/>
          </w:rPr>
          <w:fldChar w:fldCharType="begin"/>
        </w:r>
        <w:r>
          <w:rPr>
            <w:webHidden/>
          </w:rPr>
          <w:instrText xml:space="preserve"> PAGEREF _Toc404207 \h </w:instrText>
        </w:r>
        <w:r>
          <w:rPr>
            <w:webHidden/>
          </w:rPr>
        </w:r>
        <w:r>
          <w:rPr>
            <w:webHidden/>
          </w:rPr>
          <w:fldChar w:fldCharType="separate"/>
        </w:r>
        <w:r w:rsidR="001B26B5">
          <w:rPr>
            <w:webHidden/>
          </w:rPr>
          <w:t>113</w:t>
        </w:r>
        <w:r>
          <w:rPr>
            <w:webHidden/>
          </w:rPr>
          <w:fldChar w:fldCharType="end"/>
        </w:r>
      </w:hyperlink>
    </w:p>
    <w:p w14:paraId="3662ECB3" w14:textId="77777777" w:rsidR="0006561B" w:rsidRDefault="0006561B">
      <w:pPr>
        <w:pStyle w:val="TDC2"/>
        <w:rPr>
          <w:rFonts w:asciiTheme="minorHAnsi" w:eastAsiaTheme="minorEastAsia" w:hAnsiTheme="minorHAnsi" w:cstheme="minorBidi"/>
          <w:szCs w:val="22"/>
          <w:lang w:val="es-ES" w:eastAsia="es-ES"/>
        </w:rPr>
      </w:pPr>
      <w:hyperlink w:anchor="_Toc404208" w:history="1">
        <w:r w:rsidRPr="003B1501">
          <w:rPr>
            <w:rStyle w:val="Hipervnculo"/>
          </w:rPr>
          <w:t>400.2. Materiales</w:t>
        </w:r>
        <w:r>
          <w:rPr>
            <w:webHidden/>
          </w:rPr>
          <w:tab/>
        </w:r>
        <w:r>
          <w:rPr>
            <w:webHidden/>
          </w:rPr>
          <w:fldChar w:fldCharType="begin"/>
        </w:r>
        <w:r>
          <w:rPr>
            <w:webHidden/>
          </w:rPr>
          <w:instrText xml:space="preserve"> PAGEREF _Toc404208 \h </w:instrText>
        </w:r>
        <w:r>
          <w:rPr>
            <w:webHidden/>
          </w:rPr>
        </w:r>
        <w:r>
          <w:rPr>
            <w:webHidden/>
          </w:rPr>
          <w:fldChar w:fldCharType="separate"/>
        </w:r>
        <w:r w:rsidR="001B26B5">
          <w:rPr>
            <w:webHidden/>
          </w:rPr>
          <w:t>113</w:t>
        </w:r>
        <w:r>
          <w:rPr>
            <w:webHidden/>
          </w:rPr>
          <w:fldChar w:fldCharType="end"/>
        </w:r>
      </w:hyperlink>
    </w:p>
    <w:p w14:paraId="0C1F5889" w14:textId="77777777" w:rsidR="0006561B" w:rsidRDefault="0006561B">
      <w:pPr>
        <w:pStyle w:val="TDC2"/>
        <w:rPr>
          <w:rFonts w:asciiTheme="minorHAnsi" w:eastAsiaTheme="minorEastAsia" w:hAnsiTheme="minorHAnsi" w:cstheme="minorBidi"/>
          <w:szCs w:val="22"/>
          <w:lang w:val="es-ES" w:eastAsia="es-ES"/>
        </w:rPr>
      </w:pPr>
      <w:hyperlink w:anchor="_Toc404209" w:history="1">
        <w:r w:rsidRPr="003B1501">
          <w:rPr>
            <w:rStyle w:val="Hipervnculo"/>
          </w:rPr>
          <w:t>400.3. Ejecución de las obras</w:t>
        </w:r>
        <w:r>
          <w:rPr>
            <w:webHidden/>
          </w:rPr>
          <w:tab/>
        </w:r>
        <w:r>
          <w:rPr>
            <w:webHidden/>
          </w:rPr>
          <w:fldChar w:fldCharType="begin"/>
        </w:r>
        <w:r>
          <w:rPr>
            <w:webHidden/>
          </w:rPr>
          <w:instrText xml:space="preserve"> PAGEREF _Toc404209 \h </w:instrText>
        </w:r>
        <w:r>
          <w:rPr>
            <w:webHidden/>
          </w:rPr>
        </w:r>
        <w:r>
          <w:rPr>
            <w:webHidden/>
          </w:rPr>
          <w:fldChar w:fldCharType="separate"/>
        </w:r>
        <w:r w:rsidR="001B26B5">
          <w:rPr>
            <w:webHidden/>
          </w:rPr>
          <w:t>113</w:t>
        </w:r>
        <w:r>
          <w:rPr>
            <w:webHidden/>
          </w:rPr>
          <w:fldChar w:fldCharType="end"/>
        </w:r>
      </w:hyperlink>
    </w:p>
    <w:p w14:paraId="29943A84" w14:textId="77777777" w:rsidR="0006561B" w:rsidRDefault="0006561B">
      <w:pPr>
        <w:pStyle w:val="TDC2"/>
        <w:rPr>
          <w:rFonts w:asciiTheme="minorHAnsi" w:eastAsiaTheme="minorEastAsia" w:hAnsiTheme="minorHAnsi" w:cstheme="minorBidi"/>
          <w:szCs w:val="22"/>
          <w:lang w:val="es-ES" w:eastAsia="es-ES"/>
        </w:rPr>
      </w:pPr>
      <w:hyperlink w:anchor="_Toc404210" w:history="1">
        <w:r w:rsidRPr="003B1501">
          <w:rPr>
            <w:rStyle w:val="Hipervnculo"/>
          </w:rPr>
          <w:t>400.4. Medición y abono</w:t>
        </w:r>
        <w:r>
          <w:rPr>
            <w:webHidden/>
          </w:rPr>
          <w:tab/>
        </w:r>
        <w:r>
          <w:rPr>
            <w:webHidden/>
          </w:rPr>
          <w:fldChar w:fldCharType="begin"/>
        </w:r>
        <w:r>
          <w:rPr>
            <w:webHidden/>
          </w:rPr>
          <w:instrText xml:space="preserve"> PAGEREF _Toc404210 \h </w:instrText>
        </w:r>
        <w:r>
          <w:rPr>
            <w:webHidden/>
          </w:rPr>
        </w:r>
        <w:r>
          <w:rPr>
            <w:webHidden/>
          </w:rPr>
          <w:fldChar w:fldCharType="separate"/>
        </w:r>
        <w:r w:rsidR="001B26B5">
          <w:rPr>
            <w:webHidden/>
          </w:rPr>
          <w:t>113</w:t>
        </w:r>
        <w:r>
          <w:rPr>
            <w:webHidden/>
          </w:rPr>
          <w:fldChar w:fldCharType="end"/>
        </w:r>
      </w:hyperlink>
    </w:p>
    <w:p w14:paraId="36959D04" w14:textId="77777777" w:rsidR="0006561B" w:rsidRDefault="0006561B">
      <w:pPr>
        <w:pStyle w:val="TDC1"/>
        <w:rPr>
          <w:rFonts w:asciiTheme="minorHAnsi" w:eastAsiaTheme="minorEastAsia" w:hAnsiTheme="minorHAnsi" w:cstheme="minorBidi"/>
          <w:b w:val="0"/>
          <w:sz w:val="22"/>
          <w:szCs w:val="22"/>
          <w:lang w:val="es-ES" w:eastAsia="es-ES"/>
        </w:rPr>
      </w:pPr>
      <w:hyperlink w:anchor="_Toc404211" w:history="1">
        <w:r w:rsidRPr="003B1501">
          <w:rPr>
            <w:rStyle w:val="Hipervnculo"/>
          </w:rPr>
          <w:t>Artículo 401b. Bajante prefabricada</w:t>
        </w:r>
        <w:r>
          <w:rPr>
            <w:webHidden/>
          </w:rPr>
          <w:tab/>
        </w:r>
        <w:r>
          <w:rPr>
            <w:webHidden/>
          </w:rPr>
          <w:fldChar w:fldCharType="begin"/>
        </w:r>
        <w:r>
          <w:rPr>
            <w:webHidden/>
          </w:rPr>
          <w:instrText xml:space="preserve"> PAGEREF _Toc404211 \h </w:instrText>
        </w:r>
        <w:r>
          <w:rPr>
            <w:webHidden/>
          </w:rPr>
        </w:r>
        <w:r>
          <w:rPr>
            <w:webHidden/>
          </w:rPr>
          <w:fldChar w:fldCharType="separate"/>
        </w:r>
        <w:r w:rsidR="001B26B5">
          <w:rPr>
            <w:webHidden/>
          </w:rPr>
          <w:t>114</w:t>
        </w:r>
        <w:r>
          <w:rPr>
            <w:webHidden/>
          </w:rPr>
          <w:fldChar w:fldCharType="end"/>
        </w:r>
      </w:hyperlink>
    </w:p>
    <w:p w14:paraId="24B56BBC" w14:textId="77777777" w:rsidR="0006561B" w:rsidRDefault="0006561B">
      <w:pPr>
        <w:pStyle w:val="TDC2"/>
        <w:rPr>
          <w:rFonts w:asciiTheme="minorHAnsi" w:eastAsiaTheme="minorEastAsia" w:hAnsiTheme="minorHAnsi" w:cstheme="minorBidi"/>
          <w:szCs w:val="22"/>
          <w:lang w:val="es-ES" w:eastAsia="es-ES"/>
        </w:rPr>
      </w:pPr>
      <w:hyperlink w:anchor="_Toc404212" w:history="1">
        <w:r w:rsidRPr="003B1501">
          <w:rPr>
            <w:rStyle w:val="Hipervnculo"/>
          </w:rPr>
          <w:t>401b.1. Definición. Aplicación</w:t>
        </w:r>
        <w:r>
          <w:rPr>
            <w:webHidden/>
          </w:rPr>
          <w:tab/>
        </w:r>
        <w:r>
          <w:rPr>
            <w:webHidden/>
          </w:rPr>
          <w:fldChar w:fldCharType="begin"/>
        </w:r>
        <w:r>
          <w:rPr>
            <w:webHidden/>
          </w:rPr>
          <w:instrText xml:space="preserve"> PAGEREF _Toc404212 \h </w:instrText>
        </w:r>
        <w:r>
          <w:rPr>
            <w:webHidden/>
          </w:rPr>
        </w:r>
        <w:r>
          <w:rPr>
            <w:webHidden/>
          </w:rPr>
          <w:fldChar w:fldCharType="separate"/>
        </w:r>
        <w:r w:rsidR="001B26B5">
          <w:rPr>
            <w:webHidden/>
          </w:rPr>
          <w:t>114</w:t>
        </w:r>
        <w:r>
          <w:rPr>
            <w:webHidden/>
          </w:rPr>
          <w:fldChar w:fldCharType="end"/>
        </w:r>
      </w:hyperlink>
    </w:p>
    <w:p w14:paraId="5EF2D77F" w14:textId="77777777" w:rsidR="0006561B" w:rsidRDefault="0006561B">
      <w:pPr>
        <w:pStyle w:val="TDC2"/>
        <w:rPr>
          <w:rFonts w:asciiTheme="minorHAnsi" w:eastAsiaTheme="minorEastAsia" w:hAnsiTheme="minorHAnsi" w:cstheme="minorBidi"/>
          <w:szCs w:val="22"/>
          <w:lang w:val="es-ES" w:eastAsia="es-ES"/>
        </w:rPr>
      </w:pPr>
      <w:hyperlink w:anchor="_Toc404213" w:history="1">
        <w:r w:rsidRPr="003B1501">
          <w:rPr>
            <w:rStyle w:val="Hipervnculo"/>
          </w:rPr>
          <w:t>401b.2. Materiales</w:t>
        </w:r>
        <w:r>
          <w:rPr>
            <w:webHidden/>
          </w:rPr>
          <w:tab/>
        </w:r>
        <w:r>
          <w:rPr>
            <w:webHidden/>
          </w:rPr>
          <w:fldChar w:fldCharType="begin"/>
        </w:r>
        <w:r>
          <w:rPr>
            <w:webHidden/>
          </w:rPr>
          <w:instrText xml:space="preserve"> PAGEREF _Toc404213 \h </w:instrText>
        </w:r>
        <w:r>
          <w:rPr>
            <w:webHidden/>
          </w:rPr>
        </w:r>
        <w:r>
          <w:rPr>
            <w:webHidden/>
          </w:rPr>
          <w:fldChar w:fldCharType="separate"/>
        </w:r>
        <w:r w:rsidR="001B26B5">
          <w:rPr>
            <w:webHidden/>
          </w:rPr>
          <w:t>114</w:t>
        </w:r>
        <w:r>
          <w:rPr>
            <w:webHidden/>
          </w:rPr>
          <w:fldChar w:fldCharType="end"/>
        </w:r>
      </w:hyperlink>
    </w:p>
    <w:p w14:paraId="254218ED" w14:textId="77777777" w:rsidR="0006561B" w:rsidRDefault="0006561B">
      <w:pPr>
        <w:pStyle w:val="TDC2"/>
        <w:rPr>
          <w:rFonts w:asciiTheme="minorHAnsi" w:eastAsiaTheme="minorEastAsia" w:hAnsiTheme="minorHAnsi" w:cstheme="minorBidi"/>
          <w:szCs w:val="22"/>
          <w:lang w:val="es-ES" w:eastAsia="es-ES"/>
        </w:rPr>
      </w:pPr>
      <w:hyperlink w:anchor="_Toc404214" w:history="1">
        <w:r w:rsidRPr="003B1501">
          <w:rPr>
            <w:rStyle w:val="Hipervnculo"/>
          </w:rPr>
          <w:t>401b.3. Ejecución de las obras</w:t>
        </w:r>
        <w:r>
          <w:rPr>
            <w:webHidden/>
          </w:rPr>
          <w:tab/>
        </w:r>
        <w:r>
          <w:rPr>
            <w:webHidden/>
          </w:rPr>
          <w:fldChar w:fldCharType="begin"/>
        </w:r>
        <w:r>
          <w:rPr>
            <w:webHidden/>
          </w:rPr>
          <w:instrText xml:space="preserve"> PAGEREF _Toc404214 \h </w:instrText>
        </w:r>
        <w:r>
          <w:rPr>
            <w:webHidden/>
          </w:rPr>
        </w:r>
        <w:r>
          <w:rPr>
            <w:webHidden/>
          </w:rPr>
          <w:fldChar w:fldCharType="separate"/>
        </w:r>
        <w:r w:rsidR="001B26B5">
          <w:rPr>
            <w:webHidden/>
          </w:rPr>
          <w:t>114</w:t>
        </w:r>
        <w:r>
          <w:rPr>
            <w:webHidden/>
          </w:rPr>
          <w:fldChar w:fldCharType="end"/>
        </w:r>
      </w:hyperlink>
    </w:p>
    <w:p w14:paraId="73C30440" w14:textId="77777777" w:rsidR="0006561B" w:rsidRDefault="0006561B">
      <w:pPr>
        <w:pStyle w:val="TDC2"/>
        <w:rPr>
          <w:rFonts w:asciiTheme="minorHAnsi" w:eastAsiaTheme="minorEastAsia" w:hAnsiTheme="minorHAnsi" w:cstheme="minorBidi"/>
          <w:szCs w:val="22"/>
          <w:lang w:val="es-ES" w:eastAsia="es-ES"/>
        </w:rPr>
      </w:pPr>
      <w:hyperlink w:anchor="_Toc404215" w:history="1">
        <w:r w:rsidRPr="003B1501">
          <w:rPr>
            <w:rStyle w:val="Hipervnculo"/>
          </w:rPr>
          <w:t>401b.4. Medición y abono</w:t>
        </w:r>
        <w:r>
          <w:rPr>
            <w:webHidden/>
          </w:rPr>
          <w:tab/>
        </w:r>
        <w:r>
          <w:rPr>
            <w:webHidden/>
          </w:rPr>
          <w:fldChar w:fldCharType="begin"/>
        </w:r>
        <w:r>
          <w:rPr>
            <w:webHidden/>
          </w:rPr>
          <w:instrText xml:space="preserve"> PAGEREF _Toc404215 \h </w:instrText>
        </w:r>
        <w:r>
          <w:rPr>
            <w:webHidden/>
          </w:rPr>
        </w:r>
        <w:r>
          <w:rPr>
            <w:webHidden/>
          </w:rPr>
          <w:fldChar w:fldCharType="separate"/>
        </w:r>
        <w:r w:rsidR="001B26B5">
          <w:rPr>
            <w:webHidden/>
          </w:rPr>
          <w:t>115</w:t>
        </w:r>
        <w:r>
          <w:rPr>
            <w:webHidden/>
          </w:rPr>
          <w:fldChar w:fldCharType="end"/>
        </w:r>
      </w:hyperlink>
    </w:p>
    <w:p w14:paraId="1B870862" w14:textId="77777777" w:rsidR="0006561B" w:rsidRDefault="0006561B">
      <w:pPr>
        <w:pStyle w:val="TDC1"/>
        <w:rPr>
          <w:rFonts w:asciiTheme="minorHAnsi" w:eastAsiaTheme="minorEastAsia" w:hAnsiTheme="minorHAnsi" w:cstheme="minorBidi"/>
          <w:b w:val="0"/>
          <w:sz w:val="22"/>
          <w:szCs w:val="22"/>
          <w:lang w:val="es-ES" w:eastAsia="es-ES"/>
        </w:rPr>
      </w:pPr>
      <w:hyperlink w:anchor="_Toc404216" w:history="1">
        <w:r w:rsidRPr="003B1501">
          <w:rPr>
            <w:rStyle w:val="Hipervnculo"/>
          </w:rPr>
          <w:t>Artículo 410. Arquetas y pozos de registro</w:t>
        </w:r>
        <w:r>
          <w:rPr>
            <w:webHidden/>
          </w:rPr>
          <w:tab/>
        </w:r>
        <w:r>
          <w:rPr>
            <w:webHidden/>
          </w:rPr>
          <w:fldChar w:fldCharType="begin"/>
        </w:r>
        <w:r>
          <w:rPr>
            <w:webHidden/>
          </w:rPr>
          <w:instrText xml:space="preserve"> PAGEREF _Toc404216 \h </w:instrText>
        </w:r>
        <w:r>
          <w:rPr>
            <w:webHidden/>
          </w:rPr>
        </w:r>
        <w:r>
          <w:rPr>
            <w:webHidden/>
          </w:rPr>
          <w:fldChar w:fldCharType="separate"/>
        </w:r>
        <w:r w:rsidR="001B26B5">
          <w:rPr>
            <w:webHidden/>
          </w:rPr>
          <w:t>116</w:t>
        </w:r>
        <w:r>
          <w:rPr>
            <w:webHidden/>
          </w:rPr>
          <w:fldChar w:fldCharType="end"/>
        </w:r>
      </w:hyperlink>
    </w:p>
    <w:p w14:paraId="26595844" w14:textId="77777777" w:rsidR="0006561B" w:rsidRDefault="0006561B">
      <w:pPr>
        <w:pStyle w:val="TDC2"/>
        <w:rPr>
          <w:rFonts w:asciiTheme="minorHAnsi" w:eastAsiaTheme="minorEastAsia" w:hAnsiTheme="minorHAnsi" w:cstheme="minorBidi"/>
          <w:szCs w:val="22"/>
          <w:lang w:val="es-ES" w:eastAsia="es-ES"/>
        </w:rPr>
      </w:pPr>
      <w:hyperlink w:anchor="_Toc404217" w:history="1">
        <w:r w:rsidRPr="003B1501">
          <w:rPr>
            <w:rStyle w:val="Hipervnculo"/>
          </w:rPr>
          <w:t>410.1. Definición. Aplicación</w:t>
        </w:r>
        <w:r>
          <w:rPr>
            <w:webHidden/>
          </w:rPr>
          <w:tab/>
        </w:r>
        <w:r>
          <w:rPr>
            <w:webHidden/>
          </w:rPr>
          <w:fldChar w:fldCharType="begin"/>
        </w:r>
        <w:r>
          <w:rPr>
            <w:webHidden/>
          </w:rPr>
          <w:instrText xml:space="preserve"> PAGEREF _Toc404217 \h </w:instrText>
        </w:r>
        <w:r>
          <w:rPr>
            <w:webHidden/>
          </w:rPr>
        </w:r>
        <w:r>
          <w:rPr>
            <w:webHidden/>
          </w:rPr>
          <w:fldChar w:fldCharType="separate"/>
        </w:r>
        <w:r w:rsidR="001B26B5">
          <w:rPr>
            <w:webHidden/>
          </w:rPr>
          <w:t>116</w:t>
        </w:r>
        <w:r>
          <w:rPr>
            <w:webHidden/>
          </w:rPr>
          <w:fldChar w:fldCharType="end"/>
        </w:r>
      </w:hyperlink>
    </w:p>
    <w:p w14:paraId="4C9BF92D" w14:textId="77777777" w:rsidR="0006561B" w:rsidRDefault="0006561B">
      <w:pPr>
        <w:pStyle w:val="TDC2"/>
        <w:rPr>
          <w:rFonts w:asciiTheme="minorHAnsi" w:eastAsiaTheme="minorEastAsia" w:hAnsiTheme="minorHAnsi" w:cstheme="minorBidi"/>
          <w:szCs w:val="22"/>
          <w:lang w:val="es-ES" w:eastAsia="es-ES"/>
        </w:rPr>
      </w:pPr>
      <w:hyperlink w:anchor="_Toc404218" w:history="1">
        <w:r w:rsidRPr="003B1501">
          <w:rPr>
            <w:rStyle w:val="Hipervnculo"/>
          </w:rPr>
          <w:t>410.2. Formas y dimensiones</w:t>
        </w:r>
        <w:r>
          <w:rPr>
            <w:webHidden/>
          </w:rPr>
          <w:tab/>
        </w:r>
        <w:r>
          <w:rPr>
            <w:webHidden/>
          </w:rPr>
          <w:fldChar w:fldCharType="begin"/>
        </w:r>
        <w:r>
          <w:rPr>
            <w:webHidden/>
          </w:rPr>
          <w:instrText xml:space="preserve"> PAGEREF _Toc404218 \h </w:instrText>
        </w:r>
        <w:r>
          <w:rPr>
            <w:webHidden/>
          </w:rPr>
        </w:r>
        <w:r>
          <w:rPr>
            <w:webHidden/>
          </w:rPr>
          <w:fldChar w:fldCharType="separate"/>
        </w:r>
        <w:r w:rsidR="001B26B5">
          <w:rPr>
            <w:webHidden/>
          </w:rPr>
          <w:t>116</w:t>
        </w:r>
        <w:r>
          <w:rPr>
            <w:webHidden/>
          </w:rPr>
          <w:fldChar w:fldCharType="end"/>
        </w:r>
      </w:hyperlink>
    </w:p>
    <w:p w14:paraId="16B31056" w14:textId="77777777" w:rsidR="0006561B" w:rsidRDefault="0006561B">
      <w:pPr>
        <w:pStyle w:val="TDC2"/>
        <w:rPr>
          <w:rFonts w:asciiTheme="minorHAnsi" w:eastAsiaTheme="minorEastAsia" w:hAnsiTheme="minorHAnsi" w:cstheme="minorBidi"/>
          <w:szCs w:val="22"/>
          <w:lang w:val="es-ES" w:eastAsia="es-ES"/>
        </w:rPr>
      </w:pPr>
      <w:hyperlink w:anchor="_Toc404219" w:history="1">
        <w:r w:rsidRPr="003B1501">
          <w:rPr>
            <w:rStyle w:val="Hipervnculo"/>
          </w:rPr>
          <w:t>410.3. Materiales</w:t>
        </w:r>
        <w:r>
          <w:rPr>
            <w:webHidden/>
          </w:rPr>
          <w:tab/>
        </w:r>
        <w:r>
          <w:rPr>
            <w:webHidden/>
          </w:rPr>
          <w:fldChar w:fldCharType="begin"/>
        </w:r>
        <w:r>
          <w:rPr>
            <w:webHidden/>
          </w:rPr>
          <w:instrText xml:space="preserve"> PAGEREF _Toc404219 \h </w:instrText>
        </w:r>
        <w:r>
          <w:rPr>
            <w:webHidden/>
          </w:rPr>
        </w:r>
        <w:r>
          <w:rPr>
            <w:webHidden/>
          </w:rPr>
          <w:fldChar w:fldCharType="separate"/>
        </w:r>
        <w:r w:rsidR="001B26B5">
          <w:rPr>
            <w:webHidden/>
          </w:rPr>
          <w:t>116</w:t>
        </w:r>
        <w:r>
          <w:rPr>
            <w:webHidden/>
          </w:rPr>
          <w:fldChar w:fldCharType="end"/>
        </w:r>
      </w:hyperlink>
    </w:p>
    <w:p w14:paraId="6E8676AD" w14:textId="77777777" w:rsidR="0006561B" w:rsidRDefault="0006561B">
      <w:pPr>
        <w:pStyle w:val="TDC2"/>
        <w:rPr>
          <w:rFonts w:asciiTheme="minorHAnsi" w:eastAsiaTheme="minorEastAsia" w:hAnsiTheme="minorHAnsi" w:cstheme="minorBidi"/>
          <w:szCs w:val="22"/>
          <w:lang w:val="es-ES" w:eastAsia="es-ES"/>
        </w:rPr>
      </w:pPr>
      <w:hyperlink w:anchor="_Toc404220" w:history="1">
        <w:r w:rsidRPr="003B1501">
          <w:rPr>
            <w:rStyle w:val="Hipervnculo"/>
          </w:rPr>
          <w:t>410.4. Ejecución de las obras</w:t>
        </w:r>
        <w:r>
          <w:rPr>
            <w:webHidden/>
          </w:rPr>
          <w:tab/>
        </w:r>
        <w:r>
          <w:rPr>
            <w:webHidden/>
          </w:rPr>
          <w:fldChar w:fldCharType="begin"/>
        </w:r>
        <w:r>
          <w:rPr>
            <w:webHidden/>
          </w:rPr>
          <w:instrText xml:space="preserve"> PAGEREF _Toc404220 \h </w:instrText>
        </w:r>
        <w:r>
          <w:rPr>
            <w:webHidden/>
          </w:rPr>
        </w:r>
        <w:r>
          <w:rPr>
            <w:webHidden/>
          </w:rPr>
          <w:fldChar w:fldCharType="separate"/>
        </w:r>
        <w:r w:rsidR="001B26B5">
          <w:rPr>
            <w:webHidden/>
          </w:rPr>
          <w:t>117</w:t>
        </w:r>
        <w:r>
          <w:rPr>
            <w:webHidden/>
          </w:rPr>
          <w:fldChar w:fldCharType="end"/>
        </w:r>
      </w:hyperlink>
    </w:p>
    <w:p w14:paraId="3783B6F8" w14:textId="77777777" w:rsidR="0006561B" w:rsidRDefault="0006561B">
      <w:pPr>
        <w:pStyle w:val="TDC2"/>
        <w:rPr>
          <w:rFonts w:asciiTheme="minorHAnsi" w:eastAsiaTheme="minorEastAsia" w:hAnsiTheme="minorHAnsi" w:cstheme="minorBidi"/>
          <w:szCs w:val="22"/>
          <w:lang w:val="es-ES" w:eastAsia="es-ES"/>
        </w:rPr>
      </w:pPr>
      <w:hyperlink w:anchor="_Toc404221" w:history="1">
        <w:r w:rsidRPr="003B1501">
          <w:rPr>
            <w:rStyle w:val="Hipervnculo"/>
          </w:rPr>
          <w:t>410.5. Medición y abono</w:t>
        </w:r>
        <w:r>
          <w:rPr>
            <w:webHidden/>
          </w:rPr>
          <w:tab/>
        </w:r>
        <w:r>
          <w:rPr>
            <w:webHidden/>
          </w:rPr>
          <w:fldChar w:fldCharType="begin"/>
        </w:r>
        <w:r>
          <w:rPr>
            <w:webHidden/>
          </w:rPr>
          <w:instrText xml:space="preserve"> PAGEREF _Toc404221 \h </w:instrText>
        </w:r>
        <w:r>
          <w:rPr>
            <w:webHidden/>
          </w:rPr>
        </w:r>
        <w:r>
          <w:rPr>
            <w:webHidden/>
          </w:rPr>
          <w:fldChar w:fldCharType="separate"/>
        </w:r>
        <w:r w:rsidR="001B26B5">
          <w:rPr>
            <w:webHidden/>
          </w:rPr>
          <w:t>117</w:t>
        </w:r>
        <w:r>
          <w:rPr>
            <w:webHidden/>
          </w:rPr>
          <w:fldChar w:fldCharType="end"/>
        </w:r>
      </w:hyperlink>
    </w:p>
    <w:p w14:paraId="530F2621" w14:textId="77777777" w:rsidR="0006561B" w:rsidRDefault="0006561B">
      <w:pPr>
        <w:pStyle w:val="TDC1"/>
        <w:rPr>
          <w:rFonts w:asciiTheme="minorHAnsi" w:eastAsiaTheme="minorEastAsia" w:hAnsiTheme="minorHAnsi" w:cstheme="minorBidi"/>
          <w:b w:val="0"/>
          <w:sz w:val="22"/>
          <w:szCs w:val="22"/>
          <w:lang w:val="es-ES" w:eastAsia="es-ES"/>
        </w:rPr>
      </w:pPr>
      <w:hyperlink w:anchor="_Toc404222" w:history="1">
        <w:r w:rsidRPr="003B1501">
          <w:rPr>
            <w:rStyle w:val="Hipervnculo"/>
          </w:rPr>
          <w:t>Artículo 411.- Imbornales y sumideros</w:t>
        </w:r>
        <w:r>
          <w:rPr>
            <w:webHidden/>
          </w:rPr>
          <w:tab/>
        </w:r>
        <w:r>
          <w:rPr>
            <w:webHidden/>
          </w:rPr>
          <w:fldChar w:fldCharType="begin"/>
        </w:r>
        <w:r>
          <w:rPr>
            <w:webHidden/>
          </w:rPr>
          <w:instrText xml:space="preserve"> PAGEREF _Toc404222 \h </w:instrText>
        </w:r>
        <w:r>
          <w:rPr>
            <w:webHidden/>
          </w:rPr>
        </w:r>
        <w:r>
          <w:rPr>
            <w:webHidden/>
          </w:rPr>
          <w:fldChar w:fldCharType="separate"/>
        </w:r>
        <w:r w:rsidR="001B26B5">
          <w:rPr>
            <w:webHidden/>
          </w:rPr>
          <w:t>118</w:t>
        </w:r>
        <w:r>
          <w:rPr>
            <w:webHidden/>
          </w:rPr>
          <w:fldChar w:fldCharType="end"/>
        </w:r>
      </w:hyperlink>
    </w:p>
    <w:p w14:paraId="07369842" w14:textId="77777777" w:rsidR="0006561B" w:rsidRDefault="0006561B">
      <w:pPr>
        <w:pStyle w:val="TDC2"/>
        <w:rPr>
          <w:rFonts w:asciiTheme="minorHAnsi" w:eastAsiaTheme="minorEastAsia" w:hAnsiTheme="minorHAnsi" w:cstheme="minorBidi"/>
          <w:szCs w:val="22"/>
          <w:lang w:val="es-ES" w:eastAsia="es-ES"/>
        </w:rPr>
      </w:pPr>
      <w:hyperlink w:anchor="_Toc404223" w:history="1">
        <w:r w:rsidRPr="003B1501">
          <w:rPr>
            <w:rStyle w:val="Hipervnculo"/>
          </w:rPr>
          <w:t>411.1. Definición y aplicación</w:t>
        </w:r>
        <w:r>
          <w:rPr>
            <w:webHidden/>
          </w:rPr>
          <w:tab/>
        </w:r>
        <w:r>
          <w:rPr>
            <w:webHidden/>
          </w:rPr>
          <w:fldChar w:fldCharType="begin"/>
        </w:r>
        <w:r>
          <w:rPr>
            <w:webHidden/>
          </w:rPr>
          <w:instrText xml:space="preserve"> PAGEREF _Toc404223 \h </w:instrText>
        </w:r>
        <w:r>
          <w:rPr>
            <w:webHidden/>
          </w:rPr>
        </w:r>
        <w:r>
          <w:rPr>
            <w:webHidden/>
          </w:rPr>
          <w:fldChar w:fldCharType="separate"/>
        </w:r>
        <w:r w:rsidR="001B26B5">
          <w:rPr>
            <w:webHidden/>
          </w:rPr>
          <w:t>118</w:t>
        </w:r>
        <w:r>
          <w:rPr>
            <w:webHidden/>
          </w:rPr>
          <w:fldChar w:fldCharType="end"/>
        </w:r>
      </w:hyperlink>
    </w:p>
    <w:p w14:paraId="547BCE67" w14:textId="77777777" w:rsidR="0006561B" w:rsidRDefault="0006561B">
      <w:pPr>
        <w:pStyle w:val="TDC2"/>
        <w:rPr>
          <w:rFonts w:asciiTheme="minorHAnsi" w:eastAsiaTheme="minorEastAsia" w:hAnsiTheme="minorHAnsi" w:cstheme="minorBidi"/>
          <w:szCs w:val="22"/>
          <w:lang w:val="es-ES" w:eastAsia="es-ES"/>
        </w:rPr>
      </w:pPr>
      <w:hyperlink w:anchor="_Toc404224" w:history="1">
        <w:r w:rsidRPr="003B1501">
          <w:rPr>
            <w:rStyle w:val="Hipervnculo"/>
          </w:rPr>
          <w:t>411.2. Forma y dimensiones</w:t>
        </w:r>
        <w:r>
          <w:rPr>
            <w:webHidden/>
          </w:rPr>
          <w:tab/>
        </w:r>
        <w:r>
          <w:rPr>
            <w:webHidden/>
          </w:rPr>
          <w:fldChar w:fldCharType="begin"/>
        </w:r>
        <w:r>
          <w:rPr>
            <w:webHidden/>
          </w:rPr>
          <w:instrText xml:space="preserve"> PAGEREF _Toc404224 \h </w:instrText>
        </w:r>
        <w:r>
          <w:rPr>
            <w:webHidden/>
          </w:rPr>
        </w:r>
        <w:r>
          <w:rPr>
            <w:webHidden/>
          </w:rPr>
          <w:fldChar w:fldCharType="separate"/>
        </w:r>
        <w:r w:rsidR="001B26B5">
          <w:rPr>
            <w:webHidden/>
          </w:rPr>
          <w:t>118</w:t>
        </w:r>
        <w:r>
          <w:rPr>
            <w:webHidden/>
          </w:rPr>
          <w:fldChar w:fldCharType="end"/>
        </w:r>
      </w:hyperlink>
    </w:p>
    <w:p w14:paraId="2CAA28A0" w14:textId="77777777" w:rsidR="0006561B" w:rsidRDefault="0006561B">
      <w:pPr>
        <w:pStyle w:val="TDC2"/>
        <w:rPr>
          <w:rFonts w:asciiTheme="minorHAnsi" w:eastAsiaTheme="minorEastAsia" w:hAnsiTheme="minorHAnsi" w:cstheme="minorBidi"/>
          <w:szCs w:val="22"/>
          <w:lang w:val="es-ES" w:eastAsia="es-ES"/>
        </w:rPr>
      </w:pPr>
      <w:hyperlink w:anchor="_Toc404225" w:history="1">
        <w:r w:rsidRPr="003B1501">
          <w:rPr>
            <w:rStyle w:val="Hipervnculo"/>
          </w:rPr>
          <w:t>411.3. Materiales</w:t>
        </w:r>
        <w:r>
          <w:rPr>
            <w:webHidden/>
          </w:rPr>
          <w:tab/>
        </w:r>
        <w:r>
          <w:rPr>
            <w:webHidden/>
          </w:rPr>
          <w:fldChar w:fldCharType="begin"/>
        </w:r>
        <w:r>
          <w:rPr>
            <w:webHidden/>
          </w:rPr>
          <w:instrText xml:space="preserve"> PAGEREF _Toc404225 \h </w:instrText>
        </w:r>
        <w:r>
          <w:rPr>
            <w:webHidden/>
          </w:rPr>
        </w:r>
        <w:r>
          <w:rPr>
            <w:webHidden/>
          </w:rPr>
          <w:fldChar w:fldCharType="separate"/>
        </w:r>
        <w:r w:rsidR="001B26B5">
          <w:rPr>
            <w:webHidden/>
          </w:rPr>
          <w:t>118</w:t>
        </w:r>
        <w:r>
          <w:rPr>
            <w:webHidden/>
          </w:rPr>
          <w:fldChar w:fldCharType="end"/>
        </w:r>
      </w:hyperlink>
    </w:p>
    <w:p w14:paraId="16E5487C" w14:textId="77777777" w:rsidR="0006561B" w:rsidRDefault="0006561B">
      <w:pPr>
        <w:pStyle w:val="TDC2"/>
        <w:rPr>
          <w:rFonts w:asciiTheme="minorHAnsi" w:eastAsiaTheme="minorEastAsia" w:hAnsiTheme="minorHAnsi" w:cstheme="minorBidi"/>
          <w:szCs w:val="22"/>
          <w:lang w:val="es-ES" w:eastAsia="es-ES"/>
        </w:rPr>
      </w:pPr>
      <w:hyperlink w:anchor="_Toc404226" w:history="1">
        <w:r w:rsidRPr="003B1501">
          <w:rPr>
            <w:rStyle w:val="Hipervnculo"/>
          </w:rPr>
          <w:t>411.4. Ejecución de las obras</w:t>
        </w:r>
        <w:r>
          <w:rPr>
            <w:webHidden/>
          </w:rPr>
          <w:tab/>
        </w:r>
        <w:r>
          <w:rPr>
            <w:webHidden/>
          </w:rPr>
          <w:fldChar w:fldCharType="begin"/>
        </w:r>
        <w:r>
          <w:rPr>
            <w:webHidden/>
          </w:rPr>
          <w:instrText xml:space="preserve"> PAGEREF _Toc404226 \h </w:instrText>
        </w:r>
        <w:r>
          <w:rPr>
            <w:webHidden/>
          </w:rPr>
        </w:r>
        <w:r>
          <w:rPr>
            <w:webHidden/>
          </w:rPr>
          <w:fldChar w:fldCharType="separate"/>
        </w:r>
        <w:r w:rsidR="001B26B5">
          <w:rPr>
            <w:webHidden/>
          </w:rPr>
          <w:t>118</w:t>
        </w:r>
        <w:r>
          <w:rPr>
            <w:webHidden/>
          </w:rPr>
          <w:fldChar w:fldCharType="end"/>
        </w:r>
      </w:hyperlink>
    </w:p>
    <w:p w14:paraId="751A8606" w14:textId="77777777" w:rsidR="0006561B" w:rsidRDefault="0006561B">
      <w:pPr>
        <w:pStyle w:val="TDC2"/>
        <w:rPr>
          <w:rFonts w:asciiTheme="minorHAnsi" w:eastAsiaTheme="minorEastAsia" w:hAnsiTheme="minorHAnsi" w:cstheme="minorBidi"/>
          <w:szCs w:val="22"/>
          <w:lang w:val="es-ES" w:eastAsia="es-ES"/>
        </w:rPr>
      </w:pPr>
      <w:hyperlink w:anchor="_Toc404227" w:history="1">
        <w:r w:rsidRPr="003B1501">
          <w:rPr>
            <w:rStyle w:val="Hipervnculo"/>
          </w:rPr>
          <w:t>411.5. Medición y abono</w:t>
        </w:r>
        <w:r>
          <w:rPr>
            <w:webHidden/>
          </w:rPr>
          <w:tab/>
        </w:r>
        <w:r>
          <w:rPr>
            <w:webHidden/>
          </w:rPr>
          <w:fldChar w:fldCharType="begin"/>
        </w:r>
        <w:r>
          <w:rPr>
            <w:webHidden/>
          </w:rPr>
          <w:instrText xml:space="preserve"> PAGEREF _Toc404227 \h </w:instrText>
        </w:r>
        <w:r>
          <w:rPr>
            <w:webHidden/>
          </w:rPr>
        </w:r>
        <w:r>
          <w:rPr>
            <w:webHidden/>
          </w:rPr>
          <w:fldChar w:fldCharType="separate"/>
        </w:r>
        <w:r w:rsidR="001B26B5">
          <w:rPr>
            <w:webHidden/>
          </w:rPr>
          <w:t>118</w:t>
        </w:r>
        <w:r>
          <w:rPr>
            <w:webHidden/>
          </w:rPr>
          <w:fldChar w:fldCharType="end"/>
        </w:r>
      </w:hyperlink>
    </w:p>
    <w:p w14:paraId="1594913D" w14:textId="77777777" w:rsidR="0006561B" w:rsidRDefault="0006561B">
      <w:pPr>
        <w:pStyle w:val="TDC1"/>
        <w:rPr>
          <w:rFonts w:asciiTheme="minorHAnsi" w:eastAsiaTheme="minorEastAsia" w:hAnsiTheme="minorHAnsi" w:cstheme="minorBidi"/>
          <w:b w:val="0"/>
          <w:sz w:val="22"/>
          <w:szCs w:val="22"/>
          <w:lang w:val="es-ES" w:eastAsia="es-ES"/>
        </w:rPr>
      </w:pPr>
      <w:hyperlink w:anchor="_Toc404228" w:history="1">
        <w:r w:rsidRPr="003B1501">
          <w:rPr>
            <w:rStyle w:val="Hipervnculo"/>
          </w:rPr>
          <w:t>Artículo 413. Caz de hormigón</w:t>
        </w:r>
        <w:r>
          <w:rPr>
            <w:webHidden/>
          </w:rPr>
          <w:tab/>
        </w:r>
        <w:r>
          <w:rPr>
            <w:webHidden/>
          </w:rPr>
          <w:fldChar w:fldCharType="begin"/>
        </w:r>
        <w:r>
          <w:rPr>
            <w:webHidden/>
          </w:rPr>
          <w:instrText xml:space="preserve"> PAGEREF _Toc404228 \h </w:instrText>
        </w:r>
        <w:r>
          <w:rPr>
            <w:webHidden/>
          </w:rPr>
        </w:r>
        <w:r>
          <w:rPr>
            <w:webHidden/>
          </w:rPr>
          <w:fldChar w:fldCharType="separate"/>
        </w:r>
        <w:r w:rsidR="001B26B5">
          <w:rPr>
            <w:webHidden/>
          </w:rPr>
          <w:t>119</w:t>
        </w:r>
        <w:r>
          <w:rPr>
            <w:webHidden/>
          </w:rPr>
          <w:fldChar w:fldCharType="end"/>
        </w:r>
      </w:hyperlink>
    </w:p>
    <w:p w14:paraId="7F948AC7" w14:textId="77777777" w:rsidR="0006561B" w:rsidRDefault="0006561B">
      <w:pPr>
        <w:pStyle w:val="TDC2"/>
        <w:rPr>
          <w:rFonts w:asciiTheme="minorHAnsi" w:eastAsiaTheme="minorEastAsia" w:hAnsiTheme="minorHAnsi" w:cstheme="minorBidi"/>
          <w:szCs w:val="22"/>
          <w:lang w:val="es-ES" w:eastAsia="es-ES"/>
        </w:rPr>
      </w:pPr>
      <w:hyperlink w:anchor="_Toc404229" w:history="1">
        <w:r w:rsidRPr="003B1501">
          <w:rPr>
            <w:rStyle w:val="Hipervnculo"/>
          </w:rPr>
          <w:t>413.1. Definición y aplicación</w:t>
        </w:r>
        <w:r>
          <w:rPr>
            <w:webHidden/>
          </w:rPr>
          <w:tab/>
        </w:r>
        <w:r>
          <w:rPr>
            <w:webHidden/>
          </w:rPr>
          <w:fldChar w:fldCharType="begin"/>
        </w:r>
        <w:r>
          <w:rPr>
            <w:webHidden/>
          </w:rPr>
          <w:instrText xml:space="preserve"> PAGEREF _Toc404229 \h </w:instrText>
        </w:r>
        <w:r>
          <w:rPr>
            <w:webHidden/>
          </w:rPr>
        </w:r>
        <w:r>
          <w:rPr>
            <w:webHidden/>
          </w:rPr>
          <w:fldChar w:fldCharType="separate"/>
        </w:r>
        <w:r w:rsidR="001B26B5">
          <w:rPr>
            <w:webHidden/>
          </w:rPr>
          <w:t>119</w:t>
        </w:r>
        <w:r>
          <w:rPr>
            <w:webHidden/>
          </w:rPr>
          <w:fldChar w:fldCharType="end"/>
        </w:r>
      </w:hyperlink>
    </w:p>
    <w:p w14:paraId="009CE849" w14:textId="77777777" w:rsidR="0006561B" w:rsidRDefault="0006561B">
      <w:pPr>
        <w:pStyle w:val="TDC2"/>
        <w:rPr>
          <w:rFonts w:asciiTheme="minorHAnsi" w:eastAsiaTheme="minorEastAsia" w:hAnsiTheme="minorHAnsi" w:cstheme="minorBidi"/>
          <w:szCs w:val="22"/>
          <w:lang w:val="es-ES" w:eastAsia="es-ES"/>
        </w:rPr>
      </w:pPr>
      <w:hyperlink w:anchor="_Toc404230" w:history="1">
        <w:r w:rsidRPr="003B1501">
          <w:rPr>
            <w:rStyle w:val="Hipervnculo"/>
          </w:rPr>
          <w:t>413.2. Materiales</w:t>
        </w:r>
        <w:r>
          <w:rPr>
            <w:webHidden/>
          </w:rPr>
          <w:tab/>
        </w:r>
        <w:r>
          <w:rPr>
            <w:webHidden/>
          </w:rPr>
          <w:fldChar w:fldCharType="begin"/>
        </w:r>
        <w:r>
          <w:rPr>
            <w:webHidden/>
          </w:rPr>
          <w:instrText xml:space="preserve"> PAGEREF _Toc404230 \h </w:instrText>
        </w:r>
        <w:r>
          <w:rPr>
            <w:webHidden/>
          </w:rPr>
        </w:r>
        <w:r>
          <w:rPr>
            <w:webHidden/>
          </w:rPr>
          <w:fldChar w:fldCharType="separate"/>
        </w:r>
        <w:r w:rsidR="001B26B5">
          <w:rPr>
            <w:webHidden/>
          </w:rPr>
          <w:t>119</w:t>
        </w:r>
        <w:r>
          <w:rPr>
            <w:webHidden/>
          </w:rPr>
          <w:fldChar w:fldCharType="end"/>
        </w:r>
      </w:hyperlink>
    </w:p>
    <w:p w14:paraId="1E87F2E4" w14:textId="77777777" w:rsidR="0006561B" w:rsidRDefault="0006561B">
      <w:pPr>
        <w:pStyle w:val="TDC2"/>
        <w:rPr>
          <w:rFonts w:asciiTheme="minorHAnsi" w:eastAsiaTheme="minorEastAsia" w:hAnsiTheme="minorHAnsi" w:cstheme="minorBidi"/>
          <w:szCs w:val="22"/>
          <w:lang w:val="es-ES" w:eastAsia="es-ES"/>
        </w:rPr>
      </w:pPr>
      <w:hyperlink w:anchor="_Toc404231" w:history="1">
        <w:r w:rsidRPr="003B1501">
          <w:rPr>
            <w:rStyle w:val="Hipervnculo"/>
          </w:rPr>
          <w:t>413.3. Ejecución de las obras</w:t>
        </w:r>
        <w:r>
          <w:rPr>
            <w:webHidden/>
          </w:rPr>
          <w:tab/>
        </w:r>
        <w:r>
          <w:rPr>
            <w:webHidden/>
          </w:rPr>
          <w:fldChar w:fldCharType="begin"/>
        </w:r>
        <w:r>
          <w:rPr>
            <w:webHidden/>
          </w:rPr>
          <w:instrText xml:space="preserve"> PAGEREF _Toc404231 \h </w:instrText>
        </w:r>
        <w:r>
          <w:rPr>
            <w:webHidden/>
          </w:rPr>
        </w:r>
        <w:r>
          <w:rPr>
            <w:webHidden/>
          </w:rPr>
          <w:fldChar w:fldCharType="separate"/>
        </w:r>
        <w:r w:rsidR="001B26B5">
          <w:rPr>
            <w:webHidden/>
          </w:rPr>
          <w:t>120</w:t>
        </w:r>
        <w:r>
          <w:rPr>
            <w:webHidden/>
          </w:rPr>
          <w:fldChar w:fldCharType="end"/>
        </w:r>
      </w:hyperlink>
    </w:p>
    <w:p w14:paraId="607DDB69" w14:textId="77777777" w:rsidR="0006561B" w:rsidRDefault="0006561B">
      <w:pPr>
        <w:pStyle w:val="TDC2"/>
        <w:rPr>
          <w:rFonts w:asciiTheme="minorHAnsi" w:eastAsiaTheme="minorEastAsia" w:hAnsiTheme="minorHAnsi" w:cstheme="minorBidi"/>
          <w:szCs w:val="22"/>
          <w:lang w:val="es-ES" w:eastAsia="es-ES"/>
        </w:rPr>
      </w:pPr>
      <w:hyperlink w:anchor="_Toc404232" w:history="1">
        <w:r w:rsidRPr="003B1501">
          <w:rPr>
            <w:rStyle w:val="Hipervnculo"/>
          </w:rPr>
          <w:t>413.4. Medición y abono</w:t>
        </w:r>
        <w:r>
          <w:rPr>
            <w:webHidden/>
          </w:rPr>
          <w:tab/>
        </w:r>
        <w:r>
          <w:rPr>
            <w:webHidden/>
          </w:rPr>
          <w:fldChar w:fldCharType="begin"/>
        </w:r>
        <w:r>
          <w:rPr>
            <w:webHidden/>
          </w:rPr>
          <w:instrText xml:space="preserve"> PAGEREF _Toc404232 \h </w:instrText>
        </w:r>
        <w:r>
          <w:rPr>
            <w:webHidden/>
          </w:rPr>
        </w:r>
        <w:r>
          <w:rPr>
            <w:webHidden/>
          </w:rPr>
          <w:fldChar w:fldCharType="separate"/>
        </w:r>
        <w:r w:rsidR="001B26B5">
          <w:rPr>
            <w:webHidden/>
          </w:rPr>
          <w:t>120</w:t>
        </w:r>
        <w:r>
          <w:rPr>
            <w:webHidden/>
          </w:rPr>
          <w:fldChar w:fldCharType="end"/>
        </w:r>
      </w:hyperlink>
    </w:p>
    <w:p w14:paraId="57573488" w14:textId="77777777" w:rsidR="0006561B" w:rsidRDefault="0006561B">
      <w:pPr>
        <w:pStyle w:val="TDC1"/>
        <w:rPr>
          <w:rFonts w:asciiTheme="minorHAnsi" w:eastAsiaTheme="minorEastAsia" w:hAnsiTheme="minorHAnsi" w:cstheme="minorBidi"/>
          <w:b w:val="0"/>
          <w:sz w:val="22"/>
          <w:szCs w:val="22"/>
          <w:lang w:val="es-ES" w:eastAsia="es-ES"/>
        </w:rPr>
      </w:pPr>
      <w:hyperlink w:anchor="_Toc404233" w:history="1">
        <w:r w:rsidRPr="003B1501">
          <w:rPr>
            <w:rStyle w:val="Hipervnculo"/>
          </w:rPr>
          <w:t>Artículo 414. Caldereta y bajante en estribos</w:t>
        </w:r>
        <w:r>
          <w:rPr>
            <w:webHidden/>
          </w:rPr>
          <w:tab/>
        </w:r>
        <w:r>
          <w:rPr>
            <w:webHidden/>
          </w:rPr>
          <w:fldChar w:fldCharType="begin"/>
        </w:r>
        <w:r>
          <w:rPr>
            <w:webHidden/>
          </w:rPr>
          <w:instrText xml:space="preserve"> PAGEREF _Toc404233 \h </w:instrText>
        </w:r>
        <w:r>
          <w:rPr>
            <w:webHidden/>
          </w:rPr>
        </w:r>
        <w:r>
          <w:rPr>
            <w:webHidden/>
          </w:rPr>
          <w:fldChar w:fldCharType="separate"/>
        </w:r>
        <w:r w:rsidR="001B26B5">
          <w:rPr>
            <w:webHidden/>
          </w:rPr>
          <w:t>121</w:t>
        </w:r>
        <w:r>
          <w:rPr>
            <w:webHidden/>
          </w:rPr>
          <w:fldChar w:fldCharType="end"/>
        </w:r>
      </w:hyperlink>
    </w:p>
    <w:p w14:paraId="47871E6C" w14:textId="77777777" w:rsidR="0006561B" w:rsidRDefault="0006561B">
      <w:pPr>
        <w:pStyle w:val="TDC2"/>
        <w:rPr>
          <w:rFonts w:asciiTheme="minorHAnsi" w:eastAsiaTheme="minorEastAsia" w:hAnsiTheme="minorHAnsi" w:cstheme="minorBidi"/>
          <w:szCs w:val="22"/>
          <w:lang w:val="es-ES" w:eastAsia="es-ES"/>
        </w:rPr>
      </w:pPr>
      <w:hyperlink w:anchor="_Toc404234" w:history="1">
        <w:r w:rsidRPr="003B1501">
          <w:rPr>
            <w:rStyle w:val="Hipervnculo"/>
          </w:rPr>
          <w:t xml:space="preserve">414.1.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_Toc404234 \h </w:instrText>
        </w:r>
        <w:r>
          <w:rPr>
            <w:webHidden/>
          </w:rPr>
        </w:r>
        <w:r>
          <w:rPr>
            <w:webHidden/>
          </w:rPr>
          <w:fldChar w:fldCharType="separate"/>
        </w:r>
        <w:r w:rsidR="001B26B5">
          <w:rPr>
            <w:webHidden/>
          </w:rPr>
          <w:t>121</w:t>
        </w:r>
        <w:r>
          <w:rPr>
            <w:webHidden/>
          </w:rPr>
          <w:fldChar w:fldCharType="end"/>
        </w:r>
      </w:hyperlink>
    </w:p>
    <w:p w14:paraId="25A6E6FC" w14:textId="77777777" w:rsidR="0006561B" w:rsidRDefault="0006561B">
      <w:pPr>
        <w:pStyle w:val="TDC2"/>
        <w:rPr>
          <w:rFonts w:asciiTheme="minorHAnsi" w:eastAsiaTheme="minorEastAsia" w:hAnsiTheme="minorHAnsi" w:cstheme="minorBidi"/>
          <w:szCs w:val="22"/>
          <w:lang w:val="es-ES" w:eastAsia="es-ES"/>
        </w:rPr>
      </w:pPr>
      <w:hyperlink w:anchor="_Toc404235" w:history="1">
        <w:r w:rsidRPr="003B1501">
          <w:rPr>
            <w:rStyle w:val="Hipervnculo"/>
          </w:rPr>
          <w:t xml:space="preserve">414.2.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_Toc404235 \h </w:instrText>
        </w:r>
        <w:r>
          <w:rPr>
            <w:webHidden/>
          </w:rPr>
        </w:r>
        <w:r>
          <w:rPr>
            <w:webHidden/>
          </w:rPr>
          <w:fldChar w:fldCharType="separate"/>
        </w:r>
        <w:r w:rsidR="001B26B5">
          <w:rPr>
            <w:webHidden/>
          </w:rPr>
          <w:t>121</w:t>
        </w:r>
        <w:r>
          <w:rPr>
            <w:webHidden/>
          </w:rPr>
          <w:fldChar w:fldCharType="end"/>
        </w:r>
      </w:hyperlink>
    </w:p>
    <w:p w14:paraId="0EF80B8B" w14:textId="77777777" w:rsidR="0006561B" w:rsidRDefault="0006561B">
      <w:pPr>
        <w:pStyle w:val="TDC2"/>
        <w:rPr>
          <w:rFonts w:asciiTheme="minorHAnsi" w:eastAsiaTheme="minorEastAsia" w:hAnsiTheme="minorHAnsi" w:cstheme="minorBidi"/>
          <w:szCs w:val="22"/>
          <w:lang w:val="es-ES" w:eastAsia="es-ES"/>
        </w:rPr>
      </w:pPr>
      <w:hyperlink w:anchor="_Toc404236" w:history="1">
        <w:r w:rsidRPr="003B1501">
          <w:rPr>
            <w:rStyle w:val="Hipervnculo"/>
          </w:rPr>
          <w:t xml:space="preserve">414.3.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_Toc404236 \h </w:instrText>
        </w:r>
        <w:r>
          <w:rPr>
            <w:webHidden/>
          </w:rPr>
        </w:r>
        <w:r>
          <w:rPr>
            <w:webHidden/>
          </w:rPr>
          <w:fldChar w:fldCharType="separate"/>
        </w:r>
        <w:r w:rsidR="001B26B5">
          <w:rPr>
            <w:webHidden/>
          </w:rPr>
          <w:t>121</w:t>
        </w:r>
        <w:r>
          <w:rPr>
            <w:webHidden/>
          </w:rPr>
          <w:fldChar w:fldCharType="end"/>
        </w:r>
      </w:hyperlink>
    </w:p>
    <w:p w14:paraId="5CDF9D99" w14:textId="77777777" w:rsidR="0006561B" w:rsidRDefault="0006561B">
      <w:pPr>
        <w:pStyle w:val="TDC2"/>
        <w:rPr>
          <w:rFonts w:asciiTheme="minorHAnsi" w:eastAsiaTheme="minorEastAsia" w:hAnsiTheme="minorHAnsi" w:cstheme="minorBidi"/>
          <w:szCs w:val="22"/>
          <w:lang w:val="es-ES" w:eastAsia="es-ES"/>
        </w:rPr>
      </w:pPr>
      <w:hyperlink w:anchor="_Toc404237" w:history="1">
        <w:r w:rsidRPr="003B1501">
          <w:rPr>
            <w:rStyle w:val="Hipervnculo"/>
          </w:rPr>
          <w:t xml:space="preserve">414.4.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_Toc404237 \h </w:instrText>
        </w:r>
        <w:r>
          <w:rPr>
            <w:webHidden/>
          </w:rPr>
        </w:r>
        <w:r>
          <w:rPr>
            <w:webHidden/>
          </w:rPr>
          <w:fldChar w:fldCharType="separate"/>
        </w:r>
        <w:r w:rsidR="001B26B5">
          <w:rPr>
            <w:webHidden/>
          </w:rPr>
          <w:t>121</w:t>
        </w:r>
        <w:r>
          <w:rPr>
            <w:webHidden/>
          </w:rPr>
          <w:fldChar w:fldCharType="end"/>
        </w:r>
      </w:hyperlink>
    </w:p>
    <w:p w14:paraId="09ADE913" w14:textId="77777777" w:rsidR="0006561B" w:rsidRDefault="0006561B">
      <w:pPr>
        <w:pStyle w:val="TDC2"/>
        <w:rPr>
          <w:rFonts w:asciiTheme="minorHAnsi" w:eastAsiaTheme="minorEastAsia" w:hAnsiTheme="minorHAnsi" w:cstheme="minorBidi"/>
          <w:szCs w:val="22"/>
          <w:lang w:val="es-ES" w:eastAsia="es-ES"/>
        </w:rPr>
      </w:pPr>
      <w:hyperlink w:anchor="_Toc404238" w:history="1">
        <w:r w:rsidRPr="003B1501">
          <w:rPr>
            <w:rStyle w:val="Hipervnculo"/>
          </w:rPr>
          <w:t>414.5. Recepción</w:t>
        </w:r>
        <w:r>
          <w:rPr>
            <w:webHidden/>
          </w:rPr>
          <w:tab/>
        </w:r>
        <w:r>
          <w:rPr>
            <w:webHidden/>
          </w:rPr>
          <w:fldChar w:fldCharType="begin"/>
        </w:r>
        <w:r>
          <w:rPr>
            <w:webHidden/>
          </w:rPr>
          <w:instrText xml:space="preserve"> PAGEREF _Toc404238 \h </w:instrText>
        </w:r>
        <w:r>
          <w:rPr>
            <w:webHidden/>
          </w:rPr>
        </w:r>
        <w:r>
          <w:rPr>
            <w:webHidden/>
          </w:rPr>
          <w:fldChar w:fldCharType="separate"/>
        </w:r>
        <w:r w:rsidR="001B26B5">
          <w:rPr>
            <w:webHidden/>
          </w:rPr>
          <w:t>122</w:t>
        </w:r>
        <w:r>
          <w:rPr>
            <w:webHidden/>
          </w:rPr>
          <w:fldChar w:fldCharType="end"/>
        </w:r>
      </w:hyperlink>
    </w:p>
    <w:p w14:paraId="6FD3465B" w14:textId="77777777" w:rsidR="0006561B" w:rsidRDefault="0006561B">
      <w:pPr>
        <w:pStyle w:val="TDC2"/>
        <w:rPr>
          <w:rFonts w:asciiTheme="minorHAnsi" w:eastAsiaTheme="minorEastAsia" w:hAnsiTheme="minorHAnsi" w:cstheme="minorBidi"/>
          <w:szCs w:val="22"/>
          <w:lang w:val="es-ES" w:eastAsia="es-ES"/>
        </w:rPr>
      </w:pPr>
      <w:hyperlink w:anchor="_Toc404239" w:history="1">
        <w:r w:rsidRPr="003B1501">
          <w:rPr>
            <w:rStyle w:val="Hipervnculo"/>
          </w:rPr>
          <w:t>414.6. Medición y abono</w:t>
        </w:r>
        <w:r>
          <w:rPr>
            <w:webHidden/>
          </w:rPr>
          <w:tab/>
        </w:r>
        <w:r>
          <w:rPr>
            <w:webHidden/>
          </w:rPr>
          <w:fldChar w:fldCharType="begin"/>
        </w:r>
        <w:r>
          <w:rPr>
            <w:webHidden/>
          </w:rPr>
          <w:instrText xml:space="preserve"> PAGEREF _Toc404239 \h </w:instrText>
        </w:r>
        <w:r>
          <w:rPr>
            <w:webHidden/>
          </w:rPr>
        </w:r>
        <w:r>
          <w:rPr>
            <w:webHidden/>
          </w:rPr>
          <w:fldChar w:fldCharType="separate"/>
        </w:r>
        <w:r w:rsidR="001B26B5">
          <w:rPr>
            <w:webHidden/>
          </w:rPr>
          <w:t>122</w:t>
        </w:r>
        <w:r>
          <w:rPr>
            <w:webHidden/>
          </w:rPr>
          <w:fldChar w:fldCharType="end"/>
        </w:r>
      </w:hyperlink>
    </w:p>
    <w:p w14:paraId="173F03B4" w14:textId="77777777" w:rsidR="0006561B" w:rsidRDefault="0006561B">
      <w:pPr>
        <w:pStyle w:val="TDC1"/>
        <w:rPr>
          <w:rFonts w:asciiTheme="minorHAnsi" w:eastAsiaTheme="minorEastAsia" w:hAnsiTheme="minorHAnsi" w:cstheme="minorBidi"/>
          <w:b w:val="0"/>
          <w:sz w:val="22"/>
          <w:szCs w:val="22"/>
          <w:lang w:val="es-ES" w:eastAsia="es-ES"/>
        </w:rPr>
      </w:pPr>
      <w:r>
        <w:rPr>
          <w:rStyle w:val="Hipervnculo"/>
        </w:rPr>
        <w:br w:type="column"/>
      </w:r>
      <w:hyperlink w:anchor="_Toc404240" w:history="1">
        <w:r w:rsidRPr="003B1501">
          <w:rPr>
            <w:rStyle w:val="Hipervnculo"/>
          </w:rPr>
          <w:t>Artículo 415. Tubos prefabricados de hormigón para drenaje</w:t>
        </w:r>
        <w:r>
          <w:rPr>
            <w:webHidden/>
          </w:rPr>
          <w:tab/>
        </w:r>
        <w:r>
          <w:rPr>
            <w:webHidden/>
          </w:rPr>
          <w:fldChar w:fldCharType="begin"/>
        </w:r>
        <w:r>
          <w:rPr>
            <w:webHidden/>
          </w:rPr>
          <w:instrText xml:space="preserve"> PAGEREF _Toc404240 \h </w:instrText>
        </w:r>
        <w:r>
          <w:rPr>
            <w:webHidden/>
          </w:rPr>
        </w:r>
        <w:r>
          <w:rPr>
            <w:webHidden/>
          </w:rPr>
          <w:fldChar w:fldCharType="separate"/>
        </w:r>
        <w:r w:rsidR="001B26B5">
          <w:rPr>
            <w:webHidden/>
          </w:rPr>
          <w:t>123</w:t>
        </w:r>
        <w:r>
          <w:rPr>
            <w:webHidden/>
          </w:rPr>
          <w:fldChar w:fldCharType="end"/>
        </w:r>
      </w:hyperlink>
    </w:p>
    <w:p w14:paraId="677DC091" w14:textId="77777777" w:rsidR="0006561B" w:rsidRDefault="0006561B">
      <w:pPr>
        <w:pStyle w:val="TDC2"/>
        <w:rPr>
          <w:rFonts w:asciiTheme="minorHAnsi" w:eastAsiaTheme="minorEastAsia" w:hAnsiTheme="minorHAnsi" w:cstheme="minorBidi"/>
          <w:szCs w:val="22"/>
          <w:lang w:val="es-ES" w:eastAsia="es-ES"/>
        </w:rPr>
      </w:pPr>
      <w:hyperlink w:anchor="_Toc404241" w:history="1">
        <w:r w:rsidRPr="003B1501">
          <w:rPr>
            <w:rStyle w:val="Hipervnculo"/>
          </w:rPr>
          <w:t xml:space="preserve">415.1.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_Toc404241 \h </w:instrText>
        </w:r>
        <w:r>
          <w:rPr>
            <w:webHidden/>
          </w:rPr>
        </w:r>
        <w:r>
          <w:rPr>
            <w:webHidden/>
          </w:rPr>
          <w:fldChar w:fldCharType="separate"/>
        </w:r>
        <w:r w:rsidR="001B26B5">
          <w:rPr>
            <w:webHidden/>
          </w:rPr>
          <w:t>123</w:t>
        </w:r>
        <w:r>
          <w:rPr>
            <w:webHidden/>
          </w:rPr>
          <w:fldChar w:fldCharType="end"/>
        </w:r>
      </w:hyperlink>
    </w:p>
    <w:p w14:paraId="5E517302" w14:textId="77777777" w:rsidR="0006561B" w:rsidRDefault="0006561B">
      <w:pPr>
        <w:pStyle w:val="TDC2"/>
        <w:rPr>
          <w:rFonts w:asciiTheme="minorHAnsi" w:eastAsiaTheme="minorEastAsia" w:hAnsiTheme="minorHAnsi" w:cstheme="minorBidi"/>
          <w:szCs w:val="22"/>
          <w:lang w:val="es-ES" w:eastAsia="es-ES"/>
        </w:rPr>
      </w:pPr>
      <w:hyperlink w:anchor="_Toc404242" w:history="1">
        <w:r w:rsidRPr="003B1501">
          <w:rPr>
            <w:rStyle w:val="Hipervnculo"/>
          </w:rPr>
          <w:t xml:space="preserve">415.2.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_Toc404242 \h </w:instrText>
        </w:r>
        <w:r>
          <w:rPr>
            <w:webHidden/>
          </w:rPr>
        </w:r>
        <w:r>
          <w:rPr>
            <w:webHidden/>
          </w:rPr>
          <w:fldChar w:fldCharType="separate"/>
        </w:r>
        <w:r w:rsidR="001B26B5">
          <w:rPr>
            <w:webHidden/>
          </w:rPr>
          <w:t>123</w:t>
        </w:r>
        <w:r>
          <w:rPr>
            <w:webHidden/>
          </w:rPr>
          <w:fldChar w:fldCharType="end"/>
        </w:r>
      </w:hyperlink>
    </w:p>
    <w:p w14:paraId="75B608FD" w14:textId="77777777" w:rsidR="0006561B" w:rsidRDefault="0006561B">
      <w:pPr>
        <w:pStyle w:val="TDC2"/>
        <w:rPr>
          <w:rFonts w:asciiTheme="minorHAnsi" w:eastAsiaTheme="minorEastAsia" w:hAnsiTheme="minorHAnsi" w:cstheme="minorBidi"/>
          <w:szCs w:val="22"/>
          <w:lang w:val="es-ES" w:eastAsia="es-ES"/>
        </w:rPr>
      </w:pPr>
      <w:hyperlink w:anchor="_Toc404243" w:history="1">
        <w:r w:rsidRPr="003B1501">
          <w:rPr>
            <w:rStyle w:val="Hipervnculo"/>
          </w:rPr>
          <w:t xml:space="preserve">415.3.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_Toc404243 \h </w:instrText>
        </w:r>
        <w:r>
          <w:rPr>
            <w:webHidden/>
          </w:rPr>
        </w:r>
        <w:r>
          <w:rPr>
            <w:webHidden/>
          </w:rPr>
          <w:fldChar w:fldCharType="separate"/>
        </w:r>
        <w:r w:rsidR="001B26B5">
          <w:rPr>
            <w:webHidden/>
          </w:rPr>
          <w:t>124</w:t>
        </w:r>
        <w:r>
          <w:rPr>
            <w:webHidden/>
          </w:rPr>
          <w:fldChar w:fldCharType="end"/>
        </w:r>
      </w:hyperlink>
    </w:p>
    <w:p w14:paraId="6383B603" w14:textId="77777777" w:rsidR="0006561B" w:rsidRDefault="0006561B">
      <w:pPr>
        <w:pStyle w:val="TDC2"/>
        <w:rPr>
          <w:rFonts w:asciiTheme="minorHAnsi" w:eastAsiaTheme="minorEastAsia" w:hAnsiTheme="minorHAnsi" w:cstheme="minorBidi"/>
          <w:szCs w:val="22"/>
          <w:lang w:val="es-ES" w:eastAsia="es-ES"/>
        </w:rPr>
      </w:pPr>
      <w:hyperlink w:anchor="_Toc404244" w:history="1">
        <w:r w:rsidRPr="003B1501">
          <w:rPr>
            <w:rStyle w:val="Hipervnculo"/>
          </w:rPr>
          <w:t xml:space="preserve">415.4. </w:t>
        </w:r>
        <w:r>
          <w:rPr>
            <w:rFonts w:asciiTheme="minorHAnsi" w:eastAsiaTheme="minorEastAsia" w:hAnsiTheme="minorHAnsi" w:cstheme="minorBidi"/>
            <w:szCs w:val="22"/>
            <w:lang w:val="es-ES" w:eastAsia="es-ES"/>
          </w:rPr>
          <w:tab/>
        </w:r>
        <w:r w:rsidRPr="003B1501">
          <w:rPr>
            <w:rStyle w:val="Hipervnculo"/>
          </w:rPr>
          <w:t>Recepción</w:t>
        </w:r>
        <w:r>
          <w:rPr>
            <w:webHidden/>
          </w:rPr>
          <w:tab/>
        </w:r>
        <w:r>
          <w:rPr>
            <w:webHidden/>
          </w:rPr>
          <w:fldChar w:fldCharType="begin"/>
        </w:r>
        <w:r>
          <w:rPr>
            <w:webHidden/>
          </w:rPr>
          <w:instrText xml:space="preserve"> PAGEREF _Toc404244 \h </w:instrText>
        </w:r>
        <w:r>
          <w:rPr>
            <w:webHidden/>
          </w:rPr>
        </w:r>
        <w:r>
          <w:rPr>
            <w:webHidden/>
          </w:rPr>
          <w:fldChar w:fldCharType="separate"/>
        </w:r>
        <w:r w:rsidR="001B26B5">
          <w:rPr>
            <w:webHidden/>
          </w:rPr>
          <w:t>125</w:t>
        </w:r>
        <w:r>
          <w:rPr>
            <w:webHidden/>
          </w:rPr>
          <w:fldChar w:fldCharType="end"/>
        </w:r>
      </w:hyperlink>
    </w:p>
    <w:p w14:paraId="4EEA84B4" w14:textId="77777777" w:rsidR="0006561B" w:rsidRDefault="0006561B">
      <w:pPr>
        <w:pStyle w:val="TDC2"/>
        <w:rPr>
          <w:rFonts w:asciiTheme="minorHAnsi" w:eastAsiaTheme="minorEastAsia" w:hAnsiTheme="minorHAnsi" w:cstheme="minorBidi"/>
          <w:szCs w:val="22"/>
          <w:lang w:val="es-ES" w:eastAsia="es-ES"/>
        </w:rPr>
      </w:pPr>
      <w:hyperlink w:anchor="_Toc404245" w:history="1">
        <w:r w:rsidRPr="003B1501">
          <w:rPr>
            <w:rStyle w:val="Hipervnculo"/>
          </w:rPr>
          <w:t xml:space="preserve">415.5. </w:t>
        </w:r>
        <w:r>
          <w:rPr>
            <w:rFonts w:asciiTheme="minorHAnsi" w:eastAsiaTheme="minorEastAsia" w:hAnsiTheme="minorHAnsi" w:cstheme="minorBidi"/>
            <w:szCs w:val="22"/>
            <w:lang w:val="es-ES" w:eastAsia="es-ES"/>
          </w:rPr>
          <w:tab/>
        </w:r>
        <w:r w:rsidRPr="003B1501">
          <w:rPr>
            <w:rStyle w:val="Hipervnculo"/>
          </w:rPr>
          <w:t>Control de calidad</w:t>
        </w:r>
        <w:r>
          <w:rPr>
            <w:webHidden/>
          </w:rPr>
          <w:tab/>
        </w:r>
        <w:r>
          <w:rPr>
            <w:webHidden/>
          </w:rPr>
          <w:fldChar w:fldCharType="begin"/>
        </w:r>
        <w:r>
          <w:rPr>
            <w:webHidden/>
          </w:rPr>
          <w:instrText xml:space="preserve"> PAGEREF _Toc404245 \h </w:instrText>
        </w:r>
        <w:r>
          <w:rPr>
            <w:webHidden/>
          </w:rPr>
        </w:r>
        <w:r>
          <w:rPr>
            <w:webHidden/>
          </w:rPr>
          <w:fldChar w:fldCharType="separate"/>
        </w:r>
        <w:r w:rsidR="001B26B5">
          <w:rPr>
            <w:webHidden/>
          </w:rPr>
          <w:t>125</w:t>
        </w:r>
        <w:r>
          <w:rPr>
            <w:webHidden/>
          </w:rPr>
          <w:fldChar w:fldCharType="end"/>
        </w:r>
      </w:hyperlink>
    </w:p>
    <w:p w14:paraId="15F1D1A6" w14:textId="77777777" w:rsidR="0006561B" w:rsidRDefault="0006561B">
      <w:pPr>
        <w:pStyle w:val="TDC2"/>
        <w:rPr>
          <w:rFonts w:asciiTheme="minorHAnsi" w:eastAsiaTheme="minorEastAsia" w:hAnsiTheme="minorHAnsi" w:cstheme="minorBidi"/>
          <w:szCs w:val="22"/>
          <w:lang w:val="es-ES" w:eastAsia="es-ES"/>
        </w:rPr>
      </w:pPr>
      <w:hyperlink w:anchor="_Toc404246" w:history="1">
        <w:r w:rsidRPr="003B1501">
          <w:rPr>
            <w:rStyle w:val="Hipervnculo"/>
          </w:rPr>
          <w:t xml:space="preserve">415.6. </w:t>
        </w:r>
        <w:r>
          <w:rPr>
            <w:rFonts w:asciiTheme="minorHAnsi" w:eastAsiaTheme="minorEastAsia" w:hAnsiTheme="minorHAnsi" w:cstheme="minorBidi"/>
            <w:szCs w:val="22"/>
            <w:lang w:val="es-ES" w:eastAsia="es-ES"/>
          </w:rPr>
          <w:tab/>
        </w:r>
        <w:r w:rsidRPr="003B1501">
          <w:rPr>
            <w:rStyle w:val="Hipervnculo"/>
          </w:rPr>
          <w:t>Aceptación final</w:t>
        </w:r>
        <w:r>
          <w:rPr>
            <w:webHidden/>
          </w:rPr>
          <w:tab/>
        </w:r>
        <w:r>
          <w:rPr>
            <w:webHidden/>
          </w:rPr>
          <w:fldChar w:fldCharType="begin"/>
        </w:r>
        <w:r>
          <w:rPr>
            <w:webHidden/>
          </w:rPr>
          <w:instrText xml:space="preserve"> PAGEREF _Toc404246 \h </w:instrText>
        </w:r>
        <w:r>
          <w:rPr>
            <w:webHidden/>
          </w:rPr>
        </w:r>
        <w:r>
          <w:rPr>
            <w:webHidden/>
          </w:rPr>
          <w:fldChar w:fldCharType="separate"/>
        </w:r>
        <w:r w:rsidR="001B26B5">
          <w:rPr>
            <w:webHidden/>
          </w:rPr>
          <w:t>127</w:t>
        </w:r>
        <w:r>
          <w:rPr>
            <w:webHidden/>
          </w:rPr>
          <w:fldChar w:fldCharType="end"/>
        </w:r>
      </w:hyperlink>
    </w:p>
    <w:p w14:paraId="79048220" w14:textId="77777777" w:rsidR="0006561B" w:rsidRDefault="0006561B">
      <w:pPr>
        <w:pStyle w:val="TDC2"/>
        <w:rPr>
          <w:rFonts w:asciiTheme="minorHAnsi" w:eastAsiaTheme="minorEastAsia" w:hAnsiTheme="minorHAnsi" w:cstheme="minorBidi"/>
          <w:szCs w:val="22"/>
          <w:lang w:val="es-ES" w:eastAsia="es-ES"/>
        </w:rPr>
      </w:pPr>
      <w:hyperlink w:anchor="_Toc404247" w:history="1">
        <w:r w:rsidRPr="003B1501">
          <w:rPr>
            <w:rStyle w:val="Hipervnculo"/>
          </w:rPr>
          <w:t>415.7.</w:t>
        </w:r>
        <w:r>
          <w:rPr>
            <w:rFonts w:asciiTheme="minorHAnsi" w:eastAsiaTheme="minorEastAsia" w:hAnsiTheme="minorHAnsi" w:cstheme="minorBidi"/>
            <w:szCs w:val="22"/>
            <w:lang w:val="es-ES" w:eastAsia="es-ES"/>
          </w:rPr>
          <w:tab/>
        </w:r>
        <w:r w:rsidRPr="003B1501">
          <w:rPr>
            <w:rStyle w:val="Hipervnculo"/>
          </w:rPr>
          <w:t xml:space="preserve"> Medición y abono</w:t>
        </w:r>
        <w:r>
          <w:rPr>
            <w:webHidden/>
          </w:rPr>
          <w:tab/>
        </w:r>
        <w:r>
          <w:rPr>
            <w:webHidden/>
          </w:rPr>
          <w:fldChar w:fldCharType="begin"/>
        </w:r>
        <w:r>
          <w:rPr>
            <w:webHidden/>
          </w:rPr>
          <w:instrText xml:space="preserve"> PAGEREF _Toc404247 \h </w:instrText>
        </w:r>
        <w:r>
          <w:rPr>
            <w:webHidden/>
          </w:rPr>
        </w:r>
        <w:r>
          <w:rPr>
            <w:webHidden/>
          </w:rPr>
          <w:fldChar w:fldCharType="separate"/>
        </w:r>
        <w:r w:rsidR="001B26B5">
          <w:rPr>
            <w:webHidden/>
          </w:rPr>
          <w:t>127</w:t>
        </w:r>
        <w:r>
          <w:rPr>
            <w:webHidden/>
          </w:rPr>
          <w:fldChar w:fldCharType="end"/>
        </w:r>
      </w:hyperlink>
    </w:p>
    <w:p w14:paraId="3D010800" w14:textId="77777777" w:rsidR="0006561B" w:rsidRDefault="0006561B">
      <w:pPr>
        <w:pStyle w:val="TDC1"/>
        <w:rPr>
          <w:rFonts w:asciiTheme="minorHAnsi" w:eastAsiaTheme="minorEastAsia" w:hAnsiTheme="minorHAnsi" w:cstheme="minorBidi"/>
          <w:b w:val="0"/>
          <w:sz w:val="22"/>
          <w:szCs w:val="22"/>
          <w:lang w:val="es-ES" w:eastAsia="es-ES"/>
        </w:rPr>
      </w:pPr>
      <w:hyperlink w:anchor="_Toc404248" w:history="1">
        <w:r w:rsidRPr="003B1501">
          <w:rPr>
            <w:rStyle w:val="Hipervnculo"/>
          </w:rPr>
          <w:t>Artículo 417.-  Tuberías de PVC</w:t>
        </w:r>
        <w:r>
          <w:rPr>
            <w:webHidden/>
          </w:rPr>
          <w:tab/>
        </w:r>
        <w:r>
          <w:rPr>
            <w:webHidden/>
          </w:rPr>
          <w:fldChar w:fldCharType="begin"/>
        </w:r>
        <w:r>
          <w:rPr>
            <w:webHidden/>
          </w:rPr>
          <w:instrText xml:space="preserve"> PAGEREF _Toc404248 \h </w:instrText>
        </w:r>
        <w:r>
          <w:rPr>
            <w:webHidden/>
          </w:rPr>
        </w:r>
        <w:r>
          <w:rPr>
            <w:webHidden/>
          </w:rPr>
          <w:fldChar w:fldCharType="separate"/>
        </w:r>
        <w:r w:rsidR="001B26B5">
          <w:rPr>
            <w:webHidden/>
          </w:rPr>
          <w:t>128</w:t>
        </w:r>
        <w:r>
          <w:rPr>
            <w:webHidden/>
          </w:rPr>
          <w:fldChar w:fldCharType="end"/>
        </w:r>
      </w:hyperlink>
    </w:p>
    <w:p w14:paraId="6B9CC3EF" w14:textId="77777777" w:rsidR="0006561B" w:rsidRDefault="0006561B">
      <w:pPr>
        <w:pStyle w:val="TDC2"/>
        <w:rPr>
          <w:rFonts w:asciiTheme="minorHAnsi" w:eastAsiaTheme="minorEastAsia" w:hAnsiTheme="minorHAnsi" w:cstheme="minorBidi"/>
          <w:szCs w:val="22"/>
          <w:lang w:val="es-ES" w:eastAsia="es-ES"/>
        </w:rPr>
      </w:pPr>
      <w:hyperlink w:anchor="_Toc404249" w:history="1">
        <w:r w:rsidRPr="003B1501">
          <w:rPr>
            <w:rStyle w:val="Hipervnculo"/>
          </w:rPr>
          <w:t>417.1.</w:t>
        </w:r>
        <w:r>
          <w:rPr>
            <w:rFonts w:asciiTheme="minorHAnsi" w:eastAsiaTheme="minorEastAsia" w:hAnsiTheme="minorHAnsi" w:cstheme="minorBidi"/>
            <w:szCs w:val="22"/>
            <w:lang w:val="es-ES" w:eastAsia="es-ES"/>
          </w:rPr>
          <w:tab/>
        </w:r>
        <w:r w:rsidRPr="003B1501">
          <w:rPr>
            <w:rStyle w:val="Hipervnculo"/>
          </w:rPr>
          <w:t xml:space="preserve"> Definición y aplicación</w:t>
        </w:r>
        <w:r>
          <w:rPr>
            <w:webHidden/>
          </w:rPr>
          <w:tab/>
        </w:r>
        <w:r>
          <w:rPr>
            <w:webHidden/>
          </w:rPr>
          <w:fldChar w:fldCharType="begin"/>
        </w:r>
        <w:r>
          <w:rPr>
            <w:webHidden/>
          </w:rPr>
          <w:instrText xml:space="preserve"> PAGEREF _Toc404249 \h </w:instrText>
        </w:r>
        <w:r>
          <w:rPr>
            <w:webHidden/>
          </w:rPr>
        </w:r>
        <w:r>
          <w:rPr>
            <w:webHidden/>
          </w:rPr>
          <w:fldChar w:fldCharType="separate"/>
        </w:r>
        <w:r w:rsidR="001B26B5">
          <w:rPr>
            <w:webHidden/>
          </w:rPr>
          <w:t>128</w:t>
        </w:r>
        <w:r>
          <w:rPr>
            <w:webHidden/>
          </w:rPr>
          <w:fldChar w:fldCharType="end"/>
        </w:r>
      </w:hyperlink>
    </w:p>
    <w:p w14:paraId="7815A327" w14:textId="77777777" w:rsidR="0006561B" w:rsidRDefault="0006561B">
      <w:pPr>
        <w:pStyle w:val="TDC2"/>
        <w:rPr>
          <w:rFonts w:asciiTheme="minorHAnsi" w:eastAsiaTheme="minorEastAsia" w:hAnsiTheme="minorHAnsi" w:cstheme="minorBidi"/>
          <w:szCs w:val="22"/>
          <w:lang w:val="es-ES" w:eastAsia="es-ES"/>
        </w:rPr>
      </w:pPr>
      <w:hyperlink w:anchor="_Toc404250" w:history="1">
        <w:r w:rsidRPr="003B1501">
          <w:rPr>
            <w:rStyle w:val="Hipervnculo"/>
          </w:rPr>
          <w:t>417.2.   Materiales</w:t>
        </w:r>
        <w:r>
          <w:rPr>
            <w:webHidden/>
          </w:rPr>
          <w:tab/>
        </w:r>
        <w:r>
          <w:rPr>
            <w:webHidden/>
          </w:rPr>
          <w:fldChar w:fldCharType="begin"/>
        </w:r>
        <w:r>
          <w:rPr>
            <w:webHidden/>
          </w:rPr>
          <w:instrText xml:space="preserve"> PAGEREF _Toc404250 \h </w:instrText>
        </w:r>
        <w:r>
          <w:rPr>
            <w:webHidden/>
          </w:rPr>
        </w:r>
        <w:r>
          <w:rPr>
            <w:webHidden/>
          </w:rPr>
          <w:fldChar w:fldCharType="separate"/>
        </w:r>
        <w:r w:rsidR="001B26B5">
          <w:rPr>
            <w:webHidden/>
          </w:rPr>
          <w:t>128</w:t>
        </w:r>
        <w:r>
          <w:rPr>
            <w:webHidden/>
          </w:rPr>
          <w:fldChar w:fldCharType="end"/>
        </w:r>
      </w:hyperlink>
    </w:p>
    <w:p w14:paraId="71210EC5" w14:textId="77777777" w:rsidR="0006561B" w:rsidRDefault="0006561B">
      <w:pPr>
        <w:pStyle w:val="TDC2"/>
        <w:rPr>
          <w:rFonts w:asciiTheme="minorHAnsi" w:eastAsiaTheme="minorEastAsia" w:hAnsiTheme="minorHAnsi" w:cstheme="minorBidi"/>
          <w:szCs w:val="22"/>
          <w:lang w:val="es-ES" w:eastAsia="es-ES"/>
        </w:rPr>
      </w:pPr>
      <w:hyperlink w:anchor="_Toc404251" w:history="1">
        <w:r w:rsidRPr="003B1501">
          <w:rPr>
            <w:rStyle w:val="Hipervnculo"/>
          </w:rPr>
          <w:t>417.3.   Ejecución de las obras</w:t>
        </w:r>
        <w:r>
          <w:rPr>
            <w:webHidden/>
          </w:rPr>
          <w:tab/>
        </w:r>
        <w:r>
          <w:rPr>
            <w:webHidden/>
          </w:rPr>
          <w:fldChar w:fldCharType="begin"/>
        </w:r>
        <w:r>
          <w:rPr>
            <w:webHidden/>
          </w:rPr>
          <w:instrText xml:space="preserve"> PAGEREF _Toc404251 \h </w:instrText>
        </w:r>
        <w:r>
          <w:rPr>
            <w:webHidden/>
          </w:rPr>
        </w:r>
        <w:r>
          <w:rPr>
            <w:webHidden/>
          </w:rPr>
          <w:fldChar w:fldCharType="separate"/>
        </w:r>
        <w:r w:rsidR="001B26B5">
          <w:rPr>
            <w:webHidden/>
          </w:rPr>
          <w:t>128</w:t>
        </w:r>
        <w:r>
          <w:rPr>
            <w:webHidden/>
          </w:rPr>
          <w:fldChar w:fldCharType="end"/>
        </w:r>
      </w:hyperlink>
    </w:p>
    <w:p w14:paraId="1C40824C" w14:textId="77777777" w:rsidR="0006561B" w:rsidRDefault="0006561B">
      <w:pPr>
        <w:pStyle w:val="TDC2"/>
        <w:rPr>
          <w:rFonts w:asciiTheme="minorHAnsi" w:eastAsiaTheme="minorEastAsia" w:hAnsiTheme="minorHAnsi" w:cstheme="minorBidi"/>
          <w:szCs w:val="22"/>
          <w:lang w:val="es-ES" w:eastAsia="es-ES"/>
        </w:rPr>
      </w:pPr>
      <w:hyperlink w:anchor="_Toc404252" w:history="1">
        <w:r w:rsidRPr="003B1501">
          <w:rPr>
            <w:rStyle w:val="Hipervnculo"/>
          </w:rPr>
          <w:t>417.4.   Recepción</w:t>
        </w:r>
        <w:r>
          <w:rPr>
            <w:webHidden/>
          </w:rPr>
          <w:tab/>
        </w:r>
        <w:r>
          <w:rPr>
            <w:webHidden/>
          </w:rPr>
          <w:fldChar w:fldCharType="begin"/>
        </w:r>
        <w:r>
          <w:rPr>
            <w:webHidden/>
          </w:rPr>
          <w:instrText xml:space="preserve"> PAGEREF _Toc404252 \h </w:instrText>
        </w:r>
        <w:r>
          <w:rPr>
            <w:webHidden/>
          </w:rPr>
        </w:r>
        <w:r>
          <w:rPr>
            <w:webHidden/>
          </w:rPr>
          <w:fldChar w:fldCharType="separate"/>
        </w:r>
        <w:r w:rsidR="001B26B5">
          <w:rPr>
            <w:webHidden/>
          </w:rPr>
          <w:t>130</w:t>
        </w:r>
        <w:r>
          <w:rPr>
            <w:webHidden/>
          </w:rPr>
          <w:fldChar w:fldCharType="end"/>
        </w:r>
      </w:hyperlink>
    </w:p>
    <w:p w14:paraId="71D35248" w14:textId="77777777" w:rsidR="0006561B" w:rsidRDefault="0006561B">
      <w:pPr>
        <w:pStyle w:val="TDC2"/>
        <w:rPr>
          <w:rFonts w:asciiTheme="minorHAnsi" w:eastAsiaTheme="minorEastAsia" w:hAnsiTheme="minorHAnsi" w:cstheme="minorBidi"/>
          <w:szCs w:val="22"/>
          <w:lang w:val="es-ES" w:eastAsia="es-ES"/>
        </w:rPr>
      </w:pPr>
      <w:hyperlink w:anchor="_Toc404253" w:history="1">
        <w:r w:rsidRPr="003B1501">
          <w:rPr>
            <w:rStyle w:val="Hipervnculo"/>
          </w:rPr>
          <w:t>417.5.   Control de calidad</w:t>
        </w:r>
        <w:r>
          <w:rPr>
            <w:webHidden/>
          </w:rPr>
          <w:tab/>
        </w:r>
        <w:r>
          <w:rPr>
            <w:webHidden/>
          </w:rPr>
          <w:fldChar w:fldCharType="begin"/>
        </w:r>
        <w:r>
          <w:rPr>
            <w:webHidden/>
          </w:rPr>
          <w:instrText xml:space="preserve"> PAGEREF _Toc404253 \h </w:instrText>
        </w:r>
        <w:r>
          <w:rPr>
            <w:webHidden/>
          </w:rPr>
        </w:r>
        <w:r>
          <w:rPr>
            <w:webHidden/>
          </w:rPr>
          <w:fldChar w:fldCharType="separate"/>
        </w:r>
        <w:r w:rsidR="001B26B5">
          <w:rPr>
            <w:webHidden/>
          </w:rPr>
          <w:t>131</w:t>
        </w:r>
        <w:r>
          <w:rPr>
            <w:webHidden/>
          </w:rPr>
          <w:fldChar w:fldCharType="end"/>
        </w:r>
      </w:hyperlink>
    </w:p>
    <w:p w14:paraId="53088898" w14:textId="77777777" w:rsidR="0006561B" w:rsidRDefault="0006561B">
      <w:pPr>
        <w:pStyle w:val="TDC2"/>
        <w:rPr>
          <w:rFonts w:asciiTheme="minorHAnsi" w:eastAsiaTheme="minorEastAsia" w:hAnsiTheme="minorHAnsi" w:cstheme="minorBidi"/>
          <w:szCs w:val="22"/>
          <w:lang w:val="es-ES" w:eastAsia="es-ES"/>
        </w:rPr>
      </w:pPr>
      <w:hyperlink w:anchor="_Toc404254" w:history="1">
        <w:r w:rsidRPr="003B1501">
          <w:rPr>
            <w:rStyle w:val="Hipervnculo"/>
          </w:rPr>
          <w:t>417.8.   Medición y abono</w:t>
        </w:r>
        <w:r>
          <w:rPr>
            <w:webHidden/>
          </w:rPr>
          <w:tab/>
        </w:r>
        <w:r>
          <w:rPr>
            <w:webHidden/>
          </w:rPr>
          <w:fldChar w:fldCharType="begin"/>
        </w:r>
        <w:r>
          <w:rPr>
            <w:webHidden/>
          </w:rPr>
          <w:instrText xml:space="preserve"> PAGEREF _Toc404254 \h </w:instrText>
        </w:r>
        <w:r>
          <w:rPr>
            <w:webHidden/>
          </w:rPr>
        </w:r>
        <w:r>
          <w:rPr>
            <w:webHidden/>
          </w:rPr>
          <w:fldChar w:fldCharType="separate"/>
        </w:r>
        <w:r w:rsidR="001B26B5">
          <w:rPr>
            <w:webHidden/>
          </w:rPr>
          <w:t>133</w:t>
        </w:r>
        <w:r>
          <w:rPr>
            <w:webHidden/>
          </w:rPr>
          <w:fldChar w:fldCharType="end"/>
        </w:r>
      </w:hyperlink>
    </w:p>
    <w:p w14:paraId="096D138D" w14:textId="77777777" w:rsidR="0006561B" w:rsidRDefault="0006561B">
      <w:pPr>
        <w:pStyle w:val="TDC1"/>
        <w:rPr>
          <w:rFonts w:asciiTheme="minorHAnsi" w:eastAsiaTheme="minorEastAsia" w:hAnsiTheme="minorHAnsi" w:cstheme="minorBidi"/>
          <w:b w:val="0"/>
          <w:sz w:val="22"/>
          <w:szCs w:val="22"/>
          <w:lang w:val="es-ES" w:eastAsia="es-ES"/>
        </w:rPr>
      </w:pPr>
      <w:hyperlink w:anchor="_Toc404255" w:history="1">
        <w:r w:rsidRPr="003B1501">
          <w:rPr>
            <w:rStyle w:val="Hipervnculo"/>
          </w:rPr>
          <w:t>Artículo 420b. Zanjas drenantes</w:t>
        </w:r>
        <w:r>
          <w:rPr>
            <w:webHidden/>
          </w:rPr>
          <w:tab/>
        </w:r>
        <w:r>
          <w:rPr>
            <w:webHidden/>
          </w:rPr>
          <w:fldChar w:fldCharType="begin"/>
        </w:r>
        <w:r>
          <w:rPr>
            <w:webHidden/>
          </w:rPr>
          <w:instrText xml:space="preserve"> PAGEREF _Toc404255 \h </w:instrText>
        </w:r>
        <w:r>
          <w:rPr>
            <w:webHidden/>
          </w:rPr>
        </w:r>
        <w:r>
          <w:rPr>
            <w:webHidden/>
          </w:rPr>
          <w:fldChar w:fldCharType="separate"/>
        </w:r>
        <w:r w:rsidR="001B26B5">
          <w:rPr>
            <w:webHidden/>
          </w:rPr>
          <w:t>134</w:t>
        </w:r>
        <w:r>
          <w:rPr>
            <w:webHidden/>
          </w:rPr>
          <w:fldChar w:fldCharType="end"/>
        </w:r>
      </w:hyperlink>
    </w:p>
    <w:p w14:paraId="3893C404" w14:textId="77777777" w:rsidR="0006561B" w:rsidRDefault="0006561B">
      <w:pPr>
        <w:pStyle w:val="TDC2"/>
        <w:rPr>
          <w:rFonts w:asciiTheme="minorHAnsi" w:eastAsiaTheme="minorEastAsia" w:hAnsiTheme="minorHAnsi" w:cstheme="minorBidi"/>
          <w:szCs w:val="22"/>
          <w:lang w:val="es-ES" w:eastAsia="es-ES"/>
        </w:rPr>
      </w:pPr>
      <w:hyperlink w:anchor="_Toc404256" w:history="1">
        <w:r w:rsidRPr="003B1501">
          <w:rPr>
            <w:rStyle w:val="Hipervnculo"/>
          </w:rPr>
          <w:t>420b.1. Definición. Aplicación</w:t>
        </w:r>
        <w:r>
          <w:rPr>
            <w:webHidden/>
          </w:rPr>
          <w:tab/>
        </w:r>
        <w:r>
          <w:rPr>
            <w:webHidden/>
          </w:rPr>
          <w:fldChar w:fldCharType="begin"/>
        </w:r>
        <w:r>
          <w:rPr>
            <w:webHidden/>
          </w:rPr>
          <w:instrText xml:space="preserve"> PAGEREF _Toc404256 \h </w:instrText>
        </w:r>
        <w:r>
          <w:rPr>
            <w:webHidden/>
          </w:rPr>
        </w:r>
        <w:r>
          <w:rPr>
            <w:webHidden/>
          </w:rPr>
          <w:fldChar w:fldCharType="separate"/>
        </w:r>
        <w:r w:rsidR="001B26B5">
          <w:rPr>
            <w:webHidden/>
          </w:rPr>
          <w:t>134</w:t>
        </w:r>
        <w:r>
          <w:rPr>
            <w:webHidden/>
          </w:rPr>
          <w:fldChar w:fldCharType="end"/>
        </w:r>
      </w:hyperlink>
    </w:p>
    <w:p w14:paraId="17D3A559" w14:textId="77777777" w:rsidR="0006561B" w:rsidRDefault="0006561B">
      <w:pPr>
        <w:pStyle w:val="TDC2"/>
        <w:rPr>
          <w:rFonts w:asciiTheme="minorHAnsi" w:eastAsiaTheme="minorEastAsia" w:hAnsiTheme="minorHAnsi" w:cstheme="minorBidi"/>
          <w:szCs w:val="22"/>
          <w:lang w:val="es-ES" w:eastAsia="es-ES"/>
        </w:rPr>
      </w:pPr>
      <w:hyperlink w:anchor="_Toc404257" w:history="1">
        <w:r w:rsidRPr="003B1501">
          <w:rPr>
            <w:rStyle w:val="Hipervnculo"/>
          </w:rPr>
          <w:t>420b.2. Materiales</w:t>
        </w:r>
        <w:r>
          <w:rPr>
            <w:webHidden/>
          </w:rPr>
          <w:tab/>
        </w:r>
        <w:r>
          <w:rPr>
            <w:webHidden/>
          </w:rPr>
          <w:fldChar w:fldCharType="begin"/>
        </w:r>
        <w:r>
          <w:rPr>
            <w:webHidden/>
          </w:rPr>
          <w:instrText xml:space="preserve"> PAGEREF _Toc404257 \h </w:instrText>
        </w:r>
        <w:r>
          <w:rPr>
            <w:webHidden/>
          </w:rPr>
        </w:r>
        <w:r>
          <w:rPr>
            <w:webHidden/>
          </w:rPr>
          <w:fldChar w:fldCharType="separate"/>
        </w:r>
        <w:r w:rsidR="001B26B5">
          <w:rPr>
            <w:webHidden/>
          </w:rPr>
          <w:t>134</w:t>
        </w:r>
        <w:r>
          <w:rPr>
            <w:webHidden/>
          </w:rPr>
          <w:fldChar w:fldCharType="end"/>
        </w:r>
      </w:hyperlink>
    </w:p>
    <w:p w14:paraId="2D7AFD48" w14:textId="77777777" w:rsidR="0006561B" w:rsidRDefault="0006561B">
      <w:pPr>
        <w:pStyle w:val="TDC2"/>
        <w:rPr>
          <w:rFonts w:asciiTheme="minorHAnsi" w:eastAsiaTheme="minorEastAsia" w:hAnsiTheme="minorHAnsi" w:cstheme="minorBidi"/>
          <w:szCs w:val="22"/>
          <w:lang w:val="es-ES" w:eastAsia="es-ES"/>
        </w:rPr>
      </w:pPr>
      <w:hyperlink w:anchor="_Toc404258" w:history="1">
        <w:r w:rsidRPr="003B1501">
          <w:rPr>
            <w:rStyle w:val="Hipervnculo"/>
          </w:rPr>
          <w:t>420.3. Ejecución</w:t>
        </w:r>
        <w:r>
          <w:rPr>
            <w:webHidden/>
          </w:rPr>
          <w:tab/>
        </w:r>
        <w:r>
          <w:rPr>
            <w:webHidden/>
          </w:rPr>
          <w:fldChar w:fldCharType="begin"/>
        </w:r>
        <w:r>
          <w:rPr>
            <w:webHidden/>
          </w:rPr>
          <w:instrText xml:space="preserve"> PAGEREF _Toc404258 \h </w:instrText>
        </w:r>
        <w:r>
          <w:rPr>
            <w:webHidden/>
          </w:rPr>
        </w:r>
        <w:r>
          <w:rPr>
            <w:webHidden/>
          </w:rPr>
          <w:fldChar w:fldCharType="separate"/>
        </w:r>
        <w:r w:rsidR="001B26B5">
          <w:rPr>
            <w:webHidden/>
          </w:rPr>
          <w:t>134</w:t>
        </w:r>
        <w:r>
          <w:rPr>
            <w:webHidden/>
          </w:rPr>
          <w:fldChar w:fldCharType="end"/>
        </w:r>
      </w:hyperlink>
    </w:p>
    <w:p w14:paraId="6253849A" w14:textId="77777777" w:rsidR="0006561B" w:rsidRDefault="0006561B">
      <w:pPr>
        <w:pStyle w:val="TDC2"/>
        <w:rPr>
          <w:rFonts w:asciiTheme="minorHAnsi" w:eastAsiaTheme="minorEastAsia" w:hAnsiTheme="minorHAnsi" w:cstheme="minorBidi"/>
          <w:szCs w:val="22"/>
          <w:lang w:val="es-ES" w:eastAsia="es-ES"/>
        </w:rPr>
      </w:pPr>
      <w:hyperlink w:anchor="_Toc404259" w:history="1">
        <w:r w:rsidRPr="003B1501">
          <w:rPr>
            <w:rStyle w:val="Hipervnculo"/>
          </w:rPr>
          <w:t>420.5. Medición y abono</w:t>
        </w:r>
        <w:r>
          <w:rPr>
            <w:webHidden/>
          </w:rPr>
          <w:tab/>
        </w:r>
        <w:r>
          <w:rPr>
            <w:webHidden/>
          </w:rPr>
          <w:fldChar w:fldCharType="begin"/>
        </w:r>
        <w:r>
          <w:rPr>
            <w:webHidden/>
          </w:rPr>
          <w:instrText xml:space="preserve"> PAGEREF _Toc404259 \h </w:instrText>
        </w:r>
        <w:r>
          <w:rPr>
            <w:webHidden/>
          </w:rPr>
        </w:r>
        <w:r>
          <w:rPr>
            <w:webHidden/>
          </w:rPr>
          <w:fldChar w:fldCharType="separate"/>
        </w:r>
        <w:r w:rsidR="001B26B5">
          <w:rPr>
            <w:webHidden/>
          </w:rPr>
          <w:t>134</w:t>
        </w:r>
        <w:r>
          <w:rPr>
            <w:webHidden/>
          </w:rPr>
          <w:fldChar w:fldCharType="end"/>
        </w:r>
      </w:hyperlink>
    </w:p>
    <w:p w14:paraId="3912F2CB" w14:textId="77777777" w:rsidR="0006561B" w:rsidRDefault="0006561B">
      <w:pPr>
        <w:pStyle w:val="TDC1"/>
        <w:rPr>
          <w:rFonts w:asciiTheme="minorHAnsi" w:eastAsiaTheme="minorEastAsia" w:hAnsiTheme="minorHAnsi" w:cstheme="minorBidi"/>
          <w:b w:val="0"/>
          <w:sz w:val="22"/>
          <w:szCs w:val="22"/>
          <w:lang w:val="es-ES" w:eastAsia="es-ES"/>
        </w:rPr>
      </w:pPr>
      <w:hyperlink w:anchor="_Toc404260" w:history="1">
        <w:r w:rsidRPr="003B1501">
          <w:rPr>
            <w:rStyle w:val="Hipervnculo"/>
          </w:rPr>
          <w:t>Artículo 421. Rellenos localizados de material drenante</w:t>
        </w:r>
        <w:r>
          <w:rPr>
            <w:webHidden/>
          </w:rPr>
          <w:tab/>
        </w:r>
        <w:r>
          <w:rPr>
            <w:webHidden/>
          </w:rPr>
          <w:fldChar w:fldCharType="begin"/>
        </w:r>
        <w:r>
          <w:rPr>
            <w:webHidden/>
          </w:rPr>
          <w:instrText xml:space="preserve"> PAGEREF _Toc404260 \h </w:instrText>
        </w:r>
        <w:r>
          <w:rPr>
            <w:webHidden/>
          </w:rPr>
        </w:r>
        <w:r>
          <w:rPr>
            <w:webHidden/>
          </w:rPr>
          <w:fldChar w:fldCharType="separate"/>
        </w:r>
        <w:r w:rsidR="001B26B5">
          <w:rPr>
            <w:webHidden/>
          </w:rPr>
          <w:t>135</w:t>
        </w:r>
        <w:r>
          <w:rPr>
            <w:webHidden/>
          </w:rPr>
          <w:fldChar w:fldCharType="end"/>
        </w:r>
      </w:hyperlink>
    </w:p>
    <w:p w14:paraId="26F93056" w14:textId="77777777" w:rsidR="0006561B" w:rsidRDefault="0006561B">
      <w:pPr>
        <w:pStyle w:val="TDC2"/>
        <w:rPr>
          <w:rFonts w:asciiTheme="minorHAnsi" w:eastAsiaTheme="minorEastAsia" w:hAnsiTheme="minorHAnsi" w:cstheme="minorBidi"/>
          <w:szCs w:val="22"/>
          <w:lang w:val="es-ES" w:eastAsia="es-ES"/>
        </w:rPr>
      </w:pPr>
      <w:hyperlink w:anchor="_Toc404261" w:history="1">
        <w:r w:rsidRPr="003B1501">
          <w:rPr>
            <w:rStyle w:val="Hipervnculo"/>
          </w:rPr>
          <w:t>421.1. Definición</w:t>
        </w:r>
        <w:r>
          <w:rPr>
            <w:webHidden/>
          </w:rPr>
          <w:tab/>
        </w:r>
        <w:r>
          <w:rPr>
            <w:webHidden/>
          </w:rPr>
          <w:fldChar w:fldCharType="begin"/>
        </w:r>
        <w:r>
          <w:rPr>
            <w:webHidden/>
          </w:rPr>
          <w:instrText xml:space="preserve"> PAGEREF _Toc404261 \h </w:instrText>
        </w:r>
        <w:r>
          <w:rPr>
            <w:webHidden/>
          </w:rPr>
        </w:r>
        <w:r>
          <w:rPr>
            <w:webHidden/>
          </w:rPr>
          <w:fldChar w:fldCharType="separate"/>
        </w:r>
        <w:r w:rsidR="001B26B5">
          <w:rPr>
            <w:webHidden/>
          </w:rPr>
          <w:t>135</w:t>
        </w:r>
        <w:r>
          <w:rPr>
            <w:webHidden/>
          </w:rPr>
          <w:fldChar w:fldCharType="end"/>
        </w:r>
      </w:hyperlink>
    </w:p>
    <w:p w14:paraId="40C01DDF" w14:textId="77777777" w:rsidR="0006561B" w:rsidRDefault="0006561B">
      <w:pPr>
        <w:pStyle w:val="TDC2"/>
        <w:rPr>
          <w:rFonts w:asciiTheme="minorHAnsi" w:eastAsiaTheme="minorEastAsia" w:hAnsiTheme="minorHAnsi" w:cstheme="minorBidi"/>
          <w:szCs w:val="22"/>
          <w:lang w:val="es-ES" w:eastAsia="es-ES"/>
        </w:rPr>
      </w:pPr>
      <w:hyperlink w:anchor="_Toc404262" w:history="1">
        <w:r w:rsidRPr="003B1501">
          <w:rPr>
            <w:rStyle w:val="Hipervnculo"/>
          </w:rPr>
          <w:t>421.2. Materiales</w:t>
        </w:r>
        <w:r>
          <w:rPr>
            <w:webHidden/>
          </w:rPr>
          <w:tab/>
        </w:r>
        <w:r>
          <w:rPr>
            <w:webHidden/>
          </w:rPr>
          <w:fldChar w:fldCharType="begin"/>
        </w:r>
        <w:r>
          <w:rPr>
            <w:webHidden/>
          </w:rPr>
          <w:instrText xml:space="preserve"> PAGEREF _Toc404262 \h </w:instrText>
        </w:r>
        <w:r>
          <w:rPr>
            <w:webHidden/>
          </w:rPr>
        </w:r>
        <w:r>
          <w:rPr>
            <w:webHidden/>
          </w:rPr>
          <w:fldChar w:fldCharType="separate"/>
        </w:r>
        <w:r w:rsidR="001B26B5">
          <w:rPr>
            <w:webHidden/>
          </w:rPr>
          <w:t>135</w:t>
        </w:r>
        <w:r>
          <w:rPr>
            <w:webHidden/>
          </w:rPr>
          <w:fldChar w:fldCharType="end"/>
        </w:r>
      </w:hyperlink>
    </w:p>
    <w:p w14:paraId="2546CA8E" w14:textId="77777777" w:rsidR="0006561B" w:rsidRDefault="0006561B">
      <w:pPr>
        <w:pStyle w:val="TDC2"/>
        <w:rPr>
          <w:rFonts w:asciiTheme="minorHAnsi" w:eastAsiaTheme="minorEastAsia" w:hAnsiTheme="minorHAnsi" w:cstheme="minorBidi"/>
          <w:szCs w:val="22"/>
          <w:lang w:val="es-ES" w:eastAsia="es-ES"/>
        </w:rPr>
      </w:pPr>
      <w:hyperlink w:anchor="_Toc404263" w:history="1">
        <w:r w:rsidRPr="003B1501">
          <w:rPr>
            <w:rStyle w:val="Hipervnculo"/>
          </w:rPr>
          <w:t>421.3. Ejecución de las obras</w:t>
        </w:r>
        <w:r>
          <w:rPr>
            <w:webHidden/>
          </w:rPr>
          <w:tab/>
        </w:r>
        <w:r>
          <w:rPr>
            <w:webHidden/>
          </w:rPr>
          <w:fldChar w:fldCharType="begin"/>
        </w:r>
        <w:r>
          <w:rPr>
            <w:webHidden/>
          </w:rPr>
          <w:instrText xml:space="preserve"> PAGEREF _Toc404263 \h </w:instrText>
        </w:r>
        <w:r>
          <w:rPr>
            <w:webHidden/>
          </w:rPr>
        </w:r>
        <w:r>
          <w:rPr>
            <w:webHidden/>
          </w:rPr>
          <w:fldChar w:fldCharType="separate"/>
        </w:r>
        <w:r w:rsidR="001B26B5">
          <w:rPr>
            <w:webHidden/>
          </w:rPr>
          <w:t>135</w:t>
        </w:r>
        <w:r>
          <w:rPr>
            <w:webHidden/>
          </w:rPr>
          <w:fldChar w:fldCharType="end"/>
        </w:r>
      </w:hyperlink>
    </w:p>
    <w:p w14:paraId="27D57B8F" w14:textId="77777777" w:rsidR="0006561B" w:rsidRDefault="0006561B">
      <w:pPr>
        <w:pStyle w:val="TDC2"/>
        <w:rPr>
          <w:rFonts w:asciiTheme="minorHAnsi" w:eastAsiaTheme="minorEastAsia" w:hAnsiTheme="minorHAnsi" w:cstheme="minorBidi"/>
          <w:szCs w:val="22"/>
          <w:lang w:val="es-ES" w:eastAsia="es-ES"/>
        </w:rPr>
      </w:pPr>
      <w:hyperlink w:anchor="_Toc404264" w:history="1">
        <w:r w:rsidRPr="003B1501">
          <w:rPr>
            <w:rStyle w:val="Hipervnculo"/>
          </w:rPr>
          <w:t>421.4. Limitaciones de la ejecución</w:t>
        </w:r>
        <w:r>
          <w:rPr>
            <w:webHidden/>
          </w:rPr>
          <w:tab/>
        </w:r>
        <w:r>
          <w:rPr>
            <w:webHidden/>
          </w:rPr>
          <w:fldChar w:fldCharType="begin"/>
        </w:r>
        <w:r>
          <w:rPr>
            <w:webHidden/>
          </w:rPr>
          <w:instrText xml:space="preserve"> PAGEREF _Toc404264 \h </w:instrText>
        </w:r>
        <w:r>
          <w:rPr>
            <w:webHidden/>
          </w:rPr>
        </w:r>
        <w:r>
          <w:rPr>
            <w:webHidden/>
          </w:rPr>
          <w:fldChar w:fldCharType="separate"/>
        </w:r>
        <w:r w:rsidR="001B26B5">
          <w:rPr>
            <w:webHidden/>
          </w:rPr>
          <w:t>136</w:t>
        </w:r>
        <w:r>
          <w:rPr>
            <w:webHidden/>
          </w:rPr>
          <w:fldChar w:fldCharType="end"/>
        </w:r>
      </w:hyperlink>
    </w:p>
    <w:p w14:paraId="43F1EBD9" w14:textId="77777777" w:rsidR="0006561B" w:rsidRDefault="0006561B">
      <w:pPr>
        <w:pStyle w:val="TDC2"/>
        <w:rPr>
          <w:rFonts w:asciiTheme="minorHAnsi" w:eastAsiaTheme="minorEastAsia" w:hAnsiTheme="minorHAnsi" w:cstheme="minorBidi"/>
          <w:szCs w:val="22"/>
          <w:lang w:val="es-ES" w:eastAsia="es-ES"/>
        </w:rPr>
      </w:pPr>
      <w:hyperlink w:anchor="_Toc404265" w:history="1">
        <w:r w:rsidRPr="003B1501">
          <w:rPr>
            <w:rStyle w:val="Hipervnculo"/>
          </w:rPr>
          <w:t>421.5. Medición y abono</w:t>
        </w:r>
        <w:r>
          <w:rPr>
            <w:webHidden/>
          </w:rPr>
          <w:tab/>
        </w:r>
        <w:r>
          <w:rPr>
            <w:webHidden/>
          </w:rPr>
          <w:fldChar w:fldCharType="begin"/>
        </w:r>
        <w:r>
          <w:rPr>
            <w:webHidden/>
          </w:rPr>
          <w:instrText xml:space="preserve"> PAGEREF _Toc404265 \h </w:instrText>
        </w:r>
        <w:r>
          <w:rPr>
            <w:webHidden/>
          </w:rPr>
        </w:r>
        <w:r>
          <w:rPr>
            <w:webHidden/>
          </w:rPr>
          <w:fldChar w:fldCharType="separate"/>
        </w:r>
        <w:r w:rsidR="001B26B5">
          <w:rPr>
            <w:webHidden/>
          </w:rPr>
          <w:t>136</w:t>
        </w:r>
        <w:r>
          <w:rPr>
            <w:webHidden/>
          </w:rPr>
          <w:fldChar w:fldCharType="end"/>
        </w:r>
      </w:hyperlink>
    </w:p>
    <w:p w14:paraId="32F1C7F0" w14:textId="77777777" w:rsidR="0006561B" w:rsidRDefault="0006561B">
      <w:pPr>
        <w:pStyle w:val="TDC1"/>
        <w:rPr>
          <w:rFonts w:asciiTheme="minorHAnsi" w:eastAsiaTheme="minorEastAsia" w:hAnsiTheme="minorHAnsi" w:cstheme="minorBidi"/>
          <w:b w:val="0"/>
          <w:sz w:val="22"/>
          <w:szCs w:val="22"/>
          <w:lang w:val="es-ES" w:eastAsia="es-ES"/>
        </w:rPr>
      </w:pPr>
      <w:r>
        <w:rPr>
          <w:rStyle w:val="Hipervnculo"/>
        </w:rPr>
        <w:br w:type="column"/>
      </w:r>
      <w:hyperlink w:anchor="_Toc404266" w:history="1">
        <w:r w:rsidRPr="003B1501">
          <w:rPr>
            <w:rStyle w:val="Hipervnculo"/>
          </w:rPr>
          <w:t>Artículo 422. Geotextil como elemento de separación y filtro</w:t>
        </w:r>
        <w:r>
          <w:rPr>
            <w:webHidden/>
          </w:rPr>
          <w:tab/>
        </w:r>
        <w:r>
          <w:rPr>
            <w:webHidden/>
          </w:rPr>
          <w:fldChar w:fldCharType="begin"/>
        </w:r>
        <w:r>
          <w:rPr>
            <w:webHidden/>
          </w:rPr>
          <w:instrText xml:space="preserve"> PAGEREF _Toc404266 \h </w:instrText>
        </w:r>
        <w:r>
          <w:rPr>
            <w:webHidden/>
          </w:rPr>
        </w:r>
        <w:r>
          <w:rPr>
            <w:webHidden/>
          </w:rPr>
          <w:fldChar w:fldCharType="separate"/>
        </w:r>
        <w:r w:rsidR="001B26B5">
          <w:rPr>
            <w:webHidden/>
          </w:rPr>
          <w:t>137</w:t>
        </w:r>
        <w:r>
          <w:rPr>
            <w:webHidden/>
          </w:rPr>
          <w:fldChar w:fldCharType="end"/>
        </w:r>
      </w:hyperlink>
    </w:p>
    <w:p w14:paraId="00900F71" w14:textId="77777777" w:rsidR="0006561B" w:rsidRDefault="0006561B">
      <w:pPr>
        <w:pStyle w:val="TDC2"/>
        <w:rPr>
          <w:rFonts w:asciiTheme="minorHAnsi" w:eastAsiaTheme="minorEastAsia" w:hAnsiTheme="minorHAnsi" w:cstheme="minorBidi"/>
          <w:szCs w:val="22"/>
          <w:lang w:val="es-ES" w:eastAsia="es-ES"/>
        </w:rPr>
      </w:pPr>
      <w:hyperlink w:anchor="_Toc404267" w:history="1">
        <w:r w:rsidRPr="003B1501">
          <w:rPr>
            <w:rStyle w:val="Hipervnculo"/>
          </w:rPr>
          <w:t>422.1. Definición</w:t>
        </w:r>
        <w:r>
          <w:rPr>
            <w:webHidden/>
          </w:rPr>
          <w:tab/>
        </w:r>
        <w:r>
          <w:rPr>
            <w:webHidden/>
          </w:rPr>
          <w:fldChar w:fldCharType="begin"/>
        </w:r>
        <w:r>
          <w:rPr>
            <w:webHidden/>
          </w:rPr>
          <w:instrText xml:space="preserve"> PAGEREF _Toc404267 \h </w:instrText>
        </w:r>
        <w:r>
          <w:rPr>
            <w:webHidden/>
          </w:rPr>
        </w:r>
        <w:r>
          <w:rPr>
            <w:webHidden/>
          </w:rPr>
          <w:fldChar w:fldCharType="separate"/>
        </w:r>
        <w:r w:rsidR="001B26B5">
          <w:rPr>
            <w:webHidden/>
          </w:rPr>
          <w:t>137</w:t>
        </w:r>
        <w:r>
          <w:rPr>
            <w:webHidden/>
          </w:rPr>
          <w:fldChar w:fldCharType="end"/>
        </w:r>
      </w:hyperlink>
    </w:p>
    <w:p w14:paraId="31AD1FF1" w14:textId="77777777" w:rsidR="0006561B" w:rsidRDefault="0006561B">
      <w:pPr>
        <w:pStyle w:val="TDC2"/>
        <w:rPr>
          <w:rFonts w:asciiTheme="minorHAnsi" w:eastAsiaTheme="minorEastAsia" w:hAnsiTheme="minorHAnsi" w:cstheme="minorBidi"/>
          <w:szCs w:val="22"/>
          <w:lang w:val="es-ES" w:eastAsia="es-ES"/>
        </w:rPr>
      </w:pPr>
      <w:hyperlink w:anchor="_Toc404268" w:history="1">
        <w:r w:rsidRPr="003B1501">
          <w:rPr>
            <w:rStyle w:val="Hipervnculo"/>
          </w:rPr>
          <w:t>422.2. Materiales</w:t>
        </w:r>
        <w:r>
          <w:rPr>
            <w:webHidden/>
          </w:rPr>
          <w:tab/>
        </w:r>
        <w:r>
          <w:rPr>
            <w:webHidden/>
          </w:rPr>
          <w:fldChar w:fldCharType="begin"/>
        </w:r>
        <w:r>
          <w:rPr>
            <w:webHidden/>
          </w:rPr>
          <w:instrText xml:space="preserve"> PAGEREF _Toc404268 \h </w:instrText>
        </w:r>
        <w:r>
          <w:rPr>
            <w:webHidden/>
          </w:rPr>
        </w:r>
        <w:r>
          <w:rPr>
            <w:webHidden/>
          </w:rPr>
          <w:fldChar w:fldCharType="separate"/>
        </w:r>
        <w:r w:rsidR="001B26B5">
          <w:rPr>
            <w:webHidden/>
          </w:rPr>
          <w:t>137</w:t>
        </w:r>
        <w:r>
          <w:rPr>
            <w:webHidden/>
          </w:rPr>
          <w:fldChar w:fldCharType="end"/>
        </w:r>
      </w:hyperlink>
    </w:p>
    <w:p w14:paraId="59AF3BBD" w14:textId="77777777" w:rsidR="0006561B" w:rsidRDefault="0006561B">
      <w:pPr>
        <w:pStyle w:val="TDC2"/>
        <w:rPr>
          <w:rFonts w:asciiTheme="minorHAnsi" w:eastAsiaTheme="minorEastAsia" w:hAnsiTheme="minorHAnsi" w:cstheme="minorBidi"/>
          <w:szCs w:val="22"/>
          <w:lang w:val="es-ES" w:eastAsia="es-ES"/>
        </w:rPr>
      </w:pPr>
      <w:hyperlink w:anchor="_Toc404269" w:history="1">
        <w:r w:rsidRPr="003B1501">
          <w:rPr>
            <w:rStyle w:val="Hipervnculo"/>
          </w:rPr>
          <w:t>422.3. Ejecución de las obras</w:t>
        </w:r>
        <w:r>
          <w:rPr>
            <w:webHidden/>
          </w:rPr>
          <w:tab/>
        </w:r>
        <w:r>
          <w:rPr>
            <w:webHidden/>
          </w:rPr>
          <w:fldChar w:fldCharType="begin"/>
        </w:r>
        <w:r>
          <w:rPr>
            <w:webHidden/>
          </w:rPr>
          <w:instrText xml:space="preserve"> PAGEREF _Toc404269 \h </w:instrText>
        </w:r>
        <w:r>
          <w:rPr>
            <w:webHidden/>
          </w:rPr>
        </w:r>
        <w:r>
          <w:rPr>
            <w:webHidden/>
          </w:rPr>
          <w:fldChar w:fldCharType="separate"/>
        </w:r>
        <w:r w:rsidR="001B26B5">
          <w:rPr>
            <w:webHidden/>
          </w:rPr>
          <w:t>138</w:t>
        </w:r>
        <w:r>
          <w:rPr>
            <w:webHidden/>
          </w:rPr>
          <w:fldChar w:fldCharType="end"/>
        </w:r>
      </w:hyperlink>
    </w:p>
    <w:p w14:paraId="3293A92D" w14:textId="77777777" w:rsidR="0006561B" w:rsidRDefault="0006561B">
      <w:pPr>
        <w:pStyle w:val="TDC2"/>
        <w:rPr>
          <w:rFonts w:asciiTheme="minorHAnsi" w:eastAsiaTheme="minorEastAsia" w:hAnsiTheme="minorHAnsi" w:cstheme="minorBidi"/>
          <w:szCs w:val="22"/>
          <w:lang w:val="es-ES" w:eastAsia="es-ES"/>
        </w:rPr>
      </w:pPr>
      <w:hyperlink w:anchor="_Toc404270" w:history="1">
        <w:r w:rsidRPr="003B1501">
          <w:rPr>
            <w:rStyle w:val="Hipervnculo"/>
          </w:rPr>
          <w:t>422.4. Limitaciones de ejecución</w:t>
        </w:r>
        <w:r>
          <w:rPr>
            <w:webHidden/>
          </w:rPr>
          <w:tab/>
        </w:r>
        <w:r>
          <w:rPr>
            <w:webHidden/>
          </w:rPr>
          <w:fldChar w:fldCharType="begin"/>
        </w:r>
        <w:r>
          <w:rPr>
            <w:webHidden/>
          </w:rPr>
          <w:instrText xml:space="preserve"> PAGEREF _Toc404270 \h </w:instrText>
        </w:r>
        <w:r>
          <w:rPr>
            <w:webHidden/>
          </w:rPr>
        </w:r>
        <w:r>
          <w:rPr>
            <w:webHidden/>
          </w:rPr>
          <w:fldChar w:fldCharType="separate"/>
        </w:r>
        <w:r w:rsidR="001B26B5">
          <w:rPr>
            <w:webHidden/>
          </w:rPr>
          <w:t>138</w:t>
        </w:r>
        <w:r>
          <w:rPr>
            <w:webHidden/>
          </w:rPr>
          <w:fldChar w:fldCharType="end"/>
        </w:r>
      </w:hyperlink>
    </w:p>
    <w:p w14:paraId="65CDE788" w14:textId="77777777" w:rsidR="0006561B" w:rsidRDefault="0006561B">
      <w:pPr>
        <w:pStyle w:val="TDC2"/>
        <w:rPr>
          <w:rFonts w:asciiTheme="minorHAnsi" w:eastAsiaTheme="minorEastAsia" w:hAnsiTheme="minorHAnsi" w:cstheme="minorBidi"/>
          <w:szCs w:val="22"/>
          <w:lang w:val="es-ES" w:eastAsia="es-ES"/>
        </w:rPr>
      </w:pPr>
      <w:hyperlink w:anchor="_Toc404271" w:history="1">
        <w:r w:rsidRPr="003B1501">
          <w:rPr>
            <w:rStyle w:val="Hipervnculo"/>
          </w:rPr>
          <w:t>422.5. Control de calidad</w:t>
        </w:r>
        <w:r>
          <w:rPr>
            <w:webHidden/>
          </w:rPr>
          <w:tab/>
        </w:r>
        <w:r>
          <w:rPr>
            <w:webHidden/>
          </w:rPr>
          <w:fldChar w:fldCharType="begin"/>
        </w:r>
        <w:r>
          <w:rPr>
            <w:webHidden/>
          </w:rPr>
          <w:instrText xml:space="preserve"> PAGEREF _Toc404271 \h </w:instrText>
        </w:r>
        <w:r>
          <w:rPr>
            <w:webHidden/>
          </w:rPr>
        </w:r>
        <w:r>
          <w:rPr>
            <w:webHidden/>
          </w:rPr>
          <w:fldChar w:fldCharType="separate"/>
        </w:r>
        <w:r w:rsidR="001B26B5">
          <w:rPr>
            <w:webHidden/>
          </w:rPr>
          <w:t>138</w:t>
        </w:r>
        <w:r>
          <w:rPr>
            <w:webHidden/>
          </w:rPr>
          <w:fldChar w:fldCharType="end"/>
        </w:r>
      </w:hyperlink>
    </w:p>
    <w:p w14:paraId="2738317D" w14:textId="77777777" w:rsidR="0006561B" w:rsidRDefault="0006561B">
      <w:pPr>
        <w:pStyle w:val="TDC2"/>
        <w:rPr>
          <w:rFonts w:asciiTheme="minorHAnsi" w:eastAsiaTheme="minorEastAsia" w:hAnsiTheme="minorHAnsi" w:cstheme="minorBidi"/>
          <w:szCs w:val="22"/>
          <w:lang w:val="es-ES" w:eastAsia="es-ES"/>
        </w:rPr>
      </w:pPr>
      <w:hyperlink w:anchor="_Toc404272" w:history="1">
        <w:r w:rsidRPr="003B1501">
          <w:rPr>
            <w:rStyle w:val="Hipervnculo"/>
          </w:rPr>
          <w:t>422.6. Medición y abono</w:t>
        </w:r>
        <w:r>
          <w:rPr>
            <w:webHidden/>
          </w:rPr>
          <w:tab/>
        </w:r>
        <w:r>
          <w:rPr>
            <w:webHidden/>
          </w:rPr>
          <w:fldChar w:fldCharType="begin"/>
        </w:r>
        <w:r>
          <w:rPr>
            <w:webHidden/>
          </w:rPr>
          <w:instrText xml:space="preserve"> PAGEREF _Toc404272 \h </w:instrText>
        </w:r>
        <w:r>
          <w:rPr>
            <w:webHidden/>
          </w:rPr>
        </w:r>
        <w:r>
          <w:rPr>
            <w:webHidden/>
          </w:rPr>
          <w:fldChar w:fldCharType="separate"/>
        </w:r>
        <w:r w:rsidR="001B26B5">
          <w:rPr>
            <w:webHidden/>
          </w:rPr>
          <w:t>138</w:t>
        </w:r>
        <w:r>
          <w:rPr>
            <w:webHidden/>
          </w:rPr>
          <w:fldChar w:fldCharType="end"/>
        </w:r>
      </w:hyperlink>
    </w:p>
    <w:p w14:paraId="31CF3D29" w14:textId="77777777" w:rsidR="0006561B" w:rsidRDefault="0006561B">
      <w:pPr>
        <w:pStyle w:val="TDC1"/>
        <w:rPr>
          <w:rFonts w:asciiTheme="minorHAnsi" w:eastAsiaTheme="minorEastAsia" w:hAnsiTheme="minorHAnsi" w:cstheme="minorBidi"/>
          <w:b w:val="0"/>
          <w:sz w:val="22"/>
          <w:szCs w:val="22"/>
          <w:lang w:val="es-ES" w:eastAsia="es-ES"/>
        </w:rPr>
      </w:pPr>
      <w:hyperlink w:anchor="_Toc404273" w:history="1">
        <w:r w:rsidRPr="003B1501">
          <w:rPr>
            <w:rStyle w:val="Hipervnculo"/>
          </w:rPr>
          <w:t>Artículo 425. Canal de drenaje</w:t>
        </w:r>
        <w:r>
          <w:rPr>
            <w:webHidden/>
          </w:rPr>
          <w:tab/>
        </w:r>
        <w:r>
          <w:rPr>
            <w:webHidden/>
          </w:rPr>
          <w:fldChar w:fldCharType="begin"/>
        </w:r>
        <w:r>
          <w:rPr>
            <w:webHidden/>
          </w:rPr>
          <w:instrText xml:space="preserve"> PAGEREF _Toc404273 \h </w:instrText>
        </w:r>
        <w:r>
          <w:rPr>
            <w:webHidden/>
          </w:rPr>
        </w:r>
        <w:r>
          <w:rPr>
            <w:webHidden/>
          </w:rPr>
          <w:fldChar w:fldCharType="separate"/>
        </w:r>
        <w:r w:rsidR="001B26B5">
          <w:rPr>
            <w:webHidden/>
          </w:rPr>
          <w:t>139</w:t>
        </w:r>
        <w:r>
          <w:rPr>
            <w:webHidden/>
          </w:rPr>
          <w:fldChar w:fldCharType="end"/>
        </w:r>
      </w:hyperlink>
    </w:p>
    <w:p w14:paraId="766A22EF" w14:textId="77777777" w:rsidR="0006561B" w:rsidRDefault="0006561B">
      <w:pPr>
        <w:pStyle w:val="TDC2"/>
        <w:rPr>
          <w:rFonts w:asciiTheme="minorHAnsi" w:eastAsiaTheme="minorEastAsia" w:hAnsiTheme="minorHAnsi" w:cstheme="minorBidi"/>
          <w:szCs w:val="22"/>
          <w:lang w:val="es-ES" w:eastAsia="es-ES"/>
        </w:rPr>
      </w:pPr>
      <w:hyperlink w:anchor="_Toc404274" w:history="1">
        <w:r w:rsidRPr="003B1501">
          <w:rPr>
            <w:rStyle w:val="Hipervnculo"/>
          </w:rPr>
          <w:t>425.1. Definición</w:t>
        </w:r>
        <w:r>
          <w:rPr>
            <w:webHidden/>
          </w:rPr>
          <w:tab/>
        </w:r>
        <w:r>
          <w:rPr>
            <w:webHidden/>
          </w:rPr>
          <w:fldChar w:fldCharType="begin"/>
        </w:r>
        <w:r>
          <w:rPr>
            <w:webHidden/>
          </w:rPr>
          <w:instrText xml:space="preserve"> PAGEREF _Toc404274 \h </w:instrText>
        </w:r>
        <w:r>
          <w:rPr>
            <w:webHidden/>
          </w:rPr>
        </w:r>
        <w:r>
          <w:rPr>
            <w:webHidden/>
          </w:rPr>
          <w:fldChar w:fldCharType="separate"/>
        </w:r>
        <w:r w:rsidR="001B26B5">
          <w:rPr>
            <w:webHidden/>
          </w:rPr>
          <w:t>139</w:t>
        </w:r>
        <w:r>
          <w:rPr>
            <w:webHidden/>
          </w:rPr>
          <w:fldChar w:fldCharType="end"/>
        </w:r>
      </w:hyperlink>
    </w:p>
    <w:p w14:paraId="60CB313E" w14:textId="77777777" w:rsidR="0006561B" w:rsidRDefault="0006561B">
      <w:pPr>
        <w:pStyle w:val="TDC2"/>
        <w:rPr>
          <w:rFonts w:asciiTheme="minorHAnsi" w:eastAsiaTheme="minorEastAsia" w:hAnsiTheme="minorHAnsi" w:cstheme="minorBidi"/>
          <w:szCs w:val="22"/>
          <w:lang w:val="es-ES" w:eastAsia="es-ES"/>
        </w:rPr>
      </w:pPr>
      <w:hyperlink w:anchor="_Toc404275" w:history="1">
        <w:r w:rsidRPr="003B1501">
          <w:rPr>
            <w:rStyle w:val="Hipervnculo"/>
          </w:rPr>
          <w:t>425.2. Aplicación</w:t>
        </w:r>
        <w:r>
          <w:rPr>
            <w:webHidden/>
          </w:rPr>
          <w:tab/>
        </w:r>
        <w:r>
          <w:rPr>
            <w:webHidden/>
          </w:rPr>
          <w:fldChar w:fldCharType="begin"/>
        </w:r>
        <w:r>
          <w:rPr>
            <w:webHidden/>
          </w:rPr>
          <w:instrText xml:space="preserve"> PAGEREF _Toc404275 \h </w:instrText>
        </w:r>
        <w:r>
          <w:rPr>
            <w:webHidden/>
          </w:rPr>
        </w:r>
        <w:r>
          <w:rPr>
            <w:webHidden/>
          </w:rPr>
          <w:fldChar w:fldCharType="separate"/>
        </w:r>
        <w:r w:rsidR="001B26B5">
          <w:rPr>
            <w:webHidden/>
          </w:rPr>
          <w:t>139</w:t>
        </w:r>
        <w:r>
          <w:rPr>
            <w:webHidden/>
          </w:rPr>
          <w:fldChar w:fldCharType="end"/>
        </w:r>
      </w:hyperlink>
    </w:p>
    <w:p w14:paraId="6E2D12A1" w14:textId="77777777" w:rsidR="0006561B" w:rsidRDefault="0006561B">
      <w:pPr>
        <w:pStyle w:val="TDC2"/>
        <w:rPr>
          <w:rFonts w:asciiTheme="minorHAnsi" w:eastAsiaTheme="minorEastAsia" w:hAnsiTheme="minorHAnsi" w:cstheme="minorBidi"/>
          <w:szCs w:val="22"/>
          <w:lang w:val="es-ES" w:eastAsia="es-ES"/>
        </w:rPr>
      </w:pPr>
      <w:hyperlink w:anchor="_Toc404276" w:history="1">
        <w:r w:rsidRPr="003B1501">
          <w:rPr>
            <w:rStyle w:val="Hipervnculo"/>
          </w:rPr>
          <w:t>425.3. Descripción de los trabajos</w:t>
        </w:r>
        <w:r>
          <w:rPr>
            <w:webHidden/>
          </w:rPr>
          <w:tab/>
        </w:r>
        <w:r>
          <w:rPr>
            <w:webHidden/>
          </w:rPr>
          <w:fldChar w:fldCharType="begin"/>
        </w:r>
        <w:r>
          <w:rPr>
            <w:webHidden/>
          </w:rPr>
          <w:instrText xml:space="preserve"> PAGEREF _Toc404276 \h </w:instrText>
        </w:r>
        <w:r>
          <w:rPr>
            <w:webHidden/>
          </w:rPr>
        </w:r>
        <w:r>
          <w:rPr>
            <w:webHidden/>
          </w:rPr>
          <w:fldChar w:fldCharType="separate"/>
        </w:r>
        <w:r w:rsidR="001B26B5">
          <w:rPr>
            <w:webHidden/>
          </w:rPr>
          <w:t>139</w:t>
        </w:r>
        <w:r>
          <w:rPr>
            <w:webHidden/>
          </w:rPr>
          <w:fldChar w:fldCharType="end"/>
        </w:r>
      </w:hyperlink>
    </w:p>
    <w:p w14:paraId="52309509" w14:textId="77777777" w:rsidR="0006561B" w:rsidRDefault="0006561B">
      <w:pPr>
        <w:pStyle w:val="TDC2"/>
        <w:rPr>
          <w:rFonts w:asciiTheme="minorHAnsi" w:eastAsiaTheme="minorEastAsia" w:hAnsiTheme="minorHAnsi" w:cstheme="minorBidi"/>
          <w:szCs w:val="22"/>
          <w:lang w:val="es-ES" w:eastAsia="es-ES"/>
        </w:rPr>
      </w:pPr>
      <w:hyperlink w:anchor="_Toc404277" w:history="1">
        <w:r w:rsidRPr="003B1501">
          <w:rPr>
            <w:rStyle w:val="Hipervnculo"/>
          </w:rPr>
          <w:t>425.4. Materiales</w:t>
        </w:r>
        <w:r>
          <w:rPr>
            <w:webHidden/>
          </w:rPr>
          <w:tab/>
        </w:r>
        <w:r>
          <w:rPr>
            <w:webHidden/>
          </w:rPr>
          <w:fldChar w:fldCharType="begin"/>
        </w:r>
        <w:r>
          <w:rPr>
            <w:webHidden/>
          </w:rPr>
          <w:instrText xml:space="preserve"> PAGEREF _Toc404277 \h </w:instrText>
        </w:r>
        <w:r>
          <w:rPr>
            <w:webHidden/>
          </w:rPr>
        </w:r>
        <w:r>
          <w:rPr>
            <w:webHidden/>
          </w:rPr>
          <w:fldChar w:fldCharType="separate"/>
        </w:r>
        <w:r w:rsidR="001B26B5">
          <w:rPr>
            <w:webHidden/>
          </w:rPr>
          <w:t>139</w:t>
        </w:r>
        <w:r>
          <w:rPr>
            <w:webHidden/>
          </w:rPr>
          <w:fldChar w:fldCharType="end"/>
        </w:r>
      </w:hyperlink>
    </w:p>
    <w:p w14:paraId="2CD25F80" w14:textId="77777777" w:rsidR="0006561B" w:rsidRDefault="0006561B">
      <w:pPr>
        <w:pStyle w:val="TDC2"/>
        <w:rPr>
          <w:rFonts w:asciiTheme="minorHAnsi" w:eastAsiaTheme="minorEastAsia" w:hAnsiTheme="minorHAnsi" w:cstheme="minorBidi"/>
          <w:szCs w:val="22"/>
          <w:lang w:val="es-ES" w:eastAsia="es-ES"/>
        </w:rPr>
      </w:pPr>
      <w:hyperlink w:anchor="_Toc404278" w:history="1">
        <w:r w:rsidRPr="003B1501">
          <w:rPr>
            <w:rStyle w:val="Hipervnculo"/>
          </w:rPr>
          <w:t>425.5. Ejecución de las obras</w:t>
        </w:r>
        <w:r>
          <w:rPr>
            <w:webHidden/>
          </w:rPr>
          <w:tab/>
        </w:r>
        <w:r>
          <w:rPr>
            <w:webHidden/>
          </w:rPr>
          <w:fldChar w:fldCharType="begin"/>
        </w:r>
        <w:r>
          <w:rPr>
            <w:webHidden/>
          </w:rPr>
          <w:instrText xml:space="preserve"> PAGEREF _Toc404278 \h </w:instrText>
        </w:r>
        <w:r>
          <w:rPr>
            <w:webHidden/>
          </w:rPr>
        </w:r>
        <w:r>
          <w:rPr>
            <w:webHidden/>
          </w:rPr>
          <w:fldChar w:fldCharType="separate"/>
        </w:r>
        <w:r w:rsidR="001B26B5">
          <w:rPr>
            <w:webHidden/>
          </w:rPr>
          <w:t>140</w:t>
        </w:r>
        <w:r>
          <w:rPr>
            <w:webHidden/>
          </w:rPr>
          <w:fldChar w:fldCharType="end"/>
        </w:r>
      </w:hyperlink>
    </w:p>
    <w:p w14:paraId="1DA67430" w14:textId="77777777" w:rsidR="0006561B" w:rsidRDefault="0006561B">
      <w:pPr>
        <w:pStyle w:val="TDC2"/>
        <w:rPr>
          <w:rFonts w:asciiTheme="minorHAnsi" w:eastAsiaTheme="minorEastAsia" w:hAnsiTheme="minorHAnsi" w:cstheme="minorBidi"/>
          <w:szCs w:val="22"/>
          <w:lang w:val="es-ES" w:eastAsia="es-ES"/>
        </w:rPr>
      </w:pPr>
      <w:hyperlink w:anchor="_Toc404279" w:history="1">
        <w:r w:rsidRPr="003B1501">
          <w:rPr>
            <w:rStyle w:val="Hipervnculo"/>
          </w:rPr>
          <w:t>425.6. Recepción</w:t>
        </w:r>
        <w:r>
          <w:rPr>
            <w:webHidden/>
          </w:rPr>
          <w:tab/>
        </w:r>
        <w:r>
          <w:rPr>
            <w:webHidden/>
          </w:rPr>
          <w:fldChar w:fldCharType="begin"/>
        </w:r>
        <w:r>
          <w:rPr>
            <w:webHidden/>
          </w:rPr>
          <w:instrText xml:space="preserve"> PAGEREF _Toc404279 \h </w:instrText>
        </w:r>
        <w:r>
          <w:rPr>
            <w:webHidden/>
          </w:rPr>
        </w:r>
        <w:r>
          <w:rPr>
            <w:webHidden/>
          </w:rPr>
          <w:fldChar w:fldCharType="separate"/>
        </w:r>
        <w:r w:rsidR="001B26B5">
          <w:rPr>
            <w:webHidden/>
          </w:rPr>
          <w:t>141</w:t>
        </w:r>
        <w:r>
          <w:rPr>
            <w:webHidden/>
          </w:rPr>
          <w:fldChar w:fldCharType="end"/>
        </w:r>
      </w:hyperlink>
    </w:p>
    <w:p w14:paraId="15C4223E" w14:textId="77777777" w:rsidR="0006561B" w:rsidRDefault="0006561B">
      <w:pPr>
        <w:pStyle w:val="TDC2"/>
        <w:rPr>
          <w:rFonts w:asciiTheme="minorHAnsi" w:eastAsiaTheme="minorEastAsia" w:hAnsiTheme="minorHAnsi" w:cstheme="minorBidi"/>
          <w:szCs w:val="22"/>
          <w:lang w:val="es-ES" w:eastAsia="es-ES"/>
        </w:rPr>
      </w:pPr>
      <w:hyperlink w:anchor="_Toc404280" w:history="1">
        <w:r w:rsidRPr="003B1501">
          <w:rPr>
            <w:rStyle w:val="Hipervnculo"/>
          </w:rPr>
          <w:t>425.7. Control de calidad</w:t>
        </w:r>
        <w:r>
          <w:rPr>
            <w:webHidden/>
          </w:rPr>
          <w:tab/>
        </w:r>
        <w:r>
          <w:rPr>
            <w:webHidden/>
          </w:rPr>
          <w:fldChar w:fldCharType="begin"/>
        </w:r>
        <w:r>
          <w:rPr>
            <w:webHidden/>
          </w:rPr>
          <w:instrText xml:space="preserve"> PAGEREF _Toc404280 \h </w:instrText>
        </w:r>
        <w:r>
          <w:rPr>
            <w:webHidden/>
          </w:rPr>
        </w:r>
        <w:r>
          <w:rPr>
            <w:webHidden/>
          </w:rPr>
          <w:fldChar w:fldCharType="separate"/>
        </w:r>
        <w:r w:rsidR="001B26B5">
          <w:rPr>
            <w:webHidden/>
          </w:rPr>
          <w:t>142</w:t>
        </w:r>
        <w:r>
          <w:rPr>
            <w:webHidden/>
          </w:rPr>
          <w:fldChar w:fldCharType="end"/>
        </w:r>
      </w:hyperlink>
    </w:p>
    <w:p w14:paraId="20625EF8" w14:textId="77777777" w:rsidR="0006561B" w:rsidRDefault="0006561B">
      <w:pPr>
        <w:pStyle w:val="TDC2"/>
        <w:rPr>
          <w:rFonts w:asciiTheme="minorHAnsi" w:eastAsiaTheme="minorEastAsia" w:hAnsiTheme="minorHAnsi" w:cstheme="minorBidi"/>
          <w:szCs w:val="22"/>
          <w:lang w:val="es-ES" w:eastAsia="es-ES"/>
        </w:rPr>
      </w:pPr>
      <w:hyperlink w:anchor="_Toc404281" w:history="1">
        <w:r w:rsidRPr="003B1501">
          <w:rPr>
            <w:rStyle w:val="Hipervnculo"/>
          </w:rPr>
          <w:t>425.9. Medición y abono.</w:t>
        </w:r>
        <w:r>
          <w:rPr>
            <w:webHidden/>
          </w:rPr>
          <w:tab/>
        </w:r>
        <w:r>
          <w:rPr>
            <w:webHidden/>
          </w:rPr>
          <w:fldChar w:fldCharType="begin"/>
        </w:r>
        <w:r>
          <w:rPr>
            <w:webHidden/>
          </w:rPr>
          <w:instrText xml:space="preserve"> PAGEREF _Toc404281 \h </w:instrText>
        </w:r>
        <w:r>
          <w:rPr>
            <w:webHidden/>
          </w:rPr>
        </w:r>
        <w:r>
          <w:rPr>
            <w:webHidden/>
          </w:rPr>
          <w:fldChar w:fldCharType="separate"/>
        </w:r>
        <w:r w:rsidR="001B26B5">
          <w:rPr>
            <w:webHidden/>
          </w:rPr>
          <w:t>142</w:t>
        </w:r>
        <w:r>
          <w:rPr>
            <w:webHidden/>
          </w:rPr>
          <w:fldChar w:fldCharType="end"/>
        </w:r>
      </w:hyperlink>
    </w:p>
    <w:p w14:paraId="78E21DA4" w14:textId="77777777" w:rsidR="0006561B" w:rsidRDefault="0006561B">
      <w:pPr>
        <w:pStyle w:val="TDC1"/>
        <w:rPr>
          <w:rFonts w:asciiTheme="minorHAnsi" w:eastAsiaTheme="minorEastAsia" w:hAnsiTheme="minorHAnsi" w:cstheme="minorBidi"/>
          <w:b w:val="0"/>
          <w:sz w:val="22"/>
          <w:szCs w:val="22"/>
          <w:lang w:val="es-ES" w:eastAsia="es-ES"/>
        </w:rPr>
      </w:pPr>
      <w:hyperlink w:anchor="_Toc404282" w:history="1">
        <w:r w:rsidRPr="003B1501">
          <w:rPr>
            <w:rStyle w:val="Hipervnculo"/>
          </w:rPr>
          <w:t>Artículo 430. Hinca de tuberías</w:t>
        </w:r>
        <w:r>
          <w:rPr>
            <w:webHidden/>
          </w:rPr>
          <w:tab/>
        </w:r>
        <w:r>
          <w:rPr>
            <w:webHidden/>
          </w:rPr>
          <w:fldChar w:fldCharType="begin"/>
        </w:r>
        <w:r>
          <w:rPr>
            <w:webHidden/>
          </w:rPr>
          <w:instrText xml:space="preserve"> PAGEREF _Toc404282 \h </w:instrText>
        </w:r>
        <w:r>
          <w:rPr>
            <w:webHidden/>
          </w:rPr>
        </w:r>
        <w:r>
          <w:rPr>
            <w:webHidden/>
          </w:rPr>
          <w:fldChar w:fldCharType="separate"/>
        </w:r>
        <w:r w:rsidR="001B26B5">
          <w:rPr>
            <w:webHidden/>
          </w:rPr>
          <w:t>143</w:t>
        </w:r>
        <w:r>
          <w:rPr>
            <w:webHidden/>
          </w:rPr>
          <w:fldChar w:fldCharType="end"/>
        </w:r>
      </w:hyperlink>
    </w:p>
    <w:p w14:paraId="15981CB5" w14:textId="77777777" w:rsidR="0006561B" w:rsidRDefault="0006561B">
      <w:pPr>
        <w:pStyle w:val="TDC2"/>
        <w:rPr>
          <w:rFonts w:asciiTheme="minorHAnsi" w:eastAsiaTheme="minorEastAsia" w:hAnsiTheme="minorHAnsi" w:cstheme="minorBidi"/>
          <w:szCs w:val="22"/>
          <w:lang w:val="es-ES" w:eastAsia="es-ES"/>
        </w:rPr>
      </w:pPr>
      <w:hyperlink w:anchor="_Toc404283" w:history="1">
        <w:r w:rsidRPr="003B1501">
          <w:rPr>
            <w:rStyle w:val="Hipervnculo"/>
          </w:rPr>
          <w:t>430.1. Definición. Aplicación</w:t>
        </w:r>
        <w:r>
          <w:rPr>
            <w:webHidden/>
          </w:rPr>
          <w:tab/>
        </w:r>
        <w:r>
          <w:rPr>
            <w:webHidden/>
          </w:rPr>
          <w:fldChar w:fldCharType="begin"/>
        </w:r>
        <w:r>
          <w:rPr>
            <w:webHidden/>
          </w:rPr>
          <w:instrText xml:space="preserve"> PAGEREF _Toc404283 \h </w:instrText>
        </w:r>
        <w:r>
          <w:rPr>
            <w:webHidden/>
          </w:rPr>
        </w:r>
        <w:r>
          <w:rPr>
            <w:webHidden/>
          </w:rPr>
          <w:fldChar w:fldCharType="separate"/>
        </w:r>
        <w:r w:rsidR="001B26B5">
          <w:rPr>
            <w:webHidden/>
          </w:rPr>
          <w:t>143</w:t>
        </w:r>
        <w:r>
          <w:rPr>
            <w:webHidden/>
          </w:rPr>
          <w:fldChar w:fldCharType="end"/>
        </w:r>
      </w:hyperlink>
    </w:p>
    <w:p w14:paraId="0792169C" w14:textId="77777777" w:rsidR="0006561B" w:rsidRDefault="0006561B">
      <w:pPr>
        <w:pStyle w:val="TDC2"/>
        <w:rPr>
          <w:rFonts w:asciiTheme="minorHAnsi" w:eastAsiaTheme="minorEastAsia" w:hAnsiTheme="minorHAnsi" w:cstheme="minorBidi"/>
          <w:szCs w:val="22"/>
          <w:lang w:val="es-ES" w:eastAsia="es-ES"/>
        </w:rPr>
      </w:pPr>
      <w:hyperlink w:anchor="_Toc404284" w:history="1">
        <w:r w:rsidRPr="003B1501">
          <w:rPr>
            <w:rStyle w:val="Hipervnculo"/>
          </w:rPr>
          <w:t>430.2. Equipos</w:t>
        </w:r>
        <w:r>
          <w:rPr>
            <w:webHidden/>
          </w:rPr>
          <w:tab/>
        </w:r>
        <w:r>
          <w:rPr>
            <w:webHidden/>
          </w:rPr>
          <w:fldChar w:fldCharType="begin"/>
        </w:r>
        <w:r>
          <w:rPr>
            <w:webHidden/>
          </w:rPr>
          <w:instrText xml:space="preserve"> PAGEREF _Toc404284 \h </w:instrText>
        </w:r>
        <w:r>
          <w:rPr>
            <w:webHidden/>
          </w:rPr>
        </w:r>
        <w:r>
          <w:rPr>
            <w:webHidden/>
          </w:rPr>
          <w:fldChar w:fldCharType="separate"/>
        </w:r>
        <w:r w:rsidR="001B26B5">
          <w:rPr>
            <w:webHidden/>
          </w:rPr>
          <w:t>143</w:t>
        </w:r>
        <w:r>
          <w:rPr>
            <w:webHidden/>
          </w:rPr>
          <w:fldChar w:fldCharType="end"/>
        </w:r>
      </w:hyperlink>
    </w:p>
    <w:p w14:paraId="0A7A23C2" w14:textId="77777777" w:rsidR="0006561B" w:rsidRDefault="0006561B">
      <w:pPr>
        <w:pStyle w:val="TDC2"/>
        <w:rPr>
          <w:rFonts w:asciiTheme="minorHAnsi" w:eastAsiaTheme="minorEastAsia" w:hAnsiTheme="minorHAnsi" w:cstheme="minorBidi"/>
          <w:szCs w:val="22"/>
          <w:lang w:val="es-ES" w:eastAsia="es-ES"/>
        </w:rPr>
      </w:pPr>
      <w:hyperlink w:anchor="_Toc404285" w:history="1">
        <w:r w:rsidRPr="003B1501">
          <w:rPr>
            <w:rStyle w:val="Hipervnculo"/>
          </w:rPr>
          <w:t>430.3. Condiciones generales</w:t>
        </w:r>
        <w:r>
          <w:rPr>
            <w:webHidden/>
          </w:rPr>
          <w:tab/>
        </w:r>
        <w:r>
          <w:rPr>
            <w:webHidden/>
          </w:rPr>
          <w:fldChar w:fldCharType="begin"/>
        </w:r>
        <w:r>
          <w:rPr>
            <w:webHidden/>
          </w:rPr>
          <w:instrText xml:space="preserve"> PAGEREF _Toc404285 \h </w:instrText>
        </w:r>
        <w:r>
          <w:rPr>
            <w:webHidden/>
          </w:rPr>
        </w:r>
        <w:r>
          <w:rPr>
            <w:webHidden/>
          </w:rPr>
          <w:fldChar w:fldCharType="separate"/>
        </w:r>
        <w:r w:rsidR="001B26B5">
          <w:rPr>
            <w:webHidden/>
          </w:rPr>
          <w:t>143</w:t>
        </w:r>
        <w:r>
          <w:rPr>
            <w:webHidden/>
          </w:rPr>
          <w:fldChar w:fldCharType="end"/>
        </w:r>
      </w:hyperlink>
    </w:p>
    <w:p w14:paraId="0ABA8F17" w14:textId="77777777" w:rsidR="0006561B" w:rsidRDefault="0006561B">
      <w:pPr>
        <w:pStyle w:val="TDC2"/>
        <w:rPr>
          <w:rFonts w:asciiTheme="minorHAnsi" w:eastAsiaTheme="minorEastAsia" w:hAnsiTheme="minorHAnsi" w:cstheme="minorBidi"/>
          <w:szCs w:val="22"/>
          <w:lang w:val="es-ES" w:eastAsia="es-ES"/>
        </w:rPr>
      </w:pPr>
      <w:hyperlink w:anchor="_Toc404286" w:history="1">
        <w:r w:rsidRPr="003B1501">
          <w:rPr>
            <w:rStyle w:val="Hipervnculo"/>
          </w:rPr>
          <w:t>430.4. Ejecución de las obras</w:t>
        </w:r>
        <w:r>
          <w:rPr>
            <w:webHidden/>
          </w:rPr>
          <w:tab/>
        </w:r>
        <w:r>
          <w:rPr>
            <w:webHidden/>
          </w:rPr>
          <w:fldChar w:fldCharType="begin"/>
        </w:r>
        <w:r>
          <w:rPr>
            <w:webHidden/>
          </w:rPr>
          <w:instrText xml:space="preserve"> PAGEREF _Toc404286 \h </w:instrText>
        </w:r>
        <w:r>
          <w:rPr>
            <w:webHidden/>
          </w:rPr>
        </w:r>
        <w:r>
          <w:rPr>
            <w:webHidden/>
          </w:rPr>
          <w:fldChar w:fldCharType="separate"/>
        </w:r>
        <w:r w:rsidR="001B26B5">
          <w:rPr>
            <w:webHidden/>
          </w:rPr>
          <w:t>143</w:t>
        </w:r>
        <w:r>
          <w:rPr>
            <w:webHidden/>
          </w:rPr>
          <w:fldChar w:fldCharType="end"/>
        </w:r>
      </w:hyperlink>
    </w:p>
    <w:p w14:paraId="32100F04" w14:textId="77777777" w:rsidR="0006561B" w:rsidRDefault="0006561B">
      <w:pPr>
        <w:pStyle w:val="TDC2"/>
        <w:rPr>
          <w:rFonts w:asciiTheme="minorHAnsi" w:eastAsiaTheme="minorEastAsia" w:hAnsiTheme="minorHAnsi" w:cstheme="minorBidi"/>
          <w:szCs w:val="22"/>
          <w:lang w:val="es-ES" w:eastAsia="es-ES"/>
        </w:rPr>
      </w:pPr>
      <w:hyperlink w:anchor="_Toc404287" w:history="1">
        <w:r w:rsidRPr="003B1501">
          <w:rPr>
            <w:rStyle w:val="Hipervnculo"/>
          </w:rPr>
          <w:t>430.5. Medición y abono</w:t>
        </w:r>
        <w:r>
          <w:rPr>
            <w:webHidden/>
          </w:rPr>
          <w:tab/>
        </w:r>
        <w:r>
          <w:rPr>
            <w:webHidden/>
          </w:rPr>
          <w:fldChar w:fldCharType="begin"/>
        </w:r>
        <w:r>
          <w:rPr>
            <w:webHidden/>
          </w:rPr>
          <w:instrText xml:space="preserve"> PAGEREF _Toc404287 \h </w:instrText>
        </w:r>
        <w:r>
          <w:rPr>
            <w:webHidden/>
          </w:rPr>
        </w:r>
        <w:r>
          <w:rPr>
            <w:webHidden/>
          </w:rPr>
          <w:fldChar w:fldCharType="separate"/>
        </w:r>
        <w:r w:rsidR="001B26B5">
          <w:rPr>
            <w:webHidden/>
          </w:rPr>
          <w:t>144</w:t>
        </w:r>
        <w:r>
          <w:rPr>
            <w:webHidden/>
          </w:rPr>
          <w:fldChar w:fldCharType="end"/>
        </w:r>
      </w:hyperlink>
    </w:p>
    <w:p w14:paraId="2D1CE5FE" w14:textId="77777777" w:rsidR="0006561B" w:rsidRDefault="0006561B">
      <w:pPr>
        <w:pStyle w:val="TDC1"/>
        <w:rPr>
          <w:rFonts w:asciiTheme="minorHAnsi" w:eastAsiaTheme="minorEastAsia" w:hAnsiTheme="minorHAnsi" w:cstheme="minorBidi"/>
          <w:b w:val="0"/>
          <w:sz w:val="22"/>
          <w:szCs w:val="22"/>
          <w:lang w:val="es-ES" w:eastAsia="es-ES"/>
        </w:rPr>
      </w:pPr>
      <w:r>
        <w:rPr>
          <w:rStyle w:val="Hipervnculo"/>
        </w:rPr>
        <w:br w:type="column"/>
      </w:r>
      <w:hyperlink w:anchor="_Toc404288" w:history="1">
        <w:r w:rsidRPr="003B1501">
          <w:rPr>
            <w:rStyle w:val="Hipervnculo"/>
          </w:rPr>
          <w:t>Parte 5.-  Firmes y pavimentos</w:t>
        </w:r>
        <w:r>
          <w:rPr>
            <w:webHidden/>
          </w:rPr>
          <w:tab/>
        </w:r>
        <w:r>
          <w:rPr>
            <w:webHidden/>
          </w:rPr>
          <w:fldChar w:fldCharType="begin"/>
        </w:r>
        <w:r>
          <w:rPr>
            <w:webHidden/>
          </w:rPr>
          <w:instrText xml:space="preserve"> PAGEREF _Toc404288 \h </w:instrText>
        </w:r>
        <w:r>
          <w:rPr>
            <w:webHidden/>
          </w:rPr>
        </w:r>
        <w:r>
          <w:rPr>
            <w:webHidden/>
          </w:rPr>
          <w:fldChar w:fldCharType="separate"/>
        </w:r>
        <w:r w:rsidR="001B26B5">
          <w:rPr>
            <w:webHidden/>
          </w:rPr>
          <w:t>145</w:t>
        </w:r>
        <w:r>
          <w:rPr>
            <w:webHidden/>
          </w:rPr>
          <w:fldChar w:fldCharType="end"/>
        </w:r>
      </w:hyperlink>
    </w:p>
    <w:p w14:paraId="48B01D6F" w14:textId="77777777" w:rsidR="0006561B" w:rsidRDefault="0006561B">
      <w:pPr>
        <w:pStyle w:val="TDC1"/>
        <w:rPr>
          <w:rFonts w:asciiTheme="minorHAnsi" w:eastAsiaTheme="minorEastAsia" w:hAnsiTheme="minorHAnsi" w:cstheme="minorBidi"/>
          <w:b w:val="0"/>
          <w:sz w:val="22"/>
          <w:szCs w:val="22"/>
          <w:lang w:val="es-ES" w:eastAsia="es-ES"/>
        </w:rPr>
      </w:pPr>
      <w:hyperlink w:anchor="_Toc404289" w:history="1">
        <w:r w:rsidRPr="003B1501">
          <w:rPr>
            <w:rStyle w:val="Hipervnculo"/>
          </w:rPr>
          <w:t>Artículo 510. Zahorras</w:t>
        </w:r>
        <w:r>
          <w:rPr>
            <w:webHidden/>
          </w:rPr>
          <w:tab/>
        </w:r>
        <w:r>
          <w:rPr>
            <w:webHidden/>
          </w:rPr>
          <w:fldChar w:fldCharType="begin"/>
        </w:r>
        <w:r>
          <w:rPr>
            <w:webHidden/>
          </w:rPr>
          <w:instrText xml:space="preserve"> PAGEREF _Toc404289 \h </w:instrText>
        </w:r>
        <w:r>
          <w:rPr>
            <w:webHidden/>
          </w:rPr>
        </w:r>
        <w:r>
          <w:rPr>
            <w:webHidden/>
          </w:rPr>
          <w:fldChar w:fldCharType="separate"/>
        </w:r>
        <w:r w:rsidR="001B26B5">
          <w:rPr>
            <w:webHidden/>
          </w:rPr>
          <w:t>147</w:t>
        </w:r>
        <w:r>
          <w:rPr>
            <w:webHidden/>
          </w:rPr>
          <w:fldChar w:fldCharType="end"/>
        </w:r>
      </w:hyperlink>
    </w:p>
    <w:p w14:paraId="27661533" w14:textId="77777777" w:rsidR="0006561B" w:rsidRDefault="0006561B">
      <w:pPr>
        <w:pStyle w:val="TDC2"/>
        <w:rPr>
          <w:rFonts w:asciiTheme="minorHAnsi" w:eastAsiaTheme="minorEastAsia" w:hAnsiTheme="minorHAnsi" w:cstheme="minorBidi"/>
          <w:szCs w:val="22"/>
          <w:lang w:val="es-ES" w:eastAsia="es-ES"/>
        </w:rPr>
      </w:pPr>
      <w:hyperlink w:anchor="_Toc404290" w:history="1">
        <w:r w:rsidRPr="003B1501">
          <w:rPr>
            <w:rStyle w:val="Hipervnculo"/>
          </w:rPr>
          <w:t>510.1. Definición y aplicación</w:t>
        </w:r>
        <w:r>
          <w:rPr>
            <w:webHidden/>
          </w:rPr>
          <w:tab/>
        </w:r>
        <w:r>
          <w:rPr>
            <w:webHidden/>
          </w:rPr>
          <w:fldChar w:fldCharType="begin"/>
        </w:r>
        <w:r>
          <w:rPr>
            <w:webHidden/>
          </w:rPr>
          <w:instrText xml:space="preserve"> PAGEREF _Toc404290 \h </w:instrText>
        </w:r>
        <w:r>
          <w:rPr>
            <w:webHidden/>
          </w:rPr>
        </w:r>
        <w:r>
          <w:rPr>
            <w:webHidden/>
          </w:rPr>
          <w:fldChar w:fldCharType="separate"/>
        </w:r>
        <w:r w:rsidR="001B26B5">
          <w:rPr>
            <w:webHidden/>
          </w:rPr>
          <w:t>147</w:t>
        </w:r>
        <w:r>
          <w:rPr>
            <w:webHidden/>
          </w:rPr>
          <w:fldChar w:fldCharType="end"/>
        </w:r>
      </w:hyperlink>
    </w:p>
    <w:p w14:paraId="12481242" w14:textId="77777777" w:rsidR="0006561B" w:rsidRDefault="0006561B">
      <w:pPr>
        <w:pStyle w:val="TDC2"/>
        <w:rPr>
          <w:rFonts w:asciiTheme="minorHAnsi" w:eastAsiaTheme="minorEastAsia" w:hAnsiTheme="minorHAnsi" w:cstheme="minorBidi"/>
          <w:szCs w:val="22"/>
          <w:lang w:val="es-ES" w:eastAsia="es-ES"/>
        </w:rPr>
      </w:pPr>
      <w:hyperlink w:anchor="_Toc404291" w:history="1">
        <w:r w:rsidRPr="003B1501">
          <w:rPr>
            <w:rStyle w:val="Hipervnculo"/>
          </w:rPr>
          <w:t xml:space="preserve">510.2.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_Toc404291 \h </w:instrText>
        </w:r>
        <w:r>
          <w:rPr>
            <w:webHidden/>
          </w:rPr>
        </w:r>
        <w:r>
          <w:rPr>
            <w:webHidden/>
          </w:rPr>
          <w:fldChar w:fldCharType="separate"/>
        </w:r>
        <w:r w:rsidR="001B26B5">
          <w:rPr>
            <w:webHidden/>
          </w:rPr>
          <w:t>147</w:t>
        </w:r>
        <w:r>
          <w:rPr>
            <w:webHidden/>
          </w:rPr>
          <w:fldChar w:fldCharType="end"/>
        </w:r>
      </w:hyperlink>
    </w:p>
    <w:p w14:paraId="71F12173" w14:textId="77777777" w:rsidR="0006561B" w:rsidRDefault="0006561B">
      <w:pPr>
        <w:pStyle w:val="TDC2"/>
        <w:rPr>
          <w:rFonts w:asciiTheme="minorHAnsi" w:eastAsiaTheme="minorEastAsia" w:hAnsiTheme="minorHAnsi" w:cstheme="minorBidi"/>
          <w:szCs w:val="22"/>
          <w:lang w:val="es-ES" w:eastAsia="es-ES"/>
        </w:rPr>
      </w:pPr>
      <w:hyperlink w:anchor="_Toc404292" w:history="1">
        <w:r w:rsidRPr="003B1501">
          <w:rPr>
            <w:rStyle w:val="Hipervnculo"/>
          </w:rPr>
          <w:t xml:space="preserve">510.3.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_Toc404292 \h </w:instrText>
        </w:r>
        <w:r>
          <w:rPr>
            <w:webHidden/>
          </w:rPr>
        </w:r>
        <w:r>
          <w:rPr>
            <w:webHidden/>
          </w:rPr>
          <w:fldChar w:fldCharType="separate"/>
        </w:r>
        <w:r w:rsidR="001B26B5">
          <w:rPr>
            <w:webHidden/>
          </w:rPr>
          <w:t>147</w:t>
        </w:r>
        <w:r>
          <w:rPr>
            <w:webHidden/>
          </w:rPr>
          <w:fldChar w:fldCharType="end"/>
        </w:r>
      </w:hyperlink>
    </w:p>
    <w:p w14:paraId="4A9D30D0" w14:textId="77777777" w:rsidR="0006561B" w:rsidRDefault="0006561B">
      <w:pPr>
        <w:pStyle w:val="TDC2"/>
        <w:rPr>
          <w:rFonts w:asciiTheme="minorHAnsi" w:eastAsiaTheme="minorEastAsia" w:hAnsiTheme="minorHAnsi" w:cstheme="minorBidi"/>
          <w:szCs w:val="22"/>
          <w:lang w:val="es-ES" w:eastAsia="es-ES"/>
        </w:rPr>
      </w:pPr>
      <w:hyperlink w:anchor="_Toc404293" w:history="1">
        <w:r w:rsidRPr="003B1501">
          <w:rPr>
            <w:rStyle w:val="Hipervnculo"/>
          </w:rPr>
          <w:t xml:space="preserve">510.4. </w:t>
        </w:r>
        <w:r>
          <w:rPr>
            <w:rFonts w:asciiTheme="minorHAnsi" w:eastAsiaTheme="minorEastAsia" w:hAnsiTheme="minorHAnsi" w:cstheme="minorBidi"/>
            <w:szCs w:val="22"/>
            <w:lang w:val="es-ES" w:eastAsia="es-ES"/>
          </w:rPr>
          <w:tab/>
        </w:r>
        <w:r w:rsidRPr="003B1501">
          <w:rPr>
            <w:rStyle w:val="Hipervnculo"/>
          </w:rPr>
          <w:t>Recepción</w:t>
        </w:r>
        <w:r>
          <w:rPr>
            <w:webHidden/>
          </w:rPr>
          <w:tab/>
        </w:r>
        <w:r>
          <w:rPr>
            <w:webHidden/>
          </w:rPr>
          <w:fldChar w:fldCharType="begin"/>
        </w:r>
        <w:r>
          <w:rPr>
            <w:webHidden/>
          </w:rPr>
          <w:instrText xml:space="preserve"> PAGEREF _Toc404293 \h </w:instrText>
        </w:r>
        <w:r>
          <w:rPr>
            <w:webHidden/>
          </w:rPr>
        </w:r>
        <w:r>
          <w:rPr>
            <w:webHidden/>
          </w:rPr>
          <w:fldChar w:fldCharType="separate"/>
        </w:r>
        <w:r w:rsidR="001B26B5">
          <w:rPr>
            <w:webHidden/>
          </w:rPr>
          <w:t>148</w:t>
        </w:r>
        <w:r>
          <w:rPr>
            <w:webHidden/>
          </w:rPr>
          <w:fldChar w:fldCharType="end"/>
        </w:r>
      </w:hyperlink>
    </w:p>
    <w:p w14:paraId="0B66751B" w14:textId="77777777" w:rsidR="0006561B" w:rsidRDefault="0006561B">
      <w:pPr>
        <w:pStyle w:val="TDC2"/>
        <w:rPr>
          <w:rFonts w:asciiTheme="minorHAnsi" w:eastAsiaTheme="minorEastAsia" w:hAnsiTheme="minorHAnsi" w:cstheme="minorBidi"/>
          <w:szCs w:val="22"/>
          <w:lang w:val="es-ES" w:eastAsia="es-ES"/>
        </w:rPr>
      </w:pPr>
      <w:hyperlink w:anchor="_Toc404294" w:history="1">
        <w:r w:rsidRPr="003B1501">
          <w:rPr>
            <w:rStyle w:val="Hipervnculo"/>
          </w:rPr>
          <w:t xml:space="preserve">510.5. </w:t>
        </w:r>
        <w:r>
          <w:rPr>
            <w:rFonts w:asciiTheme="minorHAnsi" w:eastAsiaTheme="minorEastAsia" w:hAnsiTheme="minorHAnsi" w:cstheme="minorBidi"/>
            <w:szCs w:val="22"/>
            <w:lang w:val="es-ES" w:eastAsia="es-ES"/>
          </w:rPr>
          <w:tab/>
        </w:r>
        <w:r w:rsidRPr="003B1501">
          <w:rPr>
            <w:rStyle w:val="Hipervnculo"/>
          </w:rPr>
          <w:t>Control de calidad</w:t>
        </w:r>
        <w:r>
          <w:rPr>
            <w:webHidden/>
          </w:rPr>
          <w:tab/>
        </w:r>
        <w:r>
          <w:rPr>
            <w:webHidden/>
          </w:rPr>
          <w:fldChar w:fldCharType="begin"/>
        </w:r>
        <w:r>
          <w:rPr>
            <w:webHidden/>
          </w:rPr>
          <w:instrText xml:space="preserve"> PAGEREF _Toc404294 \h </w:instrText>
        </w:r>
        <w:r>
          <w:rPr>
            <w:webHidden/>
          </w:rPr>
        </w:r>
        <w:r>
          <w:rPr>
            <w:webHidden/>
          </w:rPr>
          <w:fldChar w:fldCharType="separate"/>
        </w:r>
        <w:r w:rsidR="001B26B5">
          <w:rPr>
            <w:webHidden/>
          </w:rPr>
          <w:t>149</w:t>
        </w:r>
        <w:r>
          <w:rPr>
            <w:webHidden/>
          </w:rPr>
          <w:fldChar w:fldCharType="end"/>
        </w:r>
      </w:hyperlink>
    </w:p>
    <w:p w14:paraId="74A7429B" w14:textId="77777777" w:rsidR="0006561B" w:rsidRDefault="0006561B">
      <w:pPr>
        <w:pStyle w:val="TDC2"/>
        <w:rPr>
          <w:rFonts w:asciiTheme="minorHAnsi" w:eastAsiaTheme="minorEastAsia" w:hAnsiTheme="minorHAnsi" w:cstheme="minorBidi"/>
          <w:szCs w:val="22"/>
          <w:lang w:val="es-ES" w:eastAsia="es-ES"/>
        </w:rPr>
      </w:pPr>
      <w:hyperlink w:anchor="_Toc404295" w:history="1">
        <w:r w:rsidRPr="003B1501">
          <w:rPr>
            <w:rStyle w:val="Hipervnculo"/>
          </w:rPr>
          <w:t>510.6.   Medición y abono</w:t>
        </w:r>
        <w:r>
          <w:rPr>
            <w:webHidden/>
          </w:rPr>
          <w:tab/>
        </w:r>
        <w:r>
          <w:rPr>
            <w:webHidden/>
          </w:rPr>
          <w:fldChar w:fldCharType="begin"/>
        </w:r>
        <w:r>
          <w:rPr>
            <w:webHidden/>
          </w:rPr>
          <w:instrText xml:space="preserve"> PAGEREF _Toc404295 \h </w:instrText>
        </w:r>
        <w:r>
          <w:rPr>
            <w:webHidden/>
          </w:rPr>
        </w:r>
        <w:r>
          <w:rPr>
            <w:webHidden/>
          </w:rPr>
          <w:fldChar w:fldCharType="separate"/>
        </w:r>
        <w:r w:rsidR="001B26B5">
          <w:rPr>
            <w:webHidden/>
          </w:rPr>
          <w:t>149</w:t>
        </w:r>
        <w:r>
          <w:rPr>
            <w:webHidden/>
          </w:rPr>
          <w:fldChar w:fldCharType="end"/>
        </w:r>
      </w:hyperlink>
    </w:p>
    <w:p w14:paraId="4FB31E2F" w14:textId="77777777" w:rsidR="0006561B" w:rsidRDefault="0006561B">
      <w:pPr>
        <w:pStyle w:val="TDC1"/>
        <w:rPr>
          <w:rFonts w:asciiTheme="minorHAnsi" w:eastAsiaTheme="minorEastAsia" w:hAnsiTheme="minorHAnsi" w:cstheme="minorBidi"/>
          <w:b w:val="0"/>
          <w:sz w:val="22"/>
          <w:szCs w:val="22"/>
          <w:lang w:val="es-ES" w:eastAsia="es-ES"/>
        </w:rPr>
      </w:pPr>
      <w:hyperlink w:anchor="_Toc404296" w:history="1">
        <w:r w:rsidRPr="003B1501">
          <w:rPr>
            <w:rStyle w:val="Hipervnculo"/>
          </w:rPr>
          <w:t>Artículo 512. Suelo estabilizado in situ</w:t>
        </w:r>
        <w:r>
          <w:rPr>
            <w:webHidden/>
          </w:rPr>
          <w:tab/>
        </w:r>
        <w:r>
          <w:rPr>
            <w:webHidden/>
          </w:rPr>
          <w:fldChar w:fldCharType="begin"/>
        </w:r>
        <w:r>
          <w:rPr>
            <w:webHidden/>
          </w:rPr>
          <w:instrText xml:space="preserve"> PAGEREF _Toc404296 \h </w:instrText>
        </w:r>
        <w:r>
          <w:rPr>
            <w:webHidden/>
          </w:rPr>
        </w:r>
        <w:r>
          <w:rPr>
            <w:webHidden/>
          </w:rPr>
          <w:fldChar w:fldCharType="separate"/>
        </w:r>
        <w:r w:rsidR="001B26B5">
          <w:rPr>
            <w:webHidden/>
          </w:rPr>
          <w:t>150</w:t>
        </w:r>
        <w:r>
          <w:rPr>
            <w:webHidden/>
          </w:rPr>
          <w:fldChar w:fldCharType="end"/>
        </w:r>
      </w:hyperlink>
    </w:p>
    <w:p w14:paraId="2599BDE1" w14:textId="77777777" w:rsidR="0006561B" w:rsidRDefault="0006561B">
      <w:pPr>
        <w:pStyle w:val="TDC2"/>
        <w:rPr>
          <w:rFonts w:asciiTheme="minorHAnsi" w:eastAsiaTheme="minorEastAsia" w:hAnsiTheme="minorHAnsi" w:cstheme="minorBidi"/>
          <w:szCs w:val="22"/>
          <w:lang w:val="es-ES" w:eastAsia="es-ES"/>
        </w:rPr>
      </w:pPr>
      <w:hyperlink w:anchor="_Toc404297" w:history="1">
        <w:r w:rsidRPr="003B1501">
          <w:rPr>
            <w:rStyle w:val="Hipervnculo"/>
          </w:rPr>
          <w:t>512.1. Definición</w:t>
        </w:r>
        <w:r>
          <w:rPr>
            <w:webHidden/>
          </w:rPr>
          <w:tab/>
        </w:r>
        <w:r>
          <w:rPr>
            <w:webHidden/>
          </w:rPr>
          <w:fldChar w:fldCharType="begin"/>
        </w:r>
        <w:r>
          <w:rPr>
            <w:webHidden/>
          </w:rPr>
          <w:instrText xml:space="preserve"> PAGEREF _Toc404297 \h </w:instrText>
        </w:r>
        <w:r>
          <w:rPr>
            <w:webHidden/>
          </w:rPr>
        </w:r>
        <w:r>
          <w:rPr>
            <w:webHidden/>
          </w:rPr>
          <w:fldChar w:fldCharType="separate"/>
        </w:r>
        <w:r w:rsidR="001B26B5">
          <w:rPr>
            <w:webHidden/>
          </w:rPr>
          <w:t>150</w:t>
        </w:r>
        <w:r>
          <w:rPr>
            <w:webHidden/>
          </w:rPr>
          <w:fldChar w:fldCharType="end"/>
        </w:r>
      </w:hyperlink>
    </w:p>
    <w:p w14:paraId="16161B2F" w14:textId="77777777" w:rsidR="0006561B" w:rsidRDefault="0006561B">
      <w:pPr>
        <w:pStyle w:val="TDC2"/>
        <w:rPr>
          <w:rFonts w:asciiTheme="minorHAnsi" w:eastAsiaTheme="minorEastAsia" w:hAnsiTheme="minorHAnsi" w:cstheme="minorBidi"/>
          <w:szCs w:val="22"/>
          <w:lang w:val="es-ES" w:eastAsia="es-ES"/>
        </w:rPr>
      </w:pPr>
      <w:hyperlink w:anchor="_Toc404298" w:history="1">
        <w:r w:rsidRPr="003B1501">
          <w:rPr>
            <w:rStyle w:val="Hipervnculo"/>
          </w:rPr>
          <w:t>512.2. Materiales</w:t>
        </w:r>
        <w:r>
          <w:rPr>
            <w:webHidden/>
          </w:rPr>
          <w:tab/>
        </w:r>
        <w:r>
          <w:rPr>
            <w:webHidden/>
          </w:rPr>
          <w:fldChar w:fldCharType="begin"/>
        </w:r>
        <w:r>
          <w:rPr>
            <w:webHidden/>
          </w:rPr>
          <w:instrText xml:space="preserve"> PAGEREF _Toc404298 \h </w:instrText>
        </w:r>
        <w:r>
          <w:rPr>
            <w:webHidden/>
          </w:rPr>
        </w:r>
        <w:r>
          <w:rPr>
            <w:webHidden/>
          </w:rPr>
          <w:fldChar w:fldCharType="separate"/>
        </w:r>
        <w:r w:rsidR="001B26B5">
          <w:rPr>
            <w:webHidden/>
          </w:rPr>
          <w:t>150</w:t>
        </w:r>
        <w:r>
          <w:rPr>
            <w:webHidden/>
          </w:rPr>
          <w:fldChar w:fldCharType="end"/>
        </w:r>
      </w:hyperlink>
    </w:p>
    <w:p w14:paraId="691DA79F" w14:textId="77777777" w:rsidR="0006561B" w:rsidRDefault="0006561B">
      <w:pPr>
        <w:pStyle w:val="TDC2"/>
        <w:rPr>
          <w:rFonts w:asciiTheme="minorHAnsi" w:eastAsiaTheme="minorEastAsia" w:hAnsiTheme="minorHAnsi" w:cstheme="minorBidi"/>
          <w:szCs w:val="22"/>
          <w:lang w:val="es-ES" w:eastAsia="es-ES"/>
        </w:rPr>
      </w:pPr>
      <w:hyperlink w:anchor="_Toc404299" w:history="1">
        <w:r w:rsidRPr="003B1501">
          <w:rPr>
            <w:rStyle w:val="Hipervnculo"/>
          </w:rPr>
          <w:t>512.3. Tipo y composición del suelo estabilizado</w:t>
        </w:r>
        <w:r>
          <w:rPr>
            <w:webHidden/>
          </w:rPr>
          <w:tab/>
        </w:r>
        <w:r>
          <w:rPr>
            <w:webHidden/>
          </w:rPr>
          <w:fldChar w:fldCharType="begin"/>
        </w:r>
        <w:r>
          <w:rPr>
            <w:webHidden/>
          </w:rPr>
          <w:instrText xml:space="preserve"> PAGEREF _Toc404299 \h </w:instrText>
        </w:r>
        <w:r>
          <w:rPr>
            <w:webHidden/>
          </w:rPr>
        </w:r>
        <w:r>
          <w:rPr>
            <w:webHidden/>
          </w:rPr>
          <w:fldChar w:fldCharType="separate"/>
        </w:r>
        <w:r w:rsidR="001B26B5">
          <w:rPr>
            <w:webHidden/>
          </w:rPr>
          <w:t>151</w:t>
        </w:r>
        <w:r>
          <w:rPr>
            <w:webHidden/>
          </w:rPr>
          <w:fldChar w:fldCharType="end"/>
        </w:r>
      </w:hyperlink>
    </w:p>
    <w:p w14:paraId="31B47EE4" w14:textId="77777777" w:rsidR="0006561B" w:rsidRDefault="0006561B">
      <w:pPr>
        <w:pStyle w:val="TDC2"/>
        <w:rPr>
          <w:rFonts w:asciiTheme="minorHAnsi" w:eastAsiaTheme="minorEastAsia" w:hAnsiTheme="minorHAnsi" w:cstheme="minorBidi"/>
          <w:szCs w:val="22"/>
          <w:lang w:val="es-ES" w:eastAsia="es-ES"/>
        </w:rPr>
      </w:pPr>
      <w:hyperlink w:anchor="_Toc404300" w:history="1">
        <w:r w:rsidRPr="003B1501">
          <w:rPr>
            <w:rStyle w:val="Hipervnculo"/>
          </w:rPr>
          <w:t>512.4. Equipo necesario para la ejecución de las obras</w:t>
        </w:r>
        <w:r>
          <w:rPr>
            <w:webHidden/>
          </w:rPr>
          <w:tab/>
        </w:r>
        <w:r>
          <w:rPr>
            <w:webHidden/>
          </w:rPr>
          <w:fldChar w:fldCharType="begin"/>
        </w:r>
        <w:r>
          <w:rPr>
            <w:webHidden/>
          </w:rPr>
          <w:instrText xml:space="preserve"> PAGEREF _Toc404300 \h </w:instrText>
        </w:r>
        <w:r>
          <w:rPr>
            <w:webHidden/>
          </w:rPr>
        </w:r>
        <w:r>
          <w:rPr>
            <w:webHidden/>
          </w:rPr>
          <w:fldChar w:fldCharType="separate"/>
        </w:r>
        <w:r w:rsidR="001B26B5">
          <w:rPr>
            <w:webHidden/>
          </w:rPr>
          <w:t>151</w:t>
        </w:r>
        <w:r>
          <w:rPr>
            <w:webHidden/>
          </w:rPr>
          <w:fldChar w:fldCharType="end"/>
        </w:r>
      </w:hyperlink>
    </w:p>
    <w:p w14:paraId="7474BB87" w14:textId="77777777" w:rsidR="0006561B" w:rsidRDefault="0006561B">
      <w:pPr>
        <w:pStyle w:val="TDC2"/>
        <w:rPr>
          <w:rFonts w:asciiTheme="minorHAnsi" w:eastAsiaTheme="minorEastAsia" w:hAnsiTheme="minorHAnsi" w:cstheme="minorBidi"/>
          <w:szCs w:val="22"/>
          <w:lang w:val="es-ES" w:eastAsia="es-ES"/>
        </w:rPr>
      </w:pPr>
      <w:hyperlink w:anchor="_Toc404301" w:history="1">
        <w:r w:rsidRPr="003B1501">
          <w:rPr>
            <w:rStyle w:val="Hipervnculo"/>
          </w:rPr>
          <w:t>512.5. Ejecución de las obras</w:t>
        </w:r>
        <w:r>
          <w:rPr>
            <w:webHidden/>
          </w:rPr>
          <w:tab/>
        </w:r>
        <w:r>
          <w:rPr>
            <w:webHidden/>
          </w:rPr>
          <w:fldChar w:fldCharType="begin"/>
        </w:r>
        <w:r>
          <w:rPr>
            <w:webHidden/>
          </w:rPr>
          <w:instrText xml:space="preserve"> PAGEREF _Toc404301 \h </w:instrText>
        </w:r>
        <w:r>
          <w:rPr>
            <w:webHidden/>
          </w:rPr>
        </w:r>
        <w:r>
          <w:rPr>
            <w:webHidden/>
          </w:rPr>
          <w:fldChar w:fldCharType="separate"/>
        </w:r>
        <w:r w:rsidR="001B26B5">
          <w:rPr>
            <w:webHidden/>
          </w:rPr>
          <w:t>152</w:t>
        </w:r>
        <w:r>
          <w:rPr>
            <w:webHidden/>
          </w:rPr>
          <w:fldChar w:fldCharType="end"/>
        </w:r>
      </w:hyperlink>
    </w:p>
    <w:p w14:paraId="3D4B2DEB" w14:textId="77777777" w:rsidR="0006561B" w:rsidRDefault="0006561B">
      <w:pPr>
        <w:pStyle w:val="TDC2"/>
        <w:rPr>
          <w:rFonts w:asciiTheme="minorHAnsi" w:eastAsiaTheme="minorEastAsia" w:hAnsiTheme="minorHAnsi" w:cstheme="minorBidi"/>
          <w:szCs w:val="22"/>
          <w:lang w:val="es-ES" w:eastAsia="es-ES"/>
        </w:rPr>
      </w:pPr>
      <w:hyperlink w:anchor="_Toc404302" w:history="1">
        <w:r w:rsidRPr="003B1501">
          <w:rPr>
            <w:rStyle w:val="Hipervnculo"/>
          </w:rPr>
          <w:t>512.7. Especificaciones de la unida terminada</w:t>
        </w:r>
        <w:r>
          <w:rPr>
            <w:webHidden/>
          </w:rPr>
          <w:tab/>
        </w:r>
        <w:r>
          <w:rPr>
            <w:webHidden/>
          </w:rPr>
          <w:fldChar w:fldCharType="begin"/>
        </w:r>
        <w:r>
          <w:rPr>
            <w:webHidden/>
          </w:rPr>
          <w:instrText xml:space="preserve"> PAGEREF _Toc404302 \h </w:instrText>
        </w:r>
        <w:r>
          <w:rPr>
            <w:webHidden/>
          </w:rPr>
        </w:r>
        <w:r>
          <w:rPr>
            <w:webHidden/>
          </w:rPr>
          <w:fldChar w:fldCharType="separate"/>
        </w:r>
        <w:r w:rsidR="001B26B5">
          <w:rPr>
            <w:webHidden/>
          </w:rPr>
          <w:t>154</w:t>
        </w:r>
        <w:r>
          <w:rPr>
            <w:webHidden/>
          </w:rPr>
          <w:fldChar w:fldCharType="end"/>
        </w:r>
      </w:hyperlink>
    </w:p>
    <w:p w14:paraId="082D5E3A" w14:textId="77777777" w:rsidR="0006561B" w:rsidRDefault="0006561B">
      <w:pPr>
        <w:pStyle w:val="TDC2"/>
        <w:rPr>
          <w:rFonts w:asciiTheme="minorHAnsi" w:eastAsiaTheme="minorEastAsia" w:hAnsiTheme="minorHAnsi" w:cstheme="minorBidi"/>
          <w:szCs w:val="22"/>
          <w:lang w:val="es-ES" w:eastAsia="es-ES"/>
        </w:rPr>
      </w:pPr>
      <w:hyperlink w:anchor="_Toc404303" w:history="1">
        <w:r w:rsidRPr="003B1501">
          <w:rPr>
            <w:rStyle w:val="Hipervnculo"/>
          </w:rPr>
          <w:t>512.8. Limitaciones de la ejecución</w:t>
        </w:r>
        <w:r>
          <w:rPr>
            <w:webHidden/>
          </w:rPr>
          <w:tab/>
        </w:r>
        <w:r>
          <w:rPr>
            <w:webHidden/>
          </w:rPr>
          <w:fldChar w:fldCharType="begin"/>
        </w:r>
        <w:r>
          <w:rPr>
            <w:webHidden/>
          </w:rPr>
          <w:instrText xml:space="preserve"> PAGEREF _Toc404303 \h </w:instrText>
        </w:r>
        <w:r>
          <w:rPr>
            <w:webHidden/>
          </w:rPr>
        </w:r>
        <w:r>
          <w:rPr>
            <w:webHidden/>
          </w:rPr>
          <w:fldChar w:fldCharType="separate"/>
        </w:r>
        <w:r w:rsidR="001B26B5">
          <w:rPr>
            <w:webHidden/>
          </w:rPr>
          <w:t>154</w:t>
        </w:r>
        <w:r>
          <w:rPr>
            <w:webHidden/>
          </w:rPr>
          <w:fldChar w:fldCharType="end"/>
        </w:r>
      </w:hyperlink>
    </w:p>
    <w:p w14:paraId="4F847FFB" w14:textId="77777777" w:rsidR="0006561B" w:rsidRDefault="0006561B">
      <w:pPr>
        <w:pStyle w:val="TDC2"/>
        <w:rPr>
          <w:rFonts w:asciiTheme="minorHAnsi" w:eastAsiaTheme="minorEastAsia" w:hAnsiTheme="minorHAnsi" w:cstheme="minorBidi"/>
          <w:szCs w:val="22"/>
          <w:lang w:val="es-ES" w:eastAsia="es-ES"/>
        </w:rPr>
      </w:pPr>
      <w:hyperlink w:anchor="_Toc404304" w:history="1">
        <w:r w:rsidRPr="003B1501">
          <w:rPr>
            <w:rStyle w:val="Hipervnculo"/>
          </w:rPr>
          <w:t>512.9. Control de calidad</w:t>
        </w:r>
        <w:r>
          <w:rPr>
            <w:webHidden/>
          </w:rPr>
          <w:tab/>
        </w:r>
        <w:r>
          <w:rPr>
            <w:webHidden/>
          </w:rPr>
          <w:fldChar w:fldCharType="begin"/>
        </w:r>
        <w:r>
          <w:rPr>
            <w:webHidden/>
          </w:rPr>
          <w:instrText xml:space="preserve"> PAGEREF _Toc404304 \h </w:instrText>
        </w:r>
        <w:r>
          <w:rPr>
            <w:webHidden/>
          </w:rPr>
        </w:r>
        <w:r>
          <w:rPr>
            <w:webHidden/>
          </w:rPr>
          <w:fldChar w:fldCharType="separate"/>
        </w:r>
        <w:r w:rsidR="001B26B5">
          <w:rPr>
            <w:webHidden/>
          </w:rPr>
          <w:t>154</w:t>
        </w:r>
        <w:r>
          <w:rPr>
            <w:webHidden/>
          </w:rPr>
          <w:fldChar w:fldCharType="end"/>
        </w:r>
      </w:hyperlink>
    </w:p>
    <w:p w14:paraId="292EA0C5" w14:textId="77777777" w:rsidR="0006561B" w:rsidRDefault="0006561B">
      <w:pPr>
        <w:pStyle w:val="TDC2"/>
        <w:rPr>
          <w:rFonts w:asciiTheme="minorHAnsi" w:eastAsiaTheme="minorEastAsia" w:hAnsiTheme="minorHAnsi" w:cstheme="minorBidi"/>
          <w:szCs w:val="22"/>
          <w:lang w:val="es-ES" w:eastAsia="es-ES"/>
        </w:rPr>
      </w:pPr>
      <w:hyperlink w:anchor="_Toc404305" w:history="1">
        <w:r w:rsidRPr="003B1501">
          <w:rPr>
            <w:rStyle w:val="Hipervnculo"/>
          </w:rPr>
          <w:t>512.10. Criterios de aceptación o rechazo</w:t>
        </w:r>
        <w:r>
          <w:rPr>
            <w:webHidden/>
          </w:rPr>
          <w:tab/>
        </w:r>
        <w:r>
          <w:rPr>
            <w:webHidden/>
          </w:rPr>
          <w:fldChar w:fldCharType="begin"/>
        </w:r>
        <w:r>
          <w:rPr>
            <w:webHidden/>
          </w:rPr>
          <w:instrText xml:space="preserve"> PAGEREF _Toc404305 \h </w:instrText>
        </w:r>
        <w:r>
          <w:rPr>
            <w:webHidden/>
          </w:rPr>
        </w:r>
        <w:r>
          <w:rPr>
            <w:webHidden/>
          </w:rPr>
          <w:fldChar w:fldCharType="separate"/>
        </w:r>
        <w:r w:rsidR="001B26B5">
          <w:rPr>
            <w:webHidden/>
          </w:rPr>
          <w:t>155</w:t>
        </w:r>
        <w:r>
          <w:rPr>
            <w:webHidden/>
          </w:rPr>
          <w:fldChar w:fldCharType="end"/>
        </w:r>
      </w:hyperlink>
    </w:p>
    <w:p w14:paraId="7CDA5E35" w14:textId="77777777" w:rsidR="0006561B" w:rsidRDefault="0006561B">
      <w:pPr>
        <w:pStyle w:val="TDC2"/>
        <w:rPr>
          <w:rFonts w:asciiTheme="minorHAnsi" w:eastAsiaTheme="minorEastAsia" w:hAnsiTheme="minorHAnsi" w:cstheme="minorBidi"/>
          <w:szCs w:val="22"/>
          <w:lang w:val="es-ES" w:eastAsia="es-ES"/>
        </w:rPr>
      </w:pPr>
      <w:hyperlink w:anchor="_Toc404306" w:history="1">
        <w:r w:rsidRPr="003B1501">
          <w:rPr>
            <w:rStyle w:val="Hipervnculo"/>
          </w:rPr>
          <w:t>512.11. Medición y abono</w:t>
        </w:r>
        <w:r>
          <w:rPr>
            <w:webHidden/>
          </w:rPr>
          <w:tab/>
        </w:r>
        <w:r>
          <w:rPr>
            <w:webHidden/>
          </w:rPr>
          <w:fldChar w:fldCharType="begin"/>
        </w:r>
        <w:r>
          <w:rPr>
            <w:webHidden/>
          </w:rPr>
          <w:instrText xml:space="preserve"> PAGEREF _Toc404306 \h </w:instrText>
        </w:r>
        <w:r>
          <w:rPr>
            <w:webHidden/>
          </w:rPr>
        </w:r>
        <w:r>
          <w:rPr>
            <w:webHidden/>
          </w:rPr>
          <w:fldChar w:fldCharType="separate"/>
        </w:r>
        <w:r w:rsidR="001B26B5">
          <w:rPr>
            <w:webHidden/>
          </w:rPr>
          <w:t>156</w:t>
        </w:r>
        <w:r>
          <w:rPr>
            <w:webHidden/>
          </w:rPr>
          <w:fldChar w:fldCharType="end"/>
        </w:r>
      </w:hyperlink>
    </w:p>
    <w:p w14:paraId="605D23BE" w14:textId="77777777" w:rsidR="0006561B" w:rsidRDefault="0006561B">
      <w:pPr>
        <w:pStyle w:val="TDC1"/>
        <w:rPr>
          <w:rFonts w:asciiTheme="minorHAnsi" w:eastAsiaTheme="minorEastAsia" w:hAnsiTheme="minorHAnsi" w:cstheme="minorBidi"/>
          <w:b w:val="0"/>
          <w:sz w:val="22"/>
          <w:szCs w:val="22"/>
          <w:lang w:val="es-ES" w:eastAsia="es-ES"/>
        </w:rPr>
      </w:pPr>
      <w:hyperlink w:anchor="_Toc404307" w:history="1">
        <w:r w:rsidRPr="003B1501">
          <w:rPr>
            <w:rStyle w:val="Hipervnculo"/>
          </w:rPr>
          <w:t>Artículo 513. Materiales tratados con cemento. Suelo cemento y gravacemento</w:t>
        </w:r>
        <w:r>
          <w:rPr>
            <w:webHidden/>
          </w:rPr>
          <w:tab/>
        </w:r>
        <w:r>
          <w:rPr>
            <w:webHidden/>
          </w:rPr>
          <w:fldChar w:fldCharType="begin"/>
        </w:r>
        <w:r>
          <w:rPr>
            <w:webHidden/>
          </w:rPr>
          <w:instrText xml:space="preserve"> PAGEREF _Toc404307 \h </w:instrText>
        </w:r>
        <w:r>
          <w:rPr>
            <w:webHidden/>
          </w:rPr>
        </w:r>
        <w:r>
          <w:rPr>
            <w:webHidden/>
          </w:rPr>
          <w:fldChar w:fldCharType="separate"/>
        </w:r>
        <w:r w:rsidR="001B26B5">
          <w:rPr>
            <w:webHidden/>
          </w:rPr>
          <w:t>157</w:t>
        </w:r>
        <w:r>
          <w:rPr>
            <w:webHidden/>
          </w:rPr>
          <w:fldChar w:fldCharType="end"/>
        </w:r>
      </w:hyperlink>
    </w:p>
    <w:p w14:paraId="7031200A" w14:textId="77777777" w:rsidR="0006561B" w:rsidRDefault="0006561B">
      <w:pPr>
        <w:pStyle w:val="TDC2"/>
        <w:rPr>
          <w:rFonts w:asciiTheme="minorHAnsi" w:eastAsiaTheme="minorEastAsia" w:hAnsiTheme="minorHAnsi" w:cstheme="minorBidi"/>
          <w:szCs w:val="22"/>
          <w:lang w:val="es-ES" w:eastAsia="es-ES"/>
        </w:rPr>
      </w:pPr>
      <w:hyperlink w:anchor="_Toc404308" w:history="1">
        <w:r w:rsidRPr="003B1501">
          <w:rPr>
            <w:rStyle w:val="Hipervnculo"/>
          </w:rPr>
          <w:t>513.1. Definición</w:t>
        </w:r>
        <w:r>
          <w:rPr>
            <w:webHidden/>
          </w:rPr>
          <w:tab/>
        </w:r>
        <w:r>
          <w:rPr>
            <w:webHidden/>
          </w:rPr>
          <w:fldChar w:fldCharType="begin"/>
        </w:r>
        <w:r>
          <w:rPr>
            <w:webHidden/>
          </w:rPr>
          <w:instrText xml:space="preserve"> PAGEREF _Toc404308 \h </w:instrText>
        </w:r>
        <w:r>
          <w:rPr>
            <w:webHidden/>
          </w:rPr>
        </w:r>
        <w:r>
          <w:rPr>
            <w:webHidden/>
          </w:rPr>
          <w:fldChar w:fldCharType="separate"/>
        </w:r>
        <w:r w:rsidR="001B26B5">
          <w:rPr>
            <w:webHidden/>
          </w:rPr>
          <w:t>157</w:t>
        </w:r>
        <w:r>
          <w:rPr>
            <w:webHidden/>
          </w:rPr>
          <w:fldChar w:fldCharType="end"/>
        </w:r>
      </w:hyperlink>
    </w:p>
    <w:p w14:paraId="27A70EAE" w14:textId="77777777" w:rsidR="0006561B" w:rsidRDefault="0006561B">
      <w:pPr>
        <w:pStyle w:val="TDC2"/>
        <w:rPr>
          <w:rFonts w:asciiTheme="minorHAnsi" w:eastAsiaTheme="minorEastAsia" w:hAnsiTheme="minorHAnsi" w:cstheme="minorBidi"/>
          <w:szCs w:val="22"/>
          <w:lang w:val="es-ES" w:eastAsia="es-ES"/>
        </w:rPr>
      </w:pPr>
      <w:hyperlink w:anchor="_Toc404309" w:history="1">
        <w:r w:rsidRPr="003B1501">
          <w:rPr>
            <w:rStyle w:val="Hipervnculo"/>
          </w:rPr>
          <w:t>513.2. Materiales</w:t>
        </w:r>
        <w:r>
          <w:rPr>
            <w:webHidden/>
          </w:rPr>
          <w:tab/>
        </w:r>
        <w:r>
          <w:rPr>
            <w:webHidden/>
          </w:rPr>
          <w:fldChar w:fldCharType="begin"/>
        </w:r>
        <w:r>
          <w:rPr>
            <w:webHidden/>
          </w:rPr>
          <w:instrText xml:space="preserve"> PAGEREF _Toc404309 \h </w:instrText>
        </w:r>
        <w:r>
          <w:rPr>
            <w:webHidden/>
          </w:rPr>
        </w:r>
        <w:r>
          <w:rPr>
            <w:webHidden/>
          </w:rPr>
          <w:fldChar w:fldCharType="separate"/>
        </w:r>
        <w:r w:rsidR="001B26B5">
          <w:rPr>
            <w:webHidden/>
          </w:rPr>
          <w:t>157</w:t>
        </w:r>
        <w:r>
          <w:rPr>
            <w:webHidden/>
          </w:rPr>
          <w:fldChar w:fldCharType="end"/>
        </w:r>
      </w:hyperlink>
    </w:p>
    <w:p w14:paraId="4EEAE42E" w14:textId="77777777" w:rsidR="0006561B" w:rsidRDefault="0006561B">
      <w:pPr>
        <w:pStyle w:val="TDC2"/>
        <w:rPr>
          <w:rFonts w:asciiTheme="minorHAnsi" w:eastAsiaTheme="minorEastAsia" w:hAnsiTheme="minorHAnsi" w:cstheme="minorBidi"/>
          <w:szCs w:val="22"/>
          <w:lang w:val="es-ES" w:eastAsia="es-ES"/>
        </w:rPr>
      </w:pPr>
      <w:hyperlink w:anchor="_Toc404310" w:history="1">
        <w:r w:rsidRPr="003B1501">
          <w:rPr>
            <w:rStyle w:val="Hipervnculo"/>
          </w:rPr>
          <w:t>513.3. Tipo y composición de la mezcla</w:t>
        </w:r>
        <w:r>
          <w:rPr>
            <w:webHidden/>
          </w:rPr>
          <w:tab/>
        </w:r>
        <w:r>
          <w:rPr>
            <w:webHidden/>
          </w:rPr>
          <w:fldChar w:fldCharType="begin"/>
        </w:r>
        <w:r>
          <w:rPr>
            <w:webHidden/>
          </w:rPr>
          <w:instrText xml:space="preserve"> PAGEREF _Toc404310 \h </w:instrText>
        </w:r>
        <w:r>
          <w:rPr>
            <w:webHidden/>
          </w:rPr>
        </w:r>
        <w:r>
          <w:rPr>
            <w:webHidden/>
          </w:rPr>
          <w:fldChar w:fldCharType="separate"/>
        </w:r>
        <w:r w:rsidR="001B26B5">
          <w:rPr>
            <w:webHidden/>
          </w:rPr>
          <w:t>158</w:t>
        </w:r>
        <w:r>
          <w:rPr>
            <w:webHidden/>
          </w:rPr>
          <w:fldChar w:fldCharType="end"/>
        </w:r>
      </w:hyperlink>
    </w:p>
    <w:p w14:paraId="244090AE" w14:textId="77777777" w:rsidR="0006561B" w:rsidRDefault="0006561B">
      <w:pPr>
        <w:pStyle w:val="TDC2"/>
        <w:rPr>
          <w:rFonts w:asciiTheme="minorHAnsi" w:eastAsiaTheme="minorEastAsia" w:hAnsiTheme="minorHAnsi" w:cstheme="minorBidi"/>
          <w:szCs w:val="22"/>
          <w:lang w:val="es-ES" w:eastAsia="es-ES"/>
        </w:rPr>
      </w:pPr>
      <w:hyperlink w:anchor="_Toc404311" w:history="1">
        <w:r w:rsidRPr="003B1501">
          <w:rPr>
            <w:rStyle w:val="Hipervnculo"/>
          </w:rPr>
          <w:t>513.4. Equipo necesario para la ejecución de las obras</w:t>
        </w:r>
        <w:r>
          <w:rPr>
            <w:webHidden/>
          </w:rPr>
          <w:tab/>
        </w:r>
        <w:r>
          <w:rPr>
            <w:webHidden/>
          </w:rPr>
          <w:fldChar w:fldCharType="begin"/>
        </w:r>
        <w:r>
          <w:rPr>
            <w:webHidden/>
          </w:rPr>
          <w:instrText xml:space="preserve"> PAGEREF _Toc404311 \h </w:instrText>
        </w:r>
        <w:r>
          <w:rPr>
            <w:webHidden/>
          </w:rPr>
        </w:r>
        <w:r>
          <w:rPr>
            <w:webHidden/>
          </w:rPr>
          <w:fldChar w:fldCharType="separate"/>
        </w:r>
        <w:r w:rsidR="001B26B5">
          <w:rPr>
            <w:webHidden/>
          </w:rPr>
          <w:t>158</w:t>
        </w:r>
        <w:r>
          <w:rPr>
            <w:webHidden/>
          </w:rPr>
          <w:fldChar w:fldCharType="end"/>
        </w:r>
      </w:hyperlink>
    </w:p>
    <w:p w14:paraId="5BFB2020" w14:textId="77777777" w:rsidR="0006561B" w:rsidRDefault="0006561B">
      <w:pPr>
        <w:pStyle w:val="TDC2"/>
        <w:rPr>
          <w:rFonts w:asciiTheme="minorHAnsi" w:eastAsiaTheme="minorEastAsia" w:hAnsiTheme="minorHAnsi" w:cstheme="minorBidi"/>
          <w:szCs w:val="22"/>
          <w:lang w:val="es-ES" w:eastAsia="es-ES"/>
        </w:rPr>
      </w:pPr>
      <w:hyperlink w:anchor="_Toc404312" w:history="1">
        <w:r w:rsidRPr="003B1501">
          <w:rPr>
            <w:rStyle w:val="Hipervnculo"/>
          </w:rPr>
          <w:t>513.5. Ejecución de las obras</w:t>
        </w:r>
        <w:r>
          <w:rPr>
            <w:webHidden/>
          </w:rPr>
          <w:tab/>
        </w:r>
        <w:r>
          <w:rPr>
            <w:webHidden/>
          </w:rPr>
          <w:fldChar w:fldCharType="begin"/>
        </w:r>
        <w:r>
          <w:rPr>
            <w:webHidden/>
          </w:rPr>
          <w:instrText xml:space="preserve"> PAGEREF _Toc404312 \h </w:instrText>
        </w:r>
        <w:r>
          <w:rPr>
            <w:webHidden/>
          </w:rPr>
        </w:r>
        <w:r>
          <w:rPr>
            <w:webHidden/>
          </w:rPr>
          <w:fldChar w:fldCharType="separate"/>
        </w:r>
        <w:r w:rsidR="001B26B5">
          <w:rPr>
            <w:webHidden/>
          </w:rPr>
          <w:t>158</w:t>
        </w:r>
        <w:r>
          <w:rPr>
            <w:webHidden/>
          </w:rPr>
          <w:fldChar w:fldCharType="end"/>
        </w:r>
      </w:hyperlink>
    </w:p>
    <w:p w14:paraId="4C0C5F50" w14:textId="77777777" w:rsidR="0006561B" w:rsidRDefault="0006561B">
      <w:pPr>
        <w:pStyle w:val="TDC2"/>
        <w:rPr>
          <w:rFonts w:asciiTheme="minorHAnsi" w:eastAsiaTheme="minorEastAsia" w:hAnsiTheme="minorHAnsi" w:cstheme="minorBidi"/>
          <w:szCs w:val="22"/>
          <w:lang w:val="es-ES" w:eastAsia="es-ES"/>
        </w:rPr>
      </w:pPr>
      <w:hyperlink w:anchor="_Toc404313" w:history="1">
        <w:r w:rsidRPr="003B1501">
          <w:rPr>
            <w:rStyle w:val="Hipervnculo"/>
          </w:rPr>
          <w:t>513.6. Tramo de prueba</w:t>
        </w:r>
        <w:r>
          <w:rPr>
            <w:webHidden/>
          </w:rPr>
          <w:tab/>
        </w:r>
        <w:r>
          <w:rPr>
            <w:webHidden/>
          </w:rPr>
          <w:fldChar w:fldCharType="begin"/>
        </w:r>
        <w:r>
          <w:rPr>
            <w:webHidden/>
          </w:rPr>
          <w:instrText xml:space="preserve"> PAGEREF _Toc404313 \h </w:instrText>
        </w:r>
        <w:r>
          <w:rPr>
            <w:webHidden/>
          </w:rPr>
        </w:r>
        <w:r>
          <w:rPr>
            <w:webHidden/>
          </w:rPr>
          <w:fldChar w:fldCharType="separate"/>
        </w:r>
        <w:r w:rsidR="001B26B5">
          <w:rPr>
            <w:webHidden/>
          </w:rPr>
          <w:t>159</w:t>
        </w:r>
        <w:r>
          <w:rPr>
            <w:webHidden/>
          </w:rPr>
          <w:fldChar w:fldCharType="end"/>
        </w:r>
      </w:hyperlink>
    </w:p>
    <w:p w14:paraId="11B16B4A" w14:textId="77777777" w:rsidR="0006561B" w:rsidRDefault="0006561B">
      <w:pPr>
        <w:pStyle w:val="TDC2"/>
        <w:rPr>
          <w:rFonts w:asciiTheme="minorHAnsi" w:eastAsiaTheme="minorEastAsia" w:hAnsiTheme="minorHAnsi" w:cstheme="minorBidi"/>
          <w:szCs w:val="22"/>
          <w:lang w:val="es-ES" w:eastAsia="es-ES"/>
        </w:rPr>
      </w:pPr>
      <w:hyperlink w:anchor="_Toc404314" w:history="1">
        <w:r w:rsidRPr="003B1501">
          <w:rPr>
            <w:rStyle w:val="Hipervnculo"/>
          </w:rPr>
          <w:t>513.7. Especificaciones de la unidad terminada</w:t>
        </w:r>
        <w:r>
          <w:rPr>
            <w:webHidden/>
          </w:rPr>
          <w:tab/>
        </w:r>
        <w:r>
          <w:rPr>
            <w:webHidden/>
          </w:rPr>
          <w:fldChar w:fldCharType="begin"/>
        </w:r>
        <w:r>
          <w:rPr>
            <w:webHidden/>
          </w:rPr>
          <w:instrText xml:space="preserve"> PAGEREF _Toc404314 \h </w:instrText>
        </w:r>
        <w:r>
          <w:rPr>
            <w:webHidden/>
          </w:rPr>
        </w:r>
        <w:r>
          <w:rPr>
            <w:webHidden/>
          </w:rPr>
          <w:fldChar w:fldCharType="separate"/>
        </w:r>
        <w:r w:rsidR="001B26B5">
          <w:rPr>
            <w:webHidden/>
          </w:rPr>
          <w:t>159</w:t>
        </w:r>
        <w:r>
          <w:rPr>
            <w:webHidden/>
          </w:rPr>
          <w:fldChar w:fldCharType="end"/>
        </w:r>
      </w:hyperlink>
    </w:p>
    <w:p w14:paraId="5E6DA696" w14:textId="77777777" w:rsidR="0006561B" w:rsidRDefault="0006561B">
      <w:pPr>
        <w:pStyle w:val="TDC2"/>
        <w:rPr>
          <w:rFonts w:asciiTheme="minorHAnsi" w:eastAsiaTheme="minorEastAsia" w:hAnsiTheme="minorHAnsi" w:cstheme="minorBidi"/>
          <w:szCs w:val="22"/>
          <w:lang w:val="es-ES" w:eastAsia="es-ES"/>
        </w:rPr>
      </w:pPr>
      <w:hyperlink w:anchor="_Toc404315" w:history="1">
        <w:r w:rsidRPr="003B1501">
          <w:rPr>
            <w:rStyle w:val="Hipervnculo"/>
          </w:rPr>
          <w:t>513.8. Limitaciones de la ejecución</w:t>
        </w:r>
        <w:r>
          <w:rPr>
            <w:webHidden/>
          </w:rPr>
          <w:tab/>
        </w:r>
        <w:r>
          <w:rPr>
            <w:webHidden/>
          </w:rPr>
          <w:fldChar w:fldCharType="begin"/>
        </w:r>
        <w:r>
          <w:rPr>
            <w:webHidden/>
          </w:rPr>
          <w:instrText xml:space="preserve"> PAGEREF _Toc404315 \h </w:instrText>
        </w:r>
        <w:r>
          <w:rPr>
            <w:webHidden/>
          </w:rPr>
        </w:r>
        <w:r>
          <w:rPr>
            <w:webHidden/>
          </w:rPr>
          <w:fldChar w:fldCharType="separate"/>
        </w:r>
        <w:r w:rsidR="001B26B5">
          <w:rPr>
            <w:webHidden/>
          </w:rPr>
          <w:t>159</w:t>
        </w:r>
        <w:r>
          <w:rPr>
            <w:webHidden/>
          </w:rPr>
          <w:fldChar w:fldCharType="end"/>
        </w:r>
      </w:hyperlink>
    </w:p>
    <w:p w14:paraId="2F9CA4E1" w14:textId="77777777" w:rsidR="0006561B" w:rsidRDefault="0006561B">
      <w:pPr>
        <w:pStyle w:val="TDC2"/>
        <w:rPr>
          <w:rFonts w:asciiTheme="minorHAnsi" w:eastAsiaTheme="minorEastAsia" w:hAnsiTheme="minorHAnsi" w:cstheme="minorBidi"/>
          <w:szCs w:val="22"/>
          <w:lang w:val="es-ES" w:eastAsia="es-ES"/>
        </w:rPr>
      </w:pPr>
      <w:hyperlink w:anchor="_Toc404316" w:history="1">
        <w:r w:rsidRPr="003B1501">
          <w:rPr>
            <w:rStyle w:val="Hipervnculo"/>
          </w:rPr>
          <w:t>513.9. Control de calidad</w:t>
        </w:r>
        <w:r>
          <w:rPr>
            <w:webHidden/>
          </w:rPr>
          <w:tab/>
        </w:r>
        <w:r>
          <w:rPr>
            <w:webHidden/>
          </w:rPr>
          <w:fldChar w:fldCharType="begin"/>
        </w:r>
        <w:r>
          <w:rPr>
            <w:webHidden/>
          </w:rPr>
          <w:instrText xml:space="preserve"> PAGEREF _Toc404316 \h </w:instrText>
        </w:r>
        <w:r>
          <w:rPr>
            <w:webHidden/>
          </w:rPr>
        </w:r>
        <w:r>
          <w:rPr>
            <w:webHidden/>
          </w:rPr>
          <w:fldChar w:fldCharType="separate"/>
        </w:r>
        <w:r w:rsidR="001B26B5">
          <w:rPr>
            <w:webHidden/>
          </w:rPr>
          <w:t>159</w:t>
        </w:r>
        <w:r>
          <w:rPr>
            <w:webHidden/>
          </w:rPr>
          <w:fldChar w:fldCharType="end"/>
        </w:r>
      </w:hyperlink>
    </w:p>
    <w:p w14:paraId="276E2428" w14:textId="77777777" w:rsidR="0006561B" w:rsidRDefault="0006561B">
      <w:pPr>
        <w:pStyle w:val="TDC2"/>
        <w:rPr>
          <w:rFonts w:asciiTheme="minorHAnsi" w:eastAsiaTheme="minorEastAsia" w:hAnsiTheme="minorHAnsi" w:cstheme="minorBidi"/>
          <w:szCs w:val="22"/>
          <w:lang w:val="es-ES" w:eastAsia="es-ES"/>
        </w:rPr>
      </w:pPr>
      <w:hyperlink w:anchor="_Toc404317" w:history="1">
        <w:r w:rsidRPr="003B1501">
          <w:rPr>
            <w:rStyle w:val="Hipervnculo"/>
          </w:rPr>
          <w:t>513.10 Criterios de aceptación o rechazo</w:t>
        </w:r>
        <w:r>
          <w:rPr>
            <w:webHidden/>
          </w:rPr>
          <w:tab/>
        </w:r>
        <w:r>
          <w:rPr>
            <w:webHidden/>
          </w:rPr>
          <w:fldChar w:fldCharType="begin"/>
        </w:r>
        <w:r>
          <w:rPr>
            <w:webHidden/>
          </w:rPr>
          <w:instrText xml:space="preserve"> PAGEREF _Toc404317 \h </w:instrText>
        </w:r>
        <w:r>
          <w:rPr>
            <w:webHidden/>
          </w:rPr>
        </w:r>
        <w:r>
          <w:rPr>
            <w:webHidden/>
          </w:rPr>
          <w:fldChar w:fldCharType="separate"/>
        </w:r>
        <w:r w:rsidR="001B26B5">
          <w:rPr>
            <w:webHidden/>
          </w:rPr>
          <w:t>160</w:t>
        </w:r>
        <w:r>
          <w:rPr>
            <w:webHidden/>
          </w:rPr>
          <w:fldChar w:fldCharType="end"/>
        </w:r>
      </w:hyperlink>
    </w:p>
    <w:p w14:paraId="476DD2E5" w14:textId="77777777" w:rsidR="0006561B" w:rsidRDefault="0006561B">
      <w:pPr>
        <w:pStyle w:val="TDC2"/>
        <w:rPr>
          <w:rFonts w:asciiTheme="minorHAnsi" w:eastAsiaTheme="minorEastAsia" w:hAnsiTheme="minorHAnsi" w:cstheme="minorBidi"/>
          <w:szCs w:val="22"/>
          <w:lang w:val="es-ES" w:eastAsia="es-ES"/>
        </w:rPr>
      </w:pPr>
      <w:hyperlink w:anchor="_Toc404318" w:history="1">
        <w:r w:rsidRPr="003B1501">
          <w:rPr>
            <w:rStyle w:val="Hipervnculo"/>
          </w:rPr>
          <w:t>513.11. Medición y abono</w:t>
        </w:r>
        <w:r>
          <w:rPr>
            <w:webHidden/>
          </w:rPr>
          <w:tab/>
        </w:r>
        <w:r>
          <w:rPr>
            <w:webHidden/>
          </w:rPr>
          <w:fldChar w:fldCharType="begin"/>
        </w:r>
        <w:r>
          <w:rPr>
            <w:webHidden/>
          </w:rPr>
          <w:instrText xml:space="preserve"> PAGEREF _Toc404318 \h </w:instrText>
        </w:r>
        <w:r>
          <w:rPr>
            <w:webHidden/>
          </w:rPr>
        </w:r>
        <w:r>
          <w:rPr>
            <w:webHidden/>
          </w:rPr>
          <w:fldChar w:fldCharType="separate"/>
        </w:r>
        <w:r w:rsidR="001B26B5">
          <w:rPr>
            <w:webHidden/>
          </w:rPr>
          <w:t>161</w:t>
        </w:r>
        <w:r>
          <w:rPr>
            <w:webHidden/>
          </w:rPr>
          <w:fldChar w:fldCharType="end"/>
        </w:r>
      </w:hyperlink>
    </w:p>
    <w:p w14:paraId="5B407627" w14:textId="77777777" w:rsidR="0006561B" w:rsidRDefault="0006561B">
      <w:pPr>
        <w:pStyle w:val="TDC1"/>
        <w:rPr>
          <w:rFonts w:asciiTheme="minorHAnsi" w:eastAsiaTheme="minorEastAsia" w:hAnsiTheme="minorHAnsi" w:cstheme="minorBidi"/>
          <w:b w:val="0"/>
          <w:sz w:val="22"/>
          <w:szCs w:val="22"/>
          <w:lang w:val="es-ES" w:eastAsia="es-ES"/>
        </w:rPr>
      </w:pPr>
      <w:hyperlink w:anchor="_Toc404319" w:history="1">
        <w:r w:rsidRPr="003B1501">
          <w:rPr>
            <w:rStyle w:val="Hipervnculo"/>
          </w:rPr>
          <w:t>Artículo 530. Riegos de imprimación</w:t>
        </w:r>
        <w:r>
          <w:rPr>
            <w:webHidden/>
          </w:rPr>
          <w:tab/>
        </w:r>
        <w:r>
          <w:rPr>
            <w:webHidden/>
          </w:rPr>
          <w:fldChar w:fldCharType="begin"/>
        </w:r>
        <w:r>
          <w:rPr>
            <w:webHidden/>
          </w:rPr>
          <w:instrText xml:space="preserve"> PAGEREF _Toc404319 \h </w:instrText>
        </w:r>
        <w:r>
          <w:rPr>
            <w:webHidden/>
          </w:rPr>
        </w:r>
        <w:r>
          <w:rPr>
            <w:webHidden/>
          </w:rPr>
          <w:fldChar w:fldCharType="separate"/>
        </w:r>
        <w:r w:rsidR="001B26B5">
          <w:rPr>
            <w:webHidden/>
          </w:rPr>
          <w:t>162</w:t>
        </w:r>
        <w:r>
          <w:rPr>
            <w:webHidden/>
          </w:rPr>
          <w:fldChar w:fldCharType="end"/>
        </w:r>
      </w:hyperlink>
    </w:p>
    <w:p w14:paraId="5301A3A3" w14:textId="77777777" w:rsidR="0006561B" w:rsidRDefault="0006561B">
      <w:pPr>
        <w:pStyle w:val="TDC2"/>
        <w:rPr>
          <w:rFonts w:asciiTheme="minorHAnsi" w:eastAsiaTheme="minorEastAsia" w:hAnsiTheme="minorHAnsi" w:cstheme="minorBidi"/>
          <w:szCs w:val="22"/>
          <w:lang w:val="es-ES" w:eastAsia="es-ES"/>
        </w:rPr>
      </w:pPr>
      <w:hyperlink w:anchor="_Toc404320" w:history="1">
        <w:r w:rsidRPr="003B1501">
          <w:rPr>
            <w:rStyle w:val="Hipervnculo"/>
          </w:rPr>
          <w:t>530.1. Aplicación</w:t>
        </w:r>
        <w:r>
          <w:rPr>
            <w:webHidden/>
          </w:rPr>
          <w:tab/>
        </w:r>
        <w:r>
          <w:rPr>
            <w:webHidden/>
          </w:rPr>
          <w:fldChar w:fldCharType="begin"/>
        </w:r>
        <w:r>
          <w:rPr>
            <w:webHidden/>
          </w:rPr>
          <w:instrText xml:space="preserve"> PAGEREF _Toc404320 \h </w:instrText>
        </w:r>
        <w:r>
          <w:rPr>
            <w:webHidden/>
          </w:rPr>
        </w:r>
        <w:r>
          <w:rPr>
            <w:webHidden/>
          </w:rPr>
          <w:fldChar w:fldCharType="separate"/>
        </w:r>
        <w:r w:rsidR="001B26B5">
          <w:rPr>
            <w:webHidden/>
          </w:rPr>
          <w:t>162</w:t>
        </w:r>
        <w:r>
          <w:rPr>
            <w:webHidden/>
          </w:rPr>
          <w:fldChar w:fldCharType="end"/>
        </w:r>
      </w:hyperlink>
    </w:p>
    <w:p w14:paraId="00EF8C85" w14:textId="77777777" w:rsidR="0006561B" w:rsidRDefault="0006561B">
      <w:pPr>
        <w:pStyle w:val="TDC2"/>
        <w:rPr>
          <w:rFonts w:asciiTheme="minorHAnsi" w:eastAsiaTheme="minorEastAsia" w:hAnsiTheme="minorHAnsi" w:cstheme="minorBidi"/>
          <w:szCs w:val="22"/>
          <w:lang w:val="es-ES" w:eastAsia="es-ES"/>
        </w:rPr>
      </w:pPr>
      <w:hyperlink w:anchor="_Toc404321" w:history="1">
        <w:r w:rsidRPr="003B1501">
          <w:rPr>
            <w:rStyle w:val="Hipervnculo"/>
          </w:rPr>
          <w:t>530.2. Materiales</w:t>
        </w:r>
        <w:r>
          <w:rPr>
            <w:webHidden/>
          </w:rPr>
          <w:tab/>
        </w:r>
        <w:r>
          <w:rPr>
            <w:webHidden/>
          </w:rPr>
          <w:fldChar w:fldCharType="begin"/>
        </w:r>
        <w:r>
          <w:rPr>
            <w:webHidden/>
          </w:rPr>
          <w:instrText xml:space="preserve"> PAGEREF _Toc404321 \h </w:instrText>
        </w:r>
        <w:r>
          <w:rPr>
            <w:webHidden/>
          </w:rPr>
        </w:r>
        <w:r>
          <w:rPr>
            <w:webHidden/>
          </w:rPr>
          <w:fldChar w:fldCharType="separate"/>
        </w:r>
        <w:r w:rsidR="001B26B5">
          <w:rPr>
            <w:webHidden/>
          </w:rPr>
          <w:t>162</w:t>
        </w:r>
        <w:r>
          <w:rPr>
            <w:webHidden/>
          </w:rPr>
          <w:fldChar w:fldCharType="end"/>
        </w:r>
      </w:hyperlink>
    </w:p>
    <w:p w14:paraId="00EE77CD" w14:textId="77777777" w:rsidR="0006561B" w:rsidRDefault="0006561B">
      <w:pPr>
        <w:pStyle w:val="TDC2"/>
        <w:rPr>
          <w:rFonts w:asciiTheme="minorHAnsi" w:eastAsiaTheme="minorEastAsia" w:hAnsiTheme="minorHAnsi" w:cstheme="minorBidi"/>
          <w:szCs w:val="22"/>
          <w:lang w:val="es-ES" w:eastAsia="es-ES"/>
        </w:rPr>
      </w:pPr>
      <w:hyperlink w:anchor="_Toc404322" w:history="1">
        <w:r w:rsidRPr="003B1501">
          <w:rPr>
            <w:rStyle w:val="Hipervnculo"/>
          </w:rPr>
          <w:t>530.3. Dotación de los materiales</w:t>
        </w:r>
        <w:r>
          <w:rPr>
            <w:webHidden/>
          </w:rPr>
          <w:tab/>
        </w:r>
        <w:r>
          <w:rPr>
            <w:webHidden/>
          </w:rPr>
          <w:fldChar w:fldCharType="begin"/>
        </w:r>
        <w:r>
          <w:rPr>
            <w:webHidden/>
          </w:rPr>
          <w:instrText xml:space="preserve"> PAGEREF _Toc404322 \h </w:instrText>
        </w:r>
        <w:r>
          <w:rPr>
            <w:webHidden/>
          </w:rPr>
        </w:r>
        <w:r>
          <w:rPr>
            <w:webHidden/>
          </w:rPr>
          <w:fldChar w:fldCharType="separate"/>
        </w:r>
        <w:r w:rsidR="001B26B5">
          <w:rPr>
            <w:webHidden/>
          </w:rPr>
          <w:t>162</w:t>
        </w:r>
        <w:r>
          <w:rPr>
            <w:webHidden/>
          </w:rPr>
          <w:fldChar w:fldCharType="end"/>
        </w:r>
      </w:hyperlink>
    </w:p>
    <w:p w14:paraId="5776B0C4" w14:textId="77777777" w:rsidR="0006561B" w:rsidRDefault="0006561B">
      <w:pPr>
        <w:pStyle w:val="TDC2"/>
        <w:rPr>
          <w:rFonts w:asciiTheme="minorHAnsi" w:eastAsiaTheme="minorEastAsia" w:hAnsiTheme="minorHAnsi" w:cstheme="minorBidi"/>
          <w:szCs w:val="22"/>
          <w:lang w:val="es-ES" w:eastAsia="es-ES"/>
        </w:rPr>
      </w:pPr>
      <w:hyperlink w:anchor="_Toc404323" w:history="1">
        <w:r w:rsidRPr="003B1501">
          <w:rPr>
            <w:rStyle w:val="Hipervnculo"/>
          </w:rPr>
          <w:t>530.5. Ejecución de las obras</w:t>
        </w:r>
        <w:r>
          <w:rPr>
            <w:webHidden/>
          </w:rPr>
          <w:tab/>
        </w:r>
        <w:r>
          <w:rPr>
            <w:webHidden/>
          </w:rPr>
          <w:fldChar w:fldCharType="begin"/>
        </w:r>
        <w:r>
          <w:rPr>
            <w:webHidden/>
          </w:rPr>
          <w:instrText xml:space="preserve"> PAGEREF _Toc404323 \h </w:instrText>
        </w:r>
        <w:r>
          <w:rPr>
            <w:webHidden/>
          </w:rPr>
        </w:r>
        <w:r>
          <w:rPr>
            <w:webHidden/>
          </w:rPr>
          <w:fldChar w:fldCharType="separate"/>
        </w:r>
        <w:r w:rsidR="001B26B5">
          <w:rPr>
            <w:webHidden/>
          </w:rPr>
          <w:t>162</w:t>
        </w:r>
        <w:r>
          <w:rPr>
            <w:webHidden/>
          </w:rPr>
          <w:fldChar w:fldCharType="end"/>
        </w:r>
      </w:hyperlink>
    </w:p>
    <w:p w14:paraId="7F682481" w14:textId="77777777" w:rsidR="0006561B" w:rsidRDefault="0006561B">
      <w:pPr>
        <w:pStyle w:val="TDC2"/>
        <w:rPr>
          <w:rFonts w:asciiTheme="minorHAnsi" w:eastAsiaTheme="minorEastAsia" w:hAnsiTheme="minorHAnsi" w:cstheme="minorBidi"/>
          <w:szCs w:val="22"/>
          <w:lang w:val="es-ES" w:eastAsia="es-ES"/>
        </w:rPr>
      </w:pPr>
      <w:hyperlink w:anchor="_Toc404324" w:history="1">
        <w:r w:rsidRPr="003B1501">
          <w:rPr>
            <w:rStyle w:val="Hipervnculo"/>
          </w:rPr>
          <w:t>530.7. Control de calidad</w:t>
        </w:r>
        <w:r>
          <w:rPr>
            <w:webHidden/>
          </w:rPr>
          <w:tab/>
        </w:r>
        <w:r>
          <w:rPr>
            <w:webHidden/>
          </w:rPr>
          <w:fldChar w:fldCharType="begin"/>
        </w:r>
        <w:r>
          <w:rPr>
            <w:webHidden/>
          </w:rPr>
          <w:instrText xml:space="preserve"> PAGEREF _Toc404324 \h </w:instrText>
        </w:r>
        <w:r>
          <w:rPr>
            <w:webHidden/>
          </w:rPr>
        </w:r>
        <w:r>
          <w:rPr>
            <w:webHidden/>
          </w:rPr>
          <w:fldChar w:fldCharType="separate"/>
        </w:r>
        <w:r w:rsidR="001B26B5">
          <w:rPr>
            <w:webHidden/>
          </w:rPr>
          <w:t>162</w:t>
        </w:r>
        <w:r>
          <w:rPr>
            <w:webHidden/>
          </w:rPr>
          <w:fldChar w:fldCharType="end"/>
        </w:r>
      </w:hyperlink>
    </w:p>
    <w:p w14:paraId="594D5D87" w14:textId="77777777" w:rsidR="0006561B" w:rsidRDefault="0006561B">
      <w:pPr>
        <w:pStyle w:val="TDC2"/>
        <w:rPr>
          <w:rFonts w:asciiTheme="minorHAnsi" w:eastAsiaTheme="minorEastAsia" w:hAnsiTheme="minorHAnsi" w:cstheme="minorBidi"/>
          <w:szCs w:val="22"/>
          <w:lang w:val="es-ES" w:eastAsia="es-ES"/>
        </w:rPr>
      </w:pPr>
      <w:hyperlink w:anchor="_Toc404325" w:history="1">
        <w:r w:rsidRPr="003B1501">
          <w:rPr>
            <w:rStyle w:val="Hipervnculo"/>
          </w:rPr>
          <w:t>530.9. Medición y abono</w:t>
        </w:r>
        <w:r>
          <w:rPr>
            <w:webHidden/>
          </w:rPr>
          <w:tab/>
        </w:r>
        <w:r>
          <w:rPr>
            <w:webHidden/>
          </w:rPr>
          <w:fldChar w:fldCharType="begin"/>
        </w:r>
        <w:r>
          <w:rPr>
            <w:webHidden/>
          </w:rPr>
          <w:instrText xml:space="preserve"> PAGEREF _Toc404325 \h </w:instrText>
        </w:r>
        <w:r>
          <w:rPr>
            <w:webHidden/>
          </w:rPr>
        </w:r>
        <w:r>
          <w:rPr>
            <w:webHidden/>
          </w:rPr>
          <w:fldChar w:fldCharType="separate"/>
        </w:r>
        <w:r w:rsidR="001B26B5">
          <w:rPr>
            <w:webHidden/>
          </w:rPr>
          <w:t>163</w:t>
        </w:r>
        <w:r>
          <w:rPr>
            <w:webHidden/>
          </w:rPr>
          <w:fldChar w:fldCharType="end"/>
        </w:r>
      </w:hyperlink>
    </w:p>
    <w:p w14:paraId="0809D6D8" w14:textId="77777777" w:rsidR="0006561B" w:rsidRDefault="0006561B">
      <w:pPr>
        <w:pStyle w:val="TDC1"/>
        <w:rPr>
          <w:rFonts w:asciiTheme="minorHAnsi" w:eastAsiaTheme="minorEastAsia" w:hAnsiTheme="minorHAnsi" w:cstheme="minorBidi"/>
          <w:b w:val="0"/>
          <w:sz w:val="22"/>
          <w:szCs w:val="22"/>
          <w:lang w:val="es-ES" w:eastAsia="es-ES"/>
        </w:rPr>
      </w:pPr>
      <w:hyperlink w:anchor="_Toc404326" w:history="1">
        <w:r w:rsidRPr="003B1501">
          <w:rPr>
            <w:rStyle w:val="Hipervnculo"/>
          </w:rPr>
          <w:t>Artículo 531. Riegos de adherencia</w:t>
        </w:r>
        <w:r>
          <w:rPr>
            <w:webHidden/>
          </w:rPr>
          <w:tab/>
        </w:r>
        <w:r>
          <w:rPr>
            <w:webHidden/>
          </w:rPr>
          <w:fldChar w:fldCharType="begin"/>
        </w:r>
        <w:r>
          <w:rPr>
            <w:webHidden/>
          </w:rPr>
          <w:instrText xml:space="preserve"> PAGEREF _Toc404326 \h </w:instrText>
        </w:r>
        <w:r>
          <w:rPr>
            <w:webHidden/>
          </w:rPr>
        </w:r>
        <w:r>
          <w:rPr>
            <w:webHidden/>
          </w:rPr>
          <w:fldChar w:fldCharType="separate"/>
        </w:r>
        <w:r w:rsidR="001B26B5">
          <w:rPr>
            <w:webHidden/>
          </w:rPr>
          <w:t>164</w:t>
        </w:r>
        <w:r>
          <w:rPr>
            <w:webHidden/>
          </w:rPr>
          <w:fldChar w:fldCharType="end"/>
        </w:r>
      </w:hyperlink>
    </w:p>
    <w:p w14:paraId="7C83C4ED" w14:textId="77777777" w:rsidR="0006561B" w:rsidRDefault="0006561B">
      <w:pPr>
        <w:pStyle w:val="TDC2"/>
        <w:rPr>
          <w:rFonts w:asciiTheme="minorHAnsi" w:eastAsiaTheme="minorEastAsia" w:hAnsiTheme="minorHAnsi" w:cstheme="minorBidi"/>
          <w:szCs w:val="22"/>
          <w:lang w:val="es-ES" w:eastAsia="es-ES"/>
        </w:rPr>
      </w:pPr>
      <w:hyperlink w:anchor="_Toc404327" w:history="1">
        <w:r w:rsidRPr="003B1501">
          <w:rPr>
            <w:rStyle w:val="Hipervnculo"/>
          </w:rPr>
          <w:t>531.1. Definición</w:t>
        </w:r>
        <w:r>
          <w:rPr>
            <w:webHidden/>
          </w:rPr>
          <w:tab/>
        </w:r>
        <w:r>
          <w:rPr>
            <w:webHidden/>
          </w:rPr>
          <w:fldChar w:fldCharType="begin"/>
        </w:r>
        <w:r>
          <w:rPr>
            <w:webHidden/>
          </w:rPr>
          <w:instrText xml:space="preserve"> PAGEREF _Toc404327 \h </w:instrText>
        </w:r>
        <w:r>
          <w:rPr>
            <w:webHidden/>
          </w:rPr>
        </w:r>
        <w:r>
          <w:rPr>
            <w:webHidden/>
          </w:rPr>
          <w:fldChar w:fldCharType="separate"/>
        </w:r>
        <w:r w:rsidR="001B26B5">
          <w:rPr>
            <w:webHidden/>
          </w:rPr>
          <w:t>164</w:t>
        </w:r>
        <w:r>
          <w:rPr>
            <w:webHidden/>
          </w:rPr>
          <w:fldChar w:fldCharType="end"/>
        </w:r>
      </w:hyperlink>
    </w:p>
    <w:p w14:paraId="6626BB98" w14:textId="77777777" w:rsidR="0006561B" w:rsidRDefault="0006561B">
      <w:pPr>
        <w:pStyle w:val="TDC2"/>
        <w:rPr>
          <w:rFonts w:asciiTheme="minorHAnsi" w:eastAsiaTheme="minorEastAsia" w:hAnsiTheme="minorHAnsi" w:cstheme="minorBidi"/>
          <w:szCs w:val="22"/>
          <w:lang w:val="es-ES" w:eastAsia="es-ES"/>
        </w:rPr>
      </w:pPr>
      <w:hyperlink w:anchor="_Toc404328" w:history="1">
        <w:r w:rsidRPr="003B1501">
          <w:rPr>
            <w:rStyle w:val="Hipervnculo"/>
          </w:rPr>
          <w:t>531.2. Materiales</w:t>
        </w:r>
        <w:r>
          <w:rPr>
            <w:webHidden/>
          </w:rPr>
          <w:tab/>
        </w:r>
        <w:r>
          <w:rPr>
            <w:webHidden/>
          </w:rPr>
          <w:fldChar w:fldCharType="begin"/>
        </w:r>
        <w:r>
          <w:rPr>
            <w:webHidden/>
          </w:rPr>
          <w:instrText xml:space="preserve"> PAGEREF _Toc404328 \h </w:instrText>
        </w:r>
        <w:r>
          <w:rPr>
            <w:webHidden/>
          </w:rPr>
        </w:r>
        <w:r>
          <w:rPr>
            <w:webHidden/>
          </w:rPr>
          <w:fldChar w:fldCharType="separate"/>
        </w:r>
        <w:r w:rsidR="001B26B5">
          <w:rPr>
            <w:webHidden/>
          </w:rPr>
          <w:t>164</w:t>
        </w:r>
        <w:r>
          <w:rPr>
            <w:webHidden/>
          </w:rPr>
          <w:fldChar w:fldCharType="end"/>
        </w:r>
      </w:hyperlink>
    </w:p>
    <w:p w14:paraId="76F7AE07" w14:textId="77777777" w:rsidR="0006561B" w:rsidRDefault="0006561B">
      <w:pPr>
        <w:pStyle w:val="TDC2"/>
        <w:rPr>
          <w:rFonts w:asciiTheme="minorHAnsi" w:eastAsiaTheme="minorEastAsia" w:hAnsiTheme="minorHAnsi" w:cstheme="minorBidi"/>
          <w:szCs w:val="22"/>
          <w:lang w:val="es-ES" w:eastAsia="es-ES"/>
        </w:rPr>
      </w:pPr>
      <w:hyperlink w:anchor="_Toc404329" w:history="1">
        <w:r w:rsidRPr="003B1501">
          <w:rPr>
            <w:rStyle w:val="Hipervnculo"/>
          </w:rPr>
          <w:t>531.3. Dotación del ligante</w:t>
        </w:r>
        <w:r>
          <w:rPr>
            <w:webHidden/>
          </w:rPr>
          <w:tab/>
        </w:r>
        <w:r>
          <w:rPr>
            <w:webHidden/>
          </w:rPr>
          <w:fldChar w:fldCharType="begin"/>
        </w:r>
        <w:r>
          <w:rPr>
            <w:webHidden/>
          </w:rPr>
          <w:instrText xml:space="preserve"> PAGEREF _Toc404329 \h </w:instrText>
        </w:r>
        <w:r>
          <w:rPr>
            <w:webHidden/>
          </w:rPr>
        </w:r>
        <w:r>
          <w:rPr>
            <w:webHidden/>
          </w:rPr>
          <w:fldChar w:fldCharType="separate"/>
        </w:r>
        <w:r w:rsidR="001B26B5">
          <w:rPr>
            <w:webHidden/>
          </w:rPr>
          <w:t>164</w:t>
        </w:r>
        <w:r>
          <w:rPr>
            <w:webHidden/>
          </w:rPr>
          <w:fldChar w:fldCharType="end"/>
        </w:r>
      </w:hyperlink>
    </w:p>
    <w:p w14:paraId="16DC2D65" w14:textId="77777777" w:rsidR="0006561B" w:rsidRDefault="0006561B">
      <w:pPr>
        <w:pStyle w:val="TDC2"/>
        <w:rPr>
          <w:rFonts w:asciiTheme="minorHAnsi" w:eastAsiaTheme="minorEastAsia" w:hAnsiTheme="minorHAnsi" w:cstheme="minorBidi"/>
          <w:szCs w:val="22"/>
          <w:lang w:val="es-ES" w:eastAsia="es-ES"/>
        </w:rPr>
      </w:pPr>
      <w:hyperlink w:anchor="_Toc404330" w:history="1">
        <w:r w:rsidRPr="003B1501">
          <w:rPr>
            <w:rStyle w:val="Hipervnculo"/>
          </w:rPr>
          <w:t>531.8. Control de calidad</w:t>
        </w:r>
        <w:r>
          <w:rPr>
            <w:webHidden/>
          </w:rPr>
          <w:tab/>
        </w:r>
        <w:r>
          <w:rPr>
            <w:webHidden/>
          </w:rPr>
          <w:fldChar w:fldCharType="begin"/>
        </w:r>
        <w:r>
          <w:rPr>
            <w:webHidden/>
          </w:rPr>
          <w:instrText xml:space="preserve"> PAGEREF _Toc404330 \h </w:instrText>
        </w:r>
        <w:r>
          <w:rPr>
            <w:webHidden/>
          </w:rPr>
        </w:r>
        <w:r>
          <w:rPr>
            <w:webHidden/>
          </w:rPr>
          <w:fldChar w:fldCharType="separate"/>
        </w:r>
        <w:r w:rsidR="001B26B5">
          <w:rPr>
            <w:webHidden/>
          </w:rPr>
          <w:t>164</w:t>
        </w:r>
        <w:r>
          <w:rPr>
            <w:webHidden/>
          </w:rPr>
          <w:fldChar w:fldCharType="end"/>
        </w:r>
      </w:hyperlink>
    </w:p>
    <w:p w14:paraId="17C63012" w14:textId="77777777" w:rsidR="0006561B" w:rsidRDefault="0006561B">
      <w:pPr>
        <w:pStyle w:val="TDC2"/>
        <w:rPr>
          <w:rFonts w:asciiTheme="minorHAnsi" w:eastAsiaTheme="minorEastAsia" w:hAnsiTheme="minorHAnsi" w:cstheme="minorBidi"/>
          <w:szCs w:val="22"/>
          <w:lang w:val="es-ES" w:eastAsia="es-ES"/>
        </w:rPr>
      </w:pPr>
      <w:hyperlink w:anchor="_Toc404331" w:history="1">
        <w:r w:rsidRPr="003B1501">
          <w:rPr>
            <w:rStyle w:val="Hipervnculo"/>
          </w:rPr>
          <w:t>531.10. Medición y abono</w:t>
        </w:r>
        <w:r>
          <w:rPr>
            <w:webHidden/>
          </w:rPr>
          <w:tab/>
        </w:r>
        <w:r>
          <w:rPr>
            <w:webHidden/>
          </w:rPr>
          <w:fldChar w:fldCharType="begin"/>
        </w:r>
        <w:r>
          <w:rPr>
            <w:webHidden/>
          </w:rPr>
          <w:instrText xml:space="preserve"> PAGEREF _Toc404331 \h </w:instrText>
        </w:r>
        <w:r>
          <w:rPr>
            <w:webHidden/>
          </w:rPr>
        </w:r>
        <w:r>
          <w:rPr>
            <w:webHidden/>
          </w:rPr>
          <w:fldChar w:fldCharType="separate"/>
        </w:r>
        <w:r w:rsidR="001B26B5">
          <w:rPr>
            <w:webHidden/>
          </w:rPr>
          <w:t>165</w:t>
        </w:r>
        <w:r>
          <w:rPr>
            <w:webHidden/>
          </w:rPr>
          <w:fldChar w:fldCharType="end"/>
        </w:r>
      </w:hyperlink>
    </w:p>
    <w:p w14:paraId="292ED4BE" w14:textId="77777777" w:rsidR="0006561B" w:rsidRDefault="0006561B">
      <w:pPr>
        <w:pStyle w:val="TDC1"/>
        <w:rPr>
          <w:rFonts w:asciiTheme="minorHAnsi" w:eastAsiaTheme="minorEastAsia" w:hAnsiTheme="minorHAnsi" w:cstheme="minorBidi"/>
          <w:b w:val="0"/>
          <w:sz w:val="22"/>
          <w:szCs w:val="22"/>
          <w:lang w:val="es-ES" w:eastAsia="es-ES"/>
        </w:rPr>
      </w:pPr>
      <w:hyperlink w:anchor="_Toc404332" w:history="1">
        <w:r w:rsidRPr="003B1501">
          <w:rPr>
            <w:rStyle w:val="Hipervnculo"/>
          </w:rPr>
          <w:t>Artículo 532. Riego de curado</w:t>
        </w:r>
        <w:r>
          <w:rPr>
            <w:webHidden/>
          </w:rPr>
          <w:tab/>
        </w:r>
        <w:r>
          <w:rPr>
            <w:webHidden/>
          </w:rPr>
          <w:fldChar w:fldCharType="begin"/>
        </w:r>
        <w:r>
          <w:rPr>
            <w:webHidden/>
          </w:rPr>
          <w:instrText xml:space="preserve"> PAGEREF _Toc404332 \h </w:instrText>
        </w:r>
        <w:r>
          <w:rPr>
            <w:webHidden/>
          </w:rPr>
        </w:r>
        <w:r>
          <w:rPr>
            <w:webHidden/>
          </w:rPr>
          <w:fldChar w:fldCharType="separate"/>
        </w:r>
        <w:r w:rsidR="001B26B5">
          <w:rPr>
            <w:webHidden/>
          </w:rPr>
          <w:t>166</w:t>
        </w:r>
        <w:r>
          <w:rPr>
            <w:webHidden/>
          </w:rPr>
          <w:fldChar w:fldCharType="end"/>
        </w:r>
      </w:hyperlink>
    </w:p>
    <w:p w14:paraId="04A44B54" w14:textId="77777777" w:rsidR="0006561B" w:rsidRDefault="0006561B">
      <w:pPr>
        <w:pStyle w:val="TDC2"/>
        <w:rPr>
          <w:rFonts w:asciiTheme="minorHAnsi" w:eastAsiaTheme="minorEastAsia" w:hAnsiTheme="minorHAnsi" w:cstheme="minorBidi"/>
          <w:szCs w:val="22"/>
          <w:lang w:val="es-ES" w:eastAsia="es-ES"/>
        </w:rPr>
      </w:pPr>
      <w:hyperlink w:anchor="_Toc404333" w:history="1">
        <w:r w:rsidRPr="003B1501">
          <w:rPr>
            <w:rStyle w:val="Hipervnculo"/>
          </w:rPr>
          <w:t>532.1. Definición y aplicación</w:t>
        </w:r>
        <w:r>
          <w:rPr>
            <w:webHidden/>
          </w:rPr>
          <w:tab/>
        </w:r>
        <w:r>
          <w:rPr>
            <w:webHidden/>
          </w:rPr>
          <w:fldChar w:fldCharType="begin"/>
        </w:r>
        <w:r>
          <w:rPr>
            <w:webHidden/>
          </w:rPr>
          <w:instrText xml:space="preserve"> PAGEREF _Toc404333 \h </w:instrText>
        </w:r>
        <w:r>
          <w:rPr>
            <w:webHidden/>
          </w:rPr>
        </w:r>
        <w:r>
          <w:rPr>
            <w:webHidden/>
          </w:rPr>
          <w:fldChar w:fldCharType="separate"/>
        </w:r>
        <w:r w:rsidR="001B26B5">
          <w:rPr>
            <w:webHidden/>
          </w:rPr>
          <w:t>166</w:t>
        </w:r>
        <w:r>
          <w:rPr>
            <w:webHidden/>
          </w:rPr>
          <w:fldChar w:fldCharType="end"/>
        </w:r>
      </w:hyperlink>
    </w:p>
    <w:p w14:paraId="2DEA81E0" w14:textId="77777777" w:rsidR="0006561B" w:rsidRDefault="0006561B">
      <w:pPr>
        <w:pStyle w:val="TDC2"/>
        <w:rPr>
          <w:rFonts w:asciiTheme="minorHAnsi" w:eastAsiaTheme="minorEastAsia" w:hAnsiTheme="minorHAnsi" w:cstheme="minorBidi"/>
          <w:szCs w:val="22"/>
          <w:lang w:val="es-ES" w:eastAsia="es-ES"/>
        </w:rPr>
      </w:pPr>
      <w:hyperlink w:anchor="_Toc404334" w:history="1">
        <w:r w:rsidRPr="003B1501">
          <w:rPr>
            <w:rStyle w:val="Hipervnculo"/>
          </w:rPr>
          <w:t>532.2. Materiales</w:t>
        </w:r>
        <w:r>
          <w:rPr>
            <w:webHidden/>
          </w:rPr>
          <w:tab/>
        </w:r>
        <w:r>
          <w:rPr>
            <w:webHidden/>
          </w:rPr>
          <w:fldChar w:fldCharType="begin"/>
        </w:r>
        <w:r>
          <w:rPr>
            <w:webHidden/>
          </w:rPr>
          <w:instrText xml:space="preserve"> PAGEREF _Toc404334 \h </w:instrText>
        </w:r>
        <w:r>
          <w:rPr>
            <w:webHidden/>
          </w:rPr>
        </w:r>
        <w:r>
          <w:rPr>
            <w:webHidden/>
          </w:rPr>
          <w:fldChar w:fldCharType="separate"/>
        </w:r>
        <w:r w:rsidR="001B26B5">
          <w:rPr>
            <w:webHidden/>
          </w:rPr>
          <w:t>166</w:t>
        </w:r>
        <w:r>
          <w:rPr>
            <w:webHidden/>
          </w:rPr>
          <w:fldChar w:fldCharType="end"/>
        </w:r>
      </w:hyperlink>
    </w:p>
    <w:p w14:paraId="1885363C" w14:textId="77777777" w:rsidR="0006561B" w:rsidRDefault="0006561B">
      <w:pPr>
        <w:pStyle w:val="TDC2"/>
        <w:rPr>
          <w:rFonts w:asciiTheme="minorHAnsi" w:eastAsiaTheme="minorEastAsia" w:hAnsiTheme="minorHAnsi" w:cstheme="minorBidi"/>
          <w:szCs w:val="22"/>
          <w:lang w:val="es-ES" w:eastAsia="es-ES"/>
        </w:rPr>
      </w:pPr>
      <w:hyperlink w:anchor="_Toc404335" w:history="1">
        <w:r w:rsidRPr="003B1501">
          <w:rPr>
            <w:rStyle w:val="Hipervnculo"/>
          </w:rPr>
          <w:t>532.5. Ejecución de las obras</w:t>
        </w:r>
        <w:r>
          <w:rPr>
            <w:webHidden/>
          </w:rPr>
          <w:tab/>
        </w:r>
        <w:r>
          <w:rPr>
            <w:webHidden/>
          </w:rPr>
          <w:fldChar w:fldCharType="begin"/>
        </w:r>
        <w:r>
          <w:rPr>
            <w:webHidden/>
          </w:rPr>
          <w:instrText xml:space="preserve"> PAGEREF _Toc404335 \h </w:instrText>
        </w:r>
        <w:r>
          <w:rPr>
            <w:webHidden/>
          </w:rPr>
        </w:r>
        <w:r>
          <w:rPr>
            <w:webHidden/>
          </w:rPr>
          <w:fldChar w:fldCharType="separate"/>
        </w:r>
        <w:r w:rsidR="001B26B5">
          <w:rPr>
            <w:webHidden/>
          </w:rPr>
          <w:t>166</w:t>
        </w:r>
        <w:r>
          <w:rPr>
            <w:webHidden/>
          </w:rPr>
          <w:fldChar w:fldCharType="end"/>
        </w:r>
      </w:hyperlink>
    </w:p>
    <w:p w14:paraId="497E56B1" w14:textId="77777777" w:rsidR="0006561B" w:rsidRDefault="0006561B">
      <w:pPr>
        <w:pStyle w:val="TDC2"/>
        <w:rPr>
          <w:rFonts w:asciiTheme="minorHAnsi" w:eastAsiaTheme="minorEastAsia" w:hAnsiTheme="minorHAnsi" w:cstheme="minorBidi"/>
          <w:szCs w:val="22"/>
          <w:lang w:val="es-ES" w:eastAsia="es-ES"/>
        </w:rPr>
      </w:pPr>
      <w:hyperlink w:anchor="_Toc404336" w:history="1">
        <w:r w:rsidRPr="003B1501">
          <w:rPr>
            <w:rStyle w:val="Hipervnculo"/>
          </w:rPr>
          <w:t>532.7. Control de calidad</w:t>
        </w:r>
        <w:r>
          <w:rPr>
            <w:webHidden/>
          </w:rPr>
          <w:tab/>
        </w:r>
        <w:r>
          <w:rPr>
            <w:webHidden/>
          </w:rPr>
          <w:fldChar w:fldCharType="begin"/>
        </w:r>
        <w:r>
          <w:rPr>
            <w:webHidden/>
          </w:rPr>
          <w:instrText xml:space="preserve"> PAGEREF _Toc404336 \h </w:instrText>
        </w:r>
        <w:r>
          <w:rPr>
            <w:webHidden/>
          </w:rPr>
        </w:r>
        <w:r>
          <w:rPr>
            <w:webHidden/>
          </w:rPr>
          <w:fldChar w:fldCharType="separate"/>
        </w:r>
        <w:r w:rsidR="001B26B5">
          <w:rPr>
            <w:webHidden/>
          </w:rPr>
          <w:t>166</w:t>
        </w:r>
        <w:r>
          <w:rPr>
            <w:webHidden/>
          </w:rPr>
          <w:fldChar w:fldCharType="end"/>
        </w:r>
      </w:hyperlink>
    </w:p>
    <w:p w14:paraId="0ED0954D" w14:textId="77777777" w:rsidR="0006561B" w:rsidRDefault="0006561B">
      <w:pPr>
        <w:pStyle w:val="TDC2"/>
        <w:rPr>
          <w:rFonts w:asciiTheme="minorHAnsi" w:eastAsiaTheme="minorEastAsia" w:hAnsiTheme="minorHAnsi" w:cstheme="minorBidi"/>
          <w:szCs w:val="22"/>
          <w:lang w:val="es-ES" w:eastAsia="es-ES"/>
        </w:rPr>
      </w:pPr>
      <w:hyperlink w:anchor="_Toc404337" w:history="1">
        <w:r w:rsidRPr="003B1501">
          <w:rPr>
            <w:rStyle w:val="Hipervnculo"/>
          </w:rPr>
          <w:t>532.8. Criterios de aceptación o rechazo</w:t>
        </w:r>
        <w:r>
          <w:rPr>
            <w:webHidden/>
          </w:rPr>
          <w:tab/>
        </w:r>
        <w:r>
          <w:rPr>
            <w:webHidden/>
          </w:rPr>
          <w:fldChar w:fldCharType="begin"/>
        </w:r>
        <w:r>
          <w:rPr>
            <w:webHidden/>
          </w:rPr>
          <w:instrText xml:space="preserve"> PAGEREF _Toc404337 \h </w:instrText>
        </w:r>
        <w:r>
          <w:rPr>
            <w:webHidden/>
          </w:rPr>
        </w:r>
        <w:r>
          <w:rPr>
            <w:webHidden/>
          </w:rPr>
          <w:fldChar w:fldCharType="separate"/>
        </w:r>
        <w:r w:rsidR="001B26B5">
          <w:rPr>
            <w:webHidden/>
          </w:rPr>
          <w:t>167</w:t>
        </w:r>
        <w:r>
          <w:rPr>
            <w:webHidden/>
          </w:rPr>
          <w:fldChar w:fldCharType="end"/>
        </w:r>
      </w:hyperlink>
    </w:p>
    <w:p w14:paraId="72FC6C02" w14:textId="77777777" w:rsidR="0006561B" w:rsidRDefault="0006561B">
      <w:pPr>
        <w:pStyle w:val="TDC2"/>
        <w:rPr>
          <w:rFonts w:asciiTheme="minorHAnsi" w:eastAsiaTheme="minorEastAsia" w:hAnsiTheme="minorHAnsi" w:cstheme="minorBidi"/>
          <w:szCs w:val="22"/>
          <w:lang w:val="es-ES" w:eastAsia="es-ES"/>
        </w:rPr>
      </w:pPr>
      <w:hyperlink w:anchor="_Toc404338" w:history="1">
        <w:r w:rsidRPr="003B1501">
          <w:rPr>
            <w:rStyle w:val="Hipervnculo"/>
          </w:rPr>
          <w:t>532.9. Medición y abono</w:t>
        </w:r>
        <w:r>
          <w:rPr>
            <w:webHidden/>
          </w:rPr>
          <w:tab/>
        </w:r>
        <w:r>
          <w:rPr>
            <w:webHidden/>
          </w:rPr>
          <w:fldChar w:fldCharType="begin"/>
        </w:r>
        <w:r>
          <w:rPr>
            <w:webHidden/>
          </w:rPr>
          <w:instrText xml:space="preserve"> PAGEREF _Toc404338 \h </w:instrText>
        </w:r>
        <w:r>
          <w:rPr>
            <w:webHidden/>
          </w:rPr>
        </w:r>
        <w:r>
          <w:rPr>
            <w:webHidden/>
          </w:rPr>
          <w:fldChar w:fldCharType="separate"/>
        </w:r>
        <w:r w:rsidR="001B26B5">
          <w:rPr>
            <w:webHidden/>
          </w:rPr>
          <w:t>167</w:t>
        </w:r>
        <w:r>
          <w:rPr>
            <w:webHidden/>
          </w:rPr>
          <w:fldChar w:fldCharType="end"/>
        </w:r>
      </w:hyperlink>
    </w:p>
    <w:p w14:paraId="58C87C0A" w14:textId="77777777" w:rsidR="0006561B" w:rsidRDefault="0006561B">
      <w:pPr>
        <w:pStyle w:val="TDC1"/>
        <w:rPr>
          <w:rFonts w:asciiTheme="minorHAnsi" w:eastAsiaTheme="minorEastAsia" w:hAnsiTheme="minorHAnsi" w:cstheme="minorBidi"/>
          <w:b w:val="0"/>
          <w:sz w:val="22"/>
          <w:szCs w:val="22"/>
          <w:lang w:val="es-ES" w:eastAsia="es-ES"/>
        </w:rPr>
      </w:pPr>
      <w:hyperlink w:anchor="_Toc404339" w:history="1">
        <w:r w:rsidRPr="003B1501">
          <w:rPr>
            <w:rStyle w:val="Hipervnculo"/>
          </w:rPr>
          <w:t>Artículo 542. Mezclas bituminosas tipo hormigón bituminoso</w:t>
        </w:r>
        <w:r>
          <w:rPr>
            <w:webHidden/>
          </w:rPr>
          <w:tab/>
        </w:r>
        <w:r>
          <w:rPr>
            <w:webHidden/>
          </w:rPr>
          <w:fldChar w:fldCharType="begin"/>
        </w:r>
        <w:r>
          <w:rPr>
            <w:webHidden/>
          </w:rPr>
          <w:instrText xml:space="preserve"> PAGEREF _Toc404339 \h </w:instrText>
        </w:r>
        <w:r>
          <w:rPr>
            <w:webHidden/>
          </w:rPr>
        </w:r>
        <w:r>
          <w:rPr>
            <w:webHidden/>
          </w:rPr>
          <w:fldChar w:fldCharType="separate"/>
        </w:r>
        <w:r w:rsidR="001B26B5">
          <w:rPr>
            <w:webHidden/>
          </w:rPr>
          <w:t>168</w:t>
        </w:r>
        <w:r>
          <w:rPr>
            <w:webHidden/>
          </w:rPr>
          <w:fldChar w:fldCharType="end"/>
        </w:r>
      </w:hyperlink>
    </w:p>
    <w:p w14:paraId="1E4B7A74" w14:textId="77777777" w:rsidR="0006561B" w:rsidRDefault="0006561B">
      <w:pPr>
        <w:pStyle w:val="TDC2"/>
        <w:rPr>
          <w:rFonts w:asciiTheme="minorHAnsi" w:eastAsiaTheme="minorEastAsia" w:hAnsiTheme="minorHAnsi" w:cstheme="minorBidi"/>
          <w:szCs w:val="22"/>
          <w:lang w:val="es-ES" w:eastAsia="es-ES"/>
        </w:rPr>
      </w:pPr>
      <w:hyperlink w:anchor="_Toc404340" w:history="1">
        <w:r w:rsidRPr="003B1501">
          <w:rPr>
            <w:rStyle w:val="Hipervnculo"/>
          </w:rPr>
          <w:t>542.1. Definición</w:t>
        </w:r>
        <w:r>
          <w:rPr>
            <w:webHidden/>
          </w:rPr>
          <w:tab/>
        </w:r>
        <w:r>
          <w:rPr>
            <w:webHidden/>
          </w:rPr>
          <w:fldChar w:fldCharType="begin"/>
        </w:r>
        <w:r>
          <w:rPr>
            <w:webHidden/>
          </w:rPr>
          <w:instrText xml:space="preserve"> PAGEREF _Toc404340 \h </w:instrText>
        </w:r>
        <w:r>
          <w:rPr>
            <w:webHidden/>
          </w:rPr>
        </w:r>
        <w:r>
          <w:rPr>
            <w:webHidden/>
          </w:rPr>
          <w:fldChar w:fldCharType="separate"/>
        </w:r>
        <w:r w:rsidR="001B26B5">
          <w:rPr>
            <w:webHidden/>
          </w:rPr>
          <w:t>168</w:t>
        </w:r>
        <w:r>
          <w:rPr>
            <w:webHidden/>
          </w:rPr>
          <w:fldChar w:fldCharType="end"/>
        </w:r>
      </w:hyperlink>
    </w:p>
    <w:p w14:paraId="50A5806B" w14:textId="77777777" w:rsidR="0006561B" w:rsidRDefault="0006561B">
      <w:pPr>
        <w:pStyle w:val="TDC2"/>
        <w:rPr>
          <w:rFonts w:asciiTheme="minorHAnsi" w:eastAsiaTheme="minorEastAsia" w:hAnsiTheme="minorHAnsi" w:cstheme="minorBidi"/>
          <w:szCs w:val="22"/>
          <w:lang w:val="es-ES" w:eastAsia="es-ES"/>
        </w:rPr>
      </w:pPr>
      <w:hyperlink w:anchor="_Toc404341" w:history="1">
        <w:r w:rsidRPr="003B1501">
          <w:rPr>
            <w:rStyle w:val="Hipervnculo"/>
          </w:rPr>
          <w:t>542.2. Materiales</w:t>
        </w:r>
        <w:r>
          <w:rPr>
            <w:webHidden/>
          </w:rPr>
          <w:tab/>
        </w:r>
        <w:r>
          <w:rPr>
            <w:webHidden/>
          </w:rPr>
          <w:fldChar w:fldCharType="begin"/>
        </w:r>
        <w:r>
          <w:rPr>
            <w:webHidden/>
          </w:rPr>
          <w:instrText xml:space="preserve"> PAGEREF _Toc404341 \h </w:instrText>
        </w:r>
        <w:r>
          <w:rPr>
            <w:webHidden/>
          </w:rPr>
        </w:r>
        <w:r>
          <w:rPr>
            <w:webHidden/>
          </w:rPr>
          <w:fldChar w:fldCharType="separate"/>
        </w:r>
        <w:r w:rsidR="001B26B5">
          <w:rPr>
            <w:webHidden/>
          </w:rPr>
          <w:t>168</w:t>
        </w:r>
        <w:r>
          <w:rPr>
            <w:webHidden/>
          </w:rPr>
          <w:fldChar w:fldCharType="end"/>
        </w:r>
      </w:hyperlink>
    </w:p>
    <w:p w14:paraId="783C5F43" w14:textId="77777777" w:rsidR="0006561B" w:rsidRDefault="0006561B">
      <w:pPr>
        <w:pStyle w:val="TDC2"/>
        <w:rPr>
          <w:rFonts w:asciiTheme="minorHAnsi" w:eastAsiaTheme="minorEastAsia" w:hAnsiTheme="minorHAnsi" w:cstheme="minorBidi"/>
          <w:szCs w:val="22"/>
          <w:lang w:val="es-ES" w:eastAsia="es-ES"/>
        </w:rPr>
      </w:pPr>
      <w:hyperlink w:anchor="_Toc404342" w:history="1">
        <w:r w:rsidRPr="003B1501">
          <w:rPr>
            <w:rStyle w:val="Hipervnculo"/>
          </w:rPr>
          <w:t>542.3. Tipo y composición de la mezcla</w:t>
        </w:r>
        <w:r>
          <w:rPr>
            <w:webHidden/>
          </w:rPr>
          <w:tab/>
        </w:r>
        <w:r>
          <w:rPr>
            <w:webHidden/>
          </w:rPr>
          <w:fldChar w:fldCharType="begin"/>
        </w:r>
        <w:r>
          <w:rPr>
            <w:webHidden/>
          </w:rPr>
          <w:instrText xml:space="preserve"> PAGEREF _Toc404342 \h </w:instrText>
        </w:r>
        <w:r>
          <w:rPr>
            <w:webHidden/>
          </w:rPr>
        </w:r>
        <w:r>
          <w:rPr>
            <w:webHidden/>
          </w:rPr>
          <w:fldChar w:fldCharType="separate"/>
        </w:r>
        <w:r w:rsidR="001B26B5">
          <w:rPr>
            <w:webHidden/>
          </w:rPr>
          <w:t>169</w:t>
        </w:r>
        <w:r>
          <w:rPr>
            <w:webHidden/>
          </w:rPr>
          <w:fldChar w:fldCharType="end"/>
        </w:r>
      </w:hyperlink>
    </w:p>
    <w:p w14:paraId="3F1F77BD" w14:textId="77777777" w:rsidR="0006561B" w:rsidRDefault="0006561B">
      <w:pPr>
        <w:pStyle w:val="TDC2"/>
        <w:rPr>
          <w:rFonts w:asciiTheme="minorHAnsi" w:eastAsiaTheme="minorEastAsia" w:hAnsiTheme="minorHAnsi" w:cstheme="minorBidi"/>
          <w:szCs w:val="22"/>
          <w:lang w:val="es-ES" w:eastAsia="es-ES"/>
        </w:rPr>
      </w:pPr>
      <w:hyperlink w:anchor="_Toc404343" w:history="1">
        <w:r w:rsidRPr="003B1501">
          <w:rPr>
            <w:rStyle w:val="Hipervnculo"/>
          </w:rPr>
          <w:t>542.5. Ejecución de las obras</w:t>
        </w:r>
        <w:r>
          <w:rPr>
            <w:webHidden/>
          </w:rPr>
          <w:tab/>
        </w:r>
        <w:r>
          <w:rPr>
            <w:webHidden/>
          </w:rPr>
          <w:fldChar w:fldCharType="begin"/>
        </w:r>
        <w:r>
          <w:rPr>
            <w:webHidden/>
          </w:rPr>
          <w:instrText xml:space="preserve"> PAGEREF _Toc404343 \h </w:instrText>
        </w:r>
        <w:r>
          <w:rPr>
            <w:webHidden/>
          </w:rPr>
        </w:r>
        <w:r>
          <w:rPr>
            <w:webHidden/>
          </w:rPr>
          <w:fldChar w:fldCharType="separate"/>
        </w:r>
        <w:r w:rsidR="001B26B5">
          <w:rPr>
            <w:webHidden/>
          </w:rPr>
          <w:t>169</w:t>
        </w:r>
        <w:r>
          <w:rPr>
            <w:webHidden/>
          </w:rPr>
          <w:fldChar w:fldCharType="end"/>
        </w:r>
      </w:hyperlink>
    </w:p>
    <w:p w14:paraId="354164CE" w14:textId="77777777" w:rsidR="0006561B" w:rsidRDefault="0006561B">
      <w:pPr>
        <w:pStyle w:val="TDC2"/>
        <w:rPr>
          <w:rFonts w:asciiTheme="minorHAnsi" w:eastAsiaTheme="minorEastAsia" w:hAnsiTheme="minorHAnsi" w:cstheme="minorBidi"/>
          <w:szCs w:val="22"/>
          <w:lang w:val="es-ES" w:eastAsia="es-ES"/>
        </w:rPr>
      </w:pPr>
      <w:hyperlink w:anchor="_Toc404344" w:history="1">
        <w:r w:rsidRPr="003B1501">
          <w:rPr>
            <w:rStyle w:val="Hipervnculo"/>
          </w:rPr>
          <w:t>542.6. Tramo de prueba</w:t>
        </w:r>
        <w:r>
          <w:rPr>
            <w:webHidden/>
          </w:rPr>
          <w:tab/>
        </w:r>
        <w:r>
          <w:rPr>
            <w:webHidden/>
          </w:rPr>
          <w:fldChar w:fldCharType="begin"/>
        </w:r>
        <w:r>
          <w:rPr>
            <w:webHidden/>
          </w:rPr>
          <w:instrText xml:space="preserve"> PAGEREF _Toc404344 \h </w:instrText>
        </w:r>
        <w:r>
          <w:rPr>
            <w:webHidden/>
          </w:rPr>
        </w:r>
        <w:r>
          <w:rPr>
            <w:webHidden/>
          </w:rPr>
          <w:fldChar w:fldCharType="separate"/>
        </w:r>
        <w:r w:rsidR="001B26B5">
          <w:rPr>
            <w:webHidden/>
          </w:rPr>
          <w:t>170</w:t>
        </w:r>
        <w:r>
          <w:rPr>
            <w:webHidden/>
          </w:rPr>
          <w:fldChar w:fldCharType="end"/>
        </w:r>
      </w:hyperlink>
    </w:p>
    <w:p w14:paraId="28C4EFD4" w14:textId="77777777" w:rsidR="0006561B" w:rsidRDefault="0006561B">
      <w:pPr>
        <w:pStyle w:val="TDC2"/>
        <w:rPr>
          <w:rFonts w:asciiTheme="minorHAnsi" w:eastAsiaTheme="minorEastAsia" w:hAnsiTheme="minorHAnsi" w:cstheme="minorBidi"/>
          <w:szCs w:val="22"/>
          <w:lang w:val="es-ES" w:eastAsia="es-ES"/>
        </w:rPr>
      </w:pPr>
      <w:hyperlink w:anchor="_Toc404345" w:history="1">
        <w:r w:rsidRPr="003B1501">
          <w:rPr>
            <w:rStyle w:val="Hipervnculo"/>
          </w:rPr>
          <w:t>542.9. Control de calidad</w:t>
        </w:r>
        <w:r>
          <w:rPr>
            <w:webHidden/>
          </w:rPr>
          <w:tab/>
        </w:r>
        <w:r>
          <w:rPr>
            <w:webHidden/>
          </w:rPr>
          <w:fldChar w:fldCharType="begin"/>
        </w:r>
        <w:r>
          <w:rPr>
            <w:webHidden/>
          </w:rPr>
          <w:instrText xml:space="preserve"> PAGEREF _Toc404345 \h </w:instrText>
        </w:r>
        <w:r>
          <w:rPr>
            <w:webHidden/>
          </w:rPr>
        </w:r>
        <w:r>
          <w:rPr>
            <w:webHidden/>
          </w:rPr>
          <w:fldChar w:fldCharType="separate"/>
        </w:r>
        <w:r w:rsidR="001B26B5">
          <w:rPr>
            <w:webHidden/>
          </w:rPr>
          <w:t>170</w:t>
        </w:r>
        <w:r>
          <w:rPr>
            <w:webHidden/>
          </w:rPr>
          <w:fldChar w:fldCharType="end"/>
        </w:r>
      </w:hyperlink>
    </w:p>
    <w:p w14:paraId="26316C50" w14:textId="77777777" w:rsidR="0006561B" w:rsidRDefault="0006561B">
      <w:pPr>
        <w:pStyle w:val="TDC2"/>
        <w:rPr>
          <w:rFonts w:asciiTheme="minorHAnsi" w:eastAsiaTheme="minorEastAsia" w:hAnsiTheme="minorHAnsi" w:cstheme="minorBidi"/>
          <w:szCs w:val="22"/>
          <w:lang w:val="es-ES" w:eastAsia="es-ES"/>
        </w:rPr>
      </w:pPr>
      <w:hyperlink w:anchor="_Toc404346" w:history="1">
        <w:r w:rsidRPr="003B1501">
          <w:rPr>
            <w:rStyle w:val="Hipervnculo"/>
          </w:rPr>
          <w:t>542.11. Medición y abono</w:t>
        </w:r>
        <w:r>
          <w:rPr>
            <w:webHidden/>
          </w:rPr>
          <w:tab/>
        </w:r>
        <w:r>
          <w:rPr>
            <w:webHidden/>
          </w:rPr>
          <w:fldChar w:fldCharType="begin"/>
        </w:r>
        <w:r>
          <w:rPr>
            <w:webHidden/>
          </w:rPr>
          <w:instrText xml:space="preserve"> PAGEREF _Toc404346 \h </w:instrText>
        </w:r>
        <w:r>
          <w:rPr>
            <w:webHidden/>
          </w:rPr>
        </w:r>
        <w:r>
          <w:rPr>
            <w:webHidden/>
          </w:rPr>
          <w:fldChar w:fldCharType="separate"/>
        </w:r>
        <w:r w:rsidR="001B26B5">
          <w:rPr>
            <w:webHidden/>
          </w:rPr>
          <w:t>172</w:t>
        </w:r>
        <w:r>
          <w:rPr>
            <w:webHidden/>
          </w:rPr>
          <w:fldChar w:fldCharType="end"/>
        </w:r>
      </w:hyperlink>
    </w:p>
    <w:p w14:paraId="5114F9CD" w14:textId="77777777" w:rsidR="0006561B" w:rsidRDefault="0006561B">
      <w:pPr>
        <w:pStyle w:val="TDC1"/>
        <w:rPr>
          <w:rFonts w:asciiTheme="minorHAnsi" w:eastAsiaTheme="minorEastAsia" w:hAnsiTheme="minorHAnsi" w:cstheme="minorBidi"/>
          <w:b w:val="0"/>
          <w:sz w:val="22"/>
          <w:szCs w:val="22"/>
          <w:lang w:val="es-ES" w:eastAsia="es-ES"/>
        </w:rPr>
      </w:pPr>
      <w:hyperlink w:anchor="_Toc404347" w:history="1">
        <w:r w:rsidRPr="003B1501">
          <w:rPr>
            <w:rStyle w:val="Hipervnculo"/>
          </w:rPr>
          <w:t>Artículo 543. Mezclas bituminosas para capas de rodadura. Mezclas drenantes y discontinuas</w:t>
        </w:r>
        <w:r>
          <w:rPr>
            <w:webHidden/>
          </w:rPr>
          <w:tab/>
        </w:r>
        <w:r>
          <w:rPr>
            <w:webHidden/>
          </w:rPr>
          <w:fldChar w:fldCharType="begin"/>
        </w:r>
        <w:r>
          <w:rPr>
            <w:webHidden/>
          </w:rPr>
          <w:instrText xml:space="preserve"> PAGEREF _Toc404347 \h </w:instrText>
        </w:r>
        <w:r>
          <w:rPr>
            <w:webHidden/>
          </w:rPr>
        </w:r>
        <w:r>
          <w:rPr>
            <w:webHidden/>
          </w:rPr>
          <w:fldChar w:fldCharType="separate"/>
        </w:r>
        <w:r w:rsidR="001B26B5">
          <w:rPr>
            <w:webHidden/>
          </w:rPr>
          <w:t>173</w:t>
        </w:r>
        <w:r>
          <w:rPr>
            <w:webHidden/>
          </w:rPr>
          <w:fldChar w:fldCharType="end"/>
        </w:r>
      </w:hyperlink>
    </w:p>
    <w:p w14:paraId="2CC004EA" w14:textId="77777777" w:rsidR="0006561B" w:rsidRDefault="0006561B">
      <w:pPr>
        <w:pStyle w:val="TDC2"/>
        <w:rPr>
          <w:rFonts w:asciiTheme="minorHAnsi" w:eastAsiaTheme="minorEastAsia" w:hAnsiTheme="minorHAnsi" w:cstheme="minorBidi"/>
          <w:szCs w:val="22"/>
          <w:lang w:val="es-ES" w:eastAsia="es-ES"/>
        </w:rPr>
      </w:pPr>
      <w:hyperlink w:anchor="_Toc404348" w:history="1">
        <w:r w:rsidRPr="003B1501">
          <w:rPr>
            <w:rStyle w:val="Hipervnculo"/>
          </w:rPr>
          <w:t>543.1. Definición</w:t>
        </w:r>
        <w:r>
          <w:rPr>
            <w:webHidden/>
          </w:rPr>
          <w:tab/>
        </w:r>
        <w:r>
          <w:rPr>
            <w:webHidden/>
          </w:rPr>
          <w:fldChar w:fldCharType="begin"/>
        </w:r>
        <w:r>
          <w:rPr>
            <w:webHidden/>
          </w:rPr>
          <w:instrText xml:space="preserve"> PAGEREF _Toc404348 \h </w:instrText>
        </w:r>
        <w:r>
          <w:rPr>
            <w:webHidden/>
          </w:rPr>
        </w:r>
        <w:r>
          <w:rPr>
            <w:webHidden/>
          </w:rPr>
          <w:fldChar w:fldCharType="separate"/>
        </w:r>
        <w:r w:rsidR="001B26B5">
          <w:rPr>
            <w:webHidden/>
          </w:rPr>
          <w:t>173</w:t>
        </w:r>
        <w:r>
          <w:rPr>
            <w:webHidden/>
          </w:rPr>
          <w:fldChar w:fldCharType="end"/>
        </w:r>
      </w:hyperlink>
    </w:p>
    <w:p w14:paraId="5D895DDF" w14:textId="77777777" w:rsidR="0006561B" w:rsidRDefault="0006561B">
      <w:pPr>
        <w:pStyle w:val="TDC2"/>
        <w:rPr>
          <w:rFonts w:asciiTheme="minorHAnsi" w:eastAsiaTheme="minorEastAsia" w:hAnsiTheme="minorHAnsi" w:cstheme="minorBidi"/>
          <w:szCs w:val="22"/>
          <w:lang w:val="es-ES" w:eastAsia="es-ES"/>
        </w:rPr>
      </w:pPr>
      <w:hyperlink w:anchor="_Toc404349" w:history="1">
        <w:r w:rsidRPr="003B1501">
          <w:rPr>
            <w:rStyle w:val="Hipervnculo"/>
          </w:rPr>
          <w:t>543.2. Materiales</w:t>
        </w:r>
        <w:r>
          <w:rPr>
            <w:webHidden/>
          </w:rPr>
          <w:tab/>
        </w:r>
        <w:r>
          <w:rPr>
            <w:webHidden/>
          </w:rPr>
          <w:fldChar w:fldCharType="begin"/>
        </w:r>
        <w:r>
          <w:rPr>
            <w:webHidden/>
          </w:rPr>
          <w:instrText xml:space="preserve"> PAGEREF _Toc404349 \h </w:instrText>
        </w:r>
        <w:r>
          <w:rPr>
            <w:webHidden/>
          </w:rPr>
        </w:r>
        <w:r>
          <w:rPr>
            <w:webHidden/>
          </w:rPr>
          <w:fldChar w:fldCharType="separate"/>
        </w:r>
        <w:r w:rsidR="001B26B5">
          <w:rPr>
            <w:webHidden/>
          </w:rPr>
          <w:t>173</w:t>
        </w:r>
        <w:r>
          <w:rPr>
            <w:webHidden/>
          </w:rPr>
          <w:fldChar w:fldCharType="end"/>
        </w:r>
      </w:hyperlink>
    </w:p>
    <w:p w14:paraId="79E31E2F" w14:textId="77777777" w:rsidR="0006561B" w:rsidRDefault="0006561B">
      <w:pPr>
        <w:pStyle w:val="TDC2"/>
        <w:rPr>
          <w:rFonts w:asciiTheme="minorHAnsi" w:eastAsiaTheme="minorEastAsia" w:hAnsiTheme="minorHAnsi" w:cstheme="minorBidi"/>
          <w:szCs w:val="22"/>
          <w:lang w:val="es-ES" w:eastAsia="es-ES"/>
        </w:rPr>
      </w:pPr>
      <w:hyperlink w:anchor="_Toc404350" w:history="1">
        <w:r w:rsidRPr="003B1501">
          <w:rPr>
            <w:rStyle w:val="Hipervnculo"/>
          </w:rPr>
          <w:t>543.3. Tipo y composición de la mezcla</w:t>
        </w:r>
        <w:r>
          <w:rPr>
            <w:webHidden/>
          </w:rPr>
          <w:tab/>
        </w:r>
        <w:r>
          <w:rPr>
            <w:webHidden/>
          </w:rPr>
          <w:fldChar w:fldCharType="begin"/>
        </w:r>
        <w:r>
          <w:rPr>
            <w:webHidden/>
          </w:rPr>
          <w:instrText xml:space="preserve"> PAGEREF _Toc404350 \h </w:instrText>
        </w:r>
        <w:r>
          <w:rPr>
            <w:webHidden/>
          </w:rPr>
        </w:r>
        <w:r>
          <w:rPr>
            <w:webHidden/>
          </w:rPr>
          <w:fldChar w:fldCharType="separate"/>
        </w:r>
        <w:r w:rsidR="001B26B5">
          <w:rPr>
            <w:webHidden/>
          </w:rPr>
          <w:t>174</w:t>
        </w:r>
        <w:r>
          <w:rPr>
            <w:webHidden/>
          </w:rPr>
          <w:fldChar w:fldCharType="end"/>
        </w:r>
      </w:hyperlink>
    </w:p>
    <w:p w14:paraId="1909D9AD" w14:textId="77777777" w:rsidR="0006561B" w:rsidRDefault="0006561B">
      <w:pPr>
        <w:pStyle w:val="TDC2"/>
        <w:rPr>
          <w:rFonts w:asciiTheme="minorHAnsi" w:eastAsiaTheme="minorEastAsia" w:hAnsiTheme="minorHAnsi" w:cstheme="minorBidi"/>
          <w:szCs w:val="22"/>
          <w:lang w:val="es-ES" w:eastAsia="es-ES"/>
        </w:rPr>
      </w:pPr>
      <w:hyperlink w:anchor="_Toc404351" w:history="1">
        <w:r w:rsidRPr="003B1501">
          <w:rPr>
            <w:rStyle w:val="Hipervnculo"/>
          </w:rPr>
          <w:t>543.5. Ejecución de las obras</w:t>
        </w:r>
        <w:r>
          <w:rPr>
            <w:webHidden/>
          </w:rPr>
          <w:tab/>
        </w:r>
        <w:r>
          <w:rPr>
            <w:webHidden/>
          </w:rPr>
          <w:fldChar w:fldCharType="begin"/>
        </w:r>
        <w:r>
          <w:rPr>
            <w:webHidden/>
          </w:rPr>
          <w:instrText xml:space="preserve"> PAGEREF _Toc404351 \h </w:instrText>
        </w:r>
        <w:r>
          <w:rPr>
            <w:webHidden/>
          </w:rPr>
        </w:r>
        <w:r>
          <w:rPr>
            <w:webHidden/>
          </w:rPr>
          <w:fldChar w:fldCharType="separate"/>
        </w:r>
        <w:r w:rsidR="001B26B5">
          <w:rPr>
            <w:webHidden/>
          </w:rPr>
          <w:t>174</w:t>
        </w:r>
        <w:r>
          <w:rPr>
            <w:webHidden/>
          </w:rPr>
          <w:fldChar w:fldCharType="end"/>
        </w:r>
      </w:hyperlink>
    </w:p>
    <w:p w14:paraId="29F08B34" w14:textId="77777777" w:rsidR="0006561B" w:rsidRDefault="0006561B">
      <w:pPr>
        <w:pStyle w:val="TDC2"/>
        <w:rPr>
          <w:rFonts w:asciiTheme="minorHAnsi" w:eastAsiaTheme="minorEastAsia" w:hAnsiTheme="minorHAnsi" w:cstheme="minorBidi"/>
          <w:szCs w:val="22"/>
          <w:lang w:val="es-ES" w:eastAsia="es-ES"/>
        </w:rPr>
      </w:pPr>
      <w:hyperlink w:anchor="_Toc404352" w:history="1">
        <w:r w:rsidRPr="003B1501">
          <w:rPr>
            <w:rStyle w:val="Hipervnculo"/>
          </w:rPr>
          <w:t>543.6. Tramo de prueba</w:t>
        </w:r>
        <w:r>
          <w:rPr>
            <w:webHidden/>
          </w:rPr>
          <w:tab/>
        </w:r>
        <w:r>
          <w:rPr>
            <w:webHidden/>
          </w:rPr>
          <w:fldChar w:fldCharType="begin"/>
        </w:r>
        <w:r>
          <w:rPr>
            <w:webHidden/>
          </w:rPr>
          <w:instrText xml:space="preserve"> PAGEREF _Toc404352 \h </w:instrText>
        </w:r>
        <w:r>
          <w:rPr>
            <w:webHidden/>
          </w:rPr>
        </w:r>
        <w:r>
          <w:rPr>
            <w:webHidden/>
          </w:rPr>
          <w:fldChar w:fldCharType="separate"/>
        </w:r>
        <w:r w:rsidR="001B26B5">
          <w:rPr>
            <w:webHidden/>
          </w:rPr>
          <w:t>174</w:t>
        </w:r>
        <w:r>
          <w:rPr>
            <w:webHidden/>
          </w:rPr>
          <w:fldChar w:fldCharType="end"/>
        </w:r>
      </w:hyperlink>
    </w:p>
    <w:p w14:paraId="0C191D11" w14:textId="77777777" w:rsidR="0006561B" w:rsidRDefault="0006561B">
      <w:pPr>
        <w:pStyle w:val="TDC2"/>
        <w:rPr>
          <w:rFonts w:asciiTheme="minorHAnsi" w:eastAsiaTheme="minorEastAsia" w:hAnsiTheme="minorHAnsi" w:cstheme="minorBidi"/>
          <w:szCs w:val="22"/>
          <w:lang w:val="es-ES" w:eastAsia="es-ES"/>
        </w:rPr>
      </w:pPr>
      <w:hyperlink w:anchor="_Toc404353" w:history="1">
        <w:r w:rsidRPr="003B1501">
          <w:rPr>
            <w:rStyle w:val="Hipervnculo"/>
          </w:rPr>
          <w:t>543.9. Control de calidad</w:t>
        </w:r>
        <w:r>
          <w:rPr>
            <w:webHidden/>
          </w:rPr>
          <w:tab/>
        </w:r>
        <w:r>
          <w:rPr>
            <w:webHidden/>
          </w:rPr>
          <w:fldChar w:fldCharType="begin"/>
        </w:r>
        <w:r>
          <w:rPr>
            <w:webHidden/>
          </w:rPr>
          <w:instrText xml:space="preserve"> PAGEREF _Toc404353 \h </w:instrText>
        </w:r>
        <w:r>
          <w:rPr>
            <w:webHidden/>
          </w:rPr>
        </w:r>
        <w:r>
          <w:rPr>
            <w:webHidden/>
          </w:rPr>
          <w:fldChar w:fldCharType="separate"/>
        </w:r>
        <w:r w:rsidR="001B26B5">
          <w:rPr>
            <w:webHidden/>
          </w:rPr>
          <w:t>175</w:t>
        </w:r>
        <w:r>
          <w:rPr>
            <w:webHidden/>
          </w:rPr>
          <w:fldChar w:fldCharType="end"/>
        </w:r>
      </w:hyperlink>
    </w:p>
    <w:p w14:paraId="3A7CBA1E" w14:textId="77777777" w:rsidR="0006561B" w:rsidRDefault="0006561B">
      <w:pPr>
        <w:pStyle w:val="TDC2"/>
        <w:rPr>
          <w:rFonts w:asciiTheme="minorHAnsi" w:eastAsiaTheme="minorEastAsia" w:hAnsiTheme="minorHAnsi" w:cstheme="minorBidi"/>
          <w:szCs w:val="22"/>
          <w:lang w:val="es-ES" w:eastAsia="es-ES"/>
        </w:rPr>
      </w:pPr>
      <w:hyperlink w:anchor="_Toc404354" w:history="1">
        <w:r w:rsidRPr="003B1501">
          <w:rPr>
            <w:rStyle w:val="Hipervnculo"/>
          </w:rPr>
          <w:t>543.11. Medición y abono</w:t>
        </w:r>
        <w:r>
          <w:rPr>
            <w:webHidden/>
          </w:rPr>
          <w:tab/>
        </w:r>
        <w:r>
          <w:rPr>
            <w:webHidden/>
          </w:rPr>
          <w:fldChar w:fldCharType="begin"/>
        </w:r>
        <w:r>
          <w:rPr>
            <w:webHidden/>
          </w:rPr>
          <w:instrText xml:space="preserve"> PAGEREF _Toc404354 \h </w:instrText>
        </w:r>
        <w:r>
          <w:rPr>
            <w:webHidden/>
          </w:rPr>
        </w:r>
        <w:r>
          <w:rPr>
            <w:webHidden/>
          </w:rPr>
          <w:fldChar w:fldCharType="separate"/>
        </w:r>
        <w:r w:rsidR="001B26B5">
          <w:rPr>
            <w:webHidden/>
          </w:rPr>
          <w:t>177</w:t>
        </w:r>
        <w:r>
          <w:rPr>
            <w:webHidden/>
          </w:rPr>
          <w:fldChar w:fldCharType="end"/>
        </w:r>
      </w:hyperlink>
    </w:p>
    <w:p w14:paraId="5DFCD96D" w14:textId="77777777" w:rsidR="0006561B" w:rsidRDefault="0006561B">
      <w:pPr>
        <w:pStyle w:val="TDC1"/>
        <w:rPr>
          <w:rFonts w:asciiTheme="minorHAnsi" w:eastAsiaTheme="minorEastAsia" w:hAnsiTheme="minorHAnsi" w:cstheme="minorBidi"/>
          <w:b w:val="0"/>
          <w:sz w:val="22"/>
          <w:szCs w:val="22"/>
          <w:lang w:val="es-ES" w:eastAsia="es-ES"/>
        </w:rPr>
      </w:pPr>
      <w:hyperlink w:anchor="_Toc404355" w:history="1">
        <w:r w:rsidRPr="003B1501">
          <w:rPr>
            <w:rStyle w:val="Hipervnculo"/>
          </w:rPr>
          <w:t>Artículo 550. Pavimentos de hormigón</w:t>
        </w:r>
        <w:r>
          <w:rPr>
            <w:webHidden/>
          </w:rPr>
          <w:tab/>
        </w:r>
        <w:r>
          <w:rPr>
            <w:webHidden/>
          </w:rPr>
          <w:fldChar w:fldCharType="begin"/>
        </w:r>
        <w:r>
          <w:rPr>
            <w:webHidden/>
          </w:rPr>
          <w:instrText xml:space="preserve"> PAGEREF _Toc404355 \h </w:instrText>
        </w:r>
        <w:r>
          <w:rPr>
            <w:webHidden/>
          </w:rPr>
        </w:r>
        <w:r>
          <w:rPr>
            <w:webHidden/>
          </w:rPr>
          <w:fldChar w:fldCharType="separate"/>
        </w:r>
        <w:r w:rsidR="001B26B5">
          <w:rPr>
            <w:webHidden/>
          </w:rPr>
          <w:t>178</w:t>
        </w:r>
        <w:r>
          <w:rPr>
            <w:webHidden/>
          </w:rPr>
          <w:fldChar w:fldCharType="end"/>
        </w:r>
      </w:hyperlink>
    </w:p>
    <w:p w14:paraId="482E2435" w14:textId="77777777" w:rsidR="0006561B" w:rsidRDefault="0006561B">
      <w:pPr>
        <w:pStyle w:val="TDC2"/>
        <w:rPr>
          <w:rFonts w:asciiTheme="minorHAnsi" w:eastAsiaTheme="minorEastAsia" w:hAnsiTheme="minorHAnsi" w:cstheme="minorBidi"/>
          <w:szCs w:val="22"/>
          <w:lang w:val="es-ES" w:eastAsia="es-ES"/>
        </w:rPr>
      </w:pPr>
      <w:hyperlink w:anchor="_Toc404356" w:history="1">
        <w:r w:rsidRPr="003B1501">
          <w:rPr>
            <w:rStyle w:val="Hipervnculo"/>
          </w:rPr>
          <w:t>550.1. Definición</w:t>
        </w:r>
        <w:r>
          <w:rPr>
            <w:webHidden/>
          </w:rPr>
          <w:tab/>
        </w:r>
        <w:r>
          <w:rPr>
            <w:webHidden/>
          </w:rPr>
          <w:fldChar w:fldCharType="begin"/>
        </w:r>
        <w:r>
          <w:rPr>
            <w:webHidden/>
          </w:rPr>
          <w:instrText xml:space="preserve"> PAGEREF _Toc404356 \h </w:instrText>
        </w:r>
        <w:r>
          <w:rPr>
            <w:webHidden/>
          </w:rPr>
        </w:r>
        <w:r>
          <w:rPr>
            <w:webHidden/>
          </w:rPr>
          <w:fldChar w:fldCharType="separate"/>
        </w:r>
        <w:r w:rsidR="001B26B5">
          <w:rPr>
            <w:webHidden/>
          </w:rPr>
          <w:t>178</w:t>
        </w:r>
        <w:r>
          <w:rPr>
            <w:webHidden/>
          </w:rPr>
          <w:fldChar w:fldCharType="end"/>
        </w:r>
      </w:hyperlink>
    </w:p>
    <w:p w14:paraId="2D2FD787" w14:textId="77777777" w:rsidR="0006561B" w:rsidRDefault="0006561B">
      <w:pPr>
        <w:pStyle w:val="TDC2"/>
        <w:rPr>
          <w:rFonts w:asciiTheme="minorHAnsi" w:eastAsiaTheme="minorEastAsia" w:hAnsiTheme="minorHAnsi" w:cstheme="minorBidi"/>
          <w:szCs w:val="22"/>
          <w:lang w:val="es-ES" w:eastAsia="es-ES"/>
        </w:rPr>
      </w:pPr>
      <w:hyperlink w:anchor="_Toc404357" w:history="1">
        <w:r w:rsidRPr="003B1501">
          <w:rPr>
            <w:rStyle w:val="Hipervnculo"/>
          </w:rPr>
          <w:t>550.2. Materiales</w:t>
        </w:r>
        <w:r>
          <w:rPr>
            <w:webHidden/>
          </w:rPr>
          <w:tab/>
        </w:r>
        <w:r>
          <w:rPr>
            <w:webHidden/>
          </w:rPr>
          <w:fldChar w:fldCharType="begin"/>
        </w:r>
        <w:r>
          <w:rPr>
            <w:webHidden/>
          </w:rPr>
          <w:instrText xml:space="preserve"> PAGEREF _Toc404357 \h </w:instrText>
        </w:r>
        <w:r>
          <w:rPr>
            <w:webHidden/>
          </w:rPr>
        </w:r>
        <w:r>
          <w:rPr>
            <w:webHidden/>
          </w:rPr>
          <w:fldChar w:fldCharType="separate"/>
        </w:r>
        <w:r w:rsidR="001B26B5">
          <w:rPr>
            <w:webHidden/>
          </w:rPr>
          <w:t>178</w:t>
        </w:r>
        <w:r>
          <w:rPr>
            <w:webHidden/>
          </w:rPr>
          <w:fldChar w:fldCharType="end"/>
        </w:r>
      </w:hyperlink>
    </w:p>
    <w:p w14:paraId="1F6C1A74" w14:textId="77777777" w:rsidR="0006561B" w:rsidRDefault="0006561B">
      <w:pPr>
        <w:pStyle w:val="TDC2"/>
        <w:rPr>
          <w:rFonts w:asciiTheme="minorHAnsi" w:eastAsiaTheme="minorEastAsia" w:hAnsiTheme="minorHAnsi" w:cstheme="minorBidi"/>
          <w:szCs w:val="22"/>
          <w:lang w:val="es-ES" w:eastAsia="es-ES"/>
        </w:rPr>
      </w:pPr>
      <w:hyperlink w:anchor="_Toc404358" w:history="1">
        <w:r w:rsidRPr="003B1501">
          <w:rPr>
            <w:rStyle w:val="Hipervnculo"/>
          </w:rPr>
          <w:t>550.3. Tipo y composición del hormigón</w:t>
        </w:r>
        <w:r>
          <w:rPr>
            <w:webHidden/>
          </w:rPr>
          <w:tab/>
        </w:r>
        <w:r>
          <w:rPr>
            <w:webHidden/>
          </w:rPr>
          <w:fldChar w:fldCharType="begin"/>
        </w:r>
        <w:r>
          <w:rPr>
            <w:webHidden/>
          </w:rPr>
          <w:instrText xml:space="preserve"> PAGEREF _Toc404358 \h </w:instrText>
        </w:r>
        <w:r>
          <w:rPr>
            <w:webHidden/>
          </w:rPr>
        </w:r>
        <w:r>
          <w:rPr>
            <w:webHidden/>
          </w:rPr>
          <w:fldChar w:fldCharType="separate"/>
        </w:r>
        <w:r w:rsidR="001B26B5">
          <w:rPr>
            <w:webHidden/>
          </w:rPr>
          <w:t>180</w:t>
        </w:r>
        <w:r>
          <w:rPr>
            <w:webHidden/>
          </w:rPr>
          <w:fldChar w:fldCharType="end"/>
        </w:r>
      </w:hyperlink>
    </w:p>
    <w:p w14:paraId="113FA7C4" w14:textId="77777777" w:rsidR="0006561B" w:rsidRDefault="0006561B">
      <w:pPr>
        <w:pStyle w:val="TDC2"/>
        <w:rPr>
          <w:rFonts w:asciiTheme="minorHAnsi" w:eastAsiaTheme="minorEastAsia" w:hAnsiTheme="minorHAnsi" w:cstheme="minorBidi"/>
          <w:szCs w:val="22"/>
          <w:lang w:val="es-ES" w:eastAsia="es-ES"/>
        </w:rPr>
      </w:pPr>
      <w:hyperlink w:anchor="_Toc404359" w:history="1">
        <w:r w:rsidRPr="003B1501">
          <w:rPr>
            <w:rStyle w:val="Hipervnculo"/>
          </w:rPr>
          <w:t>550.4. Equipo necesario para la ejecución de las obras</w:t>
        </w:r>
        <w:r>
          <w:rPr>
            <w:webHidden/>
          </w:rPr>
          <w:tab/>
        </w:r>
        <w:r>
          <w:rPr>
            <w:webHidden/>
          </w:rPr>
          <w:fldChar w:fldCharType="begin"/>
        </w:r>
        <w:r>
          <w:rPr>
            <w:webHidden/>
          </w:rPr>
          <w:instrText xml:space="preserve"> PAGEREF _Toc404359 \h </w:instrText>
        </w:r>
        <w:r>
          <w:rPr>
            <w:webHidden/>
          </w:rPr>
        </w:r>
        <w:r>
          <w:rPr>
            <w:webHidden/>
          </w:rPr>
          <w:fldChar w:fldCharType="separate"/>
        </w:r>
        <w:r w:rsidR="001B26B5">
          <w:rPr>
            <w:webHidden/>
          </w:rPr>
          <w:t>180</w:t>
        </w:r>
        <w:r>
          <w:rPr>
            <w:webHidden/>
          </w:rPr>
          <w:fldChar w:fldCharType="end"/>
        </w:r>
      </w:hyperlink>
    </w:p>
    <w:p w14:paraId="5213B297" w14:textId="77777777" w:rsidR="0006561B" w:rsidRDefault="0006561B">
      <w:pPr>
        <w:pStyle w:val="TDC2"/>
        <w:rPr>
          <w:rFonts w:asciiTheme="minorHAnsi" w:eastAsiaTheme="minorEastAsia" w:hAnsiTheme="minorHAnsi" w:cstheme="minorBidi"/>
          <w:szCs w:val="22"/>
          <w:lang w:val="es-ES" w:eastAsia="es-ES"/>
        </w:rPr>
      </w:pPr>
      <w:hyperlink w:anchor="_Toc404360" w:history="1">
        <w:r w:rsidRPr="003B1501">
          <w:rPr>
            <w:rStyle w:val="Hipervnculo"/>
          </w:rPr>
          <w:t>550.5. Ejecución de las obras</w:t>
        </w:r>
        <w:r>
          <w:rPr>
            <w:webHidden/>
          </w:rPr>
          <w:tab/>
        </w:r>
        <w:r>
          <w:rPr>
            <w:webHidden/>
          </w:rPr>
          <w:fldChar w:fldCharType="begin"/>
        </w:r>
        <w:r>
          <w:rPr>
            <w:webHidden/>
          </w:rPr>
          <w:instrText xml:space="preserve"> PAGEREF _Toc404360 \h </w:instrText>
        </w:r>
        <w:r>
          <w:rPr>
            <w:webHidden/>
          </w:rPr>
        </w:r>
        <w:r>
          <w:rPr>
            <w:webHidden/>
          </w:rPr>
          <w:fldChar w:fldCharType="separate"/>
        </w:r>
        <w:r w:rsidR="001B26B5">
          <w:rPr>
            <w:webHidden/>
          </w:rPr>
          <w:t>181</w:t>
        </w:r>
        <w:r>
          <w:rPr>
            <w:webHidden/>
          </w:rPr>
          <w:fldChar w:fldCharType="end"/>
        </w:r>
      </w:hyperlink>
    </w:p>
    <w:p w14:paraId="58B72106" w14:textId="77777777" w:rsidR="0006561B" w:rsidRDefault="0006561B">
      <w:pPr>
        <w:pStyle w:val="TDC2"/>
        <w:rPr>
          <w:rFonts w:asciiTheme="minorHAnsi" w:eastAsiaTheme="minorEastAsia" w:hAnsiTheme="minorHAnsi" w:cstheme="minorBidi"/>
          <w:szCs w:val="22"/>
          <w:lang w:val="es-ES" w:eastAsia="es-ES"/>
        </w:rPr>
      </w:pPr>
      <w:hyperlink w:anchor="_Toc404361" w:history="1">
        <w:r w:rsidRPr="003B1501">
          <w:rPr>
            <w:rStyle w:val="Hipervnculo"/>
          </w:rPr>
          <w:t>550.6. Tramo de prueba</w:t>
        </w:r>
        <w:r>
          <w:rPr>
            <w:webHidden/>
          </w:rPr>
          <w:tab/>
        </w:r>
        <w:r>
          <w:rPr>
            <w:webHidden/>
          </w:rPr>
          <w:fldChar w:fldCharType="begin"/>
        </w:r>
        <w:r>
          <w:rPr>
            <w:webHidden/>
          </w:rPr>
          <w:instrText xml:space="preserve"> PAGEREF _Toc404361 \h </w:instrText>
        </w:r>
        <w:r>
          <w:rPr>
            <w:webHidden/>
          </w:rPr>
        </w:r>
        <w:r>
          <w:rPr>
            <w:webHidden/>
          </w:rPr>
          <w:fldChar w:fldCharType="separate"/>
        </w:r>
        <w:r w:rsidR="001B26B5">
          <w:rPr>
            <w:webHidden/>
          </w:rPr>
          <w:t>182</w:t>
        </w:r>
        <w:r>
          <w:rPr>
            <w:webHidden/>
          </w:rPr>
          <w:fldChar w:fldCharType="end"/>
        </w:r>
      </w:hyperlink>
    </w:p>
    <w:p w14:paraId="047AB8AD" w14:textId="77777777" w:rsidR="0006561B" w:rsidRDefault="0006561B">
      <w:pPr>
        <w:pStyle w:val="TDC2"/>
        <w:rPr>
          <w:rFonts w:asciiTheme="minorHAnsi" w:eastAsiaTheme="minorEastAsia" w:hAnsiTheme="minorHAnsi" w:cstheme="minorBidi"/>
          <w:szCs w:val="22"/>
          <w:lang w:val="es-ES" w:eastAsia="es-ES"/>
        </w:rPr>
      </w:pPr>
      <w:hyperlink w:anchor="_Toc404362" w:history="1">
        <w:r w:rsidRPr="003B1501">
          <w:rPr>
            <w:rStyle w:val="Hipervnculo"/>
          </w:rPr>
          <w:t>550.7. Especificaciones de la unidad terminada</w:t>
        </w:r>
        <w:r>
          <w:rPr>
            <w:webHidden/>
          </w:rPr>
          <w:tab/>
        </w:r>
        <w:r>
          <w:rPr>
            <w:webHidden/>
          </w:rPr>
          <w:fldChar w:fldCharType="begin"/>
        </w:r>
        <w:r>
          <w:rPr>
            <w:webHidden/>
          </w:rPr>
          <w:instrText xml:space="preserve"> PAGEREF _Toc404362 \h </w:instrText>
        </w:r>
        <w:r>
          <w:rPr>
            <w:webHidden/>
          </w:rPr>
        </w:r>
        <w:r>
          <w:rPr>
            <w:webHidden/>
          </w:rPr>
          <w:fldChar w:fldCharType="separate"/>
        </w:r>
        <w:r w:rsidR="001B26B5">
          <w:rPr>
            <w:webHidden/>
          </w:rPr>
          <w:t>183</w:t>
        </w:r>
        <w:r>
          <w:rPr>
            <w:webHidden/>
          </w:rPr>
          <w:fldChar w:fldCharType="end"/>
        </w:r>
      </w:hyperlink>
    </w:p>
    <w:p w14:paraId="730B81FD" w14:textId="77777777" w:rsidR="0006561B" w:rsidRDefault="0006561B">
      <w:pPr>
        <w:pStyle w:val="TDC2"/>
        <w:rPr>
          <w:rFonts w:asciiTheme="minorHAnsi" w:eastAsiaTheme="minorEastAsia" w:hAnsiTheme="minorHAnsi" w:cstheme="minorBidi"/>
          <w:szCs w:val="22"/>
          <w:lang w:val="es-ES" w:eastAsia="es-ES"/>
        </w:rPr>
      </w:pPr>
      <w:hyperlink w:anchor="_Toc404363" w:history="1">
        <w:r w:rsidRPr="003B1501">
          <w:rPr>
            <w:rStyle w:val="Hipervnculo"/>
          </w:rPr>
          <w:t>550.8. Limitaciones de la ejecución</w:t>
        </w:r>
        <w:r>
          <w:rPr>
            <w:webHidden/>
          </w:rPr>
          <w:tab/>
        </w:r>
        <w:r>
          <w:rPr>
            <w:webHidden/>
          </w:rPr>
          <w:fldChar w:fldCharType="begin"/>
        </w:r>
        <w:r>
          <w:rPr>
            <w:webHidden/>
          </w:rPr>
          <w:instrText xml:space="preserve"> PAGEREF _Toc404363 \h </w:instrText>
        </w:r>
        <w:r>
          <w:rPr>
            <w:webHidden/>
          </w:rPr>
        </w:r>
        <w:r>
          <w:rPr>
            <w:webHidden/>
          </w:rPr>
          <w:fldChar w:fldCharType="separate"/>
        </w:r>
        <w:r w:rsidR="001B26B5">
          <w:rPr>
            <w:webHidden/>
          </w:rPr>
          <w:t>183</w:t>
        </w:r>
        <w:r>
          <w:rPr>
            <w:webHidden/>
          </w:rPr>
          <w:fldChar w:fldCharType="end"/>
        </w:r>
      </w:hyperlink>
    </w:p>
    <w:p w14:paraId="1B86A925" w14:textId="77777777" w:rsidR="0006561B" w:rsidRDefault="0006561B">
      <w:pPr>
        <w:pStyle w:val="TDC2"/>
        <w:rPr>
          <w:rFonts w:asciiTheme="minorHAnsi" w:eastAsiaTheme="minorEastAsia" w:hAnsiTheme="minorHAnsi" w:cstheme="minorBidi"/>
          <w:szCs w:val="22"/>
          <w:lang w:val="es-ES" w:eastAsia="es-ES"/>
        </w:rPr>
      </w:pPr>
      <w:hyperlink w:anchor="_Toc404364" w:history="1">
        <w:r w:rsidRPr="003B1501">
          <w:rPr>
            <w:rStyle w:val="Hipervnculo"/>
          </w:rPr>
          <w:t>550.9. Control de calidad</w:t>
        </w:r>
        <w:r>
          <w:rPr>
            <w:webHidden/>
          </w:rPr>
          <w:tab/>
        </w:r>
        <w:r>
          <w:rPr>
            <w:webHidden/>
          </w:rPr>
          <w:fldChar w:fldCharType="begin"/>
        </w:r>
        <w:r>
          <w:rPr>
            <w:webHidden/>
          </w:rPr>
          <w:instrText xml:space="preserve"> PAGEREF _Toc404364 \h </w:instrText>
        </w:r>
        <w:r>
          <w:rPr>
            <w:webHidden/>
          </w:rPr>
        </w:r>
        <w:r>
          <w:rPr>
            <w:webHidden/>
          </w:rPr>
          <w:fldChar w:fldCharType="separate"/>
        </w:r>
        <w:r w:rsidR="001B26B5">
          <w:rPr>
            <w:webHidden/>
          </w:rPr>
          <w:t>184</w:t>
        </w:r>
        <w:r>
          <w:rPr>
            <w:webHidden/>
          </w:rPr>
          <w:fldChar w:fldCharType="end"/>
        </w:r>
      </w:hyperlink>
    </w:p>
    <w:p w14:paraId="1813A904" w14:textId="77777777" w:rsidR="0006561B" w:rsidRDefault="0006561B">
      <w:pPr>
        <w:pStyle w:val="TDC2"/>
        <w:rPr>
          <w:rFonts w:asciiTheme="minorHAnsi" w:eastAsiaTheme="minorEastAsia" w:hAnsiTheme="minorHAnsi" w:cstheme="minorBidi"/>
          <w:szCs w:val="22"/>
          <w:lang w:val="es-ES" w:eastAsia="es-ES"/>
        </w:rPr>
      </w:pPr>
      <w:hyperlink w:anchor="_Toc404365" w:history="1">
        <w:r w:rsidRPr="003B1501">
          <w:rPr>
            <w:rStyle w:val="Hipervnculo"/>
          </w:rPr>
          <w:t>550.10. Criterios de aceptación o rechazo</w:t>
        </w:r>
        <w:r>
          <w:rPr>
            <w:webHidden/>
          </w:rPr>
          <w:tab/>
        </w:r>
        <w:r>
          <w:rPr>
            <w:webHidden/>
          </w:rPr>
          <w:fldChar w:fldCharType="begin"/>
        </w:r>
        <w:r>
          <w:rPr>
            <w:webHidden/>
          </w:rPr>
          <w:instrText xml:space="preserve"> PAGEREF _Toc404365 \h </w:instrText>
        </w:r>
        <w:r>
          <w:rPr>
            <w:webHidden/>
          </w:rPr>
        </w:r>
        <w:r>
          <w:rPr>
            <w:webHidden/>
          </w:rPr>
          <w:fldChar w:fldCharType="separate"/>
        </w:r>
        <w:r w:rsidR="001B26B5">
          <w:rPr>
            <w:webHidden/>
          </w:rPr>
          <w:t>185</w:t>
        </w:r>
        <w:r>
          <w:rPr>
            <w:webHidden/>
          </w:rPr>
          <w:fldChar w:fldCharType="end"/>
        </w:r>
      </w:hyperlink>
    </w:p>
    <w:p w14:paraId="4547B740" w14:textId="77777777" w:rsidR="0006561B" w:rsidRDefault="0006561B">
      <w:pPr>
        <w:pStyle w:val="TDC2"/>
        <w:rPr>
          <w:rFonts w:asciiTheme="minorHAnsi" w:eastAsiaTheme="minorEastAsia" w:hAnsiTheme="minorHAnsi" w:cstheme="minorBidi"/>
          <w:szCs w:val="22"/>
          <w:lang w:val="es-ES" w:eastAsia="es-ES"/>
        </w:rPr>
      </w:pPr>
      <w:hyperlink w:anchor="_Toc404366" w:history="1">
        <w:r w:rsidRPr="003B1501">
          <w:rPr>
            <w:rStyle w:val="Hipervnculo"/>
          </w:rPr>
          <w:t>550.11. Medición y abono</w:t>
        </w:r>
        <w:r>
          <w:rPr>
            <w:webHidden/>
          </w:rPr>
          <w:tab/>
        </w:r>
        <w:r>
          <w:rPr>
            <w:webHidden/>
          </w:rPr>
          <w:fldChar w:fldCharType="begin"/>
        </w:r>
        <w:r>
          <w:rPr>
            <w:webHidden/>
          </w:rPr>
          <w:instrText xml:space="preserve"> PAGEREF _Toc404366 \h </w:instrText>
        </w:r>
        <w:r>
          <w:rPr>
            <w:webHidden/>
          </w:rPr>
        </w:r>
        <w:r>
          <w:rPr>
            <w:webHidden/>
          </w:rPr>
          <w:fldChar w:fldCharType="separate"/>
        </w:r>
        <w:r w:rsidR="001B26B5">
          <w:rPr>
            <w:webHidden/>
          </w:rPr>
          <w:t>186</w:t>
        </w:r>
        <w:r>
          <w:rPr>
            <w:webHidden/>
          </w:rPr>
          <w:fldChar w:fldCharType="end"/>
        </w:r>
      </w:hyperlink>
    </w:p>
    <w:p w14:paraId="6B4DDFF3" w14:textId="77777777" w:rsidR="0006561B" w:rsidRDefault="0006561B">
      <w:pPr>
        <w:pStyle w:val="TDC1"/>
        <w:rPr>
          <w:rFonts w:asciiTheme="minorHAnsi" w:eastAsiaTheme="minorEastAsia" w:hAnsiTheme="minorHAnsi" w:cstheme="minorBidi"/>
          <w:b w:val="0"/>
          <w:sz w:val="22"/>
          <w:szCs w:val="22"/>
          <w:lang w:val="es-ES" w:eastAsia="es-ES"/>
        </w:rPr>
      </w:pPr>
      <w:r>
        <w:rPr>
          <w:rStyle w:val="Hipervnculo"/>
        </w:rPr>
        <w:br w:type="column"/>
      </w:r>
      <w:hyperlink w:anchor="_Toc404367" w:history="1">
        <w:r w:rsidRPr="003B1501">
          <w:rPr>
            <w:rStyle w:val="Hipervnculo"/>
          </w:rPr>
          <w:t>Artículo 551. Hormigón magro vibrado</w:t>
        </w:r>
        <w:r>
          <w:rPr>
            <w:webHidden/>
          </w:rPr>
          <w:tab/>
        </w:r>
        <w:r>
          <w:rPr>
            <w:webHidden/>
          </w:rPr>
          <w:fldChar w:fldCharType="begin"/>
        </w:r>
        <w:r>
          <w:rPr>
            <w:webHidden/>
          </w:rPr>
          <w:instrText xml:space="preserve"> PAGEREF _Toc404367 \h </w:instrText>
        </w:r>
        <w:r>
          <w:rPr>
            <w:webHidden/>
          </w:rPr>
        </w:r>
        <w:r>
          <w:rPr>
            <w:webHidden/>
          </w:rPr>
          <w:fldChar w:fldCharType="separate"/>
        </w:r>
        <w:r w:rsidR="001B26B5">
          <w:rPr>
            <w:webHidden/>
          </w:rPr>
          <w:t>187</w:t>
        </w:r>
        <w:r>
          <w:rPr>
            <w:webHidden/>
          </w:rPr>
          <w:fldChar w:fldCharType="end"/>
        </w:r>
      </w:hyperlink>
    </w:p>
    <w:p w14:paraId="259554FB" w14:textId="77777777" w:rsidR="0006561B" w:rsidRDefault="0006561B">
      <w:pPr>
        <w:pStyle w:val="TDC2"/>
        <w:rPr>
          <w:rFonts w:asciiTheme="minorHAnsi" w:eastAsiaTheme="minorEastAsia" w:hAnsiTheme="minorHAnsi" w:cstheme="minorBidi"/>
          <w:szCs w:val="22"/>
          <w:lang w:val="es-ES" w:eastAsia="es-ES"/>
        </w:rPr>
      </w:pPr>
      <w:hyperlink w:anchor="_Toc404368" w:history="1">
        <w:r w:rsidRPr="003B1501">
          <w:rPr>
            <w:rStyle w:val="Hipervnculo"/>
          </w:rPr>
          <w:t>551.1. Definición</w:t>
        </w:r>
        <w:r>
          <w:rPr>
            <w:webHidden/>
          </w:rPr>
          <w:tab/>
        </w:r>
        <w:r>
          <w:rPr>
            <w:webHidden/>
          </w:rPr>
          <w:fldChar w:fldCharType="begin"/>
        </w:r>
        <w:r>
          <w:rPr>
            <w:webHidden/>
          </w:rPr>
          <w:instrText xml:space="preserve"> PAGEREF _Toc404368 \h </w:instrText>
        </w:r>
        <w:r>
          <w:rPr>
            <w:webHidden/>
          </w:rPr>
        </w:r>
        <w:r>
          <w:rPr>
            <w:webHidden/>
          </w:rPr>
          <w:fldChar w:fldCharType="separate"/>
        </w:r>
        <w:r w:rsidR="001B26B5">
          <w:rPr>
            <w:webHidden/>
          </w:rPr>
          <w:t>187</w:t>
        </w:r>
        <w:r>
          <w:rPr>
            <w:webHidden/>
          </w:rPr>
          <w:fldChar w:fldCharType="end"/>
        </w:r>
      </w:hyperlink>
    </w:p>
    <w:p w14:paraId="6CE9E3A4" w14:textId="77777777" w:rsidR="0006561B" w:rsidRDefault="0006561B">
      <w:pPr>
        <w:pStyle w:val="TDC2"/>
        <w:rPr>
          <w:rFonts w:asciiTheme="minorHAnsi" w:eastAsiaTheme="minorEastAsia" w:hAnsiTheme="minorHAnsi" w:cstheme="minorBidi"/>
          <w:szCs w:val="22"/>
          <w:lang w:val="es-ES" w:eastAsia="es-ES"/>
        </w:rPr>
      </w:pPr>
      <w:hyperlink w:anchor="_Toc404369" w:history="1">
        <w:r w:rsidRPr="003B1501">
          <w:rPr>
            <w:rStyle w:val="Hipervnculo"/>
          </w:rPr>
          <w:t>551.2. Materiales</w:t>
        </w:r>
        <w:r>
          <w:rPr>
            <w:webHidden/>
          </w:rPr>
          <w:tab/>
        </w:r>
        <w:r>
          <w:rPr>
            <w:webHidden/>
          </w:rPr>
          <w:fldChar w:fldCharType="begin"/>
        </w:r>
        <w:r>
          <w:rPr>
            <w:webHidden/>
          </w:rPr>
          <w:instrText xml:space="preserve"> PAGEREF _Toc404369 \h </w:instrText>
        </w:r>
        <w:r>
          <w:rPr>
            <w:webHidden/>
          </w:rPr>
        </w:r>
        <w:r>
          <w:rPr>
            <w:webHidden/>
          </w:rPr>
          <w:fldChar w:fldCharType="separate"/>
        </w:r>
        <w:r w:rsidR="001B26B5">
          <w:rPr>
            <w:webHidden/>
          </w:rPr>
          <w:t>187</w:t>
        </w:r>
        <w:r>
          <w:rPr>
            <w:webHidden/>
          </w:rPr>
          <w:fldChar w:fldCharType="end"/>
        </w:r>
      </w:hyperlink>
    </w:p>
    <w:p w14:paraId="63CF0F33" w14:textId="77777777" w:rsidR="0006561B" w:rsidRDefault="0006561B">
      <w:pPr>
        <w:pStyle w:val="TDC2"/>
        <w:rPr>
          <w:rFonts w:asciiTheme="minorHAnsi" w:eastAsiaTheme="minorEastAsia" w:hAnsiTheme="minorHAnsi" w:cstheme="minorBidi"/>
          <w:szCs w:val="22"/>
          <w:lang w:val="es-ES" w:eastAsia="es-ES"/>
        </w:rPr>
      </w:pPr>
      <w:hyperlink w:anchor="_Toc404370" w:history="1">
        <w:r w:rsidRPr="003B1501">
          <w:rPr>
            <w:rStyle w:val="Hipervnculo"/>
          </w:rPr>
          <w:t>551.3. Tipo y composición del hormigón magro vibrado</w:t>
        </w:r>
        <w:r>
          <w:rPr>
            <w:webHidden/>
          </w:rPr>
          <w:tab/>
        </w:r>
        <w:r>
          <w:rPr>
            <w:webHidden/>
          </w:rPr>
          <w:fldChar w:fldCharType="begin"/>
        </w:r>
        <w:r>
          <w:rPr>
            <w:webHidden/>
          </w:rPr>
          <w:instrText xml:space="preserve"> PAGEREF _Toc404370 \h </w:instrText>
        </w:r>
        <w:r>
          <w:rPr>
            <w:webHidden/>
          </w:rPr>
        </w:r>
        <w:r>
          <w:rPr>
            <w:webHidden/>
          </w:rPr>
          <w:fldChar w:fldCharType="separate"/>
        </w:r>
        <w:r w:rsidR="001B26B5">
          <w:rPr>
            <w:webHidden/>
          </w:rPr>
          <w:t>188</w:t>
        </w:r>
        <w:r>
          <w:rPr>
            <w:webHidden/>
          </w:rPr>
          <w:fldChar w:fldCharType="end"/>
        </w:r>
      </w:hyperlink>
    </w:p>
    <w:p w14:paraId="198704DA" w14:textId="77777777" w:rsidR="0006561B" w:rsidRDefault="0006561B">
      <w:pPr>
        <w:pStyle w:val="TDC2"/>
        <w:rPr>
          <w:rFonts w:asciiTheme="minorHAnsi" w:eastAsiaTheme="minorEastAsia" w:hAnsiTheme="minorHAnsi" w:cstheme="minorBidi"/>
          <w:szCs w:val="22"/>
          <w:lang w:val="es-ES" w:eastAsia="es-ES"/>
        </w:rPr>
      </w:pPr>
      <w:hyperlink w:anchor="_Toc404371" w:history="1">
        <w:r w:rsidRPr="003B1501">
          <w:rPr>
            <w:rStyle w:val="Hipervnculo"/>
          </w:rPr>
          <w:t>551.4. Equipo necesario para la ejecución de las obras</w:t>
        </w:r>
        <w:r>
          <w:rPr>
            <w:webHidden/>
          </w:rPr>
          <w:tab/>
        </w:r>
        <w:r>
          <w:rPr>
            <w:webHidden/>
          </w:rPr>
          <w:fldChar w:fldCharType="begin"/>
        </w:r>
        <w:r>
          <w:rPr>
            <w:webHidden/>
          </w:rPr>
          <w:instrText xml:space="preserve"> PAGEREF _Toc404371 \h </w:instrText>
        </w:r>
        <w:r>
          <w:rPr>
            <w:webHidden/>
          </w:rPr>
        </w:r>
        <w:r>
          <w:rPr>
            <w:webHidden/>
          </w:rPr>
          <w:fldChar w:fldCharType="separate"/>
        </w:r>
        <w:r w:rsidR="001B26B5">
          <w:rPr>
            <w:webHidden/>
          </w:rPr>
          <w:t>189</w:t>
        </w:r>
        <w:r>
          <w:rPr>
            <w:webHidden/>
          </w:rPr>
          <w:fldChar w:fldCharType="end"/>
        </w:r>
      </w:hyperlink>
    </w:p>
    <w:p w14:paraId="6BD1D331" w14:textId="77777777" w:rsidR="0006561B" w:rsidRDefault="0006561B">
      <w:pPr>
        <w:pStyle w:val="TDC2"/>
        <w:rPr>
          <w:rFonts w:asciiTheme="minorHAnsi" w:eastAsiaTheme="minorEastAsia" w:hAnsiTheme="minorHAnsi" w:cstheme="minorBidi"/>
          <w:szCs w:val="22"/>
          <w:lang w:val="es-ES" w:eastAsia="es-ES"/>
        </w:rPr>
      </w:pPr>
      <w:hyperlink w:anchor="_Toc404372" w:history="1">
        <w:r w:rsidRPr="003B1501">
          <w:rPr>
            <w:rStyle w:val="Hipervnculo"/>
          </w:rPr>
          <w:t>551.5. Tramo de prueba</w:t>
        </w:r>
        <w:r>
          <w:rPr>
            <w:webHidden/>
          </w:rPr>
          <w:tab/>
        </w:r>
        <w:r>
          <w:rPr>
            <w:webHidden/>
          </w:rPr>
          <w:fldChar w:fldCharType="begin"/>
        </w:r>
        <w:r>
          <w:rPr>
            <w:webHidden/>
          </w:rPr>
          <w:instrText xml:space="preserve"> PAGEREF _Toc404372 \h </w:instrText>
        </w:r>
        <w:r>
          <w:rPr>
            <w:webHidden/>
          </w:rPr>
        </w:r>
        <w:r>
          <w:rPr>
            <w:webHidden/>
          </w:rPr>
          <w:fldChar w:fldCharType="separate"/>
        </w:r>
        <w:r w:rsidR="001B26B5">
          <w:rPr>
            <w:webHidden/>
          </w:rPr>
          <w:t>189</w:t>
        </w:r>
        <w:r>
          <w:rPr>
            <w:webHidden/>
          </w:rPr>
          <w:fldChar w:fldCharType="end"/>
        </w:r>
      </w:hyperlink>
    </w:p>
    <w:p w14:paraId="6BA00140" w14:textId="77777777" w:rsidR="0006561B" w:rsidRDefault="0006561B">
      <w:pPr>
        <w:pStyle w:val="TDC2"/>
        <w:rPr>
          <w:rFonts w:asciiTheme="minorHAnsi" w:eastAsiaTheme="minorEastAsia" w:hAnsiTheme="minorHAnsi" w:cstheme="minorBidi"/>
          <w:szCs w:val="22"/>
          <w:lang w:val="es-ES" w:eastAsia="es-ES"/>
        </w:rPr>
      </w:pPr>
      <w:hyperlink w:anchor="_Toc404373" w:history="1">
        <w:r w:rsidRPr="003B1501">
          <w:rPr>
            <w:rStyle w:val="Hipervnculo"/>
          </w:rPr>
          <w:t>551.6. Ejecución de las obras</w:t>
        </w:r>
        <w:r>
          <w:rPr>
            <w:webHidden/>
          </w:rPr>
          <w:tab/>
        </w:r>
        <w:r>
          <w:rPr>
            <w:webHidden/>
          </w:rPr>
          <w:fldChar w:fldCharType="begin"/>
        </w:r>
        <w:r>
          <w:rPr>
            <w:webHidden/>
          </w:rPr>
          <w:instrText xml:space="preserve"> PAGEREF _Toc404373 \h </w:instrText>
        </w:r>
        <w:r>
          <w:rPr>
            <w:webHidden/>
          </w:rPr>
        </w:r>
        <w:r>
          <w:rPr>
            <w:webHidden/>
          </w:rPr>
          <w:fldChar w:fldCharType="separate"/>
        </w:r>
        <w:r w:rsidR="001B26B5">
          <w:rPr>
            <w:webHidden/>
          </w:rPr>
          <w:t>190</w:t>
        </w:r>
        <w:r>
          <w:rPr>
            <w:webHidden/>
          </w:rPr>
          <w:fldChar w:fldCharType="end"/>
        </w:r>
      </w:hyperlink>
    </w:p>
    <w:p w14:paraId="745CD73A" w14:textId="77777777" w:rsidR="0006561B" w:rsidRDefault="0006561B">
      <w:pPr>
        <w:pStyle w:val="TDC2"/>
        <w:rPr>
          <w:rFonts w:asciiTheme="minorHAnsi" w:eastAsiaTheme="minorEastAsia" w:hAnsiTheme="minorHAnsi" w:cstheme="minorBidi"/>
          <w:szCs w:val="22"/>
          <w:lang w:val="es-ES" w:eastAsia="es-ES"/>
        </w:rPr>
      </w:pPr>
      <w:hyperlink w:anchor="_Toc404374" w:history="1">
        <w:r w:rsidRPr="003B1501">
          <w:rPr>
            <w:rStyle w:val="Hipervnculo"/>
          </w:rPr>
          <w:t>551.7. Especificaciones de la unidad terminada</w:t>
        </w:r>
        <w:r>
          <w:rPr>
            <w:webHidden/>
          </w:rPr>
          <w:tab/>
        </w:r>
        <w:r>
          <w:rPr>
            <w:webHidden/>
          </w:rPr>
          <w:fldChar w:fldCharType="begin"/>
        </w:r>
        <w:r>
          <w:rPr>
            <w:webHidden/>
          </w:rPr>
          <w:instrText xml:space="preserve"> PAGEREF _Toc404374 \h </w:instrText>
        </w:r>
        <w:r>
          <w:rPr>
            <w:webHidden/>
          </w:rPr>
        </w:r>
        <w:r>
          <w:rPr>
            <w:webHidden/>
          </w:rPr>
          <w:fldChar w:fldCharType="separate"/>
        </w:r>
        <w:r w:rsidR="001B26B5">
          <w:rPr>
            <w:webHidden/>
          </w:rPr>
          <w:t>192</w:t>
        </w:r>
        <w:r>
          <w:rPr>
            <w:webHidden/>
          </w:rPr>
          <w:fldChar w:fldCharType="end"/>
        </w:r>
      </w:hyperlink>
    </w:p>
    <w:p w14:paraId="28B9CA54" w14:textId="77777777" w:rsidR="0006561B" w:rsidRDefault="0006561B">
      <w:pPr>
        <w:pStyle w:val="TDC2"/>
        <w:rPr>
          <w:rFonts w:asciiTheme="minorHAnsi" w:eastAsiaTheme="minorEastAsia" w:hAnsiTheme="minorHAnsi" w:cstheme="minorBidi"/>
          <w:szCs w:val="22"/>
          <w:lang w:val="es-ES" w:eastAsia="es-ES"/>
        </w:rPr>
      </w:pPr>
      <w:hyperlink w:anchor="_Toc404375" w:history="1">
        <w:r w:rsidRPr="003B1501">
          <w:rPr>
            <w:rStyle w:val="Hipervnculo"/>
          </w:rPr>
          <w:t>551.8. Limitaciones de la ejecución</w:t>
        </w:r>
        <w:r>
          <w:rPr>
            <w:webHidden/>
          </w:rPr>
          <w:tab/>
        </w:r>
        <w:r>
          <w:rPr>
            <w:webHidden/>
          </w:rPr>
          <w:fldChar w:fldCharType="begin"/>
        </w:r>
        <w:r>
          <w:rPr>
            <w:webHidden/>
          </w:rPr>
          <w:instrText xml:space="preserve"> PAGEREF _Toc404375 \h </w:instrText>
        </w:r>
        <w:r>
          <w:rPr>
            <w:webHidden/>
          </w:rPr>
        </w:r>
        <w:r>
          <w:rPr>
            <w:webHidden/>
          </w:rPr>
          <w:fldChar w:fldCharType="separate"/>
        </w:r>
        <w:r w:rsidR="001B26B5">
          <w:rPr>
            <w:webHidden/>
          </w:rPr>
          <w:t>192</w:t>
        </w:r>
        <w:r>
          <w:rPr>
            <w:webHidden/>
          </w:rPr>
          <w:fldChar w:fldCharType="end"/>
        </w:r>
      </w:hyperlink>
    </w:p>
    <w:p w14:paraId="7A93AE89" w14:textId="77777777" w:rsidR="0006561B" w:rsidRDefault="0006561B">
      <w:pPr>
        <w:pStyle w:val="TDC2"/>
        <w:rPr>
          <w:rFonts w:asciiTheme="minorHAnsi" w:eastAsiaTheme="minorEastAsia" w:hAnsiTheme="minorHAnsi" w:cstheme="minorBidi"/>
          <w:szCs w:val="22"/>
          <w:lang w:val="es-ES" w:eastAsia="es-ES"/>
        </w:rPr>
      </w:pPr>
      <w:hyperlink w:anchor="_Toc404376" w:history="1">
        <w:r w:rsidRPr="003B1501">
          <w:rPr>
            <w:rStyle w:val="Hipervnculo"/>
          </w:rPr>
          <w:t>551.9. Control de calidad</w:t>
        </w:r>
        <w:r>
          <w:rPr>
            <w:webHidden/>
          </w:rPr>
          <w:tab/>
        </w:r>
        <w:r>
          <w:rPr>
            <w:webHidden/>
          </w:rPr>
          <w:fldChar w:fldCharType="begin"/>
        </w:r>
        <w:r>
          <w:rPr>
            <w:webHidden/>
          </w:rPr>
          <w:instrText xml:space="preserve"> PAGEREF _Toc404376 \h </w:instrText>
        </w:r>
        <w:r>
          <w:rPr>
            <w:webHidden/>
          </w:rPr>
        </w:r>
        <w:r>
          <w:rPr>
            <w:webHidden/>
          </w:rPr>
          <w:fldChar w:fldCharType="separate"/>
        </w:r>
        <w:r w:rsidR="001B26B5">
          <w:rPr>
            <w:webHidden/>
          </w:rPr>
          <w:t>193</w:t>
        </w:r>
        <w:r>
          <w:rPr>
            <w:webHidden/>
          </w:rPr>
          <w:fldChar w:fldCharType="end"/>
        </w:r>
      </w:hyperlink>
    </w:p>
    <w:p w14:paraId="0E9BBC8D" w14:textId="77777777" w:rsidR="0006561B" w:rsidRDefault="0006561B">
      <w:pPr>
        <w:pStyle w:val="TDC2"/>
        <w:rPr>
          <w:rFonts w:asciiTheme="minorHAnsi" w:eastAsiaTheme="minorEastAsia" w:hAnsiTheme="minorHAnsi" w:cstheme="minorBidi"/>
          <w:szCs w:val="22"/>
          <w:lang w:val="es-ES" w:eastAsia="es-ES"/>
        </w:rPr>
      </w:pPr>
      <w:hyperlink w:anchor="_Toc404377" w:history="1">
        <w:r w:rsidRPr="003B1501">
          <w:rPr>
            <w:rStyle w:val="Hipervnculo"/>
          </w:rPr>
          <w:t>551.10. Criterios de aceptación o rechazo</w:t>
        </w:r>
        <w:r>
          <w:rPr>
            <w:webHidden/>
          </w:rPr>
          <w:tab/>
        </w:r>
        <w:r>
          <w:rPr>
            <w:webHidden/>
          </w:rPr>
          <w:fldChar w:fldCharType="begin"/>
        </w:r>
        <w:r>
          <w:rPr>
            <w:webHidden/>
          </w:rPr>
          <w:instrText xml:space="preserve"> PAGEREF _Toc404377 \h </w:instrText>
        </w:r>
        <w:r>
          <w:rPr>
            <w:webHidden/>
          </w:rPr>
        </w:r>
        <w:r>
          <w:rPr>
            <w:webHidden/>
          </w:rPr>
          <w:fldChar w:fldCharType="separate"/>
        </w:r>
        <w:r w:rsidR="001B26B5">
          <w:rPr>
            <w:webHidden/>
          </w:rPr>
          <w:t>194</w:t>
        </w:r>
        <w:r>
          <w:rPr>
            <w:webHidden/>
          </w:rPr>
          <w:fldChar w:fldCharType="end"/>
        </w:r>
      </w:hyperlink>
    </w:p>
    <w:p w14:paraId="079D2D97" w14:textId="77777777" w:rsidR="0006561B" w:rsidRDefault="0006561B">
      <w:pPr>
        <w:pStyle w:val="TDC2"/>
        <w:rPr>
          <w:rFonts w:asciiTheme="minorHAnsi" w:eastAsiaTheme="minorEastAsia" w:hAnsiTheme="minorHAnsi" w:cstheme="minorBidi"/>
          <w:szCs w:val="22"/>
          <w:lang w:val="es-ES" w:eastAsia="es-ES"/>
        </w:rPr>
      </w:pPr>
      <w:hyperlink w:anchor="_Toc404378" w:history="1">
        <w:r w:rsidRPr="003B1501">
          <w:rPr>
            <w:rStyle w:val="Hipervnculo"/>
          </w:rPr>
          <w:t>551.11. Medición y abono</w:t>
        </w:r>
        <w:r>
          <w:rPr>
            <w:webHidden/>
          </w:rPr>
          <w:tab/>
        </w:r>
        <w:r>
          <w:rPr>
            <w:webHidden/>
          </w:rPr>
          <w:fldChar w:fldCharType="begin"/>
        </w:r>
        <w:r>
          <w:rPr>
            <w:webHidden/>
          </w:rPr>
          <w:instrText xml:space="preserve"> PAGEREF _Toc404378 \h </w:instrText>
        </w:r>
        <w:r>
          <w:rPr>
            <w:webHidden/>
          </w:rPr>
        </w:r>
        <w:r>
          <w:rPr>
            <w:webHidden/>
          </w:rPr>
          <w:fldChar w:fldCharType="separate"/>
        </w:r>
        <w:r w:rsidR="001B26B5">
          <w:rPr>
            <w:webHidden/>
          </w:rPr>
          <w:t>195</w:t>
        </w:r>
        <w:r>
          <w:rPr>
            <w:webHidden/>
          </w:rPr>
          <w:fldChar w:fldCharType="end"/>
        </w:r>
      </w:hyperlink>
    </w:p>
    <w:p w14:paraId="33EAAE75" w14:textId="77777777" w:rsidR="0006561B" w:rsidRDefault="0006561B">
      <w:pPr>
        <w:pStyle w:val="TDC1"/>
        <w:rPr>
          <w:rFonts w:asciiTheme="minorHAnsi" w:eastAsiaTheme="minorEastAsia" w:hAnsiTheme="minorHAnsi" w:cstheme="minorBidi"/>
          <w:b w:val="0"/>
          <w:sz w:val="22"/>
          <w:szCs w:val="22"/>
          <w:lang w:val="es-ES" w:eastAsia="es-ES"/>
        </w:rPr>
      </w:pPr>
      <w:hyperlink w:anchor="_Toc404379" w:history="1">
        <w:r w:rsidRPr="003B1501">
          <w:rPr>
            <w:rStyle w:val="Hipervnculo"/>
          </w:rPr>
          <w:t>Artículo 555. Reparación de hormigón</w:t>
        </w:r>
        <w:r>
          <w:rPr>
            <w:webHidden/>
          </w:rPr>
          <w:tab/>
        </w:r>
        <w:r>
          <w:rPr>
            <w:webHidden/>
          </w:rPr>
          <w:fldChar w:fldCharType="begin"/>
        </w:r>
        <w:r>
          <w:rPr>
            <w:webHidden/>
          </w:rPr>
          <w:instrText xml:space="preserve"> PAGEREF _Toc404379 \h </w:instrText>
        </w:r>
        <w:r>
          <w:rPr>
            <w:webHidden/>
          </w:rPr>
        </w:r>
        <w:r>
          <w:rPr>
            <w:webHidden/>
          </w:rPr>
          <w:fldChar w:fldCharType="separate"/>
        </w:r>
        <w:r w:rsidR="001B26B5">
          <w:rPr>
            <w:webHidden/>
          </w:rPr>
          <w:t>196</w:t>
        </w:r>
        <w:r>
          <w:rPr>
            <w:webHidden/>
          </w:rPr>
          <w:fldChar w:fldCharType="end"/>
        </w:r>
      </w:hyperlink>
    </w:p>
    <w:p w14:paraId="4D33859C" w14:textId="77777777" w:rsidR="0006561B" w:rsidRDefault="0006561B">
      <w:pPr>
        <w:pStyle w:val="TDC2"/>
        <w:rPr>
          <w:rFonts w:asciiTheme="minorHAnsi" w:eastAsiaTheme="minorEastAsia" w:hAnsiTheme="minorHAnsi" w:cstheme="minorBidi"/>
          <w:szCs w:val="22"/>
          <w:lang w:val="es-ES" w:eastAsia="es-ES"/>
        </w:rPr>
      </w:pPr>
      <w:hyperlink w:anchor="_Toc404380" w:history="1">
        <w:r w:rsidRPr="003B1501">
          <w:rPr>
            <w:rStyle w:val="Hipervnculo"/>
          </w:rPr>
          <w:t>555.1. Definición y aplicación</w:t>
        </w:r>
        <w:r>
          <w:rPr>
            <w:webHidden/>
          </w:rPr>
          <w:tab/>
        </w:r>
        <w:r>
          <w:rPr>
            <w:webHidden/>
          </w:rPr>
          <w:fldChar w:fldCharType="begin"/>
        </w:r>
        <w:r>
          <w:rPr>
            <w:webHidden/>
          </w:rPr>
          <w:instrText xml:space="preserve"> PAGEREF _Toc404380 \h </w:instrText>
        </w:r>
        <w:r>
          <w:rPr>
            <w:webHidden/>
          </w:rPr>
        </w:r>
        <w:r>
          <w:rPr>
            <w:webHidden/>
          </w:rPr>
          <w:fldChar w:fldCharType="separate"/>
        </w:r>
        <w:r w:rsidR="001B26B5">
          <w:rPr>
            <w:webHidden/>
          </w:rPr>
          <w:t>196</w:t>
        </w:r>
        <w:r>
          <w:rPr>
            <w:webHidden/>
          </w:rPr>
          <w:fldChar w:fldCharType="end"/>
        </w:r>
      </w:hyperlink>
    </w:p>
    <w:p w14:paraId="4C9999F9" w14:textId="77777777" w:rsidR="0006561B" w:rsidRDefault="0006561B">
      <w:pPr>
        <w:pStyle w:val="TDC2"/>
        <w:rPr>
          <w:rFonts w:asciiTheme="minorHAnsi" w:eastAsiaTheme="minorEastAsia" w:hAnsiTheme="minorHAnsi" w:cstheme="minorBidi"/>
          <w:szCs w:val="22"/>
          <w:lang w:val="es-ES" w:eastAsia="es-ES"/>
        </w:rPr>
      </w:pPr>
      <w:hyperlink w:anchor="_Toc404381" w:history="1">
        <w:r w:rsidRPr="003B1501">
          <w:rPr>
            <w:rStyle w:val="Hipervnculo"/>
          </w:rPr>
          <w:t>555.2. Ejecución de las obras</w:t>
        </w:r>
        <w:r>
          <w:rPr>
            <w:webHidden/>
          </w:rPr>
          <w:tab/>
        </w:r>
        <w:r>
          <w:rPr>
            <w:webHidden/>
          </w:rPr>
          <w:fldChar w:fldCharType="begin"/>
        </w:r>
        <w:r>
          <w:rPr>
            <w:webHidden/>
          </w:rPr>
          <w:instrText xml:space="preserve"> PAGEREF _Toc404381 \h </w:instrText>
        </w:r>
        <w:r>
          <w:rPr>
            <w:webHidden/>
          </w:rPr>
        </w:r>
        <w:r>
          <w:rPr>
            <w:webHidden/>
          </w:rPr>
          <w:fldChar w:fldCharType="separate"/>
        </w:r>
        <w:r w:rsidR="001B26B5">
          <w:rPr>
            <w:webHidden/>
          </w:rPr>
          <w:t>196</w:t>
        </w:r>
        <w:r>
          <w:rPr>
            <w:webHidden/>
          </w:rPr>
          <w:fldChar w:fldCharType="end"/>
        </w:r>
      </w:hyperlink>
    </w:p>
    <w:p w14:paraId="3BB4B94D" w14:textId="77777777" w:rsidR="0006561B" w:rsidRDefault="0006561B">
      <w:pPr>
        <w:pStyle w:val="TDC2"/>
        <w:rPr>
          <w:rFonts w:asciiTheme="minorHAnsi" w:eastAsiaTheme="minorEastAsia" w:hAnsiTheme="minorHAnsi" w:cstheme="minorBidi"/>
          <w:szCs w:val="22"/>
          <w:lang w:val="es-ES" w:eastAsia="es-ES"/>
        </w:rPr>
      </w:pPr>
      <w:hyperlink w:anchor="_Toc404382" w:history="1">
        <w:r w:rsidRPr="003B1501">
          <w:rPr>
            <w:rStyle w:val="Hipervnculo"/>
          </w:rPr>
          <w:t>555.3. Medición y abono</w:t>
        </w:r>
        <w:r>
          <w:rPr>
            <w:webHidden/>
          </w:rPr>
          <w:tab/>
        </w:r>
        <w:r>
          <w:rPr>
            <w:webHidden/>
          </w:rPr>
          <w:fldChar w:fldCharType="begin"/>
        </w:r>
        <w:r>
          <w:rPr>
            <w:webHidden/>
          </w:rPr>
          <w:instrText xml:space="preserve"> PAGEREF _Toc404382 \h </w:instrText>
        </w:r>
        <w:r>
          <w:rPr>
            <w:webHidden/>
          </w:rPr>
        </w:r>
        <w:r>
          <w:rPr>
            <w:webHidden/>
          </w:rPr>
          <w:fldChar w:fldCharType="separate"/>
        </w:r>
        <w:r w:rsidR="001B26B5">
          <w:rPr>
            <w:webHidden/>
          </w:rPr>
          <w:t>197</w:t>
        </w:r>
        <w:r>
          <w:rPr>
            <w:webHidden/>
          </w:rPr>
          <w:fldChar w:fldCharType="end"/>
        </w:r>
      </w:hyperlink>
    </w:p>
    <w:p w14:paraId="1F35A2A1" w14:textId="77777777" w:rsidR="0006561B" w:rsidRDefault="0006561B">
      <w:pPr>
        <w:pStyle w:val="TDC1"/>
        <w:rPr>
          <w:rFonts w:asciiTheme="minorHAnsi" w:eastAsiaTheme="minorEastAsia" w:hAnsiTheme="minorHAnsi" w:cstheme="minorBidi"/>
          <w:b w:val="0"/>
          <w:sz w:val="22"/>
          <w:szCs w:val="22"/>
          <w:lang w:val="es-ES" w:eastAsia="es-ES"/>
        </w:rPr>
      </w:pPr>
      <w:hyperlink w:anchor="_Toc404383" w:history="1">
        <w:r w:rsidRPr="003B1501">
          <w:rPr>
            <w:rStyle w:val="Hipervnculo"/>
          </w:rPr>
          <w:t>Artículo 560. Pavimento de baldosas</w:t>
        </w:r>
        <w:r>
          <w:rPr>
            <w:webHidden/>
          </w:rPr>
          <w:tab/>
        </w:r>
        <w:r>
          <w:rPr>
            <w:webHidden/>
          </w:rPr>
          <w:fldChar w:fldCharType="begin"/>
        </w:r>
        <w:r>
          <w:rPr>
            <w:webHidden/>
          </w:rPr>
          <w:instrText xml:space="preserve"> PAGEREF _Toc404383 \h </w:instrText>
        </w:r>
        <w:r>
          <w:rPr>
            <w:webHidden/>
          </w:rPr>
        </w:r>
        <w:r>
          <w:rPr>
            <w:webHidden/>
          </w:rPr>
          <w:fldChar w:fldCharType="separate"/>
        </w:r>
        <w:r w:rsidR="001B26B5">
          <w:rPr>
            <w:webHidden/>
          </w:rPr>
          <w:t>198</w:t>
        </w:r>
        <w:r>
          <w:rPr>
            <w:webHidden/>
          </w:rPr>
          <w:fldChar w:fldCharType="end"/>
        </w:r>
      </w:hyperlink>
    </w:p>
    <w:p w14:paraId="67ACC44A" w14:textId="77777777" w:rsidR="0006561B" w:rsidRDefault="0006561B">
      <w:pPr>
        <w:pStyle w:val="TDC2"/>
        <w:rPr>
          <w:rFonts w:asciiTheme="minorHAnsi" w:eastAsiaTheme="minorEastAsia" w:hAnsiTheme="minorHAnsi" w:cstheme="minorBidi"/>
          <w:szCs w:val="22"/>
          <w:lang w:val="es-ES" w:eastAsia="es-ES"/>
        </w:rPr>
      </w:pPr>
      <w:hyperlink w:anchor="_Toc404384" w:history="1">
        <w:r w:rsidRPr="003B1501">
          <w:rPr>
            <w:rStyle w:val="Hipervnculo"/>
          </w:rPr>
          <w:t>560.1.</w:t>
        </w:r>
        <w:r>
          <w:rPr>
            <w:rFonts w:asciiTheme="minorHAnsi" w:eastAsiaTheme="minorEastAsia" w:hAnsiTheme="minorHAnsi" w:cstheme="minorBidi"/>
            <w:szCs w:val="22"/>
            <w:lang w:val="es-ES" w:eastAsia="es-ES"/>
          </w:rPr>
          <w:tab/>
        </w:r>
        <w:r w:rsidRPr="003B1501">
          <w:rPr>
            <w:rStyle w:val="Hipervnculo"/>
          </w:rPr>
          <w:t xml:space="preserve"> Definición</w:t>
        </w:r>
        <w:r>
          <w:rPr>
            <w:webHidden/>
          </w:rPr>
          <w:tab/>
        </w:r>
        <w:r>
          <w:rPr>
            <w:webHidden/>
          </w:rPr>
          <w:fldChar w:fldCharType="begin"/>
        </w:r>
        <w:r>
          <w:rPr>
            <w:webHidden/>
          </w:rPr>
          <w:instrText xml:space="preserve"> PAGEREF _Toc404384 \h </w:instrText>
        </w:r>
        <w:r>
          <w:rPr>
            <w:webHidden/>
          </w:rPr>
        </w:r>
        <w:r>
          <w:rPr>
            <w:webHidden/>
          </w:rPr>
          <w:fldChar w:fldCharType="separate"/>
        </w:r>
        <w:r w:rsidR="001B26B5">
          <w:rPr>
            <w:webHidden/>
          </w:rPr>
          <w:t>198</w:t>
        </w:r>
        <w:r>
          <w:rPr>
            <w:webHidden/>
          </w:rPr>
          <w:fldChar w:fldCharType="end"/>
        </w:r>
      </w:hyperlink>
    </w:p>
    <w:p w14:paraId="69F347DC" w14:textId="77777777" w:rsidR="0006561B" w:rsidRDefault="0006561B">
      <w:pPr>
        <w:pStyle w:val="TDC2"/>
        <w:rPr>
          <w:rFonts w:asciiTheme="minorHAnsi" w:eastAsiaTheme="minorEastAsia" w:hAnsiTheme="minorHAnsi" w:cstheme="minorBidi"/>
          <w:szCs w:val="22"/>
          <w:lang w:val="es-ES" w:eastAsia="es-ES"/>
        </w:rPr>
      </w:pPr>
      <w:hyperlink w:anchor="_Toc404385" w:history="1">
        <w:r w:rsidRPr="003B1501">
          <w:rPr>
            <w:rStyle w:val="Hipervnculo"/>
          </w:rPr>
          <w:t>560.2.  Aplicación</w:t>
        </w:r>
        <w:r>
          <w:rPr>
            <w:webHidden/>
          </w:rPr>
          <w:tab/>
        </w:r>
        <w:r>
          <w:rPr>
            <w:webHidden/>
          </w:rPr>
          <w:fldChar w:fldCharType="begin"/>
        </w:r>
        <w:r>
          <w:rPr>
            <w:webHidden/>
          </w:rPr>
          <w:instrText xml:space="preserve"> PAGEREF _Toc404385 \h </w:instrText>
        </w:r>
        <w:r>
          <w:rPr>
            <w:webHidden/>
          </w:rPr>
        </w:r>
        <w:r>
          <w:rPr>
            <w:webHidden/>
          </w:rPr>
          <w:fldChar w:fldCharType="separate"/>
        </w:r>
        <w:r w:rsidR="001B26B5">
          <w:rPr>
            <w:webHidden/>
          </w:rPr>
          <w:t>198</w:t>
        </w:r>
        <w:r>
          <w:rPr>
            <w:webHidden/>
          </w:rPr>
          <w:fldChar w:fldCharType="end"/>
        </w:r>
      </w:hyperlink>
    </w:p>
    <w:p w14:paraId="3518C23A" w14:textId="77777777" w:rsidR="0006561B" w:rsidRDefault="0006561B">
      <w:pPr>
        <w:pStyle w:val="TDC2"/>
        <w:rPr>
          <w:rFonts w:asciiTheme="minorHAnsi" w:eastAsiaTheme="minorEastAsia" w:hAnsiTheme="minorHAnsi" w:cstheme="minorBidi"/>
          <w:szCs w:val="22"/>
          <w:lang w:val="es-ES" w:eastAsia="es-ES"/>
        </w:rPr>
      </w:pPr>
      <w:hyperlink w:anchor="_Toc404386" w:history="1">
        <w:r w:rsidRPr="003B1501">
          <w:rPr>
            <w:rStyle w:val="Hipervnculo"/>
          </w:rPr>
          <w:t xml:space="preserve">560.3.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_Toc404386 \h </w:instrText>
        </w:r>
        <w:r>
          <w:rPr>
            <w:webHidden/>
          </w:rPr>
        </w:r>
        <w:r>
          <w:rPr>
            <w:webHidden/>
          </w:rPr>
          <w:fldChar w:fldCharType="separate"/>
        </w:r>
        <w:r w:rsidR="001B26B5">
          <w:rPr>
            <w:webHidden/>
          </w:rPr>
          <w:t>198</w:t>
        </w:r>
        <w:r>
          <w:rPr>
            <w:webHidden/>
          </w:rPr>
          <w:fldChar w:fldCharType="end"/>
        </w:r>
      </w:hyperlink>
    </w:p>
    <w:p w14:paraId="11DFF5DA" w14:textId="77777777" w:rsidR="0006561B" w:rsidRDefault="0006561B">
      <w:pPr>
        <w:pStyle w:val="TDC2"/>
        <w:rPr>
          <w:rFonts w:asciiTheme="minorHAnsi" w:eastAsiaTheme="minorEastAsia" w:hAnsiTheme="minorHAnsi" w:cstheme="minorBidi"/>
          <w:szCs w:val="22"/>
          <w:lang w:val="es-ES" w:eastAsia="es-ES"/>
        </w:rPr>
      </w:pPr>
      <w:hyperlink w:anchor="_Toc404387" w:history="1">
        <w:r w:rsidRPr="003B1501">
          <w:rPr>
            <w:rStyle w:val="Hipervnculo"/>
          </w:rPr>
          <w:t>560.4.</w:t>
        </w:r>
        <w:r>
          <w:rPr>
            <w:rFonts w:asciiTheme="minorHAnsi" w:eastAsiaTheme="minorEastAsia" w:hAnsiTheme="minorHAnsi" w:cstheme="minorBidi"/>
            <w:szCs w:val="22"/>
            <w:lang w:val="es-ES" w:eastAsia="es-ES"/>
          </w:rPr>
          <w:tab/>
        </w:r>
        <w:r w:rsidRPr="003B1501">
          <w:rPr>
            <w:rStyle w:val="Hipervnculo"/>
          </w:rPr>
          <w:t xml:space="preserve"> Ejecución de las obras</w:t>
        </w:r>
        <w:r>
          <w:rPr>
            <w:webHidden/>
          </w:rPr>
          <w:tab/>
        </w:r>
        <w:r>
          <w:rPr>
            <w:webHidden/>
          </w:rPr>
          <w:fldChar w:fldCharType="begin"/>
        </w:r>
        <w:r>
          <w:rPr>
            <w:webHidden/>
          </w:rPr>
          <w:instrText xml:space="preserve"> PAGEREF _Toc404387 \h </w:instrText>
        </w:r>
        <w:r>
          <w:rPr>
            <w:webHidden/>
          </w:rPr>
        </w:r>
        <w:r>
          <w:rPr>
            <w:webHidden/>
          </w:rPr>
          <w:fldChar w:fldCharType="separate"/>
        </w:r>
        <w:r w:rsidR="001B26B5">
          <w:rPr>
            <w:webHidden/>
          </w:rPr>
          <w:t>199</w:t>
        </w:r>
        <w:r>
          <w:rPr>
            <w:webHidden/>
          </w:rPr>
          <w:fldChar w:fldCharType="end"/>
        </w:r>
      </w:hyperlink>
    </w:p>
    <w:p w14:paraId="57E76A4F" w14:textId="77777777" w:rsidR="0006561B" w:rsidRDefault="0006561B">
      <w:pPr>
        <w:pStyle w:val="TDC2"/>
        <w:rPr>
          <w:rFonts w:asciiTheme="minorHAnsi" w:eastAsiaTheme="minorEastAsia" w:hAnsiTheme="minorHAnsi" w:cstheme="minorBidi"/>
          <w:szCs w:val="22"/>
          <w:lang w:val="es-ES" w:eastAsia="es-ES"/>
        </w:rPr>
      </w:pPr>
      <w:hyperlink w:anchor="_Toc404388" w:history="1">
        <w:r w:rsidRPr="003B1501">
          <w:rPr>
            <w:rStyle w:val="Hipervnculo"/>
          </w:rPr>
          <w:t>560.6.</w:t>
        </w:r>
        <w:r>
          <w:rPr>
            <w:rFonts w:asciiTheme="minorHAnsi" w:eastAsiaTheme="minorEastAsia" w:hAnsiTheme="minorHAnsi" w:cstheme="minorBidi"/>
            <w:szCs w:val="22"/>
            <w:lang w:val="es-ES" w:eastAsia="es-ES"/>
          </w:rPr>
          <w:tab/>
        </w:r>
        <w:r w:rsidRPr="003B1501">
          <w:rPr>
            <w:rStyle w:val="Hipervnculo"/>
          </w:rPr>
          <w:t xml:space="preserve"> Tratamiento de no conformidades</w:t>
        </w:r>
        <w:r>
          <w:rPr>
            <w:webHidden/>
          </w:rPr>
          <w:tab/>
        </w:r>
        <w:r>
          <w:rPr>
            <w:webHidden/>
          </w:rPr>
          <w:fldChar w:fldCharType="begin"/>
        </w:r>
        <w:r>
          <w:rPr>
            <w:webHidden/>
          </w:rPr>
          <w:instrText xml:space="preserve"> PAGEREF _Toc404388 \h </w:instrText>
        </w:r>
        <w:r>
          <w:rPr>
            <w:webHidden/>
          </w:rPr>
        </w:r>
        <w:r>
          <w:rPr>
            <w:webHidden/>
          </w:rPr>
          <w:fldChar w:fldCharType="separate"/>
        </w:r>
        <w:r w:rsidR="001B26B5">
          <w:rPr>
            <w:webHidden/>
          </w:rPr>
          <w:t>199</w:t>
        </w:r>
        <w:r>
          <w:rPr>
            <w:webHidden/>
          </w:rPr>
          <w:fldChar w:fldCharType="end"/>
        </w:r>
      </w:hyperlink>
    </w:p>
    <w:p w14:paraId="63E648CA" w14:textId="77777777" w:rsidR="0006561B" w:rsidRDefault="0006561B">
      <w:pPr>
        <w:pStyle w:val="TDC2"/>
        <w:rPr>
          <w:rFonts w:asciiTheme="minorHAnsi" w:eastAsiaTheme="minorEastAsia" w:hAnsiTheme="minorHAnsi" w:cstheme="minorBidi"/>
          <w:szCs w:val="22"/>
          <w:lang w:val="es-ES" w:eastAsia="es-ES"/>
        </w:rPr>
      </w:pPr>
      <w:hyperlink w:anchor="_Toc404389" w:history="1">
        <w:r w:rsidRPr="003B1501">
          <w:rPr>
            <w:rStyle w:val="Hipervnculo"/>
          </w:rPr>
          <w:t>560.8.</w:t>
        </w:r>
        <w:r>
          <w:rPr>
            <w:rFonts w:asciiTheme="minorHAnsi" w:eastAsiaTheme="minorEastAsia" w:hAnsiTheme="minorHAnsi" w:cstheme="minorBidi"/>
            <w:szCs w:val="22"/>
            <w:lang w:val="es-ES" w:eastAsia="es-ES"/>
          </w:rPr>
          <w:tab/>
        </w:r>
        <w:r w:rsidRPr="003B1501">
          <w:rPr>
            <w:rStyle w:val="Hipervnculo"/>
          </w:rPr>
          <w:t xml:space="preserve"> Control de calidad</w:t>
        </w:r>
        <w:r>
          <w:rPr>
            <w:webHidden/>
          </w:rPr>
          <w:tab/>
        </w:r>
        <w:r>
          <w:rPr>
            <w:webHidden/>
          </w:rPr>
          <w:fldChar w:fldCharType="begin"/>
        </w:r>
        <w:r>
          <w:rPr>
            <w:webHidden/>
          </w:rPr>
          <w:instrText xml:space="preserve"> PAGEREF _Toc404389 \h </w:instrText>
        </w:r>
        <w:r>
          <w:rPr>
            <w:webHidden/>
          </w:rPr>
        </w:r>
        <w:r>
          <w:rPr>
            <w:webHidden/>
          </w:rPr>
          <w:fldChar w:fldCharType="separate"/>
        </w:r>
        <w:r w:rsidR="001B26B5">
          <w:rPr>
            <w:webHidden/>
          </w:rPr>
          <w:t>200</w:t>
        </w:r>
        <w:r>
          <w:rPr>
            <w:webHidden/>
          </w:rPr>
          <w:fldChar w:fldCharType="end"/>
        </w:r>
      </w:hyperlink>
    </w:p>
    <w:p w14:paraId="14836366" w14:textId="77777777" w:rsidR="0006561B" w:rsidRDefault="0006561B">
      <w:pPr>
        <w:pStyle w:val="TDC2"/>
        <w:rPr>
          <w:rFonts w:asciiTheme="minorHAnsi" w:eastAsiaTheme="minorEastAsia" w:hAnsiTheme="minorHAnsi" w:cstheme="minorBidi"/>
          <w:szCs w:val="22"/>
          <w:lang w:val="es-ES" w:eastAsia="es-ES"/>
        </w:rPr>
      </w:pPr>
      <w:hyperlink w:anchor="_Toc404390" w:history="1">
        <w:r w:rsidRPr="003B1501">
          <w:rPr>
            <w:rStyle w:val="Hipervnculo"/>
          </w:rPr>
          <w:t>560.9</w:t>
        </w:r>
        <w:r>
          <w:rPr>
            <w:rFonts w:asciiTheme="minorHAnsi" w:eastAsiaTheme="minorEastAsia" w:hAnsiTheme="minorHAnsi" w:cstheme="minorBidi"/>
            <w:szCs w:val="22"/>
            <w:lang w:val="es-ES" w:eastAsia="es-ES"/>
          </w:rPr>
          <w:tab/>
        </w:r>
        <w:r w:rsidRPr="003B1501">
          <w:rPr>
            <w:rStyle w:val="Hipervnculo"/>
          </w:rPr>
          <w:t>. Medición y abono</w:t>
        </w:r>
        <w:r>
          <w:rPr>
            <w:webHidden/>
          </w:rPr>
          <w:tab/>
        </w:r>
        <w:r>
          <w:rPr>
            <w:webHidden/>
          </w:rPr>
          <w:fldChar w:fldCharType="begin"/>
        </w:r>
        <w:r>
          <w:rPr>
            <w:webHidden/>
          </w:rPr>
          <w:instrText xml:space="preserve"> PAGEREF _Toc404390 \h </w:instrText>
        </w:r>
        <w:r>
          <w:rPr>
            <w:webHidden/>
          </w:rPr>
        </w:r>
        <w:r>
          <w:rPr>
            <w:webHidden/>
          </w:rPr>
          <w:fldChar w:fldCharType="separate"/>
        </w:r>
        <w:r w:rsidR="001B26B5">
          <w:rPr>
            <w:webHidden/>
          </w:rPr>
          <w:t>200</w:t>
        </w:r>
        <w:r>
          <w:rPr>
            <w:webHidden/>
          </w:rPr>
          <w:fldChar w:fldCharType="end"/>
        </w:r>
      </w:hyperlink>
    </w:p>
    <w:p w14:paraId="0F88F6C1" w14:textId="77777777" w:rsidR="0006561B" w:rsidRDefault="0006561B">
      <w:pPr>
        <w:pStyle w:val="TDC1"/>
        <w:rPr>
          <w:rFonts w:asciiTheme="minorHAnsi" w:eastAsiaTheme="minorEastAsia" w:hAnsiTheme="minorHAnsi" w:cstheme="minorBidi"/>
          <w:b w:val="0"/>
          <w:sz w:val="22"/>
          <w:szCs w:val="22"/>
          <w:lang w:val="es-ES" w:eastAsia="es-ES"/>
        </w:rPr>
      </w:pPr>
      <w:r>
        <w:rPr>
          <w:rStyle w:val="Hipervnculo"/>
        </w:rPr>
        <w:br w:type="column"/>
      </w:r>
      <w:hyperlink w:anchor="_Toc404391" w:history="1">
        <w:r w:rsidRPr="003B1501">
          <w:rPr>
            <w:rStyle w:val="Hipervnculo"/>
          </w:rPr>
          <w:t>Parte 6.- Puentes y estructuras</w:t>
        </w:r>
        <w:r>
          <w:rPr>
            <w:webHidden/>
          </w:rPr>
          <w:tab/>
        </w:r>
        <w:r>
          <w:rPr>
            <w:webHidden/>
          </w:rPr>
          <w:fldChar w:fldCharType="begin"/>
        </w:r>
        <w:r>
          <w:rPr>
            <w:webHidden/>
          </w:rPr>
          <w:instrText xml:space="preserve"> PAGEREF _Toc404391 \h </w:instrText>
        </w:r>
        <w:r>
          <w:rPr>
            <w:webHidden/>
          </w:rPr>
        </w:r>
        <w:r>
          <w:rPr>
            <w:webHidden/>
          </w:rPr>
          <w:fldChar w:fldCharType="separate"/>
        </w:r>
        <w:r w:rsidR="001B26B5">
          <w:rPr>
            <w:webHidden/>
          </w:rPr>
          <w:t>201</w:t>
        </w:r>
        <w:r>
          <w:rPr>
            <w:webHidden/>
          </w:rPr>
          <w:fldChar w:fldCharType="end"/>
        </w:r>
      </w:hyperlink>
    </w:p>
    <w:p w14:paraId="146F1485" w14:textId="77777777" w:rsidR="0006561B" w:rsidRDefault="0006561B">
      <w:pPr>
        <w:pStyle w:val="TDC1"/>
        <w:rPr>
          <w:rFonts w:asciiTheme="minorHAnsi" w:eastAsiaTheme="minorEastAsia" w:hAnsiTheme="minorHAnsi" w:cstheme="minorBidi"/>
          <w:b w:val="0"/>
          <w:sz w:val="22"/>
          <w:szCs w:val="22"/>
          <w:lang w:val="es-ES" w:eastAsia="es-ES"/>
        </w:rPr>
      </w:pPr>
      <w:hyperlink w:anchor="_Toc404392" w:history="1">
        <w:r w:rsidRPr="003B1501">
          <w:rPr>
            <w:rStyle w:val="Hipervnculo"/>
          </w:rPr>
          <w:t>Artículo 600.- Armaduras a emplear en hormigón armado</w:t>
        </w:r>
        <w:r>
          <w:rPr>
            <w:webHidden/>
          </w:rPr>
          <w:tab/>
        </w:r>
        <w:r>
          <w:rPr>
            <w:webHidden/>
          </w:rPr>
          <w:fldChar w:fldCharType="begin"/>
        </w:r>
        <w:r>
          <w:rPr>
            <w:webHidden/>
          </w:rPr>
          <w:instrText xml:space="preserve"> PAGEREF _Toc404392 \h </w:instrText>
        </w:r>
        <w:r>
          <w:rPr>
            <w:webHidden/>
          </w:rPr>
        </w:r>
        <w:r>
          <w:rPr>
            <w:webHidden/>
          </w:rPr>
          <w:fldChar w:fldCharType="separate"/>
        </w:r>
        <w:r w:rsidR="001B26B5">
          <w:rPr>
            <w:webHidden/>
          </w:rPr>
          <w:t>203</w:t>
        </w:r>
        <w:r>
          <w:rPr>
            <w:webHidden/>
          </w:rPr>
          <w:fldChar w:fldCharType="end"/>
        </w:r>
      </w:hyperlink>
    </w:p>
    <w:p w14:paraId="0472F3F5" w14:textId="77777777" w:rsidR="0006561B" w:rsidRDefault="0006561B">
      <w:pPr>
        <w:pStyle w:val="TDC2"/>
        <w:rPr>
          <w:rFonts w:asciiTheme="minorHAnsi" w:eastAsiaTheme="minorEastAsia" w:hAnsiTheme="minorHAnsi" w:cstheme="minorBidi"/>
          <w:szCs w:val="22"/>
          <w:lang w:val="es-ES" w:eastAsia="es-ES"/>
        </w:rPr>
      </w:pPr>
      <w:hyperlink w:anchor="_Toc404393" w:history="1">
        <w:r w:rsidRPr="003B1501">
          <w:rPr>
            <w:rStyle w:val="Hipervnculo"/>
          </w:rPr>
          <w:t>600.1. Definición</w:t>
        </w:r>
        <w:r>
          <w:rPr>
            <w:webHidden/>
          </w:rPr>
          <w:tab/>
        </w:r>
        <w:r>
          <w:rPr>
            <w:webHidden/>
          </w:rPr>
          <w:fldChar w:fldCharType="begin"/>
        </w:r>
        <w:r>
          <w:rPr>
            <w:webHidden/>
          </w:rPr>
          <w:instrText xml:space="preserve"> PAGEREF _Toc404393 \h </w:instrText>
        </w:r>
        <w:r>
          <w:rPr>
            <w:webHidden/>
          </w:rPr>
        </w:r>
        <w:r>
          <w:rPr>
            <w:webHidden/>
          </w:rPr>
          <w:fldChar w:fldCharType="separate"/>
        </w:r>
        <w:r w:rsidR="001B26B5">
          <w:rPr>
            <w:webHidden/>
          </w:rPr>
          <w:t>203</w:t>
        </w:r>
        <w:r>
          <w:rPr>
            <w:webHidden/>
          </w:rPr>
          <w:fldChar w:fldCharType="end"/>
        </w:r>
      </w:hyperlink>
    </w:p>
    <w:p w14:paraId="4905B5FA" w14:textId="77777777" w:rsidR="0006561B" w:rsidRDefault="0006561B">
      <w:pPr>
        <w:pStyle w:val="TDC2"/>
        <w:rPr>
          <w:rFonts w:asciiTheme="minorHAnsi" w:eastAsiaTheme="minorEastAsia" w:hAnsiTheme="minorHAnsi" w:cstheme="minorBidi"/>
          <w:szCs w:val="22"/>
          <w:lang w:val="es-ES" w:eastAsia="es-ES"/>
        </w:rPr>
      </w:pPr>
      <w:hyperlink w:anchor="_Toc404394" w:history="1">
        <w:r w:rsidRPr="003B1501">
          <w:rPr>
            <w:rStyle w:val="Hipervnculo"/>
          </w:rPr>
          <w:t>600.2. Aplicación</w:t>
        </w:r>
        <w:r>
          <w:rPr>
            <w:webHidden/>
          </w:rPr>
          <w:tab/>
        </w:r>
        <w:r>
          <w:rPr>
            <w:webHidden/>
          </w:rPr>
          <w:fldChar w:fldCharType="begin"/>
        </w:r>
        <w:r>
          <w:rPr>
            <w:webHidden/>
          </w:rPr>
          <w:instrText xml:space="preserve"> PAGEREF _Toc404394 \h </w:instrText>
        </w:r>
        <w:r>
          <w:rPr>
            <w:webHidden/>
          </w:rPr>
        </w:r>
        <w:r>
          <w:rPr>
            <w:webHidden/>
          </w:rPr>
          <w:fldChar w:fldCharType="separate"/>
        </w:r>
        <w:r w:rsidR="001B26B5">
          <w:rPr>
            <w:webHidden/>
          </w:rPr>
          <w:t>203</w:t>
        </w:r>
        <w:r>
          <w:rPr>
            <w:webHidden/>
          </w:rPr>
          <w:fldChar w:fldCharType="end"/>
        </w:r>
      </w:hyperlink>
    </w:p>
    <w:p w14:paraId="7B230598" w14:textId="77777777" w:rsidR="0006561B" w:rsidRDefault="0006561B">
      <w:pPr>
        <w:pStyle w:val="TDC2"/>
        <w:rPr>
          <w:rFonts w:asciiTheme="minorHAnsi" w:eastAsiaTheme="minorEastAsia" w:hAnsiTheme="minorHAnsi" w:cstheme="minorBidi"/>
          <w:szCs w:val="22"/>
          <w:lang w:val="es-ES" w:eastAsia="es-ES"/>
        </w:rPr>
      </w:pPr>
      <w:hyperlink w:anchor="_Toc404395" w:history="1">
        <w:r w:rsidRPr="003B1501">
          <w:rPr>
            <w:rStyle w:val="Hipervnculo"/>
          </w:rPr>
          <w:t>600.3. Descripción</w:t>
        </w:r>
        <w:r>
          <w:rPr>
            <w:webHidden/>
          </w:rPr>
          <w:tab/>
        </w:r>
        <w:r>
          <w:rPr>
            <w:webHidden/>
          </w:rPr>
          <w:fldChar w:fldCharType="begin"/>
        </w:r>
        <w:r>
          <w:rPr>
            <w:webHidden/>
          </w:rPr>
          <w:instrText xml:space="preserve"> PAGEREF _Toc404395 \h </w:instrText>
        </w:r>
        <w:r>
          <w:rPr>
            <w:webHidden/>
          </w:rPr>
        </w:r>
        <w:r>
          <w:rPr>
            <w:webHidden/>
          </w:rPr>
          <w:fldChar w:fldCharType="separate"/>
        </w:r>
        <w:r w:rsidR="001B26B5">
          <w:rPr>
            <w:webHidden/>
          </w:rPr>
          <w:t>203</w:t>
        </w:r>
        <w:r>
          <w:rPr>
            <w:webHidden/>
          </w:rPr>
          <w:fldChar w:fldCharType="end"/>
        </w:r>
      </w:hyperlink>
    </w:p>
    <w:p w14:paraId="099A86E4" w14:textId="77777777" w:rsidR="0006561B" w:rsidRDefault="0006561B">
      <w:pPr>
        <w:pStyle w:val="TDC2"/>
        <w:rPr>
          <w:rFonts w:asciiTheme="minorHAnsi" w:eastAsiaTheme="minorEastAsia" w:hAnsiTheme="minorHAnsi" w:cstheme="minorBidi"/>
          <w:szCs w:val="22"/>
          <w:lang w:val="es-ES" w:eastAsia="es-ES"/>
        </w:rPr>
      </w:pPr>
      <w:hyperlink w:anchor="_Toc404396" w:history="1">
        <w:r w:rsidRPr="003B1501">
          <w:rPr>
            <w:rStyle w:val="Hipervnculo"/>
          </w:rPr>
          <w:t>600.4. Materiales</w:t>
        </w:r>
        <w:r>
          <w:rPr>
            <w:webHidden/>
          </w:rPr>
          <w:tab/>
        </w:r>
        <w:r>
          <w:rPr>
            <w:webHidden/>
          </w:rPr>
          <w:fldChar w:fldCharType="begin"/>
        </w:r>
        <w:r>
          <w:rPr>
            <w:webHidden/>
          </w:rPr>
          <w:instrText xml:space="preserve"> PAGEREF _Toc404396 \h </w:instrText>
        </w:r>
        <w:r>
          <w:rPr>
            <w:webHidden/>
          </w:rPr>
        </w:r>
        <w:r>
          <w:rPr>
            <w:webHidden/>
          </w:rPr>
          <w:fldChar w:fldCharType="separate"/>
        </w:r>
        <w:r w:rsidR="001B26B5">
          <w:rPr>
            <w:webHidden/>
          </w:rPr>
          <w:t>203</w:t>
        </w:r>
        <w:r>
          <w:rPr>
            <w:webHidden/>
          </w:rPr>
          <w:fldChar w:fldCharType="end"/>
        </w:r>
      </w:hyperlink>
    </w:p>
    <w:p w14:paraId="0835973F" w14:textId="77777777" w:rsidR="0006561B" w:rsidRDefault="0006561B">
      <w:pPr>
        <w:pStyle w:val="TDC2"/>
        <w:rPr>
          <w:rFonts w:asciiTheme="minorHAnsi" w:eastAsiaTheme="minorEastAsia" w:hAnsiTheme="minorHAnsi" w:cstheme="minorBidi"/>
          <w:szCs w:val="22"/>
          <w:lang w:val="es-ES" w:eastAsia="es-ES"/>
        </w:rPr>
      </w:pPr>
      <w:hyperlink w:anchor="_Toc404397" w:history="1">
        <w:r w:rsidRPr="003B1501">
          <w:rPr>
            <w:rStyle w:val="Hipervnculo"/>
          </w:rPr>
          <w:t>600.5. Ejecución de las obras</w:t>
        </w:r>
        <w:r>
          <w:rPr>
            <w:webHidden/>
          </w:rPr>
          <w:tab/>
        </w:r>
        <w:r>
          <w:rPr>
            <w:webHidden/>
          </w:rPr>
          <w:fldChar w:fldCharType="begin"/>
        </w:r>
        <w:r>
          <w:rPr>
            <w:webHidden/>
          </w:rPr>
          <w:instrText xml:space="preserve"> PAGEREF _Toc404397 \h </w:instrText>
        </w:r>
        <w:r>
          <w:rPr>
            <w:webHidden/>
          </w:rPr>
        </w:r>
        <w:r>
          <w:rPr>
            <w:webHidden/>
          </w:rPr>
          <w:fldChar w:fldCharType="separate"/>
        </w:r>
        <w:r w:rsidR="001B26B5">
          <w:rPr>
            <w:webHidden/>
          </w:rPr>
          <w:t>203</w:t>
        </w:r>
        <w:r>
          <w:rPr>
            <w:webHidden/>
          </w:rPr>
          <w:fldChar w:fldCharType="end"/>
        </w:r>
      </w:hyperlink>
    </w:p>
    <w:p w14:paraId="0AF80B21" w14:textId="77777777" w:rsidR="0006561B" w:rsidRDefault="0006561B">
      <w:pPr>
        <w:pStyle w:val="TDC2"/>
        <w:rPr>
          <w:rFonts w:asciiTheme="minorHAnsi" w:eastAsiaTheme="minorEastAsia" w:hAnsiTheme="minorHAnsi" w:cstheme="minorBidi"/>
          <w:szCs w:val="22"/>
          <w:lang w:val="es-ES" w:eastAsia="es-ES"/>
        </w:rPr>
      </w:pPr>
      <w:hyperlink w:anchor="_Toc404398" w:history="1">
        <w:r w:rsidRPr="003B1501">
          <w:rPr>
            <w:rStyle w:val="Hipervnculo"/>
          </w:rPr>
          <w:t>600.6. Recepción y control de calidad</w:t>
        </w:r>
        <w:r>
          <w:rPr>
            <w:webHidden/>
          </w:rPr>
          <w:tab/>
        </w:r>
        <w:r>
          <w:rPr>
            <w:webHidden/>
          </w:rPr>
          <w:fldChar w:fldCharType="begin"/>
        </w:r>
        <w:r>
          <w:rPr>
            <w:webHidden/>
          </w:rPr>
          <w:instrText xml:space="preserve"> PAGEREF _Toc404398 \h </w:instrText>
        </w:r>
        <w:r>
          <w:rPr>
            <w:webHidden/>
          </w:rPr>
        </w:r>
        <w:r>
          <w:rPr>
            <w:webHidden/>
          </w:rPr>
          <w:fldChar w:fldCharType="separate"/>
        </w:r>
        <w:r w:rsidR="001B26B5">
          <w:rPr>
            <w:webHidden/>
          </w:rPr>
          <w:t>205</w:t>
        </w:r>
        <w:r>
          <w:rPr>
            <w:webHidden/>
          </w:rPr>
          <w:fldChar w:fldCharType="end"/>
        </w:r>
      </w:hyperlink>
    </w:p>
    <w:p w14:paraId="68CFB027" w14:textId="77777777" w:rsidR="0006561B" w:rsidRDefault="0006561B">
      <w:pPr>
        <w:pStyle w:val="TDC2"/>
        <w:rPr>
          <w:rFonts w:asciiTheme="minorHAnsi" w:eastAsiaTheme="minorEastAsia" w:hAnsiTheme="minorHAnsi" w:cstheme="minorBidi"/>
          <w:szCs w:val="22"/>
          <w:lang w:val="es-ES" w:eastAsia="es-ES"/>
        </w:rPr>
      </w:pPr>
      <w:hyperlink w:anchor="_Toc404399" w:history="1">
        <w:r w:rsidRPr="003B1501">
          <w:rPr>
            <w:rStyle w:val="Hipervnculo"/>
          </w:rPr>
          <w:t>600.8. Tratamiento de no conformidades</w:t>
        </w:r>
        <w:r>
          <w:rPr>
            <w:webHidden/>
          </w:rPr>
          <w:tab/>
        </w:r>
        <w:r>
          <w:rPr>
            <w:webHidden/>
          </w:rPr>
          <w:fldChar w:fldCharType="begin"/>
        </w:r>
        <w:r>
          <w:rPr>
            <w:webHidden/>
          </w:rPr>
          <w:instrText xml:space="preserve"> PAGEREF _Toc404399 \h </w:instrText>
        </w:r>
        <w:r>
          <w:rPr>
            <w:webHidden/>
          </w:rPr>
        </w:r>
        <w:r>
          <w:rPr>
            <w:webHidden/>
          </w:rPr>
          <w:fldChar w:fldCharType="separate"/>
        </w:r>
        <w:r w:rsidR="001B26B5">
          <w:rPr>
            <w:webHidden/>
          </w:rPr>
          <w:t>205</w:t>
        </w:r>
        <w:r>
          <w:rPr>
            <w:webHidden/>
          </w:rPr>
          <w:fldChar w:fldCharType="end"/>
        </w:r>
      </w:hyperlink>
    </w:p>
    <w:p w14:paraId="02A5A6BB" w14:textId="77777777" w:rsidR="0006561B" w:rsidRDefault="0006561B">
      <w:pPr>
        <w:pStyle w:val="TDC2"/>
        <w:rPr>
          <w:rFonts w:asciiTheme="minorHAnsi" w:eastAsiaTheme="minorEastAsia" w:hAnsiTheme="minorHAnsi" w:cstheme="minorBidi"/>
          <w:szCs w:val="22"/>
          <w:lang w:val="es-ES" w:eastAsia="es-ES"/>
        </w:rPr>
      </w:pPr>
      <w:hyperlink w:anchor="_Toc404400" w:history="1">
        <w:r w:rsidRPr="003B1501">
          <w:rPr>
            <w:rStyle w:val="Hipervnculo"/>
          </w:rPr>
          <w:t>600.7. Medición y abono</w:t>
        </w:r>
        <w:r>
          <w:rPr>
            <w:webHidden/>
          </w:rPr>
          <w:tab/>
        </w:r>
        <w:r>
          <w:rPr>
            <w:webHidden/>
          </w:rPr>
          <w:fldChar w:fldCharType="begin"/>
        </w:r>
        <w:r>
          <w:rPr>
            <w:webHidden/>
          </w:rPr>
          <w:instrText xml:space="preserve"> PAGEREF _Toc404400 \h </w:instrText>
        </w:r>
        <w:r>
          <w:rPr>
            <w:webHidden/>
          </w:rPr>
        </w:r>
        <w:r>
          <w:rPr>
            <w:webHidden/>
          </w:rPr>
          <w:fldChar w:fldCharType="separate"/>
        </w:r>
        <w:r w:rsidR="001B26B5">
          <w:rPr>
            <w:webHidden/>
          </w:rPr>
          <w:t>206</w:t>
        </w:r>
        <w:r>
          <w:rPr>
            <w:webHidden/>
          </w:rPr>
          <w:fldChar w:fldCharType="end"/>
        </w:r>
      </w:hyperlink>
    </w:p>
    <w:p w14:paraId="27FA1041" w14:textId="77777777" w:rsidR="0006561B" w:rsidRDefault="0006561B">
      <w:pPr>
        <w:pStyle w:val="TDC1"/>
        <w:rPr>
          <w:rFonts w:asciiTheme="minorHAnsi" w:eastAsiaTheme="minorEastAsia" w:hAnsiTheme="minorHAnsi" w:cstheme="minorBidi"/>
          <w:b w:val="0"/>
          <w:sz w:val="22"/>
          <w:szCs w:val="22"/>
          <w:lang w:val="es-ES" w:eastAsia="es-ES"/>
        </w:rPr>
      </w:pPr>
      <w:hyperlink w:anchor="_Toc404401" w:history="1">
        <w:r w:rsidRPr="003B1501">
          <w:rPr>
            <w:rStyle w:val="Hipervnculo"/>
          </w:rPr>
          <w:t>Artículo 610. Hormigones</w:t>
        </w:r>
        <w:r>
          <w:rPr>
            <w:webHidden/>
          </w:rPr>
          <w:tab/>
        </w:r>
        <w:r>
          <w:rPr>
            <w:webHidden/>
          </w:rPr>
          <w:fldChar w:fldCharType="begin"/>
        </w:r>
        <w:r>
          <w:rPr>
            <w:webHidden/>
          </w:rPr>
          <w:instrText xml:space="preserve"> PAGEREF _Toc404401 \h </w:instrText>
        </w:r>
        <w:r>
          <w:rPr>
            <w:webHidden/>
          </w:rPr>
        </w:r>
        <w:r>
          <w:rPr>
            <w:webHidden/>
          </w:rPr>
          <w:fldChar w:fldCharType="separate"/>
        </w:r>
        <w:r w:rsidR="001B26B5">
          <w:rPr>
            <w:webHidden/>
          </w:rPr>
          <w:t>207</w:t>
        </w:r>
        <w:r>
          <w:rPr>
            <w:webHidden/>
          </w:rPr>
          <w:fldChar w:fldCharType="end"/>
        </w:r>
      </w:hyperlink>
    </w:p>
    <w:p w14:paraId="3F4E498F" w14:textId="77777777" w:rsidR="0006561B" w:rsidRDefault="0006561B">
      <w:pPr>
        <w:pStyle w:val="TDC2"/>
        <w:rPr>
          <w:rFonts w:asciiTheme="minorHAnsi" w:eastAsiaTheme="minorEastAsia" w:hAnsiTheme="minorHAnsi" w:cstheme="minorBidi"/>
          <w:szCs w:val="22"/>
          <w:lang w:val="es-ES" w:eastAsia="es-ES"/>
        </w:rPr>
      </w:pPr>
      <w:hyperlink w:anchor="_Toc404402" w:history="1">
        <w:r w:rsidRPr="003B1501">
          <w:rPr>
            <w:rStyle w:val="Hipervnculo"/>
          </w:rPr>
          <w:t xml:space="preserve">610.1.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_Toc404402 \h </w:instrText>
        </w:r>
        <w:r>
          <w:rPr>
            <w:webHidden/>
          </w:rPr>
        </w:r>
        <w:r>
          <w:rPr>
            <w:webHidden/>
          </w:rPr>
          <w:fldChar w:fldCharType="separate"/>
        </w:r>
        <w:r w:rsidR="001B26B5">
          <w:rPr>
            <w:webHidden/>
          </w:rPr>
          <w:t>207</w:t>
        </w:r>
        <w:r>
          <w:rPr>
            <w:webHidden/>
          </w:rPr>
          <w:fldChar w:fldCharType="end"/>
        </w:r>
      </w:hyperlink>
    </w:p>
    <w:p w14:paraId="3968C96B" w14:textId="77777777" w:rsidR="0006561B" w:rsidRDefault="0006561B">
      <w:pPr>
        <w:pStyle w:val="TDC2"/>
        <w:rPr>
          <w:rFonts w:asciiTheme="minorHAnsi" w:eastAsiaTheme="minorEastAsia" w:hAnsiTheme="minorHAnsi" w:cstheme="minorBidi"/>
          <w:szCs w:val="22"/>
          <w:lang w:val="es-ES" w:eastAsia="es-ES"/>
        </w:rPr>
      </w:pPr>
      <w:hyperlink w:anchor="_Toc404403" w:history="1">
        <w:r w:rsidRPr="003B1501">
          <w:rPr>
            <w:rStyle w:val="Hipervnculo"/>
          </w:rPr>
          <w:t>610.2.</w:t>
        </w:r>
        <w:r>
          <w:rPr>
            <w:rFonts w:asciiTheme="minorHAnsi" w:eastAsiaTheme="minorEastAsia" w:hAnsiTheme="minorHAnsi" w:cstheme="minorBidi"/>
            <w:szCs w:val="22"/>
            <w:lang w:val="es-ES" w:eastAsia="es-ES"/>
          </w:rPr>
          <w:tab/>
        </w:r>
        <w:r w:rsidRPr="003B1501">
          <w:rPr>
            <w:rStyle w:val="Hipervnculo"/>
          </w:rPr>
          <w:t xml:space="preserve"> Materiales</w:t>
        </w:r>
        <w:r>
          <w:rPr>
            <w:webHidden/>
          </w:rPr>
          <w:tab/>
        </w:r>
        <w:r>
          <w:rPr>
            <w:webHidden/>
          </w:rPr>
          <w:fldChar w:fldCharType="begin"/>
        </w:r>
        <w:r>
          <w:rPr>
            <w:webHidden/>
          </w:rPr>
          <w:instrText xml:space="preserve"> PAGEREF _Toc404403 \h </w:instrText>
        </w:r>
        <w:r>
          <w:rPr>
            <w:webHidden/>
          </w:rPr>
        </w:r>
        <w:r>
          <w:rPr>
            <w:webHidden/>
          </w:rPr>
          <w:fldChar w:fldCharType="separate"/>
        </w:r>
        <w:r w:rsidR="001B26B5">
          <w:rPr>
            <w:webHidden/>
          </w:rPr>
          <w:t>207</w:t>
        </w:r>
        <w:r>
          <w:rPr>
            <w:webHidden/>
          </w:rPr>
          <w:fldChar w:fldCharType="end"/>
        </w:r>
      </w:hyperlink>
    </w:p>
    <w:p w14:paraId="0403D8E1" w14:textId="77777777" w:rsidR="0006561B" w:rsidRDefault="0006561B">
      <w:pPr>
        <w:pStyle w:val="TDC2"/>
        <w:rPr>
          <w:rFonts w:asciiTheme="minorHAnsi" w:eastAsiaTheme="minorEastAsia" w:hAnsiTheme="minorHAnsi" w:cstheme="minorBidi"/>
          <w:szCs w:val="22"/>
          <w:lang w:val="es-ES" w:eastAsia="es-ES"/>
        </w:rPr>
      </w:pPr>
      <w:hyperlink w:anchor="_Toc404404" w:history="1">
        <w:r w:rsidRPr="003B1501">
          <w:rPr>
            <w:rStyle w:val="Hipervnculo"/>
          </w:rPr>
          <w:t xml:space="preserve">610.3. </w:t>
        </w:r>
        <w:r>
          <w:rPr>
            <w:rFonts w:asciiTheme="minorHAnsi" w:eastAsiaTheme="minorEastAsia" w:hAnsiTheme="minorHAnsi" w:cstheme="minorBidi"/>
            <w:szCs w:val="22"/>
            <w:lang w:val="es-ES" w:eastAsia="es-ES"/>
          </w:rPr>
          <w:tab/>
        </w:r>
        <w:r w:rsidRPr="003B1501">
          <w:rPr>
            <w:rStyle w:val="Hipervnculo"/>
          </w:rPr>
          <w:t>Tipos de hormigón</w:t>
        </w:r>
        <w:r>
          <w:rPr>
            <w:webHidden/>
          </w:rPr>
          <w:tab/>
        </w:r>
        <w:r>
          <w:rPr>
            <w:webHidden/>
          </w:rPr>
          <w:fldChar w:fldCharType="begin"/>
        </w:r>
        <w:r>
          <w:rPr>
            <w:webHidden/>
          </w:rPr>
          <w:instrText xml:space="preserve"> PAGEREF _Toc404404 \h </w:instrText>
        </w:r>
        <w:r>
          <w:rPr>
            <w:webHidden/>
          </w:rPr>
        </w:r>
        <w:r>
          <w:rPr>
            <w:webHidden/>
          </w:rPr>
          <w:fldChar w:fldCharType="separate"/>
        </w:r>
        <w:r w:rsidR="001B26B5">
          <w:rPr>
            <w:webHidden/>
          </w:rPr>
          <w:t>208</w:t>
        </w:r>
        <w:r>
          <w:rPr>
            <w:webHidden/>
          </w:rPr>
          <w:fldChar w:fldCharType="end"/>
        </w:r>
      </w:hyperlink>
    </w:p>
    <w:p w14:paraId="22A3DC66" w14:textId="77777777" w:rsidR="0006561B" w:rsidRDefault="0006561B">
      <w:pPr>
        <w:pStyle w:val="TDC2"/>
        <w:rPr>
          <w:rFonts w:asciiTheme="minorHAnsi" w:eastAsiaTheme="minorEastAsia" w:hAnsiTheme="minorHAnsi" w:cstheme="minorBidi"/>
          <w:szCs w:val="22"/>
          <w:lang w:val="es-ES" w:eastAsia="es-ES"/>
        </w:rPr>
      </w:pPr>
      <w:hyperlink w:anchor="_Toc404405" w:history="1">
        <w:r w:rsidRPr="003B1501">
          <w:rPr>
            <w:rStyle w:val="Hipervnculo"/>
          </w:rPr>
          <w:t xml:space="preserve">610.4. </w:t>
        </w:r>
        <w:r>
          <w:rPr>
            <w:rFonts w:asciiTheme="minorHAnsi" w:eastAsiaTheme="minorEastAsia" w:hAnsiTheme="minorHAnsi" w:cstheme="minorBidi"/>
            <w:szCs w:val="22"/>
            <w:lang w:val="es-ES" w:eastAsia="es-ES"/>
          </w:rPr>
          <w:tab/>
        </w:r>
        <w:r w:rsidRPr="003B1501">
          <w:rPr>
            <w:rStyle w:val="Hipervnculo"/>
          </w:rPr>
          <w:t>Dosificación del hormigón</w:t>
        </w:r>
        <w:r>
          <w:rPr>
            <w:webHidden/>
          </w:rPr>
          <w:tab/>
        </w:r>
        <w:r>
          <w:rPr>
            <w:webHidden/>
          </w:rPr>
          <w:fldChar w:fldCharType="begin"/>
        </w:r>
        <w:r>
          <w:rPr>
            <w:webHidden/>
          </w:rPr>
          <w:instrText xml:space="preserve"> PAGEREF _Toc404405 \h </w:instrText>
        </w:r>
        <w:r>
          <w:rPr>
            <w:webHidden/>
          </w:rPr>
        </w:r>
        <w:r>
          <w:rPr>
            <w:webHidden/>
          </w:rPr>
          <w:fldChar w:fldCharType="separate"/>
        </w:r>
        <w:r w:rsidR="001B26B5">
          <w:rPr>
            <w:webHidden/>
          </w:rPr>
          <w:t>208</w:t>
        </w:r>
        <w:r>
          <w:rPr>
            <w:webHidden/>
          </w:rPr>
          <w:fldChar w:fldCharType="end"/>
        </w:r>
      </w:hyperlink>
    </w:p>
    <w:p w14:paraId="034AF26D" w14:textId="77777777" w:rsidR="0006561B" w:rsidRDefault="0006561B">
      <w:pPr>
        <w:pStyle w:val="TDC2"/>
        <w:rPr>
          <w:rFonts w:asciiTheme="minorHAnsi" w:eastAsiaTheme="minorEastAsia" w:hAnsiTheme="minorHAnsi" w:cstheme="minorBidi"/>
          <w:szCs w:val="22"/>
          <w:lang w:val="es-ES" w:eastAsia="es-ES"/>
        </w:rPr>
      </w:pPr>
      <w:hyperlink w:anchor="_Toc404406" w:history="1">
        <w:r w:rsidRPr="003B1501">
          <w:rPr>
            <w:rStyle w:val="Hipervnculo"/>
          </w:rPr>
          <w:t xml:space="preserve">610.6.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_Toc404406 \h </w:instrText>
        </w:r>
        <w:r>
          <w:rPr>
            <w:webHidden/>
          </w:rPr>
        </w:r>
        <w:r>
          <w:rPr>
            <w:webHidden/>
          </w:rPr>
          <w:fldChar w:fldCharType="separate"/>
        </w:r>
        <w:r w:rsidR="001B26B5">
          <w:rPr>
            <w:webHidden/>
          </w:rPr>
          <w:t>209</w:t>
        </w:r>
        <w:r>
          <w:rPr>
            <w:webHidden/>
          </w:rPr>
          <w:fldChar w:fldCharType="end"/>
        </w:r>
      </w:hyperlink>
    </w:p>
    <w:p w14:paraId="6D42EA01" w14:textId="77777777" w:rsidR="0006561B" w:rsidRDefault="0006561B">
      <w:pPr>
        <w:pStyle w:val="TDC2"/>
        <w:rPr>
          <w:rFonts w:asciiTheme="minorHAnsi" w:eastAsiaTheme="minorEastAsia" w:hAnsiTheme="minorHAnsi" w:cstheme="minorBidi"/>
          <w:szCs w:val="22"/>
          <w:lang w:val="es-ES" w:eastAsia="es-ES"/>
        </w:rPr>
      </w:pPr>
      <w:hyperlink w:anchor="_Toc404407" w:history="1">
        <w:r w:rsidRPr="003B1501">
          <w:rPr>
            <w:rStyle w:val="Hipervnculo"/>
          </w:rPr>
          <w:t xml:space="preserve">610.7. </w:t>
        </w:r>
        <w:r>
          <w:rPr>
            <w:rFonts w:asciiTheme="minorHAnsi" w:eastAsiaTheme="minorEastAsia" w:hAnsiTheme="minorHAnsi" w:cstheme="minorBidi"/>
            <w:szCs w:val="22"/>
            <w:lang w:val="es-ES" w:eastAsia="es-ES"/>
          </w:rPr>
          <w:tab/>
        </w:r>
        <w:r w:rsidRPr="003B1501">
          <w:rPr>
            <w:rStyle w:val="Hipervnculo"/>
          </w:rPr>
          <w:t>Control de calidad</w:t>
        </w:r>
        <w:r>
          <w:rPr>
            <w:webHidden/>
          </w:rPr>
          <w:tab/>
        </w:r>
        <w:r>
          <w:rPr>
            <w:webHidden/>
          </w:rPr>
          <w:fldChar w:fldCharType="begin"/>
        </w:r>
        <w:r>
          <w:rPr>
            <w:webHidden/>
          </w:rPr>
          <w:instrText xml:space="preserve"> PAGEREF _Toc404407 \h </w:instrText>
        </w:r>
        <w:r>
          <w:rPr>
            <w:webHidden/>
          </w:rPr>
        </w:r>
        <w:r>
          <w:rPr>
            <w:webHidden/>
          </w:rPr>
          <w:fldChar w:fldCharType="separate"/>
        </w:r>
        <w:r w:rsidR="001B26B5">
          <w:rPr>
            <w:webHidden/>
          </w:rPr>
          <w:t>210</w:t>
        </w:r>
        <w:r>
          <w:rPr>
            <w:webHidden/>
          </w:rPr>
          <w:fldChar w:fldCharType="end"/>
        </w:r>
      </w:hyperlink>
    </w:p>
    <w:p w14:paraId="3B18213A" w14:textId="77777777" w:rsidR="0006561B" w:rsidRDefault="0006561B">
      <w:pPr>
        <w:pStyle w:val="TDC2"/>
        <w:rPr>
          <w:rFonts w:asciiTheme="minorHAnsi" w:eastAsiaTheme="minorEastAsia" w:hAnsiTheme="minorHAnsi" w:cstheme="minorBidi"/>
          <w:szCs w:val="22"/>
          <w:lang w:val="es-ES" w:eastAsia="es-ES"/>
        </w:rPr>
      </w:pPr>
      <w:hyperlink w:anchor="_Toc404408" w:history="1">
        <w:r w:rsidRPr="003B1501">
          <w:rPr>
            <w:rStyle w:val="Hipervnculo"/>
          </w:rPr>
          <w:t>610.10. Medición y abono</w:t>
        </w:r>
        <w:r>
          <w:rPr>
            <w:webHidden/>
          </w:rPr>
          <w:tab/>
        </w:r>
        <w:r>
          <w:rPr>
            <w:webHidden/>
          </w:rPr>
          <w:fldChar w:fldCharType="begin"/>
        </w:r>
        <w:r>
          <w:rPr>
            <w:webHidden/>
          </w:rPr>
          <w:instrText xml:space="preserve"> PAGEREF _Toc404408 \h </w:instrText>
        </w:r>
        <w:r>
          <w:rPr>
            <w:webHidden/>
          </w:rPr>
        </w:r>
        <w:r>
          <w:rPr>
            <w:webHidden/>
          </w:rPr>
          <w:fldChar w:fldCharType="separate"/>
        </w:r>
        <w:r w:rsidR="001B26B5">
          <w:rPr>
            <w:webHidden/>
          </w:rPr>
          <w:t>212</w:t>
        </w:r>
        <w:r>
          <w:rPr>
            <w:webHidden/>
          </w:rPr>
          <w:fldChar w:fldCharType="end"/>
        </w:r>
      </w:hyperlink>
    </w:p>
    <w:p w14:paraId="27BF7807" w14:textId="77777777" w:rsidR="0006561B" w:rsidRDefault="0006561B">
      <w:pPr>
        <w:pStyle w:val="TDC1"/>
        <w:rPr>
          <w:rFonts w:asciiTheme="minorHAnsi" w:eastAsiaTheme="minorEastAsia" w:hAnsiTheme="minorHAnsi" w:cstheme="minorBidi"/>
          <w:b w:val="0"/>
          <w:sz w:val="22"/>
          <w:szCs w:val="22"/>
          <w:lang w:val="es-ES" w:eastAsia="es-ES"/>
        </w:rPr>
      </w:pPr>
      <w:hyperlink w:anchor="_Toc404409" w:history="1">
        <w:r w:rsidRPr="003B1501">
          <w:rPr>
            <w:rStyle w:val="Hipervnculo"/>
          </w:rPr>
          <w:t>Artículo 618. Relleno especial localizado con material de préstamo tratado con cemento.</w:t>
        </w:r>
        <w:r>
          <w:rPr>
            <w:webHidden/>
          </w:rPr>
          <w:tab/>
        </w:r>
        <w:r>
          <w:rPr>
            <w:webHidden/>
          </w:rPr>
          <w:fldChar w:fldCharType="begin"/>
        </w:r>
        <w:r>
          <w:rPr>
            <w:webHidden/>
          </w:rPr>
          <w:instrText xml:space="preserve"> PAGEREF _Toc404409 \h </w:instrText>
        </w:r>
        <w:r>
          <w:rPr>
            <w:webHidden/>
          </w:rPr>
        </w:r>
        <w:r>
          <w:rPr>
            <w:webHidden/>
          </w:rPr>
          <w:fldChar w:fldCharType="separate"/>
        </w:r>
        <w:r w:rsidR="001B26B5">
          <w:rPr>
            <w:webHidden/>
          </w:rPr>
          <w:t>213</w:t>
        </w:r>
        <w:r>
          <w:rPr>
            <w:webHidden/>
          </w:rPr>
          <w:fldChar w:fldCharType="end"/>
        </w:r>
      </w:hyperlink>
    </w:p>
    <w:p w14:paraId="776C62BB" w14:textId="77777777" w:rsidR="0006561B" w:rsidRDefault="0006561B">
      <w:pPr>
        <w:pStyle w:val="TDC2"/>
        <w:rPr>
          <w:rFonts w:asciiTheme="minorHAnsi" w:eastAsiaTheme="minorEastAsia" w:hAnsiTheme="minorHAnsi" w:cstheme="minorBidi"/>
          <w:szCs w:val="22"/>
          <w:lang w:val="es-ES" w:eastAsia="es-ES"/>
        </w:rPr>
      </w:pPr>
      <w:hyperlink w:anchor="_Toc404410" w:history="1">
        <w:r w:rsidRPr="003B1501">
          <w:rPr>
            <w:rStyle w:val="Hipervnculo"/>
          </w:rPr>
          <w:t xml:space="preserve">618.1.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_Toc404410 \h </w:instrText>
        </w:r>
        <w:r>
          <w:rPr>
            <w:webHidden/>
          </w:rPr>
        </w:r>
        <w:r>
          <w:rPr>
            <w:webHidden/>
          </w:rPr>
          <w:fldChar w:fldCharType="separate"/>
        </w:r>
        <w:r w:rsidR="001B26B5">
          <w:rPr>
            <w:webHidden/>
          </w:rPr>
          <w:t>213</w:t>
        </w:r>
        <w:r>
          <w:rPr>
            <w:webHidden/>
          </w:rPr>
          <w:fldChar w:fldCharType="end"/>
        </w:r>
      </w:hyperlink>
    </w:p>
    <w:p w14:paraId="141496FF" w14:textId="77777777" w:rsidR="0006561B" w:rsidRDefault="0006561B">
      <w:pPr>
        <w:pStyle w:val="TDC2"/>
        <w:rPr>
          <w:rFonts w:asciiTheme="minorHAnsi" w:eastAsiaTheme="minorEastAsia" w:hAnsiTheme="minorHAnsi" w:cstheme="minorBidi"/>
          <w:szCs w:val="22"/>
          <w:lang w:val="es-ES" w:eastAsia="es-ES"/>
        </w:rPr>
      </w:pPr>
      <w:hyperlink w:anchor="_Toc404411" w:history="1">
        <w:r w:rsidRPr="003B1501">
          <w:rPr>
            <w:rStyle w:val="Hipervnculo"/>
          </w:rPr>
          <w:t xml:space="preserve">618.2.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_Toc404411 \h </w:instrText>
        </w:r>
        <w:r>
          <w:rPr>
            <w:webHidden/>
          </w:rPr>
        </w:r>
        <w:r>
          <w:rPr>
            <w:webHidden/>
          </w:rPr>
          <w:fldChar w:fldCharType="separate"/>
        </w:r>
        <w:r w:rsidR="001B26B5">
          <w:rPr>
            <w:webHidden/>
          </w:rPr>
          <w:t>213</w:t>
        </w:r>
        <w:r>
          <w:rPr>
            <w:webHidden/>
          </w:rPr>
          <w:fldChar w:fldCharType="end"/>
        </w:r>
      </w:hyperlink>
    </w:p>
    <w:p w14:paraId="74F1803D" w14:textId="77777777" w:rsidR="0006561B" w:rsidRDefault="0006561B">
      <w:pPr>
        <w:pStyle w:val="TDC2"/>
        <w:rPr>
          <w:rFonts w:asciiTheme="minorHAnsi" w:eastAsiaTheme="minorEastAsia" w:hAnsiTheme="minorHAnsi" w:cstheme="minorBidi"/>
          <w:szCs w:val="22"/>
          <w:lang w:val="es-ES" w:eastAsia="es-ES"/>
        </w:rPr>
      </w:pPr>
      <w:hyperlink w:anchor="_Toc404412" w:history="1">
        <w:r w:rsidRPr="003B1501">
          <w:rPr>
            <w:rStyle w:val="Hipervnculo"/>
          </w:rPr>
          <w:t xml:space="preserve">618.3. </w:t>
        </w:r>
        <w:r>
          <w:rPr>
            <w:rFonts w:asciiTheme="minorHAnsi" w:eastAsiaTheme="minorEastAsia" w:hAnsiTheme="minorHAnsi" w:cstheme="minorBidi"/>
            <w:szCs w:val="22"/>
            <w:lang w:val="es-ES" w:eastAsia="es-ES"/>
          </w:rPr>
          <w:tab/>
        </w:r>
        <w:r w:rsidRPr="003B1501">
          <w:rPr>
            <w:rStyle w:val="Hipervnculo"/>
          </w:rPr>
          <w:t>Descripción de los trabajos</w:t>
        </w:r>
        <w:r>
          <w:rPr>
            <w:webHidden/>
          </w:rPr>
          <w:tab/>
        </w:r>
        <w:r>
          <w:rPr>
            <w:webHidden/>
          </w:rPr>
          <w:fldChar w:fldCharType="begin"/>
        </w:r>
        <w:r>
          <w:rPr>
            <w:webHidden/>
          </w:rPr>
          <w:instrText xml:space="preserve"> PAGEREF _Toc404412 \h </w:instrText>
        </w:r>
        <w:r>
          <w:rPr>
            <w:webHidden/>
          </w:rPr>
        </w:r>
        <w:r>
          <w:rPr>
            <w:webHidden/>
          </w:rPr>
          <w:fldChar w:fldCharType="separate"/>
        </w:r>
        <w:r w:rsidR="001B26B5">
          <w:rPr>
            <w:webHidden/>
          </w:rPr>
          <w:t>213</w:t>
        </w:r>
        <w:r>
          <w:rPr>
            <w:webHidden/>
          </w:rPr>
          <w:fldChar w:fldCharType="end"/>
        </w:r>
      </w:hyperlink>
    </w:p>
    <w:p w14:paraId="6FD18890" w14:textId="77777777" w:rsidR="0006561B" w:rsidRDefault="0006561B">
      <w:pPr>
        <w:pStyle w:val="TDC2"/>
        <w:rPr>
          <w:rFonts w:asciiTheme="minorHAnsi" w:eastAsiaTheme="minorEastAsia" w:hAnsiTheme="minorHAnsi" w:cstheme="minorBidi"/>
          <w:szCs w:val="22"/>
          <w:lang w:val="es-ES" w:eastAsia="es-ES"/>
        </w:rPr>
      </w:pPr>
      <w:hyperlink w:anchor="_Toc404413" w:history="1">
        <w:r w:rsidRPr="003B1501">
          <w:rPr>
            <w:rStyle w:val="Hipervnculo"/>
          </w:rPr>
          <w:t xml:space="preserve">618.4.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_Toc404413 \h </w:instrText>
        </w:r>
        <w:r>
          <w:rPr>
            <w:webHidden/>
          </w:rPr>
        </w:r>
        <w:r>
          <w:rPr>
            <w:webHidden/>
          </w:rPr>
          <w:fldChar w:fldCharType="separate"/>
        </w:r>
        <w:r w:rsidR="001B26B5">
          <w:rPr>
            <w:webHidden/>
          </w:rPr>
          <w:t>213</w:t>
        </w:r>
        <w:r>
          <w:rPr>
            <w:webHidden/>
          </w:rPr>
          <w:fldChar w:fldCharType="end"/>
        </w:r>
      </w:hyperlink>
    </w:p>
    <w:p w14:paraId="5470E570" w14:textId="77777777" w:rsidR="0006561B" w:rsidRDefault="0006561B">
      <w:pPr>
        <w:pStyle w:val="TDC2"/>
        <w:rPr>
          <w:rFonts w:asciiTheme="minorHAnsi" w:eastAsiaTheme="minorEastAsia" w:hAnsiTheme="minorHAnsi" w:cstheme="minorBidi"/>
          <w:szCs w:val="22"/>
          <w:lang w:val="es-ES" w:eastAsia="es-ES"/>
        </w:rPr>
      </w:pPr>
      <w:hyperlink w:anchor="_Toc404414" w:history="1">
        <w:r w:rsidRPr="003B1501">
          <w:rPr>
            <w:rStyle w:val="Hipervnculo"/>
          </w:rPr>
          <w:t>618.5.  Ejecución de las obras</w:t>
        </w:r>
        <w:r>
          <w:rPr>
            <w:webHidden/>
          </w:rPr>
          <w:tab/>
        </w:r>
        <w:r>
          <w:rPr>
            <w:webHidden/>
          </w:rPr>
          <w:fldChar w:fldCharType="begin"/>
        </w:r>
        <w:r>
          <w:rPr>
            <w:webHidden/>
          </w:rPr>
          <w:instrText xml:space="preserve"> PAGEREF _Toc404414 \h </w:instrText>
        </w:r>
        <w:r>
          <w:rPr>
            <w:webHidden/>
          </w:rPr>
        </w:r>
        <w:r>
          <w:rPr>
            <w:webHidden/>
          </w:rPr>
          <w:fldChar w:fldCharType="separate"/>
        </w:r>
        <w:r w:rsidR="001B26B5">
          <w:rPr>
            <w:webHidden/>
          </w:rPr>
          <w:t>213</w:t>
        </w:r>
        <w:r>
          <w:rPr>
            <w:webHidden/>
          </w:rPr>
          <w:fldChar w:fldCharType="end"/>
        </w:r>
      </w:hyperlink>
    </w:p>
    <w:p w14:paraId="0A1ECD89" w14:textId="77777777" w:rsidR="0006561B" w:rsidRDefault="0006561B">
      <w:pPr>
        <w:pStyle w:val="TDC2"/>
        <w:rPr>
          <w:rFonts w:asciiTheme="minorHAnsi" w:eastAsiaTheme="minorEastAsia" w:hAnsiTheme="minorHAnsi" w:cstheme="minorBidi"/>
          <w:szCs w:val="22"/>
          <w:lang w:val="es-ES" w:eastAsia="es-ES"/>
        </w:rPr>
      </w:pPr>
      <w:hyperlink w:anchor="_Toc404415" w:history="1">
        <w:r w:rsidRPr="003B1501">
          <w:rPr>
            <w:rStyle w:val="Hipervnculo"/>
          </w:rPr>
          <w:t xml:space="preserve">618.7. </w:t>
        </w:r>
        <w:r>
          <w:rPr>
            <w:rFonts w:asciiTheme="minorHAnsi" w:eastAsiaTheme="minorEastAsia" w:hAnsiTheme="minorHAnsi" w:cstheme="minorBidi"/>
            <w:szCs w:val="22"/>
            <w:lang w:val="es-ES" w:eastAsia="es-ES"/>
          </w:rPr>
          <w:tab/>
        </w:r>
        <w:r w:rsidRPr="003B1501">
          <w:rPr>
            <w:rStyle w:val="Hipervnculo"/>
          </w:rPr>
          <w:t>Control de calidad</w:t>
        </w:r>
        <w:r>
          <w:rPr>
            <w:webHidden/>
          </w:rPr>
          <w:tab/>
        </w:r>
        <w:r>
          <w:rPr>
            <w:webHidden/>
          </w:rPr>
          <w:fldChar w:fldCharType="begin"/>
        </w:r>
        <w:r>
          <w:rPr>
            <w:webHidden/>
          </w:rPr>
          <w:instrText xml:space="preserve"> PAGEREF _Toc404415 \h </w:instrText>
        </w:r>
        <w:r>
          <w:rPr>
            <w:webHidden/>
          </w:rPr>
        </w:r>
        <w:r>
          <w:rPr>
            <w:webHidden/>
          </w:rPr>
          <w:fldChar w:fldCharType="separate"/>
        </w:r>
        <w:r w:rsidR="001B26B5">
          <w:rPr>
            <w:webHidden/>
          </w:rPr>
          <w:t>214</w:t>
        </w:r>
        <w:r>
          <w:rPr>
            <w:webHidden/>
          </w:rPr>
          <w:fldChar w:fldCharType="end"/>
        </w:r>
      </w:hyperlink>
    </w:p>
    <w:p w14:paraId="5ABFBE0F" w14:textId="77777777" w:rsidR="0006561B" w:rsidRDefault="0006561B">
      <w:pPr>
        <w:pStyle w:val="TDC2"/>
        <w:rPr>
          <w:rFonts w:asciiTheme="minorHAnsi" w:eastAsiaTheme="minorEastAsia" w:hAnsiTheme="minorHAnsi" w:cstheme="minorBidi"/>
          <w:szCs w:val="22"/>
          <w:lang w:val="es-ES" w:eastAsia="es-ES"/>
        </w:rPr>
      </w:pPr>
      <w:hyperlink w:anchor="_Toc404416" w:history="1">
        <w:r w:rsidRPr="003B1501">
          <w:rPr>
            <w:rStyle w:val="Hipervnculo"/>
          </w:rPr>
          <w:t xml:space="preserve">618.9. </w:t>
        </w:r>
        <w:r>
          <w:rPr>
            <w:rFonts w:asciiTheme="minorHAnsi" w:eastAsiaTheme="minorEastAsia" w:hAnsiTheme="minorHAnsi" w:cstheme="minorBidi"/>
            <w:szCs w:val="22"/>
            <w:lang w:val="es-ES" w:eastAsia="es-ES"/>
          </w:rPr>
          <w:tab/>
        </w:r>
        <w:r w:rsidRPr="003B1501">
          <w:rPr>
            <w:rStyle w:val="Hipervnculo"/>
          </w:rPr>
          <w:t>Medición y abono</w:t>
        </w:r>
        <w:r>
          <w:rPr>
            <w:webHidden/>
          </w:rPr>
          <w:tab/>
        </w:r>
        <w:r>
          <w:rPr>
            <w:webHidden/>
          </w:rPr>
          <w:fldChar w:fldCharType="begin"/>
        </w:r>
        <w:r>
          <w:rPr>
            <w:webHidden/>
          </w:rPr>
          <w:instrText xml:space="preserve"> PAGEREF _Toc404416 \h </w:instrText>
        </w:r>
        <w:r>
          <w:rPr>
            <w:webHidden/>
          </w:rPr>
        </w:r>
        <w:r>
          <w:rPr>
            <w:webHidden/>
          </w:rPr>
          <w:fldChar w:fldCharType="separate"/>
        </w:r>
        <w:r w:rsidR="001B26B5">
          <w:rPr>
            <w:webHidden/>
          </w:rPr>
          <w:t>215</w:t>
        </w:r>
        <w:r>
          <w:rPr>
            <w:webHidden/>
          </w:rPr>
          <w:fldChar w:fldCharType="end"/>
        </w:r>
      </w:hyperlink>
    </w:p>
    <w:p w14:paraId="08EB359F" w14:textId="77777777" w:rsidR="0006561B" w:rsidRDefault="0006561B">
      <w:pPr>
        <w:pStyle w:val="TDC1"/>
        <w:rPr>
          <w:rFonts w:asciiTheme="minorHAnsi" w:eastAsiaTheme="minorEastAsia" w:hAnsiTheme="minorHAnsi" w:cstheme="minorBidi"/>
          <w:b w:val="0"/>
          <w:sz w:val="22"/>
          <w:szCs w:val="22"/>
          <w:lang w:val="es-ES" w:eastAsia="es-ES"/>
        </w:rPr>
      </w:pPr>
      <w:r>
        <w:rPr>
          <w:rStyle w:val="Hipervnculo"/>
        </w:rPr>
        <w:br w:type="column"/>
      </w:r>
      <w:hyperlink w:anchor="_Toc404417" w:history="1">
        <w:r w:rsidRPr="003B1501">
          <w:rPr>
            <w:rStyle w:val="Hipervnculo"/>
          </w:rPr>
          <w:t>Artículo 619. Chorreado con abrasivo a presión controlada</w:t>
        </w:r>
        <w:r>
          <w:rPr>
            <w:webHidden/>
          </w:rPr>
          <w:tab/>
        </w:r>
        <w:r>
          <w:rPr>
            <w:webHidden/>
          </w:rPr>
          <w:fldChar w:fldCharType="begin"/>
        </w:r>
        <w:r>
          <w:rPr>
            <w:webHidden/>
          </w:rPr>
          <w:instrText xml:space="preserve"> PAGEREF _Toc404417 \h </w:instrText>
        </w:r>
        <w:r>
          <w:rPr>
            <w:webHidden/>
          </w:rPr>
        </w:r>
        <w:r>
          <w:rPr>
            <w:webHidden/>
          </w:rPr>
          <w:fldChar w:fldCharType="separate"/>
        </w:r>
        <w:r w:rsidR="001B26B5">
          <w:rPr>
            <w:webHidden/>
          </w:rPr>
          <w:t>216</w:t>
        </w:r>
        <w:r>
          <w:rPr>
            <w:webHidden/>
          </w:rPr>
          <w:fldChar w:fldCharType="end"/>
        </w:r>
      </w:hyperlink>
    </w:p>
    <w:p w14:paraId="4274C504" w14:textId="77777777" w:rsidR="0006561B" w:rsidRDefault="0006561B">
      <w:pPr>
        <w:pStyle w:val="TDC2"/>
        <w:rPr>
          <w:rFonts w:asciiTheme="minorHAnsi" w:eastAsiaTheme="minorEastAsia" w:hAnsiTheme="minorHAnsi" w:cstheme="minorBidi"/>
          <w:szCs w:val="22"/>
          <w:lang w:val="es-ES" w:eastAsia="es-ES"/>
        </w:rPr>
      </w:pPr>
      <w:hyperlink w:anchor="_Toc404418" w:history="1">
        <w:r w:rsidRPr="003B1501">
          <w:rPr>
            <w:rStyle w:val="Hipervnculo"/>
          </w:rPr>
          <w:t xml:space="preserve">619.1.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_Toc404418 \h </w:instrText>
        </w:r>
        <w:r>
          <w:rPr>
            <w:webHidden/>
          </w:rPr>
        </w:r>
        <w:r>
          <w:rPr>
            <w:webHidden/>
          </w:rPr>
          <w:fldChar w:fldCharType="separate"/>
        </w:r>
        <w:r w:rsidR="001B26B5">
          <w:rPr>
            <w:webHidden/>
          </w:rPr>
          <w:t>216</w:t>
        </w:r>
        <w:r>
          <w:rPr>
            <w:webHidden/>
          </w:rPr>
          <w:fldChar w:fldCharType="end"/>
        </w:r>
      </w:hyperlink>
    </w:p>
    <w:p w14:paraId="14B70365" w14:textId="77777777" w:rsidR="0006561B" w:rsidRDefault="0006561B">
      <w:pPr>
        <w:pStyle w:val="TDC2"/>
        <w:rPr>
          <w:rFonts w:asciiTheme="minorHAnsi" w:eastAsiaTheme="minorEastAsia" w:hAnsiTheme="minorHAnsi" w:cstheme="minorBidi"/>
          <w:szCs w:val="22"/>
          <w:lang w:val="es-ES" w:eastAsia="es-ES"/>
        </w:rPr>
      </w:pPr>
      <w:hyperlink w:anchor="_Toc404419" w:history="1">
        <w:r w:rsidRPr="003B1501">
          <w:rPr>
            <w:rStyle w:val="Hipervnculo"/>
          </w:rPr>
          <w:t xml:space="preserve">619.2.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_Toc404419 \h </w:instrText>
        </w:r>
        <w:r>
          <w:rPr>
            <w:webHidden/>
          </w:rPr>
        </w:r>
        <w:r>
          <w:rPr>
            <w:webHidden/>
          </w:rPr>
          <w:fldChar w:fldCharType="separate"/>
        </w:r>
        <w:r w:rsidR="001B26B5">
          <w:rPr>
            <w:webHidden/>
          </w:rPr>
          <w:t>216</w:t>
        </w:r>
        <w:r>
          <w:rPr>
            <w:webHidden/>
          </w:rPr>
          <w:fldChar w:fldCharType="end"/>
        </w:r>
      </w:hyperlink>
    </w:p>
    <w:p w14:paraId="4C0A0478" w14:textId="77777777" w:rsidR="0006561B" w:rsidRDefault="0006561B">
      <w:pPr>
        <w:pStyle w:val="TDC2"/>
        <w:rPr>
          <w:rFonts w:asciiTheme="minorHAnsi" w:eastAsiaTheme="minorEastAsia" w:hAnsiTheme="minorHAnsi" w:cstheme="minorBidi"/>
          <w:szCs w:val="22"/>
          <w:lang w:val="es-ES" w:eastAsia="es-ES"/>
        </w:rPr>
      </w:pPr>
      <w:hyperlink w:anchor="_Toc404420" w:history="1">
        <w:r w:rsidRPr="003B1501">
          <w:rPr>
            <w:rStyle w:val="Hipervnculo"/>
          </w:rPr>
          <w:t>619.3.  Descripción de los trabajos</w:t>
        </w:r>
        <w:r>
          <w:rPr>
            <w:webHidden/>
          </w:rPr>
          <w:tab/>
        </w:r>
        <w:r>
          <w:rPr>
            <w:webHidden/>
          </w:rPr>
          <w:fldChar w:fldCharType="begin"/>
        </w:r>
        <w:r>
          <w:rPr>
            <w:webHidden/>
          </w:rPr>
          <w:instrText xml:space="preserve"> PAGEREF _Toc404420 \h </w:instrText>
        </w:r>
        <w:r>
          <w:rPr>
            <w:webHidden/>
          </w:rPr>
        </w:r>
        <w:r>
          <w:rPr>
            <w:webHidden/>
          </w:rPr>
          <w:fldChar w:fldCharType="separate"/>
        </w:r>
        <w:r w:rsidR="001B26B5">
          <w:rPr>
            <w:webHidden/>
          </w:rPr>
          <w:t>216</w:t>
        </w:r>
        <w:r>
          <w:rPr>
            <w:webHidden/>
          </w:rPr>
          <w:fldChar w:fldCharType="end"/>
        </w:r>
      </w:hyperlink>
    </w:p>
    <w:p w14:paraId="375A5413" w14:textId="77777777" w:rsidR="0006561B" w:rsidRDefault="0006561B">
      <w:pPr>
        <w:pStyle w:val="TDC2"/>
        <w:rPr>
          <w:rFonts w:asciiTheme="minorHAnsi" w:eastAsiaTheme="minorEastAsia" w:hAnsiTheme="minorHAnsi" w:cstheme="minorBidi"/>
          <w:szCs w:val="22"/>
          <w:lang w:val="es-ES" w:eastAsia="es-ES"/>
        </w:rPr>
      </w:pPr>
      <w:hyperlink w:anchor="_Toc404421" w:history="1">
        <w:r w:rsidRPr="003B1501">
          <w:rPr>
            <w:rStyle w:val="Hipervnculo"/>
          </w:rPr>
          <w:t xml:space="preserve">619.4.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_Toc404421 \h </w:instrText>
        </w:r>
        <w:r>
          <w:rPr>
            <w:webHidden/>
          </w:rPr>
        </w:r>
        <w:r>
          <w:rPr>
            <w:webHidden/>
          </w:rPr>
          <w:fldChar w:fldCharType="separate"/>
        </w:r>
        <w:r w:rsidR="001B26B5">
          <w:rPr>
            <w:webHidden/>
          </w:rPr>
          <w:t>216</w:t>
        </w:r>
        <w:r>
          <w:rPr>
            <w:webHidden/>
          </w:rPr>
          <w:fldChar w:fldCharType="end"/>
        </w:r>
      </w:hyperlink>
    </w:p>
    <w:p w14:paraId="1F5826A2" w14:textId="77777777" w:rsidR="0006561B" w:rsidRDefault="0006561B">
      <w:pPr>
        <w:pStyle w:val="TDC2"/>
        <w:rPr>
          <w:rFonts w:asciiTheme="minorHAnsi" w:eastAsiaTheme="minorEastAsia" w:hAnsiTheme="minorHAnsi" w:cstheme="minorBidi"/>
          <w:szCs w:val="22"/>
          <w:lang w:val="es-ES" w:eastAsia="es-ES"/>
        </w:rPr>
      </w:pPr>
      <w:hyperlink w:anchor="_Toc404422" w:history="1">
        <w:r w:rsidRPr="003B1501">
          <w:rPr>
            <w:rStyle w:val="Hipervnculo"/>
          </w:rPr>
          <w:t xml:space="preserve">619.5.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_Toc404422 \h </w:instrText>
        </w:r>
        <w:r>
          <w:rPr>
            <w:webHidden/>
          </w:rPr>
        </w:r>
        <w:r>
          <w:rPr>
            <w:webHidden/>
          </w:rPr>
          <w:fldChar w:fldCharType="separate"/>
        </w:r>
        <w:r w:rsidR="001B26B5">
          <w:rPr>
            <w:webHidden/>
          </w:rPr>
          <w:t>216</w:t>
        </w:r>
        <w:r>
          <w:rPr>
            <w:webHidden/>
          </w:rPr>
          <w:fldChar w:fldCharType="end"/>
        </w:r>
      </w:hyperlink>
    </w:p>
    <w:p w14:paraId="13CEE481" w14:textId="77777777" w:rsidR="0006561B" w:rsidRDefault="0006561B">
      <w:pPr>
        <w:pStyle w:val="TDC2"/>
        <w:rPr>
          <w:rFonts w:asciiTheme="minorHAnsi" w:eastAsiaTheme="minorEastAsia" w:hAnsiTheme="minorHAnsi" w:cstheme="minorBidi"/>
          <w:szCs w:val="22"/>
          <w:lang w:val="es-ES" w:eastAsia="es-ES"/>
        </w:rPr>
      </w:pPr>
      <w:hyperlink w:anchor="_Toc404423" w:history="1">
        <w:r w:rsidRPr="003B1501">
          <w:rPr>
            <w:rStyle w:val="Hipervnculo"/>
          </w:rPr>
          <w:t xml:space="preserve">619.6. </w:t>
        </w:r>
        <w:r>
          <w:rPr>
            <w:rFonts w:asciiTheme="minorHAnsi" w:eastAsiaTheme="minorEastAsia" w:hAnsiTheme="minorHAnsi" w:cstheme="minorBidi"/>
            <w:szCs w:val="22"/>
            <w:lang w:val="es-ES" w:eastAsia="es-ES"/>
          </w:rPr>
          <w:tab/>
        </w:r>
        <w:r w:rsidRPr="003B1501">
          <w:rPr>
            <w:rStyle w:val="Hipervnculo"/>
          </w:rPr>
          <w:t>Recepción</w:t>
        </w:r>
        <w:r>
          <w:rPr>
            <w:webHidden/>
          </w:rPr>
          <w:tab/>
        </w:r>
        <w:r>
          <w:rPr>
            <w:webHidden/>
          </w:rPr>
          <w:fldChar w:fldCharType="begin"/>
        </w:r>
        <w:r>
          <w:rPr>
            <w:webHidden/>
          </w:rPr>
          <w:instrText xml:space="preserve"> PAGEREF _Toc404423 \h </w:instrText>
        </w:r>
        <w:r>
          <w:rPr>
            <w:webHidden/>
          </w:rPr>
        </w:r>
        <w:r>
          <w:rPr>
            <w:webHidden/>
          </w:rPr>
          <w:fldChar w:fldCharType="separate"/>
        </w:r>
        <w:r w:rsidR="001B26B5">
          <w:rPr>
            <w:webHidden/>
          </w:rPr>
          <w:t>217</w:t>
        </w:r>
        <w:r>
          <w:rPr>
            <w:webHidden/>
          </w:rPr>
          <w:fldChar w:fldCharType="end"/>
        </w:r>
      </w:hyperlink>
    </w:p>
    <w:p w14:paraId="0320DF91" w14:textId="77777777" w:rsidR="0006561B" w:rsidRDefault="0006561B">
      <w:pPr>
        <w:pStyle w:val="TDC2"/>
        <w:rPr>
          <w:rFonts w:asciiTheme="minorHAnsi" w:eastAsiaTheme="minorEastAsia" w:hAnsiTheme="minorHAnsi" w:cstheme="minorBidi"/>
          <w:szCs w:val="22"/>
          <w:lang w:val="es-ES" w:eastAsia="es-ES"/>
        </w:rPr>
      </w:pPr>
      <w:hyperlink w:anchor="_Toc404424" w:history="1">
        <w:r w:rsidRPr="003B1501">
          <w:rPr>
            <w:rStyle w:val="Hipervnculo"/>
          </w:rPr>
          <w:t xml:space="preserve">619.7. </w:t>
        </w:r>
        <w:r>
          <w:rPr>
            <w:rFonts w:asciiTheme="minorHAnsi" w:eastAsiaTheme="minorEastAsia" w:hAnsiTheme="minorHAnsi" w:cstheme="minorBidi"/>
            <w:szCs w:val="22"/>
            <w:lang w:val="es-ES" w:eastAsia="es-ES"/>
          </w:rPr>
          <w:tab/>
        </w:r>
        <w:r w:rsidRPr="003B1501">
          <w:rPr>
            <w:rStyle w:val="Hipervnculo"/>
          </w:rPr>
          <w:t>Control de calidad</w:t>
        </w:r>
        <w:r>
          <w:rPr>
            <w:webHidden/>
          </w:rPr>
          <w:tab/>
        </w:r>
        <w:r>
          <w:rPr>
            <w:webHidden/>
          </w:rPr>
          <w:fldChar w:fldCharType="begin"/>
        </w:r>
        <w:r>
          <w:rPr>
            <w:webHidden/>
          </w:rPr>
          <w:instrText xml:space="preserve"> PAGEREF _Toc404424 \h </w:instrText>
        </w:r>
        <w:r>
          <w:rPr>
            <w:webHidden/>
          </w:rPr>
        </w:r>
        <w:r>
          <w:rPr>
            <w:webHidden/>
          </w:rPr>
          <w:fldChar w:fldCharType="separate"/>
        </w:r>
        <w:r w:rsidR="001B26B5">
          <w:rPr>
            <w:webHidden/>
          </w:rPr>
          <w:t>217</w:t>
        </w:r>
        <w:r>
          <w:rPr>
            <w:webHidden/>
          </w:rPr>
          <w:fldChar w:fldCharType="end"/>
        </w:r>
      </w:hyperlink>
    </w:p>
    <w:p w14:paraId="1F2D61B8" w14:textId="77777777" w:rsidR="0006561B" w:rsidRDefault="0006561B">
      <w:pPr>
        <w:pStyle w:val="TDC2"/>
        <w:rPr>
          <w:rFonts w:asciiTheme="minorHAnsi" w:eastAsiaTheme="minorEastAsia" w:hAnsiTheme="minorHAnsi" w:cstheme="minorBidi"/>
          <w:szCs w:val="22"/>
          <w:lang w:val="es-ES" w:eastAsia="es-ES"/>
        </w:rPr>
      </w:pPr>
      <w:hyperlink w:anchor="_Toc404425" w:history="1">
        <w:r w:rsidRPr="003B1501">
          <w:rPr>
            <w:rStyle w:val="Hipervnculo"/>
          </w:rPr>
          <w:t>619.8.  Tratamiento de no conformidades</w:t>
        </w:r>
        <w:r>
          <w:rPr>
            <w:webHidden/>
          </w:rPr>
          <w:tab/>
        </w:r>
        <w:r>
          <w:rPr>
            <w:webHidden/>
          </w:rPr>
          <w:fldChar w:fldCharType="begin"/>
        </w:r>
        <w:r>
          <w:rPr>
            <w:webHidden/>
          </w:rPr>
          <w:instrText xml:space="preserve"> PAGEREF _Toc404425 \h </w:instrText>
        </w:r>
        <w:r>
          <w:rPr>
            <w:webHidden/>
          </w:rPr>
        </w:r>
        <w:r>
          <w:rPr>
            <w:webHidden/>
          </w:rPr>
          <w:fldChar w:fldCharType="separate"/>
        </w:r>
        <w:r w:rsidR="001B26B5">
          <w:rPr>
            <w:webHidden/>
          </w:rPr>
          <w:t>217</w:t>
        </w:r>
        <w:r>
          <w:rPr>
            <w:webHidden/>
          </w:rPr>
          <w:fldChar w:fldCharType="end"/>
        </w:r>
      </w:hyperlink>
    </w:p>
    <w:p w14:paraId="2B0A917C" w14:textId="77777777" w:rsidR="0006561B" w:rsidRDefault="0006561B">
      <w:pPr>
        <w:pStyle w:val="TDC2"/>
        <w:rPr>
          <w:rFonts w:asciiTheme="minorHAnsi" w:eastAsiaTheme="minorEastAsia" w:hAnsiTheme="minorHAnsi" w:cstheme="minorBidi"/>
          <w:szCs w:val="22"/>
          <w:lang w:val="es-ES" w:eastAsia="es-ES"/>
        </w:rPr>
      </w:pPr>
      <w:hyperlink w:anchor="_Toc404426" w:history="1">
        <w:r w:rsidRPr="003B1501">
          <w:rPr>
            <w:rStyle w:val="Hipervnculo"/>
          </w:rPr>
          <w:t xml:space="preserve">619.9. </w:t>
        </w:r>
        <w:r>
          <w:rPr>
            <w:rFonts w:asciiTheme="minorHAnsi" w:eastAsiaTheme="minorEastAsia" w:hAnsiTheme="minorHAnsi" w:cstheme="minorBidi"/>
            <w:szCs w:val="22"/>
            <w:lang w:val="es-ES" w:eastAsia="es-ES"/>
          </w:rPr>
          <w:tab/>
        </w:r>
        <w:r w:rsidRPr="003B1501">
          <w:rPr>
            <w:rStyle w:val="Hipervnculo"/>
          </w:rPr>
          <w:t>Medición y abono</w:t>
        </w:r>
        <w:r>
          <w:rPr>
            <w:webHidden/>
          </w:rPr>
          <w:tab/>
        </w:r>
        <w:r>
          <w:rPr>
            <w:webHidden/>
          </w:rPr>
          <w:fldChar w:fldCharType="begin"/>
        </w:r>
        <w:r>
          <w:rPr>
            <w:webHidden/>
          </w:rPr>
          <w:instrText xml:space="preserve"> PAGEREF _Toc404426 \h </w:instrText>
        </w:r>
        <w:r>
          <w:rPr>
            <w:webHidden/>
          </w:rPr>
        </w:r>
        <w:r>
          <w:rPr>
            <w:webHidden/>
          </w:rPr>
          <w:fldChar w:fldCharType="separate"/>
        </w:r>
        <w:r w:rsidR="001B26B5">
          <w:rPr>
            <w:webHidden/>
          </w:rPr>
          <w:t>218</w:t>
        </w:r>
        <w:r>
          <w:rPr>
            <w:webHidden/>
          </w:rPr>
          <w:fldChar w:fldCharType="end"/>
        </w:r>
      </w:hyperlink>
    </w:p>
    <w:p w14:paraId="4F7C1105" w14:textId="77777777" w:rsidR="0006561B" w:rsidRDefault="0006561B">
      <w:pPr>
        <w:pStyle w:val="TDC1"/>
        <w:rPr>
          <w:rFonts w:asciiTheme="minorHAnsi" w:eastAsiaTheme="minorEastAsia" w:hAnsiTheme="minorHAnsi" w:cstheme="minorBidi"/>
          <w:b w:val="0"/>
          <w:sz w:val="22"/>
          <w:szCs w:val="22"/>
          <w:lang w:val="es-ES" w:eastAsia="es-ES"/>
        </w:rPr>
      </w:pPr>
      <w:hyperlink w:anchor="_Toc404427" w:history="1">
        <w:r w:rsidRPr="003B1501">
          <w:rPr>
            <w:rStyle w:val="Hipervnculo"/>
          </w:rPr>
          <w:t>Artículo 620. Perfiles y chapas de acero laminadas en caliente, para estructuras metálicas</w:t>
        </w:r>
        <w:r>
          <w:rPr>
            <w:webHidden/>
          </w:rPr>
          <w:tab/>
        </w:r>
        <w:r>
          <w:rPr>
            <w:webHidden/>
          </w:rPr>
          <w:fldChar w:fldCharType="begin"/>
        </w:r>
        <w:r>
          <w:rPr>
            <w:webHidden/>
          </w:rPr>
          <w:instrText xml:space="preserve"> PAGEREF _Toc404427 \h </w:instrText>
        </w:r>
        <w:r>
          <w:rPr>
            <w:webHidden/>
          </w:rPr>
        </w:r>
        <w:r>
          <w:rPr>
            <w:webHidden/>
          </w:rPr>
          <w:fldChar w:fldCharType="separate"/>
        </w:r>
        <w:r w:rsidR="001B26B5">
          <w:rPr>
            <w:webHidden/>
          </w:rPr>
          <w:t>219</w:t>
        </w:r>
        <w:r>
          <w:rPr>
            <w:webHidden/>
          </w:rPr>
          <w:fldChar w:fldCharType="end"/>
        </w:r>
      </w:hyperlink>
    </w:p>
    <w:p w14:paraId="65A5D7E3" w14:textId="77777777" w:rsidR="0006561B" w:rsidRDefault="0006561B">
      <w:pPr>
        <w:pStyle w:val="TDC2"/>
        <w:rPr>
          <w:rFonts w:asciiTheme="minorHAnsi" w:eastAsiaTheme="minorEastAsia" w:hAnsiTheme="minorHAnsi" w:cstheme="minorBidi"/>
          <w:szCs w:val="22"/>
          <w:lang w:val="es-ES" w:eastAsia="es-ES"/>
        </w:rPr>
      </w:pPr>
      <w:hyperlink w:anchor="_Toc404428" w:history="1">
        <w:r w:rsidRPr="003B1501">
          <w:rPr>
            <w:rStyle w:val="Hipervnculo"/>
          </w:rPr>
          <w:t xml:space="preserve">620.1.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_Toc404428 \h </w:instrText>
        </w:r>
        <w:r>
          <w:rPr>
            <w:webHidden/>
          </w:rPr>
        </w:r>
        <w:r>
          <w:rPr>
            <w:webHidden/>
          </w:rPr>
          <w:fldChar w:fldCharType="separate"/>
        </w:r>
        <w:r w:rsidR="001B26B5">
          <w:rPr>
            <w:webHidden/>
          </w:rPr>
          <w:t>219</w:t>
        </w:r>
        <w:r>
          <w:rPr>
            <w:webHidden/>
          </w:rPr>
          <w:fldChar w:fldCharType="end"/>
        </w:r>
      </w:hyperlink>
    </w:p>
    <w:p w14:paraId="26580EF6" w14:textId="77777777" w:rsidR="0006561B" w:rsidRDefault="0006561B">
      <w:pPr>
        <w:pStyle w:val="TDC2"/>
        <w:rPr>
          <w:rFonts w:asciiTheme="minorHAnsi" w:eastAsiaTheme="minorEastAsia" w:hAnsiTheme="minorHAnsi" w:cstheme="minorBidi"/>
          <w:szCs w:val="22"/>
          <w:lang w:val="es-ES" w:eastAsia="es-ES"/>
        </w:rPr>
      </w:pPr>
      <w:hyperlink w:anchor="_Toc404429" w:history="1">
        <w:r w:rsidRPr="003B1501">
          <w:rPr>
            <w:rStyle w:val="Hipervnculo"/>
          </w:rPr>
          <w:t xml:space="preserve">620.2.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_Toc404429 \h </w:instrText>
        </w:r>
        <w:r>
          <w:rPr>
            <w:webHidden/>
          </w:rPr>
        </w:r>
        <w:r>
          <w:rPr>
            <w:webHidden/>
          </w:rPr>
          <w:fldChar w:fldCharType="separate"/>
        </w:r>
        <w:r w:rsidR="001B26B5">
          <w:rPr>
            <w:webHidden/>
          </w:rPr>
          <w:t>220</w:t>
        </w:r>
        <w:r>
          <w:rPr>
            <w:webHidden/>
          </w:rPr>
          <w:fldChar w:fldCharType="end"/>
        </w:r>
      </w:hyperlink>
    </w:p>
    <w:p w14:paraId="1B42B1A3" w14:textId="77777777" w:rsidR="0006561B" w:rsidRDefault="0006561B">
      <w:pPr>
        <w:pStyle w:val="TDC2"/>
        <w:rPr>
          <w:rFonts w:asciiTheme="minorHAnsi" w:eastAsiaTheme="minorEastAsia" w:hAnsiTheme="minorHAnsi" w:cstheme="minorBidi"/>
          <w:szCs w:val="22"/>
          <w:lang w:val="es-ES" w:eastAsia="es-ES"/>
        </w:rPr>
      </w:pPr>
      <w:hyperlink w:anchor="_Toc404430" w:history="1">
        <w:r w:rsidRPr="003B1501">
          <w:rPr>
            <w:rStyle w:val="Hipervnculo"/>
          </w:rPr>
          <w:t xml:space="preserve">620.3. </w:t>
        </w:r>
        <w:r>
          <w:rPr>
            <w:rFonts w:asciiTheme="minorHAnsi" w:eastAsiaTheme="minorEastAsia" w:hAnsiTheme="minorHAnsi" w:cstheme="minorBidi"/>
            <w:szCs w:val="22"/>
            <w:lang w:val="es-ES" w:eastAsia="es-ES"/>
          </w:rPr>
          <w:tab/>
        </w:r>
        <w:r w:rsidRPr="003B1501">
          <w:rPr>
            <w:rStyle w:val="Hipervnculo"/>
          </w:rPr>
          <w:t>Tipos</w:t>
        </w:r>
        <w:r>
          <w:rPr>
            <w:webHidden/>
          </w:rPr>
          <w:tab/>
        </w:r>
        <w:r>
          <w:rPr>
            <w:webHidden/>
          </w:rPr>
          <w:fldChar w:fldCharType="begin"/>
        </w:r>
        <w:r>
          <w:rPr>
            <w:webHidden/>
          </w:rPr>
          <w:instrText xml:space="preserve"> PAGEREF _Toc404430 \h </w:instrText>
        </w:r>
        <w:r>
          <w:rPr>
            <w:webHidden/>
          </w:rPr>
        </w:r>
        <w:r>
          <w:rPr>
            <w:webHidden/>
          </w:rPr>
          <w:fldChar w:fldCharType="separate"/>
        </w:r>
        <w:r w:rsidR="001B26B5">
          <w:rPr>
            <w:webHidden/>
          </w:rPr>
          <w:t>220</w:t>
        </w:r>
        <w:r>
          <w:rPr>
            <w:webHidden/>
          </w:rPr>
          <w:fldChar w:fldCharType="end"/>
        </w:r>
      </w:hyperlink>
    </w:p>
    <w:p w14:paraId="68A56B84" w14:textId="77777777" w:rsidR="0006561B" w:rsidRDefault="0006561B">
      <w:pPr>
        <w:pStyle w:val="TDC2"/>
        <w:rPr>
          <w:rFonts w:asciiTheme="minorHAnsi" w:eastAsiaTheme="minorEastAsia" w:hAnsiTheme="minorHAnsi" w:cstheme="minorBidi"/>
          <w:szCs w:val="22"/>
          <w:lang w:val="es-ES" w:eastAsia="es-ES"/>
        </w:rPr>
      </w:pPr>
      <w:hyperlink w:anchor="_Toc404431" w:history="1">
        <w:r w:rsidRPr="003B1501">
          <w:rPr>
            <w:rStyle w:val="Hipervnculo"/>
          </w:rPr>
          <w:t xml:space="preserve">620.4. </w:t>
        </w:r>
        <w:r>
          <w:rPr>
            <w:rFonts w:asciiTheme="minorHAnsi" w:eastAsiaTheme="minorEastAsia" w:hAnsiTheme="minorHAnsi" w:cstheme="minorBidi"/>
            <w:szCs w:val="22"/>
            <w:lang w:val="es-ES" w:eastAsia="es-ES"/>
          </w:rPr>
          <w:tab/>
        </w:r>
        <w:r w:rsidRPr="003B1501">
          <w:rPr>
            <w:rStyle w:val="Hipervnculo"/>
          </w:rPr>
          <w:t>Características</w:t>
        </w:r>
        <w:r>
          <w:rPr>
            <w:webHidden/>
          </w:rPr>
          <w:tab/>
        </w:r>
        <w:r>
          <w:rPr>
            <w:webHidden/>
          </w:rPr>
          <w:fldChar w:fldCharType="begin"/>
        </w:r>
        <w:r>
          <w:rPr>
            <w:webHidden/>
          </w:rPr>
          <w:instrText xml:space="preserve"> PAGEREF _Toc404431 \h </w:instrText>
        </w:r>
        <w:r>
          <w:rPr>
            <w:webHidden/>
          </w:rPr>
        </w:r>
        <w:r>
          <w:rPr>
            <w:webHidden/>
          </w:rPr>
          <w:fldChar w:fldCharType="separate"/>
        </w:r>
        <w:r w:rsidR="001B26B5">
          <w:rPr>
            <w:webHidden/>
          </w:rPr>
          <w:t>221</w:t>
        </w:r>
        <w:r>
          <w:rPr>
            <w:webHidden/>
          </w:rPr>
          <w:fldChar w:fldCharType="end"/>
        </w:r>
      </w:hyperlink>
    </w:p>
    <w:p w14:paraId="2D1A94B9" w14:textId="77777777" w:rsidR="0006561B" w:rsidRDefault="0006561B">
      <w:pPr>
        <w:pStyle w:val="TDC2"/>
        <w:rPr>
          <w:rFonts w:asciiTheme="minorHAnsi" w:eastAsiaTheme="minorEastAsia" w:hAnsiTheme="minorHAnsi" w:cstheme="minorBidi"/>
          <w:szCs w:val="22"/>
          <w:lang w:val="es-ES" w:eastAsia="es-ES"/>
        </w:rPr>
      </w:pPr>
      <w:hyperlink w:anchor="_Toc404432" w:history="1">
        <w:r w:rsidRPr="003B1501">
          <w:rPr>
            <w:rStyle w:val="Hipervnculo"/>
          </w:rPr>
          <w:t xml:space="preserve">620.5.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_Toc404432 \h </w:instrText>
        </w:r>
        <w:r>
          <w:rPr>
            <w:webHidden/>
          </w:rPr>
        </w:r>
        <w:r>
          <w:rPr>
            <w:webHidden/>
          </w:rPr>
          <w:fldChar w:fldCharType="separate"/>
        </w:r>
        <w:r w:rsidR="001B26B5">
          <w:rPr>
            <w:webHidden/>
          </w:rPr>
          <w:t>222</w:t>
        </w:r>
        <w:r>
          <w:rPr>
            <w:webHidden/>
          </w:rPr>
          <w:fldChar w:fldCharType="end"/>
        </w:r>
      </w:hyperlink>
    </w:p>
    <w:p w14:paraId="6FC85B04" w14:textId="77777777" w:rsidR="0006561B" w:rsidRDefault="0006561B">
      <w:pPr>
        <w:pStyle w:val="TDC2"/>
        <w:rPr>
          <w:rFonts w:asciiTheme="minorHAnsi" w:eastAsiaTheme="minorEastAsia" w:hAnsiTheme="minorHAnsi" w:cstheme="minorBidi"/>
          <w:szCs w:val="22"/>
          <w:lang w:val="es-ES" w:eastAsia="es-ES"/>
        </w:rPr>
      </w:pPr>
      <w:hyperlink w:anchor="_Toc404433" w:history="1">
        <w:r w:rsidRPr="003B1501">
          <w:rPr>
            <w:rStyle w:val="Hipervnculo"/>
          </w:rPr>
          <w:t xml:space="preserve">620.6. </w:t>
        </w:r>
        <w:r>
          <w:rPr>
            <w:rFonts w:asciiTheme="minorHAnsi" w:eastAsiaTheme="minorEastAsia" w:hAnsiTheme="minorHAnsi" w:cstheme="minorBidi"/>
            <w:szCs w:val="22"/>
            <w:lang w:val="es-ES" w:eastAsia="es-ES"/>
          </w:rPr>
          <w:tab/>
        </w:r>
        <w:r w:rsidRPr="003B1501">
          <w:rPr>
            <w:rStyle w:val="Hipervnculo"/>
          </w:rPr>
          <w:t>Control de calidad</w:t>
        </w:r>
        <w:r>
          <w:rPr>
            <w:webHidden/>
          </w:rPr>
          <w:tab/>
        </w:r>
        <w:r>
          <w:rPr>
            <w:webHidden/>
          </w:rPr>
          <w:fldChar w:fldCharType="begin"/>
        </w:r>
        <w:r>
          <w:rPr>
            <w:webHidden/>
          </w:rPr>
          <w:instrText xml:space="preserve"> PAGEREF _Toc404433 \h </w:instrText>
        </w:r>
        <w:r>
          <w:rPr>
            <w:webHidden/>
          </w:rPr>
        </w:r>
        <w:r>
          <w:rPr>
            <w:webHidden/>
          </w:rPr>
          <w:fldChar w:fldCharType="separate"/>
        </w:r>
        <w:r w:rsidR="001B26B5">
          <w:rPr>
            <w:webHidden/>
          </w:rPr>
          <w:t>222</w:t>
        </w:r>
        <w:r>
          <w:rPr>
            <w:webHidden/>
          </w:rPr>
          <w:fldChar w:fldCharType="end"/>
        </w:r>
      </w:hyperlink>
    </w:p>
    <w:p w14:paraId="7458922D" w14:textId="77777777" w:rsidR="0006561B" w:rsidRDefault="0006561B">
      <w:pPr>
        <w:pStyle w:val="TDC2"/>
        <w:rPr>
          <w:rFonts w:asciiTheme="minorHAnsi" w:eastAsiaTheme="minorEastAsia" w:hAnsiTheme="minorHAnsi" w:cstheme="minorBidi"/>
          <w:szCs w:val="22"/>
          <w:lang w:val="es-ES" w:eastAsia="es-ES"/>
        </w:rPr>
      </w:pPr>
      <w:hyperlink w:anchor="_Toc404434" w:history="1">
        <w:r w:rsidRPr="003B1501">
          <w:rPr>
            <w:rStyle w:val="Hipervnculo"/>
          </w:rPr>
          <w:t xml:space="preserve">620.7. </w:t>
        </w:r>
        <w:r>
          <w:rPr>
            <w:rFonts w:asciiTheme="minorHAnsi" w:eastAsiaTheme="minorEastAsia" w:hAnsiTheme="minorHAnsi" w:cstheme="minorBidi"/>
            <w:szCs w:val="22"/>
            <w:lang w:val="es-ES" w:eastAsia="es-ES"/>
          </w:rPr>
          <w:tab/>
        </w:r>
        <w:r w:rsidRPr="003B1501">
          <w:rPr>
            <w:rStyle w:val="Hipervnculo"/>
          </w:rPr>
          <w:t>Almacenamiento</w:t>
        </w:r>
        <w:r>
          <w:rPr>
            <w:webHidden/>
          </w:rPr>
          <w:tab/>
        </w:r>
        <w:r>
          <w:rPr>
            <w:webHidden/>
          </w:rPr>
          <w:fldChar w:fldCharType="begin"/>
        </w:r>
        <w:r>
          <w:rPr>
            <w:webHidden/>
          </w:rPr>
          <w:instrText xml:space="preserve"> PAGEREF _Toc404434 \h </w:instrText>
        </w:r>
        <w:r>
          <w:rPr>
            <w:webHidden/>
          </w:rPr>
        </w:r>
        <w:r>
          <w:rPr>
            <w:webHidden/>
          </w:rPr>
          <w:fldChar w:fldCharType="separate"/>
        </w:r>
        <w:r w:rsidR="001B26B5">
          <w:rPr>
            <w:webHidden/>
          </w:rPr>
          <w:t>242</w:t>
        </w:r>
        <w:r>
          <w:rPr>
            <w:webHidden/>
          </w:rPr>
          <w:fldChar w:fldCharType="end"/>
        </w:r>
      </w:hyperlink>
    </w:p>
    <w:p w14:paraId="04ECAD94" w14:textId="77777777" w:rsidR="0006561B" w:rsidRDefault="0006561B">
      <w:pPr>
        <w:pStyle w:val="TDC2"/>
        <w:rPr>
          <w:rFonts w:asciiTheme="minorHAnsi" w:eastAsiaTheme="minorEastAsia" w:hAnsiTheme="minorHAnsi" w:cstheme="minorBidi"/>
          <w:szCs w:val="22"/>
          <w:lang w:val="es-ES" w:eastAsia="es-ES"/>
        </w:rPr>
      </w:pPr>
      <w:hyperlink w:anchor="_Toc404435" w:history="1">
        <w:r w:rsidRPr="003B1501">
          <w:rPr>
            <w:rStyle w:val="Hipervnculo"/>
          </w:rPr>
          <w:t xml:space="preserve">620.8. </w:t>
        </w:r>
        <w:r>
          <w:rPr>
            <w:rFonts w:asciiTheme="minorHAnsi" w:eastAsiaTheme="minorEastAsia" w:hAnsiTheme="minorHAnsi" w:cstheme="minorBidi"/>
            <w:szCs w:val="22"/>
            <w:lang w:val="es-ES" w:eastAsia="es-ES"/>
          </w:rPr>
          <w:tab/>
        </w:r>
        <w:r w:rsidRPr="003B1501">
          <w:rPr>
            <w:rStyle w:val="Hipervnculo"/>
          </w:rPr>
          <w:t>Normas aplicables</w:t>
        </w:r>
        <w:r>
          <w:rPr>
            <w:webHidden/>
          </w:rPr>
          <w:tab/>
        </w:r>
        <w:r>
          <w:rPr>
            <w:webHidden/>
          </w:rPr>
          <w:fldChar w:fldCharType="begin"/>
        </w:r>
        <w:r>
          <w:rPr>
            <w:webHidden/>
          </w:rPr>
          <w:instrText xml:space="preserve"> PAGEREF _Toc404435 \h </w:instrText>
        </w:r>
        <w:r>
          <w:rPr>
            <w:webHidden/>
          </w:rPr>
        </w:r>
        <w:r>
          <w:rPr>
            <w:webHidden/>
          </w:rPr>
          <w:fldChar w:fldCharType="separate"/>
        </w:r>
        <w:r w:rsidR="001B26B5">
          <w:rPr>
            <w:webHidden/>
          </w:rPr>
          <w:t>242</w:t>
        </w:r>
        <w:r>
          <w:rPr>
            <w:webHidden/>
          </w:rPr>
          <w:fldChar w:fldCharType="end"/>
        </w:r>
      </w:hyperlink>
    </w:p>
    <w:p w14:paraId="06CBC988" w14:textId="77777777" w:rsidR="0006561B" w:rsidRDefault="0006561B">
      <w:pPr>
        <w:pStyle w:val="TDC2"/>
        <w:rPr>
          <w:rFonts w:asciiTheme="minorHAnsi" w:eastAsiaTheme="minorEastAsia" w:hAnsiTheme="minorHAnsi" w:cstheme="minorBidi"/>
          <w:szCs w:val="22"/>
          <w:lang w:val="es-ES" w:eastAsia="es-ES"/>
        </w:rPr>
      </w:pPr>
      <w:hyperlink w:anchor="_Toc404436" w:history="1">
        <w:r w:rsidRPr="003B1501">
          <w:rPr>
            <w:rStyle w:val="Hipervnculo"/>
          </w:rPr>
          <w:t xml:space="preserve">620.9. </w:t>
        </w:r>
        <w:r>
          <w:rPr>
            <w:rFonts w:asciiTheme="minorHAnsi" w:eastAsiaTheme="minorEastAsia" w:hAnsiTheme="minorHAnsi" w:cstheme="minorBidi"/>
            <w:szCs w:val="22"/>
            <w:lang w:val="es-ES" w:eastAsia="es-ES"/>
          </w:rPr>
          <w:tab/>
        </w:r>
        <w:r w:rsidRPr="003B1501">
          <w:rPr>
            <w:rStyle w:val="Hipervnculo"/>
          </w:rPr>
          <w:t>Medición y abono</w:t>
        </w:r>
        <w:r>
          <w:rPr>
            <w:webHidden/>
          </w:rPr>
          <w:tab/>
        </w:r>
        <w:r>
          <w:rPr>
            <w:webHidden/>
          </w:rPr>
          <w:fldChar w:fldCharType="begin"/>
        </w:r>
        <w:r>
          <w:rPr>
            <w:webHidden/>
          </w:rPr>
          <w:instrText xml:space="preserve"> PAGEREF _Toc404436 \h </w:instrText>
        </w:r>
        <w:r>
          <w:rPr>
            <w:webHidden/>
          </w:rPr>
        </w:r>
        <w:r>
          <w:rPr>
            <w:webHidden/>
          </w:rPr>
          <w:fldChar w:fldCharType="separate"/>
        </w:r>
        <w:r w:rsidR="001B26B5">
          <w:rPr>
            <w:webHidden/>
          </w:rPr>
          <w:t>243</w:t>
        </w:r>
        <w:r>
          <w:rPr>
            <w:webHidden/>
          </w:rPr>
          <w:fldChar w:fldCharType="end"/>
        </w:r>
      </w:hyperlink>
    </w:p>
    <w:p w14:paraId="52FF13D0" w14:textId="77777777" w:rsidR="0006561B" w:rsidRDefault="0006561B">
      <w:pPr>
        <w:pStyle w:val="TDC1"/>
        <w:rPr>
          <w:rFonts w:asciiTheme="minorHAnsi" w:eastAsiaTheme="minorEastAsia" w:hAnsiTheme="minorHAnsi" w:cstheme="minorBidi"/>
          <w:b w:val="0"/>
          <w:sz w:val="22"/>
          <w:szCs w:val="22"/>
          <w:lang w:val="es-ES" w:eastAsia="es-ES"/>
        </w:rPr>
      </w:pPr>
      <w:hyperlink w:anchor="_Toc404437" w:history="1">
        <w:r w:rsidRPr="003B1501">
          <w:rPr>
            <w:rStyle w:val="Hipervnculo"/>
          </w:rPr>
          <w:t>Artículo 625. Pernos conectadores para conexión de estructuras mixtas</w:t>
        </w:r>
        <w:r>
          <w:rPr>
            <w:webHidden/>
          </w:rPr>
          <w:tab/>
        </w:r>
        <w:r>
          <w:rPr>
            <w:webHidden/>
          </w:rPr>
          <w:fldChar w:fldCharType="begin"/>
        </w:r>
        <w:r>
          <w:rPr>
            <w:webHidden/>
          </w:rPr>
          <w:instrText xml:space="preserve"> PAGEREF _Toc404437 \h </w:instrText>
        </w:r>
        <w:r>
          <w:rPr>
            <w:webHidden/>
          </w:rPr>
        </w:r>
        <w:r>
          <w:rPr>
            <w:webHidden/>
          </w:rPr>
          <w:fldChar w:fldCharType="separate"/>
        </w:r>
        <w:r w:rsidR="001B26B5">
          <w:rPr>
            <w:webHidden/>
          </w:rPr>
          <w:t>244</w:t>
        </w:r>
        <w:r>
          <w:rPr>
            <w:webHidden/>
          </w:rPr>
          <w:fldChar w:fldCharType="end"/>
        </w:r>
      </w:hyperlink>
    </w:p>
    <w:p w14:paraId="1EA7EF40" w14:textId="77777777" w:rsidR="0006561B" w:rsidRDefault="0006561B">
      <w:pPr>
        <w:pStyle w:val="TDC2"/>
        <w:rPr>
          <w:rFonts w:asciiTheme="minorHAnsi" w:eastAsiaTheme="minorEastAsia" w:hAnsiTheme="minorHAnsi" w:cstheme="minorBidi"/>
          <w:szCs w:val="22"/>
          <w:lang w:val="es-ES" w:eastAsia="es-ES"/>
        </w:rPr>
      </w:pPr>
      <w:hyperlink w:anchor="_Toc404438" w:history="1">
        <w:r w:rsidRPr="003B1501">
          <w:rPr>
            <w:rStyle w:val="Hipervnculo"/>
          </w:rPr>
          <w:t xml:space="preserve">625.1.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_Toc404438 \h </w:instrText>
        </w:r>
        <w:r>
          <w:rPr>
            <w:webHidden/>
          </w:rPr>
        </w:r>
        <w:r>
          <w:rPr>
            <w:webHidden/>
          </w:rPr>
          <w:fldChar w:fldCharType="separate"/>
        </w:r>
        <w:r w:rsidR="001B26B5">
          <w:rPr>
            <w:webHidden/>
          </w:rPr>
          <w:t>244</w:t>
        </w:r>
        <w:r>
          <w:rPr>
            <w:webHidden/>
          </w:rPr>
          <w:fldChar w:fldCharType="end"/>
        </w:r>
      </w:hyperlink>
    </w:p>
    <w:p w14:paraId="2B92382D" w14:textId="77777777" w:rsidR="0006561B" w:rsidRDefault="0006561B">
      <w:pPr>
        <w:pStyle w:val="TDC2"/>
        <w:rPr>
          <w:rFonts w:asciiTheme="minorHAnsi" w:eastAsiaTheme="minorEastAsia" w:hAnsiTheme="minorHAnsi" w:cstheme="minorBidi"/>
          <w:szCs w:val="22"/>
          <w:lang w:val="es-ES" w:eastAsia="es-ES"/>
        </w:rPr>
      </w:pPr>
      <w:hyperlink w:anchor="_Toc404439" w:history="1">
        <w:r w:rsidRPr="003B1501">
          <w:rPr>
            <w:rStyle w:val="Hipervnculo"/>
          </w:rPr>
          <w:t xml:space="preserve">625.2.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_Toc404439 \h </w:instrText>
        </w:r>
        <w:r>
          <w:rPr>
            <w:webHidden/>
          </w:rPr>
        </w:r>
        <w:r>
          <w:rPr>
            <w:webHidden/>
          </w:rPr>
          <w:fldChar w:fldCharType="separate"/>
        </w:r>
        <w:r w:rsidR="001B26B5">
          <w:rPr>
            <w:webHidden/>
          </w:rPr>
          <w:t>244</w:t>
        </w:r>
        <w:r>
          <w:rPr>
            <w:webHidden/>
          </w:rPr>
          <w:fldChar w:fldCharType="end"/>
        </w:r>
      </w:hyperlink>
    </w:p>
    <w:p w14:paraId="2381EC98" w14:textId="77777777" w:rsidR="0006561B" w:rsidRDefault="0006561B">
      <w:pPr>
        <w:pStyle w:val="TDC2"/>
        <w:rPr>
          <w:rFonts w:asciiTheme="minorHAnsi" w:eastAsiaTheme="minorEastAsia" w:hAnsiTheme="minorHAnsi" w:cstheme="minorBidi"/>
          <w:szCs w:val="22"/>
          <w:lang w:val="es-ES" w:eastAsia="es-ES"/>
        </w:rPr>
      </w:pPr>
      <w:hyperlink w:anchor="_Toc404440" w:history="1">
        <w:r w:rsidRPr="003B1501">
          <w:rPr>
            <w:rStyle w:val="Hipervnculo"/>
          </w:rPr>
          <w:t xml:space="preserve">625.3. </w:t>
        </w:r>
        <w:r>
          <w:rPr>
            <w:rFonts w:asciiTheme="minorHAnsi" w:eastAsiaTheme="minorEastAsia" w:hAnsiTheme="minorHAnsi" w:cstheme="minorBidi"/>
            <w:szCs w:val="22"/>
            <w:lang w:val="es-ES" w:eastAsia="es-ES"/>
          </w:rPr>
          <w:tab/>
        </w:r>
        <w:r w:rsidRPr="003B1501">
          <w:rPr>
            <w:rStyle w:val="Hipervnculo"/>
          </w:rPr>
          <w:t>Características</w:t>
        </w:r>
        <w:r>
          <w:rPr>
            <w:webHidden/>
          </w:rPr>
          <w:tab/>
        </w:r>
        <w:r>
          <w:rPr>
            <w:webHidden/>
          </w:rPr>
          <w:fldChar w:fldCharType="begin"/>
        </w:r>
        <w:r>
          <w:rPr>
            <w:webHidden/>
          </w:rPr>
          <w:instrText xml:space="preserve"> PAGEREF _Toc404440 \h </w:instrText>
        </w:r>
        <w:r>
          <w:rPr>
            <w:webHidden/>
          </w:rPr>
        </w:r>
        <w:r>
          <w:rPr>
            <w:webHidden/>
          </w:rPr>
          <w:fldChar w:fldCharType="separate"/>
        </w:r>
        <w:r w:rsidR="001B26B5">
          <w:rPr>
            <w:webHidden/>
          </w:rPr>
          <w:t>244</w:t>
        </w:r>
        <w:r>
          <w:rPr>
            <w:webHidden/>
          </w:rPr>
          <w:fldChar w:fldCharType="end"/>
        </w:r>
      </w:hyperlink>
    </w:p>
    <w:p w14:paraId="4A5E3951" w14:textId="77777777" w:rsidR="0006561B" w:rsidRDefault="0006561B">
      <w:pPr>
        <w:pStyle w:val="TDC2"/>
        <w:rPr>
          <w:rFonts w:asciiTheme="minorHAnsi" w:eastAsiaTheme="minorEastAsia" w:hAnsiTheme="minorHAnsi" w:cstheme="minorBidi"/>
          <w:szCs w:val="22"/>
          <w:lang w:val="es-ES" w:eastAsia="es-ES"/>
        </w:rPr>
      </w:pPr>
      <w:hyperlink w:anchor="_Toc404441" w:history="1">
        <w:r w:rsidRPr="003B1501">
          <w:rPr>
            <w:rStyle w:val="Hipervnculo"/>
          </w:rPr>
          <w:t xml:space="preserve">625.4.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_Toc404441 \h </w:instrText>
        </w:r>
        <w:r>
          <w:rPr>
            <w:webHidden/>
          </w:rPr>
        </w:r>
        <w:r>
          <w:rPr>
            <w:webHidden/>
          </w:rPr>
          <w:fldChar w:fldCharType="separate"/>
        </w:r>
        <w:r w:rsidR="001B26B5">
          <w:rPr>
            <w:webHidden/>
          </w:rPr>
          <w:t>244</w:t>
        </w:r>
        <w:r>
          <w:rPr>
            <w:webHidden/>
          </w:rPr>
          <w:fldChar w:fldCharType="end"/>
        </w:r>
      </w:hyperlink>
    </w:p>
    <w:p w14:paraId="1BC9B7D0" w14:textId="77777777" w:rsidR="0006561B" w:rsidRDefault="0006561B">
      <w:pPr>
        <w:pStyle w:val="TDC2"/>
        <w:rPr>
          <w:rFonts w:asciiTheme="minorHAnsi" w:eastAsiaTheme="minorEastAsia" w:hAnsiTheme="minorHAnsi" w:cstheme="minorBidi"/>
          <w:szCs w:val="22"/>
          <w:lang w:val="es-ES" w:eastAsia="es-ES"/>
        </w:rPr>
      </w:pPr>
      <w:hyperlink w:anchor="_Toc404442" w:history="1">
        <w:r w:rsidRPr="003B1501">
          <w:rPr>
            <w:rStyle w:val="Hipervnculo"/>
          </w:rPr>
          <w:t xml:space="preserve">625.6. </w:t>
        </w:r>
        <w:r>
          <w:rPr>
            <w:rFonts w:asciiTheme="minorHAnsi" w:eastAsiaTheme="minorEastAsia" w:hAnsiTheme="minorHAnsi" w:cstheme="minorBidi"/>
            <w:szCs w:val="22"/>
            <w:lang w:val="es-ES" w:eastAsia="es-ES"/>
          </w:rPr>
          <w:tab/>
        </w:r>
        <w:r w:rsidRPr="003B1501">
          <w:rPr>
            <w:rStyle w:val="Hipervnculo"/>
          </w:rPr>
          <w:t>Control de calidad</w:t>
        </w:r>
        <w:r>
          <w:rPr>
            <w:webHidden/>
          </w:rPr>
          <w:tab/>
        </w:r>
        <w:r>
          <w:rPr>
            <w:webHidden/>
          </w:rPr>
          <w:fldChar w:fldCharType="begin"/>
        </w:r>
        <w:r>
          <w:rPr>
            <w:webHidden/>
          </w:rPr>
          <w:instrText xml:space="preserve"> PAGEREF _Toc404442 \h </w:instrText>
        </w:r>
        <w:r>
          <w:rPr>
            <w:webHidden/>
          </w:rPr>
        </w:r>
        <w:r>
          <w:rPr>
            <w:webHidden/>
          </w:rPr>
          <w:fldChar w:fldCharType="separate"/>
        </w:r>
        <w:r w:rsidR="001B26B5">
          <w:rPr>
            <w:webHidden/>
          </w:rPr>
          <w:t>245</w:t>
        </w:r>
        <w:r>
          <w:rPr>
            <w:webHidden/>
          </w:rPr>
          <w:fldChar w:fldCharType="end"/>
        </w:r>
      </w:hyperlink>
    </w:p>
    <w:p w14:paraId="249D62CF" w14:textId="77777777" w:rsidR="0006561B" w:rsidRDefault="0006561B">
      <w:pPr>
        <w:pStyle w:val="TDC2"/>
        <w:rPr>
          <w:rFonts w:asciiTheme="minorHAnsi" w:eastAsiaTheme="minorEastAsia" w:hAnsiTheme="minorHAnsi" w:cstheme="minorBidi"/>
          <w:szCs w:val="22"/>
          <w:lang w:val="es-ES" w:eastAsia="es-ES"/>
        </w:rPr>
      </w:pPr>
      <w:hyperlink w:anchor="_Toc404443" w:history="1">
        <w:r w:rsidRPr="003B1501">
          <w:rPr>
            <w:rStyle w:val="Hipervnculo"/>
          </w:rPr>
          <w:t xml:space="preserve">625.7. </w:t>
        </w:r>
        <w:r>
          <w:rPr>
            <w:rFonts w:asciiTheme="minorHAnsi" w:eastAsiaTheme="minorEastAsia" w:hAnsiTheme="minorHAnsi" w:cstheme="minorBidi"/>
            <w:szCs w:val="22"/>
            <w:lang w:val="es-ES" w:eastAsia="es-ES"/>
          </w:rPr>
          <w:tab/>
        </w:r>
        <w:r w:rsidRPr="003B1501">
          <w:rPr>
            <w:rStyle w:val="Hipervnculo"/>
          </w:rPr>
          <w:t>Medición y abono</w:t>
        </w:r>
        <w:r>
          <w:rPr>
            <w:webHidden/>
          </w:rPr>
          <w:tab/>
        </w:r>
        <w:r>
          <w:rPr>
            <w:webHidden/>
          </w:rPr>
          <w:fldChar w:fldCharType="begin"/>
        </w:r>
        <w:r>
          <w:rPr>
            <w:webHidden/>
          </w:rPr>
          <w:instrText xml:space="preserve"> PAGEREF _Toc404443 \h </w:instrText>
        </w:r>
        <w:r>
          <w:rPr>
            <w:webHidden/>
          </w:rPr>
        </w:r>
        <w:r>
          <w:rPr>
            <w:webHidden/>
          </w:rPr>
          <w:fldChar w:fldCharType="separate"/>
        </w:r>
        <w:r w:rsidR="001B26B5">
          <w:rPr>
            <w:webHidden/>
          </w:rPr>
          <w:t>246</w:t>
        </w:r>
        <w:r>
          <w:rPr>
            <w:webHidden/>
          </w:rPr>
          <w:fldChar w:fldCharType="end"/>
        </w:r>
      </w:hyperlink>
    </w:p>
    <w:p w14:paraId="44E4542C" w14:textId="77777777" w:rsidR="0006561B" w:rsidRDefault="0006561B">
      <w:pPr>
        <w:pStyle w:val="TDC1"/>
        <w:rPr>
          <w:rFonts w:asciiTheme="minorHAnsi" w:eastAsiaTheme="minorEastAsia" w:hAnsiTheme="minorHAnsi" w:cstheme="minorBidi"/>
          <w:b w:val="0"/>
          <w:sz w:val="22"/>
          <w:szCs w:val="22"/>
          <w:lang w:val="es-ES" w:eastAsia="es-ES"/>
        </w:rPr>
      </w:pPr>
      <w:r>
        <w:rPr>
          <w:rStyle w:val="Hipervnculo"/>
        </w:rPr>
        <w:br w:type="column"/>
      </w:r>
      <w:hyperlink w:anchor="_Toc404444" w:history="1">
        <w:r w:rsidRPr="003B1501">
          <w:rPr>
            <w:rStyle w:val="Hipervnculo"/>
          </w:rPr>
          <w:t>Artículo 635.- Fábrica de bloques de hormigón</w:t>
        </w:r>
        <w:r>
          <w:rPr>
            <w:webHidden/>
          </w:rPr>
          <w:tab/>
        </w:r>
        <w:r>
          <w:rPr>
            <w:webHidden/>
          </w:rPr>
          <w:fldChar w:fldCharType="begin"/>
        </w:r>
        <w:r>
          <w:rPr>
            <w:webHidden/>
          </w:rPr>
          <w:instrText xml:space="preserve"> PAGEREF _Toc404444 \h </w:instrText>
        </w:r>
        <w:r>
          <w:rPr>
            <w:webHidden/>
          </w:rPr>
        </w:r>
        <w:r>
          <w:rPr>
            <w:webHidden/>
          </w:rPr>
          <w:fldChar w:fldCharType="separate"/>
        </w:r>
        <w:r w:rsidR="001B26B5">
          <w:rPr>
            <w:webHidden/>
          </w:rPr>
          <w:t>247</w:t>
        </w:r>
        <w:r>
          <w:rPr>
            <w:webHidden/>
          </w:rPr>
          <w:fldChar w:fldCharType="end"/>
        </w:r>
      </w:hyperlink>
    </w:p>
    <w:p w14:paraId="067E05F0" w14:textId="77777777" w:rsidR="0006561B" w:rsidRDefault="0006561B">
      <w:pPr>
        <w:pStyle w:val="TDC2"/>
        <w:rPr>
          <w:rFonts w:asciiTheme="minorHAnsi" w:eastAsiaTheme="minorEastAsia" w:hAnsiTheme="minorHAnsi" w:cstheme="minorBidi"/>
          <w:szCs w:val="22"/>
          <w:lang w:val="es-ES" w:eastAsia="es-ES"/>
        </w:rPr>
      </w:pPr>
      <w:hyperlink w:anchor="_Toc404445" w:history="1">
        <w:r w:rsidRPr="003B1501">
          <w:rPr>
            <w:rStyle w:val="Hipervnculo"/>
          </w:rPr>
          <w:t>635.1. Aplicación</w:t>
        </w:r>
        <w:r>
          <w:rPr>
            <w:webHidden/>
          </w:rPr>
          <w:tab/>
        </w:r>
        <w:r>
          <w:rPr>
            <w:webHidden/>
          </w:rPr>
          <w:fldChar w:fldCharType="begin"/>
        </w:r>
        <w:r>
          <w:rPr>
            <w:webHidden/>
          </w:rPr>
          <w:instrText xml:space="preserve"> PAGEREF _Toc404445 \h </w:instrText>
        </w:r>
        <w:r>
          <w:rPr>
            <w:webHidden/>
          </w:rPr>
        </w:r>
        <w:r>
          <w:rPr>
            <w:webHidden/>
          </w:rPr>
          <w:fldChar w:fldCharType="separate"/>
        </w:r>
        <w:r w:rsidR="001B26B5">
          <w:rPr>
            <w:webHidden/>
          </w:rPr>
          <w:t>247</w:t>
        </w:r>
        <w:r>
          <w:rPr>
            <w:webHidden/>
          </w:rPr>
          <w:fldChar w:fldCharType="end"/>
        </w:r>
      </w:hyperlink>
    </w:p>
    <w:p w14:paraId="2BB67585" w14:textId="77777777" w:rsidR="0006561B" w:rsidRDefault="0006561B">
      <w:pPr>
        <w:pStyle w:val="TDC2"/>
        <w:rPr>
          <w:rFonts w:asciiTheme="minorHAnsi" w:eastAsiaTheme="minorEastAsia" w:hAnsiTheme="minorHAnsi" w:cstheme="minorBidi"/>
          <w:szCs w:val="22"/>
          <w:lang w:val="es-ES" w:eastAsia="es-ES"/>
        </w:rPr>
      </w:pPr>
      <w:hyperlink w:anchor="_Toc404446" w:history="1">
        <w:r w:rsidRPr="003B1501">
          <w:rPr>
            <w:rStyle w:val="Hipervnculo"/>
          </w:rPr>
          <w:t>635.2. Materiales</w:t>
        </w:r>
        <w:r>
          <w:rPr>
            <w:webHidden/>
          </w:rPr>
          <w:tab/>
        </w:r>
        <w:r>
          <w:rPr>
            <w:webHidden/>
          </w:rPr>
          <w:fldChar w:fldCharType="begin"/>
        </w:r>
        <w:r>
          <w:rPr>
            <w:webHidden/>
          </w:rPr>
          <w:instrText xml:space="preserve"> PAGEREF _Toc404446 \h </w:instrText>
        </w:r>
        <w:r>
          <w:rPr>
            <w:webHidden/>
          </w:rPr>
        </w:r>
        <w:r>
          <w:rPr>
            <w:webHidden/>
          </w:rPr>
          <w:fldChar w:fldCharType="separate"/>
        </w:r>
        <w:r w:rsidR="001B26B5">
          <w:rPr>
            <w:webHidden/>
          </w:rPr>
          <w:t>247</w:t>
        </w:r>
        <w:r>
          <w:rPr>
            <w:webHidden/>
          </w:rPr>
          <w:fldChar w:fldCharType="end"/>
        </w:r>
      </w:hyperlink>
    </w:p>
    <w:p w14:paraId="11C7450A" w14:textId="77777777" w:rsidR="0006561B" w:rsidRDefault="0006561B">
      <w:pPr>
        <w:pStyle w:val="TDC2"/>
        <w:rPr>
          <w:rFonts w:asciiTheme="minorHAnsi" w:eastAsiaTheme="minorEastAsia" w:hAnsiTheme="minorHAnsi" w:cstheme="minorBidi"/>
          <w:szCs w:val="22"/>
          <w:lang w:val="es-ES" w:eastAsia="es-ES"/>
        </w:rPr>
      </w:pPr>
      <w:hyperlink w:anchor="_Toc404447" w:history="1">
        <w:r w:rsidRPr="003B1501">
          <w:rPr>
            <w:rStyle w:val="Hipervnculo"/>
          </w:rPr>
          <w:t>635.3. Ejecución de las obras</w:t>
        </w:r>
        <w:r>
          <w:rPr>
            <w:webHidden/>
          </w:rPr>
          <w:tab/>
        </w:r>
        <w:r>
          <w:rPr>
            <w:webHidden/>
          </w:rPr>
          <w:fldChar w:fldCharType="begin"/>
        </w:r>
        <w:r>
          <w:rPr>
            <w:webHidden/>
          </w:rPr>
          <w:instrText xml:space="preserve"> PAGEREF _Toc404447 \h </w:instrText>
        </w:r>
        <w:r>
          <w:rPr>
            <w:webHidden/>
          </w:rPr>
        </w:r>
        <w:r>
          <w:rPr>
            <w:webHidden/>
          </w:rPr>
          <w:fldChar w:fldCharType="separate"/>
        </w:r>
        <w:r w:rsidR="001B26B5">
          <w:rPr>
            <w:webHidden/>
          </w:rPr>
          <w:t>247</w:t>
        </w:r>
        <w:r>
          <w:rPr>
            <w:webHidden/>
          </w:rPr>
          <w:fldChar w:fldCharType="end"/>
        </w:r>
      </w:hyperlink>
    </w:p>
    <w:p w14:paraId="24B03C51" w14:textId="77777777" w:rsidR="0006561B" w:rsidRDefault="0006561B">
      <w:pPr>
        <w:pStyle w:val="TDC2"/>
        <w:rPr>
          <w:rFonts w:asciiTheme="minorHAnsi" w:eastAsiaTheme="minorEastAsia" w:hAnsiTheme="minorHAnsi" w:cstheme="minorBidi"/>
          <w:szCs w:val="22"/>
          <w:lang w:val="es-ES" w:eastAsia="es-ES"/>
        </w:rPr>
      </w:pPr>
      <w:hyperlink w:anchor="_Toc404448" w:history="1">
        <w:r w:rsidRPr="003B1501">
          <w:rPr>
            <w:rStyle w:val="Hipervnculo"/>
          </w:rPr>
          <w:t>635.4. Recepción</w:t>
        </w:r>
        <w:r>
          <w:rPr>
            <w:webHidden/>
          </w:rPr>
          <w:tab/>
        </w:r>
        <w:r>
          <w:rPr>
            <w:webHidden/>
          </w:rPr>
          <w:fldChar w:fldCharType="begin"/>
        </w:r>
        <w:r>
          <w:rPr>
            <w:webHidden/>
          </w:rPr>
          <w:instrText xml:space="preserve"> PAGEREF _Toc404448 \h </w:instrText>
        </w:r>
        <w:r>
          <w:rPr>
            <w:webHidden/>
          </w:rPr>
        </w:r>
        <w:r>
          <w:rPr>
            <w:webHidden/>
          </w:rPr>
          <w:fldChar w:fldCharType="separate"/>
        </w:r>
        <w:r w:rsidR="001B26B5">
          <w:rPr>
            <w:webHidden/>
          </w:rPr>
          <w:t>248</w:t>
        </w:r>
        <w:r>
          <w:rPr>
            <w:webHidden/>
          </w:rPr>
          <w:fldChar w:fldCharType="end"/>
        </w:r>
      </w:hyperlink>
    </w:p>
    <w:p w14:paraId="1806C54C" w14:textId="77777777" w:rsidR="0006561B" w:rsidRDefault="0006561B">
      <w:pPr>
        <w:pStyle w:val="TDC2"/>
        <w:rPr>
          <w:rFonts w:asciiTheme="minorHAnsi" w:eastAsiaTheme="minorEastAsia" w:hAnsiTheme="minorHAnsi" w:cstheme="minorBidi"/>
          <w:szCs w:val="22"/>
          <w:lang w:val="es-ES" w:eastAsia="es-ES"/>
        </w:rPr>
      </w:pPr>
      <w:hyperlink w:anchor="_Toc404449" w:history="1">
        <w:r w:rsidRPr="003B1501">
          <w:rPr>
            <w:rStyle w:val="Hipervnculo"/>
          </w:rPr>
          <w:t>635.5. Control de calidad</w:t>
        </w:r>
        <w:r>
          <w:rPr>
            <w:webHidden/>
          </w:rPr>
          <w:tab/>
        </w:r>
        <w:r>
          <w:rPr>
            <w:webHidden/>
          </w:rPr>
          <w:fldChar w:fldCharType="begin"/>
        </w:r>
        <w:r>
          <w:rPr>
            <w:webHidden/>
          </w:rPr>
          <w:instrText xml:space="preserve"> PAGEREF _Toc404449 \h </w:instrText>
        </w:r>
        <w:r>
          <w:rPr>
            <w:webHidden/>
          </w:rPr>
        </w:r>
        <w:r>
          <w:rPr>
            <w:webHidden/>
          </w:rPr>
          <w:fldChar w:fldCharType="separate"/>
        </w:r>
        <w:r w:rsidR="001B26B5">
          <w:rPr>
            <w:webHidden/>
          </w:rPr>
          <w:t>249</w:t>
        </w:r>
        <w:r>
          <w:rPr>
            <w:webHidden/>
          </w:rPr>
          <w:fldChar w:fldCharType="end"/>
        </w:r>
      </w:hyperlink>
    </w:p>
    <w:p w14:paraId="56CBAE3A" w14:textId="77777777" w:rsidR="0006561B" w:rsidRDefault="0006561B">
      <w:pPr>
        <w:pStyle w:val="TDC2"/>
        <w:rPr>
          <w:rFonts w:asciiTheme="minorHAnsi" w:eastAsiaTheme="minorEastAsia" w:hAnsiTheme="minorHAnsi" w:cstheme="minorBidi"/>
          <w:szCs w:val="22"/>
          <w:lang w:val="es-ES" w:eastAsia="es-ES"/>
        </w:rPr>
      </w:pPr>
      <w:hyperlink w:anchor="_Toc404450" w:history="1">
        <w:r w:rsidRPr="003B1501">
          <w:rPr>
            <w:rStyle w:val="Hipervnculo"/>
          </w:rPr>
          <w:t>635.6. Medición y abono</w:t>
        </w:r>
        <w:r>
          <w:rPr>
            <w:webHidden/>
          </w:rPr>
          <w:tab/>
        </w:r>
        <w:r>
          <w:rPr>
            <w:webHidden/>
          </w:rPr>
          <w:fldChar w:fldCharType="begin"/>
        </w:r>
        <w:r>
          <w:rPr>
            <w:webHidden/>
          </w:rPr>
          <w:instrText xml:space="preserve"> PAGEREF _Toc404450 \h </w:instrText>
        </w:r>
        <w:r>
          <w:rPr>
            <w:webHidden/>
          </w:rPr>
        </w:r>
        <w:r>
          <w:rPr>
            <w:webHidden/>
          </w:rPr>
          <w:fldChar w:fldCharType="separate"/>
        </w:r>
        <w:r w:rsidR="001B26B5">
          <w:rPr>
            <w:webHidden/>
          </w:rPr>
          <w:t>249</w:t>
        </w:r>
        <w:r>
          <w:rPr>
            <w:webHidden/>
          </w:rPr>
          <w:fldChar w:fldCharType="end"/>
        </w:r>
      </w:hyperlink>
    </w:p>
    <w:p w14:paraId="5EE7DB0F" w14:textId="77777777" w:rsidR="0006561B" w:rsidRDefault="0006561B">
      <w:pPr>
        <w:pStyle w:val="TDC1"/>
        <w:rPr>
          <w:rFonts w:asciiTheme="minorHAnsi" w:eastAsiaTheme="minorEastAsia" w:hAnsiTheme="minorHAnsi" w:cstheme="minorBidi"/>
          <w:b w:val="0"/>
          <w:sz w:val="22"/>
          <w:szCs w:val="22"/>
          <w:lang w:val="es-ES" w:eastAsia="es-ES"/>
        </w:rPr>
      </w:pPr>
      <w:hyperlink w:anchor="_Toc404451" w:history="1">
        <w:r w:rsidRPr="003B1501">
          <w:rPr>
            <w:rStyle w:val="Hipervnculo"/>
          </w:rPr>
          <w:t>Artículo 645.  Estructuras metálicas para pórticos y banderolas</w:t>
        </w:r>
        <w:r>
          <w:rPr>
            <w:webHidden/>
          </w:rPr>
          <w:tab/>
        </w:r>
        <w:r>
          <w:rPr>
            <w:webHidden/>
          </w:rPr>
          <w:fldChar w:fldCharType="begin"/>
        </w:r>
        <w:r>
          <w:rPr>
            <w:webHidden/>
          </w:rPr>
          <w:instrText xml:space="preserve"> PAGEREF _Toc404451 \h </w:instrText>
        </w:r>
        <w:r>
          <w:rPr>
            <w:webHidden/>
          </w:rPr>
        </w:r>
        <w:r>
          <w:rPr>
            <w:webHidden/>
          </w:rPr>
          <w:fldChar w:fldCharType="separate"/>
        </w:r>
        <w:r w:rsidR="001B26B5">
          <w:rPr>
            <w:webHidden/>
          </w:rPr>
          <w:t>250</w:t>
        </w:r>
        <w:r>
          <w:rPr>
            <w:webHidden/>
          </w:rPr>
          <w:fldChar w:fldCharType="end"/>
        </w:r>
      </w:hyperlink>
    </w:p>
    <w:p w14:paraId="7FCBAF2E" w14:textId="77777777" w:rsidR="0006561B" w:rsidRDefault="0006561B">
      <w:pPr>
        <w:pStyle w:val="TDC2"/>
        <w:rPr>
          <w:rFonts w:asciiTheme="minorHAnsi" w:eastAsiaTheme="minorEastAsia" w:hAnsiTheme="minorHAnsi" w:cstheme="minorBidi"/>
          <w:szCs w:val="22"/>
          <w:lang w:val="es-ES" w:eastAsia="es-ES"/>
        </w:rPr>
      </w:pPr>
      <w:hyperlink w:anchor="_Toc404452" w:history="1">
        <w:r w:rsidRPr="003B1501">
          <w:rPr>
            <w:rStyle w:val="Hipervnculo"/>
          </w:rPr>
          <w:t xml:space="preserve">645.1.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_Toc404452 \h </w:instrText>
        </w:r>
        <w:r>
          <w:rPr>
            <w:webHidden/>
          </w:rPr>
        </w:r>
        <w:r>
          <w:rPr>
            <w:webHidden/>
          </w:rPr>
          <w:fldChar w:fldCharType="separate"/>
        </w:r>
        <w:r w:rsidR="001B26B5">
          <w:rPr>
            <w:webHidden/>
          </w:rPr>
          <w:t>250</w:t>
        </w:r>
        <w:r>
          <w:rPr>
            <w:webHidden/>
          </w:rPr>
          <w:fldChar w:fldCharType="end"/>
        </w:r>
      </w:hyperlink>
    </w:p>
    <w:p w14:paraId="440C64A8" w14:textId="77777777" w:rsidR="0006561B" w:rsidRDefault="0006561B">
      <w:pPr>
        <w:pStyle w:val="TDC2"/>
        <w:rPr>
          <w:rFonts w:asciiTheme="minorHAnsi" w:eastAsiaTheme="minorEastAsia" w:hAnsiTheme="minorHAnsi" w:cstheme="minorBidi"/>
          <w:szCs w:val="22"/>
          <w:lang w:val="es-ES" w:eastAsia="es-ES"/>
        </w:rPr>
      </w:pPr>
      <w:hyperlink w:anchor="_Toc404453" w:history="1">
        <w:r w:rsidRPr="003B1501">
          <w:rPr>
            <w:rStyle w:val="Hipervnculo"/>
          </w:rPr>
          <w:t xml:space="preserve">645.2.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_Toc404453 \h </w:instrText>
        </w:r>
        <w:r>
          <w:rPr>
            <w:webHidden/>
          </w:rPr>
        </w:r>
        <w:r>
          <w:rPr>
            <w:webHidden/>
          </w:rPr>
          <w:fldChar w:fldCharType="separate"/>
        </w:r>
        <w:r w:rsidR="001B26B5">
          <w:rPr>
            <w:webHidden/>
          </w:rPr>
          <w:t>250</w:t>
        </w:r>
        <w:r>
          <w:rPr>
            <w:webHidden/>
          </w:rPr>
          <w:fldChar w:fldCharType="end"/>
        </w:r>
      </w:hyperlink>
    </w:p>
    <w:p w14:paraId="2A7E5F11" w14:textId="77777777" w:rsidR="0006561B" w:rsidRDefault="0006561B">
      <w:pPr>
        <w:pStyle w:val="TDC2"/>
        <w:rPr>
          <w:rFonts w:asciiTheme="minorHAnsi" w:eastAsiaTheme="minorEastAsia" w:hAnsiTheme="minorHAnsi" w:cstheme="minorBidi"/>
          <w:szCs w:val="22"/>
          <w:lang w:val="es-ES" w:eastAsia="es-ES"/>
        </w:rPr>
      </w:pPr>
      <w:hyperlink w:anchor="_Toc404454" w:history="1">
        <w:r w:rsidRPr="003B1501">
          <w:rPr>
            <w:rStyle w:val="Hipervnculo"/>
          </w:rPr>
          <w:t>645.3.  Descripción</w:t>
        </w:r>
        <w:r>
          <w:rPr>
            <w:webHidden/>
          </w:rPr>
          <w:tab/>
        </w:r>
        <w:r>
          <w:rPr>
            <w:webHidden/>
          </w:rPr>
          <w:fldChar w:fldCharType="begin"/>
        </w:r>
        <w:r>
          <w:rPr>
            <w:webHidden/>
          </w:rPr>
          <w:instrText xml:space="preserve"> PAGEREF _Toc404454 \h </w:instrText>
        </w:r>
        <w:r>
          <w:rPr>
            <w:webHidden/>
          </w:rPr>
        </w:r>
        <w:r>
          <w:rPr>
            <w:webHidden/>
          </w:rPr>
          <w:fldChar w:fldCharType="separate"/>
        </w:r>
        <w:r w:rsidR="001B26B5">
          <w:rPr>
            <w:webHidden/>
          </w:rPr>
          <w:t>250</w:t>
        </w:r>
        <w:r>
          <w:rPr>
            <w:webHidden/>
          </w:rPr>
          <w:fldChar w:fldCharType="end"/>
        </w:r>
      </w:hyperlink>
    </w:p>
    <w:p w14:paraId="4D11E771" w14:textId="77777777" w:rsidR="0006561B" w:rsidRDefault="0006561B">
      <w:pPr>
        <w:pStyle w:val="TDC2"/>
        <w:rPr>
          <w:rFonts w:asciiTheme="minorHAnsi" w:eastAsiaTheme="minorEastAsia" w:hAnsiTheme="minorHAnsi" w:cstheme="minorBidi"/>
          <w:szCs w:val="22"/>
          <w:lang w:val="es-ES" w:eastAsia="es-ES"/>
        </w:rPr>
      </w:pPr>
      <w:hyperlink w:anchor="_Toc404455" w:history="1">
        <w:r w:rsidRPr="003B1501">
          <w:rPr>
            <w:rStyle w:val="Hipervnculo"/>
          </w:rPr>
          <w:t xml:space="preserve">645.4.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_Toc404455 \h </w:instrText>
        </w:r>
        <w:r>
          <w:rPr>
            <w:webHidden/>
          </w:rPr>
        </w:r>
        <w:r>
          <w:rPr>
            <w:webHidden/>
          </w:rPr>
          <w:fldChar w:fldCharType="separate"/>
        </w:r>
        <w:r w:rsidR="001B26B5">
          <w:rPr>
            <w:webHidden/>
          </w:rPr>
          <w:t>251</w:t>
        </w:r>
        <w:r>
          <w:rPr>
            <w:webHidden/>
          </w:rPr>
          <w:fldChar w:fldCharType="end"/>
        </w:r>
      </w:hyperlink>
    </w:p>
    <w:p w14:paraId="42E8B2D7" w14:textId="77777777" w:rsidR="0006561B" w:rsidRDefault="0006561B">
      <w:pPr>
        <w:pStyle w:val="TDC2"/>
        <w:rPr>
          <w:rFonts w:asciiTheme="minorHAnsi" w:eastAsiaTheme="minorEastAsia" w:hAnsiTheme="minorHAnsi" w:cstheme="minorBidi"/>
          <w:szCs w:val="22"/>
          <w:lang w:val="es-ES" w:eastAsia="es-ES"/>
        </w:rPr>
      </w:pPr>
      <w:hyperlink w:anchor="_Toc404456" w:history="1">
        <w:r w:rsidRPr="003B1501">
          <w:rPr>
            <w:rStyle w:val="Hipervnculo"/>
          </w:rPr>
          <w:t>645.5.</w:t>
        </w:r>
        <w:r>
          <w:rPr>
            <w:rFonts w:asciiTheme="minorHAnsi" w:eastAsiaTheme="minorEastAsia" w:hAnsiTheme="minorHAnsi" w:cstheme="minorBidi"/>
            <w:szCs w:val="22"/>
            <w:lang w:val="es-ES" w:eastAsia="es-ES"/>
          </w:rPr>
          <w:tab/>
        </w:r>
        <w:r w:rsidRPr="003B1501">
          <w:rPr>
            <w:rStyle w:val="Hipervnculo"/>
          </w:rPr>
          <w:t xml:space="preserve"> Ejecución de las obras</w:t>
        </w:r>
        <w:r>
          <w:rPr>
            <w:webHidden/>
          </w:rPr>
          <w:tab/>
        </w:r>
        <w:r>
          <w:rPr>
            <w:webHidden/>
          </w:rPr>
          <w:fldChar w:fldCharType="begin"/>
        </w:r>
        <w:r>
          <w:rPr>
            <w:webHidden/>
          </w:rPr>
          <w:instrText xml:space="preserve"> PAGEREF _Toc404456 \h </w:instrText>
        </w:r>
        <w:r>
          <w:rPr>
            <w:webHidden/>
          </w:rPr>
        </w:r>
        <w:r>
          <w:rPr>
            <w:webHidden/>
          </w:rPr>
          <w:fldChar w:fldCharType="separate"/>
        </w:r>
        <w:r w:rsidR="001B26B5">
          <w:rPr>
            <w:webHidden/>
          </w:rPr>
          <w:t>251</w:t>
        </w:r>
        <w:r>
          <w:rPr>
            <w:webHidden/>
          </w:rPr>
          <w:fldChar w:fldCharType="end"/>
        </w:r>
      </w:hyperlink>
    </w:p>
    <w:p w14:paraId="7421C54F" w14:textId="77777777" w:rsidR="0006561B" w:rsidRDefault="0006561B">
      <w:pPr>
        <w:pStyle w:val="TDC2"/>
        <w:rPr>
          <w:rFonts w:asciiTheme="minorHAnsi" w:eastAsiaTheme="minorEastAsia" w:hAnsiTheme="minorHAnsi" w:cstheme="minorBidi"/>
          <w:szCs w:val="22"/>
          <w:lang w:val="es-ES" w:eastAsia="es-ES"/>
        </w:rPr>
      </w:pPr>
      <w:hyperlink w:anchor="_Toc404457" w:history="1">
        <w:r w:rsidRPr="003B1501">
          <w:rPr>
            <w:rStyle w:val="Hipervnculo"/>
          </w:rPr>
          <w:t xml:space="preserve">645.6. </w:t>
        </w:r>
        <w:r>
          <w:rPr>
            <w:rFonts w:asciiTheme="minorHAnsi" w:eastAsiaTheme="minorEastAsia" w:hAnsiTheme="minorHAnsi" w:cstheme="minorBidi"/>
            <w:szCs w:val="22"/>
            <w:lang w:val="es-ES" w:eastAsia="es-ES"/>
          </w:rPr>
          <w:tab/>
        </w:r>
        <w:r w:rsidRPr="003B1501">
          <w:rPr>
            <w:rStyle w:val="Hipervnculo"/>
          </w:rPr>
          <w:t>Medición y abono</w:t>
        </w:r>
        <w:r>
          <w:rPr>
            <w:webHidden/>
          </w:rPr>
          <w:tab/>
        </w:r>
        <w:r>
          <w:rPr>
            <w:webHidden/>
          </w:rPr>
          <w:fldChar w:fldCharType="begin"/>
        </w:r>
        <w:r>
          <w:rPr>
            <w:webHidden/>
          </w:rPr>
          <w:instrText xml:space="preserve"> PAGEREF _Toc404457 \h </w:instrText>
        </w:r>
        <w:r>
          <w:rPr>
            <w:webHidden/>
          </w:rPr>
        </w:r>
        <w:r>
          <w:rPr>
            <w:webHidden/>
          </w:rPr>
          <w:fldChar w:fldCharType="separate"/>
        </w:r>
        <w:r w:rsidR="001B26B5">
          <w:rPr>
            <w:webHidden/>
          </w:rPr>
          <w:t>262</w:t>
        </w:r>
        <w:r>
          <w:rPr>
            <w:webHidden/>
          </w:rPr>
          <w:fldChar w:fldCharType="end"/>
        </w:r>
      </w:hyperlink>
    </w:p>
    <w:p w14:paraId="4E9B546B" w14:textId="77777777" w:rsidR="0006561B" w:rsidRDefault="0006561B">
      <w:pPr>
        <w:pStyle w:val="TDC1"/>
        <w:rPr>
          <w:rFonts w:asciiTheme="minorHAnsi" w:eastAsiaTheme="minorEastAsia" w:hAnsiTheme="minorHAnsi" w:cstheme="minorBidi"/>
          <w:b w:val="0"/>
          <w:sz w:val="22"/>
          <w:szCs w:val="22"/>
          <w:lang w:val="es-ES" w:eastAsia="es-ES"/>
        </w:rPr>
      </w:pPr>
      <w:hyperlink w:anchor="_Toc404458" w:history="1">
        <w:r w:rsidRPr="003B1501">
          <w:rPr>
            <w:rStyle w:val="Hipervnculo"/>
          </w:rPr>
          <w:t>Artículo 646. Barandilla</w:t>
        </w:r>
        <w:r>
          <w:rPr>
            <w:webHidden/>
          </w:rPr>
          <w:tab/>
        </w:r>
        <w:r>
          <w:rPr>
            <w:webHidden/>
          </w:rPr>
          <w:fldChar w:fldCharType="begin"/>
        </w:r>
        <w:r>
          <w:rPr>
            <w:webHidden/>
          </w:rPr>
          <w:instrText xml:space="preserve"> PAGEREF _Toc404458 \h </w:instrText>
        </w:r>
        <w:r>
          <w:rPr>
            <w:webHidden/>
          </w:rPr>
        </w:r>
        <w:r>
          <w:rPr>
            <w:webHidden/>
          </w:rPr>
          <w:fldChar w:fldCharType="separate"/>
        </w:r>
        <w:r w:rsidR="001B26B5">
          <w:rPr>
            <w:webHidden/>
          </w:rPr>
          <w:t>263</w:t>
        </w:r>
        <w:r>
          <w:rPr>
            <w:webHidden/>
          </w:rPr>
          <w:fldChar w:fldCharType="end"/>
        </w:r>
      </w:hyperlink>
    </w:p>
    <w:p w14:paraId="38027C4A" w14:textId="77777777" w:rsidR="0006561B" w:rsidRDefault="0006561B">
      <w:pPr>
        <w:pStyle w:val="TDC2"/>
        <w:rPr>
          <w:rFonts w:asciiTheme="minorHAnsi" w:eastAsiaTheme="minorEastAsia" w:hAnsiTheme="minorHAnsi" w:cstheme="minorBidi"/>
          <w:szCs w:val="22"/>
          <w:lang w:val="es-ES" w:eastAsia="es-ES"/>
        </w:rPr>
      </w:pPr>
      <w:hyperlink w:anchor="_Toc404459" w:history="1">
        <w:r w:rsidRPr="003B1501">
          <w:rPr>
            <w:rStyle w:val="Hipervnculo"/>
          </w:rPr>
          <w:t xml:space="preserve">646.1.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_Toc404459 \h </w:instrText>
        </w:r>
        <w:r>
          <w:rPr>
            <w:webHidden/>
          </w:rPr>
        </w:r>
        <w:r>
          <w:rPr>
            <w:webHidden/>
          </w:rPr>
          <w:fldChar w:fldCharType="separate"/>
        </w:r>
        <w:r w:rsidR="001B26B5">
          <w:rPr>
            <w:webHidden/>
          </w:rPr>
          <w:t>263</w:t>
        </w:r>
        <w:r>
          <w:rPr>
            <w:webHidden/>
          </w:rPr>
          <w:fldChar w:fldCharType="end"/>
        </w:r>
      </w:hyperlink>
    </w:p>
    <w:p w14:paraId="5267008B" w14:textId="77777777" w:rsidR="0006561B" w:rsidRDefault="0006561B">
      <w:pPr>
        <w:pStyle w:val="TDC2"/>
        <w:rPr>
          <w:rFonts w:asciiTheme="minorHAnsi" w:eastAsiaTheme="minorEastAsia" w:hAnsiTheme="minorHAnsi" w:cstheme="minorBidi"/>
          <w:szCs w:val="22"/>
          <w:lang w:val="es-ES" w:eastAsia="es-ES"/>
        </w:rPr>
      </w:pPr>
      <w:hyperlink w:anchor="_Toc404460" w:history="1">
        <w:r w:rsidRPr="003B1501">
          <w:rPr>
            <w:rStyle w:val="Hipervnculo"/>
          </w:rPr>
          <w:t xml:space="preserve">646.2.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_Toc404460 \h </w:instrText>
        </w:r>
        <w:r>
          <w:rPr>
            <w:webHidden/>
          </w:rPr>
        </w:r>
        <w:r>
          <w:rPr>
            <w:webHidden/>
          </w:rPr>
          <w:fldChar w:fldCharType="separate"/>
        </w:r>
        <w:r w:rsidR="001B26B5">
          <w:rPr>
            <w:webHidden/>
          </w:rPr>
          <w:t>263</w:t>
        </w:r>
        <w:r>
          <w:rPr>
            <w:webHidden/>
          </w:rPr>
          <w:fldChar w:fldCharType="end"/>
        </w:r>
      </w:hyperlink>
    </w:p>
    <w:p w14:paraId="548CB048" w14:textId="77777777" w:rsidR="0006561B" w:rsidRDefault="0006561B">
      <w:pPr>
        <w:pStyle w:val="TDC2"/>
        <w:rPr>
          <w:rFonts w:asciiTheme="minorHAnsi" w:eastAsiaTheme="minorEastAsia" w:hAnsiTheme="minorHAnsi" w:cstheme="minorBidi"/>
          <w:szCs w:val="22"/>
          <w:lang w:val="es-ES" w:eastAsia="es-ES"/>
        </w:rPr>
      </w:pPr>
      <w:hyperlink w:anchor="_Toc404461" w:history="1">
        <w:r w:rsidRPr="003B1501">
          <w:rPr>
            <w:rStyle w:val="Hipervnculo"/>
          </w:rPr>
          <w:t>646.3.  Ejecución de las obras</w:t>
        </w:r>
        <w:r>
          <w:rPr>
            <w:webHidden/>
          </w:rPr>
          <w:tab/>
        </w:r>
        <w:r>
          <w:rPr>
            <w:webHidden/>
          </w:rPr>
          <w:fldChar w:fldCharType="begin"/>
        </w:r>
        <w:r>
          <w:rPr>
            <w:webHidden/>
          </w:rPr>
          <w:instrText xml:space="preserve"> PAGEREF _Toc404461 \h </w:instrText>
        </w:r>
        <w:r>
          <w:rPr>
            <w:webHidden/>
          </w:rPr>
        </w:r>
        <w:r>
          <w:rPr>
            <w:webHidden/>
          </w:rPr>
          <w:fldChar w:fldCharType="separate"/>
        </w:r>
        <w:r w:rsidR="001B26B5">
          <w:rPr>
            <w:webHidden/>
          </w:rPr>
          <w:t>263</w:t>
        </w:r>
        <w:r>
          <w:rPr>
            <w:webHidden/>
          </w:rPr>
          <w:fldChar w:fldCharType="end"/>
        </w:r>
      </w:hyperlink>
    </w:p>
    <w:p w14:paraId="3453A78D" w14:textId="77777777" w:rsidR="0006561B" w:rsidRDefault="0006561B">
      <w:pPr>
        <w:pStyle w:val="TDC2"/>
        <w:rPr>
          <w:rFonts w:asciiTheme="minorHAnsi" w:eastAsiaTheme="minorEastAsia" w:hAnsiTheme="minorHAnsi" w:cstheme="minorBidi"/>
          <w:szCs w:val="22"/>
          <w:lang w:val="es-ES" w:eastAsia="es-ES"/>
        </w:rPr>
      </w:pPr>
      <w:hyperlink w:anchor="_Toc404462" w:history="1">
        <w:r w:rsidRPr="003B1501">
          <w:rPr>
            <w:rStyle w:val="Hipervnculo"/>
          </w:rPr>
          <w:t>646.4.  Recepción</w:t>
        </w:r>
        <w:r>
          <w:rPr>
            <w:webHidden/>
          </w:rPr>
          <w:tab/>
        </w:r>
        <w:r>
          <w:rPr>
            <w:webHidden/>
          </w:rPr>
          <w:fldChar w:fldCharType="begin"/>
        </w:r>
        <w:r>
          <w:rPr>
            <w:webHidden/>
          </w:rPr>
          <w:instrText xml:space="preserve"> PAGEREF _Toc404462 \h </w:instrText>
        </w:r>
        <w:r>
          <w:rPr>
            <w:webHidden/>
          </w:rPr>
        </w:r>
        <w:r>
          <w:rPr>
            <w:webHidden/>
          </w:rPr>
          <w:fldChar w:fldCharType="separate"/>
        </w:r>
        <w:r w:rsidR="001B26B5">
          <w:rPr>
            <w:webHidden/>
          </w:rPr>
          <w:t>263</w:t>
        </w:r>
        <w:r>
          <w:rPr>
            <w:webHidden/>
          </w:rPr>
          <w:fldChar w:fldCharType="end"/>
        </w:r>
      </w:hyperlink>
    </w:p>
    <w:p w14:paraId="084FAD8F" w14:textId="77777777" w:rsidR="0006561B" w:rsidRDefault="0006561B">
      <w:pPr>
        <w:pStyle w:val="TDC2"/>
        <w:rPr>
          <w:rFonts w:asciiTheme="minorHAnsi" w:eastAsiaTheme="minorEastAsia" w:hAnsiTheme="minorHAnsi" w:cstheme="minorBidi"/>
          <w:szCs w:val="22"/>
          <w:lang w:val="es-ES" w:eastAsia="es-ES"/>
        </w:rPr>
      </w:pPr>
      <w:hyperlink w:anchor="_Toc404463" w:history="1">
        <w:r w:rsidRPr="003B1501">
          <w:rPr>
            <w:rStyle w:val="Hipervnculo"/>
          </w:rPr>
          <w:t>646.5.  Medición y abono</w:t>
        </w:r>
        <w:r>
          <w:rPr>
            <w:webHidden/>
          </w:rPr>
          <w:tab/>
        </w:r>
        <w:r>
          <w:rPr>
            <w:webHidden/>
          </w:rPr>
          <w:fldChar w:fldCharType="begin"/>
        </w:r>
        <w:r>
          <w:rPr>
            <w:webHidden/>
          </w:rPr>
          <w:instrText xml:space="preserve"> PAGEREF _Toc404463 \h </w:instrText>
        </w:r>
        <w:r>
          <w:rPr>
            <w:webHidden/>
          </w:rPr>
        </w:r>
        <w:r>
          <w:rPr>
            <w:webHidden/>
          </w:rPr>
          <w:fldChar w:fldCharType="separate"/>
        </w:r>
        <w:r w:rsidR="001B26B5">
          <w:rPr>
            <w:webHidden/>
          </w:rPr>
          <w:t>263</w:t>
        </w:r>
        <w:r>
          <w:rPr>
            <w:webHidden/>
          </w:rPr>
          <w:fldChar w:fldCharType="end"/>
        </w:r>
      </w:hyperlink>
    </w:p>
    <w:p w14:paraId="73C1F88D" w14:textId="77777777" w:rsidR="0006561B" w:rsidRDefault="0006561B">
      <w:pPr>
        <w:pStyle w:val="TDC1"/>
        <w:rPr>
          <w:rFonts w:asciiTheme="minorHAnsi" w:eastAsiaTheme="minorEastAsia" w:hAnsiTheme="minorHAnsi" w:cstheme="minorBidi"/>
          <w:b w:val="0"/>
          <w:sz w:val="22"/>
          <w:szCs w:val="22"/>
          <w:lang w:val="es-ES" w:eastAsia="es-ES"/>
        </w:rPr>
      </w:pPr>
      <w:hyperlink w:anchor="_Toc404464" w:history="1">
        <w:r w:rsidRPr="003B1501">
          <w:rPr>
            <w:rStyle w:val="Hipervnculo"/>
          </w:rPr>
          <w:t>Artículo 660.  Pantalla acustica</w:t>
        </w:r>
        <w:r>
          <w:rPr>
            <w:webHidden/>
          </w:rPr>
          <w:tab/>
        </w:r>
        <w:r>
          <w:rPr>
            <w:webHidden/>
          </w:rPr>
          <w:fldChar w:fldCharType="begin"/>
        </w:r>
        <w:r>
          <w:rPr>
            <w:webHidden/>
          </w:rPr>
          <w:instrText xml:space="preserve"> PAGEREF _Toc404464 \h </w:instrText>
        </w:r>
        <w:r>
          <w:rPr>
            <w:webHidden/>
          </w:rPr>
        </w:r>
        <w:r>
          <w:rPr>
            <w:webHidden/>
          </w:rPr>
          <w:fldChar w:fldCharType="separate"/>
        </w:r>
        <w:r w:rsidR="001B26B5">
          <w:rPr>
            <w:webHidden/>
          </w:rPr>
          <w:t>264</w:t>
        </w:r>
        <w:r>
          <w:rPr>
            <w:webHidden/>
          </w:rPr>
          <w:fldChar w:fldCharType="end"/>
        </w:r>
      </w:hyperlink>
    </w:p>
    <w:p w14:paraId="73691C80" w14:textId="77777777" w:rsidR="0006561B" w:rsidRDefault="0006561B">
      <w:pPr>
        <w:pStyle w:val="TDC2"/>
        <w:rPr>
          <w:rFonts w:asciiTheme="minorHAnsi" w:eastAsiaTheme="minorEastAsia" w:hAnsiTheme="minorHAnsi" w:cstheme="minorBidi"/>
          <w:szCs w:val="22"/>
          <w:lang w:val="es-ES" w:eastAsia="es-ES"/>
        </w:rPr>
      </w:pPr>
      <w:hyperlink w:anchor="_Toc404465" w:history="1">
        <w:r w:rsidRPr="003B1501">
          <w:rPr>
            <w:rStyle w:val="Hipervnculo"/>
          </w:rPr>
          <w:t>660.1.</w:t>
        </w:r>
        <w:r>
          <w:rPr>
            <w:rFonts w:asciiTheme="minorHAnsi" w:eastAsiaTheme="minorEastAsia" w:hAnsiTheme="minorHAnsi" w:cstheme="minorBidi"/>
            <w:szCs w:val="22"/>
            <w:lang w:val="es-ES" w:eastAsia="es-ES"/>
          </w:rPr>
          <w:tab/>
        </w:r>
        <w:r w:rsidRPr="003B1501">
          <w:rPr>
            <w:rStyle w:val="Hipervnculo"/>
          </w:rPr>
          <w:t xml:space="preserve"> Aplicación</w:t>
        </w:r>
        <w:r>
          <w:rPr>
            <w:webHidden/>
          </w:rPr>
          <w:tab/>
        </w:r>
        <w:r>
          <w:rPr>
            <w:webHidden/>
          </w:rPr>
          <w:fldChar w:fldCharType="begin"/>
        </w:r>
        <w:r>
          <w:rPr>
            <w:webHidden/>
          </w:rPr>
          <w:instrText xml:space="preserve"> PAGEREF _Toc404465 \h </w:instrText>
        </w:r>
        <w:r>
          <w:rPr>
            <w:webHidden/>
          </w:rPr>
        </w:r>
        <w:r>
          <w:rPr>
            <w:webHidden/>
          </w:rPr>
          <w:fldChar w:fldCharType="separate"/>
        </w:r>
        <w:r w:rsidR="001B26B5">
          <w:rPr>
            <w:webHidden/>
          </w:rPr>
          <w:t>264</w:t>
        </w:r>
        <w:r>
          <w:rPr>
            <w:webHidden/>
          </w:rPr>
          <w:fldChar w:fldCharType="end"/>
        </w:r>
      </w:hyperlink>
    </w:p>
    <w:p w14:paraId="22774E44" w14:textId="77777777" w:rsidR="0006561B" w:rsidRDefault="0006561B">
      <w:pPr>
        <w:pStyle w:val="TDC2"/>
        <w:rPr>
          <w:rFonts w:asciiTheme="minorHAnsi" w:eastAsiaTheme="minorEastAsia" w:hAnsiTheme="minorHAnsi" w:cstheme="minorBidi"/>
          <w:szCs w:val="22"/>
          <w:lang w:val="es-ES" w:eastAsia="es-ES"/>
        </w:rPr>
      </w:pPr>
      <w:hyperlink w:anchor="_Toc404466" w:history="1">
        <w:r w:rsidRPr="003B1501">
          <w:rPr>
            <w:rStyle w:val="Hipervnculo"/>
          </w:rPr>
          <w:t xml:space="preserve">660.2.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_Toc404466 \h </w:instrText>
        </w:r>
        <w:r>
          <w:rPr>
            <w:webHidden/>
          </w:rPr>
        </w:r>
        <w:r>
          <w:rPr>
            <w:webHidden/>
          </w:rPr>
          <w:fldChar w:fldCharType="separate"/>
        </w:r>
        <w:r w:rsidR="001B26B5">
          <w:rPr>
            <w:webHidden/>
          </w:rPr>
          <w:t>264</w:t>
        </w:r>
        <w:r>
          <w:rPr>
            <w:webHidden/>
          </w:rPr>
          <w:fldChar w:fldCharType="end"/>
        </w:r>
      </w:hyperlink>
    </w:p>
    <w:p w14:paraId="5602529B" w14:textId="77777777" w:rsidR="0006561B" w:rsidRDefault="0006561B">
      <w:pPr>
        <w:pStyle w:val="TDC2"/>
        <w:rPr>
          <w:rFonts w:asciiTheme="minorHAnsi" w:eastAsiaTheme="minorEastAsia" w:hAnsiTheme="minorHAnsi" w:cstheme="minorBidi"/>
          <w:szCs w:val="22"/>
          <w:lang w:val="es-ES" w:eastAsia="es-ES"/>
        </w:rPr>
      </w:pPr>
      <w:hyperlink w:anchor="_Toc404467" w:history="1">
        <w:r w:rsidRPr="003B1501">
          <w:rPr>
            <w:rStyle w:val="Hipervnculo"/>
          </w:rPr>
          <w:t xml:space="preserve">660.3.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_Toc404467 \h </w:instrText>
        </w:r>
        <w:r>
          <w:rPr>
            <w:webHidden/>
          </w:rPr>
        </w:r>
        <w:r>
          <w:rPr>
            <w:webHidden/>
          </w:rPr>
          <w:fldChar w:fldCharType="separate"/>
        </w:r>
        <w:r w:rsidR="001B26B5">
          <w:rPr>
            <w:webHidden/>
          </w:rPr>
          <w:t>265</w:t>
        </w:r>
        <w:r>
          <w:rPr>
            <w:webHidden/>
          </w:rPr>
          <w:fldChar w:fldCharType="end"/>
        </w:r>
      </w:hyperlink>
    </w:p>
    <w:p w14:paraId="3227DE39" w14:textId="77777777" w:rsidR="0006561B" w:rsidRDefault="0006561B">
      <w:pPr>
        <w:pStyle w:val="TDC2"/>
        <w:rPr>
          <w:rFonts w:asciiTheme="minorHAnsi" w:eastAsiaTheme="minorEastAsia" w:hAnsiTheme="minorHAnsi" w:cstheme="minorBidi"/>
          <w:szCs w:val="22"/>
          <w:lang w:val="es-ES" w:eastAsia="es-ES"/>
        </w:rPr>
      </w:pPr>
      <w:hyperlink w:anchor="_Toc404468" w:history="1">
        <w:r w:rsidRPr="003B1501">
          <w:rPr>
            <w:rStyle w:val="Hipervnculo"/>
          </w:rPr>
          <w:t>660.4.  Medición y abono</w:t>
        </w:r>
        <w:r>
          <w:rPr>
            <w:webHidden/>
          </w:rPr>
          <w:tab/>
        </w:r>
        <w:r>
          <w:rPr>
            <w:webHidden/>
          </w:rPr>
          <w:fldChar w:fldCharType="begin"/>
        </w:r>
        <w:r>
          <w:rPr>
            <w:webHidden/>
          </w:rPr>
          <w:instrText xml:space="preserve"> PAGEREF _Toc404468 \h </w:instrText>
        </w:r>
        <w:r>
          <w:rPr>
            <w:webHidden/>
          </w:rPr>
        </w:r>
        <w:r>
          <w:rPr>
            <w:webHidden/>
          </w:rPr>
          <w:fldChar w:fldCharType="separate"/>
        </w:r>
        <w:r w:rsidR="001B26B5">
          <w:rPr>
            <w:webHidden/>
          </w:rPr>
          <w:t>265</w:t>
        </w:r>
        <w:r>
          <w:rPr>
            <w:webHidden/>
          </w:rPr>
          <w:fldChar w:fldCharType="end"/>
        </w:r>
      </w:hyperlink>
    </w:p>
    <w:p w14:paraId="3E850959" w14:textId="77777777" w:rsidR="0006561B" w:rsidRDefault="0006561B">
      <w:pPr>
        <w:pStyle w:val="TDC1"/>
        <w:rPr>
          <w:rFonts w:asciiTheme="minorHAnsi" w:eastAsiaTheme="minorEastAsia" w:hAnsiTheme="minorHAnsi" w:cstheme="minorBidi"/>
          <w:b w:val="0"/>
          <w:sz w:val="22"/>
          <w:szCs w:val="22"/>
          <w:lang w:val="es-ES" w:eastAsia="es-ES"/>
        </w:rPr>
      </w:pPr>
      <w:hyperlink w:anchor="_Toc404469" w:history="1">
        <w:r w:rsidRPr="003B1501">
          <w:rPr>
            <w:rStyle w:val="Hipervnculo"/>
          </w:rPr>
          <w:t>Artículo 675. Anclaje químico</w:t>
        </w:r>
        <w:r>
          <w:rPr>
            <w:webHidden/>
          </w:rPr>
          <w:tab/>
        </w:r>
        <w:r>
          <w:rPr>
            <w:webHidden/>
          </w:rPr>
          <w:fldChar w:fldCharType="begin"/>
        </w:r>
        <w:r>
          <w:rPr>
            <w:webHidden/>
          </w:rPr>
          <w:instrText xml:space="preserve"> PAGEREF _Toc404469 \h </w:instrText>
        </w:r>
        <w:r>
          <w:rPr>
            <w:webHidden/>
          </w:rPr>
        </w:r>
        <w:r>
          <w:rPr>
            <w:webHidden/>
          </w:rPr>
          <w:fldChar w:fldCharType="separate"/>
        </w:r>
        <w:r w:rsidR="001B26B5">
          <w:rPr>
            <w:webHidden/>
          </w:rPr>
          <w:t>266</w:t>
        </w:r>
        <w:r>
          <w:rPr>
            <w:webHidden/>
          </w:rPr>
          <w:fldChar w:fldCharType="end"/>
        </w:r>
      </w:hyperlink>
    </w:p>
    <w:p w14:paraId="10C4709B" w14:textId="77777777" w:rsidR="0006561B" w:rsidRDefault="0006561B">
      <w:pPr>
        <w:pStyle w:val="TDC2"/>
        <w:rPr>
          <w:rFonts w:asciiTheme="minorHAnsi" w:eastAsiaTheme="minorEastAsia" w:hAnsiTheme="minorHAnsi" w:cstheme="minorBidi"/>
          <w:szCs w:val="22"/>
          <w:lang w:val="es-ES" w:eastAsia="es-ES"/>
        </w:rPr>
      </w:pPr>
      <w:hyperlink w:anchor="_Toc404470" w:history="1">
        <w:r w:rsidRPr="003B1501">
          <w:rPr>
            <w:rStyle w:val="Hipervnculo"/>
          </w:rPr>
          <w:t xml:space="preserve">675.1.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_Toc404470 \h </w:instrText>
        </w:r>
        <w:r>
          <w:rPr>
            <w:webHidden/>
          </w:rPr>
        </w:r>
        <w:r>
          <w:rPr>
            <w:webHidden/>
          </w:rPr>
          <w:fldChar w:fldCharType="separate"/>
        </w:r>
        <w:r w:rsidR="001B26B5">
          <w:rPr>
            <w:webHidden/>
          </w:rPr>
          <w:t>266</w:t>
        </w:r>
        <w:r>
          <w:rPr>
            <w:webHidden/>
          </w:rPr>
          <w:fldChar w:fldCharType="end"/>
        </w:r>
      </w:hyperlink>
    </w:p>
    <w:p w14:paraId="5B20928B" w14:textId="77777777" w:rsidR="0006561B" w:rsidRDefault="0006561B">
      <w:pPr>
        <w:pStyle w:val="TDC2"/>
        <w:rPr>
          <w:rFonts w:asciiTheme="minorHAnsi" w:eastAsiaTheme="minorEastAsia" w:hAnsiTheme="minorHAnsi" w:cstheme="minorBidi"/>
          <w:szCs w:val="22"/>
          <w:lang w:val="es-ES" w:eastAsia="es-ES"/>
        </w:rPr>
      </w:pPr>
      <w:hyperlink w:anchor="_Toc404471" w:history="1">
        <w:r w:rsidRPr="003B1501">
          <w:rPr>
            <w:rStyle w:val="Hipervnculo"/>
          </w:rPr>
          <w:t>675.2.  Materiales</w:t>
        </w:r>
        <w:r>
          <w:rPr>
            <w:webHidden/>
          </w:rPr>
          <w:tab/>
        </w:r>
        <w:r>
          <w:rPr>
            <w:webHidden/>
          </w:rPr>
          <w:fldChar w:fldCharType="begin"/>
        </w:r>
        <w:r>
          <w:rPr>
            <w:webHidden/>
          </w:rPr>
          <w:instrText xml:space="preserve"> PAGEREF _Toc404471 \h </w:instrText>
        </w:r>
        <w:r>
          <w:rPr>
            <w:webHidden/>
          </w:rPr>
        </w:r>
        <w:r>
          <w:rPr>
            <w:webHidden/>
          </w:rPr>
          <w:fldChar w:fldCharType="separate"/>
        </w:r>
        <w:r w:rsidR="001B26B5">
          <w:rPr>
            <w:webHidden/>
          </w:rPr>
          <w:t>266</w:t>
        </w:r>
        <w:r>
          <w:rPr>
            <w:webHidden/>
          </w:rPr>
          <w:fldChar w:fldCharType="end"/>
        </w:r>
      </w:hyperlink>
    </w:p>
    <w:p w14:paraId="0BA2CD18" w14:textId="77777777" w:rsidR="0006561B" w:rsidRDefault="0006561B">
      <w:pPr>
        <w:pStyle w:val="TDC2"/>
        <w:rPr>
          <w:rFonts w:asciiTheme="minorHAnsi" w:eastAsiaTheme="minorEastAsia" w:hAnsiTheme="minorHAnsi" w:cstheme="minorBidi"/>
          <w:szCs w:val="22"/>
          <w:lang w:val="es-ES" w:eastAsia="es-ES"/>
        </w:rPr>
      </w:pPr>
      <w:hyperlink w:anchor="_Toc404472" w:history="1">
        <w:r w:rsidRPr="003B1501">
          <w:rPr>
            <w:rStyle w:val="Hipervnculo"/>
          </w:rPr>
          <w:t xml:space="preserve">675.3.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_Toc404472 \h </w:instrText>
        </w:r>
        <w:r>
          <w:rPr>
            <w:webHidden/>
          </w:rPr>
        </w:r>
        <w:r>
          <w:rPr>
            <w:webHidden/>
          </w:rPr>
          <w:fldChar w:fldCharType="separate"/>
        </w:r>
        <w:r w:rsidR="001B26B5">
          <w:rPr>
            <w:webHidden/>
          </w:rPr>
          <w:t>268</w:t>
        </w:r>
        <w:r>
          <w:rPr>
            <w:webHidden/>
          </w:rPr>
          <w:fldChar w:fldCharType="end"/>
        </w:r>
      </w:hyperlink>
    </w:p>
    <w:p w14:paraId="7FA2C916" w14:textId="77777777" w:rsidR="0006561B" w:rsidRDefault="0006561B">
      <w:pPr>
        <w:pStyle w:val="TDC2"/>
        <w:rPr>
          <w:rFonts w:asciiTheme="minorHAnsi" w:eastAsiaTheme="minorEastAsia" w:hAnsiTheme="minorHAnsi" w:cstheme="minorBidi"/>
          <w:szCs w:val="22"/>
          <w:lang w:val="es-ES" w:eastAsia="es-ES"/>
        </w:rPr>
      </w:pPr>
      <w:hyperlink w:anchor="_Toc404473" w:history="1">
        <w:r w:rsidRPr="003B1501">
          <w:rPr>
            <w:rStyle w:val="Hipervnculo"/>
          </w:rPr>
          <w:t xml:space="preserve">675.4. </w:t>
        </w:r>
        <w:r>
          <w:rPr>
            <w:rFonts w:asciiTheme="minorHAnsi" w:eastAsiaTheme="minorEastAsia" w:hAnsiTheme="minorHAnsi" w:cstheme="minorBidi"/>
            <w:szCs w:val="22"/>
            <w:lang w:val="es-ES" w:eastAsia="es-ES"/>
          </w:rPr>
          <w:tab/>
        </w:r>
        <w:r w:rsidRPr="003B1501">
          <w:rPr>
            <w:rStyle w:val="Hipervnculo"/>
          </w:rPr>
          <w:t>Control de calidad</w:t>
        </w:r>
        <w:r>
          <w:rPr>
            <w:webHidden/>
          </w:rPr>
          <w:tab/>
        </w:r>
        <w:r>
          <w:rPr>
            <w:webHidden/>
          </w:rPr>
          <w:fldChar w:fldCharType="begin"/>
        </w:r>
        <w:r>
          <w:rPr>
            <w:webHidden/>
          </w:rPr>
          <w:instrText xml:space="preserve"> PAGEREF _Toc404473 \h </w:instrText>
        </w:r>
        <w:r>
          <w:rPr>
            <w:webHidden/>
          </w:rPr>
        </w:r>
        <w:r>
          <w:rPr>
            <w:webHidden/>
          </w:rPr>
          <w:fldChar w:fldCharType="separate"/>
        </w:r>
        <w:r w:rsidR="001B26B5">
          <w:rPr>
            <w:webHidden/>
          </w:rPr>
          <w:t>268</w:t>
        </w:r>
        <w:r>
          <w:rPr>
            <w:webHidden/>
          </w:rPr>
          <w:fldChar w:fldCharType="end"/>
        </w:r>
      </w:hyperlink>
    </w:p>
    <w:p w14:paraId="23095A1D" w14:textId="77777777" w:rsidR="0006561B" w:rsidRDefault="0006561B">
      <w:pPr>
        <w:pStyle w:val="TDC2"/>
        <w:rPr>
          <w:rFonts w:asciiTheme="minorHAnsi" w:eastAsiaTheme="minorEastAsia" w:hAnsiTheme="minorHAnsi" w:cstheme="minorBidi"/>
          <w:szCs w:val="22"/>
          <w:lang w:val="es-ES" w:eastAsia="es-ES"/>
        </w:rPr>
      </w:pPr>
      <w:hyperlink w:anchor="_Toc404474" w:history="1">
        <w:r w:rsidRPr="003B1501">
          <w:rPr>
            <w:rStyle w:val="Hipervnculo"/>
          </w:rPr>
          <w:t xml:space="preserve">675.5. </w:t>
        </w:r>
        <w:r>
          <w:rPr>
            <w:rFonts w:asciiTheme="minorHAnsi" w:eastAsiaTheme="minorEastAsia" w:hAnsiTheme="minorHAnsi" w:cstheme="minorBidi"/>
            <w:szCs w:val="22"/>
            <w:lang w:val="es-ES" w:eastAsia="es-ES"/>
          </w:rPr>
          <w:tab/>
        </w:r>
        <w:r w:rsidRPr="003B1501">
          <w:rPr>
            <w:rStyle w:val="Hipervnculo"/>
          </w:rPr>
          <w:t>Medición y abono</w:t>
        </w:r>
        <w:r>
          <w:rPr>
            <w:webHidden/>
          </w:rPr>
          <w:tab/>
        </w:r>
        <w:r>
          <w:rPr>
            <w:webHidden/>
          </w:rPr>
          <w:fldChar w:fldCharType="begin"/>
        </w:r>
        <w:r>
          <w:rPr>
            <w:webHidden/>
          </w:rPr>
          <w:instrText xml:space="preserve"> PAGEREF _Toc404474 \h </w:instrText>
        </w:r>
        <w:r>
          <w:rPr>
            <w:webHidden/>
          </w:rPr>
        </w:r>
        <w:r>
          <w:rPr>
            <w:webHidden/>
          </w:rPr>
          <w:fldChar w:fldCharType="separate"/>
        </w:r>
        <w:r w:rsidR="001B26B5">
          <w:rPr>
            <w:webHidden/>
          </w:rPr>
          <w:t>269</w:t>
        </w:r>
        <w:r>
          <w:rPr>
            <w:webHidden/>
          </w:rPr>
          <w:fldChar w:fldCharType="end"/>
        </w:r>
      </w:hyperlink>
    </w:p>
    <w:p w14:paraId="38D2CD99" w14:textId="77777777" w:rsidR="0006561B" w:rsidRDefault="0006561B">
      <w:pPr>
        <w:pStyle w:val="TDC1"/>
        <w:rPr>
          <w:rFonts w:asciiTheme="minorHAnsi" w:eastAsiaTheme="minorEastAsia" w:hAnsiTheme="minorHAnsi" w:cstheme="minorBidi"/>
          <w:b w:val="0"/>
          <w:sz w:val="22"/>
          <w:szCs w:val="22"/>
          <w:lang w:val="es-ES" w:eastAsia="es-ES"/>
        </w:rPr>
      </w:pPr>
      <w:hyperlink w:anchor="_Toc404475" w:history="1">
        <w:r w:rsidRPr="003B1501">
          <w:rPr>
            <w:rStyle w:val="Hipervnculo"/>
          </w:rPr>
          <w:t>Artículo 680. Encofrado</w:t>
        </w:r>
        <w:r>
          <w:rPr>
            <w:webHidden/>
          </w:rPr>
          <w:tab/>
        </w:r>
        <w:r>
          <w:rPr>
            <w:webHidden/>
          </w:rPr>
          <w:fldChar w:fldCharType="begin"/>
        </w:r>
        <w:r>
          <w:rPr>
            <w:webHidden/>
          </w:rPr>
          <w:instrText xml:space="preserve"> PAGEREF _Toc404475 \h </w:instrText>
        </w:r>
        <w:r>
          <w:rPr>
            <w:webHidden/>
          </w:rPr>
        </w:r>
        <w:r>
          <w:rPr>
            <w:webHidden/>
          </w:rPr>
          <w:fldChar w:fldCharType="separate"/>
        </w:r>
        <w:r w:rsidR="001B26B5">
          <w:rPr>
            <w:webHidden/>
          </w:rPr>
          <w:t>270</w:t>
        </w:r>
        <w:r>
          <w:rPr>
            <w:webHidden/>
          </w:rPr>
          <w:fldChar w:fldCharType="end"/>
        </w:r>
      </w:hyperlink>
    </w:p>
    <w:p w14:paraId="0A262FDE" w14:textId="77777777" w:rsidR="0006561B" w:rsidRDefault="0006561B">
      <w:pPr>
        <w:pStyle w:val="TDC2"/>
        <w:rPr>
          <w:rFonts w:asciiTheme="minorHAnsi" w:eastAsiaTheme="minorEastAsia" w:hAnsiTheme="minorHAnsi" w:cstheme="minorBidi"/>
          <w:szCs w:val="22"/>
          <w:lang w:val="es-ES" w:eastAsia="es-ES"/>
        </w:rPr>
      </w:pPr>
      <w:hyperlink w:anchor="_Toc404476" w:history="1">
        <w:r w:rsidRPr="003B1501">
          <w:rPr>
            <w:rStyle w:val="Hipervnculo"/>
          </w:rPr>
          <w:t xml:space="preserve">680.1.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_Toc404476 \h </w:instrText>
        </w:r>
        <w:r>
          <w:rPr>
            <w:webHidden/>
          </w:rPr>
        </w:r>
        <w:r>
          <w:rPr>
            <w:webHidden/>
          </w:rPr>
          <w:fldChar w:fldCharType="separate"/>
        </w:r>
        <w:r w:rsidR="001B26B5">
          <w:rPr>
            <w:webHidden/>
          </w:rPr>
          <w:t>270</w:t>
        </w:r>
        <w:r>
          <w:rPr>
            <w:webHidden/>
          </w:rPr>
          <w:fldChar w:fldCharType="end"/>
        </w:r>
      </w:hyperlink>
    </w:p>
    <w:p w14:paraId="7606FD7C" w14:textId="77777777" w:rsidR="0006561B" w:rsidRDefault="0006561B">
      <w:pPr>
        <w:pStyle w:val="TDC2"/>
        <w:rPr>
          <w:rFonts w:asciiTheme="minorHAnsi" w:eastAsiaTheme="minorEastAsia" w:hAnsiTheme="minorHAnsi" w:cstheme="minorBidi"/>
          <w:szCs w:val="22"/>
          <w:lang w:val="es-ES" w:eastAsia="es-ES"/>
        </w:rPr>
      </w:pPr>
      <w:hyperlink w:anchor="_Toc404477" w:history="1">
        <w:r w:rsidRPr="003B1501">
          <w:rPr>
            <w:rStyle w:val="Hipervnculo"/>
          </w:rPr>
          <w:t>680.2.-</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_Toc404477 \h </w:instrText>
        </w:r>
        <w:r>
          <w:rPr>
            <w:webHidden/>
          </w:rPr>
        </w:r>
        <w:r>
          <w:rPr>
            <w:webHidden/>
          </w:rPr>
          <w:fldChar w:fldCharType="separate"/>
        </w:r>
        <w:r w:rsidR="001B26B5">
          <w:rPr>
            <w:webHidden/>
          </w:rPr>
          <w:t>270</w:t>
        </w:r>
        <w:r>
          <w:rPr>
            <w:webHidden/>
          </w:rPr>
          <w:fldChar w:fldCharType="end"/>
        </w:r>
      </w:hyperlink>
    </w:p>
    <w:p w14:paraId="053773D7" w14:textId="77777777" w:rsidR="0006561B" w:rsidRDefault="0006561B">
      <w:pPr>
        <w:pStyle w:val="TDC2"/>
        <w:rPr>
          <w:rFonts w:asciiTheme="minorHAnsi" w:eastAsiaTheme="minorEastAsia" w:hAnsiTheme="minorHAnsi" w:cstheme="minorBidi"/>
          <w:szCs w:val="22"/>
          <w:lang w:val="es-ES" w:eastAsia="es-ES"/>
        </w:rPr>
      </w:pPr>
      <w:hyperlink w:anchor="_Toc404478" w:history="1">
        <w:r w:rsidRPr="003B1501">
          <w:rPr>
            <w:rStyle w:val="Hipervnculo"/>
          </w:rPr>
          <w:t xml:space="preserve">680.3.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_Toc404478 \h </w:instrText>
        </w:r>
        <w:r>
          <w:rPr>
            <w:webHidden/>
          </w:rPr>
        </w:r>
        <w:r>
          <w:rPr>
            <w:webHidden/>
          </w:rPr>
          <w:fldChar w:fldCharType="separate"/>
        </w:r>
        <w:r w:rsidR="001B26B5">
          <w:rPr>
            <w:webHidden/>
          </w:rPr>
          <w:t>271</w:t>
        </w:r>
        <w:r>
          <w:rPr>
            <w:webHidden/>
          </w:rPr>
          <w:fldChar w:fldCharType="end"/>
        </w:r>
      </w:hyperlink>
    </w:p>
    <w:p w14:paraId="3B63A0E6" w14:textId="77777777" w:rsidR="0006561B" w:rsidRDefault="0006561B">
      <w:pPr>
        <w:pStyle w:val="TDC2"/>
        <w:rPr>
          <w:rFonts w:asciiTheme="minorHAnsi" w:eastAsiaTheme="minorEastAsia" w:hAnsiTheme="minorHAnsi" w:cstheme="minorBidi"/>
          <w:szCs w:val="22"/>
          <w:lang w:val="es-ES" w:eastAsia="es-ES"/>
        </w:rPr>
      </w:pPr>
      <w:hyperlink w:anchor="_Toc404479" w:history="1">
        <w:r w:rsidRPr="003B1501">
          <w:rPr>
            <w:rStyle w:val="Hipervnculo"/>
          </w:rPr>
          <w:t xml:space="preserve">680.4. </w:t>
        </w:r>
        <w:r>
          <w:rPr>
            <w:rFonts w:asciiTheme="minorHAnsi" w:eastAsiaTheme="minorEastAsia" w:hAnsiTheme="minorHAnsi" w:cstheme="minorBidi"/>
            <w:szCs w:val="22"/>
            <w:lang w:val="es-ES" w:eastAsia="es-ES"/>
          </w:rPr>
          <w:tab/>
        </w:r>
        <w:r w:rsidRPr="003B1501">
          <w:rPr>
            <w:rStyle w:val="Hipervnculo"/>
          </w:rPr>
          <w:t>Medición y abono</w:t>
        </w:r>
        <w:r>
          <w:rPr>
            <w:webHidden/>
          </w:rPr>
          <w:tab/>
        </w:r>
        <w:r>
          <w:rPr>
            <w:webHidden/>
          </w:rPr>
          <w:fldChar w:fldCharType="begin"/>
        </w:r>
        <w:r>
          <w:rPr>
            <w:webHidden/>
          </w:rPr>
          <w:instrText xml:space="preserve"> PAGEREF _Toc404479 \h </w:instrText>
        </w:r>
        <w:r>
          <w:rPr>
            <w:webHidden/>
          </w:rPr>
        </w:r>
        <w:r>
          <w:rPr>
            <w:webHidden/>
          </w:rPr>
          <w:fldChar w:fldCharType="separate"/>
        </w:r>
        <w:r w:rsidR="001B26B5">
          <w:rPr>
            <w:webHidden/>
          </w:rPr>
          <w:t>271</w:t>
        </w:r>
        <w:r>
          <w:rPr>
            <w:webHidden/>
          </w:rPr>
          <w:fldChar w:fldCharType="end"/>
        </w:r>
      </w:hyperlink>
    </w:p>
    <w:p w14:paraId="78206E52" w14:textId="77777777" w:rsidR="0006561B" w:rsidRDefault="0006561B">
      <w:pPr>
        <w:pStyle w:val="TDC1"/>
        <w:rPr>
          <w:rFonts w:asciiTheme="minorHAnsi" w:eastAsiaTheme="minorEastAsia" w:hAnsiTheme="minorHAnsi" w:cstheme="minorBidi"/>
          <w:b w:val="0"/>
          <w:sz w:val="22"/>
          <w:szCs w:val="22"/>
          <w:lang w:val="es-ES" w:eastAsia="es-ES"/>
        </w:rPr>
      </w:pPr>
      <w:hyperlink w:anchor="_Toc404480" w:history="1">
        <w:r w:rsidRPr="003B1501">
          <w:rPr>
            <w:rStyle w:val="Hipervnculo"/>
          </w:rPr>
          <w:t>Artículo 690. Impermeabilización del tablero</w:t>
        </w:r>
        <w:r>
          <w:rPr>
            <w:webHidden/>
          </w:rPr>
          <w:tab/>
        </w:r>
        <w:r>
          <w:rPr>
            <w:webHidden/>
          </w:rPr>
          <w:fldChar w:fldCharType="begin"/>
        </w:r>
        <w:r>
          <w:rPr>
            <w:webHidden/>
          </w:rPr>
          <w:instrText xml:space="preserve"> PAGEREF _Toc404480 \h </w:instrText>
        </w:r>
        <w:r>
          <w:rPr>
            <w:webHidden/>
          </w:rPr>
        </w:r>
        <w:r>
          <w:rPr>
            <w:webHidden/>
          </w:rPr>
          <w:fldChar w:fldCharType="separate"/>
        </w:r>
        <w:r w:rsidR="001B26B5">
          <w:rPr>
            <w:webHidden/>
          </w:rPr>
          <w:t>272</w:t>
        </w:r>
        <w:r>
          <w:rPr>
            <w:webHidden/>
          </w:rPr>
          <w:fldChar w:fldCharType="end"/>
        </w:r>
      </w:hyperlink>
    </w:p>
    <w:p w14:paraId="0F3526AB" w14:textId="77777777" w:rsidR="0006561B" w:rsidRDefault="0006561B">
      <w:pPr>
        <w:pStyle w:val="TDC2"/>
        <w:rPr>
          <w:rFonts w:asciiTheme="minorHAnsi" w:eastAsiaTheme="minorEastAsia" w:hAnsiTheme="minorHAnsi" w:cstheme="minorBidi"/>
          <w:szCs w:val="22"/>
          <w:lang w:val="es-ES" w:eastAsia="es-ES"/>
        </w:rPr>
      </w:pPr>
      <w:hyperlink w:anchor="_Toc404481" w:history="1">
        <w:r w:rsidRPr="003B1501">
          <w:rPr>
            <w:rStyle w:val="Hipervnculo"/>
          </w:rPr>
          <w:t xml:space="preserve">690.1.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_Toc404481 \h </w:instrText>
        </w:r>
        <w:r>
          <w:rPr>
            <w:webHidden/>
          </w:rPr>
        </w:r>
        <w:r>
          <w:rPr>
            <w:webHidden/>
          </w:rPr>
          <w:fldChar w:fldCharType="separate"/>
        </w:r>
        <w:r w:rsidR="001B26B5">
          <w:rPr>
            <w:webHidden/>
          </w:rPr>
          <w:t>272</w:t>
        </w:r>
        <w:r>
          <w:rPr>
            <w:webHidden/>
          </w:rPr>
          <w:fldChar w:fldCharType="end"/>
        </w:r>
      </w:hyperlink>
    </w:p>
    <w:p w14:paraId="051930BC" w14:textId="77777777" w:rsidR="0006561B" w:rsidRDefault="0006561B">
      <w:pPr>
        <w:pStyle w:val="TDC2"/>
        <w:rPr>
          <w:rFonts w:asciiTheme="minorHAnsi" w:eastAsiaTheme="minorEastAsia" w:hAnsiTheme="minorHAnsi" w:cstheme="minorBidi"/>
          <w:szCs w:val="22"/>
          <w:lang w:val="es-ES" w:eastAsia="es-ES"/>
        </w:rPr>
      </w:pPr>
      <w:hyperlink w:anchor="_Toc404482" w:history="1">
        <w:r w:rsidRPr="003B1501">
          <w:rPr>
            <w:rStyle w:val="Hipervnculo"/>
          </w:rPr>
          <w:t xml:space="preserve">690.2.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_Toc404482 \h </w:instrText>
        </w:r>
        <w:r>
          <w:rPr>
            <w:webHidden/>
          </w:rPr>
        </w:r>
        <w:r>
          <w:rPr>
            <w:webHidden/>
          </w:rPr>
          <w:fldChar w:fldCharType="separate"/>
        </w:r>
        <w:r w:rsidR="001B26B5">
          <w:rPr>
            <w:webHidden/>
          </w:rPr>
          <w:t>272</w:t>
        </w:r>
        <w:r>
          <w:rPr>
            <w:webHidden/>
          </w:rPr>
          <w:fldChar w:fldCharType="end"/>
        </w:r>
      </w:hyperlink>
    </w:p>
    <w:p w14:paraId="326F6222" w14:textId="77777777" w:rsidR="0006561B" w:rsidRDefault="0006561B">
      <w:pPr>
        <w:pStyle w:val="TDC2"/>
        <w:rPr>
          <w:rFonts w:asciiTheme="minorHAnsi" w:eastAsiaTheme="minorEastAsia" w:hAnsiTheme="minorHAnsi" w:cstheme="minorBidi"/>
          <w:szCs w:val="22"/>
          <w:lang w:val="es-ES" w:eastAsia="es-ES"/>
        </w:rPr>
      </w:pPr>
      <w:hyperlink w:anchor="_Toc404483" w:history="1">
        <w:r w:rsidRPr="003B1501">
          <w:rPr>
            <w:rStyle w:val="Hipervnculo"/>
          </w:rPr>
          <w:t xml:space="preserve">690.4.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_Toc404483 \h </w:instrText>
        </w:r>
        <w:r>
          <w:rPr>
            <w:webHidden/>
          </w:rPr>
        </w:r>
        <w:r>
          <w:rPr>
            <w:webHidden/>
          </w:rPr>
          <w:fldChar w:fldCharType="separate"/>
        </w:r>
        <w:r w:rsidR="001B26B5">
          <w:rPr>
            <w:webHidden/>
          </w:rPr>
          <w:t>272</w:t>
        </w:r>
        <w:r>
          <w:rPr>
            <w:webHidden/>
          </w:rPr>
          <w:fldChar w:fldCharType="end"/>
        </w:r>
      </w:hyperlink>
    </w:p>
    <w:p w14:paraId="761470EA" w14:textId="77777777" w:rsidR="0006561B" w:rsidRDefault="0006561B">
      <w:pPr>
        <w:pStyle w:val="TDC2"/>
        <w:rPr>
          <w:rFonts w:asciiTheme="minorHAnsi" w:eastAsiaTheme="minorEastAsia" w:hAnsiTheme="minorHAnsi" w:cstheme="minorBidi"/>
          <w:szCs w:val="22"/>
          <w:lang w:val="es-ES" w:eastAsia="es-ES"/>
        </w:rPr>
      </w:pPr>
      <w:hyperlink w:anchor="_Toc404484" w:history="1">
        <w:r w:rsidRPr="003B1501">
          <w:rPr>
            <w:rStyle w:val="Hipervnculo"/>
          </w:rPr>
          <w:t xml:space="preserve">690.5.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_Toc404484 \h </w:instrText>
        </w:r>
        <w:r>
          <w:rPr>
            <w:webHidden/>
          </w:rPr>
        </w:r>
        <w:r>
          <w:rPr>
            <w:webHidden/>
          </w:rPr>
          <w:fldChar w:fldCharType="separate"/>
        </w:r>
        <w:r w:rsidR="001B26B5">
          <w:rPr>
            <w:webHidden/>
          </w:rPr>
          <w:t>273</w:t>
        </w:r>
        <w:r>
          <w:rPr>
            <w:webHidden/>
          </w:rPr>
          <w:fldChar w:fldCharType="end"/>
        </w:r>
      </w:hyperlink>
    </w:p>
    <w:p w14:paraId="093CB48D" w14:textId="77777777" w:rsidR="0006561B" w:rsidRDefault="0006561B">
      <w:pPr>
        <w:pStyle w:val="TDC2"/>
        <w:rPr>
          <w:rFonts w:asciiTheme="minorHAnsi" w:eastAsiaTheme="minorEastAsia" w:hAnsiTheme="minorHAnsi" w:cstheme="minorBidi"/>
          <w:szCs w:val="22"/>
          <w:lang w:val="es-ES" w:eastAsia="es-ES"/>
        </w:rPr>
      </w:pPr>
      <w:hyperlink w:anchor="_Toc404485" w:history="1">
        <w:r w:rsidRPr="003B1501">
          <w:rPr>
            <w:rStyle w:val="Hipervnculo"/>
          </w:rPr>
          <w:t xml:space="preserve">690.6. </w:t>
        </w:r>
        <w:r>
          <w:rPr>
            <w:rFonts w:asciiTheme="minorHAnsi" w:eastAsiaTheme="minorEastAsia" w:hAnsiTheme="minorHAnsi" w:cstheme="minorBidi"/>
            <w:szCs w:val="22"/>
            <w:lang w:val="es-ES" w:eastAsia="es-ES"/>
          </w:rPr>
          <w:tab/>
        </w:r>
        <w:r w:rsidRPr="003B1501">
          <w:rPr>
            <w:rStyle w:val="Hipervnculo"/>
          </w:rPr>
          <w:t>Recepción</w:t>
        </w:r>
        <w:r>
          <w:rPr>
            <w:webHidden/>
          </w:rPr>
          <w:tab/>
        </w:r>
        <w:r>
          <w:rPr>
            <w:webHidden/>
          </w:rPr>
          <w:fldChar w:fldCharType="begin"/>
        </w:r>
        <w:r>
          <w:rPr>
            <w:webHidden/>
          </w:rPr>
          <w:instrText xml:space="preserve"> PAGEREF _Toc404485 \h </w:instrText>
        </w:r>
        <w:r>
          <w:rPr>
            <w:webHidden/>
          </w:rPr>
        </w:r>
        <w:r>
          <w:rPr>
            <w:webHidden/>
          </w:rPr>
          <w:fldChar w:fldCharType="separate"/>
        </w:r>
        <w:r w:rsidR="001B26B5">
          <w:rPr>
            <w:webHidden/>
          </w:rPr>
          <w:t>274</w:t>
        </w:r>
        <w:r>
          <w:rPr>
            <w:webHidden/>
          </w:rPr>
          <w:fldChar w:fldCharType="end"/>
        </w:r>
      </w:hyperlink>
    </w:p>
    <w:p w14:paraId="78E73C4B" w14:textId="77777777" w:rsidR="0006561B" w:rsidRDefault="0006561B">
      <w:pPr>
        <w:pStyle w:val="TDC2"/>
        <w:rPr>
          <w:rFonts w:asciiTheme="minorHAnsi" w:eastAsiaTheme="minorEastAsia" w:hAnsiTheme="minorHAnsi" w:cstheme="minorBidi"/>
          <w:szCs w:val="22"/>
          <w:lang w:val="es-ES" w:eastAsia="es-ES"/>
        </w:rPr>
      </w:pPr>
      <w:hyperlink w:anchor="_Toc404486" w:history="1">
        <w:r w:rsidRPr="003B1501">
          <w:rPr>
            <w:rStyle w:val="Hipervnculo"/>
          </w:rPr>
          <w:t xml:space="preserve">690.7. </w:t>
        </w:r>
        <w:r>
          <w:rPr>
            <w:rFonts w:asciiTheme="minorHAnsi" w:eastAsiaTheme="minorEastAsia" w:hAnsiTheme="minorHAnsi" w:cstheme="minorBidi"/>
            <w:szCs w:val="22"/>
            <w:lang w:val="es-ES" w:eastAsia="es-ES"/>
          </w:rPr>
          <w:tab/>
        </w:r>
        <w:r w:rsidRPr="003B1501">
          <w:rPr>
            <w:rStyle w:val="Hipervnculo"/>
          </w:rPr>
          <w:t>Control de calidad</w:t>
        </w:r>
        <w:r>
          <w:rPr>
            <w:webHidden/>
          </w:rPr>
          <w:tab/>
        </w:r>
        <w:r>
          <w:rPr>
            <w:webHidden/>
          </w:rPr>
          <w:fldChar w:fldCharType="begin"/>
        </w:r>
        <w:r>
          <w:rPr>
            <w:webHidden/>
          </w:rPr>
          <w:instrText xml:space="preserve"> PAGEREF _Toc404486 \h </w:instrText>
        </w:r>
        <w:r>
          <w:rPr>
            <w:webHidden/>
          </w:rPr>
        </w:r>
        <w:r>
          <w:rPr>
            <w:webHidden/>
          </w:rPr>
          <w:fldChar w:fldCharType="separate"/>
        </w:r>
        <w:r w:rsidR="001B26B5">
          <w:rPr>
            <w:webHidden/>
          </w:rPr>
          <w:t>274</w:t>
        </w:r>
        <w:r>
          <w:rPr>
            <w:webHidden/>
          </w:rPr>
          <w:fldChar w:fldCharType="end"/>
        </w:r>
      </w:hyperlink>
    </w:p>
    <w:p w14:paraId="5A00F67E" w14:textId="77777777" w:rsidR="0006561B" w:rsidRDefault="0006561B">
      <w:pPr>
        <w:pStyle w:val="TDC2"/>
        <w:rPr>
          <w:rFonts w:asciiTheme="minorHAnsi" w:eastAsiaTheme="minorEastAsia" w:hAnsiTheme="minorHAnsi" w:cstheme="minorBidi"/>
          <w:szCs w:val="22"/>
          <w:lang w:val="es-ES" w:eastAsia="es-ES"/>
        </w:rPr>
      </w:pPr>
      <w:hyperlink w:anchor="_Toc404487" w:history="1">
        <w:r w:rsidRPr="003B1501">
          <w:rPr>
            <w:rStyle w:val="Hipervnculo"/>
          </w:rPr>
          <w:t>690.8. Medición y abono</w:t>
        </w:r>
        <w:r>
          <w:rPr>
            <w:webHidden/>
          </w:rPr>
          <w:tab/>
        </w:r>
        <w:r>
          <w:rPr>
            <w:webHidden/>
          </w:rPr>
          <w:fldChar w:fldCharType="begin"/>
        </w:r>
        <w:r>
          <w:rPr>
            <w:webHidden/>
          </w:rPr>
          <w:instrText xml:space="preserve"> PAGEREF _Toc404487 \h </w:instrText>
        </w:r>
        <w:r>
          <w:rPr>
            <w:webHidden/>
          </w:rPr>
        </w:r>
        <w:r>
          <w:rPr>
            <w:webHidden/>
          </w:rPr>
          <w:fldChar w:fldCharType="separate"/>
        </w:r>
        <w:r w:rsidR="001B26B5">
          <w:rPr>
            <w:webHidden/>
          </w:rPr>
          <w:t>275</w:t>
        </w:r>
        <w:r>
          <w:rPr>
            <w:webHidden/>
          </w:rPr>
          <w:fldChar w:fldCharType="end"/>
        </w:r>
      </w:hyperlink>
    </w:p>
    <w:p w14:paraId="71FD1351" w14:textId="77777777" w:rsidR="0006561B" w:rsidRDefault="0006561B">
      <w:pPr>
        <w:pStyle w:val="TDC1"/>
        <w:rPr>
          <w:rFonts w:asciiTheme="minorHAnsi" w:eastAsiaTheme="minorEastAsia" w:hAnsiTheme="minorHAnsi" w:cstheme="minorBidi"/>
          <w:b w:val="0"/>
          <w:sz w:val="22"/>
          <w:szCs w:val="22"/>
          <w:lang w:val="es-ES" w:eastAsia="es-ES"/>
        </w:rPr>
      </w:pPr>
      <w:hyperlink w:anchor="_Toc404488" w:history="1">
        <w:r w:rsidRPr="003B1501">
          <w:rPr>
            <w:rStyle w:val="Hipervnculo"/>
          </w:rPr>
          <w:t>Artículo 690a. Impermeabilización de paramentos enterrados</w:t>
        </w:r>
        <w:r>
          <w:rPr>
            <w:webHidden/>
          </w:rPr>
          <w:tab/>
        </w:r>
        <w:r>
          <w:rPr>
            <w:webHidden/>
          </w:rPr>
          <w:fldChar w:fldCharType="begin"/>
        </w:r>
        <w:r>
          <w:rPr>
            <w:webHidden/>
          </w:rPr>
          <w:instrText xml:space="preserve"> PAGEREF _Toc404488 \h </w:instrText>
        </w:r>
        <w:r>
          <w:rPr>
            <w:webHidden/>
          </w:rPr>
        </w:r>
        <w:r>
          <w:rPr>
            <w:webHidden/>
          </w:rPr>
          <w:fldChar w:fldCharType="separate"/>
        </w:r>
        <w:r w:rsidR="001B26B5">
          <w:rPr>
            <w:webHidden/>
          </w:rPr>
          <w:t>276</w:t>
        </w:r>
        <w:r>
          <w:rPr>
            <w:webHidden/>
          </w:rPr>
          <w:fldChar w:fldCharType="end"/>
        </w:r>
      </w:hyperlink>
    </w:p>
    <w:p w14:paraId="14DAF893" w14:textId="77777777" w:rsidR="0006561B" w:rsidRDefault="0006561B">
      <w:pPr>
        <w:pStyle w:val="TDC2"/>
        <w:rPr>
          <w:rFonts w:asciiTheme="minorHAnsi" w:eastAsiaTheme="minorEastAsia" w:hAnsiTheme="minorHAnsi" w:cstheme="minorBidi"/>
          <w:szCs w:val="22"/>
          <w:lang w:val="es-ES" w:eastAsia="es-ES"/>
        </w:rPr>
      </w:pPr>
      <w:hyperlink w:anchor="_Toc404489" w:history="1">
        <w:r w:rsidRPr="003B1501">
          <w:rPr>
            <w:rStyle w:val="Hipervnculo"/>
          </w:rPr>
          <w:t>690a.1. Definición</w:t>
        </w:r>
        <w:r>
          <w:rPr>
            <w:webHidden/>
          </w:rPr>
          <w:tab/>
        </w:r>
        <w:r>
          <w:rPr>
            <w:webHidden/>
          </w:rPr>
          <w:fldChar w:fldCharType="begin"/>
        </w:r>
        <w:r>
          <w:rPr>
            <w:webHidden/>
          </w:rPr>
          <w:instrText xml:space="preserve"> PAGEREF _Toc404489 \h </w:instrText>
        </w:r>
        <w:r>
          <w:rPr>
            <w:webHidden/>
          </w:rPr>
        </w:r>
        <w:r>
          <w:rPr>
            <w:webHidden/>
          </w:rPr>
          <w:fldChar w:fldCharType="separate"/>
        </w:r>
        <w:r w:rsidR="001B26B5">
          <w:rPr>
            <w:webHidden/>
          </w:rPr>
          <w:t>276</w:t>
        </w:r>
        <w:r>
          <w:rPr>
            <w:webHidden/>
          </w:rPr>
          <w:fldChar w:fldCharType="end"/>
        </w:r>
      </w:hyperlink>
    </w:p>
    <w:p w14:paraId="2F7ED37B" w14:textId="77777777" w:rsidR="0006561B" w:rsidRDefault="0006561B">
      <w:pPr>
        <w:pStyle w:val="TDC2"/>
        <w:rPr>
          <w:rFonts w:asciiTheme="minorHAnsi" w:eastAsiaTheme="minorEastAsia" w:hAnsiTheme="minorHAnsi" w:cstheme="minorBidi"/>
          <w:szCs w:val="22"/>
          <w:lang w:val="es-ES" w:eastAsia="es-ES"/>
        </w:rPr>
      </w:pPr>
      <w:hyperlink w:anchor="_Toc404490" w:history="1">
        <w:r w:rsidRPr="003B1501">
          <w:rPr>
            <w:rStyle w:val="Hipervnculo"/>
          </w:rPr>
          <w:t>690a.2. Aplicación</w:t>
        </w:r>
        <w:r>
          <w:rPr>
            <w:webHidden/>
          </w:rPr>
          <w:tab/>
        </w:r>
        <w:r>
          <w:rPr>
            <w:webHidden/>
          </w:rPr>
          <w:fldChar w:fldCharType="begin"/>
        </w:r>
        <w:r>
          <w:rPr>
            <w:webHidden/>
          </w:rPr>
          <w:instrText xml:space="preserve"> PAGEREF _Toc404490 \h </w:instrText>
        </w:r>
        <w:r>
          <w:rPr>
            <w:webHidden/>
          </w:rPr>
        </w:r>
        <w:r>
          <w:rPr>
            <w:webHidden/>
          </w:rPr>
          <w:fldChar w:fldCharType="separate"/>
        </w:r>
        <w:r w:rsidR="001B26B5">
          <w:rPr>
            <w:webHidden/>
          </w:rPr>
          <w:t>276</w:t>
        </w:r>
        <w:r>
          <w:rPr>
            <w:webHidden/>
          </w:rPr>
          <w:fldChar w:fldCharType="end"/>
        </w:r>
      </w:hyperlink>
    </w:p>
    <w:p w14:paraId="2F83D260" w14:textId="77777777" w:rsidR="0006561B" w:rsidRDefault="0006561B">
      <w:pPr>
        <w:pStyle w:val="TDC2"/>
        <w:rPr>
          <w:rFonts w:asciiTheme="minorHAnsi" w:eastAsiaTheme="minorEastAsia" w:hAnsiTheme="minorHAnsi" w:cstheme="minorBidi"/>
          <w:szCs w:val="22"/>
          <w:lang w:val="es-ES" w:eastAsia="es-ES"/>
        </w:rPr>
      </w:pPr>
      <w:hyperlink w:anchor="_Toc404491" w:history="1">
        <w:r w:rsidRPr="003B1501">
          <w:rPr>
            <w:rStyle w:val="Hipervnculo"/>
          </w:rPr>
          <w:t>690a.3. Materiales</w:t>
        </w:r>
        <w:r>
          <w:rPr>
            <w:webHidden/>
          </w:rPr>
          <w:tab/>
        </w:r>
        <w:r>
          <w:rPr>
            <w:webHidden/>
          </w:rPr>
          <w:fldChar w:fldCharType="begin"/>
        </w:r>
        <w:r>
          <w:rPr>
            <w:webHidden/>
          </w:rPr>
          <w:instrText xml:space="preserve"> PAGEREF _Toc404491 \h </w:instrText>
        </w:r>
        <w:r>
          <w:rPr>
            <w:webHidden/>
          </w:rPr>
        </w:r>
        <w:r>
          <w:rPr>
            <w:webHidden/>
          </w:rPr>
          <w:fldChar w:fldCharType="separate"/>
        </w:r>
        <w:r w:rsidR="001B26B5">
          <w:rPr>
            <w:webHidden/>
          </w:rPr>
          <w:t>276</w:t>
        </w:r>
        <w:r>
          <w:rPr>
            <w:webHidden/>
          </w:rPr>
          <w:fldChar w:fldCharType="end"/>
        </w:r>
      </w:hyperlink>
    </w:p>
    <w:p w14:paraId="6F2A8BA8" w14:textId="77777777" w:rsidR="0006561B" w:rsidRDefault="0006561B">
      <w:pPr>
        <w:pStyle w:val="TDC2"/>
        <w:rPr>
          <w:rFonts w:asciiTheme="minorHAnsi" w:eastAsiaTheme="minorEastAsia" w:hAnsiTheme="minorHAnsi" w:cstheme="minorBidi"/>
          <w:szCs w:val="22"/>
          <w:lang w:val="es-ES" w:eastAsia="es-ES"/>
        </w:rPr>
      </w:pPr>
      <w:hyperlink w:anchor="_Toc404492" w:history="1">
        <w:r w:rsidRPr="003B1501">
          <w:rPr>
            <w:rStyle w:val="Hipervnculo"/>
          </w:rPr>
          <w:t>690a.5.  Ejecución de las obras</w:t>
        </w:r>
        <w:r>
          <w:rPr>
            <w:webHidden/>
          </w:rPr>
          <w:tab/>
        </w:r>
        <w:r>
          <w:rPr>
            <w:webHidden/>
          </w:rPr>
          <w:fldChar w:fldCharType="begin"/>
        </w:r>
        <w:r>
          <w:rPr>
            <w:webHidden/>
          </w:rPr>
          <w:instrText xml:space="preserve"> PAGEREF _Toc404492 \h </w:instrText>
        </w:r>
        <w:r>
          <w:rPr>
            <w:webHidden/>
          </w:rPr>
        </w:r>
        <w:r>
          <w:rPr>
            <w:webHidden/>
          </w:rPr>
          <w:fldChar w:fldCharType="separate"/>
        </w:r>
        <w:r w:rsidR="001B26B5">
          <w:rPr>
            <w:webHidden/>
          </w:rPr>
          <w:t>277</w:t>
        </w:r>
        <w:r>
          <w:rPr>
            <w:webHidden/>
          </w:rPr>
          <w:fldChar w:fldCharType="end"/>
        </w:r>
      </w:hyperlink>
    </w:p>
    <w:p w14:paraId="4E3CA39E" w14:textId="77777777" w:rsidR="0006561B" w:rsidRDefault="0006561B">
      <w:pPr>
        <w:pStyle w:val="TDC2"/>
        <w:rPr>
          <w:rFonts w:asciiTheme="minorHAnsi" w:eastAsiaTheme="minorEastAsia" w:hAnsiTheme="minorHAnsi" w:cstheme="minorBidi"/>
          <w:szCs w:val="22"/>
          <w:lang w:val="es-ES" w:eastAsia="es-ES"/>
        </w:rPr>
      </w:pPr>
      <w:hyperlink w:anchor="_Toc404493" w:history="1">
        <w:r w:rsidRPr="003B1501">
          <w:rPr>
            <w:rStyle w:val="Hipervnculo"/>
          </w:rPr>
          <w:t>690a.8. Medición y abono</w:t>
        </w:r>
        <w:r>
          <w:rPr>
            <w:webHidden/>
          </w:rPr>
          <w:tab/>
        </w:r>
        <w:r>
          <w:rPr>
            <w:webHidden/>
          </w:rPr>
          <w:fldChar w:fldCharType="begin"/>
        </w:r>
        <w:r>
          <w:rPr>
            <w:webHidden/>
          </w:rPr>
          <w:instrText xml:space="preserve"> PAGEREF _Toc404493 \h </w:instrText>
        </w:r>
        <w:r>
          <w:rPr>
            <w:webHidden/>
          </w:rPr>
        </w:r>
        <w:r>
          <w:rPr>
            <w:webHidden/>
          </w:rPr>
          <w:fldChar w:fldCharType="separate"/>
        </w:r>
        <w:r w:rsidR="001B26B5">
          <w:rPr>
            <w:webHidden/>
          </w:rPr>
          <w:t>278</w:t>
        </w:r>
        <w:r>
          <w:rPr>
            <w:webHidden/>
          </w:rPr>
          <w:fldChar w:fldCharType="end"/>
        </w:r>
      </w:hyperlink>
    </w:p>
    <w:p w14:paraId="075DBA58" w14:textId="77777777" w:rsidR="0006561B" w:rsidRDefault="0006561B">
      <w:pPr>
        <w:pStyle w:val="TDC1"/>
        <w:rPr>
          <w:rFonts w:asciiTheme="minorHAnsi" w:eastAsiaTheme="minorEastAsia" w:hAnsiTheme="minorHAnsi" w:cstheme="minorBidi"/>
          <w:b w:val="0"/>
          <w:sz w:val="22"/>
          <w:szCs w:val="22"/>
          <w:lang w:val="es-ES" w:eastAsia="es-ES"/>
        </w:rPr>
      </w:pPr>
      <w:hyperlink w:anchor="_Toc404494" w:history="1">
        <w:r w:rsidRPr="003B1501">
          <w:rPr>
            <w:rStyle w:val="Hipervnculo"/>
          </w:rPr>
          <w:t>Artículo 692b.- Apoyo de material elastómero</w:t>
        </w:r>
        <w:r>
          <w:rPr>
            <w:webHidden/>
          </w:rPr>
          <w:tab/>
        </w:r>
        <w:r>
          <w:rPr>
            <w:webHidden/>
          </w:rPr>
          <w:fldChar w:fldCharType="begin"/>
        </w:r>
        <w:r>
          <w:rPr>
            <w:webHidden/>
          </w:rPr>
          <w:instrText xml:space="preserve"> PAGEREF _Toc404494 \h </w:instrText>
        </w:r>
        <w:r>
          <w:rPr>
            <w:webHidden/>
          </w:rPr>
        </w:r>
        <w:r>
          <w:rPr>
            <w:webHidden/>
          </w:rPr>
          <w:fldChar w:fldCharType="separate"/>
        </w:r>
        <w:r w:rsidR="001B26B5">
          <w:rPr>
            <w:webHidden/>
          </w:rPr>
          <w:t>279</w:t>
        </w:r>
        <w:r>
          <w:rPr>
            <w:webHidden/>
          </w:rPr>
          <w:fldChar w:fldCharType="end"/>
        </w:r>
      </w:hyperlink>
    </w:p>
    <w:p w14:paraId="31C2828F" w14:textId="77777777" w:rsidR="0006561B" w:rsidRDefault="0006561B">
      <w:pPr>
        <w:pStyle w:val="TDC2"/>
        <w:rPr>
          <w:rFonts w:asciiTheme="minorHAnsi" w:eastAsiaTheme="minorEastAsia" w:hAnsiTheme="minorHAnsi" w:cstheme="minorBidi"/>
          <w:szCs w:val="22"/>
          <w:lang w:val="es-ES" w:eastAsia="es-ES"/>
        </w:rPr>
      </w:pPr>
      <w:hyperlink w:anchor="_Toc404495" w:history="1">
        <w:r w:rsidRPr="003B1501">
          <w:rPr>
            <w:rStyle w:val="Hipervnculo"/>
          </w:rPr>
          <w:t>692.1. Aplicación</w:t>
        </w:r>
        <w:r>
          <w:rPr>
            <w:webHidden/>
          </w:rPr>
          <w:tab/>
        </w:r>
        <w:r>
          <w:rPr>
            <w:webHidden/>
          </w:rPr>
          <w:fldChar w:fldCharType="begin"/>
        </w:r>
        <w:r>
          <w:rPr>
            <w:webHidden/>
          </w:rPr>
          <w:instrText xml:space="preserve"> PAGEREF _Toc404495 \h </w:instrText>
        </w:r>
        <w:r>
          <w:rPr>
            <w:webHidden/>
          </w:rPr>
        </w:r>
        <w:r>
          <w:rPr>
            <w:webHidden/>
          </w:rPr>
          <w:fldChar w:fldCharType="separate"/>
        </w:r>
        <w:r w:rsidR="001B26B5">
          <w:rPr>
            <w:webHidden/>
          </w:rPr>
          <w:t>279</w:t>
        </w:r>
        <w:r>
          <w:rPr>
            <w:webHidden/>
          </w:rPr>
          <w:fldChar w:fldCharType="end"/>
        </w:r>
      </w:hyperlink>
    </w:p>
    <w:p w14:paraId="0E177175" w14:textId="77777777" w:rsidR="0006561B" w:rsidRDefault="0006561B">
      <w:pPr>
        <w:pStyle w:val="TDC2"/>
        <w:rPr>
          <w:rFonts w:asciiTheme="minorHAnsi" w:eastAsiaTheme="minorEastAsia" w:hAnsiTheme="minorHAnsi" w:cstheme="minorBidi"/>
          <w:szCs w:val="22"/>
          <w:lang w:val="es-ES" w:eastAsia="es-ES"/>
        </w:rPr>
      </w:pPr>
      <w:hyperlink w:anchor="_Toc404496" w:history="1">
        <w:r w:rsidRPr="003B1501">
          <w:rPr>
            <w:rStyle w:val="Hipervnculo"/>
          </w:rPr>
          <w:t xml:space="preserve">692.4.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_Toc404496 \h </w:instrText>
        </w:r>
        <w:r>
          <w:rPr>
            <w:webHidden/>
          </w:rPr>
        </w:r>
        <w:r>
          <w:rPr>
            <w:webHidden/>
          </w:rPr>
          <w:fldChar w:fldCharType="separate"/>
        </w:r>
        <w:r w:rsidR="001B26B5">
          <w:rPr>
            <w:webHidden/>
          </w:rPr>
          <w:t>279</w:t>
        </w:r>
        <w:r>
          <w:rPr>
            <w:webHidden/>
          </w:rPr>
          <w:fldChar w:fldCharType="end"/>
        </w:r>
      </w:hyperlink>
    </w:p>
    <w:p w14:paraId="34685040" w14:textId="77777777" w:rsidR="0006561B" w:rsidRDefault="0006561B">
      <w:pPr>
        <w:pStyle w:val="TDC2"/>
        <w:rPr>
          <w:rFonts w:asciiTheme="minorHAnsi" w:eastAsiaTheme="minorEastAsia" w:hAnsiTheme="minorHAnsi" w:cstheme="minorBidi"/>
          <w:szCs w:val="22"/>
          <w:lang w:val="es-ES" w:eastAsia="es-ES"/>
        </w:rPr>
      </w:pPr>
      <w:hyperlink w:anchor="_Toc404497" w:history="1">
        <w:r w:rsidRPr="003B1501">
          <w:rPr>
            <w:rStyle w:val="Hipervnculo"/>
          </w:rPr>
          <w:t>692.5. Ejecución de las obras</w:t>
        </w:r>
        <w:r>
          <w:rPr>
            <w:webHidden/>
          </w:rPr>
          <w:tab/>
        </w:r>
        <w:r>
          <w:rPr>
            <w:webHidden/>
          </w:rPr>
          <w:fldChar w:fldCharType="begin"/>
        </w:r>
        <w:r>
          <w:rPr>
            <w:webHidden/>
          </w:rPr>
          <w:instrText xml:space="preserve"> PAGEREF _Toc404497 \h </w:instrText>
        </w:r>
        <w:r>
          <w:rPr>
            <w:webHidden/>
          </w:rPr>
        </w:r>
        <w:r>
          <w:rPr>
            <w:webHidden/>
          </w:rPr>
          <w:fldChar w:fldCharType="separate"/>
        </w:r>
        <w:r w:rsidR="001B26B5">
          <w:rPr>
            <w:webHidden/>
          </w:rPr>
          <w:t>280</w:t>
        </w:r>
        <w:r>
          <w:rPr>
            <w:webHidden/>
          </w:rPr>
          <w:fldChar w:fldCharType="end"/>
        </w:r>
      </w:hyperlink>
    </w:p>
    <w:p w14:paraId="20DB6A50" w14:textId="77777777" w:rsidR="0006561B" w:rsidRDefault="0006561B">
      <w:pPr>
        <w:pStyle w:val="TDC2"/>
        <w:rPr>
          <w:rFonts w:asciiTheme="minorHAnsi" w:eastAsiaTheme="minorEastAsia" w:hAnsiTheme="minorHAnsi" w:cstheme="minorBidi"/>
          <w:szCs w:val="22"/>
          <w:lang w:val="es-ES" w:eastAsia="es-ES"/>
        </w:rPr>
      </w:pPr>
      <w:hyperlink w:anchor="_Toc404498" w:history="1">
        <w:r w:rsidRPr="003B1501">
          <w:rPr>
            <w:rStyle w:val="Hipervnculo"/>
          </w:rPr>
          <w:t>692.6. Medición y abono</w:t>
        </w:r>
        <w:r>
          <w:rPr>
            <w:webHidden/>
          </w:rPr>
          <w:tab/>
        </w:r>
        <w:r>
          <w:rPr>
            <w:webHidden/>
          </w:rPr>
          <w:fldChar w:fldCharType="begin"/>
        </w:r>
        <w:r>
          <w:rPr>
            <w:webHidden/>
          </w:rPr>
          <w:instrText xml:space="preserve"> PAGEREF _Toc404498 \h </w:instrText>
        </w:r>
        <w:r>
          <w:rPr>
            <w:webHidden/>
          </w:rPr>
        </w:r>
        <w:r>
          <w:rPr>
            <w:webHidden/>
          </w:rPr>
          <w:fldChar w:fldCharType="separate"/>
        </w:r>
        <w:r w:rsidR="001B26B5">
          <w:rPr>
            <w:webHidden/>
          </w:rPr>
          <w:t>280</w:t>
        </w:r>
        <w:r>
          <w:rPr>
            <w:webHidden/>
          </w:rPr>
          <w:fldChar w:fldCharType="end"/>
        </w:r>
      </w:hyperlink>
    </w:p>
    <w:p w14:paraId="1C8A4858" w14:textId="77777777" w:rsidR="0006561B" w:rsidRDefault="0006561B">
      <w:pPr>
        <w:pStyle w:val="TDC1"/>
        <w:rPr>
          <w:rFonts w:asciiTheme="minorHAnsi" w:eastAsiaTheme="minorEastAsia" w:hAnsiTheme="minorHAnsi" w:cstheme="minorBidi"/>
          <w:b w:val="0"/>
          <w:sz w:val="22"/>
          <w:szCs w:val="22"/>
          <w:lang w:val="es-ES" w:eastAsia="es-ES"/>
        </w:rPr>
      </w:pPr>
      <w:hyperlink w:anchor="_Toc404499" w:history="1">
        <w:r w:rsidRPr="003B1501">
          <w:rPr>
            <w:rStyle w:val="Hipervnculo"/>
          </w:rPr>
          <w:t>Artículo 694. Junta elastomérica de calzada</w:t>
        </w:r>
        <w:r>
          <w:rPr>
            <w:webHidden/>
          </w:rPr>
          <w:tab/>
        </w:r>
        <w:r>
          <w:rPr>
            <w:webHidden/>
          </w:rPr>
          <w:fldChar w:fldCharType="begin"/>
        </w:r>
        <w:r>
          <w:rPr>
            <w:webHidden/>
          </w:rPr>
          <w:instrText xml:space="preserve"> PAGEREF _Toc404499 \h </w:instrText>
        </w:r>
        <w:r>
          <w:rPr>
            <w:webHidden/>
          </w:rPr>
        </w:r>
        <w:r>
          <w:rPr>
            <w:webHidden/>
          </w:rPr>
          <w:fldChar w:fldCharType="separate"/>
        </w:r>
        <w:r w:rsidR="001B26B5">
          <w:rPr>
            <w:webHidden/>
          </w:rPr>
          <w:t>281</w:t>
        </w:r>
        <w:r>
          <w:rPr>
            <w:webHidden/>
          </w:rPr>
          <w:fldChar w:fldCharType="end"/>
        </w:r>
      </w:hyperlink>
    </w:p>
    <w:p w14:paraId="0006242D" w14:textId="77777777" w:rsidR="0006561B" w:rsidRDefault="0006561B">
      <w:pPr>
        <w:pStyle w:val="TDC2"/>
        <w:rPr>
          <w:rFonts w:asciiTheme="minorHAnsi" w:eastAsiaTheme="minorEastAsia" w:hAnsiTheme="minorHAnsi" w:cstheme="minorBidi"/>
          <w:szCs w:val="22"/>
          <w:lang w:val="es-ES" w:eastAsia="es-ES"/>
        </w:rPr>
      </w:pPr>
      <w:hyperlink w:anchor="_Toc404500" w:history="1">
        <w:r w:rsidRPr="003B1501">
          <w:rPr>
            <w:rStyle w:val="Hipervnculo"/>
          </w:rPr>
          <w:t>694.1. Definición</w:t>
        </w:r>
        <w:r>
          <w:rPr>
            <w:webHidden/>
          </w:rPr>
          <w:tab/>
        </w:r>
        <w:r>
          <w:rPr>
            <w:webHidden/>
          </w:rPr>
          <w:fldChar w:fldCharType="begin"/>
        </w:r>
        <w:r>
          <w:rPr>
            <w:webHidden/>
          </w:rPr>
          <w:instrText xml:space="preserve"> PAGEREF _Toc404500 \h </w:instrText>
        </w:r>
        <w:r>
          <w:rPr>
            <w:webHidden/>
          </w:rPr>
        </w:r>
        <w:r>
          <w:rPr>
            <w:webHidden/>
          </w:rPr>
          <w:fldChar w:fldCharType="separate"/>
        </w:r>
        <w:r w:rsidR="001B26B5">
          <w:rPr>
            <w:webHidden/>
          </w:rPr>
          <w:t>281</w:t>
        </w:r>
        <w:r>
          <w:rPr>
            <w:webHidden/>
          </w:rPr>
          <w:fldChar w:fldCharType="end"/>
        </w:r>
      </w:hyperlink>
    </w:p>
    <w:p w14:paraId="06A67B6A" w14:textId="77777777" w:rsidR="0006561B" w:rsidRDefault="0006561B">
      <w:pPr>
        <w:pStyle w:val="TDC2"/>
        <w:rPr>
          <w:rFonts w:asciiTheme="minorHAnsi" w:eastAsiaTheme="minorEastAsia" w:hAnsiTheme="minorHAnsi" w:cstheme="minorBidi"/>
          <w:szCs w:val="22"/>
          <w:lang w:val="es-ES" w:eastAsia="es-ES"/>
        </w:rPr>
      </w:pPr>
      <w:hyperlink w:anchor="_Toc404501" w:history="1">
        <w:r w:rsidRPr="003B1501">
          <w:rPr>
            <w:rStyle w:val="Hipervnculo"/>
          </w:rPr>
          <w:t xml:space="preserve">694.2.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_Toc404501 \h </w:instrText>
        </w:r>
        <w:r>
          <w:rPr>
            <w:webHidden/>
          </w:rPr>
        </w:r>
        <w:r>
          <w:rPr>
            <w:webHidden/>
          </w:rPr>
          <w:fldChar w:fldCharType="separate"/>
        </w:r>
        <w:r w:rsidR="001B26B5">
          <w:rPr>
            <w:webHidden/>
          </w:rPr>
          <w:t>281</w:t>
        </w:r>
        <w:r>
          <w:rPr>
            <w:webHidden/>
          </w:rPr>
          <w:fldChar w:fldCharType="end"/>
        </w:r>
      </w:hyperlink>
    </w:p>
    <w:p w14:paraId="3BD9334D" w14:textId="77777777" w:rsidR="0006561B" w:rsidRDefault="0006561B">
      <w:pPr>
        <w:pStyle w:val="TDC2"/>
        <w:rPr>
          <w:rFonts w:asciiTheme="minorHAnsi" w:eastAsiaTheme="minorEastAsia" w:hAnsiTheme="minorHAnsi" w:cstheme="minorBidi"/>
          <w:szCs w:val="22"/>
          <w:lang w:val="es-ES" w:eastAsia="es-ES"/>
        </w:rPr>
      </w:pPr>
      <w:hyperlink w:anchor="_Toc404502" w:history="1">
        <w:r w:rsidRPr="003B1501">
          <w:rPr>
            <w:rStyle w:val="Hipervnculo"/>
          </w:rPr>
          <w:t>694.3. Materiales</w:t>
        </w:r>
        <w:r>
          <w:rPr>
            <w:webHidden/>
          </w:rPr>
          <w:tab/>
        </w:r>
        <w:r>
          <w:rPr>
            <w:webHidden/>
          </w:rPr>
          <w:fldChar w:fldCharType="begin"/>
        </w:r>
        <w:r>
          <w:rPr>
            <w:webHidden/>
          </w:rPr>
          <w:instrText xml:space="preserve"> PAGEREF _Toc404502 \h </w:instrText>
        </w:r>
        <w:r>
          <w:rPr>
            <w:webHidden/>
          </w:rPr>
        </w:r>
        <w:r>
          <w:rPr>
            <w:webHidden/>
          </w:rPr>
          <w:fldChar w:fldCharType="separate"/>
        </w:r>
        <w:r w:rsidR="001B26B5">
          <w:rPr>
            <w:webHidden/>
          </w:rPr>
          <w:t>281</w:t>
        </w:r>
        <w:r>
          <w:rPr>
            <w:webHidden/>
          </w:rPr>
          <w:fldChar w:fldCharType="end"/>
        </w:r>
      </w:hyperlink>
    </w:p>
    <w:p w14:paraId="1691F566" w14:textId="77777777" w:rsidR="0006561B" w:rsidRDefault="0006561B">
      <w:pPr>
        <w:pStyle w:val="TDC2"/>
        <w:rPr>
          <w:rFonts w:asciiTheme="minorHAnsi" w:eastAsiaTheme="minorEastAsia" w:hAnsiTheme="minorHAnsi" w:cstheme="minorBidi"/>
          <w:szCs w:val="22"/>
          <w:lang w:val="es-ES" w:eastAsia="es-ES"/>
        </w:rPr>
      </w:pPr>
      <w:hyperlink w:anchor="_Toc404503" w:history="1">
        <w:r w:rsidRPr="003B1501">
          <w:rPr>
            <w:rStyle w:val="Hipervnculo"/>
          </w:rPr>
          <w:t xml:space="preserve">694.4.  </w:t>
        </w:r>
        <w:r>
          <w:rPr>
            <w:rFonts w:asciiTheme="minorHAnsi" w:eastAsiaTheme="minorEastAsia" w:hAnsiTheme="minorHAnsi" w:cstheme="minorBidi"/>
            <w:szCs w:val="22"/>
            <w:lang w:val="es-ES" w:eastAsia="es-ES"/>
          </w:rPr>
          <w:tab/>
        </w:r>
        <w:r w:rsidRPr="003B1501">
          <w:rPr>
            <w:rStyle w:val="Hipervnculo"/>
          </w:rPr>
          <w:t>Medición y abono</w:t>
        </w:r>
        <w:r>
          <w:rPr>
            <w:webHidden/>
          </w:rPr>
          <w:tab/>
        </w:r>
        <w:r>
          <w:rPr>
            <w:webHidden/>
          </w:rPr>
          <w:fldChar w:fldCharType="begin"/>
        </w:r>
        <w:r>
          <w:rPr>
            <w:webHidden/>
          </w:rPr>
          <w:instrText xml:space="preserve"> PAGEREF _Toc404503 \h </w:instrText>
        </w:r>
        <w:r>
          <w:rPr>
            <w:webHidden/>
          </w:rPr>
        </w:r>
        <w:r>
          <w:rPr>
            <w:webHidden/>
          </w:rPr>
          <w:fldChar w:fldCharType="separate"/>
        </w:r>
        <w:r w:rsidR="001B26B5">
          <w:rPr>
            <w:webHidden/>
          </w:rPr>
          <w:t>283</w:t>
        </w:r>
        <w:r>
          <w:rPr>
            <w:webHidden/>
          </w:rPr>
          <w:fldChar w:fldCharType="end"/>
        </w:r>
      </w:hyperlink>
    </w:p>
    <w:p w14:paraId="788004F2" w14:textId="77777777" w:rsidR="0006561B" w:rsidRDefault="0006561B">
      <w:pPr>
        <w:pStyle w:val="TDC1"/>
        <w:rPr>
          <w:rFonts w:asciiTheme="minorHAnsi" w:eastAsiaTheme="minorEastAsia" w:hAnsiTheme="minorHAnsi" w:cstheme="minorBidi"/>
          <w:b w:val="0"/>
          <w:sz w:val="22"/>
          <w:szCs w:val="22"/>
          <w:lang w:val="es-ES" w:eastAsia="es-ES"/>
        </w:rPr>
      </w:pPr>
      <w:hyperlink w:anchor="_Toc404504" w:history="1">
        <w:r w:rsidRPr="003B1501">
          <w:rPr>
            <w:rStyle w:val="Hipervnculo"/>
          </w:rPr>
          <w:t>Artículo 694b. Reposición o sustitución de juntas de calzada de betún modificado.</w:t>
        </w:r>
        <w:r>
          <w:rPr>
            <w:webHidden/>
          </w:rPr>
          <w:tab/>
        </w:r>
        <w:r>
          <w:rPr>
            <w:webHidden/>
          </w:rPr>
          <w:fldChar w:fldCharType="begin"/>
        </w:r>
        <w:r>
          <w:rPr>
            <w:webHidden/>
          </w:rPr>
          <w:instrText xml:space="preserve"> PAGEREF _Toc404504 \h </w:instrText>
        </w:r>
        <w:r>
          <w:rPr>
            <w:webHidden/>
          </w:rPr>
        </w:r>
        <w:r>
          <w:rPr>
            <w:webHidden/>
          </w:rPr>
          <w:fldChar w:fldCharType="separate"/>
        </w:r>
        <w:r w:rsidR="001B26B5">
          <w:rPr>
            <w:webHidden/>
          </w:rPr>
          <w:t>284</w:t>
        </w:r>
        <w:r>
          <w:rPr>
            <w:webHidden/>
          </w:rPr>
          <w:fldChar w:fldCharType="end"/>
        </w:r>
      </w:hyperlink>
    </w:p>
    <w:p w14:paraId="624AAF46" w14:textId="77777777" w:rsidR="0006561B" w:rsidRDefault="0006561B">
      <w:pPr>
        <w:pStyle w:val="TDC2"/>
        <w:rPr>
          <w:rFonts w:asciiTheme="minorHAnsi" w:eastAsiaTheme="minorEastAsia" w:hAnsiTheme="minorHAnsi" w:cstheme="minorBidi"/>
          <w:szCs w:val="22"/>
          <w:lang w:val="es-ES" w:eastAsia="es-ES"/>
        </w:rPr>
      </w:pPr>
      <w:hyperlink w:anchor="_Toc404505" w:history="1">
        <w:r w:rsidRPr="003B1501">
          <w:rPr>
            <w:rStyle w:val="Hipervnculo"/>
          </w:rPr>
          <w:t>694b.1. Definición</w:t>
        </w:r>
        <w:r>
          <w:rPr>
            <w:webHidden/>
          </w:rPr>
          <w:tab/>
        </w:r>
        <w:r>
          <w:rPr>
            <w:webHidden/>
          </w:rPr>
          <w:fldChar w:fldCharType="begin"/>
        </w:r>
        <w:r>
          <w:rPr>
            <w:webHidden/>
          </w:rPr>
          <w:instrText xml:space="preserve"> PAGEREF _Toc404505 \h </w:instrText>
        </w:r>
        <w:r>
          <w:rPr>
            <w:webHidden/>
          </w:rPr>
        </w:r>
        <w:r>
          <w:rPr>
            <w:webHidden/>
          </w:rPr>
          <w:fldChar w:fldCharType="separate"/>
        </w:r>
        <w:r w:rsidR="001B26B5">
          <w:rPr>
            <w:webHidden/>
          </w:rPr>
          <w:t>284</w:t>
        </w:r>
        <w:r>
          <w:rPr>
            <w:webHidden/>
          </w:rPr>
          <w:fldChar w:fldCharType="end"/>
        </w:r>
      </w:hyperlink>
    </w:p>
    <w:p w14:paraId="6632F7E7" w14:textId="77777777" w:rsidR="0006561B" w:rsidRDefault="0006561B">
      <w:pPr>
        <w:pStyle w:val="TDC2"/>
        <w:rPr>
          <w:rFonts w:asciiTheme="minorHAnsi" w:eastAsiaTheme="minorEastAsia" w:hAnsiTheme="minorHAnsi" w:cstheme="minorBidi"/>
          <w:szCs w:val="22"/>
          <w:lang w:val="es-ES" w:eastAsia="es-ES"/>
        </w:rPr>
      </w:pPr>
      <w:hyperlink w:anchor="_Toc404506" w:history="1">
        <w:r w:rsidRPr="003B1501">
          <w:rPr>
            <w:rStyle w:val="Hipervnculo"/>
          </w:rPr>
          <w:t>694b.2. Aplicación</w:t>
        </w:r>
        <w:r>
          <w:rPr>
            <w:webHidden/>
          </w:rPr>
          <w:tab/>
        </w:r>
        <w:r>
          <w:rPr>
            <w:webHidden/>
          </w:rPr>
          <w:fldChar w:fldCharType="begin"/>
        </w:r>
        <w:r>
          <w:rPr>
            <w:webHidden/>
          </w:rPr>
          <w:instrText xml:space="preserve"> PAGEREF _Toc404506 \h </w:instrText>
        </w:r>
        <w:r>
          <w:rPr>
            <w:webHidden/>
          </w:rPr>
        </w:r>
        <w:r>
          <w:rPr>
            <w:webHidden/>
          </w:rPr>
          <w:fldChar w:fldCharType="separate"/>
        </w:r>
        <w:r w:rsidR="001B26B5">
          <w:rPr>
            <w:webHidden/>
          </w:rPr>
          <w:t>284</w:t>
        </w:r>
        <w:r>
          <w:rPr>
            <w:webHidden/>
          </w:rPr>
          <w:fldChar w:fldCharType="end"/>
        </w:r>
      </w:hyperlink>
    </w:p>
    <w:p w14:paraId="4C5D5333" w14:textId="77777777" w:rsidR="0006561B" w:rsidRDefault="0006561B">
      <w:pPr>
        <w:pStyle w:val="TDC2"/>
        <w:rPr>
          <w:rFonts w:asciiTheme="minorHAnsi" w:eastAsiaTheme="minorEastAsia" w:hAnsiTheme="minorHAnsi" w:cstheme="minorBidi"/>
          <w:szCs w:val="22"/>
          <w:lang w:val="es-ES" w:eastAsia="es-ES"/>
        </w:rPr>
      </w:pPr>
      <w:hyperlink w:anchor="_Toc404507" w:history="1">
        <w:r w:rsidRPr="003B1501">
          <w:rPr>
            <w:rStyle w:val="Hipervnculo"/>
          </w:rPr>
          <w:t>694b.3. Materiales</w:t>
        </w:r>
        <w:r>
          <w:rPr>
            <w:webHidden/>
          </w:rPr>
          <w:tab/>
        </w:r>
        <w:r>
          <w:rPr>
            <w:webHidden/>
          </w:rPr>
          <w:fldChar w:fldCharType="begin"/>
        </w:r>
        <w:r>
          <w:rPr>
            <w:webHidden/>
          </w:rPr>
          <w:instrText xml:space="preserve"> PAGEREF _Toc404507 \h </w:instrText>
        </w:r>
        <w:r>
          <w:rPr>
            <w:webHidden/>
          </w:rPr>
        </w:r>
        <w:r>
          <w:rPr>
            <w:webHidden/>
          </w:rPr>
          <w:fldChar w:fldCharType="separate"/>
        </w:r>
        <w:r w:rsidR="001B26B5">
          <w:rPr>
            <w:webHidden/>
          </w:rPr>
          <w:t>284</w:t>
        </w:r>
        <w:r>
          <w:rPr>
            <w:webHidden/>
          </w:rPr>
          <w:fldChar w:fldCharType="end"/>
        </w:r>
      </w:hyperlink>
    </w:p>
    <w:p w14:paraId="334DB627" w14:textId="77777777" w:rsidR="0006561B" w:rsidRDefault="0006561B">
      <w:pPr>
        <w:pStyle w:val="TDC2"/>
        <w:rPr>
          <w:rFonts w:asciiTheme="minorHAnsi" w:eastAsiaTheme="minorEastAsia" w:hAnsiTheme="minorHAnsi" w:cstheme="minorBidi"/>
          <w:szCs w:val="22"/>
          <w:lang w:val="es-ES" w:eastAsia="es-ES"/>
        </w:rPr>
      </w:pPr>
      <w:hyperlink w:anchor="_Toc404508" w:history="1">
        <w:r w:rsidRPr="003B1501">
          <w:rPr>
            <w:rStyle w:val="Hipervnculo"/>
          </w:rPr>
          <w:t>694b.5. Ejecución de las obras</w:t>
        </w:r>
        <w:r>
          <w:rPr>
            <w:webHidden/>
          </w:rPr>
          <w:tab/>
        </w:r>
        <w:r>
          <w:rPr>
            <w:webHidden/>
          </w:rPr>
          <w:fldChar w:fldCharType="begin"/>
        </w:r>
        <w:r>
          <w:rPr>
            <w:webHidden/>
          </w:rPr>
          <w:instrText xml:space="preserve"> PAGEREF _Toc404508 \h </w:instrText>
        </w:r>
        <w:r>
          <w:rPr>
            <w:webHidden/>
          </w:rPr>
        </w:r>
        <w:r>
          <w:rPr>
            <w:webHidden/>
          </w:rPr>
          <w:fldChar w:fldCharType="separate"/>
        </w:r>
        <w:r w:rsidR="001B26B5">
          <w:rPr>
            <w:webHidden/>
          </w:rPr>
          <w:t>286</w:t>
        </w:r>
        <w:r>
          <w:rPr>
            <w:webHidden/>
          </w:rPr>
          <w:fldChar w:fldCharType="end"/>
        </w:r>
      </w:hyperlink>
    </w:p>
    <w:p w14:paraId="4751BBDA" w14:textId="77777777" w:rsidR="0006561B" w:rsidRDefault="0006561B">
      <w:pPr>
        <w:pStyle w:val="TDC2"/>
        <w:rPr>
          <w:rFonts w:asciiTheme="minorHAnsi" w:eastAsiaTheme="minorEastAsia" w:hAnsiTheme="minorHAnsi" w:cstheme="minorBidi"/>
          <w:szCs w:val="22"/>
          <w:lang w:val="es-ES" w:eastAsia="es-ES"/>
        </w:rPr>
      </w:pPr>
      <w:hyperlink w:anchor="_Toc404509" w:history="1">
        <w:r w:rsidRPr="003B1501">
          <w:rPr>
            <w:rStyle w:val="Hipervnculo"/>
          </w:rPr>
          <w:t>694b.6. Recepción</w:t>
        </w:r>
        <w:r>
          <w:rPr>
            <w:webHidden/>
          </w:rPr>
          <w:tab/>
        </w:r>
        <w:r>
          <w:rPr>
            <w:webHidden/>
          </w:rPr>
          <w:fldChar w:fldCharType="begin"/>
        </w:r>
        <w:r>
          <w:rPr>
            <w:webHidden/>
          </w:rPr>
          <w:instrText xml:space="preserve"> PAGEREF _Toc404509 \h </w:instrText>
        </w:r>
        <w:r>
          <w:rPr>
            <w:webHidden/>
          </w:rPr>
        </w:r>
        <w:r>
          <w:rPr>
            <w:webHidden/>
          </w:rPr>
          <w:fldChar w:fldCharType="separate"/>
        </w:r>
        <w:r w:rsidR="001B26B5">
          <w:rPr>
            <w:webHidden/>
          </w:rPr>
          <w:t>288</w:t>
        </w:r>
        <w:r>
          <w:rPr>
            <w:webHidden/>
          </w:rPr>
          <w:fldChar w:fldCharType="end"/>
        </w:r>
      </w:hyperlink>
    </w:p>
    <w:p w14:paraId="25A07130" w14:textId="77777777" w:rsidR="0006561B" w:rsidRDefault="0006561B">
      <w:pPr>
        <w:pStyle w:val="TDC2"/>
        <w:rPr>
          <w:rFonts w:asciiTheme="minorHAnsi" w:eastAsiaTheme="minorEastAsia" w:hAnsiTheme="minorHAnsi" w:cstheme="minorBidi"/>
          <w:szCs w:val="22"/>
          <w:lang w:val="es-ES" w:eastAsia="es-ES"/>
        </w:rPr>
      </w:pPr>
      <w:hyperlink w:anchor="_Toc404510" w:history="1">
        <w:r w:rsidRPr="003B1501">
          <w:rPr>
            <w:rStyle w:val="Hipervnculo"/>
          </w:rPr>
          <w:t>694b.7. Control De Calidad</w:t>
        </w:r>
        <w:r>
          <w:rPr>
            <w:webHidden/>
          </w:rPr>
          <w:tab/>
        </w:r>
        <w:r>
          <w:rPr>
            <w:webHidden/>
          </w:rPr>
          <w:fldChar w:fldCharType="begin"/>
        </w:r>
        <w:r>
          <w:rPr>
            <w:webHidden/>
          </w:rPr>
          <w:instrText xml:space="preserve"> PAGEREF _Toc404510 \h </w:instrText>
        </w:r>
        <w:r>
          <w:rPr>
            <w:webHidden/>
          </w:rPr>
        </w:r>
        <w:r>
          <w:rPr>
            <w:webHidden/>
          </w:rPr>
          <w:fldChar w:fldCharType="separate"/>
        </w:r>
        <w:r w:rsidR="001B26B5">
          <w:rPr>
            <w:webHidden/>
          </w:rPr>
          <w:t>288</w:t>
        </w:r>
        <w:r>
          <w:rPr>
            <w:webHidden/>
          </w:rPr>
          <w:fldChar w:fldCharType="end"/>
        </w:r>
      </w:hyperlink>
    </w:p>
    <w:p w14:paraId="172313DC" w14:textId="77777777" w:rsidR="0006561B" w:rsidRDefault="0006561B">
      <w:pPr>
        <w:pStyle w:val="TDC2"/>
        <w:rPr>
          <w:rFonts w:asciiTheme="minorHAnsi" w:eastAsiaTheme="minorEastAsia" w:hAnsiTheme="minorHAnsi" w:cstheme="minorBidi"/>
          <w:szCs w:val="22"/>
          <w:lang w:val="es-ES" w:eastAsia="es-ES"/>
        </w:rPr>
      </w:pPr>
      <w:hyperlink w:anchor="_Toc404511" w:history="1">
        <w:r w:rsidRPr="003B1501">
          <w:rPr>
            <w:rStyle w:val="Hipervnculo"/>
          </w:rPr>
          <w:t>694b.8. Tratamiento De No Conformidades</w:t>
        </w:r>
        <w:r>
          <w:rPr>
            <w:webHidden/>
          </w:rPr>
          <w:tab/>
        </w:r>
        <w:r>
          <w:rPr>
            <w:webHidden/>
          </w:rPr>
          <w:fldChar w:fldCharType="begin"/>
        </w:r>
        <w:r>
          <w:rPr>
            <w:webHidden/>
          </w:rPr>
          <w:instrText xml:space="preserve"> PAGEREF _Toc404511 \h </w:instrText>
        </w:r>
        <w:r>
          <w:rPr>
            <w:webHidden/>
          </w:rPr>
        </w:r>
        <w:r>
          <w:rPr>
            <w:webHidden/>
          </w:rPr>
          <w:fldChar w:fldCharType="separate"/>
        </w:r>
        <w:r w:rsidR="001B26B5">
          <w:rPr>
            <w:webHidden/>
          </w:rPr>
          <w:t>289</w:t>
        </w:r>
        <w:r>
          <w:rPr>
            <w:webHidden/>
          </w:rPr>
          <w:fldChar w:fldCharType="end"/>
        </w:r>
      </w:hyperlink>
    </w:p>
    <w:p w14:paraId="37BD9519" w14:textId="77777777" w:rsidR="0006561B" w:rsidRDefault="0006561B">
      <w:pPr>
        <w:pStyle w:val="TDC2"/>
        <w:rPr>
          <w:rFonts w:asciiTheme="minorHAnsi" w:eastAsiaTheme="minorEastAsia" w:hAnsiTheme="minorHAnsi" w:cstheme="minorBidi"/>
          <w:szCs w:val="22"/>
          <w:lang w:val="es-ES" w:eastAsia="es-ES"/>
        </w:rPr>
      </w:pPr>
      <w:hyperlink w:anchor="_Toc404512" w:history="1">
        <w:r w:rsidRPr="003B1501">
          <w:rPr>
            <w:rStyle w:val="Hipervnculo"/>
          </w:rPr>
          <w:t>694b.9.  Medición y Abono</w:t>
        </w:r>
        <w:r>
          <w:rPr>
            <w:webHidden/>
          </w:rPr>
          <w:tab/>
        </w:r>
        <w:r>
          <w:rPr>
            <w:webHidden/>
          </w:rPr>
          <w:fldChar w:fldCharType="begin"/>
        </w:r>
        <w:r>
          <w:rPr>
            <w:webHidden/>
          </w:rPr>
          <w:instrText xml:space="preserve"> PAGEREF _Toc404512 \h </w:instrText>
        </w:r>
        <w:r>
          <w:rPr>
            <w:webHidden/>
          </w:rPr>
        </w:r>
        <w:r>
          <w:rPr>
            <w:webHidden/>
          </w:rPr>
          <w:fldChar w:fldCharType="separate"/>
        </w:r>
        <w:r w:rsidR="001B26B5">
          <w:rPr>
            <w:webHidden/>
          </w:rPr>
          <w:t>289</w:t>
        </w:r>
        <w:r>
          <w:rPr>
            <w:webHidden/>
          </w:rPr>
          <w:fldChar w:fldCharType="end"/>
        </w:r>
      </w:hyperlink>
    </w:p>
    <w:p w14:paraId="7F0DA011" w14:textId="77777777" w:rsidR="0006561B" w:rsidRDefault="0006561B">
      <w:pPr>
        <w:pStyle w:val="TDC1"/>
        <w:rPr>
          <w:rFonts w:asciiTheme="minorHAnsi" w:eastAsiaTheme="minorEastAsia" w:hAnsiTheme="minorHAnsi" w:cstheme="minorBidi"/>
          <w:b w:val="0"/>
          <w:sz w:val="22"/>
          <w:szCs w:val="22"/>
          <w:lang w:val="es-ES" w:eastAsia="es-ES"/>
        </w:rPr>
      </w:pPr>
      <w:hyperlink w:anchor="_Toc404513" w:history="1">
        <w:r w:rsidRPr="003B1501">
          <w:rPr>
            <w:rStyle w:val="Hipervnculo"/>
          </w:rPr>
          <w:t>Artículo 695. Prueba de carga</w:t>
        </w:r>
        <w:r>
          <w:rPr>
            <w:webHidden/>
          </w:rPr>
          <w:tab/>
        </w:r>
        <w:r>
          <w:rPr>
            <w:webHidden/>
          </w:rPr>
          <w:fldChar w:fldCharType="begin"/>
        </w:r>
        <w:r>
          <w:rPr>
            <w:webHidden/>
          </w:rPr>
          <w:instrText xml:space="preserve"> PAGEREF _Toc404513 \h </w:instrText>
        </w:r>
        <w:r>
          <w:rPr>
            <w:webHidden/>
          </w:rPr>
        </w:r>
        <w:r>
          <w:rPr>
            <w:webHidden/>
          </w:rPr>
          <w:fldChar w:fldCharType="separate"/>
        </w:r>
        <w:r w:rsidR="001B26B5">
          <w:rPr>
            <w:webHidden/>
          </w:rPr>
          <w:t>290</w:t>
        </w:r>
        <w:r>
          <w:rPr>
            <w:webHidden/>
          </w:rPr>
          <w:fldChar w:fldCharType="end"/>
        </w:r>
      </w:hyperlink>
    </w:p>
    <w:p w14:paraId="48C2B106" w14:textId="77777777" w:rsidR="0006561B" w:rsidRDefault="0006561B">
      <w:pPr>
        <w:pStyle w:val="TDC2"/>
        <w:rPr>
          <w:rFonts w:asciiTheme="minorHAnsi" w:eastAsiaTheme="minorEastAsia" w:hAnsiTheme="minorHAnsi" w:cstheme="minorBidi"/>
          <w:szCs w:val="22"/>
          <w:lang w:val="es-ES" w:eastAsia="es-ES"/>
        </w:rPr>
      </w:pPr>
      <w:hyperlink w:anchor="_Toc404514" w:history="1">
        <w:r w:rsidRPr="003B1501">
          <w:rPr>
            <w:rStyle w:val="Hipervnculo"/>
          </w:rPr>
          <w:t>695.1.  Definición y aplicación</w:t>
        </w:r>
        <w:r>
          <w:rPr>
            <w:webHidden/>
          </w:rPr>
          <w:tab/>
        </w:r>
        <w:r>
          <w:rPr>
            <w:webHidden/>
          </w:rPr>
          <w:fldChar w:fldCharType="begin"/>
        </w:r>
        <w:r>
          <w:rPr>
            <w:webHidden/>
          </w:rPr>
          <w:instrText xml:space="preserve"> PAGEREF _Toc404514 \h </w:instrText>
        </w:r>
        <w:r>
          <w:rPr>
            <w:webHidden/>
          </w:rPr>
        </w:r>
        <w:r>
          <w:rPr>
            <w:webHidden/>
          </w:rPr>
          <w:fldChar w:fldCharType="separate"/>
        </w:r>
        <w:r w:rsidR="001B26B5">
          <w:rPr>
            <w:webHidden/>
          </w:rPr>
          <w:t>290</w:t>
        </w:r>
        <w:r>
          <w:rPr>
            <w:webHidden/>
          </w:rPr>
          <w:fldChar w:fldCharType="end"/>
        </w:r>
      </w:hyperlink>
    </w:p>
    <w:p w14:paraId="700E0EF7" w14:textId="77777777" w:rsidR="0006561B" w:rsidRDefault="0006561B">
      <w:pPr>
        <w:pStyle w:val="TDC2"/>
        <w:rPr>
          <w:rFonts w:asciiTheme="minorHAnsi" w:eastAsiaTheme="minorEastAsia" w:hAnsiTheme="minorHAnsi" w:cstheme="minorBidi"/>
          <w:szCs w:val="22"/>
          <w:lang w:val="es-ES" w:eastAsia="es-ES"/>
        </w:rPr>
      </w:pPr>
      <w:hyperlink w:anchor="_Toc404515" w:history="1">
        <w:r w:rsidRPr="003B1501">
          <w:rPr>
            <w:rStyle w:val="Hipervnculo"/>
          </w:rPr>
          <w:t xml:space="preserve">695.2.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_Toc404515 \h </w:instrText>
        </w:r>
        <w:r>
          <w:rPr>
            <w:webHidden/>
          </w:rPr>
        </w:r>
        <w:r>
          <w:rPr>
            <w:webHidden/>
          </w:rPr>
          <w:fldChar w:fldCharType="separate"/>
        </w:r>
        <w:r w:rsidR="001B26B5">
          <w:rPr>
            <w:webHidden/>
          </w:rPr>
          <w:t>290</w:t>
        </w:r>
        <w:r>
          <w:rPr>
            <w:webHidden/>
          </w:rPr>
          <w:fldChar w:fldCharType="end"/>
        </w:r>
      </w:hyperlink>
    </w:p>
    <w:p w14:paraId="66610720" w14:textId="77777777" w:rsidR="0006561B" w:rsidRDefault="0006561B">
      <w:pPr>
        <w:pStyle w:val="TDC2"/>
        <w:rPr>
          <w:rFonts w:asciiTheme="minorHAnsi" w:eastAsiaTheme="minorEastAsia" w:hAnsiTheme="minorHAnsi" w:cstheme="minorBidi"/>
          <w:szCs w:val="22"/>
          <w:lang w:val="es-ES" w:eastAsia="es-ES"/>
        </w:rPr>
      </w:pPr>
      <w:hyperlink w:anchor="_Toc404516" w:history="1">
        <w:r w:rsidRPr="003B1501">
          <w:rPr>
            <w:rStyle w:val="Hipervnculo"/>
          </w:rPr>
          <w:t xml:space="preserve">695.3. </w:t>
        </w:r>
        <w:r>
          <w:rPr>
            <w:rFonts w:asciiTheme="minorHAnsi" w:eastAsiaTheme="minorEastAsia" w:hAnsiTheme="minorHAnsi" w:cstheme="minorBidi"/>
            <w:szCs w:val="22"/>
            <w:lang w:val="es-ES" w:eastAsia="es-ES"/>
          </w:rPr>
          <w:tab/>
        </w:r>
        <w:r w:rsidRPr="003B1501">
          <w:rPr>
            <w:rStyle w:val="Hipervnculo"/>
          </w:rPr>
          <w:t>Ejecución de la prueba</w:t>
        </w:r>
        <w:r>
          <w:rPr>
            <w:webHidden/>
          </w:rPr>
          <w:tab/>
        </w:r>
        <w:r>
          <w:rPr>
            <w:webHidden/>
          </w:rPr>
          <w:fldChar w:fldCharType="begin"/>
        </w:r>
        <w:r>
          <w:rPr>
            <w:webHidden/>
          </w:rPr>
          <w:instrText xml:space="preserve"> PAGEREF _Toc404516 \h </w:instrText>
        </w:r>
        <w:r>
          <w:rPr>
            <w:webHidden/>
          </w:rPr>
        </w:r>
        <w:r>
          <w:rPr>
            <w:webHidden/>
          </w:rPr>
          <w:fldChar w:fldCharType="separate"/>
        </w:r>
        <w:r w:rsidR="001B26B5">
          <w:rPr>
            <w:webHidden/>
          </w:rPr>
          <w:t>290</w:t>
        </w:r>
        <w:r>
          <w:rPr>
            <w:webHidden/>
          </w:rPr>
          <w:fldChar w:fldCharType="end"/>
        </w:r>
      </w:hyperlink>
    </w:p>
    <w:p w14:paraId="335B37F5" w14:textId="77777777" w:rsidR="0006561B" w:rsidRDefault="0006561B">
      <w:pPr>
        <w:pStyle w:val="TDC2"/>
        <w:rPr>
          <w:rFonts w:asciiTheme="minorHAnsi" w:eastAsiaTheme="minorEastAsia" w:hAnsiTheme="minorHAnsi" w:cstheme="minorBidi"/>
          <w:szCs w:val="22"/>
          <w:lang w:val="es-ES" w:eastAsia="es-ES"/>
        </w:rPr>
      </w:pPr>
      <w:hyperlink w:anchor="_Toc404517" w:history="1">
        <w:r w:rsidRPr="003B1501">
          <w:rPr>
            <w:rStyle w:val="Hipervnculo"/>
          </w:rPr>
          <w:t>695.4.</w:t>
        </w:r>
        <w:r>
          <w:rPr>
            <w:rFonts w:asciiTheme="minorHAnsi" w:eastAsiaTheme="minorEastAsia" w:hAnsiTheme="minorHAnsi" w:cstheme="minorBidi"/>
            <w:szCs w:val="22"/>
            <w:lang w:val="es-ES" w:eastAsia="es-ES"/>
          </w:rPr>
          <w:tab/>
        </w:r>
        <w:r w:rsidRPr="003B1501">
          <w:rPr>
            <w:rStyle w:val="Hipervnculo"/>
          </w:rPr>
          <w:t xml:space="preserve"> Medición y abono</w:t>
        </w:r>
        <w:r>
          <w:rPr>
            <w:webHidden/>
          </w:rPr>
          <w:tab/>
        </w:r>
        <w:r>
          <w:rPr>
            <w:webHidden/>
          </w:rPr>
          <w:fldChar w:fldCharType="begin"/>
        </w:r>
        <w:r>
          <w:rPr>
            <w:webHidden/>
          </w:rPr>
          <w:instrText xml:space="preserve"> PAGEREF _Toc404517 \h </w:instrText>
        </w:r>
        <w:r>
          <w:rPr>
            <w:webHidden/>
          </w:rPr>
        </w:r>
        <w:r>
          <w:rPr>
            <w:webHidden/>
          </w:rPr>
          <w:fldChar w:fldCharType="separate"/>
        </w:r>
        <w:r w:rsidR="001B26B5">
          <w:rPr>
            <w:webHidden/>
          </w:rPr>
          <w:t>291</w:t>
        </w:r>
        <w:r>
          <w:rPr>
            <w:webHidden/>
          </w:rPr>
          <w:fldChar w:fldCharType="end"/>
        </w:r>
      </w:hyperlink>
    </w:p>
    <w:p w14:paraId="4D7E89F8" w14:textId="77777777" w:rsidR="0006561B" w:rsidRDefault="0006561B">
      <w:pPr>
        <w:pStyle w:val="TDC1"/>
        <w:rPr>
          <w:rFonts w:asciiTheme="minorHAnsi" w:eastAsiaTheme="minorEastAsia" w:hAnsiTheme="minorHAnsi" w:cstheme="minorBidi"/>
          <w:b w:val="0"/>
          <w:sz w:val="22"/>
          <w:szCs w:val="22"/>
          <w:lang w:val="es-ES" w:eastAsia="es-ES"/>
        </w:rPr>
      </w:pPr>
      <w:hyperlink w:anchor="_Toc404518" w:history="1">
        <w:r w:rsidRPr="003B1501">
          <w:rPr>
            <w:rStyle w:val="Hipervnculo"/>
          </w:rPr>
          <w:t>Artículo 696. Picado de superficies deterioradas del hormigón</w:t>
        </w:r>
        <w:r>
          <w:rPr>
            <w:webHidden/>
          </w:rPr>
          <w:tab/>
        </w:r>
        <w:r>
          <w:rPr>
            <w:webHidden/>
          </w:rPr>
          <w:fldChar w:fldCharType="begin"/>
        </w:r>
        <w:r>
          <w:rPr>
            <w:webHidden/>
          </w:rPr>
          <w:instrText xml:space="preserve"> PAGEREF _Toc404518 \h </w:instrText>
        </w:r>
        <w:r>
          <w:rPr>
            <w:webHidden/>
          </w:rPr>
        </w:r>
        <w:r>
          <w:rPr>
            <w:webHidden/>
          </w:rPr>
          <w:fldChar w:fldCharType="separate"/>
        </w:r>
        <w:r w:rsidR="001B26B5">
          <w:rPr>
            <w:webHidden/>
          </w:rPr>
          <w:t>292</w:t>
        </w:r>
        <w:r>
          <w:rPr>
            <w:webHidden/>
          </w:rPr>
          <w:fldChar w:fldCharType="end"/>
        </w:r>
      </w:hyperlink>
    </w:p>
    <w:p w14:paraId="0A7FD261" w14:textId="77777777" w:rsidR="0006561B" w:rsidRDefault="0006561B">
      <w:pPr>
        <w:pStyle w:val="TDC2"/>
        <w:rPr>
          <w:rFonts w:asciiTheme="minorHAnsi" w:eastAsiaTheme="minorEastAsia" w:hAnsiTheme="minorHAnsi" w:cstheme="minorBidi"/>
          <w:szCs w:val="22"/>
          <w:lang w:val="es-ES" w:eastAsia="es-ES"/>
        </w:rPr>
      </w:pPr>
      <w:hyperlink w:anchor="_Toc404519" w:history="1">
        <w:r w:rsidRPr="003B1501">
          <w:rPr>
            <w:rStyle w:val="Hipervnculo"/>
          </w:rPr>
          <w:t xml:space="preserve">696.1.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_Toc404519 \h </w:instrText>
        </w:r>
        <w:r>
          <w:rPr>
            <w:webHidden/>
          </w:rPr>
        </w:r>
        <w:r>
          <w:rPr>
            <w:webHidden/>
          </w:rPr>
          <w:fldChar w:fldCharType="separate"/>
        </w:r>
        <w:r w:rsidR="001B26B5">
          <w:rPr>
            <w:webHidden/>
          </w:rPr>
          <w:t>292</w:t>
        </w:r>
        <w:r>
          <w:rPr>
            <w:webHidden/>
          </w:rPr>
          <w:fldChar w:fldCharType="end"/>
        </w:r>
      </w:hyperlink>
    </w:p>
    <w:p w14:paraId="64B67A33" w14:textId="77777777" w:rsidR="0006561B" w:rsidRDefault="0006561B">
      <w:pPr>
        <w:pStyle w:val="TDC2"/>
        <w:rPr>
          <w:rFonts w:asciiTheme="minorHAnsi" w:eastAsiaTheme="minorEastAsia" w:hAnsiTheme="minorHAnsi" w:cstheme="minorBidi"/>
          <w:szCs w:val="22"/>
          <w:lang w:val="es-ES" w:eastAsia="es-ES"/>
        </w:rPr>
      </w:pPr>
      <w:hyperlink w:anchor="_Toc404520" w:history="1">
        <w:r w:rsidRPr="003B1501">
          <w:rPr>
            <w:rStyle w:val="Hipervnculo"/>
          </w:rPr>
          <w:t xml:space="preserve">696.2.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_Toc404520 \h </w:instrText>
        </w:r>
        <w:r>
          <w:rPr>
            <w:webHidden/>
          </w:rPr>
        </w:r>
        <w:r>
          <w:rPr>
            <w:webHidden/>
          </w:rPr>
          <w:fldChar w:fldCharType="separate"/>
        </w:r>
        <w:r w:rsidR="001B26B5">
          <w:rPr>
            <w:webHidden/>
          </w:rPr>
          <w:t>292</w:t>
        </w:r>
        <w:r>
          <w:rPr>
            <w:webHidden/>
          </w:rPr>
          <w:fldChar w:fldCharType="end"/>
        </w:r>
      </w:hyperlink>
    </w:p>
    <w:p w14:paraId="477AE1C0" w14:textId="77777777" w:rsidR="0006561B" w:rsidRDefault="0006561B">
      <w:pPr>
        <w:pStyle w:val="TDC2"/>
        <w:rPr>
          <w:rFonts w:asciiTheme="minorHAnsi" w:eastAsiaTheme="minorEastAsia" w:hAnsiTheme="minorHAnsi" w:cstheme="minorBidi"/>
          <w:szCs w:val="22"/>
          <w:lang w:val="es-ES" w:eastAsia="es-ES"/>
        </w:rPr>
      </w:pPr>
      <w:hyperlink w:anchor="_Toc404521" w:history="1">
        <w:r w:rsidRPr="003B1501">
          <w:rPr>
            <w:rStyle w:val="Hipervnculo"/>
          </w:rPr>
          <w:t xml:space="preserve">696.3.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_Toc404521 \h </w:instrText>
        </w:r>
        <w:r>
          <w:rPr>
            <w:webHidden/>
          </w:rPr>
        </w:r>
        <w:r>
          <w:rPr>
            <w:webHidden/>
          </w:rPr>
          <w:fldChar w:fldCharType="separate"/>
        </w:r>
        <w:r w:rsidR="001B26B5">
          <w:rPr>
            <w:webHidden/>
          </w:rPr>
          <w:t>292</w:t>
        </w:r>
        <w:r>
          <w:rPr>
            <w:webHidden/>
          </w:rPr>
          <w:fldChar w:fldCharType="end"/>
        </w:r>
      </w:hyperlink>
    </w:p>
    <w:p w14:paraId="503359D1" w14:textId="77777777" w:rsidR="0006561B" w:rsidRDefault="0006561B">
      <w:pPr>
        <w:pStyle w:val="TDC2"/>
        <w:rPr>
          <w:rFonts w:asciiTheme="minorHAnsi" w:eastAsiaTheme="minorEastAsia" w:hAnsiTheme="minorHAnsi" w:cstheme="minorBidi"/>
          <w:szCs w:val="22"/>
          <w:lang w:val="es-ES" w:eastAsia="es-ES"/>
        </w:rPr>
      </w:pPr>
      <w:hyperlink w:anchor="_Toc404522" w:history="1">
        <w:r w:rsidRPr="003B1501">
          <w:rPr>
            <w:rStyle w:val="Hipervnculo"/>
          </w:rPr>
          <w:t xml:space="preserve">696.4.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_Toc404522 \h </w:instrText>
        </w:r>
        <w:r>
          <w:rPr>
            <w:webHidden/>
          </w:rPr>
        </w:r>
        <w:r>
          <w:rPr>
            <w:webHidden/>
          </w:rPr>
          <w:fldChar w:fldCharType="separate"/>
        </w:r>
        <w:r w:rsidR="001B26B5">
          <w:rPr>
            <w:webHidden/>
          </w:rPr>
          <w:t>292</w:t>
        </w:r>
        <w:r>
          <w:rPr>
            <w:webHidden/>
          </w:rPr>
          <w:fldChar w:fldCharType="end"/>
        </w:r>
      </w:hyperlink>
    </w:p>
    <w:p w14:paraId="5D098350" w14:textId="77777777" w:rsidR="0006561B" w:rsidRDefault="0006561B">
      <w:pPr>
        <w:pStyle w:val="TDC2"/>
        <w:rPr>
          <w:rFonts w:asciiTheme="minorHAnsi" w:eastAsiaTheme="minorEastAsia" w:hAnsiTheme="minorHAnsi" w:cstheme="minorBidi"/>
          <w:szCs w:val="22"/>
          <w:lang w:val="es-ES" w:eastAsia="es-ES"/>
        </w:rPr>
      </w:pPr>
      <w:hyperlink w:anchor="_Toc404523" w:history="1">
        <w:r>
          <w:rPr>
            <w:rStyle w:val="Hipervnculo"/>
          </w:rPr>
          <w:t>696.5</w:t>
        </w:r>
        <w:r>
          <w:rPr>
            <w:rStyle w:val="Hipervnculo"/>
          </w:rPr>
          <w:tab/>
          <w:t>.</w:t>
        </w:r>
        <w:r>
          <w:rPr>
            <w:rStyle w:val="Hipervnculo"/>
          </w:rPr>
          <w:tab/>
        </w:r>
        <w:r w:rsidRPr="003B1501">
          <w:rPr>
            <w:rStyle w:val="Hipervnculo"/>
          </w:rPr>
          <w:t>Recepción</w:t>
        </w:r>
        <w:r>
          <w:rPr>
            <w:webHidden/>
          </w:rPr>
          <w:tab/>
        </w:r>
        <w:r>
          <w:rPr>
            <w:webHidden/>
          </w:rPr>
          <w:fldChar w:fldCharType="begin"/>
        </w:r>
        <w:r>
          <w:rPr>
            <w:webHidden/>
          </w:rPr>
          <w:instrText xml:space="preserve"> PAGEREF _Toc404523 \h </w:instrText>
        </w:r>
        <w:r>
          <w:rPr>
            <w:webHidden/>
          </w:rPr>
        </w:r>
        <w:r>
          <w:rPr>
            <w:webHidden/>
          </w:rPr>
          <w:fldChar w:fldCharType="separate"/>
        </w:r>
        <w:r w:rsidR="001B26B5">
          <w:rPr>
            <w:webHidden/>
          </w:rPr>
          <w:t>294</w:t>
        </w:r>
        <w:r>
          <w:rPr>
            <w:webHidden/>
          </w:rPr>
          <w:fldChar w:fldCharType="end"/>
        </w:r>
      </w:hyperlink>
    </w:p>
    <w:p w14:paraId="50FF6C7A" w14:textId="77777777" w:rsidR="0006561B" w:rsidRDefault="0006561B">
      <w:pPr>
        <w:pStyle w:val="TDC2"/>
        <w:rPr>
          <w:rFonts w:asciiTheme="minorHAnsi" w:eastAsiaTheme="minorEastAsia" w:hAnsiTheme="minorHAnsi" w:cstheme="minorBidi"/>
          <w:szCs w:val="22"/>
          <w:lang w:val="es-ES" w:eastAsia="es-ES"/>
        </w:rPr>
      </w:pPr>
      <w:hyperlink w:anchor="_Toc404524" w:history="1">
        <w:r>
          <w:rPr>
            <w:rStyle w:val="Hipervnculo"/>
          </w:rPr>
          <w:t>696.7</w:t>
        </w:r>
        <w:r>
          <w:rPr>
            <w:rStyle w:val="Hipervnculo"/>
          </w:rPr>
          <w:tab/>
        </w:r>
        <w:r>
          <w:rPr>
            <w:rStyle w:val="Hipervnculo"/>
          </w:rPr>
          <w:tab/>
          <w:t>Control de calidad</w:t>
        </w:r>
        <w:r>
          <w:rPr>
            <w:webHidden/>
          </w:rPr>
          <w:tab/>
        </w:r>
        <w:r>
          <w:rPr>
            <w:webHidden/>
          </w:rPr>
          <w:fldChar w:fldCharType="begin"/>
        </w:r>
        <w:r>
          <w:rPr>
            <w:webHidden/>
          </w:rPr>
          <w:instrText xml:space="preserve"> PAGEREF _Toc404524 \h </w:instrText>
        </w:r>
        <w:r>
          <w:rPr>
            <w:webHidden/>
          </w:rPr>
        </w:r>
        <w:r>
          <w:rPr>
            <w:webHidden/>
          </w:rPr>
          <w:fldChar w:fldCharType="separate"/>
        </w:r>
        <w:r w:rsidR="001B26B5">
          <w:rPr>
            <w:webHidden/>
          </w:rPr>
          <w:t>294</w:t>
        </w:r>
        <w:r>
          <w:rPr>
            <w:webHidden/>
          </w:rPr>
          <w:fldChar w:fldCharType="end"/>
        </w:r>
      </w:hyperlink>
    </w:p>
    <w:p w14:paraId="71F16B0B" w14:textId="77777777" w:rsidR="0006561B" w:rsidRDefault="0006561B">
      <w:pPr>
        <w:pStyle w:val="TDC2"/>
        <w:rPr>
          <w:rFonts w:asciiTheme="minorHAnsi" w:eastAsiaTheme="minorEastAsia" w:hAnsiTheme="minorHAnsi" w:cstheme="minorBidi"/>
          <w:szCs w:val="22"/>
          <w:lang w:val="es-ES" w:eastAsia="es-ES"/>
        </w:rPr>
      </w:pPr>
      <w:hyperlink w:anchor="_Toc404525" w:history="1">
        <w:r>
          <w:rPr>
            <w:rStyle w:val="Hipervnculo"/>
          </w:rPr>
          <w:t>696.8</w:t>
        </w:r>
        <w:r w:rsidRPr="003B1501">
          <w:rPr>
            <w:rStyle w:val="Hipervnculo"/>
          </w:rPr>
          <w:t>. Tratamiento de no conformidades</w:t>
        </w:r>
        <w:r>
          <w:rPr>
            <w:webHidden/>
          </w:rPr>
          <w:tab/>
        </w:r>
        <w:r>
          <w:rPr>
            <w:webHidden/>
          </w:rPr>
          <w:fldChar w:fldCharType="begin"/>
        </w:r>
        <w:r>
          <w:rPr>
            <w:webHidden/>
          </w:rPr>
          <w:instrText xml:space="preserve"> PAGEREF _Toc404525 \h </w:instrText>
        </w:r>
        <w:r>
          <w:rPr>
            <w:webHidden/>
          </w:rPr>
        </w:r>
        <w:r>
          <w:rPr>
            <w:webHidden/>
          </w:rPr>
          <w:fldChar w:fldCharType="separate"/>
        </w:r>
        <w:r w:rsidR="001B26B5">
          <w:rPr>
            <w:webHidden/>
          </w:rPr>
          <w:t>294</w:t>
        </w:r>
        <w:r>
          <w:rPr>
            <w:webHidden/>
          </w:rPr>
          <w:fldChar w:fldCharType="end"/>
        </w:r>
      </w:hyperlink>
    </w:p>
    <w:p w14:paraId="55A48652" w14:textId="77777777" w:rsidR="0006561B" w:rsidRDefault="0006561B">
      <w:pPr>
        <w:pStyle w:val="TDC2"/>
        <w:rPr>
          <w:rFonts w:asciiTheme="minorHAnsi" w:eastAsiaTheme="minorEastAsia" w:hAnsiTheme="minorHAnsi" w:cstheme="minorBidi"/>
          <w:szCs w:val="22"/>
          <w:lang w:val="es-ES" w:eastAsia="es-ES"/>
        </w:rPr>
      </w:pPr>
      <w:hyperlink w:anchor="_Toc404526" w:history="1">
        <w:r w:rsidRPr="003B1501">
          <w:rPr>
            <w:rStyle w:val="Hipervnculo"/>
          </w:rPr>
          <w:t>696.</w:t>
        </w:r>
        <w:r>
          <w:rPr>
            <w:rStyle w:val="Hipervnculo"/>
          </w:rPr>
          <w:t>9</w:t>
        </w:r>
        <w:r w:rsidRPr="003B1501">
          <w:rPr>
            <w:rStyle w:val="Hipervnculo"/>
          </w:rPr>
          <w:t>. Medición y abono</w:t>
        </w:r>
        <w:r>
          <w:rPr>
            <w:webHidden/>
          </w:rPr>
          <w:tab/>
        </w:r>
        <w:r>
          <w:rPr>
            <w:webHidden/>
          </w:rPr>
          <w:fldChar w:fldCharType="begin"/>
        </w:r>
        <w:r>
          <w:rPr>
            <w:webHidden/>
          </w:rPr>
          <w:instrText xml:space="preserve"> PAGEREF _Toc404526 \h </w:instrText>
        </w:r>
        <w:r>
          <w:rPr>
            <w:webHidden/>
          </w:rPr>
        </w:r>
        <w:r>
          <w:rPr>
            <w:webHidden/>
          </w:rPr>
          <w:fldChar w:fldCharType="separate"/>
        </w:r>
        <w:r w:rsidR="001B26B5">
          <w:rPr>
            <w:webHidden/>
          </w:rPr>
          <w:t>294</w:t>
        </w:r>
        <w:r>
          <w:rPr>
            <w:webHidden/>
          </w:rPr>
          <w:fldChar w:fldCharType="end"/>
        </w:r>
      </w:hyperlink>
    </w:p>
    <w:p w14:paraId="23C1E569" w14:textId="77777777" w:rsidR="0006561B" w:rsidRDefault="0006561B">
      <w:pPr>
        <w:pStyle w:val="TDC1"/>
        <w:rPr>
          <w:rFonts w:asciiTheme="minorHAnsi" w:eastAsiaTheme="minorEastAsia" w:hAnsiTheme="minorHAnsi" w:cstheme="minorBidi"/>
          <w:b w:val="0"/>
          <w:sz w:val="22"/>
          <w:szCs w:val="22"/>
          <w:lang w:val="es-ES" w:eastAsia="es-ES"/>
        </w:rPr>
      </w:pPr>
      <w:hyperlink w:anchor="_Toc404527" w:history="1">
        <w:r w:rsidRPr="003B1501">
          <w:rPr>
            <w:rStyle w:val="Hipervnculo"/>
          </w:rPr>
          <w:t>Artículo 697. Imposta metálica</w:t>
        </w:r>
        <w:r>
          <w:rPr>
            <w:webHidden/>
          </w:rPr>
          <w:tab/>
        </w:r>
        <w:r>
          <w:rPr>
            <w:webHidden/>
          </w:rPr>
          <w:fldChar w:fldCharType="begin"/>
        </w:r>
        <w:r>
          <w:rPr>
            <w:webHidden/>
          </w:rPr>
          <w:instrText xml:space="preserve"> PAGEREF _Toc404527 \h </w:instrText>
        </w:r>
        <w:r>
          <w:rPr>
            <w:webHidden/>
          </w:rPr>
        </w:r>
        <w:r>
          <w:rPr>
            <w:webHidden/>
          </w:rPr>
          <w:fldChar w:fldCharType="separate"/>
        </w:r>
        <w:r w:rsidR="001B26B5">
          <w:rPr>
            <w:webHidden/>
          </w:rPr>
          <w:t>295</w:t>
        </w:r>
        <w:r>
          <w:rPr>
            <w:webHidden/>
          </w:rPr>
          <w:fldChar w:fldCharType="end"/>
        </w:r>
      </w:hyperlink>
    </w:p>
    <w:p w14:paraId="608ABD04" w14:textId="77777777" w:rsidR="0006561B" w:rsidRDefault="0006561B">
      <w:pPr>
        <w:pStyle w:val="TDC2"/>
        <w:rPr>
          <w:rFonts w:asciiTheme="minorHAnsi" w:eastAsiaTheme="minorEastAsia" w:hAnsiTheme="minorHAnsi" w:cstheme="minorBidi"/>
          <w:szCs w:val="22"/>
          <w:lang w:val="es-ES" w:eastAsia="es-ES"/>
        </w:rPr>
      </w:pPr>
      <w:hyperlink w:anchor="_Toc404528" w:history="1">
        <w:r w:rsidRPr="003B1501">
          <w:rPr>
            <w:rStyle w:val="Hipervnculo"/>
          </w:rPr>
          <w:t xml:space="preserve">697.1.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_Toc404528 \h </w:instrText>
        </w:r>
        <w:r>
          <w:rPr>
            <w:webHidden/>
          </w:rPr>
        </w:r>
        <w:r>
          <w:rPr>
            <w:webHidden/>
          </w:rPr>
          <w:fldChar w:fldCharType="separate"/>
        </w:r>
        <w:r w:rsidR="001B26B5">
          <w:rPr>
            <w:webHidden/>
          </w:rPr>
          <w:t>295</w:t>
        </w:r>
        <w:r>
          <w:rPr>
            <w:webHidden/>
          </w:rPr>
          <w:fldChar w:fldCharType="end"/>
        </w:r>
      </w:hyperlink>
    </w:p>
    <w:p w14:paraId="4582346B" w14:textId="77777777" w:rsidR="0006561B" w:rsidRDefault="0006561B">
      <w:pPr>
        <w:pStyle w:val="TDC2"/>
        <w:rPr>
          <w:rFonts w:asciiTheme="minorHAnsi" w:eastAsiaTheme="minorEastAsia" w:hAnsiTheme="minorHAnsi" w:cstheme="minorBidi"/>
          <w:szCs w:val="22"/>
          <w:lang w:val="es-ES" w:eastAsia="es-ES"/>
        </w:rPr>
      </w:pPr>
      <w:hyperlink w:anchor="_Toc404529" w:history="1">
        <w:r w:rsidRPr="003B1501">
          <w:rPr>
            <w:rStyle w:val="Hipervnculo"/>
          </w:rPr>
          <w:t xml:space="preserve">697.2.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_Toc404529 \h </w:instrText>
        </w:r>
        <w:r>
          <w:rPr>
            <w:webHidden/>
          </w:rPr>
        </w:r>
        <w:r>
          <w:rPr>
            <w:webHidden/>
          </w:rPr>
          <w:fldChar w:fldCharType="separate"/>
        </w:r>
        <w:r w:rsidR="001B26B5">
          <w:rPr>
            <w:webHidden/>
          </w:rPr>
          <w:t>295</w:t>
        </w:r>
        <w:r>
          <w:rPr>
            <w:webHidden/>
          </w:rPr>
          <w:fldChar w:fldCharType="end"/>
        </w:r>
      </w:hyperlink>
    </w:p>
    <w:p w14:paraId="2F21D147" w14:textId="77777777" w:rsidR="0006561B" w:rsidRDefault="0006561B">
      <w:pPr>
        <w:pStyle w:val="TDC2"/>
        <w:rPr>
          <w:rFonts w:asciiTheme="minorHAnsi" w:eastAsiaTheme="minorEastAsia" w:hAnsiTheme="minorHAnsi" w:cstheme="minorBidi"/>
          <w:szCs w:val="22"/>
          <w:lang w:val="es-ES" w:eastAsia="es-ES"/>
        </w:rPr>
      </w:pPr>
      <w:hyperlink w:anchor="_Toc404530" w:history="1">
        <w:r w:rsidRPr="003B1501">
          <w:rPr>
            <w:rStyle w:val="Hipervnculo"/>
          </w:rPr>
          <w:t xml:space="preserve">697.3.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_Toc404530 \h </w:instrText>
        </w:r>
        <w:r>
          <w:rPr>
            <w:webHidden/>
          </w:rPr>
        </w:r>
        <w:r>
          <w:rPr>
            <w:webHidden/>
          </w:rPr>
          <w:fldChar w:fldCharType="separate"/>
        </w:r>
        <w:r w:rsidR="001B26B5">
          <w:rPr>
            <w:webHidden/>
          </w:rPr>
          <w:t>295</w:t>
        </w:r>
        <w:r>
          <w:rPr>
            <w:webHidden/>
          </w:rPr>
          <w:fldChar w:fldCharType="end"/>
        </w:r>
      </w:hyperlink>
    </w:p>
    <w:p w14:paraId="3F66538E" w14:textId="77777777" w:rsidR="0006561B" w:rsidRDefault="0006561B">
      <w:pPr>
        <w:pStyle w:val="TDC2"/>
        <w:rPr>
          <w:rFonts w:asciiTheme="minorHAnsi" w:eastAsiaTheme="minorEastAsia" w:hAnsiTheme="minorHAnsi" w:cstheme="minorBidi"/>
          <w:szCs w:val="22"/>
          <w:lang w:val="es-ES" w:eastAsia="es-ES"/>
        </w:rPr>
      </w:pPr>
      <w:hyperlink w:anchor="_Toc404531" w:history="1">
        <w:r w:rsidRPr="003B1501">
          <w:rPr>
            <w:rStyle w:val="Hipervnculo"/>
          </w:rPr>
          <w:t xml:space="preserve">697.4.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_Toc404531 \h </w:instrText>
        </w:r>
        <w:r>
          <w:rPr>
            <w:webHidden/>
          </w:rPr>
        </w:r>
        <w:r>
          <w:rPr>
            <w:webHidden/>
          </w:rPr>
          <w:fldChar w:fldCharType="separate"/>
        </w:r>
        <w:r w:rsidR="001B26B5">
          <w:rPr>
            <w:webHidden/>
          </w:rPr>
          <w:t>295</w:t>
        </w:r>
        <w:r>
          <w:rPr>
            <w:webHidden/>
          </w:rPr>
          <w:fldChar w:fldCharType="end"/>
        </w:r>
      </w:hyperlink>
    </w:p>
    <w:p w14:paraId="53A0425B" w14:textId="77777777" w:rsidR="0006561B" w:rsidRDefault="0006561B">
      <w:pPr>
        <w:pStyle w:val="TDC2"/>
        <w:rPr>
          <w:rFonts w:asciiTheme="minorHAnsi" w:eastAsiaTheme="minorEastAsia" w:hAnsiTheme="minorHAnsi" w:cstheme="minorBidi"/>
          <w:szCs w:val="22"/>
          <w:lang w:val="es-ES" w:eastAsia="es-ES"/>
        </w:rPr>
      </w:pPr>
      <w:hyperlink w:anchor="_Toc404532" w:history="1">
        <w:r w:rsidRPr="003B1501">
          <w:rPr>
            <w:rStyle w:val="Hipervnculo"/>
          </w:rPr>
          <w:t>697.5. Medición y abono</w:t>
        </w:r>
        <w:r>
          <w:rPr>
            <w:webHidden/>
          </w:rPr>
          <w:tab/>
        </w:r>
        <w:r>
          <w:rPr>
            <w:webHidden/>
          </w:rPr>
          <w:fldChar w:fldCharType="begin"/>
        </w:r>
        <w:r>
          <w:rPr>
            <w:webHidden/>
          </w:rPr>
          <w:instrText xml:space="preserve"> PAGEREF _Toc404532 \h </w:instrText>
        </w:r>
        <w:r>
          <w:rPr>
            <w:webHidden/>
          </w:rPr>
        </w:r>
        <w:r>
          <w:rPr>
            <w:webHidden/>
          </w:rPr>
          <w:fldChar w:fldCharType="separate"/>
        </w:r>
        <w:r w:rsidR="001B26B5">
          <w:rPr>
            <w:webHidden/>
          </w:rPr>
          <w:t>295</w:t>
        </w:r>
        <w:r>
          <w:rPr>
            <w:webHidden/>
          </w:rPr>
          <w:fldChar w:fldCharType="end"/>
        </w:r>
      </w:hyperlink>
    </w:p>
    <w:p w14:paraId="461E79BF" w14:textId="77777777" w:rsidR="0006561B" w:rsidRDefault="0006561B">
      <w:pPr>
        <w:pStyle w:val="TDC1"/>
        <w:rPr>
          <w:rFonts w:asciiTheme="minorHAnsi" w:eastAsiaTheme="minorEastAsia" w:hAnsiTheme="minorHAnsi" w:cstheme="minorBidi"/>
          <w:b w:val="0"/>
          <w:sz w:val="22"/>
          <w:szCs w:val="22"/>
          <w:lang w:val="es-ES" w:eastAsia="es-ES"/>
        </w:rPr>
      </w:pPr>
      <w:hyperlink w:anchor="_Toc404533" w:history="1">
        <w:r w:rsidRPr="003B1501">
          <w:rPr>
            <w:rStyle w:val="Hipervnculo"/>
          </w:rPr>
          <w:t>Artículo 698. Aplicación manual de mortero para reparación estructural del hormigón</w:t>
        </w:r>
        <w:r>
          <w:rPr>
            <w:webHidden/>
          </w:rPr>
          <w:tab/>
        </w:r>
        <w:r>
          <w:rPr>
            <w:webHidden/>
          </w:rPr>
          <w:fldChar w:fldCharType="begin"/>
        </w:r>
        <w:r>
          <w:rPr>
            <w:webHidden/>
          </w:rPr>
          <w:instrText xml:space="preserve"> PAGEREF _Toc404533 \h </w:instrText>
        </w:r>
        <w:r>
          <w:rPr>
            <w:webHidden/>
          </w:rPr>
        </w:r>
        <w:r>
          <w:rPr>
            <w:webHidden/>
          </w:rPr>
          <w:fldChar w:fldCharType="separate"/>
        </w:r>
        <w:r w:rsidR="001B26B5">
          <w:rPr>
            <w:webHidden/>
          </w:rPr>
          <w:t>296</w:t>
        </w:r>
        <w:r>
          <w:rPr>
            <w:webHidden/>
          </w:rPr>
          <w:fldChar w:fldCharType="end"/>
        </w:r>
      </w:hyperlink>
    </w:p>
    <w:p w14:paraId="1A316251" w14:textId="77777777" w:rsidR="0006561B" w:rsidRDefault="0006561B">
      <w:pPr>
        <w:pStyle w:val="TDC2"/>
        <w:rPr>
          <w:rFonts w:asciiTheme="minorHAnsi" w:eastAsiaTheme="minorEastAsia" w:hAnsiTheme="minorHAnsi" w:cstheme="minorBidi"/>
          <w:szCs w:val="22"/>
          <w:lang w:val="es-ES" w:eastAsia="es-ES"/>
        </w:rPr>
      </w:pPr>
      <w:hyperlink w:anchor="_Toc404534" w:history="1">
        <w:r w:rsidRPr="003B1501">
          <w:rPr>
            <w:rStyle w:val="Hipervnculo"/>
          </w:rPr>
          <w:t xml:space="preserve">698.1.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_Toc404534 \h </w:instrText>
        </w:r>
        <w:r>
          <w:rPr>
            <w:webHidden/>
          </w:rPr>
        </w:r>
        <w:r>
          <w:rPr>
            <w:webHidden/>
          </w:rPr>
          <w:fldChar w:fldCharType="separate"/>
        </w:r>
        <w:r w:rsidR="001B26B5">
          <w:rPr>
            <w:webHidden/>
          </w:rPr>
          <w:t>296</w:t>
        </w:r>
        <w:r>
          <w:rPr>
            <w:webHidden/>
          </w:rPr>
          <w:fldChar w:fldCharType="end"/>
        </w:r>
      </w:hyperlink>
    </w:p>
    <w:p w14:paraId="73956D4D" w14:textId="77777777" w:rsidR="0006561B" w:rsidRDefault="0006561B">
      <w:pPr>
        <w:pStyle w:val="TDC2"/>
        <w:rPr>
          <w:rFonts w:asciiTheme="minorHAnsi" w:eastAsiaTheme="minorEastAsia" w:hAnsiTheme="minorHAnsi" w:cstheme="minorBidi"/>
          <w:szCs w:val="22"/>
          <w:lang w:val="es-ES" w:eastAsia="es-ES"/>
        </w:rPr>
      </w:pPr>
      <w:hyperlink w:anchor="_Toc404535" w:history="1">
        <w:r w:rsidRPr="003B1501">
          <w:rPr>
            <w:rStyle w:val="Hipervnculo"/>
          </w:rPr>
          <w:t xml:space="preserve">698.2.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_Toc404535 \h </w:instrText>
        </w:r>
        <w:r>
          <w:rPr>
            <w:webHidden/>
          </w:rPr>
        </w:r>
        <w:r>
          <w:rPr>
            <w:webHidden/>
          </w:rPr>
          <w:fldChar w:fldCharType="separate"/>
        </w:r>
        <w:r w:rsidR="001B26B5">
          <w:rPr>
            <w:webHidden/>
          </w:rPr>
          <w:t>296</w:t>
        </w:r>
        <w:r>
          <w:rPr>
            <w:webHidden/>
          </w:rPr>
          <w:fldChar w:fldCharType="end"/>
        </w:r>
      </w:hyperlink>
    </w:p>
    <w:p w14:paraId="468F25CC" w14:textId="77777777" w:rsidR="0006561B" w:rsidRDefault="0006561B">
      <w:pPr>
        <w:pStyle w:val="TDC2"/>
        <w:rPr>
          <w:rFonts w:asciiTheme="minorHAnsi" w:eastAsiaTheme="minorEastAsia" w:hAnsiTheme="minorHAnsi" w:cstheme="minorBidi"/>
          <w:szCs w:val="22"/>
          <w:lang w:val="es-ES" w:eastAsia="es-ES"/>
        </w:rPr>
      </w:pPr>
      <w:hyperlink w:anchor="_Toc404536" w:history="1">
        <w:r w:rsidRPr="003B1501">
          <w:rPr>
            <w:rStyle w:val="Hipervnculo"/>
          </w:rPr>
          <w:t>698.3. Materiales</w:t>
        </w:r>
        <w:r>
          <w:rPr>
            <w:webHidden/>
          </w:rPr>
          <w:tab/>
        </w:r>
        <w:r>
          <w:rPr>
            <w:webHidden/>
          </w:rPr>
          <w:fldChar w:fldCharType="begin"/>
        </w:r>
        <w:r>
          <w:rPr>
            <w:webHidden/>
          </w:rPr>
          <w:instrText xml:space="preserve"> PAGEREF _Toc404536 \h </w:instrText>
        </w:r>
        <w:r>
          <w:rPr>
            <w:webHidden/>
          </w:rPr>
        </w:r>
        <w:r>
          <w:rPr>
            <w:webHidden/>
          </w:rPr>
          <w:fldChar w:fldCharType="separate"/>
        </w:r>
        <w:r w:rsidR="001B26B5">
          <w:rPr>
            <w:webHidden/>
          </w:rPr>
          <w:t>296</w:t>
        </w:r>
        <w:r>
          <w:rPr>
            <w:webHidden/>
          </w:rPr>
          <w:fldChar w:fldCharType="end"/>
        </w:r>
      </w:hyperlink>
    </w:p>
    <w:p w14:paraId="7CA9E2A4" w14:textId="77777777" w:rsidR="0006561B" w:rsidRDefault="0006561B">
      <w:pPr>
        <w:pStyle w:val="TDC2"/>
        <w:rPr>
          <w:rFonts w:asciiTheme="minorHAnsi" w:eastAsiaTheme="minorEastAsia" w:hAnsiTheme="minorHAnsi" w:cstheme="minorBidi"/>
          <w:szCs w:val="22"/>
          <w:lang w:val="es-ES" w:eastAsia="es-ES"/>
        </w:rPr>
      </w:pPr>
      <w:hyperlink w:anchor="_Toc404537" w:history="1">
        <w:r w:rsidRPr="003B1501">
          <w:rPr>
            <w:rStyle w:val="Hipervnculo"/>
          </w:rPr>
          <w:t xml:space="preserve">698.4.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_Toc404537 \h </w:instrText>
        </w:r>
        <w:r>
          <w:rPr>
            <w:webHidden/>
          </w:rPr>
        </w:r>
        <w:r>
          <w:rPr>
            <w:webHidden/>
          </w:rPr>
          <w:fldChar w:fldCharType="separate"/>
        </w:r>
        <w:r w:rsidR="001B26B5">
          <w:rPr>
            <w:webHidden/>
          </w:rPr>
          <w:t>297</w:t>
        </w:r>
        <w:r>
          <w:rPr>
            <w:webHidden/>
          </w:rPr>
          <w:fldChar w:fldCharType="end"/>
        </w:r>
      </w:hyperlink>
    </w:p>
    <w:p w14:paraId="1C689E1F" w14:textId="77777777" w:rsidR="0006561B" w:rsidRDefault="0006561B">
      <w:pPr>
        <w:pStyle w:val="TDC2"/>
        <w:rPr>
          <w:rFonts w:asciiTheme="minorHAnsi" w:eastAsiaTheme="minorEastAsia" w:hAnsiTheme="minorHAnsi" w:cstheme="minorBidi"/>
          <w:szCs w:val="22"/>
          <w:lang w:val="es-ES" w:eastAsia="es-ES"/>
        </w:rPr>
      </w:pPr>
      <w:hyperlink w:anchor="_Toc404538" w:history="1">
        <w:r w:rsidRPr="003B1501">
          <w:rPr>
            <w:rStyle w:val="Hipervnculo"/>
          </w:rPr>
          <w:t>698.5 Recepción</w:t>
        </w:r>
        <w:r>
          <w:rPr>
            <w:webHidden/>
          </w:rPr>
          <w:tab/>
        </w:r>
        <w:r>
          <w:rPr>
            <w:webHidden/>
          </w:rPr>
          <w:fldChar w:fldCharType="begin"/>
        </w:r>
        <w:r>
          <w:rPr>
            <w:webHidden/>
          </w:rPr>
          <w:instrText xml:space="preserve"> PAGEREF _Toc404538 \h </w:instrText>
        </w:r>
        <w:r>
          <w:rPr>
            <w:webHidden/>
          </w:rPr>
        </w:r>
        <w:r>
          <w:rPr>
            <w:webHidden/>
          </w:rPr>
          <w:fldChar w:fldCharType="separate"/>
        </w:r>
        <w:r w:rsidR="001B26B5">
          <w:rPr>
            <w:webHidden/>
          </w:rPr>
          <w:t>297</w:t>
        </w:r>
        <w:r>
          <w:rPr>
            <w:webHidden/>
          </w:rPr>
          <w:fldChar w:fldCharType="end"/>
        </w:r>
      </w:hyperlink>
    </w:p>
    <w:p w14:paraId="7486DE81" w14:textId="77777777" w:rsidR="0006561B" w:rsidRDefault="0006561B">
      <w:pPr>
        <w:pStyle w:val="TDC2"/>
        <w:rPr>
          <w:rFonts w:asciiTheme="minorHAnsi" w:eastAsiaTheme="minorEastAsia" w:hAnsiTheme="minorHAnsi" w:cstheme="minorBidi"/>
          <w:szCs w:val="22"/>
          <w:lang w:val="es-ES" w:eastAsia="es-ES"/>
        </w:rPr>
      </w:pPr>
      <w:hyperlink w:anchor="_Toc404539" w:history="1">
        <w:r w:rsidRPr="003B1501">
          <w:rPr>
            <w:rStyle w:val="Hipervnculo"/>
          </w:rPr>
          <w:t>698.6. Control de calidad</w:t>
        </w:r>
        <w:r>
          <w:rPr>
            <w:webHidden/>
          </w:rPr>
          <w:tab/>
        </w:r>
        <w:r>
          <w:rPr>
            <w:webHidden/>
          </w:rPr>
          <w:fldChar w:fldCharType="begin"/>
        </w:r>
        <w:r>
          <w:rPr>
            <w:webHidden/>
          </w:rPr>
          <w:instrText xml:space="preserve"> PAGEREF _Toc404539 \h </w:instrText>
        </w:r>
        <w:r>
          <w:rPr>
            <w:webHidden/>
          </w:rPr>
        </w:r>
        <w:r>
          <w:rPr>
            <w:webHidden/>
          </w:rPr>
          <w:fldChar w:fldCharType="separate"/>
        </w:r>
        <w:r w:rsidR="001B26B5">
          <w:rPr>
            <w:webHidden/>
          </w:rPr>
          <w:t>297</w:t>
        </w:r>
        <w:r>
          <w:rPr>
            <w:webHidden/>
          </w:rPr>
          <w:fldChar w:fldCharType="end"/>
        </w:r>
      </w:hyperlink>
    </w:p>
    <w:p w14:paraId="7512F37F" w14:textId="77777777" w:rsidR="0006561B" w:rsidRDefault="0006561B">
      <w:pPr>
        <w:pStyle w:val="TDC2"/>
        <w:rPr>
          <w:rFonts w:asciiTheme="minorHAnsi" w:eastAsiaTheme="minorEastAsia" w:hAnsiTheme="minorHAnsi" w:cstheme="minorBidi"/>
          <w:szCs w:val="22"/>
          <w:lang w:val="es-ES" w:eastAsia="es-ES"/>
        </w:rPr>
      </w:pPr>
      <w:hyperlink w:anchor="_Toc404540" w:history="1">
        <w:r w:rsidRPr="003B1501">
          <w:rPr>
            <w:rStyle w:val="Hipervnculo"/>
          </w:rPr>
          <w:t>698.7. Tratamiento de no conformidades</w:t>
        </w:r>
        <w:r>
          <w:rPr>
            <w:webHidden/>
          </w:rPr>
          <w:tab/>
        </w:r>
        <w:r>
          <w:rPr>
            <w:webHidden/>
          </w:rPr>
          <w:fldChar w:fldCharType="begin"/>
        </w:r>
        <w:r>
          <w:rPr>
            <w:webHidden/>
          </w:rPr>
          <w:instrText xml:space="preserve"> PAGEREF _Toc404540 \h </w:instrText>
        </w:r>
        <w:r>
          <w:rPr>
            <w:webHidden/>
          </w:rPr>
        </w:r>
        <w:r>
          <w:rPr>
            <w:webHidden/>
          </w:rPr>
          <w:fldChar w:fldCharType="separate"/>
        </w:r>
        <w:r w:rsidR="001B26B5">
          <w:rPr>
            <w:webHidden/>
          </w:rPr>
          <w:t>299</w:t>
        </w:r>
        <w:r>
          <w:rPr>
            <w:webHidden/>
          </w:rPr>
          <w:fldChar w:fldCharType="end"/>
        </w:r>
      </w:hyperlink>
    </w:p>
    <w:p w14:paraId="73143A0E" w14:textId="77777777" w:rsidR="0006561B" w:rsidRDefault="0006561B">
      <w:pPr>
        <w:pStyle w:val="TDC2"/>
        <w:rPr>
          <w:rFonts w:asciiTheme="minorHAnsi" w:eastAsiaTheme="minorEastAsia" w:hAnsiTheme="minorHAnsi" w:cstheme="minorBidi"/>
          <w:szCs w:val="22"/>
          <w:lang w:val="es-ES" w:eastAsia="es-ES"/>
        </w:rPr>
      </w:pPr>
      <w:hyperlink w:anchor="_Toc404541" w:history="1">
        <w:r w:rsidRPr="003B1501">
          <w:rPr>
            <w:rStyle w:val="Hipervnculo"/>
          </w:rPr>
          <w:t>698.8. Medición y abono</w:t>
        </w:r>
        <w:r>
          <w:rPr>
            <w:webHidden/>
          </w:rPr>
          <w:tab/>
        </w:r>
        <w:r>
          <w:rPr>
            <w:webHidden/>
          </w:rPr>
          <w:fldChar w:fldCharType="begin"/>
        </w:r>
        <w:r>
          <w:rPr>
            <w:webHidden/>
          </w:rPr>
          <w:instrText xml:space="preserve"> PAGEREF _Toc404541 \h </w:instrText>
        </w:r>
        <w:r>
          <w:rPr>
            <w:webHidden/>
          </w:rPr>
        </w:r>
        <w:r>
          <w:rPr>
            <w:webHidden/>
          </w:rPr>
          <w:fldChar w:fldCharType="separate"/>
        </w:r>
        <w:r w:rsidR="001B26B5">
          <w:rPr>
            <w:webHidden/>
          </w:rPr>
          <w:t>299</w:t>
        </w:r>
        <w:r>
          <w:rPr>
            <w:webHidden/>
          </w:rPr>
          <w:fldChar w:fldCharType="end"/>
        </w:r>
      </w:hyperlink>
    </w:p>
    <w:p w14:paraId="6A043314" w14:textId="77777777" w:rsidR="0006561B" w:rsidRDefault="0006561B">
      <w:pPr>
        <w:pStyle w:val="TDC1"/>
        <w:rPr>
          <w:rFonts w:asciiTheme="minorHAnsi" w:eastAsiaTheme="minorEastAsia" w:hAnsiTheme="minorHAnsi" w:cstheme="minorBidi"/>
          <w:b w:val="0"/>
          <w:sz w:val="22"/>
          <w:szCs w:val="22"/>
          <w:lang w:val="es-ES" w:eastAsia="es-ES"/>
        </w:rPr>
      </w:pPr>
      <w:hyperlink w:anchor="_Toc404542" w:history="1">
        <w:r w:rsidRPr="003B1501">
          <w:rPr>
            <w:rStyle w:val="Hipervnculo"/>
          </w:rPr>
          <w:t>Artículo 699. Sellado de juntas</w:t>
        </w:r>
        <w:r>
          <w:rPr>
            <w:webHidden/>
          </w:rPr>
          <w:tab/>
        </w:r>
        <w:r>
          <w:rPr>
            <w:webHidden/>
          </w:rPr>
          <w:fldChar w:fldCharType="begin"/>
        </w:r>
        <w:r>
          <w:rPr>
            <w:webHidden/>
          </w:rPr>
          <w:instrText xml:space="preserve"> PAGEREF _Toc404542 \h </w:instrText>
        </w:r>
        <w:r>
          <w:rPr>
            <w:webHidden/>
          </w:rPr>
        </w:r>
        <w:r>
          <w:rPr>
            <w:webHidden/>
          </w:rPr>
          <w:fldChar w:fldCharType="separate"/>
        </w:r>
        <w:r w:rsidR="001B26B5">
          <w:rPr>
            <w:webHidden/>
          </w:rPr>
          <w:t>300</w:t>
        </w:r>
        <w:r>
          <w:rPr>
            <w:webHidden/>
          </w:rPr>
          <w:fldChar w:fldCharType="end"/>
        </w:r>
      </w:hyperlink>
    </w:p>
    <w:p w14:paraId="3E287A2E" w14:textId="77777777" w:rsidR="0006561B" w:rsidRDefault="0006561B">
      <w:pPr>
        <w:pStyle w:val="TDC2"/>
        <w:rPr>
          <w:rFonts w:asciiTheme="minorHAnsi" w:eastAsiaTheme="minorEastAsia" w:hAnsiTheme="minorHAnsi" w:cstheme="minorBidi"/>
          <w:szCs w:val="22"/>
          <w:lang w:val="es-ES" w:eastAsia="es-ES"/>
        </w:rPr>
      </w:pPr>
      <w:hyperlink w:anchor="_Toc404543" w:history="1">
        <w:r w:rsidRPr="003B1501">
          <w:rPr>
            <w:rStyle w:val="Hipervnculo"/>
          </w:rPr>
          <w:t>699.1. Aplicación</w:t>
        </w:r>
        <w:r>
          <w:rPr>
            <w:webHidden/>
          </w:rPr>
          <w:tab/>
        </w:r>
        <w:r>
          <w:rPr>
            <w:webHidden/>
          </w:rPr>
          <w:fldChar w:fldCharType="begin"/>
        </w:r>
        <w:r>
          <w:rPr>
            <w:webHidden/>
          </w:rPr>
          <w:instrText xml:space="preserve"> PAGEREF _Toc404543 \h </w:instrText>
        </w:r>
        <w:r>
          <w:rPr>
            <w:webHidden/>
          </w:rPr>
        </w:r>
        <w:r>
          <w:rPr>
            <w:webHidden/>
          </w:rPr>
          <w:fldChar w:fldCharType="separate"/>
        </w:r>
        <w:r w:rsidR="001B26B5">
          <w:rPr>
            <w:webHidden/>
          </w:rPr>
          <w:t>300</w:t>
        </w:r>
        <w:r>
          <w:rPr>
            <w:webHidden/>
          </w:rPr>
          <w:fldChar w:fldCharType="end"/>
        </w:r>
      </w:hyperlink>
    </w:p>
    <w:p w14:paraId="31E4107A" w14:textId="77777777" w:rsidR="0006561B" w:rsidRDefault="0006561B">
      <w:pPr>
        <w:pStyle w:val="TDC2"/>
        <w:rPr>
          <w:rFonts w:asciiTheme="minorHAnsi" w:eastAsiaTheme="minorEastAsia" w:hAnsiTheme="minorHAnsi" w:cstheme="minorBidi"/>
          <w:szCs w:val="22"/>
          <w:lang w:val="es-ES" w:eastAsia="es-ES"/>
        </w:rPr>
      </w:pPr>
      <w:hyperlink w:anchor="_Toc404544" w:history="1">
        <w:r w:rsidRPr="003B1501">
          <w:rPr>
            <w:rStyle w:val="Hipervnculo"/>
          </w:rPr>
          <w:t>699.2. Materiales</w:t>
        </w:r>
        <w:r>
          <w:rPr>
            <w:webHidden/>
          </w:rPr>
          <w:tab/>
        </w:r>
        <w:r>
          <w:rPr>
            <w:webHidden/>
          </w:rPr>
          <w:fldChar w:fldCharType="begin"/>
        </w:r>
        <w:r>
          <w:rPr>
            <w:webHidden/>
          </w:rPr>
          <w:instrText xml:space="preserve"> PAGEREF _Toc404544 \h </w:instrText>
        </w:r>
        <w:r>
          <w:rPr>
            <w:webHidden/>
          </w:rPr>
        </w:r>
        <w:r>
          <w:rPr>
            <w:webHidden/>
          </w:rPr>
          <w:fldChar w:fldCharType="separate"/>
        </w:r>
        <w:r w:rsidR="001B26B5">
          <w:rPr>
            <w:webHidden/>
          </w:rPr>
          <w:t>300</w:t>
        </w:r>
        <w:r>
          <w:rPr>
            <w:webHidden/>
          </w:rPr>
          <w:fldChar w:fldCharType="end"/>
        </w:r>
      </w:hyperlink>
    </w:p>
    <w:p w14:paraId="1558E307" w14:textId="77777777" w:rsidR="0006561B" w:rsidRDefault="0006561B">
      <w:pPr>
        <w:pStyle w:val="TDC2"/>
        <w:rPr>
          <w:rFonts w:asciiTheme="minorHAnsi" w:eastAsiaTheme="minorEastAsia" w:hAnsiTheme="minorHAnsi" w:cstheme="minorBidi"/>
          <w:szCs w:val="22"/>
          <w:lang w:val="es-ES" w:eastAsia="es-ES"/>
        </w:rPr>
      </w:pPr>
      <w:hyperlink w:anchor="_Toc404545" w:history="1">
        <w:r w:rsidRPr="003B1501">
          <w:rPr>
            <w:rStyle w:val="Hipervnculo"/>
          </w:rPr>
          <w:t>699.3. Colocación</w:t>
        </w:r>
        <w:r>
          <w:rPr>
            <w:webHidden/>
          </w:rPr>
          <w:tab/>
        </w:r>
        <w:r>
          <w:rPr>
            <w:webHidden/>
          </w:rPr>
          <w:fldChar w:fldCharType="begin"/>
        </w:r>
        <w:r>
          <w:rPr>
            <w:webHidden/>
          </w:rPr>
          <w:instrText xml:space="preserve"> PAGEREF _Toc404545 \h </w:instrText>
        </w:r>
        <w:r>
          <w:rPr>
            <w:webHidden/>
          </w:rPr>
        </w:r>
        <w:r>
          <w:rPr>
            <w:webHidden/>
          </w:rPr>
          <w:fldChar w:fldCharType="separate"/>
        </w:r>
        <w:r w:rsidR="001B26B5">
          <w:rPr>
            <w:webHidden/>
          </w:rPr>
          <w:t>301</w:t>
        </w:r>
        <w:r>
          <w:rPr>
            <w:webHidden/>
          </w:rPr>
          <w:fldChar w:fldCharType="end"/>
        </w:r>
      </w:hyperlink>
    </w:p>
    <w:p w14:paraId="0E0A3AB2" w14:textId="77777777" w:rsidR="0006561B" w:rsidRDefault="0006561B">
      <w:pPr>
        <w:pStyle w:val="TDC2"/>
        <w:rPr>
          <w:rFonts w:asciiTheme="minorHAnsi" w:eastAsiaTheme="minorEastAsia" w:hAnsiTheme="minorHAnsi" w:cstheme="minorBidi"/>
          <w:szCs w:val="22"/>
          <w:lang w:val="es-ES" w:eastAsia="es-ES"/>
        </w:rPr>
      </w:pPr>
      <w:hyperlink w:anchor="_Toc404546" w:history="1">
        <w:r w:rsidRPr="003B1501">
          <w:rPr>
            <w:rStyle w:val="Hipervnculo"/>
          </w:rPr>
          <w:t>699.4. Medición y Abono</w:t>
        </w:r>
        <w:r>
          <w:rPr>
            <w:webHidden/>
          </w:rPr>
          <w:tab/>
        </w:r>
        <w:r>
          <w:rPr>
            <w:webHidden/>
          </w:rPr>
          <w:fldChar w:fldCharType="begin"/>
        </w:r>
        <w:r>
          <w:rPr>
            <w:webHidden/>
          </w:rPr>
          <w:instrText xml:space="preserve"> PAGEREF _Toc404546 \h </w:instrText>
        </w:r>
        <w:r>
          <w:rPr>
            <w:webHidden/>
          </w:rPr>
        </w:r>
        <w:r>
          <w:rPr>
            <w:webHidden/>
          </w:rPr>
          <w:fldChar w:fldCharType="separate"/>
        </w:r>
        <w:r w:rsidR="001B26B5">
          <w:rPr>
            <w:webHidden/>
          </w:rPr>
          <w:t>302</w:t>
        </w:r>
        <w:r>
          <w:rPr>
            <w:webHidden/>
          </w:rPr>
          <w:fldChar w:fldCharType="end"/>
        </w:r>
      </w:hyperlink>
    </w:p>
    <w:p w14:paraId="397A6627" w14:textId="77777777" w:rsidR="0006561B" w:rsidRDefault="0006561B">
      <w:pPr>
        <w:pStyle w:val="TDC1"/>
        <w:rPr>
          <w:rFonts w:asciiTheme="minorHAnsi" w:eastAsiaTheme="minorEastAsia" w:hAnsiTheme="minorHAnsi" w:cstheme="minorBidi"/>
          <w:b w:val="0"/>
          <w:sz w:val="22"/>
          <w:szCs w:val="22"/>
          <w:lang w:val="es-ES" w:eastAsia="es-ES"/>
        </w:rPr>
      </w:pPr>
      <w:hyperlink w:anchor="_Toc404547" w:history="1">
        <w:r w:rsidRPr="003B1501">
          <w:rPr>
            <w:rStyle w:val="Hipervnculo"/>
          </w:rPr>
          <w:t>Artículo 699b. Sellado de juntas con mezcla asfáltica</w:t>
        </w:r>
        <w:r>
          <w:rPr>
            <w:webHidden/>
          </w:rPr>
          <w:tab/>
        </w:r>
        <w:r>
          <w:rPr>
            <w:webHidden/>
          </w:rPr>
          <w:fldChar w:fldCharType="begin"/>
        </w:r>
        <w:r>
          <w:rPr>
            <w:webHidden/>
          </w:rPr>
          <w:instrText xml:space="preserve"> PAGEREF _Toc404547 \h </w:instrText>
        </w:r>
        <w:r>
          <w:rPr>
            <w:webHidden/>
          </w:rPr>
        </w:r>
        <w:r>
          <w:rPr>
            <w:webHidden/>
          </w:rPr>
          <w:fldChar w:fldCharType="separate"/>
        </w:r>
        <w:r w:rsidR="001B26B5">
          <w:rPr>
            <w:webHidden/>
          </w:rPr>
          <w:t>303</w:t>
        </w:r>
        <w:r>
          <w:rPr>
            <w:webHidden/>
          </w:rPr>
          <w:fldChar w:fldCharType="end"/>
        </w:r>
      </w:hyperlink>
    </w:p>
    <w:p w14:paraId="27ADB572" w14:textId="77777777" w:rsidR="0006561B" w:rsidRDefault="0006561B">
      <w:pPr>
        <w:pStyle w:val="TDC2"/>
        <w:rPr>
          <w:rFonts w:asciiTheme="minorHAnsi" w:eastAsiaTheme="minorEastAsia" w:hAnsiTheme="minorHAnsi" w:cstheme="minorBidi"/>
          <w:szCs w:val="22"/>
          <w:lang w:val="es-ES" w:eastAsia="es-ES"/>
        </w:rPr>
      </w:pPr>
      <w:hyperlink w:anchor="_Toc404548" w:history="1">
        <w:r w:rsidRPr="003B1501">
          <w:rPr>
            <w:rStyle w:val="Hipervnculo"/>
          </w:rPr>
          <w:t>699b.1. Aplicación</w:t>
        </w:r>
        <w:r>
          <w:rPr>
            <w:webHidden/>
          </w:rPr>
          <w:tab/>
        </w:r>
        <w:r>
          <w:rPr>
            <w:webHidden/>
          </w:rPr>
          <w:fldChar w:fldCharType="begin"/>
        </w:r>
        <w:r>
          <w:rPr>
            <w:webHidden/>
          </w:rPr>
          <w:instrText xml:space="preserve"> PAGEREF _Toc404548 \h </w:instrText>
        </w:r>
        <w:r>
          <w:rPr>
            <w:webHidden/>
          </w:rPr>
        </w:r>
        <w:r>
          <w:rPr>
            <w:webHidden/>
          </w:rPr>
          <w:fldChar w:fldCharType="separate"/>
        </w:r>
        <w:r w:rsidR="001B26B5">
          <w:rPr>
            <w:webHidden/>
          </w:rPr>
          <w:t>303</w:t>
        </w:r>
        <w:r>
          <w:rPr>
            <w:webHidden/>
          </w:rPr>
          <w:fldChar w:fldCharType="end"/>
        </w:r>
      </w:hyperlink>
    </w:p>
    <w:p w14:paraId="4E1690A2" w14:textId="77777777" w:rsidR="0006561B" w:rsidRDefault="0006561B">
      <w:pPr>
        <w:pStyle w:val="TDC2"/>
        <w:rPr>
          <w:rFonts w:asciiTheme="minorHAnsi" w:eastAsiaTheme="minorEastAsia" w:hAnsiTheme="minorHAnsi" w:cstheme="minorBidi"/>
          <w:szCs w:val="22"/>
          <w:lang w:val="es-ES" w:eastAsia="es-ES"/>
        </w:rPr>
      </w:pPr>
      <w:hyperlink w:anchor="_Toc404549" w:history="1">
        <w:r w:rsidRPr="003B1501">
          <w:rPr>
            <w:rStyle w:val="Hipervnculo"/>
          </w:rPr>
          <w:t>699b.2. Materiales</w:t>
        </w:r>
        <w:r>
          <w:rPr>
            <w:webHidden/>
          </w:rPr>
          <w:tab/>
        </w:r>
        <w:r>
          <w:rPr>
            <w:webHidden/>
          </w:rPr>
          <w:fldChar w:fldCharType="begin"/>
        </w:r>
        <w:r>
          <w:rPr>
            <w:webHidden/>
          </w:rPr>
          <w:instrText xml:space="preserve"> PAGEREF _Toc404549 \h </w:instrText>
        </w:r>
        <w:r>
          <w:rPr>
            <w:webHidden/>
          </w:rPr>
        </w:r>
        <w:r>
          <w:rPr>
            <w:webHidden/>
          </w:rPr>
          <w:fldChar w:fldCharType="separate"/>
        </w:r>
        <w:r w:rsidR="001B26B5">
          <w:rPr>
            <w:webHidden/>
          </w:rPr>
          <w:t>303</w:t>
        </w:r>
        <w:r>
          <w:rPr>
            <w:webHidden/>
          </w:rPr>
          <w:fldChar w:fldCharType="end"/>
        </w:r>
      </w:hyperlink>
    </w:p>
    <w:p w14:paraId="52B775DC" w14:textId="77777777" w:rsidR="0006561B" w:rsidRDefault="0006561B">
      <w:pPr>
        <w:pStyle w:val="TDC2"/>
        <w:rPr>
          <w:rFonts w:asciiTheme="minorHAnsi" w:eastAsiaTheme="minorEastAsia" w:hAnsiTheme="minorHAnsi" w:cstheme="minorBidi"/>
          <w:szCs w:val="22"/>
          <w:lang w:val="es-ES" w:eastAsia="es-ES"/>
        </w:rPr>
      </w:pPr>
      <w:hyperlink w:anchor="_Toc404550" w:history="1">
        <w:r w:rsidRPr="003B1501">
          <w:rPr>
            <w:rStyle w:val="Hipervnculo"/>
          </w:rPr>
          <w:t>699b.3. Ejecución de las obras</w:t>
        </w:r>
        <w:r>
          <w:rPr>
            <w:webHidden/>
          </w:rPr>
          <w:tab/>
        </w:r>
        <w:r>
          <w:rPr>
            <w:webHidden/>
          </w:rPr>
          <w:fldChar w:fldCharType="begin"/>
        </w:r>
        <w:r>
          <w:rPr>
            <w:webHidden/>
          </w:rPr>
          <w:instrText xml:space="preserve"> PAGEREF _Toc404550 \h </w:instrText>
        </w:r>
        <w:r>
          <w:rPr>
            <w:webHidden/>
          </w:rPr>
        </w:r>
        <w:r>
          <w:rPr>
            <w:webHidden/>
          </w:rPr>
          <w:fldChar w:fldCharType="separate"/>
        </w:r>
        <w:r w:rsidR="001B26B5">
          <w:rPr>
            <w:webHidden/>
          </w:rPr>
          <w:t>303</w:t>
        </w:r>
        <w:r>
          <w:rPr>
            <w:webHidden/>
          </w:rPr>
          <w:fldChar w:fldCharType="end"/>
        </w:r>
      </w:hyperlink>
    </w:p>
    <w:p w14:paraId="63315F0C" w14:textId="77777777" w:rsidR="0006561B" w:rsidRDefault="0006561B">
      <w:pPr>
        <w:pStyle w:val="TDC2"/>
        <w:rPr>
          <w:rFonts w:asciiTheme="minorHAnsi" w:eastAsiaTheme="minorEastAsia" w:hAnsiTheme="minorHAnsi" w:cstheme="minorBidi"/>
          <w:szCs w:val="22"/>
          <w:lang w:val="es-ES" w:eastAsia="es-ES"/>
        </w:rPr>
      </w:pPr>
      <w:hyperlink w:anchor="_Toc404551" w:history="1">
        <w:r w:rsidRPr="003B1501">
          <w:rPr>
            <w:rStyle w:val="Hipervnculo"/>
          </w:rPr>
          <w:t>699.4. Medición y Abono</w:t>
        </w:r>
        <w:r>
          <w:rPr>
            <w:webHidden/>
          </w:rPr>
          <w:tab/>
        </w:r>
        <w:r>
          <w:rPr>
            <w:webHidden/>
          </w:rPr>
          <w:fldChar w:fldCharType="begin"/>
        </w:r>
        <w:r>
          <w:rPr>
            <w:webHidden/>
          </w:rPr>
          <w:instrText xml:space="preserve"> PAGEREF _Toc404551 \h </w:instrText>
        </w:r>
        <w:r>
          <w:rPr>
            <w:webHidden/>
          </w:rPr>
        </w:r>
        <w:r>
          <w:rPr>
            <w:webHidden/>
          </w:rPr>
          <w:fldChar w:fldCharType="separate"/>
        </w:r>
        <w:r w:rsidR="001B26B5">
          <w:rPr>
            <w:webHidden/>
          </w:rPr>
          <w:t>304</w:t>
        </w:r>
        <w:r>
          <w:rPr>
            <w:webHidden/>
          </w:rPr>
          <w:fldChar w:fldCharType="end"/>
        </w:r>
      </w:hyperlink>
    </w:p>
    <w:p w14:paraId="78183F4D" w14:textId="77777777" w:rsidR="0006561B" w:rsidRDefault="0006561B">
      <w:pPr>
        <w:pStyle w:val="TDC1"/>
        <w:rPr>
          <w:rFonts w:asciiTheme="minorHAnsi" w:eastAsiaTheme="minorEastAsia" w:hAnsiTheme="minorHAnsi" w:cstheme="minorBidi"/>
          <w:b w:val="0"/>
          <w:sz w:val="22"/>
          <w:szCs w:val="22"/>
          <w:lang w:val="es-ES" w:eastAsia="es-ES"/>
        </w:rPr>
      </w:pPr>
      <w:r>
        <w:rPr>
          <w:rStyle w:val="Hipervnculo"/>
        </w:rPr>
        <w:br w:type="column"/>
      </w:r>
      <w:hyperlink w:anchor="_Toc404552" w:history="1">
        <w:r w:rsidRPr="003B1501">
          <w:rPr>
            <w:rStyle w:val="Hipervnculo"/>
          </w:rPr>
          <w:t>Parte 7.-  Señalización, balizamiento y sistemas de contención</w:t>
        </w:r>
        <w:r>
          <w:rPr>
            <w:webHidden/>
          </w:rPr>
          <w:tab/>
        </w:r>
        <w:r>
          <w:rPr>
            <w:webHidden/>
          </w:rPr>
          <w:fldChar w:fldCharType="begin"/>
        </w:r>
        <w:r>
          <w:rPr>
            <w:webHidden/>
          </w:rPr>
          <w:instrText xml:space="preserve"> PAGEREF _Toc404552 \h </w:instrText>
        </w:r>
        <w:r>
          <w:rPr>
            <w:webHidden/>
          </w:rPr>
        </w:r>
        <w:r>
          <w:rPr>
            <w:webHidden/>
          </w:rPr>
          <w:fldChar w:fldCharType="separate"/>
        </w:r>
        <w:r w:rsidR="001B26B5">
          <w:rPr>
            <w:webHidden/>
          </w:rPr>
          <w:t>305</w:t>
        </w:r>
        <w:r>
          <w:rPr>
            <w:webHidden/>
          </w:rPr>
          <w:fldChar w:fldCharType="end"/>
        </w:r>
      </w:hyperlink>
    </w:p>
    <w:p w14:paraId="5541550C" w14:textId="77777777" w:rsidR="0006561B" w:rsidRDefault="0006561B">
      <w:pPr>
        <w:pStyle w:val="TDC1"/>
        <w:rPr>
          <w:rFonts w:asciiTheme="minorHAnsi" w:eastAsiaTheme="minorEastAsia" w:hAnsiTheme="minorHAnsi" w:cstheme="minorBidi"/>
          <w:b w:val="0"/>
          <w:sz w:val="22"/>
          <w:szCs w:val="22"/>
          <w:lang w:val="es-ES" w:eastAsia="es-ES"/>
        </w:rPr>
      </w:pPr>
      <w:hyperlink w:anchor="_Toc404553" w:history="1">
        <w:r w:rsidRPr="003B1501">
          <w:rPr>
            <w:rStyle w:val="Hipervnculo"/>
          </w:rPr>
          <w:t>Artículo 700. Marcas viales</w:t>
        </w:r>
        <w:r>
          <w:rPr>
            <w:webHidden/>
          </w:rPr>
          <w:tab/>
        </w:r>
        <w:r>
          <w:rPr>
            <w:webHidden/>
          </w:rPr>
          <w:fldChar w:fldCharType="begin"/>
        </w:r>
        <w:r>
          <w:rPr>
            <w:webHidden/>
          </w:rPr>
          <w:instrText xml:space="preserve"> PAGEREF _Toc404553 \h </w:instrText>
        </w:r>
        <w:r>
          <w:rPr>
            <w:webHidden/>
          </w:rPr>
        </w:r>
        <w:r>
          <w:rPr>
            <w:webHidden/>
          </w:rPr>
          <w:fldChar w:fldCharType="separate"/>
        </w:r>
        <w:r w:rsidR="001B26B5">
          <w:rPr>
            <w:webHidden/>
          </w:rPr>
          <w:t>307</w:t>
        </w:r>
        <w:r>
          <w:rPr>
            <w:webHidden/>
          </w:rPr>
          <w:fldChar w:fldCharType="end"/>
        </w:r>
      </w:hyperlink>
    </w:p>
    <w:p w14:paraId="466892BD" w14:textId="77777777" w:rsidR="0006561B" w:rsidRDefault="0006561B">
      <w:pPr>
        <w:pStyle w:val="TDC2"/>
        <w:rPr>
          <w:rFonts w:asciiTheme="minorHAnsi" w:eastAsiaTheme="minorEastAsia" w:hAnsiTheme="minorHAnsi" w:cstheme="minorBidi"/>
          <w:szCs w:val="22"/>
          <w:lang w:val="es-ES" w:eastAsia="es-ES"/>
        </w:rPr>
      </w:pPr>
      <w:hyperlink w:anchor="_Toc404554" w:history="1">
        <w:r w:rsidRPr="003B1501">
          <w:rPr>
            <w:rStyle w:val="Hipervnculo"/>
          </w:rPr>
          <w:t>700.1. Aplicación</w:t>
        </w:r>
        <w:r>
          <w:rPr>
            <w:webHidden/>
          </w:rPr>
          <w:tab/>
        </w:r>
        <w:r>
          <w:rPr>
            <w:webHidden/>
          </w:rPr>
          <w:fldChar w:fldCharType="begin"/>
        </w:r>
        <w:r>
          <w:rPr>
            <w:webHidden/>
          </w:rPr>
          <w:instrText xml:space="preserve"> PAGEREF _Toc404554 \h </w:instrText>
        </w:r>
        <w:r>
          <w:rPr>
            <w:webHidden/>
          </w:rPr>
        </w:r>
        <w:r>
          <w:rPr>
            <w:webHidden/>
          </w:rPr>
          <w:fldChar w:fldCharType="separate"/>
        </w:r>
        <w:r w:rsidR="001B26B5">
          <w:rPr>
            <w:webHidden/>
          </w:rPr>
          <w:t>307</w:t>
        </w:r>
        <w:r>
          <w:rPr>
            <w:webHidden/>
          </w:rPr>
          <w:fldChar w:fldCharType="end"/>
        </w:r>
      </w:hyperlink>
    </w:p>
    <w:p w14:paraId="34D22D49" w14:textId="77777777" w:rsidR="0006561B" w:rsidRDefault="0006561B">
      <w:pPr>
        <w:pStyle w:val="TDC2"/>
        <w:rPr>
          <w:rFonts w:asciiTheme="minorHAnsi" w:eastAsiaTheme="minorEastAsia" w:hAnsiTheme="minorHAnsi" w:cstheme="minorBidi"/>
          <w:szCs w:val="22"/>
          <w:lang w:val="es-ES" w:eastAsia="es-ES"/>
        </w:rPr>
      </w:pPr>
      <w:hyperlink w:anchor="_Toc404555" w:history="1">
        <w:r w:rsidRPr="003B1501">
          <w:rPr>
            <w:rStyle w:val="Hipervnculo"/>
          </w:rPr>
          <w:t xml:space="preserve">700.3.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_Toc404555 \h </w:instrText>
        </w:r>
        <w:r>
          <w:rPr>
            <w:webHidden/>
          </w:rPr>
        </w:r>
        <w:r>
          <w:rPr>
            <w:webHidden/>
          </w:rPr>
          <w:fldChar w:fldCharType="separate"/>
        </w:r>
        <w:r w:rsidR="001B26B5">
          <w:rPr>
            <w:webHidden/>
          </w:rPr>
          <w:t>307</w:t>
        </w:r>
        <w:r>
          <w:rPr>
            <w:webHidden/>
          </w:rPr>
          <w:fldChar w:fldCharType="end"/>
        </w:r>
      </w:hyperlink>
    </w:p>
    <w:p w14:paraId="7E200E13" w14:textId="77777777" w:rsidR="0006561B" w:rsidRDefault="0006561B">
      <w:pPr>
        <w:pStyle w:val="TDC2"/>
        <w:rPr>
          <w:rFonts w:asciiTheme="minorHAnsi" w:eastAsiaTheme="minorEastAsia" w:hAnsiTheme="minorHAnsi" w:cstheme="minorBidi"/>
          <w:szCs w:val="22"/>
          <w:lang w:val="es-ES" w:eastAsia="es-ES"/>
        </w:rPr>
      </w:pPr>
      <w:hyperlink w:anchor="_Toc404556" w:history="1">
        <w:r w:rsidRPr="003B1501">
          <w:rPr>
            <w:rStyle w:val="Hipervnculo"/>
          </w:rPr>
          <w:t>700.4. Especificaciones de la unidad terminada</w:t>
        </w:r>
        <w:r>
          <w:rPr>
            <w:webHidden/>
          </w:rPr>
          <w:tab/>
        </w:r>
        <w:r>
          <w:rPr>
            <w:webHidden/>
          </w:rPr>
          <w:fldChar w:fldCharType="begin"/>
        </w:r>
        <w:r>
          <w:rPr>
            <w:webHidden/>
          </w:rPr>
          <w:instrText xml:space="preserve"> PAGEREF _Toc404556 \h </w:instrText>
        </w:r>
        <w:r>
          <w:rPr>
            <w:webHidden/>
          </w:rPr>
        </w:r>
        <w:r>
          <w:rPr>
            <w:webHidden/>
          </w:rPr>
          <w:fldChar w:fldCharType="separate"/>
        </w:r>
        <w:r w:rsidR="001B26B5">
          <w:rPr>
            <w:webHidden/>
          </w:rPr>
          <w:t>310</w:t>
        </w:r>
        <w:r>
          <w:rPr>
            <w:webHidden/>
          </w:rPr>
          <w:fldChar w:fldCharType="end"/>
        </w:r>
      </w:hyperlink>
    </w:p>
    <w:p w14:paraId="2EC8F6D3" w14:textId="77777777" w:rsidR="0006561B" w:rsidRDefault="0006561B">
      <w:pPr>
        <w:pStyle w:val="TDC2"/>
        <w:rPr>
          <w:rFonts w:asciiTheme="minorHAnsi" w:eastAsiaTheme="minorEastAsia" w:hAnsiTheme="minorHAnsi" w:cstheme="minorBidi"/>
          <w:szCs w:val="22"/>
          <w:lang w:val="es-ES" w:eastAsia="es-ES"/>
        </w:rPr>
      </w:pPr>
      <w:hyperlink w:anchor="_Toc404557" w:history="1">
        <w:r w:rsidRPr="003B1501">
          <w:rPr>
            <w:rStyle w:val="Hipervnculo"/>
          </w:rPr>
          <w:t xml:space="preserve">700.5. </w:t>
        </w:r>
        <w:r>
          <w:rPr>
            <w:rFonts w:asciiTheme="minorHAnsi" w:eastAsiaTheme="minorEastAsia" w:hAnsiTheme="minorHAnsi" w:cstheme="minorBidi"/>
            <w:szCs w:val="22"/>
            <w:lang w:val="es-ES" w:eastAsia="es-ES"/>
          </w:rPr>
          <w:tab/>
        </w:r>
        <w:r w:rsidRPr="003B1501">
          <w:rPr>
            <w:rStyle w:val="Hipervnculo"/>
          </w:rPr>
          <w:t>Maquinaria de puesta en obra</w:t>
        </w:r>
        <w:r>
          <w:rPr>
            <w:webHidden/>
          </w:rPr>
          <w:tab/>
        </w:r>
        <w:r>
          <w:rPr>
            <w:webHidden/>
          </w:rPr>
          <w:fldChar w:fldCharType="begin"/>
        </w:r>
        <w:r>
          <w:rPr>
            <w:webHidden/>
          </w:rPr>
          <w:instrText xml:space="preserve"> PAGEREF _Toc404557 \h </w:instrText>
        </w:r>
        <w:r>
          <w:rPr>
            <w:webHidden/>
          </w:rPr>
        </w:r>
        <w:r>
          <w:rPr>
            <w:webHidden/>
          </w:rPr>
          <w:fldChar w:fldCharType="separate"/>
        </w:r>
        <w:r w:rsidR="001B26B5">
          <w:rPr>
            <w:webHidden/>
          </w:rPr>
          <w:t>310</w:t>
        </w:r>
        <w:r>
          <w:rPr>
            <w:webHidden/>
          </w:rPr>
          <w:fldChar w:fldCharType="end"/>
        </w:r>
      </w:hyperlink>
    </w:p>
    <w:p w14:paraId="6EB1C34F" w14:textId="77777777" w:rsidR="0006561B" w:rsidRDefault="0006561B">
      <w:pPr>
        <w:pStyle w:val="TDC2"/>
        <w:rPr>
          <w:rFonts w:asciiTheme="minorHAnsi" w:eastAsiaTheme="minorEastAsia" w:hAnsiTheme="minorHAnsi" w:cstheme="minorBidi"/>
          <w:szCs w:val="22"/>
          <w:lang w:val="es-ES" w:eastAsia="es-ES"/>
        </w:rPr>
      </w:pPr>
      <w:hyperlink w:anchor="_Toc404558" w:history="1">
        <w:r w:rsidRPr="003B1501">
          <w:rPr>
            <w:rStyle w:val="Hipervnculo"/>
          </w:rPr>
          <w:t>700.6.   Ejecución de las obras</w:t>
        </w:r>
        <w:r>
          <w:rPr>
            <w:webHidden/>
          </w:rPr>
          <w:tab/>
        </w:r>
        <w:r>
          <w:rPr>
            <w:webHidden/>
          </w:rPr>
          <w:fldChar w:fldCharType="begin"/>
        </w:r>
        <w:r>
          <w:rPr>
            <w:webHidden/>
          </w:rPr>
          <w:instrText xml:space="preserve"> PAGEREF _Toc404558 \h </w:instrText>
        </w:r>
        <w:r>
          <w:rPr>
            <w:webHidden/>
          </w:rPr>
        </w:r>
        <w:r>
          <w:rPr>
            <w:webHidden/>
          </w:rPr>
          <w:fldChar w:fldCharType="separate"/>
        </w:r>
        <w:r w:rsidR="001B26B5">
          <w:rPr>
            <w:webHidden/>
          </w:rPr>
          <w:t>310</w:t>
        </w:r>
        <w:r>
          <w:rPr>
            <w:webHidden/>
          </w:rPr>
          <w:fldChar w:fldCharType="end"/>
        </w:r>
      </w:hyperlink>
    </w:p>
    <w:p w14:paraId="349E928E" w14:textId="77777777" w:rsidR="0006561B" w:rsidRDefault="0006561B">
      <w:pPr>
        <w:pStyle w:val="TDC2"/>
        <w:rPr>
          <w:rFonts w:asciiTheme="minorHAnsi" w:eastAsiaTheme="minorEastAsia" w:hAnsiTheme="minorHAnsi" w:cstheme="minorBidi"/>
          <w:szCs w:val="22"/>
          <w:lang w:val="es-ES" w:eastAsia="es-ES"/>
        </w:rPr>
      </w:pPr>
      <w:hyperlink w:anchor="_Toc404559" w:history="1">
        <w:r w:rsidRPr="003B1501">
          <w:rPr>
            <w:rStyle w:val="Hipervnculo"/>
          </w:rPr>
          <w:t xml:space="preserve">700.8. </w:t>
        </w:r>
        <w:r>
          <w:rPr>
            <w:rFonts w:asciiTheme="minorHAnsi" w:eastAsiaTheme="minorEastAsia" w:hAnsiTheme="minorHAnsi" w:cstheme="minorBidi"/>
            <w:szCs w:val="22"/>
            <w:lang w:val="es-ES" w:eastAsia="es-ES"/>
          </w:rPr>
          <w:tab/>
        </w:r>
        <w:r w:rsidRPr="003B1501">
          <w:rPr>
            <w:rStyle w:val="Hipervnculo"/>
          </w:rPr>
          <w:t>Control de calidad</w:t>
        </w:r>
        <w:r>
          <w:rPr>
            <w:webHidden/>
          </w:rPr>
          <w:tab/>
        </w:r>
        <w:r>
          <w:rPr>
            <w:webHidden/>
          </w:rPr>
          <w:fldChar w:fldCharType="begin"/>
        </w:r>
        <w:r>
          <w:rPr>
            <w:webHidden/>
          </w:rPr>
          <w:instrText xml:space="preserve"> PAGEREF _Toc404559 \h </w:instrText>
        </w:r>
        <w:r>
          <w:rPr>
            <w:webHidden/>
          </w:rPr>
        </w:r>
        <w:r>
          <w:rPr>
            <w:webHidden/>
          </w:rPr>
          <w:fldChar w:fldCharType="separate"/>
        </w:r>
        <w:r w:rsidR="001B26B5">
          <w:rPr>
            <w:webHidden/>
          </w:rPr>
          <w:t>311</w:t>
        </w:r>
        <w:r>
          <w:rPr>
            <w:webHidden/>
          </w:rPr>
          <w:fldChar w:fldCharType="end"/>
        </w:r>
      </w:hyperlink>
    </w:p>
    <w:p w14:paraId="426917F2" w14:textId="77777777" w:rsidR="0006561B" w:rsidRDefault="0006561B">
      <w:pPr>
        <w:pStyle w:val="TDC2"/>
        <w:rPr>
          <w:rFonts w:asciiTheme="minorHAnsi" w:eastAsiaTheme="minorEastAsia" w:hAnsiTheme="minorHAnsi" w:cstheme="minorBidi"/>
          <w:szCs w:val="22"/>
          <w:lang w:val="es-ES" w:eastAsia="es-ES"/>
        </w:rPr>
      </w:pPr>
      <w:hyperlink w:anchor="_Toc404560" w:history="1">
        <w:r w:rsidRPr="003B1501">
          <w:rPr>
            <w:rStyle w:val="Hipervnculo"/>
          </w:rPr>
          <w:t>700.11. Medición y abono</w:t>
        </w:r>
        <w:r>
          <w:rPr>
            <w:webHidden/>
          </w:rPr>
          <w:tab/>
        </w:r>
        <w:r>
          <w:rPr>
            <w:webHidden/>
          </w:rPr>
          <w:fldChar w:fldCharType="begin"/>
        </w:r>
        <w:r>
          <w:rPr>
            <w:webHidden/>
          </w:rPr>
          <w:instrText xml:space="preserve"> PAGEREF _Toc404560 \h </w:instrText>
        </w:r>
        <w:r>
          <w:rPr>
            <w:webHidden/>
          </w:rPr>
        </w:r>
        <w:r>
          <w:rPr>
            <w:webHidden/>
          </w:rPr>
          <w:fldChar w:fldCharType="separate"/>
        </w:r>
        <w:r w:rsidR="001B26B5">
          <w:rPr>
            <w:webHidden/>
          </w:rPr>
          <w:t>311</w:t>
        </w:r>
        <w:r>
          <w:rPr>
            <w:webHidden/>
          </w:rPr>
          <w:fldChar w:fldCharType="end"/>
        </w:r>
      </w:hyperlink>
    </w:p>
    <w:p w14:paraId="54C867E5" w14:textId="77777777" w:rsidR="0006561B" w:rsidRDefault="0006561B">
      <w:pPr>
        <w:pStyle w:val="TDC1"/>
        <w:rPr>
          <w:rFonts w:asciiTheme="minorHAnsi" w:eastAsiaTheme="minorEastAsia" w:hAnsiTheme="minorHAnsi" w:cstheme="minorBidi"/>
          <w:b w:val="0"/>
          <w:sz w:val="22"/>
          <w:szCs w:val="22"/>
          <w:lang w:val="es-ES" w:eastAsia="es-ES"/>
        </w:rPr>
      </w:pPr>
      <w:hyperlink w:anchor="_Toc404561" w:history="1">
        <w:r w:rsidRPr="003B1501">
          <w:rPr>
            <w:rStyle w:val="Hipervnculo"/>
          </w:rPr>
          <w:t>Artículo 700b. Eliminación de marcas viales.</w:t>
        </w:r>
        <w:r>
          <w:rPr>
            <w:webHidden/>
          </w:rPr>
          <w:tab/>
        </w:r>
        <w:r>
          <w:rPr>
            <w:webHidden/>
          </w:rPr>
          <w:fldChar w:fldCharType="begin"/>
        </w:r>
        <w:r>
          <w:rPr>
            <w:webHidden/>
          </w:rPr>
          <w:instrText xml:space="preserve"> PAGEREF _Toc404561 \h </w:instrText>
        </w:r>
        <w:r>
          <w:rPr>
            <w:webHidden/>
          </w:rPr>
        </w:r>
        <w:r>
          <w:rPr>
            <w:webHidden/>
          </w:rPr>
          <w:fldChar w:fldCharType="separate"/>
        </w:r>
        <w:r w:rsidR="001B26B5">
          <w:rPr>
            <w:webHidden/>
          </w:rPr>
          <w:t>313</w:t>
        </w:r>
        <w:r>
          <w:rPr>
            <w:webHidden/>
          </w:rPr>
          <w:fldChar w:fldCharType="end"/>
        </w:r>
      </w:hyperlink>
    </w:p>
    <w:p w14:paraId="274692E3" w14:textId="77777777" w:rsidR="0006561B" w:rsidRDefault="0006561B">
      <w:pPr>
        <w:pStyle w:val="TDC2"/>
        <w:rPr>
          <w:rFonts w:asciiTheme="minorHAnsi" w:eastAsiaTheme="minorEastAsia" w:hAnsiTheme="minorHAnsi" w:cstheme="minorBidi"/>
          <w:szCs w:val="22"/>
          <w:lang w:val="es-ES" w:eastAsia="es-ES"/>
        </w:rPr>
      </w:pPr>
      <w:hyperlink w:anchor="_Toc404562" w:history="1">
        <w:r w:rsidRPr="003B1501">
          <w:rPr>
            <w:rStyle w:val="Hipervnculo"/>
          </w:rPr>
          <w:t>700b.1. Aplicación</w:t>
        </w:r>
        <w:r>
          <w:rPr>
            <w:webHidden/>
          </w:rPr>
          <w:tab/>
        </w:r>
        <w:r>
          <w:rPr>
            <w:webHidden/>
          </w:rPr>
          <w:fldChar w:fldCharType="begin"/>
        </w:r>
        <w:r>
          <w:rPr>
            <w:webHidden/>
          </w:rPr>
          <w:instrText xml:space="preserve"> PAGEREF _Toc404562 \h </w:instrText>
        </w:r>
        <w:r>
          <w:rPr>
            <w:webHidden/>
          </w:rPr>
        </w:r>
        <w:r>
          <w:rPr>
            <w:webHidden/>
          </w:rPr>
          <w:fldChar w:fldCharType="separate"/>
        </w:r>
        <w:r w:rsidR="001B26B5">
          <w:rPr>
            <w:webHidden/>
          </w:rPr>
          <w:t>313</w:t>
        </w:r>
        <w:r>
          <w:rPr>
            <w:webHidden/>
          </w:rPr>
          <w:fldChar w:fldCharType="end"/>
        </w:r>
      </w:hyperlink>
    </w:p>
    <w:p w14:paraId="597DC802" w14:textId="77777777" w:rsidR="0006561B" w:rsidRDefault="0006561B">
      <w:pPr>
        <w:pStyle w:val="TDC2"/>
        <w:rPr>
          <w:rFonts w:asciiTheme="minorHAnsi" w:eastAsiaTheme="minorEastAsia" w:hAnsiTheme="minorHAnsi" w:cstheme="minorBidi"/>
          <w:szCs w:val="22"/>
          <w:lang w:val="es-ES" w:eastAsia="es-ES"/>
        </w:rPr>
      </w:pPr>
      <w:hyperlink w:anchor="_Toc404563" w:history="1">
        <w:r w:rsidRPr="003B1501">
          <w:rPr>
            <w:rStyle w:val="Hipervnculo"/>
          </w:rPr>
          <w:t>700b.2. Maquinaria</w:t>
        </w:r>
        <w:r>
          <w:rPr>
            <w:webHidden/>
          </w:rPr>
          <w:tab/>
        </w:r>
        <w:r>
          <w:rPr>
            <w:webHidden/>
          </w:rPr>
          <w:fldChar w:fldCharType="begin"/>
        </w:r>
        <w:r>
          <w:rPr>
            <w:webHidden/>
          </w:rPr>
          <w:instrText xml:space="preserve"> PAGEREF _Toc404563 \h </w:instrText>
        </w:r>
        <w:r>
          <w:rPr>
            <w:webHidden/>
          </w:rPr>
        </w:r>
        <w:r>
          <w:rPr>
            <w:webHidden/>
          </w:rPr>
          <w:fldChar w:fldCharType="separate"/>
        </w:r>
        <w:r w:rsidR="001B26B5">
          <w:rPr>
            <w:webHidden/>
          </w:rPr>
          <w:t>313</w:t>
        </w:r>
        <w:r>
          <w:rPr>
            <w:webHidden/>
          </w:rPr>
          <w:fldChar w:fldCharType="end"/>
        </w:r>
      </w:hyperlink>
    </w:p>
    <w:p w14:paraId="496EE1BF" w14:textId="77777777" w:rsidR="0006561B" w:rsidRDefault="0006561B">
      <w:pPr>
        <w:pStyle w:val="TDC2"/>
        <w:rPr>
          <w:rFonts w:asciiTheme="minorHAnsi" w:eastAsiaTheme="minorEastAsia" w:hAnsiTheme="minorHAnsi" w:cstheme="minorBidi"/>
          <w:szCs w:val="22"/>
          <w:lang w:val="es-ES" w:eastAsia="es-ES"/>
        </w:rPr>
      </w:pPr>
      <w:hyperlink w:anchor="_Toc404564" w:history="1">
        <w:r w:rsidRPr="003B1501">
          <w:rPr>
            <w:rStyle w:val="Hipervnculo"/>
          </w:rPr>
          <w:t>700b.3.</w:t>
        </w:r>
        <w:r>
          <w:rPr>
            <w:rFonts w:asciiTheme="minorHAnsi" w:eastAsiaTheme="minorEastAsia" w:hAnsiTheme="minorHAnsi" w:cstheme="minorBidi"/>
            <w:szCs w:val="22"/>
            <w:lang w:val="es-ES" w:eastAsia="es-ES"/>
          </w:rPr>
          <w:tab/>
        </w:r>
        <w:r w:rsidRPr="003B1501">
          <w:rPr>
            <w:rStyle w:val="Hipervnculo"/>
          </w:rPr>
          <w:t xml:space="preserve"> Ejecución de las obras</w:t>
        </w:r>
        <w:r>
          <w:rPr>
            <w:webHidden/>
          </w:rPr>
          <w:tab/>
        </w:r>
        <w:r>
          <w:rPr>
            <w:webHidden/>
          </w:rPr>
          <w:fldChar w:fldCharType="begin"/>
        </w:r>
        <w:r>
          <w:rPr>
            <w:webHidden/>
          </w:rPr>
          <w:instrText xml:space="preserve"> PAGEREF _Toc404564 \h </w:instrText>
        </w:r>
        <w:r>
          <w:rPr>
            <w:webHidden/>
          </w:rPr>
        </w:r>
        <w:r>
          <w:rPr>
            <w:webHidden/>
          </w:rPr>
          <w:fldChar w:fldCharType="separate"/>
        </w:r>
        <w:r w:rsidR="001B26B5">
          <w:rPr>
            <w:webHidden/>
          </w:rPr>
          <w:t>313</w:t>
        </w:r>
        <w:r>
          <w:rPr>
            <w:webHidden/>
          </w:rPr>
          <w:fldChar w:fldCharType="end"/>
        </w:r>
      </w:hyperlink>
    </w:p>
    <w:p w14:paraId="3DD7413E" w14:textId="77777777" w:rsidR="0006561B" w:rsidRDefault="0006561B">
      <w:pPr>
        <w:pStyle w:val="TDC2"/>
        <w:rPr>
          <w:rFonts w:asciiTheme="minorHAnsi" w:eastAsiaTheme="minorEastAsia" w:hAnsiTheme="minorHAnsi" w:cstheme="minorBidi"/>
          <w:szCs w:val="22"/>
          <w:lang w:val="es-ES" w:eastAsia="es-ES"/>
        </w:rPr>
      </w:pPr>
      <w:hyperlink w:anchor="_Toc404565" w:history="1">
        <w:r w:rsidRPr="003B1501">
          <w:rPr>
            <w:rStyle w:val="Hipervnculo"/>
          </w:rPr>
          <w:t>700b.4. Medición y abono</w:t>
        </w:r>
        <w:r>
          <w:rPr>
            <w:webHidden/>
          </w:rPr>
          <w:tab/>
        </w:r>
        <w:r>
          <w:rPr>
            <w:webHidden/>
          </w:rPr>
          <w:fldChar w:fldCharType="begin"/>
        </w:r>
        <w:r>
          <w:rPr>
            <w:webHidden/>
          </w:rPr>
          <w:instrText xml:space="preserve"> PAGEREF _Toc404565 \h </w:instrText>
        </w:r>
        <w:r>
          <w:rPr>
            <w:webHidden/>
          </w:rPr>
        </w:r>
        <w:r>
          <w:rPr>
            <w:webHidden/>
          </w:rPr>
          <w:fldChar w:fldCharType="separate"/>
        </w:r>
        <w:r w:rsidR="001B26B5">
          <w:rPr>
            <w:webHidden/>
          </w:rPr>
          <w:t>314</w:t>
        </w:r>
        <w:r>
          <w:rPr>
            <w:webHidden/>
          </w:rPr>
          <w:fldChar w:fldCharType="end"/>
        </w:r>
      </w:hyperlink>
    </w:p>
    <w:p w14:paraId="05EEADBC" w14:textId="77777777" w:rsidR="0006561B" w:rsidRDefault="0006561B">
      <w:pPr>
        <w:pStyle w:val="TDC1"/>
        <w:rPr>
          <w:rFonts w:asciiTheme="minorHAnsi" w:eastAsiaTheme="minorEastAsia" w:hAnsiTheme="minorHAnsi" w:cstheme="minorBidi"/>
          <w:b w:val="0"/>
          <w:sz w:val="22"/>
          <w:szCs w:val="22"/>
          <w:lang w:val="es-ES" w:eastAsia="es-ES"/>
        </w:rPr>
      </w:pPr>
      <w:hyperlink w:anchor="_Toc404566" w:history="1">
        <w:r w:rsidRPr="003B1501">
          <w:rPr>
            <w:rStyle w:val="Hipervnculo"/>
          </w:rPr>
          <w:t>Artículo 701. Señales y carteles verticales de circulación retrorreflectantes</w:t>
        </w:r>
        <w:r>
          <w:rPr>
            <w:webHidden/>
          </w:rPr>
          <w:tab/>
        </w:r>
        <w:r>
          <w:rPr>
            <w:webHidden/>
          </w:rPr>
          <w:fldChar w:fldCharType="begin"/>
        </w:r>
        <w:r>
          <w:rPr>
            <w:webHidden/>
          </w:rPr>
          <w:instrText xml:space="preserve"> PAGEREF _Toc404566 \h </w:instrText>
        </w:r>
        <w:r>
          <w:rPr>
            <w:webHidden/>
          </w:rPr>
        </w:r>
        <w:r>
          <w:rPr>
            <w:webHidden/>
          </w:rPr>
          <w:fldChar w:fldCharType="separate"/>
        </w:r>
        <w:r w:rsidR="001B26B5">
          <w:rPr>
            <w:webHidden/>
          </w:rPr>
          <w:t>315</w:t>
        </w:r>
        <w:r>
          <w:rPr>
            <w:webHidden/>
          </w:rPr>
          <w:fldChar w:fldCharType="end"/>
        </w:r>
      </w:hyperlink>
    </w:p>
    <w:p w14:paraId="308BC057" w14:textId="77777777" w:rsidR="0006561B" w:rsidRDefault="0006561B">
      <w:pPr>
        <w:pStyle w:val="TDC2"/>
        <w:rPr>
          <w:rFonts w:asciiTheme="minorHAnsi" w:eastAsiaTheme="minorEastAsia" w:hAnsiTheme="minorHAnsi" w:cstheme="minorBidi"/>
          <w:szCs w:val="22"/>
          <w:lang w:val="es-ES" w:eastAsia="es-ES"/>
        </w:rPr>
      </w:pPr>
      <w:hyperlink w:anchor="_Toc404567" w:history="1">
        <w:r w:rsidRPr="003B1501">
          <w:rPr>
            <w:rStyle w:val="Hipervnculo"/>
          </w:rPr>
          <w:t xml:space="preserve">701.1. </w:t>
        </w:r>
        <w:r>
          <w:rPr>
            <w:rFonts w:asciiTheme="minorHAnsi" w:eastAsiaTheme="minorEastAsia" w:hAnsiTheme="minorHAnsi" w:cstheme="minorBidi"/>
            <w:szCs w:val="22"/>
            <w:lang w:val="es-ES" w:eastAsia="es-ES"/>
          </w:rPr>
          <w:tab/>
        </w:r>
        <w:r w:rsidRPr="003B1501">
          <w:rPr>
            <w:rStyle w:val="Hipervnculo"/>
          </w:rPr>
          <w:t>Definición. Aplicación</w:t>
        </w:r>
        <w:r>
          <w:rPr>
            <w:webHidden/>
          </w:rPr>
          <w:tab/>
        </w:r>
        <w:r>
          <w:rPr>
            <w:webHidden/>
          </w:rPr>
          <w:fldChar w:fldCharType="begin"/>
        </w:r>
        <w:r>
          <w:rPr>
            <w:webHidden/>
          </w:rPr>
          <w:instrText xml:space="preserve"> PAGEREF _Toc404567 \h </w:instrText>
        </w:r>
        <w:r>
          <w:rPr>
            <w:webHidden/>
          </w:rPr>
        </w:r>
        <w:r>
          <w:rPr>
            <w:webHidden/>
          </w:rPr>
          <w:fldChar w:fldCharType="separate"/>
        </w:r>
        <w:r w:rsidR="001B26B5">
          <w:rPr>
            <w:webHidden/>
          </w:rPr>
          <w:t>315</w:t>
        </w:r>
        <w:r>
          <w:rPr>
            <w:webHidden/>
          </w:rPr>
          <w:fldChar w:fldCharType="end"/>
        </w:r>
      </w:hyperlink>
    </w:p>
    <w:p w14:paraId="7C5EA889" w14:textId="77777777" w:rsidR="0006561B" w:rsidRDefault="0006561B">
      <w:pPr>
        <w:pStyle w:val="TDC2"/>
        <w:rPr>
          <w:rFonts w:asciiTheme="minorHAnsi" w:eastAsiaTheme="minorEastAsia" w:hAnsiTheme="minorHAnsi" w:cstheme="minorBidi"/>
          <w:szCs w:val="22"/>
          <w:lang w:val="es-ES" w:eastAsia="es-ES"/>
        </w:rPr>
      </w:pPr>
      <w:hyperlink w:anchor="_Toc404568" w:history="1">
        <w:r w:rsidRPr="003B1501">
          <w:rPr>
            <w:rStyle w:val="Hipervnculo"/>
          </w:rPr>
          <w:t>701.2. Tipos</w:t>
        </w:r>
        <w:r>
          <w:rPr>
            <w:webHidden/>
          </w:rPr>
          <w:tab/>
        </w:r>
        <w:r>
          <w:rPr>
            <w:webHidden/>
          </w:rPr>
          <w:fldChar w:fldCharType="begin"/>
        </w:r>
        <w:r>
          <w:rPr>
            <w:webHidden/>
          </w:rPr>
          <w:instrText xml:space="preserve"> PAGEREF _Toc404568 \h </w:instrText>
        </w:r>
        <w:r>
          <w:rPr>
            <w:webHidden/>
          </w:rPr>
        </w:r>
        <w:r>
          <w:rPr>
            <w:webHidden/>
          </w:rPr>
          <w:fldChar w:fldCharType="separate"/>
        </w:r>
        <w:r w:rsidR="001B26B5">
          <w:rPr>
            <w:webHidden/>
          </w:rPr>
          <w:t>316</w:t>
        </w:r>
        <w:r>
          <w:rPr>
            <w:webHidden/>
          </w:rPr>
          <w:fldChar w:fldCharType="end"/>
        </w:r>
      </w:hyperlink>
    </w:p>
    <w:p w14:paraId="5674954A" w14:textId="77777777" w:rsidR="0006561B" w:rsidRDefault="0006561B">
      <w:pPr>
        <w:pStyle w:val="TDC2"/>
        <w:rPr>
          <w:rFonts w:asciiTheme="minorHAnsi" w:eastAsiaTheme="minorEastAsia" w:hAnsiTheme="minorHAnsi" w:cstheme="minorBidi"/>
          <w:szCs w:val="22"/>
          <w:lang w:val="es-ES" w:eastAsia="es-ES"/>
        </w:rPr>
      </w:pPr>
      <w:hyperlink w:anchor="_Toc404569" w:history="1">
        <w:r w:rsidRPr="003B1501">
          <w:rPr>
            <w:rStyle w:val="Hipervnculo"/>
          </w:rPr>
          <w:t>701.3. Materiales</w:t>
        </w:r>
        <w:r>
          <w:rPr>
            <w:webHidden/>
          </w:rPr>
          <w:tab/>
        </w:r>
        <w:r>
          <w:rPr>
            <w:webHidden/>
          </w:rPr>
          <w:fldChar w:fldCharType="begin"/>
        </w:r>
        <w:r>
          <w:rPr>
            <w:webHidden/>
          </w:rPr>
          <w:instrText xml:space="preserve"> PAGEREF _Toc404569 \h </w:instrText>
        </w:r>
        <w:r>
          <w:rPr>
            <w:webHidden/>
          </w:rPr>
        </w:r>
        <w:r>
          <w:rPr>
            <w:webHidden/>
          </w:rPr>
          <w:fldChar w:fldCharType="separate"/>
        </w:r>
        <w:r w:rsidR="001B26B5">
          <w:rPr>
            <w:webHidden/>
          </w:rPr>
          <w:t>316</w:t>
        </w:r>
        <w:r>
          <w:rPr>
            <w:webHidden/>
          </w:rPr>
          <w:fldChar w:fldCharType="end"/>
        </w:r>
      </w:hyperlink>
    </w:p>
    <w:p w14:paraId="51902C19" w14:textId="77777777" w:rsidR="0006561B" w:rsidRDefault="0006561B">
      <w:pPr>
        <w:pStyle w:val="TDC2"/>
        <w:rPr>
          <w:rFonts w:asciiTheme="minorHAnsi" w:eastAsiaTheme="minorEastAsia" w:hAnsiTheme="minorHAnsi" w:cstheme="minorBidi"/>
          <w:szCs w:val="22"/>
          <w:lang w:val="es-ES" w:eastAsia="es-ES"/>
        </w:rPr>
      </w:pPr>
      <w:hyperlink w:anchor="_Toc404570" w:history="1">
        <w:r w:rsidRPr="003B1501">
          <w:rPr>
            <w:rStyle w:val="Hipervnculo"/>
          </w:rPr>
          <w:t>701.4. Especificaciones de la unidad terminada</w:t>
        </w:r>
        <w:r>
          <w:rPr>
            <w:webHidden/>
          </w:rPr>
          <w:tab/>
        </w:r>
        <w:r>
          <w:rPr>
            <w:webHidden/>
          </w:rPr>
          <w:fldChar w:fldCharType="begin"/>
        </w:r>
        <w:r>
          <w:rPr>
            <w:webHidden/>
          </w:rPr>
          <w:instrText xml:space="preserve"> PAGEREF _Toc404570 \h </w:instrText>
        </w:r>
        <w:r>
          <w:rPr>
            <w:webHidden/>
          </w:rPr>
        </w:r>
        <w:r>
          <w:rPr>
            <w:webHidden/>
          </w:rPr>
          <w:fldChar w:fldCharType="separate"/>
        </w:r>
        <w:r w:rsidR="001B26B5">
          <w:rPr>
            <w:webHidden/>
          </w:rPr>
          <w:t>319</w:t>
        </w:r>
        <w:r>
          <w:rPr>
            <w:webHidden/>
          </w:rPr>
          <w:fldChar w:fldCharType="end"/>
        </w:r>
      </w:hyperlink>
    </w:p>
    <w:p w14:paraId="22F88A5C" w14:textId="77777777" w:rsidR="0006561B" w:rsidRDefault="0006561B">
      <w:pPr>
        <w:pStyle w:val="TDC2"/>
        <w:rPr>
          <w:rFonts w:asciiTheme="minorHAnsi" w:eastAsiaTheme="minorEastAsia" w:hAnsiTheme="minorHAnsi" w:cstheme="minorBidi"/>
          <w:szCs w:val="22"/>
          <w:lang w:val="es-ES" w:eastAsia="es-ES"/>
        </w:rPr>
      </w:pPr>
      <w:hyperlink w:anchor="_Toc404571" w:history="1">
        <w:r w:rsidRPr="003B1501">
          <w:rPr>
            <w:rStyle w:val="Hipervnculo"/>
          </w:rPr>
          <w:t>701.5. Ejecución de las obras</w:t>
        </w:r>
        <w:r>
          <w:rPr>
            <w:webHidden/>
          </w:rPr>
          <w:tab/>
        </w:r>
        <w:r>
          <w:rPr>
            <w:webHidden/>
          </w:rPr>
          <w:fldChar w:fldCharType="begin"/>
        </w:r>
        <w:r>
          <w:rPr>
            <w:webHidden/>
          </w:rPr>
          <w:instrText xml:space="preserve"> PAGEREF _Toc404571 \h </w:instrText>
        </w:r>
        <w:r>
          <w:rPr>
            <w:webHidden/>
          </w:rPr>
        </w:r>
        <w:r>
          <w:rPr>
            <w:webHidden/>
          </w:rPr>
          <w:fldChar w:fldCharType="separate"/>
        </w:r>
        <w:r w:rsidR="001B26B5">
          <w:rPr>
            <w:webHidden/>
          </w:rPr>
          <w:t>319</w:t>
        </w:r>
        <w:r>
          <w:rPr>
            <w:webHidden/>
          </w:rPr>
          <w:fldChar w:fldCharType="end"/>
        </w:r>
      </w:hyperlink>
    </w:p>
    <w:p w14:paraId="33E0A5A4" w14:textId="77777777" w:rsidR="0006561B" w:rsidRDefault="0006561B">
      <w:pPr>
        <w:pStyle w:val="TDC2"/>
        <w:rPr>
          <w:rFonts w:asciiTheme="minorHAnsi" w:eastAsiaTheme="minorEastAsia" w:hAnsiTheme="minorHAnsi" w:cstheme="minorBidi"/>
          <w:szCs w:val="22"/>
          <w:lang w:val="es-ES" w:eastAsia="es-ES"/>
        </w:rPr>
      </w:pPr>
      <w:hyperlink w:anchor="_Toc404572" w:history="1">
        <w:r w:rsidRPr="003B1501">
          <w:rPr>
            <w:rStyle w:val="Hipervnculo"/>
          </w:rPr>
          <w:t>701.6. Limitaciones de la ejecución</w:t>
        </w:r>
        <w:r>
          <w:rPr>
            <w:webHidden/>
          </w:rPr>
          <w:tab/>
        </w:r>
        <w:r>
          <w:rPr>
            <w:webHidden/>
          </w:rPr>
          <w:fldChar w:fldCharType="begin"/>
        </w:r>
        <w:r>
          <w:rPr>
            <w:webHidden/>
          </w:rPr>
          <w:instrText xml:space="preserve"> PAGEREF _Toc404572 \h </w:instrText>
        </w:r>
        <w:r>
          <w:rPr>
            <w:webHidden/>
          </w:rPr>
        </w:r>
        <w:r>
          <w:rPr>
            <w:webHidden/>
          </w:rPr>
          <w:fldChar w:fldCharType="separate"/>
        </w:r>
        <w:r w:rsidR="001B26B5">
          <w:rPr>
            <w:webHidden/>
          </w:rPr>
          <w:t>320</w:t>
        </w:r>
        <w:r>
          <w:rPr>
            <w:webHidden/>
          </w:rPr>
          <w:fldChar w:fldCharType="end"/>
        </w:r>
      </w:hyperlink>
    </w:p>
    <w:p w14:paraId="4C3F6396" w14:textId="77777777" w:rsidR="0006561B" w:rsidRDefault="0006561B">
      <w:pPr>
        <w:pStyle w:val="TDC2"/>
        <w:rPr>
          <w:rFonts w:asciiTheme="minorHAnsi" w:eastAsiaTheme="minorEastAsia" w:hAnsiTheme="minorHAnsi" w:cstheme="minorBidi"/>
          <w:szCs w:val="22"/>
          <w:lang w:val="es-ES" w:eastAsia="es-ES"/>
        </w:rPr>
      </w:pPr>
      <w:hyperlink w:anchor="_Toc404573" w:history="1">
        <w:r w:rsidRPr="003B1501">
          <w:rPr>
            <w:rStyle w:val="Hipervnculo"/>
          </w:rPr>
          <w:t>701.7. Control de Calidad</w:t>
        </w:r>
        <w:r>
          <w:rPr>
            <w:webHidden/>
          </w:rPr>
          <w:tab/>
        </w:r>
        <w:r>
          <w:rPr>
            <w:webHidden/>
          </w:rPr>
          <w:fldChar w:fldCharType="begin"/>
        </w:r>
        <w:r>
          <w:rPr>
            <w:webHidden/>
          </w:rPr>
          <w:instrText xml:space="preserve"> PAGEREF _Toc404573 \h </w:instrText>
        </w:r>
        <w:r>
          <w:rPr>
            <w:webHidden/>
          </w:rPr>
        </w:r>
        <w:r>
          <w:rPr>
            <w:webHidden/>
          </w:rPr>
          <w:fldChar w:fldCharType="separate"/>
        </w:r>
        <w:r w:rsidR="001B26B5">
          <w:rPr>
            <w:webHidden/>
          </w:rPr>
          <w:t>320</w:t>
        </w:r>
        <w:r>
          <w:rPr>
            <w:webHidden/>
          </w:rPr>
          <w:fldChar w:fldCharType="end"/>
        </w:r>
      </w:hyperlink>
    </w:p>
    <w:p w14:paraId="36DC579F" w14:textId="77777777" w:rsidR="0006561B" w:rsidRDefault="0006561B">
      <w:pPr>
        <w:pStyle w:val="TDC2"/>
        <w:rPr>
          <w:rFonts w:asciiTheme="minorHAnsi" w:eastAsiaTheme="minorEastAsia" w:hAnsiTheme="minorHAnsi" w:cstheme="minorBidi"/>
          <w:szCs w:val="22"/>
          <w:lang w:val="es-ES" w:eastAsia="es-ES"/>
        </w:rPr>
      </w:pPr>
      <w:hyperlink w:anchor="_Toc404574" w:history="1">
        <w:r w:rsidRPr="003B1501">
          <w:rPr>
            <w:rStyle w:val="Hipervnculo"/>
          </w:rPr>
          <w:t>701.10. Medición y Abono</w:t>
        </w:r>
        <w:r>
          <w:rPr>
            <w:webHidden/>
          </w:rPr>
          <w:tab/>
        </w:r>
        <w:r>
          <w:rPr>
            <w:webHidden/>
          </w:rPr>
          <w:fldChar w:fldCharType="begin"/>
        </w:r>
        <w:r>
          <w:rPr>
            <w:webHidden/>
          </w:rPr>
          <w:instrText xml:space="preserve"> PAGEREF _Toc404574 \h </w:instrText>
        </w:r>
        <w:r>
          <w:rPr>
            <w:webHidden/>
          </w:rPr>
        </w:r>
        <w:r>
          <w:rPr>
            <w:webHidden/>
          </w:rPr>
          <w:fldChar w:fldCharType="separate"/>
        </w:r>
        <w:r w:rsidR="001B26B5">
          <w:rPr>
            <w:webHidden/>
          </w:rPr>
          <w:t>320</w:t>
        </w:r>
        <w:r>
          <w:rPr>
            <w:webHidden/>
          </w:rPr>
          <w:fldChar w:fldCharType="end"/>
        </w:r>
      </w:hyperlink>
    </w:p>
    <w:p w14:paraId="3E1A3857" w14:textId="77777777" w:rsidR="0006561B" w:rsidRDefault="0006561B">
      <w:pPr>
        <w:pStyle w:val="TDC1"/>
        <w:rPr>
          <w:rFonts w:asciiTheme="minorHAnsi" w:eastAsiaTheme="minorEastAsia" w:hAnsiTheme="minorHAnsi" w:cstheme="minorBidi"/>
          <w:b w:val="0"/>
          <w:sz w:val="22"/>
          <w:szCs w:val="22"/>
          <w:lang w:val="es-ES" w:eastAsia="es-ES"/>
        </w:rPr>
      </w:pPr>
      <w:hyperlink w:anchor="_Toc404575" w:history="1">
        <w:r w:rsidRPr="003B1501">
          <w:rPr>
            <w:rStyle w:val="Hipervnculo"/>
          </w:rPr>
          <w:t>Artículo 702. Captafaros retrorreflectantes de utilización en señalizacion horizontal</w:t>
        </w:r>
        <w:r>
          <w:rPr>
            <w:webHidden/>
          </w:rPr>
          <w:tab/>
        </w:r>
        <w:r>
          <w:rPr>
            <w:webHidden/>
          </w:rPr>
          <w:fldChar w:fldCharType="begin"/>
        </w:r>
        <w:r>
          <w:rPr>
            <w:webHidden/>
          </w:rPr>
          <w:instrText xml:space="preserve"> PAGEREF _Toc404575 \h </w:instrText>
        </w:r>
        <w:r>
          <w:rPr>
            <w:webHidden/>
          </w:rPr>
        </w:r>
        <w:r>
          <w:rPr>
            <w:webHidden/>
          </w:rPr>
          <w:fldChar w:fldCharType="separate"/>
        </w:r>
        <w:r w:rsidR="001B26B5">
          <w:rPr>
            <w:webHidden/>
          </w:rPr>
          <w:t>321</w:t>
        </w:r>
        <w:r>
          <w:rPr>
            <w:webHidden/>
          </w:rPr>
          <w:fldChar w:fldCharType="end"/>
        </w:r>
      </w:hyperlink>
    </w:p>
    <w:p w14:paraId="0EF049AF" w14:textId="77777777" w:rsidR="0006561B" w:rsidRDefault="0006561B">
      <w:pPr>
        <w:pStyle w:val="TDC2"/>
        <w:rPr>
          <w:rFonts w:asciiTheme="minorHAnsi" w:eastAsiaTheme="minorEastAsia" w:hAnsiTheme="minorHAnsi" w:cstheme="minorBidi"/>
          <w:szCs w:val="22"/>
          <w:lang w:val="es-ES" w:eastAsia="es-ES"/>
        </w:rPr>
      </w:pPr>
      <w:hyperlink w:anchor="_Toc404576" w:history="1">
        <w:r w:rsidRPr="003B1501">
          <w:rPr>
            <w:rStyle w:val="Hipervnculo"/>
          </w:rPr>
          <w:t>702.1. Definición y aplicación</w:t>
        </w:r>
        <w:r>
          <w:rPr>
            <w:webHidden/>
          </w:rPr>
          <w:tab/>
        </w:r>
        <w:r>
          <w:rPr>
            <w:webHidden/>
          </w:rPr>
          <w:fldChar w:fldCharType="begin"/>
        </w:r>
        <w:r>
          <w:rPr>
            <w:webHidden/>
          </w:rPr>
          <w:instrText xml:space="preserve"> PAGEREF _Toc404576 \h </w:instrText>
        </w:r>
        <w:r>
          <w:rPr>
            <w:webHidden/>
          </w:rPr>
        </w:r>
        <w:r>
          <w:rPr>
            <w:webHidden/>
          </w:rPr>
          <w:fldChar w:fldCharType="separate"/>
        </w:r>
        <w:r w:rsidR="001B26B5">
          <w:rPr>
            <w:webHidden/>
          </w:rPr>
          <w:t>321</w:t>
        </w:r>
        <w:r>
          <w:rPr>
            <w:webHidden/>
          </w:rPr>
          <w:fldChar w:fldCharType="end"/>
        </w:r>
      </w:hyperlink>
    </w:p>
    <w:p w14:paraId="33477D84" w14:textId="77777777" w:rsidR="0006561B" w:rsidRDefault="0006561B">
      <w:pPr>
        <w:pStyle w:val="TDC2"/>
        <w:rPr>
          <w:rFonts w:asciiTheme="minorHAnsi" w:eastAsiaTheme="minorEastAsia" w:hAnsiTheme="minorHAnsi" w:cstheme="minorBidi"/>
          <w:szCs w:val="22"/>
          <w:lang w:val="es-ES" w:eastAsia="es-ES"/>
        </w:rPr>
      </w:pPr>
      <w:hyperlink w:anchor="_Toc404577" w:history="1">
        <w:r w:rsidRPr="003B1501">
          <w:rPr>
            <w:rStyle w:val="Hipervnculo"/>
          </w:rPr>
          <w:t>702.2. Tipos</w:t>
        </w:r>
        <w:r>
          <w:rPr>
            <w:webHidden/>
          </w:rPr>
          <w:tab/>
        </w:r>
        <w:r>
          <w:rPr>
            <w:webHidden/>
          </w:rPr>
          <w:fldChar w:fldCharType="begin"/>
        </w:r>
        <w:r>
          <w:rPr>
            <w:webHidden/>
          </w:rPr>
          <w:instrText xml:space="preserve"> PAGEREF _Toc404577 \h </w:instrText>
        </w:r>
        <w:r>
          <w:rPr>
            <w:webHidden/>
          </w:rPr>
        </w:r>
        <w:r>
          <w:rPr>
            <w:webHidden/>
          </w:rPr>
          <w:fldChar w:fldCharType="separate"/>
        </w:r>
        <w:r w:rsidR="001B26B5">
          <w:rPr>
            <w:webHidden/>
          </w:rPr>
          <w:t>321</w:t>
        </w:r>
        <w:r>
          <w:rPr>
            <w:webHidden/>
          </w:rPr>
          <w:fldChar w:fldCharType="end"/>
        </w:r>
      </w:hyperlink>
    </w:p>
    <w:p w14:paraId="58A6FA9B" w14:textId="77777777" w:rsidR="0006561B" w:rsidRDefault="0006561B">
      <w:pPr>
        <w:pStyle w:val="TDC2"/>
        <w:rPr>
          <w:rFonts w:asciiTheme="minorHAnsi" w:eastAsiaTheme="minorEastAsia" w:hAnsiTheme="minorHAnsi" w:cstheme="minorBidi"/>
          <w:szCs w:val="22"/>
          <w:lang w:val="es-ES" w:eastAsia="es-ES"/>
        </w:rPr>
      </w:pPr>
      <w:hyperlink w:anchor="_Toc404578" w:history="1">
        <w:r w:rsidRPr="003B1501">
          <w:rPr>
            <w:rStyle w:val="Hipervnculo"/>
          </w:rPr>
          <w:t>702.3. Materiales</w:t>
        </w:r>
        <w:r>
          <w:rPr>
            <w:webHidden/>
          </w:rPr>
          <w:tab/>
        </w:r>
        <w:r>
          <w:rPr>
            <w:webHidden/>
          </w:rPr>
          <w:fldChar w:fldCharType="begin"/>
        </w:r>
        <w:r>
          <w:rPr>
            <w:webHidden/>
          </w:rPr>
          <w:instrText xml:space="preserve"> PAGEREF _Toc404578 \h </w:instrText>
        </w:r>
        <w:r>
          <w:rPr>
            <w:webHidden/>
          </w:rPr>
        </w:r>
        <w:r>
          <w:rPr>
            <w:webHidden/>
          </w:rPr>
          <w:fldChar w:fldCharType="separate"/>
        </w:r>
        <w:r w:rsidR="001B26B5">
          <w:rPr>
            <w:webHidden/>
          </w:rPr>
          <w:t>321</w:t>
        </w:r>
        <w:r>
          <w:rPr>
            <w:webHidden/>
          </w:rPr>
          <w:fldChar w:fldCharType="end"/>
        </w:r>
      </w:hyperlink>
    </w:p>
    <w:p w14:paraId="18E8FB5B" w14:textId="77777777" w:rsidR="0006561B" w:rsidRDefault="0006561B">
      <w:pPr>
        <w:pStyle w:val="TDC2"/>
        <w:rPr>
          <w:rFonts w:asciiTheme="minorHAnsi" w:eastAsiaTheme="minorEastAsia" w:hAnsiTheme="minorHAnsi" w:cstheme="minorBidi"/>
          <w:szCs w:val="22"/>
          <w:lang w:val="es-ES" w:eastAsia="es-ES"/>
        </w:rPr>
      </w:pPr>
      <w:hyperlink w:anchor="_Toc404579" w:history="1">
        <w:r w:rsidRPr="003B1501">
          <w:rPr>
            <w:rStyle w:val="Hipervnculo"/>
          </w:rPr>
          <w:t>702.4. Ejecución de las obras</w:t>
        </w:r>
        <w:r>
          <w:rPr>
            <w:webHidden/>
          </w:rPr>
          <w:tab/>
        </w:r>
        <w:r>
          <w:rPr>
            <w:webHidden/>
          </w:rPr>
          <w:fldChar w:fldCharType="begin"/>
        </w:r>
        <w:r>
          <w:rPr>
            <w:webHidden/>
          </w:rPr>
          <w:instrText xml:space="preserve"> PAGEREF _Toc404579 \h </w:instrText>
        </w:r>
        <w:r>
          <w:rPr>
            <w:webHidden/>
          </w:rPr>
        </w:r>
        <w:r>
          <w:rPr>
            <w:webHidden/>
          </w:rPr>
          <w:fldChar w:fldCharType="separate"/>
        </w:r>
        <w:r w:rsidR="001B26B5">
          <w:rPr>
            <w:webHidden/>
          </w:rPr>
          <w:t>321</w:t>
        </w:r>
        <w:r>
          <w:rPr>
            <w:webHidden/>
          </w:rPr>
          <w:fldChar w:fldCharType="end"/>
        </w:r>
      </w:hyperlink>
    </w:p>
    <w:p w14:paraId="3CFF8CE1" w14:textId="77777777" w:rsidR="0006561B" w:rsidRDefault="0006561B">
      <w:pPr>
        <w:pStyle w:val="TDC2"/>
        <w:rPr>
          <w:rFonts w:asciiTheme="minorHAnsi" w:eastAsiaTheme="minorEastAsia" w:hAnsiTheme="minorHAnsi" w:cstheme="minorBidi"/>
          <w:szCs w:val="22"/>
          <w:lang w:val="es-ES" w:eastAsia="es-ES"/>
        </w:rPr>
      </w:pPr>
      <w:hyperlink w:anchor="_Toc404580" w:history="1">
        <w:r w:rsidRPr="003B1501">
          <w:rPr>
            <w:rStyle w:val="Hipervnculo"/>
          </w:rPr>
          <w:t>702.5. Limitaciones de la ejecución</w:t>
        </w:r>
        <w:r>
          <w:rPr>
            <w:webHidden/>
          </w:rPr>
          <w:tab/>
        </w:r>
        <w:r>
          <w:rPr>
            <w:webHidden/>
          </w:rPr>
          <w:fldChar w:fldCharType="begin"/>
        </w:r>
        <w:r>
          <w:rPr>
            <w:webHidden/>
          </w:rPr>
          <w:instrText xml:space="preserve"> PAGEREF _Toc404580 \h </w:instrText>
        </w:r>
        <w:r>
          <w:rPr>
            <w:webHidden/>
          </w:rPr>
        </w:r>
        <w:r>
          <w:rPr>
            <w:webHidden/>
          </w:rPr>
          <w:fldChar w:fldCharType="separate"/>
        </w:r>
        <w:r w:rsidR="001B26B5">
          <w:rPr>
            <w:webHidden/>
          </w:rPr>
          <w:t>321</w:t>
        </w:r>
        <w:r>
          <w:rPr>
            <w:webHidden/>
          </w:rPr>
          <w:fldChar w:fldCharType="end"/>
        </w:r>
      </w:hyperlink>
    </w:p>
    <w:p w14:paraId="32CC5DC5" w14:textId="77777777" w:rsidR="0006561B" w:rsidRDefault="0006561B">
      <w:pPr>
        <w:pStyle w:val="TDC2"/>
        <w:rPr>
          <w:rFonts w:asciiTheme="minorHAnsi" w:eastAsiaTheme="minorEastAsia" w:hAnsiTheme="minorHAnsi" w:cstheme="minorBidi"/>
          <w:szCs w:val="22"/>
          <w:lang w:val="es-ES" w:eastAsia="es-ES"/>
        </w:rPr>
      </w:pPr>
      <w:hyperlink w:anchor="_Toc404581" w:history="1">
        <w:r w:rsidRPr="003B1501">
          <w:rPr>
            <w:rStyle w:val="Hipervnculo"/>
          </w:rPr>
          <w:t>702.6. Control de calidad</w:t>
        </w:r>
        <w:r>
          <w:rPr>
            <w:webHidden/>
          </w:rPr>
          <w:tab/>
        </w:r>
        <w:r>
          <w:rPr>
            <w:webHidden/>
          </w:rPr>
          <w:fldChar w:fldCharType="begin"/>
        </w:r>
        <w:r>
          <w:rPr>
            <w:webHidden/>
          </w:rPr>
          <w:instrText xml:space="preserve"> PAGEREF _Toc404581 \h </w:instrText>
        </w:r>
        <w:r>
          <w:rPr>
            <w:webHidden/>
          </w:rPr>
        </w:r>
        <w:r>
          <w:rPr>
            <w:webHidden/>
          </w:rPr>
          <w:fldChar w:fldCharType="separate"/>
        </w:r>
        <w:r w:rsidR="001B26B5">
          <w:rPr>
            <w:webHidden/>
          </w:rPr>
          <w:t>322</w:t>
        </w:r>
        <w:r>
          <w:rPr>
            <w:webHidden/>
          </w:rPr>
          <w:fldChar w:fldCharType="end"/>
        </w:r>
      </w:hyperlink>
    </w:p>
    <w:p w14:paraId="653613B9" w14:textId="77777777" w:rsidR="0006561B" w:rsidRDefault="0006561B">
      <w:pPr>
        <w:pStyle w:val="TDC2"/>
        <w:rPr>
          <w:rFonts w:asciiTheme="minorHAnsi" w:eastAsiaTheme="minorEastAsia" w:hAnsiTheme="minorHAnsi" w:cstheme="minorBidi"/>
          <w:szCs w:val="22"/>
          <w:lang w:val="es-ES" w:eastAsia="es-ES"/>
        </w:rPr>
      </w:pPr>
      <w:hyperlink w:anchor="_Toc404582" w:history="1">
        <w:r w:rsidRPr="003B1501">
          <w:rPr>
            <w:rStyle w:val="Hipervnculo"/>
          </w:rPr>
          <w:t>702.7.  Condiciones de aceptación o rechazo</w:t>
        </w:r>
        <w:r>
          <w:rPr>
            <w:webHidden/>
          </w:rPr>
          <w:tab/>
        </w:r>
        <w:r>
          <w:rPr>
            <w:webHidden/>
          </w:rPr>
          <w:fldChar w:fldCharType="begin"/>
        </w:r>
        <w:r>
          <w:rPr>
            <w:webHidden/>
          </w:rPr>
          <w:instrText xml:space="preserve"> PAGEREF _Toc404582 \h </w:instrText>
        </w:r>
        <w:r>
          <w:rPr>
            <w:webHidden/>
          </w:rPr>
        </w:r>
        <w:r>
          <w:rPr>
            <w:webHidden/>
          </w:rPr>
          <w:fldChar w:fldCharType="separate"/>
        </w:r>
        <w:r w:rsidR="001B26B5">
          <w:rPr>
            <w:webHidden/>
          </w:rPr>
          <w:t>322</w:t>
        </w:r>
        <w:r>
          <w:rPr>
            <w:webHidden/>
          </w:rPr>
          <w:fldChar w:fldCharType="end"/>
        </w:r>
      </w:hyperlink>
    </w:p>
    <w:p w14:paraId="669F9325" w14:textId="77777777" w:rsidR="0006561B" w:rsidRDefault="0006561B">
      <w:pPr>
        <w:pStyle w:val="TDC2"/>
        <w:rPr>
          <w:rFonts w:asciiTheme="minorHAnsi" w:eastAsiaTheme="minorEastAsia" w:hAnsiTheme="minorHAnsi" w:cstheme="minorBidi"/>
          <w:szCs w:val="22"/>
          <w:lang w:val="es-ES" w:eastAsia="es-ES"/>
        </w:rPr>
      </w:pPr>
      <w:hyperlink w:anchor="_Toc404583" w:history="1">
        <w:r w:rsidRPr="003B1501">
          <w:rPr>
            <w:rStyle w:val="Hipervnculo"/>
          </w:rPr>
          <w:t>702.8. Periodo de garantía</w:t>
        </w:r>
        <w:r>
          <w:rPr>
            <w:webHidden/>
          </w:rPr>
          <w:tab/>
        </w:r>
        <w:r>
          <w:rPr>
            <w:webHidden/>
          </w:rPr>
          <w:fldChar w:fldCharType="begin"/>
        </w:r>
        <w:r>
          <w:rPr>
            <w:webHidden/>
          </w:rPr>
          <w:instrText xml:space="preserve"> PAGEREF _Toc404583 \h </w:instrText>
        </w:r>
        <w:r>
          <w:rPr>
            <w:webHidden/>
          </w:rPr>
        </w:r>
        <w:r>
          <w:rPr>
            <w:webHidden/>
          </w:rPr>
          <w:fldChar w:fldCharType="separate"/>
        </w:r>
        <w:r w:rsidR="001B26B5">
          <w:rPr>
            <w:webHidden/>
          </w:rPr>
          <w:t>323</w:t>
        </w:r>
        <w:r>
          <w:rPr>
            <w:webHidden/>
          </w:rPr>
          <w:fldChar w:fldCharType="end"/>
        </w:r>
      </w:hyperlink>
    </w:p>
    <w:p w14:paraId="12DCE4B6" w14:textId="77777777" w:rsidR="0006561B" w:rsidRDefault="0006561B">
      <w:pPr>
        <w:pStyle w:val="TDC2"/>
        <w:rPr>
          <w:rFonts w:asciiTheme="minorHAnsi" w:eastAsiaTheme="minorEastAsia" w:hAnsiTheme="minorHAnsi" w:cstheme="minorBidi"/>
          <w:szCs w:val="22"/>
          <w:lang w:val="es-ES" w:eastAsia="es-ES"/>
        </w:rPr>
      </w:pPr>
      <w:hyperlink w:anchor="_Toc404584" w:history="1">
        <w:r w:rsidRPr="003B1501">
          <w:rPr>
            <w:rStyle w:val="Hipervnculo"/>
          </w:rPr>
          <w:t>702.9. Medición y abono</w:t>
        </w:r>
        <w:r>
          <w:rPr>
            <w:webHidden/>
          </w:rPr>
          <w:tab/>
        </w:r>
        <w:r>
          <w:rPr>
            <w:webHidden/>
          </w:rPr>
          <w:fldChar w:fldCharType="begin"/>
        </w:r>
        <w:r>
          <w:rPr>
            <w:webHidden/>
          </w:rPr>
          <w:instrText xml:space="preserve"> PAGEREF _Toc404584 \h </w:instrText>
        </w:r>
        <w:r>
          <w:rPr>
            <w:webHidden/>
          </w:rPr>
        </w:r>
        <w:r>
          <w:rPr>
            <w:webHidden/>
          </w:rPr>
          <w:fldChar w:fldCharType="separate"/>
        </w:r>
        <w:r w:rsidR="001B26B5">
          <w:rPr>
            <w:webHidden/>
          </w:rPr>
          <w:t>323</w:t>
        </w:r>
        <w:r>
          <w:rPr>
            <w:webHidden/>
          </w:rPr>
          <w:fldChar w:fldCharType="end"/>
        </w:r>
      </w:hyperlink>
    </w:p>
    <w:p w14:paraId="3F3ECDAB" w14:textId="77777777" w:rsidR="0006561B" w:rsidRDefault="0006561B">
      <w:pPr>
        <w:pStyle w:val="TDC1"/>
        <w:rPr>
          <w:rFonts w:asciiTheme="minorHAnsi" w:eastAsiaTheme="minorEastAsia" w:hAnsiTheme="minorHAnsi" w:cstheme="minorBidi"/>
          <w:b w:val="0"/>
          <w:sz w:val="22"/>
          <w:szCs w:val="22"/>
          <w:lang w:val="es-ES" w:eastAsia="es-ES"/>
        </w:rPr>
      </w:pPr>
      <w:hyperlink w:anchor="_Toc404585" w:history="1">
        <w:r w:rsidRPr="003B1501">
          <w:rPr>
            <w:rStyle w:val="Hipervnculo"/>
          </w:rPr>
          <w:t>Artículo 703. Elementos de balizamiento retrorreflectantes</w:t>
        </w:r>
        <w:r>
          <w:rPr>
            <w:webHidden/>
          </w:rPr>
          <w:tab/>
        </w:r>
        <w:r>
          <w:rPr>
            <w:webHidden/>
          </w:rPr>
          <w:fldChar w:fldCharType="begin"/>
        </w:r>
        <w:r>
          <w:rPr>
            <w:webHidden/>
          </w:rPr>
          <w:instrText xml:space="preserve"> PAGEREF _Toc404585 \h </w:instrText>
        </w:r>
        <w:r>
          <w:rPr>
            <w:webHidden/>
          </w:rPr>
        </w:r>
        <w:r>
          <w:rPr>
            <w:webHidden/>
          </w:rPr>
          <w:fldChar w:fldCharType="separate"/>
        </w:r>
        <w:r w:rsidR="001B26B5">
          <w:rPr>
            <w:webHidden/>
          </w:rPr>
          <w:t>324</w:t>
        </w:r>
        <w:r>
          <w:rPr>
            <w:webHidden/>
          </w:rPr>
          <w:fldChar w:fldCharType="end"/>
        </w:r>
      </w:hyperlink>
    </w:p>
    <w:p w14:paraId="6764F1C2" w14:textId="77777777" w:rsidR="0006561B" w:rsidRDefault="0006561B">
      <w:pPr>
        <w:pStyle w:val="TDC2"/>
        <w:rPr>
          <w:rFonts w:asciiTheme="minorHAnsi" w:eastAsiaTheme="minorEastAsia" w:hAnsiTheme="minorHAnsi" w:cstheme="minorBidi"/>
          <w:szCs w:val="22"/>
          <w:lang w:val="es-ES" w:eastAsia="es-ES"/>
        </w:rPr>
      </w:pPr>
      <w:hyperlink w:anchor="_Toc404586" w:history="1">
        <w:r w:rsidRPr="003B1501">
          <w:rPr>
            <w:rStyle w:val="Hipervnculo"/>
          </w:rPr>
          <w:t>703.1. Definición y aplicación</w:t>
        </w:r>
        <w:r>
          <w:rPr>
            <w:webHidden/>
          </w:rPr>
          <w:tab/>
        </w:r>
        <w:r>
          <w:rPr>
            <w:webHidden/>
          </w:rPr>
          <w:fldChar w:fldCharType="begin"/>
        </w:r>
        <w:r>
          <w:rPr>
            <w:webHidden/>
          </w:rPr>
          <w:instrText xml:space="preserve"> PAGEREF _Toc404586 \h </w:instrText>
        </w:r>
        <w:r>
          <w:rPr>
            <w:webHidden/>
          </w:rPr>
        </w:r>
        <w:r>
          <w:rPr>
            <w:webHidden/>
          </w:rPr>
          <w:fldChar w:fldCharType="separate"/>
        </w:r>
        <w:r w:rsidR="001B26B5">
          <w:rPr>
            <w:webHidden/>
          </w:rPr>
          <w:t>324</w:t>
        </w:r>
        <w:r>
          <w:rPr>
            <w:webHidden/>
          </w:rPr>
          <w:fldChar w:fldCharType="end"/>
        </w:r>
      </w:hyperlink>
    </w:p>
    <w:p w14:paraId="269B9B1C" w14:textId="77777777" w:rsidR="0006561B" w:rsidRDefault="0006561B">
      <w:pPr>
        <w:pStyle w:val="TDC2"/>
        <w:rPr>
          <w:rFonts w:asciiTheme="minorHAnsi" w:eastAsiaTheme="minorEastAsia" w:hAnsiTheme="minorHAnsi" w:cstheme="minorBidi"/>
          <w:szCs w:val="22"/>
          <w:lang w:val="es-ES" w:eastAsia="es-ES"/>
        </w:rPr>
      </w:pPr>
      <w:hyperlink w:anchor="_Toc404587" w:history="1">
        <w:r w:rsidRPr="003B1501">
          <w:rPr>
            <w:rStyle w:val="Hipervnculo"/>
          </w:rPr>
          <w:t>703.2. Tipos</w:t>
        </w:r>
        <w:r>
          <w:rPr>
            <w:webHidden/>
          </w:rPr>
          <w:tab/>
        </w:r>
        <w:r>
          <w:rPr>
            <w:webHidden/>
          </w:rPr>
          <w:fldChar w:fldCharType="begin"/>
        </w:r>
        <w:r>
          <w:rPr>
            <w:webHidden/>
          </w:rPr>
          <w:instrText xml:space="preserve"> PAGEREF _Toc404587 \h </w:instrText>
        </w:r>
        <w:r>
          <w:rPr>
            <w:webHidden/>
          </w:rPr>
        </w:r>
        <w:r>
          <w:rPr>
            <w:webHidden/>
          </w:rPr>
          <w:fldChar w:fldCharType="separate"/>
        </w:r>
        <w:r w:rsidR="001B26B5">
          <w:rPr>
            <w:webHidden/>
          </w:rPr>
          <w:t>325</w:t>
        </w:r>
        <w:r>
          <w:rPr>
            <w:webHidden/>
          </w:rPr>
          <w:fldChar w:fldCharType="end"/>
        </w:r>
      </w:hyperlink>
    </w:p>
    <w:p w14:paraId="3A9A4FC6" w14:textId="77777777" w:rsidR="0006561B" w:rsidRDefault="0006561B">
      <w:pPr>
        <w:pStyle w:val="TDC2"/>
        <w:rPr>
          <w:rFonts w:asciiTheme="minorHAnsi" w:eastAsiaTheme="minorEastAsia" w:hAnsiTheme="minorHAnsi" w:cstheme="minorBidi"/>
          <w:szCs w:val="22"/>
          <w:lang w:val="es-ES" w:eastAsia="es-ES"/>
        </w:rPr>
      </w:pPr>
      <w:hyperlink w:anchor="_Toc404588" w:history="1">
        <w:r w:rsidRPr="003B1501">
          <w:rPr>
            <w:rStyle w:val="Hipervnculo"/>
          </w:rPr>
          <w:t>703.3. Materiales</w:t>
        </w:r>
        <w:r>
          <w:rPr>
            <w:webHidden/>
          </w:rPr>
          <w:tab/>
        </w:r>
        <w:r>
          <w:rPr>
            <w:webHidden/>
          </w:rPr>
          <w:fldChar w:fldCharType="begin"/>
        </w:r>
        <w:r>
          <w:rPr>
            <w:webHidden/>
          </w:rPr>
          <w:instrText xml:space="preserve"> PAGEREF _Toc404588 \h </w:instrText>
        </w:r>
        <w:r>
          <w:rPr>
            <w:webHidden/>
          </w:rPr>
        </w:r>
        <w:r>
          <w:rPr>
            <w:webHidden/>
          </w:rPr>
          <w:fldChar w:fldCharType="separate"/>
        </w:r>
        <w:r w:rsidR="001B26B5">
          <w:rPr>
            <w:webHidden/>
          </w:rPr>
          <w:t>325</w:t>
        </w:r>
        <w:r>
          <w:rPr>
            <w:webHidden/>
          </w:rPr>
          <w:fldChar w:fldCharType="end"/>
        </w:r>
      </w:hyperlink>
    </w:p>
    <w:p w14:paraId="4CF32729" w14:textId="77777777" w:rsidR="0006561B" w:rsidRDefault="0006561B">
      <w:pPr>
        <w:pStyle w:val="TDC2"/>
        <w:rPr>
          <w:rFonts w:asciiTheme="minorHAnsi" w:eastAsiaTheme="minorEastAsia" w:hAnsiTheme="minorHAnsi" w:cstheme="minorBidi"/>
          <w:szCs w:val="22"/>
          <w:lang w:val="es-ES" w:eastAsia="es-ES"/>
        </w:rPr>
      </w:pPr>
      <w:hyperlink w:anchor="_Toc404589" w:history="1">
        <w:r w:rsidRPr="003B1501">
          <w:rPr>
            <w:rStyle w:val="Hipervnculo"/>
          </w:rPr>
          <w:t>703.4. Especificaciones de la unidad terminada.</w:t>
        </w:r>
        <w:r>
          <w:rPr>
            <w:webHidden/>
          </w:rPr>
          <w:tab/>
        </w:r>
        <w:r>
          <w:rPr>
            <w:webHidden/>
          </w:rPr>
          <w:fldChar w:fldCharType="begin"/>
        </w:r>
        <w:r>
          <w:rPr>
            <w:webHidden/>
          </w:rPr>
          <w:instrText xml:space="preserve"> PAGEREF _Toc404589 \h </w:instrText>
        </w:r>
        <w:r>
          <w:rPr>
            <w:webHidden/>
          </w:rPr>
        </w:r>
        <w:r>
          <w:rPr>
            <w:webHidden/>
          </w:rPr>
          <w:fldChar w:fldCharType="separate"/>
        </w:r>
        <w:r w:rsidR="001B26B5">
          <w:rPr>
            <w:webHidden/>
          </w:rPr>
          <w:t>326</w:t>
        </w:r>
        <w:r>
          <w:rPr>
            <w:webHidden/>
          </w:rPr>
          <w:fldChar w:fldCharType="end"/>
        </w:r>
      </w:hyperlink>
    </w:p>
    <w:p w14:paraId="27322DA2" w14:textId="77777777" w:rsidR="0006561B" w:rsidRDefault="0006561B">
      <w:pPr>
        <w:pStyle w:val="TDC2"/>
        <w:rPr>
          <w:rFonts w:asciiTheme="minorHAnsi" w:eastAsiaTheme="minorEastAsia" w:hAnsiTheme="minorHAnsi" w:cstheme="minorBidi"/>
          <w:szCs w:val="22"/>
          <w:lang w:val="es-ES" w:eastAsia="es-ES"/>
        </w:rPr>
      </w:pPr>
      <w:hyperlink w:anchor="_Toc404590" w:history="1">
        <w:r w:rsidRPr="003B1501">
          <w:rPr>
            <w:rStyle w:val="Hipervnculo"/>
          </w:rPr>
          <w:t>703.5. Ejecución de las obras</w:t>
        </w:r>
        <w:r>
          <w:rPr>
            <w:webHidden/>
          </w:rPr>
          <w:tab/>
        </w:r>
        <w:r>
          <w:rPr>
            <w:webHidden/>
          </w:rPr>
          <w:fldChar w:fldCharType="begin"/>
        </w:r>
        <w:r>
          <w:rPr>
            <w:webHidden/>
          </w:rPr>
          <w:instrText xml:space="preserve"> PAGEREF _Toc404590 \h </w:instrText>
        </w:r>
        <w:r>
          <w:rPr>
            <w:webHidden/>
          </w:rPr>
        </w:r>
        <w:r>
          <w:rPr>
            <w:webHidden/>
          </w:rPr>
          <w:fldChar w:fldCharType="separate"/>
        </w:r>
        <w:r w:rsidR="001B26B5">
          <w:rPr>
            <w:webHidden/>
          </w:rPr>
          <w:t>327</w:t>
        </w:r>
        <w:r>
          <w:rPr>
            <w:webHidden/>
          </w:rPr>
          <w:fldChar w:fldCharType="end"/>
        </w:r>
      </w:hyperlink>
    </w:p>
    <w:p w14:paraId="4B0D5C3E" w14:textId="77777777" w:rsidR="0006561B" w:rsidRDefault="0006561B">
      <w:pPr>
        <w:pStyle w:val="TDC2"/>
        <w:rPr>
          <w:rFonts w:asciiTheme="minorHAnsi" w:eastAsiaTheme="minorEastAsia" w:hAnsiTheme="minorHAnsi" w:cstheme="minorBidi"/>
          <w:szCs w:val="22"/>
          <w:lang w:val="es-ES" w:eastAsia="es-ES"/>
        </w:rPr>
      </w:pPr>
      <w:hyperlink w:anchor="_Toc404591" w:history="1">
        <w:r w:rsidRPr="003B1501">
          <w:rPr>
            <w:rStyle w:val="Hipervnculo"/>
          </w:rPr>
          <w:t>703.6. Limitaciones de la ejecución</w:t>
        </w:r>
        <w:r>
          <w:rPr>
            <w:webHidden/>
          </w:rPr>
          <w:tab/>
        </w:r>
        <w:r>
          <w:rPr>
            <w:webHidden/>
          </w:rPr>
          <w:fldChar w:fldCharType="begin"/>
        </w:r>
        <w:r>
          <w:rPr>
            <w:webHidden/>
          </w:rPr>
          <w:instrText xml:space="preserve"> PAGEREF _Toc404591 \h </w:instrText>
        </w:r>
        <w:r>
          <w:rPr>
            <w:webHidden/>
          </w:rPr>
        </w:r>
        <w:r>
          <w:rPr>
            <w:webHidden/>
          </w:rPr>
          <w:fldChar w:fldCharType="separate"/>
        </w:r>
        <w:r w:rsidR="001B26B5">
          <w:rPr>
            <w:webHidden/>
          </w:rPr>
          <w:t>327</w:t>
        </w:r>
        <w:r>
          <w:rPr>
            <w:webHidden/>
          </w:rPr>
          <w:fldChar w:fldCharType="end"/>
        </w:r>
      </w:hyperlink>
    </w:p>
    <w:p w14:paraId="5A989FCC" w14:textId="77777777" w:rsidR="0006561B" w:rsidRDefault="0006561B">
      <w:pPr>
        <w:pStyle w:val="TDC2"/>
        <w:rPr>
          <w:rFonts w:asciiTheme="minorHAnsi" w:eastAsiaTheme="minorEastAsia" w:hAnsiTheme="minorHAnsi" w:cstheme="minorBidi"/>
          <w:szCs w:val="22"/>
          <w:lang w:val="es-ES" w:eastAsia="es-ES"/>
        </w:rPr>
      </w:pPr>
      <w:hyperlink w:anchor="_Toc404592" w:history="1">
        <w:r w:rsidRPr="003B1501">
          <w:rPr>
            <w:rStyle w:val="Hipervnculo"/>
          </w:rPr>
          <w:t>703.7. Control de calidad</w:t>
        </w:r>
        <w:r>
          <w:rPr>
            <w:webHidden/>
          </w:rPr>
          <w:tab/>
        </w:r>
        <w:r>
          <w:rPr>
            <w:webHidden/>
          </w:rPr>
          <w:fldChar w:fldCharType="begin"/>
        </w:r>
        <w:r>
          <w:rPr>
            <w:webHidden/>
          </w:rPr>
          <w:instrText xml:space="preserve"> PAGEREF _Toc404592 \h </w:instrText>
        </w:r>
        <w:r>
          <w:rPr>
            <w:webHidden/>
          </w:rPr>
        </w:r>
        <w:r>
          <w:rPr>
            <w:webHidden/>
          </w:rPr>
          <w:fldChar w:fldCharType="separate"/>
        </w:r>
        <w:r w:rsidR="001B26B5">
          <w:rPr>
            <w:webHidden/>
          </w:rPr>
          <w:t>327</w:t>
        </w:r>
        <w:r>
          <w:rPr>
            <w:webHidden/>
          </w:rPr>
          <w:fldChar w:fldCharType="end"/>
        </w:r>
      </w:hyperlink>
    </w:p>
    <w:p w14:paraId="2C3736D1" w14:textId="77777777" w:rsidR="0006561B" w:rsidRDefault="0006561B">
      <w:pPr>
        <w:pStyle w:val="TDC2"/>
        <w:rPr>
          <w:rFonts w:asciiTheme="minorHAnsi" w:eastAsiaTheme="minorEastAsia" w:hAnsiTheme="minorHAnsi" w:cstheme="minorBidi"/>
          <w:szCs w:val="22"/>
          <w:lang w:val="es-ES" w:eastAsia="es-ES"/>
        </w:rPr>
      </w:pPr>
      <w:hyperlink w:anchor="_Toc404593" w:history="1">
        <w:r w:rsidRPr="003B1501">
          <w:rPr>
            <w:rStyle w:val="Hipervnculo"/>
          </w:rPr>
          <w:t>703.8.  Condiciones de aceptación o rechazo</w:t>
        </w:r>
        <w:r>
          <w:rPr>
            <w:webHidden/>
          </w:rPr>
          <w:tab/>
        </w:r>
        <w:r>
          <w:rPr>
            <w:webHidden/>
          </w:rPr>
          <w:fldChar w:fldCharType="begin"/>
        </w:r>
        <w:r>
          <w:rPr>
            <w:webHidden/>
          </w:rPr>
          <w:instrText xml:space="preserve"> PAGEREF _Toc404593 \h </w:instrText>
        </w:r>
        <w:r>
          <w:rPr>
            <w:webHidden/>
          </w:rPr>
        </w:r>
        <w:r>
          <w:rPr>
            <w:webHidden/>
          </w:rPr>
          <w:fldChar w:fldCharType="separate"/>
        </w:r>
        <w:r w:rsidR="001B26B5">
          <w:rPr>
            <w:webHidden/>
          </w:rPr>
          <w:t>328</w:t>
        </w:r>
        <w:r>
          <w:rPr>
            <w:webHidden/>
          </w:rPr>
          <w:fldChar w:fldCharType="end"/>
        </w:r>
      </w:hyperlink>
    </w:p>
    <w:p w14:paraId="5D3EC45E" w14:textId="77777777" w:rsidR="0006561B" w:rsidRDefault="0006561B">
      <w:pPr>
        <w:pStyle w:val="TDC2"/>
        <w:rPr>
          <w:rFonts w:asciiTheme="minorHAnsi" w:eastAsiaTheme="minorEastAsia" w:hAnsiTheme="minorHAnsi" w:cstheme="minorBidi"/>
          <w:szCs w:val="22"/>
          <w:lang w:val="es-ES" w:eastAsia="es-ES"/>
        </w:rPr>
      </w:pPr>
      <w:hyperlink w:anchor="_Toc404594" w:history="1">
        <w:r w:rsidRPr="003B1501">
          <w:rPr>
            <w:rStyle w:val="Hipervnculo"/>
          </w:rPr>
          <w:t>703.9. Periodo de garantía</w:t>
        </w:r>
        <w:r>
          <w:rPr>
            <w:webHidden/>
          </w:rPr>
          <w:tab/>
        </w:r>
        <w:r>
          <w:rPr>
            <w:webHidden/>
          </w:rPr>
          <w:fldChar w:fldCharType="begin"/>
        </w:r>
        <w:r>
          <w:rPr>
            <w:webHidden/>
          </w:rPr>
          <w:instrText xml:space="preserve"> PAGEREF _Toc404594 \h </w:instrText>
        </w:r>
        <w:r>
          <w:rPr>
            <w:webHidden/>
          </w:rPr>
        </w:r>
        <w:r>
          <w:rPr>
            <w:webHidden/>
          </w:rPr>
          <w:fldChar w:fldCharType="separate"/>
        </w:r>
        <w:r w:rsidR="001B26B5">
          <w:rPr>
            <w:webHidden/>
          </w:rPr>
          <w:t>328</w:t>
        </w:r>
        <w:r>
          <w:rPr>
            <w:webHidden/>
          </w:rPr>
          <w:fldChar w:fldCharType="end"/>
        </w:r>
      </w:hyperlink>
    </w:p>
    <w:p w14:paraId="4C003F30" w14:textId="77777777" w:rsidR="0006561B" w:rsidRDefault="0006561B">
      <w:pPr>
        <w:pStyle w:val="TDC2"/>
        <w:rPr>
          <w:rFonts w:asciiTheme="minorHAnsi" w:eastAsiaTheme="minorEastAsia" w:hAnsiTheme="minorHAnsi" w:cstheme="minorBidi"/>
          <w:szCs w:val="22"/>
          <w:lang w:val="es-ES" w:eastAsia="es-ES"/>
        </w:rPr>
      </w:pPr>
      <w:hyperlink w:anchor="_Toc404595" w:history="1">
        <w:r w:rsidRPr="003B1501">
          <w:rPr>
            <w:rStyle w:val="Hipervnculo"/>
          </w:rPr>
          <w:t>703.10. Medición y abono</w:t>
        </w:r>
        <w:r>
          <w:rPr>
            <w:webHidden/>
          </w:rPr>
          <w:tab/>
        </w:r>
        <w:r>
          <w:rPr>
            <w:webHidden/>
          </w:rPr>
          <w:fldChar w:fldCharType="begin"/>
        </w:r>
        <w:r>
          <w:rPr>
            <w:webHidden/>
          </w:rPr>
          <w:instrText xml:space="preserve"> PAGEREF _Toc404595 \h </w:instrText>
        </w:r>
        <w:r>
          <w:rPr>
            <w:webHidden/>
          </w:rPr>
        </w:r>
        <w:r>
          <w:rPr>
            <w:webHidden/>
          </w:rPr>
          <w:fldChar w:fldCharType="separate"/>
        </w:r>
        <w:r w:rsidR="001B26B5">
          <w:rPr>
            <w:webHidden/>
          </w:rPr>
          <w:t>328</w:t>
        </w:r>
        <w:r>
          <w:rPr>
            <w:webHidden/>
          </w:rPr>
          <w:fldChar w:fldCharType="end"/>
        </w:r>
      </w:hyperlink>
    </w:p>
    <w:p w14:paraId="4084E3A3" w14:textId="77777777" w:rsidR="0006561B" w:rsidRDefault="0006561B">
      <w:pPr>
        <w:pStyle w:val="TDC1"/>
        <w:rPr>
          <w:rFonts w:asciiTheme="minorHAnsi" w:eastAsiaTheme="minorEastAsia" w:hAnsiTheme="minorHAnsi" w:cstheme="minorBidi"/>
          <w:b w:val="0"/>
          <w:sz w:val="22"/>
          <w:szCs w:val="22"/>
          <w:lang w:val="es-ES" w:eastAsia="es-ES"/>
        </w:rPr>
      </w:pPr>
      <w:hyperlink w:anchor="_Toc404596" w:history="1">
        <w:r w:rsidRPr="003B1501">
          <w:rPr>
            <w:rStyle w:val="Hipervnculo"/>
          </w:rPr>
          <w:t>Artículo 704. Barreras de seguridad metálicas</w:t>
        </w:r>
        <w:r>
          <w:rPr>
            <w:webHidden/>
          </w:rPr>
          <w:tab/>
        </w:r>
        <w:r>
          <w:rPr>
            <w:webHidden/>
          </w:rPr>
          <w:fldChar w:fldCharType="begin"/>
        </w:r>
        <w:r>
          <w:rPr>
            <w:webHidden/>
          </w:rPr>
          <w:instrText xml:space="preserve"> PAGEREF _Toc404596 \h </w:instrText>
        </w:r>
        <w:r>
          <w:rPr>
            <w:webHidden/>
          </w:rPr>
        </w:r>
        <w:r>
          <w:rPr>
            <w:webHidden/>
          </w:rPr>
          <w:fldChar w:fldCharType="separate"/>
        </w:r>
        <w:r w:rsidR="001B26B5">
          <w:rPr>
            <w:webHidden/>
          </w:rPr>
          <w:t>329</w:t>
        </w:r>
        <w:r>
          <w:rPr>
            <w:webHidden/>
          </w:rPr>
          <w:fldChar w:fldCharType="end"/>
        </w:r>
      </w:hyperlink>
    </w:p>
    <w:p w14:paraId="451DBDD4" w14:textId="77777777" w:rsidR="0006561B" w:rsidRDefault="0006561B">
      <w:pPr>
        <w:pStyle w:val="TDC2"/>
        <w:rPr>
          <w:rFonts w:asciiTheme="minorHAnsi" w:eastAsiaTheme="minorEastAsia" w:hAnsiTheme="minorHAnsi" w:cstheme="minorBidi"/>
          <w:szCs w:val="22"/>
          <w:lang w:val="es-ES" w:eastAsia="es-ES"/>
        </w:rPr>
      </w:pPr>
      <w:hyperlink w:anchor="_Toc404597" w:history="1">
        <w:r w:rsidRPr="003B1501">
          <w:rPr>
            <w:rStyle w:val="Hipervnculo"/>
          </w:rPr>
          <w:t>704.1. Aplicación</w:t>
        </w:r>
        <w:r>
          <w:rPr>
            <w:webHidden/>
          </w:rPr>
          <w:tab/>
        </w:r>
        <w:r>
          <w:rPr>
            <w:webHidden/>
          </w:rPr>
          <w:fldChar w:fldCharType="begin"/>
        </w:r>
        <w:r>
          <w:rPr>
            <w:webHidden/>
          </w:rPr>
          <w:instrText xml:space="preserve"> PAGEREF _Toc404597 \h </w:instrText>
        </w:r>
        <w:r>
          <w:rPr>
            <w:webHidden/>
          </w:rPr>
        </w:r>
        <w:r>
          <w:rPr>
            <w:webHidden/>
          </w:rPr>
          <w:fldChar w:fldCharType="separate"/>
        </w:r>
        <w:r w:rsidR="001B26B5">
          <w:rPr>
            <w:webHidden/>
          </w:rPr>
          <w:t>329</w:t>
        </w:r>
        <w:r>
          <w:rPr>
            <w:webHidden/>
          </w:rPr>
          <w:fldChar w:fldCharType="end"/>
        </w:r>
      </w:hyperlink>
    </w:p>
    <w:p w14:paraId="21085126" w14:textId="77777777" w:rsidR="0006561B" w:rsidRDefault="0006561B">
      <w:pPr>
        <w:pStyle w:val="TDC2"/>
        <w:rPr>
          <w:rFonts w:asciiTheme="minorHAnsi" w:eastAsiaTheme="minorEastAsia" w:hAnsiTheme="minorHAnsi" w:cstheme="minorBidi"/>
          <w:szCs w:val="22"/>
          <w:lang w:val="es-ES" w:eastAsia="es-ES"/>
        </w:rPr>
      </w:pPr>
      <w:hyperlink w:anchor="_Toc404598" w:history="1">
        <w:r w:rsidRPr="003B1501">
          <w:rPr>
            <w:rStyle w:val="Hipervnculo"/>
          </w:rPr>
          <w:t>704.2. Tipos</w:t>
        </w:r>
        <w:r>
          <w:rPr>
            <w:webHidden/>
          </w:rPr>
          <w:tab/>
        </w:r>
        <w:r>
          <w:rPr>
            <w:webHidden/>
          </w:rPr>
          <w:fldChar w:fldCharType="begin"/>
        </w:r>
        <w:r>
          <w:rPr>
            <w:webHidden/>
          </w:rPr>
          <w:instrText xml:space="preserve"> PAGEREF _Toc404598 \h </w:instrText>
        </w:r>
        <w:r>
          <w:rPr>
            <w:webHidden/>
          </w:rPr>
        </w:r>
        <w:r>
          <w:rPr>
            <w:webHidden/>
          </w:rPr>
          <w:fldChar w:fldCharType="separate"/>
        </w:r>
        <w:r w:rsidR="001B26B5">
          <w:rPr>
            <w:webHidden/>
          </w:rPr>
          <w:t>329</w:t>
        </w:r>
        <w:r>
          <w:rPr>
            <w:webHidden/>
          </w:rPr>
          <w:fldChar w:fldCharType="end"/>
        </w:r>
      </w:hyperlink>
    </w:p>
    <w:p w14:paraId="571DDE31" w14:textId="77777777" w:rsidR="0006561B" w:rsidRDefault="0006561B">
      <w:pPr>
        <w:pStyle w:val="TDC2"/>
        <w:rPr>
          <w:rFonts w:asciiTheme="minorHAnsi" w:eastAsiaTheme="minorEastAsia" w:hAnsiTheme="minorHAnsi" w:cstheme="minorBidi"/>
          <w:szCs w:val="22"/>
          <w:lang w:val="es-ES" w:eastAsia="es-ES"/>
        </w:rPr>
      </w:pPr>
      <w:hyperlink w:anchor="_Toc404599" w:history="1">
        <w:r w:rsidRPr="003B1501">
          <w:rPr>
            <w:rStyle w:val="Hipervnculo"/>
          </w:rPr>
          <w:t>704.3. Materiales y componentes</w:t>
        </w:r>
        <w:r>
          <w:rPr>
            <w:webHidden/>
          </w:rPr>
          <w:tab/>
        </w:r>
        <w:r>
          <w:rPr>
            <w:webHidden/>
          </w:rPr>
          <w:fldChar w:fldCharType="begin"/>
        </w:r>
        <w:r>
          <w:rPr>
            <w:webHidden/>
          </w:rPr>
          <w:instrText xml:space="preserve"> PAGEREF _Toc404599 \h </w:instrText>
        </w:r>
        <w:r>
          <w:rPr>
            <w:webHidden/>
          </w:rPr>
        </w:r>
        <w:r>
          <w:rPr>
            <w:webHidden/>
          </w:rPr>
          <w:fldChar w:fldCharType="separate"/>
        </w:r>
        <w:r w:rsidR="001B26B5">
          <w:rPr>
            <w:webHidden/>
          </w:rPr>
          <w:t>330</w:t>
        </w:r>
        <w:r>
          <w:rPr>
            <w:webHidden/>
          </w:rPr>
          <w:fldChar w:fldCharType="end"/>
        </w:r>
      </w:hyperlink>
    </w:p>
    <w:p w14:paraId="2FE1F144" w14:textId="77777777" w:rsidR="0006561B" w:rsidRDefault="0006561B">
      <w:pPr>
        <w:pStyle w:val="TDC2"/>
        <w:rPr>
          <w:rFonts w:asciiTheme="minorHAnsi" w:eastAsiaTheme="minorEastAsia" w:hAnsiTheme="minorHAnsi" w:cstheme="minorBidi"/>
          <w:szCs w:val="22"/>
          <w:lang w:val="es-ES" w:eastAsia="es-ES"/>
        </w:rPr>
      </w:pPr>
      <w:hyperlink w:anchor="_Toc404600" w:history="1">
        <w:r w:rsidRPr="003B1501">
          <w:rPr>
            <w:rStyle w:val="Hipervnculo"/>
          </w:rPr>
          <w:t>704.4. Ejecución de las obras</w:t>
        </w:r>
        <w:r>
          <w:rPr>
            <w:webHidden/>
          </w:rPr>
          <w:tab/>
        </w:r>
        <w:r>
          <w:rPr>
            <w:webHidden/>
          </w:rPr>
          <w:fldChar w:fldCharType="begin"/>
        </w:r>
        <w:r>
          <w:rPr>
            <w:webHidden/>
          </w:rPr>
          <w:instrText xml:space="preserve"> PAGEREF _Toc404600 \h </w:instrText>
        </w:r>
        <w:r>
          <w:rPr>
            <w:webHidden/>
          </w:rPr>
        </w:r>
        <w:r>
          <w:rPr>
            <w:webHidden/>
          </w:rPr>
          <w:fldChar w:fldCharType="separate"/>
        </w:r>
        <w:r w:rsidR="001B26B5">
          <w:rPr>
            <w:webHidden/>
          </w:rPr>
          <w:t>330</w:t>
        </w:r>
        <w:r>
          <w:rPr>
            <w:webHidden/>
          </w:rPr>
          <w:fldChar w:fldCharType="end"/>
        </w:r>
      </w:hyperlink>
    </w:p>
    <w:p w14:paraId="09F19406" w14:textId="77777777" w:rsidR="0006561B" w:rsidRDefault="0006561B">
      <w:pPr>
        <w:pStyle w:val="TDC2"/>
        <w:rPr>
          <w:rFonts w:asciiTheme="minorHAnsi" w:eastAsiaTheme="minorEastAsia" w:hAnsiTheme="minorHAnsi" w:cstheme="minorBidi"/>
          <w:szCs w:val="22"/>
          <w:lang w:val="es-ES" w:eastAsia="es-ES"/>
        </w:rPr>
      </w:pPr>
      <w:hyperlink w:anchor="_Toc404601" w:history="1">
        <w:r w:rsidRPr="003B1501">
          <w:rPr>
            <w:rStyle w:val="Hipervnculo"/>
          </w:rPr>
          <w:t>704.5. Limitaciones en la ejecución</w:t>
        </w:r>
        <w:r>
          <w:rPr>
            <w:webHidden/>
          </w:rPr>
          <w:tab/>
        </w:r>
        <w:r>
          <w:rPr>
            <w:webHidden/>
          </w:rPr>
          <w:fldChar w:fldCharType="begin"/>
        </w:r>
        <w:r>
          <w:rPr>
            <w:webHidden/>
          </w:rPr>
          <w:instrText xml:space="preserve"> PAGEREF _Toc404601 \h </w:instrText>
        </w:r>
        <w:r>
          <w:rPr>
            <w:webHidden/>
          </w:rPr>
        </w:r>
        <w:r>
          <w:rPr>
            <w:webHidden/>
          </w:rPr>
          <w:fldChar w:fldCharType="separate"/>
        </w:r>
        <w:r w:rsidR="001B26B5">
          <w:rPr>
            <w:webHidden/>
          </w:rPr>
          <w:t>330</w:t>
        </w:r>
        <w:r>
          <w:rPr>
            <w:webHidden/>
          </w:rPr>
          <w:fldChar w:fldCharType="end"/>
        </w:r>
      </w:hyperlink>
    </w:p>
    <w:p w14:paraId="13C86740" w14:textId="77777777" w:rsidR="0006561B" w:rsidRDefault="0006561B">
      <w:pPr>
        <w:pStyle w:val="TDC2"/>
        <w:rPr>
          <w:rFonts w:asciiTheme="minorHAnsi" w:eastAsiaTheme="minorEastAsia" w:hAnsiTheme="minorHAnsi" w:cstheme="minorBidi"/>
          <w:szCs w:val="22"/>
          <w:lang w:val="es-ES" w:eastAsia="es-ES"/>
        </w:rPr>
      </w:pPr>
      <w:hyperlink w:anchor="_Toc404602" w:history="1">
        <w:r w:rsidRPr="003B1501">
          <w:rPr>
            <w:rStyle w:val="Hipervnculo"/>
          </w:rPr>
          <w:t>704.6. Control de calidad</w:t>
        </w:r>
        <w:r>
          <w:rPr>
            <w:webHidden/>
          </w:rPr>
          <w:tab/>
        </w:r>
        <w:r>
          <w:rPr>
            <w:webHidden/>
          </w:rPr>
          <w:fldChar w:fldCharType="begin"/>
        </w:r>
        <w:r>
          <w:rPr>
            <w:webHidden/>
          </w:rPr>
          <w:instrText xml:space="preserve"> PAGEREF _Toc404602 \h </w:instrText>
        </w:r>
        <w:r>
          <w:rPr>
            <w:webHidden/>
          </w:rPr>
        </w:r>
        <w:r>
          <w:rPr>
            <w:webHidden/>
          </w:rPr>
          <w:fldChar w:fldCharType="separate"/>
        </w:r>
        <w:r w:rsidR="001B26B5">
          <w:rPr>
            <w:webHidden/>
          </w:rPr>
          <w:t>330</w:t>
        </w:r>
        <w:r>
          <w:rPr>
            <w:webHidden/>
          </w:rPr>
          <w:fldChar w:fldCharType="end"/>
        </w:r>
      </w:hyperlink>
    </w:p>
    <w:p w14:paraId="0A2DB727" w14:textId="77777777" w:rsidR="0006561B" w:rsidRDefault="0006561B">
      <w:pPr>
        <w:pStyle w:val="TDC2"/>
        <w:rPr>
          <w:rFonts w:asciiTheme="minorHAnsi" w:eastAsiaTheme="minorEastAsia" w:hAnsiTheme="minorHAnsi" w:cstheme="minorBidi"/>
          <w:szCs w:val="22"/>
          <w:lang w:val="es-ES" w:eastAsia="es-ES"/>
        </w:rPr>
      </w:pPr>
      <w:hyperlink w:anchor="_Toc404603" w:history="1">
        <w:r w:rsidRPr="003B1501">
          <w:rPr>
            <w:rStyle w:val="Hipervnculo"/>
          </w:rPr>
          <w:t>704.7. Criterio de aceptación o rechazo</w:t>
        </w:r>
        <w:r>
          <w:rPr>
            <w:webHidden/>
          </w:rPr>
          <w:tab/>
        </w:r>
        <w:r>
          <w:rPr>
            <w:webHidden/>
          </w:rPr>
          <w:fldChar w:fldCharType="begin"/>
        </w:r>
        <w:r>
          <w:rPr>
            <w:webHidden/>
          </w:rPr>
          <w:instrText xml:space="preserve"> PAGEREF _Toc404603 \h </w:instrText>
        </w:r>
        <w:r>
          <w:rPr>
            <w:webHidden/>
          </w:rPr>
        </w:r>
        <w:r>
          <w:rPr>
            <w:webHidden/>
          </w:rPr>
          <w:fldChar w:fldCharType="separate"/>
        </w:r>
        <w:r w:rsidR="001B26B5">
          <w:rPr>
            <w:webHidden/>
          </w:rPr>
          <w:t>331</w:t>
        </w:r>
        <w:r>
          <w:rPr>
            <w:webHidden/>
          </w:rPr>
          <w:fldChar w:fldCharType="end"/>
        </w:r>
      </w:hyperlink>
    </w:p>
    <w:p w14:paraId="16D80FCA" w14:textId="77777777" w:rsidR="0006561B" w:rsidRDefault="0006561B">
      <w:pPr>
        <w:pStyle w:val="TDC2"/>
        <w:rPr>
          <w:rFonts w:asciiTheme="minorHAnsi" w:eastAsiaTheme="minorEastAsia" w:hAnsiTheme="minorHAnsi" w:cstheme="minorBidi"/>
          <w:szCs w:val="22"/>
          <w:lang w:val="es-ES" w:eastAsia="es-ES"/>
        </w:rPr>
      </w:pPr>
      <w:hyperlink w:anchor="_Toc404604" w:history="1">
        <w:r w:rsidRPr="003B1501">
          <w:rPr>
            <w:rStyle w:val="Hipervnculo"/>
          </w:rPr>
          <w:t>704.8. Periodo de garantía</w:t>
        </w:r>
        <w:r>
          <w:rPr>
            <w:webHidden/>
          </w:rPr>
          <w:tab/>
        </w:r>
        <w:r>
          <w:rPr>
            <w:webHidden/>
          </w:rPr>
          <w:fldChar w:fldCharType="begin"/>
        </w:r>
        <w:r>
          <w:rPr>
            <w:webHidden/>
          </w:rPr>
          <w:instrText xml:space="preserve"> PAGEREF _Toc404604 \h </w:instrText>
        </w:r>
        <w:r>
          <w:rPr>
            <w:webHidden/>
          </w:rPr>
        </w:r>
        <w:r>
          <w:rPr>
            <w:webHidden/>
          </w:rPr>
          <w:fldChar w:fldCharType="separate"/>
        </w:r>
        <w:r w:rsidR="001B26B5">
          <w:rPr>
            <w:webHidden/>
          </w:rPr>
          <w:t>331</w:t>
        </w:r>
        <w:r>
          <w:rPr>
            <w:webHidden/>
          </w:rPr>
          <w:fldChar w:fldCharType="end"/>
        </w:r>
      </w:hyperlink>
    </w:p>
    <w:p w14:paraId="79E269D5" w14:textId="77777777" w:rsidR="0006561B" w:rsidRDefault="0006561B">
      <w:pPr>
        <w:pStyle w:val="TDC2"/>
        <w:rPr>
          <w:rFonts w:asciiTheme="minorHAnsi" w:eastAsiaTheme="minorEastAsia" w:hAnsiTheme="minorHAnsi" w:cstheme="minorBidi"/>
          <w:szCs w:val="22"/>
          <w:lang w:val="es-ES" w:eastAsia="es-ES"/>
        </w:rPr>
      </w:pPr>
      <w:hyperlink w:anchor="_Toc404605" w:history="1">
        <w:r w:rsidRPr="003B1501">
          <w:rPr>
            <w:rStyle w:val="Hipervnculo"/>
          </w:rPr>
          <w:t>704.9. Medición y abono</w:t>
        </w:r>
        <w:r>
          <w:rPr>
            <w:webHidden/>
          </w:rPr>
          <w:tab/>
        </w:r>
        <w:r>
          <w:rPr>
            <w:webHidden/>
          </w:rPr>
          <w:fldChar w:fldCharType="begin"/>
        </w:r>
        <w:r>
          <w:rPr>
            <w:webHidden/>
          </w:rPr>
          <w:instrText xml:space="preserve"> PAGEREF _Toc404605 \h </w:instrText>
        </w:r>
        <w:r>
          <w:rPr>
            <w:webHidden/>
          </w:rPr>
        </w:r>
        <w:r>
          <w:rPr>
            <w:webHidden/>
          </w:rPr>
          <w:fldChar w:fldCharType="separate"/>
        </w:r>
        <w:r w:rsidR="001B26B5">
          <w:rPr>
            <w:webHidden/>
          </w:rPr>
          <w:t>331</w:t>
        </w:r>
        <w:r>
          <w:rPr>
            <w:webHidden/>
          </w:rPr>
          <w:fldChar w:fldCharType="end"/>
        </w:r>
      </w:hyperlink>
    </w:p>
    <w:p w14:paraId="7E030C15" w14:textId="77777777" w:rsidR="0006561B" w:rsidRDefault="0006561B">
      <w:pPr>
        <w:pStyle w:val="TDC1"/>
        <w:rPr>
          <w:rFonts w:asciiTheme="minorHAnsi" w:eastAsiaTheme="minorEastAsia" w:hAnsiTheme="minorHAnsi" w:cstheme="minorBidi"/>
          <w:b w:val="0"/>
          <w:sz w:val="22"/>
          <w:szCs w:val="22"/>
          <w:lang w:val="es-ES" w:eastAsia="es-ES"/>
        </w:rPr>
      </w:pPr>
      <w:r>
        <w:rPr>
          <w:rStyle w:val="Hipervnculo"/>
        </w:rPr>
        <w:br w:type="column"/>
      </w:r>
      <w:hyperlink w:anchor="_Toc404606" w:history="1">
        <w:r w:rsidRPr="003B1501">
          <w:rPr>
            <w:rStyle w:val="Hipervnculo"/>
          </w:rPr>
          <w:t>Artículo 704B. Barreras de seguridad metálicas de pasos de mediana</w:t>
        </w:r>
        <w:r>
          <w:rPr>
            <w:webHidden/>
          </w:rPr>
          <w:tab/>
        </w:r>
        <w:r>
          <w:rPr>
            <w:webHidden/>
          </w:rPr>
          <w:fldChar w:fldCharType="begin"/>
        </w:r>
        <w:r>
          <w:rPr>
            <w:webHidden/>
          </w:rPr>
          <w:instrText xml:space="preserve"> PAGEREF _Toc404606 \h </w:instrText>
        </w:r>
        <w:r>
          <w:rPr>
            <w:webHidden/>
          </w:rPr>
        </w:r>
        <w:r>
          <w:rPr>
            <w:webHidden/>
          </w:rPr>
          <w:fldChar w:fldCharType="separate"/>
        </w:r>
        <w:r w:rsidR="001B26B5">
          <w:rPr>
            <w:webHidden/>
          </w:rPr>
          <w:t>332</w:t>
        </w:r>
        <w:r>
          <w:rPr>
            <w:webHidden/>
          </w:rPr>
          <w:fldChar w:fldCharType="end"/>
        </w:r>
      </w:hyperlink>
    </w:p>
    <w:p w14:paraId="55F37DA2"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07" w:history="1">
        <w:r w:rsidRPr="003B1501">
          <w:rPr>
            <w:rStyle w:val="Hipervnculo"/>
          </w:rPr>
          <w:t>704b.1. Aplicación</w:t>
        </w:r>
        <w:r>
          <w:rPr>
            <w:webHidden/>
          </w:rPr>
          <w:tab/>
        </w:r>
        <w:r>
          <w:rPr>
            <w:webHidden/>
          </w:rPr>
          <w:fldChar w:fldCharType="begin"/>
        </w:r>
        <w:r>
          <w:rPr>
            <w:webHidden/>
          </w:rPr>
          <w:instrText xml:space="preserve"> PAGEREF _Toc404607 \h </w:instrText>
        </w:r>
        <w:r>
          <w:rPr>
            <w:webHidden/>
          </w:rPr>
        </w:r>
        <w:r>
          <w:rPr>
            <w:webHidden/>
          </w:rPr>
          <w:fldChar w:fldCharType="separate"/>
        </w:r>
        <w:r w:rsidR="001B26B5">
          <w:rPr>
            <w:webHidden/>
          </w:rPr>
          <w:t>332</w:t>
        </w:r>
        <w:r>
          <w:rPr>
            <w:webHidden/>
          </w:rPr>
          <w:fldChar w:fldCharType="end"/>
        </w:r>
      </w:hyperlink>
    </w:p>
    <w:p w14:paraId="7927A15D"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08" w:history="1">
        <w:r w:rsidRPr="003B1501">
          <w:rPr>
            <w:rStyle w:val="Hipervnculo"/>
          </w:rPr>
          <w:t>704b.2. Tipos</w:t>
        </w:r>
        <w:r>
          <w:rPr>
            <w:webHidden/>
          </w:rPr>
          <w:tab/>
        </w:r>
        <w:r>
          <w:rPr>
            <w:webHidden/>
          </w:rPr>
          <w:fldChar w:fldCharType="begin"/>
        </w:r>
        <w:r>
          <w:rPr>
            <w:webHidden/>
          </w:rPr>
          <w:instrText xml:space="preserve"> PAGEREF _Toc404608 \h </w:instrText>
        </w:r>
        <w:r>
          <w:rPr>
            <w:webHidden/>
          </w:rPr>
        </w:r>
        <w:r>
          <w:rPr>
            <w:webHidden/>
          </w:rPr>
          <w:fldChar w:fldCharType="separate"/>
        </w:r>
        <w:r w:rsidR="001B26B5">
          <w:rPr>
            <w:webHidden/>
          </w:rPr>
          <w:t>332</w:t>
        </w:r>
        <w:r>
          <w:rPr>
            <w:webHidden/>
          </w:rPr>
          <w:fldChar w:fldCharType="end"/>
        </w:r>
      </w:hyperlink>
    </w:p>
    <w:p w14:paraId="0066741C"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09" w:history="1">
        <w:r w:rsidRPr="003B1501">
          <w:rPr>
            <w:rStyle w:val="Hipervnculo"/>
          </w:rPr>
          <w:t>704b.3. Materiales y componentes</w:t>
        </w:r>
        <w:r>
          <w:rPr>
            <w:webHidden/>
          </w:rPr>
          <w:tab/>
        </w:r>
        <w:r>
          <w:rPr>
            <w:webHidden/>
          </w:rPr>
          <w:fldChar w:fldCharType="begin"/>
        </w:r>
        <w:r>
          <w:rPr>
            <w:webHidden/>
          </w:rPr>
          <w:instrText xml:space="preserve"> PAGEREF _Toc404609 \h </w:instrText>
        </w:r>
        <w:r>
          <w:rPr>
            <w:webHidden/>
          </w:rPr>
        </w:r>
        <w:r>
          <w:rPr>
            <w:webHidden/>
          </w:rPr>
          <w:fldChar w:fldCharType="separate"/>
        </w:r>
        <w:r w:rsidR="001B26B5">
          <w:rPr>
            <w:webHidden/>
          </w:rPr>
          <w:t>332</w:t>
        </w:r>
        <w:r>
          <w:rPr>
            <w:webHidden/>
          </w:rPr>
          <w:fldChar w:fldCharType="end"/>
        </w:r>
      </w:hyperlink>
    </w:p>
    <w:p w14:paraId="75810B71"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10" w:history="1">
        <w:r w:rsidRPr="003B1501">
          <w:rPr>
            <w:rStyle w:val="Hipervnculo"/>
          </w:rPr>
          <w:t>704b.4. Ejecución de las obras</w:t>
        </w:r>
        <w:r>
          <w:rPr>
            <w:webHidden/>
          </w:rPr>
          <w:tab/>
        </w:r>
        <w:r>
          <w:rPr>
            <w:webHidden/>
          </w:rPr>
          <w:fldChar w:fldCharType="begin"/>
        </w:r>
        <w:r>
          <w:rPr>
            <w:webHidden/>
          </w:rPr>
          <w:instrText xml:space="preserve"> PAGEREF _Toc404610 \h </w:instrText>
        </w:r>
        <w:r>
          <w:rPr>
            <w:webHidden/>
          </w:rPr>
        </w:r>
        <w:r>
          <w:rPr>
            <w:webHidden/>
          </w:rPr>
          <w:fldChar w:fldCharType="separate"/>
        </w:r>
        <w:r w:rsidR="001B26B5">
          <w:rPr>
            <w:webHidden/>
          </w:rPr>
          <w:t>333</w:t>
        </w:r>
        <w:r>
          <w:rPr>
            <w:webHidden/>
          </w:rPr>
          <w:fldChar w:fldCharType="end"/>
        </w:r>
      </w:hyperlink>
    </w:p>
    <w:p w14:paraId="72A0F3DF"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11" w:history="1">
        <w:r w:rsidRPr="003B1501">
          <w:rPr>
            <w:rStyle w:val="Hipervnculo"/>
          </w:rPr>
          <w:t>704b.5. Limitaciones en la ejecución</w:t>
        </w:r>
        <w:r>
          <w:rPr>
            <w:webHidden/>
          </w:rPr>
          <w:tab/>
        </w:r>
        <w:r>
          <w:rPr>
            <w:webHidden/>
          </w:rPr>
          <w:fldChar w:fldCharType="begin"/>
        </w:r>
        <w:r>
          <w:rPr>
            <w:webHidden/>
          </w:rPr>
          <w:instrText xml:space="preserve"> PAGEREF _Toc404611 \h </w:instrText>
        </w:r>
        <w:r>
          <w:rPr>
            <w:webHidden/>
          </w:rPr>
        </w:r>
        <w:r>
          <w:rPr>
            <w:webHidden/>
          </w:rPr>
          <w:fldChar w:fldCharType="separate"/>
        </w:r>
        <w:r w:rsidR="001B26B5">
          <w:rPr>
            <w:webHidden/>
          </w:rPr>
          <w:t>333</w:t>
        </w:r>
        <w:r>
          <w:rPr>
            <w:webHidden/>
          </w:rPr>
          <w:fldChar w:fldCharType="end"/>
        </w:r>
      </w:hyperlink>
    </w:p>
    <w:p w14:paraId="23B8A9F9"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12" w:history="1">
        <w:r w:rsidRPr="003B1501">
          <w:rPr>
            <w:rStyle w:val="Hipervnculo"/>
          </w:rPr>
          <w:t>704b.6. Control de calidad</w:t>
        </w:r>
        <w:r>
          <w:rPr>
            <w:webHidden/>
          </w:rPr>
          <w:tab/>
        </w:r>
        <w:r>
          <w:rPr>
            <w:webHidden/>
          </w:rPr>
          <w:fldChar w:fldCharType="begin"/>
        </w:r>
        <w:r>
          <w:rPr>
            <w:webHidden/>
          </w:rPr>
          <w:instrText xml:space="preserve"> PAGEREF _Toc404612 \h </w:instrText>
        </w:r>
        <w:r>
          <w:rPr>
            <w:webHidden/>
          </w:rPr>
        </w:r>
        <w:r>
          <w:rPr>
            <w:webHidden/>
          </w:rPr>
          <w:fldChar w:fldCharType="separate"/>
        </w:r>
        <w:r w:rsidR="001B26B5">
          <w:rPr>
            <w:webHidden/>
          </w:rPr>
          <w:t>333</w:t>
        </w:r>
        <w:r>
          <w:rPr>
            <w:webHidden/>
          </w:rPr>
          <w:fldChar w:fldCharType="end"/>
        </w:r>
      </w:hyperlink>
    </w:p>
    <w:p w14:paraId="7E5D87F3"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13" w:history="1">
        <w:r w:rsidRPr="003B1501">
          <w:rPr>
            <w:rStyle w:val="Hipervnculo"/>
          </w:rPr>
          <w:t>704b.7. Criterio de aceptación o rechazo</w:t>
        </w:r>
        <w:r>
          <w:rPr>
            <w:webHidden/>
          </w:rPr>
          <w:tab/>
        </w:r>
        <w:r>
          <w:rPr>
            <w:webHidden/>
          </w:rPr>
          <w:fldChar w:fldCharType="begin"/>
        </w:r>
        <w:r>
          <w:rPr>
            <w:webHidden/>
          </w:rPr>
          <w:instrText xml:space="preserve"> PAGEREF _Toc404613 \h </w:instrText>
        </w:r>
        <w:r>
          <w:rPr>
            <w:webHidden/>
          </w:rPr>
        </w:r>
        <w:r>
          <w:rPr>
            <w:webHidden/>
          </w:rPr>
          <w:fldChar w:fldCharType="separate"/>
        </w:r>
        <w:r w:rsidR="001B26B5">
          <w:rPr>
            <w:webHidden/>
          </w:rPr>
          <w:t>334</w:t>
        </w:r>
        <w:r>
          <w:rPr>
            <w:webHidden/>
          </w:rPr>
          <w:fldChar w:fldCharType="end"/>
        </w:r>
      </w:hyperlink>
    </w:p>
    <w:p w14:paraId="653574F4"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14" w:history="1">
        <w:r w:rsidRPr="003B1501">
          <w:rPr>
            <w:rStyle w:val="Hipervnculo"/>
          </w:rPr>
          <w:t>704b.8. Periodo de garantía</w:t>
        </w:r>
        <w:r>
          <w:rPr>
            <w:webHidden/>
          </w:rPr>
          <w:tab/>
        </w:r>
        <w:r>
          <w:rPr>
            <w:webHidden/>
          </w:rPr>
          <w:fldChar w:fldCharType="begin"/>
        </w:r>
        <w:r>
          <w:rPr>
            <w:webHidden/>
          </w:rPr>
          <w:instrText xml:space="preserve"> PAGEREF _Toc404614 \h </w:instrText>
        </w:r>
        <w:r>
          <w:rPr>
            <w:webHidden/>
          </w:rPr>
        </w:r>
        <w:r>
          <w:rPr>
            <w:webHidden/>
          </w:rPr>
          <w:fldChar w:fldCharType="separate"/>
        </w:r>
        <w:r w:rsidR="001B26B5">
          <w:rPr>
            <w:webHidden/>
          </w:rPr>
          <w:t>334</w:t>
        </w:r>
        <w:r>
          <w:rPr>
            <w:webHidden/>
          </w:rPr>
          <w:fldChar w:fldCharType="end"/>
        </w:r>
      </w:hyperlink>
    </w:p>
    <w:p w14:paraId="4ED4A243"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15" w:history="1">
        <w:r w:rsidRPr="003B1501">
          <w:rPr>
            <w:rStyle w:val="Hipervnculo"/>
          </w:rPr>
          <w:t>704b.9. Medición y abono</w:t>
        </w:r>
        <w:r>
          <w:rPr>
            <w:webHidden/>
          </w:rPr>
          <w:tab/>
        </w:r>
        <w:r>
          <w:rPr>
            <w:webHidden/>
          </w:rPr>
          <w:fldChar w:fldCharType="begin"/>
        </w:r>
        <w:r>
          <w:rPr>
            <w:webHidden/>
          </w:rPr>
          <w:instrText xml:space="preserve"> PAGEREF _Toc404615 \h </w:instrText>
        </w:r>
        <w:r>
          <w:rPr>
            <w:webHidden/>
          </w:rPr>
        </w:r>
        <w:r>
          <w:rPr>
            <w:webHidden/>
          </w:rPr>
          <w:fldChar w:fldCharType="separate"/>
        </w:r>
        <w:r w:rsidR="001B26B5">
          <w:rPr>
            <w:webHidden/>
          </w:rPr>
          <w:t>334</w:t>
        </w:r>
        <w:r>
          <w:rPr>
            <w:webHidden/>
          </w:rPr>
          <w:fldChar w:fldCharType="end"/>
        </w:r>
      </w:hyperlink>
    </w:p>
    <w:p w14:paraId="4E61B436" w14:textId="77777777" w:rsidR="0006561B" w:rsidRDefault="0006561B">
      <w:pPr>
        <w:pStyle w:val="TDC1"/>
        <w:rPr>
          <w:rFonts w:asciiTheme="minorHAnsi" w:eastAsiaTheme="minorEastAsia" w:hAnsiTheme="minorHAnsi" w:cstheme="minorBidi"/>
          <w:b w:val="0"/>
          <w:sz w:val="22"/>
          <w:szCs w:val="22"/>
          <w:lang w:val="es-ES" w:eastAsia="es-ES"/>
        </w:rPr>
      </w:pPr>
      <w:hyperlink w:anchor="_Toc404616" w:history="1">
        <w:r w:rsidRPr="003B1501">
          <w:rPr>
            <w:rStyle w:val="Hipervnculo"/>
          </w:rPr>
          <w:t>Artículo 706. Pretiles metálicos</w:t>
        </w:r>
        <w:r>
          <w:rPr>
            <w:webHidden/>
          </w:rPr>
          <w:tab/>
        </w:r>
        <w:r>
          <w:rPr>
            <w:webHidden/>
          </w:rPr>
          <w:fldChar w:fldCharType="begin"/>
        </w:r>
        <w:r>
          <w:rPr>
            <w:webHidden/>
          </w:rPr>
          <w:instrText xml:space="preserve"> PAGEREF _Toc404616 \h </w:instrText>
        </w:r>
        <w:r>
          <w:rPr>
            <w:webHidden/>
          </w:rPr>
        </w:r>
        <w:r>
          <w:rPr>
            <w:webHidden/>
          </w:rPr>
          <w:fldChar w:fldCharType="separate"/>
        </w:r>
        <w:r w:rsidR="001B26B5">
          <w:rPr>
            <w:webHidden/>
          </w:rPr>
          <w:t>335</w:t>
        </w:r>
        <w:r>
          <w:rPr>
            <w:webHidden/>
          </w:rPr>
          <w:fldChar w:fldCharType="end"/>
        </w:r>
      </w:hyperlink>
    </w:p>
    <w:p w14:paraId="154B6D96"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17" w:history="1">
        <w:r w:rsidRPr="003B1501">
          <w:rPr>
            <w:rStyle w:val="Hipervnculo"/>
          </w:rPr>
          <w:t xml:space="preserve">706.1.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_Toc404617 \h </w:instrText>
        </w:r>
        <w:r>
          <w:rPr>
            <w:webHidden/>
          </w:rPr>
        </w:r>
        <w:r>
          <w:rPr>
            <w:webHidden/>
          </w:rPr>
          <w:fldChar w:fldCharType="separate"/>
        </w:r>
        <w:r w:rsidR="001B26B5">
          <w:rPr>
            <w:webHidden/>
          </w:rPr>
          <w:t>335</w:t>
        </w:r>
        <w:r>
          <w:rPr>
            <w:webHidden/>
          </w:rPr>
          <w:fldChar w:fldCharType="end"/>
        </w:r>
      </w:hyperlink>
    </w:p>
    <w:p w14:paraId="09B7D189"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18" w:history="1">
        <w:r w:rsidRPr="003B1501">
          <w:rPr>
            <w:rStyle w:val="Hipervnculo"/>
          </w:rPr>
          <w:t>706.2. Tipos</w:t>
        </w:r>
        <w:r>
          <w:rPr>
            <w:webHidden/>
          </w:rPr>
          <w:tab/>
        </w:r>
        <w:r>
          <w:rPr>
            <w:webHidden/>
          </w:rPr>
          <w:fldChar w:fldCharType="begin"/>
        </w:r>
        <w:r>
          <w:rPr>
            <w:webHidden/>
          </w:rPr>
          <w:instrText xml:space="preserve"> PAGEREF _Toc404618 \h </w:instrText>
        </w:r>
        <w:r>
          <w:rPr>
            <w:webHidden/>
          </w:rPr>
        </w:r>
        <w:r>
          <w:rPr>
            <w:webHidden/>
          </w:rPr>
          <w:fldChar w:fldCharType="separate"/>
        </w:r>
        <w:r w:rsidR="001B26B5">
          <w:rPr>
            <w:webHidden/>
          </w:rPr>
          <w:t>335</w:t>
        </w:r>
        <w:r>
          <w:rPr>
            <w:webHidden/>
          </w:rPr>
          <w:fldChar w:fldCharType="end"/>
        </w:r>
      </w:hyperlink>
    </w:p>
    <w:p w14:paraId="6BEE3787"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19" w:history="1">
        <w:r w:rsidRPr="003B1501">
          <w:rPr>
            <w:rStyle w:val="Hipervnculo"/>
          </w:rPr>
          <w:t xml:space="preserve">706.3. </w:t>
        </w:r>
        <w:r>
          <w:rPr>
            <w:rFonts w:asciiTheme="minorHAnsi" w:eastAsiaTheme="minorEastAsia" w:hAnsiTheme="minorHAnsi" w:cstheme="minorBidi"/>
            <w:szCs w:val="22"/>
            <w:lang w:val="es-ES" w:eastAsia="es-ES"/>
          </w:rPr>
          <w:tab/>
        </w:r>
        <w:r w:rsidRPr="003B1501">
          <w:rPr>
            <w:rStyle w:val="Hipervnculo"/>
          </w:rPr>
          <w:t>Materiales y componentes</w:t>
        </w:r>
        <w:r>
          <w:rPr>
            <w:webHidden/>
          </w:rPr>
          <w:tab/>
        </w:r>
        <w:r>
          <w:rPr>
            <w:webHidden/>
          </w:rPr>
          <w:fldChar w:fldCharType="begin"/>
        </w:r>
        <w:r>
          <w:rPr>
            <w:webHidden/>
          </w:rPr>
          <w:instrText xml:space="preserve"> PAGEREF _Toc404619 \h </w:instrText>
        </w:r>
        <w:r>
          <w:rPr>
            <w:webHidden/>
          </w:rPr>
        </w:r>
        <w:r>
          <w:rPr>
            <w:webHidden/>
          </w:rPr>
          <w:fldChar w:fldCharType="separate"/>
        </w:r>
        <w:r w:rsidR="001B26B5">
          <w:rPr>
            <w:webHidden/>
          </w:rPr>
          <w:t>336</w:t>
        </w:r>
        <w:r>
          <w:rPr>
            <w:webHidden/>
          </w:rPr>
          <w:fldChar w:fldCharType="end"/>
        </w:r>
      </w:hyperlink>
    </w:p>
    <w:p w14:paraId="2CD5302D"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20" w:history="1">
        <w:r w:rsidRPr="003B1501">
          <w:rPr>
            <w:rStyle w:val="Hipervnculo"/>
          </w:rPr>
          <w:t xml:space="preserve">706.4.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_Toc404620 \h </w:instrText>
        </w:r>
        <w:r>
          <w:rPr>
            <w:webHidden/>
          </w:rPr>
        </w:r>
        <w:r>
          <w:rPr>
            <w:webHidden/>
          </w:rPr>
          <w:fldChar w:fldCharType="separate"/>
        </w:r>
        <w:r w:rsidR="001B26B5">
          <w:rPr>
            <w:webHidden/>
          </w:rPr>
          <w:t>336</w:t>
        </w:r>
        <w:r>
          <w:rPr>
            <w:webHidden/>
          </w:rPr>
          <w:fldChar w:fldCharType="end"/>
        </w:r>
      </w:hyperlink>
    </w:p>
    <w:p w14:paraId="09A60B30"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21" w:history="1">
        <w:r w:rsidRPr="003B1501">
          <w:rPr>
            <w:rStyle w:val="Hipervnculo"/>
          </w:rPr>
          <w:t>706.5. Limitaciones en la ejecución</w:t>
        </w:r>
        <w:r>
          <w:rPr>
            <w:webHidden/>
          </w:rPr>
          <w:tab/>
        </w:r>
        <w:r>
          <w:rPr>
            <w:webHidden/>
          </w:rPr>
          <w:fldChar w:fldCharType="begin"/>
        </w:r>
        <w:r>
          <w:rPr>
            <w:webHidden/>
          </w:rPr>
          <w:instrText xml:space="preserve"> PAGEREF _Toc404621 \h </w:instrText>
        </w:r>
        <w:r>
          <w:rPr>
            <w:webHidden/>
          </w:rPr>
        </w:r>
        <w:r>
          <w:rPr>
            <w:webHidden/>
          </w:rPr>
          <w:fldChar w:fldCharType="separate"/>
        </w:r>
        <w:r w:rsidR="001B26B5">
          <w:rPr>
            <w:webHidden/>
          </w:rPr>
          <w:t>336</w:t>
        </w:r>
        <w:r>
          <w:rPr>
            <w:webHidden/>
          </w:rPr>
          <w:fldChar w:fldCharType="end"/>
        </w:r>
      </w:hyperlink>
    </w:p>
    <w:p w14:paraId="4207E5F0"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22" w:history="1">
        <w:r w:rsidRPr="003B1501">
          <w:rPr>
            <w:rStyle w:val="Hipervnculo"/>
          </w:rPr>
          <w:t>706.6. Control de calidad</w:t>
        </w:r>
        <w:r>
          <w:rPr>
            <w:webHidden/>
          </w:rPr>
          <w:tab/>
        </w:r>
        <w:r>
          <w:rPr>
            <w:webHidden/>
          </w:rPr>
          <w:fldChar w:fldCharType="begin"/>
        </w:r>
        <w:r>
          <w:rPr>
            <w:webHidden/>
          </w:rPr>
          <w:instrText xml:space="preserve"> PAGEREF _Toc404622 \h </w:instrText>
        </w:r>
        <w:r>
          <w:rPr>
            <w:webHidden/>
          </w:rPr>
        </w:r>
        <w:r>
          <w:rPr>
            <w:webHidden/>
          </w:rPr>
          <w:fldChar w:fldCharType="separate"/>
        </w:r>
        <w:r w:rsidR="001B26B5">
          <w:rPr>
            <w:webHidden/>
          </w:rPr>
          <w:t>336</w:t>
        </w:r>
        <w:r>
          <w:rPr>
            <w:webHidden/>
          </w:rPr>
          <w:fldChar w:fldCharType="end"/>
        </w:r>
      </w:hyperlink>
    </w:p>
    <w:p w14:paraId="440CF630"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23" w:history="1">
        <w:r w:rsidRPr="003B1501">
          <w:rPr>
            <w:rStyle w:val="Hipervnculo"/>
          </w:rPr>
          <w:t>706.7. Criterio de aceptación o rechazo</w:t>
        </w:r>
        <w:r>
          <w:rPr>
            <w:webHidden/>
          </w:rPr>
          <w:tab/>
        </w:r>
        <w:r>
          <w:rPr>
            <w:webHidden/>
          </w:rPr>
          <w:fldChar w:fldCharType="begin"/>
        </w:r>
        <w:r>
          <w:rPr>
            <w:webHidden/>
          </w:rPr>
          <w:instrText xml:space="preserve"> PAGEREF _Toc404623 \h </w:instrText>
        </w:r>
        <w:r>
          <w:rPr>
            <w:webHidden/>
          </w:rPr>
        </w:r>
        <w:r>
          <w:rPr>
            <w:webHidden/>
          </w:rPr>
          <w:fldChar w:fldCharType="separate"/>
        </w:r>
        <w:r w:rsidR="001B26B5">
          <w:rPr>
            <w:webHidden/>
          </w:rPr>
          <w:t>337</w:t>
        </w:r>
        <w:r>
          <w:rPr>
            <w:webHidden/>
          </w:rPr>
          <w:fldChar w:fldCharType="end"/>
        </w:r>
      </w:hyperlink>
    </w:p>
    <w:p w14:paraId="404D6CA6"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24" w:history="1">
        <w:r w:rsidRPr="003B1501">
          <w:rPr>
            <w:rStyle w:val="Hipervnculo"/>
          </w:rPr>
          <w:t>706.8. Periodo de garantía</w:t>
        </w:r>
        <w:r>
          <w:rPr>
            <w:webHidden/>
          </w:rPr>
          <w:tab/>
        </w:r>
        <w:r>
          <w:rPr>
            <w:webHidden/>
          </w:rPr>
          <w:fldChar w:fldCharType="begin"/>
        </w:r>
        <w:r>
          <w:rPr>
            <w:webHidden/>
          </w:rPr>
          <w:instrText xml:space="preserve"> PAGEREF _Toc404624 \h </w:instrText>
        </w:r>
        <w:r>
          <w:rPr>
            <w:webHidden/>
          </w:rPr>
        </w:r>
        <w:r>
          <w:rPr>
            <w:webHidden/>
          </w:rPr>
          <w:fldChar w:fldCharType="separate"/>
        </w:r>
        <w:r w:rsidR="001B26B5">
          <w:rPr>
            <w:webHidden/>
          </w:rPr>
          <w:t>337</w:t>
        </w:r>
        <w:r>
          <w:rPr>
            <w:webHidden/>
          </w:rPr>
          <w:fldChar w:fldCharType="end"/>
        </w:r>
      </w:hyperlink>
    </w:p>
    <w:p w14:paraId="754DF4A4"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25" w:history="1">
        <w:r w:rsidRPr="003B1501">
          <w:rPr>
            <w:rStyle w:val="Hipervnculo"/>
          </w:rPr>
          <w:t>706.9. Medición y abono</w:t>
        </w:r>
        <w:r>
          <w:rPr>
            <w:webHidden/>
          </w:rPr>
          <w:tab/>
        </w:r>
        <w:r>
          <w:rPr>
            <w:webHidden/>
          </w:rPr>
          <w:fldChar w:fldCharType="begin"/>
        </w:r>
        <w:r>
          <w:rPr>
            <w:webHidden/>
          </w:rPr>
          <w:instrText xml:space="preserve"> PAGEREF _Toc404625 \h </w:instrText>
        </w:r>
        <w:r>
          <w:rPr>
            <w:webHidden/>
          </w:rPr>
        </w:r>
        <w:r>
          <w:rPr>
            <w:webHidden/>
          </w:rPr>
          <w:fldChar w:fldCharType="separate"/>
        </w:r>
        <w:r w:rsidR="001B26B5">
          <w:rPr>
            <w:webHidden/>
          </w:rPr>
          <w:t>337</w:t>
        </w:r>
        <w:r>
          <w:rPr>
            <w:webHidden/>
          </w:rPr>
          <w:fldChar w:fldCharType="end"/>
        </w:r>
      </w:hyperlink>
    </w:p>
    <w:p w14:paraId="4AAF3DB3" w14:textId="77777777" w:rsidR="0006561B" w:rsidRDefault="0006561B">
      <w:pPr>
        <w:pStyle w:val="TDC1"/>
        <w:rPr>
          <w:rFonts w:asciiTheme="minorHAnsi" w:eastAsiaTheme="minorEastAsia" w:hAnsiTheme="minorHAnsi" w:cstheme="minorBidi"/>
          <w:b w:val="0"/>
          <w:sz w:val="22"/>
          <w:szCs w:val="22"/>
          <w:lang w:val="es-ES" w:eastAsia="es-ES"/>
        </w:rPr>
      </w:pPr>
      <w:hyperlink w:anchor="_Toc404626" w:history="1">
        <w:r w:rsidRPr="003B1501">
          <w:rPr>
            <w:rStyle w:val="Hipervnculo"/>
          </w:rPr>
          <w:t>Artículo 707.- Barreras de hormigón</w:t>
        </w:r>
        <w:r>
          <w:rPr>
            <w:webHidden/>
          </w:rPr>
          <w:tab/>
        </w:r>
        <w:r>
          <w:rPr>
            <w:webHidden/>
          </w:rPr>
          <w:fldChar w:fldCharType="begin"/>
        </w:r>
        <w:r>
          <w:rPr>
            <w:webHidden/>
          </w:rPr>
          <w:instrText xml:space="preserve"> PAGEREF _Toc404626 \h </w:instrText>
        </w:r>
        <w:r>
          <w:rPr>
            <w:webHidden/>
          </w:rPr>
        </w:r>
        <w:r>
          <w:rPr>
            <w:webHidden/>
          </w:rPr>
          <w:fldChar w:fldCharType="separate"/>
        </w:r>
        <w:r w:rsidR="001B26B5">
          <w:rPr>
            <w:webHidden/>
          </w:rPr>
          <w:t>338</w:t>
        </w:r>
        <w:r>
          <w:rPr>
            <w:webHidden/>
          </w:rPr>
          <w:fldChar w:fldCharType="end"/>
        </w:r>
      </w:hyperlink>
    </w:p>
    <w:p w14:paraId="3FDEDB43"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27" w:history="1">
        <w:r w:rsidRPr="003B1501">
          <w:rPr>
            <w:rStyle w:val="Hipervnculo"/>
          </w:rPr>
          <w:t xml:space="preserve">707.1.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_Toc404627 \h </w:instrText>
        </w:r>
        <w:r>
          <w:rPr>
            <w:webHidden/>
          </w:rPr>
        </w:r>
        <w:r>
          <w:rPr>
            <w:webHidden/>
          </w:rPr>
          <w:fldChar w:fldCharType="separate"/>
        </w:r>
        <w:r w:rsidR="001B26B5">
          <w:rPr>
            <w:webHidden/>
          </w:rPr>
          <w:t>338</w:t>
        </w:r>
        <w:r>
          <w:rPr>
            <w:webHidden/>
          </w:rPr>
          <w:fldChar w:fldCharType="end"/>
        </w:r>
      </w:hyperlink>
    </w:p>
    <w:p w14:paraId="638E6E02"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28" w:history="1">
        <w:r w:rsidRPr="003B1501">
          <w:rPr>
            <w:rStyle w:val="Hipervnculo"/>
          </w:rPr>
          <w:t xml:space="preserve">707.2. </w:t>
        </w:r>
        <w:r>
          <w:rPr>
            <w:rFonts w:asciiTheme="minorHAnsi" w:eastAsiaTheme="minorEastAsia" w:hAnsiTheme="minorHAnsi" w:cstheme="minorBidi"/>
            <w:szCs w:val="22"/>
            <w:lang w:val="es-ES" w:eastAsia="es-ES"/>
          </w:rPr>
          <w:tab/>
        </w:r>
        <w:r w:rsidRPr="003B1501">
          <w:rPr>
            <w:rStyle w:val="Hipervnculo"/>
          </w:rPr>
          <w:t>Tipos</w:t>
        </w:r>
        <w:r>
          <w:rPr>
            <w:webHidden/>
          </w:rPr>
          <w:tab/>
        </w:r>
        <w:r>
          <w:rPr>
            <w:webHidden/>
          </w:rPr>
          <w:fldChar w:fldCharType="begin"/>
        </w:r>
        <w:r>
          <w:rPr>
            <w:webHidden/>
          </w:rPr>
          <w:instrText xml:space="preserve"> PAGEREF _Toc404628 \h </w:instrText>
        </w:r>
        <w:r>
          <w:rPr>
            <w:webHidden/>
          </w:rPr>
        </w:r>
        <w:r>
          <w:rPr>
            <w:webHidden/>
          </w:rPr>
          <w:fldChar w:fldCharType="separate"/>
        </w:r>
        <w:r w:rsidR="001B26B5">
          <w:rPr>
            <w:webHidden/>
          </w:rPr>
          <w:t>339</w:t>
        </w:r>
        <w:r>
          <w:rPr>
            <w:webHidden/>
          </w:rPr>
          <w:fldChar w:fldCharType="end"/>
        </w:r>
      </w:hyperlink>
    </w:p>
    <w:p w14:paraId="6A1F264E"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29" w:history="1">
        <w:r w:rsidRPr="003B1501">
          <w:rPr>
            <w:rStyle w:val="Hipervnculo"/>
          </w:rPr>
          <w:t xml:space="preserve">707.3.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_Toc404629 \h </w:instrText>
        </w:r>
        <w:r>
          <w:rPr>
            <w:webHidden/>
          </w:rPr>
        </w:r>
        <w:r>
          <w:rPr>
            <w:webHidden/>
          </w:rPr>
          <w:fldChar w:fldCharType="separate"/>
        </w:r>
        <w:r w:rsidR="001B26B5">
          <w:rPr>
            <w:webHidden/>
          </w:rPr>
          <w:t>339</w:t>
        </w:r>
        <w:r>
          <w:rPr>
            <w:webHidden/>
          </w:rPr>
          <w:fldChar w:fldCharType="end"/>
        </w:r>
      </w:hyperlink>
    </w:p>
    <w:p w14:paraId="480D6789"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30" w:history="1">
        <w:r w:rsidRPr="003B1501">
          <w:rPr>
            <w:rStyle w:val="Hipervnculo"/>
          </w:rPr>
          <w:t xml:space="preserve">707.4.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_Toc404630 \h </w:instrText>
        </w:r>
        <w:r>
          <w:rPr>
            <w:webHidden/>
          </w:rPr>
        </w:r>
        <w:r>
          <w:rPr>
            <w:webHidden/>
          </w:rPr>
          <w:fldChar w:fldCharType="separate"/>
        </w:r>
        <w:r w:rsidR="001B26B5">
          <w:rPr>
            <w:webHidden/>
          </w:rPr>
          <w:t>339</w:t>
        </w:r>
        <w:r>
          <w:rPr>
            <w:webHidden/>
          </w:rPr>
          <w:fldChar w:fldCharType="end"/>
        </w:r>
      </w:hyperlink>
    </w:p>
    <w:p w14:paraId="4549CD82"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31" w:history="1">
        <w:r w:rsidRPr="003B1501">
          <w:rPr>
            <w:rStyle w:val="Hipervnculo"/>
          </w:rPr>
          <w:t>707.5. Limitaciones en la ejecución</w:t>
        </w:r>
        <w:r>
          <w:rPr>
            <w:webHidden/>
          </w:rPr>
          <w:tab/>
        </w:r>
        <w:r>
          <w:rPr>
            <w:webHidden/>
          </w:rPr>
          <w:fldChar w:fldCharType="begin"/>
        </w:r>
        <w:r>
          <w:rPr>
            <w:webHidden/>
          </w:rPr>
          <w:instrText xml:space="preserve"> PAGEREF _Toc404631 \h </w:instrText>
        </w:r>
        <w:r>
          <w:rPr>
            <w:webHidden/>
          </w:rPr>
        </w:r>
        <w:r>
          <w:rPr>
            <w:webHidden/>
          </w:rPr>
          <w:fldChar w:fldCharType="separate"/>
        </w:r>
        <w:r w:rsidR="001B26B5">
          <w:rPr>
            <w:webHidden/>
          </w:rPr>
          <w:t>339</w:t>
        </w:r>
        <w:r>
          <w:rPr>
            <w:webHidden/>
          </w:rPr>
          <w:fldChar w:fldCharType="end"/>
        </w:r>
      </w:hyperlink>
    </w:p>
    <w:p w14:paraId="3B5DCCCB"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32" w:history="1">
        <w:r w:rsidRPr="003B1501">
          <w:rPr>
            <w:rStyle w:val="Hipervnculo"/>
          </w:rPr>
          <w:t>707.6. Control de calidad</w:t>
        </w:r>
        <w:r>
          <w:rPr>
            <w:webHidden/>
          </w:rPr>
          <w:tab/>
        </w:r>
        <w:r>
          <w:rPr>
            <w:webHidden/>
          </w:rPr>
          <w:fldChar w:fldCharType="begin"/>
        </w:r>
        <w:r>
          <w:rPr>
            <w:webHidden/>
          </w:rPr>
          <w:instrText xml:space="preserve"> PAGEREF _Toc404632 \h </w:instrText>
        </w:r>
        <w:r>
          <w:rPr>
            <w:webHidden/>
          </w:rPr>
        </w:r>
        <w:r>
          <w:rPr>
            <w:webHidden/>
          </w:rPr>
          <w:fldChar w:fldCharType="separate"/>
        </w:r>
        <w:r w:rsidR="001B26B5">
          <w:rPr>
            <w:webHidden/>
          </w:rPr>
          <w:t>340</w:t>
        </w:r>
        <w:r>
          <w:rPr>
            <w:webHidden/>
          </w:rPr>
          <w:fldChar w:fldCharType="end"/>
        </w:r>
      </w:hyperlink>
    </w:p>
    <w:p w14:paraId="1886560D"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33" w:history="1">
        <w:r w:rsidRPr="003B1501">
          <w:rPr>
            <w:rStyle w:val="Hipervnculo"/>
          </w:rPr>
          <w:t>707.7. Criterio de aceptación o rechazo</w:t>
        </w:r>
        <w:r>
          <w:rPr>
            <w:webHidden/>
          </w:rPr>
          <w:tab/>
        </w:r>
        <w:r>
          <w:rPr>
            <w:webHidden/>
          </w:rPr>
          <w:fldChar w:fldCharType="begin"/>
        </w:r>
        <w:r>
          <w:rPr>
            <w:webHidden/>
          </w:rPr>
          <w:instrText xml:space="preserve"> PAGEREF _Toc404633 \h </w:instrText>
        </w:r>
        <w:r>
          <w:rPr>
            <w:webHidden/>
          </w:rPr>
        </w:r>
        <w:r>
          <w:rPr>
            <w:webHidden/>
          </w:rPr>
          <w:fldChar w:fldCharType="separate"/>
        </w:r>
        <w:r w:rsidR="001B26B5">
          <w:rPr>
            <w:webHidden/>
          </w:rPr>
          <w:t>340</w:t>
        </w:r>
        <w:r>
          <w:rPr>
            <w:webHidden/>
          </w:rPr>
          <w:fldChar w:fldCharType="end"/>
        </w:r>
      </w:hyperlink>
    </w:p>
    <w:p w14:paraId="749FDD14"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34" w:history="1">
        <w:r w:rsidRPr="003B1501">
          <w:rPr>
            <w:rStyle w:val="Hipervnculo"/>
          </w:rPr>
          <w:t>707.8. Periodo de garantía</w:t>
        </w:r>
        <w:r>
          <w:rPr>
            <w:webHidden/>
          </w:rPr>
          <w:tab/>
        </w:r>
        <w:r>
          <w:rPr>
            <w:webHidden/>
          </w:rPr>
          <w:fldChar w:fldCharType="begin"/>
        </w:r>
        <w:r>
          <w:rPr>
            <w:webHidden/>
          </w:rPr>
          <w:instrText xml:space="preserve"> PAGEREF _Toc404634 \h </w:instrText>
        </w:r>
        <w:r>
          <w:rPr>
            <w:webHidden/>
          </w:rPr>
        </w:r>
        <w:r>
          <w:rPr>
            <w:webHidden/>
          </w:rPr>
          <w:fldChar w:fldCharType="separate"/>
        </w:r>
        <w:r w:rsidR="001B26B5">
          <w:rPr>
            <w:webHidden/>
          </w:rPr>
          <w:t>341</w:t>
        </w:r>
        <w:r>
          <w:rPr>
            <w:webHidden/>
          </w:rPr>
          <w:fldChar w:fldCharType="end"/>
        </w:r>
      </w:hyperlink>
    </w:p>
    <w:p w14:paraId="33F1367C" w14:textId="77777777" w:rsidR="0006561B" w:rsidRDefault="0006561B" w:rsidP="0006561B">
      <w:pPr>
        <w:pStyle w:val="TDC2"/>
        <w:spacing w:line="324" w:lineRule="auto"/>
        <w:ind w:left="992" w:hanging="567"/>
        <w:rPr>
          <w:rFonts w:asciiTheme="minorHAnsi" w:eastAsiaTheme="minorEastAsia" w:hAnsiTheme="minorHAnsi" w:cstheme="minorBidi"/>
          <w:szCs w:val="22"/>
          <w:lang w:val="es-ES" w:eastAsia="es-ES"/>
        </w:rPr>
      </w:pPr>
      <w:hyperlink w:anchor="_Toc404635" w:history="1">
        <w:r w:rsidRPr="003B1501">
          <w:rPr>
            <w:rStyle w:val="Hipervnculo"/>
          </w:rPr>
          <w:t xml:space="preserve">707.9. </w:t>
        </w:r>
        <w:r>
          <w:rPr>
            <w:rFonts w:asciiTheme="minorHAnsi" w:eastAsiaTheme="minorEastAsia" w:hAnsiTheme="minorHAnsi" w:cstheme="minorBidi"/>
            <w:szCs w:val="22"/>
            <w:lang w:val="es-ES" w:eastAsia="es-ES"/>
          </w:rPr>
          <w:tab/>
        </w:r>
        <w:r w:rsidRPr="003B1501">
          <w:rPr>
            <w:rStyle w:val="Hipervnculo"/>
          </w:rPr>
          <w:t>Medición y abono</w:t>
        </w:r>
        <w:r>
          <w:rPr>
            <w:webHidden/>
          </w:rPr>
          <w:tab/>
        </w:r>
        <w:r>
          <w:rPr>
            <w:webHidden/>
          </w:rPr>
          <w:fldChar w:fldCharType="begin"/>
        </w:r>
        <w:r>
          <w:rPr>
            <w:webHidden/>
          </w:rPr>
          <w:instrText xml:space="preserve"> PAGEREF _Toc404635 \h </w:instrText>
        </w:r>
        <w:r>
          <w:rPr>
            <w:webHidden/>
          </w:rPr>
        </w:r>
        <w:r>
          <w:rPr>
            <w:webHidden/>
          </w:rPr>
          <w:fldChar w:fldCharType="separate"/>
        </w:r>
        <w:r w:rsidR="001B26B5">
          <w:rPr>
            <w:webHidden/>
          </w:rPr>
          <w:t>341</w:t>
        </w:r>
        <w:r>
          <w:rPr>
            <w:webHidden/>
          </w:rPr>
          <w:fldChar w:fldCharType="end"/>
        </w:r>
      </w:hyperlink>
    </w:p>
    <w:p w14:paraId="47C41461"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636" w:history="1">
        <w:r w:rsidRPr="003B1501">
          <w:rPr>
            <w:rStyle w:val="Hipervnculo"/>
          </w:rPr>
          <w:t>Parte 8.-  Varios</w:t>
        </w:r>
        <w:r>
          <w:rPr>
            <w:webHidden/>
          </w:rPr>
          <w:tab/>
        </w:r>
        <w:r>
          <w:rPr>
            <w:webHidden/>
          </w:rPr>
          <w:fldChar w:fldCharType="begin"/>
        </w:r>
        <w:r>
          <w:rPr>
            <w:webHidden/>
          </w:rPr>
          <w:instrText xml:space="preserve"> PAGEREF _Toc404636 \h </w:instrText>
        </w:r>
        <w:r>
          <w:rPr>
            <w:webHidden/>
          </w:rPr>
        </w:r>
        <w:r>
          <w:rPr>
            <w:webHidden/>
          </w:rPr>
          <w:fldChar w:fldCharType="separate"/>
        </w:r>
        <w:r w:rsidR="001B26B5">
          <w:rPr>
            <w:webHidden/>
          </w:rPr>
          <w:t>343</w:t>
        </w:r>
        <w:r>
          <w:rPr>
            <w:webHidden/>
          </w:rPr>
          <w:fldChar w:fldCharType="end"/>
        </w:r>
      </w:hyperlink>
    </w:p>
    <w:p w14:paraId="484EA534"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637" w:history="1">
        <w:r w:rsidRPr="003B1501">
          <w:rPr>
            <w:rStyle w:val="Hipervnculo"/>
          </w:rPr>
          <w:t>Artículo 800. Transporte adicional</w:t>
        </w:r>
        <w:r>
          <w:rPr>
            <w:webHidden/>
          </w:rPr>
          <w:tab/>
        </w:r>
        <w:r>
          <w:rPr>
            <w:webHidden/>
          </w:rPr>
          <w:fldChar w:fldCharType="begin"/>
        </w:r>
        <w:r>
          <w:rPr>
            <w:webHidden/>
          </w:rPr>
          <w:instrText xml:space="preserve"> PAGEREF _Toc404637 \h </w:instrText>
        </w:r>
        <w:r>
          <w:rPr>
            <w:webHidden/>
          </w:rPr>
        </w:r>
        <w:r>
          <w:rPr>
            <w:webHidden/>
          </w:rPr>
          <w:fldChar w:fldCharType="separate"/>
        </w:r>
        <w:r w:rsidR="001B26B5">
          <w:rPr>
            <w:webHidden/>
          </w:rPr>
          <w:t>345</w:t>
        </w:r>
        <w:r>
          <w:rPr>
            <w:webHidden/>
          </w:rPr>
          <w:fldChar w:fldCharType="end"/>
        </w:r>
      </w:hyperlink>
    </w:p>
    <w:p w14:paraId="0C249F2D"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38" w:history="1">
        <w:r w:rsidRPr="003B1501">
          <w:rPr>
            <w:rStyle w:val="Hipervnculo"/>
          </w:rPr>
          <w:t>800.1. Definición</w:t>
        </w:r>
        <w:r>
          <w:rPr>
            <w:webHidden/>
          </w:rPr>
          <w:tab/>
        </w:r>
        <w:r>
          <w:rPr>
            <w:webHidden/>
          </w:rPr>
          <w:fldChar w:fldCharType="begin"/>
        </w:r>
        <w:r>
          <w:rPr>
            <w:webHidden/>
          </w:rPr>
          <w:instrText xml:space="preserve"> PAGEREF _Toc404638 \h </w:instrText>
        </w:r>
        <w:r>
          <w:rPr>
            <w:webHidden/>
          </w:rPr>
        </w:r>
        <w:r>
          <w:rPr>
            <w:webHidden/>
          </w:rPr>
          <w:fldChar w:fldCharType="separate"/>
        </w:r>
        <w:r w:rsidR="001B26B5">
          <w:rPr>
            <w:webHidden/>
          </w:rPr>
          <w:t>345</w:t>
        </w:r>
        <w:r>
          <w:rPr>
            <w:webHidden/>
          </w:rPr>
          <w:fldChar w:fldCharType="end"/>
        </w:r>
      </w:hyperlink>
    </w:p>
    <w:p w14:paraId="73FB284F"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39" w:history="1">
        <w:r w:rsidRPr="003B1501">
          <w:rPr>
            <w:rStyle w:val="Hipervnculo"/>
          </w:rPr>
          <w:t>800.2. Ejecución del transporte</w:t>
        </w:r>
        <w:r>
          <w:rPr>
            <w:webHidden/>
          </w:rPr>
          <w:tab/>
        </w:r>
        <w:r>
          <w:rPr>
            <w:webHidden/>
          </w:rPr>
          <w:fldChar w:fldCharType="begin"/>
        </w:r>
        <w:r>
          <w:rPr>
            <w:webHidden/>
          </w:rPr>
          <w:instrText xml:space="preserve"> PAGEREF _Toc404639 \h </w:instrText>
        </w:r>
        <w:r>
          <w:rPr>
            <w:webHidden/>
          </w:rPr>
        </w:r>
        <w:r>
          <w:rPr>
            <w:webHidden/>
          </w:rPr>
          <w:fldChar w:fldCharType="separate"/>
        </w:r>
        <w:r w:rsidR="001B26B5">
          <w:rPr>
            <w:webHidden/>
          </w:rPr>
          <w:t>345</w:t>
        </w:r>
        <w:r>
          <w:rPr>
            <w:webHidden/>
          </w:rPr>
          <w:fldChar w:fldCharType="end"/>
        </w:r>
      </w:hyperlink>
    </w:p>
    <w:p w14:paraId="054649ED"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40" w:history="1">
        <w:r w:rsidRPr="003B1501">
          <w:rPr>
            <w:rStyle w:val="Hipervnculo"/>
          </w:rPr>
          <w:t>800.3. Medición y abono</w:t>
        </w:r>
        <w:r>
          <w:rPr>
            <w:webHidden/>
          </w:rPr>
          <w:tab/>
        </w:r>
        <w:r>
          <w:rPr>
            <w:webHidden/>
          </w:rPr>
          <w:fldChar w:fldCharType="begin"/>
        </w:r>
        <w:r>
          <w:rPr>
            <w:webHidden/>
          </w:rPr>
          <w:instrText xml:space="preserve"> PAGEREF _Toc404640 \h </w:instrText>
        </w:r>
        <w:r>
          <w:rPr>
            <w:webHidden/>
          </w:rPr>
        </w:r>
        <w:r>
          <w:rPr>
            <w:webHidden/>
          </w:rPr>
          <w:fldChar w:fldCharType="separate"/>
        </w:r>
        <w:r w:rsidR="001B26B5">
          <w:rPr>
            <w:webHidden/>
          </w:rPr>
          <w:t>345</w:t>
        </w:r>
        <w:r>
          <w:rPr>
            <w:webHidden/>
          </w:rPr>
          <w:fldChar w:fldCharType="end"/>
        </w:r>
      </w:hyperlink>
    </w:p>
    <w:p w14:paraId="748EB9E0"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641" w:history="1">
        <w:r w:rsidRPr="003B1501">
          <w:rPr>
            <w:rStyle w:val="Hipervnculo"/>
          </w:rPr>
          <w:t>Artículo 801.- Reposición de servicios de la DGT</w:t>
        </w:r>
        <w:r>
          <w:rPr>
            <w:webHidden/>
          </w:rPr>
          <w:tab/>
        </w:r>
        <w:r>
          <w:rPr>
            <w:webHidden/>
          </w:rPr>
          <w:fldChar w:fldCharType="begin"/>
        </w:r>
        <w:r>
          <w:rPr>
            <w:webHidden/>
          </w:rPr>
          <w:instrText xml:space="preserve"> PAGEREF _Toc404641 \h </w:instrText>
        </w:r>
        <w:r>
          <w:rPr>
            <w:webHidden/>
          </w:rPr>
        </w:r>
        <w:r>
          <w:rPr>
            <w:webHidden/>
          </w:rPr>
          <w:fldChar w:fldCharType="separate"/>
        </w:r>
        <w:r w:rsidR="001B26B5">
          <w:rPr>
            <w:webHidden/>
          </w:rPr>
          <w:t>346</w:t>
        </w:r>
        <w:r>
          <w:rPr>
            <w:webHidden/>
          </w:rPr>
          <w:fldChar w:fldCharType="end"/>
        </w:r>
      </w:hyperlink>
    </w:p>
    <w:p w14:paraId="227DA9BB"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42" w:history="1">
        <w:r w:rsidRPr="003B1501">
          <w:rPr>
            <w:rStyle w:val="Hipervnculo"/>
          </w:rPr>
          <w:t xml:space="preserve">801.1.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_Toc404642 \h </w:instrText>
        </w:r>
        <w:r>
          <w:rPr>
            <w:webHidden/>
          </w:rPr>
        </w:r>
        <w:r>
          <w:rPr>
            <w:webHidden/>
          </w:rPr>
          <w:fldChar w:fldCharType="separate"/>
        </w:r>
        <w:r w:rsidR="001B26B5">
          <w:rPr>
            <w:webHidden/>
          </w:rPr>
          <w:t>346</w:t>
        </w:r>
        <w:r>
          <w:rPr>
            <w:webHidden/>
          </w:rPr>
          <w:fldChar w:fldCharType="end"/>
        </w:r>
      </w:hyperlink>
    </w:p>
    <w:p w14:paraId="49E53F61"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43" w:history="1">
        <w:r w:rsidRPr="003B1501">
          <w:rPr>
            <w:rStyle w:val="Hipervnculo"/>
          </w:rPr>
          <w:t>801.2. Aplicación</w:t>
        </w:r>
        <w:r>
          <w:rPr>
            <w:webHidden/>
          </w:rPr>
          <w:tab/>
        </w:r>
        <w:r>
          <w:rPr>
            <w:webHidden/>
          </w:rPr>
          <w:fldChar w:fldCharType="begin"/>
        </w:r>
        <w:r>
          <w:rPr>
            <w:webHidden/>
          </w:rPr>
          <w:instrText xml:space="preserve"> PAGEREF _Toc404643 \h </w:instrText>
        </w:r>
        <w:r>
          <w:rPr>
            <w:webHidden/>
          </w:rPr>
        </w:r>
        <w:r>
          <w:rPr>
            <w:webHidden/>
          </w:rPr>
          <w:fldChar w:fldCharType="separate"/>
        </w:r>
        <w:r w:rsidR="001B26B5">
          <w:rPr>
            <w:webHidden/>
          </w:rPr>
          <w:t>346</w:t>
        </w:r>
        <w:r>
          <w:rPr>
            <w:webHidden/>
          </w:rPr>
          <w:fldChar w:fldCharType="end"/>
        </w:r>
      </w:hyperlink>
    </w:p>
    <w:p w14:paraId="7ABD3AE9"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44" w:history="1">
        <w:r w:rsidRPr="003B1501">
          <w:rPr>
            <w:rStyle w:val="Hipervnculo"/>
          </w:rPr>
          <w:t xml:space="preserve">801.3. </w:t>
        </w:r>
        <w:r>
          <w:rPr>
            <w:rFonts w:asciiTheme="minorHAnsi" w:eastAsiaTheme="minorEastAsia" w:hAnsiTheme="minorHAnsi" w:cstheme="minorBidi"/>
            <w:szCs w:val="22"/>
            <w:lang w:val="es-ES" w:eastAsia="es-ES"/>
          </w:rPr>
          <w:tab/>
        </w:r>
        <w:r w:rsidRPr="003B1501">
          <w:rPr>
            <w:rStyle w:val="Hipervnculo"/>
          </w:rPr>
          <w:t>Descripción de los trabajos</w:t>
        </w:r>
        <w:r>
          <w:rPr>
            <w:webHidden/>
          </w:rPr>
          <w:tab/>
        </w:r>
        <w:r>
          <w:rPr>
            <w:webHidden/>
          </w:rPr>
          <w:fldChar w:fldCharType="begin"/>
        </w:r>
        <w:r>
          <w:rPr>
            <w:webHidden/>
          </w:rPr>
          <w:instrText xml:space="preserve"> PAGEREF _Toc404644 \h </w:instrText>
        </w:r>
        <w:r>
          <w:rPr>
            <w:webHidden/>
          </w:rPr>
        </w:r>
        <w:r>
          <w:rPr>
            <w:webHidden/>
          </w:rPr>
          <w:fldChar w:fldCharType="separate"/>
        </w:r>
        <w:r w:rsidR="001B26B5">
          <w:rPr>
            <w:webHidden/>
          </w:rPr>
          <w:t>346</w:t>
        </w:r>
        <w:r>
          <w:rPr>
            <w:webHidden/>
          </w:rPr>
          <w:fldChar w:fldCharType="end"/>
        </w:r>
      </w:hyperlink>
    </w:p>
    <w:p w14:paraId="4889F235"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45" w:history="1">
        <w:r w:rsidRPr="003B1501">
          <w:rPr>
            <w:rStyle w:val="Hipervnculo"/>
          </w:rPr>
          <w:t>801.4. Materiales</w:t>
        </w:r>
        <w:r>
          <w:rPr>
            <w:webHidden/>
          </w:rPr>
          <w:tab/>
        </w:r>
        <w:r>
          <w:rPr>
            <w:webHidden/>
          </w:rPr>
          <w:fldChar w:fldCharType="begin"/>
        </w:r>
        <w:r>
          <w:rPr>
            <w:webHidden/>
          </w:rPr>
          <w:instrText xml:space="preserve"> PAGEREF _Toc404645 \h </w:instrText>
        </w:r>
        <w:r>
          <w:rPr>
            <w:webHidden/>
          </w:rPr>
        </w:r>
        <w:r>
          <w:rPr>
            <w:webHidden/>
          </w:rPr>
          <w:fldChar w:fldCharType="separate"/>
        </w:r>
        <w:r w:rsidR="001B26B5">
          <w:rPr>
            <w:webHidden/>
          </w:rPr>
          <w:t>346</w:t>
        </w:r>
        <w:r>
          <w:rPr>
            <w:webHidden/>
          </w:rPr>
          <w:fldChar w:fldCharType="end"/>
        </w:r>
      </w:hyperlink>
    </w:p>
    <w:p w14:paraId="6F1DB4F1"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46" w:history="1">
        <w:r w:rsidRPr="003B1501">
          <w:rPr>
            <w:rStyle w:val="Hipervnculo"/>
          </w:rPr>
          <w:t xml:space="preserve">801.5.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_Toc404646 \h </w:instrText>
        </w:r>
        <w:r>
          <w:rPr>
            <w:webHidden/>
          </w:rPr>
        </w:r>
        <w:r>
          <w:rPr>
            <w:webHidden/>
          </w:rPr>
          <w:fldChar w:fldCharType="separate"/>
        </w:r>
        <w:r w:rsidR="001B26B5">
          <w:rPr>
            <w:webHidden/>
          </w:rPr>
          <w:t>347</w:t>
        </w:r>
        <w:r>
          <w:rPr>
            <w:webHidden/>
          </w:rPr>
          <w:fldChar w:fldCharType="end"/>
        </w:r>
      </w:hyperlink>
    </w:p>
    <w:p w14:paraId="61B36BA6"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47" w:history="1">
        <w:r w:rsidRPr="003B1501">
          <w:rPr>
            <w:rStyle w:val="Hipervnculo"/>
          </w:rPr>
          <w:t xml:space="preserve">801.6. </w:t>
        </w:r>
        <w:r>
          <w:rPr>
            <w:rFonts w:asciiTheme="minorHAnsi" w:eastAsiaTheme="minorEastAsia" w:hAnsiTheme="minorHAnsi" w:cstheme="minorBidi"/>
            <w:szCs w:val="22"/>
            <w:lang w:val="es-ES" w:eastAsia="es-ES"/>
          </w:rPr>
          <w:tab/>
        </w:r>
        <w:r w:rsidRPr="003B1501">
          <w:rPr>
            <w:rStyle w:val="Hipervnculo"/>
          </w:rPr>
          <w:t>Control de calidad</w:t>
        </w:r>
        <w:r>
          <w:rPr>
            <w:webHidden/>
          </w:rPr>
          <w:tab/>
        </w:r>
        <w:r>
          <w:rPr>
            <w:webHidden/>
          </w:rPr>
          <w:fldChar w:fldCharType="begin"/>
        </w:r>
        <w:r>
          <w:rPr>
            <w:webHidden/>
          </w:rPr>
          <w:instrText xml:space="preserve"> PAGEREF _Toc404647 \h </w:instrText>
        </w:r>
        <w:r>
          <w:rPr>
            <w:webHidden/>
          </w:rPr>
        </w:r>
        <w:r>
          <w:rPr>
            <w:webHidden/>
          </w:rPr>
          <w:fldChar w:fldCharType="separate"/>
        </w:r>
        <w:r w:rsidR="001B26B5">
          <w:rPr>
            <w:webHidden/>
          </w:rPr>
          <w:t>352</w:t>
        </w:r>
        <w:r>
          <w:rPr>
            <w:webHidden/>
          </w:rPr>
          <w:fldChar w:fldCharType="end"/>
        </w:r>
      </w:hyperlink>
    </w:p>
    <w:p w14:paraId="3B35A0F0"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48" w:history="1">
        <w:r w:rsidRPr="003B1501">
          <w:rPr>
            <w:rStyle w:val="Hipervnculo"/>
          </w:rPr>
          <w:t>801.7. Medición y abono</w:t>
        </w:r>
        <w:r>
          <w:rPr>
            <w:webHidden/>
          </w:rPr>
          <w:tab/>
        </w:r>
        <w:r>
          <w:rPr>
            <w:webHidden/>
          </w:rPr>
          <w:fldChar w:fldCharType="begin"/>
        </w:r>
        <w:r>
          <w:rPr>
            <w:webHidden/>
          </w:rPr>
          <w:instrText xml:space="preserve"> PAGEREF _Toc404648 \h </w:instrText>
        </w:r>
        <w:r>
          <w:rPr>
            <w:webHidden/>
          </w:rPr>
        </w:r>
        <w:r>
          <w:rPr>
            <w:webHidden/>
          </w:rPr>
          <w:fldChar w:fldCharType="separate"/>
        </w:r>
        <w:r w:rsidR="001B26B5">
          <w:rPr>
            <w:webHidden/>
          </w:rPr>
          <w:t>352</w:t>
        </w:r>
        <w:r>
          <w:rPr>
            <w:webHidden/>
          </w:rPr>
          <w:fldChar w:fldCharType="end"/>
        </w:r>
      </w:hyperlink>
    </w:p>
    <w:p w14:paraId="136BE4AB"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649" w:history="1">
        <w:r w:rsidRPr="003B1501">
          <w:rPr>
            <w:rStyle w:val="Hipervnculo"/>
          </w:rPr>
          <w:t>Artículo 802.- Desmontaje y montaje de elementos de equipamiento de la Dirección General de Tráfico (D.G.T.)</w:t>
        </w:r>
        <w:r>
          <w:rPr>
            <w:webHidden/>
          </w:rPr>
          <w:tab/>
        </w:r>
        <w:r>
          <w:rPr>
            <w:webHidden/>
          </w:rPr>
          <w:fldChar w:fldCharType="begin"/>
        </w:r>
        <w:r>
          <w:rPr>
            <w:webHidden/>
          </w:rPr>
          <w:instrText xml:space="preserve"> PAGEREF _Toc404649 \h </w:instrText>
        </w:r>
        <w:r>
          <w:rPr>
            <w:webHidden/>
          </w:rPr>
        </w:r>
        <w:r>
          <w:rPr>
            <w:webHidden/>
          </w:rPr>
          <w:fldChar w:fldCharType="separate"/>
        </w:r>
        <w:r w:rsidR="001B26B5">
          <w:rPr>
            <w:webHidden/>
          </w:rPr>
          <w:t>353</w:t>
        </w:r>
        <w:r>
          <w:rPr>
            <w:webHidden/>
          </w:rPr>
          <w:fldChar w:fldCharType="end"/>
        </w:r>
      </w:hyperlink>
    </w:p>
    <w:p w14:paraId="2D30208E"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50" w:history="1">
        <w:r w:rsidRPr="003B1501">
          <w:rPr>
            <w:rStyle w:val="Hipervnculo"/>
          </w:rPr>
          <w:t xml:space="preserve">802.1.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_Toc404650 \h </w:instrText>
        </w:r>
        <w:r>
          <w:rPr>
            <w:webHidden/>
          </w:rPr>
        </w:r>
        <w:r>
          <w:rPr>
            <w:webHidden/>
          </w:rPr>
          <w:fldChar w:fldCharType="separate"/>
        </w:r>
        <w:r w:rsidR="001B26B5">
          <w:rPr>
            <w:webHidden/>
          </w:rPr>
          <w:t>353</w:t>
        </w:r>
        <w:r>
          <w:rPr>
            <w:webHidden/>
          </w:rPr>
          <w:fldChar w:fldCharType="end"/>
        </w:r>
      </w:hyperlink>
    </w:p>
    <w:p w14:paraId="2A5DB66A"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51" w:history="1">
        <w:r w:rsidRPr="003B1501">
          <w:rPr>
            <w:rStyle w:val="Hipervnculo"/>
          </w:rPr>
          <w:t xml:space="preserve">802.2.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_Toc404651 \h </w:instrText>
        </w:r>
        <w:r>
          <w:rPr>
            <w:webHidden/>
          </w:rPr>
        </w:r>
        <w:r>
          <w:rPr>
            <w:webHidden/>
          </w:rPr>
          <w:fldChar w:fldCharType="separate"/>
        </w:r>
        <w:r w:rsidR="001B26B5">
          <w:rPr>
            <w:webHidden/>
          </w:rPr>
          <w:t>353</w:t>
        </w:r>
        <w:r>
          <w:rPr>
            <w:webHidden/>
          </w:rPr>
          <w:fldChar w:fldCharType="end"/>
        </w:r>
      </w:hyperlink>
    </w:p>
    <w:p w14:paraId="682BB747"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52" w:history="1">
        <w:r w:rsidRPr="003B1501">
          <w:rPr>
            <w:rStyle w:val="Hipervnculo"/>
          </w:rPr>
          <w:t xml:space="preserve">802.3. </w:t>
        </w:r>
        <w:r>
          <w:rPr>
            <w:rFonts w:asciiTheme="minorHAnsi" w:eastAsiaTheme="minorEastAsia" w:hAnsiTheme="minorHAnsi" w:cstheme="minorBidi"/>
            <w:szCs w:val="22"/>
            <w:lang w:val="es-ES" w:eastAsia="es-ES"/>
          </w:rPr>
          <w:tab/>
        </w:r>
        <w:r w:rsidRPr="003B1501">
          <w:rPr>
            <w:rStyle w:val="Hipervnculo"/>
          </w:rPr>
          <w:t>Ejecución</w:t>
        </w:r>
        <w:r>
          <w:rPr>
            <w:webHidden/>
          </w:rPr>
          <w:tab/>
        </w:r>
        <w:r>
          <w:rPr>
            <w:webHidden/>
          </w:rPr>
          <w:fldChar w:fldCharType="begin"/>
        </w:r>
        <w:r>
          <w:rPr>
            <w:webHidden/>
          </w:rPr>
          <w:instrText xml:space="preserve"> PAGEREF _Toc404652 \h </w:instrText>
        </w:r>
        <w:r>
          <w:rPr>
            <w:webHidden/>
          </w:rPr>
        </w:r>
        <w:r>
          <w:rPr>
            <w:webHidden/>
          </w:rPr>
          <w:fldChar w:fldCharType="separate"/>
        </w:r>
        <w:r w:rsidR="001B26B5">
          <w:rPr>
            <w:webHidden/>
          </w:rPr>
          <w:t>353</w:t>
        </w:r>
        <w:r>
          <w:rPr>
            <w:webHidden/>
          </w:rPr>
          <w:fldChar w:fldCharType="end"/>
        </w:r>
      </w:hyperlink>
    </w:p>
    <w:p w14:paraId="70231687"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653" w:history="1">
        <w:r w:rsidRPr="003B1501">
          <w:rPr>
            <w:rStyle w:val="Hipervnculo"/>
          </w:rPr>
          <w:t>Artículo 803. Arquetas de la reposición de servicios</w:t>
        </w:r>
        <w:r>
          <w:rPr>
            <w:webHidden/>
          </w:rPr>
          <w:tab/>
        </w:r>
        <w:r>
          <w:rPr>
            <w:webHidden/>
          </w:rPr>
          <w:fldChar w:fldCharType="begin"/>
        </w:r>
        <w:r>
          <w:rPr>
            <w:webHidden/>
          </w:rPr>
          <w:instrText xml:space="preserve"> PAGEREF _Toc404653 \h </w:instrText>
        </w:r>
        <w:r>
          <w:rPr>
            <w:webHidden/>
          </w:rPr>
        </w:r>
        <w:r>
          <w:rPr>
            <w:webHidden/>
          </w:rPr>
          <w:fldChar w:fldCharType="separate"/>
        </w:r>
        <w:r w:rsidR="001B26B5">
          <w:rPr>
            <w:webHidden/>
          </w:rPr>
          <w:t>355</w:t>
        </w:r>
        <w:r>
          <w:rPr>
            <w:webHidden/>
          </w:rPr>
          <w:fldChar w:fldCharType="end"/>
        </w:r>
      </w:hyperlink>
    </w:p>
    <w:p w14:paraId="0D241CED"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54" w:history="1">
        <w:r w:rsidRPr="003B1501">
          <w:rPr>
            <w:rStyle w:val="Hipervnculo"/>
          </w:rPr>
          <w:t xml:space="preserve">803.1.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_Toc404654 \h </w:instrText>
        </w:r>
        <w:r>
          <w:rPr>
            <w:webHidden/>
          </w:rPr>
        </w:r>
        <w:r>
          <w:rPr>
            <w:webHidden/>
          </w:rPr>
          <w:fldChar w:fldCharType="separate"/>
        </w:r>
        <w:r w:rsidR="001B26B5">
          <w:rPr>
            <w:webHidden/>
          </w:rPr>
          <w:t>355</w:t>
        </w:r>
        <w:r>
          <w:rPr>
            <w:webHidden/>
          </w:rPr>
          <w:fldChar w:fldCharType="end"/>
        </w:r>
      </w:hyperlink>
    </w:p>
    <w:p w14:paraId="3D766885"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55" w:history="1">
        <w:r w:rsidRPr="003B1501">
          <w:rPr>
            <w:rStyle w:val="Hipervnculo"/>
          </w:rPr>
          <w:t xml:space="preserve">803.2. </w:t>
        </w:r>
        <w:r>
          <w:rPr>
            <w:rFonts w:asciiTheme="minorHAnsi" w:eastAsiaTheme="minorEastAsia" w:hAnsiTheme="minorHAnsi" w:cstheme="minorBidi"/>
            <w:szCs w:val="22"/>
            <w:lang w:val="es-ES" w:eastAsia="es-ES"/>
          </w:rPr>
          <w:tab/>
        </w:r>
        <w:r w:rsidRPr="003B1501">
          <w:rPr>
            <w:rStyle w:val="Hipervnculo"/>
          </w:rPr>
          <w:t>Forma y dimensiones</w:t>
        </w:r>
        <w:r>
          <w:rPr>
            <w:webHidden/>
          </w:rPr>
          <w:tab/>
        </w:r>
        <w:r>
          <w:rPr>
            <w:webHidden/>
          </w:rPr>
          <w:fldChar w:fldCharType="begin"/>
        </w:r>
        <w:r>
          <w:rPr>
            <w:webHidden/>
          </w:rPr>
          <w:instrText xml:space="preserve"> PAGEREF _Toc404655 \h </w:instrText>
        </w:r>
        <w:r>
          <w:rPr>
            <w:webHidden/>
          </w:rPr>
        </w:r>
        <w:r>
          <w:rPr>
            <w:webHidden/>
          </w:rPr>
          <w:fldChar w:fldCharType="separate"/>
        </w:r>
        <w:r w:rsidR="001B26B5">
          <w:rPr>
            <w:webHidden/>
          </w:rPr>
          <w:t>355</w:t>
        </w:r>
        <w:r>
          <w:rPr>
            <w:webHidden/>
          </w:rPr>
          <w:fldChar w:fldCharType="end"/>
        </w:r>
      </w:hyperlink>
    </w:p>
    <w:p w14:paraId="0294878B"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56" w:history="1">
        <w:r w:rsidRPr="003B1501">
          <w:rPr>
            <w:rStyle w:val="Hipervnculo"/>
          </w:rPr>
          <w:t xml:space="preserve">803.3.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_Toc404656 \h </w:instrText>
        </w:r>
        <w:r>
          <w:rPr>
            <w:webHidden/>
          </w:rPr>
        </w:r>
        <w:r>
          <w:rPr>
            <w:webHidden/>
          </w:rPr>
          <w:fldChar w:fldCharType="separate"/>
        </w:r>
        <w:r w:rsidR="001B26B5">
          <w:rPr>
            <w:webHidden/>
          </w:rPr>
          <w:t>355</w:t>
        </w:r>
        <w:r>
          <w:rPr>
            <w:webHidden/>
          </w:rPr>
          <w:fldChar w:fldCharType="end"/>
        </w:r>
      </w:hyperlink>
    </w:p>
    <w:p w14:paraId="17208F14"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57" w:history="1">
        <w:r w:rsidRPr="003B1501">
          <w:rPr>
            <w:rStyle w:val="Hipervnculo"/>
          </w:rPr>
          <w:t xml:space="preserve">803.4. </w:t>
        </w:r>
        <w:r>
          <w:rPr>
            <w:rFonts w:asciiTheme="minorHAnsi" w:eastAsiaTheme="minorEastAsia" w:hAnsiTheme="minorHAnsi" w:cstheme="minorBidi"/>
            <w:szCs w:val="22"/>
            <w:lang w:val="es-ES" w:eastAsia="es-ES"/>
          </w:rPr>
          <w:tab/>
        </w:r>
        <w:r w:rsidRPr="003B1501">
          <w:rPr>
            <w:rStyle w:val="Hipervnculo"/>
          </w:rPr>
          <w:t>Ejecución</w:t>
        </w:r>
        <w:r>
          <w:rPr>
            <w:webHidden/>
          </w:rPr>
          <w:tab/>
        </w:r>
        <w:r>
          <w:rPr>
            <w:webHidden/>
          </w:rPr>
          <w:fldChar w:fldCharType="begin"/>
        </w:r>
        <w:r>
          <w:rPr>
            <w:webHidden/>
          </w:rPr>
          <w:instrText xml:space="preserve"> PAGEREF _Toc404657 \h </w:instrText>
        </w:r>
        <w:r>
          <w:rPr>
            <w:webHidden/>
          </w:rPr>
        </w:r>
        <w:r>
          <w:rPr>
            <w:webHidden/>
          </w:rPr>
          <w:fldChar w:fldCharType="separate"/>
        </w:r>
        <w:r w:rsidR="001B26B5">
          <w:rPr>
            <w:webHidden/>
          </w:rPr>
          <w:t>355</w:t>
        </w:r>
        <w:r>
          <w:rPr>
            <w:webHidden/>
          </w:rPr>
          <w:fldChar w:fldCharType="end"/>
        </w:r>
      </w:hyperlink>
    </w:p>
    <w:p w14:paraId="571DB2DB"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658" w:history="1">
        <w:r w:rsidRPr="003B1501">
          <w:rPr>
            <w:rStyle w:val="Hipervnculo"/>
          </w:rPr>
          <w:t>Artículo 804. Alumbrado de la autovía A-66</w:t>
        </w:r>
        <w:r>
          <w:rPr>
            <w:webHidden/>
          </w:rPr>
          <w:tab/>
        </w:r>
        <w:r>
          <w:rPr>
            <w:webHidden/>
          </w:rPr>
          <w:fldChar w:fldCharType="begin"/>
        </w:r>
        <w:r>
          <w:rPr>
            <w:webHidden/>
          </w:rPr>
          <w:instrText xml:space="preserve"> PAGEREF _Toc404658 \h </w:instrText>
        </w:r>
        <w:r>
          <w:rPr>
            <w:webHidden/>
          </w:rPr>
        </w:r>
        <w:r>
          <w:rPr>
            <w:webHidden/>
          </w:rPr>
          <w:fldChar w:fldCharType="separate"/>
        </w:r>
        <w:r w:rsidR="001B26B5">
          <w:rPr>
            <w:webHidden/>
          </w:rPr>
          <w:t>356</w:t>
        </w:r>
        <w:r>
          <w:rPr>
            <w:webHidden/>
          </w:rPr>
          <w:fldChar w:fldCharType="end"/>
        </w:r>
      </w:hyperlink>
    </w:p>
    <w:p w14:paraId="29635C11"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59" w:history="1">
        <w:r w:rsidRPr="003B1501">
          <w:rPr>
            <w:rStyle w:val="Hipervnculo"/>
          </w:rPr>
          <w:t xml:space="preserve">804.1.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_Toc404659 \h </w:instrText>
        </w:r>
        <w:r>
          <w:rPr>
            <w:webHidden/>
          </w:rPr>
        </w:r>
        <w:r>
          <w:rPr>
            <w:webHidden/>
          </w:rPr>
          <w:fldChar w:fldCharType="separate"/>
        </w:r>
        <w:r w:rsidR="001B26B5">
          <w:rPr>
            <w:webHidden/>
          </w:rPr>
          <w:t>356</w:t>
        </w:r>
        <w:r>
          <w:rPr>
            <w:webHidden/>
          </w:rPr>
          <w:fldChar w:fldCharType="end"/>
        </w:r>
      </w:hyperlink>
    </w:p>
    <w:p w14:paraId="63CFD037"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60" w:history="1">
        <w:r w:rsidRPr="003B1501">
          <w:rPr>
            <w:rStyle w:val="Hipervnculo"/>
          </w:rPr>
          <w:t xml:space="preserve">804.2.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_Toc404660 \h </w:instrText>
        </w:r>
        <w:r>
          <w:rPr>
            <w:webHidden/>
          </w:rPr>
        </w:r>
        <w:r>
          <w:rPr>
            <w:webHidden/>
          </w:rPr>
          <w:fldChar w:fldCharType="separate"/>
        </w:r>
        <w:r w:rsidR="001B26B5">
          <w:rPr>
            <w:webHidden/>
          </w:rPr>
          <w:t>356</w:t>
        </w:r>
        <w:r>
          <w:rPr>
            <w:webHidden/>
          </w:rPr>
          <w:fldChar w:fldCharType="end"/>
        </w:r>
      </w:hyperlink>
    </w:p>
    <w:p w14:paraId="3673B83B"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61" w:history="1">
        <w:r w:rsidRPr="003B1501">
          <w:rPr>
            <w:rStyle w:val="Hipervnculo"/>
          </w:rPr>
          <w:t xml:space="preserve">804.3. </w:t>
        </w:r>
        <w:r>
          <w:rPr>
            <w:rFonts w:asciiTheme="minorHAnsi" w:eastAsiaTheme="minorEastAsia" w:hAnsiTheme="minorHAnsi" w:cstheme="minorBidi"/>
            <w:szCs w:val="22"/>
            <w:lang w:val="es-ES" w:eastAsia="es-ES"/>
          </w:rPr>
          <w:tab/>
        </w:r>
        <w:r w:rsidRPr="003B1501">
          <w:rPr>
            <w:rStyle w:val="Hipervnculo"/>
          </w:rPr>
          <w:t>Descripción de los trabajos</w:t>
        </w:r>
        <w:r>
          <w:rPr>
            <w:webHidden/>
          </w:rPr>
          <w:tab/>
        </w:r>
        <w:r>
          <w:rPr>
            <w:webHidden/>
          </w:rPr>
          <w:fldChar w:fldCharType="begin"/>
        </w:r>
        <w:r>
          <w:rPr>
            <w:webHidden/>
          </w:rPr>
          <w:instrText xml:space="preserve"> PAGEREF _Toc404661 \h </w:instrText>
        </w:r>
        <w:r>
          <w:rPr>
            <w:webHidden/>
          </w:rPr>
        </w:r>
        <w:r>
          <w:rPr>
            <w:webHidden/>
          </w:rPr>
          <w:fldChar w:fldCharType="separate"/>
        </w:r>
        <w:r w:rsidR="001B26B5">
          <w:rPr>
            <w:webHidden/>
          </w:rPr>
          <w:t>356</w:t>
        </w:r>
        <w:r>
          <w:rPr>
            <w:webHidden/>
          </w:rPr>
          <w:fldChar w:fldCharType="end"/>
        </w:r>
      </w:hyperlink>
    </w:p>
    <w:p w14:paraId="106F78A4"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62" w:history="1">
        <w:r w:rsidRPr="003B1501">
          <w:rPr>
            <w:rStyle w:val="Hipervnculo"/>
          </w:rPr>
          <w:t>804.4.   Medición y abono</w:t>
        </w:r>
        <w:r>
          <w:rPr>
            <w:webHidden/>
          </w:rPr>
          <w:tab/>
        </w:r>
        <w:r>
          <w:rPr>
            <w:webHidden/>
          </w:rPr>
          <w:fldChar w:fldCharType="begin"/>
        </w:r>
        <w:r>
          <w:rPr>
            <w:webHidden/>
          </w:rPr>
          <w:instrText xml:space="preserve"> PAGEREF _Toc404662 \h </w:instrText>
        </w:r>
        <w:r>
          <w:rPr>
            <w:webHidden/>
          </w:rPr>
        </w:r>
        <w:r>
          <w:rPr>
            <w:webHidden/>
          </w:rPr>
          <w:fldChar w:fldCharType="separate"/>
        </w:r>
        <w:r w:rsidR="001B26B5">
          <w:rPr>
            <w:webHidden/>
          </w:rPr>
          <w:t>356</w:t>
        </w:r>
        <w:r>
          <w:rPr>
            <w:webHidden/>
          </w:rPr>
          <w:fldChar w:fldCharType="end"/>
        </w:r>
      </w:hyperlink>
    </w:p>
    <w:p w14:paraId="1F73F0D0"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r>
        <w:rPr>
          <w:rStyle w:val="Hipervnculo"/>
        </w:rPr>
        <w:br w:type="column"/>
      </w:r>
      <w:hyperlink w:anchor="_Toc404663" w:history="1">
        <w:r w:rsidRPr="003B1501">
          <w:rPr>
            <w:rStyle w:val="Hipervnculo"/>
            <w:kern w:val="28"/>
          </w:rPr>
          <w:t>Artículo 805. Reposición de servicios de la red del alumbrado del Ayuntamiento de Siero</w:t>
        </w:r>
        <w:r>
          <w:rPr>
            <w:webHidden/>
          </w:rPr>
          <w:tab/>
        </w:r>
        <w:r>
          <w:rPr>
            <w:webHidden/>
          </w:rPr>
          <w:fldChar w:fldCharType="begin"/>
        </w:r>
        <w:r>
          <w:rPr>
            <w:webHidden/>
          </w:rPr>
          <w:instrText xml:space="preserve"> PAGEREF _Toc404663 \h </w:instrText>
        </w:r>
        <w:r>
          <w:rPr>
            <w:webHidden/>
          </w:rPr>
        </w:r>
        <w:r>
          <w:rPr>
            <w:webHidden/>
          </w:rPr>
          <w:fldChar w:fldCharType="separate"/>
        </w:r>
        <w:r w:rsidR="001B26B5">
          <w:rPr>
            <w:webHidden/>
          </w:rPr>
          <w:t>358</w:t>
        </w:r>
        <w:r>
          <w:rPr>
            <w:webHidden/>
          </w:rPr>
          <w:fldChar w:fldCharType="end"/>
        </w:r>
      </w:hyperlink>
    </w:p>
    <w:p w14:paraId="3DEA2F1C"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64" w:history="1">
        <w:r w:rsidRPr="003B1501">
          <w:rPr>
            <w:rStyle w:val="Hipervnculo"/>
          </w:rPr>
          <w:t xml:space="preserve">805.1.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_Toc404664 \h </w:instrText>
        </w:r>
        <w:r>
          <w:rPr>
            <w:webHidden/>
          </w:rPr>
        </w:r>
        <w:r>
          <w:rPr>
            <w:webHidden/>
          </w:rPr>
          <w:fldChar w:fldCharType="separate"/>
        </w:r>
        <w:r w:rsidR="001B26B5">
          <w:rPr>
            <w:webHidden/>
          </w:rPr>
          <w:t>358</w:t>
        </w:r>
        <w:r>
          <w:rPr>
            <w:webHidden/>
          </w:rPr>
          <w:fldChar w:fldCharType="end"/>
        </w:r>
      </w:hyperlink>
    </w:p>
    <w:p w14:paraId="5C1E0CF4"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65" w:history="1">
        <w:r w:rsidRPr="003B1501">
          <w:rPr>
            <w:rStyle w:val="Hipervnculo"/>
          </w:rPr>
          <w:t xml:space="preserve">805.2.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_Toc404665 \h </w:instrText>
        </w:r>
        <w:r>
          <w:rPr>
            <w:webHidden/>
          </w:rPr>
        </w:r>
        <w:r>
          <w:rPr>
            <w:webHidden/>
          </w:rPr>
          <w:fldChar w:fldCharType="separate"/>
        </w:r>
        <w:r w:rsidR="001B26B5">
          <w:rPr>
            <w:webHidden/>
          </w:rPr>
          <w:t>358</w:t>
        </w:r>
        <w:r>
          <w:rPr>
            <w:webHidden/>
          </w:rPr>
          <w:fldChar w:fldCharType="end"/>
        </w:r>
      </w:hyperlink>
    </w:p>
    <w:p w14:paraId="07E3C6EF"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66" w:history="1">
        <w:r w:rsidRPr="003B1501">
          <w:rPr>
            <w:rStyle w:val="Hipervnculo"/>
          </w:rPr>
          <w:t xml:space="preserve">805.3. </w:t>
        </w:r>
        <w:r>
          <w:rPr>
            <w:rFonts w:asciiTheme="minorHAnsi" w:eastAsiaTheme="minorEastAsia" w:hAnsiTheme="minorHAnsi" w:cstheme="minorBidi"/>
            <w:szCs w:val="22"/>
            <w:lang w:val="es-ES" w:eastAsia="es-ES"/>
          </w:rPr>
          <w:tab/>
        </w:r>
        <w:r w:rsidRPr="003B1501">
          <w:rPr>
            <w:rStyle w:val="Hipervnculo"/>
          </w:rPr>
          <w:t>Descripción de los trabajos</w:t>
        </w:r>
        <w:r>
          <w:rPr>
            <w:webHidden/>
          </w:rPr>
          <w:tab/>
        </w:r>
        <w:r>
          <w:rPr>
            <w:webHidden/>
          </w:rPr>
          <w:fldChar w:fldCharType="begin"/>
        </w:r>
        <w:r>
          <w:rPr>
            <w:webHidden/>
          </w:rPr>
          <w:instrText xml:space="preserve"> PAGEREF _Toc404666 \h </w:instrText>
        </w:r>
        <w:r>
          <w:rPr>
            <w:webHidden/>
          </w:rPr>
        </w:r>
        <w:r>
          <w:rPr>
            <w:webHidden/>
          </w:rPr>
          <w:fldChar w:fldCharType="separate"/>
        </w:r>
        <w:r w:rsidR="001B26B5">
          <w:rPr>
            <w:webHidden/>
          </w:rPr>
          <w:t>358</w:t>
        </w:r>
        <w:r>
          <w:rPr>
            <w:webHidden/>
          </w:rPr>
          <w:fldChar w:fldCharType="end"/>
        </w:r>
      </w:hyperlink>
    </w:p>
    <w:p w14:paraId="48536D94"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67" w:history="1">
        <w:r w:rsidRPr="003B1501">
          <w:rPr>
            <w:rStyle w:val="Hipervnculo"/>
          </w:rPr>
          <w:t>805.4. Medición y abono</w:t>
        </w:r>
        <w:r>
          <w:rPr>
            <w:webHidden/>
          </w:rPr>
          <w:tab/>
        </w:r>
        <w:r>
          <w:rPr>
            <w:webHidden/>
          </w:rPr>
          <w:fldChar w:fldCharType="begin"/>
        </w:r>
        <w:r>
          <w:rPr>
            <w:webHidden/>
          </w:rPr>
          <w:instrText xml:space="preserve"> PAGEREF _Toc404667 \h </w:instrText>
        </w:r>
        <w:r>
          <w:rPr>
            <w:webHidden/>
          </w:rPr>
        </w:r>
        <w:r>
          <w:rPr>
            <w:webHidden/>
          </w:rPr>
          <w:fldChar w:fldCharType="separate"/>
        </w:r>
        <w:r w:rsidR="001B26B5">
          <w:rPr>
            <w:webHidden/>
          </w:rPr>
          <w:t>358</w:t>
        </w:r>
        <w:r>
          <w:rPr>
            <w:webHidden/>
          </w:rPr>
          <w:fldChar w:fldCharType="end"/>
        </w:r>
      </w:hyperlink>
    </w:p>
    <w:p w14:paraId="439FADCB"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668" w:history="1">
        <w:r w:rsidRPr="003B1501">
          <w:rPr>
            <w:rStyle w:val="Hipervnculo"/>
            <w:kern w:val="28"/>
          </w:rPr>
          <w:t>Artículo 806. Canalizaciones subterráneas de alumbrado</w:t>
        </w:r>
        <w:r>
          <w:rPr>
            <w:webHidden/>
          </w:rPr>
          <w:tab/>
        </w:r>
        <w:r>
          <w:rPr>
            <w:webHidden/>
          </w:rPr>
          <w:fldChar w:fldCharType="begin"/>
        </w:r>
        <w:r>
          <w:rPr>
            <w:webHidden/>
          </w:rPr>
          <w:instrText xml:space="preserve"> PAGEREF _Toc404668 \h </w:instrText>
        </w:r>
        <w:r>
          <w:rPr>
            <w:webHidden/>
          </w:rPr>
        </w:r>
        <w:r>
          <w:rPr>
            <w:webHidden/>
          </w:rPr>
          <w:fldChar w:fldCharType="separate"/>
        </w:r>
        <w:r w:rsidR="001B26B5">
          <w:rPr>
            <w:webHidden/>
          </w:rPr>
          <w:t>359</w:t>
        </w:r>
        <w:r>
          <w:rPr>
            <w:webHidden/>
          </w:rPr>
          <w:fldChar w:fldCharType="end"/>
        </w:r>
      </w:hyperlink>
    </w:p>
    <w:p w14:paraId="5FDB1538"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69" w:history="1">
        <w:r w:rsidRPr="003B1501">
          <w:rPr>
            <w:rStyle w:val="Hipervnculo"/>
          </w:rPr>
          <w:t xml:space="preserve">806.1.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_Toc404669 \h </w:instrText>
        </w:r>
        <w:r>
          <w:rPr>
            <w:webHidden/>
          </w:rPr>
        </w:r>
        <w:r>
          <w:rPr>
            <w:webHidden/>
          </w:rPr>
          <w:fldChar w:fldCharType="separate"/>
        </w:r>
        <w:r w:rsidR="001B26B5">
          <w:rPr>
            <w:webHidden/>
          </w:rPr>
          <w:t>359</w:t>
        </w:r>
        <w:r>
          <w:rPr>
            <w:webHidden/>
          </w:rPr>
          <w:fldChar w:fldCharType="end"/>
        </w:r>
      </w:hyperlink>
    </w:p>
    <w:p w14:paraId="72C9E254"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70" w:history="1">
        <w:r w:rsidRPr="003B1501">
          <w:rPr>
            <w:rStyle w:val="Hipervnculo"/>
          </w:rPr>
          <w:t xml:space="preserve">806.2.  </w:t>
        </w:r>
        <w:r>
          <w:rPr>
            <w:rFonts w:asciiTheme="minorHAnsi" w:eastAsiaTheme="minorEastAsia" w:hAnsiTheme="minorHAnsi" w:cstheme="minorBidi"/>
            <w:szCs w:val="22"/>
            <w:lang w:val="es-ES" w:eastAsia="es-ES"/>
          </w:rPr>
          <w:tab/>
        </w:r>
        <w:r w:rsidRPr="003B1501">
          <w:rPr>
            <w:rStyle w:val="Hipervnculo"/>
          </w:rPr>
          <w:t>Normativa</w:t>
        </w:r>
        <w:r>
          <w:rPr>
            <w:webHidden/>
          </w:rPr>
          <w:tab/>
        </w:r>
        <w:r>
          <w:rPr>
            <w:webHidden/>
          </w:rPr>
          <w:fldChar w:fldCharType="begin"/>
        </w:r>
        <w:r>
          <w:rPr>
            <w:webHidden/>
          </w:rPr>
          <w:instrText xml:space="preserve"> PAGEREF _Toc404670 \h </w:instrText>
        </w:r>
        <w:r>
          <w:rPr>
            <w:webHidden/>
          </w:rPr>
        </w:r>
        <w:r>
          <w:rPr>
            <w:webHidden/>
          </w:rPr>
          <w:fldChar w:fldCharType="separate"/>
        </w:r>
        <w:r w:rsidR="001B26B5">
          <w:rPr>
            <w:webHidden/>
          </w:rPr>
          <w:t>359</w:t>
        </w:r>
        <w:r>
          <w:rPr>
            <w:webHidden/>
          </w:rPr>
          <w:fldChar w:fldCharType="end"/>
        </w:r>
      </w:hyperlink>
    </w:p>
    <w:p w14:paraId="45FC9A50"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71" w:history="1">
        <w:r w:rsidRPr="003B1501">
          <w:rPr>
            <w:rStyle w:val="Hipervnculo"/>
          </w:rPr>
          <w:t xml:space="preserve">806.3.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_Toc404671 \h </w:instrText>
        </w:r>
        <w:r>
          <w:rPr>
            <w:webHidden/>
          </w:rPr>
        </w:r>
        <w:r>
          <w:rPr>
            <w:webHidden/>
          </w:rPr>
          <w:fldChar w:fldCharType="separate"/>
        </w:r>
        <w:r w:rsidR="001B26B5">
          <w:rPr>
            <w:webHidden/>
          </w:rPr>
          <w:t>359</w:t>
        </w:r>
        <w:r>
          <w:rPr>
            <w:webHidden/>
          </w:rPr>
          <w:fldChar w:fldCharType="end"/>
        </w:r>
      </w:hyperlink>
    </w:p>
    <w:p w14:paraId="06B8DB30"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72" w:history="1">
        <w:r w:rsidRPr="003B1501">
          <w:rPr>
            <w:rStyle w:val="Hipervnculo"/>
          </w:rPr>
          <w:t xml:space="preserve">806.4.  </w:t>
        </w:r>
        <w:r>
          <w:rPr>
            <w:rFonts w:asciiTheme="minorHAnsi" w:eastAsiaTheme="minorEastAsia" w:hAnsiTheme="minorHAnsi" w:cstheme="minorBidi"/>
            <w:szCs w:val="22"/>
            <w:lang w:val="es-ES" w:eastAsia="es-ES"/>
          </w:rPr>
          <w:tab/>
        </w:r>
        <w:r w:rsidRPr="003B1501">
          <w:rPr>
            <w:rStyle w:val="Hipervnculo"/>
          </w:rPr>
          <w:t>Ejecución</w:t>
        </w:r>
        <w:r>
          <w:rPr>
            <w:webHidden/>
          </w:rPr>
          <w:tab/>
        </w:r>
        <w:r>
          <w:rPr>
            <w:webHidden/>
          </w:rPr>
          <w:fldChar w:fldCharType="begin"/>
        </w:r>
        <w:r>
          <w:rPr>
            <w:webHidden/>
          </w:rPr>
          <w:instrText xml:space="preserve"> PAGEREF _Toc404672 \h </w:instrText>
        </w:r>
        <w:r>
          <w:rPr>
            <w:webHidden/>
          </w:rPr>
        </w:r>
        <w:r>
          <w:rPr>
            <w:webHidden/>
          </w:rPr>
          <w:fldChar w:fldCharType="separate"/>
        </w:r>
        <w:r w:rsidR="001B26B5">
          <w:rPr>
            <w:webHidden/>
          </w:rPr>
          <w:t>359</w:t>
        </w:r>
        <w:r>
          <w:rPr>
            <w:webHidden/>
          </w:rPr>
          <w:fldChar w:fldCharType="end"/>
        </w:r>
      </w:hyperlink>
    </w:p>
    <w:p w14:paraId="7CBD7808"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73" w:history="1">
        <w:r w:rsidRPr="003B1501">
          <w:rPr>
            <w:rStyle w:val="Hipervnculo"/>
          </w:rPr>
          <w:t>806.5.  Recepción</w:t>
        </w:r>
        <w:r>
          <w:rPr>
            <w:webHidden/>
          </w:rPr>
          <w:tab/>
        </w:r>
        <w:r>
          <w:rPr>
            <w:webHidden/>
          </w:rPr>
          <w:fldChar w:fldCharType="begin"/>
        </w:r>
        <w:r>
          <w:rPr>
            <w:webHidden/>
          </w:rPr>
          <w:instrText xml:space="preserve"> PAGEREF _Toc404673 \h </w:instrText>
        </w:r>
        <w:r>
          <w:rPr>
            <w:webHidden/>
          </w:rPr>
        </w:r>
        <w:r>
          <w:rPr>
            <w:webHidden/>
          </w:rPr>
          <w:fldChar w:fldCharType="separate"/>
        </w:r>
        <w:r w:rsidR="001B26B5">
          <w:rPr>
            <w:webHidden/>
          </w:rPr>
          <w:t>360</w:t>
        </w:r>
        <w:r>
          <w:rPr>
            <w:webHidden/>
          </w:rPr>
          <w:fldChar w:fldCharType="end"/>
        </w:r>
      </w:hyperlink>
    </w:p>
    <w:p w14:paraId="0BB2C292"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74" w:history="1">
        <w:r w:rsidRPr="003B1501">
          <w:rPr>
            <w:rStyle w:val="Hipervnculo"/>
          </w:rPr>
          <w:t xml:space="preserve">806.6. </w:t>
        </w:r>
        <w:r>
          <w:rPr>
            <w:rFonts w:asciiTheme="minorHAnsi" w:eastAsiaTheme="minorEastAsia" w:hAnsiTheme="minorHAnsi" w:cstheme="minorBidi"/>
            <w:szCs w:val="22"/>
            <w:lang w:val="es-ES" w:eastAsia="es-ES"/>
          </w:rPr>
          <w:tab/>
        </w:r>
        <w:r w:rsidRPr="003B1501">
          <w:rPr>
            <w:rStyle w:val="Hipervnculo"/>
          </w:rPr>
          <w:t>Tratamiento de no conformidades</w:t>
        </w:r>
        <w:r>
          <w:rPr>
            <w:webHidden/>
          </w:rPr>
          <w:tab/>
        </w:r>
        <w:r>
          <w:rPr>
            <w:webHidden/>
          </w:rPr>
          <w:fldChar w:fldCharType="begin"/>
        </w:r>
        <w:r>
          <w:rPr>
            <w:webHidden/>
          </w:rPr>
          <w:instrText xml:space="preserve"> PAGEREF _Toc404674 \h </w:instrText>
        </w:r>
        <w:r>
          <w:rPr>
            <w:webHidden/>
          </w:rPr>
        </w:r>
        <w:r>
          <w:rPr>
            <w:webHidden/>
          </w:rPr>
          <w:fldChar w:fldCharType="separate"/>
        </w:r>
        <w:r w:rsidR="001B26B5">
          <w:rPr>
            <w:webHidden/>
          </w:rPr>
          <w:t>360</w:t>
        </w:r>
        <w:r>
          <w:rPr>
            <w:webHidden/>
          </w:rPr>
          <w:fldChar w:fldCharType="end"/>
        </w:r>
      </w:hyperlink>
    </w:p>
    <w:p w14:paraId="63DF11A9"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75" w:history="1">
        <w:r w:rsidRPr="003B1501">
          <w:rPr>
            <w:rStyle w:val="Hipervnculo"/>
          </w:rPr>
          <w:t>806.7. Control de calidad</w:t>
        </w:r>
        <w:r>
          <w:rPr>
            <w:webHidden/>
          </w:rPr>
          <w:tab/>
        </w:r>
        <w:r>
          <w:rPr>
            <w:webHidden/>
          </w:rPr>
          <w:fldChar w:fldCharType="begin"/>
        </w:r>
        <w:r>
          <w:rPr>
            <w:webHidden/>
          </w:rPr>
          <w:instrText xml:space="preserve"> PAGEREF _Toc404675 \h </w:instrText>
        </w:r>
        <w:r>
          <w:rPr>
            <w:webHidden/>
          </w:rPr>
        </w:r>
        <w:r>
          <w:rPr>
            <w:webHidden/>
          </w:rPr>
          <w:fldChar w:fldCharType="separate"/>
        </w:r>
        <w:r w:rsidR="001B26B5">
          <w:rPr>
            <w:webHidden/>
          </w:rPr>
          <w:t>360</w:t>
        </w:r>
        <w:r>
          <w:rPr>
            <w:webHidden/>
          </w:rPr>
          <w:fldChar w:fldCharType="end"/>
        </w:r>
      </w:hyperlink>
    </w:p>
    <w:p w14:paraId="7FB56A31"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676" w:history="1">
        <w:r w:rsidRPr="003B1501">
          <w:rPr>
            <w:rStyle w:val="Hipervnculo"/>
            <w:kern w:val="28"/>
          </w:rPr>
          <w:t>Artículo 807. Canalizaciones entubadas exteriores de alumbrado</w:t>
        </w:r>
        <w:r>
          <w:rPr>
            <w:webHidden/>
          </w:rPr>
          <w:tab/>
        </w:r>
        <w:r>
          <w:rPr>
            <w:webHidden/>
          </w:rPr>
          <w:fldChar w:fldCharType="begin"/>
        </w:r>
        <w:r>
          <w:rPr>
            <w:webHidden/>
          </w:rPr>
          <w:instrText xml:space="preserve"> PAGEREF _Toc404676 \h </w:instrText>
        </w:r>
        <w:r>
          <w:rPr>
            <w:webHidden/>
          </w:rPr>
        </w:r>
        <w:r>
          <w:rPr>
            <w:webHidden/>
          </w:rPr>
          <w:fldChar w:fldCharType="separate"/>
        </w:r>
        <w:r w:rsidR="001B26B5">
          <w:rPr>
            <w:webHidden/>
          </w:rPr>
          <w:t>361</w:t>
        </w:r>
        <w:r>
          <w:rPr>
            <w:webHidden/>
          </w:rPr>
          <w:fldChar w:fldCharType="end"/>
        </w:r>
      </w:hyperlink>
    </w:p>
    <w:p w14:paraId="6DB7C5EB"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77" w:history="1">
        <w:r w:rsidRPr="003B1501">
          <w:rPr>
            <w:rStyle w:val="Hipervnculo"/>
          </w:rPr>
          <w:t xml:space="preserve">807.1.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_Toc404677 \h </w:instrText>
        </w:r>
        <w:r>
          <w:rPr>
            <w:webHidden/>
          </w:rPr>
        </w:r>
        <w:r>
          <w:rPr>
            <w:webHidden/>
          </w:rPr>
          <w:fldChar w:fldCharType="separate"/>
        </w:r>
        <w:r w:rsidR="001B26B5">
          <w:rPr>
            <w:webHidden/>
          </w:rPr>
          <w:t>361</w:t>
        </w:r>
        <w:r>
          <w:rPr>
            <w:webHidden/>
          </w:rPr>
          <w:fldChar w:fldCharType="end"/>
        </w:r>
      </w:hyperlink>
    </w:p>
    <w:p w14:paraId="3E30CCC5"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78" w:history="1">
        <w:r w:rsidRPr="003B1501">
          <w:rPr>
            <w:rStyle w:val="Hipervnculo"/>
          </w:rPr>
          <w:t>807.2. Descripción de los trabajos</w:t>
        </w:r>
        <w:r>
          <w:rPr>
            <w:webHidden/>
          </w:rPr>
          <w:tab/>
        </w:r>
        <w:r>
          <w:rPr>
            <w:webHidden/>
          </w:rPr>
          <w:fldChar w:fldCharType="begin"/>
        </w:r>
        <w:r>
          <w:rPr>
            <w:webHidden/>
          </w:rPr>
          <w:instrText xml:space="preserve"> PAGEREF _Toc404678 \h </w:instrText>
        </w:r>
        <w:r>
          <w:rPr>
            <w:webHidden/>
          </w:rPr>
        </w:r>
        <w:r>
          <w:rPr>
            <w:webHidden/>
          </w:rPr>
          <w:fldChar w:fldCharType="separate"/>
        </w:r>
        <w:r w:rsidR="001B26B5">
          <w:rPr>
            <w:webHidden/>
          </w:rPr>
          <w:t>361</w:t>
        </w:r>
        <w:r>
          <w:rPr>
            <w:webHidden/>
          </w:rPr>
          <w:fldChar w:fldCharType="end"/>
        </w:r>
      </w:hyperlink>
    </w:p>
    <w:p w14:paraId="712C79E7"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679" w:history="1">
        <w:r w:rsidRPr="003B1501">
          <w:rPr>
            <w:rStyle w:val="Hipervnculo"/>
            <w:kern w:val="28"/>
          </w:rPr>
          <w:t>Artículo 808. Instalación eléctrica de alumbrado</w:t>
        </w:r>
        <w:r>
          <w:rPr>
            <w:webHidden/>
          </w:rPr>
          <w:tab/>
        </w:r>
        <w:r>
          <w:rPr>
            <w:webHidden/>
          </w:rPr>
          <w:fldChar w:fldCharType="begin"/>
        </w:r>
        <w:r>
          <w:rPr>
            <w:webHidden/>
          </w:rPr>
          <w:instrText xml:space="preserve"> PAGEREF _Toc404679 \h </w:instrText>
        </w:r>
        <w:r>
          <w:rPr>
            <w:webHidden/>
          </w:rPr>
        </w:r>
        <w:r>
          <w:rPr>
            <w:webHidden/>
          </w:rPr>
          <w:fldChar w:fldCharType="separate"/>
        </w:r>
        <w:r w:rsidR="001B26B5">
          <w:rPr>
            <w:webHidden/>
          </w:rPr>
          <w:t>362</w:t>
        </w:r>
        <w:r>
          <w:rPr>
            <w:webHidden/>
          </w:rPr>
          <w:fldChar w:fldCharType="end"/>
        </w:r>
      </w:hyperlink>
    </w:p>
    <w:p w14:paraId="524D990A"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80" w:history="1">
        <w:r w:rsidRPr="003B1501">
          <w:rPr>
            <w:rStyle w:val="Hipervnculo"/>
          </w:rPr>
          <w:t xml:space="preserve">808.1.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_Toc404680 \h </w:instrText>
        </w:r>
        <w:r>
          <w:rPr>
            <w:webHidden/>
          </w:rPr>
        </w:r>
        <w:r>
          <w:rPr>
            <w:webHidden/>
          </w:rPr>
          <w:fldChar w:fldCharType="separate"/>
        </w:r>
        <w:r w:rsidR="001B26B5">
          <w:rPr>
            <w:webHidden/>
          </w:rPr>
          <w:t>362</w:t>
        </w:r>
        <w:r>
          <w:rPr>
            <w:webHidden/>
          </w:rPr>
          <w:fldChar w:fldCharType="end"/>
        </w:r>
      </w:hyperlink>
    </w:p>
    <w:p w14:paraId="05F4F3DF"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81" w:history="1">
        <w:r w:rsidRPr="003B1501">
          <w:rPr>
            <w:rStyle w:val="Hipervnculo"/>
          </w:rPr>
          <w:t>808.2.</w:t>
        </w:r>
        <w:r>
          <w:rPr>
            <w:rFonts w:asciiTheme="minorHAnsi" w:eastAsiaTheme="minorEastAsia" w:hAnsiTheme="minorHAnsi" w:cstheme="minorBidi"/>
            <w:szCs w:val="22"/>
            <w:lang w:val="es-ES" w:eastAsia="es-ES"/>
          </w:rPr>
          <w:tab/>
        </w:r>
        <w:r w:rsidRPr="003B1501">
          <w:rPr>
            <w:rStyle w:val="Hipervnculo"/>
          </w:rPr>
          <w:t xml:space="preserve"> Descripción de los trabajos</w:t>
        </w:r>
        <w:r>
          <w:rPr>
            <w:webHidden/>
          </w:rPr>
          <w:tab/>
        </w:r>
        <w:r>
          <w:rPr>
            <w:webHidden/>
          </w:rPr>
          <w:fldChar w:fldCharType="begin"/>
        </w:r>
        <w:r>
          <w:rPr>
            <w:webHidden/>
          </w:rPr>
          <w:instrText xml:space="preserve"> PAGEREF _Toc404681 \h </w:instrText>
        </w:r>
        <w:r>
          <w:rPr>
            <w:webHidden/>
          </w:rPr>
        </w:r>
        <w:r>
          <w:rPr>
            <w:webHidden/>
          </w:rPr>
          <w:fldChar w:fldCharType="separate"/>
        </w:r>
        <w:r w:rsidR="001B26B5">
          <w:rPr>
            <w:webHidden/>
          </w:rPr>
          <w:t>362</w:t>
        </w:r>
        <w:r>
          <w:rPr>
            <w:webHidden/>
          </w:rPr>
          <w:fldChar w:fldCharType="end"/>
        </w:r>
      </w:hyperlink>
    </w:p>
    <w:p w14:paraId="213C6052"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82" w:history="1">
        <w:r w:rsidRPr="003B1501">
          <w:rPr>
            <w:rStyle w:val="Hipervnculo"/>
          </w:rPr>
          <w:t xml:space="preserve">808.3. </w:t>
        </w:r>
        <w:r>
          <w:rPr>
            <w:rFonts w:asciiTheme="minorHAnsi" w:eastAsiaTheme="minorEastAsia" w:hAnsiTheme="minorHAnsi" w:cstheme="minorBidi"/>
            <w:szCs w:val="22"/>
            <w:lang w:val="es-ES" w:eastAsia="es-ES"/>
          </w:rPr>
          <w:tab/>
        </w:r>
        <w:r w:rsidRPr="003B1501">
          <w:rPr>
            <w:rStyle w:val="Hipervnculo"/>
          </w:rPr>
          <w:t>Normativa</w:t>
        </w:r>
        <w:r>
          <w:rPr>
            <w:webHidden/>
          </w:rPr>
          <w:tab/>
        </w:r>
        <w:r>
          <w:rPr>
            <w:webHidden/>
          </w:rPr>
          <w:fldChar w:fldCharType="begin"/>
        </w:r>
        <w:r>
          <w:rPr>
            <w:webHidden/>
          </w:rPr>
          <w:instrText xml:space="preserve"> PAGEREF _Toc404682 \h </w:instrText>
        </w:r>
        <w:r>
          <w:rPr>
            <w:webHidden/>
          </w:rPr>
        </w:r>
        <w:r>
          <w:rPr>
            <w:webHidden/>
          </w:rPr>
          <w:fldChar w:fldCharType="separate"/>
        </w:r>
        <w:r w:rsidR="001B26B5">
          <w:rPr>
            <w:webHidden/>
          </w:rPr>
          <w:t>362</w:t>
        </w:r>
        <w:r>
          <w:rPr>
            <w:webHidden/>
          </w:rPr>
          <w:fldChar w:fldCharType="end"/>
        </w:r>
      </w:hyperlink>
    </w:p>
    <w:p w14:paraId="2447E702"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83" w:history="1">
        <w:r w:rsidRPr="003B1501">
          <w:rPr>
            <w:rStyle w:val="Hipervnculo"/>
          </w:rPr>
          <w:t xml:space="preserve">808.4.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_Toc404683 \h </w:instrText>
        </w:r>
        <w:r>
          <w:rPr>
            <w:webHidden/>
          </w:rPr>
        </w:r>
        <w:r>
          <w:rPr>
            <w:webHidden/>
          </w:rPr>
          <w:fldChar w:fldCharType="separate"/>
        </w:r>
        <w:r w:rsidR="001B26B5">
          <w:rPr>
            <w:webHidden/>
          </w:rPr>
          <w:t>362</w:t>
        </w:r>
        <w:r>
          <w:rPr>
            <w:webHidden/>
          </w:rPr>
          <w:fldChar w:fldCharType="end"/>
        </w:r>
      </w:hyperlink>
    </w:p>
    <w:p w14:paraId="7575FA8F"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84" w:history="1">
        <w:r w:rsidRPr="003B1501">
          <w:rPr>
            <w:rStyle w:val="Hipervnculo"/>
          </w:rPr>
          <w:t xml:space="preserve">808.5.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_Toc404684 \h </w:instrText>
        </w:r>
        <w:r>
          <w:rPr>
            <w:webHidden/>
          </w:rPr>
        </w:r>
        <w:r>
          <w:rPr>
            <w:webHidden/>
          </w:rPr>
          <w:fldChar w:fldCharType="separate"/>
        </w:r>
        <w:r w:rsidR="001B26B5">
          <w:rPr>
            <w:webHidden/>
          </w:rPr>
          <w:t>363</w:t>
        </w:r>
        <w:r>
          <w:rPr>
            <w:webHidden/>
          </w:rPr>
          <w:fldChar w:fldCharType="end"/>
        </w:r>
      </w:hyperlink>
    </w:p>
    <w:p w14:paraId="4A1A410D"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85" w:history="1">
        <w:r w:rsidRPr="003B1501">
          <w:rPr>
            <w:rStyle w:val="Hipervnculo"/>
          </w:rPr>
          <w:t>808.6. Recepción</w:t>
        </w:r>
        <w:r>
          <w:rPr>
            <w:webHidden/>
          </w:rPr>
          <w:tab/>
        </w:r>
        <w:r>
          <w:rPr>
            <w:webHidden/>
          </w:rPr>
          <w:fldChar w:fldCharType="begin"/>
        </w:r>
        <w:r>
          <w:rPr>
            <w:webHidden/>
          </w:rPr>
          <w:instrText xml:space="preserve"> PAGEREF _Toc404685 \h </w:instrText>
        </w:r>
        <w:r>
          <w:rPr>
            <w:webHidden/>
          </w:rPr>
        </w:r>
        <w:r>
          <w:rPr>
            <w:webHidden/>
          </w:rPr>
          <w:fldChar w:fldCharType="separate"/>
        </w:r>
        <w:r w:rsidR="001B26B5">
          <w:rPr>
            <w:webHidden/>
          </w:rPr>
          <w:t>364</w:t>
        </w:r>
        <w:r>
          <w:rPr>
            <w:webHidden/>
          </w:rPr>
          <w:fldChar w:fldCharType="end"/>
        </w:r>
      </w:hyperlink>
    </w:p>
    <w:p w14:paraId="6C3E685C"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86" w:history="1">
        <w:r w:rsidRPr="003B1501">
          <w:rPr>
            <w:rStyle w:val="Hipervnculo"/>
          </w:rPr>
          <w:t>808.7. Tratamiento de no conformidades</w:t>
        </w:r>
        <w:r>
          <w:rPr>
            <w:webHidden/>
          </w:rPr>
          <w:tab/>
        </w:r>
        <w:r>
          <w:rPr>
            <w:webHidden/>
          </w:rPr>
          <w:fldChar w:fldCharType="begin"/>
        </w:r>
        <w:r>
          <w:rPr>
            <w:webHidden/>
          </w:rPr>
          <w:instrText xml:space="preserve"> PAGEREF _Toc404686 \h </w:instrText>
        </w:r>
        <w:r>
          <w:rPr>
            <w:webHidden/>
          </w:rPr>
        </w:r>
        <w:r>
          <w:rPr>
            <w:webHidden/>
          </w:rPr>
          <w:fldChar w:fldCharType="separate"/>
        </w:r>
        <w:r w:rsidR="001B26B5">
          <w:rPr>
            <w:webHidden/>
          </w:rPr>
          <w:t>364</w:t>
        </w:r>
        <w:r>
          <w:rPr>
            <w:webHidden/>
          </w:rPr>
          <w:fldChar w:fldCharType="end"/>
        </w:r>
      </w:hyperlink>
    </w:p>
    <w:p w14:paraId="31368D0E"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87" w:history="1">
        <w:r w:rsidRPr="003B1501">
          <w:rPr>
            <w:rStyle w:val="Hipervnculo"/>
          </w:rPr>
          <w:t>808.8. Control de calidad</w:t>
        </w:r>
        <w:r>
          <w:rPr>
            <w:webHidden/>
          </w:rPr>
          <w:tab/>
        </w:r>
        <w:r>
          <w:rPr>
            <w:webHidden/>
          </w:rPr>
          <w:fldChar w:fldCharType="begin"/>
        </w:r>
        <w:r>
          <w:rPr>
            <w:webHidden/>
          </w:rPr>
          <w:instrText xml:space="preserve"> PAGEREF _Toc404687 \h </w:instrText>
        </w:r>
        <w:r>
          <w:rPr>
            <w:webHidden/>
          </w:rPr>
        </w:r>
        <w:r>
          <w:rPr>
            <w:webHidden/>
          </w:rPr>
          <w:fldChar w:fldCharType="separate"/>
        </w:r>
        <w:r w:rsidR="001B26B5">
          <w:rPr>
            <w:webHidden/>
          </w:rPr>
          <w:t>365</w:t>
        </w:r>
        <w:r>
          <w:rPr>
            <w:webHidden/>
          </w:rPr>
          <w:fldChar w:fldCharType="end"/>
        </w:r>
      </w:hyperlink>
    </w:p>
    <w:p w14:paraId="14CE20D7"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688" w:history="1">
        <w:r w:rsidRPr="003B1501">
          <w:rPr>
            <w:rStyle w:val="Hipervnculo"/>
            <w:kern w:val="28"/>
          </w:rPr>
          <w:t>Artículo 809. Báculos</w:t>
        </w:r>
        <w:r>
          <w:rPr>
            <w:webHidden/>
          </w:rPr>
          <w:tab/>
        </w:r>
        <w:r>
          <w:rPr>
            <w:webHidden/>
          </w:rPr>
          <w:fldChar w:fldCharType="begin"/>
        </w:r>
        <w:r>
          <w:rPr>
            <w:webHidden/>
          </w:rPr>
          <w:instrText xml:space="preserve"> PAGEREF _Toc404688 \h </w:instrText>
        </w:r>
        <w:r>
          <w:rPr>
            <w:webHidden/>
          </w:rPr>
        </w:r>
        <w:r>
          <w:rPr>
            <w:webHidden/>
          </w:rPr>
          <w:fldChar w:fldCharType="separate"/>
        </w:r>
        <w:r w:rsidR="001B26B5">
          <w:rPr>
            <w:webHidden/>
          </w:rPr>
          <w:t>366</w:t>
        </w:r>
        <w:r>
          <w:rPr>
            <w:webHidden/>
          </w:rPr>
          <w:fldChar w:fldCharType="end"/>
        </w:r>
      </w:hyperlink>
    </w:p>
    <w:p w14:paraId="42CE87E9"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89" w:history="1">
        <w:r w:rsidRPr="003B1501">
          <w:rPr>
            <w:rStyle w:val="Hipervnculo"/>
          </w:rPr>
          <w:t xml:space="preserve">809.1.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_Toc404689 \h </w:instrText>
        </w:r>
        <w:r>
          <w:rPr>
            <w:webHidden/>
          </w:rPr>
        </w:r>
        <w:r>
          <w:rPr>
            <w:webHidden/>
          </w:rPr>
          <w:fldChar w:fldCharType="separate"/>
        </w:r>
        <w:r w:rsidR="001B26B5">
          <w:rPr>
            <w:webHidden/>
          </w:rPr>
          <w:t>366</w:t>
        </w:r>
        <w:r>
          <w:rPr>
            <w:webHidden/>
          </w:rPr>
          <w:fldChar w:fldCharType="end"/>
        </w:r>
      </w:hyperlink>
    </w:p>
    <w:p w14:paraId="0840CB24"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90" w:history="1">
        <w:r w:rsidRPr="003B1501">
          <w:rPr>
            <w:rStyle w:val="Hipervnculo"/>
          </w:rPr>
          <w:t xml:space="preserve">809.2. </w:t>
        </w:r>
        <w:r>
          <w:rPr>
            <w:rFonts w:asciiTheme="minorHAnsi" w:eastAsiaTheme="minorEastAsia" w:hAnsiTheme="minorHAnsi" w:cstheme="minorBidi"/>
            <w:szCs w:val="22"/>
            <w:lang w:val="es-ES" w:eastAsia="es-ES"/>
          </w:rPr>
          <w:tab/>
        </w:r>
        <w:r w:rsidRPr="003B1501">
          <w:rPr>
            <w:rStyle w:val="Hipervnculo"/>
          </w:rPr>
          <w:t xml:space="preserve">  Materiales</w:t>
        </w:r>
        <w:r>
          <w:rPr>
            <w:webHidden/>
          </w:rPr>
          <w:tab/>
        </w:r>
        <w:r>
          <w:rPr>
            <w:webHidden/>
          </w:rPr>
          <w:fldChar w:fldCharType="begin"/>
        </w:r>
        <w:r>
          <w:rPr>
            <w:webHidden/>
          </w:rPr>
          <w:instrText xml:space="preserve"> PAGEREF _Toc404690 \h </w:instrText>
        </w:r>
        <w:r>
          <w:rPr>
            <w:webHidden/>
          </w:rPr>
        </w:r>
        <w:r>
          <w:rPr>
            <w:webHidden/>
          </w:rPr>
          <w:fldChar w:fldCharType="separate"/>
        </w:r>
        <w:r w:rsidR="001B26B5">
          <w:rPr>
            <w:webHidden/>
          </w:rPr>
          <w:t>366</w:t>
        </w:r>
        <w:r>
          <w:rPr>
            <w:webHidden/>
          </w:rPr>
          <w:fldChar w:fldCharType="end"/>
        </w:r>
      </w:hyperlink>
    </w:p>
    <w:p w14:paraId="38BDE138"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91" w:history="1">
        <w:r w:rsidRPr="003B1501">
          <w:rPr>
            <w:rStyle w:val="Hipervnculo"/>
          </w:rPr>
          <w:t>809.3.   Ejecución de las obras</w:t>
        </w:r>
        <w:r>
          <w:rPr>
            <w:webHidden/>
          </w:rPr>
          <w:tab/>
        </w:r>
        <w:r>
          <w:rPr>
            <w:webHidden/>
          </w:rPr>
          <w:fldChar w:fldCharType="begin"/>
        </w:r>
        <w:r>
          <w:rPr>
            <w:webHidden/>
          </w:rPr>
          <w:instrText xml:space="preserve"> PAGEREF _Toc404691 \h </w:instrText>
        </w:r>
        <w:r>
          <w:rPr>
            <w:webHidden/>
          </w:rPr>
        </w:r>
        <w:r>
          <w:rPr>
            <w:webHidden/>
          </w:rPr>
          <w:fldChar w:fldCharType="separate"/>
        </w:r>
        <w:r w:rsidR="001B26B5">
          <w:rPr>
            <w:webHidden/>
          </w:rPr>
          <w:t>368</w:t>
        </w:r>
        <w:r>
          <w:rPr>
            <w:webHidden/>
          </w:rPr>
          <w:fldChar w:fldCharType="end"/>
        </w:r>
      </w:hyperlink>
    </w:p>
    <w:p w14:paraId="67760393"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92" w:history="1">
        <w:r w:rsidRPr="003B1501">
          <w:rPr>
            <w:rStyle w:val="Hipervnculo"/>
          </w:rPr>
          <w:t>809.4.</w:t>
        </w:r>
        <w:r>
          <w:rPr>
            <w:rFonts w:asciiTheme="minorHAnsi" w:eastAsiaTheme="minorEastAsia" w:hAnsiTheme="minorHAnsi" w:cstheme="minorBidi"/>
            <w:szCs w:val="22"/>
            <w:lang w:val="es-ES" w:eastAsia="es-ES"/>
          </w:rPr>
          <w:tab/>
        </w:r>
        <w:r w:rsidRPr="003B1501">
          <w:rPr>
            <w:rStyle w:val="Hipervnculo"/>
          </w:rPr>
          <w:t xml:space="preserve"> Recepción</w:t>
        </w:r>
        <w:r>
          <w:rPr>
            <w:webHidden/>
          </w:rPr>
          <w:tab/>
        </w:r>
        <w:r>
          <w:rPr>
            <w:webHidden/>
          </w:rPr>
          <w:fldChar w:fldCharType="begin"/>
        </w:r>
        <w:r>
          <w:rPr>
            <w:webHidden/>
          </w:rPr>
          <w:instrText xml:space="preserve"> PAGEREF _Toc404692 \h </w:instrText>
        </w:r>
        <w:r>
          <w:rPr>
            <w:webHidden/>
          </w:rPr>
        </w:r>
        <w:r>
          <w:rPr>
            <w:webHidden/>
          </w:rPr>
          <w:fldChar w:fldCharType="separate"/>
        </w:r>
        <w:r w:rsidR="001B26B5">
          <w:rPr>
            <w:webHidden/>
          </w:rPr>
          <w:t>368</w:t>
        </w:r>
        <w:r>
          <w:rPr>
            <w:webHidden/>
          </w:rPr>
          <w:fldChar w:fldCharType="end"/>
        </w:r>
      </w:hyperlink>
    </w:p>
    <w:p w14:paraId="3573FD43"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93" w:history="1">
        <w:r w:rsidRPr="003B1501">
          <w:rPr>
            <w:rStyle w:val="Hipervnculo"/>
          </w:rPr>
          <w:t>809.5.</w:t>
        </w:r>
        <w:r>
          <w:rPr>
            <w:rFonts w:asciiTheme="minorHAnsi" w:eastAsiaTheme="minorEastAsia" w:hAnsiTheme="minorHAnsi" w:cstheme="minorBidi"/>
            <w:szCs w:val="22"/>
            <w:lang w:val="es-ES" w:eastAsia="es-ES"/>
          </w:rPr>
          <w:tab/>
        </w:r>
        <w:r w:rsidRPr="003B1501">
          <w:rPr>
            <w:rStyle w:val="Hipervnculo"/>
          </w:rPr>
          <w:t xml:space="preserve"> Control de calidad</w:t>
        </w:r>
        <w:r>
          <w:rPr>
            <w:webHidden/>
          </w:rPr>
          <w:tab/>
        </w:r>
        <w:r>
          <w:rPr>
            <w:webHidden/>
          </w:rPr>
          <w:fldChar w:fldCharType="begin"/>
        </w:r>
        <w:r>
          <w:rPr>
            <w:webHidden/>
          </w:rPr>
          <w:instrText xml:space="preserve"> PAGEREF _Toc404693 \h </w:instrText>
        </w:r>
        <w:r>
          <w:rPr>
            <w:webHidden/>
          </w:rPr>
        </w:r>
        <w:r>
          <w:rPr>
            <w:webHidden/>
          </w:rPr>
          <w:fldChar w:fldCharType="separate"/>
        </w:r>
        <w:r w:rsidR="001B26B5">
          <w:rPr>
            <w:webHidden/>
          </w:rPr>
          <w:t>368</w:t>
        </w:r>
        <w:r>
          <w:rPr>
            <w:webHidden/>
          </w:rPr>
          <w:fldChar w:fldCharType="end"/>
        </w:r>
      </w:hyperlink>
    </w:p>
    <w:p w14:paraId="3DC7CB88"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694" w:history="1">
        <w:r w:rsidRPr="003B1501">
          <w:rPr>
            <w:rStyle w:val="Hipervnculo"/>
            <w:kern w:val="28"/>
          </w:rPr>
          <w:t>Artículo 810. Luminaria tipo LED</w:t>
        </w:r>
        <w:r>
          <w:rPr>
            <w:webHidden/>
          </w:rPr>
          <w:tab/>
        </w:r>
        <w:r>
          <w:rPr>
            <w:webHidden/>
          </w:rPr>
          <w:fldChar w:fldCharType="begin"/>
        </w:r>
        <w:r>
          <w:rPr>
            <w:webHidden/>
          </w:rPr>
          <w:instrText xml:space="preserve"> PAGEREF _Toc404694 \h </w:instrText>
        </w:r>
        <w:r>
          <w:rPr>
            <w:webHidden/>
          </w:rPr>
        </w:r>
        <w:r>
          <w:rPr>
            <w:webHidden/>
          </w:rPr>
          <w:fldChar w:fldCharType="separate"/>
        </w:r>
        <w:r w:rsidR="001B26B5">
          <w:rPr>
            <w:webHidden/>
          </w:rPr>
          <w:t>369</w:t>
        </w:r>
        <w:r>
          <w:rPr>
            <w:webHidden/>
          </w:rPr>
          <w:fldChar w:fldCharType="end"/>
        </w:r>
      </w:hyperlink>
    </w:p>
    <w:p w14:paraId="34D7F23B"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95" w:history="1">
        <w:r w:rsidRPr="003B1501">
          <w:rPr>
            <w:rStyle w:val="Hipervnculo"/>
          </w:rPr>
          <w:t xml:space="preserve">810.1.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_Toc404695 \h </w:instrText>
        </w:r>
        <w:r>
          <w:rPr>
            <w:webHidden/>
          </w:rPr>
        </w:r>
        <w:r>
          <w:rPr>
            <w:webHidden/>
          </w:rPr>
          <w:fldChar w:fldCharType="separate"/>
        </w:r>
        <w:r w:rsidR="001B26B5">
          <w:rPr>
            <w:webHidden/>
          </w:rPr>
          <w:t>369</w:t>
        </w:r>
        <w:r>
          <w:rPr>
            <w:webHidden/>
          </w:rPr>
          <w:fldChar w:fldCharType="end"/>
        </w:r>
      </w:hyperlink>
    </w:p>
    <w:p w14:paraId="5B748265"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96" w:history="1">
        <w:r w:rsidRPr="003B1501">
          <w:rPr>
            <w:rStyle w:val="Hipervnculo"/>
          </w:rPr>
          <w:t xml:space="preserve">810.2.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_Toc404696 \h </w:instrText>
        </w:r>
        <w:r>
          <w:rPr>
            <w:webHidden/>
          </w:rPr>
        </w:r>
        <w:r>
          <w:rPr>
            <w:webHidden/>
          </w:rPr>
          <w:fldChar w:fldCharType="separate"/>
        </w:r>
        <w:r w:rsidR="001B26B5">
          <w:rPr>
            <w:webHidden/>
          </w:rPr>
          <w:t>369</w:t>
        </w:r>
        <w:r>
          <w:rPr>
            <w:webHidden/>
          </w:rPr>
          <w:fldChar w:fldCharType="end"/>
        </w:r>
      </w:hyperlink>
    </w:p>
    <w:p w14:paraId="1FBB490A"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97" w:history="1">
        <w:r w:rsidRPr="003B1501">
          <w:rPr>
            <w:rStyle w:val="Hipervnculo"/>
          </w:rPr>
          <w:t xml:space="preserve">810.3.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_Toc404697 \h </w:instrText>
        </w:r>
        <w:r>
          <w:rPr>
            <w:webHidden/>
          </w:rPr>
        </w:r>
        <w:r>
          <w:rPr>
            <w:webHidden/>
          </w:rPr>
          <w:fldChar w:fldCharType="separate"/>
        </w:r>
        <w:r w:rsidR="001B26B5">
          <w:rPr>
            <w:webHidden/>
          </w:rPr>
          <w:t>369</w:t>
        </w:r>
        <w:r>
          <w:rPr>
            <w:webHidden/>
          </w:rPr>
          <w:fldChar w:fldCharType="end"/>
        </w:r>
      </w:hyperlink>
    </w:p>
    <w:p w14:paraId="6EEDD122"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98" w:history="1">
        <w:r w:rsidRPr="003B1501">
          <w:rPr>
            <w:rStyle w:val="Hipervnculo"/>
          </w:rPr>
          <w:t xml:space="preserve">810.4. </w:t>
        </w:r>
        <w:r>
          <w:rPr>
            <w:rFonts w:asciiTheme="minorHAnsi" w:eastAsiaTheme="minorEastAsia" w:hAnsiTheme="minorHAnsi" w:cstheme="minorBidi"/>
            <w:szCs w:val="22"/>
            <w:lang w:val="es-ES" w:eastAsia="es-ES"/>
          </w:rPr>
          <w:tab/>
        </w:r>
        <w:r w:rsidRPr="003B1501">
          <w:rPr>
            <w:rStyle w:val="Hipervnculo"/>
          </w:rPr>
          <w:t>Recepción</w:t>
        </w:r>
        <w:r>
          <w:rPr>
            <w:webHidden/>
          </w:rPr>
          <w:tab/>
        </w:r>
        <w:r>
          <w:rPr>
            <w:webHidden/>
          </w:rPr>
          <w:fldChar w:fldCharType="begin"/>
        </w:r>
        <w:r>
          <w:rPr>
            <w:webHidden/>
          </w:rPr>
          <w:instrText xml:space="preserve"> PAGEREF _Toc404698 \h </w:instrText>
        </w:r>
        <w:r>
          <w:rPr>
            <w:webHidden/>
          </w:rPr>
        </w:r>
        <w:r>
          <w:rPr>
            <w:webHidden/>
          </w:rPr>
          <w:fldChar w:fldCharType="separate"/>
        </w:r>
        <w:r w:rsidR="001B26B5">
          <w:rPr>
            <w:webHidden/>
          </w:rPr>
          <w:t>369</w:t>
        </w:r>
        <w:r>
          <w:rPr>
            <w:webHidden/>
          </w:rPr>
          <w:fldChar w:fldCharType="end"/>
        </w:r>
      </w:hyperlink>
    </w:p>
    <w:p w14:paraId="347CF0A6"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699" w:history="1">
        <w:r w:rsidRPr="003B1501">
          <w:rPr>
            <w:rStyle w:val="Hipervnculo"/>
          </w:rPr>
          <w:t>810.5.</w:t>
        </w:r>
        <w:r>
          <w:rPr>
            <w:rFonts w:asciiTheme="minorHAnsi" w:eastAsiaTheme="minorEastAsia" w:hAnsiTheme="minorHAnsi" w:cstheme="minorBidi"/>
            <w:szCs w:val="22"/>
            <w:lang w:val="es-ES" w:eastAsia="es-ES"/>
          </w:rPr>
          <w:tab/>
        </w:r>
        <w:r w:rsidRPr="003B1501">
          <w:rPr>
            <w:rStyle w:val="Hipervnculo"/>
          </w:rPr>
          <w:t xml:space="preserve"> Control de calidad</w:t>
        </w:r>
        <w:r>
          <w:rPr>
            <w:webHidden/>
          </w:rPr>
          <w:tab/>
        </w:r>
        <w:r>
          <w:rPr>
            <w:webHidden/>
          </w:rPr>
          <w:fldChar w:fldCharType="begin"/>
        </w:r>
        <w:r>
          <w:rPr>
            <w:webHidden/>
          </w:rPr>
          <w:instrText xml:space="preserve"> PAGEREF _Toc404699 \h </w:instrText>
        </w:r>
        <w:r>
          <w:rPr>
            <w:webHidden/>
          </w:rPr>
        </w:r>
        <w:r>
          <w:rPr>
            <w:webHidden/>
          </w:rPr>
          <w:fldChar w:fldCharType="separate"/>
        </w:r>
        <w:r w:rsidR="001B26B5">
          <w:rPr>
            <w:webHidden/>
          </w:rPr>
          <w:t>370</w:t>
        </w:r>
        <w:r>
          <w:rPr>
            <w:webHidden/>
          </w:rPr>
          <w:fldChar w:fldCharType="end"/>
        </w:r>
      </w:hyperlink>
    </w:p>
    <w:p w14:paraId="3828EE57"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00" w:history="1">
        <w:r w:rsidRPr="003B1501">
          <w:rPr>
            <w:rStyle w:val="Hipervnculo"/>
            <w:kern w:val="28"/>
          </w:rPr>
          <w:t>Artículo 811. Reposición de servicios de la red de abastecimiento</w:t>
        </w:r>
        <w:r>
          <w:rPr>
            <w:webHidden/>
          </w:rPr>
          <w:tab/>
        </w:r>
        <w:r>
          <w:rPr>
            <w:webHidden/>
          </w:rPr>
          <w:fldChar w:fldCharType="begin"/>
        </w:r>
        <w:r>
          <w:rPr>
            <w:webHidden/>
          </w:rPr>
          <w:instrText xml:space="preserve"> PAGEREF _Toc404700 \h </w:instrText>
        </w:r>
        <w:r>
          <w:rPr>
            <w:webHidden/>
          </w:rPr>
        </w:r>
        <w:r>
          <w:rPr>
            <w:webHidden/>
          </w:rPr>
          <w:fldChar w:fldCharType="separate"/>
        </w:r>
        <w:r w:rsidR="001B26B5">
          <w:rPr>
            <w:webHidden/>
          </w:rPr>
          <w:t>371</w:t>
        </w:r>
        <w:r>
          <w:rPr>
            <w:webHidden/>
          </w:rPr>
          <w:fldChar w:fldCharType="end"/>
        </w:r>
      </w:hyperlink>
    </w:p>
    <w:p w14:paraId="154C57E0"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01" w:history="1">
        <w:r w:rsidRPr="003B1501">
          <w:rPr>
            <w:rStyle w:val="Hipervnculo"/>
          </w:rPr>
          <w:t xml:space="preserve">811.1.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_Toc404701 \h </w:instrText>
        </w:r>
        <w:r>
          <w:rPr>
            <w:webHidden/>
          </w:rPr>
        </w:r>
        <w:r>
          <w:rPr>
            <w:webHidden/>
          </w:rPr>
          <w:fldChar w:fldCharType="separate"/>
        </w:r>
        <w:r w:rsidR="001B26B5">
          <w:rPr>
            <w:webHidden/>
          </w:rPr>
          <w:t>371</w:t>
        </w:r>
        <w:r>
          <w:rPr>
            <w:webHidden/>
          </w:rPr>
          <w:fldChar w:fldCharType="end"/>
        </w:r>
      </w:hyperlink>
    </w:p>
    <w:p w14:paraId="2CD3DECE"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02" w:history="1">
        <w:r w:rsidRPr="003B1501">
          <w:rPr>
            <w:rStyle w:val="Hipervnculo"/>
          </w:rPr>
          <w:t>811.2. Aplicación</w:t>
        </w:r>
        <w:r>
          <w:rPr>
            <w:webHidden/>
          </w:rPr>
          <w:tab/>
        </w:r>
        <w:r>
          <w:rPr>
            <w:webHidden/>
          </w:rPr>
          <w:fldChar w:fldCharType="begin"/>
        </w:r>
        <w:r>
          <w:rPr>
            <w:webHidden/>
          </w:rPr>
          <w:instrText xml:space="preserve"> PAGEREF _Toc404702 \h </w:instrText>
        </w:r>
        <w:r>
          <w:rPr>
            <w:webHidden/>
          </w:rPr>
        </w:r>
        <w:r>
          <w:rPr>
            <w:webHidden/>
          </w:rPr>
          <w:fldChar w:fldCharType="separate"/>
        </w:r>
        <w:r w:rsidR="001B26B5">
          <w:rPr>
            <w:webHidden/>
          </w:rPr>
          <w:t>371</w:t>
        </w:r>
        <w:r>
          <w:rPr>
            <w:webHidden/>
          </w:rPr>
          <w:fldChar w:fldCharType="end"/>
        </w:r>
      </w:hyperlink>
    </w:p>
    <w:p w14:paraId="571741AD"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03" w:history="1">
        <w:r w:rsidRPr="003B1501">
          <w:rPr>
            <w:rStyle w:val="Hipervnculo"/>
          </w:rPr>
          <w:t>811.3. Descripción de los trabajos</w:t>
        </w:r>
        <w:r>
          <w:rPr>
            <w:webHidden/>
          </w:rPr>
          <w:tab/>
        </w:r>
        <w:r>
          <w:rPr>
            <w:webHidden/>
          </w:rPr>
          <w:fldChar w:fldCharType="begin"/>
        </w:r>
        <w:r>
          <w:rPr>
            <w:webHidden/>
          </w:rPr>
          <w:instrText xml:space="preserve"> PAGEREF _Toc404703 \h </w:instrText>
        </w:r>
        <w:r>
          <w:rPr>
            <w:webHidden/>
          </w:rPr>
        </w:r>
        <w:r>
          <w:rPr>
            <w:webHidden/>
          </w:rPr>
          <w:fldChar w:fldCharType="separate"/>
        </w:r>
        <w:r w:rsidR="001B26B5">
          <w:rPr>
            <w:webHidden/>
          </w:rPr>
          <w:t>371</w:t>
        </w:r>
        <w:r>
          <w:rPr>
            <w:webHidden/>
          </w:rPr>
          <w:fldChar w:fldCharType="end"/>
        </w:r>
      </w:hyperlink>
    </w:p>
    <w:p w14:paraId="323F7692"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04" w:history="1">
        <w:r w:rsidRPr="003B1501">
          <w:rPr>
            <w:rStyle w:val="Hipervnculo"/>
          </w:rPr>
          <w:t xml:space="preserve">811.4.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_Toc404704 \h </w:instrText>
        </w:r>
        <w:r>
          <w:rPr>
            <w:webHidden/>
          </w:rPr>
        </w:r>
        <w:r>
          <w:rPr>
            <w:webHidden/>
          </w:rPr>
          <w:fldChar w:fldCharType="separate"/>
        </w:r>
        <w:r w:rsidR="001B26B5">
          <w:rPr>
            <w:webHidden/>
          </w:rPr>
          <w:t>371</w:t>
        </w:r>
        <w:r>
          <w:rPr>
            <w:webHidden/>
          </w:rPr>
          <w:fldChar w:fldCharType="end"/>
        </w:r>
      </w:hyperlink>
    </w:p>
    <w:p w14:paraId="47B48805"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05" w:history="1">
        <w:r w:rsidRPr="003B1501">
          <w:rPr>
            <w:rStyle w:val="Hipervnculo"/>
          </w:rPr>
          <w:t>811.5. Ejecución de las obras</w:t>
        </w:r>
        <w:r>
          <w:rPr>
            <w:webHidden/>
          </w:rPr>
          <w:tab/>
        </w:r>
        <w:r>
          <w:rPr>
            <w:webHidden/>
          </w:rPr>
          <w:fldChar w:fldCharType="begin"/>
        </w:r>
        <w:r>
          <w:rPr>
            <w:webHidden/>
          </w:rPr>
          <w:instrText xml:space="preserve"> PAGEREF _Toc404705 \h </w:instrText>
        </w:r>
        <w:r>
          <w:rPr>
            <w:webHidden/>
          </w:rPr>
        </w:r>
        <w:r>
          <w:rPr>
            <w:webHidden/>
          </w:rPr>
          <w:fldChar w:fldCharType="separate"/>
        </w:r>
        <w:r w:rsidR="001B26B5">
          <w:rPr>
            <w:webHidden/>
          </w:rPr>
          <w:t>375</w:t>
        </w:r>
        <w:r>
          <w:rPr>
            <w:webHidden/>
          </w:rPr>
          <w:fldChar w:fldCharType="end"/>
        </w:r>
      </w:hyperlink>
    </w:p>
    <w:p w14:paraId="73D2FE81"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06" w:history="1">
        <w:r w:rsidRPr="003B1501">
          <w:rPr>
            <w:rStyle w:val="Hipervnculo"/>
          </w:rPr>
          <w:t xml:space="preserve">811.6. </w:t>
        </w:r>
        <w:r>
          <w:rPr>
            <w:rFonts w:asciiTheme="minorHAnsi" w:eastAsiaTheme="minorEastAsia" w:hAnsiTheme="minorHAnsi" w:cstheme="minorBidi"/>
            <w:szCs w:val="22"/>
            <w:lang w:val="es-ES" w:eastAsia="es-ES"/>
          </w:rPr>
          <w:tab/>
        </w:r>
        <w:r w:rsidRPr="003B1501">
          <w:rPr>
            <w:rStyle w:val="Hipervnculo"/>
          </w:rPr>
          <w:t>Recepción</w:t>
        </w:r>
        <w:r>
          <w:rPr>
            <w:webHidden/>
          </w:rPr>
          <w:tab/>
        </w:r>
        <w:r>
          <w:rPr>
            <w:webHidden/>
          </w:rPr>
          <w:fldChar w:fldCharType="begin"/>
        </w:r>
        <w:r>
          <w:rPr>
            <w:webHidden/>
          </w:rPr>
          <w:instrText xml:space="preserve"> PAGEREF _Toc404706 \h </w:instrText>
        </w:r>
        <w:r>
          <w:rPr>
            <w:webHidden/>
          </w:rPr>
        </w:r>
        <w:r>
          <w:rPr>
            <w:webHidden/>
          </w:rPr>
          <w:fldChar w:fldCharType="separate"/>
        </w:r>
        <w:r w:rsidR="001B26B5">
          <w:rPr>
            <w:webHidden/>
          </w:rPr>
          <w:t>375</w:t>
        </w:r>
        <w:r>
          <w:rPr>
            <w:webHidden/>
          </w:rPr>
          <w:fldChar w:fldCharType="end"/>
        </w:r>
      </w:hyperlink>
    </w:p>
    <w:p w14:paraId="007AA124"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07" w:history="1">
        <w:r w:rsidRPr="003B1501">
          <w:rPr>
            <w:rStyle w:val="Hipervnculo"/>
          </w:rPr>
          <w:t>811.7. Control de calidad</w:t>
        </w:r>
        <w:r>
          <w:rPr>
            <w:webHidden/>
          </w:rPr>
          <w:tab/>
        </w:r>
        <w:r>
          <w:rPr>
            <w:webHidden/>
          </w:rPr>
          <w:fldChar w:fldCharType="begin"/>
        </w:r>
        <w:r>
          <w:rPr>
            <w:webHidden/>
          </w:rPr>
          <w:instrText xml:space="preserve"> PAGEREF _Toc404707 \h </w:instrText>
        </w:r>
        <w:r>
          <w:rPr>
            <w:webHidden/>
          </w:rPr>
        </w:r>
        <w:r>
          <w:rPr>
            <w:webHidden/>
          </w:rPr>
          <w:fldChar w:fldCharType="separate"/>
        </w:r>
        <w:r w:rsidR="001B26B5">
          <w:rPr>
            <w:webHidden/>
          </w:rPr>
          <w:t>375</w:t>
        </w:r>
        <w:r>
          <w:rPr>
            <w:webHidden/>
          </w:rPr>
          <w:fldChar w:fldCharType="end"/>
        </w:r>
      </w:hyperlink>
    </w:p>
    <w:p w14:paraId="7B84825E"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08" w:history="1">
        <w:r w:rsidRPr="003B1501">
          <w:rPr>
            <w:rStyle w:val="Hipervnculo"/>
          </w:rPr>
          <w:t>811.8.</w:t>
        </w:r>
        <w:r>
          <w:rPr>
            <w:rFonts w:asciiTheme="minorHAnsi" w:eastAsiaTheme="minorEastAsia" w:hAnsiTheme="minorHAnsi" w:cstheme="minorBidi"/>
            <w:szCs w:val="22"/>
            <w:lang w:val="es-ES" w:eastAsia="es-ES"/>
          </w:rPr>
          <w:tab/>
        </w:r>
        <w:r w:rsidRPr="003B1501">
          <w:rPr>
            <w:rStyle w:val="Hipervnculo"/>
          </w:rPr>
          <w:t xml:space="preserve"> Medición y abono</w:t>
        </w:r>
        <w:r>
          <w:rPr>
            <w:webHidden/>
          </w:rPr>
          <w:tab/>
        </w:r>
        <w:r>
          <w:rPr>
            <w:webHidden/>
          </w:rPr>
          <w:fldChar w:fldCharType="begin"/>
        </w:r>
        <w:r>
          <w:rPr>
            <w:webHidden/>
          </w:rPr>
          <w:instrText xml:space="preserve"> PAGEREF _Toc404708 \h </w:instrText>
        </w:r>
        <w:r>
          <w:rPr>
            <w:webHidden/>
          </w:rPr>
        </w:r>
        <w:r>
          <w:rPr>
            <w:webHidden/>
          </w:rPr>
          <w:fldChar w:fldCharType="separate"/>
        </w:r>
        <w:r w:rsidR="001B26B5">
          <w:rPr>
            <w:webHidden/>
          </w:rPr>
          <w:t>376</w:t>
        </w:r>
        <w:r>
          <w:rPr>
            <w:webHidden/>
          </w:rPr>
          <w:fldChar w:fldCharType="end"/>
        </w:r>
      </w:hyperlink>
    </w:p>
    <w:p w14:paraId="258A5B5E"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09" w:history="1">
        <w:r w:rsidRPr="003B1501">
          <w:rPr>
            <w:rStyle w:val="Hipervnculo"/>
            <w:kern w:val="28"/>
          </w:rPr>
          <w:t>Artículo 812. Reposición de servicios de la red de telecomunicaciones</w:t>
        </w:r>
        <w:r>
          <w:rPr>
            <w:webHidden/>
          </w:rPr>
          <w:tab/>
        </w:r>
        <w:r>
          <w:rPr>
            <w:webHidden/>
          </w:rPr>
          <w:fldChar w:fldCharType="begin"/>
        </w:r>
        <w:r>
          <w:rPr>
            <w:webHidden/>
          </w:rPr>
          <w:instrText xml:space="preserve"> PAGEREF _Toc404709 \h </w:instrText>
        </w:r>
        <w:r>
          <w:rPr>
            <w:webHidden/>
          </w:rPr>
        </w:r>
        <w:r>
          <w:rPr>
            <w:webHidden/>
          </w:rPr>
          <w:fldChar w:fldCharType="separate"/>
        </w:r>
        <w:r w:rsidR="001B26B5">
          <w:rPr>
            <w:webHidden/>
          </w:rPr>
          <w:t>377</w:t>
        </w:r>
        <w:r>
          <w:rPr>
            <w:webHidden/>
          </w:rPr>
          <w:fldChar w:fldCharType="end"/>
        </w:r>
      </w:hyperlink>
    </w:p>
    <w:p w14:paraId="47DFF6E5"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10" w:history="1">
        <w:r w:rsidRPr="003B1501">
          <w:rPr>
            <w:rStyle w:val="Hipervnculo"/>
          </w:rPr>
          <w:t xml:space="preserve">812.1. </w:t>
        </w:r>
        <w:r>
          <w:rPr>
            <w:rFonts w:asciiTheme="minorHAnsi" w:eastAsiaTheme="minorEastAsia" w:hAnsiTheme="minorHAnsi" w:cstheme="minorBidi"/>
            <w:szCs w:val="22"/>
            <w:lang w:val="es-ES" w:eastAsia="es-ES"/>
          </w:rPr>
          <w:tab/>
        </w:r>
        <w:r w:rsidRPr="003B1501">
          <w:rPr>
            <w:rStyle w:val="Hipervnculo"/>
          </w:rPr>
          <w:t>Definición</w:t>
        </w:r>
        <w:r>
          <w:rPr>
            <w:webHidden/>
          </w:rPr>
          <w:tab/>
        </w:r>
        <w:r>
          <w:rPr>
            <w:webHidden/>
          </w:rPr>
          <w:fldChar w:fldCharType="begin"/>
        </w:r>
        <w:r>
          <w:rPr>
            <w:webHidden/>
          </w:rPr>
          <w:instrText xml:space="preserve"> PAGEREF _Toc404710 \h </w:instrText>
        </w:r>
        <w:r>
          <w:rPr>
            <w:webHidden/>
          </w:rPr>
        </w:r>
        <w:r>
          <w:rPr>
            <w:webHidden/>
          </w:rPr>
          <w:fldChar w:fldCharType="separate"/>
        </w:r>
        <w:r w:rsidR="001B26B5">
          <w:rPr>
            <w:webHidden/>
          </w:rPr>
          <w:t>377</w:t>
        </w:r>
        <w:r>
          <w:rPr>
            <w:webHidden/>
          </w:rPr>
          <w:fldChar w:fldCharType="end"/>
        </w:r>
      </w:hyperlink>
    </w:p>
    <w:p w14:paraId="760F8F8C"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11" w:history="1">
        <w:r w:rsidRPr="003B1501">
          <w:rPr>
            <w:rStyle w:val="Hipervnculo"/>
          </w:rPr>
          <w:t xml:space="preserve">812.2.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_Toc404711 \h </w:instrText>
        </w:r>
        <w:r>
          <w:rPr>
            <w:webHidden/>
          </w:rPr>
        </w:r>
        <w:r>
          <w:rPr>
            <w:webHidden/>
          </w:rPr>
          <w:fldChar w:fldCharType="separate"/>
        </w:r>
        <w:r w:rsidR="001B26B5">
          <w:rPr>
            <w:webHidden/>
          </w:rPr>
          <w:t>377</w:t>
        </w:r>
        <w:r>
          <w:rPr>
            <w:webHidden/>
          </w:rPr>
          <w:fldChar w:fldCharType="end"/>
        </w:r>
      </w:hyperlink>
    </w:p>
    <w:p w14:paraId="4E02DE54"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12" w:history="1">
        <w:r w:rsidRPr="003B1501">
          <w:rPr>
            <w:rStyle w:val="Hipervnculo"/>
          </w:rPr>
          <w:t>812.3. Descripción de los trabajos</w:t>
        </w:r>
        <w:r>
          <w:rPr>
            <w:webHidden/>
          </w:rPr>
          <w:tab/>
        </w:r>
        <w:r>
          <w:rPr>
            <w:webHidden/>
          </w:rPr>
          <w:fldChar w:fldCharType="begin"/>
        </w:r>
        <w:r>
          <w:rPr>
            <w:webHidden/>
          </w:rPr>
          <w:instrText xml:space="preserve"> PAGEREF _Toc404712 \h </w:instrText>
        </w:r>
        <w:r>
          <w:rPr>
            <w:webHidden/>
          </w:rPr>
        </w:r>
        <w:r>
          <w:rPr>
            <w:webHidden/>
          </w:rPr>
          <w:fldChar w:fldCharType="separate"/>
        </w:r>
        <w:r w:rsidR="001B26B5">
          <w:rPr>
            <w:webHidden/>
          </w:rPr>
          <w:t>377</w:t>
        </w:r>
        <w:r>
          <w:rPr>
            <w:webHidden/>
          </w:rPr>
          <w:fldChar w:fldCharType="end"/>
        </w:r>
      </w:hyperlink>
    </w:p>
    <w:p w14:paraId="5F1808B7"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13" w:history="1">
        <w:r w:rsidRPr="003B1501">
          <w:rPr>
            <w:rStyle w:val="Hipervnculo"/>
          </w:rPr>
          <w:t xml:space="preserve">812.4. </w:t>
        </w:r>
        <w:r>
          <w:rPr>
            <w:rFonts w:asciiTheme="minorHAnsi" w:eastAsiaTheme="minorEastAsia" w:hAnsiTheme="minorHAnsi" w:cstheme="minorBidi"/>
            <w:szCs w:val="22"/>
            <w:lang w:val="es-ES" w:eastAsia="es-ES"/>
          </w:rPr>
          <w:tab/>
        </w:r>
        <w:r w:rsidRPr="003B1501">
          <w:rPr>
            <w:rStyle w:val="Hipervnculo"/>
          </w:rPr>
          <w:t>Materiales</w:t>
        </w:r>
        <w:r>
          <w:rPr>
            <w:webHidden/>
          </w:rPr>
          <w:tab/>
        </w:r>
        <w:r>
          <w:rPr>
            <w:webHidden/>
          </w:rPr>
          <w:fldChar w:fldCharType="begin"/>
        </w:r>
        <w:r>
          <w:rPr>
            <w:webHidden/>
          </w:rPr>
          <w:instrText xml:space="preserve"> PAGEREF _Toc404713 \h </w:instrText>
        </w:r>
        <w:r>
          <w:rPr>
            <w:webHidden/>
          </w:rPr>
        </w:r>
        <w:r>
          <w:rPr>
            <w:webHidden/>
          </w:rPr>
          <w:fldChar w:fldCharType="separate"/>
        </w:r>
        <w:r w:rsidR="001B26B5">
          <w:rPr>
            <w:webHidden/>
          </w:rPr>
          <w:t>377</w:t>
        </w:r>
        <w:r>
          <w:rPr>
            <w:webHidden/>
          </w:rPr>
          <w:fldChar w:fldCharType="end"/>
        </w:r>
      </w:hyperlink>
    </w:p>
    <w:p w14:paraId="38134A45"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14" w:history="1">
        <w:r w:rsidRPr="003B1501">
          <w:rPr>
            <w:rStyle w:val="Hipervnculo"/>
          </w:rPr>
          <w:t xml:space="preserve">812.5. </w:t>
        </w:r>
        <w:r>
          <w:rPr>
            <w:rFonts w:asciiTheme="minorHAnsi" w:eastAsiaTheme="minorEastAsia" w:hAnsiTheme="minorHAnsi" w:cstheme="minorBidi"/>
            <w:szCs w:val="22"/>
            <w:lang w:val="es-ES" w:eastAsia="es-ES"/>
          </w:rPr>
          <w:tab/>
        </w:r>
        <w:r w:rsidRPr="003B1501">
          <w:rPr>
            <w:rStyle w:val="Hipervnculo"/>
          </w:rPr>
          <w:t>Ejecución de las obras</w:t>
        </w:r>
        <w:r>
          <w:rPr>
            <w:webHidden/>
          </w:rPr>
          <w:tab/>
        </w:r>
        <w:r>
          <w:rPr>
            <w:webHidden/>
          </w:rPr>
          <w:fldChar w:fldCharType="begin"/>
        </w:r>
        <w:r>
          <w:rPr>
            <w:webHidden/>
          </w:rPr>
          <w:instrText xml:space="preserve"> PAGEREF _Toc404714 \h </w:instrText>
        </w:r>
        <w:r>
          <w:rPr>
            <w:webHidden/>
          </w:rPr>
        </w:r>
        <w:r>
          <w:rPr>
            <w:webHidden/>
          </w:rPr>
          <w:fldChar w:fldCharType="separate"/>
        </w:r>
        <w:r w:rsidR="001B26B5">
          <w:rPr>
            <w:webHidden/>
          </w:rPr>
          <w:t>378</w:t>
        </w:r>
        <w:r>
          <w:rPr>
            <w:webHidden/>
          </w:rPr>
          <w:fldChar w:fldCharType="end"/>
        </w:r>
      </w:hyperlink>
    </w:p>
    <w:p w14:paraId="57150139"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15" w:history="1">
        <w:r w:rsidRPr="003B1501">
          <w:rPr>
            <w:rStyle w:val="Hipervnculo"/>
          </w:rPr>
          <w:t xml:space="preserve">812.6. </w:t>
        </w:r>
        <w:r>
          <w:rPr>
            <w:rFonts w:asciiTheme="minorHAnsi" w:eastAsiaTheme="minorEastAsia" w:hAnsiTheme="minorHAnsi" w:cstheme="minorBidi"/>
            <w:szCs w:val="22"/>
            <w:lang w:val="es-ES" w:eastAsia="es-ES"/>
          </w:rPr>
          <w:tab/>
        </w:r>
        <w:r w:rsidRPr="003B1501">
          <w:rPr>
            <w:rStyle w:val="Hipervnculo"/>
          </w:rPr>
          <w:t>Recepción</w:t>
        </w:r>
        <w:r>
          <w:rPr>
            <w:webHidden/>
          </w:rPr>
          <w:tab/>
        </w:r>
        <w:r>
          <w:rPr>
            <w:webHidden/>
          </w:rPr>
          <w:fldChar w:fldCharType="begin"/>
        </w:r>
        <w:r>
          <w:rPr>
            <w:webHidden/>
          </w:rPr>
          <w:instrText xml:space="preserve"> PAGEREF _Toc404715 \h </w:instrText>
        </w:r>
        <w:r>
          <w:rPr>
            <w:webHidden/>
          </w:rPr>
        </w:r>
        <w:r>
          <w:rPr>
            <w:webHidden/>
          </w:rPr>
          <w:fldChar w:fldCharType="separate"/>
        </w:r>
        <w:r w:rsidR="001B26B5">
          <w:rPr>
            <w:webHidden/>
          </w:rPr>
          <w:t>380</w:t>
        </w:r>
        <w:r>
          <w:rPr>
            <w:webHidden/>
          </w:rPr>
          <w:fldChar w:fldCharType="end"/>
        </w:r>
      </w:hyperlink>
    </w:p>
    <w:p w14:paraId="5BDCBE79"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16" w:history="1">
        <w:r w:rsidRPr="003B1501">
          <w:rPr>
            <w:rStyle w:val="Hipervnculo"/>
          </w:rPr>
          <w:t xml:space="preserve">812.7. </w:t>
        </w:r>
        <w:r>
          <w:rPr>
            <w:rFonts w:asciiTheme="minorHAnsi" w:eastAsiaTheme="minorEastAsia" w:hAnsiTheme="minorHAnsi" w:cstheme="minorBidi"/>
            <w:szCs w:val="22"/>
            <w:lang w:val="es-ES" w:eastAsia="es-ES"/>
          </w:rPr>
          <w:tab/>
        </w:r>
        <w:r w:rsidRPr="003B1501">
          <w:rPr>
            <w:rStyle w:val="Hipervnculo"/>
          </w:rPr>
          <w:t>Control de calidad</w:t>
        </w:r>
        <w:r>
          <w:rPr>
            <w:webHidden/>
          </w:rPr>
          <w:tab/>
        </w:r>
        <w:r>
          <w:rPr>
            <w:webHidden/>
          </w:rPr>
          <w:fldChar w:fldCharType="begin"/>
        </w:r>
        <w:r>
          <w:rPr>
            <w:webHidden/>
          </w:rPr>
          <w:instrText xml:space="preserve"> PAGEREF _Toc404716 \h </w:instrText>
        </w:r>
        <w:r>
          <w:rPr>
            <w:webHidden/>
          </w:rPr>
        </w:r>
        <w:r>
          <w:rPr>
            <w:webHidden/>
          </w:rPr>
          <w:fldChar w:fldCharType="separate"/>
        </w:r>
        <w:r w:rsidR="001B26B5">
          <w:rPr>
            <w:webHidden/>
          </w:rPr>
          <w:t>380</w:t>
        </w:r>
        <w:r>
          <w:rPr>
            <w:webHidden/>
          </w:rPr>
          <w:fldChar w:fldCharType="end"/>
        </w:r>
      </w:hyperlink>
    </w:p>
    <w:p w14:paraId="3E840ED6"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17" w:history="1">
        <w:r w:rsidRPr="003B1501">
          <w:rPr>
            <w:rStyle w:val="Hipervnculo"/>
          </w:rPr>
          <w:t>812.8.</w:t>
        </w:r>
        <w:r>
          <w:rPr>
            <w:rFonts w:asciiTheme="minorHAnsi" w:eastAsiaTheme="minorEastAsia" w:hAnsiTheme="minorHAnsi" w:cstheme="minorBidi"/>
            <w:szCs w:val="22"/>
            <w:lang w:val="es-ES" w:eastAsia="es-ES"/>
          </w:rPr>
          <w:tab/>
        </w:r>
        <w:r w:rsidRPr="003B1501">
          <w:rPr>
            <w:rStyle w:val="Hipervnculo"/>
          </w:rPr>
          <w:t xml:space="preserve"> Medición y abono</w:t>
        </w:r>
        <w:r>
          <w:rPr>
            <w:webHidden/>
          </w:rPr>
          <w:tab/>
        </w:r>
        <w:r>
          <w:rPr>
            <w:webHidden/>
          </w:rPr>
          <w:fldChar w:fldCharType="begin"/>
        </w:r>
        <w:r>
          <w:rPr>
            <w:webHidden/>
          </w:rPr>
          <w:instrText xml:space="preserve"> PAGEREF _Toc404717 \h </w:instrText>
        </w:r>
        <w:r>
          <w:rPr>
            <w:webHidden/>
          </w:rPr>
        </w:r>
        <w:r>
          <w:rPr>
            <w:webHidden/>
          </w:rPr>
          <w:fldChar w:fldCharType="separate"/>
        </w:r>
        <w:r w:rsidR="001B26B5">
          <w:rPr>
            <w:webHidden/>
          </w:rPr>
          <w:t>380</w:t>
        </w:r>
        <w:r>
          <w:rPr>
            <w:webHidden/>
          </w:rPr>
          <w:fldChar w:fldCharType="end"/>
        </w:r>
      </w:hyperlink>
    </w:p>
    <w:p w14:paraId="6B39EA47"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18" w:history="1">
        <w:r w:rsidRPr="003B1501">
          <w:rPr>
            <w:rStyle w:val="Hipervnculo"/>
            <w:kern w:val="28"/>
          </w:rPr>
          <w:t>Artículo 813. Reposición de servicios de la red aérea de baja tensión</w:t>
        </w:r>
        <w:r>
          <w:rPr>
            <w:webHidden/>
          </w:rPr>
          <w:tab/>
        </w:r>
        <w:r>
          <w:rPr>
            <w:webHidden/>
          </w:rPr>
          <w:fldChar w:fldCharType="begin"/>
        </w:r>
        <w:r>
          <w:rPr>
            <w:webHidden/>
          </w:rPr>
          <w:instrText xml:space="preserve"> PAGEREF _Toc404718 \h </w:instrText>
        </w:r>
        <w:r>
          <w:rPr>
            <w:webHidden/>
          </w:rPr>
        </w:r>
        <w:r>
          <w:rPr>
            <w:webHidden/>
          </w:rPr>
          <w:fldChar w:fldCharType="separate"/>
        </w:r>
        <w:r w:rsidR="001B26B5">
          <w:rPr>
            <w:webHidden/>
          </w:rPr>
          <w:t>381</w:t>
        </w:r>
        <w:r>
          <w:rPr>
            <w:webHidden/>
          </w:rPr>
          <w:fldChar w:fldCharType="end"/>
        </w:r>
      </w:hyperlink>
    </w:p>
    <w:p w14:paraId="27DD8B06"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19" w:history="1">
        <w:r w:rsidRPr="003B1501">
          <w:rPr>
            <w:rStyle w:val="Hipervnculo"/>
          </w:rPr>
          <w:t>813.1.</w:t>
        </w:r>
        <w:r>
          <w:rPr>
            <w:rFonts w:asciiTheme="minorHAnsi" w:eastAsiaTheme="minorEastAsia" w:hAnsiTheme="minorHAnsi" w:cstheme="minorBidi"/>
            <w:szCs w:val="22"/>
            <w:lang w:val="es-ES" w:eastAsia="es-ES"/>
          </w:rPr>
          <w:tab/>
        </w:r>
        <w:r w:rsidRPr="003B1501">
          <w:rPr>
            <w:rStyle w:val="Hipervnculo"/>
          </w:rPr>
          <w:t xml:space="preserve"> Definición</w:t>
        </w:r>
        <w:r>
          <w:rPr>
            <w:webHidden/>
          </w:rPr>
          <w:tab/>
        </w:r>
        <w:r>
          <w:rPr>
            <w:webHidden/>
          </w:rPr>
          <w:fldChar w:fldCharType="begin"/>
        </w:r>
        <w:r>
          <w:rPr>
            <w:webHidden/>
          </w:rPr>
          <w:instrText xml:space="preserve"> PAGEREF _Toc404719 \h </w:instrText>
        </w:r>
        <w:r>
          <w:rPr>
            <w:webHidden/>
          </w:rPr>
        </w:r>
        <w:r>
          <w:rPr>
            <w:webHidden/>
          </w:rPr>
          <w:fldChar w:fldCharType="separate"/>
        </w:r>
        <w:r w:rsidR="001B26B5">
          <w:rPr>
            <w:webHidden/>
          </w:rPr>
          <w:t>381</w:t>
        </w:r>
        <w:r>
          <w:rPr>
            <w:webHidden/>
          </w:rPr>
          <w:fldChar w:fldCharType="end"/>
        </w:r>
      </w:hyperlink>
    </w:p>
    <w:p w14:paraId="792B27F0"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20" w:history="1">
        <w:r w:rsidRPr="003B1501">
          <w:rPr>
            <w:rStyle w:val="Hipervnculo"/>
          </w:rPr>
          <w:t xml:space="preserve">813.2. </w:t>
        </w:r>
        <w:r>
          <w:rPr>
            <w:rFonts w:asciiTheme="minorHAnsi" w:eastAsiaTheme="minorEastAsia" w:hAnsiTheme="minorHAnsi" w:cstheme="minorBidi"/>
            <w:szCs w:val="22"/>
            <w:lang w:val="es-ES" w:eastAsia="es-ES"/>
          </w:rPr>
          <w:tab/>
        </w:r>
        <w:r w:rsidRPr="003B1501">
          <w:rPr>
            <w:rStyle w:val="Hipervnculo"/>
          </w:rPr>
          <w:t>Aplicación</w:t>
        </w:r>
        <w:r>
          <w:rPr>
            <w:webHidden/>
          </w:rPr>
          <w:tab/>
        </w:r>
        <w:r>
          <w:rPr>
            <w:webHidden/>
          </w:rPr>
          <w:fldChar w:fldCharType="begin"/>
        </w:r>
        <w:r>
          <w:rPr>
            <w:webHidden/>
          </w:rPr>
          <w:instrText xml:space="preserve"> PAGEREF _Toc404720 \h </w:instrText>
        </w:r>
        <w:r>
          <w:rPr>
            <w:webHidden/>
          </w:rPr>
        </w:r>
        <w:r>
          <w:rPr>
            <w:webHidden/>
          </w:rPr>
          <w:fldChar w:fldCharType="separate"/>
        </w:r>
        <w:r w:rsidR="001B26B5">
          <w:rPr>
            <w:webHidden/>
          </w:rPr>
          <w:t>381</w:t>
        </w:r>
        <w:r>
          <w:rPr>
            <w:webHidden/>
          </w:rPr>
          <w:fldChar w:fldCharType="end"/>
        </w:r>
      </w:hyperlink>
    </w:p>
    <w:p w14:paraId="07A81C53"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21" w:history="1">
        <w:r w:rsidRPr="003B1501">
          <w:rPr>
            <w:rStyle w:val="Hipervnculo"/>
          </w:rPr>
          <w:t xml:space="preserve">813.3. </w:t>
        </w:r>
        <w:r>
          <w:rPr>
            <w:rFonts w:asciiTheme="minorHAnsi" w:eastAsiaTheme="minorEastAsia" w:hAnsiTheme="minorHAnsi" w:cstheme="minorBidi"/>
            <w:szCs w:val="22"/>
            <w:lang w:val="es-ES" w:eastAsia="es-ES"/>
          </w:rPr>
          <w:tab/>
        </w:r>
        <w:r w:rsidRPr="003B1501">
          <w:rPr>
            <w:rStyle w:val="Hipervnculo"/>
          </w:rPr>
          <w:t>Descripción de los trabajos</w:t>
        </w:r>
        <w:r>
          <w:rPr>
            <w:webHidden/>
          </w:rPr>
          <w:tab/>
        </w:r>
        <w:r>
          <w:rPr>
            <w:webHidden/>
          </w:rPr>
          <w:fldChar w:fldCharType="begin"/>
        </w:r>
        <w:r>
          <w:rPr>
            <w:webHidden/>
          </w:rPr>
          <w:instrText xml:space="preserve"> PAGEREF _Toc404721 \h </w:instrText>
        </w:r>
        <w:r>
          <w:rPr>
            <w:webHidden/>
          </w:rPr>
        </w:r>
        <w:r>
          <w:rPr>
            <w:webHidden/>
          </w:rPr>
          <w:fldChar w:fldCharType="separate"/>
        </w:r>
        <w:r w:rsidR="001B26B5">
          <w:rPr>
            <w:webHidden/>
          </w:rPr>
          <w:t>381</w:t>
        </w:r>
        <w:r>
          <w:rPr>
            <w:webHidden/>
          </w:rPr>
          <w:fldChar w:fldCharType="end"/>
        </w:r>
      </w:hyperlink>
    </w:p>
    <w:p w14:paraId="575352A0"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22" w:history="1">
        <w:r w:rsidRPr="003B1501">
          <w:rPr>
            <w:rStyle w:val="Hipervnculo"/>
          </w:rPr>
          <w:t>813.4.</w:t>
        </w:r>
        <w:r>
          <w:rPr>
            <w:rFonts w:asciiTheme="minorHAnsi" w:eastAsiaTheme="minorEastAsia" w:hAnsiTheme="minorHAnsi" w:cstheme="minorBidi"/>
            <w:szCs w:val="22"/>
            <w:lang w:val="es-ES" w:eastAsia="es-ES"/>
          </w:rPr>
          <w:tab/>
        </w:r>
        <w:r w:rsidRPr="003B1501">
          <w:rPr>
            <w:rStyle w:val="Hipervnculo"/>
          </w:rPr>
          <w:t xml:space="preserve"> Materiales y ejecución de las obras</w:t>
        </w:r>
        <w:r>
          <w:rPr>
            <w:webHidden/>
          </w:rPr>
          <w:tab/>
        </w:r>
        <w:r>
          <w:rPr>
            <w:webHidden/>
          </w:rPr>
          <w:fldChar w:fldCharType="begin"/>
        </w:r>
        <w:r>
          <w:rPr>
            <w:webHidden/>
          </w:rPr>
          <w:instrText xml:space="preserve"> PAGEREF _Toc404722 \h </w:instrText>
        </w:r>
        <w:r>
          <w:rPr>
            <w:webHidden/>
          </w:rPr>
        </w:r>
        <w:r>
          <w:rPr>
            <w:webHidden/>
          </w:rPr>
          <w:fldChar w:fldCharType="separate"/>
        </w:r>
        <w:r w:rsidR="001B26B5">
          <w:rPr>
            <w:webHidden/>
          </w:rPr>
          <w:t>381</w:t>
        </w:r>
        <w:r>
          <w:rPr>
            <w:webHidden/>
          </w:rPr>
          <w:fldChar w:fldCharType="end"/>
        </w:r>
      </w:hyperlink>
    </w:p>
    <w:p w14:paraId="32959FFD"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23" w:history="1">
        <w:r w:rsidRPr="003B1501">
          <w:rPr>
            <w:rStyle w:val="Hipervnculo"/>
          </w:rPr>
          <w:t>813.5.</w:t>
        </w:r>
        <w:r>
          <w:rPr>
            <w:rFonts w:asciiTheme="minorHAnsi" w:eastAsiaTheme="minorEastAsia" w:hAnsiTheme="minorHAnsi" w:cstheme="minorBidi"/>
            <w:szCs w:val="22"/>
            <w:lang w:val="es-ES" w:eastAsia="es-ES"/>
          </w:rPr>
          <w:tab/>
        </w:r>
        <w:r w:rsidRPr="003B1501">
          <w:rPr>
            <w:rStyle w:val="Hipervnculo"/>
          </w:rPr>
          <w:t xml:space="preserve"> Medición y abono</w:t>
        </w:r>
        <w:r>
          <w:rPr>
            <w:webHidden/>
          </w:rPr>
          <w:tab/>
        </w:r>
        <w:r>
          <w:rPr>
            <w:webHidden/>
          </w:rPr>
          <w:fldChar w:fldCharType="begin"/>
        </w:r>
        <w:r>
          <w:rPr>
            <w:webHidden/>
          </w:rPr>
          <w:instrText xml:space="preserve"> PAGEREF _Toc404723 \h </w:instrText>
        </w:r>
        <w:r>
          <w:rPr>
            <w:webHidden/>
          </w:rPr>
        </w:r>
        <w:r>
          <w:rPr>
            <w:webHidden/>
          </w:rPr>
          <w:fldChar w:fldCharType="separate"/>
        </w:r>
        <w:r w:rsidR="001B26B5">
          <w:rPr>
            <w:webHidden/>
          </w:rPr>
          <w:t>381</w:t>
        </w:r>
        <w:r>
          <w:rPr>
            <w:webHidden/>
          </w:rPr>
          <w:fldChar w:fldCharType="end"/>
        </w:r>
      </w:hyperlink>
    </w:p>
    <w:p w14:paraId="31277AE9"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24" w:history="1">
        <w:r w:rsidRPr="003B1501">
          <w:rPr>
            <w:rStyle w:val="Hipervnculo"/>
          </w:rPr>
          <w:t>Artículo 828. Plan de vigilancia ambiental</w:t>
        </w:r>
        <w:r>
          <w:rPr>
            <w:webHidden/>
          </w:rPr>
          <w:tab/>
        </w:r>
        <w:r>
          <w:rPr>
            <w:webHidden/>
          </w:rPr>
          <w:fldChar w:fldCharType="begin"/>
        </w:r>
        <w:r>
          <w:rPr>
            <w:webHidden/>
          </w:rPr>
          <w:instrText xml:space="preserve"> PAGEREF _Toc404724 \h </w:instrText>
        </w:r>
        <w:r>
          <w:rPr>
            <w:webHidden/>
          </w:rPr>
        </w:r>
        <w:r>
          <w:rPr>
            <w:webHidden/>
          </w:rPr>
          <w:fldChar w:fldCharType="separate"/>
        </w:r>
        <w:r w:rsidR="001B26B5">
          <w:rPr>
            <w:webHidden/>
          </w:rPr>
          <w:t>382</w:t>
        </w:r>
        <w:r>
          <w:rPr>
            <w:webHidden/>
          </w:rPr>
          <w:fldChar w:fldCharType="end"/>
        </w:r>
      </w:hyperlink>
    </w:p>
    <w:p w14:paraId="52A319DB"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25" w:history="1">
        <w:r w:rsidRPr="003B1501">
          <w:rPr>
            <w:rStyle w:val="Hipervnculo"/>
          </w:rPr>
          <w:t>828.1.</w:t>
        </w:r>
        <w:r>
          <w:rPr>
            <w:rFonts w:asciiTheme="minorHAnsi" w:eastAsiaTheme="minorEastAsia" w:hAnsiTheme="minorHAnsi" w:cstheme="minorBidi"/>
            <w:szCs w:val="22"/>
            <w:lang w:val="es-ES" w:eastAsia="es-ES"/>
          </w:rPr>
          <w:tab/>
        </w:r>
        <w:r w:rsidRPr="003B1501">
          <w:rPr>
            <w:rStyle w:val="Hipervnculo"/>
          </w:rPr>
          <w:t xml:space="preserve"> Definición</w:t>
        </w:r>
        <w:r>
          <w:rPr>
            <w:webHidden/>
          </w:rPr>
          <w:tab/>
        </w:r>
        <w:r>
          <w:rPr>
            <w:webHidden/>
          </w:rPr>
          <w:fldChar w:fldCharType="begin"/>
        </w:r>
        <w:r>
          <w:rPr>
            <w:webHidden/>
          </w:rPr>
          <w:instrText xml:space="preserve"> PAGEREF _Toc404725 \h </w:instrText>
        </w:r>
        <w:r>
          <w:rPr>
            <w:webHidden/>
          </w:rPr>
        </w:r>
        <w:r>
          <w:rPr>
            <w:webHidden/>
          </w:rPr>
          <w:fldChar w:fldCharType="separate"/>
        </w:r>
        <w:r w:rsidR="001B26B5">
          <w:rPr>
            <w:webHidden/>
          </w:rPr>
          <w:t>382</w:t>
        </w:r>
        <w:r>
          <w:rPr>
            <w:webHidden/>
          </w:rPr>
          <w:fldChar w:fldCharType="end"/>
        </w:r>
      </w:hyperlink>
    </w:p>
    <w:p w14:paraId="5623BEE6"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26" w:history="1">
        <w:r w:rsidRPr="003B1501">
          <w:rPr>
            <w:rStyle w:val="Hipervnculo"/>
          </w:rPr>
          <w:t>828.2. Exigencia legal</w:t>
        </w:r>
        <w:r>
          <w:rPr>
            <w:webHidden/>
          </w:rPr>
          <w:tab/>
        </w:r>
        <w:r>
          <w:rPr>
            <w:webHidden/>
          </w:rPr>
          <w:fldChar w:fldCharType="begin"/>
        </w:r>
        <w:r>
          <w:rPr>
            <w:webHidden/>
          </w:rPr>
          <w:instrText xml:space="preserve"> PAGEREF _Toc404726 \h </w:instrText>
        </w:r>
        <w:r>
          <w:rPr>
            <w:webHidden/>
          </w:rPr>
        </w:r>
        <w:r>
          <w:rPr>
            <w:webHidden/>
          </w:rPr>
          <w:fldChar w:fldCharType="separate"/>
        </w:r>
        <w:r w:rsidR="001B26B5">
          <w:rPr>
            <w:webHidden/>
          </w:rPr>
          <w:t>382</w:t>
        </w:r>
        <w:r>
          <w:rPr>
            <w:webHidden/>
          </w:rPr>
          <w:fldChar w:fldCharType="end"/>
        </w:r>
      </w:hyperlink>
    </w:p>
    <w:p w14:paraId="345F5D50"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27" w:history="1">
        <w:r w:rsidRPr="003B1501">
          <w:rPr>
            <w:rStyle w:val="Hipervnculo"/>
          </w:rPr>
          <w:t>828.3. Objetivos del Plan</w:t>
        </w:r>
        <w:r>
          <w:rPr>
            <w:webHidden/>
          </w:rPr>
          <w:tab/>
        </w:r>
        <w:r>
          <w:rPr>
            <w:webHidden/>
          </w:rPr>
          <w:fldChar w:fldCharType="begin"/>
        </w:r>
        <w:r>
          <w:rPr>
            <w:webHidden/>
          </w:rPr>
          <w:instrText xml:space="preserve"> PAGEREF _Toc404727 \h </w:instrText>
        </w:r>
        <w:r>
          <w:rPr>
            <w:webHidden/>
          </w:rPr>
        </w:r>
        <w:r>
          <w:rPr>
            <w:webHidden/>
          </w:rPr>
          <w:fldChar w:fldCharType="separate"/>
        </w:r>
        <w:r w:rsidR="001B26B5">
          <w:rPr>
            <w:webHidden/>
          </w:rPr>
          <w:t>382</w:t>
        </w:r>
        <w:r>
          <w:rPr>
            <w:webHidden/>
          </w:rPr>
          <w:fldChar w:fldCharType="end"/>
        </w:r>
      </w:hyperlink>
    </w:p>
    <w:p w14:paraId="498BA525"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28" w:history="1">
        <w:r w:rsidRPr="003B1501">
          <w:rPr>
            <w:rStyle w:val="Hipervnculo"/>
          </w:rPr>
          <w:t>828.4. Responsabilidad del seguimiento</w:t>
        </w:r>
        <w:r>
          <w:rPr>
            <w:webHidden/>
          </w:rPr>
          <w:tab/>
        </w:r>
        <w:r>
          <w:rPr>
            <w:webHidden/>
          </w:rPr>
          <w:fldChar w:fldCharType="begin"/>
        </w:r>
        <w:r>
          <w:rPr>
            <w:webHidden/>
          </w:rPr>
          <w:instrText xml:space="preserve"> PAGEREF _Toc404728 \h </w:instrText>
        </w:r>
        <w:r>
          <w:rPr>
            <w:webHidden/>
          </w:rPr>
        </w:r>
        <w:r>
          <w:rPr>
            <w:webHidden/>
          </w:rPr>
          <w:fldChar w:fldCharType="separate"/>
        </w:r>
        <w:r w:rsidR="001B26B5">
          <w:rPr>
            <w:webHidden/>
          </w:rPr>
          <w:t>383</w:t>
        </w:r>
        <w:r>
          <w:rPr>
            <w:webHidden/>
          </w:rPr>
          <w:fldChar w:fldCharType="end"/>
        </w:r>
      </w:hyperlink>
    </w:p>
    <w:p w14:paraId="0D4B698A"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29" w:history="1">
        <w:r w:rsidRPr="003B1501">
          <w:rPr>
            <w:rStyle w:val="Hipervnculo"/>
          </w:rPr>
          <w:t>828.5. Estructura y funcionamiento del PVA</w:t>
        </w:r>
        <w:r>
          <w:rPr>
            <w:webHidden/>
          </w:rPr>
          <w:tab/>
        </w:r>
        <w:r>
          <w:rPr>
            <w:webHidden/>
          </w:rPr>
          <w:fldChar w:fldCharType="begin"/>
        </w:r>
        <w:r>
          <w:rPr>
            <w:webHidden/>
          </w:rPr>
          <w:instrText xml:space="preserve"> PAGEREF _Toc404729 \h </w:instrText>
        </w:r>
        <w:r>
          <w:rPr>
            <w:webHidden/>
          </w:rPr>
        </w:r>
        <w:r>
          <w:rPr>
            <w:webHidden/>
          </w:rPr>
          <w:fldChar w:fldCharType="separate"/>
        </w:r>
        <w:r w:rsidR="001B26B5">
          <w:rPr>
            <w:webHidden/>
          </w:rPr>
          <w:t>384</w:t>
        </w:r>
        <w:r>
          <w:rPr>
            <w:webHidden/>
          </w:rPr>
          <w:fldChar w:fldCharType="end"/>
        </w:r>
      </w:hyperlink>
    </w:p>
    <w:p w14:paraId="211C9898"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30" w:history="1">
        <w:r w:rsidRPr="003B1501">
          <w:rPr>
            <w:rStyle w:val="Hipervnculo"/>
          </w:rPr>
          <w:t>828.6.  Control de las actividades en la fase de ejecución y fase de funcionamiento</w:t>
        </w:r>
        <w:r>
          <w:rPr>
            <w:webHidden/>
          </w:rPr>
          <w:tab/>
        </w:r>
        <w:r>
          <w:rPr>
            <w:webHidden/>
          </w:rPr>
          <w:fldChar w:fldCharType="begin"/>
        </w:r>
        <w:r>
          <w:rPr>
            <w:webHidden/>
          </w:rPr>
          <w:instrText xml:space="preserve"> PAGEREF _Toc404730 \h </w:instrText>
        </w:r>
        <w:r>
          <w:rPr>
            <w:webHidden/>
          </w:rPr>
        </w:r>
        <w:r>
          <w:rPr>
            <w:webHidden/>
          </w:rPr>
          <w:fldChar w:fldCharType="separate"/>
        </w:r>
        <w:r w:rsidR="001B26B5">
          <w:rPr>
            <w:webHidden/>
          </w:rPr>
          <w:t>384</w:t>
        </w:r>
        <w:r>
          <w:rPr>
            <w:webHidden/>
          </w:rPr>
          <w:fldChar w:fldCharType="end"/>
        </w:r>
      </w:hyperlink>
    </w:p>
    <w:p w14:paraId="6116C14E"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31" w:history="1">
        <w:r w:rsidRPr="003B1501">
          <w:rPr>
            <w:rStyle w:val="Hipervnculo"/>
          </w:rPr>
          <w:t>828.7. Control operacional</w:t>
        </w:r>
        <w:r>
          <w:rPr>
            <w:webHidden/>
          </w:rPr>
          <w:tab/>
        </w:r>
        <w:r>
          <w:rPr>
            <w:webHidden/>
          </w:rPr>
          <w:fldChar w:fldCharType="begin"/>
        </w:r>
        <w:r>
          <w:rPr>
            <w:webHidden/>
          </w:rPr>
          <w:instrText xml:space="preserve"> PAGEREF _Toc404731 \h </w:instrText>
        </w:r>
        <w:r>
          <w:rPr>
            <w:webHidden/>
          </w:rPr>
        </w:r>
        <w:r>
          <w:rPr>
            <w:webHidden/>
          </w:rPr>
          <w:fldChar w:fldCharType="separate"/>
        </w:r>
        <w:r w:rsidR="001B26B5">
          <w:rPr>
            <w:webHidden/>
          </w:rPr>
          <w:t>385</w:t>
        </w:r>
        <w:r>
          <w:rPr>
            <w:webHidden/>
          </w:rPr>
          <w:fldChar w:fldCharType="end"/>
        </w:r>
      </w:hyperlink>
    </w:p>
    <w:p w14:paraId="4102AF1E"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32" w:history="1">
        <w:r w:rsidRPr="003B1501">
          <w:rPr>
            <w:rStyle w:val="Hipervnculo"/>
          </w:rPr>
          <w:t>828.8. Programa de puntos de inspección para la vigilancia ambiental</w:t>
        </w:r>
        <w:r>
          <w:rPr>
            <w:webHidden/>
          </w:rPr>
          <w:tab/>
        </w:r>
        <w:r>
          <w:rPr>
            <w:webHidden/>
          </w:rPr>
          <w:fldChar w:fldCharType="begin"/>
        </w:r>
        <w:r>
          <w:rPr>
            <w:webHidden/>
          </w:rPr>
          <w:instrText xml:space="preserve"> PAGEREF _Toc404732 \h </w:instrText>
        </w:r>
        <w:r>
          <w:rPr>
            <w:webHidden/>
          </w:rPr>
        </w:r>
        <w:r>
          <w:rPr>
            <w:webHidden/>
          </w:rPr>
          <w:fldChar w:fldCharType="separate"/>
        </w:r>
        <w:r w:rsidR="001B26B5">
          <w:rPr>
            <w:webHidden/>
          </w:rPr>
          <w:t>386</w:t>
        </w:r>
        <w:r>
          <w:rPr>
            <w:webHidden/>
          </w:rPr>
          <w:fldChar w:fldCharType="end"/>
        </w:r>
      </w:hyperlink>
    </w:p>
    <w:p w14:paraId="1F04ED50"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33" w:history="1">
        <w:r w:rsidRPr="003B1501">
          <w:rPr>
            <w:rStyle w:val="Hipervnculo"/>
          </w:rPr>
          <w:t>828.9. Medición y abono</w:t>
        </w:r>
        <w:r>
          <w:rPr>
            <w:webHidden/>
          </w:rPr>
          <w:tab/>
        </w:r>
        <w:r>
          <w:rPr>
            <w:webHidden/>
          </w:rPr>
          <w:fldChar w:fldCharType="begin"/>
        </w:r>
        <w:r>
          <w:rPr>
            <w:webHidden/>
          </w:rPr>
          <w:instrText xml:space="preserve"> PAGEREF _Toc404733 \h </w:instrText>
        </w:r>
        <w:r>
          <w:rPr>
            <w:webHidden/>
          </w:rPr>
        </w:r>
        <w:r>
          <w:rPr>
            <w:webHidden/>
          </w:rPr>
          <w:fldChar w:fldCharType="separate"/>
        </w:r>
        <w:r w:rsidR="001B26B5">
          <w:rPr>
            <w:webHidden/>
          </w:rPr>
          <w:t>394</w:t>
        </w:r>
        <w:r>
          <w:rPr>
            <w:webHidden/>
          </w:rPr>
          <w:fldChar w:fldCharType="end"/>
        </w:r>
      </w:hyperlink>
    </w:p>
    <w:p w14:paraId="1B10E09E"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34" w:history="1">
        <w:r w:rsidRPr="003B1501">
          <w:rPr>
            <w:rStyle w:val="Hipervnculo"/>
          </w:rPr>
          <w:t>Artículo 829. Informe de auditoria de seguridad viaria</w:t>
        </w:r>
        <w:r>
          <w:rPr>
            <w:webHidden/>
          </w:rPr>
          <w:tab/>
        </w:r>
        <w:r>
          <w:rPr>
            <w:webHidden/>
          </w:rPr>
          <w:fldChar w:fldCharType="begin"/>
        </w:r>
        <w:r>
          <w:rPr>
            <w:webHidden/>
          </w:rPr>
          <w:instrText xml:space="preserve"> PAGEREF _Toc404734 \h </w:instrText>
        </w:r>
        <w:r>
          <w:rPr>
            <w:webHidden/>
          </w:rPr>
        </w:r>
        <w:r>
          <w:rPr>
            <w:webHidden/>
          </w:rPr>
          <w:fldChar w:fldCharType="separate"/>
        </w:r>
        <w:r w:rsidR="001B26B5">
          <w:rPr>
            <w:webHidden/>
          </w:rPr>
          <w:t>395</w:t>
        </w:r>
        <w:r>
          <w:rPr>
            <w:webHidden/>
          </w:rPr>
          <w:fldChar w:fldCharType="end"/>
        </w:r>
      </w:hyperlink>
    </w:p>
    <w:p w14:paraId="7185DCF8"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35" w:history="1">
        <w:r w:rsidRPr="003B1501">
          <w:rPr>
            <w:rStyle w:val="Hipervnculo"/>
          </w:rPr>
          <w:t>829.1.</w:t>
        </w:r>
        <w:r>
          <w:rPr>
            <w:rFonts w:asciiTheme="minorHAnsi" w:eastAsiaTheme="minorEastAsia" w:hAnsiTheme="minorHAnsi" w:cstheme="minorBidi"/>
            <w:szCs w:val="22"/>
            <w:lang w:val="es-ES" w:eastAsia="es-ES"/>
          </w:rPr>
          <w:tab/>
        </w:r>
        <w:r w:rsidRPr="003B1501">
          <w:rPr>
            <w:rStyle w:val="Hipervnculo"/>
          </w:rPr>
          <w:t xml:space="preserve"> Definición</w:t>
        </w:r>
        <w:r>
          <w:rPr>
            <w:webHidden/>
          </w:rPr>
          <w:tab/>
        </w:r>
        <w:r>
          <w:rPr>
            <w:webHidden/>
          </w:rPr>
          <w:fldChar w:fldCharType="begin"/>
        </w:r>
        <w:r>
          <w:rPr>
            <w:webHidden/>
          </w:rPr>
          <w:instrText xml:space="preserve"> PAGEREF _Toc404735 \h </w:instrText>
        </w:r>
        <w:r>
          <w:rPr>
            <w:webHidden/>
          </w:rPr>
        </w:r>
        <w:r>
          <w:rPr>
            <w:webHidden/>
          </w:rPr>
          <w:fldChar w:fldCharType="separate"/>
        </w:r>
        <w:r w:rsidR="001B26B5">
          <w:rPr>
            <w:webHidden/>
          </w:rPr>
          <w:t>395</w:t>
        </w:r>
        <w:r>
          <w:rPr>
            <w:webHidden/>
          </w:rPr>
          <w:fldChar w:fldCharType="end"/>
        </w:r>
      </w:hyperlink>
    </w:p>
    <w:p w14:paraId="377B128D"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36" w:history="1">
        <w:r w:rsidRPr="003B1501">
          <w:rPr>
            <w:rStyle w:val="Hipervnculo"/>
          </w:rPr>
          <w:t>829.2.</w:t>
        </w:r>
        <w:r>
          <w:rPr>
            <w:rFonts w:asciiTheme="minorHAnsi" w:eastAsiaTheme="minorEastAsia" w:hAnsiTheme="minorHAnsi" w:cstheme="minorBidi"/>
            <w:szCs w:val="22"/>
            <w:lang w:val="es-ES" w:eastAsia="es-ES"/>
          </w:rPr>
          <w:tab/>
        </w:r>
        <w:r w:rsidRPr="003B1501">
          <w:rPr>
            <w:rStyle w:val="Hipervnculo"/>
          </w:rPr>
          <w:t xml:space="preserve"> Condiciones generales</w:t>
        </w:r>
        <w:r>
          <w:rPr>
            <w:webHidden/>
          </w:rPr>
          <w:tab/>
        </w:r>
        <w:r>
          <w:rPr>
            <w:webHidden/>
          </w:rPr>
          <w:fldChar w:fldCharType="begin"/>
        </w:r>
        <w:r>
          <w:rPr>
            <w:webHidden/>
          </w:rPr>
          <w:instrText xml:space="preserve"> PAGEREF _Toc404736 \h </w:instrText>
        </w:r>
        <w:r>
          <w:rPr>
            <w:webHidden/>
          </w:rPr>
        </w:r>
        <w:r>
          <w:rPr>
            <w:webHidden/>
          </w:rPr>
          <w:fldChar w:fldCharType="separate"/>
        </w:r>
        <w:r w:rsidR="001B26B5">
          <w:rPr>
            <w:webHidden/>
          </w:rPr>
          <w:t>395</w:t>
        </w:r>
        <w:r>
          <w:rPr>
            <w:webHidden/>
          </w:rPr>
          <w:fldChar w:fldCharType="end"/>
        </w:r>
      </w:hyperlink>
    </w:p>
    <w:p w14:paraId="078379D4"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37" w:history="1">
        <w:r w:rsidRPr="003B1501">
          <w:rPr>
            <w:rStyle w:val="Hipervnculo"/>
          </w:rPr>
          <w:t>829.3.</w:t>
        </w:r>
        <w:r>
          <w:rPr>
            <w:rFonts w:asciiTheme="minorHAnsi" w:eastAsiaTheme="minorEastAsia" w:hAnsiTheme="minorHAnsi" w:cstheme="minorBidi"/>
            <w:szCs w:val="22"/>
            <w:lang w:val="es-ES" w:eastAsia="es-ES"/>
          </w:rPr>
          <w:tab/>
        </w:r>
        <w:r w:rsidRPr="003B1501">
          <w:rPr>
            <w:rStyle w:val="Hipervnculo"/>
          </w:rPr>
          <w:t xml:space="preserve"> Medición y abono</w:t>
        </w:r>
        <w:r>
          <w:rPr>
            <w:webHidden/>
          </w:rPr>
          <w:tab/>
        </w:r>
        <w:r>
          <w:rPr>
            <w:webHidden/>
          </w:rPr>
          <w:fldChar w:fldCharType="begin"/>
        </w:r>
        <w:r>
          <w:rPr>
            <w:webHidden/>
          </w:rPr>
          <w:instrText xml:space="preserve"> PAGEREF _Toc404737 \h </w:instrText>
        </w:r>
        <w:r>
          <w:rPr>
            <w:webHidden/>
          </w:rPr>
        </w:r>
        <w:r>
          <w:rPr>
            <w:webHidden/>
          </w:rPr>
          <w:fldChar w:fldCharType="separate"/>
        </w:r>
        <w:r w:rsidR="001B26B5">
          <w:rPr>
            <w:webHidden/>
          </w:rPr>
          <w:t>395</w:t>
        </w:r>
        <w:r>
          <w:rPr>
            <w:webHidden/>
          </w:rPr>
          <w:fldChar w:fldCharType="end"/>
        </w:r>
      </w:hyperlink>
    </w:p>
    <w:p w14:paraId="59E55BE2"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38" w:history="1">
        <w:r w:rsidRPr="003B1501">
          <w:rPr>
            <w:rStyle w:val="Hipervnculo"/>
          </w:rPr>
          <w:t>Artículo 830. Desvíos provisionales</w:t>
        </w:r>
        <w:r>
          <w:rPr>
            <w:webHidden/>
          </w:rPr>
          <w:tab/>
        </w:r>
        <w:r>
          <w:rPr>
            <w:webHidden/>
          </w:rPr>
          <w:fldChar w:fldCharType="begin"/>
        </w:r>
        <w:r>
          <w:rPr>
            <w:webHidden/>
          </w:rPr>
          <w:instrText xml:space="preserve"> PAGEREF _Toc404738 \h </w:instrText>
        </w:r>
        <w:r>
          <w:rPr>
            <w:webHidden/>
          </w:rPr>
        </w:r>
        <w:r>
          <w:rPr>
            <w:webHidden/>
          </w:rPr>
          <w:fldChar w:fldCharType="separate"/>
        </w:r>
        <w:r w:rsidR="001B26B5">
          <w:rPr>
            <w:webHidden/>
          </w:rPr>
          <w:t>396</w:t>
        </w:r>
        <w:r>
          <w:rPr>
            <w:webHidden/>
          </w:rPr>
          <w:fldChar w:fldCharType="end"/>
        </w:r>
      </w:hyperlink>
    </w:p>
    <w:p w14:paraId="4F02CAD6"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39" w:history="1">
        <w:r w:rsidRPr="003B1501">
          <w:rPr>
            <w:rStyle w:val="Hipervnculo"/>
          </w:rPr>
          <w:t>830.1.</w:t>
        </w:r>
        <w:r>
          <w:rPr>
            <w:rFonts w:asciiTheme="minorHAnsi" w:eastAsiaTheme="minorEastAsia" w:hAnsiTheme="minorHAnsi" w:cstheme="minorBidi"/>
            <w:szCs w:val="22"/>
            <w:lang w:val="es-ES" w:eastAsia="es-ES"/>
          </w:rPr>
          <w:tab/>
        </w:r>
        <w:r w:rsidRPr="003B1501">
          <w:rPr>
            <w:rStyle w:val="Hipervnculo"/>
          </w:rPr>
          <w:t xml:space="preserve"> Definición y aplicación</w:t>
        </w:r>
        <w:r>
          <w:rPr>
            <w:webHidden/>
          </w:rPr>
          <w:tab/>
        </w:r>
        <w:r>
          <w:rPr>
            <w:webHidden/>
          </w:rPr>
          <w:fldChar w:fldCharType="begin"/>
        </w:r>
        <w:r>
          <w:rPr>
            <w:webHidden/>
          </w:rPr>
          <w:instrText xml:space="preserve"> PAGEREF _Toc404739 \h </w:instrText>
        </w:r>
        <w:r>
          <w:rPr>
            <w:webHidden/>
          </w:rPr>
        </w:r>
        <w:r>
          <w:rPr>
            <w:webHidden/>
          </w:rPr>
          <w:fldChar w:fldCharType="separate"/>
        </w:r>
        <w:r w:rsidR="001B26B5">
          <w:rPr>
            <w:webHidden/>
          </w:rPr>
          <w:t>396</w:t>
        </w:r>
        <w:r>
          <w:rPr>
            <w:webHidden/>
          </w:rPr>
          <w:fldChar w:fldCharType="end"/>
        </w:r>
      </w:hyperlink>
    </w:p>
    <w:p w14:paraId="392C5680"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40" w:history="1">
        <w:r w:rsidRPr="003B1501">
          <w:rPr>
            <w:rStyle w:val="Hipervnculo"/>
          </w:rPr>
          <w:t>830.2.</w:t>
        </w:r>
        <w:r>
          <w:rPr>
            <w:rFonts w:asciiTheme="minorHAnsi" w:eastAsiaTheme="minorEastAsia" w:hAnsiTheme="minorHAnsi" w:cstheme="minorBidi"/>
            <w:szCs w:val="22"/>
            <w:lang w:val="es-ES" w:eastAsia="es-ES"/>
          </w:rPr>
          <w:tab/>
        </w:r>
        <w:r w:rsidRPr="003B1501">
          <w:rPr>
            <w:rStyle w:val="Hipervnculo"/>
          </w:rPr>
          <w:t xml:space="preserve"> Materiales</w:t>
        </w:r>
        <w:r>
          <w:rPr>
            <w:webHidden/>
          </w:rPr>
          <w:tab/>
        </w:r>
        <w:r>
          <w:rPr>
            <w:webHidden/>
          </w:rPr>
          <w:fldChar w:fldCharType="begin"/>
        </w:r>
        <w:r>
          <w:rPr>
            <w:webHidden/>
          </w:rPr>
          <w:instrText xml:space="preserve"> PAGEREF _Toc404740 \h </w:instrText>
        </w:r>
        <w:r>
          <w:rPr>
            <w:webHidden/>
          </w:rPr>
        </w:r>
        <w:r>
          <w:rPr>
            <w:webHidden/>
          </w:rPr>
          <w:fldChar w:fldCharType="separate"/>
        </w:r>
        <w:r w:rsidR="001B26B5">
          <w:rPr>
            <w:webHidden/>
          </w:rPr>
          <w:t>396</w:t>
        </w:r>
        <w:r>
          <w:rPr>
            <w:webHidden/>
          </w:rPr>
          <w:fldChar w:fldCharType="end"/>
        </w:r>
      </w:hyperlink>
    </w:p>
    <w:p w14:paraId="74FF2F68"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41" w:history="1">
        <w:r w:rsidRPr="003B1501">
          <w:rPr>
            <w:rStyle w:val="Hipervnculo"/>
          </w:rPr>
          <w:t>830.3.</w:t>
        </w:r>
        <w:r>
          <w:rPr>
            <w:rFonts w:asciiTheme="minorHAnsi" w:eastAsiaTheme="minorEastAsia" w:hAnsiTheme="minorHAnsi" w:cstheme="minorBidi"/>
            <w:szCs w:val="22"/>
            <w:lang w:val="es-ES" w:eastAsia="es-ES"/>
          </w:rPr>
          <w:tab/>
        </w:r>
        <w:r w:rsidRPr="003B1501">
          <w:rPr>
            <w:rStyle w:val="Hipervnculo"/>
          </w:rPr>
          <w:t xml:space="preserve"> Ejecución de las obras</w:t>
        </w:r>
        <w:r>
          <w:rPr>
            <w:webHidden/>
          </w:rPr>
          <w:tab/>
        </w:r>
        <w:r>
          <w:rPr>
            <w:webHidden/>
          </w:rPr>
          <w:fldChar w:fldCharType="begin"/>
        </w:r>
        <w:r>
          <w:rPr>
            <w:webHidden/>
          </w:rPr>
          <w:instrText xml:space="preserve"> PAGEREF _Toc404741 \h </w:instrText>
        </w:r>
        <w:r>
          <w:rPr>
            <w:webHidden/>
          </w:rPr>
        </w:r>
        <w:r>
          <w:rPr>
            <w:webHidden/>
          </w:rPr>
          <w:fldChar w:fldCharType="separate"/>
        </w:r>
        <w:r w:rsidR="001B26B5">
          <w:rPr>
            <w:webHidden/>
          </w:rPr>
          <w:t>397</w:t>
        </w:r>
        <w:r>
          <w:rPr>
            <w:webHidden/>
          </w:rPr>
          <w:fldChar w:fldCharType="end"/>
        </w:r>
      </w:hyperlink>
    </w:p>
    <w:p w14:paraId="7CCAB0D9"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42" w:history="1">
        <w:r w:rsidRPr="003B1501">
          <w:rPr>
            <w:rStyle w:val="Hipervnculo"/>
          </w:rPr>
          <w:t>830.4.</w:t>
        </w:r>
        <w:r>
          <w:rPr>
            <w:rFonts w:asciiTheme="minorHAnsi" w:eastAsiaTheme="minorEastAsia" w:hAnsiTheme="minorHAnsi" w:cstheme="minorBidi"/>
            <w:szCs w:val="22"/>
            <w:lang w:val="es-ES" w:eastAsia="es-ES"/>
          </w:rPr>
          <w:tab/>
        </w:r>
        <w:r w:rsidRPr="003B1501">
          <w:rPr>
            <w:rStyle w:val="Hipervnculo"/>
          </w:rPr>
          <w:t xml:space="preserve"> Recepción</w:t>
        </w:r>
        <w:r>
          <w:rPr>
            <w:webHidden/>
          </w:rPr>
          <w:tab/>
        </w:r>
        <w:r>
          <w:rPr>
            <w:webHidden/>
          </w:rPr>
          <w:fldChar w:fldCharType="begin"/>
        </w:r>
        <w:r>
          <w:rPr>
            <w:webHidden/>
          </w:rPr>
          <w:instrText xml:space="preserve"> PAGEREF _Toc404742 \h </w:instrText>
        </w:r>
        <w:r>
          <w:rPr>
            <w:webHidden/>
          </w:rPr>
        </w:r>
        <w:r>
          <w:rPr>
            <w:webHidden/>
          </w:rPr>
          <w:fldChar w:fldCharType="separate"/>
        </w:r>
        <w:r w:rsidR="001B26B5">
          <w:rPr>
            <w:webHidden/>
          </w:rPr>
          <w:t>397</w:t>
        </w:r>
        <w:r>
          <w:rPr>
            <w:webHidden/>
          </w:rPr>
          <w:fldChar w:fldCharType="end"/>
        </w:r>
      </w:hyperlink>
    </w:p>
    <w:p w14:paraId="06EF6FA5"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43" w:history="1">
        <w:r w:rsidRPr="003B1501">
          <w:rPr>
            <w:rStyle w:val="Hipervnculo"/>
          </w:rPr>
          <w:t xml:space="preserve">830.5. </w:t>
        </w:r>
        <w:r>
          <w:rPr>
            <w:rFonts w:asciiTheme="minorHAnsi" w:eastAsiaTheme="minorEastAsia" w:hAnsiTheme="minorHAnsi" w:cstheme="minorBidi"/>
            <w:szCs w:val="22"/>
            <w:lang w:val="es-ES" w:eastAsia="es-ES"/>
          </w:rPr>
          <w:tab/>
        </w:r>
        <w:r w:rsidRPr="003B1501">
          <w:rPr>
            <w:rStyle w:val="Hipervnculo"/>
          </w:rPr>
          <w:t>Control de calidad</w:t>
        </w:r>
        <w:r>
          <w:rPr>
            <w:webHidden/>
          </w:rPr>
          <w:tab/>
        </w:r>
        <w:r>
          <w:rPr>
            <w:webHidden/>
          </w:rPr>
          <w:fldChar w:fldCharType="begin"/>
        </w:r>
        <w:r>
          <w:rPr>
            <w:webHidden/>
          </w:rPr>
          <w:instrText xml:space="preserve"> PAGEREF _Toc404743 \h </w:instrText>
        </w:r>
        <w:r>
          <w:rPr>
            <w:webHidden/>
          </w:rPr>
        </w:r>
        <w:r>
          <w:rPr>
            <w:webHidden/>
          </w:rPr>
          <w:fldChar w:fldCharType="separate"/>
        </w:r>
        <w:r w:rsidR="001B26B5">
          <w:rPr>
            <w:webHidden/>
          </w:rPr>
          <w:t>397</w:t>
        </w:r>
        <w:r>
          <w:rPr>
            <w:webHidden/>
          </w:rPr>
          <w:fldChar w:fldCharType="end"/>
        </w:r>
      </w:hyperlink>
    </w:p>
    <w:p w14:paraId="2A9AB554"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44" w:history="1">
        <w:r w:rsidRPr="003B1501">
          <w:rPr>
            <w:rStyle w:val="Hipervnculo"/>
          </w:rPr>
          <w:t xml:space="preserve">830.6. </w:t>
        </w:r>
        <w:r>
          <w:rPr>
            <w:rFonts w:asciiTheme="minorHAnsi" w:eastAsiaTheme="minorEastAsia" w:hAnsiTheme="minorHAnsi" w:cstheme="minorBidi"/>
            <w:szCs w:val="22"/>
            <w:lang w:val="es-ES" w:eastAsia="es-ES"/>
          </w:rPr>
          <w:tab/>
        </w:r>
        <w:r w:rsidRPr="003B1501">
          <w:rPr>
            <w:rStyle w:val="Hipervnculo"/>
          </w:rPr>
          <w:t>Medición y abono</w:t>
        </w:r>
        <w:r>
          <w:rPr>
            <w:webHidden/>
          </w:rPr>
          <w:tab/>
        </w:r>
        <w:r>
          <w:rPr>
            <w:webHidden/>
          </w:rPr>
          <w:fldChar w:fldCharType="begin"/>
        </w:r>
        <w:r>
          <w:rPr>
            <w:webHidden/>
          </w:rPr>
          <w:instrText xml:space="preserve"> PAGEREF _Toc404744 \h </w:instrText>
        </w:r>
        <w:r>
          <w:rPr>
            <w:webHidden/>
          </w:rPr>
        </w:r>
        <w:r>
          <w:rPr>
            <w:webHidden/>
          </w:rPr>
          <w:fldChar w:fldCharType="separate"/>
        </w:r>
        <w:r w:rsidR="001B26B5">
          <w:rPr>
            <w:webHidden/>
          </w:rPr>
          <w:t>397</w:t>
        </w:r>
        <w:r>
          <w:rPr>
            <w:webHidden/>
          </w:rPr>
          <w:fldChar w:fldCharType="end"/>
        </w:r>
      </w:hyperlink>
    </w:p>
    <w:p w14:paraId="0C2B2DB0"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45" w:history="1">
        <w:r w:rsidRPr="003B1501">
          <w:rPr>
            <w:rStyle w:val="Hipervnculo"/>
          </w:rPr>
          <w:t>Artículo 832. Colocacion de barrera de paso de mediana</w:t>
        </w:r>
        <w:r>
          <w:rPr>
            <w:webHidden/>
          </w:rPr>
          <w:tab/>
        </w:r>
        <w:r>
          <w:rPr>
            <w:webHidden/>
          </w:rPr>
          <w:fldChar w:fldCharType="begin"/>
        </w:r>
        <w:r>
          <w:rPr>
            <w:webHidden/>
          </w:rPr>
          <w:instrText xml:space="preserve"> PAGEREF _Toc404745 \h </w:instrText>
        </w:r>
        <w:r>
          <w:rPr>
            <w:webHidden/>
          </w:rPr>
        </w:r>
        <w:r>
          <w:rPr>
            <w:webHidden/>
          </w:rPr>
          <w:fldChar w:fldCharType="separate"/>
        </w:r>
        <w:r w:rsidR="001B26B5">
          <w:rPr>
            <w:webHidden/>
          </w:rPr>
          <w:t>399</w:t>
        </w:r>
        <w:r>
          <w:rPr>
            <w:webHidden/>
          </w:rPr>
          <w:fldChar w:fldCharType="end"/>
        </w:r>
      </w:hyperlink>
    </w:p>
    <w:p w14:paraId="6F846811"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46" w:history="1">
        <w:r w:rsidRPr="003B1501">
          <w:rPr>
            <w:rStyle w:val="Hipervnculo"/>
          </w:rPr>
          <w:t>832.1.</w:t>
        </w:r>
        <w:r>
          <w:rPr>
            <w:rFonts w:asciiTheme="minorHAnsi" w:eastAsiaTheme="minorEastAsia" w:hAnsiTheme="minorHAnsi" w:cstheme="minorBidi"/>
            <w:szCs w:val="22"/>
            <w:lang w:val="es-ES" w:eastAsia="es-ES"/>
          </w:rPr>
          <w:tab/>
        </w:r>
        <w:r w:rsidRPr="003B1501">
          <w:rPr>
            <w:rStyle w:val="Hipervnculo"/>
          </w:rPr>
          <w:t xml:space="preserve"> Definición y aplicación</w:t>
        </w:r>
        <w:r>
          <w:rPr>
            <w:webHidden/>
          </w:rPr>
          <w:tab/>
        </w:r>
        <w:r>
          <w:rPr>
            <w:webHidden/>
          </w:rPr>
          <w:fldChar w:fldCharType="begin"/>
        </w:r>
        <w:r>
          <w:rPr>
            <w:webHidden/>
          </w:rPr>
          <w:instrText xml:space="preserve"> PAGEREF _Toc404746 \h </w:instrText>
        </w:r>
        <w:r>
          <w:rPr>
            <w:webHidden/>
          </w:rPr>
        </w:r>
        <w:r>
          <w:rPr>
            <w:webHidden/>
          </w:rPr>
          <w:fldChar w:fldCharType="separate"/>
        </w:r>
        <w:r w:rsidR="001B26B5">
          <w:rPr>
            <w:webHidden/>
          </w:rPr>
          <w:t>399</w:t>
        </w:r>
        <w:r>
          <w:rPr>
            <w:webHidden/>
          </w:rPr>
          <w:fldChar w:fldCharType="end"/>
        </w:r>
      </w:hyperlink>
    </w:p>
    <w:p w14:paraId="459937AE"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47" w:history="1">
        <w:r w:rsidRPr="003B1501">
          <w:rPr>
            <w:rStyle w:val="Hipervnculo"/>
          </w:rPr>
          <w:t>832.2.</w:t>
        </w:r>
        <w:r>
          <w:rPr>
            <w:rFonts w:asciiTheme="minorHAnsi" w:eastAsiaTheme="minorEastAsia" w:hAnsiTheme="minorHAnsi" w:cstheme="minorBidi"/>
            <w:szCs w:val="22"/>
            <w:lang w:val="es-ES" w:eastAsia="es-ES"/>
          </w:rPr>
          <w:tab/>
        </w:r>
        <w:r w:rsidRPr="003B1501">
          <w:rPr>
            <w:rStyle w:val="Hipervnculo"/>
          </w:rPr>
          <w:t xml:space="preserve"> Materiales</w:t>
        </w:r>
        <w:r>
          <w:rPr>
            <w:webHidden/>
          </w:rPr>
          <w:tab/>
        </w:r>
        <w:r>
          <w:rPr>
            <w:webHidden/>
          </w:rPr>
          <w:fldChar w:fldCharType="begin"/>
        </w:r>
        <w:r>
          <w:rPr>
            <w:webHidden/>
          </w:rPr>
          <w:instrText xml:space="preserve"> PAGEREF _Toc404747 \h </w:instrText>
        </w:r>
        <w:r>
          <w:rPr>
            <w:webHidden/>
          </w:rPr>
        </w:r>
        <w:r>
          <w:rPr>
            <w:webHidden/>
          </w:rPr>
          <w:fldChar w:fldCharType="separate"/>
        </w:r>
        <w:r w:rsidR="001B26B5">
          <w:rPr>
            <w:webHidden/>
          </w:rPr>
          <w:t>399</w:t>
        </w:r>
        <w:r>
          <w:rPr>
            <w:webHidden/>
          </w:rPr>
          <w:fldChar w:fldCharType="end"/>
        </w:r>
      </w:hyperlink>
    </w:p>
    <w:p w14:paraId="21F9F072"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48" w:history="1">
        <w:r w:rsidRPr="003B1501">
          <w:rPr>
            <w:rStyle w:val="Hipervnculo"/>
          </w:rPr>
          <w:t>832.3.</w:t>
        </w:r>
        <w:r>
          <w:rPr>
            <w:rFonts w:asciiTheme="minorHAnsi" w:eastAsiaTheme="minorEastAsia" w:hAnsiTheme="minorHAnsi" w:cstheme="minorBidi"/>
            <w:szCs w:val="22"/>
            <w:lang w:val="es-ES" w:eastAsia="es-ES"/>
          </w:rPr>
          <w:tab/>
        </w:r>
        <w:r w:rsidRPr="003B1501">
          <w:rPr>
            <w:rStyle w:val="Hipervnculo"/>
          </w:rPr>
          <w:t xml:space="preserve"> Ejecución de las obras</w:t>
        </w:r>
        <w:r>
          <w:rPr>
            <w:webHidden/>
          </w:rPr>
          <w:tab/>
        </w:r>
        <w:r>
          <w:rPr>
            <w:webHidden/>
          </w:rPr>
          <w:fldChar w:fldCharType="begin"/>
        </w:r>
        <w:r>
          <w:rPr>
            <w:webHidden/>
          </w:rPr>
          <w:instrText xml:space="preserve"> PAGEREF _Toc404748 \h </w:instrText>
        </w:r>
        <w:r>
          <w:rPr>
            <w:webHidden/>
          </w:rPr>
        </w:r>
        <w:r>
          <w:rPr>
            <w:webHidden/>
          </w:rPr>
          <w:fldChar w:fldCharType="separate"/>
        </w:r>
        <w:r w:rsidR="001B26B5">
          <w:rPr>
            <w:webHidden/>
          </w:rPr>
          <w:t>399</w:t>
        </w:r>
        <w:r>
          <w:rPr>
            <w:webHidden/>
          </w:rPr>
          <w:fldChar w:fldCharType="end"/>
        </w:r>
      </w:hyperlink>
    </w:p>
    <w:p w14:paraId="0C89FDEA"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49" w:history="1">
        <w:r w:rsidRPr="003B1501">
          <w:rPr>
            <w:rStyle w:val="Hipervnculo"/>
          </w:rPr>
          <w:t>832.4.</w:t>
        </w:r>
        <w:r>
          <w:rPr>
            <w:rFonts w:asciiTheme="minorHAnsi" w:eastAsiaTheme="minorEastAsia" w:hAnsiTheme="minorHAnsi" w:cstheme="minorBidi"/>
            <w:szCs w:val="22"/>
            <w:lang w:val="es-ES" w:eastAsia="es-ES"/>
          </w:rPr>
          <w:tab/>
        </w:r>
        <w:r w:rsidRPr="003B1501">
          <w:rPr>
            <w:rStyle w:val="Hipervnculo"/>
          </w:rPr>
          <w:t xml:space="preserve"> Recepción</w:t>
        </w:r>
        <w:r>
          <w:rPr>
            <w:webHidden/>
          </w:rPr>
          <w:tab/>
        </w:r>
        <w:r>
          <w:rPr>
            <w:webHidden/>
          </w:rPr>
          <w:fldChar w:fldCharType="begin"/>
        </w:r>
        <w:r>
          <w:rPr>
            <w:webHidden/>
          </w:rPr>
          <w:instrText xml:space="preserve"> PAGEREF _Toc404749 \h </w:instrText>
        </w:r>
        <w:r>
          <w:rPr>
            <w:webHidden/>
          </w:rPr>
        </w:r>
        <w:r>
          <w:rPr>
            <w:webHidden/>
          </w:rPr>
          <w:fldChar w:fldCharType="separate"/>
        </w:r>
        <w:r w:rsidR="001B26B5">
          <w:rPr>
            <w:webHidden/>
          </w:rPr>
          <w:t>399</w:t>
        </w:r>
        <w:r>
          <w:rPr>
            <w:webHidden/>
          </w:rPr>
          <w:fldChar w:fldCharType="end"/>
        </w:r>
      </w:hyperlink>
    </w:p>
    <w:p w14:paraId="24DEABD6"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50" w:history="1">
        <w:r w:rsidRPr="003B1501">
          <w:rPr>
            <w:rStyle w:val="Hipervnculo"/>
          </w:rPr>
          <w:t xml:space="preserve">832.5. </w:t>
        </w:r>
        <w:r>
          <w:rPr>
            <w:rFonts w:asciiTheme="minorHAnsi" w:eastAsiaTheme="minorEastAsia" w:hAnsiTheme="minorHAnsi" w:cstheme="minorBidi"/>
            <w:szCs w:val="22"/>
            <w:lang w:val="es-ES" w:eastAsia="es-ES"/>
          </w:rPr>
          <w:tab/>
        </w:r>
        <w:r w:rsidRPr="003B1501">
          <w:rPr>
            <w:rStyle w:val="Hipervnculo"/>
          </w:rPr>
          <w:t>Control de calidad</w:t>
        </w:r>
        <w:r>
          <w:rPr>
            <w:webHidden/>
          </w:rPr>
          <w:tab/>
        </w:r>
        <w:r>
          <w:rPr>
            <w:webHidden/>
          </w:rPr>
          <w:fldChar w:fldCharType="begin"/>
        </w:r>
        <w:r>
          <w:rPr>
            <w:webHidden/>
          </w:rPr>
          <w:instrText xml:space="preserve"> PAGEREF _Toc404750 \h </w:instrText>
        </w:r>
        <w:r>
          <w:rPr>
            <w:webHidden/>
          </w:rPr>
        </w:r>
        <w:r>
          <w:rPr>
            <w:webHidden/>
          </w:rPr>
          <w:fldChar w:fldCharType="separate"/>
        </w:r>
        <w:r w:rsidR="001B26B5">
          <w:rPr>
            <w:webHidden/>
          </w:rPr>
          <w:t>399</w:t>
        </w:r>
        <w:r>
          <w:rPr>
            <w:webHidden/>
          </w:rPr>
          <w:fldChar w:fldCharType="end"/>
        </w:r>
      </w:hyperlink>
    </w:p>
    <w:p w14:paraId="0D730291"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51" w:history="1">
        <w:r w:rsidRPr="003B1501">
          <w:rPr>
            <w:rStyle w:val="Hipervnculo"/>
          </w:rPr>
          <w:t xml:space="preserve">832.6. </w:t>
        </w:r>
        <w:r>
          <w:rPr>
            <w:rFonts w:asciiTheme="minorHAnsi" w:eastAsiaTheme="minorEastAsia" w:hAnsiTheme="minorHAnsi" w:cstheme="minorBidi"/>
            <w:szCs w:val="22"/>
            <w:lang w:val="es-ES" w:eastAsia="es-ES"/>
          </w:rPr>
          <w:tab/>
        </w:r>
        <w:r w:rsidRPr="003B1501">
          <w:rPr>
            <w:rStyle w:val="Hipervnculo"/>
          </w:rPr>
          <w:t>Medición y abono</w:t>
        </w:r>
        <w:r>
          <w:rPr>
            <w:webHidden/>
          </w:rPr>
          <w:tab/>
        </w:r>
        <w:r>
          <w:rPr>
            <w:webHidden/>
          </w:rPr>
          <w:fldChar w:fldCharType="begin"/>
        </w:r>
        <w:r>
          <w:rPr>
            <w:webHidden/>
          </w:rPr>
          <w:instrText xml:space="preserve"> PAGEREF _Toc404751 \h </w:instrText>
        </w:r>
        <w:r>
          <w:rPr>
            <w:webHidden/>
          </w:rPr>
        </w:r>
        <w:r>
          <w:rPr>
            <w:webHidden/>
          </w:rPr>
          <w:fldChar w:fldCharType="separate"/>
        </w:r>
        <w:r w:rsidR="001B26B5">
          <w:rPr>
            <w:webHidden/>
          </w:rPr>
          <w:t>399</w:t>
        </w:r>
        <w:r>
          <w:rPr>
            <w:webHidden/>
          </w:rPr>
          <w:fldChar w:fldCharType="end"/>
        </w:r>
      </w:hyperlink>
    </w:p>
    <w:p w14:paraId="103635A4"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52" w:history="1">
        <w:r w:rsidRPr="003B1501">
          <w:rPr>
            <w:rStyle w:val="Hipervnculo"/>
          </w:rPr>
          <w:t>Parte 9.-  Gestión de residuos y medioambiente</w:t>
        </w:r>
        <w:r>
          <w:rPr>
            <w:webHidden/>
          </w:rPr>
          <w:tab/>
        </w:r>
        <w:r>
          <w:rPr>
            <w:webHidden/>
          </w:rPr>
          <w:fldChar w:fldCharType="begin"/>
        </w:r>
        <w:r>
          <w:rPr>
            <w:webHidden/>
          </w:rPr>
          <w:instrText xml:space="preserve"> PAGEREF _Toc404752 \h </w:instrText>
        </w:r>
        <w:r>
          <w:rPr>
            <w:webHidden/>
          </w:rPr>
        </w:r>
        <w:r>
          <w:rPr>
            <w:webHidden/>
          </w:rPr>
          <w:fldChar w:fldCharType="separate"/>
        </w:r>
        <w:r w:rsidR="001B26B5">
          <w:rPr>
            <w:webHidden/>
          </w:rPr>
          <w:t>401</w:t>
        </w:r>
        <w:r>
          <w:rPr>
            <w:webHidden/>
          </w:rPr>
          <w:fldChar w:fldCharType="end"/>
        </w:r>
      </w:hyperlink>
    </w:p>
    <w:p w14:paraId="0AB49A91"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53" w:history="1">
        <w:r w:rsidRPr="003B1501">
          <w:rPr>
            <w:rStyle w:val="Hipervnculo"/>
          </w:rPr>
          <w:t>Artículo 950a. Clasificación y recogida selectiva</w:t>
        </w:r>
        <w:r>
          <w:rPr>
            <w:webHidden/>
          </w:rPr>
          <w:tab/>
        </w:r>
        <w:r>
          <w:rPr>
            <w:webHidden/>
          </w:rPr>
          <w:fldChar w:fldCharType="begin"/>
        </w:r>
        <w:r>
          <w:rPr>
            <w:webHidden/>
          </w:rPr>
          <w:instrText xml:space="preserve"> PAGEREF _Toc404753 \h </w:instrText>
        </w:r>
        <w:r>
          <w:rPr>
            <w:webHidden/>
          </w:rPr>
        </w:r>
        <w:r>
          <w:rPr>
            <w:webHidden/>
          </w:rPr>
          <w:fldChar w:fldCharType="separate"/>
        </w:r>
        <w:r w:rsidR="001B26B5">
          <w:rPr>
            <w:webHidden/>
          </w:rPr>
          <w:t>403</w:t>
        </w:r>
        <w:r>
          <w:rPr>
            <w:webHidden/>
          </w:rPr>
          <w:fldChar w:fldCharType="end"/>
        </w:r>
      </w:hyperlink>
    </w:p>
    <w:p w14:paraId="4D9A52D0"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54" w:history="1">
        <w:r w:rsidRPr="003B1501">
          <w:rPr>
            <w:rStyle w:val="Hipervnculo"/>
          </w:rPr>
          <w:t>950a.1. Definición</w:t>
        </w:r>
        <w:r>
          <w:rPr>
            <w:webHidden/>
          </w:rPr>
          <w:tab/>
        </w:r>
        <w:r>
          <w:rPr>
            <w:webHidden/>
          </w:rPr>
          <w:fldChar w:fldCharType="begin"/>
        </w:r>
        <w:r>
          <w:rPr>
            <w:webHidden/>
          </w:rPr>
          <w:instrText xml:space="preserve"> PAGEREF _Toc404754 \h </w:instrText>
        </w:r>
        <w:r>
          <w:rPr>
            <w:webHidden/>
          </w:rPr>
        </w:r>
        <w:r>
          <w:rPr>
            <w:webHidden/>
          </w:rPr>
          <w:fldChar w:fldCharType="separate"/>
        </w:r>
        <w:r w:rsidR="001B26B5">
          <w:rPr>
            <w:webHidden/>
          </w:rPr>
          <w:t>403</w:t>
        </w:r>
        <w:r>
          <w:rPr>
            <w:webHidden/>
          </w:rPr>
          <w:fldChar w:fldCharType="end"/>
        </w:r>
      </w:hyperlink>
    </w:p>
    <w:p w14:paraId="3467E0DC"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55" w:history="1">
        <w:r w:rsidRPr="003B1501">
          <w:rPr>
            <w:rStyle w:val="Hipervnculo"/>
          </w:rPr>
          <w:t>950a.2. Ejecución de las obras</w:t>
        </w:r>
        <w:r>
          <w:rPr>
            <w:webHidden/>
          </w:rPr>
          <w:tab/>
        </w:r>
        <w:r>
          <w:rPr>
            <w:webHidden/>
          </w:rPr>
          <w:fldChar w:fldCharType="begin"/>
        </w:r>
        <w:r>
          <w:rPr>
            <w:webHidden/>
          </w:rPr>
          <w:instrText xml:space="preserve"> PAGEREF _Toc404755 \h </w:instrText>
        </w:r>
        <w:r>
          <w:rPr>
            <w:webHidden/>
          </w:rPr>
        </w:r>
        <w:r>
          <w:rPr>
            <w:webHidden/>
          </w:rPr>
          <w:fldChar w:fldCharType="separate"/>
        </w:r>
        <w:r w:rsidR="001B26B5">
          <w:rPr>
            <w:webHidden/>
          </w:rPr>
          <w:t>403</w:t>
        </w:r>
        <w:r>
          <w:rPr>
            <w:webHidden/>
          </w:rPr>
          <w:fldChar w:fldCharType="end"/>
        </w:r>
      </w:hyperlink>
    </w:p>
    <w:p w14:paraId="102A35F6"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56" w:history="1">
        <w:r w:rsidRPr="003B1501">
          <w:rPr>
            <w:rStyle w:val="Hipervnculo"/>
          </w:rPr>
          <w:t>950a.3. Medición y abono</w:t>
        </w:r>
        <w:r>
          <w:rPr>
            <w:webHidden/>
          </w:rPr>
          <w:tab/>
        </w:r>
        <w:r>
          <w:rPr>
            <w:webHidden/>
          </w:rPr>
          <w:fldChar w:fldCharType="begin"/>
        </w:r>
        <w:r>
          <w:rPr>
            <w:webHidden/>
          </w:rPr>
          <w:instrText xml:space="preserve"> PAGEREF _Toc404756 \h </w:instrText>
        </w:r>
        <w:r>
          <w:rPr>
            <w:webHidden/>
          </w:rPr>
        </w:r>
        <w:r>
          <w:rPr>
            <w:webHidden/>
          </w:rPr>
          <w:fldChar w:fldCharType="separate"/>
        </w:r>
        <w:r w:rsidR="001B26B5">
          <w:rPr>
            <w:webHidden/>
          </w:rPr>
          <w:t>403</w:t>
        </w:r>
        <w:r>
          <w:rPr>
            <w:webHidden/>
          </w:rPr>
          <w:fldChar w:fldCharType="end"/>
        </w:r>
      </w:hyperlink>
    </w:p>
    <w:p w14:paraId="3E64D045"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57" w:history="1">
        <w:r w:rsidRPr="003B1501">
          <w:rPr>
            <w:rStyle w:val="Hipervnculo"/>
          </w:rPr>
          <w:t>Artículo 950b. Gestión de residuos no peligrosos – Excepto pétreos</w:t>
        </w:r>
        <w:r>
          <w:rPr>
            <w:webHidden/>
          </w:rPr>
          <w:tab/>
        </w:r>
        <w:r>
          <w:rPr>
            <w:webHidden/>
          </w:rPr>
          <w:fldChar w:fldCharType="begin"/>
        </w:r>
        <w:r>
          <w:rPr>
            <w:webHidden/>
          </w:rPr>
          <w:instrText xml:space="preserve"> PAGEREF _Toc404757 \h </w:instrText>
        </w:r>
        <w:r>
          <w:rPr>
            <w:webHidden/>
          </w:rPr>
        </w:r>
        <w:r>
          <w:rPr>
            <w:webHidden/>
          </w:rPr>
          <w:fldChar w:fldCharType="separate"/>
        </w:r>
        <w:r w:rsidR="001B26B5">
          <w:rPr>
            <w:webHidden/>
          </w:rPr>
          <w:t>404</w:t>
        </w:r>
        <w:r>
          <w:rPr>
            <w:webHidden/>
          </w:rPr>
          <w:fldChar w:fldCharType="end"/>
        </w:r>
      </w:hyperlink>
    </w:p>
    <w:p w14:paraId="3C96BFDB"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58" w:history="1">
        <w:r w:rsidRPr="003B1501">
          <w:rPr>
            <w:rStyle w:val="Hipervnculo"/>
          </w:rPr>
          <w:t>950b.1. Definición</w:t>
        </w:r>
        <w:r>
          <w:rPr>
            <w:webHidden/>
          </w:rPr>
          <w:tab/>
        </w:r>
        <w:r>
          <w:rPr>
            <w:webHidden/>
          </w:rPr>
          <w:fldChar w:fldCharType="begin"/>
        </w:r>
        <w:r>
          <w:rPr>
            <w:webHidden/>
          </w:rPr>
          <w:instrText xml:space="preserve"> PAGEREF _Toc404758 \h </w:instrText>
        </w:r>
        <w:r>
          <w:rPr>
            <w:webHidden/>
          </w:rPr>
        </w:r>
        <w:r>
          <w:rPr>
            <w:webHidden/>
          </w:rPr>
          <w:fldChar w:fldCharType="separate"/>
        </w:r>
        <w:r w:rsidR="001B26B5">
          <w:rPr>
            <w:webHidden/>
          </w:rPr>
          <w:t>404</w:t>
        </w:r>
        <w:r>
          <w:rPr>
            <w:webHidden/>
          </w:rPr>
          <w:fldChar w:fldCharType="end"/>
        </w:r>
      </w:hyperlink>
    </w:p>
    <w:p w14:paraId="7E4B17C3"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59" w:history="1">
        <w:r w:rsidRPr="003B1501">
          <w:rPr>
            <w:rStyle w:val="Hipervnculo"/>
          </w:rPr>
          <w:t>950b.2. Ejecución de las obras</w:t>
        </w:r>
        <w:r>
          <w:rPr>
            <w:webHidden/>
          </w:rPr>
          <w:tab/>
        </w:r>
        <w:r>
          <w:rPr>
            <w:webHidden/>
          </w:rPr>
          <w:fldChar w:fldCharType="begin"/>
        </w:r>
        <w:r>
          <w:rPr>
            <w:webHidden/>
          </w:rPr>
          <w:instrText xml:space="preserve"> PAGEREF _Toc404759 \h </w:instrText>
        </w:r>
        <w:r>
          <w:rPr>
            <w:webHidden/>
          </w:rPr>
        </w:r>
        <w:r>
          <w:rPr>
            <w:webHidden/>
          </w:rPr>
          <w:fldChar w:fldCharType="separate"/>
        </w:r>
        <w:r w:rsidR="001B26B5">
          <w:rPr>
            <w:webHidden/>
          </w:rPr>
          <w:t>404</w:t>
        </w:r>
        <w:r>
          <w:rPr>
            <w:webHidden/>
          </w:rPr>
          <w:fldChar w:fldCharType="end"/>
        </w:r>
      </w:hyperlink>
    </w:p>
    <w:p w14:paraId="21DB8090"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60" w:history="1">
        <w:r w:rsidRPr="003B1501">
          <w:rPr>
            <w:rStyle w:val="Hipervnculo"/>
          </w:rPr>
          <w:t>950b.3. Medición y abono</w:t>
        </w:r>
        <w:r>
          <w:rPr>
            <w:webHidden/>
          </w:rPr>
          <w:tab/>
        </w:r>
        <w:r>
          <w:rPr>
            <w:webHidden/>
          </w:rPr>
          <w:fldChar w:fldCharType="begin"/>
        </w:r>
        <w:r>
          <w:rPr>
            <w:webHidden/>
          </w:rPr>
          <w:instrText xml:space="preserve"> PAGEREF _Toc404760 \h </w:instrText>
        </w:r>
        <w:r>
          <w:rPr>
            <w:webHidden/>
          </w:rPr>
        </w:r>
        <w:r>
          <w:rPr>
            <w:webHidden/>
          </w:rPr>
          <w:fldChar w:fldCharType="separate"/>
        </w:r>
        <w:r w:rsidR="001B26B5">
          <w:rPr>
            <w:webHidden/>
          </w:rPr>
          <w:t>404</w:t>
        </w:r>
        <w:r>
          <w:rPr>
            <w:webHidden/>
          </w:rPr>
          <w:fldChar w:fldCharType="end"/>
        </w:r>
      </w:hyperlink>
    </w:p>
    <w:p w14:paraId="7CDFDD5D"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61" w:history="1">
        <w:r w:rsidRPr="003B1501">
          <w:rPr>
            <w:rStyle w:val="Hipervnculo"/>
          </w:rPr>
          <w:t>Artículo 950c. Gestión de residuos no peligrosos – pétreos</w:t>
        </w:r>
        <w:r>
          <w:rPr>
            <w:webHidden/>
          </w:rPr>
          <w:tab/>
        </w:r>
        <w:r>
          <w:rPr>
            <w:webHidden/>
          </w:rPr>
          <w:fldChar w:fldCharType="begin"/>
        </w:r>
        <w:r>
          <w:rPr>
            <w:webHidden/>
          </w:rPr>
          <w:instrText xml:space="preserve"> PAGEREF _Toc404761 \h </w:instrText>
        </w:r>
        <w:r>
          <w:rPr>
            <w:webHidden/>
          </w:rPr>
        </w:r>
        <w:r>
          <w:rPr>
            <w:webHidden/>
          </w:rPr>
          <w:fldChar w:fldCharType="separate"/>
        </w:r>
        <w:r w:rsidR="001B26B5">
          <w:rPr>
            <w:webHidden/>
          </w:rPr>
          <w:t>405</w:t>
        </w:r>
        <w:r>
          <w:rPr>
            <w:webHidden/>
          </w:rPr>
          <w:fldChar w:fldCharType="end"/>
        </w:r>
      </w:hyperlink>
    </w:p>
    <w:p w14:paraId="333C3CCF"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62" w:history="1">
        <w:r w:rsidRPr="003B1501">
          <w:rPr>
            <w:rStyle w:val="Hipervnculo"/>
          </w:rPr>
          <w:t>950c.1. Definición</w:t>
        </w:r>
        <w:r>
          <w:rPr>
            <w:webHidden/>
          </w:rPr>
          <w:tab/>
        </w:r>
        <w:r>
          <w:rPr>
            <w:webHidden/>
          </w:rPr>
          <w:fldChar w:fldCharType="begin"/>
        </w:r>
        <w:r>
          <w:rPr>
            <w:webHidden/>
          </w:rPr>
          <w:instrText xml:space="preserve"> PAGEREF _Toc404762 \h </w:instrText>
        </w:r>
        <w:r>
          <w:rPr>
            <w:webHidden/>
          </w:rPr>
        </w:r>
        <w:r>
          <w:rPr>
            <w:webHidden/>
          </w:rPr>
          <w:fldChar w:fldCharType="separate"/>
        </w:r>
        <w:r w:rsidR="001B26B5">
          <w:rPr>
            <w:webHidden/>
          </w:rPr>
          <w:t>405</w:t>
        </w:r>
        <w:r>
          <w:rPr>
            <w:webHidden/>
          </w:rPr>
          <w:fldChar w:fldCharType="end"/>
        </w:r>
      </w:hyperlink>
    </w:p>
    <w:p w14:paraId="28F5AD23"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63" w:history="1">
        <w:r w:rsidRPr="003B1501">
          <w:rPr>
            <w:rStyle w:val="Hipervnculo"/>
          </w:rPr>
          <w:t>950c.2. Ejecución de las obras</w:t>
        </w:r>
        <w:r>
          <w:rPr>
            <w:webHidden/>
          </w:rPr>
          <w:tab/>
        </w:r>
        <w:r>
          <w:rPr>
            <w:webHidden/>
          </w:rPr>
          <w:fldChar w:fldCharType="begin"/>
        </w:r>
        <w:r>
          <w:rPr>
            <w:webHidden/>
          </w:rPr>
          <w:instrText xml:space="preserve"> PAGEREF _Toc404763 \h </w:instrText>
        </w:r>
        <w:r>
          <w:rPr>
            <w:webHidden/>
          </w:rPr>
        </w:r>
        <w:r>
          <w:rPr>
            <w:webHidden/>
          </w:rPr>
          <w:fldChar w:fldCharType="separate"/>
        </w:r>
        <w:r w:rsidR="001B26B5">
          <w:rPr>
            <w:webHidden/>
          </w:rPr>
          <w:t>405</w:t>
        </w:r>
        <w:r>
          <w:rPr>
            <w:webHidden/>
          </w:rPr>
          <w:fldChar w:fldCharType="end"/>
        </w:r>
      </w:hyperlink>
    </w:p>
    <w:p w14:paraId="73FFECAE"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64" w:history="1">
        <w:r w:rsidRPr="003B1501">
          <w:rPr>
            <w:rStyle w:val="Hipervnculo"/>
          </w:rPr>
          <w:t>950c.3. Medición y abono</w:t>
        </w:r>
        <w:r>
          <w:rPr>
            <w:webHidden/>
          </w:rPr>
          <w:tab/>
        </w:r>
        <w:r>
          <w:rPr>
            <w:webHidden/>
          </w:rPr>
          <w:fldChar w:fldCharType="begin"/>
        </w:r>
        <w:r>
          <w:rPr>
            <w:webHidden/>
          </w:rPr>
          <w:instrText xml:space="preserve"> PAGEREF _Toc404764 \h </w:instrText>
        </w:r>
        <w:r>
          <w:rPr>
            <w:webHidden/>
          </w:rPr>
        </w:r>
        <w:r>
          <w:rPr>
            <w:webHidden/>
          </w:rPr>
          <w:fldChar w:fldCharType="separate"/>
        </w:r>
        <w:r w:rsidR="001B26B5">
          <w:rPr>
            <w:webHidden/>
          </w:rPr>
          <w:t>405</w:t>
        </w:r>
        <w:r>
          <w:rPr>
            <w:webHidden/>
          </w:rPr>
          <w:fldChar w:fldCharType="end"/>
        </w:r>
      </w:hyperlink>
    </w:p>
    <w:p w14:paraId="3C27CEAA"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65" w:history="1">
        <w:r w:rsidRPr="003B1501">
          <w:rPr>
            <w:rStyle w:val="Hipervnculo"/>
          </w:rPr>
          <w:t>Artículo 950d. Canon de gestión de residuos no peligrosos – Excepto pétreos</w:t>
        </w:r>
        <w:r>
          <w:rPr>
            <w:webHidden/>
          </w:rPr>
          <w:tab/>
        </w:r>
        <w:r>
          <w:rPr>
            <w:webHidden/>
          </w:rPr>
          <w:fldChar w:fldCharType="begin"/>
        </w:r>
        <w:r>
          <w:rPr>
            <w:webHidden/>
          </w:rPr>
          <w:instrText xml:space="preserve"> PAGEREF _Toc404765 \h </w:instrText>
        </w:r>
        <w:r>
          <w:rPr>
            <w:webHidden/>
          </w:rPr>
        </w:r>
        <w:r>
          <w:rPr>
            <w:webHidden/>
          </w:rPr>
          <w:fldChar w:fldCharType="separate"/>
        </w:r>
        <w:r w:rsidR="001B26B5">
          <w:rPr>
            <w:webHidden/>
          </w:rPr>
          <w:t>406</w:t>
        </w:r>
        <w:r>
          <w:rPr>
            <w:webHidden/>
          </w:rPr>
          <w:fldChar w:fldCharType="end"/>
        </w:r>
      </w:hyperlink>
    </w:p>
    <w:p w14:paraId="5E30288C"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66" w:history="1">
        <w:r w:rsidRPr="003B1501">
          <w:rPr>
            <w:rStyle w:val="Hipervnculo"/>
          </w:rPr>
          <w:t>950d.1. Definición</w:t>
        </w:r>
        <w:r>
          <w:rPr>
            <w:webHidden/>
          </w:rPr>
          <w:tab/>
        </w:r>
        <w:r>
          <w:rPr>
            <w:webHidden/>
          </w:rPr>
          <w:fldChar w:fldCharType="begin"/>
        </w:r>
        <w:r>
          <w:rPr>
            <w:webHidden/>
          </w:rPr>
          <w:instrText xml:space="preserve"> PAGEREF _Toc404766 \h </w:instrText>
        </w:r>
        <w:r>
          <w:rPr>
            <w:webHidden/>
          </w:rPr>
        </w:r>
        <w:r>
          <w:rPr>
            <w:webHidden/>
          </w:rPr>
          <w:fldChar w:fldCharType="separate"/>
        </w:r>
        <w:r w:rsidR="001B26B5">
          <w:rPr>
            <w:webHidden/>
          </w:rPr>
          <w:t>406</w:t>
        </w:r>
        <w:r>
          <w:rPr>
            <w:webHidden/>
          </w:rPr>
          <w:fldChar w:fldCharType="end"/>
        </w:r>
      </w:hyperlink>
    </w:p>
    <w:p w14:paraId="78906610"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67" w:history="1">
        <w:r w:rsidRPr="003B1501">
          <w:rPr>
            <w:rStyle w:val="Hipervnculo"/>
          </w:rPr>
          <w:t>950d.2. Ejecución de las obras</w:t>
        </w:r>
        <w:r>
          <w:rPr>
            <w:webHidden/>
          </w:rPr>
          <w:tab/>
        </w:r>
        <w:r>
          <w:rPr>
            <w:webHidden/>
          </w:rPr>
          <w:fldChar w:fldCharType="begin"/>
        </w:r>
        <w:r>
          <w:rPr>
            <w:webHidden/>
          </w:rPr>
          <w:instrText xml:space="preserve"> PAGEREF _Toc404767 \h </w:instrText>
        </w:r>
        <w:r>
          <w:rPr>
            <w:webHidden/>
          </w:rPr>
        </w:r>
        <w:r>
          <w:rPr>
            <w:webHidden/>
          </w:rPr>
          <w:fldChar w:fldCharType="separate"/>
        </w:r>
        <w:r w:rsidR="001B26B5">
          <w:rPr>
            <w:webHidden/>
          </w:rPr>
          <w:t>406</w:t>
        </w:r>
        <w:r>
          <w:rPr>
            <w:webHidden/>
          </w:rPr>
          <w:fldChar w:fldCharType="end"/>
        </w:r>
      </w:hyperlink>
    </w:p>
    <w:p w14:paraId="56A86088"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68" w:history="1">
        <w:r w:rsidRPr="003B1501">
          <w:rPr>
            <w:rStyle w:val="Hipervnculo"/>
          </w:rPr>
          <w:t>950d.3. Medición y abono</w:t>
        </w:r>
        <w:r>
          <w:rPr>
            <w:webHidden/>
          </w:rPr>
          <w:tab/>
        </w:r>
        <w:r>
          <w:rPr>
            <w:webHidden/>
          </w:rPr>
          <w:fldChar w:fldCharType="begin"/>
        </w:r>
        <w:r>
          <w:rPr>
            <w:webHidden/>
          </w:rPr>
          <w:instrText xml:space="preserve"> PAGEREF _Toc404768 \h </w:instrText>
        </w:r>
        <w:r>
          <w:rPr>
            <w:webHidden/>
          </w:rPr>
        </w:r>
        <w:r>
          <w:rPr>
            <w:webHidden/>
          </w:rPr>
          <w:fldChar w:fldCharType="separate"/>
        </w:r>
        <w:r w:rsidR="001B26B5">
          <w:rPr>
            <w:webHidden/>
          </w:rPr>
          <w:t>406</w:t>
        </w:r>
        <w:r>
          <w:rPr>
            <w:webHidden/>
          </w:rPr>
          <w:fldChar w:fldCharType="end"/>
        </w:r>
      </w:hyperlink>
    </w:p>
    <w:p w14:paraId="148C30D4"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69" w:history="1">
        <w:r w:rsidRPr="003B1501">
          <w:rPr>
            <w:rStyle w:val="Hipervnculo"/>
          </w:rPr>
          <w:t>Artículo 950e. Canon de gestión de residuos no peligrosos - pétreos</w:t>
        </w:r>
        <w:r>
          <w:rPr>
            <w:webHidden/>
          </w:rPr>
          <w:tab/>
        </w:r>
        <w:r>
          <w:rPr>
            <w:webHidden/>
          </w:rPr>
          <w:fldChar w:fldCharType="begin"/>
        </w:r>
        <w:r>
          <w:rPr>
            <w:webHidden/>
          </w:rPr>
          <w:instrText xml:space="preserve"> PAGEREF _Toc404769 \h </w:instrText>
        </w:r>
        <w:r>
          <w:rPr>
            <w:webHidden/>
          </w:rPr>
        </w:r>
        <w:r>
          <w:rPr>
            <w:webHidden/>
          </w:rPr>
          <w:fldChar w:fldCharType="separate"/>
        </w:r>
        <w:r w:rsidR="001B26B5">
          <w:rPr>
            <w:webHidden/>
          </w:rPr>
          <w:t>407</w:t>
        </w:r>
        <w:r>
          <w:rPr>
            <w:webHidden/>
          </w:rPr>
          <w:fldChar w:fldCharType="end"/>
        </w:r>
      </w:hyperlink>
    </w:p>
    <w:p w14:paraId="6139EC50"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70" w:history="1">
        <w:r w:rsidRPr="003B1501">
          <w:rPr>
            <w:rStyle w:val="Hipervnculo"/>
          </w:rPr>
          <w:t>950e.1. Definición</w:t>
        </w:r>
        <w:r>
          <w:rPr>
            <w:webHidden/>
          </w:rPr>
          <w:tab/>
        </w:r>
        <w:r>
          <w:rPr>
            <w:webHidden/>
          </w:rPr>
          <w:fldChar w:fldCharType="begin"/>
        </w:r>
        <w:r>
          <w:rPr>
            <w:webHidden/>
          </w:rPr>
          <w:instrText xml:space="preserve"> PAGEREF _Toc404770 \h </w:instrText>
        </w:r>
        <w:r>
          <w:rPr>
            <w:webHidden/>
          </w:rPr>
        </w:r>
        <w:r>
          <w:rPr>
            <w:webHidden/>
          </w:rPr>
          <w:fldChar w:fldCharType="separate"/>
        </w:r>
        <w:r w:rsidR="001B26B5">
          <w:rPr>
            <w:webHidden/>
          </w:rPr>
          <w:t>407</w:t>
        </w:r>
        <w:r>
          <w:rPr>
            <w:webHidden/>
          </w:rPr>
          <w:fldChar w:fldCharType="end"/>
        </w:r>
      </w:hyperlink>
    </w:p>
    <w:p w14:paraId="062B94DA"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71" w:history="1">
        <w:r w:rsidRPr="003B1501">
          <w:rPr>
            <w:rStyle w:val="Hipervnculo"/>
          </w:rPr>
          <w:t>950e.2. Ejecución de las obras</w:t>
        </w:r>
        <w:r>
          <w:rPr>
            <w:webHidden/>
          </w:rPr>
          <w:tab/>
        </w:r>
        <w:r>
          <w:rPr>
            <w:webHidden/>
          </w:rPr>
          <w:fldChar w:fldCharType="begin"/>
        </w:r>
        <w:r>
          <w:rPr>
            <w:webHidden/>
          </w:rPr>
          <w:instrText xml:space="preserve"> PAGEREF _Toc404771 \h </w:instrText>
        </w:r>
        <w:r>
          <w:rPr>
            <w:webHidden/>
          </w:rPr>
        </w:r>
        <w:r>
          <w:rPr>
            <w:webHidden/>
          </w:rPr>
          <w:fldChar w:fldCharType="separate"/>
        </w:r>
        <w:r w:rsidR="001B26B5">
          <w:rPr>
            <w:webHidden/>
          </w:rPr>
          <w:t>407</w:t>
        </w:r>
        <w:r>
          <w:rPr>
            <w:webHidden/>
          </w:rPr>
          <w:fldChar w:fldCharType="end"/>
        </w:r>
      </w:hyperlink>
    </w:p>
    <w:p w14:paraId="50FA363A"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72" w:history="1">
        <w:r w:rsidRPr="003B1501">
          <w:rPr>
            <w:rStyle w:val="Hipervnculo"/>
          </w:rPr>
          <w:t>950e.3. Medición y abono</w:t>
        </w:r>
        <w:r>
          <w:rPr>
            <w:webHidden/>
          </w:rPr>
          <w:tab/>
        </w:r>
        <w:r>
          <w:rPr>
            <w:webHidden/>
          </w:rPr>
          <w:fldChar w:fldCharType="begin"/>
        </w:r>
        <w:r>
          <w:rPr>
            <w:webHidden/>
          </w:rPr>
          <w:instrText xml:space="preserve"> PAGEREF _Toc404772 \h </w:instrText>
        </w:r>
        <w:r>
          <w:rPr>
            <w:webHidden/>
          </w:rPr>
        </w:r>
        <w:r>
          <w:rPr>
            <w:webHidden/>
          </w:rPr>
          <w:fldChar w:fldCharType="separate"/>
        </w:r>
        <w:r w:rsidR="001B26B5">
          <w:rPr>
            <w:webHidden/>
          </w:rPr>
          <w:t>407</w:t>
        </w:r>
        <w:r>
          <w:rPr>
            <w:webHidden/>
          </w:rPr>
          <w:fldChar w:fldCharType="end"/>
        </w:r>
      </w:hyperlink>
    </w:p>
    <w:p w14:paraId="29FF3067"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73" w:history="1">
        <w:r w:rsidRPr="003B1501">
          <w:rPr>
            <w:rStyle w:val="Hipervnculo"/>
          </w:rPr>
          <w:t>Artículo 950f. Canon de gestión de residuos peligrosos</w:t>
        </w:r>
        <w:r>
          <w:rPr>
            <w:webHidden/>
          </w:rPr>
          <w:tab/>
        </w:r>
        <w:r>
          <w:rPr>
            <w:webHidden/>
          </w:rPr>
          <w:fldChar w:fldCharType="begin"/>
        </w:r>
        <w:r>
          <w:rPr>
            <w:webHidden/>
          </w:rPr>
          <w:instrText xml:space="preserve"> PAGEREF _Toc404773 \h </w:instrText>
        </w:r>
        <w:r>
          <w:rPr>
            <w:webHidden/>
          </w:rPr>
        </w:r>
        <w:r>
          <w:rPr>
            <w:webHidden/>
          </w:rPr>
          <w:fldChar w:fldCharType="separate"/>
        </w:r>
        <w:r w:rsidR="001B26B5">
          <w:rPr>
            <w:webHidden/>
          </w:rPr>
          <w:t>408</w:t>
        </w:r>
        <w:r>
          <w:rPr>
            <w:webHidden/>
          </w:rPr>
          <w:fldChar w:fldCharType="end"/>
        </w:r>
      </w:hyperlink>
    </w:p>
    <w:p w14:paraId="3DF0B762"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74" w:history="1">
        <w:r w:rsidRPr="003B1501">
          <w:rPr>
            <w:rStyle w:val="Hipervnculo"/>
          </w:rPr>
          <w:t>950f.1. Definición</w:t>
        </w:r>
        <w:r>
          <w:rPr>
            <w:webHidden/>
          </w:rPr>
          <w:tab/>
        </w:r>
        <w:r>
          <w:rPr>
            <w:webHidden/>
          </w:rPr>
          <w:fldChar w:fldCharType="begin"/>
        </w:r>
        <w:r>
          <w:rPr>
            <w:webHidden/>
          </w:rPr>
          <w:instrText xml:space="preserve"> PAGEREF _Toc404774 \h </w:instrText>
        </w:r>
        <w:r>
          <w:rPr>
            <w:webHidden/>
          </w:rPr>
        </w:r>
        <w:r>
          <w:rPr>
            <w:webHidden/>
          </w:rPr>
          <w:fldChar w:fldCharType="separate"/>
        </w:r>
        <w:r w:rsidR="001B26B5">
          <w:rPr>
            <w:webHidden/>
          </w:rPr>
          <w:t>408</w:t>
        </w:r>
        <w:r>
          <w:rPr>
            <w:webHidden/>
          </w:rPr>
          <w:fldChar w:fldCharType="end"/>
        </w:r>
      </w:hyperlink>
    </w:p>
    <w:p w14:paraId="56B80DE1"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75" w:history="1">
        <w:r w:rsidRPr="003B1501">
          <w:rPr>
            <w:rStyle w:val="Hipervnculo"/>
          </w:rPr>
          <w:t>950f.2. Ejecución de las obras</w:t>
        </w:r>
        <w:r>
          <w:rPr>
            <w:webHidden/>
          </w:rPr>
          <w:tab/>
        </w:r>
        <w:r>
          <w:rPr>
            <w:webHidden/>
          </w:rPr>
          <w:fldChar w:fldCharType="begin"/>
        </w:r>
        <w:r>
          <w:rPr>
            <w:webHidden/>
          </w:rPr>
          <w:instrText xml:space="preserve"> PAGEREF _Toc404775 \h </w:instrText>
        </w:r>
        <w:r>
          <w:rPr>
            <w:webHidden/>
          </w:rPr>
        </w:r>
        <w:r>
          <w:rPr>
            <w:webHidden/>
          </w:rPr>
          <w:fldChar w:fldCharType="separate"/>
        </w:r>
        <w:r w:rsidR="001B26B5">
          <w:rPr>
            <w:webHidden/>
          </w:rPr>
          <w:t>408</w:t>
        </w:r>
        <w:r>
          <w:rPr>
            <w:webHidden/>
          </w:rPr>
          <w:fldChar w:fldCharType="end"/>
        </w:r>
      </w:hyperlink>
    </w:p>
    <w:p w14:paraId="6DF9646D"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76" w:history="1">
        <w:r w:rsidRPr="003B1501">
          <w:rPr>
            <w:rStyle w:val="Hipervnculo"/>
          </w:rPr>
          <w:t>950f.3. Medición y abono</w:t>
        </w:r>
        <w:r>
          <w:rPr>
            <w:webHidden/>
          </w:rPr>
          <w:tab/>
        </w:r>
        <w:r>
          <w:rPr>
            <w:webHidden/>
          </w:rPr>
          <w:fldChar w:fldCharType="begin"/>
        </w:r>
        <w:r>
          <w:rPr>
            <w:webHidden/>
          </w:rPr>
          <w:instrText xml:space="preserve"> PAGEREF _Toc404776 \h </w:instrText>
        </w:r>
        <w:r>
          <w:rPr>
            <w:webHidden/>
          </w:rPr>
        </w:r>
        <w:r>
          <w:rPr>
            <w:webHidden/>
          </w:rPr>
          <w:fldChar w:fldCharType="separate"/>
        </w:r>
        <w:r w:rsidR="001B26B5">
          <w:rPr>
            <w:webHidden/>
          </w:rPr>
          <w:t>408</w:t>
        </w:r>
        <w:r>
          <w:rPr>
            <w:webHidden/>
          </w:rPr>
          <w:fldChar w:fldCharType="end"/>
        </w:r>
      </w:hyperlink>
    </w:p>
    <w:p w14:paraId="138E94D3"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77" w:history="1">
        <w:r w:rsidRPr="003B1501">
          <w:rPr>
            <w:rStyle w:val="Hipervnculo"/>
          </w:rPr>
          <w:t>Artículo 951a. Gestion de residuos vegetales</w:t>
        </w:r>
        <w:r>
          <w:rPr>
            <w:webHidden/>
          </w:rPr>
          <w:tab/>
        </w:r>
        <w:r>
          <w:rPr>
            <w:webHidden/>
          </w:rPr>
          <w:fldChar w:fldCharType="begin"/>
        </w:r>
        <w:r>
          <w:rPr>
            <w:webHidden/>
          </w:rPr>
          <w:instrText xml:space="preserve"> PAGEREF _Toc404777 \h </w:instrText>
        </w:r>
        <w:r>
          <w:rPr>
            <w:webHidden/>
          </w:rPr>
        </w:r>
        <w:r>
          <w:rPr>
            <w:webHidden/>
          </w:rPr>
          <w:fldChar w:fldCharType="separate"/>
        </w:r>
        <w:r w:rsidR="001B26B5">
          <w:rPr>
            <w:webHidden/>
          </w:rPr>
          <w:t>409</w:t>
        </w:r>
        <w:r>
          <w:rPr>
            <w:webHidden/>
          </w:rPr>
          <w:fldChar w:fldCharType="end"/>
        </w:r>
      </w:hyperlink>
    </w:p>
    <w:p w14:paraId="5FF0136E"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78" w:history="1">
        <w:r w:rsidRPr="003B1501">
          <w:rPr>
            <w:rStyle w:val="Hipervnculo"/>
          </w:rPr>
          <w:t>951a.1. Definición</w:t>
        </w:r>
        <w:r>
          <w:rPr>
            <w:webHidden/>
          </w:rPr>
          <w:tab/>
        </w:r>
        <w:r>
          <w:rPr>
            <w:webHidden/>
          </w:rPr>
          <w:fldChar w:fldCharType="begin"/>
        </w:r>
        <w:r>
          <w:rPr>
            <w:webHidden/>
          </w:rPr>
          <w:instrText xml:space="preserve"> PAGEREF _Toc404778 \h </w:instrText>
        </w:r>
        <w:r>
          <w:rPr>
            <w:webHidden/>
          </w:rPr>
        </w:r>
        <w:r>
          <w:rPr>
            <w:webHidden/>
          </w:rPr>
          <w:fldChar w:fldCharType="separate"/>
        </w:r>
        <w:r w:rsidR="001B26B5">
          <w:rPr>
            <w:webHidden/>
          </w:rPr>
          <w:t>409</w:t>
        </w:r>
        <w:r>
          <w:rPr>
            <w:webHidden/>
          </w:rPr>
          <w:fldChar w:fldCharType="end"/>
        </w:r>
      </w:hyperlink>
    </w:p>
    <w:p w14:paraId="18264652"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79" w:history="1">
        <w:r w:rsidRPr="003B1501">
          <w:rPr>
            <w:rStyle w:val="Hipervnculo"/>
          </w:rPr>
          <w:t>951a.2. Ejecución de las obras</w:t>
        </w:r>
        <w:r>
          <w:rPr>
            <w:webHidden/>
          </w:rPr>
          <w:tab/>
        </w:r>
        <w:r>
          <w:rPr>
            <w:webHidden/>
          </w:rPr>
          <w:fldChar w:fldCharType="begin"/>
        </w:r>
        <w:r>
          <w:rPr>
            <w:webHidden/>
          </w:rPr>
          <w:instrText xml:space="preserve"> PAGEREF _Toc404779 \h </w:instrText>
        </w:r>
        <w:r>
          <w:rPr>
            <w:webHidden/>
          </w:rPr>
        </w:r>
        <w:r>
          <w:rPr>
            <w:webHidden/>
          </w:rPr>
          <w:fldChar w:fldCharType="separate"/>
        </w:r>
        <w:r w:rsidR="001B26B5">
          <w:rPr>
            <w:webHidden/>
          </w:rPr>
          <w:t>409</w:t>
        </w:r>
        <w:r>
          <w:rPr>
            <w:webHidden/>
          </w:rPr>
          <w:fldChar w:fldCharType="end"/>
        </w:r>
      </w:hyperlink>
    </w:p>
    <w:p w14:paraId="0F6465B9"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80" w:history="1">
        <w:r w:rsidRPr="003B1501">
          <w:rPr>
            <w:rStyle w:val="Hipervnculo"/>
          </w:rPr>
          <w:t>951a.3. Medición y abono</w:t>
        </w:r>
        <w:r>
          <w:rPr>
            <w:webHidden/>
          </w:rPr>
          <w:tab/>
        </w:r>
        <w:r>
          <w:rPr>
            <w:webHidden/>
          </w:rPr>
          <w:fldChar w:fldCharType="begin"/>
        </w:r>
        <w:r>
          <w:rPr>
            <w:webHidden/>
          </w:rPr>
          <w:instrText xml:space="preserve"> PAGEREF _Toc404780 \h </w:instrText>
        </w:r>
        <w:r>
          <w:rPr>
            <w:webHidden/>
          </w:rPr>
        </w:r>
        <w:r>
          <w:rPr>
            <w:webHidden/>
          </w:rPr>
          <w:fldChar w:fldCharType="separate"/>
        </w:r>
        <w:r w:rsidR="001B26B5">
          <w:rPr>
            <w:webHidden/>
          </w:rPr>
          <w:t>409</w:t>
        </w:r>
        <w:r>
          <w:rPr>
            <w:webHidden/>
          </w:rPr>
          <w:fldChar w:fldCharType="end"/>
        </w:r>
      </w:hyperlink>
    </w:p>
    <w:p w14:paraId="199F2AF3"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81" w:history="1">
        <w:r w:rsidRPr="003B1501">
          <w:rPr>
            <w:rStyle w:val="Hipervnculo"/>
          </w:rPr>
          <w:t>Artículo 951b. Canon de vertido de excedentes de excavación</w:t>
        </w:r>
        <w:r>
          <w:rPr>
            <w:webHidden/>
          </w:rPr>
          <w:tab/>
        </w:r>
        <w:r>
          <w:rPr>
            <w:webHidden/>
          </w:rPr>
          <w:fldChar w:fldCharType="begin"/>
        </w:r>
        <w:r>
          <w:rPr>
            <w:webHidden/>
          </w:rPr>
          <w:instrText xml:space="preserve"> PAGEREF _Toc404781 \h </w:instrText>
        </w:r>
        <w:r>
          <w:rPr>
            <w:webHidden/>
          </w:rPr>
        </w:r>
        <w:r>
          <w:rPr>
            <w:webHidden/>
          </w:rPr>
          <w:fldChar w:fldCharType="separate"/>
        </w:r>
        <w:r w:rsidR="001B26B5">
          <w:rPr>
            <w:webHidden/>
          </w:rPr>
          <w:t>410</w:t>
        </w:r>
        <w:r>
          <w:rPr>
            <w:webHidden/>
          </w:rPr>
          <w:fldChar w:fldCharType="end"/>
        </w:r>
      </w:hyperlink>
    </w:p>
    <w:p w14:paraId="0A3F5D5C"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82" w:history="1">
        <w:r w:rsidRPr="003B1501">
          <w:rPr>
            <w:rStyle w:val="Hipervnculo"/>
          </w:rPr>
          <w:t>951b.1. Definición</w:t>
        </w:r>
        <w:r>
          <w:rPr>
            <w:webHidden/>
          </w:rPr>
          <w:tab/>
        </w:r>
        <w:r>
          <w:rPr>
            <w:webHidden/>
          </w:rPr>
          <w:fldChar w:fldCharType="begin"/>
        </w:r>
        <w:r>
          <w:rPr>
            <w:webHidden/>
          </w:rPr>
          <w:instrText xml:space="preserve"> PAGEREF _Toc404782 \h </w:instrText>
        </w:r>
        <w:r>
          <w:rPr>
            <w:webHidden/>
          </w:rPr>
        </w:r>
        <w:r>
          <w:rPr>
            <w:webHidden/>
          </w:rPr>
          <w:fldChar w:fldCharType="separate"/>
        </w:r>
        <w:r w:rsidR="001B26B5">
          <w:rPr>
            <w:webHidden/>
          </w:rPr>
          <w:t>410</w:t>
        </w:r>
        <w:r>
          <w:rPr>
            <w:webHidden/>
          </w:rPr>
          <w:fldChar w:fldCharType="end"/>
        </w:r>
      </w:hyperlink>
    </w:p>
    <w:p w14:paraId="3BED44ED"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83" w:history="1">
        <w:r w:rsidRPr="003B1501">
          <w:rPr>
            <w:rStyle w:val="Hipervnculo"/>
          </w:rPr>
          <w:t>951b.2. Ejecución de las obras</w:t>
        </w:r>
        <w:r>
          <w:rPr>
            <w:webHidden/>
          </w:rPr>
          <w:tab/>
        </w:r>
        <w:r>
          <w:rPr>
            <w:webHidden/>
          </w:rPr>
          <w:fldChar w:fldCharType="begin"/>
        </w:r>
        <w:r>
          <w:rPr>
            <w:webHidden/>
          </w:rPr>
          <w:instrText xml:space="preserve"> PAGEREF _Toc404783 \h </w:instrText>
        </w:r>
        <w:r>
          <w:rPr>
            <w:webHidden/>
          </w:rPr>
        </w:r>
        <w:r>
          <w:rPr>
            <w:webHidden/>
          </w:rPr>
          <w:fldChar w:fldCharType="separate"/>
        </w:r>
        <w:r w:rsidR="001B26B5">
          <w:rPr>
            <w:webHidden/>
          </w:rPr>
          <w:t>410</w:t>
        </w:r>
        <w:r>
          <w:rPr>
            <w:webHidden/>
          </w:rPr>
          <w:fldChar w:fldCharType="end"/>
        </w:r>
      </w:hyperlink>
    </w:p>
    <w:p w14:paraId="1879FBE9"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84" w:history="1">
        <w:r w:rsidRPr="003B1501">
          <w:rPr>
            <w:rStyle w:val="Hipervnculo"/>
          </w:rPr>
          <w:t>951b.3. Medición y abono</w:t>
        </w:r>
        <w:r>
          <w:rPr>
            <w:webHidden/>
          </w:rPr>
          <w:tab/>
        </w:r>
        <w:r>
          <w:rPr>
            <w:webHidden/>
          </w:rPr>
          <w:fldChar w:fldCharType="begin"/>
        </w:r>
        <w:r>
          <w:rPr>
            <w:webHidden/>
          </w:rPr>
          <w:instrText xml:space="preserve"> PAGEREF _Toc404784 \h </w:instrText>
        </w:r>
        <w:r>
          <w:rPr>
            <w:webHidden/>
          </w:rPr>
        </w:r>
        <w:r>
          <w:rPr>
            <w:webHidden/>
          </w:rPr>
          <w:fldChar w:fldCharType="separate"/>
        </w:r>
        <w:r w:rsidR="001B26B5">
          <w:rPr>
            <w:webHidden/>
          </w:rPr>
          <w:t>410</w:t>
        </w:r>
        <w:r>
          <w:rPr>
            <w:webHidden/>
          </w:rPr>
          <w:fldChar w:fldCharType="end"/>
        </w:r>
      </w:hyperlink>
    </w:p>
    <w:p w14:paraId="1AC1DBE2"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85" w:history="1">
        <w:r w:rsidRPr="003B1501">
          <w:rPr>
            <w:rStyle w:val="Hipervnculo"/>
          </w:rPr>
          <w:t>Artículo 951c. Canon de entrega a planta</w:t>
        </w:r>
        <w:r>
          <w:rPr>
            <w:webHidden/>
          </w:rPr>
          <w:tab/>
        </w:r>
        <w:r>
          <w:rPr>
            <w:webHidden/>
          </w:rPr>
          <w:fldChar w:fldCharType="begin"/>
        </w:r>
        <w:r>
          <w:rPr>
            <w:webHidden/>
          </w:rPr>
          <w:instrText xml:space="preserve"> PAGEREF _Toc404785 \h </w:instrText>
        </w:r>
        <w:r>
          <w:rPr>
            <w:webHidden/>
          </w:rPr>
        </w:r>
        <w:r>
          <w:rPr>
            <w:webHidden/>
          </w:rPr>
          <w:fldChar w:fldCharType="separate"/>
        </w:r>
        <w:r w:rsidR="001B26B5">
          <w:rPr>
            <w:webHidden/>
          </w:rPr>
          <w:t>410</w:t>
        </w:r>
        <w:r>
          <w:rPr>
            <w:webHidden/>
          </w:rPr>
          <w:fldChar w:fldCharType="end"/>
        </w:r>
      </w:hyperlink>
    </w:p>
    <w:p w14:paraId="1A1D3676"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86" w:history="1">
        <w:r w:rsidRPr="003B1501">
          <w:rPr>
            <w:rStyle w:val="Hipervnculo"/>
          </w:rPr>
          <w:t>951c.1. Definición y aplicación</w:t>
        </w:r>
        <w:r>
          <w:rPr>
            <w:webHidden/>
          </w:rPr>
          <w:tab/>
        </w:r>
        <w:r>
          <w:rPr>
            <w:webHidden/>
          </w:rPr>
          <w:fldChar w:fldCharType="begin"/>
        </w:r>
        <w:r>
          <w:rPr>
            <w:webHidden/>
          </w:rPr>
          <w:instrText xml:space="preserve"> PAGEREF _Toc404786 \h </w:instrText>
        </w:r>
        <w:r>
          <w:rPr>
            <w:webHidden/>
          </w:rPr>
        </w:r>
        <w:r>
          <w:rPr>
            <w:webHidden/>
          </w:rPr>
          <w:fldChar w:fldCharType="separate"/>
        </w:r>
        <w:r w:rsidR="001B26B5">
          <w:rPr>
            <w:webHidden/>
          </w:rPr>
          <w:t>410</w:t>
        </w:r>
        <w:r>
          <w:rPr>
            <w:webHidden/>
          </w:rPr>
          <w:fldChar w:fldCharType="end"/>
        </w:r>
      </w:hyperlink>
    </w:p>
    <w:p w14:paraId="6DBEF9AC"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87" w:history="1">
        <w:r w:rsidRPr="003B1501">
          <w:rPr>
            <w:rStyle w:val="Hipervnculo"/>
          </w:rPr>
          <w:t>951c.2. Ejecución de las obras</w:t>
        </w:r>
        <w:r>
          <w:rPr>
            <w:webHidden/>
          </w:rPr>
          <w:tab/>
        </w:r>
        <w:r>
          <w:rPr>
            <w:webHidden/>
          </w:rPr>
          <w:fldChar w:fldCharType="begin"/>
        </w:r>
        <w:r>
          <w:rPr>
            <w:webHidden/>
          </w:rPr>
          <w:instrText xml:space="preserve"> PAGEREF _Toc404787 \h </w:instrText>
        </w:r>
        <w:r>
          <w:rPr>
            <w:webHidden/>
          </w:rPr>
        </w:r>
        <w:r>
          <w:rPr>
            <w:webHidden/>
          </w:rPr>
          <w:fldChar w:fldCharType="separate"/>
        </w:r>
        <w:r w:rsidR="001B26B5">
          <w:rPr>
            <w:webHidden/>
          </w:rPr>
          <w:t>410</w:t>
        </w:r>
        <w:r>
          <w:rPr>
            <w:webHidden/>
          </w:rPr>
          <w:fldChar w:fldCharType="end"/>
        </w:r>
      </w:hyperlink>
    </w:p>
    <w:p w14:paraId="527D2D26"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88" w:history="1">
        <w:r w:rsidRPr="003B1501">
          <w:rPr>
            <w:rStyle w:val="Hipervnculo"/>
          </w:rPr>
          <w:t>951c.3. Medición y abono</w:t>
        </w:r>
        <w:r>
          <w:rPr>
            <w:webHidden/>
          </w:rPr>
          <w:tab/>
        </w:r>
        <w:r>
          <w:rPr>
            <w:webHidden/>
          </w:rPr>
          <w:fldChar w:fldCharType="begin"/>
        </w:r>
        <w:r>
          <w:rPr>
            <w:webHidden/>
          </w:rPr>
          <w:instrText xml:space="preserve"> PAGEREF _Toc404788 \h </w:instrText>
        </w:r>
        <w:r>
          <w:rPr>
            <w:webHidden/>
          </w:rPr>
        </w:r>
        <w:r>
          <w:rPr>
            <w:webHidden/>
          </w:rPr>
          <w:fldChar w:fldCharType="separate"/>
        </w:r>
        <w:r w:rsidR="001B26B5">
          <w:rPr>
            <w:webHidden/>
          </w:rPr>
          <w:t>410</w:t>
        </w:r>
        <w:r>
          <w:rPr>
            <w:webHidden/>
          </w:rPr>
          <w:fldChar w:fldCharType="end"/>
        </w:r>
      </w:hyperlink>
    </w:p>
    <w:p w14:paraId="2739F9C6"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89" w:history="1">
        <w:r w:rsidRPr="003B1501">
          <w:rPr>
            <w:rStyle w:val="Hipervnculo"/>
          </w:rPr>
          <w:t>Artículo 952. Jalonamiento</w:t>
        </w:r>
        <w:r>
          <w:rPr>
            <w:webHidden/>
          </w:rPr>
          <w:tab/>
        </w:r>
        <w:r>
          <w:rPr>
            <w:webHidden/>
          </w:rPr>
          <w:fldChar w:fldCharType="begin"/>
        </w:r>
        <w:r>
          <w:rPr>
            <w:webHidden/>
          </w:rPr>
          <w:instrText xml:space="preserve"> PAGEREF _Toc404789 \h </w:instrText>
        </w:r>
        <w:r>
          <w:rPr>
            <w:webHidden/>
          </w:rPr>
        </w:r>
        <w:r>
          <w:rPr>
            <w:webHidden/>
          </w:rPr>
          <w:fldChar w:fldCharType="separate"/>
        </w:r>
        <w:r w:rsidR="001B26B5">
          <w:rPr>
            <w:webHidden/>
          </w:rPr>
          <w:t>411</w:t>
        </w:r>
        <w:r>
          <w:rPr>
            <w:webHidden/>
          </w:rPr>
          <w:fldChar w:fldCharType="end"/>
        </w:r>
      </w:hyperlink>
    </w:p>
    <w:p w14:paraId="762FFB24"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90" w:history="1">
        <w:r w:rsidRPr="003B1501">
          <w:rPr>
            <w:rStyle w:val="Hipervnculo"/>
          </w:rPr>
          <w:t>952.1. Definición y aplicación</w:t>
        </w:r>
        <w:r>
          <w:rPr>
            <w:webHidden/>
          </w:rPr>
          <w:tab/>
        </w:r>
        <w:r>
          <w:rPr>
            <w:webHidden/>
          </w:rPr>
          <w:fldChar w:fldCharType="begin"/>
        </w:r>
        <w:r>
          <w:rPr>
            <w:webHidden/>
          </w:rPr>
          <w:instrText xml:space="preserve"> PAGEREF _Toc404790 \h </w:instrText>
        </w:r>
        <w:r>
          <w:rPr>
            <w:webHidden/>
          </w:rPr>
        </w:r>
        <w:r>
          <w:rPr>
            <w:webHidden/>
          </w:rPr>
          <w:fldChar w:fldCharType="separate"/>
        </w:r>
        <w:r w:rsidR="001B26B5">
          <w:rPr>
            <w:webHidden/>
          </w:rPr>
          <w:t>411</w:t>
        </w:r>
        <w:r>
          <w:rPr>
            <w:webHidden/>
          </w:rPr>
          <w:fldChar w:fldCharType="end"/>
        </w:r>
      </w:hyperlink>
    </w:p>
    <w:p w14:paraId="29C28898"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91" w:history="1">
        <w:r w:rsidRPr="003B1501">
          <w:rPr>
            <w:rStyle w:val="Hipervnculo"/>
          </w:rPr>
          <w:t>952.2. Recepción de las obras</w:t>
        </w:r>
        <w:r>
          <w:rPr>
            <w:webHidden/>
          </w:rPr>
          <w:tab/>
        </w:r>
        <w:r>
          <w:rPr>
            <w:webHidden/>
          </w:rPr>
          <w:fldChar w:fldCharType="begin"/>
        </w:r>
        <w:r>
          <w:rPr>
            <w:webHidden/>
          </w:rPr>
          <w:instrText xml:space="preserve"> PAGEREF _Toc404791 \h </w:instrText>
        </w:r>
        <w:r>
          <w:rPr>
            <w:webHidden/>
          </w:rPr>
        </w:r>
        <w:r>
          <w:rPr>
            <w:webHidden/>
          </w:rPr>
          <w:fldChar w:fldCharType="separate"/>
        </w:r>
        <w:r w:rsidR="001B26B5">
          <w:rPr>
            <w:webHidden/>
          </w:rPr>
          <w:t>411</w:t>
        </w:r>
        <w:r>
          <w:rPr>
            <w:webHidden/>
          </w:rPr>
          <w:fldChar w:fldCharType="end"/>
        </w:r>
      </w:hyperlink>
    </w:p>
    <w:p w14:paraId="26FEF414"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92" w:history="1">
        <w:r w:rsidRPr="003B1501">
          <w:rPr>
            <w:rStyle w:val="Hipervnculo"/>
          </w:rPr>
          <w:t>952.3. Control de calidad</w:t>
        </w:r>
        <w:r>
          <w:rPr>
            <w:webHidden/>
          </w:rPr>
          <w:tab/>
        </w:r>
        <w:r>
          <w:rPr>
            <w:webHidden/>
          </w:rPr>
          <w:fldChar w:fldCharType="begin"/>
        </w:r>
        <w:r>
          <w:rPr>
            <w:webHidden/>
          </w:rPr>
          <w:instrText xml:space="preserve"> PAGEREF _Toc404792 \h </w:instrText>
        </w:r>
        <w:r>
          <w:rPr>
            <w:webHidden/>
          </w:rPr>
        </w:r>
        <w:r>
          <w:rPr>
            <w:webHidden/>
          </w:rPr>
          <w:fldChar w:fldCharType="separate"/>
        </w:r>
        <w:r w:rsidR="001B26B5">
          <w:rPr>
            <w:webHidden/>
          </w:rPr>
          <w:t>411</w:t>
        </w:r>
        <w:r>
          <w:rPr>
            <w:webHidden/>
          </w:rPr>
          <w:fldChar w:fldCharType="end"/>
        </w:r>
      </w:hyperlink>
    </w:p>
    <w:p w14:paraId="1DE67A56"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93" w:history="1">
        <w:r w:rsidRPr="003B1501">
          <w:rPr>
            <w:rStyle w:val="Hipervnculo"/>
          </w:rPr>
          <w:t>952.4. Medición y abono</w:t>
        </w:r>
        <w:r>
          <w:rPr>
            <w:webHidden/>
          </w:rPr>
          <w:tab/>
        </w:r>
        <w:r>
          <w:rPr>
            <w:webHidden/>
          </w:rPr>
          <w:fldChar w:fldCharType="begin"/>
        </w:r>
        <w:r>
          <w:rPr>
            <w:webHidden/>
          </w:rPr>
          <w:instrText xml:space="preserve"> PAGEREF _Toc404793 \h </w:instrText>
        </w:r>
        <w:r>
          <w:rPr>
            <w:webHidden/>
          </w:rPr>
        </w:r>
        <w:r>
          <w:rPr>
            <w:webHidden/>
          </w:rPr>
          <w:fldChar w:fldCharType="separate"/>
        </w:r>
        <w:r w:rsidR="001B26B5">
          <w:rPr>
            <w:webHidden/>
          </w:rPr>
          <w:t>411</w:t>
        </w:r>
        <w:r>
          <w:rPr>
            <w:webHidden/>
          </w:rPr>
          <w:fldChar w:fldCharType="end"/>
        </w:r>
      </w:hyperlink>
    </w:p>
    <w:p w14:paraId="2DEFEB44"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794" w:history="1">
        <w:r w:rsidRPr="003B1501">
          <w:rPr>
            <w:rStyle w:val="Hipervnculo"/>
          </w:rPr>
          <w:t>Artículo 953. Protección de taludes</w:t>
        </w:r>
        <w:r>
          <w:rPr>
            <w:webHidden/>
          </w:rPr>
          <w:tab/>
        </w:r>
        <w:r>
          <w:rPr>
            <w:webHidden/>
          </w:rPr>
          <w:fldChar w:fldCharType="begin"/>
        </w:r>
        <w:r>
          <w:rPr>
            <w:webHidden/>
          </w:rPr>
          <w:instrText xml:space="preserve"> PAGEREF _Toc404794 \h </w:instrText>
        </w:r>
        <w:r>
          <w:rPr>
            <w:webHidden/>
          </w:rPr>
        </w:r>
        <w:r>
          <w:rPr>
            <w:webHidden/>
          </w:rPr>
          <w:fldChar w:fldCharType="separate"/>
        </w:r>
        <w:r w:rsidR="001B26B5">
          <w:rPr>
            <w:webHidden/>
          </w:rPr>
          <w:t>412</w:t>
        </w:r>
        <w:r>
          <w:rPr>
            <w:webHidden/>
          </w:rPr>
          <w:fldChar w:fldCharType="end"/>
        </w:r>
      </w:hyperlink>
    </w:p>
    <w:p w14:paraId="6821681E"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95" w:history="1">
        <w:r w:rsidRPr="003B1501">
          <w:rPr>
            <w:rStyle w:val="Hipervnculo"/>
          </w:rPr>
          <w:t>953.1. Definición y aplicación</w:t>
        </w:r>
        <w:r>
          <w:rPr>
            <w:webHidden/>
          </w:rPr>
          <w:tab/>
        </w:r>
        <w:r>
          <w:rPr>
            <w:webHidden/>
          </w:rPr>
          <w:fldChar w:fldCharType="begin"/>
        </w:r>
        <w:r>
          <w:rPr>
            <w:webHidden/>
          </w:rPr>
          <w:instrText xml:space="preserve"> PAGEREF _Toc404795 \h </w:instrText>
        </w:r>
        <w:r>
          <w:rPr>
            <w:webHidden/>
          </w:rPr>
        </w:r>
        <w:r>
          <w:rPr>
            <w:webHidden/>
          </w:rPr>
          <w:fldChar w:fldCharType="separate"/>
        </w:r>
        <w:r w:rsidR="001B26B5">
          <w:rPr>
            <w:webHidden/>
          </w:rPr>
          <w:t>412</w:t>
        </w:r>
        <w:r>
          <w:rPr>
            <w:webHidden/>
          </w:rPr>
          <w:fldChar w:fldCharType="end"/>
        </w:r>
      </w:hyperlink>
    </w:p>
    <w:p w14:paraId="64A42DA0"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96" w:history="1">
        <w:r w:rsidRPr="003B1501">
          <w:rPr>
            <w:rStyle w:val="Hipervnculo"/>
          </w:rPr>
          <w:t>953.2. Descripción de materiales</w:t>
        </w:r>
        <w:r>
          <w:rPr>
            <w:webHidden/>
          </w:rPr>
          <w:tab/>
        </w:r>
        <w:r>
          <w:rPr>
            <w:webHidden/>
          </w:rPr>
          <w:fldChar w:fldCharType="begin"/>
        </w:r>
        <w:r>
          <w:rPr>
            <w:webHidden/>
          </w:rPr>
          <w:instrText xml:space="preserve"> PAGEREF _Toc404796 \h </w:instrText>
        </w:r>
        <w:r>
          <w:rPr>
            <w:webHidden/>
          </w:rPr>
        </w:r>
        <w:r>
          <w:rPr>
            <w:webHidden/>
          </w:rPr>
          <w:fldChar w:fldCharType="separate"/>
        </w:r>
        <w:r w:rsidR="001B26B5">
          <w:rPr>
            <w:webHidden/>
          </w:rPr>
          <w:t>412</w:t>
        </w:r>
        <w:r>
          <w:rPr>
            <w:webHidden/>
          </w:rPr>
          <w:fldChar w:fldCharType="end"/>
        </w:r>
      </w:hyperlink>
    </w:p>
    <w:p w14:paraId="09772E17"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97" w:history="1">
        <w:r w:rsidRPr="003B1501">
          <w:rPr>
            <w:rStyle w:val="Hipervnculo"/>
          </w:rPr>
          <w:t>953.3. Recepción de las obras</w:t>
        </w:r>
        <w:r>
          <w:rPr>
            <w:webHidden/>
          </w:rPr>
          <w:tab/>
        </w:r>
        <w:r>
          <w:rPr>
            <w:webHidden/>
          </w:rPr>
          <w:fldChar w:fldCharType="begin"/>
        </w:r>
        <w:r>
          <w:rPr>
            <w:webHidden/>
          </w:rPr>
          <w:instrText xml:space="preserve"> PAGEREF _Toc404797 \h </w:instrText>
        </w:r>
        <w:r>
          <w:rPr>
            <w:webHidden/>
          </w:rPr>
        </w:r>
        <w:r>
          <w:rPr>
            <w:webHidden/>
          </w:rPr>
          <w:fldChar w:fldCharType="separate"/>
        </w:r>
        <w:r w:rsidR="001B26B5">
          <w:rPr>
            <w:webHidden/>
          </w:rPr>
          <w:t>412</w:t>
        </w:r>
        <w:r>
          <w:rPr>
            <w:webHidden/>
          </w:rPr>
          <w:fldChar w:fldCharType="end"/>
        </w:r>
      </w:hyperlink>
    </w:p>
    <w:p w14:paraId="3C2FEF77"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98" w:history="1">
        <w:r w:rsidRPr="003B1501">
          <w:rPr>
            <w:rStyle w:val="Hipervnculo"/>
          </w:rPr>
          <w:t>953.4. Control de calidad</w:t>
        </w:r>
        <w:r>
          <w:rPr>
            <w:webHidden/>
          </w:rPr>
          <w:tab/>
        </w:r>
        <w:r>
          <w:rPr>
            <w:webHidden/>
          </w:rPr>
          <w:fldChar w:fldCharType="begin"/>
        </w:r>
        <w:r>
          <w:rPr>
            <w:webHidden/>
          </w:rPr>
          <w:instrText xml:space="preserve"> PAGEREF _Toc404798 \h </w:instrText>
        </w:r>
        <w:r>
          <w:rPr>
            <w:webHidden/>
          </w:rPr>
        </w:r>
        <w:r>
          <w:rPr>
            <w:webHidden/>
          </w:rPr>
          <w:fldChar w:fldCharType="separate"/>
        </w:r>
        <w:r w:rsidR="001B26B5">
          <w:rPr>
            <w:webHidden/>
          </w:rPr>
          <w:t>412</w:t>
        </w:r>
        <w:r>
          <w:rPr>
            <w:webHidden/>
          </w:rPr>
          <w:fldChar w:fldCharType="end"/>
        </w:r>
      </w:hyperlink>
    </w:p>
    <w:p w14:paraId="16026A2C"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799" w:history="1">
        <w:r w:rsidRPr="003B1501">
          <w:rPr>
            <w:rStyle w:val="Hipervnculo"/>
          </w:rPr>
          <w:t>953.5. Medición y abono</w:t>
        </w:r>
        <w:r>
          <w:rPr>
            <w:webHidden/>
          </w:rPr>
          <w:tab/>
        </w:r>
        <w:r>
          <w:rPr>
            <w:webHidden/>
          </w:rPr>
          <w:fldChar w:fldCharType="begin"/>
        </w:r>
        <w:r>
          <w:rPr>
            <w:webHidden/>
          </w:rPr>
          <w:instrText xml:space="preserve"> PAGEREF _Toc404799 \h </w:instrText>
        </w:r>
        <w:r>
          <w:rPr>
            <w:webHidden/>
          </w:rPr>
        </w:r>
        <w:r>
          <w:rPr>
            <w:webHidden/>
          </w:rPr>
          <w:fldChar w:fldCharType="separate"/>
        </w:r>
        <w:r w:rsidR="001B26B5">
          <w:rPr>
            <w:webHidden/>
          </w:rPr>
          <w:t>412</w:t>
        </w:r>
        <w:r>
          <w:rPr>
            <w:webHidden/>
          </w:rPr>
          <w:fldChar w:fldCharType="end"/>
        </w:r>
      </w:hyperlink>
    </w:p>
    <w:p w14:paraId="75AFC777"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800" w:history="1">
        <w:r w:rsidRPr="003B1501">
          <w:rPr>
            <w:rStyle w:val="Hipervnculo"/>
          </w:rPr>
          <w:t>Artículo 954. Bancadas secas</w:t>
        </w:r>
        <w:r>
          <w:rPr>
            <w:webHidden/>
          </w:rPr>
          <w:tab/>
        </w:r>
        <w:r>
          <w:rPr>
            <w:webHidden/>
          </w:rPr>
          <w:fldChar w:fldCharType="begin"/>
        </w:r>
        <w:r>
          <w:rPr>
            <w:webHidden/>
          </w:rPr>
          <w:instrText xml:space="preserve"> PAGEREF _Toc404800 \h </w:instrText>
        </w:r>
        <w:r>
          <w:rPr>
            <w:webHidden/>
          </w:rPr>
        </w:r>
        <w:r>
          <w:rPr>
            <w:webHidden/>
          </w:rPr>
          <w:fldChar w:fldCharType="separate"/>
        </w:r>
        <w:r w:rsidR="001B26B5">
          <w:rPr>
            <w:webHidden/>
          </w:rPr>
          <w:t>413</w:t>
        </w:r>
        <w:r>
          <w:rPr>
            <w:webHidden/>
          </w:rPr>
          <w:fldChar w:fldCharType="end"/>
        </w:r>
      </w:hyperlink>
    </w:p>
    <w:p w14:paraId="738403E2"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01" w:history="1">
        <w:r w:rsidRPr="003B1501">
          <w:rPr>
            <w:rStyle w:val="Hipervnculo"/>
          </w:rPr>
          <w:t>954.1. Aplicación</w:t>
        </w:r>
        <w:r>
          <w:rPr>
            <w:webHidden/>
          </w:rPr>
          <w:tab/>
        </w:r>
        <w:r>
          <w:rPr>
            <w:webHidden/>
          </w:rPr>
          <w:fldChar w:fldCharType="begin"/>
        </w:r>
        <w:r>
          <w:rPr>
            <w:webHidden/>
          </w:rPr>
          <w:instrText xml:space="preserve"> PAGEREF _Toc404801 \h </w:instrText>
        </w:r>
        <w:r>
          <w:rPr>
            <w:webHidden/>
          </w:rPr>
        </w:r>
        <w:r>
          <w:rPr>
            <w:webHidden/>
          </w:rPr>
          <w:fldChar w:fldCharType="separate"/>
        </w:r>
        <w:r w:rsidR="001B26B5">
          <w:rPr>
            <w:webHidden/>
          </w:rPr>
          <w:t>413</w:t>
        </w:r>
        <w:r>
          <w:rPr>
            <w:webHidden/>
          </w:rPr>
          <w:fldChar w:fldCharType="end"/>
        </w:r>
      </w:hyperlink>
    </w:p>
    <w:p w14:paraId="2A95E56C"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02" w:history="1">
        <w:r w:rsidRPr="003B1501">
          <w:rPr>
            <w:rStyle w:val="Hipervnculo"/>
          </w:rPr>
          <w:t>954.2. Materiales</w:t>
        </w:r>
        <w:r>
          <w:rPr>
            <w:webHidden/>
          </w:rPr>
          <w:tab/>
        </w:r>
        <w:r>
          <w:rPr>
            <w:webHidden/>
          </w:rPr>
          <w:fldChar w:fldCharType="begin"/>
        </w:r>
        <w:r>
          <w:rPr>
            <w:webHidden/>
          </w:rPr>
          <w:instrText xml:space="preserve"> PAGEREF _Toc404802 \h </w:instrText>
        </w:r>
        <w:r>
          <w:rPr>
            <w:webHidden/>
          </w:rPr>
        </w:r>
        <w:r>
          <w:rPr>
            <w:webHidden/>
          </w:rPr>
          <w:fldChar w:fldCharType="separate"/>
        </w:r>
        <w:r w:rsidR="001B26B5">
          <w:rPr>
            <w:webHidden/>
          </w:rPr>
          <w:t>413</w:t>
        </w:r>
        <w:r>
          <w:rPr>
            <w:webHidden/>
          </w:rPr>
          <w:fldChar w:fldCharType="end"/>
        </w:r>
      </w:hyperlink>
    </w:p>
    <w:p w14:paraId="538F1E80"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03" w:history="1">
        <w:r w:rsidRPr="003B1501">
          <w:rPr>
            <w:rStyle w:val="Hipervnculo"/>
          </w:rPr>
          <w:t>954.3. Recepción de las obras</w:t>
        </w:r>
        <w:r>
          <w:rPr>
            <w:webHidden/>
          </w:rPr>
          <w:tab/>
        </w:r>
        <w:r>
          <w:rPr>
            <w:webHidden/>
          </w:rPr>
          <w:fldChar w:fldCharType="begin"/>
        </w:r>
        <w:r>
          <w:rPr>
            <w:webHidden/>
          </w:rPr>
          <w:instrText xml:space="preserve"> PAGEREF _Toc404803 \h </w:instrText>
        </w:r>
        <w:r>
          <w:rPr>
            <w:webHidden/>
          </w:rPr>
        </w:r>
        <w:r>
          <w:rPr>
            <w:webHidden/>
          </w:rPr>
          <w:fldChar w:fldCharType="separate"/>
        </w:r>
        <w:r w:rsidR="001B26B5">
          <w:rPr>
            <w:webHidden/>
          </w:rPr>
          <w:t>413</w:t>
        </w:r>
        <w:r>
          <w:rPr>
            <w:webHidden/>
          </w:rPr>
          <w:fldChar w:fldCharType="end"/>
        </w:r>
      </w:hyperlink>
    </w:p>
    <w:p w14:paraId="3491EC2B"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04" w:history="1">
        <w:r w:rsidRPr="003B1501">
          <w:rPr>
            <w:rStyle w:val="Hipervnculo"/>
          </w:rPr>
          <w:t>954.4. Control de calidad</w:t>
        </w:r>
        <w:r>
          <w:rPr>
            <w:webHidden/>
          </w:rPr>
          <w:tab/>
        </w:r>
        <w:r>
          <w:rPr>
            <w:webHidden/>
          </w:rPr>
          <w:fldChar w:fldCharType="begin"/>
        </w:r>
        <w:r>
          <w:rPr>
            <w:webHidden/>
          </w:rPr>
          <w:instrText xml:space="preserve"> PAGEREF _Toc404804 \h </w:instrText>
        </w:r>
        <w:r>
          <w:rPr>
            <w:webHidden/>
          </w:rPr>
        </w:r>
        <w:r>
          <w:rPr>
            <w:webHidden/>
          </w:rPr>
          <w:fldChar w:fldCharType="separate"/>
        </w:r>
        <w:r w:rsidR="001B26B5">
          <w:rPr>
            <w:webHidden/>
          </w:rPr>
          <w:t>413</w:t>
        </w:r>
        <w:r>
          <w:rPr>
            <w:webHidden/>
          </w:rPr>
          <w:fldChar w:fldCharType="end"/>
        </w:r>
      </w:hyperlink>
    </w:p>
    <w:p w14:paraId="5D1DF507"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05" w:history="1">
        <w:r w:rsidRPr="003B1501">
          <w:rPr>
            <w:rStyle w:val="Hipervnculo"/>
          </w:rPr>
          <w:t>954.5. Medición y abono</w:t>
        </w:r>
        <w:r>
          <w:rPr>
            <w:webHidden/>
          </w:rPr>
          <w:tab/>
        </w:r>
        <w:r>
          <w:rPr>
            <w:webHidden/>
          </w:rPr>
          <w:fldChar w:fldCharType="begin"/>
        </w:r>
        <w:r>
          <w:rPr>
            <w:webHidden/>
          </w:rPr>
          <w:instrText xml:space="preserve"> PAGEREF _Toc404805 \h </w:instrText>
        </w:r>
        <w:r>
          <w:rPr>
            <w:webHidden/>
          </w:rPr>
        </w:r>
        <w:r>
          <w:rPr>
            <w:webHidden/>
          </w:rPr>
          <w:fldChar w:fldCharType="separate"/>
        </w:r>
        <w:r w:rsidR="001B26B5">
          <w:rPr>
            <w:webHidden/>
          </w:rPr>
          <w:t>413</w:t>
        </w:r>
        <w:r>
          <w:rPr>
            <w:webHidden/>
          </w:rPr>
          <w:fldChar w:fldCharType="end"/>
        </w:r>
      </w:hyperlink>
    </w:p>
    <w:p w14:paraId="614DEB5A"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806" w:history="1">
        <w:r w:rsidRPr="003B1501">
          <w:rPr>
            <w:rStyle w:val="Hipervnculo"/>
          </w:rPr>
          <w:t>Artículo 955. Hidrosiembra</w:t>
        </w:r>
        <w:r>
          <w:rPr>
            <w:webHidden/>
          </w:rPr>
          <w:tab/>
        </w:r>
        <w:r>
          <w:rPr>
            <w:webHidden/>
          </w:rPr>
          <w:fldChar w:fldCharType="begin"/>
        </w:r>
        <w:r>
          <w:rPr>
            <w:webHidden/>
          </w:rPr>
          <w:instrText xml:space="preserve"> PAGEREF _Toc404806 \h </w:instrText>
        </w:r>
        <w:r>
          <w:rPr>
            <w:webHidden/>
          </w:rPr>
        </w:r>
        <w:r>
          <w:rPr>
            <w:webHidden/>
          </w:rPr>
          <w:fldChar w:fldCharType="separate"/>
        </w:r>
        <w:r w:rsidR="001B26B5">
          <w:rPr>
            <w:webHidden/>
          </w:rPr>
          <w:t>414</w:t>
        </w:r>
        <w:r>
          <w:rPr>
            <w:webHidden/>
          </w:rPr>
          <w:fldChar w:fldCharType="end"/>
        </w:r>
      </w:hyperlink>
    </w:p>
    <w:p w14:paraId="054AC56C"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07" w:history="1">
        <w:r w:rsidRPr="003B1501">
          <w:rPr>
            <w:rStyle w:val="Hipervnculo"/>
          </w:rPr>
          <w:t>955.1. Aplicación</w:t>
        </w:r>
        <w:r>
          <w:rPr>
            <w:webHidden/>
          </w:rPr>
          <w:tab/>
        </w:r>
        <w:r>
          <w:rPr>
            <w:webHidden/>
          </w:rPr>
          <w:fldChar w:fldCharType="begin"/>
        </w:r>
        <w:r>
          <w:rPr>
            <w:webHidden/>
          </w:rPr>
          <w:instrText xml:space="preserve"> PAGEREF _Toc404807 \h </w:instrText>
        </w:r>
        <w:r>
          <w:rPr>
            <w:webHidden/>
          </w:rPr>
        </w:r>
        <w:r>
          <w:rPr>
            <w:webHidden/>
          </w:rPr>
          <w:fldChar w:fldCharType="separate"/>
        </w:r>
        <w:r w:rsidR="001B26B5">
          <w:rPr>
            <w:webHidden/>
          </w:rPr>
          <w:t>414</w:t>
        </w:r>
        <w:r>
          <w:rPr>
            <w:webHidden/>
          </w:rPr>
          <w:fldChar w:fldCharType="end"/>
        </w:r>
      </w:hyperlink>
    </w:p>
    <w:p w14:paraId="20847F07"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08" w:history="1">
        <w:r w:rsidRPr="003B1501">
          <w:rPr>
            <w:rStyle w:val="Hipervnculo"/>
          </w:rPr>
          <w:t>955.2. Materiales</w:t>
        </w:r>
        <w:r>
          <w:rPr>
            <w:webHidden/>
          </w:rPr>
          <w:tab/>
        </w:r>
        <w:r>
          <w:rPr>
            <w:webHidden/>
          </w:rPr>
          <w:fldChar w:fldCharType="begin"/>
        </w:r>
        <w:r>
          <w:rPr>
            <w:webHidden/>
          </w:rPr>
          <w:instrText xml:space="preserve"> PAGEREF _Toc404808 \h </w:instrText>
        </w:r>
        <w:r>
          <w:rPr>
            <w:webHidden/>
          </w:rPr>
        </w:r>
        <w:r>
          <w:rPr>
            <w:webHidden/>
          </w:rPr>
          <w:fldChar w:fldCharType="separate"/>
        </w:r>
        <w:r w:rsidR="001B26B5">
          <w:rPr>
            <w:webHidden/>
          </w:rPr>
          <w:t>414</w:t>
        </w:r>
        <w:r>
          <w:rPr>
            <w:webHidden/>
          </w:rPr>
          <w:fldChar w:fldCharType="end"/>
        </w:r>
      </w:hyperlink>
    </w:p>
    <w:p w14:paraId="1609EB44"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09" w:history="1">
        <w:r w:rsidRPr="003B1501">
          <w:rPr>
            <w:rStyle w:val="Hipervnculo"/>
          </w:rPr>
          <w:t>955.3. Recepción de las obras</w:t>
        </w:r>
        <w:r>
          <w:rPr>
            <w:webHidden/>
          </w:rPr>
          <w:tab/>
        </w:r>
        <w:r>
          <w:rPr>
            <w:webHidden/>
          </w:rPr>
          <w:fldChar w:fldCharType="begin"/>
        </w:r>
        <w:r>
          <w:rPr>
            <w:webHidden/>
          </w:rPr>
          <w:instrText xml:space="preserve"> PAGEREF _Toc404809 \h </w:instrText>
        </w:r>
        <w:r>
          <w:rPr>
            <w:webHidden/>
          </w:rPr>
        </w:r>
        <w:r>
          <w:rPr>
            <w:webHidden/>
          </w:rPr>
          <w:fldChar w:fldCharType="separate"/>
        </w:r>
        <w:r w:rsidR="001B26B5">
          <w:rPr>
            <w:webHidden/>
          </w:rPr>
          <w:t>416</w:t>
        </w:r>
        <w:r>
          <w:rPr>
            <w:webHidden/>
          </w:rPr>
          <w:fldChar w:fldCharType="end"/>
        </w:r>
      </w:hyperlink>
    </w:p>
    <w:p w14:paraId="15933A44"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10" w:history="1">
        <w:r w:rsidRPr="003B1501">
          <w:rPr>
            <w:rStyle w:val="Hipervnculo"/>
          </w:rPr>
          <w:t>955.4. Control de calidad</w:t>
        </w:r>
        <w:r>
          <w:rPr>
            <w:webHidden/>
          </w:rPr>
          <w:tab/>
        </w:r>
        <w:r>
          <w:rPr>
            <w:webHidden/>
          </w:rPr>
          <w:fldChar w:fldCharType="begin"/>
        </w:r>
        <w:r>
          <w:rPr>
            <w:webHidden/>
          </w:rPr>
          <w:instrText xml:space="preserve"> PAGEREF _Toc404810 \h </w:instrText>
        </w:r>
        <w:r>
          <w:rPr>
            <w:webHidden/>
          </w:rPr>
        </w:r>
        <w:r>
          <w:rPr>
            <w:webHidden/>
          </w:rPr>
          <w:fldChar w:fldCharType="separate"/>
        </w:r>
        <w:r w:rsidR="001B26B5">
          <w:rPr>
            <w:webHidden/>
          </w:rPr>
          <w:t>416</w:t>
        </w:r>
        <w:r>
          <w:rPr>
            <w:webHidden/>
          </w:rPr>
          <w:fldChar w:fldCharType="end"/>
        </w:r>
      </w:hyperlink>
    </w:p>
    <w:p w14:paraId="4C2EFCC6"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11" w:history="1">
        <w:r w:rsidRPr="003B1501">
          <w:rPr>
            <w:rStyle w:val="Hipervnculo"/>
          </w:rPr>
          <w:t>955.5. Medición y abono</w:t>
        </w:r>
        <w:r>
          <w:rPr>
            <w:webHidden/>
          </w:rPr>
          <w:tab/>
        </w:r>
        <w:r>
          <w:rPr>
            <w:webHidden/>
          </w:rPr>
          <w:fldChar w:fldCharType="begin"/>
        </w:r>
        <w:r>
          <w:rPr>
            <w:webHidden/>
          </w:rPr>
          <w:instrText xml:space="preserve"> PAGEREF _Toc404811 \h </w:instrText>
        </w:r>
        <w:r>
          <w:rPr>
            <w:webHidden/>
          </w:rPr>
        </w:r>
        <w:r>
          <w:rPr>
            <w:webHidden/>
          </w:rPr>
          <w:fldChar w:fldCharType="separate"/>
        </w:r>
        <w:r w:rsidR="001B26B5">
          <w:rPr>
            <w:webHidden/>
          </w:rPr>
          <w:t>416</w:t>
        </w:r>
        <w:r>
          <w:rPr>
            <w:webHidden/>
          </w:rPr>
          <w:fldChar w:fldCharType="end"/>
        </w:r>
      </w:hyperlink>
    </w:p>
    <w:p w14:paraId="41A40901"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812" w:history="1">
        <w:r w:rsidRPr="003B1501">
          <w:rPr>
            <w:rStyle w:val="Hipervnculo"/>
          </w:rPr>
          <w:t>Artículo 956. Trabajos arqueológicos</w:t>
        </w:r>
        <w:r>
          <w:rPr>
            <w:webHidden/>
          </w:rPr>
          <w:tab/>
        </w:r>
        <w:r>
          <w:rPr>
            <w:webHidden/>
          </w:rPr>
          <w:fldChar w:fldCharType="begin"/>
        </w:r>
        <w:r>
          <w:rPr>
            <w:webHidden/>
          </w:rPr>
          <w:instrText xml:space="preserve"> PAGEREF _Toc404812 \h </w:instrText>
        </w:r>
        <w:r>
          <w:rPr>
            <w:webHidden/>
          </w:rPr>
        </w:r>
        <w:r>
          <w:rPr>
            <w:webHidden/>
          </w:rPr>
          <w:fldChar w:fldCharType="separate"/>
        </w:r>
        <w:r w:rsidR="001B26B5">
          <w:rPr>
            <w:webHidden/>
          </w:rPr>
          <w:t>417</w:t>
        </w:r>
        <w:r>
          <w:rPr>
            <w:webHidden/>
          </w:rPr>
          <w:fldChar w:fldCharType="end"/>
        </w:r>
      </w:hyperlink>
    </w:p>
    <w:p w14:paraId="4CFA335E"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13" w:history="1">
        <w:r w:rsidRPr="003B1501">
          <w:rPr>
            <w:rStyle w:val="Hipervnculo"/>
          </w:rPr>
          <w:t>956.1. Definición y aplicación</w:t>
        </w:r>
        <w:r>
          <w:rPr>
            <w:webHidden/>
          </w:rPr>
          <w:tab/>
        </w:r>
        <w:r>
          <w:rPr>
            <w:webHidden/>
          </w:rPr>
          <w:fldChar w:fldCharType="begin"/>
        </w:r>
        <w:r>
          <w:rPr>
            <w:webHidden/>
          </w:rPr>
          <w:instrText xml:space="preserve"> PAGEREF _Toc404813 \h </w:instrText>
        </w:r>
        <w:r>
          <w:rPr>
            <w:webHidden/>
          </w:rPr>
        </w:r>
        <w:r>
          <w:rPr>
            <w:webHidden/>
          </w:rPr>
          <w:fldChar w:fldCharType="separate"/>
        </w:r>
        <w:r w:rsidR="001B26B5">
          <w:rPr>
            <w:webHidden/>
          </w:rPr>
          <w:t>417</w:t>
        </w:r>
        <w:r>
          <w:rPr>
            <w:webHidden/>
          </w:rPr>
          <w:fldChar w:fldCharType="end"/>
        </w:r>
      </w:hyperlink>
    </w:p>
    <w:p w14:paraId="35918C58"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14" w:history="1">
        <w:r w:rsidRPr="003B1501">
          <w:rPr>
            <w:rStyle w:val="Hipervnculo"/>
          </w:rPr>
          <w:t>956.2. Ejecución de las obras</w:t>
        </w:r>
        <w:r>
          <w:rPr>
            <w:webHidden/>
          </w:rPr>
          <w:tab/>
        </w:r>
        <w:r>
          <w:rPr>
            <w:webHidden/>
          </w:rPr>
          <w:fldChar w:fldCharType="begin"/>
        </w:r>
        <w:r>
          <w:rPr>
            <w:webHidden/>
          </w:rPr>
          <w:instrText xml:space="preserve"> PAGEREF _Toc404814 \h </w:instrText>
        </w:r>
        <w:r>
          <w:rPr>
            <w:webHidden/>
          </w:rPr>
        </w:r>
        <w:r>
          <w:rPr>
            <w:webHidden/>
          </w:rPr>
          <w:fldChar w:fldCharType="separate"/>
        </w:r>
        <w:r w:rsidR="001B26B5">
          <w:rPr>
            <w:webHidden/>
          </w:rPr>
          <w:t>417</w:t>
        </w:r>
        <w:r>
          <w:rPr>
            <w:webHidden/>
          </w:rPr>
          <w:fldChar w:fldCharType="end"/>
        </w:r>
      </w:hyperlink>
    </w:p>
    <w:p w14:paraId="2BC1D4BA"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15" w:history="1">
        <w:r w:rsidRPr="003B1501">
          <w:rPr>
            <w:rStyle w:val="Hipervnculo"/>
          </w:rPr>
          <w:t>956.3. Medición y abono</w:t>
        </w:r>
        <w:r>
          <w:rPr>
            <w:webHidden/>
          </w:rPr>
          <w:tab/>
        </w:r>
        <w:r>
          <w:rPr>
            <w:webHidden/>
          </w:rPr>
          <w:fldChar w:fldCharType="begin"/>
        </w:r>
        <w:r>
          <w:rPr>
            <w:webHidden/>
          </w:rPr>
          <w:instrText xml:space="preserve"> PAGEREF _Toc404815 \h </w:instrText>
        </w:r>
        <w:r>
          <w:rPr>
            <w:webHidden/>
          </w:rPr>
        </w:r>
        <w:r>
          <w:rPr>
            <w:webHidden/>
          </w:rPr>
          <w:fldChar w:fldCharType="separate"/>
        </w:r>
        <w:r w:rsidR="001B26B5">
          <w:rPr>
            <w:webHidden/>
          </w:rPr>
          <w:t>417</w:t>
        </w:r>
        <w:r>
          <w:rPr>
            <w:webHidden/>
          </w:rPr>
          <w:fldChar w:fldCharType="end"/>
        </w:r>
      </w:hyperlink>
    </w:p>
    <w:p w14:paraId="460AA55B"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816" w:history="1">
        <w:r w:rsidRPr="003B1501">
          <w:rPr>
            <w:rStyle w:val="Hipervnculo"/>
          </w:rPr>
          <w:t>Artículo 957. Medidas correctoras de condiciones de la fauna</w:t>
        </w:r>
        <w:r>
          <w:rPr>
            <w:webHidden/>
          </w:rPr>
          <w:tab/>
        </w:r>
        <w:r>
          <w:rPr>
            <w:webHidden/>
          </w:rPr>
          <w:fldChar w:fldCharType="begin"/>
        </w:r>
        <w:r>
          <w:rPr>
            <w:webHidden/>
          </w:rPr>
          <w:instrText xml:space="preserve"> PAGEREF _Toc404816 \h </w:instrText>
        </w:r>
        <w:r>
          <w:rPr>
            <w:webHidden/>
          </w:rPr>
        </w:r>
        <w:r>
          <w:rPr>
            <w:webHidden/>
          </w:rPr>
          <w:fldChar w:fldCharType="separate"/>
        </w:r>
        <w:r w:rsidR="001B26B5">
          <w:rPr>
            <w:webHidden/>
          </w:rPr>
          <w:t>418</w:t>
        </w:r>
        <w:r>
          <w:rPr>
            <w:webHidden/>
          </w:rPr>
          <w:fldChar w:fldCharType="end"/>
        </w:r>
      </w:hyperlink>
    </w:p>
    <w:p w14:paraId="21768055"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17" w:history="1">
        <w:r w:rsidRPr="003B1501">
          <w:rPr>
            <w:rStyle w:val="Hipervnculo"/>
          </w:rPr>
          <w:t>957.1. Definición y aplicación</w:t>
        </w:r>
        <w:r>
          <w:rPr>
            <w:webHidden/>
          </w:rPr>
          <w:tab/>
        </w:r>
        <w:r>
          <w:rPr>
            <w:webHidden/>
          </w:rPr>
          <w:fldChar w:fldCharType="begin"/>
        </w:r>
        <w:r>
          <w:rPr>
            <w:webHidden/>
          </w:rPr>
          <w:instrText xml:space="preserve"> PAGEREF _Toc404817 \h </w:instrText>
        </w:r>
        <w:r>
          <w:rPr>
            <w:webHidden/>
          </w:rPr>
        </w:r>
        <w:r>
          <w:rPr>
            <w:webHidden/>
          </w:rPr>
          <w:fldChar w:fldCharType="separate"/>
        </w:r>
        <w:r w:rsidR="001B26B5">
          <w:rPr>
            <w:webHidden/>
          </w:rPr>
          <w:t>418</w:t>
        </w:r>
        <w:r>
          <w:rPr>
            <w:webHidden/>
          </w:rPr>
          <w:fldChar w:fldCharType="end"/>
        </w:r>
      </w:hyperlink>
    </w:p>
    <w:p w14:paraId="5A260269"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18" w:history="1">
        <w:r w:rsidRPr="003B1501">
          <w:rPr>
            <w:rStyle w:val="Hipervnculo"/>
          </w:rPr>
          <w:t>957.2. Materiales</w:t>
        </w:r>
        <w:r>
          <w:rPr>
            <w:webHidden/>
          </w:rPr>
          <w:tab/>
        </w:r>
        <w:r>
          <w:rPr>
            <w:webHidden/>
          </w:rPr>
          <w:fldChar w:fldCharType="begin"/>
        </w:r>
        <w:r>
          <w:rPr>
            <w:webHidden/>
          </w:rPr>
          <w:instrText xml:space="preserve"> PAGEREF _Toc404818 \h </w:instrText>
        </w:r>
        <w:r>
          <w:rPr>
            <w:webHidden/>
          </w:rPr>
        </w:r>
        <w:r>
          <w:rPr>
            <w:webHidden/>
          </w:rPr>
          <w:fldChar w:fldCharType="separate"/>
        </w:r>
        <w:r w:rsidR="001B26B5">
          <w:rPr>
            <w:webHidden/>
          </w:rPr>
          <w:t>418</w:t>
        </w:r>
        <w:r>
          <w:rPr>
            <w:webHidden/>
          </w:rPr>
          <w:fldChar w:fldCharType="end"/>
        </w:r>
      </w:hyperlink>
    </w:p>
    <w:p w14:paraId="7F37658F"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19" w:history="1">
        <w:r w:rsidRPr="003B1501">
          <w:rPr>
            <w:rStyle w:val="Hipervnculo"/>
          </w:rPr>
          <w:t>957.3. Ejecución de los trabajos</w:t>
        </w:r>
        <w:r>
          <w:rPr>
            <w:webHidden/>
          </w:rPr>
          <w:tab/>
        </w:r>
        <w:r>
          <w:rPr>
            <w:webHidden/>
          </w:rPr>
          <w:fldChar w:fldCharType="begin"/>
        </w:r>
        <w:r>
          <w:rPr>
            <w:webHidden/>
          </w:rPr>
          <w:instrText xml:space="preserve"> PAGEREF _Toc404819 \h </w:instrText>
        </w:r>
        <w:r>
          <w:rPr>
            <w:webHidden/>
          </w:rPr>
        </w:r>
        <w:r>
          <w:rPr>
            <w:webHidden/>
          </w:rPr>
          <w:fldChar w:fldCharType="separate"/>
        </w:r>
        <w:r w:rsidR="001B26B5">
          <w:rPr>
            <w:webHidden/>
          </w:rPr>
          <w:t>418</w:t>
        </w:r>
        <w:r>
          <w:rPr>
            <w:webHidden/>
          </w:rPr>
          <w:fldChar w:fldCharType="end"/>
        </w:r>
      </w:hyperlink>
    </w:p>
    <w:p w14:paraId="0B4022FA"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20" w:history="1">
        <w:r w:rsidRPr="003B1501">
          <w:rPr>
            <w:rStyle w:val="Hipervnculo"/>
          </w:rPr>
          <w:t>957.4. Medición y abono</w:t>
        </w:r>
        <w:r>
          <w:rPr>
            <w:webHidden/>
          </w:rPr>
          <w:tab/>
        </w:r>
        <w:r>
          <w:rPr>
            <w:webHidden/>
          </w:rPr>
          <w:fldChar w:fldCharType="begin"/>
        </w:r>
        <w:r>
          <w:rPr>
            <w:webHidden/>
          </w:rPr>
          <w:instrText xml:space="preserve"> PAGEREF _Toc404820 \h </w:instrText>
        </w:r>
        <w:r>
          <w:rPr>
            <w:webHidden/>
          </w:rPr>
        </w:r>
        <w:r>
          <w:rPr>
            <w:webHidden/>
          </w:rPr>
          <w:fldChar w:fldCharType="separate"/>
        </w:r>
        <w:r w:rsidR="001B26B5">
          <w:rPr>
            <w:webHidden/>
          </w:rPr>
          <w:t>419</w:t>
        </w:r>
        <w:r>
          <w:rPr>
            <w:webHidden/>
          </w:rPr>
          <w:fldChar w:fldCharType="end"/>
        </w:r>
      </w:hyperlink>
    </w:p>
    <w:p w14:paraId="368A8665"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821" w:history="1">
        <w:r w:rsidRPr="003B1501">
          <w:rPr>
            <w:rStyle w:val="Hipervnculo"/>
          </w:rPr>
          <w:t>Artículo 959. Malla metálica</w:t>
        </w:r>
        <w:r>
          <w:rPr>
            <w:webHidden/>
          </w:rPr>
          <w:tab/>
        </w:r>
        <w:r>
          <w:rPr>
            <w:webHidden/>
          </w:rPr>
          <w:fldChar w:fldCharType="begin"/>
        </w:r>
        <w:r>
          <w:rPr>
            <w:webHidden/>
          </w:rPr>
          <w:instrText xml:space="preserve"> PAGEREF _Toc404821 \h </w:instrText>
        </w:r>
        <w:r>
          <w:rPr>
            <w:webHidden/>
          </w:rPr>
        </w:r>
        <w:r>
          <w:rPr>
            <w:webHidden/>
          </w:rPr>
          <w:fldChar w:fldCharType="separate"/>
        </w:r>
        <w:r w:rsidR="001B26B5">
          <w:rPr>
            <w:webHidden/>
          </w:rPr>
          <w:t>420</w:t>
        </w:r>
        <w:r>
          <w:rPr>
            <w:webHidden/>
          </w:rPr>
          <w:fldChar w:fldCharType="end"/>
        </w:r>
      </w:hyperlink>
    </w:p>
    <w:p w14:paraId="7B52A5A8"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22" w:history="1">
        <w:r w:rsidRPr="003B1501">
          <w:rPr>
            <w:rStyle w:val="Hipervnculo"/>
          </w:rPr>
          <w:t>959.1. Definición y aplicación</w:t>
        </w:r>
        <w:r>
          <w:rPr>
            <w:webHidden/>
          </w:rPr>
          <w:tab/>
        </w:r>
        <w:r>
          <w:rPr>
            <w:webHidden/>
          </w:rPr>
          <w:fldChar w:fldCharType="begin"/>
        </w:r>
        <w:r>
          <w:rPr>
            <w:webHidden/>
          </w:rPr>
          <w:instrText xml:space="preserve"> PAGEREF _Toc404822 \h </w:instrText>
        </w:r>
        <w:r>
          <w:rPr>
            <w:webHidden/>
          </w:rPr>
        </w:r>
        <w:r>
          <w:rPr>
            <w:webHidden/>
          </w:rPr>
          <w:fldChar w:fldCharType="separate"/>
        </w:r>
        <w:r w:rsidR="001B26B5">
          <w:rPr>
            <w:webHidden/>
          </w:rPr>
          <w:t>420</w:t>
        </w:r>
        <w:r>
          <w:rPr>
            <w:webHidden/>
          </w:rPr>
          <w:fldChar w:fldCharType="end"/>
        </w:r>
      </w:hyperlink>
    </w:p>
    <w:p w14:paraId="2CAA1D7C"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23" w:history="1">
        <w:r w:rsidRPr="003B1501">
          <w:rPr>
            <w:rStyle w:val="Hipervnculo"/>
          </w:rPr>
          <w:t>959.2. Materiales</w:t>
        </w:r>
        <w:r>
          <w:rPr>
            <w:webHidden/>
          </w:rPr>
          <w:tab/>
        </w:r>
        <w:r>
          <w:rPr>
            <w:webHidden/>
          </w:rPr>
          <w:fldChar w:fldCharType="begin"/>
        </w:r>
        <w:r>
          <w:rPr>
            <w:webHidden/>
          </w:rPr>
          <w:instrText xml:space="preserve"> PAGEREF _Toc404823 \h </w:instrText>
        </w:r>
        <w:r>
          <w:rPr>
            <w:webHidden/>
          </w:rPr>
        </w:r>
        <w:r>
          <w:rPr>
            <w:webHidden/>
          </w:rPr>
          <w:fldChar w:fldCharType="separate"/>
        </w:r>
        <w:r w:rsidR="001B26B5">
          <w:rPr>
            <w:webHidden/>
          </w:rPr>
          <w:t>420</w:t>
        </w:r>
        <w:r>
          <w:rPr>
            <w:webHidden/>
          </w:rPr>
          <w:fldChar w:fldCharType="end"/>
        </w:r>
      </w:hyperlink>
    </w:p>
    <w:p w14:paraId="1539F6D7"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24" w:history="1">
        <w:r w:rsidRPr="003B1501">
          <w:rPr>
            <w:rStyle w:val="Hipervnculo"/>
          </w:rPr>
          <w:t>959.3. Ejecución de las obras</w:t>
        </w:r>
        <w:r>
          <w:rPr>
            <w:webHidden/>
          </w:rPr>
          <w:tab/>
        </w:r>
        <w:r>
          <w:rPr>
            <w:webHidden/>
          </w:rPr>
          <w:fldChar w:fldCharType="begin"/>
        </w:r>
        <w:r>
          <w:rPr>
            <w:webHidden/>
          </w:rPr>
          <w:instrText xml:space="preserve"> PAGEREF _Toc404824 \h </w:instrText>
        </w:r>
        <w:r>
          <w:rPr>
            <w:webHidden/>
          </w:rPr>
        </w:r>
        <w:r>
          <w:rPr>
            <w:webHidden/>
          </w:rPr>
          <w:fldChar w:fldCharType="separate"/>
        </w:r>
        <w:r w:rsidR="001B26B5">
          <w:rPr>
            <w:webHidden/>
          </w:rPr>
          <w:t>420</w:t>
        </w:r>
        <w:r>
          <w:rPr>
            <w:webHidden/>
          </w:rPr>
          <w:fldChar w:fldCharType="end"/>
        </w:r>
      </w:hyperlink>
    </w:p>
    <w:p w14:paraId="6BBF52F2"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25" w:history="1">
        <w:r w:rsidRPr="003B1501">
          <w:rPr>
            <w:rStyle w:val="Hipervnculo"/>
          </w:rPr>
          <w:t>959.5. Medición y abono</w:t>
        </w:r>
        <w:r>
          <w:rPr>
            <w:webHidden/>
          </w:rPr>
          <w:tab/>
        </w:r>
        <w:r>
          <w:rPr>
            <w:webHidden/>
          </w:rPr>
          <w:fldChar w:fldCharType="begin"/>
        </w:r>
        <w:r>
          <w:rPr>
            <w:webHidden/>
          </w:rPr>
          <w:instrText xml:space="preserve"> PAGEREF _Toc404825 \h </w:instrText>
        </w:r>
        <w:r>
          <w:rPr>
            <w:webHidden/>
          </w:rPr>
        </w:r>
        <w:r>
          <w:rPr>
            <w:webHidden/>
          </w:rPr>
          <w:fldChar w:fldCharType="separate"/>
        </w:r>
        <w:r w:rsidR="001B26B5">
          <w:rPr>
            <w:webHidden/>
          </w:rPr>
          <w:t>421</w:t>
        </w:r>
        <w:r>
          <w:rPr>
            <w:webHidden/>
          </w:rPr>
          <w:fldChar w:fldCharType="end"/>
        </w:r>
      </w:hyperlink>
    </w:p>
    <w:p w14:paraId="25DDFAA3"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826" w:history="1">
        <w:r w:rsidRPr="003B1501">
          <w:rPr>
            <w:rStyle w:val="Hipervnculo"/>
          </w:rPr>
          <w:t>Artículo 960. Acopio y mantenimiento de tierra vegetal</w:t>
        </w:r>
        <w:r>
          <w:rPr>
            <w:webHidden/>
          </w:rPr>
          <w:tab/>
        </w:r>
        <w:r>
          <w:rPr>
            <w:webHidden/>
          </w:rPr>
          <w:fldChar w:fldCharType="begin"/>
        </w:r>
        <w:r>
          <w:rPr>
            <w:webHidden/>
          </w:rPr>
          <w:instrText xml:space="preserve"> PAGEREF _Toc404826 \h </w:instrText>
        </w:r>
        <w:r>
          <w:rPr>
            <w:webHidden/>
          </w:rPr>
        </w:r>
        <w:r>
          <w:rPr>
            <w:webHidden/>
          </w:rPr>
          <w:fldChar w:fldCharType="separate"/>
        </w:r>
        <w:r w:rsidR="001B26B5">
          <w:rPr>
            <w:webHidden/>
          </w:rPr>
          <w:t>422</w:t>
        </w:r>
        <w:r>
          <w:rPr>
            <w:webHidden/>
          </w:rPr>
          <w:fldChar w:fldCharType="end"/>
        </w:r>
      </w:hyperlink>
    </w:p>
    <w:p w14:paraId="4FE50845"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27" w:history="1">
        <w:r w:rsidRPr="003B1501">
          <w:rPr>
            <w:rStyle w:val="Hipervnculo"/>
          </w:rPr>
          <w:t>960.1. Definición y aplicación</w:t>
        </w:r>
        <w:r>
          <w:rPr>
            <w:webHidden/>
          </w:rPr>
          <w:tab/>
        </w:r>
        <w:r>
          <w:rPr>
            <w:webHidden/>
          </w:rPr>
          <w:fldChar w:fldCharType="begin"/>
        </w:r>
        <w:r>
          <w:rPr>
            <w:webHidden/>
          </w:rPr>
          <w:instrText xml:space="preserve"> PAGEREF _Toc404827 \h </w:instrText>
        </w:r>
        <w:r>
          <w:rPr>
            <w:webHidden/>
          </w:rPr>
        </w:r>
        <w:r>
          <w:rPr>
            <w:webHidden/>
          </w:rPr>
          <w:fldChar w:fldCharType="separate"/>
        </w:r>
        <w:r w:rsidR="001B26B5">
          <w:rPr>
            <w:webHidden/>
          </w:rPr>
          <w:t>422</w:t>
        </w:r>
        <w:r>
          <w:rPr>
            <w:webHidden/>
          </w:rPr>
          <w:fldChar w:fldCharType="end"/>
        </w:r>
      </w:hyperlink>
    </w:p>
    <w:p w14:paraId="207B1CBB"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28" w:history="1">
        <w:r w:rsidRPr="003B1501">
          <w:rPr>
            <w:rStyle w:val="Hipervnculo"/>
          </w:rPr>
          <w:t>960.2. Materiales</w:t>
        </w:r>
        <w:r>
          <w:rPr>
            <w:webHidden/>
          </w:rPr>
          <w:tab/>
        </w:r>
        <w:r>
          <w:rPr>
            <w:webHidden/>
          </w:rPr>
          <w:fldChar w:fldCharType="begin"/>
        </w:r>
        <w:r>
          <w:rPr>
            <w:webHidden/>
          </w:rPr>
          <w:instrText xml:space="preserve"> PAGEREF _Toc404828 \h </w:instrText>
        </w:r>
        <w:r>
          <w:rPr>
            <w:webHidden/>
          </w:rPr>
        </w:r>
        <w:r>
          <w:rPr>
            <w:webHidden/>
          </w:rPr>
          <w:fldChar w:fldCharType="separate"/>
        </w:r>
        <w:r w:rsidR="001B26B5">
          <w:rPr>
            <w:webHidden/>
          </w:rPr>
          <w:t>422</w:t>
        </w:r>
        <w:r>
          <w:rPr>
            <w:webHidden/>
          </w:rPr>
          <w:fldChar w:fldCharType="end"/>
        </w:r>
      </w:hyperlink>
    </w:p>
    <w:p w14:paraId="2E09E75C"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29" w:history="1">
        <w:r w:rsidRPr="003B1501">
          <w:rPr>
            <w:rStyle w:val="Hipervnculo"/>
          </w:rPr>
          <w:t>960.3. Ejecución de las obras</w:t>
        </w:r>
        <w:r>
          <w:rPr>
            <w:webHidden/>
          </w:rPr>
          <w:tab/>
        </w:r>
        <w:r>
          <w:rPr>
            <w:webHidden/>
          </w:rPr>
          <w:fldChar w:fldCharType="begin"/>
        </w:r>
        <w:r>
          <w:rPr>
            <w:webHidden/>
          </w:rPr>
          <w:instrText xml:space="preserve"> PAGEREF _Toc404829 \h </w:instrText>
        </w:r>
        <w:r>
          <w:rPr>
            <w:webHidden/>
          </w:rPr>
        </w:r>
        <w:r>
          <w:rPr>
            <w:webHidden/>
          </w:rPr>
          <w:fldChar w:fldCharType="separate"/>
        </w:r>
        <w:r w:rsidR="001B26B5">
          <w:rPr>
            <w:webHidden/>
          </w:rPr>
          <w:t>422</w:t>
        </w:r>
        <w:r>
          <w:rPr>
            <w:webHidden/>
          </w:rPr>
          <w:fldChar w:fldCharType="end"/>
        </w:r>
      </w:hyperlink>
    </w:p>
    <w:p w14:paraId="4CFD7B74"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30" w:history="1">
        <w:r w:rsidRPr="003B1501">
          <w:rPr>
            <w:rStyle w:val="Hipervnculo"/>
          </w:rPr>
          <w:t>960.5. Medición y abono</w:t>
        </w:r>
        <w:r>
          <w:rPr>
            <w:webHidden/>
          </w:rPr>
          <w:tab/>
        </w:r>
        <w:r>
          <w:rPr>
            <w:webHidden/>
          </w:rPr>
          <w:fldChar w:fldCharType="begin"/>
        </w:r>
        <w:r>
          <w:rPr>
            <w:webHidden/>
          </w:rPr>
          <w:instrText xml:space="preserve"> PAGEREF _Toc404830 \h </w:instrText>
        </w:r>
        <w:r>
          <w:rPr>
            <w:webHidden/>
          </w:rPr>
        </w:r>
        <w:r>
          <w:rPr>
            <w:webHidden/>
          </w:rPr>
          <w:fldChar w:fldCharType="separate"/>
        </w:r>
        <w:r w:rsidR="001B26B5">
          <w:rPr>
            <w:webHidden/>
          </w:rPr>
          <w:t>422</w:t>
        </w:r>
        <w:r>
          <w:rPr>
            <w:webHidden/>
          </w:rPr>
          <w:fldChar w:fldCharType="end"/>
        </w:r>
      </w:hyperlink>
    </w:p>
    <w:p w14:paraId="3375F279"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hyperlink w:anchor="_Toc404831" w:history="1">
        <w:r w:rsidRPr="003B1501">
          <w:rPr>
            <w:rStyle w:val="Hipervnculo"/>
          </w:rPr>
          <w:t>Artículo 961. Tratamiento con herbicida</w:t>
        </w:r>
        <w:r>
          <w:rPr>
            <w:webHidden/>
          </w:rPr>
          <w:tab/>
        </w:r>
        <w:r>
          <w:rPr>
            <w:webHidden/>
          </w:rPr>
          <w:fldChar w:fldCharType="begin"/>
        </w:r>
        <w:r>
          <w:rPr>
            <w:webHidden/>
          </w:rPr>
          <w:instrText xml:space="preserve"> PAGEREF _Toc404831 \h </w:instrText>
        </w:r>
        <w:r>
          <w:rPr>
            <w:webHidden/>
          </w:rPr>
        </w:r>
        <w:r>
          <w:rPr>
            <w:webHidden/>
          </w:rPr>
          <w:fldChar w:fldCharType="separate"/>
        </w:r>
        <w:r w:rsidR="001B26B5">
          <w:rPr>
            <w:webHidden/>
          </w:rPr>
          <w:t>423</w:t>
        </w:r>
        <w:r>
          <w:rPr>
            <w:webHidden/>
          </w:rPr>
          <w:fldChar w:fldCharType="end"/>
        </w:r>
      </w:hyperlink>
    </w:p>
    <w:p w14:paraId="4EE3E3EC"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32" w:history="1">
        <w:r w:rsidRPr="003B1501">
          <w:rPr>
            <w:rStyle w:val="Hipervnculo"/>
          </w:rPr>
          <w:t>961.1. Definición y aplicación</w:t>
        </w:r>
        <w:r>
          <w:rPr>
            <w:webHidden/>
          </w:rPr>
          <w:tab/>
        </w:r>
        <w:r>
          <w:rPr>
            <w:webHidden/>
          </w:rPr>
          <w:fldChar w:fldCharType="begin"/>
        </w:r>
        <w:r>
          <w:rPr>
            <w:webHidden/>
          </w:rPr>
          <w:instrText xml:space="preserve"> PAGEREF _Toc404832 \h </w:instrText>
        </w:r>
        <w:r>
          <w:rPr>
            <w:webHidden/>
          </w:rPr>
        </w:r>
        <w:r>
          <w:rPr>
            <w:webHidden/>
          </w:rPr>
          <w:fldChar w:fldCharType="separate"/>
        </w:r>
        <w:r w:rsidR="001B26B5">
          <w:rPr>
            <w:webHidden/>
          </w:rPr>
          <w:t>423</w:t>
        </w:r>
        <w:r>
          <w:rPr>
            <w:webHidden/>
          </w:rPr>
          <w:fldChar w:fldCharType="end"/>
        </w:r>
      </w:hyperlink>
    </w:p>
    <w:p w14:paraId="17ABB804"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33" w:history="1">
        <w:r w:rsidRPr="003B1501">
          <w:rPr>
            <w:rStyle w:val="Hipervnculo"/>
          </w:rPr>
          <w:t>961.2. Materiales</w:t>
        </w:r>
        <w:r>
          <w:rPr>
            <w:webHidden/>
          </w:rPr>
          <w:tab/>
        </w:r>
        <w:r>
          <w:rPr>
            <w:webHidden/>
          </w:rPr>
          <w:fldChar w:fldCharType="begin"/>
        </w:r>
        <w:r>
          <w:rPr>
            <w:webHidden/>
          </w:rPr>
          <w:instrText xml:space="preserve"> PAGEREF _Toc404833 \h </w:instrText>
        </w:r>
        <w:r>
          <w:rPr>
            <w:webHidden/>
          </w:rPr>
        </w:r>
        <w:r>
          <w:rPr>
            <w:webHidden/>
          </w:rPr>
          <w:fldChar w:fldCharType="separate"/>
        </w:r>
        <w:r w:rsidR="001B26B5">
          <w:rPr>
            <w:webHidden/>
          </w:rPr>
          <w:t>423</w:t>
        </w:r>
        <w:r>
          <w:rPr>
            <w:webHidden/>
          </w:rPr>
          <w:fldChar w:fldCharType="end"/>
        </w:r>
      </w:hyperlink>
    </w:p>
    <w:p w14:paraId="31BF3EC8"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34" w:history="1">
        <w:r w:rsidRPr="003B1501">
          <w:rPr>
            <w:rStyle w:val="Hipervnculo"/>
          </w:rPr>
          <w:t>961.3. Ejecución de las obras</w:t>
        </w:r>
        <w:r>
          <w:rPr>
            <w:webHidden/>
          </w:rPr>
          <w:tab/>
        </w:r>
        <w:r>
          <w:rPr>
            <w:webHidden/>
          </w:rPr>
          <w:fldChar w:fldCharType="begin"/>
        </w:r>
        <w:r>
          <w:rPr>
            <w:webHidden/>
          </w:rPr>
          <w:instrText xml:space="preserve"> PAGEREF _Toc404834 \h </w:instrText>
        </w:r>
        <w:r>
          <w:rPr>
            <w:webHidden/>
          </w:rPr>
        </w:r>
        <w:r>
          <w:rPr>
            <w:webHidden/>
          </w:rPr>
          <w:fldChar w:fldCharType="separate"/>
        </w:r>
        <w:r w:rsidR="001B26B5">
          <w:rPr>
            <w:webHidden/>
          </w:rPr>
          <w:t>423</w:t>
        </w:r>
        <w:r>
          <w:rPr>
            <w:webHidden/>
          </w:rPr>
          <w:fldChar w:fldCharType="end"/>
        </w:r>
      </w:hyperlink>
    </w:p>
    <w:p w14:paraId="10D84385"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35" w:history="1">
        <w:r w:rsidRPr="003B1501">
          <w:rPr>
            <w:rStyle w:val="Hipervnculo"/>
          </w:rPr>
          <w:t>959.3. Recepción</w:t>
        </w:r>
        <w:r>
          <w:rPr>
            <w:webHidden/>
          </w:rPr>
          <w:tab/>
        </w:r>
        <w:r>
          <w:rPr>
            <w:webHidden/>
          </w:rPr>
          <w:fldChar w:fldCharType="begin"/>
        </w:r>
        <w:r>
          <w:rPr>
            <w:webHidden/>
          </w:rPr>
          <w:instrText xml:space="preserve"> PAGEREF _Toc404835 \h </w:instrText>
        </w:r>
        <w:r>
          <w:rPr>
            <w:webHidden/>
          </w:rPr>
        </w:r>
        <w:r>
          <w:rPr>
            <w:webHidden/>
          </w:rPr>
          <w:fldChar w:fldCharType="separate"/>
        </w:r>
        <w:r w:rsidR="001B26B5">
          <w:rPr>
            <w:webHidden/>
          </w:rPr>
          <w:t>423</w:t>
        </w:r>
        <w:r>
          <w:rPr>
            <w:webHidden/>
          </w:rPr>
          <w:fldChar w:fldCharType="end"/>
        </w:r>
      </w:hyperlink>
    </w:p>
    <w:p w14:paraId="53A2F605"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36" w:history="1">
        <w:r w:rsidRPr="003B1501">
          <w:rPr>
            <w:rStyle w:val="Hipervnculo"/>
          </w:rPr>
          <w:t>959.5. Medición y abono</w:t>
        </w:r>
        <w:r>
          <w:rPr>
            <w:webHidden/>
          </w:rPr>
          <w:tab/>
        </w:r>
        <w:r>
          <w:rPr>
            <w:webHidden/>
          </w:rPr>
          <w:fldChar w:fldCharType="begin"/>
        </w:r>
        <w:r>
          <w:rPr>
            <w:webHidden/>
          </w:rPr>
          <w:instrText xml:space="preserve"> PAGEREF _Toc404836 \h </w:instrText>
        </w:r>
        <w:r>
          <w:rPr>
            <w:webHidden/>
          </w:rPr>
        </w:r>
        <w:r>
          <w:rPr>
            <w:webHidden/>
          </w:rPr>
          <w:fldChar w:fldCharType="separate"/>
        </w:r>
        <w:r w:rsidR="001B26B5">
          <w:rPr>
            <w:webHidden/>
          </w:rPr>
          <w:t>424</w:t>
        </w:r>
        <w:r>
          <w:rPr>
            <w:webHidden/>
          </w:rPr>
          <w:fldChar w:fldCharType="end"/>
        </w:r>
      </w:hyperlink>
    </w:p>
    <w:p w14:paraId="2DC4FA34" w14:textId="77777777" w:rsidR="0006561B" w:rsidRDefault="0006561B" w:rsidP="0006561B">
      <w:pPr>
        <w:pStyle w:val="TDC1"/>
        <w:spacing w:line="324" w:lineRule="auto"/>
        <w:rPr>
          <w:rFonts w:asciiTheme="minorHAnsi" w:eastAsiaTheme="minorEastAsia" w:hAnsiTheme="minorHAnsi" w:cstheme="minorBidi"/>
          <w:b w:val="0"/>
          <w:sz w:val="22"/>
          <w:szCs w:val="22"/>
          <w:lang w:val="es-ES" w:eastAsia="es-ES"/>
        </w:rPr>
      </w:pPr>
      <w:r>
        <w:rPr>
          <w:rStyle w:val="Hipervnculo"/>
        </w:rPr>
        <w:br w:type="column"/>
      </w:r>
      <w:hyperlink w:anchor="_Toc404837" w:history="1">
        <w:r w:rsidRPr="003B1501">
          <w:rPr>
            <w:rStyle w:val="Hipervnculo"/>
          </w:rPr>
          <w:t>Artículo 990. Prescripciones generales para la protección del entorno durante las obras</w:t>
        </w:r>
        <w:r w:rsidR="006867A0">
          <w:rPr>
            <w:rStyle w:val="Hipervnculo"/>
          </w:rPr>
          <w:t xml:space="preserve">   </w:t>
        </w:r>
        <w:r>
          <w:rPr>
            <w:webHidden/>
          </w:rPr>
          <w:tab/>
        </w:r>
        <w:r>
          <w:rPr>
            <w:webHidden/>
          </w:rPr>
          <w:fldChar w:fldCharType="begin"/>
        </w:r>
        <w:r>
          <w:rPr>
            <w:webHidden/>
          </w:rPr>
          <w:instrText xml:space="preserve"> PAGEREF _Toc404837 \h </w:instrText>
        </w:r>
        <w:r>
          <w:rPr>
            <w:webHidden/>
          </w:rPr>
        </w:r>
        <w:r>
          <w:rPr>
            <w:webHidden/>
          </w:rPr>
          <w:fldChar w:fldCharType="separate"/>
        </w:r>
        <w:r w:rsidR="001B26B5">
          <w:rPr>
            <w:webHidden/>
          </w:rPr>
          <w:t>425</w:t>
        </w:r>
        <w:r>
          <w:rPr>
            <w:webHidden/>
          </w:rPr>
          <w:fldChar w:fldCharType="end"/>
        </w:r>
      </w:hyperlink>
    </w:p>
    <w:p w14:paraId="78BF754E"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38" w:history="1">
        <w:r w:rsidRPr="003B1501">
          <w:rPr>
            <w:rStyle w:val="Hipervnculo"/>
          </w:rPr>
          <w:t xml:space="preserve">990.1. </w:t>
        </w:r>
        <w:r>
          <w:rPr>
            <w:rFonts w:asciiTheme="minorHAnsi" w:eastAsiaTheme="minorEastAsia" w:hAnsiTheme="minorHAnsi" w:cstheme="minorBidi"/>
            <w:szCs w:val="22"/>
            <w:lang w:val="es-ES" w:eastAsia="es-ES"/>
          </w:rPr>
          <w:tab/>
        </w:r>
        <w:r w:rsidRPr="003B1501">
          <w:rPr>
            <w:rStyle w:val="Hipervnculo"/>
          </w:rPr>
          <w:t>Prevención de daños y restauración en zonas contiguas a la obra y en otras de ocupación temporal</w:t>
        </w:r>
        <w:r>
          <w:rPr>
            <w:webHidden/>
          </w:rPr>
          <w:tab/>
        </w:r>
        <w:r>
          <w:rPr>
            <w:webHidden/>
          </w:rPr>
          <w:fldChar w:fldCharType="begin"/>
        </w:r>
        <w:r>
          <w:rPr>
            <w:webHidden/>
          </w:rPr>
          <w:instrText xml:space="preserve"> PAGEREF _Toc404838 \h </w:instrText>
        </w:r>
        <w:r>
          <w:rPr>
            <w:webHidden/>
          </w:rPr>
        </w:r>
        <w:r>
          <w:rPr>
            <w:webHidden/>
          </w:rPr>
          <w:fldChar w:fldCharType="separate"/>
        </w:r>
        <w:r w:rsidR="001B26B5">
          <w:rPr>
            <w:webHidden/>
          </w:rPr>
          <w:t>425</w:t>
        </w:r>
        <w:r>
          <w:rPr>
            <w:webHidden/>
          </w:rPr>
          <w:fldChar w:fldCharType="end"/>
        </w:r>
      </w:hyperlink>
    </w:p>
    <w:p w14:paraId="64041810"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39" w:history="1">
        <w:r w:rsidRPr="003B1501">
          <w:rPr>
            <w:rStyle w:val="Hipervnculo"/>
          </w:rPr>
          <w:t>990.2.</w:t>
        </w:r>
        <w:r>
          <w:rPr>
            <w:rFonts w:asciiTheme="minorHAnsi" w:eastAsiaTheme="minorEastAsia" w:hAnsiTheme="minorHAnsi" w:cstheme="minorBidi"/>
            <w:szCs w:val="22"/>
            <w:lang w:val="es-ES" w:eastAsia="es-ES"/>
          </w:rPr>
          <w:tab/>
        </w:r>
        <w:r w:rsidRPr="003B1501">
          <w:rPr>
            <w:rStyle w:val="Hipervnculo"/>
          </w:rPr>
          <w:t xml:space="preserve"> Cuidado de la cubierta vegetal existente</w:t>
        </w:r>
        <w:r>
          <w:rPr>
            <w:webHidden/>
          </w:rPr>
          <w:tab/>
        </w:r>
        <w:r>
          <w:rPr>
            <w:webHidden/>
          </w:rPr>
          <w:fldChar w:fldCharType="begin"/>
        </w:r>
        <w:r>
          <w:rPr>
            <w:webHidden/>
          </w:rPr>
          <w:instrText xml:space="preserve"> PAGEREF _Toc404839 \h </w:instrText>
        </w:r>
        <w:r>
          <w:rPr>
            <w:webHidden/>
          </w:rPr>
        </w:r>
        <w:r>
          <w:rPr>
            <w:webHidden/>
          </w:rPr>
          <w:fldChar w:fldCharType="separate"/>
        </w:r>
        <w:r w:rsidR="001B26B5">
          <w:rPr>
            <w:webHidden/>
          </w:rPr>
          <w:t>425</w:t>
        </w:r>
        <w:r>
          <w:rPr>
            <w:webHidden/>
          </w:rPr>
          <w:fldChar w:fldCharType="end"/>
        </w:r>
      </w:hyperlink>
    </w:p>
    <w:p w14:paraId="0C1BF8DB"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40" w:history="1">
        <w:r w:rsidRPr="003B1501">
          <w:rPr>
            <w:rStyle w:val="Hipervnculo"/>
          </w:rPr>
          <w:t>990.3.</w:t>
        </w:r>
        <w:r>
          <w:rPr>
            <w:rFonts w:asciiTheme="minorHAnsi" w:eastAsiaTheme="minorEastAsia" w:hAnsiTheme="minorHAnsi" w:cstheme="minorBidi"/>
            <w:szCs w:val="22"/>
            <w:lang w:val="es-ES" w:eastAsia="es-ES"/>
          </w:rPr>
          <w:tab/>
        </w:r>
        <w:r w:rsidRPr="003B1501">
          <w:rPr>
            <w:rStyle w:val="Hipervnculo"/>
          </w:rPr>
          <w:t xml:space="preserve"> Acabado superficial de las áreas remodeladas</w:t>
        </w:r>
        <w:r>
          <w:rPr>
            <w:webHidden/>
          </w:rPr>
          <w:tab/>
        </w:r>
        <w:r>
          <w:rPr>
            <w:webHidden/>
          </w:rPr>
          <w:fldChar w:fldCharType="begin"/>
        </w:r>
        <w:r>
          <w:rPr>
            <w:webHidden/>
          </w:rPr>
          <w:instrText xml:space="preserve"> PAGEREF _Toc404840 \h </w:instrText>
        </w:r>
        <w:r>
          <w:rPr>
            <w:webHidden/>
          </w:rPr>
        </w:r>
        <w:r>
          <w:rPr>
            <w:webHidden/>
          </w:rPr>
          <w:fldChar w:fldCharType="separate"/>
        </w:r>
        <w:r w:rsidR="001B26B5">
          <w:rPr>
            <w:webHidden/>
          </w:rPr>
          <w:t>426</w:t>
        </w:r>
        <w:r>
          <w:rPr>
            <w:webHidden/>
          </w:rPr>
          <w:fldChar w:fldCharType="end"/>
        </w:r>
      </w:hyperlink>
    </w:p>
    <w:p w14:paraId="28269146"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41" w:history="1">
        <w:r w:rsidRPr="003B1501">
          <w:rPr>
            <w:rStyle w:val="Hipervnculo"/>
          </w:rPr>
          <w:t xml:space="preserve">990.4. </w:t>
        </w:r>
        <w:r>
          <w:rPr>
            <w:rFonts w:asciiTheme="minorHAnsi" w:eastAsiaTheme="minorEastAsia" w:hAnsiTheme="minorHAnsi" w:cstheme="minorBidi"/>
            <w:szCs w:val="22"/>
            <w:lang w:val="es-ES" w:eastAsia="es-ES"/>
          </w:rPr>
          <w:tab/>
        </w:r>
        <w:r w:rsidRPr="003B1501">
          <w:rPr>
            <w:rStyle w:val="Hipervnculo"/>
          </w:rPr>
          <w:t>Protección del entorno paisajístico durante las obras</w:t>
        </w:r>
        <w:r>
          <w:rPr>
            <w:webHidden/>
          </w:rPr>
          <w:tab/>
        </w:r>
        <w:r>
          <w:rPr>
            <w:webHidden/>
          </w:rPr>
          <w:fldChar w:fldCharType="begin"/>
        </w:r>
        <w:r>
          <w:rPr>
            <w:webHidden/>
          </w:rPr>
          <w:instrText xml:space="preserve"> PAGEREF _Toc404841 \h </w:instrText>
        </w:r>
        <w:r>
          <w:rPr>
            <w:webHidden/>
          </w:rPr>
        </w:r>
        <w:r>
          <w:rPr>
            <w:webHidden/>
          </w:rPr>
          <w:fldChar w:fldCharType="separate"/>
        </w:r>
        <w:r w:rsidR="001B26B5">
          <w:rPr>
            <w:webHidden/>
          </w:rPr>
          <w:t>426</w:t>
        </w:r>
        <w:r>
          <w:rPr>
            <w:webHidden/>
          </w:rPr>
          <w:fldChar w:fldCharType="end"/>
        </w:r>
      </w:hyperlink>
    </w:p>
    <w:p w14:paraId="6A9FE83E"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42" w:history="1">
        <w:r w:rsidRPr="003B1501">
          <w:rPr>
            <w:rStyle w:val="Hipervnculo"/>
          </w:rPr>
          <w:t xml:space="preserve">990.5. </w:t>
        </w:r>
        <w:r>
          <w:rPr>
            <w:rFonts w:asciiTheme="minorHAnsi" w:eastAsiaTheme="minorEastAsia" w:hAnsiTheme="minorHAnsi" w:cstheme="minorBidi"/>
            <w:szCs w:val="22"/>
            <w:lang w:val="es-ES" w:eastAsia="es-ES"/>
          </w:rPr>
          <w:tab/>
        </w:r>
        <w:r w:rsidRPr="003B1501">
          <w:rPr>
            <w:rStyle w:val="Hipervnculo"/>
          </w:rPr>
          <w:t>Protección del agua, cauces y riberas de los cursos de agua atravesados por la traza o próximos a ésta</w:t>
        </w:r>
        <w:r>
          <w:rPr>
            <w:webHidden/>
          </w:rPr>
          <w:tab/>
        </w:r>
        <w:r>
          <w:rPr>
            <w:webHidden/>
          </w:rPr>
          <w:fldChar w:fldCharType="begin"/>
        </w:r>
        <w:r>
          <w:rPr>
            <w:webHidden/>
          </w:rPr>
          <w:instrText xml:space="preserve"> PAGEREF _Toc404842 \h </w:instrText>
        </w:r>
        <w:r>
          <w:rPr>
            <w:webHidden/>
          </w:rPr>
        </w:r>
        <w:r>
          <w:rPr>
            <w:webHidden/>
          </w:rPr>
          <w:fldChar w:fldCharType="separate"/>
        </w:r>
        <w:r w:rsidR="001B26B5">
          <w:rPr>
            <w:webHidden/>
          </w:rPr>
          <w:t>426</w:t>
        </w:r>
        <w:r>
          <w:rPr>
            <w:webHidden/>
          </w:rPr>
          <w:fldChar w:fldCharType="end"/>
        </w:r>
      </w:hyperlink>
    </w:p>
    <w:p w14:paraId="139D8D1C"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43" w:history="1">
        <w:r w:rsidRPr="003B1501">
          <w:rPr>
            <w:rStyle w:val="Hipervnculo"/>
          </w:rPr>
          <w:t xml:space="preserve">990.6. </w:t>
        </w:r>
        <w:r>
          <w:rPr>
            <w:rFonts w:asciiTheme="minorHAnsi" w:eastAsiaTheme="minorEastAsia" w:hAnsiTheme="minorHAnsi" w:cstheme="minorBidi"/>
            <w:szCs w:val="22"/>
            <w:lang w:val="es-ES" w:eastAsia="es-ES"/>
          </w:rPr>
          <w:tab/>
        </w:r>
        <w:r w:rsidRPr="003B1501">
          <w:rPr>
            <w:rStyle w:val="Hipervnculo"/>
          </w:rPr>
          <w:t>Tratamiento y gestión de residuos</w:t>
        </w:r>
        <w:r>
          <w:rPr>
            <w:webHidden/>
          </w:rPr>
          <w:tab/>
        </w:r>
        <w:r>
          <w:rPr>
            <w:webHidden/>
          </w:rPr>
          <w:fldChar w:fldCharType="begin"/>
        </w:r>
        <w:r>
          <w:rPr>
            <w:webHidden/>
          </w:rPr>
          <w:instrText xml:space="preserve"> PAGEREF _Toc404843 \h </w:instrText>
        </w:r>
        <w:r>
          <w:rPr>
            <w:webHidden/>
          </w:rPr>
        </w:r>
        <w:r>
          <w:rPr>
            <w:webHidden/>
          </w:rPr>
          <w:fldChar w:fldCharType="separate"/>
        </w:r>
        <w:r w:rsidR="001B26B5">
          <w:rPr>
            <w:webHidden/>
          </w:rPr>
          <w:t>428</w:t>
        </w:r>
        <w:r>
          <w:rPr>
            <w:webHidden/>
          </w:rPr>
          <w:fldChar w:fldCharType="end"/>
        </w:r>
      </w:hyperlink>
    </w:p>
    <w:p w14:paraId="1E3B24F2"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44" w:history="1">
        <w:r w:rsidRPr="003B1501">
          <w:rPr>
            <w:rStyle w:val="Hipervnculo"/>
          </w:rPr>
          <w:t>990.7. Directrices para la maquinaria a utilizar y de prevención de la contaminación atmosférica</w:t>
        </w:r>
        <w:r>
          <w:rPr>
            <w:webHidden/>
          </w:rPr>
          <w:tab/>
        </w:r>
        <w:r>
          <w:rPr>
            <w:webHidden/>
          </w:rPr>
          <w:fldChar w:fldCharType="begin"/>
        </w:r>
        <w:r>
          <w:rPr>
            <w:webHidden/>
          </w:rPr>
          <w:instrText xml:space="preserve"> PAGEREF _Toc404844 \h </w:instrText>
        </w:r>
        <w:r>
          <w:rPr>
            <w:webHidden/>
          </w:rPr>
        </w:r>
        <w:r>
          <w:rPr>
            <w:webHidden/>
          </w:rPr>
          <w:fldChar w:fldCharType="separate"/>
        </w:r>
        <w:r w:rsidR="001B26B5">
          <w:rPr>
            <w:webHidden/>
          </w:rPr>
          <w:t>429</w:t>
        </w:r>
        <w:r>
          <w:rPr>
            <w:webHidden/>
          </w:rPr>
          <w:fldChar w:fldCharType="end"/>
        </w:r>
      </w:hyperlink>
    </w:p>
    <w:p w14:paraId="5E050D1D" w14:textId="77777777" w:rsidR="0006561B" w:rsidRDefault="0006561B" w:rsidP="0006561B">
      <w:pPr>
        <w:pStyle w:val="TDC2"/>
        <w:spacing w:line="324" w:lineRule="auto"/>
        <w:rPr>
          <w:rFonts w:asciiTheme="minorHAnsi" w:eastAsiaTheme="minorEastAsia" w:hAnsiTheme="minorHAnsi" w:cstheme="minorBidi"/>
          <w:szCs w:val="22"/>
          <w:lang w:val="es-ES" w:eastAsia="es-ES"/>
        </w:rPr>
      </w:pPr>
      <w:hyperlink w:anchor="_Toc404845" w:history="1">
        <w:r w:rsidRPr="003B1501">
          <w:rPr>
            <w:rStyle w:val="Hipervnculo"/>
          </w:rPr>
          <w:t>990.8.-</w:t>
        </w:r>
        <w:r>
          <w:rPr>
            <w:rFonts w:asciiTheme="minorHAnsi" w:eastAsiaTheme="minorEastAsia" w:hAnsiTheme="minorHAnsi" w:cstheme="minorBidi"/>
            <w:szCs w:val="22"/>
            <w:lang w:val="es-ES" w:eastAsia="es-ES"/>
          </w:rPr>
          <w:tab/>
        </w:r>
        <w:r w:rsidRPr="003B1501">
          <w:rPr>
            <w:rStyle w:val="Hipervnculo"/>
          </w:rPr>
          <w:t xml:space="preserve"> Medición y abono</w:t>
        </w:r>
        <w:r>
          <w:rPr>
            <w:webHidden/>
          </w:rPr>
          <w:tab/>
        </w:r>
        <w:r>
          <w:rPr>
            <w:webHidden/>
          </w:rPr>
          <w:fldChar w:fldCharType="begin"/>
        </w:r>
        <w:r>
          <w:rPr>
            <w:webHidden/>
          </w:rPr>
          <w:instrText xml:space="preserve"> PAGEREF _Toc404845 \h </w:instrText>
        </w:r>
        <w:r>
          <w:rPr>
            <w:webHidden/>
          </w:rPr>
        </w:r>
        <w:r>
          <w:rPr>
            <w:webHidden/>
          </w:rPr>
          <w:fldChar w:fldCharType="separate"/>
        </w:r>
        <w:r w:rsidR="001B26B5">
          <w:rPr>
            <w:webHidden/>
          </w:rPr>
          <w:t>430</w:t>
        </w:r>
        <w:r>
          <w:rPr>
            <w:webHidden/>
          </w:rPr>
          <w:fldChar w:fldCharType="end"/>
        </w:r>
      </w:hyperlink>
    </w:p>
    <w:p w14:paraId="7C73C937" w14:textId="77777777" w:rsidR="00FC7B9D" w:rsidRPr="005864C2" w:rsidRDefault="00EA2DBE" w:rsidP="00622514">
      <w:pPr>
        <w:tabs>
          <w:tab w:val="left" w:pos="567"/>
          <w:tab w:val="left" w:pos="1134"/>
          <w:tab w:val="left" w:pos="1701"/>
        </w:tabs>
        <w:spacing w:line="360" w:lineRule="auto"/>
        <w:ind w:left="567" w:hanging="567"/>
        <w:jc w:val="both"/>
        <w:rPr>
          <w:rFonts w:ascii="Arial" w:hAnsi="Arial" w:cs="Arial"/>
          <w:b/>
          <w:color w:val="365F91" w:themeColor="accent1" w:themeShade="BF"/>
          <w:sz w:val="22"/>
          <w:lang w:val="es-ES_tradnl"/>
        </w:rPr>
        <w:sectPr w:rsidR="00FC7B9D" w:rsidRPr="005864C2" w:rsidSect="003069BA">
          <w:footerReference w:type="default" r:id="rId11"/>
          <w:type w:val="oddPage"/>
          <w:pgSz w:w="23814" w:h="16840" w:orient="landscape" w:code="8"/>
          <w:pgMar w:top="992" w:right="851" w:bottom="1418" w:left="851" w:header="567" w:footer="1021" w:gutter="1418"/>
          <w:pgNumType w:start="1"/>
          <w:cols w:num="2" w:space="1418"/>
        </w:sectPr>
      </w:pPr>
      <w:r>
        <w:rPr>
          <w:rFonts w:ascii="Arial" w:hAnsi="Arial" w:cs="Arial"/>
          <w:noProof/>
          <w:color w:val="365F91" w:themeColor="accent1" w:themeShade="BF"/>
          <w:lang w:val="es-ES_tradnl" w:eastAsia="en-US"/>
        </w:rPr>
        <w:fldChar w:fldCharType="end"/>
      </w:r>
    </w:p>
    <w:p w14:paraId="00FB47D5" w14:textId="77777777" w:rsidR="00741ED5" w:rsidRPr="00DA6B25" w:rsidRDefault="00667297" w:rsidP="00741ED5">
      <w:pPr>
        <w:pStyle w:val="TtuloPortada"/>
        <w:jc w:val="right"/>
        <w:outlineLvl w:val="0"/>
        <w:rPr>
          <w:rFonts w:ascii="Arial" w:hAnsi="Arial" w:cs="Arial"/>
          <w:highlight w:val="green"/>
        </w:rPr>
      </w:pPr>
      <w:r w:rsidRPr="005864C2">
        <w:rPr>
          <w:color w:val="365F91" w:themeColor="accent1" w:themeShade="BF"/>
        </w:rPr>
        <w:lastRenderedPageBreak/>
        <w:br w:type="column"/>
      </w:r>
      <w:bookmarkStart w:id="4" w:name="_Toc404028"/>
      <w:r w:rsidR="00741ED5" w:rsidRPr="00DA6B25">
        <w:rPr>
          <w:rFonts w:ascii="Arial" w:hAnsi="Arial" w:cs="Arial"/>
        </w:rPr>
        <w:t xml:space="preserve">3.1.- </w:t>
      </w:r>
      <w:r w:rsidR="00FC7B9D" w:rsidRPr="00DA6B25">
        <w:rPr>
          <w:rFonts w:ascii="Arial" w:hAnsi="Arial" w:cs="Arial"/>
        </w:rPr>
        <w:t>P</w:t>
      </w:r>
      <w:r w:rsidR="00741ED5" w:rsidRPr="00DA6B25">
        <w:rPr>
          <w:rFonts w:ascii="Arial" w:hAnsi="Arial" w:cs="Arial"/>
        </w:rPr>
        <w:t>liego de condiciones administrativas</w:t>
      </w:r>
      <w:bookmarkEnd w:id="4"/>
    </w:p>
    <w:p w14:paraId="42FF6BCE" w14:textId="77777777" w:rsidR="00741ED5" w:rsidRPr="005864C2" w:rsidRDefault="00741ED5" w:rsidP="00741ED5">
      <w:pPr>
        <w:pStyle w:val="NORMAL12"/>
        <w:rPr>
          <w:color w:val="365F91" w:themeColor="accent1" w:themeShade="BF"/>
          <w:highlight w:val="green"/>
        </w:rPr>
      </w:pPr>
    </w:p>
    <w:p w14:paraId="5BD784DE" w14:textId="77777777" w:rsidR="00741ED5" w:rsidRPr="005864C2" w:rsidRDefault="00741ED5" w:rsidP="00741ED5">
      <w:pPr>
        <w:pStyle w:val="NORMAL12"/>
        <w:rPr>
          <w:color w:val="365F91" w:themeColor="accent1" w:themeShade="BF"/>
          <w:highlight w:val="green"/>
        </w:rPr>
        <w:sectPr w:rsidR="00741ED5" w:rsidRPr="005864C2" w:rsidSect="003069BA">
          <w:type w:val="oddPage"/>
          <w:pgSz w:w="23814" w:h="16840" w:orient="landscape" w:code="8"/>
          <w:pgMar w:top="992" w:right="851" w:bottom="1418" w:left="851" w:header="567" w:footer="1021" w:gutter="1418"/>
          <w:cols w:num="2" w:space="1418"/>
        </w:sectPr>
      </w:pPr>
    </w:p>
    <w:p w14:paraId="76112571" w14:textId="77777777" w:rsidR="00E43F4F" w:rsidRPr="00A9218A" w:rsidRDefault="00E43F4F" w:rsidP="001844DF">
      <w:pPr>
        <w:pStyle w:val="TITU3"/>
        <w:numPr>
          <w:ilvl w:val="0"/>
          <w:numId w:val="0"/>
        </w:numPr>
        <w:outlineLvl w:val="1"/>
      </w:pPr>
      <w:bookmarkStart w:id="5" w:name="_Toc404029"/>
      <w:r w:rsidRPr="00A9218A">
        <w:lastRenderedPageBreak/>
        <w:t>3.1.1.- Generalidades</w:t>
      </w:r>
      <w:bookmarkEnd w:id="5"/>
      <w:r w:rsidRPr="00A9218A">
        <w:t xml:space="preserve"> </w:t>
      </w:r>
    </w:p>
    <w:p w14:paraId="0AD6565E" w14:textId="77777777" w:rsidR="005864C2" w:rsidRPr="00A9218A" w:rsidRDefault="00E43F4F" w:rsidP="00E43F4F">
      <w:pPr>
        <w:pStyle w:val="NORMAL12"/>
        <w:rPr>
          <w:lang w:val="es-ES"/>
        </w:rPr>
      </w:pPr>
      <w:r w:rsidRPr="00A9218A">
        <w:rPr>
          <w:lang w:val="es-ES"/>
        </w:rPr>
        <w:t xml:space="preserve">La ejecución de las obras definidas en el presente proyecto se regirá administrativamente por el Pliego de Condiciones del Concurso de Licitación de la contratación de </w:t>
      </w:r>
      <w:r w:rsidR="00B0050B" w:rsidRPr="00A9218A">
        <w:rPr>
          <w:lang w:val="es-ES"/>
        </w:rPr>
        <w:t>estas</w:t>
      </w:r>
      <w:r w:rsidR="005864C2" w:rsidRPr="00A9218A">
        <w:rPr>
          <w:lang w:val="es-ES"/>
        </w:rPr>
        <w:t>.</w:t>
      </w:r>
    </w:p>
    <w:p w14:paraId="5BBC006E" w14:textId="77777777" w:rsidR="005864C2" w:rsidRPr="00A9218A" w:rsidRDefault="005864C2" w:rsidP="00E43F4F">
      <w:pPr>
        <w:pStyle w:val="NORMAL12"/>
        <w:rPr>
          <w:lang w:val="es-ES"/>
        </w:rPr>
      </w:pPr>
      <w:proofErr w:type="gramStart"/>
      <w:r w:rsidRPr="00A9218A">
        <w:rPr>
          <w:lang w:val="es-ES"/>
        </w:rPr>
        <w:t>Asimismo</w:t>
      </w:r>
      <w:proofErr w:type="gramEnd"/>
      <w:r w:rsidRPr="00A9218A">
        <w:rPr>
          <w:lang w:val="es-ES"/>
        </w:rPr>
        <w:t xml:space="preserve"> se regirá por el Pliego de Clá</w:t>
      </w:r>
      <w:r w:rsidR="00E43F4F" w:rsidRPr="00A9218A">
        <w:rPr>
          <w:lang w:val="es-ES"/>
        </w:rPr>
        <w:t>usulas Administrativas Generales para la Contratación de Obras del Estado y</w:t>
      </w:r>
      <w:r w:rsidRPr="00A9218A">
        <w:rPr>
          <w:lang w:val="es-ES"/>
        </w:rPr>
        <w:t xml:space="preserve"> por la Ley 9/2017, de 8 de noviembre, de Contratos del Sector Público.</w:t>
      </w:r>
    </w:p>
    <w:p w14:paraId="56696336" w14:textId="77777777" w:rsidR="002A2022" w:rsidRDefault="005864C2" w:rsidP="002A2022">
      <w:pPr>
        <w:pStyle w:val="NORMAL12"/>
        <w:rPr>
          <w:lang w:val="es-ES"/>
        </w:rPr>
      </w:pPr>
      <w:r w:rsidRPr="00A9218A">
        <w:rPr>
          <w:lang w:val="es-ES"/>
        </w:rPr>
        <w:t xml:space="preserve">También se regirá, en lo que sea de aplicación, por </w:t>
      </w:r>
      <w:r w:rsidR="00232F6B" w:rsidRPr="00A9218A">
        <w:rPr>
          <w:lang w:val="es-ES"/>
        </w:rPr>
        <w:t>el Pliego de Prescripciones Técnicas Generales para obras de carretera y puentes (</w:t>
      </w:r>
      <w:r w:rsidR="00E43F4F" w:rsidRPr="00A9218A">
        <w:rPr>
          <w:lang w:val="es-ES"/>
        </w:rPr>
        <w:t>PG-3</w:t>
      </w:r>
      <w:r w:rsidR="00232F6B" w:rsidRPr="00A9218A">
        <w:rPr>
          <w:lang w:val="es-ES"/>
        </w:rPr>
        <w:t>)</w:t>
      </w:r>
      <w:r w:rsidR="00E43F4F" w:rsidRPr="00A9218A">
        <w:rPr>
          <w:lang w:val="es-ES"/>
        </w:rPr>
        <w:t>.</w:t>
      </w:r>
    </w:p>
    <w:p w14:paraId="240FF3FF" w14:textId="77777777" w:rsidR="00E43F4F" w:rsidRPr="005864C2" w:rsidRDefault="002A2022" w:rsidP="002A2022">
      <w:pPr>
        <w:pStyle w:val="NORMAL12"/>
        <w:rPr>
          <w:color w:val="365F91" w:themeColor="accent1" w:themeShade="BF"/>
        </w:rPr>
        <w:sectPr w:rsidR="00E43F4F" w:rsidRPr="005864C2" w:rsidSect="003069BA">
          <w:type w:val="oddPage"/>
          <w:pgSz w:w="23814" w:h="16840" w:orient="landscape" w:code="8"/>
          <w:pgMar w:top="992" w:right="851" w:bottom="1418" w:left="851" w:header="567" w:footer="1021" w:gutter="1418"/>
          <w:cols w:num="2" w:space="1418"/>
        </w:sectPr>
      </w:pPr>
      <w:r w:rsidRPr="005864C2">
        <w:rPr>
          <w:color w:val="365F91" w:themeColor="accent1" w:themeShade="BF"/>
        </w:rPr>
        <w:t xml:space="preserve"> </w:t>
      </w:r>
    </w:p>
    <w:p w14:paraId="13104E43" w14:textId="77777777" w:rsidR="00741ED5" w:rsidRPr="00DA6B25" w:rsidRDefault="00741ED5" w:rsidP="00741ED5">
      <w:pPr>
        <w:pStyle w:val="TtuloPortada"/>
        <w:jc w:val="right"/>
        <w:outlineLvl w:val="0"/>
        <w:rPr>
          <w:rFonts w:ascii="Arial" w:hAnsi="Arial" w:cs="Arial"/>
          <w:highlight w:val="green"/>
        </w:rPr>
      </w:pPr>
      <w:r w:rsidRPr="005864C2">
        <w:rPr>
          <w:color w:val="365F91" w:themeColor="accent1" w:themeShade="BF"/>
          <w:highlight w:val="green"/>
        </w:rPr>
        <w:lastRenderedPageBreak/>
        <w:br w:type="column"/>
      </w:r>
      <w:bookmarkStart w:id="6" w:name="_Toc404030"/>
      <w:r w:rsidRPr="00DA6B25">
        <w:rPr>
          <w:rFonts w:ascii="Arial" w:hAnsi="Arial" w:cs="Arial"/>
        </w:rPr>
        <w:t>3.2.- Pliego de prescripciones técnicas</w:t>
      </w:r>
      <w:bookmarkEnd w:id="6"/>
    </w:p>
    <w:p w14:paraId="739724E5" w14:textId="77777777" w:rsidR="00741ED5" w:rsidRPr="005864C2" w:rsidRDefault="00741ED5" w:rsidP="00741ED5">
      <w:pPr>
        <w:pStyle w:val="NORMAL12"/>
        <w:rPr>
          <w:color w:val="365F91" w:themeColor="accent1" w:themeShade="BF"/>
          <w:highlight w:val="green"/>
        </w:rPr>
      </w:pPr>
    </w:p>
    <w:p w14:paraId="086F6D1D" w14:textId="77777777" w:rsidR="00741ED5" w:rsidRPr="005864C2" w:rsidRDefault="00741ED5" w:rsidP="00741ED5">
      <w:pPr>
        <w:pStyle w:val="NORMAL12"/>
        <w:rPr>
          <w:color w:val="365F91" w:themeColor="accent1" w:themeShade="BF"/>
          <w:highlight w:val="green"/>
        </w:rPr>
        <w:sectPr w:rsidR="00741ED5" w:rsidRPr="005864C2" w:rsidSect="003069BA">
          <w:type w:val="oddPage"/>
          <w:pgSz w:w="23814" w:h="16840" w:orient="landscape" w:code="8"/>
          <w:pgMar w:top="992" w:right="851" w:bottom="1418" w:left="851" w:header="567" w:footer="1021" w:gutter="1418"/>
          <w:cols w:num="2" w:space="1418"/>
        </w:sectPr>
      </w:pPr>
    </w:p>
    <w:p w14:paraId="35B9B832" w14:textId="77777777" w:rsidR="00741ED5" w:rsidRPr="00DA6B25" w:rsidRDefault="00741ED5" w:rsidP="00741ED5">
      <w:pPr>
        <w:pStyle w:val="TtuloPortada"/>
        <w:jc w:val="right"/>
        <w:outlineLvl w:val="0"/>
        <w:rPr>
          <w:rFonts w:ascii="Arial" w:hAnsi="Arial" w:cs="Arial"/>
          <w:highlight w:val="green"/>
        </w:rPr>
      </w:pPr>
      <w:r w:rsidRPr="005864C2">
        <w:rPr>
          <w:color w:val="365F91" w:themeColor="accent1" w:themeShade="BF"/>
          <w:highlight w:val="green"/>
        </w:rPr>
        <w:lastRenderedPageBreak/>
        <w:br w:type="column"/>
      </w:r>
      <w:bookmarkStart w:id="7" w:name="_Toc404031"/>
      <w:r w:rsidRPr="00DA6B25">
        <w:rPr>
          <w:rFonts w:ascii="Arial" w:hAnsi="Arial" w:cs="Arial"/>
        </w:rPr>
        <w:t>3.2.1.- Pliego de prescripciones técnicas generales</w:t>
      </w:r>
      <w:bookmarkEnd w:id="7"/>
    </w:p>
    <w:p w14:paraId="30DC14A8" w14:textId="77777777" w:rsidR="00741ED5" w:rsidRPr="005864C2" w:rsidRDefault="00741ED5" w:rsidP="00741ED5">
      <w:pPr>
        <w:pStyle w:val="NORMAL12"/>
        <w:rPr>
          <w:color w:val="365F91" w:themeColor="accent1" w:themeShade="BF"/>
          <w:highlight w:val="green"/>
        </w:rPr>
      </w:pPr>
    </w:p>
    <w:p w14:paraId="0611373E" w14:textId="77777777" w:rsidR="00741ED5" w:rsidRPr="005864C2" w:rsidRDefault="00741ED5" w:rsidP="00741ED5">
      <w:pPr>
        <w:pStyle w:val="NORMAL12"/>
        <w:rPr>
          <w:color w:val="365F91" w:themeColor="accent1" w:themeShade="BF"/>
          <w:highlight w:val="green"/>
        </w:rPr>
        <w:sectPr w:rsidR="00741ED5" w:rsidRPr="005864C2" w:rsidSect="003069BA">
          <w:type w:val="oddPage"/>
          <w:pgSz w:w="23814" w:h="16840" w:orient="landscape" w:code="8"/>
          <w:pgMar w:top="992" w:right="851" w:bottom="1418" w:left="851" w:header="567" w:footer="1021" w:gutter="1418"/>
          <w:cols w:num="2" w:space="1418"/>
        </w:sectPr>
      </w:pPr>
    </w:p>
    <w:p w14:paraId="5D810091" w14:textId="13F6FDBD" w:rsidR="00177852" w:rsidRPr="00647F97" w:rsidRDefault="00177852" w:rsidP="00427AD7">
      <w:pPr>
        <w:pStyle w:val="TITU2"/>
        <w:ind w:left="851" w:hanging="851"/>
      </w:pPr>
      <w:bookmarkStart w:id="8" w:name="_Toc123104819"/>
      <w:bookmarkStart w:id="9" w:name="_Toc240349803"/>
      <w:bookmarkStart w:id="10" w:name="_Toc277523131"/>
      <w:bookmarkStart w:id="11" w:name="_Toc404032"/>
      <w:bookmarkStart w:id="12" w:name="_Toc123104816"/>
      <w:bookmarkStart w:id="13" w:name="_Toc183257569"/>
      <w:bookmarkStart w:id="14" w:name="_Toc240349799"/>
      <w:bookmarkStart w:id="15" w:name="_Toc277523125"/>
      <w:r w:rsidRPr="00647F97">
        <w:lastRenderedPageBreak/>
        <w:t>3.2.1.1.</w:t>
      </w:r>
      <w:bookmarkEnd w:id="8"/>
      <w:bookmarkEnd w:id="9"/>
      <w:r w:rsidRPr="00647F97">
        <w:t xml:space="preserve"> Normativa de aplicación</w:t>
      </w:r>
      <w:bookmarkEnd w:id="10"/>
      <w:bookmarkEnd w:id="11"/>
    </w:p>
    <w:p w14:paraId="38FF999C" w14:textId="77777777" w:rsidR="00647F97" w:rsidRPr="00647F97" w:rsidRDefault="00647F97" w:rsidP="00427AD7">
      <w:pPr>
        <w:pStyle w:val="NORMAL12"/>
        <w:ind w:left="851" w:hanging="851"/>
        <w:rPr>
          <w:lang w:val="es-ES"/>
        </w:rPr>
      </w:pPr>
      <w:r w:rsidRPr="00647F97">
        <w:rPr>
          <w:lang w:val="es-ES"/>
        </w:rPr>
        <w:t xml:space="preserve">Será de aplicación, en su caso, como supletoria y complementaria de las contenidas en este Pliego toda la normativa vigente que proceda, en cuanto no </w:t>
      </w:r>
      <w:proofErr w:type="gramStart"/>
      <w:r w:rsidRPr="00647F97">
        <w:rPr>
          <w:lang w:val="es-ES"/>
        </w:rPr>
        <w:t>modifiquen</w:t>
      </w:r>
      <w:proofErr w:type="gramEnd"/>
      <w:r w:rsidRPr="00647F97">
        <w:rPr>
          <w:lang w:val="es-ES"/>
        </w:rPr>
        <w:t xml:space="preserve"> ni se opongan a lo que en él se especifica.</w:t>
      </w:r>
    </w:p>
    <w:p w14:paraId="40B4D4D5" w14:textId="77777777" w:rsidR="00647F97" w:rsidRPr="00647F97" w:rsidRDefault="00647F97" w:rsidP="00427AD7">
      <w:pPr>
        <w:pStyle w:val="NORMAL12"/>
        <w:ind w:left="851" w:hanging="851"/>
        <w:rPr>
          <w:lang w:val="es-ES"/>
        </w:rPr>
      </w:pPr>
      <w:r w:rsidRPr="00647F97">
        <w:rPr>
          <w:lang w:val="es-ES"/>
        </w:rPr>
        <w:t>Toda la normativa obligará tanto en su redacción original como en las modificaciones posteriores, declaradas de aplicación obligatoria o que se declaren como tales durante el plazo de ejecución de las obras de este Proyecto.</w:t>
      </w:r>
    </w:p>
    <w:p w14:paraId="7455BD14" w14:textId="77777777" w:rsidR="00647F97" w:rsidRPr="00647F97" w:rsidRDefault="00647F97" w:rsidP="00427AD7">
      <w:pPr>
        <w:pStyle w:val="NORMAL12"/>
        <w:ind w:left="851" w:hanging="851"/>
        <w:rPr>
          <w:lang w:val="es-ES"/>
        </w:rPr>
      </w:pPr>
      <w:r w:rsidRPr="00647F97">
        <w:rPr>
          <w:lang w:val="es-ES"/>
        </w:rPr>
        <w:t xml:space="preserve">Serán de aplicación las disposiciones que, sin carácter limitativo, se indican a continuación: </w:t>
      </w:r>
    </w:p>
    <w:p w14:paraId="18438FF8" w14:textId="77777777" w:rsidR="00177852" w:rsidRPr="00647F97" w:rsidRDefault="00177852" w:rsidP="00427AD7">
      <w:pPr>
        <w:ind w:left="851" w:right="5432" w:hanging="851"/>
        <w:jc w:val="both"/>
        <w:rPr>
          <w:rFonts w:ascii="Arial" w:eastAsia="Arial" w:hAnsi="Arial" w:cs="Arial"/>
          <w:u w:val="single"/>
        </w:rPr>
      </w:pPr>
      <w:r w:rsidRPr="00647F97">
        <w:rPr>
          <w:rFonts w:ascii="Arial" w:eastAsia="Arial" w:hAnsi="Arial" w:cs="Arial"/>
          <w:bCs/>
          <w:u w:val="single"/>
        </w:rPr>
        <w:t>GENERALES</w:t>
      </w:r>
    </w:p>
    <w:p w14:paraId="72F6DF8D" w14:textId="77777777" w:rsidR="00177852" w:rsidRPr="00647F97" w:rsidRDefault="00177852" w:rsidP="00427AD7">
      <w:pPr>
        <w:spacing w:before="18" w:line="260" w:lineRule="exact"/>
        <w:ind w:left="851" w:hanging="851"/>
        <w:rPr>
          <w:sz w:val="26"/>
          <w:szCs w:val="26"/>
        </w:rPr>
      </w:pPr>
    </w:p>
    <w:p w14:paraId="03EB28DA" w14:textId="77777777" w:rsidR="00177852" w:rsidRPr="00647F97" w:rsidRDefault="00177852" w:rsidP="00427AD7">
      <w:pPr>
        <w:pStyle w:val="NORMAL12"/>
        <w:numPr>
          <w:ilvl w:val="0"/>
          <w:numId w:val="58"/>
        </w:numPr>
        <w:ind w:left="851" w:hanging="851"/>
        <w:rPr>
          <w:lang w:val="es-ES"/>
        </w:rPr>
      </w:pPr>
      <w:r w:rsidRPr="00647F97">
        <w:rPr>
          <w:lang w:val="es-ES"/>
        </w:rPr>
        <w:t>Ley 9/2017, de 8 de noviembre, de Contratos del Sector Público, por el que se transponen al ordenamiento jurídico español las Directivas del Parlamento Europeo y Consejo 2014/23/UE y 2014/24/UE, de 26 de febrero de 2014.</w:t>
      </w:r>
    </w:p>
    <w:p w14:paraId="6F8AD3C9" w14:textId="77777777" w:rsidR="00177852" w:rsidRPr="00647F97" w:rsidRDefault="00177852" w:rsidP="00427AD7">
      <w:pPr>
        <w:pStyle w:val="NORMAL12"/>
        <w:numPr>
          <w:ilvl w:val="0"/>
          <w:numId w:val="58"/>
        </w:numPr>
        <w:ind w:left="851" w:hanging="851"/>
        <w:rPr>
          <w:lang w:val="es-ES"/>
        </w:rPr>
      </w:pPr>
      <w:r w:rsidRPr="00647F97">
        <w:rPr>
          <w:lang w:val="es-ES"/>
        </w:rPr>
        <w:t xml:space="preserve">Real Decreto 773/2015, de 28 de agosto, por el que se modifican determinados preceptos del </w:t>
      </w:r>
      <w:proofErr w:type="gramStart"/>
      <w:r w:rsidRPr="00647F97">
        <w:rPr>
          <w:lang w:val="es-ES"/>
        </w:rPr>
        <w:t>Reglamento  General</w:t>
      </w:r>
      <w:proofErr w:type="gramEnd"/>
      <w:r w:rsidRPr="00647F97">
        <w:rPr>
          <w:lang w:val="es-ES"/>
        </w:rPr>
        <w:t xml:space="preserve"> de la Ley de Contratos de las Administraciones Públicas, aprobado por el Real Decreto 1098/2001, de 12 de octubre.</w:t>
      </w:r>
    </w:p>
    <w:p w14:paraId="3BEBC6BF" w14:textId="77777777" w:rsidR="00177852" w:rsidRPr="00647F97" w:rsidRDefault="00177852" w:rsidP="00427AD7">
      <w:pPr>
        <w:pStyle w:val="NORMAL12"/>
        <w:numPr>
          <w:ilvl w:val="0"/>
          <w:numId w:val="58"/>
        </w:numPr>
        <w:ind w:left="851" w:hanging="851"/>
        <w:rPr>
          <w:lang w:val="es-ES"/>
        </w:rPr>
      </w:pPr>
      <w:r w:rsidRPr="00647F97">
        <w:rPr>
          <w:lang w:val="es-ES"/>
        </w:rPr>
        <w:t>Real Decreto 1359/2011, de 7 de octubre, por el que se aprueba la relación de materiales básicos y las fórmulas-tipo generales de revisión de precios de los contratos de obras y de contratos de suministro, de fabricación de armamento y equipamiento de las Administraciones Públicas.</w:t>
      </w:r>
    </w:p>
    <w:p w14:paraId="5F34699F" w14:textId="77777777" w:rsidR="00177852" w:rsidRPr="00647F97" w:rsidRDefault="00177852" w:rsidP="00427AD7">
      <w:pPr>
        <w:pStyle w:val="NORMAL12"/>
        <w:numPr>
          <w:ilvl w:val="0"/>
          <w:numId w:val="58"/>
        </w:numPr>
        <w:ind w:left="851" w:hanging="851"/>
        <w:rPr>
          <w:lang w:val="es-ES"/>
        </w:rPr>
      </w:pPr>
      <w:r w:rsidRPr="00647F97">
        <w:rPr>
          <w:lang w:val="es-ES"/>
        </w:rPr>
        <w:t>Real Decreto 300/2011, de 4 de marzo, por el que se modifica el Real Decreto 817/2009, de 8 de mayo, por el que se desarrolla parcialmente la Ley 30/2007, de 30 de octubre, de contratos del sector público y se habilita al titular del Ministerio de Economía y Hacienda para modificar sus anexos.</w:t>
      </w:r>
    </w:p>
    <w:p w14:paraId="78C4E99A" w14:textId="77777777" w:rsidR="00177852" w:rsidRPr="00647F97" w:rsidRDefault="00177852" w:rsidP="00427AD7">
      <w:pPr>
        <w:pStyle w:val="NORMAL12"/>
        <w:numPr>
          <w:ilvl w:val="0"/>
          <w:numId w:val="58"/>
        </w:numPr>
        <w:ind w:left="851" w:hanging="851"/>
        <w:rPr>
          <w:lang w:val="es-ES"/>
        </w:rPr>
      </w:pPr>
      <w:r w:rsidRPr="00647F97">
        <w:rPr>
          <w:lang w:val="es-ES"/>
        </w:rPr>
        <w:t>Real Decreto 817/2009, de 8 de mayo, por el que se desarrolla parcialmente la Ley 30/2007, de 30 de octubre, de Contratos del Sector Público.</w:t>
      </w:r>
    </w:p>
    <w:p w14:paraId="3542A7EA" w14:textId="77777777" w:rsidR="00177852" w:rsidRPr="00647F97" w:rsidRDefault="00177852" w:rsidP="00427AD7">
      <w:pPr>
        <w:pStyle w:val="NORMAL12"/>
        <w:numPr>
          <w:ilvl w:val="0"/>
          <w:numId w:val="58"/>
        </w:numPr>
        <w:ind w:left="851" w:hanging="851"/>
        <w:rPr>
          <w:lang w:val="es-ES"/>
        </w:rPr>
      </w:pPr>
      <w:r w:rsidRPr="00647F97">
        <w:rPr>
          <w:lang w:val="es-ES"/>
        </w:rPr>
        <w:t xml:space="preserve">Real Decreto 1098/2001, de 12 de octubre, por el que se aprueba el Reglamento general de la Ley de Contratos de las Administraciones Públicas (BOE del 26 de octubre de 2001). El RD 817/2009, de 8 de mayo (BOE del 15 de mayo de 2009), </w:t>
      </w:r>
      <w:r w:rsidRPr="00647F97">
        <w:rPr>
          <w:lang w:val="es-ES"/>
        </w:rPr>
        <w:t>deroga los artículos 79, 114 al 117 y los anexos VII, VIII y IX y modifica el artículo 179.1. Corrección de errores BOE del 19 de diciembre de 2001 y del 8 de febrero de 2002.</w:t>
      </w:r>
    </w:p>
    <w:p w14:paraId="5930964C" w14:textId="77777777" w:rsidR="00177852" w:rsidRPr="00647F97" w:rsidRDefault="00177852" w:rsidP="00427AD7">
      <w:pPr>
        <w:pStyle w:val="NORMAL12"/>
        <w:numPr>
          <w:ilvl w:val="0"/>
          <w:numId w:val="58"/>
        </w:numPr>
        <w:ind w:left="851" w:hanging="851"/>
        <w:rPr>
          <w:lang w:val="es-ES"/>
        </w:rPr>
      </w:pPr>
      <w:r w:rsidRPr="00647F97">
        <w:rPr>
          <w:lang w:val="es-ES"/>
        </w:rPr>
        <w:t>Decreto 3854/70, de 31 de diciembre, por el que se aprueba el Pliego de Cláusulas Administrativas Generales para la Contratación de Obras del Estado (BOE del 16 de febrero de 1971).</w:t>
      </w:r>
    </w:p>
    <w:p w14:paraId="3802B6BB" w14:textId="77777777" w:rsidR="00177852" w:rsidRPr="00647F97" w:rsidRDefault="00177852" w:rsidP="00427AD7">
      <w:pPr>
        <w:pStyle w:val="NORMAL12"/>
        <w:numPr>
          <w:ilvl w:val="0"/>
          <w:numId w:val="58"/>
        </w:numPr>
        <w:ind w:left="851" w:hanging="851"/>
        <w:rPr>
          <w:lang w:val="es-ES"/>
        </w:rPr>
      </w:pPr>
      <w:r w:rsidRPr="00647F97">
        <w:rPr>
          <w:lang w:val="es-ES"/>
        </w:rPr>
        <w:t>Orden Circular 31/2012, de 12 de diciembre de 2012, sobre propuesta y fijación de fórmulas polinómicas de revisión de precios en los proyectos de obras de la Dirección General de Carreteras.</w:t>
      </w:r>
    </w:p>
    <w:p w14:paraId="5B28E498" w14:textId="77777777" w:rsidR="00177852" w:rsidRPr="00647F97" w:rsidRDefault="00177852" w:rsidP="00427AD7">
      <w:pPr>
        <w:ind w:left="851" w:right="46" w:hanging="851"/>
        <w:jc w:val="both"/>
        <w:rPr>
          <w:rFonts w:ascii="Arial" w:eastAsia="Arial" w:hAnsi="Arial" w:cs="Arial"/>
        </w:rPr>
      </w:pPr>
    </w:p>
    <w:p w14:paraId="4AD6920E" w14:textId="77777777" w:rsidR="00177852" w:rsidRPr="00647F97" w:rsidRDefault="00177852" w:rsidP="00427AD7">
      <w:pPr>
        <w:ind w:left="851" w:right="5432" w:hanging="851"/>
        <w:jc w:val="both"/>
        <w:rPr>
          <w:rFonts w:ascii="Arial" w:eastAsia="Arial" w:hAnsi="Arial" w:cs="Arial"/>
          <w:bCs/>
          <w:u w:val="single"/>
        </w:rPr>
      </w:pPr>
      <w:r w:rsidRPr="00647F97">
        <w:rPr>
          <w:rFonts w:ascii="Arial" w:eastAsia="Arial" w:hAnsi="Arial" w:cs="Arial"/>
          <w:bCs/>
          <w:u w:val="single"/>
        </w:rPr>
        <w:t>CARRETERAS Y URBANISMO</w:t>
      </w:r>
    </w:p>
    <w:p w14:paraId="24AE0013" w14:textId="77777777" w:rsidR="00177852" w:rsidRPr="00647F97" w:rsidRDefault="00177852" w:rsidP="00427AD7">
      <w:pPr>
        <w:spacing w:before="2" w:line="100" w:lineRule="exact"/>
        <w:ind w:left="851" w:hanging="851"/>
        <w:rPr>
          <w:sz w:val="10"/>
          <w:szCs w:val="10"/>
        </w:rPr>
      </w:pPr>
    </w:p>
    <w:p w14:paraId="42459C57" w14:textId="77777777" w:rsidR="00177852" w:rsidRPr="00647F97" w:rsidRDefault="00177852" w:rsidP="00427AD7">
      <w:pPr>
        <w:spacing w:line="200" w:lineRule="exact"/>
        <w:ind w:left="851" w:hanging="851"/>
        <w:rPr>
          <w:sz w:val="20"/>
          <w:szCs w:val="20"/>
        </w:rPr>
      </w:pPr>
    </w:p>
    <w:p w14:paraId="038B7B5E" w14:textId="77777777" w:rsidR="00177852" w:rsidRPr="00647F97" w:rsidRDefault="00177852" w:rsidP="00427AD7">
      <w:pPr>
        <w:pStyle w:val="NORMAL12"/>
        <w:numPr>
          <w:ilvl w:val="0"/>
          <w:numId w:val="58"/>
        </w:numPr>
        <w:ind w:left="851" w:hanging="851"/>
        <w:rPr>
          <w:lang w:val="es-ES"/>
        </w:rPr>
      </w:pPr>
      <w:r w:rsidRPr="00647F97">
        <w:rPr>
          <w:lang w:val="es-ES"/>
        </w:rPr>
        <w:t>Ley 37/2015, de 29 de septiembre, de Carreteras (BOE del 30/9/2015).</w:t>
      </w:r>
    </w:p>
    <w:p w14:paraId="19087CBF" w14:textId="77777777" w:rsidR="00177852" w:rsidRDefault="00177852" w:rsidP="00427AD7">
      <w:pPr>
        <w:pStyle w:val="NORMAL12"/>
        <w:numPr>
          <w:ilvl w:val="0"/>
          <w:numId w:val="58"/>
        </w:numPr>
        <w:ind w:left="851" w:hanging="851"/>
        <w:rPr>
          <w:lang w:val="es-ES"/>
        </w:rPr>
      </w:pPr>
      <w:r w:rsidRPr="00647F97">
        <w:rPr>
          <w:lang w:val="es-ES"/>
        </w:rPr>
        <w:t>Real Decreto 1812/1994, de 2 de septiembre, por el que se aprueba el Reglamento General de Carreteras (BOE del 23). Modificado por el Real Decreto 1911/1997, de 19 de diciembre, (BOE del 10 de enero de 1998), por el Real Decreto 597/1999, de 16 de abril (BOE del 29 de abril de 1999) y por el Real Decreto 114/2001, de 9 de febrero (BOE del 21 de febrero de 2001). La Orden Ministerial de 16 de diciembre de 1997 del Ministerio de Fomento desarrolla algunos de sus artículos.</w:t>
      </w:r>
    </w:p>
    <w:p w14:paraId="75A67CAE" w14:textId="77777777" w:rsidR="00A62EA1" w:rsidRPr="00647F97" w:rsidRDefault="00A62EA1" w:rsidP="00427AD7">
      <w:pPr>
        <w:pStyle w:val="NORMAL12"/>
        <w:numPr>
          <w:ilvl w:val="0"/>
          <w:numId w:val="58"/>
        </w:numPr>
        <w:ind w:left="851" w:hanging="851"/>
        <w:rPr>
          <w:lang w:val="es-ES"/>
        </w:rPr>
      </w:pPr>
      <w:r>
        <w:rPr>
          <w:lang w:val="es-ES"/>
        </w:rPr>
        <w:t xml:space="preserve">Pliego de Prescripciones </w:t>
      </w:r>
      <w:r w:rsidRPr="00A62EA1">
        <w:rPr>
          <w:lang w:val="es-ES"/>
        </w:rPr>
        <w:t>Técnicas Generales para obras de carreteras y puentes de la Dirección</w:t>
      </w:r>
      <w:r w:rsidRPr="00EB2651">
        <w:rPr>
          <w:lang w:val="es-ES"/>
        </w:rPr>
        <w:t xml:space="preserve"> General de Carreteras (PG-3). Orden Ministerial de 6 de febrero de 1976. La Orden FOM/2523/2014 actualiza artículos de materiales básicos, firmes, pavimentos, señalización, balizamiento y sistemas de contención de vehículos (BOE del 3 de enero de 2015, corrección de erratas BOE 1 de marzo de 2017). La Orden FOM/1382/2002 actualiza artículos de explanaciones, drenajes y cimentaciones (BOE del 11 de junio de 2002; corrección de erratas BOE 26 de noviembre de 2002). La Orden FOM/475/2002 actualiza artículos de hormigones y aceros (BOE del 6 de marzo de 2002).</w:t>
      </w:r>
    </w:p>
    <w:p w14:paraId="0F0A227D" w14:textId="77777777" w:rsidR="00F17841" w:rsidRPr="00900D65" w:rsidRDefault="00F17841" w:rsidP="00427AD7">
      <w:pPr>
        <w:pStyle w:val="NORMAL12"/>
        <w:numPr>
          <w:ilvl w:val="0"/>
          <w:numId w:val="58"/>
        </w:numPr>
        <w:ind w:left="851" w:hanging="851"/>
        <w:rPr>
          <w:lang w:val="es-ES"/>
        </w:rPr>
      </w:pPr>
      <w:r w:rsidRPr="00900D65">
        <w:rPr>
          <w:lang w:val="es-ES"/>
        </w:rPr>
        <w:t xml:space="preserve">Orden FOM/510/2018, de 8 de mayo, por la que se modifica la Orden FOM/2523/2014, de 12 de diciembre, por la que se actualizan determinados artículos del pliego de prescripciones técnicas generales para obras de carreteras </w:t>
      </w:r>
      <w:r w:rsidRPr="00900D65">
        <w:rPr>
          <w:lang w:val="es-ES"/>
        </w:rPr>
        <w:lastRenderedPageBreak/>
        <w:t>y puentes, relativos a materiales básicos, a firmes y pavimentos, y a señalización, balizamiento y sistemas de contención de vehículos.</w:t>
      </w:r>
    </w:p>
    <w:p w14:paraId="12D9D1E1" w14:textId="77777777" w:rsidR="00177852" w:rsidRPr="00647F97" w:rsidRDefault="00177852" w:rsidP="00427AD7">
      <w:pPr>
        <w:pStyle w:val="NORMAL12"/>
        <w:numPr>
          <w:ilvl w:val="0"/>
          <w:numId w:val="58"/>
        </w:numPr>
        <w:ind w:left="851" w:hanging="851"/>
        <w:rPr>
          <w:lang w:val="es-ES"/>
        </w:rPr>
      </w:pPr>
      <w:r w:rsidRPr="00647F97">
        <w:rPr>
          <w:lang w:val="es-ES"/>
        </w:rPr>
        <w:t>Orden FOM/2873/2007, de 24 de septiembre, sobre procedimientos complementarios para autorizar nuevos enlaces o modificar los existentes en las carreteras del Estado.</w:t>
      </w:r>
    </w:p>
    <w:p w14:paraId="49556E9E" w14:textId="77777777" w:rsidR="00177852" w:rsidRPr="00647F97" w:rsidRDefault="00177852" w:rsidP="00427AD7">
      <w:pPr>
        <w:pStyle w:val="NORMAL12"/>
        <w:numPr>
          <w:ilvl w:val="0"/>
          <w:numId w:val="58"/>
        </w:numPr>
        <w:ind w:left="851" w:hanging="851"/>
        <w:rPr>
          <w:lang w:val="es-ES"/>
        </w:rPr>
      </w:pPr>
      <w:r w:rsidRPr="00647F97">
        <w:rPr>
          <w:lang w:val="es-ES"/>
        </w:rPr>
        <w:t xml:space="preserve">Orden, de 16 de diciembre de 1997, del Ministerio de Fomento, por la que se aprueban los accesos a las carreteras del Estado, las vías de servicio y la construcción de instalaciones de servicios (BOE del 24 de enero de 1998). Modificada por Orden Ministerial de 13 de septiembre de 2001 del </w:t>
      </w:r>
      <w:proofErr w:type="gramStart"/>
      <w:r w:rsidRPr="00647F97">
        <w:rPr>
          <w:lang w:val="es-ES"/>
        </w:rPr>
        <w:t>Ministro</w:t>
      </w:r>
      <w:proofErr w:type="gramEnd"/>
      <w:r w:rsidRPr="00647F97">
        <w:rPr>
          <w:lang w:val="es-ES"/>
        </w:rPr>
        <w:t xml:space="preserve"> de Fomento (BOE del 26 de septiembre de 2001), </w:t>
      </w:r>
      <w:proofErr w:type="gramStart"/>
      <w:r w:rsidRPr="00647F97">
        <w:rPr>
          <w:lang w:val="es-ES"/>
        </w:rPr>
        <w:t>por  Orden</w:t>
      </w:r>
      <w:proofErr w:type="gramEnd"/>
      <w:r w:rsidRPr="00647F97">
        <w:rPr>
          <w:lang w:val="es-ES"/>
        </w:rPr>
        <w:t xml:space="preserve"> FOM/392/2006, de 14 de febrero, (BOE 18 de febrero de 2006) y por Orden FOM/1740/2006, de 24 de mayo (BOE 6 de junio de 2006).</w:t>
      </w:r>
    </w:p>
    <w:p w14:paraId="6D8180FB" w14:textId="77777777" w:rsidR="00177852" w:rsidRPr="00647F97" w:rsidRDefault="00177852" w:rsidP="00427AD7">
      <w:pPr>
        <w:pStyle w:val="NORMAL12"/>
        <w:numPr>
          <w:ilvl w:val="0"/>
          <w:numId w:val="58"/>
        </w:numPr>
        <w:ind w:left="851" w:hanging="851"/>
        <w:rPr>
          <w:lang w:val="es-ES"/>
        </w:rPr>
      </w:pPr>
      <w:r w:rsidRPr="00647F97">
        <w:rPr>
          <w:lang w:val="es-ES"/>
        </w:rPr>
        <w:t>Nota de Servicio 5/2017, de 4 de octubre de 2017, rectificaciones de la Nota de Servicio 3/2016 “Instrucciones para la elaboración de informes preceptivos y vinculantes a instrumentos de planeamiento urbanístico u ordenación territorial que afecten a las carreteras del Estado".</w:t>
      </w:r>
    </w:p>
    <w:p w14:paraId="1C3E185E" w14:textId="77777777" w:rsidR="00177852" w:rsidRPr="00647F97" w:rsidRDefault="00177852" w:rsidP="00427AD7">
      <w:pPr>
        <w:pStyle w:val="NORMAL12"/>
        <w:numPr>
          <w:ilvl w:val="0"/>
          <w:numId w:val="58"/>
        </w:numPr>
        <w:ind w:left="851" w:hanging="851"/>
        <w:rPr>
          <w:lang w:val="es-ES"/>
        </w:rPr>
      </w:pPr>
      <w:r w:rsidRPr="00647F97">
        <w:rPr>
          <w:lang w:val="es-ES"/>
        </w:rPr>
        <w:t>Nota de Servicio 3/2016, de 29 de septiembre de 2016, sobre instrucciones para la elaboración de informes preceptivos y vinculantes a instrumentos de planeamiento urbanístico u ordenación territorial que afecten a las carreteras del Estado.</w:t>
      </w:r>
    </w:p>
    <w:p w14:paraId="1539994E" w14:textId="77777777" w:rsidR="00177852" w:rsidRPr="00647F97" w:rsidRDefault="00177852" w:rsidP="00427AD7">
      <w:pPr>
        <w:pStyle w:val="NORMAL12"/>
        <w:numPr>
          <w:ilvl w:val="0"/>
          <w:numId w:val="58"/>
        </w:numPr>
        <w:ind w:left="851" w:hanging="851"/>
        <w:rPr>
          <w:lang w:val="es-ES"/>
        </w:rPr>
      </w:pPr>
      <w:r w:rsidRPr="00647F97">
        <w:rPr>
          <w:lang w:val="es-ES"/>
        </w:rPr>
        <w:t>Nota de Servicio 6/2014, de 5 de noviembre de 2014, sobre tramitación de informes a documentos de planeamiento urbanístico.</w:t>
      </w:r>
    </w:p>
    <w:p w14:paraId="5DBAFFEE" w14:textId="77777777" w:rsidR="00177852" w:rsidRPr="00647F97" w:rsidRDefault="00177852" w:rsidP="00427AD7">
      <w:pPr>
        <w:spacing w:before="5" w:line="120" w:lineRule="exact"/>
        <w:ind w:left="851" w:hanging="851"/>
        <w:rPr>
          <w:sz w:val="12"/>
          <w:szCs w:val="12"/>
        </w:rPr>
      </w:pPr>
    </w:p>
    <w:p w14:paraId="69F928F2" w14:textId="77777777" w:rsidR="00177852" w:rsidRPr="00647F97" w:rsidRDefault="00177852" w:rsidP="00427AD7">
      <w:pPr>
        <w:spacing w:line="200" w:lineRule="exact"/>
        <w:ind w:left="851" w:hanging="851"/>
        <w:rPr>
          <w:sz w:val="20"/>
          <w:szCs w:val="20"/>
        </w:rPr>
      </w:pPr>
    </w:p>
    <w:p w14:paraId="16A4C3CD" w14:textId="77777777" w:rsidR="00177852" w:rsidRPr="00647F97" w:rsidRDefault="00177852" w:rsidP="00427AD7">
      <w:pPr>
        <w:ind w:left="851" w:right="5432" w:hanging="851"/>
        <w:jc w:val="both"/>
        <w:rPr>
          <w:rFonts w:ascii="Arial" w:eastAsia="Arial" w:hAnsi="Arial" w:cs="Arial"/>
          <w:bCs/>
          <w:u w:val="single"/>
        </w:rPr>
      </w:pPr>
      <w:r w:rsidRPr="00647F97">
        <w:rPr>
          <w:rFonts w:ascii="Arial" w:eastAsia="Arial" w:hAnsi="Arial" w:cs="Arial"/>
          <w:bCs/>
          <w:u w:val="single"/>
        </w:rPr>
        <w:t>MEDIO AMBIENTE</w:t>
      </w:r>
    </w:p>
    <w:p w14:paraId="49F85AED" w14:textId="77777777" w:rsidR="00177852" w:rsidRPr="00647F97" w:rsidRDefault="00177852" w:rsidP="00427AD7">
      <w:pPr>
        <w:spacing w:before="15" w:line="260" w:lineRule="exact"/>
        <w:ind w:left="851" w:hanging="851"/>
        <w:rPr>
          <w:sz w:val="26"/>
          <w:szCs w:val="26"/>
        </w:rPr>
      </w:pPr>
    </w:p>
    <w:p w14:paraId="57C50C90" w14:textId="77777777" w:rsidR="00177852" w:rsidRPr="00647F97" w:rsidRDefault="00177852" w:rsidP="00427AD7">
      <w:pPr>
        <w:pStyle w:val="NORMAL12"/>
        <w:numPr>
          <w:ilvl w:val="0"/>
          <w:numId w:val="58"/>
        </w:numPr>
        <w:ind w:left="851" w:hanging="851"/>
        <w:rPr>
          <w:lang w:val="es-ES"/>
        </w:rPr>
      </w:pPr>
      <w:r w:rsidRPr="00647F97">
        <w:rPr>
          <w:lang w:val="es-ES"/>
        </w:rPr>
        <w:t>Ley 21/2013, de 9 de diciembre, de evaluación ambiental (BOE del 11 de diciembre de 2013).</w:t>
      </w:r>
    </w:p>
    <w:p w14:paraId="3D7FE1AE" w14:textId="77777777" w:rsidR="00177852" w:rsidRPr="00647F97" w:rsidRDefault="00177852" w:rsidP="00427AD7">
      <w:pPr>
        <w:pStyle w:val="NORMAL12"/>
        <w:numPr>
          <w:ilvl w:val="0"/>
          <w:numId w:val="58"/>
        </w:numPr>
        <w:ind w:left="851" w:hanging="851"/>
        <w:rPr>
          <w:lang w:val="es-ES"/>
        </w:rPr>
      </w:pPr>
      <w:r w:rsidRPr="00647F97">
        <w:rPr>
          <w:lang w:val="es-ES"/>
        </w:rPr>
        <w:t>Real Decreto 105/2008, de 1 de febrero, por el que se regula la producción y gestión de los residuos de construcción y demolición (BOE de 13 de febrero de 2008).</w:t>
      </w:r>
    </w:p>
    <w:p w14:paraId="6E01A33B" w14:textId="77777777" w:rsidR="00177852" w:rsidRPr="00647F97" w:rsidRDefault="00177852" w:rsidP="00427AD7">
      <w:pPr>
        <w:pStyle w:val="NORMAL12"/>
        <w:numPr>
          <w:ilvl w:val="0"/>
          <w:numId w:val="58"/>
        </w:numPr>
        <w:ind w:left="851" w:hanging="851"/>
        <w:rPr>
          <w:lang w:val="es-ES"/>
        </w:rPr>
      </w:pPr>
      <w:r w:rsidRPr="00647F97">
        <w:rPr>
          <w:lang w:val="es-ES"/>
        </w:rPr>
        <w:t xml:space="preserve">Manual para la Redacción de los Informes de los Programas de Vigilancia y Seguimiento Ambiental en </w:t>
      </w:r>
      <w:proofErr w:type="gramStart"/>
      <w:r w:rsidRPr="00647F97">
        <w:rPr>
          <w:lang w:val="es-ES"/>
        </w:rPr>
        <w:t>Carreteras.-</w:t>
      </w:r>
      <w:proofErr w:type="gramEnd"/>
      <w:r w:rsidRPr="00647F97">
        <w:rPr>
          <w:lang w:val="es-ES"/>
        </w:rPr>
        <w:t xml:space="preserve"> Ministerio de Fomento - DGC - mayo 1999.</w:t>
      </w:r>
    </w:p>
    <w:p w14:paraId="4FDFF22A" w14:textId="77777777" w:rsidR="00177852" w:rsidRPr="00647F97" w:rsidRDefault="00177852" w:rsidP="00427AD7">
      <w:pPr>
        <w:ind w:left="851" w:right="46" w:hanging="851"/>
        <w:jc w:val="both"/>
        <w:rPr>
          <w:rFonts w:ascii="Arial" w:eastAsia="Arial" w:hAnsi="Arial" w:cs="Arial"/>
        </w:rPr>
      </w:pPr>
    </w:p>
    <w:p w14:paraId="5D5A061B" w14:textId="77777777" w:rsidR="00B32C82" w:rsidRDefault="00B32C82" w:rsidP="00427AD7">
      <w:pPr>
        <w:ind w:left="851" w:right="5432" w:hanging="851"/>
        <w:jc w:val="both"/>
        <w:rPr>
          <w:rFonts w:ascii="Arial" w:eastAsia="Arial" w:hAnsi="Arial" w:cs="Arial"/>
          <w:bCs/>
          <w:u w:val="single"/>
        </w:rPr>
      </w:pPr>
    </w:p>
    <w:p w14:paraId="61A91345" w14:textId="77777777" w:rsidR="00B32C82" w:rsidRDefault="00B32C82" w:rsidP="00427AD7">
      <w:pPr>
        <w:ind w:left="851" w:right="5432" w:hanging="851"/>
        <w:jc w:val="both"/>
        <w:rPr>
          <w:rFonts w:ascii="Arial" w:eastAsia="Arial" w:hAnsi="Arial" w:cs="Arial"/>
          <w:bCs/>
          <w:u w:val="single"/>
        </w:rPr>
      </w:pPr>
    </w:p>
    <w:p w14:paraId="2E5539A0" w14:textId="77777777" w:rsidR="00B32C82" w:rsidRDefault="00B32C82" w:rsidP="00427AD7">
      <w:pPr>
        <w:ind w:left="851" w:right="5432" w:hanging="851"/>
        <w:jc w:val="both"/>
        <w:rPr>
          <w:rFonts w:ascii="Arial" w:eastAsia="Arial" w:hAnsi="Arial" w:cs="Arial"/>
          <w:bCs/>
          <w:u w:val="single"/>
        </w:rPr>
      </w:pPr>
    </w:p>
    <w:p w14:paraId="169076C2" w14:textId="77777777" w:rsidR="00177852" w:rsidRPr="00647F97" w:rsidRDefault="00177852" w:rsidP="00427AD7">
      <w:pPr>
        <w:ind w:left="851" w:right="5432" w:hanging="851"/>
        <w:jc w:val="both"/>
        <w:rPr>
          <w:rFonts w:ascii="Arial" w:eastAsia="Arial" w:hAnsi="Arial" w:cs="Arial"/>
          <w:bCs/>
          <w:u w:val="single"/>
        </w:rPr>
      </w:pPr>
      <w:r w:rsidRPr="00647F97">
        <w:rPr>
          <w:rFonts w:ascii="Arial" w:eastAsia="Arial" w:hAnsi="Arial" w:cs="Arial"/>
          <w:bCs/>
          <w:u w:val="single"/>
        </w:rPr>
        <w:t>SEGURIDAD Y SALUD</w:t>
      </w:r>
    </w:p>
    <w:p w14:paraId="3F28BCD4" w14:textId="77777777" w:rsidR="00177852" w:rsidRPr="00647F97" w:rsidRDefault="00177852" w:rsidP="00427AD7">
      <w:pPr>
        <w:spacing w:before="15" w:line="260" w:lineRule="exact"/>
        <w:ind w:left="851" w:hanging="851"/>
        <w:rPr>
          <w:sz w:val="26"/>
          <w:szCs w:val="26"/>
        </w:rPr>
      </w:pPr>
    </w:p>
    <w:p w14:paraId="18E0EE61" w14:textId="77777777" w:rsidR="00177852" w:rsidRPr="00647F97" w:rsidRDefault="00177852" w:rsidP="00427AD7">
      <w:pPr>
        <w:pStyle w:val="NORMAL12"/>
        <w:numPr>
          <w:ilvl w:val="0"/>
          <w:numId w:val="58"/>
        </w:numPr>
        <w:ind w:left="851" w:hanging="851"/>
        <w:rPr>
          <w:lang w:val="es-ES"/>
        </w:rPr>
      </w:pPr>
      <w:r w:rsidRPr="00647F97">
        <w:rPr>
          <w:lang w:val="es-ES"/>
        </w:rPr>
        <w:t>Ley 32/2006, de 18 de octubre, reguladora de la subcontratación en el sector de la construcción (BOE de 19 de octubre de 2006).</w:t>
      </w:r>
    </w:p>
    <w:p w14:paraId="0825BF28" w14:textId="77777777" w:rsidR="00177852" w:rsidRPr="00647F97" w:rsidRDefault="00177852" w:rsidP="00427AD7">
      <w:pPr>
        <w:pStyle w:val="NORMAL12"/>
        <w:numPr>
          <w:ilvl w:val="0"/>
          <w:numId w:val="58"/>
        </w:numPr>
        <w:ind w:left="851" w:hanging="851"/>
        <w:rPr>
          <w:lang w:val="es-ES"/>
        </w:rPr>
      </w:pPr>
      <w:r w:rsidRPr="00647F97">
        <w:rPr>
          <w:lang w:val="es-ES"/>
        </w:rPr>
        <w:t>Real Decreto 1109/2007, de 24 de agosto, por el que se desarrolla la Ley 32/2006, de 18 de octubre, reguladora de la subcontratación en el Sector de la Construcción (BOE del 25 de agosto de 2007). Corrección de errores BOE del 12 de septiembre del 2007. Modificado por Real Decreto 327/2009, de 13 de marzo (BOE del 14 de marzo de 2009).</w:t>
      </w:r>
    </w:p>
    <w:p w14:paraId="2B2312B0" w14:textId="77777777" w:rsidR="00177852" w:rsidRPr="00647F97" w:rsidRDefault="00177852" w:rsidP="00427AD7">
      <w:pPr>
        <w:pStyle w:val="NORMAL12"/>
        <w:numPr>
          <w:ilvl w:val="0"/>
          <w:numId w:val="58"/>
        </w:numPr>
        <w:ind w:left="851" w:hanging="851"/>
        <w:rPr>
          <w:lang w:val="es-ES"/>
        </w:rPr>
      </w:pPr>
      <w:r w:rsidRPr="00647F97">
        <w:rPr>
          <w:lang w:val="es-ES"/>
        </w:rPr>
        <w:t>Real Decreto 1627/1997, de 24 de octubre, por el que se establecen disposiciones mínimas de seguridad y de salud en las obras de construcción (BOE de 25 de octubre). Modificado por el Real Decreto 604/2006, de 19 de mayo (BOE de 29 de mayo).</w:t>
      </w:r>
    </w:p>
    <w:p w14:paraId="7B90A367" w14:textId="77777777" w:rsidR="00177852" w:rsidRPr="00647F97" w:rsidRDefault="00177852" w:rsidP="00427AD7">
      <w:pPr>
        <w:pStyle w:val="NORMAL12"/>
        <w:numPr>
          <w:ilvl w:val="0"/>
          <w:numId w:val="58"/>
        </w:numPr>
        <w:ind w:left="851" w:hanging="851"/>
        <w:rPr>
          <w:lang w:val="es-ES"/>
        </w:rPr>
      </w:pPr>
      <w:r w:rsidRPr="00647F97">
        <w:rPr>
          <w:lang w:val="es-ES"/>
        </w:rPr>
        <w:t>Orden Circular 12/2003, de 15 de septiembre de 2003, sobre medidas de prevención extraordinaria en obras con afección a líneas ferroviarias.</w:t>
      </w:r>
    </w:p>
    <w:p w14:paraId="76D9B2D5" w14:textId="77777777" w:rsidR="00177852" w:rsidRPr="00647F97" w:rsidRDefault="00177852" w:rsidP="00427AD7">
      <w:pPr>
        <w:pStyle w:val="NORMAL12"/>
        <w:numPr>
          <w:ilvl w:val="0"/>
          <w:numId w:val="58"/>
        </w:numPr>
        <w:ind w:left="851" w:hanging="851"/>
        <w:rPr>
          <w:lang w:val="es-ES"/>
        </w:rPr>
      </w:pPr>
      <w:r w:rsidRPr="00647F97">
        <w:rPr>
          <w:lang w:val="es-ES"/>
        </w:rPr>
        <w:t xml:space="preserve">Resolución, de 5 de marzo de 1999, de la Secretaría de Estado de Infraestructuras y Transportes, sobre delegación de competencias de atribuciones en materia de seguridad y salud en las obras de carreteras en los </w:t>
      </w:r>
      <w:proofErr w:type="gramStart"/>
      <w:r w:rsidRPr="00647F97">
        <w:rPr>
          <w:lang w:val="es-ES"/>
        </w:rPr>
        <w:t>Jefes</w:t>
      </w:r>
      <w:proofErr w:type="gramEnd"/>
      <w:r w:rsidRPr="00647F97">
        <w:rPr>
          <w:lang w:val="es-ES"/>
        </w:rPr>
        <w:t xml:space="preserve"> de Demarcación de Carreteras del Estado (BOE del 25 marzo de 1999).</w:t>
      </w:r>
    </w:p>
    <w:p w14:paraId="18AE7E82" w14:textId="77777777" w:rsidR="00177852" w:rsidRPr="00647F97" w:rsidRDefault="00177852" w:rsidP="00427AD7">
      <w:pPr>
        <w:pStyle w:val="NORMAL12"/>
        <w:numPr>
          <w:ilvl w:val="0"/>
          <w:numId w:val="58"/>
        </w:numPr>
        <w:ind w:left="851" w:hanging="851"/>
        <w:rPr>
          <w:lang w:val="es-ES"/>
        </w:rPr>
      </w:pPr>
      <w:r w:rsidRPr="00647F97">
        <w:rPr>
          <w:lang w:val="es-ES"/>
        </w:rPr>
        <w:t>Nota de Servicio, de 4 de mayo de 2007, sobre la aplicación de la nueva Ley de Subcontratación.</w:t>
      </w:r>
    </w:p>
    <w:p w14:paraId="7937EEB4" w14:textId="77777777" w:rsidR="00177852" w:rsidRPr="00647F97" w:rsidRDefault="00177852" w:rsidP="00427AD7">
      <w:pPr>
        <w:pStyle w:val="NORMAL12"/>
        <w:numPr>
          <w:ilvl w:val="0"/>
          <w:numId w:val="58"/>
        </w:numPr>
        <w:ind w:left="851" w:hanging="851"/>
        <w:rPr>
          <w:lang w:val="es-ES"/>
        </w:rPr>
      </w:pPr>
      <w:r w:rsidRPr="00647F97">
        <w:rPr>
          <w:lang w:val="es-ES"/>
        </w:rPr>
        <w:t>Nota de Servicio 7/2001, de 27 de abril de 2001, sobre diligencia del libro de incidencias para control y seguimiento del Plan de Seguridad y Salud en las Obras de la Dirección General de Carreteras.</w:t>
      </w:r>
    </w:p>
    <w:p w14:paraId="71CD7968" w14:textId="77777777" w:rsidR="00177852" w:rsidRPr="00647F97" w:rsidRDefault="00177852" w:rsidP="00427AD7">
      <w:pPr>
        <w:pStyle w:val="NORMAL12"/>
        <w:numPr>
          <w:ilvl w:val="0"/>
          <w:numId w:val="58"/>
        </w:numPr>
        <w:ind w:left="851" w:hanging="851"/>
        <w:rPr>
          <w:lang w:val="es-ES"/>
        </w:rPr>
      </w:pPr>
      <w:r w:rsidRPr="00647F97">
        <w:rPr>
          <w:lang w:val="es-ES"/>
        </w:rPr>
        <w:t>Recomendaciones para la elaboración de los Estudios de Seguridad y Salud en las obras de carretera. Dirección General de Carreteras, 2002</w:t>
      </w:r>
    </w:p>
    <w:p w14:paraId="72B77B19" w14:textId="77777777" w:rsidR="00177852" w:rsidRPr="00647F97" w:rsidRDefault="00177852" w:rsidP="00427AD7">
      <w:pPr>
        <w:ind w:left="851" w:right="50" w:hanging="851"/>
        <w:jc w:val="both"/>
        <w:rPr>
          <w:rFonts w:ascii="Arial" w:eastAsia="Arial" w:hAnsi="Arial" w:cs="Arial"/>
        </w:rPr>
      </w:pPr>
    </w:p>
    <w:p w14:paraId="03FA52B7" w14:textId="77777777" w:rsidR="00F350A2" w:rsidRDefault="00F350A2" w:rsidP="00427AD7">
      <w:pPr>
        <w:ind w:left="851" w:right="5432" w:hanging="851"/>
        <w:jc w:val="both"/>
        <w:rPr>
          <w:rFonts w:ascii="Arial" w:eastAsia="Arial" w:hAnsi="Arial" w:cs="Arial"/>
          <w:bCs/>
          <w:u w:val="single"/>
        </w:rPr>
      </w:pPr>
    </w:p>
    <w:p w14:paraId="3543E7DC" w14:textId="77777777" w:rsidR="00F350A2" w:rsidRDefault="00F350A2" w:rsidP="00427AD7">
      <w:pPr>
        <w:ind w:left="851" w:right="5432" w:hanging="851"/>
        <w:jc w:val="both"/>
        <w:rPr>
          <w:rFonts w:ascii="Arial" w:eastAsia="Arial" w:hAnsi="Arial" w:cs="Arial"/>
          <w:bCs/>
          <w:u w:val="single"/>
        </w:rPr>
      </w:pPr>
    </w:p>
    <w:p w14:paraId="0922B14D" w14:textId="77777777" w:rsidR="00F350A2" w:rsidRDefault="00F350A2" w:rsidP="00427AD7">
      <w:pPr>
        <w:ind w:left="851" w:right="5432" w:hanging="851"/>
        <w:jc w:val="both"/>
        <w:rPr>
          <w:rFonts w:ascii="Arial" w:eastAsia="Arial" w:hAnsi="Arial" w:cs="Arial"/>
          <w:bCs/>
          <w:u w:val="single"/>
        </w:rPr>
      </w:pPr>
    </w:p>
    <w:p w14:paraId="12F88A4D" w14:textId="77777777" w:rsidR="00F350A2" w:rsidRDefault="00F350A2" w:rsidP="00427AD7">
      <w:pPr>
        <w:ind w:left="851" w:right="5432" w:hanging="851"/>
        <w:jc w:val="both"/>
        <w:rPr>
          <w:rFonts w:ascii="Arial" w:eastAsia="Arial" w:hAnsi="Arial" w:cs="Arial"/>
          <w:bCs/>
          <w:u w:val="single"/>
        </w:rPr>
      </w:pPr>
    </w:p>
    <w:p w14:paraId="63DE6FB5" w14:textId="77777777" w:rsidR="00F350A2" w:rsidRDefault="00F350A2" w:rsidP="00427AD7">
      <w:pPr>
        <w:ind w:left="851" w:right="5432" w:hanging="851"/>
        <w:jc w:val="both"/>
        <w:rPr>
          <w:rFonts w:ascii="Arial" w:eastAsia="Arial" w:hAnsi="Arial" w:cs="Arial"/>
          <w:bCs/>
          <w:u w:val="single"/>
        </w:rPr>
      </w:pPr>
    </w:p>
    <w:p w14:paraId="67705462" w14:textId="77777777" w:rsidR="00F350A2" w:rsidRDefault="00F350A2" w:rsidP="00427AD7">
      <w:pPr>
        <w:ind w:left="851" w:right="5432" w:hanging="851"/>
        <w:jc w:val="both"/>
        <w:rPr>
          <w:rFonts w:ascii="Arial" w:eastAsia="Arial" w:hAnsi="Arial" w:cs="Arial"/>
          <w:bCs/>
          <w:u w:val="single"/>
        </w:rPr>
      </w:pPr>
    </w:p>
    <w:p w14:paraId="5B622770" w14:textId="77777777" w:rsidR="00F350A2" w:rsidRDefault="00F350A2" w:rsidP="00427AD7">
      <w:pPr>
        <w:ind w:left="851" w:right="5432" w:hanging="851"/>
        <w:jc w:val="both"/>
        <w:rPr>
          <w:rFonts w:ascii="Arial" w:eastAsia="Arial" w:hAnsi="Arial" w:cs="Arial"/>
          <w:bCs/>
          <w:u w:val="single"/>
        </w:rPr>
      </w:pPr>
    </w:p>
    <w:p w14:paraId="5F8FECD8" w14:textId="77777777" w:rsidR="00177852" w:rsidRPr="00647F97" w:rsidRDefault="00177852" w:rsidP="00427AD7">
      <w:pPr>
        <w:ind w:left="851" w:right="5432" w:hanging="851"/>
        <w:jc w:val="both"/>
        <w:rPr>
          <w:rFonts w:ascii="Arial" w:eastAsia="Arial" w:hAnsi="Arial" w:cs="Arial"/>
          <w:bCs/>
          <w:u w:val="single"/>
        </w:rPr>
      </w:pPr>
      <w:r w:rsidRPr="00647F97">
        <w:rPr>
          <w:rFonts w:ascii="Arial" w:eastAsia="Arial" w:hAnsi="Arial" w:cs="Arial"/>
          <w:bCs/>
          <w:u w:val="single"/>
        </w:rPr>
        <w:t>PROYECTOS</w:t>
      </w:r>
    </w:p>
    <w:p w14:paraId="2F7E0FA8" w14:textId="77777777" w:rsidR="00177852" w:rsidRPr="00647F97" w:rsidRDefault="00177852" w:rsidP="00427AD7">
      <w:pPr>
        <w:ind w:left="851" w:right="5432" w:hanging="851"/>
        <w:jc w:val="both"/>
        <w:rPr>
          <w:rFonts w:ascii="Arial" w:eastAsia="Arial" w:hAnsi="Arial" w:cs="Arial"/>
          <w:bCs/>
          <w:u w:val="single"/>
        </w:rPr>
      </w:pPr>
    </w:p>
    <w:p w14:paraId="122B7D2C" w14:textId="77777777" w:rsidR="00177852" w:rsidRPr="00647F97" w:rsidRDefault="00177852" w:rsidP="00427AD7">
      <w:pPr>
        <w:pStyle w:val="NORMAL12"/>
        <w:numPr>
          <w:ilvl w:val="0"/>
          <w:numId w:val="58"/>
        </w:numPr>
        <w:ind w:left="851" w:hanging="851"/>
        <w:rPr>
          <w:lang w:val="es-ES"/>
        </w:rPr>
      </w:pPr>
      <w:r w:rsidRPr="00647F97">
        <w:rPr>
          <w:lang w:val="es-ES"/>
        </w:rPr>
        <w:t>Orden FOM/3317/2010, de 17 de diciembre, por la que se aprueba la Instrucción sobre las medidas específicas para la mejora de la eficiencia en la ejecución de las obras públicas de infraestructuras ferroviarias, carreteras y aeropuertos del Ministerio de Fomento (BOE del 23 de diciembre de 2010).</w:t>
      </w:r>
    </w:p>
    <w:p w14:paraId="296DABFF" w14:textId="77777777" w:rsidR="00177852" w:rsidRPr="00647F97" w:rsidRDefault="00177852" w:rsidP="00427AD7">
      <w:pPr>
        <w:pStyle w:val="NORMAL12"/>
        <w:numPr>
          <w:ilvl w:val="0"/>
          <w:numId w:val="58"/>
        </w:numPr>
        <w:ind w:left="851" w:hanging="851"/>
        <w:rPr>
          <w:lang w:val="es-ES"/>
        </w:rPr>
      </w:pPr>
      <w:proofErr w:type="gramStart"/>
      <w:r w:rsidRPr="00647F97">
        <w:rPr>
          <w:lang w:val="es-ES"/>
        </w:rPr>
        <w:t>Orden  Circular</w:t>
      </w:r>
      <w:proofErr w:type="gramEnd"/>
      <w:r w:rsidRPr="00647F97">
        <w:rPr>
          <w:lang w:val="es-ES"/>
        </w:rPr>
        <w:t xml:space="preserve"> 37/2016, </w:t>
      </w:r>
      <w:proofErr w:type="gramStart"/>
      <w:r w:rsidRPr="00647F97">
        <w:rPr>
          <w:lang w:val="es-ES"/>
        </w:rPr>
        <w:t>de  29</w:t>
      </w:r>
      <w:proofErr w:type="gramEnd"/>
      <w:r w:rsidRPr="00647F97">
        <w:rPr>
          <w:lang w:val="es-ES"/>
        </w:rPr>
        <w:t xml:space="preserve">  </w:t>
      </w:r>
      <w:proofErr w:type="gramStart"/>
      <w:r w:rsidRPr="00647F97">
        <w:rPr>
          <w:lang w:val="es-ES"/>
        </w:rPr>
        <w:t>de  enero,  Base</w:t>
      </w:r>
      <w:proofErr w:type="gramEnd"/>
      <w:r w:rsidRPr="00647F97">
        <w:rPr>
          <w:lang w:val="es-ES"/>
        </w:rPr>
        <w:t xml:space="preserve">  </w:t>
      </w:r>
      <w:proofErr w:type="gramStart"/>
      <w:r w:rsidRPr="00647F97">
        <w:rPr>
          <w:lang w:val="es-ES"/>
        </w:rPr>
        <w:t>de  precios</w:t>
      </w:r>
      <w:proofErr w:type="gramEnd"/>
      <w:r w:rsidRPr="00647F97">
        <w:rPr>
          <w:lang w:val="es-ES"/>
        </w:rPr>
        <w:t xml:space="preserve">  </w:t>
      </w:r>
      <w:proofErr w:type="gramStart"/>
      <w:r w:rsidRPr="00647F97">
        <w:rPr>
          <w:lang w:val="es-ES"/>
        </w:rPr>
        <w:t>de  referencia</w:t>
      </w:r>
      <w:proofErr w:type="gramEnd"/>
      <w:r w:rsidRPr="00647F97">
        <w:rPr>
          <w:lang w:val="es-ES"/>
        </w:rPr>
        <w:t xml:space="preserve"> </w:t>
      </w:r>
      <w:proofErr w:type="gramStart"/>
      <w:r w:rsidRPr="00647F97">
        <w:rPr>
          <w:lang w:val="es-ES"/>
        </w:rPr>
        <w:t>de  la</w:t>
      </w:r>
      <w:proofErr w:type="gramEnd"/>
      <w:r w:rsidRPr="00647F97">
        <w:rPr>
          <w:lang w:val="es-ES"/>
        </w:rPr>
        <w:t xml:space="preserve"> Dirección General de Carreteras</w:t>
      </w:r>
    </w:p>
    <w:p w14:paraId="6F6C1326" w14:textId="77777777" w:rsidR="00177852" w:rsidRPr="00647F97" w:rsidRDefault="00177852" w:rsidP="00427AD7">
      <w:pPr>
        <w:pStyle w:val="NORMAL12"/>
        <w:numPr>
          <w:ilvl w:val="0"/>
          <w:numId w:val="58"/>
        </w:numPr>
        <w:ind w:left="851" w:hanging="851"/>
        <w:rPr>
          <w:lang w:val="es-ES"/>
        </w:rPr>
      </w:pPr>
      <w:r w:rsidRPr="00647F97">
        <w:rPr>
          <w:lang w:val="es-ES"/>
        </w:rPr>
        <w:t>Orden Circular 7/2001, de 1 de octubre, sobre instrucciones sobre los aspectos a examinar por las oficinas de supervisión de proyectos de la Dirección General de Carreteras, modificada el 11 de abril de 2002.</w:t>
      </w:r>
    </w:p>
    <w:p w14:paraId="20279DE1" w14:textId="77777777" w:rsidR="00177852" w:rsidRPr="00647F97" w:rsidRDefault="00177852" w:rsidP="00427AD7">
      <w:pPr>
        <w:pStyle w:val="NORMAL12"/>
        <w:numPr>
          <w:ilvl w:val="0"/>
          <w:numId w:val="58"/>
        </w:numPr>
        <w:ind w:left="851" w:hanging="851"/>
        <w:rPr>
          <w:lang w:val="es-ES"/>
        </w:rPr>
      </w:pPr>
      <w:r w:rsidRPr="00647F97">
        <w:rPr>
          <w:lang w:val="es-ES"/>
        </w:rPr>
        <w:t>Nota de Servicio 5/2014, de 11 de julio de 2014. Prescripciones y recomendaciones técnicas para la realización de los estudios de tráfico de los estudios informativos, anteproyectos y proyectos de carreteras.</w:t>
      </w:r>
    </w:p>
    <w:p w14:paraId="2AE08AFE" w14:textId="77777777" w:rsidR="00177852" w:rsidRPr="00647F97" w:rsidRDefault="00177852" w:rsidP="00427AD7">
      <w:pPr>
        <w:pStyle w:val="NORMAL12"/>
        <w:numPr>
          <w:ilvl w:val="0"/>
          <w:numId w:val="58"/>
        </w:numPr>
        <w:ind w:left="851" w:hanging="851"/>
        <w:rPr>
          <w:lang w:val="es-ES"/>
        </w:rPr>
      </w:pPr>
      <w:r w:rsidRPr="00647F97">
        <w:rPr>
          <w:lang w:val="es-ES"/>
        </w:rPr>
        <w:t>Nota de Servicio 8/2014 de 3 de diciembre de 2014. Recomendaciones para la redacción de los proyectos de trazado de carreteras.</w:t>
      </w:r>
    </w:p>
    <w:p w14:paraId="03410C57" w14:textId="77777777" w:rsidR="00177852" w:rsidRPr="00647F97" w:rsidRDefault="00177852" w:rsidP="00427AD7">
      <w:pPr>
        <w:pStyle w:val="NORMAL12"/>
        <w:numPr>
          <w:ilvl w:val="0"/>
          <w:numId w:val="58"/>
        </w:numPr>
        <w:ind w:left="851" w:hanging="851"/>
        <w:rPr>
          <w:lang w:val="es-ES"/>
        </w:rPr>
      </w:pPr>
      <w:r w:rsidRPr="00647F97">
        <w:rPr>
          <w:lang w:val="es-ES"/>
        </w:rPr>
        <w:t>Nota de Servicio 9/2014 de 4 de diciembre de 2014. Recomendaciones para la redacción de los proyectos de construcción de carreteras.</w:t>
      </w:r>
    </w:p>
    <w:p w14:paraId="718325D1" w14:textId="77777777" w:rsidR="00177852" w:rsidRPr="00647F97" w:rsidRDefault="00177852" w:rsidP="00427AD7">
      <w:pPr>
        <w:pStyle w:val="NORMAL12"/>
        <w:numPr>
          <w:ilvl w:val="0"/>
          <w:numId w:val="58"/>
        </w:numPr>
        <w:ind w:left="851" w:hanging="851"/>
        <w:rPr>
          <w:lang w:val="es-ES"/>
        </w:rPr>
      </w:pPr>
      <w:r w:rsidRPr="00647F97">
        <w:rPr>
          <w:lang w:val="es-ES"/>
        </w:rPr>
        <w:t>Nota de Servicio 3/2012, de 27 de noviembre de 2012, Recomendaciones sobre la campaña geotécnica en los proyectos de la Dirección General de Carreteras.</w:t>
      </w:r>
    </w:p>
    <w:p w14:paraId="4F4EB651" w14:textId="77777777" w:rsidR="00177852" w:rsidRPr="00647F97" w:rsidRDefault="00177852" w:rsidP="00427AD7">
      <w:pPr>
        <w:pStyle w:val="NORMAL12"/>
        <w:numPr>
          <w:ilvl w:val="0"/>
          <w:numId w:val="58"/>
        </w:numPr>
        <w:ind w:left="851" w:hanging="851"/>
        <w:rPr>
          <w:lang w:val="es-ES"/>
        </w:rPr>
      </w:pPr>
      <w:r w:rsidRPr="00647F97">
        <w:rPr>
          <w:lang w:val="es-ES"/>
        </w:rPr>
        <w:t>Nota de Servicio 5/2012, de 27 de diciembre de 2012, Recomendaciones para la redacción del apartado "Barreras de Seguridad" del Anejo "Señalización, Balizamiento y Defensas" de los Proyectos de la Dirección General de Carreteras.</w:t>
      </w:r>
    </w:p>
    <w:p w14:paraId="19B527DB" w14:textId="77777777" w:rsidR="00177852" w:rsidRPr="00647F97" w:rsidRDefault="00177852" w:rsidP="00427AD7">
      <w:pPr>
        <w:pStyle w:val="NORMAL12"/>
        <w:numPr>
          <w:ilvl w:val="0"/>
          <w:numId w:val="58"/>
        </w:numPr>
        <w:ind w:left="851" w:hanging="851"/>
        <w:rPr>
          <w:lang w:val="es-ES"/>
        </w:rPr>
      </w:pPr>
      <w:r w:rsidRPr="00647F97">
        <w:rPr>
          <w:lang w:val="es-ES"/>
        </w:rPr>
        <w:t xml:space="preserve">Nota de Servicio 4/2011, de 10 de octubre de 2011, sobre Organización y Presentación de la Documentación Digital de los Estudios Informativos, </w:t>
      </w:r>
      <w:r w:rsidRPr="00647F97">
        <w:rPr>
          <w:lang w:val="es-ES"/>
        </w:rPr>
        <w:t>Anteproyectos y Proyectos Gestionados por la Subdirección General de Estudios y Proyectos.</w:t>
      </w:r>
    </w:p>
    <w:p w14:paraId="55C6BBA6" w14:textId="77777777" w:rsidR="00177852" w:rsidRPr="00647F97" w:rsidRDefault="00177852" w:rsidP="00427AD7">
      <w:pPr>
        <w:pStyle w:val="NORMAL12"/>
        <w:numPr>
          <w:ilvl w:val="0"/>
          <w:numId w:val="58"/>
        </w:numPr>
        <w:ind w:left="851" w:hanging="851"/>
        <w:rPr>
          <w:lang w:val="es-ES"/>
        </w:rPr>
      </w:pPr>
      <w:r w:rsidRPr="00647F97">
        <w:rPr>
          <w:lang w:val="es-ES"/>
        </w:rPr>
        <w:t>Nota de Servicio 1/2010, de 26 de marzo de 2010, sobre presentación y edición de proyectos tramitados por la Subdirección General de Proyectos de la Dirección General de Carreteras.</w:t>
      </w:r>
    </w:p>
    <w:p w14:paraId="4419A6E5" w14:textId="77777777" w:rsidR="00177852" w:rsidRPr="00647F97" w:rsidRDefault="00177852" w:rsidP="00427AD7">
      <w:pPr>
        <w:pStyle w:val="NORMAL12"/>
        <w:numPr>
          <w:ilvl w:val="0"/>
          <w:numId w:val="58"/>
        </w:numPr>
        <w:ind w:left="851" w:hanging="851"/>
        <w:rPr>
          <w:lang w:val="es-ES"/>
        </w:rPr>
      </w:pPr>
      <w:r w:rsidRPr="00647F97">
        <w:rPr>
          <w:lang w:val="es-ES"/>
        </w:rPr>
        <w:t>Nota de Servicio 2/2010, de 29 de marzo de 2010, de la Subdirección de Proyectos sobre la cartografía a incluir en los proyectos de la Dirección General de Carreteras.</w:t>
      </w:r>
    </w:p>
    <w:p w14:paraId="272485FF" w14:textId="77777777" w:rsidR="00177852" w:rsidRPr="00647F97" w:rsidRDefault="00177852" w:rsidP="00427AD7">
      <w:pPr>
        <w:pStyle w:val="NORMAL12"/>
        <w:numPr>
          <w:ilvl w:val="0"/>
          <w:numId w:val="58"/>
        </w:numPr>
        <w:ind w:left="851" w:hanging="851"/>
        <w:rPr>
          <w:lang w:val="es-ES"/>
        </w:rPr>
      </w:pPr>
      <w:r w:rsidRPr="00647F97">
        <w:rPr>
          <w:lang w:val="es-ES"/>
        </w:rPr>
        <w:t>Nota de Servicio 4/2010, de 7 de julio, sobre el estudio de las expropiaciones en los proyectos de trazado de la Dirección General de Carreteras.</w:t>
      </w:r>
    </w:p>
    <w:p w14:paraId="3F354335" w14:textId="77777777" w:rsidR="00177852" w:rsidRPr="00647F97" w:rsidRDefault="00177852" w:rsidP="00427AD7">
      <w:pPr>
        <w:pStyle w:val="NORMAL12"/>
        <w:numPr>
          <w:ilvl w:val="0"/>
          <w:numId w:val="58"/>
        </w:numPr>
        <w:ind w:left="851" w:hanging="851"/>
        <w:rPr>
          <w:lang w:val="es-ES"/>
        </w:rPr>
      </w:pPr>
      <w:r w:rsidRPr="00647F97">
        <w:rPr>
          <w:lang w:val="es-ES"/>
        </w:rPr>
        <w:t>Carreteras Urbanas. Recomendaciones para su planeamiento y proyecto. Dirección General de Carreteras 1992.</w:t>
      </w:r>
    </w:p>
    <w:p w14:paraId="79600B3D" w14:textId="77777777" w:rsidR="00177852" w:rsidRPr="00647F97" w:rsidRDefault="00177852" w:rsidP="00427AD7">
      <w:pPr>
        <w:ind w:left="851" w:right="46" w:hanging="851"/>
        <w:jc w:val="both"/>
        <w:rPr>
          <w:rFonts w:ascii="Arial" w:eastAsia="Arial" w:hAnsi="Arial" w:cs="Arial"/>
        </w:rPr>
      </w:pPr>
    </w:p>
    <w:p w14:paraId="749C0BD5" w14:textId="77777777" w:rsidR="00177852" w:rsidRPr="00647F97" w:rsidRDefault="00177852" w:rsidP="00427AD7">
      <w:pPr>
        <w:ind w:left="851" w:right="5432" w:hanging="851"/>
        <w:jc w:val="both"/>
        <w:rPr>
          <w:rFonts w:ascii="Arial" w:eastAsia="Arial" w:hAnsi="Arial" w:cs="Arial"/>
          <w:bCs/>
          <w:u w:val="single"/>
        </w:rPr>
      </w:pPr>
      <w:r w:rsidRPr="00647F97">
        <w:rPr>
          <w:rFonts w:ascii="Arial" w:eastAsia="Arial" w:hAnsi="Arial" w:cs="Arial"/>
          <w:bCs/>
          <w:u w:val="single"/>
        </w:rPr>
        <w:t>TRAZADO</w:t>
      </w:r>
    </w:p>
    <w:p w14:paraId="217EE124" w14:textId="77777777" w:rsidR="00177852" w:rsidRPr="00647F97" w:rsidRDefault="00177852" w:rsidP="00427AD7">
      <w:pPr>
        <w:spacing w:before="4" w:line="150" w:lineRule="exact"/>
        <w:ind w:left="851" w:hanging="851"/>
        <w:rPr>
          <w:sz w:val="15"/>
          <w:szCs w:val="15"/>
        </w:rPr>
      </w:pPr>
    </w:p>
    <w:p w14:paraId="1B8FF82C" w14:textId="77777777" w:rsidR="00177852" w:rsidRPr="00647F97" w:rsidRDefault="00177852" w:rsidP="00427AD7">
      <w:pPr>
        <w:spacing w:line="200" w:lineRule="exact"/>
        <w:ind w:left="851" w:hanging="851"/>
        <w:rPr>
          <w:sz w:val="20"/>
          <w:szCs w:val="20"/>
        </w:rPr>
      </w:pPr>
    </w:p>
    <w:p w14:paraId="7D307E81" w14:textId="77777777" w:rsidR="00177852" w:rsidRPr="00647F97" w:rsidRDefault="00177852" w:rsidP="00427AD7">
      <w:pPr>
        <w:pStyle w:val="NORMAL12"/>
        <w:numPr>
          <w:ilvl w:val="0"/>
          <w:numId w:val="58"/>
        </w:numPr>
        <w:ind w:left="851" w:hanging="851"/>
        <w:rPr>
          <w:lang w:val="es-ES"/>
        </w:rPr>
      </w:pPr>
      <w:r w:rsidRPr="00647F97">
        <w:rPr>
          <w:lang w:val="es-ES"/>
        </w:rPr>
        <w:t>Orden FOM/273/2016, de 19 de febrero de 2016, por la que se aprueba la Norma 3.1- IC “Trazado” de la Instrucción de Carreteras (BOE del 4 de marzo de 2016).</w:t>
      </w:r>
    </w:p>
    <w:p w14:paraId="487228DA" w14:textId="77777777" w:rsidR="00177852" w:rsidRPr="00647F97" w:rsidRDefault="00177852" w:rsidP="00427AD7">
      <w:pPr>
        <w:pStyle w:val="NORMAL12"/>
        <w:numPr>
          <w:ilvl w:val="0"/>
          <w:numId w:val="58"/>
        </w:numPr>
        <w:ind w:left="851" w:hanging="851"/>
        <w:rPr>
          <w:lang w:val="es-ES"/>
        </w:rPr>
      </w:pPr>
      <w:r w:rsidRPr="00647F97">
        <w:rPr>
          <w:lang w:val="es-ES"/>
        </w:rPr>
        <w:t>Orden Circular 32/12, de 14 de diciembre, sobre guía de nudos viarios.</w:t>
      </w:r>
    </w:p>
    <w:p w14:paraId="5E961520" w14:textId="77777777" w:rsidR="00177852" w:rsidRPr="00647F97" w:rsidRDefault="00177852" w:rsidP="00427AD7">
      <w:pPr>
        <w:ind w:left="851" w:right="1801" w:hanging="851"/>
        <w:jc w:val="both"/>
        <w:rPr>
          <w:rFonts w:ascii="Arial" w:eastAsia="Arial" w:hAnsi="Arial" w:cs="Arial"/>
          <w:b/>
          <w:bCs/>
        </w:rPr>
      </w:pPr>
    </w:p>
    <w:p w14:paraId="3EB555F9" w14:textId="77777777" w:rsidR="00177852" w:rsidRPr="00647F97" w:rsidRDefault="00177852" w:rsidP="00427AD7">
      <w:pPr>
        <w:ind w:left="851" w:right="5432" w:hanging="851"/>
        <w:jc w:val="both"/>
        <w:rPr>
          <w:rFonts w:ascii="Arial" w:eastAsia="Arial" w:hAnsi="Arial" w:cs="Arial"/>
          <w:bCs/>
          <w:u w:val="single"/>
        </w:rPr>
      </w:pPr>
      <w:r w:rsidRPr="00647F97">
        <w:rPr>
          <w:rFonts w:ascii="Arial" w:eastAsia="Arial" w:hAnsi="Arial" w:cs="Arial"/>
          <w:bCs/>
          <w:u w:val="single"/>
        </w:rPr>
        <w:t>DRENAJE</w:t>
      </w:r>
    </w:p>
    <w:p w14:paraId="4DB01A22" w14:textId="77777777" w:rsidR="00177852" w:rsidRPr="00647F97" w:rsidRDefault="00177852" w:rsidP="00427AD7">
      <w:pPr>
        <w:spacing w:before="15" w:line="260" w:lineRule="exact"/>
        <w:ind w:left="851" w:hanging="851"/>
        <w:rPr>
          <w:sz w:val="26"/>
          <w:szCs w:val="26"/>
        </w:rPr>
      </w:pPr>
    </w:p>
    <w:p w14:paraId="77E75AAC" w14:textId="77777777" w:rsidR="00177852" w:rsidRPr="00647F97" w:rsidRDefault="00177852" w:rsidP="00427AD7">
      <w:pPr>
        <w:pStyle w:val="NORMAL12"/>
        <w:numPr>
          <w:ilvl w:val="0"/>
          <w:numId w:val="58"/>
        </w:numPr>
        <w:ind w:left="851" w:hanging="851"/>
        <w:rPr>
          <w:lang w:val="es-ES"/>
        </w:rPr>
      </w:pPr>
      <w:r w:rsidRPr="00647F97">
        <w:rPr>
          <w:lang w:val="es-ES"/>
        </w:rPr>
        <w:t>Orden FOM298/2016, de 15 de febrero, por la que se aprueba la Norma 5.2-IC sobre drenaje superficial (BOE del 10 marzo de 2016).</w:t>
      </w:r>
    </w:p>
    <w:p w14:paraId="018E6DE7" w14:textId="77777777" w:rsidR="00177852" w:rsidRPr="00647F97" w:rsidRDefault="00177852" w:rsidP="00427AD7">
      <w:pPr>
        <w:pStyle w:val="NORMAL12"/>
        <w:numPr>
          <w:ilvl w:val="0"/>
          <w:numId w:val="58"/>
        </w:numPr>
        <w:ind w:left="851" w:hanging="851"/>
        <w:rPr>
          <w:lang w:val="es-ES"/>
        </w:rPr>
      </w:pPr>
      <w:r w:rsidRPr="00647F97">
        <w:rPr>
          <w:lang w:val="es-ES"/>
        </w:rPr>
        <w:t>Orden Circular 17/2003, de 23 de diciembre, sobre Recomendaciones para el proyecto y construcción del drenaje subterráneo en obras de carretera. En la práctica sustituye a la Norma 5.1-IC.</w:t>
      </w:r>
    </w:p>
    <w:p w14:paraId="501ADC4E" w14:textId="77777777" w:rsidR="00177852" w:rsidRPr="00647F97" w:rsidRDefault="00177852" w:rsidP="00427AD7">
      <w:pPr>
        <w:pStyle w:val="NORMAL12"/>
        <w:numPr>
          <w:ilvl w:val="0"/>
          <w:numId w:val="58"/>
        </w:numPr>
        <w:ind w:left="851" w:hanging="851"/>
        <w:rPr>
          <w:lang w:val="es-ES"/>
        </w:rPr>
      </w:pPr>
      <w:r w:rsidRPr="00647F97">
        <w:rPr>
          <w:lang w:val="es-ES"/>
        </w:rPr>
        <w:t>Máximas lluvias diarias en la España peninsular. Dirección General de Carreteras, 1999. Contiene programa informático y mapa a escala 1:800.000.</w:t>
      </w:r>
    </w:p>
    <w:p w14:paraId="31828EAE" w14:textId="77777777" w:rsidR="00177852" w:rsidRPr="00647F97" w:rsidRDefault="00177852" w:rsidP="00427AD7">
      <w:pPr>
        <w:pStyle w:val="NORMAL12"/>
        <w:numPr>
          <w:ilvl w:val="0"/>
          <w:numId w:val="58"/>
        </w:numPr>
        <w:ind w:left="851" w:hanging="851"/>
        <w:rPr>
          <w:rFonts w:eastAsia="Arial"/>
        </w:rPr>
      </w:pPr>
      <w:r w:rsidRPr="00647F97">
        <w:rPr>
          <w:lang w:val="es-ES"/>
        </w:rPr>
        <w:t>Cálculo hidrometeorológico de caudales máximos en pequeñas cuencas naturales, Dirección General de Carreteras, mayo de 1987</w:t>
      </w:r>
      <w:r w:rsidRPr="00647F97">
        <w:rPr>
          <w:rFonts w:eastAsia="Arial"/>
        </w:rPr>
        <w:t>.</w:t>
      </w:r>
    </w:p>
    <w:p w14:paraId="78A86F31" w14:textId="77777777" w:rsidR="00177852" w:rsidRPr="00647F97" w:rsidRDefault="00177852" w:rsidP="00427AD7">
      <w:pPr>
        <w:ind w:left="851" w:right="5432" w:hanging="851"/>
        <w:jc w:val="both"/>
        <w:rPr>
          <w:rFonts w:ascii="Arial" w:eastAsia="Arial" w:hAnsi="Arial" w:cs="Arial"/>
          <w:bCs/>
          <w:u w:val="single"/>
        </w:rPr>
      </w:pPr>
      <w:r w:rsidRPr="00647F97">
        <w:rPr>
          <w:rFonts w:ascii="Arial" w:eastAsia="Arial" w:hAnsi="Arial" w:cs="Arial"/>
          <w:bCs/>
          <w:u w:val="single"/>
        </w:rPr>
        <w:t>ESTRUCTURAS</w:t>
      </w:r>
    </w:p>
    <w:p w14:paraId="70BE9DAA" w14:textId="77777777" w:rsidR="00177852" w:rsidRPr="00647F97" w:rsidRDefault="00177852" w:rsidP="00427AD7">
      <w:pPr>
        <w:ind w:left="851" w:right="46" w:hanging="851"/>
        <w:rPr>
          <w:rFonts w:ascii="Arial" w:eastAsia="Arial" w:hAnsi="Arial" w:cs="Arial"/>
        </w:rPr>
      </w:pPr>
    </w:p>
    <w:p w14:paraId="5BB36E21" w14:textId="77777777" w:rsidR="00177852" w:rsidRPr="00647F97" w:rsidRDefault="00177852" w:rsidP="00427AD7">
      <w:pPr>
        <w:pStyle w:val="NORMAL12"/>
        <w:numPr>
          <w:ilvl w:val="0"/>
          <w:numId w:val="58"/>
        </w:numPr>
        <w:ind w:left="851" w:hanging="851"/>
        <w:rPr>
          <w:lang w:val="es-ES"/>
        </w:rPr>
      </w:pPr>
      <w:r w:rsidRPr="00647F97">
        <w:rPr>
          <w:lang w:val="es-ES"/>
        </w:rPr>
        <w:lastRenderedPageBreak/>
        <w:t>Obras de paso de nueva construcción. Conceptos generales. Dirección General de Carreteras, mayo de 2000.</w:t>
      </w:r>
    </w:p>
    <w:p w14:paraId="0D94CD12" w14:textId="77777777" w:rsidR="00177852" w:rsidRPr="00647F97" w:rsidRDefault="00177852" w:rsidP="00427AD7">
      <w:pPr>
        <w:pStyle w:val="NORMAL12"/>
        <w:numPr>
          <w:ilvl w:val="0"/>
          <w:numId w:val="58"/>
        </w:numPr>
        <w:ind w:left="851" w:hanging="851"/>
        <w:rPr>
          <w:lang w:val="es-ES"/>
        </w:rPr>
      </w:pPr>
      <w:r w:rsidRPr="00647F97">
        <w:rPr>
          <w:lang w:val="es-ES"/>
        </w:rPr>
        <w:t>Norma de construcción sismorresistente: puentes (NCSP-07), aprobada por Real Decreto 637/2007, de 18 de mayo (BOE del 2 de junio de 2007).</w:t>
      </w:r>
    </w:p>
    <w:p w14:paraId="208BE04A" w14:textId="77777777" w:rsidR="00177852" w:rsidRPr="00647F97" w:rsidRDefault="00177852" w:rsidP="00427AD7">
      <w:pPr>
        <w:pStyle w:val="NORMAL12"/>
        <w:numPr>
          <w:ilvl w:val="0"/>
          <w:numId w:val="58"/>
        </w:numPr>
        <w:ind w:left="851" w:hanging="851"/>
        <w:rPr>
          <w:lang w:val="es-ES"/>
        </w:rPr>
      </w:pPr>
      <w:r w:rsidRPr="00647F97">
        <w:rPr>
          <w:lang w:val="es-ES"/>
        </w:rPr>
        <w:t>Norma de construcción sismorresistente: parte general y edificación (NCSR-02), aprobada por Real Decreto 997/2002, de 27 de septiembre (BOE del 11 de octubre de 2002).</w:t>
      </w:r>
    </w:p>
    <w:p w14:paraId="31284BED" w14:textId="77777777" w:rsidR="00177852" w:rsidRPr="00647F97" w:rsidRDefault="00177852" w:rsidP="00427AD7">
      <w:pPr>
        <w:pStyle w:val="NORMAL12"/>
        <w:numPr>
          <w:ilvl w:val="0"/>
          <w:numId w:val="58"/>
        </w:numPr>
        <w:ind w:left="851" w:hanging="851"/>
        <w:rPr>
          <w:lang w:val="es-ES"/>
        </w:rPr>
      </w:pPr>
      <w:r w:rsidRPr="00647F97">
        <w:rPr>
          <w:lang w:val="es-ES"/>
        </w:rPr>
        <w:t>Instrucción sobre las acciones a considerar en el proyecto de puentes de carretera (IAP-11) aprobada por Orden, del Ministerio de Fomento, de 29 de septiembre de 2011 (BOE de 21 de octubre de 2011).</w:t>
      </w:r>
    </w:p>
    <w:p w14:paraId="71F5A327" w14:textId="77777777" w:rsidR="00177852" w:rsidRDefault="00177852" w:rsidP="00427AD7">
      <w:pPr>
        <w:pStyle w:val="NORMAL12"/>
        <w:numPr>
          <w:ilvl w:val="0"/>
          <w:numId w:val="58"/>
        </w:numPr>
        <w:ind w:left="851" w:hanging="851"/>
        <w:rPr>
          <w:lang w:val="es-ES"/>
        </w:rPr>
      </w:pPr>
      <w:r w:rsidRPr="00647F97">
        <w:rPr>
          <w:lang w:val="es-ES"/>
        </w:rPr>
        <w:t xml:space="preserve">Orden Circular 11/2002, de 27 de noviembre, sobre criterios </w:t>
      </w:r>
      <w:proofErr w:type="gramStart"/>
      <w:r w:rsidRPr="00647F97">
        <w:rPr>
          <w:lang w:val="es-ES"/>
        </w:rPr>
        <w:t>a</w:t>
      </w:r>
      <w:proofErr w:type="gramEnd"/>
      <w:r w:rsidRPr="00647F97">
        <w:rPr>
          <w:lang w:val="es-ES"/>
        </w:rPr>
        <w:t xml:space="preserve"> tener en cuenta en el proyecto y construcción de puentes con elementos prefabricados de hormigón estructural.</w:t>
      </w:r>
    </w:p>
    <w:p w14:paraId="77810A1F" w14:textId="77777777" w:rsidR="00CD3BAD" w:rsidRPr="00647F97" w:rsidRDefault="00CD3BAD" w:rsidP="00427AD7">
      <w:pPr>
        <w:pStyle w:val="NORMAL12"/>
        <w:numPr>
          <w:ilvl w:val="0"/>
          <w:numId w:val="58"/>
        </w:numPr>
        <w:ind w:left="851" w:hanging="851"/>
        <w:rPr>
          <w:lang w:val="es-ES"/>
        </w:rPr>
      </w:pPr>
      <w:r>
        <w:rPr>
          <w:lang w:val="es-ES"/>
        </w:rPr>
        <w:t>Instrucción de Hormigón Estructural EHE-08</w:t>
      </w:r>
    </w:p>
    <w:p w14:paraId="2C6E4A50" w14:textId="77777777" w:rsidR="00A939EF" w:rsidRPr="00647F97" w:rsidRDefault="00A939EF" w:rsidP="00427AD7">
      <w:pPr>
        <w:spacing w:before="18" w:line="260" w:lineRule="exact"/>
        <w:ind w:left="851" w:hanging="851"/>
        <w:rPr>
          <w:strike/>
          <w:sz w:val="26"/>
          <w:szCs w:val="26"/>
        </w:rPr>
      </w:pPr>
    </w:p>
    <w:p w14:paraId="1E25AD11" w14:textId="77777777" w:rsidR="00177852" w:rsidRPr="00647F97" w:rsidRDefault="00177852" w:rsidP="00427AD7">
      <w:pPr>
        <w:ind w:left="851" w:right="5432" w:hanging="851"/>
        <w:jc w:val="both"/>
        <w:rPr>
          <w:rFonts w:ascii="Arial" w:eastAsia="Arial" w:hAnsi="Arial" w:cs="Arial"/>
          <w:bCs/>
          <w:u w:val="single"/>
        </w:rPr>
      </w:pPr>
      <w:r w:rsidRPr="00647F97">
        <w:rPr>
          <w:rFonts w:ascii="Arial" w:eastAsia="Arial" w:hAnsi="Arial" w:cs="Arial"/>
          <w:bCs/>
          <w:u w:val="single"/>
        </w:rPr>
        <w:t>FIRMES Y PAVIMENTOS</w:t>
      </w:r>
    </w:p>
    <w:p w14:paraId="266D1C06" w14:textId="77777777" w:rsidR="00177852" w:rsidRPr="00647F97" w:rsidRDefault="00177852" w:rsidP="00427AD7">
      <w:pPr>
        <w:spacing w:line="120" w:lineRule="exact"/>
        <w:ind w:left="851" w:hanging="851"/>
        <w:rPr>
          <w:sz w:val="12"/>
          <w:szCs w:val="12"/>
        </w:rPr>
      </w:pPr>
    </w:p>
    <w:p w14:paraId="42D8EA85" w14:textId="77777777" w:rsidR="00177852" w:rsidRPr="00647F97" w:rsidRDefault="00177852" w:rsidP="00427AD7">
      <w:pPr>
        <w:spacing w:line="200" w:lineRule="exact"/>
        <w:ind w:left="851" w:hanging="851"/>
        <w:rPr>
          <w:sz w:val="20"/>
          <w:szCs w:val="20"/>
        </w:rPr>
      </w:pPr>
    </w:p>
    <w:p w14:paraId="16A9D014" w14:textId="77777777" w:rsidR="00177852" w:rsidRPr="00647F97" w:rsidRDefault="00177852" w:rsidP="00427AD7">
      <w:pPr>
        <w:pStyle w:val="NORMAL12"/>
        <w:numPr>
          <w:ilvl w:val="0"/>
          <w:numId w:val="58"/>
        </w:numPr>
        <w:ind w:left="851" w:hanging="851"/>
        <w:rPr>
          <w:lang w:val="es-ES"/>
        </w:rPr>
      </w:pPr>
      <w:r w:rsidRPr="00647F97">
        <w:rPr>
          <w:lang w:val="es-ES"/>
        </w:rPr>
        <w:t>Orden FOM/3460/2003, de 28 de noviembre, por la que se aprueba la Norma 6.1-IC “Secciones de firme”, de la Instrucción de Carreteras (BOE del 12 de diciembre de 2003).</w:t>
      </w:r>
    </w:p>
    <w:p w14:paraId="0BA047FD" w14:textId="77777777" w:rsidR="00177852" w:rsidRPr="00647F97" w:rsidRDefault="00177852" w:rsidP="00427AD7">
      <w:pPr>
        <w:pStyle w:val="NORMAL12"/>
        <w:numPr>
          <w:ilvl w:val="0"/>
          <w:numId w:val="58"/>
        </w:numPr>
        <w:ind w:left="851" w:hanging="851"/>
        <w:rPr>
          <w:lang w:val="es-ES"/>
        </w:rPr>
      </w:pPr>
      <w:r w:rsidRPr="00647F97">
        <w:rPr>
          <w:lang w:val="es-ES"/>
        </w:rPr>
        <w:t>Nota de Servicio 5/2006, de 22 de septiembre de 2006, sobre explanaciones y capas de firme tratadas con cemento.</w:t>
      </w:r>
    </w:p>
    <w:p w14:paraId="1EF67BA5" w14:textId="77777777" w:rsidR="00177852" w:rsidRPr="00647F97" w:rsidRDefault="00177852" w:rsidP="00427AD7">
      <w:pPr>
        <w:pStyle w:val="NORMAL12"/>
        <w:numPr>
          <w:ilvl w:val="0"/>
          <w:numId w:val="58"/>
        </w:numPr>
        <w:ind w:left="851" w:hanging="851"/>
        <w:rPr>
          <w:lang w:val="es-ES"/>
        </w:rPr>
      </w:pPr>
      <w:r w:rsidRPr="00647F97">
        <w:rPr>
          <w:lang w:val="es-ES"/>
        </w:rPr>
        <w:t>Orden FOM/3459/2003, de 28 de noviembre, por la que se aprueba la Norma 6.3-IC: “Rehabilitación de firmes”, de la Instrucción de Carreteras (BOE del 12 de diciembre de 2003, corrección de erratas BOE del 25 de mayo de 2004).</w:t>
      </w:r>
    </w:p>
    <w:p w14:paraId="70F22E66" w14:textId="77777777" w:rsidR="00177852" w:rsidRPr="00647F97" w:rsidRDefault="00177852" w:rsidP="00427AD7">
      <w:pPr>
        <w:pStyle w:val="NORMAL12"/>
        <w:numPr>
          <w:ilvl w:val="0"/>
          <w:numId w:val="58"/>
        </w:numPr>
        <w:ind w:left="851" w:hanging="851"/>
        <w:rPr>
          <w:lang w:val="es-ES"/>
        </w:rPr>
      </w:pPr>
      <w:r w:rsidRPr="00647F97">
        <w:rPr>
          <w:lang w:val="es-ES"/>
        </w:rPr>
        <w:t>Orden Circular 40/2017, de 27 de octubre de 2017, sobre reciclado de firmes y pavimentos bituminosos.</w:t>
      </w:r>
    </w:p>
    <w:p w14:paraId="15EAE782" w14:textId="77777777" w:rsidR="00177852" w:rsidRPr="00647F97" w:rsidRDefault="00177852" w:rsidP="00427AD7">
      <w:pPr>
        <w:pStyle w:val="NORMAL12"/>
        <w:numPr>
          <w:ilvl w:val="0"/>
          <w:numId w:val="58"/>
        </w:numPr>
        <w:ind w:left="851" w:hanging="851"/>
        <w:rPr>
          <w:lang w:val="es-ES"/>
        </w:rPr>
      </w:pPr>
      <w:r w:rsidRPr="00647F97">
        <w:rPr>
          <w:lang w:val="es-ES"/>
        </w:rPr>
        <w:t xml:space="preserve">Orden Circular 21bis/2009 sobre betunes mejorados y betunes modificados de alta viscosidad con caucho procedente de neumáticos fuera de uso (NFU) y criterios </w:t>
      </w:r>
      <w:proofErr w:type="gramStart"/>
      <w:r w:rsidRPr="00647F97">
        <w:rPr>
          <w:lang w:val="es-ES"/>
        </w:rPr>
        <w:t>a</w:t>
      </w:r>
      <w:proofErr w:type="gramEnd"/>
      <w:r w:rsidRPr="00647F97">
        <w:rPr>
          <w:lang w:val="es-ES"/>
        </w:rPr>
        <w:t xml:space="preserve"> tener en cuenta para su fabricación in situ y almacenamiento en obra.</w:t>
      </w:r>
    </w:p>
    <w:p w14:paraId="6FC021CB" w14:textId="77777777" w:rsidR="00177852" w:rsidRPr="00647F97" w:rsidRDefault="00177852" w:rsidP="00427AD7">
      <w:pPr>
        <w:pStyle w:val="NORMAL12"/>
        <w:numPr>
          <w:ilvl w:val="0"/>
          <w:numId w:val="58"/>
        </w:numPr>
        <w:ind w:left="851" w:hanging="851"/>
        <w:rPr>
          <w:lang w:val="es-ES"/>
        </w:rPr>
      </w:pPr>
      <w:r w:rsidRPr="00647F97">
        <w:rPr>
          <w:lang w:val="es-ES"/>
        </w:rPr>
        <w:t>Orden Circular 21/2007 sobre el uso y especificaciones que deben cumplir los ligantes y mezclas bituminosas que incorporen caucho procedente de neumáticos fuera de uso (NFU).</w:t>
      </w:r>
    </w:p>
    <w:p w14:paraId="38DD5219" w14:textId="77777777" w:rsidR="00177852" w:rsidRPr="00647F97" w:rsidRDefault="00177852" w:rsidP="00427AD7">
      <w:pPr>
        <w:ind w:left="851" w:right="45" w:hanging="851"/>
        <w:jc w:val="both"/>
        <w:rPr>
          <w:rFonts w:ascii="Arial" w:eastAsia="Arial" w:hAnsi="Arial" w:cs="Arial"/>
          <w:b/>
          <w:bCs/>
        </w:rPr>
      </w:pPr>
    </w:p>
    <w:p w14:paraId="1DA34B8C" w14:textId="77777777" w:rsidR="00F350A2" w:rsidRDefault="00F350A2" w:rsidP="00427AD7">
      <w:pPr>
        <w:ind w:left="851" w:right="5432" w:hanging="851"/>
        <w:jc w:val="both"/>
        <w:rPr>
          <w:rFonts w:ascii="Arial" w:eastAsia="Arial" w:hAnsi="Arial" w:cs="Arial"/>
          <w:bCs/>
          <w:u w:val="single"/>
        </w:rPr>
      </w:pPr>
    </w:p>
    <w:p w14:paraId="1C95F1C2" w14:textId="77777777" w:rsidR="00F350A2" w:rsidRDefault="00F350A2" w:rsidP="00427AD7">
      <w:pPr>
        <w:ind w:left="851" w:right="5432" w:hanging="851"/>
        <w:jc w:val="both"/>
        <w:rPr>
          <w:rFonts w:ascii="Arial" w:eastAsia="Arial" w:hAnsi="Arial" w:cs="Arial"/>
          <w:bCs/>
          <w:u w:val="single"/>
        </w:rPr>
      </w:pPr>
    </w:p>
    <w:p w14:paraId="3F686649" w14:textId="77777777" w:rsidR="00177852" w:rsidRPr="00647F97" w:rsidRDefault="00177852" w:rsidP="00427AD7">
      <w:pPr>
        <w:ind w:left="851" w:right="5432" w:hanging="851"/>
        <w:jc w:val="both"/>
        <w:rPr>
          <w:rFonts w:ascii="Arial" w:eastAsia="Arial" w:hAnsi="Arial" w:cs="Arial"/>
          <w:bCs/>
          <w:u w:val="single"/>
        </w:rPr>
      </w:pPr>
      <w:r w:rsidRPr="00647F97">
        <w:rPr>
          <w:rFonts w:ascii="Arial" w:eastAsia="Arial" w:hAnsi="Arial" w:cs="Arial"/>
          <w:bCs/>
          <w:u w:val="single"/>
        </w:rPr>
        <w:t>EQUIPAMIENTO VIAL</w:t>
      </w:r>
    </w:p>
    <w:p w14:paraId="2328CAF3" w14:textId="77777777" w:rsidR="00177852" w:rsidRPr="00647F97" w:rsidRDefault="00177852" w:rsidP="00427AD7">
      <w:pPr>
        <w:spacing w:line="120" w:lineRule="exact"/>
        <w:ind w:left="851" w:hanging="851"/>
        <w:rPr>
          <w:sz w:val="12"/>
          <w:szCs w:val="12"/>
        </w:rPr>
      </w:pPr>
    </w:p>
    <w:p w14:paraId="6EFE8A3E" w14:textId="77777777" w:rsidR="00177852" w:rsidRPr="00647F97" w:rsidRDefault="00177852" w:rsidP="00427AD7">
      <w:pPr>
        <w:spacing w:line="200" w:lineRule="exact"/>
        <w:ind w:left="851" w:hanging="851"/>
        <w:rPr>
          <w:sz w:val="20"/>
          <w:szCs w:val="20"/>
        </w:rPr>
      </w:pPr>
    </w:p>
    <w:p w14:paraId="360A4EAE" w14:textId="77777777" w:rsidR="00177852" w:rsidRPr="00647F97" w:rsidRDefault="00177852" w:rsidP="00427AD7">
      <w:pPr>
        <w:pStyle w:val="NORMAL12"/>
        <w:numPr>
          <w:ilvl w:val="0"/>
          <w:numId w:val="58"/>
        </w:numPr>
        <w:ind w:left="851" w:hanging="851"/>
        <w:rPr>
          <w:lang w:val="es-ES"/>
        </w:rPr>
      </w:pPr>
      <w:r w:rsidRPr="00647F97">
        <w:rPr>
          <w:lang w:val="es-ES"/>
        </w:rPr>
        <w:t>Real Decreto 334/1982, de 12 de febrero, sobre señalización de carreteras, aeropuertos, estaciones ferroviarias, de autobuses y marítimas y servicios públicos de interés general en el ámbito de las Comunidades Autónomas con otra lengua oficial distinta del castellano (BOE del 27 de febrero de 1982).</w:t>
      </w:r>
    </w:p>
    <w:p w14:paraId="44794140" w14:textId="77777777" w:rsidR="00177852" w:rsidRPr="00647F97" w:rsidRDefault="00177852" w:rsidP="00427AD7">
      <w:pPr>
        <w:pStyle w:val="NORMAL12"/>
        <w:numPr>
          <w:ilvl w:val="0"/>
          <w:numId w:val="58"/>
        </w:numPr>
        <w:ind w:left="851" w:hanging="851"/>
        <w:rPr>
          <w:lang w:val="es-ES"/>
        </w:rPr>
      </w:pPr>
      <w:r w:rsidRPr="00647F97">
        <w:rPr>
          <w:lang w:val="es-ES"/>
        </w:rPr>
        <w:t>Orden FOM 534/2014, de 20 de marzo, por la que se aprueba la Norma 8.1-IC Señalización vertical, de la Instrucción de Carreteras (BOE de 5 de abril de 2014).</w:t>
      </w:r>
    </w:p>
    <w:p w14:paraId="7AC91E7F" w14:textId="77777777" w:rsidR="00177852" w:rsidRPr="00647F97" w:rsidRDefault="00177852" w:rsidP="00427AD7">
      <w:pPr>
        <w:pStyle w:val="NORMAL12"/>
        <w:numPr>
          <w:ilvl w:val="0"/>
          <w:numId w:val="58"/>
        </w:numPr>
        <w:ind w:left="851" w:hanging="851"/>
        <w:rPr>
          <w:lang w:val="es-ES"/>
        </w:rPr>
      </w:pPr>
      <w:r w:rsidRPr="00647F97">
        <w:rPr>
          <w:lang w:val="es-ES"/>
        </w:rPr>
        <w:t>Orden Circular 38/2016 sobre la aplicación de la disposición transitoria única de la Orden FOM/534/2015, de 20 de marzo, por la que se aprueba la norma 8.1 IC Señalización vertical de la Instrucción de Carreteras.</w:t>
      </w:r>
    </w:p>
    <w:p w14:paraId="10A3DDB5" w14:textId="77777777" w:rsidR="00177852" w:rsidRPr="00647F97" w:rsidRDefault="00177852" w:rsidP="00427AD7">
      <w:pPr>
        <w:pStyle w:val="NORMAL12"/>
        <w:numPr>
          <w:ilvl w:val="0"/>
          <w:numId w:val="58"/>
        </w:numPr>
        <w:ind w:left="851" w:hanging="851"/>
        <w:rPr>
          <w:lang w:val="es-ES"/>
        </w:rPr>
      </w:pPr>
      <w:r w:rsidRPr="00647F97">
        <w:rPr>
          <w:lang w:val="es-ES"/>
        </w:rPr>
        <w:t>Resolución de 1 de junio de 2009, de la Dirección General de Tráfico, por la que se aprueba el Manual de Señalización Variable (BOE del 13 de junio de 2009). Corrección de errores BOE del 23 de junio de 2009.</w:t>
      </w:r>
    </w:p>
    <w:p w14:paraId="797D2E0F" w14:textId="77777777" w:rsidR="00177852" w:rsidRPr="00647F97" w:rsidRDefault="00177852" w:rsidP="00427AD7">
      <w:pPr>
        <w:pStyle w:val="NORMAL12"/>
        <w:numPr>
          <w:ilvl w:val="0"/>
          <w:numId w:val="58"/>
        </w:numPr>
        <w:ind w:left="851" w:hanging="851"/>
        <w:rPr>
          <w:lang w:val="es-ES"/>
        </w:rPr>
      </w:pPr>
      <w:r w:rsidRPr="00647F97">
        <w:rPr>
          <w:lang w:val="es-ES"/>
        </w:rPr>
        <w:t>Nota de Servicio 4/2014, sobre la web de consulta y la actualización del inventario de señalización vertical de las carreteras de la Red del Estado.</w:t>
      </w:r>
    </w:p>
    <w:p w14:paraId="525CF653" w14:textId="77777777" w:rsidR="00177852" w:rsidRPr="00647F97" w:rsidRDefault="00177852" w:rsidP="00427AD7">
      <w:pPr>
        <w:pStyle w:val="NORMAL12"/>
        <w:numPr>
          <w:ilvl w:val="0"/>
          <w:numId w:val="58"/>
        </w:numPr>
        <w:ind w:left="851" w:hanging="851"/>
        <w:rPr>
          <w:lang w:val="es-ES"/>
        </w:rPr>
      </w:pPr>
      <w:r w:rsidRPr="00647F97">
        <w:rPr>
          <w:lang w:val="es-ES"/>
        </w:rPr>
        <w:t>Nota de Servicio 1/2008. Señalización del Camino de Santiago.</w:t>
      </w:r>
    </w:p>
    <w:p w14:paraId="5362B82D" w14:textId="77777777" w:rsidR="00177852" w:rsidRPr="00647F97" w:rsidRDefault="00177852" w:rsidP="00427AD7">
      <w:pPr>
        <w:pStyle w:val="NORMAL12"/>
        <w:numPr>
          <w:ilvl w:val="0"/>
          <w:numId w:val="58"/>
        </w:numPr>
        <w:ind w:left="851" w:hanging="851"/>
        <w:rPr>
          <w:lang w:val="es-ES"/>
        </w:rPr>
      </w:pPr>
      <w:r w:rsidRPr="00647F97">
        <w:rPr>
          <w:lang w:val="es-ES"/>
        </w:rPr>
        <w:t>Señales verticales de circulación. Tomo I. Características de las señales. Dirección General de Carreteras, marzo de 1992.</w:t>
      </w:r>
    </w:p>
    <w:p w14:paraId="0D407104" w14:textId="77777777" w:rsidR="00177852" w:rsidRPr="00647F97" w:rsidRDefault="00177852" w:rsidP="00427AD7">
      <w:pPr>
        <w:pStyle w:val="NORMAL12"/>
        <w:numPr>
          <w:ilvl w:val="0"/>
          <w:numId w:val="58"/>
        </w:numPr>
        <w:ind w:left="851" w:hanging="851"/>
        <w:rPr>
          <w:lang w:val="es-ES"/>
        </w:rPr>
      </w:pPr>
      <w:r w:rsidRPr="00647F97">
        <w:rPr>
          <w:lang w:val="es-ES"/>
        </w:rPr>
        <w:t>Señales verticales de circulación. Tomo II. Catálogo y significado de las señales. Dirección General de Carreteras, junio de 1992.</w:t>
      </w:r>
    </w:p>
    <w:p w14:paraId="7C3C51AF" w14:textId="77777777" w:rsidR="00177852" w:rsidRPr="00647F97" w:rsidRDefault="00177852" w:rsidP="00427AD7">
      <w:pPr>
        <w:pStyle w:val="NORMAL12"/>
        <w:numPr>
          <w:ilvl w:val="0"/>
          <w:numId w:val="58"/>
        </w:numPr>
        <w:ind w:left="851" w:hanging="851"/>
        <w:rPr>
          <w:lang w:val="es-ES"/>
        </w:rPr>
      </w:pPr>
      <w:r w:rsidRPr="00647F97">
        <w:rPr>
          <w:lang w:val="es-ES"/>
        </w:rPr>
        <w:t>Orden, de 16 de julio de 1987, por la que se aprueba la Norma 8.2- IC sobre marcas viales, (BOE del 4 de agosto y 29 de septiembre de 1987).</w:t>
      </w:r>
    </w:p>
    <w:p w14:paraId="31169F5C" w14:textId="77777777" w:rsidR="00177852" w:rsidRPr="00647F97" w:rsidRDefault="00177852" w:rsidP="00427AD7">
      <w:pPr>
        <w:pStyle w:val="NORMAL12"/>
        <w:numPr>
          <w:ilvl w:val="0"/>
          <w:numId w:val="58"/>
        </w:numPr>
        <w:ind w:left="851" w:hanging="851"/>
        <w:rPr>
          <w:lang w:val="es-ES"/>
        </w:rPr>
      </w:pPr>
      <w:r w:rsidRPr="00647F97">
        <w:rPr>
          <w:lang w:val="es-ES"/>
        </w:rPr>
        <w:t>Guía para el proyecto y ejecución de obras de señalización horizontal. Dirección General de Carreteras, diciembre 2012.</w:t>
      </w:r>
    </w:p>
    <w:p w14:paraId="4BEC5EC5" w14:textId="77777777" w:rsidR="00177852" w:rsidRPr="00647F97" w:rsidRDefault="00177852" w:rsidP="00427AD7">
      <w:pPr>
        <w:pStyle w:val="NORMAL12"/>
        <w:numPr>
          <w:ilvl w:val="0"/>
          <w:numId w:val="58"/>
        </w:numPr>
        <w:ind w:left="851" w:hanging="851"/>
        <w:rPr>
          <w:lang w:val="es-ES"/>
        </w:rPr>
      </w:pPr>
      <w:r w:rsidRPr="00647F97">
        <w:rPr>
          <w:lang w:val="es-ES"/>
        </w:rPr>
        <w:lastRenderedPageBreak/>
        <w:t>Orden, de 31 de agosto de 1987, por la que se aprueba la Instrucción 8.3-IC sobre señalización, balizamiento, defensa, limpieza y terminación de obras fijas fuera de poblado (BOE del 18 de septiembre de 1987).</w:t>
      </w:r>
    </w:p>
    <w:p w14:paraId="45FC76F2" w14:textId="77777777" w:rsidR="00177852" w:rsidRPr="00647F97" w:rsidRDefault="00177852" w:rsidP="00427AD7">
      <w:pPr>
        <w:pStyle w:val="NORMAL12"/>
        <w:numPr>
          <w:ilvl w:val="0"/>
          <w:numId w:val="58"/>
        </w:numPr>
        <w:ind w:left="851" w:hanging="851"/>
        <w:rPr>
          <w:lang w:val="es-ES"/>
        </w:rPr>
      </w:pPr>
      <w:r w:rsidRPr="00647F97">
        <w:rPr>
          <w:lang w:val="es-ES"/>
        </w:rPr>
        <w:t>Orden Circular 16/2003, de 20 de noviembre, sobre intensificación y ubicación de carteles de obras.</w:t>
      </w:r>
    </w:p>
    <w:p w14:paraId="016BF16B" w14:textId="77777777" w:rsidR="00177852" w:rsidRPr="00647F97" w:rsidRDefault="00177852" w:rsidP="00427AD7">
      <w:pPr>
        <w:pStyle w:val="NORMAL12"/>
        <w:numPr>
          <w:ilvl w:val="0"/>
          <w:numId w:val="58"/>
        </w:numPr>
        <w:ind w:left="851" w:hanging="851"/>
        <w:rPr>
          <w:lang w:val="es-ES"/>
        </w:rPr>
      </w:pPr>
      <w:r w:rsidRPr="00647F97">
        <w:rPr>
          <w:lang w:val="es-ES"/>
        </w:rPr>
        <w:t>Manual de ejemplos de señalización de obras fijas. Dirección General de Carreteras, 1997. Como aplicación de la Norma 8.3-IC sobre Señalización de Obras.</w:t>
      </w:r>
    </w:p>
    <w:p w14:paraId="25193EA2" w14:textId="77777777" w:rsidR="00177852" w:rsidRPr="00647F97" w:rsidRDefault="00177852" w:rsidP="00427AD7">
      <w:pPr>
        <w:pStyle w:val="NORMAL12"/>
        <w:numPr>
          <w:ilvl w:val="0"/>
          <w:numId w:val="58"/>
        </w:numPr>
        <w:ind w:left="851" w:hanging="851"/>
        <w:rPr>
          <w:lang w:val="es-ES"/>
        </w:rPr>
      </w:pPr>
      <w:r w:rsidRPr="00647F97">
        <w:rPr>
          <w:lang w:val="es-ES"/>
        </w:rPr>
        <w:t>Orden Circular 309/90 C y E, de 15 de enero, sobre hitos de arista. Anulada parcialmente (criterios técnicos) por la Orden FOM 2543/2014 que aprueba el artículo 703 del PG-3.</w:t>
      </w:r>
    </w:p>
    <w:p w14:paraId="54849F7F" w14:textId="77777777" w:rsidR="00177852" w:rsidRPr="00647F97" w:rsidRDefault="00177852" w:rsidP="00427AD7">
      <w:pPr>
        <w:pStyle w:val="NORMAL12"/>
        <w:numPr>
          <w:ilvl w:val="0"/>
          <w:numId w:val="58"/>
        </w:numPr>
        <w:ind w:left="851" w:hanging="851"/>
        <w:rPr>
          <w:lang w:val="es-ES"/>
        </w:rPr>
      </w:pPr>
      <w:r w:rsidRPr="00647F97">
        <w:rPr>
          <w:lang w:val="es-ES"/>
        </w:rPr>
        <w:t>Orden Circular 35/2014, de 19 de mayo de 2014, sobre criterios de aplicación de sistemas de contención de vehículos.</w:t>
      </w:r>
    </w:p>
    <w:p w14:paraId="7EE7BDE3" w14:textId="77777777" w:rsidR="00177852" w:rsidRPr="00647F97" w:rsidRDefault="00177852" w:rsidP="00427AD7">
      <w:pPr>
        <w:pStyle w:val="NORMAL12"/>
        <w:numPr>
          <w:ilvl w:val="0"/>
          <w:numId w:val="58"/>
        </w:numPr>
        <w:ind w:left="851" w:hanging="851"/>
        <w:rPr>
          <w:lang w:val="es-ES"/>
        </w:rPr>
      </w:pPr>
      <w:r w:rsidRPr="00647F97">
        <w:rPr>
          <w:lang w:val="es-ES"/>
        </w:rPr>
        <w:t>Orden FOM/3053/2008, de 23 de septiembre, por la que se aprueba la Instrucción Técnica para la instalación de reductores de velocidad y bandas transversales de alerta en carreteras de la Red de Carreteras del Estado (BOE del 29 de octubre de 2008).</w:t>
      </w:r>
    </w:p>
    <w:p w14:paraId="1B6CA175" w14:textId="77777777" w:rsidR="00177852" w:rsidRPr="00647F97" w:rsidRDefault="00177852" w:rsidP="00427AD7">
      <w:pPr>
        <w:ind w:left="851" w:right="8792" w:hanging="851"/>
        <w:jc w:val="both"/>
        <w:rPr>
          <w:rFonts w:ascii="Arial" w:eastAsia="Arial" w:hAnsi="Arial" w:cs="Arial"/>
        </w:rPr>
      </w:pPr>
    </w:p>
    <w:p w14:paraId="317ABFE0" w14:textId="77777777" w:rsidR="00177852" w:rsidRPr="00647F97" w:rsidRDefault="00177852" w:rsidP="00427AD7">
      <w:pPr>
        <w:ind w:left="851" w:right="5432" w:hanging="851"/>
        <w:jc w:val="both"/>
        <w:rPr>
          <w:rFonts w:ascii="Arial" w:eastAsia="Arial" w:hAnsi="Arial" w:cs="Arial"/>
          <w:bCs/>
          <w:u w:val="single"/>
        </w:rPr>
      </w:pPr>
      <w:r w:rsidRPr="00647F97">
        <w:rPr>
          <w:rFonts w:ascii="Arial" w:eastAsia="Arial" w:hAnsi="Arial" w:cs="Arial"/>
          <w:bCs/>
          <w:u w:val="single"/>
        </w:rPr>
        <w:t>ILUMINACIÓN</w:t>
      </w:r>
    </w:p>
    <w:p w14:paraId="4D1FBAF5" w14:textId="77777777" w:rsidR="00177852" w:rsidRPr="00647F97" w:rsidRDefault="00177852" w:rsidP="00427AD7">
      <w:pPr>
        <w:spacing w:before="15" w:line="260" w:lineRule="exact"/>
        <w:ind w:left="851" w:hanging="851"/>
        <w:rPr>
          <w:sz w:val="26"/>
          <w:szCs w:val="26"/>
        </w:rPr>
      </w:pPr>
    </w:p>
    <w:p w14:paraId="555426E3" w14:textId="77777777" w:rsidR="00177852" w:rsidRDefault="00177852" w:rsidP="00427AD7">
      <w:pPr>
        <w:pStyle w:val="NORMAL12"/>
        <w:numPr>
          <w:ilvl w:val="0"/>
          <w:numId w:val="58"/>
        </w:numPr>
        <w:ind w:left="851" w:hanging="851"/>
        <w:rPr>
          <w:lang w:val="es-ES"/>
        </w:rPr>
      </w:pPr>
      <w:r w:rsidRPr="00647F97">
        <w:rPr>
          <w:lang w:val="es-ES"/>
        </w:rPr>
        <w:t>Real Decreto 1890/2008, de 14 de noviembre, por el que se aprueba el Reglamento de eficiencia energética en instalaciones de alumbrado exterior y sus Instrucciones técnicas complementarias EA-01 a EA-07 (BOE del 19 de noviembre de 2008).</w:t>
      </w:r>
    </w:p>
    <w:p w14:paraId="1864C329" w14:textId="77777777" w:rsidR="00F17841" w:rsidRPr="00900D65" w:rsidRDefault="00F17841" w:rsidP="00427AD7">
      <w:pPr>
        <w:pStyle w:val="NORMAL12"/>
        <w:numPr>
          <w:ilvl w:val="0"/>
          <w:numId w:val="58"/>
        </w:numPr>
        <w:ind w:left="851" w:hanging="851"/>
        <w:rPr>
          <w:lang w:val="es-ES"/>
        </w:rPr>
      </w:pPr>
      <w:r w:rsidRPr="00900D65">
        <w:t>Real Decreto 842/2002, de 2 de agosto, por el cual se aprueba el Reglamento Electrotécnico para Baja Tensión.</w:t>
      </w:r>
    </w:p>
    <w:p w14:paraId="6C9FB690" w14:textId="77777777" w:rsidR="00177852" w:rsidRDefault="00177852" w:rsidP="00427AD7">
      <w:pPr>
        <w:pStyle w:val="NORMAL12"/>
        <w:numPr>
          <w:ilvl w:val="0"/>
          <w:numId w:val="58"/>
        </w:numPr>
        <w:ind w:left="851" w:hanging="851"/>
        <w:rPr>
          <w:lang w:val="es-ES"/>
        </w:rPr>
      </w:pPr>
      <w:r w:rsidRPr="00647F97">
        <w:rPr>
          <w:lang w:val="es-ES"/>
        </w:rPr>
        <w:t>Orden Circular 36/2015, de 24 de febrero, sobre criterios a aplicar en la iluminación de carreteras a cielo abierto y túneles. Tomos I y II.</w:t>
      </w:r>
    </w:p>
    <w:p w14:paraId="462B94C5" w14:textId="77777777" w:rsidR="00CD3BAD" w:rsidRPr="00647F97" w:rsidRDefault="00CD3BAD" w:rsidP="00427AD7">
      <w:pPr>
        <w:pStyle w:val="NORMAL12"/>
        <w:numPr>
          <w:ilvl w:val="0"/>
          <w:numId w:val="58"/>
        </w:numPr>
        <w:ind w:left="851" w:hanging="851"/>
        <w:rPr>
          <w:lang w:val="es-ES"/>
        </w:rPr>
      </w:pPr>
      <w:r>
        <w:rPr>
          <w:lang w:val="es-ES"/>
        </w:rPr>
        <w:t>Reglamento Electrotécnico de Baja Tensión</w:t>
      </w:r>
      <w:r w:rsidR="00730796">
        <w:rPr>
          <w:lang w:val="es-ES"/>
        </w:rPr>
        <w:t>.</w:t>
      </w:r>
    </w:p>
    <w:p w14:paraId="10F7171F" w14:textId="77777777" w:rsidR="00177852" w:rsidRPr="00647F97" w:rsidRDefault="00177852" w:rsidP="00427AD7">
      <w:pPr>
        <w:ind w:left="851" w:right="46" w:hanging="851"/>
        <w:jc w:val="both"/>
        <w:rPr>
          <w:rFonts w:ascii="Arial" w:eastAsia="Arial" w:hAnsi="Arial" w:cs="Arial"/>
        </w:rPr>
      </w:pPr>
    </w:p>
    <w:p w14:paraId="723EB3A9" w14:textId="77777777" w:rsidR="00177852" w:rsidRPr="00647F97" w:rsidRDefault="00177852" w:rsidP="00427AD7">
      <w:pPr>
        <w:ind w:left="851" w:right="5432" w:hanging="851"/>
        <w:jc w:val="both"/>
        <w:rPr>
          <w:rFonts w:ascii="Arial" w:eastAsia="Arial" w:hAnsi="Arial" w:cs="Arial"/>
          <w:bCs/>
          <w:u w:val="single"/>
        </w:rPr>
      </w:pPr>
      <w:r w:rsidRPr="00647F97">
        <w:rPr>
          <w:rFonts w:ascii="Arial" w:eastAsia="Arial" w:hAnsi="Arial" w:cs="Arial"/>
          <w:bCs/>
          <w:u w:val="single"/>
        </w:rPr>
        <w:t>PLANTACIONES</w:t>
      </w:r>
    </w:p>
    <w:p w14:paraId="6A7F4B76" w14:textId="77777777" w:rsidR="00177852" w:rsidRPr="00647F97" w:rsidRDefault="00177852" w:rsidP="00427AD7">
      <w:pPr>
        <w:spacing w:before="15" w:line="260" w:lineRule="exact"/>
        <w:ind w:left="851" w:hanging="851"/>
        <w:rPr>
          <w:sz w:val="26"/>
          <w:szCs w:val="26"/>
        </w:rPr>
      </w:pPr>
    </w:p>
    <w:p w14:paraId="307ECB74" w14:textId="77777777" w:rsidR="00177852" w:rsidRPr="00647F97" w:rsidRDefault="00177852" w:rsidP="00427AD7">
      <w:pPr>
        <w:pStyle w:val="NORMAL12"/>
        <w:numPr>
          <w:ilvl w:val="0"/>
          <w:numId w:val="58"/>
        </w:numPr>
        <w:ind w:left="851" w:hanging="851"/>
        <w:rPr>
          <w:lang w:val="es-ES"/>
        </w:rPr>
      </w:pPr>
      <w:proofErr w:type="gramStart"/>
      <w:r w:rsidRPr="00647F97">
        <w:rPr>
          <w:lang w:val="es-ES"/>
        </w:rPr>
        <w:t>Manual  de</w:t>
      </w:r>
      <w:proofErr w:type="gramEnd"/>
      <w:r w:rsidRPr="00647F97">
        <w:rPr>
          <w:lang w:val="es-ES"/>
        </w:rPr>
        <w:t xml:space="preserve">  </w:t>
      </w:r>
      <w:proofErr w:type="gramStart"/>
      <w:r w:rsidRPr="00647F97">
        <w:rPr>
          <w:lang w:val="es-ES"/>
        </w:rPr>
        <w:t>plantaciones  en</w:t>
      </w:r>
      <w:proofErr w:type="gramEnd"/>
      <w:r w:rsidRPr="00647F97">
        <w:rPr>
          <w:lang w:val="es-ES"/>
        </w:rPr>
        <w:t xml:space="preserve">  </w:t>
      </w:r>
      <w:proofErr w:type="gramStart"/>
      <w:r w:rsidRPr="00647F97">
        <w:rPr>
          <w:lang w:val="es-ES"/>
        </w:rPr>
        <w:t>el  entorno</w:t>
      </w:r>
      <w:proofErr w:type="gramEnd"/>
      <w:r w:rsidRPr="00647F97">
        <w:rPr>
          <w:lang w:val="es-ES"/>
        </w:rPr>
        <w:t xml:space="preserve">  </w:t>
      </w:r>
      <w:proofErr w:type="gramStart"/>
      <w:r w:rsidRPr="00647F97">
        <w:rPr>
          <w:lang w:val="es-ES"/>
        </w:rPr>
        <w:t>de  la</w:t>
      </w:r>
      <w:proofErr w:type="gramEnd"/>
      <w:r w:rsidRPr="00647F97">
        <w:rPr>
          <w:lang w:val="es-ES"/>
        </w:rPr>
        <w:t xml:space="preserve">  </w:t>
      </w:r>
      <w:proofErr w:type="gramStart"/>
      <w:r w:rsidRPr="00647F97">
        <w:rPr>
          <w:lang w:val="es-ES"/>
        </w:rPr>
        <w:t>carretera,  Dirección</w:t>
      </w:r>
      <w:proofErr w:type="gramEnd"/>
      <w:r w:rsidRPr="00647F97">
        <w:rPr>
          <w:lang w:val="es-ES"/>
        </w:rPr>
        <w:t xml:space="preserve">  </w:t>
      </w:r>
      <w:proofErr w:type="gramStart"/>
      <w:r w:rsidRPr="00647F97">
        <w:rPr>
          <w:lang w:val="es-ES"/>
        </w:rPr>
        <w:t>General  de</w:t>
      </w:r>
      <w:proofErr w:type="gramEnd"/>
      <w:r w:rsidRPr="00647F97">
        <w:rPr>
          <w:lang w:val="es-ES"/>
        </w:rPr>
        <w:t xml:space="preserve"> Carreteras, 1992.</w:t>
      </w:r>
    </w:p>
    <w:p w14:paraId="0B4FF5F7" w14:textId="77777777" w:rsidR="00177852" w:rsidRPr="00647F97" w:rsidRDefault="00177852" w:rsidP="00427AD7">
      <w:pPr>
        <w:pStyle w:val="NORMAL12"/>
        <w:numPr>
          <w:ilvl w:val="0"/>
          <w:numId w:val="58"/>
        </w:numPr>
        <w:ind w:left="851" w:hanging="851"/>
        <w:rPr>
          <w:lang w:val="es-ES"/>
        </w:rPr>
      </w:pPr>
      <w:r w:rsidRPr="00647F97">
        <w:rPr>
          <w:lang w:val="es-ES"/>
        </w:rPr>
        <w:t>Catálogo de especies vegetales a utilizar en plantaciones de carreteras, Dirección General de Carreteras, 1990.</w:t>
      </w:r>
    </w:p>
    <w:p w14:paraId="159BA986" w14:textId="77777777" w:rsidR="00177852" w:rsidRPr="00647F97" w:rsidRDefault="00177852" w:rsidP="00427AD7">
      <w:pPr>
        <w:ind w:left="851" w:right="6349" w:hanging="851"/>
        <w:jc w:val="both"/>
        <w:rPr>
          <w:rFonts w:ascii="Arial" w:eastAsia="Arial" w:hAnsi="Arial" w:cs="Arial"/>
        </w:rPr>
      </w:pPr>
    </w:p>
    <w:p w14:paraId="0FC33447" w14:textId="77777777" w:rsidR="00177852" w:rsidRPr="00647F97" w:rsidRDefault="00177852" w:rsidP="00427AD7">
      <w:pPr>
        <w:ind w:left="851" w:right="5432" w:hanging="851"/>
        <w:jc w:val="both"/>
        <w:rPr>
          <w:rFonts w:ascii="Arial" w:eastAsia="Arial" w:hAnsi="Arial" w:cs="Arial"/>
          <w:bCs/>
          <w:u w:val="single"/>
        </w:rPr>
      </w:pPr>
      <w:r w:rsidRPr="00647F97">
        <w:rPr>
          <w:rFonts w:ascii="Arial" w:eastAsia="Arial" w:hAnsi="Arial" w:cs="Arial"/>
          <w:bCs/>
          <w:u w:val="single"/>
        </w:rPr>
        <w:t>RUIDO</w:t>
      </w:r>
    </w:p>
    <w:p w14:paraId="4EB93CEB" w14:textId="77777777" w:rsidR="00177852" w:rsidRPr="00647F97" w:rsidRDefault="00177852" w:rsidP="00427AD7">
      <w:pPr>
        <w:spacing w:before="15" w:line="260" w:lineRule="exact"/>
        <w:ind w:left="851" w:hanging="851"/>
        <w:rPr>
          <w:sz w:val="26"/>
          <w:szCs w:val="26"/>
        </w:rPr>
      </w:pPr>
    </w:p>
    <w:p w14:paraId="3362D4E5" w14:textId="77777777" w:rsidR="00177852" w:rsidRPr="00647F97" w:rsidRDefault="00177852" w:rsidP="00427AD7">
      <w:pPr>
        <w:pStyle w:val="NORMAL12"/>
        <w:numPr>
          <w:ilvl w:val="0"/>
          <w:numId w:val="58"/>
        </w:numPr>
        <w:ind w:left="851" w:hanging="851"/>
        <w:rPr>
          <w:lang w:val="es-ES"/>
        </w:rPr>
      </w:pPr>
      <w:r w:rsidRPr="00647F97">
        <w:rPr>
          <w:lang w:val="es-ES"/>
        </w:rPr>
        <w:t>Ley 37/2003, de 17 de noviembre, del Ruido (BOE del 18 de noviembre de 2003).</w:t>
      </w:r>
    </w:p>
    <w:p w14:paraId="718E20A4" w14:textId="77777777" w:rsidR="00177852" w:rsidRPr="00647F97" w:rsidRDefault="00177852" w:rsidP="00427AD7">
      <w:pPr>
        <w:pStyle w:val="NORMAL12"/>
        <w:numPr>
          <w:ilvl w:val="0"/>
          <w:numId w:val="58"/>
        </w:numPr>
        <w:ind w:left="851" w:hanging="851"/>
        <w:rPr>
          <w:lang w:val="es-ES"/>
        </w:rPr>
      </w:pPr>
      <w:r w:rsidRPr="00647F97">
        <w:rPr>
          <w:lang w:val="es-ES"/>
        </w:rPr>
        <w:t>Real Decreto 1367/2007, de 19 de octubre, por el que se desarrolla la Ley 37/2003, de 17 de noviembre, del ruido, en lo referente a zonificación acústica, objetivos de calidad y emisiones acústicas (BOE del 23 de octubre de 2007).</w:t>
      </w:r>
    </w:p>
    <w:p w14:paraId="74873068" w14:textId="77777777" w:rsidR="00177852" w:rsidRPr="00647F97" w:rsidRDefault="00177852" w:rsidP="00427AD7">
      <w:pPr>
        <w:pStyle w:val="NORMAL12"/>
        <w:numPr>
          <w:ilvl w:val="0"/>
          <w:numId w:val="58"/>
        </w:numPr>
        <w:ind w:left="851" w:hanging="851"/>
        <w:rPr>
          <w:lang w:val="es-ES"/>
        </w:rPr>
      </w:pPr>
      <w:r w:rsidRPr="00647F97">
        <w:rPr>
          <w:lang w:val="es-ES"/>
        </w:rPr>
        <w:t>Real Decreto 1513/2005, de 16 de diciembre, por el que se desarrolla la Ley 37/2003, de 17 de noviembre, del ruido, en lo referente a la evaluación y gestión del ruido ambiental (BOE del 17 de diciembre de 2005).</w:t>
      </w:r>
    </w:p>
    <w:p w14:paraId="0158F74D" w14:textId="77777777" w:rsidR="00177852" w:rsidRPr="00647F97" w:rsidRDefault="00177852" w:rsidP="00427AD7">
      <w:pPr>
        <w:pStyle w:val="NORMAL12"/>
        <w:numPr>
          <w:ilvl w:val="0"/>
          <w:numId w:val="58"/>
        </w:numPr>
        <w:ind w:left="851" w:hanging="851"/>
        <w:rPr>
          <w:lang w:val="es-ES"/>
        </w:rPr>
      </w:pPr>
      <w:r w:rsidRPr="00647F97">
        <w:rPr>
          <w:lang w:val="es-ES"/>
        </w:rPr>
        <w:t>Reducción del ruido en el entorno de las carreteras. Dirección General de Carreteras, 1995.</w:t>
      </w:r>
    </w:p>
    <w:p w14:paraId="4D13FFA4" w14:textId="77777777" w:rsidR="00177852" w:rsidRPr="00647F97" w:rsidRDefault="00177852" w:rsidP="00427AD7">
      <w:pPr>
        <w:spacing w:line="200" w:lineRule="exact"/>
        <w:ind w:left="851" w:hanging="851"/>
        <w:rPr>
          <w:sz w:val="20"/>
          <w:szCs w:val="20"/>
        </w:rPr>
      </w:pPr>
    </w:p>
    <w:p w14:paraId="1343190A" w14:textId="77777777" w:rsidR="00177852" w:rsidRPr="00647F97" w:rsidRDefault="00177852" w:rsidP="00427AD7">
      <w:pPr>
        <w:ind w:left="851" w:right="5432" w:hanging="851"/>
        <w:jc w:val="both"/>
        <w:rPr>
          <w:rFonts w:ascii="Arial" w:eastAsia="Arial" w:hAnsi="Arial" w:cs="Arial"/>
          <w:bCs/>
          <w:u w:val="single"/>
        </w:rPr>
      </w:pPr>
      <w:r w:rsidRPr="00647F97">
        <w:rPr>
          <w:rFonts w:ascii="Arial" w:eastAsia="Arial" w:hAnsi="Arial" w:cs="Arial"/>
          <w:bCs/>
          <w:u w:val="single"/>
        </w:rPr>
        <w:t>CALIDAD</w:t>
      </w:r>
    </w:p>
    <w:p w14:paraId="10244723" w14:textId="77777777" w:rsidR="00177852" w:rsidRPr="00647F97" w:rsidRDefault="00177852" w:rsidP="00427AD7">
      <w:pPr>
        <w:ind w:left="851" w:right="5432" w:hanging="851"/>
        <w:jc w:val="both"/>
        <w:rPr>
          <w:rFonts w:ascii="Arial" w:eastAsia="Arial" w:hAnsi="Arial" w:cs="Arial"/>
          <w:bCs/>
          <w:u w:val="single"/>
        </w:rPr>
      </w:pPr>
    </w:p>
    <w:p w14:paraId="5AC9CD86" w14:textId="77777777" w:rsidR="00177852" w:rsidRPr="00647F97" w:rsidRDefault="00177852" w:rsidP="00427AD7">
      <w:pPr>
        <w:pStyle w:val="NORMAL12"/>
        <w:numPr>
          <w:ilvl w:val="0"/>
          <w:numId w:val="58"/>
        </w:numPr>
        <w:ind w:left="851" w:hanging="851"/>
        <w:rPr>
          <w:lang w:val="es-ES"/>
        </w:rPr>
      </w:pPr>
      <w:r w:rsidRPr="00647F97">
        <w:rPr>
          <w:lang w:val="es-ES"/>
        </w:rPr>
        <w:t>Nota de Servicio, de 20 de diciembre de 2003, sobre emisión de certificado de buena ejecución de obras.</w:t>
      </w:r>
    </w:p>
    <w:p w14:paraId="0ADE7648" w14:textId="77777777" w:rsidR="00177852" w:rsidRPr="00647F97" w:rsidRDefault="00177852" w:rsidP="00427AD7">
      <w:pPr>
        <w:pStyle w:val="NORMAL12"/>
        <w:numPr>
          <w:ilvl w:val="0"/>
          <w:numId w:val="58"/>
        </w:numPr>
        <w:ind w:left="851" w:hanging="851"/>
        <w:rPr>
          <w:lang w:val="es-ES"/>
        </w:rPr>
      </w:pPr>
      <w:r w:rsidRPr="00647F97">
        <w:rPr>
          <w:lang w:val="es-ES"/>
        </w:rPr>
        <w:t>Nota interior de 24 de febrero de 2004, sobre obligatoriedad del cumplimiento de la normativa europea en productos de construcción.</w:t>
      </w:r>
    </w:p>
    <w:p w14:paraId="136C7184" w14:textId="77777777" w:rsidR="00177852" w:rsidRPr="00647F97" w:rsidRDefault="00177852" w:rsidP="00427AD7">
      <w:pPr>
        <w:pStyle w:val="NORMAL12"/>
        <w:numPr>
          <w:ilvl w:val="0"/>
          <w:numId w:val="58"/>
        </w:numPr>
        <w:ind w:left="851" w:hanging="851"/>
        <w:rPr>
          <w:lang w:val="es-ES"/>
        </w:rPr>
      </w:pPr>
      <w:r w:rsidRPr="00647F97">
        <w:rPr>
          <w:lang w:val="es-ES"/>
        </w:rPr>
        <w:t>Real Decreto 256/2016, de 10 de junio, por el que se aprueba la Instrucción para la recepción de cementos (RC-16) (BOE de 25 de junio de 2016).</w:t>
      </w:r>
    </w:p>
    <w:p w14:paraId="424B81C3" w14:textId="77777777" w:rsidR="00177852" w:rsidRPr="00647F97" w:rsidRDefault="00177852" w:rsidP="00427AD7">
      <w:pPr>
        <w:pStyle w:val="NORMAL12"/>
        <w:numPr>
          <w:ilvl w:val="0"/>
          <w:numId w:val="58"/>
        </w:numPr>
        <w:ind w:left="851" w:hanging="851"/>
        <w:rPr>
          <w:lang w:val="es-ES"/>
        </w:rPr>
      </w:pPr>
      <w:r w:rsidRPr="00647F97">
        <w:rPr>
          <w:lang w:val="es-ES"/>
        </w:rPr>
        <w:t>Real Decreto 605/2006, de 19 de mayo, por el que se aprueban los procedimientos para la aplicación de la norma UNE-EN 197-2:2000 a los cementos no sujetos al marcado CE y a los centros de distribución de cualquier tipo de cemento (BOE de 7 de junio de 2006).</w:t>
      </w:r>
    </w:p>
    <w:p w14:paraId="65BDE124" w14:textId="77777777" w:rsidR="00177852" w:rsidRPr="00647F97" w:rsidRDefault="00177852" w:rsidP="00427AD7">
      <w:pPr>
        <w:pStyle w:val="NORMAL12"/>
        <w:numPr>
          <w:ilvl w:val="0"/>
          <w:numId w:val="58"/>
        </w:numPr>
        <w:ind w:left="851" w:hanging="851"/>
        <w:rPr>
          <w:lang w:val="es-ES"/>
        </w:rPr>
      </w:pPr>
      <w:r w:rsidRPr="00647F97">
        <w:rPr>
          <w:lang w:val="es-ES"/>
        </w:rPr>
        <w:t>Real Decreto 1247/2008, de 18 de julio, por el que se aprueba la “Instrucción de Hormigón Estructural (EHE-08)” (BOE del 22 de agosto de 2008). Corrección de errores BOE del 24 de diciembre de 2008.</w:t>
      </w:r>
    </w:p>
    <w:p w14:paraId="407310F9" w14:textId="77777777" w:rsidR="00177852" w:rsidRPr="00647F97" w:rsidRDefault="00177852" w:rsidP="00427AD7">
      <w:pPr>
        <w:pStyle w:val="NORMAL12"/>
        <w:numPr>
          <w:ilvl w:val="0"/>
          <w:numId w:val="58"/>
        </w:numPr>
        <w:ind w:left="851" w:hanging="851"/>
        <w:rPr>
          <w:lang w:val="es-ES"/>
        </w:rPr>
      </w:pPr>
      <w:r w:rsidRPr="00647F97">
        <w:rPr>
          <w:lang w:val="es-ES"/>
        </w:rPr>
        <w:lastRenderedPageBreak/>
        <w:t>Real Decreto 751/2011, de 27 de mayo, por el que se aprueba la “Instrucción de Acero Estructural (EAE)” (BOE del 23 de junio de 2011). Corrección de errores BOE del 23 de junio de 2012.</w:t>
      </w:r>
    </w:p>
    <w:p w14:paraId="195EF3B4" w14:textId="77777777" w:rsidR="00177852" w:rsidRPr="00647F97" w:rsidRDefault="00EB501B" w:rsidP="00427AD7">
      <w:pPr>
        <w:pStyle w:val="NORMAL12"/>
        <w:numPr>
          <w:ilvl w:val="0"/>
          <w:numId w:val="58"/>
        </w:numPr>
        <w:ind w:left="851" w:hanging="851"/>
        <w:rPr>
          <w:lang w:val="es-ES"/>
        </w:rPr>
      </w:pPr>
      <w:r>
        <w:rPr>
          <w:lang w:val="es-ES"/>
        </w:rPr>
        <w:br w:type="column"/>
      </w:r>
      <w:r w:rsidR="00177852" w:rsidRPr="00647F97">
        <w:rPr>
          <w:lang w:val="es-ES"/>
        </w:rPr>
        <w:t>Real Decreto 842/2013, de 31 de octubre, por el que se aprueba la clasificación de los productos de construcción y de los elementos constructivos en función de sus propiedades de reacción y de resistencia frente al fuego (BOE 23 de noviembre de 2013)</w:t>
      </w:r>
      <w:r w:rsidR="00730796">
        <w:rPr>
          <w:lang w:val="es-ES"/>
        </w:rPr>
        <w:t>.</w:t>
      </w:r>
    </w:p>
    <w:p w14:paraId="6AB812A9" w14:textId="77777777" w:rsidR="00EB501B" w:rsidRDefault="00EB501B" w:rsidP="00427AD7">
      <w:pPr>
        <w:ind w:left="851" w:right="5432" w:hanging="851"/>
        <w:jc w:val="both"/>
        <w:rPr>
          <w:rFonts w:ascii="Arial" w:eastAsia="Arial" w:hAnsi="Arial" w:cs="Arial"/>
          <w:bCs/>
          <w:u w:val="single"/>
        </w:rPr>
      </w:pPr>
    </w:p>
    <w:p w14:paraId="32B0C82B" w14:textId="77777777" w:rsidR="00177852" w:rsidRPr="00647F97" w:rsidRDefault="00177852" w:rsidP="00427AD7">
      <w:pPr>
        <w:ind w:left="851" w:right="5432" w:hanging="851"/>
        <w:jc w:val="both"/>
        <w:rPr>
          <w:rFonts w:ascii="Arial" w:eastAsia="Arial" w:hAnsi="Arial" w:cs="Arial"/>
          <w:bCs/>
          <w:u w:val="single"/>
        </w:rPr>
      </w:pPr>
      <w:r w:rsidRPr="00647F97">
        <w:rPr>
          <w:rFonts w:ascii="Arial" w:eastAsia="Arial" w:hAnsi="Arial" w:cs="Arial"/>
          <w:bCs/>
          <w:u w:val="single"/>
        </w:rPr>
        <w:t>GESTIÓN DE RESIDUOS</w:t>
      </w:r>
    </w:p>
    <w:p w14:paraId="42FBED3E" w14:textId="77777777" w:rsidR="00177852" w:rsidRPr="00647F97" w:rsidRDefault="00177852" w:rsidP="00427AD7">
      <w:pPr>
        <w:ind w:left="851" w:right="-20" w:hanging="851"/>
        <w:rPr>
          <w:rFonts w:ascii="Arial" w:eastAsia="Arial" w:hAnsi="Arial" w:cs="Arial"/>
          <w:b/>
          <w:bCs/>
          <w:sz w:val="28"/>
          <w:szCs w:val="28"/>
        </w:rPr>
      </w:pPr>
    </w:p>
    <w:p w14:paraId="55C93246" w14:textId="77777777" w:rsidR="00177852" w:rsidRPr="00900D65" w:rsidRDefault="00177852" w:rsidP="00427AD7">
      <w:pPr>
        <w:pStyle w:val="NORMAL12"/>
        <w:numPr>
          <w:ilvl w:val="0"/>
          <w:numId w:val="58"/>
        </w:numPr>
        <w:ind w:left="851" w:hanging="851"/>
        <w:rPr>
          <w:lang w:val="es-ES"/>
        </w:rPr>
      </w:pPr>
      <w:r w:rsidRPr="00900D65">
        <w:rPr>
          <w:lang w:val="es-ES"/>
        </w:rPr>
        <w:t>Ley 22/2011, de 28 de julio, de residuos y suelos contaminados. Modificada por el Real Decreto-ley 17/2012, de 4 de mayo, de medidas urgent</w:t>
      </w:r>
      <w:r w:rsidR="00730796" w:rsidRPr="00900D65">
        <w:rPr>
          <w:lang w:val="es-ES"/>
        </w:rPr>
        <w:t>es en materia de medio ambiente, por la Ley 11/2012, de 19 de diciembre, la Ley 5/2013, de 11 de junio, por el Real Decreto 180/2015, de 13 de marzo y por Orden AAA/699/2016, de 9 de mayo.</w:t>
      </w:r>
    </w:p>
    <w:p w14:paraId="229A7D99" w14:textId="77777777" w:rsidR="00177852" w:rsidRPr="00647F97" w:rsidRDefault="00177852" w:rsidP="00427AD7">
      <w:pPr>
        <w:pStyle w:val="NORMAL12"/>
        <w:numPr>
          <w:ilvl w:val="0"/>
          <w:numId w:val="58"/>
        </w:numPr>
        <w:ind w:left="851" w:hanging="851"/>
        <w:rPr>
          <w:lang w:val="es-ES"/>
        </w:rPr>
      </w:pPr>
      <w:r w:rsidRPr="00647F97">
        <w:rPr>
          <w:lang w:val="es-ES"/>
        </w:rPr>
        <w:t>Real Decreto 105/2008, de 1 de febrero, por el que se regula la producción y gestión de los residuos de construcción y demolición.</w:t>
      </w:r>
    </w:p>
    <w:p w14:paraId="1BD12C14" w14:textId="13F6FDBD" w:rsidR="00177852" w:rsidRPr="00647F97" w:rsidRDefault="00177852" w:rsidP="00427AD7">
      <w:pPr>
        <w:pStyle w:val="NORMAL12"/>
        <w:numPr>
          <w:ilvl w:val="0"/>
          <w:numId w:val="58"/>
        </w:numPr>
        <w:ind w:left="851" w:hanging="851"/>
        <w:rPr>
          <w:lang w:val="es-ES"/>
        </w:rPr>
      </w:pPr>
      <w:r w:rsidRPr="00647F97">
        <w:rPr>
          <w:lang w:val="es-ES"/>
        </w:rPr>
        <w:t xml:space="preserve">Plan estratégico de residuos del </w:t>
      </w:r>
      <w:r w:rsidR="00CD3BAD">
        <w:rPr>
          <w:lang w:val="es-ES"/>
        </w:rPr>
        <w:t>P</w:t>
      </w:r>
      <w:r w:rsidRPr="00647F97">
        <w:rPr>
          <w:lang w:val="es-ES"/>
        </w:rPr>
        <w:t>rincipado de Asturias 2014-2024</w:t>
      </w:r>
      <w:r w:rsidR="00730796">
        <w:rPr>
          <w:lang w:val="es-ES"/>
        </w:rPr>
        <w:t>.</w:t>
      </w:r>
    </w:p>
    <w:bookmarkEnd w:id="12"/>
    <w:bookmarkEnd w:id="13"/>
    <w:bookmarkEnd w:id="14"/>
    <w:bookmarkEnd w:id="15"/>
    <w:p w14:paraId="4294B868" w14:textId="77777777" w:rsidR="00741ED5" w:rsidRPr="00DA6B25" w:rsidRDefault="002933FD" w:rsidP="00741ED5">
      <w:pPr>
        <w:pStyle w:val="TtuloPortada"/>
        <w:jc w:val="right"/>
        <w:outlineLvl w:val="0"/>
        <w:rPr>
          <w:rFonts w:ascii="Arial" w:hAnsi="Arial" w:cs="Arial"/>
          <w:highlight w:val="green"/>
        </w:rPr>
      </w:pPr>
      <w:r w:rsidRPr="005864C2">
        <w:rPr>
          <w:color w:val="365F91" w:themeColor="accent1" w:themeShade="BF"/>
        </w:rPr>
        <w:lastRenderedPageBreak/>
        <w:br w:type="column"/>
      </w:r>
      <w:bookmarkStart w:id="16" w:name="_Toc404033"/>
      <w:r w:rsidR="00741ED5" w:rsidRPr="00DA6B25">
        <w:rPr>
          <w:rFonts w:ascii="Arial" w:hAnsi="Arial" w:cs="Arial"/>
        </w:rPr>
        <w:t>3.2.2.- Pliego de prescripciones técnicas particulares</w:t>
      </w:r>
      <w:bookmarkEnd w:id="16"/>
    </w:p>
    <w:p w14:paraId="5E735003" w14:textId="77777777" w:rsidR="00741ED5" w:rsidRPr="005864C2" w:rsidRDefault="00741ED5" w:rsidP="00741ED5">
      <w:pPr>
        <w:pStyle w:val="NORMAL12"/>
        <w:rPr>
          <w:color w:val="365F91" w:themeColor="accent1" w:themeShade="BF"/>
          <w:highlight w:val="green"/>
        </w:rPr>
      </w:pPr>
    </w:p>
    <w:p w14:paraId="08D161F4" w14:textId="77777777" w:rsidR="00741ED5" w:rsidRPr="005864C2" w:rsidRDefault="00741ED5" w:rsidP="00741ED5">
      <w:pPr>
        <w:pStyle w:val="NORMAL12"/>
        <w:rPr>
          <w:color w:val="365F91" w:themeColor="accent1" w:themeShade="BF"/>
          <w:highlight w:val="green"/>
        </w:rPr>
      </w:pPr>
    </w:p>
    <w:p w14:paraId="63A77F77" w14:textId="77777777" w:rsidR="00741ED5" w:rsidRPr="005864C2" w:rsidRDefault="00741ED5" w:rsidP="00741ED5">
      <w:pPr>
        <w:pStyle w:val="TtuloPortada"/>
        <w:jc w:val="right"/>
        <w:outlineLvl w:val="0"/>
        <w:rPr>
          <w:color w:val="365F91" w:themeColor="accent1" w:themeShade="BF"/>
          <w:highlight w:val="green"/>
        </w:rPr>
        <w:sectPr w:rsidR="00741ED5" w:rsidRPr="005864C2" w:rsidSect="003069BA">
          <w:type w:val="oddPage"/>
          <w:pgSz w:w="23814" w:h="16840" w:orient="landscape" w:code="8"/>
          <w:pgMar w:top="992" w:right="851" w:bottom="1418" w:left="851" w:header="567" w:footer="1021" w:gutter="1418"/>
          <w:cols w:num="2" w:space="1418"/>
        </w:sectPr>
      </w:pPr>
    </w:p>
    <w:p w14:paraId="2BD1F06B" w14:textId="77777777" w:rsidR="00177852" w:rsidRPr="00DA6B25" w:rsidRDefault="002933FD" w:rsidP="00177852">
      <w:pPr>
        <w:pStyle w:val="TtuloPortada"/>
        <w:jc w:val="right"/>
        <w:outlineLvl w:val="0"/>
        <w:rPr>
          <w:rFonts w:ascii="Arial" w:hAnsi="Arial" w:cs="Arial"/>
        </w:rPr>
      </w:pPr>
      <w:r w:rsidRPr="005864C2">
        <w:rPr>
          <w:color w:val="365F91" w:themeColor="accent1" w:themeShade="BF"/>
        </w:rPr>
        <w:lastRenderedPageBreak/>
        <w:br w:type="column"/>
      </w:r>
      <w:bookmarkStart w:id="17" w:name="_Toc404034"/>
      <w:r w:rsidR="00177852" w:rsidRPr="00DA6B25">
        <w:t>Parte 1.-</w:t>
      </w:r>
      <w:r w:rsidR="00177852" w:rsidRPr="00DA6B25">
        <w:rPr>
          <w:rFonts w:ascii="Arial" w:hAnsi="Arial" w:cs="Arial"/>
        </w:rPr>
        <w:t xml:space="preserve"> .- Introducción y Generalidades</w:t>
      </w:r>
      <w:bookmarkEnd w:id="17"/>
    </w:p>
    <w:p w14:paraId="3000F9D6" w14:textId="77777777" w:rsidR="00177852" w:rsidRPr="005864C2" w:rsidRDefault="00177852" w:rsidP="00177852">
      <w:pPr>
        <w:pStyle w:val="NORMAL12"/>
        <w:rPr>
          <w:color w:val="365F91" w:themeColor="accent1" w:themeShade="BF"/>
        </w:rPr>
        <w:sectPr w:rsidR="00177852" w:rsidRPr="005864C2" w:rsidSect="003069BA">
          <w:type w:val="oddPage"/>
          <w:pgSz w:w="23814" w:h="16840" w:orient="landscape" w:code="8"/>
          <w:pgMar w:top="992" w:right="851" w:bottom="1418" w:left="851" w:header="567" w:footer="1021" w:gutter="1418"/>
          <w:cols w:num="2" w:space="1418"/>
        </w:sectPr>
      </w:pPr>
      <w:r w:rsidRPr="005864C2">
        <w:rPr>
          <w:color w:val="365F91" w:themeColor="accent1" w:themeShade="BF"/>
        </w:rPr>
        <w:t xml:space="preserve"> </w:t>
      </w:r>
    </w:p>
    <w:p w14:paraId="307D4CBA" w14:textId="77777777" w:rsidR="00D66C5E" w:rsidRPr="00FF214F" w:rsidRDefault="00D66C5E" w:rsidP="00D66C5E">
      <w:pPr>
        <w:pStyle w:val="TITU1"/>
      </w:pPr>
      <w:bookmarkStart w:id="18" w:name="_Toc511906064"/>
      <w:bookmarkStart w:id="19" w:name="_Toc404035"/>
      <w:bookmarkStart w:id="20" w:name="_Toc511906021"/>
      <w:r w:rsidRPr="00FF214F">
        <w:lastRenderedPageBreak/>
        <w:t>Artículo 100. Definición y ámbito de aplicación</w:t>
      </w:r>
      <w:bookmarkEnd w:id="18"/>
      <w:bookmarkEnd w:id="19"/>
    </w:p>
    <w:p w14:paraId="51F54812" w14:textId="77777777" w:rsidR="00D66C5E" w:rsidRPr="00FF214F" w:rsidRDefault="00D66C5E" w:rsidP="000313DD">
      <w:pPr>
        <w:pStyle w:val="TITU2"/>
      </w:pPr>
      <w:bookmarkStart w:id="21" w:name="_Toc277523176"/>
      <w:bookmarkStart w:id="22" w:name="_Toc511906065"/>
      <w:bookmarkStart w:id="23" w:name="_Toc404036"/>
      <w:r w:rsidRPr="00FF214F">
        <w:t xml:space="preserve">100.1. </w:t>
      </w:r>
      <w:r w:rsidRPr="00FF214F">
        <w:tab/>
        <w:t>Definición</w:t>
      </w:r>
      <w:bookmarkEnd w:id="21"/>
      <w:bookmarkEnd w:id="22"/>
      <w:bookmarkEnd w:id="23"/>
    </w:p>
    <w:p w14:paraId="49DAC5D6" w14:textId="77777777" w:rsidR="00D66C5E" w:rsidRPr="00FF214F" w:rsidRDefault="00D66C5E" w:rsidP="00D66C5E">
      <w:pPr>
        <w:pStyle w:val="NORMAL12"/>
        <w:rPr>
          <w:lang w:val="es-ES"/>
        </w:rPr>
      </w:pPr>
      <w:r w:rsidRPr="00FF214F">
        <w:rPr>
          <w:lang w:val="es-ES"/>
        </w:rPr>
        <w:t>El presente Pliego de Prescripciones Técnicas Particulares constituye el conjunto de instrucciones, normas y especificaciones que, juntamente con las establecidas en el Pliego de Prescripciones Técnicas Generales para obras de carreteras y puentes  PG-3/75</w:t>
      </w:r>
      <w:r w:rsidR="00957682">
        <w:rPr>
          <w:lang w:val="es-ES"/>
        </w:rPr>
        <w:t xml:space="preserve"> </w:t>
      </w:r>
      <w:r w:rsidRPr="00FF214F">
        <w:rPr>
          <w:lang w:val="es-ES"/>
        </w:rPr>
        <w:t>(aprobado por O.M. de 6 de febrero de 1976) y sus modificaciones posteriores, en el resto de la  normativa vigente que sea de aplicación y lo definido en los  otros documentos del proyecto, definen todas las especificaciones técnicas de las obras que integran el Proyecto.</w:t>
      </w:r>
    </w:p>
    <w:p w14:paraId="68E480C6" w14:textId="77777777" w:rsidR="00D66C5E" w:rsidRPr="00FF214F" w:rsidRDefault="00D66C5E" w:rsidP="00D66C5E">
      <w:pPr>
        <w:pStyle w:val="NORMAL12"/>
        <w:rPr>
          <w:lang w:val="es-ES"/>
        </w:rPr>
      </w:pPr>
      <w:r w:rsidRPr="00FF214F">
        <w:rPr>
          <w:lang w:val="es-ES"/>
        </w:rPr>
        <w:t>El conjunto de todas las especificaciones establece además de la descripción general y localizada de las obras, la procedencia y condiciones que han de cumplir los materiales, las instrucciones para la ejecución, medición y abono de las unidades de obra.</w:t>
      </w:r>
    </w:p>
    <w:p w14:paraId="212D2A90" w14:textId="77777777" w:rsidR="00D66C5E" w:rsidRPr="00FF214F" w:rsidRDefault="00D66C5E" w:rsidP="00D66C5E">
      <w:pPr>
        <w:pStyle w:val="NORMAL12"/>
        <w:rPr>
          <w:lang w:val="es-ES"/>
        </w:rPr>
      </w:pPr>
      <w:r w:rsidRPr="00FF214F">
        <w:rPr>
          <w:lang w:val="es-ES"/>
        </w:rPr>
        <w:t xml:space="preserve">En caso de discrepancia entre las especificaciones de aplicación prevalecerá lo prescrito en el presente Pliego de Prescripciones Técnicas Particulares, en primer lugar, y en el resto de </w:t>
      </w:r>
      <w:proofErr w:type="gramStart"/>
      <w:r w:rsidRPr="00FF214F">
        <w:rPr>
          <w:lang w:val="es-ES"/>
        </w:rPr>
        <w:t>situaciones</w:t>
      </w:r>
      <w:proofErr w:type="gramEnd"/>
      <w:r w:rsidRPr="00FF214F">
        <w:rPr>
          <w:lang w:val="es-ES"/>
        </w:rPr>
        <w:t xml:space="preserve"> lo que establezca el </w:t>
      </w:r>
      <w:proofErr w:type="gramStart"/>
      <w:r w:rsidRPr="00FF214F">
        <w:rPr>
          <w:lang w:val="es-ES"/>
        </w:rPr>
        <w:t>Director</w:t>
      </w:r>
      <w:proofErr w:type="gramEnd"/>
      <w:r w:rsidRPr="00FF214F">
        <w:rPr>
          <w:lang w:val="es-ES"/>
        </w:rPr>
        <w:t xml:space="preserve"> de Obra.</w:t>
      </w:r>
    </w:p>
    <w:p w14:paraId="5CC688BD" w14:textId="77777777" w:rsidR="00D66C5E" w:rsidRPr="005864C2" w:rsidRDefault="00D66C5E" w:rsidP="000313DD">
      <w:pPr>
        <w:pStyle w:val="TITU2"/>
      </w:pPr>
      <w:bookmarkStart w:id="24" w:name="_Toc277523177"/>
      <w:bookmarkStart w:id="25" w:name="_Toc511906066"/>
      <w:bookmarkStart w:id="26" w:name="_Toc404037"/>
      <w:r w:rsidRPr="005864C2">
        <w:t xml:space="preserve">100.2. </w:t>
      </w:r>
      <w:r w:rsidRPr="005864C2">
        <w:tab/>
        <w:t>Ámbito de aplicación</w:t>
      </w:r>
      <w:bookmarkEnd w:id="24"/>
      <w:bookmarkEnd w:id="25"/>
      <w:bookmarkEnd w:id="26"/>
    </w:p>
    <w:p w14:paraId="47789DDD" w14:textId="76DF89DF" w:rsidR="00D66C5E" w:rsidRPr="00FF214F" w:rsidRDefault="00D66C5E" w:rsidP="00D66C5E">
      <w:pPr>
        <w:pStyle w:val="NORMAL12"/>
        <w:rPr>
          <w:lang w:val="es-ES"/>
        </w:rPr>
      </w:pPr>
      <w:r w:rsidRPr="00FF214F">
        <w:rPr>
          <w:lang w:val="es-ES"/>
        </w:rPr>
        <w:t xml:space="preserve">El presente Pliego de Prescripciones Técnicas Particulares </w:t>
      </w:r>
      <w:proofErr w:type="gramStart"/>
      <w:r w:rsidRPr="00FF214F">
        <w:rPr>
          <w:lang w:val="es-ES"/>
        </w:rPr>
        <w:t>será de aplicación</w:t>
      </w:r>
      <w:proofErr w:type="gramEnd"/>
      <w:r w:rsidRPr="00FF214F">
        <w:rPr>
          <w:lang w:val="es-ES"/>
        </w:rPr>
        <w:t xml:space="preserve"> a la construcción, dirección, control e inspección de las obras definidas en el proyecto denominado “</w:t>
      </w:r>
      <w:r w:rsidR="00870DBA">
        <w:rPr>
          <w:lang w:val="es-ES"/>
        </w:rPr>
        <w:t>TITULO DEL PROYECTO</w:t>
      </w:r>
      <w:r w:rsidRPr="00FF214F">
        <w:rPr>
          <w:lang w:val="es-ES"/>
        </w:rPr>
        <w:t xml:space="preserve">”. </w:t>
      </w:r>
    </w:p>
    <w:p w14:paraId="794D1401" w14:textId="77777777" w:rsidR="00D66C5E" w:rsidRPr="005864C2" w:rsidRDefault="00D66C5E" w:rsidP="000313DD">
      <w:pPr>
        <w:pStyle w:val="TITU2"/>
      </w:pPr>
      <w:bookmarkStart w:id="27" w:name="_Toc277523178"/>
      <w:bookmarkStart w:id="28" w:name="_Toc511906067"/>
      <w:bookmarkStart w:id="29" w:name="_Toc404038"/>
      <w:r w:rsidRPr="005864C2">
        <w:t xml:space="preserve">100.3. </w:t>
      </w:r>
      <w:r w:rsidRPr="005864C2">
        <w:tab/>
        <w:t>Contenido</w:t>
      </w:r>
      <w:bookmarkEnd w:id="27"/>
      <w:bookmarkEnd w:id="28"/>
      <w:bookmarkEnd w:id="29"/>
    </w:p>
    <w:p w14:paraId="1D0559B6" w14:textId="77777777" w:rsidR="00D66C5E" w:rsidRDefault="00D66C5E" w:rsidP="00D66C5E">
      <w:pPr>
        <w:pStyle w:val="NORMAL12"/>
        <w:rPr>
          <w:lang w:val="es-ES"/>
        </w:rPr>
      </w:pPr>
      <w:r w:rsidRPr="00FF214F">
        <w:rPr>
          <w:lang w:val="es-ES"/>
        </w:rPr>
        <w:t xml:space="preserve">El contenido del presente Pliego de Prescripciones Técnicas Particulares se ordena siguiendo el articulado del Pliego de Prescripciones Técnicas Generales Obras de Carreteras y Puentes PG-3/75, de acuerdo con la numeración y denominación de los artículos allí desarrollados, cuando los mismos hayan sido empleados en este Proyecto. </w:t>
      </w:r>
    </w:p>
    <w:p w14:paraId="714F4B98" w14:textId="77777777" w:rsidR="00FF214F" w:rsidRPr="00FF214F" w:rsidRDefault="00FF214F" w:rsidP="00FF214F">
      <w:pPr>
        <w:pStyle w:val="NORMAL12"/>
        <w:rPr>
          <w:lang w:val="es-ES"/>
        </w:rPr>
      </w:pPr>
      <w:r w:rsidRPr="00FF214F">
        <w:rPr>
          <w:lang w:val="es-ES"/>
        </w:rPr>
        <w:t xml:space="preserve">En estos artículos, se omite la repetición de las prescripciones contenidas en el Pliego de Prescripciones Técnicas Generales (PG-3) que resulten de aplicación a la unidad de obra en cuestión. Únicamente se indican aquellas prescripciones particulares no incluidas en el PG-3. Por ello la numeración de los distintos epígrafes de un mismo artículo no es consecutiva, entendiéndose que aquellos epígrafes omitidos son transcripción literal de </w:t>
      </w:r>
      <w:r w:rsidRPr="00FF214F">
        <w:rPr>
          <w:lang w:val="es-ES"/>
        </w:rPr>
        <w:t>las prescripciones generales del PG-3. A su vez, dentro de un determinado epígrafe, las prescripciones establecidas se entienden como adicionales o sustitutivas de las generales del epígrafe correspondiente del PG-3, que resultan asimismo de aplicación.</w:t>
      </w:r>
    </w:p>
    <w:p w14:paraId="0A13F411" w14:textId="77777777" w:rsidR="00D66C5E" w:rsidRPr="00FF214F" w:rsidRDefault="00D66C5E" w:rsidP="00D66C5E">
      <w:pPr>
        <w:pStyle w:val="NORMAL12"/>
        <w:rPr>
          <w:lang w:val="es-ES"/>
        </w:rPr>
      </w:pPr>
      <w:r w:rsidRPr="00FF214F">
        <w:rPr>
          <w:lang w:val="es-ES"/>
        </w:rPr>
        <w:t>Los nuevos artículos creados se han integrado en la estructura correspondiente de partes y capítulos creando artículos con numeración diferenciada de la del PG-3.</w:t>
      </w:r>
    </w:p>
    <w:p w14:paraId="3A86EEBE" w14:textId="77777777" w:rsidR="00D66C5E" w:rsidRPr="00FF214F" w:rsidRDefault="00D66C5E" w:rsidP="00D66C5E">
      <w:pPr>
        <w:pStyle w:val="NORMAL12"/>
        <w:rPr>
          <w:lang w:val="es-ES"/>
        </w:rPr>
      </w:pPr>
      <w:r w:rsidRPr="00FF214F">
        <w:rPr>
          <w:lang w:val="es-ES"/>
        </w:rPr>
        <w:t>Los artículos no citados en el Pliego de Prescripciones Técnicas Particulares se regirán totalmente según lo prescrito en el PG-3, cuando sean de aplicación.</w:t>
      </w:r>
    </w:p>
    <w:p w14:paraId="6581BC33" w14:textId="77777777" w:rsidR="00D66C5E" w:rsidRPr="00FF214F" w:rsidRDefault="00D66C5E" w:rsidP="00D66C5E">
      <w:pPr>
        <w:pStyle w:val="TITU1"/>
      </w:pPr>
      <w:bookmarkStart w:id="30" w:name="_Toc404039"/>
      <w:bookmarkStart w:id="31" w:name="_Toc123104822"/>
      <w:bookmarkStart w:id="32" w:name="_Toc183257570"/>
      <w:bookmarkStart w:id="33" w:name="_Toc240349805"/>
      <w:bookmarkStart w:id="34" w:name="_Toc277523179"/>
      <w:bookmarkStart w:id="35" w:name="_Toc511906068"/>
      <w:r w:rsidRPr="00FF214F">
        <w:lastRenderedPageBreak/>
        <w:t>Artículo 101. Disposiciones generales</w:t>
      </w:r>
      <w:bookmarkEnd w:id="30"/>
    </w:p>
    <w:p w14:paraId="3D1DCDD0" w14:textId="77777777" w:rsidR="00D66C5E" w:rsidRPr="00A9218A" w:rsidRDefault="00D66C5E" w:rsidP="000313DD">
      <w:pPr>
        <w:pStyle w:val="TITU2"/>
      </w:pPr>
      <w:bookmarkStart w:id="36" w:name="_Toc240349800"/>
      <w:bookmarkStart w:id="37" w:name="_Toc277523126"/>
      <w:bookmarkStart w:id="38" w:name="_Toc511906022"/>
      <w:bookmarkStart w:id="39" w:name="_Toc404040"/>
      <w:bookmarkStart w:id="40" w:name="_Toc123104817"/>
      <w:r w:rsidRPr="00A9218A">
        <w:t>101.</w:t>
      </w:r>
      <w:bookmarkEnd w:id="36"/>
      <w:r w:rsidRPr="00A9218A">
        <w:t xml:space="preserve">1. </w:t>
      </w:r>
      <w:r w:rsidRPr="00A9218A">
        <w:tab/>
        <w:t>Generalidades</w:t>
      </w:r>
      <w:bookmarkEnd w:id="37"/>
      <w:bookmarkEnd w:id="38"/>
      <w:bookmarkEnd w:id="39"/>
    </w:p>
    <w:p w14:paraId="3B6D83DF" w14:textId="747D4E59" w:rsidR="00D66C5E" w:rsidRPr="00A9218A" w:rsidRDefault="00D66C5E" w:rsidP="00D66C5E">
      <w:pPr>
        <w:pStyle w:val="NORMAL12"/>
        <w:rPr>
          <w:lang w:val="es-ES"/>
        </w:rPr>
      </w:pPr>
      <w:r w:rsidRPr="00A9218A">
        <w:rPr>
          <w:lang w:val="es-ES"/>
        </w:rPr>
        <w:t xml:space="preserve">El presente Pliego de Prescripciones Técnicas Generales tiene por objeto definir los aspectos generales que </w:t>
      </w:r>
      <w:proofErr w:type="gramStart"/>
      <w:r w:rsidRPr="00A9218A">
        <w:rPr>
          <w:lang w:val="es-ES"/>
        </w:rPr>
        <w:t>son de aplicación</w:t>
      </w:r>
      <w:proofErr w:type="gramEnd"/>
      <w:r w:rsidRPr="00A9218A">
        <w:rPr>
          <w:lang w:val="es-ES"/>
        </w:rPr>
        <w:t xml:space="preserve"> a la ejecución de las obras definidas en el presente proyecto: “</w:t>
      </w:r>
      <w:r w:rsidR="00870DBA">
        <w:rPr>
          <w:lang w:val="es-ES"/>
        </w:rPr>
        <w:t>TITULO DEL PROYECTO</w:t>
      </w:r>
      <w:r w:rsidRPr="00A9218A">
        <w:rPr>
          <w:lang w:val="es-ES"/>
        </w:rPr>
        <w:t>.”</w:t>
      </w:r>
    </w:p>
    <w:p w14:paraId="7368DDA5" w14:textId="77777777" w:rsidR="00A9218A" w:rsidRDefault="00D66C5E" w:rsidP="000313DD">
      <w:pPr>
        <w:pStyle w:val="TITU2"/>
      </w:pPr>
      <w:bookmarkStart w:id="41" w:name="_Toc404041"/>
      <w:bookmarkStart w:id="42" w:name="_Toc511906023"/>
      <w:r w:rsidRPr="005864C2">
        <w:t>101.2.</w:t>
      </w:r>
      <w:r w:rsidR="00101DD7">
        <w:t xml:space="preserve"> </w:t>
      </w:r>
      <w:r w:rsidRPr="005864C2">
        <w:t xml:space="preserve"> </w:t>
      </w:r>
      <w:r w:rsidR="00101DD7">
        <w:t xml:space="preserve">  </w:t>
      </w:r>
      <w:r w:rsidR="00A9218A">
        <w:t>Representantes</w:t>
      </w:r>
      <w:bookmarkEnd w:id="41"/>
    </w:p>
    <w:p w14:paraId="190C08C4" w14:textId="77777777" w:rsidR="00D66C5E" w:rsidRDefault="009157A2" w:rsidP="00D81C53">
      <w:pPr>
        <w:pStyle w:val="TITU3"/>
        <w:numPr>
          <w:ilvl w:val="0"/>
          <w:numId w:val="0"/>
        </w:numPr>
        <w:outlineLvl w:val="3"/>
      </w:pPr>
      <w:r>
        <w:t xml:space="preserve">101.2.1. </w:t>
      </w:r>
      <w:r w:rsidR="00A9218A">
        <w:t>Director de las obras</w:t>
      </w:r>
      <w:bookmarkEnd w:id="42"/>
    </w:p>
    <w:p w14:paraId="7DB90A8F" w14:textId="77777777" w:rsidR="00A9218A" w:rsidRPr="00A9218A" w:rsidRDefault="00A9218A" w:rsidP="00A9218A">
      <w:pPr>
        <w:pStyle w:val="NORMAL12"/>
        <w:rPr>
          <w:lang w:val="es-ES"/>
        </w:rPr>
      </w:pPr>
      <w:r>
        <w:rPr>
          <w:lang w:val="es-ES"/>
        </w:rPr>
        <w:t xml:space="preserve">La Administración designará al </w:t>
      </w:r>
      <w:proofErr w:type="gramStart"/>
      <w:r>
        <w:rPr>
          <w:lang w:val="es-ES"/>
        </w:rPr>
        <w:t>Director</w:t>
      </w:r>
      <w:proofErr w:type="gramEnd"/>
      <w:r>
        <w:rPr>
          <w:lang w:val="es-ES"/>
        </w:rPr>
        <w:t xml:space="preserve"> de Obra, que será el responsable de la inspección y vigilancia del contrato y asumirá la representación de dicha adm</w:t>
      </w:r>
      <w:r w:rsidR="00DC5083">
        <w:rPr>
          <w:lang w:val="es-ES"/>
        </w:rPr>
        <w:t>inistración ante el contratista, y se apoyará en la asistencia técnica, ayudantes y vigilantes co</w:t>
      </w:r>
      <w:r w:rsidR="006A5C7F">
        <w:rPr>
          <w:lang w:val="es-ES"/>
        </w:rPr>
        <w:t xml:space="preserve">ntratados por la administración que desarrollan su labor en función de las atribuciones derivadas de sus títulos profesionales o de sus </w:t>
      </w:r>
      <w:r w:rsidR="00D93E76">
        <w:rPr>
          <w:lang w:val="es-ES"/>
        </w:rPr>
        <w:t>conocimientos</w:t>
      </w:r>
      <w:r w:rsidR="006A5C7F">
        <w:rPr>
          <w:lang w:val="es-ES"/>
        </w:rPr>
        <w:t xml:space="preserve"> específicos y que integrarán la Dirección de obra.</w:t>
      </w:r>
    </w:p>
    <w:p w14:paraId="3ED71B77" w14:textId="77777777" w:rsidR="00D66C5E" w:rsidRDefault="00D66C5E" w:rsidP="00D66C5E">
      <w:pPr>
        <w:pStyle w:val="NORMAL12"/>
        <w:rPr>
          <w:lang w:val="es-ES"/>
        </w:rPr>
      </w:pPr>
      <w:r w:rsidRPr="00112381">
        <w:rPr>
          <w:lang w:val="es-ES"/>
        </w:rPr>
        <w:t>El Contratista estará obligado a prestar su colaboración a</w:t>
      </w:r>
      <w:r w:rsidR="006A5C7F">
        <w:rPr>
          <w:lang w:val="es-ES"/>
        </w:rPr>
        <w:t xml:space="preserve"> </w:t>
      </w:r>
      <w:r w:rsidRPr="00112381">
        <w:rPr>
          <w:lang w:val="es-ES"/>
        </w:rPr>
        <w:t>l</w:t>
      </w:r>
      <w:r w:rsidR="006A5C7F">
        <w:rPr>
          <w:lang w:val="es-ES"/>
        </w:rPr>
        <w:t>a</w:t>
      </w:r>
      <w:r w:rsidRPr="00112381">
        <w:rPr>
          <w:lang w:val="es-ES"/>
        </w:rPr>
        <w:t xml:space="preserve"> </w:t>
      </w:r>
      <w:r w:rsidR="006A5C7F">
        <w:rPr>
          <w:lang w:val="es-ES"/>
        </w:rPr>
        <w:t>Dirección de obra</w:t>
      </w:r>
      <w:r w:rsidRPr="00112381">
        <w:rPr>
          <w:lang w:val="es-ES"/>
        </w:rPr>
        <w:t xml:space="preserve"> para el normal c</w:t>
      </w:r>
      <w:r w:rsidR="006A5C7F">
        <w:rPr>
          <w:lang w:val="es-ES"/>
        </w:rPr>
        <w:t xml:space="preserve">umplimiento de las funciones a ésta </w:t>
      </w:r>
      <w:r w:rsidRPr="00112381">
        <w:rPr>
          <w:lang w:val="es-ES"/>
        </w:rPr>
        <w:t>encomendadas</w:t>
      </w:r>
      <w:r w:rsidR="00927CC1">
        <w:rPr>
          <w:lang w:val="es-ES"/>
        </w:rPr>
        <w:t>.</w:t>
      </w:r>
    </w:p>
    <w:p w14:paraId="5D458676" w14:textId="77777777" w:rsidR="00D66C5E" w:rsidRPr="00A9218A" w:rsidRDefault="00D66C5E" w:rsidP="000313DD">
      <w:pPr>
        <w:pStyle w:val="TITU2"/>
      </w:pPr>
      <w:bookmarkStart w:id="43" w:name="_Toc240349801"/>
      <w:bookmarkStart w:id="44" w:name="_Toc277523127"/>
      <w:bookmarkStart w:id="45" w:name="_Toc511906024"/>
      <w:bookmarkStart w:id="46" w:name="_Toc404042"/>
      <w:r w:rsidRPr="00A9218A">
        <w:t xml:space="preserve">101.3. </w:t>
      </w:r>
      <w:r w:rsidRPr="00A9218A">
        <w:tab/>
      </w:r>
      <w:r w:rsidR="00CC29DC">
        <w:t xml:space="preserve"> </w:t>
      </w:r>
      <w:r w:rsidR="00A9218A" w:rsidRPr="00A9218A">
        <w:t xml:space="preserve">Delegado o representante del </w:t>
      </w:r>
      <w:r w:rsidRPr="00A9218A">
        <w:t>Contratista</w:t>
      </w:r>
      <w:bookmarkEnd w:id="40"/>
      <w:bookmarkEnd w:id="43"/>
      <w:bookmarkEnd w:id="44"/>
      <w:bookmarkEnd w:id="45"/>
      <w:bookmarkEnd w:id="46"/>
    </w:p>
    <w:p w14:paraId="4F443BBA" w14:textId="77777777" w:rsidR="00D66C5E" w:rsidRPr="00A9218A" w:rsidRDefault="00D66C5E" w:rsidP="00D66C5E">
      <w:pPr>
        <w:pStyle w:val="NORMAL12"/>
        <w:rPr>
          <w:lang w:val="es-ES"/>
        </w:rPr>
      </w:pPr>
      <w:r w:rsidRPr="00A9218A">
        <w:rPr>
          <w:lang w:val="es-ES"/>
        </w:rPr>
        <w:t xml:space="preserve">El Contratista tendrá como representante a pie de obra un Ingeniero de Caminos, Canales y Puertos, ejerciendo como </w:t>
      </w:r>
      <w:proofErr w:type="gramStart"/>
      <w:r w:rsidRPr="00A9218A">
        <w:rPr>
          <w:lang w:val="es-ES"/>
        </w:rPr>
        <w:t>Delegado</w:t>
      </w:r>
      <w:proofErr w:type="gramEnd"/>
      <w:r w:rsidRPr="00A9218A">
        <w:rPr>
          <w:lang w:val="es-ES"/>
        </w:rPr>
        <w:t xml:space="preserve"> y </w:t>
      </w:r>
      <w:proofErr w:type="gramStart"/>
      <w:r w:rsidRPr="00A9218A">
        <w:rPr>
          <w:lang w:val="es-ES"/>
        </w:rPr>
        <w:t>Jefe</w:t>
      </w:r>
      <w:proofErr w:type="gramEnd"/>
      <w:r w:rsidRPr="00A9218A">
        <w:rPr>
          <w:lang w:val="es-ES"/>
        </w:rPr>
        <w:t xml:space="preserve"> de Obra del Contratista ante la </w:t>
      </w:r>
      <w:r w:rsidR="00A9218A" w:rsidRPr="00A9218A">
        <w:rPr>
          <w:lang w:val="es-ES"/>
        </w:rPr>
        <w:t>Dirección de Obra</w:t>
      </w:r>
      <w:r w:rsidR="00DC5083">
        <w:rPr>
          <w:lang w:val="es-ES"/>
        </w:rPr>
        <w:t xml:space="preserve">, realizando las </w:t>
      </w:r>
      <w:r w:rsidR="00157701">
        <w:rPr>
          <w:lang w:val="es-ES"/>
        </w:rPr>
        <w:t>funciones</w:t>
      </w:r>
      <w:r w:rsidR="00DC5083">
        <w:rPr>
          <w:lang w:val="es-ES"/>
        </w:rPr>
        <w:t xml:space="preserve"> d</w:t>
      </w:r>
      <w:r w:rsidR="00927CC1">
        <w:rPr>
          <w:lang w:val="es-ES"/>
        </w:rPr>
        <w:t>e organizar y ejecutar la obra, tal y como se establece en el Pliego de condiciones administrativas generales.</w:t>
      </w:r>
    </w:p>
    <w:p w14:paraId="07B426C4" w14:textId="77777777" w:rsidR="00D66C5E" w:rsidRPr="00A9218A" w:rsidRDefault="00D66C5E" w:rsidP="00D66C5E">
      <w:pPr>
        <w:pStyle w:val="NORMAL12"/>
        <w:rPr>
          <w:lang w:val="es-ES"/>
        </w:rPr>
      </w:pPr>
      <w:r w:rsidRPr="00A9218A">
        <w:rPr>
          <w:lang w:val="es-ES"/>
        </w:rPr>
        <w:t>Antes de iniciarse las obras el Contratista propondrá a la Dirección de Obra la persona que ha de representarle en obra, siendo potestativo de esta Dirección su aceptación o rechazo.</w:t>
      </w:r>
    </w:p>
    <w:p w14:paraId="253FD8AA" w14:textId="77777777" w:rsidR="00D66C5E" w:rsidRPr="00A9218A" w:rsidRDefault="00D66C5E" w:rsidP="00D66C5E">
      <w:pPr>
        <w:pStyle w:val="NORMAL12"/>
        <w:rPr>
          <w:lang w:val="es-ES"/>
        </w:rPr>
      </w:pPr>
      <w:r w:rsidRPr="00A9218A">
        <w:rPr>
          <w:lang w:val="es-ES"/>
        </w:rPr>
        <w:t>El Contratista deberá nombrar un responsable en exclusiva de la señalización y seguridad de la obra.</w:t>
      </w:r>
    </w:p>
    <w:p w14:paraId="1D67B2B9" w14:textId="77777777" w:rsidR="00D66C5E" w:rsidRPr="00A9218A" w:rsidRDefault="00D66C5E" w:rsidP="00D66C5E">
      <w:pPr>
        <w:pStyle w:val="NORMAL12"/>
        <w:rPr>
          <w:lang w:val="es-ES"/>
        </w:rPr>
      </w:pPr>
      <w:r w:rsidRPr="00A9218A">
        <w:rPr>
          <w:lang w:val="es-ES"/>
        </w:rPr>
        <w:t xml:space="preserve">La Dirección podrá exigir en cualquier momento del desarrollo de las obras la sustitución del representante del Contratista y la de cualquier otro participante en la ejecución de los trabajos, por motivo fundado de mala conducta, incompetencia o negligencia en el cumplimiento de sus obligaciones, así como por cualquier razón que haga inconveniente </w:t>
      </w:r>
      <w:r w:rsidRPr="00A9218A">
        <w:rPr>
          <w:lang w:val="es-ES"/>
        </w:rPr>
        <w:t>su presencia en obra para la buena marcha de los trabajos o de las relaciones entre el Contratista y la Administración o sus representantes.</w:t>
      </w:r>
    </w:p>
    <w:p w14:paraId="2E402931" w14:textId="77777777" w:rsidR="00D66C5E" w:rsidRPr="00A9218A" w:rsidRDefault="00D66C5E" w:rsidP="00D66C5E">
      <w:pPr>
        <w:pStyle w:val="NORMAL12"/>
        <w:rPr>
          <w:lang w:val="es-ES"/>
        </w:rPr>
      </w:pPr>
      <w:r w:rsidRPr="00A9218A">
        <w:rPr>
          <w:lang w:val="es-ES"/>
        </w:rPr>
        <w:t>La recusación de cualquier persona dependiente del Contratista, así como la designación de nuevo personal, no dará derecho al Contratista a exigir ninguna indemnización de la Administración por los perjuicios que pudieran derivarse del uso de esta facultad de recusación.</w:t>
      </w:r>
    </w:p>
    <w:p w14:paraId="6E79094D" w14:textId="77777777" w:rsidR="00D66C5E" w:rsidRPr="00A9218A" w:rsidRDefault="00D66C5E" w:rsidP="00D66C5E">
      <w:pPr>
        <w:pStyle w:val="NORMAL12"/>
        <w:rPr>
          <w:lang w:val="es-ES"/>
        </w:rPr>
      </w:pPr>
      <w:r w:rsidRPr="00A9218A">
        <w:rPr>
          <w:lang w:val="es-ES"/>
        </w:rPr>
        <w:t>El Contratista deberá reemplazar en el plazo de quince (15) días a las personas recusadas por sustitutos competentes previamente aceptados por la Dirección.</w:t>
      </w:r>
    </w:p>
    <w:p w14:paraId="3466BA45" w14:textId="77777777" w:rsidR="00D66C5E" w:rsidRPr="00A9218A" w:rsidRDefault="00D66C5E" w:rsidP="000313DD">
      <w:pPr>
        <w:pStyle w:val="TITU2"/>
        <w:rPr>
          <w:lang w:val="es-ES_tradnl"/>
        </w:rPr>
      </w:pPr>
      <w:bookmarkStart w:id="47" w:name="_Toc277523128"/>
      <w:bookmarkStart w:id="48" w:name="_Toc511906025"/>
      <w:bookmarkStart w:id="49" w:name="_Toc404043"/>
      <w:r w:rsidRPr="00A9218A">
        <w:rPr>
          <w:lang w:val="es-ES_tradnl"/>
        </w:rPr>
        <w:t>101.4.</w:t>
      </w:r>
      <w:r w:rsidRPr="00A9218A">
        <w:rPr>
          <w:lang w:val="es-ES_tradnl"/>
        </w:rPr>
        <w:tab/>
        <w:t xml:space="preserve"> Órdenes al Contratista</w:t>
      </w:r>
      <w:bookmarkEnd w:id="47"/>
      <w:bookmarkEnd w:id="48"/>
      <w:bookmarkEnd w:id="49"/>
    </w:p>
    <w:p w14:paraId="6404C719" w14:textId="77777777" w:rsidR="00D66C5E" w:rsidRPr="00A9218A" w:rsidRDefault="00D66C5E" w:rsidP="00D66C5E">
      <w:pPr>
        <w:pStyle w:val="NORMAL12"/>
        <w:rPr>
          <w:lang w:val="es-ES"/>
        </w:rPr>
      </w:pPr>
      <w:r w:rsidRPr="00A9218A">
        <w:rPr>
          <w:lang w:val="es-ES"/>
        </w:rPr>
        <w:t xml:space="preserve">El </w:t>
      </w:r>
      <w:proofErr w:type="gramStart"/>
      <w:r w:rsidRPr="00A9218A">
        <w:rPr>
          <w:lang w:val="es-ES"/>
        </w:rPr>
        <w:t>Jefe</w:t>
      </w:r>
      <w:proofErr w:type="gramEnd"/>
      <w:r w:rsidRPr="00A9218A">
        <w:rPr>
          <w:lang w:val="es-ES"/>
        </w:rPr>
        <w:t xml:space="preserve"> de Obra será el interlocutor del Ingeniero </w:t>
      </w:r>
      <w:proofErr w:type="gramStart"/>
      <w:r w:rsidRPr="00A9218A">
        <w:rPr>
          <w:lang w:val="es-ES"/>
        </w:rPr>
        <w:t>Director</w:t>
      </w:r>
      <w:proofErr w:type="gramEnd"/>
      <w:r w:rsidRPr="00A9218A">
        <w:rPr>
          <w:lang w:val="es-ES"/>
        </w:rPr>
        <w:t xml:space="preserve"> de las Obras, con obligación de recibir todas las comunicaciones, verbales y/o escritas que dé el </w:t>
      </w:r>
      <w:proofErr w:type="gramStart"/>
      <w:r w:rsidRPr="00A9218A">
        <w:rPr>
          <w:lang w:val="es-ES"/>
        </w:rPr>
        <w:t>Director</w:t>
      </w:r>
      <w:proofErr w:type="gramEnd"/>
      <w:r w:rsidRPr="00A9218A">
        <w:rPr>
          <w:lang w:val="es-ES"/>
        </w:rPr>
        <w:t>, directamente o a través de otras personas</w:t>
      </w:r>
      <w:r w:rsidR="006A5C7F">
        <w:rPr>
          <w:lang w:val="es-ES"/>
        </w:rPr>
        <w:t xml:space="preserve"> que integran la Dirección de obra</w:t>
      </w:r>
      <w:r w:rsidRPr="00A9218A">
        <w:rPr>
          <w:lang w:val="es-ES"/>
        </w:rPr>
        <w:t>, debiendo cerciorarse, en este caso, de que están autorizadas para ello y/o verificar el mensaje y confirmarlo, según su procedencia, urgencia e importancia.</w:t>
      </w:r>
    </w:p>
    <w:p w14:paraId="265708B6" w14:textId="77777777" w:rsidR="00D66C5E" w:rsidRPr="00A9218A" w:rsidRDefault="00D66C5E" w:rsidP="00D66C5E">
      <w:pPr>
        <w:pStyle w:val="NORMAL12"/>
        <w:rPr>
          <w:lang w:val="es-ES"/>
        </w:rPr>
      </w:pPr>
      <w:r w:rsidRPr="00A9218A">
        <w:rPr>
          <w:lang w:val="es-ES"/>
        </w:rPr>
        <w:t xml:space="preserve">Todo ello sin perjuicio de que el Ingeniero </w:t>
      </w:r>
      <w:proofErr w:type="gramStart"/>
      <w:r w:rsidRPr="00A9218A">
        <w:rPr>
          <w:lang w:val="es-ES"/>
        </w:rPr>
        <w:t>Director</w:t>
      </w:r>
      <w:proofErr w:type="gramEnd"/>
      <w:r w:rsidR="00383CE8">
        <w:rPr>
          <w:lang w:val="es-ES"/>
        </w:rPr>
        <w:t>,</w:t>
      </w:r>
      <w:r w:rsidR="00DC5083">
        <w:rPr>
          <w:lang w:val="es-ES"/>
        </w:rPr>
        <w:t xml:space="preserve"> o el </w:t>
      </w:r>
      <w:r w:rsidR="00157701">
        <w:rPr>
          <w:lang w:val="es-ES"/>
        </w:rPr>
        <w:t>resto</w:t>
      </w:r>
      <w:r w:rsidR="00DC5083">
        <w:rPr>
          <w:lang w:val="es-ES"/>
        </w:rPr>
        <w:t xml:space="preserve"> del personal adjunto a la </w:t>
      </w:r>
      <w:r w:rsidR="00C97E29" w:rsidRPr="00053A47">
        <w:rPr>
          <w:lang w:val="es-ES"/>
        </w:rPr>
        <w:t>Dirección</w:t>
      </w:r>
      <w:r w:rsidR="00DC5083" w:rsidRPr="00053A47">
        <w:rPr>
          <w:lang w:val="es-ES"/>
        </w:rPr>
        <w:t xml:space="preserve">, </w:t>
      </w:r>
      <w:r w:rsidR="00F83B62" w:rsidRPr="00053A47">
        <w:rPr>
          <w:lang w:val="es-ES"/>
        </w:rPr>
        <w:t>puedan</w:t>
      </w:r>
      <w:r w:rsidRPr="00053A47">
        <w:rPr>
          <w:lang w:val="es-ES"/>
        </w:rPr>
        <w:t xml:space="preserve"> comunicar directamente con el resto del personal de obra que deberá informar seguidamente a</w:t>
      </w:r>
      <w:r w:rsidRPr="00A9218A">
        <w:rPr>
          <w:lang w:val="es-ES"/>
        </w:rPr>
        <w:t xml:space="preserve"> su </w:t>
      </w:r>
      <w:proofErr w:type="gramStart"/>
      <w:r w:rsidRPr="00A9218A">
        <w:rPr>
          <w:lang w:val="es-ES"/>
        </w:rPr>
        <w:t>Jefe</w:t>
      </w:r>
      <w:proofErr w:type="gramEnd"/>
      <w:r w:rsidRPr="00A9218A">
        <w:rPr>
          <w:lang w:val="es-ES"/>
        </w:rPr>
        <w:t xml:space="preserve"> de Obra.</w:t>
      </w:r>
    </w:p>
    <w:p w14:paraId="73F606E8" w14:textId="77777777" w:rsidR="00D66C5E" w:rsidRPr="00A9218A" w:rsidRDefault="00D66C5E" w:rsidP="00D66C5E">
      <w:pPr>
        <w:pStyle w:val="NORMAL12"/>
        <w:rPr>
          <w:lang w:val="es-ES"/>
        </w:rPr>
      </w:pPr>
      <w:r w:rsidRPr="00A9218A">
        <w:rPr>
          <w:lang w:val="es-ES"/>
        </w:rPr>
        <w:t xml:space="preserve">El </w:t>
      </w:r>
      <w:proofErr w:type="gramStart"/>
      <w:r w:rsidRPr="00A9218A">
        <w:rPr>
          <w:lang w:val="es-ES"/>
        </w:rPr>
        <w:t>Jefe</w:t>
      </w:r>
      <w:proofErr w:type="gramEnd"/>
      <w:r w:rsidRPr="00A9218A">
        <w:rPr>
          <w:lang w:val="es-ES"/>
        </w:rPr>
        <w:t xml:space="preserve"> de Obra es responsable de que se transmitan dichas comunicaciones fielmente a las personas que deban ejecutarlas y de que se lleven a cabo.</w:t>
      </w:r>
    </w:p>
    <w:p w14:paraId="4073D57D" w14:textId="77777777" w:rsidR="00D66C5E" w:rsidRPr="00A9218A" w:rsidRDefault="00D66C5E" w:rsidP="00D66C5E">
      <w:pPr>
        <w:pStyle w:val="NORMAL12"/>
        <w:rPr>
          <w:lang w:val="es-ES"/>
        </w:rPr>
      </w:pPr>
      <w:r w:rsidRPr="00A9218A">
        <w:rPr>
          <w:lang w:val="es-ES"/>
        </w:rPr>
        <w:t xml:space="preserve">Asimismo, es responsable de que todas las comunicaciones escritas del Ingeniero </w:t>
      </w:r>
      <w:proofErr w:type="gramStart"/>
      <w:r w:rsidRPr="00A9218A">
        <w:rPr>
          <w:lang w:val="es-ES"/>
        </w:rPr>
        <w:t>Director</w:t>
      </w:r>
      <w:proofErr w:type="gramEnd"/>
      <w:r w:rsidRPr="00A9218A">
        <w:rPr>
          <w:lang w:val="es-ES"/>
        </w:rPr>
        <w:t xml:space="preserve"> estén custodiadas, ordenadas y disponibles en obra para su consulta en cualquier momento; se incluye en este concepto los planos de obra, ensayos, mediciones, etc.</w:t>
      </w:r>
    </w:p>
    <w:p w14:paraId="36D1E2C5" w14:textId="77777777" w:rsidR="00D66C5E" w:rsidRPr="00A9218A" w:rsidRDefault="00D66C5E" w:rsidP="00D66C5E">
      <w:pPr>
        <w:pStyle w:val="NORMAL12"/>
        <w:rPr>
          <w:lang w:val="es-ES"/>
        </w:rPr>
      </w:pPr>
      <w:r w:rsidRPr="00A9218A">
        <w:rPr>
          <w:lang w:val="es-ES"/>
        </w:rPr>
        <w:t xml:space="preserve">El </w:t>
      </w:r>
      <w:proofErr w:type="gramStart"/>
      <w:r w:rsidRPr="00A9218A">
        <w:rPr>
          <w:lang w:val="es-ES"/>
        </w:rPr>
        <w:t>Jefe</w:t>
      </w:r>
      <w:proofErr w:type="gramEnd"/>
      <w:r w:rsidRPr="00A9218A">
        <w:rPr>
          <w:lang w:val="es-ES"/>
        </w:rPr>
        <w:t xml:space="preserve"> de Obra deberá acompañar al Ingeniero </w:t>
      </w:r>
      <w:proofErr w:type="gramStart"/>
      <w:r w:rsidRPr="00A9218A">
        <w:rPr>
          <w:lang w:val="es-ES"/>
        </w:rPr>
        <w:t>Director</w:t>
      </w:r>
      <w:proofErr w:type="gramEnd"/>
      <w:r w:rsidRPr="00A9218A">
        <w:rPr>
          <w:lang w:val="es-ES"/>
        </w:rPr>
        <w:t xml:space="preserve"> de la Obra en todas sus visitas de inspección a las obras, cuando así le sea requerido, y transmitir inmediatamente a su personal las instrucciones que reciba del mismo, incluso en presencia suya, por ejemplo, para aclarar dudas, si así lo requiere el Ingeniero </w:t>
      </w:r>
      <w:proofErr w:type="gramStart"/>
      <w:r w:rsidRPr="00A9218A">
        <w:rPr>
          <w:lang w:val="es-ES"/>
        </w:rPr>
        <w:t>Director</w:t>
      </w:r>
      <w:proofErr w:type="gramEnd"/>
      <w:r w:rsidRPr="00A9218A">
        <w:rPr>
          <w:lang w:val="es-ES"/>
        </w:rPr>
        <w:t>.</w:t>
      </w:r>
    </w:p>
    <w:p w14:paraId="2CF5688C" w14:textId="77777777" w:rsidR="00D66C5E" w:rsidRPr="00A9218A" w:rsidRDefault="00D66C5E" w:rsidP="00D66C5E">
      <w:pPr>
        <w:pStyle w:val="NORMAL12"/>
        <w:rPr>
          <w:lang w:val="es-ES"/>
        </w:rPr>
      </w:pPr>
      <w:r w:rsidRPr="00A9218A">
        <w:rPr>
          <w:lang w:val="es-ES"/>
        </w:rPr>
        <w:t xml:space="preserve">El </w:t>
      </w:r>
      <w:proofErr w:type="gramStart"/>
      <w:r w:rsidRPr="00A9218A">
        <w:rPr>
          <w:lang w:val="es-ES"/>
        </w:rPr>
        <w:t>Jefe</w:t>
      </w:r>
      <w:proofErr w:type="gramEnd"/>
      <w:r w:rsidRPr="00A9218A">
        <w:rPr>
          <w:lang w:val="es-ES"/>
        </w:rPr>
        <w:t xml:space="preserve"> de Obra tendrá obligación de estar enterado de todas las circunstancias y marcha de la obra e informar al Ingeniero </w:t>
      </w:r>
      <w:proofErr w:type="gramStart"/>
      <w:r w:rsidRPr="00A9218A">
        <w:rPr>
          <w:lang w:val="es-ES"/>
        </w:rPr>
        <w:t>Director</w:t>
      </w:r>
      <w:proofErr w:type="gramEnd"/>
      <w:r w:rsidRPr="00A9218A">
        <w:rPr>
          <w:lang w:val="es-ES"/>
        </w:rPr>
        <w:t xml:space="preserve"> a su requerimiento en todo momento, o sin necesidad de requerimiento previo cuando las circunstancias así lo hagan necesario o conveniente. Lo expresado es de aplicación también para los trabajos que efectuasen </w:t>
      </w:r>
      <w:r w:rsidRPr="00A9218A">
        <w:rPr>
          <w:lang w:val="es-ES"/>
        </w:rPr>
        <w:lastRenderedPageBreak/>
        <w:t xml:space="preserve">subcontratistas o destajistas, en el caso de que fuesen autorizados por el Ingeniero </w:t>
      </w:r>
      <w:proofErr w:type="gramStart"/>
      <w:r w:rsidRPr="00A9218A">
        <w:rPr>
          <w:lang w:val="es-ES"/>
        </w:rPr>
        <w:t>Director</w:t>
      </w:r>
      <w:proofErr w:type="gramEnd"/>
      <w:r w:rsidRPr="00A9218A">
        <w:rPr>
          <w:lang w:val="es-ES"/>
        </w:rPr>
        <w:t>.</w:t>
      </w:r>
    </w:p>
    <w:p w14:paraId="5DB8998D" w14:textId="77777777" w:rsidR="00D66C5E" w:rsidRPr="00A9218A" w:rsidRDefault="00D66C5E" w:rsidP="00D66C5E">
      <w:pPr>
        <w:pStyle w:val="NORMAL12"/>
        <w:rPr>
          <w:lang w:val="es-ES"/>
        </w:rPr>
      </w:pPr>
      <w:r w:rsidRPr="00A9218A">
        <w:rPr>
          <w:lang w:val="es-ES"/>
        </w:rPr>
        <w:t>Se entiende que la comunicación entre la Dirección de Obra y el Contratista se canaliza entre el Ingeniero Director de la Obra y el Jefe de Obra, sin perjuicio de que para simplificación y eficacia, especialmente en casos urgentes o rutinarios, pueda haber comunicación entre los respectivos personales, pero será en nombre de aquéllos y teniéndolos informados puntualmente, siempre sobre la base de la buena voluntad y el sentido común y en la forma y materias que aquéllos establezcan, de manera que si surgiera algún problema de interpretación o una decisión de mayor importancia, no tendrá validez sin la ratificación por el Ingeniero Director.</w:t>
      </w:r>
    </w:p>
    <w:p w14:paraId="0DE79622" w14:textId="77777777" w:rsidR="00D66C5E" w:rsidRDefault="00D66C5E" w:rsidP="00D66C5E">
      <w:pPr>
        <w:pStyle w:val="NORMAL12"/>
        <w:rPr>
          <w:lang w:val="es-ES"/>
        </w:rPr>
      </w:pPr>
      <w:r w:rsidRPr="00A9218A">
        <w:rPr>
          <w:lang w:val="es-ES"/>
        </w:rPr>
        <w:t xml:space="preserve">Se abrirá el “Libro de Órdenes” por el Ingeniero </w:t>
      </w:r>
      <w:proofErr w:type="gramStart"/>
      <w:r w:rsidRPr="00A9218A">
        <w:rPr>
          <w:lang w:val="es-ES"/>
        </w:rPr>
        <w:t>Director</w:t>
      </w:r>
      <w:proofErr w:type="gramEnd"/>
      <w:r w:rsidRPr="00A9218A">
        <w:rPr>
          <w:lang w:val="es-ES"/>
        </w:rPr>
        <w:t xml:space="preserve"> y permanecerá custodiado en obra por el Contratista, en lugar seguro y de fácil disponibilidad para su consulta y uso. El </w:t>
      </w:r>
      <w:proofErr w:type="gramStart"/>
      <w:r w:rsidRPr="00A9218A">
        <w:rPr>
          <w:lang w:val="es-ES"/>
        </w:rPr>
        <w:t>Jefe</w:t>
      </w:r>
      <w:proofErr w:type="gramEnd"/>
      <w:r w:rsidRPr="00A9218A">
        <w:rPr>
          <w:lang w:val="es-ES"/>
        </w:rPr>
        <w:t xml:space="preserve"> de Obra deberá llevarlo consigo al acompañar en cada visita al Ingeniero </w:t>
      </w:r>
      <w:proofErr w:type="gramStart"/>
      <w:r w:rsidRPr="00A9218A">
        <w:rPr>
          <w:lang w:val="es-ES"/>
        </w:rPr>
        <w:t>Director</w:t>
      </w:r>
      <w:proofErr w:type="gramEnd"/>
      <w:r w:rsidRPr="00A9218A">
        <w:rPr>
          <w:lang w:val="es-ES"/>
        </w:rPr>
        <w:t>. Se cumplirá, respecto al “Libro de Órdenes”, lo dispuesto en el Pliego de Condiciones Administrativas Generales.</w:t>
      </w:r>
    </w:p>
    <w:p w14:paraId="08775D03" w14:textId="77777777" w:rsidR="00D66C5E" w:rsidRPr="005864C2" w:rsidRDefault="00D66C5E" w:rsidP="000313DD">
      <w:pPr>
        <w:pStyle w:val="TITU2"/>
      </w:pPr>
      <w:bookmarkStart w:id="50" w:name="_Toc123104818"/>
      <w:bookmarkStart w:id="51" w:name="_Toc240349802"/>
      <w:bookmarkStart w:id="52" w:name="_Toc277523129"/>
      <w:bookmarkStart w:id="53" w:name="_Toc511906026"/>
      <w:bookmarkStart w:id="54" w:name="_Toc404044"/>
      <w:r w:rsidRPr="005864C2">
        <w:t xml:space="preserve">101.5. </w:t>
      </w:r>
      <w:r w:rsidRPr="005864C2">
        <w:tab/>
      </w:r>
      <w:r w:rsidR="00CC29DC">
        <w:t xml:space="preserve"> </w:t>
      </w:r>
      <w:r w:rsidRPr="005864C2">
        <w:t>Libro de Incidencias</w:t>
      </w:r>
      <w:bookmarkEnd w:id="50"/>
      <w:bookmarkEnd w:id="51"/>
      <w:bookmarkEnd w:id="52"/>
      <w:bookmarkEnd w:id="53"/>
      <w:bookmarkEnd w:id="54"/>
    </w:p>
    <w:p w14:paraId="6637FA94" w14:textId="77777777" w:rsidR="00D66C5E" w:rsidRPr="00647F97" w:rsidRDefault="00D66C5E" w:rsidP="00D66C5E">
      <w:pPr>
        <w:pStyle w:val="NORMAL12"/>
        <w:rPr>
          <w:lang w:val="es-ES"/>
        </w:rPr>
      </w:pPr>
      <w:r w:rsidRPr="00647F97">
        <w:rPr>
          <w:lang w:val="es-ES"/>
        </w:rPr>
        <w:t xml:space="preserve">Se hará constar en el libro de incidencias todos los extremos que considere oportunos el Ingeniero </w:t>
      </w:r>
      <w:proofErr w:type="gramStart"/>
      <w:r w:rsidRPr="00647F97">
        <w:rPr>
          <w:lang w:val="es-ES"/>
        </w:rPr>
        <w:t>Director</w:t>
      </w:r>
      <w:proofErr w:type="gramEnd"/>
      <w:r w:rsidRPr="00647F97">
        <w:rPr>
          <w:lang w:val="es-ES"/>
        </w:rPr>
        <w:t xml:space="preserve"> de las obras y, entre otros, con carácter diario, los siguientes:</w:t>
      </w:r>
    </w:p>
    <w:p w14:paraId="0C94EC57" w14:textId="77777777" w:rsidR="00D66C5E" w:rsidRPr="00647F97" w:rsidRDefault="00D66C5E" w:rsidP="00E01981">
      <w:pPr>
        <w:pStyle w:val="NORMAL12"/>
        <w:numPr>
          <w:ilvl w:val="0"/>
          <w:numId w:val="48"/>
        </w:numPr>
        <w:rPr>
          <w:lang w:val="es-ES"/>
        </w:rPr>
      </w:pPr>
      <w:r w:rsidRPr="00647F97">
        <w:rPr>
          <w:lang w:val="es-ES"/>
        </w:rPr>
        <w:t>Las condiciones atmosféricas y la temperatura ambiente máxima y mínima.</w:t>
      </w:r>
    </w:p>
    <w:p w14:paraId="483B80A6" w14:textId="77777777" w:rsidR="00D66C5E" w:rsidRPr="00647F97" w:rsidRDefault="00D66C5E" w:rsidP="00E01981">
      <w:pPr>
        <w:pStyle w:val="NORMAL12"/>
        <w:numPr>
          <w:ilvl w:val="0"/>
          <w:numId w:val="48"/>
        </w:numPr>
        <w:rPr>
          <w:lang w:val="es-ES"/>
        </w:rPr>
      </w:pPr>
      <w:r w:rsidRPr="00647F97">
        <w:rPr>
          <w:lang w:val="es-ES"/>
        </w:rPr>
        <w:t>Relación de los trabajos efectuados.</w:t>
      </w:r>
    </w:p>
    <w:p w14:paraId="2DC33F3E" w14:textId="77777777" w:rsidR="00D66C5E" w:rsidRPr="00647F97" w:rsidRDefault="00D66C5E" w:rsidP="00E01981">
      <w:pPr>
        <w:pStyle w:val="NORMAL12"/>
        <w:numPr>
          <w:ilvl w:val="0"/>
          <w:numId w:val="48"/>
        </w:numPr>
        <w:rPr>
          <w:lang w:val="es-ES"/>
        </w:rPr>
      </w:pPr>
      <w:r w:rsidRPr="00647F97">
        <w:rPr>
          <w:lang w:val="es-ES"/>
        </w:rPr>
        <w:t>Cualquier circunstancia que pueda influir en la calidad o en el ritmo de la obra.</w:t>
      </w:r>
    </w:p>
    <w:p w14:paraId="365DE652" w14:textId="77777777" w:rsidR="00D66C5E" w:rsidRPr="00647F97" w:rsidRDefault="00D66C5E" w:rsidP="00D66C5E">
      <w:pPr>
        <w:pStyle w:val="NORMAL12"/>
        <w:rPr>
          <w:lang w:val="es-ES"/>
        </w:rPr>
      </w:pPr>
      <w:r w:rsidRPr="00647F97">
        <w:rPr>
          <w:lang w:val="es-ES"/>
        </w:rPr>
        <w:t xml:space="preserve">Como simplificación, el Ingeniero </w:t>
      </w:r>
      <w:proofErr w:type="gramStart"/>
      <w:r w:rsidRPr="00647F97">
        <w:rPr>
          <w:lang w:val="es-ES"/>
        </w:rPr>
        <w:t>Director</w:t>
      </w:r>
      <w:proofErr w:type="gramEnd"/>
      <w:r w:rsidRPr="00647F97">
        <w:rPr>
          <w:lang w:val="es-ES"/>
        </w:rPr>
        <w:t xml:space="preserve"> podrá disponer que estas incidencias figuren en partes diarios, que se custodiarán ordenados como Anejos al libro de incidencias.</w:t>
      </w:r>
    </w:p>
    <w:p w14:paraId="4B59A57D" w14:textId="77777777" w:rsidR="00D66C5E" w:rsidRPr="00647F97" w:rsidRDefault="00DB6778" w:rsidP="000313DD">
      <w:pPr>
        <w:pStyle w:val="TITU2"/>
      </w:pPr>
      <w:bookmarkStart w:id="55" w:name="_Toc123104821"/>
      <w:bookmarkStart w:id="56" w:name="_Toc240349804"/>
      <w:bookmarkStart w:id="57" w:name="_Toc277523130"/>
      <w:bookmarkStart w:id="58" w:name="_Toc511906027"/>
      <w:r>
        <w:br w:type="column"/>
      </w:r>
      <w:bookmarkStart w:id="59" w:name="_Toc404045"/>
      <w:r w:rsidR="00D66C5E" w:rsidRPr="00647F97">
        <w:t xml:space="preserve">101.6. </w:t>
      </w:r>
      <w:r w:rsidR="00D66C5E" w:rsidRPr="00647F97">
        <w:tab/>
      </w:r>
      <w:r w:rsidR="00CC29DC">
        <w:t xml:space="preserve"> </w:t>
      </w:r>
      <w:r w:rsidR="00D66C5E" w:rsidRPr="00647F97">
        <w:t>Subcontratos</w:t>
      </w:r>
      <w:bookmarkEnd w:id="55"/>
      <w:bookmarkEnd w:id="56"/>
      <w:bookmarkEnd w:id="57"/>
      <w:bookmarkEnd w:id="58"/>
      <w:bookmarkEnd w:id="59"/>
    </w:p>
    <w:p w14:paraId="492E941C" w14:textId="77777777" w:rsidR="00647F97" w:rsidRPr="00647F97" w:rsidRDefault="00D66C5E" w:rsidP="00D66C5E">
      <w:pPr>
        <w:pStyle w:val="NORMAL12"/>
        <w:rPr>
          <w:lang w:val="es-ES"/>
        </w:rPr>
      </w:pPr>
      <w:r w:rsidRPr="00647F97">
        <w:rPr>
          <w:lang w:val="es-ES"/>
        </w:rPr>
        <w:t xml:space="preserve">Se dará conocimiento por escrito a la </w:t>
      </w:r>
      <w:r w:rsidR="00647F97" w:rsidRPr="00647F97">
        <w:rPr>
          <w:lang w:val="es-ES"/>
        </w:rPr>
        <w:t xml:space="preserve">Dirección de Obra </w:t>
      </w:r>
      <w:r w:rsidRPr="00647F97">
        <w:rPr>
          <w:lang w:val="es-ES"/>
        </w:rPr>
        <w:t xml:space="preserve">de los subcontratos a celebrar, con indicación de las partes del contrato a realizar por el subcontratista, cumpliéndose todos los </w:t>
      </w:r>
      <w:r w:rsidRPr="00900D65">
        <w:rPr>
          <w:lang w:val="es-ES"/>
        </w:rPr>
        <w:t xml:space="preserve">requisitos y condiciones establecidos en </w:t>
      </w:r>
      <w:r w:rsidR="00053EE8" w:rsidRPr="00900D65">
        <w:rPr>
          <w:lang w:val="es-ES"/>
        </w:rPr>
        <w:t xml:space="preserve">el artículo 215. </w:t>
      </w:r>
      <w:r w:rsidR="00053EE8" w:rsidRPr="00900D65">
        <w:rPr>
          <w:i/>
          <w:lang w:val="es-ES"/>
        </w:rPr>
        <w:t>Subcontratación</w:t>
      </w:r>
      <w:r w:rsidR="00053EE8" w:rsidRPr="00900D65">
        <w:rPr>
          <w:lang w:val="es-ES"/>
        </w:rPr>
        <w:t xml:space="preserve"> de </w:t>
      </w:r>
      <w:r w:rsidR="00647F97" w:rsidRPr="00900D65">
        <w:rPr>
          <w:lang w:val="es-ES"/>
        </w:rPr>
        <w:t>la L</w:t>
      </w:r>
      <w:r w:rsidR="00924452" w:rsidRPr="00900D65">
        <w:rPr>
          <w:lang w:val="es-ES"/>
        </w:rPr>
        <w:t>e</w:t>
      </w:r>
      <w:r w:rsidR="00647F97" w:rsidRPr="00900D65">
        <w:rPr>
          <w:lang w:val="es-ES"/>
        </w:rPr>
        <w:t>y 9/2017, de 8 de noviembre, de Contratos del Sector Público</w:t>
      </w:r>
      <w:r w:rsidR="00647F97" w:rsidRPr="00647F97">
        <w:rPr>
          <w:lang w:val="es-ES"/>
        </w:rPr>
        <w:t xml:space="preserve">. </w:t>
      </w:r>
    </w:p>
    <w:p w14:paraId="1AF4DF00" w14:textId="77777777" w:rsidR="00D66C5E" w:rsidRPr="00EB3EE1" w:rsidRDefault="00D66C5E" w:rsidP="00D66C5E">
      <w:pPr>
        <w:pStyle w:val="TITU1"/>
      </w:pPr>
      <w:bookmarkStart w:id="60" w:name="_Toc404046"/>
      <w:r w:rsidRPr="00EB3EE1">
        <w:lastRenderedPageBreak/>
        <w:t>Artículo 102.- Descripción de las Obras</w:t>
      </w:r>
      <w:bookmarkEnd w:id="31"/>
      <w:bookmarkEnd w:id="32"/>
      <w:bookmarkEnd w:id="33"/>
      <w:bookmarkEnd w:id="34"/>
      <w:bookmarkEnd w:id="35"/>
      <w:bookmarkEnd w:id="60"/>
    </w:p>
    <w:p w14:paraId="3F1BBAE6" w14:textId="77777777" w:rsidR="00D66C5E" w:rsidRPr="00EB3EE1" w:rsidRDefault="00D66C5E" w:rsidP="000313DD">
      <w:pPr>
        <w:pStyle w:val="TITU2"/>
      </w:pPr>
      <w:bookmarkStart w:id="61" w:name="_Toc123104823"/>
      <w:bookmarkStart w:id="62" w:name="_Toc240349806"/>
      <w:bookmarkStart w:id="63" w:name="_Toc277523180"/>
      <w:bookmarkStart w:id="64" w:name="_Toc511906069"/>
      <w:bookmarkStart w:id="65" w:name="_Toc404047"/>
      <w:r w:rsidRPr="00EB3EE1">
        <w:t xml:space="preserve">102.1. </w:t>
      </w:r>
      <w:r w:rsidRPr="00EB3EE1">
        <w:tab/>
        <w:t>Descripción General</w:t>
      </w:r>
      <w:bookmarkEnd w:id="61"/>
      <w:bookmarkEnd w:id="62"/>
      <w:bookmarkEnd w:id="63"/>
      <w:bookmarkEnd w:id="64"/>
      <w:bookmarkEnd w:id="65"/>
    </w:p>
    <w:p w14:paraId="25DDD05D" w14:textId="0C635BEA" w:rsidR="00D66C5E" w:rsidRPr="00EB3EE1" w:rsidRDefault="00D66C5E" w:rsidP="00D66C5E">
      <w:pPr>
        <w:pStyle w:val="NORMAL12"/>
        <w:rPr>
          <w:lang w:val="es-ES"/>
        </w:rPr>
      </w:pPr>
      <w:r w:rsidRPr="00EB3EE1">
        <w:rPr>
          <w:lang w:val="es-ES"/>
        </w:rPr>
        <w:t xml:space="preserve">Las obras proyectadas a las que se aplica el presente Pliego de Condiciones son las contenidas en el </w:t>
      </w:r>
      <w:bookmarkStart w:id="66" w:name="_Toc277523181"/>
      <w:r w:rsidRPr="00EB3EE1">
        <w:rPr>
          <w:lang w:val="es-ES"/>
        </w:rPr>
        <w:t>proyecto denominado “</w:t>
      </w:r>
      <w:r w:rsidR="00C22813">
        <w:rPr>
          <w:lang w:val="es-ES"/>
        </w:rPr>
        <w:t>TITULO DEL PROYECTO</w:t>
      </w:r>
      <w:r w:rsidRPr="00EB3EE1">
        <w:rPr>
          <w:lang w:val="es-ES"/>
        </w:rPr>
        <w:t xml:space="preserve">”. </w:t>
      </w:r>
    </w:p>
    <w:p w14:paraId="498F4C36" w14:textId="77777777" w:rsidR="00FF214F" w:rsidRPr="00EB3EE1" w:rsidRDefault="00FF214F" w:rsidP="00D66C5E">
      <w:pPr>
        <w:pStyle w:val="NORMAL12"/>
        <w:rPr>
          <w:lang w:val="es-ES"/>
        </w:rPr>
      </w:pPr>
      <w:r w:rsidRPr="00EB3EE1">
        <w:rPr>
          <w:lang w:val="es-ES"/>
        </w:rPr>
        <w:t>En líneas genera</w:t>
      </w:r>
      <w:r w:rsidR="009157A2">
        <w:rPr>
          <w:lang w:val="es-ES"/>
        </w:rPr>
        <w:t>les</w:t>
      </w:r>
      <w:r w:rsidRPr="00EB3EE1">
        <w:rPr>
          <w:lang w:val="es-ES"/>
        </w:rPr>
        <w:t>, la ejecución de las obras</w:t>
      </w:r>
      <w:r w:rsidR="009157A2">
        <w:rPr>
          <w:lang w:val="es-ES"/>
        </w:rPr>
        <w:t xml:space="preserve"> comprende</w:t>
      </w:r>
      <w:r w:rsidR="00EB3EE1" w:rsidRPr="00EB3EE1">
        <w:rPr>
          <w:lang w:val="es-ES"/>
        </w:rPr>
        <w:t xml:space="preserve"> las siguientes actuaciones:</w:t>
      </w:r>
    </w:p>
    <w:p w14:paraId="16746E44" w14:textId="5AC9DDD3" w:rsidR="00F97863" w:rsidRPr="00C5223B" w:rsidRDefault="00F97863" w:rsidP="00F97863">
      <w:pPr>
        <w:pStyle w:val="NORMAL12"/>
      </w:pPr>
      <w:bookmarkStart w:id="67" w:name="_Toc511906070"/>
    </w:p>
    <w:p w14:paraId="0BB6E8CB" w14:textId="77777777" w:rsidR="00D66C5E" w:rsidRPr="005864C2" w:rsidRDefault="00D66C5E" w:rsidP="000313DD">
      <w:pPr>
        <w:pStyle w:val="TITU2"/>
      </w:pPr>
      <w:bookmarkStart w:id="68" w:name="_Toc404048"/>
      <w:r w:rsidRPr="005864C2">
        <w:t>102.2.</w:t>
      </w:r>
      <w:r w:rsidRPr="005864C2">
        <w:tab/>
      </w:r>
      <w:r w:rsidR="001844DF">
        <w:t xml:space="preserve"> </w:t>
      </w:r>
      <w:r w:rsidRPr="005864C2">
        <w:t>Planos</w:t>
      </w:r>
      <w:bookmarkEnd w:id="66"/>
      <w:bookmarkEnd w:id="67"/>
      <w:bookmarkEnd w:id="68"/>
    </w:p>
    <w:p w14:paraId="030D6F2B" w14:textId="77777777" w:rsidR="00D66C5E" w:rsidRPr="00EB3EE1" w:rsidRDefault="00D66C5E" w:rsidP="00D66C5E">
      <w:pPr>
        <w:pStyle w:val="NORMAL12"/>
        <w:rPr>
          <w:lang w:val="es-ES"/>
        </w:rPr>
      </w:pPr>
      <w:r w:rsidRPr="00EB3EE1">
        <w:rPr>
          <w:lang w:val="es-ES"/>
        </w:rPr>
        <w:t xml:space="preserve">Se entiende por Planos los del contrato y los </w:t>
      </w:r>
      <w:r w:rsidR="00504EC6">
        <w:rPr>
          <w:lang w:val="es-ES"/>
        </w:rPr>
        <w:t xml:space="preserve">planos </w:t>
      </w:r>
      <w:r w:rsidRPr="00EB3EE1">
        <w:rPr>
          <w:lang w:val="es-ES"/>
        </w:rPr>
        <w:t>que oficialmente entregue la Dirección al Contratista</w:t>
      </w:r>
      <w:r w:rsidR="00050429">
        <w:rPr>
          <w:lang w:val="es-ES"/>
        </w:rPr>
        <w:t xml:space="preserve"> para la ejecución de la obra</w:t>
      </w:r>
      <w:r w:rsidRPr="00EB3EE1">
        <w:rPr>
          <w:lang w:val="es-ES"/>
        </w:rPr>
        <w:t xml:space="preserve">, </w:t>
      </w:r>
      <w:r w:rsidR="00050429">
        <w:rPr>
          <w:lang w:val="es-ES"/>
        </w:rPr>
        <w:t>incluso</w:t>
      </w:r>
      <w:r w:rsidRPr="00EB3EE1">
        <w:rPr>
          <w:lang w:val="es-ES"/>
        </w:rPr>
        <w:t xml:space="preserve"> las modificaciones de </w:t>
      </w:r>
      <w:proofErr w:type="gramStart"/>
      <w:r w:rsidRPr="00EB3EE1">
        <w:rPr>
          <w:lang w:val="es-ES"/>
        </w:rPr>
        <w:t>los mismos</w:t>
      </w:r>
      <w:proofErr w:type="gramEnd"/>
      <w:r w:rsidRPr="00EB3EE1">
        <w:rPr>
          <w:lang w:val="es-ES"/>
        </w:rPr>
        <w:t>, así como los dibujos, croquis e instrucciones complementarias que para mejor definición de las obras a realizar entregue la Dirección de Obra al Contratista, debidamente fechadas y firmadas.</w:t>
      </w:r>
    </w:p>
    <w:p w14:paraId="356E79AC" w14:textId="77777777" w:rsidR="00D66C5E" w:rsidRPr="00EB3EE1" w:rsidRDefault="00D66C5E" w:rsidP="00D66C5E">
      <w:pPr>
        <w:pStyle w:val="NORMAL12"/>
        <w:rPr>
          <w:lang w:val="es-ES"/>
        </w:rPr>
      </w:pPr>
      <w:r w:rsidRPr="00EB3EE1">
        <w:rPr>
          <w:lang w:val="es-ES"/>
        </w:rPr>
        <w:t xml:space="preserve">También se considerarán </w:t>
      </w:r>
      <w:r w:rsidRPr="00C5223B">
        <w:rPr>
          <w:lang w:val="es-ES"/>
        </w:rPr>
        <w:t xml:space="preserve">Planos </w:t>
      </w:r>
      <w:r w:rsidR="004F6110" w:rsidRPr="00C5223B">
        <w:rPr>
          <w:lang w:val="es-ES"/>
        </w:rPr>
        <w:t xml:space="preserve">de contrato </w:t>
      </w:r>
      <w:r w:rsidRPr="00C5223B">
        <w:rPr>
          <w:lang w:val="es-ES"/>
        </w:rPr>
        <w:t>aquellos que el Contratista proponga y que la Dirección apruebe expresamente.</w:t>
      </w:r>
    </w:p>
    <w:p w14:paraId="6A3E860A" w14:textId="77777777" w:rsidR="00D66C5E" w:rsidRPr="00EB3EE1" w:rsidRDefault="00D66C5E" w:rsidP="00D66C5E">
      <w:pPr>
        <w:pStyle w:val="NORMAL12"/>
        <w:rPr>
          <w:lang w:val="es-ES"/>
        </w:rPr>
      </w:pPr>
      <w:r w:rsidRPr="00EB3EE1">
        <w:rPr>
          <w:lang w:val="es-ES"/>
        </w:rPr>
        <w:t>Las obras se construirán con estricta sujeción a los Planos</w:t>
      </w:r>
      <w:r w:rsidR="00EB3EE1" w:rsidRPr="00EB3EE1">
        <w:rPr>
          <w:lang w:val="es-ES"/>
        </w:rPr>
        <w:t xml:space="preserve"> y Pliego de condiciones</w:t>
      </w:r>
      <w:r w:rsidRPr="00EB3EE1">
        <w:rPr>
          <w:lang w:val="es-ES"/>
        </w:rPr>
        <w:t>, sin que el Contratista pueda introducir ninguna modificación que no haya sido previamente aprobada por la Dirección.</w:t>
      </w:r>
    </w:p>
    <w:p w14:paraId="7BA91435" w14:textId="77777777" w:rsidR="00D66C5E" w:rsidRPr="00EB3EE1" w:rsidRDefault="00D66C5E" w:rsidP="00D66C5E">
      <w:pPr>
        <w:pStyle w:val="NORMAL12"/>
        <w:rPr>
          <w:lang w:val="es-ES"/>
        </w:rPr>
      </w:pPr>
      <w:r w:rsidRPr="00EB3EE1">
        <w:rPr>
          <w:lang w:val="es-ES"/>
        </w:rPr>
        <w:t>No tendrán carácter ejecutivo ni contractual los planos de información que aparezcan en la documentación del proyecto y que no tengan la calificación de planos del contrato, y asimismo cuantos dibujos o informes técnicos que hayan sido facilitados al Contratista</w:t>
      </w:r>
      <w:r w:rsidR="00EB3EE1" w:rsidRPr="00EB3EE1">
        <w:rPr>
          <w:lang w:val="es-ES"/>
        </w:rPr>
        <w:t xml:space="preserve"> adjudicatario</w:t>
      </w:r>
      <w:r w:rsidRPr="00EB3EE1">
        <w:rPr>
          <w:lang w:val="es-ES"/>
        </w:rPr>
        <w:t>, para una mejor comprensión de la obra a realizar, con un carácter puramente informativo.</w:t>
      </w:r>
    </w:p>
    <w:p w14:paraId="207928A5" w14:textId="77777777" w:rsidR="00D66C5E" w:rsidRPr="00EB3EE1" w:rsidRDefault="00D66C5E" w:rsidP="00D66C5E">
      <w:pPr>
        <w:pStyle w:val="NORMAL12"/>
        <w:rPr>
          <w:lang w:val="es-ES"/>
        </w:rPr>
      </w:pPr>
      <w:r w:rsidRPr="00EB3EE1">
        <w:rPr>
          <w:lang w:val="es-ES"/>
        </w:rPr>
        <w:t xml:space="preserve">A petición del </w:t>
      </w:r>
      <w:proofErr w:type="gramStart"/>
      <w:r w:rsidRPr="00EB3EE1">
        <w:rPr>
          <w:lang w:val="es-ES"/>
        </w:rPr>
        <w:t>Director</w:t>
      </w:r>
      <w:proofErr w:type="gramEnd"/>
      <w:r w:rsidRPr="00EB3EE1">
        <w:rPr>
          <w:lang w:val="es-ES"/>
        </w:rPr>
        <w:t xml:space="preserve"> de Obra, el Contratista preparará todos los planos de detalles que se estimen necesarios para la ejecución de las obras contratadas, acompañando, si fuese preciso, las memorias y cálculos justificativos que se requieran para su mejor comprensión.</w:t>
      </w:r>
    </w:p>
    <w:p w14:paraId="6319114A" w14:textId="77777777" w:rsidR="00D66C5E" w:rsidRPr="00EB3EE1" w:rsidRDefault="00D66C5E" w:rsidP="00D66C5E">
      <w:pPr>
        <w:pStyle w:val="NORMAL12"/>
        <w:rPr>
          <w:lang w:val="es-ES"/>
        </w:rPr>
      </w:pPr>
      <w:r w:rsidRPr="00EB3EE1">
        <w:rPr>
          <w:lang w:val="es-ES"/>
        </w:rPr>
        <w:t>Dichos planos de detalle deberán estar suscritos por la Dirección, sin cuyo requisito no podrán ejecutarse los trabajos correspondientes.</w:t>
      </w:r>
    </w:p>
    <w:p w14:paraId="53B92B6F" w14:textId="77777777" w:rsidR="00D66C5E" w:rsidRDefault="00D66C5E" w:rsidP="000313DD">
      <w:pPr>
        <w:pStyle w:val="TITU2"/>
      </w:pPr>
      <w:bookmarkStart w:id="69" w:name="_Toc277523182"/>
      <w:bookmarkStart w:id="70" w:name="_Toc511906071"/>
      <w:bookmarkStart w:id="71" w:name="_Toc404049"/>
      <w:r w:rsidRPr="005864C2">
        <w:t>102.3.</w:t>
      </w:r>
      <w:r w:rsidRPr="005864C2">
        <w:tab/>
        <w:t>Contradicciones, omisiones o errores</w:t>
      </w:r>
      <w:bookmarkEnd w:id="69"/>
      <w:bookmarkEnd w:id="70"/>
      <w:bookmarkEnd w:id="71"/>
    </w:p>
    <w:p w14:paraId="01C41C37" w14:textId="77777777" w:rsidR="00EB3EE1" w:rsidRPr="00EB3EE1" w:rsidRDefault="00EB3EE1" w:rsidP="00EB3EE1">
      <w:pPr>
        <w:pStyle w:val="NORMAL12"/>
        <w:rPr>
          <w:lang w:val="es-ES"/>
        </w:rPr>
      </w:pPr>
      <w:r w:rsidRPr="00EB3EE1">
        <w:rPr>
          <w:lang w:val="es-ES"/>
        </w:rPr>
        <w:t>El presente Pliego de Prescripciones Técnicas establece la definición de las obras e instalaciones en cuanto a su naturaleza y características físicas.</w:t>
      </w:r>
    </w:p>
    <w:p w14:paraId="5B7B2A1E" w14:textId="77777777" w:rsidR="00EB3EE1" w:rsidRPr="00EB3EE1" w:rsidRDefault="00EB3EE1" w:rsidP="00EB3EE1">
      <w:pPr>
        <w:pStyle w:val="NORMAL12"/>
        <w:rPr>
          <w:lang w:val="es-ES"/>
        </w:rPr>
      </w:pPr>
      <w:r w:rsidRPr="00EB3EE1">
        <w:rPr>
          <w:lang w:val="es-ES"/>
        </w:rPr>
        <w:t>Los Planos constituyen los documentos gráficos que definen funcional, esquemática y geométricamente las obras e instalaciones.</w:t>
      </w:r>
    </w:p>
    <w:p w14:paraId="1F0BAD53" w14:textId="77777777" w:rsidR="00EB3EE1" w:rsidRDefault="00EB3EE1" w:rsidP="00EB3EE1">
      <w:pPr>
        <w:pStyle w:val="NORMAL12"/>
        <w:rPr>
          <w:i/>
          <w:u w:val="single"/>
          <w:lang w:val="es-ES"/>
        </w:rPr>
      </w:pPr>
      <w:r w:rsidRPr="00EB3EE1">
        <w:rPr>
          <w:i/>
          <w:u w:val="single"/>
          <w:lang w:val="es-ES"/>
        </w:rPr>
        <w:t>Contradicciones entre documentos del Proyecto</w:t>
      </w:r>
    </w:p>
    <w:p w14:paraId="1E050D44" w14:textId="77777777" w:rsidR="00EB3EE1" w:rsidRPr="00EB3EE1" w:rsidRDefault="00EB3EE1" w:rsidP="00EB3EE1">
      <w:pPr>
        <w:pStyle w:val="NORMAL12"/>
        <w:rPr>
          <w:lang w:val="es-ES"/>
        </w:rPr>
      </w:pPr>
      <w:r w:rsidRPr="00EB3EE1">
        <w:rPr>
          <w:lang w:val="es-ES"/>
        </w:rPr>
        <w:t xml:space="preserve">En el caso de que aparezcan contradicciones entre los Documentos del Proyecto, la interpretación corresponderá al </w:t>
      </w:r>
      <w:proofErr w:type="gramStart"/>
      <w:r w:rsidRPr="00EB3EE1">
        <w:rPr>
          <w:lang w:val="es-ES"/>
        </w:rPr>
        <w:t>Director</w:t>
      </w:r>
      <w:proofErr w:type="gramEnd"/>
      <w:r w:rsidRPr="00EB3EE1">
        <w:rPr>
          <w:lang w:val="es-ES"/>
        </w:rPr>
        <w:t xml:space="preserve"> de Obra, estableciéndose el criterio general de que, salvo indicación en contrario, prevalece lo establecido en el Pliego de Prescripciones.</w:t>
      </w:r>
    </w:p>
    <w:p w14:paraId="42DAA173" w14:textId="77777777" w:rsidR="00EB3EE1" w:rsidRPr="00EB3EE1" w:rsidRDefault="00EB3EE1" w:rsidP="00EB3EE1">
      <w:pPr>
        <w:pStyle w:val="NORMAL12"/>
        <w:rPr>
          <w:lang w:val="es-ES"/>
        </w:rPr>
      </w:pPr>
      <w:r w:rsidRPr="00EB3EE1">
        <w:rPr>
          <w:lang w:val="es-ES"/>
        </w:rPr>
        <w:t>En caso de darse contradicción entre Memoria y Planos, prevalecerán éstos sobre aquella.</w:t>
      </w:r>
    </w:p>
    <w:p w14:paraId="58709803" w14:textId="77777777" w:rsidR="00EB3EE1" w:rsidRPr="00EB3EE1" w:rsidRDefault="00EB3EE1" w:rsidP="00EB3EE1">
      <w:pPr>
        <w:pStyle w:val="NORMAL12"/>
        <w:rPr>
          <w:lang w:val="es-ES"/>
        </w:rPr>
      </w:pPr>
      <w:r w:rsidRPr="00EB3EE1">
        <w:rPr>
          <w:lang w:val="es-ES"/>
        </w:rPr>
        <w:t xml:space="preserve">Entre Memoria y Presupuesto, prevalecerá </w:t>
      </w:r>
      <w:proofErr w:type="gramStart"/>
      <w:r w:rsidRPr="00EB3EE1">
        <w:rPr>
          <w:lang w:val="es-ES"/>
        </w:rPr>
        <w:t>éste</w:t>
      </w:r>
      <w:proofErr w:type="gramEnd"/>
      <w:r w:rsidRPr="00EB3EE1">
        <w:rPr>
          <w:lang w:val="es-ES"/>
        </w:rPr>
        <w:t xml:space="preserve"> sobre aquella. </w:t>
      </w:r>
    </w:p>
    <w:p w14:paraId="72847FC2" w14:textId="77777777" w:rsidR="00EB3EE1" w:rsidRPr="00EB3EE1" w:rsidRDefault="00EB3EE1" w:rsidP="00EB3EE1">
      <w:pPr>
        <w:pStyle w:val="NORMAL12"/>
        <w:rPr>
          <w:lang w:val="es-ES"/>
        </w:rPr>
      </w:pPr>
      <w:r w:rsidRPr="00EB3EE1">
        <w:rPr>
          <w:lang w:val="es-ES"/>
        </w:rPr>
        <w:t>En caso de contradicción entre el Pliego de Prescripciones Técnicas Particulares y los Cuadros de Precios, prevalecerá aquel sobre estos.</w:t>
      </w:r>
    </w:p>
    <w:p w14:paraId="6026190E" w14:textId="77777777" w:rsidR="00EB3EE1" w:rsidRPr="00EB3EE1" w:rsidRDefault="00EB3EE1" w:rsidP="00EB3EE1">
      <w:pPr>
        <w:pStyle w:val="NORMAL12"/>
        <w:rPr>
          <w:lang w:val="es-ES"/>
        </w:rPr>
      </w:pPr>
      <w:r w:rsidRPr="00EB3EE1">
        <w:rPr>
          <w:lang w:val="es-ES"/>
        </w:rPr>
        <w:t>Dentro del Presupuesto, caso de haber contradicción entre Cuadro de Precios y Presupuesto, prevalecerá aquel sobre éste. En el Cuadro de Precios prevalecerá lo expresado en letra sobre lo escrito en cifras.</w:t>
      </w:r>
    </w:p>
    <w:p w14:paraId="309C175D" w14:textId="77777777" w:rsidR="00EB3EE1" w:rsidRPr="00EB3EE1" w:rsidRDefault="00DB6778" w:rsidP="00EB3EE1">
      <w:pPr>
        <w:pStyle w:val="NORMAL12"/>
        <w:rPr>
          <w:lang w:val="es-ES"/>
        </w:rPr>
      </w:pPr>
      <w:r>
        <w:rPr>
          <w:lang w:val="es-ES"/>
        </w:rPr>
        <w:br w:type="column"/>
      </w:r>
      <w:r w:rsidR="00EB3EE1" w:rsidRPr="00EB3EE1">
        <w:rPr>
          <w:lang w:val="es-ES"/>
        </w:rPr>
        <w:lastRenderedPageBreak/>
        <w:t xml:space="preserve">Lo mencionado en el presente Pliego y omitido en los Planos, o viceversa, habrá de ser ejecutado como si estuviese desarrollado en ambos documentos siempre que, a juicio de la Dirección </w:t>
      </w:r>
      <w:r w:rsidR="009771E6">
        <w:rPr>
          <w:lang w:val="es-ES"/>
        </w:rPr>
        <w:t>de Obra</w:t>
      </w:r>
      <w:r w:rsidR="00EB3EE1" w:rsidRPr="00EB3EE1">
        <w:rPr>
          <w:lang w:val="es-ES"/>
        </w:rPr>
        <w:t>, la unidad de obra correspondiente quede suficientemente definida y tenga precio contractual. En caso de contradicción entre los Planos y el Pliego de Prescripciones Técnicas Particulares, prevalecerá lo prescrito en este último.</w:t>
      </w:r>
    </w:p>
    <w:p w14:paraId="6F390620" w14:textId="77777777" w:rsidR="00EB3EE1" w:rsidRPr="00EB3EE1" w:rsidRDefault="00EB3EE1" w:rsidP="00EB3EE1">
      <w:pPr>
        <w:pStyle w:val="NORMAL12"/>
        <w:rPr>
          <w:i/>
          <w:u w:val="single"/>
          <w:lang w:val="es-ES"/>
        </w:rPr>
      </w:pPr>
      <w:r w:rsidRPr="00EB3EE1">
        <w:rPr>
          <w:i/>
          <w:u w:val="single"/>
          <w:lang w:val="es-ES"/>
        </w:rPr>
        <w:t>Contradicciones entre el proyecto y la legislación administrativa general.</w:t>
      </w:r>
    </w:p>
    <w:p w14:paraId="79ACF46E" w14:textId="77777777" w:rsidR="00EB3EE1" w:rsidRPr="00EB3EE1" w:rsidRDefault="00EB3EE1" w:rsidP="00EB3EE1">
      <w:pPr>
        <w:pStyle w:val="NORMAL12"/>
        <w:rPr>
          <w:lang w:val="es-ES"/>
        </w:rPr>
      </w:pPr>
      <w:r w:rsidRPr="00EB3EE1">
        <w:rPr>
          <w:lang w:val="es-ES"/>
        </w:rPr>
        <w:t>En este caso prevalecerán las disposiciones generales (Leyes, Reglamentos y Reales Decretos).</w:t>
      </w:r>
    </w:p>
    <w:p w14:paraId="7B2A1512" w14:textId="77777777" w:rsidR="00EB3EE1" w:rsidRPr="00EB3EE1" w:rsidRDefault="00EB3EE1" w:rsidP="00EB3EE1">
      <w:pPr>
        <w:pStyle w:val="NORMAL12"/>
        <w:rPr>
          <w:i/>
          <w:u w:val="single"/>
          <w:lang w:val="es-ES"/>
        </w:rPr>
      </w:pPr>
      <w:r w:rsidRPr="00EB3EE1">
        <w:rPr>
          <w:i/>
          <w:u w:val="single"/>
          <w:lang w:val="es-ES"/>
        </w:rPr>
        <w:t>Contradicciones entre el proyecto y la normativa técnica.</w:t>
      </w:r>
    </w:p>
    <w:p w14:paraId="18775026" w14:textId="77777777" w:rsidR="00EB3EE1" w:rsidRPr="00EB3EE1" w:rsidRDefault="00EB3EE1" w:rsidP="00EB3EE1">
      <w:pPr>
        <w:pStyle w:val="NORMAL12"/>
        <w:rPr>
          <w:lang w:val="es-ES"/>
        </w:rPr>
      </w:pPr>
      <w:r w:rsidRPr="00EB3EE1">
        <w:rPr>
          <w:lang w:val="es-ES"/>
        </w:rPr>
        <w:t>Como criterio general prevalecerá lo establecido en el Proyecto, salvo que en el Pliego se haga remisión expresa de que es de aplicación preferente un artículo preciso de una Norma concreta, en cuyo caso prevalecerá sobre lo establecido en dicho artículo.</w:t>
      </w:r>
    </w:p>
    <w:p w14:paraId="344A77FB" w14:textId="77777777" w:rsidR="00EB3EE1" w:rsidRPr="00EB3EE1" w:rsidRDefault="00EB3EE1" w:rsidP="00EB3EE1">
      <w:pPr>
        <w:pStyle w:val="NORMAL12"/>
        <w:rPr>
          <w:i/>
          <w:u w:val="single"/>
          <w:lang w:val="es-ES"/>
        </w:rPr>
      </w:pPr>
      <w:r w:rsidRPr="00EB3EE1">
        <w:rPr>
          <w:i/>
          <w:u w:val="single"/>
          <w:lang w:val="es-ES"/>
        </w:rPr>
        <w:t>Contradicciones, omisiones y modificaciones del proyecto</w:t>
      </w:r>
    </w:p>
    <w:p w14:paraId="27E9982D" w14:textId="77777777" w:rsidR="00EB3EE1" w:rsidRPr="00EB3EE1" w:rsidRDefault="00EB3EE1" w:rsidP="00EB3EE1">
      <w:pPr>
        <w:pStyle w:val="NORMAL12"/>
        <w:rPr>
          <w:lang w:val="es-ES"/>
        </w:rPr>
      </w:pPr>
      <w:r w:rsidRPr="00EB3EE1">
        <w:rPr>
          <w:lang w:val="es-ES"/>
        </w:rPr>
        <w:t xml:space="preserve">El Contratista estará obligado a poner cuanto antes en conocimiento del Ingeniero </w:t>
      </w:r>
      <w:proofErr w:type="gramStart"/>
      <w:r w:rsidRPr="00EB3EE1">
        <w:rPr>
          <w:lang w:val="es-ES"/>
        </w:rPr>
        <w:t>Director</w:t>
      </w:r>
      <w:proofErr w:type="gramEnd"/>
      <w:r w:rsidRPr="00EB3EE1">
        <w:rPr>
          <w:lang w:val="es-ES"/>
        </w:rPr>
        <w:t xml:space="preserve"> de Obra cualquier discrepancia que observe entre los distintos planos del Proyecto o cualquier otra circunstancia surgida durante la ejecución de los trabajos, que diese lugar a posibles modificaciones del Proyecto.</w:t>
      </w:r>
    </w:p>
    <w:p w14:paraId="477FAE78" w14:textId="77777777" w:rsidR="00EB3EE1" w:rsidRPr="00EB3EE1" w:rsidRDefault="00EB3EE1" w:rsidP="00EB3EE1">
      <w:pPr>
        <w:pStyle w:val="NORMAL12"/>
        <w:rPr>
          <w:lang w:val="es-ES"/>
        </w:rPr>
      </w:pPr>
      <w:r w:rsidRPr="00EB3EE1">
        <w:rPr>
          <w:lang w:val="es-ES"/>
        </w:rPr>
        <w:t xml:space="preserve">Como consecuencia de la información recibida del Contratista adjudicatario, o por propia iniciativa a la vista de las necesidades de la obra, el </w:t>
      </w:r>
      <w:proofErr w:type="gramStart"/>
      <w:r w:rsidRPr="00EB3EE1">
        <w:rPr>
          <w:lang w:val="es-ES"/>
        </w:rPr>
        <w:t>Director</w:t>
      </w:r>
      <w:proofErr w:type="gramEnd"/>
      <w:r w:rsidRPr="00EB3EE1">
        <w:rPr>
          <w:lang w:val="es-ES"/>
        </w:rPr>
        <w:t xml:space="preserve"> de </w:t>
      </w:r>
      <w:proofErr w:type="gramStart"/>
      <w:r w:rsidRPr="00EB3EE1">
        <w:rPr>
          <w:lang w:val="es-ES"/>
        </w:rPr>
        <w:t>la misma</w:t>
      </w:r>
      <w:proofErr w:type="gramEnd"/>
      <w:r w:rsidRPr="00EB3EE1">
        <w:rPr>
          <w:lang w:val="es-ES"/>
        </w:rPr>
        <w:t xml:space="preserve"> podrá ordenar y proponer las modificaciones que considere necesarias de acuerdo con el presente Pliego y la Legislación vigente sobre la materia.</w:t>
      </w:r>
    </w:p>
    <w:p w14:paraId="08550D4F" w14:textId="77777777" w:rsidR="00EB3EE1" w:rsidRPr="00EB3EE1" w:rsidRDefault="00EB3EE1" w:rsidP="00EB3EE1">
      <w:pPr>
        <w:pStyle w:val="NORMAL12"/>
        <w:rPr>
          <w:lang w:val="es-ES"/>
        </w:rPr>
      </w:pPr>
      <w:r w:rsidRPr="00EB3EE1">
        <w:rPr>
          <w:lang w:val="es-ES"/>
        </w:rPr>
        <w:t xml:space="preserve">En caso de duda, la interpretación del proyecto corresponde al </w:t>
      </w:r>
      <w:proofErr w:type="gramStart"/>
      <w:r w:rsidRPr="00EB3EE1">
        <w:rPr>
          <w:lang w:val="es-ES"/>
        </w:rPr>
        <w:t>Director</w:t>
      </w:r>
      <w:proofErr w:type="gramEnd"/>
      <w:r w:rsidRPr="00EB3EE1">
        <w:rPr>
          <w:lang w:val="es-ES"/>
        </w:rPr>
        <w:t xml:space="preserve">. Si el </w:t>
      </w:r>
      <w:proofErr w:type="gramStart"/>
      <w:r w:rsidRPr="00EB3EE1">
        <w:rPr>
          <w:lang w:val="es-ES"/>
        </w:rPr>
        <w:t>Director</w:t>
      </w:r>
      <w:proofErr w:type="gramEnd"/>
      <w:r w:rsidRPr="00EB3EE1">
        <w:rPr>
          <w:lang w:val="es-ES"/>
        </w:rPr>
        <w:t xml:space="preserve"> </w:t>
      </w:r>
      <w:r>
        <w:rPr>
          <w:lang w:val="es-ES"/>
        </w:rPr>
        <w:t>de obra</w:t>
      </w:r>
      <w:r w:rsidRPr="00EB3EE1">
        <w:rPr>
          <w:lang w:val="es-ES"/>
        </w:rPr>
        <w:t xml:space="preserve"> encontrase incompatibilidad en la aplicación conjunta de todas las limitaciones técnicas que definen una Unidad, aplicará solamente aquellas limitaciones que a su juicio aporten mayor calidad.</w:t>
      </w:r>
    </w:p>
    <w:p w14:paraId="41EC4FC3" w14:textId="77777777" w:rsidR="00EB3EE1" w:rsidRPr="00EB3EE1" w:rsidRDefault="00EB3EE1" w:rsidP="00EB3EE1">
      <w:pPr>
        <w:pStyle w:val="NORMAL12"/>
        <w:rPr>
          <w:lang w:val="es-ES"/>
        </w:rPr>
      </w:pPr>
      <w:r w:rsidRPr="00EB3EE1">
        <w:rPr>
          <w:lang w:val="es-ES"/>
        </w:rPr>
        <w:t>Aquellos materiales que sean necesarios para la correcta ejecución de determinadas unidades de obra y que no estén incluidos en la definición de éstas deberán ser normalizados, contemplando las normativas existentes en la medida de lo posible (EN-1504, Normas UNE, ISO, etc.).</w:t>
      </w:r>
    </w:p>
    <w:p w14:paraId="21BCD14C" w14:textId="77777777" w:rsidR="00D66C5E" w:rsidRPr="00EB3EE1" w:rsidRDefault="00D66C5E" w:rsidP="000313DD">
      <w:pPr>
        <w:pStyle w:val="TITU2"/>
        <w:rPr>
          <w:lang w:val="es-ES_tradnl"/>
        </w:rPr>
      </w:pPr>
      <w:bookmarkStart w:id="72" w:name="_Toc277523183"/>
      <w:bookmarkStart w:id="73" w:name="_Toc511906072"/>
      <w:bookmarkStart w:id="74" w:name="_Toc404050"/>
      <w:r w:rsidRPr="00EB3EE1">
        <w:rPr>
          <w:lang w:val="es-ES_tradnl"/>
        </w:rPr>
        <w:t>102.4.</w:t>
      </w:r>
      <w:r w:rsidRPr="00EB3EE1">
        <w:rPr>
          <w:lang w:val="es-ES_tradnl"/>
        </w:rPr>
        <w:tab/>
      </w:r>
      <w:r w:rsidR="001844DF">
        <w:rPr>
          <w:lang w:val="es-ES_tradnl"/>
        </w:rPr>
        <w:t xml:space="preserve"> </w:t>
      </w:r>
      <w:r w:rsidRPr="00EB3EE1">
        <w:rPr>
          <w:lang w:val="es-ES_tradnl"/>
        </w:rPr>
        <w:t>Documentos que se entregan al Contratista</w:t>
      </w:r>
      <w:bookmarkEnd w:id="72"/>
      <w:bookmarkEnd w:id="73"/>
      <w:bookmarkEnd w:id="74"/>
    </w:p>
    <w:p w14:paraId="63B601D6" w14:textId="77777777" w:rsidR="00D66C5E" w:rsidRPr="00EB3EE1" w:rsidRDefault="00D66C5E" w:rsidP="004077DA">
      <w:pPr>
        <w:pStyle w:val="TITU3"/>
        <w:numPr>
          <w:ilvl w:val="0"/>
          <w:numId w:val="0"/>
        </w:numPr>
        <w:outlineLvl w:val="3"/>
      </w:pPr>
      <w:bookmarkStart w:id="75" w:name="_Toc277523184"/>
      <w:r w:rsidRPr="00EB3EE1">
        <w:t>102.4.1.</w:t>
      </w:r>
      <w:r w:rsidR="001844DF">
        <w:t xml:space="preserve"> </w:t>
      </w:r>
      <w:r w:rsidRPr="00EB3EE1">
        <w:t>Documentos contractuales</w:t>
      </w:r>
      <w:bookmarkEnd w:id="75"/>
    </w:p>
    <w:p w14:paraId="5871558B" w14:textId="77777777" w:rsidR="00D66C5E" w:rsidRPr="00EB3EE1" w:rsidRDefault="00D66C5E" w:rsidP="00D66C5E">
      <w:pPr>
        <w:pStyle w:val="NORMAL12"/>
        <w:rPr>
          <w:lang w:val="es-ES"/>
        </w:rPr>
      </w:pPr>
      <w:r w:rsidRPr="00EB3EE1">
        <w:rPr>
          <w:lang w:val="es-ES"/>
        </w:rPr>
        <w:t>Los documentos que quedan incorporados al Contrato como documentos contractuales, salvo en el caso de que queden expresamente excluidos en el mismo, son los siguientes:</w:t>
      </w:r>
    </w:p>
    <w:p w14:paraId="0EEB976E" w14:textId="77777777" w:rsidR="00D66C5E" w:rsidRPr="00EB3EE1" w:rsidRDefault="00D66C5E" w:rsidP="00E01981">
      <w:pPr>
        <w:pStyle w:val="NORMAL12"/>
        <w:numPr>
          <w:ilvl w:val="0"/>
          <w:numId w:val="52"/>
        </w:numPr>
        <w:rPr>
          <w:lang w:val="es-ES"/>
        </w:rPr>
      </w:pPr>
      <w:r w:rsidRPr="00EB3EE1">
        <w:rPr>
          <w:lang w:val="es-ES"/>
        </w:rPr>
        <w:t>Planos</w:t>
      </w:r>
    </w:p>
    <w:p w14:paraId="7F1D19F1" w14:textId="77777777" w:rsidR="00D66C5E" w:rsidRPr="00EB3EE1" w:rsidRDefault="00D66C5E" w:rsidP="00E01981">
      <w:pPr>
        <w:pStyle w:val="NORMAL12"/>
        <w:numPr>
          <w:ilvl w:val="0"/>
          <w:numId w:val="52"/>
        </w:numPr>
        <w:rPr>
          <w:lang w:val="es-ES"/>
        </w:rPr>
      </w:pPr>
      <w:r w:rsidRPr="00EB3EE1">
        <w:rPr>
          <w:lang w:val="es-ES"/>
        </w:rPr>
        <w:t>Pliego de Condiciones</w:t>
      </w:r>
    </w:p>
    <w:p w14:paraId="1A794197" w14:textId="77777777" w:rsidR="00D66C5E" w:rsidRPr="00EB3EE1" w:rsidRDefault="00D66C5E" w:rsidP="00E01981">
      <w:pPr>
        <w:pStyle w:val="NORMAL12"/>
        <w:numPr>
          <w:ilvl w:val="0"/>
          <w:numId w:val="52"/>
        </w:numPr>
        <w:rPr>
          <w:lang w:val="es-ES"/>
        </w:rPr>
      </w:pPr>
      <w:r w:rsidRPr="00EB3EE1">
        <w:rPr>
          <w:lang w:val="es-ES"/>
        </w:rPr>
        <w:t>Cuadros de Precios</w:t>
      </w:r>
    </w:p>
    <w:p w14:paraId="38D60E41" w14:textId="77777777" w:rsidR="00D66C5E" w:rsidRPr="00CC4E16" w:rsidRDefault="00D66C5E" w:rsidP="00E01981">
      <w:pPr>
        <w:pStyle w:val="NORMAL12"/>
        <w:numPr>
          <w:ilvl w:val="0"/>
          <w:numId w:val="52"/>
        </w:numPr>
        <w:rPr>
          <w:lang w:val="es-ES"/>
        </w:rPr>
      </w:pPr>
      <w:r w:rsidRPr="00CC4E16">
        <w:rPr>
          <w:lang w:val="es-ES"/>
        </w:rPr>
        <w:t>Presupuestos</w:t>
      </w:r>
    </w:p>
    <w:p w14:paraId="06EDA9A3" w14:textId="77777777" w:rsidR="00D66C5E" w:rsidRPr="00EB3EE1" w:rsidRDefault="00D66C5E" w:rsidP="004077DA">
      <w:pPr>
        <w:pStyle w:val="TITU3"/>
        <w:numPr>
          <w:ilvl w:val="0"/>
          <w:numId w:val="0"/>
        </w:numPr>
        <w:outlineLvl w:val="3"/>
      </w:pPr>
      <w:bookmarkStart w:id="76" w:name="_Toc277523185"/>
      <w:r w:rsidRPr="00EB3EE1">
        <w:t>102.4.2</w:t>
      </w:r>
      <w:r w:rsidR="00D93E76" w:rsidRPr="00EB3EE1">
        <w:t>. Documentos</w:t>
      </w:r>
      <w:r w:rsidRPr="00EB3EE1">
        <w:t xml:space="preserve"> informativos</w:t>
      </w:r>
      <w:bookmarkEnd w:id="76"/>
    </w:p>
    <w:p w14:paraId="66917368" w14:textId="77777777" w:rsidR="00D66C5E" w:rsidRPr="00EB3EE1" w:rsidRDefault="00D66C5E" w:rsidP="00D66C5E">
      <w:pPr>
        <w:pStyle w:val="NORMAL12"/>
        <w:rPr>
          <w:lang w:val="es-ES"/>
        </w:rPr>
      </w:pPr>
      <w:r w:rsidRPr="00EB3EE1">
        <w:rPr>
          <w:lang w:val="es-ES"/>
        </w:rPr>
        <w:t>Los documentos no indicados en el apartado anterior tendrán únicamente carácter informativo, y en ningún caso podrá utilizarse la información contenida en ellos para modificar lo incluido en los documentos contractuales</w:t>
      </w:r>
    </w:p>
    <w:p w14:paraId="75054886" w14:textId="77777777" w:rsidR="00177852" w:rsidRPr="00EB3EE1" w:rsidRDefault="00177852" w:rsidP="00177852">
      <w:pPr>
        <w:pStyle w:val="TITU1"/>
      </w:pPr>
      <w:bookmarkStart w:id="77" w:name="_Toc277523132"/>
      <w:bookmarkStart w:id="78" w:name="_Toc511906028"/>
      <w:bookmarkStart w:id="79" w:name="_Toc404051"/>
      <w:bookmarkEnd w:id="20"/>
      <w:r w:rsidRPr="00EB3EE1">
        <w:lastRenderedPageBreak/>
        <w:t>Artículo 103. Iniciación de las obras</w:t>
      </w:r>
      <w:bookmarkEnd w:id="77"/>
      <w:bookmarkEnd w:id="78"/>
      <w:bookmarkEnd w:id="79"/>
    </w:p>
    <w:p w14:paraId="66BC4486" w14:textId="77777777" w:rsidR="00177852" w:rsidRPr="005864C2" w:rsidRDefault="00177852" w:rsidP="000313DD">
      <w:pPr>
        <w:pStyle w:val="TITU2"/>
        <w:rPr>
          <w:lang w:val="es-ES_tradnl"/>
        </w:rPr>
      </w:pPr>
      <w:bookmarkStart w:id="80" w:name="_Toc277523133"/>
      <w:bookmarkStart w:id="81" w:name="_Toc511906029"/>
      <w:bookmarkStart w:id="82" w:name="_Toc404052"/>
      <w:r w:rsidRPr="005864C2">
        <w:rPr>
          <w:lang w:val="es-ES_tradnl"/>
        </w:rPr>
        <w:t>103.1.</w:t>
      </w:r>
      <w:r w:rsidR="001844DF">
        <w:rPr>
          <w:lang w:val="es-ES_tradnl"/>
        </w:rPr>
        <w:t xml:space="preserve"> </w:t>
      </w:r>
      <w:r w:rsidRPr="005864C2">
        <w:rPr>
          <w:lang w:val="es-ES_tradnl"/>
        </w:rPr>
        <w:tab/>
        <w:t>Inspección de las obras</w:t>
      </w:r>
      <w:bookmarkEnd w:id="80"/>
      <w:bookmarkEnd w:id="81"/>
      <w:bookmarkEnd w:id="82"/>
    </w:p>
    <w:p w14:paraId="5F9DAEA8" w14:textId="77777777" w:rsidR="00177852" w:rsidRPr="00647F97" w:rsidRDefault="00177852" w:rsidP="00177852">
      <w:pPr>
        <w:pStyle w:val="NORMAL12"/>
        <w:rPr>
          <w:lang w:val="es-ES"/>
        </w:rPr>
      </w:pPr>
      <w:r w:rsidRPr="00647F97">
        <w:rPr>
          <w:lang w:val="es-ES"/>
        </w:rPr>
        <w:t xml:space="preserve">La inspección de las obras corresponde a la Administración (Demarcación de Carreteras del Estado en Asturias), a través del </w:t>
      </w:r>
      <w:proofErr w:type="gramStart"/>
      <w:r w:rsidRPr="00647F97">
        <w:rPr>
          <w:lang w:val="es-ES"/>
        </w:rPr>
        <w:t>Director</w:t>
      </w:r>
      <w:proofErr w:type="gramEnd"/>
      <w:r w:rsidRPr="00647F97">
        <w:rPr>
          <w:lang w:val="es-ES"/>
        </w:rPr>
        <w:t xml:space="preserve"> de Obra y de las personas designadas por éste.</w:t>
      </w:r>
    </w:p>
    <w:p w14:paraId="3F42450A" w14:textId="77777777" w:rsidR="00177852" w:rsidRPr="005864C2" w:rsidRDefault="00177852" w:rsidP="000313DD">
      <w:pPr>
        <w:pStyle w:val="TITU2"/>
        <w:rPr>
          <w:lang w:val="es-ES_tradnl"/>
        </w:rPr>
      </w:pPr>
      <w:bookmarkStart w:id="83" w:name="_Toc277523134"/>
      <w:bookmarkStart w:id="84" w:name="_Toc511906030"/>
      <w:bookmarkStart w:id="85" w:name="_Toc404053"/>
      <w:r w:rsidRPr="005864C2">
        <w:rPr>
          <w:lang w:val="es-ES_tradnl"/>
        </w:rPr>
        <w:t>103.3.</w:t>
      </w:r>
      <w:r w:rsidRPr="005864C2">
        <w:rPr>
          <w:lang w:val="es-ES_tradnl"/>
        </w:rPr>
        <w:tab/>
      </w:r>
      <w:r w:rsidR="001844DF">
        <w:rPr>
          <w:lang w:val="es-ES_tradnl"/>
        </w:rPr>
        <w:t xml:space="preserve"> </w:t>
      </w:r>
      <w:r w:rsidRPr="005864C2">
        <w:rPr>
          <w:lang w:val="es-ES_tradnl"/>
        </w:rPr>
        <w:t>Programa de trabajos</w:t>
      </w:r>
      <w:bookmarkEnd w:id="83"/>
      <w:bookmarkEnd w:id="84"/>
      <w:bookmarkEnd w:id="85"/>
    </w:p>
    <w:p w14:paraId="6C5F5A96" w14:textId="77777777" w:rsidR="00177852" w:rsidRPr="00647F97" w:rsidRDefault="00177852" w:rsidP="00177852">
      <w:pPr>
        <w:pStyle w:val="NORMAL12"/>
        <w:rPr>
          <w:lang w:val="es-ES"/>
        </w:rPr>
      </w:pPr>
      <w:r w:rsidRPr="00647F97">
        <w:rPr>
          <w:lang w:val="es-ES"/>
        </w:rPr>
        <w:t>En un plazo no superior a treinta (30) días desde la fecha de adjudicación definitiva, el Contratista estará obligado a presentar un Programa de Trabajos que incluirá los siguientes documentos:</w:t>
      </w:r>
    </w:p>
    <w:p w14:paraId="2123110C" w14:textId="77777777" w:rsidR="00177852" w:rsidRPr="00647F97" w:rsidRDefault="00177852" w:rsidP="00E01981">
      <w:pPr>
        <w:pStyle w:val="NORMAL12"/>
        <w:numPr>
          <w:ilvl w:val="0"/>
          <w:numId w:val="49"/>
        </w:numPr>
        <w:rPr>
          <w:lang w:val="es-ES"/>
        </w:rPr>
      </w:pPr>
      <w:r w:rsidRPr="00647F97">
        <w:rPr>
          <w:lang w:val="es-ES"/>
        </w:rPr>
        <w:t>Gráfico de barras (diagrama de Gantt), con expresión de las valoraciones de obra mensuales y al origen previstas.</w:t>
      </w:r>
    </w:p>
    <w:p w14:paraId="5951CA35" w14:textId="77777777" w:rsidR="00177852" w:rsidRPr="00647F97" w:rsidRDefault="00177852" w:rsidP="00E01981">
      <w:pPr>
        <w:pStyle w:val="NORMAL12"/>
        <w:numPr>
          <w:ilvl w:val="0"/>
          <w:numId w:val="49"/>
        </w:numPr>
        <w:rPr>
          <w:lang w:val="es-ES"/>
        </w:rPr>
      </w:pPr>
      <w:r w:rsidRPr="00647F97">
        <w:rPr>
          <w:lang w:val="es-ES"/>
        </w:rPr>
        <w:t>Desarrollo del programa por el método PERT, C.P.M. o análogo.</w:t>
      </w:r>
    </w:p>
    <w:p w14:paraId="31C72CB8" w14:textId="77777777" w:rsidR="00177852" w:rsidRPr="00647F97" w:rsidRDefault="00177852" w:rsidP="00E01981">
      <w:pPr>
        <w:pStyle w:val="NORMAL12"/>
        <w:numPr>
          <w:ilvl w:val="0"/>
          <w:numId w:val="49"/>
        </w:numPr>
        <w:rPr>
          <w:lang w:val="es-ES"/>
        </w:rPr>
      </w:pPr>
      <w:r w:rsidRPr="00647F97">
        <w:rPr>
          <w:lang w:val="es-ES"/>
        </w:rPr>
        <w:t>Descripción detallada de la forma en que se ejecutarán las diversas partes de la obra.</w:t>
      </w:r>
    </w:p>
    <w:p w14:paraId="410B640A" w14:textId="77777777" w:rsidR="00177852" w:rsidRPr="00647F97" w:rsidRDefault="00177852" w:rsidP="00E01981">
      <w:pPr>
        <w:pStyle w:val="NORMAL12"/>
        <w:numPr>
          <w:ilvl w:val="0"/>
          <w:numId w:val="49"/>
        </w:numPr>
        <w:rPr>
          <w:lang w:val="es-ES"/>
        </w:rPr>
      </w:pPr>
      <w:r w:rsidRPr="00647F97">
        <w:rPr>
          <w:lang w:val="es-ES"/>
        </w:rPr>
        <w:t>Equipos de maquinaria que serán empleados, su situación en el momento de redactar el Programa y justificación de los rendimientos de obra en función de la capacidad efectiva de las máquinas.</w:t>
      </w:r>
    </w:p>
    <w:p w14:paraId="6D099B43" w14:textId="77777777" w:rsidR="00177852" w:rsidRPr="00647F97" w:rsidRDefault="00177852" w:rsidP="00E01981">
      <w:pPr>
        <w:pStyle w:val="NORMAL12"/>
        <w:numPr>
          <w:ilvl w:val="0"/>
          <w:numId w:val="49"/>
        </w:numPr>
        <w:rPr>
          <w:lang w:val="es-ES"/>
        </w:rPr>
      </w:pPr>
      <w:r w:rsidRPr="00647F97">
        <w:rPr>
          <w:lang w:val="es-ES"/>
        </w:rPr>
        <w:t>Organización y función del personal superior, medio y operario que se destina a la ejecución de la obra, su situación actual y fecha de incorporación a la obra.</w:t>
      </w:r>
    </w:p>
    <w:p w14:paraId="24964C0F" w14:textId="77777777" w:rsidR="00177852" w:rsidRPr="00647F97" w:rsidRDefault="00177852" w:rsidP="00E01981">
      <w:pPr>
        <w:pStyle w:val="NORMAL12"/>
        <w:numPr>
          <w:ilvl w:val="0"/>
          <w:numId w:val="49"/>
        </w:numPr>
        <w:rPr>
          <w:lang w:val="es-ES"/>
        </w:rPr>
      </w:pPr>
      <w:r w:rsidRPr="00647F97">
        <w:rPr>
          <w:lang w:val="es-ES"/>
        </w:rPr>
        <w:t>Procedencia y ensayos preliminares de los materiales a emplear, ritmo de suministro y situación de los acopios.</w:t>
      </w:r>
    </w:p>
    <w:p w14:paraId="34F09286" w14:textId="77777777" w:rsidR="00177852" w:rsidRDefault="00177852" w:rsidP="00E01981">
      <w:pPr>
        <w:pStyle w:val="NORMAL12"/>
        <w:numPr>
          <w:ilvl w:val="0"/>
          <w:numId w:val="49"/>
        </w:numPr>
        <w:rPr>
          <w:lang w:val="es-ES"/>
        </w:rPr>
      </w:pPr>
      <w:r w:rsidRPr="00647F97">
        <w:rPr>
          <w:lang w:val="es-ES"/>
        </w:rPr>
        <w:t>Planos de ubicación de las instalaciones incluidas las obras auxiliares, accesos, oficinas, talleres, alojamientos, almacenes, explanadas de acopios y demás obras y medios auxiliares para la ejecución de la obra contratada, necesarios para asegurar el cumplimiento del programa de trabajos.</w:t>
      </w:r>
    </w:p>
    <w:p w14:paraId="0C31E591" w14:textId="77777777" w:rsidR="00177852" w:rsidRPr="00647F97" w:rsidRDefault="00177852" w:rsidP="00177852">
      <w:pPr>
        <w:pStyle w:val="NORMAL12"/>
        <w:rPr>
          <w:lang w:val="es-ES"/>
        </w:rPr>
      </w:pPr>
      <w:r w:rsidRPr="00647F97">
        <w:rPr>
          <w:lang w:val="es-ES"/>
        </w:rPr>
        <w:t>Este programa de trabajo deberá ser presentado, antes de la iniciación de los trabajos, a la aprobación de la Dirección de Obra, que podrá realizar las observaciones y correcciones que estime pertinentes en orden a conseguir un adecuado desarrollo de los trabajos.</w:t>
      </w:r>
    </w:p>
    <w:p w14:paraId="714098B4" w14:textId="77777777" w:rsidR="00177852" w:rsidRPr="00647F97" w:rsidRDefault="00177852" w:rsidP="00177852">
      <w:pPr>
        <w:pStyle w:val="NORMAL12"/>
        <w:rPr>
          <w:lang w:val="es-ES"/>
        </w:rPr>
      </w:pPr>
      <w:r w:rsidRPr="00647F97">
        <w:rPr>
          <w:lang w:val="es-ES"/>
        </w:rPr>
        <w:t>Una vez aprobado el programa de trabajo, se considerará, a todos los efectos, como documento básico y contractual.</w:t>
      </w:r>
    </w:p>
    <w:p w14:paraId="562F37F6" w14:textId="77777777" w:rsidR="00177852" w:rsidRPr="00647F97" w:rsidRDefault="00177852" w:rsidP="00177852">
      <w:pPr>
        <w:pStyle w:val="NORMAL12"/>
        <w:rPr>
          <w:lang w:val="es-ES"/>
        </w:rPr>
      </w:pPr>
      <w:r w:rsidRPr="00647F97">
        <w:rPr>
          <w:lang w:val="es-ES"/>
        </w:rPr>
        <w:t xml:space="preserve">El programa de trabajo deberá mantenerse en todo momento actualizado, debiéndose comprobar el cumplimiento </w:t>
      </w:r>
      <w:proofErr w:type="gramStart"/>
      <w:r w:rsidRPr="00647F97">
        <w:rPr>
          <w:lang w:val="es-ES"/>
        </w:rPr>
        <w:t>del mismo</w:t>
      </w:r>
      <w:proofErr w:type="gramEnd"/>
      <w:r w:rsidRPr="00647F97">
        <w:rPr>
          <w:lang w:val="es-ES"/>
        </w:rPr>
        <w:t xml:space="preserve"> o, en caso contrario, analizar las causas de la desviación con la Dirección de Obra y proponer las posibles soluciones.</w:t>
      </w:r>
    </w:p>
    <w:p w14:paraId="6C82BAE5" w14:textId="77777777" w:rsidR="00177852" w:rsidRPr="00647F97" w:rsidRDefault="00177852" w:rsidP="000313DD">
      <w:pPr>
        <w:pStyle w:val="TITU2"/>
        <w:rPr>
          <w:lang w:val="es-ES_tradnl"/>
        </w:rPr>
      </w:pPr>
      <w:bookmarkStart w:id="86" w:name="_Toc277523135"/>
      <w:bookmarkStart w:id="87" w:name="_Toc511906031"/>
      <w:bookmarkStart w:id="88" w:name="_Toc404054"/>
      <w:r w:rsidRPr="00647F97">
        <w:rPr>
          <w:lang w:val="es-ES_tradnl"/>
        </w:rPr>
        <w:t>103.4.</w:t>
      </w:r>
      <w:r w:rsidRPr="00647F97">
        <w:rPr>
          <w:lang w:val="es-ES_tradnl"/>
        </w:rPr>
        <w:tab/>
      </w:r>
      <w:r w:rsidR="001844DF">
        <w:rPr>
          <w:lang w:val="es-ES_tradnl"/>
        </w:rPr>
        <w:t xml:space="preserve"> </w:t>
      </w:r>
      <w:r w:rsidRPr="00647F97">
        <w:rPr>
          <w:lang w:val="es-ES_tradnl"/>
        </w:rPr>
        <w:t>Orden de iniciación de las obras</w:t>
      </w:r>
      <w:bookmarkEnd w:id="86"/>
      <w:bookmarkEnd w:id="87"/>
      <w:bookmarkEnd w:id="88"/>
    </w:p>
    <w:p w14:paraId="6E48DDEC" w14:textId="77777777" w:rsidR="00177852" w:rsidRPr="00647F97" w:rsidRDefault="00177852" w:rsidP="00177852">
      <w:pPr>
        <w:pStyle w:val="NORMAL12"/>
        <w:rPr>
          <w:lang w:val="es-ES"/>
        </w:rPr>
      </w:pPr>
      <w:r w:rsidRPr="00647F97">
        <w:rPr>
          <w:lang w:val="es-ES"/>
        </w:rPr>
        <w:t>La Dirección dará la orden de inicio de los trabajos cuando estime conveniente, teniendo en cuenta la situación de los trabajos de replanteo y la elaboración del Programa de Trabajos.</w:t>
      </w:r>
    </w:p>
    <w:p w14:paraId="7C7694F3" w14:textId="77777777" w:rsidR="00177852" w:rsidRPr="00647F97" w:rsidRDefault="00177852" w:rsidP="00177852">
      <w:pPr>
        <w:pStyle w:val="TITU1"/>
      </w:pPr>
      <w:bookmarkStart w:id="89" w:name="_Toc123104838"/>
      <w:bookmarkStart w:id="90" w:name="_Toc183257572"/>
      <w:bookmarkStart w:id="91" w:name="_Toc240349807"/>
      <w:bookmarkStart w:id="92" w:name="_Toc277523136"/>
      <w:bookmarkStart w:id="93" w:name="_Toc511906032"/>
      <w:bookmarkStart w:id="94" w:name="_Toc404055"/>
      <w:r w:rsidRPr="00647F97">
        <w:lastRenderedPageBreak/>
        <w:t>Artículo 104. Desarrollo de las obras</w:t>
      </w:r>
      <w:bookmarkEnd w:id="89"/>
      <w:bookmarkEnd w:id="90"/>
      <w:bookmarkEnd w:id="91"/>
      <w:bookmarkEnd w:id="92"/>
      <w:bookmarkEnd w:id="93"/>
      <w:bookmarkEnd w:id="94"/>
    </w:p>
    <w:p w14:paraId="6C3D35F8" w14:textId="77777777" w:rsidR="00177852" w:rsidRPr="00647F97" w:rsidRDefault="00177852" w:rsidP="000313DD">
      <w:pPr>
        <w:pStyle w:val="TITU2"/>
      </w:pPr>
      <w:bookmarkStart w:id="95" w:name="_Toc123104839"/>
      <w:bookmarkStart w:id="96" w:name="_Toc240349808"/>
      <w:bookmarkStart w:id="97" w:name="_Toc277523137"/>
      <w:bookmarkStart w:id="98" w:name="_Toc511906033"/>
      <w:bookmarkStart w:id="99" w:name="_Toc404056"/>
      <w:r w:rsidRPr="00647F97">
        <w:t xml:space="preserve">104.1. </w:t>
      </w:r>
      <w:r w:rsidRPr="00647F97">
        <w:tab/>
        <w:t>Replanteo</w:t>
      </w:r>
      <w:bookmarkEnd w:id="95"/>
      <w:bookmarkEnd w:id="96"/>
      <w:bookmarkEnd w:id="97"/>
      <w:bookmarkEnd w:id="98"/>
      <w:bookmarkEnd w:id="99"/>
    </w:p>
    <w:p w14:paraId="034C6980" w14:textId="77777777" w:rsidR="00177852" w:rsidRPr="00647F97" w:rsidRDefault="00177852" w:rsidP="00177852">
      <w:pPr>
        <w:pStyle w:val="NORMAL12"/>
        <w:rPr>
          <w:lang w:val="es-ES"/>
        </w:rPr>
      </w:pPr>
      <w:r w:rsidRPr="00647F97">
        <w:rPr>
          <w:lang w:val="es-ES"/>
        </w:rPr>
        <w:t xml:space="preserve">Será responsabilidad del Contratista y correrá así mismo por su cuenta la realización de todos los replanteos previos necesarios para la ejecución de las obras proyectadas. Dichos replanteos deberán ser aprobados por el Ingeniero </w:t>
      </w:r>
      <w:proofErr w:type="gramStart"/>
      <w:r w:rsidRPr="00647F97">
        <w:rPr>
          <w:lang w:val="es-ES"/>
        </w:rPr>
        <w:t>Director</w:t>
      </w:r>
      <w:proofErr w:type="gramEnd"/>
      <w:r w:rsidRPr="00647F97">
        <w:rPr>
          <w:lang w:val="es-ES"/>
        </w:rPr>
        <w:t xml:space="preserve"> de las Obras, el cual suministrará al Contratista toda la información de que disponga para la realización de </w:t>
      </w:r>
      <w:proofErr w:type="gramStart"/>
      <w:r w:rsidRPr="00647F97">
        <w:rPr>
          <w:lang w:val="es-ES"/>
        </w:rPr>
        <w:t>los mismos</w:t>
      </w:r>
      <w:proofErr w:type="gramEnd"/>
      <w:r w:rsidRPr="00647F97">
        <w:rPr>
          <w:lang w:val="es-ES"/>
        </w:rPr>
        <w:t>.</w:t>
      </w:r>
    </w:p>
    <w:p w14:paraId="25781776" w14:textId="77777777" w:rsidR="00177852" w:rsidRPr="00647F97" w:rsidRDefault="00177852" w:rsidP="00177852">
      <w:pPr>
        <w:pStyle w:val="NORMAL12"/>
        <w:rPr>
          <w:lang w:val="es-ES"/>
        </w:rPr>
      </w:pPr>
      <w:r w:rsidRPr="00647F97">
        <w:rPr>
          <w:lang w:val="es-ES"/>
        </w:rPr>
        <w:t>La Dirección de Obra podrá realizar, en cualquier momento, las comprobaciones de los replanteos que estime conveniente, para lo cual el Contratista prestará a su cargo la asistencia y ayuda que requiera aquélla y cuidará de que en la ejecución de las obras no interfieran tales comprobaciones, sin que por ello tenga derecho a indemnización alguna.</w:t>
      </w:r>
    </w:p>
    <w:p w14:paraId="0B28DA0C" w14:textId="77777777" w:rsidR="00177852" w:rsidRPr="00647F97" w:rsidRDefault="00177852" w:rsidP="00177852">
      <w:pPr>
        <w:pStyle w:val="NORMAL12"/>
        <w:rPr>
          <w:lang w:val="es-ES"/>
        </w:rPr>
      </w:pPr>
      <w:r w:rsidRPr="00647F97">
        <w:rPr>
          <w:lang w:val="es-ES"/>
        </w:rPr>
        <w:t xml:space="preserve">No </w:t>
      </w:r>
      <w:proofErr w:type="gramStart"/>
      <w:r w:rsidRPr="00647F97">
        <w:rPr>
          <w:lang w:val="es-ES"/>
        </w:rPr>
        <w:t>obstante</w:t>
      </w:r>
      <w:proofErr w:type="gramEnd"/>
      <w:r w:rsidRPr="00647F97">
        <w:rPr>
          <w:lang w:val="es-ES"/>
        </w:rPr>
        <w:t xml:space="preserve"> dichas comprobaciones, la responsabilidad del replanteo es del Contratista y los perjuicios que ocasionen los errores de replanteo deberán ser subsanados por cuenta y riesgo de aquél.</w:t>
      </w:r>
    </w:p>
    <w:p w14:paraId="3941B01D" w14:textId="77777777" w:rsidR="00177852" w:rsidRPr="003438AE" w:rsidRDefault="00177852" w:rsidP="000313DD">
      <w:pPr>
        <w:pStyle w:val="TITU2"/>
        <w:rPr>
          <w:lang w:val="es-ES_tradnl"/>
        </w:rPr>
      </w:pPr>
      <w:bookmarkStart w:id="100" w:name="_Toc277523138"/>
      <w:bookmarkStart w:id="101" w:name="_Toc511906034"/>
      <w:bookmarkStart w:id="102" w:name="_Toc404057"/>
      <w:r w:rsidRPr="003438AE">
        <w:rPr>
          <w:lang w:val="es-ES_tradnl"/>
        </w:rPr>
        <w:t xml:space="preserve">104.2. </w:t>
      </w:r>
      <w:r w:rsidRPr="003438AE">
        <w:rPr>
          <w:lang w:val="es-ES_tradnl"/>
        </w:rPr>
        <w:tab/>
        <w:t>Equipos de maquinaria</w:t>
      </w:r>
      <w:bookmarkEnd w:id="100"/>
      <w:bookmarkEnd w:id="101"/>
      <w:bookmarkEnd w:id="102"/>
    </w:p>
    <w:p w14:paraId="280E1364" w14:textId="77777777" w:rsidR="00177852" w:rsidRPr="003438AE" w:rsidRDefault="00177852" w:rsidP="00177852">
      <w:pPr>
        <w:pStyle w:val="NORMAL12"/>
        <w:rPr>
          <w:lang w:val="es-ES"/>
        </w:rPr>
      </w:pPr>
      <w:r w:rsidRPr="003438AE">
        <w:rPr>
          <w:lang w:val="es-ES"/>
        </w:rPr>
        <w:t>El Contratista está obligado, bajo su responsabilidad, a disponer en obra de todas las máquinas, útiles y demás medios auxiliares necesarios para la ejecución de las obras en las condiciones de calidad, capacidad y cantidad suficiente para cumplir todas las condiciones del contrato.</w:t>
      </w:r>
    </w:p>
    <w:p w14:paraId="3F0AA86A" w14:textId="77777777" w:rsidR="00177852" w:rsidRPr="003438AE" w:rsidRDefault="00177852" w:rsidP="00177852">
      <w:pPr>
        <w:pStyle w:val="NORMAL12"/>
        <w:rPr>
          <w:lang w:val="es-ES"/>
        </w:rPr>
      </w:pPr>
      <w:r w:rsidRPr="003438AE">
        <w:rPr>
          <w:lang w:val="es-ES"/>
        </w:rPr>
        <w:t>De la maquinaria y medios auxiliares que con arreglo al Programa de Trabajos se haya comprometido a tener en obra, no podrá el Contratista disponer para otros trabajos ni retirarla de la zona de obras, salvo autorización expresa de la Dirección.</w:t>
      </w:r>
    </w:p>
    <w:p w14:paraId="16EBB01E" w14:textId="77777777" w:rsidR="00177852" w:rsidRPr="003438AE" w:rsidRDefault="00177852" w:rsidP="00177852">
      <w:pPr>
        <w:pStyle w:val="NORMAL12"/>
        <w:rPr>
          <w:lang w:val="es-ES"/>
        </w:rPr>
      </w:pPr>
      <w:r w:rsidRPr="003438AE">
        <w:rPr>
          <w:lang w:val="es-ES"/>
        </w:rPr>
        <w:t>El Contratista no podrá reclamar si, en el curso de los trabajos y para el cumplimiento del contrato, se viese precisado a aumentar la importancia del equipo de maquinaria y medios auxiliares, en calidad o en cantidad, o a modificarlos respecto de sus previsiones iniciales de la oferta.</w:t>
      </w:r>
    </w:p>
    <w:p w14:paraId="6AD03EEB" w14:textId="77777777" w:rsidR="00177852" w:rsidRPr="003438AE" w:rsidRDefault="00177852" w:rsidP="00177852">
      <w:pPr>
        <w:pStyle w:val="NORMAL12"/>
        <w:rPr>
          <w:lang w:val="es-ES"/>
        </w:rPr>
      </w:pPr>
      <w:r w:rsidRPr="003438AE">
        <w:rPr>
          <w:lang w:val="es-ES"/>
        </w:rPr>
        <w:t>De cada nueva aportación de maquinaria se formalizará una relación análoga a la que forma parte del contrato, y se unirá como anexo a éste.</w:t>
      </w:r>
    </w:p>
    <w:p w14:paraId="520ABD46" w14:textId="77777777" w:rsidR="00177852" w:rsidRPr="003438AE" w:rsidRDefault="00177852" w:rsidP="000313DD">
      <w:pPr>
        <w:pStyle w:val="TITU2"/>
        <w:rPr>
          <w:lang w:val="es-ES_tradnl"/>
        </w:rPr>
      </w:pPr>
      <w:bookmarkStart w:id="103" w:name="_Toc123104840"/>
      <w:bookmarkStart w:id="104" w:name="_Toc240349809"/>
      <w:bookmarkStart w:id="105" w:name="_Toc277523139"/>
      <w:bookmarkStart w:id="106" w:name="_Toc511906035"/>
      <w:bookmarkStart w:id="107" w:name="_Toc404058"/>
      <w:r w:rsidRPr="003438AE">
        <w:rPr>
          <w:lang w:val="es-ES_tradnl"/>
        </w:rPr>
        <w:t xml:space="preserve">104.3. </w:t>
      </w:r>
      <w:r w:rsidR="00BE2E81">
        <w:rPr>
          <w:lang w:val="es-ES_tradnl"/>
        </w:rPr>
        <w:t xml:space="preserve">  </w:t>
      </w:r>
      <w:r w:rsidRPr="003438AE">
        <w:rPr>
          <w:lang w:val="es-ES_tradnl"/>
        </w:rPr>
        <w:t>Ensayos</w:t>
      </w:r>
      <w:bookmarkEnd w:id="103"/>
      <w:bookmarkEnd w:id="104"/>
      <w:bookmarkEnd w:id="105"/>
      <w:bookmarkEnd w:id="106"/>
      <w:bookmarkEnd w:id="107"/>
    </w:p>
    <w:p w14:paraId="010C02AC" w14:textId="77777777" w:rsidR="00177852" w:rsidRPr="003438AE" w:rsidRDefault="00177852" w:rsidP="00D81C53">
      <w:pPr>
        <w:pStyle w:val="TITU3"/>
        <w:numPr>
          <w:ilvl w:val="0"/>
          <w:numId w:val="0"/>
        </w:numPr>
        <w:outlineLvl w:val="3"/>
      </w:pPr>
      <w:bookmarkStart w:id="108" w:name="_Toc123104841"/>
      <w:bookmarkStart w:id="109" w:name="_Toc240349810"/>
      <w:bookmarkStart w:id="110" w:name="_Toc277523140"/>
      <w:r w:rsidRPr="003438AE">
        <w:t>104.3.1. Aseguramiento de la calidad de las obras por parte del Contratista</w:t>
      </w:r>
      <w:bookmarkEnd w:id="108"/>
      <w:bookmarkEnd w:id="109"/>
      <w:bookmarkEnd w:id="110"/>
    </w:p>
    <w:p w14:paraId="44CF249A" w14:textId="77777777" w:rsidR="00177852" w:rsidRPr="003438AE" w:rsidRDefault="00177852" w:rsidP="00177852">
      <w:pPr>
        <w:pStyle w:val="NORMAL12"/>
        <w:rPr>
          <w:lang w:val="es-ES"/>
        </w:rPr>
      </w:pPr>
      <w:r w:rsidRPr="003438AE">
        <w:rPr>
          <w:lang w:val="es-ES"/>
        </w:rPr>
        <w:t>El Contratista está obligado a realizar su Plan de Aseguramiento de la Calidad de las Obras y para su redacción se basará en la normativa de aplicación.</w:t>
      </w:r>
    </w:p>
    <w:p w14:paraId="59BBF08D" w14:textId="77777777" w:rsidR="00177852" w:rsidRPr="003438AE" w:rsidRDefault="00177852" w:rsidP="00177852">
      <w:pPr>
        <w:pStyle w:val="NORMAL12"/>
        <w:rPr>
          <w:lang w:val="es-ES"/>
        </w:rPr>
      </w:pPr>
      <w:r w:rsidRPr="003438AE">
        <w:rPr>
          <w:lang w:val="es-ES"/>
        </w:rPr>
        <w:t>Establecerá en la obra un conjunto de acciones, planificadas, sistemáticas y formalizadas que le capaciten para:</w:t>
      </w:r>
    </w:p>
    <w:p w14:paraId="1A0836E7" w14:textId="77777777" w:rsidR="00177852" w:rsidRPr="003438AE" w:rsidRDefault="00177852" w:rsidP="00E01981">
      <w:pPr>
        <w:pStyle w:val="NORMAL12"/>
        <w:numPr>
          <w:ilvl w:val="0"/>
          <w:numId w:val="50"/>
        </w:numPr>
        <w:rPr>
          <w:lang w:val="es-ES"/>
        </w:rPr>
      </w:pPr>
      <w:r w:rsidRPr="003438AE">
        <w:rPr>
          <w:lang w:val="es-ES"/>
        </w:rPr>
        <w:t>Desarrollar unos métodos de ejecución que le permitan integrar la calidad en el sistema de ejecución de la obra.</w:t>
      </w:r>
    </w:p>
    <w:p w14:paraId="482F020D" w14:textId="77777777" w:rsidR="00177852" w:rsidRPr="003438AE" w:rsidRDefault="00177852" w:rsidP="00E01981">
      <w:pPr>
        <w:pStyle w:val="NORMAL12"/>
        <w:numPr>
          <w:ilvl w:val="0"/>
          <w:numId w:val="50"/>
        </w:numPr>
        <w:rPr>
          <w:lang w:val="es-ES"/>
        </w:rPr>
      </w:pPr>
      <w:r w:rsidRPr="003438AE">
        <w:rPr>
          <w:lang w:val="es-ES"/>
        </w:rPr>
        <w:t>Establecer los métodos de verificación, que permitan a la empresa demostrar que puede obtener la calidad.</w:t>
      </w:r>
    </w:p>
    <w:p w14:paraId="4E6E8729" w14:textId="77777777" w:rsidR="00177852" w:rsidRPr="003438AE" w:rsidRDefault="00177852" w:rsidP="00177852">
      <w:pPr>
        <w:pStyle w:val="NORMAL12"/>
        <w:rPr>
          <w:lang w:val="es-ES"/>
        </w:rPr>
      </w:pPr>
      <w:r w:rsidRPr="003438AE">
        <w:rPr>
          <w:lang w:val="es-ES"/>
        </w:rPr>
        <w:t xml:space="preserve">Se entiende que no se comunicará a la Administración representada por el Ingeniero </w:t>
      </w:r>
      <w:proofErr w:type="gramStart"/>
      <w:r w:rsidRPr="003438AE">
        <w:rPr>
          <w:lang w:val="es-ES"/>
        </w:rPr>
        <w:t>Director</w:t>
      </w:r>
      <w:proofErr w:type="gramEnd"/>
      <w:r w:rsidRPr="003438AE">
        <w:rPr>
          <w:lang w:val="es-ES"/>
        </w:rPr>
        <w:t xml:space="preserve"> de la obra o a persona delegada por el mismo al efecto, que una unidad de obra está terminada a juicio del Contratista para su comprobación por el </w:t>
      </w:r>
      <w:proofErr w:type="gramStart"/>
      <w:r w:rsidRPr="003438AE">
        <w:rPr>
          <w:lang w:val="es-ES"/>
        </w:rPr>
        <w:t>Director</w:t>
      </w:r>
      <w:proofErr w:type="gramEnd"/>
      <w:r w:rsidRPr="003438AE">
        <w:rPr>
          <w:lang w:val="es-ES"/>
        </w:rPr>
        <w:t xml:space="preserve"> de obra, hasta que el mismo Contratista, mediante su personal facultado para el caso, haya hecho sus propias comprobaciones y ensayos con objeto de cumplir las especificaciones. Esto es sin perjuicio de que la Dirección de la obra pueda hacer las inspecciones y pruebas que crea oportunas en cualquier momento de la ejecución. Para ello, el Contratista está obligado a disponer en obra de los equipos necesarios y suficientes, tanto materiales de laboratorio, instalaciones, aparatos, </w:t>
      </w:r>
      <w:proofErr w:type="spellStart"/>
      <w:r w:rsidRPr="003438AE">
        <w:rPr>
          <w:lang w:val="es-ES"/>
        </w:rPr>
        <w:t>etc</w:t>
      </w:r>
      <w:proofErr w:type="spellEnd"/>
      <w:r w:rsidRPr="003438AE">
        <w:rPr>
          <w:lang w:val="es-ES"/>
        </w:rPr>
        <w:t>, como humanos con facultativos y auxiliares, capacitados para dichas mediciones y ensayos. Se llamará a esta operación "aseguramiento de la calidad". Los ensayos serán enteramente a cargo del Contratista.</w:t>
      </w:r>
    </w:p>
    <w:p w14:paraId="014412F4" w14:textId="77777777" w:rsidR="00177852" w:rsidRPr="003438AE" w:rsidRDefault="00177852" w:rsidP="00177852">
      <w:pPr>
        <w:pStyle w:val="NORMAL12"/>
        <w:rPr>
          <w:lang w:val="es-ES"/>
        </w:rPr>
      </w:pPr>
      <w:r w:rsidRPr="003438AE">
        <w:rPr>
          <w:lang w:val="es-ES"/>
        </w:rPr>
        <w:t>Después de que el Contratista prevea con sus ensayos y mediciones que en un tramo que una unidad de obra está terminada y cumple las especificaciones, lo comunicará a la Dirección de Obra para que ésta pueda proceder a sus mediciones y ensayos de contraste, para lo que prestará las máximas facilidades.</w:t>
      </w:r>
    </w:p>
    <w:p w14:paraId="2B97D310" w14:textId="77777777" w:rsidR="00177852" w:rsidRPr="003438AE" w:rsidRDefault="00177852" w:rsidP="00D81C53">
      <w:pPr>
        <w:pStyle w:val="TITU3"/>
        <w:numPr>
          <w:ilvl w:val="0"/>
          <w:numId w:val="0"/>
        </w:numPr>
        <w:outlineLvl w:val="3"/>
      </w:pPr>
      <w:bookmarkStart w:id="111" w:name="_Toc123104842"/>
      <w:bookmarkStart w:id="112" w:name="_Toc240349811"/>
      <w:bookmarkStart w:id="113" w:name="_Toc277523141"/>
      <w:r w:rsidRPr="003438AE">
        <w:t>104.3.2. Control de la Dirección</w:t>
      </w:r>
      <w:bookmarkEnd w:id="111"/>
      <w:bookmarkEnd w:id="112"/>
      <w:bookmarkEnd w:id="113"/>
    </w:p>
    <w:p w14:paraId="7A88DE08" w14:textId="77777777" w:rsidR="00177852" w:rsidRPr="003438AE" w:rsidRDefault="00177852" w:rsidP="00177852">
      <w:pPr>
        <w:pStyle w:val="NORMAL12"/>
        <w:rPr>
          <w:lang w:val="es-ES"/>
        </w:rPr>
      </w:pPr>
      <w:r w:rsidRPr="003438AE">
        <w:rPr>
          <w:lang w:val="es-ES"/>
        </w:rPr>
        <w:t xml:space="preserve">Con independencia de lo anterior, la Dirección de Obra ejecutará las comprobaciones, mediciones y ensayos que estime oportunos, que llamaremos “de contraste", a diferencia del </w:t>
      </w:r>
      <w:r w:rsidRPr="003438AE">
        <w:rPr>
          <w:i/>
          <w:lang w:val="es-ES"/>
        </w:rPr>
        <w:t>aseguramiento de la calidad</w:t>
      </w:r>
      <w:r w:rsidRPr="003438AE">
        <w:rPr>
          <w:lang w:val="es-ES"/>
        </w:rPr>
        <w:t xml:space="preserve">. El Ingeniero </w:t>
      </w:r>
      <w:proofErr w:type="gramStart"/>
      <w:r w:rsidRPr="003438AE">
        <w:rPr>
          <w:lang w:val="es-ES"/>
        </w:rPr>
        <w:t>Director</w:t>
      </w:r>
      <w:proofErr w:type="gramEnd"/>
      <w:r w:rsidRPr="003438AE">
        <w:rPr>
          <w:lang w:val="es-ES"/>
        </w:rPr>
        <w:t xml:space="preserve"> podrá prohibir la ejecución de una unidad de obra si no están disponibles los procedimientos de ejecución para la misma, </w:t>
      </w:r>
      <w:r w:rsidRPr="003438AE">
        <w:rPr>
          <w:lang w:val="es-ES"/>
        </w:rPr>
        <w:lastRenderedPageBreak/>
        <w:t>siendo entera responsabilidad del Contratista las eventuales consecuencias de demora, costes, etc.</w:t>
      </w:r>
    </w:p>
    <w:p w14:paraId="6FBAE0B6" w14:textId="77777777" w:rsidR="00177852" w:rsidRPr="003438AE" w:rsidRDefault="00177852" w:rsidP="00177852">
      <w:pPr>
        <w:pStyle w:val="NORMAL12"/>
        <w:rPr>
          <w:lang w:val="es-ES"/>
        </w:rPr>
      </w:pPr>
      <w:r w:rsidRPr="003438AE">
        <w:rPr>
          <w:lang w:val="es-ES"/>
        </w:rPr>
        <w:t xml:space="preserve">El Contratista está obligado al abono de los gastos que se originen por control de calidad a realizar por la Dirección de Obra, hasta el importe </w:t>
      </w:r>
      <w:r w:rsidR="003438AE" w:rsidRPr="003438AE">
        <w:rPr>
          <w:lang w:val="es-ES"/>
        </w:rPr>
        <w:t xml:space="preserve">equivalente al uno (1) por ciento, del Presupuesto de ejecución Material del Proyecto, sin tener en cuenta la baja de adjudicación, salvo que en el Contrato se disponga otra cosa. </w:t>
      </w:r>
      <w:r w:rsidRPr="003438AE">
        <w:rPr>
          <w:lang w:val="es-ES"/>
        </w:rPr>
        <w:t xml:space="preserve"> </w:t>
      </w:r>
    </w:p>
    <w:p w14:paraId="6F4B9BD4" w14:textId="77777777" w:rsidR="00177852" w:rsidRPr="003438AE" w:rsidRDefault="00177852" w:rsidP="00177852">
      <w:pPr>
        <w:pStyle w:val="NORMAL12"/>
        <w:rPr>
          <w:lang w:val="es-ES"/>
        </w:rPr>
      </w:pPr>
      <w:r w:rsidRPr="003438AE">
        <w:rPr>
          <w:lang w:val="es-ES"/>
        </w:rPr>
        <w:t>Estos gastos corresponden al abono, por parte del Contratista, de los ensayos de contraste a realizar por la Dirección de Obra y, en ningún caso, incluyen los ensayos de aseguramiento de la calidad propios del autocontrol del Contratista, que corren íntegramente por su cuenta.</w:t>
      </w:r>
    </w:p>
    <w:p w14:paraId="42A5FBA4" w14:textId="77777777" w:rsidR="00177852" w:rsidRPr="00D14AE9" w:rsidRDefault="00177852" w:rsidP="00D81C53">
      <w:pPr>
        <w:pStyle w:val="TITU3"/>
        <w:numPr>
          <w:ilvl w:val="0"/>
          <w:numId w:val="0"/>
        </w:numPr>
        <w:outlineLvl w:val="3"/>
      </w:pPr>
      <w:bookmarkStart w:id="114" w:name="_Toc277523142"/>
      <w:r w:rsidRPr="00D14AE9">
        <w:t>104.3.3. Número de ensayos</w:t>
      </w:r>
      <w:bookmarkEnd w:id="114"/>
    </w:p>
    <w:p w14:paraId="74B3A482" w14:textId="77777777" w:rsidR="00177852" w:rsidRPr="00C5223B" w:rsidRDefault="00177852" w:rsidP="00177852">
      <w:pPr>
        <w:pStyle w:val="NORMAL12"/>
        <w:rPr>
          <w:lang w:val="es-ES"/>
        </w:rPr>
      </w:pPr>
      <w:r w:rsidRPr="00C5223B">
        <w:rPr>
          <w:lang w:val="es-ES"/>
        </w:rPr>
        <w:t xml:space="preserve">El número de ensayos, clase y frecuencia, tanto sobre materiales como sobre unidades de obra terminadas, será fijado </w:t>
      </w:r>
      <w:r w:rsidR="00457FF3" w:rsidRPr="00C5223B">
        <w:rPr>
          <w:lang w:val="es-ES"/>
        </w:rPr>
        <w:t xml:space="preserve">en el presente el pliego. El </w:t>
      </w:r>
      <w:r w:rsidRPr="00C5223B">
        <w:rPr>
          <w:lang w:val="es-ES"/>
        </w:rPr>
        <w:t xml:space="preserve">Ingeniero </w:t>
      </w:r>
      <w:proofErr w:type="gramStart"/>
      <w:r w:rsidRPr="00C5223B">
        <w:rPr>
          <w:lang w:val="es-ES"/>
        </w:rPr>
        <w:t>Director</w:t>
      </w:r>
      <w:proofErr w:type="gramEnd"/>
      <w:r w:rsidRPr="00C5223B">
        <w:rPr>
          <w:lang w:val="es-ES"/>
        </w:rPr>
        <w:t xml:space="preserve"> </w:t>
      </w:r>
      <w:r w:rsidR="00457FF3" w:rsidRPr="00C5223B">
        <w:rPr>
          <w:lang w:val="es-ES"/>
        </w:rPr>
        <w:t xml:space="preserve">podrá modificar la realización y número de </w:t>
      </w:r>
      <w:proofErr w:type="gramStart"/>
      <w:r w:rsidR="00457FF3" w:rsidRPr="00C5223B">
        <w:rPr>
          <w:lang w:val="es-ES"/>
        </w:rPr>
        <w:t>los mismos</w:t>
      </w:r>
      <w:proofErr w:type="gramEnd"/>
      <w:r w:rsidR="00457FF3" w:rsidRPr="00C5223B">
        <w:rPr>
          <w:lang w:val="es-ES"/>
        </w:rPr>
        <w:t xml:space="preserve"> </w:t>
      </w:r>
      <w:r w:rsidRPr="00C5223B">
        <w:rPr>
          <w:lang w:val="es-ES"/>
        </w:rPr>
        <w:t>teniendo en cuenta lo establecido en la normativa técnica vigente y en las circunstancias de obra.</w:t>
      </w:r>
    </w:p>
    <w:p w14:paraId="2ABAF894" w14:textId="77777777" w:rsidR="00177852" w:rsidRPr="003438AE" w:rsidRDefault="00177852" w:rsidP="00177852">
      <w:pPr>
        <w:pStyle w:val="NORMAL12"/>
        <w:rPr>
          <w:lang w:val="es-ES"/>
        </w:rPr>
      </w:pPr>
      <w:r w:rsidRPr="00C5223B">
        <w:rPr>
          <w:lang w:val="es-ES"/>
        </w:rPr>
        <w:t xml:space="preserve">De forma general, la posesión de la marca de calidad que acredita la conformidad de un determinado producto con la normativa UNE de aplicación, exime de la necesidad de realizar los controles de recepción previstos en este Pliego. Bastará con que cada suministro de este determinado producto se acompañe del certificado acreditativo de la </w:t>
      </w:r>
      <w:r w:rsidR="00C5223B">
        <w:rPr>
          <w:lang w:val="es-ES"/>
        </w:rPr>
        <w:t xml:space="preserve">posesión de la marca de calidad, siempre y cuando el </w:t>
      </w:r>
      <w:proofErr w:type="gramStart"/>
      <w:r w:rsidR="00C5223B">
        <w:rPr>
          <w:lang w:val="es-ES"/>
        </w:rPr>
        <w:t>Director</w:t>
      </w:r>
      <w:proofErr w:type="gramEnd"/>
      <w:r w:rsidR="00C5223B">
        <w:rPr>
          <w:lang w:val="es-ES"/>
        </w:rPr>
        <w:t xml:space="preserve"> de Obra no exija la realización de </w:t>
      </w:r>
      <w:proofErr w:type="gramStart"/>
      <w:r w:rsidR="00C5223B">
        <w:rPr>
          <w:lang w:val="es-ES"/>
        </w:rPr>
        <w:t>los mismos</w:t>
      </w:r>
      <w:proofErr w:type="gramEnd"/>
      <w:r w:rsidR="00C5223B">
        <w:rPr>
          <w:lang w:val="es-ES"/>
        </w:rPr>
        <w:t>.</w:t>
      </w:r>
    </w:p>
    <w:p w14:paraId="61DF083A" w14:textId="77777777" w:rsidR="00177852" w:rsidRPr="003438AE" w:rsidRDefault="00177852" w:rsidP="00177852">
      <w:pPr>
        <w:pStyle w:val="NORMAL12"/>
        <w:rPr>
          <w:lang w:val="es-ES"/>
        </w:rPr>
      </w:pPr>
      <w:r w:rsidRPr="003438AE">
        <w:rPr>
          <w:lang w:val="es-ES"/>
        </w:rPr>
        <w:t xml:space="preserve">En relación </w:t>
      </w:r>
      <w:r w:rsidRPr="003327CC">
        <w:rPr>
          <w:lang w:val="es-ES"/>
        </w:rPr>
        <w:t>con los productos importados de otros estados miembros de la Unión Europea, a</w:t>
      </w:r>
      <w:r w:rsidR="003438AE" w:rsidRPr="003327CC">
        <w:rPr>
          <w:lang w:val="es-ES"/>
        </w:rPr>
        <w:t>u</w:t>
      </w:r>
      <w:r w:rsidRPr="003327CC">
        <w:rPr>
          <w:lang w:val="es-ES"/>
        </w:rPr>
        <w:t>n cuando su designación y, eventualmente, su marcaje fuera distinto de lo indicado en el presente Pliego, no será precisa la realización de nuevos ensayos si de los documentos que acompañaren a dichos productos se desprendiera claramente</w:t>
      </w:r>
      <w:r w:rsidRPr="003438AE">
        <w:rPr>
          <w:lang w:val="es-ES"/>
        </w:rPr>
        <w:t xml:space="preserve"> que se trata, efectivamente, de productos idénticos a los que se designan en España de otra forma.</w:t>
      </w:r>
    </w:p>
    <w:p w14:paraId="444B7755" w14:textId="77777777" w:rsidR="00177852" w:rsidRPr="003438AE" w:rsidRDefault="00177852" w:rsidP="00177852">
      <w:pPr>
        <w:pStyle w:val="NORMAL12"/>
        <w:rPr>
          <w:lang w:val="es-ES"/>
        </w:rPr>
      </w:pPr>
      <w:r w:rsidRPr="003438AE">
        <w:rPr>
          <w:lang w:val="es-ES"/>
        </w:rPr>
        <w:t>Se tendrán en cuenta, para ello, los resultados de los ensayos que hubieran realizado las autoridades competentes de los citados Estados, con arreglo a sus propias normas.</w:t>
      </w:r>
    </w:p>
    <w:p w14:paraId="1E2DBEB0" w14:textId="77777777" w:rsidR="00177852" w:rsidRPr="005864C2" w:rsidRDefault="00177852" w:rsidP="00177852">
      <w:pPr>
        <w:pStyle w:val="NORMAL12"/>
        <w:rPr>
          <w:color w:val="365F91" w:themeColor="accent1" w:themeShade="BF"/>
          <w:lang w:val="es-ES"/>
        </w:rPr>
      </w:pPr>
      <w:r w:rsidRPr="003438AE">
        <w:rPr>
          <w:lang w:val="es-ES"/>
        </w:rPr>
        <w:t xml:space="preserve">Si una partida fuere identificable, y el Contratista presentase una hoja de ensayos suscrita por un laboratorio aceptado por el Ministerio de Fomento, o por otro Laboratorio de </w:t>
      </w:r>
      <w:r w:rsidRPr="003438AE">
        <w:rPr>
          <w:lang w:val="es-ES"/>
        </w:rPr>
        <w:t>pruebas u Organismo de control o certificación acreditado en un Estado miembro de la Unión Europea, sobre la base de las prescripciones técnicas correspondientes, se efectuarán únicamente los ensayos que sean precisos para comprobar que el producto no ha sido alterado durante los procesos posteriores a la realización de dichos ensayos.</w:t>
      </w:r>
    </w:p>
    <w:p w14:paraId="5BF9325D" w14:textId="77777777" w:rsidR="00177852" w:rsidRPr="005864C2" w:rsidRDefault="00177852" w:rsidP="000313DD">
      <w:pPr>
        <w:pStyle w:val="TITU2"/>
      </w:pPr>
      <w:bookmarkStart w:id="115" w:name="_Toc123104843"/>
      <w:bookmarkStart w:id="116" w:name="_Toc240349812"/>
      <w:bookmarkStart w:id="117" w:name="_Toc277523143"/>
      <w:bookmarkStart w:id="118" w:name="_Toc511906036"/>
      <w:bookmarkStart w:id="119" w:name="_Toc404059"/>
      <w:r w:rsidRPr="005864C2">
        <w:t xml:space="preserve">104.4. </w:t>
      </w:r>
      <w:r w:rsidR="00BE2E81">
        <w:t xml:space="preserve">  </w:t>
      </w:r>
      <w:r w:rsidRPr="005864C2">
        <w:t>Materiales</w:t>
      </w:r>
      <w:bookmarkEnd w:id="115"/>
      <w:bookmarkEnd w:id="116"/>
      <w:bookmarkEnd w:id="117"/>
      <w:bookmarkEnd w:id="118"/>
      <w:bookmarkEnd w:id="119"/>
    </w:p>
    <w:p w14:paraId="020DFE1E" w14:textId="77777777" w:rsidR="00177852" w:rsidRPr="00C5223B" w:rsidRDefault="00177852" w:rsidP="00177852">
      <w:pPr>
        <w:pStyle w:val="NORMAL12"/>
        <w:rPr>
          <w:lang w:val="es-ES"/>
        </w:rPr>
      </w:pPr>
      <w:r w:rsidRPr="00C5223B">
        <w:rPr>
          <w:lang w:val="es-ES"/>
        </w:rPr>
        <w:t>Los materiales deberán cumplir las condiciones que se determinan en el Pliego de Prescripciones Técnicas Generales para obras de carreteras y puentes, PG-3/75 y en el Pliego de Prescripciones Técnicas Particulares</w:t>
      </w:r>
      <w:r w:rsidR="00504EC6" w:rsidRPr="00C5223B">
        <w:rPr>
          <w:lang w:val="es-ES"/>
        </w:rPr>
        <w:t xml:space="preserve">, así como toda la normativa </w:t>
      </w:r>
      <w:r w:rsidR="00BC0A19">
        <w:rPr>
          <w:lang w:val="es-ES"/>
        </w:rPr>
        <w:t xml:space="preserve">e instrucciones técnicas </w:t>
      </w:r>
      <w:r w:rsidR="00504EC6" w:rsidRPr="00C5223B">
        <w:rPr>
          <w:lang w:val="es-ES"/>
        </w:rPr>
        <w:t>vigente</w:t>
      </w:r>
      <w:r w:rsidR="00BC0A19">
        <w:rPr>
          <w:lang w:val="es-ES"/>
        </w:rPr>
        <w:t>s</w:t>
      </w:r>
      <w:r w:rsidR="00504EC6" w:rsidRPr="00C5223B">
        <w:rPr>
          <w:lang w:val="es-ES"/>
        </w:rPr>
        <w:t xml:space="preserve"> de aplicación, siempre y cuando </w:t>
      </w:r>
      <w:r w:rsidR="00C10376" w:rsidRPr="00C5223B">
        <w:rPr>
          <w:lang w:val="es-ES"/>
        </w:rPr>
        <w:t xml:space="preserve">no </w:t>
      </w:r>
      <w:r w:rsidR="00504EC6" w:rsidRPr="00C5223B">
        <w:rPr>
          <w:lang w:val="es-ES"/>
        </w:rPr>
        <w:t>sean contrarios a lo prescrito en este Pliego.</w:t>
      </w:r>
    </w:p>
    <w:p w14:paraId="6DDA80B0" w14:textId="77777777" w:rsidR="00177852" w:rsidRPr="003438AE" w:rsidRDefault="00177852" w:rsidP="00177852">
      <w:pPr>
        <w:pStyle w:val="NORMAL12"/>
        <w:rPr>
          <w:lang w:val="es-ES"/>
        </w:rPr>
      </w:pPr>
      <w:r w:rsidRPr="003438AE">
        <w:rPr>
          <w:lang w:val="es-ES"/>
        </w:rPr>
        <w:t xml:space="preserve">Los datos que figuran en el presente Proyecto sobre posibilidad de empleo de materiales en las distintas unidades de </w:t>
      </w:r>
      <w:proofErr w:type="gramStart"/>
      <w:r w:rsidRPr="003438AE">
        <w:rPr>
          <w:lang w:val="es-ES"/>
        </w:rPr>
        <w:t>obra,</w:t>
      </w:r>
      <w:proofErr w:type="gramEnd"/>
      <w:r w:rsidRPr="003438AE">
        <w:rPr>
          <w:lang w:val="es-ES"/>
        </w:rPr>
        <w:t xml:space="preserve"> no tienen carácter contractual. Por </w:t>
      </w:r>
      <w:proofErr w:type="gramStart"/>
      <w:r w:rsidRPr="003438AE">
        <w:rPr>
          <w:lang w:val="es-ES"/>
        </w:rPr>
        <w:t>tanto</w:t>
      </w:r>
      <w:proofErr w:type="gramEnd"/>
      <w:r w:rsidRPr="003438AE">
        <w:rPr>
          <w:lang w:val="es-ES"/>
        </w:rPr>
        <w:t xml:space="preserve"> el Contratista no está obligado a utilizar materiales de dichas </w:t>
      </w:r>
      <w:r w:rsidRPr="00C5223B">
        <w:rPr>
          <w:lang w:val="es-ES"/>
        </w:rPr>
        <w:t xml:space="preserve">procedencias y su utilización no libera al Contratista, en ningún caso, de la obligación de que los materiales </w:t>
      </w:r>
      <w:r w:rsidR="00504EC6" w:rsidRPr="00C5223B">
        <w:rPr>
          <w:lang w:val="es-ES"/>
        </w:rPr>
        <w:t xml:space="preserve">empleados </w:t>
      </w:r>
      <w:r w:rsidRPr="00C5223B">
        <w:rPr>
          <w:lang w:val="es-ES"/>
        </w:rPr>
        <w:t>cumplan</w:t>
      </w:r>
      <w:r w:rsidRPr="003438AE">
        <w:rPr>
          <w:lang w:val="es-ES"/>
        </w:rPr>
        <w:t xml:space="preserve"> las condiciones exigidas, condiciones que habrán de comprobarse siempre mediante los ensayos correspondientes.</w:t>
      </w:r>
    </w:p>
    <w:p w14:paraId="7287DE31" w14:textId="77777777" w:rsidR="00177852" w:rsidRPr="003438AE" w:rsidRDefault="00177852" w:rsidP="00177852">
      <w:pPr>
        <w:pStyle w:val="NORMAL12"/>
        <w:rPr>
          <w:lang w:val="es-ES"/>
        </w:rPr>
      </w:pPr>
      <w:r w:rsidRPr="003438AE">
        <w:rPr>
          <w:lang w:val="es-ES"/>
        </w:rPr>
        <w:t>La Administración no asume la responsabilidad de asegurar que el Contratista encuentre en los lugares de procedencia indicados, materiales adecuados o seleccionados en cantidad suficiente para las obras en el momento de su ejecución.</w:t>
      </w:r>
    </w:p>
    <w:p w14:paraId="6163F11D" w14:textId="77777777" w:rsidR="00177852" w:rsidRPr="003438AE" w:rsidRDefault="00177852" w:rsidP="00177852">
      <w:pPr>
        <w:pStyle w:val="NORMAL12"/>
        <w:rPr>
          <w:lang w:val="es-ES"/>
        </w:rPr>
      </w:pPr>
      <w:r w:rsidRPr="003438AE">
        <w:rPr>
          <w:lang w:val="es-ES"/>
        </w:rPr>
        <w:t>Por tanto, todos los materiales procederán de los lugares elegidos por el Contratista, que podrán ser los propuestos en este proyecto u otros diferentes, siempre que los materiales sean de calidad igual o superior a los exigidos en este Pliego.</w:t>
      </w:r>
    </w:p>
    <w:p w14:paraId="5225D45A" w14:textId="77777777" w:rsidR="00177852" w:rsidRPr="003438AE" w:rsidRDefault="00177852" w:rsidP="00177852">
      <w:pPr>
        <w:pStyle w:val="NORMAL12"/>
        <w:rPr>
          <w:lang w:val="es-ES"/>
        </w:rPr>
      </w:pPr>
      <w:r w:rsidRPr="003438AE">
        <w:rPr>
          <w:lang w:val="es-ES"/>
        </w:rPr>
        <w:t xml:space="preserve">Los lugares propuestos por el Contratista han de ser necesariamente autorizados por el Ingeniero </w:t>
      </w:r>
      <w:proofErr w:type="gramStart"/>
      <w:r w:rsidRPr="003438AE">
        <w:rPr>
          <w:lang w:val="es-ES"/>
        </w:rPr>
        <w:t>Director</w:t>
      </w:r>
      <w:proofErr w:type="gramEnd"/>
      <w:r w:rsidRPr="003438AE">
        <w:rPr>
          <w:lang w:val="es-ES"/>
        </w:rPr>
        <w:t xml:space="preserve"> y demás organismos medioambientales afectados.</w:t>
      </w:r>
    </w:p>
    <w:p w14:paraId="10507357" w14:textId="77777777" w:rsidR="00177852" w:rsidRPr="003438AE" w:rsidRDefault="00177852" w:rsidP="00177852">
      <w:pPr>
        <w:pStyle w:val="NORMAL12"/>
        <w:rPr>
          <w:lang w:val="es-ES"/>
        </w:rPr>
      </w:pPr>
      <w:r w:rsidRPr="003438AE">
        <w:rPr>
          <w:lang w:val="es-ES"/>
        </w:rPr>
        <w:t>Los productos importados de otros Estados miembros de la Unión Europea, incluso si se hubieran fabricado con arreglo a prescripciones técnicas diferentes de las que se contienen en el presente pliego, podrán utilizarse si asegurasen un nivel de protección de la seguridad de los usuarios equivalente al que proporcionan éstas.</w:t>
      </w:r>
    </w:p>
    <w:p w14:paraId="796580A2" w14:textId="77777777" w:rsidR="00177852" w:rsidRPr="003438AE" w:rsidRDefault="00177852" w:rsidP="00177852">
      <w:pPr>
        <w:pStyle w:val="NORMAL12"/>
      </w:pPr>
      <w:r w:rsidRPr="003438AE">
        <w:rPr>
          <w:lang w:val="es-ES"/>
        </w:rPr>
        <w:t xml:space="preserve">El transporte no será objeto, en general, de medición y abono independiente (salvo que así se </w:t>
      </w:r>
      <w:proofErr w:type="gramStart"/>
      <w:r w:rsidRPr="003438AE">
        <w:rPr>
          <w:lang w:val="es-ES"/>
        </w:rPr>
        <w:t>especificara</w:t>
      </w:r>
      <w:proofErr w:type="gramEnd"/>
      <w:r w:rsidRPr="003438AE">
        <w:rPr>
          <w:lang w:val="es-ES"/>
        </w:rPr>
        <w:t xml:space="preserve"> en las condiciones de medición y abono de las distintas unidades de obra) pues se considera incluido en los precios de todos los materiales y unidades de </w:t>
      </w:r>
      <w:r w:rsidRPr="003438AE">
        <w:rPr>
          <w:lang w:val="es-ES"/>
        </w:rPr>
        <w:lastRenderedPageBreak/>
        <w:t>obra, cualquiera que sea el punto de procedencia de los materiales y la distancia de transporte.</w:t>
      </w:r>
    </w:p>
    <w:p w14:paraId="4604B140" w14:textId="77777777" w:rsidR="00177852" w:rsidRPr="005864C2" w:rsidRDefault="00177852" w:rsidP="000313DD">
      <w:pPr>
        <w:pStyle w:val="TITU2"/>
      </w:pPr>
      <w:bookmarkStart w:id="120" w:name="_Toc277523144"/>
      <w:bookmarkStart w:id="121" w:name="_Toc511906037"/>
      <w:bookmarkStart w:id="122" w:name="_Toc404060"/>
      <w:r w:rsidRPr="005864C2">
        <w:t>104.5.</w:t>
      </w:r>
      <w:r w:rsidRPr="005864C2">
        <w:tab/>
      </w:r>
      <w:r w:rsidR="001844DF">
        <w:t xml:space="preserve"> </w:t>
      </w:r>
      <w:r w:rsidRPr="005864C2">
        <w:t>Acopios</w:t>
      </w:r>
      <w:bookmarkEnd w:id="120"/>
      <w:bookmarkEnd w:id="121"/>
      <w:bookmarkEnd w:id="122"/>
    </w:p>
    <w:p w14:paraId="3D10BB64" w14:textId="77777777" w:rsidR="00177852" w:rsidRPr="003438AE" w:rsidRDefault="00177852" w:rsidP="00177852">
      <w:pPr>
        <w:pStyle w:val="NORMAL12"/>
        <w:rPr>
          <w:lang w:val="es-ES"/>
        </w:rPr>
      </w:pPr>
      <w:r w:rsidRPr="003438AE">
        <w:rPr>
          <w:lang w:val="es-ES"/>
        </w:rPr>
        <w:t>Los lugares de acopio de materiales dentro del ámbito de la obra habrán de ser previamente autorizados por la Dirección.</w:t>
      </w:r>
    </w:p>
    <w:p w14:paraId="45F1CEAF" w14:textId="77777777" w:rsidR="00177852" w:rsidRPr="003438AE" w:rsidRDefault="00177852" w:rsidP="00177852">
      <w:pPr>
        <w:pStyle w:val="NORMAL12"/>
        <w:rPr>
          <w:lang w:val="es-ES"/>
        </w:rPr>
      </w:pPr>
      <w:r w:rsidRPr="003438AE">
        <w:rPr>
          <w:lang w:val="es-ES"/>
        </w:rPr>
        <w:t>Para ello el Contratista propondrá el plan de acopios con suficiente antelación a la Dirección de Obra, indicando los accesos y todas las obras o medidas que se compromete a llevar a cabo para garantizar la preservación de la calidad de los materiales, el mantenimiento de los servicios y desagües y la no-interferencia con la propia obra, así como evitar posibles daños a terceros.</w:t>
      </w:r>
    </w:p>
    <w:p w14:paraId="6892E3DE" w14:textId="77777777" w:rsidR="00177852" w:rsidRPr="003438AE" w:rsidRDefault="00177852" w:rsidP="00177852">
      <w:pPr>
        <w:pStyle w:val="NORMAL12"/>
        <w:rPr>
          <w:lang w:val="es-ES"/>
        </w:rPr>
      </w:pPr>
      <w:r w:rsidRPr="003438AE">
        <w:rPr>
          <w:lang w:val="es-ES"/>
        </w:rPr>
        <w:t>Si se detectasen anomalías en el suministro, los materiales se acopiarán por separado hasta confirmar su aceptabilidad. Esta misma medida se aplicará cuando se autorice un cambio de procedencia.</w:t>
      </w:r>
    </w:p>
    <w:p w14:paraId="663CA2BF" w14:textId="77777777" w:rsidR="00177852" w:rsidRPr="003438AE" w:rsidRDefault="00177852" w:rsidP="00177852">
      <w:pPr>
        <w:pStyle w:val="NORMAL12"/>
        <w:rPr>
          <w:lang w:val="es-ES"/>
        </w:rPr>
      </w:pPr>
      <w:r w:rsidRPr="003438AE">
        <w:rPr>
          <w:lang w:val="es-ES"/>
        </w:rPr>
        <w:t>Una vez utilizados los acopios o retirado los almacenes, las superficies deberán restituirse a su estado natural.</w:t>
      </w:r>
    </w:p>
    <w:p w14:paraId="3F3C7731" w14:textId="77777777" w:rsidR="00177852" w:rsidRPr="005864C2" w:rsidRDefault="00101DD7" w:rsidP="000313DD">
      <w:pPr>
        <w:pStyle w:val="TITU2"/>
        <w:rPr>
          <w:lang w:val="es-ES_tradnl"/>
        </w:rPr>
      </w:pPr>
      <w:bookmarkStart w:id="123" w:name="_Toc511906038"/>
      <w:bookmarkStart w:id="124" w:name="_Toc404061"/>
      <w:r>
        <w:rPr>
          <w:lang w:val="es-ES_tradnl"/>
        </w:rPr>
        <w:t xml:space="preserve">104.6.   </w:t>
      </w:r>
      <w:r w:rsidR="00177852" w:rsidRPr="005864C2">
        <w:rPr>
          <w:lang w:val="es-ES_tradnl"/>
        </w:rPr>
        <w:t>Trabajos nocturnos</w:t>
      </w:r>
      <w:bookmarkEnd w:id="123"/>
      <w:bookmarkEnd w:id="124"/>
    </w:p>
    <w:p w14:paraId="0DB56BAB" w14:textId="77777777" w:rsidR="009157A2" w:rsidRDefault="009157A2" w:rsidP="00177852">
      <w:pPr>
        <w:pStyle w:val="NORMAL12"/>
        <w:rPr>
          <w:lang w:val="es-ES"/>
        </w:rPr>
      </w:pPr>
      <w:r>
        <w:rPr>
          <w:lang w:val="es-ES"/>
        </w:rPr>
        <w:t xml:space="preserve">Debido a la necesidad de trabajar manteniendo el tráfico actual en la autovía, debe preverse </w:t>
      </w:r>
      <w:r w:rsidR="00144C3D">
        <w:rPr>
          <w:lang w:val="es-ES"/>
        </w:rPr>
        <w:t xml:space="preserve">ciertos trabajos deban desarrollarse en horario nocturno. </w:t>
      </w:r>
    </w:p>
    <w:p w14:paraId="03F042EF" w14:textId="77777777" w:rsidR="00144C3D" w:rsidRDefault="00144C3D" w:rsidP="00177852">
      <w:pPr>
        <w:pStyle w:val="NORMAL12"/>
        <w:rPr>
          <w:lang w:val="es-ES"/>
        </w:rPr>
      </w:pPr>
      <w:r>
        <w:rPr>
          <w:lang w:val="es-ES"/>
        </w:rPr>
        <w:t xml:space="preserve">El Contratista deberá planificar los trabajos asegurando la menor interferencia posible al tráfico en la autovía y siempre atendiendo a las instrucciones de las autoridades competentes en materia de tráfico y a las del </w:t>
      </w:r>
      <w:proofErr w:type="gramStart"/>
      <w:r>
        <w:rPr>
          <w:lang w:val="es-ES"/>
        </w:rPr>
        <w:t>Director</w:t>
      </w:r>
      <w:proofErr w:type="gramEnd"/>
      <w:r>
        <w:rPr>
          <w:lang w:val="es-ES"/>
        </w:rPr>
        <w:t xml:space="preserve"> de Obra.</w:t>
      </w:r>
    </w:p>
    <w:p w14:paraId="33448D10" w14:textId="77777777" w:rsidR="00177852" w:rsidRDefault="00144C3D" w:rsidP="00177852">
      <w:pPr>
        <w:pStyle w:val="NORMAL12"/>
        <w:rPr>
          <w:lang w:val="es-ES"/>
        </w:rPr>
      </w:pPr>
      <w:r>
        <w:rPr>
          <w:lang w:val="es-ES"/>
        </w:rPr>
        <w:t>Para dichos trabajos nocturnos e</w:t>
      </w:r>
      <w:r w:rsidR="00177852" w:rsidRPr="00CD3BAD">
        <w:rPr>
          <w:lang w:val="es-ES"/>
        </w:rPr>
        <w:t xml:space="preserve">l contratista deberá instalar equipos de iluminación, </w:t>
      </w:r>
      <w:r w:rsidR="00DA1AA9">
        <w:rPr>
          <w:lang w:val="es-ES"/>
        </w:rPr>
        <w:t>atendiendo a las necesidades de los trabajos a realizar y a las indicaciones d</w:t>
      </w:r>
      <w:r w:rsidR="00177852" w:rsidRPr="00CD3BAD">
        <w:rPr>
          <w:lang w:val="es-ES"/>
        </w:rPr>
        <w:t xml:space="preserve">el </w:t>
      </w:r>
      <w:proofErr w:type="gramStart"/>
      <w:r w:rsidR="00177852" w:rsidRPr="00CD3BAD">
        <w:rPr>
          <w:lang w:val="es-ES"/>
        </w:rPr>
        <w:t>Director</w:t>
      </w:r>
      <w:proofErr w:type="gramEnd"/>
      <w:r w:rsidR="00177852" w:rsidRPr="00CD3BAD">
        <w:rPr>
          <w:lang w:val="es-ES"/>
        </w:rPr>
        <w:t xml:space="preserve"> de las obras ordene, y mantenerlos en perfecto </w:t>
      </w:r>
      <w:r w:rsidR="00DA1AA9">
        <w:rPr>
          <w:lang w:val="es-ES"/>
        </w:rPr>
        <w:t>e</w:t>
      </w:r>
      <w:r w:rsidR="00177852" w:rsidRPr="00CD3BAD">
        <w:rPr>
          <w:lang w:val="es-ES"/>
        </w:rPr>
        <w:t>stado mientras duren los trabajos.</w:t>
      </w:r>
    </w:p>
    <w:p w14:paraId="67E4682A" w14:textId="77777777" w:rsidR="00DA1AA9" w:rsidRPr="00CD3BAD" w:rsidRDefault="00DA1AA9" w:rsidP="00177852">
      <w:pPr>
        <w:pStyle w:val="NORMAL12"/>
        <w:rPr>
          <w:lang w:val="es-ES"/>
        </w:rPr>
      </w:pPr>
      <w:r>
        <w:rPr>
          <w:lang w:val="es-ES"/>
        </w:rPr>
        <w:t xml:space="preserve">El Contratista no podrá reclamar incremento de precio alguno por trabajos nocturnos sobre los precios de las unidades de obra del Cuadro de Precios </w:t>
      </w:r>
      <w:proofErr w:type="spellStart"/>
      <w:r>
        <w:rPr>
          <w:lang w:val="es-ES"/>
        </w:rPr>
        <w:t>nº</w:t>
      </w:r>
      <w:proofErr w:type="spellEnd"/>
      <w:r>
        <w:rPr>
          <w:lang w:val="es-ES"/>
        </w:rPr>
        <w:t xml:space="preserve"> 1, con independencia del horario en que se realicen los trabajos.</w:t>
      </w:r>
    </w:p>
    <w:p w14:paraId="407D0CCB" w14:textId="77777777" w:rsidR="00177852" w:rsidRPr="005864C2" w:rsidRDefault="00177852" w:rsidP="000313DD">
      <w:pPr>
        <w:pStyle w:val="TITU2"/>
        <w:rPr>
          <w:lang w:val="es-ES_tradnl"/>
        </w:rPr>
      </w:pPr>
      <w:bookmarkStart w:id="125" w:name="_Toc277523145"/>
      <w:bookmarkStart w:id="126" w:name="_Toc511906039"/>
      <w:bookmarkStart w:id="127" w:name="_Toc404062"/>
      <w:r w:rsidRPr="005864C2">
        <w:rPr>
          <w:lang w:val="es-ES_tradnl"/>
        </w:rPr>
        <w:t>104.7.</w:t>
      </w:r>
      <w:r w:rsidRPr="005864C2">
        <w:rPr>
          <w:lang w:val="es-ES_tradnl"/>
        </w:rPr>
        <w:tab/>
      </w:r>
      <w:r w:rsidR="001844DF">
        <w:rPr>
          <w:lang w:val="es-ES_tradnl"/>
        </w:rPr>
        <w:t xml:space="preserve"> </w:t>
      </w:r>
      <w:r w:rsidRPr="005864C2">
        <w:rPr>
          <w:lang w:val="es-ES_tradnl"/>
        </w:rPr>
        <w:t>Trabajos defectuosos</w:t>
      </w:r>
      <w:bookmarkEnd w:id="125"/>
      <w:bookmarkEnd w:id="126"/>
      <w:bookmarkEnd w:id="127"/>
    </w:p>
    <w:p w14:paraId="1860930D" w14:textId="77777777" w:rsidR="00177852" w:rsidRPr="003438AE" w:rsidRDefault="00177852" w:rsidP="00177852">
      <w:pPr>
        <w:pStyle w:val="NORMAL12"/>
        <w:rPr>
          <w:lang w:val="es-ES"/>
        </w:rPr>
      </w:pPr>
      <w:r w:rsidRPr="003438AE">
        <w:rPr>
          <w:lang w:val="es-ES"/>
        </w:rPr>
        <w:t>Los trabajos ejecutados por el Contratista modificando lo prescrito en los documentos contractuales del Proyecto sin la debida autorización deberán ser derruidos si la Dirección lo exigiese, y en ningún caso serán abonables. El Contratista será además responsable de los daños y perjuicios que por esta causa puedan derivarse para la Administración.</w:t>
      </w:r>
    </w:p>
    <w:p w14:paraId="4BF62241" w14:textId="77777777" w:rsidR="00177852" w:rsidRPr="003438AE" w:rsidRDefault="00177852" w:rsidP="00177852">
      <w:pPr>
        <w:pStyle w:val="NORMAL12"/>
        <w:rPr>
          <w:lang w:val="es-ES"/>
        </w:rPr>
      </w:pPr>
      <w:r w:rsidRPr="003438AE">
        <w:rPr>
          <w:lang w:val="es-ES"/>
        </w:rPr>
        <w:t>Si por excepción se hubiese ejecutado alguna obra o parte de ella que no se ajuste exactamente a las condiciones fijadas en el contrato, y aunque defectuosa pudiese ser tolerable a juicio de la Dirección, esta podrá aceptarla con la rebaja de precio que considere justa, pudiendo el Contratista, en este caso, optar por admitir esta rebaja a no ser que prefiera demoler la obra a su costa y rehacerla con arreglo a las condiciones del contrato.</w:t>
      </w:r>
    </w:p>
    <w:p w14:paraId="3C8CEADC" w14:textId="77777777" w:rsidR="00177852" w:rsidRPr="005864C2" w:rsidRDefault="00177852" w:rsidP="000313DD">
      <w:pPr>
        <w:pStyle w:val="TITU2"/>
      </w:pPr>
      <w:bookmarkStart w:id="128" w:name="_Toc123104844"/>
      <w:bookmarkStart w:id="129" w:name="_Toc240349813"/>
      <w:bookmarkStart w:id="130" w:name="_Toc277523146"/>
      <w:bookmarkStart w:id="131" w:name="_Toc511906040"/>
      <w:bookmarkStart w:id="132" w:name="_Toc404063"/>
      <w:r w:rsidRPr="005864C2">
        <w:t xml:space="preserve">104.8. </w:t>
      </w:r>
      <w:r w:rsidR="00BE2E81">
        <w:t xml:space="preserve">   </w:t>
      </w:r>
      <w:r w:rsidRPr="005864C2">
        <w:t>Construcción y conservación de desvíos</w:t>
      </w:r>
      <w:bookmarkEnd w:id="128"/>
      <w:bookmarkEnd w:id="129"/>
      <w:bookmarkEnd w:id="130"/>
      <w:bookmarkEnd w:id="131"/>
      <w:bookmarkEnd w:id="132"/>
    </w:p>
    <w:p w14:paraId="051ACC32" w14:textId="77777777" w:rsidR="00177852" w:rsidRPr="00504EC6" w:rsidRDefault="00177852" w:rsidP="00177852">
      <w:pPr>
        <w:pStyle w:val="NORMAL12"/>
        <w:rPr>
          <w:color w:val="0070C0"/>
          <w:lang w:val="es-ES"/>
        </w:rPr>
      </w:pPr>
      <w:r w:rsidRPr="003438AE">
        <w:rPr>
          <w:lang w:val="es-ES"/>
        </w:rPr>
        <w:t xml:space="preserve">Los desvíos deberán cumplir las condiciones que se determinan en el Pliego de Prescripciones Técnicas </w:t>
      </w:r>
      <w:r w:rsidRPr="00C5223B">
        <w:rPr>
          <w:lang w:val="es-ES"/>
        </w:rPr>
        <w:t>Generales para obras de carreteras y puentes, PG-3/75 y en el Pliego de Presc</w:t>
      </w:r>
      <w:r w:rsidR="00504EC6" w:rsidRPr="00C5223B">
        <w:rPr>
          <w:lang w:val="es-ES"/>
        </w:rPr>
        <w:t>ripciones Técnicas Particulares</w:t>
      </w:r>
      <w:r w:rsidR="00DB14A5" w:rsidRPr="00C5223B">
        <w:rPr>
          <w:lang w:val="es-ES"/>
        </w:rPr>
        <w:t xml:space="preserve">, así como toda la normativa vigente de aplicación, siempre y cuando </w:t>
      </w:r>
      <w:r w:rsidR="00C5223B" w:rsidRPr="00C5223B">
        <w:rPr>
          <w:lang w:val="es-ES"/>
        </w:rPr>
        <w:t xml:space="preserve">no </w:t>
      </w:r>
      <w:r w:rsidR="00DB14A5" w:rsidRPr="00C5223B">
        <w:rPr>
          <w:lang w:val="es-ES"/>
        </w:rPr>
        <w:t>sean contrarios a lo prescrito en este Pliego.</w:t>
      </w:r>
    </w:p>
    <w:p w14:paraId="70185E92" w14:textId="77777777" w:rsidR="00177852" w:rsidRDefault="00177852" w:rsidP="00177852">
      <w:pPr>
        <w:pStyle w:val="NORMAL12"/>
        <w:rPr>
          <w:color w:val="00B050"/>
        </w:rPr>
      </w:pPr>
      <w:r w:rsidRPr="003438AE">
        <w:rPr>
          <w:lang w:val="es-ES"/>
        </w:rPr>
        <w:t xml:space="preserve">Los desvíos y acceso a las obras se construirán de acuerdo con lo fijado en los Planos o, en su defecto, con lo que señale el </w:t>
      </w:r>
      <w:proofErr w:type="gramStart"/>
      <w:r w:rsidRPr="003438AE">
        <w:rPr>
          <w:lang w:val="es-ES"/>
        </w:rPr>
        <w:t>Director</w:t>
      </w:r>
      <w:proofErr w:type="gramEnd"/>
      <w:r w:rsidRPr="003438AE">
        <w:rPr>
          <w:lang w:val="es-ES"/>
        </w:rPr>
        <w:t xml:space="preserve"> de la Obra. Su abono se realizará según las </w:t>
      </w:r>
      <w:r w:rsidRPr="00CD3BAD">
        <w:rPr>
          <w:lang w:val="es-ES"/>
        </w:rPr>
        <w:t>unidades definidas y construidas.</w:t>
      </w:r>
      <w:r w:rsidR="003438AE" w:rsidRPr="00CD3BAD">
        <w:rPr>
          <w:lang w:val="es-ES"/>
        </w:rPr>
        <w:t xml:space="preserve"> </w:t>
      </w:r>
      <w:r w:rsidR="003438AE" w:rsidRPr="00CD3BAD">
        <w:t>No obstante, y tal como se indica en el artículo 101 precedente, el Contratista atenderá las solicitudes del organismo de la Administración competente en materia de vialidad, sin que tenga derecho a reclamación económica alguna por tales conceptos.</w:t>
      </w:r>
    </w:p>
    <w:p w14:paraId="71F10105" w14:textId="77777777" w:rsidR="001413C5" w:rsidRDefault="0006126B" w:rsidP="0006126B">
      <w:pPr>
        <w:pStyle w:val="NORMAL12"/>
        <w:rPr>
          <w:lang w:val="es-ES"/>
        </w:rPr>
      </w:pPr>
      <w:r w:rsidRPr="0006126B">
        <w:rPr>
          <w:lang w:val="es-ES"/>
        </w:rPr>
        <w:t>Todos los desvíos previstos en el proyecto se realizarán mediante cortes de carril</w:t>
      </w:r>
      <w:r w:rsidR="001413C5">
        <w:rPr>
          <w:lang w:val="es-ES"/>
        </w:rPr>
        <w:t>, que se dispondrán y levantarán una vez concluida las horas autorizadas para la ventana de corte, o bien mediante desvíos permanentes de la fase de obra correspondiente.</w:t>
      </w:r>
    </w:p>
    <w:p w14:paraId="45C111EE" w14:textId="77777777" w:rsidR="0006126B" w:rsidRDefault="0006126B" w:rsidP="0006126B">
      <w:pPr>
        <w:pStyle w:val="NORMAL12"/>
        <w:rPr>
          <w:lang w:val="es-ES"/>
        </w:rPr>
      </w:pPr>
      <w:r w:rsidRPr="0006126B">
        <w:rPr>
          <w:lang w:val="es-ES"/>
        </w:rPr>
        <w:t xml:space="preserve">Los desvíos </w:t>
      </w:r>
      <w:r w:rsidR="001413C5">
        <w:rPr>
          <w:lang w:val="es-ES"/>
        </w:rPr>
        <w:t xml:space="preserve">del tipo de corte de carril </w:t>
      </w:r>
      <w:r w:rsidRPr="0006126B">
        <w:rPr>
          <w:lang w:val="es-ES"/>
        </w:rPr>
        <w:t>previstos en proyecto se consideran suficientes para la realización de las actuaciones proyectadas</w:t>
      </w:r>
      <w:r w:rsidR="001413C5">
        <w:rPr>
          <w:lang w:val="es-ES"/>
        </w:rPr>
        <w:t xml:space="preserve"> que así lo requieran</w:t>
      </w:r>
      <w:r w:rsidRPr="0006126B">
        <w:rPr>
          <w:lang w:val="es-ES"/>
        </w:rPr>
        <w:t xml:space="preserve"> (colocación de carteles, ejecución de nuevas estructuras de sustentación y disposición de defensas). Los desvíos realizados serán de abono al Contratista, si bien únicamente hasta el número previsto en el Presupuesto o los que resulte necesario incrementar por causas estrictamente inherentes a la ejecución de los trabajos, de forma que cualquier incremento de las </w:t>
      </w:r>
      <w:r w:rsidRPr="0006126B">
        <w:rPr>
          <w:lang w:val="es-ES"/>
        </w:rPr>
        <w:lastRenderedPageBreak/>
        <w:t>unidades de corte necesarias por causas imputables a decisiones del Contratista, inadecuada planificación, o cualesquiera otros imprevistos como condiciones climatológicas, circunstancias del tráfico, etc. no podrá ser reclamado su abono por parte del Contratista.</w:t>
      </w:r>
    </w:p>
    <w:p w14:paraId="1AD9ADB5" w14:textId="77777777" w:rsidR="00966359" w:rsidRPr="00C5223B" w:rsidRDefault="00966359" w:rsidP="00966359">
      <w:pPr>
        <w:pStyle w:val="NORMAL12"/>
        <w:rPr>
          <w:lang w:val="es-ES"/>
        </w:rPr>
      </w:pPr>
      <w:r w:rsidRPr="00C5223B">
        <w:rPr>
          <w:lang w:val="es-ES"/>
        </w:rPr>
        <w:t>El proceso seguido para la obtener la autorización para realizar los desvíos de la autoridad competente es:</w:t>
      </w:r>
    </w:p>
    <w:p w14:paraId="2BE9AEDB" w14:textId="77777777" w:rsidR="00966359" w:rsidRPr="00C5223B" w:rsidRDefault="00966359" w:rsidP="00221E1A">
      <w:pPr>
        <w:pStyle w:val="NORMAL12"/>
        <w:numPr>
          <w:ilvl w:val="0"/>
          <w:numId w:val="138"/>
        </w:numPr>
        <w:rPr>
          <w:lang w:val="es-ES"/>
        </w:rPr>
      </w:pPr>
      <w:r w:rsidRPr="00C5223B">
        <w:rPr>
          <w:lang w:val="es-ES"/>
        </w:rPr>
        <w:t>En el caso de la demarcación de Carreteras, se preparará una planta y un escrito con la señalización a disponer, defendiendo en qué condiciones se mantendrá dicha señalización fuera de las horas de trabajo, la presencia de señalistas, acce</w:t>
      </w:r>
      <w:r w:rsidR="00457FF3" w:rsidRPr="00C5223B">
        <w:rPr>
          <w:lang w:val="es-ES"/>
        </w:rPr>
        <w:t>s</w:t>
      </w:r>
      <w:r w:rsidRPr="00C5223B">
        <w:rPr>
          <w:lang w:val="es-ES"/>
        </w:rPr>
        <w:t xml:space="preserve">os a la obra, fechas previstas, para su informe por parte de la Asistencia Técnica y Coordinador de Seguridad y Salud. La solicitud, junto con los informes recabados se presentan a la Dirección de Obra para su autorización por parte del </w:t>
      </w:r>
      <w:r w:rsidRPr="003327CC">
        <w:rPr>
          <w:lang w:val="es-ES"/>
        </w:rPr>
        <w:t xml:space="preserve">Ingeniero </w:t>
      </w:r>
      <w:proofErr w:type="gramStart"/>
      <w:r w:rsidR="00C97E29" w:rsidRPr="003327CC">
        <w:rPr>
          <w:b/>
          <w:lang w:val="es-ES"/>
        </w:rPr>
        <w:t>Jefe</w:t>
      </w:r>
      <w:proofErr w:type="gramEnd"/>
      <w:r w:rsidR="00C97E29" w:rsidRPr="003327CC">
        <w:rPr>
          <w:lang w:val="es-ES"/>
        </w:rPr>
        <w:t xml:space="preserve"> </w:t>
      </w:r>
      <w:r w:rsidRPr="003327CC">
        <w:rPr>
          <w:lang w:val="es-ES"/>
        </w:rPr>
        <w:t>de la Demarcación. No se podrán</w:t>
      </w:r>
      <w:r w:rsidRPr="00C5223B">
        <w:rPr>
          <w:lang w:val="es-ES"/>
        </w:rPr>
        <w:t xml:space="preserve"> realizar desvíos de tráfico, o modificaciones de los existentes, sin la citada autorización.</w:t>
      </w:r>
    </w:p>
    <w:p w14:paraId="3EE5C094" w14:textId="77777777" w:rsidR="00966359" w:rsidRPr="00C5223B" w:rsidRDefault="00966359" w:rsidP="00221E1A">
      <w:pPr>
        <w:pStyle w:val="NORMAL12"/>
        <w:numPr>
          <w:ilvl w:val="0"/>
          <w:numId w:val="138"/>
        </w:numPr>
        <w:rPr>
          <w:lang w:val="es-ES"/>
        </w:rPr>
      </w:pPr>
      <w:r w:rsidRPr="00C5223B">
        <w:rPr>
          <w:lang w:val="es-ES"/>
        </w:rPr>
        <w:t>En el caso de otras Administraciones, se deberán realizar aquellos trámites que puedan requerir para la autorización de las afecciones al tráfico de los viales de su titularidad, corriendo a cargo del Contratista la tramitación de toda la documentación y permisos que puedan ser exigidos.</w:t>
      </w:r>
    </w:p>
    <w:p w14:paraId="0F19D060" w14:textId="77777777" w:rsidR="00177852" w:rsidRDefault="0006126B" w:rsidP="00177852">
      <w:pPr>
        <w:pStyle w:val="NORMAL12"/>
        <w:rPr>
          <w:lang w:val="es-ES"/>
        </w:rPr>
      </w:pPr>
      <w:r w:rsidRPr="0006126B">
        <w:rPr>
          <w:lang w:val="es-ES"/>
        </w:rPr>
        <w:t>En el caso de cortes de tráfico de carácter permanente, e</w:t>
      </w:r>
      <w:r w:rsidR="00177852" w:rsidRPr="0006126B">
        <w:rPr>
          <w:lang w:val="es-ES"/>
        </w:rPr>
        <w:t xml:space="preserve">l mantenimiento y conservación de los desvíos, desde su apertura hasta el cierre del desvío, correrá por cuenta íntegramente del Contratista. Esta conservación y mantenimiento incluye el repintado de las marcas viales provisionales de obra, tantas veces como sea necesario en función de su desgaste o siempre que la Dirección de Obra </w:t>
      </w:r>
      <w:r w:rsidR="00966359">
        <w:rPr>
          <w:lang w:val="es-ES"/>
        </w:rPr>
        <w:t xml:space="preserve">lo </w:t>
      </w:r>
      <w:r w:rsidR="00177852" w:rsidRPr="0006126B">
        <w:rPr>
          <w:lang w:val="es-ES"/>
        </w:rPr>
        <w:t>esti</w:t>
      </w:r>
      <w:r w:rsidR="00C5223B">
        <w:rPr>
          <w:lang w:val="es-ES"/>
        </w:rPr>
        <w:t>me necesario.</w:t>
      </w:r>
    </w:p>
    <w:p w14:paraId="6C5BA7D9" w14:textId="77777777" w:rsidR="00177852" w:rsidRPr="0006126B" w:rsidRDefault="00177852" w:rsidP="000313DD">
      <w:pPr>
        <w:pStyle w:val="TITU2"/>
      </w:pPr>
      <w:bookmarkStart w:id="133" w:name="_Toc123104845"/>
      <w:bookmarkStart w:id="134" w:name="_Toc240349814"/>
      <w:bookmarkStart w:id="135" w:name="_Toc277523147"/>
      <w:bookmarkStart w:id="136" w:name="_Toc511906041"/>
      <w:bookmarkStart w:id="137" w:name="_Toc404064"/>
      <w:r w:rsidRPr="0006126B">
        <w:t xml:space="preserve">104.9. </w:t>
      </w:r>
      <w:r w:rsidR="00BE2E81">
        <w:t xml:space="preserve">   </w:t>
      </w:r>
      <w:r w:rsidRPr="0006126B">
        <w:t xml:space="preserve">Señalización, balizamiento y defensa de obras </w:t>
      </w:r>
      <w:bookmarkEnd w:id="133"/>
      <w:bookmarkEnd w:id="134"/>
      <w:r w:rsidRPr="0006126B">
        <w:t>e instalaciones</w:t>
      </w:r>
      <w:bookmarkEnd w:id="135"/>
      <w:bookmarkEnd w:id="136"/>
      <w:bookmarkEnd w:id="137"/>
    </w:p>
    <w:p w14:paraId="134319C9" w14:textId="77777777" w:rsidR="00177852" w:rsidRPr="0006126B" w:rsidRDefault="00177852" w:rsidP="00D81C53">
      <w:pPr>
        <w:pStyle w:val="TITU3"/>
        <w:numPr>
          <w:ilvl w:val="0"/>
          <w:numId w:val="0"/>
        </w:numPr>
        <w:outlineLvl w:val="3"/>
      </w:pPr>
      <w:bookmarkStart w:id="138" w:name="_Toc277523148"/>
      <w:r w:rsidRPr="0006126B">
        <w:t>104.9.1. Obligación del Contratista de señalizar la obra</w:t>
      </w:r>
      <w:bookmarkEnd w:id="138"/>
    </w:p>
    <w:p w14:paraId="1040E181" w14:textId="77777777" w:rsidR="00177852" w:rsidRPr="002C3724" w:rsidRDefault="00177852" w:rsidP="00177852">
      <w:pPr>
        <w:pStyle w:val="NORMAL12"/>
        <w:rPr>
          <w:lang w:val="es-ES"/>
        </w:rPr>
      </w:pPr>
      <w:r w:rsidRPr="0006126B">
        <w:rPr>
          <w:lang w:val="es-ES"/>
        </w:rPr>
        <w:t xml:space="preserve">La señalización y balizamiento de las obras deberán cumplir las condiciones que se determinan en el Pliego de Prescripciones Técnicas Generales para obras de carreteras y </w:t>
      </w:r>
      <w:r w:rsidRPr="002C3724">
        <w:rPr>
          <w:lang w:val="es-ES"/>
        </w:rPr>
        <w:t>puentes, PG-3/75 y en el Pliego de Presc</w:t>
      </w:r>
      <w:r w:rsidR="0006126B" w:rsidRPr="002C3724">
        <w:rPr>
          <w:lang w:val="es-ES"/>
        </w:rPr>
        <w:t>ripciones Técnicas Particulares del presente Proyecto</w:t>
      </w:r>
    </w:p>
    <w:p w14:paraId="2417CF28" w14:textId="77777777" w:rsidR="00177852" w:rsidRPr="002C3724" w:rsidRDefault="00177852" w:rsidP="00177852">
      <w:pPr>
        <w:pStyle w:val="NORMAL12"/>
        <w:rPr>
          <w:lang w:val="es-ES"/>
        </w:rPr>
      </w:pPr>
      <w:r w:rsidRPr="002C3724">
        <w:rPr>
          <w:lang w:val="es-ES"/>
        </w:rPr>
        <w:t>La señalización y el balizamiento de las obras durante su ejecución se harán de acuerdo con la normativa vigente.</w:t>
      </w:r>
    </w:p>
    <w:p w14:paraId="4072FB56" w14:textId="77777777" w:rsidR="00177852" w:rsidRPr="002C3724" w:rsidRDefault="00177852" w:rsidP="00177852">
      <w:pPr>
        <w:pStyle w:val="NORMAL12"/>
        <w:rPr>
          <w:lang w:val="es-ES"/>
        </w:rPr>
      </w:pPr>
      <w:r w:rsidRPr="002C3724">
        <w:rPr>
          <w:lang w:val="es-ES"/>
        </w:rPr>
        <w:t xml:space="preserve">Una vez adjudicadas las obras y aprobado el correspondiente programa de trabajo, el Contratista elaborará una propuesta de señalización, balizamiento y, en su caso, defensa de las obras, que formará parte del Plan de Seguridad y Salud, en la que se analicen, desarrollen y complementen, en función de su propio sistema de ejecución de la obra, las previsiones contenidas en el proyecto. </w:t>
      </w:r>
    </w:p>
    <w:p w14:paraId="1620E8DD" w14:textId="77777777" w:rsidR="00177852" w:rsidRPr="002C3724" w:rsidRDefault="00177852" w:rsidP="00177852">
      <w:pPr>
        <w:pStyle w:val="NORMAL12"/>
        <w:rPr>
          <w:lang w:val="es-ES"/>
        </w:rPr>
      </w:pPr>
      <w:r w:rsidRPr="002C3724">
        <w:rPr>
          <w:lang w:val="es-ES"/>
        </w:rPr>
        <w:t>En dicho Plan se incluirán, en su caso, las propuestas de medidas alternativas que la Empresa Constructora proponga, con la correspondiente valoración económica de las mismas, la cual no deberá superar el importe total previsto en el Proyecto.</w:t>
      </w:r>
    </w:p>
    <w:p w14:paraId="079218DE" w14:textId="77777777" w:rsidR="00177852" w:rsidRPr="002C3724" w:rsidRDefault="00177852" w:rsidP="00177852">
      <w:pPr>
        <w:pStyle w:val="NORMAL12"/>
        <w:rPr>
          <w:lang w:val="es-ES"/>
        </w:rPr>
      </w:pPr>
      <w:r w:rsidRPr="002C3724">
        <w:rPr>
          <w:lang w:val="es-ES"/>
        </w:rPr>
        <w:t xml:space="preserve">El Plan deberá ser presentado a la aprobación expresa de la Dirección de la Obra. </w:t>
      </w:r>
    </w:p>
    <w:p w14:paraId="0AD0A111" w14:textId="77777777" w:rsidR="00177852" w:rsidRPr="002C3724" w:rsidRDefault="00177852" w:rsidP="00D81C53">
      <w:pPr>
        <w:pStyle w:val="TITU3"/>
        <w:numPr>
          <w:ilvl w:val="0"/>
          <w:numId w:val="0"/>
        </w:numPr>
        <w:outlineLvl w:val="3"/>
      </w:pPr>
      <w:bookmarkStart w:id="139" w:name="_Toc277523149"/>
      <w:r w:rsidRPr="002C3724">
        <w:t>104.9.2. Responsable en exclusiva de la señalización de obra</w:t>
      </w:r>
      <w:bookmarkEnd w:id="139"/>
    </w:p>
    <w:p w14:paraId="00BFC74C" w14:textId="77777777" w:rsidR="00177852" w:rsidRPr="002C3724" w:rsidRDefault="00177852" w:rsidP="00177852">
      <w:pPr>
        <w:pStyle w:val="NORMAL12"/>
        <w:rPr>
          <w:lang w:val="es-ES"/>
        </w:rPr>
      </w:pPr>
      <w:r w:rsidRPr="002C3724">
        <w:rPr>
          <w:lang w:val="es-ES"/>
        </w:rPr>
        <w:t>El Contratista está obligado a nombrar un responsable en exclusiva de la señalización, balizamiento y, en su caso, defensa de las obras.</w:t>
      </w:r>
    </w:p>
    <w:p w14:paraId="584D51F9" w14:textId="77777777" w:rsidR="002F61BD" w:rsidRPr="002C3724" w:rsidRDefault="002F61BD" w:rsidP="000313DD">
      <w:pPr>
        <w:pStyle w:val="TITU2"/>
      </w:pPr>
      <w:bookmarkStart w:id="140" w:name="_Toc404065"/>
      <w:r w:rsidRPr="002C3724">
        <w:t xml:space="preserve">104.10. </w:t>
      </w:r>
      <w:r w:rsidR="00BE2E81">
        <w:t xml:space="preserve">  </w:t>
      </w:r>
      <w:r w:rsidRPr="002C3724">
        <w:t>Precaucione especiales durante las obras</w:t>
      </w:r>
      <w:bookmarkEnd w:id="140"/>
    </w:p>
    <w:p w14:paraId="294EB379" w14:textId="77777777" w:rsidR="002F61BD" w:rsidRPr="002C3724" w:rsidRDefault="002F61BD" w:rsidP="00D81C53">
      <w:pPr>
        <w:pStyle w:val="TITU3"/>
        <w:numPr>
          <w:ilvl w:val="0"/>
          <w:numId w:val="0"/>
        </w:numPr>
        <w:outlineLvl w:val="3"/>
      </w:pPr>
      <w:r w:rsidRPr="002C3724">
        <w:t>104.10.1. Drenaje</w:t>
      </w:r>
    </w:p>
    <w:p w14:paraId="4B47EB1E" w14:textId="77777777" w:rsidR="002F61BD" w:rsidRPr="002C3724" w:rsidRDefault="002F61BD" w:rsidP="00177852">
      <w:pPr>
        <w:pStyle w:val="NORMAL12"/>
        <w:rPr>
          <w:lang w:val="es-ES"/>
        </w:rPr>
      </w:pPr>
      <w:r w:rsidRPr="002C3724">
        <w:rPr>
          <w:lang w:val="es-ES"/>
        </w:rPr>
        <w:t>Durante las diversas etapas de su construcción, las obras se mantendrán en perfectas condiciones de drenaje. Las cunetas y demás desagües se conservarán y mantendrán de modo que no se produzcan erosiones en los taludes adyacentes.</w:t>
      </w:r>
    </w:p>
    <w:p w14:paraId="2113C6A7" w14:textId="77777777" w:rsidR="002F61BD" w:rsidRPr="002C3724" w:rsidRDefault="002F61BD" w:rsidP="00D81C53">
      <w:pPr>
        <w:pStyle w:val="TITU3"/>
        <w:numPr>
          <w:ilvl w:val="0"/>
          <w:numId w:val="0"/>
        </w:numPr>
        <w:outlineLvl w:val="3"/>
      </w:pPr>
      <w:r w:rsidRPr="002C3724">
        <w:t>104.10.2</w:t>
      </w:r>
      <w:r w:rsidR="00BE2E81">
        <w:t>.</w:t>
      </w:r>
      <w:r w:rsidRPr="002C3724">
        <w:t xml:space="preserve"> Heladas</w:t>
      </w:r>
    </w:p>
    <w:p w14:paraId="0EB8A599" w14:textId="77777777" w:rsidR="002F61BD" w:rsidRPr="002C3724" w:rsidRDefault="002F61BD" w:rsidP="002F61BD">
      <w:pPr>
        <w:pStyle w:val="NORMAL12"/>
        <w:rPr>
          <w:lang w:val="es-ES"/>
        </w:rPr>
      </w:pPr>
      <w:r w:rsidRPr="002C3724">
        <w:rPr>
          <w:lang w:val="es-ES"/>
        </w:rPr>
        <w:t>Como se teman las heladas el contratista protegerá todas las zonas de obras que pudieran ser perjudicadas por ellas. Las partes dañadas se levantarán y reconstruirán a su costa, de acuerdo con el presente pliego.</w:t>
      </w:r>
    </w:p>
    <w:p w14:paraId="5CB5A982" w14:textId="77777777" w:rsidR="002F61BD" w:rsidRPr="002C3724" w:rsidRDefault="002F61BD" w:rsidP="00D81C53">
      <w:pPr>
        <w:pStyle w:val="TITU3"/>
        <w:numPr>
          <w:ilvl w:val="0"/>
          <w:numId w:val="0"/>
        </w:numPr>
        <w:outlineLvl w:val="3"/>
      </w:pPr>
      <w:r w:rsidRPr="002C3724">
        <w:t>104.10.3 Incendios</w:t>
      </w:r>
    </w:p>
    <w:p w14:paraId="4034D2A4" w14:textId="77777777" w:rsidR="002F61BD" w:rsidRPr="002C3724" w:rsidRDefault="002F61BD" w:rsidP="002F61BD">
      <w:pPr>
        <w:pStyle w:val="NORMAL12"/>
        <w:rPr>
          <w:lang w:val="es-ES"/>
        </w:rPr>
      </w:pPr>
      <w:r w:rsidRPr="002C3724">
        <w:rPr>
          <w:lang w:val="es-ES"/>
        </w:rPr>
        <w:t>El contratista deberá atenerse a las disposiciones vigentes para la prevención y control de incendios, y a las instrucciones complementarias</w:t>
      </w:r>
      <w:r w:rsidR="003327CC">
        <w:rPr>
          <w:lang w:val="es-ES"/>
        </w:rPr>
        <w:t xml:space="preserve"> </w:t>
      </w:r>
      <w:r w:rsidRPr="002C3724">
        <w:rPr>
          <w:lang w:val="es-ES"/>
        </w:rPr>
        <w:t xml:space="preserve">que se dicten por el </w:t>
      </w:r>
      <w:proofErr w:type="gramStart"/>
      <w:r w:rsidRPr="002C3724">
        <w:rPr>
          <w:lang w:val="es-ES"/>
        </w:rPr>
        <w:t>Director</w:t>
      </w:r>
      <w:proofErr w:type="gramEnd"/>
      <w:r w:rsidRPr="002C3724">
        <w:rPr>
          <w:lang w:val="es-ES"/>
        </w:rPr>
        <w:t xml:space="preserve"> de las </w:t>
      </w:r>
      <w:r w:rsidR="00A3518D">
        <w:rPr>
          <w:lang w:val="es-ES"/>
        </w:rPr>
        <w:t>O</w:t>
      </w:r>
      <w:r w:rsidRPr="002C3724">
        <w:rPr>
          <w:lang w:val="es-ES"/>
        </w:rPr>
        <w:t>bras.</w:t>
      </w:r>
    </w:p>
    <w:p w14:paraId="4581C56E" w14:textId="77777777" w:rsidR="002F61BD" w:rsidRPr="002C3724" w:rsidRDefault="002F61BD" w:rsidP="002F61BD">
      <w:pPr>
        <w:pStyle w:val="NORMAL12"/>
        <w:rPr>
          <w:lang w:val="es-ES"/>
        </w:rPr>
      </w:pPr>
      <w:r w:rsidRPr="002C3724">
        <w:rPr>
          <w:lang w:val="es-ES"/>
        </w:rPr>
        <w:t>En todo caso, adoptará las medidas necesarias para evitar que se enciendan fuegos innecesarios, y será responsable de evitar la propagación de los que se requiera para la ejecución de las obras, así como de los daños y perjuicios que se pudieran producir.</w:t>
      </w:r>
    </w:p>
    <w:p w14:paraId="1E7FDD5D" w14:textId="77777777" w:rsidR="002F61BD" w:rsidRPr="002C3724" w:rsidRDefault="002F61BD" w:rsidP="00D81C53">
      <w:pPr>
        <w:pStyle w:val="TITU3"/>
        <w:numPr>
          <w:ilvl w:val="0"/>
          <w:numId w:val="0"/>
        </w:numPr>
        <w:outlineLvl w:val="3"/>
      </w:pPr>
      <w:r w:rsidRPr="002C3724">
        <w:lastRenderedPageBreak/>
        <w:t>104.10.4. Uso de explosivos</w:t>
      </w:r>
    </w:p>
    <w:p w14:paraId="2A5BE871" w14:textId="77777777" w:rsidR="00C5223B" w:rsidRPr="002C3724" w:rsidRDefault="00C5223B" w:rsidP="00C5223B">
      <w:pPr>
        <w:pStyle w:val="NORMAL12"/>
        <w:rPr>
          <w:lang w:val="es-ES"/>
        </w:rPr>
      </w:pPr>
      <w:r w:rsidRPr="002C3724">
        <w:rPr>
          <w:lang w:val="es-ES"/>
        </w:rPr>
        <w:t xml:space="preserve">No está prevista la </w:t>
      </w:r>
      <w:r w:rsidR="00157701" w:rsidRPr="002C3724">
        <w:rPr>
          <w:lang w:val="es-ES"/>
        </w:rPr>
        <w:t>utilización</w:t>
      </w:r>
      <w:r w:rsidRPr="002C3724">
        <w:rPr>
          <w:lang w:val="es-ES"/>
        </w:rPr>
        <w:t xml:space="preserve"> de explosivos en la obra. En </w:t>
      </w:r>
      <w:r w:rsidR="002C3724" w:rsidRPr="002C3724">
        <w:rPr>
          <w:lang w:val="es-ES"/>
        </w:rPr>
        <w:t>el caso de ser necesaria su utilización se cumplirá lo establecido en la normativa vigente.</w:t>
      </w:r>
    </w:p>
    <w:p w14:paraId="22F0FE9C" w14:textId="77777777" w:rsidR="006D4837" w:rsidRPr="002C3724" w:rsidRDefault="001844DF" w:rsidP="000313DD">
      <w:pPr>
        <w:pStyle w:val="TITU2"/>
      </w:pPr>
      <w:bookmarkStart w:id="141" w:name="_Toc404066"/>
      <w:r>
        <w:t>104.11.</w:t>
      </w:r>
      <w:r w:rsidR="006D4837" w:rsidRPr="002C3724">
        <w:t xml:space="preserve"> </w:t>
      </w:r>
      <w:r w:rsidR="00BE2E81">
        <w:t xml:space="preserve">  </w:t>
      </w:r>
      <w:r w:rsidR="006D4837" w:rsidRPr="002C3724">
        <w:t>Modificaciones de obra</w:t>
      </w:r>
      <w:bookmarkEnd w:id="141"/>
    </w:p>
    <w:p w14:paraId="12646C0F" w14:textId="77777777" w:rsidR="006D4837" w:rsidRPr="002C3724" w:rsidRDefault="006D4837" w:rsidP="006D4837">
      <w:pPr>
        <w:pStyle w:val="NORMAL12"/>
        <w:rPr>
          <w:lang w:val="es-ES"/>
        </w:rPr>
      </w:pPr>
      <w:r w:rsidRPr="002C3724">
        <w:rPr>
          <w:lang w:val="es-ES"/>
        </w:rPr>
        <w:t>Cuando el Director de las obras ordenase, en caso de emergencia, la realización de aquellas unidades de obra que fueran imprescindibles o indispensables para garantizar o salvaguardar la permanencia de partes de obra ya ejecutadas anteriormente, o para evitar daños inmediatos a terceros, si dichas unidades de obra no figurasen en los cuadros de precio del contrato, o si su ejecución requiere alteración de importancia en los programas de trabajo y disposición de maquinaria, dándose asimismo las circunstancias de que tal emergencia no fuere imputable al contratista ni consecuencia de fuerza mayor, este formulara las observaciones que estimase oportunas a los efectos de la tramitación de las subsiguientes modificaciones de obra, a fin de que el Director de las obras, si lo estimase convenientes, comprueba la procedencia del correspondiente aumento de gastos.</w:t>
      </w:r>
    </w:p>
    <w:p w14:paraId="31923692" w14:textId="77777777" w:rsidR="00177852" w:rsidRPr="0006126B" w:rsidRDefault="00177852" w:rsidP="000313DD">
      <w:pPr>
        <w:pStyle w:val="TITU2"/>
      </w:pPr>
      <w:bookmarkStart w:id="142" w:name="_Toc123104846"/>
      <w:bookmarkStart w:id="143" w:name="_Toc240349815"/>
      <w:bookmarkStart w:id="144" w:name="_Toc277523150"/>
      <w:bookmarkStart w:id="145" w:name="_Toc511906042"/>
      <w:bookmarkStart w:id="146" w:name="_Toc404067"/>
      <w:r w:rsidRPr="0006126B">
        <w:t xml:space="preserve">104.12. </w:t>
      </w:r>
      <w:r w:rsidR="00BE2E81">
        <w:t xml:space="preserve">  </w:t>
      </w:r>
      <w:r w:rsidRPr="0006126B">
        <w:t>Seguridad y Salud en las Obras</w:t>
      </w:r>
      <w:bookmarkEnd w:id="142"/>
      <w:bookmarkEnd w:id="143"/>
      <w:bookmarkEnd w:id="144"/>
      <w:bookmarkEnd w:id="145"/>
      <w:bookmarkEnd w:id="146"/>
    </w:p>
    <w:p w14:paraId="51443E94" w14:textId="77777777" w:rsidR="00177852" w:rsidRPr="0006126B" w:rsidRDefault="00177852" w:rsidP="00177852">
      <w:pPr>
        <w:pStyle w:val="NORMAL12"/>
        <w:rPr>
          <w:lang w:val="es-ES"/>
        </w:rPr>
      </w:pPr>
      <w:r w:rsidRPr="0006126B">
        <w:rPr>
          <w:lang w:val="es-ES"/>
        </w:rPr>
        <w:t xml:space="preserve">En documento adicional al presente proyecto se adjunta el preceptivo Estudio de Seguridad y Salud en las obras en cumplimiento del Real Decreto 1627/1997, de 24 de </w:t>
      </w:r>
      <w:proofErr w:type="gramStart"/>
      <w:r w:rsidRPr="0006126B">
        <w:rPr>
          <w:lang w:val="es-ES"/>
        </w:rPr>
        <w:t>Octubre</w:t>
      </w:r>
      <w:proofErr w:type="gramEnd"/>
      <w:r w:rsidRPr="0006126B">
        <w:rPr>
          <w:lang w:val="es-ES"/>
        </w:rPr>
        <w:t>.</w:t>
      </w:r>
    </w:p>
    <w:p w14:paraId="42218ECE" w14:textId="77777777" w:rsidR="00177852" w:rsidRPr="0006126B" w:rsidRDefault="00177852" w:rsidP="00177852">
      <w:pPr>
        <w:pStyle w:val="NORMAL12"/>
        <w:rPr>
          <w:lang w:val="es-ES"/>
        </w:rPr>
      </w:pPr>
      <w:r w:rsidRPr="0006126B">
        <w:rPr>
          <w:lang w:val="es-ES"/>
        </w:rPr>
        <w:t>Por aplicación del mencionado Decreto, el Contratista está obligado a elaborar un Plan de Seguridad y Salud en las obras en el que se analicen, estudien y contemplen, en función de su propio sistema de ejecución de la obra, las previsiones contenidas en el citado Estudio, con las alternativas de prevención que la Empresa Adjudicataria proponga y con la correspondiente valoración económica que no podrá implicar disminución de su importe total, ni de los niveles de protección previstos en dicho Estudio.</w:t>
      </w:r>
    </w:p>
    <w:p w14:paraId="1C7042EA" w14:textId="77777777" w:rsidR="00177852" w:rsidRPr="0006126B" w:rsidRDefault="00177852" w:rsidP="00177852">
      <w:pPr>
        <w:pStyle w:val="NORMAL12"/>
        <w:rPr>
          <w:lang w:val="es-ES"/>
        </w:rPr>
      </w:pPr>
      <w:r w:rsidRPr="0006126B">
        <w:rPr>
          <w:lang w:val="es-ES"/>
        </w:rPr>
        <w:t xml:space="preserve">Este Plan de Seguridad y Salud deberá ser aprobado antes del inicio de las obras. Para ello el coordinador en </w:t>
      </w:r>
      <w:r w:rsidRPr="003327CC">
        <w:rPr>
          <w:lang w:val="es-ES"/>
        </w:rPr>
        <w:t xml:space="preserve">materia de Seguridad y Salud durante la ejecución de la obra deberá realizar un informe, el cual elevará para su aprobación, al </w:t>
      </w:r>
      <w:r w:rsidR="00217216" w:rsidRPr="003327CC">
        <w:rPr>
          <w:lang w:val="es-ES"/>
        </w:rPr>
        <w:t>Ingeniero</w:t>
      </w:r>
      <w:r w:rsidR="0014556E" w:rsidRPr="003327CC">
        <w:rPr>
          <w:lang w:val="es-ES"/>
        </w:rPr>
        <w:t xml:space="preserve"> </w:t>
      </w:r>
      <w:proofErr w:type="gramStart"/>
      <w:r w:rsidR="0014556E" w:rsidRPr="003327CC">
        <w:rPr>
          <w:b/>
          <w:lang w:val="es-ES"/>
        </w:rPr>
        <w:t>Jefe</w:t>
      </w:r>
      <w:proofErr w:type="gramEnd"/>
      <w:r w:rsidR="0014556E" w:rsidRPr="003327CC">
        <w:rPr>
          <w:lang w:val="es-ES"/>
        </w:rPr>
        <w:t xml:space="preserve"> de la </w:t>
      </w:r>
      <w:r w:rsidR="00217216" w:rsidRPr="003327CC">
        <w:rPr>
          <w:lang w:val="es-ES"/>
        </w:rPr>
        <w:t>Demarcación</w:t>
      </w:r>
      <w:r w:rsidR="0014556E" w:rsidRPr="003327CC">
        <w:rPr>
          <w:lang w:val="es-ES"/>
        </w:rPr>
        <w:t xml:space="preserve"> como </w:t>
      </w:r>
      <w:r w:rsidRPr="003327CC">
        <w:rPr>
          <w:lang w:val="es-ES"/>
        </w:rPr>
        <w:t>adjudicatari</w:t>
      </w:r>
      <w:r w:rsidR="0014556E" w:rsidRPr="003327CC">
        <w:rPr>
          <w:lang w:val="es-ES"/>
        </w:rPr>
        <w:t>o</w:t>
      </w:r>
      <w:r w:rsidRPr="003327CC">
        <w:rPr>
          <w:lang w:val="es-ES"/>
        </w:rPr>
        <w:t xml:space="preserve"> de la Obra. El Plan se considerará aprobado</w:t>
      </w:r>
      <w:r w:rsidRPr="003327CC">
        <w:rPr>
          <w:color w:val="365F91" w:themeColor="accent1" w:themeShade="BF"/>
          <w:lang w:val="es-ES"/>
        </w:rPr>
        <w:t xml:space="preserve"> </w:t>
      </w:r>
      <w:r w:rsidRPr="003327CC">
        <w:rPr>
          <w:lang w:val="es-ES"/>
        </w:rPr>
        <w:t>una vez que haya sido autorizado por el Órgano competente de conceder la apertura del centro de trabajo.</w:t>
      </w:r>
    </w:p>
    <w:p w14:paraId="19C3C8D4" w14:textId="77777777" w:rsidR="00177852" w:rsidRPr="0006126B" w:rsidRDefault="00177852" w:rsidP="00177852">
      <w:pPr>
        <w:pStyle w:val="NORMAL12"/>
        <w:rPr>
          <w:lang w:val="es-ES"/>
        </w:rPr>
      </w:pPr>
      <w:r w:rsidRPr="0006126B">
        <w:rPr>
          <w:lang w:val="es-ES"/>
        </w:rPr>
        <w:t xml:space="preserve">El abono del presupuesto del Estudio citado se realizará de acuerdo con los correspondientes Cuadros de Precios que </w:t>
      </w:r>
      <w:r w:rsidRPr="002C3724">
        <w:rPr>
          <w:lang w:val="es-ES"/>
        </w:rPr>
        <w:t xml:space="preserve">figuran en este proyecto, o en su caso, en los del Plan de Seguridad y Salud en las Obras aprobado por la </w:t>
      </w:r>
      <w:r w:rsidR="00C10561" w:rsidRPr="002C3724">
        <w:rPr>
          <w:lang w:val="es-ES"/>
        </w:rPr>
        <w:t>Demarcación de Carreteras</w:t>
      </w:r>
      <w:r w:rsidR="00BC0A19">
        <w:rPr>
          <w:lang w:val="es-ES"/>
        </w:rPr>
        <w:t xml:space="preserve"> de Asturias </w:t>
      </w:r>
      <w:r w:rsidRPr="002C3724">
        <w:rPr>
          <w:lang w:val="es-ES"/>
        </w:rPr>
        <w:t>y que se consideran documentos del Contrato a dichos efectos.</w:t>
      </w:r>
    </w:p>
    <w:p w14:paraId="06FC1AE0" w14:textId="77777777" w:rsidR="00177852" w:rsidRPr="00685F00" w:rsidRDefault="00177852" w:rsidP="000313DD">
      <w:pPr>
        <w:pStyle w:val="TITU2"/>
      </w:pPr>
      <w:bookmarkStart w:id="147" w:name="_Toc123104847"/>
      <w:bookmarkStart w:id="148" w:name="_Toc240349816"/>
      <w:bookmarkStart w:id="149" w:name="_Toc277523151"/>
      <w:bookmarkStart w:id="150" w:name="_Toc511906043"/>
      <w:bookmarkStart w:id="151" w:name="_Toc404068"/>
      <w:r w:rsidRPr="00685F00">
        <w:t xml:space="preserve">104.13. </w:t>
      </w:r>
      <w:r w:rsidR="00BE2E81" w:rsidRPr="00685F00">
        <w:t xml:space="preserve">  </w:t>
      </w:r>
      <w:r w:rsidRPr="00685F00">
        <w:t>Limpieza y terminación de las obras</w:t>
      </w:r>
      <w:bookmarkEnd w:id="147"/>
      <w:bookmarkEnd w:id="148"/>
      <w:bookmarkEnd w:id="149"/>
      <w:bookmarkEnd w:id="150"/>
      <w:bookmarkEnd w:id="151"/>
      <w:r w:rsidR="00C10561" w:rsidRPr="00685F00">
        <w:t xml:space="preserve">    </w:t>
      </w:r>
    </w:p>
    <w:p w14:paraId="109FBD26" w14:textId="77777777" w:rsidR="00177852" w:rsidRPr="00685F00" w:rsidRDefault="002C3724" w:rsidP="00177852">
      <w:pPr>
        <w:pStyle w:val="NORMAL12"/>
        <w:rPr>
          <w:lang w:val="es-ES"/>
        </w:rPr>
      </w:pPr>
      <w:r w:rsidRPr="00685F00">
        <w:rPr>
          <w:lang w:val="es-ES"/>
        </w:rPr>
        <w:t xml:space="preserve">Con carácter general </w:t>
      </w:r>
      <w:r w:rsidR="00BE2E81" w:rsidRPr="00685F00">
        <w:rPr>
          <w:lang w:val="es-ES"/>
        </w:rPr>
        <w:t>u</w:t>
      </w:r>
      <w:r w:rsidR="00177852" w:rsidRPr="00685F00">
        <w:rPr>
          <w:lang w:val="es-ES"/>
        </w:rPr>
        <w:t>na vez terminada la obra, y antes de su recepción, se procederá a su limpieza, retirando los materiales sobrantes o desechados, escombros, obras auxiliares, instalaciones, almacenes y edificios que no sean precisos para la conservación durante el plazo de garantía.</w:t>
      </w:r>
    </w:p>
    <w:p w14:paraId="5B281001" w14:textId="77777777" w:rsidR="00177852" w:rsidRPr="00685F00" w:rsidRDefault="00177852" w:rsidP="00177852">
      <w:pPr>
        <w:pStyle w:val="NORMAL12"/>
        <w:rPr>
          <w:lang w:val="es-ES"/>
        </w:rPr>
      </w:pPr>
      <w:r w:rsidRPr="00685F00">
        <w:rPr>
          <w:lang w:val="es-ES"/>
        </w:rPr>
        <w:t xml:space="preserve">Esta limpieza se extenderá a las zonas de dominio, servidumbre y afección de la vía, así como a los terrenos que hayan sido ocupados temporalmente, debiendo quedar unos y otros en situación análoga a como se encontraban antes del inicio de la obra o similar a su entorno, de acuerdo con lo indicado en </w:t>
      </w:r>
      <w:r w:rsidR="0006126B" w:rsidRPr="00685F00">
        <w:rPr>
          <w:lang w:val="es-ES"/>
        </w:rPr>
        <w:t xml:space="preserve">el artículo 9 de </w:t>
      </w:r>
      <w:r w:rsidRPr="00685F00">
        <w:rPr>
          <w:lang w:val="es-ES"/>
        </w:rPr>
        <w:t xml:space="preserve">la Orden Ministerial de 31 de </w:t>
      </w:r>
      <w:proofErr w:type="gramStart"/>
      <w:r w:rsidRPr="00685F00">
        <w:rPr>
          <w:lang w:val="es-ES"/>
        </w:rPr>
        <w:t>Agosto</w:t>
      </w:r>
      <w:proofErr w:type="gramEnd"/>
      <w:r w:rsidRPr="00685F00">
        <w:rPr>
          <w:lang w:val="es-ES"/>
        </w:rPr>
        <w:t xml:space="preserve"> de 1987.</w:t>
      </w:r>
    </w:p>
    <w:p w14:paraId="2AFACEDB" w14:textId="77777777" w:rsidR="00685F00" w:rsidRPr="00685F00" w:rsidRDefault="00685F00" w:rsidP="00177852">
      <w:pPr>
        <w:pStyle w:val="NORMAL12"/>
        <w:rPr>
          <w:lang w:val="es-ES"/>
        </w:rPr>
      </w:pPr>
      <w:r w:rsidRPr="003327CC">
        <w:rPr>
          <w:lang w:val="es-ES"/>
        </w:rPr>
        <w:t>La medición y abono de la unidad se realizará según lo establecido en el artículo 990 del</w:t>
      </w:r>
      <w:r w:rsidRPr="00685F00">
        <w:rPr>
          <w:lang w:val="es-ES"/>
        </w:rPr>
        <w:t xml:space="preserve"> presente pliego</w:t>
      </w:r>
      <w:r>
        <w:rPr>
          <w:lang w:val="es-ES"/>
        </w:rPr>
        <w:t>.</w:t>
      </w:r>
    </w:p>
    <w:p w14:paraId="72DE6EE3" w14:textId="77777777" w:rsidR="00177852" w:rsidRPr="005864C2" w:rsidRDefault="00177852" w:rsidP="000313DD">
      <w:pPr>
        <w:pStyle w:val="TITU2"/>
      </w:pPr>
      <w:bookmarkStart w:id="152" w:name="_Toc123104848"/>
      <w:bookmarkStart w:id="153" w:name="_Toc240349817"/>
      <w:bookmarkStart w:id="154" w:name="_Toc277523152"/>
      <w:bookmarkStart w:id="155" w:name="_Toc511906044"/>
      <w:bookmarkStart w:id="156" w:name="_Toc404069"/>
      <w:r w:rsidRPr="005864C2">
        <w:t xml:space="preserve">104.14. </w:t>
      </w:r>
      <w:r w:rsidR="00BE2E81">
        <w:t xml:space="preserve">  </w:t>
      </w:r>
      <w:r w:rsidRPr="005864C2">
        <w:t>Ejecución de las obras no especificadas en este Pliego</w:t>
      </w:r>
      <w:bookmarkEnd w:id="152"/>
      <w:bookmarkEnd w:id="153"/>
      <w:bookmarkEnd w:id="154"/>
      <w:bookmarkEnd w:id="155"/>
      <w:bookmarkEnd w:id="156"/>
    </w:p>
    <w:p w14:paraId="5A50F7AB" w14:textId="77777777" w:rsidR="00177852" w:rsidRPr="002C3724" w:rsidRDefault="00177852" w:rsidP="00177852">
      <w:pPr>
        <w:pStyle w:val="NORMAL12"/>
        <w:rPr>
          <w:lang w:val="es-ES"/>
        </w:rPr>
      </w:pPr>
      <w:r w:rsidRPr="0006126B">
        <w:rPr>
          <w:lang w:val="es-ES"/>
        </w:rPr>
        <w:t xml:space="preserve">La ejecución de las unidades de obra del presente proyecto, cuyas especificaciones no figuran en el Pliego de Prescripciones Técnicas Particulares se </w:t>
      </w:r>
      <w:r w:rsidR="00A939EF" w:rsidRPr="0006126B">
        <w:rPr>
          <w:lang w:val="es-ES"/>
        </w:rPr>
        <w:t>hará</w:t>
      </w:r>
      <w:r w:rsidRPr="0006126B">
        <w:rPr>
          <w:lang w:val="es-ES"/>
        </w:rPr>
        <w:t xml:space="preserve"> de acuerdo con lo especificado para las mismas en el PG-3/75 y resto de normativa vigente, o en su defecto </w:t>
      </w:r>
      <w:r w:rsidRPr="002C3724">
        <w:rPr>
          <w:lang w:val="es-ES"/>
        </w:rPr>
        <w:t xml:space="preserve">con lo que ordene el </w:t>
      </w:r>
      <w:proofErr w:type="gramStart"/>
      <w:r w:rsidRPr="002C3724">
        <w:rPr>
          <w:lang w:val="es-ES"/>
        </w:rPr>
        <w:t>Director</w:t>
      </w:r>
      <w:proofErr w:type="gramEnd"/>
      <w:r w:rsidRPr="002C3724">
        <w:rPr>
          <w:lang w:val="es-ES"/>
        </w:rPr>
        <w:t xml:space="preserve"> dentro de la buena práctica para obras similares.</w:t>
      </w:r>
    </w:p>
    <w:p w14:paraId="6F3A490A" w14:textId="77777777" w:rsidR="003B2006" w:rsidRPr="002C3724" w:rsidRDefault="003B2006" w:rsidP="00177852">
      <w:pPr>
        <w:pStyle w:val="NORMAL12"/>
        <w:rPr>
          <w:lang w:val="es-ES"/>
        </w:rPr>
      </w:pPr>
      <w:r w:rsidRPr="002C3724">
        <w:rPr>
          <w:lang w:val="es-ES"/>
        </w:rPr>
        <w:t>Para la realización de las obras no especificadas en este pliego, se requiere la autorización del órgano de contratación y de la Dirección de Obra.</w:t>
      </w:r>
    </w:p>
    <w:p w14:paraId="2A10F062" w14:textId="77777777" w:rsidR="00177852" w:rsidRPr="0006126B" w:rsidRDefault="00177852" w:rsidP="00177852">
      <w:pPr>
        <w:pStyle w:val="NORMAL12"/>
        <w:rPr>
          <w:lang w:val="es-ES"/>
        </w:rPr>
      </w:pPr>
      <w:r w:rsidRPr="0006126B">
        <w:rPr>
          <w:lang w:val="es-ES"/>
        </w:rPr>
        <w:t>Tendrán el mismo tratamiento las unidades de obra no desarrolladas en el presente Pliego pero que hayan sido definidos en los planos y/o presupuestadas.</w:t>
      </w:r>
    </w:p>
    <w:p w14:paraId="66E29ADE" w14:textId="77777777" w:rsidR="00177852" w:rsidRPr="005864C2" w:rsidRDefault="00177852" w:rsidP="000313DD">
      <w:pPr>
        <w:pStyle w:val="TITU2"/>
      </w:pPr>
      <w:bookmarkStart w:id="157" w:name="_Toc123104849"/>
      <w:bookmarkStart w:id="158" w:name="_Toc240349818"/>
      <w:bookmarkStart w:id="159" w:name="_Toc277523153"/>
      <w:bookmarkStart w:id="160" w:name="_Toc511906045"/>
      <w:bookmarkStart w:id="161" w:name="_Toc404070"/>
      <w:r w:rsidRPr="005864C2">
        <w:t xml:space="preserve">104.15. </w:t>
      </w:r>
      <w:r w:rsidR="00BE2E81">
        <w:t xml:space="preserve">  </w:t>
      </w:r>
      <w:r w:rsidRPr="005864C2">
        <w:t>Instalaciones auxiliares</w:t>
      </w:r>
      <w:bookmarkEnd w:id="157"/>
      <w:bookmarkEnd w:id="158"/>
      <w:bookmarkEnd w:id="159"/>
      <w:bookmarkEnd w:id="160"/>
      <w:bookmarkEnd w:id="161"/>
    </w:p>
    <w:p w14:paraId="1E5C2A7D" w14:textId="77777777" w:rsidR="00177852" w:rsidRPr="0006126B" w:rsidRDefault="00177852" w:rsidP="00177852">
      <w:pPr>
        <w:pStyle w:val="NORMAL12"/>
        <w:rPr>
          <w:lang w:val="es-ES"/>
        </w:rPr>
      </w:pPr>
      <w:r w:rsidRPr="0006126B">
        <w:rPr>
          <w:lang w:val="es-ES"/>
        </w:rPr>
        <w:t xml:space="preserve">La ubicación de las instalaciones de obra deberá someterse a la aprobación previa del Ingeniero </w:t>
      </w:r>
      <w:proofErr w:type="gramStart"/>
      <w:r w:rsidRPr="0006126B">
        <w:rPr>
          <w:lang w:val="es-ES"/>
        </w:rPr>
        <w:t>Director</w:t>
      </w:r>
      <w:proofErr w:type="gramEnd"/>
      <w:r w:rsidRPr="0006126B">
        <w:rPr>
          <w:lang w:val="es-ES"/>
        </w:rPr>
        <w:t xml:space="preserve">. En cualquier </w:t>
      </w:r>
      <w:proofErr w:type="gramStart"/>
      <w:r w:rsidRPr="0006126B">
        <w:rPr>
          <w:lang w:val="es-ES"/>
        </w:rPr>
        <w:t>caso</w:t>
      </w:r>
      <w:proofErr w:type="gramEnd"/>
      <w:r w:rsidRPr="0006126B">
        <w:rPr>
          <w:lang w:val="es-ES"/>
        </w:rPr>
        <w:t xml:space="preserve"> queda expresamente prohibida la ubicación de instalaciones en áreas en las que pueda afectarse al sistema hidrológico, así como en las zonas de exclusión de instalaciones que se indica en la memoria del Proyecto.</w:t>
      </w:r>
    </w:p>
    <w:p w14:paraId="50D6D035" w14:textId="77777777" w:rsidR="00177852" w:rsidRPr="005864C2" w:rsidRDefault="00177852" w:rsidP="000313DD">
      <w:pPr>
        <w:pStyle w:val="TITU2"/>
      </w:pPr>
      <w:bookmarkStart w:id="162" w:name="_Toc123104850"/>
      <w:bookmarkStart w:id="163" w:name="_Toc240349819"/>
      <w:bookmarkStart w:id="164" w:name="_Toc277523154"/>
      <w:bookmarkStart w:id="165" w:name="_Toc511906046"/>
      <w:bookmarkStart w:id="166" w:name="_Toc404071"/>
      <w:r w:rsidRPr="005864C2">
        <w:lastRenderedPageBreak/>
        <w:t>104.16.</w:t>
      </w:r>
      <w:r w:rsidR="00BE2E81">
        <w:t xml:space="preserve">  </w:t>
      </w:r>
      <w:r w:rsidRPr="005864C2">
        <w:t xml:space="preserve"> Conservación del Medio Ambiente</w:t>
      </w:r>
      <w:bookmarkEnd w:id="162"/>
      <w:bookmarkEnd w:id="163"/>
      <w:bookmarkEnd w:id="164"/>
      <w:bookmarkEnd w:id="165"/>
      <w:bookmarkEnd w:id="166"/>
    </w:p>
    <w:p w14:paraId="5BFE5014" w14:textId="77777777" w:rsidR="00177852" w:rsidRPr="002C3724" w:rsidRDefault="00177852" w:rsidP="00177852">
      <w:pPr>
        <w:pStyle w:val="NORMAL12"/>
        <w:rPr>
          <w:lang w:val="es-ES"/>
        </w:rPr>
      </w:pPr>
      <w:r w:rsidRPr="0006126B">
        <w:rPr>
          <w:lang w:val="es-ES"/>
        </w:rPr>
        <w:t xml:space="preserve">El Contratista deberá cumplir, durante la ejecución de las obras y su período de garantía, un programa de seguimiento y vigilancia ambiental, de forma que se ajuste la ejecución de las distintas obras a las previsiones del presente Pliego, a fin de reducir la incidencia </w:t>
      </w:r>
      <w:r w:rsidRPr="002C3724">
        <w:rPr>
          <w:lang w:val="es-ES"/>
        </w:rPr>
        <w:t xml:space="preserve">ambiental que la ejecución de </w:t>
      </w:r>
      <w:proofErr w:type="gramStart"/>
      <w:r w:rsidRPr="002C3724">
        <w:rPr>
          <w:lang w:val="es-ES"/>
        </w:rPr>
        <w:t>las mismas</w:t>
      </w:r>
      <w:proofErr w:type="gramEnd"/>
      <w:r w:rsidRPr="002C3724">
        <w:rPr>
          <w:lang w:val="es-ES"/>
        </w:rPr>
        <w:t xml:space="preserve"> pueda originar.</w:t>
      </w:r>
    </w:p>
    <w:p w14:paraId="4652EC67" w14:textId="77777777" w:rsidR="00B62843" w:rsidRPr="002C3724" w:rsidRDefault="00B62843" w:rsidP="00177852">
      <w:pPr>
        <w:pStyle w:val="NORMAL12"/>
        <w:rPr>
          <w:lang w:val="es-ES"/>
        </w:rPr>
      </w:pPr>
      <w:r w:rsidRPr="002C3724">
        <w:rPr>
          <w:lang w:val="es-ES"/>
        </w:rPr>
        <w:t>Igualmente se debe cumplir las prescripciones establecidas en la Declaración de Impacto Ambiental (DIA) y Programa de Vigilancia Ambiental (PVA).</w:t>
      </w:r>
    </w:p>
    <w:p w14:paraId="7643FCC9" w14:textId="77777777" w:rsidR="00177852" w:rsidRPr="000E6E7D" w:rsidRDefault="00177852" w:rsidP="00177852">
      <w:pPr>
        <w:pStyle w:val="NORMAL12"/>
        <w:rPr>
          <w:lang w:val="es-ES"/>
        </w:rPr>
      </w:pPr>
      <w:r w:rsidRPr="000E6E7D">
        <w:rPr>
          <w:lang w:val="es-ES"/>
        </w:rPr>
        <w:t>En general, prestará atención al efecto que puedan tener las distintas operaciones e instalaciones que necesite realizar para la ejecución de los trabajos, sobre la estética del medio en que se desarrollen las obras.</w:t>
      </w:r>
      <w:r w:rsidR="000E6E7D">
        <w:rPr>
          <w:lang w:val="es-ES"/>
        </w:rPr>
        <w:t xml:space="preserve"> </w:t>
      </w:r>
      <w:r w:rsidR="000E6E7D" w:rsidRPr="009B23E5">
        <w:t>Se tendrá especial cuidado en el tratamiento de los materiales clasificados como peligrosos antes, durante y después de la obra</w:t>
      </w:r>
      <w:r w:rsidR="000E6E7D">
        <w:t>.</w:t>
      </w:r>
    </w:p>
    <w:p w14:paraId="2945B544" w14:textId="77777777" w:rsidR="00177852" w:rsidRPr="000E6E7D" w:rsidRDefault="00177852" w:rsidP="00177852">
      <w:pPr>
        <w:pStyle w:val="NORMAL12"/>
        <w:rPr>
          <w:lang w:val="es-ES"/>
        </w:rPr>
      </w:pPr>
      <w:r w:rsidRPr="000E6E7D">
        <w:rPr>
          <w:lang w:val="es-ES"/>
        </w:rPr>
        <w:t xml:space="preserve">En tal sentido, cuidará que los árboles, pretiles, </w:t>
      </w:r>
      <w:r w:rsidRPr="002C3724">
        <w:rPr>
          <w:lang w:val="es-ES"/>
        </w:rPr>
        <w:t xml:space="preserve">edificios, jardines y demás elementos que puedan ser dañados durante las obras, sean debidamente protegidos, </w:t>
      </w:r>
      <w:r w:rsidR="00B62843" w:rsidRPr="002C3724">
        <w:rPr>
          <w:lang w:val="es-ES"/>
        </w:rPr>
        <w:t xml:space="preserve">con el fin de evitar </w:t>
      </w:r>
      <w:r w:rsidRPr="002C3724">
        <w:rPr>
          <w:lang w:val="es-ES"/>
        </w:rPr>
        <w:t>posibles destrozos que, de producirse, serán subsanados a su costa. Asimismo, el Contratista estará obligado a trasladar los árboles que la</w:t>
      </w:r>
      <w:r w:rsidR="00BC0A19">
        <w:rPr>
          <w:lang w:val="es-ES"/>
        </w:rPr>
        <w:t>s</w:t>
      </w:r>
      <w:r w:rsidR="00B62843" w:rsidRPr="002C3724">
        <w:rPr>
          <w:lang w:val="es-ES"/>
        </w:rPr>
        <w:t xml:space="preserve"> Autoridad</w:t>
      </w:r>
      <w:r w:rsidR="00BC0A19">
        <w:rPr>
          <w:lang w:val="es-ES"/>
        </w:rPr>
        <w:t>es</w:t>
      </w:r>
      <w:r w:rsidR="00B62843" w:rsidRPr="002C3724">
        <w:rPr>
          <w:lang w:val="es-ES"/>
        </w:rPr>
        <w:t xml:space="preserve"> competente</w:t>
      </w:r>
      <w:r w:rsidR="00BC0A19">
        <w:rPr>
          <w:lang w:val="es-ES"/>
        </w:rPr>
        <w:t>s</w:t>
      </w:r>
      <w:r w:rsidRPr="002C3724">
        <w:rPr>
          <w:lang w:val="es-ES"/>
        </w:rPr>
        <w:t xml:space="preserve"> considere necesario aprovechar, manteniéndolos vivos durante la duración de las obras.</w:t>
      </w:r>
    </w:p>
    <w:p w14:paraId="7247AA1F" w14:textId="77777777" w:rsidR="00177852" w:rsidRPr="000E6E7D" w:rsidRDefault="00177852" w:rsidP="00177852">
      <w:pPr>
        <w:pStyle w:val="NORMAL12"/>
        <w:rPr>
          <w:lang w:val="es-ES"/>
        </w:rPr>
      </w:pPr>
      <w:r w:rsidRPr="000E6E7D">
        <w:rPr>
          <w:lang w:val="es-ES"/>
        </w:rPr>
        <w:t xml:space="preserve">Asimismo, cuidará el emplazamiento y sentido estético de sus instalaciones, construcciones, depósitos y acopios que, en todo caso, deberán ser previamente autorizados por el Ingeniero </w:t>
      </w:r>
      <w:proofErr w:type="gramStart"/>
      <w:r w:rsidRPr="000E6E7D">
        <w:rPr>
          <w:lang w:val="es-ES"/>
        </w:rPr>
        <w:t>Director</w:t>
      </w:r>
      <w:proofErr w:type="gramEnd"/>
      <w:r w:rsidRPr="000E6E7D">
        <w:rPr>
          <w:lang w:val="es-ES"/>
        </w:rPr>
        <w:t xml:space="preserve"> de las obras. Estará obligado a colocar los filtros, capas de decantación y elementos de depuración necesarios para mantener los índices de polución por debajo de los límites máximos autorizados por la legislación vigente.</w:t>
      </w:r>
    </w:p>
    <w:p w14:paraId="42565ED9" w14:textId="77777777" w:rsidR="00177852" w:rsidRPr="005864C2" w:rsidRDefault="00177852" w:rsidP="000313DD">
      <w:pPr>
        <w:pStyle w:val="TITU2"/>
      </w:pPr>
      <w:bookmarkStart w:id="167" w:name="_Toc123104851"/>
      <w:bookmarkStart w:id="168" w:name="_Toc240349820"/>
      <w:bookmarkStart w:id="169" w:name="_Toc277523155"/>
      <w:bookmarkStart w:id="170" w:name="_Toc511906047"/>
      <w:bookmarkStart w:id="171" w:name="_Toc404072"/>
      <w:r w:rsidRPr="005864C2">
        <w:t xml:space="preserve">104.17. </w:t>
      </w:r>
      <w:r w:rsidR="00BE2E81">
        <w:t xml:space="preserve">  </w:t>
      </w:r>
      <w:r w:rsidRPr="005864C2">
        <w:t>Protección del tráfico</w:t>
      </w:r>
      <w:bookmarkEnd w:id="167"/>
      <w:bookmarkEnd w:id="168"/>
      <w:bookmarkEnd w:id="169"/>
      <w:bookmarkEnd w:id="170"/>
      <w:bookmarkEnd w:id="171"/>
    </w:p>
    <w:p w14:paraId="068180C7" w14:textId="77777777" w:rsidR="00A86777" w:rsidRDefault="00177852" w:rsidP="00177852">
      <w:pPr>
        <w:pStyle w:val="NORMAL12"/>
        <w:rPr>
          <w:lang w:val="es-ES"/>
        </w:rPr>
      </w:pPr>
      <w:r w:rsidRPr="000E6E7D">
        <w:rPr>
          <w:lang w:val="es-ES"/>
        </w:rPr>
        <w:t xml:space="preserve">Mientras dure la ejecución de las obras, se colocarán en todos los puntos donde sea necesario, y a fin </w:t>
      </w:r>
      <w:r w:rsidRPr="002C3724">
        <w:rPr>
          <w:lang w:val="es-ES"/>
        </w:rPr>
        <w:t xml:space="preserve">de mantener la debida seguridad vial, las señales y el balizamiento preceptivos, de acuerdo con la normativa </w:t>
      </w:r>
      <w:proofErr w:type="gramStart"/>
      <w:r w:rsidRPr="002C3724">
        <w:rPr>
          <w:lang w:val="es-ES"/>
        </w:rPr>
        <w:t>vigente</w:t>
      </w:r>
      <w:proofErr w:type="gramEnd"/>
      <w:r w:rsidRPr="002C3724">
        <w:rPr>
          <w:lang w:val="es-ES"/>
        </w:rPr>
        <w:t xml:space="preserve"> así como con el Código de la Circulación y el Plan de Seguridad y Salud.</w:t>
      </w:r>
      <w:r w:rsidR="00A86777" w:rsidRPr="002C3724">
        <w:rPr>
          <w:lang w:val="es-ES"/>
        </w:rPr>
        <w:t xml:space="preserve"> Se deben cumplir lo indicado en los planos de señalización del proyecto o en aquellos planos alternativos aprobados por la Dirección de Obra durante la ejecución de </w:t>
      </w:r>
      <w:proofErr w:type="gramStart"/>
      <w:r w:rsidR="00A86777" w:rsidRPr="002C3724">
        <w:rPr>
          <w:lang w:val="es-ES"/>
        </w:rPr>
        <w:t>la misma</w:t>
      </w:r>
      <w:proofErr w:type="gramEnd"/>
      <w:r w:rsidR="00A86777" w:rsidRPr="002C3724">
        <w:rPr>
          <w:lang w:val="es-ES"/>
        </w:rPr>
        <w:t>.</w:t>
      </w:r>
      <w:r w:rsidRPr="00A86777">
        <w:rPr>
          <w:color w:val="548DD4" w:themeColor="text2" w:themeTint="99"/>
          <w:lang w:val="es-ES"/>
        </w:rPr>
        <w:t xml:space="preserve"> </w:t>
      </w:r>
    </w:p>
    <w:p w14:paraId="313612E2" w14:textId="77777777" w:rsidR="00177852" w:rsidRPr="000E6E7D" w:rsidRDefault="00177852" w:rsidP="00177852">
      <w:pPr>
        <w:pStyle w:val="NORMAL12"/>
        <w:rPr>
          <w:lang w:val="es-ES"/>
        </w:rPr>
      </w:pPr>
      <w:r w:rsidRPr="000E6E7D">
        <w:rPr>
          <w:lang w:val="es-ES"/>
        </w:rPr>
        <w:t>La permanencia y eficacia de estas señales deberá estar garantizada por los vigilantes que fueran necesarios; tanto las señales como los jornales de éstos últimos, serán de cuenta del Contratista.</w:t>
      </w:r>
    </w:p>
    <w:p w14:paraId="027F319C" w14:textId="77777777" w:rsidR="00177852" w:rsidRPr="000E6E7D" w:rsidRDefault="00177852" w:rsidP="00177852">
      <w:pPr>
        <w:pStyle w:val="NORMAL12"/>
        <w:rPr>
          <w:lang w:val="es-ES"/>
        </w:rPr>
      </w:pPr>
      <w:r w:rsidRPr="000E6E7D">
        <w:rPr>
          <w:lang w:val="es-ES"/>
        </w:rPr>
        <w:t>La responsabilidad de los accidentes ocurridos por la inobservancia de lo exigido en este Artículo será, por entero, del Contratista, quien deberá, además reparar a su cargo los daños locales en las unidades de obra ejecutadas y sobre las que ha de pasar el tráfico, para garantizar la seguridad vial de éste y dejar la unidad correctamente terminada.</w:t>
      </w:r>
    </w:p>
    <w:p w14:paraId="649EE86A" w14:textId="77777777" w:rsidR="00177852" w:rsidRPr="000E6E7D" w:rsidRDefault="00177852" w:rsidP="00177852">
      <w:pPr>
        <w:pStyle w:val="NORMAL12"/>
        <w:rPr>
          <w:lang w:val="es-ES"/>
        </w:rPr>
      </w:pPr>
      <w:r w:rsidRPr="000E6E7D">
        <w:rPr>
          <w:lang w:val="es-ES"/>
        </w:rPr>
        <w:t>Las obras se ejecutarán de forma que el tráfico ajeno a las mismas, en las zonas que afecte a calles y servicios existentes, encuentre en todo momento un paso en buenas condiciones de vialidad, ejecutándose, si fuera preciso, a expensas del Contratista, viales provisionales para desviarlo.</w:t>
      </w:r>
    </w:p>
    <w:p w14:paraId="3F4713EF" w14:textId="77777777" w:rsidR="00177852" w:rsidRPr="000E6E7D" w:rsidRDefault="00177852" w:rsidP="00177852">
      <w:pPr>
        <w:pStyle w:val="NORMAL12"/>
        <w:rPr>
          <w:lang w:val="es-ES"/>
        </w:rPr>
      </w:pPr>
      <w:r w:rsidRPr="000E6E7D">
        <w:rPr>
          <w:lang w:val="es-ES"/>
        </w:rPr>
        <w:t xml:space="preserve">Observará, además, el Contratista cuantas disposiciones le sean dictadas por el Ingeniero </w:t>
      </w:r>
      <w:proofErr w:type="gramStart"/>
      <w:r w:rsidRPr="000E6E7D">
        <w:rPr>
          <w:lang w:val="es-ES"/>
        </w:rPr>
        <w:t>Director</w:t>
      </w:r>
      <w:proofErr w:type="gramEnd"/>
      <w:r w:rsidRPr="000E6E7D">
        <w:rPr>
          <w:lang w:val="es-ES"/>
        </w:rPr>
        <w:t xml:space="preserve"> de las Obras, encaminadas a garantizar la seguridad del tráfico y acatará todas las disposiciones que dicte el facultativo arriba indicado por sí o por persona en quien delegue con objeto de asegurar la buena marcha del desarrollo de las obras desde este punto de vista.</w:t>
      </w:r>
    </w:p>
    <w:p w14:paraId="24D4981C" w14:textId="77777777" w:rsidR="00177852" w:rsidRPr="00A939EF" w:rsidRDefault="000E6E7D" w:rsidP="000313DD">
      <w:pPr>
        <w:pStyle w:val="TITU2"/>
      </w:pPr>
      <w:bookmarkStart w:id="172" w:name="_Toc404073"/>
      <w:r w:rsidRPr="00A939EF">
        <w:t xml:space="preserve">104.18. </w:t>
      </w:r>
      <w:r w:rsidR="00BE2E81">
        <w:t xml:space="preserve">  </w:t>
      </w:r>
      <w:r w:rsidRPr="00A939EF">
        <w:t>Estudios complementarios</w:t>
      </w:r>
      <w:bookmarkEnd w:id="172"/>
    </w:p>
    <w:p w14:paraId="0ADC2D50" w14:textId="77777777" w:rsidR="000E6E7D" w:rsidRPr="00A939EF" w:rsidRDefault="000E6E7D" w:rsidP="000E6E7D">
      <w:pPr>
        <w:pStyle w:val="NORMAL12"/>
        <w:rPr>
          <w:lang w:val="es-ES"/>
        </w:rPr>
      </w:pPr>
      <w:r w:rsidRPr="00A939EF">
        <w:rPr>
          <w:lang w:val="es-ES"/>
        </w:rPr>
        <w:t>La ingeniería que sea necesaria desarrollar para la correcta ejecución del contrato, o como consecuencia de incidencias o modificaciones, será realizada por el Contratista, sin perjuicio de que su tramitación corresponda a la Dirección de Obra.</w:t>
      </w:r>
    </w:p>
    <w:p w14:paraId="3BC2FFF3" w14:textId="77777777" w:rsidR="000E6E7D" w:rsidRPr="00A939EF" w:rsidRDefault="000E6E7D" w:rsidP="000E6E7D">
      <w:pPr>
        <w:pStyle w:val="NORMAL12"/>
        <w:rPr>
          <w:lang w:val="es-ES"/>
        </w:rPr>
      </w:pPr>
      <w:r w:rsidRPr="00A939EF">
        <w:rPr>
          <w:lang w:val="es-ES"/>
        </w:rPr>
        <w:t>El desarrollo de tal ingeniería se considera incluido en los términos del contrato, no resultando, por tanto, de abono independiente, salvo aquellas partidas de ingeniería o estudios complementarios expresamente incluidas en el Presupuesto y con el alcance definido en el presente Pliego.</w:t>
      </w:r>
    </w:p>
    <w:p w14:paraId="42E1D55C" w14:textId="77777777" w:rsidR="00177852" w:rsidRPr="000E6E7D" w:rsidRDefault="00177852" w:rsidP="00177852">
      <w:pPr>
        <w:pStyle w:val="TITU1"/>
      </w:pPr>
      <w:bookmarkStart w:id="173" w:name="_Toc123104852"/>
      <w:bookmarkStart w:id="174" w:name="_Toc183257573"/>
      <w:bookmarkStart w:id="175" w:name="_Toc240349821"/>
      <w:bookmarkStart w:id="176" w:name="_Toc277523156"/>
      <w:bookmarkStart w:id="177" w:name="_Toc511906048"/>
      <w:bookmarkStart w:id="178" w:name="_Toc404074"/>
      <w:r w:rsidRPr="000E6E7D">
        <w:lastRenderedPageBreak/>
        <w:t>Artículo 105. Responsabilidades especiales del Contratista</w:t>
      </w:r>
      <w:bookmarkEnd w:id="173"/>
      <w:bookmarkEnd w:id="174"/>
      <w:bookmarkEnd w:id="175"/>
      <w:bookmarkEnd w:id="176"/>
      <w:bookmarkEnd w:id="177"/>
      <w:bookmarkEnd w:id="178"/>
    </w:p>
    <w:p w14:paraId="6CC2FA38" w14:textId="77777777" w:rsidR="00177852" w:rsidRPr="000E6E7D" w:rsidRDefault="00177852" w:rsidP="00177852">
      <w:pPr>
        <w:pStyle w:val="NORMAL12"/>
        <w:rPr>
          <w:lang w:val="es-ES"/>
        </w:rPr>
      </w:pPr>
      <w:r w:rsidRPr="000E6E7D">
        <w:rPr>
          <w:lang w:val="es-ES"/>
        </w:rPr>
        <w:t>Serán de aplicación todas las disposiciones generales recogidas en el artículo 105 del PG-3 y en la normativa vigente.</w:t>
      </w:r>
    </w:p>
    <w:p w14:paraId="0F062158" w14:textId="77777777" w:rsidR="00177852" w:rsidRPr="000E6E7D" w:rsidRDefault="00177852" w:rsidP="00177852">
      <w:pPr>
        <w:pStyle w:val="NORMAL12"/>
        <w:rPr>
          <w:lang w:val="es-ES"/>
        </w:rPr>
      </w:pPr>
      <w:r w:rsidRPr="000E6E7D">
        <w:rPr>
          <w:lang w:val="es-ES"/>
        </w:rPr>
        <w:t>También será de aplicación el Pliego de Cláusulas Administrativas Particulares que se apruebe para la contratación de estas obras</w:t>
      </w:r>
      <w:r w:rsidR="002C3724">
        <w:rPr>
          <w:lang w:val="es-ES"/>
        </w:rPr>
        <w:t>.</w:t>
      </w:r>
    </w:p>
    <w:p w14:paraId="7939EF21" w14:textId="77777777" w:rsidR="00177852" w:rsidRPr="000E6E7D" w:rsidRDefault="00177852" w:rsidP="000313DD">
      <w:pPr>
        <w:pStyle w:val="TITU2"/>
      </w:pPr>
      <w:bookmarkStart w:id="179" w:name="_Toc240349822"/>
      <w:bookmarkStart w:id="180" w:name="_Toc277523157"/>
      <w:bookmarkStart w:id="181" w:name="_Toc511906049"/>
      <w:bookmarkStart w:id="182" w:name="_Toc404075"/>
      <w:r w:rsidRPr="000E6E7D">
        <w:t xml:space="preserve">105.1. </w:t>
      </w:r>
      <w:bookmarkEnd w:id="179"/>
      <w:r w:rsidRPr="000E6E7D">
        <w:tab/>
        <w:t>Daños y perjuicios</w:t>
      </w:r>
      <w:bookmarkEnd w:id="180"/>
      <w:bookmarkEnd w:id="181"/>
      <w:bookmarkEnd w:id="182"/>
    </w:p>
    <w:p w14:paraId="3E97ADBD" w14:textId="77777777" w:rsidR="00177852" w:rsidRPr="000E6E7D" w:rsidRDefault="00177852" w:rsidP="00177852">
      <w:pPr>
        <w:pStyle w:val="NORMAL12"/>
        <w:rPr>
          <w:lang w:val="es-ES"/>
        </w:rPr>
      </w:pPr>
      <w:r w:rsidRPr="000E6E7D">
        <w:rPr>
          <w:lang w:val="es-ES"/>
        </w:rPr>
        <w:t xml:space="preserve">El Contratista será responsable, durante la ejecución de las </w:t>
      </w:r>
      <w:r w:rsidR="000E6E7D" w:rsidRPr="000E6E7D">
        <w:rPr>
          <w:lang w:val="es-ES"/>
        </w:rPr>
        <w:t>actuaciones proyectadas</w:t>
      </w:r>
      <w:r w:rsidRPr="000E6E7D">
        <w:rPr>
          <w:lang w:val="es-ES"/>
        </w:rPr>
        <w:t>, de todos los daños y perjuicios directos o indirectos que se puedan ocasionar a cualquier</w:t>
      </w:r>
      <w:r w:rsidRPr="005864C2">
        <w:rPr>
          <w:color w:val="365F91" w:themeColor="accent1" w:themeShade="BF"/>
          <w:lang w:val="es-ES"/>
        </w:rPr>
        <w:t xml:space="preserve"> </w:t>
      </w:r>
      <w:r w:rsidRPr="000E6E7D">
        <w:rPr>
          <w:lang w:val="es-ES"/>
        </w:rPr>
        <w:t xml:space="preserve">persona, propiedad o servicio, público o privado, como consecuencia de los actos, omisiones o negligencias del personal a su cargo, o de una deficiente organización de las </w:t>
      </w:r>
      <w:r w:rsidR="000E6E7D" w:rsidRPr="000E6E7D">
        <w:rPr>
          <w:lang w:val="es-ES"/>
        </w:rPr>
        <w:t>actuaciones</w:t>
      </w:r>
      <w:r w:rsidRPr="000E6E7D">
        <w:rPr>
          <w:lang w:val="es-ES"/>
        </w:rPr>
        <w:t>.</w:t>
      </w:r>
    </w:p>
    <w:p w14:paraId="5BF1031A" w14:textId="77777777" w:rsidR="00177852" w:rsidRPr="000E6E7D" w:rsidRDefault="00177852" w:rsidP="00177852">
      <w:pPr>
        <w:pStyle w:val="NORMAL12"/>
        <w:rPr>
          <w:lang w:val="es-ES"/>
        </w:rPr>
      </w:pPr>
      <w:r w:rsidRPr="000E6E7D">
        <w:rPr>
          <w:lang w:val="es-ES"/>
        </w:rPr>
        <w:t xml:space="preserve">Los servicios y propiedades públicos y privados que resulten dañados deberán ser reparados por el Contratista a su costa, restableciendo los mismos a sus condiciones primitivas o compensando adecuadamente los daños y perjuicios causados. </w:t>
      </w:r>
    </w:p>
    <w:p w14:paraId="4810D54F" w14:textId="77777777" w:rsidR="003327CC" w:rsidRDefault="00177852" w:rsidP="00177852">
      <w:pPr>
        <w:pStyle w:val="NORMAL12"/>
        <w:rPr>
          <w:lang w:val="es-ES"/>
        </w:rPr>
      </w:pPr>
      <w:r w:rsidRPr="003327CC">
        <w:rPr>
          <w:lang w:val="es-ES"/>
        </w:rPr>
        <w:t>Las personas que resulten perjudicadas deberán ser compensadas a costa del Contratista.</w:t>
      </w:r>
      <w:r w:rsidR="00B32C82">
        <w:rPr>
          <w:lang w:val="es-ES"/>
        </w:rPr>
        <w:t xml:space="preserve"> </w:t>
      </w:r>
    </w:p>
    <w:p w14:paraId="48D421DF" w14:textId="77777777" w:rsidR="00177852" w:rsidRPr="000E6E7D" w:rsidRDefault="00177852" w:rsidP="00177852">
      <w:pPr>
        <w:pStyle w:val="NORMAL12"/>
        <w:rPr>
          <w:lang w:val="es-ES"/>
        </w:rPr>
      </w:pPr>
      <w:r w:rsidRPr="000E6E7D">
        <w:rPr>
          <w:lang w:val="es-ES"/>
        </w:rPr>
        <w:t>Los servicios públicos o privados afectados por una orden directa de la Administración serán repuestos por cuenta de ésta en la forma que ordene la Dirección de la Obra</w:t>
      </w:r>
      <w:r w:rsidR="000E6E7D">
        <w:rPr>
          <w:lang w:val="es-ES"/>
        </w:rPr>
        <w:t>.</w:t>
      </w:r>
    </w:p>
    <w:p w14:paraId="0D24509D" w14:textId="77777777" w:rsidR="00177852" w:rsidRPr="000E6E7D" w:rsidRDefault="00177852" w:rsidP="000313DD">
      <w:pPr>
        <w:pStyle w:val="TITU2"/>
      </w:pPr>
      <w:bookmarkStart w:id="183" w:name="_Toc123104853"/>
      <w:bookmarkStart w:id="184" w:name="_Toc240349825"/>
      <w:bookmarkStart w:id="185" w:name="_Toc277523158"/>
      <w:bookmarkStart w:id="186" w:name="_Toc511906050"/>
      <w:bookmarkStart w:id="187" w:name="_Toc404076"/>
      <w:r w:rsidRPr="000E6E7D">
        <w:t xml:space="preserve">105.4. </w:t>
      </w:r>
      <w:r w:rsidRPr="000E6E7D">
        <w:tab/>
        <w:t>Permisos y licencias</w:t>
      </w:r>
      <w:bookmarkEnd w:id="183"/>
      <w:bookmarkEnd w:id="184"/>
      <w:bookmarkEnd w:id="185"/>
      <w:bookmarkEnd w:id="186"/>
      <w:bookmarkEnd w:id="187"/>
    </w:p>
    <w:p w14:paraId="45356064" w14:textId="77777777" w:rsidR="00177852" w:rsidRPr="000E6E7D" w:rsidRDefault="00177852" w:rsidP="00177852">
      <w:pPr>
        <w:pStyle w:val="NORMAL12"/>
        <w:rPr>
          <w:lang w:val="es-ES"/>
        </w:rPr>
      </w:pPr>
      <w:r w:rsidRPr="000E6E7D">
        <w:rPr>
          <w:lang w:val="es-ES"/>
        </w:rPr>
        <w:t xml:space="preserve">El Contratista deberá obtener todos los permisos y licencias necesarios, así como redactar los correspondientes proyectos específicos que fuesen necesarios, para la </w:t>
      </w:r>
      <w:r w:rsidRPr="002C3724">
        <w:rPr>
          <w:lang w:val="es-ES"/>
        </w:rPr>
        <w:t>ejecución de las obras con la excepción de los correspondientes a las expropiaciones de las zonas afectadas</w:t>
      </w:r>
      <w:r w:rsidR="00A86777" w:rsidRPr="002C3724">
        <w:rPr>
          <w:lang w:val="es-ES"/>
        </w:rPr>
        <w:t xml:space="preserve"> (</w:t>
      </w:r>
      <w:r w:rsidR="00CD670C">
        <w:rPr>
          <w:lang w:val="es-ES"/>
        </w:rPr>
        <w:t>para alojar</w:t>
      </w:r>
      <w:r w:rsidR="00A86777" w:rsidRPr="002C3724">
        <w:rPr>
          <w:lang w:val="es-ES"/>
        </w:rPr>
        <w:t xml:space="preserve"> las obras previstas)</w:t>
      </w:r>
      <w:r w:rsidRPr="002C3724">
        <w:rPr>
          <w:lang w:val="es-ES"/>
        </w:rPr>
        <w:t>, y deberá abonar todas las cargas, tasas e impuestos derivados de la obtención de aquellos permisos</w:t>
      </w:r>
      <w:r w:rsidRPr="000E6E7D">
        <w:rPr>
          <w:lang w:val="es-ES"/>
        </w:rPr>
        <w:t>.</w:t>
      </w:r>
    </w:p>
    <w:p w14:paraId="2BBFAF80" w14:textId="77777777" w:rsidR="00177852" w:rsidRPr="002C3724" w:rsidRDefault="00177852" w:rsidP="00177852">
      <w:pPr>
        <w:pStyle w:val="NORMAL12"/>
        <w:rPr>
          <w:lang w:val="es-ES"/>
        </w:rPr>
      </w:pPr>
      <w:r w:rsidRPr="000E6E7D">
        <w:rPr>
          <w:lang w:val="es-ES"/>
        </w:rPr>
        <w:t xml:space="preserve">Asimismo, abonará a su costa todos los cánones para la ocupación temporal o definitiva de terrenos para instalaciones, explotación de canteras o vertederos de productos sobrantes, obtención de materiales, etc. El Contratista solo tendrá derecho, en todo caso, a la puesta en práctica de los derechos que, referentes a estas cuestiones, da a la </w:t>
      </w:r>
      <w:r w:rsidRPr="002C3724">
        <w:rPr>
          <w:lang w:val="es-ES"/>
        </w:rPr>
        <w:t xml:space="preserve">Administración Pública la Ley de Expropiación Forzosa, </w:t>
      </w:r>
      <w:proofErr w:type="gramStart"/>
      <w:r w:rsidR="00A86777" w:rsidRPr="002C3724">
        <w:rPr>
          <w:lang w:val="es-ES"/>
        </w:rPr>
        <w:t xml:space="preserve">y </w:t>
      </w:r>
      <w:r w:rsidRPr="002C3724">
        <w:rPr>
          <w:lang w:val="es-ES"/>
        </w:rPr>
        <w:t xml:space="preserve"> deberá</w:t>
      </w:r>
      <w:proofErr w:type="gramEnd"/>
      <w:r w:rsidRPr="002C3724">
        <w:rPr>
          <w:lang w:val="es-ES"/>
        </w:rPr>
        <w:t xml:space="preserve"> abonar, como ya se dijo antes, los justiprecios derivados de las ocupaciones temporales.</w:t>
      </w:r>
      <w:bookmarkStart w:id="188" w:name="_Toc240349823"/>
      <w:r w:rsidRPr="002C3724">
        <w:rPr>
          <w:lang w:val="es-ES"/>
        </w:rPr>
        <w:t xml:space="preserve"> </w:t>
      </w:r>
    </w:p>
    <w:p w14:paraId="73BC8CCD" w14:textId="77777777" w:rsidR="000E0FEA" w:rsidRPr="002C3724" w:rsidRDefault="000E0FEA" w:rsidP="00177852">
      <w:pPr>
        <w:pStyle w:val="NORMAL12"/>
        <w:rPr>
          <w:lang w:val="es-ES"/>
        </w:rPr>
      </w:pPr>
      <w:r w:rsidRPr="002C3724">
        <w:rPr>
          <w:lang w:val="es-ES"/>
        </w:rPr>
        <w:t xml:space="preserve">El contratista será el encargado de realizar los trámites y gestiones necesarias para la </w:t>
      </w:r>
      <w:r w:rsidR="00122F0E" w:rsidRPr="002C3724">
        <w:rPr>
          <w:lang w:val="es-ES"/>
        </w:rPr>
        <w:t xml:space="preserve">realización de la reposición de servicios. </w:t>
      </w:r>
    </w:p>
    <w:p w14:paraId="2372835E" w14:textId="77777777" w:rsidR="00177852" w:rsidRPr="002C3724" w:rsidRDefault="00177852" w:rsidP="000313DD">
      <w:pPr>
        <w:pStyle w:val="TITU2"/>
      </w:pPr>
      <w:bookmarkStart w:id="189" w:name="_Toc277523159"/>
      <w:bookmarkStart w:id="190" w:name="_Toc511906051"/>
      <w:bookmarkStart w:id="191" w:name="_Toc404077"/>
      <w:r w:rsidRPr="002C3724">
        <w:t xml:space="preserve">105.5.  </w:t>
      </w:r>
      <w:r w:rsidRPr="002C3724">
        <w:tab/>
        <w:t>Recepción de materiales</w:t>
      </w:r>
      <w:bookmarkEnd w:id="188"/>
      <w:bookmarkEnd w:id="189"/>
      <w:bookmarkEnd w:id="190"/>
      <w:bookmarkEnd w:id="191"/>
    </w:p>
    <w:p w14:paraId="7B268064" w14:textId="77777777" w:rsidR="00177852" w:rsidRPr="002C3724" w:rsidRDefault="00177852" w:rsidP="00177852">
      <w:pPr>
        <w:pStyle w:val="NORMAL12"/>
        <w:rPr>
          <w:lang w:val="es-ES"/>
        </w:rPr>
      </w:pPr>
      <w:r w:rsidRPr="002C3724">
        <w:rPr>
          <w:lang w:val="es-ES"/>
        </w:rPr>
        <w:t xml:space="preserve">La recepción de los materiales no excluye la responsabilidad del Contratista para </w:t>
      </w:r>
      <w:r w:rsidR="00122F0E" w:rsidRPr="002C3724">
        <w:rPr>
          <w:lang w:val="es-ES"/>
        </w:rPr>
        <w:t xml:space="preserve">garantizar </w:t>
      </w:r>
      <w:r w:rsidRPr="002C3724">
        <w:rPr>
          <w:lang w:val="es-ES"/>
        </w:rPr>
        <w:t xml:space="preserve">la calidad de </w:t>
      </w:r>
      <w:proofErr w:type="gramStart"/>
      <w:r w:rsidRPr="002C3724">
        <w:rPr>
          <w:lang w:val="es-ES"/>
        </w:rPr>
        <w:t>los mismos</w:t>
      </w:r>
      <w:proofErr w:type="gramEnd"/>
      <w:r w:rsidRPr="002C3724">
        <w:rPr>
          <w:lang w:val="es-ES"/>
        </w:rPr>
        <w:t>, que quedará subsistente hasta que se reciban definitivamente las obras en que se hayan empleado.</w:t>
      </w:r>
    </w:p>
    <w:p w14:paraId="0F1874F7" w14:textId="77777777" w:rsidR="00177852" w:rsidRPr="000E6E7D" w:rsidRDefault="00177852" w:rsidP="00177852">
      <w:pPr>
        <w:pStyle w:val="TITU1"/>
      </w:pPr>
      <w:bookmarkStart w:id="192" w:name="_Toc123104854"/>
      <w:bookmarkStart w:id="193" w:name="_Toc183257574"/>
      <w:bookmarkStart w:id="194" w:name="_Toc240349826"/>
      <w:bookmarkStart w:id="195" w:name="_Toc277523160"/>
      <w:bookmarkStart w:id="196" w:name="_Toc511906052"/>
      <w:bookmarkStart w:id="197" w:name="_Toc404078"/>
      <w:r w:rsidRPr="000E6E7D">
        <w:lastRenderedPageBreak/>
        <w:t>Artículo 106.- Medición y abono</w:t>
      </w:r>
      <w:bookmarkEnd w:id="192"/>
      <w:bookmarkEnd w:id="193"/>
      <w:bookmarkEnd w:id="194"/>
      <w:bookmarkEnd w:id="195"/>
      <w:bookmarkEnd w:id="196"/>
      <w:r w:rsidR="000E6E7D" w:rsidRPr="000E6E7D">
        <w:t xml:space="preserve"> de la obra</w:t>
      </w:r>
      <w:bookmarkEnd w:id="197"/>
    </w:p>
    <w:p w14:paraId="384BEC4A" w14:textId="77777777" w:rsidR="00177852" w:rsidRPr="000E6E7D" w:rsidRDefault="00177852" w:rsidP="00177852">
      <w:pPr>
        <w:pStyle w:val="NORMAL12"/>
        <w:rPr>
          <w:lang w:val="es-ES"/>
        </w:rPr>
      </w:pPr>
      <w:r w:rsidRPr="000E6E7D">
        <w:rPr>
          <w:lang w:val="es-ES"/>
        </w:rPr>
        <w:t xml:space="preserve">En el presente artículo se establecen las prescripciones generales relativas a la medición y abono de las obras. </w:t>
      </w:r>
      <w:proofErr w:type="gramStart"/>
      <w:r w:rsidRPr="000E6E7D">
        <w:rPr>
          <w:lang w:val="es-ES"/>
        </w:rPr>
        <w:t>Las prescripciones particulares a aplicar</w:t>
      </w:r>
      <w:proofErr w:type="gramEnd"/>
      <w:r w:rsidRPr="000E6E7D">
        <w:rPr>
          <w:lang w:val="es-ES"/>
        </w:rPr>
        <w:t xml:space="preserve"> en cada unidad de obra se establecen en el apartado de Medición y Abono de cada uno de los artículos correspondientes del Pliego de Prescripciones Particulares.</w:t>
      </w:r>
    </w:p>
    <w:p w14:paraId="53B4B470" w14:textId="77777777" w:rsidR="00177852" w:rsidRPr="000E6E7D" w:rsidRDefault="00177852" w:rsidP="00177852">
      <w:pPr>
        <w:pStyle w:val="NORMAL12"/>
        <w:rPr>
          <w:lang w:val="es-ES"/>
        </w:rPr>
      </w:pPr>
      <w:r w:rsidRPr="000E6E7D">
        <w:rPr>
          <w:lang w:val="es-ES"/>
        </w:rPr>
        <w:t>Serán de aplicación las prescripciones recogidas en el Artículo 106 del PG-3 además de todas las prescripciones que se establecen en los siguientes epígrafes.</w:t>
      </w:r>
    </w:p>
    <w:p w14:paraId="567B198F" w14:textId="77777777" w:rsidR="00177852" w:rsidRPr="005864C2" w:rsidRDefault="00177852" w:rsidP="000313DD">
      <w:pPr>
        <w:pStyle w:val="TITU2"/>
      </w:pPr>
      <w:bookmarkStart w:id="198" w:name="_Toc123104855"/>
      <w:bookmarkStart w:id="199" w:name="_Toc240349828"/>
      <w:bookmarkStart w:id="200" w:name="_Toc277523161"/>
      <w:bookmarkStart w:id="201" w:name="_Toc511906053"/>
      <w:bookmarkStart w:id="202" w:name="_Toc404079"/>
      <w:r w:rsidRPr="005864C2">
        <w:t xml:space="preserve">106.1. </w:t>
      </w:r>
      <w:r w:rsidRPr="005864C2">
        <w:tab/>
        <w:t>Medición de las obras</w:t>
      </w:r>
      <w:bookmarkEnd w:id="198"/>
      <w:bookmarkEnd w:id="199"/>
      <w:bookmarkEnd w:id="200"/>
      <w:bookmarkEnd w:id="201"/>
      <w:bookmarkEnd w:id="202"/>
    </w:p>
    <w:p w14:paraId="4B9059DE" w14:textId="77777777" w:rsidR="00177852" w:rsidRPr="000E6E7D" w:rsidRDefault="00177852" w:rsidP="00177852">
      <w:pPr>
        <w:pStyle w:val="NORMAL12"/>
        <w:rPr>
          <w:lang w:val="es-ES"/>
        </w:rPr>
      </w:pPr>
      <w:r w:rsidRPr="000E6E7D">
        <w:rPr>
          <w:lang w:val="es-ES"/>
        </w:rPr>
        <w:t xml:space="preserve">Todas las fases de obra se medirán por las unidades que figuran en el Cuadro de Precios Número 1, y se abonarán las que se hayan ejecutado según las órdenes e instrucciones del Ingeniero </w:t>
      </w:r>
      <w:proofErr w:type="gramStart"/>
      <w:r w:rsidRPr="000E6E7D">
        <w:rPr>
          <w:lang w:val="es-ES"/>
        </w:rPr>
        <w:t>Director</w:t>
      </w:r>
      <w:proofErr w:type="gramEnd"/>
      <w:r w:rsidRPr="000E6E7D">
        <w:rPr>
          <w:lang w:val="es-ES"/>
        </w:rPr>
        <w:t xml:space="preserve"> de las obras a los precios que aparecen en dicho Cuadro.</w:t>
      </w:r>
    </w:p>
    <w:p w14:paraId="7BD46818" w14:textId="77777777" w:rsidR="00177852" w:rsidRPr="000E6E7D" w:rsidRDefault="00177852" w:rsidP="00177852">
      <w:pPr>
        <w:pStyle w:val="NORMAL12"/>
        <w:rPr>
          <w:lang w:val="es-ES"/>
        </w:rPr>
      </w:pPr>
      <w:r w:rsidRPr="000E6E7D">
        <w:rPr>
          <w:lang w:val="es-ES"/>
        </w:rPr>
        <w:t xml:space="preserve">El Ingeniero </w:t>
      </w:r>
      <w:proofErr w:type="gramStart"/>
      <w:r w:rsidRPr="000E6E7D">
        <w:rPr>
          <w:lang w:val="es-ES"/>
        </w:rPr>
        <w:t>Director</w:t>
      </w:r>
      <w:proofErr w:type="gramEnd"/>
      <w:r w:rsidRPr="000E6E7D">
        <w:rPr>
          <w:lang w:val="es-ES"/>
        </w:rPr>
        <w:t xml:space="preserve"> de las obras, antes del inicio de los trabajos, señalará al Contratista el proceso que ha de seguirse para la ordenada toma de datos y consiguiente medición de las sucesivas fases de obra.</w:t>
      </w:r>
    </w:p>
    <w:p w14:paraId="1EAA67BE" w14:textId="77777777" w:rsidR="00177852" w:rsidRPr="00870A60" w:rsidRDefault="00177852" w:rsidP="00177852">
      <w:pPr>
        <w:pStyle w:val="NORMAL12"/>
        <w:rPr>
          <w:lang w:val="es-ES"/>
        </w:rPr>
      </w:pPr>
      <w:r w:rsidRPr="00870A60">
        <w:rPr>
          <w:lang w:val="es-ES"/>
        </w:rPr>
        <w:t xml:space="preserve">Sin perjuicio de las particularizaciones que se hagan en este Pliego, el sistema a seguir será tal que no se iniciará una fase de obra sin que previamente esté medida y conformada la anterior. Las formas y dimensiones de las distintas obras a </w:t>
      </w:r>
      <w:proofErr w:type="gramStart"/>
      <w:r w:rsidRPr="00870A60">
        <w:rPr>
          <w:lang w:val="es-ES"/>
        </w:rPr>
        <w:t>ejecutar,</w:t>
      </w:r>
      <w:proofErr w:type="gramEnd"/>
      <w:r w:rsidRPr="00870A60">
        <w:rPr>
          <w:lang w:val="es-ES"/>
        </w:rPr>
        <w:t xml:space="preserve"> serán las establecidas en los planos incluidos en el Proyecto. Las modificaciones que, sobre ellas, hayan de introducirse serán ordenadas por escrito, mediante la correspondiente orden de ejecución, por el Ingeniero </w:t>
      </w:r>
      <w:proofErr w:type="gramStart"/>
      <w:r w:rsidRPr="00870A60">
        <w:rPr>
          <w:lang w:val="es-ES"/>
        </w:rPr>
        <w:t>Director</w:t>
      </w:r>
      <w:proofErr w:type="gramEnd"/>
      <w:r w:rsidRPr="00870A60">
        <w:rPr>
          <w:lang w:val="es-ES"/>
        </w:rPr>
        <w:t xml:space="preserve"> de las obras o persona en qui</w:t>
      </w:r>
      <w:r w:rsidR="00D14AE9">
        <w:rPr>
          <w:lang w:val="es-ES"/>
        </w:rPr>
        <w:t>e</w:t>
      </w:r>
      <w:r w:rsidRPr="00870A60">
        <w:rPr>
          <w:lang w:val="es-ES"/>
        </w:rPr>
        <w:t xml:space="preserve">n delegue. En estos casos el Contratista firmará el ENTERADO en el original que quedará en poder del Ingeniero </w:t>
      </w:r>
      <w:proofErr w:type="gramStart"/>
      <w:r w:rsidRPr="00870A60">
        <w:rPr>
          <w:lang w:val="es-ES"/>
        </w:rPr>
        <w:t>Director</w:t>
      </w:r>
      <w:proofErr w:type="gramEnd"/>
      <w:r w:rsidRPr="00870A60">
        <w:rPr>
          <w:lang w:val="es-ES"/>
        </w:rPr>
        <w:t xml:space="preserve"> de las Obras, debiendo éste entregar a aquél una copia firmada por dicho Ingeniero </w:t>
      </w:r>
      <w:proofErr w:type="gramStart"/>
      <w:r w:rsidRPr="00870A60">
        <w:rPr>
          <w:lang w:val="es-ES"/>
        </w:rPr>
        <w:t>Director</w:t>
      </w:r>
      <w:proofErr w:type="gramEnd"/>
      <w:r w:rsidRPr="00870A60">
        <w:rPr>
          <w:lang w:val="es-ES"/>
        </w:rPr>
        <w:t>, o persona en quien delegue.</w:t>
      </w:r>
    </w:p>
    <w:p w14:paraId="0A5AA3CB" w14:textId="77777777" w:rsidR="00177852" w:rsidRPr="00870A60" w:rsidRDefault="00177852" w:rsidP="00177852">
      <w:pPr>
        <w:pStyle w:val="NORMAL12"/>
        <w:rPr>
          <w:lang w:val="es-ES"/>
        </w:rPr>
      </w:pPr>
      <w:r w:rsidRPr="00870A60">
        <w:rPr>
          <w:lang w:val="es-ES"/>
        </w:rPr>
        <w:t xml:space="preserve">Finalizada una fase de obra y antes de pasar a la fase siguiente, el Contratista habrá de firmar el CONFORME a la medición correspondiente, que inexcusablemente será consecuente con los planos del Proyecto o los entregados por el Ingeniero </w:t>
      </w:r>
      <w:proofErr w:type="gramStart"/>
      <w:r w:rsidRPr="00870A60">
        <w:rPr>
          <w:lang w:val="es-ES"/>
        </w:rPr>
        <w:t>Director</w:t>
      </w:r>
      <w:proofErr w:type="gramEnd"/>
      <w:r w:rsidRPr="00870A60">
        <w:rPr>
          <w:lang w:val="es-ES"/>
        </w:rPr>
        <w:t xml:space="preserve"> de las obras o persona en quien delegue, con la consiguiente orden de ejecución. Si el Contratista iniciara la fase de obra siguiente sin haber conformado la fase anterior, se entenderá que presta implícitamente su conformidad a las mediciones del Ingeniero </w:t>
      </w:r>
      <w:proofErr w:type="gramStart"/>
      <w:r w:rsidRPr="00870A60">
        <w:rPr>
          <w:lang w:val="es-ES"/>
        </w:rPr>
        <w:t>Director</w:t>
      </w:r>
      <w:proofErr w:type="gramEnd"/>
      <w:r w:rsidRPr="00870A60">
        <w:rPr>
          <w:lang w:val="es-ES"/>
        </w:rPr>
        <w:t xml:space="preserve"> de las Obras.</w:t>
      </w:r>
    </w:p>
    <w:p w14:paraId="524A45F6" w14:textId="77777777" w:rsidR="00177852" w:rsidRPr="00870A60" w:rsidRDefault="00177852" w:rsidP="00177852">
      <w:pPr>
        <w:pStyle w:val="NORMAL12"/>
        <w:rPr>
          <w:lang w:val="es-ES"/>
        </w:rPr>
      </w:pPr>
      <w:r w:rsidRPr="00870A60">
        <w:rPr>
          <w:lang w:val="es-ES"/>
        </w:rPr>
        <w:t xml:space="preserve">Se hace especial advertencia al Contratista de que no será tenida en cuenta reclamación alguna que pueda hacer sobre modificaciones realizadas, aumentos de unidades, cambios en el tipo de unidad, obras complementarias o accesorias, exceso de volúmenes, etc., que no hayan sido ordenados por escrito por el Ingeniero </w:t>
      </w:r>
      <w:proofErr w:type="gramStart"/>
      <w:r w:rsidRPr="00870A60">
        <w:rPr>
          <w:lang w:val="es-ES"/>
        </w:rPr>
        <w:t>Director</w:t>
      </w:r>
      <w:proofErr w:type="gramEnd"/>
      <w:r w:rsidRPr="00870A60">
        <w:rPr>
          <w:lang w:val="es-ES"/>
        </w:rPr>
        <w:t xml:space="preserve"> de las Obras o persona en quien delegue, sea cualesquiera que sean los problemas o dificultades surgidos durante la construcción de una determinada clase de obra. </w:t>
      </w:r>
    </w:p>
    <w:p w14:paraId="066AD672" w14:textId="77777777" w:rsidR="00177852" w:rsidRPr="00870A60" w:rsidRDefault="00177852" w:rsidP="00177852">
      <w:pPr>
        <w:pStyle w:val="NORMAL12"/>
        <w:rPr>
          <w:lang w:val="es-ES"/>
        </w:rPr>
      </w:pPr>
      <w:r w:rsidRPr="00870A60">
        <w:rPr>
          <w:lang w:val="es-ES"/>
        </w:rPr>
        <w:t xml:space="preserve">El Contratista, antes de comenzar a ejecutar cualquier fase de obra, recabará del Ingeniero </w:t>
      </w:r>
      <w:proofErr w:type="gramStart"/>
      <w:r w:rsidRPr="00870A60">
        <w:rPr>
          <w:lang w:val="es-ES"/>
        </w:rPr>
        <w:t>Director</w:t>
      </w:r>
      <w:proofErr w:type="gramEnd"/>
      <w:r w:rsidRPr="00870A60">
        <w:rPr>
          <w:lang w:val="es-ES"/>
        </w:rPr>
        <w:t xml:space="preserve"> de las Obras o persona en quien delegue, la correspondiente orden de ejecución firmada por éste. Tan pronto se finalice esa fase de obra, y una vez conformadas las mediciones correspondientes, el Contratista recabará del Ingeniero </w:t>
      </w:r>
      <w:proofErr w:type="gramStart"/>
      <w:r w:rsidRPr="00870A60">
        <w:rPr>
          <w:lang w:val="es-ES"/>
        </w:rPr>
        <w:t>Director</w:t>
      </w:r>
      <w:proofErr w:type="gramEnd"/>
      <w:r w:rsidRPr="00870A60">
        <w:rPr>
          <w:lang w:val="es-ES"/>
        </w:rPr>
        <w:t xml:space="preserve"> de las obras una copia de dichas mediciones firmadas por dicho Ingeniero </w:t>
      </w:r>
      <w:proofErr w:type="gramStart"/>
      <w:r w:rsidRPr="00870A60">
        <w:rPr>
          <w:lang w:val="es-ES"/>
        </w:rPr>
        <w:t>Director</w:t>
      </w:r>
      <w:proofErr w:type="gramEnd"/>
      <w:r w:rsidRPr="00870A60">
        <w:rPr>
          <w:lang w:val="es-ES"/>
        </w:rPr>
        <w:t xml:space="preserve"> o persona en quien delegue. Este podrá ordenar, si lo estima oportuno, la paralización de un determinado tajo, hasta tanto el Contratista haya conformado las mediciones de la fase anterior, sin que dicho Contratista tenga derecho a reclamación alguna de daños y perjuicios. Las mediciones parciales así efectuadas, y aún en el caso antes considerado de aceptación implícita por parte del Contratista, tendrán carácter de definitivas.</w:t>
      </w:r>
    </w:p>
    <w:p w14:paraId="4BB1925A" w14:textId="77777777" w:rsidR="00177852" w:rsidRPr="00870A60" w:rsidRDefault="00177852" w:rsidP="00177852">
      <w:pPr>
        <w:pStyle w:val="NORMAL12"/>
        <w:rPr>
          <w:lang w:val="es-ES"/>
        </w:rPr>
      </w:pPr>
      <w:r w:rsidRPr="00870A60">
        <w:rPr>
          <w:lang w:val="es-ES"/>
        </w:rPr>
        <w:t>Como consecuencia, no procederá reclamación alguna por parte del Contratista con posterioridad a la conformación de la medición parcial correspondiente, o sobre la medición de una fase de obra en la que se haya iniciado la fase siguiente. Cualquier reclamación que sobre la medición correspondiente pretenda hacer el Contratista, ha de ser efectuada en el acto de la medición parcial.</w:t>
      </w:r>
    </w:p>
    <w:p w14:paraId="764876B6" w14:textId="77777777" w:rsidR="00177852" w:rsidRPr="00870A60" w:rsidRDefault="00177852" w:rsidP="00177852">
      <w:pPr>
        <w:pStyle w:val="NORMAL12"/>
        <w:rPr>
          <w:lang w:val="es-ES"/>
        </w:rPr>
      </w:pPr>
      <w:r w:rsidRPr="00870A60">
        <w:rPr>
          <w:lang w:val="es-ES"/>
        </w:rPr>
        <w:t xml:space="preserve">El método descrito de medición de las unidades de obra podrá ser modificado por otro similar si así lo considera el </w:t>
      </w:r>
      <w:proofErr w:type="gramStart"/>
      <w:r w:rsidRPr="00870A60">
        <w:rPr>
          <w:lang w:val="es-ES"/>
        </w:rPr>
        <w:t>Director</w:t>
      </w:r>
      <w:proofErr w:type="gramEnd"/>
      <w:r w:rsidRPr="00870A60">
        <w:rPr>
          <w:lang w:val="es-ES"/>
        </w:rPr>
        <w:t xml:space="preserve"> de la Obra.</w:t>
      </w:r>
    </w:p>
    <w:p w14:paraId="54FF1329" w14:textId="77777777" w:rsidR="00177852" w:rsidRPr="00870A60" w:rsidRDefault="00177852" w:rsidP="00177852">
      <w:pPr>
        <w:pStyle w:val="NORMAL12"/>
        <w:rPr>
          <w:lang w:val="es-ES"/>
        </w:rPr>
      </w:pPr>
      <w:r w:rsidRPr="00870A60">
        <w:rPr>
          <w:lang w:val="es-ES"/>
        </w:rPr>
        <w:t>El medio normal para la transmisión e instrucciones al</w:t>
      </w:r>
      <w:r w:rsidR="00D14AE9">
        <w:rPr>
          <w:lang w:val="es-ES"/>
        </w:rPr>
        <w:t xml:space="preserve"> </w:t>
      </w:r>
      <w:proofErr w:type="gramStart"/>
      <w:r w:rsidR="00D14AE9">
        <w:rPr>
          <w:lang w:val="es-ES"/>
        </w:rPr>
        <w:t>Contratista,</w:t>
      </w:r>
      <w:proofErr w:type="gramEnd"/>
      <w:r w:rsidR="00D14AE9">
        <w:rPr>
          <w:lang w:val="es-ES"/>
        </w:rPr>
        <w:t xml:space="preserve"> será el Libro de Ó</w:t>
      </w:r>
      <w:r w:rsidRPr="00870A60">
        <w:rPr>
          <w:lang w:val="es-ES"/>
        </w:rPr>
        <w:t>rdenes que se hallará bajo su custodia en la Oficina de obra.</w:t>
      </w:r>
    </w:p>
    <w:p w14:paraId="588EED3A" w14:textId="77777777" w:rsidR="00177852" w:rsidRPr="00870A60" w:rsidRDefault="00177852" w:rsidP="00177852">
      <w:pPr>
        <w:pStyle w:val="NORMAL12"/>
        <w:rPr>
          <w:lang w:val="es-ES"/>
        </w:rPr>
      </w:pPr>
      <w:r w:rsidRPr="00870A60">
        <w:rPr>
          <w:lang w:val="es-ES"/>
        </w:rPr>
        <w:t>En cualquier</w:t>
      </w:r>
      <w:r w:rsidR="00122F0E">
        <w:rPr>
          <w:lang w:val="es-ES"/>
        </w:rPr>
        <w:t xml:space="preserve"> será de aplicación toda la normativa incluida en este Pliego o la normativa vigente de aplicación. </w:t>
      </w:r>
    </w:p>
    <w:p w14:paraId="7E2FA208" w14:textId="77777777" w:rsidR="00177852" w:rsidRPr="00870A60" w:rsidRDefault="00177852" w:rsidP="000313DD">
      <w:pPr>
        <w:pStyle w:val="TITU2"/>
      </w:pPr>
      <w:bookmarkStart w:id="203" w:name="_Toc123104856"/>
      <w:bookmarkStart w:id="204" w:name="_Toc240349829"/>
      <w:bookmarkStart w:id="205" w:name="_Toc277523162"/>
      <w:bookmarkStart w:id="206" w:name="_Toc511906054"/>
      <w:bookmarkStart w:id="207" w:name="_Toc404080"/>
      <w:r w:rsidRPr="00870A60">
        <w:lastRenderedPageBreak/>
        <w:t xml:space="preserve">106.2. </w:t>
      </w:r>
      <w:r w:rsidRPr="00870A60">
        <w:tab/>
        <w:t>Abono de las obras</w:t>
      </w:r>
      <w:bookmarkEnd w:id="203"/>
      <w:bookmarkEnd w:id="204"/>
      <w:bookmarkEnd w:id="205"/>
      <w:bookmarkEnd w:id="206"/>
      <w:bookmarkEnd w:id="207"/>
    </w:p>
    <w:p w14:paraId="0468168E" w14:textId="77777777" w:rsidR="00177852" w:rsidRPr="002C3724" w:rsidRDefault="00A35F35" w:rsidP="00D81C53">
      <w:pPr>
        <w:pStyle w:val="TITU3"/>
        <w:numPr>
          <w:ilvl w:val="0"/>
          <w:numId w:val="0"/>
        </w:numPr>
        <w:outlineLvl w:val="3"/>
      </w:pPr>
      <w:bookmarkStart w:id="208" w:name="_Toc123104857"/>
      <w:bookmarkStart w:id="209" w:name="_Toc240349830"/>
      <w:bookmarkStart w:id="210" w:name="_Toc277523163"/>
      <w:r w:rsidRPr="002C3724">
        <w:t>106.2.6</w:t>
      </w:r>
      <w:r w:rsidR="00177852" w:rsidRPr="002C3724">
        <w:t>. Condiciones generales</w:t>
      </w:r>
      <w:bookmarkEnd w:id="208"/>
      <w:bookmarkEnd w:id="209"/>
      <w:bookmarkEnd w:id="210"/>
    </w:p>
    <w:p w14:paraId="2835ECA0" w14:textId="77777777" w:rsidR="00177852" w:rsidRPr="002C3724" w:rsidRDefault="00177852" w:rsidP="00177852">
      <w:pPr>
        <w:pStyle w:val="NORMAL12"/>
        <w:rPr>
          <w:lang w:val="es-ES"/>
        </w:rPr>
      </w:pPr>
      <w:r w:rsidRPr="002C3724">
        <w:rPr>
          <w:lang w:val="es-ES"/>
        </w:rPr>
        <w:t>Todos los precios unitarios a que se refieren las normas de medición y abono contenidas en el Pliego de Prescripciones Técnicas Particulares se entenderán que incluyen siempre el suministro, manipulación y empleo de todos los materiales necesarios para la ejecución de las unidades de obra correspondientes, a menos que específicamente se excluya alguno en el artículo correspondiente.</w:t>
      </w:r>
    </w:p>
    <w:p w14:paraId="37C381F4" w14:textId="77777777" w:rsidR="00177852" w:rsidRPr="002C3724" w:rsidRDefault="00177852" w:rsidP="00177852">
      <w:pPr>
        <w:pStyle w:val="NORMAL12"/>
        <w:rPr>
          <w:lang w:val="es-ES"/>
        </w:rPr>
      </w:pPr>
      <w:r w:rsidRPr="002C3724">
        <w:rPr>
          <w:lang w:val="es-ES"/>
        </w:rPr>
        <w:t>Asimismo, se entenderá que todos los precios unitarios comprenden los gastos de maquinaria, mano de obra, elementos accesorios, transportes, herramientas y todas cuantas operaciones directas o incidentales sean necesarias para que las unidades de obra, terminadas con arreglo a lo especificado en este Pliego y en los Planos, sean aprobadas por la Dirección de Obra.</w:t>
      </w:r>
    </w:p>
    <w:p w14:paraId="625D4096" w14:textId="77777777" w:rsidR="00177852" w:rsidRPr="002C3724" w:rsidRDefault="00177852" w:rsidP="00177852">
      <w:pPr>
        <w:pStyle w:val="NORMAL12"/>
        <w:rPr>
          <w:lang w:val="es-ES"/>
        </w:rPr>
      </w:pPr>
      <w:r w:rsidRPr="002C3724">
        <w:rPr>
          <w:lang w:val="es-ES"/>
        </w:rPr>
        <w:t xml:space="preserve">El abono de las distintas unidades de obra se realizará, de forma general y tal y como se indica en los criterios de medición y abono de </w:t>
      </w:r>
      <w:proofErr w:type="gramStart"/>
      <w:r w:rsidRPr="002C3724">
        <w:rPr>
          <w:lang w:val="es-ES"/>
        </w:rPr>
        <w:t>las mismas</w:t>
      </w:r>
      <w:proofErr w:type="gramEnd"/>
      <w:r w:rsidRPr="002C3724">
        <w:rPr>
          <w:lang w:val="es-ES"/>
        </w:rPr>
        <w:t xml:space="preserve">, una vez que se realice la aceptación de </w:t>
      </w:r>
      <w:proofErr w:type="gramStart"/>
      <w:r w:rsidRPr="002C3724">
        <w:rPr>
          <w:lang w:val="es-ES"/>
        </w:rPr>
        <w:t>la misma</w:t>
      </w:r>
      <w:proofErr w:type="gramEnd"/>
      <w:r w:rsidRPr="002C3724">
        <w:rPr>
          <w:lang w:val="es-ES"/>
        </w:rPr>
        <w:t xml:space="preserve"> por parte de la Dirección de Obra. Esto significa que el abono se realizará, salvo indicación contraria en los criterios de medición y abono de la unidad en cuestión, una vez que la unidad de obra está completamente terminada, controlada y conforme, sin que proceda pues el abono parcial de unidades de obra en proceso de ejecución.</w:t>
      </w:r>
    </w:p>
    <w:p w14:paraId="2E839741" w14:textId="77777777" w:rsidR="00177852" w:rsidRPr="002C3724" w:rsidRDefault="00177852" w:rsidP="00D81C53">
      <w:pPr>
        <w:pStyle w:val="TITU3"/>
        <w:numPr>
          <w:ilvl w:val="0"/>
          <w:numId w:val="0"/>
        </w:numPr>
        <w:outlineLvl w:val="3"/>
      </w:pPr>
      <w:bookmarkStart w:id="211" w:name="_Toc123104858"/>
      <w:bookmarkStart w:id="212" w:name="_Toc240349831"/>
      <w:bookmarkStart w:id="213" w:name="_Toc277523164"/>
      <w:r w:rsidRPr="002C3724">
        <w:t>106.2</w:t>
      </w:r>
      <w:r w:rsidR="00A35F35" w:rsidRPr="002C3724">
        <w:t>.7</w:t>
      </w:r>
      <w:r w:rsidRPr="002C3724">
        <w:t xml:space="preserve">. Aplicación del cuadro de precios </w:t>
      </w:r>
      <w:proofErr w:type="spellStart"/>
      <w:r w:rsidRPr="002C3724">
        <w:t>Nº</w:t>
      </w:r>
      <w:proofErr w:type="spellEnd"/>
      <w:r w:rsidRPr="002C3724">
        <w:t xml:space="preserve"> 2</w:t>
      </w:r>
      <w:bookmarkEnd w:id="211"/>
      <w:bookmarkEnd w:id="212"/>
      <w:bookmarkEnd w:id="213"/>
    </w:p>
    <w:p w14:paraId="094E6D83" w14:textId="77777777" w:rsidR="00177852" w:rsidRPr="002C3724" w:rsidRDefault="00177852" w:rsidP="00177852">
      <w:pPr>
        <w:pStyle w:val="NORMAL12"/>
        <w:rPr>
          <w:lang w:val="es-ES"/>
        </w:rPr>
      </w:pPr>
      <w:r w:rsidRPr="002C3724">
        <w:rPr>
          <w:lang w:val="es-ES"/>
        </w:rPr>
        <w:t xml:space="preserve">En caso de liquidación de obra por rescisión de contrato o cualquier otro motivo, de las partidas, excepto "materiales" que figuran en el Cuadro de Precios </w:t>
      </w:r>
      <w:proofErr w:type="spellStart"/>
      <w:r w:rsidRPr="002C3724">
        <w:rPr>
          <w:lang w:val="es-ES"/>
        </w:rPr>
        <w:t>Nº</w:t>
      </w:r>
      <w:proofErr w:type="spellEnd"/>
      <w:r w:rsidRPr="002C3724">
        <w:rPr>
          <w:lang w:val="es-ES"/>
        </w:rPr>
        <w:t xml:space="preserve"> 2, no se abonará nada al Contratista a no ser que se trate de una unidad de obra completa y acabada, en cuyo caso se abonará íntegramente.</w:t>
      </w:r>
    </w:p>
    <w:p w14:paraId="20CBE65A" w14:textId="77777777" w:rsidR="00177852" w:rsidRPr="002C3724" w:rsidRDefault="00177852" w:rsidP="00177852">
      <w:pPr>
        <w:pStyle w:val="NORMAL12"/>
        <w:rPr>
          <w:lang w:val="es-ES"/>
        </w:rPr>
      </w:pPr>
      <w:r w:rsidRPr="002C3724">
        <w:rPr>
          <w:lang w:val="es-ES"/>
        </w:rPr>
        <w:t xml:space="preserve">Tan sólo podrá ser objeto de abono la parte correspondiente a materiales básicos constitutivos de la unidad de obra, siempre que sean aceptados por el Ingeniero </w:t>
      </w:r>
      <w:proofErr w:type="gramStart"/>
      <w:r w:rsidRPr="002C3724">
        <w:rPr>
          <w:lang w:val="es-ES"/>
        </w:rPr>
        <w:t>Director</w:t>
      </w:r>
      <w:proofErr w:type="gramEnd"/>
      <w:r w:rsidRPr="002C3724">
        <w:rPr>
          <w:lang w:val="es-ES"/>
        </w:rPr>
        <w:t xml:space="preserve">. </w:t>
      </w:r>
    </w:p>
    <w:p w14:paraId="4950C12B" w14:textId="77777777" w:rsidR="00177852" w:rsidRPr="002C3724" w:rsidRDefault="00177852" w:rsidP="000313DD">
      <w:pPr>
        <w:pStyle w:val="TITU2"/>
      </w:pPr>
      <w:bookmarkStart w:id="214" w:name="_Toc123104861"/>
      <w:bookmarkStart w:id="215" w:name="_Toc240349833"/>
      <w:bookmarkStart w:id="216" w:name="_Toc277523165"/>
      <w:bookmarkStart w:id="217" w:name="_Toc511906055"/>
      <w:bookmarkStart w:id="218" w:name="_Toc404081"/>
      <w:r w:rsidRPr="002C3724">
        <w:t xml:space="preserve">106.4. </w:t>
      </w:r>
      <w:r w:rsidRPr="002C3724">
        <w:tab/>
        <w:t>Variación de dosificaciones</w:t>
      </w:r>
      <w:bookmarkEnd w:id="214"/>
      <w:bookmarkEnd w:id="215"/>
      <w:bookmarkEnd w:id="216"/>
      <w:bookmarkEnd w:id="217"/>
      <w:bookmarkEnd w:id="218"/>
    </w:p>
    <w:p w14:paraId="3A0F6A7C" w14:textId="77777777" w:rsidR="00177852" w:rsidRPr="002C3724" w:rsidRDefault="00177852" w:rsidP="00177852">
      <w:pPr>
        <w:pStyle w:val="NORMAL12"/>
        <w:rPr>
          <w:lang w:val="es-ES"/>
        </w:rPr>
      </w:pPr>
      <w:r w:rsidRPr="002C3724">
        <w:rPr>
          <w:lang w:val="es-ES"/>
        </w:rPr>
        <w:t xml:space="preserve">El Contratista estará obligado a modificar las dosificaciones previstas en las unidades si, a la vista de los ensayos, el </w:t>
      </w:r>
      <w:proofErr w:type="gramStart"/>
      <w:r w:rsidRPr="002C3724">
        <w:rPr>
          <w:lang w:val="es-ES"/>
        </w:rPr>
        <w:t>Director</w:t>
      </w:r>
      <w:proofErr w:type="gramEnd"/>
      <w:r w:rsidRPr="002C3724">
        <w:rPr>
          <w:lang w:val="es-ES"/>
        </w:rPr>
        <w:t xml:space="preserve"> Facultativo de las obras lo estimara conv</w:t>
      </w:r>
      <w:r w:rsidR="00122F0E" w:rsidRPr="002C3724">
        <w:rPr>
          <w:lang w:val="es-ES"/>
        </w:rPr>
        <w:t>eniente, para garantizar las condiciones de los materiales que se exigen en el Pliego.</w:t>
      </w:r>
    </w:p>
    <w:p w14:paraId="7C74E50B" w14:textId="77777777" w:rsidR="00177852" w:rsidRPr="00870A60" w:rsidRDefault="00177852" w:rsidP="00177852">
      <w:pPr>
        <w:pStyle w:val="NORMAL12"/>
        <w:rPr>
          <w:lang w:val="es-ES"/>
        </w:rPr>
      </w:pPr>
      <w:r w:rsidRPr="00870A60">
        <w:rPr>
          <w:lang w:val="es-ES"/>
        </w:rPr>
        <w:t xml:space="preserve">Los materiales integrantes de una unidad de obra no serán objeto de abono aparte, salvo que así se indique explícitamente en la definición de la unidad y en el articulado del presente Pliego. En </w:t>
      </w:r>
      <w:proofErr w:type="gramStart"/>
      <w:r w:rsidRPr="00870A60">
        <w:rPr>
          <w:lang w:val="es-ES"/>
        </w:rPr>
        <w:t>consecuencia</w:t>
      </w:r>
      <w:proofErr w:type="gramEnd"/>
      <w:r w:rsidRPr="00870A60">
        <w:rPr>
          <w:lang w:val="es-ES"/>
        </w:rPr>
        <w:t xml:space="preserve"> cualquier aumento en dosificación de estos materiales para cumplir las especificaciones exigidas, no será objeto de abono, ni supondrá variación en el precio establecido para la unidad.</w:t>
      </w:r>
    </w:p>
    <w:p w14:paraId="2B83DA92" w14:textId="77777777" w:rsidR="00177852" w:rsidRPr="005864C2" w:rsidRDefault="00177852" w:rsidP="000313DD">
      <w:pPr>
        <w:pStyle w:val="TITU2"/>
      </w:pPr>
      <w:bookmarkStart w:id="219" w:name="_Toc123104862"/>
      <w:bookmarkStart w:id="220" w:name="_Toc240349834"/>
      <w:bookmarkStart w:id="221" w:name="_Toc277523166"/>
      <w:bookmarkStart w:id="222" w:name="_Toc511906056"/>
      <w:bookmarkStart w:id="223" w:name="_Toc404082"/>
      <w:r w:rsidRPr="005864C2">
        <w:t xml:space="preserve">106.5. </w:t>
      </w:r>
      <w:r w:rsidRPr="005864C2">
        <w:tab/>
        <w:t>Gastos relativos a préstamos, yacimientos, canteras y vertederos</w:t>
      </w:r>
      <w:bookmarkEnd w:id="219"/>
      <w:bookmarkEnd w:id="220"/>
      <w:bookmarkEnd w:id="221"/>
      <w:bookmarkEnd w:id="222"/>
      <w:bookmarkEnd w:id="223"/>
    </w:p>
    <w:p w14:paraId="7C64EB60" w14:textId="77777777" w:rsidR="00177852" w:rsidRPr="00EB3EE1" w:rsidRDefault="00177852" w:rsidP="00177852">
      <w:pPr>
        <w:pStyle w:val="NORMAL12"/>
        <w:rPr>
          <w:lang w:val="es-ES"/>
        </w:rPr>
      </w:pPr>
      <w:r w:rsidRPr="00EB3EE1">
        <w:rPr>
          <w:lang w:val="es-ES"/>
        </w:rPr>
        <w:t>Para la explotación de préstamos y vertederos, el Contratista deberá obtener todos los permisos y licencias necesarios. También deberá abonar a su costa todos los cánones para ocupaciones temporales o definitivas para la explotación de préstamos o vertederos</w:t>
      </w:r>
    </w:p>
    <w:p w14:paraId="46A6C7FF" w14:textId="77777777" w:rsidR="00177852" w:rsidRPr="00EB3EE1" w:rsidRDefault="00177852" w:rsidP="00177852">
      <w:pPr>
        <w:pStyle w:val="NORMAL12"/>
        <w:rPr>
          <w:lang w:val="es-ES"/>
        </w:rPr>
      </w:pPr>
      <w:r w:rsidRPr="00EB3EE1">
        <w:rPr>
          <w:lang w:val="es-ES"/>
        </w:rPr>
        <w:t>No será de abono la excavación de tierra vegetal ni la excavación de material no válido en zona de préstamos, así como cualquier trabajo preparatorio previo a la explotación del material deseado.</w:t>
      </w:r>
    </w:p>
    <w:p w14:paraId="075360E0" w14:textId="77777777" w:rsidR="00177852" w:rsidRDefault="00177852" w:rsidP="00177852">
      <w:pPr>
        <w:pStyle w:val="NORMAL12"/>
        <w:rPr>
          <w:lang w:val="es-ES"/>
        </w:rPr>
      </w:pPr>
      <w:r w:rsidRPr="00EB3EE1">
        <w:rPr>
          <w:lang w:val="es-ES"/>
        </w:rPr>
        <w:t>La búsqueda de vertederos, yacimientos, canteras y préstamos, su abono a los propietarios, permisos, licencias, así como cualquier otro coste administrativo para su apertura y explotación serán por cuenta del Contratista.</w:t>
      </w:r>
    </w:p>
    <w:p w14:paraId="24B81FAF" w14:textId="77777777" w:rsidR="00DD3BD1" w:rsidRDefault="00DD3BD1" w:rsidP="00DD3BD1">
      <w:pPr>
        <w:pStyle w:val="NORMAL12"/>
      </w:pPr>
      <w:r>
        <w:t xml:space="preserve">Cualquier propuesta por </w:t>
      </w:r>
      <w:r w:rsidRPr="00DD3BD1">
        <w:rPr>
          <w:lang w:val="es-ES"/>
        </w:rPr>
        <w:t>parte</w:t>
      </w:r>
      <w:r>
        <w:t xml:space="preserve"> del Contratista de utilización o apertura de un vertedero o préstamo deberá venir avalada por el correspondiente informe sobre la localización </w:t>
      </w:r>
      <w:proofErr w:type="gramStart"/>
      <w:r>
        <w:t>del mismo</w:t>
      </w:r>
      <w:proofErr w:type="gramEnd"/>
      <w:r>
        <w:t xml:space="preserve"> que deberá ser remitido a la </w:t>
      </w:r>
      <w:r w:rsidRPr="002C3724">
        <w:t xml:space="preserve">Dirección General de Calidad y Evaluación Ambiental, previa aprobación del Ingeniero </w:t>
      </w:r>
      <w:proofErr w:type="gramStart"/>
      <w:r w:rsidRPr="002C3724">
        <w:t>Director</w:t>
      </w:r>
      <w:proofErr w:type="gramEnd"/>
      <w:r w:rsidRPr="002C3724">
        <w:t xml:space="preserve"> de las Obras.</w:t>
      </w:r>
      <w:r w:rsidR="00122F0E" w:rsidRPr="002C3724">
        <w:t xml:space="preserve"> Para la autorización se tendrá en cuenta la normativa vigente de aplicación y el PGOU del municipio.</w:t>
      </w:r>
    </w:p>
    <w:p w14:paraId="46A439CA" w14:textId="77777777" w:rsidR="00DD3BD1" w:rsidRPr="00EB3EE1" w:rsidRDefault="00DD3BD1" w:rsidP="00DD3BD1">
      <w:pPr>
        <w:pStyle w:val="NORMAL12"/>
        <w:rPr>
          <w:lang w:val="es-ES"/>
        </w:rPr>
      </w:pPr>
      <w:r w:rsidRPr="00EB3EE1">
        <w:rPr>
          <w:lang w:val="es-ES"/>
        </w:rPr>
        <w:t xml:space="preserve">A efectos de localización de </w:t>
      </w:r>
      <w:r>
        <w:rPr>
          <w:lang w:val="es-ES"/>
        </w:rPr>
        <w:t>zonas de préstamo y vertedero</w:t>
      </w:r>
      <w:r w:rsidRPr="00EB3EE1">
        <w:rPr>
          <w:lang w:val="es-ES"/>
        </w:rPr>
        <w:t>, así como para las instalaciones auxiliares, acopios, plantas de fabricación, etc., por parte del Contratista, quedan excluidas las siguientes zonas:</w:t>
      </w:r>
    </w:p>
    <w:p w14:paraId="2549E396" w14:textId="77777777" w:rsidR="00DD3BD1" w:rsidRPr="00EB3EE1" w:rsidRDefault="00DD3BD1" w:rsidP="00E01981">
      <w:pPr>
        <w:pStyle w:val="NORMAL12"/>
        <w:numPr>
          <w:ilvl w:val="0"/>
          <w:numId w:val="51"/>
        </w:numPr>
        <w:rPr>
          <w:lang w:val="es-ES"/>
        </w:rPr>
      </w:pPr>
      <w:r w:rsidRPr="00EB3EE1">
        <w:rPr>
          <w:lang w:val="es-ES"/>
        </w:rPr>
        <w:t>Tierras de alto valor agrícola</w:t>
      </w:r>
    </w:p>
    <w:p w14:paraId="1EACA5DF" w14:textId="77777777" w:rsidR="00DD3BD1" w:rsidRPr="00EB3EE1" w:rsidRDefault="00DD3BD1" w:rsidP="00E01981">
      <w:pPr>
        <w:pStyle w:val="NORMAL12"/>
        <w:numPr>
          <w:ilvl w:val="0"/>
          <w:numId w:val="51"/>
        </w:numPr>
        <w:rPr>
          <w:lang w:val="es-ES"/>
        </w:rPr>
      </w:pPr>
      <w:r w:rsidRPr="00EB3EE1">
        <w:rPr>
          <w:lang w:val="es-ES"/>
        </w:rPr>
        <w:t>Yacimientos arqueológicos</w:t>
      </w:r>
    </w:p>
    <w:p w14:paraId="60640E36" w14:textId="77777777" w:rsidR="00DD3BD1" w:rsidRPr="00EB3EE1" w:rsidRDefault="00DD3BD1" w:rsidP="00E01981">
      <w:pPr>
        <w:pStyle w:val="NORMAL12"/>
        <w:numPr>
          <w:ilvl w:val="0"/>
          <w:numId w:val="51"/>
        </w:numPr>
        <w:rPr>
          <w:lang w:val="es-ES"/>
        </w:rPr>
      </w:pPr>
      <w:r w:rsidRPr="00EB3EE1">
        <w:rPr>
          <w:lang w:val="es-ES"/>
        </w:rPr>
        <w:t>Áreas de afección al sistema hidrológico</w:t>
      </w:r>
    </w:p>
    <w:p w14:paraId="79822247" w14:textId="77777777" w:rsidR="00DD3BD1" w:rsidRPr="00EB3EE1" w:rsidRDefault="00DD3BD1" w:rsidP="00E01981">
      <w:pPr>
        <w:pStyle w:val="NORMAL12"/>
        <w:numPr>
          <w:ilvl w:val="0"/>
          <w:numId w:val="51"/>
        </w:numPr>
        <w:rPr>
          <w:lang w:val="es-ES"/>
        </w:rPr>
      </w:pPr>
      <w:r w:rsidRPr="00EB3EE1">
        <w:rPr>
          <w:lang w:val="es-ES"/>
        </w:rPr>
        <w:t>Zonas de gran incidencia sobre núcleos urbanos</w:t>
      </w:r>
    </w:p>
    <w:p w14:paraId="1069F6E1" w14:textId="77777777" w:rsidR="00DD3BD1" w:rsidRPr="00EB3EE1" w:rsidRDefault="00DD3BD1" w:rsidP="00DD3BD1">
      <w:pPr>
        <w:pStyle w:val="NORMAL12"/>
        <w:rPr>
          <w:lang w:val="es-ES"/>
        </w:rPr>
      </w:pPr>
      <w:r w:rsidRPr="00EB3EE1">
        <w:rPr>
          <w:lang w:val="es-ES"/>
        </w:rPr>
        <w:t>Con el fin de minimizar la afección visual, la explotación de préstamos y vertederos se realizará, siempre que sea posible, comenzando desde el extremo más alejado de la vía.</w:t>
      </w:r>
    </w:p>
    <w:p w14:paraId="4C30DD98" w14:textId="77777777" w:rsidR="00DD3BD1" w:rsidRPr="00DD3BD1" w:rsidRDefault="00DD3BD1" w:rsidP="00177852">
      <w:pPr>
        <w:pStyle w:val="NORMAL12"/>
      </w:pPr>
      <w:r>
        <w:lastRenderedPageBreak/>
        <w:t xml:space="preserve">En cualquier caso, las zonas de préstamos y las zonas de vertido previstas en el proyecto lo son </w:t>
      </w:r>
      <w:r w:rsidRPr="002C3724">
        <w:t xml:space="preserve">exclusivamente a título informativo, no existiendo responsabilidad alguna por parte de la Administración de que tales zonas estudiadas en fase de proyecto estén disponibles </w:t>
      </w:r>
      <w:r w:rsidRPr="003327CC">
        <w:t>en el momento de ejecución de la</w:t>
      </w:r>
      <w:r w:rsidR="00122F0E" w:rsidRPr="003327CC">
        <w:t>s obras, ni obligación de su uso por parte del contratista. Este pued</w:t>
      </w:r>
      <w:r w:rsidR="00C97E29" w:rsidRPr="003327CC">
        <w:t>e</w:t>
      </w:r>
      <w:r w:rsidR="00122F0E" w:rsidRPr="003327CC">
        <w:t xml:space="preserve"> proponer una ubicación alternativa que cumpla las condiciones medio ambientales y de calidad exigidos por</w:t>
      </w:r>
      <w:r w:rsidR="00122F0E" w:rsidRPr="002C3724">
        <w:t xml:space="preserve"> el Pliego.</w:t>
      </w:r>
    </w:p>
    <w:p w14:paraId="09B1F17B" w14:textId="77777777" w:rsidR="00177852" w:rsidRPr="00EB3EE1" w:rsidRDefault="00177852" w:rsidP="00177852">
      <w:pPr>
        <w:pStyle w:val="TITU1"/>
      </w:pPr>
      <w:bookmarkStart w:id="224" w:name="_Toc123104863"/>
      <w:bookmarkStart w:id="225" w:name="_Toc183257575"/>
      <w:bookmarkStart w:id="226" w:name="_Toc240349835"/>
      <w:bookmarkStart w:id="227" w:name="_Toc277523167"/>
      <w:bookmarkStart w:id="228" w:name="_Toc511906057"/>
      <w:bookmarkStart w:id="229" w:name="_Toc404083"/>
      <w:r w:rsidRPr="00EB3EE1">
        <w:lastRenderedPageBreak/>
        <w:t>Artículo 107. Conservación de las obras</w:t>
      </w:r>
      <w:bookmarkEnd w:id="224"/>
      <w:bookmarkEnd w:id="225"/>
      <w:bookmarkEnd w:id="226"/>
      <w:bookmarkEnd w:id="227"/>
      <w:bookmarkEnd w:id="228"/>
      <w:bookmarkEnd w:id="229"/>
    </w:p>
    <w:p w14:paraId="0A89A652" w14:textId="77777777" w:rsidR="00177852" w:rsidRPr="005864C2" w:rsidRDefault="00177852" w:rsidP="000313DD">
      <w:pPr>
        <w:pStyle w:val="TITU2"/>
      </w:pPr>
      <w:bookmarkStart w:id="230" w:name="_Toc123104864"/>
      <w:bookmarkStart w:id="231" w:name="_Toc240349836"/>
      <w:bookmarkStart w:id="232" w:name="_Toc277523168"/>
      <w:bookmarkStart w:id="233" w:name="_Toc511906058"/>
      <w:bookmarkStart w:id="234" w:name="_Toc404084"/>
      <w:r w:rsidRPr="005864C2">
        <w:t>107.1</w:t>
      </w:r>
      <w:r w:rsidR="005E43C8">
        <w:t>.</w:t>
      </w:r>
      <w:r w:rsidRPr="005864C2">
        <w:t xml:space="preserve"> </w:t>
      </w:r>
      <w:r w:rsidRPr="005864C2">
        <w:tab/>
        <w:t>Definición</w:t>
      </w:r>
      <w:bookmarkEnd w:id="230"/>
      <w:bookmarkEnd w:id="231"/>
      <w:bookmarkEnd w:id="232"/>
      <w:bookmarkEnd w:id="233"/>
      <w:bookmarkEnd w:id="234"/>
    </w:p>
    <w:p w14:paraId="5DBE58D3" w14:textId="77777777" w:rsidR="00177852" w:rsidRPr="00870A60" w:rsidRDefault="00177852" w:rsidP="00177852">
      <w:pPr>
        <w:pStyle w:val="NORMAL12"/>
        <w:rPr>
          <w:lang w:val="es-ES"/>
        </w:rPr>
      </w:pPr>
      <w:r w:rsidRPr="00870A60">
        <w:rPr>
          <w:lang w:val="es-ES"/>
        </w:rPr>
        <w:t>Se define como conservación de las obras los trabajos de limpieza, acabado, mantenimiento y reparación, así como cuantos otros trabajos sean necesarios para mantener las obras en perfecto estado de funcionamiento y policía.</w:t>
      </w:r>
    </w:p>
    <w:p w14:paraId="6A6289F7" w14:textId="77777777" w:rsidR="00177852" w:rsidRPr="00870A60" w:rsidRDefault="00177852" w:rsidP="00177852">
      <w:pPr>
        <w:pStyle w:val="NORMAL12"/>
        <w:rPr>
          <w:lang w:val="es-ES"/>
        </w:rPr>
      </w:pPr>
      <w:r w:rsidRPr="00870A60">
        <w:rPr>
          <w:lang w:val="es-ES"/>
        </w:rPr>
        <w:t xml:space="preserve">En todo momento se seguirá cualquier indicación del Ingeniero </w:t>
      </w:r>
      <w:proofErr w:type="gramStart"/>
      <w:r w:rsidRPr="00870A60">
        <w:rPr>
          <w:lang w:val="es-ES"/>
        </w:rPr>
        <w:t>Director</w:t>
      </w:r>
      <w:proofErr w:type="gramEnd"/>
      <w:r w:rsidRPr="00870A60">
        <w:rPr>
          <w:lang w:val="es-ES"/>
        </w:rPr>
        <w:t xml:space="preserve"> en cuanto al mantenimiento de la limpieza y policía antes citada. La Empresa Constructora está obligada no sólo a la ejecución de la obra, sino también a su conservación hasta la recepción o conformidad y durante el plazo de garantía. La responsabilidad de la Empresa Constructora por faltas que en la obra puedan advertirse se entiende en el supuesto de que tales faltas se deban exclusivamente a una indebida o defectuosa conservación de las unidades de obra, aunque éstas hayan sido examinadas y encontradas conformes por la Dirección, inmediatamente después de su construcción o en cualquier otro momento, dentro del periodo de vigencia del Contrato.</w:t>
      </w:r>
    </w:p>
    <w:p w14:paraId="6153B779" w14:textId="77777777" w:rsidR="00177852" w:rsidRPr="00870A60" w:rsidRDefault="00177852" w:rsidP="00177852">
      <w:pPr>
        <w:pStyle w:val="NORMAL12"/>
        <w:rPr>
          <w:lang w:val="es-ES"/>
        </w:rPr>
      </w:pPr>
      <w:r w:rsidRPr="00870A60">
        <w:rPr>
          <w:lang w:val="es-ES"/>
        </w:rPr>
        <w:t>Los trabajos de conservación, tanto durante la ejecución de las obras hasta su recepción como durante el plazo de garantía, no son de abono directo por considerarse incluido su importe en los precios unitarios establecidos.</w:t>
      </w:r>
    </w:p>
    <w:p w14:paraId="63B288A1" w14:textId="77777777" w:rsidR="00177852" w:rsidRPr="005864C2" w:rsidRDefault="00177852" w:rsidP="000313DD">
      <w:pPr>
        <w:pStyle w:val="TITU2"/>
      </w:pPr>
      <w:bookmarkStart w:id="235" w:name="_Toc123104865"/>
      <w:bookmarkStart w:id="236" w:name="_Toc240349837"/>
      <w:bookmarkStart w:id="237" w:name="_Toc277523169"/>
      <w:bookmarkStart w:id="238" w:name="_Toc511906059"/>
      <w:bookmarkStart w:id="239" w:name="_Toc404085"/>
      <w:r w:rsidRPr="005864C2">
        <w:t>107.2.</w:t>
      </w:r>
      <w:r w:rsidR="00BE2E81">
        <w:t xml:space="preserve">  </w:t>
      </w:r>
      <w:r w:rsidRPr="005864C2">
        <w:tab/>
        <w:t>Conservación durante la ejecución de las obras</w:t>
      </w:r>
      <w:bookmarkEnd w:id="235"/>
      <w:bookmarkEnd w:id="236"/>
      <w:bookmarkEnd w:id="237"/>
      <w:bookmarkEnd w:id="238"/>
      <w:bookmarkEnd w:id="239"/>
    </w:p>
    <w:p w14:paraId="53306300" w14:textId="77777777" w:rsidR="00177852" w:rsidRDefault="00177852" w:rsidP="00177852">
      <w:pPr>
        <w:pStyle w:val="NORMAL12"/>
        <w:rPr>
          <w:lang w:val="es-ES"/>
        </w:rPr>
      </w:pPr>
      <w:r w:rsidRPr="00870A60">
        <w:rPr>
          <w:lang w:val="es-ES"/>
        </w:rPr>
        <w:t>La Empresa Constructora queda obligada a conservar, a su costa, durante la ejecución y hasta su recepción, todas las obras que integran el Proyecto o modificaciones autorizadas, así como las carreteras y servidumbres afectadas, desvíos provisionales, señalizaciones existentes y señalizaciones de obra, marcas viales provisionales y elementos auxiliares, manteniéndolos en buenas condiciones de viabilidad, prestando un especial cuidado para la conservación de los caminos y mantenimiento de las servidumbres de paso así como evitar los arrastres de tierras procedentes de la explanación a fincas particulares.</w:t>
      </w:r>
    </w:p>
    <w:p w14:paraId="0252E107" w14:textId="77777777" w:rsidR="00870A60" w:rsidRPr="00870A60" w:rsidRDefault="00870A60" w:rsidP="00870A60">
      <w:pPr>
        <w:pStyle w:val="NORMAL12"/>
        <w:rPr>
          <w:lang w:val="es-ES"/>
        </w:rPr>
      </w:pPr>
      <w:r w:rsidRPr="00870A60">
        <w:rPr>
          <w:lang w:val="es-ES"/>
        </w:rPr>
        <w:t xml:space="preserve">Durante la ejecución de las obras, la limpieza de estas es responsabilidad íntegra y a costa del Contratista. </w:t>
      </w:r>
    </w:p>
    <w:p w14:paraId="408F7DD8" w14:textId="77777777" w:rsidR="00177852" w:rsidRPr="005864C2" w:rsidRDefault="00177852" w:rsidP="000313DD">
      <w:pPr>
        <w:pStyle w:val="TITU2"/>
      </w:pPr>
      <w:bookmarkStart w:id="240" w:name="_Toc123104866"/>
      <w:bookmarkStart w:id="241" w:name="_Toc240349838"/>
      <w:bookmarkStart w:id="242" w:name="_Toc277523170"/>
      <w:bookmarkStart w:id="243" w:name="_Toc511906060"/>
      <w:bookmarkStart w:id="244" w:name="_Toc404086"/>
      <w:r w:rsidRPr="005864C2">
        <w:t xml:space="preserve">107.3. </w:t>
      </w:r>
      <w:r w:rsidR="00BE2E81">
        <w:t xml:space="preserve">  </w:t>
      </w:r>
      <w:r w:rsidRPr="005864C2">
        <w:t>Conservación durante el plazo de garantía</w:t>
      </w:r>
      <w:bookmarkEnd w:id="240"/>
      <w:bookmarkEnd w:id="241"/>
      <w:bookmarkEnd w:id="242"/>
      <w:bookmarkEnd w:id="243"/>
      <w:bookmarkEnd w:id="244"/>
    </w:p>
    <w:p w14:paraId="5BDB9911" w14:textId="77777777" w:rsidR="00177852" w:rsidRPr="00870A60" w:rsidRDefault="00177852" w:rsidP="00177852">
      <w:pPr>
        <w:pStyle w:val="NORMAL12"/>
        <w:rPr>
          <w:lang w:val="es-ES"/>
        </w:rPr>
      </w:pPr>
      <w:r w:rsidRPr="00870A60">
        <w:rPr>
          <w:lang w:val="es-ES"/>
        </w:rPr>
        <w:t>La Empresa Constructora queda obligada a la conservación de la obra durante el plazo de garantía, debiendo realizar cuantos trabajos sean necesarios para mantener todas las obras en perfecto estado de conservación.</w:t>
      </w:r>
    </w:p>
    <w:p w14:paraId="128C0A9A" w14:textId="77777777" w:rsidR="00177852" w:rsidRPr="00870A60" w:rsidRDefault="00177852" w:rsidP="00177852">
      <w:pPr>
        <w:pStyle w:val="NORMAL12"/>
        <w:rPr>
          <w:lang w:val="es-ES"/>
        </w:rPr>
      </w:pPr>
      <w:r w:rsidRPr="00870A60">
        <w:rPr>
          <w:lang w:val="es-ES"/>
        </w:rPr>
        <w:t>La Empresa Constructora responderá de los daños o deterioros que puedan producirse en la obra durante el plazo de garantía, a no ser que pruebe que los mismos han sido ocasionados por el mal uso que de aquella hubieran hecho los usuarios o la Entidad encargada de la explotación y no al cumplimiento de sus obligaciones de vigilancia y policía de la obra.</w:t>
      </w:r>
    </w:p>
    <w:p w14:paraId="217F7F3A" w14:textId="77777777" w:rsidR="00177852" w:rsidRPr="005864C2" w:rsidRDefault="00177852" w:rsidP="000313DD">
      <w:pPr>
        <w:pStyle w:val="TITU2"/>
      </w:pPr>
      <w:bookmarkStart w:id="245" w:name="_Toc123104867"/>
      <w:bookmarkStart w:id="246" w:name="_Toc240349839"/>
      <w:bookmarkStart w:id="247" w:name="_Toc277523171"/>
      <w:bookmarkStart w:id="248" w:name="_Toc511906061"/>
      <w:bookmarkStart w:id="249" w:name="_Toc404087"/>
      <w:r w:rsidRPr="005864C2">
        <w:t xml:space="preserve">107.4. </w:t>
      </w:r>
      <w:r w:rsidR="00BE2E81">
        <w:t xml:space="preserve">  </w:t>
      </w:r>
      <w:r w:rsidRPr="005864C2">
        <w:t>Desarrollo de los trabajos</w:t>
      </w:r>
      <w:bookmarkEnd w:id="245"/>
      <w:bookmarkEnd w:id="246"/>
      <w:bookmarkEnd w:id="247"/>
      <w:bookmarkEnd w:id="248"/>
      <w:bookmarkEnd w:id="249"/>
    </w:p>
    <w:p w14:paraId="3340A046" w14:textId="77777777" w:rsidR="00177852" w:rsidRDefault="00177852" w:rsidP="00177852">
      <w:pPr>
        <w:pStyle w:val="NORMAL12"/>
        <w:rPr>
          <w:lang w:val="es-ES"/>
        </w:rPr>
      </w:pPr>
      <w:r w:rsidRPr="00870A60">
        <w:rPr>
          <w:lang w:val="es-ES"/>
        </w:rPr>
        <w:t xml:space="preserve">Los trabajos de construcción y conservación no obstaculizarán el uso público o servicio de la obra, ni de las carreteras o servidumbres colindantes y, de producir afectación, deberán ser previamente autorizados por escrito por el </w:t>
      </w:r>
      <w:proofErr w:type="gramStart"/>
      <w:r w:rsidRPr="00870A60">
        <w:rPr>
          <w:lang w:val="es-ES"/>
        </w:rPr>
        <w:t>Director</w:t>
      </w:r>
      <w:proofErr w:type="gramEnd"/>
      <w:r w:rsidRPr="00870A60">
        <w:rPr>
          <w:lang w:val="es-ES"/>
        </w:rPr>
        <w:t xml:space="preserve"> de obra y disponer de la oportuna señalización.</w:t>
      </w:r>
    </w:p>
    <w:p w14:paraId="51516CDA" w14:textId="77777777" w:rsidR="00D84836" w:rsidRPr="00870A60" w:rsidRDefault="00D84836" w:rsidP="00177852">
      <w:pPr>
        <w:pStyle w:val="NORMAL12"/>
        <w:rPr>
          <w:lang w:val="es-ES"/>
        </w:rPr>
      </w:pPr>
      <w:r w:rsidRPr="003327CC">
        <w:rPr>
          <w:lang w:val="es-ES"/>
        </w:rPr>
        <w:t>Para afectar a carreteras aje</w:t>
      </w:r>
      <w:r w:rsidR="00C97E29" w:rsidRPr="003327CC">
        <w:rPr>
          <w:lang w:val="es-ES"/>
        </w:rPr>
        <w:t>n</w:t>
      </w:r>
      <w:r w:rsidRPr="003327CC">
        <w:rPr>
          <w:lang w:val="es-ES"/>
        </w:rPr>
        <w:t>as al Estado es necesaria la autorización de la Administración titular de la vía.</w:t>
      </w:r>
    </w:p>
    <w:p w14:paraId="3BC9D5B7" w14:textId="77777777" w:rsidR="00177852" w:rsidRPr="00D14AE9" w:rsidRDefault="00177852" w:rsidP="00177852">
      <w:pPr>
        <w:pStyle w:val="TITU1"/>
      </w:pPr>
      <w:bookmarkStart w:id="250" w:name="_Toc123104868"/>
      <w:bookmarkStart w:id="251" w:name="_Toc183257576"/>
      <w:bookmarkStart w:id="252" w:name="_Toc240349840"/>
      <w:bookmarkStart w:id="253" w:name="_Toc277523172"/>
      <w:bookmarkStart w:id="254" w:name="_Toc511906062"/>
      <w:bookmarkStart w:id="255" w:name="_Toc404088"/>
      <w:r w:rsidRPr="00D14AE9">
        <w:lastRenderedPageBreak/>
        <w:t>Artículo 108. Dirección de las Obras</w:t>
      </w:r>
      <w:bookmarkEnd w:id="250"/>
      <w:bookmarkEnd w:id="251"/>
      <w:bookmarkEnd w:id="252"/>
      <w:bookmarkEnd w:id="253"/>
      <w:bookmarkEnd w:id="254"/>
      <w:bookmarkEnd w:id="255"/>
    </w:p>
    <w:p w14:paraId="4918A43F" w14:textId="77777777" w:rsidR="00177852" w:rsidRDefault="00177852" w:rsidP="00177852">
      <w:pPr>
        <w:pStyle w:val="NORMAL12"/>
        <w:rPr>
          <w:lang w:val="es-ES"/>
        </w:rPr>
      </w:pPr>
      <w:r w:rsidRPr="00D14AE9">
        <w:rPr>
          <w:lang w:val="es-ES"/>
        </w:rPr>
        <w:t xml:space="preserve">De conformidad con el vigente Pliego de Cláusulas Administrativas Generales para la Contratación de Obras del Estado, ha de entenderse que las funciones que en los diversos Artículos, tanto del presente Pliego como del de Prescripciones Técnicas Generales de obras de carreteras y puentes, se asignan al Ingeniero Director de las Obras, se refieren al Facultativo de la Administración, Director de Obra, auxiliado por los </w:t>
      </w:r>
      <w:r w:rsidRPr="003327CC">
        <w:rPr>
          <w:lang w:val="es-ES"/>
        </w:rPr>
        <w:t>colaboradores a sus órdenes, qu</w:t>
      </w:r>
      <w:r w:rsidR="00D14AE9" w:rsidRPr="003327CC">
        <w:rPr>
          <w:lang w:val="es-ES"/>
        </w:rPr>
        <w:t xml:space="preserve">e integran la Dirección de Obra y que han sido </w:t>
      </w:r>
      <w:r w:rsidR="00C97E29" w:rsidRPr="003327CC">
        <w:rPr>
          <w:lang w:val="es-ES"/>
        </w:rPr>
        <w:t>designados</w:t>
      </w:r>
      <w:r w:rsidR="00D14AE9" w:rsidRPr="003327CC">
        <w:rPr>
          <w:lang w:val="es-ES"/>
        </w:rPr>
        <w:t xml:space="preserve"> por la Administración</w:t>
      </w:r>
      <w:r w:rsidR="00D14AE9" w:rsidRPr="00D14AE9">
        <w:rPr>
          <w:lang w:val="es-ES"/>
        </w:rPr>
        <w:t>, según se indica en el artículo 101 de este Pliego.</w:t>
      </w:r>
    </w:p>
    <w:p w14:paraId="5161EBC3" w14:textId="77777777" w:rsidR="00D84836" w:rsidRDefault="00D84836" w:rsidP="00177852">
      <w:pPr>
        <w:pStyle w:val="NORMAL12"/>
        <w:rPr>
          <w:lang w:val="es-ES"/>
        </w:rPr>
      </w:pPr>
    </w:p>
    <w:p w14:paraId="349E80BE" w14:textId="77777777" w:rsidR="00D84836" w:rsidRDefault="00D84836" w:rsidP="00177852">
      <w:pPr>
        <w:pStyle w:val="NORMAL12"/>
        <w:rPr>
          <w:lang w:val="es-ES"/>
        </w:rPr>
      </w:pPr>
    </w:p>
    <w:p w14:paraId="3FBDB7E3" w14:textId="77777777" w:rsidR="00D84836" w:rsidRDefault="00D84836" w:rsidP="00177852">
      <w:pPr>
        <w:pStyle w:val="NORMAL12"/>
        <w:rPr>
          <w:lang w:val="es-ES"/>
        </w:rPr>
      </w:pPr>
    </w:p>
    <w:p w14:paraId="6C446883" w14:textId="77777777" w:rsidR="00D84836" w:rsidRDefault="00D84836" w:rsidP="00177852">
      <w:pPr>
        <w:pStyle w:val="NORMAL12"/>
        <w:rPr>
          <w:lang w:val="es-ES"/>
        </w:rPr>
      </w:pPr>
    </w:p>
    <w:p w14:paraId="176A5CC2" w14:textId="77777777" w:rsidR="00D84836" w:rsidRDefault="00D84836" w:rsidP="00177852">
      <w:pPr>
        <w:pStyle w:val="NORMAL12"/>
        <w:rPr>
          <w:lang w:val="es-ES"/>
        </w:rPr>
      </w:pPr>
    </w:p>
    <w:p w14:paraId="667538FE" w14:textId="77777777" w:rsidR="00D84836" w:rsidRDefault="00D84836" w:rsidP="00177852">
      <w:pPr>
        <w:pStyle w:val="NORMAL12"/>
        <w:rPr>
          <w:lang w:val="es-ES"/>
        </w:rPr>
      </w:pPr>
    </w:p>
    <w:p w14:paraId="3A186328" w14:textId="77777777" w:rsidR="00D84836" w:rsidRDefault="00D84836" w:rsidP="00177852">
      <w:pPr>
        <w:pStyle w:val="NORMAL12"/>
        <w:rPr>
          <w:lang w:val="es-ES"/>
        </w:rPr>
      </w:pPr>
    </w:p>
    <w:p w14:paraId="54A0CB2C" w14:textId="77777777" w:rsidR="00D84836" w:rsidRDefault="00D84836" w:rsidP="00177852">
      <w:pPr>
        <w:pStyle w:val="NORMAL12"/>
        <w:rPr>
          <w:lang w:val="es-ES"/>
        </w:rPr>
      </w:pPr>
    </w:p>
    <w:p w14:paraId="379F486D" w14:textId="77777777" w:rsidR="00D84836" w:rsidRDefault="00D84836" w:rsidP="00177852">
      <w:pPr>
        <w:pStyle w:val="NORMAL12"/>
        <w:rPr>
          <w:lang w:val="es-ES"/>
        </w:rPr>
      </w:pPr>
    </w:p>
    <w:p w14:paraId="74AA5795" w14:textId="77777777" w:rsidR="00D84836" w:rsidRDefault="00D84836" w:rsidP="00177852">
      <w:pPr>
        <w:pStyle w:val="NORMAL12"/>
        <w:rPr>
          <w:lang w:val="es-ES"/>
        </w:rPr>
      </w:pPr>
    </w:p>
    <w:p w14:paraId="45EEF51A" w14:textId="77777777" w:rsidR="00D84836" w:rsidRDefault="00D84836" w:rsidP="00177852">
      <w:pPr>
        <w:pStyle w:val="NORMAL12"/>
        <w:rPr>
          <w:lang w:val="es-ES"/>
        </w:rPr>
      </w:pPr>
    </w:p>
    <w:p w14:paraId="7B3DB797" w14:textId="77777777" w:rsidR="00D84836" w:rsidRDefault="00D84836" w:rsidP="00177852">
      <w:pPr>
        <w:pStyle w:val="NORMAL12"/>
        <w:rPr>
          <w:lang w:val="es-ES"/>
        </w:rPr>
      </w:pPr>
    </w:p>
    <w:p w14:paraId="09B91132" w14:textId="77777777" w:rsidR="00D84836" w:rsidRDefault="00D84836" w:rsidP="00177852">
      <w:pPr>
        <w:pStyle w:val="NORMAL12"/>
        <w:rPr>
          <w:lang w:val="es-ES"/>
        </w:rPr>
      </w:pPr>
    </w:p>
    <w:p w14:paraId="1BD57007" w14:textId="77777777" w:rsidR="00D84836" w:rsidRDefault="00D84836" w:rsidP="00177852">
      <w:pPr>
        <w:pStyle w:val="NORMAL12"/>
        <w:rPr>
          <w:lang w:val="es-ES"/>
        </w:rPr>
      </w:pPr>
    </w:p>
    <w:p w14:paraId="66376D3F" w14:textId="77777777" w:rsidR="00D84836" w:rsidRDefault="00D84836" w:rsidP="00177852">
      <w:pPr>
        <w:pStyle w:val="NORMAL12"/>
        <w:rPr>
          <w:lang w:val="es-ES"/>
        </w:rPr>
      </w:pPr>
    </w:p>
    <w:p w14:paraId="7766E645" w14:textId="77777777" w:rsidR="00D84836" w:rsidRDefault="00D84836" w:rsidP="00177852">
      <w:pPr>
        <w:pStyle w:val="NORMAL12"/>
        <w:rPr>
          <w:lang w:val="es-ES"/>
        </w:rPr>
      </w:pPr>
    </w:p>
    <w:p w14:paraId="419CE3D8" w14:textId="77777777" w:rsidR="00177852" w:rsidRPr="00D14AE9" w:rsidRDefault="00BE2E81" w:rsidP="00D84836">
      <w:pPr>
        <w:pStyle w:val="TITU1"/>
        <w:pageBreakBefore w:val="0"/>
      </w:pPr>
      <w:bookmarkStart w:id="256" w:name="_Toc123104869"/>
      <w:bookmarkStart w:id="257" w:name="_Toc183257577"/>
      <w:bookmarkStart w:id="258" w:name="_Toc240349841"/>
      <w:bookmarkStart w:id="259" w:name="_Toc277523173"/>
      <w:bookmarkStart w:id="260" w:name="_Toc511906063"/>
      <w:bookmarkStart w:id="261" w:name="_Toc404089"/>
      <w:r>
        <w:t>Artículo 109.</w:t>
      </w:r>
      <w:r w:rsidR="00177852" w:rsidRPr="00D14AE9">
        <w:t xml:space="preserve"> Publicidad en la obra</w:t>
      </w:r>
      <w:bookmarkEnd w:id="256"/>
      <w:bookmarkEnd w:id="257"/>
      <w:bookmarkEnd w:id="258"/>
      <w:bookmarkEnd w:id="259"/>
      <w:bookmarkEnd w:id="260"/>
      <w:bookmarkEnd w:id="261"/>
    </w:p>
    <w:p w14:paraId="3ADDBC32" w14:textId="77777777" w:rsidR="00177852" w:rsidRDefault="00177852" w:rsidP="00177852">
      <w:pPr>
        <w:pStyle w:val="NORMAL12"/>
        <w:rPr>
          <w:lang w:val="es-ES"/>
        </w:rPr>
      </w:pPr>
      <w:r w:rsidRPr="00D14AE9">
        <w:rPr>
          <w:lang w:val="es-ES"/>
        </w:rPr>
        <w:t xml:space="preserve">El Contratista no podrá, sin conformidad previa y expresa del </w:t>
      </w:r>
      <w:proofErr w:type="gramStart"/>
      <w:r w:rsidRPr="00D14AE9">
        <w:rPr>
          <w:lang w:val="es-ES"/>
        </w:rPr>
        <w:t>Director</w:t>
      </w:r>
      <w:proofErr w:type="gramEnd"/>
      <w:r w:rsidRPr="00D14AE9">
        <w:rPr>
          <w:lang w:val="es-ES"/>
        </w:rPr>
        <w:t xml:space="preserve"> </w:t>
      </w:r>
      <w:r w:rsidR="00CE424A" w:rsidRPr="00D14AE9">
        <w:rPr>
          <w:lang w:val="es-ES"/>
        </w:rPr>
        <w:t>de Obra</w:t>
      </w:r>
      <w:r w:rsidRPr="00D14AE9">
        <w:rPr>
          <w:lang w:val="es-ES"/>
        </w:rPr>
        <w:t>, exponer ningún tipo de cartel publicitario, ya sea provisional o permanente, en la obra.</w:t>
      </w:r>
    </w:p>
    <w:p w14:paraId="6789A520" w14:textId="77777777" w:rsidR="00D14AE9" w:rsidRDefault="00D14AE9" w:rsidP="00177852">
      <w:pPr>
        <w:pStyle w:val="NORMAL12"/>
        <w:rPr>
          <w:lang w:val="es-ES"/>
        </w:rPr>
      </w:pPr>
    </w:p>
    <w:p w14:paraId="2690AA19" w14:textId="77777777" w:rsidR="00D14AE9" w:rsidRPr="00A939EF" w:rsidRDefault="00D14AE9" w:rsidP="00D14AE9">
      <w:pPr>
        <w:pStyle w:val="TITU1"/>
      </w:pPr>
      <w:bookmarkStart w:id="262" w:name="_Toc404090"/>
      <w:r w:rsidRPr="00A939EF">
        <w:lastRenderedPageBreak/>
        <w:t>Artículo 110. Empresas suministradoras de productos</w:t>
      </w:r>
      <w:bookmarkEnd w:id="262"/>
    </w:p>
    <w:p w14:paraId="16DA4306" w14:textId="77777777" w:rsidR="00D14AE9" w:rsidRPr="002C3724" w:rsidRDefault="00D14AE9" w:rsidP="00D14AE9">
      <w:pPr>
        <w:pStyle w:val="NORMAL12"/>
        <w:rPr>
          <w:lang w:val="es-ES"/>
        </w:rPr>
      </w:pPr>
      <w:r w:rsidRPr="002C3724">
        <w:rPr>
          <w:lang w:val="es-ES"/>
        </w:rPr>
        <w:t xml:space="preserve">La empresa suministradora de </w:t>
      </w:r>
      <w:r w:rsidR="005E43C8" w:rsidRPr="002C3724">
        <w:rPr>
          <w:lang w:val="es-ES"/>
        </w:rPr>
        <w:t xml:space="preserve">los </w:t>
      </w:r>
      <w:r w:rsidRPr="002C3724">
        <w:rPr>
          <w:lang w:val="es-ES"/>
        </w:rPr>
        <w:t>productos</w:t>
      </w:r>
      <w:r w:rsidR="00DD3BD1" w:rsidRPr="002C3724">
        <w:rPr>
          <w:lang w:val="es-ES"/>
        </w:rPr>
        <w:t xml:space="preserve"> tales como </w:t>
      </w:r>
      <w:bookmarkStart w:id="263" w:name="_Hlk517438817"/>
      <w:r w:rsidR="00DD3BD1" w:rsidRPr="002C3724">
        <w:rPr>
          <w:lang w:val="es-ES"/>
        </w:rPr>
        <w:t xml:space="preserve">láminas asfálticas, geotextiles </w:t>
      </w:r>
      <w:proofErr w:type="spellStart"/>
      <w:r w:rsidR="00DD3BD1" w:rsidRPr="002C3724">
        <w:rPr>
          <w:lang w:val="es-ES"/>
        </w:rPr>
        <w:t>antirreflexión</w:t>
      </w:r>
      <w:proofErr w:type="spellEnd"/>
      <w:r w:rsidR="00DD3BD1" w:rsidRPr="002C3724">
        <w:rPr>
          <w:lang w:val="es-ES"/>
        </w:rPr>
        <w:t xml:space="preserve"> de fisuras, resinas de inyección y cualesquiera otros</w:t>
      </w:r>
      <w:r w:rsidR="002C3724">
        <w:rPr>
          <w:lang w:val="es-ES"/>
        </w:rPr>
        <w:t xml:space="preserve"> que por su singularidad requieran de condiciones específicas y que </w:t>
      </w:r>
      <w:r w:rsidR="00185F8C">
        <w:rPr>
          <w:lang w:val="es-ES"/>
        </w:rPr>
        <w:t xml:space="preserve">así </w:t>
      </w:r>
      <w:r w:rsidR="002C3724">
        <w:rPr>
          <w:lang w:val="es-ES"/>
        </w:rPr>
        <w:t xml:space="preserve">queden </w:t>
      </w:r>
      <w:r w:rsidR="00DD3BD1" w:rsidRPr="002C3724">
        <w:rPr>
          <w:lang w:val="es-ES"/>
        </w:rPr>
        <w:t>indicados en este Pliego</w:t>
      </w:r>
      <w:bookmarkEnd w:id="263"/>
      <w:r w:rsidR="00185F8C">
        <w:rPr>
          <w:lang w:val="es-ES"/>
        </w:rPr>
        <w:t>,</w:t>
      </w:r>
      <w:r w:rsidRPr="002C3724">
        <w:rPr>
          <w:lang w:val="es-ES"/>
        </w:rPr>
        <w:t xml:space="preserve"> demostrará por escrito que su sistema de Aseguramiento de la Calidad es Conforme a las exigencias de la Norma Española UNE-ISO 9001 (Modelo para el aseguramiento de la calidad en el diseño, desarrollo, producción, instalación y servicio </w:t>
      </w:r>
      <w:proofErr w:type="spellStart"/>
      <w:r w:rsidRPr="002C3724">
        <w:rPr>
          <w:lang w:val="es-ES"/>
        </w:rPr>
        <w:t>post-venta</w:t>
      </w:r>
      <w:proofErr w:type="spellEnd"/>
      <w:r w:rsidRPr="002C3724">
        <w:rPr>
          <w:lang w:val="es-ES"/>
        </w:rPr>
        <w:t xml:space="preserve">). </w:t>
      </w:r>
    </w:p>
    <w:p w14:paraId="4E49EAA9" w14:textId="77777777" w:rsidR="00D14AE9" w:rsidRDefault="00D14AE9" w:rsidP="00D14AE9">
      <w:pPr>
        <w:pStyle w:val="NORMAL12"/>
        <w:rPr>
          <w:lang w:val="es-ES"/>
        </w:rPr>
      </w:pPr>
      <w:proofErr w:type="gramStart"/>
      <w:r w:rsidRPr="002C3724">
        <w:rPr>
          <w:lang w:val="es-ES"/>
        </w:rPr>
        <w:t>Además</w:t>
      </w:r>
      <w:proofErr w:type="gramEnd"/>
      <w:r w:rsidRPr="002C3724">
        <w:rPr>
          <w:lang w:val="es-ES"/>
        </w:rPr>
        <w:t xml:space="preserve"> deberá acreditar la posesión de la certificación de Gestión Medioambiental UNE-EN-ISO-14.001.</w:t>
      </w:r>
    </w:p>
    <w:p w14:paraId="04BC390E" w14:textId="77777777" w:rsidR="00D84836" w:rsidRDefault="00D84836" w:rsidP="00D14AE9">
      <w:pPr>
        <w:pStyle w:val="NORMAL12"/>
        <w:rPr>
          <w:lang w:val="es-ES"/>
        </w:rPr>
      </w:pPr>
    </w:p>
    <w:p w14:paraId="43E57187" w14:textId="77777777" w:rsidR="00D84836" w:rsidRDefault="00D84836" w:rsidP="00D14AE9">
      <w:pPr>
        <w:pStyle w:val="NORMAL12"/>
        <w:rPr>
          <w:lang w:val="es-ES"/>
        </w:rPr>
      </w:pPr>
    </w:p>
    <w:p w14:paraId="54411EA9" w14:textId="77777777" w:rsidR="00D84836" w:rsidRDefault="00D84836" w:rsidP="00D14AE9">
      <w:pPr>
        <w:pStyle w:val="NORMAL12"/>
        <w:rPr>
          <w:lang w:val="es-ES"/>
        </w:rPr>
      </w:pPr>
    </w:p>
    <w:p w14:paraId="61421255" w14:textId="77777777" w:rsidR="00D84836" w:rsidRDefault="00D84836" w:rsidP="00D14AE9">
      <w:pPr>
        <w:pStyle w:val="NORMAL12"/>
        <w:rPr>
          <w:lang w:val="es-ES"/>
        </w:rPr>
      </w:pPr>
    </w:p>
    <w:p w14:paraId="3EC63805" w14:textId="77777777" w:rsidR="00D84836" w:rsidRDefault="00D84836" w:rsidP="00D14AE9">
      <w:pPr>
        <w:pStyle w:val="NORMAL12"/>
        <w:rPr>
          <w:lang w:val="es-ES"/>
        </w:rPr>
      </w:pPr>
    </w:p>
    <w:p w14:paraId="555FFC4B" w14:textId="77777777" w:rsidR="00D84836" w:rsidRDefault="00D84836" w:rsidP="00D14AE9">
      <w:pPr>
        <w:pStyle w:val="NORMAL12"/>
        <w:rPr>
          <w:lang w:val="es-ES"/>
        </w:rPr>
      </w:pPr>
    </w:p>
    <w:p w14:paraId="5E5EB956" w14:textId="77777777" w:rsidR="00D84836" w:rsidRDefault="00D84836" w:rsidP="00D14AE9">
      <w:pPr>
        <w:pStyle w:val="NORMAL12"/>
        <w:rPr>
          <w:lang w:val="es-ES"/>
        </w:rPr>
      </w:pPr>
    </w:p>
    <w:p w14:paraId="72F90E40" w14:textId="77777777" w:rsidR="00D84836" w:rsidRDefault="00D84836" w:rsidP="00D14AE9">
      <w:pPr>
        <w:pStyle w:val="NORMAL12"/>
        <w:rPr>
          <w:lang w:val="es-ES"/>
        </w:rPr>
      </w:pPr>
    </w:p>
    <w:p w14:paraId="57A4B0AC" w14:textId="77777777" w:rsidR="00D84836" w:rsidRDefault="00D84836" w:rsidP="00D14AE9">
      <w:pPr>
        <w:pStyle w:val="NORMAL12"/>
        <w:rPr>
          <w:lang w:val="es-ES"/>
        </w:rPr>
      </w:pPr>
    </w:p>
    <w:p w14:paraId="641AA766" w14:textId="77777777" w:rsidR="00D84836" w:rsidRDefault="00D84836" w:rsidP="00D14AE9">
      <w:pPr>
        <w:pStyle w:val="NORMAL12"/>
        <w:rPr>
          <w:lang w:val="es-ES"/>
        </w:rPr>
      </w:pPr>
    </w:p>
    <w:p w14:paraId="6D94E9FD" w14:textId="77777777" w:rsidR="00D84836" w:rsidRDefault="00D84836" w:rsidP="00D14AE9">
      <w:pPr>
        <w:pStyle w:val="NORMAL12"/>
        <w:rPr>
          <w:lang w:val="es-ES"/>
        </w:rPr>
      </w:pPr>
    </w:p>
    <w:p w14:paraId="04E18B5F" w14:textId="77777777" w:rsidR="00D84836" w:rsidRDefault="00D84836" w:rsidP="00D14AE9">
      <w:pPr>
        <w:pStyle w:val="NORMAL12"/>
        <w:rPr>
          <w:lang w:val="es-ES"/>
        </w:rPr>
      </w:pPr>
    </w:p>
    <w:p w14:paraId="5BAC63BF" w14:textId="77777777" w:rsidR="00D84836" w:rsidRDefault="00D84836" w:rsidP="00D14AE9">
      <w:pPr>
        <w:pStyle w:val="NORMAL12"/>
        <w:rPr>
          <w:lang w:val="es-ES"/>
        </w:rPr>
      </w:pPr>
    </w:p>
    <w:p w14:paraId="7F7B84FA" w14:textId="77777777" w:rsidR="00D84836" w:rsidRDefault="00D84836" w:rsidP="00D14AE9">
      <w:pPr>
        <w:pStyle w:val="NORMAL12"/>
        <w:rPr>
          <w:lang w:val="es-ES"/>
        </w:rPr>
      </w:pPr>
    </w:p>
    <w:p w14:paraId="40A96EEB" w14:textId="77777777" w:rsidR="00D84836" w:rsidRDefault="00D84836" w:rsidP="00D14AE9">
      <w:pPr>
        <w:pStyle w:val="NORMAL12"/>
        <w:rPr>
          <w:lang w:val="es-ES"/>
        </w:rPr>
      </w:pPr>
    </w:p>
    <w:p w14:paraId="3F111034" w14:textId="77777777" w:rsidR="00D84836" w:rsidRDefault="00D84836" w:rsidP="00D14AE9">
      <w:pPr>
        <w:pStyle w:val="NORMAL12"/>
        <w:rPr>
          <w:lang w:val="es-ES"/>
        </w:rPr>
      </w:pPr>
    </w:p>
    <w:p w14:paraId="0CA764C6" w14:textId="77777777" w:rsidR="00D84836" w:rsidRPr="00A939EF" w:rsidRDefault="00D84836" w:rsidP="00D14AE9">
      <w:pPr>
        <w:pStyle w:val="NORMAL12"/>
        <w:rPr>
          <w:lang w:val="es-ES"/>
        </w:rPr>
      </w:pPr>
    </w:p>
    <w:p w14:paraId="0CD1B728" w14:textId="77777777" w:rsidR="00D14AE9" w:rsidRPr="002C3724" w:rsidRDefault="00BE2E81" w:rsidP="00D84836">
      <w:pPr>
        <w:pStyle w:val="TITU1"/>
        <w:pageBreakBefore w:val="0"/>
      </w:pPr>
      <w:bookmarkStart w:id="264" w:name="_Toc404091"/>
      <w:r>
        <w:t>Artículo 111.</w:t>
      </w:r>
      <w:r w:rsidR="00D14AE9" w:rsidRPr="002C3724">
        <w:t xml:space="preserve"> Empresa aplicadora de los productos</w:t>
      </w:r>
      <w:bookmarkEnd w:id="264"/>
    </w:p>
    <w:p w14:paraId="646C27FC" w14:textId="77777777" w:rsidR="00D14AE9" w:rsidRPr="002C3724" w:rsidRDefault="00D14AE9" w:rsidP="00D14AE9">
      <w:pPr>
        <w:pStyle w:val="NORMAL12"/>
        <w:rPr>
          <w:lang w:val="es-ES"/>
        </w:rPr>
      </w:pPr>
      <w:r w:rsidRPr="002C3724">
        <w:rPr>
          <w:lang w:val="es-ES"/>
        </w:rPr>
        <w:t xml:space="preserve">La empresa </w:t>
      </w:r>
      <w:proofErr w:type="spellStart"/>
      <w:r w:rsidRPr="002C3724">
        <w:rPr>
          <w:lang w:val="es-ES"/>
        </w:rPr>
        <w:t>aplicadora</w:t>
      </w:r>
      <w:proofErr w:type="spellEnd"/>
      <w:r w:rsidRPr="002C3724">
        <w:rPr>
          <w:lang w:val="es-ES"/>
        </w:rPr>
        <w:t xml:space="preserve"> de los sistemas y productos</w:t>
      </w:r>
      <w:r w:rsidR="00DD3BD1" w:rsidRPr="002C3724">
        <w:rPr>
          <w:lang w:val="es-ES"/>
        </w:rPr>
        <w:t xml:space="preserve"> tales como láminas asfálticas, geotextiles </w:t>
      </w:r>
      <w:proofErr w:type="spellStart"/>
      <w:r w:rsidR="00DD3BD1" w:rsidRPr="002C3724">
        <w:rPr>
          <w:lang w:val="es-ES"/>
        </w:rPr>
        <w:t>antirreflexión</w:t>
      </w:r>
      <w:proofErr w:type="spellEnd"/>
      <w:r w:rsidR="00DD3BD1" w:rsidRPr="002C3724">
        <w:rPr>
          <w:lang w:val="es-ES"/>
        </w:rPr>
        <w:t xml:space="preserve"> de fisuras, resinas de inyección y cualesquiera otros que </w:t>
      </w:r>
      <w:r w:rsidR="002C3724" w:rsidRPr="002C3724">
        <w:rPr>
          <w:lang w:val="es-ES"/>
        </w:rPr>
        <w:t xml:space="preserve">por su singularidad requieran de condiciones específicas y que </w:t>
      </w:r>
      <w:r w:rsidR="00DD3BD1" w:rsidRPr="002C3724">
        <w:rPr>
          <w:lang w:val="es-ES"/>
        </w:rPr>
        <w:t xml:space="preserve">así queden indicados en este Pliego, </w:t>
      </w:r>
      <w:r w:rsidRPr="002C3724">
        <w:rPr>
          <w:lang w:val="es-ES"/>
        </w:rPr>
        <w:t>debe</w:t>
      </w:r>
      <w:r w:rsidR="00DD3BD1" w:rsidRPr="002C3724">
        <w:rPr>
          <w:lang w:val="es-ES"/>
        </w:rPr>
        <w:t>rá</w:t>
      </w:r>
      <w:r w:rsidRPr="002C3724">
        <w:rPr>
          <w:lang w:val="es-ES"/>
        </w:rPr>
        <w:t xml:space="preserve"> haber completado satisfactoriamente un programa de instrucción sobre su instalación/aplicación. Deberá conocer los métodos adecuados para la preparación del soporte y disponer de una autorización escrita del fabricante que le permita la aplicación de los productos. En este contexto, la empresa deberá conocer los principios, métodos y materiales recomendados en la norma europea EN-1504, para reparación y protección de estructuras de hormigón. </w:t>
      </w:r>
    </w:p>
    <w:p w14:paraId="2446E011" w14:textId="77777777" w:rsidR="00D14AE9" w:rsidRPr="002C3724" w:rsidRDefault="00D14AE9" w:rsidP="00D14AE9">
      <w:pPr>
        <w:pStyle w:val="NORMAL12"/>
        <w:rPr>
          <w:lang w:val="es-ES"/>
        </w:rPr>
      </w:pPr>
      <w:r w:rsidRPr="002C3724">
        <w:rPr>
          <w:lang w:val="es-ES"/>
        </w:rPr>
        <w:t xml:space="preserve">Por otra parte, los operarios que intervengan en la reparación deberán disponer de </w:t>
      </w:r>
      <w:proofErr w:type="gramStart"/>
      <w:r w:rsidRPr="002C3724">
        <w:rPr>
          <w:lang w:val="es-ES"/>
        </w:rPr>
        <w:t>carnet</w:t>
      </w:r>
      <w:proofErr w:type="gramEnd"/>
      <w:r w:rsidRPr="002C3724">
        <w:rPr>
          <w:lang w:val="es-ES"/>
        </w:rPr>
        <w:t xml:space="preserve"> de aplicador homologado o acreditación equivalente </w:t>
      </w:r>
      <w:r w:rsidR="00B13773" w:rsidRPr="002C3724">
        <w:rPr>
          <w:lang w:val="es-ES"/>
        </w:rPr>
        <w:t>para el sistema o producto que corresponda</w:t>
      </w:r>
      <w:r w:rsidRPr="002C3724">
        <w:rPr>
          <w:lang w:val="es-ES"/>
        </w:rPr>
        <w:t>, vigente y expedido por una empresa externa al aplicador.</w:t>
      </w:r>
    </w:p>
    <w:p w14:paraId="4E0EA6C5" w14:textId="77777777" w:rsidR="00D14AE9" w:rsidRPr="002C3724" w:rsidRDefault="00D14AE9" w:rsidP="00D84836">
      <w:pPr>
        <w:pStyle w:val="NORMAL12"/>
        <w:rPr>
          <w:lang w:val="es-ES"/>
        </w:rPr>
      </w:pPr>
      <w:r w:rsidRPr="002C3724">
        <w:rPr>
          <w:lang w:val="es-ES"/>
        </w:rPr>
        <w:t xml:space="preserve">La empresa </w:t>
      </w:r>
      <w:proofErr w:type="spellStart"/>
      <w:r w:rsidRPr="002C3724">
        <w:rPr>
          <w:lang w:val="es-ES"/>
        </w:rPr>
        <w:t>aplicadora</w:t>
      </w:r>
      <w:proofErr w:type="spellEnd"/>
      <w:r w:rsidRPr="002C3724">
        <w:rPr>
          <w:lang w:val="es-ES"/>
        </w:rPr>
        <w:t xml:space="preserve"> de los productos </w:t>
      </w:r>
      <w:r w:rsidR="00B13773" w:rsidRPr="002C3724">
        <w:rPr>
          <w:lang w:val="es-ES"/>
        </w:rPr>
        <w:t xml:space="preserve">y sistemas para los que así se solicite en este Pliego, </w:t>
      </w:r>
      <w:r w:rsidRPr="002C3724">
        <w:rPr>
          <w:lang w:val="es-ES"/>
        </w:rPr>
        <w:t xml:space="preserve">deberá presentar a la Dirección de Obra, por escrito y con anterioridad al comienzo de los trabajos, los programas de instrucción llevados a cabo y los </w:t>
      </w:r>
      <w:proofErr w:type="gramStart"/>
      <w:r w:rsidRPr="002C3724">
        <w:rPr>
          <w:lang w:val="es-ES"/>
        </w:rPr>
        <w:t>carnets</w:t>
      </w:r>
      <w:proofErr w:type="gramEnd"/>
      <w:r w:rsidRPr="002C3724">
        <w:rPr>
          <w:lang w:val="es-ES"/>
        </w:rPr>
        <w:t xml:space="preserve"> o certificados de homologación de los operarios que vayan a realizar cada procedimiento.</w:t>
      </w:r>
    </w:p>
    <w:p w14:paraId="2320AF0E" w14:textId="77777777" w:rsidR="00D14AE9" w:rsidRPr="00D14AE9" w:rsidRDefault="00D14AE9" w:rsidP="00D14AE9">
      <w:pPr>
        <w:pStyle w:val="NORMAL12"/>
        <w:rPr>
          <w:lang w:val="es-ES"/>
        </w:rPr>
      </w:pPr>
    </w:p>
    <w:p w14:paraId="37E87D9C" w14:textId="77777777" w:rsidR="00D14AE9" w:rsidRPr="00D14AE9" w:rsidRDefault="00D14AE9" w:rsidP="00D14AE9">
      <w:pPr>
        <w:pStyle w:val="NORMAL12"/>
        <w:rPr>
          <w:lang w:val="es-ES"/>
        </w:rPr>
      </w:pPr>
    </w:p>
    <w:p w14:paraId="6D27951F" w14:textId="77777777" w:rsidR="00CE424A" w:rsidRDefault="00CE424A" w:rsidP="00667297">
      <w:pPr>
        <w:pStyle w:val="TtuloPortada"/>
        <w:jc w:val="right"/>
        <w:outlineLvl w:val="0"/>
        <w:rPr>
          <w:rFonts w:ascii="Arial" w:hAnsi="Arial" w:cs="Arial"/>
          <w:color w:val="365F91" w:themeColor="accent1" w:themeShade="BF"/>
        </w:rPr>
        <w:sectPr w:rsidR="00CE424A" w:rsidSect="003069BA">
          <w:type w:val="oddPage"/>
          <w:pgSz w:w="23814" w:h="16840" w:orient="landscape" w:code="8"/>
          <w:pgMar w:top="992" w:right="851" w:bottom="1418" w:left="851" w:header="567" w:footer="1021" w:gutter="1418"/>
          <w:cols w:num="2" w:space="1418"/>
        </w:sectPr>
      </w:pPr>
    </w:p>
    <w:p w14:paraId="2290C318" w14:textId="77777777" w:rsidR="00FC7B9D" w:rsidRPr="000D3FA5" w:rsidRDefault="00177852" w:rsidP="00667297">
      <w:pPr>
        <w:pStyle w:val="TtuloPortada"/>
        <w:jc w:val="right"/>
        <w:outlineLvl w:val="0"/>
        <w:rPr>
          <w:rFonts w:ascii="Arial" w:hAnsi="Arial" w:cs="Arial"/>
        </w:rPr>
      </w:pPr>
      <w:r w:rsidRPr="005864C2">
        <w:rPr>
          <w:rFonts w:ascii="Arial" w:hAnsi="Arial" w:cs="Arial"/>
          <w:color w:val="365F91" w:themeColor="accent1" w:themeShade="BF"/>
        </w:rPr>
        <w:lastRenderedPageBreak/>
        <w:br w:type="column"/>
      </w:r>
      <w:bookmarkStart w:id="265" w:name="_Toc404092"/>
      <w:r w:rsidR="00FC7B9D" w:rsidRPr="000D3FA5">
        <w:rPr>
          <w:rFonts w:ascii="Arial" w:hAnsi="Arial" w:cs="Arial"/>
        </w:rPr>
        <w:t>Parte 2.- Materiales básicos</w:t>
      </w:r>
      <w:bookmarkEnd w:id="265"/>
    </w:p>
    <w:p w14:paraId="26993AE0" w14:textId="77777777" w:rsidR="00FC7B9D" w:rsidRPr="005864C2" w:rsidRDefault="00FC7B9D" w:rsidP="00FC7B9D">
      <w:pPr>
        <w:pStyle w:val="Ttulo1"/>
        <w:rPr>
          <w:b w:val="0"/>
          <w:color w:val="365F91" w:themeColor="accent1" w:themeShade="BF"/>
          <w:lang w:val="es-ES_tradnl"/>
        </w:rPr>
      </w:pPr>
    </w:p>
    <w:p w14:paraId="5F745DF8" w14:textId="77777777" w:rsidR="00667297" w:rsidRPr="005864C2" w:rsidRDefault="00667297" w:rsidP="00FC7B9D">
      <w:pPr>
        <w:rPr>
          <w:color w:val="365F91" w:themeColor="accent1" w:themeShade="BF"/>
          <w:lang w:val="es-ES_tradnl" w:eastAsia="en-US"/>
        </w:rPr>
        <w:sectPr w:rsidR="00667297" w:rsidRPr="005864C2" w:rsidSect="003069BA">
          <w:type w:val="oddPage"/>
          <w:pgSz w:w="23814" w:h="16840" w:orient="landscape" w:code="8"/>
          <w:pgMar w:top="992" w:right="851" w:bottom="1418" w:left="851" w:header="567" w:footer="1021" w:gutter="1418"/>
          <w:cols w:num="2" w:space="1418"/>
        </w:sectPr>
      </w:pPr>
    </w:p>
    <w:p w14:paraId="0E45CE96" w14:textId="77777777" w:rsidR="00667297" w:rsidRDefault="00667297" w:rsidP="006F6223">
      <w:pPr>
        <w:pStyle w:val="TITU1"/>
      </w:pPr>
      <w:bookmarkStart w:id="266" w:name="_Toc404093"/>
      <w:r w:rsidRPr="003C458B">
        <w:lastRenderedPageBreak/>
        <w:t>Artículo 202. Cementos</w:t>
      </w:r>
      <w:bookmarkEnd w:id="266"/>
    </w:p>
    <w:p w14:paraId="2712FBA7" w14:textId="77777777" w:rsidR="00963F38" w:rsidRPr="006B7EDC" w:rsidRDefault="00963F38" w:rsidP="00963F38">
      <w:pPr>
        <w:pStyle w:val="NORMAL12"/>
        <w:rPr>
          <w:lang w:val="es-ES"/>
        </w:rPr>
      </w:pPr>
      <w:r w:rsidRPr="006B7EDC">
        <w:rPr>
          <w:lang w:val="es-ES"/>
        </w:rPr>
        <w:t xml:space="preserve">Excepto para lo especificado en el presente Pliego de Prescripciones Técnicas </w:t>
      </w:r>
      <w:r>
        <w:rPr>
          <w:lang w:val="es-ES"/>
        </w:rPr>
        <w:t>P</w:t>
      </w:r>
      <w:r w:rsidRPr="006B7EDC">
        <w:rPr>
          <w:lang w:val="es-ES"/>
        </w:rPr>
        <w:t>articulares se seguirá lo pr</w:t>
      </w:r>
      <w:r>
        <w:rPr>
          <w:lang w:val="es-ES"/>
        </w:rPr>
        <w:t>escrito en el vigente artículo 202</w:t>
      </w:r>
      <w:r w:rsidRPr="006B7EDC">
        <w:rPr>
          <w:lang w:val="es-ES"/>
        </w:rPr>
        <w:t xml:space="preserve"> del PG-3.</w:t>
      </w:r>
    </w:p>
    <w:p w14:paraId="1E4D0120" w14:textId="77777777" w:rsidR="00667297" w:rsidRDefault="00667297" w:rsidP="000313DD">
      <w:pPr>
        <w:pStyle w:val="TITU2"/>
      </w:pPr>
      <w:bookmarkStart w:id="267" w:name="_Toc404094"/>
      <w:r w:rsidRPr="005864C2">
        <w:t>202.1.</w:t>
      </w:r>
      <w:r w:rsidR="00A40DF3" w:rsidRPr="005864C2">
        <w:t xml:space="preserve"> </w:t>
      </w:r>
      <w:r w:rsidRPr="005864C2">
        <w:t>Definición</w:t>
      </w:r>
      <w:bookmarkEnd w:id="267"/>
    </w:p>
    <w:p w14:paraId="0B30D8BC" w14:textId="77777777" w:rsidR="00343C26" w:rsidRPr="007E3BC9" w:rsidRDefault="00343C26" w:rsidP="00343C26">
      <w:pPr>
        <w:pStyle w:val="NORMAL12"/>
        <w:rPr>
          <w:lang w:val="es-ES"/>
        </w:rPr>
      </w:pPr>
      <w:r w:rsidRPr="007E3BC9">
        <w:rPr>
          <w:lang w:val="es-ES"/>
        </w:rPr>
        <w:t xml:space="preserve">Se definen como cementos los conglomerantes hidráulicos en cuya composición interviene como componente principal el </w:t>
      </w:r>
      <w:proofErr w:type="spellStart"/>
      <w:r w:rsidRPr="007E3BC9">
        <w:rPr>
          <w:lang w:val="es-ES"/>
        </w:rPr>
        <w:t>clínker</w:t>
      </w:r>
      <w:proofErr w:type="spellEnd"/>
      <w:r w:rsidRPr="007E3BC9">
        <w:rPr>
          <w:lang w:val="es-ES"/>
        </w:rPr>
        <w:t xml:space="preserve"> de cemento portland o, en su caso, el </w:t>
      </w:r>
      <w:proofErr w:type="spellStart"/>
      <w:r w:rsidRPr="007E3BC9">
        <w:rPr>
          <w:lang w:val="es-ES"/>
        </w:rPr>
        <w:t>clínker</w:t>
      </w:r>
      <w:proofErr w:type="spellEnd"/>
      <w:r w:rsidRPr="007E3BC9">
        <w:rPr>
          <w:lang w:val="es-ES"/>
        </w:rPr>
        <w:t xml:space="preserve"> de cemento de aluminato de calcio, los cuales, finamente molidos y convenientemente amasados con agua, forman pastas que fraguan y endurecen a causa de las reacciones de hidratación de sus constituyentes, dando lugar a productos hidratados mecánicamente resistentes y estables, tanto al aire como bajo agua.</w:t>
      </w:r>
    </w:p>
    <w:p w14:paraId="6BF748EF" w14:textId="77777777" w:rsidR="00C36ABC" w:rsidRPr="007E3BC9" w:rsidRDefault="00C36ABC" w:rsidP="00C36ABC">
      <w:pPr>
        <w:pStyle w:val="NORMAL12"/>
        <w:rPr>
          <w:lang w:val="es-ES"/>
        </w:rPr>
      </w:pPr>
      <w:r w:rsidRPr="007E3BC9">
        <w:rPr>
          <w:lang w:val="es-ES"/>
        </w:rPr>
        <w:t xml:space="preserve">Las prescripciones del presente artículo </w:t>
      </w:r>
      <w:proofErr w:type="gramStart"/>
      <w:r w:rsidRPr="007E3BC9">
        <w:rPr>
          <w:lang w:val="es-ES"/>
        </w:rPr>
        <w:t>son de aplicación</w:t>
      </w:r>
      <w:proofErr w:type="gramEnd"/>
      <w:r w:rsidRPr="007E3BC9">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053"/>
        <w:gridCol w:w="804"/>
        <w:gridCol w:w="8063"/>
      </w:tblGrid>
      <w:tr w:rsidR="005864C2" w:rsidRPr="007E3BC9" w14:paraId="6549DFD5" w14:textId="77777777" w:rsidTr="00C61192">
        <w:trPr>
          <w:trHeight w:val="300"/>
        </w:trPr>
        <w:tc>
          <w:tcPr>
            <w:tcW w:w="531" w:type="pct"/>
            <w:noWrap/>
          </w:tcPr>
          <w:p w14:paraId="08B5F236" w14:textId="77777777" w:rsidR="006967A8" w:rsidRPr="003327CC" w:rsidRDefault="006967A8">
            <w:pPr>
              <w:rPr>
                <w:rFonts w:ascii="Calibri" w:hAnsi="Calibri"/>
              </w:rPr>
            </w:pPr>
            <w:r w:rsidRPr="003327CC">
              <w:rPr>
                <w:rFonts w:ascii="Calibri" w:hAnsi="Calibri"/>
              </w:rPr>
              <w:t xml:space="preserve">202.0020          </w:t>
            </w:r>
          </w:p>
        </w:tc>
        <w:tc>
          <w:tcPr>
            <w:tcW w:w="405" w:type="pct"/>
            <w:noWrap/>
          </w:tcPr>
          <w:p w14:paraId="4719BEFC" w14:textId="77777777" w:rsidR="006967A8" w:rsidRPr="003327CC" w:rsidRDefault="006967A8">
            <w:pPr>
              <w:rPr>
                <w:rFonts w:ascii="Calibri" w:hAnsi="Calibri"/>
              </w:rPr>
            </w:pPr>
            <w:r w:rsidRPr="003327CC">
              <w:rPr>
                <w:rFonts w:ascii="Calibri" w:hAnsi="Calibri"/>
              </w:rPr>
              <w:t>t</w:t>
            </w:r>
          </w:p>
        </w:tc>
        <w:tc>
          <w:tcPr>
            <w:tcW w:w="4064" w:type="pct"/>
          </w:tcPr>
          <w:p w14:paraId="41C09A52" w14:textId="77777777" w:rsidR="00984447" w:rsidRPr="003327CC" w:rsidRDefault="00984447" w:rsidP="00984447">
            <w:pPr>
              <w:rPr>
                <w:rFonts w:ascii="Calibri" w:hAnsi="Calibri" w:cs="Calibri"/>
                <w:color w:val="000000"/>
              </w:rPr>
            </w:pPr>
            <w:r w:rsidRPr="003327CC">
              <w:rPr>
                <w:rFonts w:ascii="Calibri" w:hAnsi="Calibri" w:cs="Calibri"/>
                <w:color w:val="000000"/>
              </w:rPr>
              <w:t>CEMENTO EMPLEADO EN ESTABILIZACIÓN DE SUELOS, FABRICACIÓN DE SUELO-CEMENTO, O COMO POLVO MINERAL DE APORTACIÓN EN MEZCLAS BITUMINOSAS EN CALIENTE PUESTO A PIE DE OBRA O PLANTA.</w:t>
            </w:r>
          </w:p>
          <w:p w14:paraId="14ED0E4A" w14:textId="77777777" w:rsidR="006967A8" w:rsidRPr="003327CC" w:rsidRDefault="006967A8">
            <w:pPr>
              <w:rPr>
                <w:rFonts w:ascii="Calibri" w:hAnsi="Calibri"/>
              </w:rPr>
            </w:pPr>
          </w:p>
        </w:tc>
      </w:tr>
    </w:tbl>
    <w:p w14:paraId="5E1CDBFF" w14:textId="77777777" w:rsidR="00667297" w:rsidRPr="00746623" w:rsidRDefault="00667297" w:rsidP="00667297">
      <w:pPr>
        <w:pStyle w:val="NORMAL12"/>
        <w:rPr>
          <w:lang w:val="es-ES"/>
        </w:rPr>
      </w:pPr>
      <w:r w:rsidRPr="00746623">
        <w:rPr>
          <w:lang w:val="es-ES"/>
        </w:rPr>
        <w:t>En este artículo s</w:t>
      </w:r>
      <w:r w:rsidRPr="003327CC">
        <w:rPr>
          <w:lang w:val="es-ES"/>
        </w:rPr>
        <w:t>erá de aplicación todo lo dispuesto en la vigente Instrucción par</w:t>
      </w:r>
      <w:r w:rsidR="00A63BF1" w:rsidRPr="003327CC">
        <w:rPr>
          <w:lang w:val="es-ES"/>
        </w:rPr>
        <w:t>a la recepción de cementos (RC</w:t>
      </w:r>
      <w:r w:rsidR="00097C55" w:rsidRPr="003327CC">
        <w:t>-16) aprobada por el Real Decreto 256/2016, de 10 de junio</w:t>
      </w:r>
      <w:r w:rsidR="00A63BF1" w:rsidRPr="003327CC">
        <w:rPr>
          <w:lang w:val="es-ES"/>
        </w:rPr>
        <w:t xml:space="preserve"> y en el artículo 202. Cementos del PG-3.</w:t>
      </w:r>
    </w:p>
    <w:p w14:paraId="1430BBE0" w14:textId="77777777" w:rsidR="00A63BF1" w:rsidRPr="0097183C" w:rsidRDefault="00A63BF1" w:rsidP="000313DD">
      <w:pPr>
        <w:pStyle w:val="TITU2"/>
      </w:pPr>
      <w:bookmarkStart w:id="268" w:name="_Toc404095"/>
      <w:r w:rsidRPr="0097183C">
        <w:t>202.2. Condiciones generales</w:t>
      </w:r>
      <w:bookmarkEnd w:id="268"/>
    </w:p>
    <w:p w14:paraId="2CA44BFB" w14:textId="77777777" w:rsidR="00A63BF1" w:rsidRPr="0097183C" w:rsidRDefault="00A63BF1" w:rsidP="00A63BF1">
      <w:pPr>
        <w:pStyle w:val="NORMAL12"/>
        <w:rPr>
          <w:lang w:val="es-ES"/>
        </w:rPr>
      </w:pPr>
      <w:r w:rsidRPr="0097183C">
        <w:rPr>
          <w:lang w:val="es-ES"/>
        </w:rPr>
        <w:t xml:space="preserve">Lo dispuesto en este artículo se entenderá sin perjuicio de lo establecido en el Reglamento 305/2011 de 9 de marzo de 2011, del Parlamento Europeo y del Consejo, por el que se establecen las condiciones armonizadas para la comercialización de productos de construcción. Para los productos con marcado CE, el fabricante asumirá la responsabilidad sobre la conformidad de </w:t>
      </w:r>
      <w:proofErr w:type="gramStart"/>
      <w:r w:rsidRPr="0097183C">
        <w:rPr>
          <w:lang w:val="es-ES"/>
        </w:rPr>
        <w:t>los mismos</w:t>
      </w:r>
      <w:proofErr w:type="gramEnd"/>
      <w:r w:rsidRPr="0097183C">
        <w:rPr>
          <w:lang w:val="es-ES"/>
        </w:rPr>
        <w:t xml:space="preserve"> con las prestaciones declaradas, de acuerdo con el artículo 11 del mencionado Reglamento. Los productos que tengan el marcado CE deberán ir acompañados, además de dicho marcado, de la Declaración de Prestaciones, y de las instrucciones e información de seguridad del producto. Por su parte, el Contratista deberá verificar que los valores declarados en los documentos que acompañan al marcado CE permitan deducir el cumplimiento de las especificaciones contempladas en el Proyecto o, en su defecto, en este Pliego, debiendo adoptar, en el caso de que existan indicios de </w:t>
      </w:r>
      <w:r w:rsidRPr="0097183C">
        <w:rPr>
          <w:lang w:val="es-ES"/>
        </w:rPr>
        <w:t>incumplimiento de las especificaciones declaradas, todas aquellas medidas que considere oportunas para garantizar la idoneidad del producto suministrado a la obra.</w:t>
      </w:r>
    </w:p>
    <w:p w14:paraId="36039A3A" w14:textId="77777777" w:rsidR="00667297" w:rsidRPr="007E3BC9" w:rsidRDefault="00667297" w:rsidP="000313DD">
      <w:pPr>
        <w:pStyle w:val="TITU2"/>
      </w:pPr>
      <w:bookmarkStart w:id="269" w:name="_Toc404096"/>
      <w:r w:rsidRPr="007E3BC9">
        <w:t>202.3. Denominaciones</w:t>
      </w:r>
      <w:bookmarkEnd w:id="269"/>
    </w:p>
    <w:p w14:paraId="434065D5" w14:textId="77777777" w:rsidR="00667297" w:rsidRDefault="00F97863" w:rsidP="00667297">
      <w:pPr>
        <w:pStyle w:val="NORMAL12"/>
        <w:rPr>
          <w:lang w:val="es-ES"/>
        </w:rPr>
      </w:pPr>
      <w:r w:rsidRPr="007E3BC9">
        <w:rPr>
          <w:lang w:val="es-ES"/>
        </w:rPr>
        <w:t xml:space="preserve">Se emplearán cementos con clase </w:t>
      </w:r>
      <w:r w:rsidRPr="00BE1547">
        <w:rPr>
          <w:lang w:val="es-ES"/>
        </w:rPr>
        <w:t xml:space="preserve">de resistencia </w:t>
      </w:r>
      <w:r w:rsidR="00BE1547" w:rsidRPr="00BE1547">
        <w:rPr>
          <w:lang w:val="es-ES"/>
        </w:rPr>
        <w:t>3</w:t>
      </w:r>
      <w:r w:rsidR="00491BB3" w:rsidRPr="00BE1547">
        <w:rPr>
          <w:lang w:val="es-ES"/>
        </w:rPr>
        <w:t>2</w:t>
      </w:r>
      <w:r w:rsidR="00BE1547" w:rsidRPr="00BE1547">
        <w:rPr>
          <w:lang w:val="es-ES"/>
        </w:rPr>
        <w:t>,</w:t>
      </w:r>
      <w:r w:rsidR="00491BB3" w:rsidRPr="00BE1547">
        <w:rPr>
          <w:lang w:val="es-ES"/>
        </w:rPr>
        <w:t>5</w:t>
      </w:r>
      <w:r w:rsidR="00BE1547" w:rsidRPr="00BE1547">
        <w:rPr>
          <w:lang w:val="es-ES"/>
        </w:rPr>
        <w:t>N</w:t>
      </w:r>
      <w:r w:rsidR="00A939EF">
        <w:rPr>
          <w:lang w:val="es-ES"/>
        </w:rPr>
        <w:t xml:space="preserve">, que cumple con la </w:t>
      </w:r>
      <w:r w:rsidR="00667297" w:rsidRPr="00BE1547">
        <w:rPr>
          <w:lang w:val="es-ES"/>
        </w:rPr>
        <w:t>denominación</w:t>
      </w:r>
      <w:r w:rsidR="00667297" w:rsidRPr="007E3BC9">
        <w:rPr>
          <w:lang w:val="es-ES"/>
        </w:rPr>
        <w:t>, composición, designación, prescripciones, durabilidad y normas de referencia de los cementos de uso en obras de carreteras serán las que figuran en los anejos de la Instrucción para la rec</w:t>
      </w:r>
      <w:r w:rsidR="005E43C8">
        <w:rPr>
          <w:lang w:val="es-ES"/>
        </w:rPr>
        <w:t>epción de cementos (RC</w:t>
      </w:r>
      <w:r w:rsidR="00A212A3">
        <w:rPr>
          <w:lang w:val="es-ES"/>
        </w:rPr>
        <w:t>-16</w:t>
      </w:r>
      <w:r w:rsidR="005E43C8">
        <w:rPr>
          <w:lang w:val="es-ES"/>
        </w:rPr>
        <w:t>) vigente.</w:t>
      </w:r>
    </w:p>
    <w:p w14:paraId="188F7027" w14:textId="77777777" w:rsidR="005E43C8" w:rsidRDefault="00436CEB" w:rsidP="00667297">
      <w:pPr>
        <w:pStyle w:val="NORMAL12"/>
        <w:rPr>
          <w:lang w:val="es-ES"/>
        </w:rPr>
      </w:pPr>
      <w:r>
        <w:rPr>
          <w:lang w:val="es-ES"/>
        </w:rPr>
        <w:t xml:space="preserve">El tipo de </w:t>
      </w:r>
      <w:r w:rsidR="005E43C8">
        <w:rPr>
          <w:lang w:val="es-ES"/>
        </w:rPr>
        <w:t xml:space="preserve">cemento empleado en cada unidad </w:t>
      </w:r>
      <w:r>
        <w:rPr>
          <w:lang w:val="es-ES"/>
        </w:rPr>
        <w:t>es</w:t>
      </w:r>
      <w:r w:rsidR="005E43C8">
        <w:rPr>
          <w:lang w:val="es-ES"/>
        </w:rPr>
        <w:t>:</w:t>
      </w:r>
    </w:p>
    <w:p w14:paraId="51CE3E7D" w14:textId="77777777" w:rsidR="00436CEB" w:rsidRPr="007A63D2" w:rsidRDefault="00436CEB" w:rsidP="00221E1A">
      <w:pPr>
        <w:pStyle w:val="NORMAL12"/>
        <w:numPr>
          <w:ilvl w:val="0"/>
          <w:numId w:val="167"/>
        </w:numPr>
        <w:rPr>
          <w:lang w:val="en-US"/>
        </w:rPr>
      </w:pPr>
      <w:proofErr w:type="spellStart"/>
      <w:r w:rsidRPr="007A63D2">
        <w:rPr>
          <w:lang w:val="en-US"/>
        </w:rPr>
        <w:t>Cemento</w:t>
      </w:r>
      <w:proofErr w:type="spellEnd"/>
      <w:r w:rsidRPr="007A63D2">
        <w:rPr>
          <w:lang w:val="en-US"/>
        </w:rPr>
        <w:t xml:space="preserve"> </w:t>
      </w:r>
      <w:r w:rsidR="00D93E76" w:rsidRPr="007A63D2">
        <w:rPr>
          <w:lang w:val="en-US"/>
        </w:rPr>
        <w:t>Portland</w:t>
      </w:r>
      <w:r w:rsidRPr="007A63D2">
        <w:rPr>
          <w:lang w:val="en-US"/>
        </w:rPr>
        <w:t xml:space="preserve"> CEM II/b-s/32,5</w:t>
      </w:r>
    </w:p>
    <w:p w14:paraId="704035B2" w14:textId="77777777" w:rsidR="00667297" w:rsidRPr="007E3BC9" w:rsidRDefault="00667297" w:rsidP="000313DD">
      <w:pPr>
        <w:pStyle w:val="TITU2"/>
      </w:pPr>
      <w:bookmarkStart w:id="270" w:name="_Toc404097"/>
      <w:r w:rsidRPr="007E3BC9">
        <w:t>202.4. Transporte y almacenamiento</w:t>
      </w:r>
      <w:bookmarkEnd w:id="270"/>
    </w:p>
    <w:p w14:paraId="6A58EA44" w14:textId="77777777" w:rsidR="00667297" w:rsidRPr="007E3BC9" w:rsidRDefault="007E3BC9" w:rsidP="007E3BC9">
      <w:pPr>
        <w:pStyle w:val="NORMAL12"/>
        <w:rPr>
          <w:lang w:val="es-ES"/>
        </w:rPr>
      </w:pPr>
      <w:r w:rsidRPr="007E3BC9">
        <w:rPr>
          <w:lang w:val="es-ES"/>
        </w:rPr>
        <w:t xml:space="preserve">El tiempo máximo de almacenamiento </w:t>
      </w:r>
      <w:r w:rsidR="00667297" w:rsidRPr="007E3BC9">
        <w:rPr>
          <w:lang w:val="es-ES"/>
        </w:rPr>
        <w:t>no se</w:t>
      </w:r>
      <w:r w:rsidRPr="007E3BC9">
        <w:rPr>
          <w:lang w:val="es-ES"/>
        </w:rPr>
        <w:t>rá</w:t>
      </w:r>
      <w:r w:rsidR="00667297" w:rsidRPr="007E3BC9">
        <w:rPr>
          <w:lang w:val="es-ES"/>
        </w:rPr>
        <w:t xml:space="preserve"> más de tres</w:t>
      </w:r>
      <w:r w:rsidR="00AC1684" w:rsidRPr="007E3BC9">
        <w:rPr>
          <w:lang w:val="es-ES"/>
        </w:rPr>
        <w:t xml:space="preserve"> </w:t>
      </w:r>
      <w:r w:rsidR="00667297" w:rsidRPr="007E3BC9">
        <w:rPr>
          <w:lang w:val="es-ES"/>
        </w:rPr>
        <w:t>(3) meses para la clase de resistencia 32,5.</w:t>
      </w:r>
    </w:p>
    <w:p w14:paraId="7020359A" w14:textId="77777777" w:rsidR="00667297" w:rsidRPr="004E4FA7" w:rsidRDefault="007E3BC9" w:rsidP="00667297">
      <w:pPr>
        <w:pStyle w:val="NORMAL12"/>
        <w:rPr>
          <w:lang w:val="es-ES"/>
        </w:rPr>
      </w:pPr>
      <w:r w:rsidRPr="007E3BC9">
        <w:rPr>
          <w:lang w:val="es-ES"/>
        </w:rPr>
        <w:t xml:space="preserve">Se comprobarán </w:t>
      </w:r>
      <w:r w:rsidR="00667297" w:rsidRPr="007E3BC9">
        <w:rPr>
          <w:lang w:val="es-ES"/>
        </w:rPr>
        <w:t xml:space="preserve">las condiciones de almacenamiento, así como el estado de los sistemas de transporte y trasvase en todo cuanto pudiera afectar a la calidad del material; y de no ser de su conformidad, suspenderá la utilización del contenido del envase, silo o cisterna </w:t>
      </w:r>
      <w:r w:rsidR="00667297" w:rsidRPr="004E4FA7">
        <w:rPr>
          <w:lang w:val="es-ES"/>
        </w:rPr>
        <w:t>correspondiente hasta la comprobación de las características que estime convenientes de las exigidas en este artículo, en la vigente Instrucción para la recepción de cementos (R</w:t>
      </w:r>
      <w:r w:rsidRPr="004E4FA7">
        <w:rPr>
          <w:lang w:val="es-ES"/>
        </w:rPr>
        <w:t>C).</w:t>
      </w:r>
    </w:p>
    <w:p w14:paraId="1EB53B4D" w14:textId="77777777" w:rsidR="00C816D2" w:rsidRPr="004E4FA7" w:rsidRDefault="004E4FA7" w:rsidP="00667297">
      <w:pPr>
        <w:pStyle w:val="NORMAL12"/>
        <w:rPr>
          <w:lang w:val="es-ES"/>
        </w:rPr>
      </w:pPr>
      <w:r w:rsidRPr="004E4FA7">
        <w:rPr>
          <w:lang w:val="es-ES"/>
        </w:rPr>
        <w:t>El almacenamiento se llevará a cabo de tal forma que quede protegido de la intemperie y de las condiciones meteorológicas. El transporte se realizará por medios adecuado de tal forma que no se produzca alteración del producto, ni vertidos o generación de polvo.</w:t>
      </w:r>
    </w:p>
    <w:p w14:paraId="29B0B13F" w14:textId="77777777" w:rsidR="00667297" w:rsidRPr="007E3BC9" w:rsidRDefault="00667297" w:rsidP="000313DD">
      <w:pPr>
        <w:pStyle w:val="TITU2"/>
      </w:pPr>
      <w:bookmarkStart w:id="271" w:name="_Toc404098"/>
      <w:r w:rsidRPr="007E3BC9">
        <w:t>202.6. Control de Calidad</w:t>
      </w:r>
      <w:bookmarkEnd w:id="271"/>
    </w:p>
    <w:p w14:paraId="7A8C812B" w14:textId="77777777" w:rsidR="00667297" w:rsidRPr="007E3BC9" w:rsidRDefault="00667297" w:rsidP="00667297">
      <w:pPr>
        <w:pStyle w:val="NORMAL12"/>
        <w:rPr>
          <w:lang w:val="es-ES"/>
        </w:rPr>
      </w:pPr>
      <w:r w:rsidRPr="007E3BC9">
        <w:rPr>
          <w:lang w:val="es-ES"/>
        </w:rPr>
        <w:t>El control de la recepción del cemento deberá incluir obligatoriamente, al menos:</w:t>
      </w:r>
    </w:p>
    <w:p w14:paraId="7B44532A" w14:textId="77777777" w:rsidR="00667297" w:rsidRPr="007E3BC9" w:rsidRDefault="00667297" w:rsidP="00AF2335">
      <w:pPr>
        <w:pStyle w:val="NORMAL12"/>
        <w:numPr>
          <w:ilvl w:val="0"/>
          <w:numId w:val="15"/>
        </w:numPr>
        <w:rPr>
          <w:lang w:val="es-ES"/>
        </w:rPr>
      </w:pPr>
      <w:r w:rsidRPr="007E3BC9">
        <w:rPr>
          <w:lang w:val="es-ES"/>
        </w:rPr>
        <w:t>Una primera fase, de comprobación de la documentación y del etiquetado. En el caso de cementos sujetos al Real Decreto 1313/1988, deberá cumplir lo especificado en la vigente Instrucción para la recepción de cementos (RC).</w:t>
      </w:r>
    </w:p>
    <w:p w14:paraId="07377EE7" w14:textId="77777777" w:rsidR="00667297" w:rsidRPr="007E3BC9" w:rsidRDefault="00667297" w:rsidP="00AF2335">
      <w:pPr>
        <w:pStyle w:val="NORMAL12"/>
        <w:numPr>
          <w:ilvl w:val="0"/>
          <w:numId w:val="15"/>
        </w:numPr>
        <w:rPr>
          <w:lang w:val="es-ES"/>
        </w:rPr>
      </w:pPr>
      <w:r w:rsidRPr="007E3BC9">
        <w:rPr>
          <w:lang w:val="es-ES"/>
        </w:rPr>
        <w:t>Una segunda fase, consistente en una inspección visual del suministro.</w:t>
      </w:r>
    </w:p>
    <w:p w14:paraId="770C1525" w14:textId="77777777" w:rsidR="00667297" w:rsidRPr="007E3BC9" w:rsidRDefault="007E3BC9" w:rsidP="00667297">
      <w:pPr>
        <w:pStyle w:val="NORMAL12"/>
        <w:rPr>
          <w:lang w:val="es-ES"/>
        </w:rPr>
      </w:pPr>
      <w:r w:rsidRPr="007E3BC9">
        <w:rPr>
          <w:lang w:val="es-ES"/>
        </w:rPr>
        <w:t>S</w:t>
      </w:r>
      <w:r w:rsidR="00667297" w:rsidRPr="007E3BC9">
        <w:rPr>
          <w:lang w:val="es-ES"/>
        </w:rPr>
        <w:t xml:space="preserve">e podrá llevar a cabo una tercera fase de control mediante la realización de ensayos de identificación y, en su caso, ensayos complementarios, según lo dispuesto en los anejos 5 </w:t>
      </w:r>
      <w:r w:rsidR="00667297" w:rsidRPr="007E3BC9">
        <w:rPr>
          <w:lang w:val="es-ES"/>
        </w:rPr>
        <w:lastRenderedPageBreak/>
        <w:t>y 6 de la Instrucción par</w:t>
      </w:r>
      <w:r w:rsidR="00D74DC0" w:rsidRPr="007E3BC9">
        <w:rPr>
          <w:lang w:val="es-ES"/>
        </w:rPr>
        <w:t>a la recepción de cementos (RC)</w:t>
      </w:r>
      <w:r w:rsidR="00606AE7">
        <w:rPr>
          <w:lang w:val="es-ES"/>
        </w:rPr>
        <w:t>, si el director de obra lo estima oportuno.</w:t>
      </w:r>
    </w:p>
    <w:p w14:paraId="2594133F" w14:textId="77777777" w:rsidR="00667297" w:rsidRPr="007E3BC9" w:rsidRDefault="00D9251B" w:rsidP="00667297">
      <w:pPr>
        <w:pStyle w:val="NORMAL12"/>
        <w:rPr>
          <w:lang w:val="es-ES"/>
        </w:rPr>
      </w:pPr>
      <w:r>
        <w:rPr>
          <w:noProof/>
          <w:lang w:val="es-ES" w:eastAsia="es-ES"/>
        </w:rPr>
        <mc:AlternateContent>
          <mc:Choice Requires="wps">
            <w:drawing>
              <wp:anchor distT="0" distB="0" distL="114300" distR="114300" simplePos="0" relativeHeight="252063744" behindDoc="0" locked="0" layoutInCell="1" allowOverlap="1" wp14:anchorId="766532DD" wp14:editId="235D3156">
                <wp:simplePos x="0" y="0"/>
                <wp:positionH relativeFrom="column">
                  <wp:posOffset>582295</wp:posOffset>
                </wp:positionH>
                <wp:positionV relativeFrom="paragraph">
                  <wp:posOffset>849630</wp:posOffset>
                </wp:positionV>
                <wp:extent cx="9525" cy="85725"/>
                <wp:effectExtent l="0" t="0" r="28575" b="28575"/>
                <wp:wrapNone/>
                <wp:docPr id="40" name="AutoShape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1BE2D9" id="_x0000_t32" coordsize="21600,21600" o:spt="32" o:oned="t" path="m,l21600,21600e" filled="f">
                <v:path arrowok="t" fillok="f" o:connecttype="none"/>
                <o:lock v:ext="edit" shapetype="t"/>
              </v:shapetype>
              <v:shape id="AutoShape 197" o:spid="_x0000_s1026" type="#_x0000_t32" style="position:absolute;margin-left:45.85pt;margin-top:66.9pt;width:.75pt;height:6.75pt;flip:x;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"/>
            </w:pict>
          </mc:Fallback>
        </mc:AlternateContent>
      </w:r>
      <w:r w:rsidR="00667297" w:rsidRPr="007E3BC9">
        <w:rPr>
          <w:lang w:val="es-ES"/>
        </w:rPr>
        <w:t xml:space="preserve">En cumplimiento de la </w:t>
      </w:r>
      <w:r w:rsidR="00667297" w:rsidRPr="004E4FA7">
        <w:rPr>
          <w:lang w:val="es-ES"/>
        </w:rPr>
        <w:t>Orden del Ministerio de la Presidencia PRE/1954/2004, se comprobará (Anexo A de la norma UNE-EN 196-10</w:t>
      </w:r>
      <w:r w:rsidR="00F05B80" w:rsidRPr="004E4FA7">
        <w:rPr>
          <w:lang w:val="es-ES"/>
        </w:rPr>
        <w:t>:2016</w:t>
      </w:r>
      <w:r w:rsidR="00667297" w:rsidRPr="004E4FA7">
        <w:rPr>
          <w:lang w:val="es-ES"/>
        </w:rPr>
        <w:t>)</w:t>
      </w:r>
      <w:r w:rsidR="00957AF7" w:rsidRPr="004E4FA7">
        <w:rPr>
          <w:lang w:val="es-ES"/>
        </w:rPr>
        <w:t>, que</w:t>
      </w:r>
      <w:r w:rsidR="00667297" w:rsidRPr="004E4FA7">
        <w:rPr>
          <w:lang w:val="es-ES"/>
        </w:rPr>
        <w:t xml:space="preserve"> el contenido de cromo (VI) </w:t>
      </w:r>
      <w:r w:rsidR="00957AF7" w:rsidRPr="004E4FA7">
        <w:rPr>
          <w:lang w:val="es-ES"/>
        </w:rPr>
        <w:t>soluble en</w:t>
      </w:r>
      <w:r w:rsidR="00667297" w:rsidRPr="004E4FA7">
        <w:rPr>
          <w:lang w:val="es-ES"/>
        </w:rPr>
        <w:t xml:space="preserve"> el cemento a emplear en obras de carretera no sea superior a dos partes por </w:t>
      </w:r>
      <w:r w:rsidR="00957AF7" w:rsidRPr="004E4FA7">
        <w:rPr>
          <w:lang w:val="es-ES"/>
        </w:rPr>
        <w:t>millón (</w:t>
      </w:r>
      <w:r w:rsidR="00140225" w:rsidRPr="004E4FA7">
        <w:rPr>
          <w:lang w:val="es-ES"/>
        </w:rPr>
        <w:t>&gt;</w:t>
      </w:r>
      <w:r w:rsidR="00667297" w:rsidRPr="004E4FA7">
        <w:rPr>
          <w:lang w:val="es-ES"/>
        </w:rPr>
        <w:t xml:space="preserve"> 2 ppm) del peso seco del cemento.</w:t>
      </w:r>
    </w:p>
    <w:p w14:paraId="3CB31375" w14:textId="77777777" w:rsidR="00667297" w:rsidRPr="007E3BC9" w:rsidRDefault="00667297" w:rsidP="000313DD">
      <w:pPr>
        <w:pStyle w:val="TITU2"/>
      </w:pPr>
      <w:bookmarkStart w:id="272" w:name="_Toc404099"/>
      <w:r w:rsidRPr="007E3BC9">
        <w:t>202.7. Criterios de aceptación o rechazo</w:t>
      </w:r>
      <w:bookmarkEnd w:id="272"/>
    </w:p>
    <w:p w14:paraId="3CFE327E" w14:textId="77777777" w:rsidR="00667297" w:rsidRPr="007E3BC9" w:rsidRDefault="00667297" w:rsidP="00667297">
      <w:pPr>
        <w:pStyle w:val="NORMAL12"/>
        <w:rPr>
          <w:lang w:val="es-ES"/>
        </w:rPr>
      </w:pPr>
      <w:r w:rsidRPr="007E3BC9">
        <w:rPr>
          <w:lang w:val="es-ES"/>
        </w:rPr>
        <w:t>Los criterios de conformidad y la actuación en caso de rechazo de la remesa o lote recibido seguirán lo dispuesto en la vigente Instrucción para la recepción de cementos (RC).</w:t>
      </w:r>
    </w:p>
    <w:p w14:paraId="7EE3CE15" w14:textId="77777777" w:rsidR="00D74DC0" w:rsidRPr="007E3BC9" w:rsidRDefault="00D74DC0" w:rsidP="00667297">
      <w:pPr>
        <w:pStyle w:val="NORMAL12"/>
        <w:rPr>
          <w:lang w:val="es-ES"/>
        </w:rPr>
      </w:pPr>
      <w:r w:rsidRPr="007E3BC9">
        <w:rPr>
          <w:lang w:val="es-ES"/>
        </w:rPr>
        <w:t>Si el cemento no cumple algunas de las</w:t>
      </w:r>
      <w:r w:rsidR="00543BEF">
        <w:rPr>
          <w:lang w:val="es-ES"/>
        </w:rPr>
        <w:t xml:space="preserve"> especificaciones establecidas, se sustituirá por</w:t>
      </w:r>
      <w:r w:rsidRPr="007E3BC9">
        <w:rPr>
          <w:lang w:val="es-ES"/>
        </w:rPr>
        <w:t xml:space="preserve"> otro que</w:t>
      </w:r>
      <w:r w:rsidR="00543BEF">
        <w:rPr>
          <w:lang w:val="es-ES"/>
        </w:rPr>
        <w:t xml:space="preserve"> sí</w:t>
      </w:r>
      <w:r w:rsidRPr="007E3BC9">
        <w:rPr>
          <w:lang w:val="es-ES"/>
        </w:rPr>
        <w:t xml:space="preserve"> que cumpla dichas </w:t>
      </w:r>
      <w:r w:rsidR="00543BEF">
        <w:rPr>
          <w:lang w:val="es-ES"/>
        </w:rPr>
        <w:t>especificaciones, por cuenta del contratista</w:t>
      </w:r>
      <w:r w:rsidRPr="007E3BC9">
        <w:rPr>
          <w:lang w:val="es-ES"/>
        </w:rPr>
        <w:t xml:space="preserve">. </w:t>
      </w:r>
    </w:p>
    <w:p w14:paraId="0465F252" w14:textId="77777777" w:rsidR="00667297" w:rsidRPr="007E3BC9" w:rsidRDefault="00667297" w:rsidP="000313DD">
      <w:pPr>
        <w:pStyle w:val="TITU2"/>
      </w:pPr>
      <w:r w:rsidRPr="007E3BC9">
        <w:t xml:space="preserve"> </w:t>
      </w:r>
      <w:bookmarkStart w:id="273" w:name="_Toc404100"/>
      <w:r w:rsidRPr="007E3BC9">
        <w:t>202.8. Medición y abono</w:t>
      </w:r>
      <w:bookmarkEnd w:id="273"/>
    </w:p>
    <w:p w14:paraId="560DDC79" w14:textId="77777777" w:rsidR="00667297" w:rsidRPr="007E3BC9" w:rsidRDefault="00667297" w:rsidP="00667297">
      <w:pPr>
        <w:pStyle w:val="NORMAL12"/>
        <w:rPr>
          <w:lang w:val="es-ES"/>
        </w:rPr>
      </w:pPr>
      <w:r w:rsidRPr="007E3BC9">
        <w:rPr>
          <w:lang w:val="es-ES"/>
        </w:rPr>
        <w:t xml:space="preserve">La </w:t>
      </w:r>
      <w:r w:rsidRPr="00436CEB">
        <w:rPr>
          <w:lang w:val="es-ES"/>
        </w:rPr>
        <w:t xml:space="preserve">medición y abono del cemento se realizará </w:t>
      </w:r>
      <w:r w:rsidR="002D1A43">
        <w:rPr>
          <w:lang w:val="es-ES"/>
        </w:rPr>
        <w:t xml:space="preserve">conjuntamente </w:t>
      </w:r>
      <w:r w:rsidRPr="00436CEB">
        <w:rPr>
          <w:lang w:val="es-ES"/>
        </w:rPr>
        <w:t>de acuerdo con lo indicado en el Pliego de Prescripciones Técnicas Particulares para la unida</w:t>
      </w:r>
      <w:r w:rsidR="002D1A43">
        <w:rPr>
          <w:lang w:val="es-ES"/>
        </w:rPr>
        <w:t>d de obra de la que forme parte</w:t>
      </w:r>
      <w:r w:rsidR="00DB31F3">
        <w:rPr>
          <w:lang w:val="es-ES"/>
        </w:rPr>
        <w:t>. N</w:t>
      </w:r>
      <w:r w:rsidR="002D1A43">
        <w:rPr>
          <w:lang w:val="es-ES"/>
        </w:rPr>
        <w:t xml:space="preserve">o </w:t>
      </w:r>
      <w:proofErr w:type="gramStart"/>
      <w:r w:rsidR="002D1A43">
        <w:rPr>
          <w:lang w:val="es-ES"/>
        </w:rPr>
        <w:t>obstante</w:t>
      </w:r>
      <w:proofErr w:type="gramEnd"/>
      <w:r w:rsidR="002D1A43">
        <w:rPr>
          <w:lang w:val="es-ES"/>
        </w:rPr>
        <w:t xml:space="preserve"> la medición y abono de la unidad de cementos se realizará según las prescripciones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35"/>
        <w:gridCol w:w="7885"/>
      </w:tblGrid>
      <w:tr w:rsidR="00FA58A8" w:rsidRPr="00FA58A8" w14:paraId="533EC2CE" w14:textId="77777777" w:rsidTr="00B0401C">
        <w:tc>
          <w:tcPr>
            <w:tcW w:w="0" w:type="auto"/>
            <w:vAlign w:val="center"/>
          </w:tcPr>
          <w:p w14:paraId="6CCFFFFF" w14:textId="77777777" w:rsidR="00FA58A8" w:rsidRPr="00FA58A8" w:rsidRDefault="00FA58A8" w:rsidP="00E50149">
            <w:pPr>
              <w:pStyle w:val="Tabla"/>
              <w:rPr>
                <w:b/>
                <w:bCs/>
              </w:rPr>
            </w:pPr>
            <w:r w:rsidRPr="00FA58A8">
              <w:rPr>
                <w:b/>
              </w:rPr>
              <w:t>Unidad de Medida</w:t>
            </w:r>
          </w:p>
        </w:tc>
        <w:tc>
          <w:tcPr>
            <w:tcW w:w="0" w:type="auto"/>
            <w:vAlign w:val="center"/>
          </w:tcPr>
          <w:p w14:paraId="029CC503" w14:textId="77777777" w:rsidR="00FA58A8" w:rsidRPr="00FA58A8" w:rsidRDefault="00FA58A8" w:rsidP="00B0401C">
            <w:pPr>
              <w:pStyle w:val="LCATabla"/>
              <w:keepLines/>
            </w:pPr>
            <w:r w:rsidRPr="00FA58A8">
              <w:rPr>
                <w:rFonts w:ascii="Arial" w:hAnsi="Arial" w:cs="Arial"/>
                <w:sz w:val="20"/>
              </w:rPr>
              <w:t>Tonelada (t)</w:t>
            </w:r>
          </w:p>
        </w:tc>
      </w:tr>
      <w:tr w:rsidR="00FA58A8" w:rsidRPr="00FA58A8" w14:paraId="007C9026" w14:textId="77777777" w:rsidTr="00B0401C">
        <w:tc>
          <w:tcPr>
            <w:tcW w:w="0" w:type="auto"/>
            <w:vAlign w:val="center"/>
          </w:tcPr>
          <w:p w14:paraId="29C433F4" w14:textId="77777777" w:rsidR="00FA58A8" w:rsidRPr="00FA58A8" w:rsidRDefault="00FA58A8" w:rsidP="00E50149">
            <w:pPr>
              <w:pStyle w:val="Tabla"/>
              <w:rPr>
                <w:b/>
                <w:bCs/>
              </w:rPr>
            </w:pPr>
            <w:r w:rsidRPr="00FA58A8">
              <w:rPr>
                <w:b/>
              </w:rPr>
              <w:t>Grado de precisión</w:t>
            </w:r>
          </w:p>
        </w:tc>
        <w:tc>
          <w:tcPr>
            <w:tcW w:w="0" w:type="auto"/>
            <w:vAlign w:val="center"/>
          </w:tcPr>
          <w:p w14:paraId="6709DD52" w14:textId="77777777" w:rsidR="00FA58A8" w:rsidRPr="00FA58A8" w:rsidRDefault="00FA58A8" w:rsidP="00B0401C">
            <w:pPr>
              <w:pStyle w:val="LCATabla"/>
              <w:keepLines/>
            </w:pPr>
            <w:r w:rsidRPr="00FA58A8">
              <w:rPr>
                <w:rFonts w:ascii="Arial" w:hAnsi="Arial" w:cs="Arial"/>
                <w:sz w:val="20"/>
              </w:rPr>
              <w:t>Dos (2) decimales</w:t>
            </w:r>
          </w:p>
        </w:tc>
      </w:tr>
      <w:tr w:rsidR="00FA58A8" w:rsidRPr="00FA58A8" w14:paraId="3D78AE52" w14:textId="77777777" w:rsidTr="00B0401C">
        <w:tc>
          <w:tcPr>
            <w:tcW w:w="0" w:type="auto"/>
            <w:vAlign w:val="center"/>
          </w:tcPr>
          <w:p w14:paraId="45B2B0DC" w14:textId="77777777" w:rsidR="00FA58A8" w:rsidRPr="00FA58A8" w:rsidRDefault="00FA58A8" w:rsidP="00E50149">
            <w:pPr>
              <w:pStyle w:val="Tabla"/>
              <w:rPr>
                <w:b/>
                <w:bCs/>
              </w:rPr>
            </w:pPr>
            <w:r w:rsidRPr="00FA58A8">
              <w:rPr>
                <w:b/>
              </w:rPr>
              <w:t>Forma de medición</w:t>
            </w:r>
          </w:p>
        </w:tc>
        <w:tc>
          <w:tcPr>
            <w:tcW w:w="0" w:type="auto"/>
            <w:vAlign w:val="center"/>
          </w:tcPr>
          <w:p w14:paraId="7337C475" w14:textId="77777777" w:rsidR="00FA58A8" w:rsidRPr="00FA58A8" w:rsidRDefault="00FA58A8" w:rsidP="00FA58A8">
            <w:pPr>
              <w:pStyle w:val="LCATabla"/>
              <w:keepLines/>
            </w:pPr>
            <w:r w:rsidRPr="00FA58A8">
              <w:rPr>
                <w:rFonts w:ascii="Arial" w:hAnsi="Arial" w:cs="Arial"/>
                <w:sz w:val="20"/>
              </w:rPr>
              <w:t xml:space="preserve">Peso de </w:t>
            </w:r>
            <w:r>
              <w:rPr>
                <w:rFonts w:ascii="Arial" w:hAnsi="Arial" w:cs="Arial"/>
                <w:sz w:val="20"/>
              </w:rPr>
              <w:t xml:space="preserve">cemento </w:t>
            </w:r>
            <w:r w:rsidRPr="00FA58A8">
              <w:rPr>
                <w:rFonts w:ascii="Arial" w:hAnsi="Arial" w:cs="Arial"/>
                <w:sz w:val="20"/>
              </w:rPr>
              <w:t>realmente empleado en la fabricación de</w:t>
            </w:r>
            <w:r>
              <w:rPr>
                <w:rFonts w:ascii="Arial" w:hAnsi="Arial" w:cs="Arial"/>
                <w:sz w:val="20"/>
              </w:rPr>
              <w:t>l suelo cemento o del suelo estabilizado</w:t>
            </w:r>
          </w:p>
        </w:tc>
      </w:tr>
      <w:tr w:rsidR="00FA58A8" w:rsidRPr="00FA58A8" w14:paraId="572F9618" w14:textId="77777777" w:rsidTr="00B0401C">
        <w:tc>
          <w:tcPr>
            <w:tcW w:w="0" w:type="auto"/>
            <w:vAlign w:val="center"/>
          </w:tcPr>
          <w:p w14:paraId="59C45654" w14:textId="77777777" w:rsidR="00FA58A8" w:rsidRPr="00FA58A8" w:rsidRDefault="00FA58A8" w:rsidP="00E50149">
            <w:pPr>
              <w:pStyle w:val="Tabla"/>
              <w:rPr>
                <w:b/>
                <w:bCs/>
              </w:rPr>
            </w:pPr>
            <w:r w:rsidRPr="00FA58A8">
              <w:rPr>
                <w:b/>
              </w:rPr>
              <w:t>Abono</w:t>
            </w:r>
          </w:p>
        </w:tc>
        <w:tc>
          <w:tcPr>
            <w:tcW w:w="0" w:type="auto"/>
            <w:vAlign w:val="center"/>
          </w:tcPr>
          <w:p w14:paraId="5C30CCD9" w14:textId="77777777" w:rsidR="00FA58A8" w:rsidRPr="00FA58A8" w:rsidRDefault="00FA58A8" w:rsidP="00B0401C">
            <w:pPr>
              <w:pStyle w:val="LCATabla"/>
              <w:keepLines/>
            </w:pPr>
            <w:r w:rsidRPr="00FA58A8">
              <w:rPr>
                <w:rFonts w:ascii="Arial" w:hAnsi="Arial" w:cs="Arial"/>
                <w:sz w:val="20"/>
              </w:rPr>
              <w:t>Se efectuará cuando se realice la aceptación, una vez realizadas las pruebas y ensayos de recepción.</w:t>
            </w:r>
          </w:p>
        </w:tc>
      </w:tr>
      <w:tr w:rsidR="00FA58A8" w:rsidRPr="00FA58A8" w14:paraId="04CFAB2D" w14:textId="77777777" w:rsidTr="00B0401C">
        <w:tc>
          <w:tcPr>
            <w:tcW w:w="0" w:type="auto"/>
            <w:vAlign w:val="center"/>
          </w:tcPr>
          <w:p w14:paraId="579DFAD2" w14:textId="77777777" w:rsidR="00FA58A8" w:rsidRPr="00FA58A8" w:rsidRDefault="00FA58A8" w:rsidP="00E50149">
            <w:pPr>
              <w:pStyle w:val="Tabla"/>
              <w:rPr>
                <w:b/>
                <w:bCs/>
              </w:rPr>
            </w:pPr>
            <w:proofErr w:type="gramStart"/>
            <w:r w:rsidRPr="00FA58A8">
              <w:rPr>
                <w:b/>
              </w:rPr>
              <w:t>Criterios complementario</w:t>
            </w:r>
            <w:proofErr w:type="gramEnd"/>
          </w:p>
        </w:tc>
        <w:tc>
          <w:tcPr>
            <w:tcW w:w="0" w:type="auto"/>
            <w:vAlign w:val="center"/>
          </w:tcPr>
          <w:p w14:paraId="62AC3DE7" w14:textId="77777777" w:rsidR="00FA58A8" w:rsidRPr="00FA58A8" w:rsidRDefault="00FA58A8" w:rsidP="00FA58A8">
            <w:pPr>
              <w:pStyle w:val="LCATabla"/>
              <w:keepLines/>
            </w:pPr>
            <w:r w:rsidRPr="00FA58A8">
              <w:rPr>
                <w:rFonts w:ascii="Arial" w:hAnsi="Arial" w:cs="Arial"/>
                <w:sz w:val="20"/>
              </w:rPr>
              <w:t>El precio de la unidad incluye el suministro del</w:t>
            </w:r>
            <w:r>
              <w:rPr>
                <w:rFonts w:ascii="Arial" w:hAnsi="Arial" w:cs="Arial"/>
                <w:sz w:val="20"/>
              </w:rPr>
              <w:t xml:space="preserve"> cemento para la fabricación del suelo cemento o del suelo estabilizado</w:t>
            </w:r>
            <w:r w:rsidRPr="00FA58A8">
              <w:rPr>
                <w:rFonts w:ascii="Arial" w:hAnsi="Arial" w:cs="Arial"/>
                <w:sz w:val="20"/>
              </w:rPr>
              <w:t xml:space="preserve"> y todos los materiales y medios necesarios para la correcta ejecución de la unidad.</w:t>
            </w:r>
          </w:p>
        </w:tc>
      </w:tr>
    </w:tbl>
    <w:p w14:paraId="2DE6922C" w14:textId="77777777" w:rsidR="00667297" w:rsidRPr="005864C2" w:rsidRDefault="00667297" w:rsidP="00667297">
      <w:pPr>
        <w:pStyle w:val="NORMAL12"/>
        <w:rPr>
          <w:color w:val="365F91" w:themeColor="accent1" w:themeShade="BF"/>
          <w:lang w:val="es-ES"/>
        </w:rPr>
      </w:pPr>
    </w:p>
    <w:p w14:paraId="01827E00" w14:textId="77777777" w:rsidR="00667297" w:rsidRDefault="00667297" w:rsidP="006F6223">
      <w:pPr>
        <w:pStyle w:val="TITU1"/>
      </w:pPr>
      <w:bookmarkStart w:id="274" w:name="_Toc404101"/>
      <w:r w:rsidRPr="00A76B28">
        <w:lastRenderedPageBreak/>
        <w:t>Artículo 211. Betunes asfálticos</w:t>
      </w:r>
      <w:bookmarkEnd w:id="274"/>
    </w:p>
    <w:p w14:paraId="06287B94" w14:textId="77777777" w:rsidR="00FA2EA4" w:rsidRPr="006B7EDC" w:rsidRDefault="00FA2EA4" w:rsidP="00FA2EA4">
      <w:pPr>
        <w:pStyle w:val="NORMAL12"/>
        <w:rPr>
          <w:lang w:val="es-ES"/>
        </w:rPr>
      </w:pPr>
      <w:r w:rsidRPr="006B7EDC">
        <w:rPr>
          <w:lang w:val="es-ES"/>
        </w:rPr>
        <w:t xml:space="preserve">Excepto para lo especificado en el presente Pliego de Prescripciones Técnicas </w:t>
      </w:r>
      <w:r>
        <w:rPr>
          <w:lang w:val="es-ES"/>
        </w:rPr>
        <w:t>P</w:t>
      </w:r>
      <w:r w:rsidRPr="006B7EDC">
        <w:rPr>
          <w:lang w:val="es-ES"/>
        </w:rPr>
        <w:t>articulares se seguirá lo pr</w:t>
      </w:r>
      <w:r>
        <w:rPr>
          <w:lang w:val="es-ES"/>
        </w:rPr>
        <w:t>escrito en el vigente artículo 211</w:t>
      </w:r>
      <w:r w:rsidRPr="006B7EDC">
        <w:rPr>
          <w:lang w:val="es-ES"/>
        </w:rPr>
        <w:t xml:space="preserve"> del PG-3.</w:t>
      </w:r>
    </w:p>
    <w:p w14:paraId="5A198B5F" w14:textId="77777777" w:rsidR="00667297" w:rsidRDefault="00667297" w:rsidP="000313DD">
      <w:pPr>
        <w:pStyle w:val="TITU2"/>
      </w:pPr>
      <w:bookmarkStart w:id="275" w:name="_Toc404102"/>
      <w:r w:rsidRPr="005864C2">
        <w:t>211.1. Definición</w:t>
      </w:r>
      <w:bookmarkEnd w:id="275"/>
    </w:p>
    <w:p w14:paraId="2104A01A" w14:textId="77777777" w:rsidR="00343C26" w:rsidRPr="007E3BC9" w:rsidRDefault="00343C26" w:rsidP="00343C26">
      <w:pPr>
        <w:pStyle w:val="NORMAL12"/>
        <w:rPr>
          <w:lang w:val="es-ES"/>
        </w:rPr>
      </w:pPr>
      <w:r w:rsidRPr="007E3BC9">
        <w:rPr>
          <w:lang w:val="es-ES"/>
        </w:rPr>
        <w:t xml:space="preserve">Se definen como betunes asfálticos, de acuerdo con la </w:t>
      </w:r>
      <w:r w:rsidRPr="004E4FA7">
        <w:rPr>
          <w:lang w:val="es-ES"/>
        </w:rPr>
        <w:t>norma UNE-EN 12597</w:t>
      </w:r>
      <w:r w:rsidR="00F05B80" w:rsidRPr="004E4FA7">
        <w:rPr>
          <w:lang w:val="es-ES"/>
        </w:rPr>
        <w:t>:2014</w:t>
      </w:r>
      <w:r w:rsidRPr="004E4FA7">
        <w:rPr>
          <w:lang w:val="es-ES"/>
        </w:rPr>
        <w:t>, los ligantes hidrocarbonados, prácticamente no volátiles, obtenidos a partir del crudo de petróleo o presentes en los asfaltos naturales, que son totalmente o casi totalmente solubles en tolueno, y con viscosidad elevada a temperatura ambiente.</w:t>
      </w:r>
    </w:p>
    <w:p w14:paraId="497EBED7" w14:textId="77777777" w:rsidR="00C36ABC" w:rsidRPr="003327CC" w:rsidRDefault="00C36ABC" w:rsidP="00C36ABC">
      <w:pPr>
        <w:pStyle w:val="NORMAL12"/>
        <w:rPr>
          <w:lang w:val="es-ES"/>
        </w:rPr>
      </w:pPr>
      <w:r w:rsidRPr="003327CC">
        <w:rPr>
          <w:lang w:val="es-ES"/>
        </w:rPr>
        <w:t xml:space="preserve">Las prescripciones del presente artículo </w:t>
      </w:r>
      <w:proofErr w:type="gramStart"/>
      <w:r w:rsidRPr="003327CC">
        <w:rPr>
          <w:lang w:val="es-ES"/>
        </w:rPr>
        <w:t>son de aplicación</w:t>
      </w:r>
      <w:proofErr w:type="gramEnd"/>
      <w:r w:rsidRPr="003327CC">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053"/>
        <w:gridCol w:w="804"/>
        <w:gridCol w:w="8063"/>
      </w:tblGrid>
      <w:tr w:rsidR="000D3FA5" w:rsidRPr="000D3FA5" w14:paraId="6B711D18" w14:textId="77777777" w:rsidTr="007E3BC9">
        <w:trPr>
          <w:trHeight w:val="300"/>
        </w:trPr>
        <w:tc>
          <w:tcPr>
            <w:tcW w:w="531" w:type="pct"/>
            <w:noWrap/>
          </w:tcPr>
          <w:p w14:paraId="1E6C1D31" w14:textId="77777777" w:rsidR="00E47492" w:rsidRPr="003327CC" w:rsidRDefault="00E47492">
            <w:pPr>
              <w:rPr>
                <w:rFonts w:ascii="Calibri" w:hAnsi="Calibri"/>
              </w:rPr>
            </w:pPr>
            <w:r w:rsidRPr="003327CC">
              <w:rPr>
                <w:rFonts w:ascii="Calibri" w:hAnsi="Calibri"/>
              </w:rPr>
              <w:t xml:space="preserve">211.0010          </w:t>
            </w:r>
          </w:p>
        </w:tc>
        <w:tc>
          <w:tcPr>
            <w:tcW w:w="405" w:type="pct"/>
            <w:noWrap/>
          </w:tcPr>
          <w:p w14:paraId="34A8A789" w14:textId="77777777" w:rsidR="00E47492" w:rsidRPr="003327CC" w:rsidRDefault="00E47492">
            <w:pPr>
              <w:rPr>
                <w:rFonts w:ascii="Calibri" w:hAnsi="Calibri"/>
              </w:rPr>
            </w:pPr>
            <w:r w:rsidRPr="003327CC">
              <w:rPr>
                <w:rFonts w:ascii="Calibri" w:hAnsi="Calibri"/>
              </w:rPr>
              <w:t>t</w:t>
            </w:r>
          </w:p>
        </w:tc>
        <w:tc>
          <w:tcPr>
            <w:tcW w:w="4064" w:type="pct"/>
          </w:tcPr>
          <w:p w14:paraId="452FF83A" w14:textId="77777777" w:rsidR="00E47492" w:rsidRDefault="002E0BC1">
            <w:pPr>
              <w:rPr>
                <w:rFonts w:ascii="Calibri" w:hAnsi="Calibri"/>
              </w:rPr>
            </w:pPr>
            <w:r w:rsidRPr="003327CC">
              <w:rPr>
                <w:rFonts w:ascii="Calibri" w:hAnsi="Calibri"/>
              </w:rPr>
              <w:t>BETÚN ASFÁLTICO EN MEZCLAS BITUMINOSAS 35/50 (B 40/50).</w:t>
            </w:r>
          </w:p>
          <w:p w14:paraId="5C52B185" w14:textId="77777777" w:rsidR="00781DD7" w:rsidRPr="003327CC" w:rsidRDefault="00781DD7">
            <w:pPr>
              <w:rPr>
                <w:rFonts w:ascii="Calibri" w:hAnsi="Calibri"/>
              </w:rPr>
            </w:pPr>
          </w:p>
        </w:tc>
      </w:tr>
      <w:tr w:rsidR="00781DD7" w:rsidRPr="000D3FA5" w14:paraId="52640929" w14:textId="77777777" w:rsidTr="007E3BC9">
        <w:trPr>
          <w:trHeight w:val="300"/>
        </w:trPr>
        <w:tc>
          <w:tcPr>
            <w:tcW w:w="531" w:type="pct"/>
            <w:noWrap/>
          </w:tcPr>
          <w:p w14:paraId="6D76237E" w14:textId="77777777" w:rsidR="00781DD7" w:rsidRPr="00781DD7" w:rsidRDefault="00781DD7">
            <w:pPr>
              <w:rPr>
                <w:rFonts w:ascii="Calibri" w:hAnsi="Calibri"/>
              </w:rPr>
            </w:pPr>
            <w:r w:rsidRPr="00781DD7">
              <w:rPr>
                <w:rFonts w:ascii="Calibri" w:hAnsi="Calibri"/>
              </w:rPr>
              <w:t xml:space="preserve">211.0020 </w:t>
            </w:r>
          </w:p>
        </w:tc>
        <w:tc>
          <w:tcPr>
            <w:tcW w:w="405" w:type="pct"/>
            <w:noWrap/>
          </w:tcPr>
          <w:p w14:paraId="683C89B0" w14:textId="77777777" w:rsidR="00781DD7" w:rsidRPr="00781DD7" w:rsidRDefault="00781DD7">
            <w:pPr>
              <w:rPr>
                <w:rFonts w:ascii="Calibri" w:hAnsi="Calibri"/>
              </w:rPr>
            </w:pPr>
            <w:r w:rsidRPr="00781DD7">
              <w:rPr>
                <w:rFonts w:ascii="Calibri" w:hAnsi="Calibri"/>
              </w:rPr>
              <w:t>t</w:t>
            </w:r>
          </w:p>
        </w:tc>
        <w:tc>
          <w:tcPr>
            <w:tcW w:w="4064" w:type="pct"/>
          </w:tcPr>
          <w:p w14:paraId="757B1AF2" w14:textId="77777777" w:rsidR="00781DD7" w:rsidRPr="00781DD7" w:rsidRDefault="00781DD7" w:rsidP="00781DD7">
            <w:pPr>
              <w:rPr>
                <w:rFonts w:ascii="Calibri" w:hAnsi="Calibri" w:cs="Calibri"/>
                <w:color w:val="000000"/>
              </w:rPr>
            </w:pPr>
            <w:r w:rsidRPr="00781DD7">
              <w:rPr>
                <w:rFonts w:ascii="Calibri" w:hAnsi="Calibri" w:cs="Calibri"/>
                <w:color w:val="000000"/>
              </w:rPr>
              <w:t>BETÚN ASFÁLTICO EN MEZCLAS BITUMINOSAS 50/70 (B 60/70).</w:t>
            </w:r>
          </w:p>
          <w:p w14:paraId="0EC5B957" w14:textId="77777777" w:rsidR="00781DD7" w:rsidRPr="00781DD7" w:rsidRDefault="00781DD7">
            <w:pPr>
              <w:rPr>
                <w:rFonts w:ascii="Calibri" w:hAnsi="Calibri"/>
              </w:rPr>
            </w:pPr>
          </w:p>
        </w:tc>
      </w:tr>
    </w:tbl>
    <w:p w14:paraId="62C03977" w14:textId="77777777" w:rsidR="00667297" w:rsidRDefault="00667297" w:rsidP="000313DD">
      <w:pPr>
        <w:pStyle w:val="TITU2"/>
      </w:pPr>
      <w:bookmarkStart w:id="276" w:name="_Toc404103"/>
      <w:r w:rsidRPr="007E3BC9">
        <w:t>211.2. Condiciones generales</w:t>
      </w:r>
      <w:bookmarkEnd w:id="276"/>
    </w:p>
    <w:p w14:paraId="036986B1" w14:textId="77777777" w:rsidR="00C816D2" w:rsidRPr="004E4FA7" w:rsidRDefault="00C816D2" w:rsidP="00C816D2">
      <w:pPr>
        <w:pStyle w:val="NORMAL12"/>
        <w:rPr>
          <w:lang w:val="es-ES"/>
        </w:rPr>
      </w:pPr>
      <w:r w:rsidRPr="004E4FA7">
        <w:rPr>
          <w:lang w:val="es-ES"/>
        </w:rPr>
        <w:t xml:space="preserve">Lo dispuesto en este artículo se entenderá sin perjuicio de lo establecido en el Reglamento 305/2011 de 9 de marzo de 2011, del Parlamento Europeo y del Consejo, por el que se establecen las condiciones armonizadas para la comercialización de productos de construcción. Para los productos con marcado CE, el fabricante asumirá la responsabilidad sobre la conformidad de </w:t>
      </w:r>
      <w:proofErr w:type="gramStart"/>
      <w:r w:rsidRPr="004E4FA7">
        <w:rPr>
          <w:lang w:val="es-ES"/>
        </w:rPr>
        <w:t>los mismos</w:t>
      </w:r>
      <w:proofErr w:type="gramEnd"/>
      <w:r w:rsidRPr="004E4FA7">
        <w:rPr>
          <w:lang w:val="es-ES"/>
        </w:rPr>
        <w:t xml:space="preserve"> con las prestaciones declaradas, de acuerdo con el artículo 11 del mencionado Reglamento. Los productos que tengan el marcado CE deberán ir acompañados, además de dicho marcado, de la Declaración de Prestaciones, y de las instrucciones e información de seguridad del producto. Por su parte, el Contratista deberá verificar que los valores declarados en los documentos que acompañan al marcado CE permitan deducir el cumplimiento de las especificaciones contempladas en el Proyecto o, en su defecto, en este Pliego, debiendo adoptar, en el caso de que existan indicios de incumplimiento de las especificaciones declaradas, todas aquellas medidas que considere oportunas para garantizar la idoneidad del producto suministrado a la obra.</w:t>
      </w:r>
    </w:p>
    <w:p w14:paraId="0260DC77" w14:textId="77777777" w:rsidR="00667297" w:rsidRPr="004E4FA7" w:rsidRDefault="00667297" w:rsidP="00667297">
      <w:pPr>
        <w:pStyle w:val="NORMAL12"/>
        <w:rPr>
          <w:lang w:val="es-ES"/>
        </w:rPr>
      </w:pPr>
      <w:r w:rsidRPr="004E4FA7">
        <w:rPr>
          <w:lang w:val="es-ES"/>
        </w:rPr>
        <w:t>Los betunes asfálticos deberán llevar obligatoriamente el marcado CE, conforme a lo establecido en las normas UNE-EN 12591</w:t>
      </w:r>
      <w:r w:rsidR="00F05B80" w:rsidRPr="004E4FA7">
        <w:rPr>
          <w:lang w:val="es-ES"/>
        </w:rPr>
        <w:t>:2009</w:t>
      </w:r>
      <w:r w:rsidRPr="004E4FA7">
        <w:rPr>
          <w:lang w:val="es-ES"/>
        </w:rPr>
        <w:t>, UNE-EN 13924-1</w:t>
      </w:r>
      <w:r w:rsidR="00F05B80" w:rsidRPr="004E4FA7">
        <w:rPr>
          <w:lang w:val="es-ES"/>
        </w:rPr>
        <w:t>:2016</w:t>
      </w:r>
      <w:r w:rsidRPr="004E4FA7">
        <w:rPr>
          <w:lang w:val="es-ES"/>
        </w:rPr>
        <w:t xml:space="preserve"> y UNE-EN 13924-2</w:t>
      </w:r>
      <w:r w:rsidR="00F05B80" w:rsidRPr="004E4FA7">
        <w:rPr>
          <w:lang w:val="es-ES"/>
        </w:rPr>
        <w:t>:2014</w:t>
      </w:r>
      <w:r w:rsidRPr="004E4FA7">
        <w:rPr>
          <w:lang w:val="es-ES"/>
        </w:rPr>
        <w:t>.</w:t>
      </w:r>
    </w:p>
    <w:p w14:paraId="58F6827E" w14:textId="77777777" w:rsidR="00667297" w:rsidRPr="007E3BC9" w:rsidRDefault="007E3BC9" w:rsidP="00667297">
      <w:pPr>
        <w:pStyle w:val="NORMAL12"/>
        <w:rPr>
          <w:lang w:val="es-ES"/>
        </w:rPr>
      </w:pPr>
      <w:r w:rsidRPr="007E3BC9">
        <w:rPr>
          <w:lang w:val="es-ES"/>
        </w:rPr>
        <w:t xml:space="preserve">Se transportarán en </w:t>
      </w:r>
      <w:r w:rsidR="00667297" w:rsidRPr="007E3BC9">
        <w:rPr>
          <w:lang w:val="es-ES"/>
        </w:rPr>
        <w:t xml:space="preserve">tanques calorífugos y dispondrán de una válvula adecuada para la toma de muestras. Deberán estar provistos de termómetros situados en puntos bien visibles y dotados de su </w:t>
      </w:r>
      <w:r w:rsidRPr="007E3BC9">
        <w:rPr>
          <w:lang w:val="es-ES"/>
        </w:rPr>
        <w:t xml:space="preserve">propio sistema de calefacción, para evitar desviaciones de la temperatura superiores en </w:t>
      </w:r>
      <w:r w:rsidR="00667297" w:rsidRPr="007E3BC9">
        <w:rPr>
          <w:lang w:val="es-ES"/>
        </w:rPr>
        <w:t>más de diez grados Celsius (± 10 °C).</w:t>
      </w:r>
    </w:p>
    <w:p w14:paraId="03F8FDA3" w14:textId="77777777" w:rsidR="00667297" w:rsidRDefault="00667297" w:rsidP="00667297">
      <w:pPr>
        <w:pStyle w:val="NORMAL12"/>
        <w:rPr>
          <w:lang w:val="es-ES"/>
        </w:rPr>
      </w:pPr>
      <w:r w:rsidRPr="007E3BC9">
        <w:rPr>
          <w:lang w:val="es-ES"/>
        </w:rPr>
        <w:t>Todas las tuberías directas y bombas, preferiblemente rotativas, utilizadas para el trasiego del betún asfáltico, desde la cisterna de transporte al tanque de almacenamiento y de éste al equipo de empleo, deberán estar calefactadas</w:t>
      </w:r>
      <w:r w:rsidR="007E3BC9" w:rsidRPr="007E3BC9">
        <w:rPr>
          <w:lang w:val="es-ES"/>
        </w:rPr>
        <w:t xml:space="preserve"> </w:t>
      </w:r>
      <w:proofErr w:type="gramStart"/>
      <w:r w:rsidR="007E3BC9" w:rsidRPr="007E3BC9">
        <w:rPr>
          <w:lang w:val="es-ES"/>
        </w:rPr>
        <w:t xml:space="preserve">y </w:t>
      </w:r>
      <w:r w:rsidRPr="007E3BC9">
        <w:rPr>
          <w:lang w:val="es-ES"/>
        </w:rPr>
        <w:t xml:space="preserve"> aisladas</w:t>
      </w:r>
      <w:proofErr w:type="gramEnd"/>
      <w:r w:rsidRPr="007E3BC9">
        <w:rPr>
          <w:lang w:val="es-ES"/>
        </w:rPr>
        <w:t xml:space="preserve"> térmicamente</w:t>
      </w:r>
      <w:r w:rsidR="007E3BC9" w:rsidRPr="007E3BC9">
        <w:rPr>
          <w:lang w:val="es-ES"/>
        </w:rPr>
        <w:t>.</w:t>
      </w:r>
    </w:p>
    <w:p w14:paraId="022702E0" w14:textId="77777777" w:rsidR="003E3C89" w:rsidRDefault="003E3C89" w:rsidP="000313DD">
      <w:pPr>
        <w:pStyle w:val="TITU2"/>
      </w:pPr>
      <w:bookmarkStart w:id="277" w:name="_Toc404104"/>
      <w:r>
        <w:t>211.3. Denominaciones</w:t>
      </w:r>
      <w:bookmarkEnd w:id="277"/>
    </w:p>
    <w:p w14:paraId="2DA608BE" w14:textId="77777777" w:rsidR="003E3C89" w:rsidRDefault="003E3C89" w:rsidP="003E3C89">
      <w:pPr>
        <w:pStyle w:val="NORMAL12"/>
        <w:rPr>
          <w:lang w:val="es-ES"/>
        </w:rPr>
      </w:pPr>
      <w:r>
        <w:rPr>
          <w:lang w:val="es-ES"/>
        </w:rPr>
        <w:t>Se emplearán betunes del tipo 35/50</w:t>
      </w:r>
      <w:r w:rsidR="00154E71">
        <w:rPr>
          <w:lang w:val="es-ES"/>
        </w:rPr>
        <w:t xml:space="preserve"> y 50/70</w:t>
      </w:r>
    </w:p>
    <w:p w14:paraId="55AA31CC" w14:textId="77777777" w:rsidR="003E3C89" w:rsidRPr="00905AA9" w:rsidRDefault="003E3C89" w:rsidP="003E3C89">
      <w:pPr>
        <w:pStyle w:val="NORMAL12"/>
        <w:rPr>
          <w:lang w:val="es-ES"/>
        </w:rPr>
      </w:pPr>
      <w:r w:rsidRPr="00436CEB">
        <w:rPr>
          <w:lang w:val="es-ES"/>
        </w:rPr>
        <w:t>Debe cumplir que el punto de reblandecimiento mínimo igual o superior a sesenta grados Celsius (≥ 60 °C), dicha temperatura será inferior a ciento noventa grados Celsius (&lt;190 °C), e inferior a ciento ochenta grados Celsius (&lt; 180 °C) para el resto de los especificados en este artículo.</w:t>
      </w:r>
    </w:p>
    <w:p w14:paraId="7D45489B" w14:textId="77777777" w:rsidR="003E3C89" w:rsidRPr="004E4FA7" w:rsidRDefault="00F166B6" w:rsidP="000313DD">
      <w:pPr>
        <w:pStyle w:val="TITU2"/>
      </w:pPr>
      <w:bookmarkStart w:id="278" w:name="_Toc404105"/>
      <w:r w:rsidRPr="004E4FA7">
        <w:t>211.4. Transporte y almacenamiento</w:t>
      </w:r>
      <w:bookmarkEnd w:id="278"/>
    </w:p>
    <w:p w14:paraId="65FF58EB" w14:textId="77777777" w:rsidR="00F166B6" w:rsidRPr="004E4FA7" w:rsidRDefault="00F166B6" w:rsidP="00F166B6">
      <w:pPr>
        <w:pStyle w:val="NORMAL12"/>
        <w:rPr>
          <w:lang w:val="es-ES"/>
        </w:rPr>
      </w:pPr>
      <w:r w:rsidRPr="004E4FA7">
        <w:rPr>
          <w:lang w:val="es-ES"/>
        </w:rPr>
        <w:t xml:space="preserve">El betún asfáltico será transportado en cisternas calorífugas. Las cisternas dispondrán de </w:t>
      </w:r>
      <w:r w:rsidR="00157701" w:rsidRPr="004E4FA7">
        <w:rPr>
          <w:lang w:val="es-ES"/>
        </w:rPr>
        <w:t>un elemento adecuado</w:t>
      </w:r>
      <w:r w:rsidRPr="004E4FA7">
        <w:rPr>
          <w:lang w:val="es-ES"/>
        </w:rPr>
        <w:t xml:space="preserve"> para la toma de muestras, estarán provistas de termómetros situados en puntos bien visibles, y deberán estar preparados para poder calentar el betún cuando, por cualquier anomalía, la temperatura disminuya y pueda impedir su trasiego.</w:t>
      </w:r>
    </w:p>
    <w:p w14:paraId="10031DE5" w14:textId="77777777" w:rsidR="00F166B6" w:rsidRPr="004E4FA7" w:rsidRDefault="00F166B6" w:rsidP="00F166B6">
      <w:pPr>
        <w:pStyle w:val="NORMAL12"/>
        <w:rPr>
          <w:lang w:val="es-ES"/>
        </w:rPr>
      </w:pPr>
      <w:r w:rsidRPr="004E4FA7">
        <w:rPr>
          <w:lang w:val="es-ES"/>
        </w:rPr>
        <w:t>El betún asfáltico se almacenará en uno o varios tanques, adecuadamente aislados entre sí, que deberán estar provistos de bocas de ventilación para evitar que trabajen a presión, y contarán con los apartados de medida y seguridad necesarios situados en puntos de fácil acceso.</w:t>
      </w:r>
    </w:p>
    <w:p w14:paraId="629E8A98" w14:textId="77777777" w:rsidR="00F166B6" w:rsidRPr="004E4FA7" w:rsidRDefault="00F166B6" w:rsidP="00F166B6">
      <w:pPr>
        <w:pStyle w:val="NORMAL12"/>
        <w:rPr>
          <w:lang w:val="es-ES"/>
        </w:rPr>
      </w:pPr>
      <w:r w:rsidRPr="004E4FA7">
        <w:rPr>
          <w:lang w:val="es-ES"/>
        </w:rPr>
        <w:t xml:space="preserve">Los tanques deberán ser </w:t>
      </w:r>
      <w:proofErr w:type="spellStart"/>
      <w:r w:rsidRPr="004E4FA7">
        <w:rPr>
          <w:lang w:val="es-ES"/>
        </w:rPr>
        <w:t>calorifugados</w:t>
      </w:r>
      <w:proofErr w:type="spellEnd"/>
      <w:r w:rsidRPr="004E4FA7">
        <w:rPr>
          <w:lang w:val="es-ES"/>
        </w:rPr>
        <w:t xml:space="preserve"> y dispondrán de una válvula adecuada para la toma de muestras. Deberán estar provistos de termómetros situados en puntos bien visibles y dotados de su propio sistema de calefacción, capaz de evitar que, por cualquier anomalía, la temperatura del producto se desvíe de la fijada para el almacenamiento en más de diez grados Celsius (±10ºC).</w:t>
      </w:r>
    </w:p>
    <w:p w14:paraId="7737D018" w14:textId="77777777" w:rsidR="00F166B6" w:rsidRPr="004E4FA7" w:rsidRDefault="00F166B6" w:rsidP="00F166B6">
      <w:pPr>
        <w:pStyle w:val="NORMAL12"/>
        <w:rPr>
          <w:lang w:val="es-ES"/>
        </w:rPr>
      </w:pPr>
      <w:r w:rsidRPr="004E4FA7">
        <w:rPr>
          <w:lang w:val="es-ES"/>
        </w:rPr>
        <w:t xml:space="preserve">Cuando los tanques de almacenamiento no dispongan de medios de carga propios, las </w:t>
      </w:r>
      <w:r w:rsidR="00157701" w:rsidRPr="004E4FA7">
        <w:rPr>
          <w:lang w:val="es-ES"/>
        </w:rPr>
        <w:t>cisternas</w:t>
      </w:r>
      <w:r w:rsidRPr="004E4FA7">
        <w:rPr>
          <w:lang w:val="es-ES"/>
        </w:rPr>
        <w:t xml:space="preserve"> empleadas para el transporte de betún asfáltico estarán dotadas de medios neumáticos o mecanismos para el trasiego rápido de su contenido a los mismos.</w:t>
      </w:r>
    </w:p>
    <w:p w14:paraId="3337119F" w14:textId="77777777" w:rsidR="00F166B6" w:rsidRPr="004E4FA7" w:rsidRDefault="00F166B6" w:rsidP="00F166B6">
      <w:pPr>
        <w:pStyle w:val="NORMAL12"/>
        <w:rPr>
          <w:lang w:val="es-ES"/>
        </w:rPr>
      </w:pPr>
      <w:r w:rsidRPr="004E4FA7">
        <w:rPr>
          <w:lang w:val="es-ES"/>
        </w:rPr>
        <w:lastRenderedPageBreak/>
        <w:t>Todas las tuberías directas y bombas, preferiblemente rotativas, utilizada para el trasiego de betún asfáltico, desde la cisterna de transporte al tanque de almacenamiento y desde éste al equipo de empleo, deberán estar calefactadas, aisladas térmicamente y dispuesta de modo que se puedan limpiar fácil y perfectamente después de cada aplicación o jornada de trabajo.</w:t>
      </w:r>
    </w:p>
    <w:p w14:paraId="62ABBFA0" w14:textId="77777777" w:rsidR="00F166B6" w:rsidRPr="004E4FA7" w:rsidRDefault="00F166B6" w:rsidP="00F166B6">
      <w:pPr>
        <w:pStyle w:val="NORMAL12"/>
        <w:rPr>
          <w:lang w:val="es-ES"/>
        </w:rPr>
      </w:pPr>
      <w:r w:rsidRPr="004E4FA7">
        <w:rPr>
          <w:lang w:val="es-ES"/>
        </w:rPr>
        <w:t xml:space="preserve">El </w:t>
      </w:r>
      <w:proofErr w:type="gramStart"/>
      <w:r w:rsidRPr="004E4FA7">
        <w:rPr>
          <w:lang w:val="es-ES"/>
        </w:rPr>
        <w:t>Director</w:t>
      </w:r>
      <w:proofErr w:type="gramEnd"/>
      <w:r w:rsidRPr="004E4FA7">
        <w:rPr>
          <w:lang w:val="es-ES"/>
        </w:rPr>
        <w:t xml:space="preserve"> de las Obras comprobará, con la frecuencia que considere necesaria, los sistemas de transporte y trasiego y las condiciones de almacenamiento, en todo cuanto pudiera afectar a la calidad del material, y de no ser de su conformidad, suspenderá la utilización del contenido del tanque o cisterna correspondiente, hasta la comprobación de las características que estime convenientes, de entre las incluidas en las tablas.</w:t>
      </w:r>
    </w:p>
    <w:p w14:paraId="71E3462C" w14:textId="77777777" w:rsidR="00667297" w:rsidRPr="007E3BC9" w:rsidRDefault="00667297" w:rsidP="000313DD">
      <w:pPr>
        <w:pStyle w:val="TITU2"/>
      </w:pPr>
      <w:bookmarkStart w:id="279" w:name="_Toc404106"/>
      <w:r w:rsidRPr="007E3BC9">
        <w:t>211.5. Recepción e identificación</w:t>
      </w:r>
      <w:bookmarkEnd w:id="279"/>
    </w:p>
    <w:p w14:paraId="3707F926" w14:textId="77777777" w:rsidR="00667297" w:rsidRPr="00C10376" w:rsidRDefault="00667297" w:rsidP="00667297">
      <w:pPr>
        <w:pStyle w:val="NORMAL12"/>
        <w:rPr>
          <w:lang w:val="es-ES"/>
        </w:rPr>
      </w:pPr>
      <w:r w:rsidRPr="00C10376">
        <w:rPr>
          <w:lang w:val="es-ES"/>
        </w:rPr>
        <w:t>Cada cisterna de betún asfáltico que llegue a obra irá acompañada de un albarán y la información relativa al etiquetado y marcado CE de la norma correspondiente UNE-EN 12591</w:t>
      </w:r>
      <w:r w:rsidR="00F05B80" w:rsidRPr="00C10376">
        <w:rPr>
          <w:lang w:val="es-ES"/>
        </w:rPr>
        <w:t>:2009</w:t>
      </w:r>
      <w:r w:rsidRPr="00C10376">
        <w:rPr>
          <w:lang w:val="es-ES"/>
        </w:rPr>
        <w:t>, UNE-EN 13924-1</w:t>
      </w:r>
      <w:r w:rsidR="00F05B80" w:rsidRPr="00C10376">
        <w:rPr>
          <w:lang w:val="es-ES"/>
        </w:rPr>
        <w:t>:2016</w:t>
      </w:r>
      <w:r w:rsidRPr="00C10376">
        <w:rPr>
          <w:lang w:val="es-ES"/>
        </w:rPr>
        <w:t xml:space="preserve"> o UNE-EN 13924-2</w:t>
      </w:r>
      <w:r w:rsidR="00F05B80" w:rsidRPr="00C10376">
        <w:rPr>
          <w:lang w:val="es-ES"/>
        </w:rPr>
        <w:t>:2014</w:t>
      </w:r>
      <w:r w:rsidRPr="00C10376">
        <w:rPr>
          <w:lang w:val="es-ES"/>
        </w:rPr>
        <w:t>.</w:t>
      </w:r>
    </w:p>
    <w:p w14:paraId="47EE07B0" w14:textId="77777777" w:rsidR="00667297" w:rsidRPr="007E3BC9" w:rsidRDefault="00667297" w:rsidP="00667297">
      <w:pPr>
        <w:pStyle w:val="NORMAL12"/>
        <w:rPr>
          <w:lang w:val="es-ES"/>
        </w:rPr>
      </w:pPr>
      <w:r w:rsidRPr="00C10376">
        <w:rPr>
          <w:lang w:val="es-ES"/>
        </w:rPr>
        <w:t>El suministrador del ligante deberá proporcionar información sobre la temperatura máxima de calentamiento, el rango de temperatura de mezclado y de compactación, el tiempo máximo de almacenamiento, en su caso, o cualquier otra condición que fuese</w:t>
      </w:r>
      <w:r w:rsidRPr="007E3BC9">
        <w:rPr>
          <w:lang w:val="es-ES"/>
        </w:rPr>
        <w:t xml:space="preserve"> necesaria para asegurar uniformidad y mantenimiento de las propiedades del producto durante todo el proceso de fabricación y puesta en obra.</w:t>
      </w:r>
    </w:p>
    <w:p w14:paraId="11A9BF76" w14:textId="77777777" w:rsidR="00667297" w:rsidRPr="007E3BC9" w:rsidRDefault="00667297" w:rsidP="00667297">
      <w:pPr>
        <w:pStyle w:val="NORMAL12"/>
      </w:pPr>
      <w:r w:rsidRPr="007E3BC9">
        <w:rPr>
          <w:lang w:val="es-ES"/>
        </w:rPr>
        <w:t>El suministrador deberá entregar un certificado, en su caso proporcionado por el fabricante, de que el ligante no</w:t>
      </w:r>
      <w:r w:rsidRPr="007E3BC9">
        <w:t xml:space="preserve"> contiene en su composición alquitranes u otras sustancias derivadas de la destilación de productos carbonosos, ni tampoco betunes oxidados.</w:t>
      </w:r>
    </w:p>
    <w:p w14:paraId="3822C126" w14:textId="77777777" w:rsidR="00667297" w:rsidRPr="007E3BC9" w:rsidRDefault="00667297" w:rsidP="000313DD">
      <w:pPr>
        <w:pStyle w:val="TITU2"/>
      </w:pPr>
      <w:bookmarkStart w:id="280" w:name="_Toc404107"/>
      <w:r w:rsidRPr="007E3BC9">
        <w:t>211.6. Control de calidad</w:t>
      </w:r>
      <w:bookmarkEnd w:id="280"/>
    </w:p>
    <w:p w14:paraId="285899E2" w14:textId="77777777" w:rsidR="00667297" w:rsidRPr="007E3BC9" w:rsidRDefault="00667297" w:rsidP="00D81C53">
      <w:pPr>
        <w:pStyle w:val="TITU3"/>
        <w:numPr>
          <w:ilvl w:val="0"/>
          <w:numId w:val="0"/>
        </w:numPr>
        <w:outlineLvl w:val="3"/>
      </w:pPr>
      <w:r w:rsidRPr="007E3BC9">
        <w:t>211.6.1. Control de recepción</w:t>
      </w:r>
    </w:p>
    <w:p w14:paraId="6A144D17" w14:textId="77777777" w:rsidR="00667297" w:rsidRPr="007E3BC9" w:rsidRDefault="00667297" w:rsidP="00667297">
      <w:pPr>
        <w:pStyle w:val="NORMAL12"/>
        <w:rPr>
          <w:lang w:val="es-ES"/>
        </w:rPr>
      </w:pPr>
      <w:r w:rsidRPr="007E3BC9">
        <w:rPr>
          <w:lang w:val="es-ES"/>
        </w:rPr>
        <w:t xml:space="preserve">Para el control de recepción se llevará a cabo la verificación documental de que los valores declarados en la información que acompaña al marcado CE cumplen las especificaciones establecidas en este Pliego. </w:t>
      </w:r>
      <w:r w:rsidR="00135D8F" w:rsidRPr="007E3BC9">
        <w:rPr>
          <w:lang w:val="es-ES"/>
        </w:rPr>
        <w:t>E</w:t>
      </w:r>
      <w:r w:rsidRPr="007E3BC9">
        <w:rPr>
          <w:lang w:val="es-ES"/>
        </w:rPr>
        <w:t xml:space="preserve">l </w:t>
      </w:r>
      <w:proofErr w:type="gramStart"/>
      <w:r w:rsidRPr="007E3BC9">
        <w:rPr>
          <w:lang w:val="es-ES"/>
        </w:rPr>
        <w:t>Director</w:t>
      </w:r>
      <w:proofErr w:type="gramEnd"/>
      <w:r w:rsidRPr="007E3BC9">
        <w:rPr>
          <w:lang w:val="es-ES"/>
        </w:rPr>
        <w:t xml:space="preserve"> de las Obras podrá disponer en cualquier momento, la realización de comprobaciones y ensayos sobre los materiales suministrados a la obra. En este caso se seguirán los criterio</w:t>
      </w:r>
      <w:r w:rsidR="00491BB3">
        <w:rPr>
          <w:lang w:val="es-ES"/>
        </w:rPr>
        <w:t>s que se indican a continuación:</w:t>
      </w:r>
    </w:p>
    <w:p w14:paraId="27DE4AF7" w14:textId="77777777" w:rsidR="00667297" w:rsidRPr="00C10376" w:rsidRDefault="00667297" w:rsidP="00221E1A">
      <w:pPr>
        <w:pStyle w:val="NORMAL12"/>
        <w:numPr>
          <w:ilvl w:val="0"/>
          <w:numId w:val="124"/>
        </w:numPr>
        <w:rPr>
          <w:lang w:val="es-ES"/>
        </w:rPr>
      </w:pPr>
      <w:r w:rsidRPr="007E3BC9">
        <w:rPr>
          <w:lang w:val="es-ES"/>
        </w:rPr>
        <w:t xml:space="preserve">De cada cisterna de betún asfáltico que </w:t>
      </w:r>
      <w:r w:rsidRPr="00C10376">
        <w:rPr>
          <w:lang w:val="es-ES"/>
        </w:rPr>
        <w:t>llegue a la obra se tomarán dos (2) muestras de, al menos, un kilogramo (1 kg) (norma UNE-EN 58</w:t>
      </w:r>
      <w:r w:rsidR="00F05B80" w:rsidRPr="00C10376">
        <w:rPr>
          <w:lang w:val="es-ES"/>
        </w:rPr>
        <w:t>:2012</w:t>
      </w:r>
      <w:r w:rsidRPr="00C10376">
        <w:rPr>
          <w:lang w:val="es-ES"/>
        </w:rPr>
        <w:t>), en el momento del trasvase del material de la cisterna al tanque de almacenamiento. Sobre una</w:t>
      </w:r>
      <w:r w:rsidRPr="007E3BC9">
        <w:rPr>
          <w:lang w:val="es-ES"/>
        </w:rPr>
        <w:t xml:space="preserve"> de las </w:t>
      </w:r>
      <w:r w:rsidRPr="00C10376">
        <w:rPr>
          <w:lang w:val="es-ES"/>
        </w:rPr>
        <w:t>muestras se realizará la determinación de la penetración (norma UNE-EN 1426</w:t>
      </w:r>
      <w:r w:rsidR="00F05B80" w:rsidRPr="00C10376">
        <w:rPr>
          <w:lang w:val="es-ES"/>
        </w:rPr>
        <w:t>:2015</w:t>
      </w:r>
      <w:r w:rsidRPr="00C10376">
        <w:rPr>
          <w:lang w:val="es-ES"/>
        </w:rPr>
        <w:t>), y la otra se utilizará para ensayos de contraste en caso de ser necesario.</w:t>
      </w:r>
    </w:p>
    <w:p w14:paraId="15EEB6E1" w14:textId="77777777" w:rsidR="00667297" w:rsidRPr="00C10376" w:rsidRDefault="00667297" w:rsidP="00D81C53">
      <w:pPr>
        <w:pStyle w:val="TITU3"/>
        <w:numPr>
          <w:ilvl w:val="0"/>
          <w:numId w:val="0"/>
        </w:numPr>
        <w:outlineLvl w:val="3"/>
      </w:pPr>
      <w:r w:rsidRPr="00C10376">
        <w:t>211.6.2. Control a la entrada del mezclador</w:t>
      </w:r>
    </w:p>
    <w:p w14:paraId="01EAA4B8" w14:textId="77777777" w:rsidR="00667297" w:rsidRPr="00C10376" w:rsidRDefault="00667297" w:rsidP="00667297">
      <w:pPr>
        <w:pStyle w:val="NORMAL12"/>
        <w:rPr>
          <w:lang w:val="es-ES"/>
        </w:rPr>
      </w:pPr>
      <w:r w:rsidRPr="00C10376">
        <w:rPr>
          <w:lang w:val="es-ES"/>
        </w:rPr>
        <w:t xml:space="preserve">Se considerará como lote, que se </w:t>
      </w:r>
      <w:r w:rsidR="00343C26" w:rsidRPr="00C10376">
        <w:rPr>
          <w:lang w:val="es-ES"/>
        </w:rPr>
        <w:t xml:space="preserve">aceptará o rechazará en bloque </w:t>
      </w:r>
      <w:r w:rsidRPr="00C10376">
        <w:rPr>
          <w:lang w:val="es-ES"/>
        </w:rPr>
        <w:t xml:space="preserve">a la cantidad de trescientas toneladas (300 t) de betún asfáltico. </w:t>
      </w:r>
    </w:p>
    <w:p w14:paraId="21BDC531" w14:textId="77777777" w:rsidR="00667297" w:rsidRPr="00C10376" w:rsidRDefault="00667297" w:rsidP="00667297">
      <w:pPr>
        <w:pStyle w:val="NORMAL12"/>
        <w:rPr>
          <w:lang w:val="es-ES"/>
        </w:rPr>
      </w:pPr>
      <w:r w:rsidRPr="00C10376">
        <w:rPr>
          <w:lang w:val="es-ES"/>
        </w:rPr>
        <w:t>De cada lote se tomarán dos (2) muestras de, al menos, un kilogramo (1 kg) (norma UNE-EN 58</w:t>
      </w:r>
      <w:r w:rsidR="00F05B80" w:rsidRPr="00C10376">
        <w:rPr>
          <w:lang w:val="es-ES"/>
        </w:rPr>
        <w:t>:2012</w:t>
      </w:r>
      <w:r w:rsidRPr="00C10376">
        <w:rPr>
          <w:lang w:val="es-ES"/>
        </w:rPr>
        <w:t>), en algún punto situado entre la salida del tanque de almacenamiento y la entrada del mezclador.</w:t>
      </w:r>
    </w:p>
    <w:p w14:paraId="0842B1F0" w14:textId="77777777" w:rsidR="00667297" w:rsidRPr="00C10376" w:rsidRDefault="00667297" w:rsidP="00667297">
      <w:pPr>
        <w:pStyle w:val="NORMAL12"/>
        <w:rPr>
          <w:lang w:val="es-ES"/>
        </w:rPr>
      </w:pPr>
      <w:r w:rsidRPr="00C10376">
        <w:rPr>
          <w:lang w:val="es-ES"/>
        </w:rPr>
        <w:t>Sobre una de las muestras se realizará la determinación de la penetración (norma UNE-EN 1426</w:t>
      </w:r>
      <w:r w:rsidR="00F05B80" w:rsidRPr="00C10376">
        <w:rPr>
          <w:lang w:val="es-ES"/>
        </w:rPr>
        <w:t>:2015</w:t>
      </w:r>
      <w:r w:rsidRPr="00C10376">
        <w:rPr>
          <w:lang w:val="es-ES"/>
        </w:rPr>
        <w:t>), del punto de reblandecimiento (norma UNE-EN 1427</w:t>
      </w:r>
      <w:r w:rsidR="00F05B80" w:rsidRPr="00C10376">
        <w:rPr>
          <w:lang w:val="es-ES"/>
        </w:rPr>
        <w:t>:2015</w:t>
      </w:r>
      <w:r w:rsidRPr="00C10376">
        <w:rPr>
          <w:lang w:val="es-ES"/>
        </w:rPr>
        <w:t>) y se calculará el índice de penetración (Anexo A de la UNE-EN 12591</w:t>
      </w:r>
      <w:r w:rsidR="00F05B80" w:rsidRPr="00C10376">
        <w:rPr>
          <w:lang w:val="es-ES"/>
        </w:rPr>
        <w:t>:2009</w:t>
      </w:r>
      <w:r w:rsidRPr="00C10376">
        <w:rPr>
          <w:lang w:val="es-ES"/>
        </w:rPr>
        <w:t>, UNE-EN 13924-1</w:t>
      </w:r>
      <w:r w:rsidR="00F05B80" w:rsidRPr="00C10376">
        <w:rPr>
          <w:lang w:val="es-ES"/>
        </w:rPr>
        <w:t>:2016</w:t>
      </w:r>
      <w:r w:rsidRPr="00C10376">
        <w:rPr>
          <w:lang w:val="es-ES"/>
        </w:rPr>
        <w:t xml:space="preserve"> o UNE</w:t>
      </w:r>
      <w:r w:rsidR="005609C2">
        <w:rPr>
          <w:lang w:val="es-ES"/>
        </w:rPr>
        <w:t>-</w:t>
      </w:r>
      <w:r w:rsidRPr="00C10376">
        <w:rPr>
          <w:lang w:val="es-ES"/>
        </w:rPr>
        <w:t>EN 13924-2</w:t>
      </w:r>
      <w:r w:rsidR="00F05B80" w:rsidRPr="00C10376">
        <w:rPr>
          <w:lang w:val="es-ES"/>
        </w:rPr>
        <w:t>:2014</w:t>
      </w:r>
      <w:r w:rsidRPr="00C10376">
        <w:rPr>
          <w:lang w:val="es-ES"/>
        </w:rPr>
        <w:t xml:space="preserve">, según corresponda). </w:t>
      </w:r>
    </w:p>
    <w:p w14:paraId="01B0F319" w14:textId="77777777" w:rsidR="00667297" w:rsidRPr="00C10376" w:rsidRDefault="00667297" w:rsidP="00D81C53">
      <w:pPr>
        <w:pStyle w:val="TITU3"/>
        <w:numPr>
          <w:ilvl w:val="0"/>
          <w:numId w:val="0"/>
        </w:numPr>
        <w:outlineLvl w:val="3"/>
      </w:pPr>
      <w:r w:rsidRPr="00C10376">
        <w:t>211.6.3. Control adicional</w:t>
      </w:r>
    </w:p>
    <w:p w14:paraId="7C6AAE51" w14:textId="77777777" w:rsidR="00667297" w:rsidRPr="00C10376" w:rsidRDefault="007E3BC9" w:rsidP="00667297">
      <w:pPr>
        <w:pStyle w:val="NORMAL12"/>
        <w:rPr>
          <w:lang w:val="es-ES"/>
        </w:rPr>
      </w:pPr>
      <w:r w:rsidRPr="00C10376">
        <w:rPr>
          <w:lang w:val="es-ES"/>
        </w:rPr>
        <w:t xml:space="preserve">Se llevará a cabo la </w:t>
      </w:r>
      <w:r w:rsidR="00667297" w:rsidRPr="00C10376">
        <w:rPr>
          <w:lang w:val="es-ES"/>
        </w:rPr>
        <w:t xml:space="preserve">comprobación de las características </w:t>
      </w:r>
      <w:r w:rsidR="00606AE7" w:rsidRPr="00C10376">
        <w:rPr>
          <w:lang w:val="es-ES"/>
        </w:rPr>
        <w:t xml:space="preserve">particulares de los betunes establecidas en el PG3, </w:t>
      </w:r>
      <w:r w:rsidR="00667297" w:rsidRPr="00C10376">
        <w:rPr>
          <w:lang w:val="es-ES"/>
        </w:rPr>
        <w:t>con una frecuencia recomendada de una (1) vez cada mes y como mínimo tres (3) veces durante la ejecución de la obra, por cada tipo y composición de betún asfáltico</w:t>
      </w:r>
      <w:r w:rsidR="00606AE7" w:rsidRPr="00C10376">
        <w:rPr>
          <w:lang w:val="es-ES"/>
        </w:rPr>
        <w:t xml:space="preserve"> suministrado</w:t>
      </w:r>
      <w:r w:rsidR="00667297" w:rsidRPr="00C10376">
        <w:rPr>
          <w:lang w:val="es-ES"/>
        </w:rPr>
        <w:t>.</w:t>
      </w:r>
    </w:p>
    <w:p w14:paraId="23AE4806" w14:textId="77777777" w:rsidR="00667297" w:rsidRPr="00C10376" w:rsidRDefault="001444C7" w:rsidP="000313DD">
      <w:pPr>
        <w:pStyle w:val="TITU2"/>
      </w:pPr>
      <w:bookmarkStart w:id="281" w:name="_Toc404108"/>
      <w:r>
        <w:t>211.7.</w:t>
      </w:r>
      <w:r w:rsidR="00667297" w:rsidRPr="00C10376">
        <w:t xml:space="preserve"> Criterios de aceptación o rechazo</w:t>
      </w:r>
      <w:bookmarkEnd w:id="281"/>
    </w:p>
    <w:p w14:paraId="700DDCA1" w14:textId="77777777" w:rsidR="00BE1547" w:rsidRPr="00C10376" w:rsidRDefault="00BE1547" w:rsidP="00BE1547">
      <w:pPr>
        <w:pStyle w:val="NORMAL12"/>
        <w:rPr>
          <w:lang w:val="es-ES"/>
        </w:rPr>
      </w:pPr>
      <w:r w:rsidRPr="00C10376">
        <w:rPr>
          <w:lang w:val="es-ES"/>
        </w:rPr>
        <w:t>El betún asfáltico debe cumplir:</w:t>
      </w:r>
    </w:p>
    <w:p w14:paraId="5ED5ED25" w14:textId="77777777" w:rsidR="00BE1547" w:rsidRPr="00C10376" w:rsidRDefault="00BE1547" w:rsidP="00221E1A">
      <w:pPr>
        <w:pStyle w:val="NORMAL12"/>
        <w:numPr>
          <w:ilvl w:val="0"/>
          <w:numId w:val="135"/>
        </w:numPr>
        <w:rPr>
          <w:lang w:val="es-ES"/>
        </w:rPr>
      </w:pPr>
      <w:r w:rsidRPr="00C10376">
        <w:rPr>
          <w:lang w:val="es-ES"/>
        </w:rPr>
        <w:t>Penetración a 25ºC según UNE</w:t>
      </w:r>
      <w:r w:rsidR="00F05B80" w:rsidRPr="00C10376">
        <w:rPr>
          <w:lang w:val="es-ES"/>
        </w:rPr>
        <w:t>-EN</w:t>
      </w:r>
      <w:r w:rsidRPr="00C10376">
        <w:rPr>
          <w:lang w:val="es-ES"/>
        </w:rPr>
        <w:t xml:space="preserve"> 1426</w:t>
      </w:r>
      <w:r w:rsidR="00F05B80" w:rsidRPr="00C10376">
        <w:rPr>
          <w:lang w:val="es-ES"/>
        </w:rPr>
        <w:t>:2015</w:t>
      </w:r>
      <w:r w:rsidRPr="00C10376">
        <w:rPr>
          <w:lang w:val="es-ES"/>
        </w:rPr>
        <w:t xml:space="preserve"> es de 35-50 m </w:t>
      </w:r>
    </w:p>
    <w:p w14:paraId="4FF78A91" w14:textId="77777777" w:rsidR="00BE1547" w:rsidRPr="00C10376" w:rsidRDefault="00BE1547" w:rsidP="00221E1A">
      <w:pPr>
        <w:pStyle w:val="NORMAL12"/>
        <w:numPr>
          <w:ilvl w:val="0"/>
          <w:numId w:val="135"/>
        </w:numPr>
        <w:rPr>
          <w:lang w:val="es-ES"/>
        </w:rPr>
      </w:pPr>
      <w:r w:rsidRPr="00C10376">
        <w:rPr>
          <w:lang w:val="es-ES"/>
        </w:rPr>
        <w:t>Punto de reblandecimiento según UNE</w:t>
      </w:r>
      <w:r w:rsidR="00F05B80" w:rsidRPr="00C10376">
        <w:rPr>
          <w:lang w:val="es-ES"/>
        </w:rPr>
        <w:t>-EN</w:t>
      </w:r>
      <w:r w:rsidRPr="00C10376">
        <w:rPr>
          <w:lang w:val="es-ES"/>
        </w:rPr>
        <w:t xml:space="preserve"> 1427</w:t>
      </w:r>
      <w:r w:rsidR="00F05B80" w:rsidRPr="00C10376">
        <w:rPr>
          <w:lang w:val="es-ES"/>
        </w:rPr>
        <w:t>:2015</w:t>
      </w:r>
      <w:r w:rsidRPr="00C10376">
        <w:rPr>
          <w:lang w:val="es-ES"/>
        </w:rPr>
        <w:t xml:space="preserve"> de 50-58ºC</w:t>
      </w:r>
    </w:p>
    <w:p w14:paraId="668BCC9E" w14:textId="77777777" w:rsidR="00BE1547" w:rsidRPr="00C10376" w:rsidRDefault="00BE1547" w:rsidP="00221E1A">
      <w:pPr>
        <w:pStyle w:val="NORMAL12"/>
        <w:numPr>
          <w:ilvl w:val="0"/>
          <w:numId w:val="135"/>
        </w:numPr>
        <w:rPr>
          <w:lang w:val="es-ES"/>
        </w:rPr>
      </w:pPr>
      <w:r w:rsidRPr="00C10376">
        <w:rPr>
          <w:lang w:val="es-ES"/>
        </w:rPr>
        <w:t>Cambio de masa según UNE</w:t>
      </w:r>
      <w:r w:rsidR="00F05B80" w:rsidRPr="00C10376">
        <w:rPr>
          <w:lang w:val="es-ES"/>
        </w:rPr>
        <w:t>-EN</w:t>
      </w:r>
      <w:r w:rsidRPr="00C10376">
        <w:rPr>
          <w:lang w:val="es-ES"/>
        </w:rPr>
        <w:t xml:space="preserve"> 12607-1</w:t>
      </w:r>
      <w:r w:rsidR="00F05B80" w:rsidRPr="00C10376">
        <w:rPr>
          <w:lang w:val="es-ES"/>
        </w:rPr>
        <w:t>:2015</w:t>
      </w:r>
      <w:r w:rsidRPr="00C10376">
        <w:rPr>
          <w:lang w:val="es-ES"/>
        </w:rPr>
        <w:t xml:space="preserve"> menor o igual al cinco (5) %</w:t>
      </w:r>
    </w:p>
    <w:p w14:paraId="1C35B17A" w14:textId="77777777" w:rsidR="00BE1547" w:rsidRPr="00C10376" w:rsidRDefault="00BE1547" w:rsidP="00221E1A">
      <w:pPr>
        <w:pStyle w:val="NORMAL12"/>
        <w:numPr>
          <w:ilvl w:val="0"/>
          <w:numId w:val="135"/>
        </w:numPr>
        <w:rPr>
          <w:lang w:val="es-ES"/>
        </w:rPr>
      </w:pPr>
      <w:r w:rsidRPr="00C10376">
        <w:rPr>
          <w:lang w:val="es-ES"/>
        </w:rPr>
        <w:t>Penetración retenida según UNE</w:t>
      </w:r>
      <w:r w:rsidR="00F05B80" w:rsidRPr="00C10376">
        <w:rPr>
          <w:lang w:val="es-ES"/>
        </w:rPr>
        <w:t>-EN</w:t>
      </w:r>
      <w:r w:rsidRPr="00C10376">
        <w:rPr>
          <w:lang w:val="es-ES"/>
        </w:rPr>
        <w:t xml:space="preserve"> 1426</w:t>
      </w:r>
      <w:r w:rsidR="00F05B80" w:rsidRPr="00C10376">
        <w:rPr>
          <w:lang w:val="es-ES"/>
        </w:rPr>
        <w:t>:2015</w:t>
      </w:r>
      <w:r w:rsidRPr="00C10376">
        <w:rPr>
          <w:lang w:val="es-ES"/>
        </w:rPr>
        <w:t xml:space="preserve"> mayor o igual al cincuenta y tres (</w:t>
      </w:r>
      <w:proofErr w:type="gramStart"/>
      <w:r w:rsidRPr="00C10376">
        <w:rPr>
          <w:lang w:val="es-ES"/>
        </w:rPr>
        <w:t>53)%</w:t>
      </w:r>
      <w:proofErr w:type="gramEnd"/>
    </w:p>
    <w:p w14:paraId="52E65442" w14:textId="77777777" w:rsidR="00BE1547" w:rsidRPr="00C10376" w:rsidRDefault="00BE1547" w:rsidP="00221E1A">
      <w:pPr>
        <w:pStyle w:val="NORMAL12"/>
        <w:numPr>
          <w:ilvl w:val="0"/>
          <w:numId w:val="135"/>
        </w:numPr>
        <w:rPr>
          <w:lang w:val="es-ES"/>
        </w:rPr>
      </w:pPr>
      <w:r w:rsidRPr="00C10376">
        <w:rPr>
          <w:lang w:val="es-ES"/>
        </w:rPr>
        <w:lastRenderedPageBreak/>
        <w:t>Incremento del punto de reblandecimiento según UNE</w:t>
      </w:r>
      <w:r w:rsidR="00F05B80" w:rsidRPr="00C10376">
        <w:rPr>
          <w:lang w:val="es-ES"/>
        </w:rPr>
        <w:t>-EN</w:t>
      </w:r>
      <w:r w:rsidRPr="00C10376">
        <w:rPr>
          <w:lang w:val="es-ES"/>
        </w:rPr>
        <w:t xml:space="preserve"> 1427</w:t>
      </w:r>
      <w:r w:rsidR="00F05B80" w:rsidRPr="00C10376">
        <w:rPr>
          <w:lang w:val="es-ES"/>
        </w:rPr>
        <w:t>:2015</w:t>
      </w:r>
      <w:r w:rsidRPr="00C10376">
        <w:rPr>
          <w:lang w:val="es-ES"/>
        </w:rPr>
        <w:t xml:space="preserve"> menor o igual a once (11) </w:t>
      </w:r>
      <w:proofErr w:type="spellStart"/>
      <w:r w:rsidRPr="00C10376">
        <w:rPr>
          <w:lang w:val="es-ES"/>
        </w:rPr>
        <w:t>ºC</w:t>
      </w:r>
      <w:proofErr w:type="spellEnd"/>
    </w:p>
    <w:p w14:paraId="693B57FE" w14:textId="77777777" w:rsidR="00BE1547" w:rsidRPr="00C10376" w:rsidRDefault="00BE1547" w:rsidP="00221E1A">
      <w:pPr>
        <w:pStyle w:val="NORMAL12"/>
        <w:numPr>
          <w:ilvl w:val="0"/>
          <w:numId w:val="135"/>
        </w:numPr>
        <w:rPr>
          <w:lang w:val="es-ES"/>
        </w:rPr>
      </w:pPr>
      <w:r w:rsidRPr="00C10376">
        <w:rPr>
          <w:lang w:val="es-ES"/>
        </w:rPr>
        <w:t>Índice de penetración según UNE</w:t>
      </w:r>
      <w:r w:rsidR="00F05B80" w:rsidRPr="00C10376">
        <w:rPr>
          <w:lang w:val="es-ES"/>
        </w:rPr>
        <w:t>-EN</w:t>
      </w:r>
      <w:r w:rsidRPr="00C10376">
        <w:rPr>
          <w:lang w:val="es-ES"/>
        </w:rPr>
        <w:t xml:space="preserve"> 12591</w:t>
      </w:r>
      <w:r w:rsidR="00F05B80" w:rsidRPr="00C10376">
        <w:rPr>
          <w:lang w:val="es-ES"/>
        </w:rPr>
        <w:t>:2009</w:t>
      </w:r>
      <w:r w:rsidRPr="00C10376">
        <w:rPr>
          <w:lang w:val="es-ES"/>
        </w:rPr>
        <w:t xml:space="preserve"> y UNE</w:t>
      </w:r>
      <w:r w:rsidR="00F05B80" w:rsidRPr="00C10376">
        <w:rPr>
          <w:lang w:val="es-ES"/>
        </w:rPr>
        <w:t>-EN</w:t>
      </w:r>
      <w:r w:rsidRPr="00C10376">
        <w:rPr>
          <w:lang w:val="es-ES"/>
        </w:rPr>
        <w:t xml:space="preserve"> 13924</w:t>
      </w:r>
      <w:r w:rsidR="003C025B" w:rsidRPr="00C10376">
        <w:rPr>
          <w:lang w:val="es-ES"/>
        </w:rPr>
        <w:t>:2016</w:t>
      </w:r>
      <w:r w:rsidRPr="00C10376">
        <w:rPr>
          <w:lang w:val="es-ES"/>
        </w:rPr>
        <w:t xml:space="preserve"> de -1.5 a +0,7 </w:t>
      </w:r>
    </w:p>
    <w:p w14:paraId="24AB9A52" w14:textId="77777777" w:rsidR="00BE1547" w:rsidRPr="00C10376" w:rsidRDefault="00BE1547" w:rsidP="00221E1A">
      <w:pPr>
        <w:pStyle w:val="NORMAL12"/>
        <w:numPr>
          <w:ilvl w:val="0"/>
          <w:numId w:val="135"/>
        </w:numPr>
        <w:rPr>
          <w:lang w:val="es-ES"/>
        </w:rPr>
      </w:pPr>
      <w:r w:rsidRPr="00C10376">
        <w:rPr>
          <w:lang w:val="es-ES"/>
        </w:rPr>
        <w:t xml:space="preserve">Punto de fragilidad de </w:t>
      </w:r>
      <w:proofErr w:type="spellStart"/>
      <w:r w:rsidRPr="00C10376">
        <w:rPr>
          <w:lang w:val="es-ES"/>
        </w:rPr>
        <w:t>Fraass</w:t>
      </w:r>
      <w:proofErr w:type="spellEnd"/>
      <w:r w:rsidRPr="00C10376">
        <w:rPr>
          <w:lang w:val="es-ES"/>
        </w:rPr>
        <w:t xml:space="preserve"> según UNE</w:t>
      </w:r>
      <w:r w:rsidR="003C025B" w:rsidRPr="00C10376">
        <w:rPr>
          <w:lang w:val="es-ES"/>
        </w:rPr>
        <w:t>-EN</w:t>
      </w:r>
      <w:r w:rsidRPr="00C10376">
        <w:rPr>
          <w:lang w:val="es-ES"/>
        </w:rPr>
        <w:t xml:space="preserve"> 12593</w:t>
      </w:r>
      <w:r w:rsidR="003C025B" w:rsidRPr="00C10376">
        <w:rPr>
          <w:lang w:val="es-ES"/>
        </w:rPr>
        <w:t>:2015</w:t>
      </w:r>
      <w:r w:rsidRPr="00C10376">
        <w:rPr>
          <w:lang w:val="es-ES"/>
        </w:rPr>
        <w:t xml:space="preserve"> menor o igual a menos cinco (5) </w:t>
      </w:r>
      <w:proofErr w:type="spellStart"/>
      <w:r w:rsidRPr="00C10376">
        <w:rPr>
          <w:lang w:val="es-ES"/>
        </w:rPr>
        <w:t>ºC</w:t>
      </w:r>
      <w:proofErr w:type="spellEnd"/>
    </w:p>
    <w:p w14:paraId="664BF69B" w14:textId="77777777" w:rsidR="00BE1547" w:rsidRPr="00C10376" w:rsidRDefault="00BE1547" w:rsidP="00221E1A">
      <w:pPr>
        <w:pStyle w:val="NORMAL12"/>
        <w:numPr>
          <w:ilvl w:val="0"/>
          <w:numId w:val="135"/>
        </w:numPr>
        <w:rPr>
          <w:lang w:val="es-ES"/>
        </w:rPr>
      </w:pPr>
      <w:r w:rsidRPr="00C10376">
        <w:rPr>
          <w:lang w:val="es-ES"/>
        </w:rPr>
        <w:t xml:space="preserve">Punto de inflamación en vaso abierto según </w:t>
      </w:r>
      <w:r w:rsidR="003C025B" w:rsidRPr="00C10376">
        <w:rPr>
          <w:lang w:val="es-ES"/>
        </w:rPr>
        <w:t xml:space="preserve">UNE-EN </w:t>
      </w:r>
      <w:r w:rsidRPr="00C10376">
        <w:rPr>
          <w:lang w:val="es-ES"/>
        </w:rPr>
        <w:t>ISO 2592</w:t>
      </w:r>
      <w:r w:rsidR="003C025B" w:rsidRPr="00C10376">
        <w:rPr>
          <w:lang w:val="es-ES"/>
        </w:rPr>
        <w:t>:2002</w:t>
      </w:r>
      <w:r w:rsidRPr="00C10376">
        <w:rPr>
          <w:lang w:val="es-ES"/>
        </w:rPr>
        <w:t xml:space="preserve"> mayor o igual a 240 </w:t>
      </w:r>
      <w:proofErr w:type="spellStart"/>
      <w:r w:rsidRPr="00C10376">
        <w:rPr>
          <w:lang w:val="es-ES"/>
        </w:rPr>
        <w:t>ºC</w:t>
      </w:r>
      <w:proofErr w:type="spellEnd"/>
    </w:p>
    <w:p w14:paraId="0B4088B4" w14:textId="77777777" w:rsidR="00BE1547" w:rsidRPr="00C10376" w:rsidRDefault="00BE1547" w:rsidP="00221E1A">
      <w:pPr>
        <w:pStyle w:val="NORMAL12"/>
        <w:numPr>
          <w:ilvl w:val="0"/>
          <w:numId w:val="135"/>
        </w:numPr>
        <w:rPr>
          <w:lang w:val="es-ES"/>
        </w:rPr>
      </w:pPr>
      <w:r w:rsidRPr="00C10376">
        <w:rPr>
          <w:lang w:val="es-ES"/>
        </w:rPr>
        <w:t>Solubilidad según UNE</w:t>
      </w:r>
      <w:r w:rsidR="003C025B" w:rsidRPr="00C10376">
        <w:rPr>
          <w:lang w:val="es-ES"/>
        </w:rPr>
        <w:t>-EN</w:t>
      </w:r>
      <w:r w:rsidRPr="00C10376">
        <w:rPr>
          <w:lang w:val="es-ES"/>
        </w:rPr>
        <w:t xml:space="preserve"> 12592</w:t>
      </w:r>
      <w:r w:rsidR="003C025B" w:rsidRPr="00C10376">
        <w:rPr>
          <w:lang w:val="es-ES"/>
        </w:rPr>
        <w:t>:2015</w:t>
      </w:r>
      <w:r w:rsidRPr="00C10376">
        <w:rPr>
          <w:lang w:val="es-ES"/>
        </w:rPr>
        <w:t xml:space="preserve"> mayor o igual al noventa y nueve (99) %.</w:t>
      </w:r>
    </w:p>
    <w:p w14:paraId="45C9268D" w14:textId="77777777" w:rsidR="00667297" w:rsidRPr="00436CEB" w:rsidRDefault="00667297" w:rsidP="000313DD">
      <w:pPr>
        <w:pStyle w:val="TITU2"/>
      </w:pPr>
      <w:bookmarkStart w:id="282" w:name="_Toc404109"/>
      <w:r w:rsidRPr="00C10376">
        <w:t xml:space="preserve">211.8. Medición y </w:t>
      </w:r>
      <w:r w:rsidRPr="00436CEB">
        <w:t>abono</w:t>
      </w:r>
      <w:bookmarkEnd w:id="282"/>
    </w:p>
    <w:p w14:paraId="50D8BBCC" w14:textId="77777777" w:rsidR="00667297" w:rsidRPr="007E3BC9" w:rsidRDefault="00667297" w:rsidP="00667297">
      <w:pPr>
        <w:pStyle w:val="NORMAL12"/>
        <w:rPr>
          <w:lang w:val="es-ES"/>
        </w:rPr>
      </w:pPr>
      <w:r w:rsidRPr="00436CEB">
        <w:rPr>
          <w:lang w:val="es-ES"/>
        </w:rPr>
        <w:t xml:space="preserve">La medición y abono del betún asfáltico se realizará </w:t>
      </w:r>
      <w:r w:rsidR="00DB31F3">
        <w:rPr>
          <w:lang w:val="es-ES"/>
        </w:rPr>
        <w:t xml:space="preserve">conjuntamente </w:t>
      </w:r>
      <w:r w:rsidRPr="00436CEB">
        <w:rPr>
          <w:lang w:val="es-ES"/>
        </w:rPr>
        <w:t>según lo indicado en el Pliego de Prescripciones Técnicas Particulares para la unida</w:t>
      </w:r>
      <w:r w:rsidR="00D86D43">
        <w:rPr>
          <w:lang w:val="es-ES"/>
        </w:rPr>
        <w:t xml:space="preserve">d de obra de la que forme parte, en especial según el artículo 542 del presente pliego. </w:t>
      </w:r>
      <w:r w:rsidR="00DB31F3">
        <w:rPr>
          <w:lang w:val="es-ES"/>
        </w:rPr>
        <w:t xml:space="preserve">No </w:t>
      </w:r>
      <w:proofErr w:type="gramStart"/>
      <w:r w:rsidR="00DB31F3">
        <w:rPr>
          <w:lang w:val="es-ES"/>
        </w:rPr>
        <w:t>obstante</w:t>
      </w:r>
      <w:proofErr w:type="gramEnd"/>
      <w:r w:rsidR="00DB31F3">
        <w:rPr>
          <w:lang w:val="es-ES"/>
        </w:rPr>
        <w:t xml:space="preserve"> la medición y abono de la unidad de betún se realizará según las prescripciones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75"/>
        <w:gridCol w:w="7845"/>
      </w:tblGrid>
      <w:tr w:rsidR="00FA58A8" w:rsidRPr="00FA58A8" w14:paraId="77EA3505" w14:textId="77777777" w:rsidTr="00B0401C">
        <w:tc>
          <w:tcPr>
            <w:tcW w:w="0" w:type="auto"/>
            <w:vAlign w:val="center"/>
          </w:tcPr>
          <w:p w14:paraId="25A97360" w14:textId="77777777" w:rsidR="00FA58A8" w:rsidRPr="00FA58A8" w:rsidRDefault="00FA58A8" w:rsidP="00E50149">
            <w:pPr>
              <w:pStyle w:val="Tabla"/>
              <w:rPr>
                <w:b/>
                <w:bCs/>
              </w:rPr>
            </w:pPr>
            <w:r w:rsidRPr="00FA58A8">
              <w:rPr>
                <w:b/>
              </w:rPr>
              <w:t>Unidad de Medida</w:t>
            </w:r>
          </w:p>
        </w:tc>
        <w:tc>
          <w:tcPr>
            <w:tcW w:w="0" w:type="auto"/>
            <w:vAlign w:val="center"/>
          </w:tcPr>
          <w:p w14:paraId="70BC03C9" w14:textId="77777777" w:rsidR="00FA58A8" w:rsidRPr="00FA58A8" w:rsidRDefault="00FA58A8" w:rsidP="00B0401C">
            <w:pPr>
              <w:pStyle w:val="LCATabla"/>
              <w:keepLines/>
            </w:pPr>
            <w:r w:rsidRPr="00FA58A8">
              <w:rPr>
                <w:rFonts w:ascii="Arial" w:hAnsi="Arial" w:cs="Arial"/>
                <w:sz w:val="20"/>
              </w:rPr>
              <w:t>Tonelada (t)</w:t>
            </w:r>
          </w:p>
        </w:tc>
      </w:tr>
      <w:tr w:rsidR="00FA58A8" w:rsidRPr="00FA58A8" w14:paraId="3E9C194E" w14:textId="77777777" w:rsidTr="00B0401C">
        <w:tc>
          <w:tcPr>
            <w:tcW w:w="0" w:type="auto"/>
            <w:vAlign w:val="center"/>
          </w:tcPr>
          <w:p w14:paraId="6F00FC85" w14:textId="77777777" w:rsidR="00FA58A8" w:rsidRPr="00FA58A8" w:rsidRDefault="00FA58A8" w:rsidP="00E50149">
            <w:pPr>
              <w:pStyle w:val="Tabla"/>
              <w:rPr>
                <w:b/>
                <w:bCs/>
              </w:rPr>
            </w:pPr>
            <w:r w:rsidRPr="00FA58A8">
              <w:rPr>
                <w:b/>
              </w:rPr>
              <w:t>Grado de precisión</w:t>
            </w:r>
          </w:p>
        </w:tc>
        <w:tc>
          <w:tcPr>
            <w:tcW w:w="0" w:type="auto"/>
            <w:vAlign w:val="center"/>
          </w:tcPr>
          <w:p w14:paraId="13E47653" w14:textId="77777777" w:rsidR="00FA58A8" w:rsidRPr="00FA58A8" w:rsidRDefault="00FA58A8" w:rsidP="00B0401C">
            <w:pPr>
              <w:pStyle w:val="LCATabla"/>
              <w:keepLines/>
            </w:pPr>
            <w:r w:rsidRPr="00FA58A8">
              <w:rPr>
                <w:rFonts w:ascii="Arial" w:hAnsi="Arial" w:cs="Arial"/>
                <w:sz w:val="20"/>
              </w:rPr>
              <w:t>Dos (2) decimales</w:t>
            </w:r>
          </w:p>
        </w:tc>
      </w:tr>
      <w:tr w:rsidR="00FA58A8" w:rsidRPr="00FA58A8" w14:paraId="66650BD1" w14:textId="77777777" w:rsidTr="00B0401C">
        <w:tc>
          <w:tcPr>
            <w:tcW w:w="0" w:type="auto"/>
            <w:vAlign w:val="center"/>
          </w:tcPr>
          <w:p w14:paraId="0583A64C" w14:textId="77777777" w:rsidR="00FA58A8" w:rsidRPr="00FA58A8" w:rsidRDefault="00FA58A8" w:rsidP="00E50149">
            <w:pPr>
              <w:pStyle w:val="Tabla"/>
              <w:rPr>
                <w:b/>
                <w:bCs/>
              </w:rPr>
            </w:pPr>
            <w:r w:rsidRPr="00FA58A8">
              <w:rPr>
                <w:b/>
              </w:rPr>
              <w:t>Forma de medición</w:t>
            </w:r>
          </w:p>
        </w:tc>
        <w:tc>
          <w:tcPr>
            <w:tcW w:w="0" w:type="auto"/>
            <w:vAlign w:val="center"/>
          </w:tcPr>
          <w:p w14:paraId="268F66BC" w14:textId="77777777" w:rsidR="00FA58A8" w:rsidRPr="00FA58A8" w:rsidRDefault="00FA58A8" w:rsidP="00B0401C">
            <w:pPr>
              <w:pStyle w:val="LCATabla"/>
              <w:keepLines/>
            </w:pPr>
            <w:r w:rsidRPr="00FA58A8">
              <w:rPr>
                <w:rFonts w:ascii="Arial" w:hAnsi="Arial" w:cs="Arial"/>
                <w:sz w:val="20"/>
              </w:rPr>
              <w:t>Peso de betún realmente empleado en la fabricación de las mezclas</w:t>
            </w:r>
            <w:r w:rsidR="00DB31F3">
              <w:rPr>
                <w:rFonts w:ascii="Arial" w:hAnsi="Arial" w:cs="Arial"/>
                <w:sz w:val="20"/>
              </w:rPr>
              <w:t xml:space="preserve"> bituminosas</w:t>
            </w:r>
          </w:p>
        </w:tc>
      </w:tr>
      <w:tr w:rsidR="00FA58A8" w:rsidRPr="00FA58A8" w14:paraId="1CA431C7" w14:textId="77777777" w:rsidTr="00B0401C">
        <w:tc>
          <w:tcPr>
            <w:tcW w:w="0" w:type="auto"/>
            <w:vAlign w:val="center"/>
          </w:tcPr>
          <w:p w14:paraId="4D8342BE" w14:textId="77777777" w:rsidR="00FA58A8" w:rsidRPr="00FA58A8" w:rsidRDefault="00FA58A8" w:rsidP="00E50149">
            <w:pPr>
              <w:pStyle w:val="Tabla"/>
              <w:rPr>
                <w:b/>
                <w:bCs/>
              </w:rPr>
            </w:pPr>
            <w:r w:rsidRPr="00FA58A8">
              <w:rPr>
                <w:b/>
              </w:rPr>
              <w:t>Abono</w:t>
            </w:r>
          </w:p>
        </w:tc>
        <w:tc>
          <w:tcPr>
            <w:tcW w:w="0" w:type="auto"/>
            <w:vAlign w:val="center"/>
          </w:tcPr>
          <w:p w14:paraId="3FA4497E" w14:textId="77777777" w:rsidR="00FA58A8" w:rsidRPr="00FA58A8" w:rsidRDefault="00FA58A8" w:rsidP="00B0401C">
            <w:pPr>
              <w:pStyle w:val="LCATabla"/>
              <w:keepLines/>
            </w:pPr>
            <w:r w:rsidRPr="00FA58A8">
              <w:rPr>
                <w:rFonts w:ascii="Arial" w:hAnsi="Arial" w:cs="Arial"/>
                <w:sz w:val="20"/>
              </w:rPr>
              <w:t>Se efectuará cuando se realice la aceptación, una vez realizadas las pruebas y ensayos de recepción</w:t>
            </w:r>
            <w:r w:rsidR="00DB31F3">
              <w:rPr>
                <w:rFonts w:ascii="Arial" w:hAnsi="Arial" w:cs="Arial"/>
                <w:sz w:val="20"/>
              </w:rPr>
              <w:t xml:space="preserve"> de la unidad de la que forman parte</w:t>
            </w:r>
          </w:p>
        </w:tc>
      </w:tr>
      <w:tr w:rsidR="00FA58A8" w:rsidRPr="00FA58A8" w14:paraId="483E1E85" w14:textId="77777777" w:rsidTr="00B0401C">
        <w:tc>
          <w:tcPr>
            <w:tcW w:w="0" w:type="auto"/>
            <w:vAlign w:val="center"/>
          </w:tcPr>
          <w:p w14:paraId="62167250" w14:textId="77777777" w:rsidR="00FA58A8" w:rsidRPr="00FA58A8" w:rsidRDefault="00FA58A8" w:rsidP="00E50149">
            <w:pPr>
              <w:pStyle w:val="Tabla"/>
              <w:rPr>
                <w:b/>
                <w:bCs/>
              </w:rPr>
            </w:pPr>
            <w:proofErr w:type="gramStart"/>
            <w:r w:rsidRPr="00FA58A8">
              <w:rPr>
                <w:b/>
              </w:rPr>
              <w:t>Criterios complementario</w:t>
            </w:r>
            <w:proofErr w:type="gramEnd"/>
          </w:p>
        </w:tc>
        <w:tc>
          <w:tcPr>
            <w:tcW w:w="0" w:type="auto"/>
            <w:vAlign w:val="center"/>
          </w:tcPr>
          <w:p w14:paraId="122C4ACC" w14:textId="77777777" w:rsidR="00FA58A8" w:rsidRPr="00FA58A8" w:rsidRDefault="00FA58A8" w:rsidP="00B0401C">
            <w:pPr>
              <w:pStyle w:val="LCATabla"/>
              <w:keepLines/>
            </w:pPr>
            <w:r w:rsidRPr="00FA58A8">
              <w:rPr>
                <w:rFonts w:ascii="Arial" w:hAnsi="Arial" w:cs="Arial"/>
                <w:sz w:val="20"/>
              </w:rPr>
              <w:t>El precio de la unidad incluye el suministro del betún para la fabricación de la mezcla bituminosa, y todos los materiales y medios necesarios para la correcta ejecución de la unidad.</w:t>
            </w:r>
          </w:p>
        </w:tc>
      </w:tr>
    </w:tbl>
    <w:p w14:paraId="48BA2E83" w14:textId="77777777" w:rsidR="00FA58A8" w:rsidRPr="005864C2" w:rsidRDefault="00FA58A8" w:rsidP="00667297">
      <w:pPr>
        <w:pStyle w:val="NORMAL12"/>
        <w:ind w:left="2127"/>
        <w:rPr>
          <w:color w:val="365F91" w:themeColor="accent1" w:themeShade="BF"/>
          <w:lang w:val="es-ES"/>
        </w:rPr>
        <w:sectPr w:rsidR="00FA58A8" w:rsidRPr="005864C2" w:rsidSect="003069BA">
          <w:footerReference w:type="first" r:id="rId12"/>
          <w:type w:val="oddPage"/>
          <w:pgSz w:w="23814" w:h="16840" w:orient="landscape" w:code="8"/>
          <w:pgMar w:top="992" w:right="851" w:bottom="1418" w:left="851" w:header="567" w:footer="1021" w:gutter="1418"/>
          <w:cols w:num="2" w:space="1134"/>
        </w:sectPr>
      </w:pPr>
    </w:p>
    <w:p w14:paraId="29972332" w14:textId="77777777" w:rsidR="00667297" w:rsidRDefault="00667297" w:rsidP="006F6223">
      <w:pPr>
        <w:pStyle w:val="TITU1"/>
      </w:pPr>
      <w:bookmarkStart w:id="283" w:name="_Toc404110"/>
      <w:r w:rsidRPr="00A76B28">
        <w:lastRenderedPageBreak/>
        <w:t>Artículo 212.  Betunes modificados con polímeros</w:t>
      </w:r>
      <w:bookmarkEnd w:id="283"/>
    </w:p>
    <w:p w14:paraId="262DF335" w14:textId="77777777" w:rsidR="00FA2EA4" w:rsidRPr="006B7EDC" w:rsidRDefault="00FA2EA4" w:rsidP="00FA2EA4">
      <w:pPr>
        <w:pStyle w:val="NORMAL12"/>
        <w:rPr>
          <w:lang w:val="es-ES"/>
        </w:rPr>
      </w:pPr>
      <w:r w:rsidRPr="006B7EDC">
        <w:rPr>
          <w:lang w:val="es-ES"/>
        </w:rPr>
        <w:t xml:space="preserve">Excepto para lo especificado en el presente Pliego de Prescripciones Técnicas </w:t>
      </w:r>
      <w:r>
        <w:rPr>
          <w:lang w:val="es-ES"/>
        </w:rPr>
        <w:t>P</w:t>
      </w:r>
      <w:r w:rsidRPr="006B7EDC">
        <w:rPr>
          <w:lang w:val="es-ES"/>
        </w:rPr>
        <w:t>articulares se seguirá lo pr</w:t>
      </w:r>
      <w:r>
        <w:rPr>
          <w:lang w:val="es-ES"/>
        </w:rPr>
        <w:t>escrito en el vigente artículo 212</w:t>
      </w:r>
      <w:r w:rsidRPr="006B7EDC">
        <w:rPr>
          <w:lang w:val="es-ES"/>
        </w:rPr>
        <w:t xml:space="preserve"> del PG-3.</w:t>
      </w:r>
    </w:p>
    <w:p w14:paraId="4BD7FB04" w14:textId="77777777" w:rsidR="00667297" w:rsidRDefault="00667297" w:rsidP="000313DD">
      <w:pPr>
        <w:pStyle w:val="TITU2"/>
      </w:pPr>
      <w:bookmarkStart w:id="284" w:name="_Toc404111"/>
      <w:r w:rsidRPr="005864C2">
        <w:t>212.1. Definición</w:t>
      </w:r>
      <w:bookmarkEnd w:id="284"/>
    </w:p>
    <w:p w14:paraId="37C59C39" w14:textId="77777777" w:rsidR="00343C26" w:rsidRPr="007E3BC9" w:rsidRDefault="00343C26" w:rsidP="00343C26">
      <w:pPr>
        <w:pStyle w:val="NORMAL12"/>
        <w:rPr>
          <w:lang w:val="es-ES"/>
        </w:rPr>
      </w:pPr>
      <w:r w:rsidRPr="00C10376">
        <w:rPr>
          <w:lang w:val="es-ES"/>
        </w:rPr>
        <w:t>Se definen como betunes modificados con polímeros, de acuerdo con la norma UNE-EN 12597</w:t>
      </w:r>
      <w:r w:rsidR="009A4D0D" w:rsidRPr="00C10376">
        <w:rPr>
          <w:lang w:val="es-ES"/>
        </w:rPr>
        <w:t>:2014</w:t>
      </w:r>
      <w:r w:rsidRPr="00C10376">
        <w:rPr>
          <w:lang w:val="es-ES"/>
        </w:rPr>
        <w:t>, los ligantes hidrocarbonados cuyas propiedades reológicas han sido modificadas durante su fabricación, por el empleo de uno o más polímeros orgánicos. A efectos de aplicación de este artículo las fibras orgánicas o minerales no se consideran modifica- dores del betún.</w:t>
      </w:r>
    </w:p>
    <w:p w14:paraId="33071365" w14:textId="77777777" w:rsidR="00343C26" w:rsidRPr="007E3BC9" w:rsidRDefault="00343C26" w:rsidP="00343C26">
      <w:pPr>
        <w:pStyle w:val="NORMAL12"/>
        <w:rPr>
          <w:lang w:val="es-ES"/>
        </w:rPr>
      </w:pPr>
      <w:r w:rsidRPr="007E3BC9">
        <w:rPr>
          <w:lang w:val="es-ES"/>
        </w:rPr>
        <w:t>Quedan excluidos de esta definición, los productos obtenidos a partir de adiciones incorporadas a los áridos o en el mezclador de la planta de fabricación de la unidad de obra de la que formen parte.</w:t>
      </w:r>
    </w:p>
    <w:p w14:paraId="317FD79E" w14:textId="77777777" w:rsidR="00C36ABC" w:rsidRPr="00EA0DCF" w:rsidRDefault="00C36ABC" w:rsidP="00C36ABC">
      <w:pPr>
        <w:pStyle w:val="NORMAL12"/>
        <w:rPr>
          <w:lang w:val="es-ES"/>
        </w:rPr>
      </w:pPr>
      <w:r w:rsidRPr="00EA0DCF">
        <w:rPr>
          <w:lang w:val="es-ES"/>
        </w:rPr>
        <w:t xml:space="preserve">Las prescripciones del presente artículo </w:t>
      </w:r>
      <w:proofErr w:type="gramStart"/>
      <w:r w:rsidRPr="00EA0DCF">
        <w:rPr>
          <w:lang w:val="es-ES"/>
        </w:rPr>
        <w:t>son de aplicación</w:t>
      </w:r>
      <w:proofErr w:type="gramEnd"/>
      <w:r w:rsidRPr="00EA0DCF">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053"/>
        <w:gridCol w:w="804"/>
        <w:gridCol w:w="8063"/>
      </w:tblGrid>
      <w:tr w:rsidR="005864C2" w:rsidRPr="005864C2" w14:paraId="52C5EBC9" w14:textId="77777777" w:rsidTr="00135D8F">
        <w:trPr>
          <w:trHeight w:val="274"/>
        </w:trPr>
        <w:tc>
          <w:tcPr>
            <w:tcW w:w="531" w:type="pct"/>
            <w:noWrap/>
          </w:tcPr>
          <w:p w14:paraId="107F9EA5" w14:textId="77777777" w:rsidR="00E47492" w:rsidRPr="003327CC" w:rsidRDefault="00E47492">
            <w:pPr>
              <w:rPr>
                <w:rFonts w:ascii="Calibri" w:hAnsi="Calibri"/>
              </w:rPr>
            </w:pPr>
            <w:r w:rsidRPr="003327CC">
              <w:rPr>
                <w:rFonts w:ascii="Calibri" w:hAnsi="Calibri"/>
              </w:rPr>
              <w:t xml:space="preserve">215.0030          </w:t>
            </w:r>
          </w:p>
        </w:tc>
        <w:tc>
          <w:tcPr>
            <w:tcW w:w="405" w:type="pct"/>
            <w:noWrap/>
          </w:tcPr>
          <w:p w14:paraId="0AF5D60B" w14:textId="77777777" w:rsidR="00E47492" w:rsidRPr="003327CC" w:rsidRDefault="00E47492">
            <w:pPr>
              <w:rPr>
                <w:rFonts w:ascii="Calibri" w:hAnsi="Calibri"/>
              </w:rPr>
            </w:pPr>
            <w:r w:rsidRPr="003327CC">
              <w:rPr>
                <w:rFonts w:ascii="Calibri" w:hAnsi="Calibri"/>
              </w:rPr>
              <w:t>t</w:t>
            </w:r>
          </w:p>
        </w:tc>
        <w:tc>
          <w:tcPr>
            <w:tcW w:w="4064" w:type="pct"/>
          </w:tcPr>
          <w:p w14:paraId="14211D05" w14:textId="77777777" w:rsidR="002E0BC1" w:rsidRPr="003327CC" w:rsidRDefault="002E0BC1" w:rsidP="002E0BC1">
            <w:pPr>
              <w:rPr>
                <w:rFonts w:ascii="Calibri" w:hAnsi="Calibri"/>
              </w:rPr>
            </w:pPr>
            <w:r w:rsidRPr="003327CC">
              <w:rPr>
                <w:rFonts w:ascii="Calibri" w:hAnsi="Calibri"/>
              </w:rPr>
              <w:t>BETÚN PMB 45/80-65 MODIFICADO CON POLÍMEROS (CON O SIN CAUCHO) TIPO BM-3C, EMPLEADO EN MEZCLAS BITUMINOSAS A PIE DE OBRA O PLANTA.</w:t>
            </w:r>
          </w:p>
          <w:p w14:paraId="5563050F" w14:textId="77777777" w:rsidR="00E47492" w:rsidRPr="003327CC" w:rsidRDefault="00E47492">
            <w:pPr>
              <w:rPr>
                <w:rFonts w:ascii="Calibri" w:hAnsi="Calibri"/>
              </w:rPr>
            </w:pPr>
          </w:p>
        </w:tc>
      </w:tr>
    </w:tbl>
    <w:p w14:paraId="0DF367F9" w14:textId="77777777" w:rsidR="00667297" w:rsidRDefault="00667297" w:rsidP="000313DD">
      <w:pPr>
        <w:pStyle w:val="TITU2"/>
      </w:pPr>
      <w:bookmarkStart w:id="285" w:name="_Toc404112"/>
      <w:r w:rsidRPr="005864C2">
        <w:t>212.2. Condiciones generales</w:t>
      </w:r>
      <w:bookmarkEnd w:id="285"/>
    </w:p>
    <w:p w14:paraId="4DE868CA" w14:textId="77777777" w:rsidR="003E3C89" w:rsidRPr="004E4FA7" w:rsidRDefault="003E3C89" w:rsidP="003E3C89">
      <w:pPr>
        <w:pStyle w:val="NORMAL12"/>
        <w:rPr>
          <w:lang w:val="es-ES"/>
        </w:rPr>
      </w:pPr>
      <w:r w:rsidRPr="004E4FA7">
        <w:rPr>
          <w:lang w:val="es-ES"/>
        </w:rPr>
        <w:t xml:space="preserve">Lo dispuesto en este artículo se entenderá sin perjuicio de lo establecido en el Reglamento 305/2011 de 9 de marzo de 2011, del Parlamento Europeo y del Consejo, por el que se establecen las condiciones armonizadas para la comercialización de productos de construcción. Para los productos con marcado CE, el fabricante asumirá la responsabilidad sobre la conformidad de </w:t>
      </w:r>
      <w:proofErr w:type="gramStart"/>
      <w:r w:rsidRPr="004E4FA7">
        <w:rPr>
          <w:lang w:val="es-ES"/>
        </w:rPr>
        <w:t>los mismos</w:t>
      </w:r>
      <w:proofErr w:type="gramEnd"/>
      <w:r w:rsidRPr="004E4FA7">
        <w:rPr>
          <w:lang w:val="es-ES"/>
        </w:rPr>
        <w:t xml:space="preserve"> con las prestaciones declaradas, de acuerdo con el artículo 11 del mencionado Reglamento. Los productos que tengan el marcado CE deberán ir acompañados, además de dicho marcado, de la Declaración de Prestaciones, y de las instrucciones e información de seguridad del producto. Por su parte, el Contratista deberá verificar que los valores declarados en los documentos que acompañan al marcado CE permitan deducir el cumplimiento de las especificaciones contempladas en el Proyecto o, en su defecto, en este Pliego, debiendo adoptar, en el caso de que existan indicios de incumplimiento de las especificaciones declaradas, todas aquellas medidas que considere oportunas para garantizar la idoneidad del producto suministrado a la obra.</w:t>
      </w:r>
    </w:p>
    <w:p w14:paraId="6808E319" w14:textId="77777777" w:rsidR="003E3C89" w:rsidRPr="003E3C89" w:rsidRDefault="003E3C89" w:rsidP="003E3C89">
      <w:pPr>
        <w:pStyle w:val="NORMAL12"/>
        <w:rPr>
          <w:lang w:val="es-ES"/>
        </w:rPr>
      </w:pPr>
    </w:p>
    <w:p w14:paraId="37FD2E7E" w14:textId="77777777" w:rsidR="00667297" w:rsidRPr="00C10376" w:rsidRDefault="00667297" w:rsidP="00667297">
      <w:pPr>
        <w:pStyle w:val="NORMAL12"/>
        <w:rPr>
          <w:lang w:val="es-ES"/>
        </w:rPr>
      </w:pPr>
      <w:r w:rsidRPr="007E3BC9">
        <w:rPr>
          <w:lang w:val="es-ES"/>
        </w:rPr>
        <w:t xml:space="preserve">Los betunes modificados </w:t>
      </w:r>
      <w:r w:rsidRPr="00C10376">
        <w:rPr>
          <w:lang w:val="es-ES"/>
        </w:rPr>
        <w:t>con polímeros deberán llevar obligatoriamente el marcado CE, conforme a lo establecido en la norma UNE-EN 14023</w:t>
      </w:r>
      <w:r w:rsidR="009A4D0D" w:rsidRPr="00C10376">
        <w:rPr>
          <w:lang w:val="es-ES"/>
        </w:rPr>
        <w:t>:2010</w:t>
      </w:r>
      <w:r w:rsidRPr="00C10376">
        <w:rPr>
          <w:lang w:val="es-ES"/>
        </w:rPr>
        <w:t>.</w:t>
      </w:r>
    </w:p>
    <w:p w14:paraId="06ED6DA5" w14:textId="77777777" w:rsidR="00667297" w:rsidRPr="007E3BC9" w:rsidRDefault="00135D8F" w:rsidP="00667297">
      <w:pPr>
        <w:pStyle w:val="NORMAL12"/>
      </w:pPr>
      <w:r w:rsidRPr="00C10376">
        <w:t>S</w:t>
      </w:r>
      <w:r w:rsidR="00667297" w:rsidRPr="00C10376">
        <w:t>e prohíbe el uso de betunes asfálticos que contengan alquitranes</w:t>
      </w:r>
      <w:r w:rsidR="00667297" w:rsidRPr="007E3BC9">
        <w:t xml:space="preserve"> u otras sustancias derivadas de la destilación de productos carbonosos</w:t>
      </w:r>
      <w:r w:rsidR="002368C6" w:rsidRPr="007E3BC9">
        <w:t xml:space="preserve">, </w:t>
      </w:r>
      <w:r w:rsidR="00667297" w:rsidRPr="007E3BC9">
        <w:t>hulla u otros, o betunes oxidados.</w:t>
      </w:r>
    </w:p>
    <w:p w14:paraId="5D940C8F" w14:textId="77777777" w:rsidR="00667297" w:rsidRDefault="00667297" w:rsidP="000313DD">
      <w:pPr>
        <w:pStyle w:val="TITU2"/>
      </w:pPr>
      <w:bookmarkStart w:id="286" w:name="_Toc404113"/>
      <w:r w:rsidRPr="00A01B43">
        <w:t>212.3. Denominaciones</w:t>
      </w:r>
      <w:bookmarkEnd w:id="286"/>
    </w:p>
    <w:p w14:paraId="13B2BDF1" w14:textId="77777777" w:rsidR="007E3BC9" w:rsidRDefault="007E3BC9" w:rsidP="007E3BC9">
      <w:pPr>
        <w:pStyle w:val="NORMAL12"/>
        <w:rPr>
          <w:lang w:val="es-ES"/>
        </w:rPr>
      </w:pPr>
      <w:r>
        <w:rPr>
          <w:lang w:val="es-ES"/>
        </w:rPr>
        <w:t>Se emplear</w:t>
      </w:r>
      <w:r w:rsidR="00343C26">
        <w:rPr>
          <w:lang w:val="es-ES"/>
        </w:rPr>
        <w:t>án betunes modificados del tipo PMB45/80-65</w:t>
      </w:r>
    </w:p>
    <w:p w14:paraId="4B2D80EB" w14:textId="77777777" w:rsidR="00667297" w:rsidRPr="00905AA9" w:rsidRDefault="00905AA9" w:rsidP="00667297">
      <w:pPr>
        <w:pStyle w:val="NORMAL12"/>
        <w:rPr>
          <w:lang w:val="es-ES"/>
        </w:rPr>
      </w:pPr>
      <w:r w:rsidRPr="00905AA9">
        <w:rPr>
          <w:lang w:val="es-ES"/>
        </w:rPr>
        <w:t xml:space="preserve">Debe cumplir que el </w:t>
      </w:r>
      <w:r w:rsidR="00667297" w:rsidRPr="00905AA9">
        <w:rPr>
          <w:lang w:val="es-ES"/>
        </w:rPr>
        <w:t>punto de reblandecimiento mínimo igual o superior a se</w:t>
      </w:r>
      <w:r w:rsidR="00343C26">
        <w:rPr>
          <w:lang w:val="es-ES"/>
        </w:rPr>
        <w:t>senta</w:t>
      </w:r>
      <w:r w:rsidR="00667297" w:rsidRPr="00905AA9">
        <w:rPr>
          <w:lang w:val="es-ES"/>
        </w:rPr>
        <w:t xml:space="preserve"> grados Celsius (</w:t>
      </w:r>
      <w:r w:rsidR="00801C84" w:rsidRPr="00905AA9">
        <w:rPr>
          <w:lang w:val="es-ES"/>
        </w:rPr>
        <w:t xml:space="preserve">≥ </w:t>
      </w:r>
      <w:r w:rsidR="00343C26">
        <w:rPr>
          <w:lang w:val="es-ES"/>
        </w:rPr>
        <w:t>60</w:t>
      </w:r>
      <w:r w:rsidR="00667297" w:rsidRPr="00905AA9">
        <w:rPr>
          <w:lang w:val="es-ES"/>
        </w:rPr>
        <w:t xml:space="preserve"> °C), dicha temperatura será inferior a ciento noventa grados Celsius (&lt;190 °C), e inferior a ciento ochenta grados Celsius (&lt; 180 °C) para el resto de los especificados en este artículo.</w:t>
      </w:r>
    </w:p>
    <w:p w14:paraId="2BB7A452" w14:textId="77777777" w:rsidR="00667297" w:rsidRPr="00BE1547" w:rsidRDefault="00667297" w:rsidP="000313DD">
      <w:pPr>
        <w:pStyle w:val="TITU2"/>
      </w:pPr>
      <w:bookmarkStart w:id="287" w:name="_Toc404114"/>
      <w:r w:rsidRPr="00BE1547">
        <w:t>212.4. Transporte y almacenamiento</w:t>
      </w:r>
      <w:bookmarkEnd w:id="287"/>
    </w:p>
    <w:p w14:paraId="3F279550" w14:textId="77777777" w:rsidR="00667297" w:rsidRPr="00BE1547" w:rsidRDefault="00667297" w:rsidP="00667297">
      <w:pPr>
        <w:pStyle w:val="NORMAL12"/>
        <w:rPr>
          <w:lang w:val="es-ES"/>
        </w:rPr>
      </w:pPr>
      <w:r w:rsidRPr="00BE1547">
        <w:rPr>
          <w:lang w:val="es-ES"/>
        </w:rPr>
        <w:t>El betún modificado con polímeros será transportado en cisternas calorífugas y deberán estar preparadas para poder calentar el betún modificado con polímeros cuando, por cualquier anomalía, la temperatura disminuya y pueda impedir su trasiego.</w:t>
      </w:r>
    </w:p>
    <w:p w14:paraId="6C97E864" w14:textId="77777777" w:rsidR="00667297" w:rsidRPr="00BE1547" w:rsidRDefault="00667297" w:rsidP="00667297">
      <w:pPr>
        <w:pStyle w:val="NORMAL12"/>
        <w:rPr>
          <w:lang w:val="es-ES"/>
        </w:rPr>
      </w:pPr>
      <w:r w:rsidRPr="00BE1547">
        <w:rPr>
          <w:lang w:val="es-ES"/>
        </w:rPr>
        <w:t xml:space="preserve">Los tanques deberán ser calorífugos </w:t>
      </w:r>
      <w:r w:rsidR="00905AA9" w:rsidRPr="00BE1547">
        <w:rPr>
          <w:lang w:val="es-ES"/>
        </w:rPr>
        <w:t xml:space="preserve">e ir </w:t>
      </w:r>
      <w:r w:rsidRPr="00BE1547">
        <w:rPr>
          <w:lang w:val="es-ES"/>
        </w:rPr>
        <w:t>dotados de su propio sistema de calefacción, capaz de evitar que la temperatura del producto se desvíe de la fijada para el almacenamiento en más de diez grados Celsius (± 10 °C).</w:t>
      </w:r>
    </w:p>
    <w:p w14:paraId="1ABB255D" w14:textId="77777777" w:rsidR="00667297" w:rsidRPr="00BE1547" w:rsidRDefault="00667297" w:rsidP="00667297">
      <w:pPr>
        <w:pStyle w:val="NORMAL12"/>
        <w:rPr>
          <w:lang w:val="es-ES"/>
        </w:rPr>
      </w:pPr>
      <w:r w:rsidRPr="00BE1547">
        <w:rPr>
          <w:lang w:val="es-ES"/>
        </w:rPr>
        <w:t>El suministrador del ligante deberá proporcionar información sobre el rango de temperatura y el tiempo máximo de almacenamiento y la necesidad o no de disponer de sistemas de homogeneización en el transporte y en los tanques de almacenamiento, de acuerdo con las características del ligante modificado.</w:t>
      </w:r>
    </w:p>
    <w:p w14:paraId="18951CF5" w14:textId="77777777" w:rsidR="00667297" w:rsidRPr="00BE1547" w:rsidRDefault="00667297" w:rsidP="000313DD">
      <w:pPr>
        <w:pStyle w:val="TITU2"/>
      </w:pPr>
      <w:bookmarkStart w:id="288" w:name="_Toc404115"/>
      <w:r w:rsidRPr="00BE1547">
        <w:t>212.5. Recepción e identificación</w:t>
      </w:r>
      <w:bookmarkEnd w:id="288"/>
    </w:p>
    <w:p w14:paraId="2B849103" w14:textId="77777777" w:rsidR="00667297" w:rsidRPr="00C10376" w:rsidRDefault="00667297" w:rsidP="00667297">
      <w:pPr>
        <w:pStyle w:val="NORMAL12"/>
        <w:rPr>
          <w:lang w:val="es-ES"/>
        </w:rPr>
      </w:pPr>
      <w:r w:rsidRPr="00C10376">
        <w:rPr>
          <w:lang w:val="es-ES"/>
        </w:rPr>
        <w:t>Cada cisterna de betún modificado con polímeros que llegue a obra irá acompañada de un albarán y la información relativa al etiquetado y marcado CE de la norma UNE-EN 14023</w:t>
      </w:r>
      <w:r w:rsidR="009A4D0D" w:rsidRPr="00C10376">
        <w:rPr>
          <w:lang w:val="es-ES"/>
        </w:rPr>
        <w:t>:2010</w:t>
      </w:r>
      <w:r w:rsidRPr="00C10376">
        <w:rPr>
          <w:lang w:val="es-ES"/>
        </w:rPr>
        <w:t>.</w:t>
      </w:r>
    </w:p>
    <w:p w14:paraId="17BBE7CD" w14:textId="77777777" w:rsidR="00667297" w:rsidRPr="00BE1547" w:rsidRDefault="00905AA9" w:rsidP="00667297">
      <w:pPr>
        <w:pStyle w:val="NORMAL12"/>
        <w:rPr>
          <w:lang w:val="es-ES"/>
        </w:rPr>
      </w:pPr>
      <w:r w:rsidRPr="00C10376">
        <w:rPr>
          <w:lang w:val="es-ES"/>
        </w:rPr>
        <w:t xml:space="preserve">Se exigirá el </w:t>
      </w:r>
      <w:r w:rsidR="00667297" w:rsidRPr="00C10376">
        <w:rPr>
          <w:lang w:val="es-ES"/>
        </w:rPr>
        <w:t>cumplimiento del valor de la estabilidad al almacenamiento (norma UNE-EN 13399</w:t>
      </w:r>
      <w:r w:rsidR="009A4D0D" w:rsidRPr="00C10376">
        <w:rPr>
          <w:lang w:val="es-ES"/>
        </w:rPr>
        <w:t>:2010</w:t>
      </w:r>
      <w:r w:rsidR="00667297" w:rsidRPr="00C10376">
        <w:rPr>
          <w:lang w:val="es-ES"/>
        </w:rPr>
        <w:t>), con el fin de comprobar la idoneidad de los sistemas de transporte y almacenamiento.</w:t>
      </w:r>
    </w:p>
    <w:p w14:paraId="1EB8506F" w14:textId="77777777" w:rsidR="00667297" w:rsidRDefault="00667297" w:rsidP="00667297">
      <w:pPr>
        <w:pStyle w:val="NORMAL12"/>
        <w:rPr>
          <w:lang w:val="es-ES"/>
        </w:rPr>
      </w:pPr>
      <w:r w:rsidRPr="00BE1547">
        <w:rPr>
          <w:lang w:val="es-ES"/>
        </w:rPr>
        <w:lastRenderedPageBreak/>
        <w:t>El suministrador del ligante deberá proporcionar información sobre la temperatura máxima de calentamiento, el rango de temperatura de mezclado y de compactación, el tiempo máximo de almacenamiento, en su caso, o cualquier otra condición que fuese necesaria para asegurar uniformidad y mantenimiento de las propiedades del producto durante todo el proceso de fabricación y puesta en obra.</w:t>
      </w:r>
    </w:p>
    <w:p w14:paraId="1FF26534" w14:textId="77777777" w:rsidR="004A118C" w:rsidRPr="00BE1547" w:rsidRDefault="004A118C" w:rsidP="00667297">
      <w:pPr>
        <w:pStyle w:val="NORMAL12"/>
        <w:rPr>
          <w:lang w:val="es-ES"/>
        </w:rPr>
      </w:pPr>
      <w:r w:rsidRPr="007E3BC9">
        <w:rPr>
          <w:lang w:val="es-ES"/>
        </w:rPr>
        <w:t>El suministrador deberá entregar un certificado, en su caso proporcionado por el fabricante, de que el ligante no</w:t>
      </w:r>
      <w:r w:rsidRPr="007E3BC9">
        <w:t xml:space="preserve"> contiene en su composición alquitranes u otras sustancias derivadas de la destilación de productos carbonosos, ni tampoco betunes oxidados</w:t>
      </w:r>
      <w:r>
        <w:t>.</w:t>
      </w:r>
    </w:p>
    <w:p w14:paraId="31213C2E" w14:textId="77777777" w:rsidR="00667297" w:rsidRPr="00BE1547" w:rsidRDefault="00667297" w:rsidP="000313DD">
      <w:pPr>
        <w:pStyle w:val="TITU2"/>
      </w:pPr>
      <w:bookmarkStart w:id="289" w:name="_Toc404116"/>
      <w:r w:rsidRPr="00BE1547">
        <w:t>212.6</w:t>
      </w:r>
      <w:r w:rsidR="001444C7">
        <w:t>.</w:t>
      </w:r>
      <w:r w:rsidRPr="00BE1547">
        <w:t xml:space="preserve"> Control de Calidad</w:t>
      </w:r>
      <w:bookmarkEnd w:id="289"/>
    </w:p>
    <w:p w14:paraId="630E84B4" w14:textId="77777777" w:rsidR="00667297" w:rsidRPr="00BE1547" w:rsidRDefault="00667297" w:rsidP="00D81C53">
      <w:pPr>
        <w:pStyle w:val="TITU3"/>
        <w:numPr>
          <w:ilvl w:val="0"/>
          <w:numId w:val="0"/>
        </w:numPr>
        <w:outlineLvl w:val="3"/>
      </w:pPr>
      <w:r w:rsidRPr="00BE1547">
        <w:t>212.6.1. Control de recepción.</w:t>
      </w:r>
    </w:p>
    <w:p w14:paraId="3F05DEFB" w14:textId="77777777" w:rsidR="00667297" w:rsidRPr="00BE1547" w:rsidRDefault="00667297" w:rsidP="009F36C5">
      <w:pPr>
        <w:pStyle w:val="TITU4"/>
        <w:numPr>
          <w:ilvl w:val="0"/>
          <w:numId w:val="0"/>
        </w:numPr>
      </w:pPr>
      <w:r w:rsidRPr="00BE1547">
        <w:t>212.6.1.1. Suministro de cisternas.</w:t>
      </w:r>
    </w:p>
    <w:p w14:paraId="5F482B1C" w14:textId="77777777" w:rsidR="005F3FC8" w:rsidRPr="00BE1547" w:rsidRDefault="00667297" w:rsidP="00667297">
      <w:pPr>
        <w:pStyle w:val="NORMAL12"/>
        <w:rPr>
          <w:lang w:val="es-ES"/>
        </w:rPr>
      </w:pPr>
      <w:r w:rsidRPr="00BE1547">
        <w:rPr>
          <w:lang w:val="es-ES"/>
        </w:rPr>
        <w:t xml:space="preserve">Para el control de recepción se llevará a cabo la verificación documental de que los valores declarados en la información que acompaña al marcado CE cumplen las especificaciones establecidas en este Pliego. </w:t>
      </w:r>
    </w:p>
    <w:p w14:paraId="6EAAA889" w14:textId="77777777" w:rsidR="005F3FC8" w:rsidRPr="00C10376" w:rsidRDefault="005F3FC8" w:rsidP="00667297">
      <w:pPr>
        <w:pStyle w:val="NORMAL12"/>
        <w:rPr>
          <w:lang w:val="es-ES"/>
        </w:rPr>
      </w:pPr>
      <w:r w:rsidRPr="00BE1547">
        <w:rPr>
          <w:lang w:val="es-ES"/>
        </w:rPr>
        <w:t xml:space="preserve">La realización de comprobaciones y </w:t>
      </w:r>
      <w:r w:rsidRPr="00C10376">
        <w:rPr>
          <w:lang w:val="es-ES"/>
        </w:rPr>
        <w:t>ensayos seguirá el esquema siguiente:</w:t>
      </w:r>
    </w:p>
    <w:p w14:paraId="24108808" w14:textId="77777777" w:rsidR="00667297" w:rsidRPr="00C10376" w:rsidRDefault="00667297" w:rsidP="00667297">
      <w:pPr>
        <w:pStyle w:val="NORMAL12"/>
        <w:rPr>
          <w:lang w:val="es-ES"/>
        </w:rPr>
      </w:pPr>
      <w:r w:rsidRPr="00C10376">
        <w:rPr>
          <w:lang w:val="es-ES"/>
        </w:rPr>
        <w:t>De cada cisterna de betún modificado con polímeros que llegue a la obra se tomarán dos (2) muestras de, al menos, un kilogramo (1 kg) (norma UNE-EN 58</w:t>
      </w:r>
      <w:r w:rsidR="009A4D0D" w:rsidRPr="00C10376">
        <w:rPr>
          <w:lang w:val="es-ES"/>
        </w:rPr>
        <w:t>:2012</w:t>
      </w:r>
      <w:r w:rsidRPr="00C10376">
        <w:rPr>
          <w:lang w:val="es-ES"/>
        </w:rPr>
        <w:t>), en el momento del trasvase del material de la cisterna al tanque de almacenamiento.</w:t>
      </w:r>
    </w:p>
    <w:p w14:paraId="293F62EA" w14:textId="77777777" w:rsidR="00667297" w:rsidRPr="00C10376" w:rsidRDefault="00667297" w:rsidP="00667297">
      <w:pPr>
        <w:pStyle w:val="NORMAL12"/>
        <w:rPr>
          <w:lang w:val="es-ES"/>
        </w:rPr>
      </w:pPr>
      <w:r w:rsidRPr="00C10376">
        <w:rPr>
          <w:lang w:val="es-ES"/>
        </w:rPr>
        <w:t>Sobre una de las muestras se realizarán los siguientes ensayos:</w:t>
      </w:r>
    </w:p>
    <w:p w14:paraId="7FC273D6" w14:textId="77777777" w:rsidR="00667297" w:rsidRPr="00C10376" w:rsidRDefault="00667297" w:rsidP="00AF2335">
      <w:pPr>
        <w:pStyle w:val="NORMAL12"/>
        <w:numPr>
          <w:ilvl w:val="0"/>
          <w:numId w:val="17"/>
        </w:numPr>
        <w:rPr>
          <w:lang w:val="es-ES"/>
        </w:rPr>
      </w:pPr>
      <w:r w:rsidRPr="00C10376">
        <w:rPr>
          <w:lang w:val="es-ES"/>
        </w:rPr>
        <w:t>Determinación de la penetración (norma UNE-EN 1426</w:t>
      </w:r>
      <w:r w:rsidR="009A4D0D" w:rsidRPr="00C10376">
        <w:rPr>
          <w:lang w:val="es-ES"/>
        </w:rPr>
        <w:t>:2015</w:t>
      </w:r>
      <w:r w:rsidRPr="00C10376">
        <w:rPr>
          <w:lang w:val="es-ES"/>
        </w:rPr>
        <w:t>).</w:t>
      </w:r>
    </w:p>
    <w:p w14:paraId="61E2C7DC" w14:textId="77777777" w:rsidR="00667297" w:rsidRPr="00C10376" w:rsidRDefault="00667297" w:rsidP="00AF2335">
      <w:pPr>
        <w:pStyle w:val="NORMAL12"/>
        <w:numPr>
          <w:ilvl w:val="0"/>
          <w:numId w:val="17"/>
        </w:numPr>
        <w:rPr>
          <w:lang w:val="es-ES"/>
        </w:rPr>
      </w:pPr>
      <w:r w:rsidRPr="00C10376">
        <w:rPr>
          <w:lang w:val="es-ES"/>
        </w:rPr>
        <w:t>Punto de reblandecimiento (norma UNE-EN 1427</w:t>
      </w:r>
      <w:r w:rsidR="009A4D0D" w:rsidRPr="00C10376">
        <w:rPr>
          <w:lang w:val="es-ES"/>
        </w:rPr>
        <w:t>:2015</w:t>
      </w:r>
      <w:r w:rsidRPr="00C10376">
        <w:rPr>
          <w:lang w:val="es-ES"/>
        </w:rPr>
        <w:t>).</w:t>
      </w:r>
    </w:p>
    <w:p w14:paraId="541A2B25" w14:textId="77777777" w:rsidR="00667297" w:rsidRPr="00C10376" w:rsidRDefault="00667297" w:rsidP="00AF2335">
      <w:pPr>
        <w:pStyle w:val="NORMAL12"/>
        <w:numPr>
          <w:ilvl w:val="0"/>
          <w:numId w:val="17"/>
        </w:numPr>
        <w:rPr>
          <w:lang w:val="es-ES"/>
        </w:rPr>
      </w:pPr>
      <w:r w:rsidRPr="00C10376">
        <w:rPr>
          <w:lang w:val="es-ES"/>
        </w:rPr>
        <w:t>Recuperación elástica (norma UNE-EN 13398</w:t>
      </w:r>
      <w:r w:rsidR="009A4D0D" w:rsidRPr="00C10376">
        <w:rPr>
          <w:lang w:val="es-ES"/>
        </w:rPr>
        <w:t>:2010</w:t>
      </w:r>
      <w:r w:rsidRPr="00C10376">
        <w:rPr>
          <w:lang w:val="es-ES"/>
        </w:rPr>
        <w:t>).</w:t>
      </w:r>
    </w:p>
    <w:p w14:paraId="0AF61DAF" w14:textId="77777777" w:rsidR="00667297" w:rsidRPr="00C10376" w:rsidRDefault="00667297" w:rsidP="00667297">
      <w:pPr>
        <w:pStyle w:val="NORMAL12"/>
        <w:rPr>
          <w:lang w:val="es-ES"/>
        </w:rPr>
      </w:pPr>
      <w:r w:rsidRPr="00C10376">
        <w:rPr>
          <w:lang w:val="es-ES"/>
        </w:rPr>
        <w:t>En el caso de betunes modificados con polímeros fabricados en el lugar de empleo, se tomarán dos (2) muestras cada cincuenta toneladas (50 t) de producto fabricado y al menos dos (2) cada jornada de trabajo de las tuberías de salida de la instalación de fabricación del ligante, realizando los siguientes ensayos sobre una de ellas:</w:t>
      </w:r>
    </w:p>
    <w:p w14:paraId="1EDD83FD" w14:textId="77777777" w:rsidR="00667297" w:rsidRPr="00C10376" w:rsidRDefault="00667297" w:rsidP="00AF2335">
      <w:pPr>
        <w:pStyle w:val="NORMAL12"/>
        <w:numPr>
          <w:ilvl w:val="0"/>
          <w:numId w:val="16"/>
        </w:numPr>
        <w:rPr>
          <w:lang w:val="es-ES"/>
        </w:rPr>
      </w:pPr>
      <w:r w:rsidRPr="00C10376">
        <w:rPr>
          <w:lang w:val="es-ES"/>
        </w:rPr>
        <w:t>Determinación de la penetración (norma UNE-EN 1426</w:t>
      </w:r>
      <w:r w:rsidR="009A4D0D" w:rsidRPr="00C10376">
        <w:rPr>
          <w:lang w:val="es-ES"/>
        </w:rPr>
        <w:t>:2015</w:t>
      </w:r>
      <w:r w:rsidRPr="00C10376">
        <w:rPr>
          <w:lang w:val="es-ES"/>
        </w:rPr>
        <w:t>).</w:t>
      </w:r>
    </w:p>
    <w:p w14:paraId="331D4A57" w14:textId="77777777" w:rsidR="00667297" w:rsidRPr="00C10376" w:rsidRDefault="00667297" w:rsidP="00AF2335">
      <w:pPr>
        <w:pStyle w:val="NORMAL12"/>
        <w:numPr>
          <w:ilvl w:val="0"/>
          <w:numId w:val="16"/>
        </w:numPr>
        <w:rPr>
          <w:lang w:val="es-ES"/>
        </w:rPr>
      </w:pPr>
      <w:r w:rsidRPr="00C10376">
        <w:rPr>
          <w:lang w:val="es-ES"/>
        </w:rPr>
        <w:t>Punto de reblandecimiento (norma UNE-EN 1427</w:t>
      </w:r>
      <w:r w:rsidR="009A4D0D" w:rsidRPr="00C10376">
        <w:rPr>
          <w:lang w:val="es-ES"/>
        </w:rPr>
        <w:t>:2015</w:t>
      </w:r>
      <w:r w:rsidRPr="00C10376">
        <w:rPr>
          <w:lang w:val="es-ES"/>
        </w:rPr>
        <w:t>).</w:t>
      </w:r>
    </w:p>
    <w:p w14:paraId="05B9C5C0" w14:textId="77777777" w:rsidR="00667297" w:rsidRPr="00C10376" w:rsidRDefault="00667297" w:rsidP="00AF2335">
      <w:pPr>
        <w:pStyle w:val="NORMAL12"/>
        <w:numPr>
          <w:ilvl w:val="0"/>
          <w:numId w:val="16"/>
        </w:numPr>
        <w:rPr>
          <w:lang w:val="es-ES"/>
        </w:rPr>
      </w:pPr>
      <w:r w:rsidRPr="00C10376">
        <w:rPr>
          <w:lang w:val="es-ES"/>
        </w:rPr>
        <w:t>Recuperación elástica (norma UNE-EN 13398</w:t>
      </w:r>
      <w:r w:rsidR="009A4D0D" w:rsidRPr="00C10376">
        <w:rPr>
          <w:lang w:val="es-ES"/>
        </w:rPr>
        <w:t>:2010</w:t>
      </w:r>
      <w:r w:rsidRPr="00C10376">
        <w:rPr>
          <w:lang w:val="es-ES"/>
        </w:rPr>
        <w:t>).</w:t>
      </w:r>
    </w:p>
    <w:p w14:paraId="42E3F792" w14:textId="77777777" w:rsidR="00667297" w:rsidRPr="00C10376" w:rsidRDefault="00667297" w:rsidP="00D81C53">
      <w:pPr>
        <w:pStyle w:val="TITU3"/>
        <w:numPr>
          <w:ilvl w:val="0"/>
          <w:numId w:val="0"/>
        </w:numPr>
        <w:outlineLvl w:val="3"/>
      </w:pPr>
      <w:r w:rsidRPr="00C10376">
        <w:t>212.6.2. Control a la entrada del mezclador</w:t>
      </w:r>
    </w:p>
    <w:p w14:paraId="3E9D64F2" w14:textId="77777777" w:rsidR="00667297" w:rsidRPr="00C10376" w:rsidRDefault="00667297" w:rsidP="00667297">
      <w:pPr>
        <w:pStyle w:val="NORMAL12"/>
        <w:rPr>
          <w:lang w:val="es-ES"/>
        </w:rPr>
      </w:pPr>
      <w:r w:rsidRPr="00C10376">
        <w:rPr>
          <w:lang w:val="es-ES"/>
        </w:rPr>
        <w:t xml:space="preserve">Se considerará como lote, que se aceptará o rechazará en bloque, a la cantidad de trescientas toneladas (300 t) de betún modificado con polímeros. </w:t>
      </w:r>
    </w:p>
    <w:p w14:paraId="373667A3" w14:textId="77777777" w:rsidR="00667297" w:rsidRPr="00C10376" w:rsidRDefault="00667297" w:rsidP="00667297">
      <w:pPr>
        <w:pStyle w:val="NORMAL12"/>
        <w:rPr>
          <w:lang w:val="es-ES"/>
        </w:rPr>
      </w:pPr>
      <w:r w:rsidRPr="00C10376">
        <w:rPr>
          <w:lang w:val="es-ES"/>
        </w:rPr>
        <w:t>De cada lote se tomarán dos (2) muestras de, al menos, un kilogramo (1 kg) (norma UNE-EN 58</w:t>
      </w:r>
      <w:r w:rsidR="009A4D0D" w:rsidRPr="00C10376">
        <w:rPr>
          <w:lang w:val="es-ES"/>
        </w:rPr>
        <w:t>:2012</w:t>
      </w:r>
      <w:r w:rsidRPr="00C10376">
        <w:rPr>
          <w:lang w:val="es-ES"/>
        </w:rPr>
        <w:t>), en algún punto situado entre la salida del tanque de almacenamiento y la entrada del mezclador.</w:t>
      </w:r>
    </w:p>
    <w:p w14:paraId="3D32BC3F" w14:textId="77777777" w:rsidR="00667297" w:rsidRPr="00C10376" w:rsidRDefault="00667297" w:rsidP="00667297">
      <w:pPr>
        <w:pStyle w:val="NORMAL12"/>
        <w:rPr>
          <w:lang w:val="es-ES"/>
        </w:rPr>
      </w:pPr>
      <w:r w:rsidRPr="00C10376">
        <w:rPr>
          <w:lang w:val="es-ES"/>
        </w:rPr>
        <w:t>Sobre una de las muestras se realizarán los siguientes ensayos:</w:t>
      </w:r>
    </w:p>
    <w:p w14:paraId="5E6C832B" w14:textId="77777777" w:rsidR="00667297" w:rsidRPr="00C10376" w:rsidRDefault="00667297" w:rsidP="00AF2335">
      <w:pPr>
        <w:pStyle w:val="NORMAL12"/>
        <w:numPr>
          <w:ilvl w:val="0"/>
          <w:numId w:val="16"/>
        </w:numPr>
        <w:rPr>
          <w:lang w:val="es-ES"/>
        </w:rPr>
      </w:pPr>
      <w:r w:rsidRPr="00C10376">
        <w:rPr>
          <w:lang w:val="es-ES"/>
        </w:rPr>
        <w:t>Determinación de la penetración (norma UNE-EN 1426</w:t>
      </w:r>
      <w:r w:rsidR="009A4D0D" w:rsidRPr="00C10376">
        <w:rPr>
          <w:lang w:val="es-ES"/>
        </w:rPr>
        <w:t>:2015</w:t>
      </w:r>
      <w:r w:rsidRPr="00C10376">
        <w:rPr>
          <w:lang w:val="es-ES"/>
        </w:rPr>
        <w:t>).</w:t>
      </w:r>
    </w:p>
    <w:p w14:paraId="03F0F100" w14:textId="77777777" w:rsidR="00667297" w:rsidRPr="00C10376" w:rsidRDefault="00667297" w:rsidP="00AF2335">
      <w:pPr>
        <w:pStyle w:val="NORMAL12"/>
        <w:numPr>
          <w:ilvl w:val="0"/>
          <w:numId w:val="16"/>
        </w:numPr>
        <w:rPr>
          <w:lang w:val="es-ES"/>
        </w:rPr>
      </w:pPr>
      <w:r w:rsidRPr="00C10376">
        <w:rPr>
          <w:lang w:val="es-ES"/>
        </w:rPr>
        <w:t>Punto de reblandecimiento (norma UNE-EN 1427</w:t>
      </w:r>
      <w:r w:rsidR="009A4D0D" w:rsidRPr="00C10376">
        <w:rPr>
          <w:lang w:val="es-ES"/>
        </w:rPr>
        <w:t>:2015</w:t>
      </w:r>
      <w:r w:rsidRPr="00C10376">
        <w:rPr>
          <w:lang w:val="es-ES"/>
        </w:rPr>
        <w:t>).</w:t>
      </w:r>
    </w:p>
    <w:p w14:paraId="4D5A4173" w14:textId="77777777" w:rsidR="00667297" w:rsidRPr="00C10376" w:rsidRDefault="005F3FC8" w:rsidP="00AF2335">
      <w:pPr>
        <w:pStyle w:val="NORMAL12"/>
        <w:numPr>
          <w:ilvl w:val="0"/>
          <w:numId w:val="16"/>
        </w:numPr>
        <w:rPr>
          <w:lang w:val="es-ES"/>
        </w:rPr>
      </w:pPr>
      <w:r w:rsidRPr="00C10376">
        <w:rPr>
          <w:lang w:val="es-ES"/>
        </w:rPr>
        <w:t>E</w:t>
      </w:r>
      <w:r w:rsidR="00667297" w:rsidRPr="00C10376">
        <w:rPr>
          <w:lang w:val="es-ES"/>
        </w:rPr>
        <w:t>nsayos de recuperación elástica (norma UNE-EN 13398</w:t>
      </w:r>
      <w:r w:rsidR="009A4D0D" w:rsidRPr="00C10376">
        <w:rPr>
          <w:lang w:val="es-ES"/>
        </w:rPr>
        <w:t>:2010</w:t>
      </w:r>
      <w:r w:rsidR="00667297" w:rsidRPr="00C10376">
        <w:rPr>
          <w:lang w:val="es-ES"/>
        </w:rPr>
        <w:t>).</w:t>
      </w:r>
    </w:p>
    <w:p w14:paraId="1A8DB850" w14:textId="77777777" w:rsidR="00667297" w:rsidRPr="00C10376" w:rsidRDefault="00667297" w:rsidP="00D81C53">
      <w:pPr>
        <w:pStyle w:val="TITU3"/>
        <w:numPr>
          <w:ilvl w:val="0"/>
          <w:numId w:val="0"/>
        </w:numPr>
        <w:outlineLvl w:val="3"/>
      </w:pPr>
      <w:bookmarkStart w:id="290" w:name="_Toc522014282"/>
      <w:bookmarkStart w:id="291" w:name="_Toc522014642"/>
      <w:bookmarkStart w:id="292" w:name="_Toc522015486"/>
      <w:bookmarkStart w:id="293" w:name="_Toc522018656"/>
      <w:r w:rsidRPr="00C10376">
        <w:t>21</w:t>
      </w:r>
      <w:r w:rsidR="00343C26" w:rsidRPr="00C10376">
        <w:t>2</w:t>
      </w:r>
      <w:r w:rsidRPr="00C10376">
        <w:t>.6.3. Control adicional</w:t>
      </w:r>
      <w:bookmarkEnd w:id="290"/>
      <w:bookmarkEnd w:id="291"/>
      <w:bookmarkEnd w:id="292"/>
      <w:bookmarkEnd w:id="293"/>
    </w:p>
    <w:p w14:paraId="49E49F3E" w14:textId="77777777" w:rsidR="00667297" w:rsidRPr="00C10376" w:rsidRDefault="005F3FC8" w:rsidP="00667297">
      <w:pPr>
        <w:pStyle w:val="NORMAL12"/>
        <w:rPr>
          <w:lang w:val="es-ES"/>
        </w:rPr>
      </w:pPr>
      <w:r w:rsidRPr="00C10376">
        <w:rPr>
          <w:lang w:val="es-ES"/>
        </w:rPr>
        <w:t>Se llevará a cabo un control adicional de compro</w:t>
      </w:r>
      <w:r w:rsidR="00667297" w:rsidRPr="00C10376">
        <w:rPr>
          <w:lang w:val="es-ES"/>
        </w:rPr>
        <w:t xml:space="preserve">bación de las características </w:t>
      </w:r>
      <w:r w:rsidR="00EA0DCF" w:rsidRPr="00C10376">
        <w:rPr>
          <w:lang w:val="es-ES"/>
        </w:rPr>
        <w:t>particulares de cada betún especificadas en el PG3</w:t>
      </w:r>
      <w:r w:rsidR="00667297" w:rsidRPr="00C10376">
        <w:rPr>
          <w:lang w:val="es-ES"/>
        </w:rPr>
        <w:t>, con una frecuencia recomendada de una (1) vez cada mes y como mínimo tres</w:t>
      </w:r>
      <w:r w:rsidRPr="00C10376">
        <w:rPr>
          <w:lang w:val="es-ES"/>
        </w:rPr>
        <w:t xml:space="preserve"> </w:t>
      </w:r>
      <w:r w:rsidR="00667297" w:rsidRPr="00C10376">
        <w:rPr>
          <w:lang w:val="es-ES"/>
        </w:rPr>
        <w:t>(3) veces durante la ejecución de la obra, por cada tipo y composición de betún modificado con polímeros.</w:t>
      </w:r>
    </w:p>
    <w:p w14:paraId="62BDE09E" w14:textId="77777777" w:rsidR="00667297" w:rsidRPr="00C10376" w:rsidRDefault="00667297" w:rsidP="000313DD">
      <w:pPr>
        <w:pStyle w:val="TITU2"/>
      </w:pPr>
      <w:bookmarkStart w:id="294" w:name="_Toc404117"/>
      <w:r w:rsidRPr="00C10376">
        <w:t>212.7. Criterios de aceptación o rechazo</w:t>
      </w:r>
      <w:bookmarkEnd w:id="294"/>
    </w:p>
    <w:p w14:paraId="295EF819" w14:textId="77777777" w:rsidR="00283347" w:rsidRPr="00C10376" w:rsidRDefault="00283347" w:rsidP="00667297">
      <w:pPr>
        <w:pStyle w:val="NORMAL12"/>
        <w:rPr>
          <w:lang w:val="es-ES"/>
        </w:rPr>
      </w:pPr>
      <w:r w:rsidRPr="00C10376">
        <w:rPr>
          <w:lang w:val="es-ES"/>
        </w:rPr>
        <w:t>En el caso de que el betún modificado</w:t>
      </w:r>
      <w:r w:rsidR="00BE1547" w:rsidRPr="00C10376">
        <w:rPr>
          <w:lang w:val="es-ES"/>
        </w:rPr>
        <w:t xml:space="preserve"> PMB 45/80-65</w:t>
      </w:r>
      <w:r w:rsidRPr="00C10376">
        <w:rPr>
          <w:lang w:val="es-ES"/>
        </w:rPr>
        <w:t xml:space="preserve"> con polímeros </w:t>
      </w:r>
      <w:r w:rsidR="00BE1547" w:rsidRPr="00C10376">
        <w:rPr>
          <w:lang w:val="es-ES"/>
        </w:rPr>
        <w:t xml:space="preserve">debe cumplir las siguientes condiciones: </w:t>
      </w:r>
    </w:p>
    <w:p w14:paraId="3B60A3BC" w14:textId="77777777" w:rsidR="00BE1547" w:rsidRPr="00C10376" w:rsidRDefault="00BE1547" w:rsidP="00221E1A">
      <w:pPr>
        <w:pStyle w:val="NORMAL12"/>
        <w:numPr>
          <w:ilvl w:val="0"/>
          <w:numId w:val="135"/>
        </w:numPr>
        <w:rPr>
          <w:lang w:val="es-ES"/>
        </w:rPr>
      </w:pPr>
      <w:r w:rsidRPr="00C10376">
        <w:rPr>
          <w:lang w:val="es-ES"/>
        </w:rPr>
        <w:t>Penetración a 25ºC según UNE</w:t>
      </w:r>
      <w:r w:rsidR="009A4D0D" w:rsidRPr="00C10376">
        <w:rPr>
          <w:lang w:val="es-ES"/>
        </w:rPr>
        <w:t>-EN</w:t>
      </w:r>
      <w:r w:rsidRPr="00C10376">
        <w:rPr>
          <w:lang w:val="es-ES"/>
        </w:rPr>
        <w:t xml:space="preserve"> 1426</w:t>
      </w:r>
      <w:r w:rsidR="009A4D0D" w:rsidRPr="00C10376">
        <w:rPr>
          <w:lang w:val="es-ES"/>
        </w:rPr>
        <w:t>:2015</w:t>
      </w:r>
      <w:r w:rsidRPr="00C10376">
        <w:rPr>
          <w:lang w:val="es-ES"/>
        </w:rPr>
        <w:t xml:space="preserve"> es de 45-80 m </w:t>
      </w:r>
    </w:p>
    <w:p w14:paraId="0576362C" w14:textId="77777777" w:rsidR="00BE1547" w:rsidRPr="00C10376" w:rsidRDefault="00BE1547" w:rsidP="00221E1A">
      <w:pPr>
        <w:pStyle w:val="NORMAL12"/>
        <w:numPr>
          <w:ilvl w:val="0"/>
          <w:numId w:val="135"/>
        </w:numPr>
        <w:rPr>
          <w:lang w:val="es-ES"/>
        </w:rPr>
      </w:pPr>
      <w:r w:rsidRPr="00C10376">
        <w:rPr>
          <w:lang w:val="es-ES"/>
        </w:rPr>
        <w:t>Punto de reblandecimiento según UNE</w:t>
      </w:r>
      <w:r w:rsidR="009A4D0D" w:rsidRPr="00C10376">
        <w:rPr>
          <w:lang w:val="es-ES"/>
        </w:rPr>
        <w:t>-EN</w:t>
      </w:r>
      <w:r w:rsidRPr="00C10376">
        <w:rPr>
          <w:lang w:val="es-ES"/>
        </w:rPr>
        <w:t xml:space="preserve"> 1427</w:t>
      </w:r>
      <w:r w:rsidR="009A4D0D" w:rsidRPr="00C10376">
        <w:rPr>
          <w:lang w:val="es-ES"/>
        </w:rPr>
        <w:t>:2015</w:t>
      </w:r>
      <w:r w:rsidRPr="00C10376">
        <w:rPr>
          <w:lang w:val="es-ES"/>
        </w:rPr>
        <w:t xml:space="preserve"> de mayor o igual a sesenta y cinco (65) </w:t>
      </w:r>
      <w:proofErr w:type="spellStart"/>
      <w:r w:rsidRPr="00C10376">
        <w:rPr>
          <w:lang w:val="es-ES"/>
        </w:rPr>
        <w:t>ºC</w:t>
      </w:r>
      <w:proofErr w:type="spellEnd"/>
    </w:p>
    <w:p w14:paraId="2308E56B" w14:textId="77777777" w:rsidR="00BE1547" w:rsidRPr="00C10376" w:rsidRDefault="00BE1547" w:rsidP="00221E1A">
      <w:pPr>
        <w:pStyle w:val="NORMAL12"/>
        <w:numPr>
          <w:ilvl w:val="0"/>
          <w:numId w:val="135"/>
        </w:numPr>
        <w:rPr>
          <w:lang w:val="es-ES"/>
        </w:rPr>
      </w:pPr>
      <w:r w:rsidRPr="00C10376">
        <w:rPr>
          <w:lang w:val="es-ES"/>
        </w:rPr>
        <w:t>Cambio de masa según UNE</w:t>
      </w:r>
      <w:r w:rsidR="009A4D0D" w:rsidRPr="00C10376">
        <w:rPr>
          <w:lang w:val="es-ES"/>
        </w:rPr>
        <w:t>-EN</w:t>
      </w:r>
      <w:r w:rsidRPr="00C10376">
        <w:rPr>
          <w:lang w:val="es-ES"/>
        </w:rPr>
        <w:t xml:space="preserve"> 12607-1</w:t>
      </w:r>
      <w:r w:rsidR="009A4D0D" w:rsidRPr="00C10376">
        <w:rPr>
          <w:lang w:val="es-ES"/>
        </w:rPr>
        <w:t>:2015</w:t>
      </w:r>
      <w:r w:rsidRPr="00C10376">
        <w:rPr>
          <w:lang w:val="es-ES"/>
        </w:rPr>
        <w:t xml:space="preserve"> menor o igual a uno (1) %</w:t>
      </w:r>
    </w:p>
    <w:p w14:paraId="2755EC86" w14:textId="77777777" w:rsidR="00BE1547" w:rsidRPr="00C10376" w:rsidRDefault="00BE1547" w:rsidP="00221E1A">
      <w:pPr>
        <w:pStyle w:val="NORMAL12"/>
        <w:numPr>
          <w:ilvl w:val="0"/>
          <w:numId w:val="135"/>
        </w:numPr>
        <w:rPr>
          <w:lang w:val="es-ES"/>
        </w:rPr>
      </w:pPr>
      <w:r w:rsidRPr="00C10376">
        <w:rPr>
          <w:lang w:val="es-ES"/>
        </w:rPr>
        <w:t>Penetración retenida según UNE</w:t>
      </w:r>
      <w:r w:rsidR="009A4D0D" w:rsidRPr="00C10376">
        <w:rPr>
          <w:lang w:val="es-ES"/>
        </w:rPr>
        <w:t>-EN</w:t>
      </w:r>
      <w:r w:rsidRPr="00C10376">
        <w:rPr>
          <w:lang w:val="es-ES"/>
        </w:rPr>
        <w:t xml:space="preserve"> 1426</w:t>
      </w:r>
      <w:r w:rsidR="009A4D0D" w:rsidRPr="00C10376">
        <w:rPr>
          <w:lang w:val="es-ES"/>
        </w:rPr>
        <w:t>:2015</w:t>
      </w:r>
      <w:r w:rsidRPr="00C10376">
        <w:rPr>
          <w:lang w:val="es-ES"/>
        </w:rPr>
        <w:t xml:space="preserve"> mayor o igual </w:t>
      </w:r>
      <w:r w:rsidR="0062057D" w:rsidRPr="00C10376">
        <w:rPr>
          <w:lang w:val="es-ES"/>
        </w:rPr>
        <w:t>sesenta</w:t>
      </w:r>
      <w:r w:rsidRPr="00C10376">
        <w:rPr>
          <w:lang w:val="es-ES"/>
        </w:rPr>
        <w:t xml:space="preserve"> (</w:t>
      </w:r>
      <w:proofErr w:type="gramStart"/>
      <w:r w:rsidR="0062057D" w:rsidRPr="00C10376">
        <w:rPr>
          <w:lang w:val="es-ES"/>
        </w:rPr>
        <w:t>60</w:t>
      </w:r>
      <w:r w:rsidRPr="00C10376">
        <w:rPr>
          <w:lang w:val="es-ES"/>
        </w:rPr>
        <w:t>)%</w:t>
      </w:r>
      <w:proofErr w:type="gramEnd"/>
    </w:p>
    <w:p w14:paraId="265FA26E" w14:textId="77777777" w:rsidR="00BE1547" w:rsidRPr="00C10376" w:rsidRDefault="00BE1547" w:rsidP="00221E1A">
      <w:pPr>
        <w:pStyle w:val="NORMAL12"/>
        <w:numPr>
          <w:ilvl w:val="0"/>
          <w:numId w:val="135"/>
        </w:numPr>
        <w:rPr>
          <w:lang w:val="es-ES"/>
        </w:rPr>
      </w:pPr>
      <w:r w:rsidRPr="00C10376">
        <w:rPr>
          <w:lang w:val="es-ES"/>
        </w:rPr>
        <w:t>Incremento del punto de reblandecimiento según UNE</w:t>
      </w:r>
      <w:r w:rsidR="009A4D0D" w:rsidRPr="00C10376">
        <w:rPr>
          <w:lang w:val="es-ES"/>
        </w:rPr>
        <w:t>-EN</w:t>
      </w:r>
      <w:r w:rsidRPr="00C10376">
        <w:rPr>
          <w:lang w:val="es-ES"/>
        </w:rPr>
        <w:t xml:space="preserve"> 1427</w:t>
      </w:r>
      <w:r w:rsidR="009A4D0D" w:rsidRPr="00C10376">
        <w:rPr>
          <w:lang w:val="es-ES"/>
        </w:rPr>
        <w:t>:2015</w:t>
      </w:r>
      <w:r w:rsidRPr="00C10376">
        <w:rPr>
          <w:lang w:val="es-ES"/>
        </w:rPr>
        <w:t xml:space="preserve"> menor o igual a </w:t>
      </w:r>
      <w:r w:rsidR="0062057D" w:rsidRPr="00C10376">
        <w:rPr>
          <w:lang w:val="es-ES"/>
        </w:rPr>
        <w:t>diez</w:t>
      </w:r>
      <w:r w:rsidRPr="00C10376">
        <w:rPr>
          <w:lang w:val="es-ES"/>
        </w:rPr>
        <w:t xml:space="preserve"> (1</w:t>
      </w:r>
      <w:r w:rsidR="0062057D" w:rsidRPr="00C10376">
        <w:rPr>
          <w:lang w:val="es-ES"/>
        </w:rPr>
        <w:t>0</w:t>
      </w:r>
      <w:r w:rsidRPr="00C10376">
        <w:rPr>
          <w:lang w:val="es-ES"/>
        </w:rPr>
        <w:t xml:space="preserve">) </w:t>
      </w:r>
      <w:proofErr w:type="spellStart"/>
      <w:r w:rsidRPr="00C10376">
        <w:rPr>
          <w:lang w:val="es-ES"/>
        </w:rPr>
        <w:t>ºC</w:t>
      </w:r>
      <w:proofErr w:type="spellEnd"/>
    </w:p>
    <w:p w14:paraId="3DE70FF5" w14:textId="77777777" w:rsidR="00BE1547" w:rsidRPr="00C10376" w:rsidRDefault="00BE1547" w:rsidP="00221E1A">
      <w:pPr>
        <w:pStyle w:val="NORMAL12"/>
        <w:numPr>
          <w:ilvl w:val="0"/>
          <w:numId w:val="135"/>
        </w:numPr>
        <w:rPr>
          <w:lang w:val="es-ES"/>
        </w:rPr>
      </w:pPr>
      <w:r w:rsidRPr="00C10376">
        <w:rPr>
          <w:lang w:val="es-ES"/>
        </w:rPr>
        <w:t xml:space="preserve">Punto de fragilidad de </w:t>
      </w:r>
      <w:proofErr w:type="spellStart"/>
      <w:r w:rsidRPr="00C10376">
        <w:rPr>
          <w:lang w:val="es-ES"/>
        </w:rPr>
        <w:t>Fraass</w:t>
      </w:r>
      <w:proofErr w:type="spellEnd"/>
      <w:r w:rsidRPr="00C10376">
        <w:rPr>
          <w:lang w:val="es-ES"/>
        </w:rPr>
        <w:t xml:space="preserve"> según UNE</w:t>
      </w:r>
      <w:r w:rsidR="009A4D0D" w:rsidRPr="00C10376">
        <w:rPr>
          <w:lang w:val="es-ES"/>
        </w:rPr>
        <w:t>-EN</w:t>
      </w:r>
      <w:r w:rsidRPr="00C10376">
        <w:rPr>
          <w:lang w:val="es-ES"/>
        </w:rPr>
        <w:t xml:space="preserve"> 12593</w:t>
      </w:r>
      <w:r w:rsidR="009A4D0D" w:rsidRPr="00C10376">
        <w:rPr>
          <w:lang w:val="es-ES"/>
        </w:rPr>
        <w:t>:2015</w:t>
      </w:r>
      <w:r w:rsidRPr="00C10376">
        <w:rPr>
          <w:lang w:val="es-ES"/>
        </w:rPr>
        <w:t xml:space="preserve"> menor o igual a menos quince (-15) </w:t>
      </w:r>
      <w:proofErr w:type="spellStart"/>
      <w:r w:rsidRPr="00C10376">
        <w:rPr>
          <w:lang w:val="es-ES"/>
        </w:rPr>
        <w:t>ºC</w:t>
      </w:r>
      <w:proofErr w:type="spellEnd"/>
    </w:p>
    <w:p w14:paraId="645BF41B" w14:textId="77777777" w:rsidR="00BE1547" w:rsidRPr="00C10376" w:rsidRDefault="00BE1547" w:rsidP="00221E1A">
      <w:pPr>
        <w:pStyle w:val="NORMAL12"/>
        <w:numPr>
          <w:ilvl w:val="0"/>
          <w:numId w:val="135"/>
        </w:numPr>
        <w:rPr>
          <w:lang w:val="es-ES"/>
        </w:rPr>
      </w:pPr>
      <w:r>
        <w:rPr>
          <w:lang w:val="es-ES"/>
        </w:rPr>
        <w:lastRenderedPageBreak/>
        <w:t xml:space="preserve">Punto de </w:t>
      </w:r>
      <w:r w:rsidRPr="00C10376">
        <w:rPr>
          <w:lang w:val="es-ES"/>
        </w:rPr>
        <w:t>inflamación en vaso abierto según</w:t>
      </w:r>
      <w:r w:rsidR="009A4D0D" w:rsidRPr="00C10376">
        <w:rPr>
          <w:lang w:val="es-ES"/>
        </w:rPr>
        <w:t xml:space="preserve"> UNE-EN</w:t>
      </w:r>
      <w:r w:rsidRPr="00C10376">
        <w:rPr>
          <w:lang w:val="es-ES"/>
        </w:rPr>
        <w:t xml:space="preserve"> ISO 2592</w:t>
      </w:r>
      <w:r w:rsidR="009A4D0D" w:rsidRPr="00C10376">
        <w:rPr>
          <w:lang w:val="es-ES"/>
        </w:rPr>
        <w:t>:2002</w:t>
      </w:r>
      <w:r w:rsidRPr="00C10376">
        <w:rPr>
          <w:lang w:val="es-ES"/>
        </w:rPr>
        <w:t xml:space="preserve"> mayor o igual a doscientos treinta y cinco (235) </w:t>
      </w:r>
      <w:proofErr w:type="spellStart"/>
      <w:r w:rsidRPr="00C10376">
        <w:rPr>
          <w:lang w:val="es-ES"/>
        </w:rPr>
        <w:t>ºC</w:t>
      </w:r>
      <w:proofErr w:type="spellEnd"/>
    </w:p>
    <w:p w14:paraId="36B0A24D" w14:textId="77777777" w:rsidR="00667297" w:rsidRPr="00C10376" w:rsidRDefault="00667297" w:rsidP="000313DD">
      <w:pPr>
        <w:pStyle w:val="TITU2"/>
      </w:pPr>
      <w:bookmarkStart w:id="295" w:name="_Toc404118"/>
      <w:r w:rsidRPr="00C10376">
        <w:t>212.8. Medición y abono</w:t>
      </w:r>
      <w:bookmarkEnd w:id="295"/>
    </w:p>
    <w:p w14:paraId="314F2C6E" w14:textId="77777777" w:rsidR="00DB31F3" w:rsidRPr="007E3BC9" w:rsidRDefault="00DB31F3" w:rsidP="00DB31F3">
      <w:pPr>
        <w:pStyle w:val="NORMAL12"/>
        <w:rPr>
          <w:lang w:val="es-ES"/>
        </w:rPr>
      </w:pPr>
      <w:r w:rsidRPr="00436CEB">
        <w:rPr>
          <w:lang w:val="es-ES"/>
        </w:rPr>
        <w:t>La medición y abono del betún</w:t>
      </w:r>
      <w:r>
        <w:rPr>
          <w:lang w:val="es-ES"/>
        </w:rPr>
        <w:t xml:space="preserve"> modificado con polímeros</w:t>
      </w:r>
      <w:r w:rsidRPr="00436CEB">
        <w:rPr>
          <w:lang w:val="es-ES"/>
        </w:rPr>
        <w:t xml:space="preserve"> se realizará </w:t>
      </w:r>
      <w:r>
        <w:rPr>
          <w:lang w:val="es-ES"/>
        </w:rPr>
        <w:t xml:space="preserve">conjuntamente </w:t>
      </w:r>
      <w:r w:rsidRPr="00436CEB">
        <w:rPr>
          <w:lang w:val="es-ES"/>
        </w:rPr>
        <w:t>según lo indicado en el Pliego de Prescripciones Técnicas Particulares para la unidad de obra de la que forme parte</w:t>
      </w:r>
      <w:r w:rsidR="00D86D43">
        <w:rPr>
          <w:lang w:val="es-ES"/>
        </w:rPr>
        <w:t>, en especial según</w:t>
      </w:r>
      <w:r w:rsidR="00ED4B37">
        <w:rPr>
          <w:lang w:val="es-ES"/>
        </w:rPr>
        <w:t xml:space="preserve"> los artículos 542 y 543 del presente pliego.</w:t>
      </w:r>
      <w:r>
        <w:rPr>
          <w:lang w:val="es-ES"/>
        </w:rPr>
        <w:t xml:space="preserve"> No </w:t>
      </w:r>
      <w:proofErr w:type="gramStart"/>
      <w:r>
        <w:rPr>
          <w:lang w:val="es-ES"/>
        </w:rPr>
        <w:t>obstante</w:t>
      </w:r>
      <w:proofErr w:type="gramEnd"/>
      <w:r>
        <w:rPr>
          <w:lang w:val="es-ES"/>
        </w:rPr>
        <w:t xml:space="preserve"> la medición y abono de la unidad de betún modificado se realizará según las prescripciones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75"/>
        <w:gridCol w:w="7845"/>
      </w:tblGrid>
      <w:tr w:rsidR="00FA58A8" w:rsidRPr="00FA58A8" w14:paraId="6A4B419E" w14:textId="77777777" w:rsidTr="00B0401C">
        <w:tc>
          <w:tcPr>
            <w:tcW w:w="0" w:type="auto"/>
            <w:vAlign w:val="center"/>
          </w:tcPr>
          <w:p w14:paraId="4568443D" w14:textId="77777777" w:rsidR="00FA58A8" w:rsidRPr="00FA58A8" w:rsidRDefault="00FA58A8" w:rsidP="00E50149">
            <w:pPr>
              <w:pStyle w:val="Tabla"/>
              <w:rPr>
                <w:b/>
                <w:bCs/>
              </w:rPr>
            </w:pPr>
            <w:r w:rsidRPr="00FA58A8">
              <w:rPr>
                <w:b/>
              </w:rPr>
              <w:t>Unidad de Medida</w:t>
            </w:r>
          </w:p>
        </w:tc>
        <w:tc>
          <w:tcPr>
            <w:tcW w:w="0" w:type="auto"/>
            <w:vAlign w:val="center"/>
          </w:tcPr>
          <w:p w14:paraId="4C0EAE8D" w14:textId="77777777" w:rsidR="00FA58A8" w:rsidRPr="00FA58A8" w:rsidRDefault="00FA58A8" w:rsidP="00FA58A8">
            <w:pPr>
              <w:pStyle w:val="LCATabla"/>
              <w:keepLines/>
            </w:pPr>
            <w:r w:rsidRPr="00FA58A8">
              <w:rPr>
                <w:rFonts w:ascii="Arial" w:hAnsi="Arial" w:cs="Arial"/>
                <w:sz w:val="20"/>
              </w:rPr>
              <w:t>Tonelada (t)</w:t>
            </w:r>
          </w:p>
        </w:tc>
      </w:tr>
      <w:tr w:rsidR="00FA58A8" w:rsidRPr="00FA58A8" w14:paraId="310AEDBA" w14:textId="77777777" w:rsidTr="00B0401C">
        <w:tc>
          <w:tcPr>
            <w:tcW w:w="0" w:type="auto"/>
            <w:vAlign w:val="center"/>
          </w:tcPr>
          <w:p w14:paraId="642147E7" w14:textId="77777777" w:rsidR="00FA58A8" w:rsidRPr="00FA58A8" w:rsidRDefault="00FA58A8" w:rsidP="00E50149">
            <w:pPr>
              <w:pStyle w:val="Tabla"/>
              <w:rPr>
                <w:b/>
                <w:bCs/>
              </w:rPr>
            </w:pPr>
            <w:r w:rsidRPr="00FA58A8">
              <w:rPr>
                <w:b/>
              </w:rPr>
              <w:t>Grado de precisión</w:t>
            </w:r>
          </w:p>
        </w:tc>
        <w:tc>
          <w:tcPr>
            <w:tcW w:w="0" w:type="auto"/>
            <w:vAlign w:val="center"/>
          </w:tcPr>
          <w:p w14:paraId="6BD04C45" w14:textId="77777777" w:rsidR="00FA58A8" w:rsidRPr="00FA58A8" w:rsidRDefault="00FA58A8" w:rsidP="00B0401C">
            <w:pPr>
              <w:pStyle w:val="LCATabla"/>
              <w:keepLines/>
            </w:pPr>
            <w:r w:rsidRPr="00FA58A8">
              <w:rPr>
                <w:rFonts w:ascii="Arial" w:hAnsi="Arial" w:cs="Arial"/>
                <w:sz w:val="20"/>
              </w:rPr>
              <w:t>Dos (2) decimales</w:t>
            </w:r>
          </w:p>
        </w:tc>
      </w:tr>
      <w:tr w:rsidR="00FA58A8" w:rsidRPr="00FA58A8" w14:paraId="11881ED6" w14:textId="77777777" w:rsidTr="00B0401C">
        <w:tc>
          <w:tcPr>
            <w:tcW w:w="0" w:type="auto"/>
            <w:vAlign w:val="center"/>
          </w:tcPr>
          <w:p w14:paraId="0B4EB963" w14:textId="77777777" w:rsidR="00FA58A8" w:rsidRPr="00FA58A8" w:rsidRDefault="00FA58A8" w:rsidP="00E50149">
            <w:pPr>
              <w:pStyle w:val="Tabla"/>
              <w:rPr>
                <w:b/>
                <w:bCs/>
              </w:rPr>
            </w:pPr>
            <w:r w:rsidRPr="00FA58A8">
              <w:rPr>
                <w:b/>
              </w:rPr>
              <w:t>Forma de medición</w:t>
            </w:r>
          </w:p>
        </w:tc>
        <w:tc>
          <w:tcPr>
            <w:tcW w:w="0" w:type="auto"/>
            <w:vAlign w:val="center"/>
          </w:tcPr>
          <w:p w14:paraId="662AC302" w14:textId="77777777" w:rsidR="00FA58A8" w:rsidRPr="00FA58A8" w:rsidRDefault="00FA58A8" w:rsidP="00B0401C">
            <w:pPr>
              <w:pStyle w:val="LCATabla"/>
              <w:keepLines/>
            </w:pPr>
            <w:r w:rsidRPr="00FA58A8">
              <w:rPr>
                <w:rFonts w:ascii="Arial" w:hAnsi="Arial" w:cs="Arial"/>
                <w:sz w:val="20"/>
              </w:rPr>
              <w:t>Peso de betún realmente empleado en la fabricación de las mezclas</w:t>
            </w:r>
            <w:r w:rsidR="00DB31F3">
              <w:rPr>
                <w:rFonts w:ascii="Arial" w:hAnsi="Arial" w:cs="Arial"/>
                <w:sz w:val="20"/>
              </w:rPr>
              <w:t xml:space="preserve"> bituminosas</w:t>
            </w:r>
          </w:p>
        </w:tc>
      </w:tr>
      <w:tr w:rsidR="00FA58A8" w:rsidRPr="00FA58A8" w14:paraId="6ECC9175" w14:textId="77777777" w:rsidTr="00B0401C">
        <w:tc>
          <w:tcPr>
            <w:tcW w:w="0" w:type="auto"/>
            <w:vAlign w:val="center"/>
          </w:tcPr>
          <w:p w14:paraId="2E13BBEE" w14:textId="77777777" w:rsidR="00FA58A8" w:rsidRPr="00FA58A8" w:rsidRDefault="00FA58A8" w:rsidP="00E50149">
            <w:pPr>
              <w:pStyle w:val="Tabla"/>
              <w:rPr>
                <w:b/>
                <w:bCs/>
              </w:rPr>
            </w:pPr>
            <w:r w:rsidRPr="00FA58A8">
              <w:rPr>
                <w:b/>
              </w:rPr>
              <w:t>Abono</w:t>
            </w:r>
          </w:p>
        </w:tc>
        <w:tc>
          <w:tcPr>
            <w:tcW w:w="0" w:type="auto"/>
            <w:vAlign w:val="center"/>
          </w:tcPr>
          <w:p w14:paraId="461D582D" w14:textId="77777777" w:rsidR="00FA58A8" w:rsidRPr="00FA58A8" w:rsidRDefault="00FA58A8" w:rsidP="00B0401C">
            <w:pPr>
              <w:pStyle w:val="LCATabla"/>
              <w:keepLines/>
            </w:pPr>
            <w:r w:rsidRPr="00FA58A8">
              <w:rPr>
                <w:rFonts w:ascii="Arial" w:hAnsi="Arial" w:cs="Arial"/>
                <w:sz w:val="20"/>
              </w:rPr>
              <w:t>Se efectuará cuando se realice la aceptación, una vez realizadas las pruebas y ensayos de recepción</w:t>
            </w:r>
            <w:r w:rsidR="00DB31F3">
              <w:rPr>
                <w:rFonts w:ascii="Arial" w:hAnsi="Arial" w:cs="Arial"/>
                <w:sz w:val="20"/>
              </w:rPr>
              <w:t xml:space="preserve"> de la unidad de la que forman parte.</w:t>
            </w:r>
          </w:p>
        </w:tc>
      </w:tr>
      <w:tr w:rsidR="00FA58A8" w:rsidRPr="00FA58A8" w14:paraId="2075BFDC" w14:textId="77777777" w:rsidTr="00B0401C">
        <w:tc>
          <w:tcPr>
            <w:tcW w:w="0" w:type="auto"/>
            <w:vAlign w:val="center"/>
          </w:tcPr>
          <w:p w14:paraId="38F530E9" w14:textId="77777777" w:rsidR="00FA58A8" w:rsidRPr="00FA58A8" w:rsidRDefault="00FA58A8" w:rsidP="00E50149">
            <w:pPr>
              <w:pStyle w:val="Tabla"/>
              <w:rPr>
                <w:b/>
                <w:bCs/>
              </w:rPr>
            </w:pPr>
            <w:proofErr w:type="gramStart"/>
            <w:r w:rsidRPr="00FA58A8">
              <w:rPr>
                <w:b/>
              </w:rPr>
              <w:t>Criterios complementario</w:t>
            </w:r>
            <w:proofErr w:type="gramEnd"/>
          </w:p>
        </w:tc>
        <w:tc>
          <w:tcPr>
            <w:tcW w:w="0" w:type="auto"/>
            <w:vAlign w:val="center"/>
          </w:tcPr>
          <w:p w14:paraId="31623AC7" w14:textId="77777777" w:rsidR="00FA58A8" w:rsidRPr="00FA58A8" w:rsidRDefault="00FA58A8" w:rsidP="00B0401C">
            <w:pPr>
              <w:pStyle w:val="LCATabla"/>
              <w:keepLines/>
            </w:pPr>
            <w:r w:rsidRPr="00FA58A8">
              <w:rPr>
                <w:rFonts w:ascii="Arial" w:hAnsi="Arial" w:cs="Arial"/>
                <w:sz w:val="20"/>
              </w:rPr>
              <w:t>El precio de la unidad incluye el suministro del betún para la fabricación de la mezcla bituminosa, y todos los materiales y medios necesarios para la correcta ejecución de la unidad.</w:t>
            </w:r>
          </w:p>
        </w:tc>
      </w:tr>
    </w:tbl>
    <w:p w14:paraId="604E0D0C" w14:textId="77777777" w:rsidR="00FA58A8" w:rsidRPr="005864C2" w:rsidRDefault="00FA58A8" w:rsidP="00667297">
      <w:pPr>
        <w:pStyle w:val="NORMAL12"/>
        <w:rPr>
          <w:color w:val="365F91" w:themeColor="accent1" w:themeShade="BF"/>
          <w:lang w:val="es-ES"/>
        </w:rPr>
        <w:sectPr w:rsidR="00FA58A8" w:rsidRPr="005864C2" w:rsidSect="003069BA">
          <w:pgSz w:w="23814" w:h="16840" w:orient="landscape" w:code="8"/>
          <w:pgMar w:top="992" w:right="851" w:bottom="1418" w:left="851" w:header="567" w:footer="1021" w:gutter="1418"/>
          <w:cols w:num="2" w:space="1134"/>
        </w:sectPr>
      </w:pPr>
    </w:p>
    <w:p w14:paraId="2D57730E" w14:textId="77777777" w:rsidR="00667297" w:rsidRDefault="00667297" w:rsidP="006F6223">
      <w:pPr>
        <w:pStyle w:val="TITU1"/>
      </w:pPr>
      <w:bookmarkStart w:id="296" w:name="_Toc404119"/>
      <w:r w:rsidRPr="00A76B28">
        <w:lastRenderedPageBreak/>
        <w:t>Artículo 214</w:t>
      </w:r>
      <w:r w:rsidR="002933FD" w:rsidRPr="00A76B28">
        <w:t xml:space="preserve">. </w:t>
      </w:r>
      <w:r w:rsidRPr="00A76B28">
        <w:t>Emulsiones bituminosas</w:t>
      </w:r>
      <w:bookmarkEnd w:id="296"/>
    </w:p>
    <w:p w14:paraId="0EE5B6EE" w14:textId="77777777" w:rsidR="00FA2EA4" w:rsidRPr="006B7EDC" w:rsidRDefault="00FA2EA4" w:rsidP="00FA2EA4">
      <w:pPr>
        <w:pStyle w:val="NORMAL12"/>
        <w:rPr>
          <w:lang w:val="es-ES"/>
        </w:rPr>
      </w:pPr>
      <w:r w:rsidRPr="006B7EDC">
        <w:rPr>
          <w:lang w:val="es-ES"/>
        </w:rPr>
        <w:t xml:space="preserve">Excepto para lo especificado en el presente Pliego de Prescripciones Técnicas </w:t>
      </w:r>
      <w:r>
        <w:rPr>
          <w:lang w:val="es-ES"/>
        </w:rPr>
        <w:t>P</w:t>
      </w:r>
      <w:r w:rsidRPr="006B7EDC">
        <w:rPr>
          <w:lang w:val="es-ES"/>
        </w:rPr>
        <w:t>articulares se seguirá lo pr</w:t>
      </w:r>
      <w:r>
        <w:rPr>
          <w:lang w:val="es-ES"/>
        </w:rPr>
        <w:t>escrito en el vigente artículo 214</w:t>
      </w:r>
      <w:r w:rsidRPr="006B7EDC">
        <w:rPr>
          <w:lang w:val="es-ES"/>
        </w:rPr>
        <w:t xml:space="preserve"> del PG-3.</w:t>
      </w:r>
    </w:p>
    <w:p w14:paraId="1DA78FF2" w14:textId="77777777" w:rsidR="00667297" w:rsidRPr="00A76B28" w:rsidRDefault="00667297" w:rsidP="000313DD">
      <w:pPr>
        <w:pStyle w:val="TITU2"/>
      </w:pPr>
      <w:bookmarkStart w:id="297" w:name="_Toc404120"/>
      <w:r w:rsidRPr="00A76B28">
        <w:t>214.1</w:t>
      </w:r>
      <w:r w:rsidR="001444C7">
        <w:t>.</w:t>
      </w:r>
      <w:r w:rsidRPr="00A76B28">
        <w:t xml:space="preserve"> Definición</w:t>
      </w:r>
      <w:bookmarkEnd w:id="297"/>
    </w:p>
    <w:p w14:paraId="4049F554" w14:textId="77777777" w:rsidR="00343C26" w:rsidRPr="00A76B28" w:rsidRDefault="00343C26" w:rsidP="00343C26">
      <w:pPr>
        <w:pStyle w:val="NORMAL12"/>
        <w:rPr>
          <w:lang w:val="es-ES"/>
        </w:rPr>
      </w:pPr>
      <w:r w:rsidRPr="00A76B28">
        <w:rPr>
          <w:lang w:val="es-ES"/>
        </w:rPr>
        <w:t>Se definen como emulsiones bituminosas las dispersiones de pequeñas partículas de un ligante hidrocarbonado y eventualmente un polímero, en una solución de agua y un agente emulsionante.</w:t>
      </w:r>
    </w:p>
    <w:p w14:paraId="70557D1E" w14:textId="77777777" w:rsidR="00C36ABC" w:rsidRPr="00A76B28" w:rsidRDefault="00C36ABC" w:rsidP="00C36ABC">
      <w:pPr>
        <w:pStyle w:val="NORMAL12"/>
        <w:rPr>
          <w:lang w:val="es-ES"/>
        </w:rPr>
      </w:pPr>
      <w:r w:rsidRPr="00A76B28">
        <w:rPr>
          <w:lang w:val="es-ES"/>
        </w:rPr>
        <w:t xml:space="preserve">Las prescripciones del presente artículo </w:t>
      </w:r>
      <w:proofErr w:type="gramStart"/>
      <w:r w:rsidRPr="00A76B28">
        <w:rPr>
          <w:lang w:val="es-ES"/>
        </w:rPr>
        <w:t>son de aplicación</w:t>
      </w:r>
      <w:proofErr w:type="gramEnd"/>
      <w:r w:rsidRPr="00A76B28">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207"/>
        <w:gridCol w:w="721"/>
        <w:gridCol w:w="7992"/>
      </w:tblGrid>
      <w:tr w:rsidR="002C7E8D" w:rsidRPr="00A76B28" w14:paraId="2C9212C5" w14:textId="77777777" w:rsidTr="002E0BC1">
        <w:trPr>
          <w:trHeight w:val="300"/>
        </w:trPr>
        <w:tc>
          <w:tcPr>
            <w:tcW w:w="608" w:type="pct"/>
            <w:noWrap/>
          </w:tcPr>
          <w:p w14:paraId="1AADCD6E" w14:textId="77777777" w:rsidR="002C7E8D" w:rsidRPr="003327CC" w:rsidRDefault="002C7E8D">
            <w:pPr>
              <w:rPr>
                <w:rFonts w:ascii="Calibri" w:hAnsi="Calibri"/>
                <w:color w:val="000000"/>
              </w:rPr>
            </w:pPr>
            <w:r w:rsidRPr="003327CC">
              <w:rPr>
                <w:rFonts w:ascii="Calibri" w:hAnsi="Calibri"/>
                <w:color w:val="000000"/>
              </w:rPr>
              <w:t xml:space="preserve">531.0020          </w:t>
            </w:r>
          </w:p>
        </w:tc>
        <w:tc>
          <w:tcPr>
            <w:tcW w:w="364" w:type="pct"/>
            <w:noWrap/>
          </w:tcPr>
          <w:p w14:paraId="18AEAD3C" w14:textId="77777777" w:rsidR="002C7E8D" w:rsidRPr="003327CC" w:rsidRDefault="002C7E8D">
            <w:pPr>
              <w:rPr>
                <w:rFonts w:ascii="Calibri" w:hAnsi="Calibri"/>
                <w:color w:val="000000"/>
              </w:rPr>
            </w:pPr>
            <w:r w:rsidRPr="003327CC">
              <w:rPr>
                <w:rFonts w:ascii="Calibri" w:hAnsi="Calibri"/>
                <w:color w:val="000000"/>
              </w:rPr>
              <w:t>t</w:t>
            </w:r>
          </w:p>
        </w:tc>
        <w:tc>
          <w:tcPr>
            <w:tcW w:w="4027" w:type="pct"/>
          </w:tcPr>
          <w:p w14:paraId="00389A16" w14:textId="77777777" w:rsidR="002C7E8D" w:rsidRPr="003327CC" w:rsidRDefault="002E0BC1">
            <w:pPr>
              <w:rPr>
                <w:rFonts w:ascii="Calibri" w:hAnsi="Calibri"/>
                <w:color w:val="000000"/>
              </w:rPr>
            </w:pPr>
            <w:r w:rsidRPr="003327CC">
              <w:rPr>
                <w:rFonts w:ascii="Calibri" w:hAnsi="Calibri"/>
                <w:color w:val="000000"/>
              </w:rPr>
              <w:t>EMULSIÓN C60B3 ADH EN RIEGOS DE ADHERENCIA O C60B3 CUR EN RIEGOS DE CURADO i/ EL BARRIDO Y LA PREPARACIÓN DE LA SUPERFICIE, TOTALMENTE TERMINADO.</w:t>
            </w:r>
          </w:p>
          <w:p w14:paraId="167BF5D1" w14:textId="77777777" w:rsidR="002E0BC1" w:rsidRPr="003327CC" w:rsidRDefault="002E0BC1">
            <w:pPr>
              <w:rPr>
                <w:rFonts w:ascii="Calibri" w:hAnsi="Calibri"/>
                <w:color w:val="000000"/>
              </w:rPr>
            </w:pPr>
          </w:p>
        </w:tc>
      </w:tr>
      <w:tr w:rsidR="002C7E8D" w:rsidRPr="00A76B28" w14:paraId="4E3D8BDF" w14:textId="77777777" w:rsidTr="002E0BC1">
        <w:trPr>
          <w:trHeight w:val="575"/>
        </w:trPr>
        <w:tc>
          <w:tcPr>
            <w:tcW w:w="608" w:type="pct"/>
            <w:noWrap/>
          </w:tcPr>
          <w:p w14:paraId="7AE6C81E" w14:textId="77777777" w:rsidR="002C7E8D" w:rsidRPr="003327CC" w:rsidRDefault="002C7E8D">
            <w:pPr>
              <w:rPr>
                <w:rFonts w:ascii="Calibri" w:hAnsi="Calibri"/>
                <w:color w:val="000000"/>
              </w:rPr>
            </w:pPr>
            <w:r w:rsidRPr="003327CC">
              <w:rPr>
                <w:rFonts w:ascii="Calibri" w:hAnsi="Calibri"/>
                <w:color w:val="000000"/>
              </w:rPr>
              <w:t xml:space="preserve">530.0020N         </w:t>
            </w:r>
          </w:p>
        </w:tc>
        <w:tc>
          <w:tcPr>
            <w:tcW w:w="364" w:type="pct"/>
            <w:noWrap/>
          </w:tcPr>
          <w:p w14:paraId="02980DEE" w14:textId="77777777" w:rsidR="002C7E8D" w:rsidRPr="003327CC" w:rsidRDefault="002C7E8D">
            <w:pPr>
              <w:rPr>
                <w:rFonts w:ascii="Calibri" w:hAnsi="Calibri"/>
                <w:color w:val="000000"/>
              </w:rPr>
            </w:pPr>
            <w:r w:rsidRPr="003327CC">
              <w:rPr>
                <w:rFonts w:ascii="Calibri" w:hAnsi="Calibri"/>
                <w:color w:val="000000"/>
              </w:rPr>
              <w:t>t</w:t>
            </w:r>
          </w:p>
        </w:tc>
        <w:tc>
          <w:tcPr>
            <w:tcW w:w="4027" w:type="pct"/>
          </w:tcPr>
          <w:p w14:paraId="1E5B0DA6" w14:textId="77777777" w:rsidR="002C7E8D" w:rsidRPr="003327CC" w:rsidRDefault="002E0BC1">
            <w:pPr>
              <w:rPr>
                <w:rFonts w:ascii="Calibri" w:hAnsi="Calibri"/>
                <w:color w:val="000000"/>
              </w:rPr>
            </w:pPr>
            <w:r w:rsidRPr="003327CC">
              <w:rPr>
                <w:rFonts w:ascii="Calibri" w:hAnsi="Calibri"/>
                <w:color w:val="000000"/>
              </w:rPr>
              <w:t>EMULSIÓN C50BF</w:t>
            </w:r>
            <w:r w:rsidR="00025D5D" w:rsidRPr="003327CC">
              <w:rPr>
                <w:rFonts w:ascii="Calibri" w:hAnsi="Calibri"/>
                <w:color w:val="000000"/>
              </w:rPr>
              <w:t>4</w:t>
            </w:r>
            <w:r w:rsidRPr="003327CC">
              <w:rPr>
                <w:rFonts w:ascii="Calibri" w:hAnsi="Calibri"/>
                <w:color w:val="000000"/>
              </w:rPr>
              <w:t xml:space="preserve"> IMP EN RIEGO DE IMPRIMACIÓN, BARRIDO Y PREPARACIÓN DE LA SUPERFICIE, TOTALMENTE TERMINADO.</w:t>
            </w:r>
          </w:p>
          <w:p w14:paraId="262756E6" w14:textId="77777777" w:rsidR="002E0BC1" w:rsidRPr="003327CC" w:rsidRDefault="002E0BC1">
            <w:pPr>
              <w:rPr>
                <w:rFonts w:ascii="Calibri" w:hAnsi="Calibri"/>
                <w:color w:val="000000"/>
              </w:rPr>
            </w:pPr>
          </w:p>
        </w:tc>
      </w:tr>
      <w:tr w:rsidR="002C7E8D" w:rsidRPr="00A76B28" w14:paraId="24E078E4" w14:textId="77777777" w:rsidTr="002E0BC1">
        <w:trPr>
          <w:trHeight w:val="300"/>
        </w:trPr>
        <w:tc>
          <w:tcPr>
            <w:tcW w:w="608" w:type="pct"/>
            <w:noWrap/>
          </w:tcPr>
          <w:p w14:paraId="2A2BCD71" w14:textId="77777777" w:rsidR="002C7E8D" w:rsidRPr="003327CC" w:rsidRDefault="002C7E8D">
            <w:pPr>
              <w:rPr>
                <w:rFonts w:ascii="Calibri" w:hAnsi="Calibri"/>
                <w:color w:val="000000"/>
              </w:rPr>
            </w:pPr>
            <w:r w:rsidRPr="003327CC">
              <w:rPr>
                <w:rFonts w:ascii="Calibri" w:hAnsi="Calibri"/>
                <w:color w:val="000000"/>
              </w:rPr>
              <w:t xml:space="preserve">531.0040          </w:t>
            </w:r>
          </w:p>
        </w:tc>
        <w:tc>
          <w:tcPr>
            <w:tcW w:w="364" w:type="pct"/>
            <w:noWrap/>
          </w:tcPr>
          <w:p w14:paraId="6D754350" w14:textId="77777777" w:rsidR="002C7E8D" w:rsidRPr="003327CC" w:rsidRDefault="002C7E8D">
            <w:pPr>
              <w:rPr>
                <w:rFonts w:ascii="Calibri" w:hAnsi="Calibri"/>
                <w:color w:val="000000"/>
              </w:rPr>
            </w:pPr>
            <w:r w:rsidRPr="003327CC">
              <w:rPr>
                <w:rFonts w:ascii="Calibri" w:hAnsi="Calibri"/>
                <w:color w:val="000000"/>
              </w:rPr>
              <w:t>t</w:t>
            </w:r>
          </w:p>
        </w:tc>
        <w:tc>
          <w:tcPr>
            <w:tcW w:w="4027" w:type="pct"/>
          </w:tcPr>
          <w:p w14:paraId="46A4370B" w14:textId="77777777" w:rsidR="002C7E8D" w:rsidRPr="003327CC" w:rsidRDefault="002E0BC1">
            <w:pPr>
              <w:rPr>
                <w:rFonts w:ascii="Calibri" w:hAnsi="Calibri"/>
                <w:color w:val="000000"/>
              </w:rPr>
            </w:pPr>
            <w:r w:rsidRPr="003327CC">
              <w:rPr>
                <w:rFonts w:ascii="Calibri" w:hAnsi="Calibri"/>
                <w:color w:val="000000"/>
              </w:rPr>
              <w:t>EMULSIÓN C60BP3 ADH, MODIFICADA CON POLÍMEROS, EN RIEGO DE ADHERENCIA i/ BARRIDO Y PREPARACIÓN DE LA SUPERFICIE, TOTALMENTE TERMINADO.</w:t>
            </w:r>
          </w:p>
        </w:tc>
      </w:tr>
    </w:tbl>
    <w:p w14:paraId="528A78C7" w14:textId="77777777" w:rsidR="00667297" w:rsidRPr="004E4FA7" w:rsidRDefault="00667297" w:rsidP="000313DD">
      <w:pPr>
        <w:pStyle w:val="TITU2"/>
      </w:pPr>
      <w:bookmarkStart w:id="298" w:name="_Toc404121"/>
      <w:r w:rsidRPr="005864C2">
        <w:t>2</w:t>
      </w:r>
      <w:r w:rsidRPr="004E4FA7">
        <w:t>14.2. Condiciones generales</w:t>
      </w:r>
      <w:bookmarkEnd w:id="298"/>
    </w:p>
    <w:p w14:paraId="25483BBE" w14:textId="77777777" w:rsidR="00C135D0" w:rsidRPr="004E4FA7" w:rsidRDefault="00C135D0" w:rsidP="00C135D0">
      <w:pPr>
        <w:pStyle w:val="NORMAL12"/>
        <w:rPr>
          <w:lang w:val="es-ES"/>
        </w:rPr>
      </w:pPr>
      <w:r w:rsidRPr="004E4FA7">
        <w:rPr>
          <w:lang w:val="es-ES"/>
        </w:rPr>
        <w:t xml:space="preserve">Lo dispuesto en este artículo se entenderá sin perjuicio de lo establecido en el Reglamento 305/2011 de 9 de marzo de 2011, del Parlamento Europeo y del Consejo, por el que se establecen las condiciones armonizadas para la comercialización de productos de construcción. Para los productos con marcado CE, el fabricante asumirá la responsabilidad sobre la conformidad de </w:t>
      </w:r>
      <w:proofErr w:type="gramStart"/>
      <w:r w:rsidRPr="004E4FA7">
        <w:rPr>
          <w:lang w:val="es-ES"/>
        </w:rPr>
        <w:t>los mismos</w:t>
      </w:r>
      <w:proofErr w:type="gramEnd"/>
      <w:r w:rsidRPr="004E4FA7">
        <w:rPr>
          <w:lang w:val="es-ES"/>
        </w:rPr>
        <w:t xml:space="preserve"> con las prestaciones declaradas, de acuerdo con el artículo 11 del mencionado Reglamento. Los productos que tengan el marcado CE deberán ir acompañados, además de dicho marcado, de la Declaración de Prestaciones, y de las instrucciones e información de seguridad del producto. Por su parte, el Contratista deberá verificar que los valores declarados en los documentos que acompañan al marcado CE permitan deducir el cumplimiento de las especificaciones contempladas en el Proyecto o, en su defecto, en este Pliego, debiendo adoptar, en el caso de que existan indicios de incumplimiento de las especificaciones declaradas, todas aquellas medidas que considere oportunas para garantizar la idoneidad del producto suministrado a la obra.</w:t>
      </w:r>
    </w:p>
    <w:p w14:paraId="5F28AC82" w14:textId="77777777" w:rsidR="00C135D0" w:rsidRPr="004E4FA7" w:rsidRDefault="00C135D0" w:rsidP="00C135D0">
      <w:pPr>
        <w:pStyle w:val="NORMAL12"/>
        <w:rPr>
          <w:lang w:val="es-ES"/>
        </w:rPr>
      </w:pPr>
    </w:p>
    <w:p w14:paraId="366ED1D1" w14:textId="77777777" w:rsidR="00667297" w:rsidRPr="004E4FA7" w:rsidRDefault="00667297" w:rsidP="00667297">
      <w:pPr>
        <w:pStyle w:val="NORMAL12"/>
        <w:rPr>
          <w:lang w:val="es-ES"/>
        </w:rPr>
      </w:pPr>
      <w:r w:rsidRPr="004E4FA7">
        <w:rPr>
          <w:lang w:val="es-ES"/>
        </w:rPr>
        <w:t>Las emulsiones bituminosas catiónicas deberán llevar obligatoriamente el marcado CE, conforme a lo establecido en la norma UNE-EN 13808</w:t>
      </w:r>
      <w:r w:rsidR="009A4D0D" w:rsidRPr="004E4FA7">
        <w:rPr>
          <w:lang w:val="es-ES"/>
        </w:rPr>
        <w:t>:2013</w:t>
      </w:r>
      <w:r w:rsidRPr="004E4FA7">
        <w:rPr>
          <w:lang w:val="es-ES"/>
        </w:rPr>
        <w:t>.</w:t>
      </w:r>
    </w:p>
    <w:p w14:paraId="5474098E" w14:textId="77777777" w:rsidR="00667297" w:rsidRPr="00EA0DCF" w:rsidRDefault="00667297" w:rsidP="00667297">
      <w:pPr>
        <w:pStyle w:val="NORMAL12"/>
        <w:rPr>
          <w:lang w:val="es-ES"/>
        </w:rPr>
      </w:pPr>
      <w:r w:rsidRPr="004E4FA7">
        <w:rPr>
          <w:lang w:val="es-ES"/>
        </w:rPr>
        <w:t>De forma explícita se prohíbe el uso de betunes asfálticos que contengan alquitranes u otras sustancias derivadas de la destilación de productos carbonosos</w:t>
      </w:r>
      <w:r w:rsidR="00801C84" w:rsidRPr="004E4FA7">
        <w:rPr>
          <w:lang w:val="es-ES"/>
        </w:rPr>
        <w:t xml:space="preserve">, </w:t>
      </w:r>
      <w:r w:rsidRPr="004E4FA7">
        <w:rPr>
          <w:lang w:val="es-ES"/>
        </w:rPr>
        <w:t>hulla u otros, o betunes oxidados.</w:t>
      </w:r>
    </w:p>
    <w:p w14:paraId="029F6322" w14:textId="77777777" w:rsidR="00667297" w:rsidRDefault="00667297" w:rsidP="000313DD">
      <w:pPr>
        <w:pStyle w:val="TITU2"/>
      </w:pPr>
      <w:bookmarkStart w:id="299" w:name="_Toc404122"/>
      <w:r w:rsidRPr="005864C2">
        <w:t>214.3. Denominaciones</w:t>
      </w:r>
      <w:bookmarkEnd w:id="299"/>
    </w:p>
    <w:p w14:paraId="37AABAF6" w14:textId="77777777" w:rsidR="00283347" w:rsidRDefault="00283347" w:rsidP="00283347">
      <w:pPr>
        <w:pStyle w:val="NORMAL12"/>
        <w:rPr>
          <w:lang w:val="es-ES"/>
        </w:rPr>
      </w:pPr>
      <w:r>
        <w:rPr>
          <w:lang w:val="es-ES"/>
        </w:rPr>
        <w:t xml:space="preserve">Se emplearán </w:t>
      </w:r>
      <w:r w:rsidR="00343C26">
        <w:rPr>
          <w:lang w:val="es-ES"/>
        </w:rPr>
        <w:t>los siguientes tipos de emulsiones bituminosas</w:t>
      </w:r>
      <w:r w:rsidR="002C7E8D">
        <w:rPr>
          <w:lang w:val="es-ES"/>
        </w:rPr>
        <w:t>:</w:t>
      </w:r>
    </w:p>
    <w:p w14:paraId="2BD33E45" w14:textId="77777777" w:rsidR="002C7E8D" w:rsidRPr="003327CC" w:rsidRDefault="002C7E8D" w:rsidP="00221E1A">
      <w:pPr>
        <w:pStyle w:val="NORMAL12"/>
        <w:numPr>
          <w:ilvl w:val="0"/>
          <w:numId w:val="168"/>
        </w:numPr>
        <w:rPr>
          <w:rFonts w:ascii="Calibri" w:hAnsi="Calibri"/>
          <w:color w:val="000000"/>
        </w:rPr>
      </w:pPr>
      <w:r w:rsidRPr="003327CC">
        <w:rPr>
          <w:rFonts w:ascii="Calibri" w:hAnsi="Calibri"/>
          <w:color w:val="000000"/>
        </w:rPr>
        <w:t xml:space="preserve">EMULSIÓN C60B3 </w:t>
      </w:r>
      <w:r w:rsidR="00CB7CE8" w:rsidRPr="003327CC">
        <w:rPr>
          <w:rFonts w:ascii="Calibri" w:hAnsi="Calibri"/>
          <w:color w:val="000000"/>
        </w:rPr>
        <w:t>CUR</w:t>
      </w:r>
      <w:r w:rsidRPr="003327CC">
        <w:rPr>
          <w:rFonts w:ascii="Calibri" w:hAnsi="Calibri"/>
          <w:color w:val="000000"/>
        </w:rPr>
        <w:t xml:space="preserve"> EN</w:t>
      </w:r>
      <w:r w:rsidR="00221E1A" w:rsidRPr="003327CC">
        <w:rPr>
          <w:rFonts w:ascii="Calibri" w:hAnsi="Calibri"/>
          <w:color w:val="000000"/>
        </w:rPr>
        <w:t xml:space="preserve"> RIEGOS</w:t>
      </w:r>
      <w:r w:rsidRPr="003327CC">
        <w:rPr>
          <w:rFonts w:ascii="Calibri" w:hAnsi="Calibri"/>
          <w:color w:val="000000"/>
        </w:rPr>
        <w:t xml:space="preserve"> DE CURADO</w:t>
      </w:r>
    </w:p>
    <w:p w14:paraId="6208B1CF" w14:textId="77777777" w:rsidR="002C7E8D" w:rsidRPr="003327CC" w:rsidRDefault="002C7E8D" w:rsidP="00221E1A">
      <w:pPr>
        <w:pStyle w:val="NORMAL12"/>
        <w:numPr>
          <w:ilvl w:val="0"/>
          <w:numId w:val="168"/>
        </w:numPr>
        <w:rPr>
          <w:rFonts w:ascii="Calibri" w:hAnsi="Calibri"/>
          <w:color w:val="000000"/>
        </w:rPr>
      </w:pPr>
      <w:r w:rsidRPr="003327CC">
        <w:rPr>
          <w:rFonts w:ascii="Calibri" w:hAnsi="Calibri"/>
          <w:color w:val="000000"/>
        </w:rPr>
        <w:t>EMULSIÓN C50BF</w:t>
      </w:r>
      <w:r w:rsidR="00F52CA0" w:rsidRPr="003327CC">
        <w:rPr>
          <w:rFonts w:ascii="Calibri" w:hAnsi="Calibri"/>
          <w:color w:val="000000"/>
        </w:rPr>
        <w:t>4</w:t>
      </w:r>
      <w:r w:rsidRPr="003327CC">
        <w:rPr>
          <w:rFonts w:ascii="Calibri" w:hAnsi="Calibri"/>
          <w:color w:val="000000"/>
        </w:rPr>
        <w:t xml:space="preserve"> IMP EN RIEGO</w:t>
      </w:r>
      <w:r w:rsidR="00221E1A" w:rsidRPr="003327CC">
        <w:rPr>
          <w:rFonts w:ascii="Calibri" w:hAnsi="Calibri"/>
          <w:color w:val="000000"/>
        </w:rPr>
        <w:t>S</w:t>
      </w:r>
      <w:r w:rsidRPr="003327CC">
        <w:rPr>
          <w:rFonts w:ascii="Calibri" w:hAnsi="Calibri"/>
          <w:color w:val="000000"/>
        </w:rPr>
        <w:t xml:space="preserve"> DE IMPRIMACIÓN</w:t>
      </w:r>
    </w:p>
    <w:p w14:paraId="029A3CC0" w14:textId="77777777" w:rsidR="002C7E8D" w:rsidRDefault="002C7E8D" w:rsidP="00221E1A">
      <w:pPr>
        <w:pStyle w:val="NORMAL12"/>
        <w:numPr>
          <w:ilvl w:val="0"/>
          <w:numId w:val="168"/>
        </w:numPr>
        <w:rPr>
          <w:lang w:val="es-ES"/>
        </w:rPr>
      </w:pPr>
      <w:r w:rsidRPr="003327CC">
        <w:rPr>
          <w:rFonts w:ascii="Calibri" w:hAnsi="Calibri"/>
          <w:color w:val="000000"/>
        </w:rPr>
        <w:t>EMULSIÓN C60BP3 ADH, MODIFICADA</w:t>
      </w:r>
      <w:r w:rsidRPr="002C7E8D">
        <w:rPr>
          <w:rFonts w:ascii="Calibri" w:hAnsi="Calibri"/>
          <w:color w:val="000000"/>
        </w:rPr>
        <w:t xml:space="preserve"> CON POLÍMEROS, EN RIEGO</w:t>
      </w:r>
      <w:r w:rsidR="00221E1A">
        <w:rPr>
          <w:rFonts w:ascii="Calibri" w:hAnsi="Calibri"/>
          <w:color w:val="000000"/>
        </w:rPr>
        <w:t>S</w:t>
      </w:r>
      <w:r w:rsidRPr="002C7E8D">
        <w:rPr>
          <w:rFonts w:ascii="Calibri" w:hAnsi="Calibri"/>
          <w:color w:val="000000"/>
        </w:rPr>
        <w:t xml:space="preserve"> DE ADHERENCIA</w:t>
      </w:r>
    </w:p>
    <w:p w14:paraId="72195076" w14:textId="77777777" w:rsidR="00667297" w:rsidRPr="005864C2" w:rsidRDefault="00667297" w:rsidP="000313DD">
      <w:pPr>
        <w:pStyle w:val="TITU2"/>
      </w:pPr>
      <w:bookmarkStart w:id="300" w:name="_Toc404123"/>
      <w:r w:rsidRPr="005864C2">
        <w:t>214.4</w:t>
      </w:r>
      <w:r w:rsidR="002368C6" w:rsidRPr="005864C2">
        <w:t>.</w:t>
      </w:r>
      <w:r w:rsidRPr="005864C2">
        <w:t xml:space="preserve"> Transporte y almacenamiento</w:t>
      </w:r>
      <w:bookmarkEnd w:id="300"/>
    </w:p>
    <w:p w14:paraId="5030C058" w14:textId="77777777" w:rsidR="00667297" w:rsidRPr="004E4FA7" w:rsidRDefault="00667297" w:rsidP="00667297">
      <w:pPr>
        <w:pStyle w:val="NORMAL12"/>
        <w:rPr>
          <w:lang w:val="es-ES"/>
        </w:rPr>
      </w:pPr>
      <w:r w:rsidRPr="004E4FA7">
        <w:rPr>
          <w:lang w:val="es-ES"/>
        </w:rPr>
        <w:t xml:space="preserve">La emulsión bituminosa se transportará en cisternas y se almacenará en uno o varios tanques, adecuadamente aislados entre sí, que deberán estar provistos de bocas de ventilación para evitar que trabajen a presión, y que contarán con los aparatos de medida y seguridad necesarios, situados en puntos de fácil acceso. </w:t>
      </w:r>
      <w:proofErr w:type="gramStart"/>
      <w:r w:rsidRPr="004E4FA7">
        <w:rPr>
          <w:lang w:val="es-ES"/>
        </w:rPr>
        <w:t>Además</w:t>
      </w:r>
      <w:proofErr w:type="gramEnd"/>
      <w:r w:rsidRPr="004E4FA7">
        <w:rPr>
          <w:lang w:val="es-ES"/>
        </w:rPr>
        <w:t xml:space="preserve"> dispondrán de una válvula adecuada para la toma de muestras.</w:t>
      </w:r>
    </w:p>
    <w:p w14:paraId="794FDC16" w14:textId="77777777" w:rsidR="00667297" w:rsidRPr="004E4FA7" w:rsidRDefault="00667297" w:rsidP="00667297">
      <w:pPr>
        <w:pStyle w:val="NORMAL12"/>
        <w:rPr>
          <w:lang w:val="es-ES"/>
        </w:rPr>
      </w:pPr>
      <w:r w:rsidRPr="004E4FA7">
        <w:rPr>
          <w:lang w:val="es-ES"/>
        </w:rPr>
        <w:t xml:space="preserve">En emulsiones de rotura lenta y en las </w:t>
      </w:r>
      <w:proofErr w:type="spellStart"/>
      <w:r w:rsidRPr="004E4FA7">
        <w:rPr>
          <w:lang w:val="es-ES"/>
        </w:rPr>
        <w:t>termoadherentes</w:t>
      </w:r>
      <w:proofErr w:type="spellEnd"/>
      <w:r w:rsidRPr="004E4FA7">
        <w:rPr>
          <w:lang w:val="es-ES"/>
        </w:rPr>
        <w:t xml:space="preserve"> que vayan a estar almacenadas más de siete días (&gt; 7 d), será preciso asegurar su homogeneidad previamente a su empleo, con un sistema de agitación y recirculación</w:t>
      </w:r>
      <w:r w:rsidR="00EA0DCF" w:rsidRPr="004E4FA7">
        <w:rPr>
          <w:lang w:val="es-ES"/>
        </w:rPr>
        <w:t>.</w:t>
      </w:r>
    </w:p>
    <w:p w14:paraId="07BB3C52" w14:textId="77777777" w:rsidR="00667297" w:rsidRPr="004E4FA7" w:rsidRDefault="00667297" w:rsidP="00667297">
      <w:pPr>
        <w:pStyle w:val="NORMAL12"/>
        <w:rPr>
          <w:lang w:val="es-ES"/>
        </w:rPr>
      </w:pPr>
      <w:r w:rsidRPr="004E4FA7">
        <w:rPr>
          <w:lang w:val="es-ES"/>
        </w:rPr>
        <w:t>Todas las tuberías directas y bombas, preferiblemente rotativas, utilizadas para el trasiego de la emulsión bituminosa, desde la cisterna de tra</w:t>
      </w:r>
      <w:r w:rsidR="00E43F4F" w:rsidRPr="004E4FA7">
        <w:rPr>
          <w:lang w:val="es-ES"/>
        </w:rPr>
        <w:t>nsporte al tanque de almacena</w:t>
      </w:r>
      <w:r w:rsidRPr="004E4FA7">
        <w:rPr>
          <w:lang w:val="es-ES"/>
        </w:rPr>
        <w:t>miento y de éste al equipo de aplicación en obra o mezclador, deberán estar dispuestas de modo que se puedan limpiar fácil y perfectamente después de cada aplicación o jornada de trabajo.</w:t>
      </w:r>
    </w:p>
    <w:p w14:paraId="3505C0E0" w14:textId="77777777" w:rsidR="00667297" w:rsidRPr="004E4FA7" w:rsidRDefault="00667297" w:rsidP="00667297">
      <w:pPr>
        <w:pStyle w:val="NORMAL12"/>
        <w:rPr>
          <w:lang w:val="es-ES"/>
        </w:rPr>
      </w:pPr>
      <w:r w:rsidRPr="004E4FA7">
        <w:rPr>
          <w:lang w:val="es-ES"/>
        </w:rPr>
        <w:t xml:space="preserve">El </w:t>
      </w:r>
      <w:proofErr w:type="gramStart"/>
      <w:r w:rsidRPr="004E4FA7">
        <w:rPr>
          <w:lang w:val="es-ES"/>
        </w:rPr>
        <w:t>Director</w:t>
      </w:r>
      <w:proofErr w:type="gramEnd"/>
      <w:r w:rsidRPr="004E4FA7">
        <w:rPr>
          <w:lang w:val="es-ES"/>
        </w:rPr>
        <w:t xml:space="preserve"> de las Obras comprobará, con la frecuencia que considere necesaria, los sistemas de transporte y trasiego y las condiciones del almacenamiento en todo cuanto pudiera afectar a la calidad del material; y de no ser de su conformidad, suspenderá la </w:t>
      </w:r>
      <w:r w:rsidRPr="004E4FA7">
        <w:rPr>
          <w:lang w:val="es-ES"/>
        </w:rPr>
        <w:lastRenderedPageBreak/>
        <w:t>utilización del contenido del tanque o cisterna correspondiente hasta la comprobación de las características que estime convenientes</w:t>
      </w:r>
      <w:r w:rsidR="00A0481B" w:rsidRPr="004E4FA7">
        <w:rPr>
          <w:lang w:val="es-ES"/>
        </w:rPr>
        <w:t xml:space="preserve"> según las especificaciones del PG3</w:t>
      </w:r>
      <w:r w:rsidR="001B0531" w:rsidRPr="004E4FA7">
        <w:rPr>
          <w:lang w:val="es-ES"/>
        </w:rPr>
        <w:t>.</w:t>
      </w:r>
    </w:p>
    <w:p w14:paraId="38C515DC" w14:textId="77777777" w:rsidR="00667297" w:rsidRPr="004E4FA7" w:rsidRDefault="00667297" w:rsidP="000313DD">
      <w:pPr>
        <w:pStyle w:val="TITU2"/>
      </w:pPr>
      <w:bookmarkStart w:id="301" w:name="_Toc404124"/>
      <w:r w:rsidRPr="004E4FA7">
        <w:t>214.5. Recepción e identificación</w:t>
      </w:r>
      <w:bookmarkEnd w:id="301"/>
    </w:p>
    <w:p w14:paraId="7BE47382" w14:textId="77777777" w:rsidR="00667297" w:rsidRPr="004E4FA7" w:rsidRDefault="00667297" w:rsidP="00667297">
      <w:pPr>
        <w:pStyle w:val="NORMAL12"/>
        <w:rPr>
          <w:lang w:val="es-ES"/>
        </w:rPr>
      </w:pPr>
      <w:r w:rsidRPr="004E4FA7">
        <w:rPr>
          <w:lang w:val="es-ES"/>
        </w:rPr>
        <w:t>Cada cisterna de emulsión bituminosa catiónica que llegue a obra irá acompañada de un albarán y la información relativa al etiquetado y marcado CE de la norma UNE-EN 13808</w:t>
      </w:r>
      <w:r w:rsidR="00497B45" w:rsidRPr="004E4FA7">
        <w:rPr>
          <w:lang w:val="es-ES"/>
        </w:rPr>
        <w:t>:2013</w:t>
      </w:r>
      <w:r w:rsidRPr="004E4FA7">
        <w:rPr>
          <w:lang w:val="es-ES"/>
        </w:rPr>
        <w:t>.</w:t>
      </w:r>
    </w:p>
    <w:p w14:paraId="06303339" w14:textId="77777777" w:rsidR="00667297" w:rsidRPr="004E4FA7" w:rsidRDefault="00667297" w:rsidP="00667297">
      <w:pPr>
        <w:pStyle w:val="NORMAL12"/>
        <w:rPr>
          <w:lang w:val="es-ES"/>
        </w:rPr>
      </w:pPr>
      <w:r w:rsidRPr="004E4FA7">
        <w:rPr>
          <w:lang w:val="es-ES"/>
        </w:rPr>
        <w:t>El suministrador deberá entregar un certificado, en su caso proporcionado por el fabricante, de que la emulsión no contiene en su composición alquitranes u otras sustancias derivadas de la destilación de productos carbonosos, ni tampoco betunes oxidados.</w:t>
      </w:r>
    </w:p>
    <w:p w14:paraId="0229C1E4" w14:textId="77777777" w:rsidR="00667297" w:rsidRPr="004E4FA7" w:rsidRDefault="00667297" w:rsidP="000313DD">
      <w:pPr>
        <w:pStyle w:val="TITU2"/>
      </w:pPr>
      <w:bookmarkStart w:id="302" w:name="_Toc404125"/>
      <w:r w:rsidRPr="004E4FA7">
        <w:t>214.6. Control de calidad</w:t>
      </w:r>
      <w:bookmarkEnd w:id="302"/>
    </w:p>
    <w:p w14:paraId="16FFF370" w14:textId="77777777" w:rsidR="00667297" w:rsidRPr="004E4FA7" w:rsidRDefault="00667297" w:rsidP="00D81C53">
      <w:pPr>
        <w:pStyle w:val="TITU3"/>
        <w:numPr>
          <w:ilvl w:val="0"/>
          <w:numId w:val="0"/>
        </w:numPr>
        <w:outlineLvl w:val="3"/>
      </w:pPr>
      <w:r w:rsidRPr="004E4FA7">
        <w:t>214.6.1. Control de recepción</w:t>
      </w:r>
    </w:p>
    <w:p w14:paraId="742ADE96" w14:textId="77777777" w:rsidR="006914AA" w:rsidRPr="004E4FA7" w:rsidRDefault="00667297" w:rsidP="00667297">
      <w:pPr>
        <w:pStyle w:val="NORMAL12"/>
        <w:rPr>
          <w:lang w:val="es-ES"/>
        </w:rPr>
      </w:pPr>
      <w:r w:rsidRPr="004E4FA7">
        <w:rPr>
          <w:lang w:val="es-ES"/>
        </w:rPr>
        <w:t xml:space="preserve">Para el control de recepción se llevará a cabo la verificación documental de que los valores declarados en la información que acompaña al marcado CE cumplen las especificaciones establecidas en este Pliego. </w:t>
      </w:r>
    </w:p>
    <w:p w14:paraId="2BAA1B9A" w14:textId="77777777" w:rsidR="006914AA" w:rsidRPr="004E4FA7" w:rsidRDefault="006914AA" w:rsidP="00667297">
      <w:pPr>
        <w:pStyle w:val="NORMAL12"/>
        <w:rPr>
          <w:lang w:val="es-ES"/>
        </w:rPr>
      </w:pPr>
      <w:r w:rsidRPr="004E4FA7">
        <w:rPr>
          <w:lang w:val="es-ES"/>
        </w:rPr>
        <w:t xml:space="preserve">Se realizarán </w:t>
      </w:r>
      <w:r w:rsidR="00667297" w:rsidRPr="004E4FA7">
        <w:rPr>
          <w:lang w:val="es-ES"/>
        </w:rPr>
        <w:t>la</w:t>
      </w:r>
      <w:r w:rsidRPr="004E4FA7">
        <w:rPr>
          <w:lang w:val="es-ES"/>
        </w:rPr>
        <w:t>s</w:t>
      </w:r>
      <w:r w:rsidR="00667297" w:rsidRPr="004E4FA7">
        <w:rPr>
          <w:lang w:val="es-ES"/>
        </w:rPr>
        <w:t xml:space="preserve"> comprobaciones y ensayos sobre los materiales suministrados a la obra</w:t>
      </w:r>
      <w:r w:rsidRPr="004E4FA7">
        <w:rPr>
          <w:lang w:val="es-ES"/>
        </w:rPr>
        <w:t xml:space="preserve"> según los criterios siguientes: </w:t>
      </w:r>
    </w:p>
    <w:p w14:paraId="37F1A735" w14:textId="77777777" w:rsidR="00667297" w:rsidRPr="004E4FA7" w:rsidRDefault="00667297" w:rsidP="00C135D0">
      <w:pPr>
        <w:pStyle w:val="NORMAL12"/>
        <w:numPr>
          <w:ilvl w:val="0"/>
          <w:numId w:val="18"/>
        </w:numPr>
        <w:rPr>
          <w:lang w:val="es-ES"/>
        </w:rPr>
      </w:pPr>
      <w:r w:rsidRPr="004E4FA7">
        <w:rPr>
          <w:lang w:val="es-ES"/>
        </w:rPr>
        <w:t>De cada cisterna de emulsión bituminosa que llegue a la obra se tomará dos (2) muestras de, al menos, dos kilogramos (2 kg), de acuerdo con la norma UNE-EN 58</w:t>
      </w:r>
      <w:r w:rsidR="009A4D0D" w:rsidRPr="004E4FA7">
        <w:rPr>
          <w:lang w:val="es-ES"/>
        </w:rPr>
        <w:t>:2012</w:t>
      </w:r>
      <w:r w:rsidRPr="004E4FA7">
        <w:rPr>
          <w:lang w:val="es-ES"/>
        </w:rPr>
        <w:t>, en el momento del trasvase del material de la cisterna al tanque de almacenamiento.</w:t>
      </w:r>
    </w:p>
    <w:p w14:paraId="4CA861F0" w14:textId="77777777" w:rsidR="00667297" w:rsidRPr="004E4FA7" w:rsidRDefault="00667297" w:rsidP="00667297">
      <w:pPr>
        <w:pStyle w:val="NORMAL12"/>
        <w:rPr>
          <w:lang w:val="es-ES"/>
        </w:rPr>
      </w:pPr>
      <w:r w:rsidRPr="004E4FA7">
        <w:rPr>
          <w:lang w:val="es-ES"/>
        </w:rPr>
        <w:t>Sobre una de las muestras se realizarán los siguientes ensayos:</w:t>
      </w:r>
    </w:p>
    <w:p w14:paraId="72C20B2D" w14:textId="77777777" w:rsidR="00667297" w:rsidRPr="004E4FA7" w:rsidRDefault="00667297" w:rsidP="00AF2335">
      <w:pPr>
        <w:pStyle w:val="NORMAL12"/>
        <w:numPr>
          <w:ilvl w:val="0"/>
          <w:numId w:val="18"/>
        </w:numPr>
        <w:rPr>
          <w:lang w:val="es-ES"/>
        </w:rPr>
      </w:pPr>
      <w:r w:rsidRPr="004E4FA7">
        <w:rPr>
          <w:lang w:val="es-ES"/>
        </w:rPr>
        <w:t>Carga de las partículas (norma UNE-EN 1430</w:t>
      </w:r>
      <w:r w:rsidR="00497B45" w:rsidRPr="004E4FA7">
        <w:rPr>
          <w:lang w:val="es-ES"/>
        </w:rPr>
        <w:t>:2009</w:t>
      </w:r>
      <w:r w:rsidRPr="004E4FA7">
        <w:rPr>
          <w:lang w:val="es-ES"/>
        </w:rPr>
        <w:t>).</w:t>
      </w:r>
    </w:p>
    <w:p w14:paraId="1933B922" w14:textId="77777777" w:rsidR="00667297" w:rsidRPr="004E4FA7" w:rsidRDefault="00667297" w:rsidP="00AF2335">
      <w:pPr>
        <w:pStyle w:val="NORMAL12"/>
        <w:numPr>
          <w:ilvl w:val="0"/>
          <w:numId w:val="18"/>
        </w:numPr>
        <w:rPr>
          <w:lang w:val="es-ES"/>
        </w:rPr>
      </w:pPr>
      <w:r w:rsidRPr="004E4FA7">
        <w:rPr>
          <w:lang w:val="es-ES"/>
        </w:rPr>
        <w:t>Propiedades perceptibles (norma UNE-EN 1425</w:t>
      </w:r>
      <w:r w:rsidR="00497B45" w:rsidRPr="004E4FA7">
        <w:rPr>
          <w:lang w:val="es-ES"/>
        </w:rPr>
        <w:t>:2012</w:t>
      </w:r>
      <w:r w:rsidRPr="004E4FA7">
        <w:rPr>
          <w:lang w:val="es-ES"/>
        </w:rPr>
        <w:t>).</w:t>
      </w:r>
    </w:p>
    <w:p w14:paraId="70520386" w14:textId="77777777" w:rsidR="00667297" w:rsidRPr="004E4FA7" w:rsidRDefault="00667297" w:rsidP="00AF2335">
      <w:pPr>
        <w:pStyle w:val="NORMAL12"/>
        <w:numPr>
          <w:ilvl w:val="0"/>
          <w:numId w:val="18"/>
        </w:numPr>
        <w:rPr>
          <w:lang w:val="es-ES"/>
        </w:rPr>
      </w:pPr>
      <w:r w:rsidRPr="004E4FA7">
        <w:rPr>
          <w:lang w:val="es-ES"/>
        </w:rPr>
        <w:t>Índice de rotura (norma UNE-EN 13075-1</w:t>
      </w:r>
      <w:r w:rsidR="00497B45" w:rsidRPr="004E4FA7">
        <w:rPr>
          <w:lang w:val="es-ES"/>
        </w:rPr>
        <w:t>:2017</w:t>
      </w:r>
      <w:r w:rsidRPr="004E4FA7">
        <w:rPr>
          <w:lang w:val="es-ES"/>
        </w:rPr>
        <w:t>).</w:t>
      </w:r>
    </w:p>
    <w:p w14:paraId="155E1209" w14:textId="77777777" w:rsidR="00667297" w:rsidRPr="004E4FA7" w:rsidRDefault="00667297" w:rsidP="00AF2335">
      <w:pPr>
        <w:pStyle w:val="NORMAL12"/>
        <w:numPr>
          <w:ilvl w:val="0"/>
          <w:numId w:val="18"/>
        </w:numPr>
        <w:rPr>
          <w:lang w:val="es-ES"/>
        </w:rPr>
      </w:pPr>
      <w:r w:rsidRPr="004E4FA7">
        <w:rPr>
          <w:lang w:val="es-ES"/>
        </w:rPr>
        <w:t>Contenido de agua (norma UNE-EN 1428</w:t>
      </w:r>
      <w:r w:rsidR="00497B45" w:rsidRPr="004E4FA7">
        <w:rPr>
          <w:lang w:val="es-ES"/>
        </w:rPr>
        <w:t>:2012</w:t>
      </w:r>
      <w:r w:rsidRPr="004E4FA7">
        <w:rPr>
          <w:lang w:val="es-ES"/>
        </w:rPr>
        <w:t>).</w:t>
      </w:r>
    </w:p>
    <w:p w14:paraId="54E69B8A" w14:textId="77777777" w:rsidR="00667297" w:rsidRPr="004E4FA7" w:rsidRDefault="00667297" w:rsidP="00AF2335">
      <w:pPr>
        <w:pStyle w:val="NORMAL12"/>
        <w:numPr>
          <w:ilvl w:val="0"/>
          <w:numId w:val="18"/>
        </w:numPr>
        <w:rPr>
          <w:lang w:val="es-ES"/>
        </w:rPr>
      </w:pPr>
      <w:r w:rsidRPr="004E4FA7">
        <w:rPr>
          <w:lang w:val="es-ES"/>
        </w:rPr>
        <w:t>Tamizado (norma UNE-EN 1429</w:t>
      </w:r>
      <w:r w:rsidR="00497B45" w:rsidRPr="004E4FA7">
        <w:rPr>
          <w:lang w:val="es-ES"/>
        </w:rPr>
        <w:t>:2013</w:t>
      </w:r>
      <w:r w:rsidRPr="004E4FA7">
        <w:rPr>
          <w:lang w:val="es-ES"/>
        </w:rPr>
        <w:t>).</w:t>
      </w:r>
    </w:p>
    <w:p w14:paraId="2DE9E6C8" w14:textId="77777777" w:rsidR="00667297" w:rsidRPr="004E4FA7" w:rsidRDefault="00667297" w:rsidP="00AF2335">
      <w:pPr>
        <w:pStyle w:val="NORMAL12"/>
        <w:numPr>
          <w:ilvl w:val="0"/>
          <w:numId w:val="18"/>
        </w:numPr>
        <w:rPr>
          <w:lang w:val="es-ES"/>
        </w:rPr>
      </w:pPr>
      <w:r w:rsidRPr="004E4FA7">
        <w:rPr>
          <w:lang w:val="es-ES"/>
        </w:rPr>
        <w:t>Tiempo de fluencia (norma UNE-EN 12846-1</w:t>
      </w:r>
      <w:r w:rsidR="00497B45" w:rsidRPr="004E4FA7">
        <w:rPr>
          <w:lang w:val="es-ES"/>
        </w:rPr>
        <w:t>:2011</w:t>
      </w:r>
      <w:r w:rsidRPr="004E4FA7">
        <w:rPr>
          <w:lang w:val="es-ES"/>
        </w:rPr>
        <w:t>).</w:t>
      </w:r>
    </w:p>
    <w:p w14:paraId="014764D8" w14:textId="77777777" w:rsidR="00C135D0" w:rsidRPr="004E4FA7" w:rsidRDefault="00C135D0" w:rsidP="00C135D0">
      <w:pPr>
        <w:pStyle w:val="NORMAL12"/>
        <w:rPr>
          <w:lang w:val="es-ES"/>
        </w:rPr>
      </w:pPr>
      <w:r w:rsidRPr="004E4FA7">
        <w:rPr>
          <w:lang w:val="es-ES"/>
        </w:rPr>
        <w:t>Y la otra muestra se conservará durante, al menos, quince días (15 d) para realizar ensayos de contraste si fueran necesarios.</w:t>
      </w:r>
    </w:p>
    <w:p w14:paraId="2AF4724F" w14:textId="77777777" w:rsidR="00667297" w:rsidRPr="004E4FA7" w:rsidRDefault="00667297" w:rsidP="00D81C53">
      <w:pPr>
        <w:pStyle w:val="TITU3"/>
        <w:numPr>
          <w:ilvl w:val="0"/>
          <w:numId w:val="0"/>
        </w:numPr>
        <w:outlineLvl w:val="3"/>
      </w:pPr>
      <w:r w:rsidRPr="004E4FA7">
        <w:t>214.6.2. Control en el momento de empleo</w:t>
      </w:r>
    </w:p>
    <w:p w14:paraId="7ED2113F" w14:textId="77777777" w:rsidR="00667297" w:rsidRPr="004E4FA7" w:rsidRDefault="00667297" w:rsidP="00667297">
      <w:pPr>
        <w:pStyle w:val="NORMAL12"/>
        <w:rPr>
          <w:lang w:val="es-ES"/>
        </w:rPr>
      </w:pPr>
      <w:r w:rsidRPr="004E4FA7">
        <w:rPr>
          <w:lang w:val="es-ES"/>
        </w:rPr>
        <w:t>Se considerará como lote, que se aceptará o rechazará en bloque</w:t>
      </w:r>
      <w:r w:rsidR="000D3FA5" w:rsidRPr="004E4FA7">
        <w:rPr>
          <w:lang w:val="es-ES"/>
        </w:rPr>
        <w:t xml:space="preserve"> </w:t>
      </w:r>
      <w:r w:rsidRPr="004E4FA7">
        <w:rPr>
          <w:lang w:val="es-ES"/>
        </w:rPr>
        <w:t xml:space="preserve">a la cantidad de treinta toneladas (30 t) o fracción diaria de emulsión bituminosa, excepto en el caso de emulsiones empleadas en riegos de adherencia, imprimación y curado, en cuyo caso se considerará como lote la fracción semanal. </w:t>
      </w:r>
    </w:p>
    <w:p w14:paraId="5BEC8D57" w14:textId="77777777" w:rsidR="00667297" w:rsidRPr="004E4FA7" w:rsidRDefault="00667297" w:rsidP="00667297">
      <w:pPr>
        <w:pStyle w:val="NORMAL12"/>
        <w:rPr>
          <w:lang w:val="es-ES"/>
        </w:rPr>
      </w:pPr>
      <w:r w:rsidRPr="004E4FA7">
        <w:rPr>
          <w:lang w:val="es-ES"/>
        </w:rPr>
        <w:t xml:space="preserve">De cada lote se tomarán dos (2) muestras de, al menos, dos kilogramos (2 kg), según la norma </w:t>
      </w:r>
      <w:r w:rsidR="009A4D0D" w:rsidRPr="004E4FA7">
        <w:rPr>
          <w:lang w:val="es-ES"/>
        </w:rPr>
        <w:t>UNE-EN 58:2012</w:t>
      </w:r>
      <w:r w:rsidRPr="004E4FA7">
        <w:rPr>
          <w:lang w:val="es-ES"/>
        </w:rPr>
        <w:t>, a la salida del tanque de almacenamiento</w:t>
      </w:r>
      <w:r w:rsidR="006914AA" w:rsidRPr="004E4FA7">
        <w:rPr>
          <w:lang w:val="es-ES"/>
        </w:rPr>
        <w:t>, sobre las que se realizarán los ensayos siguientes:</w:t>
      </w:r>
    </w:p>
    <w:p w14:paraId="1CF736F9" w14:textId="77777777" w:rsidR="00667297" w:rsidRPr="004E4FA7" w:rsidRDefault="00667297" w:rsidP="00AF2335">
      <w:pPr>
        <w:pStyle w:val="NORMAL12"/>
        <w:numPr>
          <w:ilvl w:val="0"/>
          <w:numId w:val="19"/>
        </w:numPr>
        <w:rPr>
          <w:lang w:val="es-ES"/>
        </w:rPr>
      </w:pPr>
      <w:r w:rsidRPr="004E4FA7">
        <w:rPr>
          <w:lang w:val="es-ES"/>
        </w:rPr>
        <w:t>Carga de las partículas (norma UNE-EN 1430</w:t>
      </w:r>
      <w:r w:rsidR="00497B45" w:rsidRPr="004E4FA7">
        <w:rPr>
          <w:lang w:val="es-ES"/>
        </w:rPr>
        <w:t>:2009</w:t>
      </w:r>
      <w:r w:rsidRPr="004E4FA7">
        <w:rPr>
          <w:lang w:val="es-ES"/>
        </w:rPr>
        <w:t>).</w:t>
      </w:r>
    </w:p>
    <w:p w14:paraId="5304A54E" w14:textId="77777777" w:rsidR="00667297" w:rsidRPr="004E4FA7" w:rsidRDefault="00667297" w:rsidP="00AF2335">
      <w:pPr>
        <w:pStyle w:val="NORMAL12"/>
        <w:numPr>
          <w:ilvl w:val="0"/>
          <w:numId w:val="19"/>
        </w:numPr>
        <w:rPr>
          <w:lang w:val="es-ES"/>
        </w:rPr>
      </w:pPr>
      <w:r w:rsidRPr="004E4FA7">
        <w:rPr>
          <w:lang w:val="es-ES"/>
        </w:rPr>
        <w:t>Propiedades perceptibles (norma UNE-EN 1425</w:t>
      </w:r>
      <w:r w:rsidR="00497B45" w:rsidRPr="004E4FA7">
        <w:rPr>
          <w:lang w:val="es-ES"/>
        </w:rPr>
        <w:t>:2012</w:t>
      </w:r>
      <w:r w:rsidRPr="004E4FA7">
        <w:rPr>
          <w:lang w:val="es-ES"/>
        </w:rPr>
        <w:t>).</w:t>
      </w:r>
    </w:p>
    <w:p w14:paraId="744679AC" w14:textId="77777777" w:rsidR="00667297" w:rsidRPr="004E4FA7" w:rsidRDefault="00667297" w:rsidP="00AF2335">
      <w:pPr>
        <w:pStyle w:val="NORMAL12"/>
        <w:numPr>
          <w:ilvl w:val="0"/>
          <w:numId w:val="19"/>
        </w:numPr>
        <w:rPr>
          <w:lang w:val="es-ES"/>
        </w:rPr>
      </w:pPr>
      <w:r w:rsidRPr="004E4FA7">
        <w:rPr>
          <w:lang w:val="es-ES"/>
        </w:rPr>
        <w:t>Índice de rotura (norma UNE-EN 13075-1</w:t>
      </w:r>
      <w:r w:rsidR="00497B45" w:rsidRPr="004E4FA7">
        <w:rPr>
          <w:lang w:val="es-ES"/>
        </w:rPr>
        <w:t>:2017</w:t>
      </w:r>
      <w:r w:rsidRPr="004E4FA7">
        <w:rPr>
          <w:lang w:val="es-ES"/>
        </w:rPr>
        <w:t>).</w:t>
      </w:r>
    </w:p>
    <w:p w14:paraId="4EB6C19B" w14:textId="77777777" w:rsidR="00667297" w:rsidRPr="004E4FA7" w:rsidRDefault="00667297" w:rsidP="00AF2335">
      <w:pPr>
        <w:pStyle w:val="NORMAL12"/>
        <w:numPr>
          <w:ilvl w:val="0"/>
          <w:numId w:val="19"/>
        </w:numPr>
        <w:rPr>
          <w:lang w:val="es-ES"/>
        </w:rPr>
      </w:pPr>
      <w:r w:rsidRPr="004E4FA7">
        <w:rPr>
          <w:lang w:val="es-ES"/>
        </w:rPr>
        <w:t>Contenido de agua (norma UNE-EN 1428</w:t>
      </w:r>
      <w:r w:rsidR="00497B45" w:rsidRPr="004E4FA7">
        <w:rPr>
          <w:lang w:val="es-ES"/>
        </w:rPr>
        <w:t>:2012</w:t>
      </w:r>
      <w:r w:rsidRPr="004E4FA7">
        <w:rPr>
          <w:lang w:val="es-ES"/>
        </w:rPr>
        <w:t>).</w:t>
      </w:r>
    </w:p>
    <w:p w14:paraId="542E368B" w14:textId="77777777" w:rsidR="00667297" w:rsidRPr="004E4FA7" w:rsidRDefault="00667297" w:rsidP="00AF2335">
      <w:pPr>
        <w:pStyle w:val="NORMAL12"/>
        <w:numPr>
          <w:ilvl w:val="0"/>
          <w:numId w:val="19"/>
        </w:numPr>
        <w:rPr>
          <w:lang w:val="es-ES"/>
        </w:rPr>
      </w:pPr>
      <w:r w:rsidRPr="004E4FA7">
        <w:rPr>
          <w:lang w:val="es-ES"/>
        </w:rPr>
        <w:t xml:space="preserve">Tamizado (norma </w:t>
      </w:r>
      <w:r w:rsidR="00497B45" w:rsidRPr="004E4FA7">
        <w:rPr>
          <w:lang w:val="es-ES"/>
        </w:rPr>
        <w:t>UNE-EN 1429:2013</w:t>
      </w:r>
      <w:r w:rsidRPr="004E4FA7">
        <w:rPr>
          <w:lang w:val="es-ES"/>
        </w:rPr>
        <w:t>).</w:t>
      </w:r>
    </w:p>
    <w:p w14:paraId="0BEF472B" w14:textId="77777777" w:rsidR="00667297" w:rsidRPr="004E4FA7" w:rsidRDefault="00667297" w:rsidP="00AF2335">
      <w:pPr>
        <w:pStyle w:val="NORMAL12"/>
        <w:numPr>
          <w:ilvl w:val="0"/>
          <w:numId w:val="19"/>
        </w:numPr>
        <w:rPr>
          <w:lang w:val="es-ES"/>
        </w:rPr>
      </w:pPr>
      <w:r w:rsidRPr="004E4FA7">
        <w:rPr>
          <w:lang w:val="es-ES"/>
        </w:rPr>
        <w:t xml:space="preserve">Tiempo de fluencia (norma </w:t>
      </w:r>
      <w:r w:rsidR="00497B45" w:rsidRPr="004E4FA7">
        <w:rPr>
          <w:lang w:val="es-ES"/>
        </w:rPr>
        <w:t>UNE-EN 12846-1:2011</w:t>
      </w:r>
      <w:r w:rsidRPr="004E4FA7">
        <w:rPr>
          <w:lang w:val="es-ES"/>
        </w:rPr>
        <w:t>).</w:t>
      </w:r>
    </w:p>
    <w:p w14:paraId="7589F9D6" w14:textId="77777777" w:rsidR="00667297" w:rsidRPr="004E4FA7" w:rsidRDefault="00667297" w:rsidP="00667297">
      <w:pPr>
        <w:pStyle w:val="NORMAL12"/>
        <w:rPr>
          <w:lang w:val="es-ES"/>
        </w:rPr>
      </w:pPr>
      <w:r w:rsidRPr="004E4FA7">
        <w:rPr>
          <w:lang w:val="es-ES"/>
        </w:rPr>
        <w:t>Y la otra se conservará durante, al menos, quince días (15 d) para realizar ensayos de contraste si fueran necesarios.</w:t>
      </w:r>
    </w:p>
    <w:p w14:paraId="49426FF1" w14:textId="77777777" w:rsidR="00667297" w:rsidRPr="004E4FA7" w:rsidRDefault="00667297" w:rsidP="00D81C53">
      <w:pPr>
        <w:pStyle w:val="TITU3"/>
        <w:numPr>
          <w:ilvl w:val="0"/>
          <w:numId w:val="0"/>
        </w:numPr>
        <w:outlineLvl w:val="3"/>
      </w:pPr>
      <w:r w:rsidRPr="004E4FA7">
        <w:t>214.6.3. Control adicional</w:t>
      </w:r>
    </w:p>
    <w:p w14:paraId="14CD4B4B" w14:textId="77777777" w:rsidR="00667297" w:rsidRPr="004E4FA7" w:rsidRDefault="006914AA" w:rsidP="00667297">
      <w:pPr>
        <w:pStyle w:val="NORMAL12"/>
        <w:rPr>
          <w:lang w:val="es-ES"/>
        </w:rPr>
      </w:pPr>
      <w:r w:rsidRPr="004E4FA7">
        <w:rPr>
          <w:lang w:val="es-ES"/>
        </w:rPr>
        <w:t xml:space="preserve">Se realizarán los ensayos </w:t>
      </w:r>
      <w:r w:rsidR="00667297" w:rsidRPr="004E4FA7">
        <w:rPr>
          <w:lang w:val="es-ES"/>
        </w:rPr>
        <w:t xml:space="preserve">necesarios para la comprobación de las características especificadas en </w:t>
      </w:r>
      <w:r w:rsidR="00A0481B" w:rsidRPr="004E4FA7">
        <w:rPr>
          <w:lang w:val="es-ES"/>
        </w:rPr>
        <w:t>el PG3 para emulsiones bituminosas o emulsiones bituminosas modificadas,</w:t>
      </w:r>
      <w:r w:rsidR="00667297" w:rsidRPr="004E4FA7">
        <w:rPr>
          <w:lang w:val="es-ES"/>
        </w:rPr>
        <w:t xml:space="preserve"> según corresponda, con una frecuencia recomendada de una (1) vez cada mes y como mínimo tres (3) veces durante la ejecución de la obra, por cada tipo y composición de emulsión bituminosa.</w:t>
      </w:r>
    </w:p>
    <w:p w14:paraId="22CE2E73" w14:textId="77777777" w:rsidR="00667297" w:rsidRPr="004E4FA7" w:rsidRDefault="00667297" w:rsidP="000313DD">
      <w:pPr>
        <w:pStyle w:val="TITU2"/>
      </w:pPr>
      <w:bookmarkStart w:id="303" w:name="_Toc404126"/>
      <w:r w:rsidRPr="004E4FA7">
        <w:t>214.7</w:t>
      </w:r>
      <w:r w:rsidR="001444C7">
        <w:t>.</w:t>
      </w:r>
      <w:r w:rsidRPr="004E4FA7">
        <w:t xml:space="preserve"> Criterios de aceptación o rechazo</w:t>
      </w:r>
      <w:bookmarkEnd w:id="303"/>
    </w:p>
    <w:p w14:paraId="5AD8C013" w14:textId="77777777" w:rsidR="00283347" w:rsidRPr="004E4FA7" w:rsidRDefault="00343C26" w:rsidP="00667297">
      <w:pPr>
        <w:pStyle w:val="NORMAL12"/>
        <w:rPr>
          <w:lang w:val="es-ES"/>
        </w:rPr>
      </w:pPr>
      <w:r w:rsidRPr="004E4FA7">
        <w:rPr>
          <w:lang w:val="es-ES"/>
        </w:rPr>
        <w:t>E</w:t>
      </w:r>
      <w:r w:rsidR="00283347" w:rsidRPr="004E4FA7">
        <w:rPr>
          <w:lang w:val="es-ES"/>
        </w:rPr>
        <w:t xml:space="preserve">n el caso de que la emulsión bituminosa no cumpla alguna de las especificaciones </w:t>
      </w:r>
      <w:r w:rsidR="00EA0DCF" w:rsidRPr="004E4FA7">
        <w:rPr>
          <w:lang w:val="es-ES"/>
        </w:rPr>
        <w:t xml:space="preserve">particulares </w:t>
      </w:r>
      <w:r w:rsidR="00283347" w:rsidRPr="004E4FA7">
        <w:rPr>
          <w:lang w:val="es-ES"/>
        </w:rPr>
        <w:t xml:space="preserve">establecidas en </w:t>
      </w:r>
      <w:r w:rsidR="00EA0DCF" w:rsidRPr="004E4FA7">
        <w:rPr>
          <w:lang w:val="es-ES"/>
        </w:rPr>
        <w:t>el PG3</w:t>
      </w:r>
      <w:r w:rsidRPr="004E4FA7">
        <w:rPr>
          <w:lang w:val="es-ES"/>
        </w:rPr>
        <w:t>, se sustituirá por otro que sí que las cumpla, por cuenta del contratista.</w:t>
      </w:r>
    </w:p>
    <w:p w14:paraId="484D91FC" w14:textId="77777777" w:rsidR="00667297" w:rsidRPr="004E4FA7" w:rsidRDefault="00667297" w:rsidP="000313DD">
      <w:pPr>
        <w:pStyle w:val="TITU2"/>
      </w:pPr>
      <w:bookmarkStart w:id="304" w:name="_Toc404127"/>
      <w:r w:rsidRPr="004E4FA7">
        <w:lastRenderedPageBreak/>
        <w:t>214.8. Medición y abono</w:t>
      </w:r>
      <w:bookmarkEnd w:id="304"/>
    </w:p>
    <w:p w14:paraId="62E65EC4" w14:textId="77777777" w:rsidR="00667297" w:rsidRDefault="00667297" w:rsidP="00D86D43">
      <w:pPr>
        <w:pStyle w:val="NORMAL12"/>
        <w:rPr>
          <w:lang w:val="es-ES"/>
        </w:rPr>
      </w:pPr>
      <w:r w:rsidRPr="004E4FA7">
        <w:rPr>
          <w:lang w:val="es-ES"/>
        </w:rPr>
        <w:t>La medición y abono de la emulsión bituminosa se realizará según lo indicado en el Pliego de Prescripciones Técnicas Particulares para la unida</w:t>
      </w:r>
      <w:r w:rsidR="00D86D43">
        <w:rPr>
          <w:lang w:val="es-ES"/>
        </w:rPr>
        <w:t xml:space="preserve">d de obra de la que forme parte referidos a los artículos </w:t>
      </w:r>
      <w:r w:rsidR="00677962">
        <w:rPr>
          <w:lang w:val="es-ES"/>
        </w:rPr>
        <w:t>530</w:t>
      </w:r>
      <w:r w:rsidR="00D86D43">
        <w:rPr>
          <w:lang w:val="es-ES"/>
        </w:rPr>
        <w:t xml:space="preserve">.Riego de imprimación, </w:t>
      </w:r>
      <w:r w:rsidR="00677962">
        <w:rPr>
          <w:lang w:val="es-ES"/>
        </w:rPr>
        <w:t>531</w:t>
      </w:r>
      <w:r w:rsidR="00D86D43">
        <w:rPr>
          <w:lang w:val="es-ES"/>
        </w:rPr>
        <w:t xml:space="preserve">.Riego de adherencia y </w:t>
      </w:r>
      <w:r w:rsidR="00677962">
        <w:rPr>
          <w:lang w:val="es-ES"/>
        </w:rPr>
        <w:t>532</w:t>
      </w:r>
      <w:r w:rsidR="00D86D43">
        <w:rPr>
          <w:lang w:val="es-ES"/>
        </w:rPr>
        <w:t>. Riego de curado.</w:t>
      </w:r>
    </w:p>
    <w:p w14:paraId="3ACE6676" w14:textId="77777777" w:rsidR="00D86D43" w:rsidRPr="00D86D43" w:rsidRDefault="00D86D43" w:rsidP="00D86D43">
      <w:pPr>
        <w:pStyle w:val="NORMAL12"/>
        <w:rPr>
          <w:lang w:val="es-ES"/>
        </w:rPr>
        <w:sectPr w:rsidR="00D86D43" w:rsidRPr="00D86D43" w:rsidSect="003069BA">
          <w:pgSz w:w="23814" w:h="16840" w:orient="landscape" w:code="8"/>
          <w:pgMar w:top="992" w:right="851" w:bottom="1418" w:left="851" w:header="567" w:footer="1021" w:gutter="1418"/>
          <w:cols w:num="2" w:space="1134"/>
        </w:sectPr>
      </w:pPr>
    </w:p>
    <w:p w14:paraId="1B3D8DDE" w14:textId="77777777" w:rsidR="00A61A2B" w:rsidRDefault="001444C7" w:rsidP="006F6223">
      <w:pPr>
        <w:pStyle w:val="TITU1"/>
      </w:pPr>
      <w:bookmarkStart w:id="305" w:name="_Toc404128"/>
      <w:r>
        <w:lastRenderedPageBreak/>
        <w:t>Artículo 240.</w:t>
      </w:r>
      <w:r w:rsidR="00A61A2B" w:rsidRPr="000D3FA5">
        <w:t xml:space="preserve">  Bar</w:t>
      </w:r>
      <w:r w:rsidR="00E1754B" w:rsidRPr="000D3FA5">
        <w:t>r</w:t>
      </w:r>
      <w:r w:rsidR="00A61A2B" w:rsidRPr="000D3FA5">
        <w:t>as corrugadas para hormigón estructural</w:t>
      </w:r>
      <w:bookmarkEnd w:id="305"/>
    </w:p>
    <w:p w14:paraId="23783EB0" w14:textId="77777777" w:rsidR="00FA2EA4" w:rsidRPr="006B7EDC" w:rsidRDefault="00FA2EA4" w:rsidP="00FA2EA4">
      <w:pPr>
        <w:pStyle w:val="NORMAL12"/>
        <w:rPr>
          <w:lang w:val="es-ES"/>
        </w:rPr>
      </w:pPr>
      <w:r w:rsidRPr="006B7EDC">
        <w:rPr>
          <w:lang w:val="es-ES"/>
        </w:rPr>
        <w:t xml:space="preserve">Excepto para lo especificado en el presente Pliego de Prescripciones Técnicas </w:t>
      </w:r>
      <w:r>
        <w:rPr>
          <w:lang w:val="es-ES"/>
        </w:rPr>
        <w:t>P</w:t>
      </w:r>
      <w:r w:rsidRPr="006B7EDC">
        <w:rPr>
          <w:lang w:val="es-ES"/>
        </w:rPr>
        <w:t>articulares se seguirá lo pr</w:t>
      </w:r>
      <w:r>
        <w:rPr>
          <w:lang w:val="es-ES"/>
        </w:rPr>
        <w:t>escrito en el vigente artículo 240</w:t>
      </w:r>
      <w:r w:rsidRPr="006B7EDC">
        <w:rPr>
          <w:lang w:val="es-ES"/>
        </w:rPr>
        <w:t xml:space="preserve"> del PG-3.</w:t>
      </w:r>
    </w:p>
    <w:p w14:paraId="5709B2E3" w14:textId="77777777" w:rsidR="00A61A2B" w:rsidRPr="005864C2" w:rsidRDefault="00A61A2B" w:rsidP="000313DD">
      <w:pPr>
        <w:pStyle w:val="TITU2"/>
      </w:pPr>
      <w:bookmarkStart w:id="306" w:name="_Toc404129"/>
      <w:r w:rsidRPr="005864C2">
        <w:t>240.1. Definición</w:t>
      </w:r>
      <w:bookmarkEnd w:id="306"/>
    </w:p>
    <w:p w14:paraId="2A209D36" w14:textId="77777777" w:rsidR="00343C26" w:rsidRPr="009D03BC" w:rsidRDefault="00343C26" w:rsidP="00343C26">
      <w:pPr>
        <w:pStyle w:val="NORMAL12"/>
        <w:rPr>
          <w:lang w:val="es-ES"/>
        </w:rPr>
      </w:pPr>
      <w:r w:rsidRPr="009D03BC">
        <w:rPr>
          <w:lang w:val="es-ES"/>
        </w:rPr>
        <w:t>Se denominan barras corrugadas para hormigón estructural aquellos productos de acero de forma sensiblemente cilíndrica que presentan en su superficie resaltos o estrías con objeto de mejorar su adherencia al hormigón.</w:t>
      </w:r>
    </w:p>
    <w:p w14:paraId="403BE5ED" w14:textId="77777777" w:rsidR="00343C26" w:rsidRPr="009D03BC" w:rsidRDefault="00343C26" w:rsidP="00343C26">
      <w:pPr>
        <w:pStyle w:val="NORMAL12"/>
        <w:rPr>
          <w:lang w:val="es-ES"/>
        </w:rPr>
      </w:pPr>
      <w:r w:rsidRPr="009D03BC">
        <w:rPr>
          <w:lang w:val="es-ES"/>
        </w:rPr>
        <w:t>Los distintos elementos que conforman la geometría exterior de estas barras (tales como corrugas, aletas y núcleo) se definen según se especifica en la UNE 36068 y UNE 36065. Los diámetros nominales de las barras corrugadas se ajustarán a la serie siguiente:</w:t>
      </w:r>
    </w:p>
    <w:p w14:paraId="54F08F9C" w14:textId="77777777" w:rsidR="00343C26" w:rsidRPr="009D03BC" w:rsidRDefault="00343C26" w:rsidP="00343C26">
      <w:pPr>
        <w:pStyle w:val="NORMAL12"/>
        <w:jc w:val="center"/>
        <w:rPr>
          <w:lang w:val="es-ES"/>
        </w:rPr>
      </w:pPr>
      <w:r w:rsidRPr="009D03BC">
        <w:rPr>
          <w:lang w:val="es-ES"/>
        </w:rPr>
        <w:t>6 - 8 - 10 - 12 - 14 - 16 - 20 - 25 - 32 y 40 mm</w:t>
      </w:r>
    </w:p>
    <w:p w14:paraId="2BC23DB2" w14:textId="77777777" w:rsidR="00343C26" w:rsidRPr="009D03BC" w:rsidRDefault="00343C26" w:rsidP="00343C26">
      <w:pPr>
        <w:pStyle w:val="NORMAL12"/>
        <w:rPr>
          <w:lang w:val="es-ES"/>
        </w:rPr>
      </w:pPr>
      <w:r w:rsidRPr="009D03BC">
        <w:rPr>
          <w:lang w:val="es-ES"/>
        </w:rPr>
        <w:t>La designación simbólica de estos productos se hará de acuerdo con lo indicado en la UNE 36068.</w:t>
      </w:r>
    </w:p>
    <w:p w14:paraId="55C5B054" w14:textId="77777777" w:rsidR="00C36ABC" w:rsidRPr="00677962" w:rsidRDefault="00C36ABC" w:rsidP="00C36ABC">
      <w:pPr>
        <w:pStyle w:val="NORMAL12"/>
        <w:rPr>
          <w:lang w:val="es-ES"/>
        </w:rPr>
      </w:pPr>
      <w:r w:rsidRPr="009D03BC">
        <w:rPr>
          <w:lang w:val="es-ES"/>
        </w:rPr>
        <w:t xml:space="preserve">Las prescripciones del presente artículo </w:t>
      </w:r>
      <w:proofErr w:type="gramStart"/>
      <w:r w:rsidRPr="009D03BC">
        <w:rPr>
          <w:lang w:val="es-ES"/>
        </w:rPr>
        <w:t>son de aplicación</w:t>
      </w:r>
      <w:proofErr w:type="gramEnd"/>
      <w:r w:rsidRPr="009D03BC">
        <w:rPr>
          <w:lang w:val="es-ES"/>
        </w:rPr>
        <w:t xml:space="preserve"> a las unidades de obra </w:t>
      </w:r>
      <w:r w:rsidRPr="00677962">
        <w:rPr>
          <w:lang w:val="es-ES"/>
        </w:rPr>
        <w:t>siguientes:</w:t>
      </w:r>
    </w:p>
    <w:tbl>
      <w:tblPr>
        <w:tblW w:w="5000" w:type="pct"/>
        <w:tblLook w:val="04A0" w:firstRow="1" w:lastRow="0" w:firstColumn="1" w:lastColumn="0" w:noHBand="0" w:noVBand="1"/>
      </w:tblPr>
      <w:tblGrid>
        <w:gridCol w:w="1129"/>
        <w:gridCol w:w="757"/>
        <w:gridCol w:w="7968"/>
      </w:tblGrid>
      <w:tr w:rsidR="005864C2" w:rsidRPr="009D03BC" w14:paraId="41DEBF13" w14:textId="77777777" w:rsidTr="00AF65D3">
        <w:trPr>
          <w:trHeight w:val="300"/>
        </w:trPr>
        <w:tc>
          <w:tcPr>
            <w:tcW w:w="573" w:type="pct"/>
            <w:noWrap/>
          </w:tcPr>
          <w:p w14:paraId="1C0A581D" w14:textId="77777777" w:rsidR="006967A8" w:rsidRPr="003327CC" w:rsidRDefault="006967A8">
            <w:pPr>
              <w:rPr>
                <w:rFonts w:ascii="Calibri" w:hAnsi="Calibri"/>
              </w:rPr>
            </w:pPr>
            <w:r w:rsidRPr="003327CC">
              <w:rPr>
                <w:rFonts w:ascii="Calibri" w:hAnsi="Calibri"/>
              </w:rPr>
              <w:t xml:space="preserve">600.0010          </w:t>
            </w:r>
          </w:p>
        </w:tc>
        <w:tc>
          <w:tcPr>
            <w:tcW w:w="384" w:type="pct"/>
            <w:noWrap/>
          </w:tcPr>
          <w:p w14:paraId="53E322F5" w14:textId="77777777" w:rsidR="006967A8" w:rsidRPr="003327CC" w:rsidRDefault="006967A8">
            <w:pPr>
              <w:rPr>
                <w:rFonts w:ascii="Calibri" w:hAnsi="Calibri"/>
              </w:rPr>
            </w:pPr>
            <w:r w:rsidRPr="003327CC">
              <w:rPr>
                <w:rFonts w:ascii="Calibri" w:hAnsi="Calibri"/>
              </w:rPr>
              <w:t>kg</w:t>
            </w:r>
          </w:p>
        </w:tc>
        <w:tc>
          <w:tcPr>
            <w:tcW w:w="4043" w:type="pct"/>
          </w:tcPr>
          <w:p w14:paraId="4BC0E35A" w14:textId="77777777" w:rsidR="006967A8" w:rsidRPr="003327CC" w:rsidRDefault="00C032F0">
            <w:pPr>
              <w:rPr>
                <w:rFonts w:ascii="Calibri" w:hAnsi="Calibri"/>
              </w:rPr>
            </w:pPr>
            <w:r w:rsidRPr="003327CC">
              <w:rPr>
                <w:rFonts w:ascii="Calibri" w:hAnsi="Calibri"/>
              </w:rPr>
              <w:t>ACERO EN BARRAS CORRUGADAS B 500 S COLOCADO EN ARMADURAS PASIVAS, i/ CORTE Y DOBLADO, COLOCACIÓN SOLAPES, DESPUNTES Y P.P. DE ATADO CON ALAMBRE RECOCIDO Y SEPARADORES.</w:t>
            </w:r>
          </w:p>
        </w:tc>
      </w:tr>
    </w:tbl>
    <w:p w14:paraId="19550B67" w14:textId="77777777" w:rsidR="00A61A2B" w:rsidRDefault="00A61A2B" w:rsidP="000313DD">
      <w:pPr>
        <w:pStyle w:val="TITU2"/>
      </w:pPr>
      <w:bookmarkStart w:id="307" w:name="_Toc404130"/>
      <w:r w:rsidRPr="009D03BC">
        <w:t>240.2. Materiales</w:t>
      </w:r>
      <w:bookmarkEnd w:id="307"/>
    </w:p>
    <w:p w14:paraId="6EA33D8A" w14:textId="77777777" w:rsidR="00C135D0" w:rsidRPr="004E4FA7" w:rsidRDefault="00C135D0" w:rsidP="00C135D0">
      <w:pPr>
        <w:pStyle w:val="NORMAL12"/>
        <w:rPr>
          <w:lang w:val="es-ES"/>
        </w:rPr>
      </w:pPr>
      <w:r w:rsidRPr="004E4FA7">
        <w:rPr>
          <w:lang w:val="es-ES"/>
        </w:rPr>
        <w:t xml:space="preserve">Lo dispuesto en este artículo se entenderá sin perjuicio de lo establecido en el Real Decreto 1630/1992 (modificado por R.D. 1328/1995), por el que se dictan disposiciones para la libre circulación, en aplicación de la Directiva 89/106 CE. En particular, en lo referente a los procedimientos especiales de reconocimiento, se estará a lo establecido en el artículo 9 del mencionado Real Decreto. </w:t>
      </w:r>
    </w:p>
    <w:p w14:paraId="077CD025" w14:textId="77777777" w:rsidR="00343C26" w:rsidRPr="009D03BC" w:rsidRDefault="00343C26" w:rsidP="00343C26">
      <w:pPr>
        <w:pStyle w:val="NORMAL12"/>
        <w:rPr>
          <w:lang w:val="es-ES"/>
        </w:rPr>
      </w:pPr>
      <w:r w:rsidRPr="009D03BC">
        <w:rPr>
          <w:lang w:val="es-ES"/>
        </w:rPr>
        <w:t>Se emplearán aceros del tipo B500 S de acuerdo con la UNE 36068 y UNE 36065.</w:t>
      </w:r>
    </w:p>
    <w:p w14:paraId="5A49DC67" w14:textId="77777777" w:rsidR="00A61A2B" w:rsidRPr="009D03BC" w:rsidRDefault="00A61A2B" w:rsidP="00710F01">
      <w:pPr>
        <w:pStyle w:val="NORMAL12"/>
        <w:rPr>
          <w:lang w:val="es-ES"/>
        </w:rPr>
      </w:pPr>
      <w:r w:rsidRPr="009D03BC">
        <w:rPr>
          <w:lang w:val="es-ES"/>
        </w:rPr>
        <w:t>Las características de las barras corrugadas para hormigón estructural cumplirán con las especificaciones indicadas en el apartado 31.2 de la vigente “Instrucción de Hormigón Estructural (EHE)” o normativa que la sustituya, así como en la UNE 36068 y UNE 36065.</w:t>
      </w:r>
    </w:p>
    <w:p w14:paraId="5E9947C3" w14:textId="77777777" w:rsidR="00A61A2B" w:rsidRPr="009D03BC" w:rsidRDefault="00A61A2B" w:rsidP="00710F01">
      <w:pPr>
        <w:pStyle w:val="NORMAL12"/>
        <w:rPr>
          <w:lang w:val="es-ES"/>
        </w:rPr>
      </w:pPr>
      <w:r w:rsidRPr="009D03BC">
        <w:rPr>
          <w:lang w:val="es-ES"/>
        </w:rPr>
        <w:t>Las barras no presentarán defectos superficiales, grietas ni sopladuras.</w:t>
      </w:r>
    </w:p>
    <w:p w14:paraId="3962F6B5" w14:textId="77777777" w:rsidR="00A61A2B" w:rsidRPr="009D03BC" w:rsidRDefault="00A61A2B" w:rsidP="00710F01">
      <w:pPr>
        <w:pStyle w:val="NORMAL12"/>
        <w:rPr>
          <w:lang w:val="es-ES"/>
        </w:rPr>
      </w:pPr>
      <w:r w:rsidRPr="009D03BC">
        <w:rPr>
          <w:lang w:val="es-ES"/>
        </w:rPr>
        <w:t>La sección equivalente no será inferior al noventa y cinco y medio por ciento (95,5%) de su sección nominal.</w:t>
      </w:r>
    </w:p>
    <w:p w14:paraId="249F42B1" w14:textId="77777777" w:rsidR="00A61A2B" w:rsidRPr="009D03BC" w:rsidRDefault="00A61A2B" w:rsidP="00710F01">
      <w:pPr>
        <w:pStyle w:val="NORMAL12"/>
        <w:rPr>
          <w:lang w:val="es-ES"/>
        </w:rPr>
      </w:pPr>
      <w:r w:rsidRPr="009D03BC">
        <w:rPr>
          <w:lang w:val="es-ES"/>
        </w:rPr>
        <w:t>La marca indeleble de identificación se realizará de acuerdo con las indicaciones del apartado</w:t>
      </w:r>
      <w:r w:rsidR="00345464" w:rsidRPr="009D03BC">
        <w:rPr>
          <w:lang w:val="es-ES"/>
        </w:rPr>
        <w:t xml:space="preserve"> </w:t>
      </w:r>
      <w:r w:rsidRPr="009D03BC">
        <w:rPr>
          <w:lang w:val="es-ES"/>
        </w:rPr>
        <w:t>31.2 de la vigente “Instrucción de Hormigón Estructural (EHE)” o normativa que la sustituya.</w:t>
      </w:r>
    </w:p>
    <w:p w14:paraId="0CCE37FA" w14:textId="77777777" w:rsidR="00A61A2B" w:rsidRPr="009D03BC" w:rsidRDefault="00A61A2B" w:rsidP="000313DD">
      <w:pPr>
        <w:pStyle w:val="TITU2"/>
      </w:pPr>
      <w:bookmarkStart w:id="308" w:name="_Toc404131"/>
      <w:r w:rsidRPr="009D03BC">
        <w:t>240.5. Recepción</w:t>
      </w:r>
      <w:bookmarkEnd w:id="308"/>
    </w:p>
    <w:p w14:paraId="5E4623B9" w14:textId="77777777" w:rsidR="00A61A2B" w:rsidRPr="009D03BC" w:rsidRDefault="00A61A2B" w:rsidP="00710F01">
      <w:pPr>
        <w:pStyle w:val="NORMAL12"/>
        <w:rPr>
          <w:lang w:val="es-ES"/>
        </w:rPr>
      </w:pPr>
      <w:r w:rsidRPr="009D03BC">
        <w:rPr>
          <w:lang w:val="es-ES"/>
        </w:rPr>
        <w:t>Para efectuar la recepción de las barras corrugadas será necesario realizar ensayos de control de calidad de acuerdo con las prescripciones recogidas en el artículo 90 de la vigente “Instrucción de Hormigón Estructural (EHE)” o normativa que la sustituya.</w:t>
      </w:r>
    </w:p>
    <w:p w14:paraId="43D548FF" w14:textId="77777777" w:rsidR="00A61A2B" w:rsidRPr="009D03BC" w:rsidRDefault="00A61A2B" w:rsidP="00710F01">
      <w:pPr>
        <w:pStyle w:val="NORMAL12"/>
        <w:rPr>
          <w:lang w:val="es-ES"/>
        </w:rPr>
      </w:pPr>
      <w:r w:rsidRPr="009D03BC">
        <w:rPr>
          <w:lang w:val="es-ES"/>
        </w:rPr>
        <w:t>Serán de aplicación las condiciones de aceptación o rechazo de los aceros indicados en el apartado 90 de la vigente “Instrucción de Hormigón Estructural (EHE)” o normativa que la sustituya.</w:t>
      </w:r>
    </w:p>
    <w:p w14:paraId="685E41D7" w14:textId="77777777" w:rsidR="00A61A2B" w:rsidRPr="009D03BC" w:rsidRDefault="00A61A2B" w:rsidP="00710F01">
      <w:pPr>
        <w:pStyle w:val="NORMAL12"/>
        <w:rPr>
          <w:lang w:val="es-ES"/>
        </w:rPr>
      </w:pPr>
      <w:r w:rsidRPr="009D03BC">
        <w:rPr>
          <w:lang w:val="es-ES"/>
        </w:rPr>
        <w:t xml:space="preserve">El </w:t>
      </w:r>
      <w:proofErr w:type="gramStart"/>
      <w:r w:rsidRPr="009D03BC">
        <w:rPr>
          <w:lang w:val="es-ES"/>
        </w:rPr>
        <w:t>Director</w:t>
      </w:r>
      <w:proofErr w:type="gramEnd"/>
      <w:r w:rsidRPr="009D03BC">
        <w:rPr>
          <w:lang w:val="es-ES"/>
        </w:rPr>
        <w:t xml:space="preserve"> de las Obras podrá, siempre que lo considere oportuno, identificar y verificar la calidad y homogeneidad de los materiales que se encuentren acopiados.</w:t>
      </w:r>
    </w:p>
    <w:p w14:paraId="0310C1D5" w14:textId="77777777" w:rsidR="00A61A2B" w:rsidRPr="009D03BC" w:rsidRDefault="00A61A2B" w:rsidP="000313DD">
      <w:pPr>
        <w:pStyle w:val="TITU2"/>
      </w:pPr>
      <w:bookmarkStart w:id="309" w:name="_Toc404132"/>
      <w:r w:rsidRPr="009D03BC">
        <w:t>240.6. Medición y abono</w:t>
      </w:r>
      <w:bookmarkEnd w:id="309"/>
    </w:p>
    <w:p w14:paraId="34E8AAFF" w14:textId="77777777" w:rsidR="00A61A2B" w:rsidRPr="009D03BC" w:rsidRDefault="00A61A2B" w:rsidP="00710F01">
      <w:pPr>
        <w:pStyle w:val="NORMAL12"/>
        <w:rPr>
          <w:lang w:val="es-ES"/>
        </w:rPr>
      </w:pPr>
      <w:r w:rsidRPr="009D03BC">
        <w:rPr>
          <w:lang w:val="es-ES"/>
        </w:rPr>
        <w:t>La medición y abono de las barras corrugadas para hormigón estructural se realizará según lo indicado específicamente en la unidad de obra de la que formen parte.</w:t>
      </w:r>
    </w:p>
    <w:p w14:paraId="5CF4CF54" w14:textId="77777777" w:rsidR="00A61A2B" w:rsidRPr="009D03BC" w:rsidRDefault="00A61A2B" w:rsidP="00710F01">
      <w:pPr>
        <w:pStyle w:val="NORMAL12"/>
        <w:rPr>
          <w:lang w:val="es-ES"/>
        </w:rPr>
      </w:pPr>
      <w:r w:rsidRPr="009D03BC">
        <w:rPr>
          <w:lang w:val="es-ES"/>
        </w:rPr>
        <w:t>En acopios, las barras corrugadas para hormigón estructural se abonarán por kilogramos (kg)</w:t>
      </w:r>
      <w:r w:rsidR="00710F01" w:rsidRPr="009D03BC">
        <w:rPr>
          <w:lang w:val="es-ES"/>
        </w:rPr>
        <w:t xml:space="preserve"> </w:t>
      </w:r>
      <w:r w:rsidRPr="009D03BC">
        <w:rPr>
          <w:lang w:val="es-ES"/>
        </w:rPr>
        <w:t>realmente acopiados, medidos por pesada directa en báscula contrastada.</w:t>
      </w:r>
    </w:p>
    <w:p w14:paraId="36C2C06D" w14:textId="77777777" w:rsidR="003D2F97" w:rsidRPr="003D2F97" w:rsidRDefault="003D2F97" w:rsidP="003D2F97">
      <w:pPr>
        <w:pStyle w:val="NORMAL12"/>
        <w:rPr>
          <w:color w:val="FF0000"/>
          <w:lang w:val="es-ES"/>
        </w:rPr>
      </w:pPr>
    </w:p>
    <w:p w14:paraId="685CF98D" w14:textId="77777777" w:rsidR="003D2F97" w:rsidRPr="005864C2" w:rsidRDefault="003D2F97" w:rsidP="003D2F97">
      <w:pPr>
        <w:pStyle w:val="NORMAL12"/>
        <w:rPr>
          <w:color w:val="365F91" w:themeColor="accent1" w:themeShade="BF"/>
          <w:lang w:val="es-ES"/>
        </w:rPr>
      </w:pPr>
    </w:p>
    <w:p w14:paraId="51DE7BE6" w14:textId="77777777" w:rsidR="0044727E" w:rsidRDefault="003367B5" w:rsidP="006F6223">
      <w:pPr>
        <w:pStyle w:val="TITU1"/>
      </w:pPr>
      <w:bookmarkStart w:id="310" w:name="_Toc404133"/>
      <w:r>
        <w:lastRenderedPageBreak/>
        <w:t>Artículo 290.</w:t>
      </w:r>
      <w:r w:rsidR="0044727E" w:rsidRPr="00625F03">
        <w:t xml:space="preserve"> Geotextil</w:t>
      </w:r>
      <w:bookmarkEnd w:id="310"/>
    </w:p>
    <w:p w14:paraId="5F44130D" w14:textId="77777777" w:rsidR="00FA2EA4" w:rsidRPr="00FA2EA4" w:rsidRDefault="00FA2EA4" w:rsidP="00FA2EA4">
      <w:pPr>
        <w:pStyle w:val="NORMAL12"/>
        <w:rPr>
          <w:lang w:val="es-ES"/>
        </w:rPr>
      </w:pPr>
      <w:r w:rsidRPr="006B7EDC">
        <w:rPr>
          <w:lang w:val="es-ES"/>
        </w:rPr>
        <w:t xml:space="preserve">Excepto para lo especificado en el presente Pliego de Prescripciones Técnicas </w:t>
      </w:r>
      <w:r>
        <w:rPr>
          <w:lang w:val="es-ES"/>
        </w:rPr>
        <w:t>P</w:t>
      </w:r>
      <w:r w:rsidRPr="006B7EDC">
        <w:rPr>
          <w:lang w:val="es-ES"/>
        </w:rPr>
        <w:t>articulares se seguirá lo pr</w:t>
      </w:r>
      <w:r>
        <w:rPr>
          <w:lang w:val="es-ES"/>
        </w:rPr>
        <w:t>escrito en el vigente artículo 290</w:t>
      </w:r>
      <w:r w:rsidRPr="006B7EDC">
        <w:rPr>
          <w:lang w:val="es-ES"/>
        </w:rPr>
        <w:t xml:space="preserve"> del PG-3.</w:t>
      </w:r>
    </w:p>
    <w:p w14:paraId="519BB429" w14:textId="77777777" w:rsidR="006A3A82" w:rsidRPr="00625F03" w:rsidRDefault="006A3A82" w:rsidP="000313DD">
      <w:pPr>
        <w:pStyle w:val="TITU2"/>
      </w:pPr>
      <w:bookmarkStart w:id="311" w:name="_Toc404134"/>
      <w:r w:rsidRPr="00625F03">
        <w:t>290.1. Definición</w:t>
      </w:r>
      <w:bookmarkEnd w:id="311"/>
    </w:p>
    <w:p w14:paraId="5D5B6BF3" w14:textId="77777777" w:rsidR="006A3A82" w:rsidRPr="00625F03" w:rsidRDefault="006A3A82" w:rsidP="00437E12">
      <w:pPr>
        <w:pStyle w:val="NORMAL12"/>
        <w:rPr>
          <w:lang w:val="es-ES"/>
        </w:rPr>
      </w:pPr>
      <w:r w:rsidRPr="00625F03">
        <w:rPr>
          <w:lang w:val="es-ES"/>
        </w:rPr>
        <w:t>Se define como geotextil (GTX) al material textil plano, permeable y polimérico</w:t>
      </w:r>
      <w:r w:rsidR="00437E12" w:rsidRPr="00625F03">
        <w:rPr>
          <w:lang w:val="es-ES"/>
        </w:rPr>
        <w:t xml:space="preserve"> </w:t>
      </w:r>
      <w:r w:rsidRPr="00625F03">
        <w:rPr>
          <w:lang w:val="es-ES"/>
        </w:rPr>
        <w:t>(sintético o natural), que se emplea en contacto con suelos u otros materiales en</w:t>
      </w:r>
      <w:r w:rsidR="00437E12" w:rsidRPr="00625F03">
        <w:rPr>
          <w:lang w:val="es-ES"/>
        </w:rPr>
        <w:t xml:space="preserve"> </w:t>
      </w:r>
      <w:r w:rsidRPr="00625F03">
        <w:rPr>
          <w:lang w:val="es-ES"/>
        </w:rPr>
        <w:t>aplicaciones geotécnicas y de ingeniería civil, pudiendo ser tricotado, tejido o no</w:t>
      </w:r>
      <w:r w:rsidR="00437E12" w:rsidRPr="00625F03">
        <w:rPr>
          <w:lang w:val="es-ES"/>
        </w:rPr>
        <w:t xml:space="preserve"> </w:t>
      </w:r>
      <w:r w:rsidRPr="00625F03">
        <w:rPr>
          <w:lang w:val="es-ES"/>
        </w:rPr>
        <w:t>tejido, de acuerdo con la norma UNE-EN ISO 10318.</w:t>
      </w:r>
    </w:p>
    <w:p w14:paraId="17492810" w14:textId="77777777" w:rsidR="00437E12" w:rsidRPr="00625F03" w:rsidRDefault="006A3A82" w:rsidP="00437E12">
      <w:pPr>
        <w:pStyle w:val="NORMAL12"/>
        <w:rPr>
          <w:lang w:val="es-ES"/>
        </w:rPr>
      </w:pPr>
      <w:r w:rsidRPr="00625F03">
        <w:rPr>
          <w:lang w:val="es-ES"/>
        </w:rPr>
        <w:t>Las principales funciones desempeñadas en obras de carretera por los geotextiles y</w:t>
      </w:r>
      <w:r w:rsidR="00437E12" w:rsidRPr="00625F03">
        <w:rPr>
          <w:lang w:val="es-ES"/>
        </w:rPr>
        <w:t xml:space="preserve"> </w:t>
      </w:r>
      <w:r w:rsidRPr="00625F03">
        <w:rPr>
          <w:lang w:val="es-ES"/>
        </w:rPr>
        <w:t>productos relacionados, o combinaciones de ambos, son las siguientes:</w:t>
      </w:r>
    </w:p>
    <w:p w14:paraId="6C92BF08" w14:textId="77777777" w:rsidR="006A3A82" w:rsidRPr="00625F03" w:rsidRDefault="006A3A82" w:rsidP="00661A5F">
      <w:pPr>
        <w:pStyle w:val="NORMAL12"/>
        <w:numPr>
          <w:ilvl w:val="0"/>
          <w:numId w:val="195"/>
        </w:numPr>
        <w:rPr>
          <w:lang w:val="es-ES"/>
        </w:rPr>
      </w:pPr>
      <w:r w:rsidRPr="00625F03">
        <w:rPr>
          <w:lang w:val="es-ES"/>
        </w:rPr>
        <w:t xml:space="preserve">Filtración (F), retener las partículas de </w:t>
      </w:r>
      <w:proofErr w:type="gramStart"/>
      <w:r w:rsidRPr="00625F03">
        <w:rPr>
          <w:lang w:val="es-ES"/>
        </w:rPr>
        <w:t>suelo</w:t>
      </w:r>
      <w:proofErr w:type="gramEnd"/>
      <w:r w:rsidRPr="00625F03">
        <w:rPr>
          <w:lang w:val="es-ES"/>
        </w:rPr>
        <w:t xml:space="preserve"> pero permitiendo el paso de</w:t>
      </w:r>
      <w:r w:rsidR="00437E12" w:rsidRPr="00625F03">
        <w:rPr>
          <w:lang w:val="es-ES"/>
        </w:rPr>
        <w:t xml:space="preserve"> </w:t>
      </w:r>
      <w:r w:rsidRPr="00625F03">
        <w:rPr>
          <w:lang w:val="es-ES"/>
        </w:rPr>
        <w:t>fluidos a través de ellos.</w:t>
      </w:r>
    </w:p>
    <w:p w14:paraId="54B79236" w14:textId="77777777" w:rsidR="006A3A82" w:rsidRPr="00625F03" w:rsidRDefault="006A3A82" w:rsidP="00661A5F">
      <w:pPr>
        <w:pStyle w:val="NORMAL12"/>
        <w:numPr>
          <w:ilvl w:val="0"/>
          <w:numId w:val="195"/>
        </w:numPr>
        <w:rPr>
          <w:lang w:val="es-ES"/>
        </w:rPr>
      </w:pPr>
      <w:r w:rsidRPr="00625F03">
        <w:rPr>
          <w:lang w:val="es-ES"/>
        </w:rPr>
        <w:t>Separación (S), impedir la mezcla de suelos o materiales de relleno, de</w:t>
      </w:r>
      <w:r w:rsidR="00437E12" w:rsidRPr="00625F03">
        <w:rPr>
          <w:lang w:val="es-ES"/>
        </w:rPr>
        <w:t xml:space="preserve"> </w:t>
      </w:r>
      <w:r w:rsidRPr="00625F03">
        <w:rPr>
          <w:lang w:val="es-ES"/>
        </w:rPr>
        <w:t>características diferentes.</w:t>
      </w:r>
    </w:p>
    <w:p w14:paraId="217108A5" w14:textId="77777777" w:rsidR="006A3A82" w:rsidRPr="00625F03" w:rsidRDefault="006A3A82" w:rsidP="00661A5F">
      <w:pPr>
        <w:pStyle w:val="NORMAL12"/>
        <w:numPr>
          <w:ilvl w:val="0"/>
          <w:numId w:val="195"/>
        </w:numPr>
        <w:rPr>
          <w:lang w:val="es-ES"/>
        </w:rPr>
      </w:pPr>
      <w:r w:rsidRPr="00625F03">
        <w:rPr>
          <w:lang w:val="es-ES"/>
        </w:rPr>
        <w:t>Refuerzo (R), mejorar las propiedades mecánicas de un suelo u otro material</w:t>
      </w:r>
      <w:r w:rsidR="00437E12" w:rsidRPr="00625F03">
        <w:rPr>
          <w:lang w:val="es-ES"/>
        </w:rPr>
        <w:t xml:space="preserve"> </w:t>
      </w:r>
      <w:r w:rsidRPr="00625F03">
        <w:rPr>
          <w:lang w:val="es-ES"/>
        </w:rPr>
        <w:t>de construcción por medio de sus características tenso-</w:t>
      </w:r>
      <w:proofErr w:type="spellStart"/>
      <w:r w:rsidRPr="00625F03">
        <w:rPr>
          <w:lang w:val="es-ES"/>
        </w:rPr>
        <w:t>deformacionales</w:t>
      </w:r>
      <w:proofErr w:type="spellEnd"/>
      <w:r w:rsidRPr="00625F03">
        <w:rPr>
          <w:lang w:val="es-ES"/>
        </w:rPr>
        <w:t>.</w:t>
      </w:r>
    </w:p>
    <w:p w14:paraId="0865726B" w14:textId="77777777" w:rsidR="006A3A82" w:rsidRPr="00625F03" w:rsidRDefault="006A3A82" w:rsidP="00661A5F">
      <w:pPr>
        <w:pStyle w:val="NORMAL12"/>
        <w:numPr>
          <w:ilvl w:val="0"/>
          <w:numId w:val="195"/>
        </w:numPr>
        <w:rPr>
          <w:lang w:val="es-ES"/>
        </w:rPr>
      </w:pPr>
      <w:r w:rsidRPr="00625F03">
        <w:rPr>
          <w:lang w:val="es-ES"/>
        </w:rPr>
        <w:t>Drenaje (D), captar y conducir el agua u otros fluidos a través de ellos y en su</w:t>
      </w:r>
      <w:r w:rsidR="00437E12" w:rsidRPr="00625F03">
        <w:rPr>
          <w:lang w:val="es-ES"/>
        </w:rPr>
        <w:t xml:space="preserve"> </w:t>
      </w:r>
      <w:r w:rsidRPr="00625F03">
        <w:rPr>
          <w:lang w:val="es-ES"/>
        </w:rPr>
        <w:t>plano.</w:t>
      </w:r>
    </w:p>
    <w:p w14:paraId="36E3297F" w14:textId="77777777" w:rsidR="006A3A82" w:rsidRPr="00625F03" w:rsidRDefault="006A3A82" w:rsidP="00661A5F">
      <w:pPr>
        <w:pStyle w:val="NORMAL12"/>
        <w:numPr>
          <w:ilvl w:val="0"/>
          <w:numId w:val="195"/>
        </w:numPr>
        <w:rPr>
          <w:lang w:val="es-ES"/>
        </w:rPr>
      </w:pPr>
      <w:r w:rsidRPr="00625F03">
        <w:rPr>
          <w:lang w:val="es-ES"/>
        </w:rPr>
        <w:t>Protección (P), prevenir o limitar los daños a un elemento o material</w:t>
      </w:r>
      <w:r w:rsidR="00437E12" w:rsidRPr="00625F03">
        <w:rPr>
          <w:lang w:val="es-ES"/>
        </w:rPr>
        <w:t xml:space="preserve"> </w:t>
      </w:r>
      <w:r w:rsidRPr="00625F03">
        <w:rPr>
          <w:lang w:val="es-ES"/>
        </w:rPr>
        <w:t>determinado.</w:t>
      </w:r>
    </w:p>
    <w:p w14:paraId="43BBB093" w14:textId="77777777" w:rsidR="006A3A82" w:rsidRPr="00625F03" w:rsidRDefault="006A3A82" w:rsidP="00661A5F">
      <w:pPr>
        <w:pStyle w:val="NORMAL12"/>
        <w:numPr>
          <w:ilvl w:val="0"/>
          <w:numId w:val="195"/>
        </w:numPr>
        <w:rPr>
          <w:lang w:val="es-ES"/>
        </w:rPr>
      </w:pPr>
      <w:r w:rsidRPr="00625F03">
        <w:rPr>
          <w:lang w:val="es-ES"/>
        </w:rPr>
        <w:t>Relajación de tensiones (STR), permitir pequeños movimientos diferenciales</w:t>
      </w:r>
      <w:r w:rsidR="00437E12" w:rsidRPr="00625F03">
        <w:rPr>
          <w:lang w:val="es-ES"/>
        </w:rPr>
        <w:t xml:space="preserve"> </w:t>
      </w:r>
      <w:r w:rsidRPr="00625F03">
        <w:rPr>
          <w:lang w:val="es-ES"/>
        </w:rPr>
        <w:t>entre capas de firmes y</w:t>
      </w:r>
      <w:r w:rsidR="006D4611" w:rsidRPr="00625F03">
        <w:rPr>
          <w:lang w:val="es-ES"/>
        </w:rPr>
        <w:t xml:space="preserve"> retardar o interrumpir la propa</w:t>
      </w:r>
      <w:r w:rsidR="00D93E76">
        <w:rPr>
          <w:lang w:val="es-ES"/>
        </w:rPr>
        <w:t>gación</w:t>
      </w:r>
      <w:r w:rsidR="006D4611" w:rsidRPr="00625F03">
        <w:rPr>
          <w:lang w:val="es-ES"/>
        </w:rPr>
        <w:t xml:space="preserve"> de fisuras hacia las capas superiores</w:t>
      </w:r>
    </w:p>
    <w:p w14:paraId="1271BD2A" w14:textId="77777777" w:rsidR="006D4611" w:rsidRPr="00625F03" w:rsidRDefault="006D4611" w:rsidP="000313DD">
      <w:pPr>
        <w:pStyle w:val="TITU2"/>
      </w:pPr>
      <w:bookmarkStart w:id="312" w:name="_Toc404135"/>
      <w:r w:rsidRPr="00625F03">
        <w:t>290.2. Condiciones generales</w:t>
      </w:r>
      <w:bookmarkEnd w:id="312"/>
    </w:p>
    <w:p w14:paraId="3072ABDB" w14:textId="77777777" w:rsidR="00466EAF" w:rsidRPr="00625F03" w:rsidRDefault="00466EAF" w:rsidP="00466EAF">
      <w:pPr>
        <w:pStyle w:val="NORMAL12"/>
        <w:rPr>
          <w:i/>
          <w:u w:val="single"/>
          <w:lang w:val="es-ES"/>
        </w:rPr>
      </w:pPr>
      <w:r w:rsidRPr="00625F03">
        <w:rPr>
          <w:i/>
          <w:u w:val="single"/>
          <w:lang w:val="es-ES"/>
        </w:rPr>
        <w:t>Usos previstos y normativa de aplicación</w:t>
      </w:r>
    </w:p>
    <w:p w14:paraId="3A37C1DB" w14:textId="77777777" w:rsidR="006D4611" w:rsidRPr="00625F03" w:rsidRDefault="006D4611" w:rsidP="00437E12">
      <w:pPr>
        <w:pStyle w:val="NORMAL12"/>
        <w:rPr>
          <w:lang w:val="es-ES"/>
        </w:rPr>
      </w:pPr>
      <w:r w:rsidRPr="00625F03">
        <w:rPr>
          <w:lang w:val="es-ES"/>
        </w:rPr>
        <w:t>Lo dispuesto en este artículo se entenderá sin perjuicio de lo establecido en el</w:t>
      </w:r>
      <w:r w:rsidR="00437E12" w:rsidRPr="00625F03">
        <w:rPr>
          <w:lang w:val="es-ES"/>
        </w:rPr>
        <w:t xml:space="preserve"> </w:t>
      </w:r>
      <w:r w:rsidRPr="00625F03">
        <w:rPr>
          <w:lang w:val="es-ES"/>
        </w:rPr>
        <w:t>Reglamento 305/2011 de 9 de marzo de 2011, del Parlamento Europeo y del Consejo,</w:t>
      </w:r>
      <w:r w:rsidR="00437E12" w:rsidRPr="00625F03">
        <w:rPr>
          <w:lang w:val="es-ES"/>
        </w:rPr>
        <w:t xml:space="preserve"> </w:t>
      </w:r>
      <w:r w:rsidRPr="00625F03">
        <w:rPr>
          <w:lang w:val="es-ES"/>
        </w:rPr>
        <w:t>por el que se establecen las condiciones armonizadas para la comercialización de</w:t>
      </w:r>
      <w:r w:rsidR="00437E12" w:rsidRPr="00625F03">
        <w:rPr>
          <w:lang w:val="es-ES"/>
        </w:rPr>
        <w:t xml:space="preserve"> </w:t>
      </w:r>
      <w:r w:rsidRPr="00625F03">
        <w:rPr>
          <w:lang w:val="es-ES"/>
        </w:rPr>
        <w:t>productos de construcción. Para los productos con marcado CE, el fabricante asumirá</w:t>
      </w:r>
      <w:r w:rsidR="00437E12" w:rsidRPr="00625F03">
        <w:rPr>
          <w:lang w:val="es-ES"/>
        </w:rPr>
        <w:t xml:space="preserve"> </w:t>
      </w:r>
      <w:r w:rsidRPr="00625F03">
        <w:rPr>
          <w:lang w:val="es-ES"/>
        </w:rPr>
        <w:t xml:space="preserve">la </w:t>
      </w:r>
      <w:r w:rsidRPr="00625F03">
        <w:rPr>
          <w:lang w:val="es-ES"/>
        </w:rPr>
        <w:t xml:space="preserve">responsabilidad sobre la conformidad de </w:t>
      </w:r>
      <w:proofErr w:type="gramStart"/>
      <w:r w:rsidRPr="00625F03">
        <w:rPr>
          <w:lang w:val="es-ES"/>
        </w:rPr>
        <w:t>los mismos</w:t>
      </w:r>
      <w:proofErr w:type="gramEnd"/>
      <w:r w:rsidRPr="00625F03">
        <w:rPr>
          <w:lang w:val="es-ES"/>
        </w:rPr>
        <w:t xml:space="preserve"> con las prestaciones</w:t>
      </w:r>
      <w:r w:rsidR="00437E12" w:rsidRPr="00625F03">
        <w:rPr>
          <w:lang w:val="es-ES"/>
        </w:rPr>
        <w:t xml:space="preserve"> </w:t>
      </w:r>
      <w:r w:rsidRPr="00625F03">
        <w:rPr>
          <w:lang w:val="es-ES"/>
        </w:rPr>
        <w:t>declaradas, de acuerdo con el artículo 11 del mencionado Reglamento. Los productos</w:t>
      </w:r>
      <w:r w:rsidR="00437E12" w:rsidRPr="00625F03">
        <w:rPr>
          <w:lang w:val="es-ES"/>
        </w:rPr>
        <w:t xml:space="preserve"> </w:t>
      </w:r>
      <w:r w:rsidRPr="00625F03">
        <w:rPr>
          <w:lang w:val="es-ES"/>
        </w:rPr>
        <w:t>que tengan el marcado CE deberán ir acompañados, además de dicho marcado, de</w:t>
      </w:r>
      <w:r w:rsidR="00437E12" w:rsidRPr="00625F03">
        <w:rPr>
          <w:lang w:val="es-ES"/>
        </w:rPr>
        <w:t xml:space="preserve"> </w:t>
      </w:r>
      <w:r w:rsidRPr="00625F03">
        <w:rPr>
          <w:lang w:val="es-ES"/>
        </w:rPr>
        <w:t>la Declaración de Prestaciones, y de las instrucciones e información de seguridad del</w:t>
      </w:r>
      <w:r w:rsidR="00437E12" w:rsidRPr="00625F03">
        <w:rPr>
          <w:lang w:val="es-ES"/>
        </w:rPr>
        <w:t xml:space="preserve"> </w:t>
      </w:r>
      <w:r w:rsidRPr="00625F03">
        <w:rPr>
          <w:lang w:val="es-ES"/>
        </w:rPr>
        <w:t>producto. Por su parte, el Contratista deberá verificar que los valores declarados en</w:t>
      </w:r>
      <w:r w:rsidR="00437E12" w:rsidRPr="00625F03">
        <w:rPr>
          <w:lang w:val="es-ES"/>
        </w:rPr>
        <w:t xml:space="preserve"> </w:t>
      </w:r>
      <w:r w:rsidRPr="00625F03">
        <w:rPr>
          <w:lang w:val="es-ES"/>
        </w:rPr>
        <w:t>los documentos que acompañan al marcado CE permitan deducir el cumplimiento de</w:t>
      </w:r>
      <w:r w:rsidR="00437E12" w:rsidRPr="00625F03">
        <w:rPr>
          <w:lang w:val="es-ES"/>
        </w:rPr>
        <w:t xml:space="preserve"> </w:t>
      </w:r>
      <w:r w:rsidRPr="00625F03">
        <w:rPr>
          <w:lang w:val="es-ES"/>
        </w:rPr>
        <w:t>las especificaciones contempladas en el Proyecto o, en su defecto, en este Pliego,</w:t>
      </w:r>
      <w:r w:rsidR="00437E12" w:rsidRPr="00625F03">
        <w:rPr>
          <w:lang w:val="es-ES"/>
        </w:rPr>
        <w:t xml:space="preserve"> </w:t>
      </w:r>
      <w:r w:rsidRPr="00625F03">
        <w:rPr>
          <w:lang w:val="es-ES"/>
        </w:rPr>
        <w:t>debiendo adoptar, en el caso de que existan indicios de incumplimiento de las</w:t>
      </w:r>
      <w:r w:rsidR="00437E12" w:rsidRPr="00625F03">
        <w:rPr>
          <w:lang w:val="es-ES"/>
        </w:rPr>
        <w:t xml:space="preserve"> </w:t>
      </w:r>
      <w:r w:rsidRPr="00625F03">
        <w:rPr>
          <w:lang w:val="es-ES"/>
        </w:rPr>
        <w:t>especificaciones declaradas, todas aquellas medidas que considere oportunas para</w:t>
      </w:r>
      <w:r w:rsidR="00437E12" w:rsidRPr="00625F03">
        <w:rPr>
          <w:lang w:val="es-ES"/>
        </w:rPr>
        <w:t xml:space="preserve"> </w:t>
      </w:r>
      <w:r w:rsidRPr="00625F03">
        <w:rPr>
          <w:lang w:val="es-ES"/>
        </w:rPr>
        <w:t>garantizar la idoneidad del producto suministrado a la obra.</w:t>
      </w:r>
    </w:p>
    <w:p w14:paraId="0814CB79" w14:textId="77777777" w:rsidR="006D4611" w:rsidRPr="00625F03" w:rsidRDefault="006D4611" w:rsidP="00437E12">
      <w:pPr>
        <w:pStyle w:val="NORMAL12"/>
        <w:rPr>
          <w:lang w:val="es-ES"/>
        </w:rPr>
      </w:pPr>
      <w:r w:rsidRPr="00625F03">
        <w:rPr>
          <w:lang w:val="es-ES"/>
        </w:rPr>
        <w:t>Los geotextiles y productos relacionados deberán tener obligatoriamente el marcado</w:t>
      </w:r>
      <w:r w:rsidR="00437E12" w:rsidRPr="00625F03">
        <w:rPr>
          <w:lang w:val="es-ES"/>
        </w:rPr>
        <w:t xml:space="preserve"> </w:t>
      </w:r>
      <w:r w:rsidRPr="00625F03">
        <w:rPr>
          <w:lang w:val="es-ES"/>
        </w:rPr>
        <w:t>CE, conforme a lo establecido en las normas UNE-EN 13249, UNE-EN 13251, UNE</w:t>
      </w:r>
      <w:r w:rsidR="00CA2BE9">
        <w:rPr>
          <w:lang w:val="es-ES"/>
        </w:rPr>
        <w:t>-</w:t>
      </w:r>
      <w:r w:rsidRPr="00625F03">
        <w:rPr>
          <w:lang w:val="es-ES"/>
        </w:rPr>
        <w:t>EN</w:t>
      </w:r>
      <w:r w:rsidR="00437E12" w:rsidRPr="00625F03">
        <w:rPr>
          <w:lang w:val="es-ES"/>
        </w:rPr>
        <w:t xml:space="preserve"> </w:t>
      </w:r>
      <w:r w:rsidRPr="00625F03">
        <w:rPr>
          <w:lang w:val="es-ES"/>
        </w:rPr>
        <w:t>13252, UNE-EN 13253, UNE-EN 13256 y UNE-EN 15381.</w:t>
      </w:r>
    </w:p>
    <w:p w14:paraId="20CE9D6D" w14:textId="77777777" w:rsidR="00F965A2" w:rsidRPr="00625F03" w:rsidRDefault="00F965A2" w:rsidP="00437E12">
      <w:pPr>
        <w:pStyle w:val="NORMAL12"/>
        <w:rPr>
          <w:lang w:val="es-ES"/>
        </w:rPr>
      </w:pPr>
      <w:r w:rsidRPr="00625F03">
        <w:rPr>
          <w:lang w:val="es-ES"/>
        </w:rPr>
        <w:t xml:space="preserve">Las características de cada geotextil quedan </w:t>
      </w:r>
      <w:r w:rsidR="00D93E76" w:rsidRPr="00625F03">
        <w:rPr>
          <w:lang w:val="es-ES"/>
        </w:rPr>
        <w:t>definidas</w:t>
      </w:r>
      <w:r w:rsidRPr="00625F03">
        <w:rPr>
          <w:lang w:val="es-ES"/>
        </w:rPr>
        <w:t xml:space="preserve"> en función del uso al que se destinen y según las propiedades </w:t>
      </w:r>
      <w:r w:rsidR="00D93E76" w:rsidRPr="00625F03">
        <w:rPr>
          <w:lang w:val="es-ES"/>
        </w:rPr>
        <w:t>definidas</w:t>
      </w:r>
      <w:r w:rsidRPr="00625F03">
        <w:rPr>
          <w:lang w:val="es-ES"/>
        </w:rPr>
        <w:t xml:space="preserve"> en el PG-3 para cada aplicación. </w:t>
      </w:r>
    </w:p>
    <w:p w14:paraId="317A287A" w14:textId="77777777" w:rsidR="006D4611" w:rsidRPr="00625F03" w:rsidRDefault="006D4611" w:rsidP="006D4611">
      <w:pPr>
        <w:pStyle w:val="NORMAL12"/>
        <w:rPr>
          <w:lang w:val="es-ES"/>
        </w:rPr>
      </w:pPr>
      <w:r w:rsidRPr="00625F03">
        <w:rPr>
          <w:lang w:val="es-ES"/>
        </w:rPr>
        <w:t>Independientemente de lo anterior, se estará además en todo caso a lo dispuesto en</w:t>
      </w:r>
      <w:r w:rsidR="00437E12" w:rsidRPr="00625F03">
        <w:rPr>
          <w:lang w:val="es-ES"/>
        </w:rPr>
        <w:t xml:space="preserve"> </w:t>
      </w:r>
      <w:r w:rsidRPr="00625F03">
        <w:rPr>
          <w:lang w:val="es-ES"/>
        </w:rPr>
        <w:t>la legislación vigente en materia ambiental, de seguridad y salud, de producción,</w:t>
      </w:r>
      <w:r w:rsidR="00437E12" w:rsidRPr="00625F03">
        <w:rPr>
          <w:lang w:val="es-ES"/>
        </w:rPr>
        <w:t xml:space="preserve"> </w:t>
      </w:r>
      <w:r w:rsidRPr="00625F03">
        <w:rPr>
          <w:lang w:val="es-ES"/>
        </w:rPr>
        <w:t>almacenamiento, gestión y transporte de productos de la construcción, de residuos de</w:t>
      </w:r>
      <w:r w:rsidR="00437E12" w:rsidRPr="00625F03">
        <w:rPr>
          <w:lang w:val="es-ES"/>
        </w:rPr>
        <w:t xml:space="preserve"> </w:t>
      </w:r>
      <w:r w:rsidRPr="00625F03">
        <w:rPr>
          <w:lang w:val="es-ES"/>
        </w:rPr>
        <w:t>construcción y demolición, y de suelos contaminados.</w:t>
      </w:r>
    </w:p>
    <w:p w14:paraId="366FADE8" w14:textId="77777777" w:rsidR="006D4611" w:rsidRPr="00677962" w:rsidRDefault="006D4611" w:rsidP="00677962">
      <w:pPr>
        <w:pStyle w:val="TITU3"/>
        <w:numPr>
          <w:ilvl w:val="0"/>
          <w:numId w:val="0"/>
        </w:numPr>
        <w:outlineLvl w:val="3"/>
      </w:pPr>
      <w:r w:rsidRPr="00677962">
        <w:t>290.</w:t>
      </w:r>
      <w:r w:rsidR="00466EAF" w:rsidRPr="00677962">
        <w:t>2.2</w:t>
      </w:r>
      <w:r w:rsidRPr="00677962">
        <w:t>. Propiedades directamente relacionadas con la durabilidad</w:t>
      </w:r>
    </w:p>
    <w:p w14:paraId="756F7219" w14:textId="77777777" w:rsidR="006D4611" w:rsidRPr="00625F03" w:rsidRDefault="006D4611" w:rsidP="006D4611">
      <w:pPr>
        <w:pStyle w:val="NORMAL12"/>
        <w:rPr>
          <w:i/>
          <w:u w:val="single"/>
          <w:lang w:val="es-ES"/>
        </w:rPr>
      </w:pPr>
      <w:r w:rsidRPr="00625F03">
        <w:rPr>
          <w:i/>
          <w:u w:val="single"/>
          <w:lang w:val="es-ES"/>
        </w:rPr>
        <w:t>Resistencia a la intemperie</w:t>
      </w:r>
    </w:p>
    <w:p w14:paraId="4F791A99" w14:textId="77777777" w:rsidR="00F965A2" w:rsidRPr="00625F03" w:rsidRDefault="006D4611" w:rsidP="006D4611">
      <w:pPr>
        <w:pStyle w:val="NORMAL12"/>
        <w:rPr>
          <w:lang w:val="es-ES"/>
        </w:rPr>
      </w:pPr>
      <w:r w:rsidRPr="00625F03">
        <w:rPr>
          <w:lang w:val="es-ES"/>
        </w:rPr>
        <w:t>Se deberá evaluar la resistencia al envejecimiento a la intemperie de los geotextiles y</w:t>
      </w:r>
      <w:r w:rsidR="00437E12" w:rsidRPr="00625F03">
        <w:rPr>
          <w:lang w:val="es-ES"/>
        </w:rPr>
        <w:t xml:space="preserve"> </w:t>
      </w:r>
      <w:r w:rsidRPr="00625F03">
        <w:rPr>
          <w:lang w:val="es-ES"/>
        </w:rPr>
        <w:t>productos relacionados (norma UNE-EN 12224), salvo que vayan a ser recubiertos el</w:t>
      </w:r>
      <w:r w:rsidR="00437E12" w:rsidRPr="00625F03">
        <w:rPr>
          <w:lang w:val="es-ES"/>
        </w:rPr>
        <w:t xml:space="preserve"> </w:t>
      </w:r>
      <w:r w:rsidRPr="00625F03">
        <w:rPr>
          <w:lang w:val="es-ES"/>
        </w:rPr>
        <w:t xml:space="preserve">mismo día de su instalación. </w:t>
      </w:r>
    </w:p>
    <w:p w14:paraId="73FE409C" w14:textId="77777777" w:rsidR="00DC716C" w:rsidRPr="00625F03" w:rsidRDefault="00DC716C" w:rsidP="006D4611">
      <w:pPr>
        <w:pStyle w:val="NORMAL12"/>
        <w:rPr>
          <w:lang w:val="es-ES"/>
        </w:rPr>
      </w:pPr>
      <w:r w:rsidRPr="00625F03">
        <w:rPr>
          <w:lang w:val="es-ES"/>
        </w:rPr>
        <w:t xml:space="preserve">El ensayo </w:t>
      </w:r>
      <w:r w:rsidR="006D4611" w:rsidRPr="00625F03">
        <w:rPr>
          <w:lang w:val="es-ES"/>
        </w:rPr>
        <w:t>determina la</w:t>
      </w:r>
      <w:r w:rsidR="00437E12" w:rsidRPr="00625F03">
        <w:rPr>
          <w:lang w:val="es-ES"/>
        </w:rPr>
        <w:t xml:space="preserve"> </w:t>
      </w:r>
      <w:r w:rsidR="006D4611" w:rsidRPr="00625F03">
        <w:rPr>
          <w:lang w:val="es-ES"/>
        </w:rPr>
        <w:t>resistencia residual de acuerdo con la norma UNE-EN 12226. El valor obtenido y la</w:t>
      </w:r>
      <w:r w:rsidR="00437E12" w:rsidRPr="00625F03">
        <w:rPr>
          <w:lang w:val="es-ES"/>
        </w:rPr>
        <w:t xml:space="preserve"> </w:t>
      </w:r>
      <w:r w:rsidR="006D4611" w:rsidRPr="00625F03">
        <w:rPr>
          <w:lang w:val="es-ES"/>
        </w:rPr>
        <w:t>aplicación a que se vaya a destinar el producto, determinarán el período de tiempo</w:t>
      </w:r>
      <w:r w:rsidR="00437E12" w:rsidRPr="00625F03">
        <w:rPr>
          <w:lang w:val="es-ES"/>
        </w:rPr>
        <w:t xml:space="preserve"> </w:t>
      </w:r>
      <w:r w:rsidR="006D4611" w:rsidRPr="00625F03">
        <w:rPr>
          <w:lang w:val="es-ES"/>
        </w:rPr>
        <w:t xml:space="preserve">durante el cual pueda estar expuesto a la intemperie. </w:t>
      </w:r>
    </w:p>
    <w:p w14:paraId="7C01A97D" w14:textId="77777777" w:rsidR="00DC716C" w:rsidRPr="00625F03" w:rsidRDefault="00DC716C" w:rsidP="006D4611">
      <w:pPr>
        <w:pStyle w:val="NORMAL12"/>
        <w:rPr>
          <w:lang w:val="es-ES"/>
        </w:rPr>
      </w:pPr>
      <w:r w:rsidRPr="00625F03">
        <w:rPr>
          <w:lang w:val="es-ES"/>
        </w:rPr>
        <w:t>En función del uso se deberán determinar las siguientes propiedades, así como el tiempo máximo de exposición.</w:t>
      </w:r>
    </w:p>
    <w:p w14:paraId="66D01452" w14:textId="77777777" w:rsidR="006D4611" w:rsidRPr="00625F03" w:rsidRDefault="00DC716C" w:rsidP="006D4611">
      <w:pPr>
        <w:pStyle w:val="NORMAL12"/>
        <w:rPr>
          <w:lang w:val="es-ES"/>
        </w:rPr>
      </w:pPr>
      <w:r w:rsidRPr="00625F03">
        <w:rPr>
          <w:lang w:val="es-ES"/>
        </w:rPr>
        <w:t xml:space="preserve">Una </w:t>
      </w:r>
      <w:r w:rsidR="00D93E76" w:rsidRPr="00625F03">
        <w:rPr>
          <w:lang w:val="es-ES"/>
        </w:rPr>
        <w:t>vez</w:t>
      </w:r>
      <w:r w:rsidRPr="00625F03">
        <w:rPr>
          <w:lang w:val="es-ES"/>
        </w:rPr>
        <w:t xml:space="preserve"> realizado el ensayo </w:t>
      </w:r>
      <w:r w:rsidR="006D4611" w:rsidRPr="00625F03">
        <w:rPr>
          <w:lang w:val="es-ES"/>
        </w:rPr>
        <w:t>deberá recubrirse antes de que transcurran veinticuatro horas (24 h) desde</w:t>
      </w:r>
      <w:r w:rsidR="00437E12" w:rsidRPr="00625F03">
        <w:rPr>
          <w:lang w:val="es-ES"/>
        </w:rPr>
        <w:t xml:space="preserve"> </w:t>
      </w:r>
      <w:r w:rsidR="006D4611" w:rsidRPr="00625F03">
        <w:rPr>
          <w:lang w:val="es-ES"/>
        </w:rPr>
        <w:t>su instalación.</w:t>
      </w:r>
    </w:p>
    <w:p w14:paraId="57A88DFE" w14:textId="77777777" w:rsidR="006D4611" w:rsidRPr="00625F03" w:rsidRDefault="006D4611" w:rsidP="006D4611">
      <w:pPr>
        <w:pStyle w:val="NORMAL12"/>
        <w:rPr>
          <w:i/>
          <w:u w:val="single"/>
          <w:lang w:val="es-ES"/>
        </w:rPr>
      </w:pPr>
      <w:r w:rsidRPr="00625F03">
        <w:rPr>
          <w:i/>
          <w:u w:val="single"/>
          <w:lang w:val="es-ES"/>
        </w:rPr>
        <w:lastRenderedPageBreak/>
        <w:t>Vida en servicio</w:t>
      </w:r>
    </w:p>
    <w:p w14:paraId="785C1AF1" w14:textId="77777777" w:rsidR="00DC716C" w:rsidRPr="00625F03" w:rsidRDefault="006D4611" w:rsidP="006D4611">
      <w:pPr>
        <w:pStyle w:val="NORMAL12"/>
        <w:rPr>
          <w:lang w:val="es-ES"/>
        </w:rPr>
      </w:pPr>
      <w:r w:rsidRPr="00625F03">
        <w:rPr>
          <w:lang w:val="es-ES"/>
        </w:rPr>
        <w:t>Las características de durabilidad re</w:t>
      </w:r>
      <w:r w:rsidR="00DC716C" w:rsidRPr="00625F03">
        <w:rPr>
          <w:lang w:val="es-ES"/>
        </w:rPr>
        <w:t xml:space="preserve">lativas a la vida en </w:t>
      </w:r>
      <w:proofErr w:type="gramStart"/>
      <w:r w:rsidR="00DC716C" w:rsidRPr="00625F03">
        <w:rPr>
          <w:lang w:val="es-ES"/>
        </w:rPr>
        <w:t>servicio,</w:t>
      </w:r>
      <w:proofErr w:type="gramEnd"/>
      <w:r w:rsidR="00DC716C" w:rsidRPr="00625F03">
        <w:rPr>
          <w:lang w:val="es-ES"/>
        </w:rPr>
        <w:t xml:space="preserve"> se determinan en función del uso al que se destina según lo especificado en la tabla anterior. </w:t>
      </w:r>
    </w:p>
    <w:p w14:paraId="00828F4F" w14:textId="77777777" w:rsidR="006D4611" w:rsidRPr="00625F03" w:rsidRDefault="006D4611" w:rsidP="006D4611">
      <w:pPr>
        <w:pStyle w:val="NORMAL12"/>
        <w:rPr>
          <w:i/>
          <w:u w:val="single"/>
          <w:lang w:val="es-ES"/>
        </w:rPr>
      </w:pPr>
      <w:r w:rsidRPr="00625F03">
        <w:rPr>
          <w:i/>
          <w:u w:val="single"/>
          <w:lang w:val="es-ES"/>
        </w:rPr>
        <w:t>Aplicación en sistemas de drenaje</w:t>
      </w:r>
    </w:p>
    <w:p w14:paraId="2BC071A3" w14:textId="77777777" w:rsidR="006D4611" w:rsidRDefault="006D4611" w:rsidP="00437E12">
      <w:pPr>
        <w:pStyle w:val="NORMAL12"/>
        <w:rPr>
          <w:lang w:val="es-ES"/>
        </w:rPr>
      </w:pPr>
      <w:r w:rsidRPr="00625F03">
        <w:rPr>
          <w:lang w:val="es-ES"/>
        </w:rPr>
        <w:t>Cuando los geotextiles y productos relacionados se utilicen en sistemas de drenaje, el</w:t>
      </w:r>
      <w:r w:rsidR="00DC716C" w:rsidRPr="00625F03">
        <w:rPr>
          <w:lang w:val="es-ES"/>
        </w:rPr>
        <w:t xml:space="preserve"> Pliego de Prescripciones Técnicas Particulares o el </w:t>
      </w:r>
      <w:proofErr w:type="gramStart"/>
      <w:r w:rsidR="00DC716C" w:rsidRPr="00625F03">
        <w:rPr>
          <w:lang w:val="es-ES"/>
        </w:rPr>
        <w:t>Director</w:t>
      </w:r>
      <w:proofErr w:type="gramEnd"/>
      <w:r w:rsidR="00DC716C" w:rsidRPr="00625F03">
        <w:rPr>
          <w:lang w:val="es-ES"/>
        </w:rPr>
        <w:t xml:space="preserve"> de Obra debe especificar </w:t>
      </w:r>
      <w:r w:rsidRPr="00625F03">
        <w:rPr>
          <w:lang w:val="es-ES"/>
        </w:rPr>
        <w:t>los</w:t>
      </w:r>
      <w:r w:rsidR="00437E12" w:rsidRPr="00625F03">
        <w:rPr>
          <w:lang w:val="es-ES"/>
        </w:rPr>
        <w:t xml:space="preserve"> </w:t>
      </w:r>
      <w:r w:rsidRPr="00625F03">
        <w:rPr>
          <w:lang w:val="es-ES"/>
        </w:rPr>
        <w:t>valores exigibles para las propiedades que figuran en la norma UNE-EN 13252.</w:t>
      </w:r>
      <w:r w:rsidR="00DC716C" w:rsidRPr="00625F03">
        <w:rPr>
          <w:lang w:val="es-ES"/>
        </w:rPr>
        <w:t xml:space="preserve"> para los sistemas de drenaje de la siguiente tabla </w:t>
      </w:r>
    </w:p>
    <w:tbl>
      <w:tblPr>
        <w:tblW w:w="5000" w:type="pct"/>
        <w:jc w:val="center"/>
        <w:tblCellMar>
          <w:left w:w="70" w:type="dxa"/>
          <w:right w:w="70" w:type="dxa"/>
        </w:tblCellMar>
        <w:tblLook w:val="04A0" w:firstRow="1" w:lastRow="0" w:firstColumn="1" w:lastColumn="0" w:noHBand="0" w:noVBand="1"/>
      </w:tblPr>
      <w:tblGrid>
        <w:gridCol w:w="4946"/>
        <w:gridCol w:w="1824"/>
        <w:gridCol w:w="1096"/>
        <w:gridCol w:w="1111"/>
        <w:gridCol w:w="801"/>
      </w:tblGrid>
      <w:tr w:rsidR="001E6577" w:rsidRPr="001E6577" w14:paraId="3B98668C" w14:textId="77777777" w:rsidTr="001E6577">
        <w:trPr>
          <w:trHeight w:val="57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8D8D8"/>
            <w:vAlign w:val="center"/>
            <w:hideMark/>
          </w:tcPr>
          <w:p w14:paraId="10D44CF1" w14:textId="77777777" w:rsidR="001E6577" w:rsidRPr="001E6577" w:rsidRDefault="001E6577" w:rsidP="00524011">
            <w:pPr>
              <w:jc w:val="center"/>
              <w:rPr>
                <w:rFonts w:ascii="Arial" w:hAnsi="Arial" w:cs="Arial"/>
                <w:b/>
                <w:bCs/>
                <w:color w:val="000000"/>
                <w:sz w:val="18"/>
                <w:szCs w:val="18"/>
              </w:rPr>
            </w:pPr>
            <w:r w:rsidRPr="001E6577">
              <w:rPr>
                <w:rFonts w:ascii="Arial" w:hAnsi="Arial" w:cs="Arial"/>
                <w:b/>
                <w:bCs/>
                <w:color w:val="000000"/>
                <w:sz w:val="18"/>
                <w:szCs w:val="18"/>
              </w:rPr>
              <w:t xml:space="preserve">Tabla 290.1. </w:t>
            </w:r>
            <w:proofErr w:type="gramStart"/>
            <w:r w:rsidR="00524011">
              <w:rPr>
                <w:rFonts w:ascii="Arial" w:hAnsi="Arial" w:cs="Arial"/>
                <w:b/>
                <w:bCs/>
                <w:color w:val="000000"/>
                <w:sz w:val="18"/>
                <w:szCs w:val="18"/>
              </w:rPr>
              <w:t>P</w:t>
            </w:r>
            <w:r w:rsidR="00524011" w:rsidRPr="001E6577">
              <w:rPr>
                <w:rFonts w:ascii="Arial" w:hAnsi="Arial" w:cs="Arial"/>
                <w:b/>
                <w:bCs/>
                <w:color w:val="000000"/>
                <w:sz w:val="18"/>
                <w:szCs w:val="18"/>
              </w:rPr>
              <w:t>ropiedades a exigir</w:t>
            </w:r>
            <w:proofErr w:type="gramEnd"/>
            <w:r w:rsidR="00524011" w:rsidRPr="001E6577">
              <w:rPr>
                <w:rFonts w:ascii="Arial" w:hAnsi="Arial" w:cs="Arial"/>
                <w:b/>
                <w:bCs/>
                <w:color w:val="000000"/>
                <w:sz w:val="18"/>
                <w:szCs w:val="18"/>
              </w:rPr>
              <w:t xml:space="preserve"> a </w:t>
            </w:r>
            <w:r w:rsidR="00217216" w:rsidRPr="001E6577">
              <w:rPr>
                <w:rFonts w:ascii="Arial" w:hAnsi="Arial" w:cs="Arial"/>
                <w:b/>
                <w:bCs/>
                <w:color w:val="000000"/>
                <w:sz w:val="18"/>
                <w:szCs w:val="18"/>
              </w:rPr>
              <w:t>geotextiles</w:t>
            </w:r>
            <w:r w:rsidR="00524011" w:rsidRPr="001E6577">
              <w:rPr>
                <w:rFonts w:ascii="Arial" w:hAnsi="Arial" w:cs="Arial"/>
                <w:b/>
                <w:bCs/>
                <w:color w:val="000000"/>
                <w:sz w:val="18"/>
                <w:szCs w:val="18"/>
              </w:rPr>
              <w:t xml:space="preserve"> y productos relacionados empleados en sistemas de drenaje </w:t>
            </w:r>
            <w:r w:rsidRPr="001E6577">
              <w:rPr>
                <w:rFonts w:ascii="Arial" w:hAnsi="Arial" w:cs="Arial"/>
                <w:b/>
                <w:bCs/>
                <w:color w:val="000000"/>
                <w:sz w:val="18"/>
                <w:szCs w:val="18"/>
              </w:rPr>
              <w:t>(NORMA UNE-EN 13252)</w:t>
            </w:r>
          </w:p>
        </w:tc>
      </w:tr>
      <w:tr w:rsidR="001E6577" w:rsidRPr="001E6577" w14:paraId="7387280C" w14:textId="77777777" w:rsidTr="001E6577">
        <w:trPr>
          <w:trHeight w:val="300"/>
          <w:jc w:val="center"/>
        </w:trPr>
        <w:tc>
          <w:tcPr>
            <w:tcW w:w="2530" w:type="pct"/>
            <w:vMerge w:val="restart"/>
            <w:tcBorders>
              <w:top w:val="nil"/>
              <w:left w:val="single" w:sz="4" w:space="0" w:color="auto"/>
              <w:bottom w:val="single" w:sz="4" w:space="0" w:color="auto"/>
              <w:right w:val="single" w:sz="4" w:space="0" w:color="auto"/>
            </w:tcBorders>
            <w:shd w:val="clear" w:color="000000" w:fill="D8D8D8"/>
            <w:noWrap/>
            <w:vAlign w:val="center"/>
            <w:hideMark/>
          </w:tcPr>
          <w:p w14:paraId="60A2D266" w14:textId="77777777" w:rsidR="001E6577" w:rsidRPr="001E6577" w:rsidRDefault="001E6577" w:rsidP="001E6577">
            <w:pPr>
              <w:jc w:val="center"/>
              <w:rPr>
                <w:rFonts w:ascii="Arial" w:hAnsi="Arial" w:cs="Arial"/>
                <w:b/>
                <w:bCs/>
                <w:color w:val="000000"/>
                <w:sz w:val="18"/>
                <w:szCs w:val="18"/>
              </w:rPr>
            </w:pPr>
            <w:r w:rsidRPr="001E6577">
              <w:rPr>
                <w:rFonts w:ascii="Arial" w:hAnsi="Arial" w:cs="Arial"/>
                <w:b/>
                <w:bCs/>
                <w:color w:val="000000"/>
                <w:sz w:val="18"/>
                <w:szCs w:val="18"/>
              </w:rPr>
              <w:t xml:space="preserve">Propiedad   </w:t>
            </w:r>
          </w:p>
        </w:tc>
        <w:tc>
          <w:tcPr>
            <w:tcW w:w="933" w:type="pct"/>
            <w:vMerge w:val="restart"/>
            <w:tcBorders>
              <w:top w:val="nil"/>
              <w:left w:val="single" w:sz="4" w:space="0" w:color="auto"/>
              <w:bottom w:val="single" w:sz="4" w:space="0" w:color="auto"/>
              <w:right w:val="single" w:sz="4" w:space="0" w:color="auto"/>
            </w:tcBorders>
            <w:shd w:val="clear" w:color="000000" w:fill="D8D8D8"/>
            <w:noWrap/>
            <w:vAlign w:val="center"/>
            <w:hideMark/>
          </w:tcPr>
          <w:p w14:paraId="616E8ACA" w14:textId="77777777" w:rsidR="001E6577" w:rsidRPr="001E6577" w:rsidRDefault="001E6577" w:rsidP="001E6577">
            <w:pPr>
              <w:jc w:val="center"/>
              <w:rPr>
                <w:rFonts w:ascii="Arial" w:hAnsi="Arial" w:cs="Arial"/>
                <w:b/>
                <w:bCs/>
                <w:color w:val="000000"/>
                <w:sz w:val="18"/>
                <w:szCs w:val="18"/>
              </w:rPr>
            </w:pPr>
            <w:r w:rsidRPr="001E6577">
              <w:rPr>
                <w:rFonts w:ascii="Arial" w:hAnsi="Arial" w:cs="Arial"/>
                <w:b/>
                <w:bCs/>
                <w:color w:val="000000"/>
                <w:sz w:val="18"/>
                <w:szCs w:val="18"/>
              </w:rPr>
              <w:t>Norma de ensayo</w:t>
            </w:r>
          </w:p>
        </w:tc>
        <w:tc>
          <w:tcPr>
            <w:tcW w:w="1536" w:type="pct"/>
            <w:gridSpan w:val="3"/>
            <w:tcBorders>
              <w:top w:val="single" w:sz="4" w:space="0" w:color="auto"/>
              <w:left w:val="nil"/>
              <w:bottom w:val="single" w:sz="4" w:space="0" w:color="auto"/>
              <w:right w:val="single" w:sz="4" w:space="0" w:color="auto"/>
            </w:tcBorders>
            <w:shd w:val="clear" w:color="000000" w:fill="D8D8D8"/>
            <w:noWrap/>
            <w:vAlign w:val="center"/>
            <w:hideMark/>
          </w:tcPr>
          <w:p w14:paraId="68CF4B43" w14:textId="77777777" w:rsidR="001E6577" w:rsidRPr="001E6577" w:rsidRDefault="001E6577" w:rsidP="001E6577">
            <w:pPr>
              <w:jc w:val="center"/>
              <w:rPr>
                <w:rFonts w:ascii="Arial" w:hAnsi="Arial" w:cs="Arial"/>
                <w:b/>
                <w:bCs/>
                <w:color w:val="000000"/>
                <w:sz w:val="18"/>
                <w:szCs w:val="18"/>
              </w:rPr>
            </w:pPr>
            <w:r w:rsidRPr="001E6577">
              <w:rPr>
                <w:rFonts w:ascii="Arial" w:hAnsi="Arial" w:cs="Arial"/>
                <w:b/>
                <w:bCs/>
                <w:color w:val="000000"/>
                <w:sz w:val="18"/>
                <w:szCs w:val="18"/>
              </w:rPr>
              <w:t>Funciones</w:t>
            </w:r>
          </w:p>
        </w:tc>
      </w:tr>
      <w:tr w:rsidR="001E6577" w:rsidRPr="001E6577" w14:paraId="52F34CED" w14:textId="77777777" w:rsidTr="001E6577">
        <w:trPr>
          <w:trHeight w:val="300"/>
          <w:jc w:val="center"/>
        </w:trPr>
        <w:tc>
          <w:tcPr>
            <w:tcW w:w="2530" w:type="pct"/>
            <w:vMerge/>
            <w:tcBorders>
              <w:top w:val="nil"/>
              <w:left w:val="single" w:sz="4" w:space="0" w:color="auto"/>
              <w:bottom w:val="single" w:sz="4" w:space="0" w:color="auto"/>
              <w:right w:val="single" w:sz="4" w:space="0" w:color="auto"/>
            </w:tcBorders>
            <w:vAlign w:val="center"/>
            <w:hideMark/>
          </w:tcPr>
          <w:p w14:paraId="231844FB" w14:textId="77777777" w:rsidR="001E6577" w:rsidRPr="001E6577" w:rsidRDefault="001E6577" w:rsidP="001E6577">
            <w:pPr>
              <w:rPr>
                <w:rFonts w:ascii="Arial" w:hAnsi="Arial" w:cs="Arial"/>
                <w:b/>
                <w:bCs/>
                <w:color w:val="000000"/>
                <w:sz w:val="18"/>
                <w:szCs w:val="18"/>
              </w:rPr>
            </w:pPr>
          </w:p>
        </w:tc>
        <w:tc>
          <w:tcPr>
            <w:tcW w:w="933" w:type="pct"/>
            <w:vMerge/>
            <w:tcBorders>
              <w:top w:val="nil"/>
              <w:left w:val="single" w:sz="4" w:space="0" w:color="auto"/>
              <w:bottom w:val="single" w:sz="4" w:space="0" w:color="auto"/>
              <w:right w:val="single" w:sz="4" w:space="0" w:color="auto"/>
            </w:tcBorders>
            <w:vAlign w:val="center"/>
            <w:hideMark/>
          </w:tcPr>
          <w:p w14:paraId="751B04F5" w14:textId="77777777" w:rsidR="001E6577" w:rsidRPr="001E6577" w:rsidRDefault="001E6577" w:rsidP="001E6577">
            <w:pPr>
              <w:rPr>
                <w:rFonts w:ascii="Arial" w:hAnsi="Arial" w:cs="Arial"/>
                <w:b/>
                <w:bCs/>
                <w:color w:val="000000"/>
                <w:sz w:val="18"/>
                <w:szCs w:val="18"/>
              </w:rPr>
            </w:pPr>
          </w:p>
        </w:tc>
        <w:tc>
          <w:tcPr>
            <w:tcW w:w="561" w:type="pct"/>
            <w:tcBorders>
              <w:top w:val="nil"/>
              <w:left w:val="nil"/>
              <w:bottom w:val="single" w:sz="4" w:space="0" w:color="auto"/>
              <w:right w:val="single" w:sz="4" w:space="0" w:color="auto"/>
            </w:tcBorders>
            <w:shd w:val="clear" w:color="000000" w:fill="D8D8D8"/>
            <w:noWrap/>
            <w:vAlign w:val="center"/>
            <w:hideMark/>
          </w:tcPr>
          <w:p w14:paraId="289A188D" w14:textId="77777777" w:rsidR="001E6577" w:rsidRPr="001E6577" w:rsidRDefault="001E6577" w:rsidP="001E6577">
            <w:pPr>
              <w:jc w:val="center"/>
              <w:rPr>
                <w:rFonts w:ascii="Arial" w:hAnsi="Arial" w:cs="Arial"/>
                <w:b/>
                <w:bCs/>
                <w:color w:val="000000"/>
                <w:sz w:val="18"/>
                <w:szCs w:val="18"/>
              </w:rPr>
            </w:pPr>
            <w:r w:rsidRPr="001E6577">
              <w:rPr>
                <w:rFonts w:ascii="Arial" w:hAnsi="Arial" w:cs="Arial"/>
                <w:b/>
                <w:bCs/>
                <w:color w:val="000000"/>
                <w:sz w:val="18"/>
                <w:szCs w:val="18"/>
              </w:rPr>
              <w:t>Filtración</w:t>
            </w:r>
          </w:p>
        </w:tc>
        <w:tc>
          <w:tcPr>
            <w:tcW w:w="566" w:type="pct"/>
            <w:tcBorders>
              <w:top w:val="nil"/>
              <w:left w:val="nil"/>
              <w:bottom w:val="single" w:sz="4" w:space="0" w:color="auto"/>
              <w:right w:val="single" w:sz="4" w:space="0" w:color="auto"/>
            </w:tcBorders>
            <w:shd w:val="clear" w:color="000000" w:fill="D8D8D8"/>
            <w:noWrap/>
            <w:vAlign w:val="center"/>
            <w:hideMark/>
          </w:tcPr>
          <w:p w14:paraId="3AACA247" w14:textId="77777777" w:rsidR="001E6577" w:rsidRPr="001E6577" w:rsidRDefault="001E6577" w:rsidP="001E6577">
            <w:pPr>
              <w:jc w:val="center"/>
              <w:rPr>
                <w:rFonts w:ascii="Arial" w:hAnsi="Arial" w:cs="Arial"/>
                <w:b/>
                <w:bCs/>
                <w:color w:val="000000"/>
                <w:sz w:val="18"/>
                <w:szCs w:val="18"/>
              </w:rPr>
            </w:pPr>
            <w:r w:rsidRPr="001E6577">
              <w:rPr>
                <w:rFonts w:ascii="Arial" w:hAnsi="Arial" w:cs="Arial"/>
                <w:b/>
                <w:bCs/>
                <w:color w:val="000000"/>
                <w:sz w:val="18"/>
                <w:szCs w:val="18"/>
              </w:rPr>
              <w:t>Separación</w:t>
            </w:r>
          </w:p>
        </w:tc>
        <w:tc>
          <w:tcPr>
            <w:tcW w:w="409" w:type="pct"/>
            <w:tcBorders>
              <w:top w:val="nil"/>
              <w:left w:val="nil"/>
              <w:bottom w:val="single" w:sz="4" w:space="0" w:color="auto"/>
              <w:right w:val="single" w:sz="4" w:space="0" w:color="auto"/>
            </w:tcBorders>
            <w:shd w:val="clear" w:color="000000" w:fill="D8D8D8"/>
            <w:noWrap/>
            <w:vAlign w:val="center"/>
            <w:hideMark/>
          </w:tcPr>
          <w:p w14:paraId="0BDA5B75" w14:textId="77777777" w:rsidR="001E6577" w:rsidRPr="001E6577" w:rsidRDefault="001E6577" w:rsidP="001E6577">
            <w:pPr>
              <w:jc w:val="center"/>
              <w:rPr>
                <w:rFonts w:ascii="Arial" w:hAnsi="Arial" w:cs="Arial"/>
                <w:b/>
                <w:bCs/>
                <w:color w:val="000000"/>
                <w:sz w:val="18"/>
                <w:szCs w:val="18"/>
              </w:rPr>
            </w:pPr>
            <w:r w:rsidRPr="001E6577">
              <w:rPr>
                <w:rFonts w:ascii="Arial" w:hAnsi="Arial" w:cs="Arial"/>
                <w:b/>
                <w:bCs/>
                <w:color w:val="000000"/>
                <w:sz w:val="18"/>
                <w:szCs w:val="18"/>
              </w:rPr>
              <w:t>Drenaje</w:t>
            </w:r>
          </w:p>
        </w:tc>
      </w:tr>
      <w:tr w:rsidR="001E6577" w:rsidRPr="001E6577" w14:paraId="6B06AEA4" w14:textId="77777777" w:rsidTr="001E6577">
        <w:trPr>
          <w:trHeight w:val="300"/>
          <w:jc w:val="center"/>
        </w:trPr>
        <w:tc>
          <w:tcPr>
            <w:tcW w:w="2530" w:type="pct"/>
            <w:tcBorders>
              <w:top w:val="nil"/>
              <w:left w:val="single" w:sz="4" w:space="0" w:color="auto"/>
              <w:bottom w:val="single" w:sz="4" w:space="0" w:color="auto"/>
              <w:right w:val="single" w:sz="4" w:space="0" w:color="auto"/>
            </w:tcBorders>
            <w:noWrap/>
            <w:vAlign w:val="bottom"/>
            <w:hideMark/>
          </w:tcPr>
          <w:p w14:paraId="5ADB0D7E"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Resistencia a tracción</w:t>
            </w:r>
          </w:p>
        </w:tc>
        <w:tc>
          <w:tcPr>
            <w:tcW w:w="933" w:type="pct"/>
            <w:tcBorders>
              <w:top w:val="nil"/>
              <w:left w:val="nil"/>
              <w:bottom w:val="single" w:sz="4" w:space="0" w:color="auto"/>
              <w:right w:val="single" w:sz="4" w:space="0" w:color="auto"/>
            </w:tcBorders>
            <w:noWrap/>
            <w:vAlign w:val="bottom"/>
            <w:hideMark/>
          </w:tcPr>
          <w:p w14:paraId="20A17C1C"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UNE-EN ISO 10319</w:t>
            </w:r>
          </w:p>
        </w:tc>
        <w:tc>
          <w:tcPr>
            <w:tcW w:w="561" w:type="pct"/>
            <w:tcBorders>
              <w:top w:val="nil"/>
              <w:left w:val="nil"/>
              <w:bottom w:val="single" w:sz="4" w:space="0" w:color="auto"/>
              <w:right w:val="single" w:sz="4" w:space="0" w:color="auto"/>
            </w:tcBorders>
            <w:noWrap/>
            <w:vAlign w:val="bottom"/>
            <w:hideMark/>
          </w:tcPr>
          <w:p w14:paraId="6E22EFC6"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X</w:t>
            </w:r>
          </w:p>
        </w:tc>
        <w:tc>
          <w:tcPr>
            <w:tcW w:w="566" w:type="pct"/>
            <w:tcBorders>
              <w:top w:val="nil"/>
              <w:left w:val="nil"/>
              <w:bottom w:val="single" w:sz="4" w:space="0" w:color="auto"/>
              <w:right w:val="single" w:sz="4" w:space="0" w:color="auto"/>
            </w:tcBorders>
            <w:noWrap/>
            <w:vAlign w:val="bottom"/>
            <w:hideMark/>
          </w:tcPr>
          <w:p w14:paraId="4D556236"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X</w:t>
            </w:r>
          </w:p>
        </w:tc>
        <w:tc>
          <w:tcPr>
            <w:tcW w:w="409" w:type="pct"/>
            <w:tcBorders>
              <w:top w:val="nil"/>
              <w:left w:val="nil"/>
              <w:bottom w:val="single" w:sz="4" w:space="0" w:color="auto"/>
              <w:right w:val="single" w:sz="4" w:space="0" w:color="auto"/>
            </w:tcBorders>
            <w:noWrap/>
            <w:vAlign w:val="bottom"/>
            <w:hideMark/>
          </w:tcPr>
          <w:p w14:paraId="5FA57F04"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X</w:t>
            </w:r>
          </w:p>
        </w:tc>
      </w:tr>
      <w:tr w:rsidR="001E6577" w:rsidRPr="001E6577" w14:paraId="1DD0BF6B" w14:textId="77777777" w:rsidTr="001E6577">
        <w:trPr>
          <w:trHeight w:val="300"/>
          <w:jc w:val="center"/>
        </w:trPr>
        <w:tc>
          <w:tcPr>
            <w:tcW w:w="2530" w:type="pct"/>
            <w:tcBorders>
              <w:top w:val="nil"/>
              <w:left w:val="single" w:sz="4" w:space="0" w:color="auto"/>
              <w:bottom w:val="single" w:sz="4" w:space="0" w:color="auto"/>
              <w:right w:val="single" w:sz="4" w:space="0" w:color="auto"/>
            </w:tcBorders>
            <w:noWrap/>
            <w:vAlign w:val="bottom"/>
            <w:hideMark/>
          </w:tcPr>
          <w:p w14:paraId="7A66C2E2"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Punzonamiento estático (Ensayo CBR)</w:t>
            </w:r>
          </w:p>
        </w:tc>
        <w:tc>
          <w:tcPr>
            <w:tcW w:w="933" w:type="pct"/>
            <w:tcBorders>
              <w:top w:val="nil"/>
              <w:left w:val="nil"/>
              <w:bottom w:val="single" w:sz="4" w:space="0" w:color="auto"/>
              <w:right w:val="single" w:sz="4" w:space="0" w:color="auto"/>
            </w:tcBorders>
            <w:noWrap/>
            <w:vAlign w:val="bottom"/>
            <w:hideMark/>
          </w:tcPr>
          <w:p w14:paraId="534F5B4D"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UNE-EN-ISO 12236</w:t>
            </w:r>
          </w:p>
        </w:tc>
        <w:tc>
          <w:tcPr>
            <w:tcW w:w="561" w:type="pct"/>
            <w:tcBorders>
              <w:top w:val="nil"/>
              <w:left w:val="nil"/>
              <w:bottom w:val="single" w:sz="4" w:space="0" w:color="auto"/>
              <w:right w:val="single" w:sz="4" w:space="0" w:color="auto"/>
            </w:tcBorders>
            <w:noWrap/>
            <w:vAlign w:val="bottom"/>
            <w:hideMark/>
          </w:tcPr>
          <w:p w14:paraId="266E74E9"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 </w:t>
            </w:r>
          </w:p>
        </w:tc>
        <w:tc>
          <w:tcPr>
            <w:tcW w:w="566" w:type="pct"/>
            <w:tcBorders>
              <w:top w:val="nil"/>
              <w:left w:val="nil"/>
              <w:bottom w:val="single" w:sz="4" w:space="0" w:color="auto"/>
              <w:right w:val="single" w:sz="4" w:space="0" w:color="auto"/>
            </w:tcBorders>
            <w:noWrap/>
            <w:vAlign w:val="bottom"/>
            <w:hideMark/>
          </w:tcPr>
          <w:p w14:paraId="7687E39C"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X</w:t>
            </w:r>
          </w:p>
        </w:tc>
        <w:tc>
          <w:tcPr>
            <w:tcW w:w="409" w:type="pct"/>
            <w:tcBorders>
              <w:top w:val="nil"/>
              <w:left w:val="nil"/>
              <w:bottom w:val="single" w:sz="4" w:space="0" w:color="auto"/>
              <w:right w:val="single" w:sz="4" w:space="0" w:color="auto"/>
            </w:tcBorders>
            <w:noWrap/>
            <w:vAlign w:val="bottom"/>
            <w:hideMark/>
          </w:tcPr>
          <w:p w14:paraId="5633D720"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 </w:t>
            </w:r>
          </w:p>
        </w:tc>
      </w:tr>
      <w:tr w:rsidR="001E6577" w:rsidRPr="001E6577" w14:paraId="4B9351E8" w14:textId="77777777" w:rsidTr="001E6577">
        <w:trPr>
          <w:trHeight w:val="300"/>
          <w:jc w:val="center"/>
        </w:trPr>
        <w:tc>
          <w:tcPr>
            <w:tcW w:w="2530" w:type="pct"/>
            <w:tcBorders>
              <w:top w:val="nil"/>
              <w:left w:val="single" w:sz="4" w:space="0" w:color="auto"/>
              <w:bottom w:val="single" w:sz="4" w:space="0" w:color="auto"/>
              <w:right w:val="single" w:sz="4" w:space="0" w:color="auto"/>
            </w:tcBorders>
            <w:noWrap/>
            <w:vAlign w:val="bottom"/>
            <w:hideMark/>
          </w:tcPr>
          <w:p w14:paraId="6C4C28B6"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Resistencia a la perforación dinámica</w:t>
            </w:r>
          </w:p>
        </w:tc>
        <w:tc>
          <w:tcPr>
            <w:tcW w:w="933" w:type="pct"/>
            <w:tcBorders>
              <w:top w:val="nil"/>
              <w:left w:val="nil"/>
              <w:bottom w:val="single" w:sz="4" w:space="0" w:color="auto"/>
              <w:right w:val="single" w:sz="4" w:space="0" w:color="auto"/>
            </w:tcBorders>
            <w:noWrap/>
            <w:vAlign w:val="bottom"/>
            <w:hideMark/>
          </w:tcPr>
          <w:p w14:paraId="40C2BAD7"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UNE-EN-ISO 13433</w:t>
            </w:r>
          </w:p>
        </w:tc>
        <w:tc>
          <w:tcPr>
            <w:tcW w:w="561" w:type="pct"/>
            <w:tcBorders>
              <w:top w:val="nil"/>
              <w:left w:val="nil"/>
              <w:bottom w:val="single" w:sz="4" w:space="0" w:color="auto"/>
              <w:right w:val="single" w:sz="4" w:space="0" w:color="auto"/>
            </w:tcBorders>
            <w:noWrap/>
            <w:vAlign w:val="bottom"/>
            <w:hideMark/>
          </w:tcPr>
          <w:p w14:paraId="0986932A"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X</w:t>
            </w:r>
          </w:p>
        </w:tc>
        <w:tc>
          <w:tcPr>
            <w:tcW w:w="566" w:type="pct"/>
            <w:tcBorders>
              <w:top w:val="nil"/>
              <w:left w:val="nil"/>
              <w:bottom w:val="single" w:sz="4" w:space="0" w:color="auto"/>
              <w:right w:val="single" w:sz="4" w:space="0" w:color="auto"/>
            </w:tcBorders>
            <w:noWrap/>
            <w:vAlign w:val="bottom"/>
            <w:hideMark/>
          </w:tcPr>
          <w:p w14:paraId="0AC8698F"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 </w:t>
            </w:r>
          </w:p>
        </w:tc>
        <w:tc>
          <w:tcPr>
            <w:tcW w:w="409" w:type="pct"/>
            <w:tcBorders>
              <w:top w:val="nil"/>
              <w:left w:val="nil"/>
              <w:bottom w:val="single" w:sz="4" w:space="0" w:color="auto"/>
              <w:right w:val="single" w:sz="4" w:space="0" w:color="auto"/>
            </w:tcBorders>
            <w:noWrap/>
            <w:vAlign w:val="bottom"/>
            <w:hideMark/>
          </w:tcPr>
          <w:p w14:paraId="45864860"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 </w:t>
            </w:r>
          </w:p>
        </w:tc>
      </w:tr>
      <w:tr w:rsidR="001E6577" w:rsidRPr="001E6577" w14:paraId="4F5FC7C1" w14:textId="77777777" w:rsidTr="001E6577">
        <w:trPr>
          <w:trHeight w:val="300"/>
          <w:jc w:val="center"/>
        </w:trPr>
        <w:tc>
          <w:tcPr>
            <w:tcW w:w="2530" w:type="pct"/>
            <w:tcBorders>
              <w:top w:val="nil"/>
              <w:left w:val="single" w:sz="4" w:space="0" w:color="auto"/>
              <w:bottom w:val="single" w:sz="4" w:space="0" w:color="auto"/>
              <w:right w:val="single" w:sz="4" w:space="0" w:color="auto"/>
            </w:tcBorders>
            <w:noWrap/>
            <w:vAlign w:val="bottom"/>
            <w:hideMark/>
          </w:tcPr>
          <w:p w14:paraId="6DBA129C"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Medida de abertura característica</w:t>
            </w:r>
          </w:p>
        </w:tc>
        <w:tc>
          <w:tcPr>
            <w:tcW w:w="933" w:type="pct"/>
            <w:tcBorders>
              <w:top w:val="nil"/>
              <w:left w:val="nil"/>
              <w:bottom w:val="single" w:sz="4" w:space="0" w:color="auto"/>
              <w:right w:val="single" w:sz="4" w:space="0" w:color="auto"/>
            </w:tcBorders>
            <w:noWrap/>
            <w:vAlign w:val="bottom"/>
            <w:hideMark/>
          </w:tcPr>
          <w:p w14:paraId="1668E901"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UNE-EN-ISO 12955</w:t>
            </w:r>
          </w:p>
        </w:tc>
        <w:tc>
          <w:tcPr>
            <w:tcW w:w="561" w:type="pct"/>
            <w:tcBorders>
              <w:top w:val="nil"/>
              <w:left w:val="nil"/>
              <w:bottom w:val="single" w:sz="4" w:space="0" w:color="auto"/>
              <w:right w:val="single" w:sz="4" w:space="0" w:color="auto"/>
            </w:tcBorders>
            <w:noWrap/>
            <w:vAlign w:val="bottom"/>
            <w:hideMark/>
          </w:tcPr>
          <w:p w14:paraId="51BF886E"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X</w:t>
            </w:r>
          </w:p>
        </w:tc>
        <w:tc>
          <w:tcPr>
            <w:tcW w:w="566" w:type="pct"/>
            <w:tcBorders>
              <w:top w:val="nil"/>
              <w:left w:val="nil"/>
              <w:bottom w:val="single" w:sz="4" w:space="0" w:color="auto"/>
              <w:right w:val="single" w:sz="4" w:space="0" w:color="auto"/>
            </w:tcBorders>
            <w:noWrap/>
            <w:vAlign w:val="bottom"/>
            <w:hideMark/>
          </w:tcPr>
          <w:p w14:paraId="3BE1BF39"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 </w:t>
            </w:r>
          </w:p>
        </w:tc>
        <w:tc>
          <w:tcPr>
            <w:tcW w:w="409" w:type="pct"/>
            <w:tcBorders>
              <w:top w:val="nil"/>
              <w:left w:val="nil"/>
              <w:bottom w:val="single" w:sz="4" w:space="0" w:color="auto"/>
              <w:right w:val="single" w:sz="4" w:space="0" w:color="auto"/>
            </w:tcBorders>
            <w:noWrap/>
            <w:vAlign w:val="bottom"/>
            <w:hideMark/>
          </w:tcPr>
          <w:p w14:paraId="5E71D0B0"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 </w:t>
            </w:r>
          </w:p>
        </w:tc>
      </w:tr>
      <w:tr w:rsidR="001E6577" w:rsidRPr="001E6577" w14:paraId="2D523F81" w14:textId="77777777" w:rsidTr="001E6577">
        <w:trPr>
          <w:trHeight w:val="300"/>
          <w:jc w:val="center"/>
        </w:trPr>
        <w:tc>
          <w:tcPr>
            <w:tcW w:w="2530" w:type="pct"/>
            <w:tcBorders>
              <w:top w:val="nil"/>
              <w:left w:val="single" w:sz="4" w:space="0" w:color="auto"/>
              <w:bottom w:val="single" w:sz="4" w:space="0" w:color="auto"/>
              <w:right w:val="single" w:sz="4" w:space="0" w:color="auto"/>
            </w:tcBorders>
            <w:noWrap/>
            <w:vAlign w:val="bottom"/>
            <w:hideMark/>
          </w:tcPr>
          <w:p w14:paraId="287F0C75"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Permeabilidad al agua perpendicularmente al plano</w:t>
            </w:r>
          </w:p>
        </w:tc>
        <w:tc>
          <w:tcPr>
            <w:tcW w:w="933" w:type="pct"/>
            <w:tcBorders>
              <w:top w:val="nil"/>
              <w:left w:val="nil"/>
              <w:bottom w:val="single" w:sz="4" w:space="0" w:color="auto"/>
              <w:right w:val="single" w:sz="4" w:space="0" w:color="auto"/>
            </w:tcBorders>
            <w:noWrap/>
            <w:vAlign w:val="bottom"/>
            <w:hideMark/>
          </w:tcPr>
          <w:p w14:paraId="2D0DBA13"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UNE-EN-ISO 1058</w:t>
            </w:r>
          </w:p>
        </w:tc>
        <w:tc>
          <w:tcPr>
            <w:tcW w:w="561" w:type="pct"/>
            <w:tcBorders>
              <w:top w:val="nil"/>
              <w:left w:val="nil"/>
              <w:bottom w:val="single" w:sz="4" w:space="0" w:color="auto"/>
              <w:right w:val="single" w:sz="4" w:space="0" w:color="auto"/>
            </w:tcBorders>
            <w:noWrap/>
            <w:vAlign w:val="bottom"/>
            <w:hideMark/>
          </w:tcPr>
          <w:p w14:paraId="02A82F04"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X</w:t>
            </w:r>
          </w:p>
        </w:tc>
        <w:tc>
          <w:tcPr>
            <w:tcW w:w="566" w:type="pct"/>
            <w:tcBorders>
              <w:top w:val="nil"/>
              <w:left w:val="nil"/>
              <w:bottom w:val="single" w:sz="4" w:space="0" w:color="auto"/>
              <w:right w:val="single" w:sz="4" w:space="0" w:color="auto"/>
            </w:tcBorders>
            <w:noWrap/>
            <w:vAlign w:val="bottom"/>
            <w:hideMark/>
          </w:tcPr>
          <w:p w14:paraId="09206434"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 </w:t>
            </w:r>
          </w:p>
        </w:tc>
        <w:tc>
          <w:tcPr>
            <w:tcW w:w="409" w:type="pct"/>
            <w:tcBorders>
              <w:top w:val="nil"/>
              <w:left w:val="nil"/>
              <w:bottom w:val="single" w:sz="4" w:space="0" w:color="auto"/>
              <w:right w:val="single" w:sz="4" w:space="0" w:color="auto"/>
            </w:tcBorders>
            <w:noWrap/>
            <w:vAlign w:val="bottom"/>
            <w:hideMark/>
          </w:tcPr>
          <w:p w14:paraId="3AB0D7C4"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 </w:t>
            </w:r>
          </w:p>
        </w:tc>
      </w:tr>
      <w:tr w:rsidR="001E6577" w:rsidRPr="001E6577" w14:paraId="641E91E3" w14:textId="77777777" w:rsidTr="001E6577">
        <w:trPr>
          <w:trHeight w:val="300"/>
          <w:jc w:val="center"/>
        </w:trPr>
        <w:tc>
          <w:tcPr>
            <w:tcW w:w="2530" w:type="pct"/>
            <w:tcBorders>
              <w:top w:val="nil"/>
              <w:left w:val="single" w:sz="4" w:space="0" w:color="auto"/>
              <w:bottom w:val="single" w:sz="4" w:space="0" w:color="auto"/>
              <w:right w:val="single" w:sz="4" w:space="0" w:color="auto"/>
            </w:tcBorders>
            <w:noWrap/>
            <w:vAlign w:val="bottom"/>
            <w:hideMark/>
          </w:tcPr>
          <w:p w14:paraId="475B0317"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Capacidad del flujo de agua en el plano</w:t>
            </w:r>
          </w:p>
        </w:tc>
        <w:tc>
          <w:tcPr>
            <w:tcW w:w="933" w:type="pct"/>
            <w:tcBorders>
              <w:top w:val="nil"/>
              <w:left w:val="nil"/>
              <w:bottom w:val="single" w:sz="4" w:space="0" w:color="auto"/>
              <w:right w:val="single" w:sz="4" w:space="0" w:color="auto"/>
            </w:tcBorders>
            <w:noWrap/>
            <w:vAlign w:val="bottom"/>
            <w:hideMark/>
          </w:tcPr>
          <w:p w14:paraId="09927149"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UNE-EN-ISO 12958</w:t>
            </w:r>
          </w:p>
        </w:tc>
        <w:tc>
          <w:tcPr>
            <w:tcW w:w="561" w:type="pct"/>
            <w:tcBorders>
              <w:top w:val="nil"/>
              <w:left w:val="nil"/>
              <w:bottom w:val="single" w:sz="4" w:space="0" w:color="auto"/>
              <w:right w:val="single" w:sz="4" w:space="0" w:color="auto"/>
            </w:tcBorders>
            <w:noWrap/>
            <w:vAlign w:val="bottom"/>
            <w:hideMark/>
          </w:tcPr>
          <w:p w14:paraId="5210AE86"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 </w:t>
            </w:r>
          </w:p>
        </w:tc>
        <w:tc>
          <w:tcPr>
            <w:tcW w:w="566" w:type="pct"/>
            <w:tcBorders>
              <w:top w:val="nil"/>
              <w:left w:val="nil"/>
              <w:bottom w:val="single" w:sz="4" w:space="0" w:color="auto"/>
              <w:right w:val="single" w:sz="4" w:space="0" w:color="auto"/>
            </w:tcBorders>
            <w:noWrap/>
            <w:vAlign w:val="bottom"/>
            <w:hideMark/>
          </w:tcPr>
          <w:p w14:paraId="65041C93"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 </w:t>
            </w:r>
          </w:p>
        </w:tc>
        <w:tc>
          <w:tcPr>
            <w:tcW w:w="409" w:type="pct"/>
            <w:tcBorders>
              <w:top w:val="nil"/>
              <w:left w:val="nil"/>
              <w:bottom w:val="single" w:sz="4" w:space="0" w:color="auto"/>
              <w:right w:val="single" w:sz="4" w:space="0" w:color="auto"/>
            </w:tcBorders>
            <w:noWrap/>
            <w:vAlign w:val="bottom"/>
            <w:hideMark/>
          </w:tcPr>
          <w:p w14:paraId="69C921B2"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X</w:t>
            </w:r>
          </w:p>
        </w:tc>
      </w:tr>
    </w:tbl>
    <w:p w14:paraId="03CFA4B5" w14:textId="77777777" w:rsidR="001E6577" w:rsidRPr="001E6577" w:rsidRDefault="001E6577" w:rsidP="00437E12">
      <w:pPr>
        <w:pStyle w:val="NORMAL12"/>
        <w:rPr>
          <w:lang w:val="es-ES"/>
        </w:rPr>
      </w:pPr>
    </w:p>
    <w:p w14:paraId="4FEE752A" w14:textId="77777777" w:rsidR="006D4611" w:rsidRPr="00625F03" w:rsidRDefault="006D4611" w:rsidP="006D4611">
      <w:pPr>
        <w:pStyle w:val="NORMAL12"/>
        <w:rPr>
          <w:lang w:val="es-ES"/>
        </w:rPr>
      </w:pPr>
      <w:r w:rsidRPr="00625F03">
        <w:rPr>
          <w:lang w:val="es-ES"/>
        </w:rPr>
        <w:t xml:space="preserve">Además, el </w:t>
      </w:r>
      <w:proofErr w:type="gramStart"/>
      <w:r w:rsidRPr="00625F03">
        <w:rPr>
          <w:lang w:val="es-ES"/>
        </w:rPr>
        <w:t>Director</w:t>
      </w:r>
      <w:proofErr w:type="gramEnd"/>
      <w:r w:rsidRPr="00625F03">
        <w:rPr>
          <w:lang w:val="es-ES"/>
        </w:rPr>
        <w:t xml:space="preserve"> de las Obras, podrá establecer</w:t>
      </w:r>
      <w:r w:rsidR="00466EAF" w:rsidRPr="00625F03">
        <w:rPr>
          <w:lang w:val="es-ES"/>
        </w:rPr>
        <w:t xml:space="preserve"> </w:t>
      </w:r>
      <w:r w:rsidRPr="00625F03">
        <w:rPr>
          <w:lang w:val="es-ES"/>
        </w:rPr>
        <w:t>valores para las propiedades de la tabla 290.1 no requeridas con carácter obligatorio</w:t>
      </w:r>
      <w:r w:rsidR="00466EAF" w:rsidRPr="00625F03">
        <w:rPr>
          <w:lang w:val="es-ES"/>
        </w:rPr>
        <w:t xml:space="preserve"> </w:t>
      </w:r>
      <w:r w:rsidRPr="00625F03">
        <w:rPr>
          <w:lang w:val="es-ES"/>
        </w:rPr>
        <w:t>por dicha norma, así como para las que se relacionan a continuación:</w:t>
      </w:r>
    </w:p>
    <w:p w14:paraId="0A11BC0E" w14:textId="77777777" w:rsidR="006D4611" w:rsidRPr="00625F03" w:rsidRDefault="006D4611" w:rsidP="00661A5F">
      <w:pPr>
        <w:pStyle w:val="NORMAL12"/>
        <w:numPr>
          <w:ilvl w:val="0"/>
          <w:numId w:val="196"/>
        </w:numPr>
        <w:rPr>
          <w:lang w:val="es-ES"/>
        </w:rPr>
      </w:pPr>
      <w:r w:rsidRPr="00625F03">
        <w:rPr>
          <w:lang w:val="es-ES"/>
        </w:rPr>
        <w:t>Alargamiento a la carga máxima (norma UNE-EN ISO 10319).</w:t>
      </w:r>
    </w:p>
    <w:p w14:paraId="656818DC" w14:textId="77777777" w:rsidR="006D4611" w:rsidRPr="00625F03" w:rsidRDefault="006D4611" w:rsidP="00661A5F">
      <w:pPr>
        <w:pStyle w:val="NORMAL12"/>
        <w:numPr>
          <w:ilvl w:val="0"/>
          <w:numId w:val="196"/>
        </w:numPr>
        <w:rPr>
          <w:lang w:val="es-ES"/>
        </w:rPr>
      </w:pPr>
      <w:r w:rsidRPr="00625F03">
        <w:rPr>
          <w:lang w:val="es-ES"/>
        </w:rPr>
        <w:t>Resistencia a tracción de juntas y costuras (norma UNE-EN ISO 10321).</w:t>
      </w:r>
    </w:p>
    <w:p w14:paraId="658E9D77" w14:textId="77777777" w:rsidR="006D4611" w:rsidRPr="00625F03" w:rsidRDefault="006D4611" w:rsidP="00661A5F">
      <w:pPr>
        <w:pStyle w:val="NORMAL12"/>
        <w:numPr>
          <w:ilvl w:val="0"/>
          <w:numId w:val="196"/>
        </w:numPr>
        <w:rPr>
          <w:lang w:val="es-ES"/>
        </w:rPr>
      </w:pPr>
      <w:r w:rsidRPr="00625F03">
        <w:rPr>
          <w:lang w:val="es-ES"/>
        </w:rPr>
        <w:t>Características de fricción (normas UNE-EN ISO 12957-1 y UNE-EN ISO 12957-2).</w:t>
      </w:r>
    </w:p>
    <w:p w14:paraId="2B3BCD80" w14:textId="77777777" w:rsidR="006D4611" w:rsidRPr="00625F03" w:rsidRDefault="006D4611" w:rsidP="00661A5F">
      <w:pPr>
        <w:pStyle w:val="NORMAL12"/>
        <w:numPr>
          <w:ilvl w:val="0"/>
          <w:numId w:val="196"/>
        </w:numPr>
        <w:rPr>
          <w:lang w:val="es-ES"/>
        </w:rPr>
      </w:pPr>
      <w:r w:rsidRPr="00625F03">
        <w:rPr>
          <w:lang w:val="es-ES"/>
        </w:rPr>
        <w:t>Fluencia a compresión (norma UNE-EN ISO 25619-1).</w:t>
      </w:r>
    </w:p>
    <w:p w14:paraId="3047773A" w14:textId="77777777" w:rsidR="006D4611" w:rsidRPr="00625F03" w:rsidRDefault="006D4611" w:rsidP="00661A5F">
      <w:pPr>
        <w:pStyle w:val="NORMAL12"/>
        <w:numPr>
          <w:ilvl w:val="0"/>
          <w:numId w:val="196"/>
        </w:numPr>
        <w:rPr>
          <w:lang w:val="es-ES"/>
        </w:rPr>
      </w:pPr>
      <w:r w:rsidRPr="00625F03">
        <w:rPr>
          <w:lang w:val="es-ES"/>
        </w:rPr>
        <w:t>Daño mecánico bajo carga repetida (norma UNE-EN ISO 10722).</w:t>
      </w:r>
    </w:p>
    <w:p w14:paraId="40B5A9BD" w14:textId="77777777" w:rsidR="006D4611" w:rsidRPr="00625F03" w:rsidRDefault="006D4611" w:rsidP="00661A5F">
      <w:pPr>
        <w:pStyle w:val="NORMAL12"/>
        <w:numPr>
          <w:ilvl w:val="0"/>
          <w:numId w:val="196"/>
        </w:numPr>
        <w:rPr>
          <w:lang w:val="es-ES"/>
        </w:rPr>
      </w:pPr>
      <w:r w:rsidRPr="00625F03">
        <w:rPr>
          <w:lang w:val="es-ES"/>
        </w:rPr>
        <w:t>Masa por unidad de superficie (norma UNE-EN ISO 9864).</w:t>
      </w:r>
    </w:p>
    <w:p w14:paraId="143D7DF2" w14:textId="77777777" w:rsidR="006D4611" w:rsidRPr="00625F03" w:rsidRDefault="006D4611" w:rsidP="00661A5F">
      <w:pPr>
        <w:pStyle w:val="NORMAL12"/>
        <w:numPr>
          <w:ilvl w:val="0"/>
          <w:numId w:val="196"/>
        </w:numPr>
        <w:rPr>
          <w:lang w:val="es-ES"/>
        </w:rPr>
      </w:pPr>
      <w:r w:rsidRPr="00625F03">
        <w:rPr>
          <w:lang w:val="es-ES"/>
        </w:rPr>
        <w:t>Espesor del geotextil o producto relacionado (norma UNE-EN ISO 9863-1).</w:t>
      </w:r>
    </w:p>
    <w:p w14:paraId="16156EEE" w14:textId="77777777" w:rsidR="006D4611" w:rsidRPr="00625F03" w:rsidRDefault="006D4611" w:rsidP="006D4611">
      <w:pPr>
        <w:pStyle w:val="NORMAL12"/>
        <w:rPr>
          <w:lang w:val="es-ES"/>
        </w:rPr>
      </w:pPr>
      <w:r w:rsidRPr="00625F03">
        <w:rPr>
          <w:lang w:val="es-ES"/>
        </w:rPr>
        <w:t xml:space="preserve">o, para otras que, sin figurar en los listados </w:t>
      </w:r>
      <w:r w:rsidR="00D93E76" w:rsidRPr="00625F03">
        <w:rPr>
          <w:lang w:val="es-ES"/>
        </w:rPr>
        <w:t>precedentes</w:t>
      </w:r>
      <w:r w:rsidRPr="00625F03">
        <w:rPr>
          <w:lang w:val="es-ES"/>
        </w:rPr>
        <w:t xml:space="preserve">, se consideran relevantes </w:t>
      </w:r>
      <w:proofErr w:type="gramStart"/>
      <w:r w:rsidRPr="00625F03">
        <w:rPr>
          <w:lang w:val="es-ES"/>
        </w:rPr>
        <w:t xml:space="preserve">para </w:t>
      </w:r>
      <w:r w:rsidR="00466EAF" w:rsidRPr="00625F03">
        <w:rPr>
          <w:lang w:val="es-ES"/>
        </w:rPr>
        <w:t xml:space="preserve"> l</w:t>
      </w:r>
      <w:r w:rsidRPr="00625F03">
        <w:rPr>
          <w:lang w:val="es-ES"/>
        </w:rPr>
        <w:t>a</w:t>
      </w:r>
      <w:proofErr w:type="gramEnd"/>
      <w:r w:rsidRPr="00625F03">
        <w:rPr>
          <w:lang w:val="es-ES"/>
        </w:rPr>
        <w:t xml:space="preserve"> aplicación particular contemplada</w:t>
      </w:r>
    </w:p>
    <w:p w14:paraId="4F4D54E9" w14:textId="77777777" w:rsidR="006D4611" w:rsidRPr="00625F03" w:rsidRDefault="00B517AB" w:rsidP="006D4611">
      <w:pPr>
        <w:pStyle w:val="NORMAL12"/>
        <w:rPr>
          <w:i/>
          <w:u w:val="single"/>
          <w:lang w:val="es-ES"/>
        </w:rPr>
      </w:pPr>
      <w:r w:rsidRPr="00625F03">
        <w:rPr>
          <w:i/>
          <w:u w:val="single"/>
          <w:lang w:val="es-ES"/>
        </w:rPr>
        <w:t>A</w:t>
      </w:r>
      <w:r w:rsidR="006D4611" w:rsidRPr="00625F03">
        <w:rPr>
          <w:i/>
          <w:u w:val="single"/>
          <w:lang w:val="es-ES"/>
        </w:rPr>
        <w:t>plicación en pavimentos y recrecidos asfálticos</w:t>
      </w:r>
    </w:p>
    <w:p w14:paraId="64BF4E2D" w14:textId="77777777" w:rsidR="006D4611" w:rsidRDefault="006D4611" w:rsidP="006D4611">
      <w:pPr>
        <w:pStyle w:val="NORMAL12"/>
        <w:rPr>
          <w:lang w:val="es-ES"/>
        </w:rPr>
      </w:pPr>
      <w:r w:rsidRPr="00625F03">
        <w:rPr>
          <w:lang w:val="es-ES"/>
        </w:rPr>
        <w:t>Cuando el geotextil o producto relacionado se emplee en rehabilitación de pavimentos</w:t>
      </w:r>
      <w:r w:rsidR="00466EAF" w:rsidRPr="00625F03">
        <w:rPr>
          <w:lang w:val="es-ES"/>
        </w:rPr>
        <w:t xml:space="preserve"> </w:t>
      </w:r>
      <w:r w:rsidRPr="00625F03">
        <w:rPr>
          <w:lang w:val="es-ES"/>
        </w:rPr>
        <w:t xml:space="preserve">y recrecimientos asfálticos, el Pliego de Prescripciones Técnicas Particulares </w:t>
      </w:r>
      <w:r w:rsidR="00DC716C" w:rsidRPr="00625F03">
        <w:rPr>
          <w:lang w:val="es-ES"/>
        </w:rPr>
        <w:t xml:space="preserve">o el </w:t>
      </w:r>
      <w:proofErr w:type="gramStart"/>
      <w:r w:rsidR="00D93E76" w:rsidRPr="00625F03">
        <w:rPr>
          <w:lang w:val="es-ES"/>
        </w:rPr>
        <w:t>Director</w:t>
      </w:r>
      <w:proofErr w:type="gramEnd"/>
      <w:r w:rsidR="00DC716C" w:rsidRPr="00625F03">
        <w:rPr>
          <w:lang w:val="es-ES"/>
        </w:rPr>
        <w:t xml:space="preserve"> de Obra </w:t>
      </w:r>
      <w:r w:rsidRPr="00625F03">
        <w:rPr>
          <w:lang w:val="es-ES"/>
        </w:rPr>
        <w:t>deberá,</w:t>
      </w:r>
      <w:r w:rsidR="00466EAF" w:rsidRPr="00625F03">
        <w:rPr>
          <w:lang w:val="es-ES"/>
        </w:rPr>
        <w:t xml:space="preserve"> </w:t>
      </w:r>
      <w:r w:rsidRPr="00625F03">
        <w:rPr>
          <w:lang w:val="es-ES"/>
        </w:rPr>
        <w:t>al menos, especificar los valores exigibles para las propiedades que figuran en la</w:t>
      </w:r>
      <w:r w:rsidR="00466EAF" w:rsidRPr="00625F03">
        <w:rPr>
          <w:lang w:val="es-ES"/>
        </w:rPr>
        <w:t xml:space="preserve"> </w:t>
      </w:r>
      <w:r w:rsidRPr="00625F03">
        <w:rPr>
          <w:lang w:val="es-ES"/>
        </w:rPr>
        <w:t>norma UNE-EN 15381, que se recogen en la tabla 290.3.</w:t>
      </w:r>
    </w:p>
    <w:p w14:paraId="1A2704E5" w14:textId="77777777" w:rsidR="001E6577" w:rsidRDefault="001E6577" w:rsidP="006D4611">
      <w:pPr>
        <w:pStyle w:val="NORMAL12"/>
        <w:rPr>
          <w:lang w:val="es-ES"/>
        </w:rPr>
      </w:pPr>
    </w:p>
    <w:tbl>
      <w:tblPr>
        <w:tblW w:w="8780" w:type="dxa"/>
        <w:jc w:val="center"/>
        <w:tblCellMar>
          <w:left w:w="70" w:type="dxa"/>
          <w:right w:w="70" w:type="dxa"/>
        </w:tblCellMar>
        <w:tblLook w:val="04A0" w:firstRow="1" w:lastRow="0" w:firstColumn="1" w:lastColumn="0" w:noHBand="0" w:noVBand="1"/>
      </w:tblPr>
      <w:tblGrid>
        <w:gridCol w:w="3675"/>
        <w:gridCol w:w="1844"/>
        <w:gridCol w:w="911"/>
        <w:gridCol w:w="2350"/>
      </w:tblGrid>
      <w:tr w:rsidR="001E6577" w:rsidRPr="001E6577" w14:paraId="4766556F" w14:textId="77777777" w:rsidTr="001E6577">
        <w:trPr>
          <w:trHeight w:val="750"/>
          <w:jc w:val="center"/>
        </w:trPr>
        <w:tc>
          <w:tcPr>
            <w:tcW w:w="8780" w:type="dxa"/>
            <w:gridSpan w:val="4"/>
            <w:tcBorders>
              <w:top w:val="single" w:sz="4" w:space="0" w:color="auto"/>
              <w:left w:val="single" w:sz="4" w:space="0" w:color="auto"/>
              <w:bottom w:val="single" w:sz="4" w:space="0" w:color="auto"/>
              <w:right w:val="single" w:sz="4" w:space="0" w:color="auto"/>
            </w:tcBorders>
            <w:shd w:val="clear" w:color="000000" w:fill="D8D8D8"/>
            <w:vAlign w:val="center"/>
            <w:hideMark/>
          </w:tcPr>
          <w:p w14:paraId="65F371EC" w14:textId="77777777" w:rsidR="001E6577" w:rsidRPr="001E6577" w:rsidRDefault="001E6577" w:rsidP="001E6577">
            <w:pPr>
              <w:jc w:val="center"/>
              <w:rPr>
                <w:rFonts w:ascii="Arial" w:hAnsi="Arial" w:cs="Arial"/>
                <w:b/>
                <w:bCs/>
                <w:color w:val="000000"/>
                <w:sz w:val="18"/>
                <w:szCs w:val="18"/>
              </w:rPr>
            </w:pPr>
            <w:r w:rsidRPr="001E6577">
              <w:rPr>
                <w:rFonts w:ascii="Arial" w:hAnsi="Arial" w:cs="Arial"/>
                <w:b/>
                <w:bCs/>
                <w:color w:val="000000"/>
                <w:sz w:val="18"/>
                <w:szCs w:val="18"/>
              </w:rPr>
              <w:t>Tabla 290.3 P</w:t>
            </w:r>
            <w:r w:rsidR="00524011" w:rsidRPr="001E6577">
              <w:rPr>
                <w:rFonts w:ascii="Arial" w:hAnsi="Arial" w:cs="Arial"/>
                <w:b/>
                <w:bCs/>
                <w:color w:val="000000"/>
                <w:sz w:val="18"/>
                <w:szCs w:val="18"/>
              </w:rPr>
              <w:t xml:space="preserve">ropiedades a exigir a </w:t>
            </w:r>
            <w:r w:rsidR="00217216" w:rsidRPr="001E6577">
              <w:rPr>
                <w:rFonts w:ascii="Arial" w:hAnsi="Arial" w:cs="Arial"/>
                <w:b/>
                <w:bCs/>
                <w:color w:val="000000"/>
                <w:sz w:val="18"/>
                <w:szCs w:val="18"/>
              </w:rPr>
              <w:t>geotextiles</w:t>
            </w:r>
            <w:r w:rsidR="00524011" w:rsidRPr="001E6577">
              <w:rPr>
                <w:rFonts w:ascii="Arial" w:hAnsi="Arial" w:cs="Arial"/>
                <w:b/>
                <w:bCs/>
                <w:color w:val="000000"/>
                <w:sz w:val="18"/>
                <w:szCs w:val="18"/>
              </w:rPr>
              <w:t xml:space="preserve"> y productos relacionados empleados en pavimentos y recrecidos asfálticos</w:t>
            </w:r>
            <w:r w:rsidR="00524011">
              <w:rPr>
                <w:rFonts w:ascii="Arial" w:hAnsi="Arial" w:cs="Arial"/>
                <w:b/>
                <w:bCs/>
                <w:color w:val="000000"/>
                <w:sz w:val="18"/>
                <w:szCs w:val="18"/>
              </w:rPr>
              <w:t xml:space="preserve"> </w:t>
            </w:r>
            <w:r w:rsidRPr="001E6577">
              <w:rPr>
                <w:rFonts w:ascii="Arial" w:hAnsi="Arial" w:cs="Arial"/>
                <w:b/>
                <w:bCs/>
                <w:color w:val="000000"/>
                <w:sz w:val="18"/>
                <w:szCs w:val="18"/>
              </w:rPr>
              <w:t>(NORMA UNE-EN 13381)</w:t>
            </w:r>
          </w:p>
        </w:tc>
      </w:tr>
      <w:tr w:rsidR="001E6577" w:rsidRPr="001E6577" w14:paraId="07A6B9BD" w14:textId="77777777" w:rsidTr="001E6577">
        <w:trPr>
          <w:trHeight w:val="300"/>
          <w:jc w:val="center"/>
        </w:trPr>
        <w:tc>
          <w:tcPr>
            <w:tcW w:w="3675" w:type="dxa"/>
            <w:vMerge w:val="restart"/>
            <w:tcBorders>
              <w:top w:val="nil"/>
              <w:left w:val="single" w:sz="4" w:space="0" w:color="auto"/>
              <w:bottom w:val="single" w:sz="4" w:space="0" w:color="auto"/>
              <w:right w:val="single" w:sz="4" w:space="0" w:color="auto"/>
            </w:tcBorders>
            <w:shd w:val="clear" w:color="000000" w:fill="D8D8D8"/>
            <w:noWrap/>
            <w:vAlign w:val="center"/>
            <w:hideMark/>
          </w:tcPr>
          <w:p w14:paraId="3BE84FFA" w14:textId="77777777" w:rsidR="001E6577" w:rsidRPr="001E6577" w:rsidRDefault="001E6577" w:rsidP="001E6577">
            <w:pPr>
              <w:jc w:val="center"/>
              <w:rPr>
                <w:rFonts w:ascii="Arial" w:hAnsi="Arial" w:cs="Arial"/>
                <w:b/>
                <w:bCs/>
                <w:color w:val="000000"/>
                <w:sz w:val="18"/>
                <w:szCs w:val="18"/>
              </w:rPr>
            </w:pPr>
            <w:r w:rsidRPr="001E6577">
              <w:rPr>
                <w:rFonts w:ascii="Arial" w:hAnsi="Arial" w:cs="Arial"/>
                <w:b/>
                <w:bCs/>
                <w:color w:val="000000"/>
                <w:sz w:val="18"/>
                <w:szCs w:val="18"/>
              </w:rPr>
              <w:t xml:space="preserve">Propiedad   </w:t>
            </w:r>
          </w:p>
        </w:tc>
        <w:tc>
          <w:tcPr>
            <w:tcW w:w="1844" w:type="dxa"/>
            <w:vMerge w:val="restart"/>
            <w:tcBorders>
              <w:top w:val="nil"/>
              <w:left w:val="single" w:sz="4" w:space="0" w:color="auto"/>
              <w:bottom w:val="single" w:sz="4" w:space="0" w:color="auto"/>
              <w:right w:val="single" w:sz="4" w:space="0" w:color="auto"/>
            </w:tcBorders>
            <w:shd w:val="clear" w:color="000000" w:fill="D8D8D8"/>
            <w:noWrap/>
            <w:vAlign w:val="center"/>
            <w:hideMark/>
          </w:tcPr>
          <w:p w14:paraId="5A50FCB1" w14:textId="77777777" w:rsidR="001E6577" w:rsidRPr="001E6577" w:rsidRDefault="001E6577" w:rsidP="001E6577">
            <w:pPr>
              <w:jc w:val="center"/>
              <w:rPr>
                <w:rFonts w:ascii="Arial" w:hAnsi="Arial" w:cs="Arial"/>
                <w:b/>
                <w:bCs/>
                <w:color w:val="000000"/>
                <w:sz w:val="18"/>
                <w:szCs w:val="18"/>
              </w:rPr>
            </w:pPr>
            <w:r w:rsidRPr="001E6577">
              <w:rPr>
                <w:rFonts w:ascii="Arial" w:hAnsi="Arial" w:cs="Arial"/>
                <w:b/>
                <w:bCs/>
                <w:color w:val="000000"/>
                <w:sz w:val="18"/>
                <w:szCs w:val="18"/>
              </w:rPr>
              <w:t>Norma de ensayo</w:t>
            </w:r>
          </w:p>
        </w:tc>
        <w:tc>
          <w:tcPr>
            <w:tcW w:w="3261" w:type="dxa"/>
            <w:gridSpan w:val="2"/>
            <w:tcBorders>
              <w:top w:val="single" w:sz="4" w:space="0" w:color="auto"/>
              <w:left w:val="nil"/>
              <w:bottom w:val="single" w:sz="4" w:space="0" w:color="auto"/>
              <w:right w:val="single" w:sz="4" w:space="0" w:color="auto"/>
            </w:tcBorders>
            <w:shd w:val="clear" w:color="000000" w:fill="D8D8D8"/>
            <w:noWrap/>
            <w:vAlign w:val="center"/>
            <w:hideMark/>
          </w:tcPr>
          <w:p w14:paraId="6FFAE817" w14:textId="77777777" w:rsidR="001E6577" w:rsidRPr="001E6577" w:rsidRDefault="001E6577" w:rsidP="001E6577">
            <w:pPr>
              <w:jc w:val="center"/>
              <w:rPr>
                <w:rFonts w:ascii="Arial" w:hAnsi="Arial" w:cs="Arial"/>
                <w:b/>
                <w:bCs/>
                <w:color w:val="000000"/>
                <w:sz w:val="18"/>
                <w:szCs w:val="18"/>
              </w:rPr>
            </w:pPr>
            <w:r w:rsidRPr="001E6577">
              <w:rPr>
                <w:rFonts w:ascii="Arial" w:hAnsi="Arial" w:cs="Arial"/>
                <w:b/>
                <w:bCs/>
                <w:color w:val="000000"/>
                <w:sz w:val="18"/>
                <w:szCs w:val="18"/>
              </w:rPr>
              <w:t>Funciones</w:t>
            </w:r>
          </w:p>
        </w:tc>
      </w:tr>
      <w:tr w:rsidR="001E6577" w:rsidRPr="001E6577" w14:paraId="6384CF6B" w14:textId="77777777" w:rsidTr="001E6577">
        <w:trPr>
          <w:trHeight w:val="300"/>
          <w:jc w:val="center"/>
        </w:trPr>
        <w:tc>
          <w:tcPr>
            <w:tcW w:w="3675" w:type="dxa"/>
            <w:vMerge/>
            <w:tcBorders>
              <w:top w:val="nil"/>
              <w:left w:val="single" w:sz="4" w:space="0" w:color="auto"/>
              <w:bottom w:val="single" w:sz="4" w:space="0" w:color="auto"/>
              <w:right w:val="single" w:sz="4" w:space="0" w:color="auto"/>
            </w:tcBorders>
            <w:vAlign w:val="center"/>
            <w:hideMark/>
          </w:tcPr>
          <w:p w14:paraId="2230330C" w14:textId="77777777" w:rsidR="001E6577" w:rsidRPr="001E6577" w:rsidRDefault="001E6577" w:rsidP="001E6577">
            <w:pPr>
              <w:rPr>
                <w:rFonts w:ascii="Arial" w:hAnsi="Arial" w:cs="Arial"/>
                <w:b/>
                <w:bCs/>
                <w:color w:val="000000"/>
                <w:sz w:val="18"/>
                <w:szCs w:val="18"/>
              </w:rPr>
            </w:pPr>
          </w:p>
        </w:tc>
        <w:tc>
          <w:tcPr>
            <w:tcW w:w="1844" w:type="dxa"/>
            <w:vMerge/>
            <w:tcBorders>
              <w:top w:val="nil"/>
              <w:left w:val="single" w:sz="4" w:space="0" w:color="auto"/>
              <w:bottom w:val="single" w:sz="4" w:space="0" w:color="auto"/>
              <w:right w:val="single" w:sz="4" w:space="0" w:color="auto"/>
            </w:tcBorders>
            <w:vAlign w:val="center"/>
            <w:hideMark/>
          </w:tcPr>
          <w:p w14:paraId="2E230D5B" w14:textId="77777777" w:rsidR="001E6577" w:rsidRPr="001E6577" w:rsidRDefault="001E6577" w:rsidP="001E6577">
            <w:pPr>
              <w:rPr>
                <w:rFonts w:ascii="Arial" w:hAnsi="Arial" w:cs="Arial"/>
                <w:b/>
                <w:bCs/>
                <w:color w:val="000000"/>
                <w:sz w:val="18"/>
                <w:szCs w:val="18"/>
              </w:rPr>
            </w:pPr>
          </w:p>
        </w:tc>
        <w:tc>
          <w:tcPr>
            <w:tcW w:w="911" w:type="dxa"/>
            <w:tcBorders>
              <w:top w:val="nil"/>
              <w:left w:val="nil"/>
              <w:bottom w:val="single" w:sz="4" w:space="0" w:color="auto"/>
              <w:right w:val="single" w:sz="4" w:space="0" w:color="auto"/>
            </w:tcBorders>
            <w:shd w:val="clear" w:color="000000" w:fill="D8D8D8"/>
            <w:noWrap/>
            <w:vAlign w:val="center"/>
            <w:hideMark/>
          </w:tcPr>
          <w:p w14:paraId="11C4262A" w14:textId="77777777" w:rsidR="001E6577" w:rsidRPr="001E6577" w:rsidRDefault="001E6577" w:rsidP="001E6577">
            <w:pPr>
              <w:jc w:val="center"/>
              <w:rPr>
                <w:rFonts w:ascii="Arial" w:hAnsi="Arial" w:cs="Arial"/>
                <w:b/>
                <w:bCs/>
                <w:color w:val="000000"/>
                <w:sz w:val="18"/>
                <w:szCs w:val="18"/>
              </w:rPr>
            </w:pPr>
            <w:r w:rsidRPr="001E6577">
              <w:rPr>
                <w:rFonts w:ascii="Arial" w:hAnsi="Arial" w:cs="Arial"/>
                <w:b/>
                <w:bCs/>
                <w:color w:val="000000"/>
                <w:sz w:val="18"/>
                <w:szCs w:val="18"/>
              </w:rPr>
              <w:t>Refuerzo</w:t>
            </w:r>
          </w:p>
        </w:tc>
        <w:tc>
          <w:tcPr>
            <w:tcW w:w="2350" w:type="dxa"/>
            <w:tcBorders>
              <w:top w:val="nil"/>
              <w:left w:val="nil"/>
              <w:bottom w:val="single" w:sz="4" w:space="0" w:color="auto"/>
              <w:right w:val="single" w:sz="4" w:space="0" w:color="auto"/>
            </w:tcBorders>
            <w:shd w:val="clear" w:color="000000" w:fill="D8D8D8"/>
            <w:noWrap/>
            <w:vAlign w:val="center"/>
            <w:hideMark/>
          </w:tcPr>
          <w:p w14:paraId="2CF8E563" w14:textId="77777777" w:rsidR="001E6577" w:rsidRPr="001E6577" w:rsidRDefault="001E6577" w:rsidP="001E6577">
            <w:pPr>
              <w:jc w:val="center"/>
              <w:rPr>
                <w:rFonts w:ascii="Arial" w:hAnsi="Arial" w:cs="Arial"/>
                <w:b/>
                <w:bCs/>
                <w:color w:val="000000"/>
                <w:sz w:val="18"/>
                <w:szCs w:val="18"/>
              </w:rPr>
            </w:pPr>
            <w:r w:rsidRPr="001E6577">
              <w:rPr>
                <w:rFonts w:ascii="Arial" w:hAnsi="Arial" w:cs="Arial"/>
                <w:b/>
                <w:bCs/>
                <w:color w:val="000000"/>
                <w:sz w:val="18"/>
                <w:szCs w:val="18"/>
              </w:rPr>
              <w:t>Relajación de tensiones</w:t>
            </w:r>
          </w:p>
        </w:tc>
      </w:tr>
      <w:tr w:rsidR="001E6577" w:rsidRPr="001E6577" w14:paraId="00152351" w14:textId="77777777" w:rsidTr="001E6577">
        <w:trPr>
          <w:trHeight w:val="300"/>
          <w:jc w:val="center"/>
        </w:trPr>
        <w:tc>
          <w:tcPr>
            <w:tcW w:w="3675" w:type="dxa"/>
            <w:tcBorders>
              <w:top w:val="nil"/>
              <w:left w:val="single" w:sz="4" w:space="0" w:color="auto"/>
              <w:bottom w:val="single" w:sz="4" w:space="0" w:color="auto"/>
              <w:right w:val="single" w:sz="4" w:space="0" w:color="auto"/>
            </w:tcBorders>
            <w:noWrap/>
            <w:vAlign w:val="bottom"/>
            <w:hideMark/>
          </w:tcPr>
          <w:p w14:paraId="79162E82"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Resistencia a tracción</w:t>
            </w:r>
          </w:p>
        </w:tc>
        <w:tc>
          <w:tcPr>
            <w:tcW w:w="1844" w:type="dxa"/>
            <w:tcBorders>
              <w:top w:val="nil"/>
              <w:left w:val="nil"/>
              <w:bottom w:val="single" w:sz="4" w:space="0" w:color="auto"/>
              <w:right w:val="single" w:sz="4" w:space="0" w:color="auto"/>
            </w:tcBorders>
            <w:noWrap/>
            <w:vAlign w:val="bottom"/>
            <w:hideMark/>
          </w:tcPr>
          <w:p w14:paraId="63032DFB"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UNE-EN ISO 10319</w:t>
            </w:r>
          </w:p>
        </w:tc>
        <w:tc>
          <w:tcPr>
            <w:tcW w:w="911" w:type="dxa"/>
            <w:tcBorders>
              <w:top w:val="nil"/>
              <w:left w:val="nil"/>
              <w:bottom w:val="single" w:sz="4" w:space="0" w:color="auto"/>
              <w:right w:val="single" w:sz="4" w:space="0" w:color="auto"/>
            </w:tcBorders>
            <w:noWrap/>
            <w:vAlign w:val="bottom"/>
            <w:hideMark/>
          </w:tcPr>
          <w:p w14:paraId="0C07E0A9"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X</w:t>
            </w:r>
          </w:p>
        </w:tc>
        <w:tc>
          <w:tcPr>
            <w:tcW w:w="2350" w:type="dxa"/>
            <w:tcBorders>
              <w:top w:val="nil"/>
              <w:left w:val="nil"/>
              <w:bottom w:val="single" w:sz="4" w:space="0" w:color="auto"/>
              <w:right w:val="single" w:sz="4" w:space="0" w:color="auto"/>
            </w:tcBorders>
            <w:noWrap/>
            <w:vAlign w:val="bottom"/>
            <w:hideMark/>
          </w:tcPr>
          <w:p w14:paraId="25426B25"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X</w:t>
            </w:r>
          </w:p>
        </w:tc>
      </w:tr>
      <w:tr w:rsidR="001E6577" w:rsidRPr="001E6577" w14:paraId="366D5501" w14:textId="77777777" w:rsidTr="001E6577">
        <w:trPr>
          <w:trHeight w:val="300"/>
          <w:jc w:val="center"/>
        </w:trPr>
        <w:tc>
          <w:tcPr>
            <w:tcW w:w="3675" w:type="dxa"/>
            <w:tcBorders>
              <w:top w:val="nil"/>
              <w:left w:val="single" w:sz="4" w:space="0" w:color="auto"/>
              <w:bottom w:val="single" w:sz="4" w:space="0" w:color="auto"/>
              <w:right w:val="single" w:sz="4" w:space="0" w:color="auto"/>
            </w:tcBorders>
            <w:noWrap/>
            <w:vAlign w:val="bottom"/>
            <w:hideMark/>
          </w:tcPr>
          <w:p w14:paraId="45F888BB"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Alargamiento a la carga máxima</w:t>
            </w:r>
          </w:p>
        </w:tc>
        <w:tc>
          <w:tcPr>
            <w:tcW w:w="1844" w:type="dxa"/>
            <w:tcBorders>
              <w:top w:val="nil"/>
              <w:left w:val="nil"/>
              <w:bottom w:val="single" w:sz="4" w:space="0" w:color="auto"/>
              <w:right w:val="single" w:sz="4" w:space="0" w:color="auto"/>
            </w:tcBorders>
            <w:noWrap/>
            <w:vAlign w:val="bottom"/>
            <w:hideMark/>
          </w:tcPr>
          <w:p w14:paraId="6AA25183"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UNE-EN-ISO 10319</w:t>
            </w:r>
          </w:p>
        </w:tc>
        <w:tc>
          <w:tcPr>
            <w:tcW w:w="911" w:type="dxa"/>
            <w:tcBorders>
              <w:top w:val="nil"/>
              <w:left w:val="nil"/>
              <w:bottom w:val="single" w:sz="4" w:space="0" w:color="auto"/>
              <w:right w:val="single" w:sz="4" w:space="0" w:color="auto"/>
            </w:tcBorders>
            <w:noWrap/>
            <w:vAlign w:val="bottom"/>
            <w:hideMark/>
          </w:tcPr>
          <w:p w14:paraId="701E056C"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 X</w:t>
            </w:r>
          </w:p>
        </w:tc>
        <w:tc>
          <w:tcPr>
            <w:tcW w:w="2350" w:type="dxa"/>
            <w:tcBorders>
              <w:top w:val="nil"/>
              <w:left w:val="nil"/>
              <w:bottom w:val="single" w:sz="4" w:space="0" w:color="auto"/>
              <w:right w:val="single" w:sz="4" w:space="0" w:color="auto"/>
            </w:tcBorders>
            <w:noWrap/>
            <w:vAlign w:val="bottom"/>
            <w:hideMark/>
          </w:tcPr>
          <w:p w14:paraId="4AC30395"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X </w:t>
            </w:r>
          </w:p>
        </w:tc>
      </w:tr>
      <w:tr w:rsidR="001E6577" w:rsidRPr="001E6577" w14:paraId="5D36DCA6" w14:textId="77777777" w:rsidTr="001E6577">
        <w:trPr>
          <w:trHeight w:val="300"/>
          <w:jc w:val="center"/>
        </w:trPr>
        <w:tc>
          <w:tcPr>
            <w:tcW w:w="3675" w:type="dxa"/>
            <w:tcBorders>
              <w:top w:val="nil"/>
              <w:left w:val="single" w:sz="4" w:space="0" w:color="auto"/>
              <w:bottom w:val="single" w:sz="4" w:space="0" w:color="auto"/>
              <w:right w:val="single" w:sz="4" w:space="0" w:color="auto"/>
            </w:tcBorders>
            <w:noWrap/>
            <w:vAlign w:val="bottom"/>
            <w:hideMark/>
          </w:tcPr>
          <w:p w14:paraId="1B62D418"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Punzonamiento estático (Ensayo CBR)</w:t>
            </w:r>
          </w:p>
        </w:tc>
        <w:tc>
          <w:tcPr>
            <w:tcW w:w="1844" w:type="dxa"/>
            <w:tcBorders>
              <w:top w:val="nil"/>
              <w:left w:val="nil"/>
              <w:bottom w:val="single" w:sz="4" w:space="0" w:color="auto"/>
              <w:right w:val="single" w:sz="4" w:space="0" w:color="auto"/>
            </w:tcBorders>
            <w:noWrap/>
            <w:vAlign w:val="bottom"/>
            <w:hideMark/>
          </w:tcPr>
          <w:p w14:paraId="396F5032"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UNE-EN-ISO 12236</w:t>
            </w:r>
          </w:p>
        </w:tc>
        <w:tc>
          <w:tcPr>
            <w:tcW w:w="911" w:type="dxa"/>
            <w:tcBorders>
              <w:top w:val="nil"/>
              <w:left w:val="nil"/>
              <w:bottom w:val="single" w:sz="4" w:space="0" w:color="auto"/>
              <w:right w:val="single" w:sz="4" w:space="0" w:color="auto"/>
            </w:tcBorders>
            <w:noWrap/>
            <w:vAlign w:val="bottom"/>
            <w:hideMark/>
          </w:tcPr>
          <w:p w14:paraId="7E645FD5"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 X</w:t>
            </w:r>
          </w:p>
        </w:tc>
        <w:tc>
          <w:tcPr>
            <w:tcW w:w="2350" w:type="dxa"/>
            <w:tcBorders>
              <w:top w:val="nil"/>
              <w:left w:val="nil"/>
              <w:bottom w:val="single" w:sz="4" w:space="0" w:color="auto"/>
              <w:right w:val="single" w:sz="4" w:space="0" w:color="auto"/>
            </w:tcBorders>
            <w:noWrap/>
            <w:vAlign w:val="bottom"/>
            <w:hideMark/>
          </w:tcPr>
          <w:p w14:paraId="6BBD6E21"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X</w:t>
            </w:r>
          </w:p>
        </w:tc>
      </w:tr>
      <w:tr w:rsidR="001E6577" w:rsidRPr="001E6577" w14:paraId="371F7E25" w14:textId="77777777" w:rsidTr="001E6577">
        <w:trPr>
          <w:trHeight w:val="300"/>
          <w:jc w:val="center"/>
        </w:trPr>
        <w:tc>
          <w:tcPr>
            <w:tcW w:w="3675" w:type="dxa"/>
            <w:tcBorders>
              <w:top w:val="nil"/>
              <w:left w:val="single" w:sz="4" w:space="0" w:color="auto"/>
              <w:bottom w:val="single" w:sz="4" w:space="0" w:color="auto"/>
              <w:right w:val="single" w:sz="4" w:space="0" w:color="auto"/>
            </w:tcBorders>
            <w:noWrap/>
            <w:vAlign w:val="bottom"/>
            <w:hideMark/>
          </w:tcPr>
          <w:p w14:paraId="1CBBC577"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Resistencia a la perforación dinámica</w:t>
            </w:r>
          </w:p>
        </w:tc>
        <w:tc>
          <w:tcPr>
            <w:tcW w:w="1844" w:type="dxa"/>
            <w:tcBorders>
              <w:top w:val="nil"/>
              <w:left w:val="nil"/>
              <w:bottom w:val="single" w:sz="4" w:space="0" w:color="auto"/>
              <w:right w:val="single" w:sz="4" w:space="0" w:color="auto"/>
            </w:tcBorders>
            <w:noWrap/>
            <w:vAlign w:val="bottom"/>
            <w:hideMark/>
          </w:tcPr>
          <w:p w14:paraId="6A93350E"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UNE-EN-ISO 13433</w:t>
            </w:r>
          </w:p>
        </w:tc>
        <w:tc>
          <w:tcPr>
            <w:tcW w:w="911" w:type="dxa"/>
            <w:tcBorders>
              <w:top w:val="nil"/>
              <w:left w:val="nil"/>
              <w:bottom w:val="single" w:sz="4" w:space="0" w:color="auto"/>
              <w:right w:val="single" w:sz="4" w:space="0" w:color="auto"/>
            </w:tcBorders>
            <w:noWrap/>
            <w:vAlign w:val="bottom"/>
            <w:hideMark/>
          </w:tcPr>
          <w:p w14:paraId="2C673739"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X</w:t>
            </w:r>
          </w:p>
        </w:tc>
        <w:tc>
          <w:tcPr>
            <w:tcW w:w="2350" w:type="dxa"/>
            <w:tcBorders>
              <w:top w:val="nil"/>
              <w:left w:val="nil"/>
              <w:bottom w:val="single" w:sz="4" w:space="0" w:color="auto"/>
              <w:right w:val="single" w:sz="4" w:space="0" w:color="auto"/>
            </w:tcBorders>
            <w:noWrap/>
            <w:vAlign w:val="bottom"/>
            <w:hideMark/>
          </w:tcPr>
          <w:p w14:paraId="0EBE5715"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 </w:t>
            </w:r>
          </w:p>
        </w:tc>
      </w:tr>
      <w:tr w:rsidR="001E6577" w:rsidRPr="001E6577" w14:paraId="299F4B77" w14:textId="77777777" w:rsidTr="001E6577">
        <w:trPr>
          <w:trHeight w:val="300"/>
          <w:jc w:val="center"/>
        </w:trPr>
        <w:tc>
          <w:tcPr>
            <w:tcW w:w="3675" w:type="dxa"/>
            <w:tcBorders>
              <w:top w:val="nil"/>
              <w:left w:val="single" w:sz="4" w:space="0" w:color="auto"/>
              <w:bottom w:val="single" w:sz="4" w:space="0" w:color="auto"/>
              <w:right w:val="single" w:sz="4" w:space="0" w:color="auto"/>
            </w:tcBorders>
            <w:noWrap/>
            <w:vAlign w:val="bottom"/>
            <w:hideMark/>
          </w:tcPr>
          <w:p w14:paraId="4E373026"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Retención del betún</w:t>
            </w:r>
          </w:p>
        </w:tc>
        <w:tc>
          <w:tcPr>
            <w:tcW w:w="1844" w:type="dxa"/>
            <w:tcBorders>
              <w:top w:val="nil"/>
              <w:left w:val="nil"/>
              <w:bottom w:val="single" w:sz="4" w:space="0" w:color="auto"/>
              <w:right w:val="single" w:sz="4" w:space="0" w:color="auto"/>
            </w:tcBorders>
            <w:noWrap/>
            <w:vAlign w:val="bottom"/>
            <w:hideMark/>
          </w:tcPr>
          <w:p w14:paraId="363F126C"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 xml:space="preserve">UNE-EN-ISO 15381 </w:t>
            </w:r>
          </w:p>
        </w:tc>
        <w:tc>
          <w:tcPr>
            <w:tcW w:w="911" w:type="dxa"/>
            <w:tcBorders>
              <w:top w:val="nil"/>
              <w:left w:val="nil"/>
              <w:bottom w:val="single" w:sz="4" w:space="0" w:color="auto"/>
              <w:right w:val="single" w:sz="4" w:space="0" w:color="auto"/>
            </w:tcBorders>
            <w:noWrap/>
            <w:vAlign w:val="bottom"/>
            <w:hideMark/>
          </w:tcPr>
          <w:p w14:paraId="2CB2934D" w14:textId="77777777" w:rsidR="001E6577" w:rsidRPr="001E6577" w:rsidRDefault="001E6577" w:rsidP="001E6577">
            <w:pPr>
              <w:rPr>
                <w:rFonts w:ascii="Arial" w:hAnsi="Arial" w:cs="Arial"/>
                <w:color w:val="000000"/>
                <w:sz w:val="18"/>
                <w:szCs w:val="18"/>
              </w:rPr>
            </w:pPr>
            <w:r w:rsidRPr="001E6577">
              <w:rPr>
                <w:rFonts w:ascii="Arial" w:hAnsi="Arial" w:cs="Arial"/>
                <w:color w:val="000000"/>
                <w:sz w:val="18"/>
                <w:szCs w:val="18"/>
              </w:rPr>
              <w:t> </w:t>
            </w:r>
          </w:p>
        </w:tc>
        <w:tc>
          <w:tcPr>
            <w:tcW w:w="2350" w:type="dxa"/>
            <w:tcBorders>
              <w:top w:val="nil"/>
              <w:left w:val="nil"/>
              <w:bottom w:val="single" w:sz="4" w:space="0" w:color="auto"/>
              <w:right w:val="single" w:sz="4" w:space="0" w:color="auto"/>
            </w:tcBorders>
            <w:noWrap/>
            <w:vAlign w:val="bottom"/>
            <w:hideMark/>
          </w:tcPr>
          <w:p w14:paraId="59C9B12F" w14:textId="77777777" w:rsidR="001E6577" w:rsidRPr="001E6577" w:rsidRDefault="001E6577" w:rsidP="001E6577">
            <w:pPr>
              <w:jc w:val="center"/>
              <w:rPr>
                <w:rFonts w:ascii="Arial" w:hAnsi="Arial" w:cs="Arial"/>
                <w:color w:val="000000"/>
                <w:sz w:val="18"/>
                <w:szCs w:val="18"/>
              </w:rPr>
            </w:pPr>
            <w:r w:rsidRPr="001E6577">
              <w:rPr>
                <w:rFonts w:ascii="Arial" w:hAnsi="Arial" w:cs="Arial"/>
                <w:color w:val="000000"/>
                <w:sz w:val="18"/>
                <w:szCs w:val="18"/>
              </w:rPr>
              <w:t>X</w:t>
            </w:r>
          </w:p>
        </w:tc>
      </w:tr>
    </w:tbl>
    <w:p w14:paraId="5F1EE394" w14:textId="77777777" w:rsidR="00E97F3D" w:rsidRDefault="00E97F3D" w:rsidP="00466EAF">
      <w:pPr>
        <w:pStyle w:val="NORMAL12"/>
        <w:rPr>
          <w:lang w:val="es-ES"/>
        </w:rPr>
      </w:pPr>
    </w:p>
    <w:p w14:paraId="3F0D8C51" w14:textId="77777777" w:rsidR="006D4611" w:rsidRPr="00625F03" w:rsidRDefault="00DC716C" w:rsidP="00466EAF">
      <w:pPr>
        <w:pStyle w:val="NORMAL12"/>
        <w:rPr>
          <w:lang w:val="es-ES"/>
        </w:rPr>
      </w:pPr>
      <w:r w:rsidRPr="00625F03">
        <w:rPr>
          <w:lang w:val="es-ES"/>
        </w:rPr>
        <w:t xml:space="preserve">Además, </w:t>
      </w:r>
      <w:r w:rsidR="006D4611" w:rsidRPr="00625F03">
        <w:rPr>
          <w:lang w:val="es-ES"/>
        </w:rPr>
        <w:t xml:space="preserve">el </w:t>
      </w:r>
      <w:proofErr w:type="gramStart"/>
      <w:r w:rsidR="006D4611" w:rsidRPr="00625F03">
        <w:rPr>
          <w:lang w:val="es-ES"/>
        </w:rPr>
        <w:t>Director</w:t>
      </w:r>
      <w:proofErr w:type="gramEnd"/>
      <w:r w:rsidR="006D4611" w:rsidRPr="00625F03">
        <w:rPr>
          <w:lang w:val="es-ES"/>
        </w:rPr>
        <w:t xml:space="preserve"> de las Obras, podrá establecer</w:t>
      </w:r>
      <w:r w:rsidR="00466EAF" w:rsidRPr="00625F03">
        <w:rPr>
          <w:lang w:val="es-ES"/>
        </w:rPr>
        <w:t xml:space="preserve"> </w:t>
      </w:r>
      <w:r w:rsidR="006D4611" w:rsidRPr="00625F03">
        <w:rPr>
          <w:lang w:val="es-ES"/>
        </w:rPr>
        <w:t>valores para las propiedades de la tabla 290.3 no requeridas con carácter obligatorio</w:t>
      </w:r>
      <w:r w:rsidR="00466EAF" w:rsidRPr="00625F03">
        <w:rPr>
          <w:lang w:val="es-ES"/>
        </w:rPr>
        <w:t xml:space="preserve"> </w:t>
      </w:r>
      <w:r w:rsidR="006D4611" w:rsidRPr="00625F03">
        <w:rPr>
          <w:lang w:val="es-ES"/>
        </w:rPr>
        <w:t>por dicha norma, así como para las que se relacionan a continuación:</w:t>
      </w:r>
    </w:p>
    <w:p w14:paraId="05CCDA51" w14:textId="77777777" w:rsidR="006D4611" w:rsidRPr="00625F03" w:rsidRDefault="006D4611" w:rsidP="00221E1A">
      <w:pPr>
        <w:pStyle w:val="NORMAL12"/>
        <w:numPr>
          <w:ilvl w:val="0"/>
          <w:numId w:val="168"/>
        </w:numPr>
        <w:rPr>
          <w:lang w:val="es-ES"/>
        </w:rPr>
      </w:pPr>
      <w:r w:rsidRPr="00625F03">
        <w:rPr>
          <w:lang w:val="es-ES"/>
        </w:rPr>
        <w:t>Punto de fusión (norma UNE-EN ISO 3146).</w:t>
      </w:r>
    </w:p>
    <w:p w14:paraId="1EE01591" w14:textId="77777777" w:rsidR="006D4611" w:rsidRPr="00625F03" w:rsidRDefault="006D4611" w:rsidP="00221E1A">
      <w:pPr>
        <w:pStyle w:val="NORMAL12"/>
        <w:numPr>
          <w:ilvl w:val="0"/>
          <w:numId w:val="168"/>
        </w:numPr>
        <w:rPr>
          <w:lang w:val="es-ES"/>
        </w:rPr>
      </w:pPr>
      <w:r w:rsidRPr="00625F03">
        <w:rPr>
          <w:lang w:val="es-ES"/>
        </w:rPr>
        <w:t>Masa por unidad de superficie (norma UNE-EN ISO 9864).</w:t>
      </w:r>
    </w:p>
    <w:p w14:paraId="15A821BD" w14:textId="77777777" w:rsidR="006D4611" w:rsidRPr="00625F03" w:rsidRDefault="006D4611" w:rsidP="00221E1A">
      <w:pPr>
        <w:pStyle w:val="NORMAL12"/>
        <w:numPr>
          <w:ilvl w:val="0"/>
          <w:numId w:val="168"/>
        </w:numPr>
        <w:rPr>
          <w:lang w:val="es-ES"/>
        </w:rPr>
      </w:pPr>
      <w:r w:rsidRPr="00625F03">
        <w:rPr>
          <w:lang w:val="es-ES"/>
        </w:rPr>
        <w:t>Espesor del geotextil o producto relacionado (norma UNE-EN ISO 9863-1).</w:t>
      </w:r>
    </w:p>
    <w:p w14:paraId="6E22FCC4" w14:textId="77777777" w:rsidR="006D4611" w:rsidRPr="00625F03" w:rsidRDefault="006D4611" w:rsidP="006D4611">
      <w:pPr>
        <w:pStyle w:val="NORMAL12"/>
        <w:rPr>
          <w:lang w:val="es-ES"/>
        </w:rPr>
      </w:pPr>
      <w:r w:rsidRPr="00625F03">
        <w:rPr>
          <w:lang w:val="es-ES"/>
        </w:rPr>
        <w:t>o, para otras que, sin figurar en los listados precedentes, se consideren relevantes</w:t>
      </w:r>
      <w:r w:rsidR="00466EAF" w:rsidRPr="00625F03">
        <w:rPr>
          <w:lang w:val="es-ES"/>
        </w:rPr>
        <w:t xml:space="preserve"> </w:t>
      </w:r>
      <w:r w:rsidRPr="00625F03">
        <w:rPr>
          <w:lang w:val="es-ES"/>
        </w:rPr>
        <w:t>para la aplicación particular contemplada.</w:t>
      </w:r>
    </w:p>
    <w:p w14:paraId="4F47D261" w14:textId="77777777" w:rsidR="006D4611" w:rsidRPr="00625F03" w:rsidRDefault="006D4611" w:rsidP="000313DD">
      <w:pPr>
        <w:pStyle w:val="TITU2"/>
      </w:pPr>
      <w:bookmarkStart w:id="313" w:name="_Toc404136"/>
      <w:r w:rsidRPr="00625F03">
        <w:t>290.</w:t>
      </w:r>
      <w:r w:rsidR="00B517AB" w:rsidRPr="00625F03">
        <w:t>3</w:t>
      </w:r>
      <w:r w:rsidRPr="00625F03">
        <w:t xml:space="preserve">. </w:t>
      </w:r>
      <w:r w:rsidR="00DC716C" w:rsidRPr="00625F03">
        <w:t>T</w:t>
      </w:r>
      <w:r w:rsidRPr="00625F03">
        <w:t>ransporte y almacenamiento</w:t>
      </w:r>
      <w:bookmarkEnd w:id="313"/>
    </w:p>
    <w:p w14:paraId="115EB1BA" w14:textId="77777777" w:rsidR="006D4611" w:rsidRPr="00625F03" w:rsidRDefault="006D4611" w:rsidP="00B517AB">
      <w:pPr>
        <w:pStyle w:val="NORMAL12"/>
        <w:rPr>
          <w:lang w:val="es-ES"/>
        </w:rPr>
      </w:pPr>
      <w:r w:rsidRPr="00625F03">
        <w:rPr>
          <w:lang w:val="es-ES"/>
        </w:rPr>
        <w:t>En el transporte, carga y descarga se comprobará que no se produzcan daños</w:t>
      </w:r>
      <w:r w:rsidR="00B517AB" w:rsidRPr="00625F03">
        <w:rPr>
          <w:lang w:val="es-ES"/>
        </w:rPr>
        <w:t xml:space="preserve"> </w:t>
      </w:r>
      <w:r w:rsidRPr="00625F03">
        <w:rPr>
          <w:lang w:val="es-ES"/>
        </w:rPr>
        <w:t>mecánicos en los rollos (pinchazos, cortes, etc.).</w:t>
      </w:r>
    </w:p>
    <w:p w14:paraId="78D4E1EB" w14:textId="77777777" w:rsidR="006D4611" w:rsidRPr="00625F03" w:rsidRDefault="006D4611" w:rsidP="006D4611">
      <w:pPr>
        <w:pStyle w:val="NORMAL12"/>
        <w:rPr>
          <w:lang w:val="es-ES"/>
        </w:rPr>
      </w:pPr>
      <w:r w:rsidRPr="00625F03">
        <w:rPr>
          <w:lang w:val="es-ES"/>
        </w:rPr>
        <w:t>El almacenamiento en obra se realizará en lugares lisos, secos, limpios y libres de</w:t>
      </w:r>
      <w:r w:rsidR="00B517AB" w:rsidRPr="00625F03">
        <w:rPr>
          <w:lang w:val="es-ES"/>
        </w:rPr>
        <w:t xml:space="preserve"> </w:t>
      </w:r>
      <w:r w:rsidRPr="00625F03">
        <w:rPr>
          <w:lang w:val="es-ES"/>
        </w:rPr>
        <w:t>objetos cortantes y punzantes. No se almacenará ningún rollo o fracción que haya</w:t>
      </w:r>
      <w:r w:rsidR="00B517AB" w:rsidRPr="00625F03">
        <w:rPr>
          <w:lang w:val="es-ES"/>
        </w:rPr>
        <w:t xml:space="preserve"> </w:t>
      </w:r>
      <w:r w:rsidRPr="00625F03">
        <w:rPr>
          <w:lang w:val="es-ES"/>
        </w:rPr>
        <w:t>resultado dañado o no esté adecuadamente identificado, y en todo caso se deberán</w:t>
      </w:r>
      <w:r w:rsidR="00B517AB" w:rsidRPr="00625F03">
        <w:rPr>
          <w:lang w:val="es-ES"/>
        </w:rPr>
        <w:t xml:space="preserve"> </w:t>
      </w:r>
      <w:r w:rsidRPr="00625F03">
        <w:rPr>
          <w:lang w:val="es-ES"/>
        </w:rPr>
        <w:t>tener en cuenta las indicaciones del fabricante. Cuando la duración del</w:t>
      </w:r>
      <w:r w:rsidR="00B517AB" w:rsidRPr="00625F03">
        <w:rPr>
          <w:lang w:val="es-ES"/>
        </w:rPr>
        <w:t xml:space="preserve"> </w:t>
      </w:r>
      <w:r w:rsidRPr="00625F03">
        <w:rPr>
          <w:lang w:val="es-ES"/>
        </w:rPr>
        <w:t>almacenamiento en obra sea superior a quince días (&gt; 15 d) deberá incidirse</w:t>
      </w:r>
      <w:r w:rsidR="00B517AB" w:rsidRPr="00625F03">
        <w:rPr>
          <w:lang w:val="es-ES"/>
        </w:rPr>
        <w:t xml:space="preserve"> </w:t>
      </w:r>
      <w:r w:rsidRPr="00625F03">
        <w:rPr>
          <w:lang w:val="es-ES"/>
        </w:rPr>
        <w:t xml:space="preserve">especialmente en lo relativo a la </w:t>
      </w:r>
      <w:r w:rsidRPr="00625F03">
        <w:rPr>
          <w:lang w:val="es-ES"/>
        </w:rPr>
        <w:lastRenderedPageBreak/>
        <w:t>protección frente a la acción de los rayos solares,</w:t>
      </w:r>
      <w:r w:rsidR="00B517AB" w:rsidRPr="00625F03">
        <w:rPr>
          <w:lang w:val="es-ES"/>
        </w:rPr>
        <w:t xml:space="preserve"> </w:t>
      </w:r>
      <w:r w:rsidRPr="00625F03">
        <w:rPr>
          <w:lang w:val="es-ES"/>
        </w:rPr>
        <w:t>mediante techado o cubrición con elementos adecuados que, por motivos de</w:t>
      </w:r>
      <w:r w:rsidR="00B517AB" w:rsidRPr="00625F03">
        <w:rPr>
          <w:lang w:val="es-ES"/>
        </w:rPr>
        <w:t xml:space="preserve"> </w:t>
      </w:r>
      <w:r w:rsidRPr="00625F03">
        <w:rPr>
          <w:lang w:val="es-ES"/>
        </w:rPr>
        <w:t>seguridad, estarán sujetos convenientemente.</w:t>
      </w:r>
    </w:p>
    <w:p w14:paraId="19EBDACD" w14:textId="77777777" w:rsidR="006D4611" w:rsidRPr="00625F03" w:rsidRDefault="006D4611" w:rsidP="000313DD">
      <w:pPr>
        <w:pStyle w:val="TITU2"/>
      </w:pPr>
      <w:bookmarkStart w:id="314" w:name="_Toc404137"/>
      <w:r w:rsidRPr="00625F03">
        <w:t>290.</w:t>
      </w:r>
      <w:r w:rsidR="00B517AB" w:rsidRPr="00625F03">
        <w:t>4</w:t>
      </w:r>
      <w:r w:rsidRPr="00625F03">
        <w:t>. Recepción e identificación</w:t>
      </w:r>
      <w:bookmarkEnd w:id="314"/>
    </w:p>
    <w:p w14:paraId="0835A9A4" w14:textId="77777777" w:rsidR="006D4611" w:rsidRPr="00625F03" w:rsidRDefault="006D4611" w:rsidP="00B517AB">
      <w:pPr>
        <w:pStyle w:val="NORMAL12"/>
        <w:rPr>
          <w:lang w:val="es-ES"/>
        </w:rPr>
      </w:pPr>
      <w:r w:rsidRPr="00625F03">
        <w:rPr>
          <w:lang w:val="es-ES"/>
        </w:rPr>
        <w:t>Los geotextiles y productos relacionados que lleguen a la obra se suministrarán en</w:t>
      </w:r>
      <w:r w:rsidR="00B517AB" w:rsidRPr="00625F03">
        <w:rPr>
          <w:lang w:val="es-ES"/>
        </w:rPr>
        <w:t xml:space="preserve"> </w:t>
      </w:r>
      <w:r w:rsidRPr="00625F03">
        <w:rPr>
          <w:lang w:val="es-ES"/>
        </w:rPr>
        <w:t>forma de bobinas o rollos, con un embalaje opaco que evite su deterioro por la acción</w:t>
      </w:r>
      <w:r w:rsidR="00B517AB" w:rsidRPr="00625F03">
        <w:rPr>
          <w:lang w:val="es-ES"/>
        </w:rPr>
        <w:t xml:space="preserve"> </w:t>
      </w:r>
      <w:r w:rsidRPr="00625F03">
        <w:rPr>
          <w:lang w:val="es-ES"/>
        </w:rPr>
        <w:t>de la luz solar. Cada suministro irá acompañado de un albarán y de la información</w:t>
      </w:r>
      <w:r w:rsidR="00B517AB" w:rsidRPr="00625F03">
        <w:rPr>
          <w:lang w:val="es-ES"/>
        </w:rPr>
        <w:t xml:space="preserve"> </w:t>
      </w:r>
      <w:r w:rsidRPr="00625F03">
        <w:rPr>
          <w:lang w:val="es-ES"/>
        </w:rPr>
        <w:t>relativa al etiquetado y marcado CE de la norma UNE-EN del producto</w:t>
      </w:r>
      <w:r w:rsidR="00B517AB" w:rsidRPr="00625F03">
        <w:rPr>
          <w:lang w:val="es-ES"/>
        </w:rPr>
        <w:t xml:space="preserve"> </w:t>
      </w:r>
      <w:r w:rsidRPr="00625F03">
        <w:rPr>
          <w:lang w:val="es-ES"/>
        </w:rPr>
        <w:t>correspondiente.</w:t>
      </w:r>
    </w:p>
    <w:p w14:paraId="0DB9B0C7" w14:textId="77777777" w:rsidR="006D4611" w:rsidRPr="00625F03" w:rsidRDefault="006D4611" w:rsidP="00B517AB">
      <w:pPr>
        <w:pStyle w:val="NORMAL12"/>
        <w:rPr>
          <w:lang w:val="es-ES"/>
        </w:rPr>
      </w:pPr>
      <w:r w:rsidRPr="00625F03">
        <w:rPr>
          <w:lang w:val="es-ES"/>
        </w:rPr>
        <w:t>El albarán contendrá explícitamente, al menos, los siguientes datos:</w:t>
      </w:r>
    </w:p>
    <w:p w14:paraId="27BF7E9D" w14:textId="77777777" w:rsidR="006D4611" w:rsidRPr="00625F03" w:rsidRDefault="006D4611" w:rsidP="00661A5F">
      <w:pPr>
        <w:pStyle w:val="NORMAL12"/>
        <w:numPr>
          <w:ilvl w:val="0"/>
          <w:numId w:val="197"/>
        </w:numPr>
        <w:ind w:left="714" w:hanging="357"/>
        <w:contextualSpacing/>
        <w:rPr>
          <w:lang w:val="es-ES"/>
        </w:rPr>
      </w:pPr>
      <w:r w:rsidRPr="00625F03">
        <w:rPr>
          <w:lang w:val="es-ES"/>
        </w:rPr>
        <w:t>Nombre y dirección del fabricante y de la empresa suministradora.</w:t>
      </w:r>
    </w:p>
    <w:p w14:paraId="786908FA" w14:textId="77777777" w:rsidR="006D4611" w:rsidRPr="00625F03" w:rsidRDefault="006D4611" w:rsidP="00661A5F">
      <w:pPr>
        <w:pStyle w:val="NORMAL12"/>
        <w:numPr>
          <w:ilvl w:val="0"/>
          <w:numId w:val="197"/>
        </w:numPr>
        <w:ind w:left="714" w:hanging="357"/>
        <w:contextualSpacing/>
        <w:rPr>
          <w:lang w:val="es-ES"/>
        </w:rPr>
      </w:pPr>
      <w:r w:rsidRPr="00625F03">
        <w:rPr>
          <w:lang w:val="es-ES"/>
        </w:rPr>
        <w:t>Fecha de suministro y de fabricación.</w:t>
      </w:r>
    </w:p>
    <w:p w14:paraId="708A44A5" w14:textId="77777777" w:rsidR="006D4611" w:rsidRPr="00625F03" w:rsidRDefault="006D4611" w:rsidP="00661A5F">
      <w:pPr>
        <w:pStyle w:val="NORMAL12"/>
        <w:numPr>
          <w:ilvl w:val="0"/>
          <w:numId w:val="197"/>
        </w:numPr>
        <w:ind w:left="714" w:hanging="357"/>
        <w:contextualSpacing/>
        <w:rPr>
          <w:lang w:val="es-ES"/>
        </w:rPr>
      </w:pPr>
      <w:r w:rsidRPr="00625F03">
        <w:rPr>
          <w:lang w:val="es-ES"/>
        </w:rPr>
        <w:t>Identificación del vehículo que lo transporta.</w:t>
      </w:r>
    </w:p>
    <w:p w14:paraId="03786874" w14:textId="77777777" w:rsidR="006D4611" w:rsidRPr="00625F03" w:rsidRDefault="006D4611" w:rsidP="00661A5F">
      <w:pPr>
        <w:pStyle w:val="NORMAL12"/>
        <w:numPr>
          <w:ilvl w:val="0"/>
          <w:numId w:val="197"/>
        </w:numPr>
        <w:ind w:left="714" w:hanging="357"/>
        <w:contextualSpacing/>
        <w:rPr>
          <w:lang w:val="es-ES"/>
        </w:rPr>
      </w:pPr>
      <w:r w:rsidRPr="00625F03">
        <w:rPr>
          <w:lang w:val="es-ES"/>
        </w:rPr>
        <w:t>Cantidad que se suministra.</w:t>
      </w:r>
    </w:p>
    <w:p w14:paraId="3D4BDD04" w14:textId="77777777" w:rsidR="006D4611" w:rsidRPr="00625F03" w:rsidRDefault="006D4611" w:rsidP="00661A5F">
      <w:pPr>
        <w:pStyle w:val="NORMAL12"/>
        <w:numPr>
          <w:ilvl w:val="0"/>
          <w:numId w:val="197"/>
        </w:numPr>
        <w:ind w:left="714" w:hanging="357"/>
        <w:contextualSpacing/>
        <w:rPr>
          <w:lang w:val="es-ES"/>
        </w:rPr>
      </w:pPr>
      <w:r w:rsidRPr="00625F03">
        <w:rPr>
          <w:lang w:val="es-ES"/>
        </w:rPr>
        <w:t>Designación de la marca comercial y tipo de producto suministrado.</w:t>
      </w:r>
    </w:p>
    <w:p w14:paraId="226AC91B" w14:textId="77777777" w:rsidR="006D4611" w:rsidRPr="00625F03" w:rsidRDefault="006D4611" w:rsidP="00661A5F">
      <w:pPr>
        <w:pStyle w:val="NORMAL12"/>
        <w:numPr>
          <w:ilvl w:val="0"/>
          <w:numId w:val="197"/>
        </w:numPr>
        <w:ind w:left="714" w:hanging="357"/>
        <w:contextualSpacing/>
        <w:rPr>
          <w:lang w:val="es-ES"/>
        </w:rPr>
      </w:pPr>
      <w:r w:rsidRPr="00625F03">
        <w:rPr>
          <w:lang w:val="es-ES"/>
        </w:rPr>
        <w:t>Nombre y dirección del comprador y del destino.</w:t>
      </w:r>
    </w:p>
    <w:p w14:paraId="75B1E4CD" w14:textId="77777777" w:rsidR="006D4611" w:rsidRPr="00625F03" w:rsidRDefault="006D4611" w:rsidP="00661A5F">
      <w:pPr>
        <w:pStyle w:val="NORMAL12"/>
        <w:numPr>
          <w:ilvl w:val="0"/>
          <w:numId w:val="197"/>
        </w:numPr>
        <w:ind w:left="714" w:hanging="357"/>
        <w:contextualSpacing/>
        <w:rPr>
          <w:lang w:val="es-ES"/>
        </w:rPr>
      </w:pPr>
      <w:r w:rsidRPr="00625F03">
        <w:rPr>
          <w:lang w:val="es-ES"/>
        </w:rPr>
        <w:t>Referencia del pedido.</w:t>
      </w:r>
    </w:p>
    <w:p w14:paraId="44A37E10" w14:textId="77777777" w:rsidR="006D4611" w:rsidRPr="00625F03" w:rsidRDefault="006D4611" w:rsidP="00661A5F">
      <w:pPr>
        <w:pStyle w:val="NORMAL12"/>
        <w:numPr>
          <w:ilvl w:val="0"/>
          <w:numId w:val="197"/>
        </w:numPr>
        <w:ind w:left="714" w:hanging="357"/>
        <w:contextualSpacing/>
        <w:rPr>
          <w:lang w:val="es-ES"/>
        </w:rPr>
      </w:pPr>
      <w:r w:rsidRPr="00625F03">
        <w:rPr>
          <w:lang w:val="es-ES"/>
        </w:rPr>
        <w:t>Condiciones de almacenamiento si fuera necesario.</w:t>
      </w:r>
    </w:p>
    <w:p w14:paraId="4F2813BD" w14:textId="77777777" w:rsidR="006D4611" w:rsidRPr="00625F03" w:rsidRDefault="006D4611" w:rsidP="00B517AB">
      <w:pPr>
        <w:pStyle w:val="NORMAL12"/>
        <w:rPr>
          <w:lang w:val="es-ES"/>
        </w:rPr>
      </w:pPr>
      <w:r w:rsidRPr="00625F03">
        <w:rPr>
          <w:lang w:val="es-ES"/>
        </w:rPr>
        <w:t>El etiquetado y marcado CE que deberá incluir la siguiente información:</w:t>
      </w:r>
    </w:p>
    <w:p w14:paraId="4F8A1107" w14:textId="77777777" w:rsidR="006D4611" w:rsidRPr="00625F03" w:rsidRDefault="006D4611" w:rsidP="00661A5F">
      <w:pPr>
        <w:pStyle w:val="NORMAL12"/>
        <w:numPr>
          <w:ilvl w:val="0"/>
          <w:numId w:val="198"/>
        </w:numPr>
        <w:ind w:left="714" w:hanging="357"/>
        <w:contextualSpacing/>
        <w:rPr>
          <w:lang w:val="es-ES"/>
        </w:rPr>
      </w:pPr>
      <w:r w:rsidRPr="00625F03">
        <w:rPr>
          <w:lang w:val="es-ES"/>
        </w:rPr>
        <w:t>Símbolo del marcado CE.</w:t>
      </w:r>
    </w:p>
    <w:p w14:paraId="7EBC0B70" w14:textId="77777777" w:rsidR="006D4611" w:rsidRPr="00625F03" w:rsidRDefault="006D4611" w:rsidP="00661A5F">
      <w:pPr>
        <w:pStyle w:val="NORMAL12"/>
        <w:numPr>
          <w:ilvl w:val="0"/>
          <w:numId w:val="198"/>
        </w:numPr>
        <w:ind w:left="714" w:hanging="357"/>
        <w:contextualSpacing/>
        <w:rPr>
          <w:lang w:val="es-ES"/>
        </w:rPr>
      </w:pPr>
      <w:r w:rsidRPr="00625F03">
        <w:rPr>
          <w:lang w:val="es-ES"/>
        </w:rPr>
        <w:t>Número de identificación del organismo de certificación.</w:t>
      </w:r>
    </w:p>
    <w:p w14:paraId="0F0FB5FC" w14:textId="77777777" w:rsidR="006D4611" w:rsidRPr="00625F03" w:rsidRDefault="006D4611" w:rsidP="00661A5F">
      <w:pPr>
        <w:pStyle w:val="NORMAL12"/>
        <w:numPr>
          <w:ilvl w:val="0"/>
          <w:numId w:val="198"/>
        </w:numPr>
        <w:ind w:left="714" w:hanging="357"/>
        <w:contextualSpacing/>
        <w:rPr>
          <w:lang w:val="es-ES"/>
        </w:rPr>
      </w:pPr>
      <w:r w:rsidRPr="00625F03">
        <w:rPr>
          <w:lang w:val="es-ES"/>
        </w:rPr>
        <w:t>Nombre o marca distintiva de identificación y dirección registrada del</w:t>
      </w:r>
      <w:r w:rsidR="00B517AB" w:rsidRPr="00625F03">
        <w:rPr>
          <w:lang w:val="es-ES"/>
        </w:rPr>
        <w:t xml:space="preserve"> </w:t>
      </w:r>
      <w:r w:rsidRPr="00625F03">
        <w:rPr>
          <w:lang w:val="es-ES"/>
        </w:rPr>
        <w:t>fabricante.</w:t>
      </w:r>
    </w:p>
    <w:p w14:paraId="68C54668" w14:textId="77777777" w:rsidR="006D4611" w:rsidRPr="00625F03" w:rsidRDefault="006D4611" w:rsidP="00661A5F">
      <w:pPr>
        <w:pStyle w:val="NORMAL12"/>
        <w:numPr>
          <w:ilvl w:val="0"/>
          <w:numId w:val="198"/>
        </w:numPr>
        <w:ind w:left="714" w:hanging="357"/>
        <w:contextualSpacing/>
        <w:rPr>
          <w:lang w:val="es-ES"/>
        </w:rPr>
      </w:pPr>
      <w:r w:rsidRPr="00625F03">
        <w:rPr>
          <w:lang w:val="es-ES"/>
        </w:rPr>
        <w:t>Las dos últimas cifras del año de su primera colocación.</w:t>
      </w:r>
    </w:p>
    <w:p w14:paraId="732AF705" w14:textId="77777777" w:rsidR="006D4611" w:rsidRPr="00625F03" w:rsidRDefault="006D4611" w:rsidP="00661A5F">
      <w:pPr>
        <w:pStyle w:val="NORMAL12"/>
        <w:numPr>
          <w:ilvl w:val="0"/>
          <w:numId w:val="198"/>
        </w:numPr>
        <w:ind w:left="714" w:hanging="357"/>
        <w:contextualSpacing/>
        <w:rPr>
          <w:lang w:val="es-ES"/>
        </w:rPr>
      </w:pPr>
      <w:r w:rsidRPr="00625F03">
        <w:rPr>
          <w:lang w:val="es-ES"/>
        </w:rPr>
        <w:t>Número de referencia de la Declaración de Prestaciones.</w:t>
      </w:r>
    </w:p>
    <w:p w14:paraId="52536297" w14:textId="77777777" w:rsidR="006D4611" w:rsidRPr="00625F03" w:rsidRDefault="006D4611" w:rsidP="00661A5F">
      <w:pPr>
        <w:pStyle w:val="NORMAL12"/>
        <w:numPr>
          <w:ilvl w:val="0"/>
          <w:numId w:val="198"/>
        </w:numPr>
        <w:ind w:left="714" w:hanging="357"/>
        <w:contextualSpacing/>
        <w:rPr>
          <w:lang w:val="es-ES"/>
        </w:rPr>
      </w:pPr>
      <w:r w:rsidRPr="00625F03">
        <w:rPr>
          <w:lang w:val="es-ES"/>
        </w:rPr>
        <w:t>Referencia a la norma europea correspondiente.</w:t>
      </w:r>
    </w:p>
    <w:p w14:paraId="63FA2AB9" w14:textId="77777777" w:rsidR="006D4611" w:rsidRPr="00625F03" w:rsidRDefault="006D4611" w:rsidP="00661A5F">
      <w:pPr>
        <w:pStyle w:val="NORMAL12"/>
        <w:numPr>
          <w:ilvl w:val="0"/>
          <w:numId w:val="198"/>
        </w:numPr>
        <w:ind w:left="714" w:hanging="357"/>
        <w:contextualSpacing/>
        <w:rPr>
          <w:lang w:val="es-ES"/>
        </w:rPr>
      </w:pPr>
      <w:r w:rsidRPr="00625F03">
        <w:rPr>
          <w:lang w:val="es-ES"/>
        </w:rPr>
        <w:t>Descripción del producto: nombre genérico, tipo y función prevista.</w:t>
      </w:r>
    </w:p>
    <w:p w14:paraId="0F45DC51" w14:textId="77777777" w:rsidR="006D4611" w:rsidRPr="00625F03" w:rsidRDefault="006D4611" w:rsidP="00661A5F">
      <w:pPr>
        <w:pStyle w:val="NORMAL12"/>
        <w:numPr>
          <w:ilvl w:val="0"/>
          <w:numId w:val="198"/>
        </w:numPr>
        <w:ind w:left="714" w:hanging="357"/>
        <w:contextualSpacing/>
        <w:rPr>
          <w:lang w:val="es-ES"/>
        </w:rPr>
      </w:pPr>
      <w:r w:rsidRPr="00625F03">
        <w:rPr>
          <w:lang w:val="es-ES"/>
        </w:rPr>
        <w:t>Información sobre las características esenciales incluidas en la norma UNE-EN</w:t>
      </w:r>
      <w:r w:rsidR="00B517AB" w:rsidRPr="00625F03">
        <w:rPr>
          <w:lang w:val="es-ES"/>
        </w:rPr>
        <w:t xml:space="preserve"> </w:t>
      </w:r>
      <w:r w:rsidRPr="00625F03">
        <w:rPr>
          <w:lang w:val="es-ES"/>
        </w:rPr>
        <w:t>correspondiente, indicando valor medio y tolerancia correspondiente a un nivel</w:t>
      </w:r>
      <w:r w:rsidR="00B517AB" w:rsidRPr="00625F03">
        <w:rPr>
          <w:lang w:val="es-ES"/>
        </w:rPr>
        <w:t xml:space="preserve"> </w:t>
      </w:r>
      <w:r w:rsidRPr="00625F03">
        <w:rPr>
          <w:lang w:val="es-ES"/>
        </w:rPr>
        <w:t>de confianza del noventa y cinco por ciento (95%).</w:t>
      </w:r>
    </w:p>
    <w:p w14:paraId="0621D27E" w14:textId="77777777" w:rsidR="00B517AB" w:rsidRPr="00625F03" w:rsidRDefault="00693EA3" w:rsidP="00B517AB">
      <w:pPr>
        <w:pStyle w:val="NORMAL12"/>
        <w:rPr>
          <w:lang w:val="es-ES"/>
        </w:rPr>
      </w:pPr>
      <w:r>
        <w:rPr>
          <w:lang w:val="es-ES"/>
        </w:rPr>
        <w:br w:type="column"/>
      </w:r>
      <w:r w:rsidR="006D4611" w:rsidRPr="00625F03">
        <w:rPr>
          <w:lang w:val="es-ES"/>
        </w:rPr>
        <w:t>El nombre y tipo de geotextil o producto relacionado estarán estampados de forma</w:t>
      </w:r>
      <w:r w:rsidR="00B517AB" w:rsidRPr="00625F03">
        <w:rPr>
          <w:lang w:val="es-ES"/>
        </w:rPr>
        <w:t xml:space="preserve"> </w:t>
      </w:r>
      <w:r w:rsidR="006D4611" w:rsidRPr="00625F03">
        <w:rPr>
          <w:lang w:val="es-ES"/>
        </w:rPr>
        <w:t>clara e indeleble en el propio producto, de acuerdo con la norma UNEEN</w:t>
      </w:r>
      <w:r w:rsidR="00B517AB" w:rsidRPr="00625F03">
        <w:rPr>
          <w:lang w:val="es-ES"/>
        </w:rPr>
        <w:t xml:space="preserve"> </w:t>
      </w:r>
      <w:r w:rsidR="006D4611" w:rsidRPr="00625F03">
        <w:rPr>
          <w:lang w:val="es-ES"/>
        </w:rPr>
        <w:t>ISO 10320, a intervalos máximos de cinco metros (5 m) para que pueda</w:t>
      </w:r>
      <w:r w:rsidR="00B517AB" w:rsidRPr="00625F03">
        <w:rPr>
          <w:lang w:val="es-ES"/>
        </w:rPr>
        <w:t xml:space="preserve"> </w:t>
      </w:r>
      <w:r w:rsidR="006D4611" w:rsidRPr="00625F03">
        <w:rPr>
          <w:lang w:val="es-ES"/>
        </w:rPr>
        <w:t>identificarse una vez eliminado el embalaje. Es recomendable que queden igualmente</w:t>
      </w:r>
      <w:r w:rsidR="00B517AB" w:rsidRPr="00625F03">
        <w:rPr>
          <w:lang w:val="es-ES"/>
        </w:rPr>
        <w:t xml:space="preserve"> </w:t>
      </w:r>
      <w:r w:rsidR="006D4611" w:rsidRPr="00625F03">
        <w:rPr>
          <w:lang w:val="es-ES"/>
        </w:rPr>
        <w:t>estampadas la partida de producción y la identificación del rollo o unidad.</w:t>
      </w:r>
    </w:p>
    <w:p w14:paraId="5A94CEB0" w14:textId="77777777" w:rsidR="006D4611" w:rsidRPr="00625F03" w:rsidRDefault="006D4611" w:rsidP="006D4611">
      <w:pPr>
        <w:pStyle w:val="NORMAL12"/>
        <w:rPr>
          <w:lang w:val="es-ES"/>
        </w:rPr>
      </w:pPr>
      <w:r w:rsidRPr="00625F03">
        <w:rPr>
          <w:lang w:val="es-ES"/>
        </w:rPr>
        <w:t xml:space="preserve">El Contratista comunicará por escrito al </w:t>
      </w:r>
      <w:proofErr w:type="gramStart"/>
      <w:r w:rsidRPr="00625F03">
        <w:rPr>
          <w:lang w:val="es-ES"/>
        </w:rPr>
        <w:t>Director</w:t>
      </w:r>
      <w:proofErr w:type="gramEnd"/>
      <w:r w:rsidRPr="00625F03">
        <w:rPr>
          <w:lang w:val="es-ES"/>
        </w:rPr>
        <w:t xml:space="preserve"> de las Obras, para su aprobación, la</w:t>
      </w:r>
      <w:r w:rsidR="00B517AB" w:rsidRPr="00625F03">
        <w:rPr>
          <w:lang w:val="es-ES"/>
        </w:rPr>
        <w:t xml:space="preserve"> </w:t>
      </w:r>
      <w:r w:rsidRPr="00625F03">
        <w:rPr>
          <w:lang w:val="es-ES"/>
        </w:rPr>
        <w:t>relación de los geotextiles y productos relacionados a emplear. Los productos sólo</w:t>
      </w:r>
      <w:r w:rsidR="00B517AB" w:rsidRPr="00625F03">
        <w:rPr>
          <w:lang w:val="es-ES"/>
        </w:rPr>
        <w:t xml:space="preserve"> </w:t>
      </w:r>
      <w:r w:rsidRPr="00625F03">
        <w:rPr>
          <w:lang w:val="es-ES"/>
        </w:rPr>
        <w:t>podrán ser aprobados si los valores exigidos, tanto por este Pliego como por el Pliego</w:t>
      </w:r>
      <w:r w:rsidR="00B517AB" w:rsidRPr="00625F03">
        <w:rPr>
          <w:lang w:val="es-ES"/>
        </w:rPr>
        <w:t xml:space="preserve"> </w:t>
      </w:r>
      <w:r w:rsidRPr="00625F03">
        <w:rPr>
          <w:lang w:val="es-ES"/>
        </w:rPr>
        <w:t>de Prescripciones Técnicas Particulares, quedan garantizados por los valores</w:t>
      </w:r>
      <w:r w:rsidR="00B517AB" w:rsidRPr="00625F03">
        <w:rPr>
          <w:lang w:val="es-ES"/>
        </w:rPr>
        <w:t xml:space="preserve"> </w:t>
      </w:r>
      <w:r w:rsidRPr="00625F03">
        <w:rPr>
          <w:lang w:val="es-ES"/>
        </w:rPr>
        <w:t xml:space="preserve">nominales corregidos por sus tolerancias. Una vez aprobados por el </w:t>
      </w:r>
      <w:proofErr w:type="gramStart"/>
      <w:r w:rsidRPr="00625F03">
        <w:rPr>
          <w:lang w:val="es-ES"/>
        </w:rPr>
        <w:t>Director</w:t>
      </w:r>
      <w:proofErr w:type="gramEnd"/>
      <w:r w:rsidRPr="00625F03">
        <w:rPr>
          <w:lang w:val="es-ES"/>
        </w:rPr>
        <w:t xml:space="preserve"> de las</w:t>
      </w:r>
      <w:r w:rsidR="00B517AB" w:rsidRPr="00625F03">
        <w:rPr>
          <w:lang w:val="es-ES"/>
        </w:rPr>
        <w:t xml:space="preserve"> </w:t>
      </w:r>
      <w:r w:rsidRPr="00625F03">
        <w:rPr>
          <w:lang w:val="es-ES"/>
        </w:rPr>
        <w:t>Obras, todos y cada uno de los valores corregidos serán exigibles y su incumplimiento</w:t>
      </w:r>
      <w:r w:rsidR="00B517AB" w:rsidRPr="00625F03">
        <w:rPr>
          <w:lang w:val="es-ES"/>
        </w:rPr>
        <w:t xml:space="preserve"> </w:t>
      </w:r>
      <w:r w:rsidRPr="00625F03">
        <w:rPr>
          <w:lang w:val="es-ES"/>
        </w:rPr>
        <w:t>dará lugar al rechazo de lotes o partidas, sin perjuicio de las responsabilidades</w:t>
      </w:r>
      <w:r w:rsidR="00B517AB" w:rsidRPr="00625F03">
        <w:rPr>
          <w:lang w:val="es-ES"/>
        </w:rPr>
        <w:t xml:space="preserve"> </w:t>
      </w:r>
      <w:r w:rsidRPr="00625F03">
        <w:rPr>
          <w:lang w:val="es-ES"/>
        </w:rPr>
        <w:t>correspondientes.</w:t>
      </w:r>
    </w:p>
    <w:p w14:paraId="19CA2881" w14:textId="77777777" w:rsidR="006D4611" w:rsidRPr="00625F03" w:rsidRDefault="00D81C53" w:rsidP="000313DD">
      <w:pPr>
        <w:pStyle w:val="TITU2"/>
      </w:pPr>
      <w:bookmarkStart w:id="315" w:name="_Toc404138"/>
      <w:r>
        <w:t>290.5</w:t>
      </w:r>
      <w:r w:rsidR="006D4611" w:rsidRPr="00625F03">
        <w:t>. Control de calidad</w:t>
      </w:r>
      <w:bookmarkEnd w:id="315"/>
    </w:p>
    <w:p w14:paraId="7B80AC49" w14:textId="77777777" w:rsidR="006D4611" w:rsidRPr="00625F03" w:rsidRDefault="006D4611" w:rsidP="006D4611">
      <w:pPr>
        <w:pStyle w:val="NORMAL12"/>
        <w:rPr>
          <w:i/>
          <w:u w:val="single"/>
          <w:lang w:val="es-ES"/>
        </w:rPr>
      </w:pPr>
      <w:r w:rsidRPr="00625F03">
        <w:rPr>
          <w:i/>
          <w:u w:val="single"/>
          <w:lang w:val="es-ES"/>
        </w:rPr>
        <w:t>Control de recepción</w:t>
      </w:r>
    </w:p>
    <w:p w14:paraId="125E5B0B" w14:textId="77777777" w:rsidR="006D4611" w:rsidRPr="00625F03" w:rsidRDefault="006D4611" w:rsidP="00B517AB">
      <w:pPr>
        <w:pStyle w:val="NORMAL12"/>
        <w:rPr>
          <w:lang w:val="es-ES"/>
        </w:rPr>
      </w:pPr>
      <w:r w:rsidRPr="00625F03">
        <w:rPr>
          <w:lang w:val="es-ES"/>
        </w:rPr>
        <w:t>El control de recepción de los geotextiles y productos relacionados deberá incluir, al</w:t>
      </w:r>
      <w:r w:rsidR="00B517AB" w:rsidRPr="00625F03">
        <w:rPr>
          <w:lang w:val="es-ES"/>
        </w:rPr>
        <w:t xml:space="preserve"> </w:t>
      </w:r>
      <w:r w:rsidRPr="00625F03">
        <w:rPr>
          <w:lang w:val="es-ES"/>
        </w:rPr>
        <w:t>menos, una primera fase de comprobación de la documentación y del etiquetado.</w:t>
      </w:r>
      <w:r w:rsidR="00B517AB" w:rsidRPr="00625F03">
        <w:rPr>
          <w:lang w:val="es-ES"/>
        </w:rPr>
        <w:t xml:space="preserve"> P</w:t>
      </w:r>
      <w:r w:rsidRPr="00625F03">
        <w:rPr>
          <w:lang w:val="es-ES"/>
        </w:rPr>
        <w:t>ara ello se deberá:</w:t>
      </w:r>
    </w:p>
    <w:p w14:paraId="48D76579" w14:textId="77777777" w:rsidR="006D4611" w:rsidRPr="00625F03" w:rsidRDefault="006D4611" w:rsidP="00661A5F">
      <w:pPr>
        <w:pStyle w:val="NORMAL12"/>
        <w:numPr>
          <w:ilvl w:val="0"/>
          <w:numId w:val="199"/>
        </w:numPr>
        <w:rPr>
          <w:lang w:val="es-ES"/>
        </w:rPr>
      </w:pPr>
      <w:r w:rsidRPr="00625F03">
        <w:rPr>
          <w:lang w:val="es-ES"/>
        </w:rPr>
        <w:t>Comprobar que la documentación que acompaña al producto es conforme a lo</w:t>
      </w:r>
      <w:r w:rsidR="00B517AB" w:rsidRPr="00625F03">
        <w:rPr>
          <w:lang w:val="es-ES"/>
        </w:rPr>
        <w:t xml:space="preserve"> </w:t>
      </w:r>
      <w:r w:rsidRPr="00625F03">
        <w:rPr>
          <w:lang w:val="es-ES"/>
        </w:rPr>
        <w:t>establecido en el apartado 290.4.</w:t>
      </w:r>
    </w:p>
    <w:p w14:paraId="0A5CC0CE" w14:textId="77777777" w:rsidR="006D4611" w:rsidRPr="00625F03" w:rsidRDefault="006D4611" w:rsidP="00661A5F">
      <w:pPr>
        <w:pStyle w:val="NORMAL12"/>
        <w:numPr>
          <w:ilvl w:val="0"/>
          <w:numId w:val="199"/>
        </w:numPr>
        <w:rPr>
          <w:lang w:val="es-ES"/>
        </w:rPr>
      </w:pPr>
      <w:r w:rsidRPr="00625F03">
        <w:rPr>
          <w:lang w:val="es-ES"/>
        </w:rPr>
        <w:t>Verificar que los valores declarados en los documentos que acompañan al</w:t>
      </w:r>
      <w:r w:rsidR="00B517AB" w:rsidRPr="00625F03">
        <w:rPr>
          <w:lang w:val="es-ES"/>
        </w:rPr>
        <w:t xml:space="preserve"> </w:t>
      </w:r>
      <w:r w:rsidRPr="00625F03">
        <w:rPr>
          <w:lang w:val="es-ES"/>
        </w:rPr>
        <w:t>marcado CE cumplen las especificaciones establecidas en este Pliego y en el</w:t>
      </w:r>
      <w:r w:rsidR="00B517AB" w:rsidRPr="00625F03">
        <w:rPr>
          <w:lang w:val="es-ES"/>
        </w:rPr>
        <w:t xml:space="preserve"> </w:t>
      </w:r>
      <w:r w:rsidRPr="00625F03">
        <w:rPr>
          <w:lang w:val="es-ES"/>
        </w:rPr>
        <w:t>Pliego de Prescripciones Técnicas Particulares.</w:t>
      </w:r>
    </w:p>
    <w:p w14:paraId="235D5D41" w14:textId="77777777" w:rsidR="006D4611" w:rsidRPr="00625F03" w:rsidRDefault="006D4611" w:rsidP="00661A5F">
      <w:pPr>
        <w:pStyle w:val="NORMAL12"/>
        <w:numPr>
          <w:ilvl w:val="0"/>
          <w:numId w:val="199"/>
        </w:numPr>
        <w:rPr>
          <w:lang w:val="es-ES"/>
        </w:rPr>
      </w:pPr>
      <w:r w:rsidRPr="00625F03">
        <w:rPr>
          <w:lang w:val="es-ES"/>
        </w:rPr>
        <w:t>Verificar que la marca o referencia de los productos suministrados, se</w:t>
      </w:r>
      <w:r w:rsidR="00B517AB" w:rsidRPr="00625F03">
        <w:rPr>
          <w:lang w:val="es-ES"/>
        </w:rPr>
        <w:t xml:space="preserve"> </w:t>
      </w:r>
      <w:r w:rsidRPr="00625F03">
        <w:rPr>
          <w:lang w:val="es-ES"/>
        </w:rPr>
        <w:t xml:space="preserve">corresponde con las especificaciones comunicadas previamente al </w:t>
      </w:r>
      <w:proofErr w:type="gramStart"/>
      <w:r w:rsidRPr="00625F03">
        <w:rPr>
          <w:lang w:val="es-ES"/>
        </w:rPr>
        <w:t>Director</w:t>
      </w:r>
      <w:proofErr w:type="gramEnd"/>
      <w:r w:rsidRPr="00625F03">
        <w:rPr>
          <w:lang w:val="es-ES"/>
        </w:rPr>
        <w:t xml:space="preserve"> de</w:t>
      </w:r>
      <w:r w:rsidR="00B517AB" w:rsidRPr="00625F03">
        <w:rPr>
          <w:lang w:val="es-ES"/>
        </w:rPr>
        <w:t xml:space="preserve"> </w:t>
      </w:r>
      <w:r w:rsidRPr="00625F03">
        <w:rPr>
          <w:lang w:val="es-ES"/>
        </w:rPr>
        <w:t>las Obras, según se ha indicado en el apartado 290.4 de este artículo.</w:t>
      </w:r>
    </w:p>
    <w:p w14:paraId="4FCF45DA" w14:textId="77777777" w:rsidR="006D4611" w:rsidRPr="00625F03" w:rsidRDefault="006D4611" w:rsidP="00B517AB">
      <w:pPr>
        <w:pStyle w:val="NORMAL12"/>
        <w:rPr>
          <w:lang w:val="es-ES"/>
        </w:rPr>
      </w:pPr>
      <w:r w:rsidRPr="00625F03">
        <w:rPr>
          <w:lang w:val="es-ES"/>
        </w:rPr>
        <w:t>Independientemente de la aceptación de la veracidad de las propiedades referidas en</w:t>
      </w:r>
      <w:r w:rsidR="00B517AB" w:rsidRPr="00625F03">
        <w:rPr>
          <w:lang w:val="es-ES"/>
        </w:rPr>
        <w:t xml:space="preserve"> </w:t>
      </w:r>
      <w:r w:rsidRPr="00625F03">
        <w:rPr>
          <w:lang w:val="es-ES"/>
        </w:rPr>
        <w:t>el marcado CE, si se detectara alguna anomalía durante el transporte,</w:t>
      </w:r>
      <w:r w:rsidR="00B517AB" w:rsidRPr="00625F03">
        <w:rPr>
          <w:lang w:val="es-ES"/>
        </w:rPr>
        <w:t xml:space="preserve"> </w:t>
      </w:r>
      <w:r w:rsidRPr="00625F03">
        <w:rPr>
          <w:lang w:val="es-ES"/>
        </w:rPr>
        <w:t xml:space="preserve">almacenamiento o manipulación de los productos, el </w:t>
      </w:r>
      <w:proofErr w:type="gramStart"/>
      <w:r w:rsidRPr="00625F03">
        <w:rPr>
          <w:lang w:val="es-ES"/>
        </w:rPr>
        <w:t>Director</w:t>
      </w:r>
      <w:proofErr w:type="gramEnd"/>
      <w:r w:rsidRPr="00625F03">
        <w:rPr>
          <w:lang w:val="es-ES"/>
        </w:rPr>
        <w:t xml:space="preserve"> de las Obras, en el uso</w:t>
      </w:r>
      <w:r w:rsidR="00B517AB" w:rsidRPr="00625F03">
        <w:rPr>
          <w:lang w:val="es-ES"/>
        </w:rPr>
        <w:t xml:space="preserve"> </w:t>
      </w:r>
      <w:r w:rsidRPr="00625F03">
        <w:rPr>
          <w:lang w:val="es-ES"/>
        </w:rPr>
        <w:t>de sus atribuciones, podrá disponer en cualquier momento, la realización de</w:t>
      </w:r>
      <w:r w:rsidR="00B517AB" w:rsidRPr="00625F03">
        <w:rPr>
          <w:lang w:val="es-ES"/>
        </w:rPr>
        <w:t xml:space="preserve"> </w:t>
      </w:r>
      <w:r w:rsidRPr="00625F03">
        <w:rPr>
          <w:lang w:val="es-ES"/>
        </w:rPr>
        <w:t>comprobaciones y ensayos sobre los materiales suministrados a la obra. En este caso</w:t>
      </w:r>
      <w:r w:rsidR="00B517AB" w:rsidRPr="00625F03">
        <w:rPr>
          <w:lang w:val="es-ES"/>
        </w:rPr>
        <w:t xml:space="preserve"> </w:t>
      </w:r>
      <w:r w:rsidRPr="00625F03">
        <w:rPr>
          <w:lang w:val="es-ES"/>
        </w:rPr>
        <w:t>se seguirán los criterios que se indican a continuación.</w:t>
      </w:r>
    </w:p>
    <w:p w14:paraId="5DB7A1B9" w14:textId="77777777" w:rsidR="006D4611" w:rsidRPr="00625F03" w:rsidRDefault="006D4611" w:rsidP="00B517AB">
      <w:pPr>
        <w:pStyle w:val="NORMAL12"/>
        <w:rPr>
          <w:lang w:val="es-ES"/>
        </w:rPr>
      </w:pPr>
      <w:r w:rsidRPr="00625F03">
        <w:rPr>
          <w:lang w:val="es-ES"/>
        </w:rPr>
        <w:lastRenderedPageBreak/>
        <w:t>Se considerará como lote de material, que se aceptará o rechazará íntegramente, al</w:t>
      </w:r>
      <w:r w:rsidR="00B517AB" w:rsidRPr="00625F03">
        <w:rPr>
          <w:lang w:val="es-ES"/>
        </w:rPr>
        <w:t xml:space="preserve"> </w:t>
      </w:r>
      <w:r w:rsidRPr="00625F03">
        <w:rPr>
          <w:lang w:val="es-ES"/>
        </w:rPr>
        <w:t>constituido por elementos de una misma partida, marca, clase y uso y que resulte de</w:t>
      </w:r>
      <w:r w:rsidR="00B517AB" w:rsidRPr="00625F03">
        <w:rPr>
          <w:lang w:val="es-ES"/>
        </w:rPr>
        <w:t xml:space="preserve"> </w:t>
      </w:r>
      <w:r w:rsidRPr="00625F03">
        <w:rPr>
          <w:lang w:val="es-ES"/>
        </w:rPr>
        <w:t>a</w:t>
      </w:r>
      <w:r w:rsidR="00625F03" w:rsidRPr="00625F03">
        <w:rPr>
          <w:lang w:val="es-ES"/>
        </w:rPr>
        <w:t>plicar los siguientes criterios, para un nivel de seguridad elevado:</w:t>
      </w:r>
    </w:p>
    <w:p w14:paraId="68C414C4" w14:textId="77777777" w:rsidR="006D4611" w:rsidRPr="00625F03" w:rsidRDefault="006D4611" w:rsidP="00661A5F">
      <w:pPr>
        <w:pStyle w:val="NORMAL12"/>
        <w:numPr>
          <w:ilvl w:val="0"/>
          <w:numId w:val="200"/>
        </w:numPr>
        <w:rPr>
          <w:lang w:val="es-ES"/>
        </w:rPr>
      </w:pPr>
      <w:r w:rsidRPr="00625F03">
        <w:rPr>
          <w:lang w:val="es-ES"/>
        </w:rPr>
        <w:t>Seis mil metros cuadrados (6 000 m²) de material en caso de nivel de</w:t>
      </w:r>
      <w:r w:rsidR="00B517AB" w:rsidRPr="00625F03">
        <w:rPr>
          <w:lang w:val="es-ES"/>
        </w:rPr>
        <w:t xml:space="preserve"> </w:t>
      </w:r>
      <w:r w:rsidRPr="00625F03">
        <w:rPr>
          <w:lang w:val="es-ES"/>
        </w:rPr>
        <w:t>seguridad elevado.</w:t>
      </w:r>
    </w:p>
    <w:p w14:paraId="455D85E2" w14:textId="77777777" w:rsidR="006D4611" w:rsidRPr="00625F03" w:rsidRDefault="006D4611" w:rsidP="00B517AB">
      <w:pPr>
        <w:pStyle w:val="NORMAL12"/>
        <w:rPr>
          <w:lang w:val="es-ES"/>
        </w:rPr>
      </w:pPr>
      <w:r w:rsidRPr="00625F03">
        <w:rPr>
          <w:lang w:val="es-ES"/>
        </w:rPr>
        <w:t>De cada lote o fracción se tomará un mínimo de:</w:t>
      </w:r>
    </w:p>
    <w:p w14:paraId="2FE61169" w14:textId="77777777" w:rsidR="006D4611" w:rsidRPr="00625F03" w:rsidRDefault="006D4611" w:rsidP="00661A5F">
      <w:pPr>
        <w:pStyle w:val="NORMAL12"/>
        <w:numPr>
          <w:ilvl w:val="0"/>
          <w:numId w:val="201"/>
        </w:numPr>
        <w:rPr>
          <w:lang w:val="es-ES"/>
        </w:rPr>
      </w:pPr>
      <w:r w:rsidRPr="00625F03">
        <w:rPr>
          <w:lang w:val="es-ES"/>
        </w:rPr>
        <w:t>Dos (2) muestras, en aplicaciones para nivel de seguridad elevado</w:t>
      </w:r>
    </w:p>
    <w:p w14:paraId="2836A89C" w14:textId="77777777" w:rsidR="006D4611" w:rsidRPr="00625F03" w:rsidRDefault="006D4611" w:rsidP="00B517AB">
      <w:pPr>
        <w:pStyle w:val="NORMAL12"/>
        <w:rPr>
          <w:lang w:val="es-ES"/>
        </w:rPr>
      </w:pPr>
      <w:r w:rsidRPr="00625F03">
        <w:rPr>
          <w:lang w:val="es-ES"/>
        </w:rPr>
        <w:t>Dichas muestras se prepararán conforme a la norma UNE-EN ISO 9862, y se</w:t>
      </w:r>
      <w:r w:rsidR="00B517AB" w:rsidRPr="00625F03">
        <w:rPr>
          <w:lang w:val="es-ES"/>
        </w:rPr>
        <w:t xml:space="preserve"> </w:t>
      </w:r>
      <w:r w:rsidRPr="00625F03">
        <w:rPr>
          <w:lang w:val="es-ES"/>
        </w:rPr>
        <w:t>efectuarán, al menos, los siguientes ensayos:</w:t>
      </w:r>
    </w:p>
    <w:p w14:paraId="53EF3CBE" w14:textId="77777777" w:rsidR="006D4611" w:rsidRPr="00625F03" w:rsidRDefault="006D4611" w:rsidP="00661A5F">
      <w:pPr>
        <w:pStyle w:val="NORMAL12"/>
        <w:numPr>
          <w:ilvl w:val="0"/>
          <w:numId w:val="202"/>
        </w:numPr>
        <w:rPr>
          <w:lang w:val="es-ES"/>
        </w:rPr>
      </w:pPr>
      <w:r w:rsidRPr="00625F03">
        <w:rPr>
          <w:lang w:val="es-ES"/>
        </w:rPr>
        <w:t>Masa por unidad de superficie (norma UNE-EN ISO 9864).</w:t>
      </w:r>
    </w:p>
    <w:p w14:paraId="1BFA1739" w14:textId="77777777" w:rsidR="006D4611" w:rsidRPr="00625F03" w:rsidRDefault="006D4611" w:rsidP="00661A5F">
      <w:pPr>
        <w:pStyle w:val="NORMAL12"/>
        <w:numPr>
          <w:ilvl w:val="0"/>
          <w:numId w:val="202"/>
        </w:numPr>
        <w:rPr>
          <w:lang w:val="es-ES"/>
        </w:rPr>
      </w:pPr>
      <w:r w:rsidRPr="00625F03">
        <w:rPr>
          <w:lang w:val="es-ES"/>
        </w:rPr>
        <w:t>Resistencia a tracción (norma la UNE-EN ISO 10319).</w:t>
      </w:r>
    </w:p>
    <w:p w14:paraId="6459A325" w14:textId="77777777" w:rsidR="006D4611" w:rsidRPr="00625F03" w:rsidRDefault="006D4611" w:rsidP="00661A5F">
      <w:pPr>
        <w:pStyle w:val="NORMAL12"/>
        <w:numPr>
          <w:ilvl w:val="0"/>
          <w:numId w:val="202"/>
        </w:numPr>
        <w:rPr>
          <w:lang w:val="es-ES"/>
        </w:rPr>
      </w:pPr>
      <w:r w:rsidRPr="00625F03">
        <w:rPr>
          <w:lang w:val="es-ES"/>
        </w:rPr>
        <w:t>Punzonado estático (ensayo CBR) (norma UNE-EN ISO 12236), en las</w:t>
      </w:r>
      <w:r w:rsidR="00B517AB" w:rsidRPr="00625F03">
        <w:rPr>
          <w:lang w:val="es-ES"/>
        </w:rPr>
        <w:t xml:space="preserve"> </w:t>
      </w:r>
      <w:r w:rsidRPr="00625F03">
        <w:rPr>
          <w:lang w:val="es-ES"/>
        </w:rPr>
        <w:t>aplicaciones que corresponda, según los epígrafes 290.2.3 a 290.2.6.</w:t>
      </w:r>
    </w:p>
    <w:p w14:paraId="5DD4C08B" w14:textId="77777777" w:rsidR="006D4611" w:rsidRPr="00625F03" w:rsidRDefault="006D4611" w:rsidP="00B517AB">
      <w:pPr>
        <w:pStyle w:val="NORMAL12"/>
        <w:rPr>
          <w:lang w:val="es-ES"/>
        </w:rPr>
      </w:pPr>
      <w:r w:rsidRPr="00625F03">
        <w:rPr>
          <w:lang w:val="es-ES"/>
        </w:rPr>
        <w:t>El lote se considerará no conforme si se incumple cualquiera de los valores exigidos.</w:t>
      </w:r>
    </w:p>
    <w:p w14:paraId="45EB893C" w14:textId="77777777" w:rsidR="00625F03" w:rsidRPr="00625F03" w:rsidRDefault="00625F03" w:rsidP="00B517AB">
      <w:pPr>
        <w:pStyle w:val="NORMAL12"/>
        <w:rPr>
          <w:lang w:val="es-ES"/>
        </w:rPr>
      </w:pPr>
      <w:r w:rsidRPr="00625F03">
        <w:rPr>
          <w:lang w:val="es-ES"/>
        </w:rPr>
        <w:t xml:space="preserve">En caso de no conformidad, se rechazará el lote, y se indicarán por parte del </w:t>
      </w:r>
      <w:proofErr w:type="gramStart"/>
      <w:r w:rsidRPr="00625F03">
        <w:rPr>
          <w:lang w:val="es-ES"/>
        </w:rPr>
        <w:t>Director</w:t>
      </w:r>
      <w:proofErr w:type="gramEnd"/>
      <w:r w:rsidRPr="00625F03">
        <w:rPr>
          <w:lang w:val="es-ES"/>
        </w:rPr>
        <w:t xml:space="preserve"> de Obra las condiciones que se deben cumplir para su reposición. </w:t>
      </w:r>
    </w:p>
    <w:p w14:paraId="77FC9C7C" w14:textId="77777777" w:rsidR="006D4611" w:rsidRPr="00625F03" w:rsidRDefault="006D4611" w:rsidP="006D4611">
      <w:pPr>
        <w:pStyle w:val="NORMAL12"/>
        <w:rPr>
          <w:i/>
          <w:u w:val="single"/>
          <w:lang w:val="es-ES"/>
        </w:rPr>
      </w:pPr>
      <w:r w:rsidRPr="00625F03">
        <w:rPr>
          <w:i/>
          <w:u w:val="single"/>
          <w:lang w:val="es-ES"/>
        </w:rPr>
        <w:t>Control de acopios y trazabilidad</w:t>
      </w:r>
    </w:p>
    <w:p w14:paraId="310C2B26" w14:textId="77777777" w:rsidR="006D4611" w:rsidRPr="00625F03" w:rsidRDefault="006D4611" w:rsidP="00B517AB">
      <w:pPr>
        <w:pStyle w:val="NORMAL12"/>
        <w:rPr>
          <w:lang w:val="es-ES"/>
        </w:rPr>
      </w:pPr>
      <w:r w:rsidRPr="00625F03">
        <w:rPr>
          <w:lang w:val="es-ES"/>
        </w:rPr>
        <w:t>No se podrán emplear geotextiles o productos relacionados acopiados si se produjera</w:t>
      </w:r>
      <w:r w:rsidR="00B517AB" w:rsidRPr="00625F03">
        <w:rPr>
          <w:lang w:val="es-ES"/>
        </w:rPr>
        <w:t xml:space="preserve"> </w:t>
      </w:r>
      <w:r w:rsidRPr="00625F03">
        <w:rPr>
          <w:lang w:val="es-ES"/>
        </w:rPr>
        <w:t>alguna de las siguientes circunstancias:</w:t>
      </w:r>
    </w:p>
    <w:p w14:paraId="3AE00C13" w14:textId="77777777" w:rsidR="006D4611" w:rsidRPr="00625F03" w:rsidRDefault="006D4611" w:rsidP="00661A5F">
      <w:pPr>
        <w:pStyle w:val="NORMAL12"/>
        <w:numPr>
          <w:ilvl w:val="0"/>
          <w:numId w:val="203"/>
        </w:numPr>
        <w:rPr>
          <w:lang w:val="es-ES"/>
        </w:rPr>
      </w:pPr>
      <w:r w:rsidRPr="00625F03">
        <w:rPr>
          <w:lang w:val="es-ES"/>
        </w:rPr>
        <w:t>Cuando las condiciones de almacenamiento no hubieran sido adecuadas, a</w:t>
      </w:r>
      <w:r w:rsidR="00B517AB" w:rsidRPr="00625F03">
        <w:rPr>
          <w:lang w:val="es-ES"/>
        </w:rPr>
        <w:t xml:space="preserve"> </w:t>
      </w:r>
      <w:r w:rsidRPr="00625F03">
        <w:rPr>
          <w:lang w:val="es-ES"/>
        </w:rPr>
        <w:t xml:space="preserve">criterio del </w:t>
      </w:r>
      <w:proofErr w:type="gramStart"/>
      <w:r w:rsidRPr="00625F03">
        <w:rPr>
          <w:lang w:val="es-ES"/>
        </w:rPr>
        <w:t>Director</w:t>
      </w:r>
      <w:proofErr w:type="gramEnd"/>
      <w:r w:rsidRPr="00625F03">
        <w:rPr>
          <w:lang w:val="es-ES"/>
        </w:rPr>
        <w:t xml:space="preserve"> de las Obras.</w:t>
      </w:r>
    </w:p>
    <w:p w14:paraId="403C0261" w14:textId="77777777" w:rsidR="006D4611" w:rsidRPr="00625F03" w:rsidRDefault="006D4611" w:rsidP="00661A5F">
      <w:pPr>
        <w:pStyle w:val="NORMAL12"/>
        <w:numPr>
          <w:ilvl w:val="0"/>
          <w:numId w:val="203"/>
        </w:numPr>
        <w:rPr>
          <w:lang w:val="es-ES"/>
        </w:rPr>
      </w:pPr>
      <w:r w:rsidRPr="00625F03">
        <w:rPr>
          <w:lang w:val="es-ES"/>
        </w:rPr>
        <w:t>Cuando hubiesen transcurrido los siguientes plazos entre la fecha de</w:t>
      </w:r>
      <w:r w:rsidR="00B517AB" w:rsidRPr="00625F03">
        <w:rPr>
          <w:lang w:val="es-ES"/>
        </w:rPr>
        <w:t xml:space="preserve"> </w:t>
      </w:r>
      <w:r w:rsidRPr="00625F03">
        <w:rPr>
          <w:lang w:val="es-ES"/>
        </w:rPr>
        <w:t>fabricación del producto y la de su puesta en obra:</w:t>
      </w:r>
    </w:p>
    <w:p w14:paraId="59341608" w14:textId="77777777" w:rsidR="006D4611" w:rsidRPr="00625F03" w:rsidRDefault="006D4611" w:rsidP="00661A5F">
      <w:pPr>
        <w:pStyle w:val="NORMAL12"/>
        <w:numPr>
          <w:ilvl w:val="1"/>
          <w:numId w:val="203"/>
        </w:numPr>
        <w:rPr>
          <w:lang w:val="es-ES"/>
        </w:rPr>
      </w:pPr>
      <w:r w:rsidRPr="00625F03">
        <w:rPr>
          <w:lang w:val="es-ES"/>
        </w:rPr>
        <w:t xml:space="preserve">Doce (12) meses </w:t>
      </w:r>
      <w:r w:rsidR="00625F03" w:rsidRPr="00625F03">
        <w:rPr>
          <w:lang w:val="es-ES"/>
        </w:rPr>
        <w:t xml:space="preserve">para casos de vida útil esperada mayor a cinco años. </w:t>
      </w:r>
    </w:p>
    <w:p w14:paraId="3E3E2618" w14:textId="77777777" w:rsidR="006D4611" w:rsidRPr="00625F03" w:rsidRDefault="006D4611" w:rsidP="00B517AB">
      <w:pPr>
        <w:pStyle w:val="NORMAL12"/>
        <w:rPr>
          <w:lang w:val="es-ES"/>
        </w:rPr>
      </w:pPr>
      <w:r w:rsidRPr="00625F03">
        <w:rPr>
          <w:lang w:val="es-ES"/>
        </w:rPr>
        <w:t xml:space="preserve">Al objeto de garantizar la trazabilidad, el Contratista facilitará diariamente al </w:t>
      </w:r>
      <w:proofErr w:type="gramStart"/>
      <w:r w:rsidRPr="00625F03">
        <w:rPr>
          <w:lang w:val="es-ES"/>
        </w:rPr>
        <w:t>Director</w:t>
      </w:r>
      <w:proofErr w:type="gramEnd"/>
      <w:r w:rsidR="00B517AB" w:rsidRPr="00625F03">
        <w:rPr>
          <w:lang w:val="es-ES"/>
        </w:rPr>
        <w:t xml:space="preserve"> </w:t>
      </w:r>
      <w:r w:rsidRPr="00625F03">
        <w:rPr>
          <w:lang w:val="es-ES"/>
        </w:rPr>
        <w:t>de las Obras un parte de ejecución de obra en el que deberán figurar, al menos, los</w:t>
      </w:r>
      <w:r w:rsidR="00B517AB" w:rsidRPr="00625F03">
        <w:rPr>
          <w:lang w:val="es-ES"/>
        </w:rPr>
        <w:t xml:space="preserve"> </w:t>
      </w:r>
      <w:r w:rsidRPr="00625F03">
        <w:rPr>
          <w:lang w:val="es-ES"/>
        </w:rPr>
        <w:t>siguientes conceptos:</w:t>
      </w:r>
    </w:p>
    <w:p w14:paraId="714843DA" w14:textId="77777777" w:rsidR="006D4611" w:rsidRPr="00625F03" w:rsidRDefault="006D4611" w:rsidP="00661A5F">
      <w:pPr>
        <w:pStyle w:val="NORMAL12"/>
        <w:numPr>
          <w:ilvl w:val="0"/>
          <w:numId w:val="204"/>
        </w:numPr>
        <w:ind w:left="714" w:hanging="357"/>
        <w:contextualSpacing/>
        <w:rPr>
          <w:lang w:val="es-ES"/>
        </w:rPr>
      </w:pPr>
      <w:r w:rsidRPr="00625F03">
        <w:rPr>
          <w:lang w:val="es-ES"/>
        </w:rPr>
        <w:t>Identificación de la obra.</w:t>
      </w:r>
    </w:p>
    <w:p w14:paraId="7C5FF9ED" w14:textId="77777777" w:rsidR="006D4611" w:rsidRPr="00625F03" w:rsidRDefault="006D4611" w:rsidP="00661A5F">
      <w:pPr>
        <w:pStyle w:val="NORMAL12"/>
        <w:numPr>
          <w:ilvl w:val="0"/>
          <w:numId w:val="204"/>
        </w:numPr>
        <w:ind w:left="714" w:hanging="357"/>
        <w:contextualSpacing/>
        <w:rPr>
          <w:lang w:val="es-ES"/>
        </w:rPr>
      </w:pPr>
      <w:r w:rsidRPr="00625F03">
        <w:rPr>
          <w:lang w:val="es-ES"/>
        </w:rPr>
        <w:t>Localización del tajo.</w:t>
      </w:r>
    </w:p>
    <w:p w14:paraId="0904037E" w14:textId="77777777" w:rsidR="006D4611" w:rsidRPr="00625F03" w:rsidRDefault="006D4611" w:rsidP="00661A5F">
      <w:pPr>
        <w:pStyle w:val="NORMAL12"/>
        <w:numPr>
          <w:ilvl w:val="0"/>
          <w:numId w:val="204"/>
        </w:numPr>
        <w:ind w:left="714" w:hanging="357"/>
        <w:contextualSpacing/>
        <w:rPr>
          <w:lang w:val="es-ES"/>
        </w:rPr>
      </w:pPr>
      <w:r w:rsidRPr="00625F03">
        <w:rPr>
          <w:lang w:val="es-ES"/>
        </w:rPr>
        <w:t>Fecha de instalación.</w:t>
      </w:r>
    </w:p>
    <w:p w14:paraId="7A06BF21" w14:textId="77777777" w:rsidR="006D4611" w:rsidRPr="00625F03" w:rsidRDefault="006D4611" w:rsidP="00661A5F">
      <w:pPr>
        <w:pStyle w:val="NORMAL12"/>
        <w:numPr>
          <w:ilvl w:val="0"/>
          <w:numId w:val="204"/>
        </w:numPr>
        <w:ind w:left="714" w:hanging="357"/>
        <w:contextualSpacing/>
        <w:rPr>
          <w:lang w:val="es-ES"/>
        </w:rPr>
      </w:pPr>
      <w:r w:rsidRPr="00625F03">
        <w:rPr>
          <w:lang w:val="es-ES"/>
        </w:rPr>
        <w:t>Número de rollos colocados, por tipo.</w:t>
      </w:r>
    </w:p>
    <w:p w14:paraId="6FDF4454" w14:textId="77777777" w:rsidR="006D4611" w:rsidRPr="00625F03" w:rsidRDefault="006D4611" w:rsidP="00661A5F">
      <w:pPr>
        <w:pStyle w:val="NORMAL12"/>
        <w:numPr>
          <w:ilvl w:val="0"/>
          <w:numId w:val="204"/>
        </w:numPr>
        <w:ind w:left="714" w:hanging="357"/>
        <w:contextualSpacing/>
        <w:rPr>
          <w:lang w:val="es-ES"/>
        </w:rPr>
      </w:pPr>
      <w:r w:rsidRPr="00625F03">
        <w:rPr>
          <w:lang w:val="es-ES"/>
        </w:rPr>
        <w:t>Fecha de fabricación.</w:t>
      </w:r>
    </w:p>
    <w:p w14:paraId="634D47B8" w14:textId="77777777" w:rsidR="006D4611" w:rsidRPr="00625F03" w:rsidRDefault="006D4611" w:rsidP="00661A5F">
      <w:pPr>
        <w:pStyle w:val="NORMAL12"/>
        <w:numPr>
          <w:ilvl w:val="0"/>
          <w:numId w:val="204"/>
        </w:numPr>
        <w:ind w:left="714" w:hanging="357"/>
        <w:contextualSpacing/>
        <w:rPr>
          <w:lang w:val="es-ES"/>
        </w:rPr>
      </w:pPr>
      <w:r w:rsidRPr="00625F03">
        <w:rPr>
          <w:lang w:val="es-ES"/>
        </w:rPr>
        <w:t>Referencia del albarán de suministro.</w:t>
      </w:r>
    </w:p>
    <w:p w14:paraId="26C54BC4" w14:textId="77777777" w:rsidR="006D4611" w:rsidRPr="00625F03" w:rsidRDefault="006D4611" w:rsidP="00661A5F">
      <w:pPr>
        <w:pStyle w:val="NORMAL12"/>
        <w:numPr>
          <w:ilvl w:val="0"/>
          <w:numId w:val="204"/>
        </w:numPr>
        <w:ind w:left="714" w:hanging="357"/>
        <w:contextualSpacing/>
        <w:rPr>
          <w:lang w:val="es-ES"/>
        </w:rPr>
      </w:pPr>
      <w:r w:rsidRPr="00625F03">
        <w:rPr>
          <w:lang w:val="es-ES"/>
        </w:rPr>
        <w:t>Ubicación de cada uno de los rollos.</w:t>
      </w:r>
    </w:p>
    <w:p w14:paraId="79F86395" w14:textId="77777777" w:rsidR="006D4611" w:rsidRPr="00625F03" w:rsidRDefault="006D4611" w:rsidP="00661A5F">
      <w:pPr>
        <w:pStyle w:val="NORMAL12"/>
        <w:numPr>
          <w:ilvl w:val="0"/>
          <w:numId w:val="204"/>
        </w:numPr>
        <w:ind w:left="714" w:hanging="357"/>
        <w:contextualSpacing/>
        <w:rPr>
          <w:lang w:val="es-ES"/>
        </w:rPr>
      </w:pPr>
      <w:r w:rsidRPr="00625F03">
        <w:rPr>
          <w:lang w:val="es-ES"/>
        </w:rPr>
        <w:t>Observaciones e incidencias que pudieran influir en sus características y en</w:t>
      </w:r>
      <w:r w:rsidR="00B517AB" w:rsidRPr="00625F03">
        <w:rPr>
          <w:lang w:val="es-ES"/>
        </w:rPr>
        <w:t xml:space="preserve"> </w:t>
      </w:r>
      <w:r w:rsidRPr="00625F03">
        <w:rPr>
          <w:lang w:val="es-ES"/>
        </w:rPr>
        <w:t>la durabilidad.</w:t>
      </w:r>
    </w:p>
    <w:p w14:paraId="491152F9" w14:textId="77777777" w:rsidR="006D4611" w:rsidRPr="00625F03" w:rsidRDefault="006D4611" w:rsidP="000313DD">
      <w:pPr>
        <w:pStyle w:val="TITU2"/>
      </w:pPr>
      <w:bookmarkStart w:id="316" w:name="_Toc404139"/>
      <w:r w:rsidRPr="00625F03">
        <w:t>290.</w:t>
      </w:r>
      <w:r w:rsidR="00D81C53">
        <w:t>6</w:t>
      </w:r>
      <w:r w:rsidRPr="00625F03">
        <w:t>. Criterios de aceptación o rechazo</w:t>
      </w:r>
      <w:bookmarkEnd w:id="316"/>
    </w:p>
    <w:p w14:paraId="38A9006F" w14:textId="77777777" w:rsidR="006D4611" w:rsidRPr="00625F03" w:rsidRDefault="006D4611" w:rsidP="006D4611">
      <w:pPr>
        <w:pStyle w:val="NORMAL12"/>
        <w:rPr>
          <w:lang w:val="es-ES"/>
        </w:rPr>
      </w:pPr>
      <w:r w:rsidRPr="00625F03">
        <w:rPr>
          <w:lang w:val="es-ES"/>
        </w:rPr>
        <w:t xml:space="preserve">El Pliego de Prescripciones Técnicas Particulares, o en su defecto el </w:t>
      </w:r>
      <w:proofErr w:type="gramStart"/>
      <w:r w:rsidRPr="00625F03">
        <w:rPr>
          <w:lang w:val="es-ES"/>
        </w:rPr>
        <w:t>Director</w:t>
      </w:r>
      <w:proofErr w:type="gramEnd"/>
      <w:r w:rsidRPr="00625F03">
        <w:rPr>
          <w:lang w:val="es-ES"/>
        </w:rPr>
        <w:t xml:space="preserve"> de las</w:t>
      </w:r>
      <w:r w:rsidR="00B517AB" w:rsidRPr="00625F03">
        <w:rPr>
          <w:lang w:val="es-ES"/>
        </w:rPr>
        <w:t xml:space="preserve"> </w:t>
      </w:r>
      <w:r w:rsidRPr="00625F03">
        <w:rPr>
          <w:lang w:val="es-ES"/>
        </w:rPr>
        <w:t>Obras, indicará las medidas a adoptar en el caso de que los geotextiles o productos</w:t>
      </w:r>
      <w:r w:rsidR="00B517AB" w:rsidRPr="00625F03">
        <w:rPr>
          <w:lang w:val="es-ES"/>
        </w:rPr>
        <w:t xml:space="preserve"> </w:t>
      </w:r>
      <w:r w:rsidRPr="00625F03">
        <w:rPr>
          <w:lang w:val="es-ES"/>
        </w:rPr>
        <w:t>relacionados no cumplan alguna de las características establecidas en este artículo.</w:t>
      </w:r>
    </w:p>
    <w:p w14:paraId="46828455" w14:textId="77777777" w:rsidR="00625F03" w:rsidRPr="00625F03" w:rsidRDefault="00625F03" w:rsidP="006D4611">
      <w:pPr>
        <w:pStyle w:val="NORMAL12"/>
        <w:rPr>
          <w:lang w:val="es-ES"/>
        </w:rPr>
      </w:pPr>
      <w:r w:rsidRPr="00625F03">
        <w:rPr>
          <w:lang w:val="es-ES"/>
        </w:rPr>
        <w:t>Se identificarán en las unidades de obra de las que formen parte.</w:t>
      </w:r>
    </w:p>
    <w:p w14:paraId="181B7AD6" w14:textId="77777777" w:rsidR="006D4611" w:rsidRPr="00625F03" w:rsidRDefault="00D81C53" w:rsidP="000313DD">
      <w:pPr>
        <w:pStyle w:val="TITU2"/>
      </w:pPr>
      <w:bookmarkStart w:id="317" w:name="_Toc404140"/>
      <w:r>
        <w:t>290.7</w:t>
      </w:r>
      <w:r w:rsidR="006D4611" w:rsidRPr="00625F03">
        <w:t>. Medición y abono</w:t>
      </w:r>
      <w:bookmarkEnd w:id="317"/>
    </w:p>
    <w:p w14:paraId="714421EE" w14:textId="77777777" w:rsidR="00B517AB" w:rsidRPr="006D4611" w:rsidRDefault="00B517AB" w:rsidP="00524011">
      <w:pPr>
        <w:pStyle w:val="NORMAL12"/>
        <w:rPr>
          <w:lang w:val="es-ES"/>
        </w:rPr>
      </w:pPr>
      <w:r w:rsidRPr="00524011">
        <w:rPr>
          <w:lang w:val="es-ES"/>
        </w:rPr>
        <w:t xml:space="preserve">La medición y abono del geotextil se realizará </w:t>
      </w:r>
      <w:proofErr w:type="gramStart"/>
      <w:r w:rsidRPr="00524011">
        <w:rPr>
          <w:lang w:val="es-ES"/>
        </w:rPr>
        <w:t>conjuntamente con</w:t>
      </w:r>
      <w:proofErr w:type="gramEnd"/>
      <w:r w:rsidRPr="00524011">
        <w:rPr>
          <w:lang w:val="es-ES"/>
        </w:rPr>
        <w:t xml:space="preserve"> la unidad de obra de la que forman parte</w:t>
      </w:r>
      <w:r w:rsidR="00524011" w:rsidRPr="00524011">
        <w:rPr>
          <w:lang w:val="es-ES"/>
        </w:rPr>
        <w:t xml:space="preserve"> en este caso las unidades definidas en el artículo 290b y 420</w:t>
      </w:r>
      <w:r w:rsidR="003272B9">
        <w:rPr>
          <w:lang w:val="es-ES"/>
        </w:rPr>
        <w:t>b</w:t>
      </w:r>
      <w:r w:rsidR="00524011" w:rsidRPr="00524011">
        <w:rPr>
          <w:lang w:val="es-ES"/>
        </w:rPr>
        <w:t xml:space="preserve"> del presente pliego. </w:t>
      </w:r>
    </w:p>
    <w:p w14:paraId="5DD69E85" w14:textId="77777777" w:rsidR="00667297" w:rsidRDefault="00667297" w:rsidP="006F6223">
      <w:pPr>
        <w:pStyle w:val="TITU1"/>
      </w:pPr>
      <w:bookmarkStart w:id="318" w:name="_Toc404141"/>
      <w:r w:rsidRPr="000D3FA5">
        <w:lastRenderedPageBreak/>
        <w:t>Artículo 290</w:t>
      </w:r>
      <w:r w:rsidR="00B712BB" w:rsidRPr="000D3FA5">
        <w:t>b</w:t>
      </w:r>
      <w:r w:rsidRPr="000D3FA5">
        <w:t>.</w:t>
      </w:r>
      <w:r w:rsidR="003D2F97">
        <w:t xml:space="preserve"> Geocompuesto para firme</w:t>
      </w:r>
      <w:bookmarkEnd w:id="318"/>
    </w:p>
    <w:p w14:paraId="0D8C4649" w14:textId="77777777" w:rsidR="000D3FA5" w:rsidRPr="006B7EDC" w:rsidRDefault="000D3FA5" w:rsidP="000D3FA5">
      <w:pPr>
        <w:pStyle w:val="NORMAL12"/>
        <w:rPr>
          <w:lang w:val="es-ES"/>
        </w:rPr>
      </w:pPr>
      <w:r w:rsidRPr="006B7EDC">
        <w:rPr>
          <w:lang w:val="es-ES"/>
        </w:rPr>
        <w:t xml:space="preserve">Excepto para lo especificado en el presente Pliego de Prescripciones Técnicas </w:t>
      </w:r>
      <w:r>
        <w:rPr>
          <w:lang w:val="es-ES"/>
        </w:rPr>
        <w:t>P</w:t>
      </w:r>
      <w:r w:rsidRPr="006B7EDC">
        <w:rPr>
          <w:lang w:val="es-ES"/>
        </w:rPr>
        <w:t>articulares se seguirá lo pr</w:t>
      </w:r>
      <w:r>
        <w:rPr>
          <w:lang w:val="es-ES"/>
        </w:rPr>
        <w:t>escrito en el vigente artículo 290</w:t>
      </w:r>
      <w:r w:rsidRPr="006B7EDC">
        <w:rPr>
          <w:lang w:val="es-ES"/>
        </w:rPr>
        <w:t xml:space="preserve"> del PG-3.</w:t>
      </w:r>
    </w:p>
    <w:p w14:paraId="59711C8F" w14:textId="77777777" w:rsidR="00B712BB" w:rsidRPr="00C563C3" w:rsidRDefault="00152170" w:rsidP="000313DD">
      <w:pPr>
        <w:pStyle w:val="TITU2"/>
      </w:pPr>
      <w:bookmarkStart w:id="319" w:name="_Toc404142"/>
      <w:bookmarkStart w:id="320" w:name="_Toc329971036"/>
      <w:r w:rsidRPr="00C563C3">
        <w:t>290b</w:t>
      </w:r>
      <w:r w:rsidRPr="00C563C3">
        <w:rPr>
          <w:rFonts w:hint="eastAsia"/>
        </w:rPr>
        <w:t>.</w:t>
      </w:r>
      <w:r w:rsidRPr="00C563C3">
        <w:t xml:space="preserve">1. </w:t>
      </w:r>
      <w:r w:rsidR="00B712BB" w:rsidRPr="00C563C3">
        <w:t>Definición</w:t>
      </w:r>
      <w:bookmarkEnd w:id="319"/>
    </w:p>
    <w:bookmarkEnd w:id="320"/>
    <w:p w14:paraId="63618312" w14:textId="77777777" w:rsidR="00B712BB" w:rsidRDefault="00B712BB" w:rsidP="00B712BB">
      <w:pPr>
        <w:pStyle w:val="NORMAL12"/>
        <w:rPr>
          <w:lang w:val="es-ES"/>
        </w:rPr>
      </w:pPr>
      <w:r w:rsidRPr="00797F10">
        <w:rPr>
          <w:lang w:val="es-ES"/>
        </w:rPr>
        <w:t xml:space="preserve">Se define en esta unidad como </w:t>
      </w:r>
      <w:proofErr w:type="spellStart"/>
      <w:r w:rsidRPr="00797F10">
        <w:rPr>
          <w:lang w:val="es-ES"/>
        </w:rPr>
        <w:t>Geocompuesto</w:t>
      </w:r>
      <w:proofErr w:type="spellEnd"/>
      <w:r w:rsidRPr="00797F10">
        <w:rPr>
          <w:lang w:val="es-ES"/>
        </w:rPr>
        <w:t xml:space="preserve"> de refuerzo de firme al conjunto de Geomalla flexible fabricada de </w:t>
      </w:r>
      <w:proofErr w:type="spellStart"/>
      <w:r w:rsidRPr="00797F10">
        <w:rPr>
          <w:lang w:val="es-ES"/>
        </w:rPr>
        <w:t>Polivinil</w:t>
      </w:r>
      <w:proofErr w:type="spellEnd"/>
      <w:r w:rsidRPr="00797F10">
        <w:rPr>
          <w:lang w:val="es-ES"/>
        </w:rPr>
        <w:t xml:space="preserve">-alcohol que incorpora un geotextil ligero fabricado en polipropileno no tejido, impregnados con emulsión bituminosa para conseguir su adherencia. </w:t>
      </w:r>
    </w:p>
    <w:p w14:paraId="2EEE43AC" w14:textId="77777777" w:rsidR="00B712BB" w:rsidRDefault="00B712BB" w:rsidP="000313DD">
      <w:pPr>
        <w:pStyle w:val="TITU2"/>
      </w:pPr>
      <w:bookmarkStart w:id="321" w:name="_Toc404143"/>
      <w:r>
        <w:t>290b.2. Aplicación</w:t>
      </w:r>
      <w:bookmarkEnd w:id="321"/>
    </w:p>
    <w:p w14:paraId="05A6FA2D" w14:textId="77777777" w:rsidR="00152170" w:rsidRPr="00797F10" w:rsidRDefault="00152170" w:rsidP="005C7A38">
      <w:pPr>
        <w:pStyle w:val="NORMAL12"/>
        <w:rPr>
          <w:lang w:val="es-ES"/>
        </w:rPr>
      </w:pPr>
      <w:r w:rsidRPr="00797F10">
        <w:rPr>
          <w:lang w:val="es-ES"/>
        </w:rPr>
        <w:t xml:space="preserve">Las prescripciones de este artículo </w:t>
      </w:r>
      <w:proofErr w:type="gramStart"/>
      <w:r w:rsidRPr="00797F10">
        <w:rPr>
          <w:lang w:val="es-ES"/>
        </w:rPr>
        <w:t>son de aplicación</w:t>
      </w:r>
      <w:proofErr w:type="gramEnd"/>
      <w:r w:rsidRPr="00797F10">
        <w:rPr>
          <w:lang w:val="es-ES"/>
        </w:rPr>
        <w:t xml:space="preserve"> a las siguientes unidades de obra.</w:t>
      </w:r>
    </w:p>
    <w:p w14:paraId="71D837E8" w14:textId="77777777" w:rsidR="00152170" w:rsidRPr="00C563C3" w:rsidRDefault="0037532F" w:rsidP="00152170">
      <w:pPr>
        <w:pStyle w:val="LCAUnidaddeobra"/>
        <w:rPr>
          <w:rFonts w:ascii="Calibri" w:hAnsi="Calibri"/>
          <w:i w:val="0"/>
          <w:iCs w:val="0"/>
          <w:sz w:val="24"/>
          <w:szCs w:val="24"/>
        </w:rPr>
      </w:pPr>
      <w:r w:rsidRPr="003327CC">
        <w:rPr>
          <w:rFonts w:ascii="Calibri" w:hAnsi="Calibri"/>
          <w:i w:val="0"/>
          <w:iCs w:val="0"/>
          <w:sz w:val="24"/>
          <w:szCs w:val="24"/>
        </w:rPr>
        <w:t>290</w:t>
      </w:r>
      <w:r w:rsidR="002969BE" w:rsidRPr="003327CC">
        <w:rPr>
          <w:rFonts w:ascii="Calibri" w:hAnsi="Calibri"/>
          <w:i w:val="0"/>
          <w:iCs w:val="0"/>
          <w:sz w:val="24"/>
          <w:szCs w:val="24"/>
        </w:rPr>
        <w:t>.</w:t>
      </w:r>
      <w:r w:rsidR="002A126E" w:rsidRPr="003327CC">
        <w:rPr>
          <w:rFonts w:ascii="Calibri" w:hAnsi="Calibri"/>
          <w:i w:val="0"/>
          <w:iCs w:val="0"/>
          <w:sz w:val="24"/>
          <w:szCs w:val="24"/>
        </w:rPr>
        <w:t>1</w:t>
      </w:r>
      <w:r w:rsidR="002969BE" w:rsidRPr="003327CC">
        <w:rPr>
          <w:rFonts w:ascii="Calibri" w:hAnsi="Calibri"/>
          <w:i w:val="0"/>
          <w:iCs w:val="0"/>
          <w:sz w:val="24"/>
          <w:szCs w:val="24"/>
        </w:rPr>
        <w:t>010N</w:t>
      </w:r>
      <w:r w:rsidR="00152170" w:rsidRPr="003327CC">
        <w:rPr>
          <w:rFonts w:cs="Arial"/>
          <w:szCs w:val="22"/>
        </w:rPr>
        <w:tab/>
      </w:r>
      <w:r w:rsidR="00152170" w:rsidRPr="003327CC">
        <w:rPr>
          <w:rFonts w:ascii="Calibri" w:hAnsi="Calibri"/>
          <w:i w:val="0"/>
          <w:iCs w:val="0"/>
          <w:sz w:val="24"/>
          <w:szCs w:val="24"/>
        </w:rPr>
        <w:t>m</w:t>
      </w:r>
      <w:r w:rsidR="0065459A" w:rsidRPr="003327CC">
        <w:rPr>
          <w:rFonts w:ascii="Calibri" w:hAnsi="Calibri"/>
          <w:i w:val="0"/>
          <w:iCs w:val="0"/>
          <w:sz w:val="24"/>
          <w:szCs w:val="24"/>
          <w:vertAlign w:val="superscript"/>
        </w:rPr>
        <w:t>2</w:t>
      </w:r>
      <w:r w:rsidR="00152170" w:rsidRPr="003327CC">
        <w:rPr>
          <w:rFonts w:cs="Arial"/>
          <w:szCs w:val="22"/>
        </w:rPr>
        <w:tab/>
      </w:r>
      <w:r w:rsidR="00C563C3" w:rsidRPr="003327CC">
        <w:rPr>
          <w:rFonts w:ascii="Calibri" w:hAnsi="Calibri"/>
          <w:i w:val="0"/>
          <w:iCs w:val="0"/>
          <w:sz w:val="24"/>
          <w:szCs w:val="24"/>
        </w:rPr>
        <w:t>SUMINISTRO Y COLOCACIÓN DE GEOCOMPUESTO, FORMADO POR GEOMALLA DE POLIVINIL –ALCOHOL Y GEOTEXTIL NO TEJIDO FABRICADO CON POLIPROPILENO, CON UN GRAMAJO TOTAL DE 450gr/m</w:t>
      </w:r>
      <w:r w:rsidR="00C563C3" w:rsidRPr="00E34DE7">
        <w:rPr>
          <w:rFonts w:ascii="Calibri" w:hAnsi="Calibri"/>
          <w:i w:val="0"/>
          <w:iCs w:val="0"/>
          <w:sz w:val="24"/>
          <w:szCs w:val="24"/>
          <w:vertAlign w:val="superscript"/>
        </w:rPr>
        <w:t>2</w:t>
      </w:r>
      <w:r w:rsidR="00C563C3" w:rsidRPr="003327CC">
        <w:rPr>
          <w:rFonts w:ascii="Calibri" w:hAnsi="Calibri"/>
          <w:i w:val="0"/>
          <w:iCs w:val="0"/>
          <w:sz w:val="24"/>
          <w:szCs w:val="24"/>
        </w:rPr>
        <w:t xml:space="preserve"> COLOCADO DIRECTAMENTE SOBRE LOSAS DE HORMIGÓN SEGÚN ESPECIFICACIONES DEL FABRICANTE, CON MEDIOS AUXILIARES ADECUADOS, INCLUSO ALMACENAMIENTO Y TRANSPORTE A LUGAR DE EMPLEO. TOTALMENTE TERMINADO.</w:t>
      </w:r>
    </w:p>
    <w:p w14:paraId="0EE5BBE4" w14:textId="77777777" w:rsidR="00797F10" w:rsidRDefault="00152170" w:rsidP="005C7A38">
      <w:pPr>
        <w:pStyle w:val="NORMAL12"/>
        <w:rPr>
          <w:lang w:val="es-ES"/>
        </w:rPr>
      </w:pPr>
      <w:r w:rsidRPr="00797F10">
        <w:rPr>
          <w:lang w:val="es-ES"/>
        </w:rPr>
        <w:t xml:space="preserve">La </w:t>
      </w:r>
      <w:r w:rsidR="00797F10">
        <w:rPr>
          <w:lang w:val="es-ES"/>
        </w:rPr>
        <w:t xml:space="preserve">ejecución de unidad incluye la realización de las operaciones siguientes: </w:t>
      </w:r>
    </w:p>
    <w:p w14:paraId="1E65D001" w14:textId="77777777" w:rsidR="00152170" w:rsidRPr="00797F10" w:rsidRDefault="00152170" w:rsidP="00E01981">
      <w:pPr>
        <w:pStyle w:val="NORMAL12"/>
        <w:numPr>
          <w:ilvl w:val="0"/>
          <w:numId w:val="108"/>
        </w:numPr>
        <w:rPr>
          <w:lang w:val="es-ES"/>
        </w:rPr>
      </w:pPr>
      <w:r w:rsidRPr="00797F10">
        <w:rPr>
          <w:lang w:val="es-ES"/>
        </w:rPr>
        <w:t xml:space="preserve">Suministro del </w:t>
      </w:r>
      <w:proofErr w:type="spellStart"/>
      <w:r w:rsidRPr="00797F10">
        <w:rPr>
          <w:lang w:val="es-ES"/>
        </w:rPr>
        <w:t>geocompuesto</w:t>
      </w:r>
      <w:proofErr w:type="spellEnd"/>
      <w:r w:rsidRPr="00797F10">
        <w:rPr>
          <w:lang w:val="es-ES"/>
        </w:rPr>
        <w:t>, en las condiciones pedidas para facilitar su puesta en obra.</w:t>
      </w:r>
    </w:p>
    <w:p w14:paraId="42E9765A" w14:textId="77777777" w:rsidR="00152170" w:rsidRPr="00797F10" w:rsidRDefault="00152170" w:rsidP="00E01981">
      <w:pPr>
        <w:pStyle w:val="NORMAL12"/>
        <w:numPr>
          <w:ilvl w:val="0"/>
          <w:numId w:val="108"/>
        </w:numPr>
        <w:rPr>
          <w:lang w:val="es-ES"/>
        </w:rPr>
      </w:pPr>
      <w:r w:rsidRPr="00797F10">
        <w:rPr>
          <w:lang w:val="es-ES"/>
        </w:rPr>
        <w:t xml:space="preserve">Extendido del </w:t>
      </w:r>
      <w:proofErr w:type="spellStart"/>
      <w:r w:rsidRPr="00797F10">
        <w:rPr>
          <w:lang w:val="es-ES"/>
        </w:rPr>
        <w:t>geocompuesto</w:t>
      </w:r>
      <w:proofErr w:type="spellEnd"/>
      <w:r w:rsidRPr="00797F10">
        <w:rPr>
          <w:lang w:val="es-ES"/>
        </w:rPr>
        <w:t>, según las condiciones establecidas en este pliego.</w:t>
      </w:r>
    </w:p>
    <w:p w14:paraId="116E392F" w14:textId="77777777" w:rsidR="00152170" w:rsidRPr="00797F10" w:rsidRDefault="00152170" w:rsidP="00E01981">
      <w:pPr>
        <w:pStyle w:val="NORMAL12"/>
        <w:numPr>
          <w:ilvl w:val="0"/>
          <w:numId w:val="108"/>
        </w:numPr>
        <w:rPr>
          <w:lang w:val="es-ES"/>
        </w:rPr>
      </w:pPr>
      <w:r w:rsidRPr="00797F10">
        <w:rPr>
          <w:lang w:val="es-ES"/>
        </w:rPr>
        <w:t>Cualquier trabajo, maquinaria, material o elemento auxiliar necesario para la correcta ejecución de esta unidad de obra.</w:t>
      </w:r>
    </w:p>
    <w:p w14:paraId="4C94756C" w14:textId="77777777" w:rsidR="00152170" w:rsidRPr="00963F38" w:rsidRDefault="00152170" w:rsidP="005C7A38">
      <w:pPr>
        <w:pStyle w:val="NORMAL12"/>
        <w:rPr>
          <w:lang w:val="es-ES"/>
        </w:rPr>
      </w:pPr>
      <w:r w:rsidRPr="00963F38">
        <w:rPr>
          <w:lang w:val="es-ES"/>
        </w:rPr>
        <w:t xml:space="preserve">No se incluye en esta unidad, la preparación de la superficie sobre la que se extiende el </w:t>
      </w:r>
      <w:proofErr w:type="spellStart"/>
      <w:r w:rsidRPr="00963F38">
        <w:rPr>
          <w:lang w:val="es-ES"/>
        </w:rPr>
        <w:t>geocompuesto</w:t>
      </w:r>
      <w:proofErr w:type="spellEnd"/>
      <w:r w:rsidRPr="00963F38">
        <w:rPr>
          <w:lang w:val="es-ES"/>
        </w:rPr>
        <w:t>, ni el riego de adherencia, pero si se especifica las condiciones en que debe estar hecho este.</w:t>
      </w:r>
    </w:p>
    <w:p w14:paraId="766996A9" w14:textId="77777777" w:rsidR="00152170" w:rsidRPr="00963F38" w:rsidRDefault="00152170" w:rsidP="000313DD">
      <w:pPr>
        <w:pStyle w:val="TITU2"/>
      </w:pPr>
      <w:bookmarkStart w:id="322" w:name="_Toc329971037"/>
      <w:bookmarkStart w:id="323" w:name="_Toc404144"/>
      <w:r w:rsidRPr="00963F38">
        <w:t>290b</w:t>
      </w:r>
      <w:r w:rsidRPr="00963F38">
        <w:rPr>
          <w:rFonts w:hint="eastAsia"/>
        </w:rPr>
        <w:t>.</w:t>
      </w:r>
      <w:r w:rsidR="00B712BB" w:rsidRPr="00963F38">
        <w:t>3</w:t>
      </w:r>
      <w:r w:rsidRPr="00963F38">
        <w:t>. Materiales</w:t>
      </w:r>
      <w:bookmarkEnd w:id="322"/>
      <w:bookmarkEnd w:id="323"/>
    </w:p>
    <w:p w14:paraId="4BC5B6D9" w14:textId="77777777" w:rsidR="00152170" w:rsidRPr="00677962" w:rsidRDefault="00152170" w:rsidP="005C7A38">
      <w:pPr>
        <w:pStyle w:val="NORMAL12"/>
        <w:rPr>
          <w:lang w:val="es-ES"/>
        </w:rPr>
      </w:pPr>
      <w:r w:rsidRPr="00963F38">
        <w:rPr>
          <w:lang w:val="es-ES"/>
        </w:rPr>
        <w:t xml:space="preserve">La malla de refuerzo se fabricará a partir de filamentos de </w:t>
      </w:r>
      <w:proofErr w:type="spellStart"/>
      <w:r w:rsidRPr="00963F38">
        <w:rPr>
          <w:lang w:val="es-ES"/>
        </w:rPr>
        <w:t>Polivinil</w:t>
      </w:r>
      <w:proofErr w:type="spellEnd"/>
      <w:r w:rsidRPr="00963F38">
        <w:rPr>
          <w:lang w:val="es-ES"/>
        </w:rPr>
        <w:t xml:space="preserve"> alcohol (PVA) de alto modulo elástico con bajas propiedades de fluencia y una mínima relajación. A la malla se </w:t>
      </w:r>
      <w:r w:rsidRPr="00963F38">
        <w:rPr>
          <w:lang w:val="es-ES"/>
        </w:rPr>
        <w:t xml:space="preserve">le acoplará </w:t>
      </w:r>
      <w:r w:rsidR="00CE424A" w:rsidRPr="00963F38">
        <w:rPr>
          <w:lang w:val="es-ES"/>
        </w:rPr>
        <w:t>geotextil no</w:t>
      </w:r>
      <w:r w:rsidRPr="00963F38">
        <w:rPr>
          <w:lang w:val="es-ES"/>
        </w:rPr>
        <w:t xml:space="preserve"> tejido, fabricado con propileno. Al conjunto se le dará un acabado mediante un recubrimiento bituminoso.</w:t>
      </w:r>
    </w:p>
    <w:p w14:paraId="7B047A92" w14:textId="77777777" w:rsidR="00152170" w:rsidRPr="00677962" w:rsidRDefault="00152170" w:rsidP="005C7A38">
      <w:pPr>
        <w:pStyle w:val="NORMAL12"/>
        <w:rPr>
          <w:lang w:val="es-ES"/>
        </w:rPr>
      </w:pPr>
      <w:r w:rsidRPr="00677962">
        <w:rPr>
          <w:lang w:val="es-ES"/>
        </w:rPr>
        <w:t>El peso unitario del conjunto, de acuerdo con el ensayo normalizado UNE-EN 9864, es de 450 gr/m</w:t>
      </w:r>
      <w:r w:rsidRPr="003327CC">
        <w:rPr>
          <w:vertAlign w:val="superscript"/>
          <w:lang w:val="es-ES"/>
        </w:rPr>
        <w:t>2</w:t>
      </w:r>
      <w:r w:rsidRPr="00677962">
        <w:rPr>
          <w:lang w:val="es-ES"/>
        </w:rPr>
        <w:t>.</w:t>
      </w:r>
    </w:p>
    <w:p w14:paraId="75DF27C6" w14:textId="77777777" w:rsidR="00152170" w:rsidRPr="00677962" w:rsidRDefault="00152170" w:rsidP="005C7A38">
      <w:pPr>
        <w:pStyle w:val="NORMAL12"/>
        <w:rPr>
          <w:lang w:val="es-ES"/>
        </w:rPr>
      </w:pPr>
      <w:r w:rsidRPr="00677962">
        <w:rPr>
          <w:lang w:val="es-ES"/>
        </w:rPr>
        <w:t xml:space="preserve">El fabricante o proveedor del </w:t>
      </w:r>
      <w:proofErr w:type="spellStart"/>
      <w:r w:rsidRPr="00677962">
        <w:rPr>
          <w:lang w:val="es-ES"/>
        </w:rPr>
        <w:t>geocompuesto</w:t>
      </w:r>
      <w:proofErr w:type="spellEnd"/>
      <w:r w:rsidRPr="00677962">
        <w:rPr>
          <w:lang w:val="es-ES"/>
        </w:rPr>
        <w:t xml:space="preserve"> contará con sello de calidad del producto, conforme a las Normas UNE de aplicación y reconocido ante un organismo competente de acreditación.</w:t>
      </w:r>
    </w:p>
    <w:p w14:paraId="0D05D723" w14:textId="77777777" w:rsidR="00152170" w:rsidRPr="00677962" w:rsidRDefault="00152170" w:rsidP="005C7A38">
      <w:pPr>
        <w:pStyle w:val="NORMAL12"/>
        <w:rPr>
          <w:lang w:val="es-ES"/>
        </w:rPr>
      </w:pPr>
      <w:r w:rsidRPr="00677962">
        <w:rPr>
          <w:lang w:val="es-ES"/>
        </w:rPr>
        <w:t>Las propiedades de la malla serán:</w:t>
      </w:r>
    </w:p>
    <w:p w14:paraId="341B0519" w14:textId="77777777" w:rsidR="00152170" w:rsidRPr="00677962" w:rsidRDefault="00152170" w:rsidP="00E01981">
      <w:pPr>
        <w:pStyle w:val="NORMAL12"/>
        <w:numPr>
          <w:ilvl w:val="0"/>
          <w:numId w:val="108"/>
        </w:numPr>
        <w:rPr>
          <w:lang w:val="es-ES"/>
        </w:rPr>
      </w:pPr>
      <w:r w:rsidRPr="00677962">
        <w:rPr>
          <w:lang w:val="es-ES"/>
        </w:rPr>
        <w:t xml:space="preserve">Abertura de la malla 40x 40 </w:t>
      </w:r>
      <w:proofErr w:type="spellStart"/>
      <w:r w:rsidRPr="00677962">
        <w:rPr>
          <w:lang w:val="es-ES"/>
        </w:rPr>
        <w:t>mm.</w:t>
      </w:r>
      <w:proofErr w:type="spellEnd"/>
    </w:p>
    <w:p w14:paraId="0B9F7071" w14:textId="77777777" w:rsidR="00152170" w:rsidRPr="00677962" w:rsidRDefault="00152170" w:rsidP="00E01981">
      <w:pPr>
        <w:pStyle w:val="NORMAL12"/>
        <w:numPr>
          <w:ilvl w:val="0"/>
          <w:numId w:val="108"/>
        </w:numPr>
        <w:rPr>
          <w:lang w:val="es-ES"/>
        </w:rPr>
      </w:pPr>
      <w:r w:rsidRPr="00677962">
        <w:rPr>
          <w:lang w:val="es-ES"/>
        </w:rPr>
        <w:t xml:space="preserve">Las dimensiones </w:t>
      </w:r>
      <w:r w:rsidR="00677962" w:rsidRPr="00677962">
        <w:rPr>
          <w:lang w:val="es-ES"/>
        </w:rPr>
        <w:t xml:space="preserve">del rollo serán tales que </w:t>
      </w:r>
      <w:r w:rsidR="00D93E76" w:rsidRPr="00677962">
        <w:rPr>
          <w:lang w:val="es-ES"/>
        </w:rPr>
        <w:t>reduzcan</w:t>
      </w:r>
      <w:r w:rsidR="00677962" w:rsidRPr="00677962">
        <w:rPr>
          <w:lang w:val="es-ES"/>
        </w:rPr>
        <w:t xml:space="preserve"> el número de solapes según las zonas de actuación, y deben ser aprobadas por el director de obra.</w:t>
      </w:r>
    </w:p>
    <w:p w14:paraId="7EA96927" w14:textId="77777777" w:rsidR="00152170" w:rsidRPr="00677962" w:rsidRDefault="00152170" w:rsidP="00E01981">
      <w:pPr>
        <w:pStyle w:val="NORMAL12"/>
        <w:numPr>
          <w:ilvl w:val="0"/>
          <w:numId w:val="108"/>
        </w:numPr>
        <w:rPr>
          <w:lang w:val="es-ES"/>
        </w:rPr>
      </w:pPr>
      <w:r w:rsidRPr="00677962">
        <w:rPr>
          <w:lang w:val="es-ES"/>
        </w:rPr>
        <w:t>Resistencia térmica: superior a 190ºC</w:t>
      </w:r>
    </w:p>
    <w:p w14:paraId="4433EFA9" w14:textId="77777777" w:rsidR="00152170" w:rsidRPr="00677962" w:rsidRDefault="00152170" w:rsidP="00E01981">
      <w:pPr>
        <w:pStyle w:val="NORMAL12"/>
        <w:numPr>
          <w:ilvl w:val="0"/>
          <w:numId w:val="108"/>
        </w:numPr>
        <w:rPr>
          <w:lang w:val="es-ES"/>
        </w:rPr>
      </w:pPr>
      <w:r w:rsidRPr="00677962">
        <w:rPr>
          <w:lang w:val="es-ES"/>
        </w:rPr>
        <w:t>Contracción a 190ºC después de 15 minutos: aproximadamente 2%</w:t>
      </w:r>
    </w:p>
    <w:p w14:paraId="177DEEDA" w14:textId="77777777" w:rsidR="00152170" w:rsidRPr="00677962" w:rsidRDefault="00152170" w:rsidP="00E01981">
      <w:pPr>
        <w:pStyle w:val="NORMAL12"/>
        <w:numPr>
          <w:ilvl w:val="0"/>
          <w:numId w:val="108"/>
        </w:numPr>
        <w:rPr>
          <w:lang w:val="es-ES"/>
        </w:rPr>
      </w:pPr>
      <w:r w:rsidRPr="00677962">
        <w:rPr>
          <w:lang w:val="es-ES"/>
        </w:rPr>
        <w:t>La resistencia a tracción de acuerdo con el ensayo normalizado UNE-EN ISO 10319</w:t>
      </w:r>
      <w:r w:rsidR="00497B45" w:rsidRPr="00677962">
        <w:rPr>
          <w:lang w:val="es-ES"/>
        </w:rPr>
        <w:t>:2015</w:t>
      </w:r>
      <w:r w:rsidRPr="00677962">
        <w:rPr>
          <w:lang w:val="es-ES"/>
        </w:rPr>
        <w:t xml:space="preserve"> será:</w:t>
      </w:r>
    </w:p>
    <w:p w14:paraId="5540ED79" w14:textId="77777777" w:rsidR="00152170" w:rsidRPr="00677962" w:rsidRDefault="00152170" w:rsidP="00E01981">
      <w:pPr>
        <w:pStyle w:val="NORMAL12"/>
        <w:numPr>
          <w:ilvl w:val="1"/>
          <w:numId w:val="108"/>
        </w:numPr>
        <w:rPr>
          <w:lang w:val="es-ES"/>
        </w:rPr>
      </w:pPr>
      <w:r w:rsidRPr="00677962">
        <w:rPr>
          <w:lang w:val="es-ES"/>
        </w:rPr>
        <w:t>Dirección longitudinal ≥ 50 kN/m (±20)</w:t>
      </w:r>
    </w:p>
    <w:p w14:paraId="36E3115A" w14:textId="77777777" w:rsidR="00152170" w:rsidRPr="00677962" w:rsidRDefault="00152170" w:rsidP="00E01981">
      <w:pPr>
        <w:pStyle w:val="NORMAL12"/>
        <w:numPr>
          <w:ilvl w:val="1"/>
          <w:numId w:val="108"/>
        </w:numPr>
        <w:rPr>
          <w:lang w:val="es-ES"/>
        </w:rPr>
      </w:pPr>
      <w:r w:rsidRPr="00677962">
        <w:rPr>
          <w:lang w:val="es-ES"/>
        </w:rPr>
        <w:t>Dirección transversal ≥ 50 kN/m (±20)</w:t>
      </w:r>
    </w:p>
    <w:p w14:paraId="401D6DBB" w14:textId="77777777" w:rsidR="00152170" w:rsidRPr="00677962" w:rsidRDefault="00152170" w:rsidP="00E01981">
      <w:pPr>
        <w:pStyle w:val="NORMAL12"/>
        <w:numPr>
          <w:ilvl w:val="0"/>
          <w:numId w:val="108"/>
        </w:numPr>
        <w:rPr>
          <w:lang w:val="es-ES"/>
        </w:rPr>
      </w:pPr>
      <w:r w:rsidRPr="00677962">
        <w:rPr>
          <w:lang w:val="es-ES"/>
        </w:rPr>
        <w:t>La deformación para la tensión nominal de acuerdo con el ensayo normalizado UNE-EN ISO 10319</w:t>
      </w:r>
      <w:r w:rsidR="00497B45" w:rsidRPr="00677962">
        <w:rPr>
          <w:lang w:val="es-ES"/>
        </w:rPr>
        <w:t>:2015</w:t>
      </w:r>
      <w:r w:rsidRPr="00677962">
        <w:rPr>
          <w:lang w:val="es-ES"/>
        </w:rPr>
        <w:t xml:space="preserve"> es de:</w:t>
      </w:r>
    </w:p>
    <w:p w14:paraId="44077613" w14:textId="77777777" w:rsidR="00152170" w:rsidRPr="00677962" w:rsidRDefault="00152170" w:rsidP="00E01981">
      <w:pPr>
        <w:pStyle w:val="NORMAL12"/>
        <w:numPr>
          <w:ilvl w:val="1"/>
          <w:numId w:val="108"/>
        </w:numPr>
        <w:rPr>
          <w:lang w:val="es-ES"/>
        </w:rPr>
      </w:pPr>
      <w:r w:rsidRPr="00677962">
        <w:rPr>
          <w:lang w:val="es-ES"/>
        </w:rPr>
        <w:t>Dirección longitudinal mayor del 4% y menor o igual al 6%</w:t>
      </w:r>
    </w:p>
    <w:p w14:paraId="6D499A41" w14:textId="77777777" w:rsidR="00152170" w:rsidRPr="00677962" w:rsidRDefault="00152170" w:rsidP="00E01981">
      <w:pPr>
        <w:pStyle w:val="NORMAL12"/>
        <w:numPr>
          <w:ilvl w:val="1"/>
          <w:numId w:val="108"/>
        </w:numPr>
        <w:rPr>
          <w:lang w:val="es-ES"/>
        </w:rPr>
      </w:pPr>
      <w:r w:rsidRPr="00677962">
        <w:rPr>
          <w:lang w:val="es-ES"/>
        </w:rPr>
        <w:t>Dirección transversal mayor del 4% y menor o igual al 6%</w:t>
      </w:r>
    </w:p>
    <w:p w14:paraId="3BAFAA46" w14:textId="77777777" w:rsidR="00152170" w:rsidRPr="00677962" w:rsidRDefault="00152170" w:rsidP="00E01981">
      <w:pPr>
        <w:pStyle w:val="NORMAL12"/>
        <w:numPr>
          <w:ilvl w:val="0"/>
          <w:numId w:val="108"/>
        </w:numPr>
        <w:rPr>
          <w:lang w:val="es-ES"/>
        </w:rPr>
      </w:pPr>
      <w:r w:rsidRPr="00677962">
        <w:rPr>
          <w:lang w:val="es-ES"/>
        </w:rPr>
        <w:t>La resistencia a tracción al 3% de deformación de acuerdo con el ensayo normalizado UNE-EN ISO 10319</w:t>
      </w:r>
      <w:r w:rsidR="00497B45" w:rsidRPr="00677962">
        <w:rPr>
          <w:lang w:val="es-ES"/>
        </w:rPr>
        <w:t>:2015</w:t>
      </w:r>
      <w:r w:rsidRPr="00677962">
        <w:rPr>
          <w:lang w:val="es-ES"/>
        </w:rPr>
        <w:t>:</w:t>
      </w:r>
    </w:p>
    <w:p w14:paraId="5D24003E" w14:textId="77777777" w:rsidR="00152170" w:rsidRPr="00677962" w:rsidRDefault="00152170" w:rsidP="00E01981">
      <w:pPr>
        <w:pStyle w:val="NORMAL12"/>
        <w:numPr>
          <w:ilvl w:val="1"/>
          <w:numId w:val="108"/>
        </w:numPr>
        <w:rPr>
          <w:lang w:val="es-ES"/>
        </w:rPr>
      </w:pPr>
      <w:r w:rsidRPr="00677962">
        <w:rPr>
          <w:lang w:val="es-ES"/>
        </w:rPr>
        <w:t>Dirección longitudinal ≥ 20 kN/m.</w:t>
      </w:r>
    </w:p>
    <w:p w14:paraId="492A28EF" w14:textId="77777777" w:rsidR="00152170" w:rsidRPr="00677962" w:rsidRDefault="00152170" w:rsidP="00E01981">
      <w:pPr>
        <w:pStyle w:val="NORMAL12"/>
        <w:numPr>
          <w:ilvl w:val="1"/>
          <w:numId w:val="108"/>
        </w:numPr>
        <w:rPr>
          <w:lang w:val="es-ES"/>
        </w:rPr>
      </w:pPr>
      <w:r w:rsidRPr="00677962">
        <w:rPr>
          <w:lang w:val="es-ES"/>
        </w:rPr>
        <w:t>Dirección transversal ≥ 20 kN/m.</w:t>
      </w:r>
    </w:p>
    <w:p w14:paraId="71712D91" w14:textId="77777777" w:rsidR="00152170" w:rsidRPr="00677962" w:rsidRDefault="00152170" w:rsidP="00E01981">
      <w:pPr>
        <w:pStyle w:val="NORMAL12"/>
        <w:numPr>
          <w:ilvl w:val="0"/>
          <w:numId w:val="108"/>
        </w:numPr>
        <w:rPr>
          <w:lang w:val="es-ES"/>
        </w:rPr>
      </w:pPr>
      <w:r w:rsidRPr="00677962">
        <w:rPr>
          <w:lang w:val="es-ES"/>
        </w:rPr>
        <w:t xml:space="preserve">Las propiedades mecánicas del </w:t>
      </w:r>
      <w:proofErr w:type="spellStart"/>
      <w:r w:rsidRPr="00677962">
        <w:rPr>
          <w:lang w:val="es-ES"/>
        </w:rPr>
        <w:t>geocompuesto</w:t>
      </w:r>
      <w:proofErr w:type="spellEnd"/>
      <w:r w:rsidRPr="00677962">
        <w:rPr>
          <w:lang w:val="es-ES"/>
        </w:rPr>
        <w:t xml:space="preserve"> se verificarán </w:t>
      </w:r>
      <w:proofErr w:type="gramStart"/>
      <w:r w:rsidRPr="00677962">
        <w:rPr>
          <w:lang w:val="es-ES"/>
        </w:rPr>
        <w:t>de acuerdo a</w:t>
      </w:r>
      <w:proofErr w:type="gramEnd"/>
      <w:r w:rsidRPr="00677962">
        <w:rPr>
          <w:lang w:val="es-ES"/>
        </w:rPr>
        <w:t xml:space="preserve"> la normativa </w:t>
      </w:r>
      <w:r w:rsidR="005609C2">
        <w:rPr>
          <w:lang w:val="es-ES"/>
        </w:rPr>
        <w:t>UNE-</w:t>
      </w:r>
      <w:r w:rsidR="00677962" w:rsidRPr="00677962">
        <w:rPr>
          <w:lang w:val="es-ES"/>
        </w:rPr>
        <w:t>EN ISO 10319</w:t>
      </w:r>
      <w:r w:rsidRPr="00677962">
        <w:rPr>
          <w:lang w:val="es-ES"/>
        </w:rPr>
        <w:t>, con un control de calidad interno y otro externo realizado por un laboratorio homologado y autorizado.</w:t>
      </w:r>
    </w:p>
    <w:p w14:paraId="1DEDFE3A" w14:textId="77777777" w:rsidR="00152170" w:rsidRPr="00677962" w:rsidRDefault="00152170" w:rsidP="00E01981">
      <w:pPr>
        <w:pStyle w:val="NORMAL12"/>
        <w:numPr>
          <w:ilvl w:val="0"/>
          <w:numId w:val="108"/>
        </w:numPr>
        <w:rPr>
          <w:lang w:val="es-ES"/>
        </w:rPr>
      </w:pPr>
      <w:r w:rsidRPr="00677962">
        <w:rPr>
          <w:lang w:val="es-ES"/>
        </w:rPr>
        <w:lastRenderedPageBreak/>
        <w:t xml:space="preserve">La durabilidad es la propiedad por la cual el </w:t>
      </w:r>
      <w:proofErr w:type="spellStart"/>
      <w:r w:rsidRPr="00677962">
        <w:rPr>
          <w:lang w:val="es-ES"/>
        </w:rPr>
        <w:t>geocompuesto</w:t>
      </w:r>
      <w:proofErr w:type="spellEnd"/>
      <w:r w:rsidRPr="00677962">
        <w:rPr>
          <w:lang w:val="es-ES"/>
        </w:rPr>
        <w:t xml:space="preserve"> mantiene sus características con el paso del tiempo y habrá de evaluarse en el caso de que el </w:t>
      </w:r>
      <w:proofErr w:type="spellStart"/>
      <w:r w:rsidRPr="00677962">
        <w:rPr>
          <w:lang w:val="es-ES"/>
        </w:rPr>
        <w:t>geocompuesto</w:t>
      </w:r>
      <w:proofErr w:type="spellEnd"/>
      <w:r w:rsidRPr="00677962">
        <w:rPr>
          <w:lang w:val="es-ES"/>
        </w:rPr>
        <w:t xml:space="preserve"> esté en un ambiente que pueda considerar </w:t>
      </w:r>
      <w:proofErr w:type="gramStart"/>
      <w:r w:rsidRPr="00677962">
        <w:rPr>
          <w:lang w:val="es-ES"/>
        </w:rPr>
        <w:t>agresivo física</w:t>
      </w:r>
      <w:proofErr w:type="gramEnd"/>
      <w:r w:rsidRPr="00677962">
        <w:rPr>
          <w:lang w:val="es-ES"/>
        </w:rPr>
        <w:t xml:space="preserve">, química o bacteriológicamente. Se evalúa como la reducción medida en tanto por ciento de los valores de las propiedades iniciales, una vez que el </w:t>
      </w:r>
      <w:proofErr w:type="spellStart"/>
      <w:r w:rsidRPr="00677962">
        <w:rPr>
          <w:lang w:val="es-ES"/>
        </w:rPr>
        <w:t>geocompuesto</w:t>
      </w:r>
      <w:proofErr w:type="spellEnd"/>
      <w:r w:rsidRPr="00677962">
        <w:rPr>
          <w:lang w:val="es-ES"/>
        </w:rPr>
        <w:t xml:space="preserve"> ha sido sometido a la acción de los agentes a los que previsiblemente vaya a ser expuesto. El </w:t>
      </w:r>
      <w:r w:rsidR="00497B45" w:rsidRPr="00677962">
        <w:rPr>
          <w:lang w:val="es-ES"/>
        </w:rPr>
        <w:t>ensayo de comprobación será UNE-</w:t>
      </w:r>
      <w:r w:rsidRPr="00677962">
        <w:rPr>
          <w:lang w:val="es-ES"/>
        </w:rPr>
        <w:t>EN 12224</w:t>
      </w:r>
      <w:r w:rsidR="00497B45" w:rsidRPr="00677962">
        <w:rPr>
          <w:lang w:val="es-ES"/>
        </w:rPr>
        <w:t>:2001</w:t>
      </w:r>
      <w:r w:rsidRPr="00677962">
        <w:rPr>
          <w:lang w:val="es-ES"/>
        </w:rPr>
        <w:t xml:space="preserve"> para la resistencia a la intemperie.</w:t>
      </w:r>
    </w:p>
    <w:p w14:paraId="4E3EB5EF" w14:textId="77777777" w:rsidR="00152170" w:rsidRPr="00C10376" w:rsidRDefault="00152170" w:rsidP="00E01981">
      <w:pPr>
        <w:pStyle w:val="NORMAL12"/>
        <w:numPr>
          <w:ilvl w:val="0"/>
          <w:numId w:val="108"/>
        </w:numPr>
        <w:rPr>
          <w:lang w:val="es-ES"/>
        </w:rPr>
      </w:pPr>
      <w:r w:rsidRPr="00C10376">
        <w:rPr>
          <w:lang w:val="es-ES"/>
        </w:rPr>
        <w:t xml:space="preserve">La malla será resistente a los disolventes y a los materiales </w:t>
      </w:r>
      <w:proofErr w:type="spellStart"/>
      <w:r w:rsidRPr="00C10376">
        <w:rPr>
          <w:lang w:val="es-ES"/>
        </w:rPr>
        <w:t>descongelantes</w:t>
      </w:r>
      <w:proofErr w:type="spellEnd"/>
      <w:r w:rsidRPr="00C10376">
        <w:rPr>
          <w:lang w:val="es-ES"/>
        </w:rPr>
        <w:t>.</w:t>
      </w:r>
    </w:p>
    <w:p w14:paraId="56D67ADF" w14:textId="77777777" w:rsidR="00152170" w:rsidRPr="00C10376" w:rsidRDefault="00152170" w:rsidP="000313DD">
      <w:pPr>
        <w:pStyle w:val="TITU2"/>
      </w:pPr>
      <w:bookmarkStart w:id="324" w:name="_Toc329971038"/>
      <w:bookmarkStart w:id="325" w:name="_Toc404145"/>
      <w:r w:rsidRPr="00C10376">
        <w:t>290b</w:t>
      </w:r>
      <w:r w:rsidRPr="00C10376">
        <w:rPr>
          <w:rFonts w:hint="eastAsia"/>
        </w:rPr>
        <w:t>.</w:t>
      </w:r>
      <w:r w:rsidR="003367B5">
        <w:t>4</w:t>
      </w:r>
      <w:r w:rsidRPr="00C10376">
        <w:t>.  Ejecución</w:t>
      </w:r>
      <w:bookmarkEnd w:id="324"/>
      <w:r w:rsidR="003367B5">
        <w:t xml:space="preserve"> de las obras</w:t>
      </w:r>
      <w:bookmarkEnd w:id="325"/>
    </w:p>
    <w:p w14:paraId="7D34B02C" w14:textId="77777777" w:rsidR="00152170" w:rsidRPr="00C10376" w:rsidRDefault="00152170" w:rsidP="005C7A38">
      <w:pPr>
        <w:pStyle w:val="NORMAL12"/>
        <w:rPr>
          <w:i/>
          <w:u w:val="single"/>
          <w:lang w:val="es-ES"/>
        </w:rPr>
      </w:pPr>
      <w:r w:rsidRPr="00C10376">
        <w:rPr>
          <w:i/>
          <w:u w:val="single"/>
          <w:lang w:val="es-ES"/>
        </w:rPr>
        <w:t>Suministro, transporte y manipulación.</w:t>
      </w:r>
    </w:p>
    <w:p w14:paraId="69578F27" w14:textId="77777777" w:rsidR="00152170" w:rsidRPr="00C10376" w:rsidRDefault="00152170" w:rsidP="005C7A38">
      <w:pPr>
        <w:pStyle w:val="NORMAL12"/>
        <w:rPr>
          <w:lang w:val="es-ES"/>
        </w:rPr>
      </w:pPr>
      <w:r w:rsidRPr="00C10376">
        <w:rPr>
          <w:lang w:val="es-ES"/>
        </w:rPr>
        <w:t xml:space="preserve">Los </w:t>
      </w:r>
      <w:proofErr w:type="spellStart"/>
      <w:r w:rsidRPr="00C10376">
        <w:rPr>
          <w:lang w:val="es-ES"/>
        </w:rPr>
        <w:t>geocompuestos</w:t>
      </w:r>
      <w:proofErr w:type="spellEnd"/>
      <w:r w:rsidRPr="00C10376">
        <w:rPr>
          <w:lang w:val="es-ES"/>
        </w:rPr>
        <w:t xml:space="preserve"> se suministrarán, normalmente</w:t>
      </w:r>
      <w:r w:rsidR="00CE424A" w:rsidRPr="00C10376">
        <w:rPr>
          <w:lang w:val="es-ES"/>
        </w:rPr>
        <w:t>, en</w:t>
      </w:r>
      <w:r w:rsidRPr="00C10376">
        <w:rPr>
          <w:lang w:val="es-ES"/>
        </w:rPr>
        <w:t xml:space="preserve"> bobinas o rollos. Estos deberán llevar un embalaje opaco para evitar el deterioro por la luz solar, e irán debidamente identificados y</w:t>
      </w:r>
      <w:r w:rsidR="00497B45" w:rsidRPr="00C10376">
        <w:rPr>
          <w:lang w:val="es-ES"/>
        </w:rPr>
        <w:t xml:space="preserve"> etiquetados según la norma UNE-</w:t>
      </w:r>
      <w:r w:rsidRPr="00C10376">
        <w:rPr>
          <w:lang w:val="es-ES"/>
        </w:rPr>
        <w:t>EN ISO 10320</w:t>
      </w:r>
      <w:r w:rsidR="00497B45" w:rsidRPr="00C10376">
        <w:rPr>
          <w:lang w:val="es-ES"/>
        </w:rPr>
        <w:t>:1999</w:t>
      </w:r>
      <w:r w:rsidRPr="00C10376">
        <w:rPr>
          <w:lang w:val="es-ES"/>
        </w:rPr>
        <w:t>. De acuerdo con ésta, cada rollo o unidad vendrá marcado al menos con:</w:t>
      </w:r>
    </w:p>
    <w:p w14:paraId="5F1BBF15" w14:textId="77777777" w:rsidR="00152170" w:rsidRPr="00C10376" w:rsidRDefault="00152170" w:rsidP="00E01981">
      <w:pPr>
        <w:pStyle w:val="NORMAL12"/>
        <w:numPr>
          <w:ilvl w:val="0"/>
          <w:numId w:val="108"/>
        </w:numPr>
        <w:rPr>
          <w:lang w:val="es-ES"/>
        </w:rPr>
      </w:pPr>
      <w:r w:rsidRPr="00C10376">
        <w:rPr>
          <w:lang w:val="es-ES"/>
        </w:rPr>
        <w:t>Datos del fabricante.</w:t>
      </w:r>
    </w:p>
    <w:p w14:paraId="467E6265" w14:textId="77777777" w:rsidR="00152170" w:rsidRPr="00C10376" w:rsidRDefault="00152170" w:rsidP="00E01981">
      <w:pPr>
        <w:pStyle w:val="NORMAL12"/>
        <w:numPr>
          <w:ilvl w:val="0"/>
          <w:numId w:val="108"/>
        </w:numPr>
        <w:rPr>
          <w:lang w:val="es-ES"/>
        </w:rPr>
      </w:pPr>
      <w:r w:rsidRPr="00C10376">
        <w:rPr>
          <w:lang w:val="es-ES"/>
        </w:rPr>
        <w:t>Nombre del producto</w:t>
      </w:r>
    </w:p>
    <w:p w14:paraId="79918764" w14:textId="77777777" w:rsidR="00152170" w:rsidRPr="00797F10" w:rsidRDefault="00152170" w:rsidP="00E01981">
      <w:pPr>
        <w:pStyle w:val="NORMAL12"/>
        <w:numPr>
          <w:ilvl w:val="0"/>
          <w:numId w:val="108"/>
        </w:numPr>
        <w:rPr>
          <w:lang w:val="es-ES"/>
        </w:rPr>
      </w:pPr>
      <w:r w:rsidRPr="00797F10">
        <w:rPr>
          <w:lang w:val="es-ES"/>
        </w:rPr>
        <w:t>Tipo de producto</w:t>
      </w:r>
    </w:p>
    <w:p w14:paraId="5F040B33" w14:textId="77777777" w:rsidR="00152170" w:rsidRPr="00797F10" w:rsidRDefault="00152170" w:rsidP="00E01981">
      <w:pPr>
        <w:pStyle w:val="NORMAL12"/>
        <w:numPr>
          <w:ilvl w:val="0"/>
          <w:numId w:val="108"/>
        </w:numPr>
        <w:rPr>
          <w:lang w:val="es-ES"/>
        </w:rPr>
      </w:pPr>
      <w:r w:rsidRPr="00797F10">
        <w:rPr>
          <w:lang w:val="es-ES"/>
        </w:rPr>
        <w:t>Identificación del rollo o unidad.</w:t>
      </w:r>
    </w:p>
    <w:p w14:paraId="392E97BE" w14:textId="77777777" w:rsidR="00152170" w:rsidRPr="00797F10" w:rsidRDefault="00152170" w:rsidP="00E01981">
      <w:pPr>
        <w:pStyle w:val="NORMAL12"/>
        <w:numPr>
          <w:ilvl w:val="0"/>
          <w:numId w:val="108"/>
        </w:numPr>
        <w:rPr>
          <w:lang w:val="es-ES"/>
        </w:rPr>
      </w:pPr>
      <w:r w:rsidRPr="00797F10">
        <w:rPr>
          <w:lang w:val="es-ES"/>
        </w:rPr>
        <w:t>Masa bruta nominal del rollo o unidad, en kilogramos (Kg)</w:t>
      </w:r>
    </w:p>
    <w:p w14:paraId="4B80234C" w14:textId="77777777" w:rsidR="00152170" w:rsidRPr="00797F10" w:rsidRDefault="00152170" w:rsidP="00E01981">
      <w:pPr>
        <w:pStyle w:val="NORMAL12"/>
        <w:numPr>
          <w:ilvl w:val="0"/>
          <w:numId w:val="108"/>
        </w:numPr>
        <w:rPr>
          <w:lang w:val="es-ES"/>
        </w:rPr>
      </w:pPr>
      <w:r w:rsidRPr="00797F10">
        <w:rPr>
          <w:lang w:val="es-ES"/>
        </w:rPr>
        <w:t>Dimensiones del rollo o unidad desempaquetado (del material, no del paquete)</w:t>
      </w:r>
    </w:p>
    <w:p w14:paraId="0DD6FB32" w14:textId="77777777" w:rsidR="00152170" w:rsidRPr="00797F10" w:rsidRDefault="00152170" w:rsidP="00E01981">
      <w:pPr>
        <w:pStyle w:val="NORMAL12"/>
        <w:numPr>
          <w:ilvl w:val="0"/>
          <w:numId w:val="108"/>
        </w:numPr>
        <w:rPr>
          <w:lang w:val="es-ES"/>
        </w:rPr>
      </w:pPr>
      <w:r w:rsidRPr="00797F10">
        <w:rPr>
          <w:lang w:val="es-ES"/>
        </w:rPr>
        <w:t>Masa por unidad de superficie, en gramos por metro cuadrado (gr/m</w:t>
      </w:r>
      <w:r w:rsidRPr="003327CC">
        <w:rPr>
          <w:vertAlign w:val="superscript"/>
          <w:lang w:val="es-ES"/>
        </w:rPr>
        <w:t>2</w:t>
      </w:r>
      <w:r w:rsidRPr="00797F10">
        <w:rPr>
          <w:lang w:val="es-ES"/>
        </w:rPr>
        <w:t>)</w:t>
      </w:r>
    </w:p>
    <w:p w14:paraId="0B6F65D0" w14:textId="77777777" w:rsidR="00152170" w:rsidRPr="00797F10" w:rsidRDefault="00152170" w:rsidP="00E01981">
      <w:pPr>
        <w:pStyle w:val="NORMAL12"/>
        <w:numPr>
          <w:ilvl w:val="0"/>
          <w:numId w:val="108"/>
        </w:numPr>
        <w:rPr>
          <w:lang w:val="es-ES"/>
        </w:rPr>
      </w:pPr>
      <w:r w:rsidRPr="00797F10">
        <w:rPr>
          <w:lang w:val="es-ES"/>
        </w:rPr>
        <w:t>Principales tipos de polímeros utilizados.</w:t>
      </w:r>
    </w:p>
    <w:p w14:paraId="4BA19C53" w14:textId="77777777" w:rsidR="00152170" w:rsidRPr="00797F10" w:rsidRDefault="00152170" w:rsidP="005C7A38">
      <w:pPr>
        <w:pStyle w:val="NORMAL12"/>
        <w:rPr>
          <w:lang w:val="es-ES"/>
        </w:rPr>
      </w:pPr>
      <w:r w:rsidRPr="00797F10">
        <w:rPr>
          <w:lang w:val="es-ES"/>
        </w:rPr>
        <w:t xml:space="preserve">El nombre y tipo de </w:t>
      </w:r>
      <w:proofErr w:type="spellStart"/>
      <w:r w:rsidRPr="00797F10">
        <w:rPr>
          <w:lang w:val="es-ES"/>
        </w:rPr>
        <w:t>geocompuestos</w:t>
      </w:r>
      <w:proofErr w:type="spellEnd"/>
      <w:r w:rsidRPr="00797F10">
        <w:rPr>
          <w:lang w:val="es-ES"/>
        </w:rPr>
        <w:t xml:space="preserve"> estarán estampados de manera visible e indeleble en el propio material a intervalos de cinco metros, tal y como indica la norma, para que pueda ser identificado una vez eliminado el embalaje opaco. Es recomendable que quede estampada la partida de producción y la identificación del rollo o unidad. Se deberá identificar en cada rollo o unidad la fecha de fabricación.</w:t>
      </w:r>
    </w:p>
    <w:p w14:paraId="11F70C19" w14:textId="77777777" w:rsidR="00152170" w:rsidRPr="00797F10" w:rsidRDefault="00152170" w:rsidP="005C7A38">
      <w:pPr>
        <w:pStyle w:val="NORMAL12"/>
        <w:rPr>
          <w:lang w:val="es-ES"/>
        </w:rPr>
      </w:pPr>
      <w:r w:rsidRPr="00797F10">
        <w:rPr>
          <w:lang w:val="es-ES"/>
        </w:rPr>
        <w:t>En el transporte, carga y descarga se comprobará que no se produzcan daños mecánicos en las capas exteriores de los rollos (pinchazos, cortes, etc.)</w:t>
      </w:r>
    </w:p>
    <w:p w14:paraId="4D97DCCB" w14:textId="77777777" w:rsidR="00152170" w:rsidRPr="00797F10" w:rsidRDefault="00152170" w:rsidP="005C7A38">
      <w:pPr>
        <w:pStyle w:val="NORMAL12"/>
        <w:rPr>
          <w:lang w:val="es-ES"/>
        </w:rPr>
      </w:pPr>
      <w:r w:rsidRPr="00797F10">
        <w:rPr>
          <w:lang w:val="es-ES"/>
        </w:rPr>
        <w:t>El almacenamiento en obra se realizará en lugares lisos, secos, limpios y libres de objetos cortantes y punzantes. Podrían apilarse uno encima de otro con una altura máxima de 3 y paralelos para evitar deformaciones. No se almacenará ningún rollo o fracción que haya sido dañado o no esté debidamente identificado.</w:t>
      </w:r>
    </w:p>
    <w:p w14:paraId="55FE3D0C" w14:textId="77777777" w:rsidR="00152170" w:rsidRPr="00797F10" w:rsidRDefault="00152170" w:rsidP="005C7A38">
      <w:pPr>
        <w:pStyle w:val="NORMAL12"/>
        <w:rPr>
          <w:lang w:val="es-ES"/>
        </w:rPr>
      </w:pPr>
      <w:r w:rsidRPr="00797F10">
        <w:rPr>
          <w:lang w:val="es-ES"/>
        </w:rPr>
        <w:t xml:space="preserve">Si es necesario el almacenamiento en periodos superiores a quince días, se respetarán escrupulosamente las indicaciones del fabricante, especialmente en lo relativo a la protección frente a la acción directa de los rayos solares, mediante techado o tapado con lonas ancladas o sujetas. Debe ser protegido de las altas temperaturas para que el material bituminoso del </w:t>
      </w:r>
      <w:proofErr w:type="spellStart"/>
      <w:r w:rsidRPr="00797F10">
        <w:rPr>
          <w:lang w:val="es-ES"/>
        </w:rPr>
        <w:t>geocompuesto</w:t>
      </w:r>
      <w:proofErr w:type="spellEnd"/>
      <w:r w:rsidRPr="00797F10">
        <w:rPr>
          <w:lang w:val="es-ES"/>
        </w:rPr>
        <w:t xml:space="preserve"> no se adhiera entre </w:t>
      </w:r>
      <w:proofErr w:type="spellStart"/>
      <w:r w:rsidRPr="00797F10">
        <w:rPr>
          <w:lang w:val="es-ES"/>
        </w:rPr>
        <w:t>si</w:t>
      </w:r>
      <w:proofErr w:type="spellEnd"/>
      <w:r w:rsidRPr="00797F10">
        <w:rPr>
          <w:lang w:val="es-ES"/>
        </w:rPr>
        <w:t xml:space="preserve"> y dificulte el desenrollado.</w:t>
      </w:r>
    </w:p>
    <w:p w14:paraId="1578E561" w14:textId="77777777" w:rsidR="00152170" w:rsidRPr="00797F10" w:rsidRDefault="00152170" w:rsidP="005C7A38">
      <w:pPr>
        <w:pStyle w:val="NORMAL12"/>
        <w:rPr>
          <w:lang w:val="es-ES"/>
        </w:rPr>
      </w:pPr>
      <w:r w:rsidRPr="00797F10">
        <w:rPr>
          <w:lang w:val="es-ES"/>
        </w:rPr>
        <w:t xml:space="preserve">En el momento de la colocación, el </w:t>
      </w:r>
      <w:proofErr w:type="gramStart"/>
      <w:r w:rsidR="00D1455C">
        <w:rPr>
          <w:lang w:val="es-ES"/>
        </w:rPr>
        <w:t>D</w:t>
      </w:r>
      <w:r w:rsidRPr="00797F10">
        <w:rPr>
          <w:lang w:val="es-ES"/>
        </w:rPr>
        <w:t>irector</w:t>
      </w:r>
      <w:proofErr w:type="gramEnd"/>
      <w:r w:rsidRPr="00797F10">
        <w:rPr>
          <w:lang w:val="es-ES"/>
        </w:rPr>
        <w:t xml:space="preserve"> de </w:t>
      </w:r>
      <w:r w:rsidR="00D1455C">
        <w:rPr>
          <w:lang w:val="es-ES"/>
        </w:rPr>
        <w:t>O</w:t>
      </w:r>
      <w:r w:rsidRPr="00797F10">
        <w:rPr>
          <w:lang w:val="es-ES"/>
        </w:rPr>
        <w:t>bra ordenará la eliminación de las capas más exteriores, si estas muestran síntomas de deterioros, y en el resto se podrán pedir los ensayos necesarios para asegurar su calidad. No se colocará ningún rollo o fracción que en el momento de la instalación no resulte identificado por su marcado original.</w:t>
      </w:r>
    </w:p>
    <w:p w14:paraId="5A0482EB" w14:textId="77777777" w:rsidR="005C7A38" w:rsidRPr="00797F10" w:rsidRDefault="00152170" w:rsidP="005C7A38">
      <w:pPr>
        <w:pStyle w:val="NORMAL12"/>
        <w:rPr>
          <w:b/>
          <w:i/>
          <w:u w:val="single"/>
          <w:lang w:val="es-ES"/>
        </w:rPr>
      </w:pPr>
      <w:r w:rsidRPr="00797F10">
        <w:rPr>
          <w:b/>
          <w:i/>
          <w:u w:val="single"/>
          <w:lang w:val="es-ES"/>
        </w:rPr>
        <w:t>Puesta en obra.</w:t>
      </w:r>
    </w:p>
    <w:p w14:paraId="7A1F528D" w14:textId="77777777" w:rsidR="00152170" w:rsidRPr="00797F10" w:rsidRDefault="005C7A38" w:rsidP="005C7A38">
      <w:pPr>
        <w:pStyle w:val="NORMAL12"/>
        <w:rPr>
          <w:i/>
          <w:u w:val="single"/>
          <w:lang w:val="es-ES"/>
        </w:rPr>
      </w:pPr>
      <w:r w:rsidRPr="00797F10">
        <w:rPr>
          <w:i/>
          <w:u w:val="single"/>
          <w:lang w:val="es-ES"/>
        </w:rPr>
        <w:t xml:space="preserve"> </w:t>
      </w:r>
      <w:r w:rsidR="00152170" w:rsidRPr="00797F10">
        <w:rPr>
          <w:i/>
          <w:u w:val="single"/>
          <w:lang w:val="es-ES"/>
        </w:rPr>
        <w:t>Preparación de la superficie.</w:t>
      </w:r>
    </w:p>
    <w:p w14:paraId="1EAEDB9E" w14:textId="77777777" w:rsidR="00152170" w:rsidRPr="00797F10" w:rsidRDefault="00152170" w:rsidP="005C7A38">
      <w:pPr>
        <w:pStyle w:val="NORMAL12"/>
        <w:rPr>
          <w:lang w:val="es-ES"/>
        </w:rPr>
      </w:pPr>
      <w:r w:rsidRPr="00797F10">
        <w:rPr>
          <w:lang w:val="es-ES"/>
        </w:rPr>
        <w:t xml:space="preserve">La utilización de un tipo de </w:t>
      </w:r>
      <w:proofErr w:type="spellStart"/>
      <w:r w:rsidRPr="00797F10">
        <w:rPr>
          <w:lang w:val="es-ES"/>
        </w:rPr>
        <w:t>geocompuesto</w:t>
      </w:r>
      <w:proofErr w:type="spellEnd"/>
      <w:r w:rsidRPr="00797F10">
        <w:rPr>
          <w:lang w:val="es-ES"/>
        </w:rPr>
        <w:t xml:space="preserve"> determinado condiciona la preparación de la superficie, según las especificaciones del fabricante.</w:t>
      </w:r>
    </w:p>
    <w:p w14:paraId="352C018F" w14:textId="77777777" w:rsidR="00152170" w:rsidRPr="00797F10" w:rsidRDefault="00152170" w:rsidP="005C7A38">
      <w:pPr>
        <w:pStyle w:val="NORMAL12"/>
        <w:rPr>
          <w:lang w:val="es-ES"/>
        </w:rPr>
      </w:pPr>
      <w:r w:rsidRPr="00797F10">
        <w:rPr>
          <w:lang w:val="es-ES"/>
        </w:rPr>
        <w:t xml:space="preserve">Este tipo de </w:t>
      </w:r>
      <w:proofErr w:type="spellStart"/>
      <w:r w:rsidRPr="00797F10">
        <w:rPr>
          <w:lang w:val="es-ES"/>
        </w:rPr>
        <w:t>Geocompuesto</w:t>
      </w:r>
      <w:proofErr w:type="spellEnd"/>
      <w:r w:rsidRPr="00797F10">
        <w:rPr>
          <w:lang w:val="es-ES"/>
        </w:rPr>
        <w:t xml:space="preserve"> puede colocarse directamente sobre </w:t>
      </w:r>
      <w:r w:rsidR="00EA0DCF">
        <w:rPr>
          <w:lang w:val="es-ES"/>
        </w:rPr>
        <w:t>el firme de hormigón p</w:t>
      </w:r>
      <w:r w:rsidRPr="00797F10">
        <w:rPr>
          <w:lang w:val="es-ES"/>
        </w:rPr>
        <w:t>revio riego de adherencia. Si se permite la ejecución sobre superficies fresadas dada la alta resistencia mecánica.</w:t>
      </w:r>
    </w:p>
    <w:p w14:paraId="74449786" w14:textId="77777777" w:rsidR="00152170" w:rsidRPr="00797F10" w:rsidRDefault="00152170" w:rsidP="005C7A38">
      <w:pPr>
        <w:pStyle w:val="NORMAL12"/>
        <w:rPr>
          <w:lang w:val="es-ES"/>
        </w:rPr>
      </w:pPr>
      <w:r w:rsidRPr="00797F10">
        <w:rPr>
          <w:lang w:val="es-ES"/>
        </w:rPr>
        <w:t xml:space="preserve">No es necesario tratar grietas que tengan una </w:t>
      </w:r>
      <w:r w:rsidRPr="00AF65D3">
        <w:rPr>
          <w:lang w:val="es-ES"/>
        </w:rPr>
        <w:t xml:space="preserve">anchura inferior a 3 </w:t>
      </w:r>
      <w:proofErr w:type="spellStart"/>
      <w:r w:rsidRPr="00AF65D3">
        <w:rPr>
          <w:lang w:val="es-ES"/>
        </w:rPr>
        <w:t>mm.</w:t>
      </w:r>
      <w:proofErr w:type="spellEnd"/>
      <w:r w:rsidRPr="00AF65D3">
        <w:rPr>
          <w:lang w:val="es-ES"/>
        </w:rPr>
        <w:t xml:space="preserve"> Las grietas mayores se deberá</w:t>
      </w:r>
      <w:r w:rsidR="00020F26" w:rsidRPr="00AF65D3">
        <w:rPr>
          <w:lang w:val="es-ES"/>
        </w:rPr>
        <w:t>n limpiar y sellar mediante</w:t>
      </w:r>
      <w:r w:rsidR="00AB7AFA">
        <w:rPr>
          <w:lang w:val="es-ES"/>
        </w:rPr>
        <w:t xml:space="preserve"> un tratamiento bituminoso aceptado por el </w:t>
      </w:r>
      <w:proofErr w:type="gramStart"/>
      <w:r w:rsidR="00AB7AFA">
        <w:rPr>
          <w:lang w:val="es-ES"/>
        </w:rPr>
        <w:t>Director</w:t>
      </w:r>
      <w:proofErr w:type="gramEnd"/>
      <w:r w:rsidR="00AB7AFA">
        <w:rPr>
          <w:lang w:val="es-ES"/>
        </w:rPr>
        <w:t xml:space="preserve"> de Obra.</w:t>
      </w:r>
    </w:p>
    <w:p w14:paraId="0675E1F3" w14:textId="77777777" w:rsidR="00152170" w:rsidRPr="00797F10" w:rsidRDefault="00152170" w:rsidP="005C7A38">
      <w:pPr>
        <w:pStyle w:val="NORMAL12"/>
        <w:rPr>
          <w:lang w:val="es-ES"/>
        </w:rPr>
      </w:pPr>
      <w:r w:rsidRPr="00797F10">
        <w:rPr>
          <w:lang w:val="es-ES"/>
        </w:rPr>
        <w:t>La superficie debe estar seca y libre de material suelto para garantizar la adhesión entre las capas de asfalto, retirando el material suelto.</w:t>
      </w:r>
    </w:p>
    <w:p w14:paraId="7369DAE6" w14:textId="77777777" w:rsidR="00152170" w:rsidRPr="00797F10" w:rsidRDefault="00152170" w:rsidP="005C7A38">
      <w:pPr>
        <w:pStyle w:val="NORMAL12"/>
        <w:rPr>
          <w:lang w:val="es-ES"/>
        </w:rPr>
      </w:pPr>
      <w:r w:rsidRPr="00797F10">
        <w:rPr>
          <w:lang w:val="es-ES"/>
        </w:rPr>
        <w:t>La superficie, una vez lista se debe regar de manera uniforme con una cantidad aproximada de 1,8 a 2,3 kg/ m</w:t>
      </w:r>
      <w:r w:rsidRPr="003327CC">
        <w:rPr>
          <w:vertAlign w:val="superscript"/>
          <w:lang w:val="es-ES"/>
        </w:rPr>
        <w:t>2</w:t>
      </w:r>
      <w:r w:rsidRPr="00797F10">
        <w:rPr>
          <w:lang w:val="es-ES"/>
        </w:rPr>
        <w:t xml:space="preserve"> de una emulsión catiónica rápida con un 70% de betún, (la cantidad de betún residual tiene que ser alrededor de 1,3 a 1</w:t>
      </w:r>
      <w:r w:rsidR="00D1455C">
        <w:rPr>
          <w:lang w:val="es-ES"/>
        </w:rPr>
        <w:t>,6 kg/m</w:t>
      </w:r>
      <w:r w:rsidR="00D1455C" w:rsidRPr="003327CC">
        <w:rPr>
          <w:vertAlign w:val="superscript"/>
          <w:lang w:val="es-ES"/>
        </w:rPr>
        <w:t>2</w:t>
      </w:r>
      <w:r w:rsidR="00D1455C">
        <w:rPr>
          <w:lang w:val="es-ES"/>
        </w:rPr>
        <w:t xml:space="preserve">). La cantidad del riego </w:t>
      </w:r>
      <w:r w:rsidRPr="00797F10">
        <w:rPr>
          <w:lang w:val="es-ES"/>
        </w:rPr>
        <w:t>se determinará in situ de acuerdo con las condiciones del lugar</w:t>
      </w:r>
      <w:r w:rsidR="00D1455C">
        <w:rPr>
          <w:lang w:val="es-ES"/>
        </w:rPr>
        <w:t xml:space="preserve">, para conseguir la </w:t>
      </w:r>
      <w:r w:rsidR="00D1455C">
        <w:rPr>
          <w:lang w:val="es-ES"/>
        </w:rPr>
        <w:lastRenderedPageBreak/>
        <w:t>cantidad de betún residual establecida entre 1,3 y 1,6 kg/m</w:t>
      </w:r>
      <w:r w:rsidR="00D1455C">
        <w:rPr>
          <w:vertAlign w:val="superscript"/>
          <w:lang w:val="es-ES"/>
        </w:rPr>
        <w:t>2</w:t>
      </w:r>
      <w:r w:rsidRPr="00797F10">
        <w:rPr>
          <w:lang w:val="es-ES"/>
        </w:rPr>
        <w:t>. En superficies rugosas esta dosis ha de incrementarse. El grado de impregnación del tejido ha de ser comprobado constantemente y, si es necesario, deberá ser ajustado para garantizar la adhesión entre las capas de asfalto.</w:t>
      </w:r>
    </w:p>
    <w:p w14:paraId="3EFFAF87" w14:textId="77777777" w:rsidR="00152170" w:rsidRPr="00797F10" w:rsidRDefault="00152170" w:rsidP="005C7A38">
      <w:pPr>
        <w:pStyle w:val="NORMAL12"/>
        <w:rPr>
          <w:lang w:val="es-ES"/>
        </w:rPr>
      </w:pPr>
      <w:r w:rsidRPr="00797F10">
        <w:rPr>
          <w:lang w:val="es-ES"/>
        </w:rPr>
        <w:t xml:space="preserve">Hay que esperar a que la emulsión rompa, antes de instalar el </w:t>
      </w:r>
      <w:proofErr w:type="spellStart"/>
      <w:r w:rsidRPr="00797F10">
        <w:rPr>
          <w:lang w:val="es-ES"/>
        </w:rPr>
        <w:t>geocompuesto</w:t>
      </w:r>
      <w:proofErr w:type="spellEnd"/>
      <w:r w:rsidRPr="00797F10">
        <w:rPr>
          <w:lang w:val="es-ES"/>
        </w:rPr>
        <w:t xml:space="preserve">; la rotura se manifiesta por un cambio de color de marrón a negro, lo que indica que el </w:t>
      </w:r>
      <w:proofErr w:type="gramStart"/>
      <w:r w:rsidRPr="00797F10">
        <w:rPr>
          <w:lang w:val="es-ES"/>
        </w:rPr>
        <w:t>todo el agua</w:t>
      </w:r>
      <w:proofErr w:type="gramEnd"/>
      <w:r w:rsidRPr="00797F10">
        <w:rPr>
          <w:lang w:val="es-ES"/>
        </w:rPr>
        <w:t xml:space="preserve"> de la emulsión se ha evaporado.</w:t>
      </w:r>
    </w:p>
    <w:p w14:paraId="71FD9F30" w14:textId="77777777" w:rsidR="00152170" w:rsidRPr="00797F10" w:rsidRDefault="00152170" w:rsidP="005C7A38">
      <w:pPr>
        <w:pStyle w:val="NORMAL12"/>
        <w:rPr>
          <w:i/>
          <w:u w:val="single"/>
          <w:lang w:val="es-ES"/>
        </w:rPr>
      </w:pPr>
      <w:r w:rsidRPr="00797F10">
        <w:rPr>
          <w:i/>
          <w:u w:val="single"/>
          <w:lang w:val="es-ES"/>
        </w:rPr>
        <w:t xml:space="preserve">Instalación del </w:t>
      </w:r>
      <w:proofErr w:type="spellStart"/>
      <w:r w:rsidRPr="00797F10">
        <w:rPr>
          <w:i/>
          <w:u w:val="single"/>
          <w:lang w:val="es-ES"/>
        </w:rPr>
        <w:t>g</w:t>
      </w:r>
      <w:r w:rsidR="0092179C" w:rsidRPr="00797F10">
        <w:rPr>
          <w:i/>
          <w:u w:val="single"/>
          <w:lang w:val="es-ES"/>
        </w:rPr>
        <w:t>e</w:t>
      </w:r>
      <w:r w:rsidRPr="00797F10">
        <w:rPr>
          <w:i/>
          <w:u w:val="single"/>
          <w:lang w:val="es-ES"/>
        </w:rPr>
        <w:t>ocompuesto</w:t>
      </w:r>
      <w:proofErr w:type="spellEnd"/>
      <w:r w:rsidRPr="00797F10">
        <w:rPr>
          <w:i/>
          <w:u w:val="single"/>
          <w:lang w:val="es-ES"/>
        </w:rPr>
        <w:t>.</w:t>
      </w:r>
    </w:p>
    <w:p w14:paraId="29D0E9C7" w14:textId="77777777" w:rsidR="00152170" w:rsidRPr="00797F10" w:rsidRDefault="00152170" w:rsidP="005C7A38">
      <w:pPr>
        <w:pStyle w:val="NORMAL12"/>
        <w:rPr>
          <w:lang w:val="es-ES"/>
        </w:rPr>
      </w:pPr>
      <w:r w:rsidRPr="00797F10">
        <w:rPr>
          <w:lang w:val="es-ES"/>
        </w:rPr>
        <w:t xml:space="preserve">El </w:t>
      </w:r>
      <w:proofErr w:type="spellStart"/>
      <w:r w:rsidRPr="00797F10">
        <w:rPr>
          <w:lang w:val="es-ES"/>
        </w:rPr>
        <w:t>geocompuesto</w:t>
      </w:r>
      <w:proofErr w:type="spellEnd"/>
      <w:r w:rsidRPr="00797F10">
        <w:rPr>
          <w:lang w:val="es-ES"/>
        </w:rPr>
        <w:t xml:space="preserve"> de refuerzo de asfalto debe extenderse de manera plana y sin arrugas, colocando siempre el geotextil en la parte inferior en </w:t>
      </w:r>
      <w:r w:rsidR="00CE424A" w:rsidRPr="00797F10">
        <w:rPr>
          <w:lang w:val="es-ES"/>
        </w:rPr>
        <w:t>contacto con</w:t>
      </w:r>
      <w:r w:rsidRPr="00797F10">
        <w:rPr>
          <w:lang w:val="es-ES"/>
        </w:rPr>
        <w:t xml:space="preserve"> la superficie. </w:t>
      </w:r>
    </w:p>
    <w:p w14:paraId="4EA53C27" w14:textId="77777777" w:rsidR="00152170" w:rsidRPr="00797F10" w:rsidRDefault="00152170" w:rsidP="005C7A38">
      <w:pPr>
        <w:pStyle w:val="NORMAL12"/>
        <w:rPr>
          <w:lang w:val="es-ES"/>
        </w:rPr>
      </w:pPr>
      <w:r w:rsidRPr="00797F10">
        <w:rPr>
          <w:lang w:val="es-ES"/>
        </w:rPr>
        <w:t>Se utilizará accesorio montado sobre retroexcavadora o pala mixta que permita el giro de los rollos para el fácil extendido de los mismos.</w:t>
      </w:r>
    </w:p>
    <w:p w14:paraId="34017B3C" w14:textId="77777777" w:rsidR="00152170" w:rsidRPr="00797F10" w:rsidRDefault="00152170" w:rsidP="005C7A38">
      <w:pPr>
        <w:pStyle w:val="NORMAL12"/>
        <w:rPr>
          <w:lang w:val="es-ES"/>
        </w:rPr>
      </w:pPr>
      <w:r w:rsidRPr="00797F10">
        <w:rPr>
          <w:lang w:val="es-ES"/>
        </w:rPr>
        <w:t xml:space="preserve">El inicio del rollo puede fijarse de forma que se facilite el desenrollado de los mismos, pero de tal forma que no se creen irregularidades, ni puntos singulares que puedan dañar el </w:t>
      </w:r>
      <w:proofErr w:type="spellStart"/>
      <w:r w:rsidRPr="00797F10">
        <w:rPr>
          <w:lang w:val="es-ES"/>
        </w:rPr>
        <w:t>geocompuesto</w:t>
      </w:r>
      <w:proofErr w:type="spellEnd"/>
      <w:r w:rsidRPr="00797F10">
        <w:rPr>
          <w:lang w:val="es-ES"/>
        </w:rPr>
        <w:t>.</w:t>
      </w:r>
    </w:p>
    <w:p w14:paraId="37E1892F" w14:textId="77777777" w:rsidR="00152170" w:rsidRPr="00797F10" w:rsidRDefault="00152170" w:rsidP="005C7A38">
      <w:pPr>
        <w:pStyle w:val="NORMAL12"/>
        <w:rPr>
          <w:lang w:val="es-ES"/>
        </w:rPr>
      </w:pPr>
      <w:r w:rsidRPr="00797F10">
        <w:rPr>
          <w:lang w:val="es-ES"/>
        </w:rPr>
        <w:t xml:space="preserve">El extendido se puede hacer de manera manual o </w:t>
      </w:r>
      <w:proofErr w:type="gramStart"/>
      <w:r w:rsidRPr="00797F10">
        <w:rPr>
          <w:lang w:val="es-ES"/>
        </w:rPr>
        <w:t>mecánica</w:t>
      </w:r>
      <w:proofErr w:type="gramEnd"/>
      <w:r w:rsidRPr="00797F10">
        <w:rPr>
          <w:lang w:val="es-ES"/>
        </w:rPr>
        <w:t xml:space="preserve"> pero evitando que se levante del suelo mientras se desenrolla.</w:t>
      </w:r>
    </w:p>
    <w:p w14:paraId="6258A87D" w14:textId="77777777" w:rsidR="00152170" w:rsidRPr="003327CC" w:rsidRDefault="00152170" w:rsidP="005C7A38">
      <w:pPr>
        <w:pStyle w:val="NORMAL12"/>
        <w:rPr>
          <w:lang w:val="es-ES"/>
        </w:rPr>
      </w:pPr>
      <w:r w:rsidRPr="00797F10">
        <w:rPr>
          <w:lang w:val="es-ES"/>
        </w:rPr>
        <w:t xml:space="preserve">El solape longitudinal de los rollos debe ser de 25 cm. La parte final del rollo anterior se coloca por encima de la parte inicial del siguiente, para evitar que el camión o la </w:t>
      </w:r>
      <w:r w:rsidRPr="003327CC">
        <w:rPr>
          <w:lang w:val="es-ES"/>
        </w:rPr>
        <w:t xml:space="preserve">extendedora levanten el </w:t>
      </w:r>
      <w:proofErr w:type="spellStart"/>
      <w:r w:rsidRPr="003327CC">
        <w:rPr>
          <w:lang w:val="es-ES"/>
        </w:rPr>
        <w:t>geocompuesto</w:t>
      </w:r>
      <w:proofErr w:type="spellEnd"/>
      <w:r w:rsidRPr="003327CC">
        <w:rPr>
          <w:lang w:val="es-ES"/>
        </w:rPr>
        <w:t>.</w:t>
      </w:r>
    </w:p>
    <w:p w14:paraId="7E44AA22" w14:textId="77777777" w:rsidR="00152170" w:rsidRPr="00797F10" w:rsidRDefault="00152170" w:rsidP="005C7A38">
      <w:pPr>
        <w:pStyle w:val="NORMAL12"/>
        <w:rPr>
          <w:lang w:val="es-ES"/>
        </w:rPr>
      </w:pPr>
      <w:r w:rsidRPr="003327CC">
        <w:rPr>
          <w:lang w:val="es-ES"/>
        </w:rPr>
        <w:t>El solape de los rollos en sentido transversal debe ser de 15 cm, los solapes deberían tratarse con un mínimo de 0,15 kg/ m</w:t>
      </w:r>
      <w:r w:rsidRPr="003327CC">
        <w:rPr>
          <w:vertAlign w:val="superscript"/>
          <w:lang w:val="es-ES"/>
        </w:rPr>
        <w:t>2</w:t>
      </w:r>
      <w:r w:rsidRPr="003327CC">
        <w:rPr>
          <w:lang w:val="es-ES"/>
        </w:rPr>
        <w:t xml:space="preserve"> de emulsión bituminosa.</w:t>
      </w:r>
    </w:p>
    <w:p w14:paraId="2B3FDBAE" w14:textId="77777777" w:rsidR="00152170" w:rsidRPr="00797F10" w:rsidRDefault="00152170" w:rsidP="005C7A38">
      <w:pPr>
        <w:pStyle w:val="NORMAL12"/>
        <w:rPr>
          <w:lang w:val="es-ES"/>
        </w:rPr>
      </w:pPr>
      <w:r w:rsidRPr="00797F10">
        <w:rPr>
          <w:lang w:val="es-ES"/>
        </w:rPr>
        <w:t xml:space="preserve">En los bordes laterales de extensión del </w:t>
      </w:r>
      <w:proofErr w:type="spellStart"/>
      <w:r w:rsidRPr="00797F10">
        <w:rPr>
          <w:lang w:val="es-ES"/>
        </w:rPr>
        <w:t>geocompuesto</w:t>
      </w:r>
      <w:proofErr w:type="spellEnd"/>
      <w:r w:rsidRPr="00797F10">
        <w:rPr>
          <w:lang w:val="es-ES"/>
        </w:rPr>
        <w:t xml:space="preserve"> se mantendrá al menos un resguardo </w:t>
      </w:r>
      <w:r w:rsidR="00CE424A" w:rsidRPr="00797F10">
        <w:rPr>
          <w:lang w:val="es-ES"/>
        </w:rPr>
        <w:t>de 75</w:t>
      </w:r>
      <w:r w:rsidRPr="00797F10">
        <w:rPr>
          <w:lang w:val="es-ES"/>
        </w:rPr>
        <w:t xml:space="preserve"> cm a cada lado de la superficie que se desea cubrir.</w:t>
      </w:r>
    </w:p>
    <w:p w14:paraId="4BDB6978" w14:textId="77777777" w:rsidR="00152170" w:rsidRPr="00797F10" w:rsidRDefault="00152170" w:rsidP="005C7A38">
      <w:pPr>
        <w:pStyle w:val="NORMAL12"/>
        <w:rPr>
          <w:lang w:val="es-ES"/>
        </w:rPr>
      </w:pPr>
      <w:r w:rsidRPr="00797F10">
        <w:rPr>
          <w:lang w:val="es-ES"/>
        </w:rPr>
        <w:t xml:space="preserve">En las zonas con curvas, el </w:t>
      </w:r>
      <w:proofErr w:type="spellStart"/>
      <w:r w:rsidRPr="00797F10">
        <w:rPr>
          <w:lang w:val="es-ES"/>
        </w:rPr>
        <w:t>geocompuesto</w:t>
      </w:r>
      <w:proofErr w:type="spellEnd"/>
      <w:r w:rsidRPr="00797F10">
        <w:rPr>
          <w:lang w:val="es-ES"/>
        </w:rPr>
        <w:t xml:space="preserve"> se corta en trozos y se extiende solapándose, la longitud de los trozos dependerá del radio de la curva</w:t>
      </w:r>
      <w:r w:rsidR="00CE424A" w:rsidRPr="00797F10">
        <w:rPr>
          <w:lang w:val="es-ES"/>
        </w:rPr>
        <w:t>, formando</w:t>
      </w:r>
      <w:r w:rsidRPr="00797F10">
        <w:rPr>
          <w:lang w:val="es-ES"/>
        </w:rPr>
        <w:t xml:space="preserve"> una poligonal.</w:t>
      </w:r>
    </w:p>
    <w:p w14:paraId="3B69F078" w14:textId="77777777" w:rsidR="00152170" w:rsidRPr="00797F10" w:rsidRDefault="00152170" w:rsidP="005C7A38">
      <w:pPr>
        <w:pStyle w:val="NORMAL12"/>
        <w:rPr>
          <w:lang w:val="es-ES"/>
        </w:rPr>
      </w:pPr>
      <w:r w:rsidRPr="00797F10">
        <w:rPr>
          <w:lang w:val="es-ES"/>
        </w:rPr>
        <w:t xml:space="preserve">No se permite la circulación de tráfico por encima del </w:t>
      </w:r>
      <w:proofErr w:type="spellStart"/>
      <w:r w:rsidRPr="00797F10">
        <w:rPr>
          <w:lang w:val="es-ES"/>
        </w:rPr>
        <w:t>geocompuesto</w:t>
      </w:r>
      <w:proofErr w:type="spellEnd"/>
      <w:r w:rsidRPr="00797F10">
        <w:rPr>
          <w:lang w:val="es-ES"/>
        </w:rPr>
        <w:t xml:space="preserve"> hasta que no se haya extendido la capa de asfalto superior.</w:t>
      </w:r>
    </w:p>
    <w:p w14:paraId="6A3AF732" w14:textId="77777777" w:rsidR="00152170" w:rsidRPr="00797F10" w:rsidRDefault="003F4580" w:rsidP="00CE424A">
      <w:pPr>
        <w:pStyle w:val="NORMAL12"/>
        <w:keepNext/>
        <w:rPr>
          <w:i/>
          <w:u w:val="single"/>
          <w:lang w:val="es-ES"/>
        </w:rPr>
      </w:pPr>
      <w:r w:rsidRPr="00797F10">
        <w:rPr>
          <w:i/>
          <w:u w:val="single"/>
          <w:lang w:val="es-ES"/>
        </w:rPr>
        <w:t xml:space="preserve">Extendido de firme </w:t>
      </w:r>
      <w:r w:rsidR="00E0632A">
        <w:rPr>
          <w:i/>
          <w:u w:val="single"/>
          <w:lang w:val="es-ES"/>
        </w:rPr>
        <w:t>con mezcla bituminosa</w:t>
      </w:r>
    </w:p>
    <w:p w14:paraId="732A1D91" w14:textId="77777777" w:rsidR="00152170" w:rsidRPr="00797F10" w:rsidRDefault="00152170" w:rsidP="005C7A38">
      <w:pPr>
        <w:pStyle w:val="NORMAL12"/>
        <w:rPr>
          <w:lang w:val="es-ES"/>
        </w:rPr>
      </w:pPr>
      <w:r w:rsidRPr="00797F10">
        <w:rPr>
          <w:lang w:val="es-ES"/>
        </w:rPr>
        <w:t xml:space="preserve">La utilización de un tipo de </w:t>
      </w:r>
      <w:proofErr w:type="spellStart"/>
      <w:r w:rsidRPr="00797F10">
        <w:rPr>
          <w:lang w:val="es-ES"/>
        </w:rPr>
        <w:t>geocompuesto</w:t>
      </w:r>
      <w:proofErr w:type="spellEnd"/>
      <w:r w:rsidRPr="00797F10">
        <w:rPr>
          <w:lang w:val="es-ES"/>
        </w:rPr>
        <w:t xml:space="preserve"> determinado condiciona el proceso de </w:t>
      </w:r>
      <w:r w:rsidR="003F4580" w:rsidRPr="00797F10">
        <w:rPr>
          <w:lang w:val="es-ES"/>
        </w:rPr>
        <w:t>extendido de firme</w:t>
      </w:r>
      <w:r w:rsidRPr="00797F10">
        <w:rPr>
          <w:lang w:val="es-ES"/>
        </w:rPr>
        <w:t>, según las especificaciones del fabricante.</w:t>
      </w:r>
    </w:p>
    <w:p w14:paraId="31BD2CCD" w14:textId="77777777" w:rsidR="00152170" w:rsidRPr="00797F10" w:rsidRDefault="00152170" w:rsidP="005C7A38">
      <w:pPr>
        <w:pStyle w:val="NORMAL12"/>
        <w:rPr>
          <w:lang w:val="es-ES"/>
        </w:rPr>
      </w:pPr>
      <w:r w:rsidRPr="00797F10">
        <w:rPr>
          <w:lang w:val="es-ES"/>
        </w:rPr>
        <w:t xml:space="preserve">La capa de </w:t>
      </w:r>
      <w:proofErr w:type="spellStart"/>
      <w:r w:rsidRPr="00797F10">
        <w:rPr>
          <w:lang w:val="es-ES"/>
        </w:rPr>
        <w:t>Geocompuesto</w:t>
      </w:r>
      <w:proofErr w:type="spellEnd"/>
      <w:r w:rsidRPr="00797F10">
        <w:rPr>
          <w:lang w:val="es-ES"/>
        </w:rPr>
        <w:t xml:space="preserve"> debe quedar cubierta al menos con una capa de mezcla bituminosa de espesor superior a 4 cm tras la compactación.</w:t>
      </w:r>
    </w:p>
    <w:p w14:paraId="416C8851" w14:textId="77777777" w:rsidR="00152170" w:rsidRPr="00797F10" w:rsidRDefault="00152170" w:rsidP="005C7A38">
      <w:pPr>
        <w:pStyle w:val="NORMAL12"/>
        <w:rPr>
          <w:lang w:val="es-ES"/>
        </w:rPr>
      </w:pPr>
      <w:r w:rsidRPr="003327CC">
        <w:rPr>
          <w:lang w:val="es-ES"/>
        </w:rPr>
        <w:t>Se debe a</w:t>
      </w:r>
      <w:r w:rsidR="00060B58" w:rsidRPr="003327CC">
        <w:rPr>
          <w:lang w:val="es-ES"/>
        </w:rPr>
        <w:t>glomerar</w:t>
      </w:r>
      <w:r w:rsidRPr="003327CC">
        <w:rPr>
          <w:lang w:val="es-ES"/>
        </w:rPr>
        <w:t xml:space="preserve"> tras la instalación del </w:t>
      </w:r>
      <w:proofErr w:type="spellStart"/>
      <w:r w:rsidRPr="003327CC">
        <w:rPr>
          <w:lang w:val="es-ES"/>
        </w:rPr>
        <w:t>geocompuesto</w:t>
      </w:r>
      <w:proofErr w:type="spellEnd"/>
      <w:r w:rsidRPr="003327CC">
        <w:rPr>
          <w:lang w:val="es-ES"/>
        </w:rPr>
        <w:t xml:space="preserve"> sin sufrir retrasos</w:t>
      </w:r>
      <w:r w:rsidR="00D1455C" w:rsidRPr="003327CC">
        <w:rPr>
          <w:lang w:val="es-ES"/>
        </w:rPr>
        <w:t>, una vez producida la rotura de la emulsión</w:t>
      </w:r>
      <w:r w:rsidRPr="003327CC">
        <w:rPr>
          <w:lang w:val="es-ES"/>
        </w:rPr>
        <w:t>. La base inferior y el refuerzo deben estar secos. Si llueve durante la instalación se recomienda no continuar con la misma y cubrir el material para evitar que se moje.</w:t>
      </w:r>
    </w:p>
    <w:p w14:paraId="7BB66F14" w14:textId="77777777" w:rsidR="00152170" w:rsidRPr="00797F10" w:rsidRDefault="00152170" w:rsidP="005C7A38">
      <w:pPr>
        <w:pStyle w:val="NORMAL12"/>
        <w:rPr>
          <w:lang w:val="es-ES"/>
        </w:rPr>
      </w:pPr>
      <w:r w:rsidRPr="00797F10">
        <w:rPr>
          <w:lang w:val="es-ES"/>
        </w:rPr>
        <w:t>Se debe evitar la formación de arrugas o pliegues, aunque pequeñas arrugas no afectan al comportamiento del refuerzo.</w:t>
      </w:r>
    </w:p>
    <w:p w14:paraId="20D0426F" w14:textId="77777777" w:rsidR="00152170" w:rsidRPr="00797F10" w:rsidRDefault="00152170" w:rsidP="005C7A38">
      <w:pPr>
        <w:pStyle w:val="NORMAL12"/>
        <w:rPr>
          <w:lang w:val="es-ES"/>
        </w:rPr>
      </w:pPr>
      <w:r w:rsidRPr="00797F10">
        <w:rPr>
          <w:lang w:val="es-ES"/>
        </w:rPr>
        <w:t xml:space="preserve">Las juntas de asfaltado no deben coincidir con los solapes de extendido del </w:t>
      </w:r>
      <w:proofErr w:type="spellStart"/>
      <w:r w:rsidRPr="00797F10">
        <w:rPr>
          <w:lang w:val="es-ES"/>
        </w:rPr>
        <w:t>geocompuesto</w:t>
      </w:r>
      <w:proofErr w:type="spellEnd"/>
      <w:r w:rsidRPr="00797F10">
        <w:rPr>
          <w:lang w:val="es-ES"/>
        </w:rPr>
        <w:t>.</w:t>
      </w:r>
    </w:p>
    <w:p w14:paraId="70917303" w14:textId="77777777" w:rsidR="00152170" w:rsidRPr="00797F10" w:rsidRDefault="00152170" w:rsidP="005C7A38">
      <w:pPr>
        <w:pStyle w:val="NORMAL12"/>
        <w:rPr>
          <w:lang w:val="es-ES"/>
        </w:rPr>
      </w:pPr>
      <w:r w:rsidRPr="00797F10">
        <w:rPr>
          <w:lang w:val="es-ES"/>
        </w:rPr>
        <w:t xml:space="preserve">La compactación inicial de la nueva capa de mezcla </w:t>
      </w:r>
      <w:proofErr w:type="gramStart"/>
      <w:r w:rsidRPr="00797F10">
        <w:rPr>
          <w:lang w:val="es-ES"/>
        </w:rPr>
        <w:t>bituminosa,</w:t>
      </w:r>
      <w:proofErr w:type="gramEnd"/>
      <w:r w:rsidRPr="00797F10">
        <w:rPr>
          <w:lang w:val="es-ES"/>
        </w:rPr>
        <w:t xml:space="preserve"> debe realizarse con compactadores ligeros. Los rodillos con vibración resultan negativos en capas menores de 8 cm. El grado de compactación de la nueva capa se consigue siguiendo los procedimientos habituales.</w:t>
      </w:r>
    </w:p>
    <w:p w14:paraId="16F6405D" w14:textId="77777777" w:rsidR="00152170" w:rsidRPr="00797F10" w:rsidRDefault="00152170" w:rsidP="005C7A38">
      <w:pPr>
        <w:pStyle w:val="NORMAL12"/>
        <w:rPr>
          <w:lang w:val="es-ES"/>
        </w:rPr>
      </w:pPr>
      <w:r w:rsidRPr="00797F10">
        <w:rPr>
          <w:lang w:val="es-ES"/>
        </w:rPr>
        <w:t>Es recomendable que los camiones avancen por sí mismo y no empujados por la máquina extendedora.</w:t>
      </w:r>
    </w:p>
    <w:p w14:paraId="000FF672" w14:textId="77777777" w:rsidR="00152170" w:rsidRPr="00C563C3" w:rsidRDefault="00152170" w:rsidP="000313DD">
      <w:pPr>
        <w:pStyle w:val="TITU2"/>
      </w:pPr>
      <w:bookmarkStart w:id="326" w:name="_Toc329971039"/>
      <w:bookmarkStart w:id="327" w:name="_Toc404146"/>
      <w:r w:rsidRPr="00C563C3">
        <w:t>290</w:t>
      </w:r>
      <w:r w:rsidR="00B712BB" w:rsidRPr="00C563C3">
        <w:t>b</w:t>
      </w:r>
      <w:r w:rsidRPr="00C563C3">
        <w:rPr>
          <w:rFonts w:hint="eastAsia"/>
        </w:rPr>
        <w:t>.</w:t>
      </w:r>
      <w:r w:rsidR="003367B5">
        <w:t>5</w:t>
      </w:r>
      <w:r w:rsidRPr="00C563C3">
        <w:t>. Recepción y Control de calidad</w:t>
      </w:r>
      <w:bookmarkEnd w:id="326"/>
      <w:bookmarkEnd w:id="327"/>
    </w:p>
    <w:p w14:paraId="7F6E31E7" w14:textId="77777777" w:rsidR="00152170" w:rsidRPr="00797F10" w:rsidRDefault="00152170" w:rsidP="0092179C">
      <w:pPr>
        <w:pStyle w:val="NORMAL12"/>
        <w:rPr>
          <w:i/>
          <w:u w:val="single"/>
          <w:lang w:val="es-ES"/>
        </w:rPr>
      </w:pPr>
      <w:r w:rsidRPr="00797F10">
        <w:rPr>
          <w:i/>
          <w:u w:val="single"/>
          <w:lang w:val="es-ES"/>
        </w:rPr>
        <w:t>De los materiales.</w:t>
      </w:r>
    </w:p>
    <w:p w14:paraId="417D577E" w14:textId="77777777" w:rsidR="00152170" w:rsidRPr="00797F10" w:rsidRDefault="00152170" w:rsidP="005C7A38">
      <w:pPr>
        <w:pStyle w:val="NORMAL12"/>
        <w:rPr>
          <w:lang w:val="es-ES"/>
        </w:rPr>
      </w:pPr>
      <w:r w:rsidRPr="00797F10">
        <w:rPr>
          <w:lang w:val="es-ES"/>
        </w:rPr>
        <w:t xml:space="preserve">La garantía de calidad de los </w:t>
      </w:r>
      <w:proofErr w:type="spellStart"/>
      <w:r w:rsidRPr="00797F10">
        <w:rPr>
          <w:lang w:val="es-ES"/>
        </w:rPr>
        <w:t>geocompuestos</w:t>
      </w:r>
      <w:proofErr w:type="spellEnd"/>
      <w:r w:rsidRPr="00797F10">
        <w:rPr>
          <w:lang w:val="es-ES"/>
        </w:rPr>
        <w:t xml:space="preserve"> empleados en la obra será exigible en cualquier circunstancia al Contratista adjudicatario de las obras.</w:t>
      </w:r>
    </w:p>
    <w:p w14:paraId="00924588" w14:textId="77777777" w:rsidR="00152170" w:rsidRPr="00797F10" w:rsidRDefault="00152170" w:rsidP="005C7A38">
      <w:pPr>
        <w:pStyle w:val="NORMAL12"/>
        <w:rPr>
          <w:lang w:val="es-ES"/>
        </w:rPr>
      </w:pPr>
      <w:r w:rsidRPr="00797F10">
        <w:rPr>
          <w:lang w:val="es-ES"/>
        </w:rPr>
        <w:t xml:space="preserve">El contratista debe aportar la relación de empresas suministradores del material a emplear, así como la marca comercial, o referencia que dichas empresas dan a cada uno de los materiales y las características técnicas de los mismos. </w:t>
      </w:r>
    </w:p>
    <w:p w14:paraId="06823432" w14:textId="77777777" w:rsidR="00152170" w:rsidRPr="003D5CD2" w:rsidRDefault="00152170" w:rsidP="005C7A38">
      <w:pPr>
        <w:pStyle w:val="NORMAL12"/>
        <w:rPr>
          <w:lang w:val="es-ES"/>
        </w:rPr>
      </w:pPr>
      <w:r w:rsidRPr="00797F10">
        <w:rPr>
          <w:lang w:val="es-ES"/>
        </w:rPr>
        <w:t xml:space="preserve">Las características técnicas exigibles al </w:t>
      </w:r>
      <w:proofErr w:type="spellStart"/>
      <w:r w:rsidRPr="00797F10">
        <w:rPr>
          <w:lang w:val="es-ES"/>
        </w:rPr>
        <w:t>geocompuesto</w:t>
      </w:r>
      <w:proofErr w:type="spellEnd"/>
      <w:r w:rsidRPr="00797F10">
        <w:rPr>
          <w:lang w:val="es-ES"/>
        </w:rPr>
        <w:t xml:space="preserve"> serán las especificadas en el Pliego de prescripciones técnicas particulares, y en todo caso se realizarán las relativas a masa por </w:t>
      </w:r>
      <w:r w:rsidRPr="003D5CD2">
        <w:rPr>
          <w:lang w:val="es-ES"/>
        </w:rPr>
        <w:t>unidad de superficie, UNE</w:t>
      </w:r>
      <w:r w:rsidR="005609C2">
        <w:rPr>
          <w:lang w:val="es-ES"/>
        </w:rPr>
        <w:t>-</w:t>
      </w:r>
      <w:r w:rsidRPr="003D5CD2">
        <w:rPr>
          <w:lang w:val="es-ES"/>
        </w:rPr>
        <w:t>EN 965, resistencia a tracción y alar</w:t>
      </w:r>
      <w:r w:rsidR="00497B45" w:rsidRPr="003D5CD2">
        <w:rPr>
          <w:lang w:val="es-ES"/>
        </w:rPr>
        <w:t xml:space="preserve">gamiento bajo </w:t>
      </w:r>
      <w:r w:rsidR="00497B45" w:rsidRPr="003D5CD2">
        <w:rPr>
          <w:lang w:val="es-ES"/>
        </w:rPr>
        <w:lastRenderedPageBreak/>
        <w:t>carga máxima, UNE-</w:t>
      </w:r>
      <w:r w:rsidRPr="003D5CD2">
        <w:rPr>
          <w:lang w:val="es-ES"/>
        </w:rPr>
        <w:t>EN ISO 10319</w:t>
      </w:r>
      <w:r w:rsidR="00497B45" w:rsidRPr="003D5CD2">
        <w:rPr>
          <w:lang w:val="es-ES"/>
        </w:rPr>
        <w:t>:2015</w:t>
      </w:r>
      <w:r w:rsidRPr="003D5CD2">
        <w:rPr>
          <w:lang w:val="es-ES"/>
        </w:rPr>
        <w:t xml:space="preserve"> y perforación dinámica por caída de cono, UNE</w:t>
      </w:r>
      <w:r w:rsidR="005609C2">
        <w:rPr>
          <w:lang w:val="es-ES"/>
        </w:rPr>
        <w:t>-</w:t>
      </w:r>
      <w:r w:rsidRPr="003D5CD2">
        <w:rPr>
          <w:lang w:val="es-ES"/>
        </w:rPr>
        <w:t xml:space="preserve">EN 918 o cualquier otra que el </w:t>
      </w:r>
      <w:proofErr w:type="gramStart"/>
      <w:r w:rsidRPr="003D5CD2">
        <w:rPr>
          <w:lang w:val="es-ES"/>
        </w:rPr>
        <w:t>Director</w:t>
      </w:r>
      <w:proofErr w:type="gramEnd"/>
      <w:r w:rsidRPr="003D5CD2">
        <w:rPr>
          <w:lang w:val="es-ES"/>
        </w:rPr>
        <w:t xml:space="preserve"> de Obra desee verificar.</w:t>
      </w:r>
    </w:p>
    <w:p w14:paraId="4C192813" w14:textId="77777777" w:rsidR="00152170" w:rsidRPr="00797F10" w:rsidRDefault="00152170" w:rsidP="005C7A38">
      <w:pPr>
        <w:pStyle w:val="NORMAL12"/>
        <w:rPr>
          <w:lang w:val="es-ES"/>
        </w:rPr>
      </w:pPr>
      <w:r w:rsidRPr="003D5CD2">
        <w:rPr>
          <w:lang w:val="es-ES"/>
        </w:rPr>
        <w:t>Los productos sólo serán aprobados si los valores</w:t>
      </w:r>
      <w:r w:rsidRPr="00797F10">
        <w:rPr>
          <w:lang w:val="es-ES"/>
        </w:rPr>
        <w:t xml:space="preserve"> exigidos cumplen con lo exigido en el Pliego de condiciones técnicas particulares, quedando garantizados por lo valores nominales y sus tolerancias, y deben ir acompañados del certificado acreditativo de homologación de marca y sello de cal</w:t>
      </w:r>
      <w:r w:rsidR="00D1455C">
        <w:rPr>
          <w:lang w:val="es-ES"/>
        </w:rPr>
        <w:t xml:space="preserve">idad. Una vez aprobados por la </w:t>
      </w:r>
      <w:r w:rsidR="00D1455C" w:rsidRPr="00140246">
        <w:rPr>
          <w:lang w:val="es-ES"/>
        </w:rPr>
        <w:t>D</w:t>
      </w:r>
      <w:r w:rsidRPr="00140246">
        <w:rPr>
          <w:lang w:val="es-ES"/>
        </w:rPr>
        <w:t xml:space="preserve">irección de </w:t>
      </w:r>
      <w:r w:rsidR="00D1455C" w:rsidRPr="00140246">
        <w:rPr>
          <w:lang w:val="es-ES"/>
        </w:rPr>
        <w:t>O</w:t>
      </w:r>
      <w:r w:rsidRPr="00140246">
        <w:rPr>
          <w:lang w:val="es-ES"/>
        </w:rPr>
        <w:t>bra, estos valores pasan a ser exigibles y su incumplimiento puede dar lugar al rechazo de</w:t>
      </w:r>
      <w:r w:rsidRPr="00797F10">
        <w:rPr>
          <w:lang w:val="es-ES"/>
        </w:rPr>
        <w:t xml:space="preserve"> lotes o partidas.</w:t>
      </w:r>
    </w:p>
    <w:p w14:paraId="7C2331EE" w14:textId="77777777" w:rsidR="00152170" w:rsidRPr="00797F10" w:rsidRDefault="00152170" w:rsidP="005C7A38">
      <w:pPr>
        <w:pStyle w:val="NORMAL12"/>
        <w:rPr>
          <w:lang w:val="es-ES"/>
        </w:rPr>
      </w:pPr>
      <w:r w:rsidRPr="00797F10">
        <w:rPr>
          <w:lang w:val="es-ES"/>
        </w:rPr>
        <w:t>Para llevar a cabo el control de calidad se define el tamaño del lote de material que se aceptará o rechazará en bloque. El lote corresponderá a elementos de una misma partida, marca, clase o uso y nunca estará compuesto por más de 30 rollos, ni por más de diez mil metros cuadrados.</w:t>
      </w:r>
    </w:p>
    <w:p w14:paraId="6D3F6DEC" w14:textId="77777777" w:rsidR="00152170" w:rsidRPr="00797F10" w:rsidRDefault="00152170" w:rsidP="005C7A38">
      <w:pPr>
        <w:pStyle w:val="NORMAL12"/>
        <w:rPr>
          <w:lang w:val="es-ES"/>
        </w:rPr>
      </w:pPr>
      <w:r w:rsidRPr="00797F10">
        <w:rPr>
          <w:lang w:val="es-ES"/>
        </w:rPr>
        <w:t>Se elegirán al azar cinco rollos o unidades sobre los que se harán los ensayos que correspondan a las características a comprobar, la preparación de probetas se realiza conforme a UNE</w:t>
      </w:r>
      <w:r w:rsidR="005609C2">
        <w:rPr>
          <w:lang w:val="es-ES"/>
        </w:rPr>
        <w:t>-</w:t>
      </w:r>
      <w:r w:rsidRPr="00797F10">
        <w:rPr>
          <w:lang w:val="es-ES"/>
        </w:rPr>
        <w:t xml:space="preserve">EN 963. </w:t>
      </w:r>
    </w:p>
    <w:p w14:paraId="3568D751" w14:textId="77777777" w:rsidR="00152170" w:rsidRPr="00797F10" w:rsidRDefault="00152170" w:rsidP="005C7A38">
      <w:pPr>
        <w:pStyle w:val="NORMAL12"/>
        <w:rPr>
          <w:lang w:val="es-ES"/>
        </w:rPr>
      </w:pPr>
      <w:r w:rsidRPr="00797F10">
        <w:rPr>
          <w:lang w:val="es-ES"/>
        </w:rPr>
        <w:t>En la recepción del producto se comprobará el peso bruto de cada rollo y podrá rechazarse todo aquel que tenga un peso inferior al nominal del mismo. Se comprueba así mismo la masa por unidad de superficie.</w:t>
      </w:r>
      <w:r w:rsidR="00A940FF">
        <w:rPr>
          <w:lang w:val="es-ES"/>
        </w:rPr>
        <w:t xml:space="preserve"> Que debe ser al menos igual a la que determina el fabricante teniendo en cuenta la densidad del </w:t>
      </w:r>
      <w:proofErr w:type="spellStart"/>
      <w:r w:rsidR="00D93E76">
        <w:rPr>
          <w:lang w:val="es-ES"/>
        </w:rPr>
        <w:t>geocompuesto</w:t>
      </w:r>
      <w:proofErr w:type="spellEnd"/>
      <w:r w:rsidR="00A940FF">
        <w:rPr>
          <w:lang w:val="es-ES"/>
        </w:rPr>
        <w:t>.</w:t>
      </w:r>
    </w:p>
    <w:p w14:paraId="12191D83" w14:textId="77777777" w:rsidR="00152170" w:rsidRPr="00797F10" w:rsidRDefault="00152170" w:rsidP="005C7A38">
      <w:pPr>
        <w:pStyle w:val="NORMAL12"/>
        <w:rPr>
          <w:lang w:val="es-ES"/>
        </w:rPr>
      </w:pPr>
      <w:r w:rsidRPr="00797F10">
        <w:rPr>
          <w:lang w:val="es-ES"/>
        </w:rPr>
        <w:t>Para que un lote sea aceptado se habrán de cumplir simultáneamente las características siguientes:</w:t>
      </w:r>
    </w:p>
    <w:p w14:paraId="688DF152" w14:textId="77777777" w:rsidR="00152170" w:rsidRPr="00797F10" w:rsidRDefault="00152170" w:rsidP="00E01981">
      <w:pPr>
        <w:pStyle w:val="NORMAL12"/>
        <w:numPr>
          <w:ilvl w:val="0"/>
          <w:numId w:val="109"/>
        </w:numPr>
        <w:rPr>
          <w:lang w:val="es-ES"/>
        </w:rPr>
      </w:pPr>
      <w:r w:rsidRPr="00797F10">
        <w:rPr>
          <w:lang w:val="es-ES"/>
        </w:rPr>
        <w:t>El valor medio obtenido es mejor que el exigido.</w:t>
      </w:r>
    </w:p>
    <w:p w14:paraId="286FC29D" w14:textId="77777777" w:rsidR="00152170" w:rsidRPr="00797F10" w:rsidRDefault="00152170" w:rsidP="00E01981">
      <w:pPr>
        <w:pStyle w:val="NORMAL12"/>
        <w:numPr>
          <w:ilvl w:val="0"/>
          <w:numId w:val="109"/>
        </w:numPr>
        <w:rPr>
          <w:lang w:val="es-ES"/>
        </w:rPr>
      </w:pPr>
      <w:r w:rsidRPr="00797F10">
        <w:rPr>
          <w:lang w:val="es-ES"/>
        </w:rPr>
        <w:t>Hay a lo sumo una muestra con valor peor que el exigido, y en todo caso, la desviación no supera el 5% del mismo.</w:t>
      </w:r>
    </w:p>
    <w:p w14:paraId="6289C31F" w14:textId="77777777" w:rsidR="00152170" w:rsidRPr="00797F10" w:rsidRDefault="00152170" w:rsidP="0092179C">
      <w:pPr>
        <w:pStyle w:val="NORMAL12"/>
        <w:rPr>
          <w:lang w:val="es-ES"/>
        </w:rPr>
      </w:pPr>
      <w:r w:rsidRPr="00797F10">
        <w:rPr>
          <w:lang w:val="es-ES"/>
        </w:rPr>
        <w:t>En caso de no cumplirse alguna o las dos, de estas condiciones el lote será rechazado o devuelto.</w:t>
      </w:r>
    </w:p>
    <w:p w14:paraId="5A0F5E0B" w14:textId="77777777" w:rsidR="00152170" w:rsidRPr="00797F10" w:rsidRDefault="00152170" w:rsidP="0092179C">
      <w:pPr>
        <w:pStyle w:val="NORMAL12"/>
        <w:rPr>
          <w:lang w:val="es-ES"/>
        </w:rPr>
      </w:pPr>
      <w:proofErr w:type="gramStart"/>
      <w:r w:rsidRPr="00797F10">
        <w:rPr>
          <w:lang w:val="es-ES"/>
        </w:rPr>
        <w:t>Los ensayos a realizar</w:t>
      </w:r>
      <w:proofErr w:type="gramEnd"/>
      <w:r w:rsidRPr="00797F10">
        <w:rPr>
          <w:lang w:val="es-ES"/>
        </w:rPr>
        <w:t xml:space="preserve"> sobre cada lote serán:</w:t>
      </w:r>
    </w:p>
    <w:p w14:paraId="1A97A769" w14:textId="77777777" w:rsidR="00152170" w:rsidRPr="00797F10" w:rsidRDefault="00152170" w:rsidP="00E01981">
      <w:pPr>
        <w:pStyle w:val="NORMAL12"/>
        <w:numPr>
          <w:ilvl w:val="0"/>
          <w:numId w:val="110"/>
        </w:numPr>
        <w:rPr>
          <w:lang w:val="es-ES"/>
        </w:rPr>
      </w:pPr>
      <w:r w:rsidRPr="00797F10">
        <w:rPr>
          <w:lang w:val="es-ES"/>
        </w:rPr>
        <w:t>Determinación de masa por unidad de superficie UNE</w:t>
      </w:r>
      <w:r w:rsidR="005609C2">
        <w:rPr>
          <w:lang w:val="es-ES"/>
        </w:rPr>
        <w:t>-</w:t>
      </w:r>
      <w:r w:rsidRPr="00797F10">
        <w:rPr>
          <w:lang w:val="es-ES"/>
        </w:rPr>
        <w:t>EN 965.1995</w:t>
      </w:r>
    </w:p>
    <w:p w14:paraId="46FE31B3" w14:textId="77777777" w:rsidR="00152170" w:rsidRPr="00797F10" w:rsidRDefault="00152170" w:rsidP="00E01981">
      <w:pPr>
        <w:pStyle w:val="NORMAL12"/>
        <w:numPr>
          <w:ilvl w:val="0"/>
          <w:numId w:val="110"/>
        </w:numPr>
        <w:rPr>
          <w:lang w:val="es-ES"/>
        </w:rPr>
      </w:pPr>
      <w:r w:rsidRPr="00797F10">
        <w:rPr>
          <w:lang w:val="es-ES"/>
        </w:rPr>
        <w:t>Ensayo para determinar espesor UNE</w:t>
      </w:r>
      <w:r w:rsidR="005609C2">
        <w:rPr>
          <w:lang w:val="es-ES"/>
        </w:rPr>
        <w:t>-</w:t>
      </w:r>
      <w:r w:rsidRPr="00797F10">
        <w:rPr>
          <w:lang w:val="es-ES"/>
        </w:rPr>
        <w:t>EN 964.1995</w:t>
      </w:r>
    </w:p>
    <w:p w14:paraId="20C56F9A" w14:textId="77777777" w:rsidR="00152170" w:rsidRPr="00C10376" w:rsidRDefault="00152170" w:rsidP="00E01981">
      <w:pPr>
        <w:pStyle w:val="NORMAL12"/>
        <w:numPr>
          <w:ilvl w:val="0"/>
          <w:numId w:val="110"/>
        </w:numPr>
        <w:rPr>
          <w:lang w:val="es-ES"/>
        </w:rPr>
      </w:pPr>
      <w:r w:rsidRPr="00797F10">
        <w:rPr>
          <w:lang w:val="es-ES"/>
        </w:rPr>
        <w:t xml:space="preserve">Determinación de </w:t>
      </w:r>
      <w:r w:rsidR="00664164">
        <w:rPr>
          <w:lang w:val="es-ES"/>
        </w:rPr>
        <w:t xml:space="preserve">resistencia a la </w:t>
      </w:r>
      <w:r w:rsidR="00664164" w:rsidRPr="00C10376">
        <w:rPr>
          <w:lang w:val="es-ES"/>
        </w:rPr>
        <w:t>intemperie UNE-</w:t>
      </w:r>
      <w:r w:rsidRPr="00C10376">
        <w:rPr>
          <w:lang w:val="es-ES"/>
        </w:rPr>
        <w:t>E</w:t>
      </w:r>
      <w:r w:rsidR="00664164" w:rsidRPr="00C10376">
        <w:rPr>
          <w:lang w:val="es-ES"/>
        </w:rPr>
        <w:t>N 12224.2001</w:t>
      </w:r>
    </w:p>
    <w:p w14:paraId="51573D0A" w14:textId="77777777" w:rsidR="00152170" w:rsidRPr="00C10376" w:rsidRDefault="00152170" w:rsidP="00E01981">
      <w:pPr>
        <w:pStyle w:val="NORMAL12"/>
        <w:numPr>
          <w:ilvl w:val="0"/>
          <w:numId w:val="110"/>
        </w:numPr>
        <w:rPr>
          <w:lang w:val="es-ES"/>
        </w:rPr>
      </w:pPr>
      <w:r w:rsidRPr="00C10376">
        <w:rPr>
          <w:lang w:val="es-ES"/>
        </w:rPr>
        <w:t>Resistencia a tracción y alargamiento b</w:t>
      </w:r>
      <w:r w:rsidR="00664164" w:rsidRPr="00C10376">
        <w:rPr>
          <w:lang w:val="es-ES"/>
        </w:rPr>
        <w:t>ajo carga. UNE-EN ISO 10319.2015</w:t>
      </w:r>
    </w:p>
    <w:p w14:paraId="1ACD7729" w14:textId="77777777" w:rsidR="00152170" w:rsidRPr="00C10376" w:rsidRDefault="00152170" w:rsidP="00E01981">
      <w:pPr>
        <w:pStyle w:val="NORMAL12"/>
        <w:numPr>
          <w:ilvl w:val="0"/>
          <w:numId w:val="110"/>
        </w:numPr>
        <w:rPr>
          <w:lang w:val="es-ES"/>
        </w:rPr>
      </w:pPr>
      <w:r w:rsidRPr="00C10376">
        <w:rPr>
          <w:lang w:val="es-ES"/>
        </w:rPr>
        <w:t>R</w:t>
      </w:r>
      <w:r w:rsidR="00664164" w:rsidRPr="00C10376">
        <w:rPr>
          <w:lang w:val="es-ES"/>
        </w:rPr>
        <w:t>esistencia al punzonamiento UNE</w:t>
      </w:r>
      <w:r w:rsidR="005609C2">
        <w:rPr>
          <w:lang w:val="es-ES"/>
        </w:rPr>
        <w:t>-</w:t>
      </w:r>
      <w:r w:rsidRPr="00C10376">
        <w:rPr>
          <w:lang w:val="es-ES"/>
        </w:rPr>
        <w:t>EN ISO 1236:2007</w:t>
      </w:r>
    </w:p>
    <w:p w14:paraId="57612128" w14:textId="77777777" w:rsidR="00152170" w:rsidRPr="00C10376" w:rsidRDefault="00152170" w:rsidP="00E01981">
      <w:pPr>
        <w:pStyle w:val="NORMAL12"/>
        <w:numPr>
          <w:ilvl w:val="0"/>
          <w:numId w:val="110"/>
        </w:numPr>
        <w:rPr>
          <w:lang w:val="es-ES"/>
        </w:rPr>
      </w:pPr>
      <w:r w:rsidRPr="00C10376">
        <w:rPr>
          <w:lang w:val="es-ES"/>
        </w:rPr>
        <w:t xml:space="preserve">Confirmación de </w:t>
      </w:r>
      <w:r w:rsidRPr="00140246">
        <w:rPr>
          <w:lang w:val="es-ES"/>
        </w:rPr>
        <w:t>calidad s</w:t>
      </w:r>
      <w:r w:rsidR="005609C2" w:rsidRPr="00140246">
        <w:rPr>
          <w:lang w:val="es-ES"/>
        </w:rPr>
        <w:t>egún el PG-3</w:t>
      </w:r>
    </w:p>
    <w:p w14:paraId="4441DD63" w14:textId="77777777" w:rsidR="00152170" w:rsidRDefault="00152170" w:rsidP="0092179C">
      <w:pPr>
        <w:pStyle w:val="NORMAL12"/>
        <w:rPr>
          <w:lang w:val="es-ES"/>
        </w:rPr>
      </w:pPr>
      <w:proofErr w:type="gramStart"/>
      <w:r w:rsidRPr="00797F10">
        <w:rPr>
          <w:lang w:val="es-ES"/>
        </w:rPr>
        <w:t>Los ensayos a realizar</w:t>
      </w:r>
      <w:proofErr w:type="gramEnd"/>
      <w:r w:rsidRPr="00797F10">
        <w:rPr>
          <w:lang w:val="es-ES"/>
        </w:rPr>
        <w:t xml:space="preserve"> sobre el material y la frecuencia establecida est</w:t>
      </w:r>
      <w:r w:rsidRPr="00797F10">
        <w:rPr>
          <w:rFonts w:hint="eastAsia"/>
          <w:lang w:val="es-ES"/>
        </w:rPr>
        <w:t>á</w:t>
      </w:r>
      <w:r w:rsidR="00266CDB">
        <w:rPr>
          <w:lang w:val="es-ES"/>
        </w:rPr>
        <w:t>n</w:t>
      </w:r>
      <w:r w:rsidRPr="00797F10">
        <w:rPr>
          <w:lang w:val="es-ES"/>
        </w:rPr>
        <w:t xml:space="preserve"> reflejad</w:t>
      </w:r>
      <w:r w:rsidR="00266CDB">
        <w:rPr>
          <w:lang w:val="es-ES"/>
        </w:rPr>
        <w:t>os</w:t>
      </w:r>
      <w:r w:rsidRPr="00797F10">
        <w:rPr>
          <w:lang w:val="es-ES"/>
        </w:rPr>
        <w:t xml:space="preserve"> en la siguiente tabla; serán también de aplicación los establecidos en </w:t>
      </w:r>
      <w:r w:rsidR="00CE424A" w:rsidRPr="00797F10">
        <w:rPr>
          <w:lang w:val="es-ES"/>
        </w:rPr>
        <w:t>el artículo</w:t>
      </w:r>
      <w:r w:rsidRPr="00797F10">
        <w:rPr>
          <w:lang w:val="es-ES"/>
        </w:rPr>
        <w:t xml:space="preserve"> 290. Geotextiles del PG-3 no incluidos en el presente artículo; el coste de los ensayos será sufragado según indica el artículo </w:t>
      </w:r>
      <w:r w:rsidR="00D40ADD">
        <w:rPr>
          <w:lang w:val="es-ES"/>
        </w:rPr>
        <w:t xml:space="preserve">104.3 del presente pliego. </w:t>
      </w:r>
    </w:p>
    <w:p w14:paraId="2DD70159" w14:textId="77777777" w:rsidR="00D40ADD" w:rsidRPr="00797F10" w:rsidRDefault="00E4150F" w:rsidP="0092179C">
      <w:pPr>
        <w:pStyle w:val="NORMAL12"/>
        <w:rPr>
          <w:lang w:val="es-ES"/>
        </w:rPr>
      </w:pPr>
      <w:r>
        <w:rPr>
          <w:lang w:val="es-ES"/>
        </w:rPr>
        <w:t>Los ensayos en la recepción del material a realizar son:</w:t>
      </w:r>
    </w:p>
    <w:tbl>
      <w:tblPr>
        <w:tblW w:w="9577" w:type="dxa"/>
        <w:tblInd w:w="65" w:type="dxa"/>
        <w:tblCellMar>
          <w:left w:w="70" w:type="dxa"/>
          <w:right w:w="70" w:type="dxa"/>
        </w:tblCellMar>
        <w:tblLook w:val="04A0" w:firstRow="1" w:lastRow="0" w:firstColumn="1" w:lastColumn="0" w:noHBand="0" w:noVBand="1"/>
      </w:tblPr>
      <w:tblGrid>
        <w:gridCol w:w="9577"/>
      </w:tblGrid>
      <w:tr w:rsidR="00152170" w:rsidRPr="00677962" w14:paraId="4C5B2427" w14:textId="77777777" w:rsidTr="00677962">
        <w:trPr>
          <w:trHeight w:val="471"/>
        </w:trPr>
        <w:tc>
          <w:tcPr>
            <w:tcW w:w="9577" w:type="dxa"/>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2C5B79C4" w14:textId="77777777" w:rsidR="00152170" w:rsidRPr="00677962" w:rsidRDefault="00152170" w:rsidP="00677962">
            <w:pPr>
              <w:jc w:val="center"/>
              <w:rPr>
                <w:rFonts w:ascii="Arial" w:hAnsi="Arial" w:cs="Arial"/>
                <w:b/>
                <w:bCs/>
                <w:sz w:val="20"/>
                <w:szCs w:val="20"/>
              </w:rPr>
            </w:pPr>
            <w:r w:rsidRPr="00677962">
              <w:rPr>
                <w:rFonts w:ascii="Arial" w:hAnsi="Arial" w:cs="Arial"/>
                <w:b/>
                <w:bCs/>
                <w:sz w:val="20"/>
                <w:szCs w:val="20"/>
              </w:rPr>
              <w:t>GEOCOMPUESTO</w:t>
            </w:r>
          </w:p>
        </w:tc>
      </w:tr>
      <w:tr w:rsidR="00152170" w:rsidRPr="00677962" w14:paraId="4F5038F1" w14:textId="77777777" w:rsidTr="00677962">
        <w:trPr>
          <w:trHeight w:val="471"/>
        </w:trPr>
        <w:tc>
          <w:tcPr>
            <w:tcW w:w="9577" w:type="dxa"/>
            <w:vMerge/>
            <w:tcBorders>
              <w:top w:val="single" w:sz="4" w:space="0" w:color="auto"/>
              <w:left w:val="single" w:sz="4" w:space="0" w:color="auto"/>
              <w:bottom w:val="single" w:sz="4" w:space="0" w:color="auto"/>
              <w:right w:val="single" w:sz="4" w:space="0" w:color="auto"/>
            </w:tcBorders>
            <w:vAlign w:val="center"/>
            <w:hideMark/>
          </w:tcPr>
          <w:p w14:paraId="5F86BEBD" w14:textId="77777777" w:rsidR="00152170" w:rsidRPr="00677962" w:rsidRDefault="00152170" w:rsidP="00994D1A">
            <w:pPr>
              <w:rPr>
                <w:rFonts w:ascii="Arial" w:hAnsi="Arial" w:cs="Arial"/>
                <w:b/>
                <w:bCs/>
                <w:sz w:val="20"/>
                <w:szCs w:val="20"/>
              </w:rPr>
            </w:pPr>
          </w:p>
        </w:tc>
      </w:tr>
      <w:tr w:rsidR="00152170" w:rsidRPr="00677962" w14:paraId="0A3C45F9" w14:textId="77777777" w:rsidTr="00677962">
        <w:trPr>
          <w:trHeight w:val="745"/>
        </w:trPr>
        <w:tc>
          <w:tcPr>
            <w:tcW w:w="9577" w:type="dxa"/>
            <w:tcBorders>
              <w:top w:val="single" w:sz="4" w:space="0" w:color="auto"/>
              <w:left w:val="single" w:sz="4" w:space="0" w:color="auto"/>
              <w:bottom w:val="single" w:sz="4" w:space="0" w:color="auto"/>
              <w:right w:val="single" w:sz="4" w:space="0" w:color="auto"/>
            </w:tcBorders>
            <w:vAlign w:val="center"/>
            <w:hideMark/>
          </w:tcPr>
          <w:p w14:paraId="53A55F0D" w14:textId="77777777" w:rsidR="00152170" w:rsidRPr="00677962" w:rsidRDefault="00152170" w:rsidP="00677962">
            <w:pPr>
              <w:rPr>
                <w:rFonts w:ascii="Arial" w:hAnsi="Arial" w:cs="Arial"/>
                <w:i/>
                <w:iCs/>
                <w:sz w:val="20"/>
                <w:szCs w:val="20"/>
              </w:rPr>
            </w:pPr>
            <w:r w:rsidRPr="00677962">
              <w:rPr>
                <w:rFonts w:ascii="Arial" w:hAnsi="Arial" w:cs="Arial"/>
                <w:i/>
                <w:iCs/>
                <w:sz w:val="20"/>
                <w:szCs w:val="20"/>
              </w:rPr>
              <w:t xml:space="preserve"> Por diez </w:t>
            </w:r>
            <w:proofErr w:type="gramStart"/>
            <w:r w:rsidRPr="00677962">
              <w:rPr>
                <w:rFonts w:ascii="Arial" w:hAnsi="Arial" w:cs="Arial"/>
                <w:i/>
                <w:iCs/>
                <w:sz w:val="20"/>
                <w:szCs w:val="20"/>
              </w:rPr>
              <w:t>mil  metros</w:t>
            </w:r>
            <w:proofErr w:type="gramEnd"/>
            <w:r w:rsidRPr="00677962">
              <w:rPr>
                <w:rFonts w:ascii="Arial" w:hAnsi="Arial" w:cs="Arial"/>
                <w:i/>
                <w:iCs/>
                <w:sz w:val="20"/>
                <w:szCs w:val="20"/>
              </w:rPr>
              <w:t xml:space="preserve"> cuadrados de zona marcada, en Proyecto (10.000 m</w:t>
            </w:r>
            <w:r w:rsidRPr="00140246">
              <w:rPr>
                <w:rFonts w:ascii="Arial" w:hAnsi="Arial" w:cs="Arial"/>
                <w:i/>
                <w:iCs/>
                <w:sz w:val="20"/>
                <w:szCs w:val="20"/>
                <w:vertAlign w:val="superscript"/>
              </w:rPr>
              <w:t>2</w:t>
            </w:r>
            <w:r w:rsidRPr="00677962">
              <w:rPr>
                <w:rFonts w:ascii="Arial" w:hAnsi="Arial" w:cs="Arial"/>
                <w:i/>
                <w:iCs/>
                <w:sz w:val="20"/>
                <w:szCs w:val="20"/>
              </w:rPr>
              <w:t>), con las mismas características, o por zona si esta es menor:</w:t>
            </w:r>
          </w:p>
        </w:tc>
      </w:tr>
      <w:tr w:rsidR="00152170" w:rsidRPr="00677962" w14:paraId="6F2762EE" w14:textId="77777777" w:rsidTr="00677962">
        <w:trPr>
          <w:trHeight w:val="372"/>
        </w:trPr>
        <w:tc>
          <w:tcPr>
            <w:tcW w:w="9577" w:type="dxa"/>
            <w:tcBorders>
              <w:top w:val="single" w:sz="4" w:space="0" w:color="auto"/>
              <w:left w:val="single" w:sz="4" w:space="0" w:color="auto"/>
              <w:bottom w:val="single" w:sz="4" w:space="0" w:color="auto"/>
              <w:right w:val="single" w:sz="4" w:space="0" w:color="auto"/>
            </w:tcBorders>
            <w:noWrap/>
            <w:vAlign w:val="center"/>
            <w:hideMark/>
          </w:tcPr>
          <w:p w14:paraId="4555298A" w14:textId="77777777" w:rsidR="00152170" w:rsidRPr="00677962" w:rsidRDefault="00152170" w:rsidP="00060B58">
            <w:pPr>
              <w:jc w:val="right"/>
              <w:rPr>
                <w:rFonts w:ascii="Arial" w:hAnsi="Arial" w:cs="Arial"/>
                <w:sz w:val="20"/>
                <w:szCs w:val="20"/>
              </w:rPr>
            </w:pPr>
            <w:r w:rsidRPr="00677962">
              <w:rPr>
                <w:rFonts w:ascii="Arial" w:hAnsi="Arial" w:cs="Arial"/>
                <w:sz w:val="20"/>
                <w:szCs w:val="20"/>
              </w:rPr>
              <w:t>Un ensayo de determinación de masa por unidad de superficie UNE-EN 965:1995</w:t>
            </w:r>
          </w:p>
        </w:tc>
      </w:tr>
      <w:tr w:rsidR="00152170" w:rsidRPr="00677962" w14:paraId="29288408" w14:textId="77777777" w:rsidTr="00677962">
        <w:trPr>
          <w:trHeight w:val="372"/>
        </w:trPr>
        <w:tc>
          <w:tcPr>
            <w:tcW w:w="9577" w:type="dxa"/>
            <w:tcBorders>
              <w:top w:val="nil"/>
              <w:left w:val="single" w:sz="4" w:space="0" w:color="auto"/>
              <w:bottom w:val="single" w:sz="4" w:space="0" w:color="auto"/>
              <w:right w:val="single" w:sz="4" w:space="0" w:color="auto"/>
            </w:tcBorders>
            <w:noWrap/>
            <w:vAlign w:val="center"/>
            <w:hideMark/>
          </w:tcPr>
          <w:p w14:paraId="550B2F75" w14:textId="77777777" w:rsidR="00152170" w:rsidRPr="00677962" w:rsidRDefault="00152170" w:rsidP="00060B58">
            <w:pPr>
              <w:jc w:val="right"/>
              <w:rPr>
                <w:rFonts w:ascii="Arial" w:hAnsi="Arial" w:cs="Arial"/>
                <w:sz w:val="20"/>
                <w:szCs w:val="20"/>
              </w:rPr>
            </w:pPr>
            <w:r w:rsidRPr="00677962">
              <w:rPr>
                <w:rFonts w:ascii="Arial" w:hAnsi="Arial" w:cs="Arial"/>
                <w:sz w:val="20"/>
                <w:szCs w:val="20"/>
              </w:rPr>
              <w:t>Un ensayo de para determinar espesor UNE</w:t>
            </w:r>
            <w:r w:rsidR="005609C2">
              <w:rPr>
                <w:rFonts w:ascii="Arial" w:hAnsi="Arial" w:cs="Arial"/>
                <w:sz w:val="20"/>
                <w:szCs w:val="20"/>
              </w:rPr>
              <w:t>-EN</w:t>
            </w:r>
            <w:r w:rsidRPr="00677962">
              <w:rPr>
                <w:rFonts w:ascii="Arial" w:hAnsi="Arial" w:cs="Arial"/>
                <w:sz w:val="20"/>
                <w:szCs w:val="20"/>
              </w:rPr>
              <w:t xml:space="preserve"> 964-1:1995</w:t>
            </w:r>
          </w:p>
        </w:tc>
      </w:tr>
      <w:tr w:rsidR="00152170" w:rsidRPr="00677962" w14:paraId="37CBB98A" w14:textId="77777777" w:rsidTr="00677962">
        <w:trPr>
          <w:trHeight w:val="372"/>
        </w:trPr>
        <w:tc>
          <w:tcPr>
            <w:tcW w:w="9577" w:type="dxa"/>
            <w:tcBorders>
              <w:top w:val="nil"/>
              <w:left w:val="single" w:sz="4" w:space="0" w:color="auto"/>
              <w:bottom w:val="single" w:sz="4" w:space="0" w:color="auto"/>
              <w:right w:val="single" w:sz="4" w:space="0" w:color="auto"/>
            </w:tcBorders>
            <w:noWrap/>
            <w:vAlign w:val="center"/>
            <w:hideMark/>
          </w:tcPr>
          <w:p w14:paraId="125DE94C" w14:textId="77777777" w:rsidR="00152170" w:rsidRPr="00677962" w:rsidRDefault="00152170" w:rsidP="00060B58">
            <w:pPr>
              <w:jc w:val="right"/>
              <w:rPr>
                <w:rFonts w:ascii="Arial" w:hAnsi="Arial" w:cs="Arial"/>
                <w:sz w:val="20"/>
                <w:szCs w:val="20"/>
              </w:rPr>
            </w:pPr>
            <w:r w:rsidRPr="00677962">
              <w:rPr>
                <w:rFonts w:ascii="Arial" w:hAnsi="Arial" w:cs="Arial"/>
                <w:sz w:val="20"/>
                <w:szCs w:val="20"/>
              </w:rPr>
              <w:t>Determinación de la resistencia a la intemperie UNE</w:t>
            </w:r>
            <w:r w:rsidR="005609C2">
              <w:rPr>
                <w:rFonts w:ascii="Arial" w:hAnsi="Arial" w:cs="Arial"/>
                <w:sz w:val="20"/>
                <w:szCs w:val="20"/>
              </w:rPr>
              <w:t>-E</w:t>
            </w:r>
            <w:r w:rsidRPr="00677962">
              <w:rPr>
                <w:rFonts w:ascii="Arial" w:hAnsi="Arial" w:cs="Arial"/>
                <w:sz w:val="20"/>
                <w:szCs w:val="20"/>
              </w:rPr>
              <w:t xml:space="preserve">N 12224 </w:t>
            </w:r>
            <w:r w:rsidR="00664164" w:rsidRPr="00677962">
              <w:rPr>
                <w:rFonts w:ascii="Arial" w:hAnsi="Arial" w:cs="Arial"/>
                <w:sz w:val="20"/>
                <w:szCs w:val="20"/>
              </w:rPr>
              <w:t>2001</w:t>
            </w:r>
          </w:p>
        </w:tc>
      </w:tr>
      <w:tr w:rsidR="00152170" w:rsidRPr="00677962" w14:paraId="2BB767DE" w14:textId="77777777" w:rsidTr="00677962">
        <w:trPr>
          <w:trHeight w:val="372"/>
        </w:trPr>
        <w:tc>
          <w:tcPr>
            <w:tcW w:w="9577" w:type="dxa"/>
            <w:tcBorders>
              <w:top w:val="nil"/>
              <w:left w:val="single" w:sz="4" w:space="0" w:color="auto"/>
              <w:bottom w:val="single" w:sz="4" w:space="0" w:color="auto"/>
              <w:right w:val="single" w:sz="4" w:space="0" w:color="auto"/>
            </w:tcBorders>
            <w:noWrap/>
            <w:vAlign w:val="center"/>
            <w:hideMark/>
          </w:tcPr>
          <w:p w14:paraId="1D99AE10" w14:textId="77777777" w:rsidR="00152170" w:rsidRPr="00677962" w:rsidRDefault="00152170" w:rsidP="00060B58">
            <w:pPr>
              <w:jc w:val="right"/>
              <w:rPr>
                <w:rFonts w:ascii="Arial" w:hAnsi="Arial" w:cs="Arial"/>
                <w:sz w:val="20"/>
                <w:szCs w:val="20"/>
              </w:rPr>
            </w:pPr>
            <w:r w:rsidRPr="00677962">
              <w:rPr>
                <w:rFonts w:ascii="Arial" w:hAnsi="Arial" w:cs="Arial"/>
                <w:sz w:val="20"/>
                <w:szCs w:val="20"/>
              </w:rPr>
              <w:t>Resistencia a tracción y alargamiento b</w:t>
            </w:r>
            <w:r w:rsidR="00664164" w:rsidRPr="00677962">
              <w:rPr>
                <w:rFonts w:ascii="Arial" w:hAnsi="Arial" w:cs="Arial"/>
                <w:sz w:val="20"/>
                <w:szCs w:val="20"/>
              </w:rPr>
              <w:t>ajo carga UNE-EN ISO 10319:2015</w:t>
            </w:r>
          </w:p>
        </w:tc>
      </w:tr>
      <w:tr w:rsidR="00152170" w:rsidRPr="00677962" w14:paraId="62B91C1C" w14:textId="77777777" w:rsidTr="00677962">
        <w:trPr>
          <w:trHeight w:val="372"/>
        </w:trPr>
        <w:tc>
          <w:tcPr>
            <w:tcW w:w="9577" w:type="dxa"/>
            <w:tcBorders>
              <w:top w:val="nil"/>
              <w:left w:val="single" w:sz="4" w:space="0" w:color="auto"/>
              <w:bottom w:val="single" w:sz="4" w:space="0" w:color="auto"/>
              <w:right w:val="single" w:sz="4" w:space="0" w:color="auto"/>
            </w:tcBorders>
            <w:noWrap/>
            <w:vAlign w:val="center"/>
            <w:hideMark/>
          </w:tcPr>
          <w:p w14:paraId="36187123" w14:textId="77777777" w:rsidR="00152170" w:rsidRPr="00677962" w:rsidRDefault="00152170" w:rsidP="00060B58">
            <w:pPr>
              <w:jc w:val="right"/>
              <w:rPr>
                <w:rFonts w:ascii="Arial" w:hAnsi="Arial" w:cs="Arial"/>
                <w:sz w:val="20"/>
                <w:szCs w:val="20"/>
              </w:rPr>
            </w:pPr>
            <w:r w:rsidRPr="00677962">
              <w:rPr>
                <w:rFonts w:ascii="Arial" w:hAnsi="Arial" w:cs="Arial"/>
                <w:sz w:val="20"/>
                <w:szCs w:val="20"/>
              </w:rPr>
              <w:t>Resistencia a punzonamiento estático UNE-EN ISO 1236:2007</w:t>
            </w:r>
          </w:p>
        </w:tc>
      </w:tr>
      <w:tr w:rsidR="00152170" w:rsidRPr="00677962" w14:paraId="0E36C125" w14:textId="77777777" w:rsidTr="00677962">
        <w:trPr>
          <w:trHeight w:val="372"/>
        </w:trPr>
        <w:tc>
          <w:tcPr>
            <w:tcW w:w="9577" w:type="dxa"/>
            <w:tcBorders>
              <w:top w:val="nil"/>
              <w:left w:val="single" w:sz="4" w:space="0" w:color="auto"/>
              <w:bottom w:val="single" w:sz="4" w:space="0" w:color="auto"/>
              <w:right w:val="single" w:sz="4" w:space="0" w:color="auto"/>
            </w:tcBorders>
            <w:noWrap/>
            <w:vAlign w:val="center"/>
            <w:hideMark/>
          </w:tcPr>
          <w:p w14:paraId="72785A8D" w14:textId="77777777" w:rsidR="00152170" w:rsidRPr="00677962" w:rsidRDefault="00152170" w:rsidP="00060B58">
            <w:pPr>
              <w:jc w:val="right"/>
              <w:rPr>
                <w:rFonts w:ascii="Arial" w:hAnsi="Arial" w:cs="Arial"/>
                <w:sz w:val="20"/>
                <w:szCs w:val="20"/>
              </w:rPr>
            </w:pPr>
            <w:r w:rsidRPr="00677962">
              <w:rPr>
                <w:rFonts w:ascii="Arial" w:hAnsi="Arial" w:cs="Arial"/>
                <w:sz w:val="20"/>
                <w:szCs w:val="20"/>
              </w:rPr>
              <w:t>Resistencia a perforación UNE-EN ISO 918:1996</w:t>
            </w:r>
          </w:p>
        </w:tc>
      </w:tr>
      <w:tr w:rsidR="00152170" w:rsidRPr="00677962" w14:paraId="3D30F901" w14:textId="77777777" w:rsidTr="00677962">
        <w:trPr>
          <w:trHeight w:val="372"/>
        </w:trPr>
        <w:tc>
          <w:tcPr>
            <w:tcW w:w="9577" w:type="dxa"/>
            <w:tcBorders>
              <w:top w:val="nil"/>
              <w:left w:val="single" w:sz="4" w:space="0" w:color="auto"/>
              <w:bottom w:val="single" w:sz="4" w:space="0" w:color="auto"/>
              <w:right w:val="single" w:sz="4" w:space="0" w:color="auto"/>
            </w:tcBorders>
            <w:noWrap/>
            <w:vAlign w:val="center"/>
            <w:hideMark/>
          </w:tcPr>
          <w:p w14:paraId="659C6DE6" w14:textId="77777777" w:rsidR="00152170" w:rsidRPr="00677962" w:rsidRDefault="00152170" w:rsidP="00060B58">
            <w:pPr>
              <w:jc w:val="right"/>
              <w:rPr>
                <w:rFonts w:ascii="Arial" w:hAnsi="Arial" w:cs="Arial"/>
                <w:sz w:val="20"/>
                <w:szCs w:val="20"/>
              </w:rPr>
            </w:pPr>
            <w:r w:rsidRPr="00677962">
              <w:rPr>
                <w:rFonts w:ascii="Arial" w:hAnsi="Arial" w:cs="Arial"/>
                <w:sz w:val="20"/>
                <w:szCs w:val="20"/>
              </w:rPr>
              <w:t>Fluencia UNE-EN ISO 13431:2000</w:t>
            </w:r>
          </w:p>
        </w:tc>
      </w:tr>
      <w:tr w:rsidR="00152170" w:rsidRPr="00677962" w14:paraId="2FA0CF1D" w14:textId="77777777" w:rsidTr="00060B58">
        <w:trPr>
          <w:trHeight w:val="896"/>
        </w:trPr>
        <w:tc>
          <w:tcPr>
            <w:tcW w:w="9577" w:type="dxa"/>
            <w:tcBorders>
              <w:top w:val="nil"/>
              <w:left w:val="single" w:sz="4" w:space="0" w:color="auto"/>
              <w:bottom w:val="single" w:sz="4" w:space="0" w:color="auto"/>
              <w:right w:val="single" w:sz="4" w:space="0" w:color="auto"/>
            </w:tcBorders>
            <w:vAlign w:val="center"/>
            <w:hideMark/>
          </w:tcPr>
          <w:p w14:paraId="1ACD7D26" w14:textId="77777777" w:rsidR="00E4150F" w:rsidRPr="00677962" w:rsidRDefault="00152170" w:rsidP="00060B58">
            <w:pPr>
              <w:jc w:val="right"/>
              <w:rPr>
                <w:rFonts w:ascii="Arial" w:hAnsi="Arial" w:cs="Arial"/>
                <w:sz w:val="20"/>
                <w:szCs w:val="20"/>
              </w:rPr>
            </w:pPr>
            <w:proofErr w:type="gramStart"/>
            <w:r w:rsidRPr="00677962">
              <w:rPr>
                <w:rFonts w:ascii="Arial" w:hAnsi="Arial" w:cs="Arial"/>
                <w:sz w:val="20"/>
                <w:szCs w:val="20"/>
              </w:rPr>
              <w:t>Propiedades hidráulica</w:t>
            </w:r>
            <w:proofErr w:type="gramEnd"/>
            <w:r w:rsidRPr="00677962">
              <w:rPr>
                <w:rFonts w:ascii="Arial" w:hAnsi="Arial" w:cs="Arial"/>
                <w:sz w:val="20"/>
                <w:szCs w:val="20"/>
              </w:rPr>
              <w:t>:  Permeabilidad norma</w:t>
            </w:r>
            <w:r w:rsidR="00664164" w:rsidRPr="00677962">
              <w:rPr>
                <w:rFonts w:ascii="Arial" w:hAnsi="Arial" w:cs="Arial"/>
                <w:sz w:val="20"/>
                <w:szCs w:val="20"/>
              </w:rPr>
              <w:t>l al plano UNE-EN ISO 11058:2010</w:t>
            </w:r>
            <w:r w:rsidRPr="00677962">
              <w:rPr>
                <w:rFonts w:ascii="Arial" w:hAnsi="Arial" w:cs="Arial"/>
                <w:sz w:val="20"/>
                <w:szCs w:val="20"/>
              </w:rPr>
              <w:t xml:space="preserve">                                                      </w:t>
            </w:r>
            <w:r w:rsidR="00E4150F" w:rsidRPr="00677962">
              <w:rPr>
                <w:rFonts w:ascii="Arial" w:hAnsi="Arial" w:cs="Arial"/>
                <w:sz w:val="20"/>
                <w:szCs w:val="20"/>
              </w:rPr>
              <w:t xml:space="preserve">       </w:t>
            </w:r>
            <w:r w:rsidRPr="00677962">
              <w:rPr>
                <w:rFonts w:ascii="Arial" w:hAnsi="Arial" w:cs="Arial"/>
                <w:sz w:val="20"/>
                <w:szCs w:val="20"/>
              </w:rPr>
              <w:t>Permeabilidad en el plano UNE</w:t>
            </w:r>
            <w:r w:rsidR="005609C2">
              <w:rPr>
                <w:rFonts w:ascii="Arial" w:hAnsi="Arial" w:cs="Arial"/>
                <w:sz w:val="20"/>
                <w:szCs w:val="20"/>
              </w:rPr>
              <w:t>-</w:t>
            </w:r>
            <w:r w:rsidR="00664164" w:rsidRPr="00677962">
              <w:rPr>
                <w:rFonts w:ascii="Arial" w:hAnsi="Arial" w:cs="Arial"/>
                <w:sz w:val="20"/>
                <w:szCs w:val="20"/>
              </w:rPr>
              <w:t>EN ISO 12958:2010</w:t>
            </w:r>
            <w:r w:rsidRPr="00677962">
              <w:rPr>
                <w:rFonts w:ascii="Arial" w:hAnsi="Arial" w:cs="Arial"/>
                <w:sz w:val="20"/>
                <w:szCs w:val="20"/>
              </w:rPr>
              <w:t xml:space="preserve">                                                                                </w:t>
            </w:r>
          </w:p>
          <w:p w14:paraId="5846CFDA" w14:textId="77777777" w:rsidR="00152170" w:rsidRPr="00677962" w:rsidRDefault="00152170" w:rsidP="00060B58">
            <w:pPr>
              <w:jc w:val="right"/>
              <w:rPr>
                <w:rFonts w:ascii="Arial" w:hAnsi="Arial" w:cs="Arial"/>
                <w:sz w:val="20"/>
                <w:szCs w:val="20"/>
              </w:rPr>
            </w:pPr>
            <w:r w:rsidRPr="00677962">
              <w:rPr>
                <w:rFonts w:ascii="Arial" w:hAnsi="Arial" w:cs="Arial"/>
                <w:sz w:val="20"/>
                <w:szCs w:val="20"/>
              </w:rPr>
              <w:t xml:space="preserve">  Abertura caract</w:t>
            </w:r>
            <w:r w:rsidR="00664164" w:rsidRPr="00677962">
              <w:rPr>
                <w:rFonts w:ascii="Arial" w:hAnsi="Arial" w:cs="Arial"/>
                <w:sz w:val="20"/>
                <w:szCs w:val="20"/>
              </w:rPr>
              <w:t>erística UNE-EN ISO 12956:2010</w:t>
            </w:r>
          </w:p>
        </w:tc>
      </w:tr>
      <w:tr w:rsidR="00152170" w:rsidRPr="00677962" w14:paraId="67535A3A" w14:textId="77777777" w:rsidTr="00060B58">
        <w:trPr>
          <w:trHeight w:val="1224"/>
        </w:trPr>
        <w:tc>
          <w:tcPr>
            <w:tcW w:w="9577" w:type="dxa"/>
            <w:tcBorders>
              <w:top w:val="nil"/>
              <w:left w:val="single" w:sz="4" w:space="0" w:color="auto"/>
              <w:bottom w:val="single" w:sz="4" w:space="0" w:color="auto"/>
              <w:right w:val="single" w:sz="4" w:space="0" w:color="auto"/>
            </w:tcBorders>
            <w:vAlign w:val="center"/>
            <w:hideMark/>
          </w:tcPr>
          <w:p w14:paraId="47365B1C" w14:textId="77777777" w:rsidR="00E4150F" w:rsidRPr="00677962" w:rsidRDefault="00152170" w:rsidP="00060B58">
            <w:pPr>
              <w:jc w:val="right"/>
              <w:rPr>
                <w:rFonts w:ascii="Arial" w:hAnsi="Arial" w:cs="Arial"/>
                <w:sz w:val="20"/>
                <w:szCs w:val="20"/>
              </w:rPr>
            </w:pPr>
            <w:r w:rsidRPr="00677962">
              <w:rPr>
                <w:rFonts w:ascii="Arial" w:hAnsi="Arial" w:cs="Arial"/>
                <w:sz w:val="20"/>
                <w:szCs w:val="20"/>
              </w:rPr>
              <w:t xml:space="preserve">Confirmación calidad: </w:t>
            </w:r>
            <w:r w:rsidR="00E4150F" w:rsidRPr="00677962">
              <w:rPr>
                <w:rFonts w:ascii="Arial" w:hAnsi="Arial" w:cs="Arial"/>
                <w:sz w:val="20"/>
                <w:szCs w:val="20"/>
              </w:rPr>
              <w:t>PG-</w:t>
            </w:r>
            <w:proofErr w:type="gramStart"/>
            <w:r w:rsidR="00E4150F" w:rsidRPr="00677962">
              <w:rPr>
                <w:rFonts w:ascii="Arial" w:hAnsi="Arial" w:cs="Arial"/>
                <w:sz w:val="20"/>
                <w:szCs w:val="20"/>
              </w:rPr>
              <w:t>3</w:t>
            </w:r>
            <w:r w:rsidRPr="00677962">
              <w:rPr>
                <w:rFonts w:ascii="Arial" w:hAnsi="Arial" w:cs="Arial"/>
                <w:sz w:val="20"/>
                <w:szCs w:val="20"/>
              </w:rPr>
              <w:t xml:space="preserve">  Masa</w:t>
            </w:r>
            <w:proofErr w:type="gramEnd"/>
            <w:r w:rsidRPr="00677962">
              <w:rPr>
                <w:rFonts w:ascii="Arial" w:hAnsi="Arial" w:cs="Arial"/>
                <w:sz w:val="20"/>
                <w:szCs w:val="20"/>
              </w:rPr>
              <w:t xml:space="preserve"> por unidad de superficie UNE-EN 965:1995                                                      Resistencia a la perforación dinámica UNE</w:t>
            </w:r>
            <w:r w:rsidR="005609C2">
              <w:rPr>
                <w:rFonts w:ascii="Arial" w:hAnsi="Arial" w:cs="Arial"/>
                <w:sz w:val="20"/>
                <w:szCs w:val="20"/>
              </w:rPr>
              <w:t>-</w:t>
            </w:r>
            <w:r w:rsidRPr="00677962">
              <w:rPr>
                <w:rFonts w:ascii="Arial" w:hAnsi="Arial" w:cs="Arial"/>
                <w:sz w:val="20"/>
                <w:szCs w:val="20"/>
              </w:rPr>
              <w:t>EN 918:1996                                                                                  Tracción y alarg</w:t>
            </w:r>
            <w:r w:rsidR="00664164" w:rsidRPr="00677962">
              <w:rPr>
                <w:rFonts w:ascii="Arial" w:hAnsi="Arial" w:cs="Arial"/>
                <w:sz w:val="20"/>
                <w:szCs w:val="20"/>
              </w:rPr>
              <w:t xml:space="preserve">amiento UNE-EN ISO 10319:2015 </w:t>
            </w:r>
            <w:r w:rsidRPr="00677962">
              <w:rPr>
                <w:rFonts w:ascii="Arial" w:hAnsi="Arial" w:cs="Arial"/>
                <w:sz w:val="20"/>
                <w:szCs w:val="20"/>
              </w:rPr>
              <w:t xml:space="preserve">                                                                      </w:t>
            </w:r>
          </w:p>
          <w:p w14:paraId="0B521745" w14:textId="77777777" w:rsidR="00152170" w:rsidRPr="00677962" w:rsidRDefault="00152170" w:rsidP="00060B58">
            <w:pPr>
              <w:jc w:val="right"/>
              <w:rPr>
                <w:rFonts w:ascii="Arial" w:hAnsi="Arial" w:cs="Arial"/>
                <w:sz w:val="20"/>
                <w:szCs w:val="20"/>
              </w:rPr>
            </w:pPr>
            <w:r w:rsidRPr="00677962">
              <w:rPr>
                <w:rFonts w:ascii="Arial" w:hAnsi="Arial" w:cs="Arial"/>
                <w:sz w:val="20"/>
                <w:szCs w:val="20"/>
              </w:rPr>
              <w:t xml:space="preserve">   Resistencia a la intemperie UNE-EN 12224:2001</w:t>
            </w:r>
          </w:p>
        </w:tc>
      </w:tr>
    </w:tbl>
    <w:p w14:paraId="03B94AB3" w14:textId="77777777" w:rsidR="00677962" w:rsidRDefault="00677962" w:rsidP="0092179C">
      <w:pPr>
        <w:pStyle w:val="NORMAL12"/>
        <w:rPr>
          <w:i/>
          <w:u w:val="single"/>
          <w:lang w:val="es-ES"/>
        </w:rPr>
      </w:pPr>
    </w:p>
    <w:p w14:paraId="76737084" w14:textId="77777777" w:rsidR="00152170" w:rsidRPr="00A940FF" w:rsidRDefault="00E4150F" w:rsidP="0092179C">
      <w:pPr>
        <w:pStyle w:val="NORMAL12"/>
        <w:rPr>
          <w:i/>
          <w:u w:val="single"/>
          <w:lang w:val="es-ES"/>
        </w:rPr>
      </w:pPr>
      <w:proofErr w:type="gramStart"/>
      <w:r w:rsidRPr="00A940FF">
        <w:rPr>
          <w:i/>
          <w:u w:val="single"/>
          <w:lang w:val="es-ES"/>
        </w:rPr>
        <w:t>Los ensayos y controles a realizar</w:t>
      </w:r>
      <w:proofErr w:type="gramEnd"/>
      <w:r w:rsidRPr="00A940FF">
        <w:rPr>
          <w:i/>
          <w:u w:val="single"/>
          <w:lang w:val="es-ES"/>
        </w:rPr>
        <w:t xml:space="preserve"> sobre la ejecución son: </w:t>
      </w:r>
    </w:p>
    <w:p w14:paraId="45B080B2" w14:textId="77777777" w:rsidR="00152170" w:rsidRPr="00F40DFB" w:rsidRDefault="00152170" w:rsidP="0092179C">
      <w:pPr>
        <w:pStyle w:val="NORMAL12"/>
        <w:rPr>
          <w:lang w:val="es-ES"/>
        </w:rPr>
      </w:pPr>
      <w:r w:rsidRPr="00F40DFB">
        <w:rPr>
          <w:lang w:val="es-ES"/>
        </w:rPr>
        <w:t xml:space="preserve">Salvo que el </w:t>
      </w:r>
      <w:proofErr w:type="spellStart"/>
      <w:r w:rsidRPr="00F40DFB">
        <w:rPr>
          <w:lang w:val="es-ES"/>
        </w:rPr>
        <w:t>geocompuesto</w:t>
      </w:r>
      <w:proofErr w:type="spellEnd"/>
      <w:r w:rsidRPr="00F40DFB">
        <w:rPr>
          <w:lang w:val="es-ES"/>
        </w:rPr>
        <w:t xml:space="preserve"> vaya a ser cubierto el mismo día de la instalación, se exigirá una resistencia a la tracción remanente, después de un ensayo de resiste</w:t>
      </w:r>
      <w:r w:rsidR="005609C2">
        <w:rPr>
          <w:lang w:val="es-ES"/>
        </w:rPr>
        <w:t>ncia a la intemperie, según UNE-</w:t>
      </w:r>
      <w:r w:rsidRPr="00F40DFB">
        <w:rPr>
          <w:lang w:val="es-ES"/>
        </w:rPr>
        <w:t xml:space="preserve">EN 12224, de al menos el 60% de la nominal si el </w:t>
      </w:r>
      <w:proofErr w:type="spellStart"/>
      <w:r w:rsidRPr="00F40DFB">
        <w:rPr>
          <w:lang w:val="es-ES"/>
        </w:rPr>
        <w:t>geocompuesto</w:t>
      </w:r>
      <w:proofErr w:type="spellEnd"/>
      <w:r w:rsidRPr="00F40DFB">
        <w:rPr>
          <w:lang w:val="es-ES"/>
        </w:rPr>
        <w:t xml:space="preserve"> va a quedar cubierto antes de 15 días.</w:t>
      </w:r>
    </w:p>
    <w:p w14:paraId="1F46198A" w14:textId="77777777" w:rsidR="00152170" w:rsidRPr="00F40DFB" w:rsidRDefault="00152170" w:rsidP="0092179C">
      <w:pPr>
        <w:pStyle w:val="NORMAL12"/>
        <w:rPr>
          <w:lang w:val="es-ES"/>
        </w:rPr>
      </w:pPr>
      <w:r w:rsidRPr="00F40DFB">
        <w:rPr>
          <w:lang w:val="es-ES"/>
        </w:rPr>
        <w:lastRenderedPageBreak/>
        <w:t xml:space="preserve">Si el plazo es superior a 15 días debe ser superior al 80%. No se aceptan </w:t>
      </w:r>
      <w:proofErr w:type="spellStart"/>
      <w:r w:rsidRPr="00F40DFB">
        <w:rPr>
          <w:lang w:val="es-ES"/>
        </w:rPr>
        <w:t>geocompuestos</w:t>
      </w:r>
      <w:proofErr w:type="spellEnd"/>
      <w:r w:rsidRPr="00F40DFB">
        <w:rPr>
          <w:lang w:val="es-ES"/>
        </w:rPr>
        <w:t xml:space="preserve"> que quedan expuestos más de 4 meses desde su puesta en obra sin ser cubiertos y si han transcurrido más de 6 meses desde su fabricación.</w:t>
      </w:r>
    </w:p>
    <w:p w14:paraId="5F4E73AF" w14:textId="77777777" w:rsidR="00152170" w:rsidRPr="00F40DFB" w:rsidRDefault="00152170" w:rsidP="0092179C">
      <w:pPr>
        <w:pStyle w:val="NORMAL12"/>
        <w:rPr>
          <w:lang w:val="es-ES"/>
        </w:rPr>
      </w:pPr>
      <w:r w:rsidRPr="00F40DFB">
        <w:rPr>
          <w:lang w:val="es-ES"/>
        </w:rPr>
        <w:t xml:space="preserve">El contratista facilitará al </w:t>
      </w:r>
      <w:proofErr w:type="gramStart"/>
      <w:r w:rsidRPr="00F40DFB">
        <w:rPr>
          <w:lang w:val="es-ES"/>
        </w:rPr>
        <w:t>Director</w:t>
      </w:r>
      <w:proofErr w:type="gramEnd"/>
      <w:r w:rsidRPr="00F40DFB">
        <w:rPr>
          <w:lang w:val="es-ES"/>
        </w:rPr>
        <w:t xml:space="preserve"> de Obra diariamente un parte de la ejecución de obra en el que debe figurar:</w:t>
      </w:r>
    </w:p>
    <w:p w14:paraId="5FB8F563" w14:textId="77777777" w:rsidR="00152170" w:rsidRPr="00F40DFB" w:rsidRDefault="00152170" w:rsidP="00E01981">
      <w:pPr>
        <w:pStyle w:val="NORMAL12"/>
        <w:numPr>
          <w:ilvl w:val="0"/>
          <w:numId w:val="110"/>
        </w:numPr>
        <w:rPr>
          <w:lang w:val="es-ES"/>
        </w:rPr>
      </w:pPr>
      <w:r w:rsidRPr="00F40DFB">
        <w:rPr>
          <w:lang w:val="es-ES"/>
        </w:rPr>
        <w:t>Fecha de instalación</w:t>
      </w:r>
    </w:p>
    <w:p w14:paraId="55AAB79F" w14:textId="77777777" w:rsidR="00152170" w:rsidRPr="00F40DFB" w:rsidRDefault="00152170" w:rsidP="00E01981">
      <w:pPr>
        <w:pStyle w:val="NORMAL12"/>
        <w:numPr>
          <w:ilvl w:val="0"/>
          <w:numId w:val="110"/>
        </w:numPr>
        <w:rPr>
          <w:lang w:val="es-ES"/>
        </w:rPr>
      </w:pPr>
      <w:r w:rsidRPr="00F40DFB">
        <w:rPr>
          <w:lang w:val="es-ES"/>
        </w:rPr>
        <w:t>Localización en la obra de los elementos instalados.</w:t>
      </w:r>
    </w:p>
    <w:p w14:paraId="115334BE" w14:textId="77777777" w:rsidR="00152170" w:rsidRPr="00F40DFB" w:rsidRDefault="00152170" w:rsidP="00E01981">
      <w:pPr>
        <w:pStyle w:val="NORMAL12"/>
        <w:numPr>
          <w:ilvl w:val="0"/>
          <w:numId w:val="110"/>
        </w:numPr>
        <w:rPr>
          <w:lang w:val="es-ES"/>
        </w:rPr>
      </w:pPr>
      <w:r w:rsidRPr="00F40DFB">
        <w:rPr>
          <w:lang w:val="es-ES"/>
        </w:rPr>
        <w:t>Fecha de fabricación de los elementos instalados.</w:t>
      </w:r>
    </w:p>
    <w:p w14:paraId="401B18AB" w14:textId="77777777" w:rsidR="00152170" w:rsidRPr="00F40DFB" w:rsidRDefault="00152170" w:rsidP="00E01981">
      <w:pPr>
        <w:pStyle w:val="NORMAL12"/>
        <w:numPr>
          <w:ilvl w:val="0"/>
          <w:numId w:val="110"/>
        </w:numPr>
        <w:rPr>
          <w:lang w:val="es-ES"/>
        </w:rPr>
      </w:pPr>
      <w:r w:rsidRPr="00F40DFB">
        <w:rPr>
          <w:lang w:val="es-ES"/>
        </w:rPr>
        <w:t>Observaciones e incidencias que pudieran influir en las características y durabilidad de los elementos instalados.</w:t>
      </w:r>
    </w:p>
    <w:p w14:paraId="6A8E2213" w14:textId="77777777" w:rsidR="00152170" w:rsidRPr="00797F10" w:rsidRDefault="00152170" w:rsidP="0092179C">
      <w:pPr>
        <w:pStyle w:val="NORMAL12"/>
        <w:rPr>
          <w:lang w:val="es-ES"/>
        </w:rPr>
      </w:pPr>
      <w:r w:rsidRPr="00797F10">
        <w:rPr>
          <w:lang w:val="es-ES"/>
        </w:rPr>
        <w:t xml:space="preserve">Se comprobará por separado que la preparación de superficie, extendido del </w:t>
      </w:r>
      <w:proofErr w:type="spellStart"/>
      <w:r w:rsidRPr="00797F10">
        <w:rPr>
          <w:lang w:val="es-ES"/>
        </w:rPr>
        <w:t>geocompuesto</w:t>
      </w:r>
      <w:proofErr w:type="spellEnd"/>
      <w:r w:rsidRPr="00797F10">
        <w:rPr>
          <w:lang w:val="es-ES"/>
        </w:rPr>
        <w:t>, y posterior asfaltado se realicen según el presente artículo antes de comenzar con la fase siguiente.</w:t>
      </w:r>
    </w:p>
    <w:p w14:paraId="69BE1774" w14:textId="77777777" w:rsidR="00152170" w:rsidRPr="00797F10" w:rsidRDefault="00152170" w:rsidP="0092179C">
      <w:pPr>
        <w:pStyle w:val="NORMAL12"/>
        <w:rPr>
          <w:lang w:val="es-ES"/>
        </w:rPr>
      </w:pPr>
      <w:r w:rsidRPr="00797F10">
        <w:rPr>
          <w:lang w:val="es-ES"/>
        </w:rPr>
        <w:t>Se comprobarán que se cumplen los solapes y resguardos exigidos.</w:t>
      </w:r>
    </w:p>
    <w:p w14:paraId="3C96B434" w14:textId="77777777" w:rsidR="00152170" w:rsidRPr="00797F10" w:rsidRDefault="00152170" w:rsidP="0092179C">
      <w:pPr>
        <w:pStyle w:val="NORMAL12"/>
        <w:rPr>
          <w:lang w:val="es-ES"/>
        </w:rPr>
      </w:pPr>
      <w:r w:rsidRPr="00797F10">
        <w:rPr>
          <w:lang w:val="es-ES"/>
        </w:rPr>
        <w:t xml:space="preserve">No se procederá a la fase de asfaltado hasta comprobar que el extendido del </w:t>
      </w:r>
      <w:proofErr w:type="spellStart"/>
      <w:r w:rsidRPr="00797F10">
        <w:rPr>
          <w:lang w:val="es-ES"/>
        </w:rPr>
        <w:t>geocompuesto</w:t>
      </w:r>
      <w:proofErr w:type="spellEnd"/>
      <w:r w:rsidRPr="00797F10">
        <w:rPr>
          <w:lang w:val="es-ES"/>
        </w:rPr>
        <w:t xml:space="preserve"> se ha realizado correctamente.</w:t>
      </w:r>
    </w:p>
    <w:p w14:paraId="7C8BFA6A" w14:textId="77777777" w:rsidR="00152170" w:rsidRPr="00797F10" w:rsidRDefault="00152170" w:rsidP="000313DD">
      <w:pPr>
        <w:pStyle w:val="TITU2"/>
      </w:pPr>
      <w:bookmarkStart w:id="328" w:name="_Toc329971040"/>
      <w:bookmarkStart w:id="329" w:name="_Toc404147"/>
      <w:r w:rsidRPr="00C563C3">
        <w:t>290</w:t>
      </w:r>
      <w:r w:rsidR="004B199B">
        <w:t>b</w:t>
      </w:r>
      <w:r w:rsidRPr="00C563C3">
        <w:rPr>
          <w:rFonts w:hint="eastAsia"/>
        </w:rPr>
        <w:t>.</w:t>
      </w:r>
      <w:r w:rsidR="003367B5">
        <w:t>6</w:t>
      </w:r>
      <w:r w:rsidRPr="00C563C3">
        <w:t>.</w:t>
      </w:r>
      <w:r w:rsidRPr="00C563C3">
        <w:rPr>
          <w:rFonts w:hint="eastAsia"/>
        </w:rPr>
        <w:t xml:space="preserve"> </w:t>
      </w:r>
      <w:r w:rsidRPr="00C563C3">
        <w:t>Aceptación final</w:t>
      </w:r>
      <w:bookmarkEnd w:id="328"/>
      <w:bookmarkEnd w:id="329"/>
    </w:p>
    <w:p w14:paraId="2112B84F" w14:textId="77777777" w:rsidR="00152170" w:rsidRPr="00797F10" w:rsidRDefault="00152170" w:rsidP="0092179C">
      <w:pPr>
        <w:pStyle w:val="NORMAL12"/>
        <w:rPr>
          <w:lang w:val="es-ES"/>
        </w:rPr>
      </w:pPr>
      <w:r w:rsidRPr="00797F10">
        <w:rPr>
          <w:lang w:val="es-ES"/>
        </w:rPr>
        <w:t>La aceptación final se llevará a cabo cuando esté completamente extendido según las especificaciones del fabricante, y antes de llevar a cabo el extendido de la mezcla bituminosa.</w:t>
      </w:r>
    </w:p>
    <w:p w14:paraId="663575A8" w14:textId="77777777" w:rsidR="00152170" w:rsidRPr="00797F10" w:rsidRDefault="00152170" w:rsidP="000313DD">
      <w:pPr>
        <w:pStyle w:val="TITU2"/>
      </w:pPr>
      <w:bookmarkStart w:id="330" w:name="_Toc329971041"/>
      <w:bookmarkStart w:id="331" w:name="_Toc404148"/>
      <w:r w:rsidRPr="00C563C3">
        <w:t>290b</w:t>
      </w:r>
      <w:r w:rsidRPr="00C563C3">
        <w:rPr>
          <w:rFonts w:hint="eastAsia"/>
        </w:rPr>
        <w:t>.</w:t>
      </w:r>
      <w:r w:rsidR="003367B5">
        <w:t>7</w:t>
      </w:r>
      <w:r w:rsidRPr="00C563C3">
        <w:t xml:space="preserve">. </w:t>
      </w:r>
      <w:r w:rsidRPr="00797F10">
        <w:t>Tratamiento de no conformidades</w:t>
      </w:r>
      <w:bookmarkEnd w:id="330"/>
      <w:bookmarkEnd w:id="331"/>
    </w:p>
    <w:p w14:paraId="2BEF8865" w14:textId="77777777" w:rsidR="00152170" w:rsidRPr="00797F10" w:rsidRDefault="00152170" w:rsidP="0092179C">
      <w:pPr>
        <w:pStyle w:val="NORMAL12"/>
        <w:rPr>
          <w:lang w:val="es-ES"/>
        </w:rPr>
      </w:pPr>
      <w:r w:rsidRPr="00797F10">
        <w:rPr>
          <w:lang w:val="es-ES"/>
        </w:rPr>
        <w:t>Se rechazarán aquellos lotes que en la recepción de materiales no cumplan con las especificaciones de producto exigidas, así como aquellos lotes que no hayan sido manejados correctamente en el transporte y acopio, presentando deterioros producidos en la fase de manipulación hasta su puesta en obra.</w:t>
      </w:r>
    </w:p>
    <w:p w14:paraId="1F5066C8" w14:textId="77777777" w:rsidR="00152170" w:rsidRPr="00797F10" w:rsidRDefault="00152170" w:rsidP="0092179C">
      <w:pPr>
        <w:pStyle w:val="NORMAL12"/>
        <w:rPr>
          <w:lang w:val="es-ES"/>
        </w:rPr>
      </w:pPr>
      <w:r w:rsidRPr="00797F10">
        <w:rPr>
          <w:lang w:val="es-ES"/>
        </w:rPr>
        <w:t xml:space="preserve">Se corregirán antes del proceso de asfaltado todos los defectos de extendido del </w:t>
      </w:r>
      <w:proofErr w:type="spellStart"/>
      <w:r w:rsidRPr="00797F10">
        <w:rPr>
          <w:lang w:val="es-ES"/>
        </w:rPr>
        <w:t>geocompuesto</w:t>
      </w:r>
      <w:proofErr w:type="spellEnd"/>
      <w:r w:rsidRPr="00797F10">
        <w:rPr>
          <w:lang w:val="es-ES"/>
        </w:rPr>
        <w:t>, quedando éste completamente bien colocado. La tolerancia en los pliegues admitidos, así como los solapes entre capas serán los establecidos por el fabricante.</w:t>
      </w:r>
    </w:p>
    <w:p w14:paraId="6A83C332" w14:textId="77777777" w:rsidR="00152170" w:rsidRPr="00797F10" w:rsidRDefault="00152170" w:rsidP="000313DD">
      <w:pPr>
        <w:pStyle w:val="TITU2"/>
      </w:pPr>
      <w:bookmarkStart w:id="332" w:name="_Toc329971042"/>
      <w:bookmarkStart w:id="333" w:name="_Toc404149"/>
      <w:r w:rsidRPr="00C563C3">
        <w:t>290b</w:t>
      </w:r>
      <w:r w:rsidRPr="00C563C3">
        <w:rPr>
          <w:rFonts w:hint="eastAsia"/>
        </w:rPr>
        <w:t>.</w:t>
      </w:r>
      <w:r w:rsidR="003367B5">
        <w:t>8</w:t>
      </w:r>
      <w:r w:rsidRPr="00C563C3">
        <w:t xml:space="preserve">. </w:t>
      </w:r>
      <w:r w:rsidRPr="00797F10">
        <w:t>Medición y abono</w:t>
      </w:r>
      <w:bookmarkEnd w:id="332"/>
      <w:bookmarkEnd w:id="333"/>
    </w:p>
    <w:p w14:paraId="5BE44C60" w14:textId="77777777" w:rsidR="0092179C" w:rsidRPr="00797F10" w:rsidRDefault="0092179C" w:rsidP="0092179C">
      <w:pPr>
        <w:pStyle w:val="NORMAL12"/>
        <w:rPr>
          <w:lang w:val="es-ES"/>
        </w:rPr>
      </w:pPr>
      <w:r w:rsidRPr="00797F10">
        <w:rPr>
          <w:lang w:val="es-ES"/>
        </w:rPr>
        <w:t xml:space="preserve">La medición y abono de la unidad de </w:t>
      </w:r>
      <w:proofErr w:type="spellStart"/>
      <w:r w:rsidRPr="00797F10">
        <w:rPr>
          <w:lang w:val="es-ES"/>
        </w:rPr>
        <w:t>geocompuesto</w:t>
      </w:r>
      <w:proofErr w:type="spellEnd"/>
      <w:r w:rsidRPr="00797F10">
        <w:rPr>
          <w:lang w:val="es-ES"/>
        </w:rPr>
        <w:t xml:space="preserve"> sobre firme de hormigón se realizará según las especificaciones siguientes: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38"/>
        <w:gridCol w:w="7740"/>
      </w:tblGrid>
      <w:tr w:rsidR="00152170" w:rsidRPr="00797F10" w14:paraId="3D08BE1B" w14:textId="77777777" w:rsidTr="00994D1A">
        <w:tc>
          <w:tcPr>
            <w:tcW w:w="0" w:type="auto"/>
            <w:vAlign w:val="center"/>
          </w:tcPr>
          <w:p w14:paraId="6052D856" w14:textId="77777777" w:rsidR="00152170" w:rsidRPr="00797F10" w:rsidRDefault="00152170" w:rsidP="00E50149">
            <w:pPr>
              <w:pStyle w:val="Tabla"/>
              <w:rPr>
                <w:b/>
                <w:bCs/>
              </w:rPr>
            </w:pPr>
            <w:r w:rsidRPr="00C563C3">
              <w:rPr>
                <w:b/>
              </w:rPr>
              <w:t>Unidad de Medida</w:t>
            </w:r>
          </w:p>
        </w:tc>
        <w:tc>
          <w:tcPr>
            <w:tcW w:w="0" w:type="auto"/>
            <w:vAlign w:val="center"/>
          </w:tcPr>
          <w:p w14:paraId="654256CC" w14:textId="77777777" w:rsidR="00152170" w:rsidRPr="00797F10" w:rsidRDefault="00152170" w:rsidP="00C563C3">
            <w:pPr>
              <w:pStyle w:val="LCATabla"/>
              <w:keepLines/>
            </w:pPr>
            <w:r w:rsidRPr="00C563C3">
              <w:rPr>
                <w:rFonts w:ascii="Arial" w:hAnsi="Arial" w:cs="Arial"/>
                <w:sz w:val="20"/>
              </w:rPr>
              <w:t>Metro cuadrado (m</w:t>
            </w:r>
            <w:r w:rsidRPr="00140246">
              <w:rPr>
                <w:rFonts w:ascii="Arial" w:hAnsi="Arial" w:cs="Arial"/>
                <w:sz w:val="20"/>
                <w:vertAlign w:val="superscript"/>
              </w:rPr>
              <w:t>2</w:t>
            </w:r>
            <w:r w:rsidRPr="00C563C3">
              <w:rPr>
                <w:rFonts w:ascii="Arial" w:hAnsi="Arial" w:cs="Arial"/>
                <w:sz w:val="20"/>
              </w:rPr>
              <w:t>)</w:t>
            </w:r>
          </w:p>
        </w:tc>
      </w:tr>
      <w:tr w:rsidR="00152170" w:rsidRPr="00797F10" w14:paraId="3A97ABE4" w14:textId="77777777" w:rsidTr="00994D1A">
        <w:tc>
          <w:tcPr>
            <w:tcW w:w="0" w:type="auto"/>
            <w:vAlign w:val="center"/>
          </w:tcPr>
          <w:p w14:paraId="1371DE2A" w14:textId="77777777" w:rsidR="00152170" w:rsidRPr="00797F10" w:rsidRDefault="00152170" w:rsidP="00E50149">
            <w:pPr>
              <w:pStyle w:val="Tabla"/>
              <w:rPr>
                <w:b/>
                <w:bCs/>
              </w:rPr>
            </w:pPr>
            <w:r w:rsidRPr="00C563C3">
              <w:rPr>
                <w:b/>
              </w:rPr>
              <w:t>Grado de precisión</w:t>
            </w:r>
          </w:p>
        </w:tc>
        <w:tc>
          <w:tcPr>
            <w:tcW w:w="0" w:type="auto"/>
            <w:vAlign w:val="center"/>
          </w:tcPr>
          <w:p w14:paraId="1264A842" w14:textId="77777777" w:rsidR="00152170" w:rsidRPr="00797F10" w:rsidRDefault="00152170" w:rsidP="00C563C3">
            <w:pPr>
              <w:pStyle w:val="LCATabla"/>
              <w:keepLines/>
            </w:pPr>
            <w:r w:rsidRPr="00C563C3">
              <w:rPr>
                <w:rFonts w:ascii="Arial" w:hAnsi="Arial" w:cs="Arial"/>
                <w:sz w:val="20"/>
              </w:rPr>
              <w:t>Dos (2) decimales</w:t>
            </w:r>
          </w:p>
        </w:tc>
      </w:tr>
      <w:tr w:rsidR="00152170" w:rsidRPr="00797F10" w14:paraId="6FCDFA86" w14:textId="77777777" w:rsidTr="00994D1A">
        <w:tc>
          <w:tcPr>
            <w:tcW w:w="0" w:type="auto"/>
            <w:vAlign w:val="center"/>
          </w:tcPr>
          <w:p w14:paraId="67AA2158" w14:textId="77777777" w:rsidR="00152170" w:rsidRPr="00797F10" w:rsidRDefault="00152170" w:rsidP="00E50149">
            <w:pPr>
              <w:pStyle w:val="Tabla"/>
              <w:rPr>
                <w:b/>
                <w:bCs/>
              </w:rPr>
            </w:pPr>
            <w:r w:rsidRPr="00C563C3">
              <w:rPr>
                <w:b/>
              </w:rPr>
              <w:t>Forma de medición</w:t>
            </w:r>
          </w:p>
        </w:tc>
        <w:tc>
          <w:tcPr>
            <w:tcW w:w="0" w:type="auto"/>
            <w:vAlign w:val="center"/>
          </w:tcPr>
          <w:p w14:paraId="04CE0CCE" w14:textId="77777777" w:rsidR="00152170" w:rsidRPr="00797F10" w:rsidRDefault="00152170" w:rsidP="00C563C3">
            <w:pPr>
              <w:pStyle w:val="LCATabla"/>
              <w:keepLines/>
            </w:pPr>
            <w:r w:rsidRPr="00C563C3">
              <w:rPr>
                <w:rFonts w:ascii="Arial" w:hAnsi="Arial" w:cs="Arial"/>
                <w:sz w:val="20"/>
              </w:rPr>
              <w:t xml:space="preserve">Los </w:t>
            </w:r>
            <w:proofErr w:type="spellStart"/>
            <w:r w:rsidRPr="00C563C3">
              <w:rPr>
                <w:rFonts w:ascii="Arial" w:hAnsi="Arial" w:cs="Arial"/>
                <w:sz w:val="20"/>
              </w:rPr>
              <w:t>geocompuestos</w:t>
            </w:r>
            <w:proofErr w:type="spellEnd"/>
            <w:r w:rsidRPr="00C563C3">
              <w:rPr>
                <w:rFonts w:ascii="Arial" w:hAnsi="Arial" w:cs="Arial"/>
                <w:sz w:val="20"/>
              </w:rPr>
              <w:t xml:space="preserve"> se medirán por metro cuadrado de superficie cubierta, quedando incluidos en este precio los solapes necesarios y en todo caso los indicados en el PPTP.</w:t>
            </w:r>
          </w:p>
        </w:tc>
      </w:tr>
      <w:tr w:rsidR="00152170" w:rsidRPr="00797F10" w14:paraId="2CEB5416" w14:textId="77777777" w:rsidTr="00994D1A">
        <w:tc>
          <w:tcPr>
            <w:tcW w:w="0" w:type="auto"/>
            <w:vAlign w:val="center"/>
          </w:tcPr>
          <w:p w14:paraId="4C10CFA7" w14:textId="77777777" w:rsidR="00152170" w:rsidRPr="00797F10" w:rsidRDefault="00152170" w:rsidP="00E50149">
            <w:pPr>
              <w:pStyle w:val="Tabla"/>
              <w:rPr>
                <w:b/>
                <w:bCs/>
              </w:rPr>
            </w:pPr>
            <w:r w:rsidRPr="00C563C3">
              <w:rPr>
                <w:b/>
              </w:rPr>
              <w:t>Abono</w:t>
            </w:r>
          </w:p>
        </w:tc>
        <w:tc>
          <w:tcPr>
            <w:tcW w:w="0" w:type="auto"/>
            <w:vAlign w:val="center"/>
          </w:tcPr>
          <w:p w14:paraId="3BFB25F1" w14:textId="77777777" w:rsidR="00152170" w:rsidRPr="00797F10" w:rsidRDefault="00152170" w:rsidP="00C563C3">
            <w:pPr>
              <w:pStyle w:val="LCATabla"/>
              <w:keepLines/>
            </w:pPr>
            <w:r w:rsidRPr="00C563C3">
              <w:rPr>
                <w:rFonts w:ascii="Arial" w:hAnsi="Arial" w:cs="Arial"/>
                <w:sz w:val="20"/>
              </w:rPr>
              <w:t>Se efectuará cuando se realice la aceptación, una vez realizadas las pruebas y ensayos de recepción.</w:t>
            </w:r>
          </w:p>
        </w:tc>
      </w:tr>
      <w:tr w:rsidR="00152170" w:rsidRPr="00797F10" w14:paraId="1DC0C758" w14:textId="77777777" w:rsidTr="00994D1A">
        <w:tc>
          <w:tcPr>
            <w:tcW w:w="0" w:type="auto"/>
            <w:vAlign w:val="center"/>
          </w:tcPr>
          <w:p w14:paraId="5B05990C" w14:textId="77777777" w:rsidR="00152170" w:rsidRPr="00797F10" w:rsidRDefault="00152170" w:rsidP="00E50149">
            <w:pPr>
              <w:pStyle w:val="Tabla"/>
              <w:rPr>
                <w:b/>
                <w:bCs/>
              </w:rPr>
            </w:pPr>
            <w:proofErr w:type="gramStart"/>
            <w:r w:rsidRPr="00C563C3">
              <w:rPr>
                <w:b/>
              </w:rPr>
              <w:t>Criterios complementario</w:t>
            </w:r>
            <w:proofErr w:type="gramEnd"/>
          </w:p>
        </w:tc>
        <w:tc>
          <w:tcPr>
            <w:tcW w:w="0" w:type="auto"/>
            <w:vAlign w:val="center"/>
          </w:tcPr>
          <w:p w14:paraId="00CD3F06" w14:textId="77777777" w:rsidR="00152170" w:rsidRPr="00C563C3" w:rsidRDefault="00152170" w:rsidP="00C563C3">
            <w:pPr>
              <w:pStyle w:val="LCATabla"/>
              <w:keepLines/>
              <w:rPr>
                <w:rFonts w:ascii="Arial" w:hAnsi="Arial" w:cs="Arial"/>
                <w:sz w:val="20"/>
              </w:rPr>
            </w:pPr>
            <w:r w:rsidRPr="00C563C3">
              <w:rPr>
                <w:rFonts w:ascii="Arial" w:hAnsi="Arial" w:cs="Arial"/>
                <w:sz w:val="20"/>
              </w:rPr>
              <w:t xml:space="preserve">El precio por metro cuadrado incluye los elementos necesarios para la colocación y puesta en obra del </w:t>
            </w:r>
            <w:proofErr w:type="spellStart"/>
            <w:r w:rsidRPr="00C563C3">
              <w:rPr>
                <w:rFonts w:ascii="Arial" w:hAnsi="Arial" w:cs="Arial"/>
                <w:sz w:val="20"/>
              </w:rPr>
              <w:t>geocompuesto</w:t>
            </w:r>
            <w:proofErr w:type="spellEnd"/>
            <w:r w:rsidRPr="00C563C3">
              <w:rPr>
                <w:rFonts w:ascii="Arial" w:hAnsi="Arial" w:cs="Arial"/>
                <w:sz w:val="20"/>
              </w:rPr>
              <w:t>, así como su transporte a la obra, recepción y almacenamiento.</w:t>
            </w:r>
          </w:p>
          <w:p w14:paraId="5CF77E9A" w14:textId="77777777" w:rsidR="00152170" w:rsidRPr="00797F10" w:rsidRDefault="00152170" w:rsidP="00C563C3">
            <w:pPr>
              <w:pStyle w:val="LCATabla"/>
              <w:keepLines/>
            </w:pPr>
            <w:r w:rsidRPr="00C563C3">
              <w:rPr>
                <w:rFonts w:ascii="Arial" w:hAnsi="Arial" w:cs="Arial"/>
                <w:sz w:val="20"/>
              </w:rPr>
              <w:t xml:space="preserve">Se consideran incluidas las uniones mecánicas por cosido, o fijación que sean necesarias para la correcta instalación del </w:t>
            </w:r>
            <w:proofErr w:type="spellStart"/>
            <w:r w:rsidRPr="00C563C3">
              <w:rPr>
                <w:rFonts w:ascii="Arial" w:hAnsi="Arial" w:cs="Arial"/>
                <w:sz w:val="20"/>
              </w:rPr>
              <w:t>geocompuesto</w:t>
            </w:r>
            <w:proofErr w:type="spellEnd"/>
            <w:r w:rsidRPr="00C563C3">
              <w:rPr>
                <w:rFonts w:ascii="Arial" w:hAnsi="Arial" w:cs="Arial"/>
                <w:sz w:val="20"/>
              </w:rPr>
              <w:t xml:space="preserve"> según determine el Proyecto y el </w:t>
            </w:r>
            <w:proofErr w:type="gramStart"/>
            <w:r w:rsidRPr="00C563C3">
              <w:rPr>
                <w:rFonts w:ascii="Arial" w:hAnsi="Arial" w:cs="Arial"/>
                <w:sz w:val="20"/>
              </w:rPr>
              <w:t>Director</w:t>
            </w:r>
            <w:proofErr w:type="gramEnd"/>
            <w:r w:rsidRPr="00C563C3">
              <w:rPr>
                <w:rFonts w:ascii="Arial" w:hAnsi="Arial" w:cs="Arial"/>
                <w:sz w:val="20"/>
              </w:rPr>
              <w:t xml:space="preserve"> de obra.</w:t>
            </w:r>
          </w:p>
        </w:tc>
      </w:tr>
    </w:tbl>
    <w:p w14:paraId="07AC4168" w14:textId="77777777" w:rsidR="00152170" w:rsidRPr="00797F10" w:rsidRDefault="00152170" w:rsidP="00152170"/>
    <w:p w14:paraId="7655DC5D" w14:textId="77777777" w:rsidR="00152170" w:rsidRPr="00797F10" w:rsidRDefault="00152170" w:rsidP="00152170">
      <w:pPr>
        <w:pStyle w:val="NORMAL12"/>
        <w:rPr>
          <w:lang w:val="es-ES"/>
        </w:rPr>
      </w:pPr>
    </w:p>
    <w:p w14:paraId="56F3D4B8" w14:textId="77777777" w:rsidR="00C50108" w:rsidRPr="00797F10" w:rsidRDefault="00C50108" w:rsidP="00C50108">
      <w:pPr>
        <w:pStyle w:val="NORMAL12"/>
        <w:rPr>
          <w:lang w:val="es-ES"/>
        </w:rPr>
      </w:pPr>
    </w:p>
    <w:p w14:paraId="63347746" w14:textId="77777777" w:rsidR="00C50108" w:rsidRPr="005864C2" w:rsidRDefault="00C50108" w:rsidP="00C50108">
      <w:pPr>
        <w:pStyle w:val="NORMAL12"/>
        <w:rPr>
          <w:color w:val="365F91" w:themeColor="accent1" w:themeShade="BF"/>
          <w:lang w:val="es-ES"/>
        </w:rPr>
      </w:pPr>
    </w:p>
    <w:p w14:paraId="6ED0AFDD" w14:textId="77777777" w:rsidR="00C20968" w:rsidRDefault="00C20968" w:rsidP="00667297">
      <w:pPr>
        <w:pStyle w:val="Textoindependiente"/>
        <w:spacing w:before="146" w:line="247" w:lineRule="auto"/>
        <w:ind w:left="2671" w:right="1811" w:hanging="2126"/>
        <w:jc w:val="both"/>
        <w:rPr>
          <w:color w:val="365F91" w:themeColor="accent1" w:themeShade="BF"/>
        </w:rPr>
        <w:sectPr w:rsidR="00C20968" w:rsidSect="00693EA3">
          <w:pgSz w:w="23814" w:h="16840" w:orient="landscape" w:code="8"/>
          <w:pgMar w:top="992" w:right="851" w:bottom="1418" w:left="851" w:header="567" w:footer="1021" w:gutter="1418"/>
          <w:cols w:num="2" w:space="1418"/>
        </w:sectPr>
      </w:pPr>
    </w:p>
    <w:p w14:paraId="56F79FA7" w14:textId="77777777" w:rsidR="00FC7B9D" w:rsidRPr="00A76B28" w:rsidRDefault="00667297" w:rsidP="00FC7B9D">
      <w:pPr>
        <w:pStyle w:val="TtuloPortada"/>
        <w:jc w:val="right"/>
        <w:outlineLvl w:val="0"/>
        <w:rPr>
          <w:rFonts w:ascii="Arial" w:hAnsi="Arial" w:cs="Arial"/>
        </w:rPr>
      </w:pPr>
      <w:r w:rsidRPr="005864C2">
        <w:rPr>
          <w:color w:val="365F91" w:themeColor="accent1" w:themeShade="BF"/>
        </w:rPr>
        <w:lastRenderedPageBreak/>
        <w:br w:type="column"/>
      </w:r>
      <w:bookmarkStart w:id="334" w:name="_Toc404150"/>
      <w:r w:rsidR="00FC7B9D" w:rsidRPr="00A76B28">
        <w:rPr>
          <w:rFonts w:ascii="Arial" w:hAnsi="Arial" w:cs="Arial"/>
        </w:rPr>
        <w:t>Parte 3.-  Explanaciones</w:t>
      </w:r>
      <w:bookmarkEnd w:id="334"/>
    </w:p>
    <w:p w14:paraId="74B4B8EF" w14:textId="77777777" w:rsidR="00FC7B9D" w:rsidRPr="005864C2" w:rsidRDefault="00FC7B9D" w:rsidP="00FC7B9D">
      <w:pPr>
        <w:pStyle w:val="Ttulo1"/>
        <w:rPr>
          <w:b w:val="0"/>
          <w:color w:val="365F91" w:themeColor="accent1" w:themeShade="BF"/>
          <w:lang w:val="es-ES_tradnl"/>
        </w:rPr>
      </w:pPr>
    </w:p>
    <w:p w14:paraId="54279EE9" w14:textId="77777777" w:rsidR="00847951" w:rsidRPr="005864C2" w:rsidRDefault="00847951" w:rsidP="00FC7B9D">
      <w:pPr>
        <w:rPr>
          <w:color w:val="365F91" w:themeColor="accent1" w:themeShade="BF"/>
          <w:lang w:val="es-ES_tradnl" w:eastAsia="en-US"/>
        </w:rPr>
        <w:sectPr w:rsidR="00847951" w:rsidRPr="005864C2" w:rsidSect="003069BA">
          <w:type w:val="oddPage"/>
          <w:pgSz w:w="23814" w:h="16840" w:orient="landscape" w:code="8"/>
          <w:pgMar w:top="992" w:right="851" w:bottom="1418" w:left="851" w:header="567" w:footer="1021" w:gutter="1418"/>
          <w:cols w:num="2" w:space="1418"/>
        </w:sectPr>
      </w:pPr>
    </w:p>
    <w:p w14:paraId="0F0834AD" w14:textId="77777777" w:rsidR="00C05D97" w:rsidRDefault="00C05D97" w:rsidP="00C05D97">
      <w:pPr>
        <w:pStyle w:val="TITU1"/>
        <w:rPr>
          <w:lang w:val="es-ES_tradnl"/>
        </w:rPr>
      </w:pPr>
      <w:bookmarkStart w:id="335" w:name="_Toc528692096"/>
      <w:bookmarkStart w:id="336" w:name="_Toc404151"/>
      <w:r w:rsidRPr="00F417EC">
        <w:rPr>
          <w:lang w:val="es-ES_tradnl"/>
        </w:rPr>
        <w:lastRenderedPageBreak/>
        <w:t>Artículo 300. Desbroce del terreno.</w:t>
      </w:r>
      <w:bookmarkEnd w:id="335"/>
      <w:bookmarkEnd w:id="336"/>
    </w:p>
    <w:p w14:paraId="48D99721" w14:textId="77777777" w:rsidR="00CA2BE9" w:rsidRPr="006B7EDC" w:rsidRDefault="00CA2BE9" w:rsidP="00CA2BE9">
      <w:pPr>
        <w:pStyle w:val="NORMAL12"/>
        <w:rPr>
          <w:lang w:val="es-ES"/>
        </w:rPr>
      </w:pPr>
      <w:r w:rsidRPr="006B7EDC">
        <w:rPr>
          <w:lang w:val="es-ES"/>
        </w:rPr>
        <w:t xml:space="preserve">Excepto para lo especificado en el presente Pliego de Prescripciones Técnicas </w:t>
      </w:r>
      <w:r>
        <w:rPr>
          <w:lang w:val="es-ES"/>
        </w:rPr>
        <w:t>P</w:t>
      </w:r>
      <w:r w:rsidRPr="006B7EDC">
        <w:rPr>
          <w:lang w:val="es-ES"/>
        </w:rPr>
        <w:t>articulares se seguirá lo pr</w:t>
      </w:r>
      <w:r>
        <w:rPr>
          <w:lang w:val="es-ES"/>
        </w:rPr>
        <w:t>escrito en el vigente artículo 300</w:t>
      </w:r>
      <w:r w:rsidRPr="006B7EDC">
        <w:rPr>
          <w:lang w:val="es-ES"/>
        </w:rPr>
        <w:t xml:space="preserve"> del PG-3.</w:t>
      </w:r>
    </w:p>
    <w:p w14:paraId="5E87B55D" w14:textId="77777777" w:rsidR="00C05D97" w:rsidRPr="00F417EC" w:rsidRDefault="00C05D97" w:rsidP="000313DD">
      <w:pPr>
        <w:pStyle w:val="TITU2"/>
      </w:pPr>
      <w:bookmarkStart w:id="337" w:name="_Toc528692097"/>
      <w:bookmarkStart w:id="338" w:name="_Toc404152"/>
      <w:r w:rsidRPr="00F417EC">
        <w:t>300.1. Definición</w:t>
      </w:r>
      <w:bookmarkEnd w:id="337"/>
      <w:bookmarkEnd w:id="338"/>
    </w:p>
    <w:p w14:paraId="17458B9A" w14:textId="77777777" w:rsidR="00C05D97" w:rsidRPr="00F417EC" w:rsidRDefault="00C05D97" w:rsidP="00C05D97">
      <w:pPr>
        <w:pStyle w:val="NORMAL12"/>
        <w:rPr>
          <w:lang w:val="es-ES"/>
        </w:rPr>
      </w:pPr>
      <w:r w:rsidRPr="00F417EC">
        <w:rPr>
          <w:lang w:val="es-ES"/>
        </w:rPr>
        <w:t>Excepto para lo especificado en este artículo será de aplicación lo prescito en la normativa vigente, en particular en el artículo 300. Desbroce del terreno del PG-3 en lo que resulte de aplicación a la unidad de obra.</w:t>
      </w:r>
    </w:p>
    <w:p w14:paraId="62094C1D" w14:textId="77777777" w:rsidR="00AE32BD" w:rsidRPr="00F417EC" w:rsidRDefault="00AE32BD" w:rsidP="00AE32BD">
      <w:pPr>
        <w:pStyle w:val="NORMAL12"/>
        <w:rPr>
          <w:lang w:val="es-ES"/>
        </w:rPr>
      </w:pPr>
      <w:r w:rsidRPr="00F417EC">
        <w:rPr>
          <w:lang w:val="es-ES"/>
        </w:rPr>
        <w:t xml:space="preserve">Las prescripciones del presente artículo </w:t>
      </w:r>
      <w:proofErr w:type="gramStart"/>
      <w:r w:rsidRPr="00F417EC">
        <w:rPr>
          <w:lang w:val="es-ES"/>
        </w:rPr>
        <w:t>son de aplicación</w:t>
      </w:r>
      <w:proofErr w:type="gramEnd"/>
      <w:r w:rsidRPr="00F417EC">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145"/>
        <w:gridCol w:w="661"/>
        <w:gridCol w:w="7477"/>
      </w:tblGrid>
      <w:tr w:rsidR="00F417EC" w:rsidRPr="00F417EC" w14:paraId="007C30EB" w14:textId="77777777" w:rsidTr="00DB6778">
        <w:trPr>
          <w:trHeight w:val="300"/>
        </w:trPr>
        <w:tc>
          <w:tcPr>
            <w:tcW w:w="617" w:type="pct"/>
            <w:noWrap/>
            <w:hideMark/>
          </w:tcPr>
          <w:p w14:paraId="19B9E515" w14:textId="77777777" w:rsidR="00DF2648" w:rsidRPr="00140246" w:rsidRDefault="00DF2648">
            <w:pPr>
              <w:rPr>
                <w:rFonts w:ascii="Calibri" w:hAnsi="Calibri" w:cs="Calibri"/>
              </w:rPr>
            </w:pPr>
            <w:r w:rsidRPr="00140246">
              <w:rPr>
                <w:rFonts w:ascii="Calibri" w:hAnsi="Calibri" w:cs="Calibri"/>
              </w:rPr>
              <w:t xml:space="preserve">300.0010          </w:t>
            </w:r>
          </w:p>
        </w:tc>
        <w:tc>
          <w:tcPr>
            <w:tcW w:w="356" w:type="pct"/>
            <w:noWrap/>
            <w:hideMark/>
          </w:tcPr>
          <w:p w14:paraId="0B96035D" w14:textId="77777777" w:rsidR="00DF2648" w:rsidRPr="00140246" w:rsidRDefault="00DF2648">
            <w:pPr>
              <w:rPr>
                <w:rFonts w:ascii="Calibri" w:hAnsi="Calibri" w:cs="Calibri"/>
              </w:rPr>
            </w:pPr>
            <w:r w:rsidRPr="00140246">
              <w:rPr>
                <w:rFonts w:ascii="Calibri" w:hAnsi="Calibri" w:cs="Calibri"/>
              </w:rPr>
              <w:t>m²</w:t>
            </w:r>
          </w:p>
        </w:tc>
        <w:tc>
          <w:tcPr>
            <w:tcW w:w="4027" w:type="pct"/>
            <w:hideMark/>
          </w:tcPr>
          <w:p w14:paraId="150BCB1F" w14:textId="77777777" w:rsidR="00DF2648" w:rsidRPr="00140246" w:rsidRDefault="00F417EC" w:rsidP="00DB6778">
            <w:pPr>
              <w:jc w:val="both"/>
              <w:rPr>
                <w:rFonts w:ascii="Calibri" w:hAnsi="Calibri" w:cs="Calibri"/>
              </w:rPr>
            </w:pPr>
            <w:r w:rsidRPr="00140246">
              <w:rPr>
                <w:rFonts w:ascii="Calibri" w:hAnsi="Calibri" w:cs="Calibri"/>
              </w:rPr>
              <w:t>DESPEJE Y DESBROCE DEL TERRENO POR MEDIOS MECÁNICOS i/ DESTOCONADO, ARRANQUE, CARGA Y TRANSPORTE A VERTEDERO O GESTOR AUTORIZADO HASTA UNA DISTANCIA DE 60 km.</w:t>
            </w:r>
          </w:p>
        </w:tc>
      </w:tr>
    </w:tbl>
    <w:p w14:paraId="376D53E1" w14:textId="77777777" w:rsidR="00C05D97" w:rsidRPr="00F417EC" w:rsidRDefault="00C05D97" w:rsidP="00C05D97">
      <w:pPr>
        <w:pStyle w:val="NORMAL12"/>
        <w:rPr>
          <w:lang w:val="es-ES"/>
        </w:rPr>
      </w:pPr>
      <w:r w:rsidRPr="00F417EC">
        <w:rPr>
          <w:lang w:val="es-ES"/>
        </w:rPr>
        <w:t>La ejecución de la unidad de obra comprende las siguientes operaciones:</w:t>
      </w:r>
    </w:p>
    <w:p w14:paraId="7837B487" w14:textId="77777777" w:rsidR="00C05D97" w:rsidRPr="00F417EC" w:rsidRDefault="00C05D97" w:rsidP="00221E1A">
      <w:pPr>
        <w:pStyle w:val="NORMAL12"/>
        <w:numPr>
          <w:ilvl w:val="0"/>
          <w:numId w:val="182"/>
        </w:numPr>
        <w:rPr>
          <w:lang w:val="es-ES"/>
        </w:rPr>
      </w:pPr>
      <w:r w:rsidRPr="00F417EC">
        <w:rPr>
          <w:lang w:val="es-ES"/>
        </w:rPr>
        <w:t>Retirada de la capa superficial de tierras hasta conseguir una superficie de trabajo lisa y uniforme.</w:t>
      </w:r>
    </w:p>
    <w:p w14:paraId="0C15A9E3" w14:textId="77777777" w:rsidR="00C05D97" w:rsidRPr="00F417EC" w:rsidRDefault="00C05D97" w:rsidP="00221E1A">
      <w:pPr>
        <w:pStyle w:val="NORMAL12"/>
        <w:numPr>
          <w:ilvl w:val="0"/>
          <w:numId w:val="182"/>
        </w:numPr>
        <w:rPr>
          <w:lang w:val="es-ES"/>
        </w:rPr>
      </w:pPr>
      <w:r w:rsidRPr="00F417EC">
        <w:rPr>
          <w:lang w:val="es-ES"/>
        </w:rPr>
        <w:t>Eliminación de plantas, tocones de árboles y arbustos con sus raíces, cepas, broza, escombros, basura, etc.</w:t>
      </w:r>
    </w:p>
    <w:p w14:paraId="36233345" w14:textId="77777777" w:rsidR="00C05D97" w:rsidRPr="00F417EC" w:rsidRDefault="00C05D97" w:rsidP="00221E1A">
      <w:pPr>
        <w:pStyle w:val="NORMAL12"/>
        <w:numPr>
          <w:ilvl w:val="0"/>
          <w:numId w:val="182"/>
        </w:numPr>
        <w:rPr>
          <w:lang w:val="es-ES"/>
        </w:rPr>
      </w:pPr>
      <w:r w:rsidRPr="00F417EC">
        <w:rPr>
          <w:lang w:val="es-ES"/>
        </w:rPr>
        <w:t>Carga, transporte y descarga en instalación de gestión de residuos de los materiales sobrantes</w:t>
      </w:r>
    </w:p>
    <w:p w14:paraId="7F72B4AE" w14:textId="77777777" w:rsidR="00C05D97" w:rsidRPr="00F417EC" w:rsidRDefault="00C05D97" w:rsidP="00221E1A">
      <w:pPr>
        <w:pStyle w:val="NORMAL12"/>
        <w:numPr>
          <w:ilvl w:val="0"/>
          <w:numId w:val="182"/>
        </w:numPr>
        <w:rPr>
          <w:lang w:val="es-ES"/>
        </w:rPr>
      </w:pPr>
      <w:r w:rsidRPr="00F417EC">
        <w:rPr>
          <w:lang w:val="es-ES"/>
        </w:rPr>
        <w:t>Nivelación y compactación del terreno.</w:t>
      </w:r>
    </w:p>
    <w:p w14:paraId="6E8A7683" w14:textId="77777777" w:rsidR="00C05D97" w:rsidRPr="00F417EC" w:rsidRDefault="00C05D97" w:rsidP="00C05D97">
      <w:pPr>
        <w:pStyle w:val="NORMAL12"/>
        <w:rPr>
          <w:lang w:val="es-ES"/>
        </w:rPr>
      </w:pPr>
      <w:r w:rsidRPr="00F417EC">
        <w:rPr>
          <w:lang w:val="es-ES"/>
        </w:rPr>
        <w:t xml:space="preserve">Siempre que, a juicio de la Dirección de Obra, sea conveniente incluir la capa superficial del terreno junto con la excavación de la tierra vegetal existente, no se ejecutará la unidad de desbroce como unidad independiente de la excavación de tierra vegetal. </w:t>
      </w:r>
    </w:p>
    <w:p w14:paraId="50F170CE" w14:textId="77777777" w:rsidR="00C05D97" w:rsidRPr="00F417EC" w:rsidRDefault="00C05D97" w:rsidP="000313DD">
      <w:pPr>
        <w:pStyle w:val="TITU2"/>
      </w:pPr>
      <w:bookmarkStart w:id="339" w:name="_Toc528692098"/>
      <w:bookmarkStart w:id="340" w:name="_Toc404153"/>
      <w:r w:rsidRPr="00F417EC">
        <w:t>300.2. Ejecución de las obras</w:t>
      </w:r>
      <w:bookmarkEnd w:id="339"/>
      <w:bookmarkEnd w:id="340"/>
    </w:p>
    <w:p w14:paraId="59817A5B" w14:textId="77777777" w:rsidR="00C05D97" w:rsidRPr="00F417EC" w:rsidRDefault="00C05D97" w:rsidP="00D81C53">
      <w:pPr>
        <w:pStyle w:val="TITU3"/>
        <w:numPr>
          <w:ilvl w:val="0"/>
          <w:numId w:val="0"/>
        </w:numPr>
        <w:outlineLvl w:val="3"/>
      </w:pPr>
      <w:r w:rsidRPr="00F417EC">
        <w:t>300.2.1. Remoción de los materiales de desbroce.</w:t>
      </w:r>
    </w:p>
    <w:p w14:paraId="573FE7FF" w14:textId="77777777" w:rsidR="00C05D97" w:rsidRPr="00F417EC" w:rsidRDefault="00C05D97" w:rsidP="00C05D97">
      <w:pPr>
        <w:pStyle w:val="NORMAL12"/>
        <w:rPr>
          <w:lang w:val="es-ES"/>
        </w:rPr>
      </w:pPr>
      <w:r w:rsidRPr="00F417EC">
        <w:rPr>
          <w:lang w:val="es-ES"/>
        </w:rPr>
        <w:t>Se estará en todo caso a lo dispuesto en la legislación vigente en materia medioambiental, de seguridad y salud, y de almacenamiento y transporte de productos de construcción.</w:t>
      </w:r>
    </w:p>
    <w:p w14:paraId="49B413E7" w14:textId="77777777" w:rsidR="00F417EC" w:rsidRDefault="00F417EC" w:rsidP="00F417EC">
      <w:pPr>
        <w:spacing w:before="120" w:after="120" w:line="360" w:lineRule="auto"/>
        <w:jc w:val="both"/>
        <w:rPr>
          <w:rFonts w:ascii="Arial" w:hAnsi="Arial"/>
        </w:rPr>
      </w:pPr>
      <w:r>
        <w:rPr>
          <w:rFonts w:ascii="Arial" w:hAnsi="Arial"/>
        </w:rPr>
        <w:t xml:space="preserve">Durante la ejecución de las obras el contratista debe tener en cuenta las siguientes consideraciones: </w:t>
      </w:r>
    </w:p>
    <w:p w14:paraId="1C6C5ED6" w14:textId="77777777" w:rsidR="00F417EC" w:rsidRPr="00F417EC" w:rsidRDefault="00F417EC" w:rsidP="00C05D97">
      <w:pPr>
        <w:pStyle w:val="NORMAL12"/>
        <w:rPr>
          <w:lang w:val="es-ES"/>
        </w:rPr>
      </w:pPr>
      <w:r w:rsidRPr="00F417EC">
        <w:rPr>
          <w:lang w:val="es-ES"/>
        </w:rPr>
        <w:t>El contratista debe tener en cuenta:</w:t>
      </w:r>
    </w:p>
    <w:p w14:paraId="047EEA06" w14:textId="77777777" w:rsidR="00F417EC" w:rsidRPr="00F417EC" w:rsidRDefault="00F417EC" w:rsidP="00661A5F">
      <w:pPr>
        <w:pStyle w:val="NORMAL12"/>
        <w:numPr>
          <w:ilvl w:val="0"/>
          <w:numId w:val="205"/>
        </w:numPr>
        <w:rPr>
          <w:lang w:val="es-ES"/>
        </w:rPr>
      </w:pPr>
      <w:r w:rsidRPr="00F417EC">
        <w:rPr>
          <w:lang w:val="es-ES"/>
        </w:rPr>
        <w:t>Tomará las precauciones necesarias para evitar daños en zonas que no son afectadas por la actuación.</w:t>
      </w:r>
    </w:p>
    <w:p w14:paraId="13E49716" w14:textId="77777777" w:rsidR="00F417EC" w:rsidRPr="00F417EC" w:rsidRDefault="00F417EC" w:rsidP="00661A5F">
      <w:pPr>
        <w:pStyle w:val="NORMAL12"/>
        <w:numPr>
          <w:ilvl w:val="0"/>
          <w:numId w:val="205"/>
        </w:numPr>
        <w:rPr>
          <w:lang w:val="es-ES"/>
        </w:rPr>
      </w:pPr>
      <w:r w:rsidRPr="00F417EC">
        <w:rPr>
          <w:lang w:val="es-ES"/>
        </w:rPr>
        <w:t>Evitar daños en la vegetación, objetos y servicios que deben permanecer tras las obras. Los daños sobre los mismos serán subsanados por cuenta del contratista.</w:t>
      </w:r>
    </w:p>
    <w:p w14:paraId="4384F598" w14:textId="77777777" w:rsidR="00F417EC" w:rsidRPr="00F417EC" w:rsidRDefault="00F417EC" w:rsidP="00661A5F">
      <w:pPr>
        <w:pStyle w:val="Prrafodelista"/>
        <w:numPr>
          <w:ilvl w:val="0"/>
          <w:numId w:val="205"/>
        </w:numPr>
        <w:spacing w:before="120" w:after="120" w:line="360" w:lineRule="auto"/>
        <w:jc w:val="both"/>
        <w:rPr>
          <w:rFonts w:ascii="Arial" w:hAnsi="Arial" w:cs="Arial"/>
          <w:sz w:val="24"/>
          <w:szCs w:val="24"/>
        </w:rPr>
      </w:pPr>
      <w:r w:rsidRPr="00F417EC">
        <w:rPr>
          <w:rFonts w:ascii="Arial" w:hAnsi="Arial" w:cs="Arial"/>
          <w:sz w:val="24"/>
          <w:szCs w:val="24"/>
        </w:rPr>
        <w:t>Se garantizará que en aquellos terraplenes en los que se prevea la ejecución de un cimiento con cajeado bajo la rasante de la explanación, se eliminen todos los tocones o raíces con dimensiones máximas de secciones superiores a diez centímetros (10 cm.), de tal forma que no quede ninguno dentro del cimiento ni a menos de cincuenta centímetros (50 cm.) de profundidad bajo la cota de la explanada.</w:t>
      </w:r>
    </w:p>
    <w:p w14:paraId="5ECE9073" w14:textId="77777777" w:rsidR="00F417EC" w:rsidRPr="00F417EC" w:rsidRDefault="00F417EC" w:rsidP="00661A5F">
      <w:pPr>
        <w:pStyle w:val="NORMAL12"/>
        <w:numPr>
          <w:ilvl w:val="0"/>
          <w:numId w:val="205"/>
        </w:numPr>
        <w:rPr>
          <w:lang w:val="es-ES"/>
        </w:rPr>
      </w:pPr>
      <w:r w:rsidRPr="00F417EC">
        <w:rPr>
          <w:lang w:val="es-ES"/>
        </w:rPr>
        <w:t>Igualmente se elimi</w:t>
      </w:r>
      <w:r w:rsidR="00D93E76">
        <w:rPr>
          <w:lang w:val="es-ES"/>
        </w:rPr>
        <w:t>na</w:t>
      </w:r>
      <w:r w:rsidRPr="00F417EC">
        <w:rPr>
          <w:lang w:val="es-ES"/>
        </w:rPr>
        <w:t xml:space="preserve">rán aquellos </w:t>
      </w:r>
      <w:r w:rsidR="00C05D97" w:rsidRPr="00F417EC">
        <w:rPr>
          <w:lang w:val="es-ES"/>
        </w:rPr>
        <w:t xml:space="preserve">tocones de la vegetación que a juicio del </w:t>
      </w:r>
      <w:proofErr w:type="gramStart"/>
      <w:r w:rsidR="00C05D97" w:rsidRPr="00F417EC">
        <w:rPr>
          <w:lang w:val="es-ES"/>
        </w:rPr>
        <w:t>Director</w:t>
      </w:r>
      <w:proofErr w:type="gramEnd"/>
      <w:r w:rsidR="00C05D97" w:rsidRPr="00F417EC">
        <w:rPr>
          <w:lang w:val="es-ES"/>
        </w:rPr>
        <w:t xml:space="preserve"> de las Obras sea necesario retirar, en función de las necesidades impuestas por la seguridad de circulación y de las incidencias del posterior desarrollo radicular, podrán dejarse cortados a ras de suelo.</w:t>
      </w:r>
      <w:r w:rsidRPr="00F417EC">
        <w:rPr>
          <w:lang w:val="es-ES"/>
        </w:rPr>
        <w:t xml:space="preserve"> Las oquedades resultantes de la extracción de </w:t>
      </w:r>
      <w:proofErr w:type="gramStart"/>
      <w:r w:rsidRPr="00F417EC">
        <w:rPr>
          <w:lang w:val="es-ES"/>
        </w:rPr>
        <w:t>tocones,</w:t>
      </w:r>
      <w:proofErr w:type="gramEnd"/>
      <w:r w:rsidRPr="00F417EC">
        <w:rPr>
          <w:lang w:val="es-ES"/>
        </w:rPr>
        <w:t xml:space="preserve"> se rellenarán con suelo seleccionado y compactado hasta enrasar con la superficie adyacente. </w:t>
      </w:r>
    </w:p>
    <w:p w14:paraId="35886983" w14:textId="77777777" w:rsidR="00C05D97" w:rsidRPr="00F417EC" w:rsidRDefault="00F417EC" w:rsidP="00661A5F">
      <w:pPr>
        <w:pStyle w:val="NORMAL12"/>
        <w:numPr>
          <w:ilvl w:val="0"/>
          <w:numId w:val="205"/>
        </w:numPr>
        <w:rPr>
          <w:lang w:val="es-ES"/>
        </w:rPr>
      </w:pPr>
      <w:r w:rsidRPr="00F417EC">
        <w:rPr>
          <w:lang w:val="es-ES"/>
        </w:rPr>
        <w:t xml:space="preserve">Los huecos en la zona de explanada se rellenarán con suelo seleccionado y compactados hasta el 98 % del </w:t>
      </w:r>
      <w:proofErr w:type="spellStart"/>
      <w:r w:rsidR="00D93E76" w:rsidRPr="00F417EC">
        <w:rPr>
          <w:lang w:val="es-ES"/>
        </w:rPr>
        <w:t>Próctor</w:t>
      </w:r>
      <w:proofErr w:type="spellEnd"/>
      <w:r w:rsidRPr="00F417EC">
        <w:rPr>
          <w:lang w:val="es-ES"/>
        </w:rPr>
        <w:t xml:space="preserve">, o según las indicaciones del </w:t>
      </w:r>
      <w:proofErr w:type="gramStart"/>
      <w:r w:rsidRPr="00F417EC">
        <w:rPr>
          <w:lang w:val="es-ES"/>
        </w:rPr>
        <w:t>Director</w:t>
      </w:r>
      <w:proofErr w:type="gramEnd"/>
      <w:r w:rsidRPr="00F417EC">
        <w:rPr>
          <w:lang w:val="es-ES"/>
        </w:rPr>
        <w:t xml:space="preserve"> de Obra. </w:t>
      </w:r>
    </w:p>
    <w:p w14:paraId="4D44A958" w14:textId="77777777" w:rsidR="00C05D97" w:rsidRPr="0033419C" w:rsidRDefault="00C05D97" w:rsidP="00C05D97">
      <w:pPr>
        <w:pStyle w:val="NORMAL12"/>
        <w:rPr>
          <w:lang w:val="es-ES"/>
        </w:rPr>
      </w:pPr>
      <w:r w:rsidRPr="00F417EC">
        <w:rPr>
          <w:lang w:val="es-ES"/>
        </w:rPr>
        <w:lastRenderedPageBreak/>
        <w:t xml:space="preserve">Todos los pozos y agujeros que queden dentro de la explanación se rellenarán </w:t>
      </w:r>
      <w:r w:rsidRPr="0033419C">
        <w:rPr>
          <w:lang w:val="es-ES"/>
        </w:rPr>
        <w:t xml:space="preserve">conforme a las instrucciones del </w:t>
      </w:r>
      <w:proofErr w:type="gramStart"/>
      <w:r w:rsidRPr="0033419C">
        <w:rPr>
          <w:lang w:val="es-ES"/>
        </w:rPr>
        <w:t>Director</w:t>
      </w:r>
      <w:proofErr w:type="gramEnd"/>
      <w:r w:rsidRPr="0033419C">
        <w:rPr>
          <w:lang w:val="es-ES"/>
        </w:rPr>
        <w:t xml:space="preserve"> de las Obras.</w:t>
      </w:r>
    </w:p>
    <w:p w14:paraId="5E217E3E" w14:textId="77777777" w:rsidR="00C05D97" w:rsidRPr="0033419C" w:rsidRDefault="00C05D97" w:rsidP="00D81C53">
      <w:pPr>
        <w:pStyle w:val="TITU3"/>
        <w:numPr>
          <w:ilvl w:val="0"/>
          <w:numId w:val="0"/>
        </w:numPr>
        <w:outlineLvl w:val="3"/>
      </w:pPr>
      <w:r w:rsidRPr="0033419C">
        <w:t>300.2.2. Retirada y disposición de los materiales objeto del desbroce.</w:t>
      </w:r>
    </w:p>
    <w:p w14:paraId="45F4F23B" w14:textId="77777777" w:rsidR="00F417EC" w:rsidRPr="0033419C" w:rsidRDefault="00F417EC" w:rsidP="00C05D97">
      <w:pPr>
        <w:pStyle w:val="NORMAL12"/>
        <w:rPr>
          <w:lang w:val="es-ES"/>
        </w:rPr>
      </w:pPr>
      <w:r w:rsidRPr="0033419C">
        <w:rPr>
          <w:lang w:val="es-ES"/>
        </w:rPr>
        <w:t>Los productos forestales, no sus</w:t>
      </w:r>
      <w:r w:rsidR="00C05D97" w:rsidRPr="0033419C">
        <w:rPr>
          <w:lang w:val="es-ES"/>
        </w:rPr>
        <w:t xml:space="preserve">ceptibles de aprovechamiento, serán </w:t>
      </w:r>
      <w:r w:rsidR="00340697">
        <w:rPr>
          <w:lang w:val="es-ES"/>
        </w:rPr>
        <w:t>llevados a vertedero</w:t>
      </w:r>
      <w:r w:rsidRPr="0033419C">
        <w:rPr>
          <w:lang w:val="es-ES"/>
        </w:rPr>
        <w:t xml:space="preserve">. En todo caso se evitarán daños a la vegetación y bienes próximos. </w:t>
      </w:r>
    </w:p>
    <w:p w14:paraId="60FD95E0" w14:textId="77777777" w:rsidR="0033419C" w:rsidRDefault="00C05D97" w:rsidP="00C05D97">
      <w:pPr>
        <w:pStyle w:val="NORMAL12"/>
        <w:rPr>
          <w:lang w:val="es-ES"/>
        </w:rPr>
      </w:pPr>
      <w:r w:rsidRPr="0033419C">
        <w:rPr>
          <w:lang w:val="es-ES"/>
        </w:rPr>
        <w:t xml:space="preserve">La tierra vegetal procedente del desbroce </w:t>
      </w:r>
      <w:r w:rsidR="0033419C" w:rsidRPr="0033419C">
        <w:rPr>
          <w:lang w:val="es-ES"/>
        </w:rPr>
        <w:t xml:space="preserve">se </w:t>
      </w:r>
      <w:r w:rsidR="00340697">
        <w:rPr>
          <w:lang w:val="es-ES"/>
        </w:rPr>
        <w:t xml:space="preserve">eliminará en vertedero salvo indicación expresa del </w:t>
      </w:r>
      <w:proofErr w:type="gramStart"/>
      <w:r w:rsidR="00340697">
        <w:rPr>
          <w:lang w:val="es-ES"/>
        </w:rPr>
        <w:t>Director</w:t>
      </w:r>
      <w:proofErr w:type="gramEnd"/>
      <w:r w:rsidR="00340697">
        <w:rPr>
          <w:lang w:val="es-ES"/>
        </w:rPr>
        <w:t xml:space="preserve"> de Obra</w:t>
      </w:r>
    </w:p>
    <w:p w14:paraId="7B6BA769" w14:textId="77777777" w:rsidR="0033419C" w:rsidRDefault="0033419C" w:rsidP="00C05D97">
      <w:pPr>
        <w:pStyle w:val="NORMAL12"/>
        <w:rPr>
          <w:lang w:val="es-ES"/>
        </w:rPr>
      </w:pPr>
      <w:r w:rsidRPr="0033419C">
        <w:rPr>
          <w:lang w:val="es-ES"/>
        </w:rPr>
        <w:t>En el caso de acopios se guardarán en montones de a</w:t>
      </w:r>
      <w:r w:rsidR="00C05D97" w:rsidRPr="0033419C">
        <w:rPr>
          <w:lang w:val="es-ES"/>
        </w:rPr>
        <w:t>ltura n</w:t>
      </w:r>
      <w:r>
        <w:rPr>
          <w:lang w:val="es-ES"/>
        </w:rPr>
        <w:t xml:space="preserve">o superior a dos metros (2 m), </w:t>
      </w:r>
      <w:r w:rsidR="00D93E76">
        <w:rPr>
          <w:lang w:val="es-ES"/>
        </w:rPr>
        <w:t>evitando</w:t>
      </w:r>
      <w:r>
        <w:rPr>
          <w:lang w:val="es-ES"/>
        </w:rPr>
        <w:t xml:space="preserve"> el paso de vehículo o sobrecargas sobre ellos.</w:t>
      </w:r>
    </w:p>
    <w:p w14:paraId="6C025CB4" w14:textId="77777777" w:rsidR="00340697" w:rsidRDefault="00340697" w:rsidP="000313DD">
      <w:pPr>
        <w:pStyle w:val="TITU2"/>
      </w:pPr>
      <w:bookmarkStart w:id="341" w:name="_Toc404154"/>
      <w:r w:rsidRPr="00F417EC">
        <w:t>300.</w:t>
      </w:r>
      <w:r>
        <w:t>3</w:t>
      </w:r>
      <w:r w:rsidRPr="00F417EC">
        <w:t xml:space="preserve">. </w:t>
      </w:r>
      <w:r>
        <w:t>Criterios de aceptación o rechazo</w:t>
      </w:r>
      <w:bookmarkEnd w:id="341"/>
    </w:p>
    <w:p w14:paraId="31AB6572" w14:textId="77777777" w:rsidR="00340697" w:rsidRPr="00340697" w:rsidRDefault="00340697" w:rsidP="00340697">
      <w:pPr>
        <w:pStyle w:val="NORMAL12"/>
        <w:rPr>
          <w:lang w:val="es-ES"/>
        </w:rPr>
      </w:pPr>
      <w:r w:rsidRPr="00340697">
        <w:rPr>
          <w:lang w:val="es-ES"/>
        </w:rPr>
        <w:t>La aceptación de la unidad se producirá cuando:</w:t>
      </w:r>
    </w:p>
    <w:p w14:paraId="175F8A3A" w14:textId="77777777" w:rsidR="00340697" w:rsidRPr="00340697" w:rsidRDefault="00340697" w:rsidP="00661A5F">
      <w:pPr>
        <w:pStyle w:val="NORMAL12"/>
        <w:numPr>
          <w:ilvl w:val="0"/>
          <w:numId w:val="205"/>
        </w:numPr>
        <w:rPr>
          <w:lang w:val="es-ES"/>
        </w:rPr>
      </w:pPr>
      <w:r w:rsidRPr="00340697">
        <w:rPr>
          <w:lang w:val="es-ES"/>
        </w:rPr>
        <w:t>Se haya llevado a cabo la limpieza y retirada de todos los elementos relacionados en este artículo.</w:t>
      </w:r>
    </w:p>
    <w:p w14:paraId="4746954F" w14:textId="77777777" w:rsidR="00340697" w:rsidRPr="00340697" w:rsidRDefault="00340697" w:rsidP="00661A5F">
      <w:pPr>
        <w:pStyle w:val="NORMAL12"/>
        <w:numPr>
          <w:ilvl w:val="0"/>
          <w:numId w:val="205"/>
        </w:numPr>
        <w:rPr>
          <w:lang w:val="es-ES"/>
        </w:rPr>
      </w:pPr>
      <w:r w:rsidRPr="00340697">
        <w:rPr>
          <w:lang w:val="es-ES"/>
        </w:rPr>
        <w:t>No queden capas de hormigón o material duro por debajo de la superficie de despeje y desbroce.</w:t>
      </w:r>
    </w:p>
    <w:p w14:paraId="79DAC10D" w14:textId="77777777" w:rsidR="00340697" w:rsidRPr="00340697" w:rsidRDefault="00340697" w:rsidP="00340697">
      <w:pPr>
        <w:pStyle w:val="NORMAL12"/>
        <w:rPr>
          <w:i/>
          <w:u w:val="single"/>
          <w:lang w:val="es-ES"/>
        </w:rPr>
      </w:pPr>
      <w:r w:rsidRPr="00340697">
        <w:rPr>
          <w:i/>
          <w:u w:val="single"/>
          <w:lang w:val="es-ES"/>
        </w:rPr>
        <w:t>Criterios de aceptación o rechazo</w:t>
      </w:r>
    </w:p>
    <w:p w14:paraId="582D0941" w14:textId="77777777" w:rsidR="00340697" w:rsidRDefault="00340697" w:rsidP="00340697">
      <w:pPr>
        <w:pStyle w:val="NORMAL12"/>
        <w:rPr>
          <w:lang w:val="es-ES"/>
        </w:rPr>
      </w:pPr>
      <w:r w:rsidRPr="00340697">
        <w:rPr>
          <w:lang w:val="es-ES"/>
        </w:rPr>
        <w:t xml:space="preserve">Si no se ha retirado todo el material, sin la superficie </w:t>
      </w:r>
      <w:proofErr w:type="gramStart"/>
      <w:r w:rsidRPr="00340697">
        <w:rPr>
          <w:lang w:val="es-ES"/>
        </w:rPr>
        <w:t>limpia  y</w:t>
      </w:r>
      <w:proofErr w:type="gramEnd"/>
      <w:r w:rsidRPr="00340697">
        <w:rPr>
          <w:lang w:val="es-ES"/>
        </w:rPr>
        <w:t xml:space="preserve"> quedan capas duras de material por debajo de la zona despejada, se subsanará por cuenta del contratista.</w:t>
      </w:r>
    </w:p>
    <w:p w14:paraId="52C8F46E" w14:textId="77777777" w:rsidR="00340697" w:rsidRDefault="00340697" w:rsidP="000313DD">
      <w:pPr>
        <w:pStyle w:val="TITU2"/>
      </w:pPr>
      <w:bookmarkStart w:id="342" w:name="_Toc404155"/>
      <w:r w:rsidRPr="00F417EC">
        <w:t>300.</w:t>
      </w:r>
      <w:r>
        <w:t>4</w:t>
      </w:r>
      <w:r w:rsidRPr="00F417EC">
        <w:t xml:space="preserve">. </w:t>
      </w:r>
      <w:r w:rsidR="00D863A8">
        <w:t>Medición y abono</w:t>
      </w:r>
      <w:bookmarkEnd w:id="342"/>
    </w:p>
    <w:p w14:paraId="0255F66F" w14:textId="77777777" w:rsidR="00340697" w:rsidRPr="00340697" w:rsidRDefault="00340697" w:rsidP="00340697">
      <w:pPr>
        <w:spacing w:before="120" w:after="120" w:line="360" w:lineRule="auto"/>
        <w:jc w:val="both"/>
        <w:rPr>
          <w:rFonts w:ascii="Arial" w:hAnsi="Arial"/>
        </w:rPr>
      </w:pPr>
      <w:r w:rsidRPr="00340697">
        <w:rPr>
          <w:rFonts w:ascii="Arial" w:hAnsi="Arial"/>
        </w:rPr>
        <w:t>La medición y abono de la unidad de obra se realizará conforme a las especificaciones siguientes: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19"/>
        <w:gridCol w:w="6264"/>
      </w:tblGrid>
      <w:tr w:rsidR="00340697" w:rsidRPr="00340697" w14:paraId="7890427B" w14:textId="77777777" w:rsidTr="00AD7EF1">
        <w:trPr>
          <w:trHeight w:val="358"/>
        </w:trPr>
        <w:tc>
          <w:tcPr>
            <w:tcW w:w="1626" w:type="pct"/>
            <w:vAlign w:val="center"/>
          </w:tcPr>
          <w:p w14:paraId="36DBA4F7" w14:textId="77777777" w:rsidR="00340697" w:rsidRPr="007A63D2" w:rsidRDefault="00340697" w:rsidP="00340697">
            <w:pPr>
              <w:keepNext/>
              <w:keepLines/>
              <w:spacing w:before="120" w:after="120"/>
              <w:jc w:val="center"/>
              <w:rPr>
                <w:rFonts w:ascii="Arial" w:hAnsi="Arial" w:cs="Arial"/>
                <w:b/>
                <w:bCs/>
                <w:sz w:val="20"/>
                <w:szCs w:val="20"/>
              </w:rPr>
            </w:pPr>
            <w:r w:rsidRPr="007A63D2">
              <w:rPr>
                <w:rFonts w:ascii="Arial" w:hAnsi="Arial" w:cs="Arial"/>
                <w:b/>
                <w:bCs/>
                <w:sz w:val="20"/>
                <w:szCs w:val="20"/>
              </w:rPr>
              <w:t>Unidad de medida</w:t>
            </w:r>
          </w:p>
        </w:tc>
        <w:tc>
          <w:tcPr>
            <w:tcW w:w="3374" w:type="pct"/>
            <w:vAlign w:val="center"/>
          </w:tcPr>
          <w:p w14:paraId="23546AC1" w14:textId="77777777" w:rsidR="00340697" w:rsidRPr="007A63D2" w:rsidRDefault="00340697" w:rsidP="00340697">
            <w:pPr>
              <w:keepNext/>
              <w:keepLines/>
              <w:spacing w:before="120" w:after="120"/>
              <w:rPr>
                <w:rFonts w:ascii="Arial" w:hAnsi="Arial" w:cs="Arial"/>
                <w:sz w:val="20"/>
                <w:szCs w:val="20"/>
              </w:rPr>
            </w:pPr>
            <w:r w:rsidRPr="007A63D2">
              <w:rPr>
                <w:rFonts w:ascii="Arial" w:hAnsi="Arial" w:cs="Arial"/>
                <w:sz w:val="20"/>
                <w:szCs w:val="20"/>
              </w:rPr>
              <w:t>metro cuadrado (m</w:t>
            </w:r>
            <w:r w:rsidRPr="00140246">
              <w:rPr>
                <w:rFonts w:ascii="Arial" w:hAnsi="Arial" w:cs="Arial"/>
                <w:sz w:val="20"/>
                <w:szCs w:val="20"/>
                <w:vertAlign w:val="superscript"/>
              </w:rPr>
              <w:t>2</w:t>
            </w:r>
            <w:r w:rsidRPr="007A63D2">
              <w:rPr>
                <w:rFonts w:ascii="Arial" w:hAnsi="Arial" w:cs="Arial"/>
                <w:sz w:val="20"/>
                <w:szCs w:val="20"/>
              </w:rPr>
              <w:t>)</w:t>
            </w:r>
          </w:p>
        </w:tc>
      </w:tr>
      <w:tr w:rsidR="00340697" w:rsidRPr="00340697" w14:paraId="3691446F" w14:textId="77777777" w:rsidTr="00AD7EF1">
        <w:trPr>
          <w:trHeight w:val="347"/>
        </w:trPr>
        <w:tc>
          <w:tcPr>
            <w:tcW w:w="1626" w:type="pct"/>
            <w:vAlign w:val="center"/>
          </w:tcPr>
          <w:p w14:paraId="515356C1" w14:textId="77777777" w:rsidR="00340697" w:rsidRPr="007A63D2" w:rsidRDefault="00340697" w:rsidP="00340697">
            <w:pPr>
              <w:keepNext/>
              <w:keepLines/>
              <w:spacing w:before="120" w:after="120"/>
              <w:jc w:val="center"/>
              <w:rPr>
                <w:rFonts w:ascii="Arial" w:hAnsi="Arial" w:cs="Arial"/>
                <w:b/>
                <w:bCs/>
                <w:sz w:val="20"/>
                <w:szCs w:val="20"/>
              </w:rPr>
            </w:pPr>
            <w:r w:rsidRPr="007A63D2">
              <w:rPr>
                <w:rFonts w:ascii="Arial" w:hAnsi="Arial" w:cs="Arial"/>
                <w:b/>
                <w:bCs/>
                <w:sz w:val="20"/>
                <w:szCs w:val="20"/>
              </w:rPr>
              <w:t>Grado de precisión</w:t>
            </w:r>
          </w:p>
        </w:tc>
        <w:tc>
          <w:tcPr>
            <w:tcW w:w="3374" w:type="pct"/>
            <w:vAlign w:val="center"/>
          </w:tcPr>
          <w:p w14:paraId="0533FD83" w14:textId="77777777" w:rsidR="00340697" w:rsidRPr="007A63D2" w:rsidRDefault="00340697" w:rsidP="00340697">
            <w:pPr>
              <w:keepNext/>
              <w:keepLines/>
              <w:spacing w:before="120" w:after="120"/>
              <w:rPr>
                <w:rFonts w:ascii="Arial" w:hAnsi="Arial" w:cs="Arial"/>
                <w:sz w:val="20"/>
                <w:szCs w:val="20"/>
              </w:rPr>
            </w:pPr>
            <w:r w:rsidRPr="007A63D2">
              <w:rPr>
                <w:rFonts w:ascii="Arial" w:hAnsi="Arial" w:cs="Arial"/>
                <w:sz w:val="20"/>
                <w:szCs w:val="20"/>
              </w:rPr>
              <w:t>Dos (2) decimales</w:t>
            </w:r>
          </w:p>
        </w:tc>
      </w:tr>
      <w:tr w:rsidR="00340697" w:rsidRPr="00340697" w14:paraId="6BDA5B51" w14:textId="77777777" w:rsidTr="00AD7EF1">
        <w:trPr>
          <w:trHeight w:val="925"/>
        </w:trPr>
        <w:tc>
          <w:tcPr>
            <w:tcW w:w="1626" w:type="pct"/>
            <w:vAlign w:val="center"/>
          </w:tcPr>
          <w:p w14:paraId="7DFB38DA" w14:textId="77777777" w:rsidR="00340697" w:rsidRPr="007A63D2" w:rsidRDefault="00340697" w:rsidP="00340697">
            <w:pPr>
              <w:keepNext/>
              <w:keepLines/>
              <w:spacing w:before="120" w:after="120"/>
              <w:jc w:val="center"/>
              <w:rPr>
                <w:rFonts w:ascii="Arial" w:hAnsi="Arial" w:cs="Arial"/>
                <w:b/>
                <w:bCs/>
                <w:sz w:val="20"/>
                <w:szCs w:val="20"/>
              </w:rPr>
            </w:pPr>
            <w:r w:rsidRPr="007A63D2">
              <w:rPr>
                <w:rFonts w:ascii="Arial" w:hAnsi="Arial" w:cs="Arial"/>
                <w:b/>
                <w:bCs/>
                <w:sz w:val="20"/>
                <w:szCs w:val="20"/>
              </w:rPr>
              <w:t>Forma de medición</w:t>
            </w:r>
          </w:p>
        </w:tc>
        <w:tc>
          <w:tcPr>
            <w:tcW w:w="3374" w:type="pct"/>
            <w:vAlign w:val="center"/>
          </w:tcPr>
          <w:p w14:paraId="29C0FDEE" w14:textId="77777777" w:rsidR="00340697" w:rsidRPr="007A63D2" w:rsidRDefault="00340697" w:rsidP="00340697">
            <w:pPr>
              <w:keepNext/>
              <w:keepLines/>
              <w:spacing w:before="120" w:after="120"/>
              <w:rPr>
                <w:rFonts w:ascii="Arial" w:hAnsi="Arial" w:cs="Arial"/>
                <w:sz w:val="20"/>
                <w:szCs w:val="20"/>
              </w:rPr>
            </w:pPr>
            <w:r w:rsidRPr="007A63D2">
              <w:rPr>
                <w:rFonts w:ascii="Arial" w:hAnsi="Arial" w:cs="Arial"/>
                <w:sz w:val="20"/>
                <w:szCs w:val="20"/>
              </w:rPr>
              <w:t>Se medirá por metros cuadrados (m</w:t>
            </w:r>
            <w:r w:rsidRPr="007A63D2">
              <w:rPr>
                <w:rFonts w:ascii="Arial" w:hAnsi="Arial" w:cs="Arial"/>
                <w:sz w:val="20"/>
                <w:szCs w:val="20"/>
                <w:vertAlign w:val="superscript"/>
              </w:rPr>
              <w:t>2</w:t>
            </w:r>
            <w:r w:rsidRPr="007A63D2">
              <w:rPr>
                <w:rFonts w:ascii="Arial" w:hAnsi="Arial" w:cs="Arial"/>
                <w:sz w:val="20"/>
                <w:szCs w:val="20"/>
              </w:rPr>
              <w:t>) según la superficie realmente despejada y desbrozada y posteriormente nivelada y compactada, de acuerdo con los límites de obra definidos en los planos, medidos sobre la proyección horizontal del terreno.</w:t>
            </w:r>
          </w:p>
        </w:tc>
      </w:tr>
      <w:tr w:rsidR="00340697" w:rsidRPr="00340697" w14:paraId="31C7152F" w14:textId="77777777" w:rsidTr="00AD7EF1">
        <w:trPr>
          <w:trHeight w:val="347"/>
        </w:trPr>
        <w:tc>
          <w:tcPr>
            <w:tcW w:w="1626" w:type="pct"/>
            <w:vAlign w:val="center"/>
          </w:tcPr>
          <w:p w14:paraId="32EE13AF" w14:textId="77777777" w:rsidR="00340697" w:rsidRPr="007A63D2" w:rsidRDefault="00340697" w:rsidP="00340697">
            <w:pPr>
              <w:keepNext/>
              <w:keepLines/>
              <w:spacing w:before="120" w:after="120"/>
              <w:jc w:val="center"/>
              <w:rPr>
                <w:rFonts w:ascii="Arial" w:hAnsi="Arial" w:cs="Arial"/>
                <w:b/>
                <w:bCs/>
                <w:sz w:val="20"/>
                <w:szCs w:val="20"/>
              </w:rPr>
            </w:pPr>
            <w:r w:rsidRPr="007A63D2">
              <w:rPr>
                <w:rFonts w:ascii="Arial" w:hAnsi="Arial" w:cs="Arial"/>
                <w:b/>
                <w:bCs/>
                <w:sz w:val="20"/>
                <w:szCs w:val="20"/>
              </w:rPr>
              <w:t>Abono</w:t>
            </w:r>
          </w:p>
        </w:tc>
        <w:tc>
          <w:tcPr>
            <w:tcW w:w="3374" w:type="pct"/>
            <w:vAlign w:val="center"/>
          </w:tcPr>
          <w:p w14:paraId="7275F1B8" w14:textId="77777777" w:rsidR="00340697" w:rsidRPr="007A63D2" w:rsidRDefault="00340697" w:rsidP="00340697">
            <w:pPr>
              <w:keepNext/>
              <w:keepLines/>
              <w:spacing w:before="120" w:after="120"/>
              <w:rPr>
                <w:rFonts w:ascii="Arial" w:hAnsi="Arial" w:cs="Arial"/>
                <w:sz w:val="20"/>
                <w:szCs w:val="20"/>
              </w:rPr>
            </w:pPr>
            <w:r w:rsidRPr="007A63D2">
              <w:rPr>
                <w:rFonts w:ascii="Arial" w:hAnsi="Arial" w:cs="Arial"/>
                <w:sz w:val="20"/>
                <w:szCs w:val="20"/>
              </w:rPr>
              <w:t>Se efectuará cuando se realice la aceptación</w:t>
            </w:r>
          </w:p>
        </w:tc>
      </w:tr>
      <w:tr w:rsidR="00340697" w:rsidRPr="00340697" w14:paraId="5851A237" w14:textId="77777777" w:rsidTr="00AD7EF1">
        <w:trPr>
          <w:trHeight w:val="736"/>
        </w:trPr>
        <w:tc>
          <w:tcPr>
            <w:tcW w:w="1626" w:type="pct"/>
            <w:vAlign w:val="center"/>
          </w:tcPr>
          <w:p w14:paraId="3D8470EF" w14:textId="77777777" w:rsidR="00340697" w:rsidRPr="007A63D2" w:rsidRDefault="00340697" w:rsidP="00340697">
            <w:pPr>
              <w:keepNext/>
              <w:keepLines/>
              <w:spacing w:before="120" w:after="120"/>
              <w:jc w:val="center"/>
              <w:rPr>
                <w:rFonts w:ascii="Arial" w:hAnsi="Arial" w:cs="Arial"/>
                <w:b/>
                <w:bCs/>
                <w:sz w:val="20"/>
                <w:szCs w:val="20"/>
              </w:rPr>
            </w:pPr>
            <w:r w:rsidRPr="007A63D2">
              <w:rPr>
                <w:rFonts w:ascii="Arial" w:hAnsi="Arial" w:cs="Arial"/>
                <w:b/>
                <w:bCs/>
                <w:sz w:val="20"/>
                <w:szCs w:val="20"/>
              </w:rPr>
              <w:t>Criterios complementarios</w:t>
            </w:r>
          </w:p>
        </w:tc>
        <w:tc>
          <w:tcPr>
            <w:tcW w:w="3374" w:type="pct"/>
            <w:vAlign w:val="center"/>
          </w:tcPr>
          <w:p w14:paraId="1CED57E5" w14:textId="77777777" w:rsidR="00340697" w:rsidRPr="007A63D2" w:rsidRDefault="00340697" w:rsidP="00340697">
            <w:pPr>
              <w:keepNext/>
              <w:keepLines/>
              <w:spacing w:before="120" w:after="120"/>
              <w:rPr>
                <w:rFonts w:ascii="Arial" w:hAnsi="Arial" w:cs="Arial"/>
                <w:strike/>
                <w:sz w:val="20"/>
                <w:szCs w:val="20"/>
              </w:rPr>
            </w:pPr>
            <w:r w:rsidRPr="007A63D2">
              <w:rPr>
                <w:rFonts w:ascii="Arial" w:hAnsi="Arial" w:cs="Arial"/>
                <w:sz w:val="20"/>
                <w:szCs w:val="20"/>
              </w:rPr>
              <w:t xml:space="preserve">La unidad incluye arranque de arbustos, tocones, broza y escombros, así como la carga y transporte a instalación de gestión de residuos. </w:t>
            </w:r>
          </w:p>
        </w:tc>
      </w:tr>
    </w:tbl>
    <w:p w14:paraId="4EC8F065" w14:textId="77777777" w:rsidR="00340697" w:rsidRPr="00340697" w:rsidRDefault="00340697" w:rsidP="00340697">
      <w:pPr>
        <w:spacing w:before="120" w:after="120" w:line="360" w:lineRule="auto"/>
        <w:ind w:firstLine="851"/>
        <w:jc w:val="both"/>
        <w:rPr>
          <w:rFonts w:ascii="Arial" w:hAnsi="Arial"/>
          <w:color w:val="FF0000"/>
          <w:sz w:val="22"/>
          <w:szCs w:val="20"/>
        </w:rPr>
      </w:pPr>
    </w:p>
    <w:p w14:paraId="0DBB396C" w14:textId="77777777" w:rsidR="00340697" w:rsidRPr="00340697" w:rsidRDefault="00340697" w:rsidP="00340697">
      <w:pPr>
        <w:pStyle w:val="NORMAL12"/>
        <w:rPr>
          <w:lang w:val="es-ES"/>
        </w:rPr>
      </w:pPr>
    </w:p>
    <w:p w14:paraId="629698D5" w14:textId="77777777" w:rsidR="00340697" w:rsidRPr="00340697" w:rsidRDefault="00340697" w:rsidP="00340697">
      <w:pPr>
        <w:pStyle w:val="NORMAL12"/>
        <w:rPr>
          <w:lang w:val="es-ES"/>
        </w:rPr>
      </w:pPr>
    </w:p>
    <w:p w14:paraId="467210D9" w14:textId="77777777" w:rsidR="00563428" w:rsidRPr="00016787" w:rsidRDefault="00563428" w:rsidP="00563428">
      <w:pPr>
        <w:pStyle w:val="NORMAL12"/>
        <w:rPr>
          <w:lang w:val="es-ES"/>
        </w:rPr>
      </w:pPr>
    </w:p>
    <w:p w14:paraId="20FD3D22" w14:textId="77777777" w:rsidR="00636667" w:rsidRPr="006B7EDC" w:rsidRDefault="00636667" w:rsidP="00636667">
      <w:pPr>
        <w:pStyle w:val="TITU1"/>
        <w:rPr>
          <w:lang w:val="es-ES_tradnl"/>
        </w:rPr>
      </w:pPr>
      <w:bookmarkStart w:id="343" w:name="_Toc404156"/>
      <w:r w:rsidRPr="00AE15E0">
        <w:rPr>
          <w:lang w:val="es-ES_tradnl"/>
        </w:rPr>
        <w:lastRenderedPageBreak/>
        <w:t>Artículo 301. Demoliciones</w:t>
      </w:r>
      <w:bookmarkEnd w:id="343"/>
    </w:p>
    <w:p w14:paraId="2E1F1533" w14:textId="77777777" w:rsidR="00636667" w:rsidRPr="006B7EDC" w:rsidRDefault="00636667" w:rsidP="00636667">
      <w:pPr>
        <w:pStyle w:val="NORMAL12"/>
        <w:rPr>
          <w:lang w:val="es-ES"/>
        </w:rPr>
      </w:pPr>
      <w:r w:rsidRPr="006B7EDC">
        <w:rPr>
          <w:lang w:val="es-ES"/>
        </w:rPr>
        <w:t>Excepto para lo especificado en el presente Pliego de Prescripciones Técnicas particulares se seguirá lo prescrito en el vigente artículo 301 del PG-3.</w:t>
      </w:r>
    </w:p>
    <w:p w14:paraId="797D02D1" w14:textId="77777777" w:rsidR="00636667" w:rsidRPr="006B7EDC" w:rsidRDefault="00636667" w:rsidP="000313DD">
      <w:pPr>
        <w:pStyle w:val="TITU2"/>
      </w:pPr>
      <w:bookmarkStart w:id="344" w:name="_Toc404157"/>
      <w:r w:rsidRPr="006B7EDC">
        <w:t>301.1. Definición</w:t>
      </w:r>
      <w:bookmarkEnd w:id="344"/>
    </w:p>
    <w:p w14:paraId="4BE1FC18" w14:textId="77777777" w:rsidR="00636667" w:rsidRPr="006B7EDC" w:rsidRDefault="00636667" w:rsidP="00636667">
      <w:pPr>
        <w:pStyle w:val="NORMAL12"/>
        <w:rPr>
          <w:lang w:val="es-ES"/>
        </w:rPr>
      </w:pPr>
      <w:r w:rsidRPr="006B7EDC">
        <w:rPr>
          <w:lang w:val="es-ES"/>
        </w:rPr>
        <w:t xml:space="preserve">Este artículo </w:t>
      </w:r>
      <w:proofErr w:type="gramStart"/>
      <w:r w:rsidRPr="006B7EDC">
        <w:rPr>
          <w:lang w:val="es-ES"/>
        </w:rPr>
        <w:t>es de aplicación</w:t>
      </w:r>
      <w:proofErr w:type="gramEnd"/>
      <w:r w:rsidRPr="006B7EDC">
        <w:rPr>
          <w:lang w:val="es-ES"/>
        </w:rPr>
        <w:t xml:space="preserve"> a las unidades de obra consistentes en el derribo de todas las construcciones o elementos constructivos, tales como aceras, firmes, fábricas de hormigón u otros, que sea necesario eliminar para la adecuada ejecución de la obra.</w:t>
      </w:r>
    </w:p>
    <w:p w14:paraId="3790FB69" w14:textId="77777777" w:rsidR="00636667" w:rsidRPr="006B7EDC" w:rsidRDefault="00636667" w:rsidP="000313DD">
      <w:pPr>
        <w:pStyle w:val="TITU2"/>
      </w:pPr>
      <w:bookmarkStart w:id="345" w:name="_Toc404158"/>
      <w:r w:rsidRPr="006B7EDC">
        <w:t>301.2. Aplicación</w:t>
      </w:r>
      <w:bookmarkEnd w:id="345"/>
    </w:p>
    <w:p w14:paraId="5009CB0D" w14:textId="77777777" w:rsidR="00636667" w:rsidRPr="00140246" w:rsidRDefault="00636667" w:rsidP="00636667">
      <w:pPr>
        <w:pStyle w:val="NORMAL12"/>
        <w:rPr>
          <w:lang w:val="es-ES"/>
        </w:rPr>
      </w:pPr>
      <w:r w:rsidRPr="006B7EDC">
        <w:rPr>
          <w:lang w:val="es-ES"/>
        </w:rPr>
        <w:t xml:space="preserve">Las prescripciones del presente artículo </w:t>
      </w:r>
      <w:proofErr w:type="gramStart"/>
      <w:r w:rsidRPr="006B7EDC">
        <w:rPr>
          <w:lang w:val="es-ES"/>
        </w:rPr>
        <w:t>son de aplicación</w:t>
      </w:r>
      <w:proofErr w:type="gramEnd"/>
      <w:r w:rsidRPr="006B7EDC">
        <w:rPr>
          <w:lang w:val="es-ES"/>
        </w:rPr>
        <w:t xml:space="preserve"> a las unidades de obra </w:t>
      </w:r>
      <w:r w:rsidRPr="00140246">
        <w:rPr>
          <w:lang w:val="es-ES"/>
        </w:rPr>
        <w:t>siguientes:</w:t>
      </w:r>
    </w:p>
    <w:tbl>
      <w:tblPr>
        <w:tblW w:w="5000" w:type="pct"/>
        <w:tblCellMar>
          <w:left w:w="70" w:type="dxa"/>
          <w:right w:w="70" w:type="dxa"/>
        </w:tblCellMar>
        <w:tblLook w:val="04A0" w:firstRow="1" w:lastRow="0" w:firstColumn="1" w:lastColumn="0" w:noHBand="0" w:noVBand="1"/>
      </w:tblPr>
      <w:tblGrid>
        <w:gridCol w:w="1255"/>
        <w:gridCol w:w="607"/>
        <w:gridCol w:w="7421"/>
      </w:tblGrid>
      <w:tr w:rsidR="00636667" w:rsidRPr="00140246" w14:paraId="6AB38DB9" w14:textId="77777777" w:rsidTr="00707B9C">
        <w:trPr>
          <w:trHeight w:val="300"/>
        </w:trPr>
        <w:tc>
          <w:tcPr>
            <w:tcW w:w="676" w:type="pct"/>
            <w:noWrap/>
            <w:hideMark/>
          </w:tcPr>
          <w:p w14:paraId="22BF9EBF" w14:textId="77777777" w:rsidR="00636667" w:rsidRPr="00140246" w:rsidRDefault="00636667" w:rsidP="00DB6778">
            <w:pPr>
              <w:jc w:val="both"/>
              <w:rPr>
                <w:rFonts w:ascii="Calibri" w:hAnsi="Calibri" w:cs="Calibri"/>
              </w:rPr>
            </w:pPr>
            <w:r w:rsidRPr="00140246">
              <w:rPr>
                <w:rFonts w:ascii="Calibri" w:hAnsi="Calibri" w:cs="Calibri"/>
              </w:rPr>
              <w:t>301.0</w:t>
            </w:r>
            <w:r w:rsidR="00B7472E" w:rsidRPr="00140246">
              <w:rPr>
                <w:rFonts w:ascii="Calibri" w:hAnsi="Calibri" w:cs="Calibri"/>
              </w:rPr>
              <w:t>0</w:t>
            </w:r>
            <w:r w:rsidRPr="00140246">
              <w:rPr>
                <w:rFonts w:ascii="Calibri" w:hAnsi="Calibri" w:cs="Calibri"/>
              </w:rPr>
              <w:t xml:space="preserve">40N          </w:t>
            </w:r>
          </w:p>
        </w:tc>
        <w:tc>
          <w:tcPr>
            <w:tcW w:w="327" w:type="pct"/>
            <w:noWrap/>
            <w:hideMark/>
          </w:tcPr>
          <w:p w14:paraId="2C39C3E1" w14:textId="77777777" w:rsidR="00636667" w:rsidRPr="00140246" w:rsidRDefault="00636667" w:rsidP="00DB6778">
            <w:pPr>
              <w:jc w:val="both"/>
              <w:rPr>
                <w:rFonts w:ascii="Calibri" w:hAnsi="Calibri" w:cs="Calibri"/>
              </w:rPr>
            </w:pPr>
            <w:r w:rsidRPr="00140246">
              <w:rPr>
                <w:rFonts w:ascii="Calibri" w:hAnsi="Calibri" w:cs="Calibri"/>
              </w:rPr>
              <w:t>m</w:t>
            </w:r>
            <w:r w:rsidRPr="00140246">
              <w:rPr>
                <w:rFonts w:ascii="Calibri" w:hAnsi="Calibri" w:cs="Calibri"/>
                <w:vertAlign w:val="superscript"/>
              </w:rPr>
              <w:t>3</w:t>
            </w:r>
          </w:p>
        </w:tc>
        <w:tc>
          <w:tcPr>
            <w:tcW w:w="3997" w:type="pct"/>
            <w:hideMark/>
          </w:tcPr>
          <w:p w14:paraId="3F1C54F2" w14:textId="77777777" w:rsidR="00C16620" w:rsidRPr="00140246" w:rsidRDefault="00C16620" w:rsidP="00DB6778">
            <w:pPr>
              <w:jc w:val="both"/>
              <w:rPr>
                <w:rFonts w:ascii="Calibri" w:hAnsi="Calibri"/>
                <w:color w:val="000000"/>
              </w:rPr>
            </w:pPr>
            <w:r w:rsidRPr="00140246">
              <w:rPr>
                <w:rFonts w:ascii="Calibri" w:hAnsi="Calibri"/>
                <w:color w:val="000000"/>
              </w:rPr>
              <w:t>EXCAVACIÓN, DEMOLICIÓN Y RETIRADA DEL FIRME O PAVIMENTO EXISTENTE DE CUALQUIER TIPO, i/ DEMOLICIÓN DE CUNETAS, ACERAS, ISLETAS, BORDILLOS Y TODA CLASE DE PIEZAS ESPECIALES DE PAVIMENTACIÓN, DESESCOMBRO, CARGA Y TRANSPORTE DE MATERIAL DEMOLIDO A GESTOR AUTORIZADO HASTA UNA DISTANCIA DE 60 km.</w:t>
            </w:r>
          </w:p>
          <w:p w14:paraId="3CF3A952" w14:textId="77777777" w:rsidR="00636667" w:rsidRPr="00140246" w:rsidRDefault="00636667" w:rsidP="00DB6778">
            <w:pPr>
              <w:jc w:val="both"/>
              <w:rPr>
                <w:rFonts w:ascii="Calibri" w:hAnsi="Calibri" w:cs="Calibri"/>
              </w:rPr>
            </w:pPr>
          </w:p>
        </w:tc>
      </w:tr>
      <w:tr w:rsidR="008F7D89" w:rsidRPr="00140246" w14:paraId="777F73B1" w14:textId="77777777" w:rsidTr="00707B9C">
        <w:trPr>
          <w:trHeight w:val="343"/>
        </w:trPr>
        <w:tc>
          <w:tcPr>
            <w:tcW w:w="676" w:type="pct"/>
            <w:noWrap/>
            <w:hideMark/>
          </w:tcPr>
          <w:p w14:paraId="0550D15F" w14:textId="77777777" w:rsidR="008F7D89" w:rsidRPr="00140246" w:rsidRDefault="008F7D89" w:rsidP="00DB6778">
            <w:pPr>
              <w:jc w:val="both"/>
              <w:rPr>
                <w:rFonts w:ascii="Calibri" w:hAnsi="Calibri"/>
                <w:color w:val="000000"/>
              </w:rPr>
            </w:pPr>
            <w:r w:rsidRPr="00140246">
              <w:rPr>
                <w:rFonts w:ascii="Calibri" w:hAnsi="Calibri"/>
                <w:color w:val="000000"/>
              </w:rPr>
              <w:t xml:space="preserve">301.0020          </w:t>
            </w:r>
          </w:p>
        </w:tc>
        <w:tc>
          <w:tcPr>
            <w:tcW w:w="327" w:type="pct"/>
            <w:noWrap/>
            <w:hideMark/>
          </w:tcPr>
          <w:p w14:paraId="087CD0DA" w14:textId="77777777" w:rsidR="008F7D89" w:rsidRPr="00140246" w:rsidRDefault="008F7D89" w:rsidP="00DB6778">
            <w:pPr>
              <w:jc w:val="both"/>
              <w:rPr>
                <w:rFonts w:ascii="Calibri" w:hAnsi="Calibri"/>
                <w:color w:val="000000"/>
              </w:rPr>
            </w:pPr>
            <w:r w:rsidRPr="00140246">
              <w:rPr>
                <w:rFonts w:ascii="Calibri" w:hAnsi="Calibri"/>
                <w:color w:val="000000"/>
              </w:rPr>
              <w:t>m³</w:t>
            </w:r>
          </w:p>
        </w:tc>
        <w:tc>
          <w:tcPr>
            <w:tcW w:w="3997" w:type="pct"/>
            <w:hideMark/>
          </w:tcPr>
          <w:p w14:paraId="3764FC89" w14:textId="77777777" w:rsidR="00707B9C" w:rsidRPr="00140246" w:rsidRDefault="00707B9C" w:rsidP="00DB6778">
            <w:pPr>
              <w:jc w:val="both"/>
              <w:rPr>
                <w:rFonts w:ascii="Calibri" w:hAnsi="Calibri"/>
                <w:color w:val="000000"/>
              </w:rPr>
            </w:pPr>
            <w:r w:rsidRPr="00140246">
              <w:rPr>
                <w:rFonts w:ascii="Calibri" w:hAnsi="Calibri"/>
                <w:color w:val="000000"/>
              </w:rPr>
              <w:t>DEMOLICIÓN DE FÁBRICA HORMIGÓN ARMADO i/ DESESCOMBRO, CARGA Y TRANSPORTE DE MATERIAL DEMOLIDO A GESTOR AUTORIZADO HASTA UNA DISTANCIA DE 60 km.</w:t>
            </w:r>
          </w:p>
          <w:p w14:paraId="3838D63B" w14:textId="77777777" w:rsidR="008F7D89" w:rsidRPr="00140246" w:rsidRDefault="008F7D89" w:rsidP="00DB6778">
            <w:pPr>
              <w:jc w:val="both"/>
              <w:rPr>
                <w:rFonts w:ascii="Calibri" w:hAnsi="Calibri"/>
                <w:color w:val="000000"/>
              </w:rPr>
            </w:pPr>
          </w:p>
        </w:tc>
      </w:tr>
      <w:tr w:rsidR="00040515" w:rsidRPr="00140246" w14:paraId="1CC58663" w14:textId="77777777" w:rsidTr="00707B9C">
        <w:trPr>
          <w:trHeight w:val="343"/>
        </w:trPr>
        <w:tc>
          <w:tcPr>
            <w:tcW w:w="676" w:type="pct"/>
            <w:noWrap/>
            <w:hideMark/>
          </w:tcPr>
          <w:p w14:paraId="6F863A78" w14:textId="77777777" w:rsidR="00040515" w:rsidRPr="00140246" w:rsidRDefault="00040515" w:rsidP="00DB6778">
            <w:pPr>
              <w:jc w:val="both"/>
              <w:rPr>
                <w:rFonts w:ascii="Calibri" w:hAnsi="Calibri"/>
                <w:color w:val="000000"/>
              </w:rPr>
            </w:pPr>
            <w:r w:rsidRPr="00140246">
              <w:rPr>
                <w:rFonts w:ascii="Calibri" w:hAnsi="Calibri"/>
                <w:color w:val="000000"/>
              </w:rPr>
              <w:t xml:space="preserve">301.0030          </w:t>
            </w:r>
          </w:p>
        </w:tc>
        <w:tc>
          <w:tcPr>
            <w:tcW w:w="327" w:type="pct"/>
            <w:noWrap/>
            <w:hideMark/>
          </w:tcPr>
          <w:p w14:paraId="0B7E0076" w14:textId="77777777" w:rsidR="00040515" w:rsidRPr="00140246" w:rsidRDefault="00040515" w:rsidP="00DB6778">
            <w:pPr>
              <w:jc w:val="both"/>
              <w:rPr>
                <w:rFonts w:ascii="Calibri" w:hAnsi="Calibri"/>
                <w:color w:val="000000"/>
              </w:rPr>
            </w:pPr>
            <w:r w:rsidRPr="00140246">
              <w:rPr>
                <w:rFonts w:ascii="Calibri" w:hAnsi="Calibri"/>
                <w:color w:val="000000"/>
              </w:rPr>
              <w:t>m</w:t>
            </w:r>
            <w:r w:rsidRPr="00140246">
              <w:rPr>
                <w:rFonts w:ascii="Calibri" w:hAnsi="Calibri"/>
                <w:color w:val="000000"/>
                <w:vertAlign w:val="superscript"/>
              </w:rPr>
              <w:t>3</w:t>
            </w:r>
          </w:p>
        </w:tc>
        <w:tc>
          <w:tcPr>
            <w:tcW w:w="3997" w:type="pct"/>
            <w:hideMark/>
          </w:tcPr>
          <w:p w14:paraId="7BE473DF" w14:textId="77777777" w:rsidR="00707B9C" w:rsidRPr="00140246" w:rsidRDefault="00707B9C" w:rsidP="00DB6778">
            <w:pPr>
              <w:jc w:val="both"/>
              <w:rPr>
                <w:rFonts w:ascii="Calibri" w:hAnsi="Calibri"/>
                <w:color w:val="000000"/>
              </w:rPr>
            </w:pPr>
            <w:r w:rsidRPr="00140246">
              <w:rPr>
                <w:rFonts w:ascii="Calibri" w:hAnsi="Calibri"/>
                <w:color w:val="000000"/>
              </w:rPr>
              <w:t xml:space="preserve">DEMOLICIÓN DE FÁBRICA HORMIGÓN EN MASA i/ DESESCOMBRO, CARGA Y TRANSPORTE DE MATERIAL DEMOLIDO A GESTOR AUTORIZADO HASTA UNA DISTANCIA DE 60 km. </w:t>
            </w:r>
          </w:p>
          <w:p w14:paraId="063E3D62" w14:textId="77777777" w:rsidR="00040515" w:rsidRPr="00140246" w:rsidRDefault="00040515" w:rsidP="00DB6778">
            <w:pPr>
              <w:jc w:val="both"/>
              <w:rPr>
                <w:rFonts w:ascii="Calibri" w:hAnsi="Calibri"/>
                <w:color w:val="000000"/>
              </w:rPr>
            </w:pPr>
          </w:p>
        </w:tc>
      </w:tr>
      <w:tr w:rsidR="008F7D89" w:rsidRPr="00140246" w14:paraId="5E5976A1" w14:textId="77777777" w:rsidTr="00707B9C">
        <w:trPr>
          <w:trHeight w:val="319"/>
        </w:trPr>
        <w:tc>
          <w:tcPr>
            <w:tcW w:w="676" w:type="pct"/>
            <w:noWrap/>
            <w:hideMark/>
          </w:tcPr>
          <w:p w14:paraId="60C136C4" w14:textId="77777777" w:rsidR="008F7D89" w:rsidRPr="00140246" w:rsidRDefault="008F7D89" w:rsidP="00DB6778">
            <w:pPr>
              <w:jc w:val="both"/>
              <w:rPr>
                <w:rFonts w:ascii="Calibri" w:hAnsi="Calibri"/>
                <w:color w:val="000000"/>
              </w:rPr>
            </w:pPr>
            <w:r w:rsidRPr="00140246">
              <w:rPr>
                <w:rFonts w:ascii="Calibri" w:hAnsi="Calibri"/>
                <w:color w:val="000000"/>
              </w:rPr>
              <w:t xml:space="preserve">301.0040          </w:t>
            </w:r>
          </w:p>
        </w:tc>
        <w:tc>
          <w:tcPr>
            <w:tcW w:w="327" w:type="pct"/>
            <w:noWrap/>
            <w:hideMark/>
          </w:tcPr>
          <w:p w14:paraId="6F5EDCE2" w14:textId="77777777" w:rsidR="008F7D89" w:rsidRPr="00140246" w:rsidRDefault="008F7D89" w:rsidP="00DB6778">
            <w:pPr>
              <w:jc w:val="both"/>
              <w:rPr>
                <w:rFonts w:ascii="Calibri" w:hAnsi="Calibri"/>
                <w:color w:val="000000"/>
              </w:rPr>
            </w:pPr>
            <w:r w:rsidRPr="00140246">
              <w:rPr>
                <w:rFonts w:ascii="Calibri" w:hAnsi="Calibri"/>
                <w:color w:val="000000"/>
              </w:rPr>
              <w:t>m²</w:t>
            </w:r>
          </w:p>
        </w:tc>
        <w:tc>
          <w:tcPr>
            <w:tcW w:w="3997" w:type="pct"/>
            <w:hideMark/>
          </w:tcPr>
          <w:p w14:paraId="254CC895" w14:textId="77777777" w:rsidR="008F7D89" w:rsidRPr="00140246" w:rsidRDefault="00707B9C" w:rsidP="00DB6778">
            <w:pPr>
              <w:jc w:val="both"/>
              <w:rPr>
                <w:rFonts w:ascii="Calibri" w:hAnsi="Calibri"/>
                <w:color w:val="000000"/>
              </w:rPr>
            </w:pPr>
            <w:r w:rsidRPr="00140246">
              <w:rPr>
                <w:rFonts w:ascii="Calibri" w:hAnsi="Calibri"/>
                <w:color w:val="000000"/>
              </w:rPr>
              <w:t>DEMOLICIÓN DE FIRME O PAVIMENTO EXISTENTE DE CUALQUIER TIPO O ESPESOR i/ BAJAS POR RENDIMIENTO POR PASO DE VEHÍCULOS, DEMOLICIÓN DE ACERAS, ISLETAS, BORDILLOS Y TODA CLASE DE PIEZAS ESPECIALES DE PAVIMENTACIÓN, DESESCOMBRO, CARGA Y TRANSPORTE DE MATERIAL DEMOLIDO A GESTOR AUTORIZADO HASTA UNA DISTANCIA DE 60 km.</w:t>
            </w:r>
          </w:p>
          <w:p w14:paraId="0DB7C6FC" w14:textId="77777777" w:rsidR="00707B9C" w:rsidRPr="00140246" w:rsidRDefault="00707B9C" w:rsidP="00DB6778">
            <w:pPr>
              <w:jc w:val="both"/>
              <w:rPr>
                <w:rFonts w:ascii="Calibri" w:hAnsi="Calibri"/>
                <w:color w:val="000000"/>
              </w:rPr>
            </w:pPr>
          </w:p>
        </w:tc>
      </w:tr>
      <w:tr w:rsidR="00040515" w:rsidRPr="00140246" w14:paraId="02424E94" w14:textId="77777777" w:rsidTr="00707B9C">
        <w:trPr>
          <w:trHeight w:val="319"/>
        </w:trPr>
        <w:tc>
          <w:tcPr>
            <w:tcW w:w="676" w:type="pct"/>
            <w:noWrap/>
            <w:hideMark/>
          </w:tcPr>
          <w:p w14:paraId="2928EA76" w14:textId="77777777" w:rsidR="00040515" w:rsidRPr="00140246" w:rsidRDefault="00040515" w:rsidP="00DB6778">
            <w:pPr>
              <w:jc w:val="both"/>
              <w:rPr>
                <w:rFonts w:ascii="Calibri" w:hAnsi="Calibri"/>
                <w:color w:val="000000"/>
              </w:rPr>
            </w:pPr>
            <w:r w:rsidRPr="00140246">
              <w:rPr>
                <w:rFonts w:ascii="Calibri" w:hAnsi="Calibri"/>
                <w:color w:val="000000"/>
              </w:rPr>
              <w:t xml:space="preserve">301.0130          </w:t>
            </w:r>
          </w:p>
        </w:tc>
        <w:tc>
          <w:tcPr>
            <w:tcW w:w="327" w:type="pct"/>
            <w:noWrap/>
            <w:hideMark/>
          </w:tcPr>
          <w:p w14:paraId="21B780E5" w14:textId="77777777" w:rsidR="00040515" w:rsidRPr="00140246" w:rsidRDefault="00040515" w:rsidP="00DB6778">
            <w:pPr>
              <w:jc w:val="both"/>
              <w:rPr>
                <w:rFonts w:ascii="Calibri" w:hAnsi="Calibri"/>
                <w:color w:val="000000"/>
              </w:rPr>
            </w:pPr>
            <w:r w:rsidRPr="00140246">
              <w:rPr>
                <w:rFonts w:ascii="Calibri" w:hAnsi="Calibri"/>
                <w:color w:val="000000"/>
              </w:rPr>
              <w:t>m</w:t>
            </w:r>
          </w:p>
        </w:tc>
        <w:tc>
          <w:tcPr>
            <w:tcW w:w="3997" w:type="pct"/>
            <w:hideMark/>
          </w:tcPr>
          <w:p w14:paraId="17D8845F" w14:textId="77777777" w:rsidR="00707B9C" w:rsidRPr="00140246" w:rsidRDefault="00707B9C" w:rsidP="00DB6778">
            <w:pPr>
              <w:jc w:val="both"/>
              <w:rPr>
                <w:rFonts w:ascii="Calibri" w:hAnsi="Calibri"/>
                <w:color w:val="000000"/>
              </w:rPr>
            </w:pPr>
            <w:r w:rsidRPr="00140246">
              <w:rPr>
                <w:rFonts w:ascii="Calibri" w:hAnsi="Calibri"/>
                <w:color w:val="000000"/>
              </w:rPr>
              <w:t>LEVANTAMIENTO DE BARRERA METÁLICA BIONDA i/ DESMONTAJE, ARRANQUE DE POSTES, DEMOLICIÓN, DESESCOMBRO, CARGA Y TRANSPORTE DE MATERIAL DEMOLIDO A GESTOR AUTORIZADO HASTA UNA DISTANCIA DE 60 km.</w:t>
            </w:r>
          </w:p>
          <w:p w14:paraId="685AE64F" w14:textId="77777777" w:rsidR="00040515" w:rsidRPr="00140246" w:rsidRDefault="00040515" w:rsidP="00DB6778">
            <w:pPr>
              <w:jc w:val="both"/>
              <w:rPr>
                <w:rFonts w:ascii="Calibri" w:hAnsi="Calibri"/>
                <w:color w:val="000000"/>
              </w:rPr>
            </w:pPr>
          </w:p>
        </w:tc>
      </w:tr>
      <w:tr w:rsidR="00040515" w:rsidRPr="00140246" w14:paraId="6A561D2C" w14:textId="77777777" w:rsidTr="00707B9C">
        <w:trPr>
          <w:trHeight w:val="398"/>
        </w:trPr>
        <w:tc>
          <w:tcPr>
            <w:tcW w:w="676" w:type="pct"/>
            <w:noWrap/>
            <w:hideMark/>
          </w:tcPr>
          <w:p w14:paraId="44CD2A21" w14:textId="77777777" w:rsidR="00040515" w:rsidRPr="00140246" w:rsidRDefault="00040515" w:rsidP="00DB6778">
            <w:pPr>
              <w:jc w:val="both"/>
              <w:rPr>
                <w:rFonts w:ascii="Calibri" w:hAnsi="Calibri"/>
                <w:color w:val="000000"/>
              </w:rPr>
            </w:pPr>
            <w:r w:rsidRPr="00140246">
              <w:rPr>
                <w:rFonts w:ascii="Calibri" w:hAnsi="Calibri"/>
                <w:color w:val="000000"/>
              </w:rPr>
              <w:t xml:space="preserve">301.0130N         </w:t>
            </w:r>
          </w:p>
        </w:tc>
        <w:tc>
          <w:tcPr>
            <w:tcW w:w="327" w:type="pct"/>
            <w:noWrap/>
            <w:hideMark/>
          </w:tcPr>
          <w:p w14:paraId="0DD60DD5" w14:textId="77777777" w:rsidR="00040515" w:rsidRPr="00140246" w:rsidRDefault="00040515" w:rsidP="00DB6778">
            <w:pPr>
              <w:jc w:val="both"/>
              <w:rPr>
                <w:rFonts w:ascii="Calibri" w:hAnsi="Calibri"/>
                <w:color w:val="000000"/>
              </w:rPr>
            </w:pPr>
            <w:r w:rsidRPr="00140246">
              <w:rPr>
                <w:rFonts w:ascii="Calibri" w:hAnsi="Calibri"/>
                <w:color w:val="000000"/>
              </w:rPr>
              <w:t>m</w:t>
            </w:r>
          </w:p>
        </w:tc>
        <w:tc>
          <w:tcPr>
            <w:tcW w:w="3997" w:type="pct"/>
            <w:hideMark/>
          </w:tcPr>
          <w:p w14:paraId="67DD66B0" w14:textId="77777777" w:rsidR="00040515" w:rsidRPr="00140246" w:rsidRDefault="00707B9C" w:rsidP="00DB6778">
            <w:pPr>
              <w:jc w:val="both"/>
              <w:rPr>
                <w:rFonts w:ascii="Calibri" w:hAnsi="Calibri"/>
                <w:color w:val="000000"/>
              </w:rPr>
            </w:pPr>
            <w:r w:rsidRPr="00140246">
              <w:rPr>
                <w:rFonts w:ascii="Calibri" w:hAnsi="Calibri"/>
                <w:color w:val="000000"/>
              </w:rPr>
              <w:t>DESMONTAJE DE PRETIL, INCLUSO RETIRADA DE ANCLAJES, DESESCOMBRO, CARGA Y TRANSPORTE DE MATERIAL DEMOLIDO A GESTOR AUTORIZADO HASTA UNA DISTANCIA DE 60 km. TOTALMENTE TERMINADO</w:t>
            </w:r>
          </w:p>
          <w:p w14:paraId="33B964A0" w14:textId="77777777" w:rsidR="00707B9C" w:rsidRPr="00140246" w:rsidRDefault="00707B9C" w:rsidP="00DB6778">
            <w:pPr>
              <w:jc w:val="both"/>
              <w:rPr>
                <w:rFonts w:ascii="Calibri" w:hAnsi="Calibri"/>
                <w:color w:val="000000"/>
              </w:rPr>
            </w:pPr>
          </w:p>
        </w:tc>
      </w:tr>
      <w:tr w:rsidR="00040515" w:rsidRPr="00140246" w14:paraId="3BD4B625" w14:textId="77777777" w:rsidTr="00707B9C">
        <w:trPr>
          <w:trHeight w:val="459"/>
        </w:trPr>
        <w:tc>
          <w:tcPr>
            <w:tcW w:w="676" w:type="pct"/>
            <w:noWrap/>
            <w:hideMark/>
          </w:tcPr>
          <w:p w14:paraId="04AA1307" w14:textId="77777777" w:rsidR="00040515" w:rsidRPr="00140246" w:rsidRDefault="00040515" w:rsidP="00DB6778">
            <w:pPr>
              <w:jc w:val="both"/>
              <w:rPr>
                <w:rFonts w:ascii="Calibri" w:hAnsi="Calibri"/>
                <w:color w:val="000000"/>
              </w:rPr>
            </w:pPr>
            <w:r w:rsidRPr="00140246">
              <w:rPr>
                <w:rFonts w:ascii="Calibri" w:hAnsi="Calibri"/>
                <w:color w:val="000000"/>
              </w:rPr>
              <w:t xml:space="preserve">301.0120          </w:t>
            </w:r>
          </w:p>
        </w:tc>
        <w:tc>
          <w:tcPr>
            <w:tcW w:w="327" w:type="pct"/>
            <w:noWrap/>
            <w:hideMark/>
          </w:tcPr>
          <w:p w14:paraId="0BA8B88E" w14:textId="77777777" w:rsidR="00040515" w:rsidRPr="00140246" w:rsidRDefault="00040515" w:rsidP="00DB6778">
            <w:pPr>
              <w:jc w:val="both"/>
              <w:rPr>
                <w:rFonts w:ascii="Calibri" w:hAnsi="Calibri"/>
                <w:color w:val="000000"/>
              </w:rPr>
            </w:pPr>
            <w:r w:rsidRPr="00140246">
              <w:rPr>
                <w:rFonts w:ascii="Calibri" w:hAnsi="Calibri"/>
                <w:color w:val="000000"/>
              </w:rPr>
              <w:t>m</w:t>
            </w:r>
          </w:p>
        </w:tc>
        <w:tc>
          <w:tcPr>
            <w:tcW w:w="3997" w:type="pct"/>
            <w:hideMark/>
          </w:tcPr>
          <w:p w14:paraId="62BCDE39" w14:textId="77777777" w:rsidR="00707B9C" w:rsidRPr="00140246" w:rsidRDefault="00707B9C" w:rsidP="00DB6778">
            <w:pPr>
              <w:jc w:val="both"/>
              <w:rPr>
                <w:rFonts w:ascii="Calibri" w:hAnsi="Calibri"/>
                <w:color w:val="000000"/>
              </w:rPr>
            </w:pPr>
            <w:r w:rsidRPr="00140246">
              <w:rPr>
                <w:rFonts w:ascii="Calibri" w:hAnsi="Calibri"/>
                <w:color w:val="000000"/>
              </w:rPr>
              <w:t xml:space="preserve">LEVANTAMIENTO DE VALLAS METÁLICAS </w:t>
            </w:r>
            <w:r w:rsidR="00B7472E" w:rsidRPr="00140246">
              <w:rPr>
                <w:rFonts w:ascii="Calibri" w:hAnsi="Calibri"/>
                <w:color w:val="000000"/>
              </w:rPr>
              <w:t xml:space="preserve">INCLUSO </w:t>
            </w:r>
            <w:r w:rsidRPr="00140246">
              <w:rPr>
                <w:rFonts w:ascii="Calibri" w:hAnsi="Calibri"/>
                <w:color w:val="000000"/>
              </w:rPr>
              <w:t>DESMONTAJE, DEMOLICIÓN, DESESCOMBRO, CARGA Y TRANSPORTE DE MATERIAL DEMOLIDO A GESTOR AUTORIZADO HASTA UNA DISTANCIA DE 60 km.</w:t>
            </w:r>
          </w:p>
          <w:p w14:paraId="02A62B38" w14:textId="77777777" w:rsidR="00040515" w:rsidRPr="00140246" w:rsidRDefault="00040515" w:rsidP="00DB6778">
            <w:pPr>
              <w:jc w:val="both"/>
              <w:rPr>
                <w:rFonts w:ascii="Calibri" w:hAnsi="Calibri"/>
                <w:color w:val="000000"/>
              </w:rPr>
            </w:pPr>
          </w:p>
        </w:tc>
      </w:tr>
      <w:tr w:rsidR="00040515" w:rsidRPr="00140246" w14:paraId="75390140" w14:textId="77777777" w:rsidTr="00707B9C">
        <w:trPr>
          <w:trHeight w:val="463"/>
        </w:trPr>
        <w:tc>
          <w:tcPr>
            <w:tcW w:w="676" w:type="pct"/>
            <w:noWrap/>
            <w:hideMark/>
          </w:tcPr>
          <w:p w14:paraId="6A5C8920" w14:textId="77777777" w:rsidR="00040515" w:rsidRPr="00140246" w:rsidRDefault="00040515" w:rsidP="00DB6778">
            <w:pPr>
              <w:jc w:val="both"/>
              <w:rPr>
                <w:rFonts w:ascii="Calibri" w:hAnsi="Calibri"/>
                <w:color w:val="000000"/>
              </w:rPr>
            </w:pPr>
            <w:r w:rsidRPr="00140246">
              <w:rPr>
                <w:rFonts w:ascii="Calibri" w:hAnsi="Calibri"/>
                <w:color w:val="000000"/>
              </w:rPr>
              <w:t xml:space="preserve">301.0101N         </w:t>
            </w:r>
          </w:p>
        </w:tc>
        <w:tc>
          <w:tcPr>
            <w:tcW w:w="327" w:type="pct"/>
            <w:noWrap/>
            <w:hideMark/>
          </w:tcPr>
          <w:p w14:paraId="7B057FBE" w14:textId="77777777" w:rsidR="00040515" w:rsidRPr="00140246" w:rsidRDefault="00040515" w:rsidP="00DB6778">
            <w:pPr>
              <w:jc w:val="both"/>
              <w:rPr>
                <w:rFonts w:ascii="Calibri" w:hAnsi="Calibri"/>
                <w:color w:val="000000"/>
              </w:rPr>
            </w:pPr>
            <w:proofErr w:type="spellStart"/>
            <w:r w:rsidRPr="00140246">
              <w:rPr>
                <w:rFonts w:ascii="Calibri" w:hAnsi="Calibri"/>
                <w:color w:val="000000"/>
              </w:rPr>
              <w:t>ud</w:t>
            </w:r>
            <w:proofErr w:type="spellEnd"/>
          </w:p>
        </w:tc>
        <w:tc>
          <w:tcPr>
            <w:tcW w:w="3997" w:type="pct"/>
            <w:hideMark/>
          </w:tcPr>
          <w:p w14:paraId="1D02842D" w14:textId="77777777" w:rsidR="00707B9C" w:rsidRPr="00140246" w:rsidRDefault="00707B9C" w:rsidP="00DB6778">
            <w:pPr>
              <w:jc w:val="both"/>
              <w:rPr>
                <w:rFonts w:ascii="Calibri" w:hAnsi="Calibri"/>
                <w:color w:val="000000"/>
              </w:rPr>
            </w:pPr>
            <w:r w:rsidRPr="00140246">
              <w:rPr>
                <w:rFonts w:ascii="Calibri" w:hAnsi="Calibri"/>
                <w:color w:val="000000"/>
              </w:rPr>
              <w:t>RETIRADA DE SEÑAL VERTICAL EXISTENTE, SIN DEMOLICIÓN DE LA CIMENTACIÓN, INCLUSO CARGA Y TRANSPORTE DE MATERIAL RETIRADO A GESTOR AUTORIZADO HASTA UNA DISTANCIA DE 60 km. TOTALMENTE TERMINADO</w:t>
            </w:r>
          </w:p>
          <w:p w14:paraId="04957869" w14:textId="77777777" w:rsidR="00040515" w:rsidRPr="00140246" w:rsidRDefault="00040515" w:rsidP="00DB6778">
            <w:pPr>
              <w:jc w:val="both"/>
              <w:rPr>
                <w:rFonts w:ascii="Calibri" w:hAnsi="Calibri"/>
                <w:color w:val="000000"/>
              </w:rPr>
            </w:pPr>
          </w:p>
        </w:tc>
      </w:tr>
      <w:tr w:rsidR="00040515" w:rsidRPr="00140246" w14:paraId="4B2AE05C" w14:textId="77777777" w:rsidTr="00707B9C">
        <w:trPr>
          <w:trHeight w:val="418"/>
        </w:trPr>
        <w:tc>
          <w:tcPr>
            <w:tcW w:w="676" w:type="pct"/>
            <w:noWrap/>
            <w:hideMark/>
          </w:tcPr>
          <w:p w14:paraId="26F1DB6E" w14:textId="77777777" w:rsidR="00040515" w:rsidRPr="00140246" w:rsidRDefault="00040515" w:rsidP="00DB6778">
            <w:pPr>
              <w:jc w:val="both"/>
              <w:rPr>
                <w:rFonts w:ascii="Calibri" w:hAnsi="Calibri"/>
                <w:color w:val="000000"/>
              </w:rPr>
            </w:pPr>
            <w:r w:rsidRPr="00140246">
              <w:rPr>
                <w:rFonts w:ascii="Calibri" w:hAnsi="Calibri"/>
                <w:color w:val="000000"/>
              </w:rPr>
              <w:t xml:space="preserve">301.0102N         </w:t>
            </w:r>
          </w:p>
        </w:tc>
        <w:tc>
          <w:tcPr>
            <w:tcW w:w="327" w:type="pct"/>
            <w:noWrap/>
            <w:hideMark/>
          </w:tcPr>
          <w:p w14:paraId="277BC316" w14:textId="77777777" w:rsidR="00040515" w:rsidRPr="00140246" w:rsidRDefault="00040515" w:rsidP="00DB6778">
            <w:pPr>
              <w:jc w:val="both"/>
              <w:rPr>
                <w:rFonts w:ascii="Calibri" w:hAnsi="Calibri"/>
                <w:color w:val="000000"/>
              </w:rPr>
            </w:pPr>
            <w:r w:rsidRPr="00140246">
              <w:rPr>
                <w:rFonts w:ascii="Calibri" w:hAnsi="Calibri"/>
                <w:color w:val="000000"/>
              </w:rPr>
              <w:t>m</w:t>
            </w:r>
            <w:r w:rsidRPr="00140246">
              <w:rPr>
                <w:rFonts w:ascii="Calibri" w:hAnsi="Calibri"/>
                <w:color w:val="000000"/>
                <w:vertAlign w:val="superscript"/>
              </w:rPr>
              <w:t>2</w:t>
            </w:r>
          </w:p>
        </w:tc>
        <w:tc>
          <w:tcPr>
            <w:tcW w:w="3997" w:type="pct"/>
            <w:hideMark/>
          </w:tcPr>
          <w:p w14:paraId="51F7D857" w14:textId="77777777" w:rsidR="00707B9C" w:rsidRPr="00140246" w:rsidRDefault="00707B9C" w:rsidP="00DB6778">
            <w:pPr>
              <w:jc w:val="both"/>
              <w:rPr>
                <w:rFonts w:ascii="Calibri" w:hAnsi="Calibri"/>
                <w:color w:val="000000"/>
              </w:rPr>
            </w:pPr>
            <w:r w:rsidRPr="00140246">
              <w:rPr>
                <w:rFonts w:ascii="Calibri" w:hAnsi="Calibri"/>
                <w:color w:val="000000"/>
              </w:rPr>
              <w:t>DESMONTAJE DE PANEL DE SEÑALIZACÓN FIJA RETROILUMINADA EXISTENTE, SITUADO SOBRE PÓRTICO, BANDEROLA O EN EL LATERAL DE LA CARRETERA, INCLUSO CARGA Y TRANSPORTE A INSTALACIÓN DE GESTIÓN DE RESIDUOS HASTA UNA DISTANCIA DE 60 KM. TOTALMENTE TERMINADO.</w:t>
            </w:r>
          </w:p>
          <w:p w14:paraId="2C336809" w14:textId="77777777" w:rsidR="00040515" w:rsidRPr="00140246" w:rsidRDefault="00040515" w:rsidP="00DB6778">
            <w:pPr>
              <w:jc w:val="both"/>
              <w:rPr>
                <w:rFonts w:ascii="Calibri" w:hAnsi="Calibri"/>
                <w:color w:val="000000"/>
              </w:rPr>
            </w:pPr>
          </w:p>
        </w:tc>
      </w:tr>
      <w:tr w:rsidR="00040515" w:rsidRPr="005864C2" w14:paraId="56FBB053" w14:textId="77777777" w:rsidTr="00707B9C">
        <w:trPr>
          <w:trHeight w:val="388"/>
        </w:trPr>
        <w:tc>
          <w:tcPr>
            <w:tcW w:w="676" w:type="pct"/>
            <w:noWrap/>
            <w:hideMark/>
          </w:tcPr>
          <w:p w14:paraId="46EE0103" w14:textId="77777777" w:rsidR="00040515" w:rsidRPr="00140246" w:rsidRDefault="00040515" w:rsidP="00DB6778">
            <w:pPr>
              <w:jc w:val="both"/>
              <w:rPr>
                <w:rFonts w:ascii="Calibri" w:hAnsi="Calibri"/>
                <w:color w:val="000000"/>
              </w:rPr>
            </w:pPr>
            <w:r w:rsidRPr="00140246">
              <w:rPr>
                <w:rFonts w:ascii="Calibri" w:hAnsi="Calibri"/>
                <w:color w:val="000000"/>
              </w:rPr>
              <w:t xml:space="preserve">301.0103N         </w:t>
            </w:r>
          </w:p>
        </w:tc>
        <w:tc>
          <w:tcPr>
            <w:tcW w:w="327" w:type="pct"/>
            <w:noWrap/>
            <w:hideMark/>
          </w:tcPr>
          <w:p w14:paraId="33A9B6E4" w14:textId="77777777" w:rsidR="00040515" w:rsidRPr="00140246" w:rsidRDefault="00040515" w:rsidP="00DB6778">
            <w:pPr>
              <w:jc w:val="both"/>
              <w:rPr>
                <w:rFonts w:ascii="Calibri" w:hAnsi="Calibri"/>
                <w:color w:val="000000"/>
              </w:rPr>
            </w:pPr>
            <w:proofErr w:type="spellStart"/>
            <w:r w:rsidRPr="00140246">
              <w:rPr>
                <w:rFonts w:ascii="Calibri" w:hAnsi="Calibri"/>
                <w:color w:val="000000"/>
              </w:rPr>
              <w:t>ud</w:t>
            </w:r>
            <w:proofErr w:type="spellEnd"/>
          </w:p>
        </w:tc>
        <w:tc>
          <w:tcPr>
            <w:tcW w:w="3997" w:type="pct"/>
            <w:hideMark/>
          </w:tcPr>
          <w:p w14:paraId="10DA2AC3" w14:textId="77777777" w:rsidR="00040515" w:rsidRPr="00140246" w:rsidRDefault="00707B9C" w:rsidP="00DB6778">
            <w:pPr>
              <w:jc w:val="both"/>
              <w:rPr>
                <w:rFonts w:ascii="Calibri" w:hAnsi="Calibri"/>
                <w:color w:val="000000"/>
              </w:rPr>
            </w:pPr>
            <w:r w:rsidRPr="00140246">
              <w:rPr>
                <w:rFonts w:ascii="Calibri" w:hAnsi="Calibri"/>
                <w:color w:val="000000"/>
              </w:rPr>
              <w:t>DESMONTAJE DE PÓRTICO O BANDEROLA DE SUSTENCICIÓN SOBRE AUTOVÍA, SIN INCLUIR LA CIMENTACION, INCLUSO CARGA Y TRANSPORTE A INSTALACIÓN DE GESTIÓN DE RESIDUOS HASTA UNA DISTANCIA DE 60 KM. TOTALMENTE TERMINADO.</w:t>
            </w:r>
          </w:p>
          <w:p w14:paraId="1CA73DD4" w14:textId="77777777" w:rsidR="00707B9C" w:rsidRPr="00140246" w:rsidRDefault="00707B9C" w:rsidP="00DB6778">
            <w:pPr>
              <w:jc w:val="both"/>
              <w:rPr>
                <w:rFonts w:ascii="Calibri" w:hAnsi="Calibri"/>
                <w:color w:val="000000"/>
              </w:rPr>
            </w:pPr>
          </w:p>
        </w:tc>
      </w:tr>
    </w:tbl>
    <w:p w14:paraId="10A856D8" w14:textId="77777777" w:rsidR="00636667" w:rsidRDefault="00636667" w:rsidP="000313DD">
      <w:pPr>
        <w:pStyle w:val="TITU2"/>
      </w:pPr>
      <w:bookmarkStart w:id="346" w:name="_Toc404159"/>
      <w:r w:rsidRPr="005864C2">
        <w:t>301.</w:t>
      </w:r>
      <w:r>
        <w:t>3</w:t>
      </w:r>
      <w:r w:rsidRPr="005864C2">
        <w:t xml:space="preserve">. </w:t>
      </w:r>
      <w:r>
        <w:t>Estudio de la demolición</w:t>
      </w:r>
      <w:bookmarkEnd w:id="346"/>
    </w:p>
    <w:p w14:paraId="25184528" w14:textId="77777777" w:rsidR="00636667" w:rsidRPr="00164335" w:rsidRDefault="00636667" w:rsidP="00636667">
      <w:pPr>
        <w:pStyle w:val="NORMAL12"/>
        <w:rPr>
          <w:lang w:val="es-ES"/>
        </w:rPr>
      </w:pPr>
      <w:r>
        <w:rPr>
          <w:lang w:val="es-ES"/>
        </w:rPr>
        <w:t>La ejecución de la unidad incluye la realización de las operaciones siguientes:</w:t>
      </w:r>
      <w:r w:rsidRPr="00164335">
        <w:rPr>
          <w:lang w:val="es-ES"/>
        </w:rPr>
        <w:t xml:space="preserve"> </w:t>
      </w:r>
    </w:p>
    <w:p w14:paraId="2F21DB36" w14:textId="77777777" w:rsidR="00636667" w:rsidRPr="00164335" w:rsidRDefault="00636667" w:rsidP="00E01981">
      <w:pPr>
        <w:pStyle w:val="NORMAL12"/>
        <w:numPr>
          <w:ilvl w:val="0"/>
          <w:numId w:val="60"/>
        </w:numPr>
        <w:rPr>
          <w:lang w:val="es-ES"/>
        </w:rPr>
      </w:pPr>
      <w:r w:rsidRPr="00164335">
        <w:rPr>
          <w:lang w:val="es-ES"/>
        </w:rPr>
        <w:t xml:space="preserve">Trabajos de preparación y de protección. </w:t>
      </w:r>
    </w:p>
    <w:p w14:paraId="40E36BA0" w14:textId="77777777" w:rsidR="00636667" w:rsidRPr="00810A5F" w:rsidRDefault="00636667" w:rsidP="00E01981">
      <w:pPr>
        <w:pStyle w:val="NORMAL12"/>
        <w:numPr>
          <w:ilvl w:val="0"/>
          <w:numId w:val="60"/>
        </w:numPr>
        <w:rPr>
          <w:lang w:val="es-ES"/>
        </w:rPr>
      </w:pPr>
      <w:r w:rsidRPr="00164335">
        <w:rPr>
          <w:lang w:val="es-ES"/>
        </w:rPr>
        <w:t>Aporta</w:t>
      </w:r>
      <w:r w:rsidRPr="00810A5F">
        <w:rPr>
          <w:lang w:val="es-ES"/>
        </w:rPr>
        <w:t xml:space="preserve">ción de maquinaria, accesorios, mano de obra y equipos para realizar la demolición </w:t>
      </w:r>
      <w:proofErr w:type="gramStart"/>
      <w:r w:rsidRPr="00810A5F">
        <w:rPr>
          <w:lang w:val="es-ES"/>
        </w:rPr>
        <w:t>requerida</w:t>
      </w:r>
      <w:proofErr w:type="gramEnd"/>
      <w:r w:rsidRPr="00810A5F">
        <w:rPr>
          <w:lang w:val="es-ES"/>
        </w:rPr>
        <w:t xml:space="preserve"> así como para transportar los productos procedentes de la misma.</w:t>
      </w:r>
    </w:p>
    <w:p w14:paraId="6FA4BE20" w14:textId="77777777" w:rsidR="00636667" w:rsidRPr="00810A5F" w:rsidRDefault="00636667" w:rsidP="00E01981">
      <w:pPr>
        <w:pStyle w:val="NORMAL12"/>
        <w:numPr>
          <w:ilvl w:val="0"/>
          <w:numId w:val="60"/>
        </w:numPr>
        <w:rPr>
          <w:lang w:val="es-ES"/>
        </w:rPr>
      </w:pPr>
      <w:r w:rsidRPr="00810A5F">
        <w:rPr>
          <w:lang w:val="es-ES"/>
        </w:rPr>
        <w:t>Realización de la demolición con los medios mecánicos necesarios, realizándose de manera simultánea, siempre que sea posible, la carga de los escombros.</w:t>
      </w:r>
    </w:p>
    <w:p w14:paraId="1E1ECC23" w14:textId="77777777" w:rsidR="00636667" w:rsidRPr="00810A5F" w:rsidRDefault="00636667" w:rsidP="00E01981">
      <w:pPr>
        <w:pStyle w:val="NORMAL12"/>
        <w:numPr>
          <w:ilvl w:val="0"/>
          <w:numId w:val="60"/>
        </w:numPr>
        <w:rPr>
          <w:lang w:val="es-ES"/>
        </w:rPr>
      </w:pPr>
      <w:r w:rsidRPr="00810A5F">
        <w:rPr>
          <w:lang w:val="es-ES"/>
        </w:rPr>
        <w:t>Limpieza de productos sobrantes.</w:t>
      </w:r>
    </w:p>
    <w:p w14:paraId="1E8A0D98" w14:textId="77777777" w:rsidR="00636667" w:rsidRPr="00810A5F" w:rsidRDefault="00636667" w:rsidP="00E01981">
      <w:pPr>
        <w:pStyle w:val="NORMAL12"/>
        <w:numPr>
          <w:ilvl w:val="0"/>
          <w:numId w:val="60"/>
        </w:numPr>
        <w:rPr>
          <w:lang w:val="es-ES"/>
        </w:rPr>
      </w:pPr>
      <w:r w:rsidRPr="00810A5F">
        <w:rPr>
          <w:lang w:val="es-ES"/>
        </w:rPr>
        <w:t>Carga y transporte a instalación de gestión de residuos hasta una distancia máxima de sesenta (60) kilómetros.</w:t>
      </w:r>
    </w:p>
    <w:p w14:paraId="31384082" w14:textId="77777777" w:rsidR="00636667" w:rsidRPr="00810A5F" w:rsidRDefault="00636667" w:rsidP="00636667">
      <w:pPr>
        <w:pStyle w:val="NORMAL12"/>
        <w:rPr>
          <w:lang w:val="es-ES"/>
        </w:rPr>
      </w:pPr>
      <w:r w:rsidRPr="00810A5F">
        <w:rPr>
          <w:lang w:val="es-ES"/>
        </w:rPr>
        <w:t>Los escombros resultantes de la demolición serán clasificados, transportados y tratados a una planta de gestión de residuos, tal y como se especifica en artículo de Gestión de Residuos de este Pliego.</w:t>
      </w:r>
    </w:p>
    <w:p w14:paraId="560F8F38" w14:textId="77777777" w:rsidR="00636667" w:rsidRPr="00810A5F" w:rsidRDefault="00636667" w:rsidP="000313DD">
      <w:pPr>
        <w:pStyle w:val="TITU2"/>
      </w:pPr>
      <w:bookmarkStart w:id="347" w:name="_Toc404160"/>
      <w:r w:rsidRPr="00810A5F">
        <w:lastRenderedPageBreak/>
        <w:t>301.4. Ejecución de las obras</w:t>
      </w:r>
      <w:bookmarkEnd w:id="347"/>
    </w:p>
    <w:p w14:paraId="2DF648F0" w14:textId="77777777" w:rsidR="00636667" w:rsidRPr="00810A5F" w:rsidRDefault="00636667" w:rsidP="00636667">
      <w:pPr>
        <w:pStyle w:val="NORMAL12"/>
        <w:rPr>
          <w:lang w:val="es-ES"/>
        </w:rPr>
      </w:pPr>
      <w:r w:rsidRPr="00810A5F">
        <w:rPr>
          <w:lang w:val="es-ES"/>
        </w:rPr>
        <w:t xml:space="preserve">El Contratista será responsable de la adopción de todas las medidas de seguridad y del cumplimiento de las disposiciones vigentes al efectuar las operaciones de demolición, así como de evitar que se produzcan daños, molestias o perjuicios a las construcciones, bienes o personas próximas y del entorno, sin perjuicio de su obligación de cumplir las instrucciones que eventualmente dicte el </w:t>
      </w:r>
      <w:proofErr w:type="gramStart"/>
      <w:r w:rsidRPr="00810A5F">
        <w:rPr>
          <w:lang w:val="es-ES"/>
        </w:rPr>
        <w:t>Director</w:t>
      </w:r>
      <w:proofErr w:type="gramEnd"/>
      <w:r w:rsidRPr="00810A5F">
        <w:rPr>
          <w:lang w:val="es-ES"/>
        </w:rPr>
        <w:t xml:space="preserve"> de las Obras.</w:t>
      </w:r>
    </w:p>
    <w:p w14:paraId="5C58E0C0" w14:textId="77777777" w:rsidR="00636667" w:rsidRPr="00810A5F" w:rsidRDefault="00636667" w:rsidP="00636667">
      <w:pPr>
        <w:pStyle w:val="NORMAL12"/>
        <w:rPr>
          <w:lang w:val="es-ES"/>
        </w:rPr>
      </w:pPr>
      <w:r w:rsidRPr="00810A5F">
        <w:rPr>
          <w:lang w:val="es-ES"/>
        </w:rPr>
        <w:t xml:space="preserve">Previamente a los trabajos de demolición se elaborará un estudio de demolición, que deberá ser sometido a la aprobación del </w:t>
      </w:r>
      <w:proofErr w:type="gramStart"/>
      <w:r w:rsidRPr="00810A5F">
        <w:rPr>
          <w:lang w:val="es-ES"/>
        </w:rPr>
        <w:t>Director</w:t>
      </w:r>
      <w:proofErr w:type="gramEnd"/>
      <w:r w:rsidRPr="00810A5F">
        <w:rPr>
          <w:lang w:val="es-ES"/>
        </w:rPr>
        <w:t xml:space="preserve"> de las Obras, siendo el Contratista responsable del contenido de dicho estudio y de su correcta ejecución.</w:t>
      </w:r>
    </w:p>
    <w:p w14:paraId="58B2FD1D" w14:textId="77777777" w:rsidR="00636667" w:rsidRPr="00810A5F" w:rsidRDefault="00636667" w:rsidP="00636667">
      <w:pPr>
        <w:pStyle w:val="NORMAL12"/>
        <w:rPr>
          <w:lang w:val="es-ES"/>
        </w:rPr>
      </w:pPr>
      <w:r w:rsidRPr="00810A5F">
        <w:rPr>
          <w:lang w:val="es-ES"/>
        </w:rPr>
        <w:t xml:space="preserve">En el estudio de demolición deberán definirse como mínimo: </w:t>
      </w:r>
    </w:p>
    <w:p w14:paraId="65A539CB" w14:textId="77777777" w:rsidR="00636667" w:rsidRPr="00810A5F" w:rsidRDefault="00636667" w:rsidP="00693EA3">
      <w:pPr>
        <w:pStyle w:val="NORMAL12"/>
        <w:numPr>
          <w:ilvl w:val="0"/>
          <w:numId w:val="61"/>
        </w:numPr>
        <w:ind w:left="714" w:hanging="357"/>
        <w:contextualSpacing/>
        <w:rPr>
          <w:lang w:val="es-ES"/>
        </w:rPr>
      </w:pPr>
      <w:r w:rsidRPr="00810A5F">
        <w:rPr>
          <w:lang w:val="es-ES"/>
        </w:rPr>
        <w:t xml:space="preserve">Métodos de demolición y etapas de su aplicación. </w:t>
      </w:r>
    </w:p>
    <w:p w14:paraId="0EA70F0B" w14:textId="77777777" w:rsidR="00636667" w:rsidRPr="00810A5F" w:rsidRDefault="00636667" w:rsidP="00693EA3">
      <w:pPr>
        <w:pStyle w:val="NORMAL12"/>
        <w:numPr>
          <w:ilvl w:val="0"/>
          <w:numId w:val="61"/>
        </w:numPr>
        <w:ind w:left="714" w:hanging="357"/>
        <w:contextualSpacing/>
        <w:rPr>
          <w:lang w:val="es-ES"/>
        </w:rPr>
      </w:pPr>
      <w:r w:rsidRPr="00810A5F">
        <w:rPr>
          <w:lang w:val="es-ES"/>
        </w:rPr>
        <w:t xml:space="preserve">Estabilidad de las construcciones remanentes en cada etapa, así como los apeos y cimbras necesarios. </w:t>
      </w:r>
    </w:p>
    <w:p w14:paraId="39F8DADC" w14:textId="77777777" w:rsidR="00636667" w:rsidRPr="00810A5F" w:rsidRDefault="00636667" w:rsidP="00693EA3">
      <w:pPr>
        <w:pStyle w:val="NORMAL12"/>
        <w:numPr>
          <w:ilvl w:val="0"/>
          <w:numId w:val="61"/>
        </w:numPr>
        <w:ind w:left="714" w:hanging="357"/>
        <w:contextualSpacing/>
        <w:rPr>
          <w:lang w:val="es-ES"/>
        </w:rPr>
      </w:pPr>
      <w:r w:rsidRPr="00810A5F">
        <w:rPr>
          <w:lang w:val="es-ES"/>
        </w:rPr>
        <w:t xml:space="preserve">Estabilidad y protección de construcciones remanentes que no vayan a ser demolidas. </w:t>
      </w:r>
    </w:p>
    <w:p w14:paraId="1AF0F6CD" w14:textId="77777777" w:rsidR="00636667" w:rsidRPr="00810A5F" w:rsidRDefault="00636667" w:rsidP="00693EA3">
      <w:pPr>
        <w:pStyle w:val="NORMAL12"/>
        <w:numPr>
          <w:ilvl w:val="0"/>
          <w:numId w:val="61"/>
        </w:numPr>
        <w:ind w:left="714" w:hanging="357"/>
        <w:contextualSpacing/>
        <w:rPr>
          <w:lang w:val="es-ES"/>
        </w:rPr>
      </w:pPr>
      <w:r w:rsidRPr="00810A5F">
        <w:rPr>
          <w:lang w:val="es-ES"/>
        </w:rPr>
        <w:t xml:space="preserve">Protección de las construcciones e instalaciones del entorno. </w:t>
      </w:r>
    </w:p>
    <w:p w14:paraId="2938D7E3" w14:textId="77777777" w:rsidR="00636667" w:rsidRPr="00810A5F" w:rsidRDefault="00636667" w:rsidP="00693EA3">
      <w:pPr>
        <w:pStyle w:val="NORMAL12"/>
        <w:numPr>
          <w:ilvl w:val="0"/>
          <w:numId w:val="61"/>
        </w:numPr>
        <w:ind w:left="714" w:hanging="357"/>
        <w:contextualSpacing/>
        <w:rPr>
          <w:lang w:val="es-ES"/>
        </w:rPr>
      </w:pPr>
      <w:r w:rsidRPr="00810A5F">
        <w:rPr>
          <w:lang w:val="es-ES"/>
        </w:rPr>
        <w:t xml:space="preserve">Mantenimiento o sustitución provisional de servicios afectados por la demolición. </w:t>
      </w:r>
    </w:p>
    <w:p w14:paraId="04BEE8E6" w14:textId="77777777" w:rsidR="00636667" w:rsidRPr="00810A5F" w:rsidRDefault="00636667" w:rsidP="00693EA3">
      <w:pPr>
        <w:pStyle w:val="NORMAL12"/>
        <w:numPr>
          <w:ilvl w:val="0"/>
          <w:numId w:val="61"/>
        </w:numPr>
        <w:ind w:left="714" w:hanging="357"/>
        <w:contextualSpacing/>
        <w:rPr>
          <w:lang w:val="es-ES"/>
        </w:rPr>
      </w:pPr>
      <w:r w:rsidRPr="00810A5F">
        <w:rPr>
          <w:lang w:val="es-ES"/>
        </w:rPr>
        <w:t xml:space="preserve">Medios de evacuación y definición de zonas de vertido de los productos de la demolición. </w:t>
      </w:r>
    </w:p>
    <w:p w14:paraId="2AF97355" w14:textId="77777777" w:rsidR="00636667" w:rsidRPr="00810A5F" w:rsidRDefault="00636667" w:rsidP="00693EA3">
      <w:pPr>
        <w:pStyle w:val="NORMAL12"/>
        <w:numPr>
          <w:ilvl w:val="0"/>
          <w:numId w:val="61"/>
        </w:numPr>
        <w:ind w:left="714" w:hanging="357"/>
        <w:contextualSpacing/>
        <w:rPr>
          <w:lang w:val="es-ES"/>
        </w:rPr>
      </w:pPr>
      <w:r w:rsidRPr="00810A5F">
        <w:rPr>
          <w:lang w:val="es-ES"/>
        </w:rPr>
        <w:t xml:space="preserve">Cronogramas de trabajos. </w:t>
      </w:r>
    </w:p>
    <w:p w14:paraId="3ECA4B10" w14:textId="77777777" w:rsidR="00636667" w:rsidRPr="00810A5F" w:rsidRDefault="00636667" w:rsidP="00693EA3">
      <w:pPr>
        <w:pStyle w:val="NORMAL12"/>
        <w:numPr>
          <w:ilvl w:val="0"/>
          <w:numId w:val="61"/>
        </w:numPr>
        <w:ind w:left="714" w:hanging="357"/>
        <w:contextualSpacing/>
        <w:rPr>
          <w:lang w:val="es-ES"/>
        </w:rPr>
      </w:pPr>
      <w:r w:rsidRPr="00810A5F">
        <w:rPr>
          <w:lang w:val="es-ES"/>
        </w:rPr>
        <w:t xml:space="preserve">Pautas de control. </w:t>
      </w:r>
    </w:p>
    <w:p w14:paraId="71AE6DB7" w14:textId="77777777" w:rsidR="00636667" w:rsidRPr="00810A5F" w:rsidRDefault="00636667" w:rsidP="00693EA3">
      <w:pPr>
        <w:pStyle w:val="NORMAL12"/>
        <w:numPr>
          <w:ilvl w:val="0"/>
          <w:numId w:val="61"/>
        </w:numPr>
        <w:ind w:left="714" w:hanging="357"/>
        <w:contextualSpacing/>
        <w:rPr>
          <w:lang w:val="es-ES"/>
        </w:rPr>
      </w:pPr>
      <w:r w:rsidRPr="00810A5F">
        <w:rPr>
          <w:lang w:val="es-ES"/>
        </w:rPr>
        <w:t xml:space="preserve">Medidas de seguridad y salud. </w:t>
      </w:r>
    </w:p>
    <w:p w14:paraId="4BB3FB91" w14:textId="77777777" w:rsidR="00636667" w:rsidRPr="00810A5F" w:rsidRDefault="00636667" w:rsidP="00636667">
      <w:pPr>
        <w:pStyle w:val="NORMAL12"/>
        <w:rPr>
          <w:lang w:val="es-ES"/>
        </w:rPr>
      </w:pPr>
      <w:r w:rsidRPr="00810A5F">
        <w:rPr>
          <w:lang w:val="es-ES"/>
        </w:rPr>
        <w:t>Se estará, en todo caso, a lo dispuesto en la legislación vigente en materia medioambiental, de seguridad y salud y de almacenamiento y transporte de productos de construcción.</w:t>
      </w:r>
    </w:p>
    <w:p w14:paraId="52C6CDB4" w14:textId="77777777" w:rsidR="00636667" w:rsidRPr="00810A5F" w:rsidRDefault="00636667" w:rsidP="00636667">
      <w:pPr>
        <w:pStyle w:val="NORMAL12"/>
        <w:rPr>
          <w:lang w:val="es-ES"/>
        </w:rPr>
      </w:pPr>
      <w:r w:rsidRPr="00810A5F">
        <w:rPr>
          <w:lang w:val="es-ES"/>
        </w:rPr>
        <w:t xml:space="preserve">Además, antes de iniciar la demolición se neutralizarán las acometidas de las instalaciones, de acuerdo con las entidades administradoras o propietarias de </w:t>
      </w:r>
      <w:proofErr w:type="gramStart"/>
      <w:r w:rsidRPr="00810A5F">
        <w:rPr>
          <w:lang w:val="es-ES"/>
        </w:rPr>
        <w:t>las mismas</w:t>
      </w:r>
      <w:proofErr w:type="gramEnd"/>
      <w:r w:rsidRPr="00810A5F">
        <w:rPr>
          <w:lang w:val="es-ES"/>
        </w:rPr>
        <w:t>. Se deberá prestar especial atención a conducciones eléctricas y de gas enterradas.</w:t>
      </w:r>
    </w:p>
    <w:p w14:paraId="2FCE5F0A" w14:textId="77777777" w:rsidR="00636667" w:rsidRPr="00810A5F" w:rsidRDefault="00636667" w:rsidP="00636667">
      <w:pPr>
        <w:pStyle w:val="NORMAL12"/>
        <w:rPr>
          <w:lang w:val="es-ES"/>
        </w:rPr>
      </w:pPr>
      <w:r w:rsidRPr="00810A5F">
        <w:rPr>
          <w:lang w:val="es-ES"/>
        </w:rPr>
        <w:t>Al finalizar la jornada de trabajo no deberán quedar elementos de la obra en estado inestable o peligroso.</w:t>
      </w:r>
    </w:p>
    <w:p w14:paraId="1B20C4A6" w14:textId="77777777" w:rsidR="00636667" w:rsidRPr="00810A5F" w:rsidRDefault="00636667" w:rsidP="00636667">
      <w:pPr>
        <w:pStyle w:val="NORMAL12"/>
        <w:rPr>
          <w:lang w:val="es-ES"/>
        </w:rPr>
      </w:pPr>
      <w:r w:rsidRPr="00810A5F">
        <w:rPr>
          <w:lang w:val="es-ES"/>
        </w:rPr>
        <w:t xml:space="preserve">El </w:t>
      </w:r>
      <w:proofErr w:type="gramStart"/>
      <w:r w:rsidRPr="00810A5F">
        <w:rPr>
          <w:lang w:val="es-ES"/>
        </w:rPr>
        <w:t>Director</w:t>
      </w:r>
      <w:proofErr w:type="gramEnd"/>
      <w:r w:rsidRPr="00810A5F">
        <w:rPr>
          <w:lang w:val="es-ES"/>
        </w:rPr>
        <w:t xml:space="preserve"> de la obra decidirá sobre el posterior empleo de los materiales procedentes de las demoliciones que sea preciso ejecutar.</w:t>
      </w:r>
    </w:p>
    <w:p w14:paraId="5324C8C1" w14:textId="77777777" w:rsidR="00760561" w:rsidRPr="00810A5F" w:rsidRDefault="00A308AC" w:rsidP="00636667">
      <w:pPr>
        <w:pStyle w:val="NORMAL12"/>
        <w:rPr>
          <w:lang w:val="es-ES"/>
        </w:rPr>
      </w:pPr>
      <w:r w:rsidRPr="00810A5F">
        <w:rPr>
          <w:lang w:val="es-ES"/>
        </w:rPr>
        <w:t xml:space="preserve">El material resultante de la demolición se </w:t>
      </w:r>
      <w:r w:rsidR="00760561" w:rsidRPr="00810A5F">
        <w:rPr>
          <w:lang w:val="es-ES"/>
        </w:rPr>
        <w:t>envía a gestor de residuos autorizado.</w:t>
      </w:r>
    </w:p>
    <w:p w14:paraId="453673A6" w14:textId="77777777" w:rsidR="00636667" w:rsidRPr="00810A5F" w:rsidRDefault="00636667" w:rsidP="000313DD">
      <w:pPr>
        <w:pStyle w:val="TITU2"/>
      </w:pPr>
      <w:bookmarkStart w:id="348" w:name="_Toc404161"/>
      <w:r w:rsidRPr="00810A5F">
        <w:t>301.5. Medición y abono</w:t>
      </w:r>
      <w:bookmarkEnd w:id="348"/>
    </w:p>
    <w:p w14:paraId="54FF717C" w14:textId="77777777" w:rsidR="00636667" w:rsidRPr="00810A5F" w:rsidRDefault="00636667" w:rsidP="00636667">
      <w:pPr>
        <w:pStyle w:val="NORMAL12"/>
      </w:pPr>
      <w:r w:rsidRPr="00810A5F">
        <w:rPr>
          <w:lang w:val="es-ES"/>
        </w:rPr>
        <w:t>La medición y abono de la unidad d</w:t>
      </w:r>
      <w:r w:rsidR="00D863A8" w:rsidRPr="00810A5F">
        <w:rPr>
          <w:lang w:val="es-ES"/>
        </w:rPr>
        <w:t xml:space="preserve">e demolición de firme existente, y las fábricas de hormigón en masa o armado </w:t>
      </w:r>
      <w:r w:rsidRPr="00810A5F">
        <w:rPr>
          <w:lang w:val="es-ES"/>
        </w:rPr>
        <w:t>se realizará conforme a las siguientes especificaciones: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636667" w:rsidRPr="00810A5F" w14:paraId="18412EF3" w14:textId="77777777" w:rsidTr="000449FD">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66B17524" w14:textId="77777777" w:rsidR="00636667" w:rsidRPr="00810A5F" w:rsidRDefault="00636667" w:rsidP="00E50149">
            <w:pPr>
              <w:pStyle w:val="Tabla"/>
              <w:rPr>
                <w:b/>
              </w:rPr>
            </w:pPr>
            <w:r w:rsidRPr="00810A5F">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40E7D0C7" w14:textId="77777777" w:rsidR="00636667" w:rsidRPr="00810A5F" w:rsidRDefault="00636667" w:rsidP="00DB6778">
            <w:pPr>
              <w:pStyle w:val="LCATabla"/>
              <w:keepLines/>
              <w:jc w:val="both"/>
              <w:rPr>
                <w:rFonts w:ascii="Arial" w:hAnsi="Arial" w:cs="Arial"/>
                <w:sz w:val="20"/>
              </w:rPr>
            </w:pPr>
            <w:r w:rsidRPr="00810A5F">
              <w:rPr>
                <w:rFonts w:ascii="Arial" w:hAnsi="Arial" w:cs="Arial"/>
                <w:sz w:val="20"/>
              </w:rPr>
              <w:t>Metro cúbico (m</w:t>
            </w:r>
            <w:r w:rsidRPr="00810A5F">
              <w:rPr>
                <w:rFonts w:ascii="Arial" w:hAnsi="Arial" w:cs="Arial"/>
                <w:sz w:val="20"/>
                <w:vertAlign w:val="superscript"/>
              </w:rPr>
              <w:t>3</w:t>
            </w:r>
            <w:r w:rsidRPr="00810A5F">
              <w:rPr>
                <w:rFonts w:ascii="Arial" w:hAnsi="Arial" w:cs="Arial"/>
                <w:sz w:val="20"/>
              </w:rPr>
              <w:t>)</w:t>
            </w:r>
          </w:p>
        </w:tc>
      </w:tr>
      <w:tr w:rsidR="00636667" w:rsidRPr="00810A5F" w14:paraId="29FCD494" w14:textId="77777777" w:rsidTr="000449FD">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17B2CCCA" w14:textId="77777777" w:rsidR="00636667" w:rsidRPr="00810A5F" w:rsidRDefault="00636667" w:rsidP="00E50149">
            <w:pPr>
              <w:pStyle w:val="Tabla"/>
              <w:rPr>
                <w:b/>
              </w:rPr>
            </w:pPr>
            <w:r w:rsidRPr="00810A5F">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416710D0" w14:textId="77777777" w:rsidR="00636667" w:rsidRPr="00810A5F" w:rsidRDefault="00636667" w:rsidP="00DB6778">
            <w:pPr>
              <w:pStyle w:val="LCATabla"/>
              <w:keepLines/>
              <w:jc w:val="both"/>
              <w:rPr>
                <w:rFonts w:ascii="Arial" w:hAnsi="Arial" w:cs="Arial"/>
                <w:sz w:val="20"/>
              </w:rPr>
            </w:pPr>
            <w:r w:rsidRPr="00810A5F">
              <w:rPr>
                <w:rFonts w:ascii="Arial" w:hAnsi="Arial" w:cs="Arial"/>
                <w:sz w:val="20"/>
              </w:rPr>
              <w:t>Dos decimales.</w:t>
            </w:r>
          </w:p>
        </w:tc>
      </w:tr>
      <w:tr w:rsidR="00636667" w:rsidRPr="00810A5F" w14:paraId="42736C62" w14:textId="77777777" w:rsidTr="000449FD">
        <w:trPr>
          <w:trHeight w:val="790"/>
          <w:jc w:val="center"/>
        </w:trPr>
        <w:tc>
          <w:tcPr>
            <w:tcW w:w="2682" w:type="dxa"/>
            <w:tcBorders>
              <w:top w:val="single" w:sz="4" w:space="0" w:color="auto"/>
              <w:left w:val="single" w:sz="4" w:space="0" w:color="auto"/>
              <w:bottom w:val="single" w:sz="4" w:space="0" w:color="auto"/>
              <w:right w:val="single" w:sz="4" w:space="0" w:color="auto"/>
            </w:tcBorders>
            <w:vAlign w:val="center"/>
          </w:tcPr>
          <w:p w14:paraId="63740383" w14:textId="77777777" w:rsidR="00636667" w:rsidRPr="00810A5F" w:rsidRDefault="00636667" w:rsidP="00E50149">
            <w:pPr>
              <w:pStyle w:val="Tabla"/>
              <w:rPr>
                <w:b/>
              </w:rPr>
            </w:pPr>
            <w:r w:rsidRPr="00810A5F">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74B798F2" w14:textId="77777777" w:rsidR="00636667" w:rsidRPr="00810A5F" w:rsidRDefault="00636667" w:rsidP="00DB6778">
            <w:pPr>
              <w:pStyle w:val="LCATabla"/>
              <w:keepLines/>
              <w:jc w:val="both"/>
              <w:rPr>
                <w:rFonts w:ascii="Arial" w:hAnsi="Arial" w:cs="Arial"/>
                <w:sz w:val="20"/>
              </w:rPr>
            </w:pPr>
            <w:r w:rsidRPr="00810A5F">
              <w:rPr>
                <w:rFonts w:ascii="Arial" w:hAnsi="Arial" w:cs="Arial"/>
                <w:sz w:val="20"/>
              </w:rPr>
              <w:t xml:space="preserve">Se abonará según el precio establecido en el Cuadro de precios para la unidad de aplicación. </w:t>
            </w:r>
          </w:p>
        </w:tc>
      </w:tr>
      <w:tr w:rsidR="00636667" w:rsidRPr="00810A5F" w14:paraId="49CCB77F" w14:textId="77777777" w:rsidTr="000449FD">
        <w:trPr>
          <w:trHeight w:val="790"/>
          <w:jc w:val="center"/>
        </w:trPr>
        <w:tc>
          <w:tcPr>
            <w:tcW w:w="2682" w:type="dxa"/>
            <w:tcBorders>
              <w:top w:val="single" w:sz="4" w:space="0" w:color="auto"/>
              <w:left w:val="single" w:sz="4" w:space="0" w:color="auto"/>
              <w:bottom w:val="single" w:sz="4" w:space="0" w:color="auto"/>
              <w:right w:val="single" w:sz="4" w:space="0" w:color="auto"/>
            </w:tcBorders>
            <w:vAlign w:val="center"/>
          </w:tcPr>
          <w:p w14:paraId="6111B7CD" w14:textId="77777777" w:rsidR="00636667" w:rsidRPr="00810A5F" w:rsidRDefault="00636667" w:rsidP="00E50149">
            <w:pPr>
              <w:pStyle w:val="Tabla"/>
              <w:rPr>
                <w:b/>
              </w:rPr>
            </w:pPr>
            <w:r w:rsidRPr="00810A5F">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7FC52942" w14:textId="77777777" w:rsidR="00636667" w:rsidRPr="00810A5F" w:rsidRDefault="00636667" w:rsidP="00DB6778">
            <w:pPr>
              <w:pStyle w:val="LCATabla"/>
              <w:keepLines/>
              <w:jc w:val="both"/>
              <w:rPr>
                <w:rFonts w:ascii="Arial" w:hAnsi="Arial" w:cs="Arial"/>
                <w:sz w:val="20"/>
              </w:rPr>
            </w:pPr>
            <w:r w:rsidRPr="00810A5F">
              <w:rPr>
                <w:rFonts w:ascii="Arial" w:hAnsi="Arial" w:cs="Arial"/>
                <w:sz w:val="20"/>
              </w:rPr>
              <w:t>Se efectuará cuando se realice la aceptación, una vez realizadas las pruebas y ensayos de recepción.</w:t>
            </w:r>
          </w:p>
        </w:tc>
      </w:tr>
      <w:tr w:rsidR="00636667" w:rsidRPr="00810A5F" w14:paraId="474F260A" w14:textId="77777777" w:rsidTr="000449FD">
        <w:trPr>
          <w:trHeight w:val="3179"/>
          <w:jc w:val="center"/>
        </w:trPr>
        <w:tc>
          <w:tcPr>
            <w:tcW w:w="2682" w:type="dxa"/>
            <w:tcBorders>
              <w:top w:val="single" w:sz="4" w:space="0" w:color="auto"/>
              <w:left w:val="single" w:sz="4" w:space="0" w:color="auto"/>
              <w:bottom w:val="single" w:sz="4" w:space="0" w:color="auto"/>
              <w:right w:val="single" w:sz="4" w:space="0" w:color="auto"/>
            </w:tcBorders>
            <w:vAlign w:val="center"/>
          </w:tcPr>
          <w:p w14:paraId="4DA859FA" w14:textId="77777777" w:rsidR="00636667" w:rsidRPr="00810A5F" w:rsidRDefault="00636667" w:rsidP="00E50149">
            <w:pPr>
              <w:pStyle w:val="Tabla"/>
              <w:rPr>
                <w:b/>
              </w:rPr>
            </w:pPr>
            <w:r w:rsidRPr="00810A5F">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4E90B9AA" w14:textId="77777777" w:rsidR="00636667" w:rsidRPr="00810A5F" w:rsidRDefault="00636667" w:rsidP="00DB6778">
            <w:pPr>
              <w:pStyle w:val="LCATabla"/>
              <w:keepLines/>
              <w:jc w:val="both"/>
              <w:rPr>
                <w:rFonts w:ascii="Arial" w:hAnsi="Arial" w:cs="Arial"/>
                <w:sz w:val="20"/>
              </w:rPr>
            </w:pPr>
            <w:r w:rsidRPr="00810A5F">
              <w:rPr>
                <w:rFonts w:ascii="Arial" w:hAnsi="Arial" w:cs="Arial"/>
                <w:sz w:val="20"/>
              </w:rPr>
              <w:t>El precio incluye los costes que se originen como consecuencia de las precauciones necesarias a tomar para garantizar la seguridad, así como para la obtención de licencias y permisos.</w:t>
            </w:r>
          </w:p>
          <w:p w14:paraId="212F938A" w14:textId="77777777" w:rsidR="00636667" w:rsidRPr="00810A5F" w:rsidRDefault="00636667" w:rsidP="00DB6778">
            <w:pPr>
              <w:pStyle w:val="LCATabla"/>
              <w:keepLines/>
              <w:jc w:val="both"/>
              <w:rPr>
                <w:rFonts w:ascii="Arial" w:hAnsi="Arial" w:cs="Arial"/>
                <w:sz w:val="20"/>
              </w:rPr>
            </w:pPr>
            <w:r w:rsidRPr="00810A5F">
              <w:rPr>
                <w:rFonts w:ascii="Arial" w:hAnsi="Arial" w:cs="Arial"/>
                <w:sz w:val="20"/>
              </w:rPr>
              <w:t>El transporte a vertedero está incluido en el precio hasta una distancia máxima de sesenta kilómetros. Siendo objeto de medición y abono independiente para distancias superiores.</w:t>
            </w:r>
          </w:p>
          <w:p w14:paraId="393BD45F" w14:textId="77777777" w:rsidR="00887BEE" w:rsidRPr="00810A5F" w:rsidRDefault="00636667" w:rsidP="00DB6778">
            <w:pPr>
              <w:pStyle w:val="LCATabla"/>
              <w:keepLines/>
              <w:jc w:val="both"/>
              <w:rPr>
                <w:rFonts w:ascii="Arial" w:hAnsi="Arial" w:cs="Arial"/>
                <w:sz w:val="20"/>
              </w:rPr>
            </w:pPr>
            <w:r w:rsidRPr="00140246">
              <w:rPr>
                <w:rFonts w:ascii="Arial" w:hAnsi="Arial" w:cs="Arial"/>
                <w:sz w:val="20"/>
              </w:rPr>
              <w:t>El precio</w:t>
            </w:r>
            <w:r w:rsidR="00887BEE" w:rsidRPr="00140246">
              <w:rPr>
                <w:rFonts w:ascii="Arial" w:hAnsi="Arial" w:cs="Arial"/>
                <w:sz w:val="20"/>
              </w:rPr>
              <w:t xml:space="preserve"> no</w:t>
            </w:r>
            <w:r w:rsidRPr="00140246">
              <w:rPr>
                <w:rFonts w:ascii="Arial" w:hAnsi="Arial" w:cs="Arial"/>
                <w:sz w:val="20"/>
              </w:rPr>
              <w:t xml:space="preserve"> incluye los costes de clasificación de residuos a pie de obra</w:t>
            </w:r>
            <w:r w:rsidR="006C657B" w:rsidRPr="00140246">
              <w:rPr>
                <w:rFonts w:ascii="Arial" w:hAnsi="Arial" w:cs="Arial"/>
                <w:sz w:val="20"/>
              </w:rPr>
              <w:t xml:space="preserve">, </w:t>
            </w:r>
            <w:r w:rsidR="00A3518D" w:rsidRPr="00140246">
              <w:rPr>
                <w:rFonts w:ascii="Arial" w:hAnsi="Arial" w:cs="Arial"/>
                <w:sz w:val="20"/>
              </w:rPr>
              <w:t xml:space="preserve">ni </w:t>
            </w:r>
            <w:r w:rsidR="00887BEE" w:rsidRPr="00140246">
              <w:rPr>
                <w:rFonts w:ascii="Arial" w:hAnsi="Arial" w:cs="Arial"/>
                <w:sz w:val="20"/>
              </w:rPr>
              <w:t>el canon y coste de gestión de residuos en la planta de tratamiento, siendo objeto de medición y abono independiente</w:t>
            </w:r>
            <w:r w:rsidR="006C657B" w:rsidRPr="00140246">
              <w:rPr>
                <w:rFonts w:ascii="Arial" w:hAnsi="Arial" w:cs="Arial"/>
                <w:sz w:val="20"/>
              </w:rPr>
              <w:t>, tal y como se detalla en el anejo de Gestión de residuos y repercutido en el presupuesto en el apartado correspondiente.</w:t>
            </w:r>
          </w:p>
        </w:tc>
      </w:tr>
    </w:tbl>
    <w:p w14:paraId="42732C31" w14:textId="77777777" w:rsidR="008C406B" w:rsidRPr="00810A5F" w:rsidRDefault="008C406B" w:rsidP="00636667">
      <w:pPr>
        <w:pStyle w:val="NORMAL12"/>
        <w:rPr>
          <w:lang w:val="es-ES"/>
        </w:rPr>
      </w:pPr>
      <w:r w:rsidRPr="00810A5F">
        <w:rPr>
          <w:lang w:val="es-ES"/>
        </w:rPr>
        <w:t>La medición y abono de la</w:t>
      </w:r>
      <w:r w:rsidR="00D863A8" w:rsidRPr="00810A5F">
        <w:rPr>
          <w:lang w:val="es-ES"/>
        </w:rPr>
        <w:t xml:space="preserve"> unidad de demolición de firme </w:t>
      </w:r>
      <w:r w:rsidRPr="00810A5F">
        <w:rPr>
          <w:lang w:val="es-ES"/>
        </w:rPr>
        <w:t xml:space="preserve">medida </w:t>
      </w:r>
      <w:r w:rsidR="00D863A8" w:rsidRPr="00810A5F">
        <w:rPr>
          <w:lang w:val="es-ES"/>
        </w:rPr>
        <w:t>en metros cuadrado</w:t>
      </w:r>
      <w:r w:rsidR="00AC205C">
        <w:rPr>
          <w:lang w:val="es-ES"/>
        </w:rPr>
        <w:t>s</w:t>
      </w:r>
      <w:r w:rsidR="00D863A8" w:rsidRPr="00810A5F">
        <w:rPr>
          <w:lang w:val="es-ES"/>
        </w:rPr>
        <w:t xml:space="preserve"> y desmontaje de carteles se </w:t>
      </w:r>
      <w:r w:rsidRPr="00810A5F">
        <w:rPr>
          <w:lang w:val="es-ES"/>
        </w:rPr>
        <w:t>realizará según las prescripciones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8C406B" w:rsidRPr="00810A5F" w14:paraId="1DC645BD" w14:textId="77777777" w:rsidTr="00DF2648">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5773367B" w14:textId="77777777" w:rsidR="008C406B" w:rsidRPr="00810A5F" w:rsidRDefault="008C406B" w:rsidP="00E50149">
            <w:pPr>
              <w:pStyle w:val="Tabla"/>
              <w:rPr>
                <w:b/>
              </w:rPr>
            </w:pPr>
            <w:r w:rsidRPr="00810A5F">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79FDEEFC" w14:textId="77777777" w:rsidR="008C406B" w:rsidRPr="00810A5F" w:rsidRDefault="008C406B" w:rsidP="00DB6778">
            <w:pPr>
              <w:pStyle w:val="LCATabla"/>
              <w:keepLines/>
              <w:jc w:val="both"/>
              <w:rPr>
                <w:rFonts w:ascii="Arial" w:hAnsi="Arial" w:cs="Arial"/>
                <w:sz w:val="20"/>
              </w:rPr>
            </w:pPr>
            <w:r w:rsidRPr="00810A5F">
              <w:rPr>
                <w:rFonts w:ascii="Arial" w:hAnsi="Arial" w:cs="Arial"/>
                <w:sz w:val="20"/>
              </w:rPr>
              <w:t xml:space="preserve">Metro </w:t>
            </w:r>
            <w:r w:rsidR="00D93E76" w:rsidRPr="00810A5F">
              <w:rPr>
                <w:rFonts w:ascii="Arial" w:hAnsi="Arial" w:cs="Arial"/>
                <w:sz w:val="20"/>
              </w:rPr>
              <w:t>cuadrado</w:t>
            </w:r>
            <w:r w:rsidRPr="00810A5F">
              <w:rPr>
                <w:rFonts w:ascii="Arial" w:hAnsi="Arial" w:cs="Arial"/>
                <w:sz w:val="20"/>
              </w:rPr>
              <w:t xml:space="preserve"> (m</w:t>
            </w:r>
            <w:r w:rsidR="00D863A8" w:rsidRPr="00810A5F">
              <w:rPr>
                <w:rFonts w:ascii="Arial" w:hAnsi="Arial" w:cs="Arial"/>
                <w:sz w:val="20"/>
                <w:vertAlign w:val="superscript"/>
              </w:rPr>
              <w:t>2</w:t>
            </w:r>
            <w:r w:rsidRPr="00810A5F">
              <w:rPr>
                <w:rFonts w:ascii="Arial" w:hAnsi="Arial" w:cs="Arial"/>
                <w:sz w:val="20"/>
              </w:rPr>
              <w:t>)</w:t>
            </w:r>
          </w:p>
        </w:tc>
      </w:tr>
      <w:tr w:rsidR="008C406B" w:rsidRPr="00810A5F" w14:paraId="5F62E6AF" w14:textId="77777777" w:rsidTr="00DF2648">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5A6E37CE" w14:textId="77777777" w:rsidR="008C406B" w:rsidRPr="00810A5F" w:rsidRDefault="008C406B" w:rsidP="00E50149">
            <w:pPr>
              <w:pStyle w:val="Tabla"/>
              <w:rPr>
                <w:b/>
              </w:rPr>
            </w:pPr>
            <w:r w:rsidRPr="00810A5F">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515FB300" w14:textId="77777777" w:rsidR="008C406B" w:rsidRPr="00810A5F" w:rsidRDefault="008C406B" w:rsidP="00DB6778">
            <w:pPr>
              <w:pStyle w:val="LCATabla"/>
              <w:keepLines/>
              <w:jc w:val="both"/>
              <w:rPr>
                <w:rFonts w:ascii="Arial" w:hAnsi="Arial" w:cs="Arial"/>
                <w:sz w:val="20"/>
              </w:rPr>
            </w:pPr>
            <w:r w:rsidRPr="00810A5F">
              <w:rPr>
                <w:rFonts w:ascii="Arial" w:hAnsi="Arial" w:cs="Arial"/>
                <w:sz w:val="20"/>
              </w:rPr>
              <w:t>Dos decimales.</w:t>
            </w:r>
          </w:p>
        </w:tc>
      </w:tr>
      <w:tr w:rsidR="008C406B" w:rsidRPr="00810A5F" w14:paraId="593907B0" w14:textId="77777777" w:rsidTr="00DF2648">
        <w:trPr>
          <w:trHeight w:val="790"/>
          <w:jc w:val="center"/>
        </w:trPr>
        <w:tc>
          <w:tcPr>
            <w:tcW w:w="2682" w:type="dxa"/>
            <w:tcBorders>
              <w:top w:val="single" w:sz="4" w:space="0" w:color="auto"/>
              <w:left w:val="single" w:sz="4" w:space="0" w:color="auto"/>
              <w:bottom w:val="single" w:sz="4" w:space="0" w:color="auto"/>
              <w:right w:val="single" w:sz="4" w:space="0" w:color="auto"/>
            </w:tcBorders>
            <w:vAlign w:val="center"/>
          </w:tcPr>
          <w:p w14:paraId="70389FB0" w14:textId="77777777" w:rsidR="008C406B" w:rsidRPr="00810A5F" w:rsidRDefault="008C406B" w:rsidP="00E50149">
            <w:pPr>
              <w:pStyle w:val="Tabla"/>
              <w:rPr>
                <w:b/>
              </w:rPr>
            </w:pPr>
            <w:r w:rsidRPr="00810A5F">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47531427" w14:textId="77777777" w:rsidR="008C406B" w:rsidRPr="00810A5F" w:rsidRDefault="008C406B" w:rsidP="00DB6778">
            <w:pPr>
              <w:pStyle w:val="LCATabla"/>
              <w:keepLines/>
              <w:jc w:val="both"/>
              <w:rPr>
                <w:rFonts w:ascii="Arial" w:hAnsi="Arial" w:cs="Arial"/>
                <w:sz w:val="20"/>
              </w:rPr>
            </w:pPr>
            <w:r w:rsidRPr="00810A5F">
              <w:rPr>
                <w:rFonts w:ascii="Arial" w:hAnsi="Arial" w:cs="Arial"/>
                <w:sz w:val="20"/>
              </w:rPr>
              <w:t xml:space="preserve">Se abonará según el precio establecido en el Cuadro de precios para la unidad de aplicación. </w:t>
            </w:r>
          </w:p>
        </w:tc>
      </w:tr>
      <w:tr w:rsidR="008C406B" w:rsidRPr="00810A5F" w14:paraId="7A7B8990" w14:textId="77777777" w:rsidTr="00DF2648">
        <w:trPr>
          <w:trHeight w:val="790"/>
          <w:jc w:val="center"/>
        </w:trPr>
        <w:tc>
          <w:tcPr>
            <w:tcW w:w="2682" w:type="dxa"/>
            <w:tcBorders>
              <w:top w:val="single" w:sz="4" w:space="0" w:color="auto"/>
              <w:left w:val="single" w:sz="4" w:space="0" w:color="auto"/>
              <w:bottom w:val="single" w:sz="4" w:space="0" w:color="auto"/>
              <w:right w:val="single" w:sz="4" w:space="0" w:color="auto"/>
            </w:tcBorders>
            <w:vAlign w:val="center"/>
          </w:tcPr>
          <w:p w14:paraId="7BE8DDE0" w14:textId="77777777" w:rsidR="008C406B" w:rsidRPr="00810A5F" w:rsidRDefault="008C406B" w:rsidP="00E50149">
            <w:pPr>
              <w:pStyle w:val="Tabla"/>
              <w:rPr>
                <w:b/>
              </w:rPr>
            </w:pPr>
            <w:r w:rsidRPr="00810A5F">
              <w:rPr>
                <w:b/>
              </w:rPr>
              <w:lastRenderedPageBreak/>
              <w:t>Abono</w:t>
            </w:r>
          </w:p>
        </w:tc>
        <w:tc>
          <w:tcPr>
            <w:tcW w:w="6415" w:type="dxa"/>
            <w:tcBorders>
              <w:top w:val="single" w:sz="4" w:space="0" w:color="auto"/>
              <w:left w:val="single" w:sz="4" w:space="0" w:color="auto"/>
              <w:bottom w:val="single" w:sz="4" w:space="0" w:color="auto"/>
              <w:right w:val="single" w:sz="4" w:space="0" w:color="auto"/>
            </w:tcBorders>
            <w:vAlign w:val="center"/>
          </w:tcPr>
          <w:p w14:paraId="2F94CCA4" w14:textId="77777777" w:rsidR="008C406B" w:rsidRPr="00810A5F" w:rsidRDefault="008C406B" w:rsidP="00DB6778">
            <w:pPr>
              <w:pStyle w:val="LCATabla"/>
              <w:keepLines/>
              <w:jc w:val="both"/>
              <w:rPr>
                <w:rFonts w:ascii="Arial" w:hAnsi="Arial" w:cs="Arial"/>
                <w:sz w:val="20"/>
              </w:rPr>
            </w:pPr>
            <w:r w:rsidRPr="00810A5F">
              <w:rPr>
                <w:rFonts w:ascii="Arial" w:hAnsi="Arial" w:cs="Arial"/>
                <w:sz w:val="20"/>
              </w:rPr>
              <w:t>Se efectuará cuando se realice la aceptación</w:t>
            </w:r>
          </w:p>
        </w:tc>
      </w:tr>
      <w:tr w:rsidR="008C406B" w:rsidRPr="00810A5F" w14:paraId="0B71B0C5" w14:textId="77777777" w:rsidTr="00DF2648">
        <w:trPr>
          <w:trHeight w:val="3179"/>
          <w:jc w:val="center"/>
        </w:trPr>
        <w:tc>
          <w:tcPr>
            <w:tcW w:w="2682" w:type="dxa"/>
            <w:tcBorders>
              <w:top w:val="single" w:sz="4" w:space="0" w:color="auto"/>
              <w:left w:val="single" w:sz="4" w:space="0" w:color="auto"/>
              <w:bottom w:val="single" w:sz="4" w:space="0" w:color="auto"/>
              <w:right w:val="single" w:sz="4" w:space="0" w:color="auto"/>
            </w:tcBorders>
            <w:vAlign w:val="center"/>
          </w:tcPr>
          <w:p w14:paraId="70595F48" w14:textId="77777777" w:rsidR="008C406B" w:rsidRPr="00810A5F" w:rsidRDefault="008C406B" w:rsidP="00E50149">
            <w:pPr>
              <w:pStyle w:val="Tabla"/>
              <w:rPr>
                <w:b/>
              </w:rPr>
            </w:pPr>
            <w:r w:rsidRPr="00810A5F">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2FA944AB" w14:textId="77777777" w:rsidR="008C406B" w:rsidRPr="00810A5F" w:rsidRDefault="008C406B" w:rsidP="00DB6778">
            <w:pPr>
              <w:pStyle w:val="LCATabla"/>
              <w:keepLines/>
              <w:jc w:val="both"/>
              <w:rPr>
                <w:rFonts w:ascii="Arial" w:hAnsi="Arial" w:cs="Arial"/>
                <w:sz w:val="20"/>
              </w:rPr>
            </w:pPr>
            <w:r w:rsidRPr="00810A5F">
              <w:rPr>
                <w:rFonts w:ascii="Arial" w:hAnsi="Arial" w:cs="Arial"/>
                <w:sz w:val="20"/>
              </w:rPr>
              <w:t>El precio incluye los costes que se originen como consecuencia de las precauciones necesarias a tomar para garantizar la seguridad, así como para la obtención de licencias y permisos.</w:t>
            </w:r>
          </w:p>
          <w:p w14:paraId="0BBC232D" w14:textId="77777777" w:rsidR="008C406B" w:rsidRPr="00810A5F" w:rsidRDefault="008C406B" w:rsidP="00DB6778">
            <w:pPr>
              <w:pStyle w:val="LCATabla"/>
              <w:keepLines/>
              <w:jc w:val="both"/>
              <w:rPr>
                <w:rFonts w:ascii="Arial" w:hAnsi="Arial" w:cs="Arial"/>
                <w:sz w:val="20"/>
              </w:rPr>
            </w:pPr>
            <w:r w:rsidRPr="00810A5F">
              <w:rPr>
                <w:rFonts w:ascii="Arial" w:hAnsi="Arial" w:cs="Arial"/>
                <w:sz w:val="20"/>
              </w:rPr>
              <w:t>El transporte a vertedero está incluido en el precio hasta una distancia máxima de sesenta kilómetros. Siendo objeto de medición y abono independiente para distancias superiores.</w:t>
            </w:r>
          </w:p>
          <w:p w14:paraId="4B9E1AA9" w14:textId="77777777" w:rsidR="008C406B" w:rsidRPr="00810A5F" w:rsidRDefault="006C657B" w:rsidP="00DB6778">
            <w:pPr>
              <w:pStyle w:val="LCATabla"/>
              <w:keepLines/>
              <w:jc w:val="both"/>
              <w:rPr>
                <w:rFonts w:ascii="Arial" w:hAnsi="Arial" w:cs="Arial"/>
                <w:sz w:val="20"/>
              </w:rPr>
            </w:pPr>
            <w:r w:rsidRPr="00140246">
              <w:rPr>
                <w:rFonts w:ascii="Arial" w:hAnsi="Arial" w:cs="Arial"/>
                <w:sz w:val="20"/>
              </w:rPr>
              <w:t>El precio no incluye los costes de clasificación de residuos a pie de obra, el canon y coste de gestión de residuos en la planta de tratamiento, siendo objeto de medición y abono independiente, tal y como se detalla en el anejo de Gestión de residuos y repercutido en el presupuesto en el apartado correspondiente.</w:t>
            </w:r>
          </w:p>
        </w:tc>
      </w:tr>
    </w:tbl>
    <w:p w14:paraId="23973435" w14:textId="77777777" w:rsidR="00AC205C" w:rsidRDefault="00AC205C" w:rsidP="008C406B">
      <w:pPr>
        <w:pStyle w:val="NORMAL12"/>
        <w:rPr>
          <w:lang w:val="es-ES"/>
        </w:rPr>
      </w:pPr>
    </w:p>
    <w:p w14:paraId="7ABAA965" w14:textId="77777777" w:rsidR="008C406B" w:rsidRPr="00810A5F" w:rsidRDefault="008C406B" w:rsidP="008C406B">
      <w:pPr>
        <w:pStyle w:val="NORMAL12"/>
        <w:rPr>
          <w:lang w:val="es-ES"/>
        </w:rPr>
      </w:pPr>
      <w:r w:rsidRPr="00810A5F">
        <w:rPr>
          <w:lang w:val="es-ES"/>
        </w:rPr>
        <w:t xml:space="preserve">La </w:t>
      </w:r>
      <w:r w:rsidR="00D93E76" w:rsidRPr="00810A5F">
        <w:rPr>
          <w:lang w:val="es-ES"/>
        </w:rPr>
        <w:t>medición</w:t>
      </w:r>
      <w:r w:rsidRPr="00810A5F">
        <w:rPr>
          <w:lang w:val="es-ES"/>
        </w:rPr>
        <w:t xml:space="preserve"> y abono de</w:t>
      </w:r>
      <w:r w:rsidR="00810A5F" w:rsidRPr="00810A5F">
        <w:rPr>
          <w:lang w:val="es-ES"/>
        </w:rPr>
        <w:t xml:space="preserve"> demolición de barreras metálicas, pretil y vallas </w:t>
      </w:r>
      <w:r w:rsidR="00D93E76" w:rsidRPr="00810A5F">
        <w:rPr>
          <w:lang w:val="es-ES"/>
        </w:rPr>
        <w:t>metálicas</w:t>
      </w:r>
      <w:r w:rsidR="00810A5F" w:rsidRPr="00810A5F">
        <w:rPr>
          <w:lang w:val="es-ES"/>
        </w:rPr>
        <w:t xml:space="preserve"> cuya unidad de medida son </w:t>
      </w:r>
      <w:r w:rsidRPr="00810A5F">
        <w:rPr>
          <w:lang w:val="es-ES"/>
        </w:rPr>
        <w:t>metros se realizará según los criterios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8C406B" w:rsidRPr="00810A5F" w14:paraId="0AC35767" w14:textId="77777777" w:rsidTr="00DF2648">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66018738" w14:textId="77777777" w:rsidR="008C406B" w:rsidRPr="00810A5F" w:rsidRDefault="008C406B" w:rsidP="00E50149">
            <w:pPr>
              <w:pStyle w:val="Tabla"/>
              <w:rPr>
                <w:b/>
              </w:rPr>
            </w:pPr>
            <w:r w:rsidRPr="00810A5F">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63AD4F2D" w14:textId="77777777" w:rsidR="008C406B" w:rsidRPr="00810A5F" w:rsidRDefault="008C406B" w:rsidP="00DB6778">
            <w:pPr>
              <w:pStyle w:val="LCATabla"/>
              <w:keepLines/>
              <w:jc w:val="both"/>
              <w:rPr>
                <w:rFonts w:ascii="Arial" w:hAnsi="Arial" w:cs="Arial"/>
                <w:sz w:val="20"/>
              </w:rPr>
            </w:pPr>
            <w:r w:rsidRPr="00810A5F">
              <w:rPr>
                <w:rFonts w:ascii="Arial" w:hAnsi="Arial" w:cs="Arial"/>
                <w:sz w:val="20"/>
              </w:rPr>
              <w:t>Metro (m)</w:t>
            </w:r>
          </w:p>
        </w:tc>
      </w:tr>
      <w:tr w:rsidR="008C406B" w:rsidRPr="00810A5F" w14:paraId="70E24497" w14:textId="77777777" w:rsidTr="00DF2648">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02FCCD09" w14:textId="77777777" w:rsidR="008C406B" w:rsidRPr="00810A5F" w:rsidRDefault="008C406B" w:rsidP="00E50149">
            <w:pPr>
              <w:pStyle w:val="Tabla"/>
              <w:rPr>
                <w:b/>
              </w:rPr>
            </w:pPr>
            <w:r w:rsidRPr="00810A5F">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375271BE" w14:textId="77777777" w:rsidR="008C406B" w:rsidRPr="00810A5F" w:rsidRDefault="008C406B" w:rsidP="00DB6778">
            <w:pPr>
              <w:pStyle w:val="LCATabla"/>
              <w:keepLines/>
              <w:jc w:val="both"/>
              <w:rPr>
                <w:rFonts w:ascii="Arial" w:hAnsi="Arial" w:cs="Arial"/>
                <w:sz w:val="20"/>
              </w:rPr>
            </w:pPr>
            <w:r w:rsidRPr="00810A5F">
              <w:rPr>
                <w:rFonts w:ascii="Arial" w:hAnsi="Arial" w:cs="Arial"/>
                <w:sz w:val="20"/>
              </w:rPr>
              <w:t>Dos decimales.</w:t>
            </w:r>
          </w:p>
        </w:tc>
      </w:tr>
      <w:tr w:rsidR="008C406B" w:rsidRPr="00810A5F" w14:paraId="5296956A" w14:textId="77777777" w:rsidTr="00DF2648">
        <w:trPr>
          <w:trHeight w:val="790"/>
          <w:jc w:val="center"/>
        </w:trPr>
        <w:tc>
          <w:tcPr>
            <w:tcW w:w="2682" w:type="dxa"/>
            <w:tcBorders>
              <w:top w:val="single" w:sz="4" w:space="0" w:color="auto"/>
              <w:left w:val="single" w:sz="4" w:space="0" w:color="auto"/>
              <w:bottom w:val="single" w:sz="4" w:space="0" w:color="auto"/>
              <w:right w:val="single" w:sz="4" w:space="0" w:color="auto"/>
            </w:tcBorders>
            <w:vAlign w:val="center"/>
          </w:tcPr>
          <w:p w14:paraId="336E3909" w14:textId="77777777" w:rsidR="008C406B" w:rsidRPr="00810A5F" w:rsidRDefault="008C406B" w:rsidP="00E50149">
            <w:pPr>
              <w:pStyle w:val="Tabla"/>
              <w:rPr>
                <w:b/>
              </w:rPr>
            </w:pPr>
            <w:r w:rsidRPr="00810A5F">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268EE291" w14:textId="77777777" w:rsidR="008C406B" w:rsidRPr="00810A5F" w:rsidRDefault="008C406B" w:rsidP="00DB6778">
            <w:pPr>
              <w:pStyle w:val="LCATabla"/>
              <w:keepLines/>
              <w:jc w:val="both"/>
              <w:rPr>
                <w:rFonts w:ascii="Arial" w:hAnsi="Arial" w:cs="Arial"/>
                <w:sz w:val="20"/>
              </w:rPr>
            </w:pPr>
            <w:r w:rsidRPr="00810A5F">
              <w:rPr>
                <w:rFonts w:ascii="Arial" w:hAnsi="Arial" w:cs="Arial"/>
                <w:sz w:val="20"/>
              </w:rPr>
              <w:t xml:space="preserve">Se abonará según el precio establecido en el Cuadro de precios para la unidad de aplicación. </w:t>
            </w:r>
          </w:p>
        </w:tc>
      </w:tr>
      <w:tr w:rsidR="008C406B" w:rsidRPr="00810A5F" w14:paraId="6164D066" w14:textId="77777777" w:rsidTr="00DF2648">
        <w:trPr>
          <w:trHeight w:val="790"/>
          <w:jc w:val="center"/>
        </w:trPr>
        <w:tc>
          <w:tcPr>
            <w:tcW w:w="2682" w:type="dxa"/>
            <w:tcBorders>
              <w:top w:val="single" w:sz="4" w:space="0" w:color="auto"/>
              <w:left w:val="single" w:sz="4" w:space="0" w:color="auto"/>
              <w:bottom w:val="single" w:sz="4" w:space="0" w:color="auto"/>
              <w:right w:val="single" w:sz="4" w:space="0" w:color="auto"/>
            </w:tcBorders>
            <w:vAlign w:val="center"/>
          </w:tcPr>
          <w:p w14:paraId="75EEDAF2" w14:textId="77777777" w:rsidR="008C406B" w:rsidRPr="00810A5F" w:rsidRDefault="008C406B" w:rsidP="00E50149">
            <w:pPr>
              <w:pStyle w:val="Tabla"/>
              <w:rPr>
                <w:b/>
              </w:rPr>
            </w:pPr>
            <w:r w:rsidRPr="00810A5F">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67527524" w14:textId="77777777" w:rsidR="008C406B" w:rsidRPr="00810A5F" w:rsidRDefault="008C406B" w:rsidP="00DB6778">
            <w:pPr>
              <w:pStyle w:val="LCATabla"/>
              <w:keepLines/>
              <w:jc w:val="both"/>
              <w:rPr>
                <w:rFonts w:ascii="Arial" w:hAnsi="Arial" w:cs="Arial"/>
                <w:sz w:val="20"/>
              </w:rPr>
            </w:pPr>
            <w:r w:rsidRPr="00810A5F">
              <w:rPr>
                <w:rFonts w:ascii="Arial" w:hAnsi="Arial" w:cs="Arial"/>
                <w:sz w:val="20"/>
              </w:rPr>
              <w:t>Se efectuará cuando se realice la aceptación, una vez realizadas las pruebas y ensayos de recepción.</w:t>
            </w:r>
          </w:p>
        </w:tc>
      </w:tr>
      <w:tr w:rsidR="008C406B" w:rsidRPr="00140246" w14:paraId="47741EDF" w14:textId="77777777" w:rsidTr="00DF2648">
        <w:trPr>
          <w:trHeight w:val="3179"/>
          <w:jc w:val="center"/>
        </w:trPr>
        <w:tc>
          <w:tcPr>
            <w:tcW w:w="2682" w:type="dxa"/>
            <w:tcBorders>
              <w:top w:val="single" w:sz="4" w:space="0" w:color="auto"/>
              <w:left w:val="single" w:sz="4" w:space="0" w:color="auto"/>
              <w:bottom w:val="single" w:sz="4" w:space="0" w:color="auto"/>
              <w:right w:val="single" w:sz="4" w:space="0" w:color="auto"/>
            </w:tcBorders>
            <w:vAlign w:val="center"/>
          </w:tcPr>
          <w:p w14:paraId="739BCF97" w14:textId="77777777" w:rsidR="008C406B" w:rsidRPr="00140246" w:rsidRDefault="008C406B" w:rsidP="00E50149">
            <w:pPr>
              <w:pStyle w:val="Tabla"/>
              <w:rPr>
                <w:b/>
              </w:rPr>
            </w:pPr>
            <w:r w:rsidRPr="00140246">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3B77BB55" w14:textId="77777777" w:rsidR="008C406B" w:rsidRPr="00140246" w:rsidRDefault="008C406B" w:rsidP="00DB6778">
            <w:pPr>
              <w:pStyle w:val="LCATabla"/>
              <w:keepLines/>
              <w:jc w:val="both"/>
              <w:rPr>
                <w:rFonts w:ascii="Arial" w:hAnsi="Arial" w:cs="Arial"/>
                <w:sz w:val="20"/>
              </w:rPr>
            </w:pPr>
            <w:r w:rsidRPr="00140246">
              <w:rPr>
                <w:rFonts w:ascii="Arial" w:hAnsi="Arial" w:cs="Arial"/>
                <w:sz w:val="20"/>
              </w:rPr>
              <w:t>El precio incluye los costes que se originen como consecuencia de las precauciones necesarias a tomar para garantizar la seguridad, así como para la obtención de licencias y permisos.</w:t>
            </w:r>
          </w:p>
          <w:p w14:paraId="7B5A7FDF" w14:textId="77777777" w:rsidR="008C406B" w:rsidRPr="00140246" w:rsidRDefault="008C406B" w:rsidP="00DB6778">
            <w:pPr>
              <w:pStyle w:val="LCATabla"/>
              <w:keepLines/>
              <w:jc w:val="both"/>
              <w:rPr>
                <w:rFonts w:ascii="Arial" w:hAnsi="Arial" w:cs="Arial"/>
                <w:sz w:val="20"/>
              </w:rPr>
            </w:pPr>
            <w:r w:rsidRPr="00140246">
              <w:rPr>
                <w:rFonts w:ascii="Arial" w:hAnsi="Arial" w:cs="Arial"/>
                <w:sz w:val="20"/>
              </w:rPr>
              <w:t>El transporte a vertedero está incluido en el precio hasta una distancia máxima de sesenta kilómetros. Siendo objeto de medición y abono independiente para distancias superiores.</w:t>
            </w:r>
          </w:p>
          <w:p w14:paraId="59E87F9A" w14:textId="77777777" w:rsidR="008C406B" w:rsidRPr="00140246" w:rsidRDefault="006C657B" w:rsidP="00DB6778">
            <w:pPr>
              <w:pStyle w:val="LCATabla"/>
              <w:keepLines/>
              <w:jc w:val="both"/>
              <w:rPr>
                <w:rFonts w:ascii="Arial" w:hAnsi="Arial" w:cs="Arial"/>
                <w:sz w:val="20"/>
              </w:rPr>
            </w:pPr>
            <w:r w:rsidRPr="00140246">
              <w:rPr>
                <w:rFonts w:ascii="Arial" w:hAnsi="Arial" w:cs="Arial"/>
                <w:sz w:val="20"/>
              </w:rPr>
              <w:t>El precio no incluye los costes de clasificación de residuos a pie de obra, el canon y coste de gestión de residuos en la planta de tratamiento, siendo objeto de medición y abono independiente, tal y como se detalla en el anejo de Gestión de residuos y repercutido en el presupuesto en el apartado correspondiente.</w:t>
            </w:r>
          </w:p>
        </w:tc>
      </w:tr>
    </w:tbl>
    <w:p w14:paraId="4CD12861" w14:textId="77777777" w:rsidR="008C406B" w:rsidRPr="00140246" w:rsidRDefault="008C406B" w:rsidP="008C406B">
      <w:pPr>
        <w:pStyle w:val="NORMAL12"/>
        <w:rPr>
          <w:lang w:val="es-ES"/>
        </w:rPr>
      </w:pPr>
      <w:r w:rsidRPr="00140246">
        <w:rPr>
          <w:lang w:val="es-ES"/>
        </w:rPr>
        <w:t xml:space="preserve">La medición y abono de las unidades </w:t>
      </w:r>
      <w:r w:rsidR="00810A5F" w:rsidRPr="00140246">
        <w:rPr>
          <w:lang w:val="es-ES"/>
        </w:rPr>
        <w:t xml:space="preserve">de desmontaje de señales y pórticos cuya unidad de medida son número enteros </w:t>
      </w:r>
      <w:r w:rsidRPr="00140246">
        <w:rPr>
          <w:lang w:val="es-ES"/>
        </w:rPr>
        <w:t>se realizará según las prescripciones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8C406B" w:rsidRPr="00140246" w14:paraId="5C950B2A" w14:textId="77777777" w:rsidTr="00DF2648">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0F06E323" w14:textId="77777777" w:rsidR="008C406B" w:rsidRPr="00140246" w:rsidRDefault="008C406B" w:rsidP="00E50149">
            <w:pPr>
              <w:pStyle w:val="Tabla"/>
              <w:rPr>
                <w:b/>
              </w:rPr>
            </w:pPr>
            <w:r w:rsidRPr="00140246">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16447DA6" w14:textId="77777777" w:rsidR="008C406B" w:rsidRPr="00140246" w:rsidRDefault="00810A5F" w:rsidP="00DB6778">
            <w:pPr>
              <w:pStyle w:val="LCATabla"/>
              <w:keepLines/>
              <w:jc w:val="both"/>
              <w:rPr>
                <w:rFonts w:ascii="Arial" w:hAnsi="Arial" w:cs="Arial"/>
                <w:sz w:val="20"/>
              </w:rPr>
            </w:pPr>
            <w:r w:rsidRPr="00140246">
              <w:rPr>
                <w:rFonts w:ascii="Arial" w:hAnsi="Arial" w:cs="Arial"/>
                <w:sz w:val="20"/>
              </w:rPr>
              <w:t>Unidad</w:t>
            </w:r>
            <w:r w:rsidR="008C406B" w:rsidRPr="00140246">
              <w:rPr>
                <w:rFonts w:ascii="Arial" w:hAnsi="Arial" w:cs="Arial"/>
                <w:sz w:val="20"/>
              </w:rPr>
              <w:t xml:space="preserve"> (</w:t>
            </w:r>
            <w:proofErr w:type="spellStart"/>
            <w:r w:rsidRPr="00140246">
              <w:rPr>
                <w:rFonts w:ascii="Arial" w:hAnsi="Arial" w:cs="Arial"/>
                <w:sz w:val="20"/>
              </w:rPr>
              <w:t>ud</w:t>
            </w:r>
            <w:proofErr w:type="spellEnd"/>
            <w:r w:rsidR="008C406B" w:rsidRPr="00140246">
              <w:rPr>
                <w:rFonts w:ascii="Arial" w:hAnsi="Arial" w:cs="Arial"/>
                <w:sz w:val="20"/>
              </w:rPr>
              <w:t>)</w:t>
            </w:r>
          </w:p>
        </w:tc>
      </w:tr>
      <w:tr w:rsidR="008C406B" w:rsidRPr="00140246" w14:paraId="3CA69270" w14:textId="77777777" w:rsidTr="00DF2648">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5CDA3D7F" w14:textId="77777777" w:rsidR="008C406B" w:rsidRPr="00140246" w:rsidRDefault="008C406B" w:rsidP="00E50149">
            <w:pPr>
              <w:pStyle w:val="Tabla"/>
              <w:rPr>
                <w:b/>
              </w:rPr>
            </w:pPr>
            <w:r w:rsidRPr="00140246">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3B7618EA" w14:textId="77777777" w:rsidR="008C406B" w:rsidRPr="00140246" w:rsidRDefault="004077DA" w:rsidP="00DB6778">
            <w:pPr>
              <w:pStyle w:val="LCATabla"/>
              <w:keepLines/>
              <w:jc w:val="both"/>
              <w:rPr>
                <w:rFonts w:ascii="Arial" w:hAnsi="Arial" w:cs="Arial"/>
                <w:sz w:val="20"/>
              </w:rPr>
            </w:pPr>
            <w:r w:rsidRPr="00140246">
              <w:rPr>
                <w:rFonts w:ascii="Arial" w:hAnsi="Arial" w:cs="Arial"/>
                <w:sz w:val="20"/>
              </w:rPr>
              <w:t>Número entero</w:t>
            </w:r>
            <w:r w:rsidR="008C406B" w:rsidRPr="00140246">
              <w:rPr>
                <w:rFonts w:ascii="Arial" w:hAnsi="Arial" w:cs="Arial"/>
                <w:sz w:val="20"/>
              </w:rPr>
              <w:t>.</w:t>
            </w:r>
          </w:p>
        </w:tc>
      </w:tr>
      <w:tr w:rsidR="008C406B" w:rsidRPr="00140246" w14:paraId="473A556F" w14:textId="77777777" w:rsidTr="00DF2648">
        <w:trPr>
          <w:trHeight w:val="790"/>
          <w:jc w:val="center"/>
        </w:trPr>
        <w:tc>
          <w:tcPr>
            <w:tcW w:w="2682" w:type="dxa"/>
            <w:tcBorders>
              <w:top w:val="single" w:sz="4" w:space="0" w:color="auto"/>
              <w:left w:val="single" w:sz="4" w:space="0" w:color="auto"/>
              <w:bottom w:val="single" w:sz="4" w:space="0" w:color="auto"/>
              <w:right w:val="single" w:sz="4" w:space="0" w:color="auto"/>
            </w:tcBorders>
            <w:vAlign w:val="center"/>
          </w:tcPr>
          <w:p w14:paraId="5D4CACD3" w14:textId="77777777" w:rsidR="008C406B" w:rsidRPr="00140246" w:rsidRDefault="008C406B" w:rsidP="00E50149">
            <w:pPr>
              <w:pStyle w:val="Tabla"/>
              <w:rPr>
                <w:b/>
              </w:rPr>
            </w:pPr>
            <w:r w:rsidRPr="00140246">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618F0832" w14:textId="77777777" w:rsidR="008C406B" w:rsidRPr="00140246" w:rsidRDefault="008C406B" w:rsidP="00DB6778">
            <w:pPr>
              <w:pStyle w:val="LCATabla"/>
              <w:keepLines/>
              <w:jc w:val="both"/>
              <w:rPr>
                <w:rFonts w:ascii="Arial" w:hAnsi="Arial" w:cs="Arial"/>
                <w:sz w:val="20"/>
              </w:rPr>
            </w:pPr>
            <w:r w:rsidRPr="00140246">
              <w:rPr>
                <w:rFonts w:ascii="Arial" w:hAnsi="Arial" w:cs="Arial"/>
                <w:sz w:val="20"/>
              </w:rPr>
              <w:t xml:space="preserve">Se abonará según el precio establecido en el Cuadro de precios para la unidad de aplicación. </w:t>
            </w:r>
          </w:p>
        </w:tc>
      </w:tr>
      <w:tr w:rsidR="008C406B" w:rsidRPr="00140246" w14:paraId="3865DD9D" w14:textId="77777777" w:rsidTr="00DF2648">
        <w:trPr>
          <w:trHeight w:val="790"/>
          <w:jc w:val="center"/>
        </w:trPr>
        <w:tc>
          <w:tcPr>
            <w:tcW w:w="2682" w:type="dxa"/>
            <w:tcBorders>
              <w:top w:val="single" w:sz="4" w:space="0" w:color="auto"/>
              <w:left w:val="single" w:sz="4" w:space="0" w:color="auto"/>
              <w:bottom w:val="single" w:sz="4" w:space="0" w:color="auto"/>
              <w:right w:val="single" w:sz="4" w:space="0" w:color="auto"/>
            </w:tcBorders>
            <w:vAlign w:val="center"/>
          </w:tcPr>
          <w:p w14:paraId="23EC530D" w14:textId="77777777" w:rsidR="008C406B" w:rsidRPr="00140246" w:rsidRDefault="008C406B" w:rsidP="00E50149">
            <w:pPr>
              <w:pStyle w:val="Tabla"/>
              <w:rPr>
                <w:b/>
              </w:rPr>
            </w:pPr>
            <w:r w:rsidRPr="00140246">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3C3AD764" w14:textId="77777777" w:rsidR="008C406B" w:rsidRPr="00140246" w:rsidRDefault="008C406B" w:rsidP="00DB6778">
            <w:pPr>
              <w:pStyle w:val="LCATabla"/>
              <w:keepLines/>
              <w:jc w:val="both"/>
              <w:rPr>
                <w:rFonts w:ascii="Arial" w:hAnsi="Arial" w:cs="Arial"/>
                <w:sz w:val="20"/>
              </w:rPr>
            </w:pPr>
            <w:r w:rsidRPr="00140246">
              <w:rPr>
                <w:rFonts w:ascii="Arial" w:hAnsi="Arial" w:cs="Arial"/>
                <w:sz w:val="20"/>
              </w:rPr>
              <w:t>Se efectuará cuando se realice la aceptación, una vez realizadas las pruebas y ensayos de recepción.</w:t>
            </w:r>
          </w:p>
        </w:tc>
      </w:tr>
      <w:tr w:rsidR="008C406B" w:rsidRPr="00810A5F" w14:paraId="76CF973B" w14:textId="77777777" w:rsidTr="00DF2648">
        <w:trPr>
          <w:trHeight w:val="3179"/>
          <w:jc w:val="center"/>
        </w:trPr>
        <w:tc>
          <w:tcPr>
            <w:tcW w:w="2682" w:type="dxa"/>
            <w:tcBorders>
              <w:top w:val="single" w:sz="4" w:space="0" w:color="auto"/>
              <w:left w:val="single" w:sz="4" w:space="0" w:color="auto"/>
              <w:bottom w:val="single" w:sz="4" w:space="0" w:color="auto"/>
              <w:right w:val="single" w:sz="4" w:space="0" w:color="auto"/>
            </w:tcBorders>
            <w:vAlign w:val="center"/>
          </w:tcPr>
          <w:p w14:paraId="36F3920C" w14:textId="77777777" w:rsidR="008C406B" w:rsidRPr="00140246" w:rsidRDefault="008C406B" w:rsidP="00E50149">
            <w:pPr>
              <w:pStyle w:val="Tabla"/>
              <w:rPr>
                <w:b/>
              </w:rPr>
            </w:pPr>
            <w:r w:rsidRPr="00140246">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3936B12C" w14:textId="77777777" w:rsidR="008C406B" w:rsidRPr="00140246" w:rsidRDefault="008C406B" w:rsidP="00DB6778">
            <w:pPr>
              <w:pStyle w:val="LCATabla"/>
              <w:keepLines/>
              <w:jc w:val="both"/>
              <w:rPr>
                <w:rFonts w:ascii="Arial" w:hAnsi="Arial" w:cs="Arial"/>
                <w:sz w:val="20"/>
              </w:rPr>
            </w:pPr>
            <w:r w:rsidRPr="00140246">
              <w:rPr>
                <w:rFonts w:ascii="Arial" w:hAnsi="Arial" w:cs="Arial"/>
                <w:sz w:val="20"/>
              </w:rPr>
              <w:t>El precio incluye los costes que se originen como consecuencia de las precauciones necesarias a tomar para garantizar la seguridad, así como para la obtención de licencias y permisos.</w:t>
            </w:r>
          </w:p>
          <w:p w14:paraId="0237C486" w14:textId="77777777" w:rsidR="008C406B" w:rsidRPr="00140246" w:rsidRDefault="008C406B" w:rsidP="00DB6778">
            <w:pPr>
              <w:pStyle w:val="LCATabla"/>
              <w:keepLines/>
              <w:jc w:val="both"/>
              <w:rPr>
                <w:rFonts w:ascii="Arial" w:hAnsi="Arial" w:cs="Arial"/>
                <w:sz w:val="20"/>
              </w:rPr>
            </w:pPr>
            <w:r w:rsidRPr="00140246">
              <w:rPr>
                <w:rFonts w:ascii="Arial" w:hAnsi="Arial" w:cs="Arial"/>
                <w:sz w:val="20"/>
              </w:rPr>
              <w:t>El transporte a vertedero está incluido en el precio hasta una distancia máxima de sesenta kilómetros. Siendo objeto de medición y abono independiente para distancias superiores.</w:t>
            </w:r>
          </w:p>
          <w:p w14:paraId="307AEC7F" w14:textId="77777777" w:rsidR="006C657B" w:rsidRPr="00810A5F" w:rsidRDefault="006C657B" w:rsidP="00DB6778">
            <w:pPr>
              <w:pStyle w:val="LCATabla"/>
              <w:keepLines/>
              <w:jc w:val="both"/>
              <w:rPr>
                <w:rFonts w:ascii="Arial" w:hAnsi="Arial" w:cs="Arial"/>
                <w:sz w:val="20"/>
              </w:rPr>
            </w:pPr>
            <w:r w:rsidRPr="00140246">
              <w:rPr>
                <w:rFonts w:ascii="Arial" w:hAnsi="Arial" w:cs="Arial"/>
                <w:sz w:val="20"/>
              </w:rPr>
              <w:t>El precio no incluye los costes de clasificación de residuos a pie de obra, el canon y coste de gestión de residuos en la planta de tratamiento, siendo objeto de medición y abono independiente, tal y como se detalla en el anejo de Gestión de residuos y repercutido en el presupuesto en el apartado correspondiente.</w:t>
            </w:r>
          </w:p>
        </w:tc>
      </w:tr>
    </w:tbl>
    <w:p w14:paraId="14E9B423" w14:textId="77777777" w:rsidR="008C406B" w:rsidRDefault="008C406B" w:rsidP="008C406B">
      <w:pPr>
        <w:pStyle w:val="NORMAL12"/>
        <w:rPr>
          <w:color w:val="365F91" w:themeColor="accent1" w:themeShade="BF"/>
          <w:lang w:val="es-ES"/>
        </w:rPr>
      </w:pPr>
    </w:p>
    <w:p w14:paraId="64B06660" w14:textId="77777777" w:rsidR="00B54353" w:rsidRPr="00B54353" w:rsidRDefault="00B54353" w:rsidP="00B54353">
      <w:pPr>
        <w:rPr>
          <w:color w:val="FF0000"/>
        </w:rPr>
      </w:pPr>
    </w:p>
    <w:p w14:paraId="5E544B89" w14:textId="77777777" w:rsidR="00876E39" w:rsidRDefault="00876E39" w:rsidP="00876E39">
      <w:pPr>
        <w:pStyle w:val="TITU1"/>
      </w:pPr>
      <w:bookmarkStart w:id="349" w:name="_Toc404162"/>
      <w:r w:rsidRPr="006352CF">
        <w:lastRenderedPageBreak/>
        <w:t xml:space="preserve">Artículo </w:t>
      </w:r>
      <w:r w:rsidR="006E0597" w:rsidRPr="006352CF">
        <w:t>305.</w:t>
      </w:r>
      <w:r w:rsidR="00951171" w:rsidRPr="006352CF">
        <w:t xml:space="preserve"> H</w:t>
      </w:r>
      <w:r w:rsidRPr="006352CF">
        <w:t>idrodemolicion</w:t>
      </w:r>
      <w:bookmarkEnd w:id="349"/>
    </w:p>
    <w:p w14:paraId="62E2BEBA" w14:textId="77777777" w:rsidR="00876E39" w:rsidRPr="007E5D9C" w:rsidRDefault="00876E39" w:rsidP="000313DD">
      <w:pPr>
        <w:pStyle w:val="TITU2"/>
      </w:pPr>
      <w:bookmarkStart w:id="350" w:name="_Toc352932640"/>
      <w:bookmarkStart w:id="351" w:name="_Toc448848295"/>
      <w:bookmarkStart w:id="352" w:name="_Toc448915899"/>
      <w:bookmarkStart w:id="353" w:name="_Toc404163"/>
      <w:r w:rsidRPr="00BF1789">
        <w:t>305.1.</w:t>
      </w:r>
      <w:r w:rsidR="006E0597">
        <w:t xml:space="preserve"> </w:t>
      </w:r>
      <w:r w:rsidRPr="00BF1789">
        <w:tab/>
      </w:r>
      <w:r w:rsidRPr="007E5D9C">
        <w:t>Aplicación</w:t>
      </w:r>
      <w:bookmarkEnd w:id="350"/>
      <w:bookmarkEnd w:id="351"/>
      <w:bookmarkEnd w:id="352"/>
      <w:bookmarkEnd w:id="353"/>
    </w:p>
    <w:p w14:paraId="2FBBDE5B" w14:textId="77777777" w:rsidR="003341FF" w:rsidRPr="006B7EDC" w:rsidRDefault="003341FF" w:rsidP="003341FF">
      <w:pPr>
        <w:pStyle w:val="NORMAL12"/>
        <w:rPr>
          <w:lang w:val="es-ES"/>
        </w:rPr>
      </w:pPr>
      <w:r w:rsidRPr="006B7EDC">
        <w:rPr>
          <w:lang w:val="es-ES"/>
        </w:rPr>
        <w:t xml:space="preserve">Las prescripciones del presente </w:t>
      </w:r>
      <w:r>
        <w:rPr>
          <w:lang w:val="es-ES"/>
        </w:rPr>
        <w:t xml:space="preserve">artículo </w:t>
      </w:r>
      <w:proofErr w:type="gramStart"/>
      <w:r>
        <w:rPr>
          <w:lang w:val="es-ES"/>
        </w:rPr>
        <w:t>son de aplicación</w:t>
      </w:r>
      <w:proofErr w:type="gramEnd"/>
      <w:r>
        <w:rPr>
          <w:lang w:val="es-ES"/>
        </w:rPr>
        <w:t xml:space="preserve"> a la</w:t>
      </w:r>
      <w:r w:rsidR="00EE4041">
        <w:rPr>
          <w:lang w:val="es-ES"/>
        </w:rPr>
        <w:t>s</w:t>
      </w:r>
      <w:r w:rsidRPr="006B7EDC">
        <w:rPr>
          <w:lang w:val="es-ES"/>
        </w:rPr>
        <w:t xml:space="preserve"> unidad</w:t>
      </w:r>
      <w:r w:rsidR="00EE4041">
        <w:rPr>
          <w:lang w:val="es-ES"/>
        </w:rPr>
        <w:t>es</w:t>
      </w:r>
      <w:r w:rsidRPr="006B7EDC">
        <w:rPr>
          <w:lang w:val="es-ES"/>
        </w:rPr>
        <w:t xml:space="preserve"> de obra siguiente</w:t>
      </w:r>
      <w:r w:rsidR="00EE4041">
        <w:rPr>
          <w:lang w:val="es-ES"/>
        </w:rPr>
        <w:t>s</w:t>
      </w:r>
      <w:r w:rsidRPr="006B7EDC">
        <w:rPr>
          <w:lang w:val="es-ES"/>
        </w:rPr>
        <w:t>:</w:t>
      </w:r>
    </w:p>
    <w:tbl>
      <w:tblPr>
        <w:tblW w:w="5000" w:type="pct"/>
        <w:tblCellMar>
          <w:left w:w="0" w:type="dxa"/>
          <w:right w:w="0" w:type="dxa"/>
        </w:tblCellMar>
        <w:tblLook w:val="04A0" w:firstRow="1" w:lastRow="0" w:firstColumn="1" w:lastColumn="0" w:noHBand="0" w:noVBand="1"/>
      </w:tblPr>
      <w:tblGrid>
        <w:gridCol w:w="1612"/>
        <w:gridCol w:w="944"/>
        <w:gridCol w:w="6587"/>
      </w:tblGrid>
      <w:tr w:rsidR="00876E39" w:rsidRPr="00951171" w14:paraId="7E153591" w14:textId="77777777" w:rsidTr="003421DA">
        <w:trPr>
          <w:trHeight w:val="450"/>
        </w:trPr>
        <w:tc>
          <w:tcPr>
            <w:tcW w:w="882" w:type="pct"/>
            <w:tcBorders>
              <w:top w:val="nil"/>
              <w:left w:val="nil"/>
              <w:bottom w:val="nil"/>
              <w:right w:val="nil"/>
            </w:tcBorders>
            <w:noWrap/>
            <w:hideMark/>
          </w:tcPr>
          <w:p w14:paraId="554E1B67" w14:textId="77777777" w:rsidR="00876E39" w:rsidRPr="00951171" w:rsidRDefault="00876E39" w:rsidP="003421DA">
            <w:pPr>
              <w:rPr>
                <w:rFonts w:ascii="Calibri" w:hAnsi="Calibri"/>
              </w:rPr>
            </w:pPr>
            <w:r w:rsidRPr="00951171">
              <w:rPr>
                <w:rFonts w:ascii="Calibri" w:hAnsi="Calibri"/>
              </w:rPr>
              <w:t xml:space="preserve">301.0180N         </w:t>
            </w:r>
          </w:p>
        </w:tc>
        <w:tc>
          <w:tcPr>
            <w:tcW w:w="516" w:type="pct"/>
            <w:tcBorders>
              <w:top w:val="nil"/>
              <w:left w:val="nil"/>
              <w:bottom w:val="nil"/>
              <w:right w:val="nil"/>
            </w:tcBorders>
            <w:noWrap/>
            <w:hideMark/>
          </w:tcPr>
          <w:p w14:paraId="307E3029" w14:textId="77777777" w:rsidR="00876E39" w:rsidRPr="00951171" w:rsidRDefault="00876E39" w:rsidP="003421DA">
            <w:pPr>
              <w:rPr>
                <w:rFonts w:ascii="Calibri" w:hAnsi="Calibri"/>
              </w:rPr>
            </w:pPr>
            <w:r w:rsidRPr="00951171">
              <w:rPr>
                <w:rFonts w:ascii="Calibri" w:hAnsi="Calibri"/>
              </w:rPr>
              <w:t>m³</w:t>
            </w:r>
          </w:p>
        </w:tc>
        <w:tc>
          <w:tcPr>
            <w:tcW w:w="3602" w:type="pct"/>
            <w:tcBorders>
              <w:top w:val="nil"/>
              <w:left w:val="nil"/>
              <w:bottom w:val="nil"/>
              <w:right w:val="nil"/>
            </w:tcBorders>
            <w:hideMark/>
          </w:tcPr>
          <w:p w14:paraId="740A6464" w14:textId="77777777" w:rsidR="00876E39" w:rsidRDefault="00B54353" w:rsidP="00DB6778">
            <w:pPr>
              <w:jc w:val="both"/>
              <w:rPr>
                <w:rFonts w:ascii="Calibri" w:hAnsi="Calibri"/>
              </w:rPr>
            </w:pPr>
            <w:r w:rsidRPr="00951171">
              <w:rPr>
                <w:rFonts w:ascii="Calibri" w:hAnsi="Calibri"/>
              </w:rPr>
              <w:t xml:space="preserve">DEMOLICIÓN SELECTIVA (HIDRODEMOLICIÓN) DE PARAMENTOS </w:t>
            </w:r>
            <w:r w:rsidRPr="00140246">
              <w:rPr>
                <w:rFonts w:ascii="Calibri" w:hAnsi="Calibri"/>
              </w:rPr>
              <w:t xml:space="preserve">DE HORMIGÓN, INCLUSO SUMINISTRO DE AGUA, LIMPIEZA DE LA SUPERFICIE, CARGA Y TRANSPORTE DEL MATERIAL RETIRADO </w:t>
            </w:r>
            <w:proofErr w:type="gramStart"/>
            <w:r w:rsidRPr="00140246">
              <w:rPr>
                <w:rFonts w:ascii="Calibri" w:hAnsi="Calibri"/>
              </w:rPr>
              <w:t xml:space="preserve">A  </w:t>
            </w:r>
            <w:r w:rsidR="00834014" w:rsidRPr="00140246">
              <w:rPr>
                <w:rFonts w:ascii="Calibri" w:hAnsi="Calibri"/>
              </w:rPr>
              <w:t>VERTEDERO</w:t>
            </w:r>
            <w:proofErr w:type="gramEnd"/>
          </w:p>
          <w:p w14:paraId="4DBA45D1" w14:textId="77777777" w:rsidR="00EE4041" w:rsidRPr="00951171" w:rsidRDefault="00EE4041" w:rsidP="00DB6778">
            <w:pPr>
              <w:jc w:val="both"/>
              <w:rPr>
                <w:rFonts w:ascii="Calibri" w:hAnsi="Calibri"/>
              </w:rPr>
            </w:pPr>
          </w:p>
        </w:tc>
      </w:tr>
      <w:tr w:rsidR="00EE4041" w:rsidRPr="00951171" w14:paraId="211CAFEC" w14:textId="77777777" w:rsidTr="003421DA">
        <w:trPr>
          <w:trHeight w:val="450"/>
        </w:trPr>
        <w:tc>
          <w:tcPr>
            <w:tcW w:w="882" w:type="pct"/>
            <w:tcBorders>
              <w:top w:val="nil"/>
              <w:left w:val="nil"/>
              <w:bottom w:val="nil"/>
              <w:right w:val="nil"/>
            </w:tcBorders>
            <w:noWrap/>
            <w:hideMark/>
          </w:tcPr>
          <w:p w14:paraId="0EB5094B" w14:textId="77777777" w:rsidR="00EE4041" w:rsidRPr="00140246" w:rsidRDefault="00EE4041" w:rsidP="00E10B4F">
            <w:pPr>
              <w:rPr>
                <w:rFonts w:ascii="Calibri" w:hAnsi="Calibri"/>
              </w:rPr>
            </w:pPr>
            <w:r w:rsidRPr="00140246">
              <w:rPr>
                <w:rFonts w:ascii="Calibri" w:hAnsi="Calibri"/>
              </w:rPr>
              <w:t xml:space="preserve">301.0181N         </w:t>
            </w:r>
          </w:p>
        </w:tc>
        <w:tc>
          <w:tcPr>
            <w:tcW w:w="516" w:type="pct"/>
            <w:tcBorders>
              <w:top w:val="nil"/>
              <w:left w:val="nil"/>
              <w:bottom w:val="nil"/>
              <w:right w:val="nil"/>
            </w:tcBorders>
            <w:noWrap/>
            <w:hideMark/>
          </w:tcPr>
          <w:p w14:paraId="52324169" w14:textId="77777777" w:rsidR="00EE4041" w:rsidRPr="00140246" w:rsidRDefault="00EE4041" w:rsidP="00E10B4F">
            <w:pPr>
              <w:rPr>
                <w:rFonts w:ascii="Calibri" w:hAnsi="Calibri"/>
              </w:rPr>
            </w:pPr>
            <w:proofErr w:type="spellStart"/>
            <w:r w:rsidRPr="00140246">
              <w:rPr>
                <w:rFonts w:ascii="Calibri" w:hAnsi="Calibri"/>
              </w:rPr>
              <w:t>ud</w:t>
            </w:r>
            <w:proofErr w:type="spellEnd"/>
          </w:p>
        </w:tc>
        <w:tc>
          <w:tcPr>
            <w:tcW w:w="3602" w:type="pct"/>
            <w:tcBorders>
              <w:top w:val="nil"/>
              <w:left w:val="nil"/>
              <w:bottom w:val="nil"/>
              <w:right w:val="nil"/>
            </w:tcBorders>
            <w:hideMark/>
          </w:tcPr>
          <w:p w14:paraId="6D0437B4" w14:textId="77777777" w:rsidR="00EE4041" w:rsidRPr="00140246" w:rsidRDefault="00EE4041" w:rsidP="00DB6778">
            <w:pPr>
              <w:jc w:val="both"/>
              <w:rPr>
                <w:rFonts w:ascii="Calibri" w:hAnsi="Calibri" w:cs="Calibri"/>
              </w:rPr>
            </w:pPr>
            <w:r w:rsidRPr="00140246">
              <w:rPr>
                <w:rFonts w:ascii="Calibri" w:hAnsi="Calibri" w:cs="Calibri"/>
              </w:rPr>
              <w:t>PUESTA A DISPOSICIÓN DE ROBOT DE HIDRODEMOLICIÓN, INCLUSO TRANSPORTE DE IDA Y VUELTA A ZONA DE OBRA, MONTAJE, DESMONTAJE Y ELEMENTOS AUXILIARES NECESARIOS PARA LA OPERACIÓN. TOTALMENTE TERMINADA</w:t>
            </w:r>
          </w:p>
          <w:p w14:paraId="55D9D712" w14:textId="77777777" w:rsidR="00EE4041" w:rsidRPr="00140246" w:rsidRDefault="00EE4041" w:rsidP="00DB6778">
            <w:pPr>
              <w:jc w:val="both"/>
              <w:rPr>
                <w:rFonts w:ascii="Calibri" w:hAnsi="Calibri"/>
              </w:rPr>
            </w:pPr>
          </w:p>
        </w:tc>
      </w:tr>
    </w:tbl>
    <w:p w14:paraId="6495B72A" w14:textId="77777777" w:rsidR="00834014" w:rsidRPr="00423608" w:rsidRDefault="00834014" w:rsidP="00834014">
      <w:pPr>
        <w:spacing w:before="120" w:after="120" w:line="360" w:lineRule="auto"/>
        <w:jc w:val="both"/>
        <w:rPr>
          <w:rFonts w:ascii="Arial" w:hAnsi="Arial"/>
          <w:lang w:val="es-ES_tradnl"/>
        </w:rPr>
      </w:pPr>
      <w:r w:rsidRPr="00423608">
        <w:rPr>
          <w:rFonts w:ascii="Arial" w:hAnsi="Arial"/>
          <w:lang w:val="es-ES_tradnl"/>
        </w:rPr>
        <w:t xml:space="preserve">Se define como puesta a disposición de equipos </w:t>
      </w:r>
      <w:r>
        <w:rPr>
          <w:rFonts w:ascii="Arial" w:hAnsi="Arial"/>
          <w:lang w:val="es-ES_tradnl"/>
        </w:rPr>
        <w:t xml:space="preserve">de </w:t>
      </w:r>
      <w:proofErr w:type="spellStart"/>
      <w:r>
        <w:rPr>
          <w:rFonts w:ascii="Arial" w:hAnsi="Arial"/>
          <w:lang w:val="es-ES_tradnl"/>
        </w:rPr>
        <w:t>hidrodemolición</w:t>
      </w:r>
      <w:proofErr w:type="spellEnd"/>
      <w:r>
        <w:rPr>
          <w:rFonts w:ascii="Arial" w:hAnsi="Arial"/>
          <w:lang w:val="es-ES_tradnl"/>
        </w:rPr>
        <w:t xml:space="preserve"> </w:t>
      </w:r>
      <w:r w:rsidRPr="00423608">
        <w:rPr>
          <w:rFonts w:ascii="Arial" w:hAnsi="Arial"/>
          <w:lang w:val="es-ES_tradnl"/>
        </w:rPr>
        <w:t xml:space="preserve">al desplazamiento a obra, montaje y desmontaje de equipo de </w:t>
      </w:r>
      <w:proofErr w:type="spellStart"/>
      <w:r w:rsidR="00217216">
        <w:rPr>
          <w:rFonts w:ascii="Arial" w:hAnsi="Arial"/>
          <w:lang w:val="es-ES_tradnl"/>
        </w:rPr>
        <w:t>hidrodemolición</w:t>
      </w:r>
      <w:proofErr w:type="spellEnd"/>
      <w:r>
        <w:rPr>
          <w:rFonts w:ascii="Arial" w:hAnsi="Arial"/>
          <w:lang w:val="es-ES_tradnl"/>
        </w:rPr>
        <w:t xml:space="preserve"> y posterior retirada</w:t>
      </w:r>
      <w:r w:rsidRPr="00423608">
        <w:rPr>
          <w:rFonts w:ascii="Arial" w:hAnsi="Arial"/>
          <w:lang w:val="es-ES_tradnl"/>
        </w:rPr>
        <w:t>.</w:t>
      </w:r>
    </w:p>
    <w:p w14:paraId="5EA0BC91" w14:textId="77777777" w:rsidR="00876E39" w:rsidRPr="00951171" w:rsidRDefault="00876E39" w:rsidP="00876E39">
      <w:pPr>
        <w:pStyle w:val="NORMAL12"/>
      </w:pPr>
      <w:r w:rsidRPr="00951171">
        <w:t xml:space="preserve">Consiste en la </w:t>
      </w:r>
      <w:proofErr w:type="spellStart"/>
      <w:r w:rsidRPr="00951171">
        <w:t>hidrodemolición</w:t>
      </w:r>
      <w:proofErr w:type="spellEnd"/>
      <w:r w:rsidRPr="00951171">
        <w:t xml:space="preserve"> selectiva de la losa de hormigón pretensado en ambas márgenes del tablero para realizar una perfecta conexión con la ampliación, respetando en todo momento el armado existente. Dicha unidad, </w:t>
      </w:r>
      <w:proofErr w:type="gramStart"/>
      <w:r w:rsidRPr="00951171">
        <w:t>será de aplicación</w:t>
      </w:r>
      <w:proofErr w:type="gramEnd"/>
      <w:r w:rsidRPr="00951171">
        <w:t xml:space="preserve"> en la estructura localizada en el P.I. 2+275.</w:t>
      </w:r>
    </w:p>
    <w:p w14:paraId="576EFF9C" w14:textId="77777777" w:rsidR="00876E39" w:rsidRPr="00951171" w:rsidRDefault="00876E39" w:rsidP="00876E39">
      <w:pPr>
        <w:pStyle w:val="NORMAL12"/>
      </w:pPr>
      <w:r w:rsidRPr="00951171">
        <w:t xml:space="preserve">La </w:t>
      </w:r>
      <w:proofErr w:type="spellStart"/>
      <w:r w:rsidRPr="00951171">
        <w:t>hidrodemolición</w:t>
      </w:r>
      <w:proofErr w:type="spellEnd"/>
      <w:r w:rsidRPr="00951171">
        <w:t xml:space="preserve"> es una técnica constructiva que consiste en la utilización de un chorro de agua a alta presión como herramienta de demolición o extracción selectiva de hormigón. Esta nos permite la eliminación controlada de hormigones de distinta resistencia, desde enfermos y débiles hasta H</w:t>
      </w:r>
      <w:r w:rsidR="00057C47" w:rsidRPr="00951171">
        <w:t>ormigón de alta resistencia</w:t>
      </w:r>
      <w:r w:rsidRPr="00951171">
        <w:t xml:space="preserve"> que resisten hasta 2.000kg/cm</w:t>
      </w:r>
      <w:r w:rsidRPr="00E34DE7">
        <w:rPr>
          <w:vertAlign w:val="superscript"/>
        </w:rPr>
        <w:t>2</w:t>
      </w:r>
      <w:r w:rsidRPr="00951171">
        <w:t xml:space="preserve"> (200 MPa) a compresión.</w:t>
      </w:r>
    </w:p>
    <w:p w14:paraId="5850E3F4" w14:textId="77777777" w:rsidR="00876E39" w:rsidRPr="00951171" w:rsidRDefault="00876E39" w:rsidP="00876E39">
      <w:pPr>
        <w:pStyle w:val="NORMAL12"/>
      </w:pPr>
      <w:r w:rsidRPr="00951171">
        <w:t xml:space="preserve">Incluye las siguientes operaciones: </w:t>
      </w:r>
    </w:p>
    <w:p w14:paraId="3245F124" w14:textId="77777777" w:rsidR="00876E39" w:rsidRPr="00951171" w:rsidRDefault="00876E39" w:rsidP="00661A5F">
      <w:pPr>
        <w:pStyle w:val="NORMAL12"/>
        <w:numPr>
          <w:ilvl w:val="0"/>
          <w:numId w:val="211"/>
        </w:numPr>
      </w:pPr>
      <w:r w:rsidRPr="00951171">
        <w:t xml:space="preserve">Transporte a obra de la maquinaria de </w:t>
      </w:r>
      <w:proofErr w:type="spellStart"/>
      <w:r w:rsidRPr="00951171">
        <w:t>hidrodemolición</w:t>
      </w:r>
      <w:proofErr w:type="spellEnd"/>
      <w:r w:rsidRPr="00951171">
        <w:t xml:space="preserve"> y posterior retirada.</w:t>
      </w:r>
    </w:p>
    <w:p w14:paraId="4040C254" w14:textId="77777777" w:rsidR="00876E39" w:rsidRPr="00951171" w:rsidRDefault="00876E39" w:rsidP="00661A5F">
      <w:pPr>
        <w:pStyle w:val="NORMAL12"/>
        <w:numPr>
          <w:ilvl w:val="0"/>
          <w:numId w:val="211"/>
        </w:numPr>
      </w:pPr>
      <w:r w:rsidRPr="00951171">
        <w:t xml:space="preserve">Implantación en obra, montaje y desmontaje de la unidad de </w:t>
      </w:r>
      <w:proofErr w:type="spellStart"/>
      <w:r w:rsidRPr="00951171">
        <w:t>hidrodemolición</w:t>
      </w:r>
      <w:proofErr w:type="spellEnd"/>
      <w:r w:rsidRPr="00951171">
        <w:t xml:space="preserve">. </w:t>
      </w:r>
    </w:p>
    <w:p w14:paraId="0F6BD89A" w14:textId="77777777" w:rsidR="00876E39" w:rsidRPr="00951171" w:rsidRDefault="00876E39" w:rsidP="00661A5F">
      <w:pPr>
        <w:pStyle w:val="NORMAL12"/>
        <w:numPr>
          <w:ilvl w:val="0"/>
          <w:numId w:val="211"/>
        </w:numPr>
      </w:pPr>
      <w:r w:rsidRPr="00951171">
        <w:t xml:space="preserve">Aportación de maquinaría, accesorios, mano de obra y equipos para realizar la </w:t>
      </w:r>
      <w:proofErr w:type="spellStart"/>
      <w:r w:rsidRPr="00951171">
        <w:t>hidrodemolición</w:t>
      </w:r>
      <w:proofErr w:type="spellEnd"/>
      <w:r w:rsidRPr="00951171">
        <w:t>.</w:t>
      </w:r>
    </w:p>
    <w:p w14:paraId="37613562" w14:textId="77777777" w:rsidR="00876E39" w:rsidRPr="00951171" w:rsidRDefault="00876E39" w:rsidP="00661A5F">
      <w:pPr>
        <w:pStyle w:val="NORMAL12"/>
        <w:numPr>
          <w:ilvl w:val="0"/>
          <w:numId w:val="211"/>
        </w:numPr>
      </w:pPr>
      <w:r w:rsidRPr="00951171">
        <w:t>Aportación de la energía eléctrica y del agua potable (mediante camiones cisterna) necesarios.</w:t>
      </w:r>
    </w:p>
    <w:p w14:paraId="2749B53D" w14:textId="77777777" w:rsidR="00876E39" w:rsidRPr="00951171" w:rsidRDefault="00876E39" w:rsidP="00661A5F">
      <w:pPr>
        <w:pStyle w:val="NORMAL12"/>
        <w:numPr>
          <w:ilvl w:val="0"/>
          <w:numId w:val="211"/>
        </w:numPr>
      </w:pPr>
      <w:r w:rsidRPr="00951171">
        <w:t xml:space="preserve">Realización de la </w:t>
      </w:r>
      <w:proofErr w:type="spellStart"/>
      <w:r w:rsidRPr="00951171">
        <w:t>hidrodemolición</w:t>
      </w:r>
      <w:proofErr w:type="spellEnd"/>
      <w:r w:rsidRPr="00951171">
        <w:t xml:space="preserve"> con técnicas de ULTRA-ALTA PRESIÓN (Presión &gt; 2.000BAR y caudal máximo 60 l/min) en elementos estructurales de hormigón, dejando la armadura al descubierto en la profundidad y anchura indicadas en planos, ejecutado con sistemas robotizados.</w:t>
      </w:r>
    </w:p>
    <w:p w14:paraId="51BAA752" w14:textId="77777777" w:rsidR="00876E39" w:rsidRPr="00951171" w:rsidRDefault="00876E39" w:rsidP="00661A5F">
      <w:pPr>
        <w:pStyle w:val="NORMAL12"/>
        <w:numPr>
          <w:ilvl w:val="0"/>
          <w:numId w:val="211"/>
        </w:numPr>
      </w:pPr>
      <w:r w:rsidRPr="00951171">
        <w:t>Limpieza de productos sobrantes.</w:t>
      </w:r>
    </w:p>
    <w:p w14:paraId="00B1DD8B" w14:textId="77777777" w:rsidR="00876E39" w:rsidRPr="00951171" w:rsidRDefault="00876E39" w:rsidP="00876E39">
      <w:pPr>
        <w:pStyle w:val="NORMAL12"/>
      </w:pPr>
      <w:r w:rsidRPr="00951171">
        <w:t xml:space="preserve">Los escombros resultantes de la demolición serán clasificados, transportados y tratados a una planta de gestión de residuos, tal y como se especifica en </w:t>
      </w:r>
      <w:r w:rsidR="003E146D">
        <w:t xml:space="preserve">el </w:t>
      </w:r>
      <w:r w:rsidRPr="00951171">
        <w:t>artículo de Gestión de Residuos de este Pliego.</w:t>
      </w:r>
    </w:p>
    <w:p w14:paraId="428CCE6D" w14:textId="77777777" w:rsidR="00876E39" w:rsidRPr="00951171" w:rsidRDefault="00876E39" w:rsidP="000313DD">
      <w:pPr>
        <w:pStyle w:val="TITU2"/>
      </w:pPr>
      <w:bookmarkStart w:id="354" w:name="_Toc352932641"/>
      <w:bookmarkStart w:id="355" w:name="_Toc448848296"/>
      <w:bookmarkStart w:id="356" w:name="_Toc448915900"/>
      <w:bookmarkStart w:id="357" w:name="_Toc404164"/>
      <w:r w:rsidRPr="00951171">
        <w:t>305.2.</w:t>
      </w:r>
      <w:r w:rsidR="006E0597" w:rsidRPr="00951171">
        <w:t xml:space="preserve"> </w:t>
      </w:r>
      <w:r w:rsidRPr="00951171">
        <w:tab/>
        <w:t>Estudio de la demolición</w:t>
      </w:r>
      <w:bookmarkEnd w:id="354"/>
      <w:bookmarkEnd w:id="355"/>
      <w:bookmarkEnd w:id="356"/>
      <w:bookmarkEnd w:id="357"/>
    </w:p>
    <w:p w14:paraId="2ED7F687" w14:textId="77777777" w:rsidR="00876E39" w:rsidRPr="00951171" w:rsidRDefault="00876E39" w:rsidP="00876E39">
      <w:pPr>
        <w:pStyle w:val="NORMAL12"/>
      </w:pPr>
      <w:r w:rsidRPr="00951171">
        <w:t xml:space="preserve">Previamente a los trabajos de demolición se elaborará un estudio de demolición, que deberá ser sometido a la aprobación del </w:t>
      </w:r>
      <w:proofErr w:type="gramStart"/>
      <w:r w:rsidRPr="00951171">
        <w:t>Director</w:t>
      </w:r>
      <w:proofErr w:type="gramEnd"/>
      <w:r w:rsidRPr="00951171">
        <w:t xml:space="preserve"> de las Obras, siendo el Contratista responsable del contenido de dicho estudio y de su correcta ejecución.</w:t>
      </w:r>
    </w:p>
    <w:p w14:paraId="2E197090" w14:textId="77777777" w:rsidR="00876E39" w:rsidRPr="00951171" w:rsidRDefault="00876E39" w:rsidP="00876E39">
      <w:pPr>
        <w:pStyle w:val="NORMAL12"/>
      </w:pPr>
      <w:r w:rsidRPr="00951171">
        <w:t xml:space="preserve">En el estudio de demolición deberán definirse como mínimo: </w:t>
      </w:r>
    </w:p>
    <w:p w14:paraId="20FFFDC9" w14:textId="77777777" w:rsidR="00876E39" w:rsidRPr="00951171" w:rsidRDefault="00876E39" w:rsidP="00876E39">
      <w:pPr>
        <w:pStyle w:val="NORMAL12"/>
        <w:numPr>
          <w:ilvl w:val="0"/>
          <w:numId w:val="61"/>
        </w:numPr>
      </w:pPr>
      <w:r w:rsidRPr="00951171">
        <w:t xml:space="preserve">Etapas de la demolición. </w:t>
      </w:r>
    </w:p>
    <w:p w14:paraId="17B7C7B6" w14:textId="77777777" w:rsidR="00876E39" w:rsidRPr="00951171" w:rsidRDefault="00876E39" w:rsidP="00876E39">
      <w:pPr>
        <w:pStyle w:val="NORMAL12"/>
        <w:numPr>
          <w:ilvl w:val="0"/>
          <w:numId w:val="61"/>
        </w:numPr>
      </w:pPr>
      <w:r w:rsidRPr="00951171">
        <w:t xml:space="preserve">Estabilidad de las construcciones remanentes en cada etapa, así como los apeos y cimbras necesarios. </w:t>
      </w:r>
    </w:p>
    <w:p w14:paraId="007553BC" w14:textId="77777777" w:rsidR="00876E39" w:rsidRPr="00951171" w:rsidRDefault="00876E39" w:rsidP="00876E39">
      <w:pPr>
        <w:pStyle w:val="NORMAL12"/>
        <w:numPr>
          <w:ilvl w:val="0"/>
          <w:numId w:val="61"/>
        </w:numPr>
      </w:pPr>
      <w:r w:rsidRPr="00951171">
        <w:t xml:space="preserve">Estabilidad y protección de construcciones remanentes que no vayan a ser demolidas. </w:t>
      </w:r>
    </w:p>
    <w:p w14:paraId="3019F2C5" w14:textId="77777777" w:rsidR="00876E39" w:rsidRPr="00951171" w:rsidRDefault="00876E39" w:rsidP="00876E39">
      <w:pPr>
        <w:pStyle w:val="NORMAL12"/>
        <w:numPr>
          <w:ilvl w:val="0"/>
          <w:numId w:val="61"/>
        </w:numPr>
      </w:pPr>
      <w:r w:rsidRPr="00951171">
        <w:t xml:space="preserve">Protección de las construcciones e instalaciones del entorno. </w:t>
      </w:r>
    </w:p>
    <w:p w14:paraId="6E832E21" w14:textId="77777777" w:rsidR="00876E39" w:rsidRPr="00951171" w:rsidRDefault="00876E39" w:rsidP="00876E39">
      <w:pPr>
        <w:pStyle w:val="NORMAL12"/>
        <w:numPr>
          <w:ilvl w:val="0"/>
          <w:numId w:val="61"/>
        </w:numPr>
      </w:pPr>
      <w:r w:rsidRPr="00951171">
        <w:t xml:space="preserve">Mantenimiento o sustitución provisional de servicios afectados por la demolición. </w:t>
      </w:r>
    </w:p>
    <w:p w14:paraId="398DA708" w14:textId="77777777" w:rsidR="00876E39" w:rsidRPr="00951171" w:rsidRDefault="00876E39" w:rsidP="00876E39">
      <w:pPr>
        <w:pStyle w:val="NORMAL12"/>
        <w:numPr>
          <w:ilvl w:val="0"/>
          <w:numId w:val="61"/>
        </w:numPr>
      </w:pPr>
      <w:r w:rsidRPr="00951171">
        <w:t xml:space="preserve">Medios de evacuación y definición de zonas de vertido de los productos de la demolición. </w:t>
      </w:r>
    </w:p>
    <w:p w14:paraId="0A4DA385" w14:textId="77777777" w:rsidR="00876E39" w:rsidRPr="00951171" w:rsidRDefault="00876E39" w:rsidP="00876E39">
      <w:pPr>
        <w:pStyle w:val="NORMAL12"/>
        <w:numPr>
          <w:ilvl w:val="0"/>
          <w:numId w:val="61"/>
        </w:numPr>
      </w:pPr>
      <w:r w:rsidRPr="00951171">
        <w:t xml:space="preserve">Cronogramas de trabajos. </w:t>
      </w:r>
    </w:p>
    <w:p w14:paraId="5F86CEFA" w14:textId="77777777" w:rsidR="00876E39" w:rsidRPr="00951171" w:rsidRDefault="00876E39" w:rsidP="00876E39">
      <w:pPr>
        <w:pStyle w:val="NORMAL12"/>
        <w:numPr>
          <w:ilvl w:val="0"/>
          <w:numId w:val="61"/>
        </w:numPr>
      </w:pPr>
      <w:r w:rsidRPr="00951171">
        <w:t xml:space="preserve">Pautas de control. </w:t>
      </w:r>
    </w:p>
    <w:p w14:paraId="51BF265C" w14:textId="77777777" w:rsidR="00876E39" w:rsidRPr="00951171" w:rsidRDefault="00876E39" w:rsidP="00876E39">
      <w:pPr>
        <w:pStyle w:val="NORMAL12"/>
        <w:numPr>
          <w:ilvl w:val="0"/>
          <w:numId w:val="61"/>
        </w:numPr>
      </w:pPr>
      <w:r w:rsidRPr="00951171">
        <w:lastRenderedPageBreak/>
        <w:t xml:space="preserve">Medidas de seguridad y salud. </w:t>
      </w:r>
    </w:p>
    <w:p w14:paraId="2D2F7396" w14:textId="77777777" w:rsidR="00876E39" w:rsidRPr="00951171" w:rsidRDefault="00876E39" w:rsidP="00876E39">
      <w:pPr>
        <w:pStyle w:val="NORMAL12"/>
      </w:pPr>
      <w:r w:rsidRPr="00951171">
        <w:t>Se estará, en todo caso, a lo dispuesto en la legislación vigente en materia medioambiental, de seguridad y salud, y de almacenamiento y transporte de productos de construcción.</w:t>
      </w:r>
    </w:p>
    <w:p w14:paraId="10720501" w14:textId="77777777" w:rsidR="00876E39" w:rsidRDefault="00876E39" w:rsidP="000313DD">
      <w:pPr>
        <w:pStyle w:val="TITU2"/>
      </w:pPr>
      <w:bookmarkStart w:id="358" w:name="_Toc352932642"/>
      <w:bookmarkStart w:id="359" w:name="_Toc448848297"/>
      <w:bookmarkStart w:id="360" w:name="_Toc448915901"/>
      <w:bookmarkStart w:id="361" w:name="_Toc404165"/>
      <w:r w:rsidRPr="00951171">
        <w:t>305.3.</w:t>
      </w:r>
      <w:r w:rsidR="006E0597" w:rsidRPr="00951171">
        <w:t xml:space="preserve"> </w:t>
      </w:r>
      <w:r w:rsidRPr="00951171">
        <w:tab/>
        <w:t>Maquinaria y medios</w:t>
      </w:r>
      <w:bookmarkEnd w:id="358"/>
      <w:bookmarkEnd w:id="359"/>
      <w:bookmarkEnd w:id="360"/>
      <w:bookmarkEnd w:id="361"/>
    </w:p>
    <w:p w14:paraId="0136C418" w14:textId="77777777" w:rsidR="00834014" w:rsidRPr="00834014" w:rsidRDefault="00834014" w:rsidP="00834014">
      <w:pPr>
        <w:pStyle w:val="NORMAL12"/>
        <w:rPr>
          <w:i/>
          <w:u w:val="single"/>
          <w:lang w:val="es-ES"/>
        </w:rPr>
      </w:pPr>
      <w:r w:rsidRPr="00834014">
        <w:rPr>
          <w:i/>
          <w:u w:val="single"/>
          <w:lang w:val="es-ES"/>
        </w:rPr>
        <w:t>Puesta a disposición del equipo</w:t>
      </w:r>
    </w:p>
    <w:p w14:paraId="2D0D8032" w14:textId="77777777" w:rsidR="00834014" w:rsidRPr="00423608" w:rsidRDefault="00834014" w:rsidP="00834014">
      <w:pPr>
        <w:spacing w:before="120" w:after="120" w:line="360" w:lineRule="auto"/>
        <w:jc w:val="both"/>
        <w:rPr>
          <w:rFonts w:ascii="Arial" w:hAnsi="Arial"/>
          <w:lang w:val="es-ES_tradnl"/>
        </w:rPr>
      </w:pPr>
      <w:r w:rsidRPr="00423608">
        <w:rPr>
          <w:rFonts w:ascii="Arial" w:hAnsi="Arial"/>
          <w:lang w:val="es-ES_tradnl"/>
        </w:rPr>
        <w:t>El equipo quedará instalado después del montaje, en el lugar indicado por</w:t>
      </w:r>
      <w:r>
        <w:rPr>
          <w:rFonts w:ascii="Arial" w:hAnsi="Arial"/>
          <w:lang w:val="es-ES_tradnl"/>
        </w:rPr>
        <w:t xml:space="preserve"> el </w:t>
      </w:r>
      <w:proofErr w:type="gramStart"/>
      <w:r>
        <w:rPr>
          <w:rFonts w:ascii="Arial" w:hAnsi="Arial"/>
          <w:lang w:val="es-ES_tradnl"/>
        </w:rPr>
        <w:t>Director</w:t>
      </w:r>
      <w:proofErr w:type="gramEnd"/>
      <w:r>
        <w:rPr>
          <w:rFonts w:ascii="Arial" w:hAnsi="Arial"/>
          <w:lang w:val="es-ES_tradnl"/>
        </w:rPr>
        <w:t xml:space="preserve"> de Obra</w:t>
      </w:r>
      <w:r w:rsidRPr="00423608">
        <w:rPr>
          <w:rFonts w:ascii="Arial" w:hAnsi="Arial"/>
          <w:lang w:val="es-ES_tradnl"/>
        </w:rPr>
        <w:t>, con las conexiones realizadas y preparado para su puesta en marcha.</w:t>
      </w:r>
    </w:p>
    <w:p w14:paraId="79FBCFD5" w14:textId="77777777" w:rsidR="00834014" w:rsidRDefault="00834014" w:rsidP="00834014">
      <w:pPr>
        <w:spacing w:before="120" w:after="120" w:line="360" w:lineRule="auto"/>
        <w:jc w:val="both"/>
        <w:rPr>
          <w:rFonts w:ascii="Arial" w:hAnsi="Arial"/>
          <w:lang w:val="es-ES_tradnl"/>
        </w:rPr>
      </w:pPr>
      <w:r>
        <w:rPr>
          <w:rFonts w:ascii="Arial" w:hAnsi="Arial"/>
          <w:lang w:val="es-ES_tradnl"/>
        </w:rPr>
        <w:t xml:space="preserve">Es necesaria la aprobación del </w:t>
      </w:r>
      <w:proofErr w:type="gramStart"/>
      <w:r>
        <w:rPr>
          <w:rFonts w:ascii="Arial" w:hAnsi="Arial"/>
          <w:lang w:val="es-ES_tradnl"/>
        </w:rPr>
        <w:t>Director</w:t>
      </w:r>
      <w:proofErr w:type="gramEnd"/>
      <w:r>
        <w:rPr>
          <w:rFonts w:ascii="Arial" w:hAnsi="Arial"/>
          <w:lang w:val="es-ES_tradnl"/>
        </w:rPr>
        <w:t xml:space="preserve"> de Obra para</w:t>
      </w:r>
      <w:r w:rsidRPr="00423608">
        <w:rPr>
          <w:rFonts w:ascii="Arial" w:hAnsi="Arial"/>
          <w:lang w:val="es-ES_tradnl"/>
        </w:rPr>
        <w:t xml:space="preserve"> utilizar el equipo.</w:t>
      </w:r>
    </w:p>
    <w:p w14:paraId="4C6129A2" w14:textId="77777777" w:rsidR="00834014" w:rsidRPr="00423608" w:rsidRDefault="00834014" w:rsidP="00834014">
      <w:pPr>
        <w:spacing w:before="120" w:after="120" w:line="360" w:lineRule="auto"/>
        <w:jc w:val="both"/>
        <w:rPr>
          <w:rFonts w:ascii="Arial" w:hAnsi="Arial"/>
          <w:lang w:val="es-ES_tradnl"/>
        </w:rPr>
      </w:pPr>
      <w:r>
        <w:rPr>
          <w:rFonts w:ascii="Arial" w:hAnsi="Arial"/>
          <w:lang w:val="es-ES_tradnl"/>
        </w:rPr>
        <w:t>En cuanto al resto de materiales y equipos se debe cumplir:</w:t>
      </w:r>
    </w:p>
    <w:p w14:paraId="468708D6" w14:textId="77777777" w:rsidR="00876E39" w:rsidRPr="00951171" w:rsidRDefault="00876E39" w:rsidP="00876E39">
      <w:pPr>
        <w:pStyle w:val="NORMAL12"/>
      </w:pPr>
      <w:r w:rsidRPr="00951171">
        <w:t xml:space="preserve">El agua potable, libre de cloruros, necesaria para el funcionamiento del equipo de </w:t>
      </w:r>
      <w:proofErr w:type="spellStart"/>
      <w:r w:rsidRPr="00951171">
        <w:t>hidrodemolición</w:t>
      </w:r>
      <w:proofErr w:type="spellEnd"/>
      <w:r w:rsidRPr="00951171">
        <w:t xml:space="preserve"> se suministrará mediante camiones cisterna o cubas, en caso de no resultar posible una acometida a la red en la zona de las obras. Dichos camiones cisterna o cubas estarán limpios y no contendrán cloruros u otros elementos que puedan afectar a la maquinaria de </w:t>
      </w:r>
      <w:proofErr w:type="spellStart"/>
      <w:r w:rsidRPr="00951171">
        <w:t>hidrodemolición</w:t>
      </w:r>
      <w:proofErr w:type="spellEnd"/>
      <w:r w:rsidRPr="00951171">
        <w:t xml:space="preserve"> a través del agua que se ha transportado y/o acumulado en ellos.</w:t>
      </w:r>
    </w:p>
    <w:p w14:paraId="456AE38A" w14:textId="77777777" w:rsidR="00876E39" w:rsidRPr="00951171" w:rsidRDefault="00876E39" w:rsidP="00876E39">
      <w:pPr>
        <w:pStyle w:val="NORMAL12"/>
      </w:pPr>
      <w:r w:rsidRPr="00951171">
        <w:t xml:space="preserve">Previo a la ejecución de la </w:t>
      </w:r>
      <w:proofErr w:type="spellStart"/>
      <w:r w:rsidRPr="00951171">
        <w:t>hidrodemolición</w:t>
      </w:r>
      <w:proofErr w:type="spellEnd"/>
      <w:r w:rsidRPr="00951171">
        <w:t xml:space="preserve">, el Contratista deberá contactar con el Organismo gestor de la red de abastecimiento para confirmar la viabilidad de toma de agua desde una acometida a la red. </w:t>
      </w:r>
    </w:p>
    <w:p w14:paraId="30A81141" w14:textId="77777777" w:rsidR="00876E39" w:rsidRPr="00951171" w:rsidRDefault="00876E39" w:rsidP="00876E39">
      <w:pPr>
        <w:pStyle w:val="NORMAL12"/>
      </w:pPr>
      <w:r w:rsidRPr="00951171">
        <w:t>Los equipos auxiliares de trabajo requeridos son:</w:t>
      </w:r>
    </w:p>
    <w:p w14:paraId="3AAAC893" w14:textId="77777777" w:rsidR="00876E39" w:rsidRPr="00951171" w:rsidRDefault="00876E39" w:rsidP="00876E39">
      <w:pPr>
        <w:pStyle w:val="NORMAL12"/>
        <w:numPr>
          <w:ilvl w:val="0"/>
          <w:numId w:val="61"/>
        </w:numPr>
      </w:pPr>
      <w:r w:rsidRPr="00951171">
        <w:t>Camiones cisterna o cubas</w:t>
      </w:r>
    </w:p>
    <w:p w14:paraId="44DD80B3" w14:textId="77777777" w:rsidR="00876E39" w:rsidRPr="00951171" w:rsidRDefault="00876E39" w:rsidP="00876E39">
      <w:pPr>
        <w:pStyle w:val="NORMAL12"/>
        <w:numPr>
          <w:ilvl w:val="0"/>
          <w:numId w:val="61"/>
        </w:numPr>
      </w:pPr>
      <w:r w:rsidRPr="00951171">
        <w:t>Grupo electrógeno</w:t>
      </w:r>
    </w:p>
    <w:p w14:paraId="009F2FF1" w14:textId="77777777" w:rsidR="00876E39" w:rsidRPr="00951171" w:rsidRDefault="00876E39" w:rsidP="00876E39">
      <w:pPr>
        <w:pStyle w:val="NORMAL12"/>
      </w:pPr>
      <w:r w:rsidRPr="00951171">
        <w:t>El número de personas que intervendrán en la actividad que nos ocupa, estará en función de las necesidades de la obra, previéndose en principio un número de tres operarios. Entre los que se incluyen:</w:t>
      </w:r>
    </w:p>
    <w:p w14:paraId="75FEED04" w14:textId="77777777" w:rsidR="00876E39" w:rsidRPr="00951171" w:rsidRDefault="00876E39" w:rsidP="00876E39">
      <w:pPr>
        <w:pStyle w:val="NORMAL12"/>
        <w:numPr>
          <w:ilvl w:val="0"/>
          <w:numId w:val="61"/>
        </w:numPr>
      </w:pPr>
      <w:r w:rsidRPr="00951171">
        <w:t xml:space="preserve">1 </w:t>
      </w:r>
      <w:proofErr w:type="gramStart"/>
      <w:r w:rsidRPr="00951171">
        <w:t>Encargado</w:t>
      </w:r>
      <w:proofErr w:type="gramEnd"/>
      <w:r w:rsidRPr="00951171">
        <w:t xml:space="preserve"> Especialista.</w:t>
      </w:r>
    </w:p>
    <w:p w14:paraId="4FD7A2B2" w14:textId="77777777" w:rsidR="00876E39" w:rsidRPr="00951171" w:rsidRDefault="00876E39" w:rsidP="00876E39">
      <w:pPr>
        <w:pStyle w:val="NORMAL12"/>
        <w:numPr>
          <w:ilvl w:val="0"/>
          <w:numId w:val="61"/>
        </w:numPr>
      </w:pPr>
      <w:r w:rsidRPr="00951171">
        <w:t xml:space="preserve">1 </w:t>
      </w:r>
      <w:proofErr w:type="gramStart"/>
      <w:r w:rsidRPr="00951171">
        <w:t>Maquinista</w:t>
      </w:r>
      <w:proofErr w:type="gramEnd"/>
      <w:r w:rsidRPr="00951171">
        <w:t xml:space="preserve"> de robot.</w:t>
      </w:r>
    </w:p>
    <w:p w14:paraId="1E896FCA" w14:textId="77777777" w:rsidR="00876E39" w:rsidRPr="00951171" w:rsidRDefault="00876E39" w:rsidP="00876E39">
      <w:pPr>
        <w:pStyle w:val="NORMAL12"/>
        <w:numPr>
          <w:ilvl w:val="0"/>
          <w:numId w:val="61"/>
        </w:numPr>
      </w:pPr>
      <w:r w:rsidRPr="00951171">
        <w:t xml:space="preserve">1 </w:t>
      </w:r>
      <w:proofErr w:type="gramStart"/>
      <w:r w:rsidRPr="00951171">
        <w:t>Operador</w:t>
      </w:r>
      <w:proofErr w:type="gramEnd"/>
      <w:r w:rsidRPr="00951171">
        <w:t xml:space="preserve"> de bomba.</w:t>
      </w:r>
    </w:p>
    <w:p w14:paraId="19926C28" w14:textId="77777777" w:rsidR="00876E39" w:rsidRPr="00951171" w:rsidRDefault="00876E39" w:rsidP="00876E39">
      <w:pPr>
        <w:pStyle w:val="NORMAL12"/>
      </w:pPr>
      <w:r w:rsidRPr="00951171">
        <w:t xml:space="preserve">La maquinaria específica para la </w:t>
      </w:r>
      <w:proofErr w:type="spellStart"/>
      <w:r w:rsidRPr="00951171">
        <w:t>hidrodemolición</w:t>
      </w:r>
      <w:proofErr w:type="spellEnd"/>
      <w:r w:rsidRPr="00951171">
        <w:t xml:space="preserve"> constará de:</w:t>
      </w:r>
    </w:p>
    <w:p w14:paraId="214BF0DB" w14:textId="77777777" w:rsidR="00876E39" w:rsidRPr="00951171" w:rsidRDefault="00057C47" w:rsidP="00057C47">
      <w:pPr>
        <w:pStyle w:val="NORMAL12"/>
        <w:rPr>
          <w:i/>
          <w:u w:val="single"/>
        </w:rPr>
      </w:pPr>
      <w:r w:rsidRPr="00951171">
        <w:rPr>
          <w:i/>
          <w:u w:val="single"/>
        </w:rPr>
        <w:t xml:space="preserve">Unidad de </w:t>
      </w:r>
      <w:proofErr w:type="spellStart"/>
      <w:r w:rsidRPr="00951171">
        <w:rPr>
          <w:i/>
          <w:u w:val="single"/>
        </w:rPr>
        <w:t>ultra-alta</w:t>
      </w:r>
      <w:proofErr w:type="spellEnd"/>
      <w:r w:rsidRPr="00951171">
        <w:rPr>
          <w:i/>
          <w:u w:val="single"/>
        </w:rPr>
        <w:t xml:space="preserve"> presión (</w:t>
      </w:r>
      <w:proofErr w:type="spellStart"/>
      <w:r w:rsidRPr="00951171">
        <w:rPr>
          <w:i/>
          <w:u w:val="single"/>
        </w:rPr>
        <w:t>uap</w:t>
      </w:r>
      <w:proofErr w:type="spellEnd"/>
      <w:r w:rsidRPr="00951171">
        <w:rPr>
          <w:i/>
          <w:u w:val="single"/>
        </w:rPr>
        <w:t>)</w:t>
      </w:r>
    </w:p>
    <w:p w14:paraId="7963CF7B" w14:textId="77777777" w:rsidR="00876E39" w:rsidRPr="00951171" w:rsidRDefault="00876E39" w:rsidP="00661A5F">
      <w:pPr>
        <w:pStyle w:val="NORMAL12"/>
        <w:numPr>
          <w:ilvl w:val="0"/>
          <w:numId w:val="212"/>
        </w:numPr>
      </w:pPr>
      <w:r w:rsidRPr="00951171">
        <w:t xml:space="preserve">La unidad generadora de agua a </w:t>
      </w:r>
      <w:proofErr w:type="spellStart"/>
      <w:r w:rsidRPr="00951171">
        <w:t>ultra-alta</w:t>
      </w:r>
      <w:proofErr w:type="spellEnd"/>
      <w:r w:rsidRPr="00951171">
        <w:t xml:space="preserve"> presión será accionada por motor </w:t>
      </w:r>
      <w:proofErr w:type="spellStart"/>
      <w:r w:rsidRPr="00951171">
        <w:t>diesel</w:t>
      </w:r>
      <w:proofErr w:type="spellEnd"/>
      <w:r w:rsidRPr="00951171">
        <w:t xml:space="preserve"> superior a 300CV de potencia.</w:t>
      </w:r>
    </w:p>
    <w:p w14:paraId="051B9E4B" w14:textId="77777777" w:rsidR="00876E39" w:rsidRPr="00951171" w:rsidRDefault="00876E39" w:rsidP="00661A5F">
      <w:pPr>
        <w:pStyle w:val="NORMAL12"/>
        <w:numPr>
          <w:ilvl w:val="0"/>
          <w:numId w:val="212"/>
        </w:numPr>
      </w:pPr>
      <w:r w:rsidRPr="00951171">
        <w:t>Deberá ser capaz de alcanzar 2.500bar de presión máxima y ofrecer un caudal de 50litros/minuto.</w:t>
      </w:r>
    </w:p>
    <w:p w14:paraId="0F94596C" w14:textId="77777777" w:rsidR="00876E39" w:rsidRPr="00951171" w:rsidRDefault="00876E39" w:rsidP="00661A5F">
      <w:pPr>
        <w:pStyle w:val="NORMAL12"/>
        <w:numPr>
          <w:ilvl w:val="0"/>
          <w:numId w:val="212"/>
        </w:numPr>
      </w:pPr>
      <w:r w:rsidRPr="00951171">
        <w:t xml:space="preserve">Deberá ser accionada por mando a distancia eléctrico 24 V tipo </w:t>
      </w:r>
      <w:proofErr w:type="spellStart"/>
      <w:r w:rsidRPr="00951171">
        <w:t>EXi</w:t>
      </w:r>
      <w:proofErr w:type="spellEnd"/>
      <w:r w:rsidRPr="00951171">
        <w:t xml:space="preserve"> (no provoca chispas)</w:t>
      </w:r>
    </w:p>
    <w:p w14:paraId="49374439" w14:textId="77777777" w:rsidR="00876E39" w:rsidRPr="00951171" w:rsidRDefault="00876E39" w:rsidP="00661A5F">
      <w:pPr>
        <w:pStyle w:val="NORMAL12"/>
        <w:numPr>
          <w:ilvl w:val="0"/>
          <w:numId w:val="212"/>
        </w:numPr>
      </w:pPr>
      <w:r w:rsidRPr="00951171">
        <w:t>Deberá tener cuadro de mandos que permitan preseleccionar la presión de trabajo y ofrecer lecturas en tiempo real de la presión de trabajo.</w:t>
      </w:r>
    </w:p>
    <w:p w14:paraId="68411D31" w14:textId="77777777" w:rsidR="00876E39" w:rsidRPr="00951171" w:rsidRDefault="00876E39" w:rsidP="00661A5F">
      <w:pPr>
        <w:pStyle w:val="NORMAL12"/>
        <w:numPr>
          <w:ilvl w:val="0"/>
          <w:numId w:val="212"/>
        </w:numPr>
      </w:pPr>
      <w:r w:rsidRPr="00951171">
        <w:t>Deberá cumplir con las especificaciones de seguridad indicadas por el fabricante.</w:t>
      </w:r>
    </w:p>
    <w:p w14:paraId="2509BC84" w14:textId="77777777" w:rsidR="00876E39" w:rsidRPr="00951171" w:rsidRDefault="00876E39" w:rsidP="00057C47">
      <w:pPr>
        <w:pStyle w:val="NORMAL12"/>
        <w:rPr>
          <w:i/>
          <w:u w:val="single"/>
        </w:rPr>
      </w:pPr>
      <w:r w:rsidRPr="00951171">
        <w:rPr>
          <w:i/>
          <w:u w:val="single"/>
        </w:rPr>
        <w:t>M</w:t>
      </w:r>
      <w:r w:rsidR="00951171" w:rsidRPr="00951171">
        <w:rPr>
          <w:i/>
          <w:u w:val="single"/>
        </w:rPr>
        <w:t xml:space="preserve">angueras de </w:t>
      </w:r>
      <w:proofErr w:type="spellStart"/>
      <w:r w:rsidR="00951171" w:rsidRPr="00951171">
        <w:rPr>
          <w:i/>
          <w:u w:val="single"/>
        </w:rPr>
        <w:t>ultra-alta</w:t>
      </w:r>
      <w:proofErr w:type="spellEnd"/>
      <w:r w:rsidR="00951171" w:rsidRPr="00951171">
        <w:rPr>
          <w:i/>
          <w:u w:val="single"/>
        </w:rPr>
        <w:t xml:space="preserve"> presión</w:t>
      </w:r>
    </w:p>
    <w:p w14:paraId="0191D405" w14:textId="77777777" w:rsidR="00876E39" w:rsidRPr="00951171" w:rsidRDefault="00876E39" w:rsidP="00876E39">
      <w:pPr>
        <w:pStyle w:val="NORMAL12"/>
      </w:pPr>
      <w:proofErr w:type="gramStart"/>
      <w:r w:rsidRPr="00951171">
        <w:t>Las mangueras a emplear</w:t>
      </w:r>
      <w:proofErr w:type="gramEnd"/>
      <w:r w:rsidRPr="00951171">
        <w:t xml:space="preserve"> serán especiales para trabajos con Ultra-Alta presión.</w:t>
      </w:r>
    </w:p>
    <w:p w14:paraId="527F82E8" w14:textId="77777777" w:rsidR="00876E39" w:rsidRPr="00951171" w:rsidRDefault="00876E39" w:rsidP="00661A5F">
      <w:pPr>
        <w:pStyle w:val="NORMAL12"/>
        <w:numPr>
          <w:ilvl w:val="0"/>
          <w:numId w:val="213"/>
        </w:numPr>
      </w:pPr>
      <w:r w:rsidRPr="00951171">
        <w:t>La presión de uso admisible de trabajo será la capacidad máxima de la bomba 2.500bar. Estarán fabricadas con al menos 7 mallas de acero entrelazado y protegidas por una vaina poliamida o similar.</w:t>
      </w:r>
    </w:p>
    <w:p w14:paraId="00CDD5E1" w14:textId="77777777" w:rsidR="00876E39" w:rsidRPr="00951171" w:rsidRDefault="00876E39" w:rsidP="00661A5F">
      <w:pPr>
        <w:pStyle w:val="NORMAL12"/>
        <w:numPr>
          <w:ilvl w:val="0"/>
          <w:numId w:val="213"/>
        </w:numPr>
      </w:pPr>
      <w:r w:rsidRPr="00951171">
        <w:t>Dispondrán de los certificados de las correspondientes pruebas de presión de trabajo realizadas por el fabricante.</w:t>
      </w:r>
    </w:p>
    <w:p w14:paraId="7392BE46" w14:textId="77777777" w:rsidR="00876E39" w:rsidRPr="00951171" w:rsidRDefault="00876E39" w:rsidP="00661A5F">
      <w:pPr>
        <w:pStyle w:val="NORMAL12"/>
        <w:numPr>
          <w:ilvl w:val="0"/>
          <w:numId w:val="213"/>
        </w:numPr>
      </w:pPr>
      <w:r w:rsidRPr="00951171">
        <w:t>La presión de rotura indicada por el fabricante deberá ser al menos 1,5 veces la presión máxima de la bomba de Ultra-Alta Presión.</w:t>
      </w:r>
    </w:p>
    <w:p w14:paraId="5F9A83B5" w14:textId="77777777" w:rsidR="00876E39" w:rsidRPr="00951171" w:rsidRDefault="00876E39" w:rsidP="00661A5F">
      <w:pPr>
        <w:pStyle w:val="NORMAL12"/>
        <w:numPr>
          <w:ilvl w:val="0"/>
          <w:numId w:val="213"/>
        </w:numPr>
      </w:pPr>
      <w:r w:rsidRPr="00951171">
        <w:t>Se deberán cumplir las indicaciones de uso y mantenimiento del fabricante.</w:t>
      </w:r>
    </w:p>
    <w:p w14:paraId="45BB9AEF" w14:textId="77777777" w:rsidR="00876E39" w:rsidRPr="00951171" w:rsidRDefault="00876E39" w:rsidP="00951171">
      <w:pPr>
        <w:pStyle w:val="NORMAL12"/>
        <w:rPr>
          <w:i/>
          <w:u w:val="single"/>
        </w:rPr>
      </w:pPr>
      <w:r w:rsidRPr="00951171">
        <w:rPr>
          <w:i/>
          <w:u w:val="single"/>
        </w:rPr>
        <w:t>R</w:t>
      </w:r>
      <w:r w:rsidR="00951171" w:rsidRPr="00951171">
        <w:rPr>
          <w:i/>
          <w:u w:val="single"/>
        </w:rPr>
        <w:t xml:space="preserve">obot de </w:t>
      </w:r>
      <w:proofErr w:type="spellStart"/>
      <w:r w:rsidR="00951171" w:rsidRPr="00951171">
        <w:rPr>
          <w:i/>
          <w:u w:val="single"/>
        </w:rPr>
        <w:t>hidrodemolición</w:t>
      </w:r>
      <w:proofErr w:type="spellEnd"/>
    </w:p>
    <w:p w14:paraId="4933970B" w14:textId="77777777" w:rsidR="00876E39" w:rsidRPr="00951171" w:rsidRDefault="00876E39" w:rsidP="00661A5F">
      <w:pPr>
        <w:pStyle w:val="NORMAL12"/>
        <w:numPr>
          <w:ilvl w:val="0"/>
          <w:numId w:val="214"/>
        </w:numPr>
      </w:pPr>
      <w:r w:rsidRPr="00951171">
        <w:t xml:space="preserve">El robot de </w:t>
      </w:r>
      <w:proofErr w:type="spellStart"/>
      <w:r w:rsidRPr="00951171">
        <w:t>hidrodemolición</w:t>
      </w:r>
      <w:proofErr w:type="spellEnd"/>
      <w:r w:rsidRPr="00951171">
        <w:t xml:space="preserve"> a emplear será específico y adaptado al tipo de elemento estructural a </w:t>
      </w:r>
      <w:proofErr w:type="spellStart"/>
      <w:r w:rsidRPr="00951171">
        <w:t>hidrodemoler</w:t>
      </w:r>
      <w:proofErr w:type="spellEnd"/>
      <w:r w:rsidRPr="00951171">
        <w:t>, será obligatoriamente accionado por motor diésel.</w:t>
      </w:r>
    </w:p>
    <w:p w14:paraId="5B366121" w14:textId="77777777" w:rsidR="00876E39" w:rsidRPr="00951171" w:rsidRDefault="00876E39" w:rsidP="00661A5F">
      <w:pPr>
        <w:pStyle w:val="NORMAL12"/>
        <w:numPr>
          <w:ilvl w:val="0"/>
          <w:numId w:val="214"/>
        </w:numPr>
      </w:pPr>
      <w:r w:rsidRPr="00951171">
        <w:lastRenderedPageBreak/>
        <w:t>Deberá contar con todas las protecciones en la campana de chorreo en perfectas condiciones.</w:t>
      </w:r>
    </w:p>
    <w:p w14:paraId="50390A8D" w14:textId="77777777" w:rsidR="00876E39" w:rsidRPr="00951171" w:rsidRDefault="00876E39" w:rsidP="00661A5F">
      <w:pPr>
        <w:pStyle w:val="NORMAL12"/>
        <w:numPr>
          <w:ilvl w:val="0"/>
          <w:numId w:val="214"/>
        </w:numPr>
      </w:pPr>
      <w:r w:rsidRPr="00951171">
        <w:t>Deberá ser manejado a distancia por mando de radiofrecuencia.</w:t>
      </w:r>
    </w:p>
    <w:p w14:paraId="37569BB7" w14:textId="77777777" w:rsidR="00876E39" w:rsidRPr="00951171" w:rsidRDefault="00876E39" w:rsidP="00661A5F">
      <w:pPr>
        <w:pStyle w:val="NORMAL12"/>
        <w:numPr>
          <w:ilvl w:val="0"/>
          <w:numId w:val="214"/>
        </w:numPr>
      </w:pPr>
      <w:r w:rsidRPr="00951171">
        <w:t>Será programable y gestionado por autónomamente por una PLC digital.</w:t>
      </w:r>
    </w:p>
    <w:p w14:paraId="10A082D1" w14:textId="77777777" w:rsidR="00876E39" w:rsidRPr="00951171" w:rsidRDefault="00876E39" w:rsidP="00661A5F">
      <w:pPr>
        <w:pStyle w:val="NORMAL12"/>
        <w:numPr>
          <w:ilvl w:val="0"/>
          <w:numId w:val="214"/>
        </w:numPr>
      </w:pPr>
      <w:r w:rsidRPr="00951171">
        <w:t>El diámetro de salida de la tobera será de 1,3mm a 1,5mm.</w:t>
      </w:r>
    </w:p>
    <w:p w14:paraId="78C73C67" w14:textId="77777777" w:rsidR="00876E39" w:rsidRPr="00951171" w:rsidRDefault="00876E39" w:rsidP="00661A5F">
      <w:pPr>
        <w:pStyle w:val="NORMAL12"/>
        <w:numPr>
          <w:ilvl w:val="0"/>
          <w:numId w:val="214"/>
        </w:numPr>
      </w:pPr>
      <w:r w:rsidRPr="00951171">
        <w:t>Deberá cumplir con las especificaciones de seguridad indicadas por el fabricante.</w:t>
      </w:r>
    </w:p>
    <w:p w14:paraId="0E652944" w14:textId="77777777" w:rsidR="00876E39" w:rsidRPr="00951171" w:rsidRDefault="00876E39" w:rsidP="00876E39">
      <w:pPr>
        <w:pStyle w:val="NORMAL12"/>
      </w:pPr>
      <w:r w:rsidRPr="00951171">
        <w:t xml:space="preserve">Finalmente, deberán disponerse igualmente a la hora de la realización de la </w:t>
      </w:r>
      <w:proofErr w:type="spellStart"/>
      <w:r w:rsidRPr="00951171">
        <w:t>hidrodemolición</w:t>
      </w:r>
      <w:proofErr w:type="spellEnd"/>
      <w:r w:rsidRPr="00951171">
        <w:t xml:space="preserve"> de herramientas manuales para trabajo y mantenimiento de los equipos.</w:t>
      </w:r>
    </w:p>
    <w:p w14:paraId="59ECD444" w14:textId="77777777" w:rsidR="00876E39" w:rsidRDefault="00876E39" w:rsidP="000313DD">
      <w:pPr>
        <w:pStyle w:val="TITU2"/>
      </w:pPr>
      <w:bookmarkStart w:id="362" w:name="_Toc352932643"/>
      <w:bookmarkStart w:id="363" w:name="_Toc448848298"/>
      <w:bookmarkStart w:id="364" w:name="_Toc448915902"/>
      <w:bookmarkStart w:id="365" w:name="_Toc404166"/>
      <w:r w:rsidRPr="00951171">
        <w:t>305.4.</w:t>
      </w:r>
      <w:r w:rsidR="006E0597" w:rsidRPr="00951171">
        <w:t xml:space="preserve"> </w:t>
      </w:r>
      <w:r w:rsidRPr="00951171">
        <w:tab/>
        <w:t>Ejecución de las obras</w:t>
      </w:r>
      <w:bookmarkEnd w:id="362"/>
      <w:bookmarkEnd w:id="363"/>
      <w:bookmarkEnd w:id="364"/>
      <w:bookmarkEnd w:id="365"/>
    </w:p>
    <w:p w14:paraId="6D98283D" w14:textId="77777777" w:rsidR="00834014" w:rsidRPr="00423608" w:rsidRDefault="00834014" w:rsidP="00834014">
      <w:pPr>
        <w:spacing w:before="120" w:after="120" w:line="360" w:lineRule="auto"/>
        <w:jc w:val="both"/>
        <w:rPr>
          <w:rFonts w:ascii="Arial" w:hAnsi="Arial"/>
          <w:i/>
          <w:u w:val="single"/>
          <w:lang w:val="es-ES_tradnl"/>
        </w:rPr>
      </w:pPr>
      <w:r w:rsidRPr="00423608">
        <w:rPr>
          <w:rFonts w:ascii="Arial" w:hAnsi="Arial"/>
          <w:i/>
          <w:u w:val="single"/>
          <w:lang w:val="es-ES_tradnl"/>
        </w:rPr>
        <w:t>Puesta a disposición</w:t>
      </w:r>
    </w:p>
    <w:p w14:paraId="014CAFD0" w14:textId="77777777" w:rsidR="00834014" w:rsidRPr="00423608" w:rsidRDefault="00834014" w:rsidP="00834014">
      <w:pPr>
        <w:spacing w:before="120" w:after="120" w:line="360" w:lineRule="auto"/>
        <w:jc w:val="both"/>
        <w:rPr>
          <w:rFonts w:ascii="Arial" w:hAnsi="Arial"/>
          <w:lang w:val="es-ES_tradnl"/>
        </w:rPr>
      </w:pPr>
      <w:r w:rsidRPr="00423608">
        <w:rPr>
          <w:rFonts w:ascii="Arial" w:hAnsi="Arial"/>
          <w:lang w:val="es-ES_tradnl"/>
        </w:rPr>
        <w:t>No se trabajará con lluvia intensa, nieve o viento superior a 50 km/h. En estos supuestos se asegurará la estabilidad del equipo.</w:t>
      </w:r>
    </w:p>
    <w:p w14:paraId="76017794" w14:textId="77777777" w:rsidR="00834014" w:rsidRPr="00423608" w:rsidRDefault="00834014" w:rsidP="00834014">
      <w:pPr>
        <w:spacing w:before="120" w:after="120" w:line="360" w:lineRule="auto"/>
        <w:jc w:val="both"/>
        <w:rPr>
          <w:rFonts w:ascii="Arial" w:hAnsi="Arial"/>
          <w:lang w:val="es-ES_tradnl"/>
        </w:rPr>
      </w:pPr>
      <w:r w:rsidRPr="00423608">
        <w:rPr>
          <w:rFonts w:ascii="Arial" w:hAnsi="Arial"/>
          <w:lang w:val="es-ES_tradnl"/>
        </w:rPr>
        <w:t xml:space="preserve">La operación de montaje y desmontaje del equipo, la realizará personal especializado, siguiendo las instrucciones del técnico de la </w:t>
      </w:r>
      <w:r>
        <w:rPr>
          <w:rFonts w:ascii="Arial" w:hAnsi="Arial"/>
          <w:lang w:val="es-ES_tradnl"/>
        </w:rPr>
        <w:t>compañía s</w:t>
      </w:r>
      <w:r w:rsidRPr="00423608">
        <w:rPr>
          <w:rFonts w:ascii="Arial" w:hAnsi="Arial"/>
          <w:lang w:val="es-ES_tradnl"/>
        </w:rPr>
        <w:t>uministradora y de</w:t>
      </w:r>
      <w:r>
        <w:rPr>
          <w:rFonts w:ascii="Arial" w:hAnsi="Arial"/>
          <w:lang w:val="es-ES_tradnl"/>
        </w:rPr>
        <w:t xml:space="preserve">l </w:t>
      </w:r>
      <w:proofErr w:type="gramStart"/>
      <w:r>
        <w:rPr>
          <w:rFonts w:ascii="Arial" w:hAnsi="Arial"/>
          <w:lang w:val="es-ES_tradnl"/>
        </w:rPr>
        <w:t>Director</w:t>
      </w:r>
      <w:proofErr w:type="gramEnd"/>
      <w:r>
        <w:rPr>
          <w:rFonts w:ascii="Arial" w:hAnsi="Arial"/>
          <w:lang w:val="es-ES_tradnl"/>
        </w:rPr>
        <w:t xml:space="preserve"> de Obra</w:t>
      </w:r>
      <w:r w:rsidRPr="00423608">
        <w:rPr>
          <w:rFonts w:ascii="Arial" w:hAnsi="Arial"/>
          <w:lang w:val="es-ES_tradnl"/>
        </w:rPr>
        <w:t>.</w:t>
      </w:r>
    </w:p>
    <w:p w14:paraId="315571BD" w14:textId="77777777" w:rsidR="00834014" w:rsidRPr="00423608" w:rsidRDefault="00834014" w:rsidP="00834014">
      <w:pPr>
        <w:spacing w:before="120" w:after="120" w:line="360" w:lineRule="auto"/>
        <w:jc w:val="both"/>
        <w:rPr>
          <w:rFonts w:ascii="Arial" w:hAnsi="Arial"/>
          <w:lang w:val="es-ES_tradnl"/>
        </w:rPr>
      </w:pPr>
      <w:r w:rsidRPr="00423608">
        <w:rPr>
          <w:rFonts w:ascii="Arial" w:hAnsi="Arial"/>
          <w:lang w:val="es-ES_tradnl"/>
        </w:rPr>
        <w:t>La operación de transporte y descarga se realizará con las precauciones necesarias para no producir daños al equipo.</w:t>
      </w:r>
      <w:r>
        <w:rPr>
          <w:rFonts w:ascii="Arial" w:hAnsi="Arial"/>
          <w:lang w:val="es-ES_tradnl"/>
        </w:rPr>
        <w:t xml:space="preserve"> </w:t>
      </w:r>
      <w:r w:rsidRPr="00423608">
        <w:rPr>
          <w:rFonts w:ascii="Arial" w:hAnsi="Arial"/>
          <w:lang w:val="es-ES_tradnl"/>
        </w:rPr>
        <w:t>No se producirán daños en la maquinaria.</w:t>
      </w:r>
    </w:p>
    <w:p w14:paraId="35F9202D" w14:textId="77777777" w:rsidR="00834014" w:rsidRPr="00423608" w:rsidRDefault="00834014" w:rsidP="00834014">
      <w:pPr>
        <w:spacing w:before="120" w:after="120" w:line="360" w:lineRule="auto"/>
        <w:jc w:val="both"/>
        <w:rPr>
          <w:rFonts w:ascii="Arial" w:hAnsi="Arial"/>
          <w:lang w:val="es-ES_tradnl"/>
        </w:rPr>
      </w:pPr>
      <w:r w:rsidRPr="00423608">
        <w:rPr>
          <w:rFonts w:ascii="Arial" w:hAnsi="Arial"/>
          <w:lang w:val="es-ES_tradnl"/>
        </w:rPr>
        <w:t>Se tomarán precauciones para no producir daños a construcciones, instalaciones u otros elementos existentes en la zona de montaje y desmontaje.</w:t>
      </w:r>
    </w:p>
    <w:p w14:paraId="315420E3" w14:textId="77777777" w:rsidR="00876E39" w:rsidRPr="00951171" w:rsidRDefault="00951171" w:rsidP="00951171">
      <w:pPr>
        <w:pStyle w:val="NORMAL12"/>
        <w:rPr>
          <w:i/>
          <w:u w:val="single"/>
        </w:rPr>
      </w:pPr>
      <w:r w:rsidRPr="00951171">
        <w:rPr>
          <w:i/>
          <w:u w:val="single"/>
        </w:rPr>
        <w:t>Condiciones generales</w:t>
      </w:r>
    </w:p>
    <w:p w14:paraId="037E6355" w14:textId="77777777" w:rsidR="00876E39" w:rsidRPr="00951171" w:rsidRDefault="00876E39" w:rsidP="00876E39">
      <w:pPr>
        <w:pStyle w:val="NORMAL12"/>
      </w:pPr>
      <w:r w:rsidRPr="00951171">
        <w:t xml:space="preserve">El Contratista será responsable de la adopción de todas las medidas de seguridad y del cumplimiento de las disposiciones vigentes al efectuar las operaciones de derribo, así como de evitar que se produzcan daños, molestias o perjuicios a las construcciones, bienes o personas próximas y del entorno, sin perjuicio de su obligación de cumplir las instrucciones que eventualmente dicte el </w:t>
      </w:r>
      <w:proofErr w:type="gramStart"/>
      <w:r w:rsidRPr="00951171">
        <w:t>Director</w:t>
      </w:r>
      <w:proofErr w:type="gramEnd"/>
      <w:r w:rsidRPr="00951171">
        <w:t xml:space="preserve"> de las Obras.</w:t>
      </w:r>
    </w:p>
    <w:p w14:paraId="22B57691" w14:textId="77777777" w:rsidR="00876E39" w:rsidRPr="00951171" w:rsidRDefault="00876E39" w:rsidP="00876E39">
      <w:pPr>
        <w:pStyle w:val="NORMAL12"/>
      </w:pPr>
      <w:r w:rsidRPr="00951171">
        <w:t xml:space="preserve">Los camiones cisterna o </w:t>
      </w:r>
      <w:proofErr w:type="gramStart"/>
      <w:r w:rsidRPr="00951171">
        <w:t>cubas</w:t>
      </w:r>
      <w:proofErr w:type="gramEnd"/>
      <w:r w:rsidRPr="00951171">
        <w:t xml:space="preserve"> así como los equipos electrógenos se dispondrán en la zona habilitada para la maquinaria, alejados de la zona de actuación de las obras.</w:t>
      </w:r>
    </w:p>
    <w:p w14:paraId="2692657B" w14:textId="77777777" w:rsidR="00876E39" w:rsidRPr="00951171" w:rsidRDefault="00876E39" w:rsidP="00876E39">
      <w:pPr>
        <w:pStyle w:val="NORMAL12"/>
      </w:pPr>
      <w:r w:rsidRPr="00951171">
        <w:t>Los extremos abiertos de dichas conducciones deberán ser sellados debidamente.</w:t>
      </w:r>
    </w:p>
    <w:p w14:paraId="594BDA20" w14:textId="77777777" w:rsidR="00876E39" w:rsidRPr="00951171" w:rsidRDefault="00876E39" w:rsidP="00876E39">
      <w:pPr>
        <w:pStyle w:val="NORMAL12"/>
      </w:pPr>
      <w:r w:rsidRPr="00951171">
        <w:t>Al finalizar la jornada de trabajo no deberán quedar elementos de la obra en estado inestable o peligroso.</w:t>
      </w:r>
    </w:p>
    <w:p w14:paraId="4DFBF18A" w14:textId="77777777" w:rsidR="00876E39" w:rsidRPr="00951171" w:rsidRDefault="00876E39" w:rsidP="00876E39">
      <w:pPr>
        <w:pStyle w:val="NORMAL12"/>
      </w:pPr>
      <w:r w:rsidRPr="00951171">
        <w:t xml:space="preserve">El </w:t>
      </w:r>
      <w:proofErr w:type="gramStart"/>
      <w:r w:rsidRPr="00951171">
        <w:t>Director</w:t>
      </w:r>
      <w:proofErr w:type="gramEnd"/>
      <w:r w:rsidRPr="00951171">
        <w:t xml:space="preserve"> de la obra decidirá sobre el posterior empleo de los materiales procedentes de las demoliciones que sea preciso ejecutar.</w:t>
      </w:r>
    </w:p>
    <w:p w14:paraId="556E14E5" w14:textId="77777777" w:rsidR="00876E39" w:rsidRPr="00951171" w:rsidRDefault="00876E39" w:rsidP="00951171">
      <w:pPr>
        <w:pStyle w:val="NORMAL12"/>
        <w:rPr>
          <w:i/>
          <w:u w:val="single"/>
        </w:rPr>
      </w:pPr>
      <w:r w:rsidRPr="00951171">
        <w:rPr>
          <w:i/>
          <w:u w:val="single"/>
        </w:rPr>
        <w:t>F</w:t>
      </w:r>
      <w:r w:rsidR="00951171" w:rsidRPr="00951171">
        <w:rPr>
          <w:i/>
          <w:u w:val="single"/>
        </w:rPr>
        <w:t xml:space="preserve">uncionamiento y bases de la </w:t>
      </w:r>
      <w:proofErr w:type="spellStart"/>
      <w:r w:rsidR="00951171" w:rsidRPr="00951171">
        <w:rPr>
          <w:i/>
          <w:u w:val="single"/>
        </w:rPr>
        <w:t>hidrodemolición</w:t>
      </w:r>
      <w:proofErr w:type="spellEnd"/>
    </w:p>
    <w:p w14:paraId="7B248641" w14:textId="77777777" w:rsidR="00876E39" w:rsidRPr="00951171" w:rsidRDefault="00876E39" w:rsidP="00876E39">
      <w:pPr>
        <w:pStyle w:val="NORMAL12"/>
      </w:pPr>
      <w:r w:rsidRPr="00951171">
        <w:t xml:space="preserve">El agua a alta presión penetra en el entramado poroso del hormigón, generando tensiones internas suficientes que provocan </w:t>
      </w:r>
      <w:proofErr w:type="spellStart"/>
      <w:r w:rsidRPr="00951171">
        <w:t>micro-estallidos</w:t>
      </w:r>
      <w:proofErr w:type="spellEnd"/>
      <w:r w:rsidRPr="00951171">
        <w:t xml:space="preserve"> superficiales en la zona de incidencia directa del chorro. Por tanto, la </w:t>
      </w:r>
      <w:proofErr w:type="spellStart"/>
      <w:r w:rsidRPr="00951171">
        <w:t>hidrodemolición</w:t>
      </w:r>
      <w:proofErr w:type="spellEnd"/>
      <w:r w:rsidRPr="00951171">
        <w:t xml:space="preserve"> no es efectiva por la fuerza y repetición de impactos, como las antiguas e indiscriminadas herramientas percutoras, sino por la generación de innumerables </w:t>
      </w:r>
      <w:proofErr w:type="spellStart"/>
      <w:r w:rsidRPr="00951171">
        <w:t>micro-estallidos</w:t>
      </w:r>
      <w:proofErr w:type="spellEnd"/>
      <w:r w:rsidRPr="00951171">
        <w:t xml:space="preserve">, provocados por efecto de la presión del agua, en la superficie de determinados materiales porosos como el hormigón. El resto de </w:t>
      </w:r>
      <w:proofErr w:type="gramStart"/>
      <w:r w:rsidRPr="00951171">
        <w:t>elementos</w:t>
      </w:r>
      <w:proofErr w:type="gramEnd"/>
      <w:r w:rsidRPr="00951171">
        <w:t xml:space="preserve"> internos de la estructura, como pueden ser armaduras, cables, tensores, etc. metálicos y no porosos permanecen intactos.</w:t>
      </w:r>
    </w:p>
    <w:p w14:paraId="433F6F7D" w14:textId="77777777" w:rsidR="00876E39" w:rsidRPr="00951171" w:rsidRDefault="00876E39" w:rsidP="00876E39">
      <w:pPr>
        <w:pStyle w:val="NORMAL12"/>
      </w:pPr>
      <w:r w:rsidRPr="00951171">
        <w:t xml:space="preserve">Para la </w:t>
      </w:r>
      <w:proofErr w:type="spellStart"/>
      <w:r w:rsidRPr="00951171">
        <w:t>hidrodemolición</w:t>
      </w:r>
      <w:proofErr w:type="spellEnd"/>
      <w:r w:rsidRPr="00951171">
        <w:t xml:space="preserve"> concreta en tableros se empleará un robot de </w:t>
      </w:r>
      <w:proofErr w:type="spellStart"/>
      <w:r w:rsidRPr="00951171">
        <w:t>hidrodemolición</w:t>
      </w:r>
      <w:proofErr w:type="spellEnd"/>
      <w:r w:rsidRPr="00951171">
        <w:t xml:space="preserve"> que manejará el chorro de agua a alta presión que le proporciona la unidad de bombeo de agua a alta presión. Existen distintos tipos de robots específicos eléctricos y diésel. Los robots eléctricos precisan de una manguera trifásica de suministro de energía, esta puede quedar oculta entre el agua y hormigón desprendido y puede provocar riesgos procedentes de la falta de aislamiento eléctrico en contacto con el agua, tropiezos a los operarios, etc. Los robots diésel son autónomos y evitan la disposición de mangueras eléctricas en la zona de trabajo. Para este trabajo se empleará obligatoriamente un robot diésel, dirigido a distancia preferiblemente por un mando de radiofrecuencia.</w:t>
      </w:r>
    </w:p>
    <w:p w14:paraId="73A4DC42" w14:textId="77777777" w:rsidR="00876E39" w:rsidRPr="00951171" w:rsidRDefault="00876E39" w:rsidP="00876E39">
      <w:pPr>
        <w:rPr>
          <w:rFonts w:ascii="Arial" w:hAnsi="Arial" w:cs="Arial"/>
          <w:i/>
          <w:u w:val="single"/>
          <w:lang w:val="es-ES_tradnl" w:eastAsia="en-US"/>
        </w:rPr>
      </w:pPr>
      <w:r w:rsidRPr="00951171">
        <w:rPr>
          <w:rFonts w:ascii="Arial" w:hAnsi="Arial" w:cs="Arial"/>
          <w:i/>
          <w:u w:val="single"/>
          <w:lang w:val="es-ES_tradnl" w:eastAsia="en-US"/>
        </w:rPr>
        <w:t>P</w:t>
      </w:r>
      <w:r w:rsidR="00951171" w:rsidRPr="00951171">
        <w:rPr>
          <w:rFonts w:ascii="Arial" w:hAnsi="Arial" w:cs="Arial"/>
          <w:i/>
          <w:u w:val="single"/>
          <w:lang w:val="es-ES_tradnl" w:eastAsia="en-US"/>
        </w:rPr>
        <w:t>roceso de trabajo</w:t>
      </w:r>
    </w:p>
    <w:p w14:paraId="16A2C59E" w14:textId="77777777" w:rsidR="00876E39" w:rsidRPr="00951171" w:rsidRDefault="00876E39" w:rsidP="00876E39">
      <w:pPr>
        <w:pStyle w:val="NORMAL12"/>
      </w:pPr>
      <w:r w:rsidRPr="00951171">
        <w:t xml:space="preserve">La Unidad de UAP se situará alejada de la zona a </w:t>
      </w:r>
      <w:proofErr w:type="spellStart"/>
      <w:r w:rsidRPr="00951171">
        <w:t>hidrodemoler</w:t>
      </w:r>
      <w:proofErr w:type="spellEnd"/>
      <w:r w:rsidRPr="00951171">
        <w:t xml:space="preserve">, preferentemente en una zona horizontal reservada al efecto, al igual que el resto de equipo auxiliar para que no influya en los movimientos del robot. </w:t>
      </w:r>
    </w:p>
    <w:p w14:paraId="7D83F8C4" w14:textId="77777777" w:rsidR="00876E39" w:rsidRPr="00951171" w:rsidRDefault="00876E39" w:rsidP="00876E39">
      <w:pPr>
        <w:pStyle w:val="NORMAL12"/>
      </w:pPr>
      <w:r w:rsidRPr="00951171">
        <w:lastRenderedPageBreak/>
        <w:t>Igualmente, se tendrá en cuenta en el momento de implantación los suministros que ha de recibir esta (combustible y agua). Desde la Unidad UAP se instalará mangueras de presión hasta el robot que se posicionará sobre la zona a intervenir, debiendo haber sido retirados todos los obstáculos que impidan su avance.</w:t>
      </w:r>
    </w:p>
    <w:p w14:paraId="4AEB6426" w14:textId="77777777" w:rsidR="00876E39" w:rsidRPr="00951171" w:rsidRDefault="00876E39" w:rsidP="00876E39">
      <w:pPr>
        <w:pStyle w:val="NORMAL12"/>
      </w:pPr>
      <w:r w:rsidRPr="00951171">
        <w:t xml:space="preserve">Con las medidas de seguridad dispuestas, se podrá iniciar la </w:t>
      </w:r>
      <w:proofErr w:type="spellStart"/>
      <w:r w:rsidRPr="00951171">
        <w:t>hidrodemolición</w:t>
      </w:r>
      <w:proofErr w:type="spellEnd"/>
      <w:r w:rsidRPr="00951171">
        <w:t xml:space="preserve"> sobre la estructura de hormigón. Inicialmente, se realizará una calibración de parámetros que permitan alcanzar la profundidad de extracción deseada en una pequeña área de control. Posteriormente, el trabajo se realizará sin paradas. El avance del robot será hacia atrás.</w:t>
      </w:r>
    </w:p>
    <w:p w14:paraId="436DE3D7" w14:textId="77777777" w:rsidR="00876E39" w:rsidRPr="00951171" w:rsidRDefault="006E0597" w:rsidP="000313DD">
      <w:pPr>
        <w:pStyle w:val="TITU2"/>
      </w:pPr>
      <w:bookmarkStart w:id="366" w:name="_Toc352932644"/>
      <w:bookmarkStart w:id="367" w:name="_Toc448848299"/>
      <w:bookmarkStart w:id="368" w:name="_Toc448915903"/>
      <w:bookmarkStart w:id="369" w:name="_Toc404167"/>
      <w:r w:rsidRPr="00951171">
        <w:t xml:space="preserve">305.5. </w:t>
      </w:r>
      <w:r w:rsidR="00876E39" w:rsidRPr="00951171">
        <w:tab/>
        <w:t>Medición y abono</w:t>
      </w:r>
      <w:bookmarkEnd w:id="366"/>
      <w:bookmarkEnd w:id="367"/>
      <w:bookmarkEnd w:id="368"/>
      <w:bookmarkEnd w:id="369"/>
    </w:p>
    <w:p w14:paraId="69CA875E" w14:textId="77777777" w:rsidR="00876E39" w:rsidRPr="00951171" w:rsidRDefault="00140246" w:rsidP="00876E39">
      <w:pPr>
        <w:pStyle w:val="NORMAL12"/>
      </w:pPr>
      <w:r>
        <w:t xml:space="preserve">La medición y abono de la unidad de obra de </w:t>
      </w:r>
      <w:proofErr w:type="spellStart"/>
      <w:r w:rsidR="00876E39" w:rsidRPr="00951171">
        <w:t>hidrodemolición</w:t>
      </w:r>
      <w:proofErr w:type="spellEnd"/>
      <w:r w:rsidR="00876E39" w:rsidRPr="00951171">
        <w:t xml:space="preserve"> </w:t>
      </w:r>
      <w:r>
        <w:t>se realizará según los criterios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32"/>
        <w:gridCol w:w="6296"/>
      </w:tblGrid>
      <w:tr w:rsidR="00876E39" w:rsidRPr="00951171" w14:paraId="14526412" w14:textId="77777777" w:rsidTr="003421DA">
        <w:tc>
          <w:tcPr>
            <w:tcW w:w="2632" w:type="dxa"/>
            <w:tcBorders>
              <w:top w:val="single" w:sz="4" w:space="0" w:color="auto"/>
              <w:left w:val="single" w:sz="4" w:space="0" w:color="auto"/>
              <w:bottom w:val="single" w:sz="4" w:space="0" w:color="auto"/>
              <w:right w:val="single" w:sz="4" w:space="0" w:color="auto"/>
            </w:tcBorders>
            <w:vAlign w:val="center"/>
          </w:tcPr>
          <w:p w14:paraId="19B8204E" w14:textId="77777777" w:rsidR="00876E39" w:rsidRPr="00951171" w:rsidRDefault="00876E39" w:rsidP="00E50149">
            <w:pPr>
              <w:pStyle w:val="Tabla"/>
              <w:rPr>
                <w:b/>
              </w:rPr>
            </w:pPr>
            <w:r w:rsidRPr="00951171">
              <w:rPr>
                <w:b/>
              </w:rPr>
              <w:t>Unidad de medida</w:t>
            </w:r>
          </w:p>
        </w:tc>
        <w:tc>
          <w:tcPr>
            <w:tcW w:w="6296" w:type="dxa"/>
            <w:tcBorders>
              <w:top w:val="single" w:sz="4" w:space="0" w:color="auto"/>
              <w:left w:val="single" w:sz="4" w:space="0" w:color="auto"/>
              <w:bottom w:val="single" w:sz="4" w:space="0" w:color="auto"/>
              <w:right w:val="single" w:sz="4" w:space="0" w:color="auto"/>
            </w:tcBorders>
            <w:vAlign w:val="center"/>
          </w:tcPr>
          <w:p w14:paraId="47BC0D2D" w14:textId="77777777" w:rsidR="00876E39" w:rsidRPr="00951171" w:rsidRDefault="00876E39" w:rsidP="00DB6778">
            <w:pPr>
              <w:pStyle w:val="LCATabla"/>
              <w:keepLines/>
              <w:jc w:val="both"/>
              <w:rPr>
                <w:rFonts w:ascii="Arial" w:hAnsi="Arial"/>
                <w:sz w:val="20"/>
              </w:rPr>
            </w:pPr>
            <w:r w:rsidRPr="00951171">
              <w:rPr>
                <w:rFonts w:ascii="Arial" w:hAnsi="Arial"/>
                <w:sz w:val="20"/>
              </w:rPr>
              <w:t>Metro cúbico (m</w:t>
            </w:r>
            <w:r w:rsidRPr="00140246">
              <w:rPr>
                <w:rFonts w:ascii="Arial" w:hAnsi="Arial"/>
                <w:sz w:val="20"/>
                <w:vertAlign w:val="superscript"/>
              </w:rPr>
              <w:t>3</w:t>
            </w:r>
            <w:r w:rsidRPr="00951171">
              <w:rPr>
                <w:rFonts w:ascii="Arial" w:hAnsi="Arial"/>
                <w:sz w:val="20"/>
              </w:rPr>
              <w:t>).</w:t>
            </w:r>
          </w:p>
        </w:tc>
      </w:tr>
      <w:tr w:rsidR="00876E39" w:rsidRPr="00951171" w14:paraId="74E544A2" w14:textId="77777777" w:rsidTr="003421DA">
        <w:tc>
          <w:tcPr>
            <w:tcW w:w="2632" w:type="dxa"/>
            <w:tcBorders>
              <w:top w:val="single" w:sz="4" w:space="0" w:color="auto"/>
              <w:left w:val="single" w:sz="4" w:space="0" w:color="auto"/>
              <w:bottom w:val="single" w:sz="4" w:space="0" w:color="auto"/>
              <w:right w:val="single" w:sz="4" w:space="0" w:color="auto"/>
            </w:tcBorders>
            <w:vAlign w:val="center"/>
          </w:tcPr>
          <w:p w14:paraId="37D5CF85" w14:textId="77777777" w:rsidR="00876E39" w:rsidRPr="00951171" w:rsidRDefault="00876E39" w:rsidP="00E50149">
            <w:pPr>
              <w:pStyle w:val="Tabla"/>
              <w:rPr>
                <w:b/>
              </w:rPr>
            </w:pPr>
            <w:r w:rsidRPr="00951171">
              <w:rPr>
                <w:b/>
              </w:rPr>
              <w:t>Grado de precisión</w:t>
            </w:r>
          </w:p>
        </w:tc>
        <w:tc>
          <w:tcPr>
            <w:tcW w:w="6296" w:type="dxa"/>
            <w:tcBorders>
              <w:top w:val="single" w:sz="4" w:space="0" w:color="auto"/>
              <w:left w:val="single" w:sz="4" w:space="0" w:color="auto"/>
              <w:bottom w:val="single" w:sz="4" w:space="0" w:color="auto"/>
              <w:right w:val="single" w:sz="4" w:space="0" w:color="auto"/>
            </w:tcBorders>
            <w:vAlign w:val="center"/>
          </w:tcPr>
          <w:p w14:paraId="2086F803" w14:textId="77777777" w:rsidR="00876E39" w:rsidRPr="00951171" w:rsidRDefault="00876E39" w:rsidP="00DB6778">
            <w:pPr>
              <w:pStyle w:val="LCATabla"/>
              <w:keepLines/>
              <w:jc w:val="both"/>
              <w:rPr>
                <w:rFonts w:ascii="Arial" w:hAnsi="Arial"/>
                <w:sz w:val="20"/>
              </w:rPr>
            </w:pPr>
            <w:r w:rsidRPr="00951171">
              <w:rPr>
                <w:rFonts w:ascii="Arial" w:hAnsi="Arial"/>
                <w:sz w:val="20"/>
              </w:rPr>
              <w:t>Dos decimales.</w:t>
            </w:r>
          </w:p>
        </w:tc>
      </w:tr>
      <w:tr w:rsidR="00876E39" w:rsidRPr="00951171" w14:paraId="2033FCBB" w14:textId="77777777" w:rsidTr="003421DA">
        <w:tc>
          <w:tcPr>
            <w:tcW w:w="2632" w:type="dxa"/>
            <w:tcBorders>
              <w:top w:val="single" w:sz="4" w:space="0" w:color="auto"/>
              <w:left w:val="single" w:sz="4" w:space="0" w:color="auto"/>
              <w:bottom w:val="single" w:sz="4" w:space="0" w:color="auto"/>
              <w:right w:val="single" w:sz="4" w:space="0" w:color="auto"/>
            </w:tcBorders>
            <w:vAlign w:val="center"/>
          </w:tcPr>
          <w:p w14:paraId="1A86E7E0" w14:textId="77777777" w:rsidR="00876E39" w:rsidRPr="00951171" w:rsidRDefault="00876E39" w:rsidP="00E50149">
            <w:pPr>
              <w:pStyle w:val="Tabla"/>
              <w:rPr>
                <w:b/>
              </w:rPr>
            </w:pPr>
            <w:r w:rsidRPr="00951171">
              <w:rPr>
                <w:b/>
              </w:rPr>
              <w:t>Forma de medición</w:t>
            </w:r>
          </w:p>
        </w:tc>
        <w:tc>
          <w:tcPr>
            <w:tcW w:w="6296" w:type="dxa"/>
            <w:tcBorders>
              <w:top w:val="single" w:sz="4" w:space="0" w:color="auto"/>
              <w:left w:val="single" w:sz="4" w:space="0" w:color="auto"/>
              <w:bottom w:val="single" w:sz="4" w:space="0" w:color="auto"/>
              <w:right w:val="single" w:sz="4" w:space="0" w:color="auto"/>
            </w:tcBorders>
            <w:vAlign w:val="center"/>
          </w:tcPr>
          <w:p w14:paraId="447A3AF1" w14:textId="77777777" w:rsidR="00876E39" w:rsidRPr="00951171" w:rsidRDefault="00876E39" w:rsidP="00DB6778">
            <w:pPr>
              <w:pStyle w:val="LCATabla"/>
              <w:keepLines/>
              <w:jc w:val="both"/>
              <w:rPr>
                <w:rFonts w:ascii="Arial" w:hAnsi="Arial"/>
                <w:sz w:val="20"/>
              </w:rPr>
            </w:pPr>
            <w:r w:rsidRPr="00951171">
              <w:rPr>
                <w:rFonts w:ascii="Arial" w:hAnsi="Arial"/>
                <w:sz w:val="20"/>
              </w:rPr>
              <w:t xml:space="preserve">Metros cúbicos realmente </w:t>
            </w:r>
            <w:proofErr w:type="spellStart"/>
            <w:r w:rsidRPr="00951171">
              <w:rPr>
                <w:rFonts w:ascii="Arial" w:hAnsi="Arial"/>
                <w:sz w:val="20"/>
              </w:rPr>
              <w:t>hidrodemolidos</w:t>
            </w:r>
            <w:proofErr w:type="spellEnd"/>
            <w:r w:rsidRPr="00951171">
              <w:rPr>
                <w:rFonts w:ascii="Arial" w:hAnsi="Arial"/>
                <w:sz w:val="20"/>
              </w:rPr>
              <w:t xml:space="preserve"> en obra. </w:t>
            </w:r>
          </w:p>
        </w:tc>
      </w:tr>
      <w:tr w:rsidR="00876E39" w:rsidRPr="00951171" w14:paraId="5E929849" w14:textId="77777777" w:rsidTr="003421DA">
        <w:tc>
          <w:tcPr>
            <w:tcW w:w="2632" w:type="dxa"/>
            <w:tcBorders>
              <w:top w:val="single" w:sz="4" w:space="0" w:color="auto"/>
              <w:left w:val="single" w:sz="4" w:space="0" w:color="auto"/>
              <w:bottom w:val="single" w:sz="4" w:space="0" w:color="auto"/>
              <w:right w:val="single" w:sz="4" w:space="0" w:color="auto"/>
            </w:tcBorders>
            <w:vAlign w:val="center"/>
          </w:tcPr>
          <w:p w14:paraId="057348DC" w14:textId="77777777" w:rsidR="00876E39" w:rsidRPr="00951171" w:rsidRDefault="00876E39" w:rsidP="00E50149">
            <w:pPr>
              <w:pStyle w:val="Tabla"/>
              <w:rPr>
                <w:b/>
              </w:rPr>
            </w:pPr>
            <w:r w:rsidRPr="00951171">
              <w:rPr>
                <w:b/>
              </w:rPr>
              <w:t>Abono</w:t>
            </w:r>
          </w:p>
        </w:tc>
        <w:tc>
          <w:tcPr>
            <w:tcW w:w="6296" w:type="dxa"/>
            <w:tcBorders>
              <w:top w:val="single" w:sz="4" w:space="0" w:color="auto"/>
              <w:left w:val="single" w:sz="4" w:space="0" w:color="auto"/>
              <w:bottom w:val="single" w:sz="4" w:space="0" w:color="auto"/>
              <w:right w:val="single" w:sz="4" w:space="0" w:color="auto"/>
            </w:tcBorders>
            <w:vAlign w:val="center"/>
          </w:tcPr>
          <w:p w14:paraId="32BED8DE" w14:textId="77777777" w:rsidR="00876E39" w:rsidRPr="00951171" w:rsidRDefault="00876E39" w:rsidP="00DB6778">
            <w:pPr>
              <w:pStyle w:val="LCATabla"/>
              <w:keepLines/>
              <w:jc w:val="both"/>
              <w:rPr>
                <w:rFonts w:ascii="Arial" w:hAnsi="Arial"/>
                <w:sz w:val="20"/>
              </w:rPr>
            </w:pPr>
            <w:r w:rsidRPr="00951171">
              <w:rPr>
                <w:rFonts w:ascii="Arial" w:hAnsi="Arial"/>
                <w:sz w:val="20"/>
              </w:rPr>
              <w:t>Se efectuará cuando se realice la aceptación, una vez realizadas las pruebas y ensayos de recepción.</w:t>
            </w:r>
          </w:p>
        </w:tc>
      </w:tr>
      <w:tr w:rsidR="00876E39" w:rsidRPr="00951171" w14:paraId="574C4E29" w14:textId="77777777" w:rsidTr="003421DA">
        <w:tc>
          <w:tcPr>
            <w:tcW w:w="2632" w:type="dxa"/>
            <w:tcBorders>
              <w:top w:val="single" w:sz="4" w:space="0" w:color="auto"/>
              <w:left w:val="single" w:sz="4" w:space="0" w:color="auto"/>
              <w:bottom w:val="single" w:sz="4" w:space="0" w:color="auto"/>
              <w:right w:val="single" w:sz="4" w:space="0" w:color="auto"/>
            </w:tcBorders>
            <w:vAlign w:val="center"/>
          </w:tcPr>
          <w:p w14:paraId="38E907FB" w14:textId="77777777" w:rsidR="00876E39" w:rsidRPr="00951171" w:rsidRDefault="00876E39" w:rsidP="00E50149">
            <w:pPr>
              <w:pStyle w:val="Tabla"/>
              <w:rPr>
                <w:b/>
              </w:rPr>
            </w:pPr>
            <w:r w:rsidRPr="00951171">
              <w:rPr>
                <w:b/>
              </w:rPr>
              <w:t>Criterios complementarios</w:t>
            </w:r>
          </w:p>
        </w:tc>
        <w:tc>
          <w:tcPr>
            <w:tcW w:w="6296" w:type="dxa"/>
            <w:tcBorders>
              <w:top w:val="single" w:sz="4" w:space="0" w:color="auto"/>
              <w:left w:val="single" w:sz="4" w:space="0" w:color="auto"/>
              <w:bottom w:val="single" w:sz="4" w:space="0" w:color="auto"/>
              <w:right w:val="single" w:sz="4" w:space="0" w:color="auto"/>
            </w:tcBorders>
            <w:vAlign w:val="center"/>
          </w:tcPr>
          <w:p w14:paraId="5EE3EB65" w14:textId="77777777" w:rsidR="00876E39" w:rsidRPr="00951171" w:rsidRDefault="00876E39" w:rsidP="00DB6778">
            <w:pPr>
              <w:pStyle w:val="LCATabla"/>
              <w:keepLines/>
              <w:jc w:val="both"/>
              <w:rPr>
                <w:rFonts w:ascii="Arial" w:hAnsi="Arial"/>
                <w:sz w:val="20"/>
              </w:rPr>
            </w:pPr>
            <w:r w:rsidRPr="00951171">
              <w:rPr>
                <w:rFonts w:ascii="Arial" w:hAnsi="Arial"/>
                <w:sz w:val="20"/>
              </w:rPr>
              <w:t>El precio incluye los costes que se originen como consecuencia de las precauciones necesarias a tomar para garantizar la seguridad, así como para la obtención de licencias y permisos.</w:t>
            </w:r>
          </w:p>
          <w:p w14:paraId="68CA58E8" w14:textId="77777777" w:rsidR="00876E39" w:rsidRPr="00951171" w:rsidRDefault="00151841" w:rsidP="00DB6778">
            <w:pPr>
              <w:pStyle w:val="LCATabla"/>
              <w:keepLines/>
              <w:jc w:val="both"/>
              <w:rPr>
                <w:rFonts w:ascii="Arial" w:hAnsi="Arial"/>
                <w:sz w:val="20"/>
              </w:rPr>
            </w:pPr>
            <w:r>
              <w:rPr>
                <w:rFonts w:ascii="Arial" w:hAnsi="Arial"/>
                <w:sz w:val="20"/>
              </w:rPr>
              <w:t>El precio incluye la carga y transporte a vertedero o instalación de gestión de residuos.</w:t>
            </w:r>
          </w:p>
          <w:p w14:paraId="35C1A69B" w14:textId="77777777" w:rsidR="00876E39" w:rsidRPr="00951171" w:rsidRDefault="00876E39" w:rsidP="00DB6778">
            <w:pPr>
              <w:pStyle w:val="LCATabla"/>
              <w:keepLines/>
              <w:jc w:val="both"/>
              <w:rPr>
                <w:rFonts w:ascii="Arial" w:hAnsi="Arial"/>
                <w:sz w:val="20"/>
              </w:rPr>
            </w:pPr>
            <w:r w:rsidRPr="00951171">
              <w:rPr>
                <w:rFonts w:ascii="Arial" w:hAnsi="Arial"/>
                <w:sz w:val="20"/>
              </w:rPr>
              <w:t>El canon o coste de gestión de residuos en la planta de tratamiento no está incluido en el precio, siendo objeto de medición y abono independiente.</w:t>
            </w:r>
          </w:p>
          <w:p w14:paraId="6121587B" w14:textId="77777777" w:rsidR="00876E39" w:rsidRPr="00951171" w:rsidRDefault="00876E39" w:rsidP="00DB6778">
            <w:pPr>
              <w:pStyle w:val="LCATabla"/>
              <w:keepLines/>
              <w:jc w:val="both"/>
              <w:rPr>
                <w:rFonts w:ascii="Arial" w:hAnsi="Arial"/>
                <w:sz w:val="20"/>
              </w:rPr>
            </w:pPr>
            <w:r w:rsidRPr="00951171">
              <w:rPr>
                <w:rFonts w:ascii="Arial" w:hAnsi="Arial"/>
                <w:sz w:val="20"/>
              </w:rPr>
              <w:t>El precio tampoco incluye los costes de clasificación de residuos a pie de obra, que son igualmente objeto de medición y abono independiente.</w:t>
            </w:r>
          </w:p>
        </w:tc>
      </w:tr>
    </w:tbl>
    <w:p w14:paraId="255F4ED1" w14:textId="77777777" w:rsidR="00876E39" w:rsidRPr="007E5D9C" w:rsidRDefault="00876E39" w:rsidP="00876E39">
      <w:pPr>
        <w:rPr>
          <w:color w:val="FF0000"/>
        </w:rPr>
      </w:pPr>
    </w:p>
    <w:p w14:paraId="545F6C2F" w14:textId="77777777" w:rsidR="00140246" w:rsidRDefault="00140246" w:rsidP="00140246">
      <w:pPr>
        <w:pStyle w:val="NORMAL12"/>
      </w:pPr>
    </w:p>
    <w:p w14:paraId="6BC6331E" w14:textId="77777777" w:rsidR="00140246" w:rsidRDefault="00140246" w:rsidP="00140246">
      <w:pPr>
        <w:pStyle w:val="NORMAL12"/>
      </w:pPr>
    </w:p>
    <w:p w14:paraId="2DA40341" w14:textId="77777777" w:rsidR="00140246" w:rsidRDefault="00140246" w:rsidP="00140246">
      <w:pPr>
        <w:pStyle w:val="NORMAL12"/>
      </w:pPr>
    </w:p>
    <w:p w14:paraId="081DAA1C" w14:textId="77777777" w:rsidR="00140246" w:rsidRPr="00951171" w:rsidRDefault="00140246" w:rsidP="00140246">
      <w:pPr>
        <w:pStyle w:val="NORMAL12"/>
      </w:pPr>
      <w:r>
        <w:t xml:space="preserve">La medición y abono de la unidad de obra de puesta a disposición de equipo de </w:t>
      </w:r>
      <w:proofErr w:type="spellStart"/>
      <w:r w:rsidRPr="00951171">
        <w:t>hidrodemolición</w:t>
      </w:r>
      <w:proofErr w:type="spellEnd"/>
      <w:r w:rsidRPr="00951171">
        <w:t xml:space="preserve"> </w:t>
      </w:r>
      <w:r>
        <w:t>se realizará según los criterios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32"/>
        <w:gridCol w:w="6296"/>
      </w:tblGrid>
      <w:tr w:rsidR="00140246" w:rsidRPr="00951171" w14:paraId="295E182F" w14:textId="77777777" w:rsidTr="00866FC4">
        <w:tc>
          <w:tcPr>
            <w:tcW w:w="2632" w:type="dxa"/>
            <w:tcBorders>
              <w:top w:val="single" w:sz="4" w:space="0" w:color="auto"/>
              <w:left w:val="single" w:sz="4" w:space="0" w:color="auto"/>
              <w:bottom w:val="single" w:sz="4" w:space="0" w:color="auto"/>
              <w:right w:val="single" w:sz="4" w:space="0" w:color="auto"/>
            </w:tcBorders>
            <w:vAlign w:val="center"/>
          </w:tcPr>
          <w:p w14:paraId="7513B14F" w14:textId="77777777" w:rsidR="00140246" w:rsidRPr="00951171" w:rsidRDefault="00140246" w:rsidP="00866FC4">
            <w:pPr>
              <w:pStyle w:val="Tabla"/>
              <w:rPr>
                <w:b/>
              </w:rPr>
            </w:pPr>
            <w:r w:rsidRPr="00951171">
              <w:rPr>
                <w:b/>
              </w:rPr>
              <w:t>Unidad de medida</w:t>
            </w:r>
          </w:p>
        </w:tc>
        <w:tc>
          <w:tcPr>
            <w:tcW w:w="6296" w:type="dxa"/>
            <w:tcBorders>
              <w:top w:val="single" w:sz="4" w:space="0" w:color="auto"/>
              <w:left w:val="single" w:sz="4" w:space="0" w:color="auto"/>
              <w:bottom w:val="single" w:sz="4" w:space="0" w:color="auto"/>
              <w:right w:val="single" w:sz="4" w:space="0" w:color="auto"/>
            </w:tcBorders>
            <w:vAlign w:val="center"/>
          </w:tcPr>
          <w:p w14:paraId="0F862C4C" w14:textId="77777777" w:rsidR="00140246" w:rsidRPr="00951171" w:rsidRDefault="00140246" w:rsidP="00DB6778">
            <w:pPr>
              <w:pStyle w:val="LCATabla"/>
              <w:keepLines/>
              <w:jc w:val="both"/>
              <w:rPr>
                <w:rFonts w:ascii="Arial" w:hAnsi="Arial"/>
                <w:sz w:val="20"/>
              </w:rPr>
            </w:pPr>
            <w:r>
              <w:rPr>
                <w:rFonts w:ascii="Arial" w:hAnsi="Arial"/>
                <w:sz w:val="20"/>
              </w:rPr>
              <w:t>Unidad (</w:t>
            </w:r>
            <w:proofErr w:type="spellStart"/>
            <w:r>
              <w:rPr>
                <w:rFonts w:ascii="Arial" w:hAnsi="Arial"/>
                <w:sz w:val="20"/>
              </w:rPr>
              <w:t>ud</w:t>
            </w:r>
            <w:proofErr w:type="spellEnd"/>
            <w:r w:rsidRPr="00951171">
              <w:rPr>
                <w:rFonts w:ascii="Arial" w:hAnsi="Arial"/>
                <w:sz w:val="20"/>
              </w:rPr>
              <w:t>).</w:t>
            </w:r>
          </w:p>
        </w:tc>
      </w:tr>
      <w:tr w:rsidR="00140246" w:rsidRPr="00951171" w14:paraId="475418D1" w14:textId="77777777" w:rsidTr="00866FC4">
        <w:tc>
          <w:tcPr>
            <w:tcW w:w="2632" w:type="dxa"/>
            <w:tcBorders>
              <w:top w:val="single" w:sz="4" w:space="0" w:color="auto"/>
              <w:left w:val="single" w:sz="4" w:space="0" w:color="auto"/>
              <w:bottom w:val="single" w:sz="4" w:space="0" w:color="auto"/>
              <w:right w:val="single" w:sz="4" w:space="0" w:color="auto"/>
            </w:tcBorders>
            <w:vAlign w:val="center"/>
          </w:tcPr>
          <w:p w14:paraId="19D27BDF" w14:textId="77777777" w:rsidR="00140246" w:rsidRPr="00951171" w:rsidRDefault="00140246" w:rsidP="00866FC4">
            <w:pPr>
              <w:pStyle w:val="Tabla"/>
              <w:rPr>
                <w:b/>
              </w:rPr>
            </w:pPr>
            <w:r w:rsidRPr="00951171">
              <w:rPr>
                <w:b/>
              </w:rPr>
              <w:t>Grado de precisión</w:t>
            </w:r>
          </w:p>
        </w:tc>
        <w:tc>
          <w:tcPr>
            <w:tcW w:w="6296" w:type="dxa"/>
            <w:tcBorders>
              <w:top w:val="single" w:sz="4" w:space="0" w:color="auto"/>
              <w:left w:val="single" w:sz="4" w:space="0" w:color="auto"/>
              <w:bottom w:val="single" w:sz="4" w:space="0" w:color="auto"/>
              <w:right w:val="single" w:sz="4" w:space="0" w:color="auto"/>
            </w:tcBorders>
            <w:vAlign w:val="center"/>
          </w:tcPr>
          <w:p w14:paraId="3AE6E7B7" w14:textId="77777777" w:rsidR="00140246" w:rsidRPr="00951171" w:rsidRDefault="00140246" w:rsidP="00DB6778">
            <w:pPr>
              <w:pStyle w:val="LCATabla"/>
              <w:keepLines/>
              <w:jc w:val="both"/>
              <w:rPr>
                <w:rFonts w:ascii="Arial" w:hAnsi="Arial"/>
                <w:sz w:val="20"/>
              </w:rPr>
            </w:pPr>
            <w:r>
              <w:rPr>
                <w:rFonts w:ascii="Arial" w:hAnsi="Arial"/>
                <w:sz w:val="20"/>
              </w:rPr>
              <w:t>Número entero</w:t>
            </w:r>
          </w:p>
        </w:tc>
      </w:tr>
      <w:tr w:rsidR="00140246" w:rsidRPr="00951171" w14:paraId="4975CFE6" w14:textId="77777777" w:rsidTr="00866FC4">
        <w:tc>
          <w:tcPr>
            <w:tcW w:w="2632" w:type="dxa"/>
            <w:tcBorders>
              <w:top w:val="single" w:sz="4" w:space="0" w:color="auto"/>
              <w:left w:val="single" w:sz="4" w:space="0" w:color="auto"/>
              <w:bottom w:val="single" w:sz="4" w:space="0" w:color="auto"/>
              <w:right w:val="single" w:sz="4" w:space="0" w:color="auto"/>
            </w:tcBorders>
            <w:vAlign w:val="center"/>
          </w:tcPr>
          <w:p w14:paraId="0048F2C1" w14:textId="77777777" w:rsidR="00140246" w:rsidRPr="00951171" w:rsidRDefault="00140246" w:rsidP="00866FC4">
            <w:pPr>
              <w:pStyle w:val="Tabla"/>
              <w:rPr>
                <w:b/>
              </w:rPr>
            </w:pPr>
            <w:r w:rsidRPr="00951171">
              <w:rPr>
                <w:b/>
              </w:rPr>
              <w:t>Forma de medición</w:t>
            </w:r>
          </w:p>
        </w:tc>
        <w:tc>
          <w:tcPr>
            <w:tcW w:w="6296" w:type="dxa"/>
            <w:tcBorders>
              <w:top w:val="single" w:sz="4" w:space="0" w:color="auto"/>
              <w:left w:val="single" w:sz="4" w:space="0" w:color="auto"/>
              <w:bottom w:val="single" w:sz="4" w:space="0" w:color="auto"/>
              <w:right w:val="single" w:sz="4" w:space="0" w:color="auto"/>
            </w:tcBorders>
            <w:vAlign w:val="center"/>
          </w:tcPr>
          <w:p w14:paraId="09958E03" w14:textId="77777777" w:rsidR="00140246" w:rsidRPr="00951171" w:rsidRDefault="00140246" w:rsidP="00DB6778">
            <w:pPr>
              <w:pStyle w:val="LCATabla"/>
              <w:keepLines/>
              <w:jc w:val="both"/>
              <w:rPr>
                <w:rFonts w:ascii="Arial" w:hAnsi="Arial"/>
                <w:sz w:val="20"/>
              </w:rPr>
            </w:pPr>
            <w:r>
              <w:rPr>
                <w:rFonts w:ascii="Arial" w:hAnsi="Arial"/>
                <w:sz w:val="20"/>
              </w:rPr>
              <w:t>Número de puestas a disposición de equipo</w:t>
            </w:r>
            <w:r w:rsidRPr="00951171">
              <w:rPr>
                <w:rFonts w:ascii="Arial" w:hAnsi="Arial"/>
                <w:sz w:val="20"/>
              </w:rPr>
              <w:t xml:space="preserve"> </w:t>
            </w:r>
          </w:p>
        </w:tc>
      </w:tr>
      <w:tr w:rsidR="00140246" w:rsidRPr="00951171" w14:paraId="723C9090" w14:textId="77777777" w:rsidTr="00866FC4">
        <w:tc>
          <w:tcPr>
            <w:tcW w:w="2632" w:type="dxa"/>
            <w:tcBorders>
              <w:top w:val="single" w:sz="4" w:space="0" w:color="auto"/>
              <w:left w:val="single" w:sz="4" w:space="0" w:color="auto"/>
              <w:bottom w:val="single" w:sz="4" w:space="0" w:color="auto"/>
              <w:right w:val="single" w:sz="4" w:space="0" w:color="auto"/>
            </w:tcBorders>
            <w:vAlign w:val="center"/>
          </w:tcPr>
          <w:p w14:paraId="47B5855C" w14:textId="77777777" w:rsidR="00140246" w:rsidRPr="00951171" w:rsidRDefault="00140246" w:rsidP="00866FC4">
            <w:pPr>
              <w:pStyle w:val="Tabla"/>
              <w:rPr>
                <w:b/>
              </w:rPr>
            </w:pPr>
            <w:r w:rsidRPr="00951171">
              <w:rPr>
                <w:b/>
              </w:rPr>
              <w:t>Abono</w:t>
            </w:r>
          </w:p>
        </w:tc>
        <w:tc>
          <w:tcPr>
            <w:tcW w:w="6296" w:type="dxa"/>
            <w:tcBorders>
              <w:top w:val="single" w:sz="4" w:space="0" w:color="auto"/>
              <w:left w:val="single" w:sz="4" w:space="0" w:color="auto"/>
              <w:bottom w:val="single" w:sz="4" w:space="0" w:color="auto"/>
              <w:right w:val="single" w:sz="4" w:space="0" w:color="auto"/>
            </w:tcBorders>
            <w:vAlign w:val="center"/>
          </w:tcPr>
          <w:p w14:paraId="19C9EAAC" w14:textId="77777777" w:rsidR="00140246" w:rsidRPr="00951171" w:rsidRDefault="00140246" w:rsidP="00DB6778">
            <w:pPr>
              <w:pStyle w:val="LCATabla"/>
              <w:keepLines/>
              <w:jc w:val="both"/>
              <w:rPr>
                <w:rFonts w:ascii="Arial" w:hAnsi="Arial"/>
                <w:sz w:val="20"/>
              </w:rPr>
            </w:pPr>
            <w:r w:rsidRPr="00951171">
              <w:rPr>
                <w:rFonts w:ascii="Arial" w:hAnsi="Arial"/>
                <w:sz w:val="20"/>
              </w:rPr>
              <w:t>Se efectuará cuando se realice la aceptación</w:t>
            </w:r>
          </w:p>
        </w:tc>
      </w:tr>
      <w:tr w:rsidR="00140246" w:rsidRPr="00951171" w14:paraId="0ABD8F39" w14:textId="77777777" w:rsidTr="00866FC4">
        <w:tc>
          <w:tcPr>
            <w:tcW w:w="2632" w:type="dxa"/>
            <w:tcBorders>
              <w:top w:val="single" w:sz="4" w:space="0" w:color="auto"/>
              <w:left w:val="single" w:sz="4" w:space="0" w:color="auto"/>
              <w:bottom w:val="single" w:sz="4" w:space="0" w:color="auto"/>
              <w:right w:val="single" w:sz="4" w:space="0" w:color="auto"/>
            </w:tcBorders>
            <w:vAlign w:val="center"/>
          </w:tcPr>
          <w:p w14:paraId="1882DA7A" w14:textId="77777777" w:rsidR="00140246" w:rsidRPr="00951171" w:rsidRDefault="00140246" w:rsidP="00866FC4">
            <w:pPr>
              <w:pStyle w:val="Tabla"/>
              <w:rPr>
                <w:b/>
              </w:rPr>
            </w:pPr>
            <w:r w:rsidRPr="00951171">
              <w:rPr>
                <w:b/>
              </w:rPr>
              <w:t>Criterios complementarios</w:t>
            </w:r>
          </w:p>
        </w:tc>
        <w:tc>
          <w:tcPr>
            <w:tcW w:w="6296" w:type="dxa"/>
            <w:tcBorders>
              <w:top w:val="single" w:sz="4" w:space="0" w:color="auto"/>
              <w:left w:val="single" w:sz="4" w:space="0" w:color="auto"/>
              <w:bottom w:val="single" w:sz="4" w:space="0" w:color="auto"/>
              <w:right w:val="single" w:sz="4" w:space="0" w:color="auto"/>
            </w:tcBorders>
            <w:vAlign w:val="center"/>
          </w:tcPr>
          <w:p w14:paraId="6F043F07" w14:textId="77777777" w:rsidR="00140246" w:rsidRDefault="00140246" w:rsidP="00DB6778">
            <w:pPr>
              <w:pStyle w:val="LCATabla"/>
              <w:keepLines/>
              <w:jc w:val="both"/>
              <w:rPr>
                <w:rFonts w:ascii="Arial" w:hAnsi="Arial"/>
                <w:sz w:val="20"/>
              </w:rPr>
            </w:pPr>
            <w:r>
              <w:rPr>
                <w:rFonts w:ascii="Arial" w:hAnsi="Arial"/>
                <w:sz w:val="20"/>
              </w:rPr>
              <w:t>El precio de la unidad incluye el traslado a obra y a distintas posiciones del equipo.</w:t>
            </w:r>
          </w:p>
          <w:p w14:paraId="10F2DF0A" w14:textId="77777777" w:rsidR="00140246" w:rsidRDefault="00140246" w:rsidP="00DB6778">
            <w:pPr>
              <w:pStyle w:val="LCATabla"/>
              <w:keepLines/>
              <w:jc w:val="both"/>
              <w:rPr>
                <w:rFonts w:ascii="Arial" w:hAnsi="Arial"/>
                <w:sz w:val="20"/>
              </w:rPr>
            </w:pPr>
            <w:r>
              <w:rPr>
                <w:rFonts w:ascii="Arial" w:hAnsi="Arial"/>
                <w:sz w:val="20"/>
              </w:rPr>
              <w:t>El montaje</w:t>
            </w:r>
            <w:r w:rsidR="00217216">
              <w:rPr>
                <w:rFonts w:ascii="Arial" w:hAnsi="Arial"/>
                <w:sz w:val="20"/>
              </w:rPr>
              <w:t xml:space="preserve"> </w:t>
            </w:r>
            <w:proofErr w:type="gramStart"/>
            <w:r w:rsidR="00217216">
              <w:rPr>
                <w:rFonts w:ascii="Arial" w:hAnsi="Arial"/>
                <w:sz w:val="20"/>
              </w:rPr>
              <w:t xml:space="preserve">y </w:t>
            </w:r>
            <w:r>
              <w:rPr>
                <w:rFonts w:ascii="Arial" w:hAnsi="Arial"/>
                <w:sz w:val="20"/>
              </w:rPr>
              <w:t xml:space="preserve"> mantenimiento</w:t>
            </w:r>
            <w:proofErr w:type="gramEnd"/>
            <w:r>
              <w:rPr>
                <w:rFonts w:ascii="Arial" w:hAnsi="Arial"/>
                <w:sz w:val="20"/>
              </w:rPr>
              <w:t xml:space="preserve"> durante </w:t>
            </w:r>
            <w:r w:rsidR="00217216">
              <w:rPr>
                <w:rFonts w:ascii="Arial" w:hAnsi="Arial"/>
                <w:sz w:val="20"/>
              </w:rPr>
              <w:t>la ejecución de las obras y la posterior retirada una vez finalizada</w:t>
            </w:r>
            <w:r>
              <w:rPr>
                <w:rFonts w:ascii="Arial" w:hAnsi="Arial"/>
                <w:sz w:val="20"/>
              </w:rPr>
              <w:t xml:space="preserve"> las obras.</w:t>
            </w:r>
          </w:p>
          <w:p w14:paraId="506340E6" w14:textId="77777777" w:rsidR="00140246" w:rsidRPr="00951171" w:rsidRDefault="00140246" w:rsidP="00DB6778">
            <w:pPr>
              <w:pStyle w:val="LCATabla"/>
              <w:keepLines/>
              <w:jc w:val="both"/>
              <w:rPr>
                <w:rFonts w:ascii="Arial" w:hAnsi="Arial"/>
                <w:sz w:val="20"/>
              </w:rPr>
            </w:pPr>
            <w:r>
              <w:rPr>
                <w:rFonts w:ascii="Arial" w:hAnsi="Arial"/>
                <w:sz w:val="20"/>
              </w:rPr>
              <w:t>Todos los materiales y medios necesarios para la correcta ejecución de la unidad.</w:t>
            </w:r>
          </w:p>
        </w:tc>
      </w:tr>
    </w:tbl>
    <w:p w14:paraId="252C451E" w14:textId="77777777" w:rsidR="00140246" w:rsidRPr="007E5D9C" w:rsidRDefault="00140246" w:rsidP="00140246">
      <w:pPr>
        <w:rPr>
          <w:color w:val="FF0000"/>
        </w:rPr>
      </w:pPr>
    </w:p>
    <w:p w14:paraId="2E644759" w14:textId="77777777" w:rsidR="00876E39" w:rsidRPr="007E5D9C" w:rsidRDefault="00876E39" w:rsidP="00876E39">
      <w:pPr>
        <w:pStyle w:val="NORMAL12"/>
        <w:rPr>
          <w:color w:val="FF0000"/>
          <w:lang w:val="es-ES"/>
        </w:rPr>
      </w:pPr>
    </w:p>
    <w:p w14:paraId="5811E4B1" w14:textId="77777777" w:rsidR="00C05D97" w:rsidRPr="00240F27" w:rsidRDefault="00C05D97" w:rsidP="00C05D97">
      <w:pPr>
        <w:pStyle w:val="TITU1"/>
        <w:rPr>
          <w:lang w:val="es-ES_tradnl"/>
        </w:rPr>
      </w:pPr>
      <w:bookmarkStart w:id="370" w:name="_Toc404168"/>
      <w:r w:rsidRPr="00240F27">
        <w:rPr>
          <w:lang w:val="es-ES_tradnl"/>
        </w:rPr>
        <w:lastRenderedPageBreak/>
        <w:t>Artículo 3</w:t>
      </w:r>
      <w:r w:rsidR="00DC216E" w:rsidRPr="00240F27">
        <w:rPr>
          <w:lang w:val="es-ES_tradnl"/>
        </w:rPr>
        <w:t>10</w:t>
      </w:r>
      <w:r w:rsidRPr="00240F27">
        <w:rPr>
          <w:lang w:val="es-ES_tradnl"/>
        </w:rPr>
        <w:t>. Desmontaje de tubería de fibrocemento</w:t>
      </w:r>
      <w:bookmarkEnd w:id="370"/>
    </w:p>
    <w:p w14:paraId="417F3F74" w14:textId="77777777" w:rsidR="00C05D97" w:rsidRDefault="00DC216E" w:rsidP="000313DD">
      <w:pPr>
        <w:pStyle w:val="TITU2"/>
      </w:pPr>
      <w:bookmarkStart w:id="371" w:name="_Toc404169"/>
      <w:r w:rsidRPr="00DC216E">
        <w:t xml:space="preserve">310.1. </w:t>
      </w:r>
      <w:r>
        <w:t>Definición y aplicación</w:t>
      </w:r>
      <w:bookmarkEnd w:id="371"/>
    </w:p>
    <w:p w14:paraId="49B22739" w14:textId="77777777" w:rsidR="00DC216E" w:rsidRPr="00240F27" w:rsidRDefault="00DC216E" w:rsidP="00DC216E">
      <w:pPr>
        <w:pStyle w:val="NORMAL12"/>
        <w:rPr>
          <w:lang w:val="es-ES"/>
        </w:rPr>
      </w:pPr>
      <w:r w:rsidRPr="00240F27">
        <w:rPr>
          <w:lang w:val="es-ES"/>
        </w:rPr>
        <w:t xml:space="preserve">Las prescripciones del presente artículo </w:t>
      </w:r>
      <w:proofErr w:type="gramStart"/>
      <w:r w:rsidRPr="00240F27">
        <w:rPr>
          <w:lang w:val="es-ES"/>
        </w:rPr>
        <w:t>son de aplicación</w:t>
      </w:r>
      <w:proofErr w:type="gramEnd"/>
      <w:r w:rsidRPr="00240F27">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255"/>
        <w:gridCol w:w="661"/>
        <w:gridCol w:w="7367"/>
      </w:tblGrid>
      <w:tr w:rsidR="00DC216E" w:rsidRPr="00016787" w14:paraId="4B8DB715" w14:textId="77777777" w:rsidTr="00E8224C">
        <w:trPr>
          <w:trHeight w:val="300"/>
        </w:trPr>
        <w:tc>
          <w:tcPr>
            <w:tcW w:w="676" w:type="pct"/>
            <w:noWrap/>
            <w:hideMark/>
          </w:tcPr>
          <w:p w14:paraId="529786A1" w14:textId="77777777" w:rsidR="00DC216E" w:rsidRPr="00140246" w:rsidRDefault="00DC216E" w:rsidP="00E8224C">
            <w:pPr>
              <w:rPr>
                <w:rFonts w:ascii="Calibri" w:hAnsi="Calibri" w:cs="Calibri"/>
                <w:color w:val="000000"/>
              </w:rPr>
            </w:pPr>
            <w:r w:rsidRPr="00140246">
              <w:rPr>
                <w:rFonts w:ascii="Calibri" w:hAnsi="Calibri" w:cs="Calibri"/>
                <w:color w:val="000000"/>
              </w:rPr>
              <w:t xml:space="preserve">301.0160         </w:t>
            </w:r>
          </w:p>
        </w:tc>
        <w:tc>
          <w:tcPr>
            <w:tcW w:w="356" w:type="pct"/>
            <w:noWrap/>
            <w:hideMark/>
          </w:tcPr>
          <w:p w14:paraId="1A14AEEC" w14:textId="77777777" w:rsidR="00DC216E" w:rsidRPr="00140246" w:rsidRDefault="00DC216E" w:rsidP="00E8224C">
            <w:pPr>
              <w:rPr>
                <w:rFonts w:ascii="Calibri" w:hAnsi="Calibri" w:cs="Calibri"/>
                <w:color w:val="000000"/>
              </w:rPr>
            </w:pPr>
            <w:r w:rsidRPr="00140246">
              <w:rPr>
                <w:rFonts w:ascii="Calibri" w:hAnsi="Calibri" w:cs="Calibri"/>
                <w:color w:val="000000"/>
              </w:rPr>
              <w:t>m</w:t>
            </w:r>
          </w:p>
        </w:tc>
        <w:tc>
          <w:tcPr>
            <w:tcW w:w="3968" w:type="pct"/>
            <w:hideMark/>
          </w:tcPr>
          <w:p w14:paraId="268764CF" w14:textId="77777777" w:rsidR="00B54353" w:rsidRPr="00140246" w:rsidRDefault="00B54353" w:rsidP="00552D4A">
            <w:pPr>
              <w:autoSpaceDE w:val="0"/>
              <w:autoSpaceDN w:val="0"/>
              <w:adjustRightInd w:val="0"/>
              <w:jc w:val="both"/>
              <w:rPr>
                <w:rFonts w:asciiTheme="minorHAnsi" w:hAnsiTheme="minorHAnsi" w:cstheme="minorHAnsi"/>
                <w:color w:val="000000"/>
                <w:lang w:eastAsia="en-US"/>
              </w:rPr>
            </w:pPr>
            <w:r w:rsidRPr="00140246">
              <w:rPr>
                <w:rFonts w:asciiTheme="minorHAnsi" w:hAnsiTheme="minorHAnsi" w:cstheme="minorHAnsi"/>
                <w:color w:val="000000"/>
                <w:lang w:eastAsia="en-US"/>
              </w:rPr>
              <w:t>DESMONTAJE DE CONDUCCIÓN DE FIBROCEMENTO i/ CARGA, RETIRADA Y TRANSPORTE DE RESIDUOS A LUGAR DE EMPLEO Y/O GESTOR AUTORIZADO HASTA UNA DISTANCIA DE 60 km.</w:t>
            </w:r>
          </w:p>
          <w:p w14:paraId="33332135" w14:textId="77777777" w:rsidR="00DC216E" w:rsidRPr="00140246" w:rsidRDefault="00DC216E" w:rsidP="00E8224C">
            <w:pPr>
              <w:rPr>
                <w:rFonts w:ascii="Calibri" w:hAnsi="Calibri" w:cs="Calibri"/>
                <w:color w:val="000000"/>
              </w:rPr>
            </w:pPr>
          </w:p>
        </w:tc>
      </w:tr>
    </w:tbl>
    <w:p w14:paraId="16B58FC0" w14:textId="77777777" w:rsidR="00E8224C" w:rsidRDefault="00E8224C" w:rsidP="00DC216E">
      <w:pPr>
        <w:pStyle w:val="NORMAL12"/>
        <w:rPr>
          <w:lang w:val="es-ES"/>
        </w:rPr>
      </w:pPr>
      <w:r>
        <w:rPr>
          <w:lang w:val="es-ES"/>
        </w:rPr>
        <w:t>Se define la unidad como el desmontaje de tubería de fibrocemento y el trata</w:t>
      </w:r>
      <w:r w:rsidR="00240F27">
        <w:rPr>
          <w:lang w:val="es-ES"/>
        </w:rPr>
        <w:t xml:space="preserve">miento </w:t>
      </w:r>
      <w:r w:rsidR="00D93E76">
        <w:rPr>
          <w:lang w:val="es-ES"/>
        </w:rPr>
        <w:t>de</w:t>
      </w:r>
      <w:r w:rsidR="00240F27">
        <w:rPr>
          <w:lang w:val="es-ES"/>
        </w:rPr>
        <w:t xml:space="preserve"> residuos según la normativa vigente. </w:t>
      </w:r>
    </w:p>
    <w:p w14:paraId="4E587A89" w14:textId="77777777" w:rsidR="00E8224C" w:rsidRDefault="00E8224C" w:rsidP="00DC216E">
      <w:pPr>
        <w:pStyle w:val="NORMAL12"/>
        <w:rPr>
          <w:lang w:val="es-ES"/>
        </w:rPr>
      </w:pPr>
      <w:r>
        <w:rPr>
          <w:lang w:val="es-ES"/>
        </w:rPr>
        <w:t>La ejecución de la unidad requiere de la realización de las operaciones siguientes:</w:t>
      </w:r>
    </w:p>
    <w:p w14:paraId="3361C60B" w14:textId="77777777" w:rsidR="00E8224C" w:rsidRDefault="00E8224C" w:rsidP="00661A5F">
      <w:pPr>
        <w:pStyle w:val="NORMAL12"/>
        <w:numPr>
          <w:ilvl w:val="0"/>
          <w:numId w:val="218"/>
        </w:numPr>
        <w:rPr>
          <w:lang w:val="es-ES"/>
        </w:rPr>
      </w:pPr>
      <w:r>
        <w:rPr>
          <w:lang w:val="es-ES"/>
        </w:rPr>
        <w:t>Retirada de la tubería que contiene fibrocemento.</w:t>
      </w:r>
    </w:p>
    <w:p w14:paraId="48F75988" w14:textId="77777777" w:rsidR="00E8224C" w:rsidRDefault="00E8224C" w:rsidP="00661A5F">
      <w:pPr>
        <w:pStyle w:val="NORMAL12"/>
        <w:numPr>
          <w:ilvl w:val="0"/>
          <w:numId w:val="218"/>
        </w:numPr>
        <w:rPr>
          <w:lang w:val="es-ES"/>
        </w:rPr>
      </w:pPr>
      <w:r>
        <w:rPr>
          <w:lang w:val="es-ES"/>
        </w:rPr>
        <w:t xml:space="preserve">Todas las </w:t>
      </w:r>
      <w:r w:rsidR="00D93E76">
        <w:rPr>
          <w:lang w:val="es-ES"/>
        </w:rPr>
        <w:t>instalaciones</w:t>
      </w:r>
      <w:r>
        <w:rPr>
          <w:lang w:val="es-ES"/>
        </w:rPr>
        <w:t xml:space="preserve"> y medios necesarios para el tratamiento, carga y </w:t>
      </w:r>
      <w:r w:rsidR="00D93E76">
        <w:rPr>
          <w:lang w:val="es-ES"/>
        </w:rPr>
        <w:t>transporte</w:t>
      </w:r>
      <w:r>
        <w:rPr>
          <w:lang w:val="es-ES"/>
        </w:rPr>
        <w:t xml:space="preserve"> de materiales peligrosos.</w:t>
      </w:r>
    </w:p>
    <w:p w14:paraId="54327F76" w14:textId="77777777" w:rsidR="00DC216E" w:rsidRDefault="00DC216E" w:rsidP="000313DD">
      <w:pPr>
        <w:pStyle w:val="TITU2"/>
      </w:pPr>
      <w:bookmarkStart w:id="372" w:name="_Toc404170"/>
      <w:r>
        <w:t>310.2. Ejecución de las obras</w:t>
      </w:r>
      <w:bookmarkEnd w:id="372"/>
    </w:p>
    <w:p w14:paraId="3050AF87" w14:textId="77777777" w:rsidR="00240F27" w:rsidRDefault="00C63ED2" w:rsidP="00240F27">
      <w:pPr>
        <w:pStyle w:val="NORMAL12"/>
        <w:rPr>
          <w:lang w:val="es-ES"/>
        </w:rPr>
      </w:pPr>
      <w:r>
        <w:rPr>
          <w:lang w:val="es-ES"/>
        </w:rPr>
        <w:t>S</w:t>
      </w:r>
      <w:r w:rsidR="00240F27">
        <w:rPr>
          <w:lang w:val="es-ES"/>
        </w:rPr>
        <w:t>e obtendrán los permisos necesarios para la gestión de residuos peligrosos. Se tratará el residuo según lo establecido en la normativa vigente.</w:t>
      </w:r>
    </w:p>
    <w:p w14:paraId="226AA9D5" w14:textId="77777777" w:rsidR="00C63ED2" w:rsidRPr="00140246" w:rsidRDefault="00C63ED2" w:rsidP="00240F27">
      <w:pPr>
        <w:pStyle w:val="NORMAL12"/>
        <w:rPr>
          <w:lang w:val="es-ES"/>
        </w:rPr>
      </w:pPr>
      <w:r w:rsidRPr="00140246">
        <w:rPr>
          <w:lang w:val="es-ES"/>
        </w:rPr>
        <w:t xml:space="preserve">La </w:t>
      </w:r>
      <w:proofErr w:type="gramStart"/>
      <w:r w:rsidRPr="00140246">
        <w:rPr>
          <w:lang w:val="es-ES"/>
        </w:rPr>
        <w:t>retirara</w:t>
      </w:r>
      <w:proofErr w:type="gramEnd"/>
      <w:r w:rsidRPr="00140246">
        <w:rPr>
          <w:lang w:val="es-ES"/>
        </w:rPr>
        <w:t xml:space="preserve"> del residuo se llevará a cabo por entidad autorizada para ello, y se establecerán los protocolos establecidos en la normativa vigente para el tratamiento.</w:t>
      </w:r>
    </w:p>
    <w:p w14:paraId="71021769" w14:textId="77777777" w:rsidR="00D97D43" w:rsidRPr="00140246" w:rsidRDefault="00D97D43" w:rsidP="00240F27">
      <w:pPr>
        <w:pStyle w:val="NORMAL12"/>
        <w:rPr>
          <w:lang w:val="es-ES"/>
        </w:rPr>
      </w:pPr>
      <w:r w:rsidRPr="00140246">
        <w:rPr>
          <w:lang w:val="es-ES"/>
        </w:rPr>
        <w:t xml:space="preserve">El </w:t>
      </w:r>
      <w:r w:rsidR="00217216" w:rsidRPr="00140246">
        <w:rPr>
          <w:lang w:val="es-ES"/>
        </w:rPr>
        <w:t>material</w:t>
      </w:r>
      <w:r w:rsidRPr="00140246">
        <w:rPr>
          <w:lang w:val="es-ES"/>
        </w:rPr>
        <w:t xml:space="preserve"> </w:t>
      </w:r>
      <w:r w:rsidR="00217216" w:rsidRPr="00140246">
        <w:rPr>
          <w:lang w:val="es-ES"/>
        </w:rPr>
        <w:t>resultante</w:t>
      </w:r>
      <w:r w:rsidRPr="00140246">
        <w:rPr>
          <w:lang w:val="es-ES"/>
        </w:rPr>
        <w:t xml:space="preserve"> de la demolición se enviará a gestor de residuos autorizado.</w:t>
      </w:r>
    </w:p>
    <w:p w14:paraId="7848F879" w14:textId="77777777" w:rsidR="00DC216E" w:rsidRPr="00240F27" w:rsidRDefault="00E8224C" w:rsidP="00240F27">
      <w:pPr>
        <w:pStyle w:val="NORMAL12"/>
        <w:rPr>
          <w:lang w:val="es-ES"/>
        </w:rPr>
      </w:pPr>
      <w:r w:rsidRPr="00140246">
        <w:rPr>
          <w:lang w:val="es-ES"/>
        </w:rPr>
        <w:t xml:space="preserve">Se emplearán las instalaciones y </w:t>
      </w:r>
      <w:r w:rsidR="00D93E76" w:rsidRPr="00140246">
        <w:rPr>
          <w:lang w:val="es-ES"/>
        </w:rPr>
        <w:t>medios necesarios</w:t>
      </w:r>
      <w:r w:rsidRPr="00140246">
        <w:rPr>
          <w:lang w:val="es-ES"/>
        </w:rPr>
        <w:t xml:space="preserve"> para el tra</w:t>
      </w:r>
      <w:r w:rsidR="00240F27" w:rsidRPr="00140246">
        <w:rPr>
          <w:lang w:val="es-ES"/>
        </w:rPr>
        <w:t>tamiento de residuos</w:t>
      </w:r>
      <w:r w:rsidR="00240F27">
        <w:rPr>
          <w:lang w:val="es-ES"/>
        </w:rPr>
        <w:t xml:space="preserve"> peligrosos según la normativa vigente.</w:t>
      </w:r>
    </w:p>
    <w:p w14:paraId="2271385D" w14:textId="77777777" w:rsidR="00E8224C" w:rsidRDefault="00E8224C" w:rsidP="00E8224C">
      <w:pPr>
        <w:pStyle w:val="NORMAL12"/>
        <w:rPr>
          <w:lang w:val="es-ES"/>
        </w:rPr>
      </w:pPr>
      <w:r>
        <w:rPr>
          <w:lang w:val="es-ES"/>
        </w:rPr>
        <w:t xml:space="preserve">Los operarios </w:t>
      </w:r>
      <w:r w:rsidR="00240F27">
        <w:rPr>
          <w:lang w:val="es-ES"/>
        </w:rPr>
        <w:t xml:space="preserve">dispondrán de los equipos de protección </w:t>
      </w:r>
      <w:r w:rsidR="00D93E76">
        <w:rPr>
          <w:lang w:val="es-ES"/>
        </w:rPr>
        <w:t>individual</w:t>
      </w:r>
      <w:r w:rsidR="00240F27">
        <w:rPr>
          <w:lang w:val="es-ES"/>
        </w:rPr>
        <w:t xml:space="preserve"> y colectiva necesaria para el tratamiento de </w:t>
      </w:r>
      <w:proofErr w:type="gramStart"/>
      <w:r w:rsidR="00240F27">
        <w:rPr>
          <w:lang w:val="es-ES"/>
        </w:rPr>
        <w:t>los mismos</w:t>
      </w:r>
      <w:proofErr w:type="gramEnd"/>
      <w:r w:rsidR="00240F27">
        <w:rPr>
          <w:lang w:val="es-ES"/>
        </w:rPr>
        <w:t>.</w:t>
      </w:r>
    </w:p>
    <w:p w14:paraId="6C8C0BBE" w14:textId="77777777" w:rsidR="00240F27" w:rsidRDefault="00240F27" w:rsidP="00E8224C">
      <w:pPr>
        <w:pStyle w:val="NORMAL12"/>
        <w:rPr>
          <w:lang w:val="es-ES"/>
        </w:rPr>
      </w:pPr>
      <w:r>
        <w:rPr>
          <w:lang w:val="es-ES"/>
        </w:rPr>
        <w:t>Se dispondrán de las medidas necesarias para evitar la contaminación del terreno con amianto.</w:t>
      </w:r>
    </w:p>
    <w:p w14:paraId="53AB6E8F" w14:textId="77777777" w:rsidR="00240F27" w:rsidRDefault="00240F27" w:rsidP="00E8224C">
      <w:pPr>
        <w:pStyle w:val="NORMAL12"/>
        <w:rPr>
          <w:lang w:val="es-ES"/>
        </w:rPr>
      </w:pPr>
      <w:r>
        <w:rPr>
          <w:lang w:val="es-ES"/>
        </w:rPr>
        <w:t>Se señalizará la zona para evitar la entrada de personal ajeno al tratamiento de los residuos.</w:t>
      </w:r>
    </w:p>
    <w:p w14:paraId="72BD4B93" w14:textId="77777777" w:rsidR="00DC216E" w:rsidRDefault="00DC216E" w:rsidP="000313DD">
      <w:pPr>
        <w:pStyle w:val="TITU2"/>
      </w:pPr>
      <w:bookmarkStart w:id="373" w:name="_Toc404171"/>
      <w:r>
        <w:t>310.3. Recepción</w:t>
      </w:r>
      <w:bookmarkEnd w:id="373"/>
    </w:p>
    <w:p w14:paraId="63092842" w14:textId="77777777" w:rsidR="00240F27" w:rsidRDefault="00240F27" w:rsidP="00240F27">
      <w:pPr>
        <w:pStyle w:val="NORMAL12"/>
        <w:rPr>
          <w:lang w:val="es-ES"/>
        </w:rPr>
      </w:pPr>
      <w:r>
        <w:rPr>
          <w:lang w:val="es-ES"/>
        </w:rPr>
        <w:t xml:space="preserve">Se aceptará la unidad una vez que se han </w:t>
      </w:r>
      <w:r w:rsidR="00D93E76">
        <w:rPr>
          <w:lang w:val="es-ES"/>
        </w:rPr>
        <w:t>retirado</w:t>
      </w:r>
      <w:r>
        <w:rPr>
          <w:lang w:val="es-ES"/>
        </w:rPr>
        <w:t xml:space="preserve"> </w:t>
      </w:r>
      <w:r w:rsidR="00D93E76">
        <w:rPr>
          <w:lang w:val="es-ES"/>
        </w:rPr>
        <w:t>todas las tuberías</w:t>
      </w:r>
      <w:r>
        <w:rPr>
          <w:lang w:val="es-ES"/>
        </w:rPr>
        <w:t xml:space="preserve"> y el terreno ha quedado libre de restos de tuberí</w:t>
      </w:r>
      <w:r w:rsidR="004D2FC9">
        <w:rPr>
          <w:lang w:val="es-ES"/>
        </w:rPr>
        <w:t>as y amianto.</w:t>
      </w:r>
    </w:p>
    <w:p w14:paraId="715A4E81" w14:textId="77777777" w:rsidR="00240F27" w:rsidRDefault="00240F27" w:rsidP="00240F27">
      <w:pPr>
        <w:pStyle w:val="NORMAL12"/>
        <w:rPr>
          <w:lang w:val="es-ES"/>
        </w:rPr>
      </w:pPr>
      <w:r>
        <w:rPr>
          <w:lang w:val="es-ES"/>
        </w:rPr>
        <w:t>El contratista presentará la documentación exigida por la normativa vigente para el tratamiento de los residuos que contienen amianto.</w:t>
      </w:r>
    </w:p>
    <w:p w14:paraId="3082A599" w14:textId="77777777" w:rsidR="00DC216E" w:rsidRPr="00DC216E" w:rsidRDefault="00240F27" w:rsidP="00DC216E">
      <w:pPr>
        <w:pStyle w:val="NORMAL12"/>
        <w:rPr>
          <w:lang w:val="es-ES"/>
        </w:rPr>
      </w:pPr>
      <w:r>
        <w:rPr>
          <w:lang w:val="es-ES"/>
        </w:rPr>
        <w:t xml:space="preserve">Presentará al director de obra la documentación que acredite que se ha llevado a cabo el tratamiento </w:t>
      </w:r>
      <w:r w:rsidR="00D93E76">
        <w:rPr>
          <w:lang w:val="es-ES"/>
        </w:rPr>
        <w:t>de</w:t>
      </w:r>
      <w:r>
        <w:rPr>
          <w:lang w:val="es-ES"/>
        </w:rPr>
        <w:t xml:space="preserve"> residuos peligroso según la normativa vigente.</w:t>
      </w:r>
    </w:p>
    <w:p w14:paraId="1F17A671" w14:textId="77777777" w:rsidR="00DC216E" w:rsidRDefault="00DC216E" w:rsidP="000313DD">
      <w:pPr>
        <w:pStyle w:val="TITU2"/>
      </w:pPr>
      <w:bookmarkStart w:id="374" w:name="_Toc404172"/>
      <w:r>
        <w:t>310.</w:t>
      </w:r>
      <w:r w:rsidR="00240F27">
        <w:t>4</w:t>
      </w:r>
      <w:r>
        <w:t>. Medición y abono</w:t>
      </w:r>
      <w:bookmarkEnd w:id="374"/>
    </w:p>
    <w:p w14:paraId="6958F7F1" w14:textId="77777777" w:rsidR="00DC216E" w:rsidRDefault="00DC216E" w:rsidP="00DC216E">
      <w:pPr>
        <w:pStyle w:val="NORMAL12"/>
        <w:rPr>
          <w:lang w:val="es-ES"/>
        </w:rPr>
      </w:pPr>
      <w:r>
        <w:rPr>
          <w:lang w:val="es-ES"/>
        </w:rPr>
        <w:t xml:space="preserve">La medición y abono de la unidad de desmontaje de la conducción de fibrocemento se realizará conforme a </w:t>
      </w:r>
      <w:r w:rsidR="00D93E76">
        <w:rPr>
          <w:lang w:val="es-ES"/>
        </w:rPr>
        <w:t>las especificaciones siguientes</w:t>
      </w:r>
      <w:r>
        <w:rPr>
          <w:lang w:val="es-E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32"/>
        <w:gridCol w:w="6296"/>
      </w:tblGrid>
      <w:tr w:rsidR="00DC216E" w:rsidRPr="00951171" w14:paraId="3A9B6A50" w14:textId="77777777" w:rsidTr="00E8224C">
        <w:tc>
          <w:tcPr>
            <w:tcW w:w="2632" w:type="dxa"/>
            <w:tcBorders>
              <w:top w:val="single" w:sz="4" w:space="0" w:color="auto"/>
              <w:left w:val="single" w:sz="4" w:space="0" w:color="auto"/>
              <w:bottom w:val="single" w:sz="4" w:space="0" w:color="auto"/>
              <w:right w:val="single" w:sz="4" w:space="0" w:color="auto"/>
            </w:tcBorders>
            <w:vAlign w:val="center"/>
          </w:tcPr>
          <w:p w14:paraId="152CCFEA" w14:textId="77777777" w:rsidR="00DC216E" w:rsidRPr="00951171" w:rsidRDefault="00DC216E" w:rsidP="00E50149">
            <w:pPr>
              <w:pStyle w:val="Tabla"/>
              <w:rPr>
                <w:b/>
              </w:rPr>
            </w:pPr>
            <w:r w:rsidRPr="00951171">
              <w:rPr>
                <w:b/>
              </w:rPr>
              <w:t>Unidad de medida</w:t>
            </w:r>
          </w:p>
        </w:tc>
        <w:tc>
          <w:tcPr>
            <w:tcW w:w="6296" w:type="dxa"/>
            <w:tcBorders>
              <w:top w:val="single" w:sz="4" w:space="0" w:color="auto"/>
              <w:left w:val="single" w:sz="4" w:space="0" w:color="auto"/>
              <w:bottom w:val="single" w:sz="4" w:space="0" w:color="auto"/>
              <w:right w:val="single" w:sz="4" w:space="0" w:color="auto"/>
            </w:tcBorders>
            <w:vAlign w:val="center"/>
          </w:tcPr>
          <w:p w14:paraId="7331050B" w14:textId="77777777" w:rsidR="00DC216E" w:rsidRPr="00951171" w:rsidRDefault="00DC216E" w:rsidP="00552D4A">
            <w:pPr>
              <w:pStyle w:val="LCATabla"/>
              <w:keepLines/>
              <w:jc w:val="both"/>
              <w:rPr>
                <w:rFonts w:ascii="Arial" w:hAnsi="Arial"/>
                <w:sz w:val="20"/>
              </w:rPr>
            </w:pPr>
            <w:r w:rsidRPr="00951171">
              <w:rPr>
                <w:rFonts w:ascii="Arial" w:hAnsi="Arial"/>
                <w:sz w:val="20"/>
              </w:rPr>
              <w:t>Metro (m).</w:t>
            </w:r>
          </w:p>
        </w:tc>
      </w:tr>
      <w:tr w:rsidR="00DC216E" w:rsidRPr="00951171" w14:paraId="4A5FEEC3" w14:textId="77777777" w:rsidTr="00E8224C">
        <w:tc>
          <w:tcPr>
            <w:tcW w:w="2632" w:type="dxa"/>
            <w:tcBorders>
              <w:top w:val="single" w:sz="4" w:space="0" w:color="auto"/>
              <w:left w:val="single" w:sz="4" w:space="0" w:color="auto"/>
              <w:bottom w:val="single" w:sz="4" w:space="0" w:color="auto"/>
              <w:right w:val="single" w:sz="4" w:space="0" w:color="auto"/>
            </w:tcBorders>
            <w:vAlign w:val="center"/>
          </w:tcPr>
          <w:p w14:paraId="774A4784" w14:textId="77777777" w:rsidR="00DC216E" w:rsidRPr="00951171" w:rsidRDefault="00DC216E" w:rsidP="00E50149">
            <w:pPr>
              <w:pStyle w:val="Tabla"/>
              <w:rPr>
                <w:b/>
              </w:rPr>
            </w:pPr>
            <w:r w:rsidRPr="00951171">
              <w:rPr>
                <w:b/>
              </w:rPr>
              <w:t>Grado de precisión</w:t>
            </w:r>
          </w:p>
        </w:tc>
        <w:tc>
          <w:tcPr>
            <w:tcW w:w="6296" w:type="dxa"/>
            <w:tcBorders>
              <w:top w:val="single" w:sz="4" w:space="0" w:color="auto"/>
              <w:left w:val="single" w:sz="4" w:space="0" w:color="auto"/>
              <w:bottom w:val="single" w:sz="4" w:space="0" w:color="auto"/>
              <w:right w:val="single" w:sz="4" w:space="0" w:color="auto"/>
            </w:tcBorders>
            <w:vAlign w:val="center"/>
          </w:tcPr>
          <w:p w14:paraId="77A68597" w14:textId="77777777" w:rsidR="00DC216E" w:rsidRPr="00951171" w:rsidRDefault="00DC216E" w:rsidP="00552D4A">
            <w:pPr>
              <w:pStyle w:val="LCATabla"/>
              <w:keepLines/>
              <w:jc w:val="both"/>
              <w:rPr>
                <w:rFonts w:ascii="Arial" w:hAnsi="Arial"/>
                <w:sz w:val="20"/>
              </w:rPr>
            </w:pPr>
            <w:r w:rsidRPr="00951171">
              <w:rPr>
                <w:rFonts w:ascii="Arial" w:hAnsi="Arial"/>
                <w:sz w:val="20"/>
              </w:rPr>
              <w:t>Dos decimales.</w:t>
            </w:r>
          </w:p>
        </w:tc>
      </w:tr>
      <w:tr w:rsidR="00DC216E" w:rsidRPr="00951171" w14:paraId="52AE4EDC" w14:textId="77777777" w:rsidTr="00E8224C">
        <w:tc>
          <w:tcPr>
            <w:tcW w:w="2632" w:type="dxa"/>
            <w:tcBorders>
              <w:top w:val="single" w:sz="4" w:space="0" w:color="auto"/>
              <w:left w:val="single" w:sz="4" w:space="0" w:color="auto"/>
              <w:bottom w:val="single" w:sz="4" w:space="0" w:color="auto"/>
              <w:right w:val="single" w:sz="4" w:space="0" w:color="auto"/>
            </w:tcBorders>
            <w:vAlign w:val="center"/>
          </w:tcPr>
          <w:p w14:paraId="5D5780E3" w14:textId="77777777" w:rsidR="00DC216E" w:rsidRPr="00951171" w:rsidRDefault="00DC216E" w:rsidP="00E50149">
            <w:pPr>
              <w:pStyle w:val="Tabla"/>
              <w:rPr>
                <w:b/>
              </w:rPr>
            </w:pPr>
            <w:r w:rsidRPr="00951171">
              <w:rPr>
                <w:b/>
              </w:rPr>
              <w:t>Forma de medición</w:t>
            </w:r>
          </w:p>
        </w:tc>
        <w:tc>
          <w:tcPr>
            <w:tcW w:w="6296" w:type="dxa"/>
            <w:tcBorders>
              <w:top w:val="single" w:sz="4" w:space="0" w:color="auto"/>
              <w:left w:val="single" w:sz="4" w:space="0" w:color="auto"/>
              <w:bottom w:val="single" w:sz="4" w:space="0" w:color="auto"/>
              <w:right w:val="single" w:sz="4" w:space="0" w:color="auto"/>
            </w:tcBorders>
            <w:vAlign w:val="center"/>
          </w:tcPr>
          <w:p w14:paraId="00F85A56" w14:textId="77777777" w:rsidR="00DC216E" w:rsidRPr="00951171" w:rsidRDefault="00DC216E" w:rsidP="00552D4A">
            <w:pPr>
              <w:pStyle w:val="LCATabla"/>
              <w:keepLines/>
              <w:jc w:val="both"/>
              <w:rPr>
                <w:rFonts w:ascii="Arial" w:hAnsi="Arial"/>
                <w:sz w:val="20"/>
              </w:rPr>
            </w:pPr>
            <w:r w:rsidRPr="00951171">
              <w:rPr>
                <w:rFonts w:ascii="Arial" w:hAnsi="Arial"/>
                <w:sz w:val="20"/>
              </w:rPr>
              <w:t xml:space="preserve">Metros </w:t>
            </w:r>
            <w:r>
              <w:rPr>
                <w:rFonts w:ascii="Arial" w:hAnsi="Arial"/>
                <w:sz w:val="20"/>
              </w:rPr>
              <w:t>de tubería retirada</w:t>
            </w:r>
          </w:p>
        </w:tc>
      </w:tr>
      <w:tr w:rsidR="00DC216E" w:rsidRPr="00951171" w14:paraId="3C35E409" w14:textId="77777777" w:rsidTr="00E8224C">
        <w:tc>
          <w:tcPr>
            <w:tcW w:w="2632" w:type="dxa"/>
            <w:tcBorders>
              <w:top w:val="single" w:sz="4" w:space="0" w:color="auto"/>
              <w:left w:val="single" w:sz="4" w:space="0" w:color="auto"/>
              <w:bottom w:val="single" w:sz="4" w:space="0" w:color="auto"/>
              <w:right w:val="single" w:sz="4" w:space="0" w:color="auto"/>
            </w:tcBorders>
            <w:vAlign w:val="center"/>
          </w:tcPr>
          <w:p w14:paraId="041441EB" w14:textId="77777777" w:rsidR="00DC216E" w:rsidRPr="00951171" w:rsidRDefault="00DC216E" w:rsidP="00E50149">
            <w:pPr>
              <w:pStyle w:val="Tabla"/>
              <w:rPr>
                <w:b/>
              </w:rPr>
            </w:pPr>
            <w:r w:rsidRPr="00951171">
              <w:rPr>
                <w:b/>
              </w:rPr>
              <w:t>Abono</w:t>
            </w:r>
          </w:p>
        </w:tc>
        <w:tc>
          <w:tcPr>
            <w:tcW w:w="6296" w:type="dxa"/>
            <w:tcBorders>
              <w:top w:val="single" w:sz="4" w:space="0" w:color="auto"/>
              <w:left w:val="single" w:sz="4" w:space="0" w:color="auto"/>
              <w:bottom w:val="single" w:sz="4" w:space="0" w:color="auto"/>
              <w:right w:val="single" w:sz="4" w:space="0" w:color="auto"/>
            </w:tcBorders>
            <w:vAlign w:val="center"/>
          </w:tcPr>
          <w:p w14:paraId="183173D8" w14:textId="77777777" w:rsidR="00DC216E" w:rsidRPr="00951171" w:rsidRDefault="00DC216E" w:rsidP="00552D4A">
            <w:pPr>
              <w:pStyle w:val="LCATabla"/>
              <w:keepLines/>
              <w:jc w:val="both"/>
              <w:rPr>
                <w:rFonts w:ascii="Arial" w:hAnsi="Arial"/>
                <w:sz w:val="20"/>
              </w:rPr>
            </w:pPr>
            <w:r w:rsidRPr="00951171">
              <w:rPr>
                <w:rFonts w:ascii="Arial" w:hAnsi="Arial"/>
                <w:sz w:val="20"/>
              </w:rPr>
              <w:t>Se efectuará cuando se realice la aceptación, una vez re</w:t>
            </w:r>
            <w:r>
              <w:rPr>
                <w:rFonts w:ascii="Arial" w:hAnsi="Arial"/>
                <w:sz w:val="20"/>
              </w:rPr>
              <w:t>cibida la documentación que justifique el tratamiento del residuo</w:t>
            </w:r>
          </w:p>
        </w:tc>
      </w:tr>
      <w:tr w:rsidR="00DC216E" w:rsidRPr="00951171" w14:paraId="065F3EF2" w14:textId="77777777" w:rsidTr="00E8224C">
        <w:tc>
          <w:tcPr>
            <w:tcW w:w="2632" w:type="dxa"/>
            <w:tcBorders>
              <w:top w:val="single" w:sz="4" w:space="0" w:color="auto"/>
              <w:left w:val="single" w:sz="4" w:space="0" w:color="auto"/>
              <w:bottom w:val="single" w:sz="4" w:space="0" w:color="auto"/>
              <w:right w:val="single" w:sz="4" w:space="0" w:color="auto"/>
            </w:tcBorders>
            <w:vAlign w:val="center"/>
          </w:tcPr>
          <w:p w14:paraId="7A79FA71" w14:textId="77777777" w:rsidR="00DC216E" w:rsidRPr="00951171" w:rsidRDefault="00DC216E" w:rsidP="00E50149">
            <w:pPr>
              <w:pStyle w:val="Tabla"/>
              <w:rPr>
                <w:b/>
              </w:rPr>
            </w:pPr>
            <w:r w:rsidRPr="00951171">
              <w:rPr>
                <w:b/>
              </w:rPr>
              <w:t>Criterios complementarios</w:t>
            </w:r>
          </w:p>
        </w:tc>
        <w:tc>
          <w:tcPr>
            <w:tcW w:w="6296" w:type="dxa"/>
            <w:tcBorders>
              <w:top w:val="single" w:sz="4" w:space="0" w:color="auto"/>
              <w:left w:val="single" w:sz="4" w:space="0" w:color="auto"/>
              <w:bottom w:val="single" w:sz="4" w:space="0" w:color="auto"/>
              <w:right w:val="single" w:sz="4" w:space="0" w:color="auto"/>
            </w:tcBorders>
            <w:vAlign w:val="center"/>
          </w:tcPr>
          <w:p w14:paraId="3489C4B3" w14:textId="77777777" w:rsidR="00C63ED2" w:rsidRPr="00140246" w:rsidRDefault="00DC216E" w:rsidP="00552D4A">
            <w:pPr>
              <w:pStyle w:val="LCATabla"/>
              <w:keepLines/>
              <w:jc w:val="both"/>
              <w:rPr>
                <w:rFonts w:ascii="Arial" w:hAnsi="Arial"/>
                <w:sz w:val="20"/>
              </w:rPr>
            </w:pPr>
            <w:r w:rsidRPr="00140246">
              <w:rPr>
                <w:rFonts w:ascii="Arial" w:hAnsi="Arial"/>
                <w:sz w:val="20"/>
              </w:rPr>
              <w:t>El precio</w:t>
            </w:r>
            <w:r w:rsidR="00C63ED2" w:rsidRPr="00140246">
              <w:rPr>
                <w:rFonts w:ascii="Arial" w:hAnsi="Arial"/>
                <w:sz w:val="20"/>
              </w:rPr>
              <w:t xml:space="preserve"> de la unidad incluye:</w:t>
            </w:r>
          </w:p>
          <w:p w14:paraId="244BE66A" w14:textId="77777777" w:rsidR="00DC216E" w:rsidRPr="00140246" w:rsidRDefault="00C63ED2" w:rsidP="00552D4A">
            <w:pPr>
              <w:pStyle w:val="LCATabla"/>
              <w:keepLines/>
              <w:jc w:val="both"/>
              <w:rPr>
                <w:rFonts w:ascii="Arial" w:hAnsi="Arial"/>
                <w:sz w:val="20"/>
              </w:rPr>
            </w:pPr>
            <w:r w:rsidRPr="00140246">
              <w:rPr>
                <w:rFonts w:ascii="Arial" w:hAnsi="Arial"/>
                <w:sz w:val="20"/>
              </w:rPr>
              <w:t>L</w:t>
            </w:r>
            <w:r w:rsidR="00DC216E" w:rsidRPr="00140246">
              <w:rPr>
                <w:rFonts w:ascii="Arial" w:hAnsi="Arial"/>
                <w:sz w:val="20"/>
              </w:rPr>
              <w:t>os costes de la gestión de los permisos necesarios</w:t>
            </w:r>
            <w:r w:rsidRPr="00140246">
              <w:rPr>
                <w:rFonts w:ascii="Arial" w:hAnsi="Arial"/>
                <w:sz w:val="20"/>
              </w:rPr>
              <w:t xml:space="preserve"> para el tratamiento de residuos que contienen amian</w:t>
            </w:r>
            <w:r w:rsidR="004D2FC9" w:rsidRPr="00140246">
              <w:rPr>
                <w:rFonts w:ascii="Arial" w:hAnsi="Arial"/>
                <w:sz w:val="20"/>
              </w:rPr>
              <w:t>t</w:t>
            </w:r>
            <w:r w:rsidRPr="00140246">
              <w:rPr>
                <w:rFonts w:ascii="Arial" w:hAnsi="Arial"/>
                <w:sz w:val="20"/>
              </w:rPr>
              <w:t>o</w:t>
            </w:r>
            <w:r w:rsidR="00DC216E" w:rsidRPr="00140246">
              <w:rPr>
                <w:rFonts w:ascii="Arial" w:hAnsi="Arial"/>
                <w:sz w:val="20"/>
              </w:rPr>
              <w:t xml:space="preserve">, la carga y transporte a </w:t>
            </w:r>
            <w:r w:rsidR="00217216" w:rsidRPr="00140246">
              <w:rPr>
                <w:rFonts w:ascii="Arial" w:hAnsi="Arial"/>
                <w:sz w:val="20"/>
              </w:rPr>
              <w:t>instalación</w:t>
            </w:r>
            <w:r w:rsidR="004D2FC9" w:rsidRPr="00140246">
              <w:rPr>
                <w:rFonts w:ascii="Arial" w:hAnsi="Arial"/>
                <w:sz w:val="20"/>
              </w:rPr>
              <w:t xml:space="preserve"> de </w:t>
            </w:r>
            <w:r w:rsidR="00DC216E" w:rsidRPr="00140246">
              <w:rPr>
                <w:rFonts w:ascii="Arial" w:hAnsi="Arial"/>
                <w:sz w:val="20"/>
              </w:rPr>
              <w:t>gest</w:t>
            </w:r>
            <w:r w:rsidR="004D2FC9" w:rsidRPr="00140246">
              <w:rPr>
                <w:rFonts w:ascii="Arial" w:hAnsi="Arial"/>
                <w:sz w:val="20"/>
              </w:rPr>
              <w:t>ión</w:t>
            </w:r>
            <w:r w:rsidR="00DC216E" w:rsidRPr="00140246">
              <w:rPr>
                <w:rFonts w:ascii="Arial" w:hAnsi="Arial"/>
                <w:sz w:val="20"/>
              </w:rPr>
              <w:t xml:space="preserve"> de </w:t>
            </w:r>
            <w:r w:rsidR="00D93E76" w:rsidRPr="00140246">
              <w:rPr>
                <w:rFonts w:ascii="Arial" w:hAnsi="Arial"/>
                <w:sz w:val="20"/>
              </w:rPr>
              <w:t>residuos</w:t>
            </w:r>
          </w:p>
          <w:p w14:paraId="0ED32CC1" w14:textId="77777777" w:rsidR="00DC216E" w:rsidRPr="00140246" w:rsidRDefault="00DC216E" w:rsidP="00552D4A">
            <w:pPr>
              <w:pStyle w:val="LCATabla"/>
              <w:keepLines/>
              <w:jc w:val="both"/>
              <w:rPr>
                <w:rFonts w:ascii="Arial" w:hAnsi="Arial"/>
                <w:sz w:val="20"/>
              </w:rPr>
            </w:pPr>
            <w:r w:rsidRPr="00140246">
              <w:rPr>
                <w:rFonts w:ascii="Arial" w:hAnsi="Arial"/>
                <w:sz w:val="20"/>
              </w:rPr>
              <w:t>Todos los materiales y medios necesarios para el tratamiento,</w:t>
            </w:r>
            <w:r w:rsidR="004D2FC9" w:rsidRPr="00140246">
              <w:rPr>
                <w:rFonts w:ascii="Arial" w:hAnsi="Arial"/>
                <w:sz w:val="20"/>
              </w:rPr>
              <w:t xml:space="preserve"> </w:t>
            </w:r>
            <w:r w:rsidRPr="00140246">
              <w:rPr>
                <w:rFonts w:ascii="Arial" w:hAnsi="Arial"/>
                <w:sz w:val="20"/>
              </w:rPr>
              <w:t>carga y transporte de residuos peligrosos.</w:t>
            </w:r>
          </w:p>
          <w:p w14:paraId="56689D16" w14:textId="77777777" w:rsidR="00A57589" w:rsidRPr="00951171" w:rsidRDefault="00E8224C" w:rsidP="00552D4A">
            <w:pPr>
              <w:pStyle w:val="LCATabla"/>
              <w:keepLines/>
              <w:jc w:val="both"/>
              <w:rPr>
                <w:rFonts w:ascii="Arial" w:hAnsi="Arial"/>
                <w:sz w:val="20"/>
              </w:rPr>
            </w:pPr>
            <w:r w:rsidRPr="00140246">
              <w:rPr>
                <w:rFonts w:ascii="Arial" w:hAnsi="Arial"/>
                <w:sz w:val="20"/>
              </w:rPr>
              <w:t>No está incluida la excavación ni el relleno posterior.</w:t>
            </w:r>
          </w:p>
        </w:tc>
      </w:tr>
    </w:tbl>
    <w:p w14:paraId="0EFE7740" w14:textId="77777777" w:rsidR="00DC216E" w:rsidRDefault="00DC216E" w:rsidP="000313DD">
      <w:pPr>
        <w:pStyle w:val="TITU2"/>
      </w:pPr>
    </w:p>
    <w:p w14:paraId="5331819B" w14:textId="77777777" w:rsidR="00C859A5" w:rsidRPr="00240F27" w:rsidRDefault="00C859A5" w:rsidP="00C859A5">
      <w:pPr>
        <w:pStyle w:val="TITU1"/>
        <w:rPr>
          <w:lang w:val="es-ES_tradnl"/>
        </w:rPr>
      </w:pPr>
      <w:bookmarkStart w:id="375" w:name="_Toc404173"/>
      <w:r w:rsidRPr="006D13F9">
        <w:rPr>
          <w:lang w:val="es-ES_tradnl"/>
        </w:rPr>
        <w:lastRenderedPageBreak/>
        <w:t>Artículo 311. Limpieza de obra de drenaje</w:t>
      </w:r>
      <w:bookmarkEnd w:id="375"/>
    </w:p>
    <w:p w14:paraId="2D45E95B" w14:textId="77777777" w:rsidR="00C859A5" w:rsidRDefault="00C859A5" w:rsidP="000313DD">
      <w:pPr>
        <w:pStyle w:val="TITU2"/>
      </w:pPr>
      <w:bookmarkStart w:id="376" w:name="_Toc404174"/>
      <w:r w:rsidRPr="00C859A5">
        <w:t>311.1. Definición y aplicación</w:t>
      </w:r>
      <w:bookmarkEnd w:id="376"/>
    </w:p>
    <w:p w14:paraId="6E161DED" w14:textId="77777777" w:rsidR="00D61A1E" w:rsidRPr="00D61A1E" w:rsidRDefault="00D61A1E" w:rsidP="00D61A1E">
      <w:pPr>
        <w:pStyle w:val="NORMAL12"/>
        <w:rPr>
          <w:lang w:val="es-ES"/>
        </w:rPr>
      </w:pPr>
      <w:r>
        <w:rPr>
          <w:lang w:val="es-ES"/>
        </w:rPr>
        <w:t>Se define como la limpieza y acondicionamiento de tuberías de drenaje existente, incluye la limpieza del cuerpo de la obra, las rejillas de la</w:t>
      </w:r>
      <w:r w:rsidR="00217216">
        <w:rPr>
          <w:lang w:val="es-ES"/>
        </w:rPr>
        <w:t>s</w:t>
      </w:r>
      <w:r>
        <w:rPr>
          <w:lang w:val="es-ES"/>
        </w:rPr>
        <w:t xml:space="preserve"> arquetas y las salidas y </w:t>
      </w:r>
      <w:r w:rsidRPr="00D61A1E">
        <w:rPr>
          <w:lang w:val="es-ES"/>
        </w:rPr>
        <w:t xml:space="preserve">entradas de </w:t>
      </w:r>
      <w:proofErr w:type="gramStart"/>
      <w:r w:rsidRPr="00D61A1E">
        <w:rPr>
          <w:lang w:val="es-ES"/>
        </w:rPr>
        <w:t>la</w:t>
      </w:r>
      <w:r w:rsidR="00217216">
        <w:rPr>
          <w:lang w:val="es-ES"/>
        </w:rPr>
        <w:t>s</w:t>
      </w:r>
      <w:r w:rsidRPr="00D61A1E">
        <w:rPr>
          <w:lang w:val="es-ES"/>
        </w:rPr>
        <w:t xml:space="preserve"> misma</w:t>
      </w:r>
      <w:r w:rsidR="00217216">
        <w:rPr>
          <w:lang w:val="es-ES"/>
        </w:rPr>
        <w:t>s</w:t>
      </w:r>
      <w:proofErr w:type="gramEnd"/>
      <w:r w:rsidRPr="00D61A1E">
        <w:rPr>
          <w:lang w:val="es-ES"/>
        </w:rPr>
        <w:t>.</w:t>
      </w:r>
    </w:p>
    <w:p w14:paraId="6186ED14" w14:textId="77777777" w:rsidR="00C859A5" w:rsidRPr="00D61A1E" w:rsidRDefault="00C859A5" w:rsidP="00C859A5">
      <w:pPr>
        <w:pStyle w:val="NORMAL12"/>
        <w:rPr>
          <w:lang w:val="es-ES"/>
        </w:rPr>
      </w:pPr>
      <w:r w:rsidRPr="00D61A1E">
        <w:rPr>
          <w:lang w:val="es-ES"/>
        </w:rPr>
        <w:t xml:space="preserve">Las prescripciones del presente artículo </w:t>
      </w:r>
      <w:proofErr w:type="gramStart"/>
      <w:r w:rsidRPr="00D61A1E">
        <w:rPr>
          <w:lang w:val="es-ES"/>
        </w:rPr>
        <w:t>son de aplicación</w:t>
      </w:r>
      <w:proofErr w:type="gramEnd"/>
      <w:r w:rsidRPr="00D61A1E">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255"/>
        <w:gridCol w:w="661"/>
        <w:gridCol w:w="7367"/>
      </w:tblGrid>
      <w:tr w:rsidR="00D61A1E" w:rsidRPr="00C859A5" w14:paraId="7F32B518" w14:textId="77777777" w:rsidTr="001F3E93">
        <w:trPr>
          <w:trHeight w:val="300"/>
        </w:trPr>
        <w:tc>
          <w:tcPr>
            <w:tcW w:w="676" w:type="pct"/>
            <w:noWrap/>
            <w:hideMark/>
          </w:tcPr>
          <w:p w14:paraId="10420C55" w14:textId="77777777" w:rsidR="00D61A1E" w:rsidRPr="00140246" w:rsidRDefault="00D61A1E">
            <w:pPr>
              <w:rPr>
                <w:rFonts w:ascii="Calibri" w:hAnsi="Calibri" w:cs="Calibri"/>
                <w:color w:val="000000"/>
              </w:rPr>
            </w:pPr>
            <w:r w:rsidRPr="00140246">
              <w:rPr>
                <w:rFonts w:ascii="Calibri" w:hAnsi="Calibri" w:cs="Calibri"/>
                <w:color w:val="000000"/>
              </w:rPr>
              <w:t xml:space="preserve">301.0161N         </w:t>
            </w:r>
          </w:p>
        </w:tc>
        <w:tc>
          <w:tcPr>
            <w:tcW w:w="356" w:type="pct"/>
            <w:noWrap/>
            <w:hideMark/>
          </w:tcPr>
          <w:p w14:paraId="50DFDA37" w14:textId="77777777" w:rsidR="00D61A1E" w:rsidRPr="00140246" w:rsidRDefault="00B54353" w:rsidP="00B54353">
            <w:pPr>
              <w:rPr>
                <w:rFonts w:ascii="Calibri" w:hAnsi="Calibri" w:cs="Calibri"/>
                <w:color w:val="000000"/>
              </w:rPr>
            </w:pPr>
            <w:proofErr w:type="spellStart"/>
            <w:r w:rsidRPr="00140246">
              <w:rPr>
                <w:rFonts w:ascii="Calibri" w:hAnsi="Calibri" w:cs="Calibri"/>
                <w:color w:val="000000"/>
              </w:rPr>
              <w:t>ud</w:t>
            </w:r>
            <w:proofErr w:type="spellEnd"/>
          </w:p>
        </w:tc>
        <w:tc>
          <w:tcPr>
            <w:tcW w:w="3968" w:type="pct"/>
            <w:hideMark/>
          </w:tcPr>
          <w:p w14:paraId="36C358CE" w14:textId="77777777" w:rsidR="00D61A1E" w:rsidRPr="00140246" w:rsidRDefault="00D61A1E" w:rsidP="00552D4A">
            <w:pPr>
              <w:jc w:val="both"/>
              <w:rPr>
                <w:rFonts w:ascii="Calibri" w:hAnsi="Calibri" w:cs="Calibri"/>
                <w:color w:val="000000"/>
              </w:rPr>
            </w:pPr>
            <w:r w:rsidRPr="00140246">
              <w:rPr>
                <w:rFonts w:ascii="Calibri" w:hAnsi="Calibri" w:cs="Calibri"/>
                <w:color w:val="000000"/>
              </w:rPr>
              <w:t>LIMPIEZA DE OBRA DE DRENAJE INCLUYENDO CUERPO DE LA OBRA, REJILLAS DE ARQUETAS Y SALIDA Y ENTRADA DE LA OBRA</w:t>
            </w:r>
            <w:r w:rsidR="00A57589" w:rsidRPr="00140246">
              <w:rPr>
                <w:rFonts w:ascii="Calibri" w:hAnsi="Calibri" w:cs="Calibri"/>
                <w:color w:val="000000"/>
              </w:rPr>
              <w:t>, CARGA Y TRANSPORTE DE MATERIAL OBTENIDO A INSTALACION DE GESTIÓN DE RESIDUOS. TOTALMENTE TERMINADO</w:t>
            </w:r>
          </w:p>
        </w:tc>
      </w:tr>
    </w:tbl>
    <w:p w14:paraId="575A46E3" w14:textId="77777777" w:rsidR="00C859A5" w:rsidRPr="00D61A1E" w:rsidRDefault="00C859A5" w:rsidP="00C859A5">
      <w:pPr>
        <w:pStyle w:val="NORMAL12"/>
        <w:rPr>
          <w:lang w:val="es-ES"/>
        </w:rPr>
      </w:pPr>
      <w:r w:rsidRPr="00D61A1E">
        <w:rPr>
          <w:lang w:val="es-ES"/>
        </w:rPr>
        <w:t>La ejecución de la unidad requiere de la realización de las operaciones siguientes:</w:t>
      </w:r>
    </w:p>
    <w:p w14:paraId="3D5E6555" w14:textId="77777777" w:rsidR="00C859A5" w:rsidRPr="00D61A1E" w:rsidRDefault="00C859A5" w:rsidP="00661A5F">
      <w:pPr>
        <w:pStyle w:val="NORMAL12"/>
        <w:numPr>
          <w:ilvl w:val="0"/>
          <w:numId w:val="218"/>
        </w:numPr>
        <w:rPr>
          <w:lang w:val="es-ES"/>
        </w:rPr>
      </w:pPr>
      <w:r w:rsidRPr="00D61A1E">
        <w:rPr>
          <w:lang w:val="es-ES"/>
        </w:rPr>
        <w:t xml:space="preserve">Retirada </w:t>
      </w:r>
      <w:r w:rsidR="00D61A1E" w:rsidRPr="00D61A1E">
        <w:rPr>
          <w:lang w:val="es-ES"/>
        </w:rPr>
        <w:t xml:space="preserve">de rejillas, tapas, y cualquier elemento que impida el acceso al cuerpo de la obra. </w:t>
      </w:r>
    </w:p>
    <w:p w14:paraId="696232D0" w14:textId="77777777" w:rsidR="00D61A1E" w:rsidRPr="00D61A1E" w:rsidRDefault="00D61A1E" w:rsidP="00661A5F">
      <w:pPr>
        <w:pStyle w:val="NORMAL12"/>
        <w:numPr>
          <w:ilvl w:val="0"/>
          <w:numId w:val="218"/>
        </w:numPr>
        <w:rPr>
          <w:lang w:val="es-ES"/>
        </w:rPr>
      </w:pPr>
      <w:r w:rsidRPr="00D61A1E">
        <w:rPr>
          <w:lang w:val="es-ES"/>
        </w:rPr>
        <w:t>Extracción de los materiales hallados en el interior del cuerpo de la obra.</w:t>
      </w:r>
    </w:p>
    <w:p w14:paraId="77443398" w14:textId="77777777" w:rsidR="00D61A1E" w:rsidRDefault="00D61A1E" w:rsidP="00661A5F">
      <w:pPr>
        <w:pStyle w:val="NORMAL12"/>
        <w:numPr>
          <w:ilvl w:val="0"/>
          <w:numId w:val="218"/>
        </w:numPr>
        <w:rPr>
          <w:lang w:val="es-ES"/>
        </w:rPr>
      </w:pPr>
      <w:r w:rsidRPr="00D61A1E">
        <w:rPr>
          <w:lang w:val="es-ES"/>
        </w:rPr>
        <w:t>Carga y transporte de los materiales extraídos a instalación de gestión de residuos.</w:t>
      </w:r>
    </w:p>
    <w:p w14:paraId="0E7C4CDA" w14:textId="77777777" w:rsidR="00C859A5" w:rsidRDefault="00C859A5" w:rsidP="000313DD">
      <w:pPr>
        <w:pStyle w:val="TITU2"/>
      </w:pPr>
      <w:bookmarkStart w:id="377" w:name="_Toc404175"/>
      <w:r w:rsidRPr="00C859A5">
        <w:t>31</w:t>
      </w:r>
      <w:r w:rsidR="00B04240">
        <w:t>1</w:t>
      </w:r>
      <w:r w:rsidRPr="00C859A5">
        <w:t>.2. Ejecución de las obras</w:t>
      </w:r>
      <w:bookmarkEnd w:id="377"/>
    </w:p>
    <w:p w14:paraId="519CF9C5" w14:textId="77777777" w:rsidR="00D61A1E" w:rsidRDefault="00D61A1E" w:rsidP="00D61A1E">
      <w:pPr>
        <w:pStyle w:val="NORMAL12"/>
        <w:rPr>
          <w:lang w:val="es-ES"/>
        </w:rPr>
      </w:pPr>
      <w:r>
        <w:rPr>
          <w:lang w:val="es-ES"/>
        </w:rPr>
        <w:t>Antes de comenzar la limpieza se retirarán todos los elementos que impidan el acceso a ella, se trasladarán hasta acopio y se repondrán una vez terminados los trabajos de limpieza.</w:t>
      </w:r>
    </w:p>
    <w:p w14:paraId="0E26EBB6" w14:textId="77777777" w:rsidR="00D61A1E" w:rsidRDefault="00D61A1E" w:rsidP="00D61A1E">
      <w:pPr>
        <w:pStyle w:val="NORMAL12"/>
        <w:rPr>
          <w:lang w:val="es-ES"/>
        </w:rPr>
      </w:pPr>
      <w:r>
        <w:rPr>
          <w:lang w:val="es-ES"/>
        </w:rPr>
        <w:t xml:space="preserve">Se extraerá todo el material encontrado en el cuerpo de la obra de drenaje. </w:t>
      </w:r>
    </w:p>
    <w:p w14:paraId="062D633D" w14:textId="77777777" w:rsidR="00D61A1E" w:rsidRDefault="00D61A1E" w:rsidP="00D61A1E">
      <w:pPr>
        <w:pStyle w:val="NORMAL12"/>
        <w:rPr>
          <w:lang w:val="es-ES"/>
        </w:rPr>
      </w:pPr>
      <w:r>
        <w:rPr>
          <w:lang w:val="es-ES"/>
        </w:rPr>
        <w:t>El cuerpo debe quedar limpio de objetos, antes de su entrega se procederá al soplado de todo el cuerpo y elementos que la integran.</w:t>
      </w:r>
    </w:p>
    <w:p w14:paraId="1644BE87" w14:textId="77777777" w:rsidR="00D61A1E" w:rsidRDefault="00D61A1E" w:rsidP="00D61A1E">
      <w:pPr>
        <w:pStyle w:val="NORMAL12"/>
        <w:rPr>
          <w:lang w:val="es-ES"/>
        </w:rPr>
      </w:pPr>
      <w:r>
        <w:rPr>
          <w:lang w:val="es-ES"/>
        </w:rPr>
        <w:t>El material extraído se cargará y trasladará a instalación de gestión de residuos.</w:t>
      </w:r>
    </w:p>
    <w:p w14:paraId="664E10B1" w14:textId="77777777" w:rsidR="006D13F9" w:rsidRDefault="006D13F9" w:rsidP="00D61A1E">
      <w:pPr>
        <w:pStyle w:val="NORMAL12"/>
        <w:rPr>
          <w:lang w:val="es-ES"/>
        </w:rPr>
      </w:pPr>
    </w:p>
    <w:p w14:paraId="5BE3335C" w14:textId="77777777" w:rsidR="00C859A5" w:rsidRPr="006D13F9" w:rsidRDefault="00C859A5" w:rsidP="000313DD">
      <w:pPr>
        <w:pStyle w:val="TITU2"/>
      </w:pPr>
      <w:bookmarkStart w:id="378" w:name="_Toc404176"/>
      <w:r w:rsidRPr="006D13F9">
        <w:t>31</w:t>
      </w:r>
      <w:r w:rsidR="00B04240">
        <w:t>1</w:t>
      </w:r>
      <w:r w:rsidRPr="006D13F9">
        <w:t>.3. Recepción</w:t>
      </w:r>
      <w:bookmarkEnd w:id="378"/>
    </w:p>
    <w:p w14:paraId="36364131" w14:textId="77777777" w:rsidR="00D61A1E" w:rsidRPr="006D13F9" w:rsidRDefault="00C859A5" w:rsidP="00C859A5">
      <w:pPr>
        <w:pStyle w:val="NORMAL12"/>
        <w:rPr>
          <w:lang w:val="es-ES"/>
        </w:rPr>
      </w:pPr>
      <w:r w:rsidRPr="006D13F9">
        <w:rPr>
          <w:lang w:val="es-ES"/>
        </w:rPr>
        <w:t xml:space="preserve">Se aceptará la unidad una vez que se </w:t>
      </w:r>
      <w:r w:rsidR="00D61A1E" w:rsidRPr="006D13F9">
        <w:rPr>
          <w:lang w:val="es-ES"/>
        </w:rPr>
        <w:t>compruebe que se ha procedido a la limpieza de todos los elementos que integra la obra de drenaje.</w:t>
      </w:r>
    </w:p>
    <w:p w14:paraId="5A6FB670" w14:textId="77777777" w:rsidR="00C859A5" w:rsidRPr="006D13F9" w:rsidRDefault="00D61A1E" w:rsidP="00C859A5">
      <w:pPr>
        <w:pStyle w:val="NORMAL12"/>
        <w:rPr>
          <w:lang w:val="es-ES"/>
        </w:rPr>
      </w:pPr>
      <w:r w:rsidRPr="006D13F9">
        <w:rPr>
          <w:lang w:val="es-ES"/>
        </w:rPr>
        <w:t xml:space="preserve">Se comprobará que se han instalado todos los elementos de la obra, </w:t>
      </w:r>
      <w:proofErr w:type="gramStart"/>
      <w:r w:rsidRPr="006D13F9">
        <w:rPr>
          <w:lang w:val="es-ES"/>
        </w:rPr>
        <w:t>como</w:t>
      </w:r>
      <w:proofErr w:type="gramEnd"/>
      <w:r w:rsidRPr="006D13F9">
        <w:rPr>
          <w:lang w:val="es-ES"/>
        </w:rPr>
        <w:t xml:space="preserve"> por ejemplo, rejillas, tapas, </w:t>
      </w:r>
      <w:proofErr w:type="spellStart"/>
      <w:r w:rsidRPr="006D13F9">
        <w:rPr>
          <w:lang w:val="es-ES"/>
        </w:rPr>
        <w:t>etc</w:t>
      </w:r>
      <w:proofErr w:type="spellEnd"/>
      <w:r w:rsidRPr="006D13F9">
        <w:rPr>
          <w:lang w:val="es-ES"/>
        </w:rPr>
        <w:t xml:space="preserve">, </w:t>
      </w:r>
    </w:p>
    <w:p w14:paraId="0AB6C507" w14:textId="77777777" w:rsidR="006D13F9" w:rsidRPr="006D13F9" w:rsidRDefault="006D13F9" w:rsidP="00C859A5">
      <w:pPr>
        <w:pStyle w:val="NORMAL12"/>
        <w:rPr>
          <w:lang w:val="es-ES"/>
        </w:rPr>
      </w:pPr>
      <w:r w:rsidRPr="006D13F9">
        <w:rPr>
          <w:lang w:val="es-ES"/>
        </w:rPr>
        <w:t>Se comprobará que se ha retirado todo el material extraído a instalación de gestión de residuos.</w:t>
      </w:r>
    </w:p>
    <w:p w14:paraId="20B144F5" w14:textId="77777777" w:rsidR="00C859A5" w:rsidRPr="006D13F9" w:rsidRDefault="00C859A5" w:rsidP="000313DD">
      <w:pPr>
        <w:pStyle w:val="TITU2"/>
      </w:pPr>
      <w:bookmarkStart w:id="379" w:name="_Toc404177"/>
      <w:r w:rsidRPr="006D13F9">
        <w:t>31</w:t>
      </w:r>
      <w:r w:rsidR="00B04240">
        <w:t>1</w:t>
      </w:r>
      <w:r w:rsidRPr="006D13F9">
        <w:t>.4. Medición y abono</w:t>
      </w:r>
      <w:bookmarkEnd w:id="379"/>
    </w:p>
    <w:p w14:paraId="4BAF334F" w14:textId="77777777" w:rsidR="00C859A5" w:rsidRPr="006D13F9" w:rsidRDefault="00C859A5" w:rsidP="00C859A5">
      <w:pPr>
        <w:pStyle w:val="NORMAL12"/>
        <w:rPr>
          <w:lang w:val="es-ES"/>
        </w:rPr>
      </w:pPr>
      <w:r w:rsidRPr="006D13F9">
        <w:rPr>
          <w:lang w:val="es-ES"/>
        </w:rPr>
        <w:t xml:space="preserve">La medición y abono de la unidad </w:t>
      </w:r>
      <w:r w:rsidR="00D61A1E" w:rsidRPr="006D13F9">
        <w:rPr>
          <w:lang w:val="es-ES"/>
        </w:rPr>
        <w:t xml:space="preserve">limpieza de obra de drenaje se </w:t>
      </w:r>
      <w:r w:rsidRPr="006D13F9">
        <w:rPr>
          <w:lang w:val="es-ES"/>
        </w:rPr>
        <w:t>realizará conforme a las especificaciones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32"/>
        <w:gridCol w:w="6296"/>
      </w:tblGrid>
      <w:tr w:rsidR="00C859A5" w:rsidRPr="006D13F9" w14:paraId="18A90460" w14:textId="77777777" w:rsidTr="001F3E93">
        <w:tc>
          <w:tcPr>
            <w:tcW w:w="2632" w:type="dxa"/>
            <w:tcBorders>
              <w:top w:val="single" w:sz="4" w:space="0" w:color="auto"/>
              <w:left w:val="single" w:sz="4" w:space="0" w:color="auto"/>
              <w:bottom w:val="single" w:sz="4" w:space="0" w:color="auto"/>
              <w:right w:val="single" w:sz="4" w:space="0" w:color="auto"/>
            </w:tcBorders>
            <w:vAlign w:val="center"/>
          </w:tcPr>
          <w:p w14:paraId="1B504268" w14:textId="77777777" w:rsidR="00C859A5" w:rsidRPr="006D13F9" w:rsidRDefault="00C859A5" w:rsidP="001F3E93">
            <w:pPr>
              <w:pStyle w:val="Tabla"/>
              <w:rPr>
                <w:b/>
              </w:rPr>
            </w:pPr>
            <w:r w:rsidRPr="006D13F9">
              <w:rPr>
                <w:b/>
              </w:rPr>
              <w:t>Unidad de medida</w:t>
            </w:r>
          </w:p>
        </w:tc>
        <w:tc>
          <w:tcPr>
            <w:tcW w:w="6296" w:type="dxa"/>
            <w:tcBorders>
              <w:top w:val="single" w:sz="4" w:space="0" w:color="auto"/>
              <w:left w:val="single" w:sz="4" w:space="0" w:color="auto"/>
              <w:bottom w:val="single" w:sz="4" w:space="0" w:color="auto"/>
              <w:right w:val="single" w:sz="4" w:space="0" w:color="auto"/>
            </w:tcBorders>
            <w:vAlign w:val="center"/>
          </w:tcPr>
          <w:p w14:paraId="7110480D" w14:textId="77777777" w:rsidR="00C859A5" w:rsidRPr="006D13F9" w:rsidRDefault="00D61A1E" w:rsidP="00552D4A">
            <w:pPr>
              <w:pStyle w:val="LCATabla"/>
              <w:keepLines/>
              <w:jc w:val="both"/>
              <w:rPr>
                <w:rFonts w:ascii="Arial" w:hAnsi="Arial"/>
                <w:sz w:val="20"/>
              </w:rPr>
            </w:pPr>
            <w:proofErr w:type="gramStart"/>
            <w:r w:rsidRPr="006D13F9">
              <w:rPr>
                <w:rFonts w:ascii="Arial" w:hAnsi="Arial"/>
                <w:sz w:val="20"/>
              </w:rPr>
              <w:t xml:space="preserve">Unidad  </w:t>
            </w:r>
            <w:r w:rsidR="00524011">
              <w:rPr>
                <w:rFonts w:ascii="Arial" w:hAnsi="Arial"/>
                <w:sz w:val="20"/>
              </w:rPr>
              <w:t>(</w:t>
            </w:r>
            <w:proofErr w:type="spellStart"/>
            <w:proofErr w:type="gramEnd"/>
            <w:r w:rsidR="00524011">
              <w:rPr>
                <w:rFonts w:ascii="Arial" w:hAnsi="Arial"/>
                <w:sz w:val="20"/>
              </w:rPr>
              <w:t>ud</w:t>
            </w:r>
            <w:proofErr w:type="spellEnd"/>
            <w:r w:rsidR="00524011">
              <w:rPr>
                <w:rFonts w:ascii="Arial" w:hAnsi="Arial"/>
                <w:sz w:val="20"/>
              </w:rPr>
              <w:t>)</w:t>
            </w:r>
          </w:p>
        </w:tc>
      </w:tr>
      <w:tr w:rsidR="00C859A5" w:rsidRPr="006D13F9" w14:paraId="37AD70FA" w14:textId="77777777" w:rsidTr="001F3E93">
        <w:tc>
          <w:tcPr>
            <w:tcW w:w="2632" w:type="dxa"/>
            <w:tcBorders>
              <w:top w:val="single" w:sz="4" w:space="0" w:color="auto"/>
              <w:left w:val="single" w:sz="4" w:space="0" w:color="auto"/>
              <w:bottom w:val="single" w:sz="4" w:space="0" w:color="auto"/>
              <w:right w:val="single" w:sz="4" w:space="0" w:color="auto"/>
            </w:tcBorders>
            <w:vAlign w:val="center"/>
          </w:tcPr>
          <w:p w14:paraId="27198ED9" w14:textId="77777777" w:rsidR="00C859A5" w:rsidRPr="006D13F9" w:rsidRDefault="00C859A5" w:rsidP="001F3E93">
            <w:pPr>
              <w:pStyle w:val="Tabla"/>
              <w:rPr>
                <w:b/>
              </w:rPr>
            </w:pPr>
            <w:r w:rsidRPr="006D13F9">
              <w:rPr>
                <w:b/>
              </w:rPr>
              <w:t>Grado de precisión</w:t>
            </w:r>
          </w:p>
        </w:tc>
        <w:tc>
          <w:tcPr>
            <w:tcW w:w="6296" w:type="dxa"/>
            <w:tcBorders>
              <w:top w:val="single" w:sz="4" w:space="0" w:color="auto"/>
              <w:left w:val="single" w:sz="4" w:space="0" w:color="auto"/>
              <w:bottom w:val="single" w:sz="4" w:space="0" w:color="auto"/>
              <w:right w:val="single" w:sz="4" w:space="0" w:color="auto"/>
            </w:tcBorders>
            <w:vAlign w:val="center"/>
          </w:tcPr>
          <w:p w14:paraId="1A89E89C" w14:textId="77777777" w:rsidR="00C859A5" w:rsidRPr="006D13F9" w:rsidRDefault="00D61A1E" w:rsidP="00552D4A">
            <w:pPr>
              <w:pStyle w:val="LCATabla"/>
              <w:keepLines/>
              <w:jc w:val="both"/>
              <w:rPr>
                <w:rFonts w:ascii="Arial" w:hAnsi="Arial"/>
                <w:sz w:val="20"/>
              </w:rPr>
            </w:pPr>
            <w:r w:rsidRPr="006D13F9">
              <w:rPr>
                <w:rFonts w:ascii="Arial" w:hAnsi="Arial"/>
                <w:sz w:val="20"/>
              </w:rPr>
              <w:t>Número entero</w:t>
            </w:r>
          </w:p>
        </w:tc>
      </w:tr>
      <w:tr w:rsidR="00C859A5" w:rsidRPr="006D13F9" w14:paraId="2CBED0B7" w14:textId="77777777" w:rsidTr="001F3E93">
        <w:tc>
          <w:tcPr>
            <w:tcW w:w="2632" w:type="dxa"/>
            <w:tcBorders>
              <w:top w:val="single" w:sz="4" w:space="0" w:color="auto"/>
              <w:left w:val="single" w:sz="4" w:space="0" w:color="auto"/>
              <w:bottom w:val="single" w:sz="4" w:space="0" w:color="auto"/>
              <w:right w:val="single" w:sz="4" w:space="0" w:color="auto"/>
            </w:tcBorders>
            <w:vAlign w:val="center"/>
          </w:tcPr>
          <w:p w14:paraId="13D40B87" w14:textId="77777777" w:rsidR="00C859A5" w:rsidRPr="006D13F9" w:rsidRDefault="00C859A5" w:rsidP="001F3E93">
            <w:pPr>
              <w:pStyle w:val="Tabla"/>
              <w:rPr>
                <w:b/>
              </w:rPr>
            </w:pPr>
            <w:r w:rsidRPr="006D13F9">
              <w:rPr>
                <w:b/>
              </w:rPr>
              <w:t>Forma de medición</w:t>
            </w:r>
          </w:p>
        </w:tc>
        <w:tc>
          <w:tcPr>
            <w:tcW w:w="6296" w:type="dxa"/>
            <w:tcBorders>
              <w:top w:val="single" w:sz="4" w:space="0" w:color="auto"/>
              <w:left w:val="single" w:sz="4" w:space="0" w:color="auto"/>
              <w:bottom w:val="single" w:sz="4" w:space="0" w:color="auto"/>
              <w:right w:val="single" w:sz="4" w:space="0" w:color="auto"/>
            </w:tcBorders>
            <w:vAlign w:val="center"/>
          </w:tcPr>
          <w:p w14:paraId="48CAF250" w14:textId="77777777" w:rsidR="00C859A5" w:rsidRPr="006D13F9" w:rsidRDefault="00D61A1E" w:rsidP="00552D4A">
            <w:pPr>
              <w:pStyle w:val="LCATabla"/>
              <w:keepLines/>
              <w:jc w:val="both"/>
              <w:rPr>
                <w:rFonts w:ascii="Arial" w:hAnsi="Arial"/>
                <w:sz w:val="20"/>
              </w:rPr>
            </w:pPr>
            <w:r w:rsidRPr="006D13F9">
              <w:rPr>
                <w:rFonts w:ascii="Arial" w:hAnsi="Arial"/>
                <w:sz w:val="20"/>
              </w:rPr>
              <w:t xml:space="preserve">Obra de drenaje realmente </w:t>
            </w:r>
            <w:r w:rsidR="00217216" w:rsidRPr="006D13F9">
              <w:rPr>
                <w:rFonts w:ascii="Arial" w:hAnsi="Arial"/>
                <w:sz w:val="20"/>
              </w:rPr>
              <w:t>limpiada</w:t>
            </w:r>
          </w:p>
        </w:tc>
      </w:tr>
      <w:tr w:rsidR="00C859A5" w:rsidRPr="006D13F9" w14:paraId="46E692E5" w14:textId="77777777" w:rsidTr="001F3E93">
        <w:tc>
          <w:tcPr>
            <w:tcW w:w="2632" w:type="dxa"/>
            <w:tcBorders>
              <w:top w:val="single" w:sz="4" w:space="0" w:color="auto"/>
              <w:left w:val="single" w:sz="4" w:space="0" w:color="auto"/>
              <w:bottom w:val="single" w:sz="4" w:space="0" w:color="auto"/>
              <w:right w:val="single" w:sz="4" w:space="0" w:color="auto"/>
            </w:tcBorders>
            <w:vAlign w:val="center"/>
          </w:tcPr>
          <w:p w14:paraId="2F59B44E" w14:textId="77777777" w:rsidR="00C859A5" w:rsidRPr="006D13F9" w:rsidRDefault="00C859A5" w:rsidP="001F3E93">
            <w:pPr>
              <w:pStyle w:val="Tabla"/>
              <w:rPr>
                <w:b/>
              </w:rPr>
            </w:pPr>
            <w:r w:rsidRPr="006D13F9">
              <w:rPr>
                <w:b/>
              </w:rPr>
              <w:t>Abono</w:t>
            </w:r>
          </w:p>
        </w:tc>
        <w:tc>
          <w:tcPr>
            <w:tcW w:w="6296" w:type="dxa"/>
            <w:tcBorders>
              <w:top w:val="single" w:sz="4" w:space="0" w:color="auto"/>
              <w:left w:val="single" w:sz="4" w:space="0" w:color="auto"/>
              <w:bottom w:val="single" w:sz="4" w:space="0" w:color="auto"/>
              <w:right w:val="single" w:sz="4" w:space="0" w:color="auto"/>
            </w:tcBorders>
            <w:vAlign w:val="center"/>
          </w:tcPr>
          <w:p w14:paraId="1F66D42D" w14:textId="77777777" w:rsidR="00C859A5" w:rsidRPr="006D13F9" w:rsidRDefault="00C859A5" w:rsidP="00552D4A">
            <w:pPr>
              <w:pStyle w:val="LCATabla"/>
              <w:keepLines/>
              <w:jc w:val="both"/>
              <w:rPr>
                <w:rFonts w:ascii="Arial" w:hAnsi="Arial"/>
                <w:sz w:val="20"/>
              </w:rPr>
            </w:pPr>
            <w:r w:rsidRPr="006D13F9">
              <w:rPr>
                <w:rFonts w:ascii="Arial" w:hAnsi="Arial"/>
                <w:sz w:val="20"/>
              </w:rPr>
              <w:t>Se efectuará cuando se realice la aceptación</w:t>
            </w:r>
          </w:p>
        </w:tc>
      </w:tr>
      <w:tr w:rsidR="00C859A5" w:rsidRPr="006D13F9" w14:paraId="3388D022" w14:textId="77777777" w:rsidTr="001F3E93">
        <w:tc>
          <w:tcPr>
            <w:tcW w:w="2632" w:type="dxa"/>
            <w:tcBorders>
              <w:top w:val="single" w:sz="4" w:space="0" w:color="auto"/>
              <w:left w:val="single" w:sz="4" w:space="0" w:color="auto"/>
              <w:bottom w:val="single" w:sz="4" w:space="0" w:color="auto"/>
              <w:right w:val="single" w:sz="4" w:space="0" w:color="auto"/>
            </w:tcBorders>
            <w:vAlign w:val="center"/>
          </w:tcPr>
          <w:p w14:paraId="169E3F26" w14:textId="77777777" w:rsidR="00C859A5" w:rsidRPr="006D13F9" w:rsidRDefault="00C859A5" w:rsidP="001F3E93">
            <w:pPr>
              <w:pStyle w:val="Tabla"/>
              <w:rPr>
                <w:b/>
              </w:rPr>
            </w:pPr>
            <w:r w:rsidRPr="006D13F9">
              <w:rPr>
                <w:b/>
              </w:rPr>
              <w:t>Criterios complementarios</w:t>
            </w:r>
          </w:p>
        </w:tc>
        <w:tc>
          <w:tcPr>
            <w:tcW w:w="6296" w:type="dxa"/>
            <w:tcBorders>
              <w:top w:val="single" w:sz="4" w:space="0" w:color="auto"/>
              <w:left w:val="single" w:sz="4" w:space="0" w:color="auto"/>
              <w:bottom w:val="single" w:sz="4" w:space="0" w:color="auto"/>
              <w:right w:val="single" w:sz="4" w:space="0" w:color="auto"/>
            </w:tcBorders>
            <w:vAlign w:val="center"/>
          </w:tcPr>
          <w:p w14:paraId="4FE9541E" w14:textId="77777777" w:rsidR="00C859A5" w:rsidRDefault="00D61A1E" w:rsidP="00552D4A">
            <w:pPr>
              <w:pStyle w:val="LCATabla"/>
              <w:keepLines/>
              <w:jc w:val="both"/>
              <w:rPr>
                <w:rFonts w:ascii="Arial" w:hAnsi="Arial"/>
                <w:sz w:val="20"/>
              </w:rPr>
            </w:pPr>
            <w:r w:rsidRPr="006D13F9">
              <w:rPr>
                <w:rFonts w:ascii="Arial" w:hAnsi="Arial"/>
                <w:sz w:val="20"/>
              </w:rPr>
              <w:t>El precio de la unidad incluye, la retirada de los elementos que impidan el acceso al cuerpo de la obra, todos los medios y materiales necesarios para la correcta ejecución de la unidad.</w:t>
            </w:r>
          </w:p>
          <w:p w14:paraId="454CEF65" w14:textId="77777777" w:rsidR="00433587" w:rsidRPr="006D13F9" w:rsidRDefault="00433587" w:rsidP="00552D4A">
            <w:pPr>
              <w:pStyle w:val="LCATabla"/>
              <w:keepLines/>
              <w:jc w:val="both"/>
              <w:rPr>
                <w:rFonts w:ascii="Arial" w:hAnsi="Arial"/>
                <w:sz w:val="20"/>
              </w:rPr>
            </w:pPr>
            <w:r>
              <w:rPr>
                <w:rFonts w:ascii="Arial" w:hAnsi="Arial"/>
                <w:sz w:val="20"/>
              </w:rPr>
              <w:t xml:space="preserve">Carga y transporte del material obtenido a </w:t>
            </w:r>
            <w:r w:rsidR="00217216">
              <w:rPr>
                <w:rFonts w:ascii="Arial" w:hAnsi="Arial"/>
                <w:sz w:val="20"/>
              </w:rPr>
              <w:t>instalación</w:t>
            </w:r>
            <w:r>
              <w:rPr>
                <w:rFonts w:ascii="Arial" w:hAnsi="Arial"/>
                <w:sz w:val="20"/>
              </w:rPr>
              <w:t xml:space="preserve"> de gestión de residuos. Totalmente terminado.</w:t>
            </w:r>
          </w:p>
        </w:tc>
      </w:tr>
    </w:tbl>
    <w:p w14:paraId="22A5650C" w14:textId="77777777" w:rsidR="00DC216E" w:rsidRPr="00C859A5" w:rsidRDefault="00DC216E" w:rsidP="00DC216E">
      <w:pPr>
        <w:pStyle w:val="NORMAL12"/>
        <w:rPr>
          <w:color w:val="FF0000"/>
          <w:lang w:val="es-ES"/>
        </w:rPr>
      </w:pPr>
    </w:p>
    <w:p w14:paraId="3E2235C8" w14:textId="77777777" w:rsidR="008F7D89" w:rsidRDefault="00847951" w:rsidP="006F6223">
      <w:pPr>
        <w:pStyle w:val="TITU1"/>
      </w:pPr>
      <w:bookmarkStart w:id="380" w:name="_Toc404178"/>
      <w:r w:rsidRPr="00240F27">
        <w:lastRenderedPageBreak/>
        <w:t xml:space="preserve">Artículo </w:t>
      </w:r>
      <w:r w:rsidR="00951171" w:rsidRPr="00240F27">
        <w:t>319.</w:t>
      </w:r>
      <w:r w:rsidR="008F7D89" w:rsidRPr="00240F27">
        <w:t xml:space="preserve"> Fresado</w:t>
      </w:r>
      <w:bookmarkEnd w:id="380"/>
    </w:p>
    <w:p w14:paraId="41760AE1" w14:textId="77777777" w:rsidR="00316114" w:rsidRPr="00AD7EF1" w:rsidRDefault="00316114" w:rsidP="004077DA">
      <w:pPr>
        <w:spacing w:before="120" w:after="120" w:line="360" w:lineRule="auto"/>
        <w:jc w:val="both"/>
        <w:rPr>
          <w:rFonts w:ascii="Arial" w:hAnsi="Arial"/>
          <w:i/>
        </w:rPr>
      </w:pPr>
      <w:r w:rsidRPr="00AD7EF1">
        <w:rPr>
          <w:rFonts w:ascii="Arial" w:hAnsi="Arial"/>
        </w:rPr>
        <w:t xml:space="preserve">El fresado del firme se ajustará a las prescripciones establecidas en la vigente instrucción 6.3. I.C. </w:t>
      </w:r>
      <w:r w:rsidRPr="00AD7EF1">
        <w:rPr>
          <w:rFonts w:ascii="Arial" w:hAnsi="Arial"/>
          <w:i/>
        </w:rPr>
        <w:t>Rehabilitación de firmes</w:t>
      </w:r>
    </w:p>
    <w:p w14:paraId="688C2FAE" w14:textId="77777777" w:rsidR="00316114" w:rsidRDefault="00951171" w:rsidP="000313DD">
      <w:pPr>
        <w:pStyle w:val="TITU2"/>
      </w:pPr>
      <w:bookmarkStart w:id="381" w:name="_Toc448915979"/>
      <w:bookmarkStart w:id="382" w:name="_Toc404179"/>
      <w:r>
        <w:t>319</w:t>
      </w:r>
      <w:r w:rsidR="00316114" w:rsidRPr="00AD7EF1">
        <w:t>.1.</w:t>
      </w:r>
      <w:r w:rsidR="00D81C53">
        <w:t xml:space="preserve"> </w:t>
      </w:r>
      <w:r w:rsidR="00316114" w:rsidRPr="00AD7EF1">
        <w:tab/>
        <w:t>Aplicación</w:t>
      </w:r>
      <w:bookmarkEnd w:id="381"/>
      <w:bookmarkEnd w:id="382"/>
    </w:p>
    <w:p w14:paraId="650E0D29" w14:textId="77777777" w:rsidR="00AD7EF1" w:rsidRDefault="00AD7EF1" w:rsidP="00AD7EF1">
      <w:pPr>
        <w:pStyle w:val="NORMAL12"/>
        <w:rPr>
          <w:lang w:val="es-ES"/>
        </w:rPr>
      </w:pPr>
      <w:r>
        <w:rPr>
          <w:lang w:val="es-ES"/>
        </w:rPr>
        <w:t>Las prescripciones de</w:t>
      </w:r>
      <w:r w:rsidR="00240F27">
        <w:rPr>
          <w:lang w:val="es-ES"/>
        </w:rPr>
        <w:t xml:space="preserve">l presente </w:t>
      </w:r>
      <w:r>
        <w:rPr>
          <w:lang w:val="es-ES"/>
        </w:rPr>
        <w:t xml:space="preserve">artículo </w:t>
      </w:r>
      <w:proofErr w:type="gramStart"/>
      <w:r>
        <w:rPr>
          <w:lang w:val="es-ES"/>
        </w:rPr>
        <w:t>son de aplicación</w:t>
      </w:r>
      <w:proofErr w:type="gramEnd"/>
      <w:r>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096"/>
        <w:gridCol w:w="733"/>
        <w:gridCol w:w="7454"/>
      </w:tblGrid>
      <w:tr w:rsidR="00AD7EF1" w:rsidRPr="00AD7EF1" w14:paraId="071949AC" w14:textId="77777777" w:rsidTr="00AD7EF1">
        <w:trPr>
          <w:trHeight w:val="300"/>
        </w:trPr>
        <w:tc>
          <w:tcPr>
            <w:tcW w:w="590" w:type="pct"/>
            <w:noWrap/>
          </w:tcPr>
          <w:p w14:paraId="671BCDC3" w14:textId="77777777" w:rsidR="00AD7EF1" w:rsidRPr="00140246" w:rsidRDefault="00AD7EF1" w:rsidP="00AD7EF1">
            <w:pPr>
              <w:rPr>
                <w:rFonts w:ascii="Calibri" w:hAnsi="Calibri"/>
              </w:rPr>
            </w:pPr>
            <w:r w:rsidRPr="00140246">
              <w:rPr>
                <w:rFonts w:ascii="Calibri" w:hAnsi="Calibri"/>
              </w:rPr>
              <w:t xml:space="preserve">301.0140          </w:t>
            </w:r>
          </w:p>
        </w:tc>
        <w:tc>
          <w:tcPr>
            <w:tcW w:w="395" w:type="pct"/>
            <w:noWrap/>
          </w:tcPr>
          <w:p w14:paraId="30B192F3" w14:textId="77777777" w:rsidR="00AD7EF1" w:rsidRPr="00140246" w:rsidRDefault="00AD7EF1" w:rsidP="00AD7EF1">
            <w:pPr>
              <w:rPr>
                <w:rFonts w:ascii="Calibri" w:hAnsi="Calibri"/>
              </w:rPr>
            </w:pPr>
            <w:r w:rsidRPr="00140246">
              <w:rPr>
                <w:rFonts w:ascii="Calibri" w:hAnsi="Calibri"/>
              </w:rPr>
              <w:t>m²cm</w:t>
            </w:r>
          </w:p>
        </w:tc>
        <w:tc>
          <w:tcPr>
            <w:tcW w:w="4015" w:type="pct"/>
          </w:tcPr>
          <w:p w14:paraId="275F3757" w14:textId="77777777" w:rsidR="00AD7EF1" w:rsidRPr="00140246" w:rsidRDefault="00AD7EF1" w:rsidP="00552D4A">
            <w:pPr>
              <w:jc w:val="both"/>
              <w:rPr>
                <w:rFonts w:ascii="Calibri" w:hAnsi="Calibri"/>
              </w:rPr>
            </w:pPr>
            <w:r w:rsidRPr="00140246">
              <w:rPr>
                <w:rFonts w:ascii="Calibri" w:hAnsi="Calibri"/>
              </w:rPr>
              <w:t>FRESADO DE PAVIMENTO BITUMINOSO O DE HORMIGÓN EXISTENTE i/ CARGA, BARRIDO, RETIRADA Y TRANSPORTE DE RESIDUOS A LUGAR DE EMPLEO Y/O GESTOR AUTORIZADO HASTA UNA DISTANCIA DE 60 km.</w:t>
            </w:r>
          </w:p>
          <w:p w14:paraId="0ADACDE4" w14:textId="77777777" w:rsidR="00AD7EF1" w:rsidRPr="00140246" w:rsidRDefault="00AD7EF1" w:rsidP="00552D4A">
            <w:pPr>
              <w:jc w:val="both"/>
              <w:rPr>
                <w:rFonts w:ascii="Calibri" w:hAnsi="Calibri"/>
              </w:rPr>
            </w:pPr>
          </w:p>
        </w:tc>
      </w:tr>
    </w:tbl>
    <w:p w14:paraId="702BF48B" w14:textId="77777777" w:rsidR="00AD7EF1" w:rsidRDefault="00AD7EF1" w:rsidP="00AD7EF1">
      <w:pPr>
        <w:pStyle w:val="NORMAL12"/>
        <w:rPr>
          <w:lang w:val="es-ES"/>
        </w:rPr>
      </w:pPr>
      <w:r>
        <w:rPr>
          <w:lang w:val="es-ES"/>
        </w:rPr>
        <w:t>La ejecución de la unidad incluye la realización de las operaciones siguientes:</w:t>
      </w:r>
    </w:p>
    <w:p w14:paraId="61516703" w14:textId="77777777" w:rsidR="00AD7EF1" w:rsidRDefault="00AD7EF1" w:rsidP="00661A5F">
      <w:pPr>
        <w:pStyle w:val="NORMAL12"/>
        <w:numPr>
          <w:ilvl w:val="0"/>
          <w:numId w:val="206"/>
        </w:numPr>
      </w:pPr>
      <w:r>
        <w:rPr>
          <w:lang w:val="es-ES"/>
        </w:rPr>
        <w:t xml:space="preserve">Fresado en frio </w:t>
      </w:r>
      <w:r w:rsidR="00316114" w:rsidRPr="00AD7EF1">
        <w:t>de capas del firme</w:t>
      </w:r>
      <w:r>
        <w:t xml:space="preserve"> hasta el espesor marcado</w:t>
      </w:r>
    </w:p>
    <w:p w14:paraId="0AE9DB4C" w14:textId="77777777" w:rsidR="00316114" w:rsidRPr="00AD7EF1" w:rsidRDefault="00AD7EF1" w:rsidP="00661A5F">
      <w:pPr>
        <w:pStyle w:val="NORMAL12"/>
        <w:numPr>
          <w:ilvl w:val="0"/>
          <w:numId w:val="206"/>
        </w:numPr>
      </w:pPr>
      <w:r>
        <w:t>C</w:t>
      </w:r>
      <w:r w:rsidR="00316114" w:rsidRPr="00AD7EF1">
        <w:t xml:space="preserve">arga y transporte a vertedero de los materiales procedentes del fresado. </w:t>
      </w:r>
    </w:p>
    <w:p w14:paraId="488EBA17" w14:textId="77777777" w:rsidR="00316114" w:rsidRPr="00AD7EF1" w:rsidRDefault="00951171" w:rsidP="000313DD">
      <w:pPr>
        <w:pStyle w:val="TITU2"/>
      </w:pPr>
      <w:bookmarkStart w:id="383" w:name="_Toc448915980"/>
      <w:bookmarkStart w:id="384" w:name="_Toc404180"/>
      <w:r>
        <w:t>319</w:t>
      </w:r>
      <w:r w:rsidR="00316114" w:rsidRPr="00AD7EF1">
        <w:t>.2.</w:t>
      </w:r>
      <w:r w:rsidR="00D81C53">
        <w:t xml:space="preserve"> </w:t>
      </w:r>
      <w:r w:rsidR="00316114" w:rsidRPr="00AD7EF1">
        <w:tab/>
        <w:t>Ejecución</w:t>
      </w:r>
      <w:bookmarkEnd w:id="383"/>
      <w:r>
        <w:t xml:space="preserve"> de las obras</w:t>
      </w:r>
      <w:bookmarkEnd w:id="384"/>
    </w:p>
    <w:p w14:paraId="2685E923" w14:textId="77777777" w:rsidR="00316114" w:rsidRPr="004712AC" w:rsidRDefault="00951171" w:rsidP="004712AC">
      <w:pPr>
        <w:pStyle w:val="TITU3"/>
        <w:numPr>
          <w:ilvl w:val="0"/>
          <w:numId w:val="0"/>
        </w:numPr>
        <w:outlineLvl w:val="3"/>
      </w:pPr>
      <w:bookmarkStart w:id="385" w:name="_Toc448915981"/>
      <w:r>
        <w:t>319</w:t>
      </w:r>
      <w:r w:rsidR="00316114" w:rsidRPr="004712AC">
        <w:t>.2.1.</w:t>
      </w:r>
      <w:r>
        <w:t xml:space="preserve"> </w:t>
      </w:r>
      <w:r w:rsidR="00316114" w:rsidRPr="004712AC">
        <w:t>Maquinaria</w:t>
      </w:r>
      <w:bookmarkEnd w:id="385"/>
    </w:p>
    <w:p w14:paraId="7A4DA2F3" w14:textId="77777777" w:rsidR="00316114" w:rsidRPr="00AD7EF1" w:rsidRDefault="00316114" w:rsidP="00AD7EF1">
      <w:pPr>
        <w:spacing w:before="120" w:after="120" w:line="360" w:lineRule="auto"/>
        <w:jc w:val="both"/>
        <w:rPr>
          <w:rFonts w:ascii="Arial" w:hAnsi="Arial"/>
        </w:rPr>
      </w:pPr>
      <w:r w:rsidRPr="00AD7EF1">
        <w:rPr>
          <w:rFonts w:ascii="Arial" w:hAnsi="Arial"/>
        </w:rPr>
        <w:t>El equipo necesario para la ejecución de las obras es el indicado seguidamente:</w:t>
      </w:r>
    </w:p>
    <w:p w14:paraId="0F71502C" w14:textId="77777777" w:rsidR="00316114" w:rsidRPr="00AD7EF1" w:rsidRDefault="00316114" w:rsidP="00221E1A">
      <w:pPr>
        <w:numPr>
          <w:ilvl w:val="0"/>
          <w:numId w:val="183"/>
        </w:numPr>
        <w:tabs>
          <w:tab w:val="left" w:pos="993"/>
        </w:tabs>
        <w:spacing w:before="120" w:after="120" w:line="360" w:lineRule="auto"/>
        <w:jc w:val="both"/>
        <w:rPr>
          <w:rFonts w:ascii="Arial" w:hAnsi="Arial"/>
        </w:rPr>
      </w:pPr>
      <w:r w:rsidRPr="00AD7EF1">
        <w:rPr>
          <w:rFonts w:ascii="Arial" w:hAnsi="Arial"/>
        </w:rPr>
        <w:t>Fresadora autopropulsada, capaz de efectuar el fresado en frío en las condiciones estipuladas en este artículo.</w:t>
      </w:r>
    </w:p>
    <w:p w14:paraId="091D6042" w14:textId="77777777" w:rsidR="00316114" w:rsidRPr="00AD7EF1" w:rsidRDefault="00316114" w:rsidP="00221E1A">
      <w:pPr>
        <w:numPr>
          <w:ilvl w:val="0"/>
          <w:numId w:val="183"/>
        </w:numPr>
        <w:tabs>
          <w:tab w:val="left" w:pos="993"/>
        </w:tabs>
        <w:spacing w:before="120" w:after="120" w:line="360" w:lineRule="auto"/>
        <w:jc w:val="both"/>
        <w:rPr>
          <w:rFonts w:ascii="Arial" w:hAnsi="Arial"/>
        </w:rPr>
      </w:pPr>
      <w:r w:rsidRPr="00AD7EF1">
        <w:rPr>
          <w:rFonts w:ascii="Arial" w:hAnsi="Arial"/>
        </w:rPr>
        <w:t>Equipo de carga y transporte del material fresado hasta centro gestor de residuos.</w:t>
      </w:r>
    </w:p>
    <w:p w14:paraId="47028743" w14:textId="77777777" w:rsidR="00316114" w:rsidRPr="00AD7EF1" w:rsidRDefault="00316114" w:rsidP="00221E1A">
      <w:pPr>
        <w:numPr>
          <w:ilvl w:val="0"/>
          <w:numId w:val="183"/>
        </w:numPr>
        <w:tabs>
          <w:tab w:val="left" w:pos="993"/>
        </w:tabs>
        <w:spacing w:before="120" w:after="120" w:line="360" w:lineRule="auto"/>
        <w:jc w:val="both"/>
        <w:rPr>
          <w:rFonts w:ascii="Arial" w:hAnsi="Arial"/>
        </w:rPr>
      </w:pPr>
      <w:r w:rsidRPr="00AD7EF1">
        <w:rPr>
          <w:rFonts w:ascii="Arial" w:hAnsi="Arial"/>
        </w:rPr>
        <w:t>Equipo de barrido y limpieza, consistente en barredoras mecánicas de cepillo, que preferiblemente irán dotadas de equipos de aspiración. En lugares de difícil accesibilidad podrán emplearse escobas de mano.</w:t>
      </w:r>
    </w:p>
    <w:p w14:paraId="470BF386" w14:textId="77777777" w:rsidR="00316114" w:rsidRDefault="00316114" w:rsidP="00AD7EF1">
      <w:pPr>
        <w:spacing w:before="120" w:after="120" w:line="360" w:lineRule="auto"/>
        <w:jc w:val="both"/>
        <w:rPr>
          <w:rFonts w:ascii="Arial" w:hAnsi="Arial"/>
        </w:rPr>
      </w:pPr>
      <w:r w:rsidRPr="00AD7EF1">
        <w:rPr>
          <w:rFonts w:ascii="Arial" w:hAnsi="Arial"/>
        </w:rPr>
        <w:t>Para la limpieza final se empleará un sistema de soplado mediante aire comprimido.</w:t>
      </w:r>
    </w:p>
    <w:p w14:paraId="308A41E2" w14:textId="77777777" w:rsidR="00140246" w:rsidRDefault="00140246" w:rsidP="00AD7EF1">
      <w:pPr>
        <w:spacing w:before="120" w:after="120" w:line="360" w:lineRule="auto"/>
        <w:jc w:val="both"/>
        <w:rPr>
          <w:rFonts w:ascii="Arial" w:hAnsi="Arial"/>
        </w:rPr>
      </w:pPr>
    </w:p>
    <w:p w14:paraId="430E4BA6" w14:textId="77777777" w:rsidR="00140246" w:rsidRPr="00AD7EF1" w:rsidRDefault="00140246" w:rsidP="00AD7EF1">
      <w:pPr>
        <w:spacing w:before="120" w:after="120" w:line="360" w:lineRule="auto"/>
        <w:jc w:val="both"/>
        <w:rPr>
          <w:rFonts w:ascii="Arial" w:hAnsi="Arial"/>
        </w:rPr>
      </w:pPr>
    </w:p>
    <w:p w14:paraId="16790343" w14:textId="77777777" w:rsidR="00316114" w:rsidRDefault="00951171" w:rsidP="004712AC">
      <w:pPr>
        <w:pStyle w:val="TITU3"/>
        <w:numPr>
          <w:ilvl w:val="0"/>
          <w:numId w:val="0"/>
        </w:numPr>
        <w:outlineLvl w:val="3"/>
      </w:pPr>
      <w:bookmarkStart w:id="386" w:name="_Toc448915982"/>
      <w:r>
        <w:t>319</w:t>
      </w:r>
      <w:r w:rsidR="00316114" w:rsidRPr="004712AC">
        <w:t>.2.2.</w:t>
      </w:r>
      <w:r>
        <w:t xml:space="preserve"> </w:t>
      </w:r>
      <w:r w:rsidR="00316114" w:rsidRPr="004712AC">
        <w:t>Ejecución de las obras</w:t>
      </w:r>
      <w:bookmarkEnd w:id="386"/>
    </w:p>
    <w:p w14:paraId="3B7EE0A8" w14:textId="77777777" w:rsidR="005B5A03" w:rsidRPr="005B5A03" w:rsidRDefault="005B5A03" w:rsidP="005B5A03">
      <w:pPr>
        <w:pStyle w:val="NORMAL12"/>
        <w:rPr>
          <w:lang w:val="es-ES"/>
        </w:rPr>
      </w:pPr>
      <w:r>
        <w:rPr>
          <w:lang w:val="es-ES"/>
        </w:rPr>
        <w:t>En la ejecución de las obras se dan los siguientes casos:</w:t>
      </w:r>
    </w:p>
    <w:p w14:paraId="0D7D532B" w14:textId="77777777" w:rsidR="00316114" w:rsidRDefault="00316114" w:rsidP="00AD7EF1">
      <w:pPr>
        <w:keepNext/>
        <w:spacing w:before="360" w:after="120" w:line="360" w:lineRule="auto"/>
        <w:jc w:val="both"/>
        <w:rPr>
          <w:rFonts w:ascii="Arial" w:hAnsi="Arial"/>
          <w:bCs/>
          <w:i/>
          <w:u w:val="single"/>
        </w:rPr>
      </w:pPr>
      <w:r w:rsidRPr="00951171">
        <w:rPr>
          <w:rFonts w:ascii="Arial" w:hAnsi="Arial"/>
          <w:bCs/>
          <w:i/>
          <w:u w:val="single"/>
        </w:rPr>
        <w:t>Delimitación de las superficies sometidas a tratamiento y profundidad de fresado</w:t>
      </w:r>
    </w:p>
    <w:p w14:paraId="1BEC4CB3" w14:textId="77777777" w:rsidR="005B5A03" w:rsidRPr="005B5A03" w:rsidRDefault="005B5A03" w:rsidP="00AD7EF1">
      <w:pPr>
        <w:keepNext/>
        <w:spacing w:before="360" w:after="120" w:line="360" w:lineRule="auto"/>
        <w:jc w:val="both"/>
        <w:rPr>
          <w:rFonts w:ascii="Arial" w:hAnsi="Arial"/>
          <w:bCs/>
        </w:rPr>
      </w:pPr>
      <w:r w:rsidRPr="005B5A03">
        <w:rPr>
          <w:rFonts w:ascii="Arial" w:hAnsi="Arial"/>
          <w:bCs/>
        </w:rPr>
        <w:t xml:space="preserve">Se definirán </w:t>
      </w:r>
      <w:r w:rsidR="00217216" w:rsidRPr="005B5A03">
        <w:rPr>
          <w:rFonts w:ascii="Arial" w:hAnsi="Arial"/>
          <w:bCs/>
        </w:rPr>
        <w:t>las</w:t>
      </w:r>
      <w:r w:rsidRPr="005B5A03">
        <w:rPr>
          <w:rFonts w:ascii="Arial" w:hAnsi="Arial"/>
          <w:bCs/>
        </w:rPr>
        <w:t xml:space="preserve"> siguientes zonas de fresado:</w:t>
      </w:r>
    </w:p>
    <w:p w14:paraId="53472BB8" w14:textId="77777777" w:rsidR="005B5A03" w:rsidRDefault="00240F27" w:rsidP="00661A5F">
      <w:pPr>
        <w:pStyle w:val="NORMAL12"/>
        <w:numPr>
          <w:ilvl w:val="0"/>
          <w:numId w:val="206"/>
        </w:numPr>
        <w:rPr>
          <w:lang w:val="es-ES"/>
        </w:rPr>
      </w:pPr>
      <w:r w:rsidRPr="005B5A03">
        <w:rPr>
          <w:lang w:val="es-ES"/>
        </w:rPr>
        <w:t>La</w:t>
      </w:r>
      <w:r w:rsidR="00316114" w:rsidRPr="005B5A03">
        <w:rPr>
          <w:lang w:val="es-ES"/>
        </w:rPr>
        <w:t xml:space="preserve">s superficies </w:t>
      </w:r>
      <w:r w:rsidR="005B5A03">
        <w:rPr>
          <w:lang w:val="es-ES"/>
        </w:rPr>
        <w:t>n</w:t>
      </w:r>
      <w:r w:rsidRPr="005B5A03">
        <w:rPr>
          <w:lang w:val="es-ES"/>
        </w:rPr>
        <w:t xml:space="preserve">ecesarias para llevar a cabo la transición entre el firme existente y el nuevo firme. Se establece una distancia de </w:t>
      </w:r>
      <w:r w:rsidR="00234637" w:rsidRPr="005B5A03">
        <w:rPr>
          <w:lang w:val="es-ES"/>
        </w:rPr>
        <w:t>cien (</w:t>
      </w:r>
      <w:r w:rsidRPr="005B5A03">
        <w:rPr>
          <w:lang w:val="es-ES"/>
        </w:rPr>
        <w:t>100</w:t>
      </w:r>
      <w:r w:rsidR="00234637" w:rsidRPr="005B5A03">
        <w:rPr>
          <w:lang w:val="es-ES"/>
        </w:rPr>
        <w:t>)</w:t>
      </w:r>
      <w:r w:rsidRPr="005B5A03">
        <w:rPr>
          <w:lang w:val="es-ES"/>
        </w:rPr>
        <w:t xml:space="preserve"> metros en el tronco y veinte </w:t>
      </w:r>
      <w:r w:rsidR="00234637" w:rsidRPr="005B5A03">
        <w:rPr>
          <w:lang w:val="es-ES"/>
        </w:rPr>
        <w:t xml:space="preserve">(20) </w:t>
      </w:r>
      <w:r w:rsidRPr="005B5A03">
        <w:rPr>
          <w:lang w:val="es-ES"/>
        </w:rPr>
        <w:t>metros en los ramales desde el final de la zona de actuación, y</w:t>
      </w:r>
      <w:r w:rsidR="00234637" w:rsidRPr="005B5A03">
        <w:rPr>
          <w:lang w:val="es-ES"/>
        </w:rPr>
        <w:t xml:space="preserve"> en todo el ancho de la calzada</w:t>
      </w:r>
      <w:r w:rsidR="005B5A03">
        <w:rPr>
          <w:lang w:val="es-ES"/>
        </w:rPr>
        <w:t>.</w:t>
      </w:r>
    </w:p>
    <w:p w14:paraId="6C6510A0" w14:textId="77777777" w:rsidR="005B5A03" w:rsidRPr="005B5A03" w:rsidRDefault="005B5A03" w:rsidP="00661A5F">
      <w:pPr>
        <w:pStyle w:val="NORMAL12"/>
        <w:numPr>
          <w:ilvl w:val="0"/>
          <w:numId w:val="206"/>
        </w:numPr>
        <w:rPr>
          <w:lang w:val="es-ES"/>
        </w:rPr>
      </w:pPr>
      <w:r>
        <w:rPr>
          <w:lang w:val="es-ES"/>
        </w:rPr>
        <w:t xml:space="preserve">La superficie sobre la estructura necesaria para la ampliación de las estructuras. </w:t>
      </w:r>
      <w:r w:rsidRPr="005B5A03">
        <w:rPr>
          <w:lang w:val="es-ES"/>
        </w:rPr>
        <w:t>En el fresado del firme sobre estructura, con objeto de mejorar la impermeabilización del tablero, se fresará completamente el firme hasta descubrir la cara superior del tablero.</w:t>
      </w:r>
    </w:p>
    <w:p w14:paraId="7C3BC1B5" w14:textId="77777777" w:rsidR="00316114" w:rsidRPr="005B5A03" w:rsidRDefault="005B5A03" w:rsidP="005B5A03">
      <w:pPr>
        <w:spacing w:before="120" w:after="120" w:line="360" w:lineRule="auto"/>
        <w:jc w:val="both"/>
        <w:rPr>
          <w:rFonts w:ascii="Arial" w:hAnsi="Arial"/>
        </w:rPr>
      </w:pPr>
      <w:r w:rsidRPr="005B5A03">
        <w:rPr>
          <w:rFonts w:ascii="Arial" w:hAnsi="Arial"/>
        </w:rPr>
        <w:t xml:space="preserve">En ambos casos </w:t>
      </w:r>
      <w:r w:rsidR="00316114" w:rsidRPr="005B5A03">
        <w:rPr>
          <w:rFonts w:ascii="Arial" w:hAnsi="Arial"/>
        </w:rPr>
        <w:t xml:space="preserve">la zona final objeto de </w:t>
      </w:r>
      <w:r w:rsidRPr="005B5A03">
        <w:rPr>
          <w:rFonts w:ascii="Arial" w:hAnsi="Arial"/>
        </w:rPr>
        <w:t>fresado</w:t>
      </w:r>
      <w:r w:rsidR="00316114" w:rsidRPr="005B5A03">
        <w:rPr>
          <w:rFonts w:ascii="Arial" w:hAnsi="Arial"/>
        </w:rPr>
        <w:t xml:space="preserve"> se delimitará en la calzada por parte del </w:t>
      </w:r>
      <w:proofErr w:type="gramStart"/>
      <w:r w:rsidR="00316114" w:rsidRPr="005B5A03">
        <w:rPr>
          <w:rFonts w:ascii="Arial" w:hAnsi="Arial"/>
        </w:rPr>
        <w:t>Director</w:t>
      </w:r>
      <w:proofErr w:type="gramEnd"/>
      <w:r w:rsidR="00316114" w:rsidRPr="005B5A03">
        <w:rPr>
          <w:rFonts w:ascii="Arial" w:hAnsi="Arial"/>
        </w:rPr>
        <w:t xml:space="preserve"> de las Obras, tras una inspección visual detallada y un análisis de las deflexiones,</w:t>
      </w:r>
      <w:r w:rsidR="00D81C53" w:rsidRPr="005B5A03">
        <w:rPr>
          <w:rFonts w:ascii="Arial" w:hAnsi="Arial"/>
        </w:rPr>
        <w:t xml:space="preserve"> muestras y ensayos disponibles</w:t>
      </w:r>
      <w:r w:rsidRPr="005B5A03">
        <w:rPr>
          <w:rFonts w:ascii="Arial" w:hAnsi="Arial"/>
        </w:rPr>
        <w:t>.</w:t>
      </w:r>
    </w:p>
    <w:p w14:paraId="1B833910" w14:textId="77777777" w:rsidR="00316114" w:rsidRPr="00AD7EF1" w:rsidRDefault="005B5A03" w:rsidP="00D81C53">
      <w:pPr>
        <w:spacing w:before="120" w:after="120" w:line="360" w:lineRule="auto"/>
        <w:jc w:val="both"/>
        <w:rPr>
          <w:rFonts w:ascii="Arial" w:hAnsi="Arial"/>
        </w:rPr>
      </w:pPr>
      <w:r>
        <w:rPr>
          <w:rFonts w:ascii="Arial" w:hAnsi="Arial"/>
        </w:rPr>
        <w:t xml:space="preserve">Para ello el </w:t>
      </w:r>
      <w:proofErr w:type="gramStart"/>
      <w:r w:rsidR="00316114" w:rsidRPr="00AD7EF1">
        <w:rPr>
          <w:rFonts w:ascii="Arial" w:hAnsi="Arial"/>
        </w:rPr>
        <w:t>Director</w:t>
      </w:r>
      <w:proofErr w:type="gramEnd"/>
      <w:r w:rsidR="00316114" w:rsidRPr="00AD7EF1">
        <w:rPr>
          <w:rFonts w:ascii="Arial" w:hAnsi="Arial"/>
        </w:rPr>
        <w:t xml:space="preserve"> de las Obras podrá solicitar la realización de toma de muestras, ensayos y deflexiones adicionales que estime necesarias para delimitar exactamente las superficies que deben someterse a fresado. El Contratista correrá con los gastos de su realización. </w:t>
      </w:r>
    </w:p>
    <w:p w14:paraId="1430DB7B" w14:textId="77777777" w:rsidR="0024028D" w:rsidRDefault="00316114" w:rsidP="00D81C53">
      <w:pPr>
        <w:spacing w:before="120" w:after="120" w:line="360" w:lineRule="auto"/>
        <w:jc w:val="both"/>
        <w:rPr>
          <w:rFonts w:ascii="Arial" w:hAnsi="Arial"/>
        </w:rPr>
      </w:pPr>
      <w:r w:rsidRPr="00140246">
        <w:rPr>
          <w:rFonts w:ascii="Arial" w:hAnsi="Arial"/>
        </w:rPr>
        <w:t xml:space="preserve">En este artículo se definen las condiciones a observar durante la ejecución del fresado para garantizar que se </w:t>
      </w:r>
      <w:r w:rsidR="0024028D" w:rsidRPr="00140246">
        <w:rPr>
          <w:rFonts w:ascii="Arial" w:hAnsi="Arial"/>
        </w:rPr>
        <w:t xml:space="preserve">obtienen los espesores necesarios para realizar la transición entre firmes o para eliminar la capa de mezcla bituminosa sobre las losas de </w:t>
      </w:r>
      <w:proofErr w:type="gramStart"/>
      <w:r w:rsidR="0024028D" w:rsidRPr="00140246">
        <w:rPr>
          <w:rFonts w:ascii="Arial" w:hAnsi="Arial"/>
        </w:rPr>
        <w:t>las estructura</w:t>
      </w:r>
      <w:proofErr w:type="gramEnd"/>
      <w:r w:rsidR="0024028D" w:rsidRPr="00140246">
        <w:rPr>
          <w:rFonts w:ascii="Arial" w:hAnsi="Arial"/>
        </w:rPr>
        <w:t>.</w:t>
      </w:r>
      <w:r w:rsidR="0024028D">
        <w:rPr>
          <w:rFonts w:ascii="Arial" w:hAnsi="Arial"/>
        </w:rPr>
        <w:t xml:space="preserve"> </w:t>
      </w:r>
    </w:p>
    <w:p w14:paraId="3160A7CB" w14:textId="77777777" w:rsidR="00195FB9" w:rsidRDefault="00195FB9" w:rsidP="00D81C53">
      <w:pPr>
        <w:spacing w:before="120" w:after="120" w:line="360" w:lineRule="auto"/>
        <w:jc w:val="both"/>
        <w:rPr>
          <w:rFonts w:ascii="Arial" w:hAnsi="Arial"/>
        </w:rPr>
      </w:pPr>
      <w:r>
        <w:rPr>
          <w:rFonts w:ascii="Arial" w:hAnsi="Arial"/>
        </w:rPr>
        <w:t xml:space="preserve">En el caso de ejecutar el fresado en sucesivas capas de aglomerado, se realizará un escalonamiento entre capas de cuarenta centímetros (40 cm), de tal forma que no coincidan las juntas de fresado de las capas. </w:t>
      </w:r>
      <w:proofErr w:type="gramStart"/>
      <w:r>
        <w:rPr>
          <w:rFonts w:ascii="Arial" w:hAnsi="Arial"/>
        </w:rPr>
        <w:t>El escalonamiento a realizar</w:t>
      </w:r>
      <w:proofErr w:type="gramEnd"/>
      <w:r>
        <w:rPr>
          <w:rFonts w:ascii="Arial" w:hAnsi="Arial"/>
        </w:rPr>
        <w:t xml:space="preserve"> evita la entrada de agua a capas inferiores, dificultando la penetración de </w:t>
      </w:r>
      <w:proofErr w:type="gramStart"/>
      <w:r>
        <w:rPr>
          <w:rFonts w:ascii="Arial" w:hAnsi="Arial"/>
        </w:rPr>
        <w:t>la misma</w:t>
      </w:r>
      <w:proofErr w:type="gramEnd"/>
      <w:r>
        <w:rPr>
          <w:rFonts w:ascii="Arial" w:hAnsi="Arial"/>
        </w:rPr>
        <w:t>.</w:t>
      </w:r>
    </w:p>
    <w:p w14:paraId="6411F3BB" w14:textId="77777777" w:rsidR="00316114" w:rsidRDefault="00316114" w:rsidP="00D81C53">
      <w:pPr>
        <w:spacing w:before="120" w:after="120" w:line="360" w:lineRule="auto"/>
        <w:jc w:val="both"/>
        <w:rPr>
          <w:rFonts w:ascii="Arial" w:hAnsi="Arial" w:cs="Arial"/>
        </w:rPr>
      </w:pPr>
      <w:r w:rsidRPr="00AD7EF1">
        <w:rPr>
          <w:rFonts w:ascii="Arial" w:hAnsi="Arial"/>
        </w:rPr>
        <w:lastRenderedPageBreak/>
        <w:t xml:space="preserve">Antes de comenzar el fresado, el Contratista procederá, a su costa, al replanteo de detalle de las zonas que hay que </w:t>
      </w:r>
      <w:r w:rsidR="00D81C53">
        <w:rPr>
          <w:rFonts w:ascii="Arial" w:hAnsi="Arial"/>
        </w:rPr>
        <w:t>fresar</w:t>
      </w:r>
      <w:r w:rsidRPr="00AD7EF1">
        <w:rPr>
          <w:rFonts w:ascii="Arial" w:hAnsi="Arial"/>
        </w:rPr>
        <w:t xml:space="preserve">. El replanteo de detalle de todas las superficies sometidas a tratamiento se realizará con marcas de </w:t>
      </w:r>
      <w:r w:rsidRPr="00AD7EF1">
        <w:rPr>
          <w:rFonts w:ascii="Arial" w:hAnsi="Arial" w:cs="Arial"/>
        </w:rPr>
        <w:t>pintura sobre el propio pavimento, de forma que no den lugar a error.</w:t>
      </w:r>
    </w:p>
    <w:p w14:paraId="1FC036BC" w14:textId="77777777" w:rsidR="005B5A03" w:rsidRPr="00433587" w:rsidRDefault="005B5A03" w:rsidP="00D81C53">
      <w:pPr>
        <w:spacing w:before="120" w:after="120" w:line="360" w:lineRule="auto"/>
        <w:jc w:val="both"/>
        <w:rPr>
          <w:rFonts w:ascii="Arial" w:hAnsi="Arial" w:cs="Arial"/>
          <w:i/>
          <w:u w:val="single"/>
        </w:rPr>
      </w:pPr>
      <w:r w:rsidRPr="00433587">
        <w:rPr>
          <w:rFonts w:ascii="Arial" w:hAnsi="Arial" w:cs="Arial"/>
          <w:i/>
          <w:u w:val="single"/>
        </w:rPr>
        <w:t>Fresado por agotamiento estructural del firme</w:t>
      </w:r>
    </w:p>
    <w:p w14:paraId="2C00900F" w14:textId="77777777" w:rsidR="00316114" w:rsidRPr="00433587" w:rsidRDefault="00C462B3" w:rsidP="00D81C53">
      <w:pPr>
        <w:spacing w:before="120" w:after="120" w:line="360" w:lineRule="auto"/>
        <w:jc w:val="both"/>
        <w:rPr>
          <w:rFonts w:ascii="Arial" w:hAnsi="Arial" w:cs="Arial"/>
        </w:rPr>
      </w:pPr>
      <w:r w:rsidRPr="00433587">
        <w:rPr>
          <w:rFonts w:ascii="Arial" w:hAnsi="Arial" w:cs="Arial"/>
        </w:rPr>
        <w:t>Si una vez fresada las capas necesarias, para la transición, s</w:t>
      </w:r>
      <w:r w:rsidR="00316114" w:rsidRPr="00433587">
        <w:rPr>
          <w:rFonts w:ascii="Arial" w:hAnsi="Arial" w:cs="Arial"/>
        </w:rPr>
        <w:t>e considerar</w:t>
      </w:r>
      <w:r w:rsidRPr="00433587">
        <w:rPr>
          <w:rFonts w:ascii="Arial" w:hAnsi="Arial" w:cs="Arial"/>
        </w:rPr>
        <w:t>a</w:t>
      </w:r>
      <w:r w:rsidR="00316114" w:rsidRPr="00433587">
        <w:rPr>
          <w:rFonts w:ascii="Arial" w:hAnsi="Arial" w:cs="Arial"/>
        </w:rPr>
        <w:t xml:space="preserve"> que existe agotamiento estructural del firme </w:t>
      </w:r>
      <w:r w:rsidRPr="00433587">
        <w:rPr>
          <w:rFonts w:ascii="Arial" w:hAnsi="Arial" w:cs="Arial"/>
        </w:rPr>
        <w:t xml:space="preserve">porque </w:t>
      </w:r>
      <w:r w:rsidR="00316114" w:rsidRPr="00433587">
        <w:rPr>
          <w:rFonts w:ascii="Arial" w:hAnsi="Arial" w:cs="Arial"/>
        </w:rPr>
        <w:t xml:space="preserve">se observe en su superficie un agrietamiento de tipo estructural (zonas del carril cuarteadas en malla gruesa o fina y zonas de las rodadas con grietas longitudinales, ramificadas o no). En este caso, si no se conoce la profundidad del agrietamiento, se procederá a un reconocimiento más detallado del firme del carril mediante la extracción de testigos y la ejecución de calicatas escalonadas capa a capa. La eliminación parcial de firme y su posterior reposición deberá alcanzar la profundidad necesaria de acuerdo con lo indicado en el apartado 9.3.2 de la Norma 6.3.I.C. </w:t>
      </w:r>
      <w:r w:rsidR="00316114" w:rsidRPr="00433587">
        <w:rPr>
          <w:rFonts w:ascii="Arial" w:hAnsi="Arial" w:cs="Arial"/>
          <w:i/>
        </w:rPr>
        <w:t>"Rehabilitación de firmes"</w:t>
      </w:r>
      <w:r w:rsidR="00316114" w:rsidRPr="00433587">
        <w:rPr>
          <w:rFonts w:ascii="Arial" w:hAnsi="Arial" w:cs="Arial"/>
        </w:rPr>
        <w:t xml:space="preserve"> o hasta la capa cuya superficie no presente agrietamiento estructural. En todo caso, se eliminará la parte superior de la capa no eliminada (1 cm) cuando presente alteraciones que afecten a su integridad o no pueda quedar garantizada una buena adherencia con el material de reposición.</w:t>
      </w:r>
    </w:p>
    <w:p w14:paraId="2CA3470C" w14:textId="77777777" w:rsidR="00316114" w:rsidRPr="00433587" w:rsidRDefault="00316114" w:rsidP="00D81C53">
      <w:pPr>
        <w:spacing w:before="120" w:after="120" w:line="360" w:lineRule="auto"/>
        <w:jc w:val="both"/>
        <w:rPr>
          <w:rFonts w:ascii="Arial" w:hAnsi="Arial"/>
        </w:rPr>
      </w:pPr>
      <w:r w:rsidRPr="00433587">
        <w:rPr>
          <w:rFonts w:ascii="Arial" w:hAnsi="Arial"/>
        </w:rPr>
        <w:t>En el caso en que, después de eliminar las capas agrietadas, queden mezclas bituminosas sin fisurar y, por tanto, no agotadas por fatiga, los espesores de éstas deberán considerarse, a efectos de dimensionamiento del refuerzo como espesores de mezclas bituminosas nuevas, aplicando a su espesor real el coeficiente de equivalencia de 0,75.</w:t>
      </w:r>
    </w:p>
    <w:p w14:paraId="0EE968A9" w14:textId="77777777" w:rsidR="00D81C53" w:rsidRPr="00433587" w:rsidRDefault="00316114" w:rsidP="00D81C53">
      <w:pPr>
        <w:spacing w:before="120" w:after="120" w:line="360" w:lineRule="auto"/>
        <w:jc w:val="both"/>
        <w:rPr>
          <w:rFonts w:ascii="Arial" w:hAnsi="Arial" w:cs="Arial"/>
        </w:rPr>
      </w:pPr>
      <w:r w:rsidRPr="00433587">
        <w:rPr>
          <w:rFonts w:ascii="Arial" w:hAnsi="Arial" w:cs="Arial"/>
        </w:rPr>
        <w:t xml:space="preserve">Según la categoría de tráfico pesado, la profundidad de eliminación parcial y de reposición del firme será la necesaria para que el espesor total de mezclas bituminosas nuevas sea, como mínimo, el indicado en la tabla 4 de la citada Norma 6.3-I.C. </w:t>
      </w:r>
      <w:r w:rsidRPr="00433587">
        <w:rPr>
          <w:rFonts w:ascii="Arial" w:hAnsi="Arial" w:cs="Arial"/>
          <w:i/>
        </w:rPr>
        <w:t>"Rehabilitación de firmes".</w:t>
      </w:r>
      <w:r w:rsidRPr="00433587">
        <w:rPr>
          <w:rFonts w:ascii="Arial" w:hAnsi="Arial" w:cs="Arial"/>
        </w:rPr>
        <w:t xml:space="preserve"> La tabla se reproduce seguidamente por facilidad de consulta:</w:t>
      </w:r>
    </w:p>
    <w:tbl>
      <w:tblPr>
        <w:tblW w:w="9192" w:type="dxa"/>
        <w:jc w:val="center"/>
        <w:tblBorders>
          <w:top w:val="nil"/>
          <w:left w:val="nil"/>
          <w:bottom w:val="nil"/>
          <w:right w:val="nil"/>
        </w:tblBorders>
        <w:tblLayout w:type="fixed"/>
        <w:tblLook w:val="0000" w:firstRow="0" w:lastRow="0" w:firstColumn="0" w:lastColumn="0" w:noHBand="0" w:noVBand="0"/>
      </w:tblPr>
      <w:tblGrid>
        <w:gridCol w:w="1508"/>
        <w:gridCol w:w="1067"/>
        <w:gridCol w:w="428"/>
        <w:gridCol w:w="637"/>
        <w:gridCol w:w="858"/>
        <w:gridCol w:w="212"/>
        <w:gridCol w:w="1066"/>
        <w:gridCol w:w="218"/>
        <w:gridCol w:w="853"/>
        <w:gridCol w:w="643"/>
        <w:gridCol w:w="423"/>
        <w:gridCol w:w="1279"/>
      </w:tblGrid>
      <w:tr w:rsidR="003B7191" w:rsidRPr="00433587" w14:paraId="3C62ED62" w14:textId="77777777" w:rsidTr="003B7191">
        <w:trPr>
          <w:trHeight w:val="433"/>
          <w:jc w:val="center"/>
        </w:trPr>
        <w:tc>
          <w:tcPr>
            <w:tcW w:w="9191" w:type="dxa"/>
            <w:gridSpan w:val="12"/>
            <w:tcBorders>
              <w:top w:val="single" w:sz="12" w:space="0" w:color="auto"/>
              <w:bottom w:val="nil"/>
            </w:tcBorders>
            <w:shd w:val="clear" w:color="auto" w:fill="D9D9D9" w:themeFill="background1" w:themeFillShade="D9"/>
          </w:tcPr>
          <w:p w14:paraId="2B60D1F2" w14:textId="77777777" w:rsidR="00234637" w:rsidRPr="00433587" w:rsidRDefault="00234637" w:rsidP="00DB14F6">
            <w:pPr>
              <w:keepNext/>
              <w:spacing w:before="120" w:after="120"/>
              <w:jc w:val="center"/>
              <w:rPr>
                <w:rFonts w:ascii="Arial" w:hAnsi="Arial" w:cs="Arial"/>
                <w:sz w:val="20"/>
                <w:szCs w:val="20"/>
              </w:rPr>
            </w:pPr>
            <w:r w:rsidRPr="00433587">
              <w:rPr>
                <w:rFonts w:ascii="Arial" w:hAnsi="Arial" w:cs="Arial"/>
                <w:sz w:val="20"/>
                <w:szCs w:val="20"/>
              </w:rPr>
              <w:t>4.A Firmes flexibles, semiflexibles y semirrígidos en los que se eliminan total o parcialmente las capas tratadas con cemento</w:t>
            </w:r>
          </w:p>
        </w:tc>
      </w:tr>
      <w:tr w:rsidR="003B7191" w:rsidRPr="00433587" w14:paraId="4DB55645" w14:textId="77777777" w:rsidTr="003B7191">
        <w:trPr>
          <w:trHeight w:val="222"/>
          <w:jc w:val="center"/>
        </w:trPr>
        <w:tc>
          <w:tcPr>
            <w:tcW w:w="9191" w:type="dxa"/>
            <w:gridSpan w:val="12"/>
            <w:tcBorders>
              <w:top w:val="nil"/>
              <w:bottom w:val="nil"/>
            </w:tcBorders>
            <w:vAlign w:val="center"/>
          </w:tcPr>
          <w:p w14:paraId="3A39927B" w14:textId="77777777" w:rsidR="00234637" w:rsidRPr="00433587" w:rsidRDefault="00234637" w:rsidP="00DB14F6">
            <w:pPr>
              <w:keepNext/>
              <w:spacing w:before="120" w:after="120"/>
              <w:jc w:val="center"/>
              <w:rPr>
                <w:rFonts w:ascii="Arial" w:hAnsi="Arial" w:cs="Arial"/>
                <w:sz w:val="20"/>
                <w:szCs w:val="20"/>
              </w:rPr>
            </w:pPr>
            <w:r w:rsidRPr="00433587">
              <w:rPr>
                <w:rFonts w:ascii="Arial" w:hAnsi="Arial" w:cs="Arial"/>
                <w:sz w:val="20"/>
                <w:szCs w:val="20"/>
              </w:rPr>
              <w:t>Categoría de tráfico pesado</w:t>
            </w:r>
          </w:p>
        </w:tc>
      </w:tr>
      <w:tr w:rsidR="003B7191" w:rsidRPr="00433587" w14:paraId="0538FCB9" w14:textId="77777777" w:rsidTr="003B7191">
        <w:trPr>
          <w:trHeight w:val="361"/>
          <w:jc w:val="center"/>
        </w:trPr>
        <w:tc>
          <w:tcPr>
            <w:tcW w:w="1508" w:type="dxa"/>
            <w:tcBorders>
              <w:top w:val="nil"/>
              <w:bottom w:val="single" w:sz="12" w:space="0" w:color="auto"/>
            </w:tcBorders>
            <w:vAlign w:val="center"/>
          </w:tcPr>
          <w:p w14:paraId="40BB69E3"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T00 </w:t>
            </w:r>
          </w:p>
        </w:tc>
        <w:tc>
          <w:tcPr>
            <w:tcW w:w="1495" w:type="dxa"/>
            <w:gridSpan w:val="2"/>
            <w:tcBorders>
              <w:top w:val="nil"/>
              <w:bottom w:val="single" w:sz="12" w:space="0" w:color="auto"/>
            </w:tcBorders>
            <w:vAlign w:val="center"/>
          </w:tcPr>
          <w:p w14:paraId="70D9F49E"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T0 </w:t>
            </w:r>
          </w:p>
        </w:tc>
        <w:tc>
          <w:tcPr>
            <w:tcW w:w="1495" w:type="dxa"/>
            <w:gridSpan w:val="2"/>
            <w:tcBorders>
              <w:top w:val="nil"/>
              <w:bottom w:val="single" w:sz="12" w:space="0" w:color="auto"/>
            </w:tcBorders>
            <w:vAlign w:val="center"/>
          </w:tcPr>
          <w:p w14:paraId="748A325A"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T1 </w:t>
            </w:r>
          </w:p>
        </w:tc>
        <w:tc>
          <w:tcPr>
            <w:tcW w:w="1496" w:type="dxa"/>
            <w:gridSpan w:val="3"/>
            <w:tcBorders>
              <w:top w:val="nil"/>
              <w:bottom w:val="single" w:sz="12" w:space="0" w:color="auto"/>
            </w:tcBorders>
            <w:vAlign w:val="center"/>
          </w:tcPr>
          <w:p w14:paraId="74BAA8B1"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T2 </w:t>
            </w:r>
          </w:p>
        </w:tc>
        <w:tc>
          <w:tcPr>
            <w:tcW w:w="1496" w:type="dxa"/>
            <w:gridSpan w:val="2"/>
            <w:tcBorders>
              <w:top w:val="nil"/>
              <w:bottom w:val="single" w:sz="12" w:space="0" w:color="auto"/>
            </w:tcBorders>
            <w:vAlign w:val="center"/>
          </w:tcPr>
          <w:p w14:paraId="37E69433"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T3 </w:t>
            </w:r>
          </w:p>
        </w:tc>
        <w:tc>
          <w:tcPr>
            <w:tcW w:w="1699" w:type="dxa"/>
            <w:gridSpan w:val="2"/>
            <w:tcBorders>
              <w:top w:val="nil"/>
              <w:bottom w:val="single" w:sz="12" w:space="0" w:color="auto"/>
            </w:tcBorders>
            <w:vAlign w:val="center"/>
          </w:tcPr>
          <w:p w14:paraId="23D032C9"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T4 </w:t>
            </w:r>
          </w:p>
        </w:tc>
      </w:tr>
      <w:tr w:rsidR="003B7191" w:rsidRPr="00433587" w14:paraId="55371B98" w14:textId="77777777" w:rsidTr="003B7191">
        <w:trPr>
          <w:trHeight w:val="312"/>
          <w:jc w:val="center"/>
        </w:trPr>
        <w:tc>
          <w:tcPr>
            <w:tcW w:w="1508" w:type="dxa"/>
            <w:tcBorders>
              <w:top w:val="single" w:sz="12" w:space="0" w:color="auto"/>
              <w:bottom w:val="single" w:sz="12" w:space="0" w:color="auto"/>
            </w:tcBorders>
            <w:vAlign w:val="center"/>
          </w:tcPr>
          <w:p w14:paraId="7644056B"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35 </w:t>
            </w:r>
          </w:p>
        </w:tc>
        <w:tc>
          <w:tcPr>
            <w:tcW w:w="1495" w:type="dxa"/>
            <w:gridSpan w:val="2"/>
            <w:tcBorders>
              <w:top w:val="single" w:sz="12" w:space="0" w:color="auto"/>
              <w:bottom w:val="single" w:sz="12" w:space="0" w:color="auto"/>
            </w:tcBorders>
            <w:vAlign w:val="center"/>
          </w:tcPr>
          <w:p w14:paraId="2A90CD43"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30 </w:t>
            </w:r>
          </w:p>
        </w:tc>
        <w:tc>
          <w:tcPr>
            <w:tcW w:w="1495" w:type="dxa"/>
            <w:gridSpan w:val="2"/>
            <w:tcBorders>
              <w:top w:val="single" w:sz="12" w:space="0" w:color="auto"/>
              <w:bottom w:val="single" w:sz="12" w:space="0" w:color="auto"/>
            </w:tcBorders>
            <w:vAlign w:val="center"/>
          </w:tcPr>
          <w:p w14:paraId="101F52B1"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25 </w:t>
            </w:r>
          </w:p>
        </w:tc>
        <w:tc>
          <w:tcPr>
            <w:tcW w:w="1496" w:type="dxa"/>
            <w:gridSpan w:val="3"/>
            <w:tcBorders>
              <w:top w:val="single" w:sz="12" w:space="0" w:color="auto"/>
              <w:bottom w:val="single" w:sz="12" w:space="0" w:color="auto"/>
            </w:tcBorders>
            <w:vAlign w:val="center"/>
          </w:tcPr>
          <w:p w14:paraId="1CB4117E"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20 </w:t>
            </w:r>
          </w:p>
        </w:tc>
        <w:tc>
          <w:tcPr>
            <w:tcW w:w="1496" w:type="dxa"/>
            <w:gridSpan w:val="2"/>
            <w:tcBorders>
              <w:top w:val="single" w:sz="12" w:space="0" w:color="auto"/>
              <w:bottom w:val="single" w:sz="12" w:space="0" w:color="auto"/>
            </w:tcBorders>
            <w:vAlign w:val="center"/>
          </w:tcPr>
          <w:p w14:paraId="430FC34C"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 (*) </w:t>
            </w:r>
          </w:p>
        </w:tc>
        <w:tc>
          <w:tcPr>
            <w:tcW w:w="1699" w:type="dxa"/>
            <w:gridSpan w:val="2"/>
            <w:tcBorders>
              <w:top w:val="single" w:sz="12" w:space="0" w:color="auto"/>
              <w:bottom w:val="single" w:sz="12" w:space="0" w:color="auto"/>
            </w:tcBorders>
            <w:vAlign w:val="center"/>
          </w:tcPr>
          <w:p w14:paraId="4EC4211C"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 (*) </w:t>
            </w:r>
          </w:p>
        </w:tc>
      </w:tr>
      <w:tr w:rsidR="003B7191" w:rsidRPr="00433587" w14:paraId="7C256C1C" w14:textId="77777777" w:rsidTr="003B7191">
        <w:trPr>
          <w:trHeight w:val="406"/>
          <w:jc w:val="center"/>
        </w:trPr>
        <w:tc>
          <w:tcPr>
            <w:tcW w:w="9191" w:type="dxa"/>
            <w:gridSpan w:val="12"/>
            <w:tcBorders>
              <w:top w:val="single" w:sz="12" w:space="0" w:color="auto"/>
              <w:bottom w:val="single" w:sz="12" w:space="0" w:color="auto"/>
            </w:tcBorders>
            <w:vAlign w:val="center"/>
          </w:tcPr>
          <w:p w14:paraId="3E2A69B0" w14:textId="77777777" w:rsidR="00234637" w:rsidRPr="00433587" w:rsidRDefault="00234637" w:rsidP="00DB14F6">
            <w:pPr>
              <w:keepNext/>
              <w:spacing w:before="120" w:after="120"/>
              <w:rPr>
                <w:rFonts w:ascii="Arial" w:hAnsi="Arial" w:cs="Arial"/>
                <w:i/>
                <w:sz w:val="20"/>
                <w:szCs w:val="20"/>
              </w:rPr>
            </w:pPr>
            <w:r w:rsidRPr="00433587">
              <w:rPr>
                <w:rFonts w:ascii="Arial" w:hAnsi="Arial" w:cs="Arial"/>
                <w:i/>
                <w:sz w:val="20"/>
                <w:szCs w:val="20"/>
              </w:rPr>
              <w:t xml:space="preserve">(*) Para antiguas carreteras que actualmente sean vías de servicio de autopistas y autovías interurbanas: 15 cm para T3 y 5cm para T4. </w:t>
            </w:r>
          </w:p>
        </w:tc>
      </w:tr>
      <w:tr w:rsidR="003B7191" w:rsidRPr="00433587" w14:paraId="2C9382A9" w14:textId="77777777" w:rsidTr="003B7191">
        <w:trPr>
          <w:trHeight w:val="387"/>
          <w:jc w:val="center"/>
        </w:trPr>
        <w:tc>
          <w:tcPr>
            <w:tcW w:w="9191" w:type="dxa"/>
            <w:gridSpan w:val="12"/>
            <w:tcBorders>
              <w:top w:val="single" w:sz="12" w:space="0" w:color="auto"/>
              <w:bottom w:val="single" w:sz="12" w:space="0" w:color="auto"/>
            </w:tcBorders>
            <w:shd w:val="clear" w:color="auto" w:fill="D9D9D9" w:themeFill="background1" w:themeFillShade="D9"/>
            <w:vAlign w:val="center"/>
          </w:tcPr>
          <w:p w14:paraId="42B172F2" w14:textId="77777777" w:rsidR="00234637" w:rsidRPr="00433587" w:rsidRDefault="00234637" w:rsidP="00DB14F6">
            <w:pPr>
              <w:keepNext/>
              <w:spacing w:before="120" w:after="120"/>
              <w:jc w:val="center"/>
              <w:rPr>
                <w:rFonts w:ascii="Arial" w:hAnsi="Arial" w:cs="Arial"/>
                <w:sz w:val="20"/>
                <w:szCs w:val="20"/>
              </w:rPr>
            </w:pPr>
            <w:r w:rsidRPr="00433587">
              <w:rPr>
                <w:rFonts w:ascii="Arial" w:hAnsi="Arial" w:cs="Arial"/>
                <w:sz w:val="20"/>
                <w:szCs w:val="20"/>
              </w:rPr>
              <w:t>4.B Firmes semirrígidos en los que se conserva totalmente alguna capa tratada con cemento</w:t>
            </w:r>
          </w:p>
        </w:tc>
      </w:tr>
      <w:tr w:rsidR="003B7191" w:rsidRPr="00433587" w14:paraId="06EB5C96" w14:textId="77777777" w:rsidTr="003B7191">
        <w:trPr>
          <w:trHeight w:val="230"/>
          <w:jc w:val="center"/>
        </w:trPr>
        <w:tc>
          <w:tcPr>
            <w:tcW w:w="2575" w:type="dxa"/>
            <w:gridSpan w:val="2"/>
            <w:vMerge w:val="restart"/>
            <w:tcBorders>
              <w:top w:val="single" w:sz="12" w:space="0" w:color="auto"/>
              <w:bottom w:val="nil"/>
            </w:tcBorders>
            <w:vAlign w:val="center"/>
          </w:tcPr>
          <w:p w14:paraId="32085195"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Capa que se mantiene </w:t>
            </w:r>
          </w:p>
        </w:tc>
        <w:tc>
          <w:tcPr>
            <w:tcW w:w="6616" w:type="dxa"/>
            <w:gridSpan w:val="10"/>
            <w:tcBorders>
              <w:top w:val="single" w:sz="12" w:space="0" w:color="auto"/>
              <w:bottom w:val="nil"/>
            </w:tcBorders>
            <w:vAlign w:val="center"/>
          </w:tcPr>
          <w:p w14:paraId="042E7FD9"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Categoría de tráfico pesado </w:t>
            </w:r>
          </w:p>
        </w:tc>
      </w:tr>
      <w:tr w:rsidR="003B7191" w:rsidRPr="00433587" w14:paraId="4ABC1BAC" w14:textId="77777777" w:rsidTr="003B7191">
        <w:trPr>
          <w:trHeight w:val="214"/>
          <w:jc w:val="center"/>
        </w:trPr>
        <w:tc>
          <w:tcPr>
            <w:tcW w:w="2575" w:type="dxa"/>
            <w:gridSpan w:val="2"/>
            <w:vMerge/>
            <w:tcBorders>
              <w:top w:val="nil"/>
              <w:bottom w:val="single" w:sz="12" w:space="0" w:color="auto"/>
            </w:tcBorders>
            <w:vAlign w:val="center"/>
          </w:tcPr>
          <w:p w14:paraId="0E4B952D" w14:textId="77777777" w:rsidR="00234637" w:rsidRPr="00433587" w:rsidRDefault="00234637" w:rsidP="00DB14F6">
            <w:pPr>
              <w:keepNext/>
              <w:spacing w:before="120" w:after="120"/>
              <w:rPr>
                <w:rFonts w:ascii="Arial" w:hAnsi="Arial" w:cs="Arial"/>
                <w:sz w:val="20"/>
                <w:szCs w:val="20"/>
              </w:rPr>
            </w:pPr>
          </w:p>
        </w:tc>
        <w:tc>
          <w:tcPr>
            <w:tcW w:w="1065" w:type="dxa"/>
            <w:gridSpan w:val="2"/>
            <w:tcBorders>
              <w:top w:val="nil"/>
              <w:bottom w:val="single" w:sz="12" w:space="0" w:color="auto"/>
            </w:tcBorders>
            <w:vAlign w:val="center"/>
          </w:tcPr>
          <w:p w14:paraId="04A6990C"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T00 </w:t>
            </w:r>
          </w:p>
        </w:tc>
        <w:tc>
          <w:tcPr>
            <w:tcW w:w="1070" w:type="dxa"/>
            <w:gridSpan w:val="2"/>
            <w:tcBorders>
              <w:top w:val="nil"/>
              <w:bottom w:val="single" w:sz="12" w:space="0" w:color="auto"/>
            </w:tcBorders>
            <w:vAlign w:val="center"/>
          </w:tcPr>
          <w:p w14:paraId="064A0F98"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T0 </w:t>
            </w:r>
          </w:p>
        </w:tc>
        <w:tc>
          <w:tcPr>
            <w:tcW w:w="1066" w:type="dxa"/>
            <w:tcBorders>
              <w:top w:val="nil"/>
              <w:bottom w:val="single" w:sz="12" w:space="0" w:color="auto"/>
            </w:tcBorders>
            <w:vAlign w:val="center"/>
          </w:tcPr>
          <w:p w14:paraId="6244F077"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T1 </w:t>
            </w:r>
          </w:p>
        </w:tc>
        <w:tc>
          <w:tcPr>
            <w:tcW w:w="1071" w:type="dxa"/>
            <w:gridSpan w:val="2"/>
            <w:tcBorders>
              <w:top w:val="nil"/>
              <w:bottom w:val="single" w:sz="12" w:space="0" w:color="auto"/>
            </w:tcBorders>
            <w:vAlign w:val="center"/>
          </w:tcPr>
          <w:p w14:paraId="09C9F28E"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T2 </w:t>
            </w:r>
          </w:p>
        </w:tc>
        <w:tc>
          <w:tcPr>
            <w:tcW w:w="1066" w:type="dxa"/>
            <w:gridSpan w:val="2"/>
            <w:tcBorders>
              <w:top w:val="nil"/>
              <w:bottom w:val="single" w:sz="12" w:space="0" w:color="auto"/>
            </w:tcBorders>
            <w:vAlign w:val="center"/>
          </w:tcPr>
          <w:p w14:paraId="236AE597"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T3 </w:t>
            </w:r>
          </w:p>
        </w:tc>
        <w:tc>
          <w:tcPr>
            <w:tcW w:w="1279" w:type="dxa"/>
            <w:tcBorders>
              <w:top w:val="nil"/>
              <w:bottom w:val="single" w:sz="12" w:space="0" w:color="auto"/>
            </w:tcBorders>
            <w:vAlign w:val="center"/>
          </w:tcPr>
          <w:p w14:paraId="56F68794"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T4 </w:t>
            </w:r>
          </w:p>
        </w:tc>
      </w:tr>
      <w:tr w:rsidR="003B7191" w:rsidRPr="00433587" w14:paraId="5ED0DD71" w14:textId="77777777" w:rsidTr="003B7191">
        <w:trPr>
          <w:trHeight w:val="424"/>
          <w:jc w:val="center"/>
        </w:trPr>
        <w:tc>
          <w:tcPr>
            <w:tcW w:w="2575" w:type="dxa"/>
            <w:gridSpan w:val="2"/>
            <w:tcBorders>
              <w:top w:val="single" w:sz="12" w:space="0" w:color="auto"/>
              <w:bottom w:val="nil"/>
            </w:tcBorders>
            <w:vAlign w:val="center"/>
          </w:tcPr>
          <w:p w14:paraId="2D7E6655" w14:textId="77777777" w:rsidR="00234637" w:rsidRPr="00433587" w:rsidRDefault="00234637" w:rsidP="00DB14F6">
            <w:pPr>
              <w:keepNext/>
              <w:spacing w:before="120" w:after="120"/>
              <w:rPr>
                <w:rFonts w:ascii="Arial" w:hAnsi="Arial" w:cs="Arial"/>
                <w:sz w:val="20"/>
                <w:szCs w:val="20"/>
              </w:rPr>
            </w:pPr>
            <w:proofErr w:type="spellStart"/>
            <w:r w:rsidRPr="00433587">
              <w:rPr>
                <w:rFonts w:ascii="Arial" w:hAnsi="Arial" w:cs="Arial"/>
                <w:sz w:val="20"/>
                <w:szCs w:val="20"/>
              </w:rPr>
              <w:t>Gravacemento</w:t>
            </w:r>
            <w:proofErr w:type="spellEnd"/>
            <w:r w:rsidRPr="00433587">
              <w:rPr>
                <w:rFonts w:ascii="Arial" w:hAnsi="Arial" w:cs="Arial"/>
                <w:sz w:val="20"/>
                <w:szCs w:val="20"/>
              </w:rPr>
              <w:t xml:space="preserve">. </w:t>
            </w:r>
          </w:p>
        </w:tc>
        <w:tc>
          <w:tcPr>
            <w:tcW w:w="1065" w:type="dxa"/>
            <w:gridSpan w:val="2"/>
            <w:tcBorders>
              <w:top w:val="single" w:sz="12" w:space="0" w:color="auto"/>
              <w:bottom w:val="nil"/>
            </w:tcBorders>
            <w:vAlign w:val="center"/>
          </w:tcPr>
          <w:p w14:paraId="6528A457"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20 </w:t>
            </w:r>
          </w:p>
        </w:tc>
        <w:tc>
          <w:tcPr>
            <w:tcW w:w="1070" w:type="dxa"/>
            <w:gridSpan w:val="2"/>
            <w:tcBorders>
              <w:top w:val="single" w:sz="12" w:space="0" w:color="auto"/>
              <w:bottom w:val="nil"/>
            </w:tcBorders>
            <w:vAlign w:val="center"/>
          </w:tcPr>
          <w:p w14:paraId="63359929"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18  </w:t>
            </w:r>
          </w:p>
        </w:tc>
        <w:tc>
          <w:tcPr>
            <w:tcW w:w="1066" w:type="dxa"/>
            <w:tcBorders>
              <w:top w:val="single" w:sz="12" w:space="0" w:color="auto"/>
              <w:bottom w:val="nil"/>
            </w:tcBorders>
            <w:vAlign w:val="center"/>
          </w:tcPr>
          <w:p w14:paraId="1A41A7E4"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18</w:t>
            </w:r>
          </w:p>
        </w:tc>
        <w:tc>
          <w:tcPr>
            <w:tcW w:w="1071" w:type="dxa"/>
            <w:gridSpan w:val="2"/>
            <w:tcBorders>
              <w:top w:val="single" w:sz="12" w:space="0" w:color="auto"/>
              <w:bottom w:val="nil"/>
            </w:tcBorders>
            <w:vAlign w:val="center"/>
          </w:tcPr>
          <w:p w14:paraId="63D2A22E"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15 </w:t>
            </w:r>
          </w:p>
        </w:tc>
        <w:tc>
          <w:tcPr>
            <w:tcW w:w="1066" w:type="dxa"/>
            <w:gridSpan w:val="2"/>
            <w:tcBorders>
              <w:top w:val="single" w:sz="12" w:space="0" w:color="auto"/>
              <w:bottom w:val="nil"/>
            </w:tcBorders>
            <w:vAlign w:val="center"/>
          </w:tcPr>
          <w:p w14:paraId="22A49C13"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 xml:space="preserve">12 </w:t>
            </w:r>
          </w:p>
        </w:tc>
        <w:tc>
          <w:tcPr>
            <w:tcW w:w="1279" w:type="dxa"/>
            <w:tcBorders>
              <w:top w:val="single" w:sz="12" w:space="0" w:color="auto"/>
              <w:bottom w:val="nil"/>
            </w:tcBorders>
            <w:vAlign w:val="center"/>
          </w:tcPr>
          <w:p w14:paraId="200444D2"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w:t>
            </w:r>
          </w:p>
        </w:tc>
      </w:tr>
      <w:tr w:rsidR="003B7191" w:rsidRPr="00433587" w14:paraId="4E5F74D9" w14:textId="77777777" w:rsidTr="003B7191">
        <w:trPr>
          <w:trHeight w:val="424"/>
          <w:jc w:val="center"/>
        </w:trPr>
        <w:tc>
          <w:tcPr>
            <w:tcW w:w="2575" w:type="dxa"/>
            <w:gridSpan w:val="2"/>
            <w:tcBorders>
              <w:top w:val="nil"/>
              <w:bottom w:val="single" w:sz="12" w:space="0" w:color="auto"/>
            </w:tcBorders>
            <w:vAlign w:val="center"/>
          </w:tcPr>
          <w:p w14:paraId="0DCC17E3" w14:textId="77777777" w:rsidR="00234637" w:rsidRPr="00433587" w:rsidRDefault="00234637" w:rsidP="00DB14F6">
            <w:pPr>
              <w:keepNext/>
              <w:spacing w:before="120" w:after="120"/>
              <w:rPr>
                <w:rFonts w:ascii="Arial" w:hAnsi="Arial" w:cs="Arial"/>
                <w:sz w:val="20"/>
                <w:szCs w:val="20"/>
              </w:rPr>
            </w:pPr>
            <w:proofErr w:type="spellStart"/>
            <w:r w:rsidRPr="00433587">
              <w:rPr>
                <w:rFonts w:ascii="Arial" w:hAnsi="Arial" w:cs="Arial"/>
                <w:sz w:val="20"/>
                <w:szCs w:val="20"/>
              </w:rPr>
              <w:t>Suelocemento</w:t>
            </w:r>
            <w:proofErr w:type="spellEnd"/>
            <w:r w:rsidRPr="00433587">
              <w:rPr>
                <w:rFonts w:ascii="Arial" w:hAnsi="Arial" w:cs="Arial"/>
                <w:sz w:val="20"/>
                <w:szCs w:val="20"/>
              </w:rPr>
              <w:t>.</w:t>
            </w:r>
          </w:p>
        </w:tc>
        <w:tc>
          <w:tcPr>
            <w:tcW w:w="1065" w:type="dxa"/>
            <w:gridSpan w:val="2"/>
            <w:tcBorders>
              <w:top w:val="nil"/>
              <w:bottom w:val="single" w:sz="12" w:space="0" w:color="auto"/>
            </w:tcBorders>
            <w:vAlign w:val="center"/>
          </w:tcPr>
          <w:p w14:paraId="69BD1F27"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27</w:t>
            </w:r>
          </w:p>
        </w:tc>
        <w:tc>
          <w:tcPr>
            <w:tcW w:w="1070" w:type="dxa"/>
            <w:gridSpan w:val="2"/>
            <w:tcBorders>
              <w:top w:val="nil"/>
              <w:bottom w:val="single" w:sz="12" w:space="0" w:color="auto"/>
            </w:tcBorders>
            <w:vAlign w:val="center"/>
          </w:tcPr>
          <w:p w14:paraId="17610425"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25</w:t>
            </w:r>
          </w:p>
        </w:tc>
        <w:tc>
          <w:tcPr>
            <w:tcW w:w="1066" w:type="dxa"/>
            <w:tcBorders>
              <w:top w:val="nil"/>
              <w:bottom w:val="single" w:sz="12" w:space="0" w:color="auto"/>
            </w:tcBorders>
            <w:vAlign w:val="center"/>
          </w:tcPr>
          <w:p w14:paraId="7FE8C545"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20</w:t>
            </w:r>
          </w:p>
        </w:tc>
        <w:tc>
          <w:tcPr>
            <w:tcW w:w="1071" w:type="dxa"/>
            <w:gridSpan w:val="2"/>
            <w:tcBorders>
              <w:top w:val="nil"/>
              <w:bottom w:val="single" w:sz="12" w:space="0" w:color="auto"/>
            </w:tcBorders>
            <w:vAlign w:val="center"/>
          </w:tcPr>
          <w:p w14:paraId="1FE4F35C"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15</w:t>
            </w:r>
          </w:p>
        </w:tc>
        <w:tc>
          <w:tcPr>
            <w:tcW w:w="1066" w:type="dxa"/>
            <w:gridSpan w:val="2"/>
            <w:tcBorders>
              <w:top w:val="nil"/>
              <w:bottom w:val="single" w:sz="12" w:space="0" w:color="auto"/>
            </w:tcBorders>
            <w:vAlign w:val="center"/>
          </w:tcPr>
          <w:p w14:paraId="2D58DDAD"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12</w:t>
            </w:r>
          </w:p>
        </w:tc>
        <w:tc>
          <w:tcPr>
            <w:tcW w:w="1279" w:type="dxa"/>
            <w:tcBorders>
              <w:top w:val="nil"/>
              <w:bottom w:val="single" w:sz="12" w:space="0" w:color="auto"/>
            </w:tcBorders>
            <w:vAlign w:val="center"/>
          </w:tcPr>
          <w:p w14:paraId="453CF3BD" w14:textId="77777777" w:rsidR="00234637" w:rsidRPr="00433587" w:rsidRDefault="00234637" w:rsidP="00DB14F6">
            <w:pPr>
              <w:keepNext/>
              <w:spacing w:before="120" w:after="120"/>
              <w:rPr>
                <w:rFonts w:ascii="Arial" w:hAnsi="Arial" w:cs="Arial"/>
                <w:sz w:val="20"/>
                <w:szCs w:val="20"/>
              </w:rPr>
            </w:pPr>
            <w:r w:rsidRPr="00433587">
              <w:rPr>
                <w:rFonts w:ascii="Arial" w:hAnsi="Arial" w:cs="Arial"/>
                <w:sz w:val="20"/>
                <w:szCs w:val="20"/>
              </w:rPr>
              <w:t>__</w:t>
            </w:r>
          </w:p>
        </w:tc>
      </w:tr>
    </w:tbl>
    <w:p w14:paraId="3F1284D8" w14:textId="77777777" w:rsidR="00316114" w:rsidRPr="00433587" w:rsidRDefault="00316114" w:rsidP="00433587">
      <w:pPr>
        <w:spacing w:before="120" w:after="120" w:line="360" w:lineRule="auto"/>
        <w:jc w:val="center"/>
        <w:rPr>
          <w:rFonts w:ascii="Arial" w:hAnsi="Arial"/>
          <w:b/>
          <w:bCs/>
          <w:i/>
          <w:sz w:val="22"/>
          <w:szCs w:val="20"/>
        </w:rPr>
      </w:pPr>
      <w:r w:rsidRPr="00433587">
        <w:rPr>
          <w:rFonts w:ascii="Arial" w:hAnsi="Arial"/>
          <w:b/>
          <w:bCs/>
          <w:i/>
          <w:sz w:val="22"/>
          <w:szCs w:val="20"/>
        </w:rPr>
        <w:t>Tabla 4 Instrucción 6.3 I.C: Espesor total mínimo (cm) de mezcla bituminosa nueva</w:t>
      </w:r>
    </w:p>
    <w:p w14:paraId="447F2E68" w14:textId="77777777" w:rsidR="003B7191" w:rsidRPr="00433587" w:rsidRDefault="003B7191" w:rsidP="003B7191">
      <w:pPr>
        <w:spacing w:before="120" w:after="120" w:line="360" w:lineRule="auto"/>
        <w:jc w:val="both"/>
        <w:rPr>
          <w:rFonts w:ascii="Arial" w:hAnsi="Arial" w:cs="Arial"/>
        </w:rPr>
      </w:pPr>
      <w:r w:rsidRPr="00433587">
        <w:rPr>
          <w:rFonts w:ascii="Arial" w:hAnsi="Arial" w:cs="Arial"/>
        </w:rPr>
        <w:t>Se considerará que el firme tiene una vida residual insuficiente siempre que el valor puntual de la deflexión patrón supere los umbrales Indicados en la tabla 3 de la Orden Circular 9/2002, salvo que un estudio y análisis más específico del estado de cada tramo homogéneo justifiquen la asignación de valores distintos para dichos umbrales.</w:t>
      </w:r>
    </w:p>
    <w:tbl>
      <w:tblPr>
        <w:tblW w:w="9580" w:type="dxa"/>
        <w:tblInd w:w="55" w:type="dxa"/>
        <w:tblCellMar>
          <w:left w:w="70" w:type="dxa"/>
          <w:right w:w="70" w:type="dxa"/>
        </w:tblCellMar>
        <w:tblLook w:val="04A0" w:firstRow="1" w:lastRow="0" w:firstColumn="1" w:lastColumn="0" w:noHBand="0" w:noVBand="1"/>
      </w:tblPr>
      <w:tblGrid>
        <w:gridCol w:w="2380"/>
        <w:gridCol w:w="1200"/>
        <w:gridCol w:w="1200"/>
        <w:gridCol w:w="1200"/>
        <w:gridCol w:w="1200"/>
        <w:gridCol w:w="1200"/>
        <w:gridCol w:w="1200"/>
      </w:tblGrid>
      <w:tr w:rsidR="003B7191" w:rsidRPr="00433587" w14:paraId="2B093ED7" w14:textId="77777777" w:rsidTr="003B7191">
        <w:trPr>
          <w:trHeight w:val="300"/>
        </w:trPr>
        <w:tc>
          <w:tcPr>
            <w:tcW w:w="9580" w:type="dxa"/>
            <w:gridSpan w:val="7"/>
            <w:tcBorders>
              <w:top w:val="single" w:sz="4" w:space="0" w:color="auto"/>
              <w:left w:val="single" w:sz="4" w:space="0" w:color="auto"/>
              <w:bottom w:val="single" w:sz="4" w:space="0" w:color="auto"/>
              <w:right w:val="single" w:sz="4" w:space="0" w:color="auto"/>
            </w:tcBorders>
            <w:shd w:val="clear" w:color="000000" w:fill="D9D9D9"/>
            <w:vAlign w:val="center"/>
            <w:hideMark/>
          </w:tcPr>
          <w:p w14:paraId="5E2420C0" w14:textId="77777777" w:rsidR="003B7191" w:rsidRPr="00433587" w:rsidRDefault="003B7191">
            <w:pPr>
              <w:jc w:val="center"/>
              <w:rPr>
                <w:rFonts w:ascii="Arial" w:hAnsi="Arial" w:cs="Arial"/>
                <w:b/>
                <w:bCs/>
                <w:sz w:val="20"/>
                <w:szCs w:val="20"/>
              </w:rPr>
            </w:pPr>
            <w:r w:rsidRPr="00433587">
              <w:rPr>
                <w:rFonts w:ascii="Arial" w:hAnsi="Arial" w:cs="Arial"/>
                <w:b/>
                <w:bCs/>
                <w:sz w:val="20"/>
                <w:szCs w:val="20"/>
              </w:rPr>
              <w:t>3.A. FIRMES FLEXIBLES Y SEMIFLEXIBLES</w:t>
            </w:r>
          </w:p>
        </w:tc>
      </w:tr>
      <w:tr w:rsidR="003B7191" w:rsidRPr="00433587" w14:paraId="43834F86" w14:textId="77777777" w:rsidTr="003B7191">
        <w:trPr>
          <w:trHeight w:val="300"/>
        </w:trPr>
        <w:tc>
          <w:tcPr>
            <w:tcW w:w="2380" w:type="dxa"/>
            <w:vMerge w:val="restart"/>
            <w:tcBorders>
              <w:top w:val="nil"/>
              <w:left w:val="single" w:sz="4" w:space="0" w:color="auto"/>
              <w:bottom w:val="single" w:sz="4" w:space="0" w:color="000000"/>
              <w:right w:val="nil"/>
            </w:tcBorders>
            <w:vAlign w:val="center"/>
            <w:hideMark/>
          </w:tcPr>
          <w:p w14:paraId="1CBC96D3" w14:textId="77777777" w:rsidR="003B7191" w:rsidRPr="00433587" w:rsidRDefault="003B7191">
            <w:pPr>
              <w:rPr>
                <w:rFonts w:ascii="Arial" w:hAnsi="Arial" w:cs="Arial"/>
                <w:sz w:val="20"/>
                <w:szCs w:val="20"/>
              </w:rPr>
            </w:pPr>
            <w:r w:rsidRPr="00433587">
              <w:rPr>
                <w:rFonts w:ascii="Arial" w:hAnsi="Arial" w:cs="Arial"/>
                <w:sz w:val="20"/>
                <w:szCs w:val="20"/>
              </w:rPr>
              <w:t xml:space="preserve">Deflexión </w:t>
            </w:r>
            <w:proofErr w:type="spellStart"/>
            <w:r w:rsidRPr="00433587">
              <w:rPr>
                <w:rFonts w:ascii="Arial" w:hAnsi="Arial" w:cs="Arial"/>
                <w:sz w:val="20"/>
                <w:szCs w:val="20"/>
              </w:rPr>
              <w:t>pat</w:t>
            </w:r>
            <w:proofErr w:type="spellEnd"/>
            <w:r w:rsidRPr="00433587">
              <w:rPr>
                <w:rFonts w:ascii="Arial" w:hAnsi="Arial" w:cs="Arial"/>
                <w:sz w:val="20"/>
                <w:szCs w:val="20"/>
              </w:rPr>
              <w:t xml:space="preserve"> </w:t>
            </w:r>
          </w:p>
        </w:tc>
        <w:tc>
          <w:tcPr>
            <w:tcW w:w="7200" w:type="dxa"/>
            <w:gridSpan w:val="6"/>
            <w:tcBorders>
              <w:top w:val="single" w:sz="4" w:space="0" w:color="auto"/>
              <w:left w:val="nil"/>
              <w:bottom w:val="nil"/>
              <w:right w:val="single" w:sz="4" w:space="0" w:color="000000"/>
            </w:tcBorders>
            <w:vAlign w:val="center"/>
            <w:hideMark/>
          </w:tcPr>
          <w:p w14:paraId="09F2D288" w14:textId="77777777" w:rsidR="003B7191" w:rsidRPr="00433587" w:rsidRDefault="003B7191">
            <w:pPr>
              <w:jc w:val="center"/>
              <w:rPr>
                <w:rFonts w:ascii="Arial" w:hAnsi="Arial" w:cs="Arial"/>
                <w:sz w:val="20"/>
                <w:szCs w:val="20"/>
              </w:rPr>
            </w:pPr>
            <w:r w:rsidRPr="00433587">
              <w:rPr>
                <w:rFonts w:ascii="Arial" w:hAnsi="Arial" w:cs="Arial"/>
                <w:sz w:val="20"/>
                <w:szCs w:val="20"/>
              </w:rPr>
              <w:t xml:space="preserve">Categoría de tráfico pesado </w:t>
            </w:r>
          </w:p>
        </w:tc>
      </w:tr>
      <w:tr w:rsidR="003B7191" w:rsidRPr="00433587" w14:paraId="1A7EBC69" w14:textId="77777777" w:rsidTr="003B7191">
        <w:trPr>
          <w:trHeight w:val="300"/>
        </w:trPr>
        <w:tc>
          <w:tcPr>
            <w:tcW w:w="2380" w:type="dxa"/>
            <w:vMerge/>
            <w:tcBorders>
              <w:top w:val="nil"/>
              <w:left w:val="single" w:sz="4" w:space="0" w:color="auto"/>
              <w:bottom w:val="single" w:sz="4" w:space="0" w:color="000000"/>
              <w:right w:val="nil"/>
            </w:tcBorders>
            <w:vAlign w:val="center"/>
            <w:hideMark/>
          </w:tcPr>
          <w:p w14:paraId="1F8E904A" w14:textId="77777777" w:rsidR="003B7191" w:rsidRPr="00433587" w:rsidRDefault="003B7191">
            <w:pPr>
              <w:rPr>
                <w:rFonts w:ascii="Arial" w:hAnsi="Arial" w:cs="Arial"/>
                <w:sz w:val="20"/>
                <w:szCs w:val="20"/>
              </w:rPr>
            </w:pPr>
          </w:p>
        </w:tc>
        <w:tc>
          <w:tcPr>
            <w:tcW w:w="1200" w:type="dxa"/>
            <w:tcBorders>
              <w:top w:val="nil"/>
              <w:left w:val="nil"/>
              <w:bottom w:val="single" w:sz="4" w:space="0" w:color="auto"/>
              <w:right w:val="nil"/>
            </w:tcBorders>
            <w:vAlign w:val="center"/>
            <w:hideMark/>
          </w:tcPr>
          <w:p w14:paraId="3B421ABC" w14:textId="77777777" w:rsidR="003B7191" w:rsidRPr="00433587" w:rsidRDefault="003B7191">
            <w:pPr>
              <w:jc w:val="center"/>
              <w:rPr>
                <w:rFonts w:ascii="Arial" w:hAnsi="Arial" w:cs="Arial"/>
                <w:sz w:val="20"/>
                <w:szCs w:val="20"/>
              </w:rPr>
            </w:pPr>
            <w:r w:rsidRPr="00433587">
              <w:rPr>
                <w:rFonts w:ascii="Arial" w:hAnsi="Arial" w:cs="Arial"/>
                <w:sz w:val="20"/>
                <w:szCs w:val="20"/>
              </w:rPr>
              <w:t>T00</w:t>
            </w:r>
          </w:p>
        </w:tc>
        <w:tc>
          <w:tcPr>
            <w:tcW w:w="1200" w:type="dxa"/>
            <w:tcBorders>
              <w:top w:val="nil"/>
              <w:left w:val="nil"/>
              <w:bottom w:val="single" w:sz="4" w:space="0" w:color="auto"/>
              <w:right w:val="nil"/>
            </w:tcBorders>
            <w:vAlign w:val="center"/>
            <w:hideMark/>
          </w:tcPr>
          <w:p w14:paraId="72086C72" w14:textId="77777777" w:rsidR="003B7191" w:rsidRPr="00433587" w:rsidRDefault="003B7191">
            <w:pPr>
              <w:jc w:val="center"/>
              <w:rPr>
                <w:rFonts w:ascii="Arial" w:hAnsi="Arial" w:cs="Arial"/>
                <w:sz w:val="20"/>
                <w:szCs w:val="20"/>
              </w:rPr>
            </w:pPr>
            <w:r w:rsidRPr="00433587">
              <w:rPr>
                <w:rFonts w:ascii="Arial" w:hAnsi="Arial" w:cs="Arial"/>
                <w:sz w:val="20"/>
                <w:szCs w:val="20"/>
              </w:rPr>
              <w:t xml:space="preserve">T0 </w:t>
            </w:r>
          </w:p>
        </w:tc>
        <w:tc>
          <w:tcPr>
            <w:tcW w:w="1200" w:type="dxa"/>
            <w:tcBorders>
              <w:top w:val="nil"/>
              <w:left w:val="nil"/>
              <w:bottom w:val="single" w:sz="4" w:space="0" w:color="auto"/>
              <w:right w:val="nil"/>
            </w:tcBorders>
            <w:vAlign w:val="center"/>
            <w:hideMark/>
          </w:tcPr>
          <w:p w14:paraId="48353C90" w14:textId="77777777" w:rsidR="003B7191" w:rsidRPr="00433587" w:rsidRDefault="003B7191">
            <w:pPr>
              <w:jc w:val="center"/>
              <w:rPr>
                <w:rFonts w:ascii="Arial" w:hAnsi="Arial" w:cs="Arial"/>
                <w:sz w:val="20"/>
                <w:szCs w:val="20"/>
              </w:rPr>
            </w:pPr>
            <w:r w:rsidRPr="00433587">
              <w:rPr>
                <w:rFonts w:ascii="Arial" w:hAnsi="Arial" w:cs="Arial"/>
                <w:sz w:val="20"/>
                <w:szCs w:val="20"/>
              </w:rPr>
              <w:t xml:space="preserve">T1 </w:t>
            </w:r>
          </w:p>
        </w:tc>
        <w:tc>
          <w:tcPr>
            <w:tcW w:w="1200" w:type="dxa"/>
            <w:tcBorders>
              <w:top w:val="nil"/>
              <w:left w:val="nil"/>
              <w:bottom w:val="single" w:sz="4" w:space="0" w:color="auto"/>
              <w:right w:val="nil"/>
            </w:tcBorders>
            <w:vAlign w:val="center"/>
            <w:hideMark/>
          </w:tcPr>
          <w:p w14:paraId="3D613090" w14:textId="77777777" w:rsidR="003B7191" w:rsidRPr="00433587" w:rsidRDefault="003B7191">
            <w:pPr>
              <w:jc w:val="center"/>
              <w:rPr>
                <w:rFonts w:ascii="Arial" w:hAnsi="Arial" w:cs="Arial"/>
                <w:sz w:val="20"/>
                <w:szCs w:val="20"/>
              </w:rPr>
            </w:pPr>
            <w:r w:rsidRPr="00433587">
              <w:rPr>
                <w:rFonts w:ascii="Arial" w:hAnsi="Arial" w:cs="Arial"/>
                <w:sz w:val="20"/>
                <w:szCs w:val="20"/>
              </w:rPr>
              <w:t xml:space="preserve">T2 </w:t>
            </w:r>
          </w:p>
        </w:tc>
        <w:tc>
          <w:tcPr>
            <w:tcW w:w="1200" w:type="dxa"/>
            <w:tcBorders>
              <w:top w:val="nil"/>
              <w:left w:val="nil"/>
              <w:bottom w:val="single" w:sz="4" w:space="0" w:color="auto"/>
              <w:right w:val="nil"/>
            </w:tcBorders>
            <w:vAlign w:val="center"/>
            <w:hideMark/>
          </w:tcPr>
          <w:p w14:paraId="5490CC65" w14:textId="77777777" w:rsidR="003B7191" w:rsidRPr="00433587" w:rsidRDefault="003B7191">
            <w:pPr>
              <w:jc w:val="center"/>
              <w:rPr>
                <w:rFonts w:ascii="Arial" w:hAnsi="Arial" w:cs="Arial"/>
                <w:sz w:val="20"/>
                <w:szCs w:val="20"/>
              </w:rPr>
            </w:pPr>
            <w:r w:rsidRPr="00433587">
              <w:rPr>
                <w:rFonts w:ascii="Arial" w:hAnsi="Arial" w:cs="Arial"/>
                <w:sz w:val="20"/>
                <w:szCs w:val="20"/>
              </w:rPr>
              <w:t xml:space="preserve">T3 </w:t>
            </w:r>
          </w:p>
        </w:tc>
        <w:tc>
          <w:tcPr>
            <w:tcW w:w="1200" w:type="dxa"/>
            <w:tcBorders>
              <w:top w:val="nil"/>
              <w:left w:val="nil"/>
              <w:bottom w:val="single" w:sz="4" w:space="0" w:color="auto"/>
              <w:right w:val="single" w:sz="4" w:space="0" w:color="auto"/>
            </w:tcBorders>
            <w:vAlign w:val="center"/>
            <w:hideMark/>
          </w:tcPr>
          <w:p w14:paraId="51FE0E7D" w14:textId="77777777" w:rsidR="003B7191" w:rsidRPr="00433587" w:rsidRDefault="003B7191">
            <w:pPr>
              <w:jc w:val="center"/>
              <w:rPr>
                <w:rFonts w:ascii="Arial" w:hAnsi="Arial" w:cs="Arial"/>
                <w:sz w:val="20"/>
                <w:szCs w:val="20"/>
              </w:rPr>
            </w:pPr>
            <w:r w:rsidRPr="00433587">
              <w:rPr>
                <w:rFonts w:ascii="Arial" w:hAnsi="Arial" w:cs="Arial"/>
                <w:sz w:val="20"/>
                <w:szCs w:val="20"/>
              </w:rPr>
              <w:t xml:space="preserve">T4 </w:t>
            </w:r>
          </w:p>
        </w:tc>
      </w:tr>
      <w:tr w:rsidR="003B7191" w:rsidRPr="00433587" w14:paraId="0C8C0761" w14:textId="77777777" w:rsidTr="003B7191">
        <w:trPr>
          <w:trHeight w:val="300"/>
        </w:trPr>
        <w:tc>
          <w:tcPr>
            <w:tcW w:w="2380" w:type="dxa"/>
            <w:vMerge w:val="restart"/>
            <w:tcBorders>
              <w:top w:val="nil"/>
              <w:left w:val="single" w:sz="4" w:space="0" w:color="auto"/>
              <w:bottom w:val="single" w:sz="4" w:space="0" w:color="000000"/>
              <w:right w:val="nil"/>
            </w:tcBorders>
            <w:vAlign w:val="center"/>
            <w:hideMark/>
          </w:tcPr>
          <w:p w14:paraId="0B0ECA4F" w14:textId="77777777" w:rsidR="003B7191" w:rsidRPr="00433587" w:rsidRDefault="003B7191">
            <w:pPr>
              <w:rPr>
                <w:rFonts w:ascii="Arial" w:hAnsi="Arial" w:cs="Arial"/>
                <w:sz w:val="20"/>
                <w:szCs w:val="20"/>
              </w:rPr>
            </w:pPr>
            <w:r w:rsidRPr="00433587">
              <w:rPr>
                <w:rFonts w:ascii="Arial" w:hAnsi="Arial" w:cs="Arial"/>
                <w:sz w:val="20"/>
                <w:szCs w:val="20"/>
              </w:rPr>
              <w:t xml:space="preserve">Deflexión patrón (centésimas de milímetro) </w:t>
            </w:r>
          </w:p>
        </w:tc>
        <w:tc>
          <w:tcPr>
            <w:tcW w:w="1200" w:type="dxa"/>
            <w:vMerge w:val="restart"/>
            <w:tcBorders>
              <w:top w:val="nil"/>
              <w:left w:val="nil"/>
              <w:bottom w:val="single" w:sz="4" w:space="0" w:color="000000"/>
              <w:right w:val="nil"/>
            </w:tcBorders>
            <w:vAlign w:val="center"/>
            <w:hideMark/>
          </w:tcPr>
          <w:p w14:paraId="5173FB16" w14:textId="77777777" w:rsidR="003B7191" w:rsidRPr="00433587" w:rsidRDefault="003B7191">
            <w:pPr>
              <w:jc w:val="center"/>
              <w:rPr>
                <w:rFonts w:ascii="Arial" w:hAnsi="Arial" w:cs="Arial"/>
                <w:sz w:val="20"/>
                <w:szCs w:val="20"/>
              </w:rPr>
            </w:pPr>
            <w:r w:rsidRPr="00433587">
              <w:rPr>
                <w:rFonts w:ascii="Arial" w:hAnsi="Arial" w:cs="Arial"/>
                <w:sz w:val="20"/>
                <w:szCs w:val="20"/>
              </w:rPr>
              <w:t>50</w:t>
            </w:r>
          </w:p>
        </w:tc>
        <w:tc>
          <w:tcPr>
            <w:tcW w:w="1200" w:type="dxa"/>
            <w:vMerge w:val="restart"/>
            <w:tcBorders>
              <w:top w:val="nil"/>
              <w:left w:val="nil"/>
              <w:bottom w:val="single" w:sz="4" w:space="0" w:color="000000"/>
              <w:right w:val="nil"/>
            </w:tcBorders>
            <w:vAlign w:val="center"/>
            <w:hideMark/>
          </w:tcPr>
          <w:p w14:paraId="69745248" w14:textId="77777777" w:rsidR="003B7191" w:rsidRPr="00433587" w:rsidRDefault="003B7191">
            <w:pPr>
              <w:jc w:val="center"/>
              <w:rPr>
                <w:rFonts w:ascii="Arial" w:hAnsi="Arial" w:cs="Arial"/>
                <w:sz w:val="20"/>
                <w:szCs w:val="20"/>
              </w:rPr>
            </w:pPr>
            <w:r w:rsidRPr="00433587">
              <w:rPr>
                <w:rFonts w:ascii="Arial" w:hAnsi="Arial" w:cs="Arial"/>
                <w:sz w:val="20"/>
                <w:szCs w:val="20"/>
              </w:rPr>
              <w:t>50</w:t>
            </w:r>
          </w:p>
        </w:tc>
        <w:tc>
          <w:tcPr>
            <w:tcW w:w="1200" w:type="dxa"/>
            <w:vMerge w:val="restart"/>
            <w:tcBorders>
              <w:top w:val="nil"/>
              <w:left w:val="nil"/>
              <w:bottom w:val="single" w:sz="4" w:space="0" w:color="000000"/>
              <w:right w:val="nil"/>
            </w:tcBorders>
            <w:vAlign w:val="center"/>
            <w:hideMark/>
          </w:tcPr>
          <w:p w14:paraId="2E858573" w14:textId="77777777" w:rsidR="003B7191" w:rsidRPr="00433587" w:rsidRDefault="003B7191">
            <w:pPr>
              <w:jc w:val="center"/>
              <w:rPr>
                <w:rFonts w:ascii="Arial" w:hAnsi="Arial" w:cs="Arial"/>
                <w:sz w:val="20"/>
                <w:szCs w:val="20"/>
              </w:rPr>
            </w:pPr>
            <w:r w:rsidRPr="00433587">
              <w:rPr>
                <w:rFonts w:ascii="Arial" w:hAnsi="Arial" w:cs="Arial"/>
                <w:sz w:val="20"/>
                <w:szCs w:val="20"/>
              </w:rPr>
              <w:t>75</w:t>
            </w:r>
          </w:p>
        </w:tc>
        <w:tc>
          <w:tcPr>
            <w:tcW w:w="1200" w:type="dxa"/>
            <w:vMerge w:val="restart"/>
            <w:tcBorders>
              <w:top w:val="nil"/>
              <w:left w:val="nil"/>
              <w:bottom w:val="single" w:sz="4" w:space="0" w:color="000000"/>
              <w:right w:val="nil"/>
            </w:tcBorders>
            <w:vAlign w:val="center"/>
            <w:hideMark/>
          </w:tcPr>
          <w:p w14:paraId="535D58D4" w14:textId="77777777" w:rsidR="003B7191" w:rsidRPr="00433587" w:rsidRDefault="003B7191">
            <w:pPr>
              <w:jc w:val="center"/>
              <w:rPr>
                <w:rFonts w:ascii="Arial" w:hAnsi="Arial" w:cs="Arial"/>
                <w:sz w:val="20"/>
                <w:szCs w:val="20"/>
              </w:rPr>
            </w:pPr>
            <w:r w:rsidRPr="00433587">
              <w:rPr>
                <w:rFonts w:ascii="Arial" w:hAnsi="Arial" w:cs="Arial"/>
                <w:sz w:val="20"/>
                <w:szCs w:val="20"/>
              </w:rPr>
              <w:t>100</w:t>
            </w:r>
          </w:p>
        </w:tc>
        <w:tc>
          <w:tcPr>
            <w:tcW w:w="1200" w:type="dxa"/>
            <w:vMerge w:val="restart"/>
            <w:tcBorders>
              <w:top w:val="nil"/>
              <w:left w:val="nil"/>
              <w:bottom w:val="single" w:sz="4" w:space="0" w:color="000000"/>
              <w:right w:val="nil"/>
            </w:tcBorders>
            <w:vAlign w:val="center"/>
            <w:hideMark/>
          </w:tcPr>
          <w:p w14:paraId="3F25A4DE" w14:textId="77777777" w:rsidR="003B7191" w:rsidRPr="00433587" w:rsidRDefault="003B7191">
            <w:pPr>
              <w:jc w:val="center"/>
              <w:rPr>
                <w:rFonts w:ascii="Arial" w:hAnsi="Arial" w:cs="Arial"/>
                <w:sz w:val="20"/>
                <w:szCs w:val="20"/>
              </w:rPr>
            </w:pPr>
            <w:r w:rsidRPr="00433587">
              <w:rPr>
                <w:rFonts w:ascii="Arial" w:hAnsi="Arial" w:cs="Arial"/>
                <w:sz w:val="20"/>
                <w:szCs w:val="20"/>
              </w:rPr>
              <w:t>125</w:t>
            </w:r>
          </w:p>
        </w:tc>
        <w:tc>
          <w:tcPr>
            <w:tcW w:w="1200" w:type="dxa"/>
            <w:tcBorders>
              <w:top w:val="nil"/>
              <w:left w:val="nil"/>
              <w:bottom w:val="nil"/>
              <w:right w:val="single" w:sz="4" w:space="0" w:color="auto"/>
            </w:tcBorders>
            <w:vAlign w:val="center"/>
            <w:hideMark/>
          </w:tcPr>
          <w:p w14:paraId="2232A90C" w14:textId="77777777" w:rsidR="003B7191" w:rsidRPr="00433587" w:rsidRDefault="003B7191">
            <w:pPr>
              <w:jc w:val="center"/>
              <w:rPr>
                <w:rFonts w:ascii="Arial" w:hAnsi="Arial" w:cs="Arial"/>
                <w:sz w:val="20"/>
                <w:szCs w:val="20"/>
              </w:rPr>
            </w:pPr>
            <w:r w:rsidRPr="00433587">
              <w:rPr>
                <w:rFonts w:ascii="Arial" w:hAnsi="Arial" w:cs="Arial"/>
                <w:sz w:val="20"/>
                <w:szCs w:val="20"/>
              </w:rPr>
              <w:t>150 (*)</w:t>
            </w:r>
          </w:p>
        </w:tc>
      </w:tr>
      <w:tr w:rsidR="003B7191" w:rsidRPr="00433587" w14:paraId="4D83BD32" w14:textId="77777777" w:rsidTr="003B7191">
        <w:trPr>
          <w:trHeight w:val="300"/>
        </w:trPr>
        <w:tc>
          <w:tcPr>
            <w:tcW w:w="2380" w:type="dxa"/>
            <w:vMerge/>
            <w:tcBorders>
              <w:top w:val="nil"/>
              <w:left w:val="single" w:sz="4" w:space="0" w:color="auto"/>
              <w:bottom w:val="single" w:sz="4" w:space="0" w:color="000000"/>
              <w:right w:val="nil"/>
            </w:tcBorders>
            <w:vAlign w:val="center"/>
            <w:hideMark/>
          </w:tcPr>
          <w:p w14:paraId="7303DBCB" w14:textId="77777777" w:rsidR="003B7191" w:rsidRPr="00433587" w:rsidRDefault="003B7191">
            <w:pPr>
              <w:rPr>
                <w:rFonts w:ascii="Arial" w:hAnsi="Arial" w:cs="Arial"/>
                <w:sz w:val="20"/>
                <w:szCs w:val="20"/>
              </w:rPr>
            </w:pPr>
          </w:p>
        </w:tc>
        <w:tc>
          <w:tcPr>
            <w:tcW w:w="1200" w:type="dxa"/>
            <w:vMerge/>
            <w:tcBorders>
              <w:top w:val="nil"/>
              <w:left w:val="nil"/>
              <w:bottom w:val="single" w:sz="4" w:space="0" w:color="000000"/>
              <w:right w:val="nil"/>
            </w:tcBorders>
            <w:vAlign w:val="center"/>
            <w:hideMark/>
          </w:tcPr>
          <w:p w14:paraId="7613E67D" w14:textId="77777777" w:rsidR="003B7191" w:rsidRPr="00433587" w:rsidRDefault="003B7191">
            <w:pPr>
              <w:rPr>
                <w:rFonts w:ascii="Arial" w:hAnsi="Arial" w:cs="Arial"/>
                <w:sz w:val="20"/>
                <w:szCs w:val="20"/>
              </w:rPr>
            </w:pPr>
          </w:p>
        </w:tc>
        <w:tc>
          <w:tcPr>
            <w:tcW w:w="1200" w:type="dxa"/>
            <w:vMerge/>
            <w:tcBorders>
              <w:top w:val="nil"/>
              <w:left w:val="nil"/>
              <w:bottom w:val="single" w:sz="4" w:space="0" w:color="000000"/>
              <w:right w:val="nil"/>
            </w:tcBorders>
            <w:vAlign w:val="center"/>
            <w:hideMark/>
          </w:tcPr>
          <w:p w14:paraId="747E5167" w14:textId="77777777" w:rsidR="003B7191" w:rsidRPr="00433587" w:rsidRDefault="003B7191">
            <w:pPr>
              <w:rPr>
                <w:rFonts w:ascii="Arial" w:hAnsi="Arial" w:cs="Arial"/>
                <w:sz w:val="20"/>
                <w:szCs w:val="20"/>
              </w:rPr>
            </w:pPr>
          </w:p>
        </w:tc>
        <w:tc>
          <w:tcPr>
            <w:tcW w:w="1200" w:type="dxa"/>
            <w:vMerge/>
            <w:tcBorders>
              <w:top w:val="nil"/>
              <w:left w:val="nil"/>
              <w:bottom w:val="single" w:sz="4" w:space="0" w:color="000000"/>
              <w:right w:val="nil"/>
            </w:tcBorders>
            <w:vAlign w:val="center"/>
            <w:hideMark/>
          </w:tcPr>
          <w:p w14:paraId="2D05D055" w14:textId="77777777" w:rsidR="003B7191" w:rsidRPr="00433587" w:rsidRDefault="003B7191">
            <w:pPr>
              <w:rPr>
                <w:rFonts w:ascii="Arial" w:hAnsi="Arial" w:cs="Arial"/>
                <w:sz w:val="20"/>
                <w:szCs w:val="20"/>
              </w:rPr>
            </w:pPr>
          </w:p>
        </w:tc>
        <w:tc>
          <w:tcPr>
            <w:tcW w:w="1200" w:type="dxa"/>
            <w:vMerge/>
            <w:tcBorders>
              <w:top w:val="nil"/>
              <w:left w:val="nil"/>
              <w:bottom w:val="single" w:sz="4" w:space="0" w:color="000000"/>
              <w:right w:val="nil"/>
            </w:tcBorders>
            <w:vAlign w:val="center"/>
            <w:hideMark/>
          </w:tcPr>
          <w:p w14:paraId="531626B8" w14:textId="77777777" w:rsidR="003B7191" w:rsidRPr="00433587" w:rsidRDefault="003B7191">
            <w:pPr>
              <w:rPr>
                <w:rFonts w:ascii="Arial" w:hAnsi="Arial" w:cs="Arial"/>
                <w:sz w:val="20"/>
                <w:szCs w:val="20"/>
              </w:rPr>
            </w:pPr>
          </w:p>
        </w:tc>
        <w:tc>
          <w:tcPr>
            <w:tcW w:w="1200" w:type="dxa"/>
            <w:vMerge/>
            <w:tcBorders>
              <w:top w:val="nil"/>
              <w:left w:val="nil"/>
              <w:bottom w:val="single" w:sz="4" w:space="0" w:color="000000"/>
              <w:right w:val="nil"/>
            </w:tcBorders>
            <w:vAlign w:val="center"/>
            <w:hideMark/>
          </w:tcPr>
          <w:p w14:paraId="13D83285" w14:textId="77777777" w:rsidR="003B7191" w:rsidRPr="00433587" w:rsidRDefault="003B7191">
            <w:pPr>
              <w:rPr>
                <w:rFonts w:ascii="Arial" w:hAnsi="Arial" w:cs="Arial"/>
                <w:sz w:val="20"/>
                <w:szCs w:val="20"/>
              </w:rPr>
            </w:pPr>
          </w:p>
        </w:tc>
        <w:tc>
          <w:tcPr>
            <w:tcW w:w="1200" w:type="dxa"/>
            <w:tcBorders>
              <w:top w:val="nil"/>
              <w:left w:val="nil"/>
              <w:bottom w:val="single" w:sz="4" w:space="0" w:color="auto"/>
              <w:right w:val="single" w:sz="4" w:space="0" w:color="auto"/>
            </w:tcBorders>
            <w:vAlign w:val="center"/>
            <w:hideMark/>
          </w:tcPr>
          <w:p w14:paraId="6816CB57" w14:textId="77777777" w:rsidR="003B7191" w:rsidRPr="00433587" w:rsidRDefault="003B7191">
            <w:pPr>
              <w:jc w:val="center"/>
              <w:rPr>
                <w:rFonts w:ascii="Arial" w:hAnsi="Arial" w:cs="Arial"/>
                <w:sz w:val="20"/>
                <w:szCs w:val="20"/>
              </w:rPr>
            </w:pPr>
            <w:r w:rsidRPr="00433587">
              <w:rPr>
                <w:rFonts w:ascii="Arial" w:hAnsi="Arial" w:cs="Arial"/>
                <w:sz w:val="20"/>
                <w:szCs w:val="20"/>
              </w:rPr>
              <w:t>200 (**)</w:t>
            </w:r>
          </w:p>
        </w:tc>
      </w:tr>
      <w:tr w:rsidR="003B7191" w:rsidRPr="00433587" w14:paraId="165CED5A" w14:textId="77777777" w:rsidTr="003B7191">
        <w:trPr>
          <w:trHeight w:val="300"/>
        </w:trPr>
        <w:tc>
          <w:tcPr>
            <w:tcW w:w="9580" w:type="dxa"/>
            <w:gridSpan w:val="7"/>
            <w:tcBorders>
              <w:top w:val="single" w:sz="4" w:space="0" w:color="auto"/>
              <w:left w:val="single" w:sz="4" w:space="0" w:color="auto"/>
              <w:bottom w:val="nil"/>
              <w:right w:val="single" w:sz="4" w:space="0" w:color="000000"/>
            </w:tcBorders>
            <w:vAlign w:val="center"/>
            <w:hideMark/>
          </w:tcPr>
          <w:p w14:paraId="51FDF2EA" w14:textId="77777777" w:rsidR="003B7191" w:rsidRPr="00433587" w:rsidRDefault="003B7191">
            <w:pPr>
              <w:rPr>
                <w:rFonts w:ascii="Arial" w:hAnsi="Arial" w:cs="Arial"/>
                <w:sz w:val="20"/>
                <w:szCs w:val="20"/>
              </w:rPr>
            </w:pPr>
            <w:r w:rsidRPr="00433587">
              <w:rPr>
                <w:rFonts w:ascii="Arial" w:hAnsi="Arial" w:cs="Arial"/>
                <w:sz w:val="20"/>
                <w:szCs w:val="20"/>
              </w:rPr>
              <w:t>(*) Firmes con espesor de pavimento bituminoso &gt;= 5 cm</w:t>
            </w:r>
          </w:p>
        </w:tc>
      </w:tr>
      <w:tr w:rsidR="003B7191" w:rsidRPr="00433587" w14:paraId="54B42280" w14:textId="77777777" w:rsidTr="003B7191">
        <w:trPr>
          <w:trHeight w:val="300"/>
        </w:trPr>
        <w:tc>
          <w:tcPr>
            <w:tcW w:w="9580" w:type="dxa"/>
            <w:gridSpan w:val="7"/>
            <w:tcBorders>
              <w:top w:val="nil"/>
              <w:left w:val="single" w:sz="4" w:space="0" w:color="auto"/>
              <w:bottom w:val="single" w:sz="4" w:space="0" w:color="auto"/>
              <w:right w:val="single" w:sz="4" w:space="0" w:color="000000"/>
            </w:tcBorders>
            <w:vAlign w:val="center"/>
            <w:hideMark/>
          </w:tcPr>
          <w:p w14:paraId="060A5038" w14:textId="77777777" w:rsidR="003B7191" w:rsidRPr="00433587" w:rsidRDefault="003B7191">
            <w:pPr>
              <w:rPr>
                <w:rFonts w:ascii="Arial" w:hAnsi="Arial" w:cs="Arial"/>
                <w:sz w:val="20"/>
                <w:szCs w:val="20"/>
              </w:rPr>
            </w:pPr>
            <w:r w:rsidRPr="00433587">
              <w:rPr>
                <w:rFonts w:ascii="Arial" w:hAnsi="Arial" w:cs="Arial"/>
                <w:sz w:val="20"/>
                <w:szCs w:val="20"/>
              </w:rPr>
              <w:t>(**) Firmes con espesor de pavimento bituminoso &lt; 5 cm</w:t>
            </w:r>
          </w:p>
        </w:tc>
      </w:tr>
    </w:tbl>
    <w:p w14:paraId="1D9C5E25" w14:textId="77777777" w:rsidR="003B7191" w:rsidRDefault="003B7191" w:rsidP="003B7191">
      <w:pPr>
        <w:spacing w:before="120" w:after="120" w:line="360" w:lineRule="auto"/>
        <w:jc w:val="center"/>
        <w:rPr>
          <w:rFonts w:ascii="Arial" w:hAnsi="Arial" w:cs="Arial"/>
          <w:b/>
          <w:i/>
          <w:sz w:val="22"/>
          <w:szCs w:val="22"/>
        </w:rPr>
      </w:pPr>
      <w:r w:rsidRPr="00433587">
        <w:rPr>
          <w:rFonts w:ascii="Arial" w:hAnsi="Arial" w:cs="Arial"/>
          <w:b/>
          <w:i/>
          <w:sz w:val="22"/>
          <w:szCs w:val="22"/>
        </w:rPr>
        <w:t>Tabla 3 O.C 9/2002.</w:t>
      </w:r>
      <w:proofErr w:type="gramStart"/>
      <w:r w:rsidRPr="00433587">
        <w:rPr>
          <w:rFonts w:ascii="Arial" w:hAnsi="Arial" w:cs="Arial"/>
          <w:b/>
          <w:i/>
          <w:sz w:val="22"/>
          <w:szCs w:val="22"/>
        </w:rPr>
        <w:t>-  Umbrales</w:t>
      </w:r>
      <w:proofErr w:type="gramEnd"/>
      <w:r w:rsidRPr="00433587">
        <w:rPr>
          <w:rFonts w:ascii="Arial" w:hAnsi="Arial" w:cs="Arial"/>
          <w:b/>
          <w:i/>
          <w:sz w:val="22"/>
          <w:szCs w:val="22"/>
        </w:rPr>
        <w:t xml:space="preserve"> del valor puntual de la deflexión patrón (10-2 mm) para el agotamiento estructural</w:t>
      </w:r>
    </w:p>
    <w:p w14:paraId="12D47C86" w14:textId="77777777" w:rsidR="00140246" w:rsidRDefault="00140246" w:rsidP="003B7191">
      <w:pPr>
        <w:spacing w:before="120" w:after="120" w:line="360" w:lineRule="auto"/>
        <w:jc w:val="center"/>
        <w:rPr>
          <w:rFonts w:ascii="Arial" w:hAnsi="Arial" w:cs="Arial"/>
          <w:b/>
          <w:i/>
          <w:sz w:val="22"/>
          <w:szCs w:val="22"/>
        </w:rPr>
      </w:pPr>
    </w:p>
    <w:p w14:paraId="7CB9D44D" w14:textId="77777777" w:rsidR="00140246" w:rsidRDefault="00140246" w:rsidP="003B7191">
      <w:pPr>
        <w:spacing w:before="120" w:after="120" w:line="360" w:lineRule="auto"/>
        <w:jc w:val="center"/>
        <w:rPr>
          <w:rFonts w:ascii="Arial" w:hAnsi="Arial" w:cs="Arial"/>
          <w:b/>
          <w:i/>
          <w:sz w:val="22"/>
          <w:szCs w:val="22"/>
        </w:rPr>
      </w:pPr>
    </w:p>
    <w:p w14:paraId="001293F3" w14:textId="77777777" w:rsidR="00140246" w:rsidRPr="00433587" w:rsidRDefault="00140246" w:rsidP="003B7191">
      <w:pPr>
        <w:spacing w:before="120" w:after="120" w:line="360" w:lineRule="auto"/>
        <w:jc w:val="center"/>
        <w:rPr>
          <w:rFonts w:ascii="Arial" w:hAnsi="Arial" w:cs="Arial"/>
          <w:b/>
          <w:i/>
          <w:sz w:val="22"/>
          <w:szCs w:val="22"/>
        </w:rPr>
      </w:pPr>
    </w:p>
    <w:tbl>
      <w:tblPr>
        <w:tblW w:w="9072" w:type="dxa"/>
        <w:tblBorders>
          <w:top w:val="nil"/>
          <w:left w:val="nil"/>
          <w:bottom w:val="nil"/>
          <w:right w:val="nil"/>
        </w:tblBorders>
        <w:tblLayout w:type="fixed"/>
        <w:tblLook w:val="0000" w:firstRow="0" w:lastRow="0" w:firstColumn="0" w:lastColumn="0" w:noHBand="0" w:noVBand="0"/>
      </w:tblPr>
      <w:tblGrid>
        <w:gridCol w:w="2543"/>
        <w:gridCol w:w="1051"/>
        <w:gridCol w:w="1056"/>
        <w:gridCol w:w="1052"/>
        <w:gridCol w:w="1057"/>
        <w:gridCol w:w="1052"/>
        <w:gridCol w:w="1261"/>
      </w:tblGrid>
      <w:tr w:rsidR="003B7191" w:rsidRPr="00433587" w14:paraId="371E40CA" w14:textId="77777777" w:rsidTr="00140246">
        <w:trPr>
          <w:trHeight w:val="695"/>
        </w:trPr>
        <w:tc>
          <w:tcPr>
            <w:tcW w:w="9072" w:type="dxa"/>
            <w:gridSpan w:val="7"/>
            <w:tcBorders>
              <w:top w:val="single" w:sz="12" w:space="0" w:color="auto"/>
              <w:bottom w:val="single" w:sz="12" w:space="0" w:color="auto"/>
            </w:tcBorders>
            <w:shd w:val="clear" w:color="auto" w:fill="D9D9D9" w:themeFill="background1" w:themeFillShade="D9"/>
            <w:vAlign w:val="center"/>
          </w:tcPr>
          <w:p w14:paraId="63C27C0F" w14:textId="77777777" w:rsidR="003B7191" w:rsidRPr="00433587" w:rsidRDefault="003B7191" w:rsidP="00140246">
            <w:pPr>
              <w:jc w:val="center"/>
              <w:rPr>
                <w:rFonts w:ascii="Arial" w:hAnsi="Arial" w:cs="Arial"/>
                <w:sz w:val="20"/>
                <w:szCs w:val="20"/>
              </w:rPr>
            </w:pPr>
            <w:r w:rsidRPr="00140246">
              <w:rPr>
                <w:rFonts w:ascii="Arial" w:hAnsi="Arial" w:cs="Arial"/>
                <w:b/>
                <w:bCs/>
                <w:sz w:val="20"/>
                <w:szCs w:val="20"/>
              </w:rPr>
              <w:lastRenderedPageBreak/>
              <w:t>3.B. FIRMES SEMIRRÍGIDOS</w:t>
            </w:r>
          </w:p>
        </w:tc>
      </w:tr>
      <w:tr w:rsidR="003B7191" w:rsidRPr="00433587" w14:paraId="4B5A0890" w14:textId="77777777" w:rsidTr="001F3E93">
        <w:trPr>
          <w:trHeight w:val="412"/>
        </w:trPr>
        <w:tc>
          <w:tcPr>
            <w:tcW w:w="2543" w:type="dxa"/>
            <w:vMerge w:val="restart"/>
            <w:tcBorders>
              <w:top w:val="single" w:sz="12" w:space="0" w:color="auto"/>
              <w:bottom w:val="nil"/>
            </w:tcBorders>
            <w:vAlign w:val="center"/>
          </w:tcPr>
          <w:p w14:paraId="1EA857BB" w14:textId="77777777" w:rsidR="003B7191" w:rsidRPr="00433587" w:rsidRDefault="003B7191" w:rsidP="001F3E93">
            <w:pPr>
              <w:keepNext/>
              <w:spacing w:before="120" w:after="120"/>
              <w:rPr>
                <w:rFonts w:ascii="Arial" w:hAnsi="Arial" w:cs="Arial"/>
                <w:sz w:val="20"/>
                <w:szCs w:val="20"/>
              </w:rPr>
            </w:pPr>
            <w:r w:rsidRPr="00433587">
              <w:rPr>
                <w:rFonts w:ascii="Arial" w:hAnsi="Arial" w:cs="Arial"/>
                <w:sz w:val="20"/>
                <w:szCs w:val="20"/>
              </w:rPr>
              <w:t>Deflexión pat</w:t>
            </w:r>
            <w:r w:rsidR="00433587" w:rsidRPr="00433587">
              <w:rPr>
                <w:rFonts w:ascii="Arial" w:hAnsi="Arial" w:cs="Arial"/>
                <w:sz w:val="20"/>
                <w:szCs w:val="20"/>
              </w:rPr>
              <w:t>rón</w:t>
            </w:r>
          </w:p>
        </w:tc>
        <w:tc>
          <w:tcPr>
            <w:tcW w:w="6529" w:type="dxa"/>
            <w:gridSpan w:val="6"/>
            <w:tcBorders>
              <w:top w:val="single" w:sz="12" w:space="0" w:color="auto"/>
              <w:bottom w:val="nil"/>
            </w:tcBorders>
            <w:vAlign w:val="center"/>
          </w:tcPr>
          <w:p w14:paraId="3B3A6C50" w14:textId="77777777" w:rsidR="003B7191" w:rsidRPr="00433587" w:rsidRDefault="003B7191" w:rsidP="00433587">
            <w:pPr>
              <w:keepNext/>
              <w:spacing w:before="120" w:after="120"/>
              <w:jc w:val="center"/>
              <w:rPr>
                <w:rFonts w:ascii="Arial" w:hAnsi="Arial" w:cs="Arial"/>
                <w:sz w:val="20"/>
                <w:szCs w:val="20"/>
              </w:rPr>
            </w:pPr>
            <w:r w:rsidRPr="00433587">
              <w:rPr>
                <w:rFonts w:ascii="Arial" w:hAnsi="Arial" w:cs="Arial"/>
                <w:sz w:val="20"/>
                <w:szCs w:val="20"/>
              </w:rPr>
              <w:t>Categoría de tráfico pesado</w:t>
            </w:r>
          </w:p>
        </w:tc>
      </w:tr>
      <w:tr w:rsidR="003B7191" w:rsidRPr="00433587" w14:paraId="3ADEAF9A" w14:textId="77777777" w:rsidTr="001F3E93">
        <w:trPr>
          <w:trHeight w:val="385"/>
        </w:trPr>
        <w:tc>
          <w:tcPr>
            <w:tcW w:w="2543" w:type="dxa"/>
            <w:vMerge/>
            <w:tcBorders>
              <w:top w:val="nil"/>
              <w:bottom w:val="single" w:sz="12" w:space="0" w:color="auto"/>
            </w:tcBorders>
            <w:vAlign w:val="center"/>
          </w:tcPr>
          <w:p w14:paraId="58074B70" w14:textId="77777777" w:rsidR="003B7191" w:rsidRPr="00433587" w:rsidRDefault="003B7191" w:rsidP="001F3E93">
            <w:pPr>
              <w:keepNext/>
              <w:spacing w:before="120" w:after="120"/>
              <w:rPr>
                <w:rFonts w:ascii="Arial" w:hAnsi="Arial" w:cs="Arial"/>
                <w:sz w:val="20"/>
                <w:szCs w:val="20"/>
              </w:rPr>
            </w:pPr>
          </w:p>
        </w:tc>
        <w:tc>
          <w:tcPr>
            <w:tcW w:w="1051" w:type="dxa"/>
            <w:tcBorders>
              <w:top w:val="nil"/>
              <w:bottom w:val="single" w:sz="12" w:space="0" w:color="auto"/>
            </w:tcBorders>
            <w:vAlign w:val="center"/>
          </w:tcPr>
          <w:p w14:paraId="2AE5DA56" w14:textId="77777777" w:rsidR="003B7191" w:rsidRPr="00433587" w:rsidRDefault="003B7191" w:rsidP="001F3E93">
            <w:pPr>
              <w:keepNext/>
              <w:spacing w:before="120" w:after="120"/>
              <w:rPr>
                <w:rFonts w:ascii="Arial" w:hAnsi="Arial" w:cs="Arial"/>
                <w:sz w:val="20"/>
                <w:szCs w:val="20"/>
              </w:rPr>
            </w:pPr>
            <w:r w:rsidRPr="00433587">
              <w:rPr>
                <w:rFonts w:ascii="Arial" w:hAnsi="Arial" w:cs="Arial"/>
                <w:sz w:val="20"/>
                <w:szCs w:val="20"/>
              </w:rPr>
              <w:t>T00</w:t>
            </w:r>
          </w:p>
        </w:tc>
        <w:tc>
          <w:tcPr>
            <w:tcW w:w="1056" w:type="dxa"/>
            <w:tcBorders>
              <w:top w:val="nil"/>
              <w:bottom w:val="single" w:sz="12" w:space="0" w:color="auto"/>
            </w:tcBorders>
            <w:vAlign w:val="center"/>
          </w:tcPr>
          <w:p w14:paraId="4EF5D621" w14:textId="77777777" w:rsidR="003B7191" w:rsidRPr="00433587" w:rsidRDefault="003B7191" w:rsidP="001F3E93">
            <w:pPr>
              <w:keepNext/>
              <w:spacing w:before="120" w:after="120"/>
              <w:rPr>
                <w:rFonts w:ascii="Arial" w:hAnsi="Arial" w:cs="Arial"/>
                <w:sz w:val="20"/>
                <w:szCs w:val="20"/>
              </w:rPr>
            </w:pPr>
            <w:r w:rsidRPr="00433587">
              <w:rPr>
                <w:rFonts w:ascii="Arial" w:hAnsi="Arial" w:cs="Arial"/>
                <w:sz w:val="20"/>
                <w:szCs w:val="20"/>
              </w:rPr>
              <w:t xml:space="preserve">T0 </w:t>
            </w:r>
          </w:p>
        </w:tc>
        <w:tc>
          <w:tcPr>
            <w:tcW w:w="1052" w:type="dxa"/>
            <w:tcBorders>
              <w:top w:val="nil"/>
              <w:bottom w:val="single" w:sz="12" w:space="0" w:color="auto"/>
            </w:tcBorders>
            <w:vAlign w:val="center"/>
          </w:tcPr>
          <w:p w14:paraId="4824955E" w14:textId="77777777" w:rsidR="003B7191" w:rsidRPr="00433587" w:rsidRDefault="003B7191" w:rsidP="001F3E93">
            <w:pPr>
              <w:keepNext/>
              <w:spacing w:before="120" w:after="120"/>
              <w:rPr>
                <w:rFonts w:ascii="Arial" w:hAnsi="Arial" w:cs="Arial"/>
                <w:sz w:val="20"/>
                <w:szCs w:val="20"/>
              </w:rPr>
            </w:pPr>
            <w:r w:rsidRPr="00433587">
              <w:rPr>
                <w:rFonts w:ascii="Arial" w:hAnsi="Arial" w:cs="Arial"/>
                <w:sz w:val="20"/>
                <w:szCs w:val="20"/>
              </w:rPr>
              <w:t xml:space="preserve">T1 </w:t>
            </w:r>
          </w:p>
        </w:tc>
        <w:tc>
          <w:tcPr>
            <w:tcW w:w="1057" w:type="dxa"/>
            <w:tcBorders>
              <w:top w:val="nil"/>
              <w:bottom w:val="single" w:sz="12" w:space="0" w:color="auto"/>
            </w:tcBorders>
            <w:vAlign w:val="center"/>
          </w:tcPr>
          <w:p w14:paraId="3E8307C6" w14:textId="77777777" w:rsidR="003B7191" w:rsidRPr="00433587" w:rsidRDefault="003B7191" w:rsidP="001F3E93">
            <w:pPr>
              <w:keepNext/>
              <w:spacing w:before="120" w:after="120"/>
              <w:rPr>
                <w:rFonts w:ascii="Arial" w:hAnsi="Arial" w:cs="Arial"/>
                <w:sz w:val="20"/>
                <w:szCs w:val="20"/>
              </w:rPr>
            </w:pPr>
            <w:r w:rsidRPr="00433587">
              <w:rPr>
                <w:rFonts w:ascii="Arial" w:hAnsi="Arial" w:cs="Arial"/>
                <w:sz w:val="20"/>
                <w:szCs w:val="20"/>
              </w:rPr>
              <w:t xml:space="preserve">T2 </w:t>
            </w:r>
          </w:p>
        </w:tc>
        <w:tc>
          <w:tcPr>
            <w:tcW w:w="1052" w:type="dxa"/>
            <w:tcBorders>
              <w:top w:val="nil"/>
              <w:bottom w:val="single" w:sz="12" w:space="0" w:color="auto"/>
            </w:tcBorders>
            <w:vAlign w:val="center"/>
          </w:tcPr>
          <w:p w14:paraId="43CDFB7D" w14:textId="77777777" w:rsidR="003B7191" w:rsidRPr="00433587" w:rsidRDefault="003B7191" w:rsidP="001F3E93">
            <w:pPr>
              <w:keepNext/>
              <w:spacing w:before="120" w:after="120"/>
              <w:rPr>
                <w:rFonts w:ascii="Arial" w:hAnsi="Arial" w:cs="Arial"/>
                <w:sz w:val="20"/>
                <w:szCs w:val="20"/>
              </w:rPr>
            </w:pPr>
            <w:r w:rsidRPr="00433587">
              <w:rPr>
                <w:rFonts w:ascii="Arial" w:hAnsi="Arial" w:cs="Arial"/>
                <w:sz w:val="20"/>
                <w:szCs w:val="20"/>
              </w:rPr>
              <w:t xml:space="preserve">T3 </w:t>
            </w:r>
          </w:p>
        </w:tc>
        <w:tc>
          <w:tcPr>
            <w:tcW w:w="1261" w:type="dxa"/>
            <w:tcBorders>
              <w:top w:val="nil"/>
              <w:bottom w:val="single" w:sz="12" w:space="0" w:color="auto"/>
            </w:tcBorders>
            <w:vAlign w:val="center"/>
          </w:tcPr>
          <w:p w14:paraId="5035CBF7" w14:textId="77777777" w:rsidR="003B7191" w:rsidRPr="00433587" w:rsidRDefault="003B7191" w:rsidP="001F3E93">
            <w:pPr>
              <w:keepNext/>
              <w:spacing w:before="120" w:after="120"/>
              <w:rPr>
                <w:rFonts w:ascii="Arial" w:hAnsi="Arial" w:cs="Arial"/>
                <w:sz w:val="20"/>
                <w:szCs w:val="20"/>
              </w:rPr>
            </w:pPr>
            <w:r w:rsidRPr="00433587">
              <w:rPr>
                <w:rFonts w:ascii="Arial" w:hAnsi="Arial" w:cs="Arial"/>
                <w:sz w:val="20"/>
                <w:szCs w:val="20"/>
              </w:rPr>
              <w:t xml:space="preserve">T4 </w:t>
            </w:r>
          </w:p>
        </w:tc>
      </w:tr>
      <w:tr w:rsidR="003B7191" w:rsidRPr="00433587" w14:paraId="1E561BA2" w14:textId="77777777" w:rsidTr="001F3E93">
        <w:trPr>
          <w:trHeight w:val="762"/>
        </w:trPr>
        <w:tc>
          <w:tcPr>
            <w:tcW w:w="2543" w:type="dxa"/>
            <w:tcBorders>
              <w:top w:val="single" w:sz="12" w:space="0" w:color="auto"/>
              <w:bottom w:val="single" w:sz="12" w:space="0" w:color="auto"/>
            </w:tcBorders>
            <w:vAlign w:val="center"/>
          </w:tcPr>
          <w:p w14:paraId="0C037DDE" w14:textId="77777777" w:rsidR="003B7191" w:rsidRPr="00433587" w:rsidRDefault="003B7191" w:rsidP="001F3E93">
            <w:pPr>
              <w:keepNext/>
              <w:spacing w:before="120" w:after="120"/>
              <w:rPr>
                <w:rFonts w:ascii="Arial" w:hAnsi="Arial" w:cs="Arial"/>
                <w:sz w:val="20"/>
                <w:szCs w:val="20"/>
              </w:rPr>
            </w:pPr>
            <w:r w:rsidRPr="00433587">
              <w:rPr>
                <w:rFonts w:ascii="Arial" w:hAnsi="Arial" w:cs="Arial"/>
                <w:sz w:val="20"/>
                <w:szCs w:val="20"/>
              </w:rPr>
              <w:t xml:space="preserve">Deflexión patrón (centésimas de milímetro) </w:t>
            </w:r>
          </w:p>
        </w:tc>
        <w:tc>
          <w:tcPr>
            <w:tcW w:w="1051" w:type="dxa"/>
            <w:tcBorders>
              <w:top w:val="single" w:sz="12" w:space="0" w:color="auto"/>
              <w:bottom w:val="single" w:sz="12" w:space="0" w:color="auto"/>
            </w:tcBorders>
            <w:vAlign w:val="center"/>
          </w:tcPr>
          <w:p w14:paraId="7D0055BB" w14:textId="77777777" w:rsidR="003B7191" w:rsidRPr="00433587" w:rsidRDefault="003B7191" w:rsidP="001F3E93">
            <w:pPr>
              <w:keepNext/>
              <w:spacing w:before="120" w:after="120"/>
              <w:rPr>
                <w:rFonts w:ascii="Arial" w:hAnsi="Arial" w:cs="Arial"/>
                <w:sz w:val="20"/>
                <w:szCs w:val="20"/>
              </w:rPr>
            </w:pPr>
            <w:r w:rsidRPr="00433587">
              <w:rPr>
                <w:rFonts w:ascii="Arial" w:hAnsi="Arial" w:cs="Arial"/>
                <w:sz w:val="20"/>
                <w:szCs w:val="20"/>
              </w:rPr>
              <w:t xml:space="preserve">35 </w:t>
            </w:r>
          </w:p>
        </w:tc>
        <w:tc>
          <w:tcPr>
            <w:tcW w:w="1056" w:type="dxa"/>
            <w:tcBorders>
              <w:top w:val="single" w:sz="12" w:space="0" w:color="auto"/>
              <w:bottom w:val="single" w:sz="12" w:space="0" w:color="auto"/>
            </w:tcBorders>
            <w:vAlign w:val="center"/>
          </w:tcPr>
          <w:p w14:paraId="10E5EDF5" w14:textId="77777777" w:rsidR="003B7191" w:rsidRPr="00433587" w:rsidRDefault="003B7191" w:rsidP="001F3E93">
            <w:pPr>
              <w:keepNext/>
              <w:spacing w:before="120" w:after="120"/>
              <w:rPr>
                <w:rFonts w:ascii="Arial" w:hAnsi="Arial" w:cs="Arial"/>
                <w:sz w:val="20"/>
                <w:szCs w:val="20"/>
              </w:rPr>
            </w:pPr>
            <w:r w:rsidRPr="00433587">
              <w:rPr>
                <w:rFonts w:ascii="Arial" w:hAnsi="Arial" w:cs="Arial"/>
                <w:sz w:val="20"/>
                <w:szCs w:val="20"/>
              </w:rPr>
              <w:t>40</w:t>
            </w:r>
          </w:p>
        </w:tc>
        <w:tc>
          <w:tcPr>
            <w:tcW w:w="1052" w:type="dxa"/>
            <w:tcBorders>
              <w:top w:val="single" w:sz="12" w:space="0" w:color="auto"/>
              <w:bottom w:val="single" w:sz="12" w:space="0" w:color="auto"/>
            </w:tcBorders>
            <w:vAlign w:val="center"/>
          </w:tcPr>
          <w:p w14:paraId="5FE68FC4" w14:textId="77777777" w:rsidR="003B7191" w:rsidRPr="00433587" w:rsidRDefault="003B7191" w:rsidP="001F3E93">
            <w:pPr>
              <w:keepNext/>
              <w:spacing w:before="120" w:after="120"/>
              <w:rPr>
                <w:rFonts w:ascii="Arial" w:hAnsi="Arial" w:cs="Arial"/>
                <w:sz w:val="20"/>
                <w:szCs w:val="20"/>
              </w:rPr>
            </w:pPr>
            <w:r w:rsidRPr="00433587">
              <w:rPr>
                <w:rFonts w:ascii="Arial" w:hAnsi="Arial" w:cs="Arial"/>
                <w:sz w:val="20"/>
                <w:szCs w:val="20"/>
              </w:rPr>
              <w:t>40</w:t>
            </w:r>
          </w:p>
        </w:tc>
        <w:tc>
          <w:tcPr>
            <w:tcW w:w="1057" w:type="dxa"/>
            <w:tcBorders>
              <w:top w:val="single" w:sz="12" w:space="0" w:color="auto"/>
              <w:bottom w:val="single" w:sz="12" w:space="0" w:color="auto"/>
            </w:tcBorders>
            <w:vAlign w:val="center"/>
          </w:tcPr>
          <w:p w14:paraId="2B264226" w14:textId="77777777" w:rsidR="003B7191" w:rsidRPr="00433587" w:rsidRDefault="003B7191" w:rsidP="001F3E93">
            <w:pPr>
              <w:keepNext/>
              <w:spacing w:before="120" w:after="120"/>
              <w:rPr>
                <w:rFonts w:ascii="Arial" w:hAnsi="Arial" w:cs="Arial"/>
                <w:sz w:val="20"/>
                <w:szCs w:val="20"/>
              </w:rPr>
            </w:pPr>
            <w:r w:rsidRPr="00433587">
              <w:rPr>
                <w:rFonts w:ascii="Arial" w:hAnsi="Arial" w:cs="Arial"/>
                <w:sz w:val="20"/>
                <w:szCs w:val="20"/>
              </w:rPr>
              <w:t xml:space="preserve">50 </w:t>
            </w:r>
          </w:p>
        </w:tc>
        <w:tc>
          <w:tcPr>
            <w:tcW w:w="1052" w:type="dxa"/>
            <w:tcBorders>
              <w:top w:val="single" w:sz="12" w:space="0" w:color="auto"/>
              <w:bottom w:val="single" w:sz="12" w:space="0" w:color="auto"/>
            </w:tcBorders>
            <w:vAlign w:val="center"/>
          </w:tcPr>
          <w:p w14:paraId="75C46D84" w14:textId="77777777" w:rsidR="003B7191" w:rsidRPr="00433587" w:rsidRDefault="003B7191" w:rsidP="001F3E93">
            <w:pPr>
              <w:keepNext/>
              <w:spacing w:before="120" w:after="120"/>
              <w:rPr>
                <w:rFonts w:ascii="Arial" w:hAnsi="Arial" w:cs="Arial"/>
                <w:sz w:val="20"/>
                <w:szCs w:val="20"/>
              </w:rPr>
            </w:pPr>
            <w:r w:rsidRPr="00433587">
              <w:rPr>
                <w:rFonts w:ascii="Arial" w:hAnsi="Arial" w:cs="Arial"/>
                <w:sz w:val="20"/>
                <w:szCs w:val="20"/>
              </w:rPr>
              <w:t xml:space="preserve">50 </w:t>
            </w:r>
          </w:p>
        </w:tc>
        <w:tc>
          <w:tcPr>
            <w:tcW w:w="1261" w:type="dxa"/>
            <w:tcBorders>
              <w:top w:val="single" w:sz="12" w:space="0" w:color="auto"/>
              <w:bottom w:val="single" w:sz="12" w:space="0" w:color="auto"/>
            </w:tcBorders>
            <w:vAlign w:val="center"/>
          </w:tcPr>
          <w:p w14:paraId="0BAA4642" w14:textId="77777777" w:rsidR="003B7191" w:rsidRPr="00433587" w:rsidRDefault="003B7191" w:rsidP="001F3E93">
            <w:pPr>
              <w:keepNext/>
              <w:spacing w:before="120" w:after="120"/>
              <w:rPr>
                <w:rFonts w:ascii="Arial" w:hAnsi="Arial" w:cs="Arial"/>
                <w:sz w:val="20"/>
                <w:szCs w:val="20"/>
              </w:rPr>
            </w:pPr>
            <w:r w:rsidRPr="00433587">
              <w:rPr>
                <w:rFonts w:ascii="Arial" w:hAnsi="Arial" w:cs="Arial"/>
                <w:sz w:val="20"/>
                <w:szCs w:val="20"/>
              </w:rPr>
              <w:t>80</w:t>
            </w:r>
          </w:p>
        </w:tc>
      </w:tr>
    </w:tbl>
    <w:p w14:paraId="686EDE88" w14:textId="77777777" w:rsidR="00316114" w:rsidRPr="00433587" w:rsidRDefault="00316114" w:rsidP="00C462B3">
      <w:pPr>
        <w:keepNext/>
        <w:spacing w:before="360" w:after="120" w:line="360" w:lineRule="auto"/>
        <w:jc w:val="both"/>
        <w:rPr>
          <w:rFonts w:ascii="Arial" w:hAnsi="Arial"/>
          <w:bCs/>
          <w:i/>
          <w:u w:val="single"/>
        </w:rPr>
      </w:pPr>
      <w:r w:rsidRPr="00433587">
        <w:rPr>
          <w:rFonts w:ascii="Arial" w:hAnsi="Arial"/>
          <w:bCs/>
          <w:i/>
          <w:u w:val="single"/>
        </w:rPr>
        <w:t>Eliminación del material deteriorado</w:t>
      </w:r>
    </w:p>
    <w:p w14:paraId="005BE898" w14:textId="77777777" w:rsidR="00316114" w:rsidRPr="00433587" w:rsidRDefault="00316114" w:rsidP="00D81C53">
      <w:pPr>
        <w:spacing w:before="120" w:after="120" w:line="360" w:lineRule="auto"/>
        <w:jc w:val="both"/>
        <w:rPr>
          <w:rFonts w:ascii="Arial" w:hAnsi="Arial" w:cs="Arial"/>
        </w:rPr>
      </w:pPr>
      <w:r w:rsidRPr="00433587">
        <w:rPr>
          <w:rFonts w:ascii="Arial" w:hAnsi="Arial"/>
        </w:rPr>
        <w:t xml:space="preserve">Se </w:t>
      </w:r>
      <w:r w:rsidR="00C462B3" w:rsidRPr="00433587">
        <w:rPr>
          <w:rFonts w:ascii="Arial" w:hAnsi="Arial"/>
        </w:rPr>
        <w:t xml:space="preserve">fresará la capa de firme necesaria para extender una capa de al menos 4 centímetros para realizar la transición, se eliminará </w:t>
      </w:r>
      <w:r w:rsidRPr="00433587">
        <w:rPr>
          <w:rFonts w:ascii="Arial" w:hAnsi="Arial"/>
        </w:rPr>
        <w:t xml:space="preserve">siempre la capa de rodadura </w:t>
      </w:r>
      <w:r w:rsidR="00C462B3" w:rsidRPr="00433587">
        <w:rPr>
          <w:rFonts w:ascii="Arial" w:hAnsi="Arial"/>
        </w:rPr>
        <w:t xml:space="preserve">y el espesor necesario de la capa </w:t>
      </w:r>
      <w:r w:rsidRPr="00433587">
        <w:rPr>
          <w:rFonts w:ascii="Arial" w:hAnsi="Arial"/>
        </w:rPr>
        <w:t>intermedia</w:t>
      </w:r>
      <w:r w:rsidR="00C462B3" w:rsidRPr="00433587">
        <w:rPr>
          <w:rFonts w:ascii="Arial" w:hAnsi="Arial"/>
        </w:rPr>
        <w:t xml:space="preserve">. Si hubiese que sanear por encontrarse el firme deteriorado se llegaría hasta el espesor indicado fresando en capa intermedia y base. Cuando </w:t>
      </w:r>
      <w:r w:rsidRPr="00433587">
        <w:rPr>
          <w:rFonts w:ascii="Arial" w:hAnsi="Arial" w:cs="Arial"/>
        </w:rPr>
        <w:t>se ejecute sobre tablero, se fresará hasta descubrir la superficie de éste.</w:t>
      </w:r>
      <w:r w:rsidR="00195FB9">
        <w:rPr>
          <w:rFonts w:ascii="Arial" w:hAnsi="Arial" w:cs="Arial"/>
        </w:rPr>
        <w:t xml:space="preserve"> Tal y como se ha indicado anteriormente, se realizará un escalonado entre capas de al menos cuarenta </w:t>
      </w:r>
      <w:r w:rsidR="00217216">
        <w:rPr>
          <w:rFonts w:ascii="Arial" w:hAnsi="Arial" w:cs="Arial"/>
        </w:rPr>
        <w:t>centímetros (40</w:t>
      </w:r>
      <w:r w:rsidR="00195FB9">
        <w:rPr>
          <w:rFonts w:ascii="Arial" w:hAnsi="Arial" w:cs="Arial"/>
        </w:rPr>
        <w:t xml:space="preserve"> cm)</w:t>
      </w:r>
    </w:p>
    <w:p w14:paraId="60F6B2E2" w14:textId="77777777" w:rsidR="00316114" w:rsidRPr="00433587" w:rsidRDefault="00316114" w:rsidP="00D81C53">
      <w:pPr>
        <w:spacing w:before="120" w:after="120" w:line="360" w:lineRule="auto"/>
        <w:jc w:val="both"/>
        <w:rPr>
          <w:rFonts w:ascii="Arial" w:hAnsi="Arial"/>
        </w:rPr>
      </w:pPr>
      <w:r w:rsidRPr="00433587">
        <w:rPr>
          <w:rFonts w:ascii="Arial" w:hAnsi="Arial"/>
        </w:rPr>
        <w:t>El fresado se ejecutará con máquina fresadora, cuidando que los bordes longitudinales queden perfectamente verticales.</w:t>
      </w:r>
    </w:p>
    <w:p w14:paraId="7339739F" w14:textId="77777777" w:rsidR="00316114" w:rsidRPr="00433587" w:rsidRDefault="00316114" w:rsidP="00D81C53">
      <w:pPr>
        <w:spacing w:before="120" w:after="120" w:line="360" w:lineRule="auto"/>
        <w:jc w:val="both"/>
        <w:rPr>
          <w:rFonts w:ascii="Arial" w:hAnsi="Arial"/>
        </w:rPr>
      </w:pPr>
      <w:r w:rsidRPr="00433587">
        <w:rPr>
          <w:rFonts w:ascii="Arial" w:hAnsi="Arial"/>
        </w:rPr>
        <w:t>La retirada del material procedente del fresado se realizará mediante su transporte en camiones a vertedero.</w:t>
      </w:r>
    </w:p>
    <w:p w14:paraId="7E159C16" w14:textId="77777777" w:rsidR="00316114" w:rsidRPr="00433587" w:rsidRDefault="00316114" w:rsidP="00951171">
      <w:pPr>
        <w:keepNext/>
        <w:spacing w:before="360" w:after="120" w:line="360" w:lineRule="auto"/>
        <w:jc w:val="both"/>
        <w:rPr>
          <w:rFonts w:ascii="Arial" w:hAnsi="Arial" w:cs="Arial"/>
          <w:bCs/>
          <w:i/>
          <w:u w:val="single"/>
        </w:rPr>
      </w:pPr>
      <w:r w:rsidRPr="00433587">
        <w:rPr>
          <w:rFonts w:ascii="Arial" w:hAnsi="Arial" w:cs="Arial"/>
          <w:bCs/>
          <w:i/>
          <w:u w:val="single"/>
        </w:rPr>
        <w:t>Limpieza y preparación de la superficie fresada</w:t>
      </w:r>
    </w:p>
    <w:p w14:paraId="1E11E59D" w14:textId="77777777" w:rsidR="00316114" w:rsidRPr="00433587" w:rsidRDefault="00316114" w:rsidP="00D81C53">
      <w:pPr>
        <w:spacing w:before="120" w:after="120" w:line="360" w:lineRule="auto"/>
        <w:jc w:val="both"/>
        <w:rPr>
          <w:rFonts w:ascii="Arial" w:hAnsi="Arial"/>
        </w:rPr>
      </w:pPr>
      <w:r w:rsidRPr="00433587">
        <w:rPr>
          <w:rFonts w:ascii="Arial" w:hAnsi="Arial"/>
        </w:rPr>
        <w:t xml:space="preserve">La superficie fresada deberá quedar perfectamente limpia y seca. Para ello se procederá a su barrido e, inmediatamente antes de la extensión del riego de adherencia, al soplado mediante aire a presión. </w:t>
      </w:r>
    </w:p>
    <w:p w14:paraId="2FA287FC" w14:textId="77777777" w:rsidR="00316114" w:rsidRPr="00433587" w:rsidRDefault="00316114" w:rsidP="00D81C53">
      <w:pPr>
        <w:spacing w:before="120" w:after="120" w:line="360" w:lineRule="auto"/>
        <w:jc w:val="both"/>
        <w:rPr>
          <w:rFonts w:ascii="Arial" w:hAnsi="Arial" w:cs="Arial"/>
        </w:rPr>
      </w:pPr>
      <w:r w:rsidRPr="00433587">
        <w:rPr>
          <w:rFonts w:ascii="Arial" w:hAnsi="Arial"/>
        </w:rPr>
        <w:t xml:space="preserve">En el caso de existir agrietamiento de tipo estructural, y siempre que las deflexiones </w:t>
      </w:r>
      <w:r w:rsidRPr="00433587">
        <w:rPr>
          <w:rFonts w:ascii="Arial" w:hAnsi="Arial" w:cs="Arial"/>
        </w:rPr>
        <w:t>en la zona no superen los umbrales señalados en la vigente instrucción 6.3-IC para considerar que existe agotamiento estructural del firme,</w:t>
      </w:r>
      <w:r w:rsidRPr="00433587">
        <w:rPr>
          <w:rFonts w:ascii="Arial" w:hAnsi="Arial"/>
        </w:rPr>
        <w:t xml:space="preserve"> se procederá a la eliminación capa por capa del firme según la secuencia de fresado, barrido y soplado mediante aire comprimido. A la vista de su estado superficial tras la limpieza efectuada, el </w:t>
      </w:r>
      <w:proofErr w:type="gramStart"/>
      <w:r w:rsidRPr="00433587">
        <w:rPr>
          <w:rFonts w:ascii="Arial" w:hAnsi="Arial"/>
        </w:rPr>
        <w:t>Director</w:t>
      </w:r>
      <w:proofErr w:type="gramEnd"/>
      <w:r w:rsidRPr="00433587">
        <w:rPr>
          <w:rFonts w:ascii="Arial" w:hAnsi="Arial"/>
        </w:rPr>
        <w:t xml:space="preserve"> </w:t>
      </w:r>
      <w:r w:rsidRPr="00433587">
        <w:rPr>
          <w:rFonts w:ascii="Arial" w:hAnsi="Arial" w:cs="Arial"/>
        </w:rPr>
        <w:t xml:space="preserve">de las obras podrá ordenar detener el fresado en la capa cuya superficie no presente agrietamiento estructural, sin que sean de abono las operaciones no </w:t>
      </w:r>
      <w:r w:rsidRPr="00433587">
        <w:rPr>
          <w:rFonts w:ascii="Arial" w:hAnsi="Arial" w:cs="Arial"/>
        </w:rPr>
        <w:t>realizadas de fresado y reposición del firme a mayor profundidad de aquélla a la que se ha detenido el proceso de saneo.</w:t>
      </w:r>
    </w:p>
    <w:p w14:paraId="0947A11F" w14:textId="77777777" w:rsidR="00316114" w:rsidRPr="00433587" w:rsidRDefault="00837CB3" w:rsidP="000313DD">
      <w:pPr>
        <w:pStyle w:val="TITU2"/>
      </w:pPr>
      <w:bookmarkStart w:id="387" w:name="_Toc448915983"/>
      <w:bookmarkStart w:id="388" w:name="_Toc404181"/>
      <w:r w:rsidRPr="00433587">
        <w:t>319</w:t>
      </w:r>
      <w:r w:rsidR="00951171" w:rsidRPr="00433587">
        <w:t xml:space="preserve">.3. </w:t>
      </w:r>
      <w:r w:rsidR="001013FE" w:rsidRPr="00433587">
        <w:t xml:space="preserve">  </w:t>
      </w:r>
      <w:r w:rsidR="00316114" w:rsidRPr="00433587">
        <w:t>Medición y abono</w:t>
      </w:r>
      <w:bookmarkEnd w:id="387"/>
      <w:bookmarkEnd w:id="388"/>
    </w:p>
    <w:p w14:paraId="1BFCDC2F" w14:textId="77777777" w:rsidR="00316114" w:rsidRPr="00433587" w:rsidRDefault="00AD7EF1" w:rsidP="00837CB3">
      <w:pPr>
        <w:keepNext/>
        <w:spacing w:before="120" w:after="120" w:line="360" w:lineRule="auto"/>
        <w:jc w:val="both"/>
        <w:rPr>
          <w:rFonts w:ascii="Arial" w:hAnsi="Arial"/>
        </w:rPr>
      </w:pPr>
      <w:r w:rsidRPr="00433587">
        <w:rPr>
          <w:rFonts w:ascii="Arial" w:hAnsi="Arial"/>
        </w:rPr>
        <w:t>La medición y abono de la unidad de fresado se realiza según las prescripciones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6663"/>
      </w:tblGrid>
      <w:tr w:rsidR="00316114" w:rsidRPr="00433587" w14:paraId="0B8301BC" w14:textId="77777777" w:rsidTr="00927CC1">
        <w:tc>
          <w:tcPr>
            <w:tcW w:w="2338" w:type="dxa"/>
            <w:vAlign w:val="center"/>
          </w:tcPr>
          <w:p w14:paraId="4E97BA36" w14:textId="77777777" w:rsidR="00316114" w:rsidRPr="00433587" w:rsidRDefault="00316114" w:rsidP="00E50149">
            <w:pPr>
              <w:keepNext/>
              <w:keepLines/>
              <w:spacing w:before="120" w:after="120"/>
              <w:jc w:val="center"/>
              <w:rPr>
                <w:rFonts w:ascii="Arial" w:hAnsi="Arial" w:cs="Arial"/>
                <w:b/>
                <w:bCs/>
                <w:sz w:val="20"/>
                <w:szCs w:val="20"/>
              </w:rPr>
            </w:pPr>
            <w:r w:rsidRPr="00433587">
              <w:rPr>
                <w:rFonts w:ascii="Arial" w:hAnsi="Arial" w:cs="Arial"/>
                <w:b/>
                <w:bCs/>
                <w:sz w:val="20"/>
                <w:szCs w:val="20"/>
              </w:rPr>
              <w:t>Unidad de medida</w:t>
            </w:r>
          </w:p>
        </w:tc>
        <w:tc>
          <w:tcPr>
            <w:tcW w:w="6663" w:type="dxa"/>
            <w:vAlign w:val="center"/>
          </w:tcPr>
          <w:p w14:paraId="2DCF79DE" w14:textId="77777777" w:rsidR="00316114" w:rsidRPr="00433587" w:rsidRDefault="00316114" w:rsidP="00552D4A">
            <w:pPr>
              <w:keepNext/>
              <w:keepLines/>
              <w:spacing w:before="120" w:after="120"/>
              <w:jc w:val="both"/>
              <w:rPr>
                <w:rFonts w:ascii="Arial" w:hAnsi="Arial" w:cs="Arial"/>
                <w:sz w:val="20"/>
                <w:szCs w:val="20"/>
              </w:rPr>
            </w:pPr>
            <w:r w:rsidRPr="00433587">
              <w:rPr>
                <w:rFonts w:ascii="Arial" w:hAnsi="Arial" w:cs="Arial"/>
                <w:sz w:val="20"/>
                <w:szCs w:val="20"/>
              </w:rPr>
              <w:t>Metro cuadrado por centímetro de profundidad (m</w:t>
            </w:r>
            <w:r w:rsidRPr="00195FB9">
              <w:rPr>
                <w:rFonts w:ascii="Arial" w:hAnsi="Arial" w:cs="Arial"/>
                <w:sz w:val="20"/>
                <w:szCs w:val="20"/>
                <w:vertAlign w:val="superscript"/>
              </w:rPr>
              <w:t>2</w:t>
            </w:r>
            <w:r w:rsidRPr="00433587">
              <w:rPr>
                <w:rFonts w:ascii="Arial" w:hAnsi="Arial" w:cs="Arial"/>
                <w:sz w:val="20"/>
                <w:szCs w:val="20"/>
              </w:rPr>
              <w:t>. cm).</w:t>
            </w:r>
          </w:p>
        </w:tc>
      </w:tr>
      <w:tr w:rsidR="00316114" w:rsidRPr="00433587" w14:paraId="555704FC" w14:textId="77777777" w:rsidTr="00927CC1">
        <w:tc>
          <w:tcPr>
            <w:tcW w:w="2338" w:type="dxa"/>
            <w:vAlign w:val="center"/>
          </w:tcPr>
          <w:p w14:paraId="3BE632BC" w14:textId="77777777" w:rsidR="00316114" w:rsidRPr="00433587" w:rsidRDefault="00316114" w:rsidP="00E50149">
            <w:pPr>
              <w:keepNext/>
              <w:keepLines/>
              <w:spacing w:before="120" w:after="120"/>
              <w:jc w:val="center"/>
              <w:rPr>
                <w:rFonts w:ascii="Arial" w:hAnsi="Arial" w:cs="Arial"/>
                <w:b/>
                <w:bCs/>
                <w:sz w:val="20"/>
                <w:szCs w:val="20"/>
              </w:rPr>
            </w:pPr>
            <w:r w:rsidRPr="00433587">
              <w:rPr>
                <w:rFonts w:ascii="Arial" w:hAnsi="Arial" w:cs="Arial"/>
                <w:b/>
                <w:bCs/>
                <w:sz w:val="20"/>
                <w:szCs w:val="20"/>
              </w:rPr>
              <w:t>Grado de precisión</w:t>
            </w:r>
          </w:p>
        </w:tc>
        <w:tc>
          <w:tcPr>
            <w:tcW w:w="6663" w:type="dxa"/>
            <w:vAlign w:val="center"/>
          </w:tcPr>
          <w:p w14:paraId="09351AEF" w14:textId="77777777" w:rsidR="00316114" w:rsidRPr="00433587" w:rsidRDefault="00316114" w:rsidP="00552D4A">
            <w:pPr>
              <w:keepNext/>
              <w:keepLines/>
              <w:spacing w:before="120" w:after="120"/>
              <w:jc w:val="both"/>
              <w:rPr>
                <w:rFonts w:ascii="Arial" w:hAnsi="Arial" w:cs="Arial"/>
                <w:sz w:val="20"/>
                <w:szCs w:val="20"/>
              </w:rPr>
            </w:pPr>
            <w:r w:rsidRPr="00433587">
              <w:rPr>
                <w:rFonts w:ascii="Arial" w:hAnsi="Arial" w:cs="Arial"/>
                <w:sz w:val="20"/>
                <w:szCs w:val="20"/>
              </w:rPr>
              <w:t>Dos decimales.</w:t>
            </w:r>
          </w:p>
        </w:tc>
      </w:tr>
      <w:tr w:rsidR="00316114" w:rsidRPr="00433587" w14:paraId="15309AD9" w14:textId="77777777" w:rsidTr="00927CC1">
        <w:tc>
          <w:tcPr>
            <w:tcW w:w="2338" w:type="dxa"/>
            <w:vAlign w:val="center"/>
          </w:tcPr>
          <w:p w14:paraId="0667204D" w14:textId="77777777" w:rsidR="00316114" w:rsidRPr="00433587" w:rsidRDefault="00316114" w:rsidP="00E50149">
            <w:pPr>
              <w:keepNext/>
              <w:keepLines/>
              <w:spacing w:before="120" w:after="120"/>
              <w:jc w:val="center"/>
              <w:rPr>
                <w:rFonts w:ascii="Arial" w:hAnsi="Arial" w:cs="Arial"/>
                <w:b/>
                <w:bCs/>
                <w:sz w:val="20"/>
                <w:szCs w:val="20"/>
              </w:rPr>
            </w:pPr>
            <w:r w:rsidRPr="00433587">
              <w:rPr>
                <w:rFonts w:ascii="Arial" w:hAnsi="Arial" w:cs="Arial"/>
                <w:b/>
                <w:bCs/>
                <w:sz w:val="20"/>
                <w:szCs w:val="20"/>
              </w:rPr>
              <w:t>Forma de medición</w:t>
            </w:r>
          </w:p>
        </w:tc>
        <w:tc>
          <w:tcPr>
            <w:tcW w:w="6663" w:type="dxa"/>
            <w:vAlign w:val="center"/>
          </w:tcPr>
          <w:p w14:paraId="3D4EDAE7" w14:textId="77777777" w:rsidR="00316114" w:rsidRPr="00433587" w:rsidRDefault="00316114" w:rsidP="00552D4A">
            <w:pPr>
              <w:keepNext/>
              <w:keepLines/>
              <w:spacing w:before="120" w:after="120"/>
              <w:jc w:val="both"/>
              <w:rPr>
                <w:rFonts w:ascii="Arial" w:hAnsi="Arial" w:cs="Arial"/>
                <w:sz w:val="20"/>
                <w:szCs w:val="20"/>
              </w:rPr>
            </w:pPr>
            <w:r w:rsidRPr="00433587">
              <w:rPr>
                <w:rFonts w:ascii="Arial" w:hAnsi="Arial" w:cs="Arial"/>
                <w:sz w:val="20"/>
                <w:szCs w:val="20"/>
              </w:rPr>
              <w:t>Medición de la superficie y profundidad realmente fresada en obra.</w:t>
            </w:r>
          </w:p>
        </w:tc>
      </w:tr>
      <w:tr w:rsidR="00316114" w:rsidRPr="00433587" w14:paraId="3753C40A" w14:textId="77777777" w:rsidTr="00927CC1">
        <w:tc>
          <w:tcPr>
            <w:tcW w:w="2338" w:type="dxa"/>
            <w:vAlign w:val="center"/>
          </w:tcPr>
          <w:p w14:paraId="04B142E3" w14:textId="77777777" w:rsidR="00316114" w:rsidRPr="00433587" w:rsidRDefault="00316114" w:rsidP="00E50149">
            <w:pPr>
              <w:keepNext/>
              <w:keepLines/>
              <w:spacing w:before="120" w:after="120"/>
              <w:jc w:val="center"/>
              <w:rPr>
                <w:rFonts w:ascii="Arial" w:hAnsi="Arial" w:cs="Arial"/>
                <w:b/>
                <w:bCs/>
                <w:sz w:val="20"/>
                <w:szCs w:val="20"/>
              </w:rPr>
            </w:pPr>
            <w:r w:rsidRPr="00433587">
              <w:rPr>
                <w:rFonts w:ascii="Arial" w:hAnsi="Arial" w:cs="Arial"/>
                <w:b/>
                <w:bCs/>
                <w:sz w:val="20"/>
                <w:szCs w:val="20"/>
              </w:rPr>
              <w:t>Abono</w:t>
            </w:r>
          </w:p>
        </w:tc>
        <w:tc>
          <w:tcPr>
            <w:tcW w:w="6663" w:type="dxa"/>
            <w:vAlign w:val="center"/>
          </w:tcPr>
          <w:p w14:paraId="1F5FBFF4" w14:textId="77777777" w:rsidR="00316114" w:rsidRPr="00433587" w:rsidRDefault="00316114" w:rsidP="00552D4A">
            <w:pPr>
              <w:keepNext/>
              <w:keepLines/>
              <w:spacing w:before="120" w:after="120"/>
              <w:jc w:val="both"/>
              <w:rPr>
                <w:rFonts w:ascii="Arial" w:hAnsi="Arial" w:cs="Arial"/>
                <w:sz w:val="20"/>
                <w:szCs w:val="20"/>
              </w:rPr>
            </w:pPr>
            <w:r w:rsidRPr="00433587">
              <w:rPr>
                <w:rFonts w:ascii="Arial" w:hAnsi="Arial" w:cs="Arial"/>
                <w:sz w:val="20"/>
                <w:szCs w:val="20"/>
              </w:rPr>
              <w:t>Se efectuará cuando se realice la aceptación.</w:t>
            </w:r>
          </w:p>
        </w:tc>
      </w:tr>
      <w:tr w:rsidR="00316114" w:rsidRPr="00433587" w14:paraId="631C95AA" w14:textId="77777777" w:rsidTr="00927CC1">
        <w:tc>
          <w:tcPr>
            <w:tcW w:w="2338" w:type="dxa"/>
            <w:vAlign w:val="center"/>
          </w:tcPr>
          <w:p w14:paraId="239489A7" w14:textId="77777777" w:rsidR="00316114" w:rsidRPr="00433587" w:rsidRDefault="00316114" w:rsidP="00E50149">
            <w:pPr>
              <w:keepNext/>
              <w:keepLines/>
              <w:spacing w:before="120" w:after="120"/>
              <w:jc w:val="center"/>
              <w:rPr>
                <w:rFonts w:ascii="Arial" w:hAnsi="Arial" w:cs="Arial"/>
                <w:b/>
                <w:bCs/>
                <w:sz w:val="20"/>
                <w:szCs w:val="20"/>
              </w:rPr>
            </w:pPr>
            <w:r w:rsidRPr="00433587">
              <w:rPr>
                <w:rFonts w:ascii="Arial" w:hAnsi="Arial" w:cs="Arial"/>
                <w:b/>
                <w:bCs/>
                <w:sz w:val="20"/>
                <w:szCs w:val="20"/>
              </w:rPr>
              <w:t>Criterios complementarios</w:t>
            </w:r>
          </w:p>
        </w:tc>
        <w:tc>
          <w:tcPr>
            <w:tcW w:w="6663" w:type="dxa"/>
            <w:vAlign w:val="center"/>
          </w:tcPr>
          <w:p w14:paraId="1471933A" w14:textId="77777777" w:rsidR="00316114" w:rsidRPr="00433587" w:rsidRDefault="00316114" w:rsidP="00552D4A">
            <w:pPr>
              <w:keepNext/>
              <w:keepLines/>
              <w:spacing w:before="120" w:after="120"/>
              <w:jc w:val="both"/>
              <w:rPr>
                <w:rFonts w:ascii="Arial" w:hAnsi="Arial" w:cs="Arial"/>
                <w:sz w:val="20"/>
                <w:szCs w:val="20"/>
              </w:rPr>
            </w:pPr>
            <w:r w:rsidRPr="00433587">
              <w:rPr>
                <w:rFonts w:ascii="Arial" w:hAnsi="Arial" w:cs="Arial"/>
                <w:sz w:val="20"/>
                <w:szCs w:val="20"/>
              </w:rPr>
              <w:t>En los casos en que el pavimento se encuentre deformado por hundimiento u otras circunstancias, la medida de la profundidad de fresado se hará a partir del perfil transversal teórico medio qu</w:t>
            </w:r>
            <w:r w:rsidR="00195FB9">
              <w:rPr>
                <w:rFonts w:ascii="Arial" w:hAnsi="Arial" w:cs="Arial"/>
                <w:sz w:val="20"/>
                <w:szCs w:val="20"/>
              </w:rPr>
              <w:t xml:space="preserve">e determine el </w:t>
            </w:r>
            <w:proofErr w:type="gramStart"/>
            <w:r w:rsidR="00195FB9">
              <w:rPr>
                <w:rFonts w:ascii="Arial" w:hAnsi="Arial" w:cs="Arial"/>
                <w:sz w:val="20"/>
                <w:szCs w:val="20"/>
              </w:rPr>
              <w:t>Director</w:t>
            </w:r>
            <w:proofErr w:type="gramEnd"/>
            <w:r w:rsidR="00195FB9">
              <w:rPr>
                <w:rFonts w:ascii="Arial" w:hAnsi="Arial" w:cs="Arial"/>
                <w:sz w:val="20"/>
                <w:szCs w:val="20"/>
              </w:rPr>
              <w:t xml:space="preserve"> de las O</w:t>
            </w:r>
            <w:r w:rsidRPr="00433587">
              <w:rPr>
                <w:rFonts w:ascii="Arial" w:hAnsi="Arial" w:cs="Arial"/>
                <w:sz w:val="20"/>
                <w:szCs w:val="20"/>
              </w:rPr>
              <w:t>bras.</w:t>
            </w:r>
          </w:p>
          <w:p w14:paraId="6429DD74" w14:textId="77777777" w:rsidR="00316114" w:rsidRDefault="00316114" w:rsidP="00552D4A">
            <w:pPr>
              <w:keepNext/>
              <w:keepLines/>
              <w:spacing w:before="120" w:after="120"/>
              <w:jc w:val="both"/>
              <w:rPr>
                <w:rFonts w:ascii="Arial" w:hAnsi="Arial" w:cs="Arial"/>
                <w:sz w:val="20"/>
                <w:szCs w:val="20"/>
              </w:rPr>
            </w:pPr>
            <w:r w:rsidRPr="00433587">
              <w:rPr>
                <w:rFonts w:ascii="Arial" w:hAnsi="Arial" w:cs="Arial"/>
                <w:sz w:val="20"/>
                <w:szCs w:val="20"/>
              </w:rPr>
              <w:t xml:space="preserve">El abono comprende todas las operaciones descritas en el artículo (tomas de muestras y deflexiones, replanteo, limpieza </w:t>
            </w:r>
            <w:r w:rsidR="00AD7EF1" w:rsidRPr="00433587">
              <w:rPr>
                <w:rFonts w:ascii="Arial" w:hAnsi="Arial" w:cs="Arial"/>
                <w:sz w:val="20"/>
                <w:szCs w:val="20"/>
              </w:rPr>
              <w:t>final de la superficie fresada</w:t>
            </w:r>
            <w:r w:rsidR="00195FB9">
              <w:rPr>
                <w:rFonts w:ascii="Arial" w:hAnsi="Arial" w:cs="Arial"/>
                <w:sz w:val="20"/>
                <w:szCs w:val="20"/>
              </w:rPr>
              <w:t>.</w:t>
            </w:r>
          </w:p>
          <w:p w14:paraId="35218CA0" w14:textId="77777777" w:rsidR="00AD7EF1" w:rsidRPr="00433587" w:rsidRDefault="00217216" w:rsidP="00552D4A">
            <w:pPr>
              <w:keepNext/>
              <w:keepLines/>
              <w:spacing w:before="120" w:after="120"/>
              <w:jc w:val="both"/>
              <w:rPr>
                <w:rFonts w:ascii="Arial" w:hAnsi="Arial" w:cs="Arial"/>
                <w:sz w:val="20"/>
                <w:szCs w:val="20"/>
              </w:rPr>
            </w:pPr>
            <w:r>
              <w:rPr>
                <w:rFonts w:ascii="Arial" w:hAnsi="Arial" w:cs="Arial"/>
                <w:sz w:val="20"/>
                <w:szCs w:val="20"/>
              </w:rPr>
              <w:t>El precio</w:t>
            </w:r>
            <w:r w:rsidR="00195FB9">
              <w:rPr>
                <w:rFonts w:ascii="Arial" w:hAnsi="Arial" w:cs="Arial"/>
                <w:sz w:val="20"/>
                <w:szCs w:val="20"/>
              </w:rPr>
              <w:t xml:space="preserve"> de la unidad incluye la carga y transporte a instalación de gestión de residuos hasta una distancia máxima de sesenta kilómetros.</w:t>
            </w:r>
          </w:p>
        </w:tc>
      </w:tr>
    </w:tbl>
    <w:p w14:paraId="5AA675CB" w14:textId="77777777" w:rsidR="00316114" w:rsidRPr="00316114" w:rsidRDefault="00316114" w:rsidP="00316114">
      <w:pPr>
        <w:pageBreakBefore/>
        <w:pBdr>
          <w:bottom w:val="single" w:sz="18" w:space="1" w:color="auto"/>
        </w:pBdr>
        <w:spacing w:before="6400"/>
        <w:ind w:right="1416"/>
        <w:jc w:val="right"/>
        <w:outlineLvl w:val="0"/>
        <w:rPr>
          <w:rFonts w:ascii="Arial" w:hAnsi="Arial"/>
          <w:b/>
          <w:bCs/>
          <w:smallCaps/>
          <w:sz w:val="40"/>
          <w:szCs w:val="20"/>
        </w:rPr>
        <w:sectPr w:rsidR="00316114" w:rsidRPr="00316114" w:rsidSect="003341FF">
          <w:type w:val="oddPage"/>
          <w:pgSz w:w="23814" w:h="16840" w:orient="landscape" w:code="8"/>
          <w:pgMar w:top="1675" w:right="992" w:bottom="1701" w:left="2268" w:header="567" w:footer="1020" w:gutter="0"/>
          <w:cols w:num="2" w:space="2268"/>
          <w:docGrid w:linePitch="360"/>
        </w:sectPr>
      </w:pPr>
    </w:p>
    <w:p w14:paraId="3F01E12F" w14:textId="77777777" w:rsidR="00847951" w:rsidRDefault="008F7D89" w:rsidP="006F6223">
      <w:pPr>
        <w:pStyle w:val="TITU1"/>
      </w:pPr>
      <w:bookmarkStart w:id="389" w:name="_Toc404182"/>
      <w:r>
        <w:lastRenderedPageBreak/>
        <w:t xml:space="preserve">Artículo </w:t>
      </w:r>
      <w:r w:rsidR="00E43FA5" w:rsidRPr="00A76B28">
        <w:t>320. Excavación de la explanación y préstamos</w:t>
      </w:r>
      <w:bookmarkEnd w:id="389"/>
    </w:p>
    <w:p w14:paraId="4628AC41" w14:textId="77777777" w:rsidR="00A57589" w:rsidRPr="006B7EDC" w:rsidRDefault="00A57589" w:rsidP="00A57589">
      <w:pPr>
        <w:pStyle w:val="NORMAL12"/>
        <w:rPr>
          <w:lang w:val="es-ES"/>
        </w:rPr>
      </w:pPr>
      <w:r w:rsidRPr="006B7EDC">
        <w:rPr>
          <w:lang w:val="es-ES"/>
        </w:rPr>
        <w:t>Excepto para lo especificado en el presente Pliego de Prescripciones Técnicas particulares se seguirá lo prescrito en el vigente artículo 3</w:t>
      </w:r>
      <w:r>
        <w:rPr>
          <w:lang w:val="es-ES"/>
        </w:rPr>
        <w:t>20</w:t>
      </w:r>
      <w:r w:rsidRPr="006B7EDC">
        <w:rPr>
          <w:lang w:val="es-ES"/>
        </w:rPr>
        <w:t xml:space="preserve"> del PG-3.</w:t>
      </w:r>
    </w:p>
    <w:p w14:paraId="21650DD6" w14:textId="77777777" w:rsidR="00E43FA5" w:rsidRDefault="00E43FA5" w:rsidP="000313DD">
      <w:pPr>
        <w:pStyle w:val="TITU2"/>
      </w:pPr>
      <w:bookmarkStart w:id="390" w:name="_Toc404183"/>
      <w:r w:rsidRPr="005864C2">
        <w:t>320.1. Definición</w:t>
      </w:r>
      <w:bookmarkEnd w:id="390"/>
    </w:p>
    <w:p w14:paraId="3CD08483" w14:textId="77777777" w:rsidR="00C23011" w:rsidRPr="00C23011" w:rsidRDefault="00C23011" w:rsidP="00C23011">
      <w:pPr>
        <w:pStyle w:val="NORMAL12"/>
        <w:rPr>
          <w:lang w:val="es-ES"/>
        </w:rPr>
      </w:pPr>
      <w:r w:rsidRPr="00C23011">
        <w:rPr>
          <w:lang w:val="es-ES"/>
        </w:rPr>
        <w:t>La unidad de obra consiste en el conjunto de operaciones para excavar y nivelar las zonas donde ha de asentarse la carretera, incluyendo la plataforma, taludes y cunetas, así como las zonas de préstamos previstos o autorizados que puedan necesitarse; y el consiguiente transporte de los productos removidos a depósitos o lugar de empleo.</w:t>
      </w:r>
    </w:p>
    <w:p w14:paraId="26787127" w14:textId="77777777" w:rsidR="00C23011" w:rsidRPr="00C23011" w:rsidRDefault="00C23011" w:rsidP="00C23011">
      <w:pPr>
        <w:pStyle w:val="NORMAL12"/>
        <w:rPr>
          <w:lang w:val="es-ES"/>
        </w:rPr>
      </w:pPr>
      <w:r w:rsidRPr="00C23011">
        <w:rPr>
          <w:lang w:val="es-ES"/>
        </w:rPr>
        <w:t xml:space="preserve">Se incluyen en esta unidad la ampliación de las trincheras, la mejora de taludes en los desmontes, y la excavación adicional en suelos inadecuados, ordenadas por el </w:t>
      </w:r>
      <w:proofErr w:type="gramStart"/>
      <w:r w:rsidRPr="00C23011">
        <w:rPr>
          <w:lang w:val="es-ES"/>
        </w:rPr>
        <w:t>Director</w:t>
      </w:r>
      <w:proofErr w:type="gramEnd"/>
      <w:r w:rsidRPr="00C23011">
        <w:rPr>
          <w:lang w:val="es-ES"/>
        </w:rPr>
        <w:t xml:space="preserve"> de las Obras.</w:t>
      </w:r>
    </w:p>
    <w:p w14:paraId="7599BDA8" w14:textId="77777777" w:rsidR="00C50108" w:rsidRPr="00C23011" w:rsidRDefault="00C50108" w:rsidP="00C50108">
      <w:pPr>
        <w:pStyle w:val="NORMAL12"/>
        <w:rPr>
          <w:lang w:val="es-ES"/>
        </w:rPr>
      </w:pPr>
      <w:r w:rsidRPr="00C23011">
        <w:rPr>
          <w:lang w:val="es-ES"/>
        </w:rPr>
        <w:t xml:space="preserve">Las prescripciones del presente artículo </w:t>
      </w:r>
      <w:proofErr w:type="gramStart"/>
      <w:r w:rsidRPr="00C23011">
        <w:rPr>
          <w:lang w:val="es-ES"/>
        </w:rPr>
        <w:t>son de aplicación</w:t>
      </w:r>
      <w:proofErr w:type="gramEnd"/>
      <w:r w:rsidRPr="00C23011">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053"/>
        <w:gridCol w:w="777"/>
        <w:gridCol w:w="7948"/>
      </w:tblGrid>
      <w:tr w:rsidR="005864C2" w:rsidRPr="005864C2" w14:paraId="63284D48" w14:textId="77777777" w:rsidTr="00707B9C">
        <w:trPr>
          <w:trHeight w:val="300"/>
        </w:trPr>
        <w:tc>
          <w:tcPr>
            <w:tcW w:w="538" w:type="pct"/>
            <w:noWrap/>
          </w:tcPr>
          <w:p w14:paraId="260DC3BA" w14:textId="77777777" w:rsidR="00C50108" w:rsidRPr="00140246" w:rsidRDefault="00C50108" w:rsidP="008B3531">
            <w:pPr>
              <w:rPr>
                <w:rFonts w:ascii="Calibri" w:hAnsi="Calibri"/>
              </w:rPr>
            </w:pPr>
            <w:r w:rsidRPr="00140246">
              <w:rPr>
                <w:rFonts w:ascii="Calibri" w:hAnsi="Calibri"/>
              </w:rPr>
              <w:t>320.00</w:t>
            </w:r>
            <w:r w:rsidR="008B3531" w:rsidRPr="00140246">
              <w:rPr>
                <w:rFonts w:ascii="Calibri" w:hAnsi="Calibri"/>
              </w:rPr>
              <w:t>30</w:t>
            </w:r>
            <w:r w:rsidRPr="00140246">
              <w:rPr>
                <w:rFonts w:ascii="Calibri" w:hAnsi="Calibri"/>
              </w:rPr>
              <w:t xml:space="preserve">          </w:t>
            </w:r>
          </w:p>
        </w:tc>
        <w:tc>
          <w:tcPr>
            <w:tcW w:w="398" w:type="pct"/>
            <w:noWrap/>
          </w:tcPr>
          <w:p w14:paraId="791A8D69" w14:textId="77777777" w:rsidR="00C50108" w:rsidRPr="00140246" w:rsidRDefault="00C50108" w:rsidP="00687CE8">
            <w:pPr>
              <w:rPr>
                <w:rFonts w:ascii="Calibri" w:hAnsi="Calibri"/>
              </w:rPr>
            </w:pPr>
            <w:r w:rsidRPr="00140246">
              <w:rPr>
                <w:rFonts w:ascii="Calibri" w:hAnsi="Calibri"/>
              </w:rPr>
              <w:t>m</w:t>
            </w:r>
            <w:r w:rsidRPr="00140246">
              <w:rPr>
                <w:rFonts w:ascii="Calibri" w:hAnsi="Calibri"/>
                <w:vertAlign w:val="superscript"/>
              </w:rPr>
              <w:t>3</w:t>
            </w:r>
          </w:p>
        </w:tc>
        <w:tc>
          <w:tcPr>
            <w:tcW w:w="4063" w:type="pct"/>
          </w:tcPr>
          <w:p w14:paraId="0AAFE2FE" w14:textId="77777777" w:rsidR="00707B9C" w:rsidRPr="00140246" w:rsidRDefault="00707B9C" w:rsidP="00552D4A">
            <w:pPr>
              <w:jc w:val="both"/>
              <w:rPr>
                <w:rFonts w:ascii="Calibri" w:hAnsi="Calibri"/>
              </w:rPr>
            </w:pPr>
            <w:r w:rsidRPr="00140246">
              <w:rPr>
                <w:rFonts w:ascii="Calibri" w:hAnsi="Calibri"/>
              </w:rPr>
              <w:t>EXCAVACIÓN EN DESMONTE EN TRÁNSITO CON MEDIOS MECÁNICOS (TIPO RIPPER O SIMILAR) SIN EXPLOSIVOS i/ AGOTAMIENTO Y DRENAJE DURANTE LA EJECUCIÓN, SANEO DE DESPRENDIMIENTOS, FORMACIÓN Y PERFILADO DE CUNETAS, REFINO DE TALUDES, CARGA Y TRANSPORTE A VERTEDERO HASTA UNA DISTANCIA DE 10 km O AL LUGAR DE UTILIZACIÓN DENTRO DE LA OBRA SEA CUAL SEA LA DISTANCIA.</w:t>
            </w:r>
          </w:p>
          <w:p w14:paraId="18A3E8D7" w14:textId="77777777" w:rsidR="00C50108" w:rsidRPr="00140246" w:rsidRDefault="00C50108" w:rsidP="00687CE8">
            <w:pPr>
              <w:rPr>
                <w:rFonts w:ascii="Calibri" w:hAnsi="Calibri"/>
              </w:rPr>
            </w:pPr>
          </w:p>
        </w:tc>
      </w:tr>
    </w:tbl>
    <w:p w14:paraId="1C29A072" w14:textId="77777777" w:rsidR="00C23011" w:rsidRPr="00C23011" w:rsidRDefault="00C23011" w:rsidP="00C23011">
      <w:pPr>
        <w:pStyle w:val="NORMAL12"/>
        <w:rPr>
          <w:lang w:val="es-ES"/>
        </w:rPr>
      </w:pPr>
      <w:r w:rsidRPr="00C23011">
        <w:rPr>
          <w:lang w:val="es-ES"/>
        </w:rPr>
        <w:t>En este artículo se definen los tipos de excavación que se relacionan a continuación, a efectos de abono se considera que la excavación en la explanación será sin clasificar, diferenciándose únicamente la excavación en tierra vegetal.</w:t>
      </w:r>
    </w:p>
    <w:p w14:paraId="03FCEE5D" w14:textId="77777777" w:rsidR="00C23011" w:rsidRPr="00C23011" w:rsidRDefault="00C23011" w:rsidP="00E01981">
      <w:pPr>
        <w:pStyle w:val="NORMAL12"/>
        <w:numPr>
          <w:ilvl w:val="0"/>
          <w:numId w:val="84"/>
        </w:numPr>
        <w:rPr>
          <w:lang w:val="es-ES"/>
        </w:rPr>
      </w:pPr>
      <w:r w:rsidRPr="00C23011">
        <w:rPr>
          <w:lang w:val="es-ES"/>
        </w:rPr>
        <w:t>Excavación de tierra vegetal</w:t>
      </w:r>
    </w:p>
    <w:p w14:paraId="19511B10" w14:textId="77777777" w:rsidR="00C23011" w:rsidRPr="00C23011" w:rsidRDefault="00C23011" w:rsidP="00E01981">
      <w:pPr>
        <w:pStyle w:val="NORMAL12"/>
        <w:numPr>
          <w:ilvl w:val="0"/>
          <w:numId w:val="84"/>
        </w:numPr>
        <w:rPr>
          <w:lang w:val="es-ES"/>
        </w:rPr>
      </w:pPr>
      <w:r w:rsidRPr="00C23011">
        <w:rPr>
          <w:lang w:val="es-ES"/>
        </w:rPr>
        <w:t>Excavación en desmonte o en préstamos sin utilización de explosivos</w:t>
      </w:r>
    </w:p>
    <w:p w14:paraId="5787EDE8" w14:textId="77777777" w:rsidR="00C23011" w:rsidRPr="00C23011" w:rsidRDefault="00C23011" w:rsidP="00C23011">
      <w:pPr>
        <w:pStyle w:val="NORMAL12"/>
        <w:rPr>
          <w:i/>
          <w:u w:val="single"/>
          <w:lang w:val="es-ES"/>
        </w:rPr>
      </w:pPr>
      <w:r w:rsidRPr="00C23011">
        <w:rPr>
          <w:i/>
          <w:u w:val="single"/>
          <w:lang w:val="es-ES"/>
        </w:rPr>
        <w:t>La excavación de tierra vegetal incluye las operaciones siguientes:</w:t>
      </w:r>
    </w:p>
    <w:p w14:paraId="14BEC6DC" w14:textId="77777777" w:rsidR="00C23011" w:rsidRPr="00C23011" w:rsidRDefault="00C23011" w:rsidP="00E01981">
      <w:pPr>
        <w:pStyle w:val="NORMAL12"/>
        <w:numPr>
          <w:ilvl w:val="0"/>
          <w:numId w:val="85"/>
        </w:numPr>
        <w:rPr>
          <w:lang w:val="es-ES"/>
        </w:rPr>
      </w:pPr>
      <w:r w:rsidRPr="00C23011">
        <w:rPr>
          <w:lang w:val="es-ES"/>
        </w:rPr>
        <w:t>La excavación de la tierra vegetal que posteriormente vaya a ser utilizada según condiciones del pliego.</w:t>
      </w:r>
    </w:p>
    <w:p w14:paraId="75DF96C6" w14:textId="77777777" w:rsidR="00C23011" w:rsidRPr="00655507" w:rsidRDefault="00C23011" w:rsidP="00E01981">
      <w:pPr>
        <w:pStyle w:val="NORMAL12"/>
        <w:numPr>
          <w:ilvl w:val="0"/>
          <w:numId w:val="85"/>
        </w:numPr>
        <w:rPr>
          <w:lang w:val="es-ES"/>
        </w:rPr>
      </w:pPr>
      <w:r w:rsidRPr="00655507">
        <w:rPr>
          <w:lang w:val="es-ES"/>
        </w:rPr>
        <w:t>En aquellas que, a juicio de la Dirección de Obra, proceda incluir</w:t>
      </w:r>
      <w:r w:rsidR="002A16DF">
        <w:rPr>
          <w:lang w:val="es-ES"/>
        </w:rPr>
        <w:t xml:space="preserve"> </w:t>
      </w:r>
      <w:r w:rsidR="00D93E76">
        <w:rPr>
          <w:lang w:val="es-ES"/>
        </w:rPr>
        <w:t>excavación</w:t>
      </w:r>
      <w:r w:rsidR="002A16DF">
        <w:rPr>
          <w:lang w:val="es-ES"/>
        </w:rPr>
        <w:t xml:space="preserve"> </w:t>
      </w:r>
      <w:proofErr w:type="gramStart"/>
      <w:r w:rsidR="002A16DF">
        <w:rPr>
          <w:lang w:val="es-ES"/>
        </w:rPr>
        <w:t xml:space="preserve">de </w:t>
      </w:r>
      <w:r w:rsidRPr="00655507">
        <w:rPr>
          <w:lang w:val="es-ES"/>
        </w:rPr>
        <w:t xml:space="preserve"> la</w:t>
      </w:r>
      <w:proofErr w:type="gramEnd"/>
      <w:r w:rsidRPr="00655507">
        <w:rPr>
          <w:lang w:val="es-ES"/>
        </w:rPr>
        <w:t xml:space="preserve"> capa superficial del terreno junto con la excavación de la tierra vegetal</w:t>
      </w:r>
      <w:r w:rsidR="00DA6636" w:rsidRPr="00655507">
        <w:rPr>
          <w:lang w:val="es-ES"/>
        </w:rPr>
        <w:t xml:space="preserve">, </w:t>
      </w:r>
      <w:r w:rsidRPr="00655507">
        <w:rPr>
          <w:lang w:val="es-ES"/>
        </w:rPr>
        <w:t xml:space="preserve">no se </w:t>
      </w:r>
      <w:r w:rsidRPr="00655507">
        <w:rPr>
          <w:lang w:val="es-ES"/>
        </w:rPr>
        <w:t>ejecutará la unidad de desbroce como unidad independiente de la excavación de tierra vegetal.</w:t>
      </w:r>
    </w:p>
    <w:p w14:paraId="1DA81441" w14:textId="77777777" w:rsidR="00C23011" w:rsidRPr="00C23011" w:rsidRDefault="00C23011" w:rsidP="00E01981">
      <w:pPr>
        <w:pStyle w:val="NORMAL12"/>
        <w:numPr>
          <w:ilvl w:val="0"/>
          <w:numId w:val="85"/>
        </w:numPr>
        <w:rPr>
          <w:lang w:val="es-ES"/>
        </w:rPr>
      </w:pPr>
      <w:r w:rsidRPr="00C23011">
        <w:rPr>
          <w:lang w:val="es-ES"/>
        </w:rPr>
        <w:t>Las operaciones de carga, transporte y descarga o apilado de la tierra removida en lugar de almacena</w:t>
      </w:r>
      <w:r w:rsidRPr="00C23011">
        <w:rPr>
          <w:lang w:val="es-ES"/>
        </w:rPr>
        <w:softHyphen/>
        <w:t>miento autorizado o lugar de utilización, así como los cánones, indemnizaciones, impuestos, gastos, etc., de los vertederos y de los lugares de almacenamiento.</w:t>
      </w:r>
    </w:p>
    <w:p w14:paraId="541DD1DC" w14:textId="77777777" w:rsidR="00C23011" w:rsidRPr="00C23011" w:rsidRDefault="00C23011" w:rsidP="00E01981">
      <w:pPr>
        <w:pStyle w:val="NORMAL12"/>
        <w:numPr>
          <w:ilvl w:val="0"/>
          <w:numId w:val="85"/>
        </w:numPr>
        <w:rPr>
          <w:lang w:val="es-ES"/>
        </w:rPr>
      </w:pPr>
      <w:r w:rsidRPr="00C23011">
        <w:rPr>
          <w:lang w:val="es-ES"/>
        </w:rPr>
        <w:t>El abono y mantenimiento de la tierra vegetal para su pos</w:t>
      </w:r>
      <w:r w:rsidRPr="00C23011">
        <w:rPr>
          <w:lang w:val="es-ES"/>
        </w:rPr>
        <w:softHyphen/>
        <w:t>te</w:t>
      </w:r>
      <w:r w:rsidRPr="00C23011">
        <w:rPr>
          <w:lang w:val="es-ES"/>
        </w:rPr>
        <w:softHyphen/>
        <w:t>rior utilización.</w:t>
      </w:r>
    </w:p>
    <w:p w14:paraId="1708D35E" w14:textId="77777777" w:rsidR="00C23011" w:rsidRPr="00040515" w:rsidRDefault="00C23011" w:rsidP="00E01981">
      <w:pPr>
        <w:pStyle w:val="NORMAL12"/>
        <w:numPr>
          <w:ilvl w:val="0"/>
          <w:numId w:val="85"/>
        </w:numPr>
        <w:rPr>
          <w:lang w:val="es-ES"/>
        </w:rPr>
      </w:pPr>
      <w:r w:rsidRPr="00C23011">
        <w:rPr>
          <w:lang w:val="es-ES"/>
        </w:rPr>
        <w:t xml:space="preserve">Cualquier trabajo, maquinaria, material o elemento auxiliar necesario para la correcta ejecución de esta </w:t>
      </w:r>
      <w:r w:rsidRPr="00040515">
        <w:rPr>
          <w:lang w:val="es-ES"/>
        </w:rPr>
        <w:t>unidad de obra.</w:t>
      </w:r>
    </w:p>
    <w:p w14:paraId="48A18CF2" w14:textId="77777777" w:rsidR="0070444B" w:rsidRPr="00040515" w:rsidRDefault="0070444B" w:rsidP="00E01981">
      <w:pPr>
        <w:pStyle w:val="NORMAL12"/>
        <w:numPr>
          <w:ilvl w:val="0"/>
          <w:numId w:val="85"/>
        </w:numPr>
        <w:rPr>
          <w:lang w:val="es-ES"/>
        </w:rPr>
      </w:pPr>
      <w:proofErr w:type="gramStart"/>
      <w:r w:rsidRPr="00040515">
        <w:rPr>
          <w:lang w:val="es-ES"/>
        </w:rPr>
        <w:t>La  carga</w:t>
      </w:r>
      <w:proofErr w:type="gramEnd"/>
      <w:r w:rsidRPr="00040515">
        <w:rPr>
          <w:lang w:val="es-ES"/>
        </w:rPr>
        <w:t xml:space="preserve"> y transporte a vertedero hasta una distancia máxima de 10 kilómetros.</w:t>
      </w:r>
    </w:p>
    <w:p w14:paraId="78A90AE9" w14:textId="77777777" w:rsidR="00C23011" w:rsidRPr="00C23011" w:rsidRDefault="00C23011" w:rsidP="00C23011">
      <w:pPr>
        <w:pStyle w:val="NORMAL12"/>
        <w:rPr>
          <w:i/>
          <w:u w:val="single"/>
          <w:lang w:val="es-ES"/>
        </w:rPr>
      </w:pPr>
      <w:r w:rsidRPr="00C23011">
        <w:rPr>
          <w:i/>
          <w:u w:val="single"/>
          <w:lang w:val="es-ES"/>
        </w:rPr>
        <w:t>La excavación en desmonte (en la explanación o en préstamo) incluye las siguientes operaciones:</w:t>
      </w:r>
    </w:p>
    <w:p w14:paraId="0814752C" w14:textId="77777777" w:rsidR="00C23011" w:rsidRPr="00C23011" w:rsidRDefault="00C23011" w:rsidP="00E01981">
      <w:pPr>
        <w:pStyle w:val="NORMAL12"/>
        <w:numPr>
          <w:ilvl w:val="0"/>
          <w:numId w:val="86"/>
        </w:numPr>
        <w:rPr>
          <w:lang w:val="es-ES"/>
        </w:rPr>
      </w:pPr>
      <w:r w:rsidRPr="00C23011">
        <w:rPr>
          <w:lang w:val="es-ES"/>
        </w:rPr>
        <w:t>Excavación del terreno</w:t>
      </w:r>
      <w:r w:rsidR="001B0531">
        <w:rPr>
          <w:lang w:val="es-ES"/>
        </w:rPr>
        <w:t>.</w:t>
      </w:r>
    </w:p>
    <w:p w14:paraId="13DFDB73" w14:textId="77777777" w:rsidR="00C23011" w:rsidRPr="00C23011" w:rsidRDefault="00C23011" w:rsidP="00E01981">
      <w:pPr>
        <w:pStyle w:val="NORMAL12"/>
        <w:numPr>
          <w:ilvl w:val="0"/>
          <w:numId w:val="86"/>
        </w:numPr>
        <w:rPr>
          <w:lang w:val="es-ES"/>
        </w:rPr>
      </w:pPr>
      <w:r w:rsidRPr="00C23011">
        <w:rPr>
          <w:lang w:val="es-ES"/>
        </w:rPr>
        <w:t>Las operaciones de carga, transporte y descarga o apilado del material excavado en lugar de almacena</w:t>
      </w:r>
      <w:r w:rsidRPr="00C23011">
        <w:rPr>
          <w:lang w:val="es-ES"/>
        </w:rPr>
        <w:softHyphen/>
        <w:t>miento autorizado o lugar de utilización, así como los cánones, indemnizaciones, impuestos, gastos, etc., de los lugares de acopio.</w:t>
      </w:r>
    </w:p>
    <w:p w14:paraId="0DF282AD" w14:textId="77777777" w:rsidR="00C23011" w:rsidRPr="00C23011" w:rsidRDefault="002A16DF" w:rsidP="00E01981">
      <w:pPr>
        <w:pStyle w:val="NORMAL12"/>
        <w:numPr>
          <w:ilvl w:val="0"/>
          <w:numId w:val="86"/>
        </w:numPr>
        <w:rPr>
          <w:lang w:val="es-ES"/>
        </w:rPr>
      </w:pPr>
      <w:r>
        <w:rPr>
          <w:lang w:val="es-ES"/>
        </w:rPr>
        <w:t>Los</w:t>
      </w:r>
      <w:r w:rsidR="00C23011" w:rsidRPr="00C23011">
        <w:rPr>
          <w:lang w:val="es-ES"/>
        </w:rPr>
        <w:t xml:space="preserve"> productos de excavación se</w:t>
      </w:r>
      <w:r>
        <w:rPr>
          <w:lang w:val="es-ES"/>
        </w:rPr>
        <w:t>rá</w:t>
      </w:r>
      <w:r w:rsidR="00C23011" w:rsidRPr="00C23011">
        <w:rPr>
          <w:lang w:val="es-ES"/>
        </w:rPr>
        <w:t xml:space="preserve">n transportados a planta de gestión de residuos, la unidad de obra </w:t>
      </w:r>
      <w:r>
        <w:rPr>
          <w:lang w:val="es-ES"/>
        </w:rPr>
        <w:t xml:space="preserve">no </w:t>
      </w:r>
      <w:r w:rsidR="00C23011" w:rsidRPr="00C23011">
        <w:rPr>
          <w:lang w:val="es-ES"/>
        </w:rPr>
        <w:t xml:space="preserve">incluye el abono de los cánones de gestión de residuos. </w:t>
      </w:r>
    </w:p>
    <w:p w14:paraId="2B8BEDA8" w14:textId="77777777" w:rsidR="00C23011" w:rsidRPr="00C23011" w:rsidRDefault="00C23011" w:rsidP="00E01981">
      <w:pPr>
        <w:pStyle w:val="NORMAL12"/>
        <w:numPr>
          <w:ilvl w:val="0"/>
          <w:numId w:val="86"/>
        </w:numPr>
        <w:rPr>
          <w:lang w:val="es-ES"/>
        </w:rPr>
      </w:pPr>
      <w:r w:rsidRPr="00C23011">
        <w:rPr>
          <w:lang w:val="es-ES"/>
        </w:rPr>
        <w:t>Saneo y perfilado de los taludes y del fondo de excavación y formación de cunetas</w:t>
      </w:r>
    </w:p>
    <w:p w14:paraId="32291276" w14:textId="77777777" w:rsidR="00C23011" w:rsidRPr="00C23011" w:rsidRDefault="00C23011" w:rsidP="00E01981">
      <w:pPr>
        <w:pStyle w:val="NORMAL12"/>
        <w:numPr>
          <w:ilvl w:val="0"/>
          <w:numId w:val="86"/>
        </w:numPr>
        <w:rPr>
          <w:lang w:val="es-ES"/>
        </w:rPr>
      </w:pPr>
      <w:r w:rsidRPr="00C23011">
        <w:rPr>
          <w:lang w:val="es-ES"/>
        </w:rPr>
        <w:t>Construcción y mantenimiento de accesos</w:t>
      </w:r>
    </w:p>
    <w:p w14:paraId="6CB5F6D5" w14:textId="77777777" w:rsidR="00C23011" w:rsidRPr="00C23011" w:rsidRDefault="00C23011" w:rsidP="00C23011">
      <w:pPr>
        <w:pStyle w:val="NORMAL12"/>
        <w:rPr>
          <w:lang w:val="es-ES"/>
        </w:rPr>
      </w:pPr>
      <w:r w:rsidRPr="00C23011">
        <w:rPr>
          <w:lang w:val="es-ES"/>
        </w:rPr>
        <w:t>Se estará, en todo caso, conforme a lo dispuesto en la legislación vigente en materia de gestión de residuos de construcción y demolición.</w:t>
      </w:r>
    </w:p>
    <w:p w14:paraId="1BCB2B8A" w14:textId="77777777" w:rsidR="00E43FA5" w:rsidRPr="005864C2" w:rsidRDefault="00E43FA5" w:rsidP="000313DD">
      <w:pPr>
        <w:pStyle w:val="TITU2"/>
      </w:pPr>
      <w:bookmarkStart w:id="391" w:name="_Toc404184"/>
      <w:r w:rsidRPr="005864C2">
        <w:t>320.2. Clasificación de las excavaciones</w:t>
      </w:r>
      <w:bookmarkEnd w:id="391"/>
    </w:p>
    <w:p w14:paraId="5C51FECF" w14:textId="77777777" w:rsidR="002A16DF" w:rsidRDefault="00D9113B" w:rsidP="00D9113B">
      <w:pPr>
        <w:pStyle w:val="NORMAL12"/>
        <w:rPr>
          <w:lang w:val="es-ES"/>
        </w:rPr>
      </w:pPr>
      <w:r w:rsidRPr="00C23011">
        <w:rPr>
          <w:lang w:val="es-ES"/>
        </w:rPr>
        <w:t>Se diferenciará dentro de los trabajos previ</w:t>
      </w:r>
      <w:r w:rsidR="002A16DF">
        <w:rPr>
          <w:lang w:val="es-ES"/>
        </w:rPr>
        <w:t>stos los tipos de excavación siguiente:</w:t>
      </w:r>
    </w:p>
    <w:p w14:paraId="50A93572" w14:textId="77777777" w:rsidR="002A16DF" w:rsidRPr="00C23011" w:rsidRDefault="002A16DF" w:rsidP="002A16DF">
      <w:pPr>
        <w:pStyle w:val="NORMAL12"/>
        <w:numPr>
          <w:ilvl w:val="0"/>
          <w:numId w:val="84"/>
        </w:numPr>
        <w:rPr>
          <w:lang w:val="es-ES"/>
        </w:rPr>
      </w:pPr>
      <w:r w:rsidRPr="00C23011">
        <w:rPr>
          <w:lang w:val="es-ES"/>
        </w:rPr>
        <w:t>Excavación de tierra vegetal</w:t>
      </w:r>
    </w:p>
    <w:p w14:paraId="067445FC" w14:textId="77777777" w:rsidR="002A16DF" w:rsidRPr="00C23011" w:rsidRDefault="002A16DF" w:rsidP="002A16DF">
      <w:pPr>
        <w:pStyle w:val="NORMAL12"/>
        <w:numPr>
          <w:ilvl w:val="0"/>
          <w:numId w:val="84"/>
        </w:numPr>
        <w:rPr>
          <w:lang w:val="es-ES"/>
        </w:rPr>
      </w:pPr>
      <w:r w:rsidRPr="00C23011">
        <w:rPr>
          <w:lang w:val="es-ES"/>
        </w:rPr>
        <w:t>Excavación en desmonte o en préstamos sin utilización de explosivos</w:t>
      </w:r>
    </w:p>
    <w:p w14:paraId="35AD99C8" w14:textId="77777777" w:rsidR="00E43FA5" w:rsidRPr="005864C2" w:rsidRDefault="00E43FA5" w:rsidP="000313DD">
      <w:pPr>
        <w:pStyle w:val="TITU2"/>
      </w:pPr>
      <w:bookmarkStart w:id="392" w:name="_Toc404185"/>
      <w:r w:rsidRPr="005864C2">
        <w:lastRenderedPageBreak/>
        <w:t>320.3. Ejecución de las obras</w:t>
      </w:r>
      <w:bookmarkEnd w:id="392"/>
    </w:p>
    <w:p w14:paraId="5FF16133" w14:textId="77777777" w:rsidR="00C23011" w:rsidRPr="000C08BE" w:rsidRDefault="00C23011" w:rsidP="00563673">
      <w:pPr>
        <w:pStyle w:val="TITU3"/>
        <w:numPr>
          <w:ilvl w:val="0"/>
          <w:numId w:val="0"/>
        </w:numPr>
        <w:outlineLvl w:val="3"/>
      </w:pPr>
      <w:r w:rsidRPr="000C08BE">
        <w:t>320.3.1. Generalidades</w:t>
      </w:r>
    </w:p>
    <w:p w14:paraId="4A2ACFAC" w14:textId="77777777" w:rsidR="00C23011" w:rsidRPr="00C23011" w:rsidRDefault="00C23011" w:rsidP="00C23011">
      <w:pPr>
        <w:pStyle w:val="NORMAL12"/>
        <w:rPr>
          <w:lang w:val="es-ES"/>
        </w:rPr>
      </w:pPr>
      <w:r w:rsidRPr="00C23011">
        <w:rPr>
          <w:lang w:val="es-ES"/>
        </w:rPr>
        <w:t xml:space="preserve">El Contratista indicará al </w:t>
      </w:r>
      <w:proofErr w:type="gramStart"/>
      <w:r w:rsidRPr="00C23011">
        <w:rPr>
          <w:lang w:val="es-ES"/>
        </w:rPr>
        <w:t>Director</w:t>
      </w:r>
      <w:proofErr w:type="gramEnd"/>
      <w:r w:rsidRPr="00C23011">
        <w:rPr>
          <w:lang w:val="es-ES"/>
        </w:rPr>
        <w:t xml:space="preserve"> de la obra, con la suficiente antelación, el comienzo de cualquier excavación a fin de requerir de éste la previa aprobación del sistema de ejecución a emplear.</w:t>
      </w:r>
    </w:p>
    <w:p w14:paraId="676DD3C5" w14:textId="77777777" w:rsidR="00C23011" w:rsidRPr="00C23011" w:rsidRDefault="00C23011" w:rsidP="00C23011">
      <w:pPr>
        <w:pStyle w:val="NORMAL12"/>
        <w:rPr>
          <w:lang w:val="es-ES"/>
        </w:rPr>
      </w:pPr>
      <w:r w:rsidRPr="00C23011">
        <w:rPr>
          <w:lang w:val="es-ES"/>
        </w:rPr>
        <w:t>Los materiales excavados en la traza podrán ser:</w:t>
      </w:r>
    </w:p>
    <w:p w14:paraId="7B62280C" w14:textId="77777777" w:rsidR="00C23011" w:rsidRPr="00C23011" w:rsidRDefault="00C23011" w:rsidP="00E01981">
      <w:pPr>
        <w:pStyle w:val="NORMAL12"/>
        <w:numPr>
          <w:ilvl w:val="0"/>
          <w:numId w:val="87"/>
        </w:numPr>
        <w:rPr>
          <w:lang w:val="es-ES"/>
        </w:rPr>
      </w:pPr>
      <w:r>
        <w:rPr>
          <w:lang w:val="es-ES"/>
        </w:rPr>
        <w:t>R</w:t>
      </w:r>
      <w:r w:rsidRPr="00C23011">
        <w:rPr>
          <w:lang w:val="es-ES"/>
        </w:rPr>
        <w:t>eutilizados en las obras, si reúnen las condiciones para tal consideración</w:t>
      </w:r>
    </w:p>
    <w:p w14:paraId="7FA73B62" w14:textId="77777777" w:rsidR="00C23011" w:rsidRPr="00C23011" w:rsidRDefault="00C23011" w:rsidP="00E01981">
      <w:pPr>
        <w:pStyle w:val="NORMAL12"/>
        <w:numPr>
          <w:ilvl w:val="0"/>
          <w:numId w:val="87"/>
        </w:numPr>
        <w:rPr>
          <w:lang w:val="es-ES"/>
        </w:rPr>
      </w:pPr>
      <w:r>
        <w:rPr>
          <w:lang w:val="es-ES"/>
        </w:rPr>
        <w:t>E</w:t>
      </w:r>
      <w:r w:rsidRPr="00C23011">
        <w:rPr>
          <w:lang w:val="es-ES"/>
        </w:rPr>
        <w:t xml:space="preserve">mpleados en la regeneración ambiental de espacios degradados, si las tierras son excedentes de la excavación y no están contaminadas por residuo alguno </w:t>
      </w:r>
    </w:p>
    <w:p w14:paraId="4D9E1583" w14:textId="77777777" w:rsidR="00C23011" w:rsidRPr="00C23011" w:rsidRDefault="00C23011" w:rsidP="00E01981">
      <w:pPr>
        <w:pStyle w:val="NORMAL12"/>
        <w:numPr>
          <w:ilvl w:val="0"/>
          <w:numId w:val="87"/>
        </w:numPr>
        <w:rPr>
          <w:lang w:val="es-ES"/>
        </w:rPr>
      </w:pPr>
      <w:r>
        <w:rPr>
          <w:lang w:val="es-ES"/>
        </w:rPr>
        <w:t>T</w:t>
      </w:r>
      <w:r w:rsidRPr="00C23011">
        <w:rPr>
          <w:lang w:val="es-ES"/>
        </w:rPr>
        <w:t xml:space="preserve">ransportados a planta de gestión de residuos si son tierras contaminadas </w:t>
      </w:r>
    </w:p>
    <w:p w14:paraId="44AC269F" w14:textId="77777777" w:rsidR="006C657B" w:rsidRPr="00082D47" w:rsidRDefault="006C657B" w:rsidP="00C23011">
      <w:pPr>
        <w:pStyle w:val="NORMAL12"/>
        <w:rPr>
          <w:lang w:val="es-ES"/>
        </w:rPr>
      </w:pPr>
      <w:r w:rsidRPr="00140246">
        <w:rPr>
          <w:lang w:val="es-ES"/>
        </w:rPr>
        <w:t xml:space="preserve">En este proyecto no se contempla la reutilización en obra, por </w:t>
      </w:r>
      <w:r w:rsidR="00264F63" w:rsidRPr="00140246">
        <w:rPr>
          <w:lang w:val="es-ES"/>
        </w:rPr>
        <w:t xml:space="preserve">lo que el </w:t>
      </w:r>
      <w:r w:rsidRPr="00140246">
        <w:rPr>
          <w:lang w:val="es-ES"/>
        </w:rPr>
        <w:t xml:space="preserve">precio </w:t>
      </w:r>
      <w:r w:rsidR="00264F63" w:rsidRPr="00140246">
        <w:rPr>
          <w:lang w:val="es-ES"/>
        </w:rPr>
        <w:t xml:space="preserve">definido en este artículo </w:t>
      </w:r>
      <w:r w:rsidRPr="00140246">
        <w:rPr>
          <w:lang w:val="es-ES"/>
        </w:rPr>
        <w:t>se refiere a la unidad de excavación y retirada a planta de gestión de residuos o a espacio para la regeneraci</w:t>
      </w:r>
      <w:r w:rsidR="00082D47" w:rsidRPr="00140246">
        <w:rPr>
          <w:lang w:val="es-ES"/>
        </w:rPr>
        <w:t>ón ambiental, según proceda, de todo el material extraído.</w:t>
      </w:r>
    </w:p>
    <w:p w14:paraId="1B52680C" w14:textId="77777777" w:rsidR="00C23011" w:rsidRPr="00C23011" w:rsidRDefault="00C23011" w:rsidP="00C23011">
      <w:pPr>
        <w:pStyle w:val="NORMAL12"/>
        <w:rPr>
          <w:lang w:val="es-ES"/>
        </w:rPr>
      </w:pPr>
      <w:r w:rsidRPr="00C23011">
        <w:rPr>
          <w:lang w:val="es-ES"/>
        </w:rPr>
        <w:t xml:space="preserve">Se han de proteger los elementos de servicio público que puedan resultar afectados por las obras. Antes de iniciar los trabajos se comprobará, junto con el </w:t>
      </w:r>
      <w:proofErr w:type="gramStart"/>
      <w:r w:rsidRPr="00C23011">
        <w:rPr>
          <w:lang w:val="es-ES"/>
        </w:rPr>
        <w:t>Director</w:t>
      </w:r>
      <w:proofErr w:type="gramEnd"/>
      <w:r w:rsidRPr="00C23011">
        <w:rPr>
          <w:lang w:val="es-ES"/>
        </w:rPr>
        <w:t xml:space="preserve"> de la obra, los emplazamientos de los posibles servicios afectados (tuberías, fibras ópticas, redes eléctricas, </w:t>
      </w:r>
      <w:proofErr w:type="spellStart"/>
      <w:r w:rsidRPr="00C23011">
        <w:rPr>
          <w:lang w:val="es-ES"/>
        </w:rPr>
        <w:t>etc</w:t>
      </w:r>
      <w:proofErr w:type="spellEnd"/>
      <w:r w:rsidRPr="00C23011">
        <w:rPr>
          <w:lang w:val="es-ES"/>
        </w:rPr>
        <w:t>) y, si es preciso, se preverá su desplazamiento.</w:t>
      </w:r>
    </w:p>
    <w:p w14:paraId="436E565F" w14:textId="77777777" w:rsidR="00C23011" w:rsidRPr="00C23011" w:rsidRDefault="00C23011" w:rsidP="00C23011">
      <w:pPr>
        <w:pStyle w:val="NORMAL12"/>
        <w:rPr>
          <w:lang w:val="es-ES"/>
        </w:rPr>
      </w:pPr>
      <w:r w:rsidRPr="00C23011">
        <w:rPr>
          <w:lang w:val="es-ES"/>
        </w:rPr>
        <w:t xml:space="preserve">No se autorizará la ejecución de ningún trabajo que no sea llevado a cabo en todas sus fases con referencias topográficas precisas, para lo que será </w:t>
      </w:r>
      <w:r w:rsidR="00D93E76" w:rsidRPr="00C23011">
        <w:rPr>
          <w:lang w:val="es-ES"/>
        </w:rPr>
        <w:t>necesaria</w:t>
      </w:r>
      <w:r w:rsidRPr="00C23011">
        <w:rPr>
          <w:lang w:val="es-ES"/>
        </w:rPr>
        <w:t xml:space="preserve"> la existencia de puntos fijos de referencia, que no estén afectados por las obras, a los cuales se han de referir todas las lecturas topográficas.</w:t>
      </w:r>
    </w:p>
    <w:p w14:paraId="7AF45552" w14:textId="77777777" w:rsidR="00C23011" w:rsidRPr="00C23011" w:rsidRDefault="00C23011" w:rsidP="00C23011">
      <w:pPr>
        <w:pStyle w:val="NORMAL12"/>
        <w:rPr>
          <w:lang w:val="es-ES"/>
        </w:rPr>
      </w:pPr>
      <w:r w:rsidRPr="00C23011">
        <w:rPr>
          <w:lang w:val="es-ES"/>
        </w:rPr>
        <w:t xml:space="preserve">En el caso que aparecieran suelos inadecuados en el fondo de la excavación no previstos en proyecto, la excavación se realizará, en primera fase, hasta la cota prevista en los Planos. Una vez alcanzada esta cota, el </w:t>
      </w:r>
      <w:proofErr w:type="gramStart"/>
      <w:r w:rsidRPr="00C23011">
        <w:rPr>
          <w:lang w:val="es-ES"/>
        </w:rPr>
        <w:t>Director</w:t>
      </w:r>
      <w:proofErr w:type="gramEnd"/>
      <w:r w:rsidRPr="00C23011">
        <w:rPr>
          <w:lang w:val="es-ES"/>
        </w:rPr>
        <w:t xml:space="preserve"> de la obra decidirá la cota definitiva de excavación, a partir de la cual se sustituirá el material excavado por terraplén hasta la cota prevista en Planos. </w:t>
      </w:r>
    </w:p>
    <w:p w14:paraId="0A7A30B1" w14:textId="77777777" w:rsidR="00C23011" w:rsidRPr="00C23011" w:rsidRDefault="00C23011" w:rsidP="00C23011">
      <w:pPr>
        <w:pStyle w:val="NORMAL12"/>
        <w:rPr>
          <w:lang w:val="es-ES"/>
        </w:rPr>
      </w:pPr>
      <w:r w:rsidRPr="00C23011">
        <w:rPr>
          <w:lang w:val="es-ES"/>
        </w:rPr>
        <w:t>Si por falta de medidas previsoras o por un tratamiento incorrecto, un material se volviese inadecuado, el Contratista habrá de sustituirlo o estabilizarlo con cal o cemento a sus expensas.</w:t>
      </w:r>
    </w:p>
    <w:p w14:paraId="0CAA9A32" w14:textId="77777777" w:rsidR="00C23011" w:rsidRPr="00C23011" w:rsidRDefault="00C23011" w:rsidP="00C23011">
      <w:pPr>
        <w:pStyle w:val="NORMAL12"/>
        <w:rPr>
          <w:lang w:val="es-ES"/>
        </w:rPr>
      </w:pPr>
      <w:r w:rsidRPr="00C23011">
        <w:rPr>
          <w:lang w:val="es-ES"/>
        </w:rPr>
        <w:t>Los arcenes, taludes y cunetas deberán conformarse de acuerdo con lo que sobre el particular se señale en los Planos y en el Pliego, cuidando especialmente las transiciones entre taludes de distinta inclinación, así como el paso de las secciones en desmonte a las secciones en relleno.</w:t>
      </w:r>
    </w:p>
    <w:p w14:paraId="07EA23DE" w14:textId="77777777" w:rsidR="00C23011" w:rsidRPr="00C23011" w:rsidRDefault="00C23011" w:rsidP="00C23011">
      <w:pPr>
        <w:pStyle w:val="NORMAL12"/>
        <w:rPr>
          <w:lang w:val="es-ES"/>
        </w:rPr>
      </w:pPr>
      <w:r w:rsidRPr="00C23011">
        <w:rPr>
          <w:lang w:val="es-ES"/>
        </w:rPr>
        <w:t xml:space="preserve">Si como consecuencia de errores se produjeran excesos en la excavación, el Contratista dispondrá, a su costa, de los rellenos correspondientes y del desagüe, si fuera preciso, en la forma que le ordene el </w:t>
      </w:r>
      <w:proofErr w:type="gramStart"/>
      <w:r w:rsidRPr="00C23011">
        <w:rPr>
          <w:lang w:val="es-ES"/>
        </w:rPr>
        <w:t>Director</w:t>
      </w:r>
      <w:proofErr w:type="gramEnd"/>
      <w:r w:rsidRPr="00C23011">
        <w:rPr>
          <w:lang w:val="es-ES"/>
        </w:rPr>
        <w:t xml:space="preserve"> de la obra. </w:t>
      </w:r>
    </w:p>
    <w:p w14:paraId="3C6EBBDD" w14:textId="77777777" w:rsidR="00C23011" w:rsidRPr="00C23011" w:rsidRDefault="00C23011" w:rsidP="00C23011">
      <w:pPr>
        <w:pStyle w:val="NORMAL12"/>
        <w:rPr>
          <w:lang w:val="es-ES"/>
        </w:rPr>
      </w:pPr>
      <w:r w:rsidRPr="00C23011">
        <w:rPr>
          <w:lang w:val="es-ES"/>
        </w:rPr>
        <w:t xml:space="preserve">Cuando se prevea un desfase entre la excavación y la prosecución de las obras el Contratista conservará, a su costa, la plataforma en perfecto estado de drenaje y rodadura de acuerdo con el </w:t>
      </w:r>
      <w:proofErr w:type="gramStart"/>
      <w:r w:rsidRPr="00C23011">
        <w:rPr>
          <w:lang w:val="es-ES"/>
        </w:rPr>
        <w:t>Director</w:t>
      </w:r>
      <w:proofErr w:type="gramEnd"/>
      <w:r w:rsidRPr="00C23011">
        <w:rPr>
          <w:lang w:val="es-ES"/>
        </w:rPr>
        <w:t xml:space="preserve"> de la obra.</w:t>
      </w:r>
    </w:p>
    <w:p w14:paraId="7F29DA4F" w14:textId="77777777" w:rsidR="00C23011" w:rsidRPr="00C23011" w:rsidRDefault="00C23011" w:rsidP="00C23011">
      <w:pPr>
        <w:pStyle w:val="NORMAL12"/>
        <w:rPr>
          <w:lang w:val="es-ES"/>
        </w:rPr>
      </w:pPr>
      <w:r w:rsidRPr="00C23011">
        <w:rPr>
          <w:lang w:val="es-ES"/>
        </w:rPr>
        <w:t>El fondo de la excavación se ha de mantener, en todo momento, en condiciones para que circulen los vehículos con las correspondientes medidas de seguridad.</w:t>
      </w:r>
    </w:p>
    <w:p w14:paraId="03A8FE6A" w14:textId="77777777" w:rsidR="00C23011" w:rsidRPr="00C23011" w:rsidRDefault="00C23011" w:rsidP="00C23011">
      <w:pPr>
        <w:pStyle w:val="NORMAL12"/>
        <w:rPr>
          <w:lang w:val="es-ES"/>
        </w:rPr>
      </w:pPr>
      <w:r w:rsidRPr="00C23011">
        <w:rPr>
          <w:lang w:val="es-ES"/>
        </w:rPr>
        <w:t>No se permitirá el vertido de tierras en los bordes, ni de la explanación ni de los taludes de los desmontes</w:t>
      </w:r>
      <w:r w:rsidR="00D75A5C">
        <w:rPr>
          <w:lang w:val="es-ES"/>
        </w:rPr>
        <w:t>.</w:t>
      </w:r>
    </w:p>
    <w:p w14:paraId="0534E9C6" w14:textId="77777777" w:rsidR="00C23011" w:rsidRPr="00C23011" w:rsidRDefault="00C23011" w:rsidP="00C23011">
      <w:pPr>
        <w:pStyle w:val="NORMAL12"/>
        <w:rPr>
          <w:lang w:val="es-ES"/>
        </w:rPr>
      </w:pPr>
      <w:r w:rsidRPr="00C23011">
        <w:rPr>
          <w:lang w:val="es-ES"/>
        </w:rPr>
        <w:t>En caso de imprevistos (terrenos inundados, conductos enterrados, etc.) o cuando la actuación de las máquinas de excavación</w:t>
      </w:r>
      <w:r w:rsidR="00D75A5C">
        <w:rPr>
          <w:lang w:val="es-ES"/>
        </w:rPr>
        <w:t>,</w:t>
      </w:r>
      <w:r w:rsidRPr="00C23011">
        <w:rPr>
          <w:lang w:val="es-ES"/>
        </w:rPr>
        <w:t xml:space="preserve"> puedan afectar a construcciones vecinas, se han de suspender las obras y avisar al </w:t>
      </w:r>
      <w:proofErr w:type="gramStart"/>
      <w:r w:rsidRPr="00C23011">
        <w:rPr>
          <w:lang w:val="es-ES"/>
        </w:rPr>
        <w:t>Director</w:t>
      </w:r>
      <w:proofErr w:type="gramEnd"/>
      <w:r w:rsidRPr="00C23011">
        <w:rPr>
          <w:lang w:val="es-ES"/>
        </w:rPr>
        <w:t xml:space="preserve"> de </w:t>
      </w:r>
      <w:proofErr w:type="gramStart"/>
      <w:r w:rsidRPr="00C23011">
        <w:rPr>
          <w:lang w:val="es-ES"/>
        </w:rPr>
        <w:t>las mismas</w:t>
      </w:r>
      <w:proofErr w:type="gramEnd"/>
      <w:r w:rsidRPr="00C23011">
        <w:rPr>
          <w:lang w:val="es-ES"/>
        </w:rPr>
        <w:t>.</w:t>
      </w:r>
    </w:p>
    <w:p w14:paraId="59F90C6C" w14:textId="77777777" w:rsidR="00C23011" w:rsidRPr="00C23011" w:rsidRDefault="00C23011" w:rsidP="00C23011">
      <w:pPr>
        <w:pStyle w:val="NORMAL12"/>
        <w:rPr>
          <w:lang w:val="es-ES"/>
        </w:rPr>
      </w:pPr>
      <w:r w:rsidRPr="00C23011">
        <w:rPr>
          <w:lang w:val="es-ES"/>
        </w:rPr>
        <w:t>El trayecto que ha de recorrer la maquinaria ha de cumplir las condiciones de anchura libre y de pendiente adecuadas a la maquinaria que se utilice. La rampa máxima antes de acceder a una vía pública será del 6%.</w:t>
      </w:r>
    </w:p>
    <w:p w14:paraId="425E6D9E" w14:textId="77777777" w:rsidR="00C23011" w:rsidRPr="00C23011" w:rsidRDefault="00C23011" w:rsidP="00C23011">
      <w:pPr>
        <w:pStyle w:val="NORMAL12"/>
        <w:rPr>
          <w:lang w:val="es-ES"/>
        </w:rPr>
      </w:pPr>
      <w:r w:rsidRPr="00C23011">
        <w:rPr>
          <w:lang w:val="es-ES"/>
        </w:rPr>
        <w:t>Las operaciones de carga se realizarán con las precauciones necesarias para conseguir unas condiciones de seguridad suficientes.</w:t>
      </w:r>
    </w:p>
    <w:p w14:paraId="3BA00CD5" w14:textId="77777777" w:rsidR="00C23011" w:rsidRPr="00C23011" w:rsidRDefault="00C23011" w:rsidP="00C23011">
      <w:pPr>
        <w:pStyle w:val="NORMAL12"/>
        <w:rPr>
          <w:lang w:val="es-ES"/>
        </w:rPr>
      </w:pPr>
      <w:r w:rsidRPr="00C23011">
        <w:rPr>
          <w:lang w:val="es-ES"/>
        </w:rPr>
        <w:t>El transporte se ha de realizar en vehículos adecuados para el material que se desee transportar, provisto de los elementos necesarios para su desplazamiento correcto, y evitando el enfangado de las vías públicas en los accesos a las mismas.</w:t>
      </w:r>
    </w:p>
    <w:p w14:paraId="06191755" w14:textId="77777777" w:rsidR="00C23011" w:rsidRDefault="00C23011" w:rsidP="00C23011">
      <w:pPr>
        <w:pStyle w:val="NORMAL12"/>
        <w:rPr>
          <w:lang w:val="es-ES"/>
        </w:rPr>
      </w:pPr>
      <w:r w:rsidRPr="00C23011">
        <w:rPr>
          <w:lang w:val="es-ES"/>
        </w:rPr>
        <w:t>Durante el transporte se ha de proteger el material para que no se produzcan pérdidas en el trayecto.</w:t>
      </w:r>
    </w:p>
    <w:p w14:paraId="0BA0C417" w14:textId="77777777" w:rsidR="00E66FCD" w:rsidRPr="00C23011" w:rsidRDefault="00E66FCD" w:rsidP="00C23011">
      <w:pPr>
        <w:pStyle w:val="NORMAL12"/>
        <w:rPr>
          <w:lang w:val="es-ES"/>
        </w:rPr>
      </w:pPr>
      <w:r>
        <w:rPr>
          <w:lang w:val="es-ES"/>
        </w:rPr>
        <w:t>Se dispondrán elementos de limpieza de ruedas en las zonas de acceso a la vía pública.</w:t>
      </w:r>
    </w:p>
    <w:p w14:paraId="318F6047" w14:textId="77777777" w:rsidR="00C23011" w:rsidRPr="00C23011" w:rsidRDefault="00C23011" w:rsidP="00C23011">
      <w:pPr>
        <w:pStyle w:val="NORMAL12"/>
        <w:rPr>
          <w:lang w:val="es-ES"/>
        </w:rPr>
      </w:pPr>
      <w:r w:rsidRPr="00C23011">
        <w:rPr>
          <w:lang w:val="es-ES"/>
        </w:rPr>
        <w:lastRenderedPageBreak/>
        <w:t>Las excavaciones respetarán todos los condicionantes medioambientales, y en especial los estipulados en la Declaración de Impacto Ambiental, sin que ello implique ninguna alteración en las condiciones de su ejecución, medición y abono.</w:t>
      </w:r>
    </w:p>
    <w:p w14:paraId="646D46ED" w14:textId="77777777" w:rsidR="00C23011" w:rsidRPr="00C23011" w:rsidRDefault="00C23011" w:rsidP="00C23011">
      <w:pPr>
        <w:pStyle w:val="NORMAL12"/>
        <w:rPr>
          <w:lang w:val="es-ES"/>
        </w:rPr>
      </w:pPr>
      <w:r w:rsidRPr="00C23011">
        <w:rPr>
          <w:lang w:val="es-ES"/>
        </w:rPr>
        <w:t xml:space="preserve">Las tierras que el </w:t>
      </w:r>
      <w:proofErr w:type="gramStart"/>
      <w:r w:rsidRPr="00C23011">
        <w:rPr>
          <w:lang w:val="es-ES"/>
        </w:rPr>
        <w:t>Director</w:t>
      </w:r>
      <w:proofErr w:type="gramEnd"/>
      <w:r w:rsidRPr="00C23011">
        <w:rPr>
          <w:lang w:val="es-ES"/>
        </w:rPr>
        <w:t xml:space="preserve"> de la Obra considere adecuadas para rellenos se han de transportar al lugar de utilización, y las que considere que se han de conservar se acopiarán en una zona apropiada. El resto tanto si son sobrantes como no adecuadas se han de transportar a un vertedero autorizado.</w:t>
      </w:r>
    </w:p>
    <w:p w14:paraId="4F46E8B5" w14:textId="77777777" w:rsidR="00C23011" w:rsidRPr="00C23011" w:rsidRDefault="00C23011" w:rsidP="00C23011">
      <w:pPr>
        <w:pStyle w:val="NORMAL12"/>
        <w:rPr>
          <w:lang w:val="es-ES"/>
        </w:rPr>
      </w:pPr>
      <w:r w:rsidRPr="00C23011">
        <w:rPr>
          <w:lang w:val="es-ES"/>
        </w:rPr>
        <w:t xml:space="preserve">Los trabajos de excavación en terreno rocoso se ejecutarán de manera que la granulometría y forma de los materiales resultantes sean </w:t>
      </w:r>
      <w:r w:rsidR="00D93E76" w:rsidRPr="00C23011">
        <w:rPr>
          <w:lang w:val="es-ES"/>
        </w:rPr>
        <w:t>adecuadas</w:t>
      </w:r>
      <w:r w:rsidRPr="00C23011">
        <w:rPr>
          <w:lang w:val="es-ES"/>
        </w:rPr>
        <w:t xml:space="preserve"> para su empleo en rellenos tipo todo uno. Dicha granulometría se define en el artículo 333.4.2.</w:t>
      </w:r>
    </w:p>
    <w:p w14:paraId="6E5A5632" w14:textId="77777777" w:rsidR="00C23011" w:rsidRPr="00C23011" w:rsidRDefault="00C23011" w:rsidP="00C23011">
      <w:pPr>
        <w:pStyle w:val="NORMAL12"/>
        <w:rPr>
          <w:lang w:val="es-ES"/>
        </w:rPr>
      </w:pPr>
      <w:r w:rsidRPr="00C23011">
        <w:rPr>
          <w:lang w:val="es-ES"/>
        </w:rPr>
        <w:t xml:space="preserve">Por causas justificadas el </w:t>
      </w:r>
      <w:proofErr w:type="gramStart"/>
      <w:r w:rsidRPr="00C23011">
        <w:rPr>
          <w:lang w:val="es-ES"/>
        </w:rPr>
        <w:t>Director</w:t>
      </w:r>
      <w:proofErr w:type="gramEnd"/>
      <w:r w:rsidRPr="00C23011">
        <w:rPr>
          <w:lang w:val="es-ES"/>
        </w:rPr>
        <w:t xml:space="preserve"> de la obra podrá modificar los taludes definidos en el proyecto, sin que suponga una modificación del precio de la unidad.</w:t>
      </w:r>
    </w:p>
    <w:p w14:paraId="1AA9B254" w14:textId="77777777" w:rsidR="00C23011" w:rsidRPr="00C23011" w:rsidRDefault="00C23011" w:rsidP="00C23011">
      <w:pPr>
        <w:pStyle w:val="NORMAL12"/>
        <w:rPr>
          <w:lang w:val="es-ES"/>
        </w:rPr>
      </w:pPr>
      <w:r w:rsidRPr="00C23011">
        <w:rPr>
          <w:lang w:val="es-ES"/>
        </w:rPr>
        <w:t>Los cambios de pendiente de los taludes y el encuentro con el terreno quedarán redondeados.</w:t>
      </w:r>
    </w:p>
    <w:p w14:paraId="7B2B0539" w14:textId="77777777" w:rsidR="00C23011" w:rsidRPr="00C23011" w:rsidRDefault="00C23011" w:rsidP="00C23011">
      <w:pPr>
        <w:pStyle w:val="NORMAL12"/>
        <w:rPr>
          <w:lang w:val="es-ES"/>
        </w:rPr>
      </w:pPr>
      <w:r w:rsidRPr="00C23011">
        <w:rPr>
          <w:lang w:val="es-ES"/>
        </w:rPr>
        <w:t xml:space="preserve">La terminación de los taludes excavados requiere la aprobación explícita del </w:t>
      </w:r>
      <w:proofErr w:type="gramStart"/>
      <w:r w:rsidRPr="00C23011">
        <w:rPr>
          <w:lang w:val="es-ES"/>
        </w:rPr>
        <w:t>Director</w:t>
      </w:r>
      <w:proofErr w:type="gramEnd"/>
      <w:r w:rsidRPr="00C23011">
        <w:rPr>
          <w:lang w:val="es-ES"/>
        </w:rPr>
        <w:t xml:space="preserve"> de la obra.</w:t>
      </w:r>
    </w:p>
    <w:p w14:paraId="3C744B33" w14:textId="77777777" w:rsidR="00C23011" w:rsidRPr="00C23011" w:rsidRDefault="00C23011" w:rsidP="00563673">
      <w:pPr>
        <w:pStyle w:val="TITU3"/>
        <w:numPr>
          <w:ilvl w:val="0"/>
          <w:numId w:val="0"/>
        </w:numPr>
        <w:outlineLvl w:val="3"/>
      </w:pPr>
      <w:r w:rsidRPr="00C23011">
        <w:t>320.3.2. Drenaje</w:t>
      </w:r>
    </w:p>
    <w:p w14:paraId="5475C828" w14:textId="77777777" w:rsidR="00C23011" w:rsidRPr="00C23011" w:rsidRDefault="00C23011" w:rsidP="00C23011">
      <w:pPr>
        <w:pStyle w:val="NORMAL12"/>
        <w:rPr>
          <w:lang w:val="es-ES"/>
        </w:rPr>
      </w:pPr>
      <w:r w:rsidRPr="00C23011">
        <w:rPr>
          <w:lang w:val="es-ES"/>
        </w:rPr>
        <w:t>Durante todo el proceso de excavación se mantendrán drenadas las explanaciones permitiendo la evacua</w:t>
      </w:r>
      <w:r w:rsidRPr="00C23011">
        <w:rPr>
          <w:lang w:val="es-ES"/>
        </w:rPr>
        <w:softHyphen/>
        <w:t>ción, por gravedad, de las aguas de escorrentía y de las que pudiesen aparecer en los sustratos más permeables, canalizándolas por el perímetro de la excavación, para evitar la saturación de los materiales removidos.</w:t>
      </w:r>
    </w:p>
    <w:p w14:paraId="458C7E33" w14:textId="77777777" w:rsidR="00C23011" w:rsidRPr="00C23011" w:rsidRDefault="00C23011" w:rsidP="00C23011">
      <w:pPr>
        <w:pStyle w:val="NORMAL12"/>
        <w:rPr>
          <w:lang w:val="es-ES"/>
        </w:rPr>
      </w:pPr>
      <w:r w:rsidRPr="00C23011">
        <w:rPr>
          <w:lang w:val="es-ES"/>
        </w:rPr>
        <w:t>La explanada ha de tener la pendiente suficiente para desaguar hacia las zanjas y cauces del sistema de drenaje.</w:t>
      </w:r>
    </w:p>
    <w:p w14:paraId="39D231EF" w14:textId="77777777" w:rsidR="00C23011" w:rsidRPr="00C23011" w:rsidRDefault="00C23011" w:rsidP="00C23011">
      <w:pPr>
        <w:pStyle w:val="NORMAL12"/>
        <w:rPr>
          <w:lang w:val="es-ES"/>
        </w:rPr>
      </w:pPr>
      <w:r w:rsidRPr="00C23011">
        <w:rPr>
          <w:lang w:val="es-ES"/>
        </w:rPr>
        <w:t>Los sistemas de desagüe tanto provisionales como definitivos no han de producir erosiones en la excava</w:t>
      </w:r>
      <w:r w:rsidRPr="00C23011">
        <w:rPr>
          <w:lang w:val="es-ES"/>
        </w:rPr>
        <w:softHyphen/>
        <w:t>ción.</w:t>
      </w:r>
    </w:p>
    <w:p w14:paraId="4FD27BA2" w14:textId="77777777" w:rsidR="00C23011" w:rsidRDefault="00C23011" w:rsidP="00563673">
      <w:pPr>
        <w:pStyle w:val="TITU3"/>
        <w:numPr>
          <w:ilvl w:val="0"/>
          <w:numId w:val="0"/>
        </w:numPr>
        <w:outlineLvl w:val="3"/>
      </w:pPr>
      <w:r w:rsidRPr="00C23011">
        <w:t>320.3.3. Tierra vegetal</w:t>
      </w:r>
    </w:p>
    <w:p w14:paraId="58DDDF93" w14:textId="77777777" w:rsidR="00384570" w:rsidRPr="00384570" w:rsidRDefault="00384570" w:rsidP="00384570">
      <w:pPr>
        <w:pStyle w:val="NORMAL12"/>
        <w:rPr>
          <w:lang w:val="es-ES"/>
        </w:rPr>
      </w:pPr>
      <w:r w:rsidRPr="00384570">
        <w:rPr>
          <w:lang w:val="es-ES"/>
        </w:rPr>
        <w:t xml:space="preserve">En función del material extraído y a criterio del </w:t>
      </w:r>
      <w:proofErr w:type="gramStart"/>
      <w:r w:rsidRPr="00384570">
        <w:rPr>
          <w:lang w:val="es-ES"/>
        </w:rPr>
        <w:t>Director</w:t>
      </w:r>
      <w:proofErr w:type="gramEnd"/>
      <w:r w:rsidRPr="00384570">
        <w:rPr>
          <w:lang w:val="es-ES"/>
        </w:rPr>
        <w:t xml:space="preserve"> de Obra puede ser clasificado como tierra vegetal.</w:t>
      </w:r>
    </w:p>
    <w:p w14:paraId="52D6EF8E" w14:textId="77777777" w:rsidR="00C23011" w:rsidRPr="00C23011" w:rsidRDefault="00C23011" w:rsidP="00C23011">
      <w:pPr>
        <w:pStyle w:val="NORMAL12"/>
        <w:rPr>
          <w:lang w:val="es-ES"/>
        </w:rPr>
      </w:pPr>
      <w:r w:rsidRPr="00C23011">
        <w:rPr>
          <w:lang w:val="es-ES"/>
        </w:rPr>
        <w:t xml:space="preserve">Se entiende por tierra vegetal todo aquel material procedente de excavación cuya composición </w:t>
      </w:r>
      <w:proofErr w:type="gramStart"/>
      <w:r w:rsidRPr="00C23011">
        <w:rPr>
          <w:lang w:val="es-ES"/>
        </w:rPr>
        <w:t>físico-química</w:t>
      </w:r>
      <w:proofErr w:type="gramEnd"/>
      <w:r w:rsidRPr="00C23011">
        <w:rPr>
          <w:lang w:val="es-ES"/>
        </w:rPr>
        <w:t xml:space="preserve"> y granulométrica permita el establecimiento de una cobertura </w:t>
      </w:r>
      <w:r w:rsidRPr="00C23011">
        <w:rPr>
          <w:lang w:val="es-ES"/>
        </w:rPr>
        <w:t>herbácea permanente (al menos inicialmente mediante las técnicas de hidrosiembra) y sea susceptible de recolonización natural.</w:t>
      </w:r>
    </w:p>
    <w:p w14:paraId="1AB0FCAB" w14:textId="77777777" w:rsidR="00C23011" w:rsidRPr="00C23011" w:rsidRDefault="00C23011" w:rsidP="00C23011">
      <w:pPr>
        <w:pStyle w:val="NORMAL12"/>
        <w:rPr>
          <w:lang w:val="es-ES"/>
        </w:rPr>
      </w:pPr>
      <w:r w:rsidRPr="00C23011">
        <w:rPr>
          <w:lang w:val="es-ES"/>
        </w:rPr>
        <w:t>La excavación se efectuará hasta la profundidad y en las zonas señaladas en el Proyecto. Antes de comenzar se someterá a la aprobación de la Dirección de Obra la elección de zonas de acopio y, en su caso, un plan en el que figuren las zonas y profundidades de extracción.</w:t>
      </w:r>
    </w:p>
    <w:p w14:paraId="12D9FD0C" w14:textId="77777777" w:rsidR="00C23011" w:rsidRPr="00C23011" w:rsidRDefault="00C23011" w:rsidP="00C23011">
      <w:pPr>
        <w:pStyle w:val="NORMAL12"/>
        <w:rPr>
          <w:lang w:val="es-ES"/>
        </w:rPr>
      </w:pPr>
      <w:r w:rsidRPr="00C23011">
        <w:rPr>
          <w:lang w:val="es-ES"/>
        </w:rPr>
        <w:t>Durante la ejecución de las operaciones se cuidará evitar la compactación de tierra vegetal; por ello, se utilizarán técnicas en que no sea necesario el paso de maquinaria pesada sobre los acopios, o que solo requieran maquinaria ligera.</w:t>
      </w:r>
    </w:p>
    <w:p w14:paraId="4FCD6F6E" w14:textId="77777777" w:rsidR="00C23011" w:rsidRPr="00C23011" w:rsidRDefault="00C23011" w:rsidP="00C23011">
      <w:pPr>
        <w:pStyle w:val="NORMAL12"/>
        <w:rPr>
          <w:lang w:val="es-ES"/>
        </w:rPr>
      </w:pPr>
      <w:r w:rsidRPr="00C23011">
        <w:rPr>
          <w:lang w:val="es-ES"/>
        </w:rPr>
        <w:t>El acopio se llevará a cabo en los lugares elegidos, de forma que no interfiera el normal desarrollo de las obras y conforme a las siguientes instrucciones:</w:t>
      </w:r>
    </w:p>
    <w:p w14:paraId="1738A009" w14:textId="77777777" w:rsidR="00C23011" w:rsidRPr="00C23011" w:rsidRDefault="00C23011" w:rsidP="00E01981">
      <w:pPr>
        <w:pStyle w:val="NORMAL12"/>
        <w:numPr>
          <w:ilvl w:val="0"/>
          <w:numId w:val="88"/>
        </w:numPr>
        <w:rPr>
          <w:lang w:val="es-ES"/>
        </w:rPr>
      </w:pPr>
      <w:r w:rsidRPr="00C23011">
        <w:rPr>
          <w:lang w:val="es-ES"/>
        </w:rPr>
        <w:t>Se hará formando caballones o artesas cuya altura no superará el metro y medio (1,5 m).</w:t>
      </w:r>
    </w:p>
    <w:p w14:paraId="72604146" w14:textId="77777777" w:rsidR="00C23011" w:rsidRPr="00C23011" w:rsidRDefault="00C23011" w:rsidP="00E01981">
      <w:pPr>
        <w:pStyle w:val="NORMAL12"/>
        <w:numPr>
          <w:ilvl w:val="0"/>
          <w:numId w:val="88"/>
        </w:numPr>
        <w:rPr>
          <w:lang w:val="es-ES"/>
        </w:rPr>
      </w:pPr>
      <w:r w:rsidRPr="00C23011">
        <w:rPr>
          <w:lang w:val="es-ES"/>
        </w:rPr>
        <w:t>Se evitará el paso de los camiones de descarga, o cualquier otro por encima de la tierra apilada.</w:t>
      </w:r>
    </w:p>
    <w:p w14:paraId="71B5099F" w14:textId="77777777" w:rsidR="00C23011" w:rsidRPr="00C23011" w:rsidRDefault="00C23011" w:rsidP="00E01981">
      <w:pPr>
        <w:pStyle w:val="NORMAL12"/>
        <w:numPr>
          <w:ilvl w:val="0"/>
          <w:numId w:val="88"/>
        </w:numPr>
        <w:rPr>
          <w:lang w:val="es-ES"/>
        </w:rPr>
      </w:pPr>
      <w:r w:rsidRPr="00C23011">
        <w:rPr>
          <w:lang w:val="es-ES"/>
        </w:rPr>
        <w:t>El modelado del caballón, si fuera necesario, se hará con tractor agrícola que compacte poco el suelo.</w:t>
      </w:r>
    </w:p>
    <w:p w14:paraId="493F07E1" w14:textId="77777777" w:rsidR="00C23011" w:rsidRPr="00C23011" w:rsidRDefault="00C23011" w:rsidP="00E01981">
      <w:pPr>
        <w:pStyle w:val="NORMAL12"/>
        <w:numPr>
          <w:ilvl w:val="0"/>
          <w:numId w:val="88"/>
        </w:numPr>
        <w:rPr>
          <w:lang w:val="es-ES"/>
        </w:rPr>
      </w:pPr>
      <w:r w:rsidRPr="00C23011">
        <w:rPr>
          <w:lang w:val="es-ES"/>
        </w:rPr>
        <w:t>Se harán ligeros ahondamientos en la capa superior de la artesa acopio, para evitar el lavado del suelo por la lluvia y la deformación de sus laterales, facilitando al mismo tiempo los tratamientos que hubieren de darse.</w:t>
      </w:r>
    </w:p>
    <w:p w14:paraId="121E2AF7" w14:textId="77777777" w:rsidR="00C23011" w:rsidRPr="00C23011" w:rsidRDefault="00C23011" w:rsidP="00E01981">
      <w:pPr>
        <w:pStyle w:val="NORMAL12"/>
        <w:numPr>
          <w:ilvl w:val="0"/>
          <w:numId w:val="88"/>
        </w:numPr>
        <w:rPr>
          <w:lang w:val="es-ES"/>
        </w:rPr>
      </w:pPr>
      <w:r w:rsidRPr="00C23011">
        <w:rPr>
          <w:lang w:val="es-ES"/>
        </w:rPr>
        <w:t>Si está previsto un abonado orgánico de la tierra, podrá efectuarse durante el vertido o modelado. Los abonos minerales poco solubles se agregarán después del modelado, empleando siempre tractores agrícolas para el laboreo.</w:t>
      </w:r>
    </w:p>
    <w:p w14:paraId="2A63129C" w14:textId="77777777" w:rsidR="00C23011" w:rsidRPr="00C23011" w:rsidRDefault="00C23011" w:rsidP="00C23011">
      <w:pPr>
        <w:pStyle w:val="NORMAL12"/>
        <w:rPr>
          <w:lang w:val="es-ES"/>
        </w:rPr>
      </w:pPr>
      <w:r w:rsidRPr="00C23011">
        <w:rPr>
          <w:lang w:val="es-ES"/>
        </w:rPr>
        <w:t>La conservación que habrá de efectuarse cuando el acopio vaya a permanecer largo tiempo, consistirá en:</w:t>
      </w:r>
    </w:p>
    <w:p w14:paraId="35CDAC16" w14:textId="77777777" w:rsidR="00C23011" w:rsidRPr="00C23011" w:rsidRDefault="00C23011" w:rsidP="00E01981">
      <w:pPr>
        <w:pStyle w:val="NORMAL12"/>
        <w:numPr>
          <w:ilvl w:val="0"/>
          <w:numId w:val="89"/>
        </w:numPr>
        <w:rPr>
          <w:lang w:val="es-ES"/>
        </w:rPr>
      </w:pPr>
      <w:r w:rsidRPr="00C23011">
        <w:rPr>
          <w:lang w:val="es-ES"/>
        </w:rPr>
        <w:t>Restañar las erosiones producidas por la lluvia.</w:t>
      </w:r>
    </w:p>
    <w:p w14:paraId="2E4F916C" w14:textId="77777777" w:rsidR="00C23011" w:rsidRPr="00C23011" w:rsidRDefault="00C23011" w:rsidP="00E01981">
      <w:pPr>
        <w:pStyle w:val="NORMAL12"/>
        <w:numPr>
          <w:ilvl w:val="0"/>
          <w:numId w:val="89"/>
        </w:numPr>
        <w:rPr>
          <w:lang w:val="es-ES"/>
        </w:rPr>
      </w:pPr>
      <w:r w:rsidRPr="00C23011">
        <w:rPr>
          <w:lang w:val="es-ES"/>
        </w:rPr>
        <w:t>Mantener cubierto el caballón con plantas vivas, leguminosas preferentemente por su capacidad de fijar nitrógeno.</w:t>
      </w:r>
    </w:p>
    <w:p w14:paraId="3D8AB660" w14:textId="77777777" w:rsidR="00C23011" w:rsidRPr="00C23011" w:rsidRDefault="00C23011" w:rsidP="00E01981">
      <w:pPr>
        <w:pStyle w:val="NORMAL12"/>
        <w:numPr>
          <w:ilvl w:val="0"/>
          <w:numId w:val="89"/>
        </w:numPr>
        <w:rPr>
          <w:lang w:val="es-ES"/>
        </w:rPr>
      </w:pPr>
      <w:r w:rsidRPr="00C23011">
        <w:rPr>
          <w:lang w:val="es-ES"/>
        </w:rPr>
        <w:t>Los abonos minerales solubles se incorporarán poco antes de la utilización de la tierra.</w:t>
      </w:r>
    </w:p>
    <w:p w14:paraId="0D83480F" w14:textId="77777777" w:rsidR="00C23011" w:rsidRPr="00C23011" w:rsidRDefault="00C23011" w:rsidP="00E01981">
      <w:pPr>
        <w:pStyle w:val="NORMAL12"/>
        <w:numPr>
          <w:ilvl w:val="0"/>
          <w:numId w:val="89"/>
        </w:numPr>
        <w:rPr>
          <w:lang w:val="es-ES"/>
        </w:rPr>
      </w:pPr>
      <w:r w:rsidRPr="00C23011">
        <w:rPr>
          <w:lang w:val="es-ES"/>
        </w:rPr>
        <w:lastRenderedPageBreak/>
        <w:t>La tierra excavada se mantendrá exenta de piedras y otros objetos extraños.</w:t>
      </w:r>
    </w:p>
    <w:p w14:paraId="0070305C" w14:textId="77777777" w:rsidR="00C23011" w:rsidRPr="00C23011" w:rsidRDefault="00C23011" w:rsidP="00C23011">
      <w:pPr>
        <w:pStyle w:val="NORMAL12"/>
        <w:rPr>
          <w:lang w:val="es-ES"/>
        </w:rPr>
      </w:pPr>
      <w:r w:rsidRPr="00C23011">
        <w:rPr>
          <w:lang w:val="es-ES"/>
        </w:rPr>
        <w:t>Si los acopios hubieran de hacerse fuera de la obra, serán de cuenta del Contratista los gastos que ocasione la disponibilidad del terreno.</w:t>
      </w:r>
    </w:p>
    <w:p w14:paraId="6AFBE2C8" w14:textId="77777777" w:rsidR="00C23011" w:rsidRPr="00C23011" w:rsidRDefault="00C23011" w:rsidP="00C23011">
      <w:pPr>
        <w:pStyle w:val="NORMAL12"/>
        <w:rPr>
          <w:lang w:val="es-ES"/>
        </w:rPr>
      </w:pPr>
      <w:r w:rsidRPr="00C23011">
        <w:rPr>
          <w:lang w:val="es-ES"/>
        </w:rPr>
        <w:t xml:space="preserve">Además de todo lo indicado en el presente Artículo, será de aplicación respecto a la manipulación y acopio de tierra vegetal </w:t>
      </w:r>
      <w:r w:rsidR="004C3D6D">
        <w:rPr>
          <w:lang w:val="es-ES"/>
        </w:rPr>
        <w:t xml:space="preserve">establecido en las medidas </w:t>
      </w:r>
      <w:r w:rsidR="00D93E76">
        <w:rPr>
          <w:lang w:val="es-ES"/>
        </w:rPr>
        <w:t>medioambientales</w:t>
      </w:r>
      <w:r w:rsidR="004C3D6D">
        <w:rPr>
          <w:lang w:val="es-ES"/>
        </w:rPr>
        <w:t xml:space="preserve"> establecidas en el presente pliego</w:t>
      </w:r>
      <w:r w:rsidRPr="00C23011">
        <w:rPr>
          <w:lang w:val="es-ES"/>
        </w:rPr>
        <w:t>.</w:t>
      </w:r>
    </w:p>
    <w:p w14:paraId="5C37F6AF" w14:textId="77777777" w:rsidR="00C23011" w:rsidRPr="00C23011" w:rsidRDefault="00C23011" w:rsidP="004D4165">
      <w:pPr>
        <w:pStyle w:val="TITU3"/>
        <w:numPr>
          <w:ilvl w:val="0"/>
          <w:numId w:val="0"/>
        </w:numPr>
        <w:outlineLvl w:val="3"/>
      </w:pPr>
      <w:r w:rsidRPr="00C23011">
        <w:t>320.3.4. Empleo de los productos de excavación</w:t>
      </w:r>
    </w:p>
    <w:p w14:paraId="69FF8FD5" w14:textId="77777777" w:rsidR="00C3696D" w:rsidRDefault="00C3696D" w:rsidP="00C23011">
      <w:pPr>
        <w:pStyle w:val="NORMAL12"/>
        <w:rPr>
          <w:lang w:val="es-ES"/>
        </w:rPr>
      </w:pPr>
      <w:r>
        <w:rPr>
          <w:lang w:val="es-ES"/>
        </w:rPr>
        <w:t>La tierra vegetal extraída de la traza es llevada a acopio para su reutilización.</w:t>
      </w:r>
    </w:p>
    <w:p w14:paraId="0C3DCCAD" w14:textId="77777777" w:rsidR="00C3696D" w:rsidRPr="00C23011" w:rsidRDefault="00C3696D" w:rsidP="00C23011">
      <w:pPr>
        <w:pStyle w:val="NORMAL12"/>
        <w:rPr>
          <w:lang w:val="es-ES"/>
        </w:rPr>
      </w:pPr>
      <w:r>
        <w:rPr>
          <w:lang w:val="es-ES"/>
        </w:rPr>
        <w:t>El resto del material extraído es llevado a vertedero.</w:t>
      </w:r>
    </w:p>
    <w:p w14:paraId="39E1CAB6" w14:textId="77777777" w:rsidR="00C23011" w:rsidRPr="00C23011" w:rsidRDefault="00C23011" w:rsidP="004D4165">
      <w:pPr>
        <w:pStyle w:val="TITU3"/>
        <w:numPr>
          <w:ilvl w:val="0"/>
          <w:numId w:val="0"/>
        </w:numPr>
        <w:outlineLvl w:val="3"/>
      </w:pPr>
      <w:r w:rsidRPr="00C23011">
        <w:t>320.3.5. Préstamos</w:t>
      </w:r>
    </w:p>
    <w:p w14:paraId="262A74FF" w14:textId="77777777" w:rsidR="00C23011" w:rsidRPr="00C23011" w:rsidRDefault="00C23011" w:rsidP="00C23011">
      <w:pPr>
        <w:pStyle w:val="NORMAL12"/>
        <w:rPr>
          <w:lang w:val="es-ES"/>
        </w:rPr>
      </w:pPr>
      <w:r w:rsidRPr="00C23011">
        <w:rPr>
          <w:lang w:val="es-ES"/>
        </w:rPr>
        <w:t>Está prevista la necesidad de préstamos para la obtención del suelo seleccionado para formación de la explanada.</w:t>
      </w:r>
    </w:p>
    <w:p w14:paraId="45D71C0D" w14:textId="77777777" w:rsidR="00C23011" w:rsidRPr="00C23011" w:rsidRDefault="00C23011" w:rsidP="00C23011">
      <w:pPr>
        <w:pStyle w:val="NORMAL12"/>
        <w:rPr>
          <w:lang w:val="es-ES"/>
        </w:rPr>
      </w:pPr>
      <w:r w:rsidRPr="00C23011">
        <w:rPr>
          <w:lang w:val="es-ES"/>
        </w:rPr>
        <w:t>En el Anejo de Geología, en el epígrafe correspondiente a procedencia de materiales, se han estudiado y propuesto algunos préstamos para su posible utilización en esta obra.</w:t>
      </w:r>
    </w:p>
    <w:p w14:paraId="685BE826" w14:textId="77777777" w:rsidR="00C23011" w:rsidRPr="00C23011" w:rsidRDefault="00C23011" w:rsidP="00C23011">
      <w:pPr>
        <w:pStyle w:val="NORMAL12"/>
        <w:rPr>
          <w:lang w:val="es-ES"/>
        </w:rPr>
      </w:pPr>
      <w:r w:rsidRPr="00C23011">
        <w:rPr>
          <w:lang w:val="es-ES"/>
        </w:rPr>
        <w:t>Cualquier préstamo propuesto por parte del Contratista deberá contar con las autorizaciones pertinentes por parte de los Organismos Ambientales competentes.</w:t>
      </w:r>
    </w:p>
    <w:p w14:paraId="28E5FA4F" w14:textId="77777777" w:rsidR="00C23011" w:rsidRPr="00C23011" w:rsidRDefault="00C23011" w:rsidP="00C23011">
      <w:pPr>
        <w:pStyle w:val="NORMAL12"/>
        <w:rPr>
          <w:lang w:val="es-ES"/>
        </w:rPr>
      </w:pPr>
      <w:r w:rsidRPr="00C23011">
        <w:rPr>
          <w:lang w:val="es-ES"/>
        </w:rPr>
        <w:t xml:space="preserve">El contratista comunicará al </w:t>
      </w:r>
      <w:proofErr w:type="gramStart"/>
      <w:r w:rsidRPr="00C23011">
        <w:rPr>
          <w:lang w:val="es-ES"/>
        </w:rPr>
        <w:t>Director</w:t>
      </w:r>
      <w:proofErr w:type="gramEnd"/>
      <w:r w:rsidRPr="00C23011">
        <w:rPr>
          <w:lang w:val="es-ES"/>
        </w:rPr>
        <w:t xml:space="preserve"> de la Obra, con suficiente antelación, la apertura de los citados préstamos a fin de que se pueda medir su volumen y dimensiones sobre el terreno natural no alterado.</w:t>
      </w:r>
    </w:p>
    <w:p w14:paraId="19C06FE2" w14:textId="77777777" w:rsidR="00C23011" w:rsidRPr="00C23011" w:rsidRDefault="00C23011" w:rsidP="00C23011">
      <w:pPr>
        <w:pStyle w:val="NORMAL12"/>
        <w:rPr>
          <w:lang w:val="es-ES"/>
        </w:rPr>
      </w:pPr>
      <w:r w:rsidRPr="00C23011">
        <w:rPr>
          <w:lang w:val="es-ES"/>
        </w:rPr>
        <w:t>Los préstamos se excavarán con taludes finales 2(H):1(V) o menores. Las superficies finales quedarán perfiladas de forma que permitan la extensión de suelo vegetal para la revegetación. El fondo de cada préstamo quedará despejado sin apiles de tierras ni vertidos.</w:t>
      </w:r>
    </w:p>
    <w:p w14:paraId="0690FA03" w14:textId="77777777" w:rsidR="00C23011" w:rsidRPr="00C23011" w:rsidRDefault="00C23011" w:rsidP="004D4165">
      <w:pPr>
        <w:pStyle w:val="TITU3"/>
        <w:numPr>
          <w:ilvl w:val="0"/>
          <w:numId w:val="0"/>
        </w:numPr>
        <w:outlineLvl w:val="3"/>
      </w:pPr>
      <w:r w:rsidRPr="00C23011">
        <w:t>320.3.6. Taludes</w:t>
      </w:r>
    </w:p>
    <w:p w14:paraId="02D3EE74" w14:textId="77777777" w:rsidR="00C23011" w:rsidRPr="00C23011" w:rsidRDefault="00C23011" w:rsidP="00C23011">
      <w:pPr>
        <w:pStyle w:val="NORMAL12"/>
        <w:rPr>
          <w:lang w:val="es-ES"/>
        </w:rPr>
      </w:pPr>
      <w:r w:rsidRPr="00C23011">
        <w:rPr>
          <w:lang w:val="es-ES"/>
        </w:rPr>
        <w:t xml:space="preserve">Los taludes previstos, que figuran en los Planos de secciones tipo, en los distintos tramos de desmonte se confirmarán o modificarán a medida que progrese la excavación en función de las características del terreno, atendiéndose a lo que determine el </w:t>
      </w:r>
      <w:proofErr w:type="gramStart"/>
      <w:r w:rsidRPr="00C23011">
        <w:rPr>
          <w:lang w:val="es-ES"/>
        </w:rPr>
        <w:t>Director</w:t>
      </w:r>
      <w:proofErr w:type="gramEnd"/>
      <w:r w:rsidRPr="00C23011">
        <w:rPr>
          <w:lang w:val="es-ES"/>
        </w:rPr>
        <w:t xml:space="preserve"> de la obra.</w:t>
      </w:r>
    </w:p>
    <w:p w14:paraId="176F95CF" w14:textId="77777777" w:rsidR="00C23011" w:rsidRPr="00140246" w:rsidRDefault="00C23011" w:rsidP="00C23011">
      <w:pPr>
        <w:pStyle w:val="NORMAL12"/>
        <w:rPr>
          <w:lang w:val="es-ES"/>
        </w:rPr>
      </w:pPr>
      <w:r w:rsidRPr="00C23011">
        <w:rPr>
          <w:lang w:val="es-ES"/>
        </w:rPr>
        <w:t xml:space="preserve">El </w:t>
      </w:r>
      <w:proofErr w:type="gramStart"/>
      <w:r w:rsidRPr="00C23011">
        <w:rPr>
          <w:lang w:val="es-ES"/>
        </w:rPr>
        <w:t>Director</w:t>
      </w:r>
      <w:proofErr w:type="gramEnd"/>
      <w:r w:rsidRPr="00C23011">
        <w:rPr>
          <w:lang w:val="es-ES"/>
        </w:rPr>
        <w:t xml:space="preserve"> de la obra decidirá, a la vista de la terminación del talud, las zonas que deberán limpiarse retirando las piedras sueltas o repicarse regularizando la superficie del talud </w:t>
      </w:r>
      <w:r w:rsidRPr="00140246">
        <w:rPr>
          <w:lang w:val="es-ES"/>
        </w:rPr>
        <w:t>al perfil teórico.</w:t>
      </w:r>
    </w:p>
    <w:p w14:paraId="2ED2EC7C" w14:textId="77777777" w:rsidR="00C23011" w:rsidRPr="00082D47" w:rsidRDefault="00C23011" w:rsidP="00C23011">
      <w:pPr>
        <w:pStyle w:val="NORMAL12"/>
        <w:rPr>
          <w:lang w:val="es-ES"/>
        </w:rPr>
      </w:pPr>
      <w:r w:rsidRPr="00140246">
        <w:rPr>
          <w:lang w:val="es-ES"/>
        </w:rPr>
        <w:t>Las caras finales de los taludes</w:t>
      </w:r>
      <w:r w:rsidR="00082D47" w:rsidRPr="00140246">
        <w:rPr>
          <w:lang w:val="es-ES"/>
        </w:rPr>
        <w:t xml:space="preserve"> </w:t>
      </w:r>
      <w:r w:rsidR="00217216" w:rsidRPr="00140246">
        <w:rPr>
          <w:lang w:val="es-ES"/>
        </w:rPr>
        <w:t>deben</w:t>
      </w:r>
      <w:r w:rsidR="00082D47" w:rsidRPr="00140246">
        <w:rPr>
          <w:lang w:val="es-ES"/>
        </w:rPr>
        <w:t xml:space="preserve"> quedar con una superficie homogénea. Para su regularización se extenderá sobre ella una capa de tierras procedente de las excavaciones, de espesor suficiente para cubrir las irregularidades provocadas por la excavación </w:t>
      </w:r>
      <w:proofErr w:type="gramStart"/>
      <w:r w:rsidR="00082D47" w:rsidRPr="00140246">
        <w:rPr>
          <w:lang w:val="es-ES"/>
        </w:rPr>
        <w:t>y  apta</w:t>
      </w:r>
      <w:proofErr w:type="gramEnd"/>
      <w:r w:rsidR="00082D47" w:rsidRPr="00140246">
        <w:rPr>
          <w:lang w:val="es-ES"/>
        </w:rPr>
        <w:t xml:space="preserve"> para extender la capa de tierra vegetal sobre ella.</w:t>
      </w:r>
      <w:r w:rsidR="00082D47">
        <w:rPr>
          <w:lang w:val="es-ES"/>
        </w:rPr>
        <w:t xml:space="preserve"> </w:t>
      </w:r>
    </w:p>
    <w:p w14:paraId="6CC72A0F" w14:textId="77777777" w:rsidR="00C23011" w:rsidRPr="00C23011" w:rsidRDefault="00C23011" w:rsidP="004D4165">
      <w:pPr>
        <w:pStyle w:val="TITU3"/>
        <w:numPr>
          <w:ilvl w:val="0"/>
          <w:numId w:val="0"/>
        </w:numPr>
        <w:outlineLvl w:val="3"/>
      </w:pPr>
      <w:r w:rsidRPr="00C23011">
        <w:t>320.3.7. Procedimiento de ejecución</w:t>
      </w:r>
    </w:p>
    <w:p w14:paraId="2FA57990" w14:textId="77777777" w:rsidR="00C23011" w:rsidRPr="00C23011" w:rsidRDefault="00C23011" w:rsidP="00C23011">
      <w:pPr>
        <w:pStyle w:val="NORMAL12"/>
        <w:rPr>
          <w:lang w:val="es-ES"/>
        </w:rPr>
      </w:pPr>
      <w:r w:rsidRPr="00C23011">
        <w:rPr>
          <w:lang w:val="es-ES"/>
        </w:rPr>
        <w:t xml:space="preserve">Antes de iniciar las obras de excavación debe presentarse al </w:t>
      </w:r>
      <w:proofErr w:type="gramStart"/>
      <w:r w:rsidRPr="00C23011">
        <w:rPr>
          <w:lang w:val="es-ES"/>
        </w:rPr>
        <w:t>Director</w:t>
      </w:r>
      <w:proofErr w:type="gramEnd"/>
      <w:r w:rsidRPr="00C23011">
        <w:rPr>
          <w:lang w:val="es-ES"/>
        </w:rPr>
        <w:t xml:space="preserve"> de la obra un programa de desarrollo de los trabajos de explanación.</w:t>
      </w:r>
    </w:p>
    <w:p w14:paraId="7A354361" w14:textId="77777777" w:rsidR="00C23011" w:rsidRPr="00C23011" w:rsidRDefault="00C23011" w:rsidP="00C23011">
      <w:pPr>
        <w:pStyle w:val="NORMAL12"/>
        <w:rPr>
          <w:lang w:val="es-ES"/>
        </w:rPr>
      </w:pPr>
      <w:r w:rsidRPr="00C23011">
        <w:rPr>
          <w:lang w:val="es-ES"/>
        </w:rPr>
        <w:t>No se autorizará el inicio de una excavación si no están preparados los tajos de relleno, acopio o vertedero previstos, y si no se han concluido satisfactoriamente todas las operaciones preparatorias para garantizar una buena ejecución.</w:t>
      </w:r>
    </w:p>
    <w:p w14:paraId="6866D7AC" w14:textId="77777777" w:rsidR="00C23011" w:rsidRPr="00C23011" w:rsidRDefault="00C23011" w:rsidP="00C23011">
      <w:pPr>
        <w:pStyle w:val="NORMAL12"/>
        <w:rPr>
          <w:lang w:val="es-ES"/>
        </w:rPr>
      </w:pPr>
      <w:r w:rsidRPr="00C23011">
        <w:rPr>
          <w:lang w:val="es-ES"/>
        </w:rPr>
        <w:t>El Contratista ha de prever un sistema de desagüe que evite la acumulación de agua en las excavaciones. Con esta finalidad ha de construir las protecciones: zanjas, cunetas, drenajes y conductos de desagüe que sean necesarios y disponer de bombas de agotamiento de capacidad suficiente.</w:t>
      </w:r>
    </w:p>
    <w:p w14:paraId="4C6CD001" w14:textId="77777777" w:rsidR="00C23011" w:rsidRPr="00C23011" w:rsidRDefault="00C23011" w:rsidP="00C23011">
      <w:pPr>
        <w:pStyle w:val="NORMAL12"/>
        <w:rPr>
          <w:lang w:val="es-ES"/>
        </w:rPr>
      </w:pPr>
      <w:r w:rsidRPr="00C23011">
        <w:rPr>
          <w:lang w:val="es-ES"/>
        </w:rPr>
        <w:t xml:space="preserve">El Contratista ha de impedir la entrada de aguas superficiales, especialmente cerca de los </w:t>
      </w:r>
      <w:r w:rsidRPr="00D75A5C">
        <w:rPr>
          <w:lang w:val="es-ES"/>
        </w:rPr>
        <w:t>taludes, ejecutándose una cuneta de guarda provisional o la definitiva</w:t>
      </w:r>
      <w:r w:rsidR="00C3696D" w:rsidRPr="00D75A5C">
        <w:rPr>
          <w:lang w:val="es-ES"/>
        </w:rPr>
        <w:t xml:space="preserve"> antes de comenzar la excavación</w:t>
      </w:r>
      <w:r w:rsidRPr="00D75A5C">
        <w:rPr>
          <w:lang w:val="es-ES"/>
        </w:rPr>
        <w:t>, tal como figure en los Planos, para evitar que se produzcan daños en los taludes.</w:t>
      </w:r>
    </w:p>
    <w:p w14:paraId="05748D22" w14:textId="77777777" w:rsidR="00C23011" w:rsidRPr="00C23011" w:rsidRDefault="00C23011" w:rsidP="00C23011">
      <w:pPr>
        <w:pStyle w:val="NORMAL12"/>
        <w:rPr>
          <w:lang w:val="es-ES"/>
        </w:rPr>
      </w:pPr>
      <w:r w:rsidRPr="00C23011">
        <w:rPr>
          <w:lang w:val="es-ES"/>
        </w:rPr>
        <w:t xml:space="preserve">Los cauces de agua existentes no se modificarán sin autorización previa y por </w:t>
      </w:r>
      <w:r w:rsidR="00C80C11">
        <w:rPr>
          <w:lang w:val="es-ES"/>
        </w:rPr>
        <w:t>escrito de l</w:t>
      </w:r>
      <w:r w:rsidR="00082D47">
        <w:rPr>
          <w:lang w:val="es-ES"/>
        </w:rPr>
        <w:t>a Confederación Hidrográfica.</w:t>
      </w:r>
    </w:p>
    <w:p w14:paraId="635711DD" w14:textId="77777777" w:rsidR="00C23011" w:rsidRPr="00C23011" w:rsidRDefault="00C80C11" w:rsidP="00C23011">
      <w:pPr>
        <w:pStyle w:val="NORMAL12"/>
        <w:rPr>
          <w:lang w:val="es-ES"/>
        </w:rPr>
      </w:pPr>
      <w:proofErr w:type="gramStart"/>
      <w:r>
        <w:rPr>
          <w:lang w:val="es-ES"/>
        </w:rPr>
        <w:t>Igualmente</w:t>
      </w:r>
      <w:proofErr w:type="gramEnd"/>
      <w:r>
        <w:rPr>
          <w:lang w:val="es-ES"/>
        </w:rPr>
        <w:t xml:space="preserve"> en </w:t>
      </w:r>
      <w:r w:rsidR="00C23011" w:rsidRPr="00C23011">
        <w:rPr>
          <w:lang w:val="es-ES"/>
        </w:rPr>
        <w:t xml:space="preserve">caso de encontrar niveles acuíferos no previstos, se han de tomar medidas correctoras de acuerdo con </w:t>
      </w:r>
      <w:r>
        <w:rPr>
          <w:lang w:val="es-ES"/>
        </w:rPr>
        <w:t xml:space="preserve">la Confederación Hidrográfica. </w:t>
      </w:r>
    </w:p>
    <w:p w14:paraId="1E553430" w14:textId="77777777" w:rsidR="00C23011" w:rsidRPr="00C23011" w:rsidRDefault="00C23011" w:rsidP="00C23011">
      <w:pPr>
        <w:pStyle w:val="NORMAL12"/>
        <w:rPr>
          <w:lang w:val="es-ES"/>
        </w:rPr>
      </w:pPr>
      <w:r w:rsidRPr="00C23011">
        <w:rPr>
          <w:lang w:val="es-ES"/>
        </w:rPr>
        <w:t>Se ha de evitar que discurra, por las caras de los taludes finales, cualquier aparición de agua que pueda presentarse durante la excavación, construyendo las bajantes necesarias.</w:t>
      </w:r>
    </w:p>
    <w:p w14:paraId="45BFD44D" w14:textId="77777777" w:rsidR="00C23011" w:rsidRPr="00C23011" w:rsidRDefault="00C23011" w:rsidP="00C23011">
      <w:pPr>
        <w:pStyle w:val="NORMAL12"/>
        <w:rPr>
          <w:lang w:val="es-ES"/>
        </w:rPr>
      </w:pPr>
      <w:r w:rsidRPr="00C23011">
        <w:rPr>
          <w:lang w:val="es-ES"/>
        </w:rPr>
        <w:t>Se han de retirar de los taludes las rocas suspendidas, tierras y materiales con peligro de desprendimiento.</w:t>
      </w:r>
    </w:p>
    <w:p w14:paraId="6B407705" w14:textId="77777777" w:rsidR="00C23011" w:rsidRDefault="00C23011" w:rsidP="00C23011">
      <w:pPr>
        <w:pStyle w:val="NORMAL12"/>
        <w:rPr>
          <w:lang w:val="es-ES"/>
        </w:rPr>
      </w:pPr>
      <w:r w:rsidRPr="00C23011">
        <w:rPr>
          <w:lang w:val="es-ES"/>
        </w:rPr>
        <w:lastRenderedPageBreak/>
        <w:t xml:space="preserve">Cerca de estructuras de contención, previamente realizadas, la maquinaria ha de trabajar en dirección no perpendicular a ella y dejar sin excavar una zona de protección de anchura mayor o igual a un metro (1,0 m), que se </w:t>
      </w:r>
      <w:r w:rsidR="00C80C11">
        <w:rPr>
          <w:lang w:val="es-ES"/>
        </w:rPr>
        <w:t>realizará tomando las precauciones necesarias para no dañar la estructura, incluso se realizará manualmente si fuera necesario.</w:t>
      </w:r>
    </w:p>
    <w:p w14:paraId="2322EDFC" w14:textId="77777777" w:rsidR="00C80C11" w:rsidRPr="00C23011" w:rsidRDefault="00C80C11" w:rsidP="00C23011">
      <w:pPr>
        <w:pStyle w:val="NORMAL12"/>
        <w:rPr>
          <w:lang w:val="es-ES"/>
        </w:rPr>
      </w:pPr>
      <w:r>
        <w:rPr>
          <w:lang w:val="es-ES"/>
        </w:rPr>
        <w:t>La tierra vegetal extraída se acopiará para su reutilización, el resto del material será llevado a vertedero para su clasificación y tratamiento.</w:t>
      </w:r>
    </w:p>
    <w:p w14:paraId="0E109712" w14:textId="77777777" w:rsidR="00C23011" w:rsidRPr="00C23011" w:rsidRDefault="00C23011" w:rsidP="00C23011">
      <w:pPr>
        <w:pStyle w:val="NORMAL12"/>
        <w:rPr>
          <w:lang w:val="es-ES"/>
        </w:rPr>
      </w:pPr>
      <w:r w:rsidRPr="00C23011">
        <w:rPr>
          <w:lang w:val="es-ES"/>
        </w:rPr>
        <w:t xml:space="preserve">En cualquier caso, no se desechará ningún material excavado sin previa autorización del </w:t>
      </w:r>
      <w:proofErr w:type="gramStart"/>
      <w:r w:rsidRPr="00C23011">
        <w:rPr>
          <w:lang w:val="es-ES"/>
        </w:rPr>
        <w:t>Director</w:t>
      </w:r>
      <w:proofErr w:type="gramEnd"/>
      <w:r w:rsidRPr="00C23011">
        <w:rPr>
          <w:lang w:val="es-ES"/>
        </w:rPr>
        <w:t xml:space="preserve"> de Obra.</w:t>
      </w:r>
    </w:p>
    <w:p w14:paraId="2D803BB2" w14:textId="77777777" w:rsidR="001E2734" w:rsidRDefault="00C23011" w:rsidP="00C23011">
      <w:pPr>
        <w:pStyle w:val="NORMAL12"/>
        <w:rPr>
          <w:lang w:val="es-ES"/>
        </w:rPr>
      </w:pPr>
      <w:r w:rsidRPr="00C23011">
        <w:rPr>
          <w:lang w:val="es-ES"/>
        </w:rPr>
        <w:t>L</w:t>
      </w:r>
      <w:r w:rsidR="001E2734">
        <w:rPr>
          <w:lang w:val="es-ES"/>
        </w:rPr>
        <w:t xml:space="preserve">os materiales obtenidos en la excavación se llevarán a los vertederos autorizados. </w:t>
      </w:r>
    </w:p>
    <w:p w14:paraId="2B7EF14F" w14:textId="77777777" w:rsidR="00C23011" w:rsidRPr="00C23011" w:rsidRDefault="00C23011" w:rsidP="00C23011">
      <w:pPr>
        <w:pStyle w:val="NORMAL12"/>
        <w:rPr>
          <w:lang w:val="es-ES"/>
        </w:rPr>
      </w:pPr>
      <w:r w:rsidRPr="00C23011">
        <w:rPr>
          <w:lang w:val="es-ES"/>
        </w:rPr>
        <w:t xml:space="preserve">Si en las excavaciones se encontrasen materiales que pudieran emplearse en unidades distintas a </w:t>
      </w:r>
      <w:r w:rsidRPr="00D75A5C">
        <w:rPr>
          <w:lang w:val="es-ES"/>
        </w:rPr>
        <w:t xml:space="preserve">las previstas en el proyecto y sea necesario su almacenamiento, se transportarán a depósitos provisionales o a los acopios que a tal fin señale el </w:t>
      </w:r>
      <w:proofErr w:type="gramStart"/>
      <w:r w:rsidRPr="00D75A5C">
        <w:rPr>
          <w:lang w:val="es-ES"/>
        </w:rPr>
        <w:t>Director</w:t>
      </w:r>
      <w:proofErr w:type="gramEnd"/>
      <w:r w:rsidRPr="00D75A5C">
        <w:rPr>
          <w:lang w:val="es-ES"/>
        </w:rPr>
        <w:t xml:space="preserve"> de la obra a propuesta del Contratista, con objeto de proceder a su utilización posterior.</w:t>
      </w:r>
      <w:r w:rsidR="00C80C11" w:rsidRPr="00D75A5C">
        <w:rPr>
          <w:lang w:val="es-ES"/>
        </w:rPr>
        <w:t xml:space="preserve"> En este caso no son de abono los costes del acopio intermedio, ni los costes de segunda carga para </w:t>
      </w:r>
      <w:r w:rsidR="002C2C6E" w:rsidRPr="00D75A5C">
        <w:rPr>
          <w:lang w:val="es-ES"/>
        </w:rPr>
        <w:t xml:space="preserve">el </w:t>
      </w:r>
      <w:r w:rsidR="00C80C11" w:rsidRPr="00D75A5C">
        <w:rPr>
          <w:lang w:val="es-ES"/>
        </w:rPr>
        <w:t>transporte a lugar definitivo.</w:t>
      </w:r>
    </w:p>
    <w:p w14:paraId="3FFC2EC7" w14:textId="77777777" w:rsidR="00C23011" w:rsidRPr="00C23011" w:rsidRDefault="00C23011" w:rsidP="00C23011">
      <w:pPr>
        <w:pStyle w:val="NORMAL12"/>
        <w:rPr>
          <w:lang w:val="es-ES"/>
        </w:rPr>
      </w:pPr>
      <w:r w:rsidRPr="00C23011">
        <w:rPr>
          <w:lang w:val="es-ES"/>
        </w:rPr>
        <w:t>Las unidades de obra ejecutadas en exceso sobre lo previsto en el proyecto estarán sujetas a las mismas especificaciones que el resto de las obras, sin derecho a cobro de suplemento adicional.</w:t>
      </w:r>
    </w:p>
    <w:p w14:paraId="489B6248" w14:textId="77777777" w:rsidR="00C23011" w:rsidRPr="00C23011" w:rsidRDefault="00C23011" w:rsidP="00C23011">
      <w:pPr>
        <w:pStyle w:val="NORMAL12"/>
        <w:rPr>
          <w:lang w:val="es-ES"/>
        </w:rPr>
      </w:pPr>
      <w:r w:rsidRPr="00C23011">
        <w:rPr>
          <w:lang w:val="es-ES"/>
        </w:rPr>
        <w:t>Si el equipo o proceso de excavación seguido por el Contratista no garantiza el cumplimiento de las condiciones granulométricas que se piden para los distintos tipos de relleno y fuera preciso un procesamien</w:t>
      </w:r>
      <w:r w:rsidRPr="00C23011">
        <w:rPr>
          <w:lang w:val="es-ES"/>
        </w:rPr>
        <w:softHyphen/>
        <w:t xml:space="preserve">to adicional (taqueos, martillo rompedor, etc.), éste será realizado por el Contratista a sus expensas sin recibir pago adicional por estos conceptos. En cualquier </w:t>
      </w:r>
      <w:proofErr w:type="gramStart"/>
      <w:r w:rsidRPr="00C23011">
        <w:rPr>
          <w:lang w:val="es-ES"/>
        </w:rPr>
        <w:t>caso</w:t>
      </w:r>
      <w:proofErr w:type="gramEnd"/>
      <w:r w:rsidRPr="00C23011">
        <w:rPr>
          <w:lang w:val="es-ES"/>
        </w:rPr>
        <w:t xml:space="preserve"> los excesos de excavación con respecto a los límites teóricos, que resulten necesarios por el empleo de unos u otros modos de ejecución de las obras, correrán de cuenta del Contratista.</w:t>
      </w:r>
    </w:p>
    <w:p w14:paraId="0C1643C5" w14:textId="77777777" w:rsidR="00C23011" w:rsidRPr="00C23011" w:rsidRDefault="00C23011" w:rsidP="00C23011">
      <w:pPr>
        <w:pStyle w:val="NORMAL12"/>
        <w:rPr>
          <w:lang w:val="es-ES"/>
        </w:rPr>
      </w:pPr>
      <w:r w:rsidRPr="00C23011">
        <w:rPr>
          <w:lang w:val="es-ES"/>
        </w:rPr>
        <w:t xml:space="preserve">El taqueo debe ser en lo posible excepcional y deberá ser aprobado por el </w:t>
      </w:r>
      <w:proofErr w:type="gramStart"/>
      <w:r w:rsidRPr="00C23011">
        <w:rPr>
          <w:lang w:val="es-ES"/>
        </w:rPr>
        <w:t>Director</w:t>
      </w:r>
      <w:proofErr w:type="gramEnd"/>
      <w:r w:rsidRPr="00C23011">
        <w:rPr>
          <w:lang w:val="es-ES"/>
        </w:rPr>
        <w:t xml:space="preserve"> de la obra antes de su ejecución.</w:t>
      </w:r>
    </w:p>
    <w:p w14:paraId="4D32875A" w14:textId="77777777" w:rsidR="00C23011" w:rsidRPr="00C23011" w:rsidRDefault="00C23011" w:rsidP="00C23011">
      <w:pPr>
        <w:pStyle w:val="NORMAL12"/>
        <w:rPr>
          <w:lang w:val="es-ES"/>
        </w:rPr>
      </w:pPr>
      <w:r w:rsidRPr="00C23011">
        <w:rPr>
          <w:lang w:val="es-ES"/>
        </w:rPr>
        <w:t xml:space="preserve">Asimismo, serán de cuenta del Contratista todas las actuaciones y gastos generados por condicionantes de tipo ecológico, según las instrucciones que emanen de los organismos </w:t>
      </w:r>
      <w:r w:rsidRPr="00C23011">
        <w:rPr>
          <w:lang w:val="es-ES"/>
        </w:rPr>
        <w:t>oficiales competentes. En particular, se prestará especial atención al tratamiento de los préstamos.</w:t>
      </w:r>
    </w:p>
    <w:p w14:paraId="267F56AC" w14:textId="77777777" w:rsidR="00C23011" w:rsidRPr="00C23011" w:rsidRDefault="00C23011" w:rsidP="00C23011">
      <w:pPr>
        <w:pStyle w:val="NORMAL12"/>
        <w:rPr>
          <w:lang w:val="es-ES"/>
        </w:rPr>
      </w:pPr>
      <w:r w:rsidRPr="00C23011">
        <w:rPr>
          <w:lang w:val="es-ES"/>
        </w:rPr>
        <w:t>También serán de cuenta del Contratista la reparación de los desperfectos que puedan producirse en los taludes de excavación durante el tiempo transcurrido desde su ejecución hasta la recepción de la obra (salvo que se trate de un problema de estabilidad como consecuencia de que el material tiene una resistencia inferior a la prevista al diseñar el talud).</w:t>
      </w:r>
    </w:p>
    <w:p w14:paraId="7E2CC931" w14:textId="77777777" w:rsidR="00C23011" w:rsidRPr="00C23011" w:rsidRDefault="00C23011" w:rsidP="00C23011">
      <w:pPr>
        <w:pStyle w:val="NORMAL12"/>
        <w:rPr>
          <w:lang w:val="es-ES"/>
        </w:rPr>
      </w:pPr>
      <w:r w:rsidRPr="00C23011">
        <w:rPr>
          <w:lang w:val="es-ES"/>
        </w:rPr>
        <w:t>No se debe desmontar</w:t>
      </w:r>
      <w:r w:rsidR="002C2C6E">
        <w:rPr>
          <w:lang w:val="es-ES"/>
        </w:rPr>
        <w:t xml:space="preserve"> </w:t>
      </w:r>
      <w:r w:rsidRPr="00C23011">
        <w:rPr>
          <w:lang w:val="es-ES"/>
        </w:rPr>
        <w:t xml:space="preserve">una profundidad superior a la indicada en Planos para el </w:t>
      </w:r>
      <w:r w:rsidR="002C2C6E">
        <w:rPr>
          <w:lang w:val="es-ES"/>
        </w:rPr>
        <w:t>fondo de excavación, salvo que la</w:t>
      </w:r>
      <w:r w:rsidRPr="00C23011">
        <w:rPr>
          <w:lang w:val="es-ES"/>
        </w:rPr>
        <w:t xml:space="preserve"> deficiente calidad del material requiera la sustitución de un cierto espesor, en cuyo caso esta excavación tendrá el mismo tratamiento y abono que el resto del desmonte. Salvo este caso, el terraplenado necesario para restituir la superficie indicada en los Planos, debe ejecutarse a costa del Contratista, siguiendo </w:t>
      </w:r>
      <w:r w:rsidR="002C2C6E">
        <w:rPr>
          <w:lang w:val="es-ES"/>
        </w:rPr>
        <w:t xml:space="preserve">las </w:t>
      </w:r>
      <w:r w:rsidRPr="00C23011">
        <w:rPr>
          <w:lang w:val="es-ES"/>
        </w:rPr>
        <w:t xml:space="preserve">instrucciones que reciba del </w:t>
      </w:r>
      <w:proofErr w:type="gramStart"/>
      <w:r w:rsidRPr="00C23011">
        <w:rPr>
          <w:lang w:val="es-ES"/>
        </w:rPr>
        <w:t>Director</w:t>
      </w:r>
      <w:proofErr w:type="gramEnd"/>
      <w:r w:rsidRPr="00C23011">
        <w:rPr>
          <w:lang w:val="es-ES"/>
        </w:rPr>
        <w:t xml:space="preserve"> de Obra.</w:t>
      </w:r>
    </w:p>
    <w:p w14:paraId="172F4C4C" w14:textId="77777777" w:rsidR="00C23011" w:rsidRPr="00C23011" w:rsidRDefault="00C23011" w:rsidP="00C23011">
      <w:pPr>
        <w:pStyle w:val="NORMAL12"/>
        <w:rPr>
          <w:lang w:val="es-ES"/>
        </w:rPr>
      </w:pPr>
      <w:r w:rsidRPr="00C23011">
        <w:rPr>
          <w:lang w:val="es-ES"/>
        </w:rPr>
        <w:t>El acabado y perfilado de los taludes se hará por alturas parciales no mayores de tres metros (3 m).</w:t>
      </w:r>
    </w:p>
    <w:p w14:paraId="0C8EBDE1" w14:textId="77777777" w:rsidR="00C23011" w:rsidRPr="00C23011" w:rsidRDefault="00C23011" w:rsidP="00C23011">
      <w:pPr>
        <w:pStyle w:val="NORMAL12"/>
        <w:rPr>
          <w:lang w:val="es-ES"/>
        </w:rPr>
      </w:pPr>
      <w:r w:rsidRPr="00C23011">
        <w:rPr>
          <w:lang w:val="es-ES"/>
        </w:rPr>
        <w:t xml:space="preserve">El Contratista ha de asegurar la estabilidad de los taludes y paredes de todas las excavaciones que realice, y aplicar oportunamente los medios de sostenimiento, apuntalamiento, refuerzo, y protección superficial que requiera el terreno, con la finalidad de impedir desprendimientos y deslizamientos que puedan ocasionar daños a personas o a las obras, aunque tales medios no estuvieran definidos en el proyecto, ni hubieran estado ordenados por el </w:t>
      </w:r>
      <w:proofErr w:type="gramStart"/>
      <w:r w:rsidRPr="00C23011">
        <w:rPr>
          <w:lang w:val="es-ES"/>
        </w:rPr>
        <w:t>Director</w:t>
      </w:r>
      <w:proofErr w:type="gramEnd"/>
      <w:r w:rsidRPr="00C23011">
        <w:rPr>
          <w:lang w:val="es-ES"/>
        </w:rPr>
        <w:t xml:space="preserve"> de Obra.</w:t>
      </w:r>
    </w:p>
    <w:p w14:paraId="5B17120A" w14:textId="77777777" w:rsidR="00C23011" w:rsidRPr="00C23011" w:rsidRDefault="00C23011" w:rsidP="00C23011">
      <w:pPr>
        <w:pStyle w:val="NORMAL12"/>
        <w:rPr>
          <w:lang w:val="es-ES"/>
        </w:rPr>
      </w:pPr>
      <w:r w:rsidRPr="00C23011">
        <w:rPr>
          <w:lang w:val="es-ES"/>
        </w:rPr>
        <w:t xml:space="preserve">El Contratista ha de presentar al </w:t>
      </w:r>
      <w:proofErr w:type="gramStart"/>
      <w:r w:rsidRPr="00C23011">
        <w:rPr>
          <w:lang w:val="es-ES"/>
        </w:rPr>
        <w:t>Director</w:t>
      </w:r>
      <w:proofErr w:type="gramEnd"/>
      <w:r w:rsidRPr="00C23011">
        <w:rPr>
          <w:lang w:val="es-ES"/>
        </w:rPr>
        <w:t xml:space="preserve"> </w:t>
      </w:r>
      <w:r w:rsidR="00CE424A" w:rsidRPr="00C23011">
        <w:rPr>
          <w:lang w:val="es-ES"/>
        </w:rPr>
        <w:t>de Obra</w:t>
      </w:r>
      <w:r w:rsidRPr="00C23011">
        <w:rPr>
          <w:lang w:val="es-ES"/>
        </w:rPr>
        <w:t xml:space="preserve">, cuando éste lo requiera, los planos y los cálculos justificativos del apuntalamiento y de cualquier otro tipo de sostenimiento. El </w:t>
      </w:r>
      <w:proofErr w:type="gramStart"/>
      <w:r w:rsidRPr="00C23011">
        <w:rPr>
          <w:lang w:val="es-ES"/>
        </w:rPr>
        <w:t>Director</w:t>
      </w:r>
      <w:proofErr w:type="gramEnd"/>
      <w:r w:rsidRPr="00C23011">
        <w:rPr>
          <w:lang w:val="es-ES"/>
        </w:rPr>
        <w:t xml:space="preserve"> de la obra puede ordenar el aumento de la capacidad resistente o de la flexibilidad del apuntalamiento si lo estimase necesario, sin que por esto quedara el Contratista eximido de su propia responsabilidad, habiéndose de realizar a su costa cualquier refuerzo o sustitución.</w:t>
      </w:r>
    </w:p>
    <w:p w14:paraId="1F1BF768" w14:textId="77777777" w:rsidR="00C23011" w:rsidRPr="00C23011" w:rsidRDefault="00C23011" w:rsidP="00C23011">
      <w:pPr>
        <w:pStyle w:val="NORMAL12"/>
        <w:rPr>
          <w:lang w:val="es-ES"/>
        </w:rPr>
      </w:pPr>
      <w:r w:rsidRPr="00C23011">
        <w:rPr>
          <w:lang w:val="es-ES"/>
        </w:rPr>
        <w:t xml:space="preserve">El Contratista será el responsable, en cualquier caso, de los perjuicios que se deriven de la falta de apuntalamiento, sostenimientos, o de su incorrecta ejecución y estará obligado a mantener una permanente vigilancia de su </w:t>
      </w:r>
      <w:proofErr w:type="gramStart"/>
      <w:r w:rsidRPr="00C23011">
        <w:rPr>
          <w:lang w:val="es-ES"/>
        </w:rPr>
        <w:t>comportamiento</w:t>
      </w:r>
      <w:proofErr w:type="gramEnd"/>
      <w:r w:rsidRPr="00C23011">
        <w:rPr>
          <w:lang w:val="es-ES"/>
        </w:rPr>
        <w:t xml:space="preserve"> así como a reforzarlos o sustituirlos si fuera necesario.</w:t>
      </w:r>
    </w:p>
    <w:p w14:paraId="0EEF083B" w14:textId="77777777" w:rsidR="00C23011" w:rsidRPr="00C23011" w:rsidRDefault="00C23011" w:rsidP="00C23011">
      <w:pPr>
        <w:pStyle w:val="NORMAL12"/>
        <w:rPr>
          <w:lang w:val="es-ES"/>
        </w:rPr>
      </w:pPr>
      <w:r w:rsidRPr="00C23011">
        <w:rPr>
          <w:lang w:val="es-ES"/>
        </w:rPr>
        <w:lastRenderedPageBreak/>
        <w:t>Cuando los taludes excavados tengan zonas inestables o el fondo de la excavación presente cavidades que puedan retener el agua, el Contratista ha de adoptar las medidas de corrección necesarias.</w:t>
      </w:r>
    </w:p>
    <w:p w14:paraId="031B82CC" w14:textId="77777777" w:rsidR="00C23011" w:rsidRPr="00C23011" w:rsidRDefault="00C23011" w:rsidP="00C23011">
      <w:pPr>
        <w:pStyle w:val="NORMAL12"/>
        <w:rPr>
          <w:lang w:val="es-ES"/>
        </w:rPr>
      </w:pPr>
      <w:r w:rsidRPr="00C23011">
        <w:rPr>
          <w:lang w:val="es-ES"/>
        </w:rPr>
        <w:t xml:space="preserve">El fondo de la excavación se ha de nivelar, rellenando los excesos de excavación con material adecuado, debidamente compactado, hasta conseguir la rasante determinada, permitiéndose unas tolerancias respecto a la cota teórica de más menos cinco centímetros (± 5 cm) en caso de tratarse de suelos y en más cero o menos veinte centímetros (+0 y </w:t>
      </w:r>
      <w:r w:rsidRPr="00C23011">
        <w:rPr>
          <w:lang w:val="es-ES"/>
        </w:rPr>
        <w:noBreakHyphen/>
        <w:t>20 cm) en caso de tratarse de roca.</w:t>
      </w:r>
    </w:p>
    <w:p w14:paraId="51758AE6" w14:textId="77777777" w:rsidR="00C23011" w:rsidRPr="00C23011" w:rsidRDefault="00C23011" w:rsidP="00C23011">
      <w:pPr>
        <w:pStyle w:val="NORMAL12"/>
        <w:rPr>
          <w:lang w:val="es-ES"/>
        </w:rPr>
      </w:pPr>
      <w:r w:rsidRPr="00C23011">
        <w:rPr>
          <w:lang w:val="es-ES"/>
        </w:rPr>
        <w:t xml:space="preserve">En el caso que los taludes de la excavación, realizados de acuerdo con los datos del Proyecto, resultaran inestables, el Contratista ha de solicitar del </w:t>
      </w:r>
      <w:proofErr w:type="gramStart"/>
      <w:r w:rsidRPr="00C23011">
        <w:rPr>
          <w:lang w:val="es-ES"/>
        </w:rPr>
        <w:t>Director</w:t>
      </w:r>
      <w:proofErr w:type="gramEnd"/>
      <w:r w:rsidRPr="00C23011">
        <w:rPr>
          <w:lang w:val="es-ES"/>
        </w:rPr>
        <w:t xml:space="preserve"> de la obra la definición del nuevo talud, sin que por esto resulte eximido de cuantas obligaciones y responsabilidades se expresen en este Pliego, tanto previamente como posteriormente a la excavación.</w:t>
      </w:r>
    </w:p>
    <w:p w14:paraId="255E7BA4" w14:textId="77777777" w:rsidR="00C23011" w:rsidRPr="00C23011" w:rsidRDefault="00C23011" w:rsidP="00C23011">
      <w:pPr>
        <w:pStyle w:val="NORMAL12"/>
        <w:rPr>
          <w:lang w:val="es-ES"/>
        </w:rPr>
      </w:pPr>
      <w:r w:rsidRPr="00C23011">
        <w:rPr>
          <w:lang w:val="es-ES"/>
        </w:rPr>
        <w:t xml:space="preserve">En el caso de que los taludes presenten desperfectos, el Contratista ha de eliminar los materiales desprendidos o movidos y realizará, urgentemente, las reparaciones complementarias necesarias. Si los citados desperfectos son imputables </w:t>
      </w:r>
      <w:proofErr w:type="gramStart"/>
      <w:r w:rsidRPr="00C23011">
        <w:rPr>
          <w:lang w:val="es-ES"/>
        </w:rPr>
        <w:t>a  una</w:t>
      </w:r>
      <w:proofErr w:type="gramEnd"/>
      <w:r w:rsidRPr="00C23011">
        <w:rPr>
          <w:lang w:val="es-ES"/>
        </w:rPr>
        <w:t xml:space="preserve"> ejecución inadecuada o a un incumplimiento de las instrucciones del </w:t>
      </w:r>
      <w:proofErr w:type="gramStart"/>
      <w:r w:rsidRPr="00C23011">
        <w:rPr>
          <w:lang w:val="es-ES"/>
        </w:rPr>
        <w:t>Director</w:t>
      </w:r>
      <w:proofErr w:type="gramEnd"/>
      <w:r w:rsidRPr="00C23011">
        <w:rPr>
          <w:lang w:val="es-ES"/>
        </w:rPr>
        <w:t xml:space="preserve"> de la obra, el Contratista será responsable de los daños ocasionados.</w:t>
      </w:r>
    </w:p>
    <w:p w14:paraId="34BA0424" w14:textId="77777777" w:rsidR="00C23011" w:rsidRPr="00C23011" w:rsidRDefault="00C23011" w:rsidP="00C23011">
      <w:pPr>
        <w:pStyle w:val="NORMAL12"/>
        <w:rPr>
          <w:lang w:val="es-ES"/>
        </w:rPr>
      </w:pPr>
      <w:r w:rsidRPr="00C23011">
        <w:rPr>
          <w:lang w:val="es-ES"/>
        </w:rPr>
        <w:t>El Contratista ha de adoptar todas las precauciones para realizar los trabajos con la máxima seguridad para el personal y para evitar daños a terceros, en especial en las inmediaciones de construcciones existentes, siempre de acuerdo con la Legislación Vigente, incluso cuando no fuera expresamente requerido para esto por el personal encargado de la inspección o vigilancia de las obras.</w:t>
      </w:r>
    </w:p>
    <w:p w14:paraId="5F3DB071" w14:textId="77777777" w:rsidR="00C23011" w:rsidRPr="00C23011" w:rsidRDefault="00C23011" w:rsidP="00C23011">
      <w:pPr>
        <w:pStyle w:val="NORMAL12"/>
        <w:rPr>
          <w:lang w:val="es-ES"/>
        </w:rPr>
      </w:pPr>
      <w:r w:rsidRPr="00C23011">
        <w:rPr>
          <w:lang w:val="es-ES"/>
        </w:rPr>
        <w:t>Se ha de acotar la zona de acción de cada máquina en su área de trabajo. Siempre que un vehículo o máquina pesada inicie un movimiento imprevisto, lo ha de anunciar con una señal acústica. Cuando sea marcha atrás o el conductor no tenga visibilidad, ha de ser auxiliado por un operario en el exterior del vehículo. Se han de extremar estas prevenciones cuando el vehículo o máquina cambie de área o se entrecrucen itinerarios.</w:t>
      </w:r>
    </w:p>
    <w:p w14:paraId="5CA6D74F" w14:textId="77777777" w:rsidR="00C23011" w:rsidRDefault="00C23011" w:rsidP="00C23011">
      <w:pPr>
        <w:pStyle w:val="NORMAL12"/>
        <w:rPr>
          <w:lang w:val="es-ES"/>
        </w:rPr>
      </w:pPr>
      <w:r w:rsidRPr="00C23011">
        <w:rPr>
          <w:lang w:val="es-ES"/>
        </w:rPr>
        <w:t xml:space="preserve">Cualquier tipo de maquinaria estacionada en la obra deberá estar adecuadamente señalizada y los desplazamientos de </w:t>
      </w:r>
      <w:proofErr w:type="gramStart"/>
      <w:r w:rsidRPr="00C23011">
        <w:rPr>
          <w:lang w:val="es-ES"/>
        </w:rPr>
        <w:t>la misma</w:t>
      </w:r>
      <w:proofErr w:type="gramEnd"/>
      <w:r w:rsidRPr="00C23011">
        <w:rPr>
          <w:lang w:val="es-ES"/>
        </w:rPr>
        <w:t xml:space="preserve"> deben de adaptarse al tráfico de la obra para que el estacionamiento o la circulación se produzcan en condiciones idóneas de seguridad.</w:t>
      </w:r>
    </w:p>
    <w:p w14:paraId="079EDFFF" w14:textId="77777777" w:rsidR="002F2FD6" w:rsidRDefault="002F2FD6" w:rsidP="004D4165">
      <w:pPr>
        <w:pStyle w:val="TITU3"/>
        <w:numPr>
          <w:ilvl w:val="0"/>
          <w:numId w:val="0"/>
        </w:numPr>
        <w:outlineLvl w:val="3"/>
      </w:pPr>
      <w:r>
        <w:t>320.3.9. Tolerancia geométrica de terminación de las obras</w:t>
      </w:r>
    </w:p>
    <w:p w14:paraId="7503FB7F" w14:textId="77777777" w:rsidR="002F2FD6" w:rsidRPr="00D75A5C" w:rsidRDefault="002F2FD6" w:rsidP="002F2FD6">
      <w:pPr>
        <w:pStyle w:val="NORMAL12"/>
        <w:rPr>
          <w:lang w:val="es-ES"/>
        </w:rPr>
      </w:pPr>
      <w:r w:rsidRPr="00D75A5C">
        <w:rPr>
          <w:lang w:val="es-ES"/>
        </w:rPr>
        <w:t>Se fijan las siguientes tolerancias:</w:t>
      </w:r>
    </w:p>
    <w:p w14:paraId="34D42A61" w14:textId="77777777" w:rsidR="002F2FD6" w:rsidRPr="00D75A5C" w:rsidRDefault="002F2FD6" w:rsidP="00221E1A">
      <w:pPr>
        <w:pStyle w:val="NORMAL12"/>
        <w:numPr>
          <w:ilvl w:val="0"/>
          <w:numId w:val="139"/>
        </w:numPr>
        <w:rPr>
          <w:lang w:val="es-ES"/>
        </w:rPr>
      </w:pPr>
      <w:r w:rsidRPr="00D75A5C">
        <w:rPr>
          <w:lang w:val="es-ES"/>
        </w:rPr>
        <w:t>La tolerancia máxima admisible, expresada en centímetros (cm) entre los planos o superficies de los taludes previstas en los planos y la realmente ejecutada, de</w:t>
      </w:r>
      <w:r w:rsidR="008562D1" w:rsidRPr="00D75A5C">
        <w:rPr>
          <w:lang w:val="es-ES"/>
        </w:rPr>
        <w:t>be ser inferior a cinco (5</w:t>
      </w:r>
      <w:r w:rsidRPr="00D75A5C">
        <w:rPr>
          <w:lang w:val="es-ES"/>
        </w:rPr>
        <w:t>) cm</w:t>
      </w:r>
      <w:r w:rsidR="008562D1" w:rsidRPr="00D75A5C">
        <w:rPr>
          <w:lang w:val="es-ES"/>
        </w:rPr>
        <w:t xml:space="preserve">, para valores mayores el contratista debe </w:t>
      </w:r>
      <w:proofErr w:type="spellStart"/>
      <w:r w:rsidR="008562D1" w:rsidRPr="00D75A5C">
        <w:rPr>
          <w:lang w:val="es-ES"/>
        </w:rPr>
        <w:t>reperfilar</w:t>
      </w:r>
      <w:proofErr w:type="spellEnd"/>
      <w:r w:rsidR="008562D1" w:rsidRPr="00D75A5C">
        <w:rPr>
          <w:lang w:val="es-ES"/>
        </w:rPr>
        <w:t xml:space="preserve"> el talud.</w:t>
      </w:r>
    </w:p>
    <w:p w14:paraId="4A6A8CCD" w14:textId="77777777" w:rsidR="008562D1" w:rsidRPr="00D75A5C" w:rsidRDefault="008562D1" w:rsidP="00221E1A">
      <w:pPr>
        <w:pStyle w:val="NORMAL12"/>
        <w:numPr>
          <w:ilvl w:val="0"/>
          <w:numId w:val="139"/>
        </w:numPr>
        <w:rPr>
          <w:lang w:val="es-ES"/>
        </w:rPr>
      </w:pPr>
      <w:r w:rsidRPr="00D75A5C">
        <w:rPr>
          <w:lang w:val="es-ES"/>
        </w:rPr>
        <w:t>La tolerancia máxima admisible en pendientes y fondos de cuneta, así como de su situación en planta, expresada en (cm) sobre los planos previstos en el proyecto y los realmente ejecutado</w:t>
      </w:r>
      <w:r w:rsidR="00D80CBD" w:rsidRPr="00D75A5C">
        <w:rPr>
          <w:lang w:val="es-ES"/>
        </w:rPr>
        <w:t xml:space="preserve"> debe ser inferior a tres (3) cm, para valores mayores el contratista debe </w:t>
      </w:r>
      <w:proofErr w:type="spellStart"/>
      <w:r w:rsidR="00D80CBD" w:rsidRPr="00D75A5C">
        <w:rPr>
          <w:lang w:val="es-ES"/>
        </w:rPr>
        <w:t>reperfilar</w:t>
      </w:r>
      <w:proofErr w:type="spellEnd"/>
      <w:r w:rsidR="00D80CBD" w:rsidRPr="00D75A5C">
        <w:rPr>
          <w:lang w:val="es-ES"/>
        </w:rPr>
        <w:t xml:space="preserve"> la cuneta.</w:t>
      </w:r>
    </w:p>
    <w:p w14:paraId="74A86BD6" w14:textId="77777777" w:rsidR="00D80CBD" w:rsidRPr="00D75A5C" w:rsidRDefault="00D80CBD" w:rsidP="00221E1A">
      <w:pPr>
        <w:pStyle w:val="NORMAL12"/>
        <w:numPr>
          <w:ilvl w:val="0"/>
          <w:numId w:val="139"/>
        </w:numPr>
        <w:rPr>
          <w:lang w:val="es-ES"/>
        </w:rPr>
      </w:pPr>
      <w:r w:rsidRPr="00D75A5C">
        <w:rPr>
          <w:lang w:val="es-ES"/>
        </w:rPr>
        <w:t xml:space="preserve">La tolerancia máxima admisible en drenajes, tanto en pendientes y fondos de </w:t>
      </w:r>
      <w:proofErr w:type="gramStart"/>
      <w:r w:rsidRPr="00D75A5C">
        <w:rPr>
          <w:lang w:val="es-ES"/>
        </w:rPr>
        <w:t>los mismos</w:t>
      </w:r>
      <w:proofErr w:type="gramEnd"/>
      <w:r w:rsidRPr="00D75A5C">
        <w:rPr>
          <w:lang w:val="es-ES"/>
        </w:rPr>
        <w:t xml:space="preserve"> como en planta, expresada en (cm) sobre los planos previstos en el proyecto y los realmente ejecutado debe ser inferior a un (1) cm, para valores mayores el contratista debe </w:t>
      </w:r>
      <w:proofErr w:type="gramStart"/>
      <w:r w:rsidRPr="00D75A5C">
        <w:rPr>
          <w:lang w:val="es-ES"/>
        </w:rPr>
        <w:t>proceder a rectificar</w:t>
      </w:r>
      <w:proofErr w:type="gramEnd"/>
      <w:r w:rsidRPr="00D75A5C">
        <w:rPr>
          <w:lang w:val="es-ES"/>
        </w:rPr>
        <w:t xml:space="preserve"> el drenaje. </w:t>
      </w:r>
    </w:p>
    <w:p w14:paraId="7C3DE900" w14:textId="77777777" w:rsidR="00E43FA5" w:rsidRDefault="00E43FA5" w:rsidP="000313DD">
      <w:pPr>
        <w:pStyle w:val="TITU2"/>
      </w:pPr>
      <w:bookmarkStart w:id="393" w:name="_Toc404186"/>
      <w:r w:rsidRPr="005864C2">
        <w:t>320.4. Medición y abono</w:t>
      </w:r>
      <w:bookmarkEnd w:id="393"/>
    </w:p>
    <w:p w14:paraId="6E20935E" w14:textId="77777777" w:rsidR="00C23011" w:rsidRPr="00C23011" w:rsidRDefault="00C23011" w:rsidP="00C23011">
      <w:pPr>
        <w:pStyle w:val="NORMAL12"/>
        <w:rPr>
          <w:lang w:val="es-ES"/>
        </w:rPr>
      </w:pPr>
      <w:r>
        <w:rPr>
          <w:lang w:val="es-ES"/>
        </w:rPr>
        <w:t xml:space="preserve">La medición y abono de la </w:t>
      </w:r>
      <w:r w:rsidRPr="00C23011">
        <w:rPr>
          <w:lang w:val="es-ES"/>
        </w:rPr>
        <w:t xml:space="preserve">excavación </w:t>
      </w:r>
      <w:r>
        <w:rPr>
          <w:lang w:val="es-ES"/>
        </w:rPr>
        <w:t xml:space="preserve">no clasificada </w:t>
      </w:r>
      <w:r w:rsidRPr="00C23011">
        <w:rPr>
          <w:lang w:val="es-ES"/>
        </w:rPr>
        <w:t>de la explanación se</w:t>
      </w:r>
      <w:r>
        <w:rPr>
          <w:lang w:val="es-ES"/>
        </w:rPr>
        <w:t xml:space="preserve"> realizará según las especificaciones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8"/>
        <w:gridCol w:w="7720"/>
      </w:tblGrid>
      <w:tr w:rsidR="00C23011" w:rsidRPr="000C08BE" w14:paraId="7513CF31" w14:textId="77777777" w:rsidTr="00693EA3">
        <w:trPr>
          <w:cantSplit/>
        </w:trPr>
        <w:tc>
          <w:tcPr>
            <w:tcW w:w="0" w:type="auto"/>
            <w:vAlign w:val="center"/>
          </w:tcPr>
          <w:p w14:paraId="72C26C6A" w14:textId="77777777" w:rsidR="00C23011" w:rsidRPr="00951171" w:rsidRDefault="00C23011" w:rsidP="00C23011">
            <w:pPr>
              <w:pStyle w:val="LCATabla"/>
              <w:jc w:val="center"/>
              <w:rPr>
                <w:rFonts w:ascii="Arial" w:hAnsi="Arial" w:cs="Arial"/>
                <w:b/>
                <w:bCs/>
                <w:sz w:val="20"/>
              </w:rPr>
            </w:pPr>
            <w:r w:rsidRPr="00951171">
              <w:rPr>
                <w:rFonts w:ascii="Arial" w:hAnsi="Arial" w:cs="Arial"/>
                <w:b/>
                <w:bCs/>
                <w:sz w:val="20"/>
              </w:rPr>
              <w:t>Unidad de medida</w:t>
            </w:r>
          </w:p>
        </w:tc>
        <w:tc>
          <w:tcPr>
            <w:tcW w:w="0" w:type="auto"/>
            <w:vAlign w:val="center"/>
          </w:tcPr>
          <w:p w14:paraId="27C614AC" w14:textId="77777777" w:rsidR="00C23011" w:rsidRPr="00951171" w:rsidRDefault="00C23011" w:rsidP="00552D4A">
            <w:pPr>
              <w:pStyle w:val="LCATabla"/>
              <w:jc w:val="both"/>
              <w:rPr>
                <w:rFonts w:ascii="Arial" w:hAnsi="Arial" w:cs="Arial"/>
                <w:sz w:val="20"/>
              </w:rPr>
            </w:pPr>
            <w:r w:rsidRPr="00951171">
              <w:rPr>
                <w:rFonts w:ascii="Arial" w:hAnsi="Arial" w:cs="Arial"/>
                <w:sz w:val="20"/>
              </w:rPr>
              <w:t>Metro cúbico (m</w:t>
            </w:r>
            <w:r w:rsidRPr="00140246">
              <w:rPr>
                <w:rFonts w:ascii="Arial" w:hAnsi="Arial" w:cs="Arial"/>
                <w:sz w:val="20"/>
                <w:vertAlign w:val="superscript"/>
              </w:rPr>
              <w:t>3</w:t>
            </w:r>
            <w:r w:rsidRPr="00951171">
              <w:rPr>
                <w:rFonts w:ascii="Arial" w:hAnsi="Arial" w:cs="Arial"/>
                <w:sz w:val="20"/>
              </w:rPr>
              <w:t>)</w:t>
            </w:r>
          </w:p>
        </w:tc>
      </w:tr>
      <w:tr w:rsidR="00C23011" w:rsidRPr="000C08BE" w14:paraId="1C4A300B" w14:textId="77777777" w:rsidTr="00693EA3">
        <w:trPr>
          <w:cantSplit/>
        </w:trPr>
        <w:tc>
          <w:tcPr>
            <w:tcW w:w="0" w:type="auto"/>
            <w:vAlign w:val="center"/>
          </w:tcPr>
          <w:p w14:paraId="14007A4C" w14:textId="77777777" w:rsidR="00C23011" w:rsidRPr="00951171" w:rsidRDefault="00C23011" w:rsidP="00C23011">
            <w:pPr>
              <w:pStyle w:val="LCATabla"/>
              <w:jc w:val="center"/>
              <w:rPr>
                <w:rFonts w:ascii="Arial" w:hAnsi="Arial" w:cs="Arial"/>
                <w:b/>
                <w:bCs/>
                <w:sz w:val="20"/>
              </w:rPr>
            </w:pPr>
            <w:r w:rsidRPr="00951171">
              <w:rPr>
                <w:rFonts w:ascii="Arial" w:hAnsi="Arial" w:cs="Arial"/>
                <w:b/>
                <w:bCs/>
                <w:sz w:val="20"/>
              </w:rPr>
              <w:t>Grado de precisión</w:t>
            </w:r>
          </w:p>
        </w:tc>
        <w:tc>
          <w:tcPr>
            <w:tcW w:w="0" w:type="auto"/>
            <w:vAlign w:val="center"/>
          </w:tcPr>
          <w:p w14:paraId="716073DF" w14:textId="77777777" w:rsidR="00C23011" w:rsidRPr="00951171" w:rsidRDefault="00C23011" w:rsidP="00552D4A">
            <w:pPr>
              <w:pStyle w:val="LCATabla"/>
              <w:jc w:val="both"/>
              <w:rPr>
                <w:rFonts w:ascii="Arial" w:hAnsi="Arial" w:cs="Arial"/>
                <w:sz w:val="20"/>
              </w:rPr>
            </w:pPr>
            <w:r w:rsidRPr="00951171">
              <w:rPr>
                <w:rFonts w:ascii="Arial" w:hAnsi="Arial" w:cs="Arial"/>
                <w:sz w:val="20"/>
              </w:rPr>
              <w:t>Dos (2) decimales</w:t>
            </w:r>
          </w:p>
        </w:tc>
      </w:tr>
      <w:tr w:rsidR="00C23011" w:rsidRPr="000C08BE" w14:paraId="7CFAF05F" w14:textId="77777777" w:rsidTr="00693EA3">
        <w:trPr>
          <w:cantSplit/>
        </w:trPr>
        <w:tc>
          <w:tcPr>
            <w:tcW w:w="0" w:type="auto"/>
            <w:vAlign w:val="center"/>
          </w:tcPr>
          <w:p w14:paraId="6521DD8D" w14:textId="77777777" w:rsidR="00C23011" w:rsidRPr="00951171" w:rsidRDefault="00C23011" w:rsidP="00C23011">
            <w:pPr>
              <w:pStyle w:val="LCATabla"/>
              <w:jc w:val="center"/>
              <w:rPr>
                <w:rFonts w:ascii="Arial" w:hAnsi="Arial" w:cs="Arial"/>
                <w:b/>
                <w:bCs/>
                <w:sz w:val="20"/>
              </w:rPr>
            </w:pPr>
            <w:r w:rsidRPr="00951171">
              <w:rPr>
                <w:rFonts w:ascii="Arial" w:hAnsi="Arial" w:cs="Arial"/>
                <w:b/>
                <w:bCs/>
                <w:sz w:val="20"/>
              </w:rPr>
              <w:t>Forma de medición</w:t>
            </w:r>
          </w:p>
        </w:tc>
        <w:tc>
          <w:tcPr>
            <w:tcW w:w="0" w:type="auto"/>
            <w:vAlign w:val="center"/>
          </w:tcPr>
          <w:p w14:paraId="5F3D55F8" w14:textId="77777777" w:rsidR="00C23011" w:rsidRPr="00951171" w:rsidRDefault="00C23011" w:rsidP="00552D4A">
            <w:pPr>
              <w:pStyle w:val="LCATabla"/>
              <w:jc w:val="both"/>
              <w:rPr>
                <w:rFonts w:ascii="Arial" w:hAnsi="Arial" w:cs="Arial"/>
                <w:sz w:val="20"/>
              </w:rPr>
            </w:pPr>
            <w:r w:rsidRPr="00951171">
              <w:rPr>
                <w:rFonts w:ascii="Arial" w:hAnsi="Arial" w:cs="Arial"/>
                <w:sz w:val="20"/>
              </w:rPr>
              <w:t>Diferencia entre los perfiles reales del terreno antes de comenzar los trabajos y los teóricos que resultan de aplicar las secciones definidas en los Planos.</w:t>
            </w:r>
          </w:p>
          <w:p w14:paraId="4F17EC93" w14:textId="77777777" w:rsidR="00C23011" w:rsidRPr="00951171" w:rsidRDefault="00C23011" w:rsidP="00552D4A">
            <w:pPr>
              <w:pStyle w:val="LCATabla"/>
              <w:jc w:val="both"/>
              <w:rPr>
                <w:rFonts w:ascii="Arial" w:hAnsi="Arial" w:cs="Arial"/>
                <w:sz w:val="20"/>
              </w:rPr>
            </w:pPr>
            <w:r w:rsidRPr="00951171">
              <w:rPr>
                <w:rFonts w:ascii="Arial" w:hAnsi="Arial" w:cs="Arial"/>
                <w:sz w:val="20"/>
              </w:rPr>
              <w:t>El volumen de excavación necesario para el escalonado de los terraplenes, allí donde se ejecuten nuevos terraplenes adosados a los existentes, se obtendrán por diferencia del perfil original del terreno y el perfil teórico del talud escalonado previsto.</w:t>
            </w:r>
          </w:p>
          <w:p w14:paraId="63DBA94E" w14:textId="77777777" w:rsidR="00C23011" w:rsidRPr="00951171" w:rsidRDefault="00C23011" w:rsidP="00552D4A">
            <w:pPr>
              <w:pStyle w:val="LCATabla"/>
              <w:jc w:val="both"/>
              <w:rPr>
                <w:rFonts w:ascii="Arial" w:hAnsi="Arial" w:cs="Arial"/>
                <w:sz w:val="20"/>
              </w:rPr>
            </w:pPr>
            <w:r w:rsidRPr="00951171">
              <w:rPr>
                <w:rFonts w:ascii="Arial" w:hAnsi="Arial" w:cs="Arial"/>
                <w:sz w:val="20"/>
              </w:rPr>
              <w:t>La excavación en préstamos no es objeto de medición y abono independiente, considerándose repercutida en el precio del relleno correspondiente</w:t>
            </w:r>
          </w:p>
        </w:tc>
      </w:tr>
      <w:tr w:rsidR="00C23011" w:rsidRPr="000C08BE" w14:paraId="44D0D277" w14:textId="77777777" w:rsidTr="00693EA3">
        <w:trPr>
          <w:cantSplit/>
        </w:trPr>
        <w:tc>
          <w:tcPr>
            <w:tcW w:w="0" w:type="auto"/>
            <w:vAlign w:val="center"/>
          </w:tcPr>
          <w:p w14:paraId="41E460F3" w14:textId="77777777" w:rsidR="00C23011" w:rsidRPr="00951171" w:rsidRDefault="00C23011" w:rsidP="00C23011">
            <w:pPr>
              <w:pStyle w:val="LCATabla"/>
              <w:jc w:val="center"/>
              <w:rPr>
                <w:rFonts w:ascii="Arial" w:hAnsi="Arial" w:cs="Arial"/>
                <w:b/>
                <w:bCs/>
                <w:sz w:val="20"/>
              </w:rPr>
            </w:pPr>
            <w:r w:rsidRPr="00951171">
              <w:rPr>
                <w:rFonts w:ascii="Arial" w:hAnsi="Arial" w:cs="Arial"/>
                <w:b/>
                <w:bCs/>
                <w:sz w:val="20"/>
              </w:rPr>
              <w:t>Abono</w:t>
            </w:r>
          </w:p>
        </w:tc>
        <w:tc>
          <w:tcPr>
            <w:tcW w:w="0" w:type="auto"/>
            <w:vAlign w:val="center"/>
          </w:tcPr>
          <w:p w14:paraId="71682E9B" w14:textId="77777777" w:rsidR="00C23011" w:rsidRPr="00951171" w:rsidRDefault="00C23011" w:rsidP="00552D4A">
            <w:pPr>
              <w:pStyle w:val="LCATabla"/>
              <w:jc w:val="both"/>
              <w:rPr>
                <w:rFonts w:ascii="Arial" w:hAnsi="Arial" w:cs="Arial"/>
                <w:sz w:val="20"/>
              </w:rPr>
            </w:pPr>
            <w:r w:rsidRPr="00951171">
              <w:rPr>
                <w:rFonts w:ascii="Arial" w:hAnsi="Arial" w:cs="Arial"/>
                <w:sz w:val="20"/>
              </w:rPr>
              <w:t>Se efectuará cuando se realice la aceptación</w:t>
            </w:r>
          </w:p>
        </w:tc>
      </w:tr>
      <w:tr w:rsidR="00C23011" w:rsidRPr="000C08BE" w14:paraId="7C2478A1" w14:textId="77777777" w:rsidTr="00693EA3">
        <w:trPr>
          <w:cantSplit/>
        </w:trPr>
        <w:tc>
          <w:tcPr>
            <w:tcW w:w="0" w:type="auto"/>
            <w:vAlign w:val="center"/>
          </w:tcPr>
          <w:p w14:paraId="1A26F746" w14:textId="77777777" w:rsidR="00C23011" w:rsidRPr="00951171" w:rsidRDefault="00C23011" w:rsidP="00C23011">
            <w:pPr>
              <w:pStyle w:val="LCATabla"/>
              <w:jc w:val="center"/>
              <w:rPr>
                <w:rFonts w:ascii="Arial" w:hAnsi="Arial" w:cs="Arial"/>
                <w:b/>
                <w:bCs/>
                <w:sz w:val="20"/>
              </w:rPr>
            </w:pPr>
            <w:r w:rsidRPr="00951171">
              <w:rPr>
                <w:rFonts w:ascii="Arial" w:hAnsi="Arial" w:cs="Arial"/>
                <w:b/>
                <w:bCs/>
                <w:sz w:val="20"/>
              </w:rPr>
              <w:t>Criterios complementarios</w:t>
            </w:r>
          </w:p>
        </w:tc>
        <w:tc>
          <w:tcPr>
            <w:tcW w:w="0" w:type="auto"/>
            <w:vAlign w:val="center"/>
          </w:tcPr>
          <w:p w14:paraId="63E8FC50" w14:textId="77777777" w:rsidR="00C23011" w:rsidRPr="00951171" w:rsidRDefault="00C23011" w:rsidP="00552D4A">
            <w:pPr>
              <w:pStyle w:val="LCATabla"/>
              <w:jc w:val="both"/>
              <w:rPr>
                <w:rFonts w:ascii="Arial" w:hAnsi="Arial" w:cs="Arial"/>
                <w:sz w:val="20"/>
              </w:rPr>
            </w:pPr>
            <w:r w:rsidRPr="00951171">
              <w:rPr>
                <w:rFonts w:ascii="Arial" w:hAnsi="Arial" w:cs="Arial"/>
                <w:sz w:val="20"/>
              </w:rPr>
              <w:t>Se especifican en los párrafos siguientes</w:t>
            </w:r>
          </w:p>
        </w:tc>
      </w:tr>
    </w:tbl>
    <w:p w14:paraId="1E34A416" w14:textId="77777777" w:rsidR="00C23011" w:rsidRPr="000C08BE" w:rsidRDefault="00C23011" w:rsidP="00C23011">
      <w:pPr>
        <w:rPr>
          <w:color w:val="548DD4" w:themeColor="text2" w:themeTint="99"/>
        </w:rPr>
      </w:pPr>
    </w:p>
    <w:p w14:paraId="6487B389" w14:textId="77777777" w:rsidR="00C23011" w:rsidRPr="00C23011" w:rsidRDefault="00552D4A" w:rsidP="00E01981">
      <w:pPr>
        <w:pStyle w:val="NORMAL12"/>
        <w:numPr>
          <w:ilvl w:val="0"/>
          <w:numId w:val="90"/>
        </w:numPr>
        <w:rPr>
          <w:lang w:val="es-ES"/>
        </w:rPr>
      </w:pPr>
      <w:r>
        <w:rPr>
          <w:lang w:val="es-ES"/>
        </w:rPr>
        <w:br w:type="column"/>
      </w:r>
      <w:r w:rsidR="00C23011" w:rsidRPr="00C23011">
        <w:rPr>
          <w:lang w:val="es-ES"/>
        </w:rPr>
        <w:lastRenderedPageBreak/>
        <w:t>La excavación del escalonado de los terraplenes existentes se mide en m</w:t>
      </w:r>
      <w:r w:rsidR="00C23011" w:rsidRPr="00DA6636">
        <w:rPr>
          <w:vertAlign w:val="superscript"/>
          <w:lang w:val="es-ES"/>
        </w:rPr>
        <w:t>3</w:t>
      </w:r>
      <w:r w:rsidR="00C23011" w:rsidRPr="00C23011">
        <w:rPr>
          <w:lang w:val="es-ES"/>
        </w:rPr>
        <w:t xml:space="preserve"> y se abona al precio de excavación no clasificada en desmonte que nos ocupa.</w:t>
      </w:r>
    </w:p>
    <w:p w14:paraId="44FF7CEA" w14:textId="77777777" w:rsidR="00C23011" w:rsidRPr="00C23011" w:rsidRDefault="00C23011" w:rsidP="00E01981">
      <w:pPr>
        <w:pStyle w:val="NORMAL12"/>
        <w:numPr>
          <w:ilvl w:val="0"/>
          <w:numId w:val="90"/>
        </w:numPr>
        <w:rPr>
          <w:lang w:val="es-ES"/>
        </w:rPr>
      </w:pPr>
      <w:r w:rsidRPr="00C23011">
        <w:rPr>
          <w:lang w:val="es-ES"/>
        </w:rPr>
        <w:t xml:space="preserve">No se abonarán los excesos de excavación sobre dichas secciones tipo que no sean expresamente autorizados por el </w:t>
      </w:r>
      <w:proofErr w:type="gramStart"/>
      <w:r w:rsidRPr="00C23011">
        <w:rPr>
          <w:lang w:val="es-ES"/>
        </w:rPr>
        <w:t>Director</w:t>
      </w:r>
      <w:proofErr w:type="gramEnd"/>
      <w:r w:rsidRPr="00C23011">
        <w:rPr>
          <w:lang w:val="es-ES"/>
        </w:rPr>
        <w:t xml:space="preserve"> de la obra, ni los rellenos compactados que fueran precisos para reconstruir la sección tipo teórica en el caso de que la profundidad de la excavación fuese mayor de la necesaria.</w:t>
      </w:r>
    </w:p>
    <w:p w14:paraId="1867F74D" w14:textId="77777777" w:rsidR="00C23011" w:rsidRPr="00C23011" w:rsidRDefault="00C23011" w:rsidP="00E01981">
      <w:pPr>
        <w:pStyle w:val="NORMAL12"/>
        <w:numPr>
          <w:ilvl w:val="0"/>
          <w:numId w:val="90"/>
        </w:numPr>
        <w:rPr>
          <w:lang w:val="es-ES"/>
        </w:rPr>
      </w:pPr>
      <w:r w:rsidRPr="00C23011">
        <w:rPr>
          <w:lang w:val="es-ES"/>
        </w:rPr>
        <w:t>Se considera incluido en el precio de excavación la protección, apuntalamiento o eventual desplazamiento, de forma provisional durante la fase de excavación, de los servicios existentes que pudieran quedar afectados por la misma.</w:t>
      </w:r>
    </w:p>
    <w:p w14:paraId="6786F3BA" w14:textId="77777777" w:rsidR="00C23011" w:rsidRPr="00C23011" w:rsidRDefault="00C23011" w:rsidP="00E01981">
      <w:pPr>
        <w:pStyle w:val="NORMAL12"/>
        <w:numPr>
          <w:ilvl w:val="0"/>
          <w:numId w:val="90"/>
        </w:numPr>
        <w:rPr>
          <w:lang w:val="es-ES"/>
        </w:rPr>
      </w:pPr>
      <w:r w:rsidRPr="00C23011">
        <w:rPr>
          <w:lang w:val="es-ES"/>
        </w:rPr>
        <w:t>No serán objeto de medición y abono por este artículo aquellas excavaciones que entren en unidades de obra como parte integrante de las mismas.</w:t>
      </w:r>
    </w:p>
    <w:p w14:paraId="3F410D99" w14:textId="77777777" w:rsidR="00C23011" w:rsidRPr="00C23011" w:rsidRDefault="00C23011" w:rsidP="00E01981">
      <w:pPr>
        <w:pStyle w:val="NORMAL12"/>
        <w:numPr>
          <w:ilvl w:val="0"/>
          <w:numId w:val="90"/>
        </w:numPr>
        <w:rPr>
          <w:lang w:val="es-ES"/>
        </w:rPr>
      </w:pPr>
      <w:r w:rsidRPr="00C23011">
        <w:rPr>
          <w:lang w:val="es-ES"/>
        </w:rPr>
        <w:t>Las operaciones de regularización de las caras finales de los taludes se consideran incluidos en el precio de la unidad de excavación no siendo objeto de medición y abono complementario.</w:t>
      </w:r>
    </w:p>
    <w:p w14:paraId="3DB3770E" w14:textId="77777777" w:rsidR="00C23011" w:rsidRPr="00C23011" w:rsidRDefault="00C23011" w:rsidP="00E01981">
      <w:pPr>
        <w:pStyle w:val="NORMAL12"/>
        <w:numPr>
          <w:ilvl w:val="0"/>
          <w:numId w:val="90"/>
        </w:numPr>
        <w:rPr>
          <w:lang w:val="es-ES"/>
        </w:rPr>
      </w:pPr>
      <w:r w:rsidRPr="00C23011">
        <w:rPr>
          <w:lang w:val="es-ES"/>
        </w:rPr>
        <w:t>Así mismo, se entenderá abonado en el precio el coste de las operaciones de machaqueo, clasificación, carga, transporte y cualquier otra necesaria para que los materiales excavados puedan ser utilizados para la formación de rellenos en las condiciones en este Pliego.</w:t>
      </w:r>
    </w:p>
    <w:p w14:paraId="28EB3113" w14:textId="77777777" w:rsidR="00C23011" w:rsidRPr="00C23011" w:rsidRDefault="00C23011" w:rsidP="00E01981">
      <w:pPr>
        <w:pStyle w:val="NORMAL12"/>
        <w:numPr>
          <w:ilvl w:val="0"/>
          <w:numId w:val="90"/>
        </w:numPr>
        <w:rPr>
          <w:lang w:val="es-ES"/>
        </w:rPr>
      </w:pPr>
      <w:r w:rsidRPr="00C23011">
        <w:rPr>
          <w:lang w:val="es-ES"/>
        </w:rPr>
        <w:t xml:space="preserve">En el precio de la unidad de excavación de explanación quedan incluidos el transporte a lugar de empleo o acopio, el canon de utilización, el canon de ocupación en el lugar de acopio, si fueran precisos, y el refino de los taludes. </w:t>
      </w:r>
    </w:p>
    <w:p w14:paraId="61C66956" w14:textId="77777777" w:rsidR="00C23011" w:rsidRPr="00C23011" w:rsidRDefault="00C23011" w:rsidP="00E01981">
      <w:pPr>
        <w:pStyle w:val="NORMAL12"/>
        <w:numPr>
          <w:ilvl w:val="0"/>
          <w:numId w:val="90"/>
        </w:numPr>
        <w:rPr>
          <w:lang w:val="es-ES"/>
        </w:rPr>
      </w:pPr>
      <w:r w:rsidRPr="00C23011">
        <w:rPr>
          <w:lang w:val="es-ES"/>
        </w:rPr>
        <w:t xml:space="preserve">No serán de abono independiente los acopios intermedios que se consideren necesarios a juicio del </w:t>
      </w:r>
      <w:proofErr w:type="gramStart"/>
      <w:r w:rsidRPr="00C23011">
        <w:rPr>
          <w:lang w:val="es-ES"/>
        </w:rPr>
        <w:t>Director</w:t>
      </w:r>
      <w:proofErr w:type="gramEnd"/>
      <w:r w:rsidRPr="00C23011">
        <w:rPr>
          <w:lang w:val="es-ES"/>
        </w:rPr>
        <w:t xml:space="preserve"> de la obra.</w:t>
      </w:r>
    </w:p>
    <w:p w14:paraId="13C3F45E" w14:textId="77777777" w:rsidR="00C23011" w:rsidRPr="00C23011" w:rsidRDefault="00C23011" w:rsidP="00E01981">
      <w:pPr>
        <w:pStyle w:val="NORMAL12"/>
        <w:numPr>
          <w:ilvl w:val="0"/>
          <w:numId w:val="90"/>
        </w:numPr>
        <w:rPr>
          <w:lang w:val="es-ES"/>
        </w:rPr>
      </w:pPr>
      <w:r w:rsidRPr="00C23011">
        <w:rPr>
          <w:lang w:val="es-ES"/>
        </w:rPr>
        <w:t>En el precio de la excavación estará incluido el agotamiento.</w:t>
      </w:r>
    </w:p>
    <w:p w14:paraId="5F8271BE" w14:textId="77777777" w:rsidR="00C23011" w:rsidRPr="00C23011" w:rsidRDefault="00C23011" w:rsidP="00E01981">
      <w:pPr>
        <w:pStyle w:val="NORMAL12"/>
        <w:numPr>
          <w:ilvl w:val="0"/>
          <w:numId w:val="90"/>
        </w:numPr>
        <w:rPr>
          <w:lang w:val="es-ES"/>
        </w:rPr>
      </w:pPr>
      <w:r w:rsidRPr="00C23011">
        <w:rPr>
          <w:lang w:val="es-ES"/>
        </w:rPr>
        <w:t>La excavación en préstamos no será de abono independiente, quedando incluida dentro de la unidad de formación de rellenos con material procedente de préstamos.</w:t>
      </w:r>
    </w:p>
    <w:p w14:paraId="2A527DB0" w14:textId="77777777" w:rsidR="00C23011" w:rsidRDefault="00552D4A" w:rsidP="00E01981">
      <w:pPr>
        <w:pStyle w:val="NORMAL12"/>
        <w:numPr>
          <w:ilvl w:val="0"/>
          <w:numId w:val="90"/>
        </w:numPr>
        <w:rPr>
          <w:lang w:val="es-ES"/>
        </w:rPr>
      </w:pPr>
      <w:r>
        <w:rPr>
          <w:lang w:val="es-ES"/>
        </w:rPr>
        <w:br w:type="column"/>
      </w:r>
      <w:r w:rsidR="00C23011" w:rsidRPr="00C23011">
        <w:rPr>
          <w:lang w:val="es-ES"/>
        </w:rPr>
        <w:t>La excavación y retirada de los materiales como consecuencia de la caída o deslizamiento de algún talud no imputables al contratista por una defectuosa ejecución, se abonará al precio de la excavación en desmonte que aquí se define.</w:t>
      </w:r>
    </w:p>
    <w:p w14:paraId="39AC7F7C" w14:textId="77777777" w:rsidR="0070444B" w:rsidRDefault="0070444B" w:rsidP="00E01981">
      <w:pPr>
        <w:pStyle w:val="NORMAL12"/>
        <w:numPr>
          <w:ilvl w:val="0"/>
          <w:numId w:val="90"/>
        </w:numPr>
        <w:rPr>
          <w:lang w:val="es-ES"/>
        </w:rPr>
      </w:pPr>
      <w:r>
        <w:rPr>
          <w:lang w:val="es-ES"/>
        </w:rPr>
        <w:t>La carga y el transporte a vertedero hasta diez kilómetros, para distancias superiores será objeto de medición y abono independiente.</w:t>
      </w:r>
    </w:p>
    <w:p w14:paraId="29A39AE1" w14:textId="77777777" w:rsidR="00D75A5C" w:rsidRDefault="00D75A5C" w:rsidP="00D75A5C">
      <w:pPr>
        <w:pStyle w:val="NORMAL12"/>
        <w:rPr>
          <w:color w:val="365F91" w:themeColor="accent1" w:themeShade="BF"/>
        </w:rPr>
      </w:pPr>
      <w:r>
        <w:rPr>
          <w:lang w:val="es-ES"/>
        </w:rPr>
        <w:t xml:space="preserve">La </w:t>
      </w:r>
      <w:r w:rsidRPr="00F803A4">
        <w:rPr>
          <w:lang w:val="es-ES"/>
        </w:rPr>
        <w:t xml:space="preserve">medición y abono de la unidad de </w:t>
      </w:r>
      <w:r>
        <w:rPr>
          <w:lang w:val="es-ES"/>
        </w:rPr>
        <w:t xml:space="preserve">precio del transporte para distancias mayores a 10 kilómetros se realizará según las especificaciones siguientes: </w:t>
      </w:r>
      <w:r w:rsidRPr="00F803A4">
        <w:rPr>
          <w:lang w:val="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67"/>
        <w:gridCol w:w="7711"/>
      </w:tblGrid>
      <w:tr w:rsidR="00D75A5C" w:rsidRPr="009B23E5" w14:paraId="5E37055D" w14:textId="77777777" w:rsidTr="008A4616">
        <w:tc>
          <w:tcPr>
            <w:tcW w:w="0" w:type="auto"/>
            <w:vAlign w:val="center"/>
          </w:tcPr>
          <w:p w14:paraId="0479739F" w14:textId="77777777" w:rsidR="00D75A5C" w:rsidRPr="009B23E5" w:rsidRDefault="00D75A5C" w:rsidP="00E50149">
            <w:pPr>
              <w:pStyle w:val="LCATabla"/>
              <w:keepNext/>
              <w:jc w:val="center"/>
              <w:rPr>
                <w:rFonts w:ascii="Arial" w:hAnsi="Arial" w:cs="Arial"/>
                <w:b/>
                <w:bCs/>
                <w:sz w:val="20"/>
              </w:rPr>
            </w:pPr>
            <w:r w:rsidRPr="009B23E5">
              <w:rPr>
                <w:rFonts w:ascii="Arial" w:hAnsi="Arial" w:cs="Arial"/>
                <w:b/>
                <w:bCs/>
                <w:sz w:val="20"/>
              </w:rPr>
              <w:t>Unidad de medida</w:t>
            </w:r>
          </w:p>
        </w:tc>
        <w:tc>
          <w:tcPr>
            <w:tcW w:w="0" w:type="auto"/>
            <w:vAlign w:val="center"/>
          </w:tcPr>
          <w:p w14:paraId="425551FC" w14:textId="77777777" w:rsidR="00D75A5C" w:rsidRPr="009B23E5" w:rsidRDefault="00D75A5C" w:rsidP="00552D4A">
            <w:pPr>
              <w:pStyle w:val="LCATabla"/>
              <w:keepNext/>
              <w:jc w:val="both"/>
              <w:rPr>
                <w:rFonts w:ascii="Arial" w:hAnsi="Arial" w:cs="Arial"/>
                <w:sz w:val="20"/>
              </w:rPr>
            </w:pPr>
            <w:r w:rsidRPr="009B23E5">
              <w:rPr>
                <w:rFonts w:ascii="Arial" w:hAnsi="Arial" w:cs="Arial"/>
                <w:sz w:val="20"/>
              </w:rPr>
              <w:t xml:space="preserve">Metro cúbico </w:t>
            </w:r>
            <w:r>
              <w:rPr>
                <w:rFonts w:ascii="Arial" w:hAnsi="Arial" w:cs="Arial"/>
                <w:sz w:val="20"/>
              </w:rPr>
              <w:t xml:space="preserve">por kilómetro </w:t>
            </w:r>
            <w:r w:rsidRPr="009B23E5">
              <w:rPr>
                <w:rFonts w:ascii="Arial" w:hAnsi="Arial" w:cs="Arial"/>
                <w:sz w:val="20"/>
              </w:rPr>
              <w:t>(m</w:t>
            </w:r>
            <w:r w:rsidRPr="00E850F6">
              <w:rPr>
                <w:rFonts w:ascii="Arial" w:hAnsi="Arial" w:cs="Arial"/>
                <w:sz w:val="20"/>
                <w:vertAlign w:val="superscript"/>
              </w:rPr>
              <w:t>3</w:t>
            </w:r>
            <w:r>
              <w:rPr>
                <w:rFonts w:ascii="Arial" w:hAnsi="Arial" w:cs="Arial"/>
                <w:sz w:val="20"/>
              </w:rPr>
              <w:t>*km</w:t>
            </w:r>
            <w:r w:rsidRPr="009B23E5">
              <w:rPr>
                <w:rFonts w:ascii="Arial" w:hAnsi="Arial" w:cs="Arial"/>
                <w:sz w:val="20"/>
              </w:rPr>
              <w:t>).</w:t>
            </w:r>
          </w:p>
        </w:tc>
      </w:tr>
      <w:tr w:rsidR="00D75A5C" w:rsidRPr="009B23E5" w14:paraId="03FDCA1A" w14:textId="77777777" w:rsidTr="008A4616">
        <w:tc>
          <w:tcPr>
            <w:tcW w:w="0" w:type="auto"/>
            <w:vAlign w:val="center"/>
          </w:tcPr>
          <w:p w14:paraId="7FD5B24C" w14:textId="77777777" w:rsidR="00D75A5C" w:rsidRPr="009B23E5" w:rsidRDefault="00D75A5C" w:rsidP="00E50149">
            <w:pPr>
              <w:pStyle w:val="LCATabla"/>
              <w:keepNext/>
              <w:jc w:val="center"/>
              <w:rPr>
                <w:rFonts w:ascii="Arial" w:hAnsi="Arial" w:cs="Arial"/>
                <w:b/>
                <w:bCs/>
                <w:sz w:val="20"/>
              </w:rPr>
            </w:pPr>
            <w:r w:rsidRPr="009B23E5">
              <w:rPr>
                <w:rFonts w:ascii="Arial" w:hAnsi="Arial" w:cs="Arial"/>
                <w:b/>
                <w:bCs/>
                <w:sz w:val="20"/>
              </w:rPr>
              <w:t>Grado de precisión</w:t>
            </w:r>
          </w:p>
        </w:tc>
        <w:tc>
          <w:tcPr>
            <w:tcW w:w="0" w:type="auto"/>
            <w:vAlign w:val="center"/>
          </w:tcPr>
          <w:p w14:paraId="442614EE" w14:textId="77777777" w:rsidR="00D75A5C" w:rsidRPr="009B23E5" w:rsidRDefault="00D75A5C" w:rsidP="00552D4A">
            <w:pPr>
              <w:pStyle w:val="LCATabla"/>
              <w:keepNext/>
              <w:jc w:val="both"/>
              <w:rPr>
                <w:rFonts w:ascii="Arial" w:hAnsi="Arial" w:cs="Arial"/>
                <w:sz w:val="20"/>
              </w:rPr>
            </w:pPr>
            <w:r w:rsidRPr="009B23E5">
              <w:rPr>
                <w:rFonts w:ascii="Arial" w:hAnsi="Arial" w:cs="Arial"/>
                <w:sz w:val="20"/>
              </w:rPr>
              <w:t>Dos decimales.</w:t>
            </w:r>
          </w:p>
        </w:tc>
      </w:tr>
      <w:tr w:rsidR="00D75A5C" w:rsidRPr="009B23E5" w14:paraId="313CD1F9" w14:textId="77777777" w:rsidTr="008A4616">
        <w:tc>
          <w:tcPr>
            <w:tcW w:w="0" w:type="auto"/>
            <w:vAlign w:val="center"/>
          </w:tcPr>
          <w:p w14:paraId="3A3F008B" w14:textId="77777777" w:rsidR="00D75A5C" w:rsidRPr="009B23E5" w:rsidRDefault="00D75A5C" w:rsidP="00E50149">
            <w:pPr>
              <w:pStyle w:val="LCATabla"/>
              <w:keepNext/>
              <w:jc w:val="center"/>
              <w:rPr>
                <w:rFonts w:ascii="Arial" w:hAnsi="Arial" w:cs="Arial"/>
                <w:b/>
                <w:bCs/>
                <w:sz w:val="20"/>
              </w:rPr>
            </w:pPr>
            <w:r w:rsidRPr="009B23E5">
              <w:rPr>
                <w:rFonts w:ascii="Arial" w:hAnsi="Arial" w:cs="Arial"/>
                <w:b/>
                <w:bCs/>
                <w:sz w:val="20"/>
              </w:rPr>
              <w:t>Forma de medición</w:t>
            </w:r>
          </w:p>
        </w:tc>
        <w:tc>
          <w:tcPr>
            <w:tcW w:w="0" w:type="auto"/>
            <w:vAlign w:val="center"/>
          </w:tcPr>
          <w:p w14:paraId="1E0497B6" w14:textId="77777777" w:rsidR="00D75A5C" w:rsidRPr="009B23E5" w:rsidRDefault="00D75A5C" w:rsidP="00552D4A">
            <w:pPr>
              <w:pStyle w:val="LCATabla"/>
              <w:keepNext/>
              <w:jc w:val="both"/>
              <w:rPr>
                <w:rFonts w:ascii="Arial" w:hAnsi="Arial" w:cs="Arial"/>
                <w:sz w:val="20"/>
              </w:rPr>
            </w:pPr>
            <w:r>
              <w:rPr>
                <w:rFonts w:ascii="Arial" w:hAnsi="Arial" w:cs="Arial"/>
                <w:sz w:val="20"/>
              </w:rPr>
              <w:t>Cálculo del volumen por d</w:t>
            </w:r>
            <w:r w:rsidRPr="009B23E5">
              <w:rPr>
                <w:rFonts w:ascii="Arial" w:hAnsi="Arial" w:cs="Arial"/>
                <w:sz w:val="20"/>
              </w:rPr>
              <w:t>iferencia entre los perfiles reales del terreno antes de comenzar los trabajos y los teóricos que resultarán de aplicar las secciones definidas en los Planos</w:t>
            </w:r>
            <w:r>
              <w:rPr>
                <w:rFonts w:ascii="Arial" w:hAnsi="Arial" w:cs="Arial"/>
                <w:sz w:val="20"/>
              </w:rPr>
              <w:t xml:space="preserve"> por los kilómetros recorridos por exceso a partir de diez (</w:t>
            </w:r>
            <w:proofErr w:type="gramStart"/>
            <w:r>
              <w:rPr>
                <w:rFonts w:ascii="Arial" w:hAnsi="Arial" w:cs="Arial"/>
                <w:sz w:val="20"/>
              </w:rPr>
              <w:t>10 )</w:t>
            </w:r>
            <w:proofErr w:type="gramEnd"/>
            <w:r>
              <w:rPr>
                <w:rFonts w:ascii="Arial" w:hAnsi="Arial" w:cs="Arial"/>
                <w:sz w:val="20"/>
              </w:rPr>
              <w:t xml:space="preserve"> kilómetros.</w:t>
            </w:r>
          </w:p>
        </w:tc>
      </w:tr>
      <w:tr w:rsidR="00D75A5C" w:rsidRPr="009B23E5" w14:paraId="384D2B79" w14:textId="77777777" w:rsidTr="008A4616">
        <w:tc>
          <w:tcPr>
            <w:tcW w:w="0" w:type="auto"/>
            <w:vAlign w:val="center"/>
          </w:tcPr>
          <w:p w14:paraId="0550016C" w14:textId="77777777" w:rsidR="00D75A5C" w:rsidRPr="009B23E5" w:rsidRDefault="00D75A5C" w:rsidP="00E50149">
            <w:pPr>
              <w:pStyle w:val="LCATabla"/>
              <w:keepNext/>
              <w:jc w:val="center"/>
              <w:rPr>
                <w:rFonts w:ascii="Arial" w:hAnsi="Arial" w:cs="Arial"/>
                <w:b/>
                <w:bCs/>
                <w:sz w:val="20"/>
              </w:rPr>
            </w:pPr>
            <w:r w:rsidRPr="009B23E5">
              <w:rPr>
                <w:rFonts w:ascii="Arial" w:hAnsi="Arial" w:cs="Arial"/>
                <w:b/>
                <w:bCs/>
                <w:sz w:val="20"/>
              </w:rPr>
              <w:t>Abono</w:t>
            </w:r>
          </w:p>
        </w:tc>
        <w:tc>
          <w:tcPr>
            <w:tcW w:w="0" w:type="auto"/>
            <w:vAlign w:val="center"/>
          </w:tcPr>
          <w:p w14:paraId="6953360B" w14:textId="77777777" w:rsidR="00D75A5C" w:rsidRPr="009B23E5" w:rsidRDefault="00D75A5C" w:rsidP="00552D4A">
            <w:pPr>
              <w:pStyle w:val="LCATabla"/>
              <w:keepNext/>
              <w:jc w:val="both"/>
              <w:rPr>
                <w:rFonts w:ascii="Arial" w:hAnsi="Arial" w:cs="Arial"/>
                <w:sz w:val="20"/>
              </w:rPr>
            </w:pPr>
            <w:r w:rsidRPr="009B23E5">
              <w:rPr>
                <w:rFonts w:ascii="Arial" w:hAnsi="Arial" w:cs="Arial"/>
                <w:sz w:val="20"/>
              </w:rPr>
              <w:t>Se efectuará cuando se realice la aceptación.</w:t>
            </w:r>
          </w:p>
        </w:tc>
      </w:tr>
      <w:tr w:rsidR="00D75A5C" w:rsidRPr="009B23E5" w14:paraId="26A105AF" w14:textId="77777777" w:rsidTr="008A4616">
        <w:tc>
          <w:tcPr>
            <w:tcW w:w="0" w:type="auto"/>
            <w:vAlign w:val="center"/>
          </w:tcPr>
          <w:p w14:paraId="038994E1" w14:textId="77777777" w:rsidR="00D75A5C" w:rsidRPr="009B23E5" w:rsidRDefault="00D75A5C" w:rsidP="00E50149">
            <w:pPr>
              <w:pStyle w:val="LCATabla"/>
              <w:keepNext/>
              <w:jc w:val="center"/>
              <w:rPr>
                <w:rFonts w:ascii="Arial" w:hAnsi="Arial" w:cs="Arial"/>
                <w:b/>
                <w:bCs/>
                <w:sz w:val="20"/>
              </w:rPr>
            </w:pPr>
            <w:r w:rsidRPr="009B23E5">
              <w:rPr>
                <w:rFonts w:ascii="Arial" w:hAnsi="Arial" w:cs="Arial"/>
                <w:b/>
                <w:bCs/>
                <w:sz w:val="20"/>
              </w:rPr>
              <w:t>Criterios complementarios</w:t>
            </w:r>
          </w:p>
        </w:tc>
        <w:tc>
          <w:tcPr>
            <w:tcW w:w="0" w:type="auto"/>
            <w:vAlign w:val="center"/>
          </w:tcPr>
          <w:p w14:paraId="50213FFF" w14:textId="77777777" w:rsidR="00D75A5C" w:rsidRPr="009B23E5" w:rsidRDefault="00552D4A" w:rsidP="00552D4A">
            <w:pPr>
              <w:pStyle w:val="LCATabla"/>
              <w:keepNext/>
              <w:jc w:val="both"/>
              <w:rPr>
                <w:rFonts w:ascii="Arial" w:hAnsi="Arial" w:cs="Arial"/>
                <w:sz w:val="20"/>
              </w:rPr>
            </w:pPr>
            <w:r>
              <w:rPr>
                <w:rFonts w:ascii="Arial" w:hAnsi="Arial" w:cs="Arial"/>
                <w:sz w:val="20"/>
              </w:rPr>
              <w:t>--</w:t>
            </w:r>
          </w:p>
        </w:tc>
      </w:tr>
    </w:tbl>
    <w:p w14:paraId="0A63E192" w14:textId="77777777" w:rsidR="002C2C6E" w:rsidRDefault="002C2C6E" w:rsidP="002C2C6E">
      <w:pPr>
        <w:pStyle w:val="NORMAL12"/>
        <w:rPr>
          <w:lang w:val="es-ES"/>
        </w:rPr>
      </w:pPr>
    </w:p>
    <w:p w14:paraId="34D14D18" w14:textId="77777777" w:rsidR="002C2C6E" w:rsidRPr="002C2C6E" w:rsidRDefault="002C2C6E" w:rsidP="002C2C6E">
      <w:pPr>
        <w:pStyle w:val="NORMAL12"/>
        <w:rPr>
          <w:highlight w:val="green"/>
          <w:lang w:val="es-ES"/>
        </w:rPr>
      </w:pPr>
    </w:p>
    <w:p w14:paraId="5C876E41" w14:textId="77777777" w:rsidR="00E43FA5" w:rsidRPr="00F803A4" w:rsidRDefault="00E43FA5" w:rsidP="006F6223">
      <w:pPr>
        <w:pStyle w:val="TITU1"/>
      </w:pPr>
      <w:bookmarkStart w:id="394" w:name="_Toc404187"/>
      <w:r w:rsidRPr="00A76B28">
        <w:lastRenderedPageBreak/>
        <w:t>Artículo 321. Excavaciones en zanjas y pozos</w:t>
      </w:r>
      <w:bookmarkEnd w:id="394"/>
    </w:p>
    <w:p w14:paraId="529D99F7" w14:textId="77777777" w:rsidR="006B7EDC" w:rsidRPr="006B7EDC" w:rsidRDefault="006B7EDC" w:rsidP="006B7EDC">
      <w:pPr>
        <w:pStyle w:val="NORMAL12"/>
        <w:rPr>
          <w:lang w:val="es-ES"/>
        </w:rPr>
      </w:pPr>
      <w:r w:rsidRPr="006B7EDC">
        <w:rPr>
          <w:lang w:val="es-ES"/>
        </w:rPr>
        <w:t>Excepto para lo especificado en el presente Pliego de Prescripciones Técnicas particulares se seguirá lo prescrito en el vigente artículo 321 del PG-3.</w:t>
      </w:r>
    </w:p>
    <w:p w14:paraId="03287738" w14:textId="77777777" w:rsidR="00E43FA5" w:rsidRPr="005864C2" w:rsidRDefault="00E43FA5" w:rsidP="000313DD">
      <w:pPr>
        <w:pStyle w:val="TITU2"/>
      </w:pPr>
      <w:bookmarkStart w:id="395" w:name="_Toc404188"/>
      <w:r w:rsidRPr="005864C2">
        <w:t xml:space="preserve">321.1. </w:t>
      </w:r>
      <w:r w:rsidR="006B7EDC">
        <w:t>Aplicación</w:t>
      </w:r>
      <w:bookmarkEnd w:id="395"/>
    </w:p>
    <w:p w14:paraId="427254B1" w14:textId="77777777" w:rsidR="006B7EDC" w:rsidRDefault="006B7EDC" w:rsidP="006B7EDC">
      <w:pPr>
        <w:pStyle w:val="NORMAL12"/>
      </w:pPr>
      <w:r w:rsidRPr="006B7EDC">
        <w:rPr>
          <w:lang w:val="es-ES"/>
        </w:rPr>
        <w:t>Las prescripciones de</w:t>
      </w:r>
      <w:r w:rsidR="004C3D6D">
        <w:rPr>
          <w:lang w:val="es-ES"/>
        </w:rPr>
        <w:t>l presente a</w:t>
      </w:r>
      <w:r w:rsidRPr="006B7EDC">
        <w:rPr>
          <w:lang w:val="es-ES"/>
        </w:rPr>
        <w:t xml:space="preserve">rtículo </w:t>
      </w:r>
      <w:proofErr w:type="gramStart"/>
      <w:r w:rsidRPr="006B7EDC">
        <w:rPr>
          <w:lang w:val="es-ES"/>
        </w:rPr>
        <w:t>son de aplicación</w:t>
      </w:r>
      <w:proofErr w:type="gramEnd"/>
      <w:r w:rsidRPr="006B7EDC">
        <w:rPr>
          <w:lang w:val="es-ES"/>
        </w:rPr>
        <w:t xml:space="preserve"> a la </w:t>
      </w:r>
      <w:r>
        <w:rPr>
          <w:lang w:val="es-ES"/>
        </w:rPr>
        <w:t>unidad de obra siguiente:</w:t>
      </w:r>
    </w:p>
    <w:p w14:paraId="3727F0BB" w14:textId="77777777" w:rsidR="006B7EDC" w:rsidRPr="009B23E5" w:rsidRDefault="006B7EDC" w:rsidP="006B7EDC"/>
    <w:tbl>
      <w:tblPr>
        <w:tblW w:w="5000" w:type="pct"/>
        <w:tblCellMar>
          <w:left w:w="70" w:type="dxa"/>
          <w:right w:w="70" w:type="dxa"/>
        </w:tblCellMar>
        <w:tblLook w:val="04A0" w:firstRow="1" w:lastRow="0" w:firstColumn="1" w:lastColumn="0" w:noHBand="0" w:noVBand="1"/>
      </w:tblPr>
      <w:tblGrid>
        <w:gridCol w:w="1053"/>
        <w:gridCol w:w="777"/>
        <w:gridCol w:w="7948"/>
      </w:tblGrid>
      <w:tr w:rsidR="005864C2" w:rsidRPr="005864C2" w14:paraId="634AC8E5" w14:textId="77777777" w:rsidTr="00707B9C">
        <w:trPr>
          <w:trHeight w:val="300"/>
        </w:trPr>
        <w:tc>
          <w:tcPr>
            <w:tcW w:w="538" w:type="pct"/>
            <w:noWrap/>
          </w:tcPr>
          <w:p w14:paraId="124B0C08" w14:textId="77777777" w:rsidR="00D70DF6" w:rsidRPr="00050087" w:rsidRDefault="00D70DF6">
            <w:pPr>
              <w:rPr>
                <w:rFonts w:ascii="Calibri" w:hAnsi="Calibri"/>
              </w:rPr>
            </w:pPr>
            <w:r w:rsidRPr="00050087">
              <w:rPr>
                <w:rFonts w:ascii="Calibri" w:hAnsi="Calibri"/>
              </w:rPr>
              <w:t xml:space="preserve">321.0010          </w:t>
            </w:r>
          </w:p>
        </w:tc>
        <w:tc>
          <w:tcPr>
            <w:tcW w:w="398" w:type="pct"/>
            <w:noWrap/>
          </w:tcPr>
          <w:p w14:paraId="64193711" w14:textId="77777777" w:rsidR="00D70DF6" w:rsidRPr="00050087" w:rsidRDefault="00D70DF6">
            <w:pPr>
              <w:rPr>
                <w:rFonts w:ascii="Calibri" w:hAnsi="Calibri"/>
              </w:rPr>
            </w:pPr>
            <w:r w:rsidRPr="00050087">
              <w:rPr>
                <w:rFonts w:ascii="Calibri" w:hAnsi="Calibri"/>
              </w:rPr>
              <w:t>m</w:t>
            </w:r>
            <w:r w:rsidRPr="00050087">
              <w:rPr>
                <w:rFonts w:ascii="Calibri" w:hAnsi="Calibri"/>
                <w:vertAlign w:val="superscript"/>
              </w:rPr>
              <w:t>3</w:t>
            </w:r>
          </w:p>
        </w:tc>
        <w:tc>
          <w:tcPr>
            <w:tcW w:w="4063" w:type="pct"/>
          </w:tcPr>
          <w:p w14:paraId="36626ECD" w14:textId="77777777" w:rsidR="00803234" w:rsidRPr="00050087" w:rsidRDefault="00803234" w:rsidP="00552D4A">
            <w:pPr>
              <w:jc w:val="both"/>
              <w:rPr>
                <w:rFonts w:ascii="Calibri" w:hAnsi="Calibri" w:cs="Calibri"/>
                <w:color w:val="000000"/>
              </w:rPr>
            </w:pPr>
            <w:r w:rsidRPr="00050087">
              <w:rPr>
                <w:rFonts w:ascii="Calibri" w:hAnsi="Calibri" w:cs="Calibri"/>
                <w:color w:val="000000"/>
              </w:rPr>
              <w:t xml:space="preserve">EXCAVACIÓN MECÁNICA DE ZANJAS, POZOS O CIMIENTOS EN CUALQUIER TIPO DE TERRENO, CONSIDERÁNDOSE ZANJAS Y CIMIENTOS AQUELLOS QUE TENGAN UNA ANCHURA &lt; 3 m Y UNA PROFUNDIDAD&lt; 6 m, Y POZOS LOS QUE </w:t>
            </w:r>
            <w:proofErr w:type="gramStart"/>
            <w:r w:rsidRPr="00050087">
              <w:rPr>
                <w:rFonts w:ascii="Calibri" w:hAnsi="Calibri" w:cs="Calibri"/>
                <w:color w:val="000000"/>
              </w:rPr>
              <w:t>TENGAN  UNA</w:t>
            </w:r>
            <w:proofErr w:type="gramEnd"/>
            <w:r w:rsidRPr="00050087">
              <w:rPr>
                <w:rFonts w:ascii="Calibri" w:hAnsi="Calibri" w:cs="Calibri"/>
                <w:color w:val="000000"/>
              </w:rPr>
              <w:t xml:space="preserve"> PROFUNDIDAD &lt; 2 VECES EL DIÁMETRO O ANCHO i/ ENTIBACIÓN, AGOTAMIENTO Y DRENAJE DURANTE LA EJECUCIÓN, SANEO DE DESPRENDIMIENTOS, CARGA Y TRANSPORTE A LUGAR DE EMPLEO O A VERTEDERO HASTA UNA DISTANCIA DE 10 km.</w:t>
            </w:r>
          </w:p>
          <w:p w14:paraId="79419053" w14:textId="77777777" w:rsidR="00707B9C" w:rsidRPr="00050087" w:rsidRDefault="00707B9C">
            <w:pPr>
              <w:rPr>
                <w:rFonts w:ascii="Calibri" w:hAnsi="Calibri"/>
              </w:rPr>
            </w:pPr>
          </w:p>
        </w:tc>
      </w:tr>
    </w:tbl>
    <w:p w14:paraId="4709E610" w14:textId="77777777" w:rsidR="00E0632A" w:rsidRDefault="00E0632A" w:rsidP="00F81435">
      <w:pPr>
        <w:pStyle w:val="NORMAL12"/>
        <w:rPr>
          <w:lang w:val="es-ES"/>
        </w:rPr>
      </w:pPr>
      <w:r>
        <w:rPr>
          <w:lang w:val="es-ES"/>
        </w:rPr>
        <w:t>La ejecución de la unidad implica la realización de las operaciones siguientes:</w:t>
      </w:r>
    </w:p>
    <w:p w14:paraId="61CBCABA" w14:textId="77777777" w:rsidR="006B7EDC" w:rsidRPr="00F81435" w:rsidRDefault="006B7EDC" w:rsidP="00E01981">
      <w:pPr>
        <w:pStyle w:val="NORMAL12"/>
        <w:numPr>
          <w:ilvl w:val="0"/>
          <w:numId w:val="62"/>
        </w:numPr>
        <w:rPr>
          <w:lang w:val="es-ES"/>
        </w:rPr>
      </w:pPr>
      <w:r w:rsidRPr="00F81435">
        <w:rPr>
          <w:lang w:val="es-ES"/>
        </w:rPr>
        <w:t xml:space="preserve">La excavación y extracción de los materiales de la </w:t>
      </w:r>
      <w:proofErr w:type="gramStart"/>
      <w:r w:rsidRPr="00F81435">
        <w:rPr>
          <w:lang w:val="es-ES"/>
        </w:rPr>
        <w:t>zanja</w:t>
      </w:r>
      <w:proofErr w:type="gramEnd"/>
      <w:r w:rsidRPr="00F81435">
        <w:rPr>
          <w:lang w:val="es-ES"/>
        </w:rPr>
        <w:t xml:space="preserve"> así como la limpieza del fondo de la excavación.</w:t>
      </w:r>
    </w:p>
    <w:p w14:paraId="622D3662" w14:textId="77777777" w:rsidR="006B7EDC" w:rsidRPr="00F81435" w:rsidRDefault="006B7EDC" w:rsidP="00E01981">
      <w:pPr>
        <w:pStyle w:val="NORMAL12"/>
        <w:numPr>
          <w:ilvl w:val="0"/>
          <w:numId w:val="62"/>
        </w:numPr>
        <w:rPr>
          <w:lang w:val="es-ES"/>
        </w:rPr>
      </w:pPr>
      <w:r w:rsidRPr="00F81435">
        <w:rPr>
          <w:lang w:val="es-ES"/>
        </w:rPr>
        <w:t>La entibación necesaria y los materiales que la componen.</w:t>
      </w:r>
    </w:p>
    <w:p w14:paraId="7B8C2E41" w14:textId="77777777" w:rsidR="006B7EDC" w:rsidRPr="00F81435" w:rsidRDefault="006B7EDC" w:rsidP="00E01981">
      <w:pPr>
        <w:pStyle w:val="NORMAL12"/>
        <w:numPr>
          <w:ilvl w:val="0"/>
          <w:numId w:val="62"/>
        </w:numPr>
        <w:rPr>
          <w:lang w:val="es-ES"/>
        </w:rPr>
      </w:pPr>
      <w:r w:rsidRPr="00F81435">
        <w:rPr>
          <w:lang w:val="es-ES"/>
        </w:rPr>
        <w:t>Las operaciones de carga, transporte y descarga en las zonas de empleo o almacenamiento provisional, incluso cuando el mismo material haya de almacenarse varias veces, así como la carga, transporte y descarga desde el último almacenamiento hasta el lugar de empleo o centro gestor de residuos (en caso de materiales inadecuados o sobrantes).</w:t>
      </w:r>
    </w:p>
    <w:p w14:paraId="4BD77FF4" w14:textId="77777777" w:rsidR="006B7EDC" w:rsidRPr="00F81435" w:rsidRDefault="006B7EDC" w:rsidP="00E01981">
      <w:pPr>
        <w:pStyle w:val="NORMAL12"/>
        <w:numPr>
          <w:ilvl w:val="0"/>
          <w:numId w:val="62"/>
        </w:numPr>
        <w:rPr>
          <w:lang w:val="es-ES"/>
        </w:rPr>
      </w:pPr>
      <w:r w:rsidRPr="00F81435">
        <w:rPr>
          <w:lang w:val="es-ES"/>
        </w:rPr>
        <w:t>La conservación adecuada de los materiales e indemnizaciones y cualquier otro tipo de gastos de los lugares de almacenamiento y/o centro gestor de residuos.</w:t>
      </w:r>
    </w:p>
    <w:p w14:paraId="255495B9" w14:textId="77777777" w:rsidR="006B7EDC" w:rsidRPr="00F81435" w:rsidRDefault="006B7EDC" w:rsidP="00E01981">
      <w:pPr>
        <w:pStyle w:val="NORMAL12"/>
        <w:numPr>
          <w:ilvl w:val="0"/>
          <w:numId w:val="62"/>
        </w:numPr>
        <w:rPr>
          <w:lang w:val="es-ES"/>
        </w:rPr>
      </w:pPr>
      <w:r w:rsidRPr="00F81435">
        <w:rPr>
          <w:lang w:val="es-ES"/>
        </w:rPr>
        <w:t xml:space="preserve">Los agotamientos y drenajes que sean necesarios, </w:t>
      </w:r>
      <w:proofErr w:type="gramStart"/>
      <w:r w:rsidRPr="00F81435">
        <w:rPr>
          <w:lang w:val="es-ES"/>
        </w:rPr>
        <w:t>sea</w:t>
      </w:r>
      <w:proofErr w:type="gramEnd"/>
      <w:r w:rsidRPr="00F81435">
        <w:rPr>
          <w:lang w:val="es-ES"/>
        </w:rPr>
        <w:t xml:space="preserve"> cual fuere el caudal.</w:t>
      </w:r>
    </w:p>
    <w:p w14:paraId="3900AB21" w14:textId="77777777" w:rsidR="006B7EDC" w:rsidRPr="00F81435" w:rsidRDefault="006B7EDC" w:rsidP="00E01981">
      <w:pPr>
        <w:pStyle w:val="NORMAL12"/>
        <w:numPr>
          <w:ilvl w:val="0"/>
          <w:numId w:val="62"/>
        </w:numPr>
        <w:rPr>
          <w:lang w:val="es-ES"/>
        </w:rPr>
      </w:pPr>
      <w:r w:rsidRPr="00F81435">
        <w:rPr>
          <w:lang w:val="es-ES"/>
        </w:rPr>
        <w:t>La realización de los accesos al lugar de ejecución de la unidad.</w:t>
      </w:r>
    </w:p>
    <w:p w14:paraId="69B1F16B" w14:textId="77777777" w:rsidR="00E43FA5" w:rsidRDefault="006B7EDC" w:rsidP="00E01981">
      <w:pPr>
        <w:pStyle w:val="NORMAL12"/>
        <w:numPr>
          <w:ilvl w:val="0"/>
          <w:numId w:val="62"/>
        </w:numPr>
        <w:rPr>
          <w:lang w:val="es-ES"/>
        </w:rPr>
      </w:pPr>
      <w:r w:rsidRPr="00F81435">
        <w:rPr>
          <w:lang w:val="es-ES"/>
        </w:rPr>
        <w:t>Cualquier trabajo, maquinaria, material o elemento auxiliar necesario para la correcta ejecución de esta unidad de obra.</w:t>
      </w:r>
    </w:p>
    <w:p w14:paraId="6A878D4E" w14:textId="77777777" w:rsidR="00F81435" w:rsidRPr="005864C2" w:rsidRDefault="00F81435" w:rsidP="000313DD">
      <w:pPr>
        <w:pStyle w:val="TITU2"/>
      </w:pPr>
      <w:bookmarkStart w:id="396" w:name="_Toc404189"/>
      <w:r w:rsidRPr="005864C2">
        <w:t>321.</w:t>
      </w:r>
      <w:r w:rsidR="00610954">
        <w:t>2</w:t>
      </w:r>
      <w:r w:rsidRPr="005864C2">
        <w:t xml:space="preserve">. </w:t>
      </w:r>
      <w:r>
        <w:t>Clasificación de las excavaciones</w:t>
      </w:r>
      <w:bookmarkEnd w:id="396"/>
    </w:p>
    <w:p w14:paraId="6D44D7B4" w14:textId="77777777" w:rsidR="00F81435" w:rsidRPr="00F81435" w:rsidRDefault="00F81435" w:rsidP="00F81435">
      <w:pPr>
        <w:pStyle w:val="NORMAL12"/>
        <w:rPr>
          <w:lang w:val="es-ES"/>
        </w:rPr>
      </w:pPr>
      <w:r w:rsidRPr="00F81435">
        <w:rPr>
          <w:lang w:val="es-ES"/>
        </w:rPr>
        <w:t>Todas las excavaciones en zanjas se consideran excavaciones sin clasificar, incluyéndose cualquier tipo de roca, sea cual sea el método necesario para su excavación.</w:t>
      </w:r>
    </w:p>
    <w:p w14:paraId="05140397" w14:textId="77777777" w:rsidR="00E43FA5" w:rsidRDefault="00E43FA5" w:rsidP="000313DD">
      <w:pPr>
        <w:pStyle w:val="TITU2"/>
      </w:pPr>
      <w:bookmarkStart w:id="397" w:name="_Toc404190"/>
      <w:r w:rsidRPr="005864C2">
        <w:t>321.3. Ejecución de las obras</w:t>
      </w:r>
      <w:bookmarkEnd w:id="397"/>
    </w:p>
    <w:p w14:paraId="6BDA5A3F" w14:textId="77777777" w:rsidR="00F81435" w:rsidRPr="00F81435" w:rsidRDefault="00F81435" w:rsidP="00F81435">
      <w:pPr>
        <w:pStyle w:val="NORMAL12"/>
        <w:rPr>
          <w:lang w:val="es-ES"/>
        </w:rPr>
      </w:pPr>
      <w:r w:rsidRPr="00F81435">
        <w:rPr>
          <w:lang w:val="es-ES"/>
        </w:rPr>
        <w:t xml:space="preserve">El Contratista someterá a la aprobación del </w:t>
      </w:r>
      <w:proofErr w:type="gramStart"/>
      <w:r w:rsidRPr="00F81435">
        <w:rPr>
          <w:lang w:val="es-ES"/>
        </w:rPr>
        <w:t>Director</w:t>
      </w:r>
      <w:proofErr w:type="gramEnd"/>
      <w:r w:rsidRPr="00F81435">
        <w:rPr>
          <w:lang w:val="es-ES"/>
        </w:rPr>
        <w:t xml:space="preserve"> de Obra los planos de detalle que muestran el método de construcción propuesto por él.</w:t>
      </w:r>
    </w:p>
    <w:p w14:paraId="32C50B0A" w14:textId="77777777" w:rsidR="00F81435" w:rsidRPr="00D75A5C" w:rsidRDefault="00F81435" w:rsidP="00F81435">
      <w:pPr>
        <w:pStyle w:val="NORMAL12"/>
        <w:rPr>
          <w:lang w:val="es-ES"/>
        </w:rPr>
      </w:pPr>
      <w:r w:rsidRPr="00D75A5C">
        <w:rPr>
          <w:lang w:val="es-ES"/>
        </w:rPr>
        <w:t xml:space="preserve">Las excavaciones se ejecutarán ajustándose a las dimensiones y perfilado que consten en el proyecto o que indique el </w:t>
      </w:r>
      <w:proofErr w:type="gramStart"/>
      <w:r w:rsidRPr="00D75A5C">
        <w:rPr>
          <w:lang w:val="es-ES"/>
        </w:rPr>
        <w:t>Director</w:t>
      </w:r>
      <w:proofErr w:type="gramEnd"/>
      <w:r w:rsidRPr="00D75A5C">
        <w:rPr>
          <w:lang w:val="es-ES"/>
        </w:rPr>
        <w:t xml:space="preserve"> de Obra. Cuando sea preciso establecer entibaciones, éstas serán por cuenta del Contratista.</w:t>
      </w:r>
    </w:p>
    <w:p w14:paraId="4C4544B1" w14:textId="77777777" w:rsidR="00F81435" w:rsidRPr="00D75A5C" w:rsidRDefault="00F81435" w:rsidP="00F81435">
      <w:pPr>
        <w:pStyle w:val="NORMAL12"/>
        <w:rPr>
          <w:lang w:val="es-ES"/>
        </w:rPr>
      </w:pPr>
      <w:r w:rsidRPr="00D75A5C">
        <w:rPr>
          <w:lang w:val="es-ES"/>
        </w:rPr>
        <w:t xml:space="preserve">No se procederá al relleno de zanjas o excavaciones, sin previo reconocimiento de </w:t>
      </w:r>
      <w:proofErr w:type="gramStart"/>
      <w:r w:rsidRPr="00D75A5C">
        <w:rPr>
          <w:lang w:val="es-ES"/>
        </w:rPr>
        <w:t>las mismas</w:t>
      </w:r>
      <w:proofErr w:type="gramEnd"/>
      <w:r w:rsidRPr="00D75A5C">
        <w:rPr>
          <w:lang w:val="es-ES"/>
        </w:rPr>
        <w:t xml:space="preserve"> y autorización escrita del </w:t>
      </w:r>
      <w:proofErr w:type="gramStart"/>
      <w:r w:rsidRPr="00D75A5C">
        <w:rPr>
          <w:lang w:val="es-ES"/>
        </w:rPr>
        <w:t>Director</w:t>
      </w:r>
      <w:proofErr w:type="gramEnd"/>
      <w:r w:rsidRPr="00D75A5C">
        <w:rPr>
          <w:lang w:val="es-ES"/>
        </w:rPr>
        <w:t xml:space="preserve"> de Obra.</w:t>
      </w:r>
    </w:p>
    <w:p w14:paraId="18690DC6" w14:textId="77777777" w:rsidR="00F81435" w:rsidRPr="00D75A5C" w:rsidRDefault="00F81435" w:rsidP="00F81435">
      <w:pPr>
        <w:pStyle w:val="NORMAL12"/>
        <w:rPr>
          <w:lang w:val="es-ES"/>
        </w:rPr>
      </w:pPr>
      <w:r w:rsidRPr="00D75A5C">
        <w:rPr>
          <w:lang w:val="es-ES"/>
        </w:rPr>
        <w:t>Los excesos de excavación se suplementarán con hormigón de débil dosificación de cemento.</w:t>
      </w:r>
    </w:p>
    <w:p w14:paraId="114225BF" w14:textId="77777777" w:rsidR="00F81435" w:rsidRPr="00D75A5C" w:rsidRDefault="00F81435" w:rsidP="00F81435">
      <w:pPr>
        <w:pStyle w:val="NORMAL12"/>
        <w:rPr>
          <w:lang w:val="es-ES"/>
        </w:rPr>
      </w:pPr>
      <w:r w:rsidRPr="00D75A5C">
        <w:rPr>
          <w:lang w:val="es-ES"/>
        </w:rPr>
        <w:t xml:space="preserve">La tierra vegetal procedente de la capa superior de las excavaciones no podrá utilizarse para el relleno inicial de las zanjas, debiendo transportarse a acopio, vertedero o lugar de empleo. En todo caso el </w:t>
      </w:r>
      <w:proofErr w:type="gramStart"/>
      <w:r w:rsidRPr="00D75A5C">
        <w:rPr>
          <w:lang w:val="es-ES"/>
        </w:rPr>
        <w:t>Director</w:t>
      </w:r>
      <w:proofErr w:type="gramEnd"/>
      <w:r w:rsidRPr="00D75A5C">
        <w:rPr>
          <w:lang w:val="es-ES"/>
        </w:rPr>
        <w:t xml:space="preserve"> de la obra fijará el límite de excavación a partir del cual la tierra excavada podrá conservarse en las proximidades de las zanjas para ser utilizadas en el relleno de </w:t>
      </w:r>
      <w:proofErr w:type="gramStart"/>
      <w:r w:rsidRPr="00D75A5C">
        <w:rPr>
          <w:lang w:val="es-ES"/>
        </w:rPr>
        <w:t>las mismas</w:t>
      </w:r>
      <w:proofErr w:type="gramEnd"/>
      <w:r w:rsidRPr="00D75A5C">
        <w:rPr>
          <w:lang w:val="es-ES"/>
        </w:rPr>
        <w:t>.</w:t>
      </w:r>
    </w:p>
    <w:p w14:paraId="31AEC86F" w14:textId="77777777" w:rsidR="00F81435" w:rsidRPr="00F81435" w:rsidRDefault="00F81435" w:rsidP="00F81435">
      <w:pPr>
        <w:pStyle w:val="NORMAL12"/>
        <w:rPr>
          <w:lang w:val="es-ES"/>
        </w:rPr>
      </w:pPr>
      <w:r w:rsidRPr="00F81435">
        <w:rPr>
          <w:lang w:val="es-ES"/>
        </w:rPr>
        <w:t>La ejecución de las zanjas se ajustará a las siguientes normas:</w:t>
      </w:r>
    </w:p>
    <w:p w14:paraId="194C1F12" w14:textId="77777777" w:rsidR="00F81435" w:rsidRPr="00F81435" w:rsidRDefault="00F81435" w:rsidP="00E01981">
      <w:pPr>
        <w:pStyle w:val="NORMAL12"/>
        <w:numPr>
          <w:ilvl w:val="0"/>
          <w:numId w:val="63"/>
        </w:numPr>
        <w:rPr>
          <w:lang w:val="es-ES"/>
        </w:rPr>
      </w:pPr>
      <w:r w:rsidRPr="00F81435">
        <w:rPr>
          <w:lang w:val="es-ES"/>
        </w:rPr>
        <w:t>Se marcará sobre el terreno su situación y límites que no deberán exceder a los que han servido de base a la formación del proyecto.</w:t>
      </w:r>
    </w:p>
    <w:p w14:paraId="1850B9BA" w14:textId="77777777" w:rsidR="00F81435" w:rsidRPr="00F81435" w:rsidRDefault="00F81435" w:rsidP="00E01981">
      <w:pPr>
        <w:pStyle w:val="NORMAL12"/>
        <w:numPr>
          <w:ilvl w:val="0"/>
          <w:numId w:val="63"/>
        </w:numPr>
        <w:rPr>
          <w:lang w:val="es-ES"/>
        </w:rPr>
      </w:pPr>
      <w:r w:rsidRPr="00F81435">
        <w:rPr>
          <w:lang w:val="es-ES"/>
        </w:rPr>
        <w:t xml:space="preserve">Las tierras procedentes de las excavaciones se depositarán a una distancia mínima de un metro (1m) del borde de las zanjas y a un solo lado de éstas y sin formar cordón continuo, dejando los pasos necesarios para el tránsito general, todo lo cual se hará utilizando pasarelas rígidas sobre las zanjas. Estos materiales serán posteriormente reutilizados o transportados a vertedero según indique el </w:t>
      </w:r>
      <w:proofErr w:type="gramStart"/>
      <w:r w:rsidRPr="00F81435">
        <w:rPr>
          <w:lang w:val="es-ES"/>
        </w:rPr>
        <w:t>Director</w:t>
      </w:r>
      <w:proofErr w:type="gramEnd"/>
      <w:r w:rsidRPr="00F81435">
        <w:rPr>
          <w:lang w:val="es-ES"/>
        </w:rPr>
        <w:t xml:space="preserve"> de Obra.</w:t>
      </w:r>
    </w:p>
    <w:p w14:paraId="6BF1D348" w14:textId="77777777" w:rsidR="00F81435" w:rsidRPr="00F81435" w:rsidRDefault="00F81435" w:rsidP="00E01981">
      <w:pPr>
        <w:pStyle w:val="NORMAL12"/>
        <w:numPr>
          <w:ilvl w:val="0"/>
          <w:numId w:val="63"/>
        </w:numPr>
        <w:rPr>
          <w:lang w:val="es-ES"/>
        </w:rPr>
      </w:pPr>
      <w:r w:rsidRPr="00F81435">
        <w:rPr>
          <w:lang w:val="es-ES"/>
        </w:rPr>
        <w:t>Se tomarán precauciones precisas para evitar que las aguas inunden las zanjas abiertas.</w:t>
      </w:r>
    </w:p>
    <w:p w14:paraId="374372A2" w14:textId="77777777" w:rsidR="00F81435" w:rsidRPr="00F81435" w:rsidRDefault="00F81435" w:rsidP="00E01981">
      <w:pPr>
        <w:pStyle w:val="NORMAL12"/>
        <w:numPr>
          <w:ilvl w:val="0"/>
          <w:numId w:val="63"/>
        </w:numPr>
        <w:rPr>
          <w:lang w:val="es-ES"/>
        </w:rPr>
      </w:pPr>
      <w:r w:rsidRPr="00F81435">
        <w:rPr>
          <w:lang w:val="es-ES"/>
        </w:rPr>
        <w:lastRenderedPageBreak/>
        <w:t xml:space="preserve">Las excavaciones se entibarán cuando el </w:t>
      </w:r>
      <w:proofErr w:type="gramStart"/>
      <w:r w:rsidRPr="00F81435">
        <w:rPr>
          <w:lang w:val="es-ES"/>
        </w:rPr>
        <w:t>Director</w:t>
      </w:r>
      <w:proofErr w:type="gramEnd"/>
      <w:r w:rsidRPr="00F81435">
        <w:rPr>
          <w:lang w:val="es-ES"/>
        </w:rPr>
        <w:t xml:space="preserve"> de la obra lo estime necesario.</w:t>
      </w:r>
    </w:p>
    <w:p w14:paraId="319185E5" w14:textId="77777777" w:rsidR="00F81435" w:rsidRPr="00F81435" w:rsidRDefault="00F81435" w:rsidP="00E01981">
      <w:pPr>
        <w:pStyle w:val="NORMAL12"/>
        <w:numPr>
          <w:ilvl w:val="0"/>
          <w:numId w:val="63"/>
        </w:numPr>
        <w:rPr>
          <w:lang w:val="es-ES"/>
        </w:rPr>
      </w:pPr>
      <w:r w:rsidRPr="00F81435">
        <w:rPr>
          <w:lang w:val="es-ES"/>
        </w:rPr>
        <w:t xml:space="preserve">Deberán respetarse cuantos servicios y servidumbres se descubran al abrir las zanjas, disponiendo los apeos necesarios. Cuando hayan de ejecutarse obras por tales conceptos, lo ordenará el </w:t>
      </w:r>
      <w:proofErr w:type="gramStart"/>
      <w:r w:rsidRPr="00F81435">
        <w:rPr>
          <w:lang w:val="es-ES"/>
        </w:rPr>
        <w:t>Director</w:t>
      </w:r>
      <w:proofErr w:type="gramEnd"/>
      <w:r w:rsidRPr="00F81435">
        <w:rPr>
          <w:lang w:val="es-ES"/>
        </w:rPr>
        <w:t xml:space="preserve"> de Obra.</w:t>
      </w:r>
    </w:p>
    <w:p w14:paraId="36CA8240" w14:textId="77777777" w:rsidR="00F81435" w:rsidRPr="00F81435" w:rsidRDefault="00F81435" w:rsidP="00E01981">
      <w:pPr>
        <w:pStyle w:val="NORMAL12"/>
        <w:numPr>
          <w:ilvl w:val="0"/>
          <w:numId w:val="63"/>
        </w:numPr>
        <w:rPr>
          <w:lang w:val="es-ES"/>
        </w:rPr>
      </w:pPr>
      <w:r w:rsidRPr="00F81435">
        <w:rPr>
          <w:lang w:val="es-ES"/>
        </w:rPr>
        <w:t>Los agotamientos que sean necesarios se harán reuniendo las aguas en pocillos construidos fuera de la línea de la zanja y los gastos que se originen serán por cuenta del Contratista.</w:t>
      </w:r>
    </w:p>
    <w:p w14:paraId="11F3A5D9" w14:textId="77777777" w:rsidR="00F81435" w:rsidRPr="00F81435" w:rsidRDefault="00F81435" w:rsidP="00E01981">
      <w:pPr>
        <w:pStyle w:val="NORMAL12"/>
        <w:numPr>
          <w:ilvl w:val="0"/>
          <w:numId w:val="63"/>
        </w:numPr>
        <w:rPr>
          <w:lang w:val="es-ES"/>
        </w:rPr>
      </w:pPr>
      <w:r w:rsidRPr="00F81435">
        <w:rPr>
          <w:lang w:val="es-ES"/>
        </w:rPr>
        <w:t xml:space="preserve">La preparación del fondo de las zanjas requerirá las operaciones siguientes: Rectificado del perfil longitudinal, recorte de las partes salientes que se acusen tanto en planta como en alzado, relleno con arena de las depresiones y apisonado general para preparar el asiento de la obra </w:t>
      </w:r>
    </w:p>
    <w:p w14:paraId="4B2E2C14" w14:textId="77777777" w:rsidR="00F81435" w:rsidRPr="00F81435" w:rsidRDefault="00F81435" w:rsidP="00E01981">
      <w:pPr>
        <w:pStyle w:val="NORMAL12"/>
        <w:numPr>
          <w:ilvl w:val="0"/>
          <w:numId w:val="63"/>
        </w:numPr>
        <w:rPr>
          <w:lang w:val="es-ES"/>
        </w:rPr>
      </w:pPr>
      <w:r w:rsidRPr="00F81435">
        <w:rPr>
          <w:lang w:val="es-ES"/>
        </w:rPr>
        <w:t>Durante el tiempo que permanezcan abiertas las zanjas establecerá el Contratista señales de peligro, especialmente por la noche.</w:t>
      </w:r>
    </w:p>
    <w:p w14:paraId="455DE896" w14:textId="77777777" w:rsidR="00F81435" w:rsidRPr="00F81435" w:rsidRDefault="00F81435" w:rsidP="00E01981">
      <w:pPr>
        <w:pStyle w:val="NORMAL12"/>
        <w:numPr>
          <w:ilvl w:val="0"/>
          <w:numId w:val="63"/>
        </w:numPr>
        <w:rPr>
          <w:lang w:val="es-ES"/>
        </w:rPr>
      </w:pPr>
      <w:r w:rsidRPr="00F81435">
        <w:rPr>
          <w:lang w:val="es-ES"/>
        </w:rPr>
        <w:t xml:space="preserve">Las entibaciones no se levantarán sin orden expresa del </w:t>
      </w:r>
      <w:proofErr w:type="gramStart"/>
      <w:r w:rsidRPr="00F81435">
        <w:rPr>
          <w:lang w:val="es-ES"/>
        </w:rPr>
        <w:t>Director</w:t>
      </w:r>
      <w:proofErr w:type="gramEnd"/>
      <w:r w:rsidRPr="00F81435">
        <w:rPr>
          <w:lang w:val="es-ES"/>
        </w:rPr>
        <w:t xml:space="preserve"> de Obra.</w:t>
      </w:r>
    </w:p>
    <w:p w14:paraId="3EB09CDB" w14:textId="77777777" w:rsidR="00F81435" w:rsidRPr="00F81435" w:rsidRDefault="00F81435" w:rsidP="00E01981">
      <w:pPr>
        <w:pStyle w:val="NORMAL12"/>
        <w:numPr>
          <w:ilvl w:val="0"/>
          <w:numId w:val="63"/>
        </w:numPr>
        <w:rPr>
          <w:lang w:val="es-ES"/>
        </w:rPr>
      </w:pPr>
      <w:r w:rsidRPr="00F81435">
        <w:rPr>
          <w:lang w:val="es-ES"/>
        </w:rPr>
        <w:t xml:space="preserve">En todas las entibaciones que el </w:t>
      </w:r>
      <w:proofErr w:type="gramStart"/>
      <w:r w:rsidRPr="00F81435">
        <w:rPr>
          <w:lang w:val="es-ES"/>
        </w:rPr>
        <w:t>Director</w:t>
      </w:r>
      <w:proofErr w:type="gramEnd"/>
      <w:r w:rsidRPr="00F81435">
        <w:rPr>
          <w:lang w:val="es-ES"/>
        </w:rPr>
        <w:t xml:space="preserve"> de la obra estime convenientes, el Contratista realizará los cálculos necesarios, basándose en las cargas máximas que puedan darse bajo las condiciones más desfavorables.</w:t>
      </w:r>
    </w:p>
    <w:p w14:paraId="187E59A6" w14:textId="77777777" w:rsidR="00F81435" w:rsidRPr="00F81435" w:rsidRDefault="00F81435" w:rsidP="00E01981">
      <w:pPr>
        <w:pStyle w:val="NORMAL12"/>
        <w:numPr>
          <w:ilvl w:val="0"/>
          <w:numId w:val="63"/>
        </w:numPr>
        <w:rPr>
          <w:lang w:val="es-ES"/>
        </w:rPr>
      </w:pPr>
      <w:r w:rsidRPr="00F81435">
        <w:rPr>
          <w:lang w:val="es-ES"/>
        </w:rPr>
        <w:t>La entibación se elevará como mínimo</w:t>
      </w:r>
      <w:r w:rsidR="00F803A4">
        <w:rPr>
          <w:lang w:val="es-ES"/>
        </w:rPr>
        <w:t xml:space="preserve"> cincuenta (50) centímetros </w:t>
      </w:r>
      <w:r w:rsidRPr="00F81435">
        <w:rPr>
          <w:lang w:val="es-ES"/>
        </w:rPr>
        <w:t>por encima de la línea del terreno o de la faja protectora.</w:t>
      </w:r>
    </w:p>
    <w:p w14:paraId="4241F1D9" w14:textId="77777777" w:rsidR="00F81435" w:rsidRPr="00F81435" w:rsidRDefault="00F81435" w:rsidP="00F81435">
      <w:pPr>
        <w:pStyle w:val="NORMAL12"/>
        <w:rPr>
          <w:lang w:val="es-ES"/>
        </w:rPr>
      </w:pPr>
      <w:r w:rsidRPr="00F81435">
        <w:rPr>
          <w:lang w:val="es-ES"/>
        </w:rPr>
        <w:t>La ejecución de los cimientos de estructuras se ajustará a las siguientes normas:</w:t>
      </w:r>
    </w:p>
    <w:p w14:paraId="76E7E2AD" w14:textId="77777777" w:rsidR="00F81435" w:rsidRDefault="00F81435" w:rsidP="00E01981">
      <w:pPr>
        <w:pStyle w:val="NORMAL12"/>
        <w:numPr>
          <w:ilvl w:val="0"/>
          <w:numId w:val="63"/>
        </w:numPr>
        <w:rPr>
          <w:lang w:val="es-ES"/>
        </w:rPr>
      </w:pPr>
      <w:r w:rsidRPr="00F81435">
        <w:rPr>
          <w:lang w:val="es-ES"/>
        </w:rPr>
        <w:t xml:space="preserve">La excavación y los eventuales </w:t>
      </w:r>
      <w:proofErr w:type="spellStart"/>
      <w:r w:rsidRPr="00F81435">
        <w:rPr>
          <w:lang w:val="es-ES"/>
        </w:rPr>
        <w:t>saneos</w:t>
      </w:r>
      <w:proofErr w:type="spellEnd"/>
      <w:r w:rsidRPr="00F81435">
        <w:rPr>
          <w:lang w:val="es-ES"/>
        </w:rPr>
        <w:t xml:space="preserve"> se harán hasta las profundidades indicadas en los planos y su planta inferior tendrá como dimensiones las de la zapata o encepado correspondiente, incrementadas en un metro, de forma que quede una </w:t>
      </w:r>
      <w:r w:rsidRPr="00050087">
        <w:rPr>
          <w:lang w:val="es-ES"/>
        </w:rPr>
        <w:t>plataforma de trabajo de medio metro en cada costero, para permitir su encofrado. Los taludes de excavación</w:t>
      </w:r>
      <w:r w:rsidR="00E850F6" w:rsidRPr="00050087">
        <w:rPr>
          <w:lang w:val="es-ES"/>
        </w:rPr>
        <w:t xml:space="preserve"> serán 1:1 sal</w:t>
      </w:r>
      <w:r w:rsidR="00C72006" w:rsidRPr="00050087">
        <w:rPr>
          <w:lang w:val="es-ES"/>
        </w:rPr>
        <w:t xml:space="preserve">vo que </w:t>
      </w:r>
      <w:r w:rsidR="001E2734" w:rsidRPr="00050087">
        <w:rPr>
          <w:lang w:val="es-ES"/>
        </w:rPr>
        <w:t xml:space="preserve">el </w:t>
      </w:r>
      <w:r w:rsidR="00217216" w:rsidRPr="00050087">
        <w:rPr>
          <w:lang w:val="es-ES"/>
        </w:rPr>
        <w:t>análisis</w:t>
      </w:r>
      <w:r w:rsidR="001E2734" w:rsidRPr="00050087">
        <w:rPr>
          <w:lang w:val="es-ES"/>
        </w:rPr>
        <w:t xml:space="preserve"> de los m</w:t>
      </w:r>
      <w:r w:rsidR="00E850F6" w:rsidRPr="00050087">
        <w:rPr>
          <w:lang w:val="es-ES"/>
        </w:rPr>
        <w:t>ateriales encontrados indique</w:t>
      </w:r>
      <w:r w:rsidR="00466EF6" w:rsidRPr="00050087">
        <w:rPr>
          <w:lang w:val="es-ES"/>
        </w:rPr>
        <w:t xml:space="preserve"> la idoneidad de otro talud</w:t>
      </w:r>
      <w:r w:rsidR="00E850F6" w:rsidRPr="00050087">
        <w:rPr>
          <w:lang w:val="es-ES"/>
        </w:rPr>
        <w:t>.</w:t>
      </w:r>
      <w:r w:rsidR="00E850F6">
        <w:rPr>
          <w:lang w:val="es-ES"/>
        </w:rPr>
        <w:t xml:space="preserve"> </w:t>
      </w:r>
    </w:p>
    <w:p w14:paraId="38F006AD" w14:textId="77777777" w:rsidR="00E850F6" w:rsidRPr="00F81435" w:rsidRDefault="00E850F6" w:rsidP="00E01981">
      <w:pPr>
        <w:pStyle w:val="NORMAL12"/>
        <w:numPr>
          <w:ilvl w:val="0"/>
          <w:numId w:val="63"/>
        </w:numPr>
        <w:rPr>
          <w:lang w:val="es-ES"/>
        </w:rPr>
      </w:pPr>
      <w:r>
        <w:rPr>
          <w:lang w:val="es-ES"/>
        </w:rPr>
        <w:t>No se admitirán nunca taludes verticales.</w:t>
      </w:r>
    </w:p>
    <w:p w14:paraId="6B3CF030" w14:textId="77777777" w:rsidR="00F81435" w:rsidRPr="00F81435" w:rsidRDefault="00F81435" w:rsidP="00E01981">
      <w:pPr>
        <w:pStyle w:val="NORMAL12"/>
        <w:numPr>
          <w:ilvl w:val="0"/>
          <w:numId w:val="63"/>
        </w:numPr>
        <w:rPr>
          <w:lang w:val="es-ES"/>
        </w:rPr>
      </w:pPr>
      <w:r w:rsidRPr="00F81435">
        <w:rPr>
          <w:lang w:val="es-ES"/>
        </w:rPr>
        <w:t xml:space="preserve">Si a juicio del </w:t>
      </w:r>
      <w:proofErr w:type="gramStart"/>
      <w:r w:rsidRPr="00F81435">
        <w:rPr>
          <w:lang w:val="es-ES"/>
        </w:rPr>
        <w:t>Director</w:t>
      </w:r>
      <w:proofErr w:type="gramEnd"/>
      <w:r w:rsidRPr="00F81435">
        <w:rPr>
          <w:lang w:val="es-ES"/>
        </w:rPr>
        <w:t xml:space="preserve"> de Obra el terreno en el nivel definido para la cimentación no tuviera las condiciones de resistencia, capacidad portante y homogeneidad exigidas en el Proyecto y reflejadas en los planos de estructuras, se proseguirá la </w:t>
      </w:r>
      <w:r w:rsidRPr="00F81435">
        <w:rPr>
          <w:lang w:val="es-ES"/>
        </w:rPr>
        <w:t>excavación, con taludes verticales, hasta conseguir un nivel que reúna dichas características, rellenando posteriormente con hormigón de limpieza (según EH-E y el artículo 600 de este Pliego) hasta la cota de la base de la zapata. El espesor de la capa de hormigón dispuesta no excederá de 1,50</w:t>
      </w:r>
      <w:r w:rsidR="00F803A4">
        <w:rPr>
          <w:lang w:val="es-ES"/>
        </w:rPr>
        <w:t xml:space="preserve"> metros.</w:t>
      </w:r>
    </w:p>
    <w:p w14:paraId="1BD75D5F" w14:textId="77777777" w:rsidR="00F81435" w:rsidRPr="00F81435" w:rsidRDefault="00F81435" w:rsidP="00E01981">
      <w:pPr>
        <w:pStyle w:val="NORMAL12"/>
        <w:numPr>
          <w:ilvl w:val="0"/>
          <w:numId w:val="63"/>
        </w:numPr>
        <w:rPr>
          <w:lang w:val="es-ES"/>
        </w:rPr>
      </w:pPr>
      <w:r w:rsidRPr="00F81435">
        <w:rPr>
          <w:lang w:val="es-ES"/>
        </w:rPr>
        <w:t>En la puntera de muros y estribos de puente se extremará el cuidado en la compactación del relleno localizado, a fin de garantizar un adecuado contacto del terreno con la estructura que movilice la resistencia pasiva del terreno en el canto de la zapata o encepado frente a la solicitación de empuje de tierras en el trasdós del muro o estribo.</w:t>
      </w:r>
    </w:p>
    <w:p w14:paraId="3025C9C6" w14:textId="77777777" w:rsidR="00E43FA5" w:rsidRPr="005864C2" w:rsidRDefault="00E43FA5" w:rsidP="000313DD">
      <w:pPr>
        <w:pStyle w:val="TITU2"/>
      </w:pPr>
      <w:bookmarkStart w:id="398" w:name="_Toc404191"/>
      <w:r w:rsidRPr="005864C2">
        <w:t>321.6. Medición y abono</w:t>
      </w:r>
      <w:bookmarkEnd w:id="398"/>
    </w:p>
    <w:p w14:paraId="34BA769D" w14:textId="77777777" w:rsidR="00F81435" w:rsidRDefault="00F803A4" w:rsidP="00F803A4">
      <w:pPr>
        <w:pStyle w:val="NORMAL12"/>
        <w:rPr>
          <w:lang w:val="es-ES"/>
        </w:rPr>
      </w:pPr>
      <w:r>
        <w:rPr>
          <w:lang w:val="es-ES"/>
        </w:rPr>
        <w:t xml:space="preserve">La </w:t>
      </w:r>
      <w:r w:rsidR="00F81435" w:rsidRPr="00F803A4">
        <w:rPr>
          <w:lang w:val="es-ES"/>
        </w:rPr>
        <w:t xml:space="preserve">medición y abono de la unidad de obra de excavación en zanja a la que hace </w:t>
      </w:r>
      <w:r>
        <w:rPr>
          <w:lang w:val="es-ES"/>
        </w:rPr>
        <w:t xml:space="preserve">referencia el presente Artículo se realizará según las especificaciones siguientes: </w:t>
      </w:r>
      <w:r w:rsidR="00F81435" w:rsidRPr="00F803A4">
        <w:rPr>
          <w:lang w:val="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79"/>
        <w:gridCol w:w="7799"/>
      </w:tblGrid>
      <w:tr w:rsidR="00E850F6" w:rsidRPr="009B23E5" w14:paraId="3F6A92E7" w14:textId="77777777" w:rsidTr="00741E3E">
        <w:tc>
          <w:tcPr>
            <w:tcW w:w="0" w:type="auto"/>
            <w:vAlign w:val="center"/>
          </w:tcPr>
          <w:p w14:paraId="70653C06" w14:textId="77777777" w:rsidR="00E850F6" w:rsidRPr="009B23E5" w:rsidRDefault="00E850F6" w:rsidP="00E50149">
            <w:pPr>
              <w:pStyle w:val="LCATabla"/>
              <w:keepNext/>
              <w:jc w:val="center"/>
              <w:rPr>
                <w:rFonts w:ascii="Arial" w:hAnsi="Arial" w:cs="Arial"/>
                <w:b/>
                <w:bCs/>
                <w:sz w:val="20"/>
              </w:rPr>
            </w:pPr>
            <w:r w:rsidRPr="009B23E5">
              <w:rPr>
                <w:rFonts w:ascii="Arial" w:hAnsi="Arial" w:cs="Arial"/>
                <w:b/>
                <w:bCs/>
                <w:sz w:val="20"/>
              </w:rPr>
              <w:t>Unidad de medida</w:t>
            </w:r>
          </w:p>
        </w:tc>
        <w:tc>
          <w:tcPr>
            <w:tcW w:w="0" w:type="auto"/>
            <w:vAlign w:val="center"/>
          </w:tcPr>
          <w:p w14:paraId="76BCADF5" w14:textId="77777777" w:rsidR="00E850F6" w:rsidRPr="009B23E5" w:rsidRDefault="00E850F6" w:rsidP="00552D4A">
            <w:pPr>
              <w:pStyle w:val="LCATabla"/>
              <w:keepNext/>
              <w:jc w:val="both"/>
              <w:rPr>
                <w:rFonts w:ascii="Arial" w:hAnsi="Arial" w:cs="Arial"/>
                <w:sz w:val="20"/>
              </w:rPr>
            </w:pPr>
            <w:r w:rsidRPr="009B23E5">
              <w:rPr>
                <w:rFonts w:ascii="Arial" w:hAnsi="Arial" w:cs="Arial"/>
                <w:sz w:val="20"/>
              </w:rPr>
              <w:t>Metro cúbico (m</w:t>
            </w:r>
            <w:r w:rsidRPr="00050087">
              <w:rPr>
                <w:rFonts w:ascii="Arial" w:hAnsi="Arial" w:cs="Arial"/>
                <w:sz w:val="20"/>
                <w:vertAlign w:val="superscript"/>
              </w:rPr>
              <w:t>3</w:t>
            </w:r>
            <w:r w:rsidRPr="009B23E5">
              <w:rPr>
                <w:rFonts w:ascii="Arial" w:hAnsi="Arial" w:cs="Arial"/>
                <w:sz w:val="20"/>
              </w:rPr>
              <w:t>).</w:t>
            </w:r>
          </w:p>
        </w:tc>
      </w:tr>
      <w:tr w:rsidR="00E850F6" w:rsidRPr="009B23E5" w14:paraId="109C25FB" w14:textId="77777777" w:rsidTr="00741E3E">
        <w:tc>
          <w:tcPr>
            <w:tcW w:w="0" w:type="auto"/>
            <w:vAlign w:val="center"/>
          </w:tcPr>
          <w:p w14:paraId="76928E58" w14:textId="77777777" w:rsidR="00E850F6" w:rsidRPr="009B23E5" w:rsidRDefault="00E850F6" w:rsidP="00E50149">
            <w:pPr>
              <w:pStyle w:val="LCATabla"/>
              <w:keepNext/>
              <w:jc w:val="center"/>
              <w:rPr>
                <w:rFonts w:ascii="Arial" w:hAnsi="Arial" w:cs="Arial"/>
                <w:b/>
                <w:bCs/>
                <w:sz w:val="20"/>
              </w:rPr>
            </w:pPr>
            <w:r w:rsidRPr="009B23E5">
              <w:rPr>
                <w:rFonts w:ascii="Arial" w:hAnsi="Arial" w:cs="Arial"/>
                <w:b/>
                <w:bCs/>
                <w:sz w:val="20"/>
              </w:rPr>
              <w:t>Grado de precisión</w:t>
            </w:r>
          </w:p>
        </w:tc>
        <w:tc>
          <w:tcPr>
            <w:tcW w:w="0" w:type="auto"/>
            <w:vAlign w:val="center"/>
          </w:tcPr>
          <w:p w14:paraId="6F6BAB6B" w14:textId="77777777" w:rsidR="00E850F6" w:rsidRPr="009B23E5" w:rsidRDefault="00E850F6" w:rsidP="00552D4A">
            <w:pPr>
              <w:pStyle w:val="LCATabla"/>
              <w:keepNext/>
              <w:jc w:val="both"/>
              <w:rPr>
                <w:rFonts w:ascii="Arial" w:hAnsi="Arial" w:cs="Arial"/>
                <w:sz w:val="20"/>
              </w:rPr>
            </w:pPr>
            <w:r w:rsidRPr="009B23E5">
              <w:rPr>
                <w:rFonts w:ascii="Arial" w:hAnsi="Arial" w:cs="Arial"/>
                <w:sz w:val="20"/>
              </w:rPr>
              <w:t>Dos decimales.</w:t>
            </w:r>
          </w:p>
        </w:tc>
      </w:tr>
      <w:tr w:rsidR="00E850F6" w:rsidRPr="009B23E5" w14:paraId="261F8030" w14:textId="77777777" w:rsidTr="00741E3E">
        <w:tc>
          <w:tcPr>
            <w:tcW w:w="0" w:type="auto"/>
            <w:vAlign w:val="center"/>
          </w:tcPr>
          <w:p w14:paraId="5169B645" w14:textId="77777777" w:rsidR="00E850F6" w:rsidRPr="009B23E5" w:rsidRDefault="00E850F6" w:rsidP="00E50149">
            <w:pPr>
              <w:pStyle w:val="LCATabla"/>
              <w:keepNext/>
              <w:jc w:val="center"/>
              <w:rPr>
                <w:rFonts w:ascii="Arial" w:hAnsi="Arial" w:cs="Arial"/>
                <w:b/>
                <w:bCs/>
                <w:sz w:val="20"/>
              </w:rPr>
            </w:pPr>
            <w:r w:rsidRPr="009B23E5">
              <w:rPr>
                <w:rFonts w:ascii="Arial" w:hAnsi="Arial" w:cs="Arial"/>
                <w:b/>
                <w:bCs/>
                <w:sz w:val="20"/>
              </w:rPr>
              <w:t>Forma de medición</w:t>
            </w:r>
          </w:p>
        </w:tc>
        <w:tc>
          <w:tcPr>
            <w:tcW w:w="0" w:type="auto"/>
            <w:vAlign w:val="center"/>
          </w:tcPr>
          <w:p w14:paraId="5F8255B9" w14:textId="77777777" w:rsidR="00E850F6" w:rsidRPr="009B23E5" w:rsidRDefault="00E850F6" w:rsidP="00552D4A">
            <w:pPr>
              <w:pStyle w:val="LCATabla"/>
              <w:keepNext/>
              <w:jc w:val="both"/>
              <w:rPr>
                <w:rFonts w:ascii="Arial" w:hAnsi="Arial" w:cs="Arial"/>
                <w:sz w:val="20"/>
              </w:rPr>
            </w:pPr>
            <w:r w:rsidRPr="009B23E5">
              <w:rPr>
                <w:rFonts w:ascii="Arial" w:hAnsi="Arial" w:cs="Arial"/>
                <w:sz w:val="20"/>
              </w:rPr>
              <w:t>Diferencia entre los perfiles reales del terreno antes de comenzar los trabajos y los teóricos que resultarán de aplicar las secciones definidas en los Planos.</w:t>
            </w:r>
          </w:p>
        </w:tc>
      </w:tr>
      <w:tr w:rsidR="00E850F6" w:rsidRPr="009B23E5" w14:paraId="73A2A0AE" w14:textId="77777777" w:rsidTr="00741E3E">
        <w:tc>
          <w:tcPr>
            <w:tcW w:w="0" w:type="auto"/>
            <w:vAlign w:val="center"/>
          </w:tcPr>
          <w:p w14:paraId="21856D15" w14:textId="77777777" w:rsidR="00E850F6" w:rsidRPr="009B23E5" w:rsidRDefault="00E850F6" w:rsidP="00E50149">
            <w:pPr>
              <w:pStyle w:val="LCATabla"/>
              <w:keepNext/>
              <w:jc w:val="center"/>
              <w:rPr>
                <w:rFonts w:ascii="Arial" w:hAnsi="Arial" w:cs="Arial"/>
                <w:b/>
                <w:bCs/>
                <w:sz w:val="20"/>
              </w:rPr>
            </w:pPr>
            <w:r w:rsidRPr="009B23E5">
              <w:rPr>
                <w:rFonts w:ascii="Arial" w:hAnsi="Arial" w:cs="Arial"/>
                <w:b/>
                <w:bCs/>
                <w:sz w:val="20"/>
              </w:rPr>
              <w:t>Abono</w:t>
            </w:r>
          </w:p>
        </w:tc>
        <w:tc>
          <w:tcPr>
            <w:tcW w:w="0" w:type="auto"/>
            <w:vAlign w:val="center"/>
          </w:tcPr>
          <w:p w14:paraId="16B68896" w14:textId="77777777" w:rsidR="00E850F6" w:rsidRPr="009B23E5" w:rsidRDefault="00E850F6" w:rsidP="00552D4A">
            <w:pPr>
              <w:pStyle w:val="LCATabla"/>
              <w:keepNext/>
              <w:jc w:val="both"/>
              <w:rPr>
                <w:rFonts w:ascii="Arial" w:hAnsi="Arial" w:cs="Arial"/>
                <w:sz w:val="20"/>
              </w:rPr>
            </w:pPr>
            <w:r w:rsidRPr="009B23E5">
              <w:rPr>
                <w:rFonts w:ascii="Arial" w:hAnsi="Arial" w:cs="Arial"/>
                <w:sz w:val="20"/>
              </w:rPr>
              <w:t>Se efectuará cuando se realice la aceptación.</w:t>
            </w:r>
          </w:p>
        </w:tc>
      </w:tr>
      <w:tr w:rsidR="00E850F6" w:rsidRPr="009B23E5" w14:paraId="6CB5DDA8" w14:textId="77777777" w:rsidTr="00741E3E">
        <w:tc>
          <w:tcPr>
            <w:tcW w:w="0" w:type="auto"/>
            <w:vAlign w:val="center"/>
          </w:tcPr>
          <w:p w14:paraId="40FB2A46" w14:textId="77777777" w:rsidR="00E850F6" w:rsidRPr="009B23E5" w:rsidRDefault="00E850F6" w:rsidP="00E50149">
            <w:pPr>
              <w:pStyle w:val="LCATabla"/>
              <w:keepNext/>
              <w:jc w:val="center"/>
              <w:rPr>
                <w:rFonts w:ascii="Arial" w:hAnsi="Arial" w:cs="Arial"/>
                <w:b/>
                <w:bCs/>
                <w:sz w:val="20"/>
              </w:rPr>
            </w:pPr>
            <w:r w:rsidRPr="009B23E5">
              <w:rPr>
                <w:rFonts w:ascii="Arial" w:hAnsi="Arial" w:cs="Arial"/>
                <w:b/>
                <w:bCs/>
                <w:sz w:val="20"/>
              </w:rPr>
              <w:t>Criterios complementarios</w:t>
            </w:r>
          </w:p>
        </w:tc>
        <w:tc>
          <w:tcPr>
            <w:tcW w:w="0" w:type="auto"/>
            <w:vAlign w:val="center"/>
          </w:tcPr>
          <w:p w14:paraId="7E918B07" w14:textId="77777777" w:rsidR="00E850F6" w:rsidRPr="009B23E5" w:rsidRDefault="00E850F6" w:rsidP="00552D4A">
            <w:pPr>
              <w:pStyle w:val="LCATabla"/>
              <w:keepNext/>
              <w:jc w:val="both"/>
              <w:rPr>
                <w:rFonts w:ascii="Arial" w:hAnsi="Arial" w:cs="Arial"/>
                <w:sz w:val="20"/>
              </w:rPr>
            </w:pPr>
            <w:r w:rsidRPr="009B23E5">
              <w:rPr>
                <w:rFonts w:ascii="Arial" w:hAnsi="Arial" w:cs="Arial"/>
                <w:sz w:val="20"/>
              </w:rPr>
              <w:t>En el precio se incluyen las entibaciones y agotamientos necesarios, así como el transporte de producto sobrante a vertedero, acopio o lugar de empleo.</w:t>
            </w:r>
          </w:p>
          <w:p w14:paraId="308F9650" w14:textId="77777777" w:rsidR="00E850F6" w:rsidRPr="009B23E5" w:rsidRDefault="00E850F6" w:rsidP="00552D4A">
            <w:pPr>
              <w:pStyle w:val="LCATabla"/>
              <w:keepNext/>
              <w:jc w:val="both"/>
              <w:rPr>
                <w:rFonts w:ascii="Arial" w:hAnsi="Arial" w:cs="Arial"/>
                <w:sz w:val="20"/>
              </w:rPr>
            </w:pPr>
            <w:r w:rsidRPr="009B23E5">
              <w:rPr>
                <w:rFonts w:ascii="Arial" w:hAnsi="Arial" w:cs="Arial"/>
                <w:sz w:val="20"/>
              </w:rPr>
              <w:t>No serán objeto de medición y abono por este artículo aquellas excavaciones consideradas en otras unidades.</w:t>
            </w:r>
          </w:p>
          <w:p w14:paraId="0F863DD4" w14:textId="77777777" w:rsidR="00E850F6" w:rsidRDefault="00E850F6" w:rsidP="00552D4A">
            <w:pPr>
              <w:pStyle w:val="LCATabla"/>
              <w:keepNext/>
              <w:jc w:val="both"/>
              <w:rPr>
                <w:rFonts w:ascii="Arial" w:hAnsi="Arial" w:cs="Arial"/>
                <w:sz w:val="20"/>
              </w:rPr>
            </w:pPr>
            <w:r w:rsidRPr="009B23E5">
              <w:rPr>
                <w:rFonts w:ascii="Arial" w:hAnsi="Arial" w:cs="Arial"/>
                <w:sz w:val="20"/>
              </w:rPr>
              <w:t xml:space="preserve">En zanjas y pozos se medirá </w:t>
            </w:r>
            <w:proofErr w:type="gramStart"/>
            <w:r w:rsidRPr="009B23E5">
              <w:rPr>
                <w:rFonts w:ascii="Arial" w:hAnsi="Arial" w:cs="Arial"/>
                <w:sz w:val="20"/>
              </w:rPr>
              <w:t>de acuerdo al</w:t>
            </w:r>
            <w:proofErr w:type="gramEnd"/>
            <w:r w:rsidRPr="009B23E5">
              <w:rPr>
                <w:rFonts w:ascii="Arial" w:hAnsi="Arial" w:cs="Arial"/>
                <w:sz w:val="20"/>
              </w:rPr>
              <w:t xml:space="preserve"> perfil teórico indicado en planos. En cimentaciones se medirá hallando el volumen del prisma de caras laterales verticales, cuya base inferior, situada a la cota de cimentación está determinada por la superficie de lados paralelos, a una distancia de un metro (</w:t>
            </w:r>
            <w:smartTag w:uri="urn:schemas-microsoft-com:office:smarttags" w:element="metricconverter">
              <w:smartTagPr>
                <w:attr w:name="ProductID" w:val="1 m"/>
              </w:smartTagPr>
              <w:r w:rsidRPr="009B23E5">
                <w:rPr>
                  <w:rFonts w:ascii="Arial" w:hAnsi="Arial" w:cs="Arial"/>
                  <w:sz w:val="20"/>
                </w:rPr>
                <w:t>1 m</w:t>
              </w:r>
            </w:smartTag>
            <w:r w:rsidRPr="009B23E5">
              <w:rPr>
                <w:rFonts w:ascii="Arial" w:hAnsi="Arial" w:cs="Arial"/>
                <w:sz w:val="20"/>
              </w:rPr>
              <w:t>) a los lados de la zapata correspondiente y cuya base superior es la intersección de las caras laterales con el fondo del desmonte, la cota de explanación o, en el caso de obras situadas fuera de desmonte a realizar, con el terreno natural.</w:t>
            </w:r>
          </w:p>
          <w:p w14:paraId="2BFE9B6C" w14:textId="77777777" w:rsidR="00E850F6" w:rsidRDefault="00E850F6" w:rsidP="00552D4A">
            <w:pPr>
              <w:pStyle w:val="LCATabla"/>
              <w:keepNext/>
              <w:jc w:val="both"/>
              <w:rPr>
                <w:rFonts w:ascii="Arial" w:hAnsi="Arial" w:cs="Arial"/>
                <w:sz w:val="20"/>
              </w:rPr>
            </w:pPr>
            <w:r w:rsidRPr="009B23E5">
              <w:rPr>
                <w:rFonts w:ascii="Arial" w:hAnsi="Arial" w:cs="Arial"/>
                <w:sz w:val="20"/>
              </w:rPr>
              <w:t xml:space="preserve">El volumen realmente excavado por los taludes y sobreanchos reales </w:t>
            </w:r>
            <w:proofErr w:type="gramStart"/>
            <w:r w:rsidRPr="009B23E5">
              <w:rPr>
                <w:rFonts w:ascii="Arial" w:hAnsi="Arial" w:cs="Arial"/>
                <w:sz w:val="20"/>
              </w:rPr>
              <w:t>ejecutados,</w:t>
            </w:r>
            <w:proofErr w:type="gramEnd"/>
            <w:r w:rsidRPr="009B23E5">
              <w:rPr>
                <w:rFonts w:ascii="Arial" w:hAnsi="Arial" w:cs="Arial"/>
                <w:sz w:val="20"/>
              </w:rPr>
              <w:t xml:space="preserve"> se considera en todo caso incluido dentro de la medición teórica definida en el párrafo anterior, siendo la misma la única objeto de abono.</w:t>
            </w:r>
          </w:p>
          <w:p w14:paraId="619D5AEB" w14:textId="77777777" w:rsidR="00F139D5" w:rsidRPr="009B23E5" w:rsidRDefault="00F139D5" w:rsidP="00552D4A">
            <w:pPr>
              <w:pStyle w:val="LCATabla"/>
              <w:keepNext/>
              <w:jc w:val="both"/>
              <w:rPr>
                <w:rFonts w:ascii="Arial" w:hAnsi="Arial" w:cs="Arial"/>
                <w:sz w:val="20"/>
              </w:rPr>
            </w:pPr>
            <w:r>
              <w:rPr>
                <w:rFonts w:ascii="Arial" w:hAnsi="Arial" w:cs="Arial"/>
                <w:sz w:val="20"/>
              </w:rPr>
              <w:t>Incluye la carga y el transporte a vertedero hasta una distancia de diez kilómetros, para distancias superiores será objeto de medición y abono independiente.</w:t>
            </w:r>
          </w:p>
        </w:tc>
      </w:tr>
    </w:tbl>
    <w:p w14:paraId="180572A4" w14:textId="77777777" w:rsidR="00E850F6" w:rsidRDefault="00E850F6" w:rsidP="00F803A4">
      <w:pPr>
        <w:pStyle w:val="NORMAL12"/>
        <w:rPr>
          <w:lang w:val="es-ES"/>
        </w:rPr>
      </w:pPr>
    </w:p>
    <w:p w14:paraId="240BB3C1" w14:textId="77777777" w:rsidR="00E850F6" w:rsidRDefault="00693EA3" w:rsidP="00E850F6">
      <w:pPr>
        <w:pStyle w:val="NORMAL12"/>
        <w:rPr>
          <w:color w:val="365F91" w:themeColor="accent1" w:themeShade="BF"/>
        </w:rPr>
      </w:pPr>
      <w:r>
        <w:rPr>
          <w:lang w:val="es-ES"/>
        </w:rPr>
        <w:br w:type="column"/>
      </w:r>
      <w:r w:rsidR="00E850F6">
        <w:rPr>
          <w:lang w:val="es-ES"/>
        </w:rPr>
        <w:lastRenderedPageBreak/>
        <w:t xml:space="preserve">La </w:t>
      </w:r>
      <w:r w:rsidR="00E850F6" w:rsidRPr="00F803A4">
        <w:rPr>
          <w:lang w:val="es-ES"/>
        </w:rPr>
        <w:t xml:space="preserve">medición y abono de la unidad de </w:t>
      </w:r>
      <w:r w:rsidR="00E850F6">
        <w:rPr>
          <w:lang w:val="es-ES"/>
        </w:rPr>
        <w:t xml:space="preserve">precio del transporte para distancias mayores a 10 kilómetros se realizará según las especificaciones siguientes: </w:t>
      </w:r>
      <w:r w:rsidR="00E850F6" w:rsidRPr="00F803A4">
        <w:rPr>
          <w:lang w:val="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67"/>
        <w:gridCol w:w="7711"/>
      </w:tblGrid>
      <w:tr w:rsidR="00E850F6" w:rsidRPr="009B23E5" w14:paraId="39FFE840" w14:textId="77777777" w:rsidTr="00741E3E">
        <w:tc>
          <w:tcPr>
            <w:tcW w:w="0" w:type="auto"/>
            <w:vAlign w:val="center"/>
          </w:tcPr>
          <w:p w14:paraId="6FFBB319" w14:textId="77777777" w:rsidR="00E850F6" w:rsidRPr="009B23E5" w:rsidRDefault="00E850F6" w:rsidP="00E50149">
            <w:pPr>
              <w:pStyle w:val="LCATabla"/>
              <w:keepNext/>
              <w:jc w:val="center"/>
              <w:rPr>
                <w:rFonts w:ascii="Arial" w:hAnsi="Arial" w:cs="Arial"/>
                <w:b/>
                <w:bCs/>
                <w:sz w:val="20"/>
              </w:rPr>
            </w:pPr>
            <w:r w:rsidRPr="009B23E5">
              <w:rPr>
                <w:rFonts w:ascii="Arial" w:hAnsi="Arial" w:cs="Arial"/>
                <w:b/>
                <w:bCs/>
                <w:sz w:val="20"/>
              </w:rPr>
              <w:t>Unidad de medida</w:t>
            </w:r>
          </w:p>
        </w:tc>
        <w:tc>
          <w:tcPr>
            <w:tcW w:w="0" w:type="auto"/>
            <w:vAlign w:val="center"/>
          </w:tcPr>
          <w:p w14:paraId="2612CAEF" w14:textId="77777777" w:rsidR="00E850F6" w:rsidRPr="009B23E5" w:rsidRDefault="00E850F6" w:rsidP="00552D4A">
            <w:pPr>
              <w:pStyle w:val="LCATabla"/>
              <w:keepNext/>
              <w:jc w:val="both"/>
              <w:rPr>
                <w:rFonts w:ascii="Arial" w:hAnsi="Arial" w:cs="Arial"/>
                <w:sz w:val="20"/>
              </w:rPr>
            </w:pPr>
            <w:r w:rsidRPr="009B23E5">
              <w:rPr>
                <w:rFonts w:ascii="Arial" w:hAnsi="Arial" w:cs="Arial"/>
                <w:sz w:val="20"/>
              </w:rPr>
              <w:t xml:space="preserve">Metro cúbico </w:t>
            </w:r>
            <w:r>
              <w:rPr>
                <w:rFonts w:ascii="Arial" w:hAnsi="Arial" w:cs="Arial"/>
                <w:sz w:val="20"/>
              </w:rPr>
              <w:t xml:space="preserve">por kilómetro </w:t>
            </w:r>
            <w:r w:rsidRPr="009B23E5">
              <w:rPr>
                <w:rFonts w:ascii="Arial" w:hAnsi="Arial" w:cs="Arial"/>
                <w:sz w:val="20"/>
              </w:rPr>
              <w:t>(m</w:t>
            </w:r>
            <w:r w:rsidRPr="00E850F6">
              <w:rPr>
                <w:rFonts w:ascii="Arial" w:hAnsi="Arial" w:cs="Arial"/>
                <w:sz w:val="20"/>
                <w:vertAlign w:val="superscript"/>
              </w:rPr>
              <w:t>3</w:t>
            </w:r>
            <w:r>
              <w:rPr>
                <w:rFonts w:ascii="Arial" w:hAnsi="Arial" w:cs="Arial"/>
                <w:sz w:val="20"/>
              </w:rPr>
              <w:t>*km</w:t>
            </w:r>
            <w:r w:rsidRPr="009B23E5">
              <w:rPr>
                <w:rFonts w:ascii="Arial" w:hAnsi="Arial" w:cs="Arial"/>
                <w:sz w:val="20"/>
              </w:rPr>
              <w:t>).</w:t>
            </w:r>
          </w:p>
        </w:tc>
      </w:tr>
      <w:tr w:rsidR="00E850F6" w:rsidRPr="009B23E5" w14:paraId="27500861" w14:textId="77777777" w:rsidTr="00741E3E">
        <w:tc>
          <w:tcPr>
            <w:tcW w:w="0" w:type="auto"/>
            <w:vAlign w:val="center"/>
          </w:tcPr>
          <w:p w14:paraId="297DA649" w14:textId="77777777" w:rsidR="00E850F6" w:rsidRPr="009B23E5" w:rsidRDefault="00E850F6" w:rsidP="00E50149">
            <w:pPr>
              <w:pStyle w:val="LCATabla"/>
              <w:keepNext/>
              <w:jc w:val="center"/>
              <w:rPr>
                <w:rFonts w:ascii="Arial" w:hAnsi="Arial" w:cs="Arial"/>
                <w:b/>
                <w:bCs/>
                <w:sz w:val="20"/>
              </w:rPr>
            </w:pPr>
            <w:r w:rsidRPr="009B23E5">
              <w:rPr>
                <w:rFonts w:ascii="Arial" w:hAnsi="Arial" w:cs="Arial"/>
                <w:b/>
                <w:bCs/>
                <w:sz w:val="20"/>
              </w:rPr>
              <w:t>Grado de precisión</w:t>
            </w:r>
          </w:p>
        </w:tc>
        <w:tc>
          <w:tcPr>
            <w:tcW w:w="0" w:type="auto"/>
            <w:vAlign w:val="center"/>
          </w:tcPr>
          <w:p w14:paraId="5460F97D" w14:textId="77777777" w:rsidR="00E850F6" w:rsidRPr="009B23E5" w:rsidRDefault="00E850F6" w:rsidP="00552D4A">
            <w:pPr>
              <w:pStyle w:val="LCATabla"/>
              <w:keepNext/>
              <w:jc w:val="both"/>
              <w:rPr>
                <w:rFonts w:ascii="Arial" w:hAnsi="Arial" w:cs="Arial"/>
                <w:sz w:val="20"/>
              </w:rPr>
            </w:pPr>
            <w:r w:rsidRPr="009B23E5">
              <w:rPr>
                <w:rFonts w:ascii="Arial" w:hAnsi="Arial" w:cs="Arial"/>
                <w:sz w:val="20"/>
              </w:rPr>
              <w:t>Dos decimales.</w:t>
            </w:r>
          </w:p>
        </w:tc>
      </w:tr>
      <w:tr w:rsidR="00E850F6" w:rsidRPr="009B23E5" w14:paraId="430B99C8" w14:textId="77777777" w:rsidTr="00741E3E">
        <w:tc>
          <w:tcPr>
            <w:tcW w:w="0" w:type="auto"/>
            <w:vAlign w:val="center"/>
          </w:tcPr>
          <w:p w14:paraId="445E2E28" w14:textId="77777777" w:rsidR="00E850F6" w:rsidRPr="009B23E5" w:rsidRDefault="00E850F6" w:rsidP="00E50149">
            <w:pPr>
              <w:pStyle w:val="LCATabla"/>
              <w:keepNext/>
              <w:jc w:val="center"/>
              <w:rPr>
                <w:rFonts w:ascii="Arial" w:hAnsi="Arial" w:cs="Arial"/>
                <w:b/>
                <w:bCs/>
                <w:sz w:val="20"/>
              </w:rPr>
            </w:pPr>
            <w:r w:rsidRPr="009B23E5">
              <w:rPr>
                <w:rFonts w:ascii="Arial" w:hAnsi="Arial" w:cs="Arial"/>
                <w:b/>
                <w:bCs/>
                <w:sz w:val="20"/>
              </w:rPr>
              <w:t>Forma de medición</w:t>
            </w:r>
          </w:p>
        </w:tc>
        <w:tc>
          <w:tcPr>
            <w:tcW w:w="0" w:type="auto"/>
            <w:vAlign w:val="center"/>
          </w:tcPr>
          <w:p w14:paraId="6C1D81DB" w14:textId="77777777" w:rsidR="00E850F6" w:rsidRPr="009B23E5" w:rsidRDefault="00E850F6" w:rsidP="00552D4A">
            <w:pPr>
              <w:pStyle w:val="LCATabla"/>
              <w:keepNext/>
              <w:jc w:val="both"/>
              <w:rPr>
                <w:rFonts w:ascii="Arial" w:hAnsi="Arial" w:cs="Arial"/>
                <w:sz w:val="20"/>
              </w:rPr>
            </w:pPr>
            <w:r>
              <w:rPr>
                <w:rFonts w:ascii="Arial" w:hAnsi="Arial" w:cs="Arial"/>
                <w:sz w:val="20"/>
              </w:rPr>
              <w:t>Cálculo del volumen por d</w:t>
            </w:r>
            <w:r w:rsidRPr="009B23E5">
              <w:rPr>
                <w:rFonts w:ascii="Arial" w:hAnsi="Arial" w:cs="Arial"/>
                <w:sz w:val="20"/>
              </w:rPr>
              <w:t>iferencia entre los perfiles reales del terreno antes de comenzar los trabajos y los teóricos que resultarán de aplicar las secciones definidas en los Planos</w:t>
            </w:r>
            <w:r>
              <w:rPr>
                <w:rFonts w:ascii="Arial" w:hAnsi="Arial" w:cs="Arial"/>
                <w:sz w:val="20"/>
              </w:rPr>
              <w:t xml:space="preserve"> por los kilómetros recorridos por exceso a partir de diez (</w:t>
            </w:r>
            <w:proofErr w:type="gramStart"/>
            <w:r>
              <w:rPr>
                <w:rFonts w:ascii="Arial" w:hAnsi="Arial" w:cs="Arial"/>
                <w:sz w:val="20"/>
              </w:rPr>
              <w:t>10 )</w:t>
            </w:r>
            <w:proofErr w:type="gramEnd"/>
            <w:r>
              <w:rPr>
                <w:rFonts w:ascii="Arial" w:hAnsi="Arial" w:cs="Arial"/>
                <w:sz w:val="20"/>
              </w:rPr>
              <w:t xml:space="preserve"> kilómetros.</w:t>
            </w:r>
          </w:p>
        </w:tc>
      </w:tr>
      <w:tr w:rsidR="00E850F6" w:rsidRPr="009B23E5" w14:paraId="4777AE86" w14:textId="77777777" w:rsidTr="00741E3E">
        <w:tc>
          <w:tcPr>
            <w:tcW w:w="0" w:type="auto"/>
            <w:vAlign w:val="center"/>
          </w:tcPr>
          <w:p w14:paraId="2F1764CD" w14:textId="77777777" w:rsidR="00E850F6" w:rsidRPr="009B23E5" w:rsidRDefault="00E850F6" w:rsidP="00E50149">
            <w:pPr>
              <w:pStyle w:val="LCATabla"/>
              <w:keepNext/>
              <w:jc w:val="center"/>
              <w:rPr>
                <w:rFonts w:ascii="Arial" w:hAnsi="Arial" w:cs="Arial"/>
                <w:b/>
                <w:bCs/>
                <w:sz w:val="20"/>
              </w:rPr>
            </w:pPr>
            <w:r w:rsidRPr="009B23E5">
              <w:rPr>
                <w:rFonts w:ascii="Arial" w:hAnsi="Arial" w:cs="Arial"/>
                <w:b/>
                <w:bCs/>
                <w:sz w:val="20"/>
              </w:rPr>
              <w:t>Abono</w:t>
            </w:r>
          </w:p>
        </w:tc>
        <w:tc>
          <w:tcPr>
            <w:tcW w:w="0" w:type="auto"/>
            <w:vAlign w:val="center"/>
          </w:tcPr>
          <w:p w14:paraId="2F82C977" w14:textId="77777777" w:rsidR="00E850F6" w:rsidRPr="009B23E5" w:rsidRDefault="00E850F6" w:rsidP="00552D4A">
            <w:pPr>
              <w:pStyle w:val="LCATabla"/>
              <w:keepNext/>
              <w:jc w:val="both"/>
              <w:rPr>
                <w:rFonts w:ascii="Arial" w:hAnsi="Arial" w:cs="Arial"/>
                <w:sz w:val="20"/>
              </w:rPr>
            </w:pPr>
            <w:r w:rsidRPr="009B23E5">
              <w:rPr>
                <w:rFonts w:ascii="Arial" w:hAnsi="Arial" w:cs="Arial"/>
                <w:sz w:val="20"/>
              </w:rPr>
              <w:t>Se efectuará cuando se realice la aceptación.</w:t>
            </w:r>
          </w:p>
        </w:tc>
      </w:tr>
      <w:tr w:rsidR="00E850F6" w:rsidRPr="009B23E5" w14:paraId="0EF8A0F3" w14:textId="77777777" w:rsidTr="00741E3E">
        <w:tc>
          <w:tcPr>
            <w:tcW w:w="0" w:type="auto"/>
            <w:vAlign w:val="center"/>
          </w:tcPr>
          <w:p w14:paraId="556F31C8" w14:textId="77777777" w:rsidR="00E850F6" w:rsidRPr="009B23E5" w:rsidRDefault="00E850F6" w:rsidP="00E50149">
            <w:pPr>
              <w:pStyle w:val="LCATabla"/>
              <w:keepNext/>
              <w:jc w:val="center"/>
              <w:rPr>
                <w:rFonts w:ascii="Arial" w:hAnsi="Arial" w:cs="Arial"/>
                <w:b/>
                <w:bCs/>
                <w:sz w:val="20"/>
              </w:rPr>
            </w:pPr>
            <w:r w:rsidRPr="009B23E5">
              <w:rPr>
                <w:rFonts w:ascii="Arial" w:hAnsi="Arial" w:cs="Arial"/>
                <w:b/>
                <w:bCs/>
                <w:sz w:val="20"/>
              </w:rPr>
              <w:t>Criterios complementarios</w:t>
            </w:r>
          </w:p>
        </w:tc>
        <w:tc>
          <w:tcPr>
            <w:tcW w:w="0" w:type="auto"/>
            <w:vAlign w:val="center"/>
          </w:tcPr>
          <w:p w14:paraId="25D59D19" w14:textId="77777777" w:rsidR="00E850F6" w:rsidRPr="009B23E5" w:rsidRDefault="00693EA3" w:rsidP="00552D4A">
            <w:pPr>
              <w:pStyle w:val="LCATabla"/>
              <w:keepNext/>
              <w:jc w:val="both"/>
              <w:rPr>
                <w:rFonts w:ascii="Arial" w:hAnsi="Arial" w:cs="Arial"/>
                <w:sz w:val="20"/>
              </w:rPr>
            </w:pPr>
            <w:r>
              <w:rPr>
                <w:rFonts w:ascii="Arial" w:hAnsi="Arial" w:cs="Arial"/>
                <w:sz w:val="20"/>
              </w:rPr>
              <w:t>--</w:t>
            </w:r>
          </w:p>
        </w:tc>
      </w:tr>
    </w:tbl>
    <w:p w14:paraId="73434E16" w14:textId="77777777" w:rsidR="00E850F6" w:rsidRDefault="00E850F6" w:rsidP="00F803A4">
      <w:pPr>
        <w:pStyle w:val="NORMAL12"/>
        <w:rPr>
          <w:color w:val="365F91" w:themeColor="accent1" w:themeShade="BF"/>
        </w:rPr>
      </w:pPr>
    </w:p>
    <w:p w14:paraId="78178A97" w14:textId="77777777" w:rsidR="00E43FA5" w:rsidRPr="00034D35" w:rsidRDefault="00E43FA5" w:rsidP="006F6223">
      <w:pPr>
        <w:pStyle w:val="TITU1"/>
      </w:pPr>
      <w:bookmarkStart w:id="399" w:name="_Toc404192"/>
      <w:r w:rsidRPr="00034D35">
        <w:lastRenderedPageBreak/>
        <w:t xml:space="preserve">Artículo 330. </w:t>
      </w:r>
      <w:r w:rsidR="00612024" w:rsidRPr="00034D35">
        <w:t>Terraplenes</w:t>
      </w:r>
      <w:bookmarkEnd w:id="399"/>
    </w:p>
    <w:p w14:paraId="3A2CB293" w14:textId="77777777" w:rsidR="00434C9E" w:rsidRPr="006B7EDC" w:rsidRDefault="00434C9E" w:rsidP="00434C9E">
      <w:pPr>
        <w:pStyle w:val="NORMAL12"/>
        <w:rPr>
          <w:lang w:val="es-ES"/>
        </w:rPr>
      </w:pPr>
      <w:r w:rsidRPr="00034D35">
        <w:rPr>
          <w:lang w:val="es-ES"/>
        </w:rPr>
        <w:t>Excepto para lo especificado en el presente Pliego de Prescripciones Técnicas particulares se seguirá lo prescrito en el vigente artículo 330 del PG-3</w:t>
      </w:r>
    </w:p>
    <w:p w14:paraId="5FCB84A5" w14:textId="77777777" w:rsidR="00E43FA5" w:rsidRPr="005864C2" w:rsidRDefault="00E43FA5" w:rsidP="000313DD">
      <w:pPr>
        <w:pStyle w:val="TITU2"/>
      </w:pPr>
      <w:bookmarkStart w:id="400" w:name="_Toc404193"/>
      <w:r w:rsidRPr="005864C2">
        <w:t>330.</w:t>
      </w:r>
      <w:r w:rsidR="00066BA3">
        <w:t>1</w:t>
      </w:r>
      <w:r w:rsidRPr="005864C2">
        <w:t xml:space="preserve">. </w:t>
      </w:r>
      <w:r w:rsidR="00F60ED6">
        <w:t>Aplicación</w:t>
      </w:r>
      <w:bookmarkEnd w:id="400"/>
      <w:r w:rsidR="00F60ED6">
        <w:t xml:space="preserve"> </w:t>
      </w:r>
    </w:p>
    <w:p w14:paraId="1DACA694" w14:textId="77777777" w:rsidR="00C50108" w:rsidRPr="00D123BE" w:rsidRDefault="00C50108" w:rsidP="00C50108">
      <w:pPr>
        <w:pStyle w:val="NORMAL12"/>
        <w:rPr>
          <w:lang w:val="es-ES"/>
        </w:rPr>
      </w:pPr>
      <w:r w:rsidRPr="00D123BE">
        <w:rPr>
          <w:lang w:val="es-ES"/>
        </w:rPr>
        <w:t xml:space="preserve">Las prescripciones del presente artículo </w:t>
      </w:r>
      <w:proofErr w:type="gramStart"/>
      <w:r w:rsidRPr="00D123BE">
        <w:rPr>
          <w:lang w:val="es-ES"/>
        </w:rPr>
        <w:t>son de aplicación</w:t>
      </w:r>
      <w:proofErr w:type="gramEnd"/>
      <w:r w:rsidRPr="00D123BE">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053"/>
        <w:gridCol w:w="774"/>
        <w:gridCol w:w="7951"/>
      </w:tblGrid>
      <w:tr w:rsidR="005864C2" w:rsidRPr="005864C2" w14:paraId="57E9F3B5" w14:textId="77777777" w:rsidTr="00707B9C">
        <w:trPr>
          <w:trHeight w:val="300"/>
        </w:trPr>
        <w:tc>
          <w:tcPr>
            <w:tcW w:w="538" w:type="pct"/>
            <w:noWrap/>
          </w:tcPr>
          <w:p w14:paraId="037F402E" w14:textId="77777777" w:rsidR="00C50108" w:rsidRPr="00050087" w:rsidRDefault="00C50108" w:rsidP="00687CE8">
            <w:pPr>
              <w:rPr>
                <w:rFonts w:ascii="Calibri" w:hAnsi="Calibri"/>
              </w:rPr>
            </w:pPr>
            <w:r w:rsidRPr="00050087">
              <w:rPr>
                <w:rFonts w:ascii="Calibri" w:hAnsi="Calibri"/>
              </w:rPr>
              <w:t xml:space="preserve">330.0050          </w:t>
            </w:r>
          </w:p>
        </w:tc>
        <w:tc>
          <w:tcPr>
            <w:tcW w:w="396" w:type="pct"/>
            <w:noWrap/>
          </w:tcPr>
          <w:p w14:paraId="43CDD1F8" w14:textId="77777777" w:rsidR="00C50108" w:rsidRPr="00050087" w:rsidRDefault="00C50108" w:rsidP="00687CE8">
            <w:pPr>
              <w:rPr>
                <w:rFonts w:ascii="Calibri" w:hAnsi="Calibri"/>
              </w:rPr>
            </w:pPr>
            <w:r w:rsidRPr="00050087">
              <w:rPr>
                <w:rFonts w:ascii="Calibri" w:hAnsi="Calibri"/>
              </w:rPr>
              <w:t>m</w:t>
            </w:r>
            <w:r w:rsidRPr="00050087">
              <w:rPr>
                <w:rFonts w:ascii="Calibri" w:hAnsi="Calibri"/>
                <w:vertAlign w:val="superscript"/>
              </w:rPr>
              <w:t>3</w:t>
            </w:r>
          </w:p>
        </w:tc>
        <w:tc>
          <w:tcPr>
            <w:tcW w:w="4065" w:type="pct"/>
          </w:tcPr>
          <w:p w14:paraId="49FCE5D8" w14:textId="77777777" w:rsidR="00707B9C" w:rsidRPr="00050087" w:rsidRDefault="00707B9C" w:rsidP="00E37538">
            <w:pPr>
              <w:jc w:val="both"/>
              <w:rPr>
                <w:rFonts w:ascii="Calibri" w:hAnsi="Calibri"/>
              </w:rPr>
            </w:pPr>
            <w:r w:rsidRPr="00050087">
              <w:rPr>
                <w:rFonts w:ascii="Calibri" w:hAnsi="Calibri"/>
              </w:rPr>
              <w:t>SUELO SELECCIONADO PROCEDENTE DE PRÉSTAMO, YACIMIENTO GRANULAR O CANTERA PARA FORMACIÓN DE EXPLANADA EN CORONACIÓN DE TERRAPLÉN Y EN FONDO DE DESMONTE i/ CANON DE CANTERA, EXCAVACIÓN DEL MATERIAL, CARGA Y TRANSPORTE AL LUGAR DE EMPLEO HASTA UNA DISTANCIA DE 30 km, EXTENDIDO, HUMECTACIÓN, COMPACTACIÓN, TERMINACIÓN Y REFINO DE LA SUPERFICIE DE LA CORONACIÓN Y REFINO DE LA SUPERFICIE.</w:t>
            </w:r>
          </w:p>
          <w:p w14:paraId="060A65A4" w14:textId="77777777" w:rsidR="00C50108" w:rsidRPr="00050087" w:rsidRDefault="00C50108" w:rsidP="00687CE8">
            <w:pPr>
              <w:rPr>
                <w:rFonts w:ascii="Calibri" w:hAnsi="Calibri"/>
              </w:rPr>
            </w:pPr>
          </w:p>
        </w:tc>
      </w:tr>
    </w:tbl>
    <w:p w14:paraId="45374A42" w14:textId="77777777" w:rsidR="00434C9E" w:rsidRDefault="00434C9E" w:rsidP="00434C9E">
      <w:pPr>
        <w:pStyle w:val="NORMAL12"/>
        <w:rPr>
          <w:lang w:val="es-ES"/>
        </w:rPr>
      </w:pPr>
      <w:r>
        <w:rPr>
          <w:lang w:val="es-ES"/>
        </w:rPr>
        <w:t>La ejecución de la unidad incluye la realización de las operaciones siguientes:</w:t>
      </w:r>
    </w:p>
    <w:p w14:paraId="7528A834" w14:textId="77777777" w:rsidR="00434C9E" w:rsidRPr="00F60ED6" w:rsidRDefault="00434C9E" w:rsidP="006D4837">
      <w:pPr>
        <w:pStyle w:val="NORMAL12"/>
        <w:numPr>
          <w:ilvl w:val="0"/>
          <w:numId w:val="32"/>
        </w:numPr>
        <w:rPr>
          <w:lang w:val="es-ES"/>
        </w:rPr>
      </w:pPr>
      <w:r w:rsidRPr="00F60ED6">
        <w:rPr>
          <w:lang w:val="es-ES"/>
        </w:rPr>
        <w:t>Aportación de los materiales, maquinaría, mano de obra, accesorios y equipos para la realización de rellenos con las condiciones requeridas.</w:t>
      </w:r>
    </w:p>
    <w:p w14:paraId="33C9D81D" w14:textId="77777777" w:rsidR="00434C9E" w:rsidRPr="00F60ED6" w:rsidRDefault="00434C9E" w:rsidP="006D4837">
      <w:pPr>
        <w:pStyle w:val="NORMAL12"/>
        <w:numPr>
          <w:ilvl w:val="0"/>
          <w:numId w:val="32"/>
        </w:numPr>
        <w:rPr>
          <w:lang w:val="es-ES"/>
        </w:rPr>
      </w:pPr>
      <w:r w:rsidRPr="00F60ED6">
        <w:rPr>
          <w:lang w:val="es-ES"/>
        </w:rPr>
        <w:t xml:space="preserve">Carga, transporte, vertido y colocación mediante la maquinaría adecuada y con los requisitos indicados en las unidades de obra correspondientes. </w:t>
      </w:r>
      <w:smartTag w:uri="urn:schemas-microsoft-com:office:smarttags" w:element="PersonName">
        <w:smartTagPr>
          <w:attr w:name="ProductID" w:val="La Unidad"/>
        </w:smartTagPr>
        <w:r w:rsidRPr="00F60ED6">
          <w:rPr>
            <w:lang w:val="es-ES"/>
          </w:rPr>
          <w:t>La Unidad</w:t>
        </w:r>
      </w:smartTag>
      <w:r w:rsidRPr="00F60ED6">
        <w:rPr>
          <w:lang w:val="es-ES"/>
        </w:rPr>
        <w:t xml:space="preserve"> incluye el transporte del material sobrante a vertedero y canon de vertido, si procede.</w:t>
      </w:r>
    </w:p>
    <w:p w14:paraId="6174A8E0" w14:textId="77777777" w:rsidR="00434C9E" w:rsidRPr="00F60ED6" w:rsidRDefault="00434C9E" w:rsidP="006D4837">
      <w:pPr>
        <w:pStyle w:val="NORMAL12"/>
        <w:numPr>
          <w:ilvl w:val="0"/>
          <w:numId w:val="32"/>
        </w:numPr>
        <w:rPr>
          <w:lang w:val="es-ES"/>
        </w:rPr>
      </w:pPr>
      <w:r w:rsidRPr="00F60ED6">
        <w:rPr>
          <w:lang w:val="es-ES"/>
        </w:rPr>
        <w:t xml:space="preserve">Preparación de la superficie de apoyo del relleno tipo terraplén. </w:t>
      </w:r>
    </w:p>
    <w:p w14:paraId="537F7922" w14:textId="77777777" w:rsidR="00434C9E" w:rsidRPr="00F60ED6" w:rsidRDefault="00434C9E" w:rsidP="006D4837">
      <w:pPr>
        <w:pStyle w:val="NORMAL12"/>
        <w:numPr>
          <w:ilvl w:val="0"/>
          <w:numId w:val="32"/>
        </w:numPr>
        <w:rPr>
          <w:lang w:val="es-ES"/>
        </w:rPr>
      </w:pPr>
      <w:r w:rsidRPr="00F60ED6">
        <w:rPr>
          <w:lang w:val="es-ES"/>
        </w:rPr>
        <w:t>Extensión de una tongada</w:t>
      </w:r>
    </w:p>
    <w:p w14:paraId="5C56EC6F" w14:textId="77777777" w:rsidR="00434C9E" w:rsidRPr="00F60ED6" w:rsidRDefault="00434C9E" w:rsidP="006D4837">
      <w:pPr>
        <w:pStyle w:val="NORMAL12"/>
        <w:numPr>
          <w:ilvl w:val="0"/>
          <w:numId w:val="32"/>
        </w:numPr>
        <w:rPr>
          <w:lang w:val="es-ES"/>
        </w:rPr>
      </w:pPr>
      <w:r w:rsidRPr="00F60ED6">
        <w:rPr>
          <w:lang w:val="es-ES"/>
        </w:rPr>
        <w:t>Humectación o desecación de una tongada, si fuera necesario</w:t>
      </w:r>
    </w:p>
    <w:p w14:paraId="0DB94B6C" w14:textId="77777777" w:rsidR="00434C9E" w:rsidRPr="00F60ED6" w:rsidRDefault="00434C9E" w:rsidP="006D4837">
      <w:pPr>
        <w:pStyle w:val="NORMAL12"/>
        <w:numPr>
          <w:ilvl w:val="0"/>
          <w:numId w:val="32"/>
        </w:numPr>
        <w:rPr>
          <w:lang w:val="es-ES"/>
        </w:rPr>
      </w:pPr>
      <w:r w:rsidRPr="00F60ED6">
        <w:rPr>
          <w:lang w:val="es-ES"/>
        </w:rPr>
        <w:t>Compactación de una tongada.</w:t>
      </w:r>
    </w:p>
    <w:p w14:paraId="188F33B2" w14:textId="77777777" w:rsidR="00434C9E" w:rsidRPr="00F60ED6" w:rsidRDefault="00434C9E" w:rsidP="006D4837">
      <w:pPr>
        <w:pStyle w:val="NORMAL12"/>
        <w:numPr>
          <w:ilvl w:val="0"/>
          <w:numId w:val="32"/>
        </w:numPr>
        <w:rPr>
          <w:lang w:val="es-ES"/>
        </w:rPr>
      </w:pPr>
      <w:r w:rsidRPr="00F60ED6">
        <w:rPr>
          <w:lang w:val="es-ES"/>
        </w:rPr>
        <w:t xml:space="preserve">Limpieza y retirada de sobrantes y terminación de </w:t>
      </w:r>
      <w:smartTag w:uri="urn:schemas-microsoft-com:office:smarttags" w:element="PersonName">
        <w:smartTagPr>
          <w:attr w:name="ProductID" w:val="la Unidad."/>
        </w:smartTagPr>
        <w:r w:rsidRPr="00F60ED6">
          <w:rPr>
            <w:lang w:val="es-ES"/>
          </w:rPr>
          <w:t>la Unidad.</w:t>
        </w:r>
      </w:smartTag>
    </w:p>
    <w:p w14:paraId="48BEF5C0" w14:textId="77777777" w:rsidR="00E43FA5" w:rsidRDefault="00E43FA5" w:rsidP="000313DD">
      <w:pPr>
        <w:pStyle w:val="TITU2"/>
      </w:pPr>
      <w:bookmarkStart w:id="401" w:name="_Toc404194"/>
      <w:r w:rsidRPr="00D61146">
        <w:t>330.</w:t>
      </w:r>
      <w:r w:rsidR="00066BA3">
        <w:t>2</w:t>
      </w:r>
      <w:r w:rsidRPr="00D61146">
        <w:t>. Materiales</w:t>
      </w:r>
      <w:bookmarkEnd w:id="401"/>
    </w:p>
    <w:p w14:paraId="60E6A888" w14:textId="77777777" w:rsidR="00F60ED6" w:rsidRPr="00D123BE" w:rsidRDefault="00F60ED6" w:rsidP="00F60ED6">
      <w:pPr>
        <w:pStyle w:val="NORMAL12"/>
        <w:rPr>
          <w:lang w:val="es-ES"/>
        </w:rPr>
      </w:pPr>
      <w:r w:rsidRPr="00F60ED6">
        <w:rPr>
          <w:lang w:val="es-ES"/>
        </w:rPr>
        <w:t xml:space="preserve">Se utilizarán solamente suelos seleccionados según el apartado 330.3 del PG-3. No se </w:t>
      </w:r>
      <w:r w:rsidRPr="00D123BE">
        <w:rPr>
          <w:lang w:val="es-ES"/>
        </w:rPr>
        <w:t>admiten los suelos tolerables, marginales e inadecuados, según la clasificación del referido apartado.</w:t>
      </w:r>
    </w:p>
    <w:p w14:paraId="0BDC44D3" w14:textId="77777777" w:rsidR="00F60ED6" w:rsidRPr="00034D35" w:rsidRDefault="00F60ED6" w:rsidP="00F60ED6">
      <w:pPr>
        <w:pStyle w:val="NORMAL12"/>
        <w:rPr>
          <w:lang w:val="es-ES"/>
        </w:rPr>
      </w:pPr>
      <w:r w:rsidRPr="00034D35">
        <w:rPr>
          <w:lang w:val="es-ES"/>
        </w:rPr>
        <w:t xml:space="preserve">Se considerarán </w:t>
      </w:r>
      <w:r w:rsidR="00F139D5" w:rsidRPr="00034D35">
        <w:rPr>
          <w:lang w:val="es-ES"/>
        </w:rPr>
        <w:t xml:space="preserve">suelos seleccionados </w:t>
      </w:r>
      <w:r w:rsidRPr="00034D35">
        <w:rPr>
          <w:lang w:val="es-ES"/>
        </w:rPr>
        <w:t>aquellos que cumplen las siguientes condiciones:</w:t>
      </w:r>
    </w:p>
    <w:p w14:paraId="1C48F6D8" w14:textId="77777777" w:rsidR="00F60ED6" w:rsidRPr="00034D35" w:rsidRDefault="00F60ED6" w:rsidP="006D4837">
      <w:pPr>
        <w:pStyle w:val="NORMAL12"/>
        <w:numPr>
          <w:ilvl w:val="0"/>
          <w:numId w:val="33"/>
        </w:numPr>
        <w:rPr>
          <w:lang w:val="es-ES"/>
        </w:rPr>
      </w:pPr>
      <w:r w:rsidRPr="00034D35">
        <w:rPr>
          <w:lang w:val="es-ES"/>
        </w:rPr>
        <w:t>Contenido en materia orgánica inferior al cero con dos por ciento (MO &lt; 0,2%), según UNE 103204.</w:t>
      </w:r>
    </w:p>
    <w:p w14:paraId="36328C0B" w14:textId="77777777" w:rsidR="00F60ED6" w:rsidRPr="00D123BE" w:rsidRDefault="00F60ED6" w:rsidP="006D4837">
      <w:pPr>
        <w:pStyle w:val="NORMAL12"/>
        <w:numPr>
          <w:ilvl w:val="0"/>
          <w:numId w:val="33"/>
        </w:numPr>
        <w:rPr>
          <w:lang w:val="es-ES"/>
        </w:rPr>
      </w:pPr>
      <w:r w:rsidRPr="00034D35">
        <w:rPr>
          <w:lang w:val="es-ES"/>
        </w:rPr>
        <w:t>Contenido en sales solubles</w:t>
      </w:r>
      <w:r w:rsidRPr="00D123BE">
        <w:rPr>
          <w:lang w:val="es-ES"/>
        </w:rPr>
        <w:t xml:space="preserve"> en agua, incluido el yeso, inferior al cero con dos por ciento (SS &lt; 0,2%), según NLT 114.</w:t>
      </w:r>
    </w:p>
    <w:p w14:paraId="4C335817" w14:textId="77777777" w:rsidR="00F60ED6" w:rsidRPr="00D123BE" w:rsidRDefault="00F60ED6" w:rsidP="006D4837">
      <w:pPr>
        <w:pStyle w:val="NORMAL12"/>
        <w:numPr>
          <w:ilvl w:val="0"/>
          <w:numId w:val="33"/>
        </w:numPr>
        <w:rPr>
          <w:lang w:val="es-ES"/>
        </w:rPr>
      </w:pPr>
      <w:r w:rsidRPr="00D123BE">
        <w:rPr>
          <w:lang w:val="es-ES"/>
        </w:rPr>
        <w:t>Tamaño máximo no superior a cien milímetros (</w:t>
      </w:r>
      <w:proofErr w:type="spellStart"/>
      <w:r w:rsidRPr="00D123BE">
        <w:rPr>
          <w:lang w:val="es-ES"/>
        </w:rPr>
        <w:t>Dmax</w:t>
      </w:r>
      <w:proofErr w:type="spellEnd"/>
      <w:r w:rsidRPr="00D123BE">
        <w:rPr>
          <w:lang w:val="es-ES"/>
        </w:rPr>
        <w:t xml:space="preserve"> </w:t>
      </w:r>
      <w:r w:rsidR="00F139D5">
        <w:rPr>
          <w:lang w:val="es-ES"/>
        </w:rPr>
        <w:t>≤</w:t>
      </w:r>
      <w:r w:rsidRPr="00D123BE">
        <w:rPr>
          <w:lang w:val="es-ES"/>
        </w:rPr>
        <w:t xml:space="preserve"> 100 mm).</w:t>
      </w:r>
    </w:p>
    <w:p w14:paraId="68C738E1" w14:textId="77777777" w:rsidR="00F60ED6" w:rsidRPr="00D123BE" w:rsidRDefault="00F60ED6" w:rsidP="006D4837">
      <w:pPr>
        <w:pStyle w:val="NORMAL12"/>
        <w:numPr>
          <w:ilvl w:val="0"/>
          <w:numId w:val="33"/>
        </w:numPr>
        <w:rPr>
          <w:lang w:val="es-ES"/>
        </w:rPr>
      </w:pPr>
      <w:r w:rsidRPr="00D123BE">
        <w:rPr>
          <w:lang w:val="es-ES"/>
        </w:rPr>
        <w:t xml:space="preserve">Cernido por el tamiz 0,40 UNE menor o igual que el quince por ciento (# 0,40 </w:t>
      </w:r>
      <w:r w:rsidR="00F139D5">
        <w:rPr>
          <w:lang w:val="es-ES"/>
        </w:rPr>
        <w:t>≤</w:t>
      </w:r>
      <w:r w:rsidRPr="00D123BE">
        <w:rPr>
          <w:lang w:val="es-ES"/>
        </w:rPr>
        <w:t xml:space="preserve"> 15%) que en caso contrario cumpla todas y cada una de las condiciones siguientes:</w:t>
      </w:r>
    </w:p>
    <w:p w14:paraId="3DDDF75D" w14:textId="77777777" w:rsidR="00F60ED6" w:rsidRPr="00D123BE" w:rsidRDefault="00F60ED6" w:rsidP="005D7B72">
      <w:pPr>
        <w:pStyle w:val="NORMAL12"/>
        <w:numPr>
          <w:ilvl w:val="1"/>
          <w:numId w:val="33"/>
        </w:numPr>
        <w:rPr>
          <w:lang w:val="es-ES"/>
        </w:rPr>
      </w:pPr>
      <w:r w:rsidRPr="00D123BE">
        <w:rPr>
          <w:lang w:val="es-ES"/>
        </w:rPr>
        <w:t>Cernido por el tamiz 2 UNE, menor del ochenta por ciento (# 2 &lt; 80%).</w:t>
      </w:r>
    </w:p>
    <w:p w14:paraId="07678CA5" w14:textId="77777777" w:rsidR="00F60ED6" w:rsidRPr="00D123BE" w:rsidRDefault="00F60ED6" w:rsidP="005D7B72">
      <w:pPr>
        <w:pStyle w:val="NORMAL12"/>
        <w:numPr>
          <w:ilvl w:val="1"/>
          <w:numId w:val="33"/>
        </w:numPr>
        <w:rPr>
          <w:lang w:val="es-ES"/>
        </w:rPr>
      </w:pPr>
      <w:r w:rsidRPr="00D123BE">
        <w:rPr>
          <w:lang w:val="es-ES"/>
        </w:rPr>
        <w:t>Cerni</w:t>
      </w:r>
      <w:r w:rsidR="00CE424A">
        <w:rPr>
          <w:lang w:val="es-ES"/>
        </w:rPr>
        <w:t>do por el</w:t>
      </w:r>
      <w:r w:rsidRPr="00D123BE">
        <w:rPr>
          <w:lang w:val="es-ES"/>
        </w:rPr>
        <w:t xml:space="preserve"> </w:t>
      </w:r>
      <w:r w:rsidR="00CE424A" w:rsidRPr="00D123BE">
        <w:rPr>
          <w:lang w:val="es-ES"/>
        </w:rPr>
        <w:t>tamiz 0,40 UNE, menor del setenta y cinco por ciento</w:t>
      </w:r>
      <w:r w:rsidRPr="00D123BE">
        <w:rPr>
          <w:lang w:val="es-ES"/>
        </w:rPr>
        <w:t xml:space="preserve"> (# 0,40 &lt; 75%).</w:t>
      </w:r>
    </w:p>
    <w:p w14:paraId="2A8B51F6" w14:textId="77777777" w:rsidR="00F60ED6" w:rsidRPr="00D123BE" w:rsidRDefault="00F60ED6" w:rsidP="005D7B72">
      <w:pPr>
        <w:pStyle w:val="NORMAL12"/>
        <w:numPr>
          <w:ilvl w:val="1"/>
          <w:numId w:val="33"/>
        </w:numPr>
        <w:rPr>
          <w:lang w:val="es-ES"/>
        </w:rPr>
      </w:pPr>
      <w:r w:rsidRPr="00D123BE">
        <w:rPr>
          <w:lang w:val="es-ES"/>
        </w:rPr>
        <w:t>Cernido por el tamiz 0,080 UNE inferior al veinticinco por ciento (# 0,080 &lt; 25%).</w:t>
      </w:r>
    </w:p>
    <w:p w14:paraId="3DD410CD" w14:textId="77777777" w:rsidR="00F60ED6" w:rsidRPr="00D123BE" w:rsidRDefault="00F60ED6" w:rsidP="005D7B72">
      <w:pPr>
        <w:pStyle w:val="NORMAL12"/>
        <w:numPr>
          <w:ilvl w:val="1"/>
          <w:numId w:val="33"/>
        </w:numPr>
        <w:rPr>
          <w:lang w:val="es-ES"/>
        </w:rPr>
      </w:pPr>
      <w:r w:rsidRPr="00D123BE">
        <w:rPr>
          <w:lang w:val="es-ES"/>
        </w:rPr>
        <w:t>Límite líquido menor de treinta (LL &lt; 30), según UNE 103103.</w:t>
      </w:r>
    </w:p>
    <w:p w14:paraId="0B95586D" w14:textId="77777777" w:rsidR="00F60ED6" w:rsidRPr="00D123BE" w:rsidRDefault="00F60ED6" w:rsidP="006D4837">
      <w:pPr>
        <w:pStyle w:val="NORMAL12"/>
        <w:numPr>
          <w:ilvl w:val="0"/>
          <w:numId w:val="33"/>
        </w:numPr>
        <w:rPr>
          <w:lang w:val="es-ES"/>
        </w:rPr>
      </w:pPr>
      <w:r w:rsidRPr="00D123BE">
        <w:rPr>
          <w:lang w:val="es-ES"/>
        </w:rPr>
        <w:t>Índice de plasticidad menor de diez (IP &lt; 10), según UNE 103103 y UNE 103104</w:t>
      </w:r>
    </w:p>
    <w:p w14:paraId="7B6DF9CD" w14:textId="77777777" w:rsidR="000B3B43" w:rsidRDefault="00F60ED6" w:rsidP="000313DD">
      <w:pPr>
        <w:pStyle w:val="TITU2"/>
      </w:pPr>
      <w:bookmarkStart w:id="402" w:name="_Toc404195"/>
      <w:r w:rsidRPr="005864C2">
        <w:t>330.</w:t>
      </w:r>
      <w:r w:rsidR="00D123BE">
        <w:t>5</w:t>
      </w:r>
      <w:r w:rsidRPr="005864C2">
        <w:t xml:space="preserve">. </w:t>
      </w:r>
      <w:r w:rsidR="000B3B43">
        <w:t>Ejecuc</w:t>
      </w:r>
      <w:r w:rsidR="00942A0D">
        <w:t>ión de las obras</w:t>
      </w:r>
      <w:bookmarkEnd w:id="402"/>
    </w:p>
    <w:p w14:paraId="4515341E" w14:textId="77777777" w:rsidR="00931385" w:rsidRPr="00931385" w:rsidRDefault="00931385" w:rsidP="00931385">
      <w:pPr>
        <w:pStyle w:val="NORMAL12"/>
        <w:rPr>
          <w:lang w:val="es-ES"/>
        </w:rPr>
      </w:pPr>
      <w:r>
        <w:rPr>
          <w:lang w:val="es-ES"/>
        </w:rPr>
        <w:t>Se cumplirá lo prescrito en el epígrafe 330.6 del PG-3 a excepción de las particularidades siguientes:</w:t>
      </w:r>
    </w:p>
    <w:p w14:paraId="597D4C79" w14:textId="77777777" w:rsidR="00931385" w:rsidRDefault="00931385" w:rsidP="00931385">
      <w:pPr>
        <w:pStyle w:val="NORMAL12"/>
        <w:rPr>
          <w:i/>
          <w:u w:val="single"/>
          <w:lang w:val="es-ES"/>
        </w:rPr>
      </w:pPr>
      <w:r w:rsidRPr="00931385">
        <w:rPr>
          <w:i/>
          <w:u w:val="single"/>
          <w:lang w:val="es-ES"/>
        </w:rPr>
        <w:t>Preparación de la superficie</w:t>
      </w:r>
    </w:p>
    <w:p w14:paraId="36EB952D" w14:textId="77777777" w:rsidR="00931385" w:rsidRDefault="00931385" w:rsidP="00931385">
      <w:pPr>
        <w:pStyle w:val="NORMAL12"/>
        <w:rPr>
          <w:lang w:val="es-ES"/>
        </w:rPr>
      </w:pPr>
      <w:r w:rsidRPr="00931385">
        <w:rPr>
          <w:lang w:val="es-ES"/>
        </w:rPr>
        <w:t xml:space="preserve">Si el </w:t>
      </w:r>
      <w:r w:rsidR="00217216" w:rsidRPr="00931385">
        <w:rPr>
          <w:lang w:val="es-ES"/>
        </w:rPr>
        <w:t>terraplén</w:t>
      </w:r>
      <w:r w:rsidRPr="00931385">
        <w:rPr>
          <w:lang w:val="es-ES"/>
        </w:rPr>
        <w:t xml:space="preserve"> se ejecuta sobre terreno natural previamente se debe llevar a cabo lo estipulado en los artículos 300. Desbroce del terreno y 320. Excavación de la explanación del PG-3 y del presente Pliego.</w:t>
      </w:r>
    </w:p>
    <w:p w14:paraId="06C6A350" w14:textId="77777777" w:rsidR="00931385" w:rsidRDefault="00931385" w:rsidP="00931385">
      <w:pPr>
        <w:pStyle w:val="NORMAL12"/>
        <w:rPr>
          <w:i/>
          <w:u w:val="single"/>
          <w:lang w:val="es-ES"/>
        </w:rPr>
      </w:pPr>
      <w:r w:rsidRPr="00931385">
        <w:rPr>
          <w:i/>
          <w:u w:val="single"/>
          <w:lang w:val="es-ES"/>
        </w:rPr>
        <w:t>Extendido de las tongadas</w:t>
      </w:r>
    </w:p>
    <w:p w14:paraId="0D73DDE0" w14:textId="77777777" w:rsidR="00931385" w:rsidRDefault="00931385" w:rsidP="00931385">
      <w:pPr>
        <w:pStyle w:val="NORMAL12"/>
        <w:rPr>
          <w:lang w:val="es-ES"/>
        </w:rPr>
      </w:pPr>
      <w:r w:rsidRPr="00931385">
        <w:rPr>
          <w:lang w:val="es-ES"/>
        </w:rPr>
        <w:t xml:space="preserve">El </w:t>
      </w:r>
      <w:proofErr w:type="gramStart"/>
      <w:r w:rsidRPr="00931385">
        <w:rPr>
          <w:lang w:val="es-ES"/>
        </w:rPr>
        <w:t>Director</w:t>
      </w:r>
      <w:proofErr w:type="gramEnd"/>
      <w:r w:rsidRPr="00931385">
        <w:rPr>
          <w:lang w:val="es-ES"/>
        </w:rPr>
        <w:t xml:space="preserve"> de Obra podrá especificar el espesor de </w:t>
      </w:r>
      <w:proofErr w:type="gramStart"/>
      <w:r w:rsidRPr="00931385">
        <w:rPr>
          <w:lang w:val="es-ES"/>
        </w:rPr>
        <w:t>la tongadas</w:t>
      </w:r>
      <w:proofErr w:type="gramEnd"/>
      <w:r w:rsidRPr="00931385">
        <w:rPr>
          <w:lang w:val="es-ES"/>
        </w:rPr>
        <w:t xml:space="preserve"> que en ningún caso </w:t>
      </w:r>
      <w:proofErr w:type="gramStart"/>
      <w:r w:rsidRPr="00931385">
        <w:rPr>
          <w:lang w:val="es-ES"/>
        </w:rPr>
        <w:t>será  superior</w:t>
      </w:r>
      <w:proofErr w:type="gramEnd"/>
      <w:r w:rsidRPr="00931385">
        <w:rPr>
          <w:lang w:val="es-ES"/>
        </w:rPr>
        <w:t xml:space="preserve"> a treinta (30) centímetros ni inferior a tres medios (3/2) del tamaño máximo del árido.</w:t>
      </w:r>
    </w:p>
    <w:p w14:paraId="31139B7D" w14:textId="77777777" w:rsidR="00931385" w:rsidRDefault="00931385" w:rsidP="00931385">
      <w:pPr>
        <w:pStyle w:val="NORMAL12"/>
        <w:rPr>
          <w:i/>
          <w:u w:val="single"/>
          <w:lang w:val="es-ES"/>
        </w:rPr>
      </w:pPr>
    </w:p>
    <w:p w14:paraId="5840DE54" w14:textId="77777777" w:rsidR="00931385" w:rsidRDefault="00931385" w:rsidP="00931385">
      <w:pPr>
        <w:pStyle w:val="NORMAL12"/>
        <w:rPr>
          <w:i/>
          <w:u w:val="single"/>
          <w:lang w:val="es-ES"/>
        </w:rPr>
      </w:pPr>
    </w:p>
    <w:p w14:paraId="4B9E2723" w14:textId="77777777" w:rsidR="00931385" w:rsidRDefault="00931385" w:rsidP="00931385">
      <w:pPr>
        <w:pStyle w:val="NORMAL12"/>
        <w:rPr>
          <w:i/>
          <w:u w:val="single"/>
          <w:lang w:val="es-ES"/>
        </w:rPr>
      </w:pPr>
      <w:r w:rsidRPr="00931385">
        <w:rPr>
          <w:i/>
          <w:u w:val="single"/>
          <w:lang w:val="es-ES"/>
        </w:rPr>
        <w:lastRenderedPageBreak/>
        <w:t xml:space="preserve">Humectación </w:t>
      </w:r>
    </w:p>
    <w:p w14:paraId="0D5055C4" w14:textId="77777777" w:rsidR="00931385" w:rsidRDefault="00931385" w:rsidP="00931385">
      <w:pPr>
        <w:pStyle w:val="NORMAL12"/>
        <w:rPr>
          <w:lang w:val="es-ES"/>
        </w:rPr>
      </w:pPr>
      <w:r w:rsidRPr="00931385">
        <w:rPr>
          <w:lang w:val="es-ES"/>
        </w:rPr>
        <w:t xml:space="preserve">Se emplearán los medios necesarios para que sea uniforme a juicio del </w:t>
      </w:r>
      <w:proofErr w:type="gramStart"/>
      <w:r w:rsidRPr="00931385">
        <w:rPr>
          <w:lang w:val="es-ES"/>
        </w:rPr>
        <w:t>Director</w:t>
      </w:r>
      <w:proofErr w:type="gramEnd"/>
      <w:r w:rsidRPr="00931385">
        <w:rPr>
          <w:lang w:val="es-ES"/>
        </w:rPr>
        <w:t xml:space="preserve"> de Obra. Igualmente se llevará a cabo a la desecación según las indicaciones del </w:t>
      </w:r>
      <w:proofErr w:type="gramStart"/>
      <w:r w:rsidRPr="00931385">
        <w:rPr>
          <w:lang w:val="es-ES"/>
        </w:rPr>
        <w:t>Director</w:t>
      </w:r>
      <w:proofErr w:type="gramEnd"/>
      <w:r w:rsidRPr="00931385">
        <w:rPr>
          <w:lang w:val="es-ES"/>
        </w:rPr>
        <w:t xml:space="preserve"> de Obra si l humedad natural es excesiva.</w:t>
      </w:r>
    </w:p>
    <w:p w14:paraId="5DF6F0D5" w14:textId="77777777" w:rsidR="00931385" w:rsidRDefault="00931385" w:rsidP="00931385">
      <w:pPr>
        <w:pStyle w:val="NORMAL12"/>
        <w:rPr>
          <w:i/>
          <w:u w:val="single"/>
          <w:lang w:val="es-ES"/>
        </w:rPr>
      </w:pPr>
      <w:r w:rsidRPr="00931385">
        <w:rPr>
          <w:i/>
          <w:u w:val="single"/>
          <w:lang w:val="es-ES"/>
        </w:rPr>
        <w:t>Compactación</w:t>
      </w:r>
    </w:p>
    <w:p w14:paraId="6581F0CC" w14:textId="77777777" w:rsidR="004049BE" w:rsidRPr="004049BE" w:rsidRDefault="004049BE" w:rsidP="004049BE">
      <w:pPr>
        <w:pStyle w:val="NORMAL12"/>
        <w:rPr>
          <w:lang w:val="es-ES"/>
        </w:rPr>
      </w:pPr>
      <w:r w:rsidRPr="004049BE">
        <w:rPr>
          <w:lang w:val="es-ES"/>
        </w:rPr>
        <w:t>Los valores de densidad y humedad a alcanzar serán los que se indican en los apartados</w:t>
      </w:r>
      <w:r>
        <w:rPr>
          <w:lang w:val="es-ES"/>
        </w:rPr>
        <w:t xml:space="preserve"> </w:t>
      </w:r>
      <w:r w:rsidRPr="004049BE">
        <w:rPr>
          <w:lang w:val="es-ES"/>
        </w:rPr>
        <w:t xml:space="preserve">330.4.2 y 330.4.3 de este artículo, o los que, en su caso, fije el </w:t>
      </w:r>
      <w:proofErr w:type="gramStart"/>
      <w:r w:rsidRPr="004049BE">
        <w:rPr>
          <w:lang w:val="es-ES"/>
        </w:rPr>
        <w:t>Director</w:t>
      </w:r>
      <w:proofErr w:type="gramEnd"/>
      <w:r w:rsidRPr="004049BE">
        <w:rPr>
          <w:lang w:val="es-ES"/>
        </w:rPr>
        <w:t xml:space="preserve"> de las</w:t>
      </w:r>
      <w:r>
        <w:rPr>
          <w:lang w:val="es-ES"/>
        </w:rPr>
        <w:t xml:space="preserve"> </w:t>
      </w:r>
      <w:r w:rsidRPr="004049BE">
        <w:rPr>
          <w:lang w:val="es-ES"/>
        </w:rPr>
        <w:t>Obras.</w:t>
      </w:r>
    </w:p>
    <w:p w14:paraId="44FF9EA5" w14:textId="77777777" w:rsidR="00931385" w:rsidRDefault="004049BE" w:rsidP="00931385">
      <w:pPr>
        <w:pStyle w:val="NORMAL12"/>
        <w:rPr>
          <w:i/>
          <w:u w:val="single"/>
          <w:lang w:val="es-ES"/>
        </w:rPr>
      </w:pPr>
      <w:r>
        <w:rPr>
          <w:i/>
          <w:u w:val="single"/>
          <w:lang w:val="es-ES"/>
        </w:rPr>
        <w:t>Limitaciones de la ejecución</w:t>
      </w:r>
    </w:p>
    <w:p w14:paraId="1D76064C" w14:textId="77777777" w:rsidR="004049BE" w:rsidRPr="004049BE" w:rsidRDefault="004049BE" w:rsidP="00931385">
      <w:pPr>
        <w:pStyle w:val="NORMAL12"/>
        <w:rPr>
          <w:lang w:val="es-ES"/>
        </w:rPr>
      </w:pPr>
      <w:r w:rsidRPr="004049BE">
        <w:rPr>
          <w:lang w:val="es-ES"/>
        </w:rPr>
        <w:t>Se suspenderán los rellenos tipo terraplén si la temperatura ambiente es inferior a dos grados Celsius.</w:t>
      </w:r>
    </w:p>
    <w:p w14:paraId="53DC49BB" w14:textId="77777777" w:rsidR="004049BE" w:rsidRPr="004049BE" w:rsidRDefault="004049BE" w:rsidP="00931385">
      <w:pPr>
        <w:pStyle w:val="NORMAL12"/>
        <w:rPr>
          <w:lang w:val="es-ES"/>
        </w:rPr>
      </w:pPr>
      <w:r w:rsidRPr="004049BE">
        <w:rPr>
          <w:lang w:val="es-ES"/>
        </w:rPr>
        <w:t>Se impedirá el tráfico sobre las cajas en ejecución hasta que no se haya completado su compactación.</w:t>
      </w:r>
    </w:p>
    <w:p w14:paraId="450566A5" w14:textId="77777777" w:rsidR="00F60ED6" w:rsidRDefault="000B3B43" w:rsidP="000313DD">
      <w:pPr>
        <w:pStyle w:val="TITU2"/>
      </w:pPr>
      <w:bookmarkStart w:id="403" w:name="_Toc404196"/>
      <w:r>
        <w:t xml:space="preserve">330.6. </w:t>
      </w:r>
      <w:r w:rsidR="00D123BE">
        <w:t>Recepción</w:t>
      </w:r>
      <w:bookmarkEnd w:id="403"/>
    </w:p>
    <w:p w14:paraId="7B3FAE5D" w14:textId="77777777" w:rsidR="00F60ED6" w:rsidRPr="00D123BE" w:rsidRDefault="00F60ED6" w:rsidP="00D123BE">
      <w:pPr>
        <w:pStyle w:val="NORMAL12"/>
        <w:rPr>
          <w:lang w:val="es-ES"/>
        </w:rPr>
      </w:pPr>
      <w:r w:rsidRPr="00D123BE">
        <w:rPr>
          <w:lang w:val="es-ES"/>
        </w:rPr>
        <w:t>Los rangos de aceptación de los parámetros medidos (densidad seca, compactación) se indican en los apartados 330.6.5.4, 330.4.2, 330.4.3 y 330.6.4 del PG-3.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29"/>
        <w:gridCol w:w="2849"/>
      </w:tblGrid>
      <w:tr w:rsidR="00F60ED6" w:rsidRPr="00066BA3" w14:paraId="56C20650" w14:textId="77777777" w:rsidTr="00066BA3">
        <w:tc>
          <w:tcPr>
            <w:tcW w:w="3543" w:type="pct"/>
            <w:shd w:val="clear" w:color="auto" w:fill="D9D9D9" w:themeFill="background1" w:themeFillShade="D9"/>
            <w:vAlign w:val="center"/>
          </w:tcPr>
          <w:p w14:paraId="5511319A" w14:textId="77777777" w:rsidR="00F60ED6" w:rsidRPr="00066BA3" w:rsidRDefault="00F60ED6" w:rsidP="006C3018">
            <w:pPr>
              <w:pStyle w:val="GTTTtuloTabla"/>
              <w:spacing w:before="120" w:after="120" w:line="360" w:lineRule="auto"/>
              <w:rPr>
                <w:rFonts w:ascii="Arial" w:hAnsi="Arial" w:cs="Arial"/>
                <w:sz w:val="20"/>
                <w:szCs w:val="20"/>
              </w:rPr>
            </w:pPr>
            <w:r w:rsidRPr="00066BA3">
              <w:rPr>
                <w:rFonts w:ascii="Arial" w:hAnsi="Arial" w:cs="Arial"/>
                <w:sz w:val="20"/>
                <w:szCs w:val="20"/>
              </w:rPr>
              <w:t>Parámetros de aceptación final</w:t>
            </w:r>
          </w:p>
        </w:tc>
        <w:tc>
          <w:tcPr>
            <w:tcW w:w="1457" w:type="pct"/>
            <w:shd w:val="clear" w:color="auto" w:fill="D9D9D9" w:themeFill="background1" w:themeFillShade="D9"/>
            <w:vAlign w:val="center"/>
          </w:tcPr>
          <w:p w14:paraId="0FA8B8B1" w14:textId="77777777" w:rsidR="00F60ED6" w:rsidRPr="00066BA3" w:rsidRDefault="00F60ED6" w:rsidP="006C3018">
            <w:pPr>
              <w:pStyle w:val="GTTTtuloTabla"/>
              <w:spacing w:before="120" w:after="120" w:line="360" w:lineRule="auto"/>
              <w:rPr>
                <w:rFonts w:ascii="Arial" w:hAnsi="Arial" w:cs="Arial"/>
                <w:sz w:val="20"/>
                <w:szCs w:val="20"/>
              </w:rPr>
            </w:pPr>
            <w:r w:rsidRPr="00066BA3">
              <w:rPr>
                <w:rFonts w:ascii="Arial" w:hAnsi="Arial" w:cs="Arial"/>
                <w:sz w:val="20"/>
                <w:szCs w:val="20"/>
              </w:rPr>
              <w:t>Normas de Aplicación</w:t>
            </w:r>
          </w:p>
        </w:tc>
      </w:tr>
      <w:tr w:rsidR="00F60ED6" w:rsidRPr="00066BA3" w14:paraId="44C602B3" w14:textId="77777777" w:rsidTr="00066BA3">
        <w:tc>
          <w:tcPr>
            <w:tcW w:w="3543" w:type="pct"/>
          </w:tcPr>
          <w:p w14:paraId="6C7904C0" w14:textId="77777777" w:rsidR="00F60ED6" w:rsidRPr="00066BA3" w:rsidRDefault="00F60ED6" w:rsidP="006C3018">
            <w:pPr>
              <w:spacing w:line="360" w:lineRule="auto"/>
              <w:rPr>
                <w:rFonts w:ascii="Arial" w:hAnsi="Arial" w:cs="Arial"/>
                <w:sz w:val="20"/>
                <w:szCs w:val="20"/>
              </w:rPr>
            </w:pPr>
            <w:r w:rsidRPr="00066BA3">
              <w:rPr>
                <w:rFonts w:ascii="Arial" w:hAnsi="Arial" w:cs="Arial"/>
                <w:sz w:val="20"/>
                <w:szCs w:val="20"/>
              </w:rPr>
              <w:t xml:space="preserve">Variación densidad seca máx., según </w:t>
            </w:r>
            <w:proofErr w:type="spellStart"/>
            <w:r w:rsidR="00EF277D" w:rsidRPr="00066BA3">
              <w:rPr>
                <w:rFonts w:ascii="Arial" w:hAnsi="Arial" w:cs="Arial"/>
                <w:sz w:val="20"/>
                <w:szCs w:val="20"/>
              </w:rPr>
              <w:t>Próctor</w:t>
            </w:r>
            <w:proofErr w:type="spellEnd"/>
            <w:r w:rsidRPr="00066BA3">
              <w:rPr>
                <w:rFonts w:ascii="Arial" w:hAnsi="Arial" w:cs="Arial"/>
                <w:sz w:val="20"/>
                <w:szCs w:val="20"/>
              </w:rPr>
              <w:t xml:space="preserve"> de ref.&lt;3%</w:t>
            </w:r>
          </w:p>
          <w:p w14:paraId="79B823D8" w14:textId="77777777" w:rsidR="00F60ED6" w:rsidRPr="00066BA3" w:rsidRDefault="00F60ED6" w:rsidP="006C3018">
            <w:pPr>
              <w:spacing w:line="360" w:lineRule="auto"/>
              <w:rPr>
                <w:rFonts w:ascii="Arial" w:hAnsi="Arial" w:cs="Arial"/>
                <w:sz w:val="20"/>
                <w:szCs w:val="20"/>
              </w:rPr>
            </w:pPr>
            <w:r w:rsidRPr="00066BA3">
              <w:rPr>
                <w:rFonts w:ascii="Arial" w:hAnsi="Arial" w:cs="Arial"/>
                <w:sz w:val="20"/>
                <w:szCs w:val="20"/>
              </w:rPr>
              <w:t>Superficie limpia</w:t>
            </w:r>
          </w:p>
          <w:p w14:paraId="28441D77" w14:textId="77777777" w:rsidR="00F60ED6" w:rsidRPr="00066BA3" w:rsidRDefault="00F60ED6" w:rsidP="006C3018">
            <w:pPr>
              <w:spacing w:line="360" w:lineRule="auto"/>
              <w:rPr>
                <w:rFonts w:ascii="Arial" w:hAnsi="Arial" w:cs="Arial"/>
                <w:sz w:val="20"/>
                <w:szCs w:val="20"/>
              </w:rPr>
            </w:pPr>
            <w:r w:rsidRPr="00066BA3">
              <w:rPr>
                <w:rFonts w:ascii="Arial" w:hAnsi="Arial" w:cs="Arial"/>
                <w:sz w:val="20"/>
                <w:szCs w:val="20"/>
              </w:rPr>
              <w:t xml:space="preserve">Variación de la humedad óptima, según </w:t>
            </w:r>
            <w:proofErr w:type="spellStart"/>
            <w:r w:rsidR="00EF277D" w:rsidRPr="00066BA3">
              <w:rPr>
                <w:rFonts w:ascii="Arial" w:hAnsi="Arial" w:cs="Arial"/>
                <w:sz w:val="20"/>
                <w:szCs w:val="20"/>
              </w:rPr>
              <w:t>Próctor</w:t>
            </w:r>
            <w:proofErr w:type="spellEnd"/>
            <w:r w:rsidRPr="00066BA3">
              <w:rPr>
                <w:rFonts w:ascii="Arial" w:hAnsi="Arial" w:cs="Arial"/>
                <w:sz w:val="20"/>
                <w:szCs w:val="20"/>
              </w:rPr>
              <w:t xml:space="preserve"> de ref. &lt;2%</w:t>
            </w:r>
          </w:p>
        </w:tc>
        <w:tc>
          <w:tcPr>
            <w:tcW w:w="1457" w:type="pct"/>
          </w:tcPr>
          <w:p w14:paraId="582B2BC8" w14:textId="77777777" w:rsidR="00F60ED6" w:rsidRPr="00066BA3" w:rsidRDefault="00F60ED6" w:rsidP="006C3018">
            <w:pPr>
              <w:spacing w:line="360" w:lineRule="auto"/>
              <w:rPr>
                <w:rFonts w:ascii="Arial" w:hAnsi="Arial" w:cs="Arial"/>
                <w:sz w:val="20"/>
                <w:szCs w:val="20"/>
              </w:rPr>
            </w:pPr>
            <w:r w:rsidRPr="00066BA3">
              <w:rPr>
                <w:rFonts w:ascii="Arial" w:hAnsi="Arial" w:cs="Arial"/>
                <w:sz w:val="20"/>
                <w:szCs w:val="20"/>
              </w:rPr>
              <w:t>UNE 103501</w:t>
            </w:r>
          </w:p>
          <w:p w14:paraId="0B3B716D" w14:textId="77777777" w:rsidR="00F60ED6" w:rsidRPr="00066BA3" w:rsidRDefault="00F60ED6" w:rsidP="006C3018">
            <w:pPr>
              <w:spacing w:line="360" w:lineRule="auto"/>
              <w:rPr>
                <w:rFonts w:ascii="Arial" w:hAnsi="Arial" w:cs="Arial"/>
                <w:sz w:val="20"/>
                <w:szCs w:val="20"/>
              </w:rPr>
            </w:pPr>
            <w:r w:rsidRPr="00066BA3">
              <w:rPr>
                <w:rFonts w:ascii="Arial" w:hAnsi="Arial" w:cs="Arial"/>
                <w:sz w:val="20"/>
                <w:szCs w:val="20"/>
              </w:rPr>
              <w:t>Inspección visual</w:t>
            </w:r>
          </w:p>
          <w:p w14:paraId="027B06F1" w14:textId="77777777" w:rsidR="00F60ED6" w:rsidRPr="00066BA3" w:rsidRDefault="00F60ED6" w:rsidP="006C3018">
            <w:pPr>
              <w:spacing w:line="360" w:lineRule="auto"/>
              <w:rPr>
                <w:rFonts w:ascii="Arial" w:hAnsi="Arial" w:cs="Arial"/>
                <w:sz w:val="20"/>
                <w:szCs w:val="20"/>
              </w:rPr>
            </w:pPr>
            <w:r w:rsidRPr="00066BA3">
              <w:rPr>
                <w:rFonts w:ascii="Arial" w:hAnsi="Arial" w:cs="Arial"/>
                <w:sz w:val="20"/>
                <w:szCs w:val="20"/>
              </w:rPr>
              <w:t>UNE 103501</w:t>
            </w:r>
          </w:p>
        </w:tc>
      </w:tr>
    </w:tbl>
    <w:p w14:paraId="7B625AE0" w14:textId="77777777" w:rsidR="00610954" w:rsidRPr="00693EA3" w:rsidRDefault="00610954" w:rsidP="00D123BE">
      <w:pPr>
        <w:pStyle w:val="NORMAL12"/>
        <w:rPr>
          <w:i/>
          <w:sz w:val="2"/>
          <w:szCs w:val="2"/>
          <w:u w:val="single"/>
          <w:lang w:val="es-ES"/>
        </w:rPr>
      </w:pPr>
    </w:p>
    <w:p w14:paraId="07455005" w14:textId="77777777" w:rsidR="00F60ED6" w:rsidRDefault="00F60ED6" w:rsidP="00D123BE">
      <w:pPr>
        <w:pStyle w:val="NORMAL12"/>
        <w:rPr>
          <w:i/>
          <w:u w:val="single"/>
          <w:lang w:val="es-ES"/>
        </w:rPr>
      </w:pPr>
      <w:r w:rsidRPr="00D123BE">
        <w:rPr>
          <w:i/>
          <w:u w:val="single"/>
          <w:lang w:val="es-ES"/>
        </w:rPr>
        <w:t>Tratamiento de No Conformidades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44"/>
        <w:gridCol w:w="6534"/>
      </w:tblGrid>
      <w:tr w:rsidR="00610954" w:rsidRPr="00066BA3" w14:paraId="4C11990A" w14:textId="77777777" w:rsidTr="00D61146">
        <w:tc>
          <w:tcPr>
            <w:tcW w:w="0" w:type="auto"/>
            <w:tcBorders>
              <w:bottom w:val="single" w:sz="4" w:space="0" w:color="auto"/>
            </w:tcBorders>
            <w:shd w:val="clear" w:color="auto" w:fill="D9D9D9" w:themeFill="background1" w:themeFillShade="D9"/>
            <w:vAlign w:val="center"/>
          </w:tcPr>
          <w:p w14:paraId="091B810C" w14:textId="77777777" w:rsidR="00F60ED6" w:rsidRPr="00066BA3" w:rsidRDefault="00F60ED6" w:rsidP="006C3018">
            <w:pPr>
              <w:pStyle w:val="GTTTtuloTabla"/>
              <w:spacing w:before="120" w:after="120" w:line="360" w:lineRule="auto"/>
              <w:rPr>
                <w:rFonts w:ascii="Arial" w:hAnsi="Arial" w:cs="Arial"/>
                <w:sz w:val="20"/>
                <w:szCs w:val="20"/>
              </w:rPr>
            </w:pPr>
            <w:r w:rsidRPr="00066BA3">
              <w:rPr>
                <w:rFonts w:ascii="Arial" w:hAnsi="Arial" w:cs="Arial"/>
                <w:sz w:val="20"/>
                <w:szCs w:val="20"/>
              </w:rPr>
              <w:t>No Conformidades</w:t>
            </w:r>
          </w:p>
        </w:tc>
        <w:tc>
          <w:tcPr>
            <w:tcW w:w="0" w:type="auto"/>
            <w:tcBorders>
              <w:bottom w:val="single" w:sz="4" w:space="0" w:color="auto"/>
            </w:tcBorders>
            <w:shd w:val="clear" w:color="auto" w:fill="D9D9D9" w:themeFill="background1" w:themeFillShade="D9"/>
            <w:vAlign w:val="center"/>
          </w:tcPr>
          <w:p w14:paraId="7F3269CB" w14:textId="77777777" w:rsidR="00F60ED6" w:rsidRPr="00066BA3" w:rsidRDefault="00F60ED6" w:rsidP="006C3018">
            <w:pPr>
              <w:pStyle w:val="GTTTtuloTabla"/>
              <w:spacing w:before="120" w:after="120" w:line="360" w:lineRule="auto"/>
              <w:rPr>
                <w:rFonts w:ascii="Arial" w:hAnsi="Arial" w:cs="Arial"/>
                <w:sz w:val="20"/>
                <w:szCs w:val="20"/>
              </w:rPr>
            </w:pPr>
            <w:r w:rsidRPr="00066BA3">
              <w:rPr>
                <w:rFonts w:ascii="Arial" w:hAnsi="Arial" w:cs="Arial"/>
                <w:sz w:val="20"/>
                <w:szCs w:val="20"/>
              </w:rPr>
              <w:t>Tratamiento</w:t>
            </w:r>
            <w:r w:rsidR="00066BA3">
              <w:rPr>
                <w:rFonts w:ascii="Arial" w:hAnsi="Arial" w:cs="Arial"/>
                <w:sz w:val="20"/>
                <w:szCs w:val="20"/>
              </w:rPr>
              <w:t xml:space="preserve"> de no conformidades</w:t>
            </w:r>
          </w:p>
        </w:tc>
      </w:tr>
      <w:tr w:rsidR="00610954" w:rsidRPr="00066BA3" w14:paraId="3A842823" w14:textId="77777777" w:rsidTr="006C3018">
        <w:tc>
          <w:tcPr>
            <w:tcW w:w="0" w:type="auto"/>
          </w:tcPr>
          <w:p w14:paraId="5A28FE0E" w14:textId="77777777" w:rsidR="00F60ED6" w:rsidRPr="00066BA3" w:rsidRDefault="00F60ED6" w:rsidP="006C3018">
            <w:pPr>
              <w:spacing w:line="360" w:lineRule="auto"/>
              <w:rPr>
                <w:rFonts w:ascii="Arial" w:hAnsi="Arial" w:cs="Arial"/>
                <w:sz w:val="20"/>
                <w:szCs w:val="20"/>
              </w:rPr>
            </w:pPr>
            <w:r w:rsidRPr="00066BA3">
              <w:rPr>
                <w:rFonts w:ascii="Arial" w:hAnsi="Arial" w:cs="Arial"/>
                <w:sz w:val="20"/>
                <w:szCs w:val="20"/>
              </w:rPr>
              <w:t xml:space="preserve">Falta de limpieza en la superficie </w:t>
            </w:r>
          </w:p>
        </w:tc>
        <w:tc>
          <w:tcPr>
            <w:tcW w:w="0" w:type="auto"/>
            <w:vAlign w:val="center"/>
          </w:tcPr>
          <w:p w14:paraId="71A74EBA" w14:textId="77777777" w:rsidR="00F60ED6" w:rsidRPr="00066BA3" w:rsidRDefault="00F60ED6" w:rsidP="006C3018">
            <w:pPr>
              <w:spacing w:line="360" w:lineRule="auto"/>
              <w:rPr>
                <w:rFonts w:ascii="Arial" w:hAnsi="Arial" w:cs="Arial"/>
                <w:sz w:val="20"/>
                <w:szCs w:val="20"/>
              </w:rPr>
            </w:pPr>
            <w:r w:rsidRPr="00066BA3">
              <w:rPr>
                <w:rFonts w:ascii="Arial" w:hAnsi="Arial" w:cs="Arial"/>
                <w:sz w:val="20"/>
                <w:szCs w:val="20"/>
              </w:rPr>
              <w:t>No se acepta, se limpiará y alisará y los costos serán por cuenta del Contratista</w:t>
            </w:r>
          </w:p>
        </w:tc>
      </w:tr>
      <w:tr w:rsidR="00610954" w:rsidRPr="00066BA3" w14:paraId="74FC5D74" w14:textId="77777777" w:rsidTr="006C3018">
        <w:tc>
          <w:tcPr>
            <w:tcW w:w="0" w:type="auto"/>
          </w:tcPr>
          <w:p w14:paraId="7B049636" w14:textId="77777777" w:rsidR="00F60ED6" w:rsidRPr="00066BA3" w:rsidRDefault="00F60ED6" w:rsidP="006C3018">
            <w:pPr>
              <w:spacing w:line="360" w:lineRule="auto"/>
              <w:rPr>
                <w:rFonts w:ascii="Arial" w:hAnsi="Arial" w:cs="Arial"/>
                <w:sz w:val="20"/>
                <w:szCs w:val="20"/>
              </w:rPr>
            </w:pPr>
            <w:r w:rsidRPr="00066BA3">
              <w:rPr>
                <w:rFonts w:ascii="Arial" w:hAnsi="Arial" w:cs="Arial"/>
                <w:sz w:val="20"/>
                <w:szCs w:val="20"/>
              </w:rPr>
              <w:t xml:space="preserve">Variación de la humedad óptima </w:t>
            </w:r>
            <w:r w:rsidRPr="00066BA3">
              <w:rPr>
                <w:rFonts w:ascii="Arial" w:hAnsi="Arial" w:cs="Arial"/>
                <w:sz w:val="20"/>
                <w:szCs w:val="20"/>
              </w:rPr>
              <w:sym w:font="Symbol" w:char="F03E"/>
            </w:r>
            <w:r w:rsidRPr="00066BA3">
              <w:rPr>
                <w:rFonts w:ascii="Arial" w:hAnsi="Arial" w:cs="Arial"/>
                <w:sz w:val="20"/>
                <w:szCs w:val="20"/>
              </w:rPr>
              <w:t>2%</w:t>
            </w:r>
          </w:p>
        </w:tc>
        <w:tc>
          <w:tcPr>
            <w:tcW w:w="0" w:type="auto"/>
            <w:vAlign w:val="center"/>
          </w:tcPr>
          <w:p w14:paraId="7A038B1A" w14:textId="77777777" w:rsidR="00F60ED6" w:rsidRPr="00066BA3" w:rsidRDefault="00F60ED6" w:rsidP="006C3018">
            <w:pPr>
              <w:spacing w:line="360" w:lineRule="auto"/>
              <w:rPr>
                <w:rFonts w:ascii="Arial" w:hAnsi="Arial" w:cs="Arial"/>
                <w:sz w:val="20"/>
                <w:szCs w:val="20"/>
              </w:rPr>
            </w:pPr>
            <w:r w:rsidRPr="00066BA3">
              <w:rPr>
                <w:rFonts w:ascii="Arial" w:hAnsi="Arial" w:cs="Arial"/>
                <w:sz w:val="20"/>
                <w:szCs w:val="20"/>
              </w:rPr>
              <w:t>No se acepta y los costos serán por cuenta del contratista</w:t>
            </w:r>
          </w:p>
        </w:tc>
      </w:tr>
      <w:tr w:rsidR="00610954" w:rsidRPr="00066BA3" w14:paraId="3C3A1923" w14:textId="77777777" w:rsidTr="006C3018">
        <w:tc>
          <w:tcPr>
            <w:tcW w:w="0" w:type="auto"/>
          </w:tcPr>
          <w:p w14:paraId="109A1278" w14:textId="77777777" w:rsidR="00F60ED6" w:rsidRPr="00066BA3" w:rsidRDefault="00F60ED6" w:rsidP="006C3018">
            <w:pPr>
              <w:spacing w:line="360" w:lineRule="auto"/>
              <w:rPr>
                <w:rFonts w:ascii="Arial" w:hAnsi="Arial" w:cs="Arial"/>
                <w:sz w:val="20"/>
                <w:szCs w:val="20"/>
              </w:rPr>
            </w:pPr>
            <w:r w:rsidRPr="00066BA3">
              <w:rPr>
                <w:rFonts w:ascii="Arial" w:hAnsi="Arial" w:cs="Arial"/>
                <w:sz w:val="20"/>
                <w:szCs w:val="20"/>
              </w:rPr>
              <w:t>Variación densidad seca máx.</w:t>
            </w:r>
            <w:r w:rsidRPr="00066BA3">
              <w:rPr>
                <w:rFonts w:ascii="Arial" w:hAnsi="Arial" w:cs="Arial"/>
                <w:sz w:val="20"/>
                <w:szCs w:val="20"/>
              </w:rPr>
              <w:sym w:font="Symbol" w:char="F03E"/>
            </w:r>
            <w:r w:rsidRPr="00066BA3">
              <w:rPr>
                <w:rFonts w:ascii="Arial" w:hAnsi="Arial" w:cs="Arial"/>
                <w:sz w:val="20"/>
                <w:szCs w:val="20"/>
              </w:rPr>
              <w:t>3%</w:t>
            </w:r>
          </w:p>
        </w:tc>
        <w:tc>
          <w:tcPr>
            <w:tcW w:w="0" w:type="auto"/>
            <w:vAlign w:val="center"/>
          </w:tcPr>
          <w:p w14:paraId="01C34BA8" w14:textId="77777777" w:rsidR="00F60ED6" w:rsidRPr="00066BA3" w:rsidRDefault="00F60ED6" w:rsidP="006C3018">
            <w:pPr>
              <w:spacing w:line="360" w:lineRule="auto"/>
              <w:rPr>
                <w:rFonts w:ascii="Arial" w:hAnsi="Arial" w:cs="Arial"/>
                <w:sz w:val="20"/>
                <w:szCs w:val="20"/>
              </w:rPr>
            </w:pPr>
            <w:r w:rsidRPr="00066BA3">
              <w:rPr>
                <w:rFonts w:ascii="Arial" w:hAnsi="Arial" w:cs="Arial"/>
                <w:sz w:val="20"/>
                <w:szCs w:val="20"/>
              </w:rPr>
              <w:t>No se acepta y los costos serán por cuenta del contratista.</w:t>
            </w:r>
          </w:p>
        </w:tc>
      </w:tr>
    </w:tbl>
    <w:p w14:paraId="1BE33AE5" w14:textId="77777777" w:rsidR="00F60ED6" w:rsidRDefault="00F60ED6" w:rsidP="00F60ED6"/>
    <w:p w14:paraId="7757323D" w14:textId="77777777" w:rsidR="00D123BE" w:rsidRDefault="00D123BE" w:rsidP="000313DD">
      <w:pPr>
        <w:pStyle w:val="TITU2"/>
      </w:pPr>
      <w:bookmarkStart w:id="404" w:name="_Toc404197"/>
      <w:r w:rsidRPr="005864C2">
        <w:t>330.</w:t>
      </w:r>
      <w:r>
        <w:t>6</w:t>
      </w:r>
      <w:r w:rsidRPr="005864C2">
        <w:t xml:space="preserve">. </w:t>
      </w:r>
      <w:r>
        <w:t>Control de calidad</w:t>
      </w:r>
      <w:bookmarkEnd w:id="404"/>
    </w:p>
    <w:p w14:paraId="672F4033" w14:textId="77777777" w:rsidR="00F60ED6" w:rsidRPr="00F60ED6" w:rsidRDefault="00D123BE" w:rsidP="00466EF6">
      <w:pPr>
        <w:pStyle w:val="NORMAL12"/>
      </w:pPr>
      <w:r>
        <w:rPr>
          <w:lang w:val="es-ES"/>
        </w:rPr>
        <w:t>Se realizarán los ensayos de control de calidad sobre el material con la frecuencia indicada siguiente: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69"/>
        <w:gridCol w:w="2699"/>
        <w:gridCol w:w="2810"/>
      </w:tblGrid>
      <w:tr w:rsidR="00F60ED6" w:rsidRPr="00066BA3" w14:paraId="3A74534A" w14:textId="77777777" w:rsidTr="00D61146">
        <w:trPr>
          <w:trHeight w:val="360"/>
          <w:tblHeader/>
          <w:jc w:val="center"/>
        </w:trPr>
        <w:tc>
          <w:tcPr>
            <w:tcW w:w="2183" w:type="pct"/>
            <w:tcBorders>
              <w:bottom w:val="single" w:sz="4" w:space="0" w:color="auto"/>
            </w:tcBorders>
            <w:shd w:val="clear" w:color="auto" w:fill="D9D9D9" w:themeFill="background1" w:themeFillShade="D9"/>
            <w:vAlign w:val="center"/>
          </w:tcPr>
          <w:p w14:paraId="1ABED00D" w14:textId="77777777" w:rsidR="00F60ED6" w:rsidRPr="00066BA3" w:rsidRDefault="00F60ED6" w:rsidP="00D61146">
            <w:pPr>
              <w:pStyle w:val="GTTTtuloTabla"/>
              <w:spacing w:before="120" w:after="120" w:line="240" w:lineRule="auto"/>
              <w:rPr>
                <w:rFonts w:ascii="Arial" w:hAnsi="Arial" w:cs="Arial"/>
                <w:sz w:val="20"/>
                <w:szCs w:val="20"/>
              </w:rPr>
            </w:pPr>
            <w:r w:rsidRPr="00066BA3">
              <w:rPr>
                <w:rFonts w:ascii="Arial" w:hAnsi="Arial" w:cs="Arial"/>
                <w:sz w:val="20"/>
                <w:szCs w:val="20"/>
              </w:rPr>
              <w:t>E</w:t>
            </w:r>
            <w:r w:rsidR="00D61146" w:rsidRPr="00066BA3">
              <w:rPr>
                <w:rFonts w:ascii="Arial" w:hAnsi="Arial" w:cs="Arial"/>
                <w:sz w:val="20"/>
                <w:szCs w:val="20"/>
              </w:rPr>
              <w:t>nsayo</w:t>
            </w:r>
          </w:p>
        </w:tc>
        <w:tc>
          <w:tcPr>
            <w:tcW w:w="1380" w:type="pct"/>
            <w:tcBorders>
              <w:bottom w:val="single" w:sz="4" w:space="0" w:color="auto"/>
            </w:tcBorders>
            <w:shd w:val="clear" w:color="auto" w:fill="D9D9D9" w:themeFill="background1" w:themeFillShade="D9"/>
            <w:vAlign w:val="center"/>
          </w:tcPr>
          <w:p w14:paraId="25404F4D" w14:textId="77777777" w:rsidR="00F60ED6" w:rsidRPr="00066BA3" w:rsidRDefault="00D61146" w:rsidP="00066BA3">
            <w:pPr>
              <w:pStyle w:val="GTTTtuloTabla"/>
              <w:spacing w:before="120" w:after="120" w:line="240" w:lineRule="auto"/>
              <w:rPr>
                <w:rFonts w:ascii="Arial" w:hAnsi="Arial" w:cs="Arial"/>
                <w:sz w:val="20"/>
                <w:szCs w:val="20"/>
              </w:rPr>
            </w:pPr>
            <w:r w:rsidRPr="00066BA3">
              <w:rPr>
                <w:rFonts w:ascii="Arial" w:hAnsi="Arial" w:cs="Arial"/>
                <w:sz w:val="20"/>
                <w:szCs w:val="20"/>
              </w:rPr>
              <w:t>Norma</w:t>
            </w:r>
          </w:p>
        </w:tc>
        <w:tc>
          <w:tcPr>
            <w:tcW w:w="1437" w:type="pct"/>
            <w:tcBorders>
              <w:bottom w:val="single" w:sz="4" w:space="0" w:color="auto"/>
            </w:tcBorders>
            <w:shd w:val="clear" w:color="auto" w:fill="D9D9D9" w:themeFill="background1" w:themeFillShade="D9"/>
            <w:vAlign w:val="center"/>
          </w:tcPr>
          <w:p w14:paraId="2F2F08E0" w14:textId="77777777" w:rsidR="00F60ED6" w:rsidRPr="00066BA3" w:rsidRDefault="00D61146" w:rsidP="00066BA3">
            <w:pPr>
              <w:pStyle w:val="GTTTtuloTabla"/>
              <w:spacing w:before="120" w:after="120" w:line="240" w:lineRule="auto"/>
              <w:rPr>
                <w:rFonts w:ascii="Arial" w:hAnsi="Arial" w:cs="Arial"/>
                <w:sz w:val="20"/>
                <w:szCs w:val="20"/>
              </w:rPr>
            </w:pPr>
            <w:r w:rsidRPr="00066BA3">
              <w:rPr>
                <w:rFonts w:ascii="Arial" w:hAnsi="Arial" w:cs="Arial"/>
                <w:sz w:val="20"/>
                <w:szCs w:val="20"/>
              </w:rPr>
              <w:t>Frecuencia</w:t>
            </w:r>
          </w:p>
        </w:tc>
      </w:tr>
      <w:tr w:rsidR="00F60ED6" w:rsidRPr="00066BA3" w14:paraId="54FF3433" w14:textId="77777777" w:rsidTr="006C3018">
        <w:trPr>
          <w:jc w:val="center"/>
        </w:trPr>
        <w:tc>
          <w:tcPr>
            <w:tcW w:w="2183" w:type="pct"/>
            <w:tcBorders>
              <w:top w:val="single" w:sz="4" w:space="0" w:color="auto"/>
              <w:left w:val="single" w:sz="4" w:space="0" w:color="auto"/>
              <w:bottom w:val="single" w:sz="4" w:space="0" w:color="auto"/>
              <w:right w:val="single" w:sz="4" w:space="0" w:color="auto"/>
            </w:tcBorders>
            <w:vAlign w:val="center"/>
          </w:tcPr>
          <w:p w14:paraId="1BAC1687" w14:textId="77777777" w:rsidR="00F60ED6" w:rsidRPr="00066BA3" w:rsidRDefault="00F60ED6" w:rsidP="00640845">
            <w:pPr>
              <w:spacing w:line="360" w:lineRule="auto"/>
              <w:rPr>
                <w:rFonts w:ascii="Arial" w:hAnsi="Arial" w:cs="Arial"/>
                <w:sz w:val="20"/>
                <w:szCs w:val="20"/>
              </w:rPr>
            </w:pPr>
            <w:r w:rsidRPr="00066BA3">
              <w:rPr>
                <w:rFonts w:ascii="Arial" w:hAnsi="Arial" w:cs="Arial"/>
                <w:sz w:val="20"/>
                <w:szCs w:val="20"/>
              </w:rPr>
              <w:t>Granulometría</w:t>
            </w:r>
          </w:p>
          <w:p w14:paraId="33E8E7F3" w14:textId="77777777" w:rsidR="00F60ED6" w:rsidRPr="00066BA3" w:rsidRDefault="00F60ED6" w:rsidP="00640845">
            <w:pPr>
              <w:spacing w:line="360" w:lineRule="auto"/>
              <w:rPr>
                <w:rFonts w:ascii="Arial" w:hAnsi="Arial" w:cs="Arial"/>
                <w:sz w:val="20"/>
                <w:szCs w:val="20"/>
              </w:rPr>
            </w:pPr>
            <w:r w:rsidRPr="00066BA3">
              <w:rPr>
                <w:rFonts w:ascii="Arial" w:hAnsi="Arial" w:cs="Arial"/>
                <w:sz w:val="20"/>
                <w:szCs w:val="20"/>
              </w:rPr>
              <w:t>Límites de Atterberg</w:t>
            </w:r>
          </w:p>
          <w:p w14:paraId="091723E1" w14:textId="77777777" w:rsidR="00F60ED6" w:rsidRPr="00066BA3" w:rsidRDefault="00F60ED6" w:rsidP="00640845">
            <w:pPr>
              <w:spacing w:line="360" w:lineRule="auto"/>
              <w:rPr>
                <w:rFonts w:ascii="Arial" w:hAnsi="Arial" w:cs="Arial"/>
                <w:sz w:val="20"/>
                <w:szCs w:val="20"/>
              </w:rPr>
            </w:pPr>
            <w:proofErr w:type="spellStart"/>
            <w:r w:rsidRPr="00066BA3">
              <w:rPr>
                <w:rFonts w:ascii="Arial" w:hAnsi="Arial" w:cs="Arial"/>
                <w:sz w:val="20"/>
                <w:szCs w:val="20"/>
              </w:rPr>
              <w:t>Próctor</w:t>
            </w:r>
            <w:proofErr w:type="spellEnd"/>
            <w:r w:rsidRPr="00066BA3">
              <w:rPr>
                <w:rFonts w:ascii="Arial" w:hAnsi="Arial" w:cs="Arial"/>
                <w:sz w:val="20"/>
                <w:szCs w:val="20"/>
              </w:rPr>
              <w:t xml:space="preserve"> Modificado</w:t>
            </w:r>
          </w:p>
          <w:p w14:paraId="57C836F8" w14:textId="77777777" w:rsidR="00F60ED6" w:rsidRPr="00066BA3" w:rsidRDefault="00F60ED6" w:rsidP="00640845">
            <w:pPr>
              <w:spacing w:line="360" w:lineRule="auto"/>
              <w:rPr>
                <w:rFonts w:ascii="Arial" w:hAnsi="Arial" w:cs="Arial"/>
                <w:sz w:val="20"/>
                <w:szCs w:val="20"/>
              </w:rPr>
            </w:pPr>
            <w:r w:rsidRPr="00066BA3">
              <w:rPr>
                <w:rFonts w:ascii="Arial" w:hAnsi="Arial" w:cs="Arial"/>
                <w:sz w:val="20"/>
                <w:szCs w:val="20"/>
              </w:rPr>
              <w:t>Determinación materia orgánica</w:t>
            </w:r>
          </w:p>
        </w:tc>
        <w:tc>
          <w:tcPr>
            <w:tcW w:w="1380" w:type="pct"/>
            <w:tcBorders>
              <w:top w:val="single" w:sz="4" w:space="0" w:color="auto"/>
              <w:left w:val="single" w:sz="4" w:space="0" w:color="auto"/>
              <w:bottom w:val="single" w:sz="4" w:space="0" w:color="auto"/>
              <w:right w:val="single" w:sz="4" w:space="0" w:color="auto"/>
            </w:tcBorders>
            <w:vAlign w:val="center"/>
          </w:tcPr>
          <w:p w14:paraId="36F1A5D4" w14:textId="77777777" w:rsidR="00F60ED6" w:rsidRPr="00066BA3" w:rsidRDefault="00F60ED6" w:rsidP="00066BA3">
            <w:pPr>
              <w:spacing w:line="360" w:lineRule="auto"/>
              <w:jc w:val="center"/>
              <w:rPr>
                <w:rFonts w:ascii="Arial" w:hAnsi="Arial" w:cs="Arial"/>
                <w:sz w:val="20"/>
                <w:szCs w:val="20"/>
              </w:rPr>
            </w:pPr>
            <w:r w:rsidRPr="00066BA3">
              <w:rPr>
                <w:rFonts w:ascii="Arial" w:hAnsi="Arial" w:cs="Arial"/>
                <w:sz w:val="20"/>
                <w:szCs w:val="20"/>
              </w:rPr>
              <w:t>NLT – 104</w:t>
            </w:r>
          </w:p>
          <w:p w14:paraId="6F7398C5" w14:textId="77777777" w:rsidR="00F60ED6" w:rsidRPr="00066BA3" w:rsidRDefault="00F60ED6" w:rsidP="00066BA3">
            <w:pPr>
              <w:spacing w:line="360" w:lineRule="auto"/>
              <w:jc w:val="center"/>
              <w:rPr>
                <w:rFonts w:ascii="Arial" w:hAnsi="Arial" w:cs="Arial"/>
                <w:sz w:val="20"/>
                <w:szCs w:val="20"/>
              </w:rPr>
            </w:pPr>
            <w:r w:rsidRPr="00066BA3">
              <w:rPr>
                <w:rFonts w:ascii="Arial" w:hAnsi="Arial" w:cs="Arial"/>
                <w:sz w:val="20"/>
                <w:szCs w:val="20"/>
              </w:rPr>
              <w:t>NLT – 105 y 106</w:t>
            </w:r>
          </w:p>
          <w:p w14:paraId="40B8A6D7" w14:textId="77777777" w:rsidR="00F60ED6" w:rsidRPr="00066BA3" w:rsidRDefault="00F60ED6" w:rsidP="00066BA3">
            <w:pPr>
              <w:spacing w:line="360" w:lineRule="auto"/>
              <w:jc w:val="center"/>
              <w:rPr>
                <w:rFonts w:ascii="Arial" w:hAnsi="Arial" w:cs="Arial"/>
                <w:sz w:val="20"/>
                <w:szCs w:val="20"/>
              </w:rPr>
            </w:pPr>
            <w:r w:rsidRPr="00066BA3">
              <w:rPr>
                <w:rFonts w:ascii="Arial" w:hAnsi="Arial" w:cs="Arial"/>
                <w:sz w:val="20"/>
                <w:szCs w:val="20"/>
              </w:rPr>
              <w:t>UNE 103501</w:t>
            </w:r>
          </w:p>
          <w:p w14:paraId="06E567E4" w14:textId="77777777" w:rsidR="00F60ED6" w:rsidRPr="00066BA3" w:rsidRDefault="00F60ED6" w:rsidP="00066BA3">
            <w:pPr>
              <w:spacing w:line="360" w:lineRule="auto"/>
              <w:jc w:val="center"/>
              <w:rPr>
                <w:rFonts w:ascii="Arial" w:hAnsi="Arial" w:cs="Arial"/>
                <w:sz w:val="20"/>
                <w:szCs w:val="20"/>
              </w:rPr>
            </w:pPr>
            <w:r w:rsidRPr="00066BA3">
              <w:rPr>
                <w:rFonts w:ascii="Arial" w:hAnsi="Arial" w:cs="Arial"/>
                <w:sz w:val="20"/>
                <w:szCs w:val="20"/>
              </w:rPr>
              <w:t>NLT – 117</w:t>
            </w:r>
          </w:p>
        </w:tc>
        <w:tc>
          <w:tcPr>
            <w:tcW w:w="1437" w:type="pct"/>
            <w:tcBorders>
              <w:top w:val="single" w:sz="4" w:space="0" w:color="auto"/>
              <w:left w:val="single" w:sz="4" w:space="0" w:color="auto"/>
              <w:bottom w:val="single" w:sz="4" w:space="0" w:color="auto"/>
              <w:right w:val="single" w:sz="4" w:space="0" w:color="auto"/>
            </w:tcBorders>
            <w:vAlign w:val="center"/>
          </w:tcPr>
          <w:p w14:paraId="29CF4AE1" w14:textId="77777777" w:rsidR="00F60ED6" w:rsidRPr="00066BA3" w:rsidRDefault="00F60ED6" w:rsidP="00066BA3">
            <w:pPr>
              <w:spacing w:line="360" w:lineRule="auto"/>
              <w:jc w:val="center"/>
              <w:rPr>
                <w:rFonts w:ascii="Arial" w:hAnsi="Arial" w:cs="Arial"/>
                <w:sz w:val="20"/>
                <w:szCs w:val="20"/>
              </w:rPr>
            </w:pPr>
            <w:r w:rsidRPr="00066BA3">
              <w:rPr>
                <w:rFonts w:ascii="Arial" w:hAnsi="Arial" w:cs="Arial"/>
                <w:sz w:val="20"/>
                <w:szCs w:val="20"/>
              </w:rPr>
              <w:t xml:space="preserve">1 cada </w:t>
            </w:r>
            <w:smartTag w:uri="urn:schemas-microsoft-com:office:smarttags" w:element="metricconverter">
              <w:smartTagPr>
                <w:attr w:name="ProductID" w:val="500 mﾳ"/>
              </w:smartTagPr>
              <w:r w:rsidRPr="00066BA3">
                <w:rPr>
                  <w:rFonts w:ascii="Arial" w:hAnsi="Arial" w:cs="Arial"/>
                  <w:sz w:val="20"/>
                  <w:szCs w:val="20"/>
                </w:rPr>
                <w:t>500 m³</w:t>
              </w:r>
            </w:smartTag>
          </w:p>
          <w:p w14:paraId="1078644C" w14:textId="77777777" w:rsidR="00F60ED6" w:rsidRPr="00066BA3" w:rsidRDefault="00F60ED6" w:rsidP="00066BA3">
            <w:pPr>
              <w:spacing w:line="360" w:lineRule="auto"/>
              <w:jc w:val="center"/>
              <w:rPr>
                <w:rFonts w:ascii="Arial" w:hAnsi="Arial" w:cs="Arial"/>
                <w:sz w:val="20"/>
                <w:szCs w:val="20"/>
              </w:rPr>
            </w:pPr>
            <w:r w:rsidRPr="00066BA3">
              <w:rPr>
                <w:rFonts w:ascii="Arial" w:hAnsi="Arial" w:cs="Arial"/>
                <w:sz w:val="20"/>
                <w:szCs w:val="20"/>
              </w:rPr>
              <w:t xml:space="preserve">1 cada </w:t>
            </w:r>
            <w:smartTag w:uri="urn:schemas-microsoft-com:office:smarttags" w:element="metricconverter">
              <w:smartTagPr>
                <w:attr w:name="ProductID" w:val="500 mﾳ"/>
              </w:smartTagPr>
              <w:r w:rsidRPr="00066BA3">
                <w:rPr>
                  <w:rFonts w:ascii="Arial" w:hAnsi="Arial" w:cs="Arial"/>
                  <w:sz w:val="20"/>
                  <w:szCs w:val="20"/>
                </w:rPr>
                <w:t>500 m³</w:t>
              </w:r>
            </w:smartTag>
          </w:p>
          <w:p w14:paraId="75AC60D1" w14:textId="77777777" w:rsidR="00F60ED6" w:rsidRPr="00066BA3" w:rsidRDefault="00F60ED6" w:rsidP="00066BA3">
            <w:pPr>
              <w:spacing w:line="360" w:lineRule="auto"/>
              <w:jc w:val="center"/>
              <w:rPr>
                <w:rFonts w:ascii="Arial" w:hAnsi="Arial" w:cs="Arial"/>
                <w:sz w:val="20"/>
                <w:szCs w:val="20"/>
              </w:rPr>
            </w:pPr>
            <w:r w:rsidRPr="00066BA3">
              <w:rPr>
                <w:rFonts w:ascii="Arial" w:hAnsi="Arial" w:cs="Arial"/>
                <w:sz w:val="20"/>
                <w:szCs w:val="20"/>
              </w:rPr>
              <w:t xml:space="preserve">1 cada </w:t>
            </w:r>
            <w:smartTag w:uri="urn:schemas-microsoft-com:office:smarttags" w:element="metricconverter">
              <w:smartTagPr>
                <w:attr w:name="ProductID" w:val="250 mﾳ"/>
              </w:smartTagPr>
              <w:r w:rsidRPr="00066BA3">
                <w:rPr>
                  <w:rFonts w:ascii="Arial" w:hAnsi="Arial" w:cs="Arial"/>
                  <w:sz w:val="20"/>
                  <w:szCs w:val="20"/>
                </w:rPr>
                <w:t>250 m³</w:t>
              </w:r>
            </w:smartTag>
          </w:p>
          <w:p w14:paraId="710B2E61" w14:textId="77777777" w:rsidR="00F60ED6" w:rsidRPr="00066BA3" w:rsidRDefault="00F60ED6" w:rsidP="00066BA3">
            <w:pPr>
              <w:spacing w:line="360" w:lineRule="auto"/>
              <w:jc w:val="center"/>
              <w:rPr>
                <w:rFonts w:ascii="Arial" w:hAnsi="Arial" w:cs="Arial"/>
                <w:sz w:val="20"/>
                <w:szCs w:val="20"/>
              </w:rPr>
            </w:pPr>
            <w:r w:rsidRPr="00066BA3">
              <w:rPr>
                <w:rFonts w:ascii="Arial" w:hAnsi="Arial" w:cs="Arial"/>
                <w:sz w:val="20"/>
                <w:szCs w:val="20"/>
              </w:rPr>
              <w:t xml:space="preserve">1 cada </w:t>
            </w:r>
            <w:smartTag w:uri="urn:schemas-microsoft-com:office:smarttags" w:element="metricconverter">
              <w:smartTagPr>
                <w:attr w:name="ProductID" w:val="5.000 mﾳ"/>
              </w:smartTagPr>
              <w:r w:rsidRPr="00066BA3">
                <w:rPr>
                  <w:rFonts w:ascii="Arial" w:hAnsi="Arial" w:cs="Arial"/>
                  <w:sz w:val="20"/>
                  <w:szCs w:val="20"/>
                </w:rPr>
                <w:t>5.000 m³</w:t>
              </w:r>
            </w:smartTag>
          </w:p>
        </w:tc>
      </w:tr>
    </w:tbl>
    <w:p w14:paraId="5D827732" w14:textId="77777777" w:rsidR="00D123BE" w:rsidRDefault="00D123BE" w:rsidP="000313DD">
      <w:pPr>
        <w:pStyle w:val="TITU2"/>
      </w:pPr>
      <w:bookmarkStart w:id="405" w:name="_Toc404198"/>
      <w:r w:rsidRPr="005864C2">
        <w:t>330.</w:t>
      </w:r>
      <w:r w:rsidR="00610954">
        <w:t>7</w:t>
      </w:r>
      <w:r w:rsidRPr="005864C2">
        <w:t xml:space="preserve">. </w:t>
      </w:r>
      <w:r>
        <w:t>Medición y abono</w:t>
      </w:r>
      <w:bookmarkEnd w:id="405"/>
    </w:p>
    <w:p w14:paraId="71239DDD" w14:textId="77777777" w:rsidR="00D123BE" w:rsidRPr="00D123BE" w:rsidRDefault="00D123BE" w:rsidP="00D123BE">
      <w:pPr>
        <w:pStyle w:val="NORMAL12"/>
        <w:rPr>
          <w:lang w:val="es-ES"/>
        </w:rPr>
      </w:pPr>
      <w:r>
        <w:rPr>
          <w:lang w:val="es-ES"/>
        </w:rPr>
        <w:t xml:space="preserve">La medición y abono de la unidad de </w:t>
      </w:r>
      <w:r w:rsidR="00640845">
        <w:rPr>
          <w:lang w:val="es-ES"/>
        </w:rPr>
        <w:t xml:space="preserve">relleno </w:t>
      </w:r>
      <w:r>
        <w:rPr>
          <w:lang w:val="es-ES"/>
        </w:rPr>
        <w:t>se realizará según las especificaciones siguientes:</w:t>
      </w:r>
    </w:p>
    <w:p w14:paraId="7E6C2C48" w14:textId="77777777" w:rsidR="00F60ED6" w:rsidRPr="00F60ED6" w:rsidRDefault="00F60ED6" w:rsidP="00F60ED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60"/>
        <w:gridCol w:w="7318"/>
      </w:tblGrid>
      <w:tr w:rsidR="00D123BE" w:rsidRPr="003345E4" w14:paraId="7687FFC7" w14:textId="77777777" w:rsidTr="006C3018">
        <w:tc>
          <w:tcPr>
            <w:tcW w:w="0" w:type="auto"/>
            <w:vAlign w:val="center"/>
          </w:tcPr>
          <w:p w14:paraId="16EBAFE2" w14:textId="77777777" w:rsidR="00F60ED6" w:rsidRPr="00640845" w:rsidRDefault="00F60ED6" w:rsidP="00E50149">
            <w:pPr>
              <w:pStyle w:val="LCATabla"/>
              <w:keepNext/>
              <w:jc w:val="center"/>
              <w:rPr>
                <w:rFonts w:ascii="Arial" w:hAnsi="Arial" w:cs="Arial"/>
                <w:b/>
                <w:bCs/>
                <w:sz w:val="20"/>
              </w:rPr>
            </w:pPr>
            <w:r w:rsidRPr="00640845">
              <w:rPr>
                <w:rFonts w:ascii="Arial" w:hAnsi="Arial" w:cs="Arial"/>
                <w:b/>
                <w:bCs/>
                <w:sz w:val="20"/>
              </w:rPr>
              <w:t>Unidad de Medida</w:t>
            </w:r>
          </w:p>
        </w:tc>
        <w:tc>
          <w:tcPr>
            <w:tcW w:w="0" w:type="auto"/>
            <w:vAlign w:val="center"/>
          </w:tcPr>
          <w:p w14:paraId="6AC72FF7" w14:textId="77777777" w:rsidR="00F60ED6" w:rsidRPr="00640845" w:rsidRDefault="00F60ED6" w:rsidP="00E37538">
            <w:pPr>
              <w:pStyle w:val="LCATabla"/>
              <w:keepNext/>
              <w:rPr>
                <w:rFonts w:ascii="Arial" w:hAnsi="Arial" w:cs="Arial"/>
                <w:bCs/>
                <w:sz w:val="20"/>
              </w:rPr>
            </w:pPr>
            <w:r w:rsidRPr="00EF5B85">
              <w:rPr>
                <w:rFonts w:ascii="Arial" w:hAnsi="Arial" w:cs="Arial"/>
                <w:sz w:val="20"/>
              </w:rPr>
              <w:t>Metro cúbico (m³)</w:t>
            </w:r>
          </w:p>
        </w:tc>
      </w:tr>
      <w:tr w:rsidR="00D123BE" w:rsidRPr="003345E4" w14:paraId="75304B43" w14:textId="77777777" w:rsidTr="006C3018">
        <w:tc>
          <w:tcPr>
            <w:tcW w:w="0" w:type="auto"/>
            <w:vAlign w:val="center"/>
          </w:tcPr>
          <w:p w14:paraId="5A6C689B" w14:textId="77777777" w:rsidR="00F60ED6" w:rsidRPr="00640845" w:rsidRDefault="00F60ED6" w:rsidP="00E50149">
            <w:pPr>
              <w:pStyle w:val="LCATabla"/>
              <w:keepNext/>
              <w:jc w:val="center"/>
              <w:rPr>
                <w:rFonts w:ascii="Arial" w:hAnsi="Arial" w:cs="Arial"/>
                <w:b/>
                <w:bCs/>
                <w:sz w:val="20"/>
              </w:rPr>
            </w:pPr>
            <w:r w:rsidRPr="00640845">
              <w:rPr>
                <w:rFonts w:ascii="Arial" w:hAnsi="Arial" w:cs="Arial"/>
                <w:b/>
                <w:bCs/>
                <w:sz w:val="20"/>
              </w:rPr>
              <w:t>Grado de precisión</w:t>
            </w:r>
          </w:p>
        </w:tc>
        <w:tc>
          <w:tcPr>
            <w:tcW w:w="0" w:type="auto"/>
            <w:vAlign w:val="center"/>
          </w:tcPr>
          <w:p w14:paraId="0BF5F122" w14:textId="77777777" w:rsidR="00F60ED6" w:rsidRPr="00640845" w:rsidRDefault="00F60ED6" w:rsidP="00E37538">
            <w:pPr>
              <w:pStyle w:val="LCATabla"/>
              <w:keepNext/>
              <w:rPr>
                <w:rFonts w:ascii="Arial" w:hAnsi="Arial" w:cs="Arial"/>
                <w:bCs/>
                <w:sz w:val="20"/>
              </w:rPr>
            </w:pPr>
            <w:r w:rsidRPr="00EF5B85">
              <w:rPr>
                <w:rFonts w:ascii="Arial" w:hAnsi="Arial" w:cs="Arial"/>
                <w:sz w:val="20"/>
              </w:rPr>
              <w:t>Dos (2) decimales</w:t>
            </w:r>
          </w:p>
        </w:tc>
      </w:tr>
      <w:tr w:rsidR="00D123BE" w:rsidRPr="003345E4" w14:paraId="374EC2E9" w14:textId="77777777" w:rsidTr="006C3018">
        <w:tc>
          <w:tcPr>
            <w:tcW w:w="0" w:type="auto"/>
            <w:vAlign w:val="center"/>
          </w:tcPr>
          <w:p w14:paraId="58C44618" w14:textId="77777777" w:rsidR="00F60ED6" w:rsidRPr="00640845" w:rsidRDefault="00F60ED6" w:rsidP="00E50149">
            <w:pPr>
              <w:pStyle w:val="LCATabla"/>
              <w:keepNext/>
              <w:jc w:val="center"/>
              <w:rPr>
                <w:rFonts w:ascii="Arial" w:hAnsi="Arial" w:cs="Arial"/>
                <w:b/>
                <w:bCs/>
                <w:sz w:val="20"/>
              </w:rPr>
            </w:pPr>
            <w:r w:rsidRPr="00640845">
              <w:rPr>
                <w:rFonts w:ascii="Arial" w:hAnsi="Arial" w:cs="Arial"/>
                <w:b/>
                <w:bCs/>
                <w:sz w:val="20"/>
              </w:rPr>
              <w:t>Forma de medición</w:t>
            </w:r>
          </w:p>
        </w:tc>
        <w:tc>
          <w:tcPr>
            <w:tcW w:w="0" w:type="auto"/>
            <w:vAlign w:val="center"/>
          </w:tcPr>
          <w:p w14:paraId="7CC1F130" w14:textId="77777777" w:rsidR="00F60ED6" w:rsidRPr="00640845" w:rsidRDefault="00F60ED6" w:rsidP="00E37538">
            <w:pPr>
              <w:pStyle w:val="LCATabla"/>
              <w:keepNext/>
              <w:rPr>
                <w:rFonts w:ascii="Arial" w:hAnsi="Arial" w:cs="Arial"/>
                <w:bCs/>
                <w:sz w:val="20"/>
              </w:rPr>
            </w:pPr>
            <w:r w:rsidRPr="00EF5B85">
              <w:rPr>
                <w:rFonts w:ascii="Arial" w:hAnsi="Arial" w:cs="Arial"/>
                <w:sz w:val="20"/>
              </w:rPr>
              <w:t>Sección de viario de proyecto aplicada sobre la longitud realmente ejecutada</w:t>
            </w:r>
            <w:r w:rsidRPr="00640845">
              <w:rPr>
                <w:rFonts w:ascii="Arial" w:hAnsi="Arial" w:cs="Arial"/>
                <w:bCs/>
                <w:sz w:val="20"/>
              </w:rPr>
              <w:t xml:space="preserve"> </w:t>
            </w:r>
          </w:p>
        </w:tc>
      </w:tr>
      <w:tr w:rsidR="00D123BE" w:rsidRPr="003345E4" w14:paraId="7CD0F05C" w14:textId="77777777" w:rsidTr="006C3018">
        <w:tc>
          <w:tcPr>
            <w:tcW w:w="0" w:type="auto"/>
            <w:vAlign w:val="center"/>
          </w:tcPr>
          <w:p w14:paraId="639843E0" w14:textId="77777777" w:rsidR="00F60ED6" w:rsidRPr="00640845" w:rsidRDefault="00F60ED6" w:rsidP="00E50149">
            <w:pPr>
              <w:pStyle w:val="LCATabla"/>
              <w:keepNext/>
              <w:jc w:val="center"/>
              <w:rPr>
                <w:rFonts w:ascii="Arial" w:hAnsi="Arial" w:cs="Arial"/>
                <w:b/>
                <w:bCs/>
                <w:sz w:val="20"/>
              </w:rPr>
            </w:pPr>
            <w:r w:rsidRPr="00640845">
              <w:rPr>
                <w:rFonts w:ascii="Arial" w:hAnsi="Arial" w:cs="Arial"/>
                <w:b/>
                <w:bCs/>
                <w:sz w:val="20"/>
              </w:rPr>
              <w:t>Abono</w:t>
            </w:r>
          </w:p>
        </w:tc>
        <w:tc>
          <w:tcPr>
            <w:tcW w:w="0" w:type="auto"/>
            <w:vAlign w:val="center"/>
          </w:tcPr>
          <w:p w14:paraId="6370E368" w14:textId="77777777" w:rsidR="00F60ED6" w:rsidRPr="00640845" w:rsidRDefault="00F60ED6" w:rsidP="00E37538">
            <w:pPr>
              <w:pStyle w:val="LCATabla"/>
              <w:keepNext/>
              <w:rPr>
                <w:rFonts w:ascii="Arial" w:hAnsi="Arial" w:cs="Arial"/>
                <w:bCs/>
                <w:sz w:val="20"/>
              </w:rPr>
            </w:pPr>
            <w:r w:rsidRPr="00EF5B85">
              <w:rPr>
                <w:rFonts w:ascii="Arial" w:hAnsi="Arial" w:cs="Arial"/>
                <w:sz w:val="20"/>
              </w:rPr>
              <w:t>Cuando se produzca la aceptación</w:t>
            </w:r>
          </w:p>
        </w:tc>
      </w:tr>
      <w:tr w:rsidR="00D123BE" w:rsidRPr="003345E4" w14:paraId="303BAF24" w14:textId="77777777" w:rsidTr="006C3018">
        <w:tc>
          <w:tcPr>
            <w:tcW w:w="0" w:type="auto"/>
            <w:vAlign w:val="center"/>
          </w:tcPr>
          <w:p w14:paraId="76A1E29E" w14:textId="77777777" w:rsidR="00F60ED6" w:rsidRPr="00640845" w:rsidRDefault="00F60ED6" w:rsidP="00E50149">
            <w:pPr>
              <w:pStyle w:val="LCATabla"/>
              <w:keepNext/>
              <w:jc w:val="center"/>
              <w:rPr>
                <w:rFonts w:ascii="Arial" w:hAnsi="Arial" w:cs="Arial"/>
                <w:b/>
                <w:bCs/>
                <w:sz w:val="20"/>
              </w:rPr>
            </w:pPr>
            <w:r w:rsidRPr="00640845">
              <w:rPr>
                <w:rFonts w:ascii="Arial" w:hAnsi="Arial" w:cs="Arial"/>
                <w:b/>
                <w:bCs/>
                <w:sz w:val="20"/>
              </w:rPr>
              <w:t>Criterios Complementarios</w:t>
            </w:r>
          </w:p>
        </w:tc>
        <w:tc>
          <w:tcPr>
            <w:tcW w:w="0" w:type="auto"/>
            <w:vAlign w:val="center"/>
          </w:tcPr>
          <w:p w14:paraId="3B7FC880" w14:textId="77777777" w:rsidR="00F60ED6" w:rsidRPr="00640845" w:rsidRDefault="00F60ED6" w:rsidP="00E37538">
            <w:pPr>
              <w:pStyle w:val="LCATabla"/>
              <w:keepNext/>
              <w:rPr>
                <w:rFonts w:ascii="Arial" w:hAnsi="Arial" w:cs="Arial"/>
                <w:bCs/>
                <w:sz w:val="20"/>
              </w:rPr>
            </w:pPr>
            <w:r w:rsidRPr="00EF5B85">
              <w:rPr>
                <w:rFonts w:ascii="Arial" w:hAnsi="Arial" w:cs="Arial"/>
                <w:sz w:val="20"/>
              </w:rPr>
              <w:t xml:space="preserve">Los excesos sobre la cubicación teórica </w:t>
            </w:r>
            <w:r w:rsidR="00D123BE" w:rsidRPr="00EF5B85">
              <w:rPr>
                <w:rFonts w:ascii="Arial" w:hAnsi="Arial" w:cs="Arial"/>
                <w:sz w:val="20"/>
              </w:rPr>
              <w:t xml:space="preserve">no ordenada por el </w:t>
            </w:r>
            <w:proofErr w:type="gramStart"/>
            <w:r w:rsidR="00D123BE" w:rsidRPr="00EF5B85">
              <w:rPr>
                <w:rFonts w:ascii="Arial" w:hAnsi="Arial" w:cs="Arial"/>
                <w:sz w:val="20"/>
              </w:rPr>
              <w:t>Director</w:t>
            </w:r>
            <w:proofErr w:type="gramEnd"/>
            <w:r w:rsidR="00D123BE" w:rsidRPr="00EF5B85">
              <w:rPr>
                <w:rFonts w:ascii="Arial" w:hAnsi="Arial" w:cs="Arial"/>
                <w:sz w:val="20"/>
              </w:rPr>
              <w:t xml:space="preserve"> de obra </w:t>
            </w:r>
            <w:r w:rsidRPr="00EF5B85">
              <w:rPr>
                <w:rFonts w:ascii="Arial" w:hAnsi="Arial" w:cs="Arial"/>
                <w:sz w:val="20"/>
              </w:rPr>
              <w:t>correrán a cargo del Contratista</w:t>
            </w:r>
          </w:p>
        </w:tc>
      </w:tr>
    </w:tbl>
    <w:p w14:paraId="7CBACD58" w14:textId="77777777" w:rsidR="00466EF6" w:rsidRDefault="00466EF6" w:rsidP="00466EF6">
      <w:pPr>
        <w:pStyle w:val="NORMAL12"/>
        <w:rPr>
          <w:lang w:val="es-ES"/>
        </w:rPr>
      </w:pPr>
    </w:p>
    <w:p w14:paraId="25649DEF" w14:textId="77777777" w:rsidR="00466EF6" w:rsidRDefault="00466EF6" w:rsidP="00466EF6">
      <w:pPr>
        <w:pStyle w:val="NORMAL12"/>
        <w:rPr>
          <w:color w:val="365F91" w:themeColor="accent1" w:themeShade="BF"/>
        </w:rPr>
      </w:pPr>
      <w:r>
        <w:rPr>
          <w:lang w:val="es-ES"/>
        </w:rPr>
        <w:t xml:space="preserve">La </w:t>
      </w:r>
      <w:r w:rsidRPr="00F803A4">
        <w:rPr>
          <w:lang w:val="es-ES"/>
        </w:rPr>
        <w:t xml:space="preserve">medición y abono de la unidad de </w:t>
      </w:r>
      <w:r>
        <w:rPr>
          <w:lang w:val="es-ES"/>
        </w:rPr>
        <w:t xml:space="preserve">precio del transporte para distancias mayores a 30 kilómetros se realizará según las especificaciones siguientes: </w:t>
      </w:r>
      <w:r w:rsidRPr="00F803A4">
        <w:rPr>
          <w:lang w:val="es-E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67"/>
        <w:gridCol w:w="7711"/>
      </w:tblGrid>
      <w:tr w:rsidR="00466EF6" w:rsidRPr="009B23E5" w14:paraId="342254F0" w14:textId="77777777" w:rsidTr="00CB7CE8">
        <w:tc>
          <w:tcPr>
            <w:tcW w:w="0" w:type="auto"/>
            <w:vAlign w:val="center"/>
          </w:tcPr>
          <w:p w14:paraId="200BA222" w14:textId="77777777" w:rsidR="00466EF6" w:rsidRPr="009B23E5" w:rsidRDefault="00466EF6" w:rsidP="00CB7CE8">
            <w:pPr>
              <w:pStyle w:val="LCATabla"/>
              <w:keepNext/>
              <w:jc w:val="center"/>
              <w:rPr>
                <w:rFonts w:ascii="Arial" w:hAnsi="Arial" w:cs="Arial"/>
                <w:b/>
                <w:bCs/>
                <w:sz w:val="20"/>
              </w:rPr>
            </w:pPr>
            <w:r w:rsidRPr="009B23E5">
              <w:rPr>
                <w:rFonts w:ascii="Arial" w:hAnsi="Arial" w:cs="Arial"/>
                <w:b/>
                <w:bCs/>
                <w:sz w:val="20"/>
              </w:rPr>
              <w:t>Unidad de medida</w:t>
            </w:r>
          </w:p>
        </w:tc>
        <w:tc>
          <w:tcPr>
            <w:tcW w:w="0" w:type="auto"/>
            <w:vAlign w:val="center"/>
          </w:tcPr>
          <w:p w14:paraId="7957B0B0" w14:textId="77777777" w:rsidR="00466EF6" w:rsidRPr="009B23E5" w:rsidRDefault="00466EF6" w:rsidP="00E37538">
            <w:pPr>
              <w:pStyle w:val="LCATabla"/>
              <w:keepNext/>
              <w:jc w:val="both"/>
              <w:rPr>
                <w:rFonts w:ascii="Arial" w:hAnsi="Arial" w:cs="Arial"/>
                <w:sz w:val="20"/>
              </w:rPr>
            </w:pPr>
            <w:r w:rsidRPr="009B23E5">
              <w:rPr>
                <w:rFonts w:ascii="Arial" w:hAnsi="Arial" w:cs="Arial"/>
                <w:sz w:val="20"/>
              </w:rPr>
              <w:t xml:space="preserve">Metro cúbico </w:t>
            </w:r>
            <w:r>
              <w:rPr>
                <w:rFonts w:ascii="Arial" w:hAnsi="Arial" w:cs="Arial"/>
                <w:sz w:val="20"/>
              </w:rPr>
              <w:t xml:space="preserve">por kilómetro </w:t>
            </w:r>
            <w:r w:rsidRPr="009B23E5">
              <w:rPr>
                <w:rFonts w:ascii="Arial" w:hAnsi="Arial" w:cs="Arial"/>
                <w:sz w:val="20"/>
              </w:rPr>
              <w:t>(m</w:t>
            </w:r>
            <w:r w:rsidRPr="00E850F6">
              <w:rPr>
                <w:rFonts w:ascii="Arial" w:hAnsi="Arial" w:cs="Arial"/>
                <w:sz w:val="20"/>
                <w:vertAlign w:val="superscript"/>
              </w:rPr>
              <w:t>3</w:t>
            </w:r>
            <w:r>
              <w:rPr>
                <w:rFonts w:ascii="Arial" w:hAnsi="Arial" w:cs="Arial"/>
                <w:sz w:val="20"/>
              </w:rPr>
              <w:t>*km</w:t>
            </w:r>
            <w:r w:rsidRPr="009B23E5">
              <w:rPr>
                <w:rFonts w:ascii="Arial" w:hAnsi="Arial" w:cs="Arial"/>
                <w:sz w:val="20"/>
              </w:rPr>
              <w:t>).</w:t>
            </w:r>
          </w:p>
        </w:tc>
      </w:tr>
      <w:tr w:rsidR="00466EF6" w:rsidRPr="009B23E5" w14:paraId="287B632C" w14:textId="77777777" w:rsidTr="00CB7CE8">
        <w:tc>
          <w:tcPr>
            <w:tcW w:w="0" w:type="auto"/>
            <w:vAlign w:val="center"/>
          </w:tcPr>
          <w:p w14:paraId="24213E8D" w14:textId="77777777" w:rsidR="00466EF6" w:rsidRPr="009B23E5" w:rsidRDefault="00466EF6" w:rsidP="00CB7CE8">
            <w:pPr>
              <w:pStyle w:val="LCATabla"/>
              <w:keepNext/>
              <w:jc w:val="center"/>
              <w:rPr>
                <w:rFonts w:ascii="Arial" w:hAnsi="Arial" w:cs="Arial"/>
                <w:b/>
                <w:bCs/>
                <w:sz w:val="20"/>
              </w:rPr>
            </w:pPr>
            <w:r w:rsidRPr="009B23E5">
              <w:rPr>
                <w:rFonts w:ascii="Arial" w:hAnsi="Arial" w:cs="Arial"/>
                <w:b/>
                <w:bCs/>
                <w:sz w:val="20"/>
              </w:rPr>
              <w:t>Grado de precisión</w:t>
            </w:r>
          </w:p>
        </w:tc>
        <w:tc>
          <w:tcPr>
            <w:tcW w:w="0" w:type="auto"/>
            <w:vAlign w:val="center"/>
          </w:tcPr>
          <w:p w14:paraId="2A696604" w14:textId="77777777" w:rsidR="00466EF6" w:rsidRPr="009B23E5" w:rsidRDefault="00466EF6" w:rsidP="00E37538">
            <w:pPr>
              <w:pStyle w:val="LCATabla"/>
              <w:keepNext/>
              <w:jc w:val="both"/>
              <w:rPr>
                <w:rFonts w:ascii="Arial" w:hAnsi="Arial" w:cs="Arial"/>
                <w:sz w:val="20"/>
              </w:rPr>
            </w:pPr>
            <w:r w:rsidRPr="009B23E5">
              <w:rPr>
                <w:rFonts w:ascii="Arial" w:hAnsi="Arial" w:cs="Arial"/>
                <w:sz w:val="20"/>
              </w:rPr>
              <w:t>Dos decimales.</w:t>
            </w:r>
          </w:p>
        </w:tc>
      </w:tr>
      <w:tr w:rsidR="00466EF6" w:rsidRPr="009B23E5" w14:paraId="0494688F" w14:textId="77777777" w:rsidTr="00CB7CE8">
        <w:tc>
          <w:tcPr>
            <w:tcW w:w="0" w:type="auto"/>
            <w:vAlign w:val="center"/>
          </w:tcPr>
          <w:p w14:paraId="20985FE9" w14:textId="77777777" w:rsidR="00466EF6" w:rsidRPr="009B23E5" w:rsidRDefault="00466EF6" w:rsidP="00CB7CE8">
            <w:pPr>
              <w:pStyle w:val="LCATabla"/>
              <w:keepNext/>
              <w:jc w:val="center"/>
              <w:rPr>
                <w:rFonts w:ascii="Arial" w:hAnsi="Arial" w:cs="Arial"/>
                <w:b/>
                <w:bCs/>
                <w:sz w:val="20"/>
              </w:rPr>
            </w:pPr>
            <w:r w:rsidRPr="009B23E5">
              <w:rPr>
                <w:rFonts w:ascii="Arial" w:hAnsi="Arial" w:cs="Arial"/>
                <w:b/>
                <w:bCs/>
                <w:sz w:val="20"/>
              </w:rPr>
              <w:t>Forma de medición</w:t>
            </w:r>
          </w:p>
        </w:tc>
        <w:tc>
          <w:tcPr>
            <w:tcW w:w="0" w:type="auto"/>
            <w:vAlign w:val="center"/>
          </w:tcPr>
          <w:p w14:paraId="10A427B8" w14:textId="77777777" w:rsidR="00466EF6" w:rsidRPr="009B23E5" w:rsidRDefault="00466EF6" w:rsidP="00E37538">
            <w:pPr>
              <w:pStyle w:val="LCATabla"/>
              <w:keepNext/>
              <w:jc w:val="both"/>
              <w:rPr>
                <w:rFonts w:ascii="Arial" w:hAnsi="Arial" w:cs="Arial"/>
                <w:sz w:val="20"/>
              </w:rPr>
            </w:pPr>
            <w:r>
              <w:rPr>
                <w:rFonts w:ascii="Arial" w:hAnsi="Arial" w:cs="Arial"/>
                <w:sz w:val="20"/>
              </w:rPr>
              <w:t>Cálculo del volumen por d</w:t>
            </w:r>
            <w:r w:rsidRPr="009B23E5">
              <w:rPr>
                <w:rFonts w:ascii="Arial" w:hAnsi="Arial" w:cs="Arial"/>
                <w:sz w:val="20"/>
              </w:rPr>
              <w:t>iferencia entre los perfiles reales del terreno antes de comenzar los trabajos y los teóricos que resultarán de aplicar las secciones definidas en los Planos</w:t>
            </w:r>
            <w:r>
              <w:rPr>
                <w:rFonts w:ascii="Arial" w:hAnsi="Arial" w:cs="Arial"/>
                <w:sz w:val="20"/>
              </w:rPr>
              <w:t xml:space="preserve"> por los kilómetros recorridos por exceso a partir de diez (</w:t>
            </w:r>
            <w:proofErr w:type="gramStart"/>
            <w:r>
              <w:rPr>
                <w:rFonts w:ascii="Arial" w:hAnsi="Arial" w:cs="Arial"/>
                <w:sz w:val="20"/>
              </w:rPr>
              <w:t>10 )</w:t>
            </w:r>
            <w:proofErr w:type="gramEnd"/>
            <w:r>
              <w:rPr>
                <w:rFonts w:ascii="Arial" w:hAnsi="Arial" w:cs="Arial"/>
                <w:sz w:val="20"/>
              </w:rPr>
              <w:t xml:space="preserve"> kilómetros.</w:t>
            </w:r>
          </w:p>
        </w:tc>
      </w:tr>
      <w:tr w:rsidR="00466EF6" w:rsidRPr="009B23E5" w14:paraId="2250DA7B" w14:textId="77777777" w:rsidTr="00CB7CE8">
        <w:tc>
          <w:tcPr>
            <w:tcW w:w="0" w:type="auto"/>
            <w:vAlign w:val="center"/>
          </w:tcPr>
          <w:p w14:paraId="4C7BD797" w14:textId="77777777" w:rsidR="00466EF6" w:rsidRPr="009B23E5" w:rsidRDefault="00466EF6" w:rsidP="00CB7CE8">
            <w:pPr>
              <w:pStyle w:val="LCATabla"/>
              <w:keepNext/>
              <w:jc w:val="center"/>
              <w:rPr>
                <w:rFonts w:ascii="Arial" w:hAnsi="Arial" w:cs="Arial"/>
                <w:b/>
                <w:bCs/>
                <w:sz w:val="20"/>
              </w:rPr>
            </w:pPr>
            <w:r w:rsidRPr="009B23E5">
              <w:rPr>
                <w:rFonts w:ascii="Arial" w:hAnsi="Arial" w:cs="Arial"/>
                <w:b/>
                <w:bCs/>
                <w:sz w:val="20"/>
              </w:rPr>
              <w:t>Abono</w:t>
            </w:r>
          </w:p>
        </w:tc>
        <w:tc>
          <w:tcPr>
            <w:tcW w:w="0" w:type="auto"/>
            <w:vAlign w:val="center"/>
          </w:tcPr>
          <w:p w14:paraId="460AAB0D" w14:textId="77777777" w:rsidR="00466EF6" w:rsidRPr="009B23E5" w:rsidRDefault="00466EF6" w:rsidP="00E37538">
            <w:pPr>
              <w:pStyle w:val="LCATabla"/>
              <w:keepNext/>
              <w:jc w:val="both"/>
              <w:rPr>
                <w:rFonts w:ascii="Arial" w:hAnsi="Arial" w:cs="Arial"/>
                <w:sz w:val="20"/>
              </w:rPr>
            </w:pPr>
            <w:r w:rsidRPr="009B23E5">
              <w:rPr>
                <w:rFonts w:ascii="Arial" w:hAnsi="Arial" w:cs="Arial"/>
                <w:sz w:val="20"/>
              </w:rPr>
              <w:t>Se efectuará cuando se realice la aceptación.</w:t>
            </w:r>
          </w:p>
        </w:tc>
      </w:tr>
      <w:tr w:rsidR="00466EF6" w:rsidRPr="009B23E5" w14:paraId="3182E72F" w14:textId="77777777" w:rsidTr="00CB7CE8">
        <w:tc>
          <w:tcPr>
            <w:tcW w:w="0" w:type="auto"/>
            <w:vAlign w:val="center"/>
          </w:tcPr>
          <w:p w14:paraId="12DA6279" w14:textId="77777777" w:rsidR="00466EF6" w:rsidRPr="009B23E5" w:rsidRDefault="00466EF6" w:rsidP="00CB7CE8">
            <w:pPr>
              <w:pStyle w:val="LCATabla"/>
              <w:keepNext/>
              <w:jc w:val="center"/>
              <w:rPr>
                <w:rFonts w:ascii="Arial" w:hAnsi="Arial" w:cs="Arial"/>
                <w:b/>
                <w:bCs/>
                <w:sz w:val="20"/>
              </w:rPr>
            </w:pPr>
            <w:r w:rsidRPr="009B23E5">
              <w:rPr>
                <w:rFonts w:ascii="Arial" w:hAnsi="Arial" w:cs="Arial"/>
                <w:b/>
                <w:bCs/>
                <w:sz w:val="20"/>
              </w:rPr>
              <w:t>Criterios complementarios</w:t>
            </w:r>
          </w:p>
        </w:tc>
        <w:tc>
          <w:tcPr>
            <w:tcW w:w="0" w:type="auto"/>
            <w:vAlign w:val="center"/>
          </w:tcPr>
          <w:p w14:paraId="5F0081DD" w14:textId="77777777" w:rsidR="00466EF6" w:rsidRPr="009B23E5" w:rsidRDefault="00466EF6" w:rsidP="00E37538">
            <w:pPr>
              <w:pStyle w:val="LCATabla"/>
              <w:keepNext/>
              <w:jc w:val="both"/>
              <w:rPr>
                <w:rFonts w:ascii="Arial" w:hAnsi="Arial" w:cs="Arial"/>
                <w:sz w:val="20"/>
              </w:rPr>
            </w:pPr>
            <w:r>
              <w:rPr>
                <w:rFonts w:ascii="Arial" w:hAnsi="Arial" w:cs="Arial"/>
                <w:sz w:val="20"/>
              </w:rPr>
              <w:t>--</w:t>
            </w:r>
          </w:p>
        </w:tc>
      </w:tr>
    </w:tbl>
    <w:p w14:paraId="05EBBF22" w14:textId="77777777" w:rsidR="00780D29" w:rsidRDefault="00780D29" w:rsidP="00780D29">
      <w:pPr>
        <w:pStyle w:val="NORMAL12"/>
        <w:rPr>
          <w:lang w:val="es-ES"/>
        </w:rPr>
      </w:pPr>
    </w:p>
    <w:p w14:paraId="401032A6" w14:textId="77777777" w:rsidR="00D61146" w:rsidRDefault="00D61146" w:rsidP="00D61146">
      <w:pPr>
        <w:pStyle w:val="TITU1"/>
      </w:pPr>
      <w:bookmarkStart w:id="406" w:name="_Toc404199"/>
      <w:r w:rsidRPr="00F40D05">
        <w:lastRenderedPageBreak/>
        <w:t>Artículo 332. Rellenos localizados</w:t>
      </w:r>
      <w:bookmarkEnd w:id="406"/>
    </w:p>
    <w:p w14:paraId="4873E617" w14:textId="77777777" w:rsidR="00A57589" w:rsidRPr="00A57589" w:rsidRDefault="00A57589" w:rsidP="00A57589">
      <w:pPr>
        <w:pStyle w:val="NORMAL12"/>
        <w:rPr>
          <w:lang w:val="es-ES"/>
        </w:rPr>
      </w:pPr>
      <w:r w:rsidRPr="00034D35">
        <w:rPr>
          <w:lang w:val="es-ES"/>
        </w:rPr>
        <w:t>Excepto para lo especificado en el presente Pliego de Prescripciones Técnicas particulares se seguirá lo prescrito en el vigente artículo 33</w:t>
      </w:r>
      <w:r>
        <w:rPr>
          <w:lang w:val="es-ES"/>
        </w:rPr>
        <w:t>2</w:t>
      </w:r>
      <w:r w:rsidRPr="00034D35">
        <w:rPr>
          <w:lang w:val="es-ES"/>
        </w:rPr>
        <w:t xml:space="preserve"> del PG-3</w:t>
      </w:r>
    </w:p>
    <w:p w14:paraId="214EEDC1" w14:textId="77777777" w:rsidR="00090534" w:rsidRDefault="00D61146" w:rsidP="000313DD">
      <w:pPr>
        <w:pStyle w:val="TITU2"/>
      </w:pPr>
      <w:bookmarkStart w:id="407" w:name="_Toc404200"/>
      <w:r w:rsidRPr="005864C2">
        <w:t>33</w:t>
      </w:r>
      <w:r>
        <w:t>2</w:t>
      </w:r>
      <w:r w:rsidRPr="005864C2">
        <w:t>.</w:t>
      </w:r>
      <w:r>
        <w:t>1</w:t>
      </w:r>
      <w:r w:rsidRPr="005864C2">
        <w:t xml:space="preserve">. </w:t>
      </w:r>
      <w:r w:rsidR="00090534">
        <w:t>Definición y aplicación</w:t>
      </w:r>
      <w:bookmarkEnd w:id="407"/>
    </w:p>
    <w:p w14:paraId="6C03C014" w14:textId="77777777" w:rsidR="00090534" w:rsidRDefault="00090534" w:rsidP="00D61146">
      <w:pPr>
        <w:pStyle w:val="NORMAL12"/>
        <w:rPr>
          <w:lang w:val="es-ES"/>
        </w:rPr>
      </w:pPr>
      <w:r>
        <w:rPr>
          <w:lang w:val="es-ES"/>
        </w:rPr>
        <w:t xml:space="preserve">Esta unidad </w:t>
      </w:r>
      <w:r w:rsidR="00D93E76">
        <w:rPr>
          <w:lang w:val="es-ES"/>
        </w:rPr>
        <w:t>consiste</w:t>
      </w:r>
      <w:r>
        <w:rPr>
          <w:lang w:val="es-ES"/>
        </w:rPr>
        <w:t xml:space="preserve"> en la extensión y compactación de suelos precedentes de excavación o préstamos, en el relleno de zanjas, trasdós de obras de fábrica, cimentación, apoyos de estribos, o cualquier otra zona </w:t>
      </w:r>
      <w:proofErr w:type="gramStart"/>
      <w:r>
        <w:rPr>
          <w:lang w:val="es-ES"/>
        </w:rPr>
        <w:t>que</w:t>
      </w:r>
      <w:proofErr w:type="gramEnd"/>
      <w:r>
        <w:rPr>
          <w:lang w:val="es-ES"/>
        </w:rPr>
        <w:t xml:space="preserve"> por su reducida extensión, no permite la utilización de los mismos equipos de maquinaria con los que se lleva a cabo el resto de los rellenos.</w:t>
      </w:r>
    </w:p>
    <w:p w14:paraId="66ECBD98" w14:textId="77777777" w:rsidR="00BF6A1E" w:rsidRDefault="00BF6A1E" w:rsidP="00D61146">
      <w:pPr>
        <w:pStyle w:val="NORMAL12"/>
        <w:rPr>
          <w:lang w:val="es-ES"/>
        </w:rPr>
      </w:pPr>
      <w:r>
        <w:rPr>
          <w:lang w:val="es-ES"/>
        </w:rPr>
        <w:t xml:space="preserve">Las prescripciones de este artículo </w:t>
      </w:r>
      <w:proofErr w:type="gramStart"/>
      <w:r>
        <w:rPr>
          <w:lang w:val="es-ES"/>
        </w:rPr>
        <w:t>son de aplicación</w:t>
      </w:r>
      <w:proofErr w:type="gramEnd"/>
      <w:r>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053"/>
        <w:gridCol w:w="774"/>
        <w:gridCol w:w="7951"/>
      </w:tblGrid>
      <w:tr w:rsidR="00BF6A1E" w:rsidRPr="005864C2" w14:paraId="34897FD9" w14:textId="77777777" w:rsidTr="00BF6A1E">
        <w:trPr>
          <w:trHeight w:val="300"/>
        </w:trPr>
        <w:tc>
          <w:tcPr>
            <w:tcW w:w="538" w:type="pct"/>
            <w:noWrap/>
          </w:tcPr>
          <w:p w14:paraId="233253A7" w14:textId="77777777" w:rsidR="00BF6A1E" w:rsidRPr="00050087" w:rsidRDefault="00BF6A1E">
            <w:pPr>
              <w:rPr>
                <w:rFonts w:ascii="Calibri" w:hAnsi="Calibri" w:cs="Calibri"/>
                <w:color w:val="000000"/>
              </w:rPr>
            </w:pPr>
            <w:r w:rsidRPr="00050087">
              <w:rPr>
                <w:rFonts w:ascii="Calibri" w:hAnsi="Calibri" w:cs="Calibri"/>
                <w:color w:val="000000"/>
              </w:rPr>
              <w:t xml:space="preserve">332.0050          </w:t>
            </w:r>
          </w:p>
        </w:tc>
        <w:tc>
          <w:tcPr>
            <w:tcW w:w="396" w:type="pct"/>
            <w:noWrap/>
          </w:tcPr>
          <w:p w14:paraId="5CBFE291" w14:textId="77777777" w:rsidR="00BF6A1E" w:rsidRPr="00050087" w:rsidRDefault="00BF6A1E">
            <w:pPr>
              <w:rPr>
                <w:rFonts w:ascii="Calibri" w:hAnsi="Calibri" w:cs="Calibri"/>
                <w:color w:val="000000"/>
              </w:rPr>
            </w:pPr>
            <w:r w:rsidRPr="00050087">
              <w:rPr>
                <w:rFonts w:ascii="Calibri" w:hAnsi="Calibri" w:cs="Calibri"/>
                <w:color w:val="000000"/>
              </w:rPr>
              <w:t>m³</w:t>
            </w:r>
          </w:p>
        </w:tc>
        <w:tc>
          <w:tcPr>
            <w:tcW w:w="4066" w:type="pct"/>
          </w:tcPr>
          <w:p w14:paraId="4863B7A8" w14:textId="77777777" w:rsidR="00BF6A1E" w:rsidRPr="00050087" w:rsidRDefault="00BF6A1E" w:rsidP="00E37538">
            <w:pPr>
              <w:jc w:val="both"/>
              <w:rPr>
                <w:rFonts w:ascii="Calibri" w:hAnsi="Calibri" w:cs="Calibri"/>
                <w:color w:val="000000"/>
              </w:rPr>
            </w:pPr>
            <w:r w:rsidRPr="00050087">
              <w:rPr>
                <w:rFonts w:ascii="Calibri" w:hAnsi="Calibri" w:cs="Calibri"/>
                <w:color w:val="000000"/>
              </w:rPr>
              <w:t>RELLENO LOCALIZADO EN ZANJAS, POZOS Y CIMIENTOS CON MATERIAL PROCEDENTE DE PRÉSTAMO, YACIMIENTO GRANULAR Y/O CANTERA i/ CANON DE PRÉSTAMO O CANTERA, CARGA Y TRANSPORTE AL LUGAR DE EMPLEO HASTA UNA DISTANCIA DE 30 km, EXTENDIDO, HUMECTACIÓN, COMPACTACIÓN, TERMINACIÓN Y REFINO DE LA SUPERFICIE DE LA CORONACIÓN Y REFINO DE TALUDES (EN SU CASO).</w:t>
            </w:r>
          </w:p>
        </w:tc>
      </w:tr>
    </w:tbl>
    <w:p w14:paraId="19FA7D2E" w14:textId="77777777" w:rsidR="00BF6A1E" w:rsidRPr="00D61146" w:rsidRDefault="00BF6A1E" w:rsidP="00D61146">
      <w:pPr>
        <w:pStyle w:val="NORMAL12"/>
        <w:rPr>
          <w:lang w:val="es-ES"/>
        </w:rPr>
      </w:pPr>
    </w:p>
    <w:p w14:paraId="39A0FCEB" w14:textId="77777777" w:rsidR="00D61146" w:rsidRDefault="00D61146" w:rsidP="000313DD">
      <w:pPr>
        <w:pStyle w:val="TITU2"/>
      </w:pPr>
      <w:bookmarkStart w:id="408" w:name="_Toc404201"/>
      <w:r>
        <w:t>332.2. Materiales</w:t>
      </w:r>
      <w:bookmarkEnd w:id="408"/>
    </w:p>
    <w:p w14:paraId="7013877A" w14:textId="77777777" w:rsidR="00090534" w:rsidRDefault="00090534" w:rsidP="00090534">
      <w:pPr>
        <w:pStyle w:val="NORMAL12"/>
        <w:rPr>
          <w:lang w:val="es-ES"/>
        </w:rPr>
      </w:pPr>
      <w:r>
        <w:rPr>
          <w:lang w:val="es-ES"/>
        </w:rPr>
        <w:t>Se emplearán materiales seleccionados precedentes de préstamos que cumplirán las especificaciones establecidas en el artículo 330 del presente pliego o del PG-3.</w:t>
      </w:r>
    </w:p>
    <w:p w14:paraId="384157CB" w14:textId="77777777" w:rsidR="00090534" w:rsidRDefault="00090534" w:rsidP="00090534">
      <w:pPr>
        <w:pStyle w:val="NORMAL12"/>
        <w:rPr>
          <w:lang w:val="es-ES"/>
        </w:rPr>
      </w:pPr>
      <w:r>
        <w:rPr>
          <w:lang w:val="es-ES"/>
        </w:rPr>
        <w:t>En la ejecución de rellenos localizados situados en las proximidades de obras de hormigón no se utilizarán materiales que contengan yesos.</w:t>
      </w:r>
    </w:p>
    <w:p w14:paraId="3DD1E5FB" w14:textId="77777777" w:rsidR="00D61146" w:rsidRDefault="00D61146" w:rsidP="000313DD">
      <w:pPr>
        <w:pStyle w:val="TITU2"/>
      </w:pPr>
      <w:bookmarkStart w:id="409" w:name="_Toc404202"/>
      <w:r>
        <w:t>332.</w:t>
      </w:r>
      <w:r w:rsidR="00090534">
        <w:t>5</w:t>
      </w:r>
      <w:r>
        <w:t>. Ejecución de las obras</w:t>
      </w:r>
      <w:bookmarkEnd w:id="409"/>
    </w:p>
    <w:p w14:paraId="3870A2DA" w14:textId="77777777" w:rsidR="00090534" w:rsidRPr="00050087" w:rsidRDefault="00090534" w:rsidP="00090534">
      <w:pPr>
        <w:pStyle w:val="NORMAL12"/>
        <w:rPr>
          <w:b/>
          <w:i/>
          <w:lang w:val="es-ES"/>
        </w:rPr>
      </w:pPr>
      <w:r w:rsidRPr="00050087">
        <w:rPr>
          <w:b/>
          <w:i/>
          <w:lang w:val="es-ES"/>
        </w:rPr>
        <w:t>332.5.1 Preparación de la superficie de asiento</w:t>
      </w:r>
    </w:p>
    <w:p w14:paraId="542468C6" w14:textId="77777777" w:rsidR="00090534" w:rsidRPr="00E20599" w:rsidRDefault="00090534" w:rsidP="00090534">
      <w:pPr>
        <w:pStyle w:val="NORMAL12"/>
        <w:rPr>
          <w:lang w:val="es-ES"/>
        </w:rPr>
      </w:pPr>
      <w:r w:rsidRPr="00050087">
        <w:rPr>
          <w:lang w:val="es-ES"/>
        </w:rPr>
        <w:t xml:space="preserve">En las zonas de recrecido de antiguos rellenos el </w:t>
      </w:r>
      <w:proofErr w:type="gramStart"/>
      <w:r w:rsidR="00DA5050" w:rsidRPr="00050087">
        <w:rPr>
          <w:lang w:val="es-ES"/>
        </w:rPr>
        <w:t>Director</w:t>
      </w:r>
      <w:proofErr w:type="gramEnd"/>
      <w:r w:rsidR="00DA5050" w:rsidRPr="00050087">
        <w:rPr>
          <w:lang w:val="es-ES"/>
        </w:rPr>
        <w:t xml:space="preserve"> de O</w:t>
      </w:r>
      <w:r w:rsidRPr="00050087">
        <w:rPr>
          <w:lang w:val="es-ES"/>
        </w:rPr>
        <w:t>bra establecerá</w:t>
      </w:r>
      <w:r w:rsidRPr="00E20599">
        <w:rPr>
          <w:lang w:val="es-ES"/>
        </w:rPr>
        <w:t xml:space="preserve"> si el material antiguo debe ser removido, y en </w:t>
      </w:r>
      <w:r w:rsidR="00D93E76" w:rsidRPr="00E20599">
        <w:rPr>
          <w:lang w:val="es-ES"/>
        </w:rPr>
        <w:t>qué</w:t>
      </w:r>
      <w:r w:rsidRPr="00E20599">
        <w:rPr>
          <w:lang w:val="es-ES"/>
        </w:rPr>
        <w:t xml:space="preserve"> cantidad para conseguir una compactación uniforme entre el antiguo y nuevo relleno.</w:t>
      </w:r>
    </w:p>
    <w:p w14:paraId="13D45D22" w14:textId="77777777" w:rsidR="00090534" w:rsidRPr="00E20599" w:rsidRDefault="00090534" w:rsidP="00090534">
      <w:pPr>
        <w:pStyle w:val="NORMAL12"/>
        <w:rPr>
          <w:lang w:val="es-ES"/>
        </w:rPr>
      </w:pPr>
      <w:r w:rsidRPr="00E20599">
        <w:rPr>
          <w:lang w:val="es-ES"/>
        </w:rPr>
        <w:t xml:space="preserve">En todo caso se evitará la entrada de agua en la zona de relleno, se dispondrá de las medidas necesarias aprobadas por el </w:t>
      </w:r>
      <w:proofErr w:type="gramStart"/>
      <w:r w:rsidRPr="00E20599">
        <w:rPr>
          <w:lang w:val="es-ES"/>
        </w:rPr>
        <w:t>Director</w:t>
      </w:r>
      <w:proofErr w:type="gramEnd"/>
      <w:r w:rsidRPr="00E20599">
        <w:rPr>
          <w:lang w:val="es-ES"/>
        </w:rPr>
        <w:t xml:space="preserve"> de Obra.</w:t>
      </w:r>
    </w:p>
    <w:p w14:paraId="550595BA" w14:textId="77777777" w:rsidR="00090534" w:rsidRPr="00E20599" w:rsidRDefault="00090534" w:rsidP="00090534">
      <w:pPr>
        <w:pStyle w:val="NORMAL12"/>
        <w:rPr>
          <w:lang w:val="es-ES"/>
        </w:rPr>
      </w:pPr>
      <w:r w:rsidRPr="00E20599">
        <w:rPr>
          <w:lang w:val="es-ES"/>
        </w:rPr>
        <w:t xml:space="preserve">En </w:t>
      </w:r>
      <w:r w:rsidR="00D93E76" w:rsidRPr="00E20599">
        <w:rPr>
          <w:lang w:val="es-ES"/>
        </w:rPr>
        <w:t>las zonas</w:t>
      </w:r>
      <w:r w:rsidRPr="00E20599">
        <w:rPr>
          <w:lang w:val="es-ES"/>
        </w:rPr>
        <w:t xml:space="preserve"> de zanjas se eliminará todo </w:t>
      </w:r>
      <w:r w:rsidR="00D93E76" w:rsidRPr="00E20599">
        <w:rPr>
          <w:lang w:val="es-ES"/>
        </w:rPr>
        <w:t>el</w:t>
      </w:r>
      <w:r w:rsidRPr="00E20599">
        <w:rPr>
          <w:lang w:val="es-ES"/>
        </w:rPr>
        <w:t xml:space="preserve"> material que se considere inest</w:t>
      </w:r>
      <w:r w:rsidR="00E20599">
        <w:rPr>
          <w:lang w:val="es-ES"/>
        </w:rPr>
        <w:t xml:space="preserve">able por parte del </w:t>
      </w:r>
      <w:proofErr w:type="gramStart"/>
      <w:r w:rsidR="00E20599">
        <w:rPr>
          <w:lang w:val="es-ES"/>
        </w:rPr>
        <w:t>Director</w:t>
      </w:r>
      <w:proofErr w:type="gramEnd"/>
      <w:r w:rsidR="00E20599">
        <w:rPr>
          <w:lang w:val="es-ES"/>
        </w:rPr>
        <w:t xml:space="preserve"> de Ob</w:t>
      </w:r>
      <w:r w:rsidRPr="00E20599">
        <w:rPr>
          <w:lang w:val="es-ES"/>
        </w:rPr>
        <w:t>ra.</w:t>
      </w:r>
    </w:p>
    <w:p w14:paraId="524DD922" w14:textId="77777777" w:rsidR="00090534" w:rsidRPr="00050087" w:rsidRDefault="00090534" w:rsidP="00090534">
      <w:pPr>
        <w:pStyle w:val="NORMAL12"/>
        <w:rPr>
          <w:b/>
          <w:i/>
          <w:lang w:val="es-ES"/>
        </w:rPr>
      </w:pPr>
      <w:r w:rsidRPr="00050087">
        <w:rPr>
          <w:b/>
          <w:i/>
          <w:lang w:val="es-ES"/>
        </w:rPr>
        <w:t>332.5.2 Extensión y compactación.</w:t>
      </w:r>
    </w:p>
    <w:p w14:paraId="0F8FE205" w14:textId="77777777" w:rsidR="00090534" w:rsidRPr="00E20599" w:rsidRDefault="00E20599" w:rsidP="00090534">
      <w:pPr>
        <w:pStyle w:val="NORMAL12"/>
        <w:rPr>
          <w:lang w:val="es-ES"/>
        </w:rPr>
      </w:pPr>
      <w:r w:rsidRPr="00E20599">
        <w:rPr>
          <w:lang w:val="es-ES"/>
        </w:rPr>
        <w:t xml:space="preserve">El material de relleno se extenderá en tongadas sucesivas de espesor uniforme y que deben se compactadas independientemente. Para extender nuevas tongadas el </w:t>
      </w:r>
      <w:proofErr w:type="gramStart"/>
      <w:r w:rsidRPr="00E20599">
        <w:rPr>
          <w:lang w:val="es-ES"/>
        </w:rPr>
        <w:t>Director</w:t>
      </w:r>
      <w:proofErr w:type="gramEnd"/>
      <w:r w:rsidRPr="00E20599">
        <w:rPr>
          <w:lang w:val="es-ES"/>
        </w:rPr>
        <w:t xml:space="preserve"> de Obra debe haber aprobado que la capa inferior cumple con el grado de compactación exigido. En ningún caso las tongadas tendrán un espesor mayor de veinticinco (</w:t>
      </w:r>
      <w:r w:rsidR="00D93E76" w:rsidRPr="00E20599">
        <w:rPr>
          <w:lang w:val="es-ES"/>
        </w:rPr>
        <w:t>25)</w:t>
      </w:r>
      <w:r w:rsidRPr="00E20599">
        <w:rPr>
          <w:lang w:val="es-ES"/>
        </w:rPr>
        <w:t xml:space="preserve"> centímetros.</w:t>
      </w:r>
    </w:p>
    <w:p w14:paraId="1DDE862D" w14:textId="77777777" w:rsidR="00E20599" w:rsidRPr="00E20599" w:rsidRDefault="00E20599" w:rsidP="00090534">
      <w:pPr>
        <w:pStyle w:val="NORMAL12"/>
        <w:rPr>
          <w:lang w:val="es-ES"/>
        </w:rPr>
      </w:pPr>
      <w:r w:rsidRPr="00E20599">
        <w:rPr>
          <w:lang w:val="es-ES"/>
        </w:rPr>
        <w:t xml:space="preserve">Sólo se podrá realizar una compactación manual en zonas específicas autorizadas por el </w:t>
      </w:r>
      <w:proofErr w:type="gramStart"/>
      <w:r w:rsidRPr="00E20599">
        <w:rPr>
          <w:lang w:val="es-ES"/>
        </w:rPr>
        <w:t>Director</w:t>
      </w:r>
      <w:proofErr w:type="gramEnd"/>
      <w:r w:rsidRPr="00E20599">
        <w:rPr>
          <w:lang w:val="es-ES"/>
        </w:rPr>
        <w:t xml:space="preserve"> de la Obra.</w:t>
      </w:r>
    </w:p>
    <w:p w14:paraId="7CCE3433" w14:textId="77777777" w:rsidR="00E20599" w:rsidRPr="00E20599" w:rsidRDefault="00E20599" w:rsidP="00090534">
      <w:pPr>
        <w:pStyle w:val="NORMAL12"/>
        <w:rPr>
          <w:lang w:val="es-ES"/>
        </w:rPr>
      </w:pPr>
      <w:r w:rsidRPr="00E20599">
        <w:rPr>
          <w:lang w:val="es-ES"/>
        </w:rPr>
        <w:t xml:space="preserve">Los materiales de cada tongada serán de características uniformes y si no lo fueran se </w:t>
      </w:r>
      <w:r w:rsidR="00D93E76" w:rsidRPr="00E20599">
        <w:rPr>
          <w:lang w:val="es-ES"/>
        </w:rPr>
        <w:t>conseguirá</w:t>
      </w:r>
      <w:r w:rsidRPr="00E20599">
        <w:rPr>
          <w:lang w:val="es-ES"/>
        </w:rPr>
        <w:t xml:space="preserve"> su uniformidad mezclándolos con los medios adecuados.</w:t>
      </w:r>
    </w:p>
    <w:p w14:paraId="0DB59027" w14:textId="77777777" w:rsidR="00E20599" w:rsidRPr="00E20599" w:rsidRDefault="00E20599" w:rsidP="00090534">
      <w:pPr>
        <w:pStyle w:val="NORMAL12"/>
        <w:rPr>
          <w:lang w:val="es-ES"/>
        </w:rPr>
      </w:pPr>
      <w:r w:rsidRPr="00E20599">
        <w:rPr>
          <w:lang w:val="es-ES"/>
        </w:rPr>
        <w:t>Cada tongada tendrá la pendiente necesaria para asegurar la evacuación de las aguas sin peligro de erosión.</w:t>
      </w:r>
    </w:p>
    <w:p w14:paraId="0967D2F5" w14:textId="77777777" w:rsidR="00E20599" w:rsidRPr="00E20599" w:rsidRDefault="00E20599" w:rsidP="00090534">
      <w:pPr>
        <w:pStyle w:val="NORMAL12"/>
        <w:rPr>
          <w:lang w:val="es-ES"/>
        </w:rPr>
      </w:pPr>
      <w:r w:rsidRPr="00E20599">
        <w:rPr>
          <w:lang w:val="es-ES"/>
        </w:rPr>
        <w:t xml:space="preserve">Se exigirá una densidad después de la compactación, en coronación, no inferior al cien por cien de la máxima obtenida en el ensayo </w:t>
      </w:r>
      <w:proofErr w:type="spellStart"/>
      <w:r w:rsidRPr="00E20599">
        <w:rPr>
          <w:lang w:val="es-ES"/>
        </w:rPr>
        <w:t>Próctor</w:t>
      </w:r>
      <w:proofErr w:type="spellEnd"/>
      <w:r w:rsidRPr="00E20599">
        <w:rPr>
          <w:lang w:val="es-ES"/>
        </w:rPr>
        <w:t xml:space="preserve"> modificado. En el resto de </w:t>
      </w:r>
      <w:proofErr w:type="gramStart"/>
      <w:r w:rsidRPr="00E20599">
        <w:rPr>
          <w:lang w:val="es-ES"/>
        </w:rPr>
        <w:t>la zonas</w:t>
      </w:r>
      <w:proofErr w:type="gramEnd"/>
      <w:r w:rsidRPr="00E20599">
        <w:rPr>
          <w:lang w:val="es-ES"/>
        </w:rPr>
        <w:t xml:space="preserve"> no será inferior al noventa y </w:t>
      </w:r>
      <w:r w:rsidR="00D93E76" w:rsidRPr="00E20599">
        <w:rPr>
          <w:lang w:val="es-ES"/>
        </w:rPr>
        <w:t>cinco (</w:t>
      </w:r>
      <w:r w:rsidRPr="00E20599">
        <w:rPr>
          <w:lang w:val="es-ES"/>
        </w:rPr>
        <w:t>95) por ciento de dicho ensayo.</w:t>
      </w:r>
    </w:p>
    <w:p w14:paraId="6F14A99D" w14:textId="77777777" w:rsidR="00090534" w:rsidRPr="00050087" w:rsidRDefault="00E20599" w:rsidP="00090534">
      <w:pPr>
        <w:pStyle w:val="NORMAL12"/>
        <w:rPr>
          <w:b/>
          <w:i/>
          <w:lang w:val="es-ES"/>
        </w:rPr>
      </w:pPr>
      <w:r w:rsidRPr="00050087">
        <w:rPr>
          <w:b/>
          <w:i/>
          <w:lang w:val="es-ES"/>
        </w:rPr>
        <w:t>332.5.3. Relleno de zanjas para instalación de tuberías</w:t>
      </w:r>
    </w:p>
    <w:p w14:paraId="06BBD71D" w14:textId="77777777" w:rsidR="00E20599" w:rsidRPr="00E20599" w:rsidRDefault="00E20599" w:rsidP="00E20599">
      <w:pPr>
        <w:pStyle w:val="NORMAL12"/>
        <w:rPr>
          <w:lang w:val="es-ES"/>
        </w:rPr>
      </w:pPr>
      <w:r>
        <w:rPr>
          <w:lang w:val="es-ES"/>
        </w:rPr>
        <w:t xml:space="preserve">Se aplicarán los </w:t>
      </w:r>
      <w:r w:rsidRPr="00E20599">
        <w:rPr>
          <w:lang w:val="es-ES"/>
        </w:rPr>
        <w:t xml:space="preserve">apartados anteriores en tanto en cuanto </w:t>
      </w:r>
      <w:r w:rsidR="00D93E76" w:rsidRPr="00E20599">
        <w:rPr>
          <w:lang w:val="es-ES"/>
        </w:rPr>
        <w:t>no contraríen</w:t>
      </w:r>
      <w:r w:rsidRPr="00E20599">
        <w:rPr>
          <w:lang w:val="es-ES"/>
        </w:rPr>
        <w:t xml:space="preserve"> a lo expuesto en este apartado, en otro caso será de aplicación lo aquí expuesto.</w:t>
      </w:r>
    </w:p>
    <w:p w14:paraId="6F381660" w14:textId="77777777" w:rsidR="00E20599" w:rsidRPr="00E20599" w:rsidRDefault="00E20599" w:rsidP="00E20599">
      <w:pPr>
        <w:pStyle w:val="NORMAL12"/>
        <w:rPr>
          <w:lang w:val="es-ES"/>
        </w:rPr>
      </w:pPr>
      <w:r w:rsidRPr="00E20599">
        <w:rPr>
          <w:lang w:val="es-ES"/>
        </w:rPr>
        <w:t>La decisión sobre la cama de apoyo de la tubería en el terreno, granular o de hormigón, y su</w:t>
      </w:r>
      <w:r>
        <w:rPr>
          <w:lang w:val="es-ES"/>
        </w:rPr>
        <w:t xml:space="preserve"> </w:t>
      </w:r>
      <w:r w:rsidRPr="00E20599">
        <w:rPr>
          <w:lang w:val="es-ES"/>
        </w:rPr>
        <w:t>espesor, dependerá del tipo de tubo y sus dimensiones, la clase de juntas y la naturaleza del</w:t>
      </w:r>
      <w:r>
        <w:rPr>
          <w:lang w:val="es-ES"/>
        </w:rPr>
        <w:t xml:space="preserve"> </w:t>
      </w:r>
      <w:r w:rsidRPr="00E20599">
        <w:rPr>
          <w:lang w:val="es-ES"/>
        </w:rPr>
        <w:t xml:space="preserve">terreno, vendrá definida en el Proyecto o, en su defecto, será establecida por el </w:t>
      </w:r>
      <w:proofErr w:type="gramStart"/>
      <w:r w:rsidRPr="00E20599">
        <w:rPr>
          <w:lang w:val="es-ES"/>
        </w:rPr>
        <w:t>Director</w:t>
      </w:r>
      <w:proofErr w:type="gramEnd"/>
      <w:r w:rsidRPr="00E20599">
        <w:rPr>
          <w:lang w:val="es-ES"/>
        </w:rPr>
        <w:t xml:space="preserve"> de</w:t>
      </w:r>
      <w:r>
        <w:rPr>
          <w:lang w:val="es-ES"/>
        </w:rPr>
        <w:t xml:space="preserve"> </w:t>
      </w:r>
      <w:r w:rsidRPr="00E20599">
        <w:rPr>
          <w:lang w:val="es-ES"/>
        </w:rPr>
        <w:t>las Obras.</w:t>
      </w:r>
    </w:p>
    <w:p w14:paraId="55BF4C79" w14:textId="77777777" w:rsidR="00E20599" w:rsidRDefault="00E20599" w:rsidP="00E20599">
      <w:pPr>
        <w:pStyle w:val="NORMAL12"/>
        <w:rPr>
          <w:lang w:val="es-ES"/>
        </w:rPr>
      </w:pPr>
      <w:r w:rsidRPr="00E20599">
        <w:rPr>
          <w:lang w:val="es-ES"/>
        </w:rPr>
        <w:t>Una vez realizadas, si procede, las pruebas de la tubería instalada, para lo cual se habrá</w:t>
      </w:r>
      <w:r>
        <w:rPr>
          <w:lang w:val="es-ES"/>
        </w:rPr>
        <w:t xml:space="preserve"> </w:t>
      </w:r>
      <w:r w:rsidRPr="00E20599">
        <w:rPr>
          <w:lang w:val="es-ES"/>
        </w:rPr>
        <w:t>hecho un relleno parcial de la zanja dejando visibles las juntas, se procederá al relleno</w:t>
      </w:r>
      <w:r>
        <w:rPr>
          <w:lang w:val="es-ES"/>
        </w:rPr>
        <w:t xml:space="preserve"> </w:t>
      </w:r>
      <w:r w:rsidRPr="00E20599">
        <w:rPr>
          <w:lang w:val="es-ES"/>
        </w:rPr>
        <w:t xml:space="preserve">definitivo de la misma, previa aprobación del </w:t>
      </w:r>
      <w:proofErr w:type="gramStart"/>
      <w:r w:rsidRPr="00E20599">
        <w:rPr>
          <w:lang w:val="es-ES"/>
        </w:rPr>
        <w:t>Director</w:t>
      </w:r>
      <w:proofErr w:type="gramEnd"/>
      <w:r w:rsidRPr="00E20599">
        <w:rPr>
          <w:lang w:val="es-ES"/>
        </w:rPr>
        <w:t xml:space="preserve"> de las Obras.</w:t>
      </w:r>
      <w:r>
        <w:rPr>
          <w:lang w:val="es-ES"/>
        </w:rPr>
        <w:t xml:space="preserve"> </w:t>
      </w:r>
    </w:p>
    <w:p w14:paraId="26E59181" w14:textId="77777777" w:rsidR="00E20599" w:rsidRPr="00E20599" w:rsidRDefault="00E20599" w:rsidP="00E20599">
      <w:pPr>
        <w:pStyle w:val="NORMAL12"/>
        <w:rPr>
          <w:lang w:val="es-ES"/>
        </w:rPr>
      </w:pPr>
      <w:r w:rsidRPr="00E20599">
        <w:rPr>
          <w:lang w:val="es-ES"/>
        </w:rPr>
        <w:t>El relleno de la zanja se subdividirá en dos zonas: la zona baja, que alcanzará una altura de</w:t>
      </w:r>
      <w:r>
        <w:rPr>
          <w:lang w:val="es-ES"/>
        </w:rPr>
        <w:t xml:space="preserve"> </w:t>
      </w:r>
      <w:r w:rsidRPr="00E20599">
        <w:rPr>
          <w:lang w:val="es-ES"/>
        </w:rPr>
        <w:t>unos treinta centímetros (30 cm) por encima de la generatriz superior del tubo y la zona alta</w:t>
      </w:r>
      <w:r>
        <w:rPr>
          <w:lang w:val="es-ES"/>
        </w:rPr>
        <w:t xml:space="preserve"> </w:t>
      </w:r>
      <w:r w:rsidRPr="00E20599">
        <w:rPr>
          <w:lang w:val="es-ES"/>
        </w:rPr>
        <w:t>que corresponde al resto del relleno de la zanja.</w:t>
      </w:r>
    </w:p>
    <w:p w14:paraId="500BC9A5" w14:textId="77777777" w:rsidR="00E20599" w:rsidRPr="00E20599" w:rsidRDefault="00E20599" w:rsidP="00E20599">
      <w:pPr>
        <w:pStyle w:val="NORMAL12"/>
        <w:rPr>
          <w:lang w:val="es-ES"/>
        </w:rPr>
      </w:pPr>
      <w:r w:rsidRPr="00E20599">
        <w:rPr>
          <w:lang w:val="es-ES"/>
        </w:rPr>
        <w:lastRenderedPageBreak/>
        <w:t>En la zona baja el relleno será de material no plástico, preferentemente granular, y sin materia</w:t>
      </w:r>
      <w:r>
        <w:rPr>
          <w:lang w:val="es-ES"/>
        </w:rPr>
        <w:t xml:space="preserve"> </w:t>
      </w:r>
      <w:r w:rsidRPr="00E20599">
        <w:rPr>
          <w:lang w:val="es-ES"/>
        </w:rPr>
        <w:t>orgánica. El tamaño máximo admisible de las partículas será de cinco centímetros (5 cm), y</w:t>
      </w:r>
      <w:r>
        <w:rPr>
          <w:lang w:val="es-ES"/>
        </w:rPr>
        <w:t xml:space="preserve"> </w:t>
      </w:r>
      <w:r w:rsidRPr="00E20599">
        <w:rPr>
          <w:lang w:val="es-ES"/>
        </w:rPr>
        <w:t>se dispondrán en capas de quince a veinte centímetros (15 a 20 cm) de espesor, compactadas</w:t>
      </w:r>
      <w:r>
        <w:rPr>
          <w:lang w:val="es-ES"/>
        </w:rPr>
        <w:t xml:space="preserve"> </w:t>
      </w:r>
      <w:r w:rsidRPr="00E20599">
        <w:rPr>
          <w:lang w:val="es-ES"/>
        </w:rPr>
        <w:t>mecánicamente hasta alcanzar un grado de compactación no menor del noventa y cinco por</w:t>
      </w:r>
      <w:r>
        <w:rPr>
          <w:lang w:val="es-ES"/>
        </w:rPr>
        <w:t xml:space="preserve"> </w:t>
      </w:r>
      <w:r w:rsidRPr="00E20599">
        <w:rPr>
          <w:lang w:val="es-ES"/>
        </w:rPr>
        <w:t xml:space="preserve">ciento (95 %) del </w:t>
      </w:r>
      <w:proofErr w:type="spellStart"/>
      <w:r w:rsidRPr="00E20599">
        <w:rPr>
          <w:lang w:val="es-ES"/>
        </w:rPr>
        <w:t>Próctor</w:t>
      </w:r>
      <w:proofErr w:type="spellEnd"/>
      <w:r w:rsidRPr="00E20599">
        <w:rPr>
          <w:lang w:val="es-ES"/>
        </w:rPr>
        <w:t xml:space="preserve"> modificado según UNE 103501.</w:t>
      </w:r>
    </w:p>
    <w:p w14:paraId="6F43993A" w14:textId="77777777" w:rsidR="00E20599" w:rsidRDefault="00E20599" w:rsidP="00E20599">
      <w:pPr>
        <w:pStyle w:val="NORMAL12"/>
        <w:rPr>
          <w:lang w:val="es-ES"/>
        </w:rPr>
      </w:pPr>
      <w:r w:rsidRPr="00E20599">
        <w:rPr>
          <w:lang w:val="es-ES"/>
        </w:rPr>
        <w:t>En la zona alta de la zanja el relleno se realizará con un material que no produzca daños en</w:t>
      </w:r>
      <w:r>
        <w:rPr>
          <w:lang w:val="es-ES"/>
        </w:rPr>
        <w:t xml:space="preserve"> </w:t>
      </w:r>
      <w:r w:rsidRPr="00E20599">
        <w:rPr>
          <w:lang w:val="es-ES"/>
        </w:rPr>
        <w:t>la tubería. El tamaño máximo admisible de las partículas será de diez centímetros (10 cm) y</w:t>
      </w:r>
      <w:r>
        <w:rPr>
          <w:lang w:val="es-ES"/>
        </w:rPr>
        <w:t xml:space="preserve"> </w:t>
      </w:r>
      <w:r w:rsidRPr="00E20599">
        <w:rPr>
          <w:lang w:val="es-ES"/>
        </w:rPr>
        <w:t xml:space="preserve">se colocará en tongadas </w:t>
      </w:r>
      <w:proofErr w:type="spellStart"/>
      <w:r w:rsidRPr="00E20599">
        <w:rPr>
          <w:lang w:val="es-ES"/>
        </w:rPr>
        <w:t>pseudoparalelas</w:t>
      </w:r>
      <w:proofErr w:type="spellEnd"/>
      <w:r w:rsidRPr="00E20599">
        <w:rPr>
          <w:lang w:val="es-ES"/>
        </w:rPr>
        <w:t xml:space="preserve"> a la explanada, hasta alcanzar un grado de</w:t>
      </w:r>
      <w:r>
        <w:rPr>
          <w:lang w:val="es-ES"/>
        </w:rPr>
        <w:t xml:space="preserve"> </w:t>
      </w:r>
      <w:r w:rsidRPr="00E20599">
        <w:rPr>
          <w:lang w:val="es-ES"/>
        </w:rPr>
        <w:t xml:space="preserve">compactación no menor del cien por cien (100 %) del </w:t>
      </w:r>
      <w:proofErr w:type="spellStart"/>
      <w:r w:rsidRPr="00E20599">
        <w:rPr>
          <w:lang w:val="es-ES"/>
        </w:rPr>
        <w:t>Próctor</w:t>
      </w:r>
      <w:proofErr w:type="spellEnd"/>
      <w:r w:rsidRPr="00E20599">
        <w:rPr>
          <w:lang w:val="es-ES"/>
        </w:rPr>
        <w:t xml:space="preserve"> modificado, según UNE 103501</w:t>
      </w:r>
    </w:p>
    <w:p w14:paraId="0F5A418E" w14:textId="77777777" w:rsidR="00E20599" w:rsidRPr="00E20599" w:rsidRDefault="00E20599" w:rsidP="00E20599">
      <w:pPr>
        <w:pStyle w:val="NORMAL12"/>
        <w:rPr>
          <w:lang w:val="es-ES"/>
        </w:rPr>
      </w:pPr>
      <w:r w:rsidRPr="00E20599">
        <w:rPr>
          <w:lang w:val="es-ES"/>
        </w:rPr>
        <w:t>En el caso de zanjas excavadas en terraplenes o en rellenos todo-uno la densidad obtenida</w:t>
      </w:r>
      <w:r>
        <w:rPr>
          <w:lang w:val="es-ES"/>
        </w:rPr>
        <w:t xml:space="preserve"> </w:t>
      </w:r>
      <w:r w:rsidRPr="00E20599">
        <w:rPr>
          <w:lang w:val="es-ES"/>
        </w:rPr>
        <w:t>después de compactar el relleno de la zanja habrá de ser igual o mayor que la de los</w:t>
      </w:r>
      <w:r>
        <w:rPr>
          <w:lang w:val="es-ES"/>
        </w:rPr>
        <w:t xml:space="preserve"> </w:t>
      </w:r>
      <w:r w:rsidRPr="00E20599">
        <w:rPr>
          <w:lang w:val="es-ES"/>
        </w:rPr>
        <w:t>materiales contiguos. En el caso de zanjas sobre terrenos naturales o sobre pedraplenes, este</w:t>
      </w:r>
      <w:r>
        <w:rPr>
          <w:lang w:val="es-ES"/>
        </w:rPr>
        <w:t xml:space="preserve"> </w:t>
      </w:r>
      <w:r w:rsidRPr="00E20599">
        <w:rPr>
          <w:lang w:val="es-ES"/>
        </w:rPr>
        <w:t>objetivo habrá de alcanzarse si es posible. En caso contrario, se estará a lo indicado por el</w:t>
      </w:r>
      <w:r>
        <w:rPr>
          <w:lang w:val="es-ES"/>
        </w:rPr>
        <w:t xml:space="preserve"> </w:t>
      </w:r>
      <w:r w:rsidRPr="00E20599">
        <w:rPr>
          <w:lang w:val="es-ES"/>
        </w:rPr>
        <w:t xml:space="preserve">Proyecto o, en su defecto, por el </w:t>
      </w:r>
      <w:proofErr w:type="gramStart"/>
      <w:r w:rsidRPr="00E20599">
        <w:rPr>
          <w:lang w:val="es-ES"/>
        </w:rPr>
        <w:t>Director</w:t>
      </w:r>
      <w:proofErr w:type="gramEnd"/>
      <w:r w:rsidRPr="00E20599">
        <w:rPr>
          <w:lang w:val="es-ES"/>
        </w:rPr>
        <w:t xml:space="preserve"> de las Obras, pero en ningún caso, por debajo de</w:t>
      </w:r>
      <w:r>
        <w:rPr>
          <w:lang w:val="es-ES"/>
        </w:rPr>
        <w:t xml:space="preserve"> </w:t>
      </w:r>
      <w:r w:rsidRPr="00E20599">
        <w:rPr>
          <w:lang w:val="es-ES"/>
        </w:rPr>
        <w:t>los valores mínimos de densidad indicados en los párrafos anteriores de este Pliego.</w:t>
      </w:r>
    </w:p>
    <w:p w14:paraId="1491A541" w14:textId="77777777" w:rsidR="00E20599" w:rsidRPr="00E20599" w:rsidRDefault="00E20599" w:rsidP="00E20599">
      <w:pPr>
        <w:pStyle w:val="NORMAL12"/>
        <w:rPr>
          <w:lang w:val="es-ES"/>
        </w:rPr>
      </w:pPr>
      <w:r w:rsidRPr="00E20599">
        <w:rPr>
          <w:lang w:val="es-ES"/>
        </w:rPr>
        <w:t>Se prestará especial cuidado durante la compactación de los rellenos, de modo que no se</w:t>
      </w:r>
      <w:r>
        <w:rPr>
          <w:lang w:val="es-ES"/>
        </w:rPr>
        <w:t xml:space="preserve"> </w:t>
      </w:r>
      <w:r w:rsidRPr="00E20599">
        <w:rPr>
          <w:lang w:val="es-ES"/>
        </w:rPr>
        <w:t>produzcan ni movimientos ni daños en la tubería, a cuyo efecto se reducirá, si fuese necesario,</w:t>
      </w:r>
      <w:r>
        <w:rPr>
          <w:lang w:val="es-ES"/>
        </w:rPr>
        <w:t xml:space="preserve"> </w:t>
      </w:r>
      <w:r w:rsidRPr="00E20599">
        <w:rPr>
          <w:lang w:val="es-ES"/>
        </w:rPr>
        <w:t>el espesor de las tongadas y la potencia de la maquinaria de compactación.</w:t>
      </w:r>
    </w:p>
    <w:p w14:paraId="327D58B9" w14:textId="77777777" w:rsidR="00E20599" w:rsidRPr="00E20599" w:rsidRDefault="00E20599" w:rsidP="00E20599">
      <w:pPr>
        <w:pStyle w:val="NORMAL12"/>
        <w:rPr>
          <w:lang w:val="es-ES"/>
        </w:rPr>
      </w:pPr>
      <w:r w:rsidRPr="00E20599">
        <w:rPr>
          <w:lang w:val="es-ES"/>
        </w:rPr>
        <w:t>Cuando existan dificultades en la obtención de los materiales indicados o de los niveles de</w:t>
      </w:r>
      <w:r>
        <w:rPr>
          <w:lang w:val="es-ES"/>
        </w:rPr>
        <w:t xml:space="preserve"> </w:t>
      </w:r>
      <w:r w:rsidRPr="00E20599">
        <w:rPr>
          <w:lang w:val="es-ES"/>
        </w:rPr>
        <w:t>compactación exigidos para la realización de los rellenos, el Contratista podrá proponer al</w:t>
      </w:r>
      <w:r>
        <w:rPr>
          <w:lang w:val="es-ES"/>
        </w:rPr>
        <w:t xml:space="preserve"> </w:t>
      </w:r>
      <w:proofErr w:type="gramStart"/>
      <w:r w:rsidRPr="00E20599">
        <w:rPr>
          <w:lang w:val="es-ES"/>
        </w:rPr>
        <w:t>Director</w:t>
      </w:r>
      <w:proofErr w:type="gramEnd"/>
      <w:r w:rsidRPr="00E20599">
        <w:rPr>
          <w:lang w:val="es-ES"/>
        </w:rPr>
        <w:t xml:space="preserve"> de las Obras, una solución alternativa sin sobrecoste adicional.</w:t>
      </w:r>
    </w:p>
    <w:p w14:paraId="0DC18E32" w14:textId="77777777" w:rsidR="00D61146" w:rsidRDefault="00D61146" w:rsidP="000313DD">
      <w:pPr>
        <w:pStyle w:val="TITU2"/>
      </w:pPr>
      <w:bookmarkStart w:id="410" w:name="_Toc404203"/>
      <w:r>
        <w:t>332.</w:t>
      </w:r>
      <w:r w:rsidR="00E20599">
        <w:t>6</w:t>
      </w:r>
      <w:r>
        <w:t xml:space="preserve">. </w:t>
      </w:r>
      <w:r w:rsidR="00E20599">
        <w:t>Limitaciones en la ejecución</w:t>
      </w:r>
      <w:bookmarkEnd w:id="410"/>
    </w:p>
    <w:p w14:paraId="5578D799" w14:textId="77777777" w:rsidR="00BE35D4" w:rsidRPr="00BE35D4" w:rsidRDefault="00BE35D4" w:rsidP="00BE35D4">
      <w:pPr>
        <w:pStyle w:val="NORMAL12"/>
        <w:rPr>
          <w:lang w:val="es-ES"/>
        </w:rPr>
      </w:pPr>
      <w:r w:rsidRPr="00BE35D4">
        <w:rPr>
          <w:lang w:val="es-ES"/>
        </w:rPr>
        <w:t>Los rellenos localizados se ejecutarán cuando la temperatura ambiente, a la sombra, sea</w:t>
      </w:r>
      <w:r>
        <w:rPr>
          <w:lang w:val="es-ES"/>
        </w:rPr>
        <w:t xml:space="preserve"> </w:t>
      </w:r>
      <w:r w:rsidRPr="00BE35D4">
        <w:rPr>
          <w:lang w:val="es-ES"/>
        </w:rPr>
        <w:t>superior a dos grados Celsius (2ºC); debiendo suspenderse los trabajos cuando la</w:t>
      </w:r>
      <w:r>
        <w:rPr>
          <w:lang w:val="es-ES"/>
        </w:rPr>
        <w:t xml:space="preserve"> </w:t>
      </w:r>
      <w:r w:rsidRPr="00BE35D4">
        <w:rPr>
          <w:lang w:val="es-ES"/>
        </w:rPr>
        <w:t>temperatura descienda por debajo de dicho límite.</w:t>
      </w:r>
    </w:p>
    <w:p w14:paraId="17F3F4B5" w14:textId="77777777" w:rsidR="00D61146" w:rsidRPr="00D61146" w:rsidRDefault="00BE35D4" w:rsidP="00BE35D4">
      <w:pPr>
        <w:pStyle w:val="NORMAL12"/>
        <w:rPr>
          <w:lang w:val="es-ES"/>
        </w:rPr>
      </w:pPr>
      <w:r w:rsidRPr="00BE35D4">
        <w:rPr>
          <w:lang w:val="es-ES"/>
        </w:rPr>
        <w:t xml:space="preserve">Sobre las capas en ejecución debe prohibirse la acción de todo tipo de tráfico hasta </w:t>
      </w:r>
      <w:proofErr w:type="gramStart"/>
      <w:r w:rsidRPr="00BE35D4">
        <w:rPr>
          <w:lang w:val="es-ES"/>
        </w:rPr>
        <w:t xml:space="preserve">que </w:t>
      </w:r>
      <w:r>
        <w:rPr>
          <w:lang w:val="es-ES"/>
        </w:rPr>
        <w:t xml:space="preserve"> s</w:t>
      </w:r>
      <w:r w:rsidRPr="00BE35D4">
        <w:rPr>
          <w:lang w:val="es-ES"/>
        </w:rPr>
        <w:t>e</w:t>
      </w:r>
      <w:proofErr w:type="gramEnd"/>
      <w:r>
        <w:rPr>
          <w:lang w:val="es-ES"/>
        </w:rPr>
        <w:t xml:space="preserve"> </w:t>
      </w:r>
      <w:r w:rsidRPr="00BE35D4">
        <w:rPr>
          <w:lang w:val="es-ES"/>
        </w:rPr>
        <w:t>haya completado su compactación.</w:t>
      </w:r>
    </w:p>
    <w:p w14:paraId="04FF7B5B" w14:textId="77777777" w:rsidR="00D61146" w:rsidRDefault="00D61146" w:rsidP="000313DD">
      <w:pPr>
        <w:pStyle w:val="TITU2"/>
      </w:pPr>
      <w:bookmarkStart w:id="411" w:name="_Toc404204"/>
      <w:r>
        <w:t>332.</w:t>
      </w:r>
      <w:r w:rsidR="00DA5050">
        <w:t>7</w:t>
      </w:r>
      <w:r>
        <w:t>. Medición y abono</w:t>
      </w:r>
      <w:bookmarkEnd w:id="411"/>
    </w:p>
    <w:p w14:paraId="582BFCFE" w14:textId="77777777" w:rsidR="00BE35D4" w:rsidRPr="004049BE" w:rsidRDefault="00BE35D4" w:rsidP="00BE35D4">
      <w:pPr>
        <w:pStyle w:val="NORMAL12"/>
        <w:rPr>
          <w:lang w:val="es-ES"/>
        </w:rPr>
      </w:pPr>
      <w:r w:rsidRPr="004049BE">
        <w:rPr>
          <w:lang w:val="es-ES"/>
        </w:rPr>
        <w:t>La medición y abono de la unidad de relleno localizado se realizará según las prescripciones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96"/>
        <w:gridCol w:w="7482"/>
      </w:tblGrid>
      <w:tr w:rsidR="00BE35D4" w:rsidRPr="004049BE" w14:paraId="774BA828" w14:textId="77777777" w:rsidTr="00DB14F6">
        <w:tc>
          <w:tcPr>
            <w:tcW w:w="0" w:type="auto"/>
            <w:vAlign w:val="center"/>
          </w:tcPr>
          <w:p w14:paraId="2A957930" w14:textId="77777777" w:rsidR="00BE35D4" w:rsidRPr="004049BE" w:rsidRDefault="00BE35D4" w:rsidP="00E50149">
            <w:pPr>
              <w:pStyle w:val="LCATabla"/>
              <w:keepNext/>
              <w:jc w:val="center"/>
              <w:rPr>
                <w:rFonts w:ascii="Arial" w:hAnsi="Arial" w:cs="Arial"/>
                <w:b/>
                <w:bCs/>
                <w:sz w:val="20"/>
              </w:rPr>
            </w:pPr>
            <w:r w:rsidRPr="004049BE">
              <w:rPr>
                <w:rFonts w:ascii="Arial" w:hAnsi="Arial" w:cs="Arial"/>
                <w:b/>
                <w:bCs/>
                <w:sz w:val="20"/>
              </w:rPr>
              <w:t>Unidad de Medida</w:t>
            </w:r>
          </w:p>
        </w:tc>
        <w:tc>
          <w:tcPr>
            <w:tcW w:w="0" w:type="auto"/>
            <w:vAlign w:val="center"/>
          </w:tcPr>
          <w:p w14:paraId="4356E2E8" w14:textId="77777777" w:rsidR="00BE35D4" w:rsidRPr="004049BE" w:rsidRDefault="00BE35D4" w:rsidP="00E37538">
            <w:pPr>
              <w:pStyle w:val="LCATabla"/>
              <w:keepNext/>
              <w:jc w:val="both"/>
              <w:rPr>
                <w:rFonts w:ascii="Arial" w:hAnsi="Arial" w:cs="Arial"/>
                <w:bCs/>
                <w:sz w:val="20"/>
              </w:rPr>
            </w:pPr>
            <w:r w:rsidRPr="004049BE">
              <w:rPr>
                <w:rFonts w:ascii="Arial" w:hAnsi="Arial" w:cs="Arial"/>
                <w:sz w:val="20"/>
              </w:rPr>
              <w:t>Metro cúbico (m³)</w:t>
            </w:r>
          </w:p>
        </w:tc>
      </w:tr>
      <w:tr w:rsidR="00BE35D4" w:rsidRPr="004049BE" w14:paraId="499130E3" w14:textId="77777777" w:rsidTr="00DB14F6">
        <w:tc>
          <w:tcPr>
            <w:tcW w:w="0" w:type="auto"/>
            <w:vAlign w:val="center"/>
          </w:tcPr>
          <w:p w14:paraId="2C7F0A7B" w14:textId="77777777" w:rsidR="00BE35D4" w:rsidRPr="004049BE" w:rsidRDefault="00BE35D4" w:rsidP="00E50149">
            <w:pPr>
              <w:pStyle w:val="LCATabla"/>
              <w:keepNext/>
              <w:jc w:val="center"/>
              <w:rPr>
                <w:rFonts w:ascii="Arial" w:hAnsi="Arial" w:cs="Arial"/>
                <w:b/>
                <w:bCs/>
                <w:sz w:val="20"/>
              </w:rPr>
            </w:pPr>
            <w:r w:rsidRPr="004049BE">
              <w:rPr>
                <w:rFonts w:ascii="Arial" w:hAnsi="Arial" w:cs="Arial"/>
                <w:b/>
                <w:bCs/>
                <w:sz w:val="20"/>
              </w:rPr>
              <w:t>Grado de precisión</w:t>
            </w:r>
          </w:p>
        </w:tc>
        <w:tc>
          <w:tcPr>
            <w:tcW w:w="0" w:type="auto"/>
            <w:vAlign w:val="center"/>
          </w:tcPr>
          <w:p w14:paraId="20C1E594" w14:textId="77777777" w:rsidR="00BE35D4" w:rsidRPr="004049BE" w:rsidRDefault="00BE35D4" w:rsidP="00E37538">
            <w:pPr>
              <w:pStyle w:val="LCATabla"/>
              <w:keepNext/>
              <w:jc w:val="both"/>
              <w:rPr>
                <w:rFonts w:ascii="Arial" w:hAnsi="Arial" w:cs="Arial"/>
                <w:bCs/>
                <w:sz w:val="20"/>
              </w:rPr>
            </w:pPr>
            <w:r w:rsidRPr="004049BE">
              <w:rPr>
                <w:rFonts w:ascii="Arial" w:hAnsi="Arial" w:cs="Arial"/>
                <w:sz w:val="20"/>
              </w:rPr>
              <w:t>Dos (2) decimales</w:t>
            </w:r>
          </w:p>
        </w:tc>
      </w:tr>
      <w:tr w:rsidR="00BE35D4" w:rsidRPr="004049BE" w14:paraId="524929BE" w14:textId="77777777" w:rsidTr="00DB14F6">
        <w:tc>
          <w:tcPr>
            <w:tcW w:w="0" w:type="auto"/>
            <w:vAlign w:val="center"/>
          </w:tcPr>
          <w:p w14:paraId="620D514D" w14:textId="77777777" w:rsidR="00BE35D4" w:rsidRPr="004049BE" w:rsidRDefault="00BE35D4" w:rsidP="00E50149">
            <w:pPr>
              <w:pStyle w:val="LCATabla"/>
              <w:keepNext/>
              <w:jc w:val="center"/>
              <w:rPr>
                <w:rFonts w:ascii="Arial" w:hAnsi="Arial" w:cs="Arial"/>
                <w:b/>
                <w:bCs/>
                <w:sz w:val="20"/>
              </w:rPr>
            </w:pPr>
            <w:r w:rsidRPr="004049BE">
              <w:rPr>
                <w:rFonts w:ascii="Arial" w:hAnsi="Arial" w:cs="Arial"/>
                <w:b/>
                <w:bCs/>
                <w:sz w:val="20"/>
              </w:rPr>
              <w:t>Forma de medición</w:t>
            </w:r>
          </w:p>
        </w:tc>
        <w:tc>
          <w:tcPr>
            <w:tcW w:w="0" w:type="auto"/>
            <w:vAlign w:val="center"/>
          </w:tcPr>
          <w:p w14:paraId="33F4D2D6" w14:textId="77777777" w:rsidR="00BE35D4" w:rsidRPr="004049BE" w:rsidRDefault="00BE35D4" w:rsidP="00E37538">
            <w:pPr>
              <w:pStyle w:val="LCATabla"/>
              <w:keepNext/>
              <w:jc w:val="both"/>
              <w:rPr>
                <w:rFonts w:ascii="Arial" w:hAnsi="Arial" w:cs="Arial"/>
                <w:bCs/>
                <w:sz w:val="20"/>
              </w:rPr>
            </w:pPr>
            <w:r w:rsidRPr="004049BE">
              <w:rPr>
                <w:rFonts w:ascii="Arial" w:hAnsi="Arial" w:cs="Arial"/>
                <w:sz w:val="20"/>
              </w:rPr>
              <w:t>Sección de la zona sobre la que se aplica aplicada sobre la longitud realmente ejecutada</w:t>
            </w:r>
            <w:r w:rsidRPr="004049BE">
              <w:rPr>
                <w:rFonts w:ascii="Arial" w:hAnsi="Arial" w:cs="Arial"/>
                <w:bCs/>
                <w:sz w:val="20"/>
              </w:rPr>
              <w:t>. Volumen medido según planos y confirmado en obra.</w:t>
            </w:r>
          </w:p>
        </w:tc>
      </w:tr>
      <w:tr w:rsidR="00BE35D4" w:rsidRPr="004049BE" w14:paraId="402D2F79" w14:textId="77777777" w:rsidTr="00DB14F6">
        <w:tc>
          <w:tcPr>
            <w:tcW w:w="0" w:type="auto"/>
            <w:vAlign w:val="center"/>
          </w:tcPr>
          <w:p w14:paraId="5BD33B3C" w14:textId="77777777" w:rsidR="00BE35D4" w:rsidRPr="004049BE" w:rsidRDefault="00BE35D4" w:rsidP="00E50149">
            <w:pPr>
              <w:pStyle w:val="LCATabla"/>
              <w:keepNext/>
              <w:jc w:val="center"/>
              <w:rPr>
                <w:rFonts w:ascii="Arial" w:hAnsi="Arial" w:cs="Arial"/>
                <w:b/>
                <w:bCs/>
                <w:sz w:val="20"/>
              </w:rPr>
            </w:pPr>
            <w:r w:rsidRPr="004049BE">
              <w:rPr>
                <w:rFonts w:ascii="Arial" w:hAnsi="Arial" w:cs="Arial"/>
                <w:b/>
                <w:bCs/>
                <w:sz w:val="20"/>
              </w:rPr>
              <w:t>Abono</w:t>
            </w:r>
          </w:p>
        </w:tc>
        <w:tc>
          <w:tcPr>
            <w:tcW w:w="0" w:type="auto"/>
            <w:vAlign w:val="center"/>
          </w:tcPr>
          <w:p w14:paraId="51944523" w14:textId="77777777" w:rsidR="00BE35D4" w:rsidRPr="004049BE" w:rsidRDefault="00BE35D4" w:rsidP="00E37538">
            <w:pPr>
              <w:pStyle w:val="LCATabla"/>
              <w:keepNext/>
              <w:jc w:val="both"/>
              <w:rPr>
                <w:rFonts w:ascii="Arial" w:hAnsi="Arial" w:cs="Arial"/>
                <w:bCs/>
                <w:sz w:val="20"/>
              </w:rPr>
            </w:pPr>
            <w:r w:rsidRPr="004049BE">
              <w:rPr>
                <w:rFonts w:ascii="Arial" w:hAnsi="Arial" w:cs="Arial"/>
                <w:sz w:val="20"/>
              </w:rPr>
              <w:t>Cuando se produzca la aceptación</w:t>
            </w:r>
          </w:p>
        </w:tc>
      </w:tr>
      <w:tr w:rsidR="00BE35D4" w:rsidRPr="004049BE" w14:paraId="15C25B14" w14:textId="77777777" w:rsidTr="00DB14F6">
        <w:tc>
          <w:tcPr>
            <w:tcW w:w="0" w:type="auto"/>
            <w:vAlign w:val="center"/>
          </w:tcPr>
          <w:p w14:paraId="2083140B" w14:textId="77777777" w:rsidR="00BE35D4" w:rsidRPr="004049BE" w:rsidRDefault="00BE35D4" w:rsidP="00E50149">
            <w:pPr>
              <w:pStyle w:val="LCATabla"/>
              <w:keepNext/>
              <w:jc w:val="center"/>
              <w:rPr>
                <w:rFonts w:ascii="Arial" w:hAnsi="Arial" w:cs="Arial"/>
                <w:b/>
                <w:bCs/>
                <w:sz w:val="20"/>
              </w:rPr>
            </w:pPr>
            <w:r w:rsidRPr="004049BE">
              <w:rPr>
                <w:rFonts w:ascii="Arial" w:hAnsi="Arial" w:cs="Arial"/>
                <w:b/>
                <w:bCs/>
                <w:sz w:val="20"/>
              </w:rPr>
              <w:t>Criterios Complementarios</w:t>
            </w:r>
          </w:p>
        </w:tc>
        <w:tc>
          <w:tcPr>
            <w:tcW w:w="0" w:type="auto"/>
            <w:vAlign w:val="center"/>
          </w:tcPr>
          <w:p w14:paraId="5FA4B0BA" w14:textId="77777777" w:rsidR="00BE35D4" w:rsidRPr="004049BE" w:rsidRDefault="00BE35D4" w:rsidP="00E37538">
            <w:pPr>
              <w:pStyle w:val="LCATabla"/>
              <w:keepNext/>
              <w:jc w:val="both"/>
              <w:rPr>
                <w:rFonts w:ascii="Arial" w:hAnsi="Arial" w:cs="Arial"/>
                <w:sz w:val="20"/>
              </w:rPr>
            </w:pPr>
            <w:r w:rsidRPr="004049BE">
              <w:rPr>
                <w:rFonts w:ascii="Arial" w:hAnsi="Arial" w:cs="Arial"/>
                <w:sz w:val="20"/>
              </w:rPr>
              <w:t xml:space="preserve">El precio de la unidad incluye todos los medios necesarios para llevar a cabo el relleno </w:t>
            </w:r>
            <w:r w:rsidR="00D93E76" w:rsidRPr="004049BE">
              <w:rPr>
                <w:rFonts w:ascii="Arial" w:hAnsi="Arial" w:cs="Arial"/>
                <w:sz w:val="20"/>
              </w:rPr>
              <w:t>localizado</w:t>
            </w:r>
            <w:r w:rsidRPr="004049BE">
              <w:rPr>
                <w:rFonts w:ascii="Arial" w:hAnsi="Arial" w:cs="Arial"/>
                <w:sz w:val="20"/>
              </w:rPr>
              <w:t xml:space="preserve"> y la compactación requerida.</w:t>
            </w:r>
          </w:p>
          <w:p w14:paraId="4C1CBB64" w14:textId="77777777" w:rsidR="004049BE" w:rsidRPr="004049BE" w:rsidRDefault="004049BE" w:rsidP="00E37538">
            <w:pPr>
              <w:pStyle w:val="LCATabla"/>
              <w:keepNext/>
              <w:jc w:val="both"/>
              <w:rPr>
                <w:rFonts w:ascii="Arial" w:hAnsi="Arial" w:cs="Arial"/>
                <w:sz w:val="20"/>
              </w:rPr>
            </w:pPr>
            <w:r w:rsidRPr="004049BE">
              <w:rPr>
                <w:rFonts w:ascii="Arial" w:hAnsi="Arial" w:cs="Arial"/>
                <w:sz w:val="20"/>
              </w:rPr>
              <w:t>Incluye el extendido, humectación o desecación, terminación y refino de la superficie final</w:t>
            </w:r>
          </w:p>
          <w:p w14:paraId="054DD3C8" w14:textId="77777777" w:rsidR="004049BE" w:rsidRPr="004049BE" w:rsidRDefault="00BE35D4" w:rsidP="00E37538">
            <w:pPr>
              <w:pStyle w:val="LCATabla"/>
              <w:keepNext/>
              <w:jc w:val="both"/>
              <w:rPr>
                <w:rFonts w:ascii="Arial" w:hAnsi="Arial" w:cs="Arial"/>
                <w:bCs/>
                <w:sz w:val="20"/>
              </w:rPr>
            </w:pPr>
            <w:r w:rsidRPr="004049BE">
              <w:rPr>
                <w:rFonts w:ascii="Arial" w:hAnsi="Arial" w:cs="Arial"/>
                <w:sz w:val="20"/>
              </w:rPr>
              <w:t xml:space="preserve">Los excesos sobre la cubicación teórica no ordenada por el </w:t>
            </w:r>
            <w:proofErr w:type="gramStart"/>
            <w:r w:rsidRPr="004049BE">
              <w:rPr>
                <w:rFonts w:ascii="Arial" w:hAnsi="Arial" w:cs="Arial"/>
                <w:sz w:val="20"/>
              </w:rPr>
              <w:t>Director</w:t>
            </w:r>
            <w:proofErr w:type="gramEnd"/>
            <w:r w:rsidRPr="004049BE">
              <w:rPr>
                <w:rFonts w:ascii="Arial" w:hAnsi="Arial" w:cs="Arial"/>
                <w:sz w:val="20"/>
              </w:rPr>
              <w:t xml:space="preserve"> de obra correrán a cargo del Contratista.</w:t>
            </w:r>
          </w:p>
        </w:tc>
      </w:tr>
    </w:tbl>
    <w:p w14:paraId="5C2CC350" w14:textId="77777777" w:rsidR="00BE35D4" w:rsidRPr="00BE35D4" w:rsidRDefault="00BE35D4" w:rsidP="00BE35D4">
      <w:pPr>
        <w:pStyle w:val="NORMAL12"/>
        <w:rPr>
          <w:lang w:val="es-ES"/>
        </w:rPr>
      </w:pPr>
    </w:p>
    <w:p w14:paraId="3C4DC4FB" w14:textId="77777777" w:rsidR="00D61146" w:rsidRPr="00D61146" w:rsidRDefault="00D61146" w:rsidP="00D61146">
      <w:pPr>
        <w:pStyle w:val="NORMAL12"/>
        <w:rPr>
          <w:lang w:val="es-ES"/>
        </w:rPr>
      </w:pPr>
    </w:p>
    <w:p w14:paraId="0E8AA0C3" w14:textId="77777777" w:rsidR="00780D29" w:rsidRPr="00780D29" w:rsidRDefault="00780D29" w:rsidP="00EF5B85">
      <w:pPr>
        <w:jc w:val="right"/>
      </w:pPr>
    </w:p>
    <w:p w14:paraId="77460891" w14:textId="77777777" w:rsidR="00FC7B9D" w:rsidRPr="00317D14" w:rsidRDefault="00667297" w:rsidP="00FC7B9D">
      <w:pPr>
        <w:pStyle w:val="TtuloPortada"/>
        <w:jc w:val="right"/>
        <w:outlineLvl w:val="0"/>
        <w:rPr>
          <w:rFonts w:ascii="Arial" w:hAnsi="Arial" w:cs="Arial"/>
        </w:rPr>
      </w:pPr>
      <w:r w:rsidRPr="005864C2">
        <w:rPr>
          <w:color w:val="365F91" w:themeColor="accent1" w:themeShade="BF"/>
        </w:rPr>
        <w:lastRenderedPageBreak/>
        <w:br w:type="column"/>
      </w:r>
      <w:bookmarkStart w:id="412" w:name="_Toc404205"/>
      <w:r w:rsidR="00FC7B9D" w:rsidRPr="00317D14">
        <w:rPr>
          <w:rFonts w:ascii="Arial" w:hAnsi="Arial" w:cs="Arial"/>
        </w:rPr>
        <w:t>Parte 4.- Drenaje</w:t>
      </w:r>
      <w:bookmarkEnd w:id="412"/>
    </w:p>
    <w:p w14:paraId="54C39790" w14:textId="77777777" w:rsidR="00FC7B9D" w:rsidRPr="005864C2" w:rsidRDefault="00FC7B9D" w:rsidP="00FC7B9D">
      <w:pPr>
        <w:pStyle w:val="Ttulo1"/>
        <w:rPr>
          <w:b w:val="0"/>
          <w:color w:val="365F91" w:themeColor="accent1" w:themeShade="BF"/>
          <w:lang w:val="es-ES_tradnl"/>
        </w:rPr>
      </w:pPr>
    </w:p>
    <w:p w14:paraId="6E9A56F0" w14:textId="77777777" w:rsidR="00667297" w:rsidRPr="005864C2" w:rsidRDefault="00667297" w:rsidP="00FC7B9D">
      <w:pPr>
        <w:rPr>
          <w:color w:val="365F91" w:themeColor="accent1" w:themeShade="BF"/>
          <w:lang w:val="es-ES_tradnl" w:eastAsia="en-US"/>
        </w:rPr>
        <w:sectPr w:rsidR="00667297" w:rsidRPr="005864C2" w:rsidSect="003069BA">
          <w:type w:val="oddPage"/>
          <w:pgSz w:w="23814" w:h="16840" w:orient="landscape" w:code="8"/>
          <w:pgMar w:top="992" w:right="851" w:bottom="1418" w:left="851" w:header="567" w:footer="1021" w:gutter="1418"/>
          <w:cols w:num="2" w:space="1418"/>
        </w:sectPr>
      </w:pPr>
    </w:p>
    <w:p w14:paraId="3206170C" w14:textId="77777777" w:rsidR="00A84D98" w:rsidRPr="007B2A06" w:rsidRDefault="00A84D98" w:rsidP="00A84D98">
      <w:pPr>
        <w:pStyle w:val="TITU1"/>
      </w:pPr>
      <w:bookmarkStart w:id="413" w:name="_Toc404206"/>
      <w:r w:rsidRPr="00835916">
        <w:lastRenderedPageBreak/>
        <w:t xml:space="preserve">Artículo 400. </w:t>
      </w:r>
      <w:r w:rsidR="00822571" w:rsidRPr="00835916">
        <w:t>Cunetas de hormigón ejecutadas en obra</w:t>
      </w:r>
      <w:bookmarkEnd w:id="413"/>
    </w:p>
    <w:p w14:paraId="2EAEE387" w14:textId="77777777" w:rsidR="00A84D98" w:rsidRPr="007B2A06" w:rsidRDefault="00A84D98" w:rsidP="00A84D98">
      <w:pPr>
        <w:pStyle w:val="NORMAL12"/>
        <w:rPr>
          <w:lang w:val="es-ES"/>
        </w:rPr>
      </w:pPr>
      <w:r w:rsidRPr="007B2A06">
        <w:rPr>
          <w:lang w:val="es-ES"/>
        </w:rPr>
        <w:t>Excepto para lo especificado en el presente Pliego de Prescripciones Técnicas particulares se seguirá lo prescrito en el vigente artículo 4</w:t>
      </w:r>
      <w:r w:rsidR="007B2A06" w:rsidRPr="007B2A06">
        <w:rPr>
          <w:lang w:val="es-ES"/>
        </w:rPr>
        <w:t>0</w:t>
      </w:r>
      <w:r w:rsidRPr="007B2A06">
        <w:rPr>
          <w:lang w:val="es-ES"/>
        </w:rPr>
        <w:t>0 del PG-3.</w:t>
      </w:r>
    </w:p>
    <w:p w14:paraId="065B866B" w14:textId="77777777" w:rsidR="00A84D98" w:rsidRPr="007B2A06" w:rsidRDefault="00A84D98" w:rsidP="000313DD">
      <w:pPr>
        <w:pStyle w:val="TITU2"/>
      </w:pPr>
      <w:bookmarkStart w:id="414" w:name="_Toc404207"/>
      <w:r w:rsidRPr="007B2A06">
        <w:t>4</w:t>
      </w:r>
      <w:r w:rsidR="00822571" w:rsidRPr="007B2A06">
        <w:t>0</w:t>
      </w:r>
      <w:r w:rsidRPr="007B2A06">
        <w:t>0.1. Definición. Aplicación</w:t>
      </w:r>
      <w:bookmarkEnd w:id="414"/>
    </w:p>
    <w:p w14:paraId="00405838" w14:textId="77777777" w:rsidR="007B2A06" w:rsidRPr="007B2A06" w:rsidRDefault="007B2A06" w:rsidP="007B2A06">
      <w:pPr>
        <w:pStyle w:val="NORMAL12"/>
        <w:rPr>
          <w:lang w:val="es-ES"/>
        </w:rPr>
      </w:pPr>
      <w:r w:rsidRPr="007B2A06">
        <w:rPr>
          <w:lang w:val="es-ES"/>
        </w:rPr>
        <w:t>Se</w:t>
      </w:r>
      <w:r w:rsidR="00332C84">
        <w:rPr>
          <w:lang w:val="es-ES"/>
        </w:rPr>
        <w:t xml:space="preserve"> defin</w:t>
      </w:r>
      <w:r w:rsidRPr="007B2A06">
        <w:rPr>
          <w:lang w:val="es-ES"/>
        </w:rPr>
        <w:t>e como cuneta de hormigón ejecutada en obra es una zanja longitudinal abierta en el terreno junto a la plataforma, con el fin de recibir y canalizar las aguas de lluvia, que se reviste "in situ" con hormigón, colocado sobre un lecho de asiento convenientemente preparado.</w:t>
      </w:r>
    </w:p>
    <w:p w14:paraId="3F85094D" w14:textId="77777777" w:rsidR="00A84D98" w:rsidRPr="007B2A06" w:rsidRDefault="00A84D98" w:rsidP="00A84D98">
      <w:pPr>
        <w:pStyle w:val="NORMAL12"/>
        <w:rPr>
          <w:strike/>
          <w:lang w:val="es-ES"/>
        </w:rPr>
      </w:pPr>
      <w:r w:rsidRPr="007B2A06">
        <w:rPr>
          <w:lang w:val="es-ES"/>
        </w:rPr>
        <w:t xml:space="preserve">Las prescripciones del presente artículo </w:t>
      </w:r>
      <w:proofErr w:type="gramStart"/>
      <w:r w:rsidRPr="007B2A06">
        <w:rPr>
          <w:lang w:val="es-ES"/>
        </w:rPr>
        <w:t>son de aplicación</w:t>
      </w:r>
      <w:proofErr w:type="gramEnd"/>
      <w:r w:rsidRPr="007B2A06">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207"/>
        <w:gridCol w:w="706"/>
        <w:gridCol w:w="7865"/>
      </w:tblGrid>
      <w:tr w:rsidR="007B2A06" w:rsidRPr="00A84D98" w14:paraId="30EE1046" w14:textId="77777777" w:rsidTr="001F3E93">
        <w:trPr>
          <w:trHeight w:val="300"/>
        </w:trPr>
        <w:tc>
          <w:tcPr>
            <w:tcW w:w="617" w:type="pct"/>
            <w:noWrap/>
          </w:tcPr>
          <w:p w14:paraId="6DC2A836" w14:textId="77777777" w:rsidR="007B2A06" w:rsidRPr="00050087" w:rsidRDefault="007B2A06" w:rsidP="00835916">
            <w:pPr>
              <w:rPr>
                <w:rFonts w:ascii="Calibri" w:hAnsi="Calibri"/>
                <w:color w:val="000000"/>
              </w:rPr>
            </w:pPr>
            <w:r w:rsidRPr="00050087">
              <w:rPr>
                <w:rFonts w:ascii="Calibri" w:hAnsi="Calibri"/>
                <w:color w:val="000000"/>
              </w:rPr>
              <w:t xml:space="preserve">400.0010          </w:t>
            </w:r>
          </w:p>
        </w:tc>
        <w:tc>
          <w:tcPr>
            <w:tcW w:w="361" w:type="pct"/>
            <w:noWrap/>
          </w:tcPr>
          <w:p w14:paraId="5FBC14A7" w14:textId="77777777" w:rsidR="007B2A06" w:rsidRPr="00050087" w:rsidRDefault="007B2A06" w:rsidP="00835916">
            <w:pPr>
              <w:rPr>
                <w:rFonts w:ascii="Calibri" w:hAnsi="Calibri"/>
                <w:color w:val="000000"/>
              </w:rPr>
            </w:pPr>
            <w:r w:rsidRPr="00050087">
              <w:rPr>
                <w:rFonts w:ascii="Calibri" w:hAnsi="Calibri"/>
                <w:color w:val="000000"/>
              </w:rPr>
              <w:t>m³</w:t>
            </w:r>
          </w:p>
        </w:tc>
        <w:tc>
          <w:tcPr>
            <w:tcW w:w="4022" w:type="pct"/>
          </w:tcPr>
          <w:p w14:paraId="4D714061" w14:textId="77777777" w:rsidR="007B2A06" w:rsidRPr="00050087" w:rsidRDefault="007B2A06" w:rsidP="00835916">
            <w:pPr>
              <w:jc w:val="both"/>
              <w:rPr>
                <w:rFonts w:ascii="Calibri" w:hAnsi="Calibri"/>
                <w:color w:val="000000"/>
              </w:rPr>
            </w:pPr>
            <w:r w:rsidRPr="00050087">
              <w:rPr>
                <w:rFonts w:ascii="Calibri" w:hAnsi="Calibri"/>
                <w:color w:val="000000"/>
              </w:rPr>
              <w:t>HORMIGÓN EN MASA HM-20 EN FORMACIÓN DE CUNETAS i/ ENCOFRADO, FRATASADO, ACABADOS Y JUNTAS.</w:t>
            </w:r>
          </w:p>
          <w:p w14:paraId="0CBFB0CB" w14:textId="77777777" w:rsidR="007B2A06" w:rsidRPr="00050087" w:rsidRDefault="007B2A06" w:rsidP="00835916">
            <w:pPr>
              <w:jc w:val="both"/>
              <w:rPr>
                <w:rFonts w:ascii="Calibri" w:hAnsi="Calibri"/>
                <w:color w:val="000000"/>
              </w:rPr>
            </w:pPr>
          </w:p>
        </w:tc>
      </w:tr>
    </w:tbl>
    <w:p w14:paraId="37F30D92" w14:textId="77777777" w:rsidR="00A84D98" w:rsidRPr="007B2A06" w:rsidRDefault="00A84D98" w:rsidP="00A84D98">
      <w:pPr>
        <w:pStyle w:val="NORMAL12"/>
        <w:rPr>
          <w:lang w:val="es-ES"/>
        </w:rPr>
      </w:pPr>
      <w:r w:rsidRPr="007B2A06">
        <w:rPr>
          <w:lang w:val="es-ES"/>
        </w:rPr>
        <w:t>La ejecución de la unidad de obra incluye la realización de las operaciones siguientes:</w:t>
      </w:r>
    </w:p>
    <w:p w14:paraId="025C601A" w14:textId="77777777" w:rsidR="007B2A06" w:rsidRPr="007B2A06" w:rsidRDefault="00A84D98" w:rsidP="00A84D98">
      <w:pPr>
        <w:pStyle w:val="NORMAL12"/>
        <w:numPr>
          <w:ilvl w:val="0"/>
          <w:numId w:val="91"/>
        </w:numPr>
        <w:rPr>
          <w:lang w:val="es-ES"/>
        </w:rPr>
      </w:pPr>
      <w:r w:rsidRPr="007B2A06">
        <w:rPr>
          <w:lang w:val="es-ES"/>
        </w:rPr>
        <w:t xml:space="preserve">La excavación de la zanja </w:t>
      </w:r>
      <w:r w:rsidR="007B2A06" w:rsidRPr="007B2A06">
        <w:rPr>
          <w:lang w:val="es-ES"/>
        </w:rPr>
        <w:t>para la realización de la cuneta.</w:t>
      </w:r>
    </w:p>
    <w:p w14:paraId="2CDF728E" w14:textId="77777777" w:rsidR="007B2A06" w:rsidRPr="007B2A06" w:rsidRDefault="007B2A06" w:rsidP="00A84D98">
      <w:pPr>
        <w:pStyle w:val="NORMAL12"/>
        <w:numPr>
          <w:ilvl w:val="0"/>
          <w:numId w:val="91"/>
        </w:numPr>
        <w:rPr>
          <w:lang w:val="es-ES"/>
        </w:rPr>
      </w:pPr>
      <w:r w:rsidRPr="007B2A06">
        <w:rPr>
          <w:lang w:val="es-ES"/>
        </w:rPr>
        <w:t>Preparación de la superficie.</w:t>
      </w:r>
    </w:p>
    <w:p w14:paraId="133A7268" w14:textId="77777777" w:rsidR="007B2A06" w:rsidRPr="007B2A06" w:rsidRDefault="007B2A06" w:rsidP="00A84D98">
      <w:pPr>
        <w:pStyle w:val="NORMAL12"/>
        <w:numPr>
          <w:ilvl w:val="0"/>
          <w:numId w:val="91"/>
        </w:numPr>
        <w:rPr>
          <w:lang w:val="es-ES"/>
        </w:rPr>
      </w:pPr>
      <w:r w:rsidRPr="007B2A06">
        <w:rPr>
          <w:lang w:val="es-ES"/>
        </w:rPr>
        <w:t>Vertido del hormigón, incluso preparación del encofrado.</w:t>
      </w:r>
    </w:p>
    <w:p w14:paraId="4443A878" w14:textId="77777777" w:rsidR="007B2A06" w:rsidRPr="007B2A06" w:rsidRDefault="007B2A06" w:rsidP="00A84D98">
      <w:pPr>
        <w:pStyle w:val="NORMAL12"/>
        <w:numPr>
          <w:ilvl w:val="0"/>
          <w:numId w:val="91"/>
        </w:numPr>
        <w:rPr>
          <w:lang w:val="es-ES"/>
        </w:rPr>
      </w:pPr>
      <w:r w:rsidRPr="007B2A06">
        <w:rPr>
          <w:lang w:val="es-ES"/>
        </w:rPr>
        <w:t>Terminación de la cuneta mediante fratasado, y realización de juntas.</w:t>
      </w:r>
    </w:p>
    <w:p w14:paraId="72A2CF45" w14:textId="77777777" w:rsidR="00A84D98" w:rsidRPr="007B2A06" w:rsidRDefault="00A84D98" w:rsidP="000313DD">
      <w:pPr>
        <w:pStyle w:val="TITU2"/>
      </w:pPr>
      <w:bookmarkStart w:id="415" w:name="_Toc404208"/>
      <w:r w:rsidRPr="007B2A06">
        <w:t>4</w:t>
      </w:r>
      <w:r w:rsidR="00822571" w:rsidRPr="007B2A06">
        <w:t>0</w:t>
      </w:r>
      <w:r w:rsidRPr="007B2A06">
        <w:t>0.</w:t>
      </w:r>
      <w:r w:rsidR="007B2A06" w:rsidRPr="007B2A06">
        <w:t>2</w:t>
      </w:r>
      <w:r w:rsidRPr="007B2A06">
        <w:t>. Materiales</w:t>
      </w:r>
      <w:bookmarkEnd w:id="415"/>
    </w:p>
    <w:p w14:paraId="6AF67570" w14:textId="77777777" w:rsidR="007B2A06" w:rsidRDefault="007B2A06" w:rsidP="007B2A06">
      <w:pPr>
        <w:pStyle w:val="NORMAL12"/>
        <w:rPr>
          <w:lang w:val="es-ES"/>
        </w:rPr>
      </w:pPr>
      <w:r w:rsidRPr="007B2A06">
        <w:rPr>
          <w:lang w:val="es-ES"/>
        </w:rPr>
        <w:t>Lo dispuesto en este artículo se entenderá sin perjuicio de lo establecido en el Real Decreto 1630/1992 (modificado por el R.D. 1328/1995), por el que se dictan disposiciones para la libre circulación de productos de construcción, en aplicación de la Directiva 89/106 CEE. En particular, en lo referente a los procedimientos especiales de reconocimiento, se estará a lo establecido en el artículo 9 del mencionado Real Decreto.</w:t>
      </w:r>
    </w:p>
    <w:p w14:paraId="0C042EC5" w14:textId="77777777" w:rsidR="007B2A06" w:rsidRPr="007B2A06" w:rsidRDefault="007B2A06" w:rsidP="007B2A06">
      <w:pPr>
        <w:pStyle w:val="NORMAL12"/>
        <w:rPr>
          <w:lang w:val="es-ES"/>
        </w:rPr>
      </w:pPr>
      <w:r>
        <w:rPr>
          <w:lang w:val="es-ES"/>
        </w:rPr>
        <w:t xml:space="preserve">Los encofrados utilizados cumplirán las prescripciones establecidas en el artículo 696. </w:t>
      </w:r>
      <w:r w:rsidRPr="007B2A06">
        <w:rPr>
          <w:i/>
          <w:lang w:val="es-ES"/>
        </w:rPr>
        <w:t>Encofrados</w:t>
      </w:r>
      <w:r>
        <w:rPr>
          <w:lang w:val="es-ES"/>
        </w:rPr>
        <w:t xml:space="preserve"> del presente pliego</w:t>
      </w:r>
    </w:p>
    <w:p w14:paraId="1782F065" w14:textId="77777777" w:rsidR="007B2A06" w:rsidRDefault="007B2A06" w:rsidP="007B2A06">
      <w:pPr>
        <w:pStyle w:val="NORMAL12"/>
        <w:rPr>
          <w:lang w:val="es-ES"/>
        </w:rPr>
      </w:pPr>
      <w:r>
        <w:rPr>
          <w:lang w:val="es-ES"/>
        </w:rPr>
        <w:t xml:space="preserve">El hormigón empleado en la realización de la cuneta cumplirá las especificaciones establecidas en el artículo 610 del presente pliego y en la Instrucción EHE. La resistencia característica a compresión no será inferior a 20 </w:t>
      </w:r>
      <w:proofErr w:type="spellStart"/>
      <w:r>
        <w:rPr>
          <w:lang w:val="es-ES"/>
        </w:rPr>
        <w:t>megapascales</w:t>
      </w:r>
      <w:proofErr w:type="spellEnd"/>
      <w:r>
        <w:rPr>
          <w:lang w:val="es-ES"/>
        </w:rPr>
        <w:t xml:space="preserve"> a los veintiocho días.</w:t>
      </w:r>
    </w:p>
    <w:p w14:paraId="154D0858" w14:textId="77777777" w:rsidR="00A84D98" w:rsidRPr="00835916" w:rsidRDefault="00A84D98" w:rsidP="000313DD">
      <w:pPr>
        <w:pStyle w:val="TITU2"/>
      </w:pPr>
      <w:bookmarkStart w:id="416" w:name="_Toc404209"/>
      <w:r w:rsidRPr="00835916">
        <w:t>4</w:t>
      </w:r>
      <w:r w:rsidR="00822571" w:rsidRPr="00835916">
        <w:t>0</w:t>
      </w:r>
      <w:r w:rsidRPr="00835916">
        <w:t>0.</w:t>
      </w:r>
      <w:r w:rsidR="007B2A06" w:rsidRPr="00835916">
        <w:t>3</w:t>
      </w:r>
      <w:r w:rsidRPr="00835916">
        <w:t>. Ejecución de las obras</w:t>
      </w:r>
      <w:bookmarkEnd w:id="416"/>
    </w:p>
    <w:p w14:paraId="4745CD8B" w14:textId="77777777" w:rsidR="007B2A06" w:rsidRDefault="007B2A06" w:rsidP="007B2A06">
      <w:pPr>
        <w:pStyle w:val="NORMAL12"/>
        <w:rPr>
          <w:lang w:val="es-ES"/>
        </w:rPr>
      </w:pPr>
      <w:r>
        <w:rPr>
          <w:lang w:val="es-ES"/>
        </w:rPr>
        <w:t>Se procederá a la excavación de la caja que requiera la cuneta, se llevará a cabo, la nivelación, refino y preparación de la superficie de asiento.</w:t>
      </w:r>
    </w:p>
    <w:p w14:paraId="5BEB2277" w14:textId="77777777" w:rsidR="007B2A06" w:rsidRDefault="007B2A06" w:rsidP="007B2A06">
      <w:pPr>
        <w:pStyle w:val="NORMAL12"/>
        <w:rPr>
          <w:lang w:val="es-ES"/>
        </w:rPr>
      </w:pPr>
      <w:r>
        <w:rPr>
          <w:lang w:val="es-ES"/>
        </w:rPr>
        <w:t>Se realizará desde aguas abajo hacia aguas arriba evitando en todo momento la retención de agua ni encharcamientos.</w:t>
      </w:r>
    </w:p>
    <w:p w14:paraId="66960851" w14:textId="77777777" w:rsidR="007B2A06" w:rsidRDefault="007B2A06" w:rsidP="007B2A06">
      <w:pPr>
        <w:pStyle w:val="NORMAL12"/>
        <w:rPr>
          <w:lang w:val="es-ES"/>
        </w:rPr>
      </w:pPr>
      <w:r>
        <w:rPr>
          <w:lang w:val="es-ES"/>
        </w:rPr>
        <w:t>Si el suelo inferior no está clasificado al menos como tolerable, se extenderá una capa de suelo seleccionado de al menos diez (</w:t>
      </w:r>
      <w:r w:rsidR="00217216">
        <w:rPr>
          <w:lang w:val="es-ES"/>
        </w:rPr>
        <w:t>10)</w:t>
      </w:r>
      <w:r>
        <w:rPr>
          <w:lang w:val="es-ES"/>
        </w:rPr>
        <w:t xml:space="preserve"> centímetros.</w:t>
      </w:r>
    </w:p>
    <w:p w14:paraId="24CA0A82" w14:textId="77777777" w:rsidR="007B2A06" w:rsidRDefault="00BB4777" w:rsidP="007B2A06">
      <w:pPr>
        <w:pStyle w:val="NORMAL12"/>
        <w:rPr>
          <w:lang w:val="es-ES"/>
        </w:rPr>
      </w:pPr>
      <w:r>
        <w:rPr>
          <w:lang w:val="es-ES"/>
        </w:rPr>
        <w:t xml:space="preserve">Se procederá al hormigonado en un plazo no superior a ocho días desde la preparación de la superficie, no se procederá a realizarlo sin la autorización del </w:t>
      </w:r>
      <w:proofErr w:type="gramStart"/>
      <w:r>
        <w:rPr>
          <w:lang w:val="es-ES"/>
        </w:rPr>
        <w:t>Director</w:t>
      </w:r>
      <w:proofErr w:type="gramEnd"/>
      <w:r>
        <w:rPr>
          <w:lang w:val="es-ES"/>
        </w:rPr>
        <w:t xml:space="preserve"> de Obra.</w:t>
      </w:r>
    </w:p>
    <w:p w14:paraId="7601D319" w14:textId="77777777" w:rsidR="00BB4777" w:rsidRDefault="00BB4777" w:rsidP="007B2A06">
      <w:pPr>
        <w:pStyle w:val="NORMAL12"/>
        <w:rPr>
          <w:lang w:val="es-ES"/>
        </w:rPr>
      </w:pPr>
      <w:r>
        <w:rPr>
          <w:lang w:val="es-ES"/>
        </w:rPr>
        <w:t>El extendido del hormigonado se realizará según lo establecido en la EHE.</w:t>
      </w:r>
    </w:p>
    <w:p w14:paraId="3F0C56ED" w14:textId="77777777" w:rsidR="00BB4777" w:rsidRDefault="00BB4777" w:rsidP="007B2A06">
      <w:pPr>
        <w:pStyle w:val="NORMAL12"/>
        <w:rPr>
          <w:lang w:val="es-ES"/>
        </w:rPr>
      </w:pPr>
      <w:r>
        <w:rPr>
          <w:lang w:val="es-ES"/>
        </w:rPr>
        <w:t>La terminación de la superficie debe tener irregularidades inferiores a quince milímetros medidos con la regla de tres metros. Los errores en los espesores del hormigón deben ser inferiores a diez milímetros.</w:t>
      </w:r>
    </w:p>
    <w:p w14:paraId="576F8ADA" w14:textId="77777777" w:rsidR="00BB4777" w:rsidRDefault="00BB4777" w:rsidP="007B2A06">
      <w:pPr>
        <w:pStyle w:val="NORMAL12"/>
        <w:rPr>
          <w:i/>
          <w:u w:val="single"/>
          <w:lang w:val="es-ES"/>
        </w:rPr>
      </w:pPr>
      <w:r w:rsidRPr="00BB4777">
        <w:rPr>
          <w:i/>
          <w:u w:val="single"/>
          <w:lang w:val="es-ES"/>
        </w:rPr>
        <w:t>Juntas</w:t>
      </w:r>
    </w:p>
    <w:p w14:paraId="6D2EB558" w14:textId="77777777" w:rsidR="00BB4777" w:rsidRDefault="00BB4777" w:rsidP="007B2A06">
      <w:pPr>
        <w:pStyle w:val="NORMAL12"/>
        <w:rPr>
          <w:lang w:val="es-ES"/>
        </w:rPr>
      </w:pPr>
      <w:r w:rsidRPr="00BB4777">
        <w:rPr>
          <w:lang w:val="es-ES"/>
        </w:rPr>
        <w:t xml:space="preserve">Las juntas </w:t>
      </w:r>
      <w:r>
        <w:rPr>
          <w:lang w:val="es-ES"/>
        </w:rPr>
        <w:t xml:space="preserve">de contracción se situarán a una </w:t>
      </w:r>
      <w:r w:rsidR="00217216">
        <w:rPr>
          <w:lang w:val="es-ES"/>
        </w:rPr>
        <w:t>distancia</w:t>
      </w:r>
      <w:r>
        <w:rPr>
          <w:lang w:val="es-ES"/>
        </w:rPr>
        <w:t xml:space="preserve"> de dos (2) metros con un espesor de tres (3) milímetros.</w:t>
      </w:r>
    </w:p>
    <w:p w14:paraId="33EFDD3E" w14:textId="77777777" w:rsidR="00BB4777" w:rsidRDefault="00BB4777" w:rsidP="007B2A06">
      <w:pPr>
        <w:pStyle w:val="NORMAL12"/>
        <w:rPr>
          <w:lang w:val="es-ES"/>
        </w:rPr>
      </w:pPr>
      <w:r>
        <w:rPr>
          <w:lang w:val="es-ES"/>
        </w:rPr>
        <w:t>Después del curado del hormigón, las juntas se limpiarán, colocándose posteriormente el material de relleno y sellado.</w:t>
      </w:r>
    </w:p>
    <w:p w14:paraId="14075923" w14:textId="77777777" w:rsidR="00BB4777" w:rsidRDefault="00BB4777" w:rsidP="007B2A06">
      <w:pPr>
        <w:pStyle w:val="NORMAL12"/>
        <w:rPr>
          <w:lang w:val="es-ES"/>
        </w:rPr>
      </w:pPr>
      <w:r>
        <w:rPr>
          <w:lang w:val="es-ES"/>
        </w:rPr>
        <w:t>Para el sellado se utilizará mortero de cemento CEM II-A/P 32,5R</w:t>
      </w:r>
    </w:p>
    <w:p w14:paraId="78F33D5F" w14:textId="77777777" w:rsidR="00A84D98" w:rsidRPr="00BB4777" w:rsidRDefault="00A84D98" w:rsidP="000313DD">
      <w:pPr>
        <w:pStyle w:val="TITU2"/>
      </w:pPr>
      <w:bookmarkStart w:id="417" w:name="_Toc404210"/>
      <w:r w:rsidRPr="00BB4777">
        <w:t>4</w:t>
      </w:r>
      <w:r w:rsidR="00822571" w:rsidRPr="00BB4777">
        <w:t>0</w:t>
      </w:r>
      <w:r w:rsidR="00835916">
        <w:t>0.4</w:t>
      </w:r>
      <w:r w:rsidRPr="00BB4777">
        <w:t>. Medición y abono</w:t>
      </w:r>
      <w:bookmarkEnd w:id="417"/>
    </w:p>
    <w:p w14:paraId="2686656B" w14:textId="77777777" w:rsidR="00A84D98" w:rsidRPr="00BB4777" w:rsidRDefault="00A84D98" w:rsidP="00A84D98">
      <w:pPr>
        <w:pStyle w:val="NORMAL12"/>
        <w:rPr>
          <w:lang w:val="es-ES"/>
        </w:rPr>
      </w:pPr>
      <w:r w:rsidRPr="00BB4777">
        <w:rPr>
          <w:lang w:val="es-ES"/>
        </w:rPr>
        <w:t>La medición y abono de la</w:t>
      </w:r>
      <w:r w:rsidR="00BB4777" w:rsidRPr="00BB4777">
        <w:rPr>
          <w:lang w:val="es-ES"/>
        </w:rPr>
        <w:t xml:space="preserve"> unidad de hormigón en masa para cunetas se realizará </w:t>
      </w:r>
      <w:r w:rsidRPr="00BB4777">
        <w:rPr>
          <w:lang w:val="es-ES"/>
        </w:rPr>
        <w:t xml:space="preserve">según las especificaciones siguientes: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3"/>
        <w:gridCol w:w="7725"/>
      </w:tblGrid>
      <w:tr w:rsidR="00BB4777" w:rsidRPr="00BB4777" w14:paraId="612E5941" w14:textId="77777777" w:rsidTr="001F3E93">
        <w:tc>
          <w:tcPr>
            <w:tcW w:w="0" w:type="auto"/>
            <w:vAlign w:val="center"/>
          </w:tcPr>
          <w:p w14:paraId="0CED6FBF" w14:textId="77777777" w:rsidR="00A84D98" w:rsidRPr="00BB4777" w:rsidRDefault="00A84D98" w:rsidP="001F3E93">
            <w:pPr>
              <w:pStyle w:val="LCATabla"/>
              <w:jc w:val="center"/>
              <w:rPr>
                <w:rFonts w:ascii="Arial" w:hAnsi="Arial" w:cs="Arial"/>
                <w:b/>
                <w:bCs/>
                <w:sz w:val="20"/>
              </w:rPr>
            </w:pPr>
            <w:r w:rsidRPr="00BB4777">
              <w:rPr>
                <w:rFonts w:ascii="Arial" w:hAnsi="Arial" w:cs="Arial"/>
                <w:b/>
                <w:bCs/>
                <w:sz w:val="20"/>
              </w:rPr>
              <w:t>Unidad de medida</w:t>
            </w:r>
          </w:p>
        </w:tc>
        <w:tc>
          <w:tcPr>
            <w:tcW w:w="0" w:type="auto"/>
            <w:vAlign w:val="center"/>
          </w:tcPr>
          <w:p w14:paraId="0BE4BCDE" w14:textId="77777777" w:rsidR="00A84D98" w:rsidRPr="00BB4777" w:rsidRDefault="00A84D98" w:rsidP="001F3E93">
            <w:pPr>
              <w:pStyle w:val="LCATabla"/>
              <w:rPr>
                <w:rFonts w:ascii="Arial" w:hAnsi="Arial" w:cs="Arial"/>
                <w:sz w:val="20"/>
              </w:rPr>
            </w:pPr>
            <w:r w:rsidRPr="00BB4777">
              <w:rPr>
                <w:rFonts w:ascii="Arial" w:hAnsi="Arial" w:cs="Arial"/>
                <w:sz w:val="20"/>
              </w:rPr>
              <w:t>Metro cúbico (m</w:t>
            </w:r>
            <w:r w:rsidRPr="00D97D43">
              <w:rPr>
                <w:rFonts w:ascii="Arial" w:hAnsi="Arial" w:cs="Arial"/>
                <w:sz w:val="20"/>
                <w:vertAlign w:val="superscript"/>
              </w:rPr>
              <w:t>3</w:t>
            </w:r>
            <w:r w:rsidRPr="00BB4777">
              <w:rPr>
                <w:rFonts w:ascii="Arial" w:hAnsi="Arial" w:cs="Arial"/>
                <w:sz w:val="20"/>
              </w:rPr>
              <w:t>)</w:t>
            </w:r>
          </w:p>
        </w:tc>
      </w:tr>
      <w:tr w:rsidR="00BB4777" w:rsidRPr="00BB4777" w14:paraId="29BDE968" w14:textId="77777777" w:rsidTr="001F3E93">
        <w:tc>
          <w:tcPr>
            <w:tcW w:w="0" w:type="auto"/>
            <w:vAlign w:val="center"/>
          </w:tcPr>
          <w:p w14:paraId="4A22ECD4" w14:textId="77777777" w:rsidR="00A84D98" w:rsidRPr="00BB4777" w:rsidRDefault="00A84D98" w:rsidP="001F3E93">
            <w:pPr>
              <w:pStyle w:val="LCATabla"/>
              <w:jc w:val="center"/>
              <w:rPr>
                <w:rFonts w:ascii="Arial" w:hAnsi="Arial" w:cs="Arial"/>
                <w:b/>
                <w:bCs/>
                <w:sz w:val="20"/>
              </w:rPr>
            </w:pPr>
            <w:r w:rsidRPr="00BB4777">
              <w:rPr>
                <w:rFonts w:ascii="Arial" w:hAnsi="Arial" w:cs="Arial"/>
                <w:b/>
                <w:bCs/>
                <w:sz w:val="20"/>
              </w:rPr>
              <w:t>Grado de precisión</w:t>
            </w:r>
          </w:p>
        </w:tc>
        <w:tc>
          <w:tcPr>
            <w:tcW w:w="0" w:type="auto"/>
            <w:vAlign w:val="center"/>
          </w:tcPr>
          <w:p w14:paraId="38E44F2B" w14:textId="77777777" w:rsidR="00A84D98" w:rsidRPr="00BB4777" w:rsidRDefault="00A84D98" w:rsidP="001F3E93">
            <w:pPr>
              <w:pStyle w:val="LCATabla"/>
              <w:rPr>
                <w:rFonts w:ascii="Arial" w:hAnsi="Arial" w:cs="Arial"/>
                <w:sz w:val="20"/>
              </w:rPr>
            </w:pPr>
            <w:r w:rsidRPr="00BB4777">
              <w:rPr>
                <w:rFonts w:ascii="Arial" w:hAnsi="Arial" w:cs="Arial"/>
                <w:sz w:val="20"/>
              </w:rPr>
              <w:t>Dos decimales</w:t>
            </w:r>
          </w:p>
        </w:tc>
      </w:tr>
      <w:tr w:rsidR="00BB4777" w:rsidRPr="00BB4777" w14:paraId="3A2D5AEE" w14:textId="77777777" w:rsidTr="001F3E93">
        <w:trPr>
          <w:trHeight w:val="238"/>
        </w:trPr>
        <w:tc>
          <w:tcPr>
            <w:tcW w:w="0" w:type="auto"/>
            <w:vAlign w:val="center"/>
          </w:tcPr>
          <w:p w14:paraId="75B00AE0" w14:textId="77777777" w:rsidR="00A84D98" w:rsidRPr="00BB4777" w:rsidRDefault="00A84D98" w:rsidP="001F3E93">
            <w:pPr>
              <w:pStyle w:val="LCATabla"/>
              <w:jc w:val="center"/>
              <w:rPr>
                <w:rFonts w:ascii="Arial" w:hAnsi="Arial" w:cs="Arial"/>
                <w:b/>
                <w:bCs/>
                <w:sz w:val="20"/>
              </w:rPr>
            </w:pPr>
            <w:r w:rsidRPr="00BB4777">
              <w:rPr>
                <w:rFonts w:ascii="Arial" w:hAnsi="Arial" w:cs="Arial"/>
                <w:b/>
                <w:bCs/>
                <w:sz w:val="20"/>
              </w:rPr>
              <w:t>Forma de medición</w:t>
            </w:r>
          </w:p>
        </w:tc>
        <w:tc>
          <w:tcPr>
            <w:tcW w:w="0" w:type="auto"/>
            <w:vAlign w:val="center"/>
          </w:tcPr>
          <w:p w14:paraId="7D9E3A3E" w14:textId="77777777" w:rsidR="00A84D98" w:rsidRPr="00BB4777" w:rsidRDefault="00A84D98" w:rsidP="00BB4777">
            <w:pPr>
              <w:pStyle w:val="LCATabla"/>
              <w:rPr>
                <w:rFonts w:ascii="Arial" w:hAnsi="Arial" w:cs="Arial"/>
                <w:sz w:val="20"/>
              </w:rPr>
            </w:pPr>
            <w:r w:rsidRPr="00BB4777">
              <w:rPr>
                <w:rFonts w:ascii="Arial" w:hAnsi="Arial" w:cs="Arial"/>
                <w:sz w:val="20"/>
              </w:rPr>
              <w:t xml:space="preserve">Volumen de hormigón necesario para la ejecución de la </w:t>
            </w:r>
            <w:r w:rsidR="00BB4777" w:rsidRPr="00BB4777">
              <w:rPr>
                <w:rFonts w:ascii="Arial" w:hAnsi="Arial" w:cs="Arial"/>
                <w:sz w:val="20"/>
              </w:rPr>
              <w:t>cuneta</w:t>
            </w:r>
          </w:p>
        </w:tc>
      </w:tr>
      <w:tr w:rsidR="00BB4777" w:rsidRPr="00BB4777" w14:paraId="2DEE4069" w14:textId="77777777" w:rsidTr="001F3E93">
        <w:tc>
          <w:tcPr>
            <w:tcW w:w="0" w:type="auto"/>
            <w:vAlign w:val="center"/>
          </w:tcPr>
          <w:p w14:paraId="7906206B" w14:textId="77777777" w:rsidR="00A84D98" w:rsidRPr="00BB4777" w:rsidRDefault="00A84D98" w:rsidP="001F3E93">
            <w:pPr>
              <w:pStyle w:val="LCATabla"/>
              <w:jc w:val="center"/>
              <w:rPr>
                <w:rFonts w:ascii="Arial" w:hAnsi="Arial" w:cs="Arial"/>
                <w:b/>
                <w:bCs/>
                <w:sz w:val="20"/>
              </w:rPr>
            </w:pPr>
            <w:r w:rsidRPr="00BB4777">
              <w:rPr>
                <w:rFonts w:ascii="Arial" w:hAnsi="Arial" w:cs="Arial"/>
                <w:b/>
                <w:bCs/>
                <w:sz w:val="20"/>
              </w:rPr>
              <w:t>Abono</w:t>
            </w:r>
          </w:p>
        </w:tc>
        <w:tc>
          <w:tcPr>
            <w:tcW w:w="0" w:type="auto"/>
            <w:vAlign w:val="center"/>
          </w:tcPr>
          <w:p w14:paraId="7B169F68" w14:textId="77777777" w:rsidR="00A84D98" w:rsidRPr="00BB4777" w:rsidRDefault="00A84D98" w:rsidP="001F3E93">
            <w:pPr>
              <w:pStyle w:val="LCATabla"/>
              <w:rPr>
                <w:rFonts w:ascii="Arial" w:hAnsi="Arial" w:cs="Arial"/>
                <w:sz w:val="20"/>
              </w:rPr>
            </w:pPr>
            <w:r w:rsidRPr="00BB4777">
              <w:rPr>
                <w:rFonts w:ascii="Arial" w:hAnsi="Arial" w:cs="Arial"/>
                <w:sz w:val="20"/>
              </w:rPr>
              <w:t>Se efectuará cuando se realice la aceptación</w:t>
            </w:r>
          </w:p>
        </w:tc>
      </w:tr>
      <w:tr w:rsidR="00BB4777" w:rsidRPr="00BB4777" w14:paraId="4D8D7FE8" w14:textId="77777777" w:rsidTr="001F3E93">
        <w:tc>
          <w:tcPr>
            <w:tcW w:w="0" w:type="auto"/>
            <w:vAlign w:val="center"/>
          </w:tcPr>
          <w:p w14:paraId="2829B7B7" w14:textId="77777777" w:rsidR="00A84D98" w:rsidRPr="00BB4777" w:rsidRDefault="00A84D98" w:rsidP="001F3E93">
            <w:pPr>
              <w:pStyle w:val="LCATabla"/>
              <w:jc w:val="center"/>
              <w:rPr>
                <w:rFonts w:ascii="Arial" w:hAnsi="Arial" w:cs="Arial"/>
                <w:b/>
                <w:bCs/>
                <w:sz w:val="20"/>
              </w:rPr>
            </w:pPr>
            <w:r w:rsidRPr="00BB4777">
              <w:rPr>
                <w:rFonts w:ascii="Arial" w:hAnsi="Arial" w:cs="Arial"/>
                <w:b/>
                <w:bCs/>
                <w:sz w:val="20"/>
              </w:rPr>
              <w:t>Criterios complementarios</w:t>
            </w:r>
          </w:p>
        </w:tc>
        <w:tc>
          <w:tcPr>
            <w:tcW w:w="0" w:type="auto"/>
            <w:vAlign w:val="center"/>
          </w:tcPr>
          <w:p w14:paraId="6379AA77" w14:textId="77777777" w:rsidR="00A84D98" w:rsidRPr="00BB4777" w:rsidRDefault="00A84D98" w:rsidP="00BB4777">
            <w:pPr>
              <w:pStyle w:val="LCATabla"/>
              <w:jc w:val="both"/>
              <w:rPr>
                <w:rFonts w:ascii="Arial" w:hAnsi="Arial" w:cs="Arial"/>
                <w:sz w:val="20"/>
              </w:rPr>
            </w:pPr>
            <w:r w:rsidRPr="00BB4777">
              <w:rPr>
                <w:rFonts w:ascii="Arial" w:hAnsi="Arial" w:cs="Arial"/>
                <w:sz w:val="20"/>
              </w:rPr>
              <w:t xml:space="preserve">El precio incluye la excavación, </w:t>
            </w:r>
            <w:r w:rsidR="00BB4777" w:rsidRPr="00BB4777">
              <w:rPr>
                <w:rFonts w:ascii="Arial" w:hAnsi="Arial" w:cs="Arial"/>
                <w:sz w:val="20"/>
              </w:rPr>
              <w:t xml:space="preserve">suelo seleccionado a aportar, encofrado </w:t>
            </w:r>
            <w:r w:rsidRPr="00BB4777">
              <w:rPr>
                <w:rFonts w:ascii="Arial" w:hAnsi="Arial" w:cs="Arial"/>
                <w:sz w:val="20"/>
              </w:rPr>
              <w:t xml:space="preserve">y desencofrado, </w:t>
            </w:r>
            <w:r w:rsidR="00BB4777" w:rsidRPr="00BB4777">
              <w:rPr>
                <w:rFonts w:ascii="Arial" w:hAnsi="Arial" w:cs="Arial"/>
                <w:sz w:val="20"/>
              </w:rPr>
              <w:t>el hormigón y su vertido, fratasado, ejecución de juntas, relleno y sellado de las mismas. L</w:t>
            </w:r>
            <w:r w:rsidRPr="00BB4777">
              <w:rPr>
                <w:rFonts w:ascii="Arial" w:hAnsi="Arial" w:cs="Arial"/>
                <w:sz w:val="20"/>
              </w:rPr>
              <w:t>a carga y transporte de</w:t>
            </w:r>
            <w:r w:rsidR="00BB4777">
              <w:rPr>
                <w:rFonts w:ascii="Arial" w:hAnsi="Arial" w:cs="Arial"/>
                <w:sz w:val="20"/>
              </w:rPr>
              <w:t>l</w:t>
            </w:r>
            <w:r w:rsidRPr="00BB4777">
              <w:rPr>
                <w:rFonts w:ascii="Arial" w:hAnsi="Arial" w:cs="Arial"/>
                <w:sz w:val="20"/>
              </w:rPr>
              <w:t xml:space="preserve"> material sobrante a instalación de gestión de residuos.</w:t>
            </w:r>
          </w:p>
        </w:tc>
      </w:tr>
    </w:tbl>
    <w:p w14:paraId="4870B79B" w14:textId="77777777" w:rsidR="00332C84" w:rsidRPr="00332C84" w:rsidRDefault="00332C84" w:rsidP="00332C84">
      <w:pPr>
        <w:pStyle w:val="TITU1"/>
      </w:pPr>
      <w:bookmarkStart w:id="418" w:name="_Toc404211"/>
      <w:r w:rsidRPr="00332C84">
        <w:lastRenderedPageBreak/>
        <w:t>Artículo 401</w:t>
      </w:r>
      <w:r w:rsidR="006B2AC6">
        <w:t>b</w:t>
      </w:r>
      <w:r w:rsidRPr="00332C84">
        <w:t xml:space="preserve">. </w:t>
      </w:r>
      <w:r w:rsidR="006B2AC6">
        <w:t>Bajant</w:t>
      </w:r>
      <w:r>
        <w:t>e prefabricada</w:t>
      </w:r>
      <w:bookmarkEnd w:id="418"/>
    </w:p>
    <w:p w14:paraId="2740845C" w14:textId="77777777" w:rsidR="00332C84" w:rsidRPr="00332C84" w:rsidRDefault="00332C84" w:rsidP="00332C84">
      <w:pPr>
        <w:pStyle w:val="NORMAL12"/>
        <w:rPr>
          <w:lang w:val="es-ES"/>
        </w:rPr>
      </w:pPr>
      <w:r w:rsidRPr="00332C84">
        <w:rPr>
          <w:lang w:val="es-ES"/>
        </w:rPr>
        <w:t>Excepto para lo especificado en el presente Pliego de Prescripciones Técnicas particulares se seguirá lo prescrito en el vigente artículo 401 del PG-3.</w:t>
      </w:r>
    </w:p>
    <w:p w14:paraId="71228919" w14:textId="77777777" w:rsidR="00332C84" w:rsidRPr="00332C84" w:rsidRDefault="00332C84" w:rsidP="000313DD">
      <w:pPr>
        <w:pStyle w:val="TITU2"/>
      </w:pPr>
      <w:bookmarkStart w:id="419" w:name="_Toc404212"/>
      <w:r w:rsidRPr="00332C84">
        <w:t>40</w:t>
      </w:r>
      <w:r>
        <w:t>1</w:t>
      </w:r>
      <w:r w:rsidR="006B2AC6">
        <w:t>b</w:t>
      </w:r>
      <w:r w:rsidRPr="00332C84">
        <w:t>.1. Definición. Aplicación</w:t>
      </w:r>
      <w:bookmarkEnd w:id="419"/>
    </w:p>
    <w:p w14:paraId="54F26F74" w14:textId="77777777" w:rsidR="00332C84" w:rsidRPr="00332C84" w:rsidRDefault="00332C84" w:rsidP="00332C84">
      <w:pPr>
        <w:pStyle w:val="NORMAL12"/>
        <w:rPr>
          <w:lang w:val="es-ES"/>
        </w:rPr>
      </w:pPr>
      <w:r w:rsidRPr="00332C84">
        <w:rPr>
          <w:lang w:val="es-ES"/>
        </w:rPr>
        <w:t xml:space="preserve">Se define como bajante prefabricada a una zanja transversal abierta en el terreno perpendicular a la plataforma con el fin de recibir el agua de </w:t>
      </w:r>
      <w:r w:rsidR="00217216" w:rsidRPr="00332C84">
        <w:rPr>
          <w:lang w:val="es-ES"/>
        </w:rPr>
        <w:t>las cunetas</w:t>
      </w:r>
      <w:r w:rsidRPr="00332C84">
        <w:rPr>
          <w:lang w:val="es-ES"/>
        </w:rPr>
        <w:t xml:space="preserve">, y revestido con piezas prefabricadas, apoyadas sobre lecho de asiento previamente preparado. </w:t>
      </w:r>
    </w:p>
    <w:p w14:paraId="73AA9A37" w14:textId="77777777" w:rsidR="00332C84" w:rsidRPr="00332C84" w:rsidRDefault="00332C84" w:rsidP="00332C84">
      <w:pPr>
        <w:pStyle w:val="NORMAL12"/>
        <w:rPr>
          <w:strike/>
          <w:lang w:val="es-ES"/>
        </w:rPr>
      </w:pPr>
      <w:r w:rsidRPr="00332C84">
        <w:rPr>
          <w:lang w:val="es-ES"/>
        </w:rPr>
        <w:t xml:space="preserve">Las prescripciones del presente artículo </w:t>
      </w:r>
      <w:proofErr w:type="gramStart"/>
      <w:r w:rsidRPr="00332C84">
        <w:rPr>
          <w:lang w:val="es-ES"/>
        </w:rPr>
        <w:t>son de aplicación</w:t>
      </w:r>
      <w:proofErr w:type="gramEnd"/>
      <w:r w:rsidRPr="00332C84">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207"/>
        <w:gridCol w:w="706"/>
        <w:gridCol w:w="7865"/>
      </w:tblGrid>
      <w:tr w:rsidR="00332C84" w:rsidRPr="00332C84" w14:paraId="753B17D5" w14:textId="77777777" w:rsidTr="00DB257E">
        <w:trPr>
          <w:trHeight w:val="300"/>
        </w:trPr>
        <w:tc>
          <w:tcPr>
            <w:tcW w:w="617" w:type="pct"/>
            <w:noWrap/>
          </w:tcPr>
          <w:p w14:paraId="72EB3174" w14:textId="77777777" w:rsidR="00332C84" w:rsidRPr="00050087" w:rsidRDefault="00332C84">
            <w:pPr>
              <w:rPr>
                <w:rFonts w:ascii="Calibri" w:hAnsi="Calibri" w:cs="Calibri"/>
              </w:rPr>
            </w:pPr>
            <w:r w:rsidRPr="00050087">
              <w:rPr>
                <w:rFonts w:ascii="Calibri" w:hAnsi="Calibri" w:cs="Calibri"/>
              </w:rPr>
              <w:t xml:space="preserve">430.0010          </w:t>
            </w:r>
          </w:p>
        </w:tc>
        <w:tc>
          <w:tcPr>
            <w:tcW w:w="361" w:type="pct"/>
            <w:noWrap/>
          </w:tcPr>
          <w:p w14:paraId="43D52A8C" w14:textId="77777777" w:rsidR="00332C84" w:rsidRPr="00050087" w:rsidRDefault="00332C84">
            <w:pPr>
              <w:rPr>
                <w:rFonts w:ascii="Calibri" w:hAnsi="Calibri" w:cs="Calibri"/>
              </w:rPr>
            </w:pPr>
            <w:r w:rsidRPr="00050087">
              <w:rPr>
                <w:rFonts w:ascii="Calibri" w:hAnsi="Calibri" w:cs="Calibri"/>
              </w:rPr>
              <w:t>m</w:t>
            </w:r>
          </w:p>
        </w:tc>
        <w:tc>
          <w:tcPr>
            <w:tcW w:w="4022" w:type="pct"/>
          </w:tcPr>
          <w:p w14:paraId="63CE1CFE" w14:textId="77777777" w:rsidR="00332C84" w:rsidRPr="00050087" w:rsidRDefault="00332C84" w:rsidP="002A7A61">
            <w:pPr>
              <w:jc w:val="both"/>
              <w:rPr>
                <w:rFonts w:ascii="Calibri" w:hAnsi="Calibri" w:cs="Calibri"/>
              </w:rPr>
            </w:pPr>
            <w:r w:rsidRPr="00050087">
              <w:rPr>
                <w:rFonts w:ascii="Calibri" w:hAnsi="Calibri" w:cs="Calibri"/>
              </w:rPr>
              <w:t>BAJANTE PREFABRICADA DE HORMIGÓN DE 0,30 m DE ANCHO INTERIOR i/ SUMINISTRO, TRANSPORTE, EXCAVACIÓN, PREPARACIÓN DE LA SUPERFICIE DE ASIENTO, REJUNTADO CON HORMIGÓN O MORTERO Y P.P. DE EMBOCADURAS Y REMATES.</w:t>
            </w:r>
          </w:p>
        </w:tc>
      </w:tr>
    </w:tbl>
    <w:p w14:paraId="770E453B" w14:textId="77777777" w:rsidR="00332C84" w:rsidRPr="00332C84" w:rsidRDefault="00332C84" w:rsidP="00332C84">
      <w:pPr>
        <w:pStyle w:val="NORMAL12"/>
        <w:rPr>
          <w:lang w:val="es-ES"/>
        </w:rPr>
      </w:pPr>
      <w:r w:rsidRPr="00332C84">
        <w:rPr>
          <w:lang w:val="es-ES"/>
        </w:rPr>
        <w:t>La ejecución de la unidad de obra incluye la realización de las operaciones siguientes:</w:t>
      </w:r>
    </w:p>
    <w:p w14:paraId="7982D633" w14:textId="77777777" w:rsidR="00332C84" w:rsidRPr="00332C84" w:rsidRDefault="00332C84" w:rsidP="00332C84">
      <w:pPr>
        <w:pStyle w:val="NORMAL12"/>
        <w:numPr>
          <w:ilvl w:val="0"/>
          <w:numId w:val="91"/>
        </w:numPr>
        <w:rPr>
          <w:lang w:val="es-ES"/>
        </w:rPr>
      </w:pPr>
      <w:r w:rsidRPr="00332C84">
        <w:rPr>
          <w:lang w:val="es-ES"/>
        </w:rPr>
        <w:t>La excavación de la zanja para la realización de la bajante.</w:t>
      </w:r>
    </w:p>
    <w:p w14:paraId="2B6066C7" w14:textId="77777777" w:rsidR="00332C84" w:rsidRPr="00332C84" w:rsidRDefault="00332C84" w:rsidP="00332C84">
      <w:pPr>
        <w:pStyle w:val="NORMAL12"/>
        <w:numPr>
          <w:ilvl w:val="0"/>
          <w:numId w:val="91"/>
        </w:numPr>
        <w:rPr>
          <w:lang w:val="es-ES"/>
        </w:rPr>
      </w:pPr>
      <w:r w:rsidRPr="00332C84">
        <w:rPr>
          <w:lang w:val="es-ES"/>
        </w:rPr>
        <w:t>Preparación de la superficie de asiento</w:t>
      </w:r>
      <w:r w:rsidR="006B2AC6">
        <w:rPr>
          <w:lang w:val="es-ES"/>
        </w:rPr>
        <w:t>, excavación</w:t>
      </w:r>
    </w:p>
    <w:p w14:paraId="2C53AAB3" w14:textId="77777777" w:rsidR="00332C84" w:rsidRPr="00332C84" w:rsidRDefault="006B2AC6" w:rsidP="00332C84">
      <w:pPr>
        <w:pStyle w:val="NORMAL12"/>
        <w:numPr>
          <w:ilvl w:val="0"/>
          <w:numId w:val="91"/>
        </w:numPr>
        <w:rPr>
          <w:lang w:val="es-ES"/>
        </w:rPr>
      </w:pPr>
      <w:r>
        <w:rPr>
          <w:lang w:val="es-ES"/>
        </w:rPr>
        <w:t>Colocación de las piezas, rejuntado con hormigón.</w:t>
      </w:r>
    </w:p>
    <w:p w14:paraId="20C856AB" w14:textId="77777777" w:rsidR="00332C84" w:rsidRPr="00332C84" w:rsidRDefault="00217216" w:rsidP="00332C84">
      <w:pPr>
        <w:pStyle w:val="NORMAL12"/>
        <w:numPr>
          <w:ilvl w:val="0"/>
          <w:numId w:val="91"/>
        </w:numPr>
        <w:rPr>
          <w:lang w:val="es-ES"/>
        </w:rPr>
      </w:pPr>
      <w:r w:rsidRPr="00332C84">
        <w:rPr>
          <w:lang w:val="es-ES"/>
        </w:rPr>
        <w:t>Realización</w:t>
      </w:r>
      <w:r w:rsidR="00332C84" w:rsidRPr="00332C84">
        <w:rPr>
          <w:lang w:val="es-ES"/>
        </w:rPr>
        <w:t xml:space="preserve"> de las juntas entre piezas.</w:t>
      </w:r>
    </w:p>
    <w:p w14:paraId="40B19618" w14:textId="77777777" w:rsidR="00332C84" w:rsidRPr="00332C84" w:rsidRDefault="00332C84" w:rsidP="000313DD">
      <w:pPr>
        <w:pStyle w:val="TITU2"/>
      </w:pPr>
      <w:bookmarkStart w:id="420" w:name="_Toc404213"/>
      <w:r w:rsidRPr="00332C84">
        <w:t>40</w:t>
      </w:r>
      <w:r w:rsidR="009F73BD">
        <w:t>1</w:t>
      </w:r>
      <w:r w:rsidR="006B2AC6">
        <w:t>b</w:t>
      </w:r>
      <w:r w:rsidRPr="00332C84">
        <w:t>.2. Materiales</w:t>
      </w:r>
      <w:bookmarkEnd w:id="420"/>
    </w:p>
    <w:p w14:paraId="77D7E47E" w14:textId="77777777" w:rsidR="00332C84" w:rsidRPr="00332C84" w:rsidRDefault="00332C84" w:rsidP="00332C84">
      <w:pPr>
        <w:pStyle w:val="NORMAL12"/>
        <w:rPr>
          <w:lang w:val="es-ES"/>
        </w:rPr>
      </w:pPr>
      <w:r w:rsidRPr="00332C84">
        <w:rPr>
          <w:lang w:val="es-ES"/>
        </w:rPr>
        <w:t>Lo dispuesto en este artículo se entenderá sin perjuicio de lo establecido en el Real Decreto 1630/1992 (modificado por el R.D. 1328/1995), por el que se dictan disposiciones para la libre circulación de productos de construcción, en aplicación de la Directiva 89/106 CEE. En particular, en lo referente a los procedimientos especiales de reconocimiento, se estará a lo establecido en el artículo 9 del mencionado Real Decreto.</w:t>
      </w:r>
    </w:p>
    <w:p w14:paraId="3065A472" w14:textId="77777777" w:rsidR="00332C84" w:rsidRDefault="00332C84" w:rsidP="00332C84">
      <w:pPr>
        <w:pStyle w:val="NORMAL12"/>
        <w:rPr>
          <w:lang w:val="es-ES"/>
        </w:rPr>
      </w:pPr>
      <w:r w:rsidRPr="00332C84">
        <w:rPr>
          <w:lang w:val="es-ES"/>
        </w:rPr>
        <w:t xml:space="preserve">El material empleado en </w:t>
      </w:r>
      <w:r w:rsidR="00217216" w:rsidRPr="00332C84">
        <w:rPr>
          <w:lang w:val="es-ES"/>
        </w:rPr>
        <w:t>las piezas prefabricadas</w:t>
      </w:r>
      <w:r>
        <w:rPr>
          <w:lang w:val="es-ES"/>
        </w:rPr>
        <w:t xml:space="preserve"> debe cumplir el artículo 610. Hormigón del presente pliego y del PG-3.</w:t>
      </w:r>
    </w:p>
    <w:p w14:paraId="466267D4" w14:textId="77777777" w:rsidR="00332C84" w:rsidRDefault="00332C84" w:rsidP="00332C84">
      <w:pPr>
        <w:pStyle w:val="NORMAL12"/>
        <w:rPr>
          <w:lang w:val="es-ES"/>
        </w:rPr>
      </w:pPr>
      <w:r>
        <w:rPr>
          <w:lang w:val="es-ES"/>
        </w:rPr>
        <w:t xml:space="preserve">En las piezas de hormigón el tamaño máximo del árido empleado deber ser menor del treinta y tres (33%) por ciento del espesor mínimo de la pieza. La resistencia a compresión no será inferior a veinte (20) </w:t>
      </w:r>
      <w:proofErr w:type="spellStart"/>
      <w:r>
        <w:rPr>
          <w:lang w:val="es-ES"/>
        </w:rPr>
        <w:t>megapascales</w:t>
      </w:r>
      <w:proofErr w:type="spellEnd"/>
      <w:r>
        <w:rPr>
          <w:lang w:val="es-ES"/>
        </w:rPr>
        <w:t>.</w:t>
      </w:r>
    </w:p>
    <w:p w14:paraId="4836159E" w14:textId="77777777" w:rsidR="00332C84" w:rsidRDefault="00332C84" w:rsidP="00332C84">
      <w:pPr>
        <w:pStyle w:val="NORMAL12"/>
        <w:rPr>
          <w:lang w:val="es-ES"/>
        </w:rPr>
      </w:pPr>
    </w:p>
    <w:p w14:paraId="5DE833ED" w14:textId="77777777" w:rsidR="00332C84" w:rsidRDefault="00332C84" w:rsidP="00332C84">
      <w:pPr>
        <w:pStyle w:val="NORMAL12"/>
        <w:rPr>
          <w:lang w:val="es-ES"/>
        </w:rPr>
      </w:pPr>
      <w:r w:rsidRPr="000D77A3">
        <w:rPr>
          <w:lang w:val="es-ES"/>
        </w:rPr>
        <w:t xml:space="preserve">El hormigón empleado en la realización de la </w:t>
      </w:r>
      <w:r w:rsidR="000D77A3" w:rsidRPr="000D77A3">
        <w:rPr>
          <w:lang w:val="es-ES"/>
        </w:rPr>
        <w:t xml:space="preserve">pieza prefabricada </w:t>
      </w:r>
      <w:r w:rsidRPr="000D77A3">
        <w:rPr>
          <w:lang w:val="es-ES"/>
        </w:rPr>
        <w:t xml:space="preserve">cumplirá las especificaciones establecidas en el artículo 610 del presente pliego y en la Instrucción EHE. </w:t>
      </w:r>
    </w:p>
    <w:p w14:paraId="301CE9A9" w14:textId="77777777" w:rsidR="000D77A3" w:rsidRDefault="000D77A3" w:rsidP="00332C84">
      <w:pPr>
        <w:pStyle w:val="NORMAL12"/>
        <w:rPr>
          <w:lang w:val="es-ES"/>
        </w:rPr>
      </w:pPr>
      <w:r>
        <w:rPr>
          <w:lang w:val="es-ES"/>
        </w:rPr>
        <w:t>Las tolerancias de las piezas serán inferiores a ± 2 mm en espesor y ± 5 mm en anchura y longitud.</w:t>
      </w:r>
    </w:p>
    <w:p w14:paraId="603CB4B6" w14:textId="77777777" w:rsidR="000D77A3" w:rsidRPr="000D77A3" w:rsidRDefault="000D77A3" w:rsidP="00332C84">
      <w:pPr>
        <w:pStyle w:val="NORMAL12"/>
        <w:rPr>
          <w:lang w:val="es-ES"/>
        </w:rPr>
      </w:pPr>
      <w:r>
        <w:rPr>
          <w:lang w:val="es-ES"/>
        </w:rPr>
        <w:t>La superficie de apoyo está constituida por una capa de hormi</w:t>
      </w:r>
      <w:r w:rsidR="009F73BD">
        <w:rPr>
          <w:lang w:val="es-ES"/>
        </w:rPr>
        <w:t>gó</w:t>
      </w:r>
      <w:r>
        <w:rPr>
          <w:lang w:val="es-ES"/>
        </w:rPr>
        <w:t>n HM-20 de diez (109 centímetros de espesor.</w:t>
      </w:r>
    </w:p>
    <w:p w14:paraId="13ED8C6D" w14:textId="77777777" w:rsidR="00332C84" w:rsidRPr="000D77A3" w:rsidRDefault="00332C84" w:rsidP="000313DD">
      <w:pPr>
        <w:pStyle w:val="TITU2"/>
      </w:pPr>
      <w:bookmarkStart w:id="421" w:name="_Toc404214"/>
      <w:r w:rsidRPr="000D77A3">
        <w:t>40</w:t>
      </w:r>
      <w:r w:rsidR="009F73BD">
        <w:t>1</w:t>
      </w:r>
      <w:r w:rsidR="006B2AC6">
        <w:t>b</w:t>
      </w:r>
      <w:r w:rsidRPr="000D77A3">
        <w:t>.3. Ejecución de las obras</w:t>
      </w:r>
      <w:bookmarkEnd w:id="421"/>
    </w:p>
    <w:p w14:paraId="1B30F111" w14:textId="77777777" w:rsidR="00332C84" w:rsidRPr="000D77A3" w:rsidRDefault="00332C84" w:rsidP="00332C84">
      <w:pPr>
        <w:pStyle w:val="NORMAL12"/>
        <w:rPr>
          <w:lang w:val="es-ES"/>
        </w:rPr>
      </w:pPr>
      <w:r w:rsidRPr="000D77A3">
        <w:rPr>
          <w:lang w:val="es-ES"/>
        </w:rPr>
        <w:t xml:space="preserve">Se procederá a la excavación de la caja que requiera la </w:t>
      </w:r>
      <w:r w:rsidR="000D77A3" w:rsidRPr="000D77A3">
        <w:rPr>
          <w:lang w:val="es-ES"/>
        </w:rPr>
        <w:t>bajante</w:t>
      </w:r>
      <w:r w:rsidRPr="000D77A3">
        <w:rPr>
          <w:lang w:val="es-ES"/>
        </w:rPr>
        <w:t>, se llevará a cabo, la nivelación, refino y preparación de la superficie de asiento.</w:t>
      </w:r>
    </w:p>
    <w:p w14:paraId="3F9CC6E2" w14:textId="77777777" w:rsidR="00332C84" w:rsidRDefault="00332C84" w:rsidP="00332C84">
      <w:pPr>
        <w:pStyle w:val="NORMAL12"/>
        <w:rPr>
          <w:lang w:val="es-ES"/>
        </w:rPr>
      </w:pPr>
      <w:r w:rsidRPr="000D77A3">
        <w:rPr>
          <w:lang w:val="es-ES"/>
        </w:rPr>
        <w:t>Se realizará desde aguas abajo hacia aguas arriba evitando en todo momento la retención de agua ni encharcamientos.</w:t>
      </w:r>
    </w:p>
    <w:p w14:paraId="7C869E4B" w14:textId="77777777" w:rsidR="000D77A3" w:rsidRDefault="000D77A3" w:rsidP="00332C84">
      <w:pPr>
        <w:pStyle w:val="NORMAL12"/>
        <w:rPr>
          <w:lang w:val="es-ES"/>
        </w:rPr>
      </w:pPr>
      <w:r>
        <w:rPr>
          <w:lang w:val="es-ES"/>
        </w:rPr>
        <w:t xml:space="preserve">Las piezas se </w:t>
      </w:r>
      <w:r w:rsidR="00217216">
        <w:rPr>
          <w:lang w:val="es-ES"/>
        </w:rPr>
        <w:t>transportarán</w:t>
      </w:r>
      <w:r>
        <w:rPr>
          <w:lang w:val="es-ES"/>
        </w:rPr>
        <w:t xml:space="preserve"> hasta la obra de tal forma que se garantice su integridad. Se desecharán aquellas que hayan sufrido deterioros durante el transporte.</w:t>
      </w:r>
    </w:p>
    <w:p w14:paraId="5373AD6A" w14:textId="77777777" w:rsidR="000D77A3" w:rsidRDefault="000D77A3" w:rsidP="00332C84">
      <w:pPr>
        <w:pStyle w:val="NORMAL12"/>
        <w:rPr>
          <w:lang w:val="es-ES"/>
        </w:rPr>
      </w:pPr>
      <w:r>
        <w:rPr>
          <w:lang w:val="es-ES"/>
        </w:rPr>
        <w:t>Antes de la colocación de la pieza se extenderá una superficie de apoyo de diez (10) cm hormigón HM-20.</w:t>
      </w:r>
    </w:p>
    <w:p w14:paraId="17D09340" w14:textId="77777777" w:rsidR="000D77A3" w:rsidRDefault="000D77A3" w:rsidP="00332C84">
      <w:pPr>
        <w:pStyle w:val="NORMAL12"/>
        <w:rPr>
          <w:lang w:val="es-ES"/>
        </w:rPr>
      </w:pPr>
      <w:r>
        <w:rPr>
          <w:lang w:val="es-ES"/>
        </w:rPr>
        <w:t>Se colocarán las piezas perfectamente alineadas sobre la rasante de la solera a las cotas previstas.</w:t>
      </w:r>
    </w:p>
    <w:p w14:paraId="37ADCCA0" w14:textId="77777777" w:rsidR="000D77A3" w:rsidRDefault="000D77A3" w:rsidP="00332C84">
      <w:pPr>
        <w:pStyle w:val="NORMAL12"/>
        <w:rPr>
          <w:lang w:val="es-ES"/>
        </w:rPr>
      </w:pPr>
      <w:r>
        <w:rPr>
          <w:lang w:val="es-ES"/>
        </w:rPr>
        <w:t>Las juntas entre piezas se rellenarán con cemento CEM II-A/P 32R</w:t>
      </w:r>
      <w:r w:rsidR="009F73BD">
        <w:rPr>
          <w:lang w:val="es-ES"/>
        </w:rPr>
        <w:t>.</w:t>
      </w:r>
    </w:p>
    <w:p w14:paraId="218FEFD1" w14:textId="77777777" w:rsidR="009F73BD" w:rsidRDefault="009F73BD" w:rsidP="00332C84">
      <w:pPr>
        <w:pStyle w:val="NORMAL12"/>
        <w:rPr>
          <w:lang w:val="es-ES"/>
        </w:rPr>
      </w:pPr>
      <w:r>
        <w:rPr>
          <w:lang w:val="es-ES"/>
        </w:rPr>
        <w:t xml:space="preserve">Las juntas de dilatación se colocarán en las uniones con las obras de fábrica, </w:t>
      </w:r>
      <w:r w:rsidR="00217216">
        <w:rPr>
          <w:lang w:val="es-ES"/>
        </w:rPr>
        <w:t>tendrán</w:t>
      </w:r>
      <w:r>
        <w:rPr>
          <w:lang w:val="es-ES"/>
        </w:rPr>
        <w:t xml:space="preserve"> un espesor entre </w:t>
      </w:r>
      <w:r w:rsidR="00217216">
        <w:rPr>
          <w:lang w:val="es-ES"/>
        </w:rPr>
        <w:t>diez (</w:t>
      </w:r>
      <w:r>
        <w:rPr>
          <w:lang w:val="es-ES"/>
        </w:rPr>
        <w:t xml:space="preserve">10) y veinte (20) mm y se rellenarán con material elástico aprobado por el </w:t>
      </w:r>
      <w:proofErr w:type="gramStart"/>
      <w:r>
        <w:rPr>
          <w:lang w:val="es-ES"/>
        </w:rPr>
        <w:t>Director</w:t>
      </w:r>
      <w:proofErr w:type="gramEnd"/>
      <w:r>
        <w:rPr>
          <w:lang w:val="es-ES"/>
        </w:rPr>
        <w:t xml:space="preserve"> de Obra, quedando protegidas superficialmente.</w:t>
      </w:r>
    </w:p>
    <w:p w14:paraId="29EFE8AA" w14:textId="77777777" w:rsidR="009F73BD" w:rsidRDefault="009F73BD" w:rsidP="00332C84">
      <w:pPr>
        <w:pStyle w:val="NORMAL12"/>
        <w:rPr>
          <w:lang w:val="es-ES"/>
        </w:rPr>
      </w:pPr>
    </w:p>
    <w:p w14:paraId="73BD7D06" w14:textId="77777777" w:rsidR="009F73BD" w:rsidRDefault="009F73BD" w:rsidP="00332C84">
      <w:pPr>
        <w:pStyle w:val="NORMAL12"/>
        <w:rPr>
          <w:lang w:val="es-ES"/>
        </w:rPr>
      </w:pPr>
    </w:p>
    <w:p w14:paraId="47724305" w14:textId="77777777" w:rsidR="009F73BD" w:rsidRDefault="009F73BD" w:rsidP="00332C84">
      <w:pPr>
        <w:pStyle w:val="NORMAL12"/>
        <w:rPr>
          <w:lang w:val="es-ES"/>
        </w:rPr>
      </w:pPr>
    </w:p>
    <w:p w14:paraId="0581E9C4" w14:textId="77777777" w:rsidR="009F73BD" w:rsidRDefault="009F73BD" w:rsidP="00332C84">
      <w:pPr>
        <w:pStyle w:val="NORMAL12"/>
        <w:rPr>
          <w:lang w:val="es-ES"/>
        </w:rPr>
      </w:pPr>
    </w:p>
    <w:p w14:paraId="63F1BA99" w14:textId="77777777" w:rsidR="00332C84" w:rsidRPr="009F73BD" w:rsidRDefault="00332C84" w:rsidP="000313DD">
      <w:pPr>
        <w:pStyle w:val="TITU2"/>
      </w:pPr>
      <w:bookmarkStart w:id="422" w:name="_Toc404215"/>
      <w:r w:rsidRPr="009F73BD">
        <w:lastRenderedPageBreak/>
        <w:t>40</w:t>
      </w:r>
      <w:r w:rsidR="009F73BD" w:rsidRPr="009F73BD">
        <w:t>1</w:t>
      </w:r>
      <w:r w:rsidR="006B2AC6">
        <w:t>b</w:t>
      </w:r>
      <w:r w:rsidRPr="009F73BD">
        <w:t>.4. Medición y abono</w:t>
      </w:r>
      <w:bookmarkEnd w:id="422"/>
    </w:p>
    <w:p w14:paraId="4B907AD7" w14:textId="77777777" w:rsidR="00332C84" w:rsidRPr="009F73BD" w:rsidRDefault="00332C84" w:rsidP="00332C84">
      <w:pPr>
        <w:pStyle w:val="NORMAL12"/>
        <w:rPr>
          <w:lang w:val="es-ES"/>
        </w:rPr>
      </w:pPr>
      <w:r w:rsidRPr="009F73BD">
        <w:rPr>
          <w:lang w:val="es-ES"/>
        </w:rPr>
        <w:t xml:space="preserve">La medición y abono de la unidad de </w:t>
      </w:r>
      <w:r w:rsidR="00050087">
        <w:rPr>
          <w:lang w:val="es-ES"/>
        </w:rPr>
        <w:t>bajante prefabricad</w:t>
      </w:r>
      <w:r w:rsidRPr="009F73BD">
        <w:rPr>
          <w:lang w:val="es-ES"/>
        </w:rPr>
        <w:t xml:space="preserve"> se realizará según las especificaciones siguientes: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19"/>
        <w:gridCol w:w="7759"/>
      </w:tblGrid>
      <w:tr w:rsidR="006B2AC6" w:rsidRPr="009F73BD" w14:paraId="18D31526" w14:textId="77777777" w:rsidTr="00DB257E">
        <w:tc>
          <w:tcPr>
            <w:tcW w:w="0" w:type="auto"/>
            <w:vAlign w:val="center"/>
          </w:tcPr>
          <w:p w14:paraId="00C55C3B" w14:textId="77777777" w:rsidR="00332C84" w:rsidRPr="009F73BD" w:rsidRDefault="00332C84" w:rsidP="00DB257E">
            <w:pPr>
              <w:pStyle w:val="LCATabla"/>
              <w:jc w:val="center"/>
              <w:rPr>
                <w:rFonts w:ascii="Arial" w:hAnsi="Arial" w:cs="Arial"/>
                <w:b/>
                <w:bCs/>
                <w:sz w:val="20"/>
              </w:rPr>
            </w:pPr>
            <w:r w:rsidRPr="009F73BD">
              <w:rPr>
                <w:rFonts w:ascii="Arial" w:hAnsi="Arial" w:cs="Arial"/>
                <w:b/>
                <w:bCs/>
                <w:sz w:val="20"/>
              </w:rPr>
              <w:t>Unidad de medida</w:t>
            </w:r>
          </w:p>
        </w:tc>
        <w:tc>
          <w:tcPr>
            <w:tcW w:w="0" w:type="auto"/>
            <w:vAlign w:val="center"/>
          </w:tcPr>
          <w:p w14:paraId="2E6FF9E8" w14:textId="77777777" w:rsidR="00332C84" w:rsidRPr="009F73BD" w:rsidRDefault="00332C84" w:rsidP="000D77A3">
            <w:pPr>
              <w:pStyle w:val="LCATabla"/>
              <w:rPr>
                <w:rFonts w:ascii="Arial" w:hAnsi="Arial" w:cs="Arial"/>
                <w:sz w:val="20"/>
              </w:rPr>
            </w:pPr>
            <w:proofErr w:type="gramStart"/>
            <w:r w:rsidRPr="009F73BD">
              <w:rPr>
                <w:rFonts w:ascii="Arial" w:hAnsi="Arial" w:cs="Arial"/>
                <w:sz w:val="20"/>
              </w:rPr>
              <w:t>Metro  (</w:t>
            </w:r>
            <w:proofErr w:type="gramEnd"/>
            <w:r w:rsidRPr="009F73BD">
              <w:rPr>
                <w:rFonts w:ascii="Arial" w:hAnsi="Arial" w:cs="Arial"/>
                <w:sz w:val="20"/>
              </w:rPr>
              <w:t>m)</w:t>
            </w:r>
          </w:p>
        </w:tc>
      </w:tr>
      <w:tr w:rsidR="006B2AC6" w:rsidRPr="009F73BD" w14:paraId="680EC6EF" w14:textId="77777777" w:rsidTr="00DB257E">
        <w:tc>
          <w:tcPr>
            <w:tcW w:w="0" w:type="auto"/>
            <w:vAlign w:val="center"/>
          </w:tcPr>
          <w:p w14:paraId="74DF05F1" w14:textId="77777777" w:rsidR="00332C84" w:rsidRPr="009F73BD" w:rsidRDefault="00332C84" w:rsidP="00DB257E">
            <w:pPr>
              <w:pStyle w:val="LCATabla"/>
              <w:jc w:val="center"/>
              <w:rPr>
                <w:rFonts w:ascii="Arial" w:hAnsi="Arial" w:cs="Arial"/>
                <w:b/>
                <w:bCs/>
                <w:sz w:val="20"/>
              </w:rPr>
            </w:pPr>
            <w:r w:rsidRPr="009F73BD">
              <w:rPr>
                <w:rFonts w:ascii="Arial" w:hAnsi="Arial" w:cs="Arial"/>
                <w:b/>
                <w:bCs/>
                <w:sz w:val="20"/>
              </w:rPr>
              <w:t>Grado de precisión</w:t>
            </w:r>
          </w:p>
        </w:tc>
        <w:tc>
          <w:tcPr>
            <w:tcW w:w="0" w:type="auto"/>
            <w:vAlign w:val="center"/>
          </w:tcPr>
          <w:p w14:paraId="2AF3DA69" w14:textId="77777777" w:rsidR="00332C84" w:rsidRPr="009F73BD" w:rsidRDefault="00332C84" w:rsidP="00DB257E">
            <w:pPr>
              <w:pStyle w:val="LCATabla"/>
              <w:rPr>
                <w:rFonts w:ascii="Arial" w:hAnsi="Arial" w:cs="Arial"/>
                <w:sz w:val="20"/>
              </w:rPr>
            </w:pPr>
            <w:r w:rsidRPr="009F73BD">
              <w:rPr>
                <w:rFonts w:ascii="Arial" w:hAnsi="Arial" w:cs="Arial"/>
                <w:sz w:val="20"/>
              </w:rPr>
              <w:t>Dos decimales</w:t>
            </w:r>
          </w:p>
        </w:tc>
      </w:tr>
      <w:tr w:rsidR="006B2AC6" w:rsidRPr="009F73BD" w14:paraId="613BA0AE" w14:textId="77777777" w:rsidTr="00DB257E">
        <w:trPr>
          <w:trHeight w:val="238"/>
        </w:trPr>
        <w:tc>
          <w:tcPr>
            <w:tcW w:w="0" w:type="auto"/>
            <w:vAlign w:val="center"/>
          </w:tcPr>
          <w:p w14:paraId="19F2A208" w14:textId="77777777" w:rsidR="00332C84" w:rsidRPr="009F73BD" w:rsidRDefault="00332C84" w:rsidP="00DB257E">
            <w:pPr>
              <w:pStyle w:val="LCATabla"/>
              <w:jc w:val="center"/>
              <w:rPr>
                <w:rFonts w:ascii="Arial" w:hAnsi="Arial" w:cs="Arial"/>
                <w:b/>
                <w:bCs/>
                <w:sz w:val="20"/>
              </w:rPr>
            </w:pPr>
            <w:r w:rsidRPr="009F73BD">
              <w:rPr>
                <w:rFonts w:ascii="Arial" w:hAnsi="Arial" w:cs="Arial"/>
                <w:b/>
                <w:bCs/>
                <w:sz w:val="20"/>
              </w:rPr>
              <w:t>Forma de medición</w:t>
            </w:r>
          </w:p>
        </w:tc>
        <w:tc>
          <w:tcPr>
            <w:tcW w:w="0" w:type="auto"/>
            <w:vAlign w:val="center"/>
          </w:tcPr>
          <w:p w14:paraId="0C3ED344" w14:textId="77777777" w:rsidR="00332C84" w:rsidRPr="009F73BD" w:rsidRDefault="000D77A3" w:rsidP="00DB257E">
            <w:pPr>
              <w:pStyle w:val="LCATabla"/>
              <w:rPr>
                <w:rFonts w:ascii="Arial" w:hAnsi="Arial" w:cs="Arial"/>
                <w:sz w:val="20"/>
              </w:rPr>
            </w:pPr>
            <w:r w:rsidRPr="009F73BD">
              <w:rPr>
                <w:rFonts w:ascii="Arial" w:hAnsi="Arial" w:cs="Arial"/>
                <w:sz w:val="20"/>
              </w:rPr>
              <w:t>Longitud de la bajante realmente ejecutada.</w:t>
            </w:r>
          </w:p>
        </w:tc>
      </w:tr>
      <w:tr w:rsidR="006B2AC6" w:rsidRPr="009F73BD" w14:paraId="528ACDB1" w14:textId="77777777" w:rsidTr="00DB257E">
        <w:tc>
          <w:tcPr>
            <w:tcW w:w="0" w:type="auto"/>
            <w:vAlign w:val="center"/>
          </w:tcPr>
          <w:p w14:paraId="47903044" w14:textId="77777777" w:rsidR="00332C84" w:rsidRPr="009F73BD" w:rsidRDefault="00332C84" w:rsidP="00DB257E">
            <w:pPr>
              <w:pStyle w:val="LCATabla"/>
              <w:jc w:val="center"/>
              <w:rPr>
                <w:rFonts w:ascii="Arial" w:hAnsi="Arial" w:cs="Arial"/>
                <w:b/>
                <w:bCs/>
                <w:sz w:val="20"/>
              </w:rPr>
            </w:pPr>
            <w:r w:rsidRPr="009F73BD">
              <w:rPr>
                <w:rFonts w:ascii="Arial" w:hAnsi="Arial" w:cs="Arial"/>
                <w:b/>
                <w:bCs/>
                <w:sz w:val="20"/>
              </w:rPr>
              <w:t>Abono</w:t>
            </w:r>
          </w:p>
        </w:tc>
        <w:tc>
          <w:tcPr>
            <w:tcW w:w="0" w:type="auto"/>
            <w:vAlign w:val="center"/>
          </w:tcPr>
          <w:p w14:paraId="0198809E" w14:textId="77777777" w:rsidR="00332C84" w:rsidRPr="009F73BD" w:rsidRDefault="00332C84" w:rsidP="00DB257E">
            <w:pPr>
              <w:pStyle w:val="LCATabla"/>
              <w:rPr>
                <w:rFonts w:ascii="Arial" w:hAnsi="Arial" w:cs="Arial"/>
                <w:sz w:val="20"/>
              </w:rPr>
            </w:pPr>
            <w:r w:rsidRPr="009F73BD">
              <w:rPr>
                <w:rFonts w:ascii="Arial" w:hAnsi="Arial" w:cs="Arial"/>
                <w:sz w:val="20"/>
              </w:rPr>
              <w:t>Se efectuará cuando se realice la aceptación</w:t>
            </w:r>
          </w:p>
        </w:tc>
      </w:tr>
      <w:tr w:rsidR="006B2AC6" w:rsidRPr="009F73BD" w14:paraId="009A3849" w14:textId="77777777" w:rsidTr="00DB257E">
        <w:tc>
          <w:tcPr>
            <w:tcW w:w="0" w:type="auto"/>
            <w:vAlign w:val="center"/>
          </w:tcPr>
          <w:p w14:paraId="3201E428" w14:textId="77777777" w:rsidR="00332C84" w:rsidRPr="009F73BD" w:rsidRDefault="00332C84" w:rsidP="00DB257E">
            <w:pPr>
              <w:pStyle w:val="LCATabla"/>
              <w:jc w:val="center"/>
              <w:rPr>
                <w:rFonts w:ascii="Arial" w:hAnsi="Arial" w:cs="Arial"/>
                <w:b/>
                <w:bCs/>
                <w:sz w:val="20"/>
              </w:rPr>
            </w:pPr>
            <w:r w:rsidRPr="009F73BD">
              <w:rPr>
                <w:rFonts w:ascii="Arial" w:hAnsi="Arial" w:cs="Arial"/>
                <w:b/>
                <w:bCs/>
                <w:sz w:val="20"/>
              </w:rPr>
              <w:t>Criterios complementarios</w:t>
            </w:r>
          </w:p>
        </w:tc>
        <w:tc>
          <w:tcPr>
            <w:tcW w:w="0" w:type="auto"/>
            <w:vAlign w:val="center"/>
          </w:tcPr>
          <w:p w14:paraId="0D9AA435" w14:textId="77777777" w:rsidR="00332C84" w:rsidRPr="009F73BD" w:rsidRDefault="00332C84" w:rsidP="009F73BD">
            <w:pPr>
              <w:pStyle w:val="LCATabla"/>
              <w:jc w:val="both"/>
              <w:rPr>
                <w:rFonts w:ascii="Arial" w:hAnsi="Arial" w:cs="Arial"/>
                <w:sz w:val="20"/>
              </w:rPr>
            </w:pPr>
            <w:r w:rsidRPr="009F73BD">
              <w:rPr>
                <w:rFonts w:ascii="Arial" w:hAnsi="Arial" w:cs="Arial"/>
                <w:sz w:val="20"/>
              </w:rPr>
              <w:t>El precio incluye la excavación,</w:t>
            </w:r>
            <w:r w:rsidR="009F73BD">
              <w:rPr>
                <w:rFonts w:ascii="Arial" w:hAnsi="Arial" w:cs="Arial"/>
                <w:sz w:val="20"/>
              </w:rPr>
              <w:t xml:space="preserve"> la capa de asiento de hormigón</w:t>
            </w:r>
            <w:r w:rsidRPr="009F73BD">
              <w:rPr>
                <w:rFonts w:ascii="Arial" w:hAnsi="Arial" w:cs="Arial"/>
                <w:sz w:val="20"/>
              </w:rPr>
              <w:t xml:space="preserve">, </w:t>
            </w:r>
            <w:r w:rsidR="000D77A3" w:rsidRPr="009F73BD">
              <w:rPr>
                <w:rFonts w:ascii="Arial" w:hAnsi="Arial" w:cs="Arial"/>
                <w:sz w:val="20"/>
              </w:rPr>
              <w:t>colocación de la pieza,</w:t>
            </w:r>
            <w:r w:rsidR="009F73BD">
              <w:rPr>
                <w:rFonts w:ascii="Arial" w:hAnsi="Arial" w:cs="Arial"/>
                <w:sz w:val="20"/>
              </w:rPr>
              <w:t xml:space="preserve"> </w:t>
            </w:r>
            <w:r w:rsidRPr="009F73BD">
              <w:rPr>
                <w:rFonts w:ascii="Arial" w:hAnsi="Arial" w:cs="Arial"/>
                <w:sz w:val="20"/>
              </w:rPr>
              <w:t>ejecución de juntas</w:t>
            </w:r>
            <w:r w:rsidR="009F73BD">
              <w:rPr>
                <w:rFonts w:ascii="Arial" w:hAnsi="Arial" w:cs="Arial"/>
                <w:sz w:val="20"/>
              </w:rPr>
              <w:t xml:space="preserve"> entre piezas y de dilación</w:t>
            </w:r>
            <w:r w:rsidRPr="009F73BD">
              <w:rPr>
                <w:rFonts w:ascii="Arial" w:hAnsi="Arial" w:cs="Arial"/>
                <w:sz w:val="20"/>
              </w:rPr>
              <w:t>, relleno y sellado de las mismas</w:t>
            </w:r>
            <w:r w:rsidR="006B2AC6">
              <w:rPr>
                <w:rFonts w:ascii="Arial" w:hAnsi="Arial" w:cs="Arial"/>
                <w:sz w:val="20"/>
              </w:rPr>
              <w:t>, y la parte proporcional de embocaduras y remates</w:t>
            </w:r>
            <w:r w:rsidRPr="009F73BD">
              <w:rPr>
                <w:rFonts w:ascii="Arial" w:hAnsi="Arial" w:cs="Arial"/>
                <w:sz w:val="20"/>
              </w:rPr>
              <w:t>. La carga y transporte del material sobrante a instalación de gestión de residuos.</w:t>
            </w:r>
          </w:p>
        </w:tc>
      </w:tr>
    </w:tbl>
    <w:p w14:paraId="376DF062" w14:textId="77777777" w:rsidR="00EF2105" w:rsidRPr="00CE424A" w:rsidRDefault="00D61146" w:rsidP="006F6223">
      <w:pPr>
        <w:pStyle w:val="TITU1"/>
      </w:pPr>
      <w:bookmarkStart w:id="423" w:name="_Toc404216"/>
      <w:r>
        <w:lastRenderedPageBreak/>
        <w:t>Artículo 410.</w:t>
      </w:r>
      <w:r w:rsidR="00EF2105" w:rsidRPr="00CE424A">
        <w:t xml:space="preserve"> Arquetas y pozos de registro</w:t>
      </w:r>
      <w:bookmarkEnd w:id="423"/>
    </w:p>
    <w:p w14:paraId="0FABAB5C" w14:textId="77777777" w:rsidR="001936C1" w:rsidRPr="00F803A4" w:rsidRDefault="001936C1" w:rsidP="001936C1">
      <w:pPr>
        <w:pStyle w:val="NORMAL12"/>
        <w:rPr>
          <w:lang w:val="es-ES"/>
        </w:rPr>
      </w:pPr>
      <w:r w:rsidRPr="00F803A4">
        <w:rPr>
          <w:lang w:val="es-ES"/>
        </w:rPr>
        <w:t xml:space="preserve">Excepto para lo especificado en el presente Pliego de Prescripciones Técnicas particulares se seguirá lo prescrito en el vigente artículo </w:t>
      </w:r>
      <w:r>
        <w:rPr>
          <w:lang w:val="es-ES"/>
        </w:rPr>
        <w:t>410</w:t>
      </w:r>
      <w:r w:rsidRPr="00F803A4">
        <w:rPr>
          <w:lang w:val="es-ES"/>
        </w:rPr>
        <w:t xml:space="preserve"> del PG-3.</w:t>
      </w:r>
    </w:p>
    <w:p w14:paraId="47D99980" w14:textId="77777777" w:rsidR="00EF2105" w:rsidRPr="00034D35" w:rsidRDefault="00172482" w:rsidP="000313DD">
      <w:pPr>
        <w:pStyle w:val="TITU2"/>
      </w:pPr>
      <w:bookmarkStart w:id="424" w:name="_Toc404217"/>
      <w:r w:rsidRPr="00034D35">
        <w:t>410.1. Definición. Aplicación</w:t>
      </w:r>
      <w:bookmarkEnd w:id="424"/>
    </w:p>
    <w:p w14:paraId="01E29C5E" w14:textId="77777777" w:rsidR="00074497" w:rsidRPr="00034D35" w:rsidRDefault="00074497" w:rsidP="00074497">
      <w:pPr>
        <w:pStyle w:val="NORMAL12"/>
        <w:rPr>
          <w:lang w:val="es-ES"/>
        </w:rPr>
      </w:pPr>
      <w:r w:rsidRPr="00034D35">
        <w:rPr>
          <w:lang w:val="es-ES"/>
        </w:rPr>
        <w:t>La arqueta es un dispositivo en forma de caja para la recogida de agua de las cunetas o de las tuberías de drenaje del proyecto y su posterior entrega a un desagüe.</w:t>
      </w:r>
    </w:p>
    <w:p w14:paraId="6D9585F5" w14:textId="77777777" w:rsidR="00074497" w:rsidRPr="00034D35" w:rsidRDefault="00074497" w:rsidP="00A35F35">
      <w:pPr>
        <w:pStyle w:val="NORMAL12"/>
        <w:rPr>
          <w:lang w:val="es-ES"/>
        </w:rPr>
      </w:pPr>
      <w:r w:rsidRPr="00034D35">
        <w:rPr>
          <w:lang w:val="es-ES"/>
        </w:rPr>
        <w:t>Las arquetas se construirán con las formas y dimensiones indi</w:t>
      </w:r>
      <w:r w:rsidRPr="00034D35">
        <w:rPr>
          <w:lang w:val="es-ES"/>
        </w:rPr>
        <w:softHyphen/>
        <w:t>cadas en los planos, su emplazamiento y cota serán los indi</w:t>
      </w:r>
      <w:r w:rsidRPr="00034D35">
        <w:rPr>
          <w:lang w:val="es-ES"/>
        </w:rPr>
        <w:softHyphen/>
        <w:t>cados en los mismos.</w:t>
      </w:r>
    </w:p>
    <w:p w14:paraId="1C40F09C" w14:textId="77777777" w:rsidR="00B5644C" w:rsidRPr="00074497" w:rsidRDefault="00B5644C" w:rsidP="00B5644C">
      <w:pPr>
        <w:pStyle w:val="NORMAL12"/>
        <w:rPr>
          <w:lang w:val="es-ES"/>
        </w:rPr>
      </w:pPr>
      <w:r w:rsidRPr="00034D35">
        <w:rPr>
          <w:lang w:val="es-ES"/>
        </w:rPr>
        <w:t>Pozo de registro es una arqueta visitable de</w:t>
      </w:r>
      <w:r w:rsidRPr="00074497">
        <w:rPr>
          <w:lang w:val="es-ES"/>
        </w:rPr>
        <w:t xml:space="preserve"> más de metro y medio (1,5 m) de profundidad.</w:t>
      </w:r>
    </w:p>
    <w:p w14:paraId="025B4ABF" w14:textId="77777777" w:rsidR="00C36ABC" w:rsidRPr="00034D35" w:rsidRDefault="00C36ABC" w:rsidP="00C36ABC">
      <w:pPr>
        <w:pStyle w:val="NORMAL12"/>
        <w:rPr>
          <w:strike/>
          <w:lang w:val="es-ES"/>
        </w:rPr>
      </w:pPr>
      <w:r w:rsidRPr="00240936">
        <w:rPr>
          <w:lang w:val="es-ES"/>
        </w:rPr>
        <w:t xml:space="preserve">Las prescripciones del presente artículo </w:t>
      </w:r>
      <w:proofErr w:type="gramStart"/>
      <w:r w:rsidRPr="00240936">
        <w:rPr>
          <w:lang w:val="es-ES"/>
        </w:rPr>
        <w:t>son de ap</w:t>
      </w:r>
      <w:r w:rsidR="00DC5083">
        <w:rPr>
          <w:lang w:val="es-ES"/>
        </w:rPr>
        <w:t>licación</w:t>
      </w:r>
      <w:proofErr w:type="gramEnd"/>
      <w:r w:rsidR="00DC5083">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207"/>
        <w:gridCol w:w="706"/>
        <w:gridCol w:w="7865"/>
      </w:tblGrid>
      <w:tr w:rsidR="005864C2" w:rsidRPr="00A76B28" w14:paraId="246DB7BE" w14:textId="77777777" w:rsidTr="00D61146">
        <w:trPr>
          <w:trHeight w:val="300"/>
        </w:trPr>
        <w:tc>
          <w:tcPr>
            <w:tcW w:w="617" w:type="pct"/>
            <w:noWrap/>
          </w:tcPr>
          <w:p w14:paraId="034F2C1A" w14:textId="77777777" w:rsidR="00365AED" w:rsidRPr="00050087" w:rsidRDefault="00365AED">
            <w:pPr>
              <w:rPr>
                <w:rFonts w:ascii="Calibri" w:hAnsi="Calibri"/>
              </w:rPr>
            </w:pPr>
            <w:r w:rsidRPr="00050087">
              <w:rPr>
                <w:rFonts w:ascii="Calibri" w:hAnsi="Calibri"/>
              </w:rPr>
              <w:t xml:space="preserve">410.0030          </w:t>
            </w:r>
          </w:p>
        </w:tc>
        <w:tc>
          <w:tcPr>
            <w:tcW w:w="361" w:type="pct"/>
            <w:noWrap/>
          </w:tcPr>
          <w:p w14:paraId="0F5B8318" w14:textId="77777777" w:rsidR="00365AED" w:rsidRPr="00050087" w:rsidRDefault="00365AED">
            <w:pPr>
              <w:rPr>
                <w:rFonts w:ascii="Calibri" w:hAnsi="Calibri"/>
              </w:rPr>
            </w:pPr>
            <w:r w:rsidRPr="00050087">
              <w:rPr>
                <w:rFonts w:ascii="Calibri" w:hAnsi="Calibri"/>
              </w:rPr>
              <w:t>m</w:t>
            </w:r>
            <w:r w:rsidRPr="00050087">
              <w:rPr>
                <w:rFonts w:ascii="Calibri" w:hAnsi="Calibri"/>
                <w:vertAlign w:val="superscript"/>
              </w:rPr>
              <w:t>3</w:t>
            </w:r>
          </w:p>
        </w:tc>
        <w:tc>
          <w:tcPr>
            <w:tcW w:w="4022" w:type="pct"/>
          </w:tcPr>
          <w:p w14:paraId="44C0E92F" w14:textId="77777777" w:rsidR="00707B9C" w:rsidRPr="00050087" w:rsidRDefault="00707B9C" w:rsidP="002A67A1">
            <w:pPr>
              <w:jc w:val="both"/>
              <w:rPr>
                <w:rFonts w:ascii="Calibri" w:hAnsi="Calibri"/>
              </w:rPr>
            </w:pPr>
            <w:r w:rsidRPr="00050087">
              <w:rPr>
                <w:rFonts w:ascii="Calibri" w:hAnsi="Calibri"/>
              </w:rPr>
              <w:t>HORMIGÓN ARMADO HA-25 EN FORMACIÓN DE ARQUETAS, BAJANTES, EMBOCADURAS Y POZOS DE REGISTRO (TANTO "IN SITU" COMO PREFABRICADOS) CON UNA CUANTÍA DE ACERO SUPERIOR A 40 kg/m³ i/ ENCOFRADO, FRATASADO, ACABADOS, JUNTAS, CERCO Y TAPA.</w:t>
            </w:r>
          </w:p>
          <w:p w14:paraId="37BE8E81" w14:textId="77777777" w:rsidR="00365AED" w:rsidRPr="00050087" w:rsidRDefault="00365AED" w:rsidP="002A67A1">
            <w:pPr>
              <w:jc w:val="both"/>
              <w:rPr>
                <w:rFonts w:ascii="Calibri" w:hAnsi="Calibri"/>
              </w:rPr>
            </w:pPr>
          </w:p>
        </w:tc>
      </w:tr>
      <w:tr w:rsidR="00782D1A" w:rsidRPr="00A76B28" w14:paraId="2CAC08D5" w14:textId="77777777" w:rsidTr="00D61146">
        <w:trPr>
          <w:trHeight w:val="300"/>
        </w:trPr>
        <w:tc>
          <w:tcPr>
            <w:tcW w:w="617" w:type="pct"/>
            <w:noWrap/>
          </w:tcPr>
          <w:p w14:paraId="202EB570" w14:textId="77777777" w:rsidR="00782D1A" w:rsidRPr="00050087" w:rsidRDefault="00782D1A" w:rsidP="001E6CAF">
            <w:pPr>
              <w:rPr>
                <w:rFonts w:ascii="Calibri" w:hAnsi="Calibri"/>
                <w:color w:val="000000"/>
              </w:rPr>
            </w:pPr>
            <w:r w:rsidRPr="00050087">
              <w:rPr>
                <w:rFonts w:ascii="Calibri" w:hAnsi="Calibri"/>
                <w:color w:val="000000"/>
              </w:rPr>
              <w:t xml:space="preserve">410.0001N         </w:t>
            </w:r>
          </w:p>
        </w:tc>
        <w:tc>
          <w:tcPr>
            <w:tcW w:w="361" w:type="pct"/>
            <w:noWrap/>
          </w:tcPr>
          <w:p w14:paraId="3AF3531E" w14:textId="77777777" w:rsidR="00782D1A" w:rsidRPr="00050087" w:rsidRDefault="00782D1A" w:rsidP="001E6CAF">
            <w:pPr>
              <w:rPr>
                <w:rFonts w:ascii="Calibri" w:hAnsi="Calibri"/>
                <w:color w:val="000000"/>
              </w:rPr>
            </w:pPr>
            <w:proofErr w:type="spellStart"/>
            <w:r w:rsidRPr="00050087">
              <w:rPr>
                <w:rFonts w:ascii="Calibri" w:hAnsi="Calibri"/>
                <w:color w:val="000000"/>
              </w:rPr>
              <w:t>ud</w:t>
            </w:r>
            <w:proofErr w:type="spellEnd"/>
          </w:p>
        </w:tc>
        <w:tc>
          <w:tcPr>
            <w:tcW w:w="4022" w:type="pct"/>
          </w:tcPr>
          <w:p w14:paraId="23C8800A" w14:textId="77777777" w:rsidR="00D97D43" w:rsidRPr="00050087" w:rsidRDefault="00D97D43" w:rsidP="00D97D43">
            <w:pPr>
              <w:jc w:val="both"/>
              <w:rPr>
                <w:rFonts w:ascii="Calibri" w:hAnsi="Calibri"/>
                <w:color w:val="000000"/>
              </w:rPr>
            </w:pPr>
            <w:r w:rsidRPr="00050087">
              <w:rPr>
                <w:rFonts w:ascii="Calibri" w:hAnsi="Calibri"/>
                <w:color w:val="000000"/>
              </w:rPr>
              <w:t>ARQUETA SUMIDERO SIFÓNICA DE 30X30 CM. DE SECCIÓN ÚTIL, CONSTRUIDA CON HORMIGÓN HM-20, COLOCADA SOBRE SOLERA DE HORMIGÓN EN MASA HM-20/P/40/I DE 10 CM DE ESPESOR, INCLUSO CON REJILLA PLANA DESMONTABLE DE FUNDICIÓN DÚCTIL Y CERCO DE PERFIL L, TERMINADA Y CON P.P. DE MEDIOS AUXILIARES, TOTALMENTE TERMINADA.</w:t>
            </w:r>
          </w:p>
          <w:p w14:paraId="5DE4C6D0" w14:textId="77777777" w:rsidR="00782D1A" w:rsidRPr="00050087" w:rsidRDefault="00782D1A" w:rsidP="001E6CAF">
            <w:pPr>
              <w:rPr>
                <w:rFonts w:ascii="Calibri" w:hAnsi="Calibri"/>
                <w:color w:val="000000"/>
              </w:rPr>
            </w:pPr>
          </w:p>
        </w:tc>
      </w:tr>
    </w:tbl>
    <w:p w14:paraId="5EDBA31A" w14:textId="77777777" w:rsidR="00074497" w:rsidRPr="00074497" w:rsidRDefault="00074497" w:rsidP="0081264B">
      <w:pPr>
        <w:pStyle w:val="NORMAL12"/>
        <w:rPr>
          <w:lang w:val="es-ES"/>
        </w:rPr>
      </w:pPr>
      <w:r w:rsidRPr="00074497">
        <w:rPr>
          <w:lang w:val="es-ES"/>
        </w:rPr>
        <w:t>La ejecución de la unidad de obra incluye la realización de las operaciones siguientes:</w:t>
      </w:r>
    </w:p>
    <w:p w14:paraId="2B0D007A" w14:textId="77777777" w:rsidR="00074497" w:rsidRPr="00074497" w:rsidRDefault="00074497" w:rsidP="00E01981">
      <w:pPr>
        <w:pStyle w:val="NORMAL12"/>
        <w:numPr>
          <w:ilvl w:val="0"/>
          <w:numId w:val="91"/>
        </w:numPr>
        <w:rPr>
          <w:lang w:val="es-ES"/>
        </w:rPr>
      </w:pPr>
      <w:r w:rsidRPr="00074497">
        <w:rPr>
          <w:lang w:val="es-ES"/>
        </w:rPr>
        <w:t>La excavación de la zanja necesaria para realizar las actividades constructivas propias de la estructura, rellenos y similares.</w:t>
      </w:r>
    </w:p>
    <w:p w14:paraId="2CD80E9B" w14:textId="77777777" w:rsidR="00074497" w:rsidRPr="00074497" w:rsidRDefault="00074497" w:rsidP="00E01981">
      <w:pPr>
        <w:pStyle w:val="NORMAL12"/>
        <w:numPr>
          <w:ilvl w:val="0"/>
          <w:numId w:val="91"/>
        </w:numPr>
        <w:rPr>
          <w:lang w:val="es-ES"/>
        </w:rPr>
      </w:pPr>
      <w:r w:rsidRPr="00074497">
        <w:rPr>
          <w:lang w:val="es-ES"/>
        </w:rPr>
        <w:t>El hormigón, puesta en obra y nivelación de la solera de asiento</w:t>
      </w:r>
    </w:p>
    <w:p w14:paraId="77B51251" w14:textId="77777777" w:rsidR="00074497" w:rsidRPr="00074497" w:rsidRDefault="00074497" w:rsidP="00E01981">
      <w:pPr>
        <w:pStyle w:val="NORMAL12"/>
        <w:numPr>
          <w:ilvl w:val="0"/>
          <w:numId w:val="91"/>
        </w:numPr>
        <w:rPr>
          <w:lang w:val="es-ES"/>
        </w:rPr>
      </w:pPr>
      <w:r w:rsidRPr="00074497">
        <w:rPr>
          <w:lang w:val="es-ES"/>
        </w:rPr>
        <w:t>El suministro y colocación de los pates, el marco y de la tapa o rejilla de fundición dúctil</w:t>
      </w:r>
    </w:p>
    <w:p w14:paraId="788CAE99" w14:textId="77777777" w:rsidR="00074497" w:rsidRPr="00074497" w:rsidRDefault="00074497" w:rsidP="00E01981">
      <w:pPr>
        <w:pStyle w:val="NORMAL12"/>
        <w:numPr>
          <w:ilvl w:val="0"/>
          <w:numId w:val="91"/>
        </w:numPr>
        <w:rPr>
          <w:lang w:val="es-ES"/>
        </w:rPr>
      </w:pPr>
      <w:r w:rsidRPr="00074497">
        <w:rPr>
          <w:lang w:val="es-ES"/>
        </w:rPr>
        <w:t>El hormigón armado, encofrado y moldes de requerirse, el desencofrado, etc.</w:t>
      </w:r>
    </w:p>
    <w:p w14:paraId="4813297B" w14:textId="77777777" w:rsidR="00074497" w:rsidRPr="00074497" w:rsidRDefault="00074497" w:rsidP="00E01981">
      <w:pPr>
        <w:pStyle w:val="NORMAL12"/>
        <w:numPr>
          <w:ilvl w:val="0"/>
          <w:numId w:val="91"/>
        </w:numPr>
        <w:rPr>
          <w:lang w:val="es-ES"/>
        </w:rPr>
      </w:pPr>
      <w:r w:rsidRPr="00074497">
        <w:rPr>
          <w:lang w:val="es-ES"/>
        </w:rPr>
        <w:t>Rellenos localizados.</w:t>
      </w:r>
    </w:p>
    <w:p w14:paraId="222B1DF1" w14:textId="77777777" w:rsidR="00074497" w:rsidRPr="00074497" w:rsidRDefault="00074497" w:rsidP="00E01981">
      <w:pPr>
        <w:pStyle w:val="NORMAL12"/>
        <w:numPr>
          <w:ilvl w:val="0"/>
          <w:numId w:val="91"/>
        </w:numPr>
        <w:rPr>
          <w:lang w:val="es-ES"/>
        </w:rPr>
      </w:pPr>
      <w:r w:rsidRPr="00074497">
        <w:rPr>
          <w:lang w:val="es-ES"/>
        </w:rPr>
        <w:t>Elaboración de medidas correctoras del impacto.</w:t>
      </w:r>
    </w:p>
    <w:p w14:paraId="6B285A40" w14:textId="77777777" w:rsidR="00074497" w:rsidRPr="00034D35" w:rsidRDefault="00074497" w:rsidP="00E01981">
      <w:pPr>
        <w:pStyle w:val="NORMAL12"/>
        <w:numPr>
          <w:ilvl w:val="0"/>
          <w:numId w:val="91"/>
        </w:numPr>
        <w:rPr>
          <w:lang w:val="es-ES"/>
        </w:rPr>
      </w:pPr>
      <w:r w:rsidRPr="00074497">
        <w:rPr>
          <w:lang w:val="es-ES"/>
        </w:rPr>
        <w:t xml:space="preserve">Cualquier trabajo, maquinaria, material o elemento necesario para la correcta </w:t>
      </w:r>
      <w:r w:rsidRPr="00034D35">
        <w:rPr>
          <w:lang w:val="es-ES"/>
        </w:rPr>
        <w:t>ejecución de esta unidad de obra.</w:t>
      </w:r>
    </w:p>
    <w:p w14:paraId="061B2FD5" w14:textId="77777777" w:rsidR="007D7624" w:rsidRPr="00034D35" w:rsidRDefault="007D7624" w:rsidP="0081264B">
      <w:pPr>
        <w:pStyle w:val="NORMAL12"/>
        <w:rPr>
          <w:lang w:val="es-ES"/>
        </w:rPr>
      </w:pPr>
      <w:r w:rsidRPr="00050087">
        <w:rPr>
          <w:lang w:val="es-ES"/>
        </w:rPr>
        <w:t xml:space="preserve">El material constituyente </w:t>
      </w:r>
      <w:r w:rsidR="00B5644C" w:rsidRPr="00050087">
        <w:rPr>
          <w:lang w:val="es-ES"/>
        </w:rPr>
        <w:t>es el hormigón. Se podrán emplear elementos de otro material siempre y cuando cumplan con lo previsto en el proyecto y estén aprobados por e</w:t>
      </w:r>
      <w:r w:rsidR="00034D35" w:rsidRPr="00050087">
        <w:rPr>
          <w:lang w:val="es-ES"/>
        </w:rPr>
        <w:t xml:space="preserve">l </w:t>
      </w:r>
      <w:proofErr w:type="gramStart"/>
      <w:r w:rsidR="00034D35" w:rsidRPr="00050087">
        <w:rPr>
          <w:lang w:val="es-ES"/>
        </w:rPr>
        <w:t>Director</w:t>
      </w:r>
      <w:proofErr w:type="gramEnd"/>
      <w:r w:rsidR="00034D35" w:rsidRPr="00050087">
        <w:rPr>
          <w:lang w:val="es-ES"/>
        </w:rPr>
        <w:t xml:space="preserve"> de las Obras</w:t>
      </w:r>
      <w:r w:rsidR="0064069E" w:rsidRPr="00050087">
        <w:rPr>
          <w:lang w:val="es-ES"/>
        </w:rPr>
        <w:t xml:space="preserve">. Las tapas o </w:t>
      </w:r>
      <w:r w:rsidR="00217216" w:rsidRPr="00050087">
        <w:rPr>
          <w:lang w:val="es-ES"/>
        </w:rPr>
        <w:t>rejillas</w:t>
      </w:r>
      <w:r w:rsidR="0064069E" w:rsidRPr="00050087">
        <w:rPr>
          <w:lang w:val="es-ES"/>
        </w:rPr>
        <w:t xml:space="preserve"> tendrán la resistencia sufi</w:t>
      </w:r>
      <w:r w:rsidR="00217216">
        <w:rPr>
          <w:lang w:val="es-ES"/>
        </w:rPr>
        <w:t>cie</w:t>
      </w:r>
      <w:r w:rsidR="0064069E" w:rsidRPr="00050087">
        <w:rPr>
          <w:lang w:val="es-ES"/>
        </w:rPr>
        <w:t xml:space="preserve">nte al tipo de cargas que deben soportar. </w:t>
      </w:r>
    </w:p>
    <w:p w14:paraId="5C06A51E" w14:textId="77777777" w:rsidR="00EF2105" w:rsidRPr="00302DC1" w:rsidRDefault="00EF2105" w:rsidP="000313DD">
      <w:pPr>
        <w:pStyle w:val="TITU2"/>
      </w:pPr>
      <w:bookmarkStart w:id="425" w:name="_Toc404218"/>
      <w:r w:rsidRPr="00302DC1">
        <w:t>410.2. Formas y dimensiones</w:t>
      </w:r>
      <w:bookmarkEnd w:id="425"/>
    </w:p>
    <w:p w14:paraId="05F94638" w14:textId="77777777" w:rsidR="007D7624" w:rsidRPr="00302DC1" w:rsidRDefault="007D7624" w:rsidP="0081264B">
      <w:pPr>
        <w:pStyle w:val="NORMAL12"/>
        <w:rPr>
          <w:lang w:val="es-ES"/>
        </w:rPr>
      </w:pPr>
      <w:r w:rsidRPr="00302DC1">
        <w:rPr>
          <w:lang w:val="es-ES"/>
        </w:rPr>
        <w:t>La forma y dimensiones de las arquetas y de los pozos de registro, así como los materiales a utilizar, ser</w:t>
      </w:r>
      <w:r w:rsidR="00302DC1" w:rsidRPr="00302DC1">
        <w:rPr>
          <w:lang w:val="es-ES"/>
        </w:rPr>
        <w:t>án los definidos en el Proyecto para cada caso.</w:t>
      </w:r>
    </w:p>
    <w:p w14:paraId="47078F69" w14:textId="77777777" w:rsidR="00EF2105" w:rsidRDefault="00EF2105" w:rsidP="000313DD">
      <w:pPr>
        <w:pStyle w:val="TITU2"/>
      </w:pPr>
      <w:bookmarkStart w:id="426" w:name="_Toc404219"/>
      <w:r w:rsidRPr="005864C2">
        <w:t>410.3. Materiales</w:t>
      </w:r>
      <w:bookmarkEnd w:id="426"/>
    </w:p>
    <w:p w14:paraId="08158A69" w14:textId="77777777" w:rsidR="00074497" w:rsidRPr="00050087" w:rsidRDefault="00074497" w:rsidP="00074497">
      <w:pPr>
        <w:pStyle w:val="NORMAL12"/>
        <w:rPr>
          <w:lang w:val="es-ES"/>
        </w:rPr>
      </w:pPr>
      <w:r w:rsidRPr="00050087">
        <w:rPr>
          <w:lang w:val="es-ES"/>
        </w:rPr>
        <w:t>Las características de los materiales a utilizar se ajustarán a lo previsto en los planos correspondientes y con carácter general a lo especificado, en las instrucciones y normas vigentes que les afecten.</w:t>
      </w:r>
    </w:p>
    <w:p w14:paraId="3D6B9AC3" w14:textId="77777777" w:rsidR="00074497" w:rsidRPr="00050087" w:rsidRDefault="00074497" w:rsidP="00074497">
      <w:pPr>
        <w:pStyle w:val="NORMAL12"/>
        <w:rPr>
          <w:lang w:val="es-ES"/>
        </w:rPr>
      </w:pPr>
      <w:proofErr w:type="gramStart"/>
      <w:r w:rsidRPr="00050087">
        <w:rPr>
          <w:lang w:val="es-ES"/>
        </w:rPr>
        <w:t>El hormigón a utilizar</w:t>
      </w:r>
      <w:proofErr w:type="gramEnd"/>
      <w:r w:rsidRPr="00050087">
        <w:rPr>
          <w:lang w:val="es-ES"/>
        </w:rPr>
        <w:t xml:space="preserve"> será hormigón armado tipo HA-</w:t>
      </w:r>
      <w:r w:rsidR="00F027D9" w:rsidRPr="00050087">
        <w:rPr>
          <w:lang w:val="es-ES"/>
        </w:rPr>
        <w:t>25</w:t>
      </w:r>
      <w:r w:rsidRPr="00050087">
        <w:rPr>
          <w:lang w:val="es-ES"/>
        </w:rPr>
        <w:t xml:space="preserve">, y el espesor será el indicado en los planos. El hormigón de nivelación </w:t>
      </w:r>
      <w:r w:rsidR="001936C1" w:rsidRPr="00050087">
        <w:rPr>
          <w:lang w:val="es-ES"/>
        </w:rPr>
        <w:t>será</w:t>
      </w:r>
      <w:r w:rsidRPr="00050087">
        <w:rPr>
          <w:lang w:val="es-ES"/>
        </w:rPr>
        <w:t xml:space="preserve"> HM-20, cuyas características y especificaciones propias son recogidas en el artículo 610.- Hormigones perteneciente al capítulo I – Componentes, del presente Pliego (P.P.T.P.).</w:t>
      </w:r>
    </w:p>
    <w:p w14:paraId="641D02A7" w14:textId="77777777" w:rsidR="00030597" w:rsidRPr="00050087" w:rsidRDefault="00030597" w:rsidP="00074497">
      <w:pPr>
        <w:pStyle w:val="NORMAL12"/>
        <w:rPr>
          <w:lang w:val="es-ES"/>
        </w:rPr>
      </w:pPr>
      <w:r w:rsidRPr="00050087">
        <w:rPr>
          <w:lang w:val="es-ES"/>
        </w:rPr>
        <w:t>Para la arqueta sifónica el hormigón será de tipo HM-20</w:t>
      </w:r>
    </w:p>
    <w:p w14:paraId="47FBBC60" w14:textId="77777777" w:rsidR="00074497" w:rsidRPr="00050087" w:rsidRDefault="00074497" w:rsidP="00074497">
      <w:pPr>
        <w:pStyle w:val="NORMAL12"/>
        <w:rPr>
          <w:lang w:val="es-ES"/>
        </w:rPr>
      </w:pPr>
      <w:r w:rsidRPr="00050087">
        <w:rPr>
          <w:lang w:val="es-ES"/>
        </w:rPr>
        <w:t xml:space="preserve">La fundición para tapas, rejillas, pates, bastidores y anclajes, en general, cumplirán las prescripciones específicas tanto las barras corrugadas para hormigón estructural indicadas en </w:t>
      </w:r>
      <w:r w:rsidR="00FA172F" w:rsidRPr="00050087">
        <w:rPr>
          <w:lang w:val="es-ES"/>
        </w:rPr>
        <w:t xml:space="preserve">la </w:t>
      </w:r>
      <w:r w:rsidRPr="00050087">
        <w:rPr>
          <w:lang w:val="es-ES"/>
        </w:rPr>
        <w:t>vigente Instrucción EHE, así como las específicas para este tipo de obra en la UNE 36111 y UNE 36118.</w:t>
      </w:r>
    </w:p>
    <w:p w14:paraId="1F768472" w14:textId="77777777" w:rsidR="00074497" w:rsidRPr="00050087" w:rsidRDefault="00074497" w:rsidP="00074497">
      <w:pPr>
        <w:pStyle w:val="NORMAL12"/>
        <w:rPr>
          <w:lang w:val="es-ES"/>
        </w:rPr>
      </w:pPr>
      <w:r w:rsidRPr="00050087">
        <w:rPr>
          <w:lang w:val="es-ES"/>
        </w:rPr>
        <w:t>Dichos metales o barras no presentarán defectos superficiales, grietas ni sopladuras.</w:t>
      </w:r>
    </w:p>
    <w:p w14:paraId="20C3CD87" w14:textId="77777777" w:rsidR="00074497" w:rsidRPr="00050087" w:rsidRDefault="00074497" w:rsidP="00074497">
      <w:pPr>
        <w:pStyle w:val="NORMAL12"/>
        <w:rPr>
          <w:lang w:val="es-ES"/>
        </w:rPr>
      </w:pPr>
      <w:r w:rsidRPr="00050087">
        <w:rPr>
          <w:lang w:val="es-ES"/>
        </w:rPr>
        <w:t>La sección equivalente no será inferior al noventa y cinco con cinco por ciento (95,5%) de su sección nominal.</w:t>
      </w:r>
    </w:p>
    <w:p w14:paraId="12B06BCB" w14:textId="77777777" w:rsidR="00074497" w:rsidRDefault="00034D35" w:rsidP="00074497">
      <w:pPr>
        <w:pStyle w:val="NORMAL12"/>
        <w:rPr>
          <w:lang w:val="es-ES"/>
        </w:rPr>
      </w:pPr>
      <w:r w:rsidRPr="00050087">
        <w:rPr>
          <w:lang w:val="es-ES"/>
        </w:rPr>
        <w:t xml:space="preserve">Las armaduras empleadas dispondrán de la </w:t>
      </w:r>
      <w:r w:rsidR="00074497" w:rsidRPr="00050087">
        <w:rPr>
          <w:lang w:val="es-ES"/>
        </w:rPr>
        <w:t xml:space="preserve">marca de identificación </w:t>
      </w:r>
      <w:r w:rsidRPr="00050087">
        <w:rPr>
          <w:lang w:val="es-ES"/>
        </w:rPr>
        <w:t xml:space="preserve">indicada en la </w:t>
      </w:r>
      <w:r w:rsidR="00074497" w:rsidRPr="00050087">
        <w:rPr>
          <w:lang w:val="es-ES"/>
        </w:rPr>
        <w:t>Instrucción EHE, específicamente para las barras corrugadas utilizadas en el hormigón armado.</w:t>
      </w:r>
    </w:p>
    <w:p w14:paraId="1524039F" w14:textId="77777777" w:rsidR="00C9353E" w:rsidRDefault="00C9353E" w:rsidP="00074497">
      <w:pPr>
        <w:pStyle w:val="NORMAL12"/>
        <w:rPr>
          <w:lang w:val="es-ES"/>
        </w:rPr>
      </w:pPr>
      <w:r>
        <w:rPr>
          <w:lang w:val="es-ES"/>
        </w:rPr>
        <w:lastRenderedPageBreak/>
        <w:t xml:space="preserve">Las tapas y rejillas cumplirán con lo especificado en la normativa vigente, en caso de que </w:t>
      </w:r>
      <w:proofErr w:type="gramStart"/>
      <w:r>
        <w:rPr>
          <w:lang w:val="es-ES"/>
        </w:rPr>
        <w:t>puede</w:t>
      </w:r>
      <w:proofErr w:type="gramEnd"/>
      <w:r>
        <w:rPr>
          <w:lang w:val="es-ES"/>
        </w:rPr>
        <w:t xml:space="preserve"> darse la circulación de veh</w:t>
      </w:r>
      <w:r w:rsidR="0064069E">
        <w:rPr>
          <w:lang w:val="es-ES"/>
        </w:rPr>
        <w:t>ículos sobre ellas cumplirán con lo establecido en la norma 5.2. IC y serán aptas para las cargas del ve</w:t>
      </w:r>
      <w:r w:rsidR="00D36049">
        <w:rPr>
          <w:lang w:val="es-ES"/>
        </w:rPr>
        <w:t>hículo tipo D-400 según la norma UNE-EN 124-5</w:t>
      </w:r>
    </w:p>
    <w:p w14:paraId="21AB9912" w14:textId="77777777" w:rsidR="00EF2105" w:rsidRDefault="00EF2105" w:rsidP="000313DD">
      <w:pPr>
        <w:pStyle w:val="TITU2"/>
      </w:pPr>
      <w:bookmarkStart w:id="427" w:name="_Toc404220"/>
      <w:r w:rsidRPr="005864C2">
        <w:t xml:space="preserve">410.4. </w:t>
      </w:r>
      <w:r w:rsidR="00C50108" w:rsidRPr="005864C2">
        <w:t>Ejecución de las obras</w:t>
      </w:r>
      <w:bookmarkEnd w:id="427"/>
    </w:p>
    <w:p w14:paraId="4F1C04C1" w14:textId="77777777" w:rsidR="00F139D5" w:rsidRPr="00034D35" w:rsidRDefault="00F139D5" w:rsidP="00F139D5">
      <w:pPr>
        <w:pStyle w:val="NORMAL12"/>
        <w:rPr>
          <w:lang w:val="es-ES"/>
        </w:rPr>
      </w:pPr>
      <w:r w:rsidRPr="00034D35">
        <w:rPr>
          <w:lang w:val="es-ES"/>
        </w:rPr>
        <w:t>La profundidad de la excavación será la adecuada para la ejecución de la obra con las dimensiones de planos y con la adecuada regularidad en el fondo para mantener un espesor suficiente de hormigón de limpieza.</w:t>
      </w:r>
    </w:p>
    <w:p w14:paraId="00EF4951" w14:textId="77777777" w:rsidR="00074497" w:rsidRPr="00034D35" w:rsidRDefault="00074497" w:rsidP="003C2775">
      <w:pPr>
        <w:pStyle w:val="NORMAL12"/>
        <w:rPr>
          <w:lang w:val="es-ES"/>
        </w:rPr>
      </w:pPr>
      <w:r w:rsidRPr="00034D35">
        <w:rPr>
          <w:lang w:val="es-ES"/>
        </w:rPr>
        <w:t>Las tolerancias no serán superiores a diez milímetros (10 mm).</w:t>
      </w:r>
    </w:p>
    <w:p w14:paraId="76DC5CCC" w14:textId="77777777" w:rsidR="00074497" w:rsidRPr="00034D35" w:rsidRDefault="00074497" w:rsidP="003C2775">
      <w:pPr>
        <w:pStyle w:val="NORMAL12"/>
        <w:rPr>
          <w:lang w:val="es-ES"/>
        </w:rPr>
      </w:pPr>
      <w:r w:rsidRPr="00034D35">
        <w:rPr>
          <w:lang w:val="es-ES"/>
        </w:rPr>
        <w:t>Las conexiones de tubos y cunetas se efectuarán según las cotas indicadas en los planos.</w:t>
      </w:r>
    </w:p>
    <w:p w14:paraId="7EE0FD09" w14:textId="77777777" w:rsidR="00074497" w:rsidRPr="00034D35" w:rsidRDefault="00074497" w:rsidP="003C2775">
      <w:pPr>
        <w:pStyle w:val="NORMAL12"/>
        <w:rPr>
          <w:lang w:val="es-ES"/>
        </w:rPr>
      </w:pPr>
      <w:r w:rsidRPr="00034D35">
        <w:rPr>
          <w:lang w:val="es-ES"/>
        </w:rPr>
        <w:t>Las tapas o rejillas ajustarán al cuerpo de la obra y se colocarán de tal forma que su cara exterior quede al mismo nivel de las superficies adyacentes.</w:t>
      </w:r>
    </w:p>
    <w:p w14:paraId="18584279" w14:textId="77777777" w:rsidR="00074497" w:rsidRDefault="00074497" w:rsidP="003C2775">
      <w:pPr>
        <w:pStyle w:val="NORMAL12"/>
        <w:rPr>
          <w:lang w:val="es-ES"/>
        </w:rPr>
      </w:pPr>
      <w:r w:rsidRPr="00034D35">
        <w:rPr>
          <w:lang w:val="es-ES"/>
        </w:rPr>
        <w:t>Deberá cumplir con una adecuada estanqueidad.</w:t>
      </w:r>
    </w:p>
    <w:p w14:paraId="0CFAEDB5" w14:textId="77777777" w:rsidR="00034D35" w:rsidRPr="003C2775" w:rsidRDefault="00034D35" w:rsidP="003C2775">
      <w:pPr>
        <w:pStyle w:val="NORMAL12"/>
        <w:rPr>
          <w:lang w:val="es-ES"/>
        </w:rPr>
      </w:pPr>
      <w:r>
        <w:rPr>
          <w:lang w:val="es-ES"/>
        </w:rPr>
        <w:t xml:space="preserve">En cuanto a la adaptación de las arquetas existentes, se llevará a cabo la adaptación de </w:t>
      </w:r>
      <w:proofErr w:type="gramStart"/>
      <w:r>
        <w:rPr>
          <w:lang w:val="es-ES"/>
        </w:rPr>
        <w:t>las mismas</w:t>
      </w:r>
      <w:proofErr w:type="gramEnd"/>
      <w:r>
        <w:rPr>
          <w:lang w:val="es-ES"/>
        </w:rPr>
        <w:t xml:space="preserve"> de tal forma que la tapa esté a la misma cota que el firme del entorno </w:t>
      </w:r>
      <w:r w:rsidR="00FA172F">
        <w:rPr>
          <w:lang w:val="es-ES"/>
        </w:rPr>
        <w:t>en el que se encuentra.</w:t>
      </w:r>
      <w:r>
        <w:rPr>
          <w:lang w:val="es-ES"/>
        </w:rPr>
        <w:t xml:space="preserve"> Los materiales empleados para dicha adaptación serán similares a los de la obra de drenaje existente y deben ser aprobados por el </w:t>
      </w:r>
      <w:proofErr w:type="gramStart"/>
      <w:r>
        <w:rPr>
          <w:lang w:val="es-ES"/>
        </w:rPr>
        <w:t>Director</w:t>
      </w:r>
      <w:proofErr w:type="gramEnd"/>
      <w:r>
        <w:rPr>
          <w:lang w:val="es-ES"/>
        </w:rPr>
        <w:t xml:space="preserve"> de Obra.</w:t>
      </w:r>
    </w:p>
    <w:p w14:paraId="117DF2C0" w14:textId="77777777" w:rsidR="00EF2105" w:rsidRPr="005864C2" w:rsidRDefault="00EF2105" w:rsidP="000313DD">
      <w:pPr>
        <w:pStyle w:val="TITU2"/>
      </w:pPr>
      <w:bookmarkStart w:id="428" w:name="_Toc404221"/>
      <w:r w:rsidRPr="005864C2">
        <w:t>410.5. Medición y abono</w:t>
      </w:r>
      <w:bookmarkEnd w:id="428"/>
    </w:p>
    <w:p w14:paraId="27D679DB" w14:textId="77777777" w:rsidR="003C2775" w:rsidRPr="00240936" w:rsidRDefault="003C2775" w:rsidP="0081264B">
      <w:pPr>
        <w:pStyle w:val="NORMAL12"/>
        <w:rPr>
          <w:lang w:val="es-ES"/>
        </w:rPr>
      </w:pPr>
      <w:r w:rsidRPr="00240936">
        <w:rPr>
          <w:lang w:val="es-ES"/>
        </w:rPr>
        <w:t xml:space="preserve">La medición y abono de las unidades </w:t>
      </w:r>
      <w:r w:rsidR="00D61146">
        <w:rPr>
          <w:lang w:val="es-ES"/>
        </w:rPr>
        <w:t xml:space="preserve">hormigón para </w:t>
      </w:r>
      <w:r w:rsidRPr="00240936">
        <w:rPr>
          <w:lang w:val="es-ES"/>
        </w:rPr>
        <w:t xml:space="preserve">arquetas y pozo de registro se realizará según las especificaciones siguientes: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93"/>
        <w:gridCol w:w="7785"/>
      </w:tblGrid>
      <w:tr w:rsidR="00240936" w:rsidRPr="00240936" w14:paraId="7FB718F7" w14:textId="77777777" w:rsidTr="001904B0">
        <w:tc>
          <w:tcPr>
            <w:tcW w:w="0" w:type="auto"/>
            <w:vAlign w:val="center"/>
          </w:tcPr>
          <w:p w14:paraId="6A0D92AF" w14:textId="77777777" w:rsidR="00074497" w:rsidRPr="00D61146" w:rsidRDefault="00074497" w:rsidP="001904B0">
            <w:pPr>
              <w:pStyle w:val="LCATabla"/>
              <w:jc w:val="center"/>
              <w:rPr>
                <w:rFonts w:ascii="Arial" w:hAnsi="Arial" w:cs="Arial"/>
                <w:b/>
                <w:bCs/>
                <w:sz w:val="20"/>
              </w:rPr>
            </w:pPr>
            <w:r w:rsidRPr="00D61146">
              <w:rPr>
                <w:rFonts w:ascii="Arial" w:hAnsi="Arial" w:cs="Arial"/>
                <w:b/>
                <w:bCs/>
                <w:sz w:val="20"/>
              </w:rPr>
              <w:t>Unidad de medida</w:t>
            </w:r>
          </w:p>
        </w:tc>
        <w:tc>
          <w:tcPr>
            <w:tcW w:w="0" w:type="auto"/>
            <w:vAlign w:val="center"/>
          </w:tcPr>
          <w:p w14:paraId="25C13265" w14:textId="77777777" w:rsidR="00074497" w:rsidRPr="00D61146" w:rsidRDefault="00240936" w:rsidP="00240936">
            <w:pPr>
              <w:pStyle w:val="LCATabla"/>
              <w:rPr>
                <w:rFonts w:ascii="Arial" w:hAnsi="Arial" w:cs="Arial"/>
                <w:sz w:val="20"/>
              </w:rPr>
            </w:pPr>
            <w:r w:rsidRPr="00D61146">
              <w:rPr>
                <w:rFonts w:ascii="Arial" w:hAnsi="Arial" w:cs="Arial"/>
                <w:sz w:val="20"/>
              </w:rPr>
              <w:t xml:space="preserve">Metro cúbico </w:t>
            </w:r>
            <w:r w:rsidR="00074497" w:rsidRPr="00D61146">
              <w:rPr>
                <w:rFonts w:ascii="Arial" w:hAnsi="Arial" w:cs="Arial"/>
                <w:sz w:val="20"/>
              </w:rPr>
              <w:t>(</w:t>
            </w:r>
            <w:r w:rsidRPr="00D61146">
              <w:rPr>
                <w:rFonts w:ascii="Arial" w:hAnsi="Arial" w:cs="Arial"/>
                <w:sz w:val="20"/>
              </w:rPr>
              <w:t>m</w:t>
            </w:r>
            <w:r w:rsidRPr="00D97D43">
              <w:rPr>
                <w:rFonts w:ascii="Arial" w:hAnsi="Arial" w:cs="Arial"/>
                <w:sz w:val="20"/>
                <w:vertAlign w:val="superscript"/>
              </w:rPr>
              <w:t>3</w:t>
            </w:r>
            <w:r w:rsidR="00074497" w:rsidRPr="00D61146">
              <w:rPr>
                <w:rFonts w:ascii="Arial" w:hAnsi="Arial" w:cs="Arial"/>
                <w:sz w:val="20"/>
              </w:rPr>
              <w:t>)</w:t>
            </w:r>
          </w:p>
        </w:tc>
      </w:tr>
      <w:tr w:rsidR="00240936" w:rsidRPr="00240936" w14:paraId="3801676D" w14:textId="77777777" w:rsidTr="001904B0">
        <w:tc>
          <w:tcPr>
            <w:tcW w:w="0" w:type="auto"/>
            <w:vAlign w:val="center"/>
          </w:tcPr>
          <w:p w14:paraId="2E45B87D" w14:textId="77777777" w:rsidR="00074497" w:rsidRPr="00D61146" w:rsidRDefault="00074497" w:rsidP="001904B0">
            <w:pPr>
              <w:pStyle w:val="LCATabla"/>
              <w:jc w:val="center"/>
              <w:rPr>
                <w:rFonts w:ascii="Arial" w:hAnsi="Arial" w:cs="Arial"/>
                <w:b/>
                <w:bCs/>
                <w:sz w:val="20"/>
              </w:rPr>
            </w:pPr>
            <w:r w:rsidRPr="00D61146">
              <w:rPr>
                <w:rFonts w:ascii="Arial" w:hAnsi="Arial" w:cs="Arial"/>
                <w:b/>
                <w:bCs/>
                <w:sz w:val="20"/>
              </w:rPr>
              <w:t>Grado de precisión</w:t>
            </w:r>
          </w:p>
        </w:tc>
        <w:tc>
          <w:tcPr>
            <w:tcW w:w="0" w:type="auto"/>
            <w:vAlign w:val="center"/>
          </w:tcPr>
          <w:p w14:paraId="43C35785" w14:textId="77777777" w:rsidR="00074497" w:rsidRPr="00D61146" w:rsidRDefault="00240936" w:rsidP="001904B0">
            <w:pPr>
              <w:pStyle w:val="LCATabla"/>
              <w:rPr>
                <w:rFonts w:ascii="Arial" w:hAnsi="Arial" w:cs="Arial"/>
                <w:sz w:val="20"/>
              </w:rPr>
            </w:pPr>
            <w:r w:rsidRPr="00D61146">
              <w:rPr>
                <w:rFonts w:ascii="Arial" w:hAnsi="Arial" w:cs="Arial"/>
                <w:sz w:val="20"/>
              </w:rPr>
              <w:t>Dos decimales</w:t>
            </w:r>
          </w:p>
        </w:tc>
      </w:tr>
      <w:tr w:rsidR="00240936" w:rsidRPr="00240936" w14:paraId="59A146F0" w14:textId="77777777" w:rsidTr="00D61146">
        <w:trPr>
          <w:trHeight w:val="238"/>
        </w:trPr>
        <w:tc>
          <w:tcPr>
            <w:tcW w:w="0" w:type="auto"/>
            <w:vAlign w:val="center"/>
          </w:tcPr>
          <w:p w14:paraId="28E99FD5" w14:textId="77777777" w:rsidR="00074497" w:rsidRPr="00D61146" w:rsidRDefault="00074497" w:rsidP="001904B0">
            <w:pPr>
              <w:pStyle w:val="LCATabla"/>
              <w:jc w:val="center"/>
              <w:rPr>
                <w:rFonts w:ascii="Arial" w:hAnsi="Arial" w:cs="Arial"/>
                <w:b/>
                <w:bCs/>
                <w:sz w:val="20"/>
              </w:rPr>
            </w:pPr>
            <w:r w:rsidRPr="00D61146">
              <w:rPr>
                <w:rFonts w:ascii="Arial" w:hAnsi="Arial" w:cs="Arial"/>
                <w:b/>
                <w:bCs/>
                <w:sz w:val="20"/>
              </w:rPr>
              <w:t>Forma de medición</w:t>
            </w:r>
          </w:p>
        </w:tc>
        <w:tc>
          <w:tcPr>
            <w:tcW w:w="0" w:type="auto"/>
            <w:vAlign w:val="center"/>
          </w:tcPr>
          <w:p w14:paraId="25A5830D" w14:textId="77777777" w:rsidR="00074497" w:rsidRPr="00D61146" w:rsidRDefault="00240936" w:rsidP="001904B0">
            <w:pPr>
              <w:pStyle w:val="LCATabla"/>
              <w:rPr>
                <w:rFonts w:ascii="Arial" w:hAnsi="Arial" w:cs="Arial"/>
                <w:sz w:val="20"/>
              </w:rPr>
            </w:pPr>
            <w:r w:rsidRPr="00D61146">
              <w:rPr>
                <w:rFonts w:ascii="Arial" w:hAnsi="Arial" w:cs="Arial"/>
                <w:sz w:val="20"/>
              </w:rPr>
              <w:t>Volumen de hormigón necesario para la ejecución de la arqueta o pozo</w:t>
            </w:r>
          </w:p>
        </w:tc>
      </w:tr>
      <w:tr w:rsidR="00240936" w:rsidRPr="00240936" w14:paraId="0FECFFF6" w14:textId="77777777" w:rsidTr="001904B0">
        <w:tc>
          <w:tcPr>
            <w:tcW w:w="0" w:type="auto"/>
            <w:vAlign w:val="center"/>
          </w:tcPr>
          <w:p w14:paraId="1B2B4E64" w14:textId="77777777" w:rsidR="00074497" w:rsidRPr="00D61146" w:rsidRDefault="00074497" w:rsidP="001904B0">
            <w:pPr>
              <w:pStyle w:val="LCATabla"/>
              <w:jc w:val="center"/>
              <w:rPr>
                <w:rFonts w:ascii="Arial" w:hAnsi="Arial" w:cs="Arial"/>
                <w:b/>
                <w:bCs/>
                <w:sz w:val="20"/>
              </w:rPr>
            </w:pPr>
            <w:r w:rsidRPr="00D61146">
              <w:rPr>
                <w:rFonts w:ascii="Arial" w:hAnsi="Arial" w:cs="Arial"/>
                <w:b/>
                <w:bCs/>
                <w:sz w:val="20"/>
              </w:rPr>
              <w:t>Abono</w:t>
            </w:r>
          </w:p>
        </w:tc>
        <w:tc>
          <w:tcPr>
            <w:tcW w:w="0" w:type="auto"/>
            <w:vAlign w:val="center"/>
          </w:tcPr>
          <w:p w14:paraId="676B06B3" w14:textId="77777777" w:rsidR="00074497" w:rsidRPr="00D61146" w:rsidRDefault="00074497" w:rsidP="001904B0">
            <w:pPr>
              <w:pStyle w:val="LCATabla"/>
              <w:rPr>
                <w:rFonts w:ascii="Arial" w:hAnsi="Arial" w:cs="Arial"/>
                <w:sz w:val="20"/>
              </w:rPr>
            </w:pPr>
            <w:r w:rsidRPr="00D61146">
              <w:rPr>
                <w:rFonts w:ascii="Arial" w:hAnsi="Arial" w:cs="Arial"/>
                <w:sz w:val="20"/>
              </w:rPr>
              <w:t>Se efectuará cuando se realice la aceptación</w:t>
            </w:r>
          </w:p>
        </w:tc>
      </w:tr>
      <w:tr w:rsidR="00240936" w:rsidRPr="00240936" w14:paraId="5882BF97" w14:textId="77777777" w:rsidTr="001904B0">
        <w:tc>
          <w:tcPr>
            <w:tcW w:w="0" w:type="auto"/>
            <w:vAlign w:val="center"/>
          </w:tcPr>
          <w:p w14:paraId="1224284F" w14:textId="77777777" w:rsidR="00074497" w:rsidRPr="00D61146" w:rsidRDefault="00074497" w:rsidP="001904B0">
            <w:pPr>
              <w:pStyle w:val="LCATabla"/>
              <w:jc w:val="center"/>
              <w:rPr>
                <w:rFonts w:ascii="Arial" w:hAnsi="Arial" w:cs="Arial"/>
                <w:b/>
                <w:bCs/>
                <w:sz w:val="20"/>
              </w:rPr>
            </w:pPr>
            <w:r w:rsidRPr="00D61146">
              <w:rPr>
                <w:rFonts w:ascii="Arial" w:hAnsi="Arial" w:cs="Arial"/>
                <w:b/>
                <w:bCs/>
                <w:sz w:val="20"/>
              </w:rPr>
              <w:t>Criterios complementarios</w:t>
            </w:r>
          </w:p>
        </w:tc>
        <w:tc>
          <w:tcPr>
            <w:tcW w:w="0" w:type="auto"/>
            <w:vAlign w:val="center"/>
          </w:tcPr>
          <w:p w14:paraId="102B0B0F" w14:textId="77777777" w:rsidR="003C2775" w:rsidRPr="00D61146" w:rsidRDefault="00074497" w:rsidP="001904B0">
            <w:pPr>
              <w:pStyle w:val="LCATabla"/>
              <w:jc w:val="both"/>
              <w:rPr>
                <w:rFonts w:ascii="Arial" w:hAnsi="Arial" w:cs="Arial"/>
                <w:sz w:val="20"/>
              </w:rPr>
            </w:pPr>
            <w:r w:rsidRPr="00D61146">
              <w:rPr>
                <w:rFonts w:ascii="Arial" w:hAnsi="Arial" w:cs="Arial"/>
                <w:sz w:val="20"/>
              </w:rPr>
              <w:t>El precio incluye la excavación, hormigón de sole</w:t>
            </w:r>
            <w:r w:rsidRPr="00D61146">
              <w:rPr>
                <w:rFonts w:ascii="Arial" w:hAnsi="Arial" w:cs="Arial"/>
                <w:sz w:val="20"/>
              </w:rPr>
              <w:softHyphen/>
              <w:t>ra, fá</w:t>
            </w:r>
            <w:r w:rsidRPr="00D61146">
              <w:rPr>
                <w:rFonts w:ascii="Arial" w:hAnsi="Arial" w:cs="Arial"/>
                <w:sz w:val="20"/>
              </w:rPr>
              <w:softHyphen/>
              <w:t>brica de ladrillo y hormigón en alzados, arma</w:t>
            </w:r>
            <w:r w:rsidRPr="00D61146">
              <w:rPr>
                <w:rFonts w:ascii="Arial" w:hAnsi="Arial" w:cs="Arial"/>
                <w:sz w:val="20"/>
              </w:rPr>
              <w:softHyphen/>
              <w:t>duras y, en su caso, encofrado y desencofrado, enfoscado y enlucido, tapa o reji</w:t>
            </w:r>
            <w:r w:rsidRPr="00D61146">
              <w:rPr>
                <w:rFonts w:ascii="Arial" w:hAnsi="Arial" w:cs="Arial"/>
                <w:sz w:val="20"/>
              </w:rPr>
              <w:softHyphen/>
              <w:t>lla, marco</w:t>
            </w:r>
            <w:r w:rsidR="00240936" w:rsidRPr="00D61146">
              <w:rPr>
                <w:rFonts w:ascii="Arial" w:hAnsi="Arial" w:cs="Arial"/>
                <w:sz w:val="20"/>
              </w:rPr>
              <w:t xml:space="preserve">, cerco </w:t>
            </w:r>
            <w:r w:rsidRPr="00D61146">
              <w:rPr>
                <w:rFonts w:ascii="Arial" w:hAnsi="Arial" w:cs="Arial"/>
                <w:sz w:val="20"/>
              </w:rPr>
              <w:t xml:space="preserve">y pates, según lo definido en los planos. </w:t>
            </w:r>
          </w:p>
          <w:p w14:paraId="5E54064E" w14:textId="77777777" w:rsidR="003C2775" w:rsidRPr="00D61146" w:rsidRDefault="00074497" w:rsidP="00F350A2">
            <w:pPr>
              <w:pStyle w:val="LCATabla"/>
              <w:jc w:val="both"/>
              <w:rPr>
                <w:rFonts w:ascii="Arial" w:hAnsi="Arial" w:cs="Arial"/>
                <w:sz w:val="20"/>
              </w:rPr>
            </w:pPr>
            <w:r w:rsidRPr="00D61146">
              <w:rPr>
                <w:rFonts w:ascii="Arial" w:hAnsi="Arial" w:cs="Arial"/>
                <w:sz w:val="20"/>
              </w:rPr>
              <w:t>La arqueta puede ser prefabricada con todos los materiales incluidos.</w:t>
            </w:r>
            <w:r w:rsidR="00F350A2">
              <w:rPr>
                <w:rFonts w:ascii="Arial" w:hAnsi="Arial" w:cs="Arial"/>
                <w:sz w:val="20"/>
              </w:rPr>
              <w:t xml:space="preserve"> </w:t>
            </w:r>
            <w:r w:rsidRPr="00D61146">
              <w:rPr>
                <w:rFonts w:ascii="Arial" w:hAnsi="Arial" w:cs="Arial"/>
                <w:sz w:val="20"/>
              </w:rPr>
              <w:t xml:space="preserve">El precio incluye también el relleno localizado en torno a la </w:t>
            </w:r>
            <w:proofErr w:type="spellStart"/>
            <w:proofErr w:type="gramStart"/>
            <w:r w:rsidRPr="00D61146">
              <w:rPr>
                <w:rFonts w:ascii="Arial" w:hAnsi="Arial" w:cs="Arial"/>
                <w:sz w:val="20"/>
              </w:rPr>
              <w:t>arqueta.</w:t>
            </w:r>
            <w:r w:rsidR="00D61146">
              <w:rPr>
                <w:rFonts w:ascii="Arial" w:hAnsi="Arial" w:cs="Arial"/>
                <w:sz w:val="20"/>
              </w:rPr>
              <w:t>El</w:t>
            </w:r>
            <w:proofErr w:type="spellEnd"/>
            <w:proofErr w:type="gramEnd"/>
            <w:r w:rsidR="00D61146">
              <w:rPr>
                <w:rFonts w:ascii="Arial" w:hAnsi="Arial" w:cs="Arial"/>
                <w:sz w:val="20"/>
              </w:rPr>
              <w:t xml:space="preserve"> hormigón utilizado cumplirá las especificaciones establecidas en el artículo 610 del presente </w:t>
            </w:r>
            <w:r w:rsidR="00217216">
              <w:rPr>
                <w:rFonts w:ascii="Arial" w:hAnsi="Arial" w:cs="Arial"/>
                <w:sz w:val="20"/>
              </w:rPr>
              <w:t>pliego.</w:t>
            </w:r>
            <w:r w:rsidR="00217216" w:rsidRPr="00D61146">
              <w:rPr>
                <w:rFonts w:ascii="Arial" w:hAnsi="Arial" w:cs="Arial"/>
                <w:sz w:val="20"/>
              </w:rPr>
              <w:t xml:space="preserve"> La</w:t>
            </w:r>
            <w:r w:rsidR="003C2775" w:rsidRPr="00D61146">
              <w:rPr>
                <w:rFonts w:ascii="Arial" w:hAnsi="Arial" w:cs="Arial"/>
                <w:sz w:val="20"/>
              </w:rPr>
              <w:t xml:space="preserve"> carga y transporte de material sobrante </w:t>
            </w:r>
            <w:r w:rsidR="00B5644C" w:rsidRPr="00D61146">
              <w:rPr>
                <w:rFonts w:ascii="Arial" w:hAnsi="Arial" w:cs="Arial"/>
                <w:sz w:val="20"/>
              </w:rPr>
              <w:t xml:space="preserve">se envía </w:t>
            </w:r>
            <w:r w:rsidR="003C2775" w:rsidRPr="00D61146">
              <w:rPr>
                <w:rFonts w:ascii="Arial" w:hAnsi="Arial" w:cs="Arial"/>
                <w:sz w:val="20"/>
              </w:rPr>
              <w:t>a instalación de gestión de residuos.</w:t>
            </w:r>
          </w:p>
        </w:tc>
      </w:tr>
    </w:tbl>
    <w:p w14:paraId="2AFCFB38" w14:textId="77777777" w:rsidR="00074497" w:rsidRPr="00D61146" w:rsidRDefault="00D61146" w:rsidP="0081264B">
      <w:pPr>
        <w:pStyle w:val="NORMAL12"/>
        <w:rPr>
          <w:lang w:val="es-ES"/>
        </w:rPr>
      </w:pPr>
      <w:r w:rsidRPr="00D61146">
        <w:rPr>
          <w:lang w:val="es-ES"/>
        </w:rPr>
        <w:t>La medición y abono de la unidad de arquetas se realizará según las prescripciones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71"/>
        <w:gridCol w:w="7707"/>
      </w:tblGrid>
      <w:tr w:rsidR="00D61146" w:rsidRPr="00240936" w14:paraId="5F7A0FF7" w14:textId="77777777" w:rsidTr="001633AB">
        <w:tc>
          <w:tcPr>
            <w:tcW w:w="0" w:type="auto"/>
            <w:vAlign w:val="center"/>
          </w:tcPr>
          <w:p w14:paraId="463E5462" w14:textId="77777777" w:rsidR="00D61146" w:rsidRPr="00D61146" w:rsidRDefault="00D61146" w:rsidP="001633AB">
            <w:pPr>
              <w:pStyle w:val="LCATabla"/>
              <w:jc w:val="center"/>
              <w:rPr>
                <w:rFonts w:ascii="Arial" w:hAnsi="Arial" w:cs="Arial"/>
                <w:b/>
                <w:bCs/>
                <w:sz w:val="20"/>
              </w:rPr>
            </w:pPr>
            <w:r w:rsidRPr="00D61146">
              <w:rPr>
                <w:rFonts w:ascii="Arial" w:hAnsi="Arial" w:cs="Arial"/>
                <w:b/>
                <w:bCs/>
                <w:sz w:val="20"/>
              </w:rPr>
              <w:t>Unidad de medida</w:t>
            </w:r>
          </w:p>
        </w:tc>
        <w:tc>
          <w:tcPr>
            <w:tcW w:w="0" w:type="auto"/>
            <w:vAlign w:val="center"/>
          </w:tcPr>
          <w:p w14:paraId="6038008D" w14:textId="77777777" w:rsidR="00D61146" w:rsidRPr="00D61146" w:rsidRDefault="00D61146" w:rsidP="002A7A61">
            <w:pPr>
              <w:pStyle w:val="LCATabla"/>
              <w:jc w:val="both"/>
              <w:rPr>
                <w:rFonts w:ascii="Arial" w:hAnsi="Arial" w:cs="Arial"/>
                <w:sz w:val="20"/>
              </w:rPr>
            </w:pPr>
            <w:r>
              <w:rPr>
                <w:rFonts w:ascii="Arial" w:hAnsi="Arial" w:cs="Arial"/>
                <w:sz w:val="20"/>
              </w:rPr>
              <w:t>Unidad</w:t>
            </w:r>
            <w:r w:rsidRPr="00D61146">
              <w:rPr>
                <w:rFonts w:ascii="Arial" w:hAnsi="Arial" w:cs="Arial"/>
                <w:sz w:val="20"/>
              </w:rPr>
              <w:t xml:space="preserve"> (</w:t>
            </w:r>
            <w:proofErr w:type="spellStart"/>
            <w:r>
              <w:rPr>
                <w:rFonts w:ascii="Arial" w:hAnsi="Arial" w:cs="Arial"/>
                <w:sz w:val="20"/>
              </w:rPr>
              <w:t>ud</w:t>
            </w:r>
            <w:proofErr w:type="spellEnd"/>
            <w:r w:rsidRPr="00D61146">
              <w:rPr>
                <w:rFonts w:ascii="Arial" w:hAnsi="Arial" w:cs="Arial"/>
                <w:sz w:val="20"/>
              </w:rPr>
              <w:t>)</w:t>
            </w:r>
          </w:p>
        </w:tc>
      </w:tr>
      <w:tr w:rsidR="00D61146" w:rsidRPr="00240936" w14:paraId="460F0B7C" w14:textId="77777777" w:rsidTr="001633AB">
        <w:tc>
          <w:tcPr>
            <w:tcW w:w="0" w:type="auto"/>
            <w:vAlign w:val="center"/>
          </w:tcPr>
          <w:p w14:paraId="68C36266" w14:textId="77777777" w:rsidR="00D61146" w:rsidRPr="00D61146" w:rsidRDefault="00D61146" w:rsidP="001633AB">
            <w:pPr>
              <w:pStyle w:val="LCATabla"/>
              <w:jc w:val="center"/>
              <w:rPr>
                <w:rFonts w:ascii="Arial" w:hAnsi="Arial" w:cs="Arial"/>
                <w:b/>
                <w:bCs/>
                <w:sz w:val="20"/>
              </w:rPr>
            </w:pPr>
            <w:r w:rsidRPr="00D61146">
              <w:rPr>
                <w:rFonts w:ascii="Arial" w:hAnsi="Arial" w:cs="Arial"/>
                <w:b/>
                <w:bCs/>
                <w:sz w:val="20"/>
              </w:rPr>
              <w:t>Grado de precisión</w:t>
            </w:r>
          </w:p>
        </w:tc>
        <w:tc>
          <w:tcPr>
            <w:tcW w:w="0" w:type="auto"/>
            <w:vAlign w:val="center"/>
          </w:tcPr>
          <w:p w14:paraId="2AA2E3EF" w14:textId="77777777" w:rsidR="00D61146" w:rsidRPr="00D61146" w:rsidRDefault="00D61146" w:rsidP="002A7A61">
            <w:pPr>
              <w:pStyle w:val="LCATabla"/>
              <w:jc w:val="both"/>
              <w:rPr>
                <w:rFonts w:ascii="Arial" w:hAnsi="Arial" w:cs="Arial"/>
                <w:sz w:val="20"/>
              </w:rPr>
            </w:pPr>
            <w:r>
              <w:rPr>
                <w:rFonts w:ascii="Arial" w:hAnsi="Arial" w:cs="Arial"/>
                <w:sz w:val="20"/>
              </w:rPr>
              <w:t>Entero</w:t>
            </w:r>
          </w:p>
        </w:tc>
      </w:tr>
      <w:tr w:rsidR="00D61146" w:rsidRPr="00240936" w14:paraId="6DA6F7E6" w14:textId="77777777" w:rsidTr="001633AB">
        <w:trPr>
          <w:trHeight w:val="238"/>
        </w:trPr>
        <w:tc>
          <w:tcPr>
            <w:tcW w:w="0" w:type="auto"/>
            <w:vAlign w:val="center"/>
          </w:tcPr>
          <w:p w14:paraId="4A386EB6" w14:textId="77777777" w:rsidR="00D61146" w:rsidRPr="00D61146" w:rsidRDefault="00D61146" w:rsidP="001633AB">
            <w:pPr>
              <w:pStyle w:val="LCATabla"/>
              <w:jc w:val="center"/>
              <w:rPr>
                <w:rFonts w:ascii="Arial" w:hAnsi="Arial" w:cs="Arial"/>
                <w:b/>
                <w:bCs/>
                <w:sz w:val="20"/>
              </w:rPr>
            </w:pPr>
            <w:r w:rsidRPr="00D61146">
              <w:rPr>
                <w:rFonts w:ascii="Arial" w:hAnsi="Arial" w:cs="Arial"/>
                <w:b/>
                <w:bCs/>
                <w:sz w:val="20"/>
              </w:rPr>
              <w:t>Forma de medición</w:t>
            </w:r>
          </w:p>
        </w:tc>
        <w:tc>
          <w:tcPr>
            <w:tcW w:w="0" w:type="auto"/>
            <w:vAlign w:val="center"/>
          </w:tcPr>
          <w:p w14:paraId="71FC0DB6" w14:textId="77777777" w:rsidR="00D61146" w:rsidRPr="00D61146" w:rsidRDefault="00D61146" w:rsidP="002A7A61">
            <w:pPr>
              <w:pStyle w:val="LCATabla"/>
              <w:jc w:val="both"/>
              <w:rPr>
                <w:rFonts w:ascii="Arial" w:hAnsi="Arial" w:cs="Arial"/>
                <w:sz w:val="20"/>
              </w:rPr>
            </w:pPr>
            <w:r>
              <w:rPr>
                <w:rFonts w:ascii="Arial" w:hAnsi="Arial" w:cs="Arial"/>
                <w:sz w:val="20"/>
              </w:rPr>
              <w:t>Arqueta sumidero de hormigón realmente ejecutada</w:t>
            </w:r>
          </w:p>
        </w:tc>
      </w:tr>
      <w:tr w:rsidR="00D61146" w:rsidRPr="00240936" w14:paraId="73FE23FF" w14:textId="77777777" w:rsidTr="001633AB">
        <w:tc>
          <w:tcPr>
            <w:tcW w:w="0" w:type="auto"/>
            <w:vAlign w:val="center"/>
          </w:tcPr>
          <w:p w14:paraId="39812B44" w14:textId="77777777" w:rsidR="00D61146" w:rsidRPr="00D61146" w:rsidRDefault="00D61146" w:rsidP="001633AB">
            <w:pPr>
              <w:pStyle w:val="LCATabla"/>
              <w:jc w:val="center"/>
              <w:rPr>
                <w:rFonts w:ascii="Arial" w:hAnsi="Arial" w:cs="Arial"/>
                <w:b/>
                <w:bCs/>
                <w:sz w:val="20"/>
              </w:rPr>
            </w:pPr>
            <w:r w:rsidRPr="00D61146">
              <w:rPr>
                <w:rFonts w:ascii="Arial" w:hAnsi="Arial" w:cs="Arial"/>
                <w:b/>
                <w:bCs/>
                <w:sz w:val="20"/>
              </w:rPr>
              <w:t>Abono</w:t>
            </w:r>
          </w:p>
        </w:tc>
        <w:tc>
          <w:tcPr>
            <w:tcW w:w="0" w:type="auto"/>
            <w:vAlign w:val="center"/>
          </w:tcPr>
          <w:p w14:paraId="2B659B28" w14:textId="77777777" w:rsidR="00D61146" w:rsidRPr="00D61146" w:rsidRDefault="00D61146" w:rsidP="002A7A61">
            <w:pPr>
              <w:pStyle w:val="LCATabla"/>
              <w:jc w:val="both"/>
              <w:rPr>
                <w:rFonts w:ascii="Arial" w:hAnsi="Arial" w:cs="Arial"/>
                <w:sz w:val="20"/>
              </w:rPr>
            </w:pPr>
            <w:r w:rsidRPr="00D61146">
              <w:rPr>
                <w:rFonts w:ascii="Arial" w:hAnsi="Arial" w:cs="Arial"/>
                <w:sz w:val="20"/>
              </w:rPr>
              <w:t>Se efectuará cuando se realice la aceptación</w:t>
            </w:r>
          </w:p>
        </w:tc>
      </w:tr>
      <w:tr w:rsidR="00D61146" w:rsidRPr="00240936" w14:paraId="4FB56E15" w14:textId="77777777" w:rsidTr="001633AB">
        <w:tc>
          <w:tcPr>
            <w:tcW w:w="0" w:type="auto"/>
            <w:vAlign w:val="center"/>
          </w:tcPr>
          <w:p w14:paraId="77B7DF00" w14:textId="77777777" w:rsidR="00D61146" w:rsidRPr="00D61146" w:rsidRDefault="00D61146" w:rsidP="001633AB">
            <w:pPr>
              <w:pStyle w:val="LCATabla"/>
              <w:jc w:val="center"/>
              <w:rPr>
                <w:rFonts w:ascii="Arial" w:hAnsi="Arial" w:cs="Arial"/>
                <w:b/>
                <w:bCs/>
                <w:sz w:val="20"/>
              </w:rPr>
            </w:pPr>
            <w:r w:rsidRPr="00D61146">
              <w:rPr>
                <w:rFonts w:ascii="Arial" w:hAnsi="Arial" w:cs="Arial"/>
                <w:b/>
                <w:bCs/>
                <w:sz w:val="20"/>
              </w:rPr>
              <w:t>Criterios complementarios</w:t>
            </w:r>
          </w:p>
        </w:tc>
        <w:tc>
          <w:tcPr>
            <w:tcW w:w="0" w:type="auto"/>
            <w:vAlign w:val="center"/>
          </w:tcPr>
          <w:p w14:paraId="63F2FC75" w14:textId="77777777" w:rsidR="00D61146" w:rsidRPr="00D61146" w:rsidRDefault="00D61146" w:rsidP="002A7A61">
            <w:pPr>
              <w:pStyle w:val="LCATabla"/>
              <w:jc w:val="both"/>
              <w:rPr>
                <w:rFonts w:ascii="Arial" w:hAnsi="Arial" w:cs="Arial"/>
                <w:sz w:val="20"/>
              </w:rPr>
            </w:pPr>
            <w:r w:rsidRPr="00D61146">
              <w:rPr>
                <w:rFonts w:ascii="Arial" w:hAnsi="Arial" w:cs="Arial"/>
                <w:sz w:val="20"/>
              </w:rPr>
              <w:t>El precio incluye la excavación, hormigón de sole</w:t>
            </w:r>
            <w:r w:rsidRPr="00D61146">
              <w:rPr>
                <w:rFonts w:ascii="Arial" w:hAnsi="Arial" w:cs="Arial"/>
                <w:sz w:val="20"/>
              </w:rPr>
              <w:softHyphen/>
              <w:t>ra, fá</w:t>
            </w:r>
            <w:r w:rsidRPr="00D61146">
              <w:rPr>
                <w:rFonts w:ascii="Arial" w:hAnsi="Arial" w:cs="Arial"/>
                <w:sz w:val="20"/>
              </w:rPr>
              <w:softHyphen/>
              <w:t>brica de ladrillo y hormigón en alzados, arma</w:t>
            </w:r>
            <w:r w:rsidRPr="00D61146">
              <w:rPr>
                <w:rFonts w:ascii="Arial" w:hAnsi="Arial" w:cs="Arial"/>
                <w:sz w:val="20"/>
              </w:rPr>
              <w:softHyphen/>
              <w:t>duras y, en su caso, encofrado y desencofrado, enfoscado y enlucido, tapa o reji</w:t>
            </w:r>
            <w:r w:rsidRPr="00D61146">
              <w:rPr>
                <w:rFonts w:ascii="Arial" w:hAnsi="Arial" w:cs="Arial"/>
                <w:sz w:val="20"/>
              </w:rPr>
              <w:softHyphen/>
              <w:t xml:space="preserve">lla, marco, cerco y pates, según lo definido en los planos. </w:t>
            </w:r>
          </w:p>
          <w:p w14:paraId="7BCBFF46" w14:textId="77777777" w:rsidR="00D61146" w:rsidRPr="00D61146" w:rsidRDefault="00D61146" w:rsidP="002A7A61">
            <w:pPr>
              <w:pStyle w:val="LCATabla"/>
              <w:jc w:val="both"/>
              <w:rPr>
                <w:rFonts w:ascii="Arial" w:hAnsi="Arial" w:cs="Arial"/>
                <w:sz w:val="20"/>
              </w:rPr>
            </w:pPr>
            <w:r w:rsidRPr="00D61146">
              <w:rPr>
                <w:rFonts w:ascii="Arial" w:hAnsi="Arial" w:cs="Arial"/>
                <w:sz w:val="20"/>
              </w:rPr>
              <w:t>La arqueta puede ser prefabricada con todos los materiales incluidos.</w:t>
            </w:r>
          </w:p>
          <w:p w14:paraId="5C0D1A69" w14:textId="77777777" w:rsidR="00D61146" w:rsidRDefault="00D61146" w:rsidP="002A7A61">
            <w:pPr>
              <w:pStyle w:val="LCATabla"/>
              <w:jc w:val="both"/>
              <w:rPr>
                <w:rFonts w:ascii="Arial" w:hAnsi="Arial" w:cs="Arial"/>
                <w:sz w:val="20"/>
              </w:rPr>
            </w:pPr>
            <w:r w:rsidRPr="00D61146">
              <w:rPr>
                <w:rFonts w:ascii="Arial" w:hAnsi="Arial" w:cs="Arial"/>
                <w:sz w:val="20"/>
              </w:rPr>
              <w:t>El precio incluye también el relleno localizado en torno a la arqueta.</w:t>
            </w:r>
          </w:p>
          <w:p w14:paraId="7DBB2341" w14:textId="77777777" w:rsidR="00D61146" w:rsidRPr="00D61146" w:rsidRDefault="00D61146" w:rsidP="002A7A61">
            <w:pPr>
              <w:pStyle w:val="LCATabla"/>
              <w:jc w:val="both"/>
              <w:rPr>
                <w:rFonts w:ascii="Arial" w:hAnsi="Arial" w:cs="Arial"/>
                <w:sz w:val="20"/>
              </w:rPr>
            </w:pPr>
            <w:r>
              <w:rPr>
                <w:rFonts w:ascii="Arial" w:hAnsi="Arial" w:cs="Arial"/>
                <w:sz w:val="20"/>
              </w:rPr>
              <w:t>El hormigón utilizado cumplirá las especificaciones establecidas en el artículo 610 del presente pliego</w:t>
            </w:r>
          </w:p>
          <w:p w14:paraId="0F447126" w14:textId="77777777" w:rsidR="00D61146" w:rsidRPr="00D61146" w:rsidRDefault="00D61146" w:rsidP="002A7A61">
            <w:pPr>
              <w:pStyle w:val="LCATabla"/>
              <w:jc w:val="both"/>
              <w:rPr>
                <w:rFonts w:ascii="Arial" w:hAnsi="Arial" w:cs="Arial"/>
                <w:sz w:val="20"/>
              </w:rPr>
            </w:pPr>
            <w:r w:rsidRPr="00D61146">
              <w:rPr>
                <w:rFonts w:ascii="Arial" w:hAnsi="Arial" w:cs="Arial"/>
                <w:sz w:val="20"/>
              </w:rPr>
              <w:t>La carga y transporte de material sobrante se envía a instalación de gestión de residuos.</w:t>
            </w:r>
          </w:p>
        </w:tc>
      </w:tr>
    </w:tbl>
    <w:p w14:paraId="7E4D0D11" w14:textId="77777777" w:rsidR="00D61146" w:rsidRPr="005864C2" w:rsidRDefault="00D61146" w:rsidP="0081264B">
      <w:pPr>
        <w:pStyle w:val="NORMAL12"/>
        <w:rPr>
          <w:color w:val="365F91" w:themeColor="accent1" w:themeShade="BF"/>
          <w:lang w:val="es-ES"/>
        </w:rPr>
      </w:pPr>
    </w:p>
    <w:p w14:paraId="6CFB4587" w14:textId="77777777" w:rsidR="007D7624" w:rsidRDefault="007D7624" w:rsidP="007D7624">
      <w:pPr>
        <w:pStyle w:val="NORMAL12"/>
        <w:rPr>
          <w:color w:val="365F91" w:themeColor="accent1" w:themeShade="BF"/>
          <w:lang w:val="es-ES"/>
        </w:rPr>
      </w:pPr>
    </w:p>
    <w:p w14:paraId="7EA72BB9" w14:textId="77777777" w:rsidR="00D313CD" w:rsidRDefault="00D313CD" w:rsidP="007D7624">
      <w:pPr>
        <w:pStyle w:val="NORMAL12"/>
        <w:rPr>
          <w:color w:val="365F91" w:themeColor="accent1" w:themeShade="BF"/>
          <w:lang w:val="es-ES"/>
        </w:rPr>
      </w:pPr>
    </w:p>
    <w:p w14:paraId="6E4556C2" w14:textId="77777777" w:rsidR="00D313CD" w:rsidRDefault="00D313CD" w:rsidP="007D7624">
      <w:pPr>
        <w:pStyle w:val="NORMAL12"/>
        <w:rPr>
          <w:color w:val="365F91" w:themeColor="accent1" w:themeShade="BF"/>
          <w:lang w:val="es-ES"/>
        </w:rPr>
      </w:pPr>
    </w:p>
    <w:p w14:paraId="751E48BC" w14:textId="77777777" w:rsidR="00074497" w:rsidRDefault="00074497" w:rsidP="007D7624">
      <w:pPr>
        <w:pStyle w:val="NORMAL12"/>
        <w:rPr>
          <w:color w:val="365F91" w:themeColor="accent1" w:themeShade="BF"/>
          <w:lang w:val="es-ES"/>
        </w:rPr>
      </w:pPr>
    </w:p>
    <w:p w14:paraId="25D942AB" w14:textId="77777777" w:rsidR="00074497" w:rsidRPr="005864C2" w:rsidRDefault="00074497" w:rsidP="007D7624">
      <w:pPr>
        <w:pStyle w:val="NORMAL12"/>
        <w:rPr>
          <w:color w:val="365F91" w:themeColor="accent1" w:themeShade="BF"/>
          <w:lang w:val="es-ES"/>
        </w:rPr>
      </w:pPr>
    </w:p>
    <w:p w14:paraId="1ADF6307" w14:textId="77777777" w:rsidR="002707D4" w:rsidRPr="005864C2" w:rsidRDefault="002707D4" w:rsidP="0036157E">
      <w:pPr>
        <w:pStyle w:val="NORMAL12"/>
        <w:rPr>
          <w:color w:val="365F91" w:themeColor="accent1" w:themeShade="BF"/>
          <w:lang w:val="es-ES"/>
        </w:rPr>
      </w:pPr>
    </w:p>
    <w:p w14:paraId="06E6D345" w14:textId="77777777" w:rsidR="00782D1A" w:rsidRDefault="00782D1A" w:rsidP="00782D1A">
      <w:pPr>
        <w:pStyle w:val="TITU1"/>
        <w:rPr>
          <w:lang w:val="es-ES_tradnl"/>
        </w:rPr>
      </w:pPr>
      <w:bookmarkStart w:id="429" w:name="_Toc530838845"/>
      <w:bookmarkStart w:id="430" w:name="_Toc404222"/>
      <w:bookmarkStart w:id="431" w:name="_Toc129665243"/>
      <w:bookmarkStart w:id="432" w:name="_Toc140628424"/>
      <w:bookmarkStart w:id="433" w:name="_Toc277523274"/>
      <w:r w:rsidRPr="006352CF">
        <w:rPr>
          <w:lang w:val="es-ES_tradnl"/>
        </w:rPr>
        <w:lastRenderedPageBreak/>
        <w:t xml:space="preserve">Artículo 411.- </w:t>
      </w:r>
      <w:r w:rsidR="00D97D43">
        <w:rPr>
          <w:lang w:val="es-ES_tradnl"/>
        </w:rPr>
        <w:t>Imbornales y sumideros</w:t>
      </w:r>
      <w:bookmarkEnd w:id="429"/>
      <w:bookmarkEnd w:id="430"/>
    </w:p>
    <w:p w14:paraId="6043BBBB" w14:textId="77777777" w:rsidR="00D97D43" w:rsidRPr="00D97D43" w:rsidRDefault="00D97D43" w:rsidP="00D97D43">
      <w:pPr>
        <w:pStyle w:val="NORMAL12"/>
      </w:pPr>
      <w:r w:rsidRPr="00F803A4">
        <w:rPr>
          <w:lang w:val="es-ES"/>
        </w:rPr>
        <w:t xml:space="preserve">Excepto para lo especificado en el presente Pliego de Prescripciones Técnicas particulares se seguirá lo prescrito en el vigente artículo </w:t>
      </w:r>
      <w:r>
        <w:rPr>
          <w:lang w:val="es-ES"/>
        </w:rPr>
        <w:t>411</w:t>
      </w:r>
      <w:r w:rsidRPr="00F803A4">
        <w:rPr>
          <w:lang w:val="es-ES"/>
        </w:rPr>
        <w:t xml:space="preserve"> del PG-3.</w:t>
      </w:r>
    </w:p>
    <w:p w14:paraId="2185E195" w14:textId="77777777" w:rsidR="006352CF" w:rsidRDefault="006352CF" w:rsidP="000313DD">
      <w:pPr>
        <w:pStyle w:val="TITU2"/>
      </w:pPr>
      <w:bookmarkStart w:id="434" w:name="_Toc404223"/>
      <w:r w:rsidRPr="00DB14F6">
        <w:t>411.1. Definición y aplicación</w:t>
      </w:r>
      <w:bookmarkEnd w:id="434"/>
    </w:p>
    <w:p w14:paraId="282BD324" w14:textId="77777777" w:rsidR="00DB14F6" w:rsidRDefault="00DB14F6" w:rsidP="00DB14F6">
      <w:pPr>
        <w:pStyle w:val="NORMAL12"/>
        <w:rPr>
          <w:lang w:val="es-ES"/>
        </w:rPr>
      </w:pPr>
      <w:r w:rsidRPr="00DB14F6">
        <w:rPr>
          <w:lang w:val="es-ES"/>
        </w:rPr>
        <w:t xml:space="preserve">Imbornal es el dispositivo de desagüe por donde se vacía el agua de lluvia de las calzadas de una carretera, de los tableros de las obras de fábrica o, en general, de cualquier construcción. </w:t>
      </w:r>
    </w:p>
    <w:p w14:paraId="344FE6E4" w14:textId="77777777" w:rsidR="00DB14F6" w:rsidRPr="00DB14F6" w:rsidRDefault="00DB14F6" w:rsidP="00DB14F6">
      <w:pPr>
        <w:pStyle w:val="NORMAL12"/>
        <w:rPr>
          <w:lang w:val="es-ES"/>
        </w:rPr>
      </w:pPr>
      <w:r w:rsidRPr="00DB14F6">
        <w:rPr>
          <w:lang w:val="es-ES"/>
        </w:rPr>
        <w:t>Sumidero es el dispositivo de desagüe, generalmente protegido por una rejilla, que cumple una función análoga a la del imbornal, pero dispuesto de forma que la entrada del agua sea en sentido sensiblemente vertical.</w:t>
      </w:r>
      <w:r w:rsidR="00595554">
        <w:rPr>
          <w:lang w:val="es-ES"/>
        </w:rPr>
        <w:t xml:space="preserve"> </w:t>
      </w:r>
      <w:r w:rsidRPr="00DB14F6">
        <w:rPr>
          <w:lang w:val="es-ES"/>
        </w:rPr>
        <w:t>Estos elementos, en general, constarán de orificio de desagüe, rejilla, arqueta y conducto de salida.</w:t>
      </w:r>
    </w:p>
    <w:p w14:paraId="7859985C" w14:textId="77777777" w:rsidR="00DB14F6" w:rsidRPr="00DB14F6" w:rsidRDefault="00DB14F6" w:rsidP="00DB14F6">
      <w:pPr>
        <w:pStyle w:val="NORMAL12"/>
        <w:rPr>
          <w:lang w:val="es-ES"/>
        </w:rPr>
      </w:pPr>
      <w:r w:rsidRPr="00DB14F6">
        <w:rPr>
          <w:lang w:val="es-ES"/>
        </w:rPr>
        <w:t xml:space="preserve">Las prescripciones del presente artículo </w:t>
      </w:r>
      <w:proofErr w:type="gramStart"/>
      <w:r w:rsidRPr="00DB14F6">
        <w:rPr>
          <w:lang w:val="es-ES"/>
        </w:rPr>
        <w:t>son de aplicación</w:t>
      </w:r>
      <w:proofErr w:type="gramEnd"/>
      <w:r w:rsidRPr="00DB14F6">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330"/>
        <w:gridCol w:w="643"/>
        <w:gridCol w:w="7805"/>
      </w:tblGrid>
      <w:tr w:rsidR="00DB14F6" w:rsidRPr="00016787" w14:paraId="72A49D46" w14:textId="77777777" w:rsidTr="00DB14F6">
        <w:trPr>
          <w:trHeight w:val="300"/>
        </w:trPr>
        <w:tc>
          <w:tcPr>
            <w:tcW w:w="680" w:type="pct"/>
            <w:noWrap/>
            <w:hideMark/>
          </w:tcPr>
          <w:p w14:paraId="2036F1F7" w14:textId="77777777" w:rsidR="00DB14F6" w:rsidRPr="00050087" w:rsidRDefault="00DB14F6" w:rsidP="00DB14F6">
            <w:pPr>
              <w:rPr>
                <w:rFonts w:ascii="Calibri" w:hAnsi="Calibri"/>
              </w:rPr>
            </w:pPr>
            <w:r w:rsidRPr="00050087">
              <w:rPr>
                <w:rFonts w:ascii="Calibri" w:hAnsi="Calibri"/>
              </w:rPr>
              <w:t xml:space="preserve">413.0040N         </w:t>
            </w:r>
          </w:p>
        </w:tc>
        <w:tc>
          <w:tcPr>
            <w:tcW w:w="329" w:type="pct"/>
            <w:noWrap/>
            <w:hideMark/>
          </w:tcPr>
          <w:p w14:paraId="76ED63F9" w14:textId="77777777" w:rsidR="00DB14F6" w:rsidRPr="00050087" w:rsidRDefault="00DB14F6" w:rsidP="00DB14F6">
            <w:pPr>
              <w:rPr>
                <w:rFonts w:ascii="Calibri" w:hAnsi="Calibri"/>
              </w:rPr>
            </w:pPr>
            <w:proofErr w:type="spellStart"/>
            <w:r w:rsidRPr="00050087">
              <w:rPr>
                <w:rFonts w:ascii="Calibri" w:hAnsi="Calibri"/>
              </w:rPr>
              <w:t>ud</w:t>
            </w:r>
            <w:proofErr w:type="spellEnd"/>
          </w:p>
        </w:tc>
        <w:tc>
          <w:tcPr>
            <w:tcW w:w="3991" w:type="pct"/>
            <w:hideMark/>
          </w:tcPr>
          <w:p w14:paraId="0C214018" w14:textId="77777777" w:rsidR="00DB14F6" w:rsidRPr="00050087" w:rsidRDefault="00D97D43" w:rsidP="002A67A1">
            <w:pPr>
              <w:jc w:val="both"/>
              <w:rPr>
                <w:rFonts w:ascii="Calibri" w:hAnsi="Calibri"/>
              </w:rPr>
            </w:pPr>
            <w:r w:rsidRPr="00050087">
              <w:rPr>
                <w:rFonts w:ascii="Calibri" w:hAnsi="Calibri"/>
              </w:rPr>
              <w:t>SUMINISTRO Y COLOCACIÓN DE SUMIDERO EN TABLERO DE ESTRUCTURA FORMADO POR REJILLA DE FUNDICIÓN DE 20X20CM, CLASE D400 Y BUZÓN CON TUBERÍA DE DIÁMETRO 110MM, COMPLETAMENTE COLOCADO EN OBRA.</w:t>
            </w:r>
          </w:p>
        </w:tc>
      </w:tr>
    </w:tbl>
    <w:p w14:paraId="30328E5A" w14:textId="77777777" w:rsidR="00DB14F6" w:rsidRDefault="00DB14F6" w:rsidP="00DB14F6">
      <w:pPr>
        <w:pStyle w:val="NORMAL12"/>
        <w:rPr>
          <w:lang w:val="es-ES"/>
        </w:rPr>
      </w:pPr>
      <w:r>
        <w:rPr>
          <w:lang w:val="es-ES"/>
        </w:rPr>
        <w:t xml:space="preserve">La ejecución de la unidad incluye la </w:t>
      </w:r>
      <w:r w:rsidR="00D93E76">
        <w:rPr>
          <w:lang w:val="es-ES"/>
        </w:rPr>
        <w:t>realización</w:t>
      </w:r>
      <w:r>
        <w:rPr>
          <w:lang w:val="es-ES"/>
        </w:rPr>
        <w:t xml:space="preserve"> de las operaciones siguientes:</w:t>
      </w:r>
    </w:p>
    <w:p w14:paraId="1E8BD95B" w14:textId="77777777" w:rsidR="00DB14F6" w:rsidRDefault="005F602F" w:rsidP="00661A5F">
      <w:pPr>
        <w:pStyle w:val="NORMAL12"/>
        <w:numPr>
          <w:ilvl w:val="0"/>
          <w:numId w:val="219"/>
        </w:numPr>
        <w:rPr>
          <w:lang w:val="es-ES"/>
        </w:rPr>
      </w:pPr>
      <w:r>
        <w:rPr>
          <w:lang w:val="es-ES"/>
        </w:rPr>
        <w:t>Ejecución del hueco en la estructura para la realización del sumidero en el tablero</w:t>
      </w:r>
    </w:p>
    <w:p w14:paraId="761E368C" w14:textId="77777777" w:rsidR="005F602F" w:rsidRDefault="005F602F" w:rsidP="00661A5F">
      <w:pPr>
        <w:pStyle w:val="NORMAL12"/>
        <w:numPr>
          <w:ilvl w:val="0"/>
          <w:numId w:val="219"/>
        </w:numPr>
        <w:rPr>
          <w:lang w:val="es-ES"/>
        </w:rPr>
      </w:pPr>
      <w:r>
        <w:rPr>
          <w:lang w:val="es-ES"/>
        </w:rPr>
        <w:t>Ejecución del sumidero.</w:t>
      </w:r>
    </w:p>
    <w:p w14:paraId="001F856F" w14:textId="77777777" w:rsidR="005F602F" w:rsidRDefault="005F602F" w:rsidP="00661A5F">
      <w:pPr>
        <w:pStyle w:val="NORMAL12"/>
        <w:numPr>
          <w:ilvl w:val="0"/>
          <w:numId w:val="219"/>
        </w:numPr>
        <w:rPr>
          <w:lang w:val="es-ES"/>
        </w:rPr>
      </w:pPr>
      <w:r>
        <w:rPr>
          <w:lang w:val="es-ES"/>
        </w:rPr>
        <w:t xml:space="preserve">Colocación del marco y rejilla con </w:t>
      </w:r>
      <w:r w:rsidR="00D93E76">
        <w:rPr>
          <w:lang w:val="es-ES"/>
        </w:rPr>
        <w:t>las condiciones establecidas</w:t>
      </w:r>
      <w:r>
        <w:rPr>
          <w:lang w:val="es-ES"/>
        </w:rPr>
        <w:t>.</w:t>
      </w:r>
    </w:p>
    <w:p w14:paraId="544EAE71" w14:textId="77777777" w:rsidR="005F602F" w:rsidRPr="00DB14F6" w:rsidRDefault="005F602F" w:rsidP="00661A5F">
      <w:pPr>
        <w:pStyle w:val="NORMAL12"/>
        <w:numPr>
          <w:ilvl w:val="0"/>
          <w:numId w:val="219"/>
        </w:numPr>
        <w:rPr>
          <w:lang w:val="es-ES"/>
        </w:rPr>
      </w:pPr>
      <w:r>
        <w:rPr>
          <w:lang w:val="es-ES"/>
        </w:rPr>
        <w:t>Limpieza y retirada de residuos después de la ejecución.</w:t>
      </w:r>
    </w:p>
    <w:p w14:paraId="69870AF4" w14:textId="77777777" w:rsidR="00DB14F6" w:rsidRPr="00DB14F6" w:rsidRDefault="00DB14F6" w:rsidP="000313DD">
      <w:pPr>
        <w:pStyle w:val="TITU2"/>
      </w:pPr>
      <w:bookmarkStart w:id="435" w:name="_Toc404224"/>
      <w:r w:rsidRPr="00DB14F6">
        <w:t>411.2. Forma y dimensiones</w:t>
      </w:r>
      <w:bookmarkEnd w:id="435"/>
    </w:p>
    <w:p w14:paraId="7CBC1C10" w14:textId="77777777" w:rsidR="005F602F" w:rsidRDefault="005F602F" w:rsidP="005F602F">
      <w:pPr>
        <w:pStyle w:val="NORMAL12"/>
        <w:rPr>
          <w:lang w:val="es-ES"/>
        </w:rPr>
      </w:pPr>
      <w:r>
        <w:rPr>
          <w:lang w:val="es-ES"/>
        </w:rPr>
        <w:t xml:space="preserve">Las dimensiones del sumidero son las indicadas en el proyecto. Dispone de rejilla de 20 x 20 centímetros. </w:t>
      </w:r>
    </w:p>
    <w:p w14:paraId="578D8174" w14:textId="77777777" w:rsidR="005F602F" w:rsidRDefault="005F602F" w:rsidP="005F602F">
      <w:pPr>
        <w:pStyle w:val="NORMAL12"/>
        <w:rPr>
          <w:lang w:val="es-ES"/>
        </w:rPr>
      </w:pPr>
      <w:r>
        <w:rPr>
          <w:lang w:val="es-ES"/>
        </w:rPr>
        <w:t xml:space="preserve">Las </w:t>
      </w:r>
      <w:r w:rsidR="00D93E76">
        <w:rPr>
          <w:lang w:val="es-ES"/>
        </w:rPr>
        <w:t>dimensiones</w:t>
      </w:r>
      <w:r>
        <w:rPr>
          <w:lang w:val="es-ES"/>
        </w:rPr>
        <w:t xml:space="preserve"> de la tubería son de 110 mm, que permiten el funcionamiento en condiciones normales sin atascos.</w:t>
      </w:r>
    </w:p>
    <w:p w14:paraId="6AAC31DB" w14:textId="77777777" w:rsidR="005F602F" w:rsidRPr="005F602F" w:rsidRDefault="00D93E76" w:rsidP="005F602F">
      <w:pPr>
        <w:pStyle w:val="NORMAL12"/>
        <w:rPr>
          <w:lang w:val="es-ES"/>
        </w:rPr>
      </w:pPr>
      <w:r>
        <w:rPr>
          <w:lang w:val="es-ES"/>
        </w:rPr>
        <w:t>Las</w:t>
      </w:r>
      <w:r w:rsidR="005F602F">
        <w:rPr>
          <w:lang w:val="es-ES"/>
        </w:rPr>
        <w:t xml:space="preserve"> rejillas se </w:t>
      </w:r>
      <w:r>
        <w:rPr>
          <w:lang w:val="es-ES"/>
        </w:rPr>
        <w:t>dispondrán</w:t>
      </w:r>
      <w:r w:rsidR="005F602F">
        <w:rPr>
          <w:lang w:val="es-ES"/>
        </w:rPr>
        <w:t xml:space="preserve"> en el sentido de la corriente. La </w:t>
      </w:r>
      <w:r>
        <w:rPr>
          <w:lang w:val="es-ES"/>
        </w:rPr>
        <w:t>separación</w:t>
      </w:r>
      <w:r w:rsidR="005F602F">
        <w:rPr>
          <w:lang w:val="es-ES"/>
        </w:rPr>
        <w:t xml:space="preserve"> máxima entre ellas es de cuatro (4) centímetros.</w:t>
      </w:r>
    </w:p>
    <w:p w14:paraId="6B017BEB" w14:textId="77777777" w:rsidR="00DB14F6" w:rsidRDefault="00DB14F6" w:rsidP="000313DD">
      <w:pPr>
        <w:pStyle w:val="TITU2"/>
      </w:pPr>
      <w:bookmarkStart w:id="436" w:name="_Toc404225"/>
      <w:r w:rsidRPr="00DB14F6">
        <w:t>411.3. Materiales</w:t>
      </w:r>
      <w:bookmarkEnd w:id="436"/>
    </w:p>
    <w:p w14:paraId="32FBCCA6" w14:textId="77777777" w:rsidR="005F602F" w:rsidRPr="005F602F" w:rsidRDefault="005F602F" w:rsidP="005F602F">
      <w:pPr>
        <w:pStyle w:val="NORMAL12"/>
        <w:rPr>
          <w:lang w:val="es-ES"/>
        </w:rPr>
      </w:pPr>
      <w:r w:rsidRPr="005F602F">
        <w:rPr>
          <w:lang w:val="es-ES"/>
        </w:rPr>
        <w:t>Lo dispuesto en este artículo se entenderá sin perjuicio de lo establecido en el Real Decreto</w:t>
      </w:r>
      <w:r>
        <w:rPr>
          <w:lang w:val="es-ES"/>
        </w:rPr>
        <w:t xml:space="preserve"> </w:t>
      </w:r>
      <w:r w:rsidRPr="005F602F">
        <w:rPr>
          <w:lang w:val="es-ES"/>
        </w:rPr>
        <w:t>1630/1992 (modificado por el R.D. 1328/1995), por el que se dictan disposiciones para la libre</w:t>
      </w:r>
      <w:r>
        <w:rPr>
          <w:lang w:val="es-ES"/>
        </w:rPr>
        <w:t xml:space="preserve"> </w:t>
      </w:r>
      <w:r w:rsidRPr="005F602F">
        <w:rPr>
          <w:lang w:val="es-ES"/>
        </w:rPr>
        <w:t>circulación de productos de construcción, en aplicación de la Directiva 89/106 CEE. En</w:t>
      </w:r>
      <w:r>
        <w:rPr>
          <w:lang w:val="es-ES"/>
        </w:rPr>
        <w:t xml:space="preserve"> </w:t>
      </w:r>
      <w:r w:rsidRPr="005F602F">
        <w:rPr>
          <w:lang w:val="es-ES"/>
        </w:rPr>
        <w:t>particular, en lo referente a los procedimientos especiales de reconocimiento, se estará a lo</w:t>
      </w:r>
      <w:r>
        <w:rPr>
          <w:lang w:val="es-ES"/>
        </w:rPr>
        <w:t xml:space="preserve"> </w:t>
      </w:r>
      <w:r w:rsidRPr="005F602F">
        <w:rPr>
          <w:lang w:val="es-ES"/>
        </w:rPr>
        <w:t>establecido en el artículo 9 del mencionado Real Decreto</w:t>
      </w:r>
      <w:r w:rsidR="002A67A1">
        <w:rPr>
          <w:lang w:val="es-ES"/>
        </w:rPr>
        <w:t xml:space="preserve">. </w:t>
      </w:r>
      <w:r w:rsidRPr="005F602F">
        <w:rPr>
          <w:lang w:val="es-ES"/>
        </w:rPr>
        <w:t xml:space="preserve">El hormigón empleado debe cumplir las </w:t>
      </w:r>
      <w:r w:rsidR="00D93E76" w:rsidRPr="005F602F">
        <w:rPr>
          <w:lang w:val="es-ES"/>
        </w:rPr>
        <w:t>prescripciones</w:t>
      </w:r>
      <w:r w:rsidRPr="005F602F">
        <w:rPr>
          <w:lang w:val="es-ES"/>
        </w:rPr>
        <w:t xml:space="preserve"> establecidas en la </w:t>
      </w:r>
      <w:r w:rsidR="00D93E76" w:rsidRPr="005F602F">
        <w:rPr>
          <w:lang w:val="es-ES"/>
        </w:rPr>
        <w:t>instrucción</w:t>
      </w:r>
      <w:r w:rsidRPr="005F602F">
        <w:rPr>
          <w:lang w:val="es-ES"/>
        </w:rPr>
        <w:t xml:space="preserve"> EHE.</w:t>
      </w:r>
    </w:p>
    <w:p w14:paraId="00E6D3E6" w14:textId="77777777" w:rsidR="005F602F" w:rsidRPr="005F602F" w:rsidRDefault="005F602F" w:rsidP="005F602F">
      <w:pPr>
        <w:pStyle w:val="NORMAL12"/>
        <w:rPr>
          <w:lang w:val="es-ES"/>
        </w:rPr>
      </w:pPr>
      <w:r w:rsidRPr="005F602F">
        <w:rPr>
          <w:lang w:val="es-ES"/>
        </w:rPr>
        <w:t>La rejilla será de fundición y en cuanto a la capacidad de resistencia debida a cargas de tráfico será del tipo D400 según la norma UNE-EN 124:1995.</w:t>
      </w:r>
    </w:p>
    <w:p w14:paraId="325BDEFF" w14:textId="77777777" w:rsidR="00DB14F6" w:rsidRDefault="00DB14F6" w:rsidP="000313DD">
      <w:pPr>
        <w:pStyle w:val="TITU2"/>
      </w:pPr>
      <w:bookmarkStart w:id="437" w:name="_Toc404226"/>
      <w:r w:rsidRPr="00DB14F6">
        <w:t>411.4. Ejecución de las obras</w:t>
      </w:r>
      <w:bookmarkEnd w:id="437"/>
    </w:p>
    <w:p w14:paraId="09869836" w14:textId="77777777" w:rsidR="005F602F" w:rsidRDefault="005F602F" w:rsidP="005F602F">
      <w:pPr>
        <w:pStyle w:val="NORMAL12"/>
        <w:rPr>
          <w:lang w:val="es-ES"/>
        </w:rPr>
      </w:pPr>
      <w:r>
        <w:rPr>
          <w:lang w:val="es-ES"/>
        </w:rPr>
        <w:t xml:space="preserve">Se ejecutarán las obras según lo especificado en el Proyecto y con lo que sobre el particular ordene el </w:t>
      </w:r>
      <w:proofErr w:type="gramStart"/>
      <w:r>
        <w:rPr>
          <w:lang w:val="es-ES"/>
        </w:rPr>
        <w:t>Director</w:t>
      </w:r>
      <w:proofErr w:type="gramEnd"/>
      <w:r>
        <w:rPr>
          <w:lang w:val="es-ES"/>
        </w:rPr>
        <w:t xml:space="preserve"> de Obra. </w:t>
      </w:r>
    </w:p>
    <w:p w14:paraId="0B89F7BF" w14:textId="77777777" w:rsidR="005F602F" w:rsidRDefault="005F602F" w:rsidP="005F602F">
      <w:pPr>
        <w:pStyle w:val="NORMAL12"/>
        <w:rPr>
          <w:lang w:val="es-ES"/>
        </w:rPr>
      </w:pPr>
      <w:r>
        <w:rPr>
          <w:lang w:val="es-ES"/>
        </w:rPr>
        <w:t xml:space="preserve">La tolerancia en dimensiones del cuerpo del sumidero no será superior a </w:t>
      </w:r>
      <w:r w:rsidR="00D93E76">
        <w:rPr>
          <w:lang w:val="es-ES"/>
        </w:rPr>
        <w:t>diez</w:t>
      </w:r>
      <w:r>
        <w:rPr>
          <w:lang w:val="es-ES"/>
        </w:rPr>
        <w:t xml:space="preserve"> milímetros (10 mm) respecto a lo especificado en los planos del Proyecto.</w:t>
      </w:r>
    </w:p>
    <w:p w14:paraId="46F204FC" w14:textId="77777777" w:rsidR="005F602F" w:rsidRPr="005F602F" w:rsidRDefault="005F602F" w:rsidP="005F602F">
      <w:pPr>
        <w:pStyle w:val="NORMAL12"/>
        <w:rPr>
          <w:lang w:val="es-ES"/>
        </w:rPr>
      </w:pPr>
      <w:r>
        <w:rPr>
          <w:lang w:val="es-ES"/>
        </w:rPr>
        <w:t>Antes de colocar la rejilla, se limpiarán el sumidero y el conducto de desagüe.</w:t>
      </w:r>
    </w:p>
    <w:p w14:paraId="4DB60848" w14:textId="77777777" w:rsidR="00DB14F6" w:rsidRDefault="00DB14F6" w:rsidP="000313DD">
      <w:pPr>
        <w:pStyle w:val="TITU2"/>
      </w:pPr>
      <w:bookmarkStart w:id="438" w:name="_Toc404227"/>
      <w:r w:rsidRPr="00DB14F6">
        <w:t>411.5. Medición y abono</w:t>
      </w:r>
      <w:bookmarkEnd w:id="438"/>
    </w:p>
    <w:p w14:paraId="5B689450" w14:textId="77777777" w:rsidR="005F602F" w:rsidRDefault="005F602F" w:rsidP="005F602F">
      <w:pPr>
        <w:pStyle w:val="NORMAL12"/>
        <w:rPr>
          <w:lang w:val="es-ES"/>
        </w:rPr>
      </w:pPr>
      <w:r>
        <w:rPr>
          <w:lang w:val="es-ES"/>
        </w:rPr>
        <w:t>La medición y abono de la unidad de sumidero se realizará según las prescripciones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6"/>
        <w:gridCol w:w="7642"/>
      </w:tblGrid>
      <w:tr w:rsidR="00595554" w:rsidRPr="00240936" w14:paraId="11DAF617" w14:textId="77777777" w:rsidTr="005F602F">
        <w:tc>
          <w:tcPr>
            <w:tcW w:w="0" w:type="auto"/>
            <w:vAlign w:val="center"/>
          </w:tcPr>
          <w:p w14:paraId="560E98F4" w14:textId="77777777" w:rsidR="005F602F" w:rsidRPr="00D61146" w:rsidRDefault="005F602F" w:rsidP="005F602F">
            <w:pPr>
              <w:pStyle w:val="LCATabla"/>
              <w:jc w:val="center"/>
              <w:rPr>
                <w:rFonts w:ascii="Arial" w:hAnsi="Arial" w:cs="Arial"/>
                <w:b/>
                <w:bCs/>
                <w:sz w:val="20"/>
              </w:rPr>
            </w:pPr>
            <w:r w:rsidRPr="00D61146">
              <w:rPr>
                <w:rFonts w:ascii="Arial" w:hAnsi="Arial" w:cs="Arial"/>
                <w:b/>
                <w:bCs/>
                <w:sz w:val="20"/>
              </w:rPr>
              <w:t>Unidad de medida</w:t>
            </w:r>
          </w:p>
        </w:tc>
        <w:tc>
          <w:tcPr>
            <w:tcW w:w="0" w:type="auto"/>
            <w:vAlign w:val="center"/>
          </w:tcPr>
          <w:p w14:paraId="090EA4F5" w14:textId="77777777" w:rsidR="005F602F" w:rsidRPr="00D61146" w:rsidRDefault="005F602F" w:rsidP="002A7A61">
            <w:pPr>
              <w:pStyle w:val="LCATabla"/>
              <w:jc w:val="both"/>
              <w:rPr>
                <w:rFonts w:ascii="Arial" w:hAnsi="Arial" w:cs="Arial"/>
                <w:sz w:val="20"/>
              </w:rPr>
            </w:pPr>
            <w:r>
              <w:rPr>
                <w:rFonts w:ascii="Arial" w:hAnsi="Arial" w:cs="Arial"/>
                <w:sz w:val="20"/>
              </w:rPr>
              <w:t>Unidad</w:t>
            </w:r>
            <w:r w:rsidRPr="00D61146">
              <w:rPr>
                <w:rFonts w:ascii="Arial" w:hAnsi="Arial" w:cs="Arial"/>
                <w:sz w:val="20"/>
              </w:rPr>
              <w:t xml:space="preserve"> (</w:t>
            </w:r>
            <w:proofErr w:type="spellStart"/>
            <w:r>
              <w:rPr>
                <w:rFonts w:ascii="Arial" w:hAnsi="Arial" w:cs="Arial"/>
                <w:sz w:val="20"/>
              </w:rPr>
              <w:t>ud</w:t>
            </w:r>
            <w:proofErr w:type="spellEnd"/>
            <w:r w:rsidRPr="00D61146">
              <w:rPr>
                <w:rFonts w:ascii="Arial" w:hAnsi="Arial" w:cs="Arial"/>
                <w:sz w:val="20"/>
              </w:rPr>
              <w:t>)</w:t>
            </w:r>
          </w:p>
        </w:tc>
      </w:tr>
      <w:tr w:rsidR="00595554" w:rsidRPr="00240936" w14:paraId="5842354B" w14:textId="77777777" w:rsidTr="005F602F">
        <w:tc>
          <w:tcPr>
            <w:tcW w:w="0" w:type="auto"/>
            <w:vAlign w:val="center"/>
          </w:tcPr>
          <w:p w14:paraId="181F94D8" w14:textId="77777777" w:rsidR="005F602F" w:rsidRPr="00D61146" w:rsidRDefault="005F602F" w:rsidP="005F602F">
            <w:pPr>
              <w:pStyle w:val="LCATabla"/>
              <w:jc w:val="center"/>
              <w:rPr>
                <w:rFonts w:ascii="Arial" w:hAnsi="Arial" w:cs="Arial"/>
                <w:b/>
                <w:bCs/>
                <w:sz w:val="20"/>
              </w:rPr>
            </w:pPr>
            <w:r w:rsidRPr="00D61146">
              <w:rPr>
                <w:rFonts w:ascii="Arial" w:hAnsi="Arial" w:cs="Arial"/>
                <w:b/>
                <w:bCs/>
                <w:sz w:val="20"/>
              </w:rPr>
              <w:t>Grado de precisión</w:t>
            </w:r>
          </w:p>
        </w:tc>
        <w:tc>
          <w:tcPr>
            <w:tcW w:w="0" w:type="auto"/>
            <w:vAlign w:val="center"/>
          </w:tcPr>
          <w:p w14:paraId="0E9DD6B2" w14:textId="77777777" w:rsidR="005F602F" w:rsidRPr="00D61146" w:rsidRDefault="00F350A2" w:rsidP="002A7A61">
            <w:pPr>
              <w:pStyle w:val="LCATabla"/>
              <w:jc w:val="both"/>
              <w:rPr>
                <w:rFonts w:ascii="Arial" w:hAnsi="Arial" w:cs="Arial"/>
                <w:sz w:val="20"/>
              </w:rPr>
            </w:pPr>
            <w:r>
              <w:rPr>
                <w:rFonts w:ascii="Arial" w:hAnsi="Arial" w:cs="Arial"/>
                <w:sz w:val="20"/>
              </w:rPr>
              <w:t>Número entero</w:t>
            </w:r>
          </w:p>
        </w:tc>
      </w:tr>
      <w:tr w:rsidR="00595554" w:rsidRPr="00240936" w14:paraId="39CCC11C" w14:textId="77777777" w:rsidTr="005F602F">
        <w:trPr>
          <w:trHeight w:val="238"/>
        </w:trPr>
        <w:tc>
          <w:tcPr>
            <w:tcW w:w="0" w:type="auto"/>
            <w:vAlign w:val="center"/>
          </w:tcPr>
          <w:p w14:paraId="7F0354C9" w14:textId="77777777" w:rsidR="005F602F" w:rsidRPr="00D61146" w:rsidRDefault="005F602F" w:rsidP="005F602F">
            <w:pPr>
              <w:pStyle w:val="LCATabla"/>
              <w:jc w:val="center"/>
              <w:rPr>
                <w:rFonts w:ascii="Arial" w:hAnsi="Arial" w:cs="Arial"/>
                <w:b/>
                <w:bCs/>
                <w:sz w:val="20"/>
              </w:rPr>
            </w:pPr>
            <w:r w:rsidRPr="00D61146">
              <w:rPr>
                <w:rFonts w:ascii="Arial" w:hAnsi="Arial" w:cs="Arial"/>
                <w:b/>
                <w:bCs/>
                <w:sz w:val="20"/>
              </w:rPr>
              <w:t>Forma de medición</w:t>
            </w:r>
          </w:p>
        </w:tc>
        <w:tc>
          <w:tcPr>
            <w:tcW w:w="0" w:type="auto"/>
            <w:vAlign w:val="center"/>
          </w:tcPr>
          <w:p w14:paraId="3DD89B5B" w14:textId="77777777" w:rsidR="005F602F" w:rsidRPr="00D61146" w:rsidRDefault="005F602F" w:rsidP="002A7A61">
            <w:pPr>
              <w:pStyle w:val="LCATabla"/>
              <w:jc w:val="both"/>
              <w:rPr>
                <w:rFonts w:ascii="Arial" w:hAnsi="Arial" w:cs="Arial"/>
                <w:sz w:val="20"/>
              </w:rPr>
            </w:pPr>
            <w:r>
              <w:rPr>
                <w:rFonts w:ascii="Arial" w:hAnsi="Arial" w:cs="Arial"/>
                <w:sz w:val="20"/>
              </w:rPr>
              <w:t>Arqueta sumidero de realmente ejecutada.</w:t>
            </w:r>
          </w:p>
        </w:tc>
      </w:tr>
      <w:tr w:rsidR="00595554" w:rsidRPr="00240936" w14:paraId="721DC9F7" w14:textId="77777777" w:rsidTr="005F602F">
        <w:tc>
          <w:tcPr>
            <w:tcW w:w="0" w:type="auto"/>
            <w:vAlign w:val="center"/>
          </w:tcPr>
          <w:p w14:paraId="7F191AD9" w14:textId="77777777" w:rsidR="005F602F" w:rsidRPr="00D61146" w:rsidRDefault="005F602F" w:rsidP="005F602F">
            <w:pPr>
              <w:pStyle w:val="LCATabla"/>
              <w:jc w:val="center"/>
              <w:rPr>
                <w:rFonts w:ascii="Arial" w:hAnsi="Arial" w:cs="Arial"/>
                <w:b/>
                <w:bCs/>
                <w:sz w:val="20"/>
              </w:rPr>
            </w:pPr>
            <w:r w:rsidRPr="00D61146">
              <w:rPr>
                <w:rFonts w:ascii="Arial" w:hAnsi="Arial" w:cs="Arial"/>
                <w:b/>
                <w:bCs/>
                <w:sz w:val="20"/>
              </w:rPr>
              <w:t>Abono</w:t>
            </w:r>
          </w:p>
        </w:tc>
        <w:tc>
          <w:tcPr>
            <w:tcW w:w="0" w:type="auto"/>
            <w:vAlign w:val="center"/>
          </w:tcPr>
          <w:p w14:paraId="0127E235" w14:textId="77777777" w:rsidR="005F602F" w:rsidRPr="00D61146" w:rsidRDefault="005F602F" w:rsidP="002A7A61">
            <w:pPr>
              <w:pStyle w:val="LCATabla"/>
              <w:jc w:val="both"/>
              <w:rPr>
                <w:rFonts w:ascii="Arial" w:hAnsi="Arial" w:cs="Arial"/>
                <w:sz w:val="20"/>
              </w:rPr>
            </w:pPr>
            <w:r w:rsidRPr="00D61146">
              <w:rPr>
                <w:rFonts w:ascii="Arial" w:hAnsi="Arial" w:cs="Arial"/>
                <w:sz w:val="20"/>
              </w:rPr>
              <w:t>Se efectuará cuando se realice la aceptación</w:t>
            </w:r>
          </w:p>
        </w:tc>
      </w:tr>
      <w:tr w:rsidR="00595554" w:rsidRPr="00240936" w14:paraId="475D4160" w14:textId="77777777" w:rsidTr="005F602F">
        <w:tc>
          <w:tcPr>
            <w:tcW w:w="0" w:type="auto"/>
            <w:vAlign w:val="center"/>
          </w:tcPr>
          <w:p w14:paraId="7BDA0A34" w14:textId="77777777" w:rsidR="005F602F" w:rsidRPr="00D61146" w:rsidRDefault="005F602F" w:rsidP="005F602F">
            <w:pPr>
              <w:pStyle w:val="LCATabla"/>
              <w:jc w:val="center"/>
              <w:rPr>
                <w:rFonts w:ascii="Arial" w:hAnsi="Arial" w:cs="Arial"/>
                <w:b/>
                <w:bCs/>
                <w:sz w:val="20"/>
              </w:rPr>
            </w:pPr>
            <w:r w:rsidRPr="00D61146">
              <w:rPr>
                <w:rFonts w:ascii="Arial" w:hAnsi="Arial" w:cs="Arial"/>
                <w:b/>
                <w:bCs/>
                <w:sz w:val="20"/>
              </w:rPr>
              <w:t>Criterios complementarios</w:t>
            </w:r>
          </w:p>
        </w:tc>
        <w:tc>
          <w:tcPr>
            <w:tcW w:w="0" w:type="auto"/>
            <w:vAlign w:val="center"/>
          </w:tcPr>
          <w:p w14:paraId="76C673D5" w14:textId="77777777" w:rsidR="005F602F" w:rsidRPr="00D61146" w:rsidRDefault="005F602F" w:rsidP="002A7A61">
            <w:pPr>
              <w:pStyle w:val="LCATabla"/>
              <w:jc w:val="both"/>
              <w:rPr>
                <w:rFonts w:ascii="Arial" w:hAnsi="Arial" w:cs="Arial"/>
                <w:sz w:val="20"/>
              </w:rPr>
            </w:pPr>
            <w:r w:rsidRPr="00D61146">
              <w:rPr>
                <w:rFonts w:ascii="Arial" w:hAnsi="Arial" w:cs="Arial"/>
                <w:sz w:val="20"/>
              </w:rPr>
              <w:t xml:space="preserve">El precio incluye la excavación, </w:t>
            </w:r>
            <w:r w:rsidR="00595554">
              <w:rPr>
                <w:rFonts w:ascii="Arial" w:hAnsi="Arial" w:cs="Arial"/>
                <w:sz w:val="20"/>
              </w:rPr>
              <w:t xml:space="preserve">realización de huecos, </w:t>
            </w:r>
            <w:r w:rsidRPr="00D61146">
              <w:rPr>
                <w:rFonts w:ascii="Arial" w:hAnsi="Arial" w:cs="Arial"/>
                <w:sz w:val="20"/>
              </w:rPr>
              <w:t>hormigón en alzados, encofrado y desen</w:t>
            </w:r>
            <w:r w:rsidR="00595554">
              <w:rPr>
                <w:rFonts w:ascii="Arial" w:hAnsi="Arial" w:cs="Arial"/>
                <w:sz w:val="20"/>
              </w:rPr>
              <w:t xml:space="preserve">cofrado, enfoscado y enlucido, </w:t>
            </w:r>
            <w:r w:rsidRPr="00D61146">
              <w:rPr>
                <w:rFonts w:ascii="Arial" w:hAnsi="Arial" w:cs="Arial"/>
                <w:sz w:val="20"/>
              </w:rPr>
              <w:t>reji</w:t>
            </w:r>
            <w:r w:rsidRPr="00D61146">
              <w:rPr>
                <w:rFonts w:ascii="Arial" w:hAnsi="Arial" w:cs="Arial"/>
                <w:sz w:val="20"/>
              </w:rPr>
              <w:softHyphen/>
              <w:t>lla</w:t>
            </w:r>
            <w:r w:rsidR="00595554">
              <w:rPr>
                <w:rFonts w:ascii="Arial" w:hAnsi="Arial" w:cs="Arial"/>
                <w:sz w:val="20"/>
              </w:rPr>
              <w:t xml:space="preserve"> y marco, tubos de desagüe, según lo</w:t>
            </w:r>
            <w:r w:rsidRPr="00D61146">
              <w:rPr>
                <w:rFonts w:ascii="Arial" w:hAnsi="Arial" w:cs="Arial"/>
                <w:sz w:val="20"/>
              </w:rPr>
              <w:t xml:space="preserve"> definido en los planos. </w:t>
            </w:r>
          </w:p>
          <w:p w14:paraId="3656B7D4" w14:textId="77777777" w:rsidR="005F602F" w:rsidRPr="00D61146" w:rsidRDefault="00595554" w:rsidP="002A7A61">
            <w:pPr>
              <w:pStyle w:val="LCATabla"/>
              <w:jc w:val="both"/>
              <w:rPr>
                <w:rFonts w:ascii="Arial" w:hAnsi="Arial" w:cs="Arial"/>
                <w:sz w:val="20"/>
              </w:rPr>
            </w:pPr>
            <w:r>
              <w:rPr>
                <w:rFonts w:ascii="Arial" w:hAnsi="Arial" w:cs="Arial"/>
                <w:sz w:val="20"/>
              </w:rPr>
              <w:t>El sumidero</w:t>
            </w:r>
            <w:r w:rsidR="005F602F" w:rsidRPr="00D61146">
              <w:rPr>
                <w:rFonts w:ascii="Arial" w:hAnsi="Arial" w:cs="Arial"/>
                <w:sz w:val="20"/>
              </w:rPr>
              <w:t xml:space="preserve"> puede ser </w:t>
            </w:r>
            <w:r w:rsidR="00D93E76" w:rsidRPr="00D61146">
              <w:rPr>
                <w:rFonts w:ascii="Arial" w:hAnsi="Arial" w:cs="Arial"/>
                <w:sz w:val="20"/>
              </w:rPr>
              <w:t>prefabricado</w:t>
            </w:r>
            <w:r w:rsidR="005F602F" w:rsidRPr="00D61146">
              <w:rPr>
                <w:rFonts w:ascii="Arial" w:hAnsi="Arial" w:cs="Arial"/>
                <w:sz w:val="20"/>
              </w:rPr>
              <w:t xml:space="preserve"> con todos los materiales incluidos.</w:t>
            </w:r>
          </w:p>
          <w:p w14:paraId="37D706D3" w14:textId="77777777" w:rsidR="005F602F" w:rsidRDefault="005F602F" w:rsidP="002A7A61">
            <w:pPr>
              <w:pStyle w:val="LCATabla"/>
              <w:jc w:val="both"/>
              <w:rPr>
                <w:rFonts w:ascii="Arial" w:hAnsi="Arial" w:cs="Arial"/>
                <w:sz w:val="20"/>
              </w:rPr>
            </w:pPr>
            <w:r w:rsidRPr="00D61146">
              <w:rPr>
                <w:rFonts w:ascii="Arial" w:hAnsi="Arial" w:cs="Arial"/>
                <w:sz w:val="20"/>
              </w:rPr>
              <w:t>El precio incluye también el relleno localizado en</w:t>
            </w:r>
            <w:r w:rsidR="00595554">
              <w:rPr>
                <w:rFonts w:ascii="Arial" w:hAnsi="Arial" w:cs="Arial"/>
                <w:sz w:val="20"/>
              </w:rPr>
              <w:t xml:space="preserve"> torno del sumidero</w:t>
            </w:r>
            <w:r w:rsidRPr="00D61146">
              <w:rPr>
                <w:rFonts w:ascii="Arial" w:hAnsi="Arial" w:cs="Arial"/>
                <w:sz w:val="20"/>
              </w:rPr>
              <w:t>.</w:t>
            </w:r>
          </w:p>
          <w:p w14:paraId="4F2D9914" w14:textId="77777777" w:rsidR="005F602F" w:rsidRPr="00D61146" w:rsidRDefault="005F602F" w:rsidP="002A7A61">
            <w:pPr>
              <w:pStyle w:val="LCATabla"/>
              <w:jc w:val="both"/>
              <w:rPr>
                <w:rFonts w:ascii="Arial" w:hAnsi="Arial" w:cs="Arial"/>
                <w:sz w:val="20"/>
              </w:rPr>
            </w:pPr>
            <w:r>
              <w:rPr>
                <w:rFonts w:ascii="Arial" w:hAnsi="Arial" w:cs="Arial"/>
                <w:sz w:val="20"/>
              </w:rPr>
              <w:t>El hormigón utilizado cumplirá las especificaciones establecidas en el artículo 610 del presente pliego</w:t>
            </w:r>
          </w:p>
          <w:p w14:paraId="23567899" w14:textId="77777777" w:rsidR="005F602F" w:rsidRPr="00D61146" w:rsidRDefault="005F602F" w:rsidP="002A7A61">
            <w:pPr>
              <w:pStyle w:val="LCATabla"/>
              <w:jc w:val="both"/>
              <w:rPr>
                <w:rFonts w:ascii="Arial" w:hAnsi="Arial" w:cs="Arial"/>
                <w:sz w:val="20"/>
              </w:rPr>
            </w:pPr>
            <w:r w:rsidRPr="00D61146">
              <w:rPr>
                <w:rFonts w:ascii="Arial" w:hAnsi="Arial" w:cs="Arial"/>
                <w:sz w:val="20"/>
              </w:rPr>
              <w:t>La carga y transporte de material sobrante se envía a instalación de gestión de residuos.</w:t>
            </w:r>
          </w:p>
        </w:tc>
      </w:tr>
    </w:tbl>
    <w:p w14:paraId="5FA1D7C4" w14:textId="77777777" w:rsidR="00F23C7C" w:rsidRPr="00317D14" w:rsidRDefault="00F23C7C" w:rsidP="00F23C7C">
      <w:pPr>
        <w:pStyle w:val="TITU1"/>
      </w:pPr>
      <w:bookmarkStart w:id="439" w:name="_Toc404228"/>
      <w:r w:rsidRPr="00317D14">
        <w:lastRenderedPageBreak/>
        <w:t>Artículo 413. Caz de hormigón</w:t>
      </w:r>
      <w:bookmarkEnd w:id="439"/>
    </w:p>
    <w:p w14:paraId="5EDF5683" w14:textId="77777777" w:rsidR="00F23C7C" w:rsidRDefault="00F23C7C" w:rsidP="000313DD">
      <w:pPr>
        <w:pStyle w:val="TITU2"/>
      </w:pPr>
      <w:bookmarkStart w:id="440" w:name="_Toc404229"/>
      <w:r w:rsidRPr="005864C2">
        <w:t>4</w:t>
      </w:r>
      <w:r>
        <w:t>13</w:t>
      </w:r>
      <w:r w:rsidRPr="005864C2">
        <w:t>.1. Definición</w:t>
      </w:r>
      <w:r w:rsidR="00E50149">
        <w:t xml:space="preserve"> y aplic</w:t>
      </w:r>
      <w:r w:rsidR="001633AB">
        <w:t>ación</w:t>
      </w:r>
      <w:bookmarkEnd w:id="440"/>
    </w:p>
    <w:p w14:paraId="3906D767" w14:textId="77777777" w:rsidR="00D8065C" w:rsidRPr="00A01B43" w:rsidRDefault="00D8065C" w:rsidP="00D8065C">
      <w:pPr>
        <w:pStyle w:val="NORMAL12"/>
        <w:rPr>
          <w:lang w:val="es-ES"/>
        </w:rPr>
      </w:pPr>
      <w:r w:rsidRPr="00A01B43">
        <w:rPr>
          <w:lang w:val="es-ES"/>
        </w:rPr>
        <w:t>Se definen como caz prefabricado las piezas prefabricadas de hormigón colocadas sobre solera de hormigón, que constituye una faja o cinta que situada junto a la arista exterior del arcén para conducción de las aguas pluviales recibidas por la calzada hasta los elementos de drenaje.</w:t>
      </w:r>
    </w:p>
    <w:p w14:paraId="56824EE7" w14:textId="77777777" w:rsidR="00F23C7C" w:rsidRPr="00A01B43" w:rsidRDefault="00F23C7C" w:rsidP="00F23C7C">
      <w:pPr>
        <w:pStyle w:val="NORMAL12"/>
        <w:rPr>
          <w:lang w:val="es-ES"/>
        </w:rPr>
      </w:pPr>
      <w:r w:rsidRPr="00A01B43">
        <w:rPr>
          <w:lang w:val="es-ES"/>
        </w:rPr>
        <w:t xml:space="preserve">Las prescripciones del presente artículo </w:t>
      </w:r>
      <w:proofErr w:type="gramStart"/>
      <w:r w:rsidRPr="00A01B43">
        <w:rPr>
          <w:lang w:val="es-ES"/>
        </w:rPr>
        <w:t>son de aplicación</w:t>
      </w:r>
      <w:proofErr w:type="gramEnd"/>
      <w:r w:rsidRPr="00A01B43">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053"/>
        <w:gridCol w:w="779"/>
        <w:gridCol w:w="7946"/>
      </w:tblGrid>
      <w:tr w:rsidR="00F23C7C" w:rsidRPr="00A01B43" w14:paraId="02B6C1ED" w14:textId="77777777" w:rsidTr="00707B9C">
        <w:trPr>
          <w:trHeight w:val="300"/>
        </w:trPr>
        <w:tc>
          <w:tcPr>
            <w:tcW w:w="538" w:type="pct"/>
            <w:noWrap/>
          </w:tcPr>
          <w:p w14:paraId="6019CE81" w14:textId="77777777" w:rsidR="00F23C7C" w:rsidRPr="00050087" w:rsidRDefault="00F23C7C" w:rsidP="00F23C7C">
            <w:pPr>
              <w:rPr>
                <w:rFonts w:ascii="Calibri" w:hAnsi="Calibri"/>
              </w:rPr>
            </w:pPr>
            <w:r w:rsidRPr="00050087">
              <w:rPr>
                <w:rFonts w:ascii="Calibri" w:hAnsi="Calibri"/>
              </w:rPr>
              <w:t xml:space="preserve">413.0010          </w:t>
            </w:r>
          </w:p>
        </w:tc>
        <w:tc>
          <w:tcPr>
            <w:tcW w:w="399" w:type="pct"/>
            <w:noWrap/>
          </w:tcPr>
          <w:p w14:paraId="59141BDB" w14:textId="77777777" w:rsidR="00F23C7C" w:rsidRPr="00050087" w:rsidRDefault="00F23C7C" w:rsidP="00F23C7C">
            <w:pPr>
              <w:rPr>
                <w:rFonts w:ascii="Calibri" w:hAnsi="Calibri"/>
              </w:rPr>
            </w:pPr>
            <w:r w:rsidRPr="00050087">
              <w:rPr>
                <w:rFonts w:ascii="Calibri" w:hAnsi="Calibri"/>
              </w:rPr>
              <w:t>m</w:t>
            </w:r>
          </w:p>
        </w:tc>
        <w:tc>
          <w:tcPr>
            <w:tcW w:w="4062" w:type="pct"/>
          </w:tcPr>
          <w:p w14:paraId="737D7719" w14:textId="77777777" w:rsidR="00F23C7C" w:rsidRPr="00050087" w:rsidRDefault="00707B9C" w:rsidP="002A7A61">
            <w:pPr>
              <w:jc w:val="both"/>
              <w:rPr>
                <w:rFonts w:ascii="Calibri" w:hAnsi="Calibri"/>
              </w:rPr>
            </w:pPr>
            <w:r w:rsidRPr="00050087">
              <w:rPr>
                <w:rFonts w:ascii="Calibri" w:hAnsi="Calibri"/>
              </w:rPr>
              <w:t>CAZ DE HORMIGÓN PREFABRICADO i/ SUMINISTRO DEL CAZ Y TRANSPORTE A LUGAR DE EMPLEO, EXCAVACIÓN, AGOTAMIENTO Y ENTIBACIÓN, SI FUESE NECESARIO, CARGA Y TRANSPORTE DE PRODUCTOS SOBRANTES A VERTEDERO, NIVELACIÓN Y PREPARACIÓN DEL LECHO DE ASIENTO Y PERFILADO.</w:t>
            </w:r>
          </w:p>
          <w:p w14:paraId="2F4EF26B" w14:textId="77777777" w:rsidR="00707B9C" w:rsidRPr="00050087" w:rsidRDefault="00707B9C" w:rsidP="00F23C7C">
            <w:pPr>
              <w:rPr>
                <w:rFonts w:ascii="Calibri" w:hAnsi="Calibri"/>
              </w:rPr>
            </w:pPr>
          </w:p>
        </w:tc>
      </w:tr>
    </w:tbl>
    <w:p w14:paraId="383A466A" w14:textId="77777777" w:rsidR="00741E3E" w:rsidRDefault="00F23C7C" w:rsidP="00F23C7C">
      <w:pPr>
        <w:pStyle w:val="NORMAL12"/>
        <w:rPr>
          <w:lang w:val="es-ES"/>
        </w:rPr>
      </w:pPr>
      <w:r w:rsidRPr="00034D35">
        <w:rPr>
          <w:lang w:val="es-ES"/>
        </w:rPr>
        <w:t xml:space="preserve">La forma, dimensiones, tipo de material y demás características, se ajustarán a lo que figure en la Norma 5.2-IC de Drenaje </w:t>
      </w:r>
      <w:r w:rsidR="00157701" w:rsidRPr="00034D35">
        <w:rPr>
          <w:lang w:val="es-ES"/>
        </w:rPr>
        <w:t>Superficial, y</w:t>
      </w:r>
      <w:r w:rsidR="00034D35" w:rsidRPr="00034D35">
        <w:rPr>
          <w:lang w:val="es-ES"/>
        </w:rPr>
        <w:t xml:space="preserve"> en los planos del proyecto. </w:t>
      </w:r>
    </w:p>
    <w:p w14:paraId="2EAC1585" w14:textId="77777777" w:rsidR="00D8065C" w:rsidRPr="00A01B43" w:rsidRDefault="00D8065C" w:rsidP="00F23C7C">
      <w:pPr>
        <w:pStyle w:val="NORMAL12"/>
        <w:rPr>
          <w:lang w:val="es-ES"/>
        </w:rPr>
      </w:pPr>
      <w:r w:rsidRPr="00A01B43">
        <w:rPr>
          <w:lang w:val="es-ES"/>
        </w:rPr>
        <w:t>La ejecución de la unidad incluye la realización de las operaciones siguientes:</w:t>
      </w:r>
    </w:p>
    <w:p w14:paraId="1AC264F6" w14:textId="77777777" w:rsidR="00D8065C" w:rsidRPr="00A01B43" w:rsidRDefault="00D8065C" w:rsidP="00221E1A">
      <w:pPr>
        <w:pStyle w:val="NORMAL12"/>
        <w:numPr>
          <w:ilvl w:val="0"/>
          <w:numId w:val="125"/>
        </w:numPr>
        <w:rPr>
          <w:lang w:val="es-ES"/>
        </w:rPr>
      </w:pPr>
      <w:r w:rsidRPr="00A01B43">
        <w:rPr>
          <w:lang w:val="es-ES"/>
        </w:rPr>
        <w:t>Suministro de la pieza de hormigón prefabricado</w:t>
      </w:r>
    </w:p>
    <w:p w14:paraId="2EA7FC72" w14:textId="77777777" w:rsidR="00D8065C" w:rsidRPr="00A01B43" w:rsidRDefault="00D8065C" w:rsidP="00221E1A">
      <w:pPr>
        <w:pStyle w:val="NORMAL12"/>
        <w:numPr>
          <w:ilvl w:val="0"/>
          <w:numId w:val="125"/>
        </w:numPr>
        <w:rPr>
          <w:lang w:val="es-ES"/>
        </w:rPr>
      </w:pPr>
      <w:r w:rsidRPr="00A01B43">
        <w:rPr>
          <w:lang w:val="es-ES"/>
        </w:rPr>
        <w:t>La excavación de la zanja</w:t>
      </w:r>
    </w:p>
    <w:p w14:paraId="7D8C7B66" w14:textId="77777777" w:rsidR="00D8065C" w:rsidRDefault="00D8065C" w:rsidP="00221E1A">
      <w:pPr>
        <w:pStyle w:val="NORMAL12"/>
        <w:numPr>
          <w:ilvl w:val="0"/>
          <w:numId w:val="125"/>
        </w:numPr>
        <w:rPr>
          <w:lang w:val="es-ES"/>
        </w:rPr>
      </w:pPr>
      <w:r w:rsidRPr="00A01B43">
        <w:rPr>
          <w:lang w:val="es-ES"/>
        </w:rPr>
        <w:t>Nivelación y preparación del lecho de asiento y perfilado.</w:t>
      </w:r>
    </w:p>
    <w:p w14:paraId="1166FE08" w14:textId="77777777" w:rsidR="001C6CDC" w:rsidRPr="00A01B43" w:rsidRDefault="001C6CDC" w:rsidP="00221E1A">
      <w:pPr>
        <w:pStyle w:val="NORMAL12"/>
        <w:numPr>
          <w:ilvl w:val="0"/>
          <w:numId w:val="125"/>
        </w:numPr>
        <w:rPr>
          <w:lang w:val="es-ES"/>
        </w:rPr>
      </w:pPr>
      <w:r>
        <w:rPr>
          <w:lang w:val="es-ES"/>
        </w:rPr>
        <w:t>Colocación de las piezas e impermeabilización de juntas</w:t>
      </w:r>
    </w:p>
    <w:p w14:paraId="372C23B1" w14:textId="77777777" w:rsidR="00D8065C" w:rsidRPr="00A01B43" w:rsidRDefault="00D8065C" w:rsidP="00221E1A">
      <w:pPr>
        <w:pStyle w:val="NORMAL12"/>
        <w:numPr>
          <w:ilvl w:val="0"/>
          <w:numId w:val="125"/>
        </w:numPr>
        <w:rPr>
          <w:lang w:val="es-ES"/>
        </w:rPr>
      </w:pPr>
      <w:r w:rsidRPr="00A01B43">
        <w:rPr>
          <w:lang w:val="es-ES"/>
        </w:rPr>
        <w:t>Carga y transporte de productos sobrantes a vertedero o instalación de gestión de residuos.</w:t>
      </w:r>
    </w:p>
    <w:p w14:paraId="33620C47" w14:textId="77777777" w:rsidR="00F23C7C" w:rsidRPr="00A01B43" w:rsidRDefault="00F23C7C" w:rsidP="000313DD">
      <w:pPr>
        <w:pStyle w:val="TITU2"/>
      </w:pPr>
      <w:bookmarkStart w:id="441" w:name="_Toc404230"/>
      <w:r w:rsidRPr="00A01B43">
        <w:t>413.2. Materiales</w:t>
      </w:r>
      <w:bookmarkEnd w:id="441"/>
    </w:p>
    <w:p w14:paraId="537DC480" w14:textId="77777777" w:rsidR="00F23C7C" w:rsidRPr="00A01B43" w:rsidRDefault="00F23C7C" w:rsidP="00F23C7C">
      <w:pPr>
        <w:pStyle w:val="NORMAL12"/>
        <w:rPr>
          <w:lang w:val="es-ES"/>
        </w:rPr>
      </w:pPr>
      <w:r w:rsidRPr="00A01B43">
        <w:rPr>
          <w:lang w:val="es-ES"/>
        </w:rPr>
        <w:t>El caz de hormigón prefabricado se fabricará bajo control intenso con hormigón tipo HM-</w:t>
      </w:r>
      <w:r w:rsidR="00ED6EF7">
        <w:rPr>
          <w:lang w:val="es-ES"/>
        </w:rPr>
        <w:t>30</w:t>
      </w:r>
      <w:r w:rsidRPr="00A01B43">
        <w:rPr>
          <w:lang w:val="es-ES"/>
        </w:rPr>
        <w:t xml:space="preserve"> en piezas de peso en torno a 35 kg al objeto de que sean manejables.</w:t>
      </w:r>
      <w:r w:rsidR="00D067D8">
        <w:rPr>
          <w:lang w:val="es-ES"/>
        </w:rPr>
        <w:t xml:space="preserve"> </w:t>
      </w:r>
    </w:p>
    <w:p w14:paraId="1AE851FF" w14:textId="77777777" w:rsidR="00F23C7C" w:rsidRPr="00A01B43" w:rsidRDefault="00F23C7C" w:rsidP="00F23C7C">
      <w:pPr>
        <w:pStyle w:val="NORMAL12"/>
        <w:rPr>
          <w:lang w:val="es-ES"/>
        </w:rPr>
      </w:pPr>
      <w:r w:rsidRPr="00A01B43">
        <w:rPr>
          <w:lang w:val="es-ES"/>
        </w:rPr>
        <w:t xml:space="preserve">Adicionalmente las piezas prefabricadas </w:t>
      </w:r>
      <w:r w:rsidR="00ED6EF7">
        <w:rPr>
          <w:lang w:val="es-ES"/>
        </w:rPr>
        <w:t xml:space="preserve">de </w:t>
      </w:r>
      <w:r w:rsidRPr="00A01B43">
        <w:rPr>
          <w:lang w:val="es-ES"/>
        </w:rPr>
        <w:t>hormigón</w:t>
      </w:r>
      <w:r w:rsidR="00ED6EF7">
        <w:rPr>
          <w:lang w:val="es-ES"/>
        </w:rPr>
        <w:t xml:space="preserve"> cumplirán</w:t>
      </w:r>
      <w:r w:rsidRPr="00A01B43">
        <w:rPr>
          <w:lang w:val="es-ES"/>
        </w:rPr>
        <w:t xml:space="preserve"> con carácter general lo exigido por:</w:t>
      </w:r>
    </w:p>
    <w:p w14:paraId="5D9E61E7" w14:textId="77777777" w:rsidR="00F23C7C" w:rsidRPr="00A01B43" w:rsidRDefault="00F23C7C" w:rsidP="006D4837">
      <w:pPr>
        <w:pStyle w:val="NORMAL12"/>
        <w:numPr>
          <w:ilvl w:val="0"/>
          <w:numId w:val="35"/>
        </w:numPr>
        <w:rPr>
          <w:lang w:val="es-ES"/>
        </w:rPr>
      </w:pPr>
      <w:r w:rsidRPr="00A01B43">
        <w:rPr>
          <w:lang w:val="es-ES"/>
        </w:rPr>
        <w:t>Instrucción de Hormigón Estructural (EHE). Instrucción para la Recepción de Cementos.</w:t>
      </w:r>
    </w:p>
    <w:p w14:paraId="201EB296" w14:textId="77777777" w:rsidR="00F23C7C" w:rsidRPr="00A01B43" w:rsidRDefault="00F23C7C" w:rsidP="006D4837">
      <w:pPr>
        <w:pStyle w:val="NORMAL12"/>
        <w:numPr>
          <w:ilvl w:val="0"/>
          <w:numId w:val="35"/>
        </w:numPr>
        <w:rPr>
          <w:lang w:val="es-ES"/>
        </w:rPr>
      </w:pPr>
      <w:r w:rsidRPr="00A01B43">
        <w:rPr>
          <w:lang w:val="es-ES"/>
        </w:rPr>
        <w:t>Artículos 610 “Hormigones” y 630 “Obras de hormigón en masa o armado” de este Pliego.</w:t>
      </w:r>
    </w:p>
    <w:p w14:paraId="54B5EBE6" w14:textId="77777777" w:rsidR="00F23C7C" w:rsidRPr="0041192E" w:rsidRDefault="00F23C7C" w:rsidP="004712AC">
      <w:pPr>
        <w:pStyle w:val="TITU3"/>
        <w:numPr>
          <w:ilvl w:val="0"/>
          <w:numId w:val="0"/>
        </w:numPr>
        <w:outlineLvl w:val="3"/>
      </w:pPr>
      <w:r w:rsidRPr="0041192E">
        <w:t>4</w:t>
      </w:r>
      <w:r w:rsidR="00B16302" w:rsidRPr="0041192E">
        <w:t>13</w:t>
      </w:r>
      <w:r w:rsidRPr="0041192E">
        <w:t>.2.2 Características geométricas de las piezas prefabricadas</w:t>
      </w:r>
    </w:p>
    <w:p w14:paraId="6227B45D" w14:textId="77777777" w:rsidR="00F23C7C" w:rsidRPr="0041192E" w:rsidRDefault="00F23C7C" w:rsidP="00F23C7C">
      <w:pPr>
        <w:pStyle w:val="NORMAL12"/>
        <w:rPr>
          <w:lang w:val="es-ES"/>
        </w:rPr>
      </w:pPr>
      <w:r w:rsidRPr="0041192E">
        <w:rPr>
          <w:lang w:val="es-ES"/>
        </w:rPr>
        <w:t xml:space="preserve">La forma y dimensiones serán las señaladas en los planos del proyecto. La longitud será de cincuenta centímetros (50 cm). </w:t>
      </w:r>
    </w:p>
    <w:p w14:paraId="283F3D83" w14:textId="77777777" w:rsidR="00F23C7C" w:rsidRPr="00A01B43" w:rsidRDefault="00F23C7C" w:rsidP="00F23C7C">
      <w:pPr>
        <w:pStyle w:val="NORMAL12"/>
        <w:rPr>
          <w:lang w:val="es-ES"/>
        </w:rPr>
      </w:pPr>
      <w:r w:rsidRPr="0041192E">
        <w:rPr>
          <w:lang w:val="es-ES"/>
        </w:rPr>
        <w:t>En el caz de hormigón se admitirán las tolerancias dimensionales que se indican a continuación:</w:t>
      </w:r>
    </w:p>
    <w:p w14:paraId="1D278962" w14:textId="77777777" w:rsidR="00F23C7C" w:rsidRPr="00A01B43" w:rsidRDefault="00F23C7C" w:rsidP="00E01981">
      <w:pPr>
        <w:pStyle w:val="NORMAL12"/>
        <w:numPr>
          <w:ilvl w:val="0"/>
          <w:numId w:val="47"/>
        </w:numPr>
        <w:rPr>
          <w:lang w:val="es-ES"/>
        </w:rPr>
      </w:pPr>
      <w:r w:rsidRPr="00A01B43">
        <w:rPr>
          <w:lang w:val="es-ES"/>
        </w:rPr>
        <w:t>Dimensiones</w:t>
      </w:r>
      <w:r w:rsidRPr="00A01B43">
        <w:rPr>
          <w:lang w:val="es-ES"/>
        </w:rPr>
        <w:tab/>
      </w:r>
      <w:r w:rsidRPr="00A01B43">
        <w:rPr>
          <w:lang w:val="es-ES"/>
        </w:rPr>
        <w:tab/>
        <w:t>Tolerancia (mm)</w:t>
      </w:r>
    </w:p>
    <w:p w14:paraId="10CE3053" w14:textId="77777777" w:rsidR="00F23C7C" w:rsidRPr="00A01B43" w:rsidRDefault="00F23C7C" w:rsidP="00E01981">
      <w:pPr>
        <w:pStyle w:val="NORMAL12"/>
        <w:numPr>
          <w:ilvl w:val="0"/>
          <w:numId w:val="47"/>
        </w:numPr>
        <w:rPr>
          <w:lang w:val="es-ES"/>
        </w:rPr>
      </w:pPr>
      <w:r w:rsidRPr="00A01B43">
        <w:rPr>
          <w:lang w:val="es-ES"/>
        </w:rPr>
        <w:t>Ancho (a)</w:t>
      </w:r>
      <w:r w:rsidRPr="00A01B43">
        <w:rPr>
          <w:lang w:val="es-ES"/>
        </w:rPr>
        <w:tab/>
      </w:r>
      <w:r w:rsidRPr="00A01B43">
        <w:rPr>
          <w:lang w:val="es-ES"/>
        </w:rPr>
        <w:tab/>
      </w:r>
      <w:r w:rsidRPr="00A01B43">
        <w:rPr>
          <w:lang w:val="es-ES"/>
        </w:rPr>
        <w:tab/>
      </w:r>
      <w:r w:rsidRPr="00A01B43">
        <w:rPr>
          <w:lang w:val="es-ES"/>
        </w:rPr>
        <w:tab/>
      </w:r>
      <w:r w:rsidRPr="00A01B43">
        <w:rPr>
          <w:lang w:val="es-ES"/>
        </w:rPr>
        <w:sym w:font="Symbol" w:char="F0B1"/>
      </w:r>
      <w:r w:rsidRPr="00A01B43">
        <w:rPr>
          <w:lang w:val="es-ES"/>
        </w:rPr>
        <w:t>2</w:t>
      </w:r>
    </w:p>
    <w:p w14:paraId="51208AB6" w14:textId="77777777" w:rsidR="00F23C7C" w:rsidRPr="00A01B43" w:rsidRDefault="00F23C7C" w:rsidP="00E01981">
      <w:pPr>
        <w:pStyle w:val="NORMAL12"/>
        <w:numPr>
          <w:ilvl w:val="0"/>
          <w:numId w:val="47"/>
        </w:numPr>
        <w:rPr>
          <w:lang w:val="es-ES"/>
        </w:rPr>
      </w:pPr>
      <w:r w:rsidRPr="00A01B43">
        <w:rPr>
          <w:lang w:val="es-ES"/>
        </w:rPr>
        <w:t>Alto (b)</w:t>
      </w:r>
      <w:r w:rsidRPr="00A01B43">
        <w:rPr>
          <w:lang w:val="es-ES"/>
        </w:rPr>
        <w:tab/>
      </w:r>
      <w:r w:rsidRPr="00A01B43">
        <w:rPr>
          <w:lang w:val="es-ES"/>
        </w:rPr>
        <w:tab/>
      </w:r>
      <w:r w:rsidRPr="00A01B43">
        <w:rPr>
          <w:lang w:val="es-ES"/>
        </w:rPr>
        <w:tab/>
      </w:r>
      <w:r w:rsidRPr="00A01B43">
        <w:rPr>
          <w:lang w:val="es-ES"/>
        </w:rPr>
        <w:tab/>
      </w:r>
      <w:r w:rsidRPr="00A01B43">
        <w:rPr>
          <w:lang w:val="es-ES"/>
        </w:rPr>
        <w:tab/>
      </w:r>
      <w:r w:rsidRPr="00A01B43">
        <w:rPr>
          <w:lang w:val="es-ES"/>
        </w:rPr>
        <w:sym w:font="Symbol" w:char="F0B1"/>
      </w:r>
      <w:r w:rsidRPr="00A01B43">
        <w:rPr>
          <w:lang w:val="es-ES"/>
        </w:rPr>
        <w:t>5</w:t>
      </w:r>
    </w:p>
    <w:p w14:paraId="6876488C" w14:textId="77777777" w:rsidR="00F23C7C" w:rsidRPr="00A01B43" w:rsidRDefault="00F23C7C" w:rsidP="00E01981">
      <w:pPr>
        <w:pStyle w:val="NORMAL12"/>
        <w:numPr>
          <w:ilvl w:val="0"/>
          <w:numId w:val="47"/>
        </w:numPr>
        <w:rPr>
          <w:lang w:val="es-ES"/>
        </w:rPr>
      </w:pPr>
      <w:r w:rsidRPr="00A01B43">
        <w:rPr>
          <w:lang w:val="es-ES"/>
        </w:rPr>
        <w:t>Longitud</w:t>
      </w:r>
      <w:r w:rsidRPr="00A01B43">
        <w:rPr>
          <w:lang w:val="es-ES"/>
        </w:rPr>
        <w:tab/>
      </w:r>
      <w:r w:rsidRPr="00A01B43">
        <w:rPr>
          <w:lang w:val="es-ES"/>
        </w:rPr>
        <w:tab/>
      </w:r>
      <w:r w:rsidRPr="00A01B43">
        <w:rPr>
          <w:lang w:val="es-ES"/>
        </w:rPr>
        <w:tab/>
      </w:r>
      <w:r w:rsidRPr="00A01B43">
        <w:rPr>
          <w:lang w:val="es-ES"/>
        </w:rPr>
        <w:tab/>
      </w:r>
      <w:r w:rsidRPr="00A01B43">
        <w:rPr>
          <w:lang w:val="es-ES"/>
        </w:rPr>
        <w:sym w:font="Symbol" w:char="F0B1"/>
      </w:r>
      <w:r w:rsidRPr="00A01B43">
        <w:rPr>
          <w:lang w:val="es-ES"/>
        </w:rPr>
        <w:t>5</w:t>
      </w:r>
    </w:p>
    <w:p w14:paraId="1CCA1A4C" w14:textId="77777777" w:rsidR="00F23C7C" w:rsidRPr="00A01B43" w:rsidRDefault="00F23C7C" w:rsidP="00E01981">
      <w:pPr>
        <w:pStyle w:val="NORMAL12"/>
        <w:numPr>
          <w:ilvl w:val="0"/>
          <w:numId w:val="47"/>
        </w:numPr>
        <w:rPr>
          <w:lang w:val="es-ES"/>
        </w:rPr>
      </w:pPr>
      <w:r w:rsidRPr="00A01B43">
        <w:rPr>
          <w:lang w:val="es-ES"/>
        </w:rPr>
        <w:t>Declive transversal (d1)</w:t>
      </w:r>
      <w:r w:rsidRPr="00A01B43">
        <w:rPr>
          <w:lang w:val="es-ES"/>
        </w:rPr>
        <w:tab/>
      </w:r>
      <w:r w:rsidRPr="00A01B43">
        <w:rPr>
          <w:lang w:val="es-ES"/>
        </w:rPr>
        <w:tab/>
      </w:r>
      <w:r w:rsidRPr="00A01B43">
        <w:rPr>
          <w:lang w:val="es-ES"/>
        </w:rPr>
        <w:sym w:font="Symbol" w:char="F0B1"/>
      </w:r>
      <w:r w:rsidRPr="00A01B43">
        <w:rPr>
          <w:lang w:val="es-ES"/>
        </w:rPr>
        <w:t>2</w:t>
      </w:r>
    </w:p>
    <w:p w14:paraId="105F9D9E" w14:textId="77777777" w:rsidR="00F23C7C" w:rsidRPr="00A01B43" w:rsidRDefault="00F23C7C" w:rsidP="00E01981">
      <w:pPr>
        <w:pStyle w:val="NORMAL12"/>
        <w:numPr>
          <w:ilvl w:val="0"/>
          <w:numId w:val="47"/>
        </w:numPr>
        <w:rPr>
          <w:lang w:val="es-ES"/>
        </w:rPr>
      </w:pPr>
      <w:r w:rsidRPr="00A01B43">
        <w:rPr>
          <w:lang w:val="es-ES"/>
        </w:rPr>
        <w:t>(d2)</w:t>
      </w:r>
      <w:r w:rsidRPr="00A01B43">
        <w:rPr>
          <w:lang w:val="es-ES"/>
        </w:rPr>
        <w:tab/>
      </w:r>
      <w:r w:rsidRPr="00A01B43">
        <w:rPr>
          <w:lang w:val="es-ES"/>
        </w:rPr>
        <w:tab/>
      </w:r>
      <w:r w:rsidRPr="00A01B43">
        <w:rPr>
          <w:lang w:val="es-ES"/>
        </w:rPr>
        <w:tab/>
      </w:r>
      <w:r w:rsidRPr="00A01B43">
        <w:rPr>
          <w:lang w:val="es-ES"/>
        </w:rPr>
        <w:tab/>
      </w:r>
      <w:r w:rsidRPr="00A01B43">
        <w:rPr>
          <w:lang w:val="es-ES"/>
        </w:rPr>
        <w:tab/>
      </w:r>
      <w:r w:rsidRPr="00A01B43">
        <w:rPr>
          <w:lang w:val="es-ES"/>
        </w:rPr>
        <w:sym w:font="Symbol" w:char="F0B1"/>
      </w:r>
      <w:r w:rsidRPr="00A01B43">
        <w:rPr>
          <w:lang w:val="es-ES"/>
        </w:rPr>
        <w:t>2</w:t>
      </w:r>
    </w:p>
    <w:p w14:paraId="3F2E7F3B" w14:textId="77777777" w:rsidR="00F23C7C" w:rsidRPr="00A01B43" w:rsidRDefault="00F23C7C" w:rsidP="00F23C7C">
      <w:pPr>
        <w:pStyle w:val="NORMAL12"/>
        <w:rPr>
          <w:lang w:val="es-ES"/>
        </w:rPr>
      </w:pPr>
      <w:r w:rsidRPr="00A01B43">
        <w:rPr>
          <w:lang w:val="es-ES"/>
        </w:rPr>
        <w:t>Se admitirá una rebaba inferior como máximo de dos milímetros y medio (+2,5 mm) a cada lado.</w:t>
      </w:r>
    </w:p>
    <w:p w14:paraId="75D3C330" w14:textId="77777777" w:rsidR="00F23C7C" w:rsidRPr="00A01B43" w:rsidRDefault="00F23C7C" w:rsidP="00F23C7C">
      <w:pPr>
        <w:pStyle w:val="NORMAL12"/>
        <w:rPr>
          <w:lang w:val="es-ES"/>
        </w:rPr>
      </w:pPr>
      <w:r w:rsidRPr="00A01B43">
        <w:rPr>
          <w:lang w:val="es-ES"/>
        </w:rPr>
        <w:t>La sección transversal de las piezas de caz en cur</w:t>
      </w:r>
      <w:r w:rsidR="00D067D8">
        <w:rPr>
          <w:lang w:val="es-ES"/>
        </w:rPr>
        <w:t>v</w:t>
      </w:r>
      <w:r w:rsidRPr="00A01B43">
        <w:rPr>
          <w:lang w:val="es-ES"/>
        </w:rPr>
        <w:t>as será la misma que la de las rectas.</w:t>
      </w:r>
    </w:p>
    <w:p w14:paraId="57F3F096" w14:textId="77777777" w:rsidR="00F23C7C" w:rsidRPr="00A17D04" w:rsidRDefault="00F23C7C" w:rsidP="00F23C7C">
      <w:pPr>
        <w:pStyle w:val="NORMAL12"/>
        <w:rPr>
          <w:lang w:val="es-ES"/>
        </w:rPr>
      </w:pPr>
      <w:r w:rsidRPr="00A01B43">
        <w:rPr>
          <w:lang w:val="es-ES"/>
        </w:rPr>
        <w:t xml:space="preserve">Una vez colocadas las piezas prefabricadas sobre el lecho de asientos se cuidará la terminación de las superficies, no permitiéndose irregularidades mayores de quince </w:t>
      </w:r>
      <w:r w:rsidRPr="00A17D04">
        <w:rPr>
          <w:lang w:val="es-ES"/>
        </w:rPr>
        <w:t>milímetros (15 mm), medidas con regla de tres metros (3 m) estática, según NLT-334.</w:t>
      </w:r>
    </w:p>
    <w:p w14:paraId="446196EA" w14:textId="77777777" w:rsidR="00F23C7C" w:rsidRPr="00A17D04" w:rsidRDefault="00F23C7C" w:rsidP="004712AC">
      <w:pPr>
        <w:pStyle w:val="TITU3"/>
        <w:numPr>
          <w:ilvl w:val="0"/>
          <w:numId w:val="0"/>
        </w:numPr>
        <w:outlineLvl w:val="3"/>
      </w:pPr>
      <w:r w:rsidRPr="00A17D04">
        <w:t>413.2.1. Características físico-mecánicas</w:t>
      </w:r>
    </w:p>
    <w:p w14:paraId="6EE7627A" w14:textId="77777777" w:rsidR="00F23C7C" w:rsidRPr="00A01B43" w:rsidRDefault="00F23C7C" w:rsidP="00F23C7C">
      <w:pPr>
        <w:pStyle w:val="NORMAL12"/>
        <w:rPr>
          <w:lang w:val="es-ES"/>
        </w:rPr>
      </w:pPr>
      <w:r w:rsidRPr="00A17D04">
        <w:rPr>
          <w:lang w:val="es-ES"/>
        </w:rPr>
        <w:t>El coeficiente de absorción de agua máximo admisible determinado según UNE7008 será del diez por ciento (10%) en peso.</w:t>
      </w:r>
    </w:p>
    <w:p w14:paraId="3DB9C97F" w14:textId="77777777" w:rsidR="00F23C7C" w:rsidRPr="00A01B43" w:rsidRDefault="00F23C7C" w:rsidP="00F23C7C">
      <w:pPr>
        <w:pStyle w:val="NORMAL12"/>
        <w:rPr>
          <w:lang w:val="es-ES"/>
        </w:rPr>
      </w:pPr>
      <w:r w:rsidRPr="00A01B43">
        <w:rPr>
          <w:lang w:val="es-ES"/>
        </w:rPr>
        <w:t xml:space="preserve">La resistencia a compresión </w:t>
      </w:r>
      <w:r w:rsidRPr="00A17D04">
        <w:rPr>
          <w:lang w:val="es-ES"/>
        </w:rPr>
        <w:t xml:space="preserve">simple será de al menos treinta </w:t>
      </w:r>
      <w:proofErr w:type="spellStart"/>
      <w:r w:rsidRPr="00A17D04">
        <w:rPr>
          <w:lang w:val="es-ES"/>
        </w:rPr>
        <w:t>megapascales</w:t>
      </w:r>
      <w:proofErr w:type="spellEnd"/>
      <w:r w:rsidRPr="00A17D04">
        <w:rPr>
          <w:lang w:val="es-ES"/>
        </w:rPr>
        <w:t xml:space="preserve"> (3</w:t>
      </w:r>
      <w:r w:rsidR="00ED6EF7">
        <w:rPr>
          <w:lang w:val="es-ES"/>
        </w:rPr>
        <w:t>0</w:t>
      </w:r>
      <w:r w:rsidRPr="00A17D04">
        <w:rPr>
          <w:lang w:val="es-ES"/>
        </w:rPr>
        <w:t xml:space="preserve"> MPa), determinada según </w:t>
      </w:r>
      <w:r w:rsidR="00DE7006" w:rsidRPr="00A17D04">
        <w:rPr>
          <w:lang w:val="es-ES"/>
        </w:rPr>
        <w:t xml:space="preserve">UNE 83302:1984 </w:t>
      </w:r>
      <w:r w:rsidRPr="00A17D04">
        <w:rPr>
          <w:lang w:val="es-ES"/>
        </w:rPr>
        <w:t xml:space="preserve">y </w:t>
      </w:r>
      <w:r w:rsidR="00DE7006" w:rsidRPr="00A17D04">
        <w:rPr>
          <w:lang w:val="es-ES"/>
        </w:rPr>
        <w:t>UNE 83304:1984</w:t>
      </w:r>
      <w:r w:rsidRPr="00A17D04">
        <w:rPr>
          <w:lang w:val="es-ES"/>
        </w:rPr>
        <w:t>.</w:t>
      </w:r>
      <w:r w:rsidR="00D067D8">
        <w:rPr>
          <w:lang w:val="es-ES"/>
        </w:rPr>
        <w:t xml:space="preserve"> </w:t>
      </w:r>
    </w:p>
    <w:p w14:paraId="1B73EBA0" w14:textId="77777777" w:rsidR="00F23C7C" w:rsidRPr="00A01B43" w:rsidRDefault="00F23C7C" w:rsidP="004712AC">
      <w:pPr>
        <w:pStyle w:val="TITU3"/>
        <w:numPr>
          <w:ilvl w:val="0"/>
          <w:numId w:val="0"/>
        </w:numPr>
        <w:outlineLvl w:val="3"/>
      </w:pPr>
      <w:r w:rsidRPr="00A01B43">
        <w:t>413.2.2. Características de los materiales constitutivos de las piezas prefabricas</w:t>
      </w:r>
    </w:p>
    <w:p w14:paraId="49230E79" w14:textId="77777777" w:rsidR="00F23C7C" w:rsidRPr="00A01B43" w:rsidRDefault="00F23C7C" w:rsidP="00F23C7C">
      <w:pPr>
        <w:pStyle w:val="NORMAL12"/>
        <w:rPr>
          <w:lang w:val="es-ES"/>
        </w:rPr>
      </w:pPr>
      <w:r w:rsidRPr="00A01B43">
        <w:rPr>
          <w:lang w:val="es-ES"/>
        </w:rPr>
        <w:t xml:space="preserve">El tamaño máximo del árido a emplear en el hormigón no será superior al treinta y tres por ciento (33%) del espesor mínimo de la pieza. La resistencia característica a compresión </w:t>
      </w:r>
      <w:r w:rsidRPr="00A01B43">
        <w:rPr>
          <w:lang w:val="es-ES"/>
        </w:rPr>
        <w:lastRenderedPageBreak/>
        <w:t>del hormigón a utilizar en las piezas prefabricadas se fijará de acuerdo con la vigente Instrucción de Hormigón Estructural (EHE).</w:t>
      </w:r>
    </w:p>
    <w:p w14:paraId="60EF1E62" w14:textId="77777777" w:rsidR="00F23C7C" w:rsidRPr="00A01B43" w:rsidRDefault="00F23C7C" w:rsidP="004712AC">
      <w:pPr>
        <w:pStyle w:val="TITU3"/>
        <w:numPr>
          <w:ilvl w:val="0"/>
          <w:numId w:val="0"/>
        </w:numPr>
        <w:outlineLvl w:val="3"/>
      </w:pPr>
      <w:r w:rsidRPr="00A01B43">
        <w:t>413.2.3. Características de los restantes materiales constitutivos de las cunetas prefabricadas</w:t>
      </w:r>
    </w:p>
    <w:p w14:paraId="506D7B0E" w14:textId="77777777" w:rsidR="00F23C7C" w:rsidRPr="0041192E" w:rsidRDefault="00F23C7C" w:rsidP="00F23C7C">
      <w:pPr>
        <w:pStyle w:val="NORMAL12"/>
        <w:rPr>
          <w:lang w:val="es-ES"/>
        </w:rPr>
      </w:pPr>
      <w:proofErr w:type="gramStart"/>
      <w:r w:rsidRPr="00A01B43">
        <w:rPr>
          <w:lang w:val="es-ES"/>
        </w:rPr>
        <w:t>Los materiales a emplear</w:t>
      </w:r>
      <w:proofErr w:type="gramEnd"/>
      <w:r w:rsidRPr="00A01B43">
        <w:rPr>
          <w:lang w:val="es-ES"/>
        </w:rPr>
        <w:t xml:space="preserve"> en estas unidades de obra, tales como los de las juntas, relleno, etc., cumplirán lo </w:t>
      </w:r>
      <w:r w:rsidRPr="0041192E">
        <w:rPr>
          <w:lang w:val="es-ES"/>
        </w:rPr>
        <w:t>especificado en el Proyecto.</w:t>
      </w:r>
    </w:p>
    <w:p w14:paraId="13169FAE" w14:textId="77777777" w:rsidR="00F23C7C" w:rsidRPr="0041192E" w:rsidRDefault="00F23C7C" w:rsidP="00F23C7C">
      <w:pPr>
        <w:pStyle w:val="NORMAL12"/>
        <w:rPr>
          <w:lang w:val="es-ES"/>
        </w:rPr>
      </w:pPr>
      <w:r w:rsidRPr="0041192E">
        <w:rPr>
          <w:lang w:val="es-ES"/>
        </w:rPr>
        <w:t>Las juntas se rellenarán con mortero</w:t>
      </w:r>
      <w:r w:rsidR="00D067D8" w:rsidRPr="0041192E">
        <w:rPr>
          <w:lang w:val="es-ES"/>
        </w:rPr>
        <w:t xml:space="preserve"> de cemento</w:t>
      </w:r>
      <w:r w:rsidRPr="0041192E">
        <w:rPr>
          <w:lang w:val="es-ES"/>
        </w:rPr>
        <w:t>, con elementos de relleno, sellado y protección, si son necesarios.</w:t>
      </w:r>
    </w:p>
    <w:p w14:paraId="65F896A6" w14:textId="77777777" w:rsidR="00F23C7C" w:rsidRPr="0041192E" w:rsidRDefault="00F23C7C" w:rsidP="000313DD">
      <w:pPr>
        <w:pStyle w:val="TITU2"/>
      </w:pPr>
      <w:bookmarkStart w:id="442" w:name="_Toc404231"/>
      <w:r w:rsidRPr="0041192E">
        <w:t>413.3. Ejecución de las obras</w:t>
      </w:r>
      <w:bookmarkEnd w:id="442"/>
    </w:p>
    <w:p w14:paraId="0CB8403D" w14:textId="77777777" w:rsidR="00F23C7C" w:rsidRPr="00A01B43" w:rsidRDefault="00F23C7C" w:rsidP="00F23C7C">
      <w:pPr>
        <w:pStyle w:val="NORMAL12"/>
        <w:rPr>
          <w:lang w:val="es-ES"/>
        </w:rPr>
      </w:pPr>
      <w:r w:rsidRPr="00A01B43">
        <w:rPr>
          <w:lang w:val="es-ES"/>
        </w:rPr>
        <w:t>Previamente a la colocación de las piezas deberá comprobarse el estado de la caja o superficie de apoyo, procediéndose a su limpieza en caso necesario.</w:t>
      </w:r>
    </w:p>
    <w:p w14:paraId="13852726" w14:textId="77777777" w:rsidR="00F23C7C" w:rsidRPr="0041192E" w:rsidRDefault="00F23C7C" w:rsidP="00F23C7C">
      <w:pPr>
        <w:pStyle w:val="NORMAL12"/>
        <w:rPr>
          <w:lang w:val="es-ES"/>
        </w:rPr>
      </w:pPr>
      <w:r w:rsidRPr="00A01B43">
        <w:rPr>
          <w:lang w:val="es-ES"/>
        </w:rPr>
        <w:t xml:space="preserve">Posteriormente las piezas prefabricadas se colocarán perfectamente alineadas y con </w:t>
      </w:r>
      <w:r w:rsidRPr="0041192E">
        <w:rPr>
          <w:lang w:val="es-ES"/>
        </w:rPr>
        <w:t>la rasante de la solera a las cotas previstas.</w:t>
      </w:r>
    </w:p>
    <w:p w14:paraId="763B9F1D" w14:textId="77777777" w:rsidR="00A17D04" w:rsidRPr="0041192E" w:rsidRDefault="00A17D04" w:rsidP="00F23C7C">
      <w:pPr>
        <w:pStyle w:val="NORMAL12"/>
        <w:rPr>
          <w:lang w:val="es-ES"/>
        </w:rPr>
      </w:pPr>
      <w:r w:rsidRPr="0041192E">
        <w:rPr>
          <w:lang w:val="es-ES"/>
        </w:rPr>
        <w:t>Se apoyarán sobre cama de hormigón de HM-20 con un espesor mínimo de quince (15) centímetros.</w:t>
      </w:r>
    </w:p>
    <w:p w14:paraId="68541238" w14:textId="77777777" w:rsidR="00F23C7C" w:rsidRPr="0041192E" w:rsidRDefault="00F23C7C" w:rsidP="004712AC">
      <w:pPr>
        <w:pStyle w:val="TITU3"/>
        <w:numPr>
          <w:ilvl w:val="0"/>
          <w:numId w:val="0"/>
        </w:numPr>
        <w:outlineLvl w:val="3"/>
      </w:pPr>
      <w:r w:rsidRPr="0041192E">
        <w:t>413.3.1. Juntas</w:t>
      </w:r>
    </w:p>
    <w:p w14:paraId="7C4BE3C1" w14:textId="77777777" w:rsidR="00F23C7C" w:rsidRPr="0041192E" w:rsidRDefault="00F23C7C" w:rsidP="00F23C7C">
      <w:pPr>
        <w:pStyle w:val="NORMAL12"/>
        <w:rPr>
          <w:lang w:val="es-ES"/>
        </w:rPr>
      </w:pPr>
      <w:r w:rsidRPr="0041192E">
        <w:rPr>
          <w:lang w:val="es-ES"/>
        </w:rPr>
        <w:t>Las juntas entre piezas se ejecutarán según figure en el Proyecto.</w:t>
      </w:r>
    </w:p>
    <w:p w14:paraId="066D5528" w14:textId="77777777" w:rsidR="00F23C7C" w:rsidRPr="0041192E" w:rsidRDefault="00A17D04" w:rsidP="00F23C7C">
      <w:pPr>
        <w:pStyle w:val="NORMAL12"/>
        <w:rPr>
          <w:lang w:val="es-ES"/>
        </w:rPr>
      </w:pPr>
      <w:r w:rsidRPr="0041192E">
        <w:rPr>
          <w:lang w:val="es-ES"/>
        </w:rPr>
        <w:t>La</w:t>
      </w:r>
      <w:r w:rsidR="00F23C7C" w:rsidRPr="0041192E">
        <w:rPr>
          <w:lang w:val="es-ES"/>
        </w:rPr>
        <w:t xml:space="preserve">s piezas prefabricadas </w:t>
      </w:r>
      <w:r w:rsidR="00157701" w:rsidRPr="0041192E">
        <w:rPr>
          <w:lang w:val="es-ES"/>
        </w:rPr>
        <w:t>serán</w:t>
      </w:r>
      <w:r w:rsidR="00F23C7C" w:rsidRPr="0041192E">
        <w:rPr>
          <w:lang w:val="es-ES"/>
        </w:rPr>
        <w:t xml:space="preserve"> de hormigón </w:t>
      </w:r>
      <w:r w:rsidRPr="0041192E">
        <w:rPr>
          <w:lang w:val="es-ES"/>
        </w:rPr>
        <w:t xml:space="preserve">y </w:t>
      </w:r>
      <w:r w:rsidR="00F23C7C" w:rsidRPr="0041192E">
        <w:rPr>
          <w:lang w:val="es-ES"/>
        </w:rPr>
        <w:t>las juntas entre piezas deberán rellenarse con mortero de cemento.</w:t>
      </w:r>
    </w:p>
    <w:p w14:paraId="2B68A4B1" w14:textId="77777777" w:rsidR="00F23C7C" w:rsidRPr="00A01B43" w:rsidRDefault="00F23C7C" w:rsidP="00F23C7C">
      <w:pPr>
        <w:pStyle w:val="NORMAL12"/>
        <w:rPr>
          <w:lang w:val="es-ES"/>
        </w:rPr>
      </w:pPr>
      <w:r w:rsidRPr="0041192E">
        <w:rPr>
          <w:lang w:val="es-ES"/>
        </w:rPr>
        <w:t xml:space="preserve"> Las juntas de dilatación deberán ejecutarse en las uniones con obras de fábrica, sus espesores estarán comprendidos entre diez y veinte milímetros (10 y 20 mm), rellenándose con un material elástico protegido superficialmente.</w:t>
      </w:r>
      <w:r w:rsidR="00D067D8">
        <w:rPr>
          <w:lang w:val="es-ES"/>
        </w:rPr>
        <w:t xml:space="preserve"> </w:t>
      </w:r>
    </w:p>
    <w:p w14:paraId="6882E6E0" w14:textId="77777777" w:rsidR="00D067D8" w:rsidRDefault="00D067D8" w:rsidP="00F23C7C">
      <w:pPr>
        <w:pStyle w:val="NORMAL12"/>
        <w:rPr>
          <w:lang w:val="es-ES"/>
        </w:rPr>
      </w:pPr>
      <w:r>
        <w:rPr>
          <w:lang w:val="es-ES"/>
        </w:rPr>
        <w:t>No se permiten piezas que no sean de hormigón</w:t>
      </w:r>
    </w:p>
    <w:p w14:paraId="00E011A5" w14:textId="77777777" w:rsidR="00F23C7C" w:rsidRPr="00A01B43" w:rsidRDefault="002A67A1" w:rsidP="000313DD">
      <w:pPr>
        <w:pStyle w:val="TITU2"/>
      </w:pPr>
      <w:r>
        <w:br w:type="column"/>
      </w:r>
      <w:bookmarkStart w:id="443" w:name="_Toc404232"/>
      <w:r w:rsidR="00F23C7C" w:rsidRPr="00A01B43">
        <w:t>413.4. Medición y abono</w:t>
      </w:r>
      <w:bookmarkEnd w:id="443"/>
    </w:p>
    <w:p w14:paraId="2F119A7E" w14:textId="77777777" w:rsidR="00F23C7C" w:rsidRPr="00A01B43" w:rsidRDefault="00F23C7C" w:rsidP="00F23C7C">
      <w:pPr>
        <w:pStyle w:val="NORMAL12"/>
        <w:rPr>
          <w:lang w:val="es-ES"/>
        </w:rPr>
      </w:pPr>
      <w:r w:rsidRPr="00A01B43">
        <w:rPr>
          <w:lang w:val="es-ES"/>
        </w:rPr>
        <w:t>La medición y abono de la unidad de caz de hormigón se realizará según las especificaciones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19"/>
        <w:gridCol w:w="7659"/>
      </w:tblGrid>
      <w:tr w:rsidR="00F23C7C" w:rsidRPr="00A01B43" w14:paraId="515F6401" w14:textId="77777777" w:rsidTr="00F23C7C">
        <w:tc>
          <w:tcPr>
            <w:tcW w:w="0" w:type="auto"/>
            <w:vAlign w:val="center"/>
          </w:tcPr>
          <w:p w14:paraId="5160AC6A" w14:textId="77777777" w:rsidR="00F23C7C" w:rsidRPr="00A01B43" w:rsidRDefault="00F23C7C" w:rsidP="00E50149">
            <w:pPr>
              <w:pStyle w:val="LCATabla"/>
              <w:keepNext/>
              <w:jc w:val="center"/>
              <w:rPr>
                <w:rFonts w:ascii="Arial" w:hAnsi="Arial" w:cs="Arial"/>
                <w:b/>
                <w:bCs/>
                <w:sz w:val="20"/>
              </w:rPr>
            </w:pPr>
            <w:r w:rsidRPr="00A01B43">
              <w:rPr>
                <w:rFonts w:ascii="Arial" w:hAnsi="Arial" w:cs="Arial"/>
                <w:b/>
                <w:bCs/>
                <w:sz w:val="20"/>
              </w:rPr>
              <w:t>Unidad de medida</w:t>
            </w:r>
          </w:p>
        </w:tc>
        <w:tc>
          <w:tcPr>
            <w:tcW w:w="0" w:type="auto"/>
            <w:vAlign w:val="center"/>
          </w:tcPr>
          <w:p w14:paraId="04C33F48" w14:textId="77777777" w:rsidR="00F23C7C" w:rsidRPr="00A01B43" w:rsidRDefault="00F23C7C" w:rsidP="00F30E6E">
            <w:pPr>
              <w:pStyle w:val="LCATabla"/>
              <w:keepNext/>
              <w:jc w:val="both"/>
              <w:rPr>
                <w:rFonts w:ascii="Arial" w:hAnsi="Arial" w:cs="Arial"/>
                <w:sz w:val="20"/>
              </w:rPr>
            </w:pPr>
            <w:r w:rsidRPr="00A01B43">
              <w:rPr>
                <w:rFonts w:ascii="Arial" w:hAnsi="Arial" w:cs="Arial"/>
                <w:sz w:val="20"/>
              </w:rPr>
              <w:t>Metro (m).</w:t>
            </w:r>
          </w:p>
        </w:tc>
      </w:tr>
      <w:tr w:rsidR="00F23C7C" w:rsidRPr="00A01B43" w14:paraId="4278C7E4" w14:textId="77777777" w:rsidTr="00F23C7C">
        <w:tc>
          <w:tcPr>
            <w:tcW w:w="0" w:type="auto"/>
            <w:vAlign w:val="center"/>
          </w:tcPr>
          <w:p w14:paraId="538C52B4" w14:textId="77777777" w:rsidR="00F23C7C" w:rsidRPr="00A01B43" w:rsidRDefault="00F23C7C" w:rsidP="00E50149">
            <w:pPr>
              <w:pStyle w:val="LCATabla"/>
              <w:keepNext/>
              <w:jc w:val="center"/>
              <w:rPr>
                <w:rFonts w:ascii="Arial" w:hAnsi="Arial" w:cs="Arial"/>
                <w:b/>
                <w:bCs/>
                <w:sz w:val="20"/>
              </w:rPr>
            </w:pPr>
            <w:r w:rsidRPr="00A01B43">
              <w:rPr>
                <w:rFonts w:ascii="Arial" w:hAnsi="Arial" w:cs="Arial"/>
                <w:b/>
                <w:bCs/>
                <w:sz w:val="20"/>
              </w:rPr>
              <w:t>Grado de precisión</w:t>
            </w:r>
          </w:p>
        </w:tc>
        <w:tc>
          <w:tcPr>
            <w:tcW w:w="0" w:type="auto"/>
            <w:vAlign w:val="center"/>
          </w:tcPr>
          <w:p w14:paraId="494DA326" w14:textId="77777777" w:rsidR="00F23C7C" w:rsidRPr="00A01B43" w:rsidRDefault="00F23C7C" w:rsidP="00F30E6E">
            <w:pPr>
              <w:pStyle w:val="LCATabla"/>
              <w:keepNext/>
              <w:jc w:val="both"/>
              <w:rPr>
                <w:rFonts w:ascii="Arial" w:hAnsi="Arial" w:cs="Arial"/>
                <w:sz w:val="20"/>
              </w:rPr>
            </w:pPr>
            <w:r w:rsidRPr="00A01B43">
              <w:rPr>
                <w:rFonts w:ascii="Arial" w:hAnsi="Arial" w:cs="Arial"/>
                <w:sz w:val="20"/>
              </w:rPr>
              <w:t>Dos decimales.</w:t>
            </w:r>
          </w:p>
        </w:tc>
      </w:tr>
      <w:tr w:rsidR="00F23C7C" w:rsidRPr="00A01B43" w14:paraId="0B76DF05" w14:textId="77777777" w:rsidTr="00F23C7C">
        <w:tc>
          <w:tcPr>
            <w:tcW w:w="0" w:type="auto"/>
            <w:vAlign w:val="center"/>
          </w:tcPr>
          <w:p w14:paraId="2E993C90" w14:textId="77777777" w:rsidR="00F23C7C" w:rsidRPr="00A01B43" w:rsidRDefault="00F23C7C" w:rsidP="00E50149">
            <w:pPr>
              <w:pStyle w:val="LCATabla"/>
              <w:keepNext/>
              <w:jc w:val="center"/>
              <w:rPr>
                <w:rFonts w:ascii="Arial" w:hAnsi="Arial" w:cs="Arial"/>
                <w:b/>
                <w:bCs/>
                <w:sz w:val="20"/>
              </w:rPr>
            </w:pPr>
            <w:r w:rsidRPr="00A01B43">
              <w:rPr>
                <w:rFonts w:ascii="Arial" w:hAnsi="Arial" w:cs="Arial"/>
                <w:b/>
                <w:bCs/>
                <w:sz w:val="20"/>
              </w:rPr>
              <w:t>Forma de medición</w:t>
            </w:r>
          </w:p>
        </w:tc>
        <w:tc>
          <w:tcPr>
            <w:tcW w:w="0" w:type="auto"/>
            <w:vAlign w:val="center"/>
          </w:tcPr>
          <w:p w14:paraId="47B525C5" w14:textId="77777777" w:rsidR="00F23C7C" w:rsidRPr="00A01B43" w:rsidRDefault="00F23C7C" w:rsidP="00F30E6E">
            <w:pPr>
              <w:pStyle w:val="LCATabla"/>
              <w:keepNext/>
              <w:jc w:val="both"/>
              <w:rPr>
                <w:rFonts w:ascii="Arial" w:hAnsi="Arial" w:cs="Arial"/>
                <w:sz w:val="20"/>
              </w:rPr>
            </w:pPr>
            <w:r w:rsidRPr="00A01B43">
              <w:rPr>
                <w:rFonts w:ascii="Arial" w:hAnsi="Arial" w:cs="Arial"/>
                <w:sz w:val="20"/>
              </w:rPr>
              <w:t>Longitud de caz realmente colocado.</w:t>
            </w:r>
          </w:p>
        </w:tc>
      </w:tr>
      <w:tr w:rsidR="00F23C7C" w:rsidRPr="00A01B43" w14:paraId="0B29A52D" w14:textId="77777777" w:rsidTr="00F23C7C">
        <w:tc>
          <w:tcPr>
            <w:tcW w:w="0" w:type="auto"/>
            <w:vAlign w:val="center"/>
          </w:tcPr>
          <w:p w14:paraId="6A567E3B" w14:textId="77777777" w:rsidR="00F23C7C" w:rsidRPr="00A01B43" w:rsidRDefault="00F23C7C" w:rsidP="00E50149">
            <w:pPr>
              <w:pStyle w:val="LCATabla"/>
              <w:keepNext/>
              <w:jc w:val="center"/>
              <w:rPr>
                <w:rFonts w:ascii="Arial" w:hAnsi="Arial" w:cs="Arial"/>
                <w:b/>
                <w:bCs/>
                <w:sz w:val="20"/>
              </w:rPr>
            </w:pPr>
            <w:r w:rsidRPr="00A01B43">
              <w:rPr>
                <w:rFonts w:ascii="Arial" w:hAnsi="Arial" w:cs="Arial"/>
                <w:b/>
                <w:bCs/>
                <w:sz w:val="20"/>
              </w:rPr>
              <w:t>Abono</w:t>
            </w:r>
          </w:p>
        </w:tc>
        <w:tc>
          <w:tcPr>
            <w:tcW w:w="0" w:type="auto"/>
            <w:vAlign w:val="center"/>
          </w:tcPr>
          <w:p w14:paraId="13359F36" w14:textId="77777777" w:rsidR="00F23C7C" w:rsidRPr="00A01B43" w:rsidRDefault="00F23C7C" w:rsidP="00F30E6E">
            <w:pPr>
              <w:pStyle w:val="LCATabla"/>
              <w:keepNext/>
              <w:jc w:val="both"/>
              <w:rPr>
                <w:rFonts w:ascii="Arial" w:hAnsi="Arial" w:cs="Arial"/>
                <w:sz w:val="20"/>
              </w:rPr>
            </w:pPr>
            <w:r w:rsidRPr="00A01B43">
              <w:rPr>
                <w:rFonts w:ascii="Arial" w:hAnsi="Arial" w:cs="Arial"/>
                <w:sz w:val="20"/>
              </w:rPr>
              <w:t>Se efectuará cuando se realice la aceptación.</w:t>
            </w:r>
          </w:p>
        </w:tc>
      </w:tr>
      <w:tr w:rsidR="00F23C7C" w:rsidRPr="00A01B43" w14:paraId="4A140982" w14:textId="77777777" w:rsidTr="00F23C7C">
        <w:tc>
          <w:tcPr>
            <w:tcW w:w="0" w:type="auto"/>
            <w:vAlign w:val="center"/>
          </w:tcPr>
          <w:p w14:paraId="57B2588F" w14:textId="77777777" w:rsidR="00F23C7C" w:rsidRPr="00A01B43" w:rsidRDefault="00F23C7C" w:rsidP="00E50149">
            <w:pPr>
              <w:pStyle w:val="LCATabla"/>
              <w:keepNext/>
              <w:jc w:val="center"/>
              <w:rPr>
                <w:rFonts w:ascii="Arial" w:hAnsi="Arial" w:cs="Arial"/>
                <w:b/>
                <w:bCs/>
                <w:sz w:val="20"/>
              </w:rPr>
            </w:pPr>
            <w:r w:rsidRPr="00A01B43">
              <w:rPr>
                <w:rFonts w:ascii="Arial" w:hAnsi="Arial" w:cs="Arial"/>
                <w:b/>
                <w:bCs/>
                <w:sz w:val="20"/>
              </w:rPr>
              <w:t>Criterios complementarios</w:t>
            </w:r>
          </w:p>
        </w:tc>
        <w:tc>
          <w:tcPr>
            <w:tcW w:w="0" w:type="auto"/>
            <w:vAlign w:val="center"/>
          </w:tcPr>
          <w:p w14:paraId="6FFC3C0A" w14:textId="77777777" w:rsidR="00F23C7C" w:rsidRPr="00A01B43" w:rsidRDefault="00F23C7C" w:rsidP="00F30E6E">
            <w:pPr>
              <w:pStyle w:val="LCATabla"/>
              <w:keepNext/>
              <w:jc w:val="both"/>
              <w:rPr>
                <w:rFonts w:ascii="Arial" w:hAnsi="Arial" w:cs="Arial"/>
                <w:sz w:val="20"/>
              </w:rPr>
            </w:pPr>
            <w:r w:rsidRPr="00A01B43">
              <w:rPr>
                <w:rFonts w:ascii="Arial" w:hAnsi="Arial" w:cs="Arial"/>
                <w:sz w:val="20"/>
              </w:rPr>
              <w:t>El precio de la unidad incluye:</w:t>
            </w:r>
          </w:p>
          <w:p w14:paraId="3A984086" w14:textId="77777777" w:rsidR="00F23C7C" w:rsidRPr="00A01B43" w:rsidRDefault="00F23C7C" w:rsidP="00F30E6E">
            <w:pPr>
              <w:pStyle w:val="LCATabla"/>
              <w:keepNext/>
              <w:jc w:val="both"/>
              <w:rPr>
                <w:rFonts w:ascii="Arial" w:hAnsi="Arial" w:cs="Arial"/>
                <w:sz w:val="20"/>
              </w:rPr>
            </w:pPr>
            <w:r w:rsidRPr="00A01B43">
              <w:rPr>
                <w:rFonts w:ascii="Arial" w:hAnsi="Arial" w:cs="Arial"/>
                <w:sz w:val="20"/>
              </w:rPr>
              <w:t>Suministro y colocación de las piezas, preparación de la superficie de apoyo, el material de agarre sob</w:t>
            </w:r>
            <w:r w:rsidR="0038402B" w:rsidRPr="00A01B43">
              <w:rPr>
                <w:rFonts w:ascii="Arial" w:hAnsi="Arial" w:cs="Arial"/>
                <w:sz w:val="20"/>
              </w:rPr>
              <w:t>re la superficie del aglomerado o prepar</w:t>
            </w:r>
            <w:r w:rsidR="0016074C">
              <w:rPr>
                <w:rFonts w:ascii="Arial" w:hAnsi="Arial" w:cs="Arial"/>
                <w:sz w:val="20"/>
              </w:rPr>
              <w:t>ación de la zanja según proceda y el hormigón de la cama de apoyo</w:t>
            </w:r>
          </w:p>
          <w:p w14:paraId="7DF015F0" w14:textId="77777777" w:rsidR="00F23C7C" w:rsidRPr="00A01B43" w:rsidRDefault="00F23C7C" w:rsidP="00F30E6E">
            <w:pPr>
              <w:pStyle w:val="LCATabla"/>
              <w:keepNext/>
              <w:jc w:val="both"/>
              <w:rPr>
                <w:rFonts w:ascii="Arial" w:hAnsi="Arial" w:cs="Arial"/>
                <w:sz w:val="20"/>
              </w:rPr>
            </w:pPr>
            <w:r w:rsidRPr="00A01B43">
              <w:rPr>
                <w:rFonts w:ascii="Arial" w:hAnsi="Arial" w:cs="Arial"/>
                <w:sz w:val="20"/>
              </w:rPr>
              <w:t>El replanteo, colo</w:t>
            </w:r>
            <w:r w:rsidR="00ED6EF7">
              <w:rPr>
                <w:rFonts w:ascii="Arial" w:hAnsi="Arial" w:cs="Arial"/>
                <w:sz w:val="20"/>
              </w:rPr>
              <w:t>cación, rejuntado de las piezas, material de juntas.</w:t>
            </w:r>
          </w:p>
          <w:p w14:paraId="7E86A067" w14:textId="77777777" w:rsidR="00F23C7C" w:rsidRDefault="00F23C7C" w:rsidP="00F30E6E">
            <w:pPr>
              <w:pStyle w:val="LCATabla"/>
              <w:keepNext/>
              <w:jc w:val="both"/>
              <w:rPr>
                <w:rFonts w:ascii="Arial" w:hAnsi="Arial" w:cs="Arial"/>
                <w:sz w:val="20"/>
              </w:rPr>
            </w:pPr>
            <w:r w:rsidRPr="00A01B43">
              <w:rPr>
                <w:rFonts w:ascii="Arial" w:hAnsi="Arial" w:cs="Arial"/>
                <w:sz w:val="20"/>
              </w:rPr>
              <w:t>Todos los materiales y medios necesarios para la correcta ejecución de la unidad.</w:t>
            </w:r>
          </w:p>
          <w:p w14:paraId="0DC49851" w14:textId="77777777" w:rsidR="00486138" w:rsidRPr="00A01B43" w:rsidRDefault="00486138" w:rsidP="00F30E6E">
            <w:pPr>
              <w:pStyle w:val="LCATabla"/>
              <w:keepNext/>
              <w:jc w:val="both"/>
              <w:rPr>
                <w:rFonts w:ascii="Arial" w:hAnsi="Arial" w:cs="Arial"/>
                <w:sz w:val="20"/>
              </w:rPr>
            </w:pPr>
            <w:r>
              <w:rPr>
                <w:rFonts w:ascii="Arial" w:hAnsi="Arial" w:cs="Arial"/>
                <w:sz w:val="20"/>
              </w:rPr>
              <w:t>La carga y transporte del material sobrante a vertedero o instalación de gestión de residuos.</w:t>
            </w:r>
          </w:p>
        </w:tc>
      </w:tr>
    </w:tbl>
    <w:p w14:paraId="7DBD8EE6" w14:textId="77777777" w:rsidR="004A212C" w:rsidRPr="006937C2" w:rsidRDefault="004A212C" w:rsidP="004A212C">
      <w:pPr>
        <w:pStyle w:val="TITU1"/>
      </w:pPr>
      <w:bookmarkStart w:id="444" w:name="_Toc404233"/>
      <w:r w:rsidRPr="00050087">
        <w:lastRenderedPageBreak/>
        <w:t>Artículo 414. Caldereta y bajante en estribos</w:t>
      </w:r>
      <w:bookmarkEnd w:id="444"/>
    </w:p>
    <w:p w14:paraId="6C20031D" w14:textId="77777777" w:rsidR="004A212C" w:rsidRPr="006937C2" w:rsidRDefault="004A212C" w:rsidP="004A212C">
      <w:pPr>
        <w:pStyle w:val="NORMAL12"/>
      </w:pPr>
      <w:r w:rsidRPr="006937C2">
        <w:t xml:space="preserve">Excepto para lo especificado en el presente Pliego de Prescripciones Técnicas </w:t>
      </w:r>
      <w:r w:rsidR="00D97D43">
        <w:t>P</w:t>
      </w:r>
      <w:r w:rsidRPr="006937C2">
        <w:t xml:space="preserve">articulares se seguirá lo prescrito en el vigente artículo </w:t>
      </w:r>
      <w:r>
        <w:t>411</w:t>
      </w:r>
      <w:r w:rsidRPr="006937C2">
        <w:t xml:space="preserve"> del PG-3 y la EHE 08.</w:t>
      </w:r>
    </w:p>
    <w:p w14:paraId="23246F97" w14:textId="77777777" w:rsidR="004A212C" w:rsidRPr="006937C2" w:rsidRDefault="004A212C" w:rsidP="000313DD">
      <w:pPr>
        <w:pStyle w:val="TITU2"/>
      </w:pPr>
      <w:bookmarkStart w:id="445" w:name="_Toc404234"/>
      <w:r>
        <w:t>414</w:t>
      </w:r>
      <w:r w:rsidRPr="006937C2">
        <w:t>.</w:t>
      </w:r>
      <w:r>
        <w:t xml:space="preserve">1. </w:t>
      </w:r>
      <w:r w:rsidRPr="006937C2">
        <w:tab/>
        <w:t>Definición</w:t>
      </w:r>
      <w:bookmarkEnd w:id="445"/>
      <w:r w:rsidRPr="006937C2">
        <w:t xml:space="preserve"> </w:t>
      </w:r>
    </w:p>
    <w:p w14:paraId="47D9B7AA" w14:textId="77777777" w:rsidR="004A212C" w:rsidRDefault="004A212C" w:rsidP="004A212C">
      <w:pPr>
        <w:pStyle w:val="NORMAL12"/>
      </w:pPr>
      <w:r>
        <w:t>Se define como caldereta a un elemento cóncavo de recogida de aguas dispuesto bajo orificios o en puntos de desagüe de elementos que transportan dichas aguas, como es el caso de bandas estancas bajo juntas en estructuras.</w:t>
      </w:r>
    </w:p>
    <w:p w14:paraId="0667DD5D" w14:textId="77777777" w:rsidR="004A212C" w:rsidRDefault="004A212C" w:rsidP="004A212C">
      <w:pPr>
        <w:pStyle w:val="NORMAL12"/>
      </w:pPr>
      <w:r>
        <w:t>Se define como bajante a una tubería de sección cerrada o abierta que permite el desagüe de aguas entre diferentes cotas.</w:t>
      </w:r>
    </w:p>
    <w:p w14:paraId="59A3DBC7" w14:textId="77777777" w:rsidR="004A212C" w:rsidRDefault="004A212C" w:rsidP="004A212C">
      <w:pPr>
        <w:pStyle w:val="NORMAL12"/>
      </w:pPr>
      <w:r>
        <w:t>Todos estos dispositivos deberán estar correctamente impermeabilizados.</w:t>
      </w:r>
    </w:p>
    <w:p w14:paraId="7E333476" w14:textId="77777777" w:rsidR="004A212C" w:rsidRPr="00DF2D84" w:rsidRDefault="004A212C" w:rsidP="004A212C">
      <w:pPr>
        <w:pStyle w:val="NORMAL12"/>
      </w:pPr>
      <w:r>
        <w:t xml:space="preserve">El objetivo de estos dispositivos es mantener permanentemente condiciones que faciliten la salida rápida de las aguas de lluvias que caigan sobre el tablero del puente y, de esta manera, contribuir a la seguridad y la comodidad de los usuarios. En este artículo se rigen las prescripciones a seguir en la ejecución de los elementos de desagüe a realizar para evacuar </w:t>
      </w:r>
      <w:proofErr w:type="gramStart"/>
      <w:r>
        <w:t>el posible agua filtrada</w:t>
      </w:r>
      <w:proofErr w:type="gramEnd"/>
      <w:r>
        <w:t xml:space="preserve"> a través de las juntas de dilatación en los estribos y recogida por las bandas TPE en las estructuras localizadas en los PP.KK. </w:t>
      </w:r>
      <w:r w:rsidRPr="000072DC">
        <w:t xml:space="preserve">de la vía </w:t>
      </w:r>
      <w:r>
        <w:t>21+950 y 22+400</w:t>
      </w:r>
      <w:r w:rsidRPr="000072DC">
        <w:t>.</w:t>
      </w:r>
    </w:p>
    <w:p w14:paraId="0D708489" w14:textId="77777777" w:rsidR="004A212C" w:rsidRPr="00DF2D84" w:rsidRDefault="004A212C" w:rsidP="000313DD">
      <w:pPr>
        <w:pStyle w:val="TITU2"/>
      </w:pPr>
      <w:bookmarkStart w:id="446" w:name="_Toc404235"/>
      <w:r>
        <w:t>414</w:t>
      </w:r>
      <w:r w:rsidRPr="00DF2D84">
        <w:t xml:space="preserve">.2. </w:t>
      </w:r>
      <w:r w:rsidRPr="00DF2D84">
        <w:tab/>
        <w:t>Aplicación</w:t>
      </w:r>
      <w:bookmarkEnd w:id="446"/>
      <w:r w:rsidRPr="00DF2D84">
        <w:t xml:space="preserve"> </w:t>
      </w:r>
    </w:p>
    <w:p w14:paraId="30994460" w14:textId="77777777" w:rsidR="004A212C" w:rsidRPr="008530A7" w:rsidRDefault="004A212C" w:rsidP="004A212C">
      <w:pPr>
        <w:pStyle w:val="NORMAL12"/>
      </w:pPr>
      <w:r w:rsidRPr="008530A7">
        <w:t xml:space="preserve">Las prescripciones del presente artículo </w:t>
      </w:r>
      <w:proofErr w:type="gramStart"/>
      <w:r w:rsidRPr="008530A7">
        <w:t>son de aplicación</w:t>
      </w:r>
      <w:proofErr w:type="gramEnd"/>
      <w:r w:rsidRPr="008530A7">
        <w:t xml:space="preserve"> a las unidades de obra siguientes:</w:t>
      </w:r>
    </w:p>
    <w:tbl>
      <w:tblPr>
        <w:tblW w:w="0" w:type="auto"/>
        <w:tblLook w:val="04A0" w:firstRow="1" w:lastRow="0" w:firstColumn="1" w:lastColumn="0" w:noHBand="0" w:noVBand="1"/>
      </w:tblPr>
      <w:tblGrid>
        <w:gridCol w:w="1437"/>
        <w:gridCol w:w="1104"/>
        <w:gridCol w:w="6247"/>
      </w:tblGrid>
      <w:tr w:rsidR="004A212C" w:rsidRPr="006937C2" w14:paraId="666F5BF1" w14:textId="77777777" w:rsidTr="00CA13DB">
        <w:tc>
          <w:tcPr>
            <w:tcW w:w="1437" w:type="dxa"/>
          </w:tcPr>
          <w:p w14:paraId="02E0F118" w14:textId="77777777" w:rsidR="004A212C" w:rsidRPr="00050087" w:rsidRDefault="004A212C" w:rsidP="00CA13DB">
            <w:pPr>
              <w:rPr>
                <w:rFonts w:ascii="Calibri" w:hAnsi="Calibri" w:cs="Calibri"/>
              </w:rPr>
            </w:pPr>
            <w:r w:rsidRPr="00050087">
              <w:rPr>
                <w:rFonts w:ascii="Calibri" w:hAnsi="Calibri" w:cs="Calibri"/>
              </w:rPr>
              <w:t>413.00</w:t>
            </w:r>
            <w:r w:rsidR="00875329" w:rsidRPr="00050087">
              <w:rPr>
                <w:rFonts w:ascii="Calibri" w:hAnsi="Calibri" w:cs="Calibri"/>
              </w:rPr>
              <w:t>5</w:t>
            </w:r>
            <w:r w:rsidRPr="00050087">
              <w:rPr>
                <w:rFonts w:ascii="Calibri" w:hAnsi="Calibri" w:cs="Calibri"/>
              </w:rPr>
              <w:t xml:space="preserve">0N         </w:t>
            </w:r>
          </w:p>
          <w:p w14:paraId="0A8DCD82" w14:textId="77777777" w:rsidR="004A212C" w:rsidRPr="00050087" w:rsidRDefault="004A212C" w:rsidP="00CA13DB">
            <w:pPr>
              <w:rPr>
                <w:rFonts w:ascii="Calibri" w:hAnsi="Calibri" w:cs="Calibri"/>
              </w:rPr>
            </w:pPr>
          </w:p>
        </w:tc>
        <w:tc>
          <w:tcPr>
            <w:tcW w:w="1104" w:type="dxa"/>
          </w:tcPr>
          <w:p w14:paraId="7D11B902" w14:textId="77777777" w:rsidR="004A212C" w:rsidRPr="00050087" w:rsidRDefault="004A212C" w:rsidP="00CA13DB">
            <w:pPr>
              <w:rPr>
                <w:rFonts w:ascii="Calibri" w:hAnsi="Calibri" w:cs="Calibri"/>
              </w:rPr>
            </w:pPr>
            <w:proofErr w:type="spellStart"/>
            <w:r w:rsidRPr="00050087">
              <w:rPr>
                <w:rFonts w:ascii="Calibri" w:hAnsi="Calibri" w:cs="Calibri"/>
              </w:rPr>
              <w:t>ud</w:t>
            </w:r>
            <w:proofErr w:type="spellEnd"/>
          </w:p>
        </w:tc>
        <w:tc>
          <w:tcPr>
            <w:tcW w:w="6247" w:type="dxa"/>
            <w:vAlign w:val="bottom"/>
          </w:tcPr>
          <w:p w14:paraId="2BF38F2F" w14:textId="77777777" w:rsidR="004A212C" w:rsidRPr="00050087" w:rsidRDefault="004A212C" w:rsidP="00CA13DB">
            <w:pPr>
              <w:jc w:val="both"/>
              <w:rPr>
                <w:rFonts w:ascii="Calibri" w:hAnsi="Calibri" w:cs="Calibri"/>
              </w:rPr>
            </w:pPr>
            <w:r w:rsidRPr="00050087">
              <w:rPr>
                <w:rFonts w:ascii="Calibri" w:hAnsi="Calibri" w:cs="Calibri"/>
              </w:rPr>
              <w:t>EJECUCIÓN DE DESAGÜE DE BANDA TPE EN JUNTAS DE CALZADA O DE ACERA A TRAVÉS DE UNA CALDERETA CONECTADA A UN PICO DE FLAUTA, INCLUSO OPERACIONES DE COLOCACIÓN Y SELLADO Y MATERIALES AUXILIARES NECESARIOS. TOTALMENTE TERMINADO.</w:t>
            </w:r>
          </w:p>
          <w:p w14:paraId="39C8C661" w14:textId="77777777" w:rsidR="004A212C" w:rsidRPr="00050087" w:rsidRDefault="004A212C" w:rsidP="00CA13DB">
            <w:pPr>
              <w:jc w:val="both"/>
              <w:rPr>
                <w:rFonts w:ascii="Calibri" w:hAnsi="Calibri" w:cs="Calibri"/>
              </w:rPr>
            </w:pPr>
          </w:p>
        </w:tc>
      </w:tr>
      <w:tr w:rsidR="004A212C" w:rsidRPr="006937C2" w14:paraId="586E8887" w14:textId="77777777" w:rsidTr="00CA13DB">
        <w:tc>
          <w:tcPr>
            <w:tcW w:w="1437" w:type="dxa"/>
          </w:tcPr>
          <w:p w14:paraId="59270B2F" w14:textId="77777777" w:rsidR="004A212C" w:rsidRPr="00050087" w:rsidRDefault="004A212C" w:rsidP="00CA13DB">
            <w:pPr>
              <w:rPr>
                <w:rFonts w:ascii="Calibri" w:hAnsi="Calibri" w:cs="Calibri"/>
              </w:rPr>
            </w:pPr>
            <w:r w:rsidRPr="00050087">
              <w:rPr>
                <w:rFonts w:ascii="Calibri" w:hAnsi="Calibri" w:cs="Calibri"/>
              </w:rPr>
              <w:t>430.0080N</w:t>
            </w:r>
          </w:p>
        </w:tc>
        <w:tc>
          <w:tcPr>
            <w:tcW w:w="1104" w:type="dxa"/>
          </w:tcPr>
          <w:p w14:paraId="49E4F3B9" w14:textId="77777777" w:rsidR="004A212C" w:rsidRPr="00050087" w:rsidRDefault="004A212C" w:rsidP="00CA13DB">
            <w:pPr>
              <w:rPr>
                <w:rFonts w:ascii="Calibri" w:hAnsi="Calibri" w:cs="Calibri"/>
              </w:rPr>
            </w:pPr>
            <w:r w:rsidRPr="00050087">
              <w:rPr>
                <w:rFonts w:ascii="Calibri" w:hAnsi="Calibri" w:cs="Calibri"/>
              </w:rPr>
              <w:t>m</w:t>
            </w:r>
          </w:p>
        </w:tc>
        <w:tc>
          <w:tcPr>
            <w:tcW w:w="6247" w:type="dxa"/>
            <w:vAlign w:val="bottom"/>
          </w:tcPr>
          <w:p w14:paraId="6F66DE64" w14:textId="77777777" w:rsidR="004A212C" w:rsidRPr="00050087" w:rsidRDefault="004A212C" w:rsidP="00CA13DB">
            <w:pPr>
              <w:jc w:val="both"/>
              <w:rPr>
                <w:rFonts w:ascii="Calibri" w:hAnsi="Calibri" w:cs="Calibri"/>
              </w:rPr>
            </w:pPr>
            <w:r w:rsidRPr="00050087">
              <w:rPr>
                <w:rFonts w:ascii="Calibri" w:hAnsi="Calibri" w:cs="Calibri"/>
              </w:rPr>
              <w:t xml:space="preserve">BAJANTE DE PVC DE PLUVIALES, UNE-EN 1453, DE 110 </w:t>
            </w:r>
            <w:proofErr w:type="spellStart"/>
            <w:r w:rsidRPr="00050087">
              <w:rPr>
                <w:rFonts w:ascii="Calibri" w:hAnsi="Calibri" w:cs="Calibri"/>
              </w:rPr>
              <w:t>mm.</w:t>
            </w:r>
            <w:proofErr w:type="spellEnd"/>
            <w:r w:rsidRPr="00050087">
              <w:rPr>
                <w:rFonts w:ascii="Calibri" w:hAnsi="Calibri" w:cs="Calibri"/>
              </w:rPr>
              <w:t xml:space="preserve"> DE DIÁMETRO, CON SISEMA DE UNIÓN POR JUNTA ELÁSTICA, COLOCADA CON ABRAZADERAS METÁLICAS, INSTALADA, INCLUSO CON P.P. DE PIEZAS ESPECIALES DE PVC, FUNCIONANDO SEGÚN CTE-HS-5.</w:t>
            </w:r>
          </w:p>
        </w:tc>
      </w:tr>
    </w:tbl>
    <w:p w14:paraId="237899F5" w14:textId="77777777" w:rsidR="004A212C" w:rsidRPr="006937C2" w:rsidRDefault="004A212C" w:rsidP="000313DD">
      <w:pPr>
        <w:pStyle w:val="TITU2"/>
      </w:pPr>
      <w:bookmarkStart w:id="447" w:name="_Toc404236"/>
      <w:r>
        <w:t>414</w:t>
      </w:r>
      <w:r w:rsidRPr="006937C2">
        <w:t>.</w:t>
      </w:r>
      <w:r>
        <w:t>3</w:t>
      </w:r>
      <w:r w:rsidRPr="006937C2">
        <w:t>.</w:t>
      </w:r>
      <w:r>
        <w:t xml:space="preserve"> </w:t>
      </w:r>
      <w:r w:rsidRPr="006937C2">
        <w:tab/>
        <w:t>Materiales</w:t>
      </w:r>
      <w:bookmarkEnd w:id="447"/>
      <w:r w:rsidRPr="006937C2">
        <w:t xml:space="preserve"> </w:t>
      </w:r>
    </w:p>
    <w:p w14:paraId="64B70998" w14:textId="77777777" w:rsidR="004A212C" w:rsidRDefault="004A212C" w:rsidP="004A212C">
      <w:pPr>
        <w:pStyle w:val="NORMAL12"/>
      </w:pPr>
      <w:r>
        <w:t xml:space="preserve">Todos los materiales utilizados en la construcción de los presentes elementos de drenaje cumplirán con lo especificado en las Instrucciones y Normas vigentes que afecten a dichos </w:t>
      </w:r>
      <w:proofErr w:type="gramStart"/>
      <w:r>
        <w:t>materiales</w:t>
      </w:r>
      <w:proofErr w:type="gramEnd"/>
      <w:r>
        <w:t xml:space="preserve"> así como en los artículos correspondientes del presente pliego.</w:t>
      </w:r>
    </w:p>
    <w:p w14:paraId="5CF7F1E5" w14:textId="77777777" w:rsidR="004A212C" w:rsidRPr="000B41CA" w:rsidRDefault="004A212C" w:rsidP="004A212C">
      <w:pPr>
        <w:pStyle w:val="NORMAL12"/>
        <w:rPr>
          <w:u w:val="single"/>
        </w:rPr>
      </w:pPr>
      <w:r>
        <w:rPr>
          <w:u w:val="single"/>
        </w:rPr>
        <w:t>Caldereta de desagüe</w:t>
      </w:r>
    </w:p>
    <w:p w14:paraId="2F07CAB0" w14:textId="77777777" w:rsidR="004A212C" w:rsidRDefault="004A212C" w:rsidP="004A212C">
      <w:pPr>
        <w:pStyle w:val="NORMAL12"/>
      </w:pPr>
      <w:r>
        <w:t>Se emplearán calderetas sifónicas de PVC, con salida vertical de 110mm, conectadas adecuadamente a bajante del mismo diámetro, según lo especificado en Planos de proyecto.</w:t>
      </w:r>
    </w:p>
    <w:p w14:paraId="58F79C60" w14:textId="77777777" w:rsidR="004A212C" w:rsidRPr="006937C2" w:rsidRDefault="004A212C" w:rsidP="000313DD">
      <w:pPr>
        <w:pStyle w:val="TITU2"/>
      </w:pPr>
      <w:bookmarkStart w:id="448" w:name="_Toc404237"/>
      <w:r>
        <w:t>414</w:t>
      </w:r>
      <w:r w:rsidRPr="006937C2">
        <w:t>.</w:t>
      </w:r>
      <w:r>
        <w:t>4</w:t>
      </w:r>
      <w:r w:rsidRPr="006937C2">
        <w:t>.</w:t>
      </w:r>
      <w:r>
        <w:t xml:space="preserve"> </w:t>
      </w:r>
      <w:r w:rsidRPr="006937C2">
        <w:tab/>
        <w:t xml:space="preserve">Ejecución </w:t>
      </w:r>
      <w:r>
        <w:t>de las obras</w:t>
      </w:r>
      <w:bookmarkEnd w:id="448"/>
    </w:p>
    <w:p w14:paraId="2E36F1EE" w14:textId="77777777" w:rsidR="004A212C" w:rsidRDefault="004A212C" w:rsidP="004A212C">
      <w:pPr>
        <w:pStyle w:val="NORMAL12"/>
      </w:pPr>
      <w:r>
        <w:t>La ejecución de la colocación de calderetas incluye las siguientes operaciones:</w:t>
      </w:r>
    </w:p>
    <w:p w14:paraId="0CEC1640" w14:textId="77777777" w:rsidR="004A212C" w:rsidRPr="00861F26" w:rsidRDefault="004A212C" w:rsidP="000313DD">
      <w:pPr>
        <w:pStyle w:val="NORMAL12"/>
        <w:numPr>
          <w:ilvl w:val="0"/>
          <w:numId w:val="243"/>
        </w:numPr>
        <w:ind w:left="0" w:firstLine="426"/>
      </w:pPr>
      <w:r w:rsidRPr="00861F26">
        <w:t>El suministro de las piezas y materiales necesarios.</w:t>
      </w:r>
    </w:p>
    <w:p w14:paraId="581E401C" w14:textId="77777777" w:rsidR="004A212C" w:rsidRPr="00861F26" w:rsidRDefault="004A212C" w:rsidP="000313DD">
      <w:pPr>
        <w:pStyle w:val="NORMAL12"/>
        <w:numPr>
          <w:ilvl w:val="0"/>
          <w:numId w:val="243"/>
        </w:numPr>
        <w:ind w:left="0" w:firstLine="426"/>
      </w:pPr>
      <w:r w:rsidRPr="00861F26">
        <w:t>Preparación de las superficies sobre las que se va a realizar la fijación y sellado de los elementos.</w:t>
      </w:r>
    </w:p>
    <w:p w14:paraId="1B8E481E" w14:textId="77777777" w:rsidR="004A212C" w:rsidRPr="00861F26" w:rsidRDefault="004A212C" w:rsidP="000313DD">
      <w:pPr>
        <w:pStyle w:val="NORMAL12"/>
        <w:numPr>
          <w:ilvl w:val="0"/>
          <w:numId w:val="243"/>
        </w:numPr>
        <w:ind w:left="0" w:firstLine="426"/>
      </w:pPr>
      <w:r w:rsidRPr="00861F26">
        <w:t>La colocación de las piezas, incluso conexiones.</w:t>
      </w:r>
    </w:p>
    <w:p w14:paraId="3C71677D" w14:textId="77777777" w:rsidR="004A212C" w:rsidRPr="00861F26" w:rsidRDefault="004A212C" w:rsidP="000313DD">
      <w:pPr>
        <w:pStyle w:val="NORMAL12"/>
        <w:numPr>
          <w:ilvl w:val="0"/>
          <w:numId w:val="243"/>
        </w:numPr>
        <w:ind w:left="0" w:firstLine="426"/>
      </w:pPr>
      <w:r w:rsidRPr="00861F26">
        <w:t>Aplicación de cordón de sellado para garantizar la estanqueidad del</w:t>
      </w:r>
      <w:r>
        <w:t xml:space="preserve"> </w:t>
      </w:r>
      <w:r w:rsidRPr="00861F26">
        <w:t>contacto caldereta-banda estanca.</w:t>
      </w:r>
    </w:p>
    <w:p w14:paraId="659BEFEA" w14:textId="77777777" w:rsidR="004A212C" w:rsidRDefault="004A212C" w:rsidP="000313DD">
      <w:pPr>
        <w:pStyle w:val="NORMAL12"/>
        <w:numPr>
          <w:ilvl w:val="0"/>
          <w:numId w:val="243"/>
        </w:numPr>
        <w:ind w:left="0" w:firstLine="426"/>
      </w:pPr>
      <w:r w:rsidRPr="00861F26">
        <w:t>Colocación y</w:t>
      </w:r>
      <w:r>
        <w:t xml:space="preserve"> sellado del elemento de bajante</w:t>
      </w:r>
      <w:r w:rsidRPr="00861F26">
        <w:t xml:space="preserve"> para asegurar que los paramentos</w:t>
      </w:r>
      <w:r>
        <w:t xml:space="preserve"> </w:t>
      </w:r>
      <w:r w:rsidRPr="00861F26">
        <w:t>próximos de la estructura no se ven afectados por la escorrentía.</w:t>
      </w:r>
    </w:p>
    <w:p w14:paraId="2A4FC51E" w14:textId="77777777" w:rsidR="004A212C" w:rsidRDefault="004A212C" w:rsidP="000313DD">
      <w:pPr>
        <w:pStyle w:val="NORMAL12"/>
        <w:numPr>
          <w:ilvl w:val="0"/>
          <w:numId w:val="243"/>
        </w:numPr>
        <w:ind w:left="0" w:firstLine="426"/>
      </w:pPr>
      <w:r>
        <w:t>Cualquier trabajo, maquinaria, material o elemento auxiliar necesario para la correcta y rápida ejecución de esta unidad de obra.</w:t>
      </w:r>
    </w:p>
    <w:p w14:paraId="5149D2F5" w14:textId="77777777" w:rsidR="004A212C" w:rsidRDefault="004A212C" w:rsidP="004A212C">
      <w:pPr>
        <w:pStyle w:val="NORMAL12"/>
      </w:pPr>
      <w:r>
        <w:t>La ejecución de la colocación de bajante de PVC para el desagüe de calderetas incluye las siguientes operaciones:</w:t>
      </w:r>
    </w:p>
    <w:p w14:paraId="182EF0A6" w14:textId="77777777" w:rsidR="004A212C" w:rsidRDefault="004A212C" w:rsidP="000313DD">
      <w:pPr>
        <w:pStyle w:val="NORMAL12"/>
        <w:numPr>
          <w:ilvl w:val="0"/>
          <w:numId w:val="244"/>
        </w:numPr>
        <w:ind w:hanging="294"/>
      </w:pPr>
      <w:r w:rsidRPr="00861F26">
        <w:t>El suministro de las piezas y materiales necesarios.</w:t>
      </w:r>
    </w:p>
    <w:p w14:paraId="5BD2DC81" w14:textId="77777777" w:rsidR="004A212C" w:rsidRDefault="004A212C" w:rsidP="000313DD">
      <w:pPr>
        <w:pStyle w:val="NORMAL12"/>
        <w:numPr>
          <w:ilvl w:val="0"/>
          <w:numId w:val="244"/>
        </w:numPr>
        <w:ind w:hanging="294"/>
      </w:pPr>
      <w:r w:rsidRPr="00861F26">
        <w:t>La preparación de las zonas de conexión para recibir las piezas.</w:t>
      </w:r>
    </w:p>
    <w:p w14:paraId="436236A7" w14:textId="77777777" w:rsidR="004A212C" w:rsidRDefault="004A212C" w:rsidP="000313DD">
      <w:pPr>
        <w:pStyle w:val="NORMAL12"/>
        <w:numPr>
          <w:ilvl w:val="0"/>
          <w:numId w:val="244"/>
        </w:numPr>
        <w:ind w:hanging="294"/>
      </w:pPr>
      <w:r w:rsidRPr="00861F26">
        <w:t>La colocación de las piezas y acabado final, incluso sujeción y conexiones.</w:t>
      </w:r>
    </w:p>
    <w:p w14:paraId="29D76CD3" w14:textId="77777777" w:rsidR="004A212C" w:rsidRDefault="004A212C" w:rsidP="000313DD">
      <w:pPr>
        <w:pStyle w:val="NORMAL12"/>
        <w:numPr>
          <w:ilvl w:val="0"/>
          <w:numId w:val="244"/>
        </w:numPr>
        <w:ind w:hanging="294"/>
      </w:pPr>
      <w:r>
        <w:t>Cualquier trabajo, maquinaria, material o elemento auxiliar necesario para la correcta y rápida ejecución de esta unidad de obra</w:t>
      </w:r>
    </w:p>
    <w:p w14:paraId="4876B16B" w14:textId="77777777" w:rsidR="004A212C" w:rsidRPr="006937C2" w:rsidRDefault="004A212C" w:rsidP="000313DD">
      <w:pPr>
        <w:pStyle w:val="TITU2"/>
      </w:pPr>
      <w:bookmarkStart w:id="449" w:name="_Toc404238"/>
      <w:r>
        <w:lastRenderedPageBreak/>
        <w:t>414.5.</w:t>
      </w:r>
      <w:r w:rsidRPr="006937C2">
        <w:t xml:space="preserve"> </w:t>
      </w:r>
      <w:r>
        <w:t>Recepción</w:t>
      </w:r>
      <w:bookmarkEnd w:id="449"/>
    </w:p>
    <w:p w14:paraId="0C813CC0" w14:textId="77777777" w:rsidR="004A212C" w:rsidRDefault="00DC0ACB" w:rsidP="004A212C">
      <w:pPr>
        <w:pStyle w:val="NORMAL12"/>
      </w:pPr>
      <w:r>
        <w:t xml:space="preserve">El </w:t>
      </w:r>
      <w:proofErr w:type="gramStart"/>
      <w:r>
        <w:t>Director</w:t>
      </w:r>
      <w:proofErr w:type="gramEnd"/>
      <w:r>
        <w:t xml:space="preserve"> de Obra </w:t>
      </w:r>
      <w:r w:rsidR="004A212C">
        <w:t>o persona en quien se delegue verificará la siguiente especificación de la unidad de obra terminada.</w:t>
      </w:r>
    </w:p>
    <w:p w14:paraId="55045449" w14:textId="77777777" w:rsidR="004A212C" w:rsidRPr="00991A42" w:rsidRDefault="004A212C" w:rsidP="004A212C">
      <w:pPr>
        <w:pStyle w:val="NORMAL12"/>
        <w:rPr>
          <w:u w:val="single"/>
        </w:rPr>
      </w:pPr>
      <w:r w:rsidRPr="00991A42">
        <w:rPr>
          <w:u w:val="single"/>
        </w:rPr>
        <w:t>Certificado de garantía de estanqueidad.</w:t>
      </w:r>
    </w:p>
    <w:p w14:paraId="222259C0" w14:textId="77777777" w:rsidR="004A212C" w:rsidRDefault="004A212C" w:rsidP="004A212C">
      <w:pPr>
        <w:pStyle w:val="NORMAL12"/>
      </w:pPr>
      <w:r>
        <w:t xml:space="preserve">El instalador del sistema de drenaje aportará un certificado de garantía de la correcta instalación del sistema que asegure la estanqueidad </w:t>
      </w:r>
      <w:proofErr w:type="gramStart"/>
      <w:r>
        <w:t>del mismo</w:t>
      </w:r>
      <w:proofErr w:type="gramEnd"/>
      <w:r>
        <w:t xml:space="preserve"> en el plazo de garantía especificado en dicho certificado.</w:t>
      </w:r>
    </w:p>
    <w:p w14:paraId="1AD9DD70" w14:textId="77777777" w:rsidR="004A212C" w:rsidRPr="006937C2" w:rsidRDefault="004A212C" w:rsidP="000313DD">
      <w:pPr>
        <w:pStyle w:val="TITU2"/>
      </w:pPr>
      <w:bookmarkStart w:id="450" w:name="_Toc404239"/>
      <w:r>
        <w:t>414.6.</w:t>
      </w:r>
      <w:r w:rsidRPr="006937C2">
        <w:t xml:space="preserve"> Medición y abono</w:t>
      </w:r>
      <w:bookmarkEnd w:id="450"/>
    </w:p>
    <w:p w14:paraId="3310DE7D" w14:textId="77777777" w:rsidR="004A212C" w:rsidRPr="006937C2" w:rsidRDefault="004A212C" w:rsidP="004A212C">
      <w:pPr>
        <w:pStyle w:val="NORMAL12"/>
      </w:pPr>
      <w:r w:rsidRPr="006937C2">
        <w:t xml:space="preserve">La medición y abono de </w:t>
      </w:r>
      <w:r>
        <w:t xml:space="preserve">las </w:t>
      </w:r>
      <w:r w:rsidR="00217216">
        <w:t>calderetas</w:t>
      </w:r>
      <w:r>
        <w:t xml:space="preserve"> de desagüe de las bandas TPE de las juntas </w:t>
      </w:r>
      <w:r w:rsidRPr="006937C2">
        <w:t>se realizará conforme a las siguientes especificaciones: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75"/>
        <w:gridCol w:w="6668"/>
      </w:tblGrid>
      <w:tr w:rsidR="004A212C" w:rsidRPr="006937C2" w14:paraId="43E9C9F5" w14:textId="77777777" w:rsidTr="00CA13DB">
        <w:tc>
          <w:tcPr>
            <w:tcW w:w="0" w:type="auto"/>
            <w:vAlign w:val="center"/>
          </w:tcPr>
          <w:p w14:paraId="29344238" w14:textId="77777777" w:rsidR="004A212C" w:rsidRPr="006937C2" w:rsidRDefault="004A212C" w:rsidP="00CA13DB">
            <w:pPr>
              <w:pStyle w:val="Tabla"/>
              <w:rPr>
                <w:b/>
              </w:rPr>
            </w:pPr>
            <w:r w:rsidRPr="006937C2">
              <w:rPr>
                <w:b/>
              </w:rPr>
              <w:t>Unidad de medida</w:t>
            </w:r>
          </w:p>
        </w:tc>
        <w:tc>
          <w:tcPr>
            <w:tcW w:w="6668" w:type="dxa"/>
            <w:vAlign w:val="center"/>
          </w:tcPr>
          <w:p w14:paraId="54DD2BE5" w14:textId="77777777" w:rsidR="004A212C" w:rsidRPr="006937C2" w:rsidRDefault="004A212C" w:rsidP="00F30E6E">
            <w:pPr>
              <w:pStyle w:val="LCATabla"/>
              <w:keepLines/>
              <w:jc w:val="both"/>
              <w:rPr>
                <w:rFonts w:ascii="Arial" w:hAnsi="Arial"/>
                <w:sz w:val="20"/>
              </w:rPr>
            </w:pPr>
            <w:r>
              <w:rPr>
                <w:rFonts w:ascii="Arial" w:hAnsi="Arial"/>
                <w:sz w:val="20"/>
              </w:rPr>
              <w:t>Unidad (</w:t>
            </w:r>
            <w:proofErr w:type="spellStart"/>
            <w:r>
              <w:rPr>
                <w:rFonts w:ascii="Arial" w:hAnsi="Arial"/>
                <w:sz w:val="20"/>
              </w:rPr>
              <w:t>ud</w:t>
            </w:r>
            <w:proofErr w:type="spellEnd"/>
            <w:r>
              <w:rPr>
                <w:rFonts w:ascii="Arial" w:hAnsi="Arial"/>
                <w:sz w:val="20"/>
              </w:rPr>
              <w:t>)</w:t>
            </w:r>
          </w:p>
        </w:tc>
      </w:tr>
      <w:tr w:rsidR="004A212C" w:rsidRPr="006937C2" w14:paraId="30E01D8E" w14:textId="77777777" w:rsidTr="00CA13DB">
        <w:tc>
          <w:tcPr>
            <w:tcW w:w="0" w:type="auto"/>
            <w:vAlign w:val="center"/>
          </w:tcPr>
          <w:p w14:paraId="7AF586B4" w14:textId="77777777" w:rsidR="004A212C" w:rsidRPr="006937C2" w:rsidRDefault="004A212C" w:rsidP="00CA13DB">
            <w:pPr>
              <w:pStyle w:val="Tabla"/>
              <w:rPr>
                <w:b/>
              </w:rPr>
            </w:pPr>
            <w:r w:rsidRPr="006937C2">
              <w:rPr>
                <w:b/>
              </w:rPr>
              <w:t>Grado de precisión</w:t>
            </w:r>
          </w:p>
        </w:tc>
        <w:tc>
          <w:tcPr>
            <w:tcW w:w="6668" w:type="dxa"/>
            <w:vAlign w:val="center"/>
          </w:tcPr>
          <w:p w14:paraId="383DAB44" w14:textId="77777777" w:rsidR="004A212C" w:rsidRPr="006937C2" w:rsidRDefault="004A212C" w:rsidP="00F30E6E">
            <w:pPr>
              <w:pStyle w:val="LCATabla"/>
              <w:keepLines/>
              <w:jc w:val="both"/>
              <w:rPr>
                <w:rFonts w:ascii="Arial" w:hAnsi="Arial"/>
                <w:sz w:val="20"/>
              </w:rPr>
            </w:pPr>
            <w:r>
              <w:rPr>
                <w:rFonts w:ascii="Arial" w:hAnsi="Arial"/>
                <w:sz w:val="20"/>
              </w:rPr>
              <w:t>Unidades exactas</w:t>
            </w:r>
            <w:r w:rsidRPr="006937C2">
              <w:rPr>
                <w:rFonts w:ascii="Arial" w:hAnsi="Arial"/>
                <w:sz w:val="20"/>
              </w:rPr>
              <w:t>.</w:t>
            </w:r>
          </w:p>
        </w:tc>
      </w:tr>
      <w:tr w:rsidR="004A212C" w:rsidRPr="006937C2" w14:paraId="1CE182E0" w14:textId="77777777" w:rsidTr="00CA13DB">
        <w:tc>
          <w:tcPr>
            <w:tcW w:w="0" w:type="auto"/>
            <w:vAlign w:val="center"/>
          </w:tcPr>
          <w:p w14:paraId="20DA9FDD" w14:textId="77777777" w:rsidR="004A212C" w:rsidRPr="006937C2" w:rsidRDefault="004A212C" w:rsidP="00CA13DB">
            <w:pPr>
              <w:pStyle w:val="Tabla"/>
              <w:rPr>
                <w:b/>
              </w:rPr>
            </w:pPr>
            <w:r w:rsidRPr="006937C2">
              <w:rPr>
                <w:b/>
              </w:rPr>
              <w:t>Forma de medición</w:t>
            </w:r>
          </w:p>
        </w:tc>
        <w:tc>
          <w:tcPr>
            <w:tcW w:w="6668" w:type="dxa"/>
            <w:vAlign w:val="center"/>
          </w:tcPr>
          <w:p w14:paraId="7E339B80" w14:textId="77777777" w:rsidR="004A212C" w:rsidRPr="006937C2" w:rsidRDefault="004A212C" w:rsidP="00F30E6E">
            <w:pPr>
              <w:pStyle w:val="LCATabla"/>
              <w:keepLines/>
              <w:jc w:val="both"/>
              <w:rPr>
                <w:rFonts w:ascii="Arial" w:hAnsi="Arial"/>
                <w:sz w:val="20"/>
              </w:rPr>
            </w:pPr>
            <w:r w:rsidRPr="00991A42">
              <w:rPr>
                <w:rFonts w:ascii="Arial" w:hAnsi="Arial"/>
                <w:sz w:val="20"/>
              </w:rPr>
              <w:t>Número de unidades realmente instaladas en obra</w:t>
            </w:r>
            <w:r>
              <w:rPr>
                <w:rFonts w:ascii="Arial" w:hAnsi="Arial" w:cs="Arial"/>
              </w:rPr>
              <w:t>.</w:t>
            </w:r>
          </w:p>
        </w:tc>
      </w:tr>
      <w:tr w:rsidR="004A212C" w:rsidRPr="001B1677" w14:paraId="7FB6EE1A" w14:textId="77777777" w:rsidTr="00CA13DB">
        <w:tc>
          <w:tcPr>
            <w:tcW w:w="0" w:type="auto"/>
            <w:vAlign w:val="center"/>
          </w:tcPr>
          <w:p w14:paraId="12668B24" w14:textId="77777777" w:rsidR="004A212C" w:rsidRPr="006937C2" w:rsidRDefault="004A212C" w:rsidP="00CA13DB">
            <w:pPr>
              <w:pStyle w:val="Tabla"/>
              <w:rPr>
                <w:b/>
              </w:rPr>
            </w:pPr>
            <w:r w:rsidRPr="006937C2">
              <w:rPr>
                <w:b/>
              </w:rPr>
              <w:t>Abono</w:t>
            </w:r>
          </w:p>
        </w:tc>
        <w:tc>
          <w:tcPr>
            <w:tcW w:w="6668" w:type="dxa"/>
            <w:vAlign w:val="center"/>
          </w:tcPr>
          <w:p w14:paraId="02F4ADA9" w14:textId="77777777" w:rsidR="004A212C" w:rsidRPr="006937C2" w:rsidRDefault="004A212C" w:rsidP="00F30E6E">
            <w:pPr>
              <w:pStyle w:val="LCATabla"/>
              <w:keepLines/>
              <w:jc w:val="both"/>
              <w:rPr>
                <w:rFonts w:ascii="Arial" w:hAnsi="Arial"/>
                <w:sz w:val="20"/>
              </w:rPr>
            </w:pPr>
            <w:r w:rsidRPr="006937C2">
              <w:rPr>
                <w:rFonts w:ascii="Arial" w:hAnsi="Arial"/>
                <w:sz w:val="20"/>
              </w:rPr>
              <w:t>Se efectuará cuando se realice la aceptación.</w:t>
            </w:r>
          </w:p>
        </w:tc>
      </w:tr>
      <w:tr w:rsidR="004A212C" w:rsidRPr="001B1677" w14:paraId="228BB1A7" w14:textId="77777777" w:rsidTr="00CA13DB">
        <w:tc>
          <w:tcPr>
            <w:tcW w:w="0" w:type="auto"/>
            <w:vAlign w:val="center"/>
          </w:tcPr>
          <w:p w14:paraId="27D9671E" w14:textId="77777777" w:rsidR="004A212C" w:rsidRPr="006937C2" w:rsidRDefault="004A212C" w:rsidP="00CA13DB">
            <w:pPr>
              <w:pStyle w:val="Tabla"/>
              <w:rPr>
                <w:b/>
              </w:rPr>
            </w:pPr>
            <w:r>
              <w:rPr>
                <w:b/>
              </w:rPr>
              <w:t>Criterios complementarios</w:t>
            </w:r>
          </w:p>
        </w:tc>
        <w:tc>
          <w:tcPr>
            <w:tcW w:w="6668" w:type="dxa"/>
            <w:vAlign w:val="center"/>
          </w:tcPr>
          <w:p w14:paraId="5A55A444" w14:textId="77777777" w:rsidR="004A212C" w:rsidRPr="006937C2" w:rsidRDefault="004A212C" w:rsidP="00F30E6E">
            <w:pPr>
              <w:pStyle w:val="LCATabla"/>
              <w:keepLines/>
              <w:jc w:val="both"/>
              <w:rPr>
                <w:rFonts w:ascii="Arial" w:hAnsi="Arial"/>
                <w:sz w:val="20"/>
              </w:rPr>
            </w:pPr>
            <w:r w:rsidRPr="00991A42">
              <w:rPr>
                <w:rFonts w:ascii="Arial" w:hAnsi="Arial"/>
                <w:sz w:val="20"/>
              </w:rPr>
              <w:t>El precio incluye todas las operaciones y medios auxiliares para su</w:t>
            </w:r>
            <w:r>
              <w:rPr>
                <w:rFonts w:ascii="Arial" w:hAnsi="Arial"/>
                <w:sz w:val="20"/>
              </w:rPr>
              <w:t xml:space="preserve"> </w:t>
            </w:r>
            <w:r w:rsidRPr="00991A42">
              <w:rPr>
                <w:rFonts w:ascii="Arial" w:hAnsi="Arial"/>
                <w:sz w:val="20"/>
              </w:rPr>
              <w:t>ejecución, incluyendo el desmontaje del sumidero y de las rejillas</w:t>
            </w:r>
            <w:r>
              <w:rPr>
                <w:rFonts w:ascii="Arial" w:hAnsi="Arial"/>
                <w:sz w:val="20"/>
              </w:rPr>
              <w:t xml:space="preserve"> </w:t>
            </w:r>
            <w:r w:rsidRPr="00991A42">
              <w:rPr>
                <w:rFonts w:ascii="Arial" w:hAnsi="Arial"/>
                <w:sz w:val="20"/>
              </w:rPr>
              <w:t>existentes, obturación de conducto y acondicionamiento posterior.</w:t>
            </w:r>
          </w:p>
        </w:tc>
      </w:tr>
    </w:tbl>
    <w:p w14:paraId="642B0B30" w14:textId="77777777" w:rsidR="004A212C" w:rsidRPr="006937C2" w:rsidRDefault="004A212C" w:rsidP="004A212C">
      <w:pPr>
        <w:pStyle w:val="NORMAL12"/>
      </w:pPr>
      <w:r w:rsidRPr="006937C2">
        <w:t xml:space="preserve">La medición y abono de </w:t>
      </w:r>
      <w:r>
        <w:t xml:space="preserve">la bajante </w:t>
      </w:r>
      <w:r w:rsidRPr="006937C2">
        <w:t>se realizará conforme a las siguientes especificaciones: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75"/>
        <w:gridCol w:w="6668"/>
      </w:tblGrid>
      <w:tr w:rsidR="004A212C" w:rsidRPr="006937C2" w14:paraId="3A313246" w14:textId="77777777" w:rsidTr="00CA13DB">
        <w:tc>
          <w:tcPr>
            <w:tcW w:w="0" w:type="auto"/>
            <w:vAlign w:val="center"/>
          </w:tcPr>
          <w:p w14:paraId="62592121" w14:textId="77777777" w:rsidR="004A212C" w:rsidRPr="006937C2" w:rsidRDefault="004A212C" w:rsidP="00CA13DB">
            <w:pPr>
              <w:pStyle w:val="Tabla"/>
              <w:rPr>
                <w:b/>
              </w:rPr>
            </w:pPr>
            <w:r w:rsidRPr="006937C2">
              <w:rPr>
                <w:b/>
              </w:rPr>
              <w:t>Unidad de medida</w:t>
            </w:r>
          </w:p>
        </w:tc>
        <w:tc>
          <w:tcPr>
            <w:tcW w:w="6668" w:type="dxa"/>
            <w:vAlign w:val="center"/>
          </w:tcPr>
          <w:p w14:paraId="1058D006" w14:textId="77777777" w:rsidR="004A212C" w:rsidRPr="006937C2" w:rsidRDefault="004A212C" w:rsidP="00F30E6E">
            <w:pPr>
              <w:pStyle w:val="LCATabla"/>
              <w:keepLines/>
              <w:jc w:val="both"/>
              <w:rPr>
                <w:rFonts w:ascii="Arial" w:hAnsi="Arial"/>
                <w:sz w:val="20"/>
              </w:rPr>
            </w:pPr>
            <w:r>
              <w:rPr>
                <w:rFonts w:ascii="Arial" w:hAnsi="Arial"/>
                <w:sz w:val="20"/>
              </w:rPr>
              <w:t>Metro (m)</w:t>
            </w:r>
          </w:p>
        </w:tc>
      </w:tr>
      <w:tr w:rsidR="004A212C" w:rsidRPr="006937C2" w14:paraId="126E5334" w14:textId="77777777" w:rsidTr="00CA13DB">
        <w:tc>
          <w:tcPr>
            <w:tcW w:w="0" w:type="auto"/>
            <w:vAlign w:val="center"/>
          </w:tcPr>
          <w:p w14:paraId="0C6274D6" w14:textId="77777777" w:rsidR="004A212C" w:rsidRPr="006937C2" w:rsidRDefault="004A212C" w:rsidP="00CA13DB">
            <w:pPr>
              <w:pStyle w:val="Tabla"/>
              <w:rPr>
                <w:b/>
              </w:rPr>
            </w:pPr>
            <w:r w:rsidRPr="006937C2">
              <w:rPr>
                <w:b/>
              </w:rPr>
              <w:t>Grado de precisión</w:t>
            </w:r>
          </w:p>
        </w:tc>
        <w:tc>
          <w:tcPr>
            <w:tcW w:w="6668" w:type="dxa"/>
            <w:vAlign w:val="center"/>
          </w:tcPr>
          <w:p w14:paraId="3828DB35" w14:textId="77777777" w:rsidR="004A212C" w:rsidRPr="006937C2" w:rsidRDefault="004A212C" w:rsidP="00F30E6E">
            <w:pPr>
              <w:pStyle w:val="LCATabla"/>
              <w:keepLines/>
              <w:jc w:val="both"/>
              <w:rPr>
                <w:rFonts w:ascii="Arial" w:hAnsi="Arial"/>
                <w:sz w:val="20"/>
              </w:rPr>
            </w:pPr>
            <w:r>
              <w:rPr>
                <w:rFonts w:ascii="Arial" w:hAnsi="Arial"/>
                <w:sz w:val="20"/>
              </w:rPr>
              <w:t>Dos decimales</w:t>
            </w:r>
            <w:r w:rsidRPr="006937C2">
              <w:rPr>
                <w:rFonts w:ascii="Arial" w:hAnsi="Arial"/>
                <w:sz w:val="20"/>
              </w:rPr>
              <w:t>.</w:t>
            </w:r>
          </w:p>
        </w:tc>
      </w:tr>
      <w:tr w:rsidR="004A212C" w:rsidRPr="006937C2" w14:paraId="1B12EB6B" w14:textId="77777777" w:rsidTr="00CA13DB">
        <w:tc>
          <w:tcPr>
            <w:tcW w:w="0" w:type="auto"/>
            <w:vAlign w:val="center"/>
          </w:tcPr>
          <w:p w14:paraId="2D7AA84A" w14:textId="77777777" w:rsidR="004A212C" w:rsidRPr="006937C2" w:rsidRDefault="004A212C" w:rsidP="00CA13DB">
            <w:pPr>
              <w:pStyle w:val="Tabla"/>
              <w:rPr>
                <w:b/>
              </w:rPr>
            </w:pPr>
            <w:r w:rsidRPr="006937C2">
              <w:rPr>
                <w:b/>
              </w:rPr>
              <w:t>Forma de medición</w:t>
            </w:r>
          </w:p>
        </w:tc>
        <w:tc>
          <w:tcPr>
            <w:tcW w:w="6668" w:type="dxa"/>
            <w:vAlign w:val="center"/>
          </w:tcPr>
          <w:p w14:paraId="5596F3C7" w14:textId="77777777" w:rsidR="004A212C" w:rsidRPr="006937C2" w:rsidRDefault="004A212C" w:rsidP="00F30E6E">
            <w:pPr>
              <w:pStyle w:val="LCATabla"/>
              <w:keepLines/>
              <w:jc w:val="both"/>
              <w:rPr>
                <w:rFonts w:ascii="Arial" w:hAnsi="Arial"/>
                <w:sz w:val="20"/>
              </w:rPr>
            </w:pPr>
            <w:r>
              <w:rPr>
                <w:rFonts w:ascii="Arial" w:hAnsi="Arial"/>
                <w:sz w:val="20"/>
              </w:rPr>
              <w:t>Longitud realmente ejecutada en obra</w:t>
            </w:r>
            <w:r>
              <w:rPr>
                <w:rFonts w:ascii="Arial" w:hAnsi="Arial" w:cs="Arial"/>
              </w:rPr>
              <w:t>.</w:t>
            </w:r>
          </w:p>
        </w:tc>
      </w:tr>
      <w:tr w:rsidR="004A212C" w:rsidRPr="001B1677" w14:paraId="54D04661" w14:textId="77777777" w:rsidTr="00CA13DB">
        <w:tc>
          <w:tcPr>
            <w:tcW w:w="0" w:type="auto"/>
            <w:vAlign w:val="center"/>
          </w:tcPr>
          <w:p w14:paraId="3FDE1E58" w14:textId="77777777" w:rsidR="004A212C" w:rsidRPr="006937C2" w:rsidRDefault="004A212C" w:rsidP="00CA13DB">
            <w:pPr>
              <w:pStyle w:val="Tabla"/>
              <w:rPr>
                <w:b/>
              </w:rPr>
            </w:pPr>
            <w:r w:rsidRPr="006937C2">
              <w:rPr>
                <w:b/>
              </w:rPr>
              <w:t>Abono</w:t>
            </w:r>
          </w:p>
        </w:tc>
        <w:tc>
          <w:tcPr>
            <w:tcW w:w="6668" w:type="dxa"/>
            <w:vAlign w:val="center"/>
          </w:tcPr>
          <w:p w14:paraId="473EF1D5" w14:textId="77777777" w:rsidR="004A212C" w:rsidRPr="006937C2" w:rsidRDefault="004A212C" w:rsidP="00F30E6E">
            <w:pPr>
              <w:pStyle w:val="LCATabla"/>
              <w:keepLines/>
              <w:jc w:val="both"/>
              <w:rPr>
                <w:rFonts w:ascii="Arial" w:hAnsi="Arial"/>
                <w:sz w:val="20"/>
              </w:rPr>
            </w:pPr>
            <w:r w:rsidRPr="006937C2">
              <w:rPr>
                <w:rFonts w:ascii="Arial" w:hAnsi="Arial"/>
                <w:sz w:val="20"/>
              </w:rPr>
              <w:t>Se efectuará cuando se realice la aceptación.</w:t>
            </w:r>
          </w:p>
        </w:tc>
      </w:tr>
      <w:tr w:rsidR="004A212C" w:rsidRPr="001B1677" w14:paraId="198916A9" w14:textId="77777777" w:rsidTr="00CA13DB">
        <w:tc>
          <w:tcPr>
            <w:tcW w:w="0" w:type="auto"/>
            <w:vAlign w:val="center"/>
          </w:tcPr>
          <w:p w14:paraId="5528D473" w14:textId="77777777" w:rsidR="004A212C" w:rsidRPr="006937C2" w:rsidRDefault="004A212C" w:rsidP="00CA13DB">
            <w:pPr>
              <w:pStyle w:val="Tabla"/>
              <w:rPr>
                <w:b/>
              </w:rPr>
            </w:pPr>
            <w:r>
              <w:rPr>
                <w:b/>
              </w:rPr>
              <w:t>Criterios complementarios</w:t>
            </w:r>
          </w:p>
        </w:tc>
        <w:tc>
          <w:tcPr>
            <w:tcW w:w="6668" w:type="dxa"/>
            <w:vAlign w:val="center"/>
          </w:tcPr>
          <w:p w14:paraId="1A6B181F" w14:textId="77777777" w:rsidR="004A212C" w:rsidRPr="006937C2" w:rsidRDefault="004A212C" w:rsidP="00F30E6E">
            <w:pPr>
              <w:pStyle w:val="LCATabla"/>
              <w:keepLines/>
              <w:jc w:val="both"/>
              <w:rPr>
                <w:rFonts w:ascii="Arial" w:hAnsi="Arial"/>
                <w:sz w:val="20"/>
              </w:rPr>
            </w:pPr>
            <w:r w:rsidRPr="00991A42">
              <w:rPr>
                <w:rFonts w:ascii="Arial" w:hAnsi="Arial"/>
                <w:sz w:val="20"/>
              </w:rPr>
              <w:t>El precio incluye todas las operaciones y medios auxiliares para su</w:t>
            </w:r>
            <w:r>
              <w:rPr>
                <w:rFonts w:ascii="Arial" w:hAnsi="Arial"/>
                <w:sz w:val="20"/>
              </w:rPr>
              <w:t xml:space="preserve"> </w:t>
            </w:r>
            <w:r w:rsidRPr="00991A42">
              <w:rPr>
                <w:rFonts w:ascii="Arial" w:hAnsi="Arial"/>
                <w:sz w:val="20"/>
              </w:rPr>
              <w:t xml:space="preserve">ejecución, </w:t>
            </w:r>
            <w:r>
              <w:rPr>
                <w:rFonts w:ascii="Arial" w:hAnsi="Arial"/>
                <w:sz w:val="20"/>
              </w:rPr>
              <w:t>incluyendo las operaciones previas, preparación y acondicionamiento posterior</w:t>
            </w:r>
            <w:r w:rsidRPr="00991A42">
              <w:rPr>
                <w:rFonts w:ascii="Arial" w:hAnsi="Arial"/>
                <w:sz w:val="20"/>
              </w:rPr>
              <w:t>.</w:t>
            </w:r>
          </w:p>
        </w:tc>
      </w:tr>
    </w:tbl>
    <w:p w14:paraId="3B370A1E" w14:textId="77777777" w:rsidR="008E5353" w:rsidRPr="00DE7006" w:rsidRDefault="008E5353" w:rsidP="00F23C7C">
      <w:pPr>
        <w:pStyle w:val="TITU1"/>
      </w:pPr>
      <w:bookmarkStart w:id="451" w:name="_Toc404240"/>
      <w:r w:rsidRPr="00DE7006">
        <w:lastRenderedPageBreak/>
        <w:t>Artículo 41</w:t>
      </w:r>
      <w:r w:rsidR="004A212C">
        <w:t>5</w:t>
      </w:r>
      <w:r w:rsidRPr="00DE7006">
        <w:t xml:space="preserve">. </w:t>
      </w:r>
      <w:bookmarkEnd w:id="431"/>
      <w:bookmarkEnd w:id="432"/>
      <w:r w:rsidRPr="00DE7006">
        <w:t>Tubos prefabricados de hormigón para drenaje</w:t>
      </w:r>
      <w:bookmarkEnd w:id="433"/>
      <w:bookmarkEnd w:id="451"/>
    </w:p>
    <w:p w14:paraId="498BE7A1" w14:textId="77777777" w:rsidR="008E5353" w:rsidRPr="000E3EE5" w:rsidRDefault="008E5353" w:rsidP="000313DD">
      <w:pPr>
        <w:pStyle w:val="TITU2"/>
      </w:pPr>
      <w:bookmarkStart w:id="452" w:name="_Toc277523275"/>
      <w:bookmarkStart w:id="453" w:name="_Toc404241"/>
      <w:r w:rsidRPr="000E3EE5">
        <w:t>41</w:t>
      </w:r>
      <w:r w:rsidR="004A212C">
        <w:t>5</w:t>
      </w:r>
      <w:r w:rsidRPr="000E3EE5">
        <w:t xml:space="preserve">.1. </w:t>
      </w:r>
      <w:r w:rsidRPr="000E3EE5">
        <w:tab/>
      </w:r>
      <w:bookmarkEnd w:id="452"/>
      <w:r w:rsidR="00C50108" w:rsidRPr="000E3EE5">
        <w:t>Definición</w:t>
      </w:r>
      <w:bookmarkEnd w:id="453"/>
    </w:p>
    <w:p w14:paraId="1741F750" w14:textId="77777777" w:rsidR="0038402B" w:rsidRPr="000E3EE5" w:rsidRDefault="0038402B" w:rsidP="0038402B">
      <w:pPr>
        <w:pStyle w:val="NORMAL12"/>
        <w:rPr>
          <w:lang w:val="es-ES"/>
        </w:rPr>
      </w:pPr>
      <w:r w:rsidRPr="000E3EE5">
        <w:rPr>
          <w:lang w:val="es-ES"/>
        </w:rPr>
        <w:t xml:space="preserve">Se define como tubo prefabricado de hormigón los de hormigón </w:t>
      </w:r>
      <w:proofErr w:type="spellStart"/>
      <w:r w:rsidRPr="000E3EE5">
        <w:rPr>
          <w:lang w:val="es-ES"/>
        </w:rPr>
        <w:t>vibroprensado</w:t>
      </w:r>
      <w:proofErr w:type="spellEnd"/>
      <w:r w:rsidRPr="000E3EE5">
        <w:rPr>
          <w:lang w:val="es-ES"/>
        </w:rPr>
        <w:t xml:space="preserve"> o armado utilizados en las obras de drenaje transversal de la traza o como colectores de drenaje longitudinal.</w:t>
      </w:r>
    </w:p>
    <w:p w14:paraId="58B97A26" w14:textId="77777777" w:rsidR="00D36AD2" w:rsidRPr="000E3EE5" w:rsidRDefault="00D36AD2" w:rsidP="00D36AD2">
      <w:pPr>
        <w:pStyle w:val="NORMAL12"/>
        <w:rPr>
          <w:lang w:val="es-ES"/>
        </w:rPr>
      </w:pPr>
      <w:r w:rsidRPr="000E3EE5">
        <w:rPr>
          <w:lang w:val="es-ES"/>
        </w:rPr>
        <w:t xml:space="preserve">Las prescripciones del presente artículo </w:t>
      </w:r>
      <w:proofErr w:type="gramStart"/>
      <w:r w:rsidRPr="000E3EE5">
        <w:rPr>
          <w:lang w:val="es-ES"/>
        </w:rPr>
        <w:t>son de aplicación</w:t>
      </w:r>
      <w:proofErr w:type="gramEnd"/>
      <w:r w:rsidRPr="000E3EE5">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261"/>
        <w:gridCol w:w="677"/>
        <w:gridCol w:w="7840"/>
      </w:tblGrid>
      <w:tr w:rsidR="0041192E" w:rsidRPr="000E3EE5" w14:paraId="73AED284" w14:textId="77777777" w:rsidTr="0041192E">
        <w:trPr>
          <w:trHeight w:val="518"/>
        </w:trPr>
        <w:tc>
          <w:tcPr>
            <w:tcW w:w="645" w:type="pct"/>
            <w:noWrap/>
          </w:tcPr>
          <w:p w14:paraId="5E8FE596" w14:textId="77777777" w:rsidR="0041192E" w:rsidRPr="00050087" w:rsidRDefault="0041192E">
            <w:pPr>
              <w:rPr>
                <w:rFonts w:ascii="Calibri" w:hAnsi="Calibri"/>
                <w:color w:val="000000"/>
              </w:rPr>
            </w:pPr>
            <w:r w:rsidRPr="00050087">
              <w:rPr>
                <w:rFonts w:ascii="Calibri" w:hAnsi="Calibri"/>
                <w:color w:val="000000"/>
              </w:rPr>
              <w:t xml:space="preserve">414.0030          </w:t>
            </w:r>
          </w:p>
        </w:tc>
        <w:tc>
          <w:tcPr>
            <w:tcW w:w="346" w:type="pct"/>
            <w:noWrap/>
          </w:tcPr>
          <w:p w14:paraId="516786E7" w14:textId="77777777" w:rsidR="0041192E" w:rsidRPr="00050087" w:rsidRDefault="0041192E">
            <w:pPr>
              <w:rPr>
                <w:rFonts w:ascii="Calibri" w:hAnsi="Calibri"/>
                <w:color w:val="000000"/>
              </w:rPr>
            </w:pPr>
            <w:r w:rsidRPr="00050087">
              <w:rPr>
                <w:rFonts w:ascii="Calibri" w:hAnsi="Calibri"/>
                <w:color w:val="000000"/>
              </w:rPr>
              <w:t>m</w:t>
            </w:r>
          </w:p>
        </w:tc>
        <w:tc>
          <w:tcPr>
            <w:tcW w:w="4009" w:type="pct"/>
          </w:tcPr>
          <w:p w14:paraId="0BAF3CD7" w14:textId="77777777" w:rsidR="00707B9C" w:rsidRPr="00050087" w:rsidRDefault="00707B9C" w:rsidP="002A67A1">
            <w:pPr>
              <w:jc w:val="both"/>
              <w:rPr>
                <w:rFonts w:ascii="Calibri" w:hAnsi="Calibri"/>
                <w:color w:val="000000"/>
              </w:rPr>
            </w:pPr>
            <w:r w:rsidRPr="00050087">
              <w:rPr>
                <w:rFonts w:ascii="Calibri" w:hAnsi="Calibri"/>
                <w:color w:val="000000"/>
              </w:rPr>
              <w:t>TUBO DE HORMIGÓN ARMADO SOBRE CAMA DE HORMIGÓN NO ESTRUCTURAL HNE-20 DE 10 cm DE ESPESOR Y DIÁMETRO 400 mm CLASE 135 (UNE-EN 1916) CON UNIÓN ELÁSTICA Y JUNTA DE GOMA i/ SUMINISTRO, TRANSPORTE A OBRA Y COLOCACIÓN.</w:t>
            </w:r>
          </w:p>
          <w:p w14:paraId="5CBDAD51" w14:textId="77777777" w:rsidR="0041192E" w:rsidRPr="00050087" w:rsidRDefault="0041192E" w:rsidP="002A67A1">
            <w:pPr>
              <w:jc w:val="both"/>
              <w:rPr>
                <w:rFonts w:ascii="Calibri" w:hAnsi="Calibri"/>
                <w:color w:val="000000"/>
              </w:rPr>
            </w:pPr>
          </w:p>
        </w:tc>
      </w:tr>
      <w:tr w:rsidR="0041192E" w:rsidRPr="000E3EE5" w14:paraId="1DD130A3" w14:textId="77777777" w:rsidTr="0041192E">
        <w:trPr>
          <w:trHeight w:val="518"/>
        </w:trPr>
        <w:tc>
          <w:tcPr>
            <w:tcW w:w="645" w:type="pct"/>
            <w:noWrap/>
          </w:tcPr>
          <w:p w14:paraId="14CF06D8" w14:textId="77777777" w:rsidR="0041192E" w:rsidRPr="00050087" w:rsidRDefault="0041192E">
            <w:pPr>
              <w:rPr>
                <w:rFonts w:ascii="Calibri" w:hAnsi="Calibri"/>
                <w:color w:val="000000"/>
              </w:rPr>
            </w:pPr>
            <w:r w:rsidRPr="00050087">
              <w:rPr>
                <w:rFonts w:ascii="Calibri" w:hAnsi="Calibri"/>
                <w:color w:val="000000"/>
              </w:rPr>
              <w:t xml:space="preserve">414.0080          </w:t>
            </w:r>
          </w:p>
        </w:tc>
        <w:tc>
          <w:tcPr>
            <w:tcW w:w="346" w:type="pct"/>
            <w:noWrap/>
          </w:tcPr>
          <w:p w14:paraId="65464DBB" w14:textId="77777777" w:rsidR="0041192E" w:rsidRPr="00050087" w:rsidRDefault="0041192E">
            <w:pPr>
              <w:rPr>
                <w:rFonts w:ascii="Calibri" w:hAnsi="Calibri"/>
                <w:color w:val="000000"/>
              </w:rPr>
            </w:pPr>
            <w:r w:rsidRPr="00050087">
              <w:rPr>
                <w:rFonts w:ascii="Calibri" w:hAnsi="Calibri"/>
                <w:color w:val="000000"/>
              </w:rPr>
              <w:t>m</w:t>
            </w:r>
          </w:p>
        </w:tc>
        <w:tc>
          <w:tcPr>
            <w:tcW w:w="4009" w:type="pct"/>
          </w:tcPr>
          <w:p w14:paraId="5520E0CA" w14:textId="77777777" w:rsidR="00707B9C" w:rsidRPr="00050087" w:rsidRDefault="00707B9C" w:rsidP="002A67A1">
            <w:pPr>
              <w:jc w:val="both"/>
              <w:rPr>
                <w:rFonts w:ascii="Calibri" w:hAnsi="Calibri"/>
                <w:color w:val="000000"/>
              </w:rPr>
            </w:pPr>
            <w:r w:rsidRPr="00050087">
              <w:rPr>
                <w:rFonts w:ascii="Calibri" w:hAnsi="Calibri"/>
                <w:color w:val="000000"/>
              </w:rPr>
              <w:t>TUBO DE HORMIGÓN ARMADO SOBRE CAMA DE HORMIGÓN NO ESTRUCTURAL HNE-20 DE 10 cm DE ESPESOR Y DIÁMETRO 600 mm CLASE 135 (UNE-EN 1916) CON UNIÓN ELÁSTICA Y JUNTA DE GOMA i/ SUMINISTRO, TRANSPORTE A OBRA Y COLOCACIÓN.</w:t>
            </w:r>
          </w:p>
          <w:p w14:paraId="695C87C3" w14:textId="77777777" w:rsidR="0041192E" w:rsidRPr="00050087" w:rsidRDefault="0041192E" w:rsidP="002A67A1">
            <w:pPr>
              <w:jc w:val="both"/>
              <w:rPr>
                <w:rFonts w:ascii="Calibri" w:hAnsi="Calibri"/>
                <w:color w:val="000000"/>
              </w:rPr>
            </w:pPr>
          </w:p>
        </w:tc>
      </w:tr>
      <w:tr w:rsidR="0041192E" w:rsidRPr="000E3EE5" w14:paraId="4DA12A33" w14:textId="77777777" w:rsidTr="0041192E">
        <w:trPr>
          <w:trHeight w:val="518"/>
        </w:trPr>
        <w:tc>
          <w:tcPr>
            <w:tcW w:w="645" w:type="pct"/>
            <w:noWrap/>
          </w:tcPr>
          <w:p w14:paraId="7D43AD29" w14:textId="77777777" w:rsidR="0041192E" w:rsidRPr="00050087" w:rsidRDefault="0041192E">
            <w:pPr>
              <w:rPr>
                <w:rFonts w:ascii="Calibri" w:hAnsi="Calibri"/>
                <w:color w:val="000000"/>
              </w:rPr>
            </w:pPr>
            <w:r w:rsidRPr="00050087">
              <w:rPr>
                <w:rFonts w:ascii="Calibri" w:hAnsi="Calibri"/>
                <w:color w:val="000000"/>
              </w:rPr>
              <w:t xml:space="preserve">414.0090          </w:t>
            </w:r>
          </w:p>
        </w:tc>
        <w:tc>
          <w:tcPr>
            <w:tcW w:w="346" w:type="pct"/>
            <w:noWrap/>
          </w:tcPr>
          <w:p w14:paraId="2856F6D5" w14:textId="77777777" w:rsidR="0041192E" w:rsidRPr="00050087" w:rsidRDefault="0041192E">
            <w:pPr>
              <w:rPr>
                <w:rFonts w:ascii="Calibri" w:hAnsi="Calibri"/>
                <w:color w:val="000000"/>
              </w:rPr>
            </w:pPr>
            <w:r w:rsidRPr="00050087">
              <w:rPr>
                <w:rFonts w:ascii="Calibri" w:hAnsi="Calibri"/>
                <w:color w:val="000000"/>
              </w:rPr>
              <w:t>m</w:t>
            </w:r>
          </w:p>
        </w:tc>
        <w:tc>
          <w:tcPr>
            <w:tcW w:w="4009" w:type="pct"/>
          </w:tcPr>
          <w:p w14:paraId="2B480373" w14:textId="77777777" w:rsidR="0041192E" w:rsidRPr="00050087" w:rsidRDefault="00707B9C" w:rsidP="002A67A1">
            <w:pPr>
              <w:jc w:val="both"/>
              <w:rPr>
                <w:rFonts w:ascii="Calibri" w:hAnsi="Calibri"/>
                <w:color w:val="000000"/>
              </w:rPr>
            </w:pPr>
            <w:r w:rsidRPr="00050087">
              <w:rPr>
                <w:rFonts w:ascii="Calibri" w:hAnsi="Calibri"/>
                <w:color w:val="000000"/>
              </w:rPr>
              <w:t>TUBO DE HORMIGÓN ARMADO SOBRE CAMA DE HORMIGÓN NO ESTRUCTURAL HNE-20 DE 10 cm DE ESPESOR Y DIÁMETRO 600 mm CLASE 180 (UNE-EN 1916) CON UNIÓN ELÁSTICA Y JUNTA DE GOMA i/ SUMINISTRO, TRANSPORTE A OBRA Y COLOCACIÓN.</w:t>
            </w:r>
          </w:p>
          <w:p w14:paraId="04B923DB" w14:textId="77777777" w:rsidR="00707B9C" w:rsidRPr="00050087" w:rsidRDefault="00707B9C" w:rsidP="002A67A1">
            <w:pPr>
              <w:jc w:val="both"/>
              <w:rPr>
                <w:rFonts w:ascii="Calibri" w:hAnsi="Calibri"/>
                <w:color w:val="000000"/>
              </w:rPr>
            </w:pPr>
          </w:p>
        </w:tc>
      </w:tr>
      <w:tr w:rsidR="0041192E" w:rsidRPr="000E3EE5" w14:paraId="6BC2F19A" w14:textId="77777777" w:rsidTr="0041192E">
        <w:trPr>
          <w:trHeight w:val="518"/>
        </w:trPr>
        <w:tc>
          <w:tcPr>
            <w:tcW w:w="645" w:type="pct"/>
            <w:noWrap/>
          </w:tcPr>
          <w:p w14:paraId="3ADCD5B9" w14:textId="77777777" w:rsidR="0041192E" w:rsidRPr="00050087" w:rsidRDefault="0041192E">
            <w:pPr>
              <w:rPr>
                <w:rFonts w:ascii="Calibri" w:hAnsi="Calibri"/>
                <w:color w:val="000000"/>
              </w:rPr>
            </w:pPr>
            <w:r w:rsidRPr="00050087">
              <w:rPr>
                <w:rFonts w:ascii="Calibri" w:hAnsi="Calibri"/>
                <w:color w:val="000000"/>
              </w:rPr>
              <w:t xml:space="preserve">414.0110          </w:t>
            </w:r>
          </w:p>
        </w:tc>
        <w:tc>
          <w:tcPr>
            <w:tcW w:w="346" w:type="pct"/>
            <w:noWrap/>
          </w:tcPr>
          <w:p w14:paraId="44FFE2F6" w14:textId="77777777" w:rsidR="0041192E" w:rsidRPr="00050087" w:rsidRDefault="0041192E">
            <w:pPr>
              <w:rPr>
                <w:rFonts w:ascii="Calibri" w:hAnsi="Calibri"/>
                <w:color w:val="000000"/>
              </w:rPr>
            </w:pPr>
            <w:r w:rsidRPr="00050087">
              <w:rPr>
                <w:rFonts w:ascii="Calibri" w:hAnsi="Calibri"/>
                <w:color w:val="000000"/>
              </w:rPr>
              <w:t>m</w:t>
            </w:r>
          </w:p>
        </w:tc>
        <w:tc>
          <w:tcPr>
            <w:tcW w:w="4009" w:type="pct"/>
          </w:tcPr>
          <w:p w14:paraId="27B2DF85" w14:textId="77777777" w:rsidR="00707B9C" w:rsidRPr="00050087" w:rsidRDefault="00707B9C" w:rsidP="002A67A1">
            <w:pPr>
              <w:jc w:val="both"/>
              <w:rPr>
                <w:rFonts w:ascii="Calibri" w:hAnsi="Calibri"/>
                <w:color w:val="000000"/>
              </w:rPr>
            </w:pPr>
            <w:r w:rsidRPr="00050087">
              <w:rPr>
                <w:rFonts w:ascii="Calibri" w:hAnsi="Calibri"/>
                <w:color w:val="000000"/>
              </w:rPr>
              <w:t>TUBO DE HORMIGÓN ARMADO SOBRE CAMA DE HORMIGÓN NO ESTRUCTURAL HNE-20 DE 10 cm DE ESPESOR Y DIÁMETRO 800 mm CLASE 135 (UNE-EN 1916) CON UNIÓN ELÁSTICA Y JUNTA DE GOMA i/ SUMINISTRO, TRANSPORTE A OBRA Y COLOCACIÓN.</w:t>
            </w:r>
          </w:p>
          <w:p w14:paraId="1435B73A" w14:textId="77777777" w:rsidR="0041192E" w:rsidRPr="00050087" w:rsidRDefault="0041192E" w:rsidP="002A67A1">
            <w:pPr>
              <w:jc w:val="both"/>
              <w:rPr>
                <w:rFonts w:ascii="Calibri" w:hAnsi="Calibri"/>
                <w:color w:val="000000"/>
              </w:rPr>
            </w:pPr>
          </w:p>
        </w:tc>
      </w:tr>
      <w:tr w:rsidR="0041192E" w:rsidRPr="000E3EE5" w14:paraId="65A90644" w14:textId="77777777" w:rsidTr="0041192E">
        <w:trPr>
          <w:trHeight w:val="518"/>
        </w:trPr>
        <w:tc>
          <w:tcPr>
            <w:tcW w:w="645" w:type="pct"/>
            <w:noWrap/>
          </w:tcPr>
          <w:p w14:paraId="30BB905D" w14:textId="77777777" w:rsidR="0041192E" w:rsidRPr="00050087" w:rsidRDefault="0041192E" w:rsidP="00875329">
            <w:pPr>
              <w:rPr>
                <w:rFonts w:ascii="Calibri" w:hAnsi="Calibri"/>
                <w:color w:val="000000"/>
              </w:rPr>
            </w:pPr>
            <w:r w:rsidRPr="00050087">
              <w:rPr>
                <w:rFonts w:ascii="Calibri" w:hAnsi="Calibri"/>
                <w:color w:val="000000"/>
              </w:rPr>
              <w:t xml:space="preserve">414.0120         </w:t>
            </w:r>
          </w:p>
        </w:tc>
        <w:tc>
          <w:tcPr>
            <w:tcW w:w="346" w:type="pct"/>
            <w:noWrap/>
          </w:tcPr>
          <w:p w14:paraId="269E1D86" w14:textId="77777777" w:rsidR="0041192E" w:rsidRPr="00050087" w:rsidRDefault="0041192E">
            <w:pPr>
              <w:rPr>
                <w:rFonts w:ascii="Calibri" w:hAnsi="Calibri"/>
                <w:color w:val="000000"/>
              </w:rPr>
            </w:pPr>
            <w:r w:rsidRPr="00050087">
              <w:rPr>
                <w:rFonts w:ascii="Calibri" w:hAnsi="Calibri"/>
                <w:color w:val="000000"/>
              </w:rPr>
              <w:t>m</w:t>
            </w:r>
          </w:p>
        </w:tc>
        <w:tc>
          <w:tcPr>
            <w:tcW w:w="4009" w:type="pct"/>
          </w:tcPr>
          <w:p w14:paraId="1ADF5A13" w14:textId="77777777" w:rsidR="0041192E" w:rsidRPr="00050087" w:rsidRDefault="00707B9C" w:rsidP="002A67A1">
            <w:pPr>
              <w:jc w:val="both"/>
              <w:rPr>
                <w:rFonts w:ascii="Calibri" w:hAnsi="Calibri"/>
                <w:color w:val="000000"/>
              </w:rPr>
            </w:pPr>
            <w:r w:rsidRPr="00050087">
              <w:rPr>
                <w:rFonts w:ascii="Calibri" w:hAnsi="Calibri"/>
                <w:color w:val="000000"/>
              </w:rPr>
              <w:t>TUBO DE HORMIGÓN ARMADO SOBRE CAMA DE HORMIGÓN NO ESTRUCTURAL HNE-20 DE 10 cm DE ESPESOR Y DIÁMETRO 800 mm CLASE 180 (UNE-EN 1916) CON UNIÓN ELÁSTICA Y JUNTA DE GOMA i/ SUMINISTRO, TRANSPORTE A OBRA Y COLOCACIÓN.</w:t>
            </w:r>
          </w:p>
          <w:p w14:paraId="058F4DD1" w14:textId="77777777" w:rsidR="00707B9C" w:rsidRPr="00050087" w:rsidRDefault="00707B9C" w:rsidP="002A67A1">
            <w:pPr>
              <w:jc w:val="both"/>
              <w:rPr>
                <w:rFonts w:ascii="Calibri" w:hAnsi="Calibri"/>
                <w:color w:val="000000"/>
              </w:rPr>
            </w:pPr>
          </w:p>
        </w:tc>
      </w:tr>
      <w:tr w:rsidR="009048FD" w:rsidRPr="000E3EE5" w14:paraId="58996F68" w14:textId="77777777" w:rsidTr="0041192E">
        <w:trPr>
          <w:trHeight w:val="518"/>
        </w:trPr>
        <w:tc>
          <w:tcPr>
            <w:tcW w:w="645" w:type="pct"/>
            <w:noWrap/>
          </w:tcPr>
          <w:p w14:paraId="20625983" w14:textId="77777777" w:rsidR="009048FD" w:rsidRPr="00050087" w:rsidRDefault="009048FD" w:rsidP="00E10B4F">
            <w:pPr>
              <w:rPr>
                <w:rFonts w:ascii="Calibri" w:hAnsi="Calibri"/>
                <w:color w:val="000000"/>
              </w:rPr>
            </w:pPr>
            <w:r w:rsidRPr="00050087">
              <w:rPr>
                <w:rFonts w:ascii="Calibri" w:hAnsi="Calibri"/>
                <w:color w:val="000000"/>
              </w:rPr>
              <w:t xml:space="preserve">414.0150          </w:t>
            </w:r>
          </w:p>
        </w:tc>
        <w:tc>
          <w:tcPr>
            <w:tcW w:w="346" w:type="pct"/>
            <w:noWrap/>
          </w:tcPr>
          <w:p w14:paraId="7810C543" w14:textId="77777777" w:rsidR="009048FD" w:rsidRPr="00050087" w:rsidRDefault="009048FD" w:rsidP="00E10B4F">
            <w:pPr>
              <w:rPr>
                <w:rFonts w:ascii="Calibri" w:hAnsi="Calibri"/>
                <w:color w:val="000000"/>
              </w:rPr>
            </w:pPr>
            <w:r w:rsidRPr="00050087">
              <w:rPr>
                <w:rFonts w:ascii="Calibri" w:hAnsi="Calibri"/>
                <w:color w:val="000000"/>
              </w:rPr>
              <w:t>m</w:t>
            </w:r>
          </w:p>
        </w:tc>
        <w:tc>
          <w:tcPr>
            <w:tcW w:w="4009" w:type="pct"/>
          </w:tcPr>
          <w:p w14:paraId="366C90E7" w14:textId="77777777" w:rsidR="009048FD" w:rsidRPr="00050087" w:rsidRDefault="009048FD" w:rsidP="00E10B4F">
            <w:pPr>
              <w:jc w:val="both"/>
              <w:rPr>
                <w:rFonts w:ascii="Calibri" w:hAnsi="Calibri"/>
                <w:color w:val="000000"/>
              </w:rPr>
            </w:pPr>
            <w:r w:rsidRPr="00050087">
              <w:rPr>
                <w:rFonts w:ascii="Calibri" w:hAnsi="Calibri"/>
                <w:color w:val="000000"/>
              </w:rPr>
              <w:t>TUBO DE HORMIGÓN ARMADO SOBRE CAMA DE HORMIGÓN NO ESTRUCTURAL HNE-20 DE 10 cm DE ESPESOR Y DIÁMETRO 1000 mm CLASE 180 (UNE-EN 1916) CON UNIÓN ELÁSTICA Y JUNTA DE GOMA i/ SUMINISTRO, TRANSPORTE A OBRA Y COLOCACIÓN.</w:t>
            </w:r>
          </w:p>
          <w:p w14:paraId="7DFFC79B" w14:textId="77777777" w:rsidR="009048FD" w:rsidRPr="00050087" w:rsidRDefault="009048FD" w:rsidP="00E10B4F">
            <w:pPr>
              <w:jc w:val="both"/>
              <w:rPr>
                <w:rFonts w:ascii="Calibri" w:hAnsi="Calibri"/>
                <w:color w:val="000000"/>
              </w:rPr>
            </w:pPr>
          </w:p>
        </w:tc>
      </w:tr>
    </w:tbl>
    <w:p w14:paraId="1153CA6A" w14:textId="77777777" w:rsidR="009048FD" w:rsidRDefault="009048FD" w:rsidP="001416E5">
      <w:pPr>
        <w:pStyle w:val="NORMAL12"/>
        <w:rPr>
          <w:lang w:val="es-ES"/>
        </w:rPr>
      </w:pPr>
    </w:p>
    <w:p w14:paraId="568911FC" w14:textId="77777777" w:rsidR="009048FD" w:rsidRDefault="009048FD" w:rsidP="001416E5">
      <w:pPr>
        <w:pStyle w:val="NORMAL12"/>
        <w:rPr>
          <w:lang w:val="es-ES"/>
        </w:rPr>
      </w:pPr>
    </w:p>
    <w:p w14:paraId="6383C357" w14:textId="77777777" w:rsidR="008E5353" w:rsidRPr="00C91263" w:rsidRDefault="00C91263" w:rsidP="001416E5">
      <w:pPr>
        <w:pStyle w:val="NORMAL12"/>
        <w:rPr>
          <w:lang w:val="es-ES"/>
        </w:rPr>
      </w:pPr>
      <w:r w:rsidRPr="00C91263">
        <w:rPr>
          <w:lang w:val="es-ES"/>
        </w:rPr>
        <w:t>La ejecución de la unidad supone la realización de las operaciones siguientes:</w:t>
      </w:r>
    </w:p>
    <w:p w14:paraId="50E9D5CB" w14:textId="77777777" w:rsidR="008E5353" w:rsidRPr="00C91263" w:rsidRDefault="008E5353" w:rsidP="00E01981">
      <w:pPr>
        <w:pStyle w:val="NORMAL12"/>
        <w:numPr>
          <w:ilvl w:val="0"/>
          <w:numId w:val="53"/>
        </w:numPr>
        <w:rPr>
          <w:lang w:val="es-ES"/>
        </w:rPr>
      </w:pPr>
      <w:r w:rsidRPr="00C91263">
        <w:rPr>
          <w:lang w:val="es-ES"/>
        </w:rPr>
        <w:t>El suministro de los tubos prefabricados, con las dimensiones y características indicadas en los planos.</w:t>
      </w:r>
    </w:p>
    <w:p w14:paraId="35BBA9E2" w14:textId="77777777" w:rsidR="008E5353" w:rsidRPr="00C91263" w:rsidRDefault="008E5353" w:rsidP="00E01981">
      <w:pPr>
        <w:pStyle w:val="NORMAL12"/>
        <w:numPr>
          <w:ilvl w:val="0"/>
          <w:numId w:val="53"/>
        </w:numPr>
        <w:rPr>
          <w:lang w:val="es-ES"/>
        </w:rPr>
      </w:pPr>
      <w:r w:rsidRPr="00C91263">
        <w:rPr>
          <w:lang w:val="es-ES"/>
        </w:rPr>
        <w:t>La limpieza del fondo de la zanja o excavación y la fabricación y puesta en obra de la cama de asiento de hormigón, de acuerdo con los planos.</w:t>
      </w:r>
    </w:p>
    <w:p w14:paraId="7B711478" w14:textId="77777777" w:rsidR="008E5353" w:rsidRPr="00C91263" w:rsidRDefault="008E5353" w:rsidP="00E01981">
      <w:pPr>
        <w:pStyle w:val="NORMAL12"/>
        <w:numPr>
          <w:ilvl w:val="0"/>
          <w:numId w:val="53"/>
        </w:numPr>
        <w:rPr>
          <w:lang w:val="es-ES"/>
        </w:rPr>
      </w:pPr>
      <w:r w:rsidRPr="00C91263">
        <w:rPr>
          <w:lang w:val="es-ES"/>
        </w:rPr>
        <w:t>La colocación y conexión de los tubos, incluyendo las piezas especiales necesarias.</w:t>
      </w:r>
    </w:p>
    <w:p w14:paraId="3C2B49D6" w14:textId="77777777" w:rsidR="008E5353" w:rsidRPr="00C91263" w:rsidRDefault="008E5353" w:rsidP="00E01981">
      <w:pPr>
        <w:pStyle w:val="NORMAL12"/>
        <w:numPr>
          <w:ilvl w:val="0"/>
          <w:numId w:val="53"/>
        </w:numPr>
        <w:rPr>
          <w:lang w:val="es-ES"/>
        </w:rPr>
      </w:pPr>
      <w:proofErr w:type="gramStart"/>
      <w:r w:rsidRPr="00C91263">
        <w:rPr>
          <w:lang w:val="es-ES"/>
        </w:rPr>
        <w:t>La ejecución de las pruebas de estanquidad</w:t>
      </w:r>
      <w:r w:rsidR="0014436D">
        <w:rPr>
          <w:lang w:val="es-ES"/>
        </w:rPr>
        <w:t xml:space="preserve"> se realizarán</w:t>
      </w:r>
      <w:proofErr w:type="gramEnd"/>
      <w:r w:rsidR="0014436D">
        <w:rPr>
          <w:lang w:val="es-ES"/>
        </w:rPr>
        <w:t xml:space="preserve"> según la normativa vigente.</w:t>
      </w:r>
    </w:p>
    <w:p w14:paraId="63BC7586" w14:textId="77777777" w:rsidR="008E5353" w:rsidRPr="00C91263" w:rsidRDefault="008E5353" w:rsidP="00E01981">
      <w:pPr>
        <w:pStyle w:val="NORMAL12"/>
        <w:numPr>
          <w:ilvl w:val="0"/>
          <w:numId w:val="53"/>
        </w:numPr>
        <w:rPr>
          <w:lang w:val="es-ES"/>
        </w:rPr>
      </w:pPr>
      <w:r w:rsidRPr="00C91263">
        <w:rPr>
          <w:lang w:val="es-ES"/>
        </w:rPr>
        <w:t xml:space="preserve">El relleno de hormigón de refuerzo hasta </w:t>
      </w:r>
      <w:r w:rsidR="00C91263" w:rsidRPr="00C91263">
        <w:rPr>
          <w:lang w:val="es-ES"/>
        </w:rPr>
        <w:t xml:space="preserve">10 cm por encima de </w:t>
      </w:r>
      <w:r w:rsidR="001A25FE" w:rsidRPr="00C91263">
        <w:rPr>
          <w:lang w:val="es-ES"/>
        </w:rPr>
        <w:t>la generatriz</w:t>
      </w:r>
      <w:r w:rsidRPr="00C91263">
        <w:rPr>
          <w:lang w:val="es-ES"/>
        </w:rPr>
        <w:t xml:space="preserve"> superior del tubo en las zonas de cruce bajo calzada, según se indica en planos.</w:t>
      </w:r>
    </w:p>
    <w:p w14:paraId="4FF58D44" w14:textId="77777777" w:rsidR="008E5353" w:rsidRPr="00C91263" w:rsidRDefault="008E5353" w:rsidP="00E01981">
      <w:pPr>
        <w:pStyle w:val="NORMAL12"/>
        <w:numPr>
          <w:ilvl w:val="0"/>
          <w:numId w:val="53"/>
        </w:numPr>
        <w:rPr>
          <w:lang w:val="es-ES"/>
        </w:rPr>
      </w:pPr>
      <w:r w:rsidRPr="00C91263">
        <w:rPr>
          <w:lang w:val="es-ES"/>
        </w:rPr>
        <w:t>Cualquier trabajo, maquinaria, material o elemento auxi</w:t>
      </w:r>
      <w:r w:rsidRPr="00C91263">
        <w:rPr>
          <w:lang w:val="es-ES"/>
        </w:rPr>
        <w:softHyphen/>
        <w:t>liar necesario para la correcta ejecución de esta unidad de obra.</w:t>
      </w:r>
    </w:p>
    <w:p w14:paraId="1A393FA6" w14:textId="77777777" w:rsidR="008E5353" w:rsidRPr="00EB292A" w:rsidRDefault="008E5353" w:rsidP="001416E5">
      <w:pPr>
        <w:pStyle w:val="NORMAL12"/>
        <w:rPr>
          <w:lang w:val="es-ES"/>
        </w:rPr>
      </w:pPr>
      <w:r w:rsidRPr="00EB292A">
        <w:rPr>
          <w:lang w:val="es-ES"/>
        </w:rPr>
        <w:t xml:space="preserve">La unidad de obra no incluye la excavación de las zanjas necesarias para la ubicación de los tubos, ni el relleno y compactación resultante con productos de la excavación o préstamos, que se ejecutarán y abonarán </w:t>
      </w:r>
      <w:r w:rsidR="00EB292A" w:rsidRPr="00EB292A">
        <w:rPr>
          <w:lang w:val="es-ES"/>
        </w:rPr>
        <w:t>según los artículos 321. Excavación en zanja y, pozos y cimientos y 332. Rellenos localizados del PG-3.</w:t>
      </w:r>
    </w:p>
    <w:p w14:paraId="214B83E5" w14:textId="77777777" w:rsidR="008E5353" w:rsidRPr="00EB292A" w:rsidRDefault="008E5353" w:rsidP="000313DD">
      <w:pPr>
        <w:pStyle w:val="TITU2"/>
      </w:pPr>
      <w:bookmarkStart w:id="454" w:name="_Toc277523276"/>
      <w:bookmarkStart w:id="455" w:name="_Toc404242"/>
      <w:r w:rsidRPr="00EB292A">
        <w:t>41</w:t>
      </w:r>
      <w:r w:rsidR="004A212C">
        <w:t>5</w:t>
      </w:r>
      <w:r w:rsidRPr="00EB292A">
        <w:t xml:space="preserve">.2. </w:t>
      </w:r>
      <w:r w:rsidRPr="00EB292A">
        <w:tab/>
        <w:t>Materiales</w:t>
      </w:r>
      <w:bookmarkEnd w:id="454"/>
      <w:bookmarkEnd w:id="455"/>
    </w:p>
    <w:p w14:paraId="690FB1B2" w14:textId="77777777" w:rsidR="008E5353" w:rsidRPr="00EB292A" w:rsidRDefault="008E5353" w:rsidP="000859FD">
      <w:pPr>
        <w:pStyle w:val="NORMAL12"/>
        <w:rPr>
          <w:lang w:val="es-ES"/>
        </w:rPr>
      </w:pPr>
      <w:r w:rsidRPr="00EB292A">
        <w:rPr>
          <w:lang w:val="es-ES"/>
        </w:rPr>
        <w:t xml:space="preserve">Los tubos de hormigón armado estarán fabricados por centrifugado u otro proceso que garantice una elevada compacidad, con un proceso de curado controlado. </w:t>
      </w:r>
    </w:p>
    <w:p w14:paraId="1A20DAC6" w14:textId="77777777" w:rsidR="008E5353" w:rsidRPr="00B0401C" w:rsidRDefault="008E5353" w:rsidP="000859FD">
      <w:pPr>
        <w:pStyle w:val="NORMAL12"/>
        <w:rPr>
          <w:lang w:val="es-ES"/>
        </w:rPr>
      </w:pPr>
      <w:r w:rsidRPr="00EB292A">
        <w:rPr>
          <w:lang w:val="es-ES"/>
        </w:rPr>
        <w:t xml:space="preserve">Los hormigones y sus componentes cumplirán además las especificaciones de EHE y las prescripciones de aplicación del </w:t>
      </w:r>
      <w:r w:rsidR="003263DB">
        <w:rPr>
          <w:lang w:val="es-ES"/>
        </w:rPr>
        <w:t xml:space="preserve">artículo 610.Hormigones </w:t>
      </w:r>
      <w:r w:rsidRPr="00EB292A">
        <w:rPr>
          <w:lang w:val="es-ES"/>
        </w:rPr>
        <w:t xml:space="preserve">de este Pliego. Las armaduras (en caso de tubos de hormigón armado) cumplirán las especificaciones de EHE y las prescripciones del </w:t>
      </w:r>
      <w:r w:rsidR="003263DB">
        <w:rPr>
          <w:lang w:val="es-ES"/>
        </w:rPr>
        <w:t xml:space="preserve">artículo 600. </w:t>
      </w:r>
      <w:proofErr w:type="gramStart"/>
      <w:r w:rsidR="003263DB">
        <w:rPr>
          <w:lang w:val="es-ES"/>
        </w:rPr>
        <w:t>Armaduras a emplear</w:t>
      </w:r>
      <w:proofErr w:type="gramEnd"/>
      <w:r w:rsidR="003263DB">
        <w:rPr>
          <w:lang w:val="es-ES"/>
        </w:rPr>
        <w:t xml:space="preserve"> en hormigón armado</w:t>
      </w:r>
      <w:r w:rsidRPr="00EB292A">
        <w:rPr>
          <w:lang w:val="es-ES"/>
        </w:rPr>
        <w:t xml:space="preserve"> </w:t>
      </w:r>
      <w:r w:rsidRPr="00B0401C">
        <w:rPr>
          <w:lang w:val="es-ES"/>
        </w:rPr>
        <w:t>de este Pliego.</w:t>
      </w:r>
    </w:p>
    <w:p w14:paraId="7975A0FD" w14:textId="77777777" w:rsidR="008E5353" w:rsidRPr="00EB292A" w:rsidRDefault="008E5353" w:rsidP="000859FD">
      <w:pPr>
        <w:pStyle w:val="NORMAL12"/>
        <w:rPr>
          <w:lang w:val="es-ES"/>
        </w:rPr>
      </w:pPr>
      <w:r w:rsidRPr="00B0401C">
        <w:rPr>
          <w:lang w:val="es-ES"/>
        </w:rPr>
        <w:t>El Contratista estará obligado a justificar estructuralmente los tubos en función de las acciones previsibles en cada tramo de tubería.</w:t>
      </w:r>
    </w:p>
    <w:p w14:paraId="30ADF98E" w14:textId="77777777" w:rsidR="008E5353" w:rsidRPr="00EB292A" w:rsidRDefault="008E5353" w:rsidP="000859FD">
      <w:pPr>
        <w:pStyle w:val="NORMAL12"/>
        <w:rPr>
          <w:lang w:val="es-ES"/>
        </w:rPr>
      </w:pPr>
      <w:r w:rsidRPr="00EB292A">
        <w:rPr>
          <w:lang w:val="es-ES"/>
        </w:rPr>
        <w:t>El fabricante o proveedor de los tubos contará con sello de calidad del producto, conforme a las Normas UNE de aplicación y reconocido ante un organismo competente de acreditación.</w:t>
      </w:r>
    </w:p>
    <w:p w14:paraId="1D4B88F1" w14:textId="77777777" w:rsidR="008E5353" w:rsidRPr="00EB292A" w:rsidRDefault="008E5353" w:rsidP="000859FD">
      <w:pPr>
        <w:pStyle w:val="NORMAL12"/>
        <w:rPr>
          <w:lang w:val="es-ES"/>
        </w:rPr>
      </w:pPr>
      <w:r w:rsidRPr="00EB292A">
        <w:rPr>
          <w:lang w:val="es-ES"/>
        </w:rPr>
        <w:lastRenderedPageBreak/>
        <w:t>En el cuadro de materiales de las obras de drenaje transversal del documento Planos se precisan las características de los hormigones a emplear en su fabricación.</w:t>
      </w:r>
    </w:p>
    <w:p w14:paraId="75D13C8C" w14:textId="77777777" w:rsidR="008E5353" w:rsidRPr="00EB292A" w:rsidRDefault="008E5353" w:rsidP="000859FD">
      <w:pPr>
        <w:pStyle w:val="NORMAL12"/>
        <w:rPr>
          <w:lang w:val="es-ES"/>
        </w:rPr>
      </w:pPr>
      <w:r w:rsidRPr="00EB292A">
        <w:rPr>
          <w:lang w:val="es-ES"/>
        </w:rPr>
        <w:t>Tendrán enchufe de copa y junta de goma, según el caso, para garantizar la estanqueidad. Para la fabricación del hormigón se empleará árido calizo</w:t>
      </w:r>
    </w:p>
    <w:p w14:paraId="770CAD22" w14:textId="77777777" w:rsidR="008E5353" w:rsidRPr="00EB292A" w:rsidRDefault="008E5353" w:rsidP="000313DD">
      <w:pPr>
        <w:pStyle w:val="TITU2"/>
      </w:pPr>
      <w:bookmarkStart w:id="456" w:name="_Toc277523277"/>
      <w:bookmarkStart w:id="457" w:name="_Toc404243"/>
      <w:r w:rsidRPr="00EB292A">
        <w:t>41</w:t>
      </w:r>
      <w:r w:rsidR="004A212C">
        <w:t>5</w:t>
      </w:r>
      <w:r w:rsidRPr="00EB292A">
        <w:t xml:space="preserve">.3. </w:t>
      </w:r>
      <w:r w:rsidRPr="00EB292A">
        <w:tab/>
      </w:r>
      <w:bookmarkEnd w:id="456"/>
      <w:r w:rsidR="00C50108" w:rsidRPr="00EB292A">
        <w:t>Ejecución de las obras</w:t>
      </w:r>
      <w:bookmarkEnd w:id="457"/>
    </w:p>
    <w:p w14:paraId="3C5AEF4E" w14:textId="77777777" w:rsidR="008E5353" w:rsidRPr="00EB292A" w:rsidRDefault="008E5353" w:rsidP="004712AC">
      <w:pPr>
        <w:pStyle w:val="TITU3"/>
        <w:numPr>
          <w:ilvl w:val="0"/>
          <w:numId w:val="0"/>
        </w:numPr>
        <w:outlineLvl w:val="3"/>
      </w:pPr>
      <w:bookmarkStart w:id="458" w:name="_Toc277523278"/>
      <w:r w:rsidRPr="00EB292A">
        <w:t>41</w:t>
      </w:r>
      <w:r w:rsidR="004A212C">
        <w:t>5</w:t>
      </w:r>
      <w:r w:rsidRPr="00EB292A">
        <w:t>.3.1. Suministro, transporte y manipulación</w:t>
      </w:r>
      <w:bookmarkEnd w:id="458"/>
    </w:p>
    <w:p w14:paraId="079B6A37" w14:textId="77777777" w:rsidR="008E5353" w:rsidRPr="00EB292A" w:rsidRDefault="008E5353" w:rsidP="000859FD">
      <w:pPr>
        <w:pStyle w:val="NORMAL12"/>
        <w:rPr>
          <w:lang w:val="es-ES"/>
        </w:rPr>
      </w:pPr>
      <w:r w:rsidRPr="00EB292A">
        <w:rPr>
          <w:lang w:val="es-ES"/>
        </w:rPr>
        <w:t>Todos los elementos de la tubería llevarán grabados de forma indeleble los distintivos y marcas siguientes:</w:t>
      </w:r>
    </w:p>
    <w:p w14:paraId="70468284" w14:textId="77777777" w:rsidR="008E5353" w:rsidRPr="00EB292A" w:rsidRDefault="008E5353" w:rsidP="00E01981">
      <w:pPr>
        <w:pStyle w:val="NORMAL12"/>
        <w:numPr>
          <w:ilvl w:val="0"/>
          <w:numId w:val="54"/>
        </w:numPr>
        <w:rPr>
          <w:lang w:val="es-ES"/>
        </w:rPr>
      </w:pPr>
      <w:r w:rsidRPr="00EB292A">
        <w:rPr>
          <w:lang w:val="es-ES"/>
        </w:rPr>
        <w:t>Distintivo de fábrica.</w:t>
      </w:r>
    </w:p>
    <w:p w14:paraId="5C09E72E" w14:textId="77777777" w:rsidR="008E5353" w:rsidRPr="00EB292A" w:rsidRDefault="008E5353" w:rsidP="00E01981">
      <w:pPr>
        <w:pStyle w:val="NORMAL12"/>
        <w:numPr>
          <w:ilvl w:val="0"/>
          <w:numId w:val="54"/>
        </w:numPr>
        <w:rPr>
          <w:lang w:val="es-ES"/>
        </w:rPr>
      </w:pPr>
      <w:r w:rsidRPr="00EB292A">
        <w:rPr>
          <w:lang w:val="es-ES"/>
        </w:rPr>
        <w:t xml:space="preserve">Diámetro nominal, en </w:t>
      </w:r>
      <w:proofErr w:type="spellStart"/>
      <w:r w:rsidRPr="00EB292A">
        <w:rPr>
          <w:lang w:val="es-ES"/>
        </w:rPr>
        <w:t>mm.</w:t>
      </w:r>
      <w:proofErr w:type="spellEnd"/>
    </w:p>
    <w:p w14:paraId="02F6B8D7" w14:textId="77777777" w:rsidR="008E5353" w:rsidRPr="00EB292A" w:rsidRDefault="008E5353" w:rsidP="00E01981">
      <w:pPr>
        <w:pStyle w:val="NORMAL12"/>
        <w:numPr>
          <w:ilvl w:val="0"/>
          <w:numId w:val="54"/>
        </w:numPr>
        <w:rPr>
          <w:lang w:val="es-ES"/>
        </w:rPr>
      </w:pPr>
      <w:r w:rsidRPr="00EB292A">
        <w:rPr>
          <w:lang w:val="es-ES"/>
        </w:rPr>
        <w:t xml:space="preserve">Presión de timbre, en </w:t>
      </w:r>
      <w:proofErr w:type="spellStart"/>
      <w:r w:rsidRPr="00EB292A">
        <w:rPr>
          <w:lang w:val="es-ES"/>
        </w:rPr>
        <w:t>kp</w:t>
      </w:r>
      <w:proofErr w:type="spellEnd"/>
      <w:r w:rsidRPr="00EB292A">
        <w:rPr>
          <w:lang w:val="es-ES"/>
        </w:rPr>
        <w:t>/cm</w:t>
      </w:r>
      <w:r w:rsidRPr="00EB292A">
        <w:rPr>
          <w:vertAlign w:val="superscript"/>
          <w:lang w:val="es-ES"/>
        </w:rPr>
        <w:t>2</w:t>
      </w:r>
      <w:r w:rsidRPr="00EB292A">
        <w:rPr>
          <w:lang w:val="es-ES"/>
        </w:rPr>
        <w:t>.</w:t>
      </w:r>
    </w:p>
    <w:p w14:paraId="4E1DBD83" w14:textId="77777777" w:rsidR="008E5353" w:rsidRPr="00EB292A" w:rsidRDefault="008E5353" w:rsidP="00E01981">
      <w:pPr>
        <w:pStyle w:val="NORMAL12"/>
        <w:numPr>
          <w:ilvl w:val="0"/>
          <w:numId w:val="54"/>
        </w:numPr>
        <w:rPr>
          <w:lang w:val="es-ES"/>
        </w:rPr>
      </w:pPr>
      <w:r w:rsidRPr="00EB292A">
        <w:rPr>
          <w:lang w:val="es-ES"/>
        </w:rPr>
        <w:t>Número de identificación, que permita conocer el historial de su fabricación.</w:t>
      </w:r>
    </w:p>
    <w:p w14:paraId="65FC2747" w14:textId="77777777" w:rsidR="008E5353" w:rsidRPr="00EB292A" w:rsidRDefault="008E5353" w:rsidP="00E01981">
      <w:pPr>
        <w:pStyle w:val="NORMAL12"/>
        <w:numPr>
          <w:ilvl w:val="0"/>
          <w:numId w:val="54"/>
        </w:numPr>
        <w:rPr>
          <w:lang w:val="es-ES"/>
        </w:rPr>
      </w:pPr>
      <w:r w:rsidRPr="00EB292A">
        <w:rPr>
          <w:lang w:val="es-ES"/>
        </w:rPr>
        <w:t>Fecha de terminación de la fabricación del tubo.</w:t>
      </w:r>
    </w:p>
    <w:p w14:paraId="157BB3B9" w14:textId="77777777" w:rsidR="008E5353" w:rsidRPr="00EB292A" w:rsidRDefault="008E5353" w:rsidP="000859FD">
      <w:pPr>
        <w:pStyle w:val="NORMAL12"/>
        <w:rPr>
          <w:lang w:val="es-ES"/>
        </w:rPr>
      </w:pPr>
      <w:r w:rsidRPr="00EB292A">
        <w:rPr>
          <w:lang w:val="es-ES"/>
        </w:rPr>
        <w:t>El suministro de cada partida se acompañará de un albarán de entrega en el que se detallará:</w:t>
      </w:r>
    </w:p>
    <w:p w14:paraId="45AA8D62" w14:textId="77777777" w:rsidR="008E5353" w:rsidRPr="00EB292A" w:rsidRDefault="008E5353" w:rsidP="00E01981">
      <w:pPr>
        <w:pStyle w:val="NORMAL12"/>
        <w:numPr>
          <w:ilvl w:val="0"/>
          <w:numId w:val="54"/>
        </w:numPr>
        <w:rPr>
          <w:lang w:val="es-ES"/>
        </w:rPr>
      </w:pPr>
      <w:r w:rsidRPr="00EB292A">
        <w:rPr>
          <w:lang w:val="es-ES"/>
        </w:rPr>
        <w:t>Características geométricas del tubo: longitud, diámetro nominal, espesor, espesor de camisa de refuerzo o armado</w:t>
      </w:r>
    </w:p>
    <w:p w14:paraId="3AFEC5E3" w14:textId="77777777" w:rsidR="008E5353" w:rsidRPr="00EB292A" w:rsidRDefault="008E5353" w:rsidP="00E01981">
      <w:pPr>
        <w:pStyle w:val="NORMAL12"/>
        <w:numPr>
          <w:ilvl w:val="0"/>
          <w:numId w:val="54"/>
        </w:numPr>
        <w:rPr>
          <w:lang w:val="es-ES"/>
        </w:rPr>
      </w:pPr>
      <w:r w:rsidRPr="00EB292A">
        <w:rPr>
          <w:lang w:val="es-ES"/>
        </w:rPr>
        <w:t>Características mecánicas del hormigón y acero empleado</w:t>
      </w:r>
      <w:r w:rsidR="0050416F">
        <w:rPr>
          <w:lang w:val="es-ES"/>
        </w:rPr>
        <w:t>.</w:t>
      </w:r>
    </w:p>
    <w:p w14:paraId="5AFA74C6" w14:textId="77777777" w:rsidR="008E5353" w:rsidRPr="00EB292A" w:rsidRDefault="008E5353" w:rsidP="00E01981">
      <w:pPr>
        <w:pStyle w:val="NORMAL12"/>
        <w:numPr>
          <w:ilvl w:val="0"/>
          <w:numId w:val="54"/>
        </w:numPr>
        <w:rPr>
          <w:lang w:val="es-ES"/>
        </w:rPr>
      </w:pPr>
      <w:r w:rsidRPr="00EB292A">
        <w:rPr>
          <w:lang w:val="es-ES"/>
        </w:rPr>
        <w:t>Sello de calidad del suministrado o, en su defecto, certificado de garantía que acredite la realización de los ensayos de recepción según la normativa UNE de aplicación.</w:t>
      </w:r>
    </w:p>
    <w:p w14:paraId="555EAB91" w14:textId="77777777" w:rsidR="008E5353" w:rsidRPr="00EB292A" w:rsidRDefault="008E5353" w:rsidP="00E01981">
      <w:pPr>
        <w:pStyle w:val="NORMAL12"/>
        <w:numPr>
          <w:ilvl w:val="0"/>
          <w:numId w:val="54"/>
        </w:numPr>
        <w:rPr>
          <w:lang w:val="es-ES"/>
        </w:rPr>
      </w:pPr>
      <w:r w:rsidRPr="00EB292A">
        <w:rPr>
          <w:lang w:val="es-ES"/>
        </w:rPr>
        <w:t>El transporte desde la fábrica a la obra no se iniciará hasta que haya finalizado el período de curado.</w:t>
      </w:r>
    </w:p>
    <w:p w14:paraId="2BE8B923" w14:textId="77777777" w:rsidR="008E5353" w:rsidRPr="00EB292A" w:rsidRDefault="008E5353" w:rsidP="000859FD">
      <w:pPr>
        <w:pStyle w:val="NORMAL12"/>
        <w:rPr>
          <w:lang w:val="es-ES"/>
        </w:rPr>
      </w:pPr>
      <w:r w:rsidRPr="00EB292A">
        <w:rPr>
          <w:lang w:val="es-ES"/>
        </w:rPr>
        <w:t>Los tubos se transportarán sobre unas cunas de madera que garanticen la inmovilidad transversal y longitudinal de la carga, así como la adecuada sujeción de los tubos apilados, que no estarán directamente en contacto entre sí, sino a través de elementos elásticos, como madera, gomas o sogas.</w:t>
      </w:r>
    </w:p>
    <w:p w14:paraId="1A1336EE" w14:textId="77777777" w:rsidR="008E5353" w:rsidRPr="00EB292A" w:rsidRDefault="008E5353" w:rsidP="000859FD">
      <w:pPr>
        <w:pStyle w:val="NORMAL12"/>
        <w:rPr>
          <w:lang w:val="es-ES"/>
        </w:rPr>
      </w:pPr>
      <w:r w:rsidRPr="00EB292A">
        <w:rPr>
          <w:lang w:val="es-ES"/>
        </w:rPr>
        <w:t>Los tubos se descargarán cerca del lugar donde deban ser colocados y de forma que puedan trasladarse con facilidad al lugar en que hayan de instalarse. Se evitará que el tubo quede apoyado sobre puntos aislados.</w:t>
      </w:r>
    </w:p>
    <w:p w14:paraId="6E2EF950" w14:textId="77777777" w:rsidR="008E5353" w:rsidRPr="00EB292A" w:rsidRDefault="008E5353" w:rsidP="000859FD">
      <w:pPr>
        <w:pStyle w:val="NORMAL12"/>
        <w:rPr>
          <w:lang w:val="es-ES"/>
        </w:rPr>
      </w:pPr>
      <w:r w:rsidRPr="00EB292A">
        <w:rPr>
          <w:lang w:val="es-ES"/>
        </w:rPr>
        <w:t>El acopio de los tubos en obra se hará en posición horizontal, sujetos mediante calzos de madera, salvo que se disponga de alguna solera rígida que garantice el acopio vertical en las debidas condiciones de seguridad.</w:t>
      </w:r>
    </w:p>
    <w:p w14:paraId="1B1F5C63" w14:textId="77777777" w:rsidR="008E5353" w:rsidRPr="00EB292A" w:rsidRDefault="008E5353" w:rsidP="000859FD">
      <w:pPr>
        <w:pStyle w:val="NORMAL12"/>
        <w:rPr>
          <w:lang w:val="es-ES"/>
        </w:rPr>
      </w:pPr>
      <w:r w:rsidRPr="00EB292A">
        <w:rPr>
          <w:lang w:val="es-ES"/>
        </w:rPr>
        <w:t>Durante su permanencia en la obra, antes del tapado de las zanjas o terraplenados, los tubos deberán quedar protegidos de acciones o elementos que puedan dañarles, como tránsito o voladuras. Igualmente se evitará que estén expuestos durante largo tiempo a condiciones atmosféricas en que puedan sufrir secados excesivos o calores o fríos intensos. Si esto no fuera posible, se tomarán las precauciones oportunas para evitar efectos perjudiciales.</w:t>
      </w:r>
    </w:p>
    <w:p w14:paraId="1D281237" w14:textId="77777777" w:rsidR="008E5353" w:rsidRPr="00EB292A" w:rsidRDefault="008E5353" w:rsidP="004712AC">
      <w:pPr>
        <w:pStyle w:val="TITU3"/>
        <w:numPr>
          <w:ilvl w:val="0"/>
          <w:numId w:val="0"/>
        </w:numPr>
        <w:outlineLvl w:val="3"/>
      </w:pPr>
      <w:bookmarkStart w:id="459" w:name="_Toc277523279"/>
      <w:r w:rsidRPr="00EB292A">
        <w:t>41</w:t>
      </w:r>
      <w:r w:rsidR="004A212C">
        <w:t>5</w:t>
      </w:r>
      <w:r w:rsidRPr="00EB292A">
        <w:t>.3.2.</w:t>
      </w:r>
      <w:r w:rsidR="00595554">
        <w:t xml:space="preserve"> </w:t>
      </w:r>
      <w:r w:rsidRPr="00EB292A">
        <w:t>Puesta en obra</w:t>
      </w:r>
      <w:bookmarkEnd w:id="459"/>
    </w:p>
    <w:p w14:paraId="254F9010" w14:textId="77777777" w:rsidR="008E5353" w:rsidRPr="00EB292A" w:rsidRDefault="008E5353" w:rsidP="000859FD">
      <w:pPr>
        <w:pStyle w:val="NORMAL12"/>
        <w:rPr>
          <w:lang w:val="es-ES"/>
        </w:rPr>
      </w:pPr>
      <w:r w:rsidRPr="00EB292A">
        <w:rPr>
          <w:lang w:val="es-ES"/>
        </w:rPr>
        <w:t>Los tubos se instalarán en una zanja cuyo ancho será como mínimo cincuenta (50) cm mayor que el diámetro nominal del tubo, medido dicho ancho a nivel de la generatriz superior.</w:t>
      </w:r>
    </w:p>
    <w:p w14:paraId="7856859C" w14:textId="77777777" w:rsidR="008E5353" w:rsidRPr="00EB292A" w:rsidRDefault="008E5353" w:rsidP="000859FD">
      <w:pPr>
        <w:pStyle w:val="NORMAL12"/>
        <w:rPr>
          <w:lang w:val="es-ES"/>
        </w:rPr>
      </w:pPr>
      <w:r w:rsidRPr="00EB292A">
        <w:rPr>
          <w:lang w:val="es-ES"/>
        </w:rPr>
        <w:t>El entronque de los tubos con pozos, o arquetas, se realizará recibiendo el tubo con mortero, quedando enrasado su extremo con la cara interior de la arqueta o pozo.</w:t>
      </w:r>
    </w:p>
    <w:p w14:paraId="2A509CAC" w14:textId="77777777" w:rsidR="008E5353" w:rsidRPr="00EB292A" w:rsidRDefault="008E5353" w:rsidP="000859FD">
      <w:pPr>
        <w:pStyle w:val="NORMAL12"/>
        <w:rPr>
          <w:lang w:val="es-ES"/>
        </w:rPr>
      </w:pPr>
      <w:r w:rsidRPr="00EB292A">
        <w:rPr>
          <w:lang w:val="es-ES"/>
        </w:rPr>
        <w:t>Los tubos irán apoyados sobre una cama de hormigón en masa HM-20.</w:t>
      </w:r>
    </w:p>
    <w:p w14:paraId="719734A5" w14:textId="77777777" w:rsidR="008E5353" w:rsidRPr="00EB292A" w:rsidRDefault="008E5353" w:rsidP="000859FD">
      <w:pPr>
        <w:pStyle w:val="NORMAL12"/>
        <w:rPr>
          <w:lang w:val="es-ES"/>
        </w:rPr>
      </w:pPr>
      <w:r w:rsidRPr="00EB292A">
        <w:rPr>
          <w:lang w:val="es-ES"/>
        </w:rPr>
        <w:t>Una vez ejecutada la cama de hormigón, de manera que el tubo apoye al menos en un ángulo de 120º, se regularizará el hormigón con una fina capa de mortero de 600 kg/m</w:t>
      </w:r>
      <w:r w:rsidRPr="00241CBC">
        <w:rPr>
          <w:vertAlign w:val="superscript"/>
          <w:lang w:val="es-ES"/>
        </w:rPr>
        <w:t>3</w:t>
      </w:r>
      <w:r w:rsidRPr="00EB292A">
        <w:rPr>
          <w:lang w:val="es-ES"/>
        </w:rPr>
        <w:t>; para, acto seguido, y mientras dure la plasticidad de éste, colocar los tubos.</w:t>
      </w:r>
    </w:p>
    <w:p w14:paraId="50CB86B1" w14:textId="77777777" w:rsidR="008E5353" w:rsidRPr="00EB292A" w:rsidRDefault="008E5353" w:rsidP="000859FD">
      <w:pPr>
        <w:pStyle w:val="NORMAL12"/>
        <w:rPr>
          <w:lang w:val="es-ES"/>
        </w:rPr>
      </w:pPr>
      <w:r w:rsidRPr="00EB292A">
        <w:rPr>
          <w:lang w:val="es-ES"/>
        </w:rPr>
        <w:t xml:space="preserve">Los tubos deberán transportarse, apilarse y manejarse en obra con las adecuadas garantías y será de cuenta del Contratista cualquier tipo de defecto que a juicio del </w:t>
      </w:r>
      <w:proofErr w:type="gramStart"/>
      <w:r w:rsidRPr="00EB292A">
        <w:rPr>
          <w:lang w:val="es-ES"/>
        </w:rPr>
        <w:t>Director</w:t>
      </w:r>
      <w:proofErr w:type="gramEnd"/>
      <w:r w:rsidRPr="00EB292A">
        <w:rPr>
          <w:lang w:val="es-ES"/>
        </w:rPr>
        <w:t xml:space="preserve"> de Obra aparezca en los citados tubos, de manera que reduzca ostensible</w:t>
      </w:r>
      <w:r w:rsidRPr="00EB292A">
        <w:rPr>
          <w:lang w:val="es-ES"/>
        </w:rPr>
        <w:softHyphen/>
        <w:t>mente la capacidad portante o resistente al ataque de las aguas.</w:t>
      </w:r>
    </w:p>
    <w:p w14:paraId="2AFB0BBE" w14:textId="77777777" w:rsidR="008E5353" w:rsidRPr="00EB292A" w:rsidRDefault="008E5353" w:rsidP="000859FD">
      <w:pPr>
        <w:pStyle w:val="NORMAL12"/>
        <w:rPr>
          <w:lang w:val="es-ES"/>
        </w:rPr>
      </w:pPr>
      <w:r w:rsidRPr="00EB292A">
        <w:rPr>
          <w:lang w:val="es-ES"/>
        </w:rPr>
        <w:t>Cuando se interrumpa la colocación de tuberías se taponarán los extremos libres para impedir la entrada de agua o cuerpos extra</w:t>
      </w:r>
      <w:r w:rsidRPr="00EB292A">
        <w:rPr>
          <w:lang w:val="es-ES"/>
        </w:rPr>
        <w:softHyphen/>
        <w:t>ños, procediendo a examinar con todo cuidado el interior de la tubería al reanudar el trabajo.</w:t>
      </w:r>
    </w:p>
    <w:p w14:paraId="7BFE50E3" w14:textId="77777777" w:rsidR="008E5353" w:rsidRPr="00EB292A" w:rsidRDefault="008E5353" w:rsidP="000859FD">
      <w:pPr>
        <w:pStyle w:val="NORMAL12"/>
        <w:rPr>
          <w:lang w:val="es-ES"/>
        </w:rPr>
      </w:pPr>
      <w:r w:rsidRPr="00EB292A">
        <w:rPr>
          <w:lang w:val="es-ES"/>
        </w:rPr>
        <w:t>Las tuberías y zanjas se mantendrán libres de agua, agotando con bombas o dejando desagües en la excavación en caso necesario.</w:t>
      </w:r>
    </w:p>
    <w:p w14:paraId="6671FEA3" w14:textId="77777777" w:rsidR="008E5353" w:rsidRPr="00EB292A" w:rsidRDefault="008E5353" w:rsidP="000859FD">
      <w:pPr>
        <w:pStyle w:val="NORMAL12"/>
        <w:rPr>
          <w:lang w:val="es-ES"/>
        </w:rPr>
      </w:pPr>
      <w:r w:rsidRPr="00EB292A">
        <w:rPr>
          <w:lang w:val="es-ES"/>
        </w:rPr>
        <w:lastRenderedPageBreak/>
        <w:t>No se colocarán más de 100 m de tubería sin proceder al relleno, al menos parcial, para evitar la posible flotación de los tubos en caso de inundación de la zanja y también para protegerlos en lo posible de golpes. Siempre que en el material de las juntas intervenga cemento o elementos no elásticos se colocarán como mínimo 6 tubos por delante de cada junta antes de terminarla totalmente.</w:t>
      </w:r>
    </w:p>
    <w:p w14:paraId="3E429BE4" w14:textId="77777777" w:rsidR="008E5353" w:rsidRPr="00EB292A" w:rsidRDefault="008E5353" w:rsidP="000859FD">
      <w:pPr>
        <w:pStyle w:val="NORMAL12"/>
        <w:rPr>
          <w:lang w:val="es-ES"/>
        </w:rPr>
      </w:pPr>
      <w:r w:rsidRPr="00EB292A">
        <w:rPr>
          <w:lang w:val="es-ES"/>
        </w:rPr>
        <w:t>Los elementos que forman la jun</w:t>
      </w:r>
      <w:r w:rsidR="0048688F" w:rsidRPr="00EB292A">
        <w:rPr>
          <w:lang w:val="es-ES"/>
        </w:rPr>
        <w:t>ta se colocarán en el orden ade</w:t>
      </w:r>
      <w:r w:rsidRPr="00EB292A">
        <w:rPr>
          <w:lang w:val="es-ES"/>
        </w:rPr>
        <w:t>cuado por los extremos de los tubos que han de unir. Se tendrá especial cuidado al colocar la junta igualándola alrededor de la unión, evitando la torsión de los anillos de goma, comprobándolos previamente mediante una enérgica tracción.</w:t>
      </w:r>
    </w:p>
    <w:p w14:paraId="1C634A27" w14:textId="77777777" w:rsidR="008E5353" w:rsidRPr="00EB292A" w:rsidRDefault="008E5353" w:rsidP="000859FD">
      <w:pPr>
        <w:pStyle w:val="NORMAL12"/>
        <w:rPr>
          <w:lang w:val="es-ES"/>
        </w:rPr>
      </w:pPr>
      <w:r w:rsidRPr="00EB292A">
        <w:rPr>
          <w:lang w:val="es-ES"/>
        </w:rPr>
        <w:t xml:space="preserve">Los extremos de los tubos no quedarán a tope, sino con un pequeño huelgo de 15 </w:t>
      </w:r>
      <w:proofErr w:type="spellStart"/>
      <w:r w:rsidRPr="00EB292A">
        <w:rPr>
          <w:lang w:val="es-ES"/>
        </w:rPr>
        <w:t>mm.</w:t>
      </w:r>
      <w:proofErr w:type="spellEnd"/>
      <w:r w:rsidRPr="00EB292A">
        <w:rPr>
          <w:lang w:val="es-ES"/>
        </w:rPr>
        <w:t xml:space="preserve"> Todas las piezas quedarán perfectamente centradas en relación con el final de los tubos.</w:t>
      </w:r>
    </w:p>
    <w:p w14:paraId="28208938" w14:textId="77777777" w:rsidR="008E5353" w:rsidRPr="00EB292A" w:rsidRDefault="008E5353" w:rsidP="000859FD">
      <w:pPr>
        <w:pStyle w:val="NORMAL12"/>
        <w:rPr>
          <w:lang w:val="es-ES"/>
        </w:rPr>
      </w:pPr>
      <w:r w:rsidRPr="00EB292A">
        <w:rPr>
          <w:lang w:val="es-ES"/>
        </w:rPr>
        <w:t xml:space="preserve">Las longitudes de tuberías que se </w:t>
      </w:r>
      <w:proofErr w:type="gramStart"/>
      <w:r w:rsidRPr="00EB292A">
        <w:rPr>
          <w:lang w:val="es-ES"/>
        </w:rPr>
        <w:t>montarán,</w:t>
      </w:r>
      <w:proofErr w:type="gramEnd"/>
      <w:r w:rsidRPr="00EB292A">
        <w:rPr>
          <w:lang w:val="es-ES"/>
        </w:rPr>
        <w:t xml:space="preserve"> serán las definidas en los planos del Proyecto. Para ello, el Contratista fabricará los necesarios tramos rectos de tubo de longitudes más cortas que </w:t>
      </w:r>
      <w:proofErr w:type="gramStart"/>
      <w:r w:rsidRPr="00EB292A">
        <w:rPr>
          <w:lang w:val="es-ES"/>
        </w:rPr>
        <w:t>las estándar</w:t>
      </w:r>
      <w:proofErr w:type="gramEnd"/>
      <w:r w:rsidRPr="00EB292A">
        <w:rPr>
          <w:lang w:val="es-ES"/>
        </w:rPr>
        <w:t>.</w:t>
      </w:r>
    </w:p>
    <w:p w14:paraId="033CF506" w14:textId="77777777" w:rsidR="008E5353" w:rsidRPr="00EB292A" w:rsidRDefault="008E5353" w:rsidP="000859FD">
      <w:pPr>
        <w:pStyle w:val="NORMAL12"/>
        <w:rPr>
          <w:lang w:val="es-ES"/>
        </w:rPr>
      </w:pPr>
      <w:r w:rsidRPr="00EB292A">
        <w:rPr>
          <w:lang w:val="es-ES"/>
        </w:rPr>
        <w:t>Se prohíbe el empleo de cuñas de piedra o de madera que puedan desplazarse.</w:t>
      </w:r>
    </w:p>
    <w:p w14:paraId="5490AC30" w14:textId="77777777" w:rsidR="008E5353" w:rsidRPr="00EB292A" w:rsidRDefault="008E5353" w:rsidP="000859FD">
      <w:pPr>
        <w:pStyle w:val="NORMAL12"/>
        <w:rPr>
          <w:lang w:val="es-ES"/>
        </w:rPr>
      </w:pPr>
      <w:r w:rsidRPr="00EB292A">
        <w:rPr>
          <w:lang w:val="es-ES"/>
        </w:rPr>
        <w:t>Una vez finalizada la instalación, total o parcial, de la tubería y con anterioridad al relleno de la zanja se realizarán las pruebas de estanqueidad. El Contratista suministrará todo el personal, equipo y material necesario para las pruebas.</w:t>
      </w:r>
    </w:p>
    <w:p w14:paraId="4D2A9271" w14:textId="77777777" w:rsidR="008E5353" w:rsidRPr="00EB292A" w:rsidRDefault="008E5353" w:rsidP="000859FD">
      <w:pPr>
        <w:pStyle w:val="NORMAL12"/>
        <w:rPr>
          <w:lang w:val="es-ES"/>
        </w:rPr>
      </w:pPr>
      <w:proofErr w:type="gramStart"/>
      <w:r w:rsidRPr="00EB292A">
        <w:rPr>
          <w:lang w:val="es-ES"/>
        </w:rPr>
        <w:t>Los tapones o bridas ciegas a u</w:t>
      </w:r>
      <w:r w:rsidR="0048688F" w:rsidRPr="00EB292A">
        <w:rPr>
          <w:lang w:val="es-ES"/>
        </w:rPr>
        <w:t>sar</w:t>
      </w:r>
      <w:proofErr w:type="gramEnd"/>
      <w:r w:rsidR="0048688F" w:rsidRPr="00EB292A">
        <w:rPr>
          <w:lang w:val="es-ES"/>
        </w:rPr>
        <w:t xml:space="preserve"> en las pruebas serán de pro</w:t>
      </w:r>
      <w:r w:rsidRPr="00EB292A">
        <w:rPr>
          <w:lang w:val="es-ES"/>
        </w:rPr>
        <w:t>yecto y construcción adecuados p</w:t>
      </w:r>
      <w:r w:rsidR="00CE424A">
        <w:rPr>
          <w:lang w:val="es-ES"/>
        </w:rPr>
        <w:t>ara resistir la presión de prue</w:t>
      </w:r>
      <w:r w:rsidRPr="00EB292A">
        <w:rPr>
          <w:lang w:val="es-ES"/>
        </w:rPr>
        <w:t xml:space="preserve">ba, sin ocasionar daños o torsiones excesivas en el tubo. Dichas bridas ciegas deben ser fácilmente desmontables, para poder continuar el montaje de la tubería. El Contratista pondrá especial cuidado en la sujeción y arriostramiento de todas las bridas, etc. para evitar cualquier movimiento al aplicar la presión de prueba. Los cambios de dirección, piezas especiales, </w:t>
      </w:r>
      <w:proofErr w:type="spellStart"/>
      <w:r w:rsidRPr="00EB292A">
        <w:rPr>
          <w:lang w:val="es-ES"/>
        </w:rPr>
        <w:t>etc</w:t>
      </w:r>
      <w:proofErr w:type="spellEnd"/>
      <w:r w:rsidRPr="00EB292A">
        <w:rPr>
          <w:lang w:val="es-ES"/>
        </w:rPr>
        <w:t>, deberán estar anclados.</w:t>
      </w:r>
    </w:p>
    <w:p w14:paraId="7540E432" w14:textId="77777777" w:rsidR="00EC256C" w:rsidRDefault="008E5353" w:rsidP="000313DD">
      <w:pPr>
        <w:pStyle w:val="TITU2"/>
      </w:pPr>
      <w:bookmarkStart w:id="460" w:name="_Toc404244"/>
      <w:bookmarkStart w:id="461" w:name="_Toc277523280"/>
      <w:r w:rsidRPr="005864C2">
        <w:t>41</w:t>
      </w:r>
      <w:r w:rsidR="004A212C">
        <w:t>5</w:t>
      </w:r>
      <w:r w:rsidRPr="005864C2">
        <w:t xml:space="preserve">.4. </w:t>
      </w:r>
      <w:r w:rsidRPr="005864C2">
        <w:tab/>
      </w:r>
      <w:r w:rsidR="00EC256C">
        <w:t>Recepción</w:t>
      </w:r>
      <w:bookmarkEnd w:id="460"/>
    </w:p>
    <w:p w14:paraId="557F48A0" w14:textId="77777777" w:rsidR="00EC256C" w:rsidRPr="00EB292A" w:rsidRDefault="00EC256C" w:rsidP="00EB292A">
      <w:pPr>
        <w:pStyle w:val="NORMAL12"/>
        <w:rPr>
          <w:lang w:val="es-ES"/>
        </w:rPr>
      </w:pPr>
      <w:r w:rsidRPr="00EB292A">
        <w:rPr>
          <w:lang w:val="es-ES"/>
        </w:rPr>
        <w:t>Se realizará la recepción si se cumplen los criterios siguientes:</w:t>
      </w:r>
    </w:p>
    <w:p w14:paraId="0F1202B6" w14:textId="77777777" w:rsidR="00EC256C" w:rsidRDefault="00EC256C" w:rsidP="00E01981">
      <w:pPr>
        <w:pStyle w:val="NORMAL12"/>
        <w:numPr>
          <w:ilvl w:val="0"/>
          <w:numId w:val="92"/>
        </w:numPr>
        <w:rPr>
          <w:lang w:val="es-ES"/>
        </w:rPr>
      </w:pPr>
      <w:r w:rsidRPr="00EB292A">
        <w:rPr>
          <w:lang w:val="es-ES"/>
        </w:rPr>
        <w:t>Los tubos cumplen con la normativa vigente y disponen de sello de calidad acreditado.</w:t>
      </w:r>
    </w:p>
    <w:p w14:paraId="40FEB8C3" w14:textId="77777777" w:rsidR="003263DB" w:rsidRPr="00A17D04" w:rsidRDefault="003263DB" w:rsidP="00E01981">
      <w:pPr>
        <w:pStyle w:val="NORMAL12"/>
        <w:numPr>
          <w:ilvl w:val="0"/>
          <w:numId w:val="92"/>
        </w:numPr>
        <w:rPr>
          <w:lang w:val="es-ES"/>
        </w:rPr>
      </w:pPr>
      <w:r w:rsidRPr="00A17D04">
        <w:rPr>
          <w:lang w:val="es-ES"/>
        </w:rPr>
        <w:t xml:space="preserve">Se comprobará el buen estado de conservación de las piezas entregadas en obra previamente a su colocación. </w:t>
      </w:r>
    </w:p>
    <w:p w14:paraId="0702F6F9" w14:textId="77777777" w:rsidR="00EC256C" w:rsidRPr="00A17D04" w:rsidRDefault="00EC256C" w:rsidP="00E01981">
      <w:pPr>
        <w:pStyle w:val="NORMAL12"/>
        <w:numPr>
          <w:ilvl w:val="0"/>
          <w:numId w:val="92"/>
        </w:numPr>
        <w:rPr>
          <w:lang w:val="es-ES"/>
        </w:rPr>
      </w:pPr>
      <w:r w:rsidRPr="00A17D04">
        <w:rPr>
          <w:lang w:val="es-ES"/>
        </w:rPr>
        <w:t>Las dimensiones de los tubos son las establecidas en los planos.</w:t>
      </w:r>
    </w:p>
    <w:p w14:paraId="17C951AD" w14:textId="77777777" w:rsidR="00EC256C" w:rsidRPr="00A17D04" w:rsidRDefault="00EC256C" w:rsidP="00E01981">
      <w:pPr>
        <w:pStyle w:val="NORMAL12"/>
        <w:numPr>
          <w:ilvl w:val="0"/>
          <w:numId w:val="92"/>
        </w:numPr>
        <w:rPr>
          <w:lang w:val="es-ES"/>
        </w:rPr>
      </w:pPr>
      <w:r w:rsidRPr="00A17D04">
        <w:rPr>
          <w:lang w:val="es-ES"/>
        </w:rPr>
        <w:t>La cama de apoyo y posterior relleno se realiza con hormigón de la resistencia indicada y cumple con los espesores exigidos.</w:t>
      </w:r>
    </w:p>
    <w:p w14:paraId="214F1B90" w14:textId="77777777" w:rsidR="003263DB" w:rsidRPr="00EB292A" w:rsidRDefault="00A17D04" w:rsidP="00E01981">
      <w:pPr>
        <w:pStyle w:val="NORMAL12"/>
        <w:numPr>
          <w:ilvl w:val="0"/>
          <w:numId w:val="92"/>
        </w:numPr>
        <w:rPr>
          <w:lang w:val="es-ES"/>
        </w:rPr>
      </w:pPr>
      <w:r w:rsidRPr="00A17D04">
        <w:rPr>
          <w:lang w:val="es-ES"/>
        </w:rPr>
        <w:t>Resultado satisfactorio de la prueba</w:t>
      </w:r>
      <w:r>
        <w:rPr>
          <w:lang w:val="es-ES"/>
        </w:rPr>
        <w:t xml:space="preserve"> de estanqueidad realizado según la normativa vigente.</w:t>
      </w:r>
    </w:p>
    <w:p w14:paraId="72E12240" w14:textId="77777777" w:rsidR="00EC256C" w:rsidRPr="00EB292A" w:rsidRDefault="00EC256C" w:rsidP="00EB292A">
      <w:pPr>
        <w:pStyle w:val="NORMAL12"/>
        <w:rPr>
          <w:i/>
          <w:u w:val="single"/>
          <w:lang w:val="es-ES"/>
        </w:rPr>
      </w:pPr>
      <w:r w:rsidRPr="00EB292A">
        <w:rPr>
          <w:i/>
          <w:u w:val="single"/>
          <w:lang w:val="es-ES"/>
        </w:rPr>
        <w:t>Criterios de aceptación o rechazo:</w:t>
      </w:r>
    </w:p>
    <w:p w14:paraId="41EBE145" w14:textId="77777777" w:rsidR="00EC256C" w:rsidRPr="00EB292A" w:rsidRDefault="00EC256C" w:rsidP="00EB292A">
      <w:pPr>
        <w:pStyle w:val="NORMAL12"/>
        <w:rPr>
          <w:lang w:val="es-ES"/>
        </w:rPr>
      </w:pPr>
      <w:r w:rsidRPr="00EB292A">
        <w:rPr>
          <w:lang w:val="es-ES"/>
        </w:rPr>
        <w:t>En el caso de que no se disponga del sello de calidad o marcado CE se rechazará el producto, y deberá se repuesto por cuenta del contratista.</w:t>
      </w:r>
    </w:p>
    <w:p w14:paraId="112DDCD3" w14:textId="77777777" w:rsidR="00EC256C" w:rsidRPr="00EB292A" w:rsidRDefault="00EC256C" w:rsidP="00EB292A">
      <w:pPr>
        <w:pStyle w:val="NORMAL12"/>
        <w:rPr>
          <w:lang w:val="es-ES"/>
        </w:rPr>
      </w:pPr>
      <w:r w:rsidRPr="00EB292A">
        <w:rPr>
          <w:lang w:val="es-ES"/>
        </w:rPr>
        <w:t>Las tolerancias permitidas son de un 2% en cuanto a la longitud del tuyo y de un 5% en cuanto al espesor del tubo. En el caso de no cumplirse se rechazará y será repuesto por cuenta del contratista.</w:t>
      </w:r>
    </w:p>
    <w:p w14:paraId="277D4C71" w14:textId="77777777" w:rsidR="00EC256C" w:rsidRPr="00EB292A" w:rsidRDefault="00EC256C" w:rsidP="00EB292A">
      <w:pPr>
        <w:pStyle w:val="NORMAL12"/>
        <w:rPr>
          <w:lang w:val="es-ES"/>
        </w:rPr>
      </w:pPr>
      <w:r w:rsidRPr="00EB292A">
        <w:rPr>
          <w:lang w:val="es-ES"/>
        </w:rPr>
        <w:t>Los espesores de la cama de apoyo y relleno son como mínimo los indicados en los planos.</w:t>
      </w:r>
    </w:p>
    <w:p w14:paraId="0CEA50F6" w14:textId="77777777" w:rsidR="00EC256C" w:rsidRPr="00EB292A" w:rsidRDefault="00EC256C" w:rsidP="00EB292A">
      <w:pPr>
        <w:pStyle w:val="NORMAL12"/>
        <w:rPr>
          <w:lang w:val="es-ES"/>
        </w:rPr>
      </w:pPr>
      <w:r w:rsidRPr="00EB292A">
        <w:rPr>
          <w:lang w:val="es-ES"/>
        </w:rPr>
        <w:t>El incumplimiento de los parámetros de aceptación indicados motivará el rechazo de la partida de tubos afectada, o de la actuación ejecutada, debiéndose subsanar las deficiencias, todo ello a costa del Contratista.</w:t>
      </w:r>
    </w:p>
    <w:p w14:paraId="1430B2E7" w14:textId="77777777" w:rsidR="00EC256C" w:rsidRPr="00EB292A" w:rsidRDefault="00EC256C" w:rsidP="000313DD">
      <w:pPr>
        <w:pStyle w:val="TITU2"/>
      </w:pPr>
      <w:bookmarkStart w:id="462" w:name="_Toc404245"/>
      <w:bookmarkEnd w:id="461"/>
      <w:r w:rsidRPr="00EB292A">
        <w:t>41</w:t>
      </w:r>
      <w:r w:rsidR="004A212C">
        <w:t>5</w:t>
      </w:r>
      <w:r w:rsidRPr="00EB292A">
        <w:t>.</w:t>
      </w:r>
      <w:r w:rsidR="00A10C45">
        <w:t>5</w:t>
      </w:r>
      <w:r w:rsidRPr="00EB292A">
        <w:t xml:space="preserve">. </w:t>
      </w:r>
      <w:r w:rsidRPr="00EB292A">
        <w:tab/>
        <w:t>Control de calidad</w:t>
      </w:r>
      <w:bookmarkEnd w:id="462"/>
    </w:p>
    <w:p w14:paraId="2B4C10FA" w14:textId="77777777" w:rsidR="00EC256C" w:rsidRPr="00EB292A" w:rsidRDefault="00EC256C" w:rsidP="00EB292A">
      <w:pPr>
        <w:pStyle w:val="NORMAL12"/>
        <w:rPr>
          <w:lang w:val="es-ES"/>
        </w:rPr>
      </w:pPr>
      <w:r w:rsidRPr="00EB292A">
        <w:rPr>
          <w:lang w:val="es-ES"/>
        </w:rPr>
        <w:t xml:space="preserve">Con independencia de que los tubos estén en posesión del citado sello de calidad, el </w:t>
      </w:r>
      <w:proofErr w:type="gramStart"/>
      <w:r w:rsidRPr="00EB292A">
        <w:rPr>
          <w:lang w:val="es-ES"/>
        </w:rPr>
        <w:t>Director</w:t>
      </w:r>
      <w:proofErr w:type="gramEnd"/>
      <w:r w:rsidRPr="00EB292A">
        <w:rPr>
          <w:lang w:val="es-ES"/>
        </w:rPr>
        <w:t xml:space="preserve"> de la Obra podrá ordenar en cualquier momento la realización de los ensayos que considere necesarios. </w:t>
      </w:r>
    </w:p>
    <w:p w14:paraId="2033FE1F" w14:textId="77777777" w:rsidR="008E5353" w:rsidRPr="00EB292A" w:rsidRDefault="008E5353" w:rsidP="000859FD">
      <w:pPr>
        <w:pStyle w:val="NORMAL12"/>
        <w:rPr>
          <w:lang w:val="es-ES"/>
        </w:rPr>
      </w:pPr>
      <w:r w:rsidRPr="00EB292A">
        <w:rPr>
          <w:lang w:val="es-ES"/>
        </w:rPr>
        <w:t>Los ensayos que tendrán que realizarse son:</w:t>
      </w:r>
    </w:p>
    <w:p w14:paraId="05A8A0B1" w14:textId="77777777" w:rsidR="00EB292A" w:rsidRPr="00EB292A" w:rsidRDefault="00EB292A" w:rsidP="00E01981">
      <w:pPr>
        <w:pStyle w:val="NORMAL12"/>
        <w:numPr>
          <w:ilvl w:val="0"/>
          <w:numId w:val="55"/>
        </w:numPr>
        <w:rPr>
          <w:lang w:val="es-ES"/>
        </w:rPr>
      </w:pPr>
      <w:r w:rsidRPr="00EB292A">
        <w:rPr>
          <w:lang w:val="es-ES"/>
        </w:rPr>
        <w:t>Comprobación de la documentación.</w:t>
      </w:r>
    </w:p>
    <w:p w14:paraId="312946F9" w14:textId="77777777" w:rsidR="00EB292A" w:rsidRPr="00EB292A" w:rsidRDefault="00EB292A" w:rsidP="00E01981">
      <w:pPr>
        <w:pStyle w:val="NORMAL12"/>
        <w:numPr>
          <w:ilvl w:val="0"/>
          <w:numId w:val="55"/>
        </w:numPr>
        <w:rPr>
          <w:lang w:val="es-ES"/>
        </w:rPr>
      </w:pPr>
      <w:r w:rsidRPr="00EB292A">
        <w:rPr>
          <w:lang w:val="es-ES"/>
        </w:rPr>
        <w:t>Comprobación de los esp</w:t>
      </w:r>
      <w:r w:rsidR="005754E1">
        <w:rPr>
          <w:lang w:val="es-ES"/>
        </w:rPr>
        <w:t>es</w:t>
      </w:r>
      <w:r w:rsidRPr="00EB292A">
        <w:rPr>
          <w:lang w:val="es-ES"/>
        </w:rPr>
        <w:t>o</w:t>
      </w:r>
      <w:r w:rsidR="005754E1">
        <w:rPr>
          <w:lang w:val="es-ES"/>
        </w:rPr>
        <w:t>r</w:t>
      </w:r>
      <w:r w:rsidRPr="00EB292A">
        <w:rPr>
          <w:lang w:val="es-ES"/>
        </w:rPr>
        <w:t>es del tubo</w:t>
      </w:r>
    </w:p>
    <w:p w14:paraId="1794796E" w14:textId="77777777" w:rsidR="008E5353" w:rsidRPr="00EB292A" w:rsidRDefault="008E5353" w:rsidP="00E01981">
      <w:pPr>
        <w:pStyle w:val="NORMAL12"/>
        <w:numPr>
          <w:ilvl w:val="0"/>
          <w:numId w:val="55"/>
        </w:numPr>
        <w:rPr>
          <w:lang w:val="es-ES"/>
        </w:rPr>
      </w:pPr>
      <w:r w:rsidRPr="00EB292A">
        <w:rPr>
          <w:lang w:val="es-ES"/>
        </w:rPr>
        <w:t>Examen visual del aspecto general de los tubos y piezas para juntas y comprobación de dimensiones y espesores.</w:t>
      </w:r>
    </w:p>
    <w:p w14:paraId="36032290" w14:textId="77777777" w:rsidR="008E5353" w:rsidRPr="00EB292A" w:rsidRDefault="008E5353" w:rsidP="00E01981">
      <w:pPr>
        <w:pStyle w:val="NORMAL12"/>
        <w:numPr>
          <w:ilvl w:val="0"/>
          <w:numId w:val="55"/>
        </w:numPr>
        <w:rPr>
          <w:lang w:val="es-ES"/>
        </w:rPr>
      </w:pPr>
      <w:r w:rsidRPr="00EB292A">
        <w:rPr>
          <w:lang w:val="es-ES"/>
        </w:rPr>
        <w:t>Ensayo de estanqueidad.</w:t>
      </w:r>
    </w:p>
    <w:p w14:paraId="3151D198" w14:textId="77777777" w:rsidR="008E5353" w:rsidRPr="00EB292A" w:rsidRDefault="008E5353" w:rsidP="00E01981">
      <w:pPr>
        <w:pStyle w:val="NORMAL12"/>
        <w:numPr>
          <w:ilvl w:val="0"/>
          <w:numId w:val="55"/>
        </w:numPr>
        <w:rPr>
          <w:lang w:val="es-ES"/>
        </w:rPr>
      </w:pPr>
      <w:r w:rsidRPr="00EB292A">
        <w:rPr>
          <w:lang w:val="es-ES"/>
        </w:rPr>
        <w:lastRenderedPageBreak/>
        <w:t>Ensayo de aplastamiento.</w:t>
      </w:r>
    </w:p>
    <w:p w14:paraId="2AE2818C" w14:textId="77777777" w:rsidR="008E5353" w:rsidRPr="00EB292A" w:rsidRDefault="008E5353" w:rsidP="00E01981">
      <w:pPr>
        <w:pStyle w:val="NORMAL12"/>
        <w:numPr>
          <w:ilvl w:val="0"/>
          <w:numId w:val="55"/>
        </w:numPr>
        <w:rPr>
          <w:lang w:val="es-ES"/>
        </w:rPr>
      </w:pPr>
      <w:r w:rsidRPr="00EB292A">
        <w:rPr>
          <w:lang w:val="es-ES"/>
        </w:rPr>
        <w:t>Ensayo de flexión longitudinal.</w:t>
      </w:r>
    </w:p>
    <w:p w14:paraId="4E909CB8" w14:textId="77777777" w:rsidR="008E5353" w:rsidRPr="00EB292A" w:rsidRDefault="008E5353" w:rsidP="000859FD">
      <w:pPr>
        <w:pStyle w:val="NORMAL12"/>
        <w:rPr>
          <w:lang w:val="es-ES"/>
        </w:rPr>
      </w:pPr>
      <w:r w:rsidRPr="00EB292A">
        <w:rPr>
          <w:lang w:val="es-ES"/>
        </w:rPr>
        <w:t xml:space="preserve">El </w:t>
      </w:r>
      <w:proofErr w:type="gramStart"/>
      <w:r w:rsidRPr="00EB292A">
        <w:rPr>
          <w:lang w:val="es-ES"/>
        </w:rPr>
        <w:t>Director</w:t>
      </w:r>
      <w:proofErr w:type="gramEnd"/>
      <w:r w:rsidRPr="00EB292A">
        <w:rPr>
          <w:lang w:val="es-ES"/>
        </w:rPr>
        <w:t xml:space="preserve"> de Obra se reserva </w:t>
      </w:r>
      <w:r w:rsidR="0048688F" w:rsidRPr="00EB292A">
        <w:rPr>
          <w:lang w:val="es-ES"/>
        </w:rPr>
        <w:t>el derecho de realizar en fábri</w:t>
      </w:r>
      <w:r w:rsidRPr="00EB292A">
        <w:rPr>
          <w:lang w:val="es-ES"/>
        </w:rPr>
        <w:t>ca, por medio de sus representantes, cuantas verificaciones de fabricación y ensayos de materiales estime precisos para el control de las diversas etapas de fabricación, según las pres</w:t>
      </w:r>
      <w:r w:rsidRPr="00EB292A">
        <w:rPr>
          <w:lang w:val="es-ES"/>
        </w:rPr>
        <w:softHyphen/>
        <w:t>cripciones de este pliego.</w:t>
      </w:r>
    </w:p>
    <w:p w14:paraId="1CD915EA" w14:textId="77777777" w:rsidR="008E5353" w:rsidRPr="00EB292A" w:rsidRDefault="008E5353" w:rsidP="000859FD">
      <w:pPr>
        <w:pStyle w:val="NORMAL12"/>
        <w:rPr>
          <w:lang w:val="es-ES"/>
        </w:rPr>
      </w:pPr>
      <w:r w:rsidRPr="00EB292A">
        <w:rPr>
          <w:lang w:val="es-ES"/>
        </w:rPr>
        <w:t>A estos efectos, el Contratista, en el caso de no proceder por sí mismo a la fabricación de los tubos, deberá hacer constar este derecho de la Administración en su contrato con el fabri</w:t>
      </w:r>
      <w:r w:rsidRPr="00EB292A">
        <w:rPr>
          <w:lang w:val="es-ES"/>
        </w:rPr>
        <w:softHyphen/>
        <w:t>cante.</w:t>
      </w:r>
    </w:p>
    <w:p w14:paraId="4F2A6808" w14:textId="77777777" w:rsidR="008E5353" w:rsidRPr="00EB292A" w:rsidRDefault="008E5353" w:rsidP="000859FD">
      <w:pPr>
        <w:pStyle w:val="NORMAL12"/>
        <w:rPr>
          <w:lang w:val="es-ES"/>
        </w:rPr>
      </w:pPr>
      <w:r w:rsidRPr="00EB292A">
        <w:rPr>
          <w:lang w:val="es-ES"/>
        </w:rPr>
        <w:t xml:space="preserve">El fabricante avisará al </w:t>
      </w:r>
      <w:proofErr w:type="gramStart"/>
      <w:r w:rsidRPr="00EB292A">
        <w:rPr>
          <w:lang w:val="es-ES"/>
        </w:rPr>
        <w:t>Director</w:t>
      </w:r>
      <w:proofErr w:type="gramEnd"/>
      <w:r w:rsidRPr="00EB292A">
        <w:rPr>
          <w:lang w:val="es-ES"/>
        </w:rPr>
        <w:t xml:space="preserve"> de la Obra con quince (15) días de antelación, como mínimo, del comienzo de fabricación de los tubos y de la fecha en que se propone efectuar las pruebas.</w:t>
      </w:r>
    </w:p>
    <w:p w14:paraId="28E5D353" w14:textId="77777777" w:rsidR="008E5353" w:rsidRPr="00EB292A" w:rsidRDefault="008E5353" w:rsidP="000859FD">
      <w:pPr>
        <w:pStyle w:val="NORMAL12"/>
        <w:rPr>
          <w:lang w:val="es-ES"/>
        </w:rPr>
      </w:pPr>
      <w:r w:rsidRPr="00EB292A">
        <w:rPr>
          <w:lang w:val="es-ES"/>
        </w:rPr>
        <w:t xml:space="preserve">En caso de que la Dirección de Obra admitiera el empleo de tubos de un fabricante o proveedor que no disponga de sello de calidad, el </w:t>
      </w:r>
      <w:proofErr w:type="gramStart"/>
      <w:r w:rsidRPr="00EB292A">
        <w:rPr>
          <w:lang w:val="es-ES"/>
        </w:rPr>
        <w:t>Director</w:t>
      </w:r>
      <w:proofErr w:type="gramEnd"/>
      <w:r w:rsidRPr="00EB292A">
        <w:rPr>
          <w:lang w:val="es-ES"/>
        </w:rPr>
        <w:t xml:space="preserve"> de la Obra podrá exigir al Contratista el certifica</w:t>
      </w:r>
      <w:r w:rsidRPr="00EB292A">
        <w:rPr>
          <w:lang w:val="es-ES"/>
        </w:rPr>
        <w:softHyphen/>
        <w:t xml:space="preserve">do garantía de que se efectuaron en forma satisfactoria los ensayos y de que los materiales utilizados en la fabricación cumplieron las especificaciones correspondientes. </w:t>
      </w:r>
    </w:p>
    <w:p w14:paraId="13E8D785" w14:textId="77777777" w:rsidR="008E5353" w:rsidRPr="00EB292A" w:rsidRDefault="008E5353" w:rsidP="000859FD">
      <w:pPr>
        <w:pStyle w:val="NORMAL12"/>
        <w:rPr>
          <w:lang w:val="es-ES"/>
        </w:rPr>
      </w:pPr>
      <w:r w:rsidRPr="00EB292A">
        <w:rPr>
          <w:lang w:val="es-ES"/>
        </w:rPr>
        <w:t xml:space="preserve">Con independencia de que los tubos estén en posesión del citado sello de calidad, el </w:t>
      </w:r>
      <w:proofErr w:type="gramStart"/>
      <w:r w:rsidRPr="00EB292A">
        <w:rPr>
          <w:lang w:val="es-ES"/>
        </w:rPr>
        <w:t>Director</w:t>
      </w:r>
      <w:proofErr w:type="gramEnd"/>
      <w:r w:rsidRPr="00EB292A">
        <w:rPr>
          <w:lang w:val="es-ES"/>
        </w:rPr>
        <w:t xml:space="preserve"> de la Obra, si lo estima necesario, podrá ordenar en cualquier momento la realización de ensayos sobre lotes, aunque hubiesen sido ensayados en fábrica, para lo cual el Contratista avisado previamente por escrito, facilitará los medios necesarios para realizar estos ensayos de los que se levantará acta, y los resultados obtenidos en ellos prevalecerán sobre cualquier otro anterior.</w:t>
      </w:r>
    </w:p>
    <w:p w14:paraId="66A0BDEA" w14:textId="77777777" w:rsidR="008E5353" w:rsidRPr="00EB292A" w:rsidRDefault="008E5353" w:rsidP="000859FD">
      <w:pPr>
        <w:pStyle w:val="NORMAL12"/>
        <w:rPr>
          <w:lang w:val="es-ES"/>
        </w:rPr>
      </w:pPr>
      <w:r w:rsidRPr="00EB292A">
        <w:rPr>
          <w:lang w:val="es-ES"/>
        </w:rPr>
        <w:t xml:space="preserve">Cada entrega en obra de los tubos y elementos será acompañada de un albarán especificando naturaleza, número, tipo y referencia de las piezas que la componen y deberá hacerse con el ritmo y plazos señalados en el Plan de Obra, o en su caso por el Ingeniero </w:t>
      </w:r>
      <w:proofErr w:type="gramStart"/>
      <w:r w:rsidRPr="00EB292A">
        <w:rPr>
          <w:lang w:val="es-ES"/>
        </w:rPr>
        <w:t>Director</w:t>
      </w:r>
      <w:proofErr w:type="gramEnd"/>
      <w:r w:rsidRPr="00EB292A">
        <w:rPr>
          <w:lang w:val="es-ES"/>
        </w:rPr>
        <w:t>.</w:t>
      </w:r>
    </w:p>
    <w:p w14:paraId="3FA2A77A" w14:textId="77777777" w:rsidR="008E5353" w:rsidRPr="00EB292A" w:rsidRDefault="008E5353" w:rsidP="000859FD">
      <w:pPr>
        <w:pStyle w:val="NORMAL12"/>
        <w:rPr>
          <w:lang w:val="es-ES"/>
        </w:rPr>
      </w:pPr>
      <w:r w:rsidRPr="00EB292A">
        <w:rPr>
          <w:lang w:val="es-ES"/>
        </w:rPr>
        <w:t>Las piezas que hayan sufrido averías durante el transporte o que presenten defectos serán rechazadas.</w:t>
      </w:r>
    </w:p>
    <w:p w14:paraId="5DFFDB9E" w14:textId="77777777" w:rsidR="008E5353" w:rsidRPr="00EB292A" w:rsidRDefault="008E5353" w:rsidP="000859FD">
      <w:pPr>
        <w:pStyle w:val="NORMAL12"/>
        <w:rPr>
          <w:lang w:val="es-ES"/>
        </w:rPr>
      </w:pPr>
      <w:r w:rsidRPr="00EB292A">
        <w:rPr>
          <w:lang w:val="es-ES"/>
        </w:rPr>
        <w:t xml:space="preserve">Los ensayos de recepción, en el caso de que el </w:t>
      </w:r>
      <w:proofErr w:type="gramStart"/>
      <w:r w:rsidRPr="00EB292A">
        <w:rPr>
          <w:lang w:val="es-ES"/>
        </w:rPr>
        <w:t>Director</w:t>
      </w:r>
      <w:proofErr w:type="gramEnd"/>
      <w:r w:rsidRPr="00EB292A">
        <w:rPr>
          <w:lang w:val="es-ES"/>
        </w:rPr>
        <w:t xml:space="preserve"> de las Obras lo considere oportuno, podrán sustituirse por un certificado en el que se expresen los resultados </w:t>
      </w:r>
      <w:r w:rsidRPr="00EB292A">
        <w:rPr>
          <w:lang w:val="es-ES"/>
        </w:rPr>
        <w:t>satisfactorios de los ensayos de estanqueidad, aplastamiento y flexión longitudinal del lote a que pertenezcan los</w:t>
      </w:r>
      <w:r w:rsidR="0048688F" w:rsidRPr="00EB292A">
        <w:rPr>
          <w:lang w:val="es-ES"/>
        </w:rPr>
        <w:t xml:space="preserve"> tubos o los ensayos de autocon</w:t>
      </w:r>
      <w:r w:rsidRPr="00EB292A">
        <w:rPr>
          <w:lang w:val="es-ES"/>
        </w:rPr>
        <w:t>trol sistemáticos de fabricación que garanticen las propiedades anteriores.</w:t>
      </w:r>
    </w:p>
    <w:p w14:paraId="3B99369B" w14:textId="77777777" w:rsidR="008E5353" w:rsidRPr="00EB292A" w:rsidRDefault="008E5353" w:rsidP="000859FD">
      <w:pPr>
        <w:pStyle w:val="NORMAL12"/>
        <w:rPr>
          <w:lang w:val="es-ES"/>
        </w:rPr>
      </w:pPr>
      <w:r w:rsidRPr="00EB292A">
        <w:rPr>
          <w:lang w:val="es-ES"/>
        </w:rPr>
        <w:t xml:space="preserve">Respecto al tipo de juntas propuestas, el </w:t>
      </w:r>
      <w:proofErr w:type="gramStart"/>
      <w:r w:rsidRPr="00EB292A">
        <w:rPr>
          <w:lang w:val="es-ES"/>
        </w:rPr>
        <w:t>Director</w:t>
      </w:r>
      <w:proofErr w:type="gramEnd"/>
      <w:r w:rsidRPr="00EB292A">
        <w:rPr>
          <w:lang w:val="es-ES"/>
        </w:rPr>
        <w:t xml:space="preserve"> de Obra podrá ordenar ensayos de estanqueidad de tipos de juntas. En este caso, el ensayo se hará en forma</w:t>
      </w:r>
      <w:r w:rsidR="0048688F" w:rsidRPr="00EB292A">
        <w:rPr>
          <w:lang w:val="es-ES"/>
        </w:rPr>
        <w:t xml:space="preserve"> análoga al de los tubos, dispo</w:t>
      </w:r>
      <w:r w:rsidRPr="00EB292A">
        <w:rPr>
          <w:lang w:val="es-ES"/>
        </w:rPr>
        <w:t>niéndose dos trozos de tubo, uno a continuación del otro, unidos por su junta, cerrando los extremos libres con dispositivos apropiados y siguiendo el mismo procedimiento que para los tubos, se comprobará que no existe pérdida alguna.</w:t>
      </w:r>
    </w:p>
    <w:p w14:paraId="7FD0BBF6" w14:textId="77777777" w:rsidR="008E5353" w:rsidRPr="00EB292A" w:rsidRDefault="008E5353" w:rsidP="000859FD">
      <w:pPr>
        <w:pStyle w:val="NORMAL12"/>
        <w:rPr>
          <w:lang w:val="es-ES"/>
        </w:rPr>
      </w:pPr>
      <w:r w:rsidRPr="00EB292A">
        <w:rPr>
          <w:lang w:val="es-ES"/>
        </w:rPr>
        <w:t>Los tubos se considerarán impermeables si a los 15 minutos de aplicar una presión de 0,5 atmósferas, la absorción del agua de la pared del tubo no pasa del valor indicado en la tabla siguiente, aunque aparecieran en la superficie manchas de humedad o gotas aisladas. Regirá el valor medio de un ensayo, el cual puede rebasarse por algún otro tubo hasta un 30%. Al someter a prueba de rotura cada uno de los tubos, se mantendrán los valores mínimos de la carga de compresión en kg/m de longitud útil, indicados en la tabla.</w:t>
      </w:r>
    </w:p>
    <w:p w14:paraId="05C7BC8A" w14:textId="77777777" w:rsidR="008E5353" w:rsidRDefault="008E5353" w:rsidP="004712AC">
      <w:pPr>
        <w:pStyle w:val="TITU3"/>
        <w:numPr>
          <w:ilvl w:val="0"/>
          <w:numId w:val="0"/>
        </w:numPr>
        <w:outlineLvl w:val="3"/>
      </w:pPr>
      <w:bookmarkStart w:id="463" w:name="_Toc277523281"/>
      <w:r w:rsidRPr="00EB292A">
        <w:t>41</w:t>
      </w:r>
      <w:r w:rsidR="00227EED">
        <w:t>5</w:t>
      </w:r>
      <w:r w:rsidR="00A10C45">
        <w:t>.5</w:t>
      </w:r>
      <w:r w:rsidRPr="00EB292A">
        <w:t>.3. Ensayos</w:t>
      </w:r>
      <w:bookmarkEnd w:id="463"/>
    </w:p>
    <w:p w14:paraId="5A98AA76" w14:textId="77777777" w:rsidR="009048FD" w:rsidRPr="009048FD" w:rsidRDefault="00217216" w:rsidP="009048FD">
      <w:pPr>
        <w:pStyle w:val="NORMAL12"/>
        <w:rPr>
          <w:lang w:val="es-ES"/>
        </w:rPr>
      </w:pPr>
      <w:proofErr w:type="gramStart"/>
      <w:r>
        <w:rPr>
          <w:lang w:val="es-ES"/>
        </w:rPr>
        <w:t>Los ensayos a realizar</w:t>
      </w:r>
      <w:proofErr w:type="gramEnd"/>
      <w:r>
        <w:rPr>
          <w:lang w:val="es-ES"/>
        </w:rPr>
        <w:t xml:space="preserve"> </w:t>
      </w:r>
      <w:r w:rsidR="009048FD">
        <w:rPr>
          <w:lang w:val="es-ES"/>
        </w:rPr>
        <w:t>cumplirá</w:t>
      </w:r>
      <w:r>
        <w:rPr>
          <w:lang w:val="es-ES"/>
        </w:rPr>
        <w:t>n</w:t>
      </w:r>
      <w:r w:rsidR="009048FD">
        <w:rPr>
          <w:lang w:val="es-ES"/>
        </w:rPr>
        <w:t>:</w:t>
      </w:r>
    </w:p>
    <w:p w14:paraId="2DD050C7" w14:textId="77777777" w:rsidR="008E5353" w:rsidRPr="00EB292A" w:rsidRDefault="008E5353" w:rsidP="00E01981">
      <w:pPr>
        <w:pStyle w:val="NORMAL12"/>
        <w:numPr>
          <w:ilvl w:val="0"/>
          <w:numId w:val="55"/>
        </w:numPr>
        <w:rPr>
          <w:lang w:val="es-ES"/>
        </w:rPr>
      </w:pPr>
      <w:r w:rsidRPr="00EB292A">
        <w:rPr>
          <w:lang w:val="es-ES"/>
        </w:rPr>
        <w:t>Los ensayos se realizarán según se describen en las Normas UNE de aplicación para características y dimensiones, impermeabili</w:t>
      </w:r>
      <w:r w:rsidRPr="00EB292A">
        <w:rPr>
          <w:lang w:val="es-ES"/>
        </w:rPr>
        <w:softHyphen/>
        <w:t>dad y carga de rotura.</w:t>
      </w:r>
    </w:p>
    <w:p w14:paraId="2BB7A8F4" w14:textId="77777777" w:rsidR="008E5353" w:rsidRPr="00EB292A" w:rsidRDefault="008E5353" w:rsidP="00E01981">
      <w:pPr>
        <w:pStyle w:val="NORMAL12"/>
        <w:numPr>
          <w:ilvl w:val="0"/>
          <w:numId w:val="55"/>
        </w:numPr>
        <w:rPr>
          <w:lang w:val="es-ES"/>
        </w:rPr>
      </w:pPr>
      <w:r w:rsidRPr="00EB292A">
        <w:rPr>
          <w:lang w:val="es-ES"/>
        </w:rPr>
        <w:t>En la tabla siguiente quedan reflejados los límites mínimos y tolerancia para distintos diámetros.</w:t>
      </w:r>
    </w:p>
    <w:p w14:paraId="3FD95722" w14:textId="77777777" w:rsidR="008E5353" w:rsidRPr="00EB292A" w:rsidRDefault="008E5353" w:rsidP="008E5353"/>
    <w:tbl>
      <w:tblPr>
        <w:tblW w:w="0" w:type="auto"/>
        <w:jc w:val="center"/>
        <w:tblLook w:val="04A0" w:firstRow="1" w:lastRow="0" w:firstColumn="1" w:lastColumn="0" w:noHBand="0" w:noVBand="1"/>
      </w:tblPr>
      <w:tblGrid>
        <w:gridCol w:w="1367"/>
        <w:gridCol w:w="1708"/>
        <w:gridCol w:w="1324"/>
        <w:gridCol w:w="2329"/>
        <w:gridCol w:w="1394"/>
        <w:gridCol w:w="1732"/>
      </w:tblGrid>
      <w:tr w:rsidR="005864C2" w:rsidRPr="00EB292A" w14:paraId="1C40F991" w14:textId="77777777" w:rsidTr="00CE424A">
        <w:trPr>
          <w:tblHeader/>
          <w:jc w:val="center"/>
        </w:trPr>
        <w:tc>
          <w:tcPr>
            <w:tcW w:w="0" w:type="auto"/>
            <w:shd w:val="clear" w:color="auto" w:fill="D9D9D9" w:themeFill="background1" w:themeFillShade="D9"/>
            <w:vAlign w:val="center"/>
          </w:tcPr>
          <w:p w14:paraId="0FF07990" w14:textId="77777777" w:rsidR="008E5353" w:rsidRPr="009048FD" w:rsidRDefault="008E5353" w:rsidP="000859FD">
            <w:pPr>
              <w:jc w:val="center"/>
              <w:rPr>
                <w:rFonts w:ascii="Arial" w:hAnsi="Arial" w:cs="Arial"/>
                <w:sz w:val="18"/>
                <w:szCs w:val="18"/>
              </w:rPr>
            </w:pPr>
            <w:r w:rsidRPr="009048FD">
              <w:rPr>
                <w:rFonts w:ascii="Arial" w:hAnsi="Arial" w:cs="Arial"/>
                <w:sz w:val="18"/>
                <w:szCs w:val="18"/>
              </w:rPr>
              <w:t>Diámetro interior</w:t>
            </w:r>
          </w:p>
        </w:tc>
        <w:tc>
          <w:tcPr>
            <w:tcW w:w="0" w:type="auto"/>
            <w:shd w:val="clear" w:color="auto" w:fill="D9D9D9" w:themeFill="background1" w:themeFillShade="D9"/>
            <w:vAlign w:val="center"/>
          </w:tcPr>
          <w:p w14:paraId="1774445C" w14:textId="77777777" w:rsidR="008E5353" w:rsidRPr="009048FD" w:rsidRDefault="00CE424A" w:rsidP="000859FD">
            <w:pPr>
              <w:jc w:val="center"/>
              <w:rPr>
                <w:rFonts w:ascii="Arial" w:hAnsi="Arial" w:cs="Arial"/>
                <w:sz w:val="18"/>
                <w:szCs w:val="18"/>
              </w:rPr>
            </w:pPr>
            <w:r w:rsidRPr="009048FD">
              <w:rPr>
                <w:rFonts w:ascii="Arial" w:hAnsi="Arial" w:cs="Arial"/>
                <w:sz w:val="18"/>
                <w:szCs w:val="18"/>
              </w:rPr>
              <w:t xml:space="preserve">Tolerancia de </w:t>
            </w:r>
            <w:r w:rsidR="008E5353" w:rsidRPr="009048FD">
              <w:rPr>
                <w:rFonts w:ascii="Arial" w:hAnsi="Arial" w:cs="Arial"/>
                <w:sz w:val="18"/>
                <w:szCs w:val="18"/>
              </w:rPr>
              <w:t>longitud</w:t>
            </w:r>
          </w:p>
        </w:tc>
        <w:tc>
          <w:tcPr>
            <w:tcW w:w="0" w:type="auto"/>
            <w:shd w:val="clear" w:color="auto" w:fill="D9D9D9" w:themeFill="background1" w:themeFillShade="D9"/>
            <w:vAlign w:val="center"/>
          </w:tcPr>
          <w:p w14:paraId="626F35FE" w14:textId="77777777" w:rsidR="008E5353" w:rsidRPr="009048FD" w:rsidRDefault="008E5353" w:rsidP="000859FD">
            <w:pPr>
              <w:jc w:val="center"/>
              <w:rPr>
                <w:rFonts w:ascii="Arial" w:hAnsi="Arial" w:cs="Arial"/>
                <w:sz w:val="18"/>
                <w:szCs w:val="18"/>
              </w:rPr>
            </w:pPr>
            <w:r w:rsidRPr="009048FD">
              <w:rPr>
                <w:rFonts w:ascii="Arial" w:hAnsi="Arial" w:cs="Arial"/>
                <w:sz w:val="18"/>
                <w:szCs w:val="18"/>
              </w:rPr>
              <w:t>Espesor mínimo</w:t>
            </w:r>
          </w:p>
        </w:tc>
        <w:tc>
          <w:tcPr>
            <w:tcW w:w="0" w:type="auto"/>
            <w:shd w:val="clear" w:color="auto" w:fill="D9D9D9" w:themeFill="background1" w:themeFillShade="D9"/>
            <w:vAlign w:val="center"/>
          </w:tcPr>
          <w:p w14:paraId="5F77306E" w14:textId="77777777" w:rsidR="008E5353" w:rsidRPr="009048FD" w:rsidRDefault="008E5353" w:rsidP="000859FD">
            <w:pPr>
              <w:jc w:val="center"/>
              <w:rPr>
                <w:rFonts w:ascii="Arial" w:hAnsi="Arial" w:cs="Arial"/>
                <w:sz w:val="18"/>
                <w:szCs w:val="18"/>
              </w:rPr>
            </w:pPr>
            <w:r w:rsidRPr="009048FD">
              <w:rPr>
                <w:rFonts w:ascii="Arial" w:hAnsi="Arial" w:cs="Arial"/>
                <w:sz w:val="18"/>
                <w:szCs w:val="18"/>
              </w:rPr>
              <w:t>Tolerancia diámetro interior (mm)</w:t>
            </w:r>
          </w:p>
        </w:tc>
        <w:tc>
          <w:tcPr>
            <w:tcW w:w="0" w:type="auto"/>
            <w:shd w:val="clear" w:color="auto" w:fill="D9D9D9" w:themeFill="background1" w:themeFillShade="D9"/>
            <w:vAlign w:val="center"/>
          </w:tcPr>
          <w:p w14:paraId="7A89E006" w14:textId="77777777" w:rsidR="008E5353" w:rsidRPr="009048FD" w:rsidRDefault="008E5353" w:rsidP="000859FD">
            <w:pPr>
              <w:jc w:val="center"/>
              <w:rPr>
                <w:rFonts w:ascii="Arial" w:hAnsi="Arial" w:cs="Arial"/>
                <w:sz w:val="18"/>
                <w:szCs w:val="18"/>
              </w:rPr>
            </w:pPr>
            <w:r w:rsidRPr="009048FD">
              <w:rPr>
                <w:rFonts w:ascii="Arial" w:hAnsi="Arial" w:cs="Arial"/>
                <w:sz w:val="18"/>
                <w:szCs w:val="18"/>
              </w:rPr>
              <w:t>Absorción cm/m.</w:t>
            </w:r>
          </w:p>
        </w:tc>
        <w:tc>
          <w:tcPr>
            <w:tcW w:w="0" w:type="auto"/>
            <w:shd w:val="clear" w:color="auto" w:fill="D9D9D9" w:themeFill="background1" w:themeFillShade="D9"/>
            <w:vAlign w:val="center"/>
          </w:tcPr>
          <w:p w14:paraId="16642DE2" w14:textId="77777777" w:rsidR="008E5353" w:rsidRPr="009048FD" w:rsidRDefault="008E5353" w:rsidP="000859FD">
            <w:pPr>
              <w:jc w:val="center"/>
              <w:rPr>
                <w:rFonts w:ascii="Arial" w:hAnsi="Arial" w:cs="Arial"/>
                <w:sz w:val="18"/>
                <w:szCs w:val="18"/>
              </w:rPr>
            </w:pPr>
            <w:r w:rsidRPr="009048FD">
              <w:rPr>
                <w:rFonts w:ascii="Arial" w:hAnsi="Arial" w:cs="Arial"/>
                <w:sz w:val="18"/>
                <w:szCs w:val="18"/>
              </w:rPr>
              <w:t>Carga de rotura (</w:t>
            </w:r>
            <w:proofErr w:type="spellStart"/>
            <w:r w:rsidRPr="009048FD">
              <w:rPr>
                <w:rFonts w:ascii="Arial" w:hAnsi="Arial" w:cs="Arial"/>
                <w:sz w:val="18"/>
                <w:szCs w:val="18"/>
              </w:rPr>
              <w:t>kp</w:t>
            </w:r>
            <w:proofErr w:type="spellEnd"/>
            <w:r w:rsidRPr="009048FD">
              <w:rPr>
                <w:rFonts w:ascii="Arial" w:hAnsi="Arial" w:cs="Arial"/>
                <w:sz w:val="18"/>
                <w:szCs w:val="18"/>
              </w:rPr>
              <w:t>/cm)</w:t>
            </w:r>
          </w:p>
        </w:tc>
      </w:tr>
      <w:tr w:rsidR="005864C2" w:rsidRPr="00EB292A" w14:paraId="1A8B2D18" w14:textId="77777777" w:rsidTr="00CE424A">
        <w:trPr>
          <w:jc w:val="center"/>
        </w:trPr>
        <w:tc>
          <w:tcPr>
            <w:tcW w:w="0" w:type="auto"/>
          </w:tcPr>
          <w:p w14:paraId="03B2E794"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100</w:t>
            </w:r>
          </w:p>
        </w:tc>
        <w:tc>
          <w:tcPr>
            <w:tcW w:w="0" w:type="auto"/>
          </w:tcPr>
          <w:p w14:paraId="016AB937"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w:t>
            </w:r>
          </w:p>
        </w:tc>
        <w:tc>
          <w:tcPr>
            <w:tcW w:w="0" w:type="auto"/>
          </w:tcPr>
          <w:p w14:paraId="7650190B"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22</w:t>
            </w:r>
          </w:p>
        </w:tc>
        <w:tc>
          <w:tcPr>
            <w:tcW w:w="0" w:type="auto"/>
          </w:tcPr>
          <w:p w14:paraId="79DD9F53"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w:t>
            </w:r>
          </w:p>
        </w:tc>
        <w:tc>
          <w:tcPr>
            <w:tcW w:w="0" w:type="auto"/>
          </w:tcPr>
          <w:p w14:paraId="463620EC"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100</w:t>
            </w:r>
          </w:p>
        </w:tc>
        <w:tc>
          <w:tcPr>
            <w:tcW w:w="0" w:type="auto"/>
          </w:tcPr>
          <w:p w14:paraId="2599DB9F"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2.400</w:t>
            </w:r>
          </w:p>
        </w:tc>
      </w:tr>
      <w:tr w:rsidR="005864C2" w:rsidRPr="00EB292A" w14:paraId="4462D91B" w14:textId="77777777" w:rsidTr="00CE424A">
        <w:trPr>
          <w:jc w:val="center"/>
        </w:trPr>
        <w:tc>
          <w:tcPr>
            <w:tcW w:w="0" w:type="auto"/>
          </w:tcPr>
          <w:p w14:paraId="684DAC63"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150</w:t>
            </w:r>
          </w:p>
        </w:tc>
        <w:tc>
          <w:tcPr>
            <w:tcW w:w="0" w:type="auto"/>
          </w:tcPr>
          <w:p w14:paraId="06DB346D"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w:t>
            </w:r>
          </w:p>
        </w:tc>
        <w:tc>
          <w:tcPr>
            <w:tcW w:w="0" w:type="auto"/>
          </w:tcPr>
          <w:p w14:paraId="2276E0A3"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22</w:t>
            </w:r>
          </w:p>
        </w:tc>
        <w:tc>
          <w:tcPr>
            <w:tcW w:w="0" w:type="auto"/>
          </w:tcPr>
          <w:p w14:paraId="4594990B"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w:t>
            </w:r>
          </w:p>
        </w:tc>
        <w:tc>
          <w:tcPr>
            <w:tcW w:w="0" w:type="auto"/>
          </w:tcPr>
          <w:p w14:paraId="70C00DF0"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110</w:t>
            </w:r>
          </w:p>
        </w:tc>
        <w:tc>
          <w:tcPr>
            <w:tcW w:w="0" w:type="auto"/>
          </w:tcPr>
          <w:p w14:paraId="12E3B351"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2.600</w:t>
            </w:r>
          </w:p>
        </w:tc>
      </w:tr>
      <w:tr w:rsidR="005864C2" w:rsidRPr="00EB292A" w14:paraId="27212F05" w14:textId="77777777" w:rsidTr="00CE424A">
        <w:trPr>
          <w:jc w:val="center"/>
        </w:trPr>
        <w:tc>
          <w:tcPr>
            <w:tcW w:w="0" w:type="auto"/>
          </w:tcPr>
          <w:p w14:paraId="1F2FC0DE"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200</w:t>
            </w:r>
          </w:p>
        </w:tc>
        <w:tc>
          <w:tcPr>
            <w:tcW w:w="0" w:type="auto"/>
          </w:tcPr>
          <w:p w14:paraId="0606D93F"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w:t>
            </w:r>
          </w:p>
        </w:tc>
        <w:tc>
          <w:tcPr>
            <w:tcW w:w="0" w:type="auto"/>
          </w:tcPr>
          <w:p w14:paraId="4FC8FC22"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23</w:t>
            </w:r>
          </w:p>
        </w:tc>
        <w:tc>
          <w:tcPr>
            <w:tcW w:w="0" w:type="auto"/>
          </w:tcPr>
          <w:p w14:paraId="6C7D91AB"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3</w:t>
            </w:r>
          </w:p>
        </w:tc>
        <w:tc>
          <w:tcPr>
            <w:tcW w:w="0" w:type="auto"/>
          </w:tcPr>
          <w:p w14:paraId="284A4DDA"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120</w:t>
            </w:r>
          </w:p>
        </w:tc>
        <w:tc>
          <w:tcPr>
            <w:tcW w:w="0" w:type="auto"/>
          </w:tcPr>
          <w:p w14:paraId="45995A12"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2.700</w:t>
            </w:r>
          </w:p>
        </w:tc>
      </w:tr>
      <w:tr w:rsidR="005864C2" w:rsidRPr="00EB292A" w14:paraId="6FDCC120" w14:textId="77777777" w:rsidTr="00CE424A">
        <w:trPr>
          <w:jc w:val="center"/>
        </w:trPr>
        <w:tc>
          <w:tcPr>
            <w:tcW w:w="0" w:type="auto"/>
          </w:tcPr>
          <w:p w14:paraId="3F159B6C"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300</w:t>
            </w:r>
          </w:p>
        </w:tc>
        <w:tc>
          <w:tcPr>
            <w:tcW w:w="0" w:type="auto"/>
          </w:tcPr>
          <w:p w14:paraId="3AF85873"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w:t>
            </w:r>
          </w:p>
        </w:tc>
        <w:tc>
          <w:tcPr>
            <w:tcW w:w="0" w:type="auto"/>
          </w:tcPr>
          <w:p w14:paraId="646601ED"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30</w:t>
            </w:r>
          </w:p>
        </w:tc>
        <w:tc>
          <w:tcPr>
            <w:tcW w:w="0" w:type="auto"/>
          </w:tcPr>
          <w:p w14:paraId="3864CC3F"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4</w:t>
            </w:r>
          </w:p>
        </w:tc>
        <w:tc>
          <w:tcPr>
            <w:tcW w:w="0" w:type="auto"/>
          </w:tcPr>
          <w:p w14:paraId="0DFC5CFD"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160</w:t>
            </w:r>
          </w:p>
        </w:tc>
        <w:tc>
          <w:tcPr>
            <w:tcW w:w="0" w:type="auto"/>
          </w:tcPr>
          <w:p w14:paraId="2588100E"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3.000</w:t>
            </w:r>
          </w:p>
        </w:tc>
      </w:tr>
      <w:tr w:rsidR="005864C2" w:rsidRPr="00EB292A" w14:paraId="0E8BCBE8" w14:textId="77777777" w:rsidTr="00CE424A">
        <w:trPr>
          <w:jc w:val="center"/>
        </w:trPr>
        <w:tc>
          <w:tcPr>
            <w:tcW w:w="0" w:type="auto"/>
          </w:tcPr>
          <w:p w14:paraId="02E9D2E1"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400</w:t>
            </w:r>
          </w:p>
        </w:tc>
        <w:tc>
          <w:tcPr>
            <w:tcW w:w="0" w:type="auto"/>
          </w:tcPr>
          <w:p w14:paraId="5F4BA4BA"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w:t>
            </w:r>
          </w:p>
        </w:tc>
        <w:tc>
          <w:tcPr>
            <w:tcW w:w="0" w:type="auto"/>
          </w:tcPr>
          <w:p w14:paraId="73FB6D1A"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36</w:t>
            </w:r>
          </w:p>
        </w:tc>
        <w:tc>
          <w:tcPr>
            <w:tcW w:w="0" w:type="auto"/>
          </w:tcPr>
          <w:p w14:paraId="0F95871E"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4</w:t>
            </w:r>
          </w:p>
        </w:tc>
        <w:tc>
          <w:tcPr>
            <w:tcW w:w="0" w:type="auto"/>
          </w:tcPr>
          <w:p w14:paraId="766D495C"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210</w:t>
            </w:r>
          </w:p>
        </w:tc>
        <w:tc>
          <w:tcPr>
            <w:tcW w:w="0" w:type="auto"/>
          </w:tcPr>
          <w:p w14:paraId="59A448DA"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3.200</w:t>
            </w:r>
          </w:p>
        </w:tc>
      </w:tr>
      <w:tr w:rsidR="005864C2" w:rsidRPr="00EB292A" w14:paraId="68857276" w14:textId="77777777" w:rsidTr="00CE424A">
        <w:trPr>
          <w:jc w:val="center"/>
        </w:trPr>
        <w:tc>
          <w:tcPr>
            <w:tcW w:w="0" w:type="auto"/>
          </w:tcPr>
          <w:p w14:paraId="241A4EA9"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500</w:t>
            </w:r>
          </w:p>
        </w:tc>
        <w:tc>
          <w:tcPr>
            <w:tcW w:w="0" w:type="auto"/>
          </w:tcPr>
          <w:p w14:paraId="204878E5"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w:t>
            </w:r>
          </w:p>
        </w:tc>
        <w:tc>
          <w:tcPr>
            <w:tcW w:w="0" w:type="auto"/>
          </w:tcPr>
          <w:p w14:paraId="1752B852"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40</w:t>
            </w:r>
          </w:p>
        </w:tc>
        <w:tc>
          <w:tcPr>
            <w:tcW w:w="0" w:type="auto"/>
          </w:tcPr>
          <w:p w14:paraId="5B75CE12"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5</w:t>
            </w:r>
          </w:p>
        </w:tc>
        <w:tc>
          <w:tcPr>
            <w:tcW w:w="0" w:type="auto"/>
          </w:tcPr>
          <w:p w14:paraId="516F6FCA"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270</w:t>
            </w:r>
          </w:p>
        </w:tc>
        <w:tc>
          <w:tcPr>
            <w:tcW w:w="0" w:type="auto"/>
          </w:tcPr>
          <w:p w14:paraId="3B207DC3"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3.500</w:t>
            </w:r>
          </w:p>
        </w:tc>
      </w:tr>
      <w:tr w:rsidR="005864C2" w:rsidRPr="00EB292A" w14:paraId="4285EF23" w14:textId="77777777" w:rsidTr="00CE424A">
        <w:trPr>
          <w:jc w:val="center"/>
        </w:trPr>
        <w:tc>
          <w:tcPr>
            <w:tcW w:w="0" w:type="auto"/>
          </w:tcPr>
          <w:p w14:paraId="628503CA"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600</w:t>
            </w:r>
          </w:p>
        </w:tc>
        <w:tc>
          <w:tcPr>
            <w:tcW w:w="0" w:type="auto"/>
          </w:tcPr>
          <w:p w14:paraId="23EF3DF1"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w:t>
            </w:r>
          </w:p>
        </w:tc>
        <w:tc>
          <w:tcPr>
            <w:tcW w:w="0" w:type="auto"/>
          </w:tcPr>
          <w:p w14:paraId="2C280D0F"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58</w:t>
            </w:r>
          </w:p>
        </w:tc>
        <w:tc>
          <w:tcPr>
            <w:tcW w:w="0" w:type="auto"/>
          </w:tcPr>
          <w:p w14:paraId="1789CF5E"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6</w:t>
            </w:r>
          </w:p>
        </w:tc>
        <w:tc>
          <w:tcPr>
            <w:tcW w:w="0" w:type="auto"/>
          </w:tcPr>
          <w:p w14:paraId="1CE5179A"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300</w:t>
            </w:r>
          </w:p>
        </w:tc>
        <w:tc>
          <w:tcPr>
            <w:tcW w:w="0" w:type="auto"/>
          </w:tcPr>
          <w:p w14:paraId="1BC7293E"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3.800</w:t>
            </w:r>
          </w:p>
        </w:tc>
      </w:tr>
      <w:tr w:rsidR="005864C2" w:rsidRPr="00EB292A" w14:paraId="0E2AA3D8" w14:textId="77777777" w:rsidTr="00CE424A">
        <w:trPr>
          <w:jc w:val="center"/>
        </w:trPr>
        <w:tc>
          <w:tcPr>
            <w:tcW w:w="0" w:type="auto"/>
          </w:tcPr>
          <w:p w14:paraId="2733F3B9"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800</w:t>
            </w:r>
          </w:p>
        </w:tc>
        <w:tc>
          <w:tcPr>
            <w:tcW w:w="0" w:type="auto"/>
          </w:tcPr>
          <w:p w14:paraId="0F19CA2A"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w:t>
            </w:r>
          </w:p>
        </w:tc>
        <w:tc>
          <w:tcPr>
            <w:tcW w:w="0" w:type="auto"/>
          </w:tcPr>
          <w:p w14:paraId="6B6D6B72"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74</w:t>
            </w:r>
          </w:p>
        </w:tc>
        <w:tc>
          <w:tcPr>
            <w:tcW w:w="0" w:type="auto"/>
          </w:tcPr>
          <w:p w14:paraId="5FBFEB79"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7</w:t>
            </w:r>
          </w:p>
        </w:tc>
        <w:tc>
          <w:tcPr>
            <w:tcW w:w="0" w:type="auto"/>
          </w:tcPr>
          <w:p w14:paraId="60B972EC"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360</w:t>
            </w:r>
          </w:p>
        </w:tc>
        <w:tc>
          <w:tcPr>
            <w:tcW w:w="0" w:type="auto"/>
          </w:tcPr>
          <w:p w14:paraId="457AAC23"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4.300</w:t>
            </w:r>
          </w:p>
        </w:tc>
      </w:tr>
      <w:tr w:rsidR="005864C2" w:rsidRPr="00EB292A" w14:paraId="7CC3FB70" w14:textId="77777777" w:rsidTr="00CE424A">
        <w:trPr>
          <w:jc w:val="center"/>
        </w:trPr>
        <w:tc>
          <w:tcPr>
            <w:tcW w:w="0" w:type="auto"/>
          </w:tcPr>
          <w:p w14:paraId="14DC42E1"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1000</w:t>
            </w:r>
          </w:p>
        </w:tc>
        <w:tc>
          <w:tcPr>
            <w:tcW w:w="0" w:type="auto"/>
          </w:tcPr>
          <w:p w14:paraId="60FE680F"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w:t>
            </w:r>
          </w:p>
        </w:tc>
        <w:tc>
          <w:tcPr>
            <w:tcW w:w="0" w:type="auto"/>
          </w:tcPr>
          <w:p w14:paraId="1AEAFBBE"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90</w:t>
            </w:r>
          </w:p>
        </w:tc>
        <w:tc>
          <w:tcPr>
            <w:tcW w:w="0" w:type="auto"/>
          </w:tcPr>
          <w:p w14:paraId="43C857E7"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7</w:t>
            </w:r>
          </w:p>
        </w:tc>
        <w:tc>
          <w:tcPr>
            <w:tcW w:w="0" w:type="auto"/>
          </w:tcPr>
          <w:p w14:paraId="77E11560"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440</w:t>
            </w:r>
          </w:p>
        </w:tc>
        <w:tc>
          <w:tcPr>
            <w:tcW w:w="0" w:type="auto"/>
          </w:tcPr>
          <w:p w14:paraId="10FE09A0"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4.900</w:t>
            </w:r>
          </w:p>
        </w:tc>
      </w:tr>
      <w:tr w:rsidR="005864C2" w:rsidRPr="00EB292A" w14:paraId="1E1A4EF8" w14:textId="77777777" w:rsidTr="00CE424A">
        <w:trPr>
          <w:jc w:val="center"/>
        </w:trPr>
        <w:tc>
          <w:tcPr>
            <w:tcW w:w="0" w:type="auto"/>
          </w:tcPr>
          <w:p w14:paraId="0592005C"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1200</w:t>
            </w:r>
          </w:p>
        </w:tc>
        <w:tc>
          <w:tcPr>
            <w:tcW w:w="0" w:type="auto"/>
          </w:tcPr>
          <w:p w14:paraId="4D2488E3"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w:t>
            </w:r>
          </w:p>
        </w:tc>
        <w:tc>
          <w:tcPr>
            <w:tcW w:w="0" w:type="auto"/>
          </w:tcPr>
          <w:p w14:paraId="0DA4408A"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102</w:t>
            </w:r>
          </w:p>
        </w:tc>
        <w:tc>
          <w:tcPr>
            <w:tcW w:w="0" w:type="auto"/>
          </w:tcPr>
          <w:p w14:paraId="714C99F7"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8</w:t>
            </w:r>
          </w:p>
        </w:tc>
        <w:tc>
          <w:tcPr>
            <w:tcW w:w="0" w:type="auto"/>
          </w:tcPr>
          <w:p w14:paraId="22BB7C89"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540</w:t>
            </w:r>
          </w:p>
        </w:tc>
        <w:tc>
          <w:tcPr>
            <w:tcW w:w="0" w:type="auto"/>
          </w:tcPr>
          <w:p w14:paraId="0DA56B84"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5.600</w:t>
            </w:r>
          </w:p>
        </w:tc>
      </w:tr>
      <w:tr w:rsidR="005864C2" w:rsidRPr="00EB292A" w14:paraId="6CA33131" w14:textId="77777777" w:rsidTr="00CE424A">
        <w:trPr>
          <w:jc w:val="center"/>
        </w:trPr>
        <w:tc>
          <w:tcPr>
            <w:tcW w:w="0" w:type="auto"/>
          </w:tcPr>
          <w:p w14:paraId="7254336B"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1500</w:t>
            </w:r>
          </w:p>
        </w:tc>
        <w:tc>
          <w:tcPr>
            <w:tcW w:w="0" w:type="auto"/>
          </w:tcPr>
          <w:p w14:paraId="234579F9"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w:t>
            </w:r>
          </w:p>
        </w:tc>
        <w:tc>
          <w:tcPr>
            <w:tcW w:w="0" w:type="auto"/>
          </w:tcPr>
          <w:p w14:paraId="3B6500BA"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120</w:t>
            </w:r>
          </w:p>
        </w:tc>
        <w:tc>
          <w:tcPr>
            <w:tcW w:w="0" w:type="auto"/>
          </w:tcPr>
          <w:p w14:paraId="2CD9AD0C"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8</w:t>
            </w:r>
          </w:p>
        </w:tc>
        <w:tc>
          <w:tcPr>
            <w:tcW w:w="0" w:type="auto"/>
          </w:tcPr>
          <w:p w14:paraId="35D07828"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600</w:t>
            </w:r>
          </w:p>
        </w:tc>
        <w:tc>
          <w:tcPr>
            <w:tcW w:w="0" w:type="auto"/>
          </w:tcPr>
          <w:p w14:paraId="199E655C"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6.000</w:t>
            </w:r>
          </w:p>
        </w:tc>
      </w:tr>
      <w:tr w:rsidR="008E5353" w:rsidRPr="00EB292A" w14:paraId="5EFB29B3" w14:textId="77777777" w:rsidTr="00CE424A">
        <w:trPr>
          <w:jc w:val="center"/>
        </w:trPr>
        <w:tc>
          <w:tcPr>
            <w:tcW w:w="0" w:type="auto"/>
          </w:tcPr>
          <w:p w14:paraId="4BA31C89"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1800</w:t>
            </w:r>
          </w:p>
        </w:tc>
        <w:tc>
          <w:tcPr>
            <w:tcW w:w="0" w:type="auto"/>
          </w:tcPr>
          <w:p w14:paraId="4B8A97CC"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2%</w:t>
            </w:r>
          </w:p>
        </w:tc>
        <w:tc>
          <w:tcPr>
            <w:tcW w:w="0" w:type="auto"/>
          </w:tcPr>
          <w:p w14:paraId="1EEE59C2"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180</w:t>
            </w:r>
          </w:p>
        </w:tc>
        <w:tc>
          <w:tcPr>
            <w:tcW w:w="0" w:type="auto"/>
          </w:tcPr>
          <w:p w14:paraId="38F6297D"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10</w:t>
            </w:r>
          </w:p>
        </w:tc>
        <w:tc>
          <w:tcPr>
            <w:tcW w:w="0" w:type="auto"/>
          </w:tcPr>
          <w:p w14:paraId="56A27B39"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660</w:t>
            </w:r>
          </w:p>
        </w:tc>
        <w:tc>
          <w:tcPr>
            <w:tcW w:w="0" w:type="auto"/>
          </w:tcPr>
          <w:p w14:paraId="325E193E" w14:textId="77777777" w:rsidR="008E5353" w:rsidRPr="009048FD" w:rsidRDefault="008E5353" w:rsidP="008E5353">
            <w:pPr>
              <w:jc w:val="center"/>
              <w:rPr>
                <w:rFonts w:ascii="Arial" w:hAnsi="Arial" w:cs="Arial"/>
                <w:sz w:val="18"/>
                <w:szCs w:val="18"/>
              </w:rPr>
            </w:pPr>
            <w:r w:rsidRPr="009048FD">
              <w:rPr>
                <w:rFonts w:ascii="Arial" w:hAnsi="Arial" w:cs="Arial"/>
                <w:sz w:val="18"/>
                <w:szCs w:val="18"/>
              </w:rPr>
              <w:t>6.000</w:t>
            </w:r>
          </w:p>
        </w:tc>
      </w:tr>
    </w:tbl>
    <w:p w14:paraId="647BB17C" w14:textId="77777777" w:rsidR="008E5353" w:rsidRPr="00EB292A" w:rsidRDefault="008E5353" w:rsidP="008E5353"/>
    <w:p w14:paraId="7854CCBE" w14:textId="77777777" w:rsidR="0056597C" w:rsidRPr="00DC5083" w:rsidRDefault="0056597C" w:rsidP="0056597C">
      <w:pPr>
        <w:pStyle w:val="NORMAL12"/>
        <w:jc w:val="center"/>
        <w:rPr>
          <w:i/>
          <w:sz w:val="22"/>
          <w:szCs w:val="22"/>
          <w:lang w:val="es-ES"/>
        </w:rPr>
      </w:pPr>
      <w:proofErr w:type="gramStart"/>
      <w:r w:rsidRPr="00DC5083">
        <w:rPr>
          <w:i/>
          <w:sz w:val="22"/>
          <w:szCs w:val="22"/>
          <w:lang w:val="es-ES"/>
        </w:rPr>
        <w:t>Tabla.-</w:t>
      </w:r>
      <w:proofErr w:type="gramEnd"/>
      <w:r w:rsidRPr="00DC5083">
        <w:rPr>
          <w:i/>
          <w:sz w:val="22"/>
          <w:szCs w:val="22"/>
          <w:lang w:val="es-ES"/>
        </w:rPr>
        <w:t xml:space="preserve"> Límites y tolerancias para distintos diámetros</w:t>
      </w:r>
    </w:p>
    <w:p w14:paraId="683F8809" w14:textId="77777777" w:rsidR="008E5353" w:rsidRPr="00DC5083" w:rsidRDefault="002A67A1" w:rsidP="000859FD">
      <w:pPr>
        <w:pStyle w:val="NORMAL12"/>
        <w:rPr>
          <w:lang w:val="es-ES"/>
        </w:rPr>
      </w:pPr>
      <w:r>
        <w:rPr>
          <w:lang w:val="es-ES"/>
        </w:rPr>
        <w:br w:type="column"/>
      </w:r>
      <w:r w:rsidR="008E5353" w:rsidRPr="00DC5083">
        <w:rPr>
          <w:lang w:val="es-ES"/>
        </w:rPr>
        <w:lastRenderedPageBreak/>
        <w:t>Para determinar la calidad se ensayarán tres tubos de un metro (1,00 m) de longitud. Caso de</w:t>
      </w:r>
      <w:r w:rsidR="00CE424A" w:rsidRPr="00DC5083">
        <w:rPr>
          <w:lang w:val="es-ES"/>
        </w:rPr>
        <w:t xml:space="preserve"> que uno de los tubos no corres</w:t>
      </w:r>
      <w:r w:rsidR="008E5353" w:rsidRPr="00DC5083">
        <w:rPr>
          <w:lang w:val="es-ES"/>
        </w:rPr>
        <w:t>ponda a las características exigidas, se realizará una nueva prueba sobre doble número de tubos, rechazándose el lote si de nuevo fallara algún tubo.</w:t>
      </w:r>
    </w:p>
    <w:p w14:paraId="6852BA94" w14:textId="77777777" w:rsidR="008E5353" w:rsidRPr="00DC5083" w:rsidRDefault="008E5353" w:rsidP="000313DD">
      <w:pPr>
        <w:pStyle w:val="TITU2"/>
      </w:pPr>
      <w:bookmarkStart w:id="464" w:name="_Toc277523282"/>
      <w:bookmarkStart w:id="465" w:name="_Toc404246"/>
      <w:r w:rsidRPr="00DC5083">
        <w:t>41</w:t>
      </w:r>
      <w:r w:rsidR="004A212C">
        <w:t>5</w:t>
      </w:r>
      <w:r w:rsidRPr="00DC5083">
        <w:t>.</w:t>
      </w:r>
      <w:r w:rsidR="00A10C45">
        <w:t>6</w:t>
      </w:r>
      <w:r w:rsidRPr="00DC5083">
        <w:t xml:space="preserve">. </w:t>
      </w:r>
      <w:r w:rsidRPr="00DC5083">
        <w:tab/>
        <w:t>Aceptación final</w:t>
      </w:r>
      <w:bookmarkEnd w:id="464"/>
      <w:bookmarkEnd w:id="465"/>
    </w:p>
    <w:tbl>
      <w:tblPr>
        <w:tblW w:w="88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0"/>
        <w:gridCol w:w="4253"/>
        <w:gridCol w:w="2126"/>
      </w:tblGrid>
      <w:tr w:rsidR="00DC5083" w:rsidRPr="00595554" w14:paraId="798E8B88" w14:textId="77777777" w:rsidTr="00AB5CD0">
        <w:trPr>
          <w:tblHeader/>
          <w:jc w:val="center"/>
        </w:trPr>
        <w:tc>
          <w:tcPr>
            <w:tcW w:w="2480" w:type="dxa"/>
            <w:shd w:val="clear" w:color="auto" w:fill="D9D9D9" w:themeFill="background1" w:themeFillShade="D9"/>
            <w:vAlign w:val="center"/>
          </w:tcPr>
          <w:p w14:paraId="48CC9C87" w14:textId="77777777" w:rsidR="008E5353" w:rsidRPr="00595554" w:rsidRDefault="008E5353" w:rsidP="008E5353">
            <w:pPr>
              <w:pStyle w:val="LCATabla"/>
              <w:jc w:val="center"/>
              <w:rPr>
                <w:rFonts w:ascii="Arial" w:hAnsi="Arial" w:cs="Arial"/>
                <w:b/>
                <w:bCs/>
                <w:sz w:val="20"/>
              </w:rPr>
            </w:pPr>
            <w:r w:rsidRPr="00595554">
              <w:rPr>
                <w:rFonts w:ascii="Arial" w:hAnsi="Arial" w:cs="Arial"/>
                <w:b/>
                <w:bCs/>
                <w:sz w:val="20"/>
              </w:rPr>
              <w:t>Parámetros de aceptación final</w:t>
            </w:r>
          </w:p>
        </w:tc>
        <w:tc>
          <w:tcPr>
            <w:tcW w:w="4253" w:type="dxa"/>
            <w:shd w:val="clear" w:color="auto" w:fill="D9D9D9" w:themeFill="background1" w:themeFillShade="D9"/>
            <w:vAlign w:val="center"/>
          </w:tcPr>
          <w:p w14:paraId="6C9DBBEF" w14:textId="77777777" w:rsidR="008E5353" w:rsidRPr="00595554" w:rsidRDefault="008E5353" w:rsidP="008E5353">
            <w:pPr>
              <w:pStyle w:val="LCATabla"/>
              <w:jc w:val="center"/>
              <w:rPr>
                <w:rFonts w:ascii="Arial" w:hAnsi="Arial" w:cs="Arial"/>
                <w:b/>
                <w:bCs/>
                <w:sz w:val="20"/>
              </w:rPr>
            </w:pPr>
            <w:r w:rsidRPr="00595554">
              <w:rPr>
                <w:rFonts w:ascii="Arial" w:hAnsi="Arial" w:cs="Arial"/>
                <w:b/>
                <w:bCs/>
                <w:sz w:val="20"/>
              </w:rPr>
              <w:t>Criterio</w:t>
            </w:r>
          </w:p>
        </w:tc>
        <w:tc>
          <w:tcPr>
            <w:tcW w:w="2126" w:type="dxa"/>
            <w:shd w:val="clear" w:color="auto" w:fill="D9D9D9" w:themeFill="background1" w:themeFillShade="D9"/>
          </w:tcPr>
          <w:p w14:paraId="7A3FB84E" w14:textId="77777777" w:rsidR="008E5353" w:rsidRPr="00595554" w:rsidRDefault="008E5353" w:rsidP="008E5353">
            <w:pPr>
              <w:pStyle w:val="LCATabla"/>
              <w:jc w:val="center"/>
              <w:rPr>
                <w:rFonts w:ascii="Arial" w:hAnsi="Arial" w:cs="Arial"/>
                <w:b/>
                <w:bCs/>
                <w:sz w:val="20"/>
              </w:rPr>
            </w:pPr>
            <w:r w:rsidRPr="00595554">
              <w:rPr>
                <w:rFonts w:ascii="Arial" w:hAnsi="Arial" w:cs="Arial"/>
                <w:b/>
                <w:bCs/>
                <w:sz w:val="20"/>
              </w:rPr>
              <w:t>Norma / procedimiento</w:t>
            </w:r>
          </w:p>
        </w:tc>
      </w:tr>
      <w:tr w:rsidR="00DC5083" w:rsidRPr="00595554" w14:paraId="77988E15" w14:textId="77777777" w:rsidTr="00A10C45">
        <w:trPr>
          <w:trHeight w:val="540"/>
          <w:jc w:val="center"/>
        </w:trPr>
        <w:tc>
          <w:tcPr>
            <w:tcW w:w="2480" w:type="dxa"/>
          </w:tcPr>
          <w:p w14:paraId="6C8BE2B4" w14:textId="77777777" w:rsidR="008E5353" w:rsidRPr="00595554" w:rsidRDefault="008E5353" w:rsidP="008E5353">
            <w:pPr>
              <w:pStyle w:val="LCATabla"/>
              <w:rPr>
                <w:rFonts w:ascii="Arial" w:hAnsi="Arial" w:cs="Arial"/>
                <w:sz w:val="20"/>
              </w:rPr>
            </w:pPr>
            <w:r w:rsidRPr="00595554">
              <w:rPr>
                <w:rFonts w:ascii="Arial" w:hAnsi="Arial" w:cs="Arial"/>
                <w:sz w:val="20"/>
              </w:rPr>
              <w:t>Tolerancia diámetro interior del tubo</w:t>
            </w:r>
          </w:p>
        </w:tc>
        <w:tc>
          <w:tcPr>
            <w:tcW w:w="4253" w:type="dxa"/>
          </w:tcPr>
          <w:p w14:paraId="4D850ECC" w14:textId="77777777" w:rsidR="008E5353" w:rsidRPr="00595554" w:rsidRDefault="008E5353" w:rsidP="0014436D">
            <w:pPr>
              <w:pStyle w:val="LCATabla"/>
              <w:jc w:val="both"/>
              <w:rPr>
                <w:rFonts w:ascii="Arial" w:hAnsi="Arial" w:cs="Arial"/>
                <w:sz w:val="20"/>
              </w:rPr>
            </w:pPr>
            <w:r w:rsidRPr="00595554">
              <w:rPr>
                <w:rFonts w:ascii="Arial" w:hAnsi="Arial" w:cs="Arial"/>
                <w:sz w:val="20"/>
              </w:rPr>
              <w:t xml:space="preserve">Según tabla </w:t>
            </w:r>
            <w:r w:rsidR="0056597C" w:rsidRPr="00595554">
              <w:rPr>
                <w:rFonts w:ascii="Arial" w:hAnsi="Arial" w:cs="Arial"/>
                <w:sz w:val="20"/>
              </w:rPr>
              <w:t xml:space="preserve">de límites y tolerancias </w:t>
            </w:r>
            <w:r w:rsidR="0014436D" w:rsidRPr="00595554">
              <w:rPr>
                <w:rFonts w:ascii="Arial" w:hAnsi="Arial" w:cs="Arial"/>
                <w:sz w:val="20"/>
              </w:rPr>
              <w:t>para los distintos diámetros</w:t>
            </w:r>
            <w:r w:rsidR="0056597C" w:rsidRPr="00595554">
              <w:rPr>
                <w:rFonts w:ascii="Arial" w:hAnsi="Arial" w:cs="Arial"/>
                <w:sz w:val="20"/>
              </w:rPr>
              <w:t xml:space="preserve">. </w:t>
            </w:r>
            <w:r w:rsidRPr="00595554">
              <w:rPr>
                <w:rFonts w:ascii="Arial" w:hAnsi="Arial" w:cs="Arial"/>
                <w:sz w:val="20"/>
              </w:rPr>
              <w:t xml:space="preserve">Además, el promedio de los diámetros mínimos en las cinco secciones resultantes de dividir la longitud del tubo en cuatro partes </w:t>
            </w:r>
            <w:proofErr w:type="gramStart"/>
            <w:r w:rsidRPr="00595554">
              <w:rPr>
                <w:rFonts w:ascii="Arial" w:hAnsi="Arial" w:cs="Arial"/>
                <w:sz w:val="20"/>
              </w:rPr>
              <w:t>iguales,</w:t>
            </w:r>
            <w:proofErr w:type="gramEnd"/>
            <w:r w:rsidRPr="00595554">
              <w:rPr>
                <w:rFonts w:ascii="Arial" w:hAnsi="Arial" w:cs="Arial"/>
                <w:sz w:val="20"/>
              </w:rPr>
              <w:t xml:space="preserve"> no debe ser inferior a su diámetro nominal.</w:t>
            </w:r>
          </w:p>
        </w:tc>
        <w:tc>
          <w:tcPr>
            <w:tcW w:w="2126" w:type="dxa"/>
          </w:tcPr>
          <w:p w14:paraId="0495883F" w14:textId="77777777" w:rsidR="008E5353" w:rsidRPr="00595554" w:rsidRDefault="008E5353" w:rsidP="008E5353">
            <w:pPr>
              <w:pStyle w:val="LCATabla"/>
              <w:rPr>
                <w:rFonts w:ascii="Arial" w:hAnsi="Arial" w:cs="Arial"/>
                <w:sz w:val="20"/>
              </w:rPr>
            </w:pPr>
            <w:r w:rsidRPr="00595554">
              <w:rPr>
                <w:rFonts w:ascii="Arial" w:hAnsi="Arial" w:cs="Arial"/>
                <w:sz w:val="20"/>
              </w:rPr>
              <w:t>Medición con regla</w:t>
            </w:r>
          </w:p>
        </w:tc>
      </w:tr>
      <w:tr w:rsidR="005864C2" w:rsidRPr="00595554" w14:paraId="1D321501" w14:textId="77777777" w:rsidTr="00A10C45">
        <w:trPr>
          <w:trHeight w:val="540"/>
          <w:jc w:val="center"/>
        </w:trPr>
        <w:tc>
          <w:tcPr>
            <w:tcW w:w="2480" w:type="dxa"/>
          </w:tcPr>
          <w:p w14:paraId="328FBA7C" w14:textId="77777777" w:rsidR="008E5353" w:rsidRPr="00595554" w:rsidRDefault="008E5353" w:rsidP="008E5353">
            <w:pPr>
              <w:pStyle w:val="LCATabla"/>
              <w:keepNext/>
              <w:keepLines/>
              <w:rPr>
                <w:rFonts w:ascii="Arial" w:hAnsi="Arial" w:cs="Arial"/>
                <w:sz w:val="20"/>
              </w:rPr>
            </w:pPr>
            <w:r w:rsidRPr="00595554">
              <w:rPr>
                <w:rFonts w:ascii="Arial" w:hAnsi="Arial" w:cs="Arial"/>
                <w:sz w:val="20"/>
              </w:rPr>
              <w:t>Tolerancia en el espesor del tubo</w:t>
            </w:r>
          </w:p>
        </w:tc>
        <w:tc>
          <w:tcPr>
            <w:tcW w:w="4253" w:type="dxa"/>
          </w:tcPr>
          <w:p w14:paraId="4EF1EE74" w14:textId="77777777" w:rsidR="008E5353" w:rsidRPr="00595554" w:rsidRDefault="008E5353" w:rsidP="008E5353">
            <w:pPr>
              <w:pStyle w:val="LCATabla"/>
              <w:keepNext/>
              <w:keepLines/>
              <w:rPr>
                <w:rFonts w:ascii="Arial" w:hAnsi="Arial" w:cs="Arial"/>
                <w:sz w:val="20"/>
              </w:rPr>
            </w:pPr>
            <w:r w:rsidRPr="00595554">
              <w:rPr>
                <w:rFonts w:ascii="Arial" w:hAnsi="Arial" w:cs="Arial"/>
                <w:sz w:val="20"/>
              </w:rPr>
              <w:t>±51% de su espesor nominal</w:t>
            </w:r>
          </w:p>
        </w:tc>
        <w:tc>
          <w:tcPr>
            <w:tcW w:w="2126" w:type="dxa"/>
          </w:tcPr>
          <w:p w14:paraId="3255B5F4" w14:textId="77777777" w:rsidR="008E5353" w:rsidRPr="00595554" w:rsidRDefault="008E5353" w:rsidP="008E5353">
            <w:pPr>
              <w:pStyle w:val="LCATabla"/>
              <w:keepNext/>
              <w:keepLines/>
              <w:rPr>
                <w:rFonts w:ascii="Arial" w:hAnsi="Arial" w:cs="Arial"/>
                <w:sz w:val="20"/>
              </w:rPr>
            </w:pPr>
            <w:r w:rsidRPr="00595554">
              <w:rPr>
                <w:rFonts w:ascii="Arial" w:hAnsi="Arial" w:cs="Arial"/>
                <w:sz w:val="20"/>
              </w:rPr>
              <w:t>Medición con calibre</w:t>
            </w:r>
          </w:p>
        </w:tc>
      </w:tr>
      <w:tr w:rsidR="005864C2" w:rsidRPr="00595554" w14:paraId="162BE86C" w14:textId="77777777" w:rsidTr="00A10C45">
        <w:trPr>
          <w:trHeight w:val="420"/>
          <w:jc w:val="center"/>
        </w:trPr>
        <w:tc>
          <w:tcPr>
            <w:tcW w:w="2480" w:type="dxa"/>
          </w:tcPr>
          <w:p w14:paraId="255C8628" w14:textId="77777777" w:rsidR="008E5353" w:rsidRPr="00595554" w:rsidRDefault="008E5353" w:rsidP="008E5353">
            <w:pPr>
              <w:pStyle w:val="LCATabla"/>
              <w:rPr>
                <w:rFonts w:ascii="Arial" w:hAnsi="Arial" w:cs="Arial"/>
                <w:sz w:val="20"/>
              </w:rPr>
            </w:pPr>
            <w:proofErr w:type="spellStart"/>
            <w:r w:rsidRPr="00595554">
              <w:rPr>
                <w:rFonts w:ascii="Arial" w:hAnsi="Arial" w:cs="Arial"/>
                <w:sz w:val="20"/>
              </w:rPr>
              <w:t>Ovalización</w:t>
            </w:r>
            <w:proofErr w:type="spellEnd"/>
            <w:r w:rsidRPr="00595554">
              <w:rPr>
                <w:rFonts w:ascii="Arial" w:hAnsi="Arial" w:cs="Arial"/>
                <w:sz w:val="20"/>
              </w:rPr>
              <w:t xml:space="preserve"> en la zona de junta</w:t>
            </w:r>
          </w:p>
        </w:tc>
        <w:tc>
          <w:tcPr>
            <w:tcW w:w="4253" w:type="dxa"/>
          </w:tcPr>
          <w:p w14:paraId="6993683F" w14:textId="77777777" w:rsidR="008E5353" w:rsidRPr="00595554" w:rsidRDefault="008E5353" w:rsidP="008E5353">
            <w:pPr>
              <w:pStyle w:val="LCATabla"/>
              <w:rPr>
                <w:rFonts w:ascii="Arial" w:hAnsi="Arial" w:cs="Arial"/>
                <w:sz w:val="20"/>
              </w:rPr>
            </w:pPr>
            <w:r w:rsidRPr="00595554">
              <w:rPr>
                <w:rFonts w:ascii="Arial" w:hAnsi="Arial" w:cs="Arial"/>
                <w:sz w:val="20"/>
              </w:rPr>
              <w:t>Tal que la dife</w:t>
            </w:r>
            <w:r w:rsidRPr="00595554">
              <w:rPr>
                <w:rFonts w:ascii="Arial" w:hAnsi="Arial" w:cs="Arial"/>
                <w:sz w:val="20"/>
              </w:rPr>
              <w:softHyphen/>
              <w:t>rencia entre sus diámetros interiores máximo y mínimo no exceda del 0,5% del diámetro nominal del tubo.</w:t>
            </w:r>
          </w:p>
        </w:tc>
        <w:tc>
          <w:tcPr>
            <w:tcW w:w="2126" w:type="dxa"/>
          </w:tcPr>
          <w:p w14:paraId="5713302C" w14:textId="77777777" w:rsidR="008E5353" w:rsidRPr="00595554" w:rsidRDefault="008E5353" w:rsidP="008E5353">
            <w:pPr>
              <w:pStyle w:val="LCATabla"/>
              <w:rPr>
                <w:rFonts w:ascii="Arial" w:hAnsi="Arial" w:cs="Arial"/>
                <w:sz w:val="20"/>
              </w:rPr>
            </w:pPr>
            <w:r w:rsidRPr="00595554">
              <w:rPr>
                <w:rFonts w:ascii="Arial" w:hAnsi="Arial" w:cs="Arial"/>
                <w:sz w:val="20"/>
              </w:rPr>
              <w:t>Medición con regla</w:t>
            </w:r>
          </w:p>
        </w:tc>
      </w:tr>
      <w:tr w:rsidR="005864C2" w:rsidRPr="00595554" w14:paraId="152D996F" w14:textId="77777777" w:rsidTr="00A10C45">
        <w:trPr>
          <w:trHeight w:val="420"/>
          <w:jc w:val="center"/>
        </w:trPr>
        <w:tc>
          <w:tcPr>
            <w:tcW w:w="2480" w:type="dxa"/>
          </w:tcPr>
          <w:p w14:paraId="2D8021F2" w14:textId="77777777" w:rsidR="008E5353" w:rsidRPr="00595554" w:rsidRDefault="008E5353" w:rsidP="008E5353">
            <w:pPr>
              <w:pStyle w:val="LCATabla"/>
              <w:rPr>
                <w:rFonts w:ascii="Arial" w:hAnsi="Arial" w:cs="Arial"/>
                <w:sz w:val="20"/>
              </w:rPr>
            </w:pPr>
            <w:r w:rsidRPr="00595554">
              <w:rPr>
                <w:rFonts w:ascii="Arial" w:hAnsi="Arial" w:cs="Arial"/>
                <w:sz w:val="20"/>
              </w:rPr>
              <w:t>Tolerancia diámetro camisa de chapa o armaduras</w:t>
            </w:r>
          </w:p>
        </w:tc>
        <w:tc>
          <w:tcPr>
            <w:tcW w:w="4253" w:type="dxa"/>
          </w:tcPr>
          <w:p w14:paraId="27A308EC" w14:textId="77777777" w:rsidR="008E5353" w:rsidRPr="00595554" w:rsidRDefault="008E5353" w:rsidP="008E5353">
            <w:pPr>
              <w:pStyle w:val="LCATabla"/>
              <w:rPr>
                <w:rFonts w:ascii="Arial" w:hAnsi="Arial" w:cs="Arial"/>
                <w:sz w:val="20"/>
              </w:rPr>
            </w:pPr>
            <w:r w:rsidRPr="00595554">
              <w:rPr>
                <w:rFonts w:ascii="Arial" w:hAnsi="Arial" w:cs="Arial"/>
                <w:sz w:val="20"/>
              </w:rPr>
              <w:t>Diferencia entre sus diámetros interiores máximo y mínimo no sea superior al 1% de los diámetros nominales correspondientes.</w:t>
            </w:r>
          </w:p>
        </w:tc>
        <w:tc>
          <w:tcPr>
            <w:tcW w:w="2126" w:type="dxa"/>
          </w:tcPr>
          <w:p w14:paraId="349A0E91" w14:textId="77777777" w:rsidR="008E5353" w:rsidRPr="00595554" w:rsidRDefault="008E5353" w:rsidP="008E5353">
            <w:pPr>
              <w:pStyle w:val="LCATabla"/>
              <w:rPr>
                <w:rFonts w:ascii="Arial" w:hAnsi="Arial" w:cs="Arial"/>
                <w:sz w:val="20"/>
              </w:rPr>
            </w:pPr>
            <w:r w:rsidRPr="00595554">
              <w:rPr>
                <w:rFonts w:ascii="Arial" w:hAnsi="Arial" w:cs="Arial"/>
                <w:sz w:val="20"/>
              </w:rPr>
              <w:t>Medición con calibre</w:t>
            </w:r>
          </w:p>
        </w:tc>
      </w:tr>
      <w:tr w:rsidR="005864C2" w:rsidRPr="00595554" w14:paraId="5577D055" w14:textId="77777777" w:rsidTr="00A10C45">
        <w:trPr>
          <w:trHeight w:val="420"/>
          <w:jc w:val="center"/>
        </w:trPr>
        <w:tc>
          <w:tcPr>
            <w:tcW w:w="2480" w:type="dxa"/>
          </w:tcPr>
          <w:p w14:paraId="1163F91D" w14:textId="77777777" w:rsidR="008E5353" w:rsidRPr="00595554" w:rsidRDefault="008E5353" w:rsidP="008E5353">
            <w:pPr>
              <w:pStyle w:val="LCATabla"/>
              <w:rPr>
                <w:rFonts w:ascii="Arial" w:hAnsi="Arial" w:cs="Arial"/>
                <w:sz w:val="20"/>
              </w:rPr>
            </w:pPr>
            <w:r w:rsidRPr="00595554">
              <w:rPr>
                <w:rFonts w:ascii="Arial" w:hAnsi="Arial" w:cs="Arial"/>
                <w:sz w:val="20"/>
              </w:rPr>
              <w:t>Tolerancia longitud del tubo</w:t>
            </w:r>
          </w:p>
        </w:tc>
        <w:tc>
          <w:tcPr>
            <w:tcW w:w="4253" w:type="dxa"/>
          </w:tcPr>
          <w:p w14:paraId="43589372" w14:textId="77777777" w:rsidR="008E5353" w:rsidRPr="00595554" w:rsidRDefault="008E5353" w:rsidP="008E5353">
            <w:pPr>
              <w:pStyle w:val="LCATabla"/>
              <w:rPr>
                <w:rFonts w:ascii="Arial" w:hAnsi="Arial" w:cs="Arial"/>
                <w:sz w:val="20"/>
              </w:rPr>
            </w:pPr>
            <w:r w:rsidRPr="00595554">
              <w:rPr>
                <w:rFonts w:ascii="Arial" w:hAnsi="Arial" w:cs="Arial"/>
                <w:sz w:val="20"/>
              </w:rPr>
              <w:t>Según tabla anterior.</w:t>
            </w:r>
          </w:p>
        </w:tc>
        <w:tc>
          <w:tcPr>
            <w:tcW w:w="2126" w:type="dxa"/>
          </w:tcPr>
          <w:p w14:paraId="381D41F3" w14:textId="77777777" w:rsidR="008E5353" w:rsidRPr="00595554" w:rsidRDefault="008E5353" w:rsidP="008E5353">
            <w:pPr>
              <w:pStyle w:val="LCATabla"/>
              <w:rPr>
                <w:rFonts w:ascii="Arial" w:hAnsi="Arial" w:cs="Arial"/>
                <w:sz w:val="20"/>
              </w:rPr>
            </w:pPr>
            <w:r w:rsidRPr="00595554">
              <w:rPr>
                <w:rFonts w:ascii="Arial" w:hAnsi="Arial" w:cs="Arial"/>
                <w:sz w:val="20"/>
              </w:rPr>
              <w:t>Medición con regla</w:t>
            </w:r>
          </w:p>
        </w:tc>
      </w:tr>
      <w:tr w:rsidR="005864C2" w:rsidRPr="00595554" w14:paraId="58CC977B" w14:textId="77777777" w:rsidTr="00A10C45">
        <w:trPr>
          <w:trHeight w:val="420"/>
          <w:jc w:val="center"/>
        </w:trPr>
        <w:tc>
          <w:tcPr>
            <w:tcW w:w="2480" w:type="dxa"/>
          </w:tcPr>
          <w:p w14:paraId="70802A89" w14:textId="77777777" w:rsidR="008E5353" w:rsidRPr="00595554" w:rsidRDefault="008E5353" w:rsidP="00CE424A">
            <w:pPr>
              <w:pStyle w:val="LCATabla"/>
              <w:keepNext/>
              <w:rPr>
                <w:rFonts w:ascii="Arial" w:hAnsi="Arial" w:cs="Arial"/>
                <w:sz w:val="20"/>
              </w:rPr>
            </w:pPr>
            <w:r w:rsidRPr="00595554">
              <w:rPr>
                <w:rFonts w:ascii="Arial" w:hAnsi="Arial" w:cs="Arial"/>
                <w:sz w:val="20"/>
              </w:rPr>
              <w:t>Estanqueidad del tubo</w:t>
            </w:r>
          </w:p>
        </w:tc>
        <w:tc>
          <w:tcPr>
            <w:tcW w:w="4253" w:type="dxa"/>
          </w:tcPr>
          <w:p w14:paraId="7FECCBEB" w14:textId="77777777" w:rsidR="008E5353" w:rsidRPr="00595554" w:rsidRDefault="008E5353" w:rsidP="00CE424A">
            <w:pPr>
              <w:pStyle w:val="LCATabla"/>
              <w:keepNext/>
              <w:rPr>
                <w:rFonts w:ascii="Arial" w:hAnsi="Arial" w:cs="Arial"/>
                <w:sz w:val="20"/>
              </w:rPr>
            </w:pPr>
            <w:r w:rsidRPr="00595554">
              <w:rPr>
                <w:rFonts w:ascii="Arial" w:hAnsi="Arial" w:cs="Arial"/>
                <w:sz w:val="20"/>
              </w:rPr>
              <w:t xml:space="preserve">Límites de absorción según tabla anterior </w:t>
            </w:r>
          </w:p>
        </w:tc>
        <w:tc>
          <w:tcPr>
            <w:tcW w:w="2126" w:type="dxa"/>
          </w:tcPr>
          <w:p w14:paraId="3A57E3D8" w14:textId="77777777" w:rsidR="008E5353" w:rsidRPr="00595554" w:rsidRDefault="008E5353" w:rsidP="00CE424A">
            <w:pPr>
              <w:pStyle w:val="LCATabla"/>
              <w:keepNext/>
              <w:rPr>
                <w:rFonts w:ascii="Arial" w:hAnsi="Arial" w:cs="Arial"/>
                <w:sz w:val="20"/>
              </w:rPr>
            </w:pPr>
            <w:r w:rsidRPr="00595554">
              <w:rPr>
                <w:rFonts w:ascii="Arial" w:hAnsi="Arial" w:cs="Arial"/>
                <w:sz w:val="20"/>
              </w:rPr>
              <w:t>Normas UNE de aplicación</w:t>
            </w:r>
          </w:p>
        </w:tc>
      </w:tr>
    </w:tbl>
    <w:p w14:paraId="3BDC247F" w14:textId="77777777" w:rsidR="00A10C45" w:rsidRDefault="00A10C45" w:rsidP="00A10C45">
      <w:pPr>
        <w:pStyle w:val="NORMAL12"/>
        <w:rPr>
          <w:i/>
          <w:u w:val="single"/>
          <w:lang w:val="es-ES"/>
        </w:rPr>
      </w:pPr>
      <w:bookmarkStart w:id="466" w:name="_Toc277523283"/>
    </w:p>
    <w:p w14:paraId="0770FBAD" w14:textId="77777777" w:rsidR="008E5353" w:rsidRPr="00A10C45" w:rsidRDefault="008E5353" w:rsidP="00A10C45">
      <w:pPr>
        <w:pStyle w:val="NORMAL12"/>
        <w:rPr>
          <w:i/>
          <w:u w:val="single"/>
          <w:lang w:val="es-ES"/>
        </w:rPr>
      </w:pPr>
      <w:r w:rsidRPr="00A10C45">
        <w:rPr>
          <w:i/>
          <w:u w:val="single"/>
          <w:lang w:val="es-ES"/>
        </w:rPr>
        <w:t>Tratamiento de No Conformidades</w:t>
      </w:r>
      <w:bookmarkEnd w:id="466"/>
    </w:p>
    <w:p w14:paraId="1473BFAB" w14:textId="77777777" w:rsidR="008E5353" w:rsidRPr="00EB292A" w:rsidRDefault="008E5353" w:rsidP="00C50108">
      <w:pPr>
        <w:pStyle w:val="NORMAL12"/>
        <w:rPr>
          <w:lang w:val="es-ES"/>
        </w:rPr>
      </w:pPr>
      <w:r w:rsidRPr="00EB292A">
        <w:rPr>
          <w:lang w:val="es-ES"/>
        </w:rPr>
        <w:t>El incumplimiento de los parámetros de aceptación indicados en el apartado anterior motivará el rechazo del tubo o partida de tubos afectada, debiéndose suministrar tubos nuevos, todo ello a costa del Contratista.</w:t>
      </w:r>
    </w:p>
    <w:p w14:paraId="378CAFDB" w14:textId="77777777" w:rsidR="008E5353" w:rsidRPr="005864C2" w:rsidRDefault="002A67A1" w:rsidP="000313DD">
      <w:pPr>
        <w:pStyle w:val="TITU2"/>
      </w:pPr>
      <w:bookmarkStart w:id="467" w:name="_Toc277523284"/>
      <w:r>
        <w:br w:type="column"/>
      </w:r>
      <w:bookmarkStart w:id="468" w:name="_Toc404247"/>
      <w:r w:rsidR="008E5353" w:rsidRPr="005864C2">
        <w:t>41</w:t>
      </w:r>
      <w:r w:rsidR="004A212C">
        <w:t>5</w:t>
      </w:r>
      <w:r w:rsidR="008E5353" w:rsidRPr="005864C2">
        <w:t>.7.</w:t>
      </w:r>
      <w:r w:rsidR="008E5353" w:rsidRPr="005864C2">
        <w:tab/>
      </w:r>
      <w:r w:rsidR="00B36A6D" w:rsidRPr="005864C2">
        <w:t xml:space="preserve"> </w:t>
      </w:r>
      <w:r w:rsidR="008E5353" w:rsidRPr="005864C2">
        <w:t>Medición y abono</w:t>
      </w:r>
      <w:bookmarkEnd w:id="467"/>
      <w:bookmarkEnd w:id="468"/>
    </w:p>
    <w:p w14:paraId="2B4328E5" w14:textId="77777777" w:rsidR="00EC256C" w:rsidRPr="00EB292A" w:rsidRDefault="00EC256C" w:rsidP="00EB292A">
      <w:pPr>
        <w:pStyle w:val="NORMAL12"/>
        <w:rPr>
          <w:lang w:val="es-ES"/>
        </w:rPr>
      </w:pPr>
      <w:r w:rsidRPr="00EB292A">
        <w:rPr>
          <w:lang w:val="es-ES"/>
        </w:rPr>
        <w:t>La medición y abono</w:t>
      </w:r>
      <w:r w:rsidR="00EB292A" w:rsidRPr="00EB292A">
        <w:rPr>
          <w:lang w:val="es-ES"/>
        </w:rPr>
        <w:t xml:space="preserve"> de las unidades de tubo de hormigón </w:t>
      </w:r>
      <w:r w:rsidRPr="00EB292A">
        <w:rPr>
          <w:lang w:val="es-ES"/>
        </w:rPr>
        <w:t>se realizará conforme a las especificaciones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1"/>
        <w:gridCol w:w="7607"/>
      </w:tblGrid>
      <w:tr w:rsidR="00EB292A" w:rsidRPr="007A73D5" w14:paraId="3AC13966" w14:textId="77777777" w:rsidTr="00760218">
        <w:tc>
          <w:tcPr>
            <w:tcW w:w="0" w:type="auto"/>
            <w:vAlign w:val="center"/>
          </w:tcPr>
          <w:p w14:paraId="4A84A5D8" w14:textId="77777777" w:rsidR="00EC256C" w:rsidRPr="00AB5CD0" w:rsidRDefault="00EC256C" w:rsidP="00760218">
            <w:pPr>
              <w:pStyle w:val="LCATabla"/>
              <w:jc w:val="center"/>
              <w:rPr>
                <w:rFonts w:ascii="Arial" w:hAnsi="Arial" w:cs="Arial"/>
                <w:b/>
                <w:bCs/>
                <w:sz w:val="20"/>
              </w:rPr>
            </w:pPr>
            <w:r w:rsidRPr="00AB5CD0">
              <w:rPr>
                <w:rFonts w:ascii="Arial" w:hAnsi="Arial" w:cs="Arial"/>
                <w:b/>
                <w:bCs/>
                <w:sz w:val="20"/>
              </w:rPr>
              <w:t>Unidad de Medida</w:t>
            </w:r>
          </w:p>
        </w:tc>
        <w:tc>
          <w:tcPr>
            <w:tcW w:w="0" w:type="auto"/>
            <w:vAlign w:val="center"/>
          </w:tcPr>
          <w:p w14:paraId="5DDB2257" w14:textId="77777777" w:rsidR="00EC256C" w:rsidRPr="00AB5CD0" w:rsidRDefault="00EC256C" w:rsidP="00F30E6E">
            <w:pPr>
              <w:pStyle w:val="LCATabla"/>
              <w:jc w:val="both"/>
              <w:rPr>
                <w:rFonts w:ascii="Arial" w:hAnsi="Arial" w:cs="Arial"/>
                <w:sz w:val="20"/>
              </w:rPr>
            </w:pPr>
            <w:r w:rsidRPr="00AB5CD0">
              <w:rPr>
                <w:rFonts w:ascii="Arial" w:hAnsi="Arial" w:cs="Arial"/>
                <w:sz w:val="20"/>
              </w:rPr>
              <w:t>Metro (m)</w:t>
            </w:r>
          </w:p>
        </w:tc>
      </w:tr>
      <w:tr w:rsidR="00EB292A" w:rsidRPr="007A73D5" w14:paraId="3ED193E1" w14:textId="77777777" w:rsidTr="00760218">
        <w:tc>
          <w:tcPr>
            <w:tcW w:w="0" w:type="auto"/>
            <w:vAlign w:val="center"/>
          </w:tcPr>
          <w:p w14:paraId="21C3D712" w14:textId="77777777" w:rsidR="00EC256C" w:rsidRPr="00AB5CD0" w:rsidRDefault="00EC256C" w:rsidP="00760218">
            <w:pPr>
              <w:pStyle w:val="LCATabla"/>
              <w:jc w:val="center"/>
              <w:rPr>
                <w:rFonts w:ascii="Arial" w:hAnsi="Arial" w:cs="Arial"/>
                <w:b/>
                <w:bCs/>
                <w:sz w:val="20"/>
              </w:rPr>
            </w:pPr>
            <w:r w:rsidRPr="00AB5CD0">
              <w:rPr>
                <w:rFonts w:ascii="Arial" w:hAnsi="Arial" w:cs="Arial"/>
                <w:b/>
                <w:bCs/>
                <w:sz w:val="20"/>
              </w:rPr>
              <w:t>Grado de precisión</w:t>
            </w:r>
          </w:p>
        </w:tc>
        <w:tc>
          <w:tcPr>
            <w:tcW w:w="0" w:type="auto"/>
            <w:vAlign w:val="center"/>
          </w:tcPr>
          <w:p w14:paraId="711E9F48" w14:textId="77777777" w:rsidR="00EC256C" w:rsidRPr="00AB5CD0" w:rsidRDefault="00EC256C" w:rsidP="00F30E6E">
            <w:pPr>
              <w:pStyle w:val="LCATabla"/>
              <w:jc w:val="both"/>
              <w:rPr>
                <w:rFonts w:ascii="Arial" w:hAnsi="Arial" w:cs="Arial"/>
                <w:sz w:val="20"/>
              </w:rPr>
            </w:pPr>
            <w:r w:rsidRPr="00AB5CD0">
              <w:rPr>
                <w:rFonts w:ascii="Arial" w:hAnsi="Arial" w:cs="Arial"/>
                <w:sz w:val="20"/>
              </w:rPr>
              <w:t>Dos (2) decimales</w:t>
            </w:r>
          </w:p>
        </w:tc>
      </w:tr>
      <w:tr w:rsidR="00EB292A" w:rsidRPr="007A73D5" w14:paraId="1504F3D2" w14:textId="77777777" w:rsidTr="00760218">
        <w:tc>
          <w:tcPr>
            <w:tcW w:w="0" w:type="auto"/>
            <w:vAlign w:val="center"/>
          </w:tcPr>
          <w:p w14:paraId="0922E8FF" w14:textId="77777777" w:rsidR="00EC256C" w:rsidRPr="00AB5CD0" w:rsidRDefault="00EC256C" w:rsidP="00760218">
            <w:pPr>
              <w:pStyle w:val="LCATabla"/>
              <w:jc w:val="center"/>
              <w:rPr>
                <w:rFonts w:ascii="Arial" w:hAnsi="Arial" w:cs="Arial"/>
                <w:b/>
                <w:bCs/>
                <w:sz w:val="20"/>
              </w:rPr>
            </w:pPr>
            <w:r w:rsidRPr="00AB5CD0">
              <w:rPr>
                <w:rFonts w:ascii="Arial" w:hAnsi="Arial" w:cs="Arial"/>
                <w:b/>
                <w:bCs/>
                <w:sz w:val="20"/>
              </w:rPr>
              <w:t>Forma de medición</w:t>
            </w:r>
          </w:p>
        </w:tc>
        <w:tc>
          <w:tcPr>
            <w:tcW w:w="0" w:type="auto"/>
            <w:vAlign w:val="center"/>
          </w:tcPr>
          <w:p w14:paraId="1B513257" w14:textId="77777777" w:rsidR="00EC256C" w:rsidRPr="00AB5CD0" w:rsidRDefault="00EC256C" w:rsidP="00F30E6E">
            <w:pPr>
              <w:pStyle w:val="LCATabla"/>
              <w:jc w:val="both"/>
              <w:rPr>
                <w:rFonts w:ascii="Arial" w:hAnsi="Arial" w:cs="Arial"/>
                <w:sz w:val="20"/>
              </w:rPr>
            </w:pPr>
            <w:r w:rsidRPr="00AB5CD0">
              <w:rPr>
                <w:rFonts w:ascii="Arial" w:hAnsi="Arial" w:cs="Arial"/>
                <w:sz w:val="20"/>
              </w:rPr>
              <w:t xml:space="preserve">Se medirá por metros (m) de longitud de su generatriz inferior, descontando las interrupciones debidas a arquetas, registros, </w:t>
            </w:r>
            <w:proofErr w:type="spellStart"/>
            <w:r w:rsidRPr="00AB5CD0">
              <w:rPr>
                <w:rFonts w:ascii="Arial" w:hAnsi="Arial" w:cs="Arial"/>
                <w:sz w:val="20"/>
              </w:rPr>
              <w:t>etc</w:t>
            </w:r>
            <w:proofErr w:type="spellEnd"/>
          </w:p>
        </w:tc>
      </w:tr>
      <w:tr w:rsidR="00EB292A" w:rsidRPr="007A73D5" w14:paraId="36CA698E" w14:textId="77777777" w:rsidTr="00760218">
        <w:tc>
          <w:tcPr>
            <w:tcW w:w="0" w:type="auto"/>
            <w:vAlign w:val="center"/>
          </w:tcPr>
          <w:p w14:paraId="7A0A8C50" w14:textId="77777777" w:rsidR="00EC256C" w:rsidRPr="00AB5CD0" w:rsidRDefault="00EC256C" w:rsidP="00760218">
            <w:pPr>
              <w:pStyle w:val="LCATabla"/>
              <w:jc w:val="center"/>
              <w:rPr>
                <w:rFonts w:ascii="Arial" w:hAnsi="Arial" w:cs="Arial"/>
                <w:b/>
                <w:bCs/>
                <w:sz w:val="20"/>
              </w:rPr>
            </w:pPr>
            <w:r w:rsidRPr="00AB5CD0">
              <w:rPr>
                <w:rFonts w:ascii="Arial" w:hAnsi="Arial" w:cs="Arial"/>
                <w:b/>
                <w:bCs/>
                <w:sz w:val="20"/>
              </w:rPr>
              <w:t>Abono</w:t>
            </w:r>
          </w:p>
        </w:tc>
        <w:tc>
          <w:tcPr>
            <w:tcW w:w="0" w:type="auto"/>
            <w:vAlign w:val="center"/>
          </w:tcPr>
          <w:p w14:paraId="01B5CEC7" w14:textId="77777777" w:rsidR="00EC256C" w:rsidRPr="00AB5CD0" w:rsidRDefault="00EC256C" w:rsidP="00F30E6E">
            <w:pPr>
              <w:pStyle w:val="LCATabla"/>
              <w:jc w:val="both"/>
              <w:rPr>
                <w:rFonts w:ascii="Arial" w:hAnsi="Arial" w:cs="Arial"/>
                <w:sz w:val="20"/>
              </w:rPr>
            </w:pPr>
            <w:r w:rsidRPr="00AB5CD0">
              <w:rPr>
                <w:rFonts w:ascii="Arial" w:hAnsi="Arial" w:cs="Arial"/>
                <w:sz w:val="20"/>
              </w:rPr>
              <w:t>Se efectuará cuando se realice la aceptación, una vez realizadas las pruebas y ensayos de recepción.</w:t>
            </w:r>
          </w:p>
        </w:tc>
      </w:tr>
      <w:tr w:rsidR="00EB292A" w:rsidRPr="007A73D5" w14:paraId="1501DB6C" w14:textId="77777777" w:rsidTr="00760218">
        <w:tc>
          <w:tcPr>
            <w:tcW w:w="0" w:type="auto"/>
            <w:vAlign w:val="center"/>
          </w:tcPr>
          <w:p w14:paraId="0E404E73" w14:textId="77777777" w:rsidR="00EC256C" w:rsidRPr="00AB5CD0" w:rsidRDefault="00EC256C" w:rsidP="00760218">
            <w:pPr>
              <w:pStyle w:val="LCATabla"/>
              <w:jc w:val="center"/>
              <w:rPr>
                <w:rFonts w:ascii="Arial" w:hAnsi="Arial" w:cs="Arial"/>
                <w:b/>
                <w:bCs/>
                <w:sz w:val="20"/>
              </w:rPr>
            </w:pPr>
            <w:r w:rsidRPr="00AB5CD0">
              <w:rPr>
                <w:rFonts w:ascii="Arial" w:hAnsi="Arial" w:cs="Arial"/>
                <w:b/>
                <w:bCs/>
                <w:sz w:val="20"/>
              </w:rPr>
              <w:t>Criterios complementarios</w:t>
            </w:r>
          </w:p>
        </w:tc>
        <w:tc>
          <w:tcPr>
            <w:tcW w:w="0" w:type="auto"/>
            <w:vAlign w:val="center"/>
          </w:tcPr>
          <w:p w14:paraId="540E3E6F" w14:textId="77777777" w:rsidR="00EC256C" w:rsidRDefault="009048FD" w:rsidP="00F30E6E">
            <w:pPr>
              <w:pStyle w:val="LCATabla"/>
              <w:jc w:val="both"/>
              <w:rPr>
                <w:rFonts w:ascii="Arial" w:hAnsi="Arial" w:cs="Arial"/>
                <w:sz w:val="20"/>
              </w:rPr>
            </w:pPr>
            <w:r>
              <w:rPr>
                <w:rFonts w:ascii="Arial" w:hAnsi="Arial" w:cs="Arial"/>
                <w:sz w:val="20"/>
              </w:rPr>
              <w:t xml:space="preserve">El precio de la unidad incluye la </w:t>
            </w:r>
            <w:r w:rsidR="00EC256C" w:rsidRPr="00AB5CD0">
              <w:rPr>
                <w:rFonts w:ascii="Arial" w:hAnsi="Arial" w:cs="Arial"/>
                <w:sz w:val="20"/>
              </w:rPr>
              <w:t xml:space="preserve">ejecución de la cama de hormigón de asiento del tubo y el relleno de hormigón de refuerzo en los </w:t>
            </w:r>
            <w:r w:rsidR="00CB244A" w:rsidRPr="00AB5CD0">
              <w:rPr>
                <w:rFonts w:ascii="Arial" w:hAnsi="Arial" w:cs="Arial"/>
                <w:sz w:val="20"/>
              </w:rPr>
              <w:t>cruces bajo calzada están inclui</w:t>
            </w:r>
            <w:r w:rsidR="00EC256C" w:rsidRPr="00AB5CD0">
              <w:rPr>
                <w:rFonts w:ascii="Arial" w:hAnsi="Arial" w:cs="Arial"/>
                <w:sz w:val="20"/>
              </w:rPr>
              <w:t>dos en el precio.</w:t>
            </w:r>
          </w:p>
          <w:p w14:paraId="417E0C0E" w14:textId="77777777" w:rsidR="009048FD" w:rsidRDefault="009048FD" w:rsidP="00F30E6E">
            <w:pPr>
              <w:pStyle w:val="LCATabla"/>
              <w:jc w:val="both"/>
              <w:rPr>
                <w:rFonts w:ascii="Arial" w:hAnsi="Arial" w:cs="Arial"/>
                <w:sz w:val="20"/>
              </w:rPr>
            </w:pPr>
            <w:r>
              <w:rPr>
                <w:rFonts w:ascii="Arial" w:hAnsi="Arial" w:cs="Arial"/>
                <w:sz w:val="20"/>
              </w:rPr>
              <w:t>Incluye todos los materiales y medios necesarios para el sellado y unión de tubos, y los materiales y medios necesarios para la correcta ejecución de la unidad.</w:t>
            </w:r>
          </w:p>
          <w:p w14:paraId="1BA145DC" w14:textId="77777777" w:rsidR="009048FD" w:rsidRPr="00AB5CD0" w:rsidRDefault="009048FD" w:rsidP="00F30E6E">
            <w:pPr>
              <w:pStyle w:val="LCATabla"/>
              <w:jc w:val="both"/>
              <w:rPr>
                <w:rFonts w:ascii="Arial" w:hAnsi="Arial" w:cs="Arial"/>
                <w:sz w:val="20"/>
              </w:rPr>
            </w:pPr>
            <w:r>
              <w:rPr>
                <w:rFonts w:ascii="Arial" w:hAnsi="Arial" w:cs="Arial"/>
                <w:sz w:val="20"/>
              </w:rPr>
              <w:t xml:space="preserve">No incluye la </w:t>
            </w:r>
            <w:r w:rsidRPr="00AB5CD0">
              <w:rPr>
                <w:rFonts w:ascii="Arial" w:hAnsi="Arial" w:cs="Arial"/>
                <w:sz w:val="20"/>
              </w:rPr>
              <w:t xml:space="preserve">excavación de la zanja para ubicación del tubo y el posterior relleno y compactación del material excavado (o de préstamos) </w:t>
            </w:r>
          </w:p>
        </w:tc>
      </w:tr>
    </w:tbl>
    <w:p w14:paraId="034B7131" w14:textId="77777777" w:rsidR="00EC256C" w:rsidRDefault="00EC256C" w:rsidP="00EC256C"/>
    <w:p w14:paraId="004205B3" w14:textId="77777777" w:rsidR="00224ACB" w:rsidRPr="0014436D" w:rsidRDefault="00224ACB" w:rsidP="000F7848">
      <w:pPr>
        <w:pStyle w:val="TITU1"/>
      </w:pPr>
      <w:bookmarkStart w:id="469" w:name="_Toc404248"/>
      <w:bookmarkStart w:id="470" w:name="_Toc129665245"/>
      <w:bookmarkStart w:id="471" w:name="_Toc140628426"/>
      <w:bookmarkStart w:id="472" w:name="_Toc277523285"/>
      <w:r w:rsidRPr="00F71371">
        <w:lastRenderedPageBreak/>
        <w:t>Artículo 417.-  Tuberías de PVC</w:t>
      </w:r>
      <w:bookmarkEnd w:id="469"/>
    </w:p>
    <w:p w14:paraId="7FE14D89" w14:textId="77777777" w:rsidR="00224ACB" w:rsidRPr="0014436D" w:rsidRDefault="00224ACB" w:rsidP="000313DD">
      <w:pPr>
        <w:pStyle w:val="TITU2"/>
      </w:pPr>
      <w:bookmarkStart w:id="473" w:name="_Toc472926342"/>
      <w:bookmarkStart w:id="474" w:name="_Toc494738810"/>
      <w:bookmarkStart w:id="475" w:name="_Toc404249"/>
      <w:r w:rsidRPr="0014436D">
        <w:t>417.1.</w:t>
      </w:r>
      <w:r w:rsidRPr="0014436D">
        <w:tab/>
      </w:r>
      <w:r w:rsidR="00AB5CD0">
        <w:t xml:space="preserve"> </w:t>
      </w:r>
      <w:r w:rsidRPr="0014436D">
        <w:t>Definición</w:t>
      </w:r>
      <w:bookmarkEnd w:id="473"/>
      <w:bookmarkEnd w:id="474"/>
      <w:r w:rsidR="00CB244A" w:rsidRPr="0014436D">
        <w:t xml:space="preserve"> y aplicación</w:t>
      </w:r>
      <w:bookmarkEnd w:id="475"/>
    </w:p>
    <w:p w14:paraId="016889BD" w14:textId="77777777" w:rsidR="00224ACB" w:rsidRPr="00D340D9" w:rsidRDefault="00224ACB" w:rsidP="00224ACB">
      <w:pPr>
        <w:pStyle w:val="NORMAL12"/>
      </w:pPr>
      <w:r w:rsidRPr="00D340D9">
        <w:rPr>
          <w:lang w:val="es-ES"/>
        </w:rPr>
        <w:t xml:space="preserve">Las prescripciones de este artículo </w:t>
      </w:r>
      <w:proofErr w:type="gramStart"/>
      <w:r w:rsidRPr="00D340D9">
        <w:rPr>
          <w:lang w:val="es-ES"/>
        </w:rPr>
        <w:t>son de aplicación</w:t>
      </w:r>
      <w:proofErr w:type="gramEnd"/>
      <w:r w:rsidRPr="00D340D9">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207"/>
        <w:gridCol w:w="696"/>
        <w:gridCol w:w="7875"/>
      </w:tblGrid>
      <w:tr w:rsidR="00B0401C" w:rsidRPr="00D340D9" w14:paraId="28A0D521" w14:textId="77777777" w:rsidTr="00B0401C">
        <w:trPr>
          <w:trHeight w:val="374"/>
        </w:trPr>
        <w:tc>
          <w:tcPr>
            <w:tcW w:w="617" w:type="pct"/>
            <w:noWrap/>
          </w:tcPr>
          <w:p w14:paraId="2278BC74" w14:textId="77777777" w:rsidR="00B0401C" w:rsidRPr="00050087" w:rsidRDefault="00B0401C">
            <w:pPr>
              <w:rPr>
                <w:rFonts w:ascii="Calibri" w:hAnsi="Calibri"/>
              </w:rPr>
            </w:pPr>
            <w:r w:rsidRPr="00050087">
              <w:rPr>
                <w:rFonts w:ascii="Calibri" w:hAnsi="Calibri"/>
              </w:rPr>
              <w:t>417.0050</w:t>
            </w:r>
            <w:r w:rsidR="00A85F7D" w:rsidRPr="00050087">
              <w:rPr>
                <w:rFonts w:ascii="Calibri" w:hAnsi="Calibri"/>
              </w:rPr>
              <w:t>N</w:t>
            </w:r>
            <w:r w:rsidRPr="00050087">
              <w:rPr>
                <w:rFonts w:ascii="Calibri" w:hAnsi="Calibri"/>
              </w:rPr>
              <w:t xml:space="preserve">          </w:t>
            </w:r>
          </w:p>
        </w:tc>
        <w:tc>
          <w:tcPr>
            <w:tcW w:w="356" w:type="pct"/>
            <w:noWrap/>
          </w:tcPr>
          <w:p w14:paraId="0CE268BD" w14:textId="77777777" w:rsidR="00B0401C" w:rsidRPr="00050087" w:rsidRDefault="00B0401C">
            <w:pPr>
              <w:rPr>
                <w:rFonts w:ascii="Calibri" w:hAnsi="Calibri"/>
              </w:rPr>
            </w:pPr>
            <w:r w:rsidRPr="00050087">
              <w:rPr>
                <w:rFonts w:ascii="Calibri" w:hAnsi="Calibri"/>
              </w:rPr>
              <w:t>m</w:t>
            </w:r>
          </w:p>
        </w:tc>
        <w:tc>
          <w:tcPr>
            <w:tcW w:w="4027" w:type="pct"/>
          </w:tcPr>
          <w:p w14:paraId="64D8DB49" w14:textId="77777777" w:rsidR="0014436D" w:rsidRPr="00050087" w:rsidRDefault="0014436D" w:rsidP="002A67A1">
            <w:pPr>
              <w:jc w:val="both"/>
              <w:rPr>
                <w:rFonts w:ascii="Calibri" w:hAnsi="Calibri"/>
              </w:rPr>
            </w:pPr>
            <w:r w:rsidRPr="00050087">
              <w:rPr>
                <w:rFonts w:ascii="Calibri" w:hAnsi="Calibri"/>
              </w:rPr>
              <w:t>TUBO DE PVC DE DIÁMETRO 3</w:t>
            </w:r>
            <w:r w:rsidR="00A85F7D" w:rsidRPr="00050087">
              <w:rPr>
                <w:rFonts w:ascii="Calibri" w:hAnsi="Calibri"/>
              </w:rPr>
              <w:t>15</w:t>
            </w:r>
            <w:r w:rsidRPr="00050087">
              <w:rPr>
                <w:rFonts w:ascii="Calibri" w:hAnsi="Calibri"/>
              </w:rPr>
              <w:t xml:space="preserve"> mm SOBRE CAMA DE ARENA DE 10 cm DE ESPESOR, RELLENO CON ARENA HASTA 25 cm POR ENCIMA DEL TUBO CON P.P. DE MEDIOS AUXILIARES COLOCADO.</w:t>
            </w:r>
          </w:p>
          <w:p w14:paraId="6E615FB0" w14:textId="77777777" w:rsidR="00B0401C" w:rsidRPr="00050087" w:rsidRDefault="00B0401C" w:rsidP="002A67A1">
            <w:pPr>
              <w:jc w:val="both"/>
              <w:rPr>
                <w:rFonts w:ascii="Calibri" w:hAnsi="Calibri"/>
              </w:rPr>
            </w:pPr>
          </w:p>
        </w:tc>
      </w:tr>
      <w:tr w:rsidR="00A85F7D" w:rsidRPr="00D340D9" w14:paraId="44E1CDD4" w14:textId="77777777" w:rsidTr="00B0401C">
        <w:trPr>
          <w:trHeight w:val="396"/>
        </w:trPr>
        <w:tc>
          <w:tcPr>
            <w:tcW w:w="617" w:type="pct"/>
            <w:noWrap/>
          </w:tcPr>
          <w:p w14:paraId="3D1D25EF" w14:textId="77777777" w:rsidR="00A85F7D" w:rsidRPr="00050087" w:rsidRDefault="00A85F7D" w:rsidP="00E10B4F">
            <w:pPr>
              <w:rPr>
                <w:rFonts w:ascii="Calibri" w:hAnsi="Calibri"/>
              </w:rPr>
            </w:pPr>
            <w:r w:rsidRPr="00050087">
              <w:rPr>
                <w:rFonts w:ascii="Calibri" w:hAnsi="Calibri"/>
              </w:rPr>
              <w:t xml:space="preserve">417.0070N         </w:t>
            </w:r>
          </w:p>
        </w:tc>
        <w:tc>
          <w:tcPr>
            <w:tcW w:w="356" w:type="pct"/>
            <w:noWrap/>
          </w:tcPr>
          <w:p w14:paraId="22451E96" w14:textId="77777777" w:rsidR="00A85F7D" w:rsidRPr="00050087" w:rsidRDefault="00A85F7D" w:rsidP="00E10B4F">
            <w:pPr>
              <w:rPr>
                <w:rFonts w:ascii="Calibri" w:hAnsi="Calibri"/>
              </w:rPr>
            </w:pPr>
            <w:r w:rsidRPr="00050087">
              <w:rPr>
                <w:rFonts w:ascii="Calibri" w:hAnsi="Calibri"/>
              </w:rPr>
              <w:t>m</w:t>
            </w:r>
          </w:p>
        </w:tc>
        <w:tc>
          <w:tcPr>
            <w:tcW w:w="4027" w:type="pct"/>
          </w:tcPr>
          <w:p w14:paraId="50B33563" w14:textId="77777777" w:rsidR="00A85F7D" w:rsidRPr="00050087" w:rsidRDefault="00A85F7D" w:rsidP="00E10B4F">
            <w:pPr>
              <w:jc w:val="both"/>
              <w:rPr>
                <w:rFonts w:ascii="Calibri" w:hAnsi="Calibri" w:cs="Calibri"/>
                <w:color w:val="000000"/>
              </w:rPr>
            </w:pPr>
            <w:r w:rsidRPr="00050087">
              <w:rPr>
                <w:rFonts w:ascii="Calibri" w:hAnsi="Calibri" w:cs="Calibri"/>
                <w:color w:val="000000"/>
              </w:rPr>
              <w:t>TUBO DE PVC DE 50 mm DE DIÁMETRO PARA DESAGÜE EN ESTRIBOS TOTALMENTE COLOCADO i/ P.P. DE MEDIOS AUXILIARES.</w:t>
            </w:r>
          </w:p>
          <w:p w14:paraId="0613E917" w14:textId="77777777" w:rsidR="00A85F7D" w:rsidRPr="00050087" w:rsidRDefault="00A85F7D" w:rsidP="00E10B4F">
            <w:pPr>
              <w:jc w:val="both"/>
              <w:rPr>
                <w:rFonts w:ascii="Calibri" w:hAnsi="Calibri"/>
              </w:rPr>
            </w:pPr>
          </w:p>
        </w:tc>
      </w:tr>
    </w:tbl>
    <w:p w14:paraId="25A219E1" w14:textId="77777777" w:rsidR="00224ACB" w:rsidRPr="00D340D9" w:rsidRDefault="00224ACB" w:rsidP="0048688F">
      <w:pPr>
        <w:pStyle w:val="NORMAL12"/>
      </w:pPr>
      <w:r w:rsidRPr="00D340D9">
        <w:t xml:space="preserve">Este artículo </w:t>
      </w:r>
      <w:proofErr w:type="gramStart"/>
      <w:r w:rsidRPr="00D340D9">
        <w:t>es de aplicación</w:t>
      </w:r>
      <w:proofErr w:type="gramEnd"/>
      <w:r w:rsidRPr="00D340D9">
        <w:t xml:space="preserve"> a las unidades de obras consistentes en la ejecución de tuberías de PVC para drenaje de superficie sobr</w:t>
      </w:r>
      <w:r w:rsidR="006E75E7" w:rsidRPr="00D340D9">
        <w:t>e cama de apoyo, revestidas con geotextil y rellana con grava o material drenante.</w:t>
      </w:r>
    </w:p>
    <w:p w14:paraId="56C79ABD" w14:textId="77777777" w:rsidR="00224ACB" w:rsidRPr="00D340D9" w:rsidRDefault="00224ACB" w:rsidP="0048688F">
      <w:pPr>
        <w:pStyle w:val="NORMAL12"/>
      </w:pPr>
      <w:r w:rsidRPr="00D340D9">
        <w:t xml:space="preserve">La ejecución de la unidad de obra incluye las siguientes operaciones: </w:t>
      </w:r>
    </w:p>
    <w:p w14:paraId="428821DF" w14:textId="77777777" w:rsidR="00224ACB" w:rsidRPr="00D340D9" w:rsidRDefault="00224ACB" w:rsidP="006D4837">
      <w:pPr>
        <w:pStyle w:val="LCATextoIndependiente"/>
        <w:numPr>
          <w:ilvl w:val="0"/>
          <w:numId w:val="36"/>
        </w:numPr>
        <w:rPr>
          <w:sz w:val="24"/>
        </w:rPr>
      </w:pPr>
      <w:r w:rsidRPr="00D340D9">
        <w:rPr>
          <w:sz w:val="24"/>
        </w:rPr>
        <w:t>Preparación de la superficie de apoyo</w:t>
      </w:r>
    </w:p>
    <w:p w14:paraId="7B884059" w14:textId="77777777" w:rsidR="00224ACB" w:rsidRPr="00D340D9" w:rsidRDefault="00224ACB" w:rsidP="006D4837">
      <w:pPr>
        <w:pStyle w:val="LCATextoIndependiente"/>
        <w:numPr>
          <w:ilvl w:val="0"/>
          <w:numId w:val="36"/>
        </w:numPr>
        <w:rPr>
          <w:sz w:val="24"/>
        </w:rPr>
      </w:pPr>
      <w:r w:rsidRPr="00D340D9">
        <w:rPr>
          <w:sz w:val="24"/>
        </w:rPr>
        <w:t xml:space="preserve">Colocación de tubos </w:t>
      </w:r>
      <w:r w:rsidR="006E75E7" w:rsidRPr="00D340D9">
        <w:rPr>
          <w:sz w:val="24"/>
        </w:rPr>
        <w:t>de PVC en las zanjas ejecutadas, así como la colocación del geotextil y del material drenante o grava, según proceda.</w:t>
      </w:r>
    </w:p>
    <w:p w14:paraId="35199C74" w14:textId="77777777" w:rsidR="00CB244A" w:rsidRPr="00D340D9" w:rsidRDefault="00CB244A" w:rsidP="006D4837">
      <w:pPr>
        <w:pStyle w:val="LCATextoIndependiente"/>
        <w:numPr>
          <w:ilvl w:val="0"/>
          <w:numId w:val="36"/>
        </w:numPr>
        <w:rPr>
          <w:sz w:val="24"/>
        </w:rPr>
      </w:pPr>
      <w:r w:rsidRPr="00D340D9">
        <w:rPr>
          <w:sz w:val="24"/>
        </w:rPr>
        <w:t>El relleno de hormigón de refuerzo hasta cubrir completamente la generatriz superior del tubo en las zonas de cruce bajo calzada, según se indica en planos.</w:t>
      </w:r>
    </w:p>
    <w:p w14:paraId="3293ED60" w14:textId="77777777" w:rsidR="00224ACB" w:rsidRPr="00D340D9" w:rsidRDefault="00224ACB" w:rsidP="006D4837">
      <w:pPr>
        <w:pStyle w:val="LCATextoIndependiente"/>
        <w:numPr>
          <w:ilvl w:val="0"/>
          <w:numId w:val="36"/>
        </w:numPr>
        <w:rPr>
          <w:sz w:val="24"/>
        </w:rPr>
      </w:pPr>
      <w:r w:rsidRPr="00D340D9">
        <w:rPr>
          <w:sz w:val="24"/>
        </w:rPr>
        <w:t>Sellado de tubos y pruebas de comprobación</w:t>
      </w:r>
      <w:proofErr w:type="gramStart"/>
      <w:r w:rsidRPr="00D340D9">
        <w:rPr>
          <w:sz w:val="24"/>
        </w:rPr>
        <w:t>. .</w:t>
      </w:r>
      <w:proofErr w:type="gramEnd"/>
    </w:p>
    <w:p w14:paraId="7006508B" w14:textId="77777777" w:rsidR="00224ACB" w:rsidRPr="00D340D9" w:rsidRDefault="00224ACB" w:rsidP="000313DD">
      <w:pPr>
        <w:pStyle w:val="TITU2"/>
      </w:pPr>
      <w:bookmarkStart w:id="476" w:name="_Toc472926344"/>
      <w:bookmarkStart w:id="477" w:name="_Toc494738812"/>
      <w:bookmarkStart w:id="478" w:name="_Toc404250"/>
      <w:r w:rsidRPr="00D340D9">
        <w:t>41</w:t>
      </w:r>
      <w:r w:rsidR="002933FD" w:rsidRPr="00D340D9">
        <w:t>7</w:t>
      </w:r>
      <w:r w:rsidRPr="00D340D9">
        <w:t>.</w:t>
      </w:r>
      <w:r w:rsidR="002933FD" w:rsidRPr="00D340D9">
        <w:t>2</w:t>
      </w:r>
      <w:r w:rsidRPr="00D340D9">
        <w:t>.</w:t>
      </w:r>
      <w:r w:rsidR="002933FD" w:rsidRPr="00D340D9">
        <w:t xml:space="preserve"> </w:t>
      </w:r>
      <w:r w:rsidR="00DE2F50" w:rsidRPr="00D340D9">
        <w:t xml:space="preserve">  </w:t>
      </w:r>
      <w:r w:rsidRPr="00D340D9">
        <w:t>Materiales</w:t>
      </w:r>
      <w:bookmarkEnd w:id="476"/>
      <w:bookmarkEnd w:id="477"/>
      <w:bookmarkEnd w:id="478"/>
    </w:p>
    <w:p w14:paraId="3D4CC814" w14:textId="77777777" w:rsidR="00224ACB" w:rsidRPr="00D340D9" w:rsidRDefault="00224ACB" w:rsidP="0048688F">
      <w:pPr>
        <w:pStyle w:val="NORMAL12"/>
      </w:pPr>
      <w:r w:rsidRPr="00D340D9">
        <w:t>El material básico para la fabricación de los tubos de P.V.C. será resina de policloruro de vinilo técnicamente pura, es decir con menos del 1% de sustancias extrañas.</w:t>
      </w:r>
    </w:p>
    <w:p w14:paraId="45A46A2D" w14:textId="77777777" w:rsidR="00224ACB" w:rsidRPr="00D340D9" w:rsidRDefault="00224ACB" w:rsidP="0048688F">
      <w:pPr>
        <w:pStyle w:val="NORMAL12"/>
      </w:pPr>
      <w:r w:rsidRPr="00D340D9">
        <w:t>Al material básico no se le podrá añadir ninguna sustancia plastificante.</w:t>
      </w:r>
    </w:p>
    <w:p w14:paraId="4F8A220E" w14:textId="77777777" w:rsidR="00224ACB" w:rsidRPr="00D340D9" w:rsidRDefault="00224ACB" w:rsidP="0048688F">
      <w:pPr>
        <w:pStyle w:val="NORMAL12"/>
      </w:pPr>
      <w:r w:rsidRPr="00D340D9">
        <w:t>Se podrá incluir otros ingredientes o aditivos en una proporción tal que, en su conjunto, no supere el cuatro por ciento (4%) del material que constituye la pared del tubo acabado. Estos ingredientes o aditivos pueden ser lubrificantes, estabilizadores, modificadores de las propiedades finales del producto y colorantes.</w:t>
      </w:r>
    </w:p>
    <w:p w14:paraId="01494789" w14:textId="77777777" w:rsidR="00224ACB" w:rsidRPr="00D340D9" w:rsidRDefault="00224ACB" w:rsidP="0048688F">
      <w:pPr>
        <w:pStyle w:val="NORMAL12"/>
      </w:pPr>
      <w:r w:rsidRPr="00D340D9">
        <w:t xml:space="preserve">El fabricante de los tubos establecerá las condiciones técnicas de la resina de policloruro de vinilo de forma que pueda garantizar el cumplimiento de las características a corto </w:t>
      </w:r>
      <w:r w:rsidRPr="00D340D9">
        <w:t>plazo y a largo plazo (50 años) que se exigen en este pliego. En especial tendrá en cuenta las siguientes características de la resina:</w:t>
      </w:r>
    </w:p>
    <w:p w14:paraId="7349FB14" w14:textId="77777777" w:rsidR="00224ACB" w:rsidRPr="00C713CE" w:rsidRDefault="00C713CE" w:rsidP="00A85F7D">
      <w:pPr>
        <w:pStyle w:val="LCATextoIndependiente"/>
        <w:numPr>
          <w:ilvl w:val="0"/>
          <w:numId w:val="36"/>
        </w:numPr>
        <w:rPr>
          <w:sz w:val="24"/>
        </w:rPr>
      </w:pPr>
      <w:r w:rsidRPr="00C713CE">
        <w:rPr>
          <w:sz w:val="24"/>
        </w:rPr>
        <w:t>Peso específico aparente, granulometría y</w:t>
      </w:r>
      <w:r>
        <w:rPr>
          <w:sz w:val="24"/>
        </w:rPr>
        <w:t xml:space="preserve"> p</w:t>
      </w:r>
      <w:r w:rsidR="00224ACB" w:rsidRPr="00C713CE">
        <w:rPr>
          <w:sz w:val="24"/>
        </w:rPr>
        <w:t>orosidad el grano.</w:t>
      </w:r>
    </w:p>
    <w:p w14:paraId="783223D4" w14:textId="77777777" w:rsidR="00224ACB" w:rsidRPr="00D340D9" w:rsidRDefault="00224ACB" w:rsidP="00A85F7D">
      <w:pPr>
        <w:pStyle w:val="LCATextoIndependiente"/>
        <w:numPr>
          <w:ilvl w:val="0"/>
          <w:numId w:val="36"/>
        </w:numPr>
        <w:rPr>
          <w:sz w:val="24"/>
        </w:rPr>
      </w:pPr>
      <w:r w:rsidRPr="00D340D9">
        <w:rPr>
          <w:sz w:val="24"/>
        </w:rPr>
        <w:t>Índice de viscosidad.</w:t>
      </w:r>
    </w:p>
    <w:p w14:paraId="3695613F" w14:textId="77777777" w:rsidR="00224ACB" w:rsidRPr="00D340D9" w:rsidRDefault="00224ACB" w:rsidP="00A85F7D">
      <w:pPr>
        <w:pStyle w:val="LCATextoIndependiente"/>
        <w:numPr>
          <w:ilvl w:val="0"/>
          <w:numId w:val="36"/>
        </w:numPr>
        <w:rPr>
          <w:sz w:val="24"/>
        </w:rPr>
      </w:pPr>
      <w:proofErr w:type="spellStart"/>
      <w:r w:rsidRPr="00D340D9">
        <w:rPr>
          <w:sz w:val="24"/>
        </w:rPr>
        <w:t>Colabilidad</w:t>
      </w:r>
      <w:proofErr w:type="spellEnd"/>
      <w:r w:rsidRPr="00D340D9">
        <w:rPr>
          <w:sz w:val="24"/>
        </w:rPr>
        <w:t>.</w:t>
      </w:r>
    </w:p>
    <w:p w14:paraId="1BC070A6" w14:textId="77777777" w:rsidR="00224ACB" w:rsidRPr="00D340D9" w:rsidRDefault="00224ACB" w:rsidP="00A85F7D">
      <w:pPr>
        <w:pStyle w:val="LCATextoIndependiente"/>
        <w:numPr>
          <w:ilvl w:val="0"/>
          <w:numId w:val="36"/>
        </w:numPr>
        <w:rPr>
          <w:sz w:val="24"/>
        </w:rPr>
      </w:pPr>
      <w:r w:rsidRPr="00D340D9">
        <w:rPr>
          <w:sz w:val="24"/>
        </w:rPr>
        <w:t>Color.</w:t>
      </w:r>
    </w:p>
    <w:p w14:paraId="40AE6413" w14:textId="77777777" w:rsidR="00224ACB" w:rsidRPr="00D340D9" w:rsidRDefault="00224ACB" w:rsidP="00A85F7D">
      <w:pPr>
        <w:pStyle w:val="LCATextoIndependiente"/>
        <w:numPr>
          <w:ilvl w:val="0"/>
          <w:numId w:val="36"/>
        </w:numPr>
        <w:rPr>
          <w:sz w:val="24"/>
        </w:rPr>
      </w:pPr>
      <w:r w:rsidRPr="00D340D9">
        <w:rPr>
          <w:sz w:val="24"/>
        </w:rPr>
        <w:t>Contenido máximo de monómero libre.</w:t>
      </w:r>
    </w:p>
    <w:p w14:paraId="7D420996" w14:textId="77777777" w:rsidR="00224ACB" w:rsidRPr="00D340D9" w:rsidRDefault="00224ACB" w:rsidP="00A85F7D">
      <w:pPr>
        <w:pStyle w:val="LCATextoIndependiente"/>
        <w:numPr>
          <w:ilvl w:val="0"/>
          <w:numId w:val="36"/>
        </w:numPr>
        <w:rPr>
          <w:sz w:val="24"/>
        </w:rPr>
      </w:pPr>
      <w:r w:rsidRPr="00D340D9">
        <w:rPr>
          <w:sz w:val="24"/>
        </w:rPr>
        <w:t>Humedad.</w:t>
      </w:r>
    </w:p>
    <w:p w14:paraId="6976B3C7" w14:textId="77777777" w:rsidR="00224ACB" w:rsidRPr="00D340D9" w:rsidRDefault="00224ACB" w:rsidP="0048688F">
      <w:pPr>
        <w:pStyle w:val="NORMAL12"/>
      </w:pPr>
      <w:r w:rsidRPr="00D340D9">
        <w:t>Estas características se determinarán de acuerdo con las normas UNE correspondientes o, en su defecto, con las normas ISO, tal y como se especifica en e</w:t>
      </w:r>
      <w:r w:rsidR="002933FD" w:rsidRPr="00D340D9">
        <w:t>ste artículo</w:t>
      </w:r>
      <w:r w:rsidRPr="00D340D9">
        <w:t>.</w:t>
      </w:r>
    </w:p>
    <w:p w14:paraId="09DBD5E7" w14:textId="77777777" w:rsidR="001E0C26" w:rsidRPr="00D340D9" w:rsidRDefault="001E0C26" w:rsidP="0048688F">
      <w:pPr>
        <w:pStyle w:val="NORMAL12"/>
      </w:pPr>
      <w:r w:rsidRPr="00D340D9">
        <w:t>Las características principales de las tuberías de PVC deben ser:</w:t>
      </w:r>
    </w:p>
    <w:tbl>
      <w:tblPr>
        <w:tblW w:w="7938" w:type="dxa"/>
        <w:tblInd w:w="993" w:type="dxa"/>
        <w:tblCellMar>
          <w:left w:w="0" w:type="dxa"/>
          <w:right w:w="0" w:type="dxa"/>
        </w:tblCellMar>
        <w:tblLook w:val="04A0" w:firstRow="1" w:lastRow="0" w:firstColumn="1" w:lastColumn="0" w:noHBand="0" w:noVBand="1"/>
      </w:tblPr>
      <w:tblGrid>
        <w:gridCol w:w="4819"/>
        <w:gridCol w:w="3119"/>
      </w:tblGrid>
      <w:tr w:rsidR="00D340D9" w:rsidRPr="00D340D9" w14:paraId="62C1A959" w14:textId="77777777" w:rsidTr="002933FD">
        <w:trPr>
          <w:tblHeader/>
        </w:trPr>
        <w:tc>
          <w:tcPr>
            <w:tcW w:w="4819" w:type="dxa"/>
            <w:tcBorders>
              <w:top w:val="single" w:sz="6" w:space="0" w:color="auto"/>
              <w:left w:val="single" w:sz="4" w:space="0" w:color="auto"/>
              <w:bottom w:val="nil"/>
              <w:right w:val="nil"/>
            </w:tcBorders>
            <w:shd w:val="clear" w:color="auto" w:fill="D9D9D9" w:themeFill="background1" w:themeFillShade="D9"/>
            <w:tcMar>
              <w:top w:w="0" w:type="dxa"/>
              <w:left w:w="142" w:type="dxa"/>
              <w:bottom w:w="0" w:type="dxa"/>
              <w:right w:w="142" w:type="dxa"/>
            </w:tcMar>
            <w:vAlign w:val="center"/>
            <w:hideMark/>
          </w:tcPr>
          <w:p w14:paraId="51A9B504" w14:textId="77777777" w:rsidR="00224ACB" w:rsidRPr="00D340D9" w:rsidRDefault="00224ACB" w:rsidP="00224ACB">
            <w:pPr>
              <w:pStyle w:val="Tabla"/>
              <w:rPr>
                <w:b/>
              </w:rPr>
            </w:pPr>
            <w:r w:rsidRPr="00D340D9">
              <w:rPr>
                <w:b/>
              </w:rPr>
              <w:t>Características</w:t>
            </w:r>
          </w:p>
        </w:tc>
        <w:tc>
          <w:tcPr>
            <w:tcW w:w="3119" w:type="dxa"/>
            <w:tcBorders>
              <w:top w:val="single" w:sz="6" w:space="0" w:color="auto"/>
              <w:left w:val="single" w:sz="6" w:space="0" w:color="auto"/>
              <w:bottom w:val="single" w:sz="6" w:space="0" w:color="auto"/>
              <w:right w:val="single" w:sz="4" w:space="0" w:color="auto"/>
            </w:tcBorders>
            <w:shd w:val="clear" w:color="auto" w:fill="D9D9D9" w:themeFill="background1" w:themeFillShade="D9"/>
            <w:tcMar>
              <w:top w:w="0" w:type="dxa"/>
              <w:left w:w="142" w:type="dxa"/>
              <w:bottom w:w="0" w:type="dxa"/>
              <w:right w:w="142" w:type="dxa"/>
            </w:tcMar>
            <w:vAlign w:val="center"/>
            <w:hideMark/>
          </w:tcPr>
          <w:p w14:paraId="769239D5" w14:textId="77777777" w:rsidR="00224ACB" w:rsidRPr="00D340D9" w:rsidRDefault="00224ACB" w:rsidP="00224ACB">
            <w:pPr>
              <w:pStyle w:val="Tabla"/>
              <w:rPr>
                <w:b/>
              </w:rPr>
            </w:pPr>
            <w:r w:rsidRPr="00D340D9">
              <w:rPr>
                <w:b/>
              </w:rPr>
              <w:t>Valores</w:t>
            </w:r>
          </w:p>
        </w:tc>
      </w:tr>
      <w:tr w:rsidR="00D340D9" w:rsidRPr="00D340D9" w14:paraId="62196E3B" w14:textId="77777777" w:rsidTr="00224ACB">
        <w:tc>
          <w:tcPr>
            <w:tcW w:w="4819" w:type="dxa"/>
            <w:tcBorders>
              <w:top w:val="single" w:sz="6" w:space="0" w:color="auto"/>
              <w:left w:val="single" w:sz="4" w:space="0" w:color="auto"/>
              <w:bottom w:val="nil"/>
              <w:right w:val="single" w:sz="6" w:space="0" w:color="auto"/>
            </w:tcBorders>
            <w:tcMar>
              <w:top w:w="0" w:type="dxa"/>
              <w:left w:w="142" w:type="dxa"/>
              <w:bottom w:w="0" w:type="dxa"/>
              <w:right w:w="142" w:type="dxa"/>
            </w:tcMar>
            <w:vAlign w:val="center"/>
            <w:hideMark/>
          </w:tcPr>
          <w:p w14:paraId="3A8A96AC" w14:textId="77777777" w:rsidR="00224ACB" w:rsidRPr="00D340D9" w:rsidRDefault="00224ACB" w:rsidP="00224ACB">
            <w:pPr>
              <w:pStyle w:val="Tabla"/>
              <w:jc w:val="left"/>
            </w:pPr>
            <w:r w:rsidRPr="00D340D9">
              <w:t>Densidad</w:t>
            </w:r>
          </w:p>
        </w:tc>
        <w:tc>
          <w:tcPr>
            <w:tcW w:w="3119" w:type="dxa"/>
            <w:tcBorders>
              <w:top w:val="single" w:sz="6" w:space="0" w:color="auto"/>
              <w:left w:val="nil"/>
              <w:bottom w:val="nil"/>
              <w:right w:val="single" w:sz="6" w:space="0" w:color="auto"/>
            </w:tcBorders>
            <w:tcMar>
              <w:top w:w="0" w:type="dxa"/>
              <w:left w:w="142" w:type="dxa"/>
              <w:bottom w:w="0" w:type="dxa"/>
              <w:right w:w="142" w:type="dxa"/>
            </w:tcMar>
            <w:vAlign w:val="center"/>
            <w:hideMark/>
          </w:tcPr>
          <w:p w14:paraId="71C30811" w14:textId="77777777" w:rsidR="00224ACB" w:rsidRPr="00D340D9" w:rsidRDefault="00224ACB" w:rsidP="00224ACB">
            <w:pPr>
              <w:pStyle w:val="Tabla"/>
            </w:pPr>
            <w:r w:rsidRPr="00D340D9">
              <w:t>1,35 a 1,46 (Kg/dm</w:t>
            </w:r>
            <w:r w:rsidRPr="00D340D9">
              <w:rPr>
                <w:vertAlign w:val="superscript"/>
              </w:rPr>
              <w:t>3</w:t>
            </w:r>
            <w:r w:rsidRPr="00D340D9">
              <w:t>)</w:t>
            </w:r>
          </w:p>
        </w:tc>
      </w:tr>
      <w:tr w:rsidR="00D340D9" w:rsidRPr="00D340D9" w14:paraId="7B6002C1" w14:textId="77777777" w:rsidTr="00224ACB">
        <w:tc>
          <w:tcPr>
            <w:tcW w:w="4819" w:type="dxa"/>
            <w:tcBorders>
              <w:top w:val="single" w:sz="6" w:space="0" w:color="auto"/>
              <w:left w:val="single" w:sz="4" w:space="0" w:color="auto"/>
              <w:bottom w:val="single" w:sz="6" w:space="0" w:color="auto"/>
              <w:right w:val="single" w:sz="6" w:space="0" w:color="auto"/>
            </w:tcBorders>
            <w:tcMar>
              <w:top w:w="0" w:type="dxa"/>
              <w:left w:w="142" w:type="dxa"/>
              <w:bottom w:w="0" w:type="dxa"/>
              <w:right w:w="142" w:type="dxa"/>
            </w:tcMar>
            <w:vAlign w:val="center"/>
            <w:hideMark/>
          </w:tcPr>
          <w:p w14:paraId="04A6C998" w14:textId="77777777" w:rsidR="00224ACB" w:rsidRPr="00D340D9" w:rsidRDefault="00224ACB" w:rsidP="00224ACB">
            <w:pPr>
              <w:pStyle w:val="Tabla"/>
              <w:jc w:val="left"/>
            </w:pPr>
            <w:r w:rsidRPr="00D340D9">
              <w:t>Coeficiente de dilatación térmica</w:t>
            </w:r>
          </w:p>
        </w:tc>
        <w:tc>
          <w:tcPr>
            <w:tcW w:w="3119" w:type="dxa"/>
            <w:tcBorders>
              <w:top w:val="single" w:sz="6" w:space="0" w:color="auto"/>
              <w:left w:val="nil"/>
              <w:bottom w:val="single" w:sz="6" w:space="0" w:color="auto"/>
              <w:right w:val="single" w:sz="6" w:space="0" w:color="auto"/>
            </w:tcBorders>
            <w:tcMar>
              <w:top w:w="0" w:type="dxa"/>
              <w:left w:w="142" w:type="dxa"/>
              <w:bottom w:w="0" w:type="dxa"/>
              <w:right w:w="142" w:type="dxa"/>
            </w:tcMar>
            <w:vAlign w:val="center"/>
            <w:hideMark/>
          </w:tcPr>
          <w:p w14:paraId="0D907EE0" w14:textId="77777777" w:rsidR="00224ACB" w:rsidRPr="00D340D9" w:rsidRDefault="00224ACB" w:rsidP="00224ACB">
            <w:pPr>
              <w:pStyle w:val="Tabla"/>
            </w:pPr>
            <w:r w:rsidRPr="00D340D9">
              <w:t xml:space="preserve">(60 a </w:t>
            </w:r>
            <w:proofErr w:type="gramStart"/>
            <w:r w:rsidRPr="00D340D9">
              <w:t>80)·</w:t>
            </w:r>
            <w:proofErr w:type="gramEnd"/>
            <w:r w:rsidRPr="00D340D9">
              <w:t> </w:t>
            </w:r>
          </w:p>
        </w:tc>
      </w:tr>
      <w:tr w:rsidR="00D340D9" w:rsidRPr="00D340D9" w14:paraId="0D09ABB4" w14:textId="77777777" w:rsidTr="00224ACB">
        <w:tc>
          <w:tcPr>
            <w:tcW w:w="4819" w:type="dxa"/>
            <w:tcBorders>
              <w:top w:val="single" w:sz="6" w:space="0" w:color="auto"/>
              <w:left w:val="single" w:sz="4" w:space="0" w:color="auto"/>
              <w:bottom w:val="single" w:sz="4" w:space="0" w:color="auto"/>
              <w:right w:val="single" w:sz="6" w:space="0" w:color="auto"/>
            </w:tcBorders>
            <w:tcMar>
              <w:top w:w="0" w:type="dxa"/>
              <w:left w:w="142" w:type="dxa"/>
              <w:bottom w:w="0" w:type="dxa"/>
              <w:right w:w="142" w:type="dxa"/>
            </w:tcMar>
            <w:vAlign w:val="center"/>
            <w:hideMark/>
          </w:tcPr>
          <w:p w14:paraId="2D56ACD6" w14:textId="77777777" w:rsidR="00224ACB" w:rsidRPr="00D340D9" w:rsidRDefault="00224ACB" w:rsidP="00224ACB">
            <w:pPr>
              <w:pStyle w:val="Tabla"/>
              <w:jc w:val="left"/>
            </w:pPr>
            <w:r w:rsidRPr="00D340D9">
              <w:t>Temperatura de reblandecimiento VICAT mínima</w:t>
            </w:r>
          </w:p>
        </w:tc>
        <w:tc>
          <w:tcPr>
            <w:tcW w:w="3119" w:type="dxa"/>
            <w:tcBorders>
              <w:top w:val="single" w:sz="6" w:space="0" w:color="auto"/>
              <w:left w:val="nil"/>
              <w:bottom w:val="single" w:sz="4" w:space="0" w:color="auto"/>
              <w:right w:val="single" w:sz="6" w:space="0" w:color="auto"/>
            </w:tcBorders>
            <w:tcMar>
              <w:top w:w="0" w:type="dxa"/>
              <w:left w:w="142" w:type="dxa"/>
              <w:bottom w:w="0" w:type="dxa"/>
              <w:right w:w="142" w:type="dxa"/>
            </w:tcMar>
            <w:vAlign w:val="center"/>
            <w:hideMark/>
          </w:tcPr>
          <w:p w14:paraId="713157FE" w14:textId="77777777" w:rsidR="00224ACB" w:rsidRPr="00D340D9" w:rsidRDefault="00224ACB" w:rsidP="00224ACB">
            <w:pPr>
              <w:pStyle w:val="Tabla"/>
            </w:pPr>
            <w:r w:rsidRPr="00D340D9">
              <w:t xml:space="preserve">79 </w:t>
            </w:r>
            <w:proofErr w:type="spellStart"/>
            <w:r w:rsidRPr="00D340D9">
              <w:t>ºC</w:t>
            </w:r>
            <w:proofErr w:type="spellEnd"/>
          </w:p>
        </w:tc>
      </w:tr>
      <w:tr w:rsidR="00D340D9" w:rsidRPr="00D340D9" w14:paraId="1954A960" w14:textId="77777777" w:rsidTr="00224ACB">
        <w:tc>
          <w:tcPr>
            <w:tcW w:w="4819" w:type="dxa"/>
            <w:tcBorders>
              <w:top w:val="single" w:sz="4" w:space="0" w:color="auto"/>
              <w:left w:val="single" w:sz="4" w:space="0" w:color="auto"/>
              <w:bottom w:val="single" w:sz="6" w:space="0" w:color="auto"/>
              <w:right w:val="single" w:sz="6" w:space="0" w:color="auto"/>
            </w:tcBorders>
            <w:tcMar>
              <w:top w:w="0" w:type="dxa"/>
              <w:left w:w="142" w:type="dxa"/>
              <w:bottom w:w="0" w:type="dxa"/>
              <w:right w:w="142" w:type="dxa"/>
            </w:tcMar>
            <w:vAlign w:val="center"/>
            <w:hideMark/>
          </w:tcPr>
          <w:p w14:paraId="470CD8C1" w14:textId="77777777" w:rsidR="00224ACB" w:rsidRPr="00D340D9" w:rsidRDefault="00224ACB" w:rsidP="00224ACB">
            <w:pPr>
              <w:pStyle w:val="Tabla"/>
              <w:jc w:val="left"/>
            </w:pPr>
            <w:r w:rsidRPr="00D340D9">
              <w:t>Módulo de elasticidad lineal a 20ºC, mínimo</w:t>
            </w:r>
          </w:p>
        </w:tc>
        <w:tc>
          <w:tcPr>
            <w:tcW w:w="3119" w:type="dxa"/>
            <w:tcBorders>
              <w:top w:val="single" w:sz="4" w:space="0" w:color="auto"/>
              <w:left w:val="nil"/>
              <w:bottom w:val="single" w:sz="6" w:space="0" w:color="auto"/>
              <w:right w:val="single" w:sz="6" w:space="0" w:color="auto"/>
            </w:tcBorders>
            <w:tcMar>
              <w:top w:w="0" w:type="dxa"/>
              <w:left w:w="142" w:type="dxa"/>
              <w:bottom w:w="0" w:type="dxa"/>
              <w:right w:w="142" w:type="dxa"/>
            </w:tcMar>
            <w:vAlign w:val="center"/>
            <w:hideMark/>
          </w:tcPr>
          <w:p w14:paraId="52E43F13" w14:textId="77777777" w:rsidR="00224ACB" w:rsidRPr="00D340D9" w:rsidRDefault="00224ACB" w:rsidP="00224ACB">
            <w:pPr>
              <w:pStyle w:val="Tabla"/>
            </w:pPr>
            <w:r w:rsidRPr="00D340D9">
              <w:t xml:space="preserve">28.000 </w:t>
            </w:r>
            <w:proofErr w:type="spellStart"/>
            <w:r w:rsidRPr="00D340D9">
              <w:t>kp</w:t>
            </w:r>
            <w:proofErr w:type="spellEnd"/>
            <w:r w:rsidRPr="00D340D9">
              <w:t>/cm</w:t>
            </w:r>
            <w:r w:rsidRPr="00D340D9">
              <w:rPr>
                <w:vertAlign w:val="superscript"/>
              </w:rPr>
              <w:t>2</w:t>
            </w:r>
          </w:p>
        </w:tc>
      </w:tr>
      <w:tr w:rsidR="00D340D9" w:rsidRPr="00D340D9" w14:paraId="1D84AD70" w14:textId="77777777" w:rsidTr="00224ACB">
        <w:tc>
          <w:tcPr>
            <w:tcW w:w="4819" w:type="dxa"/>
            <w:tcBorders>
              <w:top w:val="nil"/>
              <w:left w:val="single" w:sz="4" w:space="0" w:color="auto"/>
              <w:bottom w:val="nil"/>
              <w:right w:val="single" w:sz="6" w:space="0" w:color="auto"/>
            </w:tcBorders>
            <w:tcMar>
              <w:top w:w="0" w:type="dxa"/>
              <w:left w:w="142" w:type="dxa"/>
              <w:bottom w:w="0" w:type="dxa"/>
              <w:right w:w="142" w:type="dxa"/>
            </w:tcMar>
            <w:vAlign w:val="center"/>
            <w:hideMark/>
          </w:tcPr>
          <w:p w14:paraId="5FF289CF" w14:textId="77777777" w:rsidR="00224ACB" w:rsidRPr="00D340D9" w:rsidRDefault="00224ACB" w:rsidP="00224ACB">
            <w:pPr>
              <w:pStyle w:val="Tabla"/>
              <w:jc w:val="left"/>
            </w:pPr>
            <w:r w:rsidRPr="00D340D9">
              <w:t>Resistencia a tracción simple mínima</w:t>
            </w:r>
          </w:p>
        </w:tc>
        <w:tc>
          <w:tcPr>
            <w:tcW w:w="3119" w:type="dxa"/>
            <w:tcBorders>
              <w:top w:val="nil"/>
              <w:left w:val="nil"/>
              <w:bottom w:val="nil"/>
              <w:right w:val="single" w:sz="6" w:space="0" w:color="auto"/>
            </w:tcBorders>
            <w:tcMar>
              <w:top w:w="0" w:type="dxa"/>
              <w:left w:w="142" w:type="dxa"/>
              <w:bottom w:w="0" w:type="dxa"/>
              <w:right w:w="142" w:type="dxa"/>
            </w:tcMar>
            <w:vAlign w:val="center"/>
            <w:hideMark/>
          </w:tcPr>
          <w:p w14:paraId="769DC467" w14:textId="77777777" w:rsidR="00224ACB" w:rsidRPr="00D340D9" w:rsidRDefault="00224ACB" w:rsidP="00224ACB">
            <w:pPr>
              <w:pStyle w:val="Tabla"/>
            </w:pPr>
            <w:r w:rsidRPr="00D340D9">
              <w:rPr>
                <w:lang w:val="en-US"/>
              </w:rPr>
              <w:t xml:space="preserve">500 </w:t>
            </w:r>
            <w:proofErr w:type="spellStart"/>
            <w:r w:rsidRPr="00D340D9">
              <w:rPr>
                <w:lang w:val="en-US"/>
              </w:rPr>
              <w:t>kp</w:t>
            </w:r>
            <w:proofErr w:type="spellEnd"/>
            <w:r w:rsidRPr="00D340D9">
              <w:rPr>
                <w:lang w:val="en-US"/>
              </w:rPr>
              <w:t>/cm</w:t>
            </w:r>
            <w:r w:rsidRPr="00D340D9">
              <w:rPr>
                <w:vertAlign w:val="superscript"/>
                <w:lang w:val="en-US"/>
              </w:rPr>
              <w:t>2</w:t>
            </w:r>
          </w:p>
        </w:tc>
      </w:tr>
      <w:tr w:rsidR="00D340D9" w:rsidRPr="00D340D9" w14:paraId="663F840C" w14:textId="77777777" w:rsidTr="00224ACB">
        <w:tc>
          <w:tcPr>
            <w:tcW w:w="4819" w:type="dxa"/>
            <w:tcBorders>
              <w:top w:val="single" w:sz="6" w:space="0" w:color="auto"/>
              <w:left w:val="single" w:sz="4" w:space="0" w:color="auto"/>
              <w:bottom w:val="nil"/>
              <w:right w:val="single" w:sz="6" w:space="0" w:color="auto"/>
            </w:tcBorders>
            <w:tcMar>
              <w:top w:w="0" w:type="dxa"/>
              <w:left w:w="142" w:type="dxa"/>
              <w:bottom w:w="0" w:type="dxa"/>
              <w:right w:w="142" w:type="dxa"/>
            </w:tcMar>
            <w:vAlign w:val="center"/>
            <w:hideMark/>
          </w:tcPr>
          <w:p w14:paraId="05FE6BA5" w14:textId="77777777" w:rsidR="00224ACB" w:rsidRPr="00D340D9" w:rsidRDefault="00224ACB" w:rsidP="00224ACB">
            <w:pPr>
              <w:pStyle w:val="Tabla"/>
              <w:jc w:val="left"/>
            </w:pPr>
            <w:r w:rsidRPr="00D340D9">
              <w:t>Alargamiento en la rotura a tracción</w:t>
            </w:r>
          </w:p>
        </w:tc>
        <w:tc>
          <w:tcPr>
            <w:tcW w:w="3119" w:type="dxa"/>
            <w:tcBorders>
              <w:top w:val="single" w:sz="6" w:space="0" w:color="auto"/>
              <w:left w:val="nil"/>
              <w:bottom w:val="nil"/>
              <w:right w:val="single" w:sz="6" w:space="0" w:color="auto"/>
            </w:tcBorders>
            <w:tcMar>
              <w:top w:w="0" w:type="dxa"/>
              <w:left w:w="142" w:type="dxa"/>
              <w:bottom w:w="0" w:type="dxa"/>
              <w:right w:w="142" w:type="dxa"/>
            </w:tcMar>
            <w:vAlign w:val="center"/>
            <w:hideMark/>
          </w:tcPr>
          <w:p w14:paraId="0C745723" w14:textId="77777777" w:rsidR="00224ACB" w:rsidRPr="00D340D9" w:rsidRDefault="00224ACB" w:rsidP="00224ACB">
            <w:pPr>
              <w:pStyle w:val="Tabla"/>
            </w:pPr>
            <w:r w:rsidRPr="00D340D9">
              <w:t>80 %</w:t>
            </w:r>
          </w:p>
        </w:tc>
      </w:tr>
      <w:tr w:rsidR="00D340D9" w:rsidRPr="00D340D9" w14:paraId="14BE0CD3" w14:textId="77777777" w:rsidTr="00224ACB">
        <w:tc>
          <w:tcPr>
            <w:tcW w:w="4819" w:type="dxa"/>
            <w:tcBorders>
              <w:top w:val="single" w:sz="6" w:space="0" w:color="auto"/>
              <w:left w:val="single" w:sz="4" w:space="0" w:color="auto"/>
              <w:bottom w:val="single" w:sz="6" w:space="0" w:color="auto"/>
              <w:right w:val="single" w:sz="6" w:space="0" w:color="auto"/>
            </w:tcBorders>
            <w:tcMar>
              <w:top w:w="0" w:type="dxa"/>
              <w:left w:w="142" w:type="dxa"/>
              <w:bottom w:w="0" w:type="dxa"/>
              <w:right w:w="142" w:type="dxa"/>
            </w:tcMar>
            <w:vAlign w:val="center"/>
            <w:hideMark/>
          </w:tcPr>
          <w:p w14:paraId="2DB9B240" w14:textId="77777777" w:rsidR="00224ACB" w:rsidRPr="00D340D9" w:rsidRDefault="00224ACB" w:rsidP="00224ACB">
            <w:pPr>
              <w:pStyle w:val="Tabla"/>
              <w:jc w:val="left"/>
            </w:pPr>
            <w:r w:rsidRPr="00D340D9">
              <w:t>Absorción de agua, máxima</w:t>
            </w:r>
          </w:p>
        </w:tc>
        <w:tc>
          <w:tcPr>
            <w:tcW w:w="3119" w:type="dxa"/>
            <w:tcBorders>
              <w:top w:val="single" w:sz="6" w:space="0" w:color="auto"/>
              <w:left w:val="nil"/>
              <w:bottom w:val="single" w:sz="6" w:space="0" w:color="auto"/>
              <w:right w:val="single" w:sz="6" w:space="0" w:color="auto"/>
            </w:tcBorders>
            <w:tcMar>
              <w:top w:w="0" w:type="dxa"/>
              <w:left w:w="142" w:type="dxa"/>
              <w:bottom w:w="0" w:type="dxa"/>
              <w:right w:w="142" w:type="dxa"/>
            </w:tcMar>
            <w:vAlign w:val="center"/>
            <w:hideMark/>
          </w:tcPr>
          <w:p w14:paraId="47F81EAF" w14:textId="77777777" w:rsidR="00224ACB" w:rsidRPr="00D340D9" w:rsidRDefault="00224ACB" w:rsidP="00224ACB">
            <w:pPr>
              <w:pStyle w:val="Tabla"/>
            </w:pPr>
            <w:r w:rsidRPr="00D340D9">
              <w:rPr>
                <w:lang w:val="en-US"/>
              </w:rPr>
              <w:t>40 g/m</w:t>
            </w:r>
            <w:r w:rsidRPr="00D340D9">
              <w:rPr>
                <w:vertAlign w:val="superscript"/>
                <w:lang w:val="en-US"/>
              </w:rPr>
              <w:t>2</w:t>
            </w:r>
          </w:p>
        </w:tc>
      </w:tr>
      <w:tr w:rsidR="00D340D9" w:rsidRPr="00D340D9" w14:paraId="09510F31" w14:textId="77777777" w:rsidTr="00224ACB">
        <w:tc>
          <w:tcPr>
            <w:tcW w:w="4819" w:type="dxa"/>
            <w:tcBorders>
              <w:top w:val="nil"/>
              <w:left w:val="single" w:sz="4" w:space="0" w:color="auto"/>
              <w:bottom w:val="single" w:sz="4" w:space="0" w:color="auto"/>
              <w:right w:val="single" w:sz="6" w:space="0" w:color="auto"/>
            </w:tcBorders>
            <w:tcMar>
              <w:top w:w="0" w:type="dxa"/>
              <w:left w:w="142" w:type="dxa"/>
              <w:bottom w:w="0" w:type="dxa"/>
              <w:right w:w="142" w:type="dxa"/>
            </w:tcMar>
            <w:vAlign w:val="center"/>
            <w:hideMark/>
          </w:tcPr>
          <w:p w14:paraId="59FEA7AF" w14:textId="77777777" w:rsidR="00224ACB" w:rsidRPr="00D340D9" w:rsidRDefault="00224ACB" w:rsidP="00224ACB">
            <w:pPr>
              <w:pStyle w:val="Tabla"/>
              <w:jc w:val="left"/>
            </w:pPr>
            <w:r w:rsidRPr="00D340D9">
              <w:t>Opacidad máxima</w:t>
            </w:r>
          </w:p>
        </w:tc>
        <w:tc>
          <w:tcPr>
            <w:tcW w:w="3119" w:type="dxa"/>
            <w:tcBorders>
              <w:top w:val="nil"/>
              <w:left w:val="nil"/>
              <w:bottom w:val="single" w:sz="4" w:space="0" w:color="auto"/>
              <w:right w:val="single" w:sz="6" w:space="0" w:color="auto"/>
            </w:tcBorders>
            <w:tcMar>
              <w:top w:w="0" w:type="dxa"/>
              <w:left w:w="142" w:type="dxa"/>
              <w:bottom w:w="0" w:type="dxa"/>
              <w:right w:w="142" w:type="dxa"/>
            </w:tcMar>
            <w:vAlign w:val="center"/>
            <w:hideMark/>
          </w:tcPr>
          <w:p w14:paraId="1973C4C9" w14:textId="77777777" w:rsidR="00224ACB" w:rsidRPr="00D340D9" w:rsidRDefault="00224ACB" w:rsidP="00224ACB">
            <w:pPr>
              <w:pStyle w:val="Tabla"/>
            </w:pPr>
            <w:r w:rsidRPr="00D340D9">
              <w:t>0,2 %</w:t>
            </w:r>
          </w:p>
        </w:tc>
      </w:tr>
    </w:tbl>
    <w:p w14:paraId="05C078D0" w14:textId="77777777" w:rsidR="006E75E7" w:rsidRPr="00D340D9" w:rsidRDefault="006E75E7" w:rsidP="006E75E7">
      <w:pPr>
        <w:pStyle w:val="NORMAL12"/>
      </w:pPr>
      <w:bookmarkStart w:id="479" w:name="_Toc472926345"/>
      <w:bookmarkStart w:id="480" w:name="_Toc494738813"/>
      <w:r w:rsidRPr="00D340D9">
        <w:t>El geotextil empleado cumplirá las especificaciones establecidas en el artículo 290. Geotextiles del presente pliego o del PG-3</w:t>
      </w:r>
      <w:r w:rsidR="00D340D9" w:rsidRPr="00D340D9">
        <w:t>.</w:t>
      </w:r>
    </w:p>
    <w:p w14:paraId="43E764E8" w14:textId="77777777" w:rsidR="00D340D9" w:rsidRPr="00D340D9" w:rsidRDefault="00D340D9" w:rsidP="006E75E7">
      <w:pPr>
        <w:pStyle w:val="NORMAL12"/>
      </w:pPr>
      <w:r w:rsidRPr="00D340D9">
        <w:t>El material drenante cumplirá las especificaciones establecidas en el artículo 421.Relleno localizado con material drenante del presente pliego o del PG3</w:t>
      </w:r>
    </w:p>
    <w:p w14:paraId="1F16EB9B" w14:textId="77777777" w:rsidR="00224ACB" w:rsidRPr="00D340D9" w:rsidRDefault="00224ACB" w:rsidP="000313DD">
      <w:pPr>
        <w:pStyle w:val="TITU2"/>
      </w:pPr>
      <w:bookmarkStart w:id="481" w:name="_Toc404251"/>
      <w:r w:rsidRPr="00D340D9">
        <w:t>41</w:t>
      </w:r>
      <w:r w:rsidR="002933FD" w:rsidRPr="00D340D9">
        <w:t>7</w:t>
      </w:r>
      <w:r w:rsidRPr="00D340D9">
        <w:t>.</w:t>
      </w:r>
      <w:r w:rsidR="002933FD" w:rsidRPr="00D340D9">
        <w:t>3</w:t>
      </w:r>
      <w:r w:rsidR="0048688F" w:rsidRPr="00D340D9">
        <w:t xml:space="preserve">. </w:t>
      </w:r>
      <w:r w:rsidR="001013FE" w:rsidRPr="00D340D9">
        <w:t xml:space="preserve">  </w:t>
      </w:r>
      <w:r w:rsidR="0048688F" w:rsidRPr="00D340D9">
        <w:t>Ejecución</w:t>
      </w:r>
      <w:r w:rsidRPr="00D340D9">
        <w:t xml:space="preserve"> de las obras</w:t>
      </w:r>
      <w:bookmarkEnd w:id="479"/>
      <w:bookmarkEnd w:id="480"/>
      <w:bookmarkEnd w:id="481"/>
    </w:p>
    <w:p w14:paraId="4D594C2F" w14:textId="77777777" w:rsidR="005D7594" w:rsidRPr="00D340D9" w:rsidRDefault="00EC44F4" w:rsidP="004712AC">
      <w:pPr>
        <w:pStyle w:val="TITU3"/>
        <w:numPr>
          <w:ilvl w:val="0"/>
          <w:numId w:val="0"/>
        </w:numPr>
        <w:outlineLvl w:val="3"/>
      </w:pPr>
      <w:r w:rsidRPr="00D340D9">
        <w:t>417</w:t>
      </w:r>
      <w:r w:rsidR="005D7594" w:rsidRPr="00D340D9">
        <w:t>.3.1.   Suministro, transporte y manipulación.</w:t>
      </w:r>
    </w:p>
    <w:p w14:paraId="75CC8DB9" w14:textId="77777777" w:rsidR="005D7594" w:rsidRPr="00D340D9" w:rsidRDefault="005D7594" w:rsidP="00EC44F4">
      <w:pPr>
        <w:pStyle w:val="NORMAL12"/>
      </w:pPr>
      <w:r w:rsidRPr="00D340D9">
        <w:t>Las condiciones generales de los tubos de PVC son las siguientes:</w:t>
      </w:r>
    </w:p>
    <w:p w14:paraId="4365EC91" w14:textId="77777777" w:rsidR="005D7594" w:rsidRPr="00D340D9" w:rsidRDefault="005D7594" w:rsidP="00E01981">
      <w:pPr>
        <w:pStyle w:val="NORMAL12"/>
        <w:numPr>
          <w:ilvl w:val="0"/>
          <w:numId w:val="98"/>
        </w:numPr>
      </w:pPr>
      <w:r w:rsidRPr="00D340D9">
        <w:t>Los tubos serán siempre de sección circular con sus extremos cortados en sección perpendicular a su eje longitudinal.</w:t>
      </w:r>
    </w:p>
    <w:p w14:paraId="383141FB" w14:textId="77777777" w:rsidR="005D7594" w:rsidRPr="00D340D9" w:rsidRDefault="005D7594" w:rsidP="00E01981">
      <w:pPr>
        <w:pStyle w:val="NORMAL12"/>
        <w:numPr>
          <w:ilvl w:val="0"/>
          <w:numId w:val="98"/>
        </w:numPr>
      </w:pPr>
      <w:r w:rsidRPr="00D340D9">
        <w:lastRenderedPageBreak/>
        <w:t>Estos tubos no se utilizarán cuando la temperatura permanente del agua sea superior a 40ºC</w:t>
      </w:r>
    </w:p>
    <w:p w14:paraId="54BD02B7" w14:textId="77777777" w:rsidR="005D7594" w:rsidRPr="00D340D9" w:rsidRDefault="005D7594" w:rsidP="00E01981">
      <w:pPr>
        <w:pStyle w:val="NORMAL12"/>
        <w:numPr>
          <w:ilvl w:val="0"/>
          <w:numId w:val="98"/>
        </w:numPr>
      </w:pPr>
      <w:r w:rsidRPr="00D340D9">
        <w:t>Estarán exentos de rebabas, fisuras y granos y presentan una distribución uniforme del color.</w:t>
      </w:r>
    </w:p>
    <w:p w14:paraId="721DF9B9" w14:textId="77777777" w:rsidR="005D7594" w:rsidRPr="00D340D9" w:rsidRDefault="005D7594" w:rsidP="00EC44F4">
      <w:pPr>
        <w:pStyle w:val="NORMAL12"/>
      </w:pPr>
      <w:r w:rsidRPr="00D340D9">
        <w:t>Todos los elementos de la tubería llevarán grabados de forma indeleble los distintivos y marcas siguientes:</w:t>
      </w:r>
    </w:p>
    <w:p w14:paraId="030226D8" w14:textId="77777777" w:rsidR="005D7594" w:rsidRPr="00D340D9" w:rsidRDefault="005D7594" w:rsidP="00E01981">
      <w:pPr>
        <w:pStyle w:val="NORMAL12"/>
        <w:numPr>
          <w:ilvl w:val="0"/>
          <w:numId w:val="98"/>
        </w:numPr>
      </w:pPr>
      <w:r w:rsidRPr="00D340D9">
        <w:t>Distintivo de fábrica.</w:t>
      </w:r>
    </w:p>
    <w:p w14:paraId="0498F108" w14:textId="77777777" w:rsidR="005D7594" w:rsidRPr="00D340D9" w:rsidRDefault="005D7594" w:rsidP="00E01981">
      <w:pPr>
        <w:pStyle w:val="NORMAL12"/>
        <w:numPr>
          <w:ilvl w:val="0"/>
          <w:numId w:val="98"/>
        </w:numPr>
      </w:pPr>
      <w:r w:rsidRPr="00D340D9">
        <w:t xml:space="preserve">Diámetro nominal, en </w:t>
      </w:r>
      <w:proofErr w:type="spellStart"/>
      <w:r w:rsidRPr="00D340D9">
        <w:t>mm.</w:t>
      </w:r>
      <w:proofErr w:type="spellEnd"/>
    </w:p>
    <w:p w14:paraId="7A637B19" w14:textId="77777777" w:rsidR="005D7594" w:rsidRPr="00050087" w:rsidRDefault="005D7594" w:rsidP="00E01981">
      <w:pPr>
        <w:pStyle w:val="NORMAL12"/>
        <w:numPr>
          <w:ilvl w:val="0"/>
          <w:numId w:val="98"/>
        </w:numPr>
      </w:pPr>
      <w:r w:rsidRPr="00050087">
        <w:t xml:space="preserve">Presión de timbre, en </w:t>
      </w:r>
      <w:proofErr w:type="spellStart"/>
      <w:r w:rsidRPr="00050087">
        <w:t>kp</w:t>
      </w:r>
      <w:proofErr w:type="spellEnd"/>
      <w:r w:rsidRPr="00050087">
        <w:t>/cm</w:t>
      </w:r>
      <w:r w:rsidRPr="00050087">
        <w:rPr>
          <w:vertAlign w:val="superscript"/>
        </w:rPr>
        <w:t>2</w:t>
      </w:r>
      <w:r w:rsidRPr="00050087">
        <w:t>.</w:t>
      </w:r>
    </w:p>
    <w:p w14:paraId="557671F2" w14:textId="77777777" w:rsidR="005D7594" w:rsidRPr="00D340D9" w:rsidRDefault="005D7594" w:rsidP="00E01981">
      <w:pPr>
        <w:pStyle w:val="NORMAL12"/>
        <w:numPr>
          <w:ilvl w:val="0"/>
          <w:numId w:val="98"/>
        </w:numPr>
      </w:pPr>
      <w:r w:rsidRPr="00D340D9">
        <w:t>Número de identificación, que permita conocer el historial de su fabricación.</w:t>
      </w:r>
    </w:p>
    <w:p w14:paraId="3BFE35FE" w14:textId="77777777" w:rsidR="005D7594" w:rsidRPr="00D340D9" w:rsidRDefault="005D7594" w:rsidP="00E01981">
      <w:pPr>
        <w:pStyle w:val="NORMAL12"/>
        <w:numPr>
          <w:ilvl w:val="0"/>
          <w:numId w:val="98"/>
        </w:numPr>
      </w:pPr>
      <w:r w:rsidRPr="00D340D9">
        <w:t>Fecha de terminación de la fabricación del tubo.</w:t>
      </w:r>
    </w:p>
    <w:p w14:paraId="226A2C63" w14:textId="77777777" w:rsidR="005D7594" w:rsidRPr="00D340D9" w:rsidRDefault="005D7594" w:rsidP="00EC44F4">
      <w:pPr>
        <w:pStyle w:val="NORMAL12"/>
      </w:pPr>
      <w:r w:rsidRPr="00D340D9">
        <w:t>El suministro de cada partida se acompañará de un albarán de entrega en el que se detallará:</w:t>
      </w:r>
    </w:p>
    <w:p w14:paraId="5E35A702" w14:textId="77777777" w:rsidR="005D7594" w:rsidRPr="00D340D9" w:rsidRDefault="005D7594" w:rsidP="00E01981">
      <w:pPr>
        <w:pStyle w:val="NORMAL12"/>
        <w:numPr>
          <w:ilvl w:val="0"/>
          <w:numId w:val="100"/>
        </w:numPr>
      </w:pPr>
      <w:r w:rsidRPr="00D340D9">
        <w:t>Características geométricas del tubo: longitud, diámetro nominal, espesor.</w:t>
      </w:r>
    </w:p>
    <w:p w14:paraId="4B54D7C9" w14:textId="77777777" w:rsidR="005D7594" w:rsidRPr="00D340D9" w:rsidRDefault="005D7594" w:rsidP="00E01981">
      <w:pPr>
        <w:pStyle w:val="NORMAL12"/>
        <w:numPr>
          <w:ilvl w:val="0"/>
          <w:numId w:val="100"/>
        </w:numPr>
      </w:pPr>
      <w:r w:rsidRPr="00D340D9">
        <w:t>Sello de calidad del suministrado o, en su defecto, certificado de garantía que acredite la realización de los ensayos de recepción según la normativa UNE de aplicación.</w:t>
      </w:r>
    </w:p>
    <w:p w14:paraId="10E70E9E" w14:textId="77777777" w:rsidR="005D7594" w:rsidRPr="00D340D9" w:rsidRDefault="005D7594" w:rsidP="00EC44F4">
      <w:pPr>
        <w:pStyle w:val="NORMAL12"/>
      </w:pPr>
      <w:r w:rsidRPr="00D340D9">
        <w:t>En el transporte de tubos de material termoplásticos se debe tener en cuenta:</w:t>
      </w:r>
    </w:p>
    <w:p w14:paraId="0B2879A6" w14:textId="77777777" w:rsidR="005D7594" w:rsidRPr="00D340D9" w:rsidRDefault="005D7594" w:rsidP="00E01981">
      <w:pPr>
        <w:pStyle w:val="NORMAL12"/>
        <w:numPr>
          <w:ilvl w:val="0"/>
          <w:numId w:val="101"/>
        </w:numPr>
      </w:pPr>
      <w:r w:rsidRPr="00D340D9">
        <w:t>Se transportarán en camiones donde se debe evitar que la caja tenga protuberancias o bordes rígidos o agudos que puedan dañar a los tubos.</w:t>
      </w:r>
    </w:p>
    <w:p w14:paraId="2ACF9C43" w14:textId="77777777" w:rsidR="005D7594" w:rsidRPr="00D340D9" w:rsidRDefault="005D7594" w:rsidP="00E01981">
      <w:pPr>
        <w:pStyle w:val="NORMAL12"/>
        <w:numPr>
          <w:ilvl w:val="0"/>
          <w:numId w:val="101"/>
        </w:numPr>
      </w:pPr>
      <w:r w:rsidRPr="00D340D9">
        <w:t>Cuando se carguen tubos de diferente diámetro se colocarán en la parte inferior aquellos de mayor tamaño y espesor por lo tanto más pesados, para evitar riesgo de deformaciones.</w:t>
      </w:r>
    </w:p>
    <w:p w14:paraId="79AA90B3" w14:textId="77777777" w:rsidR="005D7594" w:rsidRPr="00D340D9" w:rsidRDefault="005D7594" w:rsidP="00E01981">
      <w:pPr>
        <w:pStyle w:val="NORMAL12"/>
        <w:numPr>
          <w:ilvl w:val="0"/>
          <w:numId w:val="101"/>
        </w:numPr>
      </w:pPr>
      <w:r w:rsidRPr="00D340D9">
        <w:t>En la manipulación de los tubos debe tenerse en cuenta el riesgo de rotura de los extremos achaflanados y de las embocaduras. No deben ser arrasados por el terreno, ni colocados haciéndolos rodar por rampas. Cuando se utilice maquinaria en su manipulación, todos los elementos de contacto deben ser de material blando.</w:t>
      </w:r>
    </w:p>
    <w:p w14:paraId="1F7E257B" w14:textId="77777777" w:rsidR="005D7594" w:rsidRPr="00D340D9" w:rsidRDefault="005D7594" w:rsidP="00E01981">
      <w:pPr>
        <w:pStyle w:val="NORMAL12"/>
        <w:numPr>
          <w:ilvl w:val="0"/>
          <w:numId w:val="101"/>
        </w:numPr>
      </w:pPr>
      <w:r w:rsidRPr="00D340D9">
        <w:t>Cuando los tubos se descarguen de los vehículos no deben ser arrojados al suelo, deben ser bajados cuidadosamente y colocados en filas cuando vayan a ser almacenados.</w:t>
      </w:r>
    </w:p>
    <w:p w14:paraId="45709C4D" w14:textId="77777777" w:rsidR="005D7594" w:rsidRPr="00D340D9" w:rsidRDefault="005D7594" w:rsidP="00E01981">
      <w:pPr>
        <w:pStyle w:val="NORMAL12"/>
        <w:numPr>
          <w:ilvl w:val="0"/>
          <w:numId w:val="101"/>
        </w:numPr>
      </w:pPr>
      <w:r w:rsidRPr="00D340D9">
        <w:t>Los tubos se descargarán cerca del lugar donde deban ser colocados y de forma que puedan trasladarse con facilidad al lugar en que hayan de instalarse. Se evitará que el tubo quede apoyado sobre puntos aislados.</w:t>
      </w:r>
    </w:p>
    <w:p w14:paraId="0C290DCB" w14:textId="77777777" w:rsidR="005D7594" w:rsidRPr="00D340D9" w:rsidRDefault="005D7594" w:rsidP="00EC44F4">
      <w:pPr>
        <w:pStyle w:val="NORMAL12"/>
      </w:pPr>
      <w:r w:rsidRPr="00D340D9">
        <w:t>Si se realiza acopio o almacenamiento de tubos sobre el terreno se comprobará que éste es consistente y lo suficiente liso para que los tubos se apoyen en toda su longitud sin el riesgo de que piedras y otros salientes agudos puedan dañarles.</w:t>
      </w:r>
    </w:p>
    <w:p w14:paraId="1E02D3BB" w14:textId="77777777" w:rsidR="005D7594" w:rsidRPr="00D340D9" w:rsidRDefault="005D7594" w:rsidP="00EC44F4">
      <w:pPr>
        <w:pStyle w:val="NORMAL12"/>
      </w:pPr>
      <w:r w:rsidRPr="00D340D9">
        <w:t>Cuando los tubos se acopien en el exterior con temperatura ambiente superior a 23ºC se recomienda:</w:t>
      </w:r>
    </w:p>
    <w:p w14:paraId="6D815C23" w14:textId="77777777" w:rsidR="005D7594" w:rsidRPr="00D340D9" w:rsidRDefault="005D7594" w:rsidP="00E01981">
      <w:pPr>
        <w:pStyle w:val="NORMAL12"/>
        <w:numPr>
          <w:ilvl w:val="0"/>
          <w:numId w:val="99"/>
        </w:numPr>
      </w:pPr>
      <w:r w:rsidRPr="00D340D9">
        <w:t>La altura de las pilas será inferior a 1 m.</w:t>
      </w:r>
    </w:p>
    <w:p w14:paraId="16B89531" w14:textId="77777777" w:rsidR="005D7594" w:rsidRPr="00D340D9" w:rsidRDefault="005D7594" w:rsidP="00E01981">
      <w:pPr>
        <w:pStyle w:val="NORMAL12"/>
        <w:numPr>
          <w:ilvl w:val="0"/>
          <w:numId w:val="99"/>
        </w:numPr>
      </w:pPr>
      <w:r w:rsidRPr="00D340D9">
        <w:t>Todas las filas deben estar protegidas de la exposición directa al sol y permitir el paso libre del aire alrededor de los tubos.</w:t>
      </w:r>
    </w:p>
    <w:p w14:paraId="4240309F" w14:textId="77777777" w:rsidR="005D7594" w:rsidRPr="00D340D9" w:rsidRDefault="005D7594" w:rsidP="00E01981">
      <w:pPr>
        <w:pStyle w:val="NORMAL12"/>
        <w:numPr>
          <w:ilvl w:val="0"/>
          <w:numId w:val="99"/>
        </w:numPr>
      </w:pPr>
      <w:r w:rsidRPr="00D340D9">
        <w:t>Los accesorios almacenados de tal forma que permitan el paso libre del aire.</w:t>
      </w:r>
    </w:p>
    <w:p w14:paraId="339629F7" w14:textId="77777777" w:rsidR="005D7594" w:rsidRPr="00D340D9" w:rsidRDefault="005D7594" w:rsidP="00EC44F4">
      <w:pPr>
        <w:pStyle w:val="NORMAL12"/>
      </w:pPr>
      <w:r w:rsidRPr="00D340D9">
        <w:t xml:space="preserve">Durante su permanencia en la obra, antes del tapado de las zanjas o terraplenados, los tubos deberán quedar protegidos de acciones o elementos que puedan dañarles, como tránsito o elementos con bordes agudos o punzantes. Igualmente se evitará que estén expuestos durante largo tiempo a condiciones atmosféricas en que puedan alterar las características de los materiales que lo componen. </w:t>
      </w:r>
    </w:p>
    <w:p w14:paraId="22D4B948" w14:textId="77777777" w:rsidR="005D7594" w:rsidRPr="00D340D9" w:rsidRDefault="005D7594" w:rsidP="00EC44F4">
      <w:pPr>
        <w:pStyle w:val="NORMAL12"/>
      </w:pPr>
      <w:r w:rsidRPr="00D340D9">
        <w:t>Debe tenerse en cuenta que la resistencia al impacto de los tubos de PVC disminuye de forma acusada a temperaturas inferiores a 0ºC</w:t>
      </w:r>
    </w:p>
    <w:p w14:paraId="55D4BCBF" w14:textId="77777777" w:rsidR="005D7594" w:rsidRPr="00D340D9" w:rsidRDefault="00EC44F4" w:rsidP="004712AC">
      <w:pPr>
        <w:pStyle w:val="TITU3"/>
        <w:numPr>
          <w:ilvl w:val="0"/>
          <w:numId w:val="0"/>
        </w:numPr>
        <w:outlineLvl w:val="3"/>
      </w:pPr>
      <w:r w:rsidRPr="00D340D9">
        <w:t>417</w:t>
      </w:r>
      <w:r w:rsidR="005D7594" w:rsidRPr="00D340D9">
        <w:t>.3.2.   Puesta en obra</w:t>
      </w:r>
    </w:p>
    <w:p w14:paraId="5D59D110" w14:textId="77777777" w:rsidR="005D7594" w:rsidRPr="00D340D9" w:rsidRDefault="005D7594" w:rsidP="00EC44F4">
      <w:pPr>
        <w:pStyle w:val="NORMAL12"/>
      </w:pPr>
      <w:r w:rsidRPr="00D340D9">
        <w:t>Los tubos se instalarán en una zanja cuyo ancho será como mínimo cincuenta (50) cm mayor que el diámetro nominal del tubo, medido dicho ancho a nivel de la generatriz superior.</w:t>
      </w:r>
    </w:p>
    <w:p w14:paraId="59B63F4F" w14:textId="77777777" w:rsidR="005D7594" w:rsidRPr="00D340D9" w:rsidRDefault="005D7594" w:rsidP="00EC44F4">
      <w:pPr>
        <w:pStyle w:val="NORMAL12"/>
      </w:pPr>
      <w:r w:rsidRPr="00D340D9">
        <w:t xml:space="preserve">El entronque de los tubos con pozos se realizará mediante juntas y piezas especiales </w:t>
      </w:r>
      <w:r w:rsidR="00CE424A" w:rsidRPr="00D340D9">
        <w:t>y quedando</w:t>
      </w:r>
      <w:r w:rsidRPr="00D340D9">
        <w:t xml:space="preserve"> enrasado su extremo con la cara interior del pozo.</w:t>
      </w:r>
    </w:p>
    <w:p w14:paraId="3FA79423" w14:textId="77777777" w:rsidR="005D7594" w:rsidRPr="00D340D9" w:rsidRDefault="005D7594" w:rsidP="00EC44F4">
      <w:pPr>
        <w:pStyle w:val="NORMAL12"/>
      </w:pPr>
      <w:r w:rsidRPr="00D340D9">
        <w:t>Los tubos irán apoyados sobre una cama de are</w:t>
      </w:r>
      <w:r w:rsidR="000F7848" w:rsidRPr="00D340D9">
        <w:t>na de al menos 10 cm de espesor.</w:t>
      </w:r>
    </w:p>
    <w:p w14:paraId="1AEAE5C6" w14:textId="77777777" w:rsidR="000F7848" w:rsidRPr="00D340D9" w:rsidRDefault="000F7848" w:rsidP="00EC44F4">
      <w:pPr>
        <w:pStyle w:val="NORMAL12"/>
      </w:pPr>
      <w:r w:rsidRPr="00D340D9">
        <w:lastRenderedPageBreak/>
        <w:t xml:space="preserve">En el caso de tubos ranurados </w:t>
      </w:r>
      <w:r w:rsidR="00CE424A" w:rsidRPr="00D340D9">
        <w:t>están protegidos</w:t>
      </w:r>
      <w:r w:rsidRPr="00D340D9">
        <w:t xml:space="preserve"> por una capa de grava de 25 cm de espesor sobre la generatriz, y envueltos por geotextil. Tal y co</w:t>
      </w:r>
      <w:r w:rsidR="00D340D9" w:rsidRPr="00D340D9">
        <w:t xml:space="preserve">mo se detalla en los artículos de </w:t>
      </w:r>
      <w:r w:rsidRPr="00D340D9">
        <w:t>geotextil para separación y filtro del presente pliego.</w:t>
      </w:r>
    </w:p>
    <w:p w14:paraId="407D955A" w14:textId="77777777" w:rsidR="005D7594" w:rsidRPr="00D340D9" w:rsidRDefault="005D7594" w:rsidP="00EC44F4">
      <w:pPr>
        <w:pStyle w:val="NORMAL12"/>
      </w:pPr>
      <w:r w:rsidRPr="00D340D9">
        <w:t xml:space="preserve">Los tubos deberán transportarse, apilarse y manejarse en obra con las adecuadas garantías y será de cuenta del Contratista cualquier tipo de defecto que a juicio del </w:t>
      </w:r>
      <w:proofErr w:type="gramStart"/>
      <w:r w:rsidRPr="00D340D9">
        <w:t>Director</w:t>
      </w:r>
      <w:proofErr w:type="gramEnd"/>
      <w:r w:rsidRPr="00D340D9">
        <w:t xml:space="preserve"> de Obra aparezca en los citados tubos, de manera que reduzca ostensiblemente la capacidad portante o resistente al ataque de las aguas.</w:t>
      </w:r>
    </w:p>
    <w:p w14:paraId="2CD76EEB" w14:textId="77777777" w:rsidR="005D7594" w:rsidRPr="00D340D9" w:rsidRDefault="005D7594" w:rsidP="00EC44F4">
      <w:pPr>
        <w:pStyle w:val="NORMAL12"/>
      </w:pPr>
      <w:r w:rsidRPr="00D340D9">
        <w:t>Cuando se interrumpa la colocación de tuberías se taponarán los extremos libres para impedir la entrada de agua o cuerpos extra</w:t>
      </w:r>
      <w:r w:rsidRPr="00D340D9">
        <w:softHyphen/>
        <w:t>ños, procediendo a examinar con todo cuidado el interior de la tubería al reanudar el trabajo.</w:t>
      </w:r>
    </w:p>
    <w:p w14:paraId="5FC70350" w14:textId="77777777" w:rsidR="005D7594" w:rsidRPr="00D340D9" w:rsidRDefault="005D7594" w:rsidP="00EC44F4">
      <w:pPr>
        <w:pStyle w:val="NORMAL12"/>
      </w:pPr>
      <w:r w:rsidRPr="00D340D9">
        <w:t>Las tuberías y zanjas se mantendrán libres de agua, agotando con bombas o dejando desagües en la excavación en caso necesario.</w:t>
      </w:r>
    </w:p>
    <w:p w14:paraId="70D6FB03" w14:textId="77777777" w:rsidR="005D7594" w:rsidRPr="00D340D9" w:rsidRDefault="005D7594" w:rsidP="00EC44F4">
      <w:pPr>
        <w:pStyle w:val="NORMAL12"/>
      </w:pPr>
      <w:r w:rsidRPr="00D340D9">
        <w:t xml:space="preserve">No se colocarán más de 100 m de tubería sin proceder al relleno, al menos parcial, para evitar la posible flotación de los tubos en caso de inundación de la zanja y también para protegerlos en lo posible de golpes. </w:t>
      </w:r>
    </w:p>
    <w:p w14:paraId="026891F6" w14:textId="77777777" w:rsidR="005D7594" w:rsidRPr="00D340D9" w:rsidRDefault="00D340D9" w:rsidP="004712AC">
      <w:pPr>
        <w:pStyle w:val="TITU3"/>
        <w:numPr>
          <w:ilvl w:val="0"/>
          <w:numId w:val="0"/>
        </w:numPr>
        <w:outlineLvl w:val="3"/>
      </w:pPr>
      <w:r w:rsidRPr="00D340D9">
        <w:t>417</w:t>
      </w:r>
      <w:r w:rsidR="005D7594" w:rsidRPr="00D340D9">
        <w:t>.3.3.   Juntas y uniones</w:t>
      </w:r>
    </w:p>
    <w:p w14:paraId="00B44531" w14:textId="77777777" w:rsidR="005D7594" w:rsidRPr="00D340D9" w:rsidRDefault="005D7594" w:rsidP="00EC44F4">
      <w:pPr>
        <w:pStyle w:val="NORMAL12"/>
      </w:pPr>
      <w:r w:rsidRPr="00D340D9">
        <w:t>Las condiciones que deben cumplir las siguientes condiciones:</w:t>
      </w:r>
    </w:p>
    <w:p w14:paraId="1ECF0C79" w14:textId="77777777" w:rsidR="005D7594" w:rsidRPr="00D340D9" w:rsidRDefault="005D7594" w:rsidP="00E01981">
      <w:pPr>
        <w:pStyle w:val="NORMAL12"/>
        <w:numPr>
          <w:ilvl w:val="0"/>
          <w:numId w:val="99"/>
        </w:numPr>
      </w:pPr>
      <w:r w:rsidRPr="00D340D9">
        <w:t>Resistir los esfuerzos mecánicos sin debilitar las resistencias de los tubos.</w:t>
      </w:r>
    </w:p>
    <w:p w14:paraId="081E33C1" w14:textId="77777777" w:rsidR="005D7594" w:rsidRPr="00D340D9" w:rsidRDefault="005D7594" w:rsidP="00E01981">
      <w:pPr>
        <w:pStyle w:val="NORMAL12"/>
        <w:numPr>
          <w:ilvl w:val="0"/>
          <w:numId w:val="99"/>
        </w:numPr>
      </w:pPr>
      <w:r w:rsidRPr="00D340D9">
        <w:t>No producir alteraciones del régimen hidráulico.</w:t>
      </w:r>
    </w:p>
    <w:p w14:paraId="09B4237C" w14:textId="77777777" w:rsidR="005D7594" w:rsidRPr="00D340D9" w:rsidRDefault="005D7594" w:rsidP="00E01981">
      <w:pPr>
        <w:pStyle w:val="NORMAL12"/>
        <w:numPr>
          <w:ilvl w:val="0"/>
          <w:numId w:val="99"/>
        </w:numPr>
      </w:pPr>
      <w:r w:rsidRPr="00D340D9">
        <w:t>Durabilidad de los elementos que la componen.</w:t>
      </w:r>
    </w:p>
    <w:p w14:paraId="5EC1F5E5" w14:textId="77777777" w:rsidR="005D7594" w:rsidRPr="00D340D9" w:rsidRDefault="005D7594" w:rsidP="00E01981">
      <w:pPr>
        <w:pStyle w:val="NORMAL12"/>
        <w:numPr>
          <w:ilvl w:val="0"/>
          <w:numId w:val="99"/>
        </w:numPr>
      </w:pPr>
      <w:r w:rsidRPr="00D340D9">
        <w:t xml:space="preserve">La estanqueidad de la junta en obras de saneamiento debe ser estancas a presión hidráulica interior a 1 </w:t>
      </w:r>
      <w:proofErr w:type="spellStart"/>
      <w:r w:rsidRPr="00D340D9">
        <w:t>kp</w:t>
      </w:r>
      <w:proofErr w:type="spellEnd"/>
      <w:r w:rsidRPr="00D340D9">
        <w:t xml:space="preserve"> / cm</w:t>
      </w:r>
      <w:r w:rsidRPr="00050087">
        <w:rPr>
          <w:vertAlign w:val="superscript"/>
        </w:rPr>
        <w:t>2</w:t>
      </w:r>
      <w:r w:rsidRPr="00D340D9">
        <w:t>.</w:t>
      </w:r>
    </w:p>
    <w:p w14:paraId="520329F8" w14:textId="77777777" w:rsidR="005D7594" w:rsidRPr="00D340D9" w:rsidRDefault="005D7594" w:rsidP="00E01981">
      <w:pPr>
        <w:pStyle w:val="NORMAL12"/>
        <w:numPr>
          <w:ilvl w:val="0"/>
          <w:numId w:val="99"/>
        </w:numPr>
      </w:pPr>
      <w:r w:rsidRPr="00D340D9">
        <w:t>Estanqueidad de la unión contra eventuales infiltraciones desde el exterior hacia el interior.</w:t>
      </w:r>
    </w:p>
    <w:p w14:paraId="5E6DF418" w14:textId="77777777" w:rsidR="005D7594" w:rsidRPr="00D340D9" w:rsidRDefault="005D7594" w:rsidP="00EC44F4">
      <w:pPr>
        <w:pStyle w:val="NORMAL12"/>
      </w:pPr>
      <w:r w:rsidRPr="00D340D9">
        <w:t xml:space="preserve">Se realizará con bridas metálicas, aplicadas sobre </w:t>
      </w:r>
      <w:proofErr w:type="spellStart"/>
      <w:r w:rsidRPr="00D340D9">
        <w:t>portabridas</w:t>
      </w:r>
      <w:proofErr w:type="spellEnd"/>
      <w:r w:rsidRPr="00D340D9">
        <w:t xml:space="preserve"> de PVC inyectado y encolado al extremo del tubo, en fábrica y con entera garantía.</w:t>
      </w:r>
    </w:p>
    <w:p w14:paraId="3B3A373A" w14:textId="77777777" w:rsidR="005D7594" w:rsidRPr="00D340D9" w:rsidRDefault="005D7594" w:rsidP="00EC44F4">
      <w:pPr>
        <w:pStyle w:val="NORMAL12"/>
      </w:pPr>
      <w:r w:rsidRPr="00D340D9">
        <w:t xml:space="preserve">La embocadura o copa de los tubos se formará en fábrica mediante la operación de encopado por moldeo, con o sin </w:t>
      </w:r>
      <w:proofErr w:type="spellStart"/>
      <w:r w:rsidRPr="00D340D9">
        <w:t>regruesamiento</w:t>
      </w:r>
      <w:proofErr w:type="spellEnd"/>
      <w:r w:rsidRPr="00D340D9">
        <w:t xml:space="preserve"> de la pared. No se permitirá las copas encoladas.</w:t>
      </w:r>
    </w:p>
    <w:p w14:paraId="4365853C" w14:textId="77777777" w:rsidR="005D7594" w:rsidRPr="00D340D9" w:rsidRDefault="005D7594" w:rsidP="00EC44F4">
      <w:pPr>
        <w:pStyle w:val="NORMAL12"/>
      </w:pPr>
      <w:r w:rsidRPr="00D340D9">
        <w:t xml:space="preserve">Las longitudes de tuberías que se </w:t>
      </w:r>
      <w:proofErr w:type="gramStart"/>
      <w:r w:rsidRPr="00D340D9">
        <w:t>montarán,</w:t>
      </w:r>
      <w:proofErr w:type="gramEnd"/>
      <w:r w:rsidRPr="00D340D9">
        <w:t xml:space="preserve"> serán las definidas en los planos del Proyecto. Para ello, el Contratista fabricará los necesarios tramos rectos de tubo de longitudes más cortas que </w:t>
      </w:r>
      <w:proofErr w:type="gramStart"/>
      <w:r w:rsidRPr="00D340D9">
        <w:t>las estándar</w:t>
      </w:r>
      <w:proofErr w:type="gramEnd"/>
      <w:r w:rsidRPr="00D340D9">
        <w:t>.</w:t>
      </w:r>
    </w:p>
    <w:p w14:paraId="28B52E7B" w14:textId="77777777" w:rsidR="005D7594" w:rsidRPr="00D340D9" w:rsidRDefault="005D7594" w:rsidP="00EC44F4">
      <w:pPr>
        <w:pStyle w:val="NORMAL12"/>
      </w:pPr>
      <w:r w:rsidRPr="00D340D9">
        <w:t>Se prohíbe el empleo de cuñas de piedra o de madera que puedan desplazarse.</w:t>
      </w:r>
    </w:p>
    <w:p w14:paraId="49C4FCCD" w14:textId="77777777" w:rsidR="005D7594" w:rsidRPr="00D340D9" w:rsidRDefault="005D7594" w:rsidP="00EC44F4">
      <w:pPr>
        <w:pStyle w:val="NORMAL12"/>
      </w:pPr>
      <w:r w:rsidRPr="00D340D9">
        <w:t>Una vez finalizada la instalación, total o parcial, de la tubería y con anterioridad al relleno de la zanja se realizarán las pruebas de estanqueidad</w:t>
      </w:r>
      <w:r w:rsidR="000F7848" w:rsidRPr="00D340D9">
        <w:t>, excepto en los ranurados</w:t>
      </w:r>
      <w:r w:rsidRPr="00D340D9">
        <w:t>. El Contratista suministrará todo el personal, equipo y material necesario para las pruebas.</w:t>
      </w:r>
    </w:p>
    <w:p w14:paraId="25230F54" w14:textId="77777777" w:rsidR="005D7594" w:rsidRPr="00D340D9" w:rsidRDefault="005D7594" w:rsidP="00EC44F4">
      <w:pPr>
        <w:pStyle w:val="NORMAL12"/>
      </w:pPr>
      <w:proofErr w:type="gramStart"/>
      <w:r w:rsidRPr="00D340D9">
        <w:t>Los tapones o bridas ciegas a usar</w:t>
      </w:r>
      <w:proofErr w:type="gramEnd"/>
      <w:r w:rsidRPr="00D340D9">
        <w:t xml:space="preserve"> en las pruebas serán de pro</w:t>
      </w:r>
      <w:r w:rsidRPr="00D340D9">
        <w:softHyphen/>
        <w:t>yecto y construcción adecuados para resistir la presión de prue</w:t>
      </w:r>
      <w:r w:rsidRPr="00D340D9">
        <w:softHyphen/>
        <w:t xml:space="preserve">ba, sin ocasionar daños o torsiones excesivas en el tubo. Dichas bridas ciegas deben ser fácilmente desmontables, para poder continuar el montaje de la tubería. El Contratista pondrá especial cuidado en la sujeción y arriostramiento de todas las bridas, etc. para evitar cualquier movimiento al aplicar la presión de prueba. Los cambios de dirección, piezas especiales, </w:t>
      </w:r>
      <w:proofErr w:type="spellStart"/>
      <w:r w:rsidRPr="00D340D9">
        <w:t>etc</w:t>
      </w:r>
      <w:proofErr w:type="spellEnd"/>
      <w:r w:rsidRPr="00D340D9">
        <w:t>, deberán estar anclados.</w:t>
      </w:r>
    </w:p>
    <w:p w14:paraId="4D0FCE99" w14:textId="77777777" w:rsidR="002933FD" w:rsidRPr="00D340D9" w:rsidRDefault="00A87D99" w:rsidP="000313DD">
      <w:pPr>
        <w:pStyle w:val="TITU2"/>
      </w:pPr>
      <w:bookmarkStart w:id="482" w:name="_Toc404252"/>
      <w:r w:rsidRPr="00D340D9">
        <w:t xml:space="preserve">417.4. </w:t>
      </w:r>
      <w:r w:rsidR="001013FE" w:rsidRPr="00D340D9">
        <w:t xml:space="preserve">  </w:t>
      </w:r>
      <w:r w:rsidR="002933FD" w:rsidRPr="00D340D9">
        <w:t>Recepción</w:t>
      </w:r>
      <w:bookmarkEnd w:id="482"/>
    </w:p>
    <w:p w14:paraId="7275AF8D" w14:textId="77777777" w:rsidR="005D7594" w:rsidRPr="00D340D9" w:rsidRDefault="005D7594" w:rsidP="00EC44F4">
      <w:pPr>
        <w:pStyle w:val="NORMAL12"/>
        <w:rPr>
          <w:lang w:val="es-ES"/>
        </w:rPr>
      </w:pPr>
      <w:r w:rsidRPr="00D340D9">
        <w:rPr>
          <w:lang w:val="es-ES"/>
        </w:rPr>
        <w:t>El fabricante está obligado a facilitar información técnica sobre la naturaleza, origen y propiedades de todas las materias que integran el producto acabado, así como el proceso de fabricación de los tubos y accesorios, de los procedimientos y medios del control de calidad que realiza, con indicación de laboratorios, registros de datos y demás aspectos relacionados con las propiedades del producto y la regularidad de sus características.</w:t>
      </w:r>
    </w:p>
    <w:p w14:paraId="27DCAA9C" w14:textId="77777777" w:rsidR="005D7594" w:rsidRPr="00D340D9" w:rsidRDefault="005D7594" w:rsidP="00EC44F4">
      <w:pPr>
        <w:pStyle w:val="NORMAL12"/>
        <w:rPr>
          <w:lang w:val="es-ES"/>
        </w:rPr>
      </w:pPr>
      <w:r w:rsidRPr="00D340D9">
        <w:rPr>
          <w:lang w:val="es-ES"/>
        </w:rPr>
        <w:t>En especial deberá justificar los valores de las características a largo plazo, datos experimentales de partida y métodos de extrapolación en el tiempo empleados. Así mismo hará referencia a los ensayos de larga duración efectuados.</w:t>
      </w:r>
    </w:p>
    <w:p w14:paraId="5789FC36" w14:textId="77777777" w:rsidR="005D7594" w:rsidRPr="00D340D9" w:rsidRDefault="005D7594" w:rsidP="00EC44F4">
      <w:pPr>
        <w:pStyle w:val="NORMAL12"/>
        <w:rPr>
          <w:lang w:val="es-ES"/>
        </w:rPr>
      </w:pPr>
      <w:r w:rsidRPr="00D340D9">
        <w:rPr>
          <w:lang w:val="es-ES"/>
        </w:rPr>
        <w:t xml:space="preserve">El fabricante está obligado a declarar por escrito los valores referentes a las características o propiedades del producto </w:t>
      </w:r>
      <w:r w:rsidRPr="00050087">
        <w:rPr>
          <w:lang w:val="es-ES"/>
        </w:rPr>
        <w:t xml:space="preserve">acabado, que en todo caso deben ser iguales o superiores a las especificadas en el </w:t>
      </w:r>
      <w:r w:rsidR="00340E7D" w:rsidRPr="00050087">
        <w:rPr>
          <w:lang w:val="es-ES"/>
        </w:rPr>
        <w:t xml:space="preserve">epígrafe 417.2. </w:t>
      </w:r>
      <w:r w:rsidR="00340E7D" w:rsidRPr="00050087">
        <w:rPr>
          <w:i/>
          <w:lang w:val="es-ES"/>
        </w:rPr>
        <w:t>Materiales</w:t>
      </w:r>
      <w:r w:rsidR="00340E7D" w:rsidRPr="00050087">
        <w:rPr>
          <w:lang w:val="es-ES"/>
        </w:rPr>
        <w:t xml:space="preserve"> del presente artículo</w:t>
      </w:r>
    </w:p>
    <w:p w14:paraId="639D7FC7" w14:textId="77777777" w:rsidR="005D7594" w:rsidRPr="00D340D9" w:rsidRDefault="005D7594" w:rsidP="00EC44F4">
      <w:pPr>
        <w:pStyle w:val="NORMAL12"/>
        <w:rPr>
          <w:lang w:val="es-ES"/>
        </w:rPr>
      </w:pPr>
      <w:r w:rsidRPr="00D340D9">
        <w:rPr>
          <w:lang w:val="es-ES"/>
        </w:rPr>
        <w:t>El fabricante especificará y garantizará los valores de todas las características físicas y mecánicas.</w:t>
      </w:r>
    </w:p>
    <w:p w14:paraId="2C3BDF2B" w14:textId="77777777" w:rsidR="00224ACB" w:rsidRPr="00D340D9" w:rsidRDefault="00224ACB" w:rsidP="002933FD">
      <w:pPr>
        <w:pStyle w:val="NORMAL12"/>
        <w:rPr>
          <w:lang w:val="es-ES"/>
        </w:rPr>
      </w:pPr>
      <w:r w:rsidRPr="00D340D9">
        <w:rPr>
          <w:lang w:val="es-ES"/>
        </w:rPr>
        <w:t xml:space="preserve">Se medirá y comprobará que el diámetro y longitud de las tuberías es la acordada en los planos de proyecto, encontrándose dentro de las tolerancias admisibles. </w:t>
      </w:r>
      <w:proofErr w:type="gramStart"/>
      <w:r w:rsidRPr="00D340D9">
        <w:rPr>
          <w:lang w:val="es-ES"/>
        </w:rPr>
        <w:t>Además</w:t>
      </w:r>
      <w:proofErr w:type="gramEnd"/>
      <w:r w:rsidRPr="00D340D9">
        <w:rPr>
          <w:lang w:val="es-ES"/>
        </w:rPr>
        <w:t xml:space="preserve"> se verificará limpieza de las zanjas, que deberán encontrarse exentas de material que pueda </w:t>
      </w:r>
      <w:r w:rsidRPr="00D340D9">
        <w:rPr>
          <w:lang w:val="es-ES"/>
        </w:rPr>
        <w:lastRenderedPageBreak/>
        <w:t xml:space="preserve">dañar la tubería o cualquier partícula extraña, para garantizar la correcta ejecución de las operaciones posteriores. </w:t>
      </w:r>
    </w:p>
    <w:p w14:paraId="0FED415A" w14:textId="77777777" w:rsidR="00224ACB" w:rsidRPr="00D340D9" w:rsidRDefault="00224ACB" w:rsidP="002933FD">
      <w:pPr>
        <w:pStyle w:val="NORMAL12"/>
        <w:rPr>
          <w:lang w:val="es-ES"/>
        </w:rPr>
      </w:pPr>
      <w:r w:rsidRPr="00D340D9">
        <w:rPr>
          <w:lang w:val="es-ES"/>
        </w:rPr>
        <w:t>Se comprobará que el interior del tubo se encuentra totalmente libre de elementos que puedan llevar a su taponamiento.</w:t>
      </w:r>
    </w:p>
    <w:p w14:paraId="1BF0CD2C" w14:textId="77777777" w:rsidR="00224ACB" w:rsidRPr="00D340D9" w:rsidRDefault="00224ACB" w:rsidP="002933FD">
      <w:pPr>
        <w:pStyle w:val="NORMAL12"/>
        <w:rPr>
          <w:lang w:val="es-ES"/>
        </w:rPr>
      </w:pPr>
      <w:r w:rsidRPr="00D340D9">
        <w:rPr>
          <w:lang w:val="es-ES"/>
        </w:rPr>
        <w:t>Paralelamente para la recepción del producto tendrán carácter obligatorio las pruebas de recepción siguientes:</w:t>
      </w:r>
    </w:p>
    <w:p w14:paraId="7FFBE2A7" w14:textId="77777777" w:rsidR="00224ACB" w:rsidRPr="00D340D9" w:rsidRDefault="00224ACB" w:rsidP="00E01981">
      <w:pPr>
        <w:pStyle w:val="LCATextoIndependiente"/>
        <w:numPr>
          <w:ilvl w:val="0"/>
          <w:numId w:val="59"/>
        </w:numPr>
        <w:rPr>
          <w:sz w:val="24"/>
        </w:rPr>
      </w:pPr>
      <w:r w:rsidRPr="00D340D9">
        <w:rPr>
          <w:sz w:val="24"/>
        </w:rPr>
        <w:t>Examen visual del aspecto exterior de los tubos y accesorios.</w:t>
      </w:r>
    </w:p>
    <w:p w14:paraId="7D33206B" w14:textId="77777777" w:rsidR="00224ACB" w:rsidRPr="00D340D9" w:rsidRDefault="00224ACB" w:rsidP="00E01981">
      <w:pPr>
        <w:pStyle w:val="LCATextoIndependiente"/>
        <w:numPr>
          <w:ilvl w:val="0"/>
          <w:numId w:val="59"/>
        </w:numPr>
        <w:rPr>
          <w:sz w:val="24"/>
        </w:rPr>
      </w:pPr>
      <w:r w:rsidRPr="00D340D9">
        <w:rPr>
          <w:sz w:val="24"/>
        </w:rPr>
        <w:t>Comprobación de dimensiones y espesores de los tubos y accesorios</w:t>
      </w:r>
    </w:p>
    <w:p w14:paraId="2D6F9D89" w14:textId="77777777" w:rsidR="00224ACB" w:rsidRPr="00D340D9" w:rsidRDefault="00224ACB" w:rsidP="00E01981">
      <w:pPr>
        <w:pStyle w:val="LCATextoIndependiente"/>
        <w:numPr>
          <w:ilvl w:val="0"/>
          <w:numId w:val="59"/>
        </w:numPr>
        <w:rPr>
          <w:sz w:val="24"/>
        </w:rPr>
      </w:pPr>
      <w:r w:rsidRPr="00D340D9">
        <w:rPr>
          <w:sz w:val="24"/>
        </w:rPr>
        <w:t>Comprobación de las canalizaciones y estado del sellado</w:t>
      </w:r>
      <w:r w:rsidR="000F7848" w:rsidRPr="00D340D9">
        <w:rPr>
          <w:sz w:val="24"/>
        </w:rPr>
        <w:t>.</w:t>
      </w:r>
    </w:p>
    <w:p w14:paraId="2DFB6391" w14:textId="77777777" w:rsidR="00224ACB" w:rsidRPr="00D340D9" w:rsidRDefault="00224ACB" w:rsidP="00E01981">
      <w:pPr>
        <w:pStyle w:val="LCATextoIndependiente"/>
        <w:numPr>
          <w:ilvl w:val="0"/>
          <w:numId w:val="59"/>
        </w:numPr>
        <w:rPr>
          <w:sz w:val="24"/>
        </w:rPr>
      </w:pPr>
      <w:r w:rsidRPr="00D340D9">
        <w:rPr>
          <w:sz w:val="24"/>
        </w:rPr>
        <w:t>Pruebas de resistencia (impacto y tracción) a corto y largo plazo.</w:t>
      </w:r>
    </w:p>
    <w:p w14:paraId="20278081" w14:textId="77777777" w:rsidR="001E0C26" w:rsidRPr="00D340D9" w:rsidRDefault="001E0C26" w:rsidP="001E0C26">
      <w:pPr>
        <w:rPr>
          <w:rFonts w:ascii="Arial" w:hAnsi="Arial" w:cs="Arial"/>
          <w:i/>
          <w:u w:val="single"/>
          <w:lang w:eastAsia="en-US"/>
        </w:rPr>
      </w:pPr>
      <w:r w:rsidRPr="00D340D9">
        <w:rPr>
          <w:rFonts w:ascii="Arial" w:hAnsi="Arial" w:cs="Arial"/>
          <w:i/>
          <w:u w:val="single"/>
          <w:lang w:eastAsia="en-US"/>
        </w:rPr>
        <w:t>Tratamiento de no conformidades</w:t>
      </w:r>
    </w:p>
    <w:p w14:paraId="26798BA3" w14:textId="77777777" w:rsidR="001E0C26" w:rsidRPr="00D340D9" w:rsidRDefault="001E0C26" w:rsidP="001E0C26">
      <w:pPr>
        <w:rPr>
          <w:i/>
          <w:u w:val="single"/>
        </w:rPr>
      </w:pPr>
    </w:p>
    <w:p w14:paraId="1FEEBD97" w14:textId="77777777" w:rsidR="00EC44F4" w:rsidRPr="00D340D9" w:rsidRDefault="00EC44F4" w:rsidP="00EC44F4">
      <w:pPr>
        <w:pStyle w:val="NORMAL12"/>
        <w:rPr>
          <w:lang w:val="es-ES"/>
        </w:rPr>
      </w:pPr>
      <w:r w:rsidRPr="00D340D9">
        <w:rPr>
          <w:lang w:val="es-ES"/>
        </w:rPr>
        <w:t>El incumplimiento de los parámetros de aceptación indicados en e</w:t>
      </w:r>
      <w:r w:rsidR="001E0C26" w:rsidRPr="00D340D9">
        <w:rPr>
          <w:lang w:val="es-ES"/>
        </w:rPr>
        <w:t>ste artículo</w:t>
      </w:r>
      <w:r w:rsidRPr="00D340D9">
        <w:rPr>
          <w:lang w:val="es-ES"/>
        </w:rPr>
        <w:t xml:space="preserve"> motivará el rechazo del tubo o partida de tubos afectada, debiéndose suministrar tubos nuevos, todo ello a costa del Contratista.</w:t>
      </w:r>
    </w:p>
    <w:p w14:paraId="24EC0760" w14:textId="77777777" w:rsidR="00EC44F4" w:rsidRPr="00D340D9" w:rsidRDefault="00EC44F4" w:rsidP="00EC44F4">
      <w:pPr>
        <w:pStyle w:val="NORMAL12"/>
        <w:rPr>
          <w:lang w:val="es-ES"/>
        </w:rPr>
      </w:pPr>
      <w:r w:rsidRPr="00D340D9">
        <w:rPr>
          <w:lang w:val="es-ES"/>
        </w:rPr>
        <w:t>Para ello se clasifica el material por lotes, de acuerdo con lo que establece anteriormente, realizando las pruebas establecidas, de tal forma que los resultados obtenidos se asignan al total del lote.</w:t>
      </w:r>
    </w:p>
    <w:p w14:paraId="0DE3A639" w14:textId="77777777" w:rsidR="00EC44F4" w:rsidRPr="00D340D9" w:rsidRDefault="00EC44F4" w:rsidP="00EC44F4">
      <w:pPr>
        <w:pStyle w:val="NORMAL12"/>
        <w:rPr>
          <w:lang w:val="es-ES"/>
        </w:rPr>
      </w:pPr>
      <w:r w:rsidRPr="00D340D9">
        <w:rPr>
          <w:lang w:val="es-ES"/>
        </w:rPr>
        <w:t>Los tubos que no satisfagan las condiciones generales fijadas en este pliego, así como las dimensiones y tolerancias definidas serán rechazados. Cuando una muestra no satisfaga una prueba se repetirá la misma sobre dos muestras más del lote ensayado. Si también falla una de estas pruebas, se rechaza el lote ensayado, aceptándose si el resultado de ambas en bueno.</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261"/>
        <w:gridCol w:w="5379"/>
      </w:tblGrid>
      <w:tr w:rsidR="00990393" w:rsidRPr="00D340D9" w14:paraId="7D3C0FAF" w14:textId="77777777" w:rsidTr="00AB2427">
        <w:trPr>
          <w:tblHeader/>
          <w:jc w:val="center"/>
        </w:trPr>
        <w:tc>
          <w:tcPr>
            <w:tcW w:w="3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16CA2F5" w14:textId="77777777" w:rsidR="001E0C26" w:rsidRPr="00D340D9" w:rsidRDefault="001E0C26" w:rsidP="00AB2427">
            <w:pPr>
              <w:pStyle w:val="Tabla1"/>
              <w:jc w:val="center"/>
              <w:rPr>
                <w:b/>
                <w:sz w:val="20"/>
                <w:szCs w:val="20"/>
              </w:rPr>
            </w:pPr>
            <w:r w:rsidRPr="00D340D9">
              <w:rPr>
                <w:b/>
                <w:sz w:val="20"/>
                <w:szCs w:val="20"/>
              </w:rPr>
              <w:t>No Conformidades</w:t>
            </w:r>
          </w:p>
        </w:tc>
        <w:tc>
          <w:tcPr>
            <w:tcW w:w="537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B4916E" w14:textId="77777777" w:rsidR="001E0C26" w:rsidRPr="00D340D9" w:rsidRDefault="001E0C26" w:rsidP="00AB2427">
            <w:pPr>
              <w:pStyle w:val="Tabla1"/>
              <w:jc w:val="center"/>
              <w:rPr>
                <w:b/>
                <w:sz w:val="20"/>
                <w:szCs w:val="20"/>
              </w:rPr>
            </w:pPr>
            <w:r w:rsidRPr="00D340D9">
              <w:rPr>
                <w:b/>
                <w:sz w:val="20"/>
                <w:szCs w:val="20"/>
              </w:rPr>
              <w:t>Tratamiento</w:t>
            </w:r>
            <w:r w:rsidR="00D340D9" w:rsidRPr="00D340D9">
              <w:rPr>
                <w:b/>
                <w:sz w:val="20"/>
                <w:szCs w:val="20"/>
              </w:rPr>
              <w:t xml:space="preserve"> de no conformidades</w:t>
            </w:r>
          </w:p>
        </w:tc>
      </w:tr>
      <w:tr w:rsidR="00990393" w:rsidRPr="00D340D9" w14:paraId="3B0F9E3E" w14:textId="77777777" w:rsidTr="00AB2427">
        <w:trPr>
          <w:jc w:val="center"/>
        </w:trPr>
        <w:tc>
          <w:tcPr>
            <w:tcW w:w="3261" w:type="dxa"/>
            <w:tcBorders>
              <w:top w:val="single" w:sz="4" w:space="0" w:color="auto"/>
              <w:left w:val="single" w:sz="4" w:space="0" w:color="auto"/>
              <w:bottom w:val="single" w:sz="4" w:space="0" w:color="auto"/>
              <w:right w:val="single" w:sz="4" w:space="0" w:color="auto"/>
            </w:tcBorders>
            <w:hideMark/>
          </w:tcPr>
          <w:p w14:paraId="0432ADFB" w14:textId="77777777" w:rsidR="001E0C26" w:rsidRPr="00D340D9" w:rsidRDefault="001E0C26" w:rsidP="00AB2427">
            <w:pPr>
              <w:pStyle w:val="Tabla"/>
              <w:jc w:val="left"/>
            </w:pPr>
            <w:r w:rsidRPr="00D340D9">
              <w:t xml:space="preserve">Diámetro de las tuberías no es acorde a las dimensiones en planos.   </w:t>
            </w:r>
          </w:p>
        </w:tc>
        <w:tc>
          <w:tcPr>
            <w:tcW w:w="5379" w:type="dxa"/>
            <w:tcBorders>
              <w:top w:val="single" w:sz="4" w:space="0" w:color="auto"/>
              <w:left w:val="single" w:sz="4" w:space="0" w:color="auto"/>
              <w:bottom w:val="single" w:sz="4" w:space="0" w:color="auto"/>
              <w:right w:val="single" w:sz="4" w:space="0" w:color="auto"/>
            </w:tcBorders>
            <w:hideMark/>
          </w:tcPr>
          <w:p w14:paraId="27491DF9" w14:textId="77777777" w:rsidR="001E0C26" w:rsidRPr="00D340D9" w:rsidRDefault="001E0C26" w:rsidP="00AB2427">
            <w:pPr>
              <w:pStyle w:val="Tabla"/>
              <w:jc w:val="left"/>
            </w:pPr>
            <w:r w:rsidRPr="00D340D9">
              <w:t xml:space="preserve">No se aceptará, se corregirá y los gastos irán por cuenta del contratista. </w:t>
            </w:r>
          </w:p>
        </w:tc>
      </w:tr>
      <w:tr w:rsidR="00990393" w:rsidRPr="00D340D9" w14:paraId="7A6F131B" w14:textId="77777777" w:rsidTr="00AB2427">
        <w:trPr>
          <w:jc w:val="center"/>
        </w:trPr>
        <w:tc>
          <w:tcPr>
            <w:tcW w:w="3261" w:type="dxa"/>
            <w:tcBorders>
              <w:top w:val="single" w:sz="4" w:space="0" w:color="auto"/>
              <w:left w:val="single" w:sz="4" w:space="0" w:color="auto"/>
              <w:bottom w:val="single" w:sz="4" w:space="0" w:color="auto"/>
              <w:right w:val="single" w:sz="4" w:space="0" w:color="auto"/>
            </w:tcBorders>
            <w:hideMark/>
          </w:tcPr>
          <w:p w14:paraId="6136809F" w14:textId="77777777" w:rsidR="001E0C26" w:rsidRPr="00D340D9" w:rsidRDefault="001E0C26" w:rsidP="00AB2427">
            <w:pPr>
              <w:pStyle w:val="Tabla"/>
              <w:jc w:val="left"/>
            </w:pPr>
            <w:r w:rsidRPr="00D340D9">
              <w:t>Longitud de tubo insuficiente</w:t>
            </w:r>
          </w:p>
        </w:tc>
        <w:tc>
          <w:tcPr>
            <w:tcW w:w="5379" w:type="dxa"/>
            <w:tcBorders>
              <w:top w:val="single" w:sz="4" w:space="0" w:color="auto"/>
              <w:left w:val="single" w:sz="4" w:space="0" w:color="auto"/>
              <w:bottom w:val="single" w:sz="4" w:space="0" w:color="auto"/>
              <w:right w:val="single" w:sz="4" w:space="0" w:color="auto"/>
            </w:tcBorders>
            <w:hideMark/>
          </w:tcPr>
          <w:p w14:paraId="02F13446" w14:textId="77777777" w:rsidR="001E0C26" w:rsidRPr="00D340D9" w:rsidRDefault="001E0C26" w:rsidP="00AB2427">
            <w:pPr>
              <w:pStyle w:val="Tabla"/>
              <w:jc w:val="left"/>
            </w:pPr>
            <w:r w:rsidRPr="00D340D9">
              <w:t>No se acepta, se corregirá y los gastos serán por cuenta del Contratista.</w:t>
            </w:r>
          </w:p>
        </w:tc>
      </w:tr>
      <w:tr w:rsidR="00990393" w:rsidRPr="00D340D9" w14:paraId="5233B76F" w14:textId="77777777" w:rsidTr="00AB2427">
        <w:trPr>
          <w:trHeight w:val="510"/>
          <w:jc w:val="center"/>
        </w:trPr>
        <w:tc>
          <w:tcPr>
            <w:tcW w:w="3261" w:type="dxa"/>
            <w:tcBorders>
              <w:top w:val="single" w:sz="4" w:space="0" w:color="auto"/>
              <w:left w:val="single" w:sz="4" w:space="0" w:color="auto"/>
              <w:bottom w:val="single" w:sz="4" w:space="0" w:color="auto"/>
              <w:right w:val="single" w:sz="4" w:space="0" w:color="auto"/>
            </w:tcBorders>
            <w:hideMark/>
          </w:tcPr>
          <w:p w14:paraId="123CDD10" w14:textId="77777777" w:rsidR="001E0C26" w:rsidRPr="00D340D9" w:rsidRDefault="001E0C26" w:rsidP="00AB2427">
            <w:pPr>
              <w:pStyle w:val="Tabla"/>
              <w:jc w:val="left"/>
            </w:pPr>
            <w:r w:rsidRPr="00D340D9">
              <w:t>Sellado insuficiente</w:t>
            </w:r>
          </w:p>
        </w:tc>
        <w:tc>
          <w:tcPr>
            <w:tcW w:w="5379" w:type="dxa"/>
            <w:tcBorders>
              <w:top w:val="single" w:sz="4" w:space="0" w:color="auto"/>
              <w:left w:val="single" w:sz="4" w:space="0" w:color="auto"/>
              <w:bottom w:val="single" w:sz="4" w:space="0" w:color="auto"/>
              <w:right w:val="single" w:sz="4" w:space="0" w:color="auto"/>
            </w:tcBorders>
            <w:hideMark/>
          </w:tcPr>
          <w:p w14:paraId="43F968BB" w14:textId="77777777" w:rsidR="001E0C26" w:rsidRPr="00D340D9" w:rsidRDefault="001E0C26" w:rsidP="00AB2427">
            <w:pPr>
              <w:pStyle w:val="Tabla"/>
              <w:jc w:val="left"/>
            </w:pPr>
            <w:r w:rsidRPr="00D340D9">
              <w:t xml:space="preserve">No se acepta, se corregirá y los gastos serán por cuenta del Contratista. </w:t>
            </w:r>
          </w:p>
        </w:tc>
      </w:tr>
      <w:tr w:rsidR="00990393" w:rsidRPr="00D340D9" w14:paraId="0DC1ACD9" w14:textId="77777777" w:rsidTr="00AB2427">
        <w:trPr>
          <w:jc w:val="center"/>
        </w:trPr>
        <w:tc>
          <w:tcPr>
            <w:tcW w:w="3261" w:type="dxa"/>
            <w:tcBorders>
              <w:top w:val="single" w:sz="4" w:space="0" w:color="auto"/>
              <w:left w:val="single" w:sz="4" w:space="0" w:color="auto"/>
              <w:bottom w:val="single" w:sz="4" w:space="0" w:color="auto"/>
              <w:right w:val="single" w:sz="4" w:space="0" w:color="auto"/>
            </w:tcBorders>
            <w:hideMark/>
          </w:tcPr>
          <w:p w14:paraId="2510ED93" w14:textId="77777777" w:rsidR="001E0C26" w:rsidRPr="00D340D9" w:rsidRDefault="001E0C26" w:rsidP="00AB2427">
            <w:pPr>
              <w:pStyle w:val="Tabla"/>
              <w:jc w:val="left"/>
            </w:pPr>
            <w:r w:rsidRPr="00D340D9">
              <w:t xml:space="preserve">Rotura de la tubería  </w:t>
            </w:r>
          </w:p>
        </w:tc>
        <w:tc>
          <w:tcPr>
            <w:tcW w:w="5379" w:type="dxa"/>
            <w:tcBorders>
              <w:top w:val="single" w:sz="4" w:space="0" w:color="auto"/>
              <w:left w:val="single" w:sz="4" w:space="0" w:color="auto"/>
              <w:bottom w:val="single" w:sz="4" w:space="0" w:color="auto"/>
              <w:right w:val="single" w:sz="4" w:space="0" w:color="auto"/>
            </w:tcBorders>
            <w:hideMark/>
          </w:tcPr>
          <w:p w14:paraId="1576E87C" w14:textId="77777777" w:rsidR="001E0C26" w:rsidRPr="00D340D9" w:rsidRDefault="001E0C26" w:rsidP="00AB2427">
            <w:pPr>
              <w:pStyle w:val="Tabla"/>
              <w:jc w:val="left"/>
            </w:pPr>
            <w:r w:rsidRPr="00D340D9">
              <w:t xml:space="preserve">No se acepta, se corregirá y los gastos serán por cuenta del Contratista. </w:t>
            </w:r>
          </w:p>
        </w:tc>
      </w:tr>
    </w:tbl>
    <w:p w14:paraId="5A10C577" w14:textId="77777777" w:rsidR="00224ACB" w:rsidRPr="00D340D9" w:rsidRDefault="00224ACB" w:rsidP="000313DD">
      <w:pPr>
        <w:pStyle w:val="TITU2"/>
      </w:pPr>
      <w:bookmarkStart w:id="483" w:name="_Toc472926347"/>
      <w:bookmarkStart w:id="484" w:name="_Toc494738815"/>
      <w:bookmarkStart w:id="485" w:name="_Toc404253"/>
      <w:r w:rsidRPr="00D340D9">
        <w:t>41</w:t>
      </w:r>
      <w:r w:rsidR="002933FD" w:rsidRPr="00D340D9">
        <w:t>7</w:t>
      </w:r>
      <w:r w:rsidRPr="00D340D9">
        <w:t>.</w:t>
      </w:r>
      <w:r w:rsidR="002933FD" w:rsidRPr="00D340D9">
        <w:t>5</w:t>
      </w:r>
      <w:r w:rsidR="00DE2F50" w:rsidRPr="00D340D9">
        <w:t xml:space="preserve">. </w:t>
      </w:r>
      <w:r w:rsidR="001013FE" w:rsidRPr="00D340D9">
        <w:t xml:space="preserve">  </w:t>
      </w:r>
      <w:r w:rsidRPr="00D340D9">
        <w:t>Control de calidad</w:t>
      </w:r>
      <w:bookmarkEnd w:id="483"/>
      <w:bookmarkEnd w:id="484"/>
      <w:bookmarkEnd w:id="485"/>
    </w:p>
    <w:p w14:paraId="50744EC1" w14:textId="77777777" w:rsidR="005D7594" w:rsidRPr="00D340D9" w:rsidRDefault="005D7594" w:rsidP="001E0C26">
      <w:pPr>
        <w:pStyle w:val="NORMAL12"/>
        <w:rPr>
          <w:lang w:val="es-ES"/>
        </w:rPr>
      </w:pPr>
      <w:r w:rsidRPr="00D340D9">
        <w:rPr>
          <w:lang w:val="es-ES"/>
        </w:rPr>
        <w:t>Se realizarán dos tipos de pruebas sobre el producto acabado</w:t>
      </w:r>
    </w:p>
    <w:p w14:paraId="18FE2ADE" w14:textId="77777777" w:rsidR="005D7594" w:rsidRPr="00D340D9" w:rsidRDefault="005D7594" w:rsidP="00E01981">
      <w:pPr>
        <w:pStyle w:val="NORMAL12"/>
        <w:numPr>
          <w:ilvl w:val="0"/>
          <w:numId w:val="103"/>
        </w:numPr>
        <w:rPr>
          <w:lang w:val="es-ES"/>
        </w:rPr>
      </w:pPr>
      <w:r w:rsidRPr="00D340D9">
        <w:rPr>
          <w:lang w:val="es-ES"/>
        </w:rPr>
        <w:t>Ensayos y pruebas para verificar las características declaradas por el fabricante.</w:t>
      </w:r>
    </w:p>
    <w:p w14:paraId="69BF3793" w14:textId="77777777" w:rsidR="005D7594" w:rsidRPr="00D340D9" w:rsidRDefault="005D7594" w:rsidP="00E01981">
      <w:pPr>
        <w:pStyle w:val="NORMAL12"/>
        <w:numPr>
          <w:ilvl w:val="0"/>
          <w:numId w:val="103"/>
        </w:numPr>
        <w:rPr>
          <w:lang w:val="es-ES"/>
        </w:rPr>
      </w:pPr>
      <w:r w:rsidRPr="00D340D9">
        <w:rPr>
          <w:lang w:val="es-ES"/>
        </w:rPr>
        <w:t>Ensayos y pruebas de recepción del producto.</w:t>
      </w:r>
    </w:p>
    <w:p w14:paraId="67C3F3B1" w14:textId="77777777" w:rsidR="005D7594" w:rsidRPr="00D340D9" w:rsidRDefault="005D7594" w:rsidP="001E0C26">
      <w:pPr>
        <w:pStyle w:val="NORMAL12"/>
        <w:rPr>
          <w:lang w:val="es-ES"/>
        </w:rPr>
      </w:pPr>
      <w:r w:rsidRPr="00D340D9">
        <w:rPr>
          <w:lang w:val="es-ES"/>
        </w:rPr>
        <w:t>Los ensayos que tendrán que realizarse son:</w:t>
      </w:r>
    </w:p>
    <w:p w14:paraId="6368BFB7" w14:textId="77777777" w:rsidR="005D7594" w:rsidRPr="00D340D9" w:rsidRDefault="005D7594" w:rsidP="00E01981">
      <w:pPr>
        <w:pStyle w:val="NORMAL12"/>
        <w:numPr>
          <w:ilvl w:val="0"/>
          <w:numId w:val="103"/>
        </w:numPr>
        <w:rPr>
          <w:lang w:val="es-ES"/>
        </w:rPr>
      </w:pPr>
      <w:r w:rsidRPr="00D340D9">
        <w:rPr>
          <w:lang w:val="es-ES"/>
        </w:rPr>
        <w:t>Examen visual del aspecto general de los tubos y piezas para juntas</w:t>
      </w:r>
    </w:p>
    <w:p w14:paraId="448FB755" w14:textId="77777777" w:rsidR="005D7594" w:rsidRDefault="005D7594" w:rsidP="00E01981">
      <w:pPr>
        <w:pStyle w:val="NORMAL12"/>
        <w:numPr>
          <w:ilvl w:val="0"/>
          <w:numId w:val="103"/>
        </w:numPr>
        <w:rPr>
          <w:lang w:val="es-ES"/>
        </w:rPr>
      </w:pPr>
      <w:r w:rsidRPr="00D340D9">
        <w:rPr>
          <w:lang w:val="es-ES"/>
        </w:rPr>
        <w:t>Comprobación de dimensiones y espesores.</w:t>
      </w:r>
    </w:p>
    <w:p w14:paraId="58790847" w14:textId="77777777" w:rsidR="005D7594" w:rsidRPr="00D340D9" w:rsidRDefault="000F7848" w:rsidP="00E01981">
      <w:pPr>
        <w:pStyle w:val="NORMAL12"/>
        <w:numPr>
          <w:ilvl w:val="0"/>
          <w:numId w:val="103"/>
        </w:numPr>
        <w:rPr>
          <w:lang w:val="es-ES"/>
        </w:rPr>
      </w:pPr>
      <w:r w:rsidRPr="00D340D9">
        <w:rPr>
          <w:lang w:val="es-ES"/>
        </w:rPr>
        <w:t>Ensayo de estanqueidad, excepto en tuberías ranuradas.</w:t>
      </w:r>
    </w:p>
    <w:p w14:paraId="363F61D0" w14:textId="77777777" w:rsidR="001113A8" w:rsidRPr="001113A8" w:rsidRDefault="005D7594" w:rsidP="00E01981">
      <w:pPr>
        <w:pStyle w:val="NORMAL12"/>
        <w:numPr>
          <w:ilvl w:val="0"/>
          <w:numId w:val="103"/>
        </w:numPr>
      </w:pPr>
      <w:r w:rsidRPr="001113A8">
        <w:rPr>
          <w:lang w:val="es-ES"/>
        </w:rPr>
        <w:t>Características mecánicas.</w:t>
      </w:r>
    </w:p>
    <w:p w14:paraId="3898301F" w14:textId="77777777" w:rsidR="001113A8" w:rsidRPr="001113A8" w:rsidRDefault="001113A8" w:rsidP="001113A8">
      <w:pPr>
        <w:pStyle w:val="NORMAL12"/>
        <w:numPr>
          <w:ilvl w:val="0"/>
          <w:numId w:val="103"/>
        </w:numPr>
      </w:pPr>
      <w:r w:rsidRPr="001113A8">
        <w:t xml:space="preserve">El control de calidad de la perforación se ajustará a las siguientes actuaciones: </w:t>
      </w:r>
    </w:p>
    <w:p w14:paraId="417ADAA5" w14:textId="77777777" w:rsidR="003565EB" w:rsidRPr="003565EB" w:rsidRDefault="003565EB" w:rsidP="001113A8">
      <w:pPr>
        <w:pStyle w:val="NORMAL12"/>
        <w:rPr>
          <w:i/>
          <w:u w:val="single"/>
        </w:rPr>
      </w:pPr>
      <w:r w:rsidRPr="003565EB">
        <w:rPr>
          <w:i/>
          <w:u w:val="single"/>
        </w:rPr>
        <w:t>Las condiciones generales del control de calidad son:</w:t>
      </w:r>
    </w:p>
    <w:p w14:paraId="2122CD6D" w14:textId="77777777" w:rsidR="003565EB" w:rsidRPr="00D340D9" w:rsidRDefault="003565EB" w:rsidP="003565EB">
      <w:pPr>
        <w:pStyle w:val="NORMAL12"/>
        <w:rPr>
          <w:lang w:val="es-ES"/>
        </w:rPr>
      </w:pPr>
      <w:r w:rsidRPr="00D340D9">
        <w:rPr>
          <w:lang w:val="es-ES"/>
        </w:rPr>
        <w:t>La responsabilidad respecto a la calidad del producto es exclusiva del fabricante, por lo que este deberá implantar en fábrica sistemas de control de calidad eficientes, con laboratorios de ensayos adecuados, y llevar un registro de datos, que estará en todo momento a disposición del director.</w:t>
      </w:r>
    </w:p>
    <w:p w14:paraId="4F2F8E23" w14:textId="77777777" w:rsidR="003565EB" w:rsidRPr="00D340D9" w:rsidRDefault="003565EB" w:rsidP="003565EB">
      <w:pPr>
        <w:pStyle w:val="NORMAL12"/>
        <w:rPr>
          <w:lang w:val="es-ES"/>
        </w:rPr>
      </w:pPr>
      <w:r w:rsidRPr="00D340D9">
        <w:rPr>
          <w:lang w:val="es-ES"/>
        </w:rPr>
        <w:t xml:space="preserve">El </w:t>
      </w:r>
      <w:proofErr w:type="gramStart"/>
      <w:r w:rsidRPr="00D340D9">
        <w:rPr>
          <w:lang w:val="es-ES"/>
        </w:rPr>
        <w:t>Director</w:t>
      </w:r>
      <w:proofErr w:type="gramEnd"/>
      <w:r w:rsidRPr="00D340D9">
        <w:rPr>
          <w:lang w:val="es-ES"/>
        </w:rPr>
        <w:t xml:space="preserve"> de Obra se reserva el derecho de realizar en fábri</w:t>
      </w:r>
      <w:r w:rsidRPr="00D340D9">
        <w:rPr>
          <w:lang w:val="es-ES"/>
        </w:rPr>
        <w:softHyphen/>
        <w:t>ca, por medio de sus representantes, cuantas verificaciones de fabricación y ensayos de materiales estime precisos para el control de las diversas etapas de fabricación, según las pres</w:t>
      </w:r>
      <w:r w:rsidRPr="00D340D9">
        <w:rPr>
          <w:lang w:val="es-ES"/>
        </w:rPr>
        <w:softHyphen/>
        <w:t>cripciones de este pliego.</w:t>
      </w:r>
    </w:p>
    <w:p w14:paraId="6E6CAFC0" w14:textId="77777777" w:rsidR="003565EB" w:rsidRPr="00D340D9" w:rsidRDefault="003565EB" w:rsidP="003565EB">
      <w:pPr>
        <w:pStyle w:val="NORMAL12"/>
        <w:rPr>
          <w:lang w:val="es-ES"/>
        </w:rPr>
      </w:pPr>
      <w:r w:rsidRPr="00D340D9">
        <w:rPr>
          <w:lang w:val="es-ES"/>
        </w:rPr>
        <w:t>A estos efectos, el Contratista, en el caso de no proceder por sí mismo a la fabricación de los tubos, deberá hacer constar este derecho de la Propiedad en su contrato con el fabricante.</w:t>
      </w:r>
    </w:p>
    <w:p w14:paraId="5A9F4D30" w14:textId="77777777" w:rsidR="003565EB" w:rsidRPr="00D340D9" w:rsidRDefault="003565EB" w:rsidP="003565EB">
      <w:pPr>
        <w:pStyle w:val="NORMAL12"/>
        <w:rPr>
          <w:lang w:val="es-ES"/>
        </w:rPr>
      </w:pPr>
      <w:r w:rsidRPr="00D340D9">
        <w:rPr>
          <w:lang w:val="es-ES"/>
        </w:rPr>
        <w:t xml:space="preserve">En caso de que la Dirección de Obra admitiera el empleo de tubos de un fabricante o proveedor que no disponga de sello de calidad, el </w:t>
      </w:r>
      <w:proofErr w:type="gramStart"/>
      <w:r w:rsidRPr="00D340D9">
        <w:rPr>
          <w:lang w:val="es-ES"/>
        </w:rPr>
        <w:t>Director</w:t>
      </w:r>
      <w:proofErr w:type="gramEnd"/>
      <w:r w:rsidRPr="00D340D9">
        <w:rPr>
          <w:lang w:val="es-ES"/>
        </w:rPr>
        <w:t xml:space="preserve"> de la Obra podrá exigir al Contratista el certifica</w:t>
      </w:r>
      <w:r w:rsidRPr="00D340D9">
        <w:rPr>
          <w:lang w:val="es-ES"/>
        </w:rPr>
        <w:softHyphen/>
        <w:t xml:space="preserve">do garantía de que se efectuaron en forma satisfactoria los ensayos y de que los materiales utilizados en la fabricación cumplieron las especificaciones correspondientes. </w:t>
      </w:r>
    </w:p>
    <w:p w14:paraId="2C610EC5" w14:textId="77777777" w:rsidR="003565EB" w:rsidRPr="00D340D9" w:rsidRDefault="003565EB" w:rsidP="003565EB">
      <w:pPr>
        <w:pStyle w:val="NORMAL12"/>
        <w:rPr>
          <w:lang w:val="es-ES"/>
        </w:rPr>
      </w:pPr>
      <w:r w:rsidRPr="00D340D9">
        <w:rPr>
          <w:lang w:val="es-ES"/>
        </w:rPr>
        <w:t xml:space="preserve">Con independencia de que los tubos estén en posesión del citado sello de calidad, el </w:t>
      </w:r>
      <w:proofErr w:type="gramStart"/>
      <w:r w:rsidRPr="00D340D9">
        <w:rPr>
          <w:lang w:val="es-ES"/>
        </w:rPr>
        <w:t>Director</w:t>
      </w:r>
      <w:proofErr w:type="gramEnd"/>
      <w:r w:rsidRPr="00D340D9">
        <w:rPr>
          <w:lang w:val="es-ES"/>
        </w:rPr>
        <w:t xml:space="preserve"> de la Obra, si lo estima necesario, podrá ordenar en cualquier momento la </w:t>
      </w:r>
      <w:r w:rsidRPr="00D340D9">
        <w:rPr>
          <w:lang w:val="es-ES"/>
        </w:rPr>
        <w:lastRenderedPageBreak/>
        <w:t>realización de ensayos sobre lotes, aunque hubiesen sido ensayados en fábrica, para lo cual el Contratista avisado previamente por escrito, facilitará los medios necesarios para realizar estos ensayos de los que se levantará acta, y los resultados obtenidos en ellos prevalecerán sobre cualquier otro anterior.</w:t>
      </w:r>
    </w:p>
    <w:p w14:paraId="2280575C" w14:textId="77777777" w:rsidR="003565EB" w:rsidRPr="00D340D9" w:rsidRDefault="003565EB" w:rsidP="003565EB">
      <w:pPr>
        <w:pStyle w:val="NORMAL12"/>
        <w:rPr>
          <w:lang w:val="es-ES"/>
        </w:rPr>
      </w:pPr>
      <w:r w:rsidRPr="00D340D9">
        <w:rPr>
          <w:lang w:val="es-ES"/>
        </w:rPr>
        <w:t xml:space="preserve">Cada entrega en obra de los tubos y elementos será acompañada de un albarán especificando naturaleza, número, tipo y referencia de las piezas que la componen y deberá hacerse con el ritmo y plazos señalados en el Plan de Obra, o en su caso por el Ingeniero </w:t>
      </w:r>
      <w:proofErr w:type="gramStart"/>
      <w:r w:rsidRPr="00D340D9">
        <w:rPr>
          <w:lang w:val="es-ES"/>
        </w:rPr>
        <w:t>Director</w:t>
      </w:r>
      <w:proofErr w:type="gramEnd"/>
      <w:r w:rsidRPr="00D340D9">
        <w:rPr>
          <w:lang w:val="es-ES"/>
        </w:rPr>
        <w:t>.</w:t>
      </w:r>
    </w:p>
    <w:p w14:paraId="30A43C50" w14:textId="77777777" w:rsidR="003565EB" w:rsidRDefault="003565EB" w:rsidP="003565EB">
      <w:pPr>
        <w:pStyle w:val="NORMAL12"/>
        <w:rPr>
          <w:lang w:val="es-ES"/>
        </w:rPr>
      </w:pPr>
      <w:r w:rsidRPr="00D340D9">
        <w:rPr>
          <w:lang w:val="es-ES"/>
        </w:rPr>
        <w:t>Las piezas que hayan sufrido averías durante el transporte o que presenten defectos serán rechazadas.</w:t>
      </w:r>
    </w:p>
    <w:p w14:paraId="27AAA560" w14:textId="77777777" w:rsidR="001113A8" w:rsidRDefault="001113A8" w:rsidP="001113A8">
      <w:pPr>
        <w:pStyle w:val="NORMAL12"/>
      </w:pPr>
      <w:r>
        <w:t xml:space="preserve">A </w:t>
      </w:r>
      <w:proofErr w:type="gramStart"/>
      <w:r>
        <w:t>continuación</w:t>
      </w:r>
      <w:proofErr w:type="gramEnd"/>
      <w:r>
        <w:t xml:space="preserve"> se describen los ensayos a realizar.</w:t>
      </w:r>
    </w:p>
    <w:p w14:paraId="58972552" w14:textId="77777777" w:rsidR="001113A8" w:rsidRPr="001113A8" w:rsidRDefault="001113A8" w:rsidP="001113A8">
      <w:pPr>
        <w:pStyle w:val="NORMAL12"/>
        <w:rPr>
          <w:i/>
          <w:u w:val="single"/>
        </w:rPr>
      </w:pPr>
      <w:r w:rsidRPr="001113A8">
        <w:rPr>
          <w:i/>
          <w:u w:val="single"/>
        </w:rPr>
        <w:t>Ensayos sobre materiales, comprobación de dimensiones y espesores y comprobación mecánica.</w:t>
      </w:r>
    </w:p>
    <w:p w14:paraId="397FA5A3" w14:textId="77777777" w:rsidR="001113A8" w:rsidRPr="00D340D9" w:rsidRDefault="001113A8" w:rsidP="001113A8">
      <w:pPr>
        <w:pStyle w:val="NORMAL12"/>
        <w:rPr>
          <w:lang w:val="es-ES"/>
        </w:rPr>
      </w:pPr>
      <w:r w:rsidRPr="00D340D9">
        <w:rPr>
          <w:lang w:val="es-ES"/>
        </w:rPr>
        <w:t>Los ensayos se realizarán según se describen en las Normas UNE de aplicación para características y dimensiones de tuberías.</w:t>
      </w:r>
    </w:p>
    <w:p w14:paraId="710238CD" w14:textId="77777777" w:rsidR="001113A8" w:rsidRDefault="001113A8" w:rsidP="001113A8">
      <w:pPr>
        <w:pStyle w:val="NORMAL12"/>
        <w:rPr>
          <w:lang w:val="es-ES"/>
        </w:rPr>
      </w:pPr>
      <w:r w:rsidRPr="00D340D9">
        <w:rPr>
          <w:lang w:val="es-ES"/>
        </w:rPr>
        <w:t>En el siguiente cuadro figuran los diámetros nominales, espesores de pared y tolerancias para la serie normalizada de tubos de PVC para saneamiento:</w:t>
      </w:r>
    </w:p>
    <w:p w14:paraId="7D4A0176" w14:textId="77777777" w:rsidR="006455AE" w:rsidRPr="00D340D9" w:rsidRDefault="006455AE" w:rsidP="001113A8">
      <w:pPr>
        <w:pStyle w:val="NORMAL12"/>
        <w:rPr>
          <w:lang w:val="es-ES"/>
        </w:rPr>
      </w:pPr>
    </w:p>
    <w:tbl>
      <w:tblPr>
        <w:tblW w:w="5928" w:type="dxa"/>
        <w:jc w:val="center"/>
        <w:tblCellMar>
          <w:left w:w="70" w:type="dxa"/>
          <w:right w:w="70" w:type="dxa"/>
        </w:tblCellMar>
        <w:tblLook w:val="04A0" w:firstRow="1" w:lastRow="0" w:firstColumn="1" w:lastColumn="0" w:noHBand="0" w:noVBand="1"/>
      </w:tblPr>
      <w:tblGrid>
        <w:gridCol w:w="1508"/>
        <w:gridCol w:w="1882"/>
        <w:gridCol w:w="1134"/>
        <w:gridCol w:w="1404"/>
      </w:tblGrid>
      <w:tr w:rsidR="001113A8" w:rsidRPr="00D340D9" w14:paraId="075D28ED" w14:textId="77777777" w:rsidTr="00CB7CE8">
        <w:trPr>
          <w:trHeight w:val="713"/>
          <w:tblHeader/>
          <w:jc w:val="center"/>
        </w:trPr>
        <w:tc>
          <w:tcPr>
            <w:tcW w:w="1508"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2708C6"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Diámetro nominal exterior (mm)</w:t>
            </w:r>
          </w:p>
        </w:tc>
        <w:tc>
          <w:tcPr>
            <w:tcW w:w="1882" w:type="dxa"/>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38865FA"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Tolerancia en el diámetro exterior (mm)</w:t>
            </w:r>
          </w:p>
        </w:tc>
        <w:tc>
          <w:tcPr>
            <w:tcW w:w="2538"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62BCFDB0"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Espesores</w:t>
            </w:r>
          </w:p>
        </w:tc>
      </w:tr>
      <w:tr w:rsidR="001113A8" w:rsidRPr="00D340D9" w14:paraId="6F22B990" w14:textId="77777777" w:rsidTr="00CB7CE8">
        <w:trPr>
          <w:trHeight w:val="300"/>
          <w:tblHeader/>
          <w:jc w:val="center"/>
        </w:trPr>
        <w:tc>
          <w:tcPr>
            <w:tcW w:w="1508"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BF7B35D" w14:textId="77777777" w:rsidR="001113A8" w:rsidRPr="00D340D9" w:rsidRDefault="001113A8" w:rsidP="00CB7CE8">
            <w:pPr>
              <w:rPr>
                <w:rFonts w:ascii="Arial" w:hAnsi="Arial" w:cs="Arial"/>
                <w:sz w:val="20"/>
                <w:szCs w:val="20"/>
              </w:rPr>
            </w:pPr>
          </w:p>
        </w:tc>
        <w:tc>
          <w:tcPr>
            <w:tcW w:w="1882" w:type="dxa"/>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A8B128" w14:textId="77777777" w:rsidR="001113A8" w:rsidRPr="00D340D9" w:rsidRDefault="001113A8" w:rsidP="00CB7CE8">
            <w:pPr>
              <w:rPr>
                <w:rFonts w:ascii="Arial" w:hAnsi="Arial" w:cs="Arial"/>
                <w:sz w:val="20"/>
                <w:szCs w:val="20"/>
              </w:rPr>
            </w:pPr>
          </w:p>
        </w:tc>
        <w:tc>
          <w:tcPr>
            <w:tcW w:w="1134" w:type="dxa"/>
            <w:tcBorders>
              <w:top w:val="nil"/>
              <w:left w:val="nil"/>
              <w:bottom w:val="single" w:sz="4" w:space="0" w:color="auto"/>
              <w:right w:val="single" w:sz="4" w:space="0" w:color="auto"/>
            </w:tcBorders>
            <w:shd w:val="clear" w:color="auto" w:fill="D9D9D9" w:themeFill="background1" w:themeFillShade="D9"/>
            <w:noWrap/>
            <w:vAlign w:val="center"/>
            <w:hideMark/>
          </w:tcPr>
          <w:p w14:paraId="4AA1121D"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Espesor (mm)</w:t>
            </w:r>
          </w:p>
        </w:tc>
        <w:tc>
          <w:tcPr>
            <w:tcW w:w="1404" w:type="dxa"/>
            <w:tcBorders>
              <w:top w:val="nil"/>
              <w:left w:val="nil"/>
              <w:bottom w:val="single" w:sz="4" w:space="0" w:color="auto"/>
              <w:right w:val="single" w:sz="4" w:space="0" w:color="auto"/>
            </w:tcBorders>
            <w:shd w:val="clear" w:color="auto" w:fill="D9D9D9" w:themeFill="background1" w:themeFillShade="D9"/>
            <w:noWrap/>
            <w:vAlign w:val="center"/>
            <w:hideMark/>
          </w:tcPr>
          <w:p w14:paraId="2040C06C"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Tolerancia (mm)</w:t>
            </w:r>
          </w:p>
        </w:tc>
      </w:tr>
      <w:tr w:rsidR="001113A8" w:rsidRPr="00D340D9" w14:paraId="42C605E8" w14:textId="77777777" w:rsidTr="00CB7CE8">
        <w:trPr>
          <w:trHeight w:val="300"/>
          <w:jc w:val="center"/>
        </w:trPr>
        <w:tc>
          <w:tcPr>
            <w:tcW w:w="1508" w:type="dxa"/>
            <w:tcBorders>
              <w:top w:val="nil"/>
              <w:left w:val="single" w:sz="4" w:space="0" w:color="auto"/>
              <w:bottom w:val="single" w:sz="4" w:space="0" w:color="auto"/>
              <w:right w:val="single" w:sz="4" w:space="0" w:color="auto"/>
            </w:tcBorders>
            <w:noWrap/>
            <w:vAlign w:val="center"/>
            <w:hideMark/>
          </w:tcPr>
          <w:p w14:paraId="2235AA59"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110</w:t>
            </w:r>
          </w:p>
        </w:tc>
        <w:tc>
          <w:tcPr>
            <w:tcW w:w="1882" w:type="dxa"/>
            <w:tcBorders>
              <w:top w:val="nil"/>
              <w:left w:val="nil"/>
              <w:bottom w:val="single" w:sz="4" w:space="0" w:color="auto"/>
              <w:right w:val="single" w:sz="4" w:space="0" w:color="auto"/>
            </w:tcBorders>
            <w:noWrap/>
            <w:vAlign w:val="center"/>
            <w:hideMark/>
          </w:tcPr>
          <w:p w14:paraId="7FD4D47F"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0,4</w:t>
            </w:r>
          </w:p>
        </w:tc>
        <w:tc>
          <w:tcPr>
            <w:tcW w:w="1134" w:type="dxa"/>
            <w:tcBorders>
              <w:top w:val="nil"/>
              <w:left w:val="nil"/>
              <w:bottom w:val="single" w:sz="4" w:space="0" w:color="auto"/>
              <w:right w:val="single" w:sz="4" w:space="0" w:color="auto"/>
            </w:tcBorders>
            <w:noWrap/>
            <w:vAlign w:val="center"/>
            <w:hideMark/>
          </w:tcPr>
          <w:p w14:paraId="22E906DF"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3</w:t>
            </w:r>
          </w:p>
        </w:tc>
        <w:tc>
          <w:tcPr>
            <w:tcW w:w="1404" w:type="dxa"/>
            <w:tcBorders>
              <w:top w:val="nil"/>
              <w:left w:val="nil"/>
              <w:bottom w:val="single" w:sz="4" w:space="0" w:color="auto"/>
              <w:right w:val="single" w:sz="4" w:space="0" w:color="auto"/>
            </w:tcBorders>
            <w:noWrap/>
            <w:vAlign w:val="center"/>
            <w:hideMark/>
          </w:tcPr>
          <w:p w14:paraId="60B960DE"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0,5</w:t>
            </w:r>
          </w:p>
        </w:tc>
      </w:tr>
      <w:tr w:rsidR="001113A8" w:rsidRPr="00D340D9" w14:paraId="4B0E3A77" w14:textId="77777777" w:rsidTr="00CB7CE8">
        <w:trPr>
          <w:trHeight w:val="300"/>
          <w:jc w:val="center"/>
        </w:trPr>
        <w:tc>
          <w:tcPr>
            <w:tcW w:w="1508" w:type="dxa"/>
            <w:tcBorders>
              <w:top w:val="nil"/>
              <w:left w:val="single" w:sz="4" w:space="0" w:color="auto"/>
              <w:bottom w:val="single" w:sz="4" w:space="0" w:color="auto"/>
              <w:right w:val="single" w:sz="4" w:space="0" w:color="auto"/>
            </w:tcBorders>
            <w:noWrap/>
            <w:vAlign w:val="center"/>
            <w:hideMark/>
          </w:tcPr>
          <w:p w14:paraId="41DD6647"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125</w:t>
            </w:r>
          </w:p>
        </w:tc>
        <w:tc>
          <w:tcPr>
            <w:tcW w:w="1882" w:type="dxa"/>
            <w:tcBorders>
              <w:top w:val="nil"/>
              <w:left w:val="nil"/>
              <w:bottom w:val="single" w:sz="4" w:space="0" w:color="auto"/>
              <w:right w:val="single" w:sz="4" w:space="0" w:color="auto"/>
            </w:tcBorders>
            <w:noWrap/>
            <w:vAlign w:val="center"/>
            <w:hideMark/>
          </w:tcPr>
          <w:p w14:paraId="65A99931"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0,4</w:t>
            </w:r>
          </w:p>
        </w:tc>
        <w:tc>
          <w:tcPr>
            <w:tcW w:w="1134" w:type="dxa"/>
            <w:tcBorders>
              <w:top w:val="nil"/>
              <w:left w:val="nil"/>
              <w:bottom w:val="single" w:sz="4" w:space="0" w:color="auto"/>
              <w:right w:val="single" w:sz="4" w:space="0" w:color="auto"/>
            </w:tcBorders>
            <w:noWrap/>
            <w:vAlign w:val="center"/>
            <w:hideMark/>
          </w:tcPr>
          <w:p w14:paraId="3666E01E"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3,1</w:t>
            </w:r>
          </w:p>
        </w:tc>
        <w:tc>
          <w:tcPr>
            <w:tcW w:w="1404" w:type="dxa"/>
            <w:tcBorders>
              <w:top w:val="nil"/>
              <w:left w:val="nil"/>
              <w:bottom w:val="single" w:sz="4" w:space="0" w:color="auto"/>
              <w:right w:val="single" w:sz="4" w:space="0" w:color="auto"/>
            </w:tcBorders>
            <w:noWrap/>
            <w:vAlign w:val="center"/>
            <w:hideMark/>
          </w:tcPr>
          <w:p w14:paraId="23B0A748"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0,5</w:t>
            </w:r>
          </w:p>
        </w:tc>
      </w:tr>
      <w:tr w:rsidR="001113A8" w:rsidRPr="00D340D9" w14:paraId="3CC3289B" w14:textId="77777777" w:rsidTr="00CB7CE8">
        <w:trPr>
          <w:trHeight w:val="300"/>
          <w:jc w:val="center"/>
        </w:trPr>
        <w:tc>
          <w:tcPr>
            <w:tcW w:w="1508" w:type="dxa"/>
            <w:tcBorders>
              <w:top w:val="nil"/>
              <w:left w:val="single" w:sz="4" w:space="0" w:color="auto"/>
              <w:bottom w:val="single" w:sz="4" w:space="0" w:color="auto"/>
              <w:right w:val="single" w:sz="4" w:space="0" w:color="auto"/>
            </w:tcBorders>
            <w:noWrap/>
            <w:vAlign w:val="center"/>
            <w:hideMark/>
          </w:tcPr>
          <w:p w14:paraId="7BE5C1BE"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160</w:t>
            </w:r>
          </w:p>
        </w:tc>
        <w:tc>
          <w:tcPr>
            <w:tcW w:w="1882" w:type="dxa"/>
            <w:tcBorders>
              <w:top w:val="nil"/>
              <w:left w:val="nil"/>
              <w:bottom w:val="single" w:sz="4" w:space="0" w:color="auto"/>
              <w:right w:val="single" w:sz="4" w:space="0" w:color="auto"/>
            </w:tcBorders>
            <w:noWrap/>
            <w:vAlign w:val="center"/>
            <w:hideMark/>
          </w:tcPr>
          <w:p w14:paraId="3846800C"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0,5</w:t>
            </w:r>
          </w:p>
        </w:tc>
        <w:tc>
          <w:tcPr>
            <w:tcW w:w="1134" w:type="dxa"/>
            <w:tcBorders>
              <w:top w:val="nil"/>
              <w:left w:val="nil"/>
              <w:bottom w:val="single" w:sz="4" w:space="0" w:color="auto"/>
              <w:right w:val="single" w:sz="4" w:space="0" w:color="auto"/>
            </w:tcBorders>
            <w:noWrap/>
            <w:vAlign w:val="center"/>
            <w:hideMark/>
          </w:tcPr>
          <w:p w14:paraId="03AB271A"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3,9</w:t>
            </w:r>
          </w:p>
        </w:tc>
        <w:tc>
          <w:tcPr>
            <w:tcW w:w="1404" w:type="dxa"/>
            <w:tcBorders>
              <w:top w:val="nil"/>
              <w:left w:val="nil"/>
              <w:bottom w:val="single" w:sz="4" w:space="0" w:color="auto"/>
              <w:right w:val="single" w:sz="4" w:space="0" w:color="auto"/>
            </w:tcBorders>
            <w:noWrap/>
            <w:vAlign w:val="center"/>
            <w:hideMark/>
          </w:tcPr>
          <w:p w14:paraId="5807C2A5"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0,6</w:t>
            </w:r>
          </w:p>
        </w:tc>
      </w:tr>
      <w:tr w:rsidR="001113A8" w:rsidRPr="00D340D9" w14:paraId="4105E769" w14:textId="77777777" w:rsidTr="00CB7CE8">
        <w:trPr>
          <w:trHeight w:val="300"/>
          <w:jc w:val="center"/>
        </w:trPr>
        <w:tc>
          <w:tcPr>
            <w:tcW w:w="1508" w:type="dxa"/>
            <w:tcBorders>
              <w:top w:val="nil"/>
              <w:left w:val="single" w:sz="4" w:space="0" w:color="auto"/>
              <w:bottom w:val="single" w:sz="4" w:space="0" w:color="auto"/>
              <w:right w:val="single" w:sz="4" w:space="0" w:color="auto"/>
            </w:tcBorders>
            <w:noWrap/>
            <w:vAlign w:val="center"/>
            <w:hideMark/>
          </w:tcPr>
          <w:p w14:paraId="25F99508"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200</w:t>
            </w:r>
          </w:p>
        </w:tc>
        <w:tc>
          <w:tcPr>
            <w:tcW w:w="1882" w:type="dxa"/>
            <w:tcBorders>
              <w:top w:val="nil"/>
              <w:left w:val="nil"/>
              <w:bottom w:val="single" w:sz="4" w:space="0" w:color="auto"/>
              <w:right w:val="single" w:sz="4" w:space="0" w:color="auto"/>
            </w:tcBorders>
            <w:noWrap/>
            <w:vAlign w:val="center"/>
            <w:hideMark/>
          </w:tcPr>
          <w:p w14:paraId="72D71BC2"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0,6</w:t>
            </w:r>
          </w:p>
        </w:tc>
        <w:tc>
          <w:tcPr>
            <w:tcW w:w="1134" w:type="dxa"/>
            <w:tcBorders>
              <w:top w:val="nil"/>
              <w:left w:val="nil"/>
              <w:bottom w:val="single" w:sz="4" w:space="0" w:color="auto"/>
              <w:right w:val="single" w:sz="4" w:space="0" w:color="auto"/>
            </w:tcBorders>
            <w:noWrap/>
            <w:vAlign w:val="center"/>
            <w:hideMark/>
          </w:tcPr>
          <w:p w14:paraId="4150E919"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4,9</w:t>
            </w:r>
          </w:p>
        </w:tc>
        <w:tc>
          <w:tcPr>
            <w:tcW w:w="1404" w:type="dxa"/>
            <w:tcBorders>
              <w:top w:val="nil"/>
              <w:left w:val="nil"/>
              <w:bottom w:val="single" w:sz="4" w:space="0" w:color="auto"/>
              <w:right w:val="single" w:sz="4" w:space="0" w:color="auto"/>
            </w:tcBorders>
            <w:noWrap/>
            <w:vAlign w:val="center"/>
            <w:hideMark/>
          </w:tcPr>
          <w:p w14:paraId="580B353A"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0,7</w:t>
            </w:r>
          </w:p>
        </w:tc>
      </w:tr>
      <w:tr w:rsidR="001113A8" w:rsidRPr="00D340D9" w14:paraId="5D73A23F" w14:textId="77777777" w:rsidTr="00CB7CE8">
        <w:trPr>
          <w:trHeight w:val="300"/>
          <w:jc w:val="center"/>
        </w:trPr>
        <w:tc>
          <w:tcPr>
            <w:tcW w:w="1508" w:type="dxa"/>
            <w:tcBorders>
              <w:top w:val="nil"/>
              <w:left w:val="single" w:sz="4" w:space="0" w:color="auto"/>
              <w:bottom w:val="single" w:sz="4" w:space="0" w:color="auto"/>
              <w:right w:val="single" w:sz="4" w:space="0" w:color="auto"/>
            </w:tcBorders>
            <w:noWrap/>
            <w:vAlign w:val="center"/>
            <w:hideMark/>
          </w:tcPr>
          <w:p w14:paraId="1A8B6BDB"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250</w:t>
            </w:r>
          </w:p>
        </w:tc>
        <w:tc>
          <w:tcPr>
            <w:tcW w:w="1882" w:type="dxa"/>
            <w:tcBorders>
              <w:top w:val="nil"/>
              <w:left w:val="nil"/>
              <w:bottom w:val="single" w:sz="4" w:space="0" w:color="auto"/>
              <w:right w:val="single" w:sz="4" w:space="0" w:color="auto"/>
            </w:tcBorders>
            <w:noWrap/>
            <w:vAlign w:val="center"/>
            <w:hideMark/>
          </w:tcPr>
          <w:p w14:paraId="71B579B0"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0,6</w:t>
            </w:r>
          </w:p>
        </w:tc>
        <w:tc>
          <w:tcPr>
            <w:tcW w:w="1134" w:type="dxa"/>
            <w:tcBorders>
              <w:top w:val="nil"/>
              <w:left w:val="nil"/>
              <w:bottom w:val="single" w:sz="4" w:space="0" w:color="auto"/>
              <w:right w:val="single" w:sz="4" w:space="0" w:color="auto"/>
            </w:tcBorders>
            <w:noWrap/>
            <w:vAlign w:val="center"/>
            <w:hideMark/>
          </w:tcPr>
          <w:p w14:paraId="5A0A3991"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6,1</w:t>
            </w:r>
          </w:p>
        </w:tc>
        <w:tc>
          <w:tcPr>
            <w:tcW w:w="1404" w:type="dxa"/>
            <w:tcBorders>
              <w:top w:val="nil"/>
              <w:left w:val="nil"/>
              <w:bottom w:val="single" w:sz="4" w:space="0" w:color="auto"/>
              <w:right w:val="single" w:sz="4" w:space="0" w:color="auto"/>
            </w:tcBorders>
            <w:noWrap/>
            <w:vAlign w:val="center"/>
            <w:hideMark/>
          </w:tcPr>
          <w:p w14:paraId="554F476A"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0,9</w:t>
            </w:r>
          </w:p>
        </w:tc>
      </w:tr>
      <w:tr w:rsidR="001113A8" w:rsidRPr="00D340D9" w14:paraId="579B71CF" w14:textId="77777777" w:rsidTr="00CB7CE8">
        <w:trPr>
          <w:trHeight w:val="300"/>
          <w:jc w:val="center"/>
        </w:trPr>
        <w:tc>
          <w:tcPr>
            <w:tcW w:w="1508" w:type="dxa"/>
            <w:tcBorders>
              <w:top w:val="nil"/>
              <w:left w:val="single" w:sz="4" w:space="0" w:color="auto"/>
              <w:bottom w:val="single" w:sz="4" w:space="0" w:color="auto"/>
              <w:right w:val="single" w:sz="4" w:space="0" w:color="auto"/>
            </w:tcBorders>
            <w:noWrap/>
            <w:vAlign w:val="center"/>
            <w:hideMark/>
          </w:tcPr>
          <w:p w14:paraId="38242494"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315</w:t>
            </w:r>
          </w:p>
        </w:tc>
        <w:tc>
          <w:tcPr>
            <w:tcW w:w="1882" w:type="dxa"/>
            <w:tcBorders>
              <w:top w:val="nil"/>
              <w:left w:val="nil"/>
              <w:bottom w:val="single" w:sz="4" w:space="0" w:color="auto"/>
              <w:right w:val="single" w:sz="4" w:space="0" w:color="auto"/>
            </w:tcBorders>
            <w:noWrap/>
            <w:vAlign w:val="center"/>
            <w:hideMark/>
          </w:tcPr>
          <w:p w14:paraId="5D9C0580"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0,8</w:t>
            </w:r>
          </w:p>
        </w:tc>
        <w:tc>
          <w:tcPr>
            <w:tcW w:w="1134" w:type="dxa"/>
            <w:tcBorders>
              <w:top w:val="nil"/>
              <w:left w:val="nil"/>
              <w:bottom w:val="single" w:sz="4" w:space="0" w:color="auto"/>
              <w:right w:val="single" w:sz="4" w:space="0" w:color="auto"/>
            </w:tcBorders>
            <w:noWrap/>
            <w:vAlign w:val="center"/>
            <w:hideMark/>
          </w:tcPr>
          <w:p w14:paraId="458BE122"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7,7</w:t>
            </w:r>
          </w:p>
        </w:tc>
        <w:tc>
          <w:tcPr>
            <w:tcW w:w="1404" w:type="dxa"/>
            <w:tcBorders>
              <w:top w:val="nil"/>
              <w:left w:val="nil"/>
              <w:bottom w:val="single" w:sz="4" w:space="0" w:color="auto"/>
              <w:right w:val="single" w:sz="4" w:space="0" w:color="auto"/>
            </w:tcBorders>
            <w:noWrap/>
            <w:vAlign w:val="center"/>
            <w:hideMark/>
          </w:tcPr>
          <w:p w14:paraId="2248A2D4"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1,0</w:t>
            </w:r>
          </w:p>
        </w:tc>
      </w:tr>
      <w:tr w:rsidR="001113A8" w:rsidRPr="00D340D9" w14:paraId="5110E6C2" w14:textId="77777777" w:rsidTr="00CB7CE8">
        <w:trPr>
          <w:trHeight w:val="300"/>
          <w:jc w:val="center"/>
        </w:trPr>
        <w:tc>
          <w:tcPr>
            <w:tcW w:w="1508" w:type="dxa"/>
            <w:tcBorders>
              <w:top w:val="nil"/>
              <w:left w:val="single" w:sz="4" w:space="0" w:color="auto"/>
              <w:bottom w:val="single" w:sz="4" w:space="0" w:color="auto"/>
              <w:right w:val="single" w:sz="4" w:space="0" w:color="auto"/>
            </w:tcBorders>
            <w:noWrap/>
            <w:vAlign w:val="center"/>
            <w:hideMark/>
          </w:tcPr>
          <w:p w14:paraId="016A0764"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400</w:t>
            </w:r>
          </w:p>
        </w:tc>
        <w:tc>
          <w:tcPr>
            <w:tcW w:w="1882" w:type="dxa"/>
            <w:tcBorders>
              <w:top w:val="nil"/>
              <w:left w:val="nil"/>
              <w:bottom w:val="single" w:sz="4" w:space="0" w:color="auto"/>
              <w:right w:val="single" w:sz="4" w:space="0" w:color="auto"/>
            </w:tcBorders>
            <w:noWrap/>
            <w:vAlign w:val="center"/>
            <w:hideMark/>
          </w:tcPr>
          <w:p w14:paraId="5BAA3E19"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1,0</w:t>
            </w:r>
          </w:p>
        </w:tc>
        <w:tc>
          <w:tcPr>
            <w:tcW w:w="1134" w:type="dxa"/>
            <w:tcBorders>
              <w:top w:val="nil"/>
              <w:left w:val="nil"/>
              <w:bottom w:val="single" w:sz="4" w:space="0" w:color="auto"/>
              <w:right w:val="single" w:sz="4" w:space="0" w:color="auto"/>
            </w:tcBorders>
            <w:noWrap/>
            <w:vAlign w:val="center"/>
            <w:hideMark/>
          </w:tcPr>
          <w:p w14:paraId="2D1D3CD2"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9,8</w:t>
            </w:r>
          </w:p>
        </w:tc>
        <w:tc>
          <w:tcPr>
            <w:tcW w:w="1404" w:type="dxa"/>
            <w:tcBorders>
              <w:top w:val="nil"/>
              <w:left w:val="nil"/>
              <w:bottom w:val="single" w:sz="4" w:space="0" w:color="auto"/>
              <w:right w:val="single" w:sz="4" w:space="0" w:color="auto"/>
            </w:tcBorders>
            <w:noWrap/>
            <w:vAlign w:val="center"/>
            <w:hideMark/>
          </w:tcPr>
          <w:p w14:paraId="55B30D45"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1,2</w:t>
            </w:r>
          </w:p>
        </w:tc>
      </w:tr>
      <w:tr w:rsidR="001113A8" w:rsidRPr="00D340D9" w14:paraId="58B9A675" w14:textId="77777777" w:rsidTr="00CB7CE8">
        <w:trPr>
          <w:trHeight w:val="300"/>
          <w:jc w:val="center"/>
        </w:trPr>
        <w:tc>
          <w:tcPr>
            <w:tcW w:w="1508" w:type="dxa"/>
            <w:tcBorders>
              <w:top w:val="nil"/>
              <w:left w:val="single" w:sz="4" w:space="0" w:color="auto"/>
              <w:bottom w:val="single" w:sz="4" w:space="0" w:color="auto"/>
              <w:right w:val="single" w:sz="4" w:space="0" w:color="auto"/>
            </w:tcBorders>
            <w:noWrap/>
            <w:vAlign w:val="center"/>
            <w:hideMark/>
          </w:tcPr>
          <w:p w14:paraId="10718063"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500</w:t>
            </w:r>
          </w:p>
        </w:tc>
        <w:tc>
          <w:tcPr>
            <w:tcW w:w="1882" w:type="dxa"/>
            <w:tcBorders>
              <w:top w:val="nil"/>
              <w:left w:val="nil"/>
              <w:bottom w:val="single" w:sz="4" w:space="0" w:color="auto"/>
              <w:right w:val="single" w:sz="4" w:space="0" w:color="auto"/>
            </w:tcBorders>
            <w:noWrap/>
            <w:vAlign w:val="center"/>
            <w:hideMark/>
          </w:tcPr>
          <w:p w14:paraId="6D571C9F"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1,0</w:t>
            </w:r>
          </w:p>
        </w:tc>
        <w:tc>
          <w:tcPr>
            <w:tcW w:w="1134" w:type="dxa"/>
            <w:tcBorders>
              <w:top w:val="nil"/>
              <w:left w:val="nil"/>
              <w:bottom w:val="single" w:sz="4" w:space="0" w:color="auto"/>
              <w:right w:val="single" w:sz="4" w:space="0" w:color="auto"/>
            </w:tcBorders>
            <w:noWrap/>
            <w:vAlign w:val="center"/>
            <w:hideMark/>
          </w:tcPr>
          <w:p w14:paraId="41F1E49E"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12,2</w:t>
            </w:r>
          </w:p>
        </w:tc>
        <w:tc>
          <w:tcPr>
            <w:tcW w:w="1404" w:type="dxa"/>
            <w:tcBorders>
              <w:top w:val="nil"/>
              <w:left w:val="nil"/>
              <w:bottom w:val="single" w:sz="4" w:space="0" w:color="auto"/>
              <w:right w:val="single" w:sz="4" w:space="0" w:color="auto"/>
            </w:tcBorders>
            <w:noWrap/>
            <w:vAlign w:val="center"/>
            <w:hideMark/>
          </w:tcPr>
          <w:p w14:paraId="77DC47C1"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1,5</w:t>
            </w:r>
          </w:p>
        </w:tc>
      </w:tr>
      <w:tr w:rsidR="001113A8" w:rsidRPr="00D340D9" w14:paraId="795907C8" w14:textId="77777777" w:rsidTr="00CB7CE8">
        <w:trPr>
          <w:trHeight w:val="300"/>
          <w:jc w:val="center"/>
        </w:trPr>
        <w:tc>
          <w:tcPr>
            <w:tcW w:w="1508" w:type="dxa"/>
            <w:tcBorders>
              <w:top w:val="nil"/>
              <w:left w:val="single" w:sz="4" w:space="0" w:color="auto"/>
              <w:bottom w:val="single" w:sz="4" w:space="0" w:color="auto"/>
              <w:right w:val="single" w:sz="4" w:space="0" w:color="auto"/>
            </w:tcBorders>
            <w:noWrap/>
            <w:vAlign w:val="center"/>
            <w:hideMark/>
          </w:tcPr>
          <w:p w14:paraId="6533AD58"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630</w:t>
            </w:r>
          </w:p>
        </w:tc>
        <w:tc>
          <w:tcPr>
            <w:tcW w:w="1882" w:type="dxa"/>
            <w:tcBorders>
              <w:top w:val="nil"/>
              <w:left w:val="nil"/>
              <w:bottom w:val="single" w:sz="4" w:space="0" w:color="auto"/>
              <w:right w:val="single" w:sz="4" w:space="0" w:color="auto"/>
            </w:tcBorders>
            <w:noWrap/>
            <w:vAlign w:val="center"/>
            <w:hideMark/>
          </w:tcPr>
          <w:p w14:paraId="0A8DF6D1"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1,0</w:t>
            </w:r>
          </w:p>
        </w:tc>
        <w:tc>
          <w:tcPr>
            <w:tcW w:w="1134" w:type="dxa"/>
            <w:tcBorders>
              <w:top w:val="nil"/>
              <w:left w:val="nil"/>
              <w:bottom w:val="single" w:sz="4" w:space="0" w:color="auto"/>
              <w:right w:val="single" w:sz="4" w:space="0" w:color="auto"/>
            </w:tcBorders>
            <w:noWrap/>
            <w:vAlign w:val="center"/>
            <w:hideMark/>
          </w:tcPr>
          <w:p w14:paraId="03426E58"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15,4</w:t>
            </w:r>
          </w:p>
        </w:tc>
        <w:tc>
          <w:tcPr>
            <w:tcW w:w="1404" w:type="dxa"/>
            <w:tcBorders>
              <w:top w:val="nil"/>
              <w:left w:val="nil"/>
              <w:bottom w:val="single" w:sz="4" w:space="0" w:color="auto"/>
              <w:right w:val="single" w:sz="4" w:space="0" w:color="auto"/>
            </w:tcBorders>
            <w:noWrap/>
            <w:vAlign w:val="center"/>
            <w:hideMark/>
          </w:tcPr>
          <w:p w14:paraId="268FE536" w14:textId="77777777" w:rsidR="001113A8" w:rsidRPr="00D340D9" w:rsidRDefault="001113A8" w:rsidP="00CB7CE8">
            <w:pPr>
              <w:jc w:val="center"/>
              <w:rPr>
                <w:rFonts w:ascii="Arial" w:hAnsi="Arial" w:cs="Arial"/>
                <w:sz w:val="20"/>
                <w:szCs w:val="20"/>
              </w:rPr>
            </w:pPr>
            <w:r w:rsidRPr="00D340D9">
              <w:rPr>
                <w:rFonts w:ascii="Arial" w:hAnsi="Arial" w:cs="Arial"/>
                <w:sz w:val="20"/>
                <w:szCs w:val="20"/>
              </w:rPr>
              <w:t>1,8</w:t>
            </w:r>
          </w:p>
        </w:tc>
      </w:tr>
    </w:tbl>
    <w:p w14:paraId="678C7937" w14:textId="77777777" w:rsidR="001113A8" w:rsidRPr="00D340D9" w:rsidRDefault="001113A8" w:rsidP="001113A8"/>
    <w:p w14:paraId="13133309" w14:textId="77777777" w:rsidR="001113A8" w:rsidRDefault="001113A8" w:rsidP="001113A8"/>
    <w:p w14:paraId="6299A401" w14:textId="77777777" w:rsidR="006455AE" w:rsidRPr="00D340D9" w:rsidRDefault="006455AE" w:rsidP="001113A8"/>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0"/>
        <w:gridCol w:w="4253"/>
        <w:gridCol w:w="2126"/>
      </w:tblGrid>
      <w:tr w:rsidR="001113A8" w:rsidRPr="00D340D9" w14:paraId="47DE55B4" w14:textId="77777777" w:rsidTr="00CB7CE8">
        <w:trPr>
          <w:tblHeader/>
        </w:trPr>
        <w:tc>
          <w:tcPr>
            <w:tcW w:w="2480" w:type="dxa"/>
            <w:shd w:val="clear" w:color="auto" w:fill="D9D9D9" w:themeFill="background1" w:themeFillShade="D9"/>
            <w:vAlign w:val="center"/>
          </w:tcPr>
          <w:p w14:paraId="3B359BFF" w14:textId="77777777" w:rsidR="001113A8" w:rsidRPr="00D340D9" w:rsidRDefault="001113A8" w:rsidP="00CB7CE8">
            <w:pPr>
              <w:pStyle w:val="LCATabla"/>
              <w:jc w:val="center"/>
              <w:rPr>
                <w:rFonts w:ascii="Arial" w:hAnsi="Arial" w:cs="Arial"/>
                <w:b/>
                <w:bCs/>
                <w:sz w:val="20"/>
              </w:rPr>
            </w:pPr>
            <w:r w:rsidRPr="00D340D9">
              <w:rPr>
                <w:rFonts w:ascii="Arial" w:hAnsi="Arial" w:cs="Arial"/>
                <w:b/>
                <w:bCs/>
                <w:sz w:val="20"/>
              </w:rPr>
              <w:t>Parámetros de aceptación final</w:t>
            </w:r>
          </w:p>
        </w:tc>
        <w:tc>
          <w:tcPr>
            <w:tcW w:w="4253" w:type="dxa"/>
            <w:shd w:val="clear" w:color="auto" w:fill="D9D9D9" w:themeFill="background1" w:themeFillShade="D9"/>
            <w:vAlign w:val="center"/>
          </w:tcPr>
          <w:p w14:paraId="12AE531E" w14:textId="77777777" w:rsidR="001113A8" w:rsidRPr="00D340D9" w:rsidRDefault="001113A8" w:rsidP="00CB7CE8">
            <w:pPr>
              <w:pStyle w:val="LCATabla"/>
              <w:jc w:val="center"/>
              <w:rPr>
                <w:rFonts w:ascii="Arial" w:hAnsi="Arial" w:cs="Arial"/>
                <w:b/>
                <w:bCs/>
                <w:sz w:val="20"/>
              </w:rPr>
            </w:pPr>
            <w:r w:rsidRPr="00D340D9">
              <w:rPr>
                <w:rFonts w:ascii="Arial" w:hAnsi="Arial" w:cs="Arial"/>
                <w:b/>
                <w:bCs/>
                <w:sz w:val="20"/>
              </w:rPr>
              <w:t>Criterio</w:t>
            </w:r>
          </w:p>
        </w:tc>
        <w:tc>
          <w:tcPr>
            <w:tcW w:w="2126" w:type="dxa"/>
            <w:shd w:val="clear" w:color="auto" w:fill="D9D9D9" w:themeFill="background1" w:themeFillShade="D9"/>
          </w:tcPr>
          <w:p w14:paraId="44B75255" w14:textId="77777777" w:rsidR="001113A8" w:rsidRPr="00D340D9" w:rsidRDefault="001113A8" w:rsidP="00CB7CE8">
            <w:pPr>
              <w:pStyle w:val="LCATabla"/>
              <w:jc w:val="center"/>
              <w:rPr>
                <w:rFonts w:ascii="Arial" w:hAnsi="Arial" w:cs="Arial"/>
                <w:b/>
                <w:bCs/>
                <w:sz w:val="20"/>
              </w:rPr>
            </w:pPr>
            <w:r w:rsidRPr="00D340D9">
              <w:rPr>
                <w:rFonts w:ascii="Arial" w:hAnsi="Arial" w:cs="Arial"/>
                <w:b/>
                <w:bCs/>
                <w:sz w:val="20"/>
              </w:rPr>
              <w:t>Norma / procedimiento</w:t>
            </w:r>
          </w:p>
        </w:tc>
      </w:tr>
      <w:tr w:rsidR="001113A8" w:rsidRPr="00D340D9" w14:paraId="2A6FA1AD" w14:textId="77777777" w:rsidTr="00CB7CE8">
        <w:trPr>
          <w:trHeight w:val="540"/>
        </w:trPr>
        <w:tc>
          <w:tcPr>
            <w:tcW w:w="2480" w:type="dxa"/>
          </w:tcPr>
          <w:p w14:paraId="378AB787" w14:textId="77777777" w:rsidR="001113A8" w:rsidRPr="00D340D9" w:rsidRDefault="001113A8" w:rsidP="00CB7CE8">
            <w:pPr>
              <w:pStyle w:val="LCATabla"/>
              <w:rPr>
                <w:rFonts w:ascii="Arial" w:hAnsi="Arial" w:cs="Arial"/>
                <w:sz w:val="20"/>
              </w:rPr>
            </w:pPr>
            <w:r w:rsidRPr="00D340D9">
              <w:rPr>
                <w:rFonts w:ascii="Arial" w:hAnsi="Arial" w:cs="Arial"/>
                <w:sz w:val="20"/>
              </w:rPr>
              <w:t xml:space="preserve">Tolerancia diámetro </w:t>
            </w:r>
            <w:proofErr w:type="gramStart"/>
            <w:r w:rsidRPr="00D340D9">
              <w:rPr>
                <w:rFonts w:ascii="Arial" w:hAnsi="Arial" w:cs="Arial"/>
                <w:sz w:val="20"/>
              </w:rPr>
              <w:t>exterior  del</w:t>
            </w:r>
            <w:proofErr w:type="gramEnd"/>
            <w:r w:rsidRPr="00D340D9">
              <w:rPr>
                <w:rFonts w:ascii="Arial" w:hAnsi="Arial" w:cs="Arial"/>
                <w:sz w:val="20"/>
              </w:rPr>
              <w:t xml:space="preserve"> tubo</w:t>
            </w:r>
          </w:p>
        </w:tc>
        <w:tc>
          <w:tcPr>
            <w:tcW w:w="4253" w:type="dxa"/>
          </w:tcPr>
          <w:p w14:paraId="5FAF876A" w14:textId="77777777" w:rsidR="001113A8" w:rsidRPr="00D340D9" w:rsidRDefault="001113A8" w:rsidP="00CB7CE8">
            <w:pPr>
              <w:pStyle w:val="LCATabla"/>
              <w:jc w:val="both"/>
              <w:rPr>
                <w:rFonts w:ascii="Arial" w:hAnsi="Arial" w:cs="Arial"/>
                <w:sz w:val="20"/>
              </w:rPr>
            </w:pPr>
            <w:r w:rsidRPr="00D340D9">
              <w:rPr>
                <w:rFonts w:ascii="Arial" w:hAnsi="Arial" w:cs="Arial"/>
                <w:sz w:val="20"/>
              </w:rPr>
              <w:t xml:space="preserve">Según tabla anterior. La tolerancia </w:t>
            </w:r>
            <w:proofErr w:type="gramStart"/>
            <w:r w:rsidRPr="00D340D9">
              <w:rPr>
                <w:rFonts w:ascii="Arial" w:hAnsi="Arial" w:cs="Arial"/>
                <w:sz w:val="20"/>
              </w:rPr>
              <w:t>será  inferior</w:t>
            </w:r>
            <w:proofErr w:type="gramEnd"/>
            <w:r w:rsidRPr="00D340D9">
              <w:rPr>
                <w:rFonts w:ascii="Arial" w:hAnsi="Arial" w:cs="Arial"/>
                <w:sz w:val="20"/>
              </w:rPr>
              <w:t xml:space="preserve"> al valor medio obtenido de la siguiente fórmula Dm = 0,1 + 0,0015 DN.</w:t>
            </w:r>
          </w:p>
        </w:tc>
        <w:tc>
          <w:tcPr>
            <w:tcW w:w="2126" w:type="dxa"/>
          </w:tcPr>
          <w:p w14:paraId="6BEAD163" w14:textId="77777777" w:rsidR="001113A8" w:rsidRPr="00D340D9" w:rsidRDefault="001113A8" w:rsidP="00CB7CE8">
            <w:pPr>
              <w:pStyle w:val="LCATabla"/>
              <w:rPr>
                <w:rFonts w:ascii="Arial" w:hAnsi="Arial" w:cs="Arial"/>
                <w:sz w:val="20"/>
              </w:rPr>
            </w:pPr>
            <w:r w:rsidRPr="00D340D9">
              <w:rPr>
                <w:rFonts w:ascii="Arial" w:hAnsi="Arial" w:cs="Arial"/>
                <w:sz w:val="20"/>
              </w:rPr>
              <w:t>Medición con regla</w:t>
            </w:r>
          </w:p>
        </w:tc>
      </w:tr>
      <w:tr w:rsidR="001113A8" w:rsidRPr="00D340D9" w14:paraId="2D20E3DD" w14:textId="77777777" w:rsidTr="00CB7CE8">
        <w:trPr>
          <w:trHeight w:val="540"/>
        </w:trPr>
        <w:tc>
          <w:tcPr>
            <w:tcW w:w="2480" w:type="dxa"/>
          </w:tcPr>
          <w:p w14:paraId="179A341B" w14:textId="77777777" w:rsidR="001113A8" w:rsidRPr="00D340D9" w:rsidRDefault="001113A8" w:rsidP="00CB7CE8">
            <w:pPr>
              <w:pStyle w:val="LCATabla"/>
              <w:keepNext/>
              <w:keepLines/>
              <w:rPr>
                <w:rFonts w:ascii="Arial" w:hAnsi="Arial" w:cs="Arial"/>
                <w:sz w:val="20"/>
              </w:rPr>
            </w:pPr>
            <w:r w:rsidRPr="00D340D9">
              <w:rPr>
                <w:rFonts w:ascii="Arial" w:hAnsi="Arial" w:cs="Arial"/>
                <w:sz w:val="20"/>
              </w:rPr>
              <w:t>Tolerancia en el espesor del tubo</w:t>
            </w:r>
          </w:p>
        </w:tc>
        <w:tc>
          <w:tcPr>
            <w:tcW w:w="4253" w:type="dxa"/>
          </w:tcPr>
          <w:p w14:paraId="11CDA383" w14:textId="77777777" w:rsidR="001113A8" w:rsidRPr="00D340D9" w:rsidRDefault="001113A8" w:rsidP="00CB7CE8">
            <w:pPr>
              <w:pStyle w:val="LCATabla"/>
              <w:keepNext/>
              <w:keepLines/>
              <w:rPr>
                <w:rFonts w:ascii="Arial" w:hAnsi="Arial" w:cs="Arial"/>
                <w:sz w:val="20"/>
              </w:rPr>
            </w:pPr>
            <w:r w:rsidRPr="00D340D9">
              <w:rPr>
                <w:rFonts w:ascii="Arial" w:hAnsi="Arial" w:cs="Arial"/>
                <w:sz w:val="20"/>
              </w:rPr>
              <w:t>+10% de su espesor nominal.</w:t>
            </w:r>
          </w:p>
        </w:tc>
        <w:tc>
          <w:tcPr>
            <w:tcW w:w="2126" w:type="dxa"/>
          </w:tcPr>
          <w:p w14:paraId="190698CE" w14:textId="77777777" w:rsidR="001113A8" w:rsidRPr="00D340D9" w:rsidRDefault="001113A8" w:rsidP="00CB7CE8">
            <w:pPr>
              <w:pStyle w:val="LCATabla"/>
              <w:keepNext/>
              <w:keepLines/>
              <w:rPr>
                <w:rFonts w:ascii="Arial" w:hAnsi="Arial" w:cs="Arial"/>
                <w:sz w:val="20"/>
              </w:rPr>
            </w:pPr>
            <w:r w:rsidRPr="00D340D9">
              <w:rPr>
                <w:rFonts w:ascii="Arial" w:hAnsi="Arial" w:cs="Arial"/>
                <w:sz w:val="20"/>
              </w:rPr>
              <w:t>Medición con calibre</w:t>
            </w:r>
          </w:p>
        </w:tc>
      </w:tr>
      <w:tr w:rsidR="001113A8" w:rsidRPr="00D340D9" w14:paraId="6FBE8AD6" w14:textId="77777777" w:rsidTr="00CB7CE8">
        <w:trPr>
          <w:trHeight w:val="420"/>
        </w:trPr>
        <w:tc>
          <w:tcPr>
            <w:tcW w:w="2480" w:type="dxa"/>
          </w:tcPr>
          <w:p w14:paraId="61D264A2" w14:textId="77777777" w:rsidR="001113A8" w:rsidRPr="00D340D9" w:rsidRDefault="001113A8" w:rsidP="00CB7CE8">
            <w:pPr>
              <w:pStyle w:val="LCATabla"/>
              <w:rPr>
                <w:rFonts w:ascii="Arial" w:hAnsi="Arial" w:cs="Arial"/>
                <w:sz w:val="20"/>
              </w:rPr>
            </w:pPr>
            <w:r w:rsidRPr="00D340D9">
              <w:rPr>
                <w:rFonts w:ascii="Arial" w:hAnsi="Arial" w:cs="Arial"/>
                <w:sz w:val="20"/>
              </w:rPr>
              <w:t>Deformación transversal</w:t>
            </w:r>
          </w:p>
        </w:tc>
        <w:tc>
          <w:tcPr>
            <w:tcW w:w="4253" w:type="dxa"/>
          </w:tcPr>
          <w:p w14:paraId="5F6B8267" w14:textId="77777777" w:rsidR="001113A8" w:rsidRPr="00D340D9" w:rsidRDefault="001113A8" w:rsidP="00CB7CE8">
            <w:pPr>
              <w:pStyle w:val="LCATabla"/>
              <w:rPr>
                <w:rFonts w:ascii="Arial" w:hAnsi="Arial" w:cs="Arial"/>
                <w:sz w:val="20"/>
              </w:rPr>
            </w:pPr>
            <w:r w:rsidRPr="00D340D9">
              <w:rPr>
                <w:rFonts w:ascii="Arial" w:hAnsi="Arial" w:cs="Arial"/>
                <w:sz w:val="20"/>
              </w:rPr>
              <w:t>Será inferior al 5% del diámetro nominal.</w:t>
            </w:r>
          </w:p>
        </w:tc>
        <w:tc>
          <w:tcPr>
            <w:tcW w:w="2126" w:type="dxa"/>
          </w:tcPr>
          <w:p w14:paraId="3A76844F" w14:textId="77777777" w:rsidR="001113A8" w:rsidRPr="00D340D9" w:rsidRDefault="001113A8" w:rsidP="00CB7CE8">
            <w:pPr>
              <w:pStyle w:val="LCATabla"/>
              <w:rPr>
                <w:rFonts w:ascii="Arial" w:hAnsi="Arial" w:cs="Arial"/>
                <w:sz w:val="20"/>
              </w:rPr>
            </w:pPr>
            <w:r w:rsidRPr="00D340D9">
              <w:rPr>
                <w:rFonts w:ascii="Arial" w:hAnsi="Arial" w:cs="Arial"/>
                <w:sz w:val="20"/>
              </w:rPr>
              <w:t>Medición con regla</w:t>
            </w:r>
          </w:p>
        </w:tc>
      </w:tr>
      <w:tr w:rsidR="001113A8" w:rsidRPr="00D340D9" w14:paraId="6234E38E" w14:textId="77777777" w:rsidTr="00CB7CE8">
        <w:trPr>
          <w:trHeight w:val="420"/>
        </w:trPr>
        <w:tc>
          <w:tcPr>
            <w:tcW w:w="2480" w:type="dxa"/>
          </w:tcPr>
          <w:p w14:paraId="7BE12029" w14:textId="77777777" w:rsidR="001113A8" w:rsidRPr="00D340D9" w:rsidRDefault="001113A8" w:rsidP="00CB7CE8">
            <w:pPr>
              <w:pStyle w:val="LCATabla"/>
              <w:rPr>
                <w:rFonts w:ascii="Arial" w:hAnsi="Arial" w:cs="Arial"/>
                <w:sz w:val="20"/>
              </w:rPr>
            </w:pPr>
            <w:r w:rsidRPr="00D340D9">
              <w:rPr>
                <w:rFonts w:ascii="Arial" w:hAnsi="Arial" w:cs="Arial"/>
                <w:sz w:val="20"/>
              </w:rPr>
              <w:t>Tolerancia longitud del tubo</w:t>
            </w:r>
          </w:p>
        </w:tc>
        <w:tc>
          <w:tcPr>
            <w:tcW w:w="4253" w:type="dxa"/>
          </w:tcPr>
          <w:p w14:paraId="069BBECF" w14:textId="77777777" w:rsidR="001113A8" w:rsidRPr="00D340D9" w:rsidRDefault="001113A8" w:rsidP="00CB7CE8">
            <w:pPr>
              <w:pStyle w:val="LCATabla"/>
              <w:rPr>
                <w:rFonts w:ascii="Arial" w:hAnsi="Arial" w:cs="Arial"/>
                <w:sz w:val="20"/>
              </w:rPr>
            </w:pPr>
            <w:r w:rsidRPr="00D340D9">
              <w:rPr>
                <w:rFonts w:ascii="Arial" w:hAnsi="Arial" w:cs="Arial"/>
                <w:sz w:val="20"/>
              </w:rPr>
              <w:t>Según tabla anterior.</w:t>
            </w:r>
          </w:p>
        </w:tc>
        <w:tc>
          <w:tcPr>
            <w:tcW w:w="2126" w:type="dxa"/>
          </w:tcPr>
          <w:p w14:paraId="1FF3ACB2" w14:textId="77777777" w:rsidR="001113A8" w:rsidRPr="00D340D9" w:rsidRDefault="001113A8" w:rsidP="00CB7CE8">
            <w:pPr>
              <w:pStyle w:val="LCATabla"/>
              <w:rPr>
                <w:rFonts w:ascii="Arial" w:hAnsi="Arial" w:cs="Arial"/>
                <w:sz w:val="20"/>
              </w:rPr>
            </w:pPr>
            <w:r w:rsidRPr="00D340D9">
              <w:rPr>
                <w:rFonts w:ascii="Arial" w:hAnsi="Arial" w:cs="Arial"/>
                <w:sz w:val="20"/>
              </w:rPr>
              <w:t>Medición con regla</w:t>
            </w:r>
          </w:p>
        </w:tc>
      </w:tr>
    </w:tbl>
    <w:p w14:paraId="220AB5F3" w14:textId="77777777" w:rsidR="001113A8" w:rsidRPr="00D340D9" w:rsidRDefault="001113A8" w:rsidP="001113A8"/>
    <w:p w14:paraId="0FF2EC52" w14:textId="77777777" w:rsidR="001113A8" w:rsidRPr="00D340D9" w:rsidRDefault="001113A8" w:rsidP="001113A8">
      <w:pPr>
        <w:pStyle w:val="NORMAL12"/>
        <w:rPr>
          <w:lang w:val="es-ES"/>
        </w:rPr>
      </w:pPr>
      <w:r w:rsidRPr="00D340D9">
        <w:rPr>
          <w:lang w:val="es-ES"/>
        </w:rPr>
        <w:t>Las tolerancias en el diámetro exterior medio, medido en el tubo, será siempre en más, y su cuantía viene dada por la fórmula Dm = 0,1 + 0,0015 DN redondeado al 0,1 mm más próximo, por exceso, con un valor mínimo de 0,2mm</w:t>
      </w:r>
    </w:p>
    <w:p w14:paraId="7560AC60" w14:textId="77777777" w:rsidR="001113A8" w:rsidRPr="00D340D9" w:rsidRDefault="001113A8" w:rsidP="001113A8">
      <w:pPr>
        <w:pStyle w:val="NORMAL12"/>
        <w:rPr>
          <w:lang w:val="es-ES"/>
        </w:rPr>
      </w:pPr>
      <w:r w:rsidRPr="00D340D9">
        <w:rPr>
          <w:lang w:val="es-ES"/>
        </w:rPr>
        <w:t>Para tubos de espesor nominal mayor de 6,6 mm, la diferencia máxima admisible entre el espesor medio y el nominal (e) será siempre positiva y no excederá de 0,1e.</w:t>
      </w:r>
    </w:p>
    <w:p w14:paraId="18C1CD9F" w14:textId="77777777" w:rsidR="001113A8" w:rsidRPr="00D340D9" w:rsidRDefault="001113A8" w:rsidP="001113A8">
      <w:pPr>
        <w:pStyle w:val="LCATextoIndependiente"/>
        <w:rPr>
          <w:sz w:val="24"/>
        </w:rPr>
      </w:pPr>
      <w:r w:rsidRPr="00D340D9">
        <w:rPr>
          <w:sz w:val="24"/>
        </w:rPr>
        <w:t>Las características de los tubos deben cumplir:</w:t>
      </w:r>
    </w:p>
    <w:p w14:paraId="5DFA1238" w14:textId="77777777" w:rsidR="001113A8" w:rsidRPr="00D340D9" w:rsidRDefault="001113A8" w:rsidP="001113A8">
      <w:pPr>
        <w:pStyle w:val="LCATextoIndependiente"/>
        <w:numPr>
          <w:ilvl w:val="0"/>
          <w:numId w:val="102"/>
        </w:numPr>
        <w:rPr>
          <w:sz w:val="24"/>
        </w:rPr>
      </w:pPr>
      <w:r w:rsidRPr="00D340D9">
        <w:rPr>
          <w:sz w:val="24"/>
        </w:rPr>
        <w:t>Frente al calor la contracción longitudinal remanente del tubo, después de haber estado sometido a la acción del calor será menor de 5%</w:t>
      </w:r>
    </w:p>
    <w:p w14:paraId="5D99D6CB" w14:textId="77777777" w:rsidR="001113A8" w:rsidRPr="00D340D9" w:rsidRDefault="001113A8" w:rsidP="001113A8">
      <w:pPr>
        <w:pStyle w:val="LCATextoIndependiente"/>
        <w:numPr>
          <w:ilvl w:val="0"/>
          <w:numId w:val="102"/>
        </w:numPr>
        <w:rPr>
          <w:sz w:val="24"/>
        </w:rPr>
      </w:pPr>
      <w:r w:rsidRPr="00D340D9">
        <w:rPr>
          <w:sz w:val="24"/>
        </w:rPr>
        <w:t>La resistencia al impacto será inferior al 5% para el ensayo a 0º y del 10% en el ensayo a 20ºC</w:t>
      </w:r>
    </w:p>
    <w:p w14:paraId="71D20B86" w14:textId="77777777" w:rsidR="001113A8" w:rsidRPr="00D340D9" w:rsidRDefault="001113A8" w:rsidP="001113A8">
      <w:pPr>
        <w:pStyle w:val="LCATextoIndependiente"/>
        <w:numPr>
          <w:ilvl w:val="0"/>
          <w:numId w:val="102"/>
        </w:numPr>
        <w:rPr>
          <w:sz w:val="24"/>
        </w:rPr>
      </w:pPr>
      <w:r w:rsidRPr="00D340D9">
        <w:rPr>
          <w:sz w:val="24"/>
        </w:rPr>
        <w:t xml:space="preserve">En el ensayo de presión interior destructivo, se obtendrán las tensiones mínimas que producen la rotura del tubo en trozos, representado en una curva tensión-tiempo para cada una de las temperaturas de ensayo. La resistencia mínima estimada para los 50 años no será inferior a 24 MPa. </w:t>
      </w:r>
    </w:p>
    <w:p w14:paraId="22111575" w14:textId="77777777" w:rsidR="001113A8" w:rsidRPr="00D340D9" w:rsidRDefault="001113A8" w:rsidP="001113A8">
      <w:pPr>
        <w:pStyle w:val="LCATextoIndependiente"/>
        <w:numPr>
          <w:ilvl w:val="0"/>
          <w:numId w:val="102"/>
        </w:numPr>
        <w:rPr>
          <w:sz w:val="24"/>
        </w:rPr>
      </w:pPr>
      <w:r w:rsidRPr="00D340D9">
        <w:rPr>
          <w:sz w:val="24"/>
        </w:rPr>
        <w:t>Ensayos mecánicos:</w:t>
      </w:r>
    </w:p>
    <w:p w14:paraId="0470F410" w14:textId="77777777" w:rsidR="001113A8" w:rsidRPr="00D340D9" w:rsidRDefault="001113A8" w:rsidP="001113A8">
      <w:pPr>
        <w:pStyle w:val="LCATextoIndependiente"/>
        <w:numPr>
          <w:ilvl w:val="1"/>
          <w:numId w:val="102"/>
        </w:numPr>
        <w:rPr>
          <w:sz w:val="24"/>
        </w:rPr>
      </w:pPr>
      <w:r w:rsidRPr="00D340D9">
        <w:rPr>
          <w:sz w:val="24"/>
        </w:rPr>
        <w:t>En los tubos de PVC para 50 años de vida útil, y temperaturas de servicio no mayores a 20ºC, la tensión de trabajo máxima admisible será fijada en base a las circunstancias particulares de la obra y a la normativa de aplicación. El valor de la tensión dependerá del coeficiente de seguridad al término de la vida útil.</w:t>
      </w:r>
    </w:p>
    <w:p w14:paraId="7C4FB305" w14:textId="77777777" w:rsidR="001113A8" w:rsidRPr="00D340D9" w:rsidRDefault="001113A8" w:rsidP="001113A8">
      <w:pPr>
        <w:pStyle w:val="LCATextoIndependiente"/>
        <w:numPr>
          <w:ilvl w:val="1"/>
          <w:numId w:val="102"/>
        </w:numPr>
        <w:rPr>
          <w:sz w:val="24"/>
        </w:rPr>
      </w:pPr>
      <w:r w:rsidRPr="00D340D9">
        <w:rPr>
          <w:sz w:val="24"/>
        </w:rPr>
        <w:lastRenderedPageBreak/>
        <w:t xml:space="preserve">En la selección de una determinada serie de tubo (espesor de la pared) de un diámetro previamente fijado por motivos hidráulicos se tendrá en cuenta no sólo la presión nominal, sino también las demás características mecánicas, en base a las solicitaciones del servicio previsibles. Se </w:t>
      </w:r>
      <w:proofErr w:type="gramStart"/>
      <w:r w:rsidRPr="00D340D9">
        <w:rPr>
          <w:sz w:val="24"/>
        </w:rPr>
        <w:t>tomaran</w:t>
      </w:r>
      <w:proofErr w:type="gramEnd"/>
      <w:r w:rsidRPr="00D340D9">
        <w:rPr>
          <w:sz w:val="24"/>
        </w:rPr>
        <w:t xml:space="preserve"> en consideración las depresiones en el interior del tubo y el riesgo de colapso.</w:t>
      </w:r>
    </w:p>
    <w:p w14:paraId="1893C346" w14:textId="77777777" w:rsidR="001113A8" w:rsidRPr="00D340D9" w:rsidRDefault="001113A8" w:rsidP="001113A8">
      <w:pPr>
        <w:pStyle w:val="LCATextoIndependiente"/>
        <w:numPr>
          <w:ilvl w:val="1"/>
          <w:numId w:val="102"/>
        </w:numPr>
        <w:rPr>
          <w:sz w:val="24"/>
        </w:rPr>
      </w:pPr>
      <w:r w:rsidRPr="00D340D9">
        <w:rPr>
          <w:sz w:val="24"/>
        </w:rPr>
        <w:t>Por lo general la máxima deformación transversal admisible a largo plazo en tubos de PVC se limitará al 5% del diámetro nominal.</w:t>
      </w:r>
    </w:p>
    <w:p w14:paraId="77B72307" w14:textId="77777777" w:rsidR="001E0C26" w:rsidRDefault="001E0C26" w:rsidP="001113A8">
      <w:pPr>
        <w:pStyle w:val="NORMAL12"/>
        <w:rPr>
          <w:i/>
          <w:u w:val="single"/>
        </w:rPr>
      </w:pPr>
      <w:r w:rsidRPr="001113A8">
        <w:rPr>
          <w:i/>
          <w:u w:val="single"/>
        </w:rPr>
        <w:t xml:space="preserve">El control de calidad de la perforación: </w:t>
      </w:r>
    </w:p>
    <w:p w14:paraId="47C7B223" w14:textId="77777777" w:rsidR="001113A8" w:rsidRPr="001113A8" w:rsidRDefault="001113A8" w:rsidP="001113A8">
      <w:pPr>
        <w:pStyle w:val="NORMAL12"/>
        <w:rPr>
          <w:lang w:val="es-ES"/>
        </w:rPr>
      </w:pPr>
      <w:r w:rsidRPr="001113A8">
        <w:rPr>
          <w:lang w:val="es-ES"/>
        </w:rPr>
        <w:t>Se realizarán los siguientes ensayos</w:t>
      </w:r>
      <w:r>
        <w:rPr>
          <w:lang w:val="es-ES"/>
        </w:rPr>
        <w:t>:</w:t>
      </w:r>
    </w:p>
    <w:tbl>
      <w:tblPr>
        <w:tblW w:w="8918" w:type="dxa"/>
        <w:jc w:val="center"/>
        <w:tblCellMar>
          <w:left w:w="0" w:type="dxa"/>
          <w:right w:w="0" w:type="dxa"/>
        </w:tblCellMar>
        <w:tblLook w:val="04A0" w:firstRow="1" w:lastRow="0" w:firstColumn="1" w:lastColumn="0" w:noHBand="0" w:noVBand="1"/>
      </w:tblPr>
      <w:tblGrid>
        <w:gridCol w:w="2714"/>
        <w:gridCol w:w="3472"/>
        <w:gridCol w:w="2732"/>
      </w:tblGrid>
      <w:tr w:rsidR="00F71371" w:rsidRPr="00D340D9" w14:paraId="43E742EB" w14:textId="77777777" w:rsidTr="00F71371">
        <w:trPr>
          <w:trHeight w:val="368"/>
          <w:tblHeader/>
          <w:jc w:val="center"/>
        </w:trPr>
        <w:tc>
          <w:tcPr>
            <w:tcW w:w="2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20" w:type="dxa"/>
              <w:left w:w="20" w:type="dxa"/>
              <w:bottom w:w="0" w:type="dxa"/>
              <w:right w:w="20" w:type="dxa"/>
            </w:tcMar>
            <w:vAlign w:val="center"/>
            <w:hideMark/>
          </w:tcPr>
          <w:p w14:paraId="5309C673" w14:textId="77777777" w:rsidR="001E0C26" w:rsidRPr="00D340D9" w:rsidRDefault="001E0C26" w:rsidP="00AB2427">
            <w:pPr>
              <w:pStyle w:val="Tabla"/>
              <w:keepNext/>
              <w:rPr>
                <w:b/>
              </w:rPr>
            </w:pPr>
            <w:r w:rsidRPr="00D340D9">
              <w:rPr>
                <w:b/>
              </w:rPr>
              <w:t>Características</w:t>
            </w:r>
          </w:p>
        </w:tc>
        <w:tc>
          <w:tcPr>
            <w:tcW w:w="3472" w:type="dxa"/>
            <w:tcBorders>
              <w:top w:val="single" w:sz="4" w:space="0" w:color="auto"/>
              <w:left w:val="nil"/>
              <w:bottom w:val="single" w:sz="4" w:space="0" w:color="auto"/>
              <w:right w:val="single" w:sz="4" w:space="0" w:color="auto"/>
            </w:tcBorders>
            <w:shd w:val="clear" w:color="auto" w:fill="D9D9D9" w:themeFill="background1" w:themeFillShade="D9"/>
            <w:tcMar>
              <w:top w:w="20" w:type="dxa"/>
              <w:left w:w="20" w:type="dxa"/>
              <w:bottom w:w="0" w:type="dxa"/>
              <w:right w:w="20" w:type="dxa"/>
            </w:tcMar>
            <w:vAlign w:val="center"/>
            <w:hideMark/>
          </w:tcPr>
          <w:p w14:paraId="390F0C89" w14:textId="77777777" w:rsidR="001E0C26" w:rsidRPr="00D340D9" w:rsidRDefault="001E0C26" w:rsidP="00AB2427">
            <w:pPr>
              <w:pStyle w:val="Tabla"/>
              <w:keepNext/>
              <w:rPr>
                <w:b/>
              </w:rPr>
            </w:pPr>
            <w:r w:rsidRPr="00D340D9">
              <w:rPr>
                <w:b/>
              </w:rPr>
              <w:t xml:space="preserve">Método de ensayo de observación </w:t>
            </w:r>
          </w:p>
        </w:tc>
        <w:tc>
          <w:tcPr>
            <w:tcW w:w="2732" w:type="dxa"/>
            <w:tcBorders>
              <w:top w:val="single" w:sz="4" w:space="0" w:color="auto"/>
              <w:left w:val="nil"/>
              <w:bottom w:val="single" w:sz="4" w:space="0" w:color="auto"/>
              <w:right w:val="single" w:sz="4" w:space="0" w:color="auto"/>
            </w:tcBorders>
            <w:shd w:val="clear" w:color="auto" w:fill="D9D9D9" w:themeFill="background1" w:themeFillShade="D9"/>
            <w:tcMar>
              <w:top w:w="20" w:type="dxa"/>
              <w:left w:w="20" w:type="dxa"/>
              <w:bottom w:w="0" w:type="dxa"/>
              <w:right w:w="20" w:type="dxa"/>
            </w:tcMar>
            <w:vAlign w:val="center"/>
            <w:hideMark/>
          </w:tcPr>
          <w:p w14:paraId="1160A6AF" w14:textId="77777777" w:rsidR="001E0C26" w:rsidRPr="00D340D9" w:rsidRDefault="001E0C26" w:rsidP="00AB2427">
            <w:pPr>
              <w:pStyle w:val="Tabla"/>
              <w:keepNext/>
              <w:rPr>
                <w:b/>
              </w:rPr>
            </w:pPr>
            <w:r w:rsidRPr="00D340D9">
              <w:rPr>
                <w:b/>
              </w:rPr>
              <w:t xml:space="preserve">Frecuencia </w:t>
            </w:r>
          </w:p>
        </w:tc>
      </w:tr>
      <w:tr w:rsidR="00F71371" w:rsidRPr="00D340D9" w14:paraId="70F6150E" w14:textId="77777777" w:rsidTr="00AB2427">
        <w:trPr>
          <w:trHeight w:val="552"/>
          <w:jc w:val="center"/>
        </w:trPr>
        <w:tc>
          <w:tcPr>
            <w:tcW w:w="2714" w:type="dxa"/>
            <w:tcBorders>
              <w:top w:val="nil"/>
              <w:left w:val="single" w:sz="4" w:space="0" w:color="auto"/>
              <w:bottom w:val="single" w:sz="4" w:space="0" w:color="000000"/>
              <w:right w:val="single" w:sz="4" w:space="0" w:color="auto"/>
            </w:tcBorders>
            <w:noWrap/>
            <w:tcMar>
              <w:top w:w="20" w:type="dxa"/>
              <w:left w:w="180" w:type="dxa"/>
              <w:bottom w:w="0" w:type="dxa"/>
              <w:right w:w="20" w:type="dxa"/>
            </w:tcMar>
            <w:vAlign w:val="center"/>
            <w:hideMark/>
          </w:tcPr>
          <w:p w14:paraId="19FF05D1" w14:textId="77777777" w:rsidR="001E0C26" w:rsidRPr="00D340D9" w:rsidRDefault="001E0C26" w:rsidP="00AB2427">
            <w:pPr>
              <w:pStyle w:val="Tabla"/>
              <w:jc w:val="left"/>
            </w:pPr>
            <w:r w:rsidRPr="00D340D9">
              <w:t>Limpieza</w:t>
            </w:r>
          </w:p>
        </w:tc>
        <w:tc>
          <w:tcPr>
            <w:tcW w:w="3472" w:type="dxa"/>
            <w:tcBorders>
              <w:top w:val="nil"/>
              <w:left w:val="nil"/>
              <w:bottom w:val="single" w:sz="4" w:space="0" w:color="auto"/>
              <w:right w:val="single" w:sz="4" w:space="0" w:color="auto"/>
            </w:tcBorders>
            <w:tcMar>
              <w:top w:w="20" w:type="dxa"/>
              <w:left w:w="20" w:type="dxa"/>
              <w:bottom w:w="0" w:type="dxa"/>
              <w:right w:w="20" w:type="dxa"/>
            </w:tcMar>
            <w:vAlign w:val="center"/>
            <w:hideMark/>
          </w:tcPr>
          <w:p w14:paraId="678EF199" w14:textId="77777777" w:rsidR="001E0C26" w:rsidRPr="00D340D9" w:rsidRDefault="001E0C26" w:rsidP="00AB2427">
            <w:pPr>
              <w:pStyle w:val="Tabla"/>
            </w:pPr>
            <w:r w:rsidRPr="00D340D9">
              <w:t xml:space="preserve">Examen visual </w:t>
            </w:r>
          </w:p>
        </w:tc>
        <w:tc>
          <w:tcPr>
            <w:tcW w:w="2732" w:type="dxa"/>
            <w:tcBorders>
              <w:top w:val="nil"/>
              <w:left w:val="single" w:sz="4" w:space="0" w:color="auto"/>
              <w:bottom w:val="single" w:sz="4" w:space="0" w:color="auto"/>
              <w:right w:val="single" w:sz="4" w:space="0" w:color="auto"/>
            </w:tcBorders>
            <w:tcMar>
              <w:top w:w="20" w:type="dxa"/>
              <w:left w:w="180" w:type="dxa"/>
              <w:bottom w:w="0" w:type="dxa"/>
              <w:right w:w="20" w:type="dxa"/>
            </w:tcMar>
            <w:vAlign w:val="center"/>
            <w:hideMark/>
          </w:tcPr>
          <w:p w14:paraId="71D77024" w14:textId="77777777" w:rsidR="001E0C26" w:rsidRPr="00D340D9" w:rsidRDefault="001E0C26" w:rsidP="00AB2427">
            <w:pPr>
              <w:pStyle w:val="Tabla"/>
            </w:pPr>
            <w:r w:rsidRPr="00D340D9">
              <w:t>Inmediatamente antes y después de ejecución</w:t>
            </w:r>
          </w:p>
        </w:tc>
      </w:tr>
      <w:tr w:rsidR="00F71371" w:rsidRPr="00D340D9" w14:paraId="432F8A43" w14:textId="77777777" w:rsidTr="00AB2427">
        <w:trPr>
          <w:trHeight w:val="552"/>
          <w:jc w:val="center"/>
        </w:trPr>
        <w:tc>
          <w:tcPr>
            <w:tcW w:w="2714" w:type="dxa"/>
            <w:tcBorders>
              <w:top w:val="nil"/>
              <w:left w:val="single" w:sz="4" w:space="0" w:color="auto"/>
              <w:bottom w:val="single" w:sz="4" w:space="0" w:color="000000"/>
              <w:right w:val="single" w:sz="4" w:space="0" w:color="auto"/>
            </w:tcBorders>
            <w:noWrap/>
            <w:tcMar>
              <w:top w:w="20" w:type="dxa"/>
              <w:left w:w="180" w:type="dxa"/>
              <w:bottom w:w="0" w:type="dxa"/>
              <w:right w:w="20" w:type="dxa"/>
            </w:tcMar>
            <w:vAlign w:val="center"/>
            <w:hideMark/>
          </w:tcPr>
          <w:p w14:paraId="2B929D38" w14:textId="77777777" w:rsidR="001E0C26" w:rsidRPr="00D340D9" w:rsidRDefault="001E0C26" w:rsidP="00AB2427">
            <w:pPr>
              <w:pStyle w:val="Tabla"/>
              <w:jc w:val="left"/>
            </w:pPr>
            <w:r w:rsidRPr="00D340D9">
              <w:t xml:space="preserve">Diámetro de las tuberías </w:t>
            </w:r>
          </w:p>
        </w:tc>
        <w:tc>
          <w:tcPr>
            <w:tcW w:w="3472" w:type="dxa"/>
            <w:tcBorders>
              <w:top w:val="nil"/>
              <w:left w:val="nil"/>
              <w:bottom w:val="single" w:sz="4" w:space="0" w:color="auto"/>
              <w:right w:val="single" w:sz="4" w:space="0" w:color="auto"/>
            </w:tcBorders>
            <w:tcMar>
              <w:top w:w="20" w:type="dxa"/>
              <w:left w:w="20" w:type="dxa"/>
              <w:bottom w:w="0" w:type="dxa"/>
              <w:right w:w="20" w:type="dxa"/>
            </w:tcMar>
            <w:vAlign w:val="center"/>
            <w:hideMark/>
          </w:tcPr>
          <w:p w14:paraId="32A62CCF" w14:textId="77777777" w:rsidR="001E0C26" w:rsidRPr="00D340D9" w:rsidRDefault="001E0C26" w:rsidP="00AB2427">
            <w:pPr>
              <w:pStyle w:val="Tabla"/>
            </w:pPr>
            <w:r w:rsidRPr="00D340D9">
              <w:t>Examen visual y medición con flexómetros</w:t>
            </w:r>
          </w:p>
        </w:tc>
        <w:tc>
          <w:tcPr>
            <w:tcW w:w="2732" w:type="dxa"/>
            <w:tcBorders>
              <w:top w:val="nil"/>
              <w:left w:val="single" w:sz="4" w:space="0" w:color="auto"/>
              <w:bottom w:val="single" w:sz="4" w:space="0" w:color="auto"/>
              <w:right w:val="single" w:sz="4" w:space="0" w:color="auto"/>
            </w:tcBorders>
            <w:tcMar>
              <w:top w:w="20" w:type="dxa"/>
              <w:left w:w="180" w:type="dxa"/>
              <w:bottom w:w="0" w:type="dxa"/>
              <w:right w:w="20" w:type="dxa"/>
            </w:tcMar>
            <w:vAlign w:val="center"/>
            <w:hideMark/>
          </w:tcPr>
          <w:p w14:paraId="2C11D545" w14:textId="77777777" w:rsidR="001E0C26" w:rsidRPr="00D340D9" w:rsidRDefault="001E0C26" w:rsidP="00AB2427">
            <w:pPr>
              <w:pStyle w:val="Tabla"/>
            </w:pPr>
            <w:r w:rsidRPr="00D340D9">
              <w:t>Tras la ejecución</w:t>
            </w:r>
          </w:p>
        </w:tc>
      </w:tr>
      <w:tr w:rsidR="00F71371" w:rsidRPr="00D340D9" w14:paraId="6AC8F577" w14:textId="77777777" w:rsidTr="00AB2427">
        <w:trPr>
          <w:trHeight w:val="552"/>
          <w:jc w:val="center"/>
        </w:trPr>
        <w:tc>
          <w:tcPr>
            <w:tcW w:w="2714" w:type="dxa"/>
            <w:tcBorders>
              <w:top w:val="nil"/>
              <w:left w:val="single" w:sz="4" w:space="0" w:color="auto"/>
              <w:bottom w:val="single" w:sz="4" w:space="0" w:color="000000"/>
              <w:right w:val="single" w:sz="4" w:space="0" w:color="auto"/>
            </w:tcBorders>
            <w:noWrap/>
            <w:tcMar>
              <w:top w:w="20" w:type="dxa"/>
              <w:left w:w="180" w:type="dxa"/>
              <w:bottom w:w="0" w:type="dxa"/>
              <w:right w:w="20" w:type="dxa"/>
            </w:tcMar>
            <w:vAlign w:val="center"/>
            <w:hideMark/>
          </w:tcPr>
          <w:p w14:paraId="11D81026" w14:textId="77777777" w:rsidR="001E0C26" w:rsidRPr="00D340D9" w:rsidRDefault="001E0C26" w:rsidP="00AB2427">
            <w:pPr>
              <w:pStyle w:val="Tabla"/>
              <w:jc w:val="left"/>
            </w:pPr>
            <w:r w:rsidRPr="00D340D9">
              <w:t>Longitud de las canalizaciones</w:t>
            </w:r>
          </w:p>
        </w:tc>
        <w:tc>
          <w:tcPr>
            <w:tcW w:w="3472" w:type="dxa"/>
            <w:tcBorders>
              <w:top w:val="nil"/>
              <w:left w:val="nil"/>
              <w:bottom w:val="single" w:sz="4" w:space="0" w:color="auto"/>
              <w:right w:val="single" w:sz="4" w:space="0" w:color="auto"/>
            </w:tcBorders>
            <w:tcMar>
              <w:top w:w="20" w:type="dxa"/>
              <w:left w:w="20" w:type="dxa"/>
              <w:bottom w:w="0" w:type="dxa"/>
              <w:right w:w="20" w:type="dxa"/>
            </w:tcMar>
            <w:vAlign w:val="center"/>
            <w:hideMark/>
          </w:tcPr>
          <w:p w14:paraId="28F0332F" w14:textId="77777777" w:rsidR="001E0C26" w:rsidRPr="00D340D9" w:rsidRDefault="001E0C26" w:rsidP="00AB2427">
            <w:pPr>
              <w:pStyle w:val="Tabla"/>
              <w:rPr>
                <w:rFonts w:ascii="Times New Roman" w:hAnsi="Times New Roman"/>
              </w:rPr>
            </w:pPr>
            <w:r w:rsidRPr="00D340D9">
              <w:t>Examen visual y medición con flexómetros</w:t>
            </w:r>
          </w:p>
        </w:tc>
        <w:tc>
          <w:tcPr>
            <w:tcW w:w="2732" w:type="dxa"/>
            <w:tcBorders>
              <w:top w:val="nil"/>
              <w:left w:val="single" w:sz="4" w:space="0" w:color="auto"/>
              <w:bottom w:val="single" w:sz="4" w:space="0" w:color="auto"/>
              <w:right w:val="single" w:sz="4" w:space="0" w:color="auto"/>
            </w:tcBorders>
            <w:tcMar>
              <w:top w:w="20" w:type="dxa"/>
              <w:left w:w="180" w:type="dxa"/>
              <w:bottom w:w="0" w:type="dxa"/>
              <w:right w:w="20" w:type="dxa"/>
            </w:tcMar>
            <w:vAlign w:val="center"/>
            <w:hideMark/>
          </w:tcPr>
          <w:p w14:paraId="21E86074" w14:textId="77777777" w:rsidR="001E0C26" w:rsidRPr="00D340D9" w:rsidRDefault="001E0C26" w:rsidP="00AB2427">
            <w:pPr>
              <w:pStyle w:val="Tabla"/>
            </w:pPr>
            <w:r w:rsidRPr="00D340D9">
              <w:t>Tras la ejecución</w:t>
            </w:r>
          </w:p>
        </w:tc>
      </w:tr>
    </w:tbl>
    <w:p w14:paraId="3A7DC054" w14:textId="77777777" w:rsidR="003565EB" w:rsidRPr="003565EB" w:rsidRDefault="003565EB" w:rsidP="003565EB">
      <w:pPr>
        <w:pStyle w:val="NORMAL12"/>
        <w:rPr>
          <w:i/>
          <w:u w:val="single"/>
        </w:rPr>
      </w:pPr>
      <w:r w:rsidRPr="003565EB">
        <w:rPr>
          <w:i/>
          <w:u w:val="single"/>
        </w:rPr>
        <w:t>Ensayos de recepción</w:t>
      </w:r>
      <w:r>
        <w:rPr>
          <w:i/>
          <w:u w:val="single"/>
        </w:rPr>
        <w:t>:</w:t>
      </w:r>
    </w:p>
    <w:p w14:paraId="05483827" w14:textId="77777777" w:rsidR="003565EB" w:rsidRDefault="003565EB" w:rsidP="003565EB">
      <w:pPr>
        <w:pStyle w:val="NORMAL12"/>
        <w:rPr>
          <w:lang w:val="es-ES"/>
        </w:rPr>
      </w:pPr>
      <w:r w:rsidRPr="00D340D9">
        <w:rPr>
          <w:lang w:val="es-ES"/>
        </w:rPr>
        <w:t xml:space="preserve">Los ensayos de recepción, en el caso de que el </w:t>
      </w:r>
      <w:proofErr w:type="gramStart"/>
      <w:r w:rsidRPr="00D340D9">
        <w:rPr>
          <w:lang w:val="es-ES"/>
        </w:rPr>
        <w:t>Director</w:t>
      </w:r>
      <w:proofErr w:type="gramEnd"/>
      <w:r w:rsidRPr="00D340D9">
        <w:rPr>
          <w:lang w:val="es-ES"/>
        </w:rPr>
        <w:t xml:space="preserve"> de las Obras lo considere oportuno, podrán sustituirse por un certificado en el que se expresen los resultados satisfactorios de los ensayos de estanqueidad, aplastamiento y flexión longitudinal del lote a que pertenezcan los tubos o los ensayos de autocon</w:t>
      </w:r>
      <w:r w:rsidRPr="00D340D9">
        <w:rPr>
          <w:lang w:val="es-ES"/>
        </w:rPr>
        <w:softHyphen/>
        <w:t>trol sistemáticos de fabricación que garanticen las propiedades anteriores.</w:t>
      </w:r>
    </w:p>
    <w:p w14:paraId="3E9ED748" w14:textId="77777777" w:rsidR="003565EB" w:rsidRPr="003565EB" w:rsidRDefault="003565EB" w:rsidP="003565EB">
      <w:pPr>
        <w:pStyle w:val="NORMAL12"/>
        <w:rPr>
          <w:i/>
          <w:u w:val="single"/>
          <w:lang w:val="es-ES"/>
        </w:rPr>
      </w:pPr>
      <w:r w:rsidRPr="003565EB">
        <w:rPr>
          <w:i/>
          <w:u w:val="single"/>
          <w:lang w:val="es-ES"/>
        </w:rPr>
        <w:t>Ensayo de comprobación de las juntas</w:t>
      </w:r>
    </w:p>
    <w:p w14:paraId="6EB5B7F3" w14:textId="77777777" w:rsidR="003565EB" w:rsidRDefault="003565EB" w:rsidP="003565EB">
      <w:pPr>
        <w:pStyle w:val="NORMAL12"/>
        <w:rPr>
          <w:lang w:val="es-ES"/>
        </w:rPr>
      </w:pPr>
      <w:r w:rsidRPr="00D340D9">
        <w:rPr>
          <w:lang w:val="es-ES"/>
        </w:rPr>
        <w:t xml:space="preserve">Respecto al tipo de juntas propuestas, el </w:t>
      </w:r>
      <w:proofErr w:type="gramStart"/>
      <w:r w:rsidRPr="00D340D9">
        <w:rPr>
          <w:lang w:val="es-ES"/>
        </w:rPr>
        <w:t>Director</w:t>
      </w:r>
      <w:proofErr w:type="gramEnd"/>
      <w:r w:rsidRPr="00D340D9">
        <w:rPr>
          <w:lang w:val="es-ES"/>
        </w:rPr>
        <w:t xml:space="preserve"> de Obra podrá ordenar ensayos de estanqueidad de</w:t>
      </w:r>
      <w:r>
        <w:rPr>
          <w:lang w:val="es-ES"/>
        </w:rPr>
        <w:t>l</w:t>
      </w:r>
      <w:r w:rsidRPr="00D340D9">
        <w:rPr>
          <w:lang w:val="es-ES"/>
        </w:rPr>
        <w:t xml:space="preserve"> tipo de juntas. En este caso, el ensayo se hará en forma análoga al de los tubos, dispo</w:t>
      </w:r>
      <w:r w:rsidRPr="00D340D9">
        <w:rPr>
          <w:lang w:val="es-ES"/>
        </w:rPr>
        <w:softHyphen/>
        <w:t>niéndose dos trozos de tubo, uno a continuación del otro, unidos por su junta, cerrando los extremos libres con dispositivos apropiados y siguiendo el mismo procedimiento que para los tubos, se comprobará que no existe pérdida alguna.</w:t>
      </w:r>
    </w:p>
    <w:p w14:paraId="4C5EDA77" w14:textId="77777777" w:rsidR="006455AE" w:rsidRPr="00D340D9" w:rsidRDefault="006455AE" w:rsidP="003565EB">
      <w:pPr>
        <w:pStyle w:val="NORMAL12"/>
        <w:rPr>
          <w:lang w:val="es-ES"/>
        </w:rPr>
      </w:pPr>
    </w:p>
    <w:p w14:paraId="6DEFE45D" w14:textId="77777777" w:rsidR="005D7594" w:rsidRPr="00D340D9" w:rsidRDefault="000F7848" w:rsidP="000313DD">
      <w:pPr>
        <w:pStyle w:val="TITU2"/>
      </w:pPr>
      <w:bookmarkStart w:id="486" w:name="_Toc393878319"/>
      <w:bookmarkStart w:id="487" w:name="_Toc516755367"/>
      <w:bookmarkStart w:id="488" w:name="_Toc404254"/>
      <w:r w:rsidRPr="00D340D9">
        <w:t>417</w:t>
      </w:r>
      <w:r w:rsidR="005D7594" w:rsidRPr="00D340D9">
        <w:t>.8.</w:t>
      </w:r>
      <w:r w:rsidR="00AB5CD0" w:rsidRPr="00D340D9">
        <w:t xml:space="preserve"> </w:t>
      </w:r>
      <w:r w:rsidR="001013FE" w:rsidRPr="00D340D9">
        <w:t xml:space="preserve">  </w:t>
      </w:r>
      <w:r w:rsidR="005D7594" w:rsidRPr="00D340D9">
        <w:t>Medición y abono</w:t>
      </w:r>
      <w:bookmarkEnd w:id="486"/>
      <w:bookmarkEnd w:id="487"/>
      <w:bookmarkEnd w:id="488"/>
    </w:p>
    <w:p w14:paraId="2718BB86" w14:textId="77777777" w:rsidR="00EC44F4" w:rsidRPr="00D340D9" w:rsidRDefault="00EC44F4" w:rsidP="00EC44F4">
      <w:pPr>
        <w:pStyle w:val="LCATextoIndependiente"/>
        <w:rPr>
          <w:sz w:val="24"/>
        </w:rPr>
      </w:pPr>
      <w:r w:rsidRPr="00D340D9">
        <w:rPr>
          <w:sz w:val="24"/>
        </w:rPr>
        <w:t xml:space="preserve">La medición y abono de la unidad de tubería de </w:t>
      </w:r>
      <w:r w:rsidR="00EF277D" w:rsidRPr="00D340D9">
        <w:rPr>
          <w:sz w:val="24"/>
        </w:rPr>
        <w:t>PVC</w:t>
      </w:r>
      <w:r w:rsidRPr="00D340D9">
        <w:rPr>
          <w:sz w:val="24"/>
        </w:rPr>
        <w:t xml:space="preserve"> se realizará según las especificaciones siguientes: </w:t>
      </w:r>
    </w:p>
    <w:p w14:paraId="7ADEC158" w14:textId="77777777" w:rsidR="005D7594" w:rsidRPr="00D340D9" w:rsidRDefault="005D7594" w:rsidP="005D759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2"/>
        <w:gridCol w:w="7576"/>
      </w:tblGrid>
      <w:tr w:rsidR="00D84170" w:rsidRPr="00D340D9" w14:paraId="52266AB3" w14:textId="77777777" w:rsidTr="00760218">
        <w:tc>
          <w:tcPr>
            <w:tcW w:w="0" w:type="auto"/>
            <w:vAlign w:val="center"/>
          </w:tcPr>
          <w:p w14:paraId="4EAC399D" w14:textId="77777777" w:rsidR="005D7594" w:rsidRPr="00D340D9" w:rsidRDefault="005D7594" w:rsidP="00760218">
            <w:pPr>
              <w:pStyle w:val="LCATabla"/>
              <w:jc w:val="center"/>
              <w:rPr>
                <w:rFonts w:ascii="Arial" w:hAnsi="Arial" w:cs="Arial"/>
                <w:b/>
                <w:bCs/>
                <w:sz w:val="20"/>
              </w:rPr>
            </w:pPr>
            <w:r w:rsidRPr="00D340D9">
              <w:rPr>
                <w:rFonts w:ascii="Arial" w:hAnsi="Arial" w:cs="Arial"/>
                <w:b/>
                <w:bCs/>
                <w:sz w:val="20"/>
              </w:rPr>
              <w:t>Unidad de Medida</w:t>
            </w:r>
          </w:p>
        </w:tc>
        <w:tc>
          <w:tcPr>
            <w:tcW w:w="0" w:type="auto"/>
            <w:vAlign w:val="center"/>
          </w:tcPr>
          <w:p w14:paraId="402B248F" w14:textId="77777777" w:rsidR="005D7594" w:rsidRPr="00D340D9" w:rsidRDefault="005D7594" w:rsidP="002A67A1">
            <w:pPr>
              <w:pStyle w:val="LCATabla"/>
              <w:jc w:val="both"/>
              <w:rPr>
                <w:rFonts w:ascii="Arial" w:hAnsi="Arial" w:cs="Arial"/>
                <w:sz w:val="20"/>
              </w:rPr>
            </w:pPr>
            <w:r w:rsidRPr="00D340D9">
              <w:rPr>
                <w:rFonts w:ascii="Arial" w:hAnsi="Arial" w:cs="Arial"/>
                <w:sz w:val="20"/>
              </w:rPr>
              <w:t>Metro (m)</w:t>
            </w:r>
          </w:p>
        </w:tc>
      </w:tr>
      <w:tr w:rsidR="00D84170" w:rsidRPr="00D340D9" w14:paraId="18732EE6" w14:textId="77777777" w:rsidTr="00760218">
        <w:tc>
          <w:tcPr>
            <w:tcW w:w="0" w:type="auto"/>
            <w:vAlign w:val="center"/>
          </w:tcPr>
          <w:p w14:paraId="26D82C52" w14:textId="77777777" w:rsidR="005D7594" w:rsidRPr="00D340D9" w:rsidRDefault="005D7594" w:rsidP="00760218">
            <w:pPr>
              <w:pStyle w:val="LCATabla"/>
              <w:jc w:val="center"/>
              <w:rPr>
                <w:rFonts w:ascii="Arial" w:hAnsi="Arial" w:cs="Arial"/>
                <w:b/>
                <w:bCs/>
                <w:sz w:val="20"/>
              </w:rPr>
            </w:pPr>
            <w:r w:rsidRPr="00D340D9">
              <w:rPr>
                <w:rFonts w:ascii="Arial" w:hAnsi="Arial" w:cs="Arial"/>
                <w:b/>
                <w:bCs/>
                <w:sz w:val="20"/>
              </w:rPr>
              <w:t>Grado de precisión</w:t>
            </w:r>
          </w:p>
        </w:tc>
        <w:tc>
          <w:tcPr>
            <w:tcW w:w="0" w:type="auto"/>
            <w:vAlign w:val="center"/>
          </w:tcPr>
          <w:p w14:paraId="4E2910B8" w14:textId="77777777" w:rsidR="005D7594" w:rsidRPr="00D340D9" w:rsidRDefault="005D7594" w:rsidP="002A67A1">
            <w:pPr>
              <w:pStyle w:val="LCATabla"/>
              <w:jc w:val="both"/>
              <w:rPr>
                <w:rFonts w:ascii="Arial" w:hAnsi="Arial" w:cs="Arial"/>
                <w:sz w:val="20"/>
              </w:rPr>
            </w:pPr>
            <w:r w:rsidRPr="00D340D9">
              <w:rPr>
                <w:rFonts w:ascii="Arial" w:hAnsi="Arial" w:cs="Arial"/>
                <w:sz w:val="20"/>
              </w:rPr>
              <w:t>Dos (2) decimales</w:t>
            </w:r>
          </w:p>
        </w:tc>
      </w:tr>
      <w:tr w:rsidR="00D84170" w:rsidRPr="00D340D9" w14:paraId="31397DB6" w14:textId="77777777" w:rsidTr="00760218">
        <w:tc>
          <w:tcPr>
            <w:tcW w:w="0" w:type="auto"/>
            <w:vAlign w:val="center"/>
          </w:tcPr>
          <w:p w14:paraId="15DAEF0B" w14:textId="77777777" w:rsidR="005D7594" w:rsidRPr="00D340D9" w:rsidRDefault="005D7594" w:rsidP="00760218">
            <w:pPr>
              <w:pStyle w:val="LCATabla"/>
              <w:jc w:val="center"/>
              <w:rPr>
                <w:rFonts w:ascii="Arial" w:hAnsi="Arial" w:cs="Arial"/>
                <w:b/>
                <w:bCs/>
                <w:sz w:val="20"/>
              </w:rPr>
            </w:pPr>
            <w:r w:rsidRPr="00D340D9">
              <w:rPr>
                <w:rFonts w:ascii="Arial" w:hAnsi="Arial" w:cs="Arial"/>
                <w:b/>
                <w:bCs/>
                <w:sz w:val="20"/>
              </w:rPr>
              <w:t>Forma de medición</w:t>
            </w:r>
          </w:p>
        </w:tc>
        <w:tc>
          <w:tcPr>
            <w:tcW w:w="0" w:type="auto"/>
            <w:vAlign w:val="center"/>
          </w:tcPr>
          <w:p w14:paraId="0B114966" w14:textId="77777777" w:rsidR="005D7594" w:rsidRPr="00D340D9" w:rsidRDefault="005D7594" w:rsidP="002A67A1">
            <w:pPr>
              <w:pStyle w:val="LCATabla"/>
              <w:jc w:val="both"/>
              <w:rPr>
                <w:rFonts w:ascii="Arial" w:hAnsi="Arial" w:cs="Arial"/>
                <w:sz w:val="20"/>
              </w:rPr>
            </w:pPr>
            <w:r w:rsidRPr="00D340D9">
              <w:rPr>
                <w:rFonts w:ascii="Arial" w:hAnsi="Arial" w:cs="Arial"/>
                <w:sz w:val="20"/>
              </w:rPr>
              <w:t xml:space="preserve">Los tubos de PVC se medirán por metros (m) de longitud de su generatriz inferior, descontando las longitudes de las interrupciones debidas a arquetas, registros, </w:t>
            </w:r>
            <w:proofErr w:type="spellStart"/>
            <w:r w:rsidRPr="00D340D9">
              <w:rPr>
                <w:rFonts w:ascii="Arial" w:hAnsi="Arial" w:cs="Arial"/>
                <w:sz w:val="20"/>
              </w:rPr>
              <w:t>etc</w:t>
            </w:r>
            <w:proofErr w:type="spellEnd"/>
          </w:p>
        </w:tc>
      </w:tr>
      <w:tr w:rsidR="00D84170" w:rsidRPr="00D340D9" w14:paraId="346308EB" w14:textId="77777777" w:rsidTr="00760218">
        <w:tc>
          <w:tcPr>
            <w:tcW w:w="0" w:type="auto"/>
            <w:vAlign w:val="center"/>
          </w:tcPr>
          <w:p w14:paraId="059876AD" w14:textId="77777777" w:rsidR="005D7594" w:rsidRPr="00D340D9" w:rsidRDefault="005D7594" w:rsidP="00760218">
            <w:pPr>
              <w:pStyle w:val="LCATabla"/>
              <w:jc w:val="center"/>
              <w:rPr>
                <w:rFonts w:ascii="Arial" w:hAnsi="Arial" w:cs="Arial"/>
                <w:b/>
                <w:bCs/>
                <w:sz w:val="20"/>
              </w:rPr>
            </w:pPr>
            <w:r w:rsidRPr="00D340D9">
              <w:rPr>
                <w:rFonts w:ascii="Arial" w:hAnsi="Arial" w:cs="Arial"/>
                <w:b/>
                <w:bCs/>
                <w:sz w:val="20"/>
              </w:rPr>
              <w:t>Abono</w:t>
            </w:r>
          </w:p>
        </w:tc>
        <w:tc>
          <w:tcPr>
            <w:tcW w:w="0" w:type="auto"/>
            <w:vAlign w:val="center"/>
          </w:tcPr>
          <w:p w14:paraId="450D903B" w14:textId="77777777" w:rsidR="005D7594" w:rsidRPr="00D340D9" w:rsidRDefault="005D7594" w:rsidP="002A67A1">
            <w:pPr>
              <w:pStyle w:val="LCATabla"/>
              <w:jc w:val="both"/>
              <w:rPr>
                <w:rFonts w:ascii="Arial" w:hAnsi="Arial" w:cs="Arial"/>
                <w:sz w:val="20"/>
              </w:rPr>
            </w:pPr>
            <w:r w:rsidRPr="00D340D9">
              <w:rPr>
                <w:rFonts w:ascii="Arial" w:hAnsi="Arial" w:cs="Arial"/>
                <w:sz w:val="20"/>
              </w:rPr>
              <w:t>Se efectuará cuando se realice la aceptación, una vez realizadas las pruebas y ensayos de recepción.</w:t>
            </w:r>
          </w:p>
        </w:tc>
      </w:tr>
      <w:tr w:rsidR="00D84170" w:rsidRPr="00D340D9" w14:paraId="3A81527C" w14:textId="77777777" w:rsidTr="00760218">
        <w:tc>
          <w:tcPr>
            <w:tcW w:w="0" w:type="auto"/>
            <w:vAlign w:val="center"/>
          </w:tcPr>
          <w:p w14:paraId="5659DEE9" w14:textId="77777777" w:rsidR="005D7594" w:rsidRPr="00D340D9" w:rsidRDefault="005D7594" w:rsidP="00760218">
            <w:pPr>
              <w:pStyle w:val="LCATabla"/>
              <w:jc w:val="center"/>
              <w:rPr>
                <w:rFonts w:ascii="Arial" w:hAnsi="Arial" w:cs="Arial"/>
                <w:b/>
                <w:bCs/>
                <w:sz w:val="20"/>
              </w:rPr>
            </w:pPr>
            <w:r w:rsidRPr="00D340D9">
              <w:rPr>
                <w:rFonts w:ascii="Arial" w:hAnsi="Arial" w:cs="Arial"/>
                <w:b/>
                <w:bCs/>
                <w:sz w:val="20"/>
              </w:rPr>
              <w:t>Criterios complementarios</w:t>
            </w:r>
          </w:p>
        </w:tc>
        <w:tc>
          <w:tcPr>
            <w:tcW w:w="0" w:type="auto"/>
            <w:vAlign w:val="center"/>
          </w:tcPr>
          <w:p w14:paraId="50C96BAF" w14:textId="77777777" w:rsidR="005D7594" w:rsidRPr="00D340D9" w:rsidRDefault="005D7594" w:rsidP="002A67A1">
            <w:pPr>
              <w:pStyle w:val="LCATabla"/>
              <w:jc w:val="both"/>
              <w:rPr>
                <w:rFonts w:ascii="Arial" w:hAnsi="Arial" w:cs="Arial"/>
                <w:sz w:val="20"/>
              </w:rPr>
            </w:pPr>
            <w:r w:rsidRPr="00D340D9">
              <w:rPr>
                <w:rFonts w:ascii="Arial" w:hAnsi="Arial" w:cs="Arial"/>
                <w:sz w:val="20"/>
              </w:rPr>
              <w:t xml:space="preserve">El precio comprende todos los conceptos que se incluyen en la </w:t>
            </w:r>
            <w:r w:rsidR="00EC44F4" w:rsidRPr="00D340D9">
              <w:rPr>
                <w:rFonts w:ascii="Arial" w:hAnsi="Arial" w:cs="Arial"/>
                <w:sz w:val="20"/>
              </w:rPr>
              <w:t>definición de la unidad de obra</w:t>
            </w:r>
          </w:p>
          <w:p w14:paraId="5A34E6A6" w14:textId="77777777" w:rsidR="005D7594" w:rsidRPr="00D340D9" w:rsidRDefault="00D84170" w:rsidP="002A67A1">
            <w:pPr>
              <w:pStyle w:val="LCATabla"/>
              <w:jc w:val="both"/>
              <w:rPr>
                <w:rFonts w:ascii="Arial" w:hAnsi="Arial" w:cs="Arial"/>
                <w:sz w:val="20"/>
              </w:rPr>
            </w:pPr>
            <w:r w:rsidRPr="00D340D9">
              <w:rPr>
                <w:rFonts w:ascii="Arial" w:hAnsi="Arial" w:cs="Arial"/>
                <w:sz w:val="20"/>
              </w:rPr>
              <w:t xml:space="preserve">Están incluidos en el precio la excavación de la zanja, el </w:t>
            </w:r>
            <w:r w:rsidR="00CE424A" w:rsidRPr="00D340D9">
              <w:rPr>
                <w:rFonts w:ascii="Arial" w:hAnsi="Arial" w:cs="Arial"/>
                <w:sz w:val="20"/>
              </w:rPr>
              <w:t>geotextil y</w:t>
            </w:r>
            <w:r w:rsidRPr="00D340D9">
              <w:rPr>
                <w:rFonts w:ascii="Arial" w:hAnsi="Arial" w:cs="Arial"/>
                <w:sz w:val="20"/>
              </w:rPr>
              <w:t xml:space="preserve"> el </w:t>
            </w:r>
            <w:r w:rsidR="005D7594" w:rsidRPr="00D340D9">
              <w:rPr>
                <w:rFonts w:ascii="Arial" w:hAnsi="Arial" w:cs="Arial"/>
                <w:sz w:val="20"/>
              </w:rPr>
              <w:t>posterior relleno</w:t>
            </w:r>
            <w:r w:rsidR="00D340D9" w:rsidRPr="00D340D9">
              <w:rPr>
                <w:rFonts w:ascii="Arial" w:hAnsi="Arial" w:cs="Arial"/>
                <w:sz w:val="20"/>
              </w:rPr>
              <w:t xml:space="preserve"> con material filtrante</w:t>
            </w:r>
          </w:p>
        </w:tc>
      </w:tr>
    </w:tbl>
    <w:p w14:paraId="0E463345" w14:textId="77777777" w:rsidR="00886F1A" w:rsidRPr="00D340D9" w:rsidRDefault="00886F1A" w:rsidP="00886F1A">
      <w:pPr>
        <w:pStyle w:val="NORMAL12"/>
        <w:rPr>
          <w:lang w:val="es-ES"/>
        </w:rPr>
      </w:pPr>
      <w:r w:rsidRPr="00D340D9">
        <w:rPr>
          <w:lang w:val="es-ES"/>
        </w:rPr>
        <w:t>La medición y abono del relleno localizado se realizará de acuerdo con lo indicado en el Pliego de Prescripciones Técnicas Particulares para la unidad de obra de la que forme parte.</w:t>
      </w:r>
    </w:p>
    <w:p w14:paraId="362997D6" w14:textId="77777777" w:rsidR="00760218" w:rsidRPr="0014436D" w:rsidRDefault="00760218" w:rsidP="00700F81">
      <w:pPr>
        <w:rPr>
          <w:color w:val="FF0000"/>
        </w:rPr>
      </w:pPr>
    </w:p>
    <w:p w14:paraId="74B2C84D" w14:textId="77777777" w:rsidR="00760218" w:rsidRPr="0014436D" w:rsidRDefault="00760218" w:rsidP="00700F81">
      <w:pPr>
        <w:rPr>
          <w:color w:val="FF0000"/>
        </w:rPr>
      </w:pPr>
    </w:p>
    <w:bookmarkEnd w:id="470"/>
    <w:bookmarkEnd w:id="471"/>
    <w:bookmarkEnd w:id="472"/>
    <w:p w14:paraId="09BB30D4" w14:textId="77777777" w:rsidR="00A17D04" w:rsidRPr="00B37993" w:rsidRDefault="00A17D04" w:rsidP="00B37993">
      <w:pPr>
        <w:pStyle w:val="NORMAL12"/>
        <w:rPr>
          <w:lang w:val="es-ES"/>
        </w:rPr>
      </w:pPr>
    </w:p>
    <w:p w14:paraId="6D4CFC6B" w14:textId="77777777" w:rsidR="00A84D98" w:rsidRPr="00050087" w:rsidRDefault="00A84D98" w:rsidP="00A84D98">
      <w:pPr>
        <w:pStyle w:val="TITU1"/>
      </w:pPr>
      <w:bookmarkStart w:id="489" w:name="_Toc404255"/>
      <w:r w:rsidRPr="003328F5">
        <w:lastRenderedPageBreak/>
        <w:t>Artículo 420</w:t>
      </w:r>
      <w:r w:rsidR="00E363B8" w:rsidRPr="003328F5">
        <w:t>b</w:t>
      </w:r>
      <w:r w:rsidRPr="003328F5">
        <w:t>. Zanjas drenantes</w:t>
      </w:r>
      <w:bookmarkEnd w:id="489"/>
    </w:p>
    <w:p w14:paraId="3D7C990C" w14:textId="77777777" w:rsidR="00A84D98" w:rsidRPr="003328F5" w:rsidRDefault="00A84D98" w:rsidP="00A84D98">
      <w:pPr>
        <w:pStyle w:val="NORMAL12"/>
        <w:rPr>
          <w:lang w:val="es-ES"/>
        </w:rPr>
      </w:pPr>
      <w:r w:rsidRPr="00E363B8">
        <w:rPr>
          <w:lang w:val="es-ES"/>
        </w:rPr>
        <w:t xml:space="preserve">Excepto </w:t>
      </w:r>
      <w:r w:rsidRPr="003328F5">
        <w:rPr>
          <w:lang w:val="es-ES"/>
        </w:rPr>
        <w:t>para lo especificado en el presente Pliego de Prescripciones Técnicas particulares se seguirá lo prescrito en el vigente artículo 4</w:t>
      </w:r>
      <w:r w:rsidR="00E363B8" w:rsidRPr="003328F5">
        <w:rPr>
          <w:lang w:val="es-ES"/>
        </w:rPr>
        <w:t>20</w:t>
      </w:r>
      <w:r w:rsidRPr="003328F5">
        <w:rPr>
          <w:lang w:val="es-ES"/>
        </w:rPr>
        <w:t xml:space="preserve"> del PG-3.</w:t>
      </w:r>
    </w:p>
    <w:p w14:paraId="700824B8" w14:textId="77777777" w:rsidR="00A84D98" w:rsidRPr="003328F5" w:rsidRDefault="00A84D98" w:rsidP="000313DD">
      <w:pPr>
        <w:pStyle w:val="TITU2"/>
      </w:pPr>
      <w:bookmarkStart w:id="490" w:name="_Toc404256"/>
      <w:r w:rsidRPr="003328F5">
        <w:t>4</w:t>
      </w:r>
      <w:r w:rsidR="00B04240" w:rsidRPr="003328F5">
        <w:t>2</w:t>
      </w:r>
      <w:r w:rsidRPr="003328F5">
        <w:t>0</w:t>
      </w:r>
      <w:r w:rsidR="00E363B8" w:rsidRPr="003328F5">
        <w:t>b</w:t>
      </w:r>
      <w:r w:rsidRPr="003328F5">
        <w:t>.1. Definición. Aplicación</w:t>
      </w:r>
      <w:bookmarkEnd w:id="490"/>
    </w:p>
    <w:p w14:paraId="03758C00" w14:textId="77777777" w:rsidR="00E363B8" w:rsidRPr="003328F5" w:rsidRDefault="00E363B8" w:rsidP="00A84D98">
      <w:pPr>
        <w:pStyle w:val="NORMAL12"/>
        <w:rPr>
          <w:lang w:val="es-ES"/>
        </w:rPr>
      </w:pPr>
      <w:r w:rsidRPr="003328F5">
        <w:rPr>
          <w:lang w:val="es-ES"/>
        </w:rPr>
        <w:t>Se define la zanja drenante como el conjunto formado por tubería de drenaje, relleno de grava filtrante, y geotextil.</w:t>
      </w:r>
    </w:p>
    <w:p w14:paraId="4F8897DE" w14:textId="77777777" w:rsidR="00A84D98" w:rsidRPr="003328F5" w:rsidRDefault="00A84D98" w:rsidP="00A84D98">
      <w:pPr>
        <w:pStyle w:val="NORMAL12"/>
        <w:rPr>
          <w:strike/>
          <w:lang w:val="es-ES"/>
        </w:rPr>
      </w:pPr>
      <w:r w:rsidRPr="003328F5">
        <w:rPr>
          <w:lang w:val="es-ES"/>
        </w:rPr>
        <w:t xml:space="preserve">Las prescripciones del presente artículo </w:t>
      </w:r>
      <w:proofErr w:type="gramStart"/>
      <w:r w:rsidRPr="003328F5">
        <w:rPr>
          <w:lang w:val="es-ES"/>
        </w:rPr>
        <w:t>son de aplicación</w:t>
      </w:r>
      <w:proofErr w:type="gramEnd"/>
      <w:r w:rsidRPr="003328F5">
        <w:rPr>
          <w:lang w:val="es-ES"/>
        </w:rPr>
        <w:t xml:space="preserve"> a </w:t>
      </w:r>
      <w:r w:rsidR="00E363B8" w:rsidRPr="003328F5">
        <w:rPr>
          <w:lang w:val="es-ES"/>
        </w:rPr>
        <w:t>las</w:t>
      </w:r>
      <w:r w:rsidRPr="003328F5">
        <w:rPr>
          <w:lang w:val="es-ES"/>
        </w:rPr>
        <w:t xml:space="preserve"> unidad</w:t>
      </w:r>
      <w:r w:rsidR="00E363B8" w:rsidRPr="003328F5">
        <w:rPr>
          <w:lang w:val="es-ES"/>
        </w:rPr>
        <w:t>es</w:t>
      </w:r>
      <w:r w:rsidRPr="003328F5">
        <w:rPr>
          <w:lang w:val="es-ES"/>
        </w:rPr>
        <w:t xml:space="preserve"> de obra siguiente</w:t>
      </w:r>
      <w:r w:rsidR="00E363B8" w:rsidRPr="003328F5">
        <w:rPr>
          <w:lang w:val="es-ES"/>
        </w:rPr>
        <w:t>s:</w:t>
      </w:r>
    </w:p>
    <w:tbl>
      <w:tblPr>
        <w:tblW w:w="5000" w:type="pct"/>
        <w:tblCellMar>
          <w:left w:w="70" w:type="dxa"/>
          <w:right w:w="70" w:type="dxa"/>
        </w:tblCellMar>
        <w:tblLook w:val="04A0" w:firstRow="1" w:lastRow="0" w:firstColumn="1" w:lastColumn="0" w:noHBand="0" w:noVBand="1"/>
      </w:tblPr>
      <w:tblGrid>
        <w:gridCol w:w="1207"/>
        <w:gridCol w:w="706"/>
        <w:gridCol w:w="7865"/>
      </w:tblGrid>
      <w:tr w:rsidR="00E363B8" w:rsidRPr="003328F5" w14:paraId="73CFA68B" w14:textId="77777777" w:rsidTr="001F3E93">
        <w:trPr>
          <w:trHeight w:val="300"/>
        </w:trPr>
        <w:tc>
          <w:tcPr>
            <w:tcW w:w="617" w:type="pct"/>
            <w:noWrap/>
          </w:tcPr>
          <w:p w14:paraId="4636FE82" w14:textId="77777777" w:rsidR="00E363B8" w:rsidRPr="003328F5" w:rsidRDefault="00E363B8" w:rsidP="00E363B8">
            <w:pPr>
              <w:rPr>
                <w:rFonts w:ascii="Calibri" w:hAnsi="Calibri"/>
              </w:rPr>
            </w:pPr>
            <w:r w:rsidRPr="003328F5">
              <w:rPr>
                <w:rFonts w:ascii="Calibri" w:hAnsi="Calibri"/>
              </w:rPr>
              <w:t xml:space="preserve">424.0020          </w:t>
            </w:r>
          </w:p>
        </w:tc>
        <w:tc>
          <w:tcPr>
            <w:tcW w:w="361" w:type="pct"/>
            <w:noWrap/>
          </w:tcPr>
          <w:p w14:paraId="46CE996B" w14:textId="77777777" w:rsidR="00E363B8" w:rsidRPr="003328F5" w:rsidRDefault="00E363B8" w:rsidP="00E363B8">
            <w:pPr>
              <w:rPr>
                <w:rFonts w:ascii="Calibri" w:hAnsi="Calibri"/>
              </w:rPr>
            </w:pPr>
            <w:r w:rsidRPr="003328F5">
              <w:rPr>
                <w:rFonts w:ascii="Calibri" w:hAnsi="Calibri"/>
              </w:rPr>
              <w:t>m</w:t>
            </w:r>
          </w:p>
        </w:tc>
        <w:tc>
          <w:tcPr>
            <w:tcW w:w="4022" w:type="pct"/>
          </w:tcPr>
          <w:p w14:paraId="7EE06FB0" w14:textId="77777777" w:rsidR="00E363B8" w:rsidRPr="003328F5" w:rsidRDefault="00E363B8" w:rsidP="00E363B8">
            <w:pPr>
              <w:jc w:val="both"/>
              <w:rPr>
                <w:rFonts w:ascii="Calibri" w:hAnsi="Calibri"/>
              </w:rPr>
            </w:pPr>
            <w:r w:rsidRPr="003328F5">
              <w:rPr>
                <w:rFonts w:ascii="Calibri" w:hAnsi="Calibri"/>
              </w:rPr>
              <w:t>TUBO DE PVC DE DIÁMETRO 150 mm RANURADO SOBRE CAMA DE ARENA DE 10 cm DE ESPESOR, REVESTIDA CON GEOTEXTIL Y RELLENA CON GRAVA FILTRANTE HASTA 25 cm POR ENCIMA DEL TUBO Y CIERRE DE DOBLE SOLAPA DEL PAQUETE FILTRANTE REALIZADO CON EL PROPIO GEOTEXTIL CON P.P. DE MEDIOS AUXILIARES COLOCADO.</w:t>
            </w:r>
          </w:p>
          <w:p w14:paraId="0329C0A2" w14:textId="77777777" w:rsidR="00E363B8" w:rsidRPr="003328F5" w:rsidRDefault="00E363B8" w:rsidP="00E363B8">
            <w:pPr>
              <w:jc w:val="both"/>
              <w:rPr>
                <w:rFonts w:ascii="Calibri" w:hAnsi="Calibri"/>
              </w:rPr>
            </w:pPr>
          </w:p>
        </w:tc>
      </w:tr>
      <w:tr w:rsidR="00E363B8" w:rsidRPr="003328F5" w14:paraId="6C3C948D" w14:textId="77777777" w:rsidTr="001F3E93">
        <w:trPr>
          <w:trHeight w:val="300"/>
        </w:trPr>
        <w:tc>
          <w:tcPr>
            <w:tcW w:w="617" w:type="pct"/>
            <w:noWrap/>
          </w:tcPr>
          <w:p w14:paraId="00351C56" w14:textId="77777777" w:rsidR="00E363B8" w:rsidRPr="003328F5" w:rsidRDefault="00E363B8" w:rsidP="00E363B8">
            <w:pPr>
              <w:rPr>
                <w:rFonts w:ascii="Calibri" w:hAnsi="Calibri"/>
              </w:rPr>
            </w:pPr>
            <w:r w:rsidRPr="003328F5">
              <w:rPr>
                <w:rFonts w:ascii="Calibri" w:hAnsi="Calibri"/>
              </w:rPr>
              <w:t xml:space="preserve">424.0030          </w:t>
            </w:r>
          </w:p>
        </w:tc>
        <w:tc>
          <w:tcPr>
            <w:tcW w:w="361" w:type="pct"/>
            <w:noWrap/>
          </w:tcPr>
          <w:p w14:paraId="108CC0C6" w14:textId="77777777" w:rsidR="00E363B8" w:rsidRPr="003328F5" w:rsidRDefault="00E363B8" w:rsidP="00E363B8">
            <w:pPr>
              <w:rPr>
                <w:rFonts w:ascii="Calibri" w:hAnsi="Calibri"/>
              </w:rPr>
            </w:pPr>
            <w:r w:rsidRPr="003328F5">
              <w:rPr>
                <w:rFonts w:ascii="Calibri" w:hAnsi="Calibri"/>
              </w:rPr>
              <w:t>m</w:t>
            </w:r>
          </w:p>
        </w:tc>
        <w:tc>
          <w:tcPr>
            <w:tcW w:w="4022" w:type="pct"/>
          </w:tcPr>
          <w:p w14:paraId="02CC21E2" w14:textId="77777777" w:rsidR="00E363B8" w:rsidRPr="003328F5" w:rsidRDefault="00E363B8" w:rsidP="00671C5C">
            <w:pPr>
              <w:jc w:val="both"/>
              <w:rPr>
                <w:rFonts w:ascii="Calibri" w:hAnsi="Calibri"/>
              </w:rPr>
            </w:pPr>
            <w:r w:rsidRPr="003328F5">
              <w:rPr>
                <w:rFonts w:ascii="Calibri" w:hAnsi="Calibri"/>
              </w:rPr>
              <w:t>TUBO DE PVC DE DIÁMETRO 250 mm RANURADO SOBRE CAMA DE ARENA DE 10 cm DE ESPESOR, REVESTIDA CON GEOTEXTIL Y RELLENA CON GRAVA FILTRANTE HASTA 25 cm POR ENCIMA DEL TUBO Y CIERRE DE DOBLE SOLAPA DEL PAQUETE FILTRANTE REALIZADO CON EL PROPIO GEOTEXTIL CON P.P. DE MEDIOS AUXILIARES COLOCADO.</w:t>
            </w:r>
          </w:p>
        </w:tc>
      </w:tr>
      <w:tr w:rsidR="00A84D98" w:rsidRPr="003328F5" w14:paraId="5B7DF833" w14:textId="77777777" w:rsidTr="001F3E93">
        <w:trPr>
          <w:trHeight w:val="300"/>
        </w:trPr>
        <w:tc>
          <w:tcPr>
            <w:tcW w:w="617" w:type="pct"/>
            <w:noWrap/>
          </w:tcPr>
          <w:p w14:paraId="6B1BD320" w14:textId="77777777" w:rsidR="00A84D98" w:rsidRPr="003328F5" w:rsidRDefault="00A84D98" w:rsidP="001F3E93">
            <w:pPr>
              <w:rPr>
                <w:rFonts w:ascii="Calibri" w:hAnsi="Calibri"/>
              </w:rPr>
            </w:pPr>
          </w:p>
        </w:tc>
        <w:tc>
          <w:tcPr>
            <w:tcW w:w="361" w:type="pct"/>
            <w:noWrap/>
          </w:tcPr>
          <w:p w14:paraId="257F56F5" w14:textId="77777777" w:rsidR="00A84D98" w:rsidRPr="003328F5" w:rsidRDefault="00A84D98" w:rsidP="001F3E93">
            <w:pPr>
              <w:rPr>
                <w:rFonts w:ascii="Calibri" w:hAnsi="Calibri"/>
              </w:rPr>
            </w:pPr>
          </w:p>
        </w:tc>
        <w:tc>
          <w:tcPr>
            <w:tcW w:w="4022" w:type="pct"/>
          </w:tcPr>
          <w:p w14:paraId="2137B0E0" w14:textId="77777777" w:rsidR="00A84D98" w:rsidRPr="003328F5" w:rsidRDefault="00A84D98" w:rsidP="001F3E93">
            <w:pPr>
              <w:jc w:val="both"/>
              <w:rPr>
                <w:rFonts w:ascii="Calibri" w:hAnsi="Calibri"/>
              </w:rPr>
            </w:pPr>
          </w:p>
          <w:p w14:paraId="708939DE" w14:textId="77777777" w:rsidR="00A84D98" w:rsidRPr="003328F5" w:rsidRDefault="00A84D98" w:rsidP="001F3E93">
            <w:pPr>
              <w:jc w:val="both"/>
              <w:rPr>
                <w:rFonts w:ascii="Calibri" w:hAnsi="Calibri"/>
              </w:rPr>
            </w:pPr>
          </w:p>
        </w:tc>
      </w:tr>
    </w:tbl>
    <w:p w14:paraId="0AA7B4CA" w14:textId="77777777" w:rsidR="00A84D98" w:rsidRPr="003328F5" w:rsidRDefault="00A84D98" w:rsidP="00A84D98">
      <w:pPr>
        <w:pStyle w:val="NORMAL12"/>
        <w:rPr>
          <w:lang w:val="es-ES"/>
        </w:rPr>
      </w:pPr>
      <w:r w:rsidRPr="003328F5">
        <w:rPr>
          <w:lang w:val="es-ES"/>
        </w:rPr>
        <w:t>La ejecución de la unidad de obra incluye la realización de las operaciones siguientes:</w:t>
      </w:r>
    </w:p>
    <w:p w14:paraId="5ECF7150" w14:textId="77777777" w:rsidR="00A84D98" w:rsidRPr="003328F5" w:rsidRDefault="00F91072" w:rsidP="00A84D98">
      <w:pPr>
        <w:pStyle w:val="NORMAL12"/>
        <w:numPr>
          <w:ilvl w:val="0"/>
          <w:numId w:val="91"/>
        </w:numPr>
        <w:rPr>
          <w:lang w:val="es-ES"/>
        </w:rPr>
      </w:pPr>
      <w:r w:rsidRPr="003328F5">
        <w:rPr>
          <w:lang w:val="es-ES"/>
        </w:rPr>
        <w:t>La excavación de la zanja</w:t>
      </w:r>
      <w:r w:rsidR="00A84D98" w:rsidRPr="003328F5">
        <w:rPr>
          <w:lang w:val="es-ES"/>
        </w:rPr>
        <w:t>.</w:t>
      </w:r>
    </w:p>
    <w:p w14:paraId="573AF249" w14:textId="77777777" w:rsidR="00E363B8" w:rsidRPr="003328F5" w:rsidRDefault="00E363B8" w:rsidP="00A84D98">
      <w:pPr>
        <w:pStyle w:val="NORMAL12"/>
        <w:numPr>
          <w:ilvl w:val="0"/>
          <w:numId w:val="91"/>
        </w:numPr>
        <w:rPr>
          <w:lang w:val="es-ES"/>
        </w:rPr>
      </w:pPr>
      <w:r w:rsidRPr="003328F5">
        <w:rPr>
          <w:lang w:val="es-ES"/>
        </w:rPr>
        <w:t xml:space="preserve">Ejecución del lecho de asiento de la tubería mediante cama de arena de </w:t>
      </w:r>
    </w:p>
    <w:p w14:paraId="0B6DCDC3" w14:textId="77777777" w:rsidR="00E363B8" w:rsidRPr="003328F5" w:rsidRDefault="00E363B8" w:rsidP="00A84D98">
      <w:pPr>
        <w:pStyle w:val="NORMAL12"/>
        <w:numPr>
          <w:ilvl w:val="0"/>
          <w:numId w:val="91"/>
        </w:numPr>
        <w:rPr>
          <w:lang w:val="es-ES"/>
        </w:rPr>
      </w:pPr>
      <w:r w:rsidRPr="003328F5">
        <w:rPr>
          <w:lang w:val="es-ES"/>
        </w:rPr>
        <w:t>Colocación del tubo de arena</w:t>
      </w:r>
    </w:p>
    <w:p w14:paraId="0E7B7341" w14:textId="77777777" w:rsidR="00E363B8" w:rsidRPr="003328F5" w:rsidRDefault="00E363B8" w:rsidP="00A84D98">
      <w:pPr>
        <w:pStyle w:val="NORMAL12"/>
        <w:numPr>
          <w:ilvl w:val="0"/>
          <w:numId w:val="91"/>
        </w:numPr>
        <w:rPr>
          <w:lang w:val="es-ES"/>
        </w:rPr>
      </w:pPr>
      <w:r w:rsidRPr="003328F5">
        <w:rPr>
          <w:lang w:val="es-ES"/>
        </w:rPr>
        <w:t>Colocación de geotextil y grava filtrante.</w:t>
      </w:r>
    </w:p>
    <w:p w14:paraId="31014E0B" w14:textId="77777777" w:rsidR="00A84D98" w:rsidRPr="003328F5" w:rsidRDefault="00A84D98" w:rsidP="000313DD">
      <w:pPr>
        <w:pStyle w:val="TITU2"/>
      </w:pPr>
      <w:bookmarkStart w:id="491" w:name="_Toc404257"/>
      <w:r w:rsidRPr="003328F5">
        <w:t>4</w:t>
      </w:r>
      <w:r w:rsidR="00E363B8" w:rsidRPr="003328F5">
        <w:t>2</w:t>
      </w:r>
      <w:r w:rsidRPr="003328F5">
        <w:t>0</w:t>
      </w:r>
      <w:r w:rsidR="00E363B8" w:rsidRPr="003328F5">
        <w:t>b</w:t>
      </w:r>
      <w:r w:rsidRPr="003328F5">
        <w:t xml:space="preserve">.2. </w:t>
      </w:r>
      <w:r w:rsidR="00E363B8" w:rsidRPr="003328F5">
        <w:t>Materiales</w:t>
      </w:r>
      <w:bookmarkEnd w:id="491"/>
    </w:p>
    <w:p w14:paraId="1A1BD623" w14:textId="77777777" w:rsidR="00E363B8" w:rsidRPr="003328F5" w:rsidRDefault="00E363B8" w:rsidP="00E363B8">
      <w:pPr>
        <w:pStyle w:val="NORMAL12"/>
        <w:rPr>
          <w:lang w:val="es-ES"/>
        </w:rPr>
      </w:pPr>
      <w:proofErr w:type="gramStart"/>
      <w:r w:rsidRPr="003328F5">
        <w:rPr>
          <w:lang w:val="es-ES"/>
        </w:rPr>
        <w:t>Los tubos a emplear</w:t>
      </w:r>
      <w:proofErr w:type="gramEnd"/>
      <w:r w:rsidRPr="003328F5">
        <w:rPr>
          <w:lang w:val="es-ES"/>
        </w:rPr>
        <w:t xml:space="preserve"> </w:t>
      </w:r>
      <w:r w:rsidR="00217216" w:rsidRPr="003328F5">
        <w:rPr>
          <w:lang w:val="es-ES"/>
        </w:rPr>
        <w:t>serán</w:t>
      </w:r>
      <w:r w:rsidRPr="003328F5">
        <w:rPr>
          <w:lang w:val="es-ES"/>
        </w:rPr>
        <w:t xml:space="preserve"> de PVC, deben cumplir lo especificado en el artículo 417 del presente pliego y con las dimensiones indicadas en la definición de la unidad. La </w:t>
      </w:r>
      <w:r w:rsidR="00217216" w:rsidRPr="003328F5">
        <w:rPr>
          <w:lang w:val="es-ES"/>
        </w:rPr>
        <w:t>resistencia</w:t>
      </w:r>
      <w:r w:rsidRPr="003328F5">
        <w:rPr>
          <w:lang w:val="es-ES"/>
        </w:rPr>
        <w:t xml:space="preserve"> mecánica del tubo debe cumplir lo especificado en la norma UNE-EN 1401-1</w:t>
      </w:r>
      <w:r w:rsidR="00F91072" w:rsidRPr="003328F5">
        <w:rPr>
          <w:lang w:val="es-ES"/>
        </w:rPr>
        <w:t>.</w:t>
      </w:r>
    </w:p>
    <w:p w14:paraId="38F2C3E6" w14:textId="77777777" w:rsidR="00F91072" w:rsidRPr="003328F5" w:rsidRDefault="00F91072" w:rsidP="00E363B8">
      <w:pPr>
        <w:pStyle w:val="NORMAL12"/>
        <w:rPr>
          <w:lang w:val="es-ES"/>
        </w:rPr>
      </w:pPr>
      <w:r w:rsidRPr="003328F5">
        <w:rPr>
          <w:lang w:val="es-ES"/>
        </w:rPr>
        <w:t>La grava utilizada como material drenante debe cumplir lo especificado en el artículo 421. “Rellenos localizados de material drenante” del presente pliego y del PG-3</w:t>
      </w:r>
    </w:p>
    <w:p w14:paraId="54521776" w14:textId="77777777" w:rsidR="00E363B8" w:rsidRPr="003328F5" w:rsidRDefault="00F91072" w:rsidP="00E363B8">
      <w:pPr>
        <w:pStyle w:val="NORMAL12"/>
        <w:rPr>
          <w:lang w:val="es-ES"/>
        </w:rPr>
      </w:pPr>
      <w:r w:rsidRPr="003328F5">
        <w:rPr>
          <w:lang w:val="es-ES"/>
        </w:rPr>
        <w:t xml:space="preserve">El geotextil utilizado como filtro debe cumplir lo </w:t>
      </w:r>
      <w:proofErr w:type="gramStart"/>
      <w:r w:rsidRPr="003328F5">
        <w:rPr>
          <w:lang w:val="es-ES"/>
        </w:rPr>
        <w:t>especificado  en</w:t>
      </w:r>
      <w:proofErr w:type="gramEnd"/>
      <w:r w:rsidRPr="003328F5">
        <w:rPr>
          <w:lang w:val="es-ES"/>
        </w:rPr>
        <w:t xml:space="preserve"> el artículo el artículo 422. Geotextiles como elemento de separación y filtro del presente pliego y del PG-</w:t>
      </w:r>
      <w:proofErr w:type="gramStart"/>
      <w:r w:rsidRPr="003328F5">
        <w:rPr>
          <w:lang w:val="es-ES"/>
        </w:rPr>
        <w:t>3.l</w:t>
      </w:r>
      <w:proofErr w:type="gramEnd"/>
    </w:p>
    <w:p w14:paraId="6C5AD997" w14:textId="77777777" w:rsidR="00F91072" w:rsidRPr="003328F5" w:rsidRDefault="00A84D98" w:rsidP="000313DD">
      <w:pPr>
        <w:pStyle w:val="TITU2"/>
      </w:pPr>
      <w:bookmarkStart w:id="492" w:name="_Toc404258"/>
      <w:r w:rsidRPr="003328F5">
        <w:t>4</w:t>
      </w:r>
      <w:r w:rsidR="00F91072" w:rsidRPr="003328F5">
        <w:t>20</w:t>
      </w:r>
      <w:r w:rsidRPr="003328F5">
        <w:t>.3.</w:t>
      </w:r>
      <w:r w:rsidR="00F91072" w:rsidRPr="003328F5">
        <w:t xml:space="preserve"> Ejecución</w:t>
      </w:r>
      <w:bookmarkEnd w:id="492"/>
      <w:r w:rsidRPr="003328F5">
        <w:t xml:space="preserve"> </w:t>
      </w:r>
    </w:p>
    <w:p w14:paraId="745A59E2" w14:textId="77777777" w:rsidR="00F91072" w:rsidRPr="003328F5" w:rsidRDefault="00F91072" w:rsidP="00F91072">
      <w:pPr>
        <w:pStyle w:val="NORMAL12"/>
        <w:rPr>
          <w:lang w:val="es-ES"/>
        </w:rPr>
      </w:pPr>
      <w:r w:rsidRPr="003328F5">
        <w:rPr>
          <w:lang w:val="es-ES"/>
        </w:rPr>
        <w:t>La excavación se realizará según lo indicado en el artículo 321 del presente pliego y del PG-3.</w:t>
      </w:r>
    </w:p>
    <w:p w14:paraId="49371FD3" w14:textId="77777777" w:rsidR="00F91072" w:rsidRPr="003328F5" w:rsidRDefault="00F91072" w:rsidP="00F91072">
      <w:pPr>
        <w:pStyle w:val="NORMAL12"/>
        <w:rPr>
          <w:lang w:val="es-ES"/>
        </w:rPr>
      </w:pPr>
      <w:r w:rsidRPr="003328F5">
        <w:rPr>
          <w:lang w:val="es-ES"/>
        </w:rPr>
        <w:t>El lecho de asiento será cama de arena de diez centímetros (10 cm) convenientemente compactada, tendrá la pendiente debida y nunca inferior a cero con cinco por ciento (0,5%)</w:t>
      </w:r>
    </w:p>
    <w:p w14:paraId="62CCAAB5" w14:textId="77777777" w:rsidR="00F91072" w:rsidRPr="003328F5" w:rsidRDefault="00F91072" w:rsidP="00F91072">
      <w:pPr>
        <w:pStyle w:val="NORMAL12"/>
        <w:rPr>
          <w:lang w:val="es-ES"/>
        </w:rPr>
      </w:pPr>
      <w:r w:rsidRPr="003328F5">
        <w:rPr>
          <w:lang w:val="es-ES"/>
        </w:rPr>
        <w:t xml:space="preserve">No se colocará la tubería sin la aprobación del </w:t>
      </w:r>
      <w:proofErr w:type="gramStart"/>
      <w:r w:rsidRPr="003328F5">
        <w:rPr>
          <w:lang w:val="es-ES"/>
        </w:rPr>
        <w:t>Director</w:t>
      </w:r>
      <w:proofErr w:type="gramEnd"/>
      <w:r w:rsidRPr="003328F5">
        <w:rPr>
          <w:lang w:val="es-ES"/>
        </w:rPr>
        <w:t xml:space="preserve"> de Obra y siempre en sentido ascendente.</w:t>
      </w:r>
    </w:p>
    <w:p w14:paraId="60BDBF6A" w14:textId="77777777" w:rsidR="00F91072" w:rsidRPr="003328F5" w:rsidRDefault="00F91072" w:rsidP="00F91072">
      <w:pPr>
        <w:pStyle w:val="NORMAL12"/>
        <w:rPr>
          <w:lang w:val="es-ES"/>
        </w:rPr>
      </w:pPr>
      <w:r w:rsidRPr="003328F5">
        <w:rPr>
          <w:lang w:val="es-ES"/>
        </w:rPr>
        <w:t xml:space="preserve">Las juntas se realizarán según lo indicado en el artículo 417 del </w:t>
      </w:r>
      <w:r w:rsidR="00217216" w:rsidRPr="003328F5">
        <w:rPr>
          <w:lang w:val="es-ES"/>
        </w:rPr>
        <w:t>presente</w:t>
      </w:r>
      <w:r w:rsidRPr="003328F5">
        <w:rPr>
          <w:lang w:val="es-ES"/>
        </w:rPr>
        <w:t xml:space="preserve"> pliego</w:t>
      </w:r>
    </w:p>
    <w:p w14:paraId="6A65214B" w14:textId="77777777" w:rsidR="00F91072" w:rsidRPr="003328F5" w:rsidRDefault="00F91072" w:rsidP="00F91072">
      <w:pPr>
        <w:pStyle w:val="NORMAL12"/>
        <w:rPr>
          <w:lang w:val="es-ES"/>
        </w:rPr>
      </w:pPr>
      <w:r w:rsidRPr="003328F5">
        <w:rPr>
          <w:lang w:val="es-ES"/>
        </w:rPr>
        <w:t>El material drenante se colocará según lo indicado en el artículo 421. Rellenos localizados de material drenante del presente pliego y del PG-3.</w:t>
      </w:r>
    </w:p>
    <w:p w14:paraId="44BB27A4" w14:textId="77777777" w:rsidR="00F91072" w:rsidRPr="003328F5" w:rsidRDefault="00F91072" w:rsidP="00F91072">
      <w:pPr>
        <w:pStyle w:val="NORMAL12"/>
        <w:rPr>
          <w:lang w:val="es-ES"/>
        </w:rPr>
      </w:pPr>
      <w:r w:rsidRPr="003328F5">
        <w:rPr>
          <w:lang w:val="es-ES"/>
        </w:rPr>
        <w:t>En los casos de lecho de asiento permeable una vez colocada la tubería se rellena con material drenante</w:t>
      </w:r>
    </w:p>
    <w:p w14:paraId="5AEC9FE9" w14:textId="77777777" w:rsidR="00A84D98" w:rsidRPr="003328F5" w:rsidRDefault="00A84D98" w:rsidP="000313DD">
      <w:pPr>
        <w:pStyle w:val="TITU2"/>
      </w:pPr>
      <w:bookmarkStart w:id="493" w:name="_Toc404259"/>
      <w:r w:rsidRPr="003328F5">
        <w:t>4</w:t>
      </w:r>
      <w:r w:rsidR="00E00897">
        <w:t>20</w:t>
      </w:r>
      <w:r w:rsidRPr="003328F5">
        <w:t>.5. Medición y abono</w:t>
      </w:r>
      <w:bookmarkEnd w:id="493"/>
    </w:p>
    <w:p w14:paraId="42BF859C" w14:textId="77777777" w:rsidR="00A84D98" w:rsidRPr="003328F5" w:rsidRDefault="00A84D98" w:rsidP="00A84D98">
      <w:pPr>
        <w:pStyle w:val="NORMAL12"/>
        <w:rPr>
          <w:lang w:val="es-ES"/>
        </w:rPr>
      </w:pPr>
      <w:r w:rsidRPr="003328F5">
        <w:rPr>
          <w:lang w:val="es-ES"/>
        </w:rPr>
        <w:t xml:space="preserve">La medición y abono de las unidades hormigón para arquetas y pozo de registro se realizará según las especificaciones siguientes: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24"/>
        <w:gridCol w:w="7554"/>
      </w:tblGrid>
      <w:tr w:rsidR="003328F5" w:rsidRPr="003328F5" w14:paraId="6E83EBF3" w14:textId="77777777" w:rsidTr="001F3E93">
        <w:tc>
          <w:tcPr>
            <w:tcW w:w="0" w:type="auto"/>
            <w:vAlign w:val="center"/>
          </w:tcPr>
          <w:p w14:paraId="487594F4" w14:textId="77777777" w:rsidR="00A84D98" w:rsidRPr="003328F5" w:rsidRDefault="00A84D98" w:rsidP="001F3E93">
            <w:pPr>
              <w:pStyle w:val="LCATabla"/>
              <w:jc w:val="center"/>
              <w:rPr>
                <w:rFonts w:ascii="Arial" w:hAnsi="Arial" w:cs="Arial"/>
                <w:b/>
                <w:bCs/>
                <w:sz w:val="20"/>
              </w:rPr>
            </w:pPr>
            <w:r w:rsidRPr="003328F5">
              <w:rPr>
                <w:rFonts w:ascii="Arial" w:hAnsi="Arial" w:cs="Arial"/>
                <w:b/>
                <w:bCs/>
                <w:sz w:val="20"/>
              </w:rPr>
              <w:t>Unidad de medida</w:t>
            </w:r>
          </w:p>
        </w:tc>
        <w:tc>
          <w:tcPr>
            <w:tcW w:w="0" w:type="auto"/>
            <w:vAlign w:val="center"/>
          </w:tcPr>
          <w:p w14:paraId="61E021F7" w14:textId="77777777" w:rsidR="00A84D98" w:rsidRPr="003328F5" w:rsidRDefault="00A84D98" w:rsidP="00F91072">
            <w:pPr>
              <w:pStyle w:val="LCATabla"/>
              <w:rPr>
                <w:rFonts w:ascii="Arial" w:hAnsi="Arial" w:cs="Arial"/>
                <w:sz w:val="20"/>
              </w:rPr>
            </w:pPr>
            <w:proofErr w:type="gramStart"/>
            <w:r w:rsidRPr="003328F5">
              <w:rPr>
                <w:rFonts w:ascii="Arial" w:hAnsi="Arial" w:cs="Arial"/>
                <w:sz w:val="20"/>
              </w:rPr>
              <w:t>Metro  (</w:t>
            </w:r>
            <w:proofErr w:type="gramEnd"/>
            <w:r w:rsidRPr="003328F5">
              <w:rPr>
                <w:rFonts w:ascii="Arial" w:hAnsi="Arial" w:cs="Arial"/>
                <w:sz w:val="20"/>
              </w:rPr>
              <w:t>m)</w:t>
            </w:r>
          </w:p>
        </w:tc>
      </w:tr>
      <w:tr w:rsidR="003328F5" w:rsidRPr="003328F5" w14:paraId="7D06FF3B" w14:textId="77777777" w:rsidTr="001F3E93">
        <w:tc>
          <w:tcPr>
            <w:tcW w:w="0" w:type="auto"/>
            <w:vAlign w:val="center"/>
          </w:tcPr>
          <w:p w14:paraId="55FFC6B5" w14:textId="77777777" w:rsidR="00A84D98" w:rsidRPr="003328F5" w:rsidRDefault="00A84D98" w:rsidP="001F3E93">
            <w:pPr>
              <w:pStyle w:val="LCATabla"/>
              <w:jc w:val="center"/>
              <w:rPr>
                <w:rFonts w:ascii="Arial" w:hAnsi="Arial" w:cs="Arial"/>
                <w:b/>
                <w:bCs/>
                <w:sz w:val="20"/>
              </w:rPr>
            </w:pPr>
            <w:r w:rsidRPr="003328F5">
              <w:rPr>
                <w:rFonts w:ascii="Arial" w:hAnsi="Arial" w:cs="Arial"/>
                <w:b/>
                <w:bCs/>
                <w:sz w:val="20"/>
              </w:rPr>
              <w:t>Grado de precisión</w:t>
            </w:r>
          </w:p>
        </w:tc>
        <w:tc>
          <w:tcPr>
            <w:tcW w:w="0" w:type="auto"/>
            <w:vAlign w:val="center"/>
          </w:tcPr>
          <w:p w14:paraId="5076EA4A" w14:textId="77777777" w:rsidR="00A84D98" w:rsidRPr="003328F5" w:rsidRDefault="00A84D98" w:rsidP="001F3E93">
            <w:pPr>
              <w:pStyle w:val="LCATabla"/>
              <w:rPr>
                <w:rFonts w:ascii="Arial" w:hAnsi="Arial" w:cs="Arial"/>
                <w:sz w:val="20"/>
              </w:rPr>
            </w:pPr>
            <w:r w:rsidRPr="003328F5">
              <w:rPr>
                <w:rFonts w:ascii="Arial" w:hAnsi="Arial" w:cs="Arial"/>
                <w:sz w:val="20"/>
              </w:rPr>
              <w:t>Dos decimales</w:t>
            </w:r>
          </w:p>
        </w:tc>
      </w:tr>
      <w:tr w:rsidR="003328F5" w:rsidRPr="003328F5" w14:paraId="1636B2F3" w14:textId="77777777" w:rsidTr="001F3E93">
        <w:trPr>
          <w:trHeight w:val="238"/>
        </w:trPr>
        <w:tc>
          <w:tcPr>
            <w:tcW w:w="0" w:type="auto"/>
            <w:vAlign w:val="center"/>
          </w:tcPr>
          <w:p w14:paraId="107A7F49" w14:textId="77777777" w:rsidR="00A84D98" w:rsidRPr="003328F5" w:rsidRDefault="00A84D98" w:rsidP="001F3E93">
            <w:pPr>
              <w:pStyle w:val="LCATabla"/>
              <w:jc w:val="center"/>
              <w:rPr>
                <w:rFonts w:ascii="Arial" w:hAnsi="Arial" w:cs="Arial"/>
                <w:b/>
                <w:bCs/>
                <w:sz w:val="20"/>
              </w:rPr>
            </w:pPr>
            <w:r w:rsidRPr="003328F5">
              <w:rPr>
                <w:rFonts w:ascii="Arial" w:hAnsi="Arial" w:cs="Arial"/>
                <w:b/>
                <w:bCs/>
                <w:sz w:val="20"/>
              </w:rPr>
              <w:t>Forma de medición</w:t>
            </w:r>
          </w:p>
        </w:tc>
        <w:tc>
          <w:tcPr>
            <w:tcW w:w="0" w:type="auto"/>
            <w:vAlign w:val="center"/>
          </w:tcPr>
          <w:p w14:paraId="4671C8F1" w14:textId="77777777" w:rsidR="00A84D98" w:rsidRPr="003328F5" w:rsidRDefault="00F91072" w:rsidP="001F3E93">
            <w:pPr>
              <w:pStyle w:val="LCATabla"/>
              <w:rPr>
                <w:rFonts w:ascii="Arial" w:hAnsi="Arial" w:cs="Arial"/>
                <w:sz w:val="20"/>
              </w:rPr>
            </w:pPr>
            <w:r w:rsidRPr="003328F5">
              <w:rPr>
                <w:rFonts w:ascii="Arial" w:hAnsi="Arial" w:cs="Arial"/>
                <w:sz w:val="20"/>
              </w:rPr>
              <w:t>Longitud del tubo realmente colocada</w:t>
            </w:r>
          </w:p>
        </w:tc>
      </w:tr>
      <w:tr w:rsidR="003328F5" w:rsidRPr="003328F5" w14:paraId="5DFE3D79" w14:textId="77777777" w:rsidTr="001F3E93">
        <w:tc>
          <w:tcPr>
            <w:tcW w:w="0" w:type="auto"/>
            <w:vAlign w:val="center"/>
          </w:tcPr>
          <w:p w14:paraId="4B7BCF3F" w14:textId="77777777" w:rsidR="00A84D98" w:rsidRPr="003328F5" w:rsidRDefault="00A84D98" w:rsidP="001F3E93">
            <w:pPr>
              <w:pStyle w:val="LCATabla"/>
              <w:jc w:val="center"/>
              <w:rPr>
                <w:rFonts w:ascii="Arial" w:hAnsi="Arial" w:cs="Arial"/>
                <w:b/>
                <w:bCs/>
                <w:sz w:val="20"/>
              </w:rPr>
            </w:pPr>
            <w:r w:rsidRPr="003328F5">
              <w:rPr>
                <w:rFonts w:ascii="Arial" w:hAnsi="Arial" w:cs="Arial"/>
                <w:b/>
                <w:bCs/>
                <w:sz w:val="20"/>
              </w:rPr>
              <w:t>Abono</w:t>
            </w:r>
          </w:p>
        </w:tc>
        <w:tc>
          <w:tcPr>
            <w:tcW w:w="0" w:type="auto"/>
            <w:vAlign w:val="center"/>
          </w:tcPr>
          <w:p w14:paraId="67CA7BDA" w14:textId="77777777" w:rsidR="00A84D98" w:rsidRPr="003328F5" w:rsidRDefault="00A84D98" w:rsidP="001F3E93">
            <w:pPr>
              <w:pStyle w:val="LCATabla"/>
              <w:rPr>
                <w:rFonts w:ascii="Arial" w:hAnsi="Arial" w:cs="Arial"/>
                <w:sz w:val="20"/>
              </w:rPr>
            </w:pPr>
            <w:r w:rsidRPr="003328F5">
              <w:rPr>
                <w:rFonts w:ascii="Arial" w:hAnsi="Arial" w:cs="Arial"/>
                <w:sz w:val="20"/>
              </w:rPr>
              <w:t>Se efectuará cuando se realice la aceptación</w:t>
            </w:r>
          </w:p>
        </w:tc>
      </w:tr>
      <w:tr w:rsidR="003328F5" w:rsidRPr="003328F5" w14:paraId="47A21570" w14:textId="77777777" w:rsidTr="001F3E93">
        <w:tc>
          <w:tcPr>
            <w:tcW w:w="0" w:type="auto"/>
            <w:vAlign w:val="center"/>
          </w:tcPr>
          <w:p w14:paraId="7D893EA5" w14:textId="77777777" w:rsidR="00A84D98" w:rsidRPr="003328F5" w:rsidRDefault="00A84D98" w:rsidP="001F3E93">
            <w:pPr>
              <w:pStyle w:val="LCATabla"/>
              <w:jc w:val="center"/>
              <w:rPr>
                <w:rFonts w:ascii="Arial" w:hAnsi="Arial" w:cs="Arial"/>
                <w:b/>
                <w:bCs/>
                <w:sz w:val="20"/>
              </w:rPr>
            </w:pPr>
            <w:r w:rsidRPr="003328F5">
              <w:rPr>
                <w:rFonts w:ascii="Arial" w:hAnsi="Arial" w:cs="Arial"/>
                <w:b/>
                <w:bCs/>
                <w:sz w:val="20"/>
              </w:rPr>
              <w:t>Criterios complementarios</w:t>
            </w:r>
          </w:p>
        </w:tc>
        <w:tc>
          <w:tcPr>
            <w:tcW w:w="0" w:type="auto"/>
            <w:vAlign w:val="center"/>
          </w:tcPr>
          <w:p w14:paraId="15352B2B" w14:textId="77777777" w:rsidR="00671C5C" w:rsidRPr="003328F5" w:rsidRDefault="00A84D98" w:rsidP="001F3E93">
            <w:pPr>
              <w:pStyle w:val="LCATabla"/>
              <w:jc w:val="both"/>
              <w:rPr>
                <w:rFonts w:ascii="Arial" w:hAnsi="Arial" w:cs="Arial"/>
                <w:sz w:val="20"/>
              </w:rPr>
            </w:pPr>
            <w:r w:rsidRPr="003328F5">
              <w:rPr>
                <w:rFonts w:ascii="Arial" w:hAnsi="Arial" w:cs="Arial"/>
                <w:sz w:val="20"/>
              </w:rPr>
              <w:t>El precio incluye</w:t>
            </w:r>
            <w:r w:rsidR="00F91072" w:rsidRPr="003328F5">
              <w:rPr>
                <w:rFonts w:ascii="Arial" w:hAnsi="Arial" w:cs="Arial"/>
                <w:sz w:val="20"/>
              </w:rPr>
              <w:t xml:space="preserve"> el tubo, el </w:t>
            </w:r>
            <w:r w:rsidR="00671C5C" w:rsidRPr="003328F5">
              <w:rPr>
                <w:rFonts w:ascii="Arial" w:hAnsi="Arial" w:cs="Arial"/>
                <w:sz w:val="20"/>
              </w:rPr>
              <w:t xml:space="preserve">relleno con </w:t>
            </w:r>
            <w:r w:rsidR="00F91072" w:rsidRPr="003328F5">
              <w:rPr>
                <w:rFonts w:ascii="Arial" w:hAnsi="Arial" w:cs="Arial"/>
                <w:sz w:val="20"/>
              </w:rPr>
              <w:t>m</w:t>
            </w:r>
            <w:r w:rsidR="00671C5C" w:rsidRPr="003328F5">
              <w:rPr>
                <w:rFonts w:ascii="Arial" w:hAnsi="Arial" w:cs="Arial"/>
                <w:sz w:val="20"/>
              </w:rPr>
              <w:t xml:space="preserve">aterial drenante y el geotextil según </w:t>
            </w:r>
            <w:r w:rsidR="00217216" w:rsidRPr="003328F5">
              <w:rPr>
                <w:rFonts w:ascii="Arial" w:hAnsi="Arial" w:cs="Arial"/>
                <w:sz w:val="20"/>
              </w:rPr>
              <w:t>planos</w:t>
            </w:r>
            <w:r w:rsidR="00671C5C" w:rsidRPr="003328F5">
              <w:rPr>
                <w:rFonts w:ascii="Arial" w:hAnsi="Arial" w:cs="Arial"/>
                <w:sz w:val="20"/>
              </w:rPr>
              <w:t>.</w:t>
            </w:r>
          </w:p>
          <w:p w14:paraId="33C5C167" w14:textId="77777777" w:rsidR="00671C5C" w:rsidRPr="003328F5" w:rsidRDefault="00671C5C" w:rsidP="001F3E93">
            <w:pPr>
              <w:pStyle w:val="LCATabla"/>
              <w:jc w:val="both"/>
              <w:rPr>
                <w:rFonts w:ascii="Arial" w:hAnsi="Arial" w:cs="Arial"/>
                <w:sz w:val="20"/>
              </w:rPr>
            </w:pPr>
            <w:r w:rsidRPr="003328F5">
              <w:rPr>
                <w:rFonts w:ascii="Arial" w:hAnsi="Arial" w:cs="Arial"/>
                <w:sz w:val="20"/>
              </w:rPr>
              <w:t>Todos los materiales y medios necesarios para la correcta ejecución de la unidad de obra.</w:t>
            </w:r>
          </w:p>
          <w:p w14:paraId="44994969" w14:textId="77777777" w:rsidR="00A84D98" w:rsidRPr="003328F5" w:rsidRDefault="00671C5C" w:rsidP="00671C5C">
            <w:pPr>
              <w:pStyle w:val="LCATabla"/>
              <w:jc w:val="both"/>
              <w:rPr>
                <w:rFonts w:ascii="Arial" w:hAnsi="Arial" w:cs="Arial"/>
                <w:sz w:val="20"/>
              </w:rPr>
            </w:pPr>
            <w:r w:rsidRPr="003328F5">
              <w:rPr>
                <w:rFonts w:ascii="Arial" w:hAnsi="Arial" w:cs="Arial"/>
                <w:sz w:val="20"/>
              </w:rPr>
              <w:t xml:space="preserve">No incluye la excavación ni el relleno localizado hasta completar la zanja que son objeto de </w:t>
            </w:r>
            <w:r w:rsidR="00217216" w:rsidRPr="003328F5">
              <w:rPr>
                <w:rFonts w:ascii="Arial" w:hAnsi="Arial" w:cs="Arial"/>
                <w:sz w:val="20"/>
              </w:rPr>
              <w:t>medición</w:t>
            </w:r>
            <w:r w:rsidRPr="003328F5">
              <w:rPr>
                <w:rFonts w:ascii="Arial" w:hAnsi="Arial" w:cs="Arial"/>
                <w:sz w:val="20"/>
              </w:rPr>
              <w:t xml:space="preserve"> y abono según los artículos 321 y 330 del presente pliego.</w:t>
            </w:r>
          </w:p>
        </w:tc>
      </w:tr>
    </w:tbl>
    <w:p w14:paraId="301D50CA" w14:textId="77777777" w:rsidR="00A84D98" w:rsidRPr="00A84D98" w:rsidRDefault="00A84D98" w:rsidP="00A84D98">
      <w:pPr>
        <w:pStyle w:val="NORMAL12"/>
        <w:rPr>
          <w:color w:val="FF0000"/>
          <w:lang w:val="es-ES"/>
        </w:rPr>
      </w:pPr>
    </w:p>
    <w:p w14:paraId="6FB12CD2" w14:textId="77777777" w:rsidR="00A84D98" w:rsidRPr="00D313CD" w:rsidRDefault="00A84D98" w:rsidP="00A84D98">
      <w:pPr>
        <w:pStyle w:val="NORMAL12"/>
        <w:rPr>
          <w:color w:val="FF0000"/>
          <w:lang w:val="es-ES"/>
        </w:rPr>
      </w:pPr>
    </w:p>
    <w:p w14:paraId="7B117384" w14:textId="77777777" w:rsidR="00EF2105" w:rsidRPr="00671C5C" w:rsidRDefault="00AB5CD0" w:rsidP="00B03972">
      <w:pPr>
        <w:pStyle w:val="TITU1"/>
        <w:ind w:left="709" w:hanging="709"/>
      </w:pPr>
      <w:bookmarkStart w:id="494" w:name="_Toc404260"/>
      <w:r w:rsidRPr="00671C5C">
        <w:lastRenderedPageBreak/>
        <w:t>Artículo 421.</w:t>
      </w:r>
      <w:r w:rsidR="00EF2105" w:rsidRPr="00671C5C">
        <w:t xml:space="preserve"> Rellenos localizados de material drenante</w:t>
      </w:r>
      <w:bookmarkEnd w:id="494"/>
    </w:p>
    <w:p w14:paraId="67897946" w14:textId="77777777" w:rsidR="00BF0570" w:rsidRPr="003328F5" w:rsidRDefault="00BF0570" w:rsidP="00BF0570">
      <w:pPr>
        <w:pStyle w:val="NORMAL12"/>
        <w:rPr>
          <w:lang w:val="es-ES"/>
        </w:rPr>
      </w:pPr>
      <w:r w:rsidRPr="003328F5">
        <w:rPr>
          <w:lang w:val="es-ES"/>
        </w:rPr>
        <w:t>Excepto para lo especificado en el presente Pliego de Prescripciones Técnicas particulares se seguirá lo prescrito en el vigente artículo 421 del PG-3.</w:t>
      </w:r>
    </w:p>
    <w:p w14:paraId="1FFE690B" w14:textId="77777777" w:rsidR="002C18AA" w:rsidRPr="003328F5" w:rsidRDefault="00EF2105" w:rsidP="000313DD">
      <w:pPr>
        <w:pStyle w:val="TITU2"/>
      </w:pPr>
      <w:bookmarkStart w:id="495" w:name="_Toc404261"/>
      <w:r w:rsidRPr="003328F5">
        <w:t>421.1. Definición</w:t>
      </w:r>
      <w:bookmarkEnd w:id="495"/>
    </w:p>
    <w:p w14:paraId="7E109313" w14:textId="77777777" w:rsidR="00671C5C" w:rsidRPr="003328F5" w:rsidRDefault="002C18AA" w:rsidP="002C18AA">
      <w:pPr>
        <w:pStyle w:val="NORMAL12"/>
        <w:rPr>
          <w:lang w:val="es-ES"/>
        </w:rPr>
      </w:pPr>
      <w:r w:rsidRPr="003328F5">
        <w:rPr>
          <w:lang w:val="es-ES"/>
        </w:rPr>
        <w:t xml:space="preserve">Consisten en la extensión y compactación de materiales drenantes </w:t>
      </w:r>
      <w:r w:rsidR="00671C5C" w:rsidRPr="003328F5">
        <w:rPr>
          <w:lang w:val="es-ES"/>
        </w:rPr>
        <w:t>tipo grava empleados en la realización de zanjas drenantes pertenecientes al drenaje longitudinal.</w:t>
      </w:r>
    </w:p>
    <w:p w14:paraId="5CE73610" w14:textId="77777777" w:rsidR="0013539D" w:rsidRPr="003328F5" w:rsidRDefault="0013539D" w:rsidP="0013539D">
      <w:pPr>
        <w:pStyle w:val="NORMAL12"/>
        <w:rPr>
          <w:lang w:val="es-ES"/>
        </w:rPr>
      </w:pPr>
      <w:r w:rsidRPr="003328F5">
        <w:rPr>
          <w:lang w:val="es-ES"/>
        </w:rPr>
        <w:t xml:space="preserve">Los rellenos localizados de material drenante cumplirán lo especificado en el artículo 421 del PG-3, </w:t>
      </w:r>
      <w:r w:rsidR="00180127" w:rsidRPr="003328F5">
        <w:rPr>
          <w:lang w:val="es-ES"/>
        </w:rPr>
        <w:t>el PG-3</w:t>
      </w:r>
      <w:r w:rsidRPr="003328F5">
        <w:rPr>
          <w:lang w:val="es-ES"/>
        </w:rPr>
        <w:t>.</w:t>
      </w:r>
    </w:p>
    <w:p w14:paraId="2D11EEE3" w14:textId="77777777" w:rsidR="0013539D" w:rsidRPr="003328F5" w:rsidRDefault="0013539D" w:rsidP="0036157E">
      <w:pPr>
        <w:pStyle w:val="NORMAL12"/>
        <w:rPr>
          <w:lang w:val="es-ES"/>
        </w:rPr>
      </w:pPr>
      <w:r w:rsidRPr="003328F5">
        <w:rPr>
          <w:lang w:val="es-ES"/>
        </w:rPr>
        <w:t>Le ejecución de la unidad supone la realización de las operaciones siguientes:</w:t>
      </w:r>
    </w:p>
    <w:p w14:paraId="24064399" w14:textId="77777777" w:rsidR="0013539D" w:rsidRPr="003328F5" w:rsidRDefault="0013539D" w:rsidP="00E01981">
      <w:pPr>
        <w:pStyle w:val="NORMAL12"/>
        <w:numPr>
          <w:ilvl w:val="0"/>
          <w:numId w:val="93"/>
        </w:numPr>
        <w:rPr>
          <w:lang w:val="es-ES"/>
        </w:rPr>
      </w:pPr>
      <w:r w:rsidRPr="003328F5">
        <w:rPr>
          <w:lang w:val="es-ES"/>
        </w:rPr>
        <w:t>S</w:t>
      </w:r>
      <w:r w:rsidR="00671C5C" w:rsidRPr="003328F5">
        <w:rPr>
          <w:lang w:val="es-ES"/>
        </w:rPr>
        <w:t>uministro del material drenante</w:t>
      </w:r>
      <w:r w:rsidRPr="003328F5">
        <w:rPr>
          <w:lang w:val="es-ES"/>
        </w:rPr>
        <w:t>.</w:t>
      </w:r>
    </w:p>
    <w:p w14:paraId="1F5C02DA" w14:textId="77777777" w:rsidR="0013539D" w:rsidRPr="003328F5" w:rsidRDefault="0013539D" w:rsidP="00E01981">
      <w:pPr>
        <w:pStyle w:val="NORMAL12"/>
        <w:numPr>
          <w:ilvl w:val="0"/>
          <w:numId w:val="93"/>
        </w:numPr>
        <w:rPr>
          <w:lang w:val="es-ES"/>
        </w:rPr>
      </w:pPr>
      <w:r w:rsidRPr="003328F5">
        <w:rPr>
          <w:lang w:val="es-ES"/>
        </w:rPr>
        <w:t xml:space="preserve">Preparación de la superficie </w:t>
      </w:r>
    </w:p>
    <w:p w14:paraId="27E61680" w14:textId="77777777" w:rsidR="0013539D" w:rsidRPr="003328F5" w:rsidRDefault="0013539D" w:rsidP="00E01981">
      <w:pPr>
        <w:pStyle w:val="NORMAL12"/>
        <w:numPr>
          <w:ilvl w:val="0"/>
          <w:numId w:val="93"/>
        </w:numPr>
        <w:rPr>
          <w:lang w:val="es-ES"/>
        </w:rPr>
      </w:pPr>
      <w:r w:rsidRPr="003328F5">
        <w:rPr>
          <w:lang w:val="es-ES"/>
        </w:rPr>
        <w:t>Extendido del material drenante</w:t>
      </w:r>
      <w:r w:rsidR="00671C5C" w:rsidRPr="003328F5">
        <w:rPr>
          <w:lang w:val="es-ES"/>
        </w:rPr>
        <w:t xml:space="preserve"> y compactación</w:t>
      </w:r>
      <w:r w:rsidRPr="003328F5">
        <w:rPr>
          <w:lang w:val="es-ES"/>
        </w:rPr>
        <w:t>.</w:t>
      </w:r>
    </w:p>
    <w:p w14:paraId="40F9F3E8" w14:textId="77777777" w:rsidR="00EF2105" w:rsidRPr="003328F5" w:rsidRDefault="00EF2105" w:rsidP="000313DD">
      <w:pPr>
        <w:pStyle w:val="TITU2"/>
      </w:pPr>
      <w:bookmarkStart w:id="496" w:name="_Toc404262"/>
      <w:r w:rsidRPr="003328F5">
        <w:t>421.2. Materiales</w:t>
      </w:r>
      <w:bookmarkEnd w:id="496"/>
    </w:p>
    <w:p w14:paraId="500EE917" w14:textId="77777777" w:rsidR="007D7624" w:rsidRPr="003328F5" w:rsidRDefault="007D7624" w:rsidP="0036157E">
      <w:pPr>
        <w:pStyle w:val="NORMAL12"/>
        <w:rPr>
          <w:lang w:val="es-ES"/>
        </w:rPr>
      </w:pPr>
      <w:proofErr w:type="gramStart"/>
      <w:r w:rsidRPr="003328F5">
        <w:rPr>
          <w:lang w:val="es-ES"/>
        </w:rPr>
        <w:t>Los materiales drenantes a emplear</w:t>
      </w:r>
      <w:proofErr w:type="gramEnd"/>
      <w:r w:rsidRPr="003328F5">
        <w:rPr>
          <w:lang w:val="es-ES"/>
        </w:rPr>
        <w:t xml:space="preserve"> en rellenos localizados serán áridos naturales, o bien áridos procedentes del machaqueo y trituración de piedra de cantera o grava natural, o áridos artificiales. En todo caso estarán exentos de arcilla, margas y otros materiales extraños.</w:t>
      </w:r>
    </w:p>
    <w:p w14:paraId="67110114" w14:textId="77777777" w:rsidR="0013539D" w:rsidRPr="003328F5" w:rsidRDefault="0013539D" w:rsidP="0036157E">
      <w:pPr>
        <w:pStyle w:val="NORMAL12"/>
        <w:rPr>
          <w:lang w:val="es-ES"/>
        </w:rPr>
      </w:pPr>
      <w:r w:rsidRPr="003328F5">
        <w:rPr>
          <w:lang w:val="es-ES"/>
        </w:rPr>
        <w:t xml:space="preserve">Se empleará grava silícea con tamaño entre 20 a 40 </w:t>
      </w:r>
      <w:proofErr w:type="spellStart"/>
      <w:r w:rsidRPr="003328F5">
        <w:rPr>
          <w:lang w:val="es-ES"/>
        </w:rPr>
        <w:t>mm.</w:t>
      </w:r>
      <w:proofErr w:type="spellEnd"/>
    </w:p>
    <w:p w14:paraId="1263416C" w14:textId="77777777" w:rsidR="007D7624" w:rsidRPr="003328F5" w:rsidRDefault="007D7624" w:rsidP="0036157E">
      <w:pPr>
        <w:pStyle w:val="NORMAL12"/>
        <w:rPr>
          <w:lang w:val="es-ES"/>
        </w:rPr>
      </w:pPr>
      <w:r w:rsidRPr="003328F5">
        <w:rPr>
          <w:lang w:val="es-ES"/>
        </w:rPr>
        <w:t xml:space="preserve">El Contratista propondrá al </w:t>
      </w:r>
      <w:proofErr w:type="gramStart"/>
      <w:r w:rsidRPr="003328F5">
        <w:rPr>
          <w:lang w:val="es-ES"/>
        </w:rPr>
        <w:t>Director</w:t>
      </w:r>
      <w:proofErr w:type="gramEnd"/>
      <w:r w:rsidRPr="003328F5">
        <w:rPr>
          <w:lang w:val="es-ES"/>
        </w:rPr>
        <w:t xml:space="preserve"> de las Obras el material a utilizar, y antes de su empleo deberá contar con la aprobación explícita de éste.</w:t>
      </w:r>
    </w:p>
    <w:p w14:paraId="04D187F5" w14:textId="77777777" w:rsidR="0013539D" w:rsidRPr="003328F5" w:rsidRDefault="0013539D" w:rsidP="0013539D">
      <w:pPr>
        <w:pStyle w:val="NORMAL12"/>
        <w:rPr>
          <w:lang w:val="es-ES"/>
        </w:rPr>
      </w:pPr>
      <w:r w:rsidRPr="003328F5">
        <w:rPr>
          <w:lang w:val="es-ES"/>
        </w:rPr>
        <w:t>El material drenante cumplirá:</w:t>
      </w:r>
    </w:p>
    <w:p w14:paraId="75596C8F" w14:textId="77777777" w:rsidR="007D7624" w:rsidRPr="003328F5" w:rsidRDefault="007D7624" w:rsidP="00E01981">
      <w:pPr>
        <w:pStyle w:val="NORMAL12"/>
        <w:numPr>
          <w:ilvl w:val="0"/>
          <w:numId w:val="94"/>
        </w:numPr>
        <w:rPr>
          <w:lang w:val="es-ES"/>
        </w:rPr>
      </w:pPr>
      <w:r w:rsidRPr="003328F5">
        <w:rPr>
          <w:lang w:val="es-ES"/>
        </w:rPr>
        <w:t>El tamaño máximo no será, en ningún caso, superior a setenta y seis milímetros (76 mm), y el cernido ponderal acumulado por el tamiz 0,080 UNE no rebasará el cinco por ciento (5%).</w:t>
      </w:r>
    </w:p>
    <w:p w14:paraId="02A6B0C0" w14:textId="77777777" w:rsidR="007D7624" w:rsidRPr="003328F5" w:rsidRDefault="007D7624" w:rsidP="00E01981">
      <w:pPr>
        <w:pStyle w:val="NORMAL12"/>
        <w:numPr>
          <w:ilvl w:val="0"/>
          <w:numId w:val="94"/>
        </w:numPr>
        <w:rPr>
          <w:lang w:val="es-ES"/>
        </w:rPr>
      </w:pPr>
      <w:r w:rsidRPr="003328F5">
        <w:rPr>
          <w:lang w:val="es-ES"/>
        </w:rPr>
        <w:t xml:space="preserve">Siendo </w:t>
      </w:r>
      <w:proofErr w:type="spellStart"/>
      <w:r w:rsidRPr="003328F5">
        <w:rPr>
          <w:lang w:val="es-ES"/>
        </w:rPr>
        <w:t>Fx</w:t>
      </w:r>
      <w:proofErr w:type="spellEnd"/>
      <w:r w:rsidRPr="003328F5">
        <w:rPr>
          <w:lang w:val="es-ES"/>
        </w:rPr>
        <w:t xml:space="preserve"> el tamaño superior al del x%, en peso, del material filtrante, y </w:t>
      </w:r>
      <w:proofErr w:type="spellStart"/>
      <w:r w:rsidRPr="003328F5">
        <w:rPr>
          <w:lang w:val="es-ES"/>
        </w:rPr>
        <w:t>dx</w:t>
      </w:r>
      <w:proofErr w:type="spellEnd"/>
      <w:r w:rsidRPr="003328F5">
        <w:rPr>
          <w:lang w:val="es-ES"/>
        </w:rPr>
        <w:t xml:space="preserve"> el tamaño superior al del x%, en peso, del terreno a drenar, se deberán cumplir las siguientes condiciones de filtro:</w:t>
      </w:r>
    </w:p>
    <w:p w14:paraId="4FD76089" w14:textId="77777777" w:rsidR="007D7624" w:rsidRPr="003328F5" w:rsidRDefault="007D7624" w:rsidP="00E01981">
      <w:pPr>
        <w:pStyle w:val="NORMAL12"/>
        <w:numPr>
          <w:ilvl w:val="1"/>
          <w:numId w:val="94"/>
        </w:numPr>
        <w:rPr>
          <w:lang w:val="es-ES"/>
        </w:rPr>
      </w:pPr>
      <w:r w:rsidRPr="003328F5">
        <w:rPr>
          <w:lang w:val="es-ES"/>
        </w:rPr>
        <w:t>F</w:t>
      </w:r>
      <w:r w:rsidRPr="003328F5">
        <w:rPr>
          <w:vertAlign w:val="subscript"/>
          <w:lang w:val="es-ES"/>
        </w:rPr>
        <w:t>15</w:t>
      </w:r>
      <w:r w:rsidRPr="003328F5">
        <w:rPr>
          <w:lang w:val="es-ES"/>
        </w:rPr>
        <w:t>/ d</w:t>
      </w:r>
      <w:r w:rsidRPr="003328F5">
        <w:rPr>
          <w:vertAlign w:val="subscript"/>
          <w:lang w:val="es-ES"/>
        </w:rPr>
        <w:t xml:space="preserve">85 </w:t>
      </w:r>
      <w:r w:rsidRPr="003328F5">
        <w:rPr>
          <w:lang w:val="es-ES"/>
        </w:rPr>
        <w:t xml:space="preserve">&lt; 5 </w:t>
      </w:r>
      <w:proofErr w:type="gramStart"/>
      <w:r w:rsidRPr="003328F5">
        <w:rPr>
          <w:lang w:val="es-ES"/>
        </w:rPr>
        <w:t xml:space="preserve">   (b)  F</w:t>
      </w:r>
      <w:proofErr w:type="gramEnd"/>
      <w:r w:rsidRPr="003328F5">
        <w:rPr>
          <w:vertAlign w:val="subscript"/>
          <w:lang w:val="es-ES"/>
        </w:rPr>
        <w:t>15</w:t>
      </w:r>
      <w:r w:rsidRPr="003328F5">
        <w:rPr>
          <w:lang w:val="es-ES"/>
        </w:rPr>
        <w:t>/ d</w:t>
      </w:r>
      <w:r w:rsidRPr="003328F5">
        <w:rPr>
          <w:vertAlign w:val="subscript"/>
          <w:lang w:val="es-ES"/>
        </w:rPr>
        <w:t xml:space="preserve">15 </w:t>
      </w:r>
      <w:r w:rsidRPr="003328F5">
        <w:rPr>
          <w:lang w:val="es-ES"/>
        </w:rPr>
        <w:t xml:space="preserve">&gt; 5  </w:t>
      </w:r>
      <w:proofErr w:type="gramStart"/>
      <w:r w:rsidRPr="003328F5">
        <w:rPr>
          <w:lang w:val="es-ES"/>
        </w:rPr>
        <w:t xml:space="preserve">   (</w:t>
      </w:r>
      <w:proofErr w:type="gramEnd"/>
      <w:r w:rsidRPr="003328F5">
        <w:rPr>
          <w:lang w:val="es-ES"/>
        </w:rPr>
        <w:t>c</w:t>
      </w:r>
      <w:proofErr w:type="gramStart"/>
      <w:r w:rsidRPr="003328F5">
        <w:rPr>
          <w:lang w:val="es-ES"/>
        </w:rPr>
        <w:t>)  F</w:t>
      </w:r>
      <w:proofErr w:type="gramEnd"/>
      <w:r w:rsidRPr="003328F5">
        <w:rPr>
          <w:vertAlign w:val="subscript"/>
          <w:lang w:val="es-ES"/>
        </w:rPr>
        <w:t>50</w:t>
      </w:r>
      <w:r w:rsidRPr="003328F5">
        <w:rPr>
          <w:lang w:val="es-ES"/>
        </w:rPr>
        <w:t>/ d</w:t>
      </w:r>
      <w:r w:rsidRPr="003328F5">
        <w:rPr>
          <w:vertAlign w:val="subscript"/>
          <w:lang w:val="es-ES"/>
        </w:rPr>
        <w:t xml:space="preserve">50 &lt; </w:t>
      </w:r>
      <w:r w:rsidRPr="003328F5">
        <w:rPr>
          <w:lang w:val="es-ES"/>
        </w:rPr>
        <w:t>25</w:t>
      </w:r>
    </w:p>
    <w:p w14:paraId="149F36C0" w14:textId="77777777" w:rsidR="0013539D" w:rsidRPr="003328F5" w:rsidRDefault="0013539D" w:rsidP="0013539D">
      <w:pPr>
        <w:pStyle w:val="NORMAL12"/>
        <w:rPr>
          <w:lang w:val="es-ES"/>
        </w:rPr>
      </w:pPr>
      <w:r w:rsidRPr="003328F5">
        <w:rPr>
          <w:lang w:val="es-ES"/>
        </w:rPr>
        <w:t>El filtro debe cumplir:</w:t>
      </w:r>
    </w:p>
    <w:p w14:paraId="3B041919" w14:textId="77777777" w:rsidR="007D7624" w:rsidRPr="003328F5" w:rsidRDefault="007D7624" w:rsidP="00E01981">
      <w:pPr>
        <w:pStyle w:val="NORMAL12"/>
        <w:numPr>
          <w:ilvl w:val="0"/>
          <w:numId w:val="95"/>
        </w:numPr>
        <w:rPr>
          <w:lang w:val="es-ES"/>
        </w:rPr>
      </w:pPr>
      <w:proofErr w:type="gramStart"/>
      <w:r w:rsidRPr="003328F5">
        <w:rPr>
          <w:lang w:val="es-ES"/>
        </w:rPr>
        <w:t>Asimismo</w:t>
      </w:r>
      <w:proofErr w:type="gramEnd"/>
      <w:r w:rsidRPr="003328F5">
        <w:rPr>
          <w:lang w:val="es-ES"/>
        </w:rPr>
        <w:t xml:space="preserve"> el coeficiente de uniformidad del filtro será inferior a veinte (F60/F10 &lt; 20)</w:t>
      </w:r>
    </w:p>
    <w:p w14:paraId="2743BA83" w14:textId="77777777" w:rsidR="007D7624" w:rsidRPr="003328F5" w:rsidRDefault="0013539D" w:rsidP="00E01981">
      <w:pPr>
        <w:pStyle w:val="NORMAL12"/>
        <w:numPr>
          <w:ilvl w:val="0"/>
          <w:numId w:val="46"/>
        </w:numPr>
        <w:rPr>
          <w:lang w:val="es-ES"/>
        </w:rPr>
      </w:pPr>
      <w:r w:rsidRPr="003328F5">
        <w:rPr>
          <w:lang w:val="es-ES"/>
        </w:rPr>
        <w:t>E</w:t>
      </w:r>
      <w:r w:rsidR="007D7624" w:rsidRPr="003328F5">
        <w:rPr>
          <w:lang w:val="es-ES"/>
        </w:rPr>
        <w:t xml:space="preserve">l material drenante situado junto a los tubos </w:t>
      </w:r>
      <w:r w:rsidRPr="003328F5">
        <w:rPr>
          <w:lang w:val="es-ES"/>
        </w:rPr>
        <w:t>d</w:t>
      </w:r>
      <w:r w:rsidR="007D7624" w:rsidRPr="003328F5">
        <w:rPr>
          <w:lang w:val="es-ES"/>
        </w:rPr>
        <w:t>eberá cumplir las condiciones siguientes:</w:t>
      </w:r>
      <w:r w:rsidRPr="003328F5">
        <w:rPr>
          <w:lang w:val="es-ES"/>
        </w:rPr>
        <w:t xml:space="preserve">  para tubos perforados = </w:t>
      </w:r>
      <w:r w:rsidR="007D7624" w:rsidRPr="003328F5">
        <w:rPr>
          <w:lang w:val="es-ES"/>
        </w:rPr>
        <w:t>F</w:t>
      </w:r>
      <w:r w:rsidR="007D7624" w:rsidRPr="003328F5">
        <w:rPr>
          <w:vertAlign w:val="subscript"/>
          <w:lang w:val="es-ES"/>
        </w:rPr>
        <w:t>85</w:t>
      </w:r>
      <w:r w:rsidR="007D7624" w:rsidRPr="003328F5">
        <w:rPr>
          <w:lang w:val="es-ES"/>
        </w:rPr>
        <w:t xml:space="preserve"> /Diámetro del orificio &gt; 1</w:t>
      </w:r>
    </w:p>
    <w:p w14:paraId="6C56F2AD" w14:textId="77777777" w:rsidR="007D7624" w:rsidRPr="003328F5" w:rsidRDefault="007D7624" w:rsidP="00E01981">
      <w:pPr>
        <w:pStyle w:val="NORMAL12"/>
        <w:numPr>
          <w:ilvl w:val="0"/>
          <w:numId w:val="46"/>
        </w:numPr>
        <w:rPr>
          <w:lang w:val="es-ES"/>
        </w:rPr>
      </w:pPr>
      <w:r w:rsidRPr="003328F5">
        <w:rPr>
          <w:lang w:val="es-ES"/>
        </w:rPr>
        <w:t>El material drenante será no plástico, y su equivalente de arena determinado según UNE-EN 933-8 será superior a treinta (EA&gt;30).</w:t>
      </w:r>
    </w:p>
    <w:p w14:paraId="5EA8D4CD" w14:textId="77777777" w:rsidR="007D7624" w:rsidRPr="003328F5" w:rsidRDefault="00F72BDA" w:rsidP="00E01981">
      <w:pPr>
        <w:pStyle w:val="NORMAL12"/>
        <w:numPr>
          <w:ilvl w:val="0"/>
          <w:numId w:val="46"/>
        </w:numPr>
        <w:rPr>
          <w:lang w:val="es-ES"/>
        </w:rPr>
      </w:pPr>
      <w:r w:rsidRPr="003328F5">
        <w:rPr>
          <w:lang w:val="es-ES"/>
        </w:rPr>
        <w:t>El ensayo de los Ángeles para materiales de origen pétreo</w:t>
      </w:r>
      <w:r w:rsidR="007D7624" w:rsidRPr="003328F5">
        <w:rPr>
          <w:lang w:val="es-ES"/>
        </w:rPr>
        <w:t xml:space="preserve"> será inferior a cuarenta (40). </w:t>
      </w:r>
    </w:p>
    <w:p w14:paraId="0DF8A35A" w14:textId="77777777" w:rsidR="00EF2105" w:rsidRPr="003328F5" w:rsidRDefault="00EF2105" w:rsidP="000313DD">
      <w:pPr>
        <w:pStyle w:val="TITU2"/>
      </w:pPr>
      <w:bookmarkStart w:id="497" w:name="_Toc404263"/>
      <w:r w:rsidRPr="003328F5">
        <w:t>421.3. Ejecución de las obras</w:t>
      </w:r>
      <w:bookmarkEnd w:id="497"/>
    </w:p>
    <w:p w14:paraId="169F763C" w14:textId="77777777" w:rsidR="007D7624" w:rsidRPr="003328F5" w:rsidRDefault="00F72BDA" w:rsidP="00A30D35">
      <w:pPr>
        <w:pStyle w:val="NORMAL12"/>
        <w:rPr>
          <w:lang w:val="es-ES"/>
        </w:rPr>
      </w:pPr>
      <w:r w:rsidRPr="003328F5">
        <w:rPr>
          <w:lang w:val="es-ES"/>
        </w:rPr>
        <w:t>Durante los a</w:t>
      </w:r>
      <w:r w:rsidR="007D7624" w:rsidRPr="003328F5">
        <w:rPr>
          <w:lang w:val="es-ES"/>
        </w:rPr>
        <w:t xml:space="preserve">copios de cada tipo de material se formarán y explotarán de forma que se evite la segregación y contaminación </w:t>
      </w:r>
      <w:proofErr w:type="gramStart"/>
      <w:r w:rsidR="007D7624" w:rsidRPr="003328F5">
        <w:rPr>
          <w:lang w:val="es-ES"/>
        </w:rPr>
        <w:t>del mismo</w:t>
      </w:r>
      <w:proofErr w:type="gramEnd"/>
      <w:r w:rsidR="007D7624" w:rsidRPr="003328F5">
        <w:rPr>
          <w:lang w:val="es-ES"/>
        </w:rPr>
        <w:t>. En especial, se tendrán presentes las siguientes precauciones: evitar una exposición prolongada del material a la intemperie, formar los acopios sobre una superficie que no contamine al material, evitar la mezcla de distintos tipos de materiales.</w:t>
      </w:r>
      <w:r w:rsidRPr="003328F5">
        <w:rPr>
          <w:lang w:val="es-ES"/>
        </w:rPr>
        <w:t xml:space="preserve"> Eliminándose las zonas segregadas o contaminadas de polvo.</w:t>
      </w:r>
    </w:p>
    <w:p w14:paraId="7E879AA9" w14:textId="77777777" w:rsidR="00F72BDA" w:rsidRPr="003328F5" w:rsidRDefault="00F72BDA" w:rsidP="00A30D35">
      <w:pPr>
        <w:pStyle w:val="NORMAL12"/>
        <w:rPr>
          <w:lang w:val="es-ES"/>
        </w:rPr>
      </w:pPr>
      <w:r w:rsidRPr="003328F5">
        <w:rPr>
          <w:lang w:val="es-ES"/>
        </w:rPr>
        <w:t>La superficie donde se coloque debe estar seca, las corrientes o filtraciones de agua deben ser desviadas o captas y conducidas fuera de la zona en la que se realiza el relleno.</w:t>
      </w:r>
    </w:p>
    <w:p w14:paraId="33452E72" w14:textId="77777777" w:rsidR="00F72BDA" w:rsidRPr="003328F5" w:rsidRDefault="00F72BDA" w:rsidP="00A30D35">
      <w:pPr>
        <w:pStyle w:val="NORMAL12"/>
        <w:rPr>
          <w:lang w:val="es-ES"/>
        </w:rPr>
      </w:pPr>
      <w:r w:rsidRPr="003328F5">
        <w:rPr>
          <w:lang w:val="es-ES"/>
        </w:rPr>
        <w:t>El material se extenderá en tongadas con un espesor máximo de veinte centímetros.</w:t>
      </w:r>
    </w:p>
    <w:p w14:paraId="0013985F" w14:textId="77777777" w:rsidR="007D7624" w:rsidRPr="003328F5" w:rsidRDefault="00F72BDA" w:rsidP="00A30D35">
      <w:pPr>
        <w:pStyle w:val="NORMAL12"/>
        <w:rPr>
          <w:lang w:val="es-ES"/>
        </w:rPr>
      </w:pPr>
      <w:r w:rsidRPr="003328F5">
        <w:rPr>
          <w:lang w:val="es-ES"/>
        </w:rPr>
        <w:t xml:space="preserve">Antes del extendido de cada tongada se comprobará que la capa inferior es homogénea y dispone del grado de compactación exigido y nunca inferior al mayor </w:t>
      </w:r>
      <w:r w:rsidR="007D7624" w:rsidRPr="003328F5">
        <w:rPr>
          <w:lang w:val="es-ES"/>
        </w:rPr>
        <w:t>de los que posean los terrenos o materiales adyacentes situados a su mismo nivel.</w:t>
      </w:r>
    </w:p>
    <w:p w14:paraId="0AC91688" w14:textId="77777777" w:rsidR="007D7624" w:rsidRPr="003328F5" w:rsidRDefault="007D7624" w:rsidP="00C51C35">
      <w:pPr>
        <w:pStyle w:val="NORMAL12"/>
        <w:rPr>
          <w:lang w:val="es-ES"/>
        </w:rPr>
      </w:pPr>
      <w:r w:rsidRPr="003328F5">
        <w:rPr>
          <w:lang w:val="es-ES"/>
        </w:rPr>
        <w:t xml:space="preserve">Cuando se trata de rellenos localizados en torno a tuberías y hasta una altura de treinta centímetros (30 cm) por debajo de la generatriz superior de la tubería, salvo indicación en contra del Proyecto o del </w:t>
      </w:r>
      <w:proofErr w:type="gramStart"/>
      <w:r w:rsidRPr="003328F5">
        <w:rPr>
          <w:lang w:val="es-ES"/>
        </w:rPr>
        <w:t>Director</w:t>
      </w:r>
      <w:proofErr w:type="gramEnd"/>
      <w:r w:rsidRPr="003328F5">
        <w:rPr>
          <w:lang w:val="es-ES"/>
        </w:rPr>
        <w:t xml:space="preserve"> de las Obras, el tamaño máximo de las partículas no será superior a dos centímetros (2 cm), las tongadas serán de diez centímetros (10 cm) y se compactarán hasta un índice de densidad no inferior al setenta y cinco por ciento (75%). </w:t>
      </w:r>
    </w:p>
    <w:p w14:paraId="5F7224B7" w14:textId="77777777" w:rsidR="00C51C35" w:rsidRPr="003328F5" w:rsidRDefault="00C51C35" w:rsidP="00A30D35">
      <w:pPr>
        <w:pStyle w:val="NORMAL12"/>
        <w:rPr>
          <w:lang w:val="es-ES"/>
        </w:rPr>
      </w:pPr>
      <w:r w:rsidRPr="003328F5">
        <w:rPr>
          <w:lang w:val="es-ES"/>
        </w:rPr>
        <w:lastRenderedPageBreak/>
        <w:t>Se evitará en todo momento la contaminación del material, para ello se tomarán las siguientes precauciones:</w:t>
      </w:r>
    </w:p>
    <w:p w14:paraId="38F768A6" w14:textId="77777777" w:rsidR="007D7624" w:rsidRPr="003328F5" w:rsidRDefault="007D7624" w:rsidP="00E01981">
      <w:pPr>
        <w:pStyle w:val="NORMAL12"/>
        <w:numPr>
          <w:ilvl w:val="0"/>
          <w:numId w:val="96"/>
        </w:numPr>
        <w:rPr>
          <w:lang w:val="es-ES"/>
        </w:rPr>
      </w:pPr>
      <w:r w:rsidRPr="003328F5">
        <w:rPr>
          <w:lang w:val="es-ES"/>
        </w:rPr>
        <w:t>los rellenos se ejecutarán en el menor plazo posible y, una vez terminados, se cubrirán, de forma provisional o definitiva</w:t>
      </w:r>
      <w:r w:rsidR="00C51C35" w:rsidRPr="003328F5">
        <w:rPr>
          <w:lang w:val="es-ES"/>
        </w:rPr>
        <w:t>.</w:t>
      </w:r>
    </w:p>
    <w:p w14:paraId="06768CB6" w14:textId="77777777" w:rsidR="00C51C35" w:rsidRPr="003328F5" w:rsidRDefault="00C51C35" w:rsidP="00E01981">
      <w:pPr>
        <w:pStyle w:val="NORMAL12"/>
        <w:numPr>
          <w:ilvl w:val="0"/>
          <w:numId w:val="96"/>
        </w:numPr>
        <w:rPr>
          <w:lang w:val="es-ES"/>
        </w:rPr>
      </w:pPr>
      <w:r w:rsidRPr="003328F5">
        <w:rPr>
          <w:lang w:val="es-ES"/>
        </w:rPr>
        <w:t>se protegerá ante la lluvia, evitando encharcamientos en la superficie.</w:t>
      </w:r>
    </w:p>
    <w:p w14:paraId="0D00E4E2" w14:textId="77777777" w:rsidR="00C51C35" w:rsidRPr="003328F5" w:rsidRDefault="00C51C35" w:rsidP="00E01981">
      <w:pPr>
        <w:pStyle w:val="NORMAL12"/>
        <w:numPr>
          <w:ilvl w:val="0"/>
          <w:numId w:val="96"/>
        </w:numPr>
        <w:rPr>
          <w:lang w:val="es-ES"/>
        </w:rPr>
      </w:pPr>
      <w:r w:rsidRPr="003328F5">
        <w:rPr>
          <w:lang w:val="es-ES"/>
        </w:rPr>
        <w:t>El material contaminado será sustituido por otro en buenas condiciones.</w:t>
      </w:r>
    </w:p>
    <w:p w14:paraId="76595F81" w14:textId="77777777" w:rsidR="00C51C35" w:rsidRPr="003328F5" w:rsidRDefault="00C51C35" w:rsidP="00C51C35">
      <w:pPr>
        <w:pStyle w:val="NORMAL12"/>
        <w:rPr>
          <w:lang w:val="es-ES"/>
        </w:rPr>
      </w:pPr>
      <w:r w:rsidRPr="003328F5">
        <w:rPr>
          <w:lang w:val="es-ES"/>
        </w:rPr>
        <w:t xml:space="preserve">No se permitirá el paso de vehículos sobre el relleno hasta que no se haya completado su compactación. </w:t>
      </w:r>
    </w:p>
    <w:p w14:paraId="5DB1DAE9" w14:textId="77777777" w:rsidR="003328F5" w:rsidRPr="003328F5" w:rsidRDefault="003328F5" w:rsidP="000313DD">
      <w:pPr>
        <w:pStyle w:val="TITU2"/>
      </w:pPr>
      <w:bookmarkStart w:id="498" w:name="_Toc404264"/>
      <w:r w:rsidRPr="003328F5">
        <w:t>421.4. Limitaciones de la ejecución</w:t>
      </w:r>
      <w:bookmarkEnd w:id="498"/>
    </w:p>
    <w:p w14:paraId="0B281103" w14:textId="77777777" w:rsidR="003328F5" w:rsidRPr="003328F5" w:rsidRDefault="003328F5" w:rsidP="00C51C35">
      <w:pPr>
        <w:pStyle w:val="NORMAL12"/>
        <w:rPr>
          <w:lang w:val="es-ES"/>
        </w:rPr>
      </w:pPr>
      <w:r w:rsidRPr="003328F5">
        <w:rPr>
          <w:lang w:val="es-ES"/>
        </w:rPr>
        <w:t>No se ejecutarán si la temperatura ambiente es inferior a cero grados Celsius (0ºC)</w:t>
      </w:r>
    </w:p>
    <w:p w14:paraId="1B2156F1" w14:textId="77777777" w:rsidR="003328F5" w:rsidRPr="003328F5" w:rsidRDefault="003328F5" w:rsidP="00C51C35">
      <w:pPr>
        <w:pStyle w:val="NORMAL12"/>
        <w:rPr>
          <w:lang w:val="es-ES"/>
        </w:rPr>
      </w:pPr>
      <w:r w:rsidRPr="003328F5">
        <w:rPr>
          <w:lang w:val="es-ES"/>
        </w:rPr>
        <w:t xml:space="preserve">Sobre las capas en ejecución se </w:t>
      </w:r>
      <w:proofErr w:type="spellStart"/>
      <w:r w:rsidRPr="003328F5">
        <w:rPr>
          <w:lang w:val="es-ES"/>
        </w:rPr>
        <w:t>prohibe</w:t>
      </w:r>
      <w:proofErr w:type="spellEnd"/>
      <w:r w:rsidRPr="003328F5">
        <w:rPr>
          <w:lang w:val="es-ES"/>
        </w:rPr>
        <w:t xml:space="preserve"> la acción de todo tipo de tráfico hasta que no esté completa la compactación.</w:t>
      </w:r>
    </w:p>
    <w:p w14:paraId="69110D87" w14:textId="77777777" w:rsidR="00EF2105" w:rsidRPr="003328F5" w:rsidRDefault="003328F5" w:rsidP="000313DD">
      <w:pPr>
        <w:pStyle w:val="TITU2"/>
      </w:pPr>
      <w:bookmarkStart w:id="499" w:name="_Toc404265"/>
      <w:r w:rsidRPr="003328F5">
        <w:t>421.5</w:t>
      </w:r>
      <w:r w:rsidR="00EF2105" w:rsidRPr="003328F5">
        <w:t>. Medición y abono</w:t>
      </w:r>
      <w:bookmarkEnd w:id="499"/>
    </w:p>
    <w:p w14:paraId="4E40D3CD" w14:textId="77777777" w:rsidR="00D84170" w:rsidRPr="003328F5" w:rsidRDefault="00D84170" w:rsidP="00D84170">
      <w:pPr>
        <w:pStyle w:val="NORMAL12"/>
        <w:rPr>
          <w:lang w:val="es-ES"/>
        </w:rPr>
      </w:pPr>
      <w:r w:rsidRPr="003328F5">
        <w:rPr>
          <w:lang w:val="es-ES"/>
        </w:rPr>
        <w:t xml:space="preserve">La medición y abono del relleno localizado se realizará de acuerdo con lo indicado </w:t>
      </w:r>
      <w:r w:rsidR="003328F5" w:rsidRPr="003328F5">
        <w:rPr>
          <w:lang w:val="es-ES"/>
        </w:rPr>
        <w:t xml:space="preserve">para las unidades definidas en el artículo 420. Zanja drenante del presente </w:t>
      </w:r>
      <w:r w:rsidRPr="003328F5">
        <w:rPr>
          <w:lang w:val="es-ES"/>
        </w:rPr>
        <w:t xml:space="preserve">Pliego de Prescripciones Técnicas Particulares </w:t>
      </w:r>
    </w:p>
    <w:p w14:paraId="280A3E8F" w14:textId="77777777" w:rsidR="00D313CD" w:rsidRPr="00AC205C" w:rsidRDefault="00D313CD" w:rsidP="00A30D35">
      <w:pPr>
        <w:pStyle w:val="NORMAL12"/>
        <w:rPr>
          <w:lang w:val="es-ES"/>
        </w:rPr>
      </w:pPr>
    </w:p>
    <w:p w14:paraId="2C0EBAAF" w14:textId="77777777" w:rsidR="00760218" w:rsidRPr="00AC205C" w:rsidRDefault="00760218" w:rsidP="00760218">
      <w:pPr>
        <w:pStyle w:val="NORMAL12"/>
        <w:rPr>
          <w:lang w:val="es-ES"/>
        </w:rPr>
      </w:pPr>
    </w:p>
    <w:p w14:paraId="4C1C9108" w14:textId="77777777" w:rsidR="00F52D29" w:rsidRPr="00AC205C" w:rsidRDefault="00F52D29" w:rsidP="00AC205C">
      <w:pPr>
        <w:pStyle w:val="NORMAL12"/>
        <w:rPr>
          <w:lang w:val="es-ES"/>
        </w:rPr>
      </w:pPr>
      <w:bookmarkStart w:id="500" w:name="_Toc379796150"/>
      <w:bookmarkStart w:id="501" w:name="_Toc399509055"/>
      <w:bookmarkStart w:id="502" w:name="_Toc400741495"/>
      <w:bookmarkStart w:id="503" w:name="_Toc492537685"/>
    </w:p>
    <w:p w14:paraId="7EF4C85A" w14:textId="77777777" w:rsidR="00F52D29" w:rsidRPr="00AC205C" w:rsidRDefault="00F52D29" w:rsidP="00AC205C">
      <w:pPr>
        <w:pStyle w:val="NORMAL12"/>
        <w:rPr>
          <w:lang w:val="es-ES"/>
        </w:rPr>
      </w:pPr>
    </w:p>
    <w:p w14:paraId="0FB72CD8" w14:textId="77777777" w:rsidR="00F52D29" w:rsidRPr="00AC205C" w:rsidRDefault="00F52D29" w:rsidP="00AC205C">
      <w:pPr>
        <w:pStyle w:val="NORMAL12"/>
        <w:rPr>
          <w:lang w:val="es-ES"/>
        </w:rPr>
      </w:pPr>
    </w:p>
    <w:p w14:paraId="01400F99" w14:textId="77777777" w:rsidR="00F52D29" w:rsidRPr="00AC205C" w:rsidRDefault="00F52D29" w:rsidP="00AC205C">
      <w:pPr>
        <w:pStyle w:val="NORMAL12"/>
        <w:rPr>
          <w:lang w:val="es-ES"/>
        </w:rPr>
      </w:pPr>
    </w:p>
    <w:bookmarkEnd w:id="500"/>
    <w:bookmarkEnd w:id="501"/>
    <w:bookmarkEnd w:id="502"/>
    <w:bookmarkEnd w:id="503"/>
    <w:p w14:paraId="11A30BBE" w14:textId="77777777" w:rsidR="006A3F5E" w:rsidRPr="00AC205C" w:rsidRDefault="006A3F5E" w:rsidP="00E629BF">
      <w:pPr>
        <w:pStyle w:val="NORMAL12"/>
        <w:rPr>
          <w:lang w:val="es-ES"/>
        </w:rPr>
      </w:pPr>
    </w:p>
    <w:p w14:paraId="3706437A" w14:textId="77777777" w:rsidR="006A3F5E" w:rsidRPr="00AC205C" w:rsidRDefault="006A3F5E" w:rsidP="00E629BF">
      <w:pPr>
        <w:pStyle w:val="NORMAL12"/>
        <w:rPr>
          <w:lang w:val="es-ES"/>
        </w:rPr>
      </w:pPr>
    </w:p>
    <w:p w14:paraId="0657814B" w14:textId="77777777" w:rsidR="004078A9" w:rsidRPr="00B809D9" w:rsidRDefault="004078A9" w:rsidP="004078A9">
      <w:pPr>
        <w:pStyle w:val="TITU1"/>
        <w:rPr>
          <w:lang w:val="es-ES_tradnl"/>
        </w:rPr>
      </w:pPr>
      <w:bookmarkStart w:id="504" w:name="_Toc404266"/>
      <w:r w:rsidRPr="00B809D9">
        <w:rPr>
          <w:lang w:val="es-ES_tradnl"/>
        </w:rPr>
        <w:lastRenderedPageBreak/>
        <w:t>Artículo 422. Geotextil como elemento de separación y filtro</w:t>
      </w:r>
      <w:bookmarkEnd w:id="504"/>
    </w:p>
    <w:p w14:paraId="6607CD7F" w14:textId="77777777" w:rsidR="004078A9" w:rsidRPr="00B809D9" w:rsidRDefault="004078A9" w:rsidP="004078A9">
      <w:pPr>
        <w:pStyle w:val="NORMAL12"/>
        <w:rPr>
          <w:lang w:val="es-ES"/>
        </w:rPr>
      </w:pPr>
      <w:r w:rsidRPr="00B809D9">
        <w:rPr>
          <w:lang w:val="es-ES"/>
        </w:rPr>
        <w:t>Excepto para lo especificado en el presente Pliego de Prescripciones Técnicas particulares se seguirá lo prescrito en el vigente artículo 422 del PG-3.</w:t>
      </w:r>
    </w:p>
    <w:p w14:paraId="54636444" w14:textId="77777777" w:rsidR="004078A9" w:rsidRPr="00B809D9" w:rsidRDefault="004078A9" w:rsidP="000313DD">
      <w:pPr>
        <w:pStyle w:val="TITU2"/>
      </w:pPr>
      <w:bookmarkStart w:id="505" w:name="_Toc528692182"/>
      <w:bookmarkStart w:id="506" w:name="_Toc404267"/>
      <w:r w:rsidRPr="00B809D9">
        <w:t>422.1. Definición</w:t>
      </w:r>
      <w:bookmarkEnd w:id="505"/>
      <w:bookmarkEnd w:id="506"/>
    </w:p>
    <w:p w14:paraId="040A6A76" w14:textId="77777777" w:rsidR="00B809D9" w:rsidRPr="00B809D9" w:rsidRDefault="004078A9" w:rsidP="004078A9">
      <w:pPr>
        <w:pStyle w:val="NORMAL12"/>
        <w:rPr>
          <w:lang w:val="es-ES"/>
        </w:rPr>
      </w:pPr>
      <w:r w:rsidRPr="00B809D9">
        <w:rPr>
          <w:lang w:val="es-ES"/>
        </w:rPr>
        <w:t>Son objeto de este artículo las aplicaciones de geotextiles, materiales definidos en el artículo 290, “Geotextiles” del PG-3, utilizados en obras de carretera con la</w:t>
      </w:r>
      <w:r w:rsidR="00B809D9" w:rsidRPr="00B809D9">
        <w:rPr>
          <w:lang w:val="es-ES"/>
        </w:rPr>
        <w:t xml:space="preserve"> función siguiente:</w:t>
      </w:r>
    </w:p>
    <w:p w14:paraId="1EA2D79C" w14:textId="77777777" w:rsidR="004078A9" w:rsidRPr="00B809D9" w:rsidRDefault="004078A9" w:rsidP="00661A5F">
      <w:pPr>
        <w:pStyle w:val="NORMAL12"/>
        <w:numPr>
          <w:ilvl w:val="0"/>
          <w:numId w:val="220"/>
        </w:numPr>
        <w:rPr>
          <w:lang w:val="es-ES"/>
        </w:rPr>
      </w:pPr>
      <w:r w:rsidRPr="00B809D9">
        <w:rPr>
          <w:lang w:val="es-ES"/>
        </w:rPr>
        <w:t>Función de filtro en sistemas de drenaje.</w:t>
      </w:r>
    </w:p>
    <w:p w14:paraId="68362BA0" w14:textId="77777777" w:rsidR="004078A9" w:rsidRPr="00B809D9" w:rsidRDefault="004078A9" w:rsidP="004078A9">
      <w:pPr>
        <w:pStyle w:val="NORMAL12"/>
        <w:rPr>
          <w:lang w:val="es-ES"/>
        </w:rPr>
      </w:pPr>
      <w:r w:rsidRPr="00B809D9">
        <w:rPr>
          <w:lang w:val="es-ES"/>
        </w:rPr>
        <w:t>El geotextil utilizado en el proyecto para envolver el material filtrante de las zanjas del tubo dren es</w:t>
      </w:r>
      <w:r w:rsidR="00B809D9" w:rsidRPr="00B809D9">
        <w:rPr>
          <w:lang w:val="es-ES"/>
        </w:rPr>
        <w:t xml:space="preserve"> del tipo denominado "no tejido".</w:t>
      </w:r>
    </w:p>
    <w:p w14:paraId="01347C8F" w14:textId="77777777" w:rsidR="004078A9" w:rsidRDefault="004078A9" w:rsidP="000313DD">
      <w:pPr>
        <w:pStyle w:val="TITU2"/>
      </w:pPr>
      <w:bookmarkStart w:id="507" w:name="_Toc528692183"/>
      <w:bookmarkStart w:id="508" w:name="_Toc404268"/>
      <w:r w:rsidRPr="00B809D9">
        <w:t>422.2. Materiales</w:t>
      </w:r>
      <w:bookmarkEnd w:id="507"/>
      <w:bookmarkEnd w:id="508"/>
    </w:p>
    <w:p w14:paraId="559B2ED9" w14:textId="77777777" w:rsidR="00756707" w:rsidRDefault="00B809D9" w:rsidP="00B809D9">
      <w:pPr>
        <w:pStyle w:val="NORMAL12"/>
        <w:rPr>
          <w:lang w:val="es-ES"/>
        </w:rPr>
      </w:pPr>
      <w:proofErr w:type="gramStart"/>
      <w:r>
        <w:rPr>
          <w:lang w:val="es-ES"/>
        </w:rPr>
        <w:t>Los requisitos resistente mínimos a exigir</w:t>
      </w:r>
      <w:proofErr w:type="gramEnd"/>
      <w:r>
        <w:rPr>
          <w:lang w:val="es-ES"/>
        </w:rPr>
        <w:t xml:space="preserve"> al geotextil se</w:t>
      </w:r>
      <w:r w:rsidR="00756707">
        <w:rPr>
          <w:lang w:val="es-ES"/>
        </w:rPr>
        <w:t xml:space="preserve"> exponen a continuación:</w:t>
      </w:r>
    </w:p>
    <w:p w14:paraId="3D611DD0" w14:textId="77777777" w:rsidR="00B809D9" w:rsidRDefault="00756707" w:rsidP="00B809D9">
      <w:pPr>
        <w:pStyle w:val="NORMAL12"/>
        <w:rPr>
          <w:i/>
          <w:u w:val="single"/>
          <w:lang w:val="es-ES"/>
        </w:rPr>
      </w:pPr>
      <w:r w:rsidRPr="00756707">
        <w:rPr>
          <w:i/>
          <w:u w:val="single"/>
          <w:lang w:val="es-ES"/>
        </w:rPr>
        <w:t>Criterios mecánicos</w:t>
      </w:r>
      <w:r w:rsidR="00B809D9" w:rsidRPr="00756707">
        <w:rPr>
          <w:i/>
          <w:u w:val="single"/>
          <w:lang w:val="es-ES"/>
        </w:rPr>
        <w:t>:</w:t>
      </w:r>
    </w:p>
    <w:p w14:paraId="51C197D7" w14:textId="77777777" w:rsidR="00EC3E27" w:rsidRPr="00EC3E27" w:rsidRDefault="00EC3E27" w:rsidP="00B809D9">
      <w:pPr>
        <w:pStyle w:val="NORMAL12"/>
        <w:rPr>
          <w:lang w:val="es-ES"/>
        </w:rPr>
      </w:pPr>
      <w:r w:rsidRPr="00EC3E27">
        <w:rPr>
          <w:lang w:val="es-ES"/>
        </w:rPr>
        <w:t>Se distinguen los siguientes grupos</w:t>
      </w:r>
      <w:r w:rsidR="006455AE">
        <w:rPr>
          <w:lang w:val="es-ES"/>
        </w:rPr>
        <w:t>:</w:t>
      </w:r>
    </w:p>
    <w:tbl>
      <w:tblPr>
        <w:tblW w:w="6800" w:type="dxa"/>
        <w:jc w:val="center"/>
        <w:tblCellMar>
          <w:left w:w="70" w:type="dxa"/>
          <w:right w:w="70" w:type="dxa"/>
        </w:tblCellMar>
        <w:tblLook w:val="04A0" w:firstRow="1" w:lastRow="0" w:firstColumn="1" w:lastColumn="0" w:noHBand="0" w:noVBand="1"/>
      </w:tblPr>
      <w:tblGrid>
        <w:gridCol w:w="1200"/>
        <w:gridCol w:w="1720"/>
        <w:gridCol w:w="1920"/>
        <w:gridCol w:w="1960"/>
      </w:tblGrid>
      <w:tr w:rsidR="00EC3E27" w:rsidRPr="00EC3E27" w14:paraId="457D1C63" w14:textId="77777777" w:rsidTr="00EC3E27">
        <w:trPr>
          <w:trHeight w:val="60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AEB06CC" w14:textId="77777777" w:rsidR="00EC3E27" w:rsidRPr="00EC3E27" w:rsidRDefault="00EC3E27">
            <w:pPr>
              <w:jc w:val="center"/>
              <w:rPr>
                <w:rFonts w:ascii="Arial" w:hAnsi="Arial" w:cs="Arial"/>
                <w:b/>
                <w:bCs/>
                <w:color w:val="000000"/>
                <w:sz w:val="20"/>
                <w:szCs w:val="20"/>
              </w:rPr>
            </w:pPr>
            <w:r w:rsidRPr="00EC3E27">
              <w:rPr>
                <w:rFonts w:ascii="Arial" w:hAnsi="Arial" w:cs="Arial"/>
                <w:b/>
                <w:bCs/>
                <w:color w:val="000000"/>
                <w:sz w:val="20"/>
                <w:szCs w:val="20"/>
              </w:rPr>
              <w:t>Grupo</w:t>
            </w:r>
          </w:p>
        </w:tc>
        <w:tc>
          <w:tcPr>
            <w:tcW w:w="1720" w:type="dxa"/>
            <w:tcBorders>
              <w:top w:val="single" w:sz="4" w:space="0" w:color="auto"/>
              <w:left w:val="nil"/>
              <w:bottom w:val="single" w:sz="4" w:space="0" w:color="auto"/>
              <w:right w:val="single" w:sz="4" w:space="0" w:color="auto"/>
            </w:tcBorders>
            <w:shd w:val="clear" w:color="000000" w:fill="D9D9D9"/>
            <w:vAlign w:val="center"/>
            <w:hideMark/>
          </w:tcPr>
          <w:p w14:paraId="757084F7" w14:textId="77777777" w:rsidR="00EC3E27" w:rsidRPr="00EC3E27" w:rsidRDefault="00EC3E27">
            <w:pPr>
              <w:jc w:val="center"/>
              <w:rPr>
                <w:rFonts w:ascii="Arial" w:hAnsi="Arial" w:cs="Arial"/>
                <w:b/>
                <w:bCs/>
                <w:color w:val="000000"/>
                <w:sz w:val="20"/>
                <w:szCs w:val="20"/>
              </w:rPr>
            </w:pPr>
            <w:proofErr w:type="spellStart"/>
            <w:r w:rsidRPr="00EC3E27">
              <w:rPr>
                <w:rFonts w:ascii="Arial" w:hAnsi="Arial" w:cs="Arial"/>
                <w:b/>
                <w:bCs/>
                <w:color w:val="000000"/>
                <w:sz w:val="20"/>
                <w:szCs w:val="20"/>
              </w:rPr>
              <w:t>e</w:t>
            </w:r>
            <w:proofErr w:type="spellEnd"/>
            <w:r w:rsidRPr="00EC3E27">
              <w:rPr>
                <w:rFonts w:ascii="Arial" w:hAnsi="Arial" w:cs="Arial"/>
                <w:b/>
                <w:bCs/>
                <w:color w:val="000000"/>
                <w:sz w:val="20"/>
                <w:szCs w:val="20"/>
              </w:rPr>
              <w:t xml:space="preserve">(kN/m)                       </w:t>
            </w:r>
            <w:proofErr w:type="gramStart"/>
            <w:r w:rsidRPr="00EC3E27">
              <w:rPr>
                <w:rFonts w:ascii="Arial" w:hAnsi="Arial" w:cs="Arial"/>
                <w:b/>
                <w:bCs/>
                <w:color w:val="000000"/>
                <w:sz w:val="20"/>
                <w:szCs w:val="20"/>
              </w:rPr>
              <w:t xml:space="preserve">   (</w:t>
            </w:r>
            <w:proofErr w:type="gramEnd"/>
            <w:r w:rsidRPr="00EC3E27">
              <w:rPr>
                <w:rFonts w:ascii="Arial" w:hAnsi="Arial" w:cs="Arial"/>
                <w:b/>
                <w:bCs/>
                <w:color w:val="000000"/>
                <w:sz w:val="20"/>
                <w:szCs w:val="20"/>
              </w:rPr>
              <w:t>valor mínimo)</w:t>
            </w:r>
          </w:p>
        </w:tc>
        <w:tc>
          <w:tcPr>
            <w:tcW w:w="1920" w:type="dxa"/>
            <w:tcBorders>
              <w:top w:val="single" w:sz="4" w:space="0" w:color="auto"/>
              <w:left w:val="nil"/>
              <w:bottom w:val="single" w:sz="4" w:space="0" w:color="auto"/>
              <w:right w:val="single" w:sz="4" w:space="0" w:color="auto"/>
            </w:tcBorders>
            <w:shd w:val="clear" w:color="000000" w:fill="D9D9D9"/>
            <w:vAlign w:val="center"/>
            <w:hideMark/>
          </w:tcPr>
          <w:p w14:paraId="78A9F528" w14:textId="77777777" w:rsidR="00EC3E27" w:rsidRPr="00EC3E27" w:rsidRDefault="00EC3E27">
            <w:pPr>
              <w:jc w:val="center"/>
              <w:rPr>
                <w:rFonts w:ascii="Arial" w:hAnsi="Arial" w:cs="Arial"/>
                <w:b/>
                <w:bCs/>
                <w:color w:val="000000"/>
                <w:sz w:val="20"/>
                <w:szCs w:val="20"/>
              </w:rPr>
            </w:pPr>
            <w:proofErr w:type="spellStart"/>
            <w:r w:rsidRPr="00EC3E27">
              <w:rPr>
                <w:rFonts w:ascii="Arial" w:hAnsi="Arial" w:cs="Arial"/>
                <w:b/>
                <w:bCs/>
                <w:color w:val="000000"/>
                <w:sz w:val="20"/>
                <w:szCs w:val="20"/>
              </w:rPr>
              <w:t>Rt</w:t>
            </w:r>
            <w:proofErr w:type="spellEnd"/>
            <w:r w:rsidRPr="00EC3E27">
              <w:rPr>
                <w:rFonts w:ascii="Arial" w:hAnsi="Arial" w:cs="Arial"/>
                <w:b/>
                <w:bCs/>
                <w:color w:val="000000"/>
                <w:sz w:val="20"/>
                <w:szCs w:val="20"/>
              </w:rPr>
              <w:t xml:space="preserve"> (kN/m)                       </w:t>
            </w:r>
            <w:proofErr w:type="gramStart"/>
            <w:r w:rsidRPr="00EC3E27">
              <w:rPr>
                <w:rFonts w:ascii="Arial" w:hAnsi="Arial" w:cs="Arial"/>
                <w:b/>
                <w:bCs/>
                <w:color w:val="000000"/>
                <w:sz w:val="20"/>
                <w:szCs w:val="20"/>
              </w:rPr>
              <w:t xml:space="preserve">   (</w:t>
            </w:r>
            <w:proofErr w:type="gramEnd"/>
            <w:r w:rsidRPr="00EC3E27">
              <w:rPr>
                <w:rFonts w:ascii="Arial" w:hAnsi="Arial" w:cs="Arial"/>
                <w:b/>
                <w:bCs/>
                <w:color w:val="000000"/>
                <w:sz w:val="20"/>
                <w:szCs w:val="20"/>
              </w:rPr>
              <w:t>valor mínimo)</w:t>
            </w:r>
          </w:p>
        </w:tc>
        <w:tc>
          <w:tcPr>
            <w:tcW w:w="1960" w:type="dxa"/>
            <w:tcBorders>
              <w:top w:val="single" w:sz="4" w:space="0" w:color="auto"/>
              <w:left w:val="nil"/>
              <w:bottom w:val="single" w:sz="4" w:space="0" w:color="auto"/>
              <w:right w:val="single" w:sz="4" w:space="0" w:color="auto"/>
            </w:tcBorders>
            <w:shd w:val="clear" w:color="000000" w:fill="D9D9D9"/>
            <w:vAlign w:val="center"/>
            <w:hideMark/>
          </w:tcPr>
          <w:p w14:paraId="2B2F026F" w14:textId="77777777" w:rsidR="00EC3E27" w:rsidRPr="00EC3E27" w:rsidRDefault="00EC3E27">
            <w:pPr>
              <w:jc w:val="center"/>
              <w:rPr>
                <w:rFonts w:ascii="Arial" w:hAnsi="Arial" w:cs="Arial"/>
                <w:b/>
                <w:bCs/>
                <w:color w:val="000000"/>
                <w:sz w:val="20"/>
                <w:szCs w:val="20"/>
              </w:rPr>
            </w:pPr>
            <w:proofErr w:type="spellStart"/>
            <w:r w:rsidRPr="00EC3E27">
              <w:rPr>
                <w:rFonts w:ascii="Arial" w:hAnsi="Arial" w:cs="Arial"/>
                <w:b/>
                <w:bCs/>
                <w:color w:val="000000"/>
                <w:sz w:val="20"/>
                <w:szCs w:val="20"/>
              </w:rPr>
              <w:t>Rpd</w:t>
            </w:r>
            <w:proofErr w:type="spellEnd"/>
            <w:r w:rsidRPr="00EC3E27">
              <w:rPr>
                <w:rFonts w:ascii="Arial" w:hAnsi="Arial" w:cs="Arial"/>
                <w:b/>
                <w:bCs/>
                <w:color w:val="000000"/>
                <w:sz w:val="20"/>
                <w:szCs w:val="20"/>
              </w:rPr>
              <w:t xml:space="preserve"> (mm)                </w:t>
            </w:r>
            <w:proofErr w:type="gramStart"/>
            <w:r w:rsidRPr="00EC3E27">
              <w:rPr>
                <w:rFonts w:ascii="Arial" w:hAnsi="Arial" w:cs="Arial"/>
                <w:b/>
                <w:bCs/>
                <w:color w:val="000000"/>
                <w:sz w:val="20"/>
                <w:szCs w:val="20"/>
              </w:rPr>
              <w:t xml:space="preserve">   (</w:t>
            </w:r>
            <w:proofErr w:type="gramEnd"/>
            <w:r w:rsidRPr="00EC3E27">
              <w:rPr>
                <w:rFonts w:ascii="Arial" w:hAnsi="Arial" w:cs="Arial"/>
                <w:b/>
                <w:bCs/>
                <w:color w:val="000000"/>
                <w:sz w:val="20"/>
                <w:szCs w:val="20"/>
              </w:rPr>
              <w:t>valor mínimo)</w:t>
            </w:r>
          </w:p>
        </w:tc>
      </w:tr>
      <w:tr w:rsidR="00EC3E27" w:rsidRPr="00EC3E27" w14:paraId="457673F6" w14:textId="77777777" w:rsidTr="00EC3E27">
        <w:trPr>
          <w:trHeight w:val="300"/>
          <w:jc w:val="center"/>
        </w:trPr>
        <w:tc>
          <w:tcPr>
            <w:tcW w:w="1200" w:type="dxa"/>
            <w:tcBorders>
              <w:top w:val="nil"/>
              <w:left w:val="single" w:sz="4" w:space="0" w:color="auto"/>
              <w:bottom w:val="single" w:sz="4" w:space="0" w:color="auto"/>
              <w:right w:val="single" w:sz="4" w:space="0" w:color="auto"/>
            </w:tcBorders>
            <w:noWrap/>
            <w:vAlign w:val="center"/>
            <w:hideMark/>
          </w:tcPr>
          <w:p w14:paraId="6BB6E76A" w14:textId="77777777" w:rsidR="00EC3E27" w:rsidRPr="00EC3E27" w:rsidRDefault="00EC3E27">
            <w:pPr>
              <w:jc w:val="center"/>
              <w:rPr>
                <w:rFonts w:ascii="Arial" w:hAnsi="Arial" w:cs="Arial"/>
                <w:color w:val="000000"/>
                <w:sz w:val="20"/>
                <w:szCs w:val="20"/>
              </w:rPr>
            </w:pPr>
            <w:r w:rsidRPr="00EC3E27">
              <w:rPr>
                <w:rFonts w:ascii="Arial" w:hAnsi="Arial" w:cs="Arial"/>
                <w:color w:val="000000"/>
                <w:sz w:val="20"/>
                <w:szCs w:val="20"/>
              </w:rPr>
              <w:t>0</w:t>
            </w:r>
          </w:p>
        </w:tc>
        <w:tc>
          <w:tcPr>
            <w:tcW w:w="1720" w:type="dxa"/>
            <w:tcBorders>
              <w:top w:val="nil"/>
              <w:left w:val="nil"/>
              <w:bottom w:val="single" w:sz="4" w:space="0" w:color="auto"/>
              <w:right w:val="single" w:sz="4" w:space="0" w:color="auto"/>
            </w:tcBorders>
            <w:noWrap/>
            <w:vAlign w:val="center"/>
            <w:hideMark/>
          </w:tcPr>
          <w:p w14:paraId="62D8CB76" w14:textId="77777777" w:rsidR="00EC3E27" w:rsidRPr="00EC3E27" w:rsidRDefault="00EC3E27">
            <w:pPr>
              <w:jc w:val="center"/>
              <w:rPr>
                <w:rFonts w:ascii="Arial" w:hAnsi="Arial" w:cs="Arial"/>
                <w:color w:val="000000"/>
                <w:sz w:val="20"/>
                <w:szCs w:val="20"/>
              </w:rPr>
            </w:pPr>
            <w:r w:rsidRPr="00EC3E27">
              <w:rPr>
                <w:rFonts w:ascii="Arial" w:hAnsi="Arial" w:cs="Arial"/>
                <w:color w:val="000000"/>
                <w:sz w:val="20"/>
                <w:szCs w:val="20"/>
              </w:rPr>
              <w:t>2,7</w:t>
            </w:r>
          </w:p>
        </w:tc>
        <w:tc>
          <w:tcPr>
            <w:tcW w:w="1920" w:type="dxa"/>
            <w:tcBorders>
              <w:top w:val="nil"/>
              <w:left w:val="nil"/>
              <w:bottom w:val="single" w:sz="4" w:space="0" w:color="auto"/>
              <w:right w:val="single" w:sz="4" w:space="0" w:color="auto"/>
            </w:tcBorders>
            <w:noWrap/>
            <w:vAlign w:val="center"/>
            <w:hideMark/>
          </w:tcPr>
          <w:p w14:paraId="320254BF" w14:textId="77777777" w:rsidR="00EC3E27" w:rsidRPr="00EC3E27" w:rsidRDefault="00EC3E27">
            <w:pPr>
              <w:jc w:val="center"/>
              <w:rPr>
                <w:rFonts w:ascii="Arial" w:hAnsi="Arial" w:cs="Arial"/>
                <w:color w:val="000000"/>
                <w:sz w:val="20"/>
                <w:szCs w:val="20"/>
              </w:rPr>
            </w:pPr>
            <w:r w:rsidRPr="00EC3E27">
              <w:rPr>
                <w:rFonts w:ascii="Arial" w:hAnsi="Arial" w:cs="Arial"/>
                <w:color w:val="000000"/>
                <w:sz w:val="20"/>
                <w:szCs w:val="20"/>
              </w:rPr>
              <w:t>9</w:t>
            </w:r>
          </w:p>
        </w:tc>
        <w:tc>
          <w:tcPr>
            <w:tcW w:w="1960" w:type="dxa"/>
            <w:tcBorders>
              <w:top w:val="nil"/>
              <w:left w:val="nil"/>
              <w:bottom w:val="single" w:sz="4" w:space="0" w:color="auto"/>
              <w:right w:val="single" w:sz="4" w:space="0" w:color="auto"/>
            </w:tcBorders>
            <w:noWrap/>
            <w:vAlign w:val="center"/>
            <w:hideMark/>
          </w:tcPr>
          <w:p w14:paraId="1E79E5ED" w14:textId="77777777" w:rsidR="00EC3E27" w:rsidRPr="00EC3E27" w:rsidRDefault="00EC3E27">
            <w:pPr>
              <w:jc w:val="center"/>
              <w:rPr>
                <w:rFonts w:ascii="Arial" w:hAnsi="Arial" w:cs="Arial"/>
                <w:color w:val="000000"/>
                <w:sz w:val="20"/>
                <w:szCs w:val="20"/>
              </w:rPr>
            </w:pPr>
            <w:r w:rsidRPr="00EC3E27">
              <w:rPr>
                <w:rFonts w:ascii="Arial" w:hAnsi="Arial" w:cs="Arial"/>
                <w:color w:val="000000"/>
                <w:sz w:val="20"/>
                <w:szCs w:val="20"/>
              </w:rPr>
              <w:t>30</w:t>
            </w:r>
          </w:p>
        </w:tc>
      </w:tr>
      <w:tr w:rsidR="00EC3E27" w:rsidRPr="00EC3E27" w14:paraId="72AEDCC3" w14:textId="77777777" w:rsidTr="00EC3E27">
        <w:trPr>
          <w:trHeight w:val="300"/>
          <w:jc w:val="center"/>
        </w:trPr>
        <w:tc>
          <w:tcPr>
            <w:tcW w:w="1200" w:type="dxa"/>
            <w:tcBorders>
              <w:top w:val="nil"/>
              <w:left w:val="single" w:sz="4" w:space="0" w:color="auto"/>
              <w:bottom w:val="single" w:sz="4" w:space="0" w:color="auto"/>
              <w:right w:val="single" w:sz="4" w:space="0" w:color="auto"/>
            </w:tcBorders>
            <w:noWrap/>
            <w:vAlign w:val="center"/>
            <w:hideMark/>
          </w:tcPr>
          <w:p w14:paraId="6C4B8D6A" w14:textId="77777777" w:rsidR="00EC3E27" w:rsidRPr="00EC3E27" w:rsidRDefault="00EC3E27">
            <w:pPr>
              <w:jc w:val="center"/>
              <w:rPr>
                <w:rFonts w:ascii="Arial" w:hAnsi="Arial" w:cs="Arial"/>
                <w:color w:val="000000"/>
                <w:sz w:val="20"/>
                <w:szCs w:val="20"/>
              </w:rPr>
            </w:pPr>
            <w:r w:rsidRPr="00EC3E27">
              <w:rPr>
                <w:rFonts w:ascii="Arial" w:hAnsi="Arial" w:cs="Arial"/>
                <w:color w:val="000000"/>
                <w:sz w:val="20"/>
                <w:szCs w:val="20"/>
              </w:rPr>
              <w:t>1</w:t>
            </w:r>
          </w:p>
        </w:tc>
        <w:tc>
          <w:tcPr>
            <w:tcW w:w="1720" w:type="dxa"/>
            <w:tcBorders>
              <w:top w:val="nil"/>
              <w:left w:val="nil"/>
              <w:bottom w:val="single" w:sz="4" w:space="0" w:color="auto"/>
              <w:right w:val="single" w:sz="4" w:space="0" w:color="auto"/>
            </w:tcBorders>
            <w:noWrap/>
            <w:vAlign w:val="center"/>
            <w:hideMark/>
          </w:tcPr>
          <w:p w14:paraId="297D0EAD" w14:textId="77777777" w:rsidR="00EC3E27" w:rsidRPr="00EC3E27" w:rsidRDefault="00EC3E27">
            <w:pPr>
              <w:jc w:val="center"/>
              <w:rPr>
                <w:rFonts w:ascii="Arial" w:hAnsi="Arial" w:cs="Arial"/>
                <w:color w:val="000000"/>
                <w:sz w:val="20"/>
                <w:szCs w:val="20"/>
              </w:rPr>
            </w:pPr>
            <w:r w:rsidRPr="00EC3E27">
              <w:rPr>
                <w:rFonts w:ascii="Arial" w:hAnsi="Arial" w:cs="Arial"/>
                <w:color w:val="000000"/>
                <w:sz w:val="20"/>
                <w:szCs w:val="20"/>
              </w:rPr>
              <w:t>2,1</w:t>
            </w:r>
          </w:p>
        </w:tc>
        <w:tc>
          <w:tcPr>
            <w:tcW w:w="1920" w:type="dxa"/>
            <w:tcBorders>
              <w:top w:val="nil"/>
              <w:left w:val="nil"/>
              <w:bottom w:val="single" w:sz="4" w:space="0" w:color="auto"/>
              <w:right w:val="single" w:sz="4" w:space="0" w:color="auto"/>
            </w:tcBorders>
            <w:noWrap/>
            <w:vAlign w:val="center"/>
            <w:hideMark/>
          </w:tcPr>
          <w:p w14:paraId="3DA8BD5E" w14:textId="77777777" w:rsidR="00EC3E27" w:rsidRPr="00EC3E27" w:rsidRDefault="00EC3E27">
            <w:pPr>
              <w:jc w:val="center"/>
              <w:rPr>
                <w:rFonts w:ascii="Arial" w:hAnsi="Arial" w:cs="Arial"/>
                <w:color w:val="000000"/>
                <w:sz w:val="20"/>
                <w:szCs w:val="20"/>
              </w:rPr>
            </w:pPr>
            <w:r w:rsidRPr="00EC3E27">
              <w:rPr>
                <w:rFonts w:ascii="Arial" w:hAnsi="Arial" w:cs="Arial"/>
                <w:color w:val="000000"/>
                <w:sz w:val="20"/>
                <w:szCs w:val="20"/>
              </w:rPr>
              <w:t>7</w:t>
            </w:r>
          </w:p>
        </w:tc>
        <w:tc>
          <w:tcPr>
            <w:tcW w:w="1960" w:type="dxa"/>
            <w:tcBorders>
              <w:top w:val="nil"/>
              <w:left w:val="nil"/>
              <w:bottom w:val="single" w:sz="4" w:space="0" w:color="auto"/>
              <w:right w:val="single" w:sz="4" w:space="0" w:color="auto"/>
            </w:tcBorders>
            <w:noWrap/>
            <w:vAlign w:val="center"/>
            <w:hideMark/>
          </w:tcPr>
          <w:p w14:paraId="0D7593AC" w14:textId="77777777" w:rsidR="00EC3E27" w:rsidRPr="00EC3E27" w:rsidRDefault="00EC3E27">
            <w:pPr>
              <w:jc w:val="center"/>
              <w:rPr>
                <w:rFonts w:ascii="Arial" w:hAnsi="Arial" w:cs="Arial"/>
                <w:color w:val="000000"/>
                <w:sz w:val="20"/>
                <w:szCs w:val="20"/>
              </w:rPr>
            </w:pPr>
            <w:r w:rsidRPr="00EC3E27">
              <w:rPr>
                <w:rFonts w:ascii="Arial" w:hAnsi="Arial" w:cs="Arial"/>
                <w:color w:val="000000"/>
                <w:sz w:val="20"/>
                <w:szCs w:val="20"/>
              </w:rPr>
              <w:t>35</w:t>
            </w:r>
          </w:p>
        </w:tc>
      </w:tr>
      <w:tr w:rsidR="00EC3E27" w:rsidRPr="00EC3E27" w14:paraId="03E4DE78" w14:textId="77777777" w:rsidTr="00EC3E27">
        <w:trPr>
          <w:trHeight w:val="300"/>
          <w:jc w:val="center"/>
        </w:trPr>
        <w:tc>
          <w:tcPr>
            <w:tcW w:w="1200" w:type="dxa"/>
            <w:tcBorders>
              <w:top w:val="nil"/>
              <w:left w:val="single" w:sz="4" w:space="0" w:color="auto"/>
              <w:bottom w:val="single" w:sz="4" w:space="0" w:color="auto"/>
              <w:right w:val="single" w:sz="4" w:space="0" w:color="auto"/>
            </w:tcBorders>
            <w:noWrap/>
            <w:vAlign w:val="center"/>
            <w:hideMark/>
          </w:tcPr>
          <w:p w14:paraId="39581648" w14:textId="77777777" w:rsidR="00EC3E27" w:rsidRPr="00EC3E27" w:rsidRDefault="00EC3E27">
            <w:pPr>
              <w:jc w:val="center"/>
              <w:rPr>
                <w:rFonts w:ascii="Arial" w:hAnsi="Arial" w:cs="Arial"/>
                <w:color w:val="000000"/>
                <w:sz w:val="20"/>
                <w:szCs w:val="20"/>
              </w:rPr>
            </w:pPr>
            <w:r w:rsidRPr="00EC3E27">
              <w:rPr>
                <w:rFonts w:ascii="Arial" w:hAnsi="Arial" w:cs="Arial"/>
                <w:color w:val="000000"/>
                <w:sz w:val="20"/>
                <w:szCs w:val="20"/>
              </w:rPr>
              <w:t>2</w:t>
            </w:r>
          </w:p>
        </w:tc>
        <w:tc>
          <w:tcPr>
            <w:tcW w:w="1720" w:type="dxa"/>
            <w:tcBorders>
              <w:top w:val="nil"/>
              <w:left w:val="nil"/>
              <w:bottom w:val="single" w:sz="4" w:space="0" w:color="auto"/>
              <w:right w:val="single" w:sz="4" w:space="0" w:color="auto"/>
            </w:tcBorders>
            <w:noWrap/>
            <w:vAlign w:val="center"/>
            <w:hideMark/>
          </w:tcPr>
          <w:p w14:paraId="035BA24D" w14:textId="77777777" w:rsidR="00EC3E27" w:rsidRPr="00EC3E27" w:rsidRDefault="00EC3E27">
            <w:pPr>
              <w:jc w:val="center"/>
              <w:rPr>
                <w:rFonts w:ascii="Arial" w:hAnsi="Arial" w:cs="Arial"/>
                <w:color w:val="000000"/>
                <w:sz w:val="20"/>
                <w:szCs w:val="20"/>
              </w:rPr>
            </w:pPr>
            <w:r w:rsidRPr="00EC3E27">
              <w:rPr>
                <w:rFonts w:ascii="Arial" w:hAnsi="Arial" w:cs="Arial"/>
                <w:color w:val="000000"/>
                <w:sz w:val="20"/>
                <w:szCs w:val="20"/>
              </w:rPr>
              <w:t>1,5</w:t>
            </w:r>
          </w:p>
        </w:tc>
        <w:tc>
          <w:tcPr>
            <w:tcW w:w="1920" w:type="dxa"/>
            <w:tcBorders>
              <w:top w:val="nil"/>
              <w:left w:val="nil"/>
              <w:bottom w:val="single" w:sz="4" w:space="0" w:color="auto"/>
              <w:right w:val="single" w:sz="4" w:space="0" w:color="auto"/>
            </w:tcBorders>
            <w:noWrap/>
            <w:vAlign w:val="center"/>
            <w:hideMark/>
          </w:tcPr>
          <w:p w14:paraId="6D6E04CA" w14:textId="77777777" w:rsidR="00EC3E27" w:rsidRPr="00EC3E27" w:rsidRDefault="00EC3E27">
            <w:pPr>
              <w:jc w:val="center"/>
              <w:rPr>
                <w:rFonts w:ascii="Arial" w:hAnsi="Arial" w:cs="Arial"/>
                <w:color w:val="000000"/>
                <w:sz w:val="20"/>
                <w:szCs w:val="20"/>
              </w:rPr>
            </w:pPr>
            <w:r w:rsidRPr="00EC3E27">
              <w:rPr>
                <w:rFonts w:ascii="Arial" w:hAnsi="Arial" w:cs="Arial"/>
                <w:color w:val="000000"/>
                <w:sz w:val="20"/>
                <w:szCs w:val="20"/>
              </w:rPr>
              <w:t>5</w:t>
            </w:r>
          </w:p>
        </w:tc>
        <w:tc>
          <w:tcPr>
            <w:tcW w:w="1960" w:type="dxa"/>
            <w:tcBorders>
              <w:top w:val="nil"/>
              <w:left w:val="nil"/>
              <w:bottom w:val="single" w:sz="4" w:space="0" w:color="auto"/>
              <w:right w:val="single" w:sz="4" w:space="0" w:color="auto"/>
            </w:tcBorders>
            <w:noWrap/>
            <w:vAlign w:val="center"/>
            <w:hideMark/>
          </w:tcPr>
          <w:p w14:paraId="30BAA8A7" w14:textId="77777777" w:rsidR="00EC3E27" w:rsidRPr="00EC3E27" w:rsidRDefault="00EC3E27">
            <w:pPr>
              <w:jc w:val="center"/>
              <w:rPr>
                <w:rFonts w:ascii="Arial" w:hAnsi="Arial" w:cs="Arial"/>
                <w:color w:val="000000"/>
                <w:sz w:val="20"/>
                <w:szCs w:val="20"/>
              </w:rPr>
            </w:pPr>
            <w:r w:rsidRPr="00EC3E27">
              <w:rPr>
                <w:rFonts w:ascii="Arial" w:hAnsi="Arial" w:cs="Arial"/>
                <w:color w:val="000000"/>
                <w:sz w:val="20"/>
                <w:szCs w:val="20"/>
              </w:rPr>
              <w:t>40</w:t>
            </w:r>
          </w:p>
        </w:tc>
      </w:tr>
      <w:tr w:rsidR="00EC3E27" w:rsidRPr="00EC3E27" w14:paraId="262211C9" w14:textId="77777777" w:rsidTr="00EC3E27">
        <w:trPr>
          <w:trHeight w:val="300"/>
          <w:jc w:val="center"/>
        </w:trPr>
        <w:tc>
          <w:tcPr>
            <w:tcW w:w="1200" w:type="dxa"/>
            <w:tcBorders>
              <w:top w:val="nil"/>
              <w:left w:val="single" w:sz="4" w:space="0" w:color="auto"/>
              <w:bottom w:val="single" w:sz="4" w:space="0" w:color="auto"/>
              <w:right w:val="single" w:sz="4" w:space="0" w:color="auto"/>
            </w:tcBorders>
            <w:noWrap/>
            <w:vAlign w:val="center"/>
            <w:hideMark/>
          </w:tcPr>
          <w:p w14:paraId="7E376639" w14:textId="77777777" w:rsidR="00EC3E27" w:rsidRPr="00EC3E27" w:rsidRDefault="00EC3E27">
            <w:pPr>
              <w:jc w:val="center"/>
              <w:rPr>
                <w:rFonts w:ascii="Arial" w:hAnsi="Arial" w:cs="Arial"/>
                <w:color w:val="000000"/>
                <w:sz w:val="20"/>
                <w:szCs w:val="20"/>
              </w:rPr>
            </w:pPr>
            <w:r w:rsidRPr="00EC3E27">
              <w:rPr>
                <w:rFonts w:ascii="Arial" w:hAnsi="Arial" w:cs="Arial"/>
                <w:color w:val="000000"/>
                <w:sz w:val="20"/>
                <w:szCs w:val="20"/>
              </w:rPr>
              <w:t>3</w:t>
            </w:r>
          </w:p>
        </w:tc>
        <w:tc>
          <w:tcPr>
            <w:tcW w:w="1720" w:type="dxa"/>
            <w:tcBorders>
              <w:top w:val="nil"/>
              <w:left w:val="nil"/>
              <w:bottom w:val="single" w:sz="4" w:space="0" w:color="auto"/>
              <w:right w:val="single" w:sz="4" w:space="0" w:color="auto"/>
            </w:tcBorders>
            <w:noWrap/>
            <w:vAlign w:val="center"/>
            <w:hideMark/>
          </w:tcPr>
          <w:p w14:paraId="2E59A799" w14:textId="77777777" w:rsidR="00EC3E27" w:rsidRPr="00EC3E27" w:rsidRDefault="00EC3E27">
            <w:pPr>
              <w:jc w:val="center"/>
              <w:rPr>
                <w:rFonts w:ascii="Arial" w:hAnsi="Arial" w:cs="Arial"/>
                <w:color w:val="000000"/>
                <w:sz w:val="20"/>
                <w:szCs w:val="20"/>
              </w:rPr>
            </w:pPr>
            <w:r w:rsidRPr="00EC3E27">
              <w:rPr>
                <w:rFonts w:ascii="Arial" w:hAnsi="Arial" w:cs="Arial"/>
                <w:color w:val="000000"/>
                <w:sz w:val="20"/>
                <w:szCs w:val="20"/>
              </w:rPr>
              <w:t>1,2</w:t>
            </w:r>
          </w:p>
        </w:tc>
        <w:tc>
          <w:tcPr>
            <w:tcW w:w="1920" w:type="dxa"/>
            <w:tcBorders>
              <w:top w:val="nil"/>
              <w:left w:val="nil"/>
              <w:bottom w:val="single" w:sz="4" w:space="0" w:color="auto"/>
              <w:right w:val="single" w:sz="4" w:space="0" w:color="auto"/>
            </w:tcBorders>
            <w:noWrap/>
            <w:vAlign w:val="center"/>
            <w:hideMark/>
          </w:tcPr>
          <w:p w14:paraId="407F5B0B" w14:textId="77777777" w:rsidR="00EC3E27" w:rsidRPr="00EC3E27" w:rsidRDefault="00EC3E27">
            <w:pPr>
              <w:jc w:val="center"/>
              <w:rPr>
                <w:rFonts w:ascii="Arial" w:hAnsi="Arial" w:cs="Arial"/>
                <w:color w:val="000000"/>
                <w:sz w:val="20"/>
                <w:szCs w:val="20"/>
              </w:rPr>
            </w:pPr>
            <w:r w:rsidRPr="00EC3E27">
              <w:rPr>
                <w:rFonts w:ascii="Arial" w:hAnsi="Arial" w:cs="Arial"/>
                <w:color w:val="000000"/>
                <w:sz w:val="20"/>
                <w:szCs w:val="20"/>
              </w:rPr>
              <w:t>4</w:t>
            </w:r>
          </w:p>
        </w:tc>
        <w:tc>
          <w:tcPr>
            <w:tcW w:w="1960" w:type="dxa"/>
            <w:tcBorders>
              <w:top w:val="nil"/>
              <w:left w:val="nil"/>
              <w:bottom w:val="single" w:sz="4" w:space="0" w:color="auto"/>
              <w:right w:val="single" w:sz="4" w:space="0" w:color="auto"/>
            </w:tcBorders>
            <w:noWrap/>
            <w:vAlign w:val="center"/>
            <w:hideMark/>
          </w:tcPr>
          <w:p w14:paraId="70D49341" w14:textId="77777777" w:rsidR="00EC3E27" w:rsidRPr="00EC3E27" w:rsidRDefault="00EC3E27">
            <w:pPr>
              <w:jc w:val="center"/>
              <w:rPr>
                <w:rFonts w:ascii="Arial" w:hAnsi="Arial" w:cs="Arial"/>
                <w:color w:val="000000"/>
                <w:sz w:val="20"/>
                <w:szCs w:val="20"/>
              </w:rPr>
            </w:pPr>
            <w:r w:rsidRPr="00EC3E27">
              <w:rPr>
                <w:rFonts w:ascii="Arial" w:hAnsi="Arial" w:cs="Arial"/>
                <w:color w:val="000000"/>
                <w:sz w:val="20"/>
                <w:szCs w:val="20"/>
              </w:rPr>
              <w:t>45</w:t>
            </w:r>
          </w:p>
        </w:tc>
      </w:tr>
    </w:tbl>
    <w:p w14:paraId="04111886" w14:textId="77777777" w:rsidR="00F30AA8" w:rsidRPr="00F30AA8" w:rsidRDefault="00F30AA8" w:rsidP="00F30AA8">
      <w:pPr>
        <w:pStyle w:val="NORMAL12"/>
        <w:keepNext/>
        <w:rPr>
          <w:lang w:val="es-ES"/>
        </w:rPr>
      </w:pPr>
      <w:r w:rsidRPr="00F30AA8">
        <w:rPr>
          <w:lang w:val="es-ES"/>
        </w:rPr>
        <w:t>donde:</w:t>
      </w:r>
    </w:p>
    <w:p w14:paraId="1EE6919E" w14:textId="77777777" w:rsidR="00F30AA8" w:rsidRPr="00F30AA8" w:rsidRDefault="00F30AA8" w:rsidP="000313DD">
      <w:pPr>
        <w:pStyle w:val="NORMAL12"/>
        <w:numPr>
          <w:ilvl w:val="0"/>
          <w:numId w:val="223"/>
        </w:numPr>
        <w:rPr>
          <w:lang w:val="es-ES"/>
        </w:rPr>
      </w:pPr>
      <w:r w:rsidRPr="00F30AA8">
        <w:rPr>
          <w:lang w:val="es-ES"/>
        </w:rPr>
        <w:t>R</w:t>
      </w:r>
      <w:r w:rsidRPr="00F30AA8">
        <w:rPr>
          <w:vertAlign w:val="subscript"/>
          <w:lang w:val="es-ES"/>
        </w:rPr>
        <w:t>T</w:t>
      </w:r>
      <w:r w:rsidRPr="00F30AA8">
        <w:rPr>
          <w:lang w:val="es-ES"/>
        </w:rPr>
        <w:t xml:space="preserve"> = Resistencia a tracción (kN/m) según UNE-EN ISO 10319, medida en la dirección principal (de fabricación o perpendicular a ésta) en que la resistencia sea mínima. </w:t>
      </w:r>
    </w:p>
    <w:p w14:paraId="0E6D1213" w14:textId="77777777" w:rsidR="00F30AA8" w:rsidRPr="00F30AA8" w:rsidRDefault="00F30AA8" w:rsidP="000313DD">
      <w:pPr>
        <w:pStyle w:val="NORMAL12"/>
        <w:numPr>
          <w:ilvl w:val="0"/>
          <w:numId w:val="223"/>
        </w:numPr>
        <w:rPr>
          <w:lang w:val="es-ES"/>
        </w:rPr>
      </w:pPr>
      <w:proofErr w:type="spellStart"/>
      <w:r w:rsidRPr="00F30AA8">
        <w:rPr>
          <w:lang w:val="es-ES"/>
        </w:rPr>
        <w:t>Rpd</w:t>
      </w:r>
      <w:proofErr w:type="spellEnd"/>
      <w:r w:rsidRPr="00F30AA8">
        <w:rPr>
          <w:lang w:val="es-ES"/>
        </w:rPr>
        <w:t xml:space="preserve"> = Resistencia a perforación dinámica (mm) según UNE-EN 918.</w:t>
      </w:r>
    </w:p>
    <w:p w14:paraId="095B14CF" w14:textId="77777777" w:rsidR="00F30AA8" w:rsidRPr="00F30AA8" w:rsidRDefault="00F30AA8" w:rsidP="000313DD">
      <w:pPr>
        <w:pStyle w:val="NORMAL12"/>
        <w:numPr>
          <w:ilvl w:val="0"/>
          <w:numId w:val="223"/>
        </w:numPr>
        <w:rPr>
          <w:lang w:val="es-ES"/>
        </w:rPr>
      </w:pPr>
      <w:proofErr w:type="spellStart"/>
      <w:r w:rsidRPr="00F30AA8">
        <w:rPr>
          <w:lang w:val="es-ES"/>
        </w:rPr>
        <w:t>e</w:t>
      </w:r>
      <w:proofErr w:type="spellEnd"/>
      <w:r w:rsidRPr="00F30AA8">
        <w:rPr>
          <w:lang w:val="es-ES"/>
        </w:rPr>
        <w:t xml:space="preserve"> = R</w:t>
      </w:r>
      <w:r w:rsidRPr="00F30AA8">
        <w:rPr>
          <w:vertAlign w:val="subscript"/>
          <w:lang w:val="es-ES"/>
        </w:rPr>
        <w:t>T</w:t>
      </w:r>
      <w:r w:rsidRPr="00F30AA8">
        <w:rPr>
          <w:lang w:val="es-ES"/>
        </w:rPr>
        <w:t xml:space="preserve"> A </w:t>
      </w:r>
      <w:proofErr w:type="spellStart"/>
      <w:r w:rsidRPr="00F30AA8">
        <w:rPr>
          <w:lang w:val="es-ES"/>
        </w:rPr>
        <w:t>εr</w:t>
      </w:r>
      <w:proofErr w:type="spellEnd"/>
      <w:r w:rsidRPr="00F30AA8">
        <w:rPr>
          <w:lang w:val="es-ES"/>
        </w:rPr>
        <w:t xml:space="preserve"> anteriormente definido.</w:t>
      </w:r>
    </w:p>
    <w:p w14:paraId="0639FBA1" w14:textId="77777777" w:rsidR="006455AE" w:rsidRDefault="006455AE" w:rsidP="00F30AA8">
      <w:pPr>
        <w:pStyle w:val="NORMAL12"/>
        <w:rPr>
          <w:lang w:val="es-ES"/>
        </w:rPr>
      </w:pPr>
    </w:p>
    <w:p w14:paraId="79770C54" w14:textId="77777777" w:rsidR="006455AE" w:rsidRDefault="006455AE" w:rsidP="00F30AA8">
      <w:pPr>
        <w:pStyle w:val="NORMAL12"/>
        <w:rPr>
          <w:lang w:val="es-ES"/>
        </w:rPr>
      </w:pPr>
    </w:p>
    <w:p w14:paraId="6720DF3C" w14:textId="77777777" w:rsidR="00F30AA8" w:rsidRPr="00F30AA8" w:rsidRDefault="00F30AA8" w:rsidP="00F30AA8">
      <w:pPr>
        <w:pStyle w:val="NORMAL12"/>
        <w:rPr>
          <w:lang w:val="es-ES"/>
        </w:rPr>
      </w:pPr>
      <w:r w:rsidRPr="00F30AA8">
        <w:rPr>
          <w:lang w:val="es-ES"/>
        </w:rPr>
        <w:t>En función del tipo de tráfico de la carretera y del tipo de apoyo del geotextil se determina el grupo de requisitos resistentes mínimos a exigir al geotextil, de la siguiente forma:</w:t>
      </w:r>
    </w:p>
    <w:p w14:paraId="7320F036" w14:textId="77777777" w:rsidR="00F30AA8" w:rsidRPr="00F30AA8" w:rsidRDefault="00F30AA8" w:rsidP="000313DD">
      <w:pPr>
        <w:pStyle w:val="NORMAL12"/>
        <w:numPr>
          <w:ilvl w:val="0"/>
          <w:numId w:val="221"/>
        </w:numPr>
        <w:rPr>
          <w:lang w:val="es-ES"/>
        </w:rPr>
      </w:pPr>
      <w:r w:rsidRPr="00F30AA8">
        <w:rPr>
          <w:lang w:val="es-ES"/>
        </w:rPr>
        <w:t xml:space="preserve">Se podrá utilizar el grupo de requisitos </w:t>
      </w:r>
      <w:r>
        <w:rPr>
          <w:lang w:val="es-ES"/>
        </w:rPr>
        <w:t>3</w:t>
      </w:r>
      <w:r w:rsidRPr="00F30AA8">
        <w:rPr>
          <w:lang w:val="es-ES"/>
        </w:rPr>
        <w:t xml:space="preserve"> cuando </w:t>
      </w:r>
      <w:r>
        <w:rPr>
          <w:lang w:val="es-ES"/>
        </w:rPr>
        <w:t xml:space="preserve">se cumplan </w:t>
      </w:r>
      <w:r w:rsidR="00217216">
        <w:rPr>
          <w:lang w:val="es-ES"/>
        </w:rPr>
        <w:t>simultáneamente</w:t>
      </w:r>
      <w:r>
        <w:rPr>
          <w:lang w:val="es-ES"/>
        </w:rPr>
        <w:t xml:space="preserve"> los siguientes condicionantes:</w:t>
      </w:r>
    </w:p>
    <w:p w14:paraId="51AC4BA4" w14:textId="77777777" w:rsidR="00F30AA8" w:rsidRDefault="00F30AA8" w:rsidP="000313DD">
      <w:pPr>
        <w:pStyle w:val="NORMAL12"/>
        <w:numPr>
          <w:ilvl w:val="1"/>
          <w:numId w:val="221"/>
        </w:numPr>
        <w:rPr>
          <w:lang w:val="es-ES"/>
        </w:rPr>
      </w:pPr>
      <w:r w:rsidRPr="00F30AA8">
        <w:rPr>
          <w:lang w:val="es-ES"/>
        </w:rPr>
        <w:t>El tráfico de la vía es de categoría T</w:t>
      </w:r>
      <w:r>
        <w:rPr>
          <w:lang w:val="es-ES"/>
        </w:rPr>
        <w:t>3</w:t>
      </w:r>
      <w:r w:rsidRPr="00F30AA8">
        <w:rPr>
          <w:lang w:val="es-ES"/>
        </w:rPr>
        <w:t xml:space="preserve"> o inferior.</w:t>
      </w:r>
    </w:p>
    <w:p w14:paraId="59DEAE84" w14:textId="77777777" w:rsidR="00F30AA8" w:rsidRDefault="00F30AA8" w:rsidP="000313DD">
      <w:pPr>
        <w:pStyle w:val="NORMAL12"/>
        <w:numPr>
          <w:ilvl w:val="1"/>
          <w:numId w:val="221"/>
        </w:numPr>
        <w:rPr>
          <w:lang w:val="es-ES"/>
        </w:rPr>
      </w:pPr>
      <w:r>
        <w:rPr>
          <w:lang w:val="es-ES"/>
        </w:rPr>
        <w:t xml:space="preserve">La </w:t>
      </w:r>
      <w:r w:rsidR="00217216">
        <w:rPr>
          <w:lang w:val="es-ES"/>
        </w:rPr>
        <w:t>superficie</w:t>
      </w:r>
      <w:r>
        <w:rPr>
          <w:lang w:val="es-ES"/>
        </w:rPr>
        <w:t xml:space="preserve"> de apoyo tiene una inclinación inferior al cinco por ciento (5%) o superior a ochenta y cinco grados sexagesimales (85º) (geotextil como filtro en zanjas).</w:t>
      </w:r>
    </w:p>
    <w:p w14:paraId="4ED9D2EC" w14:textId="77777777" w:rsidR="00F30AA8" w:rsidRDefault="00F30AA8" w:rsidP="000313DD">
      <w:pPr>
        <w:pStyle w:val="NORMAL12"/>
        <w:numPr>
          <w:ilvl w:val="1"/>
          <w:numId w:val="221"/>
        </w:numPr>
        <w:rPr>
          <w:lang w:val="es-ES"/>
        </w:rPr>
      </w:pPr>
      <w:r w:rsidRPr="00F30AA8">
        <w:rPr>
          <w:lang w:val="es-ES"/>
        </w:rPr>
        <w:t xml:space="preserve">El terreno sobre el que se apoya el geotextil tiene un módulo en el segundo ciclo del ensayo de placa de carga según NLT 357 superior a </w:t>
      </w:r>
      <w:r w:rsidR="00244C79">
        <w:rPr>
          <w:lang w:val="es-ES"/>
        </w:rPr>
        <w:t>cincuenta</w:t>
      </w:r>
      <w:r>
        <w:rPr>
          <w:lang w:val="es-ES"/>
        </w:rPr>
        <w:t xml:space="preserve"> </w:t>
      </w:r>
      <w:proofErr w:type="spellStart"/>
      <w:r>
        <w:rPr>
          <w:lang w:val="es-ES"/>
        </w:rPr>
        <w:t>m</w:t>
      </w:r>
      <w:r w:rsidRPr="00F30AA8">
        <w:rPr>
          <w:lang w:val="es-ES"/>
        </w:rPr>
        <w:t>egapascales</w:t>
      </w:r>
      <w:proofErr w:type="spellEnd"/>
      <w:r w:rsidRPr="00F30AA8">
        <w:rPr>
          <w:lang w:val="es-ES"/>
        </w:rPr>
        <w:t xml:space="preserve"> (Ev</w:t>
      </w:r>
      <w:r w:rsidRPr="00F30AA8">
        <w:rPr>
          <w:vertAlign w:val="subscript"/>
          <w:lang w:val="es-ES"/>
        </w:rPr>
        <w:t>2</w:t>
      </w:r>
      <w:r w:rsidRPr="00F30AA8">
        <w:rPr>
          <w:lang w:val="es-ES"/>
        </w:rPr>
        <w:t xml:space="preserve"> &gt; </w:t>
      </w:r>
      <w:r w:rsidR="00244C79">
        <w:rPr>
          <w:lang w:val="es-ES"/>
        </w:rPr>
        <w:t>5</w:t>
      </w:r>
      <w:r>
        <w:rPr>
          <w:lang w:val="es-ES"/>
        </w:rPr>
        <w:t>0</w:t>
      </w:r>
      <w:r w:rsidRPr="00F30AA8">
        <w:rPr>
          <w:lang w:val="es-ES"/>
        </w:rPr>
        <w:t xml:space="preserve"> MPa), en condiciones de humedad y densidad representativas de su estado final en la obra</w:t>
      </w:r>
    </w:p>
    <w:p w14:paraId="157D80D4" w14:textId="77777777" w:rsidR="00244C79" w:rsidRPr="00F30AA8" w:rsidRDefault="00244C79" w:rsidP="000313DD">
      <w:pPr>
        <w:pStyle w:val="NORMAL12"/>
        <w:numPr>
          <w:ilvl w:val="0"/>
          <w:numId w:val="221"/>
        </w:numPr>
        <w:rPr>
          <w:lang w:val="es-ES"/>
        </w:rPr>
      </w:pPr>
      <w:r w:rsidRPr="00F30AA8">
        <w:rPr>
          <w:lang w:val="es-ES"/>
        </w:rPr>
        <w:t xml:space="preserve">Se podrá utilizar el grupo de requisitos </w:t>
      </w:r>
      <w:r>
        <w:rPr>
          <w:lang w:val="es-ES"/>
        </w:rPr>
        <w:t>2</w:t>
      </w:r>
      <w:r w:rsidRPr="00F30AA8">
        <w:rPr>
          <w:lang w:val="es-ES"/>
        </w:rPr>
        <w:t xml:space="preserve"> cuando no siendo de aplicación el grupo de requisitos </w:t>
      </w:r>
      <w:r>
        <w:rPr>
          <w:lang w:val="es-ES"/>
        </w:rPr>
        <w:t>3</w:t>
      </w:r>
      <w:r w:rsidRPr="00F30AA8">
        <w:rPr>
          <w:lang w:val="es-ES"/>
        </w:rPr>
        <w:t xml:space="preserve"> se cumplan simultáneamente las siguientes condiciones:</w:t>
      </w:r>
    </w:p>
    <w:p w14:paraId="0AC3F75F" w14:textId="77777777" w:rsidR="00244C79" w:rsidRDefault="00244C79" w:rsidP="000313DD">
      <w:pPr>
        <w:pStyle w:val="NORMAL12"/>
        <w:numPr>
          <w:ilvl w:val="1"/>
          <w:numId w:val="221"/>
        </w:numPr>
        <w:rPr>
          <w:lang w:val="es-ES"/>
        </w:rPr>
      </w:pPr>
      <w:r w:rsidRPr="00F30AA8">
        <w:rPr>
          <w:lang w:val="es-ES"/>
        </w:rPr>
        <w:t>El tráfico de la vía es de categoría T</w:t>
      </w:r>
      <w:r>
        <w:rPr>
          <w:lang w:val="es-ES"/>
        </w:rPr>
        <w:t>2</w:t>
      </w:r>
      <w:r w:rsidRPr="00F30AA8">
        <w:rPr>
          <w:lang w:val="es-ES"/>
        </w:rPr>
        <w:t xml:space="preserve"> o inferior.</w:t>
      </w:r>
    </w:p>
    <w:p w14:paraId="1AF5AD63" w14:textId="77777777" w:rsidR="00244C79" w:rsidRDefault="00244C79" w:rsidP="000313DD">
      <w:pPr>
        <w:pStyle w:val="NORMAL12"/>
        <w:numPr>
          <w:ilvl w:val="1"/>
          <w:numId w:val="221"/>
        </w:numPr>
        <w:rPr>
          <w:lang w:val="es-ES"/>
        </w:rPr>
      </w:pPr>
      <w:r>
        <w:rPr>
          <w:lang w:val="es-ES"/>
        </w:rPr>
        <w:t xml:space="preserve">La </w:t>
      </w:r>
      <w:r w:rsidR="00217216">
        <w:rPr>
          <w:lang w:val="es-ES"/>
        </w:rPr>
        <w:t>superficie</w:t>
      </w:r>
      <w:r>
        <w:rPr>
          <w:lang w:val="es-ES"/>
        </w:rPr>
        <w:t xml:space="preserve"> de apoyo tiene una inclinación inferior al diez por ciento (10%) o superior a setenta y cinco grados sexagesimales (75º) (geotextil como filtro en zanjas).</w:t>
      </w:r>
    </w:p>
    <w:p w14:paraId="5E097971" w14:textId="77777777" w:rsidR="00244C79" w:rsidRDefault="00244C79" w:rsidP="000313DD">
      <w:pPr>
        <w:pStyle w:val="NORMAL12"/>
        <w:numPr>
          <w:ilvl w:val="1"/>
          <w:numId w:val="221"/>
        </w:numPr>
        <w:rPr>
          <w:lang w:val="es-ES"/>
        </w:rPr>
      </w:pPr>
      <w:r w:rsidRPr="00F30AA8">
        <w:rPr>
          <w:lang w:val="es-ES"/>
        </w:rPr>
        <w:t xml:space="preserve">El terreno sobre el que se apoya el geotextil tiene un módulo en el segundo ciclo del ensayo de placa de carga según NLT 357 superior a </w:t>
      </w:r>
      <w:r>
        <w:rPr>
          <w:lang w:val="es-ES"/>
        </w:rPr>
        <w:t xml:space="preserve">treinta </w:t>
      </w:r>
      <w:proofErr w:type="spellStart"/>
      <w:r>
        <w:rPr>
          <w:lang w:val="es-ES"/>
        </w:rPr>
        <w:t>m</w:t>
      </w:r>
      <w:r w:rsidRPr="00F30AA8">
        <w:rPr>
          <w:lang w:val="es-ES"/>
        </w:rPr>
        <w:t>egapascales</w:t>
      </w:r>
      <w:proofErr w:type="spellEnd"/>
      <w:r w:rsidRPr="00F30AA8">
        <w:rPr>
          <w:lang w:val="es-ES"/>
        </w:rPr>
        <w:t xml:space="preserve"> (Ev</w:t>
      </w:r>
      <w:r w:rsidRPr="00F30AA8">
        <w:rPr>
          <w:vertAlign w:val="subscript"/>
          <w:lang w:val="es-ES"/>
        </w:rPr>
        <w:t>2</w:t>
      </w:r>
      <w:r w:rsidRPr="00F30AA8">
        <w:rPr>
          <w:lang w:val="es-ES"/>
        </w:rPr>
        <w:t xml:space="preserve"> &gt; </w:t>
      </w:r>
      <w:r>
        <w:rPr>
          <w:lang w:val="es-ES"/>
        </w:rPr>
        <w:t>30</w:t>
      </w:r>
      <w:r w:rsidRPr="00F30AA8">
        <w:rPr>
          <w:lang w:val="es-ES"/>
        </w:rPr>
        <w:t xml:space="preserve"> MPa), en condiciones de humedad y densidad representativas de su estado final en la obra</w:t>
      </w:r>
    </w:p>
    <w:p w14:paraId="2C84D305" w14:textId="77777777" w:rsidR="00F30AA8" w:rsidRPr="00F30AA8" w:rsidRDefault="00F30AA8" w:rsidP="000313DD">
      <w:pPr>
        <w:pStyle w:val="NORMAL12"/>
        <w:numPr>
          <w:ilvl w:val="0"/>
          <w:numId w:val="221"/>
        </w:numPr>
        <w:rPr>
          <w:lang w:val="es-ES"/>
        </w:rPr>
      </w:pPr>
      <w:r w:rsidRPr="00F30AA8">
        <w:rPr>
          <w:lang w:val="es-ES"/>
        </w:rPr>
        <w:t>Se podrá utilizar el grupo de requisitos 1 cuando no siendo de aplicación el grupo de requisitos 2 se cumplan simultáneamente las siguientes condiciones:</w:t>
      </w:r>
    </w:p>
    <w:p w14:paraId="7EA04107" w14:textId="77777777" w:rsidR="00F30AA8" w:rsidRPr="00F30AA8" w:rsidRDefault="00F30AA8" w:rsidP="000313DD">
      <w:pPr>
        <w:pStyle w:val="NORMAL12"/>
        <w:numPr>
          <w:ilvl w:val="1"/>
          <w:numId w:val="221"/>
        </w:numPr>
        <w:rPr>
          <w:lang w:val="es-ES"/>
        </w:rPr>
      </w:pPr>
      <w:r w:rsidRPr="00F30AA8">
        <w:rPr>
          <w:lang w:val="es-ES"/>
        </w:rPr>
        <w:t>El tráfico de la vía es de categoría T1 o inferior.</w:t>
      </w:r>
    </w:p>
    <w:p w14:paraId="64EB9E0E" w14:textId="77777777" w:rsidR="00F30AA8" w:rsidRDefault="00F30AA8" w:rsidP="000313DD">
      <w:pPr>
        <w:pStyle w:val="NORMAL12"/>
        <w:numPr>
          <w:ilvl w:val="1"/>
          <w:numId w:val="221"/>
        </w:numPr>
        <w:rPr>
          <w:lang w:val="es-ES"/>
        </w:rPr>
      </w:pPr>
      <w:r w:rsidRPr="00F30AA8">
        <w:rPr>
          <w:lang w:val="es-ES"/>
        </w:rPr>
        <w:t xml:space="preserve">El terreno sobre el que se apoya el geotextil tiene un módulo en el segundo ciclo del ensayo de placa de carga según NLT 357 superior a quince </w:t>
      </w:r>
      <w:proofErr w:type="spellStart"/>
      <w:r w:rsidRPr="00F30AA8">
        <w:rPr>
          <w:lang w:val="es-ES"/>
        </w:rPr>
        <w:t>megapascales</w:t>
      </w:r>
      <w:proofErr w:type="spellEnd"/>
      <w:r w:rsidRPr="00F30AA8">
        <w:rPr>
          <w:lang w:val="es-ES"/>
        </w:rPr>
        <w:t xml:space="preserve"> (Ev</w:t>
      </w:r>
      <w:r w:rsidRPr="00F30AA8">
        <w:rPr>
          <w:vertAlign w:val="subscript"/>
          <w:lang w:val="es-ES"/>
        </w:rPr>
        <w:t>2</w:t>
      </w:r>
      <w:r w:rsidRPr="00F30AA8">
        <w:rPr>
          <w:lang w:val="es-ES"/>
        </w:rPr>
        <w:t xml:space="preserve"> &gt; 15 MPa), en condiciones de humedad y densidad representativas de su estado final en la obra.</w:t>
      </w:r>
    </w:p>
    <w:p w14:paraId="3E1B6A4F" w14:textId="77777777" w:rsidR="00244C79" w:rsidRDefault="00244C79" w:rsidP="00244C79">
      <w:pPr>
        <w:pStyle w:val="NORMAL12"/>
        <w:rPr>
          <w:lang w:val="es-ES"/>
        </w:rPr>
      </w:pPr>
    </w:p>
    <w:p w14:paraId="3CCA2FC4" w14:textId="77777777" w:rsidR="00244C79" w:rsidRPr="00756707" w:rsidRDefault="00244C79" w:rsidP="00244C79">
      <w:pPr>
        <w:pStyle w:val="NORMAL12"/>
        <w:rPr>
          <w:lang w:val="es-ES"/>
        </w:rPr>
      </w:pPr>
      <w:r w:rsidRPr="00756707">
        <w:rPr>
          <w:lang w:val="es-ES"/>
        </w:rPr>
        <w:lastRenderedPageBreak/>
        <w:t xml:space="preserve">En cuanto a la </w:t>
      </w:r>
      <w:r w:rsidR="00217216" w:rsidRPr="00756707">
        <w:rPr>
          <w:lang w:val="es-ES"/>
        </w:rPr>
        <w:t>resistencia</w:t>
      </w:r>
      <w:r w:rsidRPr="00756707">
        <w:rPr>
          <w:lang w:val="es-ES"/>
        </w:rPr>
        <w:t xml:space="preserve"> debe cumplir:</w:t>
      </w:r>
    </w:p>
    <w:p w14:paraId="33974E97" w14:textId="77777777" w:rsidR="00244C79" w:rsidRPr="00756707" w:rsidRDefault="00244C79" w:rsidP="000313DD">
      <w:pPr>
        <w:pStyle w:val="NORMAL12"/>
        <w:numPr>
          <w:ilvl w:val="0"/>
          <w:numId w:val="221"/>
        </w:numPr>
        <w:rPr>
          <w:lang w:val="es-ES"/>
        </w:rPr>
      </w:pPr>
      <w:r w:rsidRPr="00756707">
        <w:rPr>
          <w:lang w:val="es-ES"/>
        </w:rPr>
        <w:t xml:space="preserve">La </w:t>
      </w:r>
      <w:r w:rsidR="00217216" w:rsidRPr="00756707">
        <w:rPr>
          <w:lang w:val="es-ES"/>
        </w:rPr>
        <w:t>resistencia</w:t>
      </w:r>
      <w:r w:rsidRPr="00756707">
        <w:rPr>
          <w:lang w:val="es-ES"/>
        </w:rPr>
        <w:t xml:space="preserve"> a la rotura en la dirección en la que esta sea máxima no será </w:t>
      </w:r>
      <w:r w:rsidR="00217216" w:rsidRPr="00756707">
        <w:rPr>
          <w:lang w:val="es-ES"/>
        </w:rPr>
        <w:t>más</w:t>
      </w:r>
      <w:r w:rsidRPr="00756707">
        <w:rPr>
          <w:lang w:val="es-ES"/>
        </w:rPr>
        <w:t xml:space="preserve"> de una vez y media la resistencia a la rotura en la dirección perpendicular a la misma.</w:t>
      </w:r>
    </w:p>
    <w:p w14:paraId="4EAECF45" w14:textId="77777777" w:rsidR="00244C79" w:rsidRDefault="00244C79" w:rsidP="000313DD">
      <w:pPr>
        <w:pStyle w:val="NORMAL12"/>
        <w:numPr>
          <w:ilvl w:val="0"/>
          <w:numId w:val="221"/>
        </w:numPr>
        <w:rPr>
          <w:lang w:val="es-ES"/>
        </w:rPr>
      </w:pPr>
      <w:r w:rsidRPr="00756707">
        <w:rPr>
          <w:lang w:val="es-ES"/>
        </w:rPr>
        <w:t>La tensión a la que se produce una deformación del veinte por ciento (20%) del alargamiento en rotura sea inferior al ochenta por ciento (80%) de la tensión de rotura.</w:t>
      </w:r>
    </w:p>
    <w:p w14:paraId="235270CC" w14:textId="77777777" w:rsidR="00756707" w:rsidRPr="00756707" w:rsidRDefault="00756707" w:rsidP="004078A9">
      <w:pPr>
        <w:pStyle w:val="NORMAL12"/>
        <w:rPr>
          <w:i/>
          <w:highlight w:val="cyan"/>
          <w:u w:val="single"/>
          <w:lang w:val="es-ES"/>
        </w:rPr>
      </w:pPr>
      <w:r w:rsidRPr="00756707">
        <w:rPr>
          <w:i/>
          <w:u w:val="single"/>
          <w:lang w:val="es-ES"/>
        </w:rPr>
        <w:t>Criterios de retención:</w:t>
      </w:r>
    </w:p>
    <w:p w14:paraId="2CBDF6B6" w14:textId="77777777" w:rsidR="00756707" w:rsidRPr="00756707" w:rsidRDefault="00756707" w:rsidP="00756707">
      <w:pPr>
        <w:pStyle w:val="NORMAL12"/>
        <w:rPr>
          <w:lang w:val="es-ES"/>
        </w:rPr>
      </w:pPr>
      <w:r w:rsidRPr="00756707">
        <w:rPr>
          <w:lang w:val="es-ES"/>
        </w:rPr>
        <w:t>La apertura eficaz de poros (O</w:t>
      </w:r>
      <w:proofErr w:type="gramStart"/>
      <w:r w:rsidRPr="00756707">
        <w:rPr>
          <w:lang w:val="es-ES"/>
        </w:rPr>
        <w:t>90,W</w:t>
      </w:r>
      <w:proofErr w:type="gramEnd"/>
      <w:r w:rsidRPr="00756707">
        <w:rPr>
          <w:lang w:val="es-ES"/>
        </w:rPr>
        <w:t>) del geotextil según UNE-EN ISO 12956 deberá cumplir las siguientes condiciones:</w:t>
      </w:r>
    </w:p>
    <w:p w14:paraId="0EAE6B3A" w14:textId="77777777" w:rsidR="00756707" w:rsidRPr="00756707" w:rsidRDefault="00756707" w:rsidP="00756707">
      <w:pPr>
        <w:spacing w:before="8" w:line="100" w:lineRule="exact"/>
      </w:pPr>
    </w:p>
    <w:p w14:paraId="54545202" w14:textId="77777777" w:rsidR="00756707" w:rsidRPr="00756707" w:rsidRDefault="00756707" w:rsidP="00756707">
      <w:pPr>
        <w:pStyle w:val="NORMAL12"/>
        <w:jc w:val="center"/>
        <w:rPr>
          <w:lang w:val="es-ES"/>
        </w:rPr>
      </w:pPr>
      <w:r w:rsidRPr="00756707">
        <w:rPr>
          <w:lang w:val="es-ES"/>
        </w:rPr>
        <w:t>O</w:t>
      </w:r>
      <w:proofErr w:type="gramStart"/>
      <w:r w:rsidRPr="00756707">
        <w:rPr>
          <w:vertAlign w:val="subscript"/>
          <w:lang w:val="es-ES"/>
        </w:rPr>
        <w:t>90,W</w:t>
      </w:r>
      <w:proofErr w:type="gramEnd"/>
      <w:r w:rsidRPr="00756707">
        <w:rPr>
          <w:vertAlign w:val="subscript"/>
          <w:lang w:val="es-ES"/>
        </w:rPr>
        <w:t xml:space="preserve"> </w:t>
      </w:r>
      <w:r w:rsidRPr="00756707">
        <w:rPr>
          <w:lang w:val="es-ES"/>
        </w:rPr>
        <w:t>&gt; 0,05 mm</w:t>
      </w:r>
    </w:p>
    <w:p w14:paraId="41DAEA92" w14:textId="77777777" w:rsidR="00756707" w:rsidRPr="00756707" w:rsidRDefault="00756707" w:rsidP="00756707">
      <w:pPr>
        <w:pStyle w:val="NORMAL12"/>
        <w:jc w:val="center"/>
        <w:rPr>
          <w:lang w:val="es-ES"/>
        </w:rPr>
      </w:pPr>
      <w:r w:rsidRPr="00756707">
        <w:rPr>
          <w:lang w:val="es-ES"/>
        </w:rPr>
        <w:t>O</w:t>
      </w:r>
      <w:proofErr w:type="gramStart"/>
      <w:r w:rsidRPr="00756707">
        <w:rPr>
          <w:vertAlign w:val="subscript"/>
          <w:lang w:val="es-ES"/>
        </w:rPr>
        <w:t>90,W</w:t>
      </w:r>
      <w:proofErr w:type="gramEnd"/>
      <w:r w:rsidRPr="00756707">
        <w:rPr>
          <w:vertAlign w:val="subscript"/>
          <w:lang w:val="es-ES"/>
        </w:rPr>
        <w:t xml:space="preserve"> </w:t>
      </w:r>
      <w:r w:rsidRPr="00756707">
        <w:rPr>
          <w:lang w:val="es-ES"/>
        </w:rPr>
        <w:t>&lt; 0,20 mm</w:t>
      </w:r>
    </w:p>
    <w:p w14:paraId="0665C6B3" w14:textId="77777777" w:rsidR="00756707" w:rsidRPr="00756707" w:rsidRDefault="00756707" w:rsidP="00756707">
      <w:pPr>
        <w:pStyle w:val="NORMAL12"/>
        <w:jc w:val="center"/>
        <w:rPr>
          <w:lang w:val="es-ES"/>
        </w:rPr>
      </w:pPr>
      <w:r w:rsidRPr="00756707">
        <w:rPr>
          <w:lang w:val="es-ES"/>
        </w:rPr>
        <w:t>O</w:t>
      </w:r>
      <w:proofErr w:type="gramStart"/>
      <w:r w:rsidRPr="00756707">
        <w:rPr>
          <w:vertAlign w:val="subscript"/>
          <w:lang w:val="es-ES"/>
        </w:rPr>
        <w:t>90,W</w:t>
      </w:r>
      <w:proofErr w:type="gramEnd"/>
      <w:r w:rsidRPr="00756707">
        <w:rPr>
          <w:vertAlign w:val="subscript"/>
          <w:lang w:val="es-ES"/>
        </w:rPr>
        <w:t xml:space="preserve"> </w:t>
      </w:r>
      <w:r w:rsidRPr="00756707">
        <w:rPr>
          <w:lang w:val="es-ES"/>
        </w:rPr>
        <w:t>&lt; d</w:t>
      </w:r>
      <w:r w:rsidRPr="00756707">
        <w:rPr>
          <w:vertAlign w:val="subscript"/>
          <w:lang w:val="es-ES"/>
        </w:rPr>
        <w:t>90</w:t>
      </w:r>
    </w:p>
    <w:p w14:paraId="09846479" w14:textId="77777777" w:rsidR="00756707" w:rsidRPr="00756707" w:rsidRDefault="00756707" w:rsidP="00756707">
      <w:pPr>
        <w:pStyle w:val="NORMAL12"/>
        <w:jc w:val="center"/>
        <w:rPr>
          <w:lang w:val="es-ES"/>
        </w:rPr>
      </w:pPr>
      <w:r w:rsidRPr="00756707">
        <w:rPr>
          <w:lang w:val="es-ES"/>
        </w:rPr>
        <w:t>si d</w:t>
      </w:r>
      <w:r w:rsidRPr="00756707">
        <w:rPr>
          <w:vertAlign w:val="subscript"/>
          <w:lang w:val="es-ES"/>
        </w:rPr>
        <w:t>40</w:t>
      </w:r>
      <w:r w:rsidRPr="00756707">
        <w:rPr>
          <w:lang w:val="es-ES"/>
        </w:rPr>
        <w:t xml:space="preserve"> &lt; 0,06 mm; O</w:t>
      </w:r>
      <w:proofErr w:type="gramStart"/>
      <w:r w:rsidRPr="00756707">
        <w:rPr>
          <w:vertAlign w:val="subscript"/>
          <w:lang w:val="es-ES"/>
        </w:rPr>
        <w:t>90</w:t>
      </w:r>
      <w:r w:rsidRPr="00756707">
        <w:rPr>
          <w:lang w:val="es-ES"/>
        </w:rPr>
        <w:t>,W</w:t>
      </w:r>
      <w:proofErr w:type="gramEnd"/>
      <w:r w:rsidRPr="00756707">
        <w:rPr>
          <w:lang w:val="es-ES"/>
        </w:rPr>
        <w:t xml:space="preserve"> &lt; 10Ad</w:t>
      </w:r>
      <w:r w:rsidRPr="00756707">
        <w:rPr>
          <w:vertAlign w:val="subscript"/>
          <w:lang w:val="es-ES"/>
        </w:rPr>
        <w:t>50</w:t>
      </w:r>
    </w:p>
    <w:p w14:paraId="370F2636" w14:textId="77777777" w:rsidR="00756707" w:rsidRPr="00756707" w:rsidRDefault="00756707" w:rsidP="00756707">
      <w:pPr>
        <w:pStyle w:val="NORMAL12"/>
        <w:jc w:val="center"/>
        <w:rPr>
          <w:lang w:val="es-ES"/>
        </w:rPr>
      </w:pPr>
      <w:r w:rsidRPr="00756707">
        <w:rPr>
          <w:lang w:val="es-ES"/>
        </w:rPr>
        <w:t>si d</w:t>
      </w:r>
      <w:r w:rsidRPr="00756707">
        <w:rPr>
          <w:vertAlign w:val="subscript"/>
          <w:lang w:val="es-ES"/>
        </w:rPr>
        <w:t xml:space="preserve">40 </w:t>
      </w:r>
      <w:r w:rsidRPr="00756707">
        <w:rPr>
          <w:lang w:val="es-ES"/>
        </w:rPr>
        <w:t>&lt; 0,06 mm; O</w:t>
      </w:r>
      <w:proofErr w:type="gramStart"/>
      <w:r w:rsidRPr="00756707">
        <w:rPr>
          <w:vertAlign w:val="subscript"/>
          <w:lang w:val="es-ES"/>
        </w:rPr>
        <w:t>90</w:t>
      </w:r>
      <w:r w:rsidRPr="00756707">
        <w:rPr>
          <w:lang w:val="es-ES"/>
        </w:rPr>
        <w:t>,W</w:t>
      </w:r>
      <w:proofErr w:type="gramEnd"/>
      <w:r w:rsidRPr="00756707">
        <w:rPr>
          <w:lang w:val="es-ES"/>
        </w:rPr>
        <w:t xml:space="preserve"> &lt; 10Ad</w:t>
      </w:r>
      <w:r w:rsidRPr="00756707">
        <w:rPr>
          <w:vertAlign w:val="subscript"/>
          <w:lang w:val="es-ES"/>
        </w:rPr>
        <w:t>50</w:t>
      </w:r>
    </w:p>
    <w:p w14:paraId="5B39BE8E" w14:textId="77777777" w:rsidR="00756707" w:rsidRPr="00756707" w:rsidRDefault="00756707" w:rsidP="00756707">
      <w:pPr>
        <w:pStyle w:val="NORMAL12"/>
        <w:rPr>
          <w:lang w:val="es-ES"/>
        </w:rPr>
      </w:pPr>
      <w:r w:rsidRPr="00756707">
        <w:rPr>
          <w:lang w:val="es-ES"/>
        </w:rPr>
        <w:t>siendo:</w:t>
      </w:r>
    </w:p>
    <w:p w14:paraId="51503EBA" w14:textId="77777777" w:rsidR="00756707" w:rsidRPr="00756707" w:rsidRDefault="00756707" w:rsidP="00756707">
      <w:pPr>
        <w:pStyle w:val="NORMAL12"/>
        <w:rPr>
          <w:lang w:val="es-ES"/>
        </w:rPr>
      </w:pPr>
      <w:proofErr w:type="spellStart"/>
      <w:r w:rsidRPr="00756707">
        <w:rPr>
          <w:lang w:val="es-ES"/>
        </w:rPr>
        <w:t>dx</w:t>
      </w:r>
      <w:proofErr w:type="spellEnd"/>
      <w:r w:rsidRPr="00756707">
        <w:rPr>
          <w:lang w:val="es-ES"/>
        </w:rPr>
        <w:t xml:space="preserve"> = Apertura del tamiz por el que pasa el x% en peso del suelo a proteger.</w:t>
      </w:r>
    </w:p>
    <w:p w14:paraId="0E834A0D" w14:textId="77777777" w:rsidR="00756707" w:rsidRPr="00756707" w:rsidRDefault="00756707" w:rsidP="00756707">
      <w:pPr>
        <w:pStyle w:val="NORMAL12"/>
        <w:rPr>
          <w:lang w:val="es-ES"/>
        </w:rPr>
      </w:pPr>
      <w:r w:rsidRPr="00756707">
        <w:rPr>
          <w:lang w:val="es-ES"/>
        </w:rPr>
        <w:t xml:space="preserve">El Proyecto o el </w:t>
      </w:r>
      <w:proofErr w:type="gramStart"/>
      <w:r w:rsidRPr="00756707">
        <w:rPr>
          <w:lang w:val="es-ES"/>
        </w:rPr>
        <w:t>Director</w:t>
      </w:r>
      <w:proofErr w:type="gramEnd"/>
      <w:r w:rsidRPr="00756707">
        <w:rPr>
          <w:lang w:val="es-ES"/>
        </w:rPr>
        <w:t xml:space="preserve"> de las Obras podrán indicar condiciones más restrictivas si así lo consideran conveniente.</w:t>
      </w:r>
    </w:p>
    <w:p w14:paraId="5DBC9E73" w14:textId="77777777" w:rsidR="00756707" w:rsidRPr="00F30AA8" w:rsidRDefault="00756707" w:rsidP="004078A9">
      <w:pPr>
        <w:pStyle w:val="NORMAL12"/>
        <w:rPr>
          <w:i/>
          <w:u w:val="single"/>
          <w:lang w:val="es-ES"/>
        </w:rPr>
      </w:pPr>
      <w:r w:rsidRPr="00F30AA8">
        <w:rPr>
          <w:i/>
          <w:u w:val="single"/>
          <w:lang w:val="es-ES"/>
        </w:rPr>
        <w:t>Criterios hidráulicos</w:t>
      </w:r>
    </w:p>
    <w:p w14:paraId="281797CB" w14:textId="77777777" w:rsidR="00756707" w:rsidRPr="00F30AA8" w:rsidRDefault="00756707" w:rsidP="00756707">
      <w:pPr>
        <w:pStyle w:val="NORMAL12"/>
        <w:rPr>
          <w:lang w:val="es-ES"/>
        </w:rPr>
      </w:pPr>
      <w:r w:rsidRPr="00F30AA8">
        <w:rPr>
          <w:lang w:val="es-ES"/>
        </w:rPr>
        <w:t xml:space="preserve">La permeabilidad del geotextil en dirección perpendicular a su plano (permitividad Kg), según UNE-EN ISO 11058 respecto a la permeabilidad del material menos permeable (Ks) será la indicada a continuación, salvo indicación en contra del Proyecto o del </w:t>
      </w:r>
      <w:proofErr w:type="gramStart"/>
      <w:r w:rsidRPr="00F30AA8">
        <w:rPr>
          <w:lang w:val="es-ES"/>
        </w:rPr>
        <w:t>Director</w:t>
      </w:r>
      <w:proofErr w:type="gramEnd"/>
      <w:r w:rsidRPr="00F30AA8">
        <w:rPr>
          <w:lang w:val="es-ES"/>
        </w:rPr>
        <w:t xml:space="preserve"> de las Obras:</w:t>
      </w:r>
    </w:p>
    <w:p w14:paraId="2C26FD72" w14:textId="77777777" w:rsidR="00756707" w:rsidRPr="00F30AA8" w:rsidRDefault="00756707" w:rsidP="000313DD">
      <w:pPr>
        <w:pStyle w:val="NORMAL12"/>
        <w:numPr>
          <w:ilvl w:val="0"/>
          <w:numId w:val="222"/>
        </w:numPr>
        <w:rPr>
          <w:lang w:val="es-ES"/>
        </w:rPr>
      </w:pPr>
      <w:r w:rsidRPr="00F30AA8">
        <w:rPr>
          <w:lang w:val="es-ES"/>
        </w:rPr>
        <w:t xml:space="preserve">Flujo unidireccional laminar Kg &gt; </w:t>
      </w:r>
      <w:r w:rsidR="00F30AA8" w:rsidRPr="00F30AA8">
        <w:rPr>
          <w:lang w:val="es-ES"/>
        </w:rPr>
        <w:t xml:space="preserve">10 </w:t>
      </w:r>
      <w:r w:rsidRPr="00F30AA8">
        <w:rPr>
          <w:lang w:val="es-ES"/>
        </w:rPr>
        <w:t>Ks</w:t>
      </w:r>
    </w:p>
    <w:p w14:paraId="6ED5C8D1" w14:textId="77777777" w:rsidR="00756707" w:rsidRPr="006455AE" w:rsidRDefault="00756707" w:rsidP="000313DD">
      <w:pPr>
        <w:pStyle w:val="NORMAL12"/>
        <w:numPr>
          <w:ilvl w:val="0"/>
          <w:numId w:val="222"/>
        </w:numPr>
        <w:rPr>
          <w:lang w:val="es-ES"/>
        </w:rPr>
      </w:pPr>
      <w:r w:rsidRPr="006455AE">
        <w:rPr>
          <w:lang w:val="es-ES"/>
        </w:rPr>
        <w:t xml:space="preserve">Flujo que cambia rápidamente de sentido (alternativo o </w:t>
      </w:r>
      <w:proofErr w:type="gramStart"/>
      <w:r w:rsidRPr="006455AE">
        <w:rPr>
          <w:lang w:val="es-ES"/>
        </w:rPr>
        <w:t>turbulento )</w:t>
      </w:r>
      <w:proofErr w:type="gramEnd"/>
      <w:r w:rsidRPr="006455AE">
        <w:rPr>
          <w:lang w:val="es-ES"/>
        </w:rPr>
        <w:t xml:space="preserve"> Kg &gt; 100 Ks</w:t>
      </w:r>
    </w:p>
    <w:p w14:paraId="1A85E1EE" w14:textId="77777777" w:rsidR="00756707" w:rsidRPr="006455AE" w:rsidRDefault="00756707" w:rsidP="004078A9">
      <w:pPr>
        <w:pStyle w:val="NORMAL12"/>
        <w:rPr>
          <w:i/>
          <w:u w:val="single"/>
          <w:lang w:val="es-ES"/>
        </w:rPr>
      </w:pPr>
      <w:r w:rsidRPr="006455AE">
        <w:rPr>
          <w:i/>
          <w:u w:val="single"/>
          <w:lang w:val="es-ES"/>
        </w:rPr>
        <w:t>Criterio de durabilidad</w:t>
      </w:r>
    </w:p>
    <w:p w14:paraId="1D391F6F" w14:textId="77777777" w:rsidR="00756707" w:rsidRPr="006455AE" w:rsidRDefault="006455AE" w:rsidP="004078A9">
      <w:pPr>
        <w:pStyle w:val="NORMAL12"/>
        <w:rPr>
          <w:lang w:val="es-ES"/>
        </w:rPr>
      </w:pPr>
      <w:r w:rsidRPr="006455AE">
        <w:rPr>
          <w:lang w:val="es-ES"/>
        </w:rPr>
        <w:t>Se cumplirá lo establecido en el artículo 290 del presente pliego</w:t>
      </w:r>
    </w:p>
    <w:p w14:paraId="3377B31A" w14:textId="77777777" w:rsidR="004078A9" w:rsidRPr="00B809D9" w:rsidRDefault="004078A9" w:rsidP="000313DD">
      <w:pPr>
        <w:pStyle w:val="TITU2"/>
      </w:pPr>
      <w:bookmarkStart w:id="509" w:name="_Toc528692184"/>
      <w:bookmarkStart w:id="510" w:name="_Toc404269"/>
      <w:r w:rsidRPr="00B809D9">
        <w:t>422.3. Ejecución de las obras</w:t>
      </w:r>
      <w:bookmarkEnd w:id="509"/>
      <w:bookmarkEnd w:id="510"/>
    </w:p>
    <w:p w14:paraId="121EB4C1" w14:textId="77777777" w:rsidR="00B809D9" w:rsidRPr="00B809D9" w:rsidRDefault="004078A9" w:rsidP="004078A9">
      <w:pPr>
        <w:pStyle w:val="NORMAL12"/>
        <w:rPr>
          <w:lang w:val="es-ES"/>
        </w:rPr>
      </w:pPr>
      <w:r w:rsidRPr="00B809D9">
        <w:rPr>
          <w:lang w:val="es-ES"/>
        </w:rPr>
        <w:t xml:space="preserve">Terminada la excavación y refino de taludes se extenderá la lámina, acopiada previamente y cortada de modo que no haya juntas longitudinales, o sea paralelas a la dirección de la corriente. </w:t>
      </w:r>
    </w:p>
    <w:p w14:paraId="3F090E74" w14:textId="77777777" w:rsidR="00B809D9" w:rsidRPr="00B809D9" w:rsidRDefault="00B809D9" w:rsidP="004078A9">
      <w:pPr>
        <w:pStyle w:val="NORMAL12"/>
        <w:rPr>
          <w:lang w:val="es-ES"/>
        </w:rPr>
      </w:pPr>
      <w:r w:rsidRPr="00B809D9">
        <w:rPr>
          <w:lang w:val="es-ES"/>
        </w:rPr>
        <w:t xml:space="preserve">La superficie sobre la que se extiende el geotextil estará limpia y libre de elementos cortantes o punzantes </w:t>
      </w:r>
    </w:p>
    <w:p w14:paraId="597C56C6" w14:textId="77777777" w:rsidR="004078A9" w:rsidRPr="00B809D9" w:rsidRDefault="004078A9" w:rsidP="004078A9">
      <w:pPr>
        <w:pStyle w:val="NORMAL12"/>
        <w:rPr>
          <w:lang w:val="es-ES"/>
        </w:rPr>
      </w:pPr>
      <w:r w:rsidRPr="00B809D9">
        <w:rPr>
          <w:lang w:val="es-ES"/>
        </w:rPr>
        <w:t xml:space="preserve">El solape deberá ser de al menos </w:t>
      </w:r>
      <w:proofErr w:type="gramStart"/>
      <w:r w:rsidRPr="00B809D9">
        <w:rPr>
          <w:lang w:val="es-ES"/>
        </w:rPr>
        <w:t xml:space="preserve">un </w:t>
      </w:r>
      <w:r w:rsidR="00B809D9" w:rsidRPr="00B809D9">
        <w:rPr>
          <w:lang w:val="es-ES"/>
        </w:rPr>
        <w:t>cincuenta centímetros</w:t>
      </w:r>
      <w:proofErr w:type="gramEnd"/>
      <w:r w:rsidR="00B809D9" w:rsidRPr="00B809D9">
        <w:rPr>
          <w:lang w:val="es-ES"/>
        </w:rPr>
        <w:t xml:space="preserve"> </w:t>
      </w:r>
      <w:r w:rsidRPr="00B809D9">
        <w:rPr>
          <w:lang w:val="es-ES"/>
        </w:rPr>
        <w:t>(</w:t>
      </w:r>
      <w:r w:rsidR="00B809D9" w:rsidRPr="00B809D9">
        <w:rPr>
          <w:lang w:val="es-ES"/>
        </w:rPr>
        <w:t>50 c</w:t>
      </w:r>
      <w:r w:rsidRPr="00B809D9">
        <w:rPr>
          <w:lang w:val="es-ES"/>
        </w:rPr>
        <w:t>m) y el sentido de avance en la colocación será el contrario a la dirección del flujo.</w:t>
      </w:r>
    </w:p>
    <w:p w14:paraId="1219D395" w14:textId="77777777" w:rsidR="004078A9" w:rsidRPr="00B809D9" w:rsidRDefault="004078A9" w:rsidP="004078A9">
      <w:pPr>
        <w:pStyle w:val="NORMAL12"/>
        <w:rPr>
          <w:lang w:val="es-ES"/>
        </w:rPr>
      </w:pPr>
      <w:r w:rsidRPr="00B809D9">
        <w:rPr>
          <w:lang w:val="es-ES"/>
        </w:rPr>
        <w:t>En ningún caso el geotextil debe quedar tenso o sometido a esfuerzos.</w:t>
      </w:r>
    </w:p>
    <w:p w14:paraId="03D6B2F4" w14:textId="77777777" w:rsidR="004078A9" w:rsidRPr="00B809D9" w:rsidRDefault="004078A9" w:rsidP="004078A9">
      <w:pPr>
        <w:pStyle w:val="NORMAL12"/>
        <w:rPr>
          <w:lang w:val="es-ES"/>
        </w:rPr>
      </w:pPr>
      <w:r w:rsidRPr="00B809D9">
        <w:rPr>
          <w:lang w:val="es-ES"/>
        </w:rPr>
        <w:t>El vertido de los materiales granulares, así como la colocación de las tuberías colectoras, deberán realizarse sin dañar el geotextil.</w:t>
      </w:r>
    </w:p>
    <w:p w14:paraId="5E9BFA7A" w14:textId="77777777" w:rsidR="004078A9" w:rsidRPr="00B809D9" w:rsidRDefault="004078A9" w:rsidP="004078A9">
      <w:pPr>
        <w:pStyle w:val="NORMAL12"/>
        <w:rPr>
          <w:lang w:val="es-ES"/>
        </w:rPr>
      </w:pPr>
      <w:r w:rsidRPr="00B809D9">
        <w:rPr>
          <w:lang w:val="es-ES"/>
        </w:rPr>
        <w:t>Para los filtros, en ningún caso se utilizarán materiales sucios, con grasa, barro, etc.</w:t>
      </w:r>
    </w:p>
    <w:p w14:paraId="20E5113C" w14:textId="77777777" w:rsidR="004078A9" w:rsidRPr="00B809D9" w:rsidRDefault="004078A9" w:rsidP="004078A9">
      <w:pPr>
        <w:pStyle w:val="NORMAL12"/>
        <w:rPr>
          <w:lang w:val="es-ES"/>
        </w:rPr>
      </w:pPr>
      <w:r w:rsidRPr="00B809D9">
        <w:rPr>
          <w:lang w:val="es-ES"/>
        </w:rPr>
        <w:t>Se prestará especial atención a la puesta en obra de material filtro en zanjas profundas.</w:t>
      </w:r>
    </w:p>
    <w:p w14:paraId="0ED2E864" w14:textId="77777777" w:rsidR="00B809D9" w:rsidRPr="00B809D9" w:rsidRDefault="00B809D9" w:rsidP="000313DD">
      <w:pPr>
        <w:pStyle w:val="TITU2"/>
      </w:pPr>
      <w:bookmarkStart w:id="511" w:name="_Toc404270"/>
      <w:r w:rsidRPr="00B809D9">
        <w:t>422.4. Limitaciones de ejecución</w:t>
      </w:r>
      <w:bookmarkEnd w:id="511"/>
    </w:p>
    <w:p w14:paraId="4C2A03A4" w14:textId="77777777" w:rsidR="00B809D9" w:rsidRPr="00B809D9" w:rsidRDefault="004078A9" w:rsidP="00B809D9">
      <w:pPr>
        <w:pStyle w:val="NORMAL12"/>
      </w:pPr>
      <w:r w:rsidRPr="00B809D9">
        <w:rPr>
          <w:lang w:val="es-ES"/>
        </w:rPr>
        <w:t>No se permitirá la colocación del geotextil, ni el extendido de la capa superior, cuando tengan lugar precipitaciones, ni cuando la temperatura ambiente sea inferior a dos grados Celsius (2ºC).</w:t>
      </w:r>
      <w:bookmarkStart w:id="512" w:name="_Toc528692185"/>
    </w:p>
    <w:p w14:paraId="02DA9714" w14:textId="77777777" w:rsidR="004078A9" w:rsidRPr="00B809D9" w:rsidRDefault="004078A9" w:rsidP="000313DD">
      <w:pPr>
        <w:pStyle w:val="TITU2"/>
      </w:pPr>
      <w:bookmarkStart w:id="513" w:name="_Toc404271"/>
      <w:r w:rsidRPr="00B809D9">
        <w:t>422.5. Control de calidad</w:t>
      </w:r>
      <w:bookmarkEnd w:id="512"/>
      <w:bookmarkEnd w:id="513"/>
    </w:p>
    <w:p w14:paraId="16E28E58" w14:textId="77777777" w:rsidR="004078A9" w:rsidRPr="00B809D9" w:rsidRDefault="004078A9" w:rsidP="004078A9">
      <w:pPr>
        <w:pStyle w:val="NORMAL12"/>
        <w:rPr>
          <w:lang w:val="es-ES"/>
        </w:rPr>
      </w:pPr>
      <w:r w:rsidRPr="00B809D9">
        <w:rPr>
          <w:lang w:val="es-ES"/>
        </w:rPr>
        <w:t>Se procederá conforme a lo indicado en el artículo 290, Geotextiles Del PG-3</w:t>
      </w:r>
    </w:p>
    <w:p w14:paraId="0C7B82AB" w14:textId="77777777" w:rsidR="004078A9" w:rsidRPr="00B809D9" w:rsidRDefault="004078A9" w:rsidP="004078A9">
      <w:pPr>
        <w:pStyle w:val="NORMAL12"/>
        <w:rPr>
          <w:lang w:val="es-ES"/>
        </w:rPr>
      </w:pPr>
      <w:r w:rsidRPr="00B809D9">
        <w:rPr>
          <w:lang w:val="es-ES"/>
        </w:rPr>
        <w:t>Se comprobará asimismo que el geotextil no ha sufrido daños durante su instalación de acuerdo con UNE-EN ISO 10722:2007.</w:t>
      </w:r>
    </w:p>
    <w:p w14:paraId="7950832E" w14:textId="77777777" w:rsidR="004078A9" w:rsidRPr="00B809D9" w:rsidRDefault="004078A9" w:rsidP="000313DD">
      <w:pPr>
        <w:pStyle w:val="TITU2"/>
      </w:pPr>
      <w:bookmarkStart w:id="514" w:name="_Toc528692186"/>
      <w:bookmarkStart w:id="515" w:name="_Toc404272"/>
      <w:r w:rsidRPr="00B809D9">
        <w:t>422.6. Medición y abono</w:t>
      </w:r>
      <w:bookmarkEnd w:id="514"/>
      <w:bookmarkEnd w:id="515"/>
    </w:p>
    <w:p w14:paraId="20C56A3B" w14:textId="77777777" w:rsidR="00B809D9" w:rsidRPr="003328F5" w:rsidRDefault="00B809D9" w:rsidP="00B809D9">
      <w:pPr>
        <w:pStyle w:val="NORMAL12"/>
        <w:rPr>
          <w:lang w:val="es-ES"/>
        </w:rPr>
      </w:pPr>
      <w:r w:rsidRPr="00B809D9">
        <w:rPr>
          <w:lang w:val="es-ES"/>
        </w:rPr>
        <w:t>La medición y abono del geotextil utilizado como filtro se realizará de acuerdo con lo indicado para las unidades definidas en el artículo 420. Zanja drenante del presente Pliego de Prescripciones</w:t>
      </w:r>
      <w:r w:rsidRPr="003328F5">
        <w:rPr>
          <w:lang w:val="es-ES"/>
        </w:rPr>
        <w:t xml:space="preserve"> Técnicas Particulares </w:t>
      </w:r>
    </w:p>
    <w:p w14:paraId="50893046" w14:textId="77777777" w:rsidR="00BC0C1D" w:rsidRPr="00990393" w:rsidRDefault="00BC0C1D" w:rsidP="00BC0C1D">
      <w:pPr>
        <w:pStyle w:val="TITU1"/>
        <w:rPr>
          <w:lang w:val="es-ES_tradnl"/>
        </w:rPr>
      </w:pPr>
      <w:bookmarkStart w:id="516" w:name="_Toc404273"/>
      <w:r w:rsidRPr="00990393">
        <w:rPr>
          <w:lang w:val="es-ES_tradnl"/>
        </w:rPr>
        <w:lastRenderedPageBreak/>
        <w:t xml:space="preserve">Artículo </w:t>
      </w:r>
      <w:r w:rsidR="003E400D" w:rsidRPr="00990393">
        <w:rPr>
          <w:lang w:val="es-ES_tradnl"/>
        </w:rPr>
        <w:t>425</w:t>
      </w:r>
      <w:r w:rsidRPr="00990393">
        <w:rPr>
          <w:lang w:val="es-ES_tradnl"/>
        </w:rPr>
        <w:t xml:space="preserve">. Canal </w:t>
      </w:r>
      <w:r w:rsidR="001E514C">
        <w:rPr>
          <w:lang w:val="es-ES_tradnl"/>
        </w:rPr>
        <w:t>de drenaje</w:t>
      </w:r>
      <w:bookmarkEnd w:id="516"/>
    </w:p>
    <w:p w14:paraId="3A0DDB46" w14:textId="77777777" w:rsidR="00316114" w:rsidRPr="003E400D" w:rsidRDefault="00316114" w:rsidP="003E400D">
      <w:pPr>
        <w:pStyle w:val="NORMAL12"/>
      </w:pPr>
      <w:r w:rsidRPr="003E400D">
        <w:t>Excepto para lo especificado en el presente Pliego de Prescripciones Técnicas particulares se seguirá lo prescrito en el vigente artículo 411 del PG-3 y la EHE 08.</w:t>
      </w:r>
    </w:p>
    <w:p w14:paraId="40A1F135" w14:textId="77777777" w:rsidR="00316114" w:rsidRPr="003E400D" w:rsidRDefault="003E400D" w:rsidP="000313DD">
      <w:pPr>
        <w:pStyle w:val="TITU2"/>
      </w:pPr>
      <w:bookmarkStart w:id="517" w:name="_Toc404274"/>
      <w:r w:rsidRPr="003E400D">
        <w:t>425</w:t>
      </w:r>
      <w:r w:rsidR="00316114" w:rsidRPr="003E400D">
        <w:t>.1. Definición</w:t>
      </w:r>
      <w:bookmarkEnd w:id="517"/>
      <w:r w:rsidR="00316114" w:rsidRPr="003E400D">
        <w:t xml:space="preserve"> </w:t>
      </w:r>
    </w:p>
    <w:p w14:paraId="1FAF63DC" w14:textId="77777777" w:rsidR="00316114" w:rsidRPr="003E400D" w:rsidRDefault="00316114" w:rsidP="003E400D">
      <w:pPr>
        <w:spacing w:before="120" w:after="120" w:line="360" w:lineRule="auto"/>
        <w:jc w:val="both"/>
        <w:rPr>
          <w:rFonts w:ascii="Arial" w:hAnsi="Arial"/>
          <w:lang w:val="es-ES_tradnl"/>
        </w:rPr>
      </w:pPr>
      <w:r w:rsidRPr="003E400D">
        <w:rPr>
          <w:rFonts w:ascii="Arial" w:hAnsi="Arial"/>
          <w:lang w:val="es-ES_tradnl"/>
        </w:rPr>
        <w:t>Se define como canal reja al elemento de drenaje constituido fundamentalmente por una canalización cubierta con una rejilla que, según su categoría, puede llegar a permitir el paso de vehículos pesados sobre ella. De este modo, se puede conseguir un sistema de desagüe para situaciones en las que la falta de espacio, por ejemplo, supone un condicionante importante.</w:t>
      </w:r>
    </w:p>
    <w:p w14:paraId="2696AE17" w14:textId="77777777" w:rsidR="00316114" w:rsidRPr="003E400D" w:rsidRDefault="00316114" w:rsidP="003E400D">
      <w:pPr>
        <w:spacing w:before="120" w:after="120" w:line="360" w:lineRule="auto"/>
        <w:jc w:val="both"/>
        <w:rPr>
          <w:rFonts w:ascii="Arial" w:hAnsi="Arial"/>
          <w:lang w:val="es-ES_tradnl"/>
        </w:rPr>
      </w:pPr>
      <w:r w:rsidRPr="003E400D">
        <w:rPr>
          <w:rFonts w:ascii="Arial" w:hAnsi="Arial"/>
          <w:lang w:val="es-ES_tradnl"/>
        </w:rPr>
        <w:t>Todos estos dispositivos deberán estar correctamente impermeabilizados.</w:t>
      </w:r>
    </w:p>
    <w:p w14:paraId="7DA1608C" w14:textId="77777777" w:rsidR="00316114" w:rsidRPr="003E400D" w:rsidRDefault="00316114" w:rsidP="003E400D">
      <w:pPr>
        <w:spacing w:before="120" w:after="120" w:line="360" w:lineRule="auto"/>
        <w:jc w:val="both"/>
        <w:rPr>
          <w:rFonts w:ascii="Arial" w:hAnsi="Arial"/>
          <w:lang w:val="es-ES_tradnl"/>
        </w:rPr>
      </w:pPr>
      <w:r w:rsidRPr="003E400D">
        <w:rPr>
          <w:rFonts w:ascii="Arial" w:hAnsi="Arial"/>
          <w:lang w:val="es-ES_tradnl"/>
        </w:rPr>
        <w:t xml:space="preserve">El objetivo de estos dispositivos es mantener permanentemente condiciones que faciliten la salida rápida de las aguas de lluvias que caigan </w:t>
      </w:r>
      <w:r w:rsidR="009305DF">
        <w:rPr>
          <w:rFonts w:ascii="Arial" w:hAnsi="Arial"/>
          <w:lang w:val="es-ES_tradnl"/>
        </w:rPr>
        <w:t>sobre la carretera en la zona del paso inferior de Siero</w:t>
      </w:r>
      <w:r w:rsidRPr="003E400D">
        <w:rPr>
          <w:rFonts w:ascii="Arial" w:hAnsi="Arial"/>
          <w:lang w:val="es-ES_tradnl"/>
        </w:rPr>
        <w:t xml:space="preserve"> y, de esta manera, contribuir a la seguridad y la comodidad de los usuarios. En este artículo se rigen las prescripciones a seguir en la adecuación de los elementos de desagüe existentes en la estructura a reparar.</w:t>
      </w:r>
    </w:p>
    <w:p w14:paraId="3301E3E8" w14:textId="77777777" w:rsidR="00316114" w:rsidRPr="003E400D" w:rsidRDefault="00316114" w:rsidP="000313DD">
      <w:pPr>
        <w:pStyle w:val="TITU2"/>
      </w:pPr>
      <w:bookmarkStart w:id="518" w:name="_Toc404275"/>
      <w:r w:rsidRPr="003E400D">
        <w:t>4</w:t>
      </w:r>
      <w:r w:rsidR="003E400D" w:rsidRPr="003E400D">
        <w:t>25</w:t>
      </w:r>
      <w:r w:rsidRPr="003E400D">
        <w:t>.2. Aplicación</w:t>
      </w:r>
      <w:bookmarkEnd w:id="518"/>
      <w:r w:rsidRPr="003E400D">
        <w:t xml:space="preserve"> </w:t>
      </w:r>
    </w:p>
    <w:p w14:paraId="6A90F74C" w14:textId="77777777" w:rsidR="00316114" w:rsidRPr="003E400D" w:rsidRDefault="003E400D" w:rsidP="003E400D">
      <w:pPr>
        <w:spacing w:before="120" w:after="120" w:line="360" w:lineRule="auto"/>
        <w:jc w:val="both"/>
        <w:rPr>
          <w:rFonts w:ascii="Arial" w:hAnsi="Arial"/>
          <w:lang w:val="es-ES_tradnl"/>
        </w:rPr>
      </w:pPr>
      <w:r>
        <w:rPr>
          <w:rFonts w:ascii="Arial" w:hAnsi="Arial"/>
          <w:lang w:val="es-ES_tradnl"/>
        </w:rPr>
        <w:t xml:space="preserve">Las prescripciones de este artículo </w:t>
      </w:r>
      <w:proofErr w:type="gramStart"/>
      <w:r>
        <w:rPr>
          <w:rFonts w:ascii="Arial" w:hAnsi="Arial"/>
          <w:lang w:val="es-ES_tradnl"/>
        </w:rPr>
        <w:t>son de aplicación</w:t>
      </w:r>
      <w:proofErr w:type="gramEnd"/>
      <w:r>
        <w:rPr>
          <w:rFonts w:ascii="Arial" w:hAnsi="Arial"/>
          <w:lang w:val="es-ES_tradnl"/>
        </w:rPr>
        <w:t xml:space="preserve"> a la unidad de ob</w:t>
      </w:r>
      <w:r w:rsidR="00316114" w:rsidRPr="003E400D">
        <w:rPr>
          <w:rFonts w:ascii="Arial" w:hAnsi="Arial"/>
          <w:lang w:val="es-ES_tradnl"/>
        </w:rPr>
        <w:t>ra</w:t>
      </w:r>
      <w:r>
        <w:rPr>
          <w:rFonts w:ascii="Arial" w:hAnsi="Arial"/>
          <w:lang w:val="es-ES_tradnl"/>
        </w:rPr>
        <w:t xml:space="preserve"> siguiente</w:t>
      </w:r>
      <w:r w:rsidR="00316114" w:rsidRPr="003E400D">
        <w:rPr>
          <w:rFonts w:ascii="Arial" w:hAnsi="Arial"/>
          <w:lang w:val="es-ES_tradnl"/>
        </w:rPr>
        <w:t xml:space="preserve">: </w:t>
      </w:r>
    </w:p>
    <w:tbl>
      <w:tblPr>
        <w:tblW w:w="5000" w:type="pct"/>
        <w:tblCellMar>
          <w:left w:w="70" w:type="dxa"/>
          <w:right w:w="70" w:type="dxa"/>
        </w:tblCellMar>
        <w:tblLook w:val="04A0" w:firstRow="1" w:lastRow="0" w:firstColumn="1" w:lastColumn="0" w:noHBand="0" w:noVBand="1"/>
      </w:tblPr>
      <w:tblGrid>
        <w:gridCol w:w="1330"/>
        <w:gridCol w:w="643"/>
        <w:gridCol w:w="7805"/>
      </w:tblGrid>
      <w:tr w:rsidR="003E400D" w:rsidRPr="003E400D" w14:paraId="4D973125" w14:textId="77777777" w:rsidTr="005A3268">
        <w:trPr>
          <w:trHeight w:val="300"/>
        </w:trPr>
        <w:tc>
          <w:tcPr>
            <w:tcW w:w="680" w:type="pct"/>
            <w:noWrap/>
            <w:hideMark/>
          </w:tcPr>
          <w:p w14:paraId="566C0B67" w14:textId="77777777" w:rsidR="003E400D" w:rsidRPr="00050087" w:rsidRDefault="003E400D" w:rsidP="005A3268">
            <w:pPr>
              <w:rPr>
                <w:rFonts w:ascii="Calibri" w:hAnsi="Calibri"/>
                <w:color w:val="000000"/>
              </w:rPr>
            </w:pPr>
            <w:r w:rsidRPr="00050087">
              <w:rPr>
                <w:rFonts w:ascii="Calibri" w:hAnsi="Calibri"/>
                <w:color w:val="000000"/>
              </w:rPr>
              <w:t xml:space="preserve">410.0002N         </w:t>
            </w:r>
          </w:p>
        </w:tc>
        <w:tc>
          <w:tcPr>
            <w:tcW w:w="329" w:type="pct"/>
            <w:noWrap/>
            <w:hideMark/>
          </w:tcPr>
          <w:p w14:paraId="09FE64BC" w14:textId="77777777" w:rsidR="003E400D" w:rsidRPr="00050087" w:rsidRDefault="003E400D" w:rsidP="005A3268">
            <w:pPr>
              <w:rPr>
                <w:rFonts w:ascii="Calibri" w:hAnsi="Calibri"/>
                <w:color w:val="000000"/>
              </w:rPr>
            </w:pPr>
            <w:r w:rsidRPr="00050087">
              <w:rPr>
                <w:rFonts w:ascii="Calibri" w:hAnsi="Calibri"/>
                <w:color w:val="000000"/>
              </w:rPr>
              <w:t>m</w:t>
            </w:r>
          </w:p>
        </w:tc>
        <w:tc>
          <w:tcPr>
            <w:tcW w:w="3991" w:type="pct"/>
            <w:hideMark/>
          </w:tcPr>
          <w:p w14:paraId="7F6B2C80" w14:textId="77777777" w:rsidR="003E400D" w:rsidRPr="00050087" w:rsidRDefault="00875329" w:rsidP="00050087">
            <w:pPr>
              <w:spacing w:after="240"/>
              <w:jc w:val="both"/>
              <w:rPr>
                <w:rFonts w:ascii="Calibri" w:hAnsi="Calibri"/>
                <w:color w:val="000000"/>
              </w:rPr>
            </w:pPr>
            <w:r w:rsidRPr="00050087">
              <w:rPr>
                <w:rFonts w:ascii="Calibri" w:hAnsi="Calibri" w:cs="Calibri"/>
                <w:color w:val="000000"/>
              </w:rPr>
              <w:t xml:space="preserve">SUMINISTRO Y COLOCACIÓN DE CANAL </w:t>
            </w:r>
            <w:r w:rsidR="001E514C" w:rsidRPr="00050087">
              <w:rPr>
                <w:rFonts w:ascii="Calibri" w:hAnsi="Calibri" w:cs="Calibri"/>
                <w:color w:val="000000"/>
              </w:rPr>
              <w:t>DE DRENAJE</w:t>
            </w:r>
            <w:r w:rsidRPr="00050087">
              <w:rPr>
                <w:rFonts w:ascii="Calibri" w:hAnsi="Calibri" w:cs="Calibri"/>
                <w:color w:val="000000"/>
              </w:rPr>
              <w:t xml:space="preserve"> DE HORMIGÓN POLÍMERO, ANCHO INTERIOR 200 MM, PARA RECOGIDA DE AGUAS PLUVIALES, EN MODULOS DE 1 ML DE LONGITUD, INCLUSO SISTEMA </w:t>
            </w:r>
            <w:r w:rsidR="0009636B" w:rsidRPr="00050087">
              <w:rPr>
                <w:rFonts w:ascii="Calibri" w:hAnsi="Calibri" w:cs="Calibri"/>
                <w:color w:val="000000"/>
              </w:rPr>
              <w:t>DE FIJACIÓN DE 2 TORNILLOS POR M</w:t>
            </w:r>
            <w:r w:rsidRPr="00050087">
              <w:rPr>
                <w:rFonts w:ascii="Calibri" w:hAnsi="Calibri" w:cs="Calibri"/>
                <w:color w:val="000000"/>
              </w:rPr>
              <w:t>, INCLUSO REJILLA DE FUNDICIÓN DÚCTIL NERVADA NORMAL, CON CLASE DE CARGA D-400 Y SISTEMA DE FIJACIÓN AL CANAL MEDIANTE TORNILLO A LA BASE DEL CANAL. INCLUSO DADOS DE HORMIGÓN, JUNTAS DE DILATACIÓN Y JUNTAS TRANSVERSALES NECESARIAS. TOTALMENTE TERMINADA.</w:t>
            </w:r>
          </w:p>
        </w:tc>
      </w:tr>
    </w:tbl>
    <w:p w14:paraId="3C454204" w14:textId="77777777" w:rsidR="00316114" w:rsidRPr="003E400D" w:rsidRDefault="00316114" w:rsidP="000313DD">
      <w:pPr>
        <w:pStyle w:val="TITU2"/>
      </w:pPr>
      <w:bookmarkStart w:id="519" w:name="_Toc404276"/>
      <w:r w:rsidRPr="003E400D">
        <w:t>4</w:t>
      </w:r>
      <w:r w:rsidR="003E400D" w:rsidRPr="003E400D">
        <w:t>25.</w:t>
      </w:r>
      <w:r w:rsidRPr="003E400D">
        <w:t xml:space="preserve">3. Descripción </w:t>
      </w:r>
      <w:r w:rsidR="001013FE">
        <w:t>de l</w:t>
      </w:r>
      <w:r w:rsidRPr="003E400D">
        <w:t xml:space="preserve">os </w:t>
      </w:r>
      <w:r w:rsidR="001013FE">
        <w:t>t</w:t>
      </w:r>
      <w:r w:rsidRPr="003E400D">
        <w:t>rabajos</w:t>
      </w:r>
      <w:bookmarkEnd w:id="519"/>
    </w:p>
    <w:p w14:paraId="48026AAB" w14:textId="77777777" w:rsidR="00316114" w:rsidRPr="003E400D" w:rsidRDefault="00316114" w:rsidP="003E400D">
      <w:pPr>
        <w:spacing w:before="120" w:after="120" w:line="360" w:lineRule="auto"/>
        <w:jc w:val="both"/>
        <w:rPr>
          <w:rFonts w:ascii="Arial" w:hAnsi="Arial"/>
          <w:lang w:val="es-ES_tradnl"/>
        </w:rPr>
      </w:pPr>
      <w:r w:rsidRPr="003E400D">
        <w:rPr>
          <w:rFonts w:ascii="Arial" w:hAnsi="Arial"/>
          <w:lang w:val="es-ES_tradnl"/>
        </w:rPr>
        <w:t>La ejecución de la unidad de obra del canal reja incluye las operaciones siguientes:</w:t>
      </w:r>
    </w:p>
    <w:p w14:paraId="1FC30C72" w14:textId="77777777" w:rsidR="00316114" w:rsidRPr="003E400D" w:rsidRDefault="00316114" w:rsidP="003E400D">
      <w:pPr>
        <w:pStyle w:val="NORMAL12"/>
        <w:numPr>
          <w:ilvl w:val="0"/>
          <w:numId w:val="61"/>
        </w:numPr>
      </w:pPr>
      <w:r w:rsidRPr="003E400D">
        <w:t xml:space="preserve"> Preparación de la zanja para el lecho y recibido del hormigón.</w:t>
      </w:r>
    </w:p>
    <w:p w14:paraId="18C14197" w14:textId="77777777" w:rsidR="00316114" w:rsidRPr="003E400D" w:rsidRDefault="00316114" w:rsidP="003E400D">
      <w:pPr>
        <w:pStyle w:val="NORMAL12"/>
        <w:numPr>
          <w:ilvl w:val="0"/>
          <w:numId w:val="61"/>
        </w:numPr>
      </w:pPr>
      <w:r w:rsidRPr="003E400D">
        <w:t xml:space="preserve"> Establecer un cordel de alineación y preparar los canales a lo largo de la zanja. </w:t>
      </w:r>
    </w:p>
    <w:p w14:paraId="48FDFEF8" w14:textId="77777777" w:rsidR="00316114" w:rsidRPr="003E400D" w:rsidRDefault="00316114" w:rsidP="003E400D">
      <w:pPr>
        <w:pStyle w:val="NORMAL12"/>
        <w:numPr>
          <w:ilvl w:val="0"/>
          <w:numId w:val="61"/>
        </w:numPr>
      </w:pPr>
      <w:r w:rsidRPr="003E400D">
        <w:t>Verter un hormigón de calidad según las especificaciones del fabricante en la base de la zanja y antes de que fragüe comenzar a colocar los canales.</w:t>
      </w:r>
    </w:p>
    <w:p w14:paraId="532B4403" w14:textId="77777777" w:rsidR="00316114" w:rsidRPr="003E400D" w:rsidRDefault="00316114" w:rsidP="003E400D">
      <w:pPr>
        <w:pStyle w:val="NORMAL12"/>
        <w:numPr>
          <w:ilvl w:val="0"/>
          <w:numId w:val="61"/>
        </w:numPr>
      </w:pPr>
      <w:r w:rsidRPr="003E400D">
        <w:t xml:space="preserve"> Colocar los canales.</w:t>
      </w:r>
    </w:p>
    <w:p w14:paraId="3DDD11B7" w14:textId="77777777" w:rsidR="00316114" w:rsidRPr="003E400D" w:rsidRDefault="00316114" w:rsidP="003E400D">
      <w:pPr>
        <w:pStyle w:val="NORMAL12"/>
        <w:numPr>
          <w:ilvl w:val="0"/>
          <w:numId w:val="61"/>
        </w:numPr>
      </w:pPr>
      <w:r w:rsidRPr="003E400D">
        <w:t xml:space="preserve"> Verter el hormigón en los laterales del canal, realizando el dado indicado por el fabricante. Abrir las juntas de retracción transversales cada 6 m.</w:t>
      </w:r>
    </w:p>
    <w:p w14:paraId="64FD5F29" w14:textId="77777777" w:rsidR="00316114" w:rsidRPr="003E400D" w:rsidRDefault="00316114" w:rsidP="003E400D">
      <w:pPr>
        <w:pStyle w:val="NORMAL12"/>
        <w:numPr>
          <w:ilvl w:val="0"/>
          <w:numId w:val="61"/>
        </w:numPr>
      </w:pPr>
      <w:r w:rsidRPr="003E400D">
        <w:t>Al encontrase embebido en solera rígida, se ha previsto una junta de dilatación longitudinal.</w:t>
      </w:r>
    </w:p>
    <w:p w14:paraId="6738A53F" w14:textId="77777777" w:rsidR="00316114" w:rsidRPr="003E400D" w:rsidRDefault="00316114" w:rsidP="003E400D">
      <w:pPr>
        <w:spacing w:before="120" w:after="120" w:line="360" w:lineRule="auto"/>
        <w:jc w:val="both"/>
        <w:rPr>
          <w:rFonts w:ascii="Arial" w:hAnsi="Arial"/>
        </w:rPr>
      </w:pPr>
      <w:r w:rsidRPr="003E400D">
        <w:rPr>
          <w:rFonts w:ascii="Arial" w:hAnsi="Arial"/>
        </w:rPr>
        <w:t>Una vez ejecutado el canal reja, se procederá a su conexión con la bajante de PVC, de modo que las aguas queden evacuadas hasta la zona inferior de la pasarela, utilizando las juntas, abrazaderas y elementos de conexión necesarios especificados por el fabricante.</w:t>
      </w:r>
    </w:p>
    <w:p w14:paraId="03285DAC" w14:textId="77777777" w:rsidR="00316114" w:rsidRPr="003E400D" w:rsidRDefault="00316114" w:rsidP="000313DD">
      <w:pPr>
        <w:pStyle w:val="TITU2"/>
      </w:pPr>
      <w:bookmarkStart w:id="520" w:name="_Toc404277"/>
      <w:r w:rsidRPr="003E400D">
        <w:t>4</w:t>
      </w:r>
      <w:r w:rsidR="003E400D" w:rsidRPr="003E400D">
        <w:t>25</w:t>
      </w:r>
      <w:r w:rsidRPr="003E400D">
        <w:t>.4. Materiales</w:t>
      </w:r>
      <w:bookmarkEnd w:id="520"/>
      <w:r w:rsidRPr="003E400D">
        <w:t xml:space="preserve"> </w:t>
      </w:r>
    </w:p>
    <w:p w14:paraId="3E9E45A8" w14:textId="77777777" w:rsidR="00316114" w:rsidRPr="003E400D" w:rsidRDefault="00316114" w:rsidP="003E400D">
      <w:pPr>
        <w:spacing w:before="120" w:after="120" w:line="360" w:lineRule="auto"/>
        <w:jc w:val="both"/>
        <w:rPr>
          <w:rFonts w:ascii="Arial" w:hAnsi="Arial"/>
          <w:lang w:val="es-ES_tradnl"/>
        </w:rPr>
      </w:pPr>
      <w:r w:rsidRPr="003E400D">
        <w:rPr>
          <w:rFonts w:ascii="Arial" w:hAnsi="Arial"/>
          <w:lang w:val="es-ES_tradnl"/>
        </w:rPr>
        <w:t xml:space="preserve">Todos los materiales utilizados en la ejecución del canal reja y las bajantes cumplirán con lo especificado en las Instrucciones y Normas vigentes que afecten a dichos </w:t>
      </w:r>
      <w:proofErr w:type="gramStart"/>
      <w:r w:rsidRPr="003E400D">
        <w:rPr>
          <w:rFonts w:ascii="Arial" w:hAnsi="Arial"/>
          <w:lang w:val="es-ES_tradnl"/>
        </w:rPr>
        <w:t>materiales</w:t>
      </w:r>
      <w:proofErr w:type="gramEnd"/>
      <w:r w:rsidRPr="003E400D">
        <w:rPr>
          <w:rFonts w:ascii="Arial" w:hAnsi="Arial"/>
          <w:lang w:val="es-ES_tradnl"/>
        </w:rPr>
        <w:t xml:space="preserve"> así como en los artículos correspondientes del presente pliego. </w:t>
      </w:r>
    </w:p>
    <w:p w14:paraId="58E32462" w14:textId="77777777" w:rsidR="00316114" w:rsidRPr="003E400D" w:rsidRDefault="00316114" w:rsidP="003E400D">
      <w:pPr>
        <w:keepNext/>
        <w:spacing w:before="120" w:after="120" w:line="360" w:lineRule="auto"/>
        <w:jc w:val="both"/>
        <w:rPr>
          <w:rFonts w:ascii="Arial" w:hAnsi="Arial"/>
        </w:rPr>
      </w:pPr>
      <w:r w:rsidRPr="003E400D">
        <w:rPr>
          <w:rFonts w:ascii="Arial" w:hAnsi="Arial"/>
          <w:bCs/>
          <w:i/>
          <w:iCs/>
          <w:u w:val="single"/>
        </w:rPr>
        <w:t>Canal reja</w:t>
      </w:r>
      <w:r w:rsidRPr="003E400D">
        <w:rPr>
          <w:rFonts w:ascii="Arial" w:hAnsi="Arial"/>
        </w:rPr>
        <w:t xml:space="preserve"> </w:t>
      </w:r>
    </w:p>
    <w:p w14:paraId="1CF7B917" w14:textId="77777777" w:rsidR="00316114" w:rsidRPr="003E400D" w:rsidRDefault="00316114" w:rsidP="003E400D">
      <w:pPr>
        <w:spacing w:before="120" w:after="120" w:line="360" w:lineRule="auto"/>
        <w:jc w:val="both"/>
        <w:rPr>
          <w:rFonts w:ascii="Arial" w:hAnsi="Arial"/>
          <w:lang w:val="es-ES_tradnl"/>
        </w:rPr>
      </w:pPr>
      <w:r w:rsidRPr="003E400D">
        <w:rPr>
          <w:rFonts w:ascii="Arial" w:hAnsi="Arial"/>
          <w:lang w:val="es-ES_tradnl"/>
        </w:rPr>
        <w:t>Se colocará un canal reja de hormigón polímero. Se trata de un material de altas prestaciones compuesto por áridos de sílice y cuarzo ligados mediante resinas de poliéster. Esto le confiere una elevada resistencia a compresión, al choque y a los productos químicos, así como un prácticamente nulo porcentaje de absorción de agua, lo que lo hace muy resistente al efecto de los ciclos hielo-deshielo. El canal reja contará con el preceptivo marcado CE.</w:t>
      </w:r>
    </w:p>
    <w:p w14:paraId="66847A00" w14:textId="77777777" w:rsidR="00316114" w:rsidRPr="003E400D" w:rsidRDefault="00316114" w:rsidP="003E400D">
      <w:pPr>
        <w:spacing w:before="120" w:after="120" w:line="360" w:lineRule="auto"/>
        <w:jc w:val="both"/>
        <w:rPr>
          <w:rFonts w:ascii="Arial" w:hAnsi="Arial"/>
          <w:lang w:val="es-ES_tradnl"/>
        </w:rPr>
      </w:pPr>
      <w:r w:rsidRPr="003E400D">
        <w:rPr>
          <w:rFonts w:ascii="Arial" w:hAnsi="Arial"/>
          <w:lang w:val="es-ES_tradnl"/>
        </w:rPr>
        <w:t xml:space="preserve">El hormigón de los dados para la correcta implantación del canal reja debe cumplir las especificaciones del </w:t>
      </w:r>
      <w:r w:rsidR="002A67A1">
        <w:rPr>
          <w:rFonts w:ascii="Arial" w:hAnsi="Arial"/>
          <w:lang w:val="es-ES_tradnl"/>
        </w:rPr>
        <w:t xml:space="preserve">artículo dedicado al </w:t>
      </w:r>
      <w:r w:rsidR="00217216">
        <w:rPr>
          <w:rFonts w:ascii="Arial" w:hAnsi="Arial"/>
          <w:lang w:val="es-ES_tradnl"/>
        </w:rPr>
        <w:t>hormigón</w:t>
      </w:r>
      <w:r w:rsidR="002A67A1">
        <w:rPr>
          <w:rFonts w:ascii="Arial" w:hAnsi="Arial"/>
          <w:lang w:val="es-ES_tradnl"/>
        </w:rPr>
        <w:t xml:space="preserve"> del presente Pliego de Condiciones.</w:t>
      </w:r>
    </w:p>
    <w:p w14:paraId="03493941" w14:textId="77777777" w:rsidR="00316114" w:rsidRPr="003E400D" w:rsidRDefault="00316114" w:rsidP="003E400D">
      <w:pPr>
        <w:keepNext/>
        <w:spacing w:before="120" w:after="120" w:line="360" w:lineRule="auto"/>
        <w:jc w:val="both"/>
        <w:rPr>
          <w:rFonts w:ascii="Arial" w:hAnsi="Arial"/>
        </w:rPr>
      </w:pPr>
      <w:r w:rsidRPr="003E400D">
        <w:rPr>
          <w:rFonts w:ascii="Arial" w:hAnsi="Arial"/>
          <w:bCs/>
          <w:i/>
          <w:iCs/>
          <w:u w:val="single"/>
        </w:rPr>
        <w:t>Rejilla</w:t>
      </w:r>
      <w:r w:rsidRPr="003E400D">
        <w:rPr>
          <w:rFonts w:ascii="Arial" w:hAnsi="Arial"/>
        </w:rPr>
        <w:t xml:space="preserve"> </w:t>
      </w:r>
    </w:p>
    <w:p w14:paraId="2B2631A1" w14:textId="77777777" w:rsidR="00316114" w:rsidRPr="003E400D" w:rsidRDefault="00316114" w:rsidP="003E400D">
      <w:pPr>
        <w:spacing w:before="120" w:after="120" w:line="360" w:lineRule="auto"/>
        <w:jc w:val="both"/>
        <w:rPr>
          <w:rFonts w:ascii="Arial" w:hAnsi="Arial"/>
          <w:lang w:val="es-ES_tradnl"/>
        </w:rPr>
      </w:pPr>
      <w:r w:rsidRPr="003E400D">
        <w:rPr>
          <w:rFonts w:ascii="Arial" w:hAnsi="Arial"/>
          <w:lang w:val="es-ES_tradnl"/>
        </w:rPr>
        <w:t xml:space="preserve">Según normas EN-124, EN-1433 y DIN-19580, estarán clasificadas como clase </w:t>
      </w:r>
      <w:r w:rsidR="003E400D">
        <w:rPr>
          <w:rFonts w:ascii="Arial" w:hAnsi="Arial"/>
          <w:lang w:val="es-ES_tradnl"/>
        </w:rPr>
        <w:t>D</w:t>
      </w:r>
      <w:r w:rsidRPr="003E400D">
        <w:rPr>
          <w:rFonts w:ascii="Arial" w:hAnsi="Arial"/>
          <w:lang w:val="es-ES_tradnl"/>
        </w:rPr>
        <w:t xml:space="preserve"> debiendo de soportar una resistencia de </w:t>
      </w:r>
      <w:r w:rsidR="003E400D">
        <w:rPr>
          <w:rFonts w:ascii="Arial" w:hAnsi="Arial"/>
          <w:lang w:val="es-ES_tradnl"/>
        </w:rPr>
        <w:t>400</w:t>
      </w:r>
      <w:r w:rsidRPr="003E400D">
        <w:rPr>
          <w:rFonts w:ascii="Arial" w:hAnsi="Arial"/>
          <w:lang w:val="es-ES_tradnl"/>
        </w:rPr>
        <w:t>kN de carga vertical sobre la misma (</w:t>
      </w:r>
      <w:r w:rsidR="003E400D">
        <w:rPr>
          <w:rFonts w:ascii="Arial" w:hAnsi="Arial"/>
          <w:lang w:val="es-ES_tradnl"/>
        </w:rPr>
        <w:t>en calzada y zona de paso de vehículos</w:t>
      </w:r>
      <w:r w:rsidRPr="003E400D">
        <w:rPr>
          <w:rFonts w:ascii="Arial" w:hAnsi="Arial"/>
          <w:lang w:val="es-ES_tradnl"/>
        </w:rPr>
        <w:t xml:space="preserve">). La rejilla debe ser diseñada para poder garantizar una recogida multidireccional de las aguas y poder utilizarse puntualmente para </w:t>
      </w:r>
      <w:r w:rsidRPr="003E400D">
        <w:rPr>
          <w:rFonts w:ascii="Arial" w:hAnsi="Arial"/>
          <w:lang w:val="es-ES_tradnl"/>
        </w:rPr>
        <w:lastRenderedPageBreak/>
        <w:t xml:space="preserve">inspecciones, facilitando la apertura y asegurando el cierre. Las rejillas dispuestas, debido a su categoría </w:t>
      </w:r>
      <w:r w:rsidR="006D20A0">
        <w:rPr>
          <w:rFonts w:ascii="Arial" w:hAnsi="Arial"/>
          <w:lang w:val="es-ES_tradnl"/>
        </w:rPr>
        <w:t>D</w:t>
      </w:r>
      <w:r w:rsidRPr="003E400D">
        <w:rPr>
          <w:rFonts w:ascii="Arial" w:hAnsi="Arial"/>
          <w:lang w:val="es-ES_tradnl"/>
        </w:rPr>
        <w:t>-</w:t>
      </w:r>
      <w:r w:rsidR="006D20A0">
        <w:rPr>
          <w:rFonts w:ascii="Arial" w:hAnsi="Arial"/>
          <w:lang w:val="es-ES_tradnl"/>
        </w:rPr>
        <w:t>400</w:t>
      </w:r>
      <w:r w:rsidRPr="003E400D">
        <w:rPr>
          <w:rFonts w:ascii="Arial" w:hAnsi="Arial"/>
          <w:lang w:val="es-ES_tradnl"/>
        </w:rPr>
        <w:t>, cumplirán las siguientes características:</w:t>
      </w:r>
    </w:p>
    <w:tbl>
      <w:tblPr>
        <w:tblW w:w="0" w:type="auto"/>
        <w:jc w:val="center"/>
        <w:tblCellMar>
          <w:left w:w="0" w:type="dxa"/>
          <w:right w:w="0" w:type="dxa"/>
        </w:tblCellMar>
        <w:tblLook w:val="04A0" w:firstRow="1" w:lastRow="0" w:firstColumn="1" w:lastColumn="0" w:noHBand="0" w:noVBand="1"/>
      </w:tblPr>
      <w:tblGrid>
        <w:gridCol w:w="5095"/>
        <w:gridCol w:w="246"/>
        <w:gridCol w:w="3431"/>
      </w:tblGrid>
      <w:tr w:rsidR="00316114" w:rsidRPr="009305DF" w14:paraId="6564F379" w14:textId="77777777" w:rsidTr="009305DF">
        <w:trPr>
          <w:trHeight w:val="300"/>
          <w:tblHeader/>
          <w:jc w:val="center"/>
        </w:trPr>
        <w:tc>
          <w:tcPr>
            <w:tcW w:w="5095" w:type="dxa"/>
            <w:tcBorders>
              <w:top w:val="single" w:sz="2" w:space="0" w:color="auto"/>
              <w:left w:val="single" w:sz="4" w:space="0" w:color="auto"/>
              <w:bottom w:val="single" w:sz="2" w:space="0" w:color="auto"/>
              <w:right w:val="single" w:sz="4" w:space="0" w:color="auto"/>
            </w:tcBorders>
            <w:shd w:val="clear" w:color="auto" w:fill="D9D9D9" w:themeFill="background1" w:themeFillShade="D9"/>
            <w:noWrap/>
            <w:tcMar>
              <w:top w:w="17" w:type="dxa"/>
              <w:left w:w="17" w:type="dxa"/>
              <w:bottom w:w="0" w:type="dxa"/>
              <w:right w:w="17" w:type="dxa"/>
            </w:tcMar>
            <w:vAlign w:val="bottom"/>
            <w:hideMark/>
          </w:tcPr>
          <w:p w14:paraId="734ABE1C" w14:textId="77777777" w:rsidR="00316114" w:rsidRPr="009305DF" w:rsidRDefault="00316114" w:rsidP="009305DF">
            <w:pPr>
              <w:spacing w:before="40" w:after="40" w:line="264" w:lineRule="auto"/>
              <w:ind w:left="401"/>
              <w:jc w:val="center"/>
              <w:rPr>
                <w:rFonts w:ascii="Arial" w:hAnsi="Arial" w:cs="Arial"/>
                <w:b/>
                <w:sz w:val="20"/>
                <w:szCs w:val="20"/>
              </w:rPr>
            </w:pPr>
            <w:r w:rsidRPr="009305DF">
              <w:rPr>
                <w:rFonts w:ascii="Arial" w:hAnsi="Arial" w:cs="Arial"/>
                <w:b/>
                <w:sz w:val="20"/>
                <w:szCs w:val="20"/>
              </w:rPr>
              <w:t xml:space="preserve">Características </w:t>
            </w:r>
            <w:r w:rsidR="006D20A0" w:rsidRPr="009305DF">
              <w:rPr>
                <w:rFonts w:ascii="Arial" w:hAnsi="Arial" w:cs="Arial"/>
                <w:b/>
                <w:sz w:val="20"/>
                <w:szCs w:val="20"/>
              </w:rPr>
              <w:t>D</w:t>
            </w:r>
            <w:r w:rsidRPr="009305DF">
              <w:rPr>
                <w:rFonts w:ascii="Arial" w:hAnsi="Arial" w:cs="Arial"/>
                <w:b/>
                <w:sz w:val="20"/>
                <w:szCs w:val="20"/>
              </w:rPr>
              <w:t>-</w:t>
            </w:r>
            <w:r w:rsidR="006D20A0" w:rsidRPr="009305DF">
              <w:rPr>
                <w:rFonts w:ascii="Arial" w:hAnsi="Arial" w:cs="Arial"/>
                <w:b/>
                <w:sz w:val="20"/>
                <w:szCs w:val="20"/>
              </w:rPr>
              <w:t>400</w:t>
            </w:r>
          </w:p>
        </w:tc>
        <w:tc>
          <w:tcPr>
            <w:tcW w:w="246" w:type="dxa"/>
            <w:tcBorders>
              <w:top w:val="single" w:sz="2" w:space="0" w:color="auto"/>
              <w:left w:val="single" w:sz="4" w:space="0" w:color="auto"/>
              <w:bottom w:val="single" w:sz="2" w:space="0" w:color="auto"/>
            </w:tcBorders>
            <w:shd w:val="clear" w:color="auto" w:fill="D9D9D9" w:themeFill="background1" w:themeFillShade="D9"/>
            <w:vAlign w:val="bottom"/>
          </w:tcPr>
          <w:p w14:paraId="156C3A1A" w14:textId="77777777" w:rsidR="00316114" w:rsidRPr="009305DF" w:rsidRDefault="00316114" w:rsidP="009305DF">
            <w:pPr>
              <w:spacing w:before="40" w:after="40" w:line="264" w:lineRule="auto"/>
              <w:jc w:val="center"/>
              <w:rPr>
                <w:rFonts w:ascii="Arial" w:hAnsi="Arial" w:cs="Arial"/>
                <w:b/>
                <w:sz w:val="20"/>
                <w:szCs w:val="20"/>
              </w:rPr>
            </w:pPr>
          </w:p>
        </w:tc>
        <w:tc>
          <w:tcPr>
            <w:tcW w:w="3431" w:type="dxa"/>
            <w:tcBorders>
              <w:top w:val="single" w:sz="2" w:space="0" w:color="auto"/>
              <w:bottom w:val="single" w:sz="2" w:space="0" w:color="auto"/>
              <w:right w:val="single" w:sz="4" w:space="0" w:color="auto"/>
            </w:tcBorders>
            <w:shd w:val="clear" w:color="auto" w:fill="D9D9D9" w:themeFill="background1" w:themeFillShade="D9"/>
            <w:noWrap/>
            <w:tcMar>
              <w:top w:w="17" w:type="dxa"/>
              <w:left w:w="17" w:type="dxa"/>
              <w:bottom w:w="0" w:type="dxa"/>
              <w:right w:w="17" w:type="dxa"/>
            </w:tcMar>
            <w:vAlign w:val="center"/>
            <w:hideMark/>
          </w:tcPr>
          <w:p w14:paraId="73FDA9B8" w14:textId="77777777" w:rsidR="00316114" w:rsidRPr="009305DF" w:rsidRDefault="00316114" w:rsidP="009305DF">
            <w:pPr>
              <w:spacing w:before="40" w:after="40" w:line="264" w:lineRule="auto"/>
              <w:jc w:val="center"/>
              <w:rPr>
                <w:rFonts w:ascii="Arial" w:hAnsi="Arial" w:cs="Arial"/>
                <w:b/>
                <w:sz w:val="20"/>
                <w:szCs w:val="20"/>
              </w:rPr>
            </w:pPr>
            <w:r w:rsidRPr="009305DF">
              <w:rPr>
                <w:rFonts w:ascii="Arial" w:hAnsi="Arial" w:cs="Arial"/>
                <w:b/>
                <w:sz w:val="20"/>
                <w:szCs w:val="20"/>
              </w:rPr>
              <w:t>Epígrafes norma EN 124</w:t>
            </w:r>
          </w:p>
        </w:tc>
      </w:tr>
      <w:tr w:rsidR="00316114" w:rsidRPr="009305DF" w14:paraId="215AB323" w14:textId="77777777" w:rsidTr="00927CC1">
        <w:trPr>
          <w:trHeight w:val="300"/>
          <w:jc w:val="center"/>
        </w:trPr>
        <w:tc>
          <w:tcPr>
            <w:tcW w:w="5095" w:type="dxa"/>
            <w:tcBorders>
              <w:top w:val="single" w:sz="2" w:space="0" w:color="auto"/>
              <w:left w:val="single" w:sz="4" w:space="0" w:color="auto"/>
              <w:bottom w:val="nil"/>
              <w:right w:val="single" w:sz="4" w:space="0" w:color="auto"/>
            </w:tcBorders>
            <w:noWrap/>
            <w:tcMar>
              <w:top w:w="17" w:type="dxa"/>
              <w:left w:w="17" w:type="dxa"/>
              <w:bottom w:w="0" w:type="dxa"/>
              <w:right w:w="17" w:type="dxa"/>
            </w:tcMar>
            <w:vAlign w:val="center"/>
            <w:hideMark/>
          </w:tcPr>
          <w:p w14:paraId="6CDD5E11" w14:textId="77777777" w:rsidR="00316114" w:rsidRPr="009305DF" w:rsidRDefault="00316114" w:rsidP="00316114">
            <w:pPr>
              <w:spacing w:before="40" w:after="40" w:line="264" w:lineRule="auto"/>
              <w:ind w:left="361"/>
              <w:rPr>
                <w:rFonts w:ascii="Arial" w:hAnsi="Arial" w:cs="Arial"/>
                <w:sz w:val="20"/>
                <w:szCs w:val="20"/>
              </w:rPr>
            </w:pPr>
            <w:r w:rsidRPr="009305DF">
              <w:rPr>
                <w:rFonts w:ascii="Arial" w:hAnsi="Arial" w:cs="Arial"/>
                <w:sz w:val="20"/>
                <w:szCs w:val="20"/>
              </w:rPr>
              <w:t xml:space="preserve">Superficie de ventilación </w:t>
            </w:r>
          </w:p>
        </w:tc>
        <w:tc>
          <w:tcPr>
            <w:tcW w:w="246" w:type="dxa"/>
            <w:tcBorders>
              <w:top w:val="single" w:sz="2" w:space="0" w:color="auto"/>
              <w:left w:val="single" w:sz="4" w:space="0" w:color="auto"/>
              <w:bottom w:val="nil"/>
            </w:tcBorders>
            <w:vAlign w:val="center"/>
          </w:tcPr>
          <w:p w14:paraId="036EAEB6" w14:textId="77777777" w:rsidR="00316114" w:rsidRPr="009305DF" w:rsidRDefault="00316114" w:rsidP="00316114">
            <w:pPr>
              <w:spacing w:before="40" w:after="40" w:line="264" w:lineRule="auto"/>
              <w:rPr>
                <w:rFonts w:ascii="Arial" w:hAnsi="Arial" w:cs="Arial"/>
                <w:sz w:val="20"/>
                <w:szCs w:val="20"/>
              </w:rPr>
            </w:pPr>
          </w:p>
        </w:tc>
        <w:tc>
          <w:tcPr>
            <w:tcW w:w="0" w:type="auto"/>
            <w:tcBorders>
              <w:top w:val="single" w:sz="2" w:space="0" w:color="auto"/>
              <w:bottom w:val="nil"/>
              <w:right w:val="single" w:sz="4" w:space="0" w:color="auto"/>
            </w:tcBorders>
            <w:noWrap/>
            <w:tcMar>
              <w:top w:w="17" w:type="dxa"/>
              <w:left w:w="17" w:type="dxa"/>
              <w:bottom w:w="0" w:type="dxa"/>
              <w:right w:w="17" w:type="dxa"/>
            </w:tcMar>
            <w:vAlign w:val="center"/>
            <w:hideMark/>
          </w:tcPr>
          <w:p w14:paraId="48312B66" w14:textId="77777777" w:rsidR="00316114" w:rsidRPr="009305DF" w:rsidRDefault="00316114" w:rsidP="00316114">
            <w:pPr>
              <w:spacing w:before="40" w:after="40" w:line="264" w:lineRule="auto"/>
              <w:jc w:val="center"/>
              <w:rPr>
                <w:rFonts w:ascii="Arial" w:hAnsi="Arial" w:cs="Arial"/>
                <w:sz w:val="20"/>
                <w:szCs w:val="20"/>
              </w:rPr>
            </w:pPr>
            <w:r w:rsidRPr="009305DF">
              <w:rPr>
                <w:rFonts w:ascii="Arial" w:hAnsi="Arial" w:cs="Arial"/>
                <w:sz w:val="20"/>
                <w:szCs w:val="20"/>
              </w:rPr>
              <w:t>7.2</w:t>
            </w:r>
          </w:p>
        </w:tc>
      </w:tr>
      <w:tr w:rsidR="00316114" w:rsidRPr="009305DF" w14:paraId="6CCA01F6" w14:textId="77777777" w:rsidTr="00927CC1">
        <w:trPr>
          <w:trHeight w:val="300"/>
          <w:jc w:val="center"/>
        </w:trPr>
        <w:tc>
          <w:tcPr>
            <w:tcW w:w="5095" w:type="dxa"/>
            <w:tcBorders>
              <w:top w:val="nil"/>
              <w:left w:val="single" w:sz="4" w:space="0" w:color="auto"/>
              <w:right w:val="single" w:sz="4" w:space="0" w:color="auto"/>
            </w:tcBorders>
            <w:noWrap/>
            <w:tcMar>
              <w:top w:w="17" w:type="dxa"/>
              <w:left w:w="17" w:type="dxa"/>
              <w:bottom w:w="0" w:type="dxa"/>
              <w:right w:w="17" w:type="dxa"/>
            </w:tcMar>
            <w:vAlign w:val="center"/>
            <w:hideMark/>
          </w:tcPr>
          <w:p w14:paraId="2F96F957" w14:textId="77777777" w:rsidR="00316114" w:rsidRPr="009305DF" w:rsidRDefault="00316114" w:rsidP="00316114">
            <w:pPr>
              <w:spacing w:before="40" w:after="40" w:line="264" w:lineRule="auto"/>
              <w:ind w:left="361"/>
              <w:rPr>
                <w:rFonts w:ascii="Arial" w:hAnsi="Arial" w:cs="Arial"/>
                <w:sz w:val="20"/>
                <w:szCs w:val="20"/>
              </w:rPr>
            </w:pPr>
            <w:r w:rsidRPr="009305DF">
              <w:rPr>
                <w:rFonts w:ascii="Arial" w:hAnsi="Arial" w:cs="Arial"/>
                <w:sz w:val="20"/>
                <w:szCs w:val="20"/>
              </w:rPr>
              <w:t xml:space="preserve">Cota de paso </w:t>
            </w:r>
          </w:p>
        </w:tc>
        <w:tc>
          <w:tcPr>
            <w:tcW w:w="246" w:type="dxa"/>
            <w:tcBorders>
              <w:top w:val="nil"/>
              <w:left w:val="single" w:sz="4" w:space="0" w:color="auto"/>
            </w:tcBorders>
            <w:vAlign w:val="center"/>
          </w:tcPr>
          <w:p w14:paraId="4DE85E37" w14:textId="77777777" w:rsidR="00316114" w:rsidRPr="009305DF" w:rsidRDefault="00316114" w:rsidP="00316114">
            <w:pPr>
              <w:spacing w:before="40" w:after="40" w:line="264" w:lineRule="auto"/>
              <w:rPr>
                <w:rFonts w:ascii="Arial" w:hAnsi="Arial" w:cs="Arial"/>
                <w:sz w:val="20"/>
                <w:szCs w:val="20"/>
              </w:rPr>
            </w:pPr>
          </w:p>
        </w:tc>
        <w:tc>
          <w:tcPr>
            <w:tcW w:w="0" w:type="auto"/>
            <w:tcBorders>
              <w:top w:val="nil"/>
              <w:right w:val="single" w:sz="4" w:space="0" w:color="auto"/>
            </w:tcBorders>
            <w:noWrap/>
            <w:tcMar>
              <w:top w:w="17" w:type="dxa"/>
              <w:left w:w="17" w:type="dxa"/>
              <w:bottom w:w="0" w:type="dxa"/>
              <w:right w:w="17" w:type="dxa"/>
            </w:tcMar>
            <w:vAlign w:val="center"/>
            <w:hideMark/>
          </w:tcPr>
          <w:p w14:paraId="66733520" w14:textId="77777777" w:rsidR="00316114" w:rsidRPr="009305DF" w:rsidRDefault="00316114" w:rsidP="00316114">
            <w:pPr>
              <w:spacing w:before="40" w:after="40" w:line="264" w:lineRule="auto"/>
              <w:jc w:val="center"/>
              <w:rPr>
                <w:rFonts w:ascii="Arial" w:hAnsi="Arial" w:cs="Arial"/>
                <w:sz w:val="20"/>
                <w:szCs w:val="20"/>
              </w:rPr>
            </w:pPr>
            <w:r w:rsidRPr="009305DF">
              <w:rPr>
                <w:rFonts w:ascii="Arial" w:hAnsi="Arial" w:cs="Arial"/>
                <w:sz w:val="20"/>
                <w:szCs w:val="20"/>
              </w:rPr>
              <w:t>7.3</w:t>
            </w:r>
          </w:p>
        </w:tc>
      </w:tr>
      <w:tr w:rsidR="00316114" w:rsidRPr="009305DF" w14:paraId="4E1E8129" w14:textId="77777777" w:rsidTr="00927CC1">
        <w:trPr>
          <w:trHeight w:val="300"/>
          <w:jc w:val="center"/>
        </w:trPr>
        <w:tc>
          <w:tcPr>
            <w:tcW w:w="5095"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center"/>
            <w:hideMark/>
          </w:tcPr>
          <w:p w14:paraId="1CBA2571" w14:textId="77777777" w:rsidR="00316114" w:rsidRPr="009305DF" w:rsidRDefault="00316114" w:rsidP="00316114">
            <w:pPr>
              <w:spacing w:before="40" w:after="40" w:line="264" w:lineRule="auto"/>
              <w:ind w:left="361"/>
              <w:rPr>
                <w:rFonts w:ascii="Arial" w:hAnsi="Arial" w:cs="Arial"/>
                <w:sz w:val="20"/>
                <w:szCs w:val="20"/>
              </w:rPr>
            </w:pPr>
            <w:r w:rsidRPr="009305DF">
              <w:rPr>
                <w:rFonts w:ascii="Arial" w:hAnsi="Arial" w:cs="Arial"/>
                <w:sz w:val="20"/>
                <w:szCs w:val="20"/>
              </w:rPr>
              <w:t xml:space="preserve">Profundidad de encastre </w:t>
            </w:r>
          </w:p>
        </w:tc>
        <w:tc>
          <w:tcPr>
            <w:tcW w:w="246" w:type="dxa"/>
            <w:tcBorders>
              <w:top w:val="nil"/>
              <w:left w:val="single" w:sz="4" w:space="0" w:color="auto"/>
              <w:bottom w:val="single" w:sz="4" w:space="0" w:color="auto"/>
            </w:tcBorders>
            <w:vAlign w:val="center"/>
          </w:tcPr>
          <w:p w14:paraId="2C3B2942" w14:textId="77777777" w:rsidR="00316114" w:rsidRPr="009305DF" w:rsidRDefault="00316114" w:rsidP="00316114">
            <w:pPr>
              <w:spacing w:before="40" w:after="40" w:line="264" w:lineRule="auto"/>
              <w:rPr>
                <w:rFonts w:ascii="Arial" w:hAnsi="Arial" w:cs="Arial"/>
                <w:sz w:val="20"/>
                <w:szCs w:val="20"/>
              </w:rPr>
            </w:pPr>
          </w:p>
        </w:tc>
        <w:tc>
          <w:tcPr>
            <w:tcW w:w="0" w:type="auto"/>
            <w:tcBorders>
              <w:top w:val="nil"/>
              <w:bottom w:val="single" w:sz="4" w:space="0" w:color="auto"/>
              <w:right w:val="single" w:sz="4" w:space="0" w:color="auto"/>
            </w:tcBorders>
            <w:noWrap/>
            <w:tcMar>
              <w:top w:w="17" w:type="dxa"/>
              <w:left w:w="17" w:type="dxa"/>
              <w:bottom w:w="0" w:type="dxa"/>
              <w:right w:w="17" w:type="dxa"/>
            </w:tcMar>
            <w:vAlign w:val="center"/>
            <w:hideMark/>
          </w:tcPr>
          <w:p w14:paraId="74AA8E35" w14:textId="77777777" w:rsidR="00316114" w:rsidRPr="009305DF" w:rsidRDefault="00316114" w:rsidP="00316114">
            <w:pPr>
              <w:spacing w:before="40" w:after="40" w:line="264" w:lineRule="auto"/>
              <w:jc w:val="center"/>
              <w:rPr>
                <w:rFonts w:ascii="Arial" w:hAnsi="Arial" w:cs="Arial"/>
                <w:sz w:val="20"/>
                <w:szCs w:val="20"/>
              </w:rPr>
            </w:pPr>
            <w:r w:rsidRPr="009305DF">
              <w:rPr>
                <w:rFonts w:ascii="Arial" w:hAnsi="Arial" w:cs="Arial"/>
                <w:sz w:val="20"/>
                <w:szCs w:val="20"/>
              </w:rPr>
              <w:t>7.4</w:t>
            </w:r>
          </w:p>
        </w:tc>
      </w:tr>
      <w:tr w:rsidR="00316114" w:rsidRPr="009305DF" w14:paraId="314461BF" w14:textId="77777777" w:rsidTr="00927CC1">
        <w:trPr>
          <w:trHeight w:val="300"/>
          <w:jc w:val="center"/>
        </w:trPr>
        <w:tc>
          <w:tcPr>
            <w:tcW w:w="5095" w:type="dxa"/>
            <w:tcBorders>
              <w:top w:val="single" w:sz="4" w:space="0" w:color="auto"/>
              <w:left w:val="single" w:sz="4" w:space="0" w:color="auto"/>
              <w:bottom w:val="nil"/>
              <w:right w:val="single" w:sz="4" w:space="0" w:color="auto"/>
            </w:tcBorders>
            <w:noWrap/>
            <w:tcMar>
              <w:top w:w="17" w:type="dxa"/>
              <w:left w:w="17" w:type="dxa"/>
              <w:bottom w:w="0" w:type="dxa"/>
              <w:right w:w="17" w:type="dxa"/>
            </w:tcMar>
            <w:vAlign w:val="center"/>
            <w:hideMark/>
          </w:tcPr>
          <w:p w14:paraId="034DF01E" w14:textId="77777777" w:rsidR="00316114" w:rsidRPr="009305DF" w:rsidRDefault="00316114" w:rsidP="00316114">
            <w:pPr>
              <w:spacing w:before="40" w:after="40" w:line="264" w:lineRule="auto"/>
              <w:ind w:left="361"/>
              <w:rPr>
                <w:rFonts w:ascii="Arial" w:hAnsi="Arial" w:cs="Arial"/>
                <w:sz w:val="20"/>
                <w:szCs w:val="20"/>
              </w:rPr>
            </w:pPr>
            <w:r w:rsidRPr="009305DF">
              <w:rPr>
                <w:rFonts w:ascii="Arial" w:hAnsi="Arial" w:cs="Arial"/>
                <w:sz w:val="20"/>
                <w:szCs w:val="20"/>
              </w:rPr>
              <w:t xml:space="preserve">Aseguramiento tapa/marco </w:t>
            </w:r>
          </w:p>
        </w:tc>
        <w:tc>
          <w:tcPr>
            <w:tcW w:w="3677" w:type="dxa"/>
            <w:gridSpan w:val="2"/>
            <w:tcBorders>
              <w:top w:val="single" w:sz="4" w:space="0" w:color="auto"/>
              <w:left w:val="single" w:sz="4" w:space="0" w:color="auto"/>
              <w:bottom w:val="nil"/>
              <w:right w:val="single" w:sz="4" w:space="0" w:color="auto"/>
            </w:tcBorders>
            <w:vAlign w:val="center"/>
          </w:tcPr>
          <w:p w14:paraId="600169CA" w14:textId="77777777" w:rsidR="00316114" w:rsidRPr="009305DF" w:rsidRDefault="00316114" w:rsidP="00316114">
            <w:pPr>
              <w:spacing w:before="40" w:after="40" w:line="264" w:lineRule="auto"/>
              <w:jc w:val="center"/>
              <w:rPr>
                <w:rFonts w:ascii="Arial" w:hAnsi="Arial" w:cs="Arial"/>
                <w:sz w:val="20"/>
                <w:szCs w:val="20"/>
              </w:rPr>
            </w:pPr>
            <w:r w:rsidRPr="009305DF">
              <w:rPr>
                <w:rFonts w:ascii="Arial" w:hAnsi="Arial" w:cs="Arial"/>
                <w:sz w:val="20"/>
                <w:szCs w:val="20"/>
              </w:rPr>
              <w:t>7.8</w:t>
            </w:r>
          </w:p>
        </w:tc>
      </w:tr>
      <w:tr w:rsidR="00316114" w:rsidRPr="009305DF" w14:paraId="5AAE8509" w14:textId="77777777" w:rsidTr="00927CC1">
        <w:trPr>
          <w:trHeight w:val="300"/>
          <w:jc w:val="center"/>
        </w:trPr>
        <w:tc>
          <w:tcPr>
            <w:tcW w:w="5095" w:type="dxa"/>
            <w:tcBorders>
              <w:top w:val="nil"/>
              <w:left w:val="single" w:sz="4" w:space="0" w:color="auto"/>
              <w:bottom w:val="nil"/>
              <w:right w:val="single" w:sz="4" w:space="0" w:color="auto"/>
            </w:tcBorders>
            <w:noWrap/>
            <w:tcMar>
              <w:top w:w="17" w:type="dxa"/>
              <w:left w:w="17" w:type="dxa"/>
              <w:bottom w:w="0" w:type="dxa"/>
              <w:right w:w="17" w:type="dxa"/>
            </w:tcMar>
            <w:vAlign w:val="center"/>
            <w:hideMark/>
          </w:tcPr>
          <w:p w14:paraId="2766B46E" w14:textId="77777777" w:rsidR="00316114" w:rsidRPr="009305DF" w:rsidRDefault="00316114" w:rsidP="00316114">
            <w:pPr>
              <w:spacing w:before="40" w:after="40" w:line="264" w:lineRule="auto"/>
              <w:ind w:left="361"/>
              <w:rPr>
                <w:rFonts w:ascii="Arial" w:hAnsi="Arial" w:cs="Arial"/>
                <w:sz w:val="20"/>
                <w:szCs w:val="20"/>
              </w:rPr>
            </w:pPr>
            <w:r w:rsidRPr="009305DF">
              <w:rPr>
                <w:rFonts w:ascii="Arial" w:hAnsi="Arial" w:cs="Arial"/>
                <w:sz w:val="20"/>
                <w:szCs w:val="20"/>
              </w:rPr>
              <w:t>Presión de apoyo del marco</w:t>
            </w:r>
          </w:p>
        </w:tc>
        <w:tc>
          <w:tcPr>
            <w:tcW w:w="3677" w:type="dxa"/>
            <w:gridSpan w:val="2"/>
            <w:tcBorders>
              <w:top w:val="nil"/>
              <w:left w:val="single" w:sz="4" w:space="0" w:color="auto"/>
              <w:bottom w:val="nil"/>
              <w:right w:val="single" w:sz="4" w:space="0" w:color="auto"/>
            </w:tcBorders>
            <w:vAlign w:val="center"/>
          </w:tcPr>
          <w:p w14:paraId="2A24A3D9" w14:textId="77777777" w:rsidR="00316114" w:rsidRPr="009305DF" w:rsidRDefault="00316114" w:rsidP="00316114">
            <w:pPr>
              <w:spacing w:before="40" w:after="40" w:line="264" w:lineRule="auto"/>
              <w:jc w:val="center"/>
              <w:rPr>
                <w:rFonts w:ascii="Arial" w:hAnsi="Arial" w:cs="Arial"/>
                <w:sz w:val="20"/>
                <w:szCs w:val="20"/>
              </w:rPr>
            </w:pPr>
            <w:r w:rsidRPr="009305DF">
              <w:rPr>
                <w:rFonts w:ascii="Arial" w:hAnsi="Arial" w:cs="Arial"/>
                <w:sz w:val="20"/>
                <w:szCs w:val="20"/>
              </w:rPr>
              <w:t>7.15</w:t>
            </w:r>
          </w:p>
        </w:tc>
      </w:tr>
      <w:tr w:rsidR="00316114" w:rsidRPr="009305DF" w14:paraId="111AFB06" w14:textId="77777777" w:rsidTr="00927CC1">
        <w:trPr>
          <w:trHeight w:val="300"/>
          <w:jc w:val="center"/>
        </w:trPr>
        <w:tc>
          <w:tcPr>
            <w:tcW w:w="5095" w:type="dxa"/>
            <w:tcBorders>
              <w:top w:val="nil"/>
              <w:left w:val="single" w:sz="4" w:space="0" w:color="auto"/>
              <w:bottom w:val="nil"/>
              <w:right w:val="single" w:sz="4" w:space="0" w:color="auto"/>
            </w:tcBorders>
            <w:noWrap/>
            <w:tcMar>
              <w:top w:w="17" w:type="dxa"/>
              <w:left w:w="17" w:type="dxa"/>
              <w:bottom w:w="0" w:type="dxa"/>
              <w:right w:w="17" w:type="dxa"/>
            </w:tcMar>
            <w:vAlign w:val="center"/>
            <w:hideMark/>
          </w:tcPr>
          <w:p w14:paraId="743295DD" w14:textId="77777777" w:rsidR="00316114" w:rsidRPr="009305DF" w:rsidRDefault="00316114" w:rsidP="00316114">
            <w:pPr>
              <w:spacing w:before="40" w:after="40" w:line="264" w:lineRule="auto"/>
              <w:ind w:left="361"/>
              <w:rPr>
                <w:rFonts w:ascii="Arial" w:hAnsi="Arial" w:cs="Arial"/>
                <w:sz w:val="20"/>
                <w:szCs w:val="20"/>
              </w:rPr>
            </w:pPr>
            <w:r w:rsidRPr="009305DF">
              <w:rPr>
                <w:rFonts w:ascii="Arial" w:hAnsi="Arial" w:cs="Arial"/>
                <w:sz w:val="20"/>
                <w:szCs w:val="20"/>
              </w:rPr>
              <w:t>Altura del marco</w:t>
            </w:r>
          </w:p>
        </w:tc>
        <w:tc>
          <w:tcPr>
            <w:tcW w:w="3677" w:type="dxa"/>
            <w:gridSpan w:val="2"/>
            <w:tcBorders>
              <w:top w:val="nil"/>
              <w:left w:val="single" w:sz="4" w:space="0" w:color="auto"/>
              <w:bottom w:val="nil"/>
              <w:right w:val="single" w:sz="4" w:space="0" w:color="auto"/>
            </w:tcBorders>
            <w:vAlign w:val="center"/>
          </w:tcPr>
          <w:p w14:paraId="53AC3931" w14:textId="77777777" w:rsidR="00316114" w:rsidRPr="009305DF" w:rsidRDefault="00316114" w:rsidP="00316114">
            <w:pPr>
              <w:spacing w:before="40" w:after="40" w:line="264" w:lineRule="auto"/>
              <w:jc w:val="center"/>
              <w:rPr>
                <w:rFonts w:ascii="Arial" w:hAnsi="Arial" w:cs="Arial"/>
                <w:sz w:val="20"/>
                <w:szCs w:val="20"/>
              </w:rPr>
            </w:pPr>
            <w:r w:rsidRPr="009305DF">
              <w:rPr>
                <w:rFonts w:ascii="Arial" w:hAnsi="Arial" w:cs="Arial"/>
                <w:sz w:val="20"/>
                <w:szCs w:val="20"/>
              </w:rPr>
              <w:t>7.16</w:t>
            </w:r>
          </w:p>
        </w:tc>
      </w:tr>
      <w:tr w:rsidR="00316114" w:rsidRPr="009305DF" w14:paraId="7A2513F4" w14:textId="77777777" w:rsidTr="00927CC1">
        <w:trPr>
          <w:trHeight w:val="300"/>
          <w:jc w:val="center"/>
        </w:trPr>
        <w:tc>
          <w:tcPr>
            <w:tcW w:w="5095" w:type="dxa"/>
            <w:tcBorders>
              <w:top w:val="nil"/>
              <w:left w:val="single" w:sz="4" w:space="0" w:color="auto"/>
              <w:bottom w:val="nil"/>
              <w:right w:val="single" w:sz="4" w:space="0" w:color="auto"/>
            </w:tcBorders>
            <w:noWrap/>
            <w:tcMar>
              <w:top w:w="17" w:type="dxa"/>
              <w:left w:w="17" w:type="dxa"/>
              <w:bottom w:w="0" w:type="dxa"/>
              <w:right w:w="17" w:type="dxa"/>
            </w:tcMar>
            <w:vAlign w:val="center"/>
            <w:hideMark/>
          </w:tcPr>
          <w:p w14:paraId="531CD013" w14:textId="77777777" w:rsidR="00316114" w:rsidRPr="009305DF" w:rsidRDefault="00316114" w:rsidP="00316114">
            <w:pPr>
              <w:spacing w:before="40" w:after="40" w:line="264" w:lineRule="auto"/>
              <w:ind w:left="361"/>
              <w:rPr>
                <w:rFonts w:ascii="Arial" w:hAnsi="Arial" w:cs="Arial"/>
                <w:sz w:val="20"/>
                <w:szCs w:val="20"/>
              </w:rPr>
            </w:pPr>
            <w:r w:rsidRPr="009305DF">
              <w:rPr>
                <w:rFonts w:ascii="Arial" w:hAnsi="Arial" w:cs="Arial"/>
                <w:sz w:val="20"/>
                <w:szCs w:val="20"/>
              </w:rPr>
              <w:t xml:space="preserve">Ángulo de apertura </w:t>
            </w:r>
          </w:p>
        </w:tc>
        <w:tc>
          <w:tcPr>
            <w:tcW w:w="3677" w:type="dxa"/>
            <w:gridSpan w:val="2"/>
            <w:tcBorders>
              <w:top w:val="nil"/>
              <w:left w:val="single" w:sz="4" w:space="0" w:color="auto"/>
              <w:bottom w:val="nil"/>
              <w:right w:val="single" w:sz="4" w:space="0" w:color="auto"/>
            </w:tcBorders>
            <w:vAlign w:val="center"/>
          </w:tcPr>
          <w:p w14:paraId="136739E7" w14:textId="77777777" w:rsidR="00316114" w:rsidRPr="009305DF" w:rsidRDefault="00316114" w:rsidP="00316114">
            <w:pPr>
              <w:spacing w:before="40" w:after="40" w:line="264" w:lineRule="auto"/>
              <w:jc w:val="center"/>
              <w:rPr>
                <w:rFonts w:ascii="Arial" w:hAnsi="Arial" w:cs="Arial"/>
                <w:sz w:val="20"/>
                <w:szCs w:val="20"/>
              </w:rPr>
            </w:pPr>
            <w:r w:rsidRPr="009305DF">
              <w:rPr>
                <w:rFonts w:ascii="Arial" w:hAnsi="Arial" w:cs="Arial"/>
                <w:sz w:val="20"/>
                <w:szCs w:val="20"/>
              </w:rPr>
              <w:t>7.17</w:t>
            </w:r>
          </w:p>
        </w:tc>
      </w:tr>
      <w:tr w:rsidR="00316114" w:rsidRPr="009305DF" w14:paraId="7C1BD837" w14:textId="77777777" w:rsidTr="00927CC1">
        <w:trPr>
          <w:trHeight w:val="300"/>
          <w:jc w:val="center"/>
        </w:trPr>
        <w:tc>
          <w:tcPr>
            <w:tcW w:w="5095" w:type="dxa"/>
            <w:tcBorders>
              <w:top w:val="nil"/>
              <w:left w:val="single" w:sz="4" w:space="0" w:color="auto"/>
              <w:bottom w:val="nil"/>
              <w:right w:val="single" w:sz="4" w:space="0" w:color="auto"/>
            </w:tcBorders>
            <w:noWrap/>
            <w:tcMar>
              <w:top w:w="17" w:type="dxa"/>
              <w:left w:w="17" w:type="dxa"/>
              <w:bottom w:w="0" w:type="dxa"/>
              <w:right w:w="17" w:type="dxa"/>
            </w:tcMar>
            <w:vAlign w:val="center"/>
            <w:hideMark/>
          </w:tcPr>
          <w:p w14:paraId="7B7B6AF4" w14:textId="77777777" w:rsidR="00316114" w:rsidRPr="009305DF" w:rsidRDefault="00316114" w:rsidP="00316114">
            <w:pPr>
              <w:spacing w:before="40" w:after="40" w:line="264" w:lineRule="auto"/>
              <w:ind w:left="361"/>
              <w:rPr>
                <w:rFonts w:ascii="Arial" w:hAnsi="Arial" w:cs="Arial"/>
                <w:sz w:val="20"/>
                <w:szCs w:val="20"/>
              </w:rPr>
            </w:pPr>
            <w:r w:rsidRPr="009305DF">
              <w:rPr>
                <w:rFonts w:ascii="Arial" w:hAnsi="Arial" w:cs="Arial"/>
                <w:sz w:val="20"/>
                <w:szCs w:val="20"/>
              </w:rPr>
              <w:t xml:space="preserve">Superficie de absorción </w:t>
            </w:r>
          </w:p>
        </w:tc>
        <w:tc>
          <w:tcPr>
            <w:tcW w:w="3677" w:type="dxa"/>
            <w:gridSpan w:val="2"/>
            <w:tcBorders>
              <w:top w:val="nil"/>
              <w:left w:val="single" w:sz="4" w:space="0" w:color="auto"/>
              <w:bottom w:val="nil"/>
              <w:right w:val="single" w:sz="4" w:space="0" w:color="auto"/>
            </w:tcBorders>
            <w:vAlign w:val="center"/>
          </w:tcPr>
          <w:p w14:paraId="48C30176" w14:textId="77777777" w:rsidR="00316114" w:rsidRPr="009305DF" w:rsidRDefault="00316114" w:rsidP="00316114">
            <w:pPr>
              <w:spacing w:before="40" w:after="40" w:line="264" w:lineRule="auto"/>
              <w:jc w:val="center"/>
              <w:rPr>
                <w:rFonts w:ascii="Arial" w:hAnsi="Arial" w:cs="Arial"/>
                <w:sz w:val="20"/>
                <w:szCs w:val="20"/>
              </w:rPr>
            </w:pPr>
            <w:r w:rsidRPr="009305DF">
              <w:rPr>
                <w:rFonts w:ascii="Arial" w:hAnsi="Arial" w:cs="Arial"/>
                <w:sz w:val="20"/>
                <w:szCs w:val="20"/>
              </w:rPr>
              <w:t>7.9</w:t>
            </w:r>
          </w:p>
        </w:tc>
      </w:tr>
      <w:tr w:rsidR="00316114" w:rsidRPr="009305DF" w14:paraId="0CBA7B62" w14:textId="77777777" w:rsidTr="00927CC1">
        <w:trPr>
          <w:trHeight w:val="300"/>
          <w:jc w:val="center"/>
        </w:trPr>
        <w:tc>
          <w:tcPr>
            <w:tcW w:w="5095" w:type="dxa"/>
            <w:tcBorders>
              <w:top w:val="nil"/>
              <w:left w:val="single" w:sz="4" w:space="0" w:color="auto"/>
              <w:bottom w:val="nil"/>
              <w:right w:val="single" w:sz="4" w:space="0" w:color="auto"/>
            </w:tcBorders>
            <w:noWrap/>
            <w:tcMar>
              <w:top w:w="17" w:type="dxa"/>
              <w:left w:w="17" w:type="dxa"/>
              <w:bottom w:w="0" w:type="dxa"/>
              <w:right w:w="17" w:type="dxa"/>
            </w:tcMar>
            <w:vAlign w:val="center"/>
            <w:hideMark/>
          </w:tcPr>
          <w:p w14:paraId="5342B9B4" w14:textId="77777777" w:rsidR="00316114" w:rsidRPr="009305DF" w:rsidRDefault="00316114" w:rsidP="00316114">
            <w:pPr>
              <w:spacing w:before="40" w:after="40" w:line="264" w:lineRule="auto"/>
              <w:ind w:left="361"/>
              <w:rPr>
                <w:rFonts w:ascii="Arial" w:hAnsi="Arial" w:cs="Arial"/>
                <w:sz w:val="20"/>
                <w:szCs w:val="20"/>
              </w:rPr>
            </w:pPr>
            <w:r w:rsidRPr="009305DF">
              <w:rPr>
                <w:rFonts w:ascii="Arial" w:hAnsi="Arial" w:cs="Arial"/>
                <w:sz w:val="20"/>
                <w:szCs w:val="20"/>
              </w:rPr>
              <w:t xml:space="preserve">Fuerza de control </w:t>
            </w:r>
          </w:p>
        </w:tc>
        <w:tc>
          <w:tcPr>
            <w:tcW w:w="3677" w:type="dxa"/>
            <w:gridSpan w:val="2"/>
            <w:tcBorders>
              <w:top w:val="nil"/>
              <w:left w:val="single" w:sz="4" w:space="0" w:color="auto"/>
              <w:bottom w:val="nil"/>
              <w:right w:val="single" w:sz="4" w:space="0" w:color="auto"/>
            </w:tcBorders>
            <w:vAlign w:val="center"/>
          </w:tcPr>
          <w:p w14:paraId="41DB14D1" w14:textId="77777777" w:rsidR="00316114" w:rsidRPr="009305DF" w:rsidRDefault="00316114" w:rsidP="00316114">
            <w:pPr>
              <w:spacing w:before="40" w:after="40" w:line="264" w:lineRule="auto"/>
              <w:jc w:val="center"/>
              <w:rPr>
                <w:rFonts w:ascii="Arial" w:hAnsi="Arial" w:cs="Arial"/>
                <w:sz w:val="20"/>
                <w:szCs w:val="20"/>
              </w:rPr>
            </w:pPr>
            <w:r w:rsidRPr="009305DF">
              <w:rPr>
                <w:rFonts w:ascii="Arial" w:hAnsi="Arial" w:cs="Arial"/>
                <w:sz w:val="20"/>
                <w:szCs w:val="20"/>
              </w:rPr>
              <w:t>8.3.2</w:t>
            </w:r>
          </w:p>
        </w:tc>
      </w:tr>
      <w:tr w:rsidR="00316114" w:rsidRPr="009305DF" w14:paraId="0AE319DC" w14:textId="77777777" w:rsidTr="00927CC1">
        <w:trPr>
          <w:trHeight w:val="300"/>
          <w:jc w:val="center"/>
        </w:trPr>
        <w:tc>
          <w:tcPr>
            <w:tcW w:w="5095" w:type="dxa"/>
            <w:tcBorders>
              <w:top w:val="nil"/>
              <w:left w:val="single" w:sz="4" w:space="0" w:color="auto"/>
              <w:bottom w:val="nil"/>
              <w:right w:val="single" w:sz="4" w:space="0" w:color="auto"/>
            </w:tcBorders>
            <w:noWrap/>
            <w:tcMar>
              <w:top w:w="17" w:type="dxa"/>
              <w:left w:w="17" w:type="dxa"/>
              <w:bottom w:w="0" w:type="dxa"/>
              <w:right w:w="17" w:type="dxa"/>
            </w:tcMar>
            <w:vAlign w:val="center"/>
            <w:hideMark/>
          </w:tcPr>
          <w:p w14:paraId="691C0FD4" w14:textId="77777777" w:rsidR="00316114" w:rsidRPr="009305DF" w:rsidRDefault="00316114" w:rsidP="00316114">
            <w:pPr>
              <w:spacing w:before="40" w:after="40" w:line="264" w:lineRule="auto"/>
              <w:ind w:left="361"/>
              <w:rPr>
                <w:rFonts w:ascii="Arial" w:hAnsi="Arial" w:cs="Arial"/>
                <w:sz w:val="20"/>
                <w:szCs w:val="20"/>
              </w:rPr>
            </w:pPr>
            <w:r w:rsidRPr="009305DF">
              <w:rPr>
                <w:rFonts w:ascii="Arial" w:hAnsi="Arial" w:cs="Arial"/>
                <w:sz w:val="20"/>
                <w:szCs w:val="20"/>
              </w:rPr>
              <w:t xml:space="preserve">Material </w:t>
            </w:r>
          </w:p>
        </w:tc>
        <w:tc>
          <w:tcPr>
            <w:tcW w:w="3677" w:type="dxa"/>
            <w:gridSpan w:val="2"/>
            <w:tcBorders>
              <w:top w:val="nil"/>
              <w:left w:val="single" w:sz="4" w:space="0" w:color="auto"/>
              <w:bottom w:val="nil"/>
              <w:right w:val="single" w:sz="4" w:space="0" w:color="auto"/>
            </w:tcBorders>
            <w:vAlign w:val="center"/>
          </w:tcPr>
          <w:p w14:paraId="74981ED0" w14:textId="77777777" w:rsidR="00316114" w:rsidRPr="009305DF" w:rsidRDefault="00316114" w:rsidP="00316114">
            <w:pPr>
              <w:spacing w:before="40" w:after="40" w:line="264" w:lineRule="auto"/>
              <w:jc w:val="center"/>
              <w:rPr>
                <w:rFonts w:ascii="Arial" w:hAnsi="Arial" w:cs="Arial"/>
                <w:sz w:val="20"/>
                <w:szCs w:val="20"/>
              </w:rPr>
            </w:pPr>
            <w:r w:rsidRPr="009305DF">
              <w:rPr>
                <w:rFonts w:ascii="Arial" w:hAnsi="Arial" w:cs="Arial"/>
                <w:sz w:val="20"/>
                <w:szCs w:val="20"/>
              </w:rPr>
              <w:t xml:space="preserve">Especificaciones de la norma </w:t>
            </w:r>
          </w:p>
        </w:tc>
      </w:tr>
      <w:tr w:rsidR="00316114" w:rsidRPr="009305DF" w14:paraId="1981F438" w14:textId="77777777" w:rsidTr="00927CC1">
        <w:trPr>
          <w:trHeight w:val="300"/>
          <w:jc w:val="center"/>
        </w:trPr>
        <w:tc>
          <w:tcPr>
            <w:tcW w:w="5095" w:type="dxa"/>
            <w:tcBorders>
              <w:top w:val="nil"/>
              <w:left w:val="single" w:sz="4" w:space="0" w:color="auto"/>
              <w:right w:val="single" w:sz="4" w:space="0" w:color="auto"/>
            </w:tcBorders>
            <w:noWrap/>
            <w:tcMar>
              <w:top w:w="17" w:type="dxa"/>
              <w:left w:w="17" w:type="dxa"/>
              <w:bottom w:w="0" w:type="dxa"/>
              <w:right w:w="17" w:type="dxa"/>
            </w:tcMar>
            <w:vAlign w:val="center"/>
            <w:hideMark/>
          </w:tcPr>
          <w:p w14:paraId="4563CFFC" w14:textId="77777777" w:rsidR="00316114" w:rsidRPr="009305DF" w:rsidRDefault="00316114" w:rsidP="00316114">
            <w:pPr>
              <w:spacing w:before="40" w:after="40" w:line="264" w:lineRule="auto"/>
              <w:ind w:left="361"/>
              <w:rPr>
                <w:rFonts w:ascii="Arial" w:hAnsi="Arial" w:cs="Arial"/>
                <w:sz w:val="20"/>
                <w:szCs w:val="20"/>
              </w:rPr>
            </w:pPr>
            <w:r w:rsidRPr="009305DF">
              <w:rPr>
                <w:rFonts w:ascii="Arial" w:hAnsi="Arial" w:cs="Arial"/>
                <w:sz w:val="20"/>
                <w:szCs w:val="20"/>
              </w:rPr>
              <w:t xml:space="preserve">Ensayos en la vía </w:t>
            </w:r>
          </w:p>
        </w:tc>
        <w:tc>
          <w:tcPr>
            <w:tcW w:w="3677" w:type="dxa"/>
            <w:gridSpan w:val="2"/>
            <w:tcBorders>
              <w:top w:val="nil"/>
              <w:left w:val="single" w:sz="4" w:space="0" w:color="auto"/>
              <w:right w:val="single" w:sz="4" w:space="0" w:color="auto"/>
            </w:tcBorders>
            <w:vAlign w:val="center"/>
          </w:tcPr>
          <w:p w14:paraId="212EBFD4" w14:textId="77777777" w:rsidR="00316114" w:rsidRPr="009305DF" w:rsidRDefault="00316114" w:rsidP="00316114">
            <w:pPr>
              <w:spacing w:before="40" w:after="40" w:line="264" w:lineRule="auto"/>
              <w:jc w:val="center"/>
              <w:rPr>
                <w:rFonts w:ascii="Arial" w:hAnsi="Arial" w:cs="Arial"/>
                <w:sz w:val="20"/>
                <w:szCs w:val="20"/>
              </w:rPr>
            </w:pPr>
            <w:r w:rsidRPr="009305DF">
              <w:rPr>
                <w:rFonts w:ascii="Arial" w:hAnsi="Arial" w:cs="Arial"/>
                <w:sz w:val="20"/>
                <w:szCs w:val="20"/>
              </w:rPr>
              <w:t xml:space="preserve">Especificaciones de la norma </w:t>
            </w:r>
          </w:p>
        </w:tc>
      </w:tr>
      <w:tr w:rsidR="00316114" w:rsidRPr="009305DF" w14:paraId="5A6A57F9" w14:textId="77777777" w:rsidTr="00927CC1">
        <w:trPr>
          <w:trHeight w:val="300"/>
          <w:jc w:val="center"/>
        </w:trPr>
        <w:tc>
          <w:tcPr>
            <w:tcW w:w="5095" w:type="dxa"/>
            <w:tcBorders>
              <w:top w:val="nil"/>
              <w:left w:val="single" w:sz="4" w:space="0" w:color="auto"/>
              <w:bottom w:val="single" w:sz="4" w:space="0" w:color="auto"/>
              <w:right w:val="single" w:sz="4" w:space="0" w:color="auto"/>
            </w:tcBorders>
            <w:noWrap/>
            <w:tcMar>
              <w:top w:w="17" w:type="dxa"/>
              <w:left w:w="17" w:type="dxa"/>
              <w:bottom w:w="0" w:type="dxa"/>
              <w:right w:w="17" w:type="dxa"/>
            </w:tcMar>
            <w:vAlign w:val="center"/>
            <w:hideMark/>
          </w:tcPr>
          <w:p w14:paraId="2982D7C5" w14:textId="77777777" w:rsidR="00316114" w:rsidRPr="009305DF" w:rsidRDefault="00316114" w:rsidP="00316114">
            <w:pPr>
              <w:spacing w:before="40" w:after="40" w:line="264" w:lineRule="auto"/>
              <w:ind w:left="361"/>
              <w:rPr>
                <w:rFonts w:ascii="Arial" w:hAnsi="Arial" w:cs="Arial"/>
                <w:sz w:val="20"/>
                <w:szCs w:val="20"/>
              </w:rPr>
            </w:pPr>
            <w:r w:rsidRPr="009305DF">
              <w:rPr>
                <w:rFonts w:ascii="Arial" w:hAnsi="Arial" w:cs="Arial"/>
                <w:sz w:val="20"/>
                <w:szCs w:val="20"/>
              </w:rPr>
              <w:t>Rejillas y sumideros</w:t>
            </w:r>
          </w:p>
        </w:tc>
        <w:tc>
          <w:tcPr>
            <w:tcW w:w="3677" w:type="dxa"/>
            <w:gridSpan w:val="2"/>
            <w:tcBorders>
              <w:top w:val="nil"/>
              <w:left w:val="single" w:sz="4" w:space="0" w:color="auto"/>
              <w:bottom w:val="single" w:sz="4" w:space="0" w:color="auto"/>
              <w:right w:val="single" w:sz="4" w:space="0" w:color="auto"/>
            </w:tcBorders>
            <w:vAlign w:val="center"/>
          </w:tcPr>
          <w:p w14:paraId="1B9C68BA" w14:textId="77777777" w:rsidR="00316114" w:rsidRPr="009305DF" w:rsidRDefault="00316114" w:rsidP="00316114">
            <w:pPr>
              <w:spacing w:before="40" w:after="40" w:line="264" w:lineRule="auto"/>
              <w:jc w:val="center"/>
              <w:rPr>
                <w:rFonts w:ascii="Arial" w:hAnsi="Arial" w:cs="Arial"/>
                <w:sz w:val="20"/>
                <w:szCs w:val="20"/>
              </w:rPr>
            </w:pPr>
            <w:r w:rsidRPr="009305DF">
              <w:rPr>
                <w:rFonts w:ascii="Arial" w:hAnsi="Arial" w:cs="Arial"/>
                <w:sz w:val="20"/>
                <w:szCs w:val="20"/>
              </w:rPr>
              <w:t xml:space="preserve">Especificaciones de la norma </w:t>
            </w:r>
          </w:p>
        </w:tc>
      </w:tr>
      <w:tr w:rsidR="00316114" w:rsidRPr="009305DF" w14:paraId="450D8A85" w14:textId="77777777" w:rsidTr="00927CC1">
        <w:trPr>
          <w:trHeight w:val="300"/>
          <w:jc w:val="center"/>
        </w:trPr>
        <w:tc>
          <w:tcPr>
            <w:tcW w:w="5095" w:type="dxa"/>
            <w:tcBorders>
              <w:top w:val="single" w:sz="4" w:space="0" w:color="auto"/>
              <w:left w:val="single" w:sz="4" w:space="0" w:color="auto"/>
              <w:bottom w:val="single" w:sz="4" w:space="0" w:color="auto"/>
              <w:right w:val="single" w:sz="4" w:space="0" w:color="auto"/>
            </w:tcBorders>
            <w:noWrap/>
            <w:tcMar>
              <w:top w:w="17" w:type="dxa"/>
              <w:left w:w="17" w:type="dxa"/>
              <w:bottom w:w="0" w:type="dxa"/>
              <w:right w:w="17" w:type="dxa"/>
            </w:tcMar>
            <w:vAlign w:val="center"/>
            <w:hideMark/>
          </w:tcPr>
          <w:p w14:paraId="3CBDD256" w14:textId="77777777" w:rsidR="00316114" w:rsidRPr="009305DF" w:rsidRDefault="00316114" w:rsidP="00316114">
            <w:pPr>
              <w:spacing w:before="40" w:after="40" w:line="264" w:lineRule="auto"/>
              <w:ind w:left="361"/>
              <w:rPr>
                <w:rFonts w:ascii="Arial" w:hAnsi="Arial" w:cs="Arial"/>
                <w:sz w:val="20"/>
                <w:szCs w:val="20"/>
              </w:rPr>
            </w:pPr>
            <w:r w:rsidRPr="009305DF">
              <w:rPr>
                <w:rFonts w:ascii="Arial" w:hAnsi="Arial" w:cs="Arial"/>
                <w:sz w:val="20"/>
                <w:szCs w:val="20"/>
              </w:rPr>
              <w:t>Resistencia al deslizamiento</w:t>
            </w:r>
          </w:p>
        </w:tc>
        <w:tc>
          <w:tcPr>
            <w:tcW w:w="3677" w:type="dxa"/>
            <w:gridSpan w:val="2"/>
            <w:tcBorders>
              <w:top w:val="single" w:sz="4" w:space="0" w:color="auto"/>
              <w:left w:val="single" w:sz="4" w:space="0" w:color="auto"/>
              <w:bottom w:val="single" w:sz="4" w:space="0" w:color="auto"/>
              <w:right w:val="single" w:sz="4" w:space="0" w:color="auto"/>
            </w:tcBorders>
            <w:vAlign w:val="center"/>
          </w:tcPr>
          <w:p w14:paraId="593AEFC7" w14:textId="77777777" w:rsidR="00316114" w:rsidRPr="009305DF" w:rsidRDefault="00316114" w:rsidP="00316114">
            <w:pPr>
              <w:spacing w:before="40" w:after="40" w:line="264" w:lineRule="auto"/>
              <w:jc w:val="center"/>
              <w:rPr>
                <w:rFonts w:ascii="Arial" w:hAnsi="Arial" w:cs="Arial"/>
                <w:sz w:val="20"/>
                <w:szCs w:val="20"/>
              </w:rPr>
            </w:pPr>
            <w:r w:rsidRPr="009305DF">
              <w:rPr>
                <w:rFonts w:ascii="Arial" w:hAnsi="Arial" w:cs="Arial"/>
                <w:sz w:val="20"/>
                <w:szCs w:val="20"/>
              </w:rPr>
              <w:t xml:space="preserve">Especificaciones de la norma </w:t>
            </w:r>
          </w:p>
        </w:tc>
      </w:tr>
    </w:tbl>
    <w:p w14:paraId="3387F95E" w14:textId="77777777" w:rsidR="00316114" w:rsidRPr="003E400D" w:rsidRDefault="00316114" w:rsidP="00316114">
      <w:pPr>
        <w:spacing w:before="120" w:after="120" w:line="360" w:lineRule="auto"/>
        <w:ind w:firstLine="709"/>
        <w:jc w:val="both"/>
        <w:rPr>
          <w:rFonts w:ascii="Arial" w:hAnsi="Arial"/>
          <w:lang w:val="es-ES_tradnl"/>
        </w:rPr>
      </w:pPr>
      <w:r w:rsidRPr="003E400D">
        <w:rPr>
          <w:rFonts w:ascii="Arial" w:hAnsi="Arial"/>
          <w:lang w:val="es-ES_tradnl"/>
        </w:rPr>
        <w:t xml:space="preserve">Como criterio adicional, el fabricante deberá garantizar que las rejillas han sido tratadas con una protección anticorrosión. </w:t>
      </w:r>
    </w:p>
    <w:p w14:paraId="027657F4" w14:textId="77777777" w:rsidR="00316114" w:rsidRPr="003E400D" w:rsidRDefault="00316114" w:rsidP="006D20A0">
      <w:pPr>
        <w:spacing w:before="120" w:after="120" w:line="360" w:lineRule="auto"/>
        <w:jc w:val="both"/>
        <w:rPr>
          <w:rFonts w:ascii="Arial" w:hAnsi="Arial"/>
          <w:i/>
          <w:u w:val="single"/>
          <w:lang w:val="es-ES_tradnl"/>
        </w:rPr>
      </w:pPr>
      <w:r w:rsidRPr="003E400D">
        <w:rPr>
          <w:rFonts w:ascii="Arial" w:hAnsi="Arial"/>
          <w:i/>
          <w:u w:val="single"/>
          <w:lang w:val="es-ES_tradnl"/>
        </w:rPr>
        <w:t>Junta de dilatación</w:t>
      </w:r>
    </w:p>
    <w:p w14:paraId="1118E616" w14:textId="77777777" w:rsidR="00316114" w:rsidRPr="003E400D" w:rsidRDefault="00316114" w:rsidP="006D20A0">
      <w:pPr>
        <w:spacing w:before="120" w:after="120" w:line="360" w:lineRule="auto"/>
        <w:jc w:val="both"/>
        <w:rPr>
          <w:rFonts w:ascii="Arial" w:hAnsi="Arial"/>
        </w:rPr>
      </w:pPr>
      <w:r w:rsidRPr="003E400D">
        <w:rPr>
          <w:rFonts w:ascii="Arial" w:hAnsi="Arial"/>
        </w:rPr>
        <w:t xml:space="preserve">Como elemento de sellado se dispondrá un cordón de espuma </w:t>
      </w:r>
      <w:proofErr w:type="spellStart"/>
      <w:r w:rsidRPr="003E400D">
        <w:rPr>
          <w:rFonts w:ascii="Arial" w:hAnsi="Arial"/>
        </w:rPr>
        <w:t>polietilénica</w:t>
      </w:r>
      <w:proofErr w:type="spellEnd"/>
      <w:r w:rsidRPr="003E400D">
        <w:rPr>
          <w:rFonts w:ascii="Arial" w:hAnsi="Arial"/>
        </w:rPr>
        <w:t xml:space="preserve"> extruida de célula cerrada, para soporte de selladores </w:t>
      </w:r>
      <w:proofErr w:type="spellStart"/>
      <w:r w:rsidRPr="003E400D">
        <w:rPr>
          <w:rFonts w:ascii="Arial" w:hAnsi="Arial"/>
        </w:rPr>
        <w:t>elastoméricos</w:t>
      </w:r>
      <w:proofErr w:type="spellEnd"/>
      <w:r w:rsidRPr="003E400D">
        <w:rPr>
          <w:rFonts w:ascii="Arial" w:hAnsi="Arial"/>
        </w:rPr>
        <w:t xml:space="preserve">. Sus características principales son que no absorbe agua, posee una gran elasticidad y conserva inalteradas sus propiedades con el paso del tiempo. Debe utilizarse un cordón de diámetro superior a la junta a sellar, colocándose mediante una ligera presión hasta la profundidad prevista. </w:t>
      </w:r>
    </w:p>
    <w:p w14:paraId="033FA78D" w14:textId="77777777" w:rsidR="00316114" w:rsidRDefault="00316114" w:rsidP="006D20A0">
      <w:pPr>
        <w:spacing w:before="120" w:after="120" w:line="360" w:lineRule="auto"/>
        <w:jc w:val="both"/>
        <w:rPr>
          <w:rFonts w:ascii="Arial" w:hAnsi="Arial"/>
        </w:rPr>
      </w:pPr>
      <w:r w:rsidRPr="003E400D">
        <w:rPr>
          <w:rFonts w:ascii="Arial" w:hAnsi="Arial"/>
        </w:rPr>
        <w:t>Este material tiene las siguientes características:</w:t>
      </w:r>
    </w:p>
    <w:tbl>
      <w:tblPr>
        <w:tblW w:w="6640" w:type="dxa"/>
        <w:jc w:val="center"/>
        <w:tblCellMar>
          <w:left w:w="70" w:type="dxa"/>
          <w:right w:w="70" w:type="dxa"/>
        </w:tblCellMar>
        <w:tblLook w:val="04A0" w:firstRow="1" w:lastRow="0" w:firstColumn="1" w:lastColumn="0" w:noHBand="0" w:noVBand="1"/>
      </w:tblPr>
      <w:tblGrid>
        <w:gridCol w:w="4969"/>
        <w:gridCol w:w="1671"/>
      </w:tblGrid>
      <w:tr w:rsidR="006455AE" w14:paraId="0106D8F3" w14:textId="77777777" w:rsidTr="006455AE">
        <w:trPr>
          <w:trHeight w:val="300"/>
          <w:jc w:val="center"/>
        </w:trPr>
        <w:tc>
          <w:tcPr>
            <w:tcW w:w="4969" w:type="dxa"/>
            <w:tcBorders>
              <w:top w:val="single" w:sz="4" w:space="0" w:color="auto"/>
              <w:left w:val="single" w:sz="4" w:space="0" w:color="auto"/>
              <w:bottom w:val="single" w:sz="4" w:space="0" w:color="auto"/>
              <w:right w:val="single" w:sz="4" w:space="0" w:color="auto"/>
            </w:tcBorders>
            <w:noWrap/>
            <w:vAlign w:val="bottom"/>
            <w:hideMark/>
          </w:tcPr>
          <w:p w14:paraId="3C0B7044" w14:textId="77777777" w:rsidR="006455AE" w:rsidRDefault="006455AE">
            <w:pPr>
              <w:rPr>
                <w:rFonts w:ascii="Calibri" w:hAnsi="Calibri" w:cs="Calibri"/>
                <w:color w:val="000000"/>
                <w:sz w:val="22"/>
                <w:szCs w:val="22"/>
              </w:rPr>
            </w:pPr>
            <w:r>
              <w:rPr>
                <w:rFonts w:ascii="Calibri" w:hAnsi="Calibri" w:cs="Calibri"/>
                <w:color w:val="000000"/>
                <w:sz w:val="22"/>
                <w:szCs w:val="22"/>
              </w:rPr>
              <w:t>Color</w:t>
            </w:r>
          </w:p>
        </w:tc>
        <w:tc>
          <w:tcPr>
            <w:tcW w:w="1671" w:type="dxa"/>
            <w:tcBorders>
              <w:top w:val="single" w:sz="4" w:space="0" w:color="auto"/>
              <w:left w:val="nil"/>
              <w:bottom w:val="single" w:sz="4" w:space="0" w:color="auto"/>
              <w:right w:val="single" w:sz="4" w:space="0" w:color="auto"/>
            </w:tcBorders>
            <w:noWrap/>
            <w:vAlign w:val="bottom"/>
            <w:hideMark/>
          </w:tcPr>
          <w:p w14:paraId="1DDEA258" w14:textId="77777777" w:rsidR="006455AE" w:rsidRDefault="006455AE">
            <w:pPr>
              <w:jc w:val="center"/>
              <w:rPr>
                <w:rFonts w:ascii="Calibri" w:hAnsi="Calibri" w:cs="Calibri"/>
                <w:color w:val="000000"/>
                <w:sz w:val="22"/>
                <w:szCs w:val="22"/>
              </w:rPr>
            </w:pPr>
            <w:r>
              <w:rPr>
                <w:rFonts w:ascii="Calibri" w:hAnsi="Calibri" w:cs="Calibri"/>
                <w:color w:val="000000"/>
                <w:sz w:val="22"/>
                <w:szCs w:val="22"/>
              </w:rPr>
              <w:t>gris</w:t>
            </w:r>
          </w:p>
        </w:tc>
      </w:tr>
      <w:tr w:rsidR="006455AE" w14:paraId="56AD04C8" w14:textId="77777777" w:rsidTr="006455AE">
        <w:trPr>
          <w:trHeight w:val="300"/>
          <w:jc w:val="center"/>
        </w:trPr>
        <w:tc>
          <w:tcPr>
            <w:tcW w:w="4969" w:type="dxa"/>
            <w:tcBorders>
              <w:top w:val="nil"/>
              <w:left w:val="single" w:sz="4" w:space="0" w:color="auto"/>
              <w:bottom w:val="single" w:sz="4" w:space="0" w:color="auto"/>
              <w:right w:val="single" w:sz="4" w:space="0" w:color="auto"/>
            </w:tcBorders>
            <w:noWrap/>
            <w:vAlign w:val="bottom"/>
            <w:hideMark/>
          </w:tcPr>
          <w:p w14:paraId="7EBD809F" w14:textId="77777777" w:rsidR="006455AE" w:rsidRDefault="006455AE">
            <w:pPr>
              <w:rPr>
                <w:rFonts w:ascii="Calibri" w:hAnsi="Calibri" w:cs="Calibri"/>
                <w:color w:val="000000"/>
                <w:sz w:val="22"/>
                <w:szCs w:val="22"/>
              </w:rPr>
            </w:pPr>
            <w:r>
              <w:rPr>
                <w:rFonts w:ascii="Calibri" w:hAnsi="Calibri" w:cs="Calibri"/>
                <w:color w:val="000000"/>
                <w:sz w:val="22"/>
                <w:szCs w:val="22"/>
              </w:rPr>
              <w:t>Masa volumétrica (kg/m</w:t>
            </w:r>
            <w:r w:rsidRPr="00E34DE7">
              <w:rPr>
                <w:rFonts w:ascii="Calibri" w:hAnsi="Calibri" w:cs="Calibri"/>
                <w:color w:val="000000"/>
                <w:sz w:val="22"/>
                <w:szCs w:val="22"/>
                <w:vertAlign w:val="superscript"/>
              </w:rPr>
              <w:t>3</w:t>
            </w:r>
            <w:r>
              <w:rPr>
                <w:rFonts w:ascii="Calibri" w:hAnsi="Calibri" w:cs="Calibri"/>
                <w:color w:val="000000"/>
                <w:sz w:val="22"/>
                <w:szCs w:val="22"/>
              </w:rPr>
              <w:t>)</w:t>
            </w:r>
          </w:p>
        </w:tc>
        <w:tc>
          <w:tcPr>
            <w:tcW w:w="1671" w:type="dxa"/>
            <w:tcBorders>
              <w:top w:val="nil"/>
              <w:left w:val="nil"/>
              <w:bottom w:val="single" w:sz="4" w:space="0" w:color="auto"/>
              <w:right w:val="single" w:sz="4" w:space="0" w:color="auto"/>
            </w:tcBorders>
            <w:noWrap/>
            <w:vAlign w:val="bottom"/>
            <w:hideMark/>
          </w:tcPr>
          <w:p w14:paraId="46FC4342" w14:textId="77777777" w:rsidR="006455AE" w:rsidRDefault="006455AE">
            <w:pPr>
              <w:jc w:val="center"/>
              <w:rPr>
                <w:rFonts w:ascii="Calibri" w:hAnsi="Calibri" w:cs="Calibri"/>
                <w:color w:val="000000"/>
                <w:sz w:val="22"/>
                <w:szCs w:val="22"/>
              </w:rPr>
            </w:pPr>
            <w:r>
              <w:rPr>
                <w:rFonts w:ascii="Calibri" w:hAnsi="Calibri" w:cs="Calibri"/>
                <w:color w:val="000000"/>
                <w:sz w:val="22"/>
                <w:szCs w:val="22"/>
              </w:rPr>
              <w:t>40</w:t>
            </w:r>
          </w:p>
        </w:tc>
      </w:tr>
      <w:tr w:rsidR="006455AE" w14:paraId="7249E04A" w14:textId="77777777" w:rsidTr="006455AE">
        <w:trPr>
          <w:trHeight w:val="300"/>
          <w:jc w:val="center"/>
        </w:trPr>
        <w:tc>
          <w:tcPr>
            <w:tcW w:w="4969" w:type="dxa"/>
            <w:tcBorders>
              <w:top w:val="nil"/>
              <w:left w:val="single" w:sz="4" w:space="0" w:color="auto"/>
              <w:bottom w:val="single" w:sz="4" w:space="0" w:color="auto"/>
              <w:right w:val="single" w:sz="4" w:space="0" w:color="auto"/>
            </w:tcBorders>
            <w:noWrap/>
            <w:vAlign w:val="bottom"/>
            <w:hideMark/>
          </w:tcPr>
          <w:p w14:paraId="469D4346" w14:textId="77777777" w:rsidR="006455AE" w:rsidRDefault="006455AE">
            <w:pPr>
              <w:rPr>
                <w:rFonts w:ascii="Calibri" w:hAnsi="Calibri" w:cs="Calibri"/>
                <w:color w:val="000000"/>
                <w:sz w:val="22"/>
                <w:szCs w:val="22"/>
              </w:rPr>
            </w:pPr>
            <w:r>
              <w:rPr>
                <w:rFonts w:ascii="Calibri" w:hAnsi="Calibri" w:cs="Calibri"/>
                <w:color w:val="000000"/>
                <w:sz w:val="22"/>
                <w:szCs w:val="22"/>
              </w:rPr>
              <w:t>Resistencia a la tracción longitudinal (N/mm</w:t>
            </w:r>
            <w:r w:rsidRPr="00E34DE7">
              <w:rPr>
                <w:rFonts w:ascii="Calibri" w:hAnsi="Calibri" w:cs="Calibri"/>
                <w:color w:val="000000"/>
                <w:sz w:val="22"/>
                <w:szCs w:val="22"/>
                <w:vertAlign w:val="superscript"/>
              </w:rPr>
              <w:t>2</w:t>
            </w:r>
            <w:r>
              <w:rPr>
                <w:rFonts w:ascii="Calibri" w:hAnsi="Calibri" w:cs="Calibri"/>
                <w:color w:val="000000"/>
                <w:sz w:val="22"/>
                <w:szCs w:val="22"/>
              </w:rPr>
              <w:t>)</w:t>
            </w:r>
          </w:p>
        </w:tc>
        <w:tc>
          <w:tcPr>
            <w:tcW w:w="1671" w:type="dxa"/>
            <w:tcBorders>
              <w:top w:val="nil"/>
              <w:left w:val="nil"/>
              <w:bottom w:val="single" w:sz="4" w:space="0" w:color="auto"/>
              <w:right w:val="single" w:sz="4" w:space="0" w:color="auto"/>
            </w:tcBorders>
            <w:noWrap/>
            <w:vAlign w:val="bottom"/>
            <w:hideMark/>
          </w:tcPr>
          <w:p w14:paraId="1A2AAD5F" w14:textId="77777777" w:rsidR="006455AE" w:rsidRDefault="006455AE">
            <w:pPr>
              <w:jc w:val="center"/>
              <w:rPr>
                <w:rFonts w:ascii="Calibri" w:hAnsi="Calibri" w:cs="Calibri"/>
                <w:color w:val="000000"/>
                <w:sz w:val="22"/>
                <w:szCs w:val="22"/>
              </w:rPr>
            </w:pPr>
            <w:r>
              <w:rPr>
                <w:rFonts w:ascii="Calibri" w:hAnsi="Calibri" w:cs="Calibri"/>
                <w:color w:val="000000"/>
                <w:sz w:val="22"/>
                <w:szCs w:val="22"/>
              </w:rPr>
              <w:t>40</w:t>
            </w:r>
          </w:p>
        </w:tc>
      </w:tr>
      <w:tr w:rsidR="006455AE" w14:paraId="3CE31F79" w14:textId="77777777" w:rsidTr="006455AE">
        <w:trPr>
          <w:trHeight w:val="300"/>
          <w:jc w:val="center"/>
        </w:trPr>
        <w:tc>
          <w:tcPr>
            <w:tcW w:w="4969" w:type="dxa"/>
            <w:tcBorders>
              <w:top w:val="nil"/>
              <w:left w:val="single" w:sz="4" w:space="0" w:color="auto"/>
              <w:bottom w:val="single" w:sz="4" w:space="0" w:color="auto"/>
              <w:right w:val="single" w:sz="4" w:space="0" w:color="auto"/>
            </w:tcBorders>
            <w:noWrap/>
            <w:vAlign w:val="bottom"/>
            <w:hideMark/>
          </w:tcPr>
          <w:p w14:paraId="172E5B5D" w14:textId="77777777" w:rsidR="006455AE" w:rsidRDefault="006455AE">
            <w:pPr>
              <w:rPr>
                <w:rFonts w:ascii="Calibri" w:hAnsi="Calibri" w:cs="Calibri"/>
                <w:color w:val="000000"/>
                <w:sz w:val="22"/>
                <w:szCs w:val="22"/>
              </w:rPr>
            </w:pPr>
            <w:r>
              <w:rPr>
                <w:rFonts w:ascii="Calibri" w:hAnsi="Calibri" w:cs="Calibri"/>
                <w:color w:val="000000"/>
                <w:sz w:val="22"/>
                <w:szCs w:val="22"/>
              </w:rPr>
              <w:t>Resistencia a la tracción transversal (N/mm</w:t>
            </w:r>
            <w:r w:rsidRPr="00E34DE7">
              <w:rPr>
                <w:rFonts w:ascii="Calibri" w:hAnsi="Calibri" w:cs="Calibri"/>
                <w:color w:val="000000"/>
                <w:sz w:val="22"/>
                <w:szCs w:val="22"/>
                <w:vertAlign w:val="superscript"/>
              </w:rPr>
              <w:t>2</w:t>
            </w:r>
            <w:r>
              <w:rPr>
                <w:rFonts w:ascii="Calibri" w:hAnsi="Calibri" w:cs="Calibri"/>
                <w:color w:val="000000"/>
                <w:sz w:val="22"/>
                <w:szCs w:val="22"/>
              </w:rPr>
              <w:t>)</w:t>
            </w:r>
          </w:p>
        </w:tc>
        <w:tc>
          <w:tcPr>
            <w:tcW w:w="1671" w:type="dxa"/>
            <w:tcBorders>
              <w:top w:val="nil"/>
              <w:left w:val="nil"/>
              <w:bottom w:val="single" w:sz="4" w:space="0" w:color="auto"/>
              <w:right w:val="single" w:sz="4" w:space="0" w:color="auto"/>
            </w:tcBorders>
            <w:noWrap/>
            <w:vAlign w:val="bottom"/>
            <w:hideMark/>
          </w:tcPr>
          <w:p w14:paraId="6873C896" w14:textId="77777777" w:rsidR="006455AE" w:rsidRDefault="006455AE">
            <w:pPr>
              <w:jc w:val="center"/>
              <w:rPr>
                <w:rFonts w:ascii="Calibri" w:hAnsi="Calibri" w:cs="Calibri"/>
                <w:color w:val="000000"/>
                <w:sz w:val="22"/>
                <w:szCs w:val="22"/>
              </w:rPr>
            </w:pPr>
            <w:r>
              <w:rPr>
                <w:rFonts w:ascii="Calibri" w:hAnsi="Calibri" w:cs="Calibri"/>
                <w:color w:val="000000"/>
                <w:sz w:val="22"/>
                <w:szCs w:val="22"/>
              </w:rPr>
              <w:t>31</w:t>
            </w:r>
          </w:p>
        </w:tc>
      </w:tr>
      <w:tr w:rsidR="006455AE" w14:paraId="5C9C8082" w14:textId="77777777" w:rsidTr="006455AE">
        <w:trPr>
          <w:trHeight w:val="300"/>
          <w:jc w:val="center"/>
        </w:trPr>
        <w:tc>
          <w:tcPr>
            <w:tcW w:w="4969" w:type="dxa"/>
            <w:tcBorders>
              <w:top w:val="nil"/>
              <w:left w:val="single" w:sz="4" w:space="0" w:color="auto"/>
              <w:bottom w:val="single" w:sz="4" w:space="0" w:color="auto"/>
              <w:right w:val="single" w:sz="4" w:space="0" w:color="auto"/>
            </w:tcBorders>
            <w:noWrap/>
            <w:vAlign w:val="bottom"/>
            <w:hideMark/>
          </w:tcPr>
          <w:p w14:paraId="703B3DE5" w14:textId="77777777" w:rsidR="006455AE" w:rsidRDefault="006455AE">
            <w:pPr>
              <w:rPr>
                <w:rFonts w:ascii="Calibri" w:hAnsi="Calibri" w:cs="Calibri"/>
                <w:color w:val="000000"/>
                <w:sz w:val="22"/>
                <w:szCs w:val="22"/>
              </w:rPr>
            </w:pPr>
            <w:r>
              <w:rPr>
                <w:rFonts w:ascii="Calibri" w:hAnsi="Calibri" w:cs="Calibri"/>
                <w:color w:val="000000"/>
                <w:sz w:val="22"/>
                <w:szCs w:val="22"/>
              </w:rPr>
              <w:t>Alargamiento longitudinal (%)</w:t>
            </w:r>
          </w:p>
        </w:tc>
        <w:tc>
          <w:tcPr>
            <w:tcW w:w="1671" w:type="dxa"/>
            <w:tcBorders>
              <w:top w:val="nil"/>
              <w:left w:val="nil"/>
              <w:bottom w:val="single" w:sz="4" w:space="0" w:color="auto"/>
              <w:right w:val="single" w:sz="4" w:space="0" w:color="auto"/>
            </w:tcBorders>
            <w:noWrap/>
            <w:vAlign w:val="bottom"/>
            <w:hideMark/>
          </w:tcPr>
          <w:p w14:paraId="2BC26B56" w14:textId="77777777" w:rsidR="006455AE" w:rsidRDefault="006455AE">
            <w:pPr>
              <w:jc w:val="center"/>
              <w:rPr>
                <w:rFonts w:ascii="Calibri" w:hAnsi="Calibri" w:cs="Calibri"/>
                <w:color w:val="000000"/>
                <w:sz w:val="22"/>
                <w:szCs w:val="22"/>
              </w:rPr>
            </w:pPr>
            <w:r>
              <w:rPr>
                <w:rFonts w:ascii="Calibri" w:hAnsi="Calibri" w:cs="Calibri"/>
                <w:color w:val="000000"/>
                <w:sz w:val="22"/>
                <w:szCs w:val="22"/>
              </w:rPr>
              <w:t>15</w:t>
            </w:r>
          </w:p>
        </w:tc>
      </w:tr>
      <w:tr w:rsidR="006455AE" w14:paraId="62C86577" w14:textId="77777777" w:rsidTr="006455AE">
        <w:trPr>
          <w:trHeight w:val="300"/>
          <w:jc w:val="center"/>
        </w:trPr>
        <w:tc>
          <w:tcPr>
            <w:tcW w:w="4969" w:type="dxa"/>
            <w:tcBorders>
              <w:top w:val="nil"/>
              <w:left w:val="single" w:sz="4" w:space="0" w:color="auto"/>
              <w:bottom w:val="single" w:sz="4" w:space="0" w:color="auto"/>
              <w:right w:val="single" w:sz="4" w:space="0" w:color="auto"/>
            </w:tcBorders>
            <w:noWrap/>
            <w:vAlign w:val="bottom"/>
            <w:hideMark/>
          </w:tcPr>
          <w:p w14:paraId="7AFAD2E4" w14:textId="77777777" w:rsidR="006455AE" w:rsidRDefault="006455AE">
            <w:pPr>
              <w:rPr>
                <w:rFonts w:ascii="Calibri" w:hAnsi="Calibri" w:cs="Calibri"/>
                <w:color w:val="000000"/>
                <w:sz w:val="22"/>
                <w:szCs w:val="22"/>
              </w:rPr>
            </w:pPr>
            <w:r>
              <w:rPr>
                <w:rFonts w:ascii="Calibri" w:hAnsi="Calibri" w:cs="Calibri"/>
                <w:color w:val="000000"/>
                <w:sz w:val="22"/>
                <w:szCs w:val="22"/>
              </w:rPr>
              <w:t>Elasticidad (%)</w:t>
            </w:r>
          </w:p>
        </w:tc>
        <w:tc>
          <w:tcPr>
            <w:tcW w:w="1671" w:type="dxa"/>
            <w:tcBorders>
              <w:top w:val="nil"/>
              <w:left w:val="nil"/>
              <w:bottom w:val="single" w:sz="4" w:space="0" w:color="auto"/>
              <w:right w:val="single" w:sz="4" w:space="0" w:color="auto"/>
            </w:tcBorders>
            <w:noWrap/>
            <w:vAlign w:val="bottom"/>
            <w:hideMark/>
          </w:tcPr>
          <w:p w14:paraId="0379629A" w14:textId="77777777" w:rsidR="006455AE" w:rsidRDefault="006455AE">
            <w:pPr>
              <w:jc w:val="center"/>
              <w:rPr>
                <w:rFonts w:ascii="Calibri" w:hAnsi="Calibri" w:cs="Calibri"/>
                <w:color w:val="000000"/>
                <w:sz w:val="22"/>
                <w:szCs w:val="22"/>
              </w:rPr>
            </w:pPr>
            <w:r>
              <w:rPr>
                <w:rFonts w:ascii="Calibri" w:hAnsi="Calibri" w:cs="Calibri"/>
                <w:color w:val="000000"/>
                <w:sz w:val="22"/>
                <w:szCs w:val="22"/>
              </w:rPr>
              <w:t>10</w:t>
            </w:r>
          </w:p>
        </w:tc>
      </w:tr>
      <w:tr w:rsidR="006455AE" w14:paraId="5E506DA8" w14:textId="77777777" w:rsidTr="006455AE">
        <w:trPr>
          <w:trHeight w:val="300"/>
          <w:jc w:val="center"/>
        </w:trPr>
        <w:tc>
          <w:tcPr>
            <w:tcW w:w="4969" w:type="dxa"/>
            <w:tcBorders>
              <w:top w:val="nil"/>
              <w:left w:val="single" w:sz="4" w:space="0" w:color="auto"/>
              <w:bottom w:val="single" w:sz="4" w:space="0" w:color="auto"/>
              <w:right w:val="single" w:sz="4" w:space="0" w:color="auto"/>
            </w:tcBorders>
            <w:noWrap/>
            <w:vAlign w:val="bottom"/>
            <w:hideMark/>
          </w:tcPr>
          <w:p w14:paraId="3CE976EC" w14:textId="77777777" w:rsidR="006455AE" w:rsidRDefault="006455AE">
            <w:pPr>
              <w:rPr>
                <w:rFonts w:ascii="Calibri" w:hAnsi="Calibri" w:cs="Calibri"/>
                <w:color w:val="000000"/>
                <w:sz w:val="22"/>
                <w:szCs w:val="22"/>
              </w:rPr>
            </w:pPr>
            <w:r>
              <w:rPr>
                <w:rFonts w:ascii="Calibri" w:hAnsi="Calibri" w:cs="Calibri"/>
                <w:color w:val="000000"/>
                <w:sz w:val="22"/>
                <w:szCs w:val="22"/>
              </w:rPr>
              <w:t>Resistencia a los disolventes</w:t>
            </w:r>
          </w:p>
        </w:tc>
        <w:tc>
          <w:tcPr>
            <w:tcW w:w="1671" w:type="dxa"/>
            <w:tcBorders>
              <w:top w:val="nil"/>
              <w:left w:val="nil"/>
              <w:bottom w:val="single" w:sz="4" w:space="0" w:color="auto"/>
              <w:right w:val="single" w:sz="4" w:space="0" w:color="auto"/>
            </w:tcBorders>
            <w:noWrap/>
            <w:vAlign w:val="bottom"/>
            <w:hideMark/>
          </w:tcPr>
          <w:p w14:paraId="63841CC4" w14:textId="77777777" w:rsidR="006455AE" w:rsidRDefault="006455AE">
            <w:pPr>
              <w:jc w:val="center"/>
              <w:rPr>
                <w:rFonts w:ascii="Calibri" w:hAnsi="Calibri" w:cs="Calibri"/>
                <w:color w:val="000000"/>
                <w:sz w:val="22"/>
                <w:szCs w:val="22"/>
              </w:rPr>
            </w:pPr>
            <w:r>
              <w:rPr>
                <w:rFonts w:ascii="Calibri" w:hAnsi="Calibri" w:cs="Calibri"/>
                <w:color w:val="000000"/>
                <w:sz w:val="22"/>
                <w:szCs w:val="22"/>
              </w:rPr>
              <w:t>buena</w:t>
            </w:r>
          </w:p>
        </w:tc>
      </w:tr>
      <w:tr w:rsidR="006455AE" w14:paraId="4408D422" w14:textId="77777777" w:rsidTr="006455AE">
        <w:trPr>
          <w:trHeight w:val="300"/>
          <w:jc w:val="center"/>
        </w:trPr>
        <w:tc>
          <w:tcPr>
            <w:tcW w:w="4969" w:type="dxa"/>
            <w:tcBorders>
              <w:top w:val="nil"/>
              <w:left w:val="single" w:sz="4" w:space="0" w:color="auto"/>
              <w:bottom w:val="single" w:sz="4" w:space="0" w:color="auto"/>
              <w:right w:val="single" w:sz="4" w:space="0" w:color="auto"/>
            </w:tcBorders>
            <w:noWrap/>
            <w:vAlign w:val="bottom"/>
            <w:hideMark/>
          </w:tcPr>
          <w:p w14:paraId="4E8BB9CB" w14:textId="77777777" w:rsidR="006455AE" w:rsidRDefault="006455AE">
            <w:pPr>
              <w:rPr>
                <w:rFonts w:ascii="Calibri" w:hAnsi="Calibri" w:cs="Calibri"/>
                <w:color w:val="000000"/>
                <w:sz w:val="22"/>
                <w:szCs w:val="22"/>
              </w:rPr>
            </w:pPr>
            <w:r>
              <w:rPr>
                <w:rFonts w:ascii="Calibri" w:hAnsi="Calibri" w:cs="Calibri"/>
                <w:color w:val="000000"/>
                <w:sz w:val="22"/>
                <w:szCs w:val="22"/>
              </w:rPr>
              <w:t>Resistencia a la deformación</w:t>
            </w:r>
          </w:p>
        </w:tc>
        <w:tc>
          <w:tcPr>
            <w:tcW w:w="1671" w:type="dxa"/>
            <w:tcBorders>
              <w:top w:val="nil"/>
              <w:left w:val="nil"/>
              <w:bottom w:val="single" w:sz="4" w:space="0" w:color="auto"/>
              <w:right w:val="single" w:sz="4" w:space="0" w:color="auto"/>
            </w:tcBorders>
            <w:noWrap/>
            <w:vAlign w:val="bottom"/>
            <w:hideMark/>
          </w:tcPr>
          <w:p w14:paraId="616392EF" w14:textId="77777777" w:rsidR="006455AE" w:rsidRDefault="006455AE">
            <w:pPr>
              <w:jc w:val="center"/>
              <w:rPr>
                <w:rFonts w:ascii="Calibri" w:hAnsi="Calibri" w:cs="Calibri"/>
                <w:color w:val="000000"/>
                <w:sz w:val="22"/>
                <w:szCs w:val="22"/>
              </w:rPr>
            </w:pPr>
            <w:r>
              <w:rPr>
                <w:rFonts w:ascii="Calibri" w:hAnsi="Calibri" w:cs="Calibri"/>
                <w:color w:val="000000"/>
                <w:sz w:val="22"/>
                <w:szCs w:val="22"/>
              </w:rPr>
              <w:t>excelente</w:t>
            </w:r>
          </w:p>
        </w:tc>
      </w:tr>
      <w:tr w:rsidR="006455AE" w14:paraId="40CF2815" w14:textId="77777777" w:rsidTr="006455AE">
        <w:trPr>
          <w:trHeight w:val="300"/>
          <w:jc w:val="center"/>
        </w:trPr>
        <w:tc>
          <w:tcPr>
            <w:tcW w:w="4969" w:type="dxa"/>
            <w:tcBorders>
              <w:top w:val="nil"/>
              <w:left w:val="single" w:sz="4" w:space="0" w:color="auto"/>
              <w:bottom w:val="single" w:sz="4" w:space="0" w:color="auto"/>
              <w:right w:val="single" w:sz="4" w:space="0" w:color="auto"/>
            </w:tcBorders>
            <w:noWrap/>
            <w:vAlign w:val="bottom"/>
            <w:hideMark/>
          </w:tcPr>
          <w:p w14:paraId="21BEF91D" w14:textId="77777777" w:rsidR="006455AE" w:rsidRDefault="006455AE">
            <w:pPr>
              <w:rPr>
                <w:rFonts w:ascii="Calibri" w:hAnsi="Calibri" w:cs="Calibri"/>
                <w:color w:val="000000"/>
                <w:sz w:val="22"/>
                <w:szCs w:val="22"/>
              </w:rPr>
            </w:pPr>
            <w:r>
              <w:rPr>
                <w:rFonts w:ascii="Calibri" w:hAnsi="Calibri" w:cs="Calibri"/>
                <w:color w:val="000000"/>
                <w:sz w:val="22"/>
                <w:szCs w:val="22"/>
              </w:rPr>
              <w:t>Estabilidad dimensional</w:t>
            </w:r>
          </w:p>
        </w:tc>
        <w:tc>
          <w:tcPr>
            <w:tcW w:w="1671" w:type="dxa"/>
            <w:tcBorders>
              <w:top w:val="nil"/>
              <w:left w:val="nil"/>
              <w:bottom w:val="single" w:sz="4" w:space="0" w:color="auto"/>
              <w:right w:val="single" w:sz="4" w:space="0" w:color="auto"/>
            </w:tcBorders>
            <w:noWrap/>
            <w:vAlign w:val="bottom"/>
            <w:hideMark/>
          </w:tcPr>
          <w:p w14:paraId="3667A26E" w14:textId="77777777" w:rsidR="006455AE" w:rsidRDefault="006455AE">
            <w:pPr>
              <w:jc w:val="center"/>
              <w:rPr>
                <w:rFonts w:ascii="Calibri" w:hAnsi="Calibri" w:cs="Calibri"/>
                <w:color w:val="000000"/>
                <w:sz w:val="22"/>
                <w:szCs w:val="22"/>
              </w:rPr>
            </w:pPr>
            <w:r>
              <w:rPr>
                <w:rFonts w:ascii="Calibri" w:hAnsi="Calibri" w:cs="Calibri"/>
                <w:color w:val="000000"/>
                <w:sz w:val="22"/>
                <w:szCs w:val="22"/>
              </w:rPr>
              <w:t>excelente</w:t>
            </w:r>
          </w:p>
        </w:tc>
      </w:tr>
      <w:tr w:rsidR="006455AE" w14:paraId="25D40DB9" w14:textId="77777777" w:rsidTr="006455AE">
        <w:trPr>
          <w:trHeight w:val="300"/>
          <w:jc w:val="center"/>
        </w:trPr>
        <w:tc>
          <w:tcPr>
            <w:tcW w:w="4969" w:type="dxa"/>
            <w:tcBorders>
              <w:top w:val="nil"/>
              <w:left w:val="single" w:sz="4" w:space="0" w:color="auto"/>
              <w:bottom w:val="single" w:sz="4" w:space="0" w:color="auto"/>
              <w:right w:val="single" w:sz="4" w:space="0" w:color="auto"/>
            </w:tcBorders>
            <w:noWrap/>
            <w:vAlign w:val="bottom"/>
            <w:hideMark/>
          </w:tcPr>
          <w:p w14:paraId="66418A77" w14:textId="77777777" w:rsidR="006455AE" w:rsidRDefault="006455AE">
            <w:pPr>
              <w:rPr>
                <w:rFonts w:ascii="Calibri" w:hAnsi="Calibri" w:cs="Calibri"/>
                <w:color w:val="000000"/>
                <w:sz w:val="22"/>
                <w:szCs w:val="22"/>
              </w:rPr>
            </w:pPr>
            <w:r>
              <w:rPr>
                <w:rFonts w:ascii="Calibri" w:hAnsi="Calibri" w:cs="Calibri"/>
                <w:color w:val="000000"/>
                <w:sz w:val="22"/>
                <w:szCs w:val="22"/>
              </w:rPr>
              <w:t>Temperatura de servicio</w:t>
            </w:r>
          </w:p>
        </w:tc>
        <w:tc>
          <w:tcPr>
            <w:tcW w:w="1671" w:type="dxa"/>
            <w:tcBorders>
              <w:top w:val="nil"/>
              <w:left w:val="nil"/>
              <w:bottom w:val="single" w:sz="4" w:space="0" w:color="auto"/>
              <w:right w:val="single" w:sz="4" w:space="0" w:color="auto"/>
            </w:tcBorders>
            <w:noWrap/>
            <w:vAlign w:val="bottom"/>
            <w:hideMark/>
          </w:tcPr>
          <w:p w14:paraId="7B69D317" w14:textId="77777777" w:rsidR="006455AE" w:rsidRDefault="006455AE">
            <w:pPr>
              <w:jc w:val="center"/>
              <w:rPr>
                <w:rFonts w:ascii="Calibri" w:hAnsi="Calibri" w:cs="Calibri"/>
                <w:color w:val="000000"/>
                <w:sz w:val="22"/>
                <w:szCs w:val="22"/>
              </w:rPr>
            </w:pPr>
            <w:r>
              <w:rPr>
                <w:rFonts w:ascii="Calibri" w:hAnsi="Calibri" w:cs="Calibri"/>
                <w:color w:val="000000"/>
                <w:sz w:val="22"/>
                <w:szCs w:val="22"/>
              </w:rPr>
              <w:t>de -40ºC + 80ºC</w:t>
            </w:r>
          </w:p>
        </w:tc>
      </w:tr>
      <w:tr w:rsidR="006455AE" w14:paraId="71535D3E" w14:textId="77777777" w:rsidTr="006455AE">
        <w:trPr>
          <w:trHeight w:val="300"/>
          <w:jc w:val="center"/>
        </w:trPr>
        <w:tc>
          <w:tcPr>
            <w:tcW w:w="4969" w:type="dxa"/>
            <w:tcBorders>
              <w:top w:val="nil"/>
              <w:left w:val="single" w:sz="4" w:space="0" w:color="auto"/>
              <w:bottom w:val="single" w:sz="4" w:space="0" w:color="auto"/>
              <w:right w:val="single" w:sz="4" w:space="0" w:color="auto"/>
            </w:tcBorders>
            <w:noWrap/>
            <w:vAlign w:val="bottom"/>
            <w:hideMark/>
          </w:tcPr>
          <w:p w14:paraId="531F2921" w14:textId="77777777" w:rsidR="006455AE" w:rsidRDefault="006455AE">
            <w:pPr>
              <w:rPr>
                <w:rFonts w:ascii="Calibri" w:hAnsi="Calibri" w:cs="Calibri"/>
                <w:color w:val="000000"/>
                <w:sz w:val="22"/>
                <w:szCs w:val="22"/>
              </w:rPr>
            </w:pPr>
            <w:proofErr w:type="spellStart"/>
            <w:r>
              <w:rPr>
                <w:rFonts w:ascii="Calibri" w:hAnsi="Calibri" w:cs="Calibri"/>
                <w:color w:val="000000"/>
                <w:sz w:val="22"/>
                <w:szCs w:val="22"/>
              </w:rPr>
              <w:t>Absorvicíon</w:t>
            </w:r>
            <w:proofErr w:type="spellEnd"/>
            <w:r>
              <w:rPr>
                <w:rFonts w:ascii="Calibri" w:hAnsi="Calibri" w:cs="Calibri"/>
                <w:color w:val="000000"/>
                <w:sz w:val="22"/>
                <w:szCs w:val="22"/>
              </w:rPr>
              <w:t xml:space="preserve"> de agua</w:t>
            </w:r>
          </w:p>
        </w:tc>
        <w:tc>
          <w:tcPr>
            <w:tcW w:w="1671" w:type="dxa"/>
            <w:tcBorders>
              <w:top w:val="nil"/>
              <w:left w:val="nil"/>
              <w:bottom w:val="single" w:sz="4" w:space="0" w:color="auto"/>
              <w:right w:val="single" w:sz="4" w:space="0" w:color="auto"/>
            </w:tcBorders>
            <w:noWrap/>
            <w:vAlign w:val="bottom"/>
            <w:hideMark/>
          </w:tcPr>
          <w:p w14:paraId="6D79B64B" w14:textId="77777777" w:rsidR="006455AE" w:rsidRDefault="006455AE">
            <w:pPr>
              <w:jc w:val="center"/>
              <w:rPr>
                <w:rFonts w:ascii="Calibri" w:hAnsi="Calibri" w:cs="Calibri"/>
                <w:color w:val="000000"/>
                <w:sz w:val="22"/>
                <w:szCs w:val="22"/>
              </w:rPr>
            </w:pPr>
            <w:r>
              <w:rPr>
                <w:rFonts w:ascii="Calibri" w:hAnsi="Calibri" w:cs="Calibri"/>
                <w:color w:val="000000"/>
                <w:sz w:val="22"/>
                <w:szCs w:val="22"/>
              </w:rPr>
              <w:t>ninguna</w:t>
            </w:r>
          </w:p>
        </w:tc>
      </w:tr>
    </w:tbl>
    <w:p w14:paraId="262D196C" w14:textId="77777777" w:rsidR="00316114" w:rsidRPr="003E400D" w:rsidRDefault="00316114" w:rsidP="006D20A0">
      <w:pPr>
        <w:spacing w:before="120" w:after="120" w:line="360" w:lineRule="auto"/>
        <w:jc w:val="both"/>
        <w:rPr>
          <w:rFonts w:ascii="Arial" w:hAnsi="Arial"/>
        </w:rPr>
      </w:pPr>
      <w:r w:rsidRPr="003E400D">
        <w:rPr>
          <w:rFonts w:ascii="Arial" w:hAnsi="Arial"/>
        </w:rPr>
        <w:t xml:space="preserve">Sobre este cordón de espuma se colocará un sellador y adhesivo </w:t>
      </w:r>
      <w:proofErr w:type="spellStart"/>
      <w:r w:rsidRPr="003E400D">
        <w:rPr>
          <w:rFonts w:ascii="Arial" w:hAnsi="Arial"/>
        </w:rPr>
        <w:t>poliuretánico</w:t>
      </w:r>
      <w:proofErr w:type="spellEnd"/>
      <w:r w:rsidRPr="003E400D">
        <w:rPr>
          <w:rFonts w:ascii="Arial" w:hAnsi="Arial"/>
        </w:rPr>
        <w:t xml:space="preserve">, </w:t>
      </w:r>
      <w:proofErr w:type="spellStart"/>
      <w:r w:rsidRPr="003E400D">
        <w:rPr>
          <w:rFonts w:ascii="Arial" w:hAnsi="Arial"/>
        </w:rPr>
        <w:t>monocomponente</w:t>
      </w:r>
      <w:proofErr w:type="spellEnd"/>
      <w:r w:rsidRPr="003E400D">
        <w:rPr>
          <w:rFonts w:ascii="Arial" w:hAnsi="Arial"/>
        </w:rPr>
        <w:t>, tixotrópico, de gran elasticidad y endurecimiento rápido. Se trata de un sellador exento de disolventes, inodoro y con bajo impacto ambiental. Endurece a una velocidad de 3mm cada 24h por reacción con la humedad del aire y es apto para trabajos en superficies horizontales y verticales.</w:t>
      </w:r>
    </w:p>
    <w:p w14:paraId="2B350E7D" w14:textId="77777777" w:rsidR="009305DF" w:rsidRDefault="00316114" w:rsidP="009305DF">
      <w:pPr>
        <w:spacing w:before="120" w:after="120" w:line="360" w:lineRule="auto"/>
        <w:rPr>
          <w:rFonts w:ascii="Arial" w:hAnsi="Arial"/>
        </w:rPr>
      </w:pPr>
      <w:r w:rsidRPr="003E400D">
        <w:rPr>
          <w:rFonts w:ascii="Arial" w:hAnsi="Arial"/>
        </w:rPr>
        <w:t>Este material tiene las siguientes características:</w:t>
      </w:r>
    </w:p>
    <w:p w14:paraId="2D79AB7A" w14:textId="77777777" w:rsidR="00316114" w:rsidRPr="003E400D" w:rsidRDefault="00316114" w:rsidP="009305DF">
      <w:pPr>
        <w:spacing w:before="120" w:after="120" w:line="360" w:lineRule="auto"/>
        <w:jc w:val="center"/>
        <w:rPr>
          <w:rFonts w:ascii="Arial" w:hAnsi="Arial"/>
        </w:rPr>
      </w:pPr>
      <w:r w:rsidRPr="003E400D">
        <w:rPr>
          <w:rFonts w:ascii="Arial" w:hAnsi="Arial"/>
          <w:noProof/>
        </w:rPr>
        <w:drawing>
          <wp:inline distT="0" distB="0" distL="0" distR="0" wp14:anchorId="493A7D31" wp14:editId="63E1AF8B">
            <wp:extent cx="4216400" cy="4780517"/>
            <wp:effectExtent l="0" t="0" r="0" b="1270"/>
            <wp:docPr id="1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4218812" cy="4783252"/>
                    </a:xfrm>
                    <a:prstGeom prst="rect">
                      <a:avLst/>
                    </a:prstGeom>
                    <a:noFill/>
                    <a:ln w="9525">
                      <a:noFill/>
                      <a:miter lim="800000"/>
                      <a:headEnd/>
                      <a:tailEnd/>
                    </a:ln>
                  </pic:spPr>
                </pic:pic>
              </a:graphicData>
            </a:graphic>
          </wp:inline>
        </w:drawing>
      </w:r>
    </w:p>
    <w:p w14:paraId="2FB42789" w14:textId="77777777" w:rsidR="00316114" w:rsidRPr="002A67A1" w:rsidRDefault="00316114" w:rsidP="00316114">
      <w:pPr>
        <w:spacing w:before="120" w:after="120" w:line="360" w:lineRule="auto"/>
        <w:ind w:firstLine="709"/>
        <w:jc w:val="both"/>
        <w:rPr>
          <w:rFonts w:ascii="Arial" w:hAnsi="Arial"/>
          <w:sz w:val="2"/>
          <w:szCs w:val="2"/>
          <w:lang w:val="es-ES_tradnl"/>
        </w:rPr>
      </w:pPr>
    </w:p>
    <w:p w14:paraId="2D5D7FCC" w14:textId="77777777" w:rsidR="00316114" w:rsidRPr="003E400D" w:rsidRDefault="003E400D" w:rsidP="000313DD">
      <w:pPr>
        <w:pStyle w:val="TITU2"/>
      </w:pPr>
      <w:bookmarkStart w:id="521" w:name="_Toc404278"/>
      <w:r w:rsidRPr="003E400D">
        <w:t>425</w:t>
      </w:r>
      <w:r w:rsidR="00316114" w:rsidRPr="003E400D">
        <w:t xml:space="preserve">.5. Ejecución </w:t>
      </w:r>
      <w:r w:rsidR="00AB5CD0">
        <w:t>de las obras</w:t>
      </w:r>
      <w:bookmarkEnd w:id="521"/>
    </w:p>
    <w:p w14:paraId="76FC8475" w14:textId="77777777" w:rsidR="00316114" w:rsidRPr="003E400D" w:rsidRDefault="00316114" w:rsidP="006D20A0">
      <w:pPr>
        <w:spacing w:before="120" w:after="120" w:line="360" w:lineRule="auto"/>
        <w:jc w:val="both"/>
        <w:rPr>
          <w:rFonts w:ascii="Arial" w:hAnsi="Arial"/>
          <w:lang w:val="es-ES_tradnl"/>
        </w:rPr>
      </w:pPr>
      <w:r w:rsidRPr="003E400D">
        <w:rPr>
          <w:rFonts w:ascii="Arial" w:hAnsi="Arial"/>
          <w:lang w:val="es-ES_tradnl"/>
        </w:rPr>
        <w:t>El canal reja cumplirá las especificaciones técnicas en cuanto a calidad y características técnicas definidas en el PG-3. La posición del canal reja no interferirá en su ejecución con ningún elemento estructural importante.</w:t>
      </w:r>
    </w:p>
    <w:p w14:paraId="5072640E" w14:textId="77777777" w:rsidR="00316114" w:rsidRPr="003E400D" w:rsidRDefault="00316114" w:rsidP="006D20A0">
      <w:pPr>
        <w:spacing w:before="120" w:after="120" w:line="360" w:lineRule="auto"/>
        <w:jc w:val="both"/>
        <w:rPr>
          <w:rFonts w:ascii="Arial" w:hAnsi="Arial"/>
          <w:lang w:val="es-ES_tradnl"/>
        </w:rPr>
      </w:pPr>
      <w:r w:rsidRPr="003E400D">
        <w:rPr>
          <w:rFonts w:ascii="Arial" w:hAnsi="Arial"/>
          <w:lang w:val="es-ES_tradnl"/>
        </w:rPr>
        <w:t xml:space="preserve">Si además del canal reja previsto en planos de proyecto, el Contratista considerase necesaria la ejecución de nuevos canales, deberá presentar el motivo de dicha actuación y el replanteo de nuevos canales para su aprobación por la Dirección </w:t>
      </w:r>
      <w:r w:rsidR="009771E6">
        <w:rPr>
          <w:rFonts w:ascii="Arial" w:hAnsi="Arial"/>
          <w:lang w:val="es-ES_tradnl"/>
        </w:rPr>
        <w:t>de Obra</w:t>
      </w:r>
      <w:r w:rsidRPr="003E400D">
        <w:rPr>
          <w:rFonts w:ascii="Arial" w:hAnsi="Arial"/>
          <w:lang w:val="es-ES_tradnl"/>
        </w:rPr>
        <w:t xml:space="preserve">. </w:t>
      </w:r>
    </w:p>
    <w:p w14:paraId="4F754820" w14:textId="77777777" w:rsidR="00316114" w:rsidRPr="003E400D" w:rsidRDefault="00316114" w:rsidP="006D20A0">
      <w:pPr>
        <w:spacing w:before="120" w:after="120" w:line="360" w:lineRule="auto"/>
        <w:jc w:val="both"/>
        <w:rPr>
          <w:rFonts w:ascii="Arial" w:hAnsi="Arial"/>
          <w:lang w:val="es-ES_tradnl"/>
        </w:rPr>
      </w:pPr>
      <w:r w:rsidRPr="003E400D">
        <w:rPr>
          <w:rFonts w:ascii="Arial" w:hAnsi="Arial"/>
          <w:lang w:val="es-ES_tradnl"/>
        </w:rPr>
        <w:lastRenderedPageBreak/>
        <w:t>El procedimiento de ejecución a seguir se especifica a continuación.</w:t>
      </w:r>
    </w:p>
    <w:p w14:paraId="615CC1B3" w14:textId="77777777" w:rsidR="00316114" w:rsidRPr="006D20A0" w:rsidRDefault="00316114" w:rsidP="006D20A0">
      <w:pPr>
        <w:pStyle w:val="NORMAL12"/>
        <w:numPr>
          <w:ilvl w:val="0"/>
          <w:numId w:val="61"/>
        </w:numPr>
      </w:pPr>
      <w:r w:rsidRPr="006D20A0">
        <w:t>Preparación de la zanja para el lecho y recibido del hormigón, teniendo siempre en cuenta las dimensiones proporcionadas por el fabricante en función de la clase de carga a soportar.</w:t>
      </w:r>
    </w:p>
    <w:p w14:paraId="3E7FD435" w14:textId="77777777" w:rsidR="00316114" w:rsidRPr="006D20A0" w:rsidRDefault="00316114" w:rsidP="006D20A0">
      <w:pPr>
        <w:pStyle w:val="NORMAL12"/>
        <w:numPr>
          <w:ilvl w:val="0"/>
          <w:numId w:val="61"/>
        </w:numPr>
      </w:pPr>
      <w:r w:rsidRPr="006D20A0">
        <w:t xml:space="preserve"> Si corresponde, apertura de las salidas </w:t>
      </w:r>
      <w:proofErr w:type="spellStart"/>
      <w:r w:rsidRPr="006D20A0">
        <w:t>premarcadas</w:t>
      </w:r>
      <w:proofErr w:type="spellEnd"/>
      <w:r w:rsidRPr="006D20A0">
        <w:t xml:space="preserve">, tanto horizontales como verticales, utilizando para ello una cuchilla, sierra manual, martillo, etc. Si fuera necesario, de igual manera, se pueden cortar fácilmente los canales a la longitud deseada o a inglete. Existe una </w:t>
      </w:r>
      <w:proofErr w:type="spellStart"/>
      <w:r w:rsidRPr="006D20A0">
        <w:t>premarca</w:t>
      </w:r>
      <w:proofErr w:type="spellEnd"/>
      <w:r w:rsidRPr="006D20A0">
        <w:t xml:space="preserve"> para cortar canales a 0,5 m que mantiene los machihembrados.</w:t>
      </w:r>
    </w:p>
    <w:p w14:paraId="48FCC979" w14:textId="77777777" w:rsidR="00316114" w:rsidRPr="006D20A0" w:rsidRDefault="00316114" w:rsidP="006D20A0">
      <w:pPr>
        <w:pStyle w:val="NORMAL12"/>
        <w:numPr>
          <w:ilvl w:val="0"/>
          <w:numId w:val="61"/>
        </w:numPr>
      </w:pPr>
      <w:r w:rsidRPr="006D20A0">
        <w:t xml:space="preserve">Para configurar la línea de canales, unirlos uno tras otro, haciendo uso de los machihembrados a tal efecto. Se puede hacer con la rejilla puesta. Comprobar que </w:t>
      </w:r>
      <w:proofErr w:type="gramStart"/>
      <w:r w:rsidRPr="006D20A0">
        <w:t>la flecha del borde de los canales señalan</w:t>
      </w:r>
      <w:proofErr w:type="gramEnd"/>
      <w:r w:rsidRPr="006D20A0">
        <w:t xml:space="preserve"> hacia el punto de evacuación de agua. Con el objeto de impermeabilizar la línea de canales, se puede aplicar un sellador elástico adecuado en el lado hembra, antes de unir los canales.</w:t>
      </w:r>
    </w:p>
    <w:p w14:paraId="24CA0718" w14:textId="77777777" w:rsidR="00316114" w:rsidRPr="006D20A0" w:rsidRDefault="00316114" w:rsidP="006D20A0">
      <w:pPr>
        <w:pStyle w:val="NORMAL12"/>
        <w:numPr>
          <w:ilvl w:val="0"/>
          <w:numId w:val="61"/>
        </w:numPr>
      </w:pPr>
      <w:r w:rsidRPr="006D20A0">
        <w:t xml:space="preserve"> Establecer un cordel de alineación y preparar los canales a lo largo de la zanja. Para evitar deformaciones del canal que impidan la posterior colocación de las rejillas, los canales se deben instalar con las rejillas colocadas, protegiendo con plásticos si se teme ensuciarlos. Las rejillas se deben fijar con su correspondiente sistema de amarre, aplicando un par de apriete suficiente para evitar el movimiento de la rejilla tras el paso de vehículos. Para un correcto funcionamiento del sistema, es fundamental instalar el sistema de sujeción adecuado para cada uso.</w:t>
      </w:r>
    </w:p>
    <w:p w14:paraId="757ED8EA" w14:textId="77777777" w:rsidR="00316114" w:rsidRPr="006D20A0" w:rsidRDefault="00316114" w:rsidP="006D20A0">
      <w:pPr>
        <w:pStyle w:val="NORMAL12"/>
        <w:numPr>
          <w:ilvl w:val="0"/>
          <w:numId w:val="61"/>
        </w:numPr>
      </w:pPr>
      <w:r w:rsidRPr="006D20A0">
        <w:t xml:space="preserve"> Verter un hormigón de calidad según las especificaciones del fabricante en la base de la zanja y antes de que fragüe comenzar a colocar los canales.</w:t>
      </w:r>
    </w:p>
    <w:p w14:paraId="1E5487DD" w14:textId="77777777" w:rsidR="00316114" w:rsidRPr="006D20A0" w:rsidRDefault="00316114" w:rsidP="006D20A0">
      <w:pPr>
        <w:pStyle w:val="NORMAL12"/>
        <w:numPr>
          <w:ilvl w:val="0"/>
          <w:numId w:val="61"/>
        </w:numPr>
      </w:pPr>
      <w:r w:rsidRPr="006D20A0">
        <w:t xml:space="preserve"> Colocar los canales con un pequeño arriñonado, procurando que la base </w:t>
      </w:r>
      <w:proofErr w:type="gramStart"/>
      <w:r w:rsidRPr="006D20A0">
        <w:t>del mismo</w:t>
      </w:r>
      <w:proofErr w:type="gramEnd"/>
      <w:r w:rsidRPr="006D20A0">
        <w:t xml:space="preserve"> quede bien sujeta y embebida en el hormigón, sin que queden huecos y siendo su base y espesor los recomendados por el fabricante. Iniciar la colocación de los canales en la zanja, por el punto de evacuación o punto más profundo. Chequear la alineación a lo largo de la zanja y la altura de los canales respecto al dado de hormigón.</w:t>
      </w:r>
    </w:p>
    <w:p w14:paraId="2BECF0B2" w14:textId="77777777" w:rsidR="00316114" w:rsidRPr="006D20A0" w:rsidRDefault="00316114" w:rsidP="006D20A0">
      <w:pPr>
        <w:pStyle w:val="NORMAL12"/>
        <w:numPr>
          <w:ilvl w:val="0"/>
          <w:numId w:val="61"/>
        </w:numPr>
      </w:pPr>
      <w:r w:rsidRPr="006D20A0">
        <w:t xml:space="preserve"> Verter el hormigón en los laterales del canal, realizando el dado indicado por el fabricante. Es muy importante que, en los lugares donde se unen las dos capas de </w:t>
      </w:r>
      <w:r w:rsidRPr="006D20A0">
        <w:t xml:space="preserve">hormigón, ambas sean aplicadas dentro de un tiempo razonable para asegurar la adherencia. En caso de colocación en zonas requieran clase de carga </w:t>
      </w:r>
      <w:r w:rsidR="00E47B91">
        <w:t>D</w:t>
      </w:r>
      <w:r w:rsidRPr="006D20A0">
        <w:t>-</w:t>
      </w:r>
      <w:r w:rsidR="00E47B91">
        <w:t>400</w:t>
      </w:r>
      <w:r w:rsidRPr="006D20A0">
        <w:t>, colocar el mallazo correspondiente antes de verter todo el dado de hormigón de una sola vez.</w:t>
      </w:r>
    </w:p>
    <w:p w14:paraId="3BDA941D" w14:textId="77777777" w:rsidR="00316114" w:rsidRPr="006D20A0" w:rsidRDefault="00316114" w:rsidP="006D20A0">
      <w:pPr>
        <w:pStyle w:val="NORMAL12"/>
        <w:numPr>
          <w:ilvl w:val="0"/>
          <w:numId w:val="61"/>
        </w:numPr>
      </w:pPr>
      <w:r w:rsidRPr="006D20A0">
        <w:t xml:space="preserve"> Dado que el canal se ubica junto a soleras</w:t>
      </w:r>
      <w:r w:rsidR="00E47B91">
        <w:t xml:space="preserve"> de aceras</w:t>
      </w:r>
      <w:r w:rsidRPr="006D20A0">
        <w:t>, se ha previsto la ejecución de una junta de dilatación longitudinal. Esta junta deberá quedar correctamente dimensionada con el fin de que las dilataciones de la solera no ejerzan presión sobre el dado lateral del canal según indicaciones del fabricante. Se ha previsto su materialización mediante fondo de junta y sellado con cordón de masilla de poliuretano.</w:t>
      </w:r>
    </w:p>
    <w:p w14:paraId="4B70DFE5" w14:textId="77777777" w:rsidR="00316114" w:rsidRPr="003E400D" w:rsidRDefault="00316114" w:rsidP="006D20A0">
      <w:pPr>
        <w:spacing w:before="120" w:after="120" w:line="360" w:lineRule="auto"/>
        <w:jc w:val="both"/>
        <w:rPr>
          <w:rFonts w:ascii="Arial" w:hAnsi="Arial"/>
          <w:lang w:val="es-ES_tradnl"/>
        </w:rPr>
      </w:pPr>
      <w:r w:rsidRPr="003E400D">
        <w:rPr>
          <w:rFonts w:ascii="Arial" w:hAnsi="Arial"/>
          <w:lang w:val="es-ES_tradnl"/>
        </w:rPr>
        <w:t xml:space="preserve">Precauciones </w:t>
      </w:r>
      <w:proofErr w:type="gramStart"/>
      <w:r w:rsidRPr="003E400D">
        <w:rPr>
          <w:rFonts w:ascii="Arial" w:hAnsi="Arial"/>
          <w:lang w:val="es-ES_tradnl"/>
        </w:rPr>
        <w:t>a</w:t>
      </w:r>
      <w:proofErr w:type="gramEnd"/>
      <w:r w:rsidRPr="003E400D">
        <w:rPr>
          <w:rFonts w:ascii="Arial" w:hAnsi="Arial"/>
          <w:lang w:val="es-ES_tradnl"/>
        </w:rPr>
        <w:t xml:space="preserve"> tener en cuenta en obra:</w:t>
      </w:r>
    </w:p>
    <w:p w14:paraId="444A3958" w14:textId="77777777" w:rsidR="00316114" w:rsidRPr="003E400D" w:rsidRDefault="00316114" w:rsidP="006D20A0">
      <w:pPr>
        <w:pStyle w:val="NORMAL12"/>
        <w:numPr>
          <w:ilvl w:val="0"/>
          <w:numId w:val="61"/>
        </w:numPr>
      </w:pPr>
      <w:r w:rsidRPr="003E400D">
        <w:t>En el caso de que alguna de las capas contiguas al dado de hormigón fuese a su vez de hormigón, siempre colocar junta de dilatación entre el dado y dicha capa de hormigón.</w:t>
      </w:r>
    </w:p>
    <w:p w14:paraId="6E86C70C" w14:textId="77777777" w:rsidR="00316114" w:rsidRPr="003E400D" w:rsidRDefault="00316114" w:rsidP="006D20A0">
      <w:pPr>
        <w:pStyle w:val="NORMAL12"/>
        <w:numPr>
          <w:ilvl w:val="0"/>
          <w:numId w:val="61"/>
        </w:numPr>
      </w:pPr>
      <w:r w:rsidRPr="003E400D">
        <w:t>El labio superior o perfil, no debe sobresalir sobre el nivel del pavimento circundante.</w:t>
      </w:r>
    </w:p>
    <w:p w14:paraId="438F0EA5" w14:textId="77777777" w:rsidR="00316114" w:rsidRPr="003E400D" w:rsidRDefault="00316114" w:rsidP="006D20A0">
      <w:pPr>
        <w:pStyle w:val="NORMAL12"/>
        <w:numPr>
          <w:ilvl w:val="0"/>
          <w:numId w:val="61"/>
        </w:numPr>
      </w:pPr>
      <w:r w:rsidRPr="003E400D">
        <w:t>En caso de canal sin perfil, prever el grosor de la rejilla a la hora de rematar el pavimento. La rejilla no debe sobresalir sobre el nivel del pavimento circundante.</w:t>
      </w:r>
    </w:p>
    <w:p w14:paraId="6231B05F" w14:textId="77777777" w:rsidR="00316114" w:rsidRPr="003E400D" w:rsidRDefault="00316114" w:rsidP="006D20A0">
      <w:pPr>
        <w:spacing w:before="120" w:after="120" w:line="360" w:lineRule="auto"/>
        <w:jc w:val="both"/>
        <w:rPr>
          <w:rFonts w:ascii="Arial" w:hAnsi="Arial"/>
          <w:lang w:val="es-ES_tradnl"/>
        </w:rPr>
      </w:pPr>
      <w:r w:rsidRPr="003E400D">
        <w:rPr>
          <w:rFonts w:ascii="Arial" w:hAnsi="Arial"/>
          <w:lang w:val="es-ES_tradnl"/>
        </w:rPr>
        <w:t xml:space="preserve">El Contratista se asegurará de la total estanqueidad del canal reja, para lo cual se realizará una prueba de estanqueidad que contará con la supervisión de la Dirección </w:t>
      </w:r>
      <w:r w:rsidR="009771E6">
        <w:rPr>
          <w:rFonts w:ascii="Arial" w:hAnsi="Arial"/>
          <w:lang w:val="es-ES_tradnl"/>
        </w:rPr>
        <w:t>de Obra</w:t>
      </w:r>
      <w:r w:rsidRPr="003E400D">
        <w:rPr>
          <w:rFonts w:ascii="Arial" w:hAnsi="Arial"/>
          <w:lang w:val="es-ES_tradnl"/>
        </w:rPr>
        <w:t>.</w:t>
      </w:r>
    </w:p>
    <w:p w14:paraId="274823F3" w14:textId="77777777" w:rsidR="00316114" w:rsidRPr="003E400D" w:rsidRDefault="003E400D" w:rsidP="000313DD">
      <w:pPr>
        <w:pStyle w:val="TITU2"/>
      </w:pPr>
      <w:bookmarkStart w:id="522" w:name="_Toc404279"/>
      <w:r w:rsidRPr="003E400D">
        <w:t>425</w:t>
      </w:r>
      <w:r w:rsidR="00316114" w:rsidRPr="003E400D">
        <w:t>.6. Recepción</w:t>
      </w:r>
      <w:bookmarkEnd w:id="522"/>
      <w:r w:rsidR="00316114" w:rsidRPr="003E400D">
        <w:t xml:space="preserve"> </w:t>
      </w:r>
    </w:p>
    <w:p w14:paraId="1597E949" w14:textId="77777777" w:rsidR="00316114" w:rsidRPr="003E400D" w:rsidRDefault="00E47B91" w:rsidP="006D20A0">
      <w:pPr>
        <w:spacing w:before="120" w:after="120" w:line="360" w:lineRule="auto"/>
        <w:jc w:val="both"/>
        <w:rPr>
          <w:rFonts w:ascii="Arial" w:hAnsi="Arial"/>
          <w:lang w:val="es-ES_tradnl"/>
        </w:rPr>
      </w:pPr>
      <w:r>
        <w:rPr>
          <w:rFonts w:ascii="Arial" w:hAnsi="Arial"/>
          <w:lang w:val="es-ES_tradnl"/>
        </w:rPr>
        <w:t xml:space="preserve">El </w:t>
      </w:r>
      <w:proofErr w:type="gramStart"/>
      <w:r>
        <w:rPr>
          <w:rFonts w:ascii="Arial" w:hAnsi="Arial"/>
          <w:lang w:val="es-ES_tradnl"/>
        </w:rPr>
        <w:t>Director</w:t>
      </w:r>
      <w:proofErr w:type="gramEnd"/>
      <w:r>
        <w:rPr>
          <w:rFonts w:ascii="Arial" w:hAnsi="Arial"/>
          <w:lang w:val="es-ES_tradnl"/>
        </w:rPr>
        <w:t xml:space="preserve"> de Obra</w:t>
      </w:r>
      <w:r w:rsidR="00316114" w:rsidRPr="003E400D">
        <w:rPr>
          <w:rFonts w:ascii="Arial" w:hAnsi="Arial"/>
          <w:lang w:val="es-ES_tradnl"/>
        </w:rPr>
        <w:t xml:space="preserve"> o persona en quien ésta delegue verificará las siguientes especificaciones de la unidad de obra terminada:</w:t>
      </w:r>
    </w:p>
    <w:p w14:paraId="7FDD5E59" w14:textId="77777777" w:rsidR="00316114" w:rsidRDefault="00316114" w:rsidP="00221E1A">
      <w:pPr>
        <w:numPr>
          <w:ilvl w:val="0"/>
          <w:numId w:val="159"/>
        </w:numPr>
        <w:spacing w:before="120" w:after="120" w:line="360" w:lineRule="auto"/>
        <w:ind w:left="851"/>
        <w:contextualSpacing/>
        <w:jc w:val="both"/>
        <w:rPr>
          <w:rFonts w:ascii="Arial" w:hAnsi="Arial"/>
        </w:rPr>
      </w:pPr>
      <w:r w:rsidRPr="003E400D">
        <w:rPr>
          <w:rFonts w:ascii="Arial" w:hAnsi="Arial"/>
          <w:u w:val="single"/>
        </w:rPr>
        <w:t>Prueba de estanqueidad</w:t>
      </w:r>
      <w:r w:rsidRPr="003E400D">
        <w:rPr>
          <w:rFonts w:ascii="Arial" w:hAnsi="Arial"/>
        </w:rPr>
        <w:t>: Se regará mediante tractor cuba o manguera a caudal constante la zona próxima al sumidero durante un periodo de 10 minutos. En este supuesto, el canal deberá manifestar un comportamiento estanco, no produciéndose filtraciones de agua por zonas indebidas.</w:t>
      </w:r>
    </w:p>
    <w:p w14:paraId="6A796B73" w14:textId="77777777" w:rsidR="006455AE" w:rsidRPr="003E400D" w:rsidRDefault="006455AE" w:rsidP="006455AE">
      <w:pPr>
        <w:spacing w:before="120" w:after="120" w:line="360" w:lineRule="auto"/>
        <w:ind w:left="851"/>
        <w:contextualSpacing/>
        <w:jc w:val="both"/>
        <w:rPr>
          <w:rFonts w:ascii="Arial" w:hAnsi="Arial"/>
        </w:rPr>
      </w:pPr>
    </w:p>
    <w:p w14:paraId="4F1C0301" w14:textId="77777777" w:rsidR="00316114" w:rsidRPr="003E400D" w:rsidRDefault="00316114" w:rsidP="00221E1A">
      <w:pPr>
        <w:numPr>
          <w:ilvl w:val="0"/>
          <w:numId w:val="159"/>
        </w:numPr>
        <w:spacing w:before="120" w:after="120" w:line="360" w:lineRule="auto"/>
        <w:ind w:left="851"/>
        <w:contextualSpacing/>
        <w:jc w:val="both"/>
        <w:rPr>
          <w:rFonts w:ascii="Arial" w:hAnsi="Arial"/>
        </w:rPr>
      </w:pPr>
      <w:r w:rsidRPr="003E400D">
        <w:rPr>
          <w:rFonts w:ascii="Arial" w:hAnsi="Arial"/>
          <w:u w:val="single"/>
        </w:rPr>
        <w:lastRenderedPageBreak/>
        <w:t>Certificado de garantía de estanqueidad</w:t>
      </w:r>
      <w:r w:rsidRPr="003E400D">
        <w:rPr>
          <w:rFonts w:ascii="Arial" w:hAnsi="Arial"/>
        </w:rPr>
        <w:t xml:space="preserve">: el instalador del sistema de drenaje aportará un certificado de garantía de la correcta instalación del sistema que asegure la estanqueidad </w:t>
      </w:r>
      <w:proofErr w:type="gramStart"/>
      <w:r w:rsidRPr="003E400D">
        <w:rPr>
          <w:rFonts w:ascii="Arial" w:hAnsi="Arial"/>
        </w:rPr>
        <w:t>del mismo</w:t>
      </w:r>
      <w:proofErr w:type="gramEnd"/>
      <w:r w:rsidRPr="003E400D">
        <w:rPr>
          <w:rFonts w:ascii="Arial" w:hAnsi="Arial"/>
        </w:rPr>
        <w:t xml:space="preserve"> en el plazo de garantía especificado en dicho certificado.</w:t>
      </w:r>
    </w:p>
    <w:p w14:paraId="00AC0A3E" w14:textId="77777777" w:rsidR="00316114" w:rsidRPr="003E400D" w:rsidRDefault="003E400D" w:rsidP="000313DD">
      <w:pPr>
        <w:pStyle w:val="TITU2"/>
      </w:pPr>
      <w:bookmarkStart w:id="523" w:name="_Toc404280"/>
      <w:r w:rsidRPr="003E400D">
        <w:t>425</w:t>
      </w:r>
      <w:r w:rsidR="00316114" w:rsidRPr="003E400D">
        <w:t>.7</w:t>
      </w:r>
      <w:r w:rsidRPr="003E400D">
        <w:t>.</w:t>
      </w:r>
      <w:r w:rsidR="00316114" w:rsidRPr="003E400D">
        <w:t xml:space="preserve"> Control de calidad</w:t>
      </w:r>
      <w:bookmarkEnd w:id="523"/>
    </w:p>
    <w:p w14:paraId="6311ADEF" w14:textId="77777777" w:rsidR="00316114" w:rsidRPr="003E400D" w:rsidRDefault="00316114" w:rsidP="006D20A0">
      <w:pPr>
        <w:spacing w:before="120" w:after="120" w:line="360" w:lineRule="auto"/>
        <w:jc w:val="both"/>
        <w:rPr>
          <w:rFonts w:ascii="Arial" w:hAnsi="Arial"/>
          <w:lang w:val="es-ES_tradnl"/>
        </w:rPr>
      </w:pPr>
      <w:r w:rsidRPr="003E400D">
        <w:rPr>
          <w:rFonts w:ascii="Arial" w:hAnsi="Arial"/>
          <w:lang w:val="es-ES_tradnl"/>
        </w:rPr>
        <w:t>En el caso de que los materiales y productos dispongan de marcado CE según la directiva 89/106CEE, se comprobará su conformidad mediante la verificación documental de que los valores declarados en los documentos que acompañan al citado marcado CE son acordes a las especificaciones contempladas en este Pliego.</w:t>
      </w:r>
    </w:p>
    <w:p w14:paraId="384A999F" w14:textId="77777777" w:rsidR="00316114" w:rsidRPr="003E400D" w:rsidRDefault="00E47B91" w:rsidP="006D20A0">
      <w:pPr>
        <w:spacing w:before="120" w:after="120" w:line="360" w:lineRule="auto"/>
        <w:jc w:val="both"/>
        <w:rPr>
          <w:rFonts w:ascii="Arial" w:hAnsi="Arial"/>
          <w:lang w:val="es-ES_tradnl"/>
        </w:rPr>
      </w:pPr>
      <w:r>
        <w:rPr>
          <w:rFonts w:ascii="Arial" w:hAnsi="Arial"/>
          <w:lang w:val="es-ES_tradnl"/>
        </w:rPr>
        <w:t xml:space="preserve">El </w:t>
      </w:r>
      <w:proofErr w:type="gramStart"/>
      <w:r>
        <w:rPr>
          <w:rFonts w:ascii="Arial" w:hAnsi="Arial"/>
          <w:lang w:val="es-ES_tradnl"/>
        </w:rPr>
        <w:t>Director</w:t>
      </w:r>
      <w:proofErr w:type="gramEnd"/>
      <w:r>
        <w:rPr>
          <w:rFonts w:ascii="Arial" w:hAnsi="Arial"/>
          <w:lang w:val="es-ES_tradnl"/>
        </w:rPr>
        <w:t xml:space="preserve"> de </w:t>
      </w:r>
      <w:r w:rsidR="00D93E76">
        <w:rPr>
          <w:rFonts w:ascii="Arial" w:hAnsi="Arial"/>
          <w:lang w:val="es-ES_tradnl"/>
        </w:rPr>
        <w:t>Obra</w:t>
      </w:r>
      <w:r w:rsidR="00316114" w:rsidRPr="003E400D">
        <w:rPr>
          <w:rFonts w:ascii="Arial" w:hAnsi="Arial"/>
          <w:lang w:val="es-ES_tradnl"/>
        </w:rPr>
        <w:t>, en el uso de sus atribuciones, podrá disponer en cualquier momento la realización de comprobaciones o ensayos sobre los materiales y productos que se empleen en la reparación.</w:t>
      </w:r>
    </w:p>
    <w:p w14:paraId="20F42801" w14:textId="77777777" w:rsidR="00316114" w:rsidRPr="003E400D" w:rsidRDefault="00316114" w:rsidP="006D20A0">
      <w:pPr>
        <w:spacing w:before="120" w:after="120" w:line="360" w:lineRule="auto"/>
        <w:jc w:val="both"/>
        <w:rPr>
          <w:rFonts w:ascii="Arial" w:hAnsi="Arial"/>
          <w:lang w:val="es-ES_tradnl"/>
        </w:rPr>
      </w:pPr>
      <w:r w:rsidRPr="003E400D">
        <w:rPr>
          <w:rFonts w:ascii="Arial" w:hAnsi="Arial"/>
          <w:lang w:val="es-ES_tradnl"/>
        </w:rPr>
        <w:t>En el caso de productos que no dispongan de marcado CE, la comprobación de su conformidad incluirá:</w:t>
      </w:r>
    </w:p>
    <w:p w14:paraId="51AF6D87" w14:textId="77777777" w:rsidR="00316114" w:rsidRPr="003E400D" w:rsidRDefault="00316114" w:rsidP="006D20A0">
      <w:pPr>
        <w:pStyle w:val="NORMAL12"/>
        <w:numPr>
          <w:ilvl w:val="0"/>
          <w:numId w:val="61"/>
        </w:numPr>
      </w:pPr>
      <w:r w:rsidRPr="003E400D">
        <w:t>Un control documental</w:t>
      </w:r>
    </w:p>
    <w:p w14:paraId="5209B29A" w14:textId="77777777" w:rsidR="00316114" w:rsidRPr="003E400D" w:rsidRDefault="00316114" w:rsidP="006D20A0">
      <w:pPr>
        <w:pStyle w:val="NORMAL12"/>
        <w:numPr>
          <w:ilvl w:val="0"/>
          <w:numId w:val="61"/>
        </w:numPr>
      </w:pPr>
      <w:r w:rsidRPr="003E400D">
        <w:t>En su caso, control mediante distintivos de calidad o procedimientos que garanticen un nivel de garantía adicional equivalente</w:t>
      </w:r>
    </w:p>
    <w:p w14:paraId="5915A0A0" w14:textId="77777777" w:rsidR="00316114" w:rsidRPr="003E400D" w:rsidRDefault="00316114" w:rsidP="006D20A0">
      <w:pPr>
        <w:pStyle w:val="NORMAL12"/>
        <w:numPr>
          <w:ilvl w:val="0"/>
          <w:numId w:val="61"/>
        </w:numPr>
      </w:pPr>
      <w:r w:rsidRPr="003E400D">
        <w:t xml:space="preserve">En su caso, un control experimental mediante la realización de ensayos definidos por </w:t>
      </w:r>
      <w:proofErr w:type="gramStart"/>
      <w:r w:rsidRPr="003E400D">
        <w:t>la siguientes normas</w:t>
      </w:r>
      <w:proofErr w:type="gramEnd"/>
      <w:r w:rsidRPr="003E400D">
        <w:t>:</w:t>
      </w:r>
    </w:p>
    <w:p w14:paraId="2DBFFC6F" w14:textId="77777777" w:rsidR="00316114" w:rsidRPr="00050087" w:rsidRDefault="00316114" w:rsidP="00050087">
      <w:pPr>
        <w:spacing w:before="120" w:after="120" w:line="360" w:lineRule="auto"/>
        <w:jc w:val="both"/>
        <w:rPr>
          <w:rFonts w:ascii="Arial" w:hAnsi="Arial"/>
          <w:i/>
          <w:u w:val="single"/>
        </w:rPr>
      </w:pPr>
      <w:r w:rsidRPr="00050087">
        <w:rPr>
          <w:rFonts w:ascii="Arial" w:hAnsi="Arial"/>
          <w:i/>
          <w:u w:val="single"/>
        </w:rPr>
        <w:t>Rejilla</w:t>
      </w:r>
    </w:p>
    <w:tbl>
      <w:tblPr>
        <w:tblW w:w="6000" w:type="dxa"/>
        <w:jc w:val="center"/>
        <w:tblCellMar>
          <w:left w:w="70" w:type="dxa"/>
          <w:right w:w="70" w:type="dxa"/>
        </w:tblCellMar>
        <w:tblLook w:val="04A0" w:firstRow="1" w:lastRow="0" w:firstColumn="1" w:lastColumn="0" w:noHBand="0" w:noVBand="1"/>
      </w:tblPr>
      <w:tblGrid>
        <w:gridCol w:w="3227"/>
        <w:gridCol w:w="2773"/>
      </w:tblGrid>
      <w:tr w:rsidR="001633AB" w:rsidRPr="00E47B91" w14:paraId="4ECA5E56" w14:textId="77777777" w:rsidTr="001633AB">
        <w:trPr>
          <w:trHeight w:val="590"/>
          <w:jc w:val="center"/>
        </w:trPr>
        <w:tc>
          <w:tcPr>
            <w:tcW w:w="3227"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943EDCA" w14:textId="77777777" w:rsidR="001633AB" w:rsidRPr="00E47B91" w:rsidRDefault="001633AB">
            <w:pPr>
              <w:jc w:val="center"/>
              <w:rPr>
                <w:rFonts w:ascii="Arial" w:hAnsi="Arial" w:cs="Arial"/>
                <w:b/>
                <w:bCs/>
                <w:color w:val="000000"/>
                <w:sz w:val="20"/>
                <w:szCs w:val="20"/>
              </w:rPr>
            </w:pPr>
            <w:r w:rsidRPr="00E47B91">
              <w:rPr>
                <w:rFonts w:ascii="Arial" w:hAnsi="Arial" w:cs="Arial"/>
                <w:b/>
                <w:bCs/>
                <w:color w:val="000000"/>
                <w:sz w:val="20"/>
                <w:szCs w:val="20"/>
              </w:rPr>
              <w:t xml:space="preserve">Características  </w:t>
            </w:r>
          </w:p>
        </w:tc>
        <w:tc>
          <w:tcPr>
            <w:tcW w:w="2773" w:type="dxa"/>
            <w:tcBorders>
              <w:top w:val="single" w:sz="4" w:space="0" w:color="auto"/>
              <w:left w:val="nil"/>
              <w:bottom w:val="single" w:sz="4" w:space="0" w:color="auto"/>
              <w:right w:val="single" w:sz="4" w:space="0" w:color="auto"/>
            </w:tcBorders>
            <w:shd w:val="clear" w:color="000000" w:fill="D9D9D9"/>
            <w:vAlign w:val="center"/>
            <w:hideMark/>
          </w:tcPr>
          <w:p w14:paraId="7E063273" w14:textId="77777777" w:rsidR="001633AB" w:rsidRPr="00E47B91" w:rsidRDefault="001633AB">
            <w:pPr>
              <w:jc w:val="center"/>
              <w:rPr>
                <w:rFonts w:ascii="Arial" w:hAnsi="Arial" w:cs="Arial"/>
                <w:b/>
                <w:bCs/>
                <w:color w:val="000000"/>
                <w:sz w:val="20"/>
                <w:szCs w:val="20"/>
              </w:rPr>
            </w:pPr>
            <w:r w:rsidRPr="00E47B91">
              <w:rPr>
                <w:rFonts w:ascii="Arial" w:hAnsi="Arial" w:cs="Arial"/>
                <w:b/>
                <w:bCs/>
                <w:color w:val="000000"/>
                <w:sz w:val="20"/>
                <w:szCs w:val="20"/>
              </w:rPr>
              <w:t>Normas de ensayo</w:t>
            </w:r>
          </w:p>
        </w:tc>
      </w:tr>
      <w:tr w:rsidR="001633AB" w:rsidRPr="00E47B91" w14:paraId="6F8CC6B5" w14:textId="77777777" w:rsidTr="001633AB">
        <w:trPr>
          <w:trHeight w:val="590"/>
          <w:jc w:val="center"/>
        </w:trPr>
        <w:tc>
          <w:tcPr>
            <w:tcW w:w="3227" w:type="dxa"/>
            <w:tcBorders>
              <w:top w:val="nil"/>
              <w:left w:val="single" w:sz="4" w:space="0" w:color="auto"/>
              <w:bottom w:val="single" w:sz="4" w:space="0" w:color="auto"/>
              <w:right w:val="single" w:sz="4" w:space="0" w:color="auto"/>
            </w:tcBorders>
            <w:vAlign w:val="center"/>
            <w:hideMark/>
          </w:tcPr>
          <w:p w14:paraId="4491ED1F" w14:textId="77777777" w:rsidR="001633AB" w:rsidRPr="00E47B91" w:rsidRDefault="001633AB">
            <w:pPr>
              <w:rPr>
                <w:rFonts w:ascii="Arial" w:hAnsi="Arial" w:cs="Arial"/>
                <w:color w:val="000000"/>
                <w:sz w:val="20"/>
                <w:szCs w:val="20"/>
              </w:rPr>
            </w:pPr>
            <w:r w:rsidRPr="00E47B91">
              <w:rPr>
                <w:rFonts w:ascii="Arial" w:hAnsi="Arial" w:cs="Arial"/>
                <w:color w:val="000000"/>
                <w:sz w:val="20"/>
                <w:szCs w:val="20"/>
              </w:rPr>
              <w:t xml:space="preserve">Características de la rejilla </w:t>
            </w:r>
          </w:p>
        </w:tc>
        <w:tc>
          <w:tcPr>
            <w:tcW w:w="2773" w:type="dxa"/>
            <w:tcBorders>
              <w:top w:val="nil"/>
              <w:left w:val="nil"/>
              <w:bottom w:val="single" w:sz="4" w:space="0" w:color="auto"/>
              <w:right w:val="single" w:sz="4" w:space="0" w:color="auto"/>
            </w:tcBorders>
            <w:vAlign w:val="center"/>
            <w:hideMark/>
          </w:tcPr>
          <w:p w14:paraId="2D429CF9" w14:textId="77777777" w:rsidR="001633AB" w:rsidRPr="00E47B91" w:rsidRDefault="001633AB">
            <w:pPr>
              <w:jc w:val="center"/>
              <w:rPr>
                <w:rFonts w:ascii="Arial" w:hAnsi="Arial" w:cs="Arial"/>
                <w:color w:val="000000"/>
                <w:sz w:val="20"/>
                <w:szCs w:val="20"/>
              </w:rPr>
            </w:pPr>
            <w:r w:rsidRPr="00E47B91">
              <w:rPr>
                <w:rFonts w:ascii="Arial" w:hAnsi="Arial" w:cs="Arial"/>
                <w:color w:val="000000"/>
                <w:sz w:val="20"/>
                <w:szCs w:val="20"/>
              </w:rPr>
              <w:t>EN-124</w:t>
            </w:r>
          </w:p>
        </w:tc>
      </w:tr>
    </w:tbl>
    <w:p w14:paraId="06B00E2F" w14:textId="77777777" w:rsidR="00316114" w:rsidRPr="006D20A0" w:rsidRDefault="006D20A0" w:rsidP="006D20A0">
      <w:pPr>
        <w:spacing w:before="120" w:after="120" w:line="360" w:lineRule="auto"/>
        <w:jc w:val="both"/>
        <w:rPr>
          <w:rFonts w:ascii="Arial" w:hAnsi="Arial"/>
          <w:i/>
          <w:u w:val="single"/>
        </w:rPr>
      </w:pPr>
      <w:r w:rsidRPr="006D20A0">
        <w:rPr>
          <w:rFonts w:ascii="Arial" w:hAnsi="Arial"/>
          <w:i/>
          <w:u w:val="single"/>
        </w:rPr>
        <w:t>Tratamiento de no conformidades</w:t>
      </w: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5729"/>
      </w:tblGrid>
      <w:tr w:rsidR="00316114" w:rsidRPr="003E400D" w14:paraId="65E5ADC6" w14:textId="77777777" w:rsidTr="001633AB">
        <w:tc>
          <w:tcPr>
            <w:tcW w:w="3130" w:type="dxa"/>
            <w:shd w:val="clear" w:color="auto" w:fill="D9D9D9" w:themeFill="background1" w:themeFillShade="D9"/>
            <w:vAlign w:val="center"/>
          </w:tcPr>
          <w:p w14:paraId="2B1CE170" w14:textId="77777777" w:rsidR="00316114" w:rsidRPr="001633AB" w:rsidRDefault="00316114" w:rsidP="00316114">
            <w:pPr>
              <w:spacing w:before="120" w:after="40" w:line="276" w:lineRule="auto"/>
              <w:jc w:val="center"/>
              <w:rPr>
                <w:rFonts w:ascii="Arial" w:hAnsi="Arial" w:cs="Arial"/>
                <w:b/>
                <w:sz w:val="20"/>
                <w:szCs w:val="20"/>
              </w:rPr>
            </w:pPr>
            <w:r w:rsidRPr="001633AB">
              <w:rPr>
                <w:rFonts w:ascii="Arial" w:hAnsi="Arial" w:cs="Arial"/>
                <w:b/>
                <w:sz w:val="20"/>
                <w:szCs w:val="20"/>
              </w:rPr>
              <w:t>No Conformidades</w:t>
            </w:r>
          </w:p>
        </w:tc>
        <w:tc>
          <w:tcPr>
            <w:tcW w:w="5729" w:type="dxa"/>
            <w:shd w:val="clear" w:color="auto" w:fill="D9D9D9" w:themeFill="background1" w:themeFillShade="D9"/>
            <w:vAlign w:val="center"/>
          </w:tcPr>
          <w:p w14:paraId="0E0160A7" w14:textId="77777777" w:rsidR="00316114" w:rsidRPr="001633AB" w:rsidRDefault="00316114" w:rsidP="00316114">
            <w:pPr>
              <w:spacing w:before="120" w:after="40" w:line="276" w:lineRule="auto"/>
              <w:jc w:val="center"/>
              <w:rPr>
                <w:rFonts w:ascii="Arial" w:hAnsi="Arial" w:cs="Arial"/>
                <w:b/>
                <w:sz w:val="20"/>
                <w:szCs w:val="20"/>
              </w:rPr>
            </w:pPr>
            <w:r w:rsidRPr="001633AB">
              <w:rPr>
                <w:rFonts w:ascii="Arial" w:hAnsi="Arial" w:cs="Arial"/>
                <w:b/>
                <w:sz w:val="20"/>
                <w:szCs w:val="20"/>
              </w:rPr>
              <w:t>Tratamiento</w:t>
            </w:r>
            <w:r w:rsidR="00E47B91">
              <w:rPr>
                <w:rFonts w:ascii="Arial" w:hAnsi="Arial" w:cs="Arial"/>
                <w:b/>
                <w:sz w:val="20"/>
                <w:szCs w:val="20"/>
              </w:rPr>
              <w:t xml:space="preserve"> de no conformidades</w:t>
            </w:r>
          </w:p>
        </w:tc>
      </w:tr>
      <w:tr w:rsidR="00316114" w:rsidRPr="003E400D" w14:paraId="5CAF3B72" w14:textId="77777777" w:rsidTr="00927CC1">
        <w:tc>
          <w:tcPr>
            <w:tcW w:w="3130" w:type="dxa"/>
          </w:tcPr>
          <w:p w14:paraId="37486D3B" w14:textId="77777777" w:rsidR="00316114" w:rsidRPr="001633AB" w:rsidRDefault="00316114" w:rsidP="00316114">
            <w:pPr>
              <w:spacing w:before="120" w:after="40" w:line="276" w:lineRule="auto"/>
              <w:jc w:val="both"/>
              <w:rPr>
                <w:rFonts w:ascii="Arial" w:hAnsi="Arial" w:cs="Arial"/>
                <w:sz w:val="20"/>
                <w:szCs w:val="20"/>
              </w:rPr>
            </w:pPr>
            <w:r w:rsidRPr="001633AB">
              <w:rPr>
                <w:rFonts w:ascii="Arial" w:hAnsi="Arial" w:cs="Arial"/>
                <w:sz w:val="20"/>
                <w:szCs w:val="20"/>
              </w:rPr>
              <w:t>Ausencia de certificados de garantía de producto</w:t>
            </w:r>
          </w:p>
        </w:tc>
        <w:tc>
          <w:tcPr>
            <w:tcW w:w="5729" w:type="dxa"/>
          </w:tcPr>
          <w:p w14:paraId="70934447" w14:textId="77777777" w:rsidR="00316114" w:rsidRPr="001633AB" w:rsidRDefault="00316114" w:rsidP="00316114">
            <w:pPr>
              <w:spacing w:before="120" w:after="40" w:line="276" w:lineRule="auto"/>
              <w:jc w:val="both"/>
              <w:rPr>
                <w:rFonts w:ascii="Arial" w:hAnsi="Arial" w:cs="Arial"/>
                <w:sz w:val="20"/>
                <w:szCs w:val="20"/>
              </w:rPr>
            </w:pPr>
            <w:r w:rsidRPr="001633AB">
              <w:rPr>
                <w:rFonts w:ascii="Arial" w:hAnsi="Arial" w:cs="Arial"/>
                <w:sz w:val="20"/>
                <w:szCs w:val="20"/>
              </w:rPr>
              <w:t>No se aceptará la Unidad de Obra. La empresa fabricadora aportará dichos certificados por escrito.</w:t>
            </w:r>
          </w:p>
        </w:tc>
      </w:tr>
      <w:tr w:rsidR="00316114" w:rsidRPr="003E400D" w14:paraId="117FA21C" w14:textId="77777777" w:rsidTr="00927CC1">
        <w:tc>
          <w:tcPr>
            <w:tcW w:w="3130" w:type="dxa"/>
          </w:tcPr>
          <w:p w14:paraId="498874BB" w14:textId="77777777" w:rsidR="00316114" w:rsidRPr="001633AB" w:rsidRDefault="00316114" w:rsidP="00316114">
            <w:pPr>
              <w:spacing w:before="120" w:after="40" w:line="276" w:lineRule="auto"/>
              <w:jc w:val="both"/>
              <w:rPr>
                <w:rFonts w:ascii="Arial" w:hAnsi="Arial" w:cs="Arial"/>
                <w:sz w:val="20"/>
                <w:szCs w:val="20"/>
              </w:rPr>
            </w:pPr>
            <w:r w:rsidRPr="001633AB">
              <w:rPr>
                <w:rFonts w:ascii="Arial" w:hAnsi="Arial" w:cs="Arial"/>
                <w:sz w:val="20"/>
                <w:szCs w:val="20"/>
              </w:rPr>
              <w:t>Ausencia de certificados de garantía de aplicación del producto</w:t>
            </w:r>
          </w:p>
        </w:tc>
        <w:tc>
          <w:tcPr>
            <w:tcW w:w="5729" w:type="dxa"/>
          </w:tcPr>
          <w:p w14:paraId="12F30E7E" w14:textId="77777777" w:rsidR="00316114" w:rsidRPr="001633AB" w:rsidRDefault="00316114" w:rsidP="00316114">
            <w:pPr>
              <w:spacing w:before="120" w:after="40" w:line="276" w:lineRule="auto"/>
              <w:jc w:val="both"/>
              <w:rPr>
                <w:rFonts w:ascii="Arial" w:hAnsi="Arial" w:cs="Arial"/>
                <w:sz w:val="20"/>
                <w:szCs w:val="20"/>
              </w:rPr>
            </w:pPr>
            <w:r w:rsidRPr="001633AB">
              <w:rPr>
                <w:rFonts w:ascii="Arial" w:hAnsi="Arial" w:cs="Arial"/>
                <w:sz w:val="20"/>
                <w:szCs w:val="20"/>
              </w:rPr>
              <w:t xml:space="preserve">No se aceptará la Unidad de Obra. La empresa </w:t>
            </w:r>
            <w:proofErr w:type="spellStart"/>
            <w:r w:rsidRPr="001633AB">
              <w:rPr>
                <w:rFonts w:ascii="Arial" w:hAnsi="Arial" w:cs="Arial"/>
                <w:sz w:val="20"/>
                <w:szCs w:val="20"/>
              </w:rPr>
              <w:t>aplicadora</w:t>
            </w:r>
            <w:proofErr w:type="spellEnd"/>
            <w:r w:rsidRPr="001633AB">
              <w:rPr>
                <w:rFonts w:ascii="Arial" w:hAnsi="Arial" w:cs="Arial"/>
                <w:sz w:val="20"/>
                <w:szCs w:val="20"/>
              </w:rPr>
              <w:t xml:space="preserve"> aportará dicho certificado por escrito.</w:t>
            </w:r>
          </w:p>
        </w:tc>
      </w:tr>
    </w:tbl>
    <w:p w14:paraId="687AD7B3" w14:textId="77777777" w:rsidR="00316114" w:rsidRPr="00423608" w:rsidRDefault="003E400D" w:rsidP="000313DD">
      <w:pPr>
        <w:pStyle w:val="TITU2"/>
      </w:pPr>
      <w:bookmarkStart w:id="524" w:name="_Toc404281"/>
      <w:r w:rsidRPr="00423608">
        <w:t>425</w:t>
      </w:r>
      <w:r w:rsidR="00316114" w:rsidRPr="003E400D">
        <w:t>.9. Medición y abono.</w:t>
      </w:r>
      <w:bookmarkEnd w:id="524"/>
    </w:p>
    <w:p w14:paraId="4BB1CB76" w14:textId="77777777" w:rsidR="00316114" w:rsidRPr="00E47B91" w:rsidRDefault="00316114" w:rsidP="006D20A0">
      <w:pPr>
        <w:spacing w:before="120" w:after="120" w:line="360" w:lineRule="auto"/>
        <w:jc w:val="both"/>
        <w:rPr>
          <w:rFonts w:ascii="Arial" w:hAnsi="Arial"/>
          <w:lang w:val="es-ES_tradnl"/>
        </w:rPr>
      </w:pPr>
      <w:r w:rsidRPr="003E400D">
        <w:rPr>
          <w:rFonts w:ascii="Arial" w:hAnsi="Arial"/>
          <w:lang w:val="es-ES_tradnl"/>
        </w:rPr>
        <w:t xml:space="preserve">La medición y abono de </w:t>
      </w:r>
      <w:r w:rsidRPr="00E47B91">
        <w:rPr>
          <w:rFonts w:ascii="Arial" w:hAnsi="Arial"/>
          <w:lang w:val="es-ES_tradnl"/>
        </w:rPr>
        <w:t>la unidad de obra del canal reja se realizará conforme a las siguientes especificaciones: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30"/>
        <w:gridCol w:w="6298"/>
      </w:tblGrid>
      <w:tr w:rsidR="00316114" w:rsidRPr="00E47B91" w14:paraId="77149CBE" w14:textId="77777777" w:rsidTr="00927CC1">
        <w:tc>
          <w:tcPr>
            <w:tcW w:w="2630" w:type="dxa"/>
            <w:tcBorders>
              <w:top w:val="single" w:sz="4" w:space="0" w:color="auto"/>
              <w:left w:val="single" w:sz="4" w:space="0" w:color="auto"/>
              <w:bottom w:val="single" w:sz="4" w:space="0" w:color="auto"/>
              <w:right w:val="single" w:sz="4" w:space="0" w:color="auto"/>
            </w:tcBorders>
            <w:vAlign w:val="center"/>
          </w:tcPr>
          <w:p w14:paraId="7ED75B1C" w14:textId="77777777" w:rsidR="00316114" w:rsidRPr="00E47B91" w:rsidRDefault="00316114" w:rsidP="00E50149">
            <w:pPr>
              <w:spacing w:before="40" w:after="40" w:line="264" w:lineRule="auto"/>
              <w:jc w:val="center"/>
              <w:rPr>
                <w:rFonts w:ascii="Arial" w:hAnsi="Arial" w:cs="Arial"/>
                <w:b/>
                <w:sz w:val="20"/>
                <w:szCs w:val="20"/>
              </w:rPr>
            </w:pPr>
            <w:r w:rsidRPr="00E47B91">
              <w:rPr>
                <w:rFonts w:ascii="Arial" w:hAnsi="Arial" w:cs="Arial"/>
                <w:b/>
                <w:sz w:val="20"/>
                <w:szCs w:val="20"/>
              </w:rPr>
              <w:t>Unidad de medida</w:t>
            </w:r>
          </w:p>
        </w:tc>
        <w:tc>
          <w:tcPr>
            <w:tcW w:w="6298" w:type="dxa"/>
            <w:tcBorders>
              <w:top w:val="single" w:sz="4" w:space="0" w:color="auto"/>
              <w:left w:val="single" w:sz="4" w:space="0" w:color="auto"/>
              <w:bottom w:val="single" w:sz="4" w:space="0" w:color="auto"/>
              <w:right w:val="single" w:sz="4" w:space="0" w:color="auto"/>
            </w:tcBorders>
            <w:vAlign w:val="center"/>
          </w:tcPr>
          <w:p w14:paraId="26CF3AEF" w14:textId="77777777" w:rsidR="00316114" w:rsidRPr="00E47B91" w:rsidRDefault="00316114" w:rsidP="002A67A1">
            <w:pPr>
              <w:keepLines/>
              <w:spacing w:before="120" w:after="120"/>
              <w:jc w:val="both"/>
              <w:rPr>
                <w:rFonts w:ascii="Arial" w:hAnsi="Arial" w:cs="Arial"/>
                <w:sz w:val="20"/>
                <w:szCs w:val="20"/>
              </w:rPr>
            </w:pPr>
            <w:r w:rsidRPr="00E47B91">
              <w:rPr>
                <w:rFonts w:ascii="Arial" w:hAnsi="Arial" w:cs="Arial"/>
                <w:sz w:val="20"/>
                <w:szCs w:val="20"/>
              </w:rPr>
              <w:t xml:space="preserve">Metros (m). </w:t>
            </w:r>
          </w:p>
        </w:tc>
      </w:tr>
      <w:tr w:rsidR="00316114" w:rsidRPr="00E47B91" w14:paraId="581A449E" w14:textId="77777777" w:rsidTr="00927CC1">
        <w:tc>
          <w:tcPr>
            <w:tcW w:w="2630" w:type="dxa"/>
            <w:tcBorders>
              <w:top w:val="single" w:sz="4" w:space="0" w:color="auto"/>
              <w:left w:val="single" w:sz="4" w:space="0" w:color="auto"/>
              <w:bottom w:val="single" w:sz="4" w:space="0" w:color="auto"/>
              <w:right w:val="single" w:sz="4" w:space="0" w:color="auto"/>
            </w:tcBorders>
            <w:vAlign w:val="center"/>
          </w:tcPr>
          <w:p w14:paraId="6CCE0E85" w14:textId="77777777" w:rsidR="00316114" w:rsidRPr="00E47B91" w:rsidRDefault="00316114" w:rsidP="00E50149">
            <w:pPr>
              <w:spacing w:before="40" w:after="40" w:line="264" w:lineRule="auto"/>
              <w:jc w:val="center"/>
              <w:rPr>
                <w:rFonts w:ascii="Arial" w:hAnsi="Arial" w:cs="Arial"/>
                <w:b/>
                <w:sz w:val="20"/>
                <w:szCs w:val="20"/>
              </w:rPr>
            </w:pPr>
            <w:r w:rsidRPr="00E47B91">
              <w:rPr>
                <w:rFonts w:ascii="Arial" w:hAnsi="Arial" w:cs="Arial"/>
                <w:b/>
                <w:sz w:val="20"/>
                <w:szCs w:val="20"/>
              </w:rPr>
              <w:t>Grado de precisión</w:t>
            </w:r>
          </w:p>
        </w:tc>
        <w:tc>
          <w:tcPr>
            <w:tcW w:w="6298" w:type="dxa"/>
            <w:tcBorders>
              <w:top w:val="single" w:sz="4" w:space="0" w:color="auto"/>
              <w:left w:val="single" w:sz="4" w:space="0" w:color="auto"/>
              <w:bottom w:val="single" w:sz="4" w:space="0" w:color="auto"/>
              <w:right w:val="single" w:sz="4" w:space="0" w:color="auto"/>
            </w:tcBorders>
            <w:vAlign w:val="center"/>
          </w:tcPr>
          <w:p w14:paraId="380FFAEE" w14:textId="77777777" w:rsidR="00316114" w:rsidRPr="00E47B91" w:rsidRDefault="00316114" w:rsidP="002A67A1">
            <w:pPr>
              <w:keepLines/>
              <w:spacing w:before="120" w:after="120"/>
              <w:jc w:val="both"/>
              <w:rPr>
                <w:rFonts w:ascii="Arial" w:hAnsi="Arial" w:cs="Arial"/>
                <w:sz w:val="20"/>
                <w:szCs w:val="20"/>
              </w:rPr>
            </w:pPr>
            <w:r w:rsidRPr="00E47B91">
              <w:rPr>
                <w:rFonts w:ascii="Arial" w:hAnsi="Arial" w:cs="Arial"/>
                <w:sz w:val="20"/>
                <w:szCs w:val="20"/>
              </w:rPr>
              <w:t>Dos decimales.</w:t>
            </w:r>
          </w:p>
        </w:tc>
      </w:tr>
      <w:tr w:rsidR="00316114" w:rsidRPr="00E47B91" w14:paraId="553A2341" w14:textId="77777777" w:rsidTr="00927CC1">
        <w:tc>
          <w:tcPr>
            <w:tcW w:w="2630" w:type="dxa"/>
            <w:tcBorders>
              <w:top w:val="single" w:sz="4" w:space="0" w:color="auto"/>
              <w:left w:val="single" w:sz="4" w:space="0" w:color="auto"/>
              <w:bottom w:val="single" w:sz="4" w:space="0" w:color="auto"/>
              <w:right w:val="single" w:sz="4" w:space="0" w:color="auto"/>
            </w:tcBorders>
            <w:vAlign w:val="center"/>
          </w:tcPr>
          <w:p w14:paraId="02C7382B" w14:textId="77777777" w:rsidR="00316114" w:rsidRPr="00E47B91" w:rsidRDefault="00316114" w:rsidP="00E50149">
            <w:pPr>
              <w:spacing w:before="40" w:after="40" w:line="264" w:lineRule="auto"/>
              <w:jc w:val="center"/>
              <w:rPr>
                <w:rFonts w:ascii="Arial" w:hAnsi="Arial" w:cs="Arial"/>
                <w:b/>
                <w:sz w:val="20"/>
                <w:szCs w:val="20"/>
              </w:rPr>
            </w:pPr>
            <w:r w:rsidRPr="00E47B91">
              <w:rPr>
                <w:rFonts w:ascii="Arial" w:hAnsi="Arial" w:cs="Arial"/>
                <w:b/>
                <w:sz w:val="20"/>
                <w:szCs w:val="20"/>
              </w:rPr>
              <w:t>Forma de medición</w:t>
            </w:r>
          </w:p>
        </w:tc>
        <w:tc>
          <w:tcPr>
            <w:tcW w:w="6298" w:type="dxa"/>
            <w:tcBorders>
              <w:top w:val="single" w:sz="4" w:space="0" w:color="auto"/>
              <w:left w:val="single" w:sz="4" w:space="0" w:color="auto"/>
              <w:bottom w:val="single" w:sz="4" w:space="0" w:color="auto"/>
              <w:right w:val="single" w:sz="4" w:space="0" w:color="auto"/>
            </w:tcBorders>
            <w:vAlign w:val="center"/>
          </w:tcPr>
          <w:p w14:paraId="2FC28A23" w14:textId="77777777" w:rsidR="00316114" w:rsidRPr="00E47B91" w:rsidRDefault="00316114" w:rsidP="002A67A1">
            <w:pPr>
              <w:keepLines/>
              <w:spacing w:before="120" w:after="120"/>
              <w:jc w:val="both"/>
              <w:rPr>
                <w:rFonts w:ascii="Arial" w:hAnsi="Arial" w:cs="Arial"/>
                <w:sz w:val="20"/>
                <w:szCs w:val="20"/>
              </w:rPr>
            </w:pPr>
            <w:r w:rsidRPr="00E47B91">
              <w:rPr>
                <w:rFonts w:ascii="Arial" w:hAnsi="Arial" w:cs="Arial"/>
                <w:sz w:val="20"/>
                <w:szCs w:val="20"/>
              </w:rPr>
              <w:t xml:space="preserve">Metros de canal </w:t>
            </w:r>
            <w:r w:rsidR="00E47B91" w:rsidRPr="00E47B91">
              <w:rPr>
                <w:rFonts w:ascii="Arial" w:hAnsi="Arial" w:cs="Arial"/>
                <w:sz w:val="20"/>
                <w:szCs w:val="20"/>
              </w:rPr>
              <w:t>reja</w:t>
            </w:r>
            <w:r w:rsidRPr="00E47B91">
              <w:rPr>
                <w:rFonts w:ascii="Arial" w:hAnsi="Arial" w:cs="Arial"/>
                <w:sz w:val="20"/>
                <w:szCs w:val="20"/>
              </w:rPr>
              <w:t>.</w:t>
            </w:r>
          </w:p>
        </w:tc>
      </w:tr>
      <w:tr w:rsidR="00316114" w:rsidRPr="003E400D" w14:paraId="25D4DDC0" w14:textId="77777777" w:rsidTr="00927CC1">
        <w:tc>
          <w:tcPr>
            <w:tcW w:w="2630" w:type="dxa"/>
            <w:tcBorders>
              <w:top w:val="single" w:sz="4" w:space="0" w:color="auto"/>
              <w:left w:val="single" w:sz="4" w:space="0" w:color="auto"/>
              <w:bottom w:val="single" w:sz="4" w:space="0" w:color="auto"/>
              <w:right w:val="single" w:sz="4" w:space="0" w:color="auto"/>
            </w:tcBorders>
            <w:vAlign w:val="center"/>
          </w:tcPr>
          <w:p w14:paraId="32674A7B" w14:textId="77777777" w:rsidR="00316114" w:rsidRPr="00E47B91" w:rsidRDefault="00316114" w:rsidP="00E50149">
            <w:pPr>
              <w:spacing w:before="40" w:after="40" w:line="264" w:lineRule="auto"/>
              <w:jc w:val="center"/>
              <w:rPr>
                <w:rFonts w:ascii="Arial" w:hAnsi="Arial" w:cs="Arial"/>
                <w:b/>
                <w:sz w:val="20"/>
                <w:szCs w:val="20"/>
              </w:rPr>
            </w:pPr>
            <w:r w:rsidRPr="00E47B91">
              <w:rPr>
                <w:rFonts w:ascii="Arial" w:hAnsi="Arial" w:cs="Arial"/>
                <w:b/>
                <w:sz w:val="20"/>
                <w:szCs w:val="20"/>
              </w:rPr>
              <w:t>Abono</w:t>
            </w:r>
          </w:p>
        </w:tc>
        <w:tc>
          <w:tcPr>
            <w:tcW w:w="6298" w:type="dxa"/>
            <w:tcBorders>
              <w:top w:val="single" w:sz="4" w:space="0" w:color="auto"/>
              <w:left w:val="single" w:sz="4" w:space="0" w:color="auto"/>
              <w:bottom w:val="single" w:sz="4" w:space="0" w:color="auto"/>
              <w:right w:val="single" w:sz="4" w:space="0" w:color="auto"/>
            </w:tcBorders>
            <w:vAlign w:val="center"/>
          </w:tcPr>
          <w:p w14:paraId="3FA130AB" w14:textId="77777777" w:rsidR="00316114" w:rsidRPr="00AB5CD0" w:rsidRDefault="00316114" w:rsidP="002A67A1">
            <w:pPr>
              <w:keepLines/>
              <w:spacing w:before="120" w:after="120"/>
              <w:jc w:val="both"/>
              <w:rPr>
                <w:rFonts w:ascii="Arial" w:hAnsi="Arial" w:cs="Arial"/>
                <w:sz w:val="20"/>
                <w:szCs w:val="20"/>
              </w:rPr>
            </w:pPr>
            <w:r w:rsidRPr="00E47B91">
              <w:rPr>
                <w:rFonts w:ascii="Arial" w:hAnsi="Arial" w:cs="Arial"/>
                <w:sz w:val="20"/>
                <w:szCs w:val="20"/>
              </w:rPr>
              <w:t>Se efectuará cuando se realice la aceptación, una vez realizadas las pruebas y ensayos de recepción.</w:t>
            </w:r>
          </w:p>
        </w:tc>
      </w:tr>
      <w:tr w:rsidR="00316114" w:rsidRPr="003E400D" w14:paraId="7DED6FC6" w14:textId="77777777" w:rsidTr="00927CC1">
        <w:tc>
          <w:tcPr>
            <w:tcW w:w="2630" w:type="dxa"/>
            <w:tcBorders>
              <w:top w:val="single" w:sz="4" w:space="0" w:color="auto"/>
              <w:left w:val="single" w:sz="4" w:space="0" w:color="auto"/>
              <w:bottom w:val="single" w:sz="4" w:space="0" w:color="auto"/>
              <w:right w:val="single" w:sz="4" w:space="0" w:color="auto"/>
            </w:tcBorders>
            <w:vAlign w:val="center"/>
          </w:tcPr>
          <w:p w14:paraId="724BC91E" w14:textId="77777777" w:rsidR="00316114" w:rsidRPr="00AB5CD0" w:rsidRDefault="00316114" w:rsidP="00E50149">
            <w:pPr>
              <w:spacing w:before="40" w:after="40" w:line="264" w:lineRule="auto"/>
              <w:jc w:val="center"/>
              <w:rPr>
                <w:rFonts w:ascii="Arial" w:hAnsi="Arial" w:cs="Arial"/>
                <w:b/>
                <w:sz w:val="20"/>
                <w:szCs w:val="20"/>
              </w:rPr>
            </w:pPr>
            <w:r w:rsidRPr="00AB5CD0">
              <w:rPr>
                <w:rFonts w:ascii="Arial" w:hAnsi="Arial" w:cs="Arial"/>
                <w:b/>
                <w:sz w:val="20"/>
                <w:szCs w:val="20"/>
              </w:rPr>
              <w:t>Criterios complementarios</w:t>
            </w:r>
          </w:p>
        </w:tc>
        <w:tc>
          <w:tcPr>
            <w:tcW w:w="6298" w:type="dxa"/>
            <w:tcBorders>
              <w:top w:val="single" w:sz="4" w:space="0" w:color="auto"/>
              <w:left w:val="single" w:sz="4" w:space="0" w:color="auto"/>
              <w:bottom w:val="single" w:sz="4" w:space="0" w:color="auto"/>
              <w:right w:val="single" w:sz="4" w:space="0" w:color="auto"/>
            </w:tcBorders>
            <w:vAlign w:val="center"/>
          </w:tcPr>
          <w:p w14:paraId="606F70D8" w14:textId="77777777" w:rsidR="00316114" w:rsidRPr="00AB5CD0" w:rsidRDefault="00316114" w:rsidP="002A67A1">
            <w:pPr>
              <w:keepLines/>
              <w:spacing w:before="120" w:after="120"/>
              <w:jc w:val="both"/>
              <w:rPr>
                <w:rFonts w:ascii="Arial" w:hAnsi="Arial" w:cs="Arial"/>
                <w:sz w:val="20"/>
                <w:szCs w:val="20"/>
              </w:rPr>
            </w:pPr>
            <w:r w:rsidRPr="00AB5CD0">
              <w:rPr>
                <w:rFonts w:ascii="Arial" w:hAnsi="Arial" w:cs="Arial"/>
                <w:sz w:val="20"/>
                <w:szCs w:val="20"/>
              </w:rPr>
              <w:t>El precio incluye todas las operaciones y medios auxiliares para su ejecución, incluyendo las operaciones previas en superficie, preparación y acondicionamiento posterior.</w:t>
            </w:r>
          </w:p>
          <w:p w14:paraId="2E48EC81" w14:textId="77777777" w:rsidR="00316114" w:rsidRPr="00AB5CD0" w:rsidRDefault="00316114" w:rsidP="002A67A1">
            <w:pPr>
              <w:keepLines/>
              <w:spacing w:before="120" w:after="120"/>
              <w:jc w:val="both"/>
              <w:rPr>
                <w:rFonts w:ascii="Arial" w:hAnsi="Arial" w:cs="Arial"/>
                <w:sz w:val="20"/>
                <w:szCs w:val="20"/>
              </w:rPr>
            </w:pPr>
            <w:r w:rsidRPr="00AB5CD0">
              <w:rPr>
                <w:rFonts w:ascii="Arial" w:hAnsi="Arial" w:cs="Arial"/>
                <w:sz w:val="20"/>
                <w:szCs w:val="20"/>
              </w:rPr>
              <w:t>El precio incluye las piezas auxiliares necesarias, ya sean de conexión o de sujeción para la correcta ejecución de la unidad.</w:t>
            </w:r>
          </w:p>
          <w:p w14:paraId="3EA5E921" w14:textId="77777777" w:rsidR="00316114" w:rsidRPr="00AB5CD0" w:rsidRDefault="00316114" w:rsidP="002A67A1">
            <w:pPr>
              <w:keepLines/>
              <w:spacing w:before="120" w:after="120"/>
              <w:jc w:val="both"/>
              <w:rPr>
                <w:rFonts w:ascii="Arial" w:hAnsi="Arial" w:cs="Arial"/>
                <w:sz w:val="20"/>
                <w:szCs w:val="20"/>
              </w:rPr>
            </w:pPr>
            <w:r w:rsidRPr="00AB5CD0">
              <w:rPr>
                <w:rFonts w:ascii="Arial" w:hAnsi="Arial" w:cs="Arial"/>
                <w:sz w:val="20"/>
                <w:szCs w:val="20"/>
              </w:rPr>
              <w:t>El precio incluye la ejecución de las juntas de dilatación y transversales necesarias.</w:t>
            </w:r>
          </w:p>
        </w:tc>
      </w:tr>
    </w:tbl>
    <w:p w14:paraId="18E60880" w14:textId="77777777" w:rsidR="00316114" w:rsidRPr="003E400D" w:rsidRDefault="00316114" w:rsidP="00316114">
      <w:pPr>
        <w:spacing w:before="120" w:after="120" w:line="360" w:lineRule="auto"/>
        <w:jc w:val="both"/>
        <w:rPr>
          <w:rFonts w:ascii="Arial" w:hAnsi="Arial"/>
        </w:rPr>
      </w:pPr>
    </w:p>
    <w:p w14:paraId="4BE0DCDB" w14:textId="77777777" w:rsidR="00316114" w:rsidRPr="00316114" w:rsidRDefault="00316114" w:rsidP="00316114">
      <w:pPr>
        <w:spacing w:before="120" w:after="120" w:line="360" w:lineRule="auto"/>
        <w:jc w:val="both"/>
        <w:rPr>
          <w:rFonts w:ascii="Arial" w:hAnsi="Arial"/>
          <w:sz w:val="22"/>
          <w:szCs w:val="20"/>
        </w:rPr>
      </w:pPr>
    </w:p>
    <w:p w14:paraId="0C85ACE8" w14:textId="77777777" w:rsidR="00C05D97" w:rsidRPr="00E47B91" w:rsidRDefault="00C05D97" w:rsidP="00C05D97">
      <w:pPr>
        <w:pStyle w:val="TITU1"/>
        <w:rPr>
          <w:lang w:val="es-ES_tradnl"/>
        </w:rPr>
      </w:pPr>
      <w:bookmarkStart w:id="525" w:name="_Toc404282"/>
      <w:r w:rsidRPr="00E47B91">
        <w:rPr>
          <w:lang w:val="es-ES_tradnl"/>
        </w:rPr>
        <w:lastRenderedPageBreak/>
        <w:t xml:space="preserve">Artículo </w:t>
      </w:r>
      <w:r w:rsidR="00A944D3" w:rsidRPr="00E47B91">
        <w:rPr>
          <w:lang w:val="es-ES_tradnl"/>
        </w:rPr>
        <w:t>430</w:t>
      </w:r>
      <w:r w:rsidRPr="00E47B91">
        <w:rPr>
          <w:lang w:val="es-ES_tradnl"/>
        </w:rPr>
        <w:t xml:space="preserve">. </w:t>
      </w:r>
      <w:r w:rsidR="00A944D3" w:rsidRPr="00E47B91">
        <w:rPr>
          <w:lang w:val="es-ES_tradnl"/>
        </w:rPr>
        <w:t>Hinca de tuberías</w:t>
      </w:r>
      <w:bookmarkEnd w:id="525"/>
    </w:p>
    <w:p w14:paraId="7F46F09B" w14:textId="77777777" w:rsidR="00A944D3" w:rsidRPr="00423608" w:rsidRDefault="00B50BA4" w:rsidP="000313DD">
      <w:pPr>
        <w:pStyle w:val="TITU2"/>
      </w:pPr>
      <w:bookmarkStart w:id="526" w:name="_Toc404283"/>
      <w:r w:rsidRPr="00423608">
        <w:t>430.1. Definición. Aplicación</w:t>
      </w:r>
      <w:bookmarkEnd w:id="526"/>
    </w:p>
    <w:p w14:paraId="5F897094" w14:textId="77777777" w:rsidR="00B50BA4" w:rsidRPr="00423608" w:rsidRDefault="005C3D84" w:rsidP="00423608">
      <w:pPr>
        <w:spacing w:before="120" w:after="120" w:line="360" w:lineRule="auto"/>
        <w:jc w:val="both"/>
        <w:rPr>
          <w:rFonts w:ascii="Arial" w:hAnsi="Arial"/>
          <w:lang w:val="es-ES_tradnl"/>
        </w:rPr>
      </w:pPr>
      <w:r w:rsidRPr="00423608">
        <w:rPr>
          <w:rFonts w:ascii="Arial" w:hAnsi="Arial"/>
          <w:lang w:val="es-ES_tradnl"/>
        </w:rPr>
        <w:t>Se define como puesta a disposición de equipos para hinca al d</w:t>
      </w:r>
      <w:r w:rsidR="00B50BA4" w:rsidRPr="00423608">
        <w:rPr>
          <w:rFonts w:ascii="Arial" w:hAnsi="Arial"/>
          <w:lang w:val="es-ES_tradnl"/>
        </w:rPr>
        <w:t>esplazamiento a obra, montaje y desmontaje de equipo de hinca de tubos (martillo neumático, barrena o cabezal retroexcavador y gatos hidráulicos).</w:t>
      </w:r>
    </w:p>
    <w:p w14:paraId="36B0CACA" w14:textId="77777777" w:rsidR="00B50BA4" w:rsidRPr="00423608" w:rsidRDefault="005C3D84" w:rsidP="00423608">
      <w:pPr>
        <w:spacing w:before="120" w:after="120" w:line="360" w:lineRule="auto"/>
        <w:jc w:val="both"/>
        <w:rPr>
          <w:rFonts w:ascii="Arial" w:hAnsi="Arial"/>
          <w:lang w:val="es-ES_tradnl"/>
        </w:rPr>
      </w:pPr>
      <w:r w:rsidRPr="00423608">
        <w:rPr>
          <w:rFonts w:ascii="Arial" w:hAnsi="Arial"/>
          <w:lang w:val="es-ES_tradnl"/>
        </w:rPr>
        <w:t xml:space="preserve">Se define hinca </w:t>
      </w:r>
      <w:r w:rsidR="00D93E76" w:rsidRPr="00423608">
        <w:rPr>
          <w:rFonts w:ascii="Arial" w:hAnsi="Arial"/>
          <w:lang w:val="es-ES_tradnl"/>
        </w:rPr>
        <w:t>como</w:t>
      </w:r>
      <w:r w:rsidRPr="00423608">
        <w:rPr>
          <w:rFonts w:ascii="Arial" w:hAnsi="Arial"/>
          <w:lang w:val="es-ES_tradnl"/>
        </w:rPr>
        <w:t xml:space="preserve"> la i</w:t>
      </w:r>
      <w:r w:rsidR="00B50BA4" w:rsidRPr="00423608">
        <w:rPr>
          <w:rFonts w:ascii="Arial" w:hAnsi="Arial"/>
          <w:lang w:val="es-ES_tradnl"/>
        </w:rPr>
        <w:t>ntroducción en el terreno, mediante empuje, de una cabeza de avance seguida de los elementos de tubería de 80 mm hasta 200 mm de diámetro.</w:t>
      </w:r>
    </w:p>
    <w:p w14:paraId="376065E0" w14:textId="77777777" w:rsidR="00B50BA4" w:rsidRPr="00423608" w:rsidRDefault="00B50BA4" w:rsidP="00423608">
      <w:pPr>
        <w:spacing w:before="120" w:after="120" w:line="360" w:lineRule="auto"/>
        <w:jc w:val="both"/>
        <w:rPr>
          <w:rFonts w:ascii="Arial" w:hAnsi="Arial"/>
          <w:lang w:val="es-ES_tradnl"/>
        </w:rPr>
      </w:pPr>
      <w:r w:rsidRPr="00423608">
        <w:rPr>
          <w:rFonts w:ascii="Arial" w:hAnsi="Arial"/>
          <w:lang w:val="es-ES_tradnl"/>
        </w:rPr>
        <w:t>Se han considerado los siguientes tipos:</w:t>
      </w:r>
    </w:p>
    <w:p w14:paraId="08310896" w14:textId="77777777" w:rsidR="00B50BA4" w:rsidRPr="00423608" w:rsidRDefault="00B50BA4" w:rsidP="00423608">
      <w:pPr>
        <w:pStyle w:val="NORMAL12"/>
        <w:numPr>
          <w:ilvl w:val="0"/>
          <w:numId w:val="61"/>
        </w:numPr>
      </w:pPr>
      <w:r w:rsidRPr="00423608">
        <w:t>Hinca con martillo neumático percusor</w:t>
      </w:r>
    </w:p>
    <w:p w14:paraId="5C231D89" w14:textId="77777777" w:rsidR="00B50BA4" w:rsidRPr="00423608" w:rsidRDefault="00B50BA4" w:rsidP="00423608">
      <w:pPr>
        <w:pStyle w:val="NORMAL12"/>
        <w:numPr>
          <w:ilvl w:val="0"/>
          <w:numId w:val="61"/>
        </w:numPr>
      </w:pPr>
      <w:r w:rsidRPr="00423608">
        <w:t>Hinca con empuje de gato hidráulico y excavación mediante barrena helicoidal, con extracción de tierras por la propia barrena, por cinta transportadora o en vagoneta</w:t>
      </w:r>
    </w:p>
    <w:p w14:paraId="4A30EFB4" w14:textId="77777777" w:rsidR="00B50BA4" w:rsidRPr="00423608" w:rsidRDefault="00B50BA4" w:rsidP="00423608">
      <w:pPr>
        <w:pStyle w:val="NORMAL12"/>
        <w:numPr>
          <w:ilvl w:val="0"/>
          <w:numId w:val="61"/>
        </w:numPr>
      </w:pPr>
      <w:r w:rsidRPr="00423608">
        <w:t>Hinca con empuje de gato hidráulico y excavación mediante cabezal retroexcavador, con extracción de tierras por cinta transportadora o en vagoneta</w:t>
      </w:r>
    </w:p>
    <w:p w14:paraId="5268AB8C" w14:textId="77777777" w:rsidR="00C05D97" w:rsidRPr="00AB5CD0" w:rsidRDefault="00C05D97" w:rsidP="00C05D97">
      <w:pPr>
        <w:pStyle w:val="NORMAL12"/>
        <w:rPr>
          <w:lang w:val="es-ES"/>
        </w:rPr>
      </w:pPr>
      <w:r w:rsidRPr="00AB5CD0">
        <w:rPr>
          <w:lang w:val="es-ES"/>
        </w:rPr>
        <w:t xml:space="preserve">Las prescripciones del presente artículo </w:t>
      </w:r>
      <w:proofErr w:type="gramStart"/>
      <w:r w:rsidRPr="00AB5CD0">
        <w:rPr>
          <w:lang w:val="es-ES"/>
        </w:rPr>
        <w:t>son de aplicación</w:t>
      </w:r>
      <w:proofErr w:type="gramEnd"/>
      <w:r w:rsidRPr="00AB5CD0">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330"/>
        <w:gridCol w:w="643"/>
        <w:gridCol w:w="7805"/>
      </w:tblGrid>
      <w:tr w:rsidR="00C05D97" w:rsidRPr="00AB5CD0" w14:paraId="0DC7BBFD" w14:textId="77777777" w:rsidTr="00423608">
        <w:trPr>
          <w:trHeight w:val="462"/>
        </w:trPr>
        <w:tc>
          <w:tcPr>
            <w:tcW w:w="680" w:type="pct"/>
            <w:noWrap/>
            <w:hideMark/>
          </w:tcPr>
          <w:p w14:paraId="148A0DED" w14:textId="77777777" w:rsidR="00C05D97" w:rsidRPr="00050087" w:rsidRDefault="00C05D97" w:rsidP="00613F2D">
            <w:pPr>
              <w:rPr>
                <w:rFonts w:ascii="Calibri" w:hAnsi="Calibri"/>
                <w:color w:val="000000"/>
              </w:rPr>
            </w:pPr>
            <w:r w:rsidRPr="00050087">
              <w:rPr>
                <w:rFonts w:ascii="Calibri" w:hAnsi="Calibri"/>
                <w:color w:val="000000"/>
              </w:rPr>
              <w:t xml:space="preserve">400.0120N        </w:t>
            </w:r>
          </w:p>
        </w:tc>
        <w:tc>
          <w:tcPr>
            <w:tcW w:w="329" w:type="pct"/>
            <w:noWrap/>
            <w:hideMark/>
          </w:tcPr>
          <w:p w14:paraId="0F44FE70" w14:textId="77777777" w:rsidR="00C05D97" w:rsidRPr="00050087" w:rsidRDefault="00C05D97" w:rsidP="00A81030">
            <w:pPr>
              <w:rPr>
                <w:rFonts w:ascii="Calibri" w:hAnsi="Calibri"/>
                <w:color w:val="000000"/>
              </w:rPr>
            </w:pPr>
            <w:proofErr w:type="spellStart"/>
            <w:r w:rsidRPr="00050087">
              <w:rPr>
                <w:rFonts w:ascii="Calibri" w:hAnsi="Calibri"/>
                <w:color w:val="000000"/>
              </w:rPr>
              <w:t>ud</w:t>
            </w:r>
            <w:proofErr w:type="spellEnd"/>
          </w:p>
        </w:tc>
        <w:tc>
          <w:tcPr>
            <w:tcW w:w="3991" w:type="pct"/>
            <w:hideMark/>
          </w:tcPr>
          <w:p w14:paraId="64E1D126" w14:textId="77777777" w:rsidR="00C05D97" w:rsidRPr="00050087" w:rsidRDefault="00423608" w:rsidP="002A67A1">
            <w:pPr>
              <w:jc w:val="both"/>
              <w:rPr>
                <w:rFonts w:ascii="Calibri" w:hAnsi="Calibri"/>
                <w:color w:val="000000"/>
              </w:rPr>
            </w:pPr>
            <w:r w:rsidRPr="00050087">
              <w:rPr>
                <w:rFonts w:ascii="Calibri" w:hAnsi="Calibri"/>
                <w:color w:val="000000"/>
              </w:rPr>
              <w:t xml:space="preserve">PUESTA A DISPOSICIÒN DE EQUIPO DE HINCADO DE TUBOS, INCLUSO RETIRADA </w:t>
            </w:r>
            <w:proofErr w:type="gramStart"/>
            <w:r w:rsidRPr="00050087">
              <w:rPr>
                <w:rFonts w:ascii="Calibri" w:hAnsi="Calibri"/>
                <w:color w:val="000000"/>
              </w:rPr>
              <w:t>DEL MISMO</w:t>
            </w:r>
            <w:proofErr w:type="gramEnd"/>
            <w:r w:rsidRPr="00050087">
              <w:rPr>
                <w:rFonts w:ascii="Calibri" w:hAnsi="Calibri"/>
                <w:color w:val="000000"/>
              </w:rPr>
              <w:t xml:space="preserve"> UNA VEZ TERMINADOS LOS TRABAJOS Y MEDIOS AUXILIARES NECESARIOS</w:t>
            </w:r>
          </w:p>
          <w:p w14:paraId="46217D10" w14:textId="77777777" w:rsidR="00AB5CD0" w:rsidRPr="00050087" w:rsidRDefault="00AB5CD0" w:rsidP="002A67A1">
            <w:pPr>
              <w:jc w:val="both"/>
              <w:rPr>
                <w:rFonts w:ascii="Calibri" w:hAnsi="Calibri"/>
                <w:color w:val="000000"/>
              </w:rPr>
            </w:pPr>
          </w:p>
        </w:tc>
      </w:tr>
      <w:tr w:rsidR="00AB5CD0" w:rsidRPr="00AB5CD0" w14:paraId="3E9F2979" w14:textId="77777777" w:rsidTr="00423608">
        <w:trPr>
          <w:trHeight w:val="462"/>
        </w:trPr>
        <w:tc>
          <w:tcPr>
            <w:tcW w:w="680" w:type="pct"/>
            <w:noWrap/>
          </w:tcPr>
          <w:p w14:paraId="42837EF9" w14:textId="77777777" w:rsidR="00AB5CD0" w:rsidRPr="00050087" w:rsidRDefault="00AB5CD0" w:rsidP="001633AB">
            <w:pPr>
              <w:rPr>
                <w:rFonts w:ascii="Calibri" w:hAnsi="Calibri"/>
              </w:rPr>
            </w:pPr>
            <w:r w:rsidRPr="00050087">
              <w:rPr>
                <w:rFonts w:ascii="Calibri" w:hAnsi="Calibri"/>
              </w:rPr>
              <w:t xml:space="preserve">400.0010N         </w:t>
            </w:r>
          </w:p>
        </w:tc>
        <w:tc>
          <w:tcPr>
            <w:tcW w:w="329" w:type="pct"/>
            <w:noWrap/>
          </w:tcPr>
          <w:p w14:paraId="49AAFAC9" w14:textId="77777777" w:rsidR="00AB5CD0" w:rsidRPr="00050087" w:rsidRDefault="00AB5CD0" w:rsidP="001633AB">
            <w:pPr>
              <w:rPr>
                <w:rFonts w:ascii="Calibri" w:hAnsi="Calibri"/>
              </w:rPr>
            </w:pPr>
            <w:r w:rsidRPr="00050087">
              <w:rPr>
                <w:rFonts w:ascii="Calibri" w:hAnsi="Calibri"/>
              </w:rPr>
              <w:t>m</w:t>
            </w:r>
          </w:p>
        </w:tc>
        <w:tc>
          <w:tcPr>
            <w:tcW w:w="3991" w:type="pct"/>
          </w:tcPr>
          <w:p w14:paraId="3F63D32D" w14:textId="77777777" w:rsidR="00AB5CD0" w:rsidRPr="00050087" w:rsidRDefault="00AB5CD0" w:rsidP="002A67A1">
            <w:pPr>
              <w:jc w:val="both"/>
              <w:rPr>
                <w:rFonts w:ascii="Calibri" w:hAnsi="Calibri"/>
              </w:rPr>
            </w:pPr>
            <w:r w:rsidRPr="00050087">
              <w:rPr>
                <w:rFonts w:ascii="Calibri" w:hAnsi="Calibri"/>
              </w:rPr>
              <w:t>HINCADO DE BAJO CALZADA DE TUBERÍA DE 800 mm INCLUSO RETIRADA DE MATERIAL EXTRAIDO, MATERIALES AUXILIARES, CARGA Y TRANSPORTE A INSTALACIÓN DE GESTIÓN DE RESIDUOS HASTA UNA DISTANCIA DE 60 KM. TOTALMENTE TERMINADO.</w:t>
            </w:r>
          </w:p>
          <w:p w14:paraId="73A93D3C" w14:textId="77777777" w:rsidR="00AB5CD0" w:rsidRPr="00050087" w:rsidRDefault="00AB5CD0" w:rsidP="002A67A1">
            <w:pPr>
              <w:jc w:val="both"/>
              <w:rPr>
                <w:rFonts w:ascii="Calibri" w:hAnsi="Calibri"/>
              </w:rPr>
            </w:pPr>
          </w:p>
        </w:tc>
      </w:tr>
    </w:tbl>
    <w:p w14:paraId="7B06D867" w14:textId="77777777" w:rsidR="00896418" w:rsidRPr="00AB5CD0" w:rsidRDefault="00896418" w:rsidP="00423608">
      <w:pPr>
        <w:spacing w:before="120" w:after="120" w:line="360" w:lineRule="auto"/>
        <w:jc w:val="both"/>
        <w:rPr>
          <w:rFonts w:ascii="Arial" w:hAnsi="Arial"/>
          <w:lang w:val="es-ES_tradnl"/>
        </w:rPr>
      </w:pPr>
      <w:r w:rsidRPr="00AB5CD0">
        <w:rPr>
          <w:rFonts w:ascii="Arial" w:hAnsi="Arial"/>
          <w:lang w:val="es-ES_tradnl"/>
        </w:rPr>
        <w:t>La ejecución de la unidad de obra incluye las siguientes operaciones:</w:t>
      </w:r>
    </w:p>
    <w:p w14:paraId="50A8D244" w14:textId="77777777" w:rsidR="00896418" w:rsidRPr="00AB5CD0" w:rsidRDefault="00896418" w:rsidP="00423608">
      <w:pPr>
        <w:pStyle w:val="NORMAL12"/>
        <w:numPr>
          <w:ilvl w:val="0"/>
          <w:numId w:val="61"/>
        </w:numPr>
      </w:pPr>
      <w:r w:rsidRPr="00AB5CD0">
        <w:t>Preparación de la zona de trabajo</w:t>
      </w:r>
    </w:p>
    <w:p w14:paraId="77975570" w14:textId="77777777" w:rsidR="00896418" w:rsidRPr="00AB5CD0" w:rsidRDefault="00896418" w:rsidP="00423608">
      <w:pPr>
        <w:pStyle w:val="NORMAL12"/>
        <w:numPr>
          <w:ilvl w:val="0"/>
          <w:numId w:val="61"/>
        </w:numPr>
      </w:pPr>
      <w:r w:rsidRPr="00AB5CD0">
        <w:t>Situación de las referencias topográficas</w:t>
      </w:r>
    </w:p>
    <w:p w14:paraId="03B5A89F" w14:textId="77777777" w:rsidR="00896418" w:rsidRPr="00AB5CD0" w:rsidRDefault="00896418" w:rsidP="00423608">
      <w:pPr>
        <w:pStyle w:val="NORMAL12"/>
        <w:numPr>
          <w:ilvl w:val="0"/>
          <w:numId w:val="61"/>
        </w:numPr>
      </w:pPr>
      <w:r w:rsidRPr="00AB5CD0">
        <w:t>Introducción de los elementos de la tubería</w:t>
      </w:r>
    </w:p>
    <w:p w14:paraId="6B1283D9" w14:textId="77777777" w:rsidR="00896418" w:rsidRPr="00AB5CD0" w:rsidRDefault="00896418" w:rsidP="00423608">
      <w:pPr>
        <w:pStyle w:val="NORMAL12"/>
        <w:numPr>
          <w:ilvl w:val="0"/>
          <w:numId w:val="61"/>
        </w:numPr>
      </w:pPr>
      <w:r w:rsidRPr="00AB5CD0">
        <w:t>Extracción del material excavado, en su caso</w:t>
      </w:r>
      <w:r w:rsidR="00E47B91">
        <w:t>, y carga y transporte a instalación de gestión de residuos.</w:t>
      </w:r>
    </w:p>
    <w:p w14:paraId="4058FC7D" w14:textId="77777777" w:rsidR="00B50BA4" w:rsidRDefault="00B50BA4" w:rsidP="00896418">
      <w:pPr>
        <w:rPr>
          <w:rFonts w:ascii="Courier New" w:hAnsi="Courier New" w:cs="Courier New"/>
          <w:b/>
          <w:bCs/>
          <w:color w:val="5E6787"/>
          <w:sz w:val="20"/>
          <w:szCs w:val="20"/>
        </w:rPr>
      </w:pPr>
    </w:p>
    <w:p w14:paraId="30DB2D8A" w14:textId="77777777" w:rsidR="00B50BA4" w:rsidRPr="00423608" w:rsidRDefault="00B50BA4" w:rsidP="000313DD">
      <w:pPr>
        <w:pStyle w:val="TITU2"/>
      </w:pPr>
      <w:bookmarkStart w:id="527" w:name="_Toc404284"/>
      <w:r w:rsidRPr="00423608">
        <w:t>430.2</w:t>
      </w:r>
      <w:r w:rsidR="005C3D84" w:rsidRPr="00423608">
        <w:t>.</w:t>
      </w:r>
      <w:r w:rsidRPr="00423608">
        <w:t xml:space="preserve"> </w:t>
      </w:r>
      <w:r w:rsidR="005C3D84" w:rsidRPr="00423608">
        <w:t>E</w:t>
      </w:r>
      <w:r w:rsidRPr="00423608">
        <w:t>quipos</w:t>
      </w:r>
      <w:bookmarkEnd w:id="527"/>
    </w:p>
    <w:p w14:paraId="636ED0B6" w14:textId="77777777" w:rsidR="00B50BA4" w:rsidRPr="00423608" w:rsidRDefault="00B50BA4" w:rsidP="00423608">
      <w:pPr>
        <w:spacing w:before="120" w:after="120" w:line="360" w:lineRule="auto"/>
        <w:jc w:val="both"/>
        <w:rPr>
          <w:rFonts w:ascii="Arial" w:hAnsi="Arial"/>
          <w:lang w:val="es-ES_tradnl"/>
        </w:rPr>
      </w:pPr>
      <w:r w:rsidRPr="00423608">
        <w:rPr>
          <w:rFonts w:ascii="Arial" w:hAnsi="Arial"/>
          <w:lang w:val="es-ES_tradnl"/>
        </w:rPr>
        <w:t>El equipo quedará instalado después del montaje, en el lugar indicado por</w:t>
      </w:r>
      <w:r w:rsidR="00E47B91">
        <w:rPr>
          <w:rFonts w:ascii="Arial" w:hAnsi="Arial"/>
          <w:lang w:val="es-ES_tradnl"/>
        </w:rPr>
        <w:t xml:space="preserve"> el </w:t>
      </w:r>
      <w:proofErr w:type="gramStart"/>
      <w:r w:rsidR="00E47B91">
        <w:rPr>
          <w:rFonts w:ascii="Arial" w:hAnsi="Arial"/>
          <w:lang w:val="es-ES_tradnl"/>
        </w:rPr>
        <w:t>Director</w:t>
      </w:r>
      <w:proofErr w:type="gramEnd"/>
      <w:r w:rsidR="00E47B91">
        <w:rPr>
          <w:rFonts w:ascii="Arial" w:hAnsi="Arial"/>
          <w:lang w:val="es-ES_tradnl"/>
        </w:rPr>
        <w:t xml:space="preserve"> de </w:t>
      </w:r>
      <w:r w:rsidR="00D93E76">
        <w:rPr>
          <w:rFonts w:ascii="Arial" w:hAnsi="Arial"/>
          <w:lang w:val="es-ES_tradnl"/>
        </w:rPr>
        <w:t>Obra</w:t>
      </w:r>
      <w:r w:rsidRPr="00423608">
        <w:rPr>
          <w:rFonts w:ascii="Arial" w:hAnsi="Arial"/>
          <w:lang w:val="es-ES_tradnl"/>
        </w:rPr>
        <w:t>, con las conexiones realizadas y preparado para su puesta en marcha.</w:t>
      </w:r>
    </w:p>
    <w:p w14:paraId="2D49BE32" w14:textId="77777777" w:rsidR="00B50BA4" w:rsidRPr="00423608" w:rsidRDefault="00E47B91" w:rsidP="00423608">
      <w:pPr>
        <w:spacing w:before="120" w:after="120" w:line="360" w:lineRule="auto"/>
        <w:jc w:val="both"/>
        <w:rPr>
          <w:rFonts w:ascii="Arial" w:hAnsi="Arial"/>
          <w:lang w:val="es-ES_tradnl"/>
        </w:rPr>
      </w:pPr>
      <w:r>
        <w:rPr>
          <w:rFonts w:ascii="Arial" w:hAnsi="Arial"/>
          <w:lang w:val="es-ES_tradnl"/>
        </w:rPr>
        <w:t xml:space="preserve">Es necesaria la aprobación del </w:t>
      </w:r>
      <w:proofErr w:type="gramStart"/>
      <w:r>
        <w:rPr>
          <w:rFonts w:ascii="Arial" w:hAnsi="Arial"/>
          <w:lang w:val="es-ES_tradnl"/>
        </w:rPr>
        <w:t>Director</w:t>
      </w:r>
      <w:proofErr w:type="gramEnd"/>
      <w:r>
        <w:rPr>
          <w:rFonts w:ascii="Arial" w:hAnsi="Arial"/>
          <w:lang w:val="es-ES_tradnl"/>
        </w:rPr>
        <w:t xml:space="preserve"> de Obra para</w:t>
      </w:r>
      <w:r w:rsidR="00B50BA4" w:rsidRPr="00423608">
        <w:rPr>
          <w:rFonts w:ascii="Arial" w:hAnsi="Arial"/>
          <w:lang w:val="es-ES_tradnl"/>
        </w:rPr>
        <w:t xml:space="preserve"> utilizar el equipo.</w:t>
      </w:r>
    </w:p>
    <w:p w14:paraId="0112431C" w14:textId="77777777" w:rsidR="00896418" w:rsidRPr="00423608" w:rsidRDefault="00B50BA4" w:rsidP="000313DD">
      <w:pPr>
        <w:pStyle w:val="TITU2"/>
      </w:pPr>
      <w:bookmarkStart w:id="528" w:name="_Toc404285"/>
      <w:r w:rsidRPr="00423608">
        <w:t>430.3</w:t>
      </w:r>
      <w:r w:rsidR="00960095">
        <w:t>.</w:t>
      </w:r>
      <w:r w:rsidRPr="00423608">
        <w:t xml:space="preserve"> </w:t>
      </w:r>
      <w:r w:rsidR="00896418" w:rsidRPr="00423608">
        <w:t>C</w:t>
      </w:r>
      <w:r w:rsidR="00960095">
        <w:t>ondiciones generales</w:t>
      </w:r>
      <w:bookmarkEnd w:id="528"/>
    </w:p>
    <w:p w14:paraId="34A52C77"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Se considera terreno blando, el atacable con pala, que tiene un ensayo SPT &lt; 20.</w:t>
      </w:r>
    </w:p>
    <w:p w14:paraId="3FA799EA"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Se considera terreno compacto, el atacable con pico (no con pala), que tiene un ensayo SPT entre 20 y 50.</w:t>
      </w:r>
    </w:p>
    <w:p w14:paraId="1BC86C55"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Se considera terreno de tránsito, el atacable con máquina o escarificadora (no con pico), que tiene un ensayo SPT &gt; 50 sin rebote.</w:t>
      </w:r>
    </w:p>
    <w:p w14:paraId="72F0AB3A"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El proceso de avance con un gato hidráulico es un conjunto de excavación y empuje. Simultáneamente un equipo de gatos hidráulicos situados en el pozo de ataque, empujan sobre el tubo.</w:t>
      </w:r>
    </w:p>
    <w:p w14:paraId="15E5D2AC"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El proceso de avance con martillo neumático se produce a partir de un cabezal que avanza compactando el terreno y va introduciendo, por arrastre, los elementos de la tubería.</w:t>
      </w:r>
    </w:p>
    <w:p w14:paraId="2CCFDB0A"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La longitud de la per</w:t>
      </w:r>
      <w:r w:rsidR="00423608">
        <w:rPr>
          <w:rFonts w:ascii="Arial" w:hAnsi="Arial"/>
          <w:lang w:val="es-ES_tradnl"/>
        </w:rPr>
        <w:t xml:space="preserve">foración será la definida en los planos o por el </w:t>
      </w:r>
      <w:proofErr w:type="gramStart"/>
      <w:r w:rsidR="00423608">
        <w:rPr>
          <w:rFonts w:ascii="Arial" w:hAnsi="Arial"/>
          <w:lang w:val="es-ES_tradnl"/>
        </w:rPr>
        <w:t>Director</w:t>
      </w:r>
      <w:proofErr w:type="gramEnd"/>
      <w:r w:rsidR="00423608">
        <w:rPr>
          <w:rFonts w:ascii="Arial" w:hAnsi="Arial"/>
          <w:lang w:val="es-ES_tradnl"/>
        </w:rPr>
        <w:t xml:space="preserve"> de Obra</w:t>
      </w:r>
      <w:r w:rsidRPr="00423608">
        <w:rPr>
          <w:rFonts w:ascii="Arial" w:hAnsi="Arial"/>
          <w:lang w:val="es-ES_tradnl"/>
        </w:rPr>
        <w:t>.</w:t>
      </w:r>
    </w:p>
    <w:p w14:paraId="3D12DE35"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La alineación del tubo será la definida en l</w:t>
      </w:r>
      <w:r w:rsidR="00423608">
        <w:rPr>
          <w:rFonts w:ascii="Arial" w:hAnsi="Arial"/>
          <w:lang w:val="es-ES_tradnl"/>
        </w:rPr>
        <w:t xml:space="preserve">os planos, </w:t>
      </w:r>
      <w:r w:rsidRPr="00423608">
        <w:rPr>
          <w:rFonts w:ascii="Arial" w:hAnsi="Arial"/>
          <w:lang w:val="es-ES_tradnl"/>
        </w:rPr>
        <w:t xml:space="preserve">o la </w:t>
      </w:r>
      <w:r w:rsidR="00423608">
        <w:rPr>
          <w:rFonts w:ascii="Arial" w:hAnsi="Arial"/>
          <w:lang w:val="es-ES_tradnl"/>
        </w:rPr>
        <w:t xml:space="preserve">especificada, en su caso, por el </w:t>
      </w:r>
      <w:proofErr w:type="gramStart"/>
      <w:r w:rsidR="00423608">
        <w:rPr>
          <w:rFonts w:ascii="Arial" w:hAnsi="Arial"/>
          <w:lang w:val="es-ES_tradnl"/>
        </w:rPr>
        <w:t>Director</w:t>
      </w:r>
      <w:proofErr w:type="gramEnd"/>
      <w:r w:rsidR="00423608">
        <w:rPr>
          <w:rFonts w:ascii="Arial" w:hAnsi="Arial"/>
          <w:lang w:val="es-ES_tradnl"/>
        </w:rPr>
        <w:t xml:space="preserve"> de Obra</w:t>
      </w:r>
      <w:r w:rsidRPr="00423608">
        <w:rPr>
          <w:rFonts w:ascii="Arial" w:hAnsi="Arial"/>
          <w:lang w:val="es-ES_tradnl"/>
        </w:rPr>
        <w:t>.</w:t>
      </w:r>
    </w:p>
    <w:p w14:paraId="17E36D59"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Los alrededores de la excavación no quedarán alterados de forma apreciable.</w:t>
      </w:r>
    </w:p>
    <w:p w14:paraId="0AE6BDDC" w14:textId="77777777" w:rsidR="00896418" w:rsidRPr="00423608" w:rsidRDefault="00B50BA4" w:rsidP="000313DD">
      <w:pPr>
        <w:pStyle w:val="TITU2"/>
      </w:pPr>
      <w:bookmarkStart w:id="529" w:name="_Toc404286"/>
      <w:r w:rsidRPr="00423608">
        <w:t>430.4</w:t>
      </w:r>
      <w:r w:rsidR="00960095">
        <w:t>.</w:t>
      </w:r>
      <w:r w:rsidRPr="00423608">
        <w:t xml:space="preserve"> </w:t>
      </w:r>
      <w:r w:rsidR="00960095">
        <w:t>Ejecución de las obras</w:t>
      </w:r>
      <w:bookmarkEnd w:id="529"/>
    </w:p>
    <w:p w14:paraId="510E622F" w14:textId="77777777" w:rsidR="00B50BA4" w:rsidRPr="00423608" w:rsidRDefault="00B50BA4" w:rsidP="00423608">
      <w:pPr>
        <w:spacing w:before="120" w:after="120" w:line="360" w:lineRule="auto"/>
        <w:jc w:val="both"/>
        <w:rPr>
          <w:rFonts w:ascii="Arial" w:hAnsi="Arial"/>
          <w:i/>
          <w:u w:val="single"/>
          <w:lang w:val="es-ES_tradnl"/>
        </w:rPr>
      </w:pPr>
      <w:r w:rsidRPr="00423608">
        <w:rPr>
          <w:rFonts w:ascii="Arial" w:hAnsi="Arial"/>
          <w:i/>
          <w:u w:val="single"/>
          <w:lang w:val="es-ES_tradnl"/>
        </w:rPr>
        <w:t>Puesta a disposición</w:t>
      </w:r>
    </w:p>
    <w:p w14:paraId="2FD986EF" w14:textId="77777777" w:rsidR="00B50BA4" w:rsidRPr="00423608" w:rsidRDefault="00B50BA4" w:rsidP="00423608">
      <w:pPr>
        <w:spacing w:before="120" w:after="120" w:line="360" w:lineRule="auto"/>
        <w:jc w:val="both"/>
        <w:rPr>
          <w:rFonts w:ascii="Arial" w:hAnsi="Arial"/>
          <w:lang w:val="es-ES_tradnl"/>
        </w:rPr>
      </w:pPr>
      <w:r w:rsidRPr="00423608">
        <w:rPr>
          <w:rFonts w:ascii="Arial" w:hAnsi="Arial"/>
          <w:lang w:val="es-ES_tradnl"/>
        </w:rPr>
        <w:t>No se trabajará con lluvia intensa, nieve o viento superior a 50 km/h. En estos supuestos se asegurará la estabilidad del equipo.</w:t>
      </w:r>
    </w:p>
    <w:p w14:paraId="471A3AD7" w14:textId="77777777" w:rsidR="00B50BA4" w:rsidRPr="00423608" w:rsidRDefault="00B50BA4" w:rsidP="00423608">
      <w:pPr>
        <w:spacing w:before="120" w:after="120" w:line="360" w:lineRule="auto"/>
        <w:jc w:val="both"/>
        <w:rPr>
          <w:rFonts w:ascii="Arial" w:hAnsi="Arial"/>
          <w:lang w:val="es-ES_tradnl"/>
        </w:rPr>
      </w:pPr>
      <w:r w:rsidRPr="00423608">
        <w:rPr>
          <w:rFonts w:ascii="Arial" w:hAnsi="Arial"/>
          <w:lang w:val="es-ES_tradnl"/>
        </w:rPr>
        <w:t xml:space="preserve">La operación de montaje y desmontaje del equipo, la realizará personal especializado, siguiendo las instrucciones del técnico de la </w:t>
      </w:r>
      <w:r w:rsidR="00423608">
        <w:rPr>
          <w:rFonts w:ascii="Arial" w:hAnsi="Arial"/>
          <w:lang w:val="es-ES_tradnl"/>
        </w:rPr>
        <w:t>compañía s</w:t>
      </w:r>
      <w:r w:rsidRPr="00423608">
        <w:rPr>
          <w:rFonts w:ascii="Arial" w:hAnsi="Arial"/>
          <w:lang w:val="es-ES_tradnl"/>
        </w:rPr>
        <w:t>uministradora y de</w:t>
      </w:r>
      <w:r w:rsidR="00423608">
        <w:rPr>
          <w:rFonts w:ascii="Arial" w:hAnsi="Arial"/>
          <w:lang w:val="es-ES_tradnl"/>
        </w:rPr>
        <w:t xml:space="preserve">l </w:t>
      </w:r>
      <w:proofErr w:type="gramStart"/>
      <w:r w:rsidR="00423608">
        <w:rPr>
          <w:rFonts w:ascii="Arial" w:hAnsi="Arial"/>
          <w:lang w:val="es-ES_tradnl"/>
        </w:rPr>
        <w:t>Director</w:t>
      </w:r>
      <w:proofErr w:type="gramEnd"/>
      <w:r w:rsidR="00423608">
        <w:rPr>
          <w:rFonts w:ascii="Arial" w:hAnsi="Arial"/>
          <w:lang w:val="es-ES_tradnl"/>
        </w:rPr>
        <w:t xml:space="preserve"> de Obra</w:t>
      </w:r>
      <w:r w:rsidRPr="00423608">
        <w:rPr>
          <w:rFonts w:ascii="Arial" w:hAnsi="Arial"/>
          <w:lang w:val="es-ES_tradnl"/>
        </w:rPr>
        <w:t>.</w:t>
      </w:r>
    </w:p>
    <w:p w14:paraId="545036E7" w14:textId="77777777" w:rsidR="00B50BA4" w:rsidRPr="00423608" w:rsidRDefault="00B50BA4" w:rsidP="00423608">
      <w:pPr>
        <w:spacing w:before="120" w:after="120" w:line="360" w:lineRule="auto"/>
        <w:jc w:val="both"/>
        <w:rPr>
          <w:rFonts w:ascii="Arial" w:hAnsi="Arial"/>
          <w:lang w:val="es-ES_tradnl"/>
        </w:rPr>
      </w:pPr>
      <w:r w:rsidRPr="00423608">
        <w:rPr>
          <w:rFonts w:ascii="Arial" w:hAnsi="Arial"/>
          <w:lang w:val="es-ES_tradnl"/>
        </w:rPr>
        <w:lastRenderedPageBreak/>
        <w:t>La operación de transporte y descarga se realizará con las precauciones necesarias para no producir daños al equipo.</w:t>
      </w:r>
      <w:r w:rsidR="00960095">
        <w:rPr>
          <w:rFonts w:ascii="Arial" w:hAnsi="Arial"/>
          <w:lang w:val="es-ES_tradnl"/>
        </w:rPr>
        <w:t xml:space="preserve"> </w:t>
      </w:r>
      <w:r w:rsidRPr="00423608">
        <w:rPr>
          <w:rFonts w:ascii="Arial" w:hAnsi="Arial"/>
          <w:lang w:val="es-ES_tradnl"/>
        </w:rPr>
        <w:t>No se producirán daños en la maquinaria.</w:t>
      </w:r>
    </w:p>
    <w:p w14:paraId="24570BDE" w14:textId="77777777" w:rsidR="00B50BA4" w:rsidRPr="00423608" w:rsidRDefault="00B50BA4" w:rsidP="00423608">
      <w:pPr>
        <w:spacing w:before="120" w:after="120" w:line="360" w:lineRule="auto"/>
        <w:jc w:val="both"/>
        <w:rPr>
          <w:rFonts w:ascii="Arial" w:hAnsi="Arial"/>
          <w:lang w:val="es-ES_tradnl"/>
        </w:rPr>
      </w:pPr>
      <w:r w:rsidRPr="00423608">
        <w:rPr>
          <w:rFonts w:ascii="Arial" w:hAnsi="Arial"/>
          <w:lang w:val="es-ES_tradnl"/>
        </w:rPr>
        <w:t>Se tomarán precauciones para no producir daños a construcciones, instalaciones u otros elementos existentes en la zona de montaje y desmontaje.</w:t>
      </w:r>
    </w:p>
    <w:p w14:paraId="3A6F1638" w14:textId="77777777" w:rsidR="00896418" w:rsidRPr="00423608" w:rsidRDefault="00896418" w:rsidP="00423608">
      <w:pPr>
        <w:spacing w:before="120" w:after="120" w:line="360" w:lineRule="auto"/>
        <w:jc w:val="both"/>
        <w:rPr>
          <w:rFonts w:ascii="Arial" w:hAnsi="Arial"/>
          <w:i/>
          <w:u w:val="single"/>
          <w:lang w:val="es-ES_tradnl"/>
        </w:rPr>
      </w:pPr>
      <w:r w:rsidRPr="00423608">
        <w:rPr>
          <w:rFonts w:ascii="Arial" w:hAnsi="Arial"/>
          <w:i/>
          <w:u w:val="single"/>
          <w:lang w:val="es-ES_tradnl"/>
        </w:rPr>
        <w:t>C</w:t>
      </w:r>
      <w:r w:rsidR="00423608" w:rsidRPr="00423608">
        <w:rPr>
          <w:rFonts w:ascii="Arial" w:hAnsi="Arial"/>
          <w:i/>
          <w:u w:val="single"/>
          <w:lang w:val="es-ES_tradnl"/>
        </w:rPr>
        <w:t>ondiciones generales:</w:t>
      </w:r>
    </w:p>
    <w:p w14:paraId="52B442A0"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Se protegerán los elementos de Servicio Público afectados por las obras.</w:t>
      </w:r>
      <w:r w:rsidR="00960095">
        <w:rPr>
          <w:rFonts w:ascii="Arial" w:hAnsi="Arial"/>
          <w:lang w:val="es-ES_tradnl"/>
        </w:rPr>
        <w:t xml:space="preserve"> </w:t>
      </w:r>
      <w:r w:rsidRPr="00423608">
        <w:rPr>
          <w:rFonts w:ascii="Arial" w:hAnsi="Arial"/>
          <w:lang w:val="es-ES_tradnl"/>
        </w:rPr>
        <w:t>Se señalizará convenientemente la zona afectada por las obras.</w:t>
      </w:r>
    </w:p>
    <w:p w14:paraId="686CDD9F"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Se eliminarán los elementos que puedan entorpecer los trabajos de ejecución de la partida.</w:t>
      </w:r>
      <w:r w:rsidR="00960095">
        <w:rPr>
          <w:rFonts w:ascii="Arial" w:hAnsi="Arial"/>
          <w:lang w:val="es-ES_tradnl"/>
        </w:rPr>
        <w:t xml:space="preserve"> </w:t>
      </w:r>
      <w:r w:rsidRPr="00423608">
        <w:rPr>
          <w:rFonts w:ascii="Arial" w:hAnsi="Arial"/>
          <w:lang w:val="es-ES_tradnl"/>
        </w:rPr>
        <w:t>Los trabajos se harán de manera que molesten lo mínimo posible a los afectados.</w:t>
      </w:r>
    </w:p>
    <w:p w14:paraId="337F1360"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En caso de imprevistos (terrenos inundados, olores de gas, restos de construcciones, etc.), se suspenderán los trabajos y se avisará a</w:t>
      </w:r>
      <w:r w:rsidR="00423608">
        <w:rPr>
          <w:rFonts w:ascii="Arial" w:hAnsi="Arial"/>
          <w:lang w:val="es-ES_tradnl"/>
        </w:rPr>
        <w:t xml:space="preserve"> la Dirección de Obra</w:t>
      </w:r>
      <w:r w:rsidRPr="00423608">
        <w:rPr>
          <w:rFonts w:ascii="Arial" w:hAnsi="Arial"/>
          <w:lang w:val="es-ES_tradnl"/>
        </w:rPr>
        <w:t>.</w:t>
      </w:r>
    </w:p>
    <w:p w14:paraId="2D1711F5" w14:textId="77777777" w:rsidR="00896418" w:rsidRPr="00423608" w:rsidRDefault="00423608" w:rsidP="00423608">
      <w:pPr>
        <w:spacing w:before="120" w:after="120" w:line="360" w:lineRule="auto"/>
        <w:jc w:val="both"/>
        <w:rPr>
          <w:rFonts w:ascii="Arial" w:hAnsi="Arial"/>
          <w:i/>
          <w:u w:val="single"/>
          <w:lang w:val="es-ES_tradnl"/>
        </w:rPr>
      </w:pPr>
      <w:r>
        <w:rPr>
          <w:rFonts w:ascii="Arial" w:hAnsi="Arial"/>
          <w:i/>
          <w:u w:val="single"/>
          <w:lang w:val="es-ES_tradnl"/>
        </w:rPr>
        <w:t>H</w:t>
      </w:r>
      <w:r w:rsidRPr="00423608">
        <w:rPr>
          <w:rFonts w:ascii="Arial" w:hAnsi="Arial"/>
          <w:i/>
          <w:u w:val="single"/>
          <w:lang w:val="es-ES_tradnl"/>
        </w:rPr>
        <w:t xml:space="preserve">inca con martillo </w:t>
      </w:r>
      <w:r w:rsidR="00D93E76" w:rsidRPr="00423608">
        <w:rPr>
          <w:rFonts w:ascii="Arial" w:hAnsi="Arial"/>
          <w:i/>
          <w:u w:val="single"/>
          <w:lang w:val="es-ES_tradnl"/>
        </w:rPr>
        <w:t>neumático</w:t>
      </w:r>
      <w:r w:rsidRPr="00423608">
        <w:rPr>
          <w:rFonts w:ascii="Arial" w:hAnsi="Arial"/>
          <w:i/>
          <w:u w:val="single"/>
          <w:lang w:val="es-ES_tradnl"/>
        </w:rPr>
        <w:t>:</w:t>
      </w:r>
    </w:p>
    <w:p w14:paraId="6918B3CD"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 xml:space="preserve">El lanzamiento de la </w:t>
      </w:r>
      <w:proofErr w:type="gramStart"/>
      <w:r w:rsidRPr="00423608">
        <w:rPr>
          <w:rFonts w:ascii="Arial" w:hAnsi="Arial"/>
          <w:lang w:val="es-ES_tradnl"/>
        </w:rPr>
        <w:t>cabeza,</w:t>
      </w:r>
      <w:proofErr w:type="gramEnd"/>
      <w:r w:rsidRPr="00423608">
        <w:rPr>
          <w:rFonts w:ascii="Arial" w:hAnsi="Arial"/>
          <w:lang w:val="es-ES_tradnl"/>
        </w:rPr>
        <w:t xml:space="preserve"> se realizará mediante un dispositivo de apoyo, provisto de un cuadro de mira para establecer la dirección correcta.</w:t>
      </w:r>
    </w:p>
    <w:p w14:paraId="73B6AA78" w14:textId="77777777" w:rsidR="00896418" w:rsidRPr="00423608" w:rsidRDefault="00423608" w:rsidP="00423608">
      <w:pPr>
        <w:spacing w:before="120" w:after="120" w:line="360" w:lineRule="auto"/>
        <w:jc w:val="both"/>
        <w:rPr>
          <w:rFonts w:ascii="Arial" w:hAnsi="Arial"/>
          <w:i/>
          <w:u w:val="single"/>
          <w:lang w:val="es-ES_tradnl"/>
        </w:rPr>
      </w:pPr>
      <w:r>
        <w:rPr>
          <w:rFonts w:ascii="Arial" w:hAnsi="Arial"/>
          <w:i/>
          <w:u w:val="single"/>
          <w:lang w:val="es-ES_tradnl"/>
        </w:rPr>
        <w:t>H</w:t>
      </w:r>
      <w:r w:rsidRPr="00423608">
        <w:rPr>
          <w:rFonts w:ascii="Arial" w:hAnsi="Arial"/>
          <w:i/>
          <w:u w:val="single"/>
          <w:lang w:val="es-ES_tradnl"/>
        </w:rPr>
        <w:t xml:space="preserve">inca con gato </w:t>
      </w:r>
      <w:r w:rsidR="00D93E76" w:rsidRPr="00423608">
        <w:rPr>
          <w:rFonts w:ascii="Arial" w:hAnsi="Arial"/>
          <w:i/>
          <w:u w:val="single"/>
          <w:lang w:val="es-ES_tradnl"/>
        </w:rPr>
        <w:t>hidráulico</w:t>
      </w:r>
      <w:r w:rsidRPr="00423608">
        <w:rPr>
          <w:rFonts w:ascii="Arial" w:hAnsi="Arial"/>
          <w:i/>
          <w:u w:val="single"/>
          <w:lang w:val="es-ES_tradnl"/>
        </w:rPr>
        <w:t>:</w:t>
      </w:r>
    </w:p>
    <w:p w14:paraId="41B6A61E"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El inicio de la hinca y la retirada de la cabeza de avance, se realizarán mediante pozos auxiliares, las características de los cuales cumplirán lo especificado en el pliego de condiciones correspondiente.</w:t>
      </w:r>
    </w:p>
    <w:p w14:paraId="170FB5BA"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En los pozos de ataque se situarán las bases para recibir los apoyos de los gatos hidráulicos. Estas bases estarán dimensionadas para poder transmitir a las paredes del recinto del pozo, la totalidad de los esfuerzos producidos durante el proceso de hinca.</w:t>
      </w:r>
    </w:p>
    <w:p w14:paraId="50BB5877"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El número de gatos hidráulicos depende del diámetro del tubo y de la resistencia al rozamiento que ofrezca el terreno.</w:t>
      </w:r>
    </w:p>
    <w:p w14:paraId="3E3DBA67" w14:textId="77777777" w:rsidR="00896418" w:rsidRPr="00423608" w:rsidRDefault="00D93E76" w:rsidP="00423608">
      <w:pPr>
        <w:spacing w:before="120" w:after="120" w:line="360" w:lineRule="auto"/>
        <w:jc w:val="both"/>
        <w:rPr>
          <w:rFonts w:ascii="Arial" w:hAnsi="Arial"/>
          <w:i/>
          <w:u w:val="single"/>
          <w:lang w:val="es-ES_tradnl"/>
        </w:rPr>
      </w:pPr>
      <w:r>
        <w:rPr>
          <w:rFonts w:ascii="Arial" w:hAnsi="Arial"/>
          <w:i/>
          <w:u w:val="single"/>
          <w:lang w:val="es-ES_tradnl"/>
        </w:rPr>
        <w:t>E</w:t>
      </w:r>
      <w:r w:rsidRPr="00423608">
        <w:rPr>
          <w:rFonts w:ascii="Arial" w:hAnsi="Arial"/>
          <w:i/>
          <w:u w:val="single"/>
          <w:lang w:val="es-ES_tradnl"/>
        </w:rPr>
        <w:t>xcavación</w:t>
      </w:r>
      <w:r w:rsidR="00423608" w:rsidRPr="00423608">
        <w:rPr>
          <w:rFonts w:ascii="Arial" w:hAnsi="Arial"/>
          <w:i/>
          <w:u w:val="single"/>
          <w:lang w:val="es-ES_tradnl"/>
        </w:rPr>
        <w:t xml:space="preserve"> con barrena helicoidal:</w:t>
      </w:r>
    </w:p>
    <w:p w14:paraId="6124CDD8"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A la vez que avanza la cabeza, se irán retirando hacia el exterior, los materiales excavados.</w:t>
      </w:r>
    </w:p>
    <w:p w14:paraId="5BF9BBCC"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La dirección de la hinca se controlará de forma continua, mediante un láser situado en el pozo de ataque, que incide sobre un retículo situado en la cabeza de avance.</w:t>
      </w:r>
    </w:p>
    <w:p w14:paraId="16A66345" w14:textId="77777777" w:rsidR="00896418" w:rsidRPr="00423608" w:rsidRDefault="002A67A1" w:rsidP="00423608">
      <w:pPr>
        <w:spacing w:before="120" w:after="120" w:line="360" w:lineRule="auto"/>
        <w:jc w:val="both"/>
        <w:rPr>
          <w:rFonts w:ascii="Arial" w:hAnsi="Arial"/>
          <w:i/>
          <w:u w:val="single"/>
          <w:lang w:val="es-ES_tradnl"/>
        </w:rPr>
      </w:pPr>
      <w:r>
        <w:rPr>
          <w:rFonts w:ascii="Arial" w:hAnsi="Arial"/>
          <w:i/>
          <w:u w:val="single"/>
          <w:lang w:val="es-ES_tradnl"/>
        </w:rPr>
        <w:br w:type="column"/>
      </w:r>
      <w:r w:rsidR="00D93E76">
        <w:rPr>
          <w:rFonts w:ascii="Arial" w:hAnsi="Arial"/>
          <w:i/>
          <w:u w:val="single"/>
          <w:lang w:val="es-ES_tradnl"/>
        </w:rPr>
        <w:t>E</w:t>
      </w:r>
      <w:r w:rsidR="00D93E76" w:rsidRPr="00423608">
        <w:rPr>
          <w:rFonts w:ascii="Arial" w:hAnsi="Arial"/>
          <w:i/>
          <w:u w:val="single"/>
          <w:lang w:val="es-ES_tradnl"/>
        </w:rPr>
        <w:t>xcavación</w:t>
      </w:r>
      <w:r w:rsidR="00423608" w:rsidRPr="00423608">
        <w:rPr>
          <w:rFonts w:ascii="Arial" w:hAnsi="Arial"/>
          <w:i/>
          <w:u w:val="single"/>
          <w:lang w:val="es-ES_tradnl"/>
        </w:rPr>
        <w:t xml:space="preserve"> mediante cabezal retroexcavador:</w:t>
      </w:r>
    </w:p>
    <w:p w14:paraId="083AFF99" w14:textId="77777777" w:rsidR="00896418" w:rsidRPr="00423608" w:rsidRDefault="00896418" w:rsidP="00423608">
      <w:pPr>
        <w:spacing w:before="120" w:after="120" w:line="360" w:lineRule="auto"/>
        <w:jc w:val="both"/>
        <w:rPr>
          <w:rFonts w:ascii="Arial" w:hAnsi="Arial"/>
          <w:lang w:val="es-ES_tradnl"/>
        </w:rPr>
      </w:pPr>
      <w:r w:rsidRPr="00423608">
        <w:rPr>
          <w:rFonts w:ascii="Arial" w:hAnsi="Arial"/>
          <w:lang w:val="es-ES_tradnl"/>
        </w:rPr>
        <w:t>Se utilizará una cabeza de avance del tipo zapata cortante abierta. La excavación se realizará mediante una pala mecánica incorporada a la cabeza de avance.</w:t>
      </w:r>
    </w:p>
    <w:p w14:paraId="5A6C4687" w14:textId="77777777" w:rsidR="00B50BA4" w:rsidRPr="00423608" w:rsidRDefault="00B50BA4" w:rsidP="000313DD">
      <w:pPr>
        <w:pStyle w:val="TITU2"/>
      </w:pPr>
      <w:bookmarkStart w:id="530" w:name="_Toc404287"/>
      <w:r w:rsidRPr="00423608">
        <w:t>430.5. Medición y abono</w:t>
      </w:r>
      <w:bookmarkEnd w:id="530"/>
    </w:p>
    <w:p w14:paraId="06DAA0DB" w14:textId="77777777" w:rsidR="00741D6C" w:rsidRPr="00960095" w:rsidRDefault="00741D6C" w:rsidP="00960095">
      <w:pPr>
        <w:spacing w:before="120" w:after="120" w:line="360" w:lineRule="auto"/>
        <w:jc w:val="both"/>
        <w:rPr>
          <w:rFonts w:ascii="Arial" w:hAnsi="Arial"/>
          <w:lang w:val="es-ES_tradnl"/>
        </w:rPr>
      </w:pPr>
      <w:r w:rsidRPr="00960095">
        <w:rPr>
          <w:rFonts w:ascii="Arial" w:hAnsi="Arial"/>
          <w:lang w:val="es-ES_tradnl"/>
        </w:rPr>
        <w:t>La medición y abono de la unidad de puesta a disposición de equipos se realizará según los criterios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30"/>
        <w:gridCol w:w="6298"/>
      </w:tblGrid>
      <w:tr w:rsidR="005C3D84" w:rsidRPr="003E400D" w14:paraId="4E35AB1F" w14:textId="77777777" w:rsidTr="005A3268">
        <w:tc>
          <w:tcPr>
            <w:tcW w:w="2630" w:type="dxa"/>
            <w:tcBorders>
              <w:top w:val="single" w:sz="4" w:space="0" w:color="auto"/>
              <w:left w:val="single" w:sz="4" w:space="0" w:color="auto"/>
              <w:bottom w:val="single" w:sz="4" w:space="0" w:color="auto"/>
              <w:right w:val="single" w:sz="4" w:space="0" w:color="auto"/>
            </w:tcBorders>
            <w:vAlign w:val="center"/>
          </w:tcPr>
          <w:p w14:paraId="0C59B60C" w14:textId="77777777" w:rsidR="005C3D84" w:rsidRPr="00AB5CD0" w:rsidRDefault="005C3D84" w:rsidP="00E50149">
            <w:pPr>
              <w:spacing w:before="40" w:after="40" w:line="264" w:lineRule="auto"/>
              <w:jc w:val="center"/>
              <w:rPr>
                <w:rFonts w:ascii="Arial" w:hAnsi="Arial" w:cs="Arial"/>
                <w:b/>
                <w:sz w:val="20"/>
                <w:szCs w:val="20"/>
              </w:rPr>
            </w:pPr>
            <w:r w:rsidRPr="00AB5CD0">
              <w:rPr>
                <w:rFonts w:ascii="Arial" w:hAnsi="Arial" w:cs="Arial"/>
                <w:b/>
                <w:sz w:val="20"/>
                <w:szCs w:val="20"/>
              </w:rPr>
              <w:t>Unidad de medida</w:t>
            </w:r>
          </w:p>
        </w:tc>
        <w:tc>
          <w:tcPr>
            <w:tcW w:w="6298" w:type="dxa"/>
            <w:tcBorders>
              <w:top w:val="single" w:sz="4" w:space="0" w:color="auto"/>
              <w:left w:val="single" w:sz="4" w:space="0" w:color="auto"/>
              <w:bottom w:val="single" w:sz="4" w:space="0" w:color="auto"/>
              <w:right w:val="single" w:sz="4" w:space="0" w:color="auto"/>
            </w:tcBorders>
            <w:vAlign w:val="center"/>
          </w:tcPr>
          <w:p w14:paraId="68A99E95" w14:textId="77777777" w:rsidR="005C3D84" w:rsidRPr="00AB5CD0" w:rsidRDefault="005C3D84" w:rsidP="00F30E6E">
            <w:pPr>
              <w:keepLines/>
              <w:spacing w:before="120" w:after="120"/>
              <w:jc w:val="both"/>
              <w:rPr>
                <w:rFonts w:ascii="Arial" w:hAnsi="Arial" w:cs="Arial"/>
                <w:sz w:val="20"/>
                <w:szCs w:val="20"/>
              </w:rPr>
            </w:pPr>
            <w:r w:rsidRPr="00AB5CD0">
              <w:rPr>
                <w:rFonts w:ascii="Arial" w:hAnsi="Arial" w:cs="Arial"/>
                <w:sz w:val="20"/>
                <w:szCs w:val="20"/>
              </w:rPr>
              <w:t>Unidad (</w:t>
            </w:r>
            <w:proofErr w:type="spellStart"/>
            <w:r w:rsidRPr="00AB5CD0">
              <w:rPr>
                <w:rFonts w:ascii="Arial" w:hAnsi="Arial" w:cs="Arial"/>
                <w:sz w:val="20"/>
                <w:szCs w:val="20"/>
              </w:rPr>
              <w:t>ud</w:t>
            </w:r>
            <w:proofErr w:type="spellEnd"/>
            <w:r w:rsidRPr="00AB5CD0">
              <w:rPr>
                <w:rFonts w:ascii="Arial" w:hAnsi="Arial" w:cs="Arial"/>
                <w:sz w:val="20"/>
                <w:szCs w:val="20"/>
              </w:rPr>
              <w:t xml:space="preserve">). </w:t>
            </w:r>
          </w:p>
        </w:tc>
      </w:tr>
      <w:tr w:rsidR="005C3D84" w:rsidRPr="003E400D" w14:paraId="4957AE40" w14:textId="77777777" w:rsidTr="005A3268">
        <w:tc>
          <w:tcPr>
            <w:tcW w:w="2630" w:type="dxa"/>
            <w:tcBorders>
              <w:top w:val="single" w:sz="4" w:space="0" w:color="auto"/>
              <w:left w:val="single" w:sz="4" w:space="0" w:color="auto"/>
              <w:bottom w:val="single" w:sz="4" w:space="0" w:color="auto"/>
              <w:right w:val="single" w:sz="4" w:space="0" w:color="auto"/>
            </w:tcBorders>
            <w:vAlign w:val="center"/>
          </w:tcPr>
          <w:p w14:paraId="7BF29ACD" w14:textId="77777777" w:rsidR="005C3D84" w:rsidRPr="00AB5CD0" w:rsidRDefault="005C3D84" w:rsidP="00E50149">
            <w:pPr>
              <w:spacing w:before="40" w:after="40" w:line="264" w:lineRule="auto"/>
              <w:jc w:val="center"/>
              <w:rPr>
                <w:rFonts w:ascii="Arial" w:hAnsi="Arial" w:cs="Arial"/>
                <w:b/>
                <w:sz w:val="20"/>
                <w:szCs w:val="20"/>
              </w:rPr>
            </w:pPr>
            <w:r w:rsidRPr="00AB5CD0">
              <w:rPr>
                <w:rFonts w:ascii="Arial" w:hAnsi="Arial" w:cs="Arial"/>
                <w:b/>
                <w:sz w:val="20"/>
                <w:szCs w:val="20"/>
              </w:rPr>
              <w:t>Grado de precisión</w:t>
            </w:r>
          </w:p>
        </w:tc>
        <w:tc>
          <w:tcPr>
            <w:tcW w:w="6298" w:type="dxa"/>
            <w:tcBorders>
              <w:top w:val="single" w:sz="4" w:space="0" w:color="auto"/>
              <w:left w:val="single" w:sz="4" w:space="0" w:color="auto"/>
              <w:bottom w:val="single" w:sz="4" w:space="0" w:color="auto"/>
              <w:right w:val="single" w:sz="4" w:space="0" w:color="auto"/>
            </w:tcBorders>
            <w:vAlign w:val="center"/>
          </w:tcPr>
          <w:p w14:paraId="2529A2CF" w14:textId="77777777" w:rsidR="005C3D84" w:rsidRPr="00AB5CD0" w:rsidRDefault="005C3D84" w:rsidP="00F30E6E">
            <w:pPr>
              <w:keepLines/>
              <w:spacing w:before="120" w:after="120"/>
              <w:jc w:val="both"/>
              <w:rPr>
                <w:rFonts w:ascii="Arial" w:hAnsi="Arial" w:cs="Arial"/>
                <w:sz w:val="20"/>
                <w:szCs w:val="20"/>
              </w:rPr>
            </w:pPr>
            <w:r w:rsidRPr="00AB5CD0">
              <w:rPr>
                <w:rFonts w:ascii="Arial" w:hAnsi="Arial" w:cs="Arial"/>
                <w:sz w:val="20"/>
                <w:szCs w:val="20"/>
              </w:rPr>
              <w:t>Número entero.</w:t>
            </w:r>
          </w:p>
        </w:tc>
      </w:tr>
      <w:tr w:rsidR="005C3D84" w:rsidRPr="003E400D" w14:paraId="6DC48B98" w14:textId="77777777" w:rsidTr="005A3268">
        <w:tc>
          <w:tcPr>
            <w:tcW w:w="2630" w:type="dxa"/>
            <w:tcBorders>
              <w:top w:val="single" w:sz="4" w:space="0" w:color="auto"/>
              <w:left w:val="single" w:sz="4" w:space="0" w:color="auto"/>
              <w:bottom w:val="single" w:sz="4" w:space="0" w:color="auto"/>
              <w:right w:val="single" w:sz="4" w:space="0" w:color="auto"/>
            </w:tcBorders>
            <w:vAlign w:val="center"/>
          </w:tcPr>
          <w:p w14:paraId="43C498ED" w14:textId="77777777" w:rsidR="005C3D84" w:rsidRPr="00AB5CD0" w:rsidRDefault="005C3D84" w:rsidP="00E50149">
            <w:pPr>
              <w:spacing w:before="40" w:after="40" w:line="264" w:lineRule="auto"/>
              <w:jc w:val="center"/>
              <w:rPr>
                <w:rFonts w:ascii="Arial" w:hAnsi="Arial" w:cs="Arial"/>
                <w:b/>
                <w:sz w:val="20"/>
                <w:szCs w:val="20"/>
              </w:rPr>
            </w:pPr>
            <w:r w:rsidRPr="00AB5CD0">
              <w:rPr>
                <w:rFonts w:ascii="Arial" w:hAnsi="Arial" w:cs="Arial"/>
                <w:b/>
                <w:sz w:val="20"/>
                <w:szCs w:val="20"/>
              </w:rPr>
              <w:t>Forma de medición</w:t>
            </w:r>
          </w:p>
        </w:tc>
        <w:tc>
          <w:tcPr>
            <w:tcW w:w="6298" w:type="dxa"/>
            <w:tcBorders>
              <w:top w:val="single" w:sz="4" w:space="0" w:color="auto"/>
              <w:left w:val="single" w:sz="4" w:space="0" w:color="auto"/>
              <w:bottom w:val="single" w:sz="4" w:space="0" w:color="auto"/>
              <w:right w:val="single" w:sz="4" w:space="0" w:color="auto"/>
            </w:tcBorders>
            <w:vAlign w:val="center"/>
          </w:tcPr>
          <w:p w14:paraId="682BA778" w14:textId="77777777" w:rsidR="005C3D84" w:rsidRPr="00AB5CD0" w:rsidRDefault="005C3D84" w:rsidP="00F30E6E">
            <w:pPr>
              <w:keepLines/>
              <w:spacing w:before="120" w:after="120"/>
              <w:jc w:val="both"/>
              <w:rPr>
                <w:rFonts w:ascii="Arial" w:hAnsi="Arial" w:cs="Arial"/>
                <w:sz w:val="20"/>
                <w:szCs w:val="20"/>
              </w:rPr>
            </w:pPr>
            <w:r w:rsidRPr="00AB5CD0">
              <w:rPr>
                <w:rFonts w:ascii="Arial" w:hAnsi="Arial" w:cs="Arial"/>
                <w:sz w:val="20"/>
                <w:szCs w:val="20"/>
              </w:rPr>
              <w:t>Unidad de puesta a disposición de equipo</w:t>
            </w:r>
          </w:p>
        </w:tc>
      </w:tr>
      <w:tr w:rsidR="005C3D84" w:rsidRPr="003E400D" w14:paraId="7A4503D9" w14:textId="77777777" w:rsidTr="005A3268">
        <w:tc>
          <w:tcPr>
            <w:tcW w:w="2630" w:type="dxa"/>
            <w:tcBorders>
              <w:top w:val="single" w:sz="4" w:space="0" w:color="auto"/>
              <w:left w:val="single" w:sz="4" w:space="0" w:color="auto"/>
              <w:bottom w:val="single" w:sz="4" w:space="0" w:color="auto"/>
              <w:right w:val="single" w:sz="4" w:space="0" w:color="auto"/>
            </w:tcBorders>
            <w:vAlign w:val="center"/>
          </w:tcPr>
          <w:p w14:paraId="282C40BA" w14:textId="77777777" w:rsidR="005C3D84" w:rsidRPr="00AB5CD0" w:rsidRDefault="005C3D84" w:rsidP="00E50149">
            <w:pPr>
              <w:spacing w:before="40" w:after="40" w:line="264" w:lineRule="auto"/>
              <w:jc w:val="center"/>
              <w:rPr>
                <w:rFonts w:ascii="Arial" w:hAnsi="Arial" w:cs="Arial"/>
                <w:b/>
                <w:sz w:val="20"/>
                <w:szCs w:val="20"/>
              </w:rPr>
            </w:pPr>
            <w:r w:rsidRPr="00AB5CD0">
              <w:rPr>
                <w:rFonts w:ascii="Arial" w:hAnsi="Arial" w:cs="Arial"/>
                <w:b/>
                <w:sz w:val="20"/>
                <w:szCs w:val="20"/>
              </w:rPr>
              <w:t>Abono</w:t>
            </w:r>
          </w:p>
        </w:tc>
        <w:tc>
          <w:tcPr>
            <w:tcW w:w="6298" w:type="dxa"/>
            <w:tcBorders>
              <w:top w:val="single" w:sz="4" w:space="0" w:color="auto"/>
              <w:left w:val="single" w:sz="4" w:space="0" w:color="auto"/>
              <w:bottom w:val="single" w:sz="4" w:space="0" w:color="auto"/>
              <w:right w:val="single" w:sz="4" w:space="0" w:color="auto"/>
            </w:tcBorders>
            <w:vAlign w:val="center"/>
          </w:tcPr>
          <w:p w14:paraId="44BBF8CF" w14:textId="77777777" w:rsidR="005C3D84" w:rsidRPr="00AB5CD0" w:rsidRDefault="005C3D84" w:rsidP="00F30E6E">
            <w:pPr>
              <w:keepLines/>
              <w:spacing w:before="120" w:after="120"/>
              <w:jc w:val="both"/>
              <w:rPr>
                <w:rFonts w:ascii="Arial" w:hAnsi="Arial" w:cs="Arial"/>
                <w:sz w:val="20"/>
                <w:szCs w:val="20"/>
              </w:rPr>
            </w:pPr>
            <w:r w:rsidRPr="00AB5CD0">
              <w:rPr>
                <w:rFonts w:ascii="Arial" w:hAnsi="Arial" w:cs="Arial"/>
                <w:sz w:val="20"/>
                <w:szCs w:val="20"/>
              </w:rPr>
              <w:t>Se efectuará cuando se realice la aceptación.</w:t>
            </w:r>
          </w:p>
        </w:tc>
      </w:tr>
      <w:tr w:rsidR="005C3D84" w:rsidRPr="003E400D" w14:paraId="63FD49D9" w14:textId="77777777" w:rsidTr="005A3268">
        <w:tc>
          <w:tcPr>
            <w:tcW w:w="2630" w:type="dxa"/>
            <w:tcBorders>
              <w:top w:val="single" w:sz="4" w:space="0" w:color="auto"/>
              <w:left w:val="single" w:sz="4" w:space="0" w:color="auto"/>
              <w:bottom w:val="single" w:sz="4" w:space="0" w:color="auto"/>
              <w:right w:val="single" w:sz="4" w:space="0" w:color="auto"/>
            </w:tcBorders>
            <w:vAlign w:val="center"/>
          </w:tcPr>
          <w:p w14:paraId="44B19631" w14:textId="77777777" w:rsidR="005C3D84" w:rsidRPr="00AB5CD0" w:rsidRDefault="005C3D84" w:rsidP="00E50149">
            <w:pPr>
              <w:spacing w:before="40" w:after="40" w:line="264" w:lineRule="auto"/>
              <w:jc w:val="center"/>
              <w:rPr>
                <w:rFonts w:ascii="Arial" w:hAnsi="Arial" w:cs="Arial"/>
                <w:b/>
                <w:sz w:val="20"/>
                <w:szCs w:val="20"/>
              </w:rPr>
            </w:pPr>
            <w:r w:rsidRPr="00AB5CD0">
              <w:rPr>
                <w:rFonts w:ascii="Arial" w:hAnsi="Arial" w:cs="Arial"/>
                <w:b/>
                <w:sz w:val="20"/>
                <w:szCs w:val="20"/>
              </w:rPr>
              <w:t>Criterios complementarios</w:t>
            </w:r>
          </w:p>
        </w:tc>
        <w:tc>
          <w:tcPr>
            <w:tcW w:w="6298" w:type="dxa"/>
            <w:tcBorders>
              <w:top w:val="single" w:sz="4" w:space="0" w:color="auto"/>
              <w:left w:val="single" w:sz="4" w:space="0" w:color="auto"/>
              <w:bottom w:val="single" w:sz="4" w:space="0" w:color="auto"/>
              <w:right w:val="single" w:sz="4" w:space="0" w:color="auto"/>
            </w:tcBorders>
            <w:vAlign w:val="center"/>
          </w:tcPr>
          <w:p w14:paraId="6BDBA11A" w14:textId="77777777" w:rsidR="005C3D84" w:rsidRPr="00AB5CD0" w:rsidRDefault="005C3D84" w:rsidP="00F30E6E">
            <w:pPr>
              <w:keepLines/>
              <w:spacing w:before="120" w:after="120"/>
              <w:jc w:val="both"/>
              <w:rPr>
                <w:rFonts w:ascii="Arial" w:hAnsi="Arial" w:cs="Arial"/>
                <w:sz w:val="20"/>
                <w:szCs w:val="20"/>
              </w:rPr>
            </w:pPr>
            <w:r w:rsidRPr="00AB5CD0">
              <w:rPr>
                <w:rFonts w:ascii="Arial" w:hAnsi="Arial" w:cs="Arial"/>
                <w:sz w:val="20"/>
                <w:szCs w:val="20"/>
              </w:rPr>
              <w:t xml:space="preserve">El precio incluye la puesta a disposición del equipo, el traslado a obra y la retirada de la obra una vez terminados los trabajos. </w:t>
            </w:r>
          </w:p>
          <w:p w14:paraId="63C05156" w14:textId="77777777" w:rsidR="005C3D84" w:rsidRPr="00AB5CD0" w:rsidRDefault="005C3D84" w:rsidP="00F30E6E">
            <w:pPr>
              <w:keepLines/>
              <w:spacing w:before="120" w:after="120"/>
              <w:jc w:val="both"/>
              <w:rPr>
                <w:rFonts w:ascii="Arial" w:hAnsi="Arial" w:cs="Arial"/>
                <w:sz w:val="20"/>
                <w:szCs w:val="20"/>
              </w:rPr>
            </w:pPr>
            <w:r w:rsidRPr="00AB5CD0">
              <w:rPr>
                <w:rFonts w:ascii="Arial" w:hAnsi="Arial" w:cs="Arial"/>
                <w:sz w:val="20"/>
                <w:szCs w:val="20"/>
              </w:rPr>
              <w:t xml:space="preserve">Todos los medios y materiales necesarios, para el transporte y puesta en obra, lista para la ejecución de la hinca. </w:t>
            </w:r>
          </w:p>
        </w:tc>
      </w:tr>
    </w:tbl>
    <w:p w14:paraId="07070278" w14:textId="77777777" w:rsidR="005C3D84" w:rsidRDefault="005C3D84" w:rsidP="00896418">
      <w:pPr>
        <w:spacing w:after="150"/>
        <w:rPr>
          <w:rFonts w:ascii="Courier New" w:hAnsi="Courier New" w:cs="Courier New"/>
          <w:b/>
          <w:bCs/>
          <w:color w:val="5E6787"/>
          <w:sz w:val="21"/>
          <w:szCs w:val="21"/>
        </w:rPr>
      </w:pPr>
    </w:p>
    <w:p w14:paraId="32F67A01" w14:textId="77777777" w:rsidR="00741D6C" w:rsidRPr="00960095" w:rsidRDefault="00741D6C" w:rsidP="00960095">
      <w:pPr>
        <w:spacing w:before="120" w:after="120" w:line="360" w:lineRule="auto"/>
        <w:jc w:val="both"/>
        <w:rPr>
          <w:rFonts w:ascii="Arial" w:hAnsi="Arial"/>
          <w:lang w:val="es-ES_tradnl"/>
        </w:rPr>
      </w:pPr>
      <w:r w:rsidRPr="00960095">
        <w:rPr>
          <w:rFonts w:ascii="Arial" w:hAnsi="Arial"/>
          <w:lang w:val="es-ES_tradnl"/>
        </w:rPr>
        <w:t>La medición y abono de la unidad de hinca se realizará según los criterios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30"/>
        <w:gridCol w:w="6298"/>
      </w:tblGrid>
      <w:tr w:rsidR="00741D6C" w:rsidRPr="003E400D" w14:paraId="324826C7" w14:textId="77777777" w:rsidTr="005A3268">
        <w:tc>
          <w:tcPr>
            <w:tcW w:w="2630" w:type="dxa"/>
            <w:tcBorders>
              <w:top w:val="single" w:sz="4" w:space="0" w:color="auto"/>
              <w:left w:val="single" w:sz="4" w:space="0" w:color="auto"/>
              <w:bottom w:val="single" w:sz="4" w:space="0" w:color="auto"/>
              <w:right w:val="single" w:sz="4" w:space="0" w:color="auto"/>
            </w:tcBorders>
            <w:vAlign w:val="center"/>
          </w:tcPr>
          <w:p w14:paraId="34B34BFC" w14:textId="77777777" w:rsidR="00741D6C" w:rsidRPr="00AB5CD0" w:rsidRDefault="00741D6C" w:rsidP="00E50149">
            <w:pPr>
              <w:spacing w:before="40" w:after="40" w:line="264" w:lineRule="auto"/>
              <w:jc w:val="center"/>
              <w:rPr>
                <w:rFonts w:ascii="Arial" w:hAnsi="Arial" w:cs="Arial"/>
                <w:b/>
                <w:sz w:val="20"/>
                <w:szCs w:val="20"/>
              </w:rPr>
            </w:pPr>
            <w:r w:rsidRPr="00AB5CD0">
              <w:rPr>
                <w:rFonts w:ascii="Arial" w:hAnsi="Arial" w:cs="Arial"/>
                <w:b/>
                <w:sz w:val="20"/>
                <w:szCs w:val="20"/>
              </w:rPr>
              <w:t>Unidad de medida</w:t>
            </w:r>
          </w:p>
        </w:tc>
        <w:tc>
          <w:tcPr>
            <w:tcW w:w="6298" w:type="dxa"/>
            <w:tcBorders>
              <w:top w:val="single" w:sz="4" w:space="0" w:color="auto"/>
              <w:left w:val="single" w:sz="4" w:space="0" w:color="auto"/>
              <w:bottom w:val="single" w:sz="4" w:space="0" w:color="auto"/>
              <w:right w:val="single" w:sz="4" w:space="0" w:color="auto"/>
            </w:tcBorders>
            <w:vAlign w:val="center"/>
          </w:tcPr>
          <w:p w14:paraId="5D76D14C" w14:textId="77777777" w:rsidR="00741D6C" w:rsidRPr="00AB5CD0" w:rsidRDefault="00741D6C" w:rsidP="00F30E6E">
            <w:pPr>
              <w:keepLines/>
              <w:spacing w:before="120" w:after="120"/>
              <w:jc w:val="both"/>
              <w:rPr>
                <w:rFonts w:ascii="Arial" w:hAnsi="Arial" w:cs="Arial"/>
                <w:sz w:val="20"/>
                <w:szCs w:val="20"/>
              </w:rPr>
            </w:pPr>
            <w:r w:rsidRPr="00AB5CD0">
              <w:rPr>
                <w:rFonts w:ascii="Arial" w:hAnsi="Arial" w:cs="Arial"/>
                <w:sz w:val="20"/>
                <w:szCs w:val="20"/>
              </w:rPr>
              <w:t xml:space="preserve">Metro (m). </w:t>
            </w:r>
          </w:p>
        </w:tc>
      </w:tr>
      <w:tr w:rsidR="00741D6C" w:rsidRPr="003E400D" w14:paraId="71ED8DE8" w14:textId="77777777" w:rsidTr="005A3268">
        <w:tc>
          <w:tcPr>
            <w:tcW w:w="2630" w:type="dxa"/>
            <w:tcBorders>
              <w:top w:val="single" w:sz="4" w:space="0" w:color="auto"/>
              <w:left w:val="single" w:sz="4" w:space="0" w:color="auto"/>
              <w:bottom w:val="single" w:sz="4" w:space="0" w:color="auto"/>
              <w:right w:val="single" w:sz="4" w:space="0" w:color="auto"/>
            </w:tcBorders>
            <w:vAlign w:val="center"/>
          </w:tcPr>
          <w:p w14:paraId="150475CA" w14:textId="77777777" w:rsidR="00741D6C" w:rsidRPr="00AB5CD0" w:rsidRDefault="00741D6C" w:rsidP="00E50149">
            <w:pPr>
              <w:spacing w:before="40" w:after="40" w:line="264" w:lineRule="auto"/>
              <w:jc w:val="center"/>
              <w:rPr>
                <w:rFonts w:ascii="Arial" w:hAnsi="Arial" w:cs="Arial"/>
                <w:b/>
                <w:sz w:val="20"/>
                <w:szCs w:val="20"/>
              </w:rPr>
            </w:pPr>
            <w:r w:rsidRPr="00AB5CD0">
              <w:rPr>
                <w:rFonts w:ascii="Arial" w:hAnsi="Arial" w:cs="Arial"/>
                <w:b/>
                <w:sz w:val="20"/>
                <w:szCs w:val="20"/>
              </w:rPr>
              <w:t>Grado de precisión</w:t>
            </w:r>
          </w:p>
        </w:tc>
        <w:tc>
          <w:tcPr>
            <w:tcW w:w="6298" w:type="dxa"/>
            <w:tcBorders>
              <w:top w:val="single" w:sz="4" w:space="0" w:color="auto"/>
              <w:left w:val="single" w:sz="4" w:space="0" w:color="auto"/>
              <w:bottom w:val="single" w:sz="4" w:space="0" w:color="auto"/>
              <w:right w:val="single" w:sz="4" w:space="0" w:color="auto"/>
            </w:tcBorders>
            <w:vAlign w:val="center"/>
          </w:tcPr>
          <w:p w14:paraId="67278386" w14:textId="77777777" w:rsidR="00741D6C" w:rsidRPr="00AB5CD0" w:rsidRDefault="00741D6C" w:rsidP="00F30E6E">
            <w:pPr>
              <w:keepLines/>
              <w:spacing w:before="120" w:after="120"/>
              <w:jc w:val="both"/>
              <w:rPr>
                <w:rFonts w:ascii="Arial" w:hAnsi="Arial" w:cs="Arial"/>
                <w:sz w:val="20"/>
                <w:szCs w:val="20"/>
              </w:rPr>
            </w:pPr>
            <w:r w:rsidRPr="00AB5CD0">
              <w:rPr>
                <w:rFonts w:ascii="Arial" w:hAnsi="Arial" w:cs="Arial"/>
                <w:sz w:val="20"/>
                <w:szCs w:val="20"/>
              </w:rPr>
              <w:t>Dos decimales.</w:t>
            </w:r>
          </w:p>
        </w:tc>
      </w:tr>
      <w:tr w:rsidR="00741D6C" w:rsidRPr="003E400D" w14:paraId="5A2895A6" w14:textId="77777777" w:rsidTr="005A3268">
        <w:tc>
          <w:tcPr>
            <w:tcW w:w="2630" w:type="dxa"/>
            <w:tcBorders>
              <w:top w:val="single" w:sz="4" w:space="0" w:color="auto"/>
              <w:left w:val="single" w:sz="4" w:space="0" w:color="auto"/>
              <w:bottom w:val="single" w:sz="4" w:space="0" w:color="auto"/>
              <w:right w:val="single" w:sz="4" w:space="0" w:color="auto"/>
            </w:tcBorders>
            <w:vAlign w:val="center"/>
          </w:tcPr>
          <w:p w14:paraId="416A0281" w14:textId="77777777" w:rsidR="00741D6C" w:rsidRPr="00AB5CD0" w:rsidRDefault="00741D6C" w:rsidP="00E50149">
            <w:pPr>
              <w:spacing w:before="40" w:after="40" w:line="264" w:lineRule="auto"/>
              <w:jc w:val="center"/>
              <w:rPr>
                <w:rFonts w:ascii="Arial" w:hAnsi="Arial" w:cs="Arial"/>
                <w:b/>
                <w:sz w:val="20"/>
                <w:szCs w:val="20"/>
              </w:rPr>
            </w:pPr>
            <w:r w:rsidRPr="00AB5CD0">
              <w:rPr>
                <w:rFonts w:ascii="Arial" w:hAnsi="Arial" w:cs="Arial"/>
                <w:b/>
                <w:sz w:val="20"/>
                <w:szCs w:val="20"/>
              </w:rPr>
              <w:t>Forma de medición</w:t>
            </w:r>
          </w:p>
        </w:tc>
        <w:tc>
          <w:tcPr>
            <w:tcW w:w="6298" w:type="dxa"/>
            <w:tcBorders>
              <w:top w:val="single" w:sz="4" w:space="0" w:color="auto"/>
              <w:left w:val="single" w:sz="4" w:space="0" w:color="auto"/>
              <w:bottom w:val="single" w:sz="4" w:space="0" w:color="auto"/>
              <w:right w:val="single" w:sz="4" w:space="0" w:color="auto"/>
            </w:tcBorders>
            <w:vAlign w:val="center"/>
          </w:tcPr>
          <w:p w14:paraId="1AEEE735" w14:textId="77777777" w:rsidR="00741D6C" w:rsidRPr="00AB5CD0" w:rsidRDefault="00741D6C" w:rsidP="00F30E6E">
            <w:pPr>
              <w:keepLines/>
              <w:spacing w:before="120" w:after="120"/>
              <w:jc w:val="both"/>
              <w:rPr>
                <w:rFonts w:ascii="Arial" w:hAnsi="Arial" w:cs="Arial"/>
                <w:sz w:val="20"/>
                <w:szCs w:val="20"/>
              </w:rPr>
            </w:pPr>
            <w:r w:rsidRPr="00AB5CD0">
              <w:rPr>
                <w:rFonts w:ascii="Arial" w:hAnsi="Arial" w:cs="Arial"/>
                <w:sz w:val="20"/>
                <w:szCs w:val="20"/>
              </w:rPr>
              <w:t xml:space="preserve">Metros de </w:t>
            </w:r>
            <w:r w:rsidR="005C3D84" w:rsidRPr="00AB5CD0">
              <w:rPr>
                <w:rFonts w:ascii="Arial" w:hAnsi="Arial" w:cs="Arial"/>
                <w:sz w:val="20"/>
                <w:szCs w:val="20"/>
              </w:rPr>
              <w:t>hinca realmente ejecutados</w:t>
            </w:r>
          </w:p>
        </w:tc>
      </w:tr>
      <w:tr w:rsidR="00741D6C" w:rsidRPr="003E400D" w14:paraId="08EFE246" w14:textId="77777777" w:rsidTr="005A3268">
        <w:tc>
          <w:tcPr>
            <w:tcW w:w="2630" w:type="dxa"/>
            <w:tcBorders>
              <w:top w:val="single" w:sz="4" w:space="0" w:color="auto"/>
              <w:left w:val="single" w:sz="4" w:space="0" w:color="auto"/>
              <w:bottom w:val="single" w:sz="4" w:space="0" w:color="auto"/>
              <w:right w:val="single" w:sz="4" w:space="0" w:color="auto"/>
            </w:tcBorders>
            <w:vAlign w:val="center"/>
          </w:tcPr>
          <w:p w14:paraId="6201E063" w14:textId="77777777" w:rsidR="00741D6C" w:rsidRPr="00AB5CD0" w:rsidRDefault="00741D6C" w:rsidP="00E50149">
            <w:pPr>
              <w:spacing w:before="40" w:after="40" w:line="264" w:lineRule="auto"/>
              <w:jc w:val="center"/>
              <w:rPr>
                <w:rFonts w:ascii="Arial" w:hAnsi="Arial" w:cs="Arial"/>
                <w:b/>
                <w:sz w:val="20"/>
                <w:szCs w:val="20"/>
              </w:rPr>
            </w:pPr>
            <w:r w:rsidRPr="00AB5CD0">
              <w:rPr>
                <w:rFonts w:ascii="Arial" w:hAnsi="Arial" w:cs="Arial"/>
                <w:b/>
                <w:sz w:val="20"/>
                <w:szCs w:val="20"/>
              </w:rPr>
              <w:t>Abono</w:t>
            </w:r>
          </w:p>
        </w:tc>
        <w:tc>
          <w:tcPr>
            <w:tcW w:w="6298" w:type="dxa"/>
            <w:tcBorders>
              <w:top w:val="single" w:sz="4" w:space="0" w:color="auto"/>
              <w:left w:val="single" w:sz="4" w:space="0" w:color="auto"/>
              <w:bottom w:val="single" w:sz="4" w:space="0" w:color="auto"/>
              <w:right w:val="single" w:sz="4" w:space="0" w:color="auto"/>
            </w:tcBorders>
            <w:vAlign w:val="center"/>
          </w:tcPr>
          <w:p w14:paraId="7D0A230F" w14:textId="77777777" w:rsidR="00741D6C" w:rsidRPr="00AB5CD0" w:rsidRDefault="00741D6C" w:rsidP="00F30E6E">
            <w:pPr>
              <w:keepLines/>
              <w:spacing w:before="120" w:after="120"/>
              <w:jc w:val="both"/>
              <w:rPr>
                <w:rFonts w:ascii="Arial" w:hAnsi="Arial" w:cs="Arial"/>
                <w:sz w:val="20"/>
                <w:szCs w:val="20"/>
              </w:rPr>
            </w:pPr>
            <w:r w:rsidRPr="00AB5CD0">
              <w:rPr>
                <w:rFonts w:ascii="Arial" w:hAnsi="Arial" w:cs="Arial"/>
                <w:sz w:val="20"/>
                <w:szCs w:val="20"/>
              </w:rPr>
              <w:t>Se efectuará cuando se realice la aceptación</w:t>
            </w:r>
            <w:r w:rsidR="00960095" w:rsidRPr="00AB5CD0">
              <w:rPr>
                <w:rFonts w:ascii="Arial" w:hAnsi="Arial" w:cs="Arial"/>
                <w:sz w:val="20"/>
                <w:szCs w:val="20"/>
              </w:rPr>
              <w:t>-</w:t>
            </w:r>
          </w:p>
        </w:tc>
      </w:tr>
      <w:tr w:rsidR="00741D6C" w:rsidRPr="003E400D" w14:paraId="5FAE8635" w14:textId="77777777" w:rsidTr="005A3268">
        <w:tc>
          <w:tcPr>
            <w:tcW w:w="2630" w:type="dxa"/>
            <w:tcBorders>
              <w:top w:val="single" w:sz="4" w:space="0" w:color="auto"/>
              <w:left w:val="single" w:sz="4" w:space="0" w:color="auto"/>
              <w:bottom w:val="single" w:sz="4" w:space="0" w:color="auto"/>
              <w:right w:val="single" w:sz="4" w:space="0" w:color="auto"/>
            </w:tcBorders>
            <w:vAlign w:val="center"/>
          </w:tcPr>
          <w:p w14:paraId="75C85997" w14:textId="77777777" w:rsidR="00741D6C" w:rsidRPr="00AB5CD0" w:rsidRDefault="00741D6C" w:rsidP="00E50149">
            <w:pPr>
              <w:spacing w:before="40" w:after="40" w:line="264" w:lineRule="auto"/>
              <w:jc w:val="center"/>
              <w:rPr>
                <w:rFonts w:ascii="Arial" w:hAnsi="Arial" w:cs="Arial"/>
                <w:b/>
                <w:sz w:val="20"/>
                <w:szCs w:val="20"/>
              </w:rPr>
            </w:pPr>
            <w:r w:rsidRPr="00AB5CD0">
              <w:rPr>
                <w:rFonts w:ascii="Arial" w:hAnsi="Arial" w:cs="Arial"/>
                <w:b/>
                <w:sz w:val="20"/>
                <w:szCs w:val="20"/>
              </w:rPr>
              <w:t>Criterios complementarios</w:t>
            </w:r>
          </w:p>
        </w:tc>
        <w:tc>
          <w:tcPr>
            <w:tcW w:w="6298" w:type="dxa"/>
            <w:tcBorders>
              <w:top w:val="single" w:sz="4" w:space="0" w:color="auto"/>
              <w:left w:val="single" w:sz="4" w:space="0" w:color="auto"/>
              <w:bottom w:val="single" w:sz="4" w:space="0" w:color="auto"/>
              <w:right w:val="single" w:sz="4" w:space="0" w:color="auto"/>
            </w:tcBorders>
            <w:vAlign w:val="center"/>
          </w:tcPr>
          <w:p w14:paraId="2221DE9B" w14:textId="77777777" w:rsidR="00741D6C" w:rsidRPr="00AB5CD0" w:rsidRDefault="00741D6C" w:rsidP="00F30E6E">
            <w:pPr>
              <w:keepLines/>
              <w:spacing w:before="120" w:after="120"/>
              <w:jc w:val="both"/>
              <w:rPr>
                <w:rFonts w:ascii="Arial" w:hAnsi="Arial" w:cs="Arial"/>
                <w:sz w:val="20"/>
                <w:szCs w:val="20"/>
              </w:rPr>
            </w:pPr>
            <w:r w:rsidRPr="00AB5CD0">
              <w:rPr>
                <w:rFonts w:ascii="Arial" w:hAnsi="Arial" w:cs="Arial"/>
                <w:sz w:val="20"/>
                <w:szCs w:val="20"/>
              </w:rPr>
              <w:t xml:space="preserve">El precio incluye todas las operaciones y medios auxiliares para su ejecución, incluyendo las operaciones previas </w:t>
            </w:r>
            <w:r w:rsidR="005C3D84" w:rsidRPr="00AB5CD0">
              <w:rPr>
                <w:rFonts w:ascii="Arial" w:hAnsi="Arial" w:cs="Arial"/>
                <w:sz w:val="20"/>
                <w:szCs w:val="20"/>
              </w:rPr>
              <w:t>de</w:t>
            </w:r>
            <w:r w:rsidRPr="00AB5CD0">
              <w:rPr>
                <w:rFonts w:ascii="Arial" w:hAnsi="Arial" w:cs="Arial"/>
                <w:sz w:val="20"/>
                <w:szCs w:val="20"/>
              </w:rPr>
              <w:t xml:space="preserve"> preparación y acondicionamiento posterior.</w:t>
            </w:r>
          </w:p>
          <w:p w14:paraId="0865B7C1" w14:textId="77777777" w:rsidR="00741D6C" w:rsidRPr="00AB5CD0" w:rsidRDefault="005C3D84" w:rsidP="00F30E6E">
            <w:pPr>
              <w:keepLines/>
              <w:spacing w:before="120" w:after="120"/>
              <w:jc w:val="both"/>
              <w:rPr>
                <w:rFonts w:ascii="Arial" w:hAnsi="Arial" w:cs="Arial"/>
                <w:sz w:val="20"/>
                <w:szCs w:val="20"/>
              </w:rPr>
            </w:pPr>
            <w:r w:rsidRPr="00AB5CD0">
              <w:rPr>
                <w:rFonts w:ascii="Arial" w:hAnsi="Arial" w:cs="Arial"/>
                <w:sz w:val="20"/>
                <w:szCs w:val="20"/>
              </w:rPr>
              <w:t xml:space="preserve">Incluye el precio del tubo y todas </w:t>
            </w:r>
            <w:r w:rsidR="00741D6C" w:rsidRPr="00AB5CD0">
              <w:rPr>
                <w:rFonts w:ascii="Arial" w:hAnsi="Arial" w:cs="Arial"/>
                <w:sz w:val="20"/>
                <w:szCs w:val="20"/>
              </w:rPr>
              <w:t>las piezas auxiliares necesarias, ya sean de conexión o de sujeción para la correcta ejecución de la unidad.</w:t>
            </w:r>
          </w:p>
          <w:p w14:paraId="4147199D" w14:textId="77777777" w:rsidR="00741D6C" w:rsidRPr="00AB5CD0" w:rsidRDefault="00741D6C" w:rsidP="00F30E6E">
            <w:pPr>
              <w:keepLines/>
              <w:spacing w:before="120" w:after="120"/>
              <w:jc w:val="both"/>
              <w:rPr>
                <w:rFonts w:ascii="Arial" w:hAnsi="Arial" w:cs="Arial"/>
                <w:sz w:val="20"/>
                <w:szCs w:val="20"/>
              </w:rPr>
            </w:pPr>
            <w:r w:rsidRPr="00AB5CD0">
              <w:rPr>
                <w:rFonts w:ascii="Arial" w:hAnsi="Arial" w:cs="Arial"/>
                <w:sz w:val="20"/>
                <w:szCs w:val="20"/>
              </w:rPr>
              <w:t>El precio incluye la ejecución de las juntas</w:t>
            </w:r>
            <w:r w:rsidR="005C3D84" w:rsidRPr="00AB5CD0">
              <w:rPr>
                <w:rFonts w:ascii="Arial" w:hAnsi="Arial" w:cs="Arial"/>
                <w:sz w:val="20"/>
                <w:szCs w:val="20"/>
              </w:rPr>
              <w:t>, carga y transporte de material sobrante a instalación de gestión de residuos.</w:t>
            </w:r>
          </w:p>
        </w:tc>
      </w:tr>
    </w:tbl>
    <w:p w14:paraId="455F87DB" w14:textId="77777777" w:rsidR="00741D6C" w:rsidRDefault="00741D6C" w:rsidP="00896418">
      <w:pPr>
        <w:spacing w:after="150"/>
        <w:rPr>
          <w:rFonts w:ascii="Courier New" w:hAnsi="Courier New" w:cs="Courier New"/>
          <w:b/>
          <w:bCs/>
          <w:color w:val="5E6787"/>
          <w:sz w:val="21"/>
          <w:szCs w:val="21"/>
        </w:rPr>
      </w:pPr>
    </w:p>
    <w:p w14:paraId="7CEBA5E9" w14:textId="77777777" w:rsidR="00EF2105" w:rsidRDefault="00EF2105" w:rsidP="00EF2105">
      <w:pPr>
        <w:pStyle w:val="NORMAL12"/>
        <w:rPr>
          <w:color w:val="365F91" w:themeColor="accent1" w:themeShade="BF"/>
          <w:highlight w:val="yellow"/>
          <w:lang w:val="es-ES"/>
        </w:rPr>
      </w:pPr>
    </w:p>
    <w:p w14:paraId="35CA4ECD" w14:textId="77777777" w:rsidR="00CE424A" w:rsidRDefault="00CE424A" w:rsidP="00FC7B9D">
      <w:pPr>
        <w:pStyle w:val="TtuloPortada"/>
        <w:jc w:val="right"/>
        <w:outlineLvl w:val="0"/>
        <w:rPr>
          <w:color w:val="365F91" w:themeColor="accent1" w:themeShade="BF"/>
        </w:rPr>
        <w:sectPr w:rsidR="00CE424A" w:rsidSect="00EB75FA">
          <w:footerReference w:type="default" r:id="rId14"/>
          <w:type w:val="oddPage"/>
          <w:pgSz w:w="23814" w:h="16840" w:orient="landscape" w:code="8"/>
          <w:pgMar w:top="992" w:right="851" w:bottom="1418" w:left="851" w:header="567" w:footer="1021" w:gutter="1418"/>
          <w:cols w:num="2" w:space="1418"/>
        </w:sectPr>
      </w:pPr>
    </w:p>
    <w:p w14:paraId="2D3DE072" w14:textId="77777777" w:rsidR="00FC7B9D" w:rsidRPr="00444DA7" w:rsidRDefault="00667297" w:rsidP="00FC7B9D">
      <w:pPr>
        <w:pStyle w:val="TtuloPortada"/>
        <w:jc w:val="right"/>
        <w:outlineLvl w:val="0"/>
        <w:rPr>
          <w:rFonts w:ascii="Arial" w:hAnsi="Arial" w:cs="Arial"/>
        </w:rPr>
      </w:pPr>
      <w:r w:rsidRPr="005864C2">
        <w:rPr>
          <w:color w:val="365F91" w:themeColor="accent1" w:themeShade="BF"/>
        </w:rPr>
        <w:lastRenderedPageBreak/>
        <w:br w:type="column"/>
      </w:r>
      <w:bookmarkStart w:id="531" w:name="_Toc404288"/>
      <w:r w:rsidR="00FC7B9D" w:rsidRPr="00444DA7">
        <w:rPr>
          <w:rFonts w:ascii="Arial" w:hAnsi="Arial" w:cs="Arial"/>
        </w:rPr>
        <w:t>Parte 5.-  Firmes y pavimentos</w:t>
      </w:r>
      <w:bookmarkEnd w:id="531"/>
    </w:p>
    <w:p w14:paraId="39D84450" w14:textId="77777777" w:rsidR="00FC7B9D" w:rsidRPr="005864C2" w:rsidRDefault="00FC7B9D" w:rsidP="00FC7B9D">
      <w:pPr>
        <w:pStyle w:val="Ttulo1"/>
        <w:rPr>
          <w:b w:val="0"/>
          <w:color w:val="365F91" w:themeColor="accent1" w:themeShade="BF"/>
          <w:lang w:val="es-ES_tradnl"/>
        </w:rPr>
      </w:pPr>
    </w:p>
    <w:p w14:paraId="38C1952B" w14:textId="77777777" w:rsidR="00667297" w:rsidRPr="005864C2" w:rsidRDefault="00667297" w:rsidP="00FC7B9D">
      <w:pPr>
        <w:rPr>
          <w:color w:val="365F91" w:themeColor="accent1" w:themeShade="BF"/>
          <w:lang w:val="es-ES_tradnl" w:eastAsia="en-US"/>
        </w:rPr>
        <w:sectPr w:rsidR="00667297" w:rsidRPr="005864C2" w:rsidSect="003069BA">
          <w:type w:val="oddPage"/>
          <w:pgSz w:w="23814" w:h="16840" w:orient="landscape" w:code="8"/>
          <w:pgMar w:top="992" w:right="851" w:bottom="1418" w:left="851" w:header="567" w:footer="1021" w:gutter="1418"/>
          <w:cols w:num="2" w:space="1418"/>
        </w:sectPr>
      </w:pPr>
    </w:p>
    <w:p w14:paraId="75845FDF" w14:textId="77777777" w:rsidR="00810099" w:rsidRPr="003708DA" w:rsidRDefault="00810099" w:rsidP="006F6223">
      <w:pPr>
        <w:pStyle w:val="TITU1"/>
      </w:pPr>
      <w:bookmarkStart w:id="532" w:name="_Toc404289"/>
      <w:r w:rsidRPr="003708DA">
        <w:lastRenderedPageBreak/>
        <w:t>A</w:t>
      </w:r>
      <w:r w:rsidR="006107F5">
        <w:t>rtículo 510.</w:t>
      </w:r>
      <w:r w:rsidR="00543D1B" w:rsidRPr="003708DA">
        <w:t xml:space="preserve"> </w:t>
      </w:r>
      <w:r w:rsidRPr="003708DA">
        <w:t>Zahorras</w:t>
      </w:r>
      <w:bookmarkEnd w:id="532"/>
    </w:p>
    <w:p w14:paraId="725ED243" w14:textId="77777777" w:rsidR="00472C05" w:rsidRPr="004D487C" w:rsidRDefault="00472C05" w:rsidP="0090006A">
      <w:pPr>
        <w:pStyle w:val="GTTTextoIndependiente"/>
        <w:spacing w:before="60"/>
        <w:ind w:firstLine="0"/>
        <w:rPr>
          <w:rFonts w:ascii="Arial" w:hAnsi="Arial" w:cs="Arial"/>
          <w:sz w:val="24"/>
        </w:rPr>
      </w:pPr>
      <w:r w:rsidRPr="004D487C">
        <w:rPr>
          <w:rFonts w:ascii="Arial" w:hAnsi="Arial" w:cs="Arial"/>
          <w:sz w:val="24"/>
        </w:rPr>
        <w:t>Excepto para lo especificado en este artículo será de aplicación lo prescito en la normati</w:t>
      </w:r>
      <w:r w:rsidR="009A0D25" w:rsidRPr="004D487C">
        <w:rPr>
          <w:rFonts w:ascii="Arial" w:hAnsi="Arial" w:cs="Arial"/>
          <w:sz w:val="24"/>
        </w:rPr>
        <w:t>va vigente, en particular en el</w:t>
      </w:r>
      <w:r w:rsidRPr="004D487C">
        <w:rPr>
          <w:rFonts w:ascii="Arial" w:hAnsi="Arial" w:cs="Arial"/>
          <w:sz w:val="24"/>
        </w:rPr>
        <w:t xml:space="preserve"> Artículo 510. Zahorra del PG-3</w:t>
      </w:r>
    </w:p>
    <w:p w14:paraId="3AB5560B" w14:textId="77777777" w:rsidR="00810099" w:rsidRPr="003D4888" w:rsidRDefault="00810099" w:rsidP="000313DD">
      <w:pPr>
        <w:pStyle w:val="TITU2"/>
      </w:pPr>
      <w:bookmarkStart w:id="533" w:name="_Toc404290"/>
      <w:r w:rsidRPr="005864C2">
        <w:t xml:space="preserve">510.1. </w:t>
      </w:r>
      <w:r w:rsidR="00444DA7" w:rsidRPr="003D4888">
        <w:t>Definición y aplicación</w:t>
      </w:r>
      <w:bookmarkEnd w:id="533"/>
    </w:p>
    <w:p w14:paraId="59B2A7A8" w14:textId="77777777" w:rsidR="00444DA7" w:rsidRPr="003D4888" w:rsidRDefault="00444DA7" w:rsidP="00444DA7">
      <w:pPr>
        <w:pStyle w:val="NORMAL12"/>
        <w:rPr>
          <w:lang w:val="es-ES"/>
        </w:rPr>
      </w:pPr>
      <w:r w:rsidRPr="003D4888">
        <w:rPr>
          <w:lang w:val="es-ES"/>
        </w:rPr>
        <w:t xml:space="preserve">Consiste esta Unidad en el suministro, la extensión y compactación de zahorra artificial sobre una superficie de asiento convenientemente preparada, para ejecución de la capa de base de la sección de firme. </w:t>
      </w:r>
    </w:p>
    <w:p w14:paraId="35D6B2B2" w14:textId="77777777" w:rsidR="00C36ABC" w:rsidRPr="003D4888" w:rsidRDefault="00C36ABC" w:rsidP="00C36ABC">
      <w:pPr>
        <w:pStyle w:val="NORMAL12"/>
        <w:rPr>
          <w:lang w:val="es-ES"/>
        </w:rPr>
      </w:pPr>
      <w:r w:rsidRPr="003D4888">
        <w:rPr>
          <w:lang w:val="es-ES"/>
        </w:rPr>
        <w:t xml:space="preserve">Las prescripciones del presente artículo </w:t>
      </w:r>
      <w:proofErr w:type="gramStart"/>
      <w:r w:rsidRPr="003D4888">
        <w:rPr>
          <w:lang w:val="es-ES"/>
        </w:rPr>
        <w:t>son de aplicación</w:t>
      </w:r>
      <w:proofErr w:type="gramEnd"/>
      <w:r w:rsidRPr="003D4888">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053"/>
        <w:gridCol w:w="804"/>
        <w:gridCol w:w="8063"/>
      </w:tblGrid>
      <w:tr w:rsidR="005864C2" w:rsidRPr="003D4888" w14:paraId="52757FD1" w14:textId="77777777" w:rsidTr="00543D1B">
        <w:trPr>
          <w:trHeight w:val="300"/>
        </w:trPr>
        <w:tc>
          <w:tcPr>
            <w:tcW w:w="531" w:type="pct"/>
            <w:noWrap/>
          </w:tcPr>
          <w:p w14:paraId="08922844" w14:textId="77777777" w:rsidR="00365AED" w:rsidRPr="00050087" w:rsidRDefault="00365AED">
            <w:pPr>
              <w:rPr>
                <w:rFonts w:ascii="Calibri" w:hAnsi="Calibri"/>
              </w:rPr>
            </w:pPr>
            <w:r w:rsidRPr="00050087">
              <w:rPr>
                <w:rFonts w:ascii="Calibri" w:hAnsi="Calibri"/>
              </w:rPr>
              <w:t xml:space="preserve">510.0010          </w:t>
            </w:r>
          </w:p>
        </w:tc>
        <w:tc>
          <w:tcPr>
            <w:tcW w:w="405" w:type="pct"/>
            <w:noWrap/>
          </w:tcPr>
          <w:p w14:paraId="6A1F64C2" w14:textId="77777777" w:rsidR="00365AED" w:rsidRPr="00050087" w:rsidRDefault="00365AED">
            <w:pPr>
              <w:rPr>
                <w:rFonts w:ascii="Calibri" w:hAnsi="Calibri"/>
              </w:rPr>
            </w:pPr>
            <w:r w:rsidRPr="00050087">
              <w:rPr>
                <w:rFonts w:ascii="Calibri" w:hAnsi="Calibri"/>
              </w:rPr>
              <w:t>m</w:t>
            </w:r>
            <w:r w:rsidRPr="00050087">
              <w:rPr>
                <w:rFonts w:ascii="Calibri" w:hAnsi="Calibri"/>
                <w:vertAlign w:val="superscript"/>
              </w:rPr>
              <w:t>3</w:t>
            </w:r>
          </w:p>
        </w:tc>
        <w:tc>
          <w:tcPr>
            <w:tcW w:w="4064" w:type="pct"/>
          </w:tcPr>
          <w:p w14:paraId="51695F2F" w14:textId="77777777" w:rsidR="00365AED" w:rsidRPr="00050087" w:rsidRDefault="0084421A">
            <w:pPr>
              <w:rPr>
                <w:rFonts w:ascii="Calibri" w:hAnsi="Calibri"/>
              </w:rPr>
            </w:pPr>
            <w:r w:rsidRPr="00050087">
              <w:rPr>
                <w:rFonts w:ascii="Calibri" w:hAnsi="Calibri"/>
              </w:rPr>
              <w:t>ZAHORRA ARTIFICIAL i/ TRANSPORTE, EXTENSIÓN Y COMPACTACIÓN, MEDIDO SOBRE PERFIL TEÓRICO.</w:t>
            </w:r>
          </w:p>
        </w:tc>
      </w:tr>
    </w:tbl>
    <w:p w14:paraId="00B5446E" w14:textId="77777777" w:rsidR="0052735E" w:rsidRPr="003D4888" w:rsidRDefault="00444DA7" w:rsidP="00444DA7">
      <w:pPr>
        <w:pStyle w:val="NORMAL12"/>
        <w:rPr>
          <w:lang w:val="es-ES"/>
        </w:rPr>
      </w:pPr>
      <w:r w:rsidRPr="003D4888">
        <w:rPr>
          <w:lang w:val="es-ES"/>
        </w:rPr>
        <w:t xml:space="preserve">La ejecución de la unidad de obra </w:t>
      </w:r>
      <w:r w:rsidR="0052735E" w:rsidRPr="003D4888">
        <w:rPr>
          <w:lang w:val="es-ES"/>
        </w:rPr>
        <w:t>incluye la realización de las operaciones siguientes:</w:t>
      </w:r>
    </w:p>
    <w:p w14:paraId="450ED8B9" w14:textId="77777777" w:rsidR="00444DA7" w:rsidRPr="003D4888" w:rsidRDefault="00444DA7" w:rsidP="00E01981">
      <w:pPr>
        <w:pStyle w:val="NORMAL12"/>
        <w:numPr>
          <w:ilvl w:val="0"/>
          <w:numId w:val="97"/>
        </w:numPr>
        <w:rPr>
          <w:lang w:val="es-ES"/>
        </w:rPr>
      </w:pPr>
      <w:r w:rsidRPr="003D4888">
        <w:rPr>
          <w:lang w:val="es-ES"/>
        </w:rPr>
        <w:t>Preparación y compactación de la superficie de asiento.</w:t>
      </w:r>
    </w:p>
    <w:p w14:paraId="659D03DA" w14:textId="77777777" w:rsidR="00444DA7" w:rsidRPr="003D4888" w:rsidRDefault="00444DA7" w:rsidP="00E01981">
      <w:pPr>
        <w:pStyle w:val="NORMAL12"/>
        <w:numPr>
          <w:ilvl w:val="0"/>
          <w:numId w:val="97"/>
        </w:numPr>
        <w:rPr>
          <w:lang w:val="es-ES"/>
        </w:rPr>
      </w:pPr>
      <w:r w:rsidRPr="003D4888">
        <w:rPr>
          <w:lang w:val="es-ES"/>
        </w:rPr>
        <w:t>Aportación de la zahorra, con un huso granulométrico acorde a las especificaciones de esta Unidad.</w:t>
      </w:r>
    </w:p>
    <w:p w14:paraId="53A9B4E9" w14:textId="77777777" w:rsidR="00444DA7" w:rsidRPr="003D4888" w:rsidRDefault="00444DA7" w:rsidP="00E01981">
      <w:pPr>
        <w:pStyle w:val="NORMAL12"/>
        <w:numPr>
          <w:ilvl w:val="0"/>
          <w:numId w:val="97"/>
        </w:numPr>
        <w:rPr>
          <w:lang w:val="es-ES"/>
        </w:rPr>
      </w:pPr>
      <w:r w:rsidRPr="003D4888">
        <w:rPr>
          <w:lang w:val="es-ES"/>
        </w:rPr>
        <w:t>Extensión, humectación, si procede, y compactación de cada tongada hasta el grado de compactación que se especifica en el presente artículo.</w:t>
      </w:r>
    </w:p>
    <w:p w14:paraId="308E2C02" w14:textId="77777777" w:rsidR="00444DA7" w:rsidRPr="003D4888" w:rsidRDefault="00444DA7" w:rsidP="00E01981">
      <w:pPr>
        <w:pStyle w:val="NORMAL12"/>
        <w:numPr>
          <w:ilvl w:val="0"/>
          <w:numId w:val="97"/>
        </w:numPr>
        <w:rPr>
          <w:lang w:val="es-ES"/>
        </w:rPr>
      </w:pPr>
      <w:r w:rsidRPr="003D4888">
        <w:rPr>
          <w:lang w:val="es-ES"/>
        </w:rPr>
        <w:t>Refino de la superficie de la última tongada.</w:t>
      </w:r>
    </w:p>
    <w:p w14:paraId="593B08A4" w14:textId="77777777" w:rsidR="00472C05" w:rsidRPr="003D4888" w:rsidRDefault="00472C05" w:rsidP="000313DD">
      <w:pPr>
        <w:pStyle w:val="TITU2"/>
      </w:pPr>
      <w:bookmarkStart w:id="534" w:name="_Toc225834790"/>
      <w:bookmarkStart w:id="535" w:name="_Toc240349909"/>
      <w:bookmarkStart w:id="536" w:name="_Toc277523294"/>
      <w:bookmarkStart w:id="537" w:name="_Toc465929706"/>
      <w:bookmarkStart w:id="538" w:name="_Toc404291"/>
      <w:r w:rsidRPr="003D4888">
        <w:t>510.2.</w:t>
      </w:r>
      <w:r w:rsidR="006107F5">
        <w:t xml:space="preserve"> </w:t>
      </w:r>
      <w:r w:rsidRPr="003D4888">
        <w:tab/>
        <w:t>Materiales</w:t>
      </w:r>
      <w:bookmarkEnd w:id="534"/>
      <w:bookmarkEnd w:id="535"/>
      <w:bookmarkEnd w:id="536"/>
      <w:bookmarkEnd w:id="537"/>
      <w:bookmarkEnd w:id="538"/>
    </w:p>
    <w:p w14:paraId="48C75318" w14:textId="77777777" w:rsidR="00472C05" w:rsidRPr="003D4888" w:rsidRDefault="00472C05" w:rsidP="00444DA7">
      <w:pPr>
        <w:pStyle w:val="NORMAL12"/>
        <w:rPr>
          <w:lang w:val="es-ES"/>
        </w:rPr>
      </w:pPr>
      <w:r w:rsidRPr="003D4888">
        <w:rPr>
          <w:lang w:val="es-ES"/>
        </w:rPr>
        <w:t>Las características que debe cumplir el material utilizado en la creación de las explanadas son las que se exponen a continuación.</w:t>
      </w:r>
    </w:p>
    <w:p w14:paraId="21CB9F8E" w14:textId="77777777" w:rsidR="00472C05" w:rsidRPr="003D4888" w:rsidRDefault="00472C05" w:rsidP="00444DA7">
      <w:pPr>
        <w:pStyle w:val="NORMAL12"/>
        <w:rPr>
          <w:lang w:val="es-ES"/>
        </w:rPr>
      </w:pPr>
      <w:r w:rsidRPr="003D4888">
        <w:rPr>
          <w:lang w:val="es-ES"/>
        </w:rPr>
        <w:t>En cuanto a los áridos gruesos deben cumplir:</w:t>
      </w:r>
    </w:p>
    <w:p w14:paraId="1BB4CA47" w14:textId="77777777" w:rsidR="00472C05" w:rsidRPr="003D4888" w:rsidRDefault="00472C05" w:rsidP="00E01981">
      <w:pPr>
        <w:pStyle w:val="NORMAL12"/>
        <w:numPr>
          <w:ilvl w:val="0"/>
          <w:numId w:val="104"/>
        </w:numPr>
        <w:rPr>
          <w:lang w:val="es-ES"/>
        </w:rPr>
      </w:pPr>
      <w:r w:rsidRPr="003D4888">
        <w:rPr>
          <w:lang w:val="es-ES"/>
        </w:rPr>
        <w:t xml:space="preserve">La proporción de partículas total o parcialmente trituradas del árido grueso debe ser </w:t>
      </w:r>
      <w:r w:rsidR="00EF41EE" w:rsidRPr="003D4888">
        <w:rPr>
          <w:lang w:val="es-ES"/>
        </w:rPr>
        <w:t>del cien por cien</w:t>
      </w:r>
      <w:r w:rsidRPr="003D4888">
        <w:rPr>
          <w:lang w:val="es-ES"/>
        </w:rPr>
        <w:t xml:space="preserve"> (</w:t>
      </w:r>
      <w:r w:rsidR="00EF41EE" w:rsidRPr="003D4888">
        <w:rPr>
          <w:lang w:val="es-ES"/>
        </w:rPr>
        <w:t>100</w:t>
      </w:r>
      <w:r w:rsidRPr="003D4888">
        <w:rPr>
          <w:lang w:val="es-ES"/>
        </w:rPr>
        <w:t xml:space="preserve"> %). Norma UNE-EN 933-5</w:t>
      </w:r>
      <w:r w:rsidR="00655C6E" w:rsidRPr="003D4888">
        <w:rPr>
          <w:lang w:val="es-ES"/>
        </w:rPr>
        <w:t>:1999</w:t>
      </w:r>
    </w:p>
    <w:p w14:paraId="01C0C869" w14:textId="77777777" w:rsidR="00472C05" w:rsidRPr="003D4888" w:rsidRDefault="00472C05" w:rsidP="00E01981">
      <w:pPr>
        <w:pStyle w:val="NORMAL12"/>
        <w:numPr>
          <w:ilvl w:val="0"/>
          <w:numId w:val="104"/>
        </w:numPr>
        <w:rPr>
          <w:lang w:val="es-ES"/>
        </w:rPr>
      </w:pPr>
      <w:r w:rsidRPr="003D4888">
        <w:rPr>
          <w:lang w:val="es-ES"/>
        </w:rPr>
        <w:t xml:space="preserve">La proporción de partículas totalmente redondeadas de árido grueso es </w:t>
      </w:r>
      <w:proofErr w:type="gramStart"/>
      <w:r w:rsidR="00EF41EE" w:rsidRPr="003D4888">
        <w:rPr>
          <w:lang w:val="es-ES"/>
        </w:rPr>
        <w:t>igual  a</w:t>
      </w:r>
      <w:proofErr w:type="gramEnd"/>
      <w:r w:rsidR="00EF41EE" w:rsidRPr="003D4888">
        <w:rPr>
          <w:lang w:val="es-ES"/>
        </w:rPr>
        <w:t xml:space="preserve"> cero por ciento</w:t>
      </w:r>
      <w:r w:rsidRPr="003D4888">
        <w:rPr>
          <w:lang w:val="es-ES"/>
        </w:rPr>
        <w:t xml:space="preserve"> </w:t>
      </w:r>
      <w:r w:rsidR="00D93E76" w:rsidRPr="003D4888">
        <w:rPr>
          <w:lang w:val="es-ES"/>
        </w:rPr>
        <w:t>(0</w:t>
      </w:r>
      <w:r w:rsidR="00EF41EE" w:rsidRPr="003D4888">
        <w:rPr>
          <w:lang w:val="es-ES"/>
        </w:rPr>
        <w:t>%</w:t>
      </w:r>
      <w:r w:rsidRPr="003D4888">
        <w:rPr>
          <w:lang w:val="es-ES"/>
        </w:rPr>
        <w:t>). Norma UNE-EN 933-5</w:t>
      </w:r>
      <w:r w:rsidR="00655C6E" w:rsidRPr="003D4888">
        <w:rPr>
          <w:lang w:val="es-ES"/>
        </w:rPr>
        <w:t>:1999</w:t>
      </w:r>
      <w:r w:rsidRPr="003D4888">
        <w:rPr>
          <w:lang w:val="es-ES"/>
        </w:rPr>
        <w:t>.</w:t>
      </w:r>
    </w:p>
    <w:p w14:paraId="5BD5039D" w14:textId="77777777" w:rsidR="00CC11EC" w:rsidRPr="003D4888" w:rsidRDefault="00CC11EC" w:rsidP="00E01981">
      <w:pPr>
        <w:pStyle w:val="NORMAL12"/>
        <w:numPr>
          <w:ilvl w:val="0"/>
          <w:numId w:val="105"/>
        </w:numPr>
        <w:rPr>
          <w:lang w:val="es-ES"/>
        </w:rPr>
      </w:pPr>
      <w:r w:rsidRPr="003D4888">
        <w:rPr>
          <w:lang w:val="es-ES"/>
        </w:rPr>
        <w:t>El índice de lajas (FI) de las distintas fracciones del árido grueso (Norma UNE-EN 933-3) debe ser inferior a treinta y cinco (FI&lt;35)</w:t>
      </w:r>
    </w:p>
    <w:p w14:paraId="15F882F8" w14:textId="77777777" w:rsidR="00472C05" w:rsidRPr="003D4888" w:rsidRDefault="00472C05" w:rsidP="00E01981">
      <w:pPr>
        <w:pStyle w:val="NORMAL12"/>
        <w:numPr>
          <w:ilvl w:val="0"/>
          <w:numId w:val="105"/>
        </w:numPr>
        <w:rPr>
          <w:lang w:val="es-ES"/>
        </w:rPr>
      </w:pPr>
      <w:r w:rsidRPr="003D4888">
        <w:rPr>
          <w:lang w:val="es-ES"/>
        </w:rPr>
        <w:t>El coeficiente de los Ángeles debe ser inferior a treinta. (&lt; 3</w:t>
      </w:r>
      <w:r w:rsidR="00EF41EE" w:rsidRPr="003D4888">
        <w:rPr>
          <w:lang w:val="es-ES"/>
        </w:rPr>
        <w:t>0</w:t>
      </w:r>
      <w:r w:rsidRPr="003D4888">
        <w:rPr>
          <w:lang w:val="es-ES"/>
        </w:rPr>
        <w:t>). Norma UNE-EN 1097-2</w:t>
      </w:r>
      <w:r w:rsidR="00655C6E" w:rsidRPr="003D4888">
        <w:rPr>
          <w:lang w:val="es-ES"/>
        </w:rPr>
        <w:t>:2010</w:t>
      </w:r>
      <w:r w:rsidRPr="003D4888">
        <w:rPr>
          <w:lang w:val="es-ES"/>
        </w:rPr>
        <w:t>.</w:t>
      </w:r>
    </w:p>
    <w:p w14:paraId="79C521E8" w14:textId="77777777" w:rsidR="00472C05" w:rsidRPr="003D4888" w:rsidRDefault="00472C05" w:rsidP="00E01981">
      <w:pPr>
        <w:pStyle w:val="NORMAL12"/>
        <w:numPr>
          <w:ilvl w:val="0"/>
          <w:numId w:val="105"/>
        </w:numPr>
        <w:rPr>
          <w:lang w:val="es-ES"/>
        </w:rPr>
      </w:pPr>
      <w:r w:rsidRPr="003D4888">
        <w:rPr>
          <w:lang w:val="es-ES"/>
        </w:rPr>
        <w:t>El contenido en finos del árido grueso debe ser inferior al uno por ciento (&lt; 1 %). Norma UNE-EN 933-1</w:t>
      </w:r>
      <w:r w:rsidR="00655C6E" w:rsidRPr="003D4888">
        <w:rPr>
          <w:lang w:val="es-ES"/>
        </w:rPr>
        <w:t>:2012</w:t>
      </w:r>
      <w:r w:rsidRPr="003D4888">
        <w:rPr>
          <w:lang w:val="es-ES"/>
        </w:rPr>
        <w:t>.</w:t>
      </w:r>
    </w:p>
    <w:p w14:paraId="1AB2BBDE" w14:textId="77777777" w:rsidR="00472C05" w:rsidRPr="003D4888" w:rsidRDefault="00472C05" w:rsidP="00EF41EE">
      <w:pPr>
        <w:pStyle w:val="NORMAL12"/>
        <w:rPr>
          <w:lang w:val="es-ES"/>
        </w:rPr>
      </w:pPr>
      <w:r w:rsidRPr="003D4888">
        <w:rPr>
          <w:lang w:val="es-ES"/>
        </w:rPr>
        <w:t>En cuanto a los áridos finos deben cumplir:</w:t>
      </w:r>
    </w:p>
    <w:p w14:paraId="55DDED6B" w14:textId="77777777" w:rsidR="00472C05" w:rsidRPr="003D4888" w:rsidRDefault="00472C05" w:rsidP="00E01981">
      <w:pPr>
        <w:pStyle w:val="NORMAL12"/>
        <w:numPr>
          <w:ilvl w:val="0"/>
          <w:numId w:val="105"/>
        </w:numPr>
        <w:rPr>
          <w:lang w:val="es-ES"/>
        </w:rPr>
      </w:pPr>
      <w:r w:rsidRPr="003D4888">
        <w:rPr>
          <w:lang w:val="es-ES"/>
        </w:rPr>
        <w:t>El material será no plástico (normas UNE 103103</w:t>
      </w:r>
      <w:r w:rsidR="00655C6E" w:rsidRPr="003D4888">
        <w:rPr>
          <w:lang w:val="es-ES"/>
        </w:rPr>
        <w:t>:1994</w:t>
      </w:r>
      <w:r w:rsidRPr="003D4888">
        <w:rPr>
          <w:lang w:val="es-ES"/>
        </w:rPr>
        <w:t xml:space="preserve"> y UNE 103104</w:t>
      </w:r>
      <w:r w:rsidR="00655C6E" w:rsidRPr="003D4888">
        <w:rPr>
          <w:lang w:val="es-ES"/>
        </w:rPr>
        <w:t>:1993</w:t>
      </w:r>
      <w:r w:rsidRPr="003D4888">
        <w:rPr>
          <w:lang w:val="es-ES"/>
        </w:rPr>
        <w:t>).</w:t>
      </w:r>
    </w:p>
    <w:p w14:paraId="3DE9FD6F" w14:textId="77777777" w:rsidR="00472C05" w:rsidRPr="003D4888" w:rsidRDefault="00472C05" w:rsidP="00E01981">
      <w:pPr>
        <w:pStyle w:val="NORMAL12"/>
        <w:numPr>
          <w:ilvl w:val="0"/>
          <w:numId w:val="105"/>
        </w:numPr>
        <w:rPr>
          <w:lang w:val="es-ES"/>
        </w:rPr>
      </w:pPr>
      <w:r w:rsidRPr="003D4888">
        <w:rPr>
          <w:lang w:val="es-ES"/>
        </w:rPr>
        <w:t>El equivalente de arena (SE4) par</w:t>
      </w:r>
      <w:r w:rsidR="00EF41EE" w:rsidRPr="003D4888">
        <w:rPr>
          <w:lang w:val="es-ES"/>
        </w:rPr>
        <w:t>a la facción 0/4 será mayor de cuarenta (40)</w:t>
      </w:r>
      <w:r w:rsidRPr="003D4888">
        <w:rPr>
          <w:lang w:val="es-ES"/>
        </w:rPr>
        <w:t>.</w:t>
      </w:r>
    </w:p>
    <w:p w14:paraId="54AC63D0" w14:textId="77777777" w:rsidR="00472C05" w:rsidRPr="003D4888" w:rsidRDefault="00472C05" w:rsidP="00444DA7">
      <w:pPr>
        <w:pStyle w:val="NORMAL12"/>
        <w:rPr>
          <w:lang w:val="es-ES"/>
        </w:rPr>
      </w:pPr>
      <w:r w:rsidRPr="003D4888">
        <w:rPr>
          <w:lang w:val="es-ES"/>
        </w:rPr>
        <w:t xml:space="preserve">Se utilizará en todos los casos zahorra tipo ZA 0/20. </w:t>
      </w:r>
    </w:p>
    <w:p w14:paraId="747E1041" w14:textId="77777777" w:rsidR="00472C05" w:rsidRPr="0052735E" w:rsidRDefault="00472C05" w:rsidP="000313DD">
      <w:pPr>
        <w:pStyle w:val="TITU2"/>
      </w:pPr>
      <w:bookmarkStart w:id="539" w:name="_Toc225834791"/>
      <w:bookmarkStart w:id="540" w:name="_Toc240349910"/>
      <w:bookmarkStart w:id="541" w:name="_Toc277523295"/>
      <w:bookmarkStart w:id="542" w:name="_Toc465929707"/>
      <w:bookmarkStart w:id="543" w:name="_Toc404292"/>
      <w:r w:rsidRPr="003D4888">
        <w:t>510.3.</w:t>
      </w:r>
      <w:r w:rsidR="006107F5">
        <w:t xml:space="preserve"> </w:t>
      </w:r>
      <w:r w:rsidRPr="003D4888">
        <w:tab/>
        <w:t>Ejecución</w:t>
      </w:r>
      <w:bookmarkEnd w:id="539"/>
      <w:bookmarkEnd w:id="540"/>
      <w:r w:rsidRPr="003D4888">
        <w:t xml:space="preserve"> de las obras</w:t>
      </w:r>
      <w:bookmarkEnd w:id="541"/>
      <w:bookmarkEnd w:id="542"/>
      <w:bookmarkEnd w:id="543"/>
    </w:p>
    <w:p w14:paraId="23428AD2" w14:textId="77777777" w:rsidR="00CC11EC" w:rsidRDefault="00CC11EC" w:rsidP="00444DA7">
      <w:pPr>
        <w:pStyle w:val="NORMAL12"/>
        <w:rPr>
          <w:i/>
          <w:u w:val="single"/>
          <w:lang w:val="es-ES"/>
        </w:rPr>
      </w:pPr>
      <w:r>
        <w:rPr>
          <w:i/>
          <w:u w:val="single"/>
          <w:lang w:val="es-ES"/>
        </w:rPr>
        <w:t>Estudio del material y obtención de la fórmula de trabajo</w:t>
      </w:r>
    </w:p>
    <w:p w14:paraId="4AD461D8" w14:textId="77777777" w:rsidR="00CC11EC" w:rsidRPr="00B0401C" w:rsidRDefault="00701812" w:rsidP="00444DA7">
      <w:pPr>
        <w:pStyle w:val="NORMAL12"/>
        <w:rPr>
          <w:lang w:val="es-ES"/>
        </w:rPr>
      </w:pPr>
      <w:r>
        <w:rPr>
          <w:lang w:val="es-ES"/>
        </w:rPr>
        <w:t xml:space="preserve">No se </w:t>
      </w:r>
      <w:proofErr w:type="gramStart"/>
      <w:r>
        <w:rPr>
          <w:lang w:val="es-ES"/>
        </w:rPr>
        <w:t>iniciaran</w:t>
      </w:r>
      <w:proofErr w:type="gramEnd"/>
      <w:r>
        <w:rPr>
          <w:lang w:val="es-ES"/>
        </w:rPr>
        <w:t xml:space="preserve"> las obras hasta que no se haya aprobado la fórmula de trabajo por parte de la Dirección de obra. </w:t>
      </w:r>
      <w:r w:rsidR="00CC11EC" w:rsidRPr="00B0401C">
        <w:rPr>
          <w:lang w:val="es-ES"/>
        </w:rPr>
        <w:t>La fórmula de trabajo señalará:</w:t>
      </w:r>
    </w:p>
    <w:p w14:paraId="50BA8737" w14:textId="77777777" w:rsidR="00CC11EC" w:rsidRPr="00B0401C" w:rsidRDefault="00CC11EC" w:rsidP="002C001B">
      <w:pPr>
        <w:pStyle w:val="NORMAL12"/>
        <w:numPr>
          <w:ilvl w:val="0"/>
          <w:numId w:val="97"/>
        </w:numPr>
        <w:rPr>
          <w:lang w:val="es-ES"/>
        </w:rPr>
      </w:pPr>
      <w:r w:rsidRPr="00B0401C">
        <w:rPr>
          <w:lang w:val="es-ES"/>
        </w:rPr>
        <w:t>Identificación y proporción (en seco de cada fracción en la alimentación)</w:t>
      </w:r>
    </w:p>
    <w:p w14:paraId="1EE22A77" w14:textId="77777777" w:rsidR="00CC11EC" w:rsidRPr="00B0401C" w:rsidRDefault="00CC11EC" w:rsidP="002C001B">
      <w:pPr>
        <w:pStyle w:val="NORMAL12"/>
        <w:numPr>
          <w:ilvl w:val="0"/>
          <w:numId w:val="97"/>
        </w:numPr>
        <w:rPr>
          <w:lang w:val="es-ES"/>
        </w:rPr>
      </w:pPr>
      <w:r w:rsidRPr="00B0401C">
        <w:rPr>
          <w:lang w:val="es-ES"/>
        </w:rPr>
        <w:t>La granulometría de la zahorra por los tamices establecidos en la definición del huso granulométrico</w:t>
      </w:r>
    </w:p>
    <w:p w14:paraId="6583D6C5" w14:textId="77777777" w:rsidR="00CC11EC" w:rsidRPr="00B0401C" w:rsidRDefault="00CC11EC" w:rsidP="002C001B">
      <w:pPr>
        <w:pStyle w:val="NORMAL12"/>
        <w:numPr>
          <w:ilvl w:val="0"/>
          <w:numId w:val="97"/>
        </w:numPr>
        <w:rPr>
          <w:lang w:val="es-ES"/>
        </w:rPr>
      </w:pPr>
      <w:r w:rsidRPr="00B0401C">
        <w:rPr>
          <w:lang w:val="es-ES"/>
        </w:rPr>
        <w:t>La humedad de compactación</w:t>
      </w:r>
    </w:p>
    <w:p w14:paraId="0DD31E9C" w14:textId="77777777" w:rsidR="00CC11EC" w:rsidRPr="00B0401C" w:rsidRDefault="00CC11EC" w:rsidP="002C001B">
      <w:pPr>
        <w:pStyle w:val="NORMAL12"/>
        <w:numPr>
          <w:ilvl w:val="0"/>
          <w:numId w:val="97"/>
        </w:numPr>
        <w:rPr>
          <w:lang w:val="es-ES"/>
        </w:rPr>
      </w:pPr>
      <w:proofErr w:type="gramStart"/>
      <w:r w:rsidRPr="00B0401C">
        <w:rPr>
          <w:lang w:val="es-ES"/>
        </w:rPr>
        <w:t>La densidad mínima a alcanzar</w:t>
      </w:r>
      <w:proofErr w:type="gramEnd"/>
    </w:p>
    <w:p w14:paraId="7749EE61" w14:textId="77777777" w:rsidR="00CC11EC" w:rsidRPr="00CC11EC" w:rsidRDefault="00CC11EC" w:rsidP="00CC11EC">
      <w:pPr>
        <w:pStyle w:val="NORMAL12"/>
        <w:rPr>
          <w:lang w:val="es-ES"/>
        </w:rPr>
      </w:pPr>
      <w:r w:rsidRPr="00B0401C">
        <w:rPr>
          <w:lang w:val="es-ES"/>
        </w:rPr>
        <w:t xml:space="preserve">Si la marcha de las obras así lo aconseja, el </w:t>
      </w:r>
      <w:proofErr w:type="gramStart"/>
      <w:r w:rsidRPr="00B0401C">
        <w:rPr>
          <w:lang w:val="es-ES"/>
        </w:rPr>
        <w:t>Director</w:t>
      </w:r>
      <w:proofErr w:type="gramEnd"/>
      <w:r w:rsidRPr="00B0401C">
        <w:rPr>
          <w:lang w:val="es-ES"/>
        </w:rPr>
        <w:t xml:space="preserve"> de las Obras podrá exigir la modificación de la fórmula de trabajo.</w:t>
      </w:r>
    </w:p>
    <w:p w14:paraId="6A4B09C7" w14:textId="77777777" w:rsidR="00472C05" w:rsidRPr="0052735E" w:rsidRDefault="00472C05" w:rsidP="00444DA7">
      <w:pPr>
        <w:pStyle w:val="NORMAL12"/>
        <w:rPr>
          <w:i/>
          <w:u w:val="single"/>
          <w:lang w:val="es-ES"/>
        </w:rPr>
      </w:pPr>
      <w:r w:rsidRPr="0052735E">
        <w:rPr>
          <w:i/>
          <w:u w:val="single"/>
          <w:lang w:val="es-ES"/>
        </w:rPr>
        <w:t>Preparación de la superficie existente</w:t>
      </w:r>
    </w:p>
    <w:p w14:paraId="5BC311F3" w14:textId="77777777" w:rsidR="00472C05" w:rsidRPr="0052735E" w:rsidRDefault="00472C05" w:rsidP="00444DA7">
      <w:pPr>
        <w:pStyle w:val="NORMAL12"/>
        <w:rPr>
          <w:lang w:val="es-ES"/>
        </w:rPr>
      </w:pPr>
      <w:r w:rsidRPr="0052735E">
        <w:rPr>
          <w:lang w:val="es-ES"/>
        </w:rPr>
        <w:t xml:space="preserve">La zahorra no se extenderá hasta que se haya comprobado que la superficie sobre la que ha de asentarse tiene la terminación debida, las rasantes indicadas y la compactación adecuada. </w:t>
      </w:r>
    </w:p>
    <w:p w14:paraId="65947E60" w14:textId="77777777" w:rsidR="00472C05" w:rsidRDefault="00472C05" w:rsidP="00444DA7">
      <w:pPr>
        <w:pStyle w:val="NORMAL12"/>
        <w:rPr>
          <w:lang w:val="es-ES"/>
        </w:rPr>
      </w:pPr>
      <w:r w:rsidRPr="0052735E">
        <w:rPr>
          <w:lang w:val="es-ES"/>
        </w:rPr>
        <w:t>Si en dichas superficies existen irregularidades que excedan de las mencionadas tolerancias, se corregirán.</w:t>
      </w:r>
    </w:p>
    <w:p w14:paraId="0CC126AF" w14:textId="77777777" w:rsidR="002C001B" w:rsidRDefault="002C001B" w:rsidP="00444DA7">
      <w:pPr>
        <w:pStyle w:val="NORMAL12"/>
        <w:rPr>
          <w:i/>
          <w:u w:val="single"/>
          <w:lang w:val="es-ES"/>
        </w:rPr>
      </w:pPr>
    </w:p>
    <w:p w14:paraId="68F5BA13" w14:textId="77777777" w:rsidR="00050087" w:rsidRDefault="00050087" w:rsidP="00444DA7">
      <w:pPr>
        <w:pStyle w:val="NORMAL12"/>
        <w:rPr>
          <w:i/>
          <w:u w:val="single"/>
          <w:lang w:val="es-ES"/>
        </w:rPr>
      </w:pPr>
    </w:p>
    <w:p w14:paraId="35F05514" w14:textId="77777777" w:rsidR="005B4A2C" w:rsidRPr="0052735E" w:rsidRDefault="005B4A2C" w:rsidP="00444DA7">
      <w:pPr>
        <w:pStyle w:val="NORMAL12"/>
        <w:rPr>
          <w:i/>
          <w:u w:val="single"/>
          <w:lang w:val="es-ES"/>
        </w:rPr>
      </w:pPr>
      <w:r w:rsidRPr="0052735E">
        <w:rPr>
          <w:i/>
          <w:u w:val="single"/>
          <w:lang w:val="es-ES"/>
        </w:rPr>
        <w:lastRenderedPageBreak/>
        <w:t>Central de fabricación</w:t>
      </w:r>
    </w:p>
    <w:p w14:paraId="5FFCA280" w14:textId="77777777" w:rsidR="005B4A2C" w:rsidRDefault="005B4A2C" w:rsidP="00444DA7">
      <w:pPr>
        <w:pStyle w:val="NORMAL12"/>
        <w:rPr>
          <w:lang w:val="es-ES"/>
        </w:rPr>
      </w:pPr>
      <w:r w:rsidRPr="0052735E">
        <w:rPr>
          <w:lang w:val="es-ES"/>
        </w:rPr>
        <w:t>En cualquier caso, la instalación deberá permitir dosificar por separado las distintas fracciones de árido y el agua en las proporciones y con las tolerancias fijadas en la fórmula de trabajo. El número mínimo de fracciones para las zahorras artificiales será de dos (2).</w:t>
      </w:r>
    </w:p>
    <w:p w14:paraId="79F2F837" w14:textId="77777777" w:rsidR="00AF4FBD" w:rsidRPr="0052735E" w:rsidRDefault="00AF4FBD" w:rsidP="00444DA7">
      <w:pPr>
        <w:pStyle w:val="NORMAL12"/>
        <w:rPr>
          <w:lang w:val="es-ES"/>
        </w:rPr>
      </w:pPr>
      <w:r w:rsidRPr="00B0401C">
        <w:rPr>
          <w:lang w:val="es-ES"/>
        </w:rPr>
        <w:t>El volumen mínimo de acopios deber ser como mínimo</w:t>
      </w:r>
      <w:r w:rsidR="00B0401C" w:rsidRPr="00B0401C">
        <w:rPr>
          <w:lang w:val="es-ES"/>
        </w:rPr>
        <w:t xml:space="preserve"> lo que se pueda poner en obra durante al menos tres días.</w:t>
      </w:r>
    </w:p>
    <w:p w14:paraId="79294F83" w14:textId="77777777" w:rsidR="005B4A2C" w:rsidRPr="0052735E" w:rsidRDefault="005B4A2C" w:rsidP="00444DA7">
      <w:pPr>
        <w:pStyle w:val="NORMAL12"/>
        <w:rPr>
          <w:lang w:val="es-ES"/>
        </w:rPr>
      </w:pPr>
      <w:r w:rsidRPr="0052735E">
        <w:rPr>
          <w:lang w:val="es-ES"/>
        </w:rPr>
        <w:t>Las tolvas para los áridos deberán tener paredes resistentes y estancas, bocas de anchura suficiente para que su alimentación se efectúe correctamente, provistas de una rejilla que permita limitar el tamaño máximo, así como de un rebosadero que evite que un exceso de contenido afecte al funcionamiento del sistema de clasificación. Se dispondrán con una separación suficiente para evitar contaminaciones entre ellas. Estas tolvas deberán, asimismo, estar provistas a su salida de dispositivos ajustables de dosificación.</w:t>
      </w:r>
    </w:p>
    <w:p w14:paraId="40DC4668" w14:textId="77777777" w:rsidR="005B4A2C" w:rsidRPr="0052735E" w:rsidRDefault="005B4A2C" w:rsidP="00444DA7">
      <w:pPr>
        <w:pStyle w:val="NORMAL12"/>
        <w:rPr>
          <w:lang w:val="es-ES"/>
        </w:rPr>
      </w:pPr>
      <w:r w:rsidRPr="0052735E">
        <w:rPr>
          <w:lang w:val="es-ES"/>
        </w:rPr>
        <w:t xml:space="preserve">Los sistemas de dosificación de los materiales podrán ser volumétricos; no obstante, el </w:t>
      </w:r>
      <w:proofErr w:type="gramStart"/>
      <w:r w:rsidRPr="0052735E">
        <w:rPr>
          <w:lang w:val="es-ES"/>
        </w:rPr>
        <w:t>Director</w:t>
      </w:r>
      <w:proofErr w:type="gramEnd"/>
      <w:r w:rsidRPr="0052735E">
        <w:rPr>
          <w:lang w:val="es-ES"/>
        </w:rPr>
        <w:t xml:space="preserve"> de las Obras, podrá establecer que sean ponderales. </w:t>
      </w:r>
    </w:p>
    <w:p w14:paraId="5D85DA52" w14:textId="77777777" w:rsidR="005B4A2C" w:rsidRDefault="005B4A2C" w:rsidP="00444DA7">
      <w:pPr>
        <w:pStyle w:val="NORMAL12"/>
        <w:rPr>
          <w:lang w:val="es-ES"/>
        </w:rPr>
      </w:pPr>
      <w:r w:rsidRPr="0052735E">
        <w:rPr>
          <w:lang w:val="es-ES"/>
        </w:rPr>
        <w:t>Si se utilizan centrales de fabricación con dosificadores ponderales, éstos deberán ser independientes; al menos uno (1) para cada una de las fracciones del árido. La precisión del dosificador será superior al dos por ciento (± 2%).</w:t>
      </w:r>
    </w:p>
    <w:p w14:paraId="7315741F" w14:textId="77777777" w:rsidR="00AF4FBD" w:rsidRDefault="00AF4FBD" w:rsidP="00444DA7">
      <w:pPr>
        <w:pStyle w:val="NORMAL12"/>
        <w:rPr>
          <w:lang w:val="es-ES"/>
        </w:rPr>
      </w:pPr>
      <w:r w:rsidRPr="00B0401C">
        <w:rPr>
          <w:lang w:val="es-ES"/>
        </w:rPr>
        <w:t>El tiempo mínimo de amasado no deber inferior en ningún caso a treinta segundos (&lt; 30).</w:t>
      </w:r>
    </w:p>
    <w:p w14:paraId="1914BE87" w14:textId="77777777" w:rsidR="00472C05" w:rsidRPr="0052735E" w:rsidRDefault="00472C05" w:rsidP="00444DA7">
      <w:pPr>
        <w:pStyle w:val="NORMAL12"/>
        <w:rPr>
          <w:i/>
          <w:u w:val="single"/>
          <w:lang w:val="es-ES"/>
        </w:rPr>
      </w:pPr>
      <w:r w:rsidRPr="0052735E">
        <w:rPr>
          <w:i/>
          <w:u w:val="single"/>
          <w:lang w:val="es-ES"/>
        </w:rPr>
        <w:t>Extensión de tongadas</w:t>
      </w:r>
    </w:p>
    <w:p w14:paraId="4BDDFEDC" w14:textId="77777777" w:rsidR="00472C05" w:rsidRPr="0052735E" w:rsidRDefault="00472C05" w:rsidP="00444DA7">
      <w:pPr>
        <w:pStyle w:val="NORMAL12"/>
        <w:rPr>
          <w:lang w:val="es-ES"/>
        </w:rPr>
      </w:pPr>
      <w:r w:rsidRPr="0052735E">
        <w:rPr>
          <w:lang w:val="es-ES"/>
        </w:rPr>
        <w:t xml:space="preserve">Una vez comprobada la superficie de asiento de la tongada, se procederá a la extensión de ésta. Los materiales previamente mezclados serán extendidos, tomando las precauciones necesarias para evitar su segregación o contaminación, en tongadas de espesor uniforme, para que, con los medios disponibles, se obtenga en todo el espesor el grado de compactación exigido. </w:t>
      </w:r>
    </w:p>
    <w:p w14:paraId="1E871225" w14:textId="77777777" w:rsidR="00472C05" w:rsidRPr="0052735E" w:rsidRDefault="00472C05" w:rsidP="00444DA7">
      <w:pPr>
        <w:pStyle w:val="NORMAL12"/>
        <w:rPr>
          <w:lang w:val="es-ES"/>
        </w:rPr>
      </w:pPr>
      <w:r w:rsidRPr="0052735E">
        <w:rPr>
          <w:lang w:val="es-ES"/>
        </w:rPr>
        <w:t>En el caso de las ampliaciones de carril se extenderán tongadas de 25 cm en las que se comprobará el grado de compactación exigido.</w:t>
      </w:r>
    </w:p>
    <w:p w14:paraId="3ECFCF36" w14:textId="77777777" w:rsidR="00472C05" w:rsidRPr="0052735E" w:rsidRDefault="00472C05" w:rsidP="00444DA7">
      <w:pPr>
        <w:pStyle w:val="NORMAL12"/>
        <w:rPr>
          <w:lang w:val="es-ES"/>
        </w:rPr>
      </w:pPr>
      <w:r w:rsidRPr="0052735E">
        <w:rPr>
          <w:lang w:val="es-ES"/>
        </w:rPr>
        <w:t>En el caso de que sea preciso añadir agua, esta operación se efectuará de forma que la humectación de los materiales sea uniforme.</w:t>
      </w:r>
    </w:p>
    <w:p w14:paraId="454D262E" w14:textId="77777777" w:rsidR="00472C05" w:rsidRPr="0052735E" w:rsidRDefault="00472C05" w:rsidP="00444DA7">
      <w:pPr>
        <w:pStyle w:val="NORMAL12"/>
        <w:rPr>
          <w:lang w:val="es-ES"/>
        </w:rPr>
      </w:pPr>
      <w:r w:rsidRPr="0052735E">
        <w:rPr>
          <w:lang w:val="es-ES"/>
        </w:rPr>
        <w:t>Todas las operaciones de aportación de agua deberán tener lugar antes de iniciar la compactación. Después, la única admisible será la destinada a lograr, en superficie, la humedad necesaria para la ejecución de la tongada siguiente.</w:t>
      </w:r>
    </w:p>
    <w:p w14:paraId="3BBE8B34" w14:textId="77777777" w:rsidR="00472C05" w:rsidRPr="0052735E" w:rsidRDefault="00472C05" w:rsidP="00444DA7">
      <w:pPr>
        <w:pStyle w:val="NORMAL12"/>
        <w:rPr>
          <w:i/>
          <w:u w:val="single"/>
          <w:lang w:val="es-ES"/>
        </w:rPr>
      </w:pPr>
      <w:r w:rsidRPr="0052735E">
        <w:rPr>
          <w:i/>
          <w:u w:val="single"/>
          <w:lang w:val="es-ES"/>
        </w:rPr>
        <w:t>Compactación de la tongada</w:t>
      </w:r>
    </w:p>
    <w:p w14:paraId="17EF113A" w14:textId="77777777" w:rsidR="00472C05" w:rsidRPr="0052735E" w:rsidRDefault="00472C05" w:rsidP="00444DA7">
      <w:pPr>
        <w:pStyle w:val="NORMAL12"/>
        <w:rPr>
          <w:lang w:val="es-ES"/>
        </w:rPr>
      </w:pPr>
      <w:r w:rsidRPr="0052735E">
        <w:rPr>
          <w:lang w:val="es-ES"/>
        </w:rPr>
        <w:t xml:space="preserve">Conseguida la humectación más conveniente, se procederá a la compactación de la zahorra, la cual se continuará hasta que se alcance una densidad igual, como mínimo, al 98 % de la obtenida en el ensayo </w:t>
      </w:r>
      <w:proofErr w:type="spellStart"/>
      <w:r w:rsidRPr="0052735E">
        <w:rPr>
          <w:lang w:val="es-ES"/>
        </w:rPr>
        <w:t>Próctor</w:t>
      </w:r>
      <w:proofErr w:type="spellEnd"/>
      <w:r w:rsidRPr="0052735E">
        <w:rPr>
          <w:lang w:val="es-ES"/>
        </w:rPr>
        <w:t xml:space="preserve"> </w:t>
      </w:r>
    </w:p>
    <w:p w14:paraId="49748E8C" w14:textId="77777777" w:rsidR="00472C05" w:rsidRPr="0052735E" w:rsidRDefault="00472C05" w:rsidP="00444DA7">
      <w:pPr>
        <w:pStyle w:val="NORMAL12"/>
        <w:rPr>
          <w:lang w:val="es-ES"/>
        </w:rPr>
      </w:pPr>
      <w:r w:rsidRPr="0052735E">
        <w:rPr>
          <w:lang w:val="es-ES"/>
        </w:rPr>
        <w:t>No se extenderá ninguna tongada en tanto no haya sido realizada la nivelación y comprobación del grado de compactación de la precedente.</w:t>
      </w:r>
    </w:p>
    <w:p w14:paraId="178D7EB5" w14:textId="77777777" w:rsidR="00472C05" w:rsidRPr="0052735E" w:rsidRDefault="00472C05" w:rsidP="000313DD">
      <w:pPr>
        <w:pStyle w:val="TITU2"/>
      </w:pPr>
      <w:bookmarkStart w:id="544" w:name="_Toc465929708"/>
      <w:bookmarkStart w:id="545" w:name="_Toc404293"/>
      <w:bookmarkStart w:id="546" w:name="_Toc225834794"/>
      <w:bookmarkStart w:id="547" w:name="_Toc240349913"/>
      <w:bookmarkStart w:id="548" w:name="_Toc277523297"/>
      <w:r w:rsidRPr="0052735E">
        <w:t>510.4.</w:t>
      </w:r>
      <w:r w:rsidR="006107F5">
        <w:t xml:space="preserve"> </w:t>
      </w:r>
      <w:r w:rsidRPr="0052735E">
        <w:tab/>
        <w:t>Recepción</w:t>
      </w:r>
      <w:bookmarkEnd w:id="544"/>
      <w:bookmarkEnd w:id="545"/>
    </w:p>
    <w:p w14:paraId="2A42A42C" w14:textId="77777777" w:rsidR="00472C05" w:rsidRPr="0052735E" w:rsidRDefault="00472C05" w:rsidP="00444DA7">
      <w:pPr>
        <w:pStyle w:val="NORMAL12"/>
        <w:rPr>
          <w:lang w:val="es-ES"/>
        </w:rPr>
      </w:pPr>
      <w:r w:rsidRPr="0052735E">
        <w:rPr>
          <w:lang w:val="es-ES"/>
        </w:rPr>
        <w:t>Se llevará a cabo la recepción de la unidad cuando se cumpla:</w:t>
      </w:r>
    </w:p>
    <w:p w14:paraId="59A0EB39" w14:textId="77777777" w:rsidR="00472C05" w:rsidRPr="0052735E" w:rsidRDefault="00472C05" w:rsidP="00E01981">
      <w:pPr>
        <w:pStyle w:val="NORMAL12"/>
        <w:numPr>
          <w:ilvl w:val="0"/>
          <w:numId w:val="106"/>
        </w:numPr>
        <w:rPr>
          <w:lang w:val="es-ES"/>
        </w:rPr>
      </w:pPr>
      <w:r w:rsidRPr="0052735E">
        <w:rPr>
          <w:lang w:val="es-ES"/>
        </w:rPr>
        <w:t>Los espesores de la capa de zahorra son los establecidos en los planos.</w:t>
      </w:r>
    </w:p>
    <w:p w14:paraId="0D6CCF3D" w14:textId="77777777" w:rsidR="00472C05" w:rsidRPr="0052735E" w:rsidRDefault="00472C05" w:rsidP="00E01981">
      <w:pPr>
        <w:pStyle w:val="NORMAL12"/>
        <w:numPr>
          <w:ilvl w:val="0"/>
          <w:numId w:val="106"/>
        </w:numPr>
        <w:rPr>
          <w:lang w:val="es-ES"/>
        </w:rPr>
      </w:pPr>
      <w:r w:rsidRPr="0052735E">
        <w:rPr>
          <w:lang w:val="es-ES"/>
        </w:rPr>
        <w:t xml:space="preserve">Se ha procedido a la compactación, y se ha alcanzado como mínimo la densidad del 98% obtenida en el ensayo </w:t>
      </w:r>
      <w:proofErr w:type="spellStart"/>
      <w:r w:rsidRPr="0052735E">
        <w:rPr>
          <w:lang w:val="es-ES"/>
        </w:rPr>
        <w:t>Próctor</w:t>
      </w:r>
      <w:proofErr w:type="spellEnd"/>
      <w:r w:rsidRPr="0052735E">
        <w:rPr>
          <w:lang w:val="es-ES"/>
        </w:rPr>
        <w:t>.</w:t>
      </w:r>
    </w:p>
    <w:p w14:paraId="22570F5C" w14:textId="77777777" w:rsidR="005B4A2C" w:rsidRPr="0052735E" w:rsidRDefault="005B4A2C" w:rsidP="00444DA7">
      <w:pPr>
        <w:pStyle w:val="NORMAL12"/>
        <w:rPr>
          <w:lang w:val="es-ES"/>
        </w:rPr>
      </w:pPr>
      <w:r w:rsidRPr="0052735E">
        <w:rPr>
          <w:lang w:val="es-ES"/>
        </w:rPr>
        <w:t xml:space="preserve">Los parámetros de aceptación final de la Unidad se atienen a las especificaciones del </w:t>
      </w:r>
      <w:proofErr w:type="spellStart"/>
      <w:r w:rsidRPr="0052735E">
        <w:rPr>
          <w:lang w:val="es-ES"/>
        </w:rPr>
        <w:t>aptdo</w:t>
      </w:r>
      <w:proofErr w:type="spellEnd"/>
      <w:r w:rsidRPr="0052735E">
        <w:rPr>
          <w:lang w:val="es-ES"/>
        </w:rPr>
        <w:t xml:space="preserve"> 510.7 del PG-3, según se resume en el cuadro siguiente: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882"/>
        <w:gridCol w:w="2977"/>
      </w:tblGrid>
      <w:tr w:rsidR="005B4A2C" w:rsidRPr="002C001B" w14:paraId="3A50858F" w14:textId="77777777" w:rsidTr="002C001B">
        <w:trPr>
          <w:tblHeader/>
          <w:jc w:val="center"/>
        </w:trPr>
        <w:tc>
          <w:tcPr>
            <w:tcW w:w="5882" w:type="dxa"/>
            <w:shd w:val="clear" w:color="auto" w:fill="D9D9D9" w:themeFill="background1" w:themeFillShade="D9"/>
            <w:vAlign w:val="center"/>
          </w:tcPr>
          <w:p w14:paraId="00F4F8BE" w14:textId="77777777" w:rsidR="005B4A2C" w:rsidRPr="002C001B" w:rsidRDefault="005B4A2C" w:rsidP="00EC44F4">
            <w:pPr>
              <w:pStyle w:val="LCATabla"/>
              <w:jc w:val="center"/>
              <w:rPr>
                <w:rFonts w:ascii="Arial" w:hAnsi="Arial" w:cs="Arial"/>
                <w:b/>
                <w:bCs/>
                <w:sz w:val="20"/>
              </w:rPr>
            </w:pPr>
            <w:r w:rsidRPr="002C001B">
              <w:rPr>
                <w:rFonts w:ascii="Arial" w:hAnsi="Arial" w:cs="Arial"/>
                <w:b/>
                <w:bCs/>
                <w:sz w:val="20"/>
              </w:rPr>
              <w:t>Parámetros de aceptación final</w:t>
            </w:r>
          </w:p>
        </w:tc>
        <w:tc>
          <w:tcPr>
            <w:tcW w:w="2977" w:type="dxa"/>
            <w:shd w:val="clear" w:color="auto" w:fill="D9D9D9" w:themeFill="background1" w:themeFillShade="D9"/>
            <w:vAlign w:val="center"/>
          </w:tcPr>
          <w:p w14:paraId="50F74CF7" w14:textId="77777777" w:rsidR="005B4A2C" w:rsidRPr="002C001B" w:rsidRDefault="005B4A2C" w:rsidP="00EC44F4">
            <w:pPr>
              <w:pStyle w:val="LCATabla"/>
              <w:jc w:val="center"/>
              <w:rPr>
                <w:rFonts w:ascii="Arial" w:hAnsi="Arial" w:cs="Arial"/>
                <w:b/>
                <w:bCs/>
                <w:sz w:val="20"/>
              </w:rPr>
            </w:pPr>
            <w:r w:rsidRPr="002C001B">
              <w:rPr>
                <w:rFonts w:ascii="Arial" w:hAnsi="Arial" w:cs="Arial"/>
                <w:b/>
                <w:bCs/>
                <w:sz w:val="20"/>
              </w:rPr>
              <w:t>Normas de aplicación</w:t>
            </w:r>
          </w:p>
        </w:tc>
      </w:tr>
      <w:tr w:rsidR="005B4A2C" w:rsidRPr="002C001B" w14:paraId="5BD7152A" w14:textId="77777777" w:rsidTr="002C001B">
        <w:trPr>
          <w:trHeight w:val="540"/>
          <w:jc w:val="center"/>
        </w:trPr>
        <w:tc>
          <w:tcPr>
            <w:tcW w:w="5882" w:type="dxa"/>
          </w:tcPr>
          <w:p w14:paraId="3E209E7C" w14:textId="77777777" w:rsidR="005B4A2C" w:rsidRPr="002C001B" w:rsidRDefault="005B4A2C" w:rsidP="00EC44F4">
            <w:pPr>
              <w:pStyle w:val="LCATabla"/>
              <w:rPr>
                <w:rFonts w:ascii="Arial" w:hAnsi="Arial" w:cs="Arial"/>
                <w:sz w:val="20"/>
              </w:rPr>
            </w:pPr>
            <w:r w:rsidRPr="002C001B">
              <w:rPr>
                <w:rFonts w:ascii="Arial" w:hAnsi="Arial" w:cs="Arial"/>
                <w:sz w:val="20"/>
              </w:rPr>
              <w:t>Densidad.</w:t>
            </w:r>
          </w:p>
        </w:tc>
        <w:tc>
          <w:tcPr>
            <w:tcW w:w="2977" w:type="dxa"/>
          </w:tcPr>
          <w:p w14:paraId="046CC53B" w14:textId="77777777" w:rsidR="005B4A2C" w:rsidRPr="002C001B" w:rsidRDefault="005B4A2C" w:rsidP="00EC44F4">
            <w:pPr>
              <w:pStyle w:val="LCATabla"/>
              <w:rPr>
                <w:rFonts w:ascii="Arial" w:hAnsi="Arial" w:cs="Arial"/>
                <w:sz w:val="20"/>
              </w:rPr>
            </w:pPr>
            <w:r w:rsidRPr="002C001B">
              <w:rPr>
                <w:rFonts w:ascii="Arial" w:hAnsi="Arial" w:cs="Arial"/>
                <w:sz w:val="20"/>
              </w:rPr>
              <w:t>Aptdo. 510.7.1 del PG-3</w:t>
            </w:r>
          </w:p>
        </w:tc>
      </w:tr>
      <w:tr w:rsidR="005B4A2C" w:rsidRPr="002C001B" w14:paraId="73659CE6" w14:textId="77777777" w:rsidTr="002C001B">
        <w:trPr>
          <w:trHeight w:val="540"/>
          <w:jc w:val="center"/>
        </w:trPr>
        <w:tc>
          <w:tcPr>
            <w:tcW w:w="5882" w:type="dxa"/>
          </w:tcPr>
          <w:p w14:paraId="6553D6F4" w14:textId="77777777" w:rsidR="005B4A2C" w:rsidRPr="002C001B" w:rsidRDefault="005B4A2C" w:rsidP="00EC44F4">
            <w:pPr>
              <w:pStyle w:val="LCATabla"/>
              <w:keepNext/>
              <w:keepLines/>
              <w:rPr>
                <w:rFonts w:ascii="Arial" w:hAnsi="Arial" w:cs="Arial"/>
                <w:sz w:val="20"/>
              </w:rPr>
            </w:pPr>
            <w:r w:rsidRPr="002C001B">
              <w:rPr>
                <w:rFonts w:ascii="Arial" w:hAnsi="Arial" w:cs="Arial"/>
                <w:sz w:val="20"/>
              </w:rPr>
              <w:t>Capacidad de soporte</w:t>
            </w:r>
          </w:p>
        </w:tc>
        <w:tc>
          <w:tcPr>
            <w:tcW w:w="2977" w:type="dxa"/>
          </w:tcPr>
          <w:p w14:paraId="5C6A41A7" w14:textId="77777777" w:rsidR="005B4A2C" w:rsidRPr="002C001B" w:rsidRDefault="005B4A2C" w:rsidP="00EC44F4">
            <w:pPr>
              <w:pStyle w:val="LCATabla"/>
              <w:keepNext/>
              <w:keepLines/>
              <w:rPr>
                <w:rFonts w:ascii="Arial" w:hAnsi="Arial" w:cs="Arial"/>
                <w:sz w:val="20"/>
              </w:rPr>
            </w:pPr>
            <w:r w:rsidRPr="002C001B">
              <w:rPr>
                <w:rFonts w:ascii="Arial" w:hAnsi="Arial" w:cs="Arial"/>
                <w:sz w:val="20"/>
              </w:rPr>
              <w:t>Aptdo. 510.7.2 del PG-3</w:t>
            </w:r>
          </w:p>
        </w:tc>
      </w:tr>
      <w:tr w:rsidR="005B4A2C" w:rsidRPr="002C001B" w14:paraId="514663F8" w14:textId="77777777" w:rsidTr="002C001B">
        <w:trPr>
          <w:trHeight w:val="420"/>
          <w:jc w:val="center"/>
        </w:trPr>
        <w:tc>
          <w:tcPr>
            <w:tcW w:w="5882" w:type="dxa"/>
          </w:tcPr>
          <w:p w14:paraId="1C411FB7" w14:textId="77777777" w:rsidR="005B4A2C" w:rsidRPr="002C001B" w:rsidRDefault="005B4A2C" w:rsidP="00EC44F4">
            <w:pPr>
              <w:pStyle w:val="LCATabla"/>
              <w:rPr>
                <w:rFonts w:ascii="Arial" w:hAnsi="Arial" w:cs="Arial"/>
                <w:sz w:val="20"/>
              </w:rPr>
            </w:pPr>
            <w:r w:rsidRPr="002C001B">
              <w:rPr>
                <w:rFonts w:ascii="Arial" w:hAnsi="Arial" w:cs="Arial"/>
                <w:sz w:val="20"/>
              </w:rPr>
              <w:t>Rasante, espesor y anchura.</w:t>
            </w:r>
          </w:p>
        </w:tc>
        <w:tc>
          <w:tcPr>
            <w:tcW w:w="2977" w:type="dxa"/>
          </w:tcPr>
          <w:p w14:paraId="096A6236" w14:textId="77777777" w:rsidR="005B4A2C" w:rsidRPr="002C001B" w:rsidRDefault="005B4A2C" w:rsidP="00EC44F4">
            <w:pPr>
              <w:pStyle w:val="LCATabla"/>
              <w:rPr>
                <w:rFonts w:ascii="Arial" w:hAnsi="Arial" w:cs="Arial"/>
                <w:sz w:val="20"/>
              </w:rPr>
            </w:pPr>
            <w:r w:rsidRPr="002C001B">
              <w:rPr>
                <w:rFonts w:ascii="Arial" w:hAnsi="Arial" w:cs="Arial"/>
                <w:sz w:val="20"/>
              </w:rPr>
              <w:t>Aptdo. 510.7.3. del PG-3</w:t>
            </w:r>
          </w:p>
        </w:tc>
      </w:tr>
      <w:tr w:rsidR="005B4A2C" w:rsidRPr="002C001B" w14:paraId="2CD74207" w14:textId="77777777" w:rsidTr="002C001B">
        <w:trPr>
          <w:trHeight w:val="420"/>
          <w:jc w:val="center"/>
        </w:trPr>
        <w:tc>
          <w:tcPr>
            <w:tcW w:w="5882" w:type="dxa"/>
          </w:tcPr>
          <w:p w14:paraId="1475FD55" w14:textId="77777777" w:rsidR="005B4A2C" w:rsidRPr="002C001B" w:rsidRDefault="005B4A2C" w:rsidP="00EC44F4">
            <w:pPr>
              <w:pStyle w:val="LCATabla"/>
              <w:rPr>
                <w:rFonts w:ascii="Arial" w:hAnsi="Arial" w:cs="Arial"/>
                <w:sz w:val="20"/>
              </w:rPr>
            </w:pPr>
            <w:r w:rsidRPr="002C001B">
              <w:rPr>
                <w:rFonts w:ascii="Arial" w:hAnsi="Arial" w:cs="Arial"/>
                <w:sz w:val="20"/>
              </w:rPr>
              <w:t>Regularidad superficial</w:t>
            </w:r>
          </w:p>
        </w:tc>
        <w:tc>
          <w:tcPr>
            <w:tcW w:w="2977" w:type="dxa"/>
          </w:tcPr>
          <w:p w14:paraId="0D84705C" w14:textId="77777777" w:rsidR="005B4A2C" w:rsidRPr="002C001B" w:rsidRDefault="005B4A2C" w:rsidP="00EC44F4">
            <w:pPr>
              <w:pStyle w:val="LCATabla"/>
              <w:rPr>
                <w:rFonts w:ascii="Arial" w:hAnsi="Arial" w:cs="Arial"/>
                <w:sz w:val="20"/>
              </w:rPr>
            </w:pPr>
            <w:r w:rsidRPr="002C001B">
              <w:rPr>
                <w:rFonts w:ascii="Arial" w:hAnsi="Arial" w:cs="Arial"/>
                <w:sz w:val="20"/>
              </w:rPr>
              <w:t>Aptdo. 510.7.4. del PG-3</w:t>
            </w:r>
          </w:p>
        </w:tc>
      </w:tr>
    </w:tbl>
    <w:p w14:paraId="590CE0C1" w14:textId="77777777" w:rsidR="005B4A2C" w:rsidRPr="00E22AE3" w:rsidRDefault="005B4A2C" w:rsidP="00444DA7">
      <w:pPr>
        <w:pStyle w:val="Prrafodelista"/>
        <w:spacing w:before="120" w:after="120" w:line="360" w:lineRule="auto"/>
        <w:ind w:left="1571"/>
        <w:contextualSpacing/>
        <w:jc w:val="both"/>
        <w:rPr>
          <w:sz w:val="10"/>
          <w:szCs w:val="10"/>
        </w:rPr>
      </w:pPr>
    </w:p>
    <w:p w14:paraId="5E1740A0" w14:textId="77777777" w:rsidR="00472C05" w:rsidRPr="0052735E" w:rsidRDefault="00472C05" w:rsidP="00444DA7">
      <w:pPr>
        <w:pStyle w:val="NORMAL12"/>
        <w:rPr>
          <w:i/>
          <w:u w:val="single"/>
          <w:lang w:val="es-ES"/>
        </w:rPr>
      </w:pPr>
      <w:r w:rsidRPr="0052735E">
        <w:rPr>
          <w:lang w:val="es-ES"/>
        </w:rPr>
        <w:t xml:space="preserve"> </w:t>
      </w:r>
      <w:r w:rsidRPr="0052735E">
        <w:rPr>
          <w:i/>
          <w:u w:val="single"/>
          <w:lang w:val="es-ES"/>
        </w:rPr>
        <w:t>Criterios de aceptación o rechazo:</w:t>
      </w:r>
    </w:p>
    <w:p w14:paraId="3D172546" w14:textId="77777777" w:rsidR="00472C05" w:rsidRPr="0052735E" w:rsidRDefault="00472C05" w:rsidP="00E01981">
      <w:pPr>
        <w:pStyle w:val="NORMAL12"/>
        <w:numPr>
          <w:ilvl w:val="0"/>
          <w:numId w:val="107"/>
        </w:numPr>
        <w:rPr>
          <w:lang w:val="es-ES"/>
        </w:rPr>
      </w:pPr>
      <w:r w:rsidRPr="0052735E">
        <w:rPr>
          <w:lang w:val="es-ES"/>
        </w:rPr>
        <w:t>Si los espesores no son los establecidos en los planos, tanto por defecto como por exceso según las tolerancias admitidas, se lleva a cabo el levantamiento de la zona y se volverá a extender por cuenta del contratista.</w:t>
      </w:r>
    </w:p>
    <w:p w14:paraId="3BFDBE87" w14:textId="77777777" w:rsidR="00472C05" w:rsidRPr="00F02221" w:rsidRDefault="00472C05" w:rsidP="00E01981">
      <w:pPr>
        <w:pStyle w:val="NORMAL12"/>
        <w:numPr>
          <w:ilvl w:val="0"/>
          <w:numId w:val="107"/>
        </w:numPr>
        <w:rPr>
          <w:lang w:val="es-ES"/>
        </w:rPr>
      </w:pPr>
      <w:r w:rsidRPr="00F02221">
        <w:rPr>
          <w:lang w:val="es-ES"/>
        </w:rPr>
        <w:t xml:space="preserve">Si no se ha alcanzado la densidad mínima de compactación establecida según el ensayo </w:t>
      </w:r>
      <w:proofErr w:type="spellStart"/>
      <w:r w:rsidRPr="00F02221">
        <w:rPr>
          <w:lang w:val="es-ES"/>
        </w:rPr>
        <w:t>Próctor</w:t>
      </w:r>
      <w:proofErr w:type="spellEnd"/>
      <w:r w:rsidRPr="00F02221">
        <w:rPr>
          <w:lang w:val="es-ES"/>
        </w:rPr>
        <w:t>, se volverá a compactar por cuenta del contratista.</w:t>
      </w:r>
    </w:p>
    <w:p w14:paraId="1083218E" w14:textId="77777777" w:rsidR="00472C05" w:rsidRPr="00EB5246" w:rsidRDefault="006107F5" w:rsidP="000313DD">
      <w:pPr>
        <w:pStyle w:val="TITU2"/>
      </w:pPr>
      <w:bookmarkStart w:id="549" w:name="_Toc465929709"/>
      <w:bookmarkStart w:id="550" w:name="_Toc404294"/>
      <w:r>
        <w:lastRenderedPageBreak/>
        <w:t xml:space="preserve">510.5. </w:t>
      </w:r>
      <w:r w:rsidR="00472C05">
        <w:tab/>
      </w:r>
      <w:r w:rsidR="00472C05" w:rsidRPr="00EB5246">
        <w:t>Control de calidad</w:t>
      </w:r>
      <w:bookmarkEnd w:id="546"/>
      <w:bookmarkEnd w:id="547"/>
      <w:bookmarkEnd w:id="548"/>
      <w:bookmarkEnd w:id="549"/>
      <w:bookmarkEnd w:id="550"/>
    </w:p>
    <w:p w14:paraId="11AAF644" w14:textId="77777777" w:rsidR="00472C05" w:rsidRDefault="00701812" w:rsidP="0090638F">
      <w:pPr>
        <w:pStyle w:val="TITU3"/>
        <w:numPr>
          <w:ilvl w:val="0"/>
          <w:numId w:val="0"/>
        </w:numPr>
        <w:outlineLvl w:val="3"/>
      </w:pPr>
      <w:r>
        <w:t>510.5.2. Preparación de la superficie existente.</w:t>
      </w:r>
    </w:p>
    <w:p w14:paraId="66B65296" w14:textId="77777777" w:rsidR="00701812" w:rsidRDefault="00701812" w:rsidP="00F02221">
      <w:pPr>
        <w:pStyle w:val="NORMAL12"/>
        <w:rPr>
          <w:lang w:val="es-ES"/>
        </w:rPr>
      </w:pPr>
      <w:r>
        <w:rPr>
          <w:lang w:val="es-ES"/>
        </w:rPr>
        <w:t xml:space="preserve">La superficie sobre la que se apoya la zahorra debe estar convenientemente compactada, sin irregularidades, ni materiales sueltos, comprobando la capacidad de soporte de </w:t>
      </w:r>
      <w:proofErr w:type="gramStart"/>
      <w:r>
        <w:rPr>
          <w:lang w:val="es-ES"/>
        </w:rPr>
        <w:t>la misma</w:t>
      </w:r>
      <w:proofErr w:type="gramEnd"/>
      <w:r>
        <w:rPr>
          <w:lang w:val="es-ES"/>
        </w:rPr>
        <w:t xml:space="preserve"> según las condiciones establecidas para esa unidad. No se </w:t>
      </w:r>
      <w:r w:rsidR="00D93E76">
        <w:rPr>
          <w:lang w:val="es-ES"/>
        </w:rPr>
        <w:t>extenderá</w:t>
      </w:r>
      <w:r>
        <w:rPr>
          <w:lang w:val="es-ES"/>
        </w:rPr>
        <w:t xml:space="preserve"> la capa de zahorra hasta no tener la aprobación por parte del </w:t>
      </w:r>
      <w:proofErr w:type="gramStart"/>
      <w:r>
        <w:rPr>
          <w:lang w:val="es-ES"/>
        </w:rPr>
        <w:t>Director</w:t>
      </w:r>
      <w:proofErr w:type="gramEnd"/>
      <w:r>
        <w:rPr>
          <w:lang w:val="es-ES"/>
        </w:rPr>
        <w:t xml:space="preserve"> de Obra de la ejecución de la unidad de obra sobre la que se extiende. Igualmente indicará la forma de reparar las zonas deficientes.</w:t>
      </w:r>
    </w:p>
    <w:p w14:paraId="7B8B340F" w14:textId="77777777" w:rsidR="00701812" w:rsidRDefault="003B2C06" w:rsidP="0090638F">
      <w:pPr>
        <w:pStyle w:val="TITU3"/>
        <w:numPr>
          <w:ilvl w:val="0"/>
          <w:numId w:val="0"/>
        </w:numPr>
        <w:outlineLvl w:val="3"/>
      </w:pPr>
      <w:r>
        <w:t xml:space="preserve">510.5.3. </w:t>
      </w:r>
      <w:r w:rsidR="00701812">
        <w:t>Fabricación y procedencia del material</w:t>
      </w:r>
    </w:p>
    <w:p w14:paraId="26590F0C" w14:textId="77777777" w:rsidR="003B2C06" w:rsidRDefault="003B2C06" w:rsidP="003B2C06">
      <w:pPr>
        <w:pStyle w:val="NORMAL12"/>
        <w:rPr>
          <w:lang w:val="es-ES"/>
        </w:rPr>
      </w:pPr>
      <w:r>
        <w:rPr>
          <w:lang w:val="es-ES"/>
        </w:rPr>
        <w:t>Las fracciones de árido estarán acopiadas en cantidad sufi</w:t>
      </w:r>
      <w:r w:rsidR="00D93E76">
        <w:rPr>
          <w:lang w:val="es-ES"/>
        </w:rPr>
        <w:t>ci</w:t>
      </w:r>
      <w:r>
        <w:rPr>
          <w:lang w:val="es-ES"/>
        </w:rPr>
        <w:t>ente para garantizar el suministro sin interrupciones al menos durante una semana de trabajo según el plan de obra.</w:t>
      </w:r>
    </w:p>
    <w:p w14:paraId="41A312E8" w14:textId="77777777" w:rsidR="003B2C06" w:rsidRDefault="003B2C06" w:rsidP="003B2C06">
      <w:pPr>
        <w:pStyle w:val="NORMAL12"/>
        <w:rPr>
          <w:lang w:val="es-ES"/>
        </w:rPr>
      </w:pPr>
      <w:r>
        <w:rPr>
          <w:lang w:val="es-ES"/>
        </w:rPr>
        <w:t xml:space="preserve">La humectación de la zahorra se </w:t>
      </w:r>
      <w:r w:rsidR="00F83B62">
        <w:rPr>
          <w:lang w:val="es-ES"/>
        </w:rPr>
        <w:t>realizará</w:t>
      </w:r>
      <w:r>
        <w:rPr>
          <w:lang w:val="es-ES"/>
        </w:rPr>
        <w:t xml:space="preserve"> en la fase de fabricación, si esta se hace en central. En el caso de fabricación en obra el </w:t>
      </w:r>
      <w:proofErr w:type="gramStart"/>
      <w:r>
        <w:rPr>
          <w:lang w:val="es-ES"/>
        </w:rPr>
        <w:t>Director</w:t>
      </w:r>
      <w:proofErr w:type="gramEnd"/>
      <w:r>
        <w:rPr>
          <w:lang w:val="es-ES"/>
        </w:rPr>
        <w:t xml:space="preserve"> de obra determinará la forma de homogeneización y humectación, de tal forma que se garanticen las características del material.</w:t>
      </w:r>
    </w:p>
    <w:p w14:paraId="28191610" w14:textId="77777777" w:rsidR="00097BC8" w:rsidRDefault="00097BC8" w:rsidP="003B2C06">
      <w:pPr>
        <w:pStyle w:val="NORMAL12"/>
        <w:rPr>
          <w:lang w:val="es-ES"/>
        </w:rPr>
      </w:pPr>
      <w:r>
        <w:rPr>
          <w:lang w:val="es-ES"/>
        </w:rPr>
        <w:t>Los ensayos que se llevan a cabo son:</w:t>
      </w:r>
    </w:p>
    <w:tbl>
      <w:tblPr>
        <w:tblW w:w="5000" w:type="pct"/>
        <w:tblCellMar>
          <w:left w:w="70" w:type="dxa"/>
          <w:right w:w="70" w:type="dxa"/>
        </w:tblCellMar>
        <w:tblLook w:val="04A0" w:firstRow="1" w:lastRow="0" w:firstColumn="1" w:lastColumn="0" w:noHBand="0" w:noVBand="1"/>
      </w:tblPr>
      <w:tblGrid>
        <w:gridCol w:w="9920"/>
      </w:tblGrid>
      <w:tr w:rsidR="00097BC8" w:rsidRPr="00097BC8" w14:paraId="1E0B4091" w14:textId="77777777" w:rsidTr="00097BC8">
        <w:trPr>
          <w:trHeight w:val="510"/>
          <w:tblHeader/>
        </w:trPr>
        <w:tc>
          <w:tcPr>
            <w:tcW w:w="5000" w:type="pc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5703E19" w14:textId="77777777" w:rsidR="00097BC8" w:rsidRPr="00097BC8" w:rsidRDefault="00097BC8" w:rsidP="00524011">
            <w:pPr>
              <w:rPr>
                <w:rFonts w:ascii="Arial" w:hAnsi="Arial" w:cs="Arial"/>
                <w:b/>
                <w:bCs/>
                <w:sz w:val="18"/>
                <w:szCs w:val="18"/>
              </w:rPr>
            </w:pPr>
            <w:r w:rsidRPr="00097BC8">
              <w:rPr>
                <w:rFonts w:ascii="Arial" w:hAnsi="Arial" w:cs="Arial"/>
                <w:b/>
                <w:bCs/>
                <w:sz w:val="18"/>
                <w:szCs w:val="18"/>
              </w:rPr>
              <w:t xml:space="preserve">MATERIAL GRANULAR - ZAHORRA </w:t>
            </w:r>
          </w:p>
        </w:tc>
      </w:tr>
      <w:tr w:rsidR="00097BC8" w:rsidRPr="00097BC8" w14:paraId="39F7C914" w14:textId="77777777" w:rsidTr="00524011">
        <w:trPr>
          <w:trHeight w:val="600"/>
        </w:trPr>
        <w:tc>
          <w:tcPr>
            <w:tcW w:w="5000" w:type="pct"/>
            <w:tcBorders>
              <w:top w:val="nil"/>
              <w:left w:val="single" w:sz="4" w:space="0" w:color="auto"/>
              <w:bottom w:val="single" w:sz="4" w:space="0" w:color="auto"/>
              <w:right w:val="single" w:sz="4" w:space="0" w:color="auto"/>
            </w:tcBorders>
            <w:noWrap/>
            <w:vAlign w:val="center"/>
            <w:hideMark/>
          </w:tcPr>
          <w:p w14:paraId="30B8BB57" w14:textId="77777777" w:rsidR="00097BC8" w:rsidRPr="00097BC8" w:rsidRDefault="00097BC8" w:rsidP="00524011">
            <w:pPr>
              <w:rPr>
                <w:rFonts w:ascii="Arial" w:hAnsi="Arial" w:cs="Arial"/>
                <w:b/>
                <w:bCs/>
                <w:sz w:val="18"/>
                <w:szCs w:val="18"/>
              </w:rPr>
            </w:pPr>
            <w:r w:rsidRPr="00097BC8">
              <w:rPr>
                <w:rFonts w:ascii="Arial" w:hAnsi="Arial" w:cs="Arial"/>
                <w:b/>
                <w:bCs/>
                <w:i/>
                <w:sz w:val="18"/>
                <w:szCs w:val="18"/>
                <w:u w:val="single"/>
              </w:rPr>
              <w:t>Control de calidad del material</w:t>
            </w:r>
          </w:p>
        </w:tc>
      </w:tr>
      <w:tr w:rsidR="00097BC8" w:rsidRPr="00097BC8" w14:paraId="34733E0D"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71E9E140" w14:textId="77777777" w:rsidR="00097BC8" w:rsidRPr="00097BC8" w:rsidRDefault="00097BC8" w:rsidP="00524011">
            <w:pPr>
              <w:rPr>
                <w:rFonts w:ascii="Arial" w:hAnsi="Arial" w:cs="Arial"/>
                <w:i/>
                <w:iCs/>
                <w:sz w:val="18"/>
                <w:szCs w:val="18"/>
              </w:rPr>
            </w:pPr>
            <w:r w:rsidRPr="00097BC8">
              <w:rPr>
                <w:rFonts w:ascii="Arial" w:hAnsi="Arial" w:cs="Arial"/>
                <w:i/>
                <w:iCs/>
                <w:sz w:val="18"/>
                <w:szCs w:val="18"/>
              </w:rPr>
              <w:t xml:space="preserve">Por cada setecientos cincuenta metros cúbicos (750 m³) de material, o una vez al día, si se emplea menos </w:t>
            </w:r>
            <w:proofErr w:type="gramStart"/>
            <w:r w:rsidRPr="00097BC8">
              <w:rPr>
                <w:rFonts w:ascii="Arial" w:hAnsi="Arial" w:cs="Arial"/>
                <w:i/>
                <w:iCs/>
                <w:sz w:val="18"/>
                <w:szCs w:val="18"/>
              </w:rPr>
              <w:t>material :</w:t>
            </w:r>
            <w:proofErr w:type="gramEnd"/>
          </w:p>
        </w:tc>
      </w:tr>
      <w:tr w:rsidR="00097BC8" w:rsidRPr="00097BC8" w14:paraId="2409D2A5"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44203E7B"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(1) Granulometría por tamizado (UNE 103.101:1995)</w:t>
            </w:r>
          </w:p>
        </w:tc>
      </w:tr>
      <w:tr w:rsidR="00097BC8" w:rsidRPr="00097BC8" w14:paraId="441B6212"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27E2D53E"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(1) Límite líquido e índice de plasticidad (UNE 103103:1994 y UNE 103104: 1993)</w:t>
            </w:r>
          </w:p>
        </w:tc>
      </w:tr>
      <w:tr w:rsidR="00097BC8" w:rsidRPr="00097BC8" w14:paraId="0EBC1965"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698E2F5E"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(1) Desgaste de Los Ángeles (UNE-EN 1097-2:2010)</w:t>
            </w:r>
          </w:p>
        </w:tc>
      </w:tr>
      <w:tr w:rsidR="00097BC8" w:rsidRPr="00097BC8" w14:paraId="2DA85BD4"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6126EEE9"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(1) Equivalente de arena (UNE-EN 933-8:2012+A1:2015/1M:2016)</w:t>
            </w:r>
          </w:p>
        </w:tc>
      </w:tr>
      <w:tr w:rsidR="00097BC8" w:rsidRPr="00097BC8" w14:paraId="21021595"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2ED79F2C"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 xml:space="preserve">(1) Índice de lajas (UNE-EN 933-3:2012) </w:t>
            </w:r>
          </w:p>
        </w:tc>
      </w:tr>
      <w:tr w:rsidR="00097BC8" w:rsidRPr="00097BC8" w14:paraId="494A5123"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6802AA40"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(1) Partículas trituradas (UNE EN 933-5:1999)</w:t>
            </w:r>
          </w:p>
        </w:tc>
      </w:tr>
      <w:tr w:rsidR="00097BC8" w:rsidRPr="00097BC8" w14:paraId="76438316"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4317772B"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(1) Humedad natural (UNE EN 1097-5)</w:t>
            </w:r>
          </w:p>
        </w:tc>
      </w:tr>
      <w:tr w:rsidR="00097BC8" w:rsidRPr="00097BC8" w14:paraId="48C7A084" w14:textId="77777777" w:rsidTr="00524011">
        <w:trPr>
          <w:trHeight w:val="615"/>
        </w:trPr>
        <w:tc>
          <w:tcPr>
            <w:tcW w:w="5000" w:type="pct"/>
            <w:tcBorders>
              <w:top w:val="nil"/>
              <w:left w:val="single" w:sz="4" w:space="0" w:color="auto"/>
              <w:bottom w:val="single" w:sz="4" w:space="0" w:color="auto"/>
              <w:right w:val="single" w:sz="4" w:space="0" w:color="auto"/>
            </w:tcBorders>
            <w:vAlign w:val="center"/>
            <w:hideMark/>
          </w:tcPr>
          <w:p w14:paraId="1708D45D" w14:textId="77777777" w:rsidR="00097BC8" w:rsidRPr="00097BC8" w:rsidRDefault="00097BC8" w:rsidP="00524011">
            <w:pPr>
              <w:rPr>
                <w:rFonts w:ascii="Arial" w:hAnsi="Arial" w:cs="Arial"/>
                <w:i/>
                <w:iCs/>
                <w:sz w:val="18"/>
                <w:szCs w:val="18"/>
              </w:rPr>
            </w:pPr>
            <w:r w:rsidRPr="00097BC8">
              <w:rPr>
                <w:rFonts w:ascii="Arial" w:hAnsi="Arial" w:cs="Arial"/>
                <w:i/>
                <w:iCs/>
                <w:sz w:val="18"/>
                <w:szCs w:val="18"/>
              </w:rPr>
              <w:t>Por cada mil metros cúbicos (1.000 m³) de material producido, o una vez cada día si se fabricase menos material, sobre un mínimo de 2 muestras (una por la mañana y otra por la tarde):</w:t>
            </w:r>
          </w:p>
        </w:tc>
      </w:tr>
      <w:tr w:rsidR="00097BC8" w:rsidRPr="00097BC8" w14:paraId="364F1D52"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2D65D2A7"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(1) Equivalente de arena (UNE-EN 933-8:2012+A1:2015/1M:2016)</w:t>
            </w:r>
          </w:p>
        </w:tc>
      </w:tr>
      <w:tr w:rsidR="00097BC8" w:rsidRPr="00097BC8" w14:paraId="5CF41A30"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1424A5AA"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(1) Granulometría por tamizado (UNE 103.101:1995)</w:t>
            </w:r>
          </w:p>
        </w:tc>
      </w:tr>
      <w:tr w:rsidR="00097BC8" w:rsidRPr="00097BC8" w14:paraId="03BC3FE4"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1B9D7C74" w14:textId="77777777" w:rsidR="00097BC8" w:rsidRPr="00097BC8" w:rsidRDefault="00097BC8" w:rsidP="00524011">
            <w:pPr>
              <w:rPr>
                <w:rFonts w:ascii="Arial" w:hAnsi="Arial" w:cs="Arial"/>
                <w:i/>
                <w:iCs/>
                <w:sz w:val="18"/>
                <w:szCs w:val="18"/>
              </w:rPr>
            </w:pPr>
            <w:r w:rsidRPr="00097BC8">
              <w:rPr>
                <w:rFonts w:ascii="Arial" w:hAnsi="Arial" w:cs="Arial"/>
                <w:i/>
                <w:iCs/>
                <w:sz w:val="18"/>
                <w:szCs w:val="18"/>
              </w:rPr>
              <w:t>Por cada cinco mil metros cúbicos (5.000 m³), o una vez a la semana, de material producido:</w:t>
            </w:r>
          </w:p>
        </w:tc>
      </w:tr>
      <w:tr w:rsidR="00097BC8" w:rsidRPr="00097BC8" w14:paraId="5B5DB3C1"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67EBC7D2"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(1) Límite líquido e índice de plasticidad (UNE 103103:1994 y UNE 103104: 1993)</w:t>
            </w:r>
          </w:p>
        </w:tc>
      </w:tr>
      <w:tr w:rsidR="00097BC8" w:rsidRPr="00097BC8" w14:paraId="270633C4"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34C5E59B"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 xml:space="preserve">(1) </w:t>
            </w:r>
            <w:proofErr w:type="spellStart"/>
            <w:r w:rsidRPr="00097BC8">
              <w:rPr>
                <w:rFonts w:ascii="Arial" w:hAnsi="Arial" w:cs="Arial"/>
                <w:sz w:val="18"/>
                <w:szCs w:val="18"/>
              </w:rPr>
              <w:t>Próctor</w:t>
            </w:r>
            <w:proofErr w:type="spellEnd"/>
            <w:r w:rsidRPr="00097BC8">
              <w:rPr>
                <w:rFonts w:ascii="Arial" w:hAnsi="Arial" w:cs="Arial"/>
                <w:sz w:val="18"/>
                <w:szCs w:val="18"/>
              </w:rPr>
              <w:t xml:space="preserve"> modificado (UNE 10350:1994)</w:t>
            </w:r>
          </w:p>
        </w:tc>
      </w:tr>
      <w:tr w:rsidR="00097BC8" w:rsidRPr="00097BC8" w14:paraId="0057EF15"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33FCB27B"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(1) Índice de lajas (UNE-EN 933-3:2012)</w:t>
            </w:r>
          </w:p>
        </w:tc>
      </w:tr>
      <w:tr w:rsidR="00097BC8" w:rsidRPr="00097BC8" w14:paraId="4841DF1E"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487B964D"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(1) Partículas trituradas (UNE EN 933-5:1999)</w:t>
            </w:r>
          </w:p>
        </w:tc>
      </w:tr>
      <w:tr w:rsidR="00097BC8" w:rsidRPr="00097BC8" w14:paraId="3FB66C4B"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22194D47"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(1) Humedad natural (UNE EN 1097-5)</w:t>
            </w:r>
          </w:p>
        </w:tc>
      </w:tr>
      <w:tr w:rsidR="00097BC8" w:rsidRPr="00097BC8" w14:paraId="4C963728"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5465485F" w14:textId="77777777" w:rsidR="00097BC8" w:rsidRPr="00097BC8" w:rsidRDefault="00097BC8" w:rsidP="000313DD">
            <w:pPr>
              <w:pStyle w:val="Prrafodelista"/>
              <w:numPr>
                <w:ilvl w:val="0"/>
                <w:numId w:val="261"/>
              </w:numPr>
              <w:jc w:val="right"/>
              <w:rPr>
                <w:rFonts w:ascii="Arial" w:hAnsi="Arial" w:cs="Arial"/>
                <w:sz w:val="18"/>
                <w:szCs w:val="18"/>
                <w:lang w:eastAsia="es-ES"/>
              </w:rPr>
            </w:pPr>
            <w:r w:rsidRPr="00097BC8">
              <w:rPr>
                <w:rFonts w:ascii="Arial" w:hAnsi="Arial" w:cs="Arial"/>
                <w:sz w:val="18"/>
                <w:szCs w:val="18"/>
                <w:lang w:eastAsia="es-ES"/>
              </w:rPr>
              <w:t>Presión de hinchamiento de un suelo con edómetro (UNE 103602:1996)</w:t>
            </w:r>
          </w:p>
        </w:tc>
      </w:tr>
      <w:tr w:rsidR="00097BC8" w:rsidRPr="00097BC8" w14:paraId="50923E09"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39CEE0C8" w14:textId="77777777" w:rsidR="00097BC8" w:rsidRPr="00097BC8" w:rsidRDefault="00097BC8" w:rsidP="000313DD">
            <w:pPr>
              <w:pStyle w:val="Prrafodelista"/>
              <w:numPr>
                <w:ilvl w:val="0"/>
                <w:numId w:val="262"/>
              </w:numPr>
              <w:jc w:val="right"/>
              <w:rPr>
                <w:rFonts w:ascii="Arial" w:hAnsi="Arial" w:cs="Arial"/>
                <w:sz w:val="18"/>
                <w:szCs w:val="18"/>
                <w:lang w:eastAsia="es-ES"/>
              </w:rPr>
            </w:pPr>
            <w:r w:rsidRPr="00097BC8">
              <w:rPr>
                <w:rFonts w:ascii="Arial" w:hAnsi="Arial" w:cs="Arial"/>
                <w:sz w:val="18"/>
                <w:szCs w:val="18"/>
                <w:lang w:eastAsia="es-ES"/>
              </w:rPr>
              <w:t>Ensayo de colapso (UNE 103406:2006)</w:t>
            </w:r>
          </w:p>
        </w:tc>
      </w:tr>
      <w:tr w:rsidR="00097BC8" w:rsidRPr="00097BC8" w14:paraId="0602A8C1" w14:textId="77777777" w:rsidTr="00524011">
        <w:trPr>
          <w:trHeight w:val="555"/>
        </w:trPr>
        <w:tc>
          <w:tcPr>
            <w:tcW w:w="5000" w:type="pct"/>
            <w:tcBorders>
              <w:top w:val="nil"/>
              <w:left w:val="single" w:sz="4" w:space="0" w:color="auto"/>
              <w:bottom w:val="single" w:sz="4" w:space="0" w:color="auto"/>
              <w:right w:val="single" w:sz="4" w:space="0" w:color="auto"/>
            </w:tcBorders>
            <w:vAlign w:val="center"/>
            <w:hideMark/>
          </w:tcPr>
          <w:p w14:paraId="1562AFE5" w14:textId="77777777" w:rsidR="00097BC8" w:rsidRPr="00097BC8" w:rsidRDefault="00097BC8" w:rsidP="00524011">
            <w:pPr>
              <w:rPr>
                <w:rFonts w:ascii="Arial" w:hAnsi="Arial" w:cs="Arial"/>
                <w:i/>
                <w:iCs/>
                <w:sz w:val="18"/>
                <w:szCs w:val="18"/>
              </w:rPr>
            </w:pPr>
            <w:r w:rsidRPr="00097BC8">
              <w:rPr>
                <w:rFonts w:ascii="Arial" w:hAnsi="Arial" w:cs="Arial"/>
                <w:i/>
                <w:iCs/>
                <w:sz w:val="18"/>
                <w:szCs w:val="18"/>
              </w:rPr>
              <w:t>Por cada veinte mil metros cúbicos (20.000 m³), o una vez al mes, de material producido:</w:t>
            </w:r>
          </w:p>
        </w:tc>
      </w:tr>
      <w:tr w:rsidR="00097BC8" w:rsidRPr="00097BC8" w14:paraId="2E223035"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2F10AF4F"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(1) Desgaste de Los Ángeles (UNE-EN 1097-2:2010)</w:t>
            </w:r>
          </w:p>
        </w:tc>
      </w:tr>
      <w:tr w:rsidR="00097BC8" w:rsidRPr="00097BC8" w14:paraId="5171890E" w14:textId="77777777" w:rsidTr="00524011">
        <w:trPr>
          <w:trHeight w:val="570"/>
        </w:trPr>
        <w:tc>
          <w:tcPr>
            <w:tcW w:w="5000" w:type="pct"/>
            <w:tcBorders>
              <w:top w:val="nil"/>
              <w:left w:val="single" w:sz="4" w:space="0" w:color="auto"/>
              <w:bottom w:val="single" w:sz="4" w:space="0" w:color="auto"/>
              <w:right w:val="single" w:sz="4" w:space="0" w:color="auto"/>
            </w:tcBorders>
            <w:vAlign w:val="center"/>
            <w:hideMark/>
          </w:tcPr>
          <w:p w14:paraId="70A0382B" w14:textId="77777777" w:rsidR="00097BC8" w:rsidRPr="00097BC8" w:rsidRDefault="00097BC8" w:rsidP="00524011">
            <w:pPr>
              <w:rPr>
                <w:rFonts w:ascii="Arial" w:hAnsi="Arial" w:cs="Arial"/>
                <w:b/>
                <w:bCs/>
                <w:i/>
                <w:sz w:val="18"/>
                <w:szCs w:val="18"/>
                <w:u w:val="single"/>
              </w:rPr>
            </w:pPr>
            <w:r w:rsidRPr="00097BC8">
              <w:rPr>
                <w:rFonts w:ascii="Arial" w:hAnsi="Arial" w:cs="Arial"/>
                <w:b/>
                <w:bCs/>
                <w:i/>
                <w:sz w:val="18"/>
                <w:szCs w:val="18"/>
                <w:u w:val="single"/>
              </w:rPr>
              <w:t xml:space="preserve">Control de ejecución: </w:t>
            </w:r>
          </w:p>
          <w:p w14:paraId="4D97BE6F" w14:textId="77777777" w:rsidR="00097BC8" w:rsidRPr="00097BC8" w:rsidRDefault="00097BC8" w:rsidP="00524011">
            <w:pPr>
              <w:rPr>
                <w:rFonts w:ascii="Arial" w:hAnsi="Arial" w:cs="Arial"/>
                <w:b/>
                <w:bCs/>
                <w:sz w:val="18"/>
                <w:szCs w:val="18"/>
              </w:rPr>
            </w:pPr>
            <w:r w:rsidRPr="00097BC8">
              <w:rPr>
                <w:rFonts w:ascii="Arial" w:hAnsi="Arial" w:cs="Arial"/>
                <w:i/>
                <w:iCs/>
                <w:sz w:val="18"/>
                <w:szCs w:val="18"/>
              </w:rPr>
              <w:t>Para comprobar que la compactación de cada tongada cumple con las condiciones de densidad establecidas en P.P.T.P. se realizarán los siguientes ensayos.</w:t>
            </w:r>
          </w:p>
        </w:tc>
      </w:tr>
      <w:tr w:rsidR="00097BC8" w:rsidRPr="00097BC8" w14:paraId="25B0CFCB" w14:textId="77777777" w:rsidTr="00524011">
        <w:trPr>
          <w:trHeight w:val="615"/>
        </w:trPr>
        <w:tc>
          <w:tcPr>
            <w:tcW w:w="5000" w:type="pct"/>
            <w:tcBorders>
              <w:top w:val="nil"/>
              <w:left w:val="single" w:sz="4" w:space="0" w:color="auto"/>
              <w:bottom w:val="single" w:sz="4" w:space="0" w:color="auto"/>
              <w:right w:val="single" w:sz="4" w:space="0" w:color="auto"/>
            </w:tcBorders>
            <w:vAlign w:val="center"/>
            <w:hideMark/>
          </w:tcPr>
          <w:p w14:paraId="0BA3CB09" w14:textId="77777777" w:rsidR="00097BC8" w:rsidRPr="00097BC8" w:rsidRDefault="00097BC8" w:rsidP="00524011">
            <w:pPr>
              <w:rPr>
                <w:rFonts w:ascii="Arial" w:hAnsi="Arial" w:cs="Arial"/>
                <w:i/>
                <w:iCs/>
                <w:sz w:val="18"/>
                <w:szCs w:val="18"/>
              </w:rPr>
            </w:pPr>
            <w:r w:rsidRPr="00097BC8">
              <w:rPr>
                <w:rFonts w:ascii="Arial" w:hAnsi="Arial" w:cs="Arial"/>
                <w:i/>
                <w:iCs/>
                <w:sz w:val="18"/>
                <w:szCs w:val="18"/>
              </w:rPr>
              <w:t>Por cada lote (tres mil quinientos metros cuadrados de tongada (3.500 m</w:t>
            </w:r>
            <w:r w:rsidRPr="00097BC8">
              <w:rPr>
                <w:rFonts w:ascii="Arial" w:hAnsi="Arial" w:cs="Arial"/>
                <w:i/>
                <w:iCs/>
                <w:sz w:val="18"/>
                <w:szCs w:val="18"/>
                <w:vertAlign w:val="superscript"/>
              </w:rPr>
              <w:t>2</w:t>
            </w:r>
            <w:r w:rsidRPr="00097BC8">
              <w:rPr>
                <w:rFonts w:ascii="Arial" w:hAnsi="Arial" w:cs="Arial"/>
                <w:i/>
                <w:iCs/>
                <w:sz w:val="18"/>
                <w:szCs w:val="18"/>
              </w:rPr>
              <w:t xml:space="preserve">)), longitud de calzada de 500 m. o fracción diaria compactada, lo que resulte </w:t>
            </w:r>
            <w:proofErr w:type="gramStart"/>
            <w:r w:rsidRPr="00097BC8">
              <w:rPr>
                <w:rFonts w:ascii="Arial" w:hAnsi="Arial" w:cs="Arial"/>
                <w:i/>
                <w:iCs/>
                <w:sz w:val="18"/>
                <w:szCs w:val="18"/>
              </w:rPr>
              <w:t>menor :</w:t>
            </w:r>
            <w:proofErr w:type="gramEnd"/>
            <w:r w:rsidRPr="00097BC8">
              <w:rPr>
                <w:rFonts w:ascii="Arial" w:hAnsi="Arial" w:cs="Arial"/>
                <w:i/>
                <w:iCs/>
                <w:sz w:val="18"/>
                <w:szCs w:val="18"/>
              </w:rPr>
              <w:t xml:space="preserve"> </w:t>
            </w:r>
          </w:p>
        </w:tc>
      </w:tr>
      <w:tr w:rsidR="00097BC8" w:rsidRPr="00097BC8" w14:paraId="756BDEEE"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0B206914"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(7) ensayos de densidad/humedad "in situ" (UNE 103900: 2013)</w:t>
            </w:r>
          </w:p>
        </w:tc>
      </w:tr>
      <w:tr w:rsidR="00097BC8" w:rsidRPr="00097BC8" w14:paraId="2CF1ECB5" w14:textId="77777777" w:rsidTr="00524011">
        <w:trPr>
          <w:trHeight w:val="300"/>
        </w:trPr>
        <w:tc>
          <w:tcPr>
            <w:tcW w:w="5000" w:type="pct"/>
            <w:tcBorders>
              <w:top w:val="single" w:sz="4" w:space="0" w:color="auto"/>
              <w:left w:val="single" w:sz="4" w:space="0" w:color="auto"/>
              <w:bottom w:val="single" w:sz="4" w:space="0" w:color="auto"/>
              <w:right w:val="single" w:sz="4" w:space="0" w:color="auto"/>
            </w:tcBorders>
            <w:noWrap/>
            <w:vAlign w:val="center"/>
            <w:hideMark/>
          </w:tcPr>
          <w:p w14:paraId="46545948" w14:textId="77777777" w:rsidR="00097BC8" w:rsidRPr="00097BC8" w:rsidRDefault="00097BC8" w:rsidP="00524011">
            <w:pPr>
              <w:jc w:val="right"/>
              <w:rPr>
                <w:rFonts w:ascii="Arial" w:hAnsi="Arial" w:cs="Arial"/>
                <w:sz w:val="18"/>
                <w:szCs w:val="18"/>
              </w:rPr>
            </w:pPr>
            <w:r w:rsidRPr="00097BC8">
              <w:rPr>
                <w:rFonts w:ascii="Arial" w:hAnsi="Arial" w:cs="Arial"/>
                <w:sz w:val="18"/>
                <w:szCs w:val="18"/>
              </w:rPr>
              <w:t>(1) Ensayo de placa de carga (NLT-357)</w:t>
            </w:r>
          </w:p>
        </w:tc>
      </w:tr>
      <w:tr w:rsidR="00097BC8" w:rsidRPr="00097BC8" w14:paraId="60CA7A05" w14:textId="77777777" w:rsidTr="00524011">
        <w:trPr>
          <w:trHeight w:val="300"/>
        </w:trPr>
        <w:tc>
          <w:tcPr>
            <w:tcW w:w="5000" w:type="pct"/>
            <w:tcBorders>
              <w:top w:val="single" w:sz="4" w:space="0" w:color="auto"/>
              <w:left w:val="single" w:sz="4" w:space="0" w:color="auto"/>
              <w:bottom w:val="single" w:sz="4" w:space="0" w:color="auto"/>
              <w:right w:val="single" w:sz="4" w:space="0" w:color="auto"/>
            </w:tcBorders>
            <w:noWrap/>
            <w:vAlign w:val="center"/>
          </w:tcPr>
          <w:p w14:paraId="5812B584" w14:textId="77777777" w:rsidR="00097BC8" w:rsidRPr="00097BC8" w:rsidRDefault="00097BC8" w:rsidP="000313DD">
            <w:pPr>
              <w:pStyle w:val="Prrafodelista"/>
              <w:numPr>
                <w:ilvl w:val="0"/>
                <w:numId w:val="260"/>
              </w:numPr>
              <w:jc w:val="right"/>
              <w:rPr>
                <w:rFonts w:ascii="Arial" w:hAnsi="Arial" w:cs="Arial"/>
                <w:sz w:val="18"/>
                <w:szCs w:val="18"/>
                <w:lang w:eastAsia="es-ES"/>
              </w:rPr>
            </w:pPr>
            <w:r w:rsidRPr="00097BC8">
              <w:rPr>
                <w:rFonts w:ascii="Arial" w:hAnsi="Arial" w:cs="Arial"/>
                <w:sz w:val="18"/>
                <w:szCs w:val="18"/>
                <w:lang w:eastAsia="es-ES"/>
              </w:rPr>
              <w:t xml:space="preserve">Ensayo de carga vertical de suelos mediante placa estática (UNE 103808:2006) </w:t>
            </w:r>
          </w:p>
        </w:tc>
      </w:tr>
    </w:tbl>
    <w:p w14:paraId="52B7EF53" w14:textId="77777777" w:rsidR="00097BC8" w:rsidRPr="003B2C06" w:rsidRDefault="00097BC8" w:rsidP="003B2C06">
      <w:pPr>
        <w:pStyle w:val="NORMAL12"/>
        <w:rPr>
          <w:lang w:val="es-ES"/>
        </w:rPr>
      </w:pPr>
    </w:p>
    <w:p w14:paraId="7565375D" w14:textId="77777777" w:rsidR="00472C05" w:rsidRPr="00EB5246" w:rsidRDefault="00472C05" w:rsidP="000313DD">
      <w:pPr>
        <w:pStyle w:val="TITU2"/>
      </w:pPr>
      <w:bookmarkStart w:id="551" w:name="_Toc225834795"/>
      <w:bookmarkStart w:id="552" w:name="_Toc240349914"/>
      <w:bookmarkStart w:id="553" w:name="_Toc277523299"/>
      <w:bookmarkStart w:id="554" w:name="_Toc465929710"/>
      <w:bookmarkStart w:id="555" w:name="_Toc404295"/>
      <w:r>
        <w:t>510.6</w:t>
      </w:r>
      <w:r w:rsidRPr="00EB5246">
        <w:t>.</w:t>
      </w:r>
      <w:r w:rsidR="00E171C9">
        <w:t xml:space="preserve"> </w:t>
      </w:r>
      <w:r w:rsidR="006107F5">
        <w:t xml:space="preserve"> </w:t>
      </w:r>
      <w:r w:rsidR="006107F5" w:rsidRPr="00EB5246">
        <w:t xml:space="preserve"> </w:t>
      </w:r>
      <w:r w:rsidRPr="00EB5246">
        <w:t>Medición y abono</w:t>
      </w:r>
      <w:bookmarkEnd w:id="551"/>
      <w:bookmarkEnd w:id="552"/>
      <w:bookmarkEnd w:id="553"/>
      <w:bookmarkEnd w:id="554"/>
      <w:bookmarkEnd w:id="555"/>
    </w:p>
    <w:p w14:paraId="4709E06C" w14:textId="77777777" w:rsidR="00472C05" w:rsidRDefault="00472C05" w:rsidP="00F02221">
      <w:pPr>
        <w:pStyle w:val="NORMAL12"/>
        <w:rPr>
          <w:lang w:val="es-ES"/>
        </w:rPr>
      </w:pPr>
      <w:r w:rsidRPr="00F02221">
        <w:rPr>
          <w:lang w:val="es-ES"/>
        </w:rPr>
        <w:t xml:space="preserve">La medición y abono </w:t>
      </w:r>
      <w:r w:rsidR="00F02221">
        <w:rPr>
          <w:lang w:val="es-ES"/>
        </w:rPr>
        <w:t xml:space="preserve">de la unidad de zahorras </w:t>
      </w:r>
      <w:r w:rsidRPr="00F02221">
        <w:rPr>
          <w:lang w:val="es-ES"/>
        </w:rPr>
        <w:t>se realizará conforme a los criterios siguientes:</w:t>
      </w:r>
    </w:p>
    <w:p w14:paraId="60F36FF7" w14:textId="77777777" w:rsidR="00472C05" w:rsidRPr="007273F4" w:rsidRDefault="00472C05" w:rsidP="00472C0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07"/>
        <w:gridCol w:w="7613"/>
      </w:tblGrid>
      <w:tr w:rsidR="00444DA7" w:rsidRPr="00EB5246" w14:paraId="131AF3B4" w14:textId="77777777" w:rsidTr="00472C05">
        <w:tc>
          <w:tcPr>
            <w:tcW w:w="0" w:type="auto"/>
            <w:vAlign w:val="center"/>
          </w:tcPr>
          <w:p w14:paraId="761B43AC" w14:textId="77777777" w:rsidR="00472C05" w:rsidRPr="001633AB" w:rsidRDefault="00472C05" w:rsidP="002C001B">
            <w:pPr>
              <w:pStyle w:val="LCATabla"/>
              <w:jc w:val="center"/>
              <w:rPr>
                <w:rFonts w:ascii="Arial" w:hAnsi="Arial" w:cs="Arial"/>
                <w:b/>
                <w:bCs/>
                <w:sz w:val="20"/>
              </w:rPr>
            </w:pPr>
            <w:r w:rsidRPr="001633AB">
              <w:rPr>
                <w:rFonts w:ascii="Arial" w:hAnsi="Arial" w:cs="Arial"/>
                <w:b/>
                <w:bCs/>
                <w:sz w:val="20"/>
              </w:rPr>
              <w:t>Unidad de medida</w:t>
            </w:r>
          </w:p>
        </w:tc>
        <w:tc>
          <w:tcPr>
            <w:tcW w:w="0" w:type="auto"/>
            <w:vAlign w:val="center"/>
          </w:tcPr>
          <w:p w14:paraId="0F0021BC" w14:textId="77777777" w:rsidR="00472C05" w:rsidRPr="001633AB" w:rsidRDefault="00472C05" w:rsidP="00900DF9">
            <w:pPr>
              <w:pStyle w:val="LCATabla"/>
              <w:jc w:val="both"/>
              <w:rPr>
                <w:rFonts w:ascii="Arial" w:hAnsi="Arial" w:cs="Arial"/>
                <w:sz w:val="20"/>
              </w:rPr>
            </w:pPr>
            <w:r w:rsidRPr="001633AB">
              <w:rPr>
                <w:rFonts w:ascii="Arial" w:hAnsi="Arial" w:cs="Arial"/>
                <w:sz w:val="20"/>
              </w:rPr>
              <w:t>Metro cúbico (m³)</w:t>
            </w:r>
          </w:p>
        </w:tc>
      </w:tr>
      <w:tr w:rsidR="00444DA7" w:rsidRPr="00EB5246" w14:paraId="62981983" w14:textId="77777777" w:rsidTr="00472C05">
        <w:tc>
          <w:tcPr>
            <w:tcW w:w="0" w:type="auto"/>
            <w:vAlign w:val="center"/>
          </w:tcPr>
          <w:p w14:paraId="0C040208" w14:textId="77777777" w:rsidR="00472C05" w:rsidRPr="001633AB" w:rsidRDefault="00472C05" w:rsidP="002C001B">
            <w:pPr>
              <w:pStyle w:val="LCATabla"/>
              <w:jc w:val="center"/>
              <w:rPr>
                <w:rFonts w:ascii="Arial" w:hAnsi="Arial" w:cs="Arial"/>
                <w:b/>
                <w:bCs/>
                <w:sz w:val="20"/>
              </w:rPr>
            </w:pPr>
            <w:r w:rsidRPr="001633AB">
              <w:rPr>
                <w:rFonts w:ascii="Arial" w:hAnsi="Arial" w:cs="Arial"/>
                <w:b/>
                <w:bCs/>
                <w:sz w:val="20"/>
              </w:rPr>
              <w:t>Grado de precisión</w:t>
            </w:r>
          </w:p>
        </w:tc>
        <w:tc>
          <w:tcPr>
            <w:tcW w:w="0" w:type="auto"/>
            <w:vAlign w:val="center"/>
          </w:tcPr>
          <w:p w14:paraId="10CEA4E2" w14:textId="77777777" w:rsidR="00472C05" w:rsidRPr="001633AB" w:rsidRDefault="00472C05" w:rsidP="00900DF9">
            <w:pPr>
              <w:pStyle w:val="LCATabla"/>
              <w:jc w:val="both"/>
              <w:rPr>
                <w:rFonts w:ascii="Arial" w:hAnsi="Arial" w:cs="Arial"/>
                <w:sz w:val="20"/>
              </w:rPr>
            </w:pPr>
            <w:r w:rsidRPr="001633AB">
              <w:rPr>
                <w:rFonts w:ascii="Arial" w:hAnsi="Arial" w:cs="Arial"/>
                <w:sz w:val="20"/>
              </w:rPr>
              <w:t>Dos (2) decimales</w:t>
            </w:r>
          </w:p>
        </w:tc>
      </w:tr>
      <w:tr w:rsidR="00444DA7" w:rsidRPr="00EB5246" w14:paraId="767F26D8" w14:textId="77777777" w:rsidTr="00472C05">
        <w:tc>
          <w:tcPr>
            <w:tcW w:w="0" w:type="auto"/>
            <w:vAlign w:val="center"/>
          </w:tcPr>
          <w:p w14:paraId="0017A543" w14:textId="77777777" w:rsidR="00472C05" w:rsidRPr="001633AB" w:rsidRDefault="00472C05" w:rsidP="002C001B">
            <w:pPr>
              <w:pStyle w:val="LCATabla"/>
              <w:jc w:val="center"/>
              <w:rPr>
                <w:rFonts w:ascii="Arial" w:hAnsi="Arial" w:cs="Arial"/>
                <w:b/>
                <w:bCs/>
                <w:sz w:val="20"/>
              </w:rPr>
            </w:pPr>
            <w:r w:rsidRPr="001633AB">
              <w:rPr>
                <w:rFonts w:ascii="Arial" w:hAnsi="Arial" w:cs="Arial"/>
                <w:b/>
                <w:bCs/>
                <w:sz w:val="20"/>
              </w:rPr>
              <w:t>Forma de medición</w:t>
            </w:r>
          </w:p>
        </w:tc>
        <w:tc>
          <w:tcPr>
            <w:tcW w:w="0" w:type="auto"/>
            <w:vAlign w:val="center"/>
          </w:tcPr>
          <w:p w14:paraId="262BB9AF" w14:textId="77777777" w:rsidR="00472C05" w:rsidRPr="001633AB" w:rsidRDefault="00472C05" w:rsidP="00900DF9">
            <w:pPr>
              <w:pStyle w:val="LCATabla"/>
              <w:jc w:val="both"/>
              <w:rPr>
                <w:rFonts w:ascii="Arial" w:hAnsi="Arial" w:cs="Arial"/>
                <w:sz w:val="20"/>
              </w:rPr>
            </w:pPr>
            <w:r w:rsidRPr="001633AB">
              <w:rPr>
                <w:rFonts w:ascii="Arial" w:hAnsi="Arial" w:cs="Arial"/>
                <w:sz w:val="20"/>
              </w:rPr>
              <w:t xml:space="preserve">Se adoptará como medición de referencia la teórica definida con la sección transversal de planos. </w:t>
            </w:r>
          </w:p>
        </w:tc>
      </w:tr>
      <w:tr w:rsidR="00444DA7" w:rsidRPr="00EB5246" w14:paraId="5F1D62EE" w14:textId="77777777" w:rsidTr="00472C05">
        <w:tc>
          <w:tcPr>
            <w:tcW w:w="0" w:type="auto"/>
            <w:vAlign w:val="center"/>
          </w:tcPr>
          <w:p w14:paraId="070223C2" w14:textId="77777777" w:rsidR="00472C05" w:rsidRPr="001633AB" w:rsidRDefault="00472C05" w:rsidP="002C001B">
            <w:pPr>
              <w:pStyle w:val="LCATabla"/>
              <w:jc w:val="center"/>
              <w:rPr>
                <w:rFonts w:ascii="Arial" w:hAnsi="Arial" w:cs="Arial"/>
                <w:b/>
                <w:bCs/>
                <w:sz w:val="20"/>
              </w:rPr>
            </w:pPr>
            <w:r w:rsidRPr="001633AB">
              <w:rPr>
                <w:rFonts w:ascii="Arial" w:hAnsi="Arial" w:cs="Arial"/>
                <w:b/>
                <w:bCs/>
                <w:sz w:val="20"/>
              </w:rPr>
              <w:t>Abono</w:t>
            </w:r>
          </w:p>
        </w:tc>
        <w:tc>
          <w:tcPr>
            <w:tcW w:w="0" w:type="auto"/>
            <w:vAlign w:val="center"/>
          </w:tcPr>
          <w:p w14:paraId="7822838B" w14:textId="77777777" w:rsidR="00472C05" w:rsidRPr="001633AB" w:rsidRDefault="00472C05" w:rsidP="00900DF9">
            <w:pPr>
              <w:pStyle w:val="LCATabla"/>
              <w:jc w:val="both"/>
              <w:rPr>
                <w:rFonts w:ascii="Arial" w:hAnsi="Arial" w:cs="Arial"/>
                <w:sz w:val="20"/>
              </w:rPr>
            </w:pPr>
            <w:r w:rsidRPr="001633AB">
              <w:rPr>
                <w:rFonts w:ascii="Arial" w:hAnsi="Arial" w:cs="Arial"/>
                <w:sz w:val="20"/>
              </w:rPr>
              <w:t>Se efectuará cuando se realice la aceptación</w:t>
            </w:r>
          </w:p>
        </w:tc>
      </w:tr>
      <w:tr w:rsidR="00444DA7" w:rsidRPr="00EB5246" w14:paraId="23DF3868" w14:textId="77777777" w:rsidTr="00472C05">
        <w:tc>
          <w:tcPr>
            <w:tcW w:w="0" w:type="auto"/>
            <w:vAlign w:val="center"/>
          </w:tcPr>
          <w:p w14:paraId="056932FC" w14:textId="77777777" w:rsidR="00472C05" w:rsidRPr="001633AB" w:rsidRDefault="00472C05" w:rsidP="002C001B">
            <w:pPr>
              <w:pStyle w:val="LCATabla"/>
              <w:jc w:val="center"/>
              <w:rPr>
                <w:rFonts w:ascii="Arial" w:hAnsi="Arial" w:cs="Arial"/>
                <w:b/>
                <w:bCs/>
                <w:sz w:val="20"/>
              </w:rPr>
            </w:pPr>
            <w:r w:rsidRPr="001633AB">
              <w:rPr>
                <w:rFonts w:ascii="Arial" w:hAnsi="Arial" w:cs="Arial"/>
                <w:b/>
                <w:bCs/>
                <w:sz w:val="20"/>
              </w:rPr>
              <w:t>Criterios complementarios</w:t>
            </w:r>
          </w:p>
        </w:tc>
        <w:tc>
          <w:tcPr>
            <w:tcW w:w="0" w:type="auto"/>
            <w:vAlign w:val="center"/>
          </w:tcPr>
          <w:p w14:paraId="2FD59DF4" w14:textId="77777777" w:rsidR="00444DA7" w:rsidRPr="001633AB" w:rsidRDefault="00444DA7" w:rsidP="00900DF9">
            <w:pPr>
              <w:pStyle w:val="LCATabla"/>
              <w:keepNext/>
              <w:jc w:val="both"/>
              <w:rPr>
                <w:rFonts w:ascii="Arial" w:hAnsi="Arial" w:cs="Arial"/>
                <w:sz w:val="20"/>
              </w:rPr>
            </w:pPr>
            <w:r w:rsidRPr="001633AB">
              <w:rPr>
                <w:rFonts w:ascii="Arial" w:hAnsi="Arial" w:cs="Arial"/>
                <w:sz w:val="20"/>
              </w:rPr>
              <w:t>El precio de la unidad incluye:</w:t>
            </w:r>
          </w:p>
          <w:p w14:paraId="31195A28" w14:textId="77777777" w:rsidR="00444DA7" w:rsidRPr="001633AB" w:rsidRDefault="00444DA7" w:rsidP="00900DF9">
            <w:pPr>
              <w:pStyle w:val="LCATabla"/>
              <w:keepNext/>
              <w:jc w:val="both"/>
              <w:rPr>
                <w:rFonts w:ascii="Arial" w:hAnsi="Arial" w:cs="Arial"/>
                <w:sz w:val="20"/>
              </w:rPr>
            </w:pPr>
            <w:r w:rsidRPr="001633AB">
              <w:rPr>
                <w:rFonts w:ascii="Arial" w:hAnsi="Arial" w:cs="Arial"/>
                <w:sz w:val="20"/>
              </w:rPr>
              <w:t>El aporte de material, compactación y la humectación si fuera necesario.</w:t>
            </w:r>
          </w:p>
          <w:p w14:paraId="34A47312" w14:textId="77777777" w:rsidR="00472C05" w:rsidRPr="001633AB" w:rsidRDefault="00444DA7" w:rsidP="00900DF9">
            <w:pPr>
              <w:pStyle w:val="LCATabla"/>
              <w:keepNext/>
              <w:jc w:val="both"/>
              <w:rPr>
                <w:rFonts w:ascii="Arial" w:hAnsi="Arial" w:cs="Arial"/>
                <w:sz w:val="20"/>
              </w:rPr>
            </w:pPr>
            <w:r w:rsidRPr="001633AB">
              <w:rPr>
                <w:rFonts w:ascii="Arial" w:hAnsi="Arial" w:cs="Arial"/>
                <w:sz w:val="20"/>
              </w:rPr>
              <w:t xml:space="preserve">La excavación y </w:t>
            </w:r>
            <w:proofErr w:type="spellStart"/>
            <w:r w:rsidRPr="001633AB">
              <w:rPr>
                <w:rFonts w:ascii="Arial" w:hAnsi="Arial" w:cs="Arial"/>
                <w:sz w:val="20"/>
              </w:rPr>
              <w:t>recompactación</w:t>
            </w:r>
            <w:proofErr w:type="spellEnd"/>
            <w:r w:rsidRPr="001633AB">
              <w:rPr>
                <w:rFonts w:ascii="Arial" w:hAnsi="Arial" w:cs="Arial"/>
                <w:sz w:val="20"/>
              </w:rPr>
              <w:t xml:space="preserve"> de las tongadas que no cumplan con la</w:t>
            </w:r>
            <w:r w:rsidR="00672B81" w:rsidRPr="001633AB">
              <w:rPr>
                <w:rFonts w:ascii="Arial" w:hAnsi="Arial" w:cs="Arial"/>
                <w:sz w:val="20"/>
              </w:rPr>
              <w:t xml:space="preserve">s </w:t>
            </w:r>
            <w:r w:rsidRPr="001633AB">
              <w:rPr>
                <w:rFonts w:ascii="Arial" w:hAnsi="Arial" w:cs="Arial"/>
                <w:sz w:val="20"/>
              </w:rPr>
              <w:t>especificaciones marcadas será por cuenta del contr</w:t>
            </w:r>
            <w:r w:rsidR="00672B81" w:rsidRPr="001633AB">
              <w:rPr>
                <w:rFonts w:ascii="Arial" w:hAnsi="Arial" w:cs="Arial"/>
                <w:sz w:val="20"/>
              </w:rPr>
              <w:t>at</w:t>
            </w:r>
            <w:r w:rsidRPr="001633AB">
              <w:rPr>
                <w:rFonts w:ascii="Arial" w:hAnsi="Arial" w:cs="Arial"/>
                <w:sz w:val="20"/>
              </w:rPr>
              <w:t>i</w:t>
            </w:r>
            <w:r w:rsidR="00672B81" w:rsidRPr="001633AB">
              <w:rPr>
                <w:rFonts w:ascii="Arial" w:hAnsi="Arial" w:cs="Arial"/>
                <w:sz w:val="20"/>
              </w:rPr>
              <w:t>s</w:t>
            </w:r>
            <w:r w:rsidRPr="001633AB">
              <w:rPr>
                <w:rFonts w:ascii="Arial" w:hAnsi="Arial" w:cs="Arial"/>
                <w:sz w:val="20"/>
              </w:rPr>
              <w:t>ta.</w:t>
            </w:r>
          </w:p>
        </w:tc>
      </w:tr>
    </w:tbl>
    <w:p w14:paraId="4583B078" w14:textId="77777777" w:rsidR="005B4A2C" w:rsidRDefault="005B4A2C" w:rsidP="005B4A2C">
      <w:pPr>
        <w:pStyle w:val="NORMAL12"/>
        <w:rPr>
          <w:lang w:val="es-ES"/>
        </w:rPr>
      </w:pPr>
    </w:p>
    <w:p w14:paraId="6815B865" w14:textId="77777777" w:rsidR="005B4A2C" w:rsidRDefault="005B4A2C" w:rsidP="005B4A2C">
      <w:pPr>
        <w:pStyle w:val="NORMAL12"/>
        <w:rPr>
          <w:lang w:val="es-ES"/>
        </w:rPr>
      </w:pPr>
    </w:p>
    <w:p w14:paraId="244FDB80" w14:textId="77777777" w:rsidR="005B4A2C" w:rsidRDefault="005B4A2C" w:rsidP="005B4A2C">
      <w:pPr>
        <w:pStyle w:val="NORMAL12"/>
        <w:rPr>
          <w:lang w:val="es-ES"/>
        </w:rPr>
      </w:pPr>
    </w:p>
    <w:p w14:paraId="26A48B0D" w14:textId="77777777" w:rsidR="00810099" w:rsidRDefault="00810099" w:rsidP="006F6223">
      <w:pPr>
        <w:pStyle w:val="TITU1"/>
      </w:pPr>
      <w:bookmarkStart w:id="556" w:name="_Toc404296"/>
      <w:r w:rsidRPr="00DC4CCB">
        <w:lastRenderedPageBreak/>
        <w:t>Artículo 512. Suelo estabilizado in situ</w:t>
      </w:r>
      <w:bookmarkEnd w:id="556"/>
    </w:p>
    <w:p w14:paraId="11774B7D" w14:textId="77777777" w:rsidR="00BF3B76" w:rsidRPr="00BF3B76" w:rsidRDefault="00BF3B76" w:rsidP="00BF3B76">
      <w:pPr>
        <w:pStyle w:val="GTTTextoIndependiente"/>
        <w:spacing w:before="60"/>
        <w:ind w:firstLine="0"/>
      </w:pPr>
      <w:r w:rsidRPr="004D487C">
        <w:rPr>
          <w:rFonts w:ascii="Arial" w:hAnsi="Arial" w:cs="Arial"/>
          <w:sz w:val="24"/>
        </w:rPr>
        <w:t xml:space="preserve">Excepto para lo especificado en este artículo será de aplicación lo prescito en la normativa vigente, en particular en el </w:t>
      </w:r>
      <w:r w:rsidRPr="004D487C">
        <w:rPr>
          <w:rFonts w:ascii="Arial" w:hAnsi="Arial" w:cs="Arial"/>
          <w:sz w:val="24"/>
          <w:lang w:eastAsia="en-US"/>
        </w:rPr>
        <w:t>Artículo 51</w:t>
      </w:r>
      <w:r>
        <w:rPr>
          <w:rFonts w:ascii="Arial" w:hAnsi="Arial" w:cs="Arial"/>
          <w:sz w:val="24"/>
          <w:lang w:eastAsia="en-US"/>
        </w:rPr>
        <w:t>2</w:t>
      </w:r>
      <w:r w:rsidRPr="004D487C">
        <w:rPr>
          <w:rFonts w:ascii="Arial" w:hAnsi="Arial" w:cs="Arial"/>
          <w:sz w:val="24"/>
          <w:lang w:eastAsia="en-US"/>
        </w:rPr>
        <w:t xml:space="preserve">. </w:t>
      </w:r>
      <w:r w:rsidR="00266DCA">
        <w:rPr>
          <w:rFonts w:ascii="Arial" w:hAnsi="Arial" w:cs="Arial"/>
          <w:sz w:val="24"/>
          <w:lang w:eastAsia="en-US"/>
        </w:rPr>
        <w:t>Suelo estabilizado in situ</w:t>
      </w:r>
      <w:r w:rsidRPr="004D487C">
        <w:rPr>
          <w:rFonts w:ascii="Arial" w:hAnsi="Arial" w:cs="Arial"/>
          <w:sz w:val="24"/>
          <w:lang w:eastAsia="en-US"/>
        </w:rPr>
        <w:t xml:space="preserve"> del PG-3</w:t>
      </w:r>
      <w:r w:rsidR="00A212A3">
        <w:rPr>
          <w:rFonts w:ascii="Arial" w:hAnsi="Arial" w:cs="Arial"/>
          <w:sz w:val="24"/>
          <w:lang w:eastAsia="en-US"/>
        </w:rPr>
        <w:t xml:space="preserve"> y en la </w:t>
      </w:r>
      <w:r w:rsidR="00A212A3" w:rsidRPr="00A212A3">
        <w:rPr>
          <w:rFonts w:ascii="Arial" w:hAnsi="Arial" w:cs="Arial"/>
          <w:sz w:val="24"/>
          <w:lang w:eastAsia="en-US"/>
        </w:rPr>
        <w:t>vigente Instrucción para la recepción de cementos (RC-16) aprobada por el Real Decreto 256/2016, de 10 de junio</w:t>
      </w:r>
      <w:r w:rsidR="00A212A3">
        <w:rPr>
          <w:rFonts w:ascii="Arial" w:hAnsi="Arial" w:cs="Arial"/>
          <w:sz w:val="24"/>
          <w:lang w:eastAsia="en-US"/>
        </w:rPr>
        <w:t>.</w:t>
      </w:r>
    </w:p>
    <w:p w14:paraId="2897C51E" w14:textId="77777777" w:rsidR="00810099" w:rsidRPr="00035413" w:rsidRDefault="00810099" w:rsidP="000313DD">
      <w:pPr>
        <w:pStyle w:val="TITU2"/>
      </w:pPr>
      <w:bookmarkStart w:id="557" w:name="_Toc404297"/>
      <w:r w:rsidRPr="00035413">
        <w:t>512.1. Definición</w:t>
      </w:r>
      <w:bookmarkEnd w:id="557"/>
    </w:p>
    <w:p w14:paraId="6171C70B" w14:textId="77777777" w:rsidR="00E06308" w:rsidRPr="00035413" w:rsidRDefault="00E06308" w:rsidP="00E06308">
      <w:pPr>
        <w:pStyle w:val="NORMAL12"/>
        <w:rPr>
          <w:lang w:val="es-ES"/>
        </w:rPr>
      </w:pPr>
      <w:r w:rsidRPr="00035413">
        <w:rPr>
          <w:lang w:val="es-ES"/>
        </w:rPr>
        <w:t>Se define como suelo estabilizado in situ la mezcla homogénea y uniforme de un suelo con un conglomerante, del tipo cal o cemento, y eventualmente agua, con el objetivo de disminuir su plasticidad y susceptibilidad al agua o aumentar su resistencia, y que convenientemente compactada, se utiliza en la formación de explanadas y rellenos tipo terraplén.</w:t>
      </w:r>
    </w:p>
    <w:p w14:paraId="64EDE535" w14:textId="77777777" w:rsidR="00C36ABC" w:rsidRPr="00035413" w:rsidRDefault="00C36ABC" w:rsidP="00C36ABC">
      <w:pPr>
        <w:pStyle w:val="NORMAL12"/>
        <w:rPr>
          <w:lang w:val="es-ES"/>
        </w:rPr>
      </w:pPr>
      <w:r w:rsidRPr="00035413">
        <w:rPr>
          <w:lang w:val="es-ES"/>
        </w:rPr>
        <w:t xml:space="preserve">Las prescripciones del presente artículo </w:t>
      </w:r>
      <w:proofErr w:type="gramStart"/>
      <w:r w:rsidRPr="00035413">
        <w:rPr>
          <w:lang w:val="es-ES"/>
        </w:rPr>
        <w:t>son de aplicación</w:t>
      </w:r>
      <w:proofErr w:type="gramEnd"/>
      <w:r w:rsidRPr="00035413">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053"/>
        <w:gridCol w:w="804"/>
        <w:gridCol w:w="8063"/>
      </w:tblGrid>
      <w:tr w:rsidR="00B356FA" w:rsidRPr="00035413" w14:paraId="25FB234C" w14:textId="77777777" w:rsidTr="00023F59">
        <w:trPr>
          <w:trHeight w:val="575"/>
        </w:trPr>
        <w:tc>
          <w:tcPr>
            <w:tcW w:w="531" w:type="pct"/>
            <w:noWrap/>
          </w:tcPr>
          <w:p w14:paraId="157F17E5" w14:textId="77777777" w:rsidR="00B356FA" w:rsidRPr="00050087" w:rsidRDefault="00B356FA">
            <w:pPr>
              <w:rPr>
                <w:rFonts w:ascii="Calibri" w:hAnsi="Calibri"/>
              </w:rPr>
            </w:pPr>
            <w:r w:rsidRPr="00050087">
              <w:rPr>
                <w:rFonts w:ascii="Calibri" w:hAnsi="Calibri"/>
              </w:rPr>
              <w:t xml:space="preserve">512.0030          </w:t>
            </w:r>
          </w:p>
        </w:tc>
        <w:tc>
          <w:tcPr>
            <w:tcW w:w="405" w:type="pct"/>
            <w:noWrap/>
          </w:tcPr>
          <w:p w14:paraId="47C46669" w14:textId="77777777" w:rsidR="00B356FA" w:rsidRPr="00050087" w:rsidRDefault="006B5352" w:rsidP="006B5352">
            <w:pPr>
              <w:rPr>
                <w:rFonts w:ascii="Calibri" w:hAnsi="Calibri"/>
              </w:rPr>
            </w:pPr>
            <w:r w:rsidRPr="00050087">
              <w:rPr>
                <w:rFonts w:ascii="Calibri" w:hAnsi="Calibri"/>
              </w:rPr>
              <w:t>m</w:t>
            </w:r>
            <w:r w:rsidR="00B356FA" w:rsidRPr="00050087">
              <w:rPr>
                <w:rFonts w:ascii="Calibri" w:hAnsi="Calibri"/>
                <w:vertAlign w:val="superscript"/>
              </w:rPr>
              <w:t>3</w:t>
            </w:r>
          </w:p>
        </w:tc>
        <w:tc>
          <w:tcPr>
            <w:tcW w:w="4064" w:type="pct"/>
          </w:tcPr>
          <w:p w14:paraId="5499A927" w14:textId="77777777" w:rsidR="00B356FA" w:rsidRPr="00050087" w:rsidRDefault="0084421A" w:rsidP="00900DF9">
            <w:pPr>
              <w:jc w:val="both"/>
              <w:rPr>
                <w:rFonts w:ascii="Calibri" w:hAnsi="Calibri"/>
              </w:rPr>
            </w:pPr>
            <w:r w:rsidRPr="00050087">
              <w:rPr>
                <w:rFonts w:ascii="Calibri" w:hAnsi="Calibri"/>
              </w:rPr>
              <w:t>SUELO ESTABILIZADO "IN SITU" CON CEMENTO, TIPO S-EST3, CON TIERRAS DE LA PROPIA EXCAVACIÓN, EXTENDIDO Y COMPACTADO, HUMECTACIÓN O SECADO Y PREPARACIÓN DE LA SUPERFICIE DE ASIENTO, TOTALMENTE TERMINADO, SIN INCLUIR CEMENTO.</w:t>
            </w:r>
          </w:p>
        </w:tc>
      </w:tr>
    </w:tbl>
    <w:p w14:paraId="2E85E431" w14:textId="77777777" w:rsidR="00810099" w:rsidRPr="00035413" w:rsidRDefault="00810099" w:rsidP="00810099">
      <w:pPr>
        <w:pStyle w:val="NORMAL12"/>
        <w:rPr>
          <w:lang w:val="es-ES"/>
        </w:rPr>
      </w:pPr>
      <w:r w:rsidRPr="00035413">
        <w:rPr>
          <w:lang w:val="es-ES"/>
        </w:rPr>
        <w:t>La ejecución de un suelo estabilizado in situ incluye las siguientes operaciones:</w:t>
      </w:r>
    </w:p>
    <w:p w14:paraId="618FED83" w14:textId="77777777" w:rsidR="00810099" w:rsidRPr="00035413" w:rsidRDefault="00810099" w:rsidP="00D51625">
      <w:pPr>
        <w:pStyle w:val="NORMAL12"/>
        <w:numPr>
          <w:ilvl w:val="0"/>
          <w:numId w:val="20"/>
        </w:numPr>
        <w:rPr>
          <w:lang w:val="es-ES"/>
        </w:rPr>
      </w:pPr>
      <w:r w:rsidRPr="00035413">
        <w:rPr>
          <w:lang w:val="es-ES"/>
        </w:rPr>
        <w:t>Estudio de la mezcla y obtención de la fórmula de trabajo.</w:t>
      </w:r>
    </w:p>
    <w:p w14:paraId="69979FE4" w14:textId="77777777" w:rsidR="00810099" w:rsidRPr="00035413" w:rsidRDefault="00810099" w:rsidP="00D51625">
      <w:pPr>
        <w:pStyle w:val="NORMAL12"/>
        <w:numPr>
          <w:ilvl w:val="0"/>
          <w:numId w:val="20"/>
        </w:numPr>
        <w:rPr>
          <w:lang w:val="es-ES"/>
        </w:rPr>
      </w:pPr>
      <w:r w:rsidRPr="00035413">
        <w:rPr>
          <w:lang w:val="es-ES"/>
        </w:rPr>
        <w:t>Preparación de la superficie existente, cuando proceda.</w:t>
      </w:r>
    </w:p>
    <w:p w14:paraId="78DDDDD8" w14:textId="77777777" w:rsidR="00810099" w:rsidRPr="00035413" w:rsidRDefault="00810099" w:rsidP="00D51625">
      <w:pPr>
        <w:pStyle w:val="NORMAL12"/>
        <w:numPr>
          <w:ilvl w:val="0"/>
          <w:numId w:val="20"/>
        </w:numPr>
        <w:rPr>
          <w:lang w:val="es-ES"/>
        </w:rPr>
      </w:pPr>
      <w:r w:rsidRPr="00035413">
        <w:rPr>
          <w:lang w:val="es-ES"/>
        </w:rPr>
        <w:t>Disgregación del suelo.</w:t>
      </w:r>
    </w:p>
    <w:p w14:paraId="72949682" w14:textId="77777777" w:rsidR="00810099" w:rsidRPr="00035413" w:rsidRDefault="00810099" w:rsidP="00D51625">
      <w:pPr>
        <w:pStyle w:val="NORMAL12"/>
        <w:numPr>
          <w:ilvl w:val="0"/>
          <w:numId w:val="20"/>
        </w:numPr>
        <w:rPr>
          <w:lang w:val="es-ES"/>
        </w:rPr>
      </w:pPr>
      <w:r w:rsidRPr="00035413">
        <w:rPr>
          <w:lang w:val="es-ES"/>
        </w:rPr>
        <w:t>Humectación o desecación del suelo.</w:t>
      </w:r>
    </w:p>
    <w:p w14:paraId="495F00EC" w14:textId="77777777" w:rsidR="00810099" w:rsidRPr="00035413" w:rsidRDefault="00810099" w:rsidP="00D51625">
      <w:pPr>
        <w:pStyle w:val="NORMAL12"/>
        <w:numPr>
          <w:ilvl w:val="0"/>
          <w:numId w:val="20"/>
        </w:numPr>
        <w:rPr>
          <w:lang w:val="es-ES"/>
        </w:rPr>
      </w:pPr>
      <w:r w:rsidRPr="00035413">
        <w:rPr>
          <w:lang w:val="es-ES"/>
        </w:rPr>
        <w:t>Distribución del conglomerante.</w:t>
      </w:r>
    </w:p>
    <w:p w14:paraId="5CB335C6" w14:textId="77777777" w:rsidR="00810099" w:rsidRPr="00035413" w:rsidRDefault="00810099" w:rsidP="00D51625">
      <w:pPr>
        <w:pStyle w:val="NORMAL12"/>
        <w:numPr>
          <w:ilvl w:val="0"/>
          <w:numId w:val="20"/>
        </w:numPr>
        <w:rPr>
          <w:lang w:val="es-ES"/>
        </w:rPr>
      </w:pPr>
      <w:r w:rsidRPr="00035413">
        <w:rPr>
          <w:lang w:val="es-ES"/>
        </w:rPr>
        <w:t>Ejecución de la mezcla.</w:t>
      </w:r>
    </w:p>
    <w:p w14:paraId="6222D72D" w14:textId="77777777" w:rsidR="00810099" w:rsidRPr="00035413" w:rsidRDefault="00810099" w:rsidP="00D51625">
      <w:pPr>
        <w:pStyle w:val="NORMAL12"/>
        <w:numPr>
          <w:ilvl w:val="0"/>
          <w:numId w:val="20"/>
        </w:numPr>
        <w:rPr>
          <w:lang w:val="es-ES"/>
        </w:rPr>
      </w:pPr>
      <w:r w:rsidRPr="00035413">
        <w:rPr>
          <w:lang w:val="es-ES"/>
        </w:rPr>
        <w:t>Compactación.</w:t>
      </w:r>
    </w:p>
    <w:p w14:paraId="6DA5C8EA" w14:textId="77777777" w:rsidR="00810099" w:rsidRPr="00035413" w:rsidRDefault="00810099" w:rsidP="00D51625">
      <w:pPr>
        <w:pStyle w:val="NORMAL12"/>
        <w:numPr>
          <w:ilvl w:val="0"/>
          <w:numId w:val="20"/>
        </w:numPr>
        <w:rPr>
          <w:lang w:val="es-ES"/>
        </w:rPr>
      </w:pPr>
      <w:r w:rsidRPr="00035413">
        <w:rPr>
          <w:lang w:val="es-ES"/>
        </w:rPr>
        <w:t>Terminación de la superficie.</w:t>
      </w:r>
    </w:p>
    <w:p w14:paraId="0C19A49C" w14:textId="77777777" w:rsidR="00810099" w:rsidRPr="00035413" w:rsidRDefault="00810099" w:rsidP="00D51625">
      <w:pPr>
        <w:pStyle w:val="NORMAL12"/>
        <w:numPr>
          <w:ilvl w:val="0"/>
          <w:numId w:val="20"/>
        </w:numPr>
        <w:rPr>
          <w:lang w:val="es-ES"/>
        </w:rPr>
      </w:pPr>
      <w:r w:rsidRPr="00035413">
        <w:rPr>
          <w:lang w:val="es-ES"/>
        </w:rPr>
        <w:t>Curado y protección superficial.</w:t>
      </w:r>
    </w:p>
    <w:p w14:paraId="4ECCA1DA" w14:textId="77777777" w:rsidR="00810099" w:rsidRDefault="00DF7E45" w:rsidP="00810099">
      <w:pPr>
        <w:pStyle w:val="NORMAL12"/>
        <w:rPr>
          <w:lang w:val="es-ES"/>
        </w:rPr>
      </w:pPr>
      <w:r>
        <w:rPr>
          <w:lang w:val="es-ES"/>
        </w:rPr>
        <w:t xml:space="preserve">El tipo de suelo estabilizado in situ utilizado es el tipo </w:t>
      </w:r>
      <w:r w:rsidR="00810099" w:rsidRPr="00035413">
        <w:rPr>
          <w:lang w:val="es-ES"/>
        </w:rPr>
        <w:t>S-EST3</w:t>
      </w:r>
      <w:r>
        <w:rPr>
          <w:lang w:val="es-ES"/>
        </w:rPr>
        <w:t xml:space="preserve">, obtenido mediante la estabilización con cemento. </w:t>
      </w:r>
    </w:p>
    <w:p w14:paraId="1B6A1658" w14:textId="77777777" w:rsidR="00266DCA" w:rsidRPr="00035413" w:rsidRDefault="00266DCA" w:rsidP="00810099">
      <w:pPr>
        <w:pStyle w:val="NORMAL12"/>
        <w:rPr>
          <w:lang w:val="es-ES"/>
        </w:rPr>
      </w:pPr>
    </w:p>
    <w:p w14:paraId="4FE7E1E5" w14:textId="77777777" w:rsidR="00810099" w:rsidRPr="00035413" w:rsidRDefault="00810099" w:rsidP="000313DD">
      <w:pPr>
        <w:pStyle w:val="TITU2"/>
      </w:pPr>
      <w:bookmarkStart w:id="558" w:name="_Toc404298"/>
      <w:r w:rsidRPr="00035413">
        <w:t>512.2. Materiales</w:t>
      </w:r>
      <w:bookmarkEnd w:id="558"/>
    </w:p>
    <w:p w14:paraId="0DD1E350" w14:textId="77777777" w:rsidR="00B66814" w:rsidRPr="00035413" w:rsidRDefault="00B66814" w:rsidP="00B66814">
      <w:pPr>
        <w:pStyle w:val="NORMAL12"/>
        <w:rPr>
          <w:lang w:val="es-ES"/>
        </w:rPr>
      </w:pPr>
      <w:r w:rsidRPr="00035413">
        <w:rPr>
          <w:lang w:val="es-ES"/>
        </w:rPr>
        <w:t>Se empleará suelo estabilizado S-EST 3 que cumplirá las siguientes características:</w:t>
      </w:r>
    </w:p>
    <w:p w14:paraId="480A34BA" w14:textId="77777777" w:rsidR="00810099" w:rsidRPr="00035413" w:rsidRDefault="00810099" w:rsidP="009F36C5">
      <w:pPr>
        <w:pStyle w:val="TITU3"/>
        <w:numPr>
          <w:ilvl w:val="0"/>
          <w:numId w:val="0"/>
        </w:numPr>
        <w:rPr>
          <w:b w:val="0"/>
          <w:u w:val="single"/>
        </w:rPr>
      </w:pPr>
      <w:r w:rsidRPr="00035413">
        <w:rPr>
          <w:b w:val="0"/>
          <w:u w:val="single"/>
        </w:rPr>
        <w:t>Cemento</w:t>
      </w:r>
    </w:p>
    <w:p w14:paraId="4A95940B" w14:textId="77777777" w:rsidR="00B66814" w:rsidRPr="00111B52" w:rsidRDefault="00B66814" w:rsidP="00810099">
      <w:pPr>
        <w:pStyle w:val="NORMAL12"/>
        <w:rPr>
          <w:lang w:val="es-ES"/>
        </w:rPr>
      </w:pPr>
      <w:r w:rsidRPr="00111B52">
        <w:rPr>
          <w:lang w:val="es-ES"/>
        </w:rPr>
        <w:t>Se cumplirá lo especificado en la Instrucci</w:t>
      </w:r>
      <w:r w:rsidR="003565EB">
        <w:rPr>
          <w:lang w:val="es-ES"/>
        </w:rPr>
        <w:t>ón para Recepción de cementos</w:t>
      </w:r>
      <w:r w:rsidR="00A212A3">
        <w:rPr>
          <w:lang w:val="es-ES"/>
        </w:rPr>
        <w:t xml:space="preserve"> (RC-16)</w:t>
      </w:r>
      <w:r w:rsidR="003565EB">
        <w:rPr>
          <w:lang w:val="es-ES"/>
        </w:rPr>
        <w:t xml:space="preserve">, </w:t>
      </w:r>
      <w:r w:rsidRPr="00111B52">
        <w:rPr>
          <w:lang w:val="es-ES"/>
        </w:rPr>
        <w:t>en el artículo 202 del PG-3</w:t>
      </w:r>
      <w:r w:rsidR="003565EB">
        <w:rPr>
          <w:lang w:val="es-ES"/>
        </w:rPr>
        <w:t xml:space="preserve"> y de este Pliego.</w:t>
      </w:r>
    </w:p>
    <w:p w14:paraId="675D46FB" w14:textId="77777777" w:rsidR="00810099" w:rsidRPr="00111B52" w:rsidRDefault="00B66814" w:rsidP="00810099">
      <w:pPr>
        <w:pStyle w:val="NORMAL12"/>
        <w:rPr>
          <w:lang w:val="es-ES"/>
        </w:rPr>
      </w:pPr>
      <w:r w:rsidRPr="00111B52">
        <w:rPr>
          <w:lang w:val="es-ES"/>
        </w:rPr>
        <w:t xml:space="preserve">La </w:t>
      </w:r>
      <w:r w:rsidR="00810099" w:rsidRPr="00111B52">
        <w:rPr>
          <w:lang w:val="es-ES"/>
        </w:rPr>
        <w:t>clase resistente del cemento será la 32,5N para los cemento</w:t>
      </w:r>
      <w:r w:rsidR="00E06308" w:rsidRPr="00111B52">
        <w:rPr>
          <w:lang w:val="es-ES"/>
        </w:rPr>
        <w:t>s comunes.</w:t>
      </w:r>
      <w:r w:rsidR="00810099" w:rsidRPr="00111B52">
        <w:rPr>
          <w:lang w:val="es-ES"/>
        </w:rPr>
        <w:t xml:space="preserve"> No se emplearán cementos de aluminato de calcio, ni mezclas de cemento con adiciones que no hayan sido realizadas en instalaciones de fabricación específicas.</w:t>
      </w:r>
    </w:p>
    <w:p w14:paraId="0078F4FD" w14:textId="77777777" w:rsidR="00B66814" w:rsidRPr="00266DCA" w:rsidRDefault="00B66814" w:rsidP="00810099">
      <w:pPr>
        <w:pStyle w:val="NORMAL12"/>
        <w:rPr>
          <w:lang w:val="es-ES"/>
        </w:rPr>
      </w:pPr>
      <w:r w:rsidRPr="00111B52">
        <w:rPr>
          <w:lang w:val="es-ES"/>
        </w:rPr>
        <w:t xml:space="preserve">Se empleará una dotación que contendrá al menos </w:t>
      </w:r>
      <w:r w:rsidR="00DF7E45" w:rsidRPr="00111B52">
        <w:rPr>
          <w:lang w:val="es-ES"/>
        </w:rPr>
        <w:t xml:space="preserve">ochenta </w:t>
      </w:r>
      <w:r w:rsidRPr="00111B52">
        <w:rPr>
          <w:lang w:val="es-ES"/>
        </w:rPr>
        <w:t>kilogramos</w:t>
      </w:r>
      <w:r w:rsidR="00E96375" w:rsidRPr="00111B52">
        <w:rPr>
          <w:lang w:val="es-ES"/>
        </w:rPr>
        <w:t xml:space="preserve"> (</w:t>
      </w:r>
      <w:r w:rsidR="00DF7E45" w:rsidRPr="00111B52">
        <w:rPr>
          <w:lang w:val="es-ES"/>
        </w:rPr>
        <w:t>80</w:t>
      </w:r>
      <w:r w:rsidR="0090638F">
        <w:rPr>
          <w:lang w:val="es-ES"/>
        </w:rPr>
        <w:t xml:space="preserve"> </w:t>
      </w:r>
      <w:r w:rsidR="00D93E76">
        <w:rPr>
          <w:lang w:val="es-ES"/>
        </w:rPr>
        <w:t>kg)</w:t>
      </w:r>
      <w:r w:rsidRPr="00111B52">
        <w:rPr>
          <w:lang w:val="es-ES"/>
        </w:rPr>
        <w:t xml:space="preserve"> de cemento por metro cúbico de suelo a estabilizar.</w:t>
      </w:r>
      <w:r w:rsidR="00266DCA">
        <w:rPr>
          <w:lang w:val="es-ES"/>
        </w:rPr>
        <w:t xml:space="preserve"> Considerando una densidad del suelo de 1,4 t/m</w:t>
      </w:r>
      <w:r w:rsidR="00266DCA" w:rsidRPr="00266DCA">
        <w:rPr>
          <w:vertAlign w:val="superscript"/>
          <w:lang w:val="es-ES"/>
        </w:rPr>
        <w:t>3</w:t>
      </w:r>
      <w:r w:rsidR="00266DCA">
        <w:rPr>
          <w:lang w:val="es-ES"/>
        </w:rPr>
        <w:t>, el porcentaje de conglomerante hidráu</w:t>
      </w:r>
      <w:r w:rsidR="00E10B4F">
        <w:rPr>
          <w:lang w:val="es-ES"/>
        </w:rPr>
        <w:t>lico</w:t>
      </w:r>
      <w:r w:rsidR="00266DCA">
        <w:rPr>
          <w:lang w:val="es-ES"/>
        </w:rPr>
        <w:t xml:space="preserve"> en masa del suelo seco es de </w:t>
      </w:r>
      <w:r w:rsidR="00E10B4F">
        <w:rPr>
          <w:lang w:val="es-ES"/>
        </w:rPr>
        <w:t>cinco con setenta por ciento (</w:t>
      </w:r>
      <w:r w:rsidR="00266DCA">
        <w:rPr>
          <w:lang w:val="es-ES"/>
        </w:rPr>
        <w:t>5,7</w:t>
      </w:r>
      <w:r w:rsidR="00E10B4F">
        <w:rPr>
          <w:lang w:val="es-ES"/>
        </w:rPr>
        <w:t>0</w:t>
      </w:r>
      <w:r w:rsidR="00266DCA">
        <w:rPr>
          <w:lang w:val="es-ES"/>
        </w:rPr>
        <w:t xml:space="preserve"> %</w:t>
      </w:r>
      <w:r w:rsidR="00E10B4F">
        <w:rPr>
          <w:lang w:val="es-ES"/>
        </w:rPr>
        <w:t>)</w:t>
      </w:r>
      <w:r w:rsidR="00266DCA">
        <w:rPr>
          <w:lang w:val="es-ES"/>
        </w:rPr>
        <w:t xml:space="preserve">, superior al </w:t>
      </w:r>
      <w:r w:rsidR="00E10B4F">
        <w:rPr>
          <w:lang w:val="es-ES"/>
        </w:rPr>
        <w:t>tres por ciento (</w:t>
      </w:r>
      <w:r w:rsidR="00266DCA">
        <w:rPr>
          <w:lang w:val="es-ES"/>
        </w:rPr>
        <w:t>3 %</w:t>
      </w:r>
      <w:r w:rsidR="00E10B4F">
        <w:rPr>
          <w:lang w:val="es-ES"/>
        </w:rPr>
        <w:t>)</w:t>
      </w:r>
      <w:r w:rsidR="00266DCA">
        <w:rPr>
          <w:lang w:val="es-ES"/>
        </w:rPr>
        <w:t xml:space="preserve"> exigido en el PG-3 </w:t>
      </w:r>
    </w:p>
    <w:p w14:paraId="3B5B2D4E" w14:textId="77777777" w:rsidR="00810099" w:rsidRPr="00035413" w:rsidRDefault="00810099" w:rsidP="009F36C5">
      <w:pPr>
        <w:pStyle w:val="TITU3"/>
        <w:numPr>
          <w:ilvl w:val="0"/>
          <w:numId w:val="0"/>
        </w:numPr>
        <w:rPr>
          <w:b w:val="0"/>
          <w:u w:val="single"/>
        </w:rPr>
      </w:pPr>
      <w:r w:rsidRPr="00035413">
        <w:rPr>
          <w:b w:val="0"/>
          <w:u w:val="single"/>
        </w:rPr>
        <w:t>Suelo</w:t>
      </w:r>
    </w:p>
    <w:p w14:paraId="33E5E74C" w14:textId="77777777" w:rsidR="008C1EC2" w:rsidRPr="006B5352" w:rsidRDefault="008C1EC2" w:rsidP="00B66814">
      <w:pPr>
        <w:pStyle w:val="NORMAL12"/>
        <w:rPr>
          <w:lang w:val="es-ES"/>
        </w:rPr>
      </w:pPr>
      <w:r w:rsidRPr="00035413">
        <w:rPr>
          <w:lang w:val="es-ES"/>
        </w:rPr>
        <w:t xml:space="preserve">Los </w:t>
      </w:r>
      <w:r w:rsidRPr="006B5352">
        <w:rPr>
          <w:lang w:val="es-ES"/>
        </w:rPr>
        <w:t xml:space="preserve">materiales que se vayan a estabilizar in situ con cemento serán suelos procedentes de </w:t>
      </w:r>
      <w:r w:rsidR="006623E1" w:rsidRPr="006B5352">
        <w:rPr>
          <w:lang w:val="es-ES"/>
        </w:rPr>
        <w:t>préstamo</w:t>
      </w:r>
      <w:r w:rsidR="00111B52" w:rsidRPr="006B5352">
        <w:rPr>
          <w:lang w:val="es-ES"/>
        </w:rPr>
        <w:t>.</w:t>
      </w:r>
    </w:p>
    <w:p w14:paraId="15E72B60" w14:textId="77777777" w:rsidR="008C1EC2" w:rsidRPr="00035413" w:rsidRDefault="008C1EC2" w:rsidP="00B66814">
      <w:pPr>
        <w:pStyle w:val="NORMAL12"/>
        <w:rPr>
          <w:lang w:val="es-ES"/>
        </w:rPr>
      </w:pPr>
      <w:r w:rsidRPr="006B5352">
        <w:rPr>
          <w:lang w:val="es-ES"/>
        </w:rPr>
        <w:t>No contendrán en ningún caso materia orgánica, sulfatos, sulfuros, fosfatos, nitratos, cloruros u otros compuestos químicos en cantidades perjudiciales (en especial para el fraguado, en el caso de que se emplee cemento</w:t>
      </w:r>
      <w:r w:rsidRPr="00035413">
        <w:rPr>
          <w:lang w:val="es-ES"/>
        </w:rPr>
        <w:t>).</w:t>
      </w:r>
    </w:p>
    <w:p w14:paraId="6077B067" w14:textId="77777777" w:rsidR="008C1EC2" w:rsidRPr="00035413" w:rsidRDefault="008C1EC2" w:rsidP="00B66814">
      <w:pPr>
        <w:pStyle w:val="NORMAL12"/>
        <w:rPr>
          <w:lang w:val="es-ES"/>
        </w:rPr>
      </w:pPr>
      <w:r w:rsidRPr="00035413">
        <w:rPr>
          <w:lang w:val="es-ES"/>
        </w:rPr>
        <w:t xml:space="preserve">Los materiales que se vayan a estabilizar con cemento no presentarán reactividad potencial con los álcalis de éste. En materiales sobre los que no exista suficiente experiencia en su comportamiento en mezclas con cemento, realizado el análisis químico de la concentración de SiO2 y de la reducción de la alcalinidad R, según la UNE 146507-1, el material será considerado potencialmente reactivo si: </w:t>
      </w:r>
    </w:p>
    <w:p w14:paraId="6AB757E6" w14:textId="77777777" w:rsidR="008C1EC2" w:rsidRPr="00035413" w:rsidRDefault="008C1EC2" w:rsidP="00E01981">
      <w:pPr>
        <w:pStyle w:val="NORMAL12"/>
        <w:numPr>
          <w:ilvl w:val="0"/>
          <w:numId w:val="111"/>
        </w:numPr>
        <w:rPr>
          <w:lang w:val="es-ES"/>
        </w:rPr>
      </w:pPr>
      <w:r w:rsidRPr="00035413">
        <w:rPr>
          <w:lang w:val="es-ES"/>
        </w:rPr>
        <w:t xml:space="preserve">SiO2 &gt; R cuando R ³ 70 </w:t>
      </w:r>
    </w:p>
    <w:p w14:paraId="16B415C2" w14:textId="77777777" w:rsidR="008C1EC2" w:rsidRPr="00035413" w:rsidRDefault="008C1EC2" w:rsidP="00E01981">
      <w:pPr>
        <w:pStyle w:val="NORMAL12"/>
        <w:numPr>
          <w:ilvl w:val="0"/>
          <w:numId w:val="111"/>
        </w:numPr>
        <w:rPr>
          <w:lang w:val="es-ES"/>
        </w:rPr>
      </w:pPr>
      <w:r w:rsidRPr="00035413">
        <w:rPr>
          <w:lang w:val="es-ES"/>
        </w:rPr>
        <w:t xml:space="preserve">SiO2 &gt; 35 + 0,5·R cuando R &lt; 70 </w:t>
      </w:r>
    </w:p>
    <w:p w14:paraId="15B368FA" w14:textId="77777777" w:rsidR="00266DCA" w:rsidRDefault="00266DCA" w:rsidP="008C1EC2">
      <w:pPr>
        <w:pStyle w:val="NORMAL12"/>
        <w:rPr>
          <w:lang w:val="es-ES"/>
        </w:rPr>
      </w:pPr>
    </w:p>
    <w:p w14:paraId="1ECF0CD3" w14:textId="77777777" w:rsidR="00266DCA" w:rsidRDefault="00266DCA" w:rsidP="008C1EC2">
      <w:pPr>
        <w:pStyle w:val="NORMAL12"/>
        <w:rPr>
          <w:lang w:val="es-ES"/>
        </w:rPr>
      </w:pPr>
    </w:p>
    <w:p w14:paraId="082BB181" w14:textId="77777777" w:rsidR="00266DCA" w:rsidRDefault="00266DCA" w:rsidP="008C1EC2">
      <w:pPr>
        <w:pStyle w:val="NORMAL12"/>
        <w:rPr>
          <w:lang w:val="es-ES"/>
        </w:rPr>
      </w:pPr>
    </w:p>
    <w:p w14:paraId="0F4553D8" w14:textId="77777777" w:rsidR="00266DCA" w:rsidRDefault="00266DCA" w:rsidP="008C1EC2">
      <w:pPr>
        <w:pStyle w:val="NORMAL12"/>
        <w:rPr>
          <w:lang w:val="es-ES"/>
        </w:rPr>
      </w:pPr>
    </w:p>
    <w:p w14:paraId="71AE3EDC" w14:textId="77777777" w:rsidR="008C1EC2" w:rsidRPr="00035413" w:rsidRDefault="00B66814" w:rsidP="008C1EC2">
      <w:pPr>
        <w:pStyle w:val="NORMAL12"/>
        <w:rPr>
          <w:lang w:val="es-ES"/>
        </w:rPr>
      </w:pPr>
      <w:r w:rsidRPr="00035413">
        <w:rPr>
          <w:lang w:val="es-ES"/>
        </w:rPr>
        <w:t>En cuanto a la granulometría cumplirán: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9"/>
        <w:gridCol w:w="2199"/>
        <w:gridCol w:w="2199"/>
        <w:gridCol w:w="2199"/>
      </w:tblGrid>
      <w:tr w:rsidR="005864C2" w:rsidRPr="00035413" w14:paraId="0ECF5AEF" w14:textId="77777777" w:rsidTr="0090638F">
        <w:trPr>
          <w:trHeight w:val="437"/>
          <w:jc w:val="center"/>
        </w:trPr>
        <w:tc>
          <w:tcPr>
            <w:tcW w:w="1700" w:type="pct"/>
            <w:vMerge w:val="restart"/>
            <w:shd w:val="clear" w:color="auto" w:fill="D9D9D9" w:themeFill="background1" w:themeFillShade="D9"/>
          </w:tcPr>
          <w:p w14:paraId="44AE835F" w14:textId="77777777" w:rsidR="00810099" w:rsidRPr="00035413" w:rsidRDefault="00810099" w:rsidP="00E06308">
            <w:pPr>
              <w:pStyle w:val="TableParagraph"/>
              <w:keepNext/>
              <w:jc w:val="center"/>
              <w:rPr>
                <w:rFonts w:ascii="Arial" w:hAnsi="Arial" w:cs="Arial"/>
                <w:b/>
                <w:sz w:val="20"/>
                <w:szCs w:val="20"/>
                <w:lang w:val="es-ES"/>
              </w:rPr>
            </w:pPr>
          </w:p>
          <w:p w14:paraId="75F29A51" w14:textId="77777777" w:rsidR="00810099" w:rsidRPr="00035413" w:rsidRDefault="00810099" w:rsidP="00E06308">
            <w:pPr>
              <w:pStyle w:val="TableParagraph"/>
              <w:keepNext/>
              <w:spacing w:before="8"/>
              <w:jc w:val="center"/>
              <w:rPr>
                <w:rFonts w:ascii="Arial" w:hAnsi="Arial" w:cs="Arial"/>
                <w:b/>
                <w:sz w:val="20"/>
                <w:szCs w:val="20"/>
                <w:lang w:val="es-ES"/>
              </w:rPr>
            </w:pPr>
          </w:p>
          <w:p w14:paraId="77170836" w14:textId="77777777" w:rsidR="00810099" w:rsidRPr="00035413" w:rsidRDefault="00810099" w:rsidP="00E06308">
            <w:pPr>
              <w:pStyle w:val="TableParagraph"/>
              <w:keepNext/>
              <w:ind w:left="235"/>
              <w:jc w:val="center"/>
              <w:rPr>
                <w:rFonts w:ascii="Arial" w:hAnsi="Arial" w:cs="Arial"/>
                <w:b/>
                <w:sz w:val="20"/>
                <w:szCs w:val="20"/>
              </w:rPr>
            </w:pPr>
            <w:r w:rsidRPr="00035413">
              <w:rPr>
                <w:rFonts w:ascii="Arial" w:hAnsi="Arial" w:cs="Arial"/>
                <w:b/>
                <w:sz w:val="20"/>
                <w:szCs w:val="20"/>
              </w:rPr>
              <w:t xml:space="preserve">Tipo De Suelo </w:t>
            </w:r>
            <w:proofErr w:type="spellStart"/>
            <w:r w:rsidRPr="00035413">
              <w:rPr>
                <w:rFonts w:ascii="Arial" w:hAnsi="Arial" w:cs="Arial"/>
                <w:b/>
                <w:sz w:val="20"/>
                <w:szCs w:val="20"/>
              </w:rPr>
              <w:t>estabilizado</w:t>
            </w:r>
            <w:proofErr w:type="spellEnd"/>
          </w:p>
        </w:tc>
        <w:tc>
          <w:tcPr>
            <w:tcW w:w="3300" w:type="pct"/>
            <w:gridSpan w:val="3"/>
            <w:shd w:val="clear" w:color="auto" w:fill="D9D9D9" w:themeFill="background1" w:themeFillShade="D9"/>
          </w:tcPr>
          <w:p w14:paraId="49A30A4F" w14:textId="77777777" w:rsidR="00810099" w:rsidRPr="00035413" w:rsidRDefault="00810099" w:rsidP="00E06308">
            <w:pPr>
              <w:pStyle w:val="TableParagraph"/>
              <w:keepNext/>
              <w:spacing w:before="105"/>
              <w:ind w:left="1374"/>
              <w:jc w:val="center"/>
              <w:rPr>
                <w:rFonts w:ascii="Arial" w:hAnsi="Arial" w:cs="Arial"/>
                <w:b/>
                <w:sz w:val="20"/>
                <w:szCs w:val="20"/>
              </w:rPr>
            </w:pPr>
            <w:proofErr w:type="spellStart"/>
            <w:r w:rsidRPr="00035413">
              <w:rPr>
                <w:rFonts w:ascii="Arial" w:hAnsi="Arial" w:cs="Arial"/>
                <w:b/>
                <w:sz w:val="20"/>
                <w:szCs w:val="20"/>
              </w:rPr>
              <w:t>Cernido</w:t>
            </w:r>
            <w:proofErr w:type="spellEnd"/>
            <w:r w:rsidRPr="00035413">
              <w:rPr>
                <w:rFonts w:ascii="Arial" w:hAnsi="Arial" w:cs="Arial"/>
                <w:b/>
                <w:sz w:val="20"/>
                <w:szCs w:val="20"/>
              </w:rPr>
              <w:t xml:space="preserve"> </w:t>
            </w:r>
            <w:proofErr w:type="spellStart"/>
            <w:r w:rsidRPr="00035413">
              <w:rPr>
                <w:rFonts w:ascii="Arial" w:hAnsi="Arial" w:cs="Arial"/>
                <w:b/>
                <w:sz w:val="20"/>
                <w:szCs w:val="20"/>
              </w:rPr>
              <w:t>Acumulado</w:t>
            </w:r>
            <w:proofErr w:type="spellEnd"/>
            <w:r w:rsidRPr="00035413">
              <w:rPr>
                <w:rFonts w:ascii="Arial" w:hAnsi="Arial" w:cs="Arial"/>
                <w:b/>
                <w:sz w:val="20"/>
                <w:szCs w:val="20"/>
              </w:rPr>
              <w:t xml:space="preserve"> (% </w:t>
            </w:r>
            <w:proofErr w:type="spellStart"/>
            <w:r w:rsidRPr="00035413">
              <w:rPr>
                <w:rFonts w:ascii="Arial" w:hAnsi="Arial" w:cs="Arial"/>
                <w:b/>
                <w:sz w:val="20"/>
                <w:szCs w:val="20"/>
              </w:rPr>
              <w:t>en</w:t>
            </w:r>
            <w:proofErr w:type="spellEnd"/>
            <w:r w:rsidRPr="00035413">
              <w:rPr>
                <w:rFonts w:ascii="Arial" w:hAnsi="Arial" w:cs="Arial"/>
                <w:b/>
                <w:sz w:val="20"/>
                <w:szCs w:val="20"/>
              </w:rPr>
              <w:t xml:space="preserve"> masa)</w:t>
            </w:r>
          </w:p>
        </w:tc>
      </w:tr>
      <w:tr w:rsidR="005864C2" w:rsidRPr="00035413" w14:paraId="09D6BF02" w14:textId="77777777" w:rsidTr="0090638F">
        <w:trPr>
          <w:trHeight w:val="428"/>
          <w:jc w:val="center"/>
        </w:trPr>
        <w:tc>
          <w:tcPr>
            <w:tcW w:w="1700" w:type="pct"/>
            <w:vMerge/>
            <w:shd w:val="clear" w:color="auto" w:fill="D9D9D9" w:themeFill="background1" w:themeFillShade="D9"/>
          </w:tcPr>
          <w:p w14:paraId="43E03B52" w14:textId="77777777" w:rsidR="00810099" w:rsidRPr="00035413" w:rsidRDefault="00810099" w:rsidP="00E06308">
            <w:pPr>
              <w:keepNext/>
              <w:jc w:val="center"/>
              <w:rPr>
                <w:rFonts w:ascii="Arial" w:hAnsi="Arial" w:cs="Arial"/>
                <w:b/>
                <w:sz w:val="20"/>
                <w:szCs w:val="20"/>
              </w:rPr>
            </w:pPr>
          </w:p>
        </w:tc>
        <w:tc>
          <w:tcPr>
            <w:tcW w:w="3300" w:type="pct"/>
            <w:gridSpan w:val="3"/>
            <w:shd w:val="clear" w:color="auto" w:fill="D9D9D9" w:themeFill="background1" w:themeFillShade="D9"/>
          </w:tcPr>
          <w:p w14:paraId="0C5090FC" w14:textId="77777777" w:rsidR="00810099" w:rsidRPr="00035413" w:rsidRDefault="00810099" w:rsidP="006623E1">
            <w:pPr>
              <w:pStyle w:val="TableParagraph"/>
              <w:keepNext/>
              <w:spacing w:before="96"/>
              <w:ind w:left="865"/>
              <w:jc w:val="center"/>
              <w:rPr>
                <w:rFonts w:ascii="Arial" w:hAnsi="Arial" w:cs="Arial"/>
                <w:b/>
                <w:sz w:val="20"/>
                <w:szCs w:val="20"/>
                <w:lang w:val="es-ES"/>
              </w:rPr>
            </w:pPr>
            <w:r w:rsidRPr="00035413">
              <w:rPr>
                <w:rFonts w:ascii="Arial" w:hAnsi="Arial" w:cs="Arial"/>
                <w:b/>
                <w:sz w:val="20"/>
                <w:szCs w:val="20"/>
                <w:lang w:val="es-ES"/>
              </w:rPr>
              <w:t xml:space="preserve">Abertura De Los Tamices </w:t>
            </w:r>
            <w:r w:rsidR="006623E1">
              <w:rPr>
                <w:rFonts w:ascii="Arial" w:hAnsi="Arial" w:cs="Arial"/>
                <w:b/>
                <w:sz w:val="20"/>
                <w:szCs w:val="20"/>
                <w:lang w:val="es-ES"/>
              </w:rPr>
              <w:t>UNE-EN</w:t>
            </w:r>
            <w:r w:rsidRPr="00035413">
              <w:rPr>
                <w:rFonts w:ascii="Arial" w:hAnsi="Arial" w:cs="Arial"/>
                <w:b/>
                <w:sz w:val="20"/>
                <w:szCs w:val="20"/>
                <w:lang w:val="es-ES"/>
              </w:rPr>
              <w:t xml:space="preserve"> 933-2 (mm)</w:t>
            </w:r>
          </w:p>
        </w:tc>
      </w:tr>
      <w:tr w:rsidR="005864C2" w:rsidRPr="00035413" w14:paraId="3CB0A692" w14:textId="77777777" w:rsidTr="0090638F">
        <w:trPr>
          <w:trHeight w:val="433"/>
          <w:jc w:val="center"/>
        </w:trPr>
        <w:tc>
          <w:tcPr>
            <w:tcW w:w="1700" w:type="pct"/>
            <w:vMerge/>
            <w:shd w:val="clear" w:color="auto" w:fill="D9D9D9" w:themeFill="background1" w:themeFillShade="D9"/>
          </w:tcPr>
          <w:p w14:paraId="0E6A70B1" w14:textId="77777777" w:rsidR="00810099" w:rsidRPr="00035413" w:rsidRDefault="00810099" w:rsidP="00E06308">
            <w:pPr>
              <w:keepNext/>
              <w:jc w:val="center"/>
              <w:rPr>
                <w:rFonts w:ascii="Arial" w:hAnsi="Arial" w:cs="Arial"/>
                <w:b/>
                <w:sz w:val="20"/>
                <w:szCs w:val="20"/>
              </w:rPr>
            </w:pPr>
          </w:p>
        </w:tc>
        <w:tc>
          <w:tcPr>
            <w:tcW w:w="1100" w:type="pct"/>
            <w:shd w:val="clear" w:color="auto" w:fill="D9D9D9" w:themeFill="background1" w:themeFillShade="D9"/>
          </w:tcPr>
          <w:p w14:paraId="2471FC49" w14:textId="77777777" w:rsidR="00810099" w:rsidRPr="00035413" w:rsidRDefault="00810099" w:rsidP="00E06308">
            <w:pPr>
              <w:pStyle w:val="TableParagraph"/>
              <w:keepNext/>
              <w:spacing w:before="98"/>
              <w:ind w:left="824" w:right="803"/>
              <w:jc w:val="center"/>
              <w:rPr>
                <w:rFonts w:ascii="Arial" w:hAnsi="Arial" w:cs="Arial"/>
                <w:b/>
                <w:sz w:val="20"/>
                <w:szCs w:val="20"/>
              </w:rPr>
            </w:pPr>
            <w:r w:rsidRPr="00035413">
              <w:rPr>
                <w:rFonts w:ascii="Arial" w:hAnsi="Arial" w:cs="Arial"/>
                <w:b/>
                <w:sz w:val="20"/>
                <w:szCs w:val="20"/>
              </w:rPr>
              <w:t>80</w:t>
            </w:r>
          </w:p>
        </w:tc>
        <w:tc>
          <w:tcPr>
            <w:tcW w:w="1100" w:type="pct"/>
            <w:shd w:val="clear" w:color="auto" w:fill="D9D9D9" w:themeFill="background1" w:themeFillShade="D9"/>
          </w:tcPr>
          <w:p w14:paraId="43E84905" w14:textId="77777777" w:rsidR="00810099" w:rsidRPr="00035413" w:rsidRDefault="00810099" w:rsidP="00E06308">
            <w:pPr>
              <w:pStyle w:val="TableParagraph"/>
              <w:keepNext/>
              <w:spacing w:before="98"/>
              <w:ind w:left="21"/>
              <w:jc w:val="center"/>
              <w:rPr>
                <w:rFonts w:ascii="Arial" w:hAnsi="Arial" w:cs="Arial"/>
                <w:b/>
                <w:sz w:val="20"/>
                <w:szCs w:val="20"/>
              </w:rPr>
            </w:pPr>
            <w:r w:rsidRPr="00035413">
              <w:rPr>
                <w:rFonts w:ascii="Arial" w:hAnsi="Arial" w:cs="Arial"/>
                <w:b/>
                <w:sz w:val="20"/>
                <w:szCs w:val="20"/>
              </w:rPr>
              <w:t>2</w:t>
            </w:r>
          </w:p>
        </w:tc>
        <w:tc>
          <w:tcPr>
            <w:tcW w:w="1100" w:type="pct"/>
            <w:shd w:val="clear" w:color="auto" w:fill="D9D9D9" w:themeFill="background1" w:themeFillShade="D9"/>
          </w:tcPr>
          <w:p w14:paraId="4146301D" w14:textId="77777777" w:rsidR="00810099" w:rsidRPr="00035413" w:rsidRDefault="00810099" w:rsidP="00E06308">
            <w:pPr>
              <w:pStyle w:val="TableParagraph"/>
              <w:keepNext/>
              <w:spacing w:before="98"/>
              <w:ind w:right="720"/>
              <w:jc w:val="center"/>
              <w:rPr>
                <w:rFonts w:ascii="Arial" w:hAnsi="Arial" w:cs="Arial"/>
                <w:b/>
                <w:sz w:val="20"/>
                <w:szCs w:val="20"/>
              </w:rPr>
            </w:pPr>
            <w:r w:rsidRPr="00035413">
              <w:rPr>
                <w:rFonts w:ascii="Arial" w:hAnsi="Arial" w:cs="Arial"/>
                <w:b/>
                <w:sz w:val="20"/>
                <w:szCs w:val="20"/>
              </w:rPr>
              <w:t>0,063</w:t>
            </w:r>
          </w:p>
        </w:tc>
      </w:tr>
      <w:tr w:rsidR="005864C2" w:rsidRPr="00035413" w14:paraId="57BF6AA4" w14:textId="77777777" w:rsidTr="0090638F">
        <w:trPr>
          <w:trHeight w:val="433"/>
          <w:jc w:val="center"/>
        </w:trPr>
        <w:tc>
          <w:tcPr>
            <w:tcW w:w="1700" w:type="pct"/>
            <w:vAlign w:val="center"/>
          </w:tcPr>
          <w:p w14:paraId="5FF3074E" w14:textId="77777777" w:rsidR="00810099" w:rsidRPr="00035413" w:rsidRDefault="00810099" w:rsidP="00E06308">
            <w:pPr>
              <w:pStyle w:val="TableParagraph"/>
              <w:spacing w:before="100"/>
              <w:ind w:left="773" w:right="752"/>
              <w:jc w:val="center"/>
              <w:rPr>
                <w:rFonts w:ascii="Arial" w:hAnsi="Arial" w:cs="Arial"/>
                <w:sz w:val="20"/>
                <w:szCs w:val="20"/>
              </w:rPr>
            </w:pPr>
            <w:r w:rsidRPr="00035413">
              <w:rPr>
                <w:rFonts w:ascii="Arial" w:hAnsi="Arial" w:cs="Arial"/>
                <w:sz w:val="20"/>
                <w:szCs w:val="20"/>
              </w:rPr>
              <w:t>S-EST</w:t>
            </w:r>
            <w:r w:rsidR="00E06308" w:rsidRPr="00035413">
              <w:rPr>
                <w:rFonts w:ascii="Arial" w:hAnsi="Arial" w:cs="Arial"/>
                <w:sz w:val="20"/>
                <w:szCs w:val="20"/>
              </w:rPr>
              <w:t>3</w:t>
            </w:r>
          </w:p>
        </w:tc>
        <w:tc>
          <w:tcPr>
            <w:tcW w:w="1100" w:type="pct"/>
            <w:vAlign w:val="center"/>
          </w:tcPr>
          <w:p w14:paraId="096C1421" w14:textId="77777777" w:rsidR="00810099" w:rsidRPr="00035413" w:rsidRDefault="00810099" w:rsidP="00E06308">
            <w:pPr>
              <w:pStyle w:val="TableParagraph"/>
              <w:ind w:left="762" w:right="741"/>
              <w:jc w:val="right"/>
              <w:rPr>
                <w:rFonts w:ascii="Arial" w:hAnsi="Arial" w:cs="Arial"/>
                <w:sz w:val="20"/>
                <w:szCs w:val="20"/>
              </w:rPr>
            </w:pPr>
            <w:r w:rsidRPr="00035413">
              <w:rPr>
                <w:rFonts w:ascii="Arial" w:hAnsi="Arial" w:cs="Arial"/>
                <w:sz w:val="20"/>
                <w:szCs w:val="20"/>
              </w:rPr>
              <w:t>100</w:t>
            </w:r>
          </w:p>
        </w:tc>
        <w:tc>
          <w:tcPr>
            <w:tcW w:w="1100" w:type="pct"/>
            <w:vAlign w:val="center"/>
          </w:tcPr>
          <w:p w14:paraId="124CF2D5" w14:textId="77777777" w:rsidR="00810099" w:rsidRPr="00035413" w:rsidRDefault="00810099" w:rsidP="00E06308">
            <w:pPr>
              <w:pStyle w:val="TableParagraph"/>
              <w:ind w:right="741"/>
              <w:jc w:val="right"/>
              <w:rPr>
                <w:rFonts w:ascii="Arial" w:hAnsi="Arial" w:cs="Arial"/>
                <w:sz w:val="20"/>
                <w:szCs w:val="20"/>
              </w:rPr>
            </w:pPr>
            <w:r w:rsidRPr="00035413">
              <w:rPr>
                <w:rFonts w:ascii="Arial" w:hAnsi="Arial" w:cs="Arial"/>
                <w:sz w:val="20"/>
                <w:szCs w:val="20"/>
              </w:rPr>
              <w:t xml:space="preserve">&gt; </w:t>
            </w:r>
            <w:r w:rsidR="00E06308" w:rsidRPr="00035413">
              <w:rPr>
                <w:rFonts w:ascii="Arial" w:hAnsi="Arial" w:cs="Arial"/>
                <w:sz w:val="20"/>
                <w:szCs w:val="20"/>
              </w:rPr>
              <w:t>2</w:t>
            </w:r>
            <w:r w:rsidRPr="00035413">
              <w:rPr>
                <w:rFonts w:ascii="Arial" w:hAnsi="Arial" w:cs="Arial"/>
                <w:sz w:val="20"/>
                <w:szCs w:val="20"/>
              </w:rPr>
              <w:t>0</w:t>
            </w:r>
          </w:p>
        </w:tc>
        <w:tc>
          <w:tcPr>
            <w:tcW w:w="1100" w:type="pct"/>
            <w:vAlign w:val="center"/>
          </w:tcPr>
          <w:p w14:paraId="2D0C9BBD" w14:textId="77777777" w:rsidR="00810099" w:rsidRPr="00035413" w:rsidRDefault="00E06308" w:rsidP="00E06308">
            <w:pPr>
              <w:pStyle w:val="TableParagraph"/>
              <w:spacing w:before="100"/>
              <w:ind w:right="766"/>
              <w:jc w:val="center"/>
              <w:rPr>
                <w:rFonts w:ascii="Arial" w:hAnsi="Arial" w:cs="Arial"/>
                <w:sz w:val="20"/>
                <w:szCs w:val="20"/>
              </w:rPr>
            </w:pPr>
            <w:r w:rsidRPr="00035413">
              <w:rPr>
                <w:rFonts w:ascii="Arial" w:hAnsi="Arial" w:cs="Arial"/>
                <w:sz w:val="20"/>
                <w:szCs w:val="20"/>
              </w:rPr>
              <w:t>&lt; 35</w:t>
            </w:r>
          </w:p>
        </w:tc>
      </w:tr>
    </w:tbl>
    <w:p w14:paraId="656AEC45" w14:textId="77777777" w:rsidR="00266DCA" w:rsidRDefault="00266DCA" w:rsidP="00810099">
      <w:pPr>
        <w:pStyle w:val="NORMAL12"/>
        <w:rPr>
          <w:lang w:val="es-ES"/>
        </w:rPr>
      </w:pPr>
    </w:p>
    <w:p w14:paraId="51F6F2F9" w14:textId="77777777" w:rsidR="00B66814" w:rsidRPr="00035413" w:rsidRDefault="00B66814" w:rsidP="00810099">
      <w:pPr>
        <w:pStyle w:val="NORMAL12"/>
        <w:rPr>
          <w:lang w:val="es-ES"/>
        </w:rPr>
      </w:pPr>
      <w:r w:rsidRPr="00035413">
        <w:rPr>
          <w:lang w:val="es-ES"/>
        </w:rPr>
        <w:t>En cuanto a la plasticidad debe cumplir:</w:t>
      </w:r>
    </w:p>
    <w:p w14:paraId="09D4277B" w14:textId="77777777" w:rsidR="00B66814" w:rsidRPr="00035413" w:rsidRDefault="00B66814" w:rsidP="00E01981">
      <w:pPr>
        <w:pStyle w:val="NORMAL12"/>
        <w:numPr>
          <w:ilvl w:val="0"/>
          <w:numId w:val="112"/>
        </w:numPr>
        <w:rPr>
          <w:lang w:val="es-ES"/>
        </w:rPr>
      </w:pPr>
      <w:r w:rsidRPr="00035413">
        <w:rPr>
          <w:lang w:val="es-ES"/>
        </w:rPr>
        <w:t>Límite líquido ≤ 40</w:t>
      </w:r>
    </w:p>
    <w:p w14:paraId="2AFB582D" w14:textId="77777777" w:rsidR="00B66814" w:rsidRPr="00035413" w:rsidRDefault="00B66814" w:rsidP="00E01981">
      <w:pPr>
        <w:pStyle w:val="NORMAL12"/>
        <w:numPr>
          <w:ilvl w:val="0"/>
          <w:numId w:val="112"/>
        </w:numPr>
        <w:rPr>
          <w:lang w:val="es-ES"/>
        </w:rPr>
      </w:pPr>
      <w:r w:rsidRPr="00035413">
        <w:rPr>
          <w:lang w:val="es-ES"/>
        </w:rPr>
        <w:t>Índice de plasticidad ≤ 15</w:t>
      </w:r>
    </w:p>
    <w:p w14:paraId="07727C8F" w14:textId="77777777" w:rsidR="008C1EC2" w:rsidRPr="00BF7C47" w:rsidRDefault="00266DCA" w:rsidP="000313DD">
      <w:pPr>
        <w:pStyle w:val="TITU2"/>
      </w:pPr>
      <w:bookmarkStart w:id="559" w:name="_Toc404299"/>
      <w:r w:rsidRPr="00BF7C47">
        <w:t>512.3. Tipo y composición del suelo estabilizado</w:t>
      </w:r>
      <w:bookmarkEnd w:id="559"/>
    </w:p>
    <w:p w14:paraId="4E2134FE" w14:textId="77777777" w:rsidR="00266DCA" w:rsidRPr="00BF7C47" w:rsidRDefault="00266DCA" w:rsidP="00266DCA">
      <w:pPr>
        <w:pStyle w:val="NORMAL12"/>
        <w:rPr>
          <w:lang w:val="es-ES"/>
        </w:rPr>
      </w:pPr>
      <w:r w:rsidRPr="00BF7C47">
        <w:rPr>
          <w:lang w:val="es-ES"/>
        </w:rPr>
        <w:t>El suelo estabilizado S-EST3 debe cumplir:</w:t>
      </w:r>
    </w:p>
    <w:p w14:paraId="6AFAD335" w14:textId="77777777" w:rsidR="00E10B4F" w:rsidRDefault="00E10B4F" w:rsidP="00E10B4F">
      <w:pPr>
        <w:pStyle w:val="NORMAL12"/>
        <w:rPr>
          <w:lang w:val="es-ES"/>
        </w:rPr>
      </w:pPr>
      <w:r w:rsidRPr="00035413">
        <w:rPr>
          <w:lang w:val="es-ES"/>
        </w:rPr>
        <w:t>Las principales especificaciones del suelo estabilizado in situ son:</w:t>
      </w:r>
    </w:p>
    <w:tbl>
      <w:tblPr>
        <w:tblW w:w="5000" w:type="pct"/>
        <w:tblCellMar>
          <w:left w:w="70" w:type="dxa"/>
          <w:right w:w="70" w:type="dxa"/>
        </w:tblCellMar>
        <w:tblLook w:val="04A0" w:firstRow="1" w:lastRow="0" w:firstColumn="1" w:lastColumn="0" w:noHBand="0" w:noVBand="1"/>
      </w:tblPr>
      <w:tblGrid>
        <w:gridCol w:w="4646"/>
        <w:gridCol w:w="2052"/>
        <w:gridCol w:w="2143"/>
        <w:gridCol w:w="1079"/>
      </w:tblGrid>
      <w:tr w:rsidR="00E10B4F" w:rsidRPr="00E10B4F" w14:paraId="4D6277F8" w14:textId="77777777" w:rsidTr="00E10B4F">
        <w:trPr>
          <w:trHeight w:val="315"/>
        </w:trPr>
        <w:tc>
          <w:tcPr>
            <w:tcW w:w="2341" w:type="pct"/>
            <w:tcBorders>
              <w:top w:val="single" w:sz="8" w:space="0" w:color="auto"/>
              <w:left w:val="single" w:sz="8" w:space="0" w:color="auto"/>
              <w:bottom w:val="single" w:sz="8" w:space="0" w:color="auto"/>
              <w:right w:val="single" w:sz="8" w:space="0" w:color="auto"/>
            </w:tcBorders>
            <w:shd w:val="clear" w:color="000000" w:fill="BFBFBF"/>
            <w:hideMark/>
          </w:tcPr>
          <w:p w14:paraId="3385776A" w14:textId="77777777" w:rsidR="00E10B4F" w:rsidRPr="00E10B4F" w:rsidRDefault="00E10B4F" w:rsidP="00E10B4F">
            <w:pPr>
              <w:jc w:val="center"/>
              <w:rPr>
                <w:rFonts w:ascii="Arial" w:hAnsi="Arial" w:cs="Arial"/>
                <w:b/>
                <w:bCs/>
                <w:color w:val="000000"/>
                <w:sz w:val="20"/>
                <w:szCs w:val="20"/>
              </w:rPr>
            </w:pPr>
            <w:r w:rsidRPr="00E10B4F">
              <w:rPr>
                <w:rFonts w:ascii="Arial" w:hAnsi="Arial" w:cs="Arial"/>
                <w:b/>
                <w:bCs/>
                <w:color w:val="000000"/>
                <w:sz w:val="20"/>
                <w:lang w:val="es-ES_tradnl"/>
              </w:rPr>
              <w:t>Características</w:t>
            </w:r>
          </w:p>
        </w:tc>
        <w:tc>
          <w:tcPr>
            <w:tcW w:w="1034" w:type="pct"/>
            <w:tcBorders>
              <w:top w:val="single" w:sz="8" w:space="0" w:color="auto"/>
              <w:left w:val="nil"/>
              <w:bottom w:val="single" w:sz="8" w:space="0" w:color="auto"/>
              <w:right w:val="single" w:sz="8" w:space="0" w:color="auto"/>
            </w:tcBorders>
            <w:shd w:val="clear" w:color="000000" w:fill="BFBFBF"/>
            <w:hideMark/>
          </w:tcPr>
          <w:p w14:paraId="2242EB5C" w14:textId="77777777" w:rsidR="00E10B4F" w:rsidRPr="00E10B4F" w:rsidRDefault="00E10B4F" w:rsidP="00E10B4F">
            <w:pPr>
              <w:jc w:val="center"/>
              <w:rPr>
                <w:rFonts w:ascii="Arial" w:hAnsi="Arial" w:cs="Arial"/>
                <w:b/>
                <w:bCs/>
                <w:color w:val="000000"/>
                <w:sz w:val="20"/>
                <w:szCs w:val="20"/>
              </w:rPr>
            </w:pPr>
            <w:r w:rsidRPr="00E10B4F">
              <w:rPr>
                <w:rFonts w:ascii="Arial" w:hAnsi="Arial" w:cs="Arial"/>
                <w:b/>
                <w:bCs/>
                <w:color w:val="000000"/>
                <w:sz w:val="20"/>
                <w:lang w:val="es-ES_tradnl"/>
              </w:rPr>
              <w:t>Unidad</w:t>
            </w:r>
          </w:p>
        </w:tc>
        <w:tc>
          <w:tcPr>
            <w:tcW w:w="1080" w:type="pct"/>
            <w:tcBorders>
              <w:top w:val="single" w:sz="8" w:space="0" w:color="auto"/>
              <w:left w:val="nil"/>
              <w:bottom w:val="single" w:sz="8" w:space="0" w:color="auto"/>
              <w:right w:val="single" w:sz="8" w:space="0" w:color="auto"/>
            </w:tcBorders>
            <w:shd w:val="clear" w:color="000000" w:fill="BFBFBF"/>
            <w:hideMark/>
          </w:tcPr>
          <w:p w14:paraId="7C4BF7B1" w14:textId="77777777" w:rsidR="00E10B4F" w:rsidRPr="00E10B4F" w:rsidRDefault="00E10B4F" w:rsidP="00E10B4F">
            <w:pPr>
              <w:jc w:val="center"/>
              <w:rPr>
                <w:rFonts w:ascii="Arial" w:hAnsi="Arial" w:cs="Arial"/>
                <w:b/>
                <w:bCs/>
                <w:color w:val="000000"/>
                <w:sz w:val="20"/>
                <w:szCs w:val="20"/>
              </w:rPr>
            </w:pPr>
            <w:r w:rsidRPr="00E10B4F">
              <w:rPr>
                <w:rFonts w:ascii="Arial" w:hAnsi="Arial" w:cs="Arial"/>
                <w:b/>
                <w:bCs/>
                <w:color w:val="000000"/>
                <w:sz w:val="20"/>
                <w:lang w:val="es-ES_tradnl"/>
              </w:rPr>
              <w:t>Norma</w:t>
            </w:r>
          </w:p>
        </w:tc>
        <w:tc>
          <w:tcPr>
            <w:tcW w:w="544" w:type="pct"/>
            <w:tcBorders>
              <w:top w:val="single" w:sz="8" w:space="0" w:color="auto"/>
              <w:left w:val="nil"/>
              <w:bottom w:val="single" w:sz="8" w:space="0" w:color="auto"/>
              <w:right w:val="single" w:sz="8" w:space="0" w:color="auto"/>
            </w:tcBorders>
            <w:shd w:val="clear" w:color="000000" w:fill="BFBFBF"/>
            <w:hideMark/>
          </w:tcPr>
          <w:p w14:paraId="096A4840" w14:textId="77777777" w:rsidR="00E10B4F" w:rsidRPr="00E10B4F" w:rsidRDefault="00E10B4F" w:rsidP="00E10B4F">
            <w:pPr>
              <w:jc w:val="center"/>
              <w:rPr>
                <w:rFonts w:ascii="Arial" w:hAnsi="Arial" w:cs="Arial"/>
                <w:b/>
                <w:bCs/>
                <w:color w:val="000000"/>
                <w:sz w:val="20"/>
                <w:szCs w:val="20"/>
              </w:rPr>
            </w:pPr>
            <w:r w:rsidRPr="00E10B4F">
              <w:rPr>
                <w:rFonts w:ascii="Arial" w:hAnsi="Arial" w:cs="Arial"/>
                <w:b/>
                <w:bCs/>
                <w:color w:val="000000"/>
                <w:sz w:val="20"/>
                <w:lang w:val="es-ES_tradnl"/>
              </w:rPr>
              <w:t>Valor</w:t>
            </w:r>
          </w:p>
        </w:tc>
      </w:tr>
      <w:tr w:rsidR="00E10B4F" w:rsidRPr="00E10B4F" w14:paraId="4E230EBA" w14:textId="77777777" w:rsidTr="00E10B4F">
        <w:trPr>
          <w:trHeight w:val="315"/>
        </w:trPr>
        <w:tc>
          <w:tcPr>
            <w:tcW w:w="2341" w:type="pct"/>
            <w:tcBorders>
              <w:top w:val="nil"/>
              <w:left w:val="single" w:sz="8" w:space="0" w:color="auto"/>
              <w:bottom w:val="single" w:sz="8" w:space="0" w:color="auto"/>
              <w:right w:val="single" w:sz="8" w:space="0" w:color="auto"/>
            </w:tcBorders>
            <w:vAlign w:val="center"/>
            <w:hideMark/>
          </w:tcPr>
          <w:p w14:paraId="55A15230" w14:textId="77777777" w:rsidR="00E10B4F" w:rsidRPr="00E10B4F" w:rsidRDefault="00E10B4F" w:rsidP="00E10B4F">
            <w:pPr>
              <w:rPr>
                <w:rFonts w:ascii="Arial" w:hAnsi="Arial" w:cs="Arial"/>
                <w:color w:val="000000"/>
                <w:sz w:val="20"/>
                <w:szCs w:val="20"/>
              </w:rPr>
            </w:pPr>
            <w:r w:rsidRPr="00E10B4F">
              <w:rPr>
                <w:rFonts w:ascii="Arial" w:hAnsi="Arial" w:cs="Arial"/>
                <w:color w:val="000000"/>
                <w:sz w:val="20"/>
                <w:lang w:val="es-ES_tradnl"/>
              </w:rPr>
              <w:t>LÍMITE LÍQUIDO (LL)</w:t>
            </w:r>
          </w:p>
        </w:tc>
        <w:tc>
          <w:tcPr>
            <w:tcW w:w="1034" w:type="pct"/>
            <w:tcBorders>
              <w:top w:val="nil"/>
              <w:left w:val="nil"/>
              <w:bottom w:val="single" w:sz="8" w:space="0" w:color="auto"/>
              <w:right w:val="single" w:sz="8" w:space="0" w:color="auto"/>
            </w:tcBorders>
            <w:vAlign w:val="bottom"/>
            <w:hideMark/>
          </w:tcPr>
          <w:p w14:paraId="28DAE743" w14:textId="77777777" w:rsidR="00E10B4F" w:rsidRPr="00E10B4F" w:rsidRDefault="00E10B4F" w:rsidP="00E10B4F">
            <w:pPr>
              <w:jc w:val="center"/>
              <w:rPr>
                <w:rFonts w:ascii="Arial" w:hAnsi="Arial" w:cs="Arial"/>
                <w:color w:val="000000"/>
                <w:sz w:val="20"/>
                <w:szCs w:val="20"/>
              </w:rPr>
            </w:pPr>
            <w:r w:rsidRPr="00E10B4F">
              <w:rPr>
                <w:rFonts w:ascii="Arial" w:hAnsi="Arial" w:cs="Arial"/>
                <w:color w:val="000000"/>
                <w:sz w:val="20"/>
                <w:lang w:val="es-ES_tradnl"/>
              </w:rPr>
              <w:t>UNE 103103</w:t>
            </w:r>
          </w:p>
        </w:tc>
        <w:tc>
          <w:tcPr>
            <w:tcW w:w="1080" w:type="pct"/>
            <w:tcBorders>
              <w:top w:val="nil"/>
              <w:left w:val="nil"/>
              <w:bottom w:val="single" w:sz="8" w:space="0" w:color="auto"/>
              <w:right w:val="single" w:sz="8" w:space="0" w:color="auto"/>
            </w:tcBorders>
            <w:hideMark/>
          </w:tcPr>
          <w:p w14:paraId="70E6B76D" w14:textId="77777777" w:rsidR="00E10B4F" w:rsidRPr="00E10B4F" w:rsidRDefault="00E10B4F" w:rsidP="00E10B4F">
            <w:pPr>
              <w:jc w:val="center"/>
              <w:rPr>
                <w:rFonts w:ascii="Arial" w:hAnsi="Arial" w:cs="Arial"/>
                <w:color w:val="000000"/>
                <w:sz w:val="20"/>
                <w:szCs w:val="20"/>
              </w:rPr>
            </w:pPr>
            <w:r w:rsidRPr="00E10B4F">
              <w:rPr>
                <w:rFonts w:ascii="Arial" w:hAnsi="Arial" w:cs="Arial"/>
                <w:color w:val="000000"/>
                <w:sz w:val="20"/>
                <w:lang w:val="es-ES_tradnl"/>
              </w:rPr>
              <w:t>UNE 103103</w:t>
            </w:r>
          </w:p>
        </w:tc>
        <w:tc>
          <w:tcPr>
            <w:tcW w:w="544" w:type="pct"/>
            <w:tcBorders>
              <w:top w:val="nil"/>
              <w:left w:val="nil"/>
              <w:bottom w:val="single" w:sz="8" w:space="0" w:color="auto"/>
              <w:right w:val="single" w:sz="8" w:space="0" w:color="auto"/>
            </w:tcBorders>
            <w:vAlign w:val="center"/>
            <w:hideMark/>
          </w:tcPr>
          <w:p w14:paraId="5E17B261" w14:textId="77777777" w:rsidR="00E10B4F" w:rsidRPr="00E10B4F" w:rsidRDefault="00E10B4F" w:rsidP="00E10B4F">
            <w:pPr>
              <w:jc w:val="center"/>
              <w:rPr>
                <w:rFonts w:ascii="Arial" w:hAnsi="Arial" w:cs="Arial"/>
                <w:color w:val="000000"/>
                <w:sz w:val="20"/>
                <w:szCs w:val="20"/>
              </w:rPr>
            </w:pPr>
            <w:r w:rsidRPr="00E10B4F">
              <w:rPr>
                <w:rFonts w:ascii="Arial" w:hAnsi="Arial" w:cs="Arial"/>
                <w:color w:val="000000"/>
                <w:sz w:val="20"/>
                <w:lang w:val="es-ES_tradnl"/>
              </w:rPr>
              <w:t>≤ 40</w:t>
            </w:r>
          </w:p>
        </w:tc>
      </w:tr>
      <w:tr w:rsidR="00E10B4F" w:rsidRPr="00E10B4F" w14:paraId="21CB8077" w14:textId="77777777" w:rsidTr="00E10B4F">
        <w:trPr>
          <w:trHeight w:val="300"/>
        </w:trPr>
        <w:tc>
          <w:tcPr>
            <w:tcW w:w="2341" w:type="pct"/>
            <w:vMerge w:val="restart"/>
            <w:tcBorders>
              <w:top w:val="nil"/>
              <w:left w:val="single" w:sz="8" w:space="0" w:color="auto"/>
              <w:bottom w:val="single" w:sz="8" w:space="0" w:color="000000"/>
              <w:right w:val="single" w:sz="8" w:space="0" w:color="auto"/>
            </w:tcBorders>
            <w:vAlign w:val="center"/>
            <w:hideMark/>
          </w:tcPr>
          <w:p w14:paraId="31F8C718" w14:textId="77777777" w:rsidR="00E10B4F" w:rsidRPr="00E10B4F" w:rsidRDefault="00E10B4F" w:rsidP="00E10B4F">
            <w:pPr>
              <w:rPr>
                <w:rFonts w:ascii="Arial" w:hAnsi="Arial" w:cs="Arial"/>
                <w:color w:val="000000"/>
                <w:sz w:val="20"/>
                <w:szCs w:val="20"/>
              </w:rPr>
            </w:pPr>
            <w:r w:rsidRPr="00E10B4F">
              <w:rPr>
                <w:rFonts w:ascii="Arial" w:hAnsi="Arial" w:cs="Arial"/>
                <w:color w:val="000000"/>
                <w:sz w:val="20"/>
                <w:lang w:val="es-ES_tradnl"/>
              </w:rPr>
              <w:t>INDICE DE PLASTICIDAD (IP)</w:t>
            </w:r>
          </w:p>
        </w:tc>
        <w:tc>
          <w:tcPr>
            <w:tcW w:w="1034" w:type="pct"/>
            <w:vMerge w:val="restart"/>
            <w:tcBorders>
              <w:top w:val="nil"/>
              <w:left w:val="single" w:sz="8" w:space="0" w:color="auto"/>
              <w:bottom w:val="single" w:sz="8" w:space="0" w:color="000000"/>
              <w:right w:val="single" w:sz="8" w:space="0" w:color="auto"/>
            </w:tcBorders>
            <w:vAlign w:val="bottom"/>
            <w:hideMark/>
          </w:tcPr>
          <w:p w14:paraId="2FFAAF2C" w14:textId="77777777" w:rsidR="00E10B4F" w:rsidRPr="00E10B4F" w:rsidRDefault="00E10B4F" w:rsidP="00E10B4F">
            <w:pPr>
              <w:jc w:val="center"/>
              <w:rPr>
                <w:rFonts w:ascii="Arial" w:hAnsi="Arial" w:cs="Arial"/>
                <w:color w:val="000000"/>
                <w:sz w:val="20"/>
                <w:szCs w:val="20"/>
              </w:rPr>
            </w:pPr>
            <w:r w:rsidRPr="00E10B4F">
              <w:rPr>
                <w:rFonts w:ascii="Arial" w:hAnsi="Arial" w:cs="Arial"/>
                <w:color w:val="000000"/>
                <w:sz w:val="20"/>
                <w:lang w:val="es-ES_tradnl"/>
              </w:rPr>
              <w:t> </w:t>
            </w:r>
          </w:p>
        </w:tc>
        <w:tc>
          <w:tcPr>
            <w:tcW w:w="1080" w:type="pct"/>
            <w:tcBorders>
              <w:top w:val="nil"/>
              <w:left w:val="nil"/>
              <w:bottom w:val="nil"/>
              <w:right w:val="single" w:sz="8" w:space="0" w:color="auto"/>
            </w:tcBorders>
            <w:hideMark/>
          </w:tcPr>
          <w:p w14:paraId="3F1F0174" w14:textId="77777777" w:rsidR="00E10B4F" w:rsidRPr="00E10B4F" w:rsidRDefault="00E10B4F" w:rsidP="00E10B4F">
            <w:pPr>
              <w:jc w:val="center"/>
              <w:rPr>
                <w:rFonts w:ascii="Arial" w:hAnsi="Arial" w:cs="Arial"/>
                <w:color w:val="000000"/>
                <w:sz w:val="20"/>
                <w:szCs w:val="20"/>
              </w:rPr>
            </w:pPr>
            <w:r w:rsidRPr="00E10B4F">
              <w:rPr>
                <w:rFonts w:ascii="Arial" w:hAnsi="Arial" w:cs="Arial"/>
                <w:color w:val="000000"/>
                <w:sz w:val="20"/>
                <w:lang w:val="es-ES_tradnl"/>
              </w:rPr>
              <w:t xml:space="preserve">UNE 103103 </w:t>
            </w:r>
          </w:p>
        </w:tc>
        <w:tc>
          <w:tcPr>
            <w:tcW w:w="544" w:type="pct"/>
            <w:vMerge w:val="restart"/>
            <w:tcBorders>
              <w:top w:val="nil"/>
              <w:left w:val="single" w:sz="8" w:space="0" w:color="auto"/>
              <w:bottom w:val="single" w:sz="8" w:space="0" w:color="000000"/>
              <w:right w:val="single" w:sz="8" w:space="0" w:color="auto"/>
            </w:tcBorders>
            <w:vAlign w:val="center"/>
            <w:hideMark/>
          </w:tcPr>
          <w:p w14:paraId="23878A25" w14:textId="77777777" w:rsidR="00E10B4F" w:rsidRPr="00E10B4F" w:rsidRDefault="00E10B4F" w:rsidP="00E10B4F">
            <w:pPr>
              <w:jc w:val="center"/>
              <w:rPr>
                <w:rFonts w:ascii="Arial" w:hAnsi="Arial" w:cs="Arial"/>
                <w:color w:val="000000"/>
                <w:sz w:val="20"/>
                <w:szCs w:val="20"/>
              </w:rPr>
            </w:pPr>
            <w:r w:rsidRPr="00E10B4F">
              <w:rPr>
                <w:rFonts w:ascii="Arial" w:hAnsi="Arial" w:cs="Arial"/>
                <w:color w:val="000000"/>
                <w:sz w:val="20"/>
                <w:lang w:val="es-ES_tradnl"/>
              </w:rPr>
              <w:t>≤ 15</w:t>
            </w:r>
          </w:p>
        </w:tc>
      </w:tr>
      <w:tr w:rsidR="00E10B4F" w:rsidRPr="00E10B4F" w14:paraId="1CB74A2D" w14:textId="77777777" w:rsidTr="00E10B4F">
        <w:trPr>
          <w:trHeight w:val="315"/>
        </w:trPr>
        <w:tc>
          <w:tcPr>
            <w:tcW w:w="2341" w:type="pct"/>
            <w:vMerge/>
            <w:tcBorders>
              <w:top w:val="nil"/>
              <w:left w:val="single" w:sz="8" w:space="0" w:color="auto"/>
              <w:bottom w:val="single" w:sz="8" w:space="0" w:color="000000"/>
              <w:right w:val="single" w:sz="8" w:space="0" w:color="auto"/>
            </w:tcBorders>
            <w:vAlign w:val="center"/>
            <w:hideMark/>
          </w:tcPr>
          <w:p w14:paraId="170C1299" w14:textId="77777777" w:rsidR="00E10B4F" w:rsidRPr="00E10B4F" w:rsidRDefault="00E10B4F" w:rsidP="00E10B4F">
            <w:pPr>
              <w:rPr>
                <w:rFonts w:ascii="Arial" w:hAnsi="Arial" w:cs="Arial"/>
                <w:color w:val="000000"/>
                <w:sz w:val="20"/>
                <w:szCs w:val="20"/>
              </w:rPr>
            </w:pPr>
          </w:p>
        </w:tc>
        <w:tc>
          <w:tcPr>
            <w:tcW w:w="1034" w:type="pct"/>
            <w:vMerge/>
            <w:tcBorders>
              <w:top w:val="nil"/>
              <w:left w:val="single" w:sz="8" w:space="0" w:color="auto"/>
              <w:bottom w:val="single" w:sz="8" w:space="0" w:color="000000"/>
              <w:right w:val="single" w:sz="8" w:space="0" w:color="auto"/>
            </w:tcBorders>
            <w:vAlign w:val="center"/>
            <w:hideMark/>
          </w:tcPr>
          <w:p w14:paraId="4532485B" w14:textId="77777777" w:rsidR="00E10B4F" w:rsidRPr="00E10B4F" w:rsidRDefault="00E10B4F" w:rsidP="00E10B4F">
            <w:pPr>
              <w:rPr>
                <w:rFonts w:ascii="Arial" w:hAnsi="Arial" w:cs="Arial"/>
                <w:color w:val="000000"/>
                <w:sz w:val="20"/>
                <w:szCs w:val="20"/>
              </w:rPr>
            </w:pPr>
          </w:p>
        </w:tc>
        <w:tc>
          <w:tcPr>
            <w:tcW w:w="1080" w:type="pct"/>
            <w:tcBorders>
              <w:top w:val="nil"/>
              <w:left w:val="nil"/>
              <w:bottom w:val="single" w:sz="8" w:space="0" w:color="auto"/>
              <w:right w:val="single" w:sz="8" w:space="0" w:color="auto"/>
            </w:tcBorders>
            <w:hideMark/>
          </w:tcPr>
          <w:p w14:paraId="350E9D8E" w14:textId="77777777" w:rsidR="00E10B4F" w:rsidRPr="00E10B4F" w:rsidRDefault="00E10B4F" w:rsidP="00E10B4F">
            <w:pPr>
              <w:jc w:val="center"/>
              <w:rPr>
                <w:rFonts w:ascii="Arial" w:hAnsi="Arial" w:cs="Arial"/>
                <w:color w:val="000000"/>
                <w:sz w:val="20"/>
                <w:szCs w:val="20"/>
              </w:rPr>
            </w:pPr>
            <w:r w:rsidRPr="00E10B4F">
              <w:rPr>
                <w:rFonts w:ascii="Arial" w:hAnsi="Arial" w:cs="Arial"/>
                <w:color w:val="000000"/>
                <w:sz w:val="20"/>
                <w:lang w:val="es-ES_tradnl"/>
              </w:rPr>
              <w:t>UNE 103104</w:t>
            </w:r>
          </w:p>
        </w:tc>
        <w:tc>
          <w:tcPr>
            <w:tcW w:w="544" w:type="pct"/>
            <w:vMerge/>
            <w:tcBorders>
              <w:top w:val="nil"/>
              <w:left w:val="single" w:sz="8" w:space="0" w:color="auto"/>
              <w:bottom w:val="single" w:sz="8" w:space="0" w:color="000000"/>
              <w:right w:val="single" w:sz="8" w:space="0" w:color="auto"/>
            </w:tcBorders>
            <w:vAlign w:val="center"/>
            <w:hideMark/>
          </w:tcPr>
          <w:p w14:paraId="0CBF29E7" w14:textId="77777777" w:rsidR="00E10B4F" w:rsidRPr="00E10B4F" w:rsidRDefault="00E10B4F" w:rsidP="00E10B4F">
            <w:pPr>
              <w:rPr>
                <w:rFonts w:ascii="Arial" w:hAnsi="Arial" w:cs="Arial"/>
                <w:color w:val="000000"/>
                <w:sz w:val="20"/>
                <w:szCs w:val="20"/>
              </w:rPr>
            </w:pPr>
          </w:p>
        </w:tc>
      </w:tr>
      <w:tr w:rsidR="00E10B4F" w:rsidRPr="00E10B4F" w14:paraId="46067BCF" w14:textId="77777777" w:rsidTr="00E10B4F">
        <w:trPr>
          <w:trHeight w:val="540"/>
        </w:trPr>
        <w:tc>
          <w:tcPr>
            <w:tcW w:w="2341" w:type="pct"/>
            <w:tcBorders>
              <w:top w:val="nil"/>
              <w:left w:val="single" w:sz="8" w:space="0" w:color="auto"/>
              <w:bottom w:val="single" w:sz="8" w:space="0" w:color="auto"/>
              <w:right w:val="single" w:sz="8" w:space="0" w:color="auto"/>
            </w:tcBorders>
            <w:vAlign w:val="center"/>
            <w:hideMark/>
          </w:tcPr>
          <w:p w14:paraId="3EA57039" w14:textId="77777777" w:rsidR="00E10B4F" w:rsidRPr="00E10B4F" w:rsidRDefault="00E10B4F" w:rsidP="00E10B4F">
            <w:pPr>
              <w:rPr>
                <w:rFonts w:ascii="Arial" w:hAnsi="Arial" w:cs="Arial"/>
                <w:color w:val="000000"/>
                <w:sz w:val="20"/>
                <w:szCs w:val="20"/>
              </w:rPr>
            </w:pPr>
            <w:r w:rsidRPr="00E10B4F">
              <w:rPr>
                <w:rFonts w:ascii="Arial" w:hAnsi="Arial" w:cs="Arial"/>
                <w:color w:val="000000"/>
                <w:sz w:val="20"/>
                <w:lang w:val="es-ES_tradnl"/>
              </w:rPr>
              <w:t>CONTENTENIDO DE CONGLOMERANTE</w:t>
            </w:r>
          </w:p>
        </w:tc>
        <w:tc>
          <w:tcPr>
            <w:tcW w:w="1034" w:type="pct"/>
            <w:tcBorders>
              <w:top w:val="nil"/>
              <w:left w:val="nil"/>
              <w:bottom w:val="single" w:sz="8" w:space="0" w:color="auto"/>
              <w:right w:val="single" w:sz="8" w:space="0" w:color="auto"/>
            </w:tcBorders>
            <w:vAlign w:val="bottom"/>
            <w:hideMark/>
          </w:tcPr>
          <w:p w14:paraId="6BCF064F" w14:textId="77777777" w:rsidR="00E10B4F" w:rsidRPr="00E10B4F" w:rsidRDefault="00E10B4F" w:rsidP="00E10B4F">
            <w:pPr>
              <w:jc w:val="center"/>
              <w:rPr>
                <w:rFonts w:ascii="Arial" w:hAnsi="Arial" w:cs="Arial"/>
                <w:color w:val="000000"/>
                <w:sz w:val="20"/>
                <w:szCs w:val="20"/>
              </w:rPr>
            </w:pPr>
            <w:r w:rsidRPr="00E10B4F">
              <w:rPr>
                <w:rFonts w:ascii="Arial" w:hAnsi="Arial" w:cs="Arial"/>
                <w:color w:val="000000"/>
                <w:sz w:val="20"/>
                <w:lang w:val="es-ES_tradnl"/>
              </w:rPr>
              <w:t>% en masa del suelo seco</w:t>
            </w:r>
          </w:p>
        </w:tc>
        <w:tc>
          <w:tcPr>
            <w:tcW w:w="1080" w:type="pct"/>
            <w:tcBorders>
              <w:top w:val="nil"/>
              <w:left w:val="nil"/>
              <w:bottom w:val="single" w:sz="8" w:space="0" w:color="auto"/>
              <w:right w:val="single" w:sz="8" w:space="0" w:color="auto"/>
            </w:tcBorders>
            <w:vAlign w:val="bottom"/>
            <w:hideMark/>
          </w:tcPr>
          <w:p w14:paraId="0031E91B" w14:textId="77777777" w:rsidR="00E10B4F" w:rsidRPr="00E10B4F" w:rsidRDefault="00E10B4F" w:rsidP="00E10B4F">
            <w:pPr>
              <w:jc w:val="center"/>
              <w:rPr>
                <w:rFonts w:ascii="Arial" w:hAnsi="Arial" w:cs="Arial"/>
                <w:color w:val="000000"/>
                <w:sz w:val="20"/>
                <w:szCs w:val="20"/>
              </w:rPr>
            </w:pPr>
            <w:r w:rsidRPr="00E10B4F">
              <w:rPr>
                <w:rFonts w:ascii="Arial" w:hAnsi="Arial" w:cs="Arial"/>
                <w:color w:val="000000"/>
                <w:sz w:val="20"/>
                <w:lang w:val="es-ES_tradnl"/>
              </w:rPr>
              <w:t> </w:t>
            </w:r>
          </w:p>
        </w:tc>
        <w:tc>
          <w:tcPr>
            <w:tcW w:w="544" w:type="pct"/>
            <w:tcBorders>
              <w:top w:val="nil"/>
              <w:left w:val="nil"/>
              <w:bottom w:val="single" w:sz="8" w:space="0" w:color="auto"/>
              <w:right w:val="single" w:sz="8" w:space="0" w:color="auto"/>
            </w:tcBorders>
            <w:vAlign w:val="center"/>
            <w:hideMark/>
          </w:tcPr>
          <w:p w14:paraId="15C87393" w14:textId="77777777" w:rsidR="00E10B4F" w:rsidRPr="00E10B4F" w:rsidRDefault="00E10B4F" w:rsidP="00E10B4F">
            <w:pPr>
              <w:jc w:val="center"/>
              <w:rPr>
                <w:rFonts w:ascii="Arial" w:hAnsi="Arial" w:cs="Arial"/>
                <w:color w:val="000000"/>
                <w:sz w:val="20"/>
                <w:szCs w:val="20"/>
              </w:rPr>
            </w:pPr>
            <w:r w:rsidRPr="00E10B4F">
              <w:rPr>
                <w:rFonts w:ascii="Arial" w:hAnsi="Arial" w:cs="Arial"/>
                <w:color w:val="000000"/>
                <w:sz w:val="20"/>
                <w:lang w:val="es-ES_tradnl"/>
              </w:rPr>
              <w:t>≥ 3</w:t>
            </w:r>
          </w:p>
        </w:tc>
      </w:tr>
      <w:tr w:rsidR="00E10B4F" w:rsidRPr="00E10B4F" w14:paraId="5394C460" w14:textId="77777777" w:rsidTr="00E10B4F">
        <w:trPr>
          <w:trHeight w:val="315"/>
        </w:trPr>
        <w:tc>
          <w:tcPr>
            <w:tcW w:w="2341" w:type="pct"/>
            <w:tcBorders>
              <w:top w:val="nil"/>
              <w:left w:val="single" w:sz="8" w:space="0" w:color="auto"/>
              <w:bottom w:val="single" w:sz="8" w:space="0" w:color="auto"/>
              <w:right w:val="single" w:sz="8" w:space="0" w:color="auto"/>
            </w:tcBorders>
            <w:vAlign w:val="center"/>
            <w:hideMark/>
          </w:tcPr>
          <w:p w14:paraId="01C89F42" w14:textId="77777777" w:rsidR="00E10B4F" w:rsidRPr="00E10B4F" w:rsidRDefault="00E10B4F" w:rsidP="00E10B4F">
            <w:pPr>
              <w:rPr>
                <w:rFonts w:ascii="Arial" w:hAnsi="Arial" w:cs="Arial"/>
                <w:color w:val="000000"/>
                <w:sz w:val="20"/>
                <w:szCs w:val="20"/>
              </w:rPr>
            </w:pPr>
            <w:r w:rsidRPr="00E10B4F">
              <w:rPr>
                <w:rFonts w:ascii="Arial" w:hAnsi="Arial" w:cs="Arial"/>
                <w:color w:val="000000"/>
                <w:sz w:val="20"/>
                <w:lang w:val="es-ES_tradnl"/>
              </w:rPr>
              <w:t>RESISTENCIA a COMPRESIÓN SIMPLE, a 7 días</w:t>
            </w:r>
          </w:p>
        </w:tc>
        <w:tc>
          <w:tcPr>
            <w:tcW w:w="1034" w:type="pct"/>
            <w:tcBorders>
              <w:top w:val="nil"/>
              <w:left w:val="nil"/>
              <w:bottom w:val="single" w:sz="8" w:space="0" w:color="auto"/>
              <w:right w:val="single" w:sz="8" w:space="0" w:color="auto"/>
            </w:tcBorders>
            <w:vAlign w:val="bottom"/>
            <w:hideMark/>
          </w:tcPr>
          <w:p w14:paraId="0892519D" w14:textId="77777777" w:rsidR="00E10B4F" w:rsidRPr="00E10B4F" w:rsidRDefault="00E10B4F" w:rsidP="00E10B4F">
            <w:pPr>
              <w:jc w:val="center"/>
              <w:rPr>
                <w:rFonts w:ascii="Arial" w:hAnsi="Arial" w:cs="Arial"/>
                <w:color w:val="000000"/>
                <w:sz w:val="20"/>
                <w:szCs w:val="20"/>
              </w:rPr>
            </w:pPr>
            <w:r w:rsidRPr="00E10B4F">
              <w:rPr>
                <w:rFonts w:ascii="Arial" w:hAnsi="Arial" w:cs="Arial"/>
                <w:color w:val="000000"/>
                <w:sz w:val="20"/>
                <w:lang w:val="es-ES_tradnl"/>
              </w:rPr>
              <w:t>MPa</w:t>
            </w:r>
          </w:p>
        </w:tc>
        <w:tc>
          <w:tcPr>
            <w:tcW w:w="1080" w:type="pct"/>
            <w:tcBorders>
              <w:top w:val="nil"/>
              <w:left w:val="nil"/>
              <w:bottom w:val="single" w:sz="8" w:space="0" w:color="auto"/>
              <w:right w:val="single" w:sz="8" w:space="0" w:color="auto"/>
            </w:tcBorders>
            <w:vAlign w:val="bottom"/>
            <w:hideMark/>
          </w:tcPr>
          <w:p w14:paraId="7051B513" w14:textId="77777777" w:rsidR="00E10B4F" w:rsidRPr="00E10B4F" w:rsidRDefault="00E10B4F" w:rsidP="00E10B4F">
            <w:pPr>
              <w:jc w:val="center"/>
              <w:rPr>
                <w:rFonts w:ascii="Arial" w:hAnsi="Arial" w:cs="Arial"/>
                <w:color w:val="000000"/>
                <w:sz w:val="20"/>
                <w:szCs w:val="20"/>
              </w:rPr>
            </w:pPr>
            <w:r w:rsidRPr="00E10B4F">
              <w:rPr>
                <w:rFonts w:ascii="Arial" w:hAnsi="Arial" w:cs="Arial"/>
                <w:color w:val="000000"/>
                <w:sz w:val="20"/>
                <w:lang w:val="es-ES_tradnl"/>
              </w:rPr>
              <w:t>UNE-EN 13286-41</w:t>
            </w:r>
          </w:p>
        </w:tc>
        <w:tc>
          <w:tcPr>
            <w:tcW w:w="544" w:type="pct"/>
            <w:tcBorders>
              <w:top w:val="nil"/>
              <w:left w:val="nil"/>
              <w:bottom w:val="single" w:sz="8" w:space="0" w:color="auto"/>
              <w:right w:val="single" w:sz="8" w:space="0" w:color="auto"/>
            </w:tcBorders>
            <w:vAlign w:val="center"/>
            <w:hideMark/>
          </w:tcPr>
          <w:p w14:paraId="099C7DDA" w14:textId="77777777" w:rsidR="00E10B4F" w:rsidRPr="00E10B4F" w:rsidRDefault="00E10B4F" w:rsidP="00E10B4F">
            <w:pPr>
              <w:jc w:val="center"/>
              <w:rPr>
                <w:rFonts w:ascii="Arial" w:hAnsi="Arial" w:cs="Arial"/>
                <w:color w:val="000000"/>
                <w:sz w:val="20"/>
                <w:szCs w:val="20"/>
              </w:rPr>
            </w:pPr>
            <w:r w:rsidRPr="00E10B4F">
              <w:rPr>
                <w:rFonts w:ascii="Arial" w:hAnsi="Arial" w:cs="Arial"/>
                <w:color w:val="000000"/>
                <w:sz w:val="20"/>
                <w:lang w:val="es-ES_tradnl"/>
              </w:rPr>
              <w:t>≥ 1,5</w:t>
            </w:r>
          </w:p>
        </w:tc>
      </w:tr>
      <w:tr w:rsidR="00E10B4F" w:rsidRPr="00E10B4F" w14:paraId="720F9F5A" w14:textId="77777777" w:rsidTr="00E10B4F">
        <w:trPr>
          <w:trHeight w:val="540"/>
        </w:trPr>
        <w:tc>
          <w:tcPr>
            <w:tcW w:w="2341" w:type="pct"/>
            <w:tcBorders>
              <w:top w:val="nil"/>
              <w:left w:val="single" w:sz="8" w:space="0" w:color="auto"/>
              <w:bottom w:val="single" w:sz="8" w:space="0" w:color="auto"/>
              <w:right w:val="single" w:sz="8" w:space="0" w:color="auto"/>
            </w:tcBorders>
            <w:vAlign w:val="center"/>
            <w:hideMark/>
          </w:tcPr>
          <w:p w14:paraId="0D3E68DA" w14:textId="77777777" w:rsidR="00E10B4F" w:rsidRPr="00E10B4F" w:rsidRDefault="00E10B4F" w:rsidP="00E10B4F">
            <w:pPr>
              <w:rPr>
                <w:rFonts w:ascii="Arial" w:hAnsi="Arial" w:cs="Arial"/>
                <w:color w:val="000000"/>
                <w:sz w:val="20"/>
                <w:szCs w:val="20"/>
              </w:rPr>
            </w:pPr>
            <w:r w:rsidRPr="00E10B4F">
              <w:rPr>
                <w:rFonts w:ascii="Arial" w:hAnsi="Arial" w:cs="Arial"/>
                <w:color w:val="000000"/>
                <w:sz w:val="20"/>
                <w:lang w:val="es-ES_tradnl"/>
              </w:rPr>
              <w:t>DENSIDAD (</w:t>
            </w:r>
            <w:proofErr w:type="spellStart"/>
            <w:r w:rsidRPr="00E10B4F">
              <w:rPr>
                <w:rFonts w:ascii="Arial" w:hAnsi="Arial" w:cs="Arial"/>
                <w:color w:val="000000"/>
                <w:sz w:val="20"/>
                <w:lang w:val="es-ES_tradnl"/>
              </w:rPr>
              <w:t>Próctor</w:t>
            </w:r>
            <w:proofErr w:type="spellEnd"/>
            <w:r w:rsidRPr="00E10B4F">
              <w:rPr>
                <w:rFonts w:ascii="Arial" w:hAnsi="Arial" w:cs="Arial"/>
                <w:color w:val="000000"/>
                <w:sz w:val="20"/>
                <w:lang w:val="es-ES_tradnl"/>
              </w:rPr>
              <w:t xml:space="preserve"> modificado)</w:t>
            </w:r>
          </w:p>
        </w:tc>
        <w:tc>
          <w:tcPr>
            <w:tcW w:w="1034" w:type="pct"/>
            <w:tcBorders>
              <w:top w:val="nil"/>
              <w:left w:val="nil"/>
              <w:bottom w:val="single" w:sz="8" w:space="0" w:color="auto"/>
              <w:right w:val="single" w:sz="8" w:space="0" w:color="auto"/>
            </w:tcBorders>
            <w:vAlign w:val="bottom"/>
            <w:hideMark/>
          </w:tcPr>
          <w:p w14:paraId="2E491BBC" w14:textId="77777777" w:rsidR="00E10B4F" w:rsidRPr="00E10B4F" w:rsidRDefault="00E10B4F" w:rsidP="00E10B4F">
            <w:pPr>
              <w:jc w:val="center"/>
              <w:rPr>
                <w:rFonts w:ascii="Arial" w:hAnsi="Arial" w:cs="Arial"/>
                <w:color w:val="000000"/>
                <w:sz w:val="20"/>
                <w:szCs w:val="20"/>
              </w:rPr>
            </w:pPr>
            <w:r w:rsidRPr="00E10B4F">
              <w:rPr>
                <w:rFonts w:ascii="Arial" w:hAnsi="Arial" w:cs="Arial"/>
                <w:color w:val="000000"/>
                <w:sz w:val="20"/>
                <w:lang w:val="es-ES_tradnl"/>
              </w:rPr>
              <w:t>% de la densidad máxima</w:t>
            </w:r>
          </w:p>
        </w:tc>
        <w:tc>
          <w:tcPr>
            <w:tcW w:w="1080" w:type="pct"/>
            <w:tcBorders>
              <w:top w:val="nil"/>
              <w:left w:val="nil"/>
              <w:bottom w:val="single" w:sz="8" w:space="0" w:color="auto"/>
              <w:right w:val="single" w:sz="8" w:space="0" w:color="auto"/>
            </w:tcBorders>
            <w:vAlign w:val="bottom"/>
            <w:hideMark/>
          </w:tcPr>
          <w:p w14:paraId="45B9B90A" w14:textId="77777777" w:rsidR="00E10B4F" w:rsidRPr="00E10B4F" w:rsidRDefault="00E10B4F" w:rsidP="00E10B4F">
            <w:pPr>
              <w:jc w:val="center"/>
              <w:rPr>
                <w:rFonts w:ascii="Arial" w:hAnsi="Arial" w:cs="Arial"/>
                <w:color w:val="000000"/>
                <w:sz w:val="20"/>
                <w:szCs w:val="20"/>
              </w:rPr>
            </w:pPr>
            <w:r w:rsidRPr="00E10B4F">
              <w:rPr>
                <w:rFonts w:ascii="Arial" w:hAnsi="Arial" w:cs="Arial"/>
                <w:color w:val="000000"/>
                <w:sz w:val="20"/>
                <w:lang w:val="es-ES_tradnl"/>
              </w:rPr>
              <w:t>UNE&gt; 103501</w:t>
            </w:r>
          </w:p>
        </w:tc>
        <w:tc>
          <w:tcPr>
            <w:tcW w:w="544" w:type="pct"/>
            <w:tcBorders>
              <w:top w:val="nil"/>
              <w:left w:val="nil"/>
              <w:bottom w:val="single" w:sz="8" w:space="0" w:color="auto"/>
              <w:right w:val="single" w:sz="8" w:space="0" w:color="auto"/>
            </w:tcBorders>
            <w:vAlign w:val="center"/>
            <w:hideMark/>
          </w:tcPr>
          <w:p w14:paraId="00FC81E3" w14:textId="77777777" w:rsidR="00E10B4F" w:rsidRPr="00E10B4F" w:rsidRDefault="00E10B4F" w:rsidP="00E10B4F">
            <w:pPr>
              <w:jc w:val="center"/>
              <w:rPr>
                <w:rFonts w:ascii="Arial" w:hAnsi="Arial" w:cs="Arial"/>
                <w:color w:val="000000"/>
                <w:sz w:val="20"/>
                <w:szCs w:val="20"/>
              </w:rPr>
            </w:pPr>
            <w:r w:rsidRPr="00E10B4F">
              <w:rPr>
                <w:rFonts w:ascii="Arial" w:hAnsi="Arial" w:cs="Arial"/>
                <w:color w:val="000000"/>
                <w:sz w:val="20"/>
                <w:lang w:val="es-ES_tradnl"/>
              </w:rPr>
              <w:t>≥ 98</w:t>
            </w:r>
          </w:p>
        </w:tc>
      </w:tr>
    </w:tbl>
    <w:p w14:paraId="5C61413F" w14:textId="77777777" w:rsidR="00266DCA" w:rsidRPr="00BF7C47" w:rsidRDefault="00266DCA" w:rsidP="00266DCA">
      <w:pPr>
        <w:pStyle w:val="NORMAL12"/>
        <w:rPr>
          <w:i/>
          <w:u w:val="single"/>
          <w:lang w:val="es-ES"/>
        </w:rPr>
      </w:pPr>
      <w:r w:rsidRPr="00BF7C47">
        <w:rPr>
          <w:i/>
          <w:u w:val="single"/>
          <w:lang w:val="es-ES"/>
        </w:rPr>
        <w:t>Especificaciones para el empleo en explanadas</w:t>
      </w:r>
    </w:p>
    <w:p w14:paraId="1A10F584" w14:textId="77777777" w:rsidR="00E842AA" w:rsidRPr="00BF7C47" w:rsidRDefault="00E842AA" w:rsidP="00266DCA">
      <w:pPr>
        <w:pStyle w:val="NORMAL12"/>
        <w:rPr>
          <w:lang w:val="es-ES"/>
        </w:rPr>
      </w:pPr>
      <w:proofErr w:type="gramStart"/>
      <w:r w:rsidRPr="00BF7C47">
        <w:rPr>
          <w:lang w:val="es-ES"/>
        </w:rPr>
        <w:t>El suelo a emplear no</w:t>
      </w:r>
      <w:proofErr w:type="gramEnd"/>
      <w:r w:rsidRPr="00BF7C47">
        <w:rPr>
          <w:lang w:val="es-ES"/>
        </w:rPr>
        <w:t xml:space="preserve"> presentará hinchamiento o colapso al efectuar los ensayos especificados en el PG-3</w:t>
      </w:r>
    </w:p>
    <w:p w14:paraId="17A78473" w14:textId="77777777" w:rsidR="00E842AA" w:rsidRPr="00BF7C47" w:rsidRDefault="00E842AA" w:rsidP="00266DCA">
      <w:pPr>
        <w:pStyle w:val="NORMAL12"/>
        <w:rPr>
          <w:lang w:val="es-ES"/>
        </w:rPr>
      </w:pPr>
      <w:r w:rsidRPr="00BF7C47">
        <w:rPr>
          <w:lang w:val="es-ES"/>
        </w:rPr>
        <w:t>No se emplearán suelos que no cumplan los valores admisibles de hinchamiento libre y colapso de suelos estabilizados para la formación de rellenos tipo terraplén siguientes:</w:t>
      </w:r>
    </w:p>
    <w:tbl>
      <w:tblPr>
        <w:tblW w:w="8480" w:type="dxa"/>
        <w:jc w:val="center"/>
        <w:tblCellMar>
          <w:left w:w="70" w:type="dxa"/>
          <w:right w:w="70" w:type="dxa"/>
        </w:tblCellMar>
        <w:tblLook w:val="04A0" w:firstRow="1" w:lastRow="0" w:firstColumn="1" w:lastColumn="0" w:noHBand="0" w:noVBand="1"/>
      </w:tblPr>
      <w:tblGrid>
        <w:gridCol w:w="1560"/>
        <w:gridCol w:w="3460"/>
        <w:gridCol w:w="3460"/>
      </w:tblGrid>
      <w:tr w:rsidR="00BF7C47" w:rsidRPr="00BF7C47" w14:paraId="2D1B2AFD" w14:textId="77777777" w:rsidTr="00BF7C47">
        <w:trPr>
          <w:trHeight w:val="833"/>
          <w:jc w:val="center"/>
        </w:trPr>
        <w:tc>
          <w:tcPr>
            <w:tcW w:w="1560" w:type="dxa"/>
            <w:tcBorders>
              <w:top w:val="single" w:sz="4" w:space="0" w:color="auto"/>
              <w:left w:val="single" w:sz="4" w:space="0" w:color="auto"/>
              <w:bottom w:val="single" w:sz="4" w:space="0" w:color="auto"/>
              <w:right w:val="single" w:sz="4" w:space="0" w:color="auto"/>
            </w:tcBorders>
            <w:shd w:val="clear" w:color="000000" w:fill="D8D8D8"/>
            <w:vAlign w:val="center"/>
            <w:hideMark/>
          </w:tcPr>
          <w:p w14:paraId="1090EBCC" w14:textId="77777777" w:rsidR="00BF7C47" w:rsidRPr="00BF7C47" w:rsidRDefault="00BF7C47" w:rsidP="00BF7C47">
            <w:pPr>
              <w:jc w:val="center"/>
              <w:rPr>
                <w:rFonts w:ascii="Calibri" w:hAnsi="Calibri"/>
                <w:b/>
                <w:bCs/>
                <w:color w:val="000000"/>
                <w:sz w:val="22"/>
                <w:szCs w:val="22"/>
              </w:rPr>
            </w:pPr>
            <w:r w:rsidRPr="00BF7C47">
              <w:rPr>
                <w:rFonts w:ascii="Calibri" w:hAnsi="Calibri"/>
                <w:b/>
                <w:bCs/>
                <w:color w:val="000000"/>
                <w:sz w:val="22"/>
                <w:szCs w:val="22"/>
              </w:rPr>
              <w:t>Zona de relleno</w:t>
            </w:r>
          </w:p>
        </w:tc>
        <w:tc>
          <w:tcPr>
            <w:tcW w:w="3460" w:type="dxa"/>
            <w:tcBorders>
              <w:top w:val="single" w:sz="4" w:space="0" w:color="auto"/>
              <w:left w:val="nil"/>
              <w:bottom w:val="single" w:sz="4" w:space="0" w:color="auto"/>
              <w:right w:val="single" w:sz="4" w:space="0" w:color="auto"/>
            </w:tcBorders>
            <w:shd w:val="clear" w:color="000000" w:fill="D8D8D8"/>
            <w:vAlign w:val="center"/>
            <w:hideMark/>
          </w:tcPr>
          <w:p w14:paraId="22B2B78B" w14:textId="77777777" w:rsidR="00BF7C47" w:rsidRPr="00BF7C47" w:rsidRDefault="00BF7C47" w:rsidP="00BF7C47">
            <w:pPr>
              <w:jc w:val="center"/>
              <w:rPr>
                <w:rFonts w:ascii="Calibri" w:hAnsi="Calibri"/>
                <w:b/>
                <w:bCs/>
                <w:color w:val="000000"/>
                <w:sz w:val="22"/>
                <w:szCs w:val="22"/>
              </w:rPr>
            </w:pPr>
            <w:r w:rsidRPr="00BF7C47">
              <w:rPr>
                <w:rFonts w:ascii="Calibri" w:hAnsi="Calibri"/>
                <w:b/>
                <w:bCs/>
                <w:color w:val="000000"/>
                <w:sz w:val="22"/>
                <w:szCs w:val="22"/>
              </w:rPr>
              <w:t xml:space="preserve">Potencial porcentual de colapso                                         </w:t>
            </w:r>
            <w:proofErr w:type="gramStart"/>
            <w:r w:rsidRPr="00BF7C47">
              <w:rPr>
                <w:rFonts w:ascii="Calibri" w:hAnsi="Calibri"/>
                <w:b/>
                <w:bCs/>
                <w:color w:val="000000"/>
                <w:sz w:val="22"/>
                <w:szCs w:val="22"/>
              </w:rPr>
              <w:t xml:space="preserve">   (</w:t>
            </w:r>
            <w:proofErr w:type="gramEnd"/>
            <w:r w:rsidRPr="00BF7C47">
              <w:rPr>
                <w:rFonts w:ascii="Calibri" w:hAnsi="Calibri"/>
                <w:b/>
                <w:bCs/>
                <w:color w:val="000000"/>
                <w:sz w:val="22"/>
                <w:szCs w:val="22"/>
              </w:rPr>
              <w:t>norma UNE 103406 (%)</w:t>
            </w:r>
          </w:p>
        </w:tc>
        <w:tc>
          <w:tcPr>
            <w:tcW w:w="3460" w:type="dxa"/>
            <w:tcBorders>
              <w:top w:val="single" w:sz="4" w:space="0" w:color="auto"/>
              <w:left w:val="nil"/>
              <w:bottom w:val="single" w:sz="4" w:space="0" w:color="auto"/>
              <w:right w:val="single" w:sz="4" w:space="0" w:color="auto"/>
            </w:tcBorders>
            <w:shd w:val="clear" w:color="000000" w:fill="D8D8D8"/>
            <w:vAlign w:val="center"/>
            <w:hideMark/>
          </w:tcPr>
          <w:p w14:paraId="3D381F72" w14:textId="77777777" w:rsidR="00BF7C47" w:rsidRPr="00BF7C47" w:rsidRDefault="00BF7C47" w:rsidP="00BF7C47">
            <w:pPr>
              <w:jc w:val="center"/>
              <w:rPr>
                <w:rFonts w:ascii="Calibri" w:hAnsi="Calibri"/>
                <w:b/>
                <w:bCs/>
                <w:color w:val="000000"/>
                <w:sz w:val="22"/>
                <w:szCs w:val="22"/>
              </w:rPr>
            </w:pPr>
            <w:r w:rsidRPr="00BF7C47">
              <w:rPr>
                <w:rFonts w:ascii="Calibri" w:hAnsi="Calibri"/>
                <w:b/>
                <w:bCs/>
                <w:color w:val="000000"/>
                <w:sz w:val="22"/>
                <w:szCs w:val="22"/>
              </w:rPr>
              <w:t xml:space="preserve">Hinchamiento libre                                          </w:t>
            </w:r>
            <w:proofErr w:type="gramStart"/>
            <w:r w:rsidRPr="00BF7C47">
              <w:rPr>
                <w:rFonts w:ascii="Calibri" w:hAnsi="Calibri"/>
                <w:b/>
                <w:bCs/>
                <w:color w:val="000000"/>
                <w:sz w:val="22"/>
                <w:szCs w:val="22"/>
              </w:rPr>
              <w:t xml:space="preserve">   (</w:t>
            </w:r>
            <w:proofErr w:type="gramEnd"/>
            <w:r w:rsidRPr="00BF7C47">
              <w:rPr>
                <w:rFonts w:ascii="Calibri" w:hAnsi="Calibri"/>
                <w:b/>
                <w:bCs/>
                <w:color w:val="000000"/>
                <w:sz w:val="22"/>
                <w:szCs w:val="22"/>
              </w:rPr>
              <w:t>norma UNE 103601) (%)</w:t>
            </w:r>
          </w:p>
        </w:tc>
      </w:tr>
      <w:tr w:rsidR="00BF7C47" w:rsidRPr="00BF7C47" w14:paraId="626EE1F8" w14:textId="77777777" w:rsidTr="00BF7C47">
        <w:trPr>
          <w:trHeight w:val="300"/>
          <w:jc w:val="center"/>
        </w:trPr>
        <w:tc>
          <w:tcPr>
            <w:tcW w:w="1560" w:type="dxa"/>
            <w:tcBorders>
              <w:top w:val="nil"/>
              <w:left w:val="single" w:sz="4" w:space="0" w:color="auto"/>
              <w:bottom w:val="single" w:sz="4" w:space="0" w:color="auto"/>
              <w:right w:val="single" w:sz="4" w:space="0" w:color="auto"/>
            </w:tcBorders>
            <w:noWrap/>
            <w:vAlign w:val="center"/>
            <w:hideMark/>
          </w:tcPr>
          <w:p w14:paraId="064CE5D5" w14:textId="77777777" w:rsidR="00BF7C47" w:rsidRPr="00BF7C47" w:rsidRDefault="00BF7C47" w:rsidP="00BF7C47">
            <w:pPr>
              <w:jc w:val="center"/>
              <w:rPr>
                <w:rFonts w:ascii="Calibri" w:hAnsi="Calibri"/>
                <w:color w:val="000000"/>
                <w:sz w:val="22"/>
                <w:szCs w:val="22"/>
              </w:rPr>
            </w:pPr>
            <w:r w:rsidRPr="00BF7C47">
              <w:rPr>
                <w:rFonts w:ascii="Calibri" w:hAnsi="Calibri"/>
                <w:color w:val="000000"/>
                <w:sz w:val="22"/>
                <w:szCs w:val="22"/>
              </w:rPr>
              <w:t>Cimiento</w:t>
            </w:r>
          </w:p>
        </w:tc>
        <w:tc>
          <w:tcPr>
            <w:tcW w:w="3460" w:type="dxa"/>
            <w:tcBorders>
              <w:top w:val="nil"/>
              <w:left w:val="nil"/>
              <w:bottom w:val="single" w:sz="4" w:space="0" w:color="auto"/>
              <w:right w:val="single" w:sz="4" w:space="0" w:color="auto"/>
            </w:tcBorders>
            <w:noWrap/>
            <w:vAlign w:val="center"/>
            <w:hideMark/>
          </w:tcPr>
          <w:p w14:paraId="4F19DF84" w14:textId="77777777" w:rsidR="00BF7C47" w:rsidRPr="00BF7C47" w:rsidRDefault="00BF7C47" w:rsidP="00BF7C47">
            <w:pPr>
              <w:jc w:val="center"/>
              <w:rPr>
                <w:rFonts w:ascii="Calibri" w:hAnsi="Calibri"/>
                <w:color w:val="000000"/>
                <w:sz w:val="22"/>
                <w:szCs w:val="22"/>
              </w:rPr>
            </w:pPr>
            <w:r w:rsidRPr="00BF7C47">
              <w:rPr>
                <w:rFonts w:ascii="Calibri" w:hAnsi="Calibri"/>
                <w:color w:val="000000"/>
                <w:sz w:val="22"/>
                <w:szCs w:val="22"/>
              </w:rPr>
              <w:t>&lt; 0,5</w:t>
            </w:r>
          </w:p>
        </w:tc>
        <w:tc>
          <w:tcPr>
            <w:tcW w:w="3460" w:type="dxa"/>
            <w:tcBorders>
              <w:top w:val="nil"/>
              <w:left w:val="nil"/>
              <w:bottom w:val="single" w:sz="4" w:space="0" w:color="auto"/>
              <w:right w:val="single" w:sz="4" w:space="0" w:color="auto"/>
            </w:tcBorders>
            <w:noWrap/>
            <w:vAlign w:val="center"/>
            <w:hideMark/>
          </w:tcPr>
          <w:p w14:paraId="2EA09B34" w14:textId="77777777" w:rsidR="00BF7C47" w:rsidRPr="00BF7C47" w:rsidRDefault="00BF7C47" w:rsidP="00BF7C47">
            <w:pPr>
              <w:jc w:val="center"/>
              <w:rPr>
                <w:rFonts w:ascii="Calibri" w:hAnsi="Calibri"/>
                <w:color w:val="000000"/>
                <w:sz w:val="22"/>
                <w:szCs w:val="22"/>
              </w:rPr>
            </w:pPr>
            <w:r w:rsidRPr="00BF7C47">
              <w:rPr>
                <w:rFonts w:ascii="Calibri" w:hAnsi="Calibri"/>
                <w:color w:val="000000"/>
                <w:sz w:val="22"/>
                <w:szCs w:val="22"/>
              </w:rPr>
              <w:t xml:space="preserve">&lt; 1,5 </w:t>
            </w:r>
          </w:p>
        </w:tc>
      </w:tr>
      <w:tr w:rsidR="00BF7C47" w:rsidRPr="00BF7C47" w14:paraId="5AF224FD" w14:textId="77777777" w:rsidTr="00BF7C47">
        <w:trPr>
          <w:trHeight w:val="300"/>
          <w:jc w:val="center"/>
        </w:trPr>
        <w:tc>
          <w:tcPr>
            <w:tcW w:w="1560" w:type="dxa"/>
            <w:tcBorders>
              <w:top w:val="nil"/>
              <w:left w:val="single" w:sz="4" w:space="0" w:color="auto"/>
              <w:bottom w:val="single" w:sz="4" w:space="0" w:color="auto"/>
              <w:right w:val="single" w:sz="4" w:space="0" w:color="auto"/>
            </w:tcBorders>
            <w:noWrap/>
            <w:vAlign w:val="center"/>
            <w:hideMark/>
          </w:tcPr>
          <w:p w14:paraId="52DFDD41" w14:textId="77777777" w:rsidR="00BF7C47" w:rsidRPr="00BF7C47" w:rsidRDefault="00BF7C47" w:rsidP="00BF7C47">
            <w:pPr>
              <w:jc w:val="center"/>
              <w:rPr>
                <w:rFonts w:ascii="Calibri" w:hAnsi="Calibri"/>
                <w:color w:val="000000"/>
                <w:sz w:val="22"/>
                <w:szCs w:val="22"/>
              </w:rPr>
            </w:pPr>
            <w:r w:rsidRPr="00BF7C47">
              <w:rPr>
                <w:rFonts w:ascii="Calibri" w:hAnsi="Calibri"/>
                <w:color w:val="000000"/>
                <w:sz w:val="22"/>
                <w:szCs w:val="22"/>
              </w:rPr>
              <w:t>Núcleo</w:t>
            </w:r>
          </w:p>
        </w:tc>
        <w:tc>
          <w:tcPr>
            <w:tcW w:w="3460" w:type="dxa"/>
            <w:tcBorders>
              <w:top w:val="nil"/>
              <w:left w:val="nil"/>
              <w:bottom w:val="single" w:sz="4" w:space="0" w:color="auto"/>
              <w:right w:val="single" w:sz="4" w:space="0" w:color="auto"/>
            </w:tcBorders>
            <w:noWrap/>
            <w:vAlign w:val="center"/>
            <w:hideMark/>
          </w:tcPr>
          <w:p w14:paraId="7137F19C" w14:textId="77777777" w:rsidR="00BF7C47" w:rsidRPr="00BF7C47" w:rsidRDefault="00BF7C47" w:rsidP="00BF7C47">
            <w:pPr>
              <w:jc w:val="center"/>
              <w:rPr>
                <w:rFonts w:ascii="Calibri" w:hAnsi="Calibri"/>
                <w:color w:val="000000"/>
                <w:sz w:val="22"/>
                <w:szCs w:val="22"/>
              </w:rPr>
            </w:pPr>
            <w:r w:rsidRPr="00BF7C47">
              <w:rPr>
                <w:rFonts w:ascii="Calibri" w:hAnsi="Calibri"/>
                <w:color w:val="000000"/>
                <w:sz w:val="22"/>
                <w:szCs w:val="22"/>
              </w:rPr>
              <w:t>&lt; 0,5</w:t>
            </w:r>
          </w:p>
        </w:tc>
        <w:tc>
          <w:tcPr>
            <w:tcW w:w="3460" w:type="dxa"/>
            <w:tcBorders>
              <w:top w:val="nil"/>
              <w:left w:val="nil"/>
              <w:bottom w:val="single" w:sz="4" w:space="0" w:color="auto"/>
              <w:right w:val="single" w:sz="4" w:space="0" w:color="auto"/>
            </w:tcBorders>
            <w:noWrap/>
            <w:vAlign w:val="center"/>
            <w:hideMark/>
          </w:tcPr>
          <w:p w14:paraId="0A3CD633" w14:textId="77777777" w:rsidR="00BF7C47" w:rsidRPr="00BF7C47" w:rsidRDefault="00BF7C47" w:rsidP="00BF7C47">
            <w:pPr>
              <w:jc w:val="center"/>
              <w:rPr>
                <w:rFonts w:ascii="Calibri" w:hAnsi="Calibri"/>
                <w:color w:val="000000"/>
                <w:sz w:val="22"/>
                <w:szCs w:val="22"/>
              </w:rPr>
            </w:pPr>
            <w:r w:rsidRPr="00BF7C47">
              <w:rPr>
                <w:rFonts w:ascii="Calibri" w:hAnsi="Calibri"/>
                <w:color w:val="000000"/>
                <w:sz w:val="22"/>
                <w:szCs w:val="22"/>
              </w:rPr>
              <w:t>&lt; 1,5</w:t>
            </w:r>
          </w:p>
        </w:tc>
      </w:tr>
    </w:tbl>
    <w:p w14:paraId="1681DC2C" w14:textId="77777777" w:rsidR="00BF7C47" w:rsidRDefault="00BF7C47" w:rsidP="00266DCA">
      <w:pPr>
        <w:pStyle w:val="NORMAL12"/>
        <w:rPr>
          <w:highlight w:val="green"/>
          <w:lang w:val="es-ES"/>
        </w:rPr>
      </w:pPr>
    </w:p>
    <w:p w14:paraId="0EE84ACC" w14:textId="77777777" w:rsidR="00BF7C47" w:rsidRPr="00BF7C47" w:rsidRDefault="00BF7C47" w:rsidP="00266DCA">
      <w:pPr>
        <w:pStyle w:val="NORMAL12"/>
        <w:rPr>
          <w:lang w:val="es-ES"/>
        </w:rPr>
      </w:pPr>
      <w:r w:rsidRPr="00BF7C47">
        <w:rPr>
          <w:lang w:val="es-ES"/>
        </w:rPr>
        <w:t>Se cumplirán las siguientes especificaciones:</w:t>
      </w:r>
    </w:p>
    <w:p w14:paraId="008A1A2D" w14:textId="77777777" w:rsidR="00E842AA" w:rsidRPr="00BF7C47" w:rsidRDefault="00E842AA" w:rsidP="000313DD">
      <w:pPr>
        <w:pStyle w:val="NORMAL12"/>
        <w:numPr>
          <w:ilvl w:val="0"/>
          <w:numId w:val="247"/>
        </w:numPr>
        <w:rPr>
          <w:lang w:val="es-ES"/>
        </w:rPr>
      </w:pPr>
      <w:r w:rsidRPr="00BF7C47">
        <w:rPr>
          <w:lang w:val="es-ES"/>
        </w:rPr>
        <w:t>El espesor de la capa a estabilizar no será inferior a veinticinco centímetros.</w:t>
      </w:r>
    </w:p>
    <w:p w14:paraId="4D1AEE50" w14:textId="77777777" w:rsidR="00266DCA" w:rsidRPr="00BF7C47" w:rsidRDefault="00E842AA" w:rsidP="000313DD">
      <w:pPr>
        <w:pStyle w:val="NORMAL12"/>
        <w:numPr>
          <w:ilvl w:val="0"/>
          <w:numId w:val="247"/>
        </w:numPr>
        <w:rPr>
          <w:lang w:val="es-ES"/>
        </w:rPr>
      </w:pPr>
      <w:r w:rsidRPr="00BF7C47">
        <w:rPr>
          <w:lang w:val="es-ES"/>
        </w:rPr>
        <w:t>El contenido en sulfatos del suelo disponible debe ser inferior a siete décimas porcentuales (SO</w:t>
      </w:r>
      <w:r w:rsidRPr="00BF7C47">
        <w:rPr>
          <w:vertAlign w:val="subscript"/>
          <w:lang w:val="es-ES"/>
        </w:rPr>
        <w:t>3</w:t>
      </w:r>
      <w:r w:rsidRPr="00BF7C47">
        <w:rPr>
          <w:lang w:val="es-ES"/>
        </w:rPr>
        <w:t xml:space="preserve"> &lt; 0,7%).</w:t>
      </w:r>
    </w:p>
    <w:p w14:paraId="1D355539" w14:textId="77777777" w:rsidR="00E842AA" w:rsidRPr="00BF7C47" w:rsidRDefault="00E842AA" w:rsidP="000313DD">
      <w:pPr>
        <w:pStyle w:val="NORMAL12"/>
        <w:numPr>
          <w:ilvl w:val="0"/>
          <w:numId w:val="247"/>
        </w:numPr>
        <w:rPr>
          <w:lang w:val="es-ES"/>
        </w:rPr>
      </w:pPr>
      <w:r w:rsidRPr="00BF7C47">
        <w:rPr>
          <w:lang w:val="es-ES"/>
        </w:rPr>
        <w:t xml:space="preserve">El valor de la expansión volumétrica del suelo </w:t>
      </w:r>
      <w:r w:rsidR="00217216" w:rsidRPr="00BF7C47">
        <w:rPr>
          <w:lang w:val="es-ES"/>
        </w:rPr>
        <w:t>estabilizado</w:t>
      </w:r>
      <w:r w:rsidRPr="00BF7C47">
        <w:rPr>
          <w:lang w:val="es-ES"/>
        </w:rPr>
        <w:t>, después de siete días (7 d) de inmersión en agua (norma UNE-EN 13286-49) deberá ser inferior al cinco por ciento (</w:t>
      </w:r>
      <w:proofErr w:type="spellStart"/>
      <w:r w:rsidRPr="00BF7C47">
        <w:rPr>
          <w:lang w:val="es-ES"/>
        </w:rPr>
        <w:t>Gv</w:t>
      </w:r>
      <w:proofErr w:type="spellEnd"/>
      <w:r w:rsidRPr="00BF7C47">
        <w:rPr>
          <w:lang w:val="es-ES"/>
        </w:rPr>
        <w:t xml:space="preserve"> &lt; 5%).</w:t>
      </w:r>
    </w:p>
    <w:p w14:paraId="221328B3" w14:textId="77777777" w:rsidR="00E842AA" w:rsidRPr="00BF7C47" w:rsidRDefault="00E842AA" w:rsidP="000313DD">
      <w:pPr>
        <w:pStyle w:val="NORMAL12"/>
        <w:numPr>
          <w:ilvl w:val="0"/>
          <w:numId w:val="247"/>
        </w:numPr>
        <w:rPr>
          <w:lang w:val="es-ES"/>
        </w:rPr>
      </w:pPr>
      <w:r w:rsidRPr="00BF7C47">
        <w:rPr>
          <w:lang w:val="es-ES"/>
        </w:rPr>
        <w:t xml:space="preserve">Los suelos </w:t>
      </w:r>
      <w:r w:rsidR="00217216" w:rsidRPr="00BF7C47">
        <w:rPr>
          <w:lang w:val="es-ES"/>
        </w:rPr>
        <w:t>estabilizados</w:t>
      </w:r>
      <w:r w:rsidRPr="00BF7C47">
        <w:rPr>
          <w:lang w:val="es-ES"/>
        </w:rPr>
        <w:t xml:space="preserve"> con </w:t>
      </w:r>
      <w:proofErr w:type="gramStart"/>
      <w:r w:rsidRPr="00BF7C47">
        <w:rPr>
          <w:lang w:val="es-ES"/>
        </w:rPr>
        <w:t>cemento,</w:t>
      </w:r>
      <w:proofErr w:type="gramEnd"/>
      <w:r w:rsidRPr="00BF7C47">
        <w:rPr>
          <w:lang w:val="es-ES"/>
        </w:rPr>
        <w:t xml:space="preserve"> deben cumplir además que la resistencia a tracción indirecta (norma UNE-EN 13286-42) sea mayor o igual a dos décimas de </w:t>
      </w:r>
      <w:proofErr w:type="spellStart"/>
      <w:r w:rsidRPr="00BF7C47">
        <w:rPr>
          <w:lang w:val="es-ES"/>
        </w:rPr>
        <w:t>megapascal</w:t>
      </w:r>
      <w:proofErr w:type="spellEnd"/>
      <w:r w:rsidRPr="00BF7C47">
        <w:rPr>
          <w:lang w:val="es-ES"/>
        </w:rPr>
        <w:t xml:space="preserve"> (≥ 0,2 MPa).</w:t>
      </w:r>
    </w:p>
    <w:p w14:paraId="540D2F52" w14:textId="77777777" w:rsidR="00E842AA" w:rsidRPr="00BF7C47" w:rsidRDefault="00E842AA" w:rsidP="000313DD">
      <w:pPr>
        <w:pStyle w:val="TITU2"/>
      </w:pPr>
      <w:bookmarkStart w:id="560" w:name="_Toc404300"/>
      <w:r w:rsidRPr="00BF7C47">
        <w:t>512.4</w:t>
      </w:r>
      <w:r w:rsidR="00810099" w:rsidRPr="00BF7C47">
        <w:t>.</w:t>
      </w:r>
      <w:r w:rsidRPr="00BF7C47">
        <w:t xml:space="preserve"> Equipo necesario para la ejecución de las obras</w:t>
      </w:r>
      <w:bookmarkEnd w:id="560"/>
      <w:r w:rsidR="00810099" w:rsidRPr="00BF7C47">
        <w:t xml:space="preserve"> </w:t>
      </w:r>
    </w:p>
    <w:p w14:paraId="18DD43E5" w14:textId="77777777" w:rsidR="00E842AA" w:rsidRPr="00BF7C47" w:rsidRDefault="00E842AA" w:rsidP="00E842AA">
      <w:pPr>
        <w:pStyle w:val="NORMAL12"/>
        <w:rPr>
          <w:lang w:val="es-ES"/>
        </w:rPr>
      </w:pPr>
      <w:r w:rsidRPr="00BF7C47">
        <w:rPr>
          <w:lang w:val="es-ES"/>
        </w:rPr>
        <w:t>Se emplearán equipos que integren en una sola unidad las operaciones de disgregación, de dosificación y distribución del conglomerante y del agua, y de mezclado.</w:t>
      </w:r>
    </w:p>
    <w:p w14:paraId="7B825944" w14:textId="77777777" w:rsidR="00E842AA" w:rsidRPr="00BF7C47" w:rsidRDefault="00E842AA" w:rsidP="00E842AA">
      <w:pPr>
        <w:pStyle w:val="NORMAL12"/>
        <w:rPr>
          <w:lang w:val="es-ES"/>
        </w:rPr>
      </w:pPr>
      <w:r w:rsidRPr="00BF7C47">
        <w:rPr>
          <w:rFonts w:ascii="ArialMT" w:hAnsi="ArialMT" w:cs="ArialMT"/>
        </w:rPr>
        <w:t>L</w:t>
      </w:r>
      <w:r w:rsidRPr="00BF7C47">
        <w:rPr>
          <w:lang w:val="es-ES"/>
        </w:rPr>
        <w:t>a mezcla in situ del suelo se realizará, en todos los casos, mediante equipos autopropulsados que permitan una suficiente disgregación de aquél hasta la profundidad establecida, si dicha disgregación no hubiera sido previamente obtenida por escarificación, y una mezcla uniforme de ambos materiales en una sola pasada.</w:t>
      </w:r>
    </w:p>
    <w:p w14:paraId="52A784EE" w14:textId="77777777" w:rsidR="00BF7C47" w:rsidRPr="00BF7C47" w:rsidRDefault="00E842AA" w:rsidP="00E842AA">
      <w:pPr>
        <w:pStyle w:val="NORMAL12"/>
        <w:rPr>
          <w:lang w:val="es-ES"/>
        </w:rPr>
      </w:pPr>
      <w:r w:rsidRPr="00BF7C47">
        <w:rPr>
          <w:lang w:val="es-ES"/>
        </w:rPr>
        <w:t>Por consideraciones de fiabilidad de dosificación y mezclado, ambientales y de</w:t>
      </w:r>
      <w:r w:rsidR="00093C68" w:rsidRPr="00BF7C47">
        <w:rPr>
          <w:lang w:val="es-ES"/>
        </w:rPr>
        <w:t xml:space="preserve"> </w:t>
      </w:r>
      <w:r w:rsidRPr="00BF7C47">
        <w:rPr>
          <w:lang w:val="es-ES"/>
        </w:rPr>
        <w:t>seguridad y salud, el conglomerante se dosificará</w:t>
      </w:r>
      <w:r w:rsidR="00093C68" w:rsidRPr="00BF7C47">
        <w:rPr>
          <w:lang w:val="es-ES"/>
        </w:rPr>
        <w:t xml:space="preserve"> </w:t>
      </w:r>
      <w:r w:rsidRPr="00BF7C47">
        <w:rPr>
          <w:lang w:val="es-ES"/>
        </w:rPr>
        <w:t xml:space="preserve">como lechada. </w:t>
      </w:r>
    </w:p>
    <w:p w14:paraId="7FA388C8" w14:textId="77777777" w:rsidR="00E842AA" w:rsidRDefault="00E842AA" w:rsidP="00E842AA">
      <w:pPr>
        <w:pStyle w:val="NORMAL12"/>
        <w:rPr>
          <w:lang w:val="es-ES"/>
        </w:rPr>
      </w:pPr>
      <w:r w:rsidRPr="00BF7C47">
        <w:rPr>
          <w:lang w:val="es-ES"/>
        </w:rPr>
        <w:t>El equipo de estabilización deberá estar provisto de un mezclador con</w:t>
      </w:r>
      <w:r w:rsidR="00093C68" w:rsidRPr="00BF7C47">
        <w:rPr>
          <w:lang w:val="es-ES"/>
        </w:rPr>
        <w:t xml:space="preserve"> </w:t>
      </w:r>
      <w:r w:rsidRPr="00BF7C47">
        <w:rPr>
          <w:lang w:val="es-ES"/>
        </w:rPr>
        <w:t>alimentación volumétrica de agua y dosificación ponderal del conglomerante, y un</w:t>
      </w:r>
      <w:r w:rsidR="00093C68" w:rsidRPr="00BF7C47">
        <w:rPr>
          <w:lang w:val="es-ES"/>
        </w:rPr>
        <w:t xml:space="preserve"> </w:t>
      </w:r>
      <w:r w:rsidRPr="00BF7C47">
        <w:rPr>
          <w:lang w:val="es-ES"/>
        </w:rPr>
        <w:t>dosificador-distribuidor volumétrico de lechada, con bomba de caudal variable y</w:t>
      </w:r>
      <w:r w:rsidR="00093C68" w:rsidRPr="00BF7C47">
        <w:rPr>
          <w:lang w:val="es-ES"/>
        </w:rPr>
        <w:t xml:space="preserve"> </w:t>
      </w:r>
      <w:r w:rsidRPr="00BF7C47">
        <w:rPr>
          <w:lang w:val="es-ES"/>
        </w:rPr>
        <w:t>dispositivo de rociado, así como de control automático programable de dosificación,</w:t>
      </w:r>
      <w:r w:rsidR="00093C68" w:rsidRPr="00BF7C47">
        <w:rPr>
          <w:lang w:val="es-ES"/>
        </w:rPr>
        <w:t xml:space="preserve"> </w:t>
      </w:r>
      <w:r w:rsidRPr="00BF7C47">
        <w:rPr>
          <w:lang w:val="es-ES"/>
        </w:rPr>
        <w:t>que permita adecuar las dosificaciones a la fórmula de trabajo correspondiente, según</w:t>
      </w:r>
      <w:r w:rsidR="00093C68" w:rsidRPr="00BF7C47">
        <w:rPr>
          <w:lang w:val="es-ES"/>
        </w:rPr>
        <w:t xml:space="preserve"> </w:t>
      </w:r>
      <w:r w:rsidRPr="00BF7C47">
        <w:rPr>
          <w:lang w:val="es-ES"/>
        </w:rPr>
        <w:t>la profundidad y la anchura de la capa que se vaya a estabilizar, y de acuerdo con el</w:t>
      </w:r>
      <w:r w:rsidR="00093C68" w:rsidRPr="00BF7C47">
        <w:rPr>
          <w:lang w:val="es-ES"/>
        </w:rPr>
        <w:t xml:space="preserve"> </w:t>
      </w:r>
      <w:r w:rsidRPr="00BF7C47">
        <w:rPr>
          <w:lang w:val="es-ES"/>
        </w:rPr>
        <w:t>avance de la máquina.</w:t>
      </w:r>
    </w:p>
    <w:p w14:paraId="3FC35731" w14:textId="77777777" w:rsidR="00BF7C47" w:rsidRPr="00BF7C47" w:rsidRDefault="00BF7C47" w:rsidP="00E842AA">
      <w:pPr>
        <w:pStyle w:val="NORMAL12"/>
        <w:rPr>
          <w:lang w:val="es-ES"/>
        </w:rPr>
      </w:pPr>
      <w:r>
        <w:rPr>
          <w:lang w:val="es-ES"/>
        </w:rPr>
        <w:t xml:space="preserve">No se emplearán equipos diferentes sin la aprobación del </w:t>
      </w:r>
      <w:proofErr w:type="gramStart"/>
      <w:r>
        <w:rPr>
          <w:lang w:val="es-ES"/>
        </w:rPr>
        <w:t>Director</w:t>
      </w:r>
      <w:proofErr w:type="gramEnd"/>
      <w:r>
        <w:rPr>
          <w:lang w:val="es-ES"/>
        </w:rPr>
        <w:t xml:space="preserve"> de Obra.</w:t>
      </w:r>
    </w:p>
    <w:p w14:paraId="43F4DA6D" w14:textId="77777777" w:rsidR="00093C68" w:rsidRPr="00BF7C47" w:rsidRDefault="00AC205C" w:rsidP="00E842AA">
      <w:pPr>
        <w:pStyle w:val="NORMAL12"/>
        <w:rPr>
          <w:i/>
          <w:u w:val="single"/>
          <w:lang w:val="es-ES"/>
        </w:rPr>
      </w:pPr>
      <w:r>
        <w:rPr>
          <w:i/>
          <w:u w:val="single"/>
          <w:lang w:val="es-ES"/>
        </w:rPr>
        <w:br w:type="column"/>
      </w:r>
      <w:r w:rsidR="00093C68" w:rsidRPr="00BF7C47">
        <w:rPr>
          <w:i/>
          <w:u w:val="single"/>
          <w:lang w:val="es-ES"/>
        </w:rPr>
        <w:lastRenderedPageBreak/>
        <w:t>Equipo de compactación</w:t>
      </w:r>
    </w:p>
    <w:p w14:paraId="236C6975" w14:textId="77777777" w:rsidR="00BF7C47" w:rsidRPr="00BF7C47" w:rsidRDefault="00093C68" w:rsidP="00093C68">
      <w:pPr>
        <w:pStyle w:val="NORMAL12"/>
        <w:rPr>
          <w:lang w:val="es-ES"/>
        </w:rPr>
      </w:pPr>
      <w:r w:rsidRPr="00BF7C47">
        <w:rPr>
          <w:lang w:val="es-ES"/>
        </w:rPr>
        <w:t xml:space="preserve">Todos los compactadores deberán ser autopropulsados, tener inversores del sentido de la marcha de acción suave y estar dotados de dispositivos para mantenerlos húmedos en caso necesario. </w:t>
      </w:r>
    </w:p>
    <w:p w14:paraId="11166986" w14:textId="77777777" w:rsidR="00093C68" w:rsidRPr="00BF7C47" w:rsidRDefault="00093C68" w:rsidP="00093C68">
      <w:pPr>
        <w:pStyle w:val="NORMAL12"/>
        <w:rPr>
          <w:lang w:val="es-ES"/>
        </w:rPr>
      </w:pPr>
      <w:r w:rsidRPr="00BF7C47">
        <w:rPr>
          <w:lang w:val="es-ES"/>
        </w:rPr>
        <w:t xml:space="preserve">La composición del equipo de compactación </w:t>
      </w:r>
      <w:r w:rsidR="00BF7C47" w:rsidRPr="00BF7C47">
        <w:rPr>
          <w:lang w:val="es-ES"/>
        </w:rPr>
        <w:t xml:space="preserve">debe estar </w:t>
      </w:r>
      <w:r w:rsidR="00217216" w:rsidRPr="00BF7C47">
        <w:rPr>
          <w:lang w:val="es-ES"/>
        </w:rPr>
        <w:t>formada</w:t>
      </w:r>
      <w:r w:rsidR="00BF7C47" w:rsidRPr="00BF7C47">
        <w:rPr>
          <w:lang w:val="es-ES"/>
        </w:rPr>
        <w:t xml:space="preserve"> como mínimo </w:t>
      </w:r>
      <w:r w:rsidRPr="00BF7C47">
        <w:rPr>
          <w:lang w:val="es-ES"/>
        </w:rPr>
        <w:t>un (1) compactador</w:t>
      </w:r>
      <w:r w:rsidR="00BF7C47" w:rsidRPr="00BF7C47">
        <w:rPr>
          <w:lang w:val="es-ES"/>
        </w:rPr>
        <w:t xml:space="preserve"> vibratorio de rodillo metálico, el resto de la maquinaria la determinará el </w:t>
      </w:r>
      <w:proofErr w:type="gramStart"/>
      <w:r w:rsidR="00BF7C47" w:rsidRPr="00BF7C47">
        <w:rPr>
          <w:lang w:val="es-ES"/>
        </w:rPr>
        <w:t>Director</w:t>
      </w:r>
      <w:proofErr w:type="gramEnd"/>
      <w:r w:rsidR="00BF7C47" w:rsidRPr="00BF7C47">
        <w:rPr>
          <w:lang w:val="es-ES"/>
        </w:rPr>
        <w:t xml:space="preserve"> de Obra según los resultados obtenidos.</w:t>
      </w:r>
    </w:p>
    <w:p w14:paraId="23DB001D" w14:textId="77777777" w:rsidR="00093C68" w:rsidRPr="00BF7C47" w:rsidRDefault="00093C68" w:rsidP="00093C68">
      <w:pPr>
        <w:pStyle w:val="NORMAL12"/>
        <w:rPr>
          <w:lang w:val="es-ES"/>
        </w:rPr>
      </w:pPr>
      <w:r w:rsidRPr="00BF7C47">
        <w:rPr>
          <w:lang w:val="es-ES"/>
        </w:rPr>
        <w:t xml:space="preserve">El compactador vibratorio dispondrá de un rodillo metálico con una carga estática sobre la generatriz no inferior a cincuenta kilogramos por centímetro (50 kg/cm) y capaz de alcanzar una masa de al menos quince toneladas (15 t) con amplitudes y frecuencias de vibración adecuadas. En caso de utilizarse, el compactador de neumáticos será capaz de alcanzar una masa de al menos veintiuna toneladas (21 t) y una carga por rueda de al menos tres toneladas (3 t), con una presión de inflado que pueda alcanzar al menos ocho décimas de </w:t>
      </w:r>
      <w:proofErr w:type="spellStart"/>
      <w:r w:rsidRPr="00BF7C47">
        <w:rPr>
          <w:lang w:val="es-ES"/>
        </w:rPr>
        <w:t>megapascal</w:t>
      </w:r>
      <w:proofErr w:type="spellEnd"/>
      <w:r w:rsidRPr="00BF7C47">
        <w:rPr>
          <w:lang w:val="es-ES"/>
        </w:rPr>
        <w:t xml:space="preserve"> (0,8 MPa).</w:t>
      </w:r>
    </w:p>
    <w:p w14:paraId="23A0287C" w14:textId="77777777" w:rsidR="00093C68" w:rsidRPr="00E842AA" w:rsidRDefault="00093C68" w:rsidP="00093C68">
      <w:pPr>
        <w:pStyle w:val="NORMAL12"/>
        <w:rPr>
          <w:lang w:val="es-ES"/>
        </w:rPr>
      </w:pPr>
      <w:r w:rsidRPr="00BF7C47">
        <w:rPr>
          <w:lang w:val="es-ES"/>
        </w:rPr>
        <w:t>Los compactadores de rodillos metálicos no presentarán surcos ni irregularidades en ellos. Los compactadores vibratorios tendrán dispositivos automáticos para eliminar la vibración al invertir el sentido de la marcha. Los de neumáticos tendrán ruedas lisas, en número, tamaño y configuración tales que permitan el solape de las huellas de las delanteras con las de las traseras.</w:t>
      </w:r>
    </w:p>
    <w:p w14:paraId="523DEF9E" w14:textId="77777777" w:rsidR="00810099" w:rsidRPr="00035413" w:rsidRDefault="00E842AA" w:rsidP="000313DD">
      <w:pPr>
        <w:pStyle w:val="TITU2"/>
      </w:pPr>
      <w:bookmarkStart w:id="561" w:name="_Toc404301"/>
      <w:r>
        <w:t xml:space="preserve">512.5. </w:t>
      </w:r>
      <w:r w:rsidR="00810099" w:rsidRPr="00035413">
        <w:t>Ejecución</w:t>
      </w:r>
      <w:r w:rsidR="00C50108" w:rsidRPr="00035413">
        <w:t xml:space="preserve"> de las obras</w:t>
      </w:r>
      <w:bookmarkEnd w:id="561"/>
    </w:p>
    <w:p w14:paraId="2D1E60AF" w14:textId="77777777" w:rsidR="00810099" w:rsidRPr="00035413" w:rsidRDefault="00810099" w:rsidP="00BF5766">
      <w:pPr>
        <w:pStyle w:val="TITU3"/>
        <w:numPr>
          <w:ilvl w:val="0"/>
          <w:numId w:val="0"/>
        </w:numPr>
        <w:outlineLvl w:val="3"/>
      </w:pPr>
      <w:r w:rsidRPr="00035413">
        <w:t>512.5.1. Estudio de la mezcla y obtención de la fórmula de trabajo</w:t>
      </w:r>
    </w:p>
    <w:p w14:paraId="016FDCB7" w14:textId="77777777" w:rsidR="00C402BD" w:rsidRPr="00B0401C" w:rsidRDefault="00C402BD" w:rsidP="00F02221">
      <w:pPr>
        <w:pStyle w:val="NORMAL12"/>
        <w:rPr>
          <w:lang w:val="es-ES"/>
        </w:rPr>
      </w:pPr>
      <w:r w:rsidRPr="00B0401C">
        <w:rPr>
          <w:lang w:val="es-ES"/>
        </w:rPr>
        <w:t>Se estudiará la fórmula de trabajo antes de realizar el tramo de prueba. La f</w:t>
      </w:r>
      <w:r w:rsidR="001128C1" w:rsidRPr="00B0401C">
        <w:rPr>
          <w:lang w:val="es-ES"/>
        </w:rPr>
        <w:t>ó</w:t>
      </w:r>
      <w:r w:rsidRPr="00B0401C">
        <w:rPr>
          <w:lang w:val="es-ES"/>
        </w:rPr>
        <w:t>rmula de trabajo indica los siguientes parámetros:</w:t>
      </w:r>
    </w:p>
    <w:p w14:paraId="3B73025E" w14:textId="77777777" w:rsidR="00C402BD" w:rsidRPr="00B0401C" w:rsidRDefault="001128C1" w:rsidP="00AC205C">
      <w:pPr>
        <w:pStyle w:val="NORMAL12"/>
        <w:numPr>
          <w:ilvl w:val="0"/>
          <w:numId w:val="20"/>
        </w:numPr>
        <w:ind w:left="714" w:hanging="357"/>
        <w:contextualSpacing/>
        <w:rPr>
          <w:lang w:val="es-ES"/>
        </w:rPr>
      </w:pPr>
      <w:r w:rsidRPr="00B0401C">
        <w:rPr>
          <w:lang w:val="es-ES"/>
        </w:rPr>
        <w:t>La dosificación mínima de conglomerante, referida a la masa total de suelo seco</w:t>
      </w:r>
      <w:r w:rsidR="00515A60" w:rsidRPr="00B0401C">
        <w:rPr>
          <w:lang w:val="es-ES"/>
        </w:rPr>
        <w:t xml:space="preserve"> y</w:t>
      </w:r>
      <w:r w:rsidRPr="00B0401C">
        <w:rPr>
          <w:lang w:val="es-ES"/>
        </w:rPr>
        <w:t xml:space="preserve">, </w:t>
      </w:r>
      <w:r w:rsidR="00515A60" w:rsidRPr="00B0401C">
        <w:rPr>
          <w:lang w:val="es-ES"/>
        </w:rPr>
        <w:t xml:space="preserve">en su caso, </w:t>
      </w:r>
      <w:r w:rsidRPr="00B0401C">
        <w:rPr>
          <w:lang w:val="es-ES"/>
        </w:rPr>
        <w:t>por metro cuadrado (m</w:t>
      </w:r>
      <w:r w:rsidRPr="00E34DE7">
        <w:rPr>
          <w:vertAlign w:val="superscript"/>
          <w:lang w:val="es-ES"/>
        </w:rPr>
        <w:t>2</w:t>
      </w:r>
      <w:r w:rsidRPr="00B0401C">
        <w:rPr>
          <w:lang w:val="es-ES"/>
        </w:rPr>
        <w:t>) de superficie</w:t>
      </w:r>
      <w:r w:rsidR="00515A60" w:rsidRPr="00B0401C">
        <w:rPr>
          <w:lang w:val="es-ES"/>
        </w:rPr>
        <w:t>.</w:t>
      </w:r>
    </w:p>
    <w:p w14:paraId="462E983B" w14:textId="77777777" w:rsidR="00515A60" w:rsidRPr="00B0401C" w:rsidRDefault="00515A60" w:rsidP="00AC205C">
      <w:pPr>
        <w:pStyle w:val="NORMAL12"/>
        <w:numPr>
          <w:ilvl w:val="0"/>
          <w:numId w:val="20"/>
        </w:numPr>
        <w:ind w:left="714" w:hanging="357"/>
        <w:contextualSpacing/>
        <w:rPr>
          <w:lang w:val="es-ES"/>
        </w:rPr>
      </w:pPr>
      <w:r w:rsidRPr="00B0401C">
        <w:rPr>
          <w:lang w:val="es-ES"/>
        </w:rPr>
        <w:t>El contenido de humedad del suelo inmediatamente antes de su mezcla con el conglomerante, y el de la mezcla en el momento de su compactación</w:t>
      </w:r>
    </w:p>
    <w:p w14:paraId="0492EAB3" w14:textId="77777777" w:rsidR="00515A60" w:rsidRPr="00B0401C" w:rsidRDefault="00515A60" w:rsidP="00AC205C">
      <w:pPr>
        <w:pStyle w:val="NORMAL12"/>
        <w:numPr>
          <w:ilvl w:val="0"/>
          <w:numId w:val="20"/>
        </w:numPr>
        <w:ind w:left="714" w:hanging="357"/>
        <w:contextualSpacing/>
        <w:rPr>
          <w:lang w:val="es-ES"/>
        </w:rPr>
      </w:pPr>
      <w:r w:rsidRPr="00B0401C">
        <w:rPr>
          <w:lang w:val="es-ES"/>
        </w:rPr>
        <w:t xml:space="preserve">El valor mínimo de la densidad a obtener que debe </w:t>
      </w:r>
      <w:r w:rsidR="00BF5766">
        <w:rPr>
          <w:lang w:val="es-ES"/>
        </w:rPr>
        <w:t xml:space="preserve">ser mayor o igual a 98 por ciento del </w:t>
      </w:r>
      <w:proofErr w:type="spellStart"/>
      <w:r w:rsidR="00D93E76">
        <w:rPr>
          <w:lang w:val="es-ES"/>
        </w:rPr>
        <w:t>Próctor</w:t>
      </w:r>
      <w:proofErr w:type="spellEnd"/>
      <w:r w:rsidR="00BF5766">
        <w:rPr>
          <w:lang w:val="es-ES"/>
        </w:rPr>
        <w:t xml:space="preserve"> modificado</w:t>
      </w:r>
    </w:p>
    <w:p w14:paraId="134291A6" w14:textId="77777777" w:rsidR="00515A60" w:rsidRPr="00B0401C" w:rsidRDefault="00515A60" w:rsidP="00AC205C">
      <w:pPr>
        <w:pStyle w:val="NORMAL12"/>
        <w:numPr>
          <w:ilvl w:val="0"/>
          <w:numId w:val="20"/>
        </w:numPr>
        <w:ind w:left="714" w:hanging="357"/>
        <w:contextualSpacing/>
        <w:rPr>
          <w:lang w:val="es-ES"/>
        </w:rPr>
      </w:pPr>
      <w:r w:rsidRPr="00B0401C">
        <w:rPr>
          <w:lang w:val="es-ES"/>
        </w:rPr>
        <w:t>El periodo de trabajabilidad (</w:t>
      </w:r>
      <w:proofErr w:type="spellStart"/>
      <w:r w:rsidRPr="00B0401C">
        <w:rPr>
          <w:lang w:val="es-ES"/>
        </w:rPr>
        <w:t>W</w:t>
      </w:r>
      <w:r w:rsidRPr="00BF5766">
        <w:rPr>
          <w:lang w:val="es-ES"/>
        </w:rPr>
        <w:t>pc</w:t>
      </w:r>
      <w:proofErr w:type="spellEnd"/>
      <w:r w:rsidRPr="00B0401C">
        <w:rPr>
          <w:lang w:val="es-ES"/>
        </w:rPr>
        <w:t>) en el caso de las estabilizaciones con cemento, cuyo valor deberá cumplir lo indicado en la tabla 512.6</w:t>
      </w:r>
      <w:r w:rsidR="00BF5766">
        <w:rPr>
          <w:lang w:val="es-ES"/>
        </w:rPr>
        <w:t xml:space="preserve"> del PG-3 será de 2 horas para trabajos en anchura completa.</w:t>
      </w:r>
    </w:p>
    <w:p w14:paraId="7BDA3EC1" w14:textId="77777777" w:rsidR="00C402BD" w:rsidRDefault="00515A60" w:rsidP="00F02221">
      <w:pPr>
        <w:pStyle w:val="NORMAL12"/>
        <w:rPr>
          <w:lang w:val="es-ES"/>
        </w:rPr>
      </w:pPr>
      <w:r w:rsidRPr="00B0401C">
        <w:rPr>
          <w:lang w:val="es-ES"/>
        </w:rPr>
        <w:t xml:space="preserve">El </w:t>
      </w:r>
      <w:proofErr w:type="gramStart"/>
      <w:r w:rsidRPr="00B0401C">
        <w:rPr>
          <w:lang w:val="es-ES"/>
        </w:rPr>
        <w:t>Director</w:t>
      </w:r>
      <w:proofErr w:type="gramEnd"/>
      <w:r w:rsidRPr="00B0401C">
        <w:rPr>
          <w:lang w:val="es-ES"/>
        </w:rPr>
        <w:t xml:space="preserve"> de las Obras podrá modificar la fórmula de trabajo, a la vista de los resultados obtenidos en los ensayos.</w:t>
      </w:r>
    </w:p>
    <w:p w14:paraId="7EA66DD1" w14:textId="77777777" w:rsidR="00F02221" w:rsidRPr="00035413" w:rsidRDefault="00F02221" w:rsidP="00F02221">
      <w:pPr>
        <w:pStyle w:val="NORMAL12"/>
        <w:rPr>
          <w:lang w:val="es-ES"/>
        </w:rPr>
      </w:pPr>
      <w:r w:rsidRPr="00035413">
        <w:rPr>
          <w:lang w:val="es-ES"/>
        </w:rPr>
        <w:t xml:space="preserve">El </w:t>
      </w:r>
      <w:proofErr w:type="gramStart"/>
      <w:r w:rsidRPr="00035413">
        <w:rPr>
          <w:lang w:val="es-ES"/>
        </w:rPr>
        <w:t>Director</w:t>
      </w:r>
      <w:proofErr w:type="gramEnd"/>
      <w:r w:rsidRPr="00035413">
        <w:rPr>
          <w:lang w:val="es-ES"/>
        </w:rPr>
        <w:t xml:space="preserve"> de las Obras fijará la longitud del tramo de prueba</w:t>
      </w:r>
      <w:r w:rsidR="00D62492">
        <w:rPr>
          <w:lang w:val="es-ES"/>
        </w:rPr>
        <w:t xml:space="preserve"> en </w:t>
      </w:r>
      <w:r w:rsidRPr="00035413">
        <w:rPr>
          <w:lang w:val="es-ES"/>
        </w:rPr>
        <w:t xml:space="preserve">cien metros (100 m). </w:t>
      </w:r>
    </w:p>
    <w:p w14:paraId="51CFE6EE" w14:textId="77777777" w:rsidR="00F02221" w:rsidRPr="00035413" w:rsidRDefault="00F02221" w:rsidP="00F02221">
      <w:pPr>
        <w:pStyle w:val="NORMAL12"/>
        <w:rPr>
          <w:lang w:val="es-ES"/>
        </w:rPr>
      </w:pPr>
      <w:r w:rsidRPr="00035413">
        <w:rPr>
          <w:lang w:val="es-ES"/>
        </w:rPr>
        <w:t xml:space="preserve">A la vista de los resultados obtenidos, el </w:t>
      </w:r>
      <w:proofErr w:type="gramStart"/>
      <w:r w:rsidRPr="00035413">
        <w:rPr>
          <w:lang w:val="es-ES"/>
        </w:rPr>
        <w:t>Director</w:t>
      </w:r>
      <w:proofErr w:type="gramEnd"/>
      <w:r w:rsidRPr="00035413">
        <w:rPr>
          <w:lang w:val="es-ES"/>
        </w:rPr>
        <w:t xml:space="preserve"> de las Obras definirá: </w:t>
      </w:r>
    </w:p>
    <w:p w14:paraId="2FDB29FB" w14:textId="77777777" w:rsidR="00F02221" w:rsidRPr="00035413" w:rsidRDefault="00F02221" w:rsidP="00AC205C">
      <w:pPr>
        <w:pStyle w:val="NORMAL12"/>
        <w:numPr>
          <w:ilvl w:val="0"/>
          <w:numId w:val="117"/>
        </w:numPr>
        <w:ind w:left="714" w:hanging="357"/>
        <w:contextualSpacing/>
        <w:rPr>
          <w:lang w:val="es-ES"/>
        </w:rPr>
      </w:pPr>
      <w:r w:rsidRPr="00035413">
        <w:rPr>
          <w:lang w:val="es-ES"/>
        </w:rPr>
        <w:t xml:space="preserve">Si es aceptable o no la fórmula de trabajo. En el primer caso se podrá iniciar la ejecución de la estabilización; en el segundo, deberá proponer las actuaciones a seguir (estudio de una nueva fórmula, corrección parcial de la ensayada, correcciones en los sistemas de dosificación, etc.). </w:t>
      </w:r>
    </w:p>
    <w:p w14:paraId="05E63CC8" w14:textId="77777777" w:rsidR="00F02221" w:rsidRPr="00035413" w:rsidRDefault="00F02221" w:rsidP="00AC205C">
      <w:pPr>
        <w:pStyle w:val="NORMAL12"/>
        <w:numPr>
          <w:ilvl w:val="0"/>
          <w:numId w:val="117"/>
        </w:numPr>
        <w:ind w:left="714" w:hanging="357"/>
        <w:contextualSpacing/>
        <w:rPr>
          <w:lang w:val="es-ES"/>
        </w:rPr>
      </w:pPr>
      <w:r w:rsidRPr="00035413">
        <w:rPr>
          <w:lang w:val="es-ES"/>
        </w:rPr>
        <w:t xml:space="preserve">Si son aceptables o no los equipos propuestos por el Contratista. En el primer caso, aprobará su forma específica de actuación; en el segundo, el Contratista deberá proponer nuevos equipos o incorporar otros suplementarios. </w:t>
      </w:r>
    </w:p>
    <w:p w14:paraId="6CB679C7" w14:textId="77777777" w:rsidR="00810099" w:rsidRPr="00035413" w:rsidRDefault="00810099" w:rsidP="00AB6DB4">
      <w:pPr>
        <w:pStyle w:val="NORMAL12"/>
        <w:rPr>
          <w:lang w:val="es-ES"/>
        </w:rPr>
      </w:pPr>
      <w:r w:rsidRPr="00035413">
        <w:rPr>
          <w:lang w:val="es-ES"/>
        </w:rPr>
        <w:t xml:space="preserve">La estabilización de suelos no se podrá iniciar en tanto que el </w:t>
      </w:r>
      <w:proofErr w:type="gramStart"/>
      <w:r w:rsidRPr="00035413">
        <w:rPr>
          <w:lang w:val="es-ES"/>
        </w:rPr>
        <w:t>Director</w:t>
      </w:r>
      <w:proofErr w:type="gramEnd"/>
      <w:r w:rsidRPr="00035413">
        <w:rPr>
          <w:lang w:val="es-ES"/>
        </w:rPr>
        <w:t xml:space="preserve"> de las Obras no haya aprobado la correspondiente fórmula de trabajo, previo estudio en laboratorio y comprobación en el tramo de prueba, la cual deberá señalar, como mínimo:</w:t>
      </w:r>
    </w:p>
    <w:p w14:paraId="2F6ABF2E" w14:textId="77777777" w:rsidR="00810099" w:rsidRPr="00035413" w:rsidRDefault="00BF52EE" w:rsidP="00AC205C">
      <w:pPr>
        <w:pStyle w:val="NORMAL12"/>
        <w:numPr>
          <w:ilvl w:val="0"/>
          <w:numId w:val="21"/>
        </w:numPr>
        <w:spacing w:before="80" w:after="80"/>
        <w:ind w:left="714" w:hanging="357"/>
        <w:contextualSpacing/>
        <w:rPr>
          <w:lang w:val="es-ES"/>
        </w:rPr>
      </w:pPr>
      <w:r w:rsidRPr="00035413">
        <w:rPr>
          <w:lang w:val="es-ES"/>
        </w:rPr>
        <w:t>El contenido de conglomerante referido a tanto por ciento en masa del suelo seco deber ser mayor a 3</w:t>
      </w:r>
      <w:r w:rsidR="00810099" w:rsidRPr="00035413">
        <w:rPr>
          <w:lang w:val="es-ES"/>
        </w:rPr>
        <w:t>.</w:t>
      </w:r>
    </w:p>
    <w:p w14:paraId="2D35132A" w14:textId="77777777" w:rsidR="00810099" w:rsidRPr="00035413" w:rsidRDefault="00810099" w:rsidP="00AC205C">
      <w:pPr>
        <w:pStyle w:val="NORMAL12"/>
        <w:numPr>
          <w:ilvl w:val="0"/>
          <w:numId w:val="21"/>
        </w:numPr>
        <w:spacing w:before="80" w:after="80"/>
        <w:ind w:left="714" w:hanging="357"/>
        <w:contextualSpacing/>
        <w:rPr>
          <w:lang w:val="es-ES"/>
        </w:rPr>
      </w:pPr>
      <w:r w:rsidRPr="00035413">
        <w:rPr>
          <w:lang w:val="es-ES"/>
        </w:rPr>
        <w:t>El contenido de humedad, (norma UNE 103300), del suelo inmediatamente antes de su mezcla con el conglomerante, y el de la mezcla en el momento de su compactación.</w:t>
      </w:r>
    </w:p>
    <w:p w14:paraId="682D08B9" w14:textId="77777777" w:rsidR="00810099" w:rsidRPr="00035413" w:rsidRDefault="00810099" w:rsidP="00AC205C">
      <w:pPr>
        <w:pStyle w:val="NORMAL12"/>
        <w:numPr>
          <w:ilvl w:val="0"/>
          <w:numId w:val="21"/>
        </w:numPr>
        <w:spacing w:before="80" w:after="80"/>
        <w:ind w:left="714" w:hanging="357"/>
        <w:contextualSpacing/>
        <w:rPr>
          <w:lang w:val="es-ES"/>
        </w:rPr>
      </w:pPr>
      <w:r w:rsidRPr="00035413">
        <w:rPr>
          <w:lang w:val="es-ES"/>
        </w:rPr>
        <w:t xml:space="preserve">El valor mínimo de la densidad </w:t>
      </w:r>
      <w:r w:rsidR="00BF52EE" w:rsidRPr="00035413">
        <w:rPr>
          <w:lang w:val="es-ES"/>
        </w:rPr>
        <w:t xml:space="preserve">debe ser mayor del 98 por ciento del ensayo </w:t>
      </w:r>
      <w:proofErr w:type="spellStart"/>
      <w:r w:rsidR="00BF52EE" w:rsidRPr="00035413">
        <w:rPr>
          <w:lang w:val="es-ES"/>
        </w:rPr>
        <w:t>Próctor</w:t>
      </w:r>
      <w:proofErr w:type="spellEnd"/>
      <w:r w:rsidR="00BF52EE" w:rsidRPr="00035413">
        <w:rPr>
          <w:lang w:val="es-ES"/>
        </w:rPr>
        <w:t xml:space="preserve"> modificado.</w:t>
      </w:r>
    </w:p>
    <w:p w14:paraId="22B49293" w14:textId="77777777" w:rsidR="00810099" w:rsidRPr="00035413" w:rsidRDefault="00810099" w:rsidP="00AC205C">
      <w:pPr>
        <w:pStyle w:val="NORMAL12"/>
        <w:numPr>
          <w:ilvl w:val="0"/>
          <w:numId w:val="21"/>
        </w:numPr>
        <w:spacing w:before="80" w:after="80"/>
        <w:ind w:left="714" w:hanging="357"/>
        <w:contextualSpacing/>
        <w:rPr>
          <w:lang w:val="es-ES"/>
        </w:rPr>
      </w:pPr>
      <w:r w:rsidRPr="00035413">
        <w:rPr>
          <w:lang w:val="es-ES"/>
        </w:rPr>
        <w:t>El periodo de trabajabilidad (</w:t>
      </w:r>
      <w:proofErr w:type="spellStart"/>
      <w:r w:rsidRPr="00035413">
        <w:rPr>
          <w:lang w:val="es-ES"/>
        </w:rPr>
        <w:t>W</w:t>
      </w:r>
      <w:r w:rsidRPr="00035413">
        <w:rPr>
          <w:vertAlign w:val="subscript"/>
          <w:lang w:val="es-ES"/>
        </w:rPr>
        <w:t>pc</w:t>
      </w:r>
      <w:proofErr w:type="spellEnd"/>
      <w:r w:rsidRPr="00035413">
        <w:rPr>
          <w:lang w:val="es-ES"/>
        </w:rPr>
        <w:t>) en el caso de las estabilizaciones con cemento</w:t>
      </w:r>
      <w:r w:rsidR="00BF52EE" w:rsidRPr="00035413">
        <w:rPr>
          <w:lang w:val="es-ES"/>
        </w:rPr>
        <w:t xml:space="preserve"> debe ser de 2 horas</w:t>
      </w:r>
      <w:r w:rsidRPr="00035413">
        <w:rPr>
          <w:lang w:val="es-ES"/>
        </w:rPr>
        <w:t>.</w:t>
      </w:r>
    </w:p>
    <w:p w14:paraId="0467E46D" w14:textId="77777777" w:rsidR="00810099" w:rsidRPr="00035413" w:rsidRDefault="00810099" w:rsidP="00810099">
      <w:pPr>
        <w:pStyle w:val="NORMAL12"/>
        <w:rPr>
          <w:lang w:val="es-ES"/>
        </w:rPr>
      </w:pPr>
      <w:r w:rsidRPr="00035413">
        <w:rPr>
          <w:lang w:val="es-ES"/>
        </w:rPr>
        <w:t xml:space="preserve">La tolerancia admisible, respecto a la fórmula de trabajo, del contenido de humedad del </w:t>
      </w:r>
      <w:r w:rsidRPr="00111B52">
        <w:rPr>
          <w:lang w:val="es-ES"/>
        </w:rPr>
        <w:t xml:space="preserve">suelo estabilizado en el momento de su compactación, será de dos puntos porcentuales (± 2 %) respecto a la humedad óptima definida en el ensayo </w:t>
      </w:r>
      <w:proofErr w:type="spellStart"/>
      <w:r w:rsidRPr="00111B52">
        <w:rPr>
          <w:lang w:val="es-ES"/>
        </w:rPr>
        <w:t>Próctor</w:t>
      </w:r>
      <w:proofErr w:type="spellEnd"/>
      <w:r w:rsidRPr="00111B52">
        <w:rPr>
          <w:lang w:val="es-ES"/>
        </w:rPr>
        <w:t xml:space="preserve"> modificado (norma UNE 103501</w:t>
      </w:r>
      <w:r w:rsidR="007515A8" w:rsidRPr="00111B52">
        <w:rPr>
          <w:lang w:val="es-ES"/>
        </w:rPr>
        <w:t>:1994</w:t>
      </w:r>
      <w:r w:rsidRPr="00111B52">
        <w:rPr>
          <w:lang w:val="es-ES"/>
        </w:rPr>
        <w:t>).</w:t>
      </w:r>
    </w:p>
    <w:p w14:paraId="20B2E6F7" w14:textId="77777777" w:rsidR="00810099" w:rsidRPr="00035413" w:rsidRDefault="00D62492" w:rsidP="00810099">
      <w:pPr>
        <w:pStyle w:val="NORMAL12"/>
        <w:rPr>
          <w:lang w:val="es-ES"/>
        </w:rPr>
      </w:pPr>
      <w:r>
        <w:rPr>
          <w:lang w:val="es-ES"/>
        </w:rPr>
        <w:t xml:space="preserve">No se emplearán </w:t>
      </w:r>
      <w:r w:rsidR="00810099" w:rsidRPr="00035413">
        <w:rPr>
          <w:lang w:val="es-ES"/>
        </w:rPr>
        <w:t>suelos inadecuados o marginales susceptibles</w:t>
      </w:r>
      <w:r>
        <w:rPr>
          <w:lang w:val="es-ES"/>
        </w:rPr>
        <w:t xml:space="preserve"> de hinchamiento o colapso</w:t>
      </w:r>
      <w:r w:rsidR="00810099" w:rsidRPr="00035413">
        <w:rPr>
          <w:lang w:val="es-ES"/>
        </w:rPr>
        <w:t>.</w:t>
      </w:r>
    </w:p>
    <w:p w14:paraId="0A536282" w14:textId="77777777" w:rsidR="00810099" w:rsidRPr="00035413" w:rsidRDefault="00810099" w:rsidP="009F36C5">
      <w:pPr>
        <w:pStyle w:val="TITU3"/>
        <w:numPr>
          <w:ilvl w:val="0"/>
          <w:numId w:val="0"/>
        </w:numPr>
      </w:pPr>
      <w:r w:rsidRPr="00035413">
        <w:lastRenderedPageBreak/>
        <w:t>512.5.2. Preparación de la superficie existente</w:t>
      </w:r>
    </w:p>
    <w:p w14:paraId="3BF6C15C" w14:textId="77777777" w:rsidR="00515A60" w:rsidRPr="00B0401C" w:rsidRDefault="00515A60" w:rsidP="00810099">
      <w:pPr>
        <w:pStyle w:val="NORMAL12"/>
        <w:rPr>
          <w:lang w:val="es-ES"/>
        </w:rPr>
      </w:pPr>
      <w:r w:rsidRPr="00B0401C">
        <w:rPr>
          <w:lang w:val="es-ES"/>
        </w:rPr>
        <w:t>Todo el material empleado es de aportación por lo que éste debe estar extendido en todo el espesor de la capa antes de iniciar la distribución del conglomerante.</w:t>
      </w:r>
    </w:p>
    <w:p w14:paraId="0464BFBE" w14:textId="77777777" w:rsidR="00810099" w:rsidRPr="00035413" w:rsidRDefault="00810099" w:rsidP="009F36C5">
      <w:pPr>
        <w:pStyle w:val="TITU3"/>
        <w:numPr>
          <w:ilvl w:val="0"/>
          <w:numId w:val="0"/>
        </w:numPr>
      </w:pPr>
      <w:r w:rsidRPr="00035413">
        <w:t>512.5.3. Disgregación del suelo</w:t>
      </w:r>
    </w:p>
    <w:p w14:paraId="281C7CEB" w14:textId="77777777" w:rsidR="00810099" w:rsidRPr="00111B52" w:rsidRDefault="00810099" w:rsidP="00810099">
      <w:pPr>
        <w:pStyle w:val="NORMAL12"/>
        <w:rPr>
          <w:lang w:val="es-ES"/>
        </w:rPr>
      </w:pPr>
      <w:r w:rsidRPr="00035413">
        <w:rPr>
          <w:lang w:val="es-ES"/>
        </w:rPr>
        <w:t xml:space="preserve">El suelo que se vaya a estabilizar deberá disgregarse hasta conseguir los siguientes </w:t>
      </w:r>
      <w:r w:rsidRPr="00111B52">
        <w:rPr>
          <w:lang w:val="es-ES"/>
        </w:rPr>
        <w:t>valores mínimos de la eficacia de disgregación:</w:t>
      </w:r>
    </w:p>
    <w:p w14:paraId="67F1133E" w14:textId="77777777" w:rsidR="00810099" w:rsidRPr="00111B52" w:rsidRDefault="00810099" w:rsidP="00D51625">
      <w:pPr>
        <w:pStyle w:val="NORMAL12"/>
        <w:numPr>
          <w:ilvl w:val="0"/>
          <w:numId w:val="22"/>
        </w:numPr>
        <w:rPr>
          <w:lang w:val="es-ES"/>
        </w:rPr>
      </w:pPr>
      <w:r w:rsidRPr="00111B52">
        <w:rPr>
          <w:lang w:val="es-ES"/>
        </w:rPr>
        <w:t>Para todos los tipos de suelo estabilizado: cien por ciento (100%), referida al tamiz 25 mm (norma UNE-EN 933-2</w:t>
      </w:r>
      <w:r w:rsidR="007515A8" w:rsidRPr="00111B52">
        <w:rPr>
          <w:lang w:val="es-ES"/>
        </w:rPr>
        <w:t>:1996</w:t>
      </w:r>
      <w:r w:rsidRPr="00111B52">
        <w:rPr>
          <w:lang w:val="es-ES"/>
        </w:rPr>
        <w:t>).</w:t>
      </w:r>
    </w:p>
    <w:p w14:paraId="267C237E" w14:textId="77777777" w:rsidR="00810099" w:rsidRPr="00111B52" w:rsidRDefault="00810099" w:rsidP="00D51625">
      <w:pPr>
        <w:pStyle w:val="NORMAL12"/>
        <w:numPr>
          <w:ilvl w:val="0"/>
          <w:numId w:val="22"/>
        </w:numPr>
        <w:rPr>
          <w:lang w:val="es-ES"/>
        </w:rPr>
      </w:pPr>
      <w:r w:rsidRPr="00111B52">
        <w:rPr>
          <w:lang w:val="es-ES"/>
        </w:rPr>
        <w:t>Para los tipos de suelo estabilizado S-EST3 ochenta por ciento (80%), referida al tamiz 4 mm (norma UNE-EN 933-2</w:t>
      </w:r>
      <w:r w:rsidR="007515A8" w:rsidRPr="00111B52">
        <w:rPr>
          <w:lang w:val="es-ES"/>
        </w:rPr>
        <w:t>:1996</w:t>
      </w:r>
      <w:r w:rsidRPr="00111B52">
        <w:rPr>
          <w:lang w:val="es-ES"/>
        </w:rPr>
        <w:t>).</w:t>
      </w:r>
    </w:p>
    <w:p w14:paraId="036A56D1" w14:textId="77777777" w:rsidR="00810099" w:rsidRPr="00111B52" w:rsidRDefault="00810099" w:rsidP="00810099">
      <w:pPr>
        <w:pStyle w:val="NORMAL12"/>
        <w:rPr>
          <w:lang w:val="es-ES"/>
        </w:rPr>
      </w:pPr>
      <w:r w:rsidRPr="00111B52">
        <w:rPr>
          <w:lang w:val="es-ES"/>
        </w:rPr>
        <w:t>El suelo disgregado no deberá contener en ninguna circunstancia elementos, ni terrones, de tamaño supe</w:t>
      </w:r>
      <w:r w:rsidR="00B14C0E" w:rsidRPr="00111B52">
        <w:rPr>
          <w:lang w:val="es-ES"/>
        </w:rPr>
        <w:t>rior a los ochenta milímetros (&gt;</w:t>
      </w:r>
      <w:r w:rsidRPr="00111B52">
        <w:rPr>
          <w:lang w:val="es-ES"/>
        </w:rPr>
        <w:t xml:space="preserve"> 80 mm).</w:t>
      </w:r>
    </w:p>
    <w:p w14:paraId="219152B0" w14:textId="77777777" w:rsidR="00810099" w:rsidRPr="00035413" w:rsidRDefault="00810099" w:rsidP="00810099">
      <w:pPr>
        <w:pStyle w:val="NORMAL12"/>
        <w:rPr>
          <w:lang w:val="es-ES"/>
        </w:rPr>
      </w:pPr>
      <w:r w:rsidRPr="00111B52">
        <w:rPr>
          <w:lang w:val="es-ES"/>
        </w:rPr>
        <w:t>La disgregación se podrá hacer en una sola etapa, pero en algunos tipos de suelos podrá haber dificultades para alcanzar el grado de disgregación necesario</w:t>
      </w:r>
      <w:r w:rsidRPr="00035413">
        <w:rPr>
          <w:lang w:val="es-ES"/>
        </w:rPr>
        <w:t>, por exceso o por defecto de humedad, o por un índice de plasticidad elevado. En el primer caso se corregirá el grado de humedad del suelo, según el epígrafe 512.5.4.</w:t>
      </w:r>
    </w:p>
    <w:p w14:paraId="5F1DFDB5" w14:textId="77777777" w:rsidR="00810099" w:rsidRPr="00035413" w:rsidRDefault="00810099" w:rsidP="009F36C5">
      <w:pPr>
        <w:pStyle w:val="TITU3"/>
        <w:numPr>
          <w:ilvl w:val="0"/>
          <w:numId w:val="0"/>
        </w:numPr>
      </w:pPr>
      <w:r w:rsidRPr="00035413">
        <w:t>512.5.4. Humectación o desecación del suelo</w:t>
      </w:r>
    </w:p>
    <w:p w14:paraId="1C9AE571" w14:textId="77777777" w:rsidR="00810099" w:rsidRPr="00035413" w:rsidRDefault="00810099" w:rsidP="00810099">
      <w:pPr>
        <w:pStyle w:val="NORMAL12"/>
        <w:rPr>
          <w:lang w:val="es-ES"/>
        </w:rPr>
      </w:pPr>
      <w:r w:rsidRPr="00035413">
        <w:rPr>
          <w:lang w:val="es-ES"/>
        </w:rPr>
        <w:t>En el caso de ser necesaria la incorporación de agua a la mezcla para alcanzar el valor de humedad fijado por la fórmula de trabajo, deberán tenerse en cuenta las posibles variaciones de humedad debidas a la climatología que puedan tener lugar durante la ejecución de los trabajos. Dicha incorporación deberá realizarse, preferentemente, por el propio equipo de mezcla.</w:t>
      </w:r>
    </w:p>
    <w:p w14:paraId="7D60EDF9" w14:textId="77777777" w:rsidR="00BF52EE" w:rsidRPr="00035413" w:rsidRDefault="00BF52EE" w:rsidP="00810099">
      <w:pPr>
        <w:pStyle w:val="NORMAL12"/>
        <w:rPr>
          <w:lang w:val="es-ES"/>
        </w:rPr>
      </w:pPr>
      <w:r w:rsidRPr="00035413">
        <w:rPr>
          <w:lang w:val="es-ES"/>
        </w:rPr>
        <w:t>Durante la humectación se impedirá la formación de charcos.</w:t>
      </w:r>
    </w:p>
    <w:p w14:paraId="0A966611" w14:textId="77777777" w:rsidR="00BF52EE" w:rsidRPr="00035413" w:rsidRDefault="00BF52EE" w:rsidP="00810099">
      <w:pPr>
        <w:pStyle w:val="NORMAL12"/>
        <w:rPr>
          <w:lang w:val="es-ES"/>
        </w:rPr>
      </w:pPr>
      <w:r w:rsidRPr="00035413">
        <w:rPr>
          <w:lang w:val="es-ES"/>
        </w:rPr>
        <w:t>En el caso de humedad excesiva se procederá a la desecación mediante oreo y la adicción y mezcla con materiales secos.</w:t>
      </w:r>
    </w:p>
    <w:p w14:paraId="46D65059" w14:textId="77777777" w:rsidR="00810099" w:rsidRPr="00035413" w:rsidRDefault="00810099" w:rsidP="009F36C5">
      <w:pPr>
        <w:pStyle w:val="TITU3"/>
        <w:numPr>
          <w:ilvl w:val="0"/>
          <w:numId w:val="0"/>
        </w:numPr>
      </w:pPr>
      <w:r w:rsidRPr="00035413">
        <w:t>512.5.5. Distribución del conglomerante</w:t>
      </w:r>
    </w:p>
    <w:p w14:paraId="26D54CB0" w14:textId="77777777" w:rsidR="00262F4D" w:rsidRPr="00035413" w:rsidRDefault="00262F4D" w:rsidP="00810099">
      <w:pPr>
        <w:pStyle w:val="NORMAL12"/>
        <w:rPr>
          <w:lang w:val="es-ES"/>
        </w:rPr>
      </w:pPr>
      <w:r w:rsidRPr="00035413">
        <w:rPr>
          <w:lang w:val="es-ES"/>
        </w:rPr>
        <w:t>Se paralizará el extendido del conglomerante cundo la velo</w:t>
      </w:r>
      <w:r w:rsidR="00810099" w:rsidRPr="00035413">
        <w:rPr>
          <w:lang w:val="es-ES"/>
        </w:rPr>
        <w:t xml:space="preserve">cidad del viento </w:t>
      </w:r>
      <w:r w:rsidRPr="00035413">
        <w:rPr>
          <w:lang w:val="es-ES"/>
        </w:rPr>
        <w:t xml:space="preserve">sea superior </w:t>
      </w:r>
      <w:r w:rsidR="00CE424A" w:rsidRPr="00035413">
        <w:rPr>
          <w:lang w:val="es-ES"/>
        </w:rPr>
        <w:t>a diez</w:t>
      </w:r>
      <w:r w:rsidR="00810099" w:rsidRPr="00035413">
        <w:rPr>
          <w:lang w:val="es-ES"/>
        </w:rPr>
        <w:t xml:space="preserve"> metros por segundo (&gt; 10 m/s), o cuando la emisión de polvo afecte a zonas pobladas, ganaderas, o especialmente sensibles. </w:t>
      </w:r>
    </w:p>
    <w:p w14:paraId="5FEBB40F" w14:textId="77777777" w:rsidR="00810099" w:rsidRPr="00035413" w:rsidRDefault="00810099" w:rsidP="00810099">
      <w:pPr>
        <w:pStyle w:val="NORMAL12"/>
        <w:rPr>
          <w:lang w:val="es-ES"/>
        </w:rPr>
      </w:pPr>
      <w:r w:rsidRPr="00035413">
        <w:rPr>
          <w:lang w:val="es-ES"/>
        </w:rPr>
        <w:t>No podrá procederse a la distribución del conglomerante mientras queden concentraciones superficiales de humedad.</w:t>
      </w:r>
    </w:p>
    <w:p w14:paraId="70677F29" w14:textId="77777777" w:rsidR="00810099" w:rsidRPr="00035413" w:rsidRDefault="00810099" w:rsidP="009F36C5">
      <w:pPr>
        <w:pStyle w:val="TITU3"/>
        <w:numPr>
          <w:ilvl w:val="0"/>
          <w:numId w:val="0"/>
        </w:numPr>
      </w:pPr>
      <w:r w:rsidRPr="00035413">
        <w:t>512.5.6. Ejecución de la mezcla</w:t>
      </w:r>
    </w:p>
    <w:p w14:paraId="4D862E52" w14:textId="77777777" w:rsidR="00810099" w:rsidRPr="00035413" w:rsidRDefault="00810099" w:rsidP="00262F4D">
      <w:pPr>
        <w:pStyle w:val="NORMAL12"/>
        <w:rPr>
          <w:lang w:val="es-ES"/>
        </w:rPr>
      </w:pPr>
      <w:r w:rsidRPr="00035413">
        <w:rPr>
          <w:lang w:val="es-ES"/>
        </w:rPr>
        <w:t xml:space="preserve">Inmediatamente después de la distribución del conglomerante deberá procederse a su mezcla con el suelo. </w:t>
      </w:r>
      <w:r w:rsidR="00262F4D" w:rsidRPr="00035413">
        <w:rPr>
          <w:lang w:val="es-ES"/>
        </w:rPr>
        <w:t xml:space="preserve">Todo el conglomerante debe estar mezclado antes de </w:t>
      </w:r>
      <w:r w:rsidRPr="00035413">
        <w:rPr>
          <w:lang w:val="es-ES"/>
        </w:rPr>
        <w:t>haber transcurrido una hora (1 h) desde su aplicación.</w:t>
      </w:r>
    </w:p>
    <w:p w14:paraId="2FABE551" w14:textId="77777777" w:rsidR="00810099" w:rsidRPr="00035413" w:rsidRDefault="00810099" w:rsidP="00810099">
      <w:pPr>
        <w:pStyle w:val="NORMAL12"/>
        <w:rPr>
          <w:lang w:val="es-ES"/>
        </w:rPr>
      </w:pPr>
      <w:r w:rsidRPr="00035413">
        <w:rPr>
          <w:lang w:val="es-ES"/>
        </w:rPr>
        <w:t>El material estabilizado con cemento no podrá permanecer más de media hora (1/2 h) sin que se proceda al inicio de la compactación.</w:t>
      </w:r>
    </w:p>
    <w:p w14:paraId="708932FC" w14:textId="77777777" w:rsidR="00810099" w:rsidRPr="00035413" w:rsidRDefault="00810099" w:rsidP="009F36C5">
      <w:pPr>
        <w:pStyle w:val="TITU3"/>
        <w:numPr>
          <w:ilvl w:val="0"/>
          <w:numId w:val="0"/>
        </w:numPr>
      </w:pPr>
      <w:r w:rsidRPr="00035413">
        <w:t>512.5.7. Compactación</w:t>
      </w:r>
    </w:p>
    <w:p w14:paraId="5A75D03A" w14:textId="77777777" w:rsidR="00810099" w:rsidRPr="00035413" w:rsidRDefault="00810099" w:rsidP="00810099">
      <w:pPr>
        <w:pStyle w:val="NORMAL12"/>
        <w:rPr>
          <w:lang w:val="es-ES"/>
        </w:rPr>
      </w:pPr>
      <w:r w:rsidRPr="00035413">
        <w:rPr>
          <w:lang w:val="es-ES"/>
        </w:rPr>
        <w:t>En el caso de las estabilizaciones con cemento, el proceso completo desde la mezcla del conglomerante con el agua, hasta la terminación de la superficie, deberá realizarse dentro del periodo de trabajabilidad de la mezcla.</w:t>
      </w:r>
    </w:p>
    <w:p w14:paraId="74C22373" w14:textId="77777777" w:rsidR="00810099" w:rsidRPr="00035413" w:rsidRDefault="00810099" w:rsidP="00810099">
      <w:pPr>
        <w:pStyle w:val="NORMAL12"/>
        <w:rPr>
          <w:lang w:val="es-ES"/>
        </w:rPr>
      </w:pPr>
      <w:r w:rsidRPr="00035413">
        <w:rPr>
          <w:lang w:val="es-ES"/>
        </w:rPr>
        <w:t>En el caso de estabilización de suelos para la formación de rellenos tipo terraplén, durante la ejecución de las obras, la superficie de las tongadas terminadas deberá tener una pendiente transversal mínima del cuatro por ciento (4%).</w:t>
      </w:r>
    </w:p>
    <w:p w14:paraId="56D6DF92" w14:textId="77777777" w:rsidR="00810099" w:rsidRPr="00035413" w:rsidRDefault="00810099" w:rsidP="009F36C5">
      <w:pPr>
        <w:pStyle w:val="TITU3"/>
        <w:numPr>
          <w:ilvl w:val="0"/>
          <w:numId w:val="0"/>
        </w:numPr>
      </w:pPr>
      <w:r w:rsidRPr="00035413">
        <w:t>512.5.8. Terminación de la superficie</w:t>
      </w:r>
    </w:p>
    <w:p w14:paraId="0C4BDA5B" w14:textId="77777777" w:rsidR="00262F4D" w:rsidRPr="00035413" w:rsidRDefault="00810099" w:rsidP="00810099">
      <w:pPr>
        <w:pStyle w:val="NORMAL12"/>
        <w:rPr>
          <w:lang w:val="es-ES"/>
        </w:rPr>
      </w:pPr>
      <w:r w:rsidRPr="00035413">
        <w:rPr>
          <w:lang w:val="es-ES"/>
        </w:rPr>
        <w:t>Una vez terminada la compactación no se permitirá su recrecimiento</w:t>
      </w:r>
      <w:r w:rsidR="00262F4D" w:rsidRPr="00035413">
        <w:rPr>
          <w:lang w:val="es-ES"/>
        </w:rPr>
        <w:t xml:space="preserve">, si fuera necesario realizar </w:t>
      </w:r>
      <w:r w:rsidRPr="00035413">
        <w:rPr>
          <w:lang w:val="es-ES"/>
        </w:rPr>
        <w:t>operaciones de terminación de la superficie para conseguir la rasante y sección definidas en los Planos de Proyecto, eliminando además irregularidad</w:t>
      </w:r>
      <w:r w:rsidR="00262F4D" w:rsidRPr="00035413">
        <w:rPr>
          <w:lang w:val="es-ES"/>
        </w:rPr>
        <w:t xml:space="preserve">es, huellas o discontinuidades, se realizarán mediante una </w:t>
      </w:r>
      <w:r w:rsidRPr="00035413">
        <w:rPr>
          <w:lang w:val="es-ES"/>
        </w:rPr>
        <w:t xml:space="preserve">ligera escarificación de la superficie, y su posterior </w:t>
      </w:r>
      <w:proofErr w:type="spellStart"/>
      <w:r w:rsidRPr="00035413">
        <w:rPr>
          <w:lang w:val="es-ES"/>
        </w:rPr>
        <w:t>recompactación</w:t>
      </w:r>
      <w:proofErr w:type="spellEnd"/>
      <w:r w:rsidRPr="00035413">
        <w:rPr>
          <w:lang w:val="es-ES"/>
        </w:rPr>
        <w:t xml:space="preserve"> previa adición del agua necesaria</w:t>
      </w:r>
      <w:r w:rsidR="00262F4D" w:rsidRPr="00035413">
        <w:rPr>
          <w:lang w:val="es-ES"/>
        </w:rPr>
        <w:t xml:space="preserve"> o un refino con motoniveladora, siempre dentro del periodo de trabajabilidad. </w:t>
      </w:r>
    </w:p>
    <w:p w14:paraId="55048144" w14:textId="77777777" w:rsidR="00810099" w:rsidRPr="00035413" w:rsidRDefault="00262F4D" w:rsidP="00810099">
      <w:pPr>
        <w:pStyle w:val="NORMAL12"/>
        <w:rPr>
          <w:lang w:val="es-ES"/>
        </w:rPr>
      </w:pPr>
      <w:r w:rsidRPr="00035413">
        <w:rPr>
          <w:lang w:val="es-ES"/>
        </w:rPr>
        <w:t>Los materiales sobrantes se consideran residuos y deben ser llevados a vertedero o instalación de gestión de residuos.</w:t>
      </w:r>
    </w:p>
    <w:p w14:paraId="28DFEDFD" w14:textId="77777777" w:rsidR="00810099" w:rsidRPr="00035413" w:rsidRDefault="00810099" w:rsidP="009F36C5">
      <w:pPr>
        <w:pStyle w:val="TITU3"/>
        <w:numPr>
          <w:ilvl w:val="0"/>
          <w:numId w:val="0"/>
        </w:numPr>
      </w:pPr>
      <w:r w:rsidRPr="00035413">
        <w:t>512.5.9. Ejecución de juntas</w:t>
      </w:r>
    </w:p>
    <w:p w14:paraId="31B9C60C" w14:textId="77777777" w:rsidR="00810099" w:rsidRPr="00035413" w:rsidRDefault="00262F4D" w:rsidP="00810099">
      <w:pPr>
        <w:pStyle w:val="NORMAL12"/>
        <w:rPr>
          <w:lang w:val="es-ES"/>
        </w:rPr>
      </w:pPr>
      <w:r w:rsidRPr="00035413">
        <w:rPr>
          <w:lang w:val="es-ES"/>
        </w:rPr>
        <w:t>El solape transversal para las juntas será de 25 cm</w:t>
      </w:r>
      <w:r w:rsidR="007515A8">
        <w:rPr>
          <w:lang w:val="es-ES"/>
        </w:rPr>
        <w:t>.</w:t>
      </w:r>
    </w:p>
    <w:p w14:paraId="3EEF8A9C" w14:textId="77777777" w:rsidR="00810099" w:rsidRDefault="00810099" w:rsidP="00810099">
      <w:pPr>
        <w:pStyle w:val="NORMAL12"/>
        <w:rPr>
          <w:lang w:val="es-ES"/>
        </w:rPr>
      </w:pPr>
      <w:r w:rsidRPr="00035413">
        <w:rPr>
          <w:lang w:val="es-ES"/>
        </w:rPr>
        <w:t xml:space="preserve">En estabilizaciones con cemento, se dispondrán juntas transversales de trabajo donde el proceso constructivo se interrumpa un tiempo superior al de trabajabilidad de la mezcla. </w:t>
      </w:r>
    </w:p>
    <w:p w14:paraId="06A54AC2" w14:textId="77777777" w:rsidR="006455AE" w:rsidRPr="00035413" w:rsidRDefault="006455AE" w:rsidP="00810099">
      <w:pPr>
        <w:pStyle w:val="NORMAL12"/>
        <w:rPr>
          <w:lang w:val="es-ES"/>
        </w:rPr>
      </w:pPr>
    </w:p>
    <w:p w14:paraId="0E319DEA" w14:textId="77777777" w:rsidR="00810099" w:rsidRPr="00035413" w:rsidRDefault="00810099" w:rsidP="009F36C5">
      <w:pPr>
        <w:pStyle w:val="TITU3"/>
        <w:numPr>
          <w:ilvl w:val="0"/>
          <w:numId w:val="0"/>
        </w:numPr>
      </w:pPr>
      <w:r w:rsidRPr="00035413">
        <w:lastRenderedPageBreak/>
        <w:t>512.5.10. Curación y protección superficial</w:t>
      </w:r>
    </w:p>
    <w:p w14:paraId="2083DEA5" w14:textId="77777777" w:rsidR="00262F4D" w:rsidRPr="00035413" w:rsidRDefault="00262F4D" w:rsidP="00262F4D">
      <w:pPr>
        <w:pStyle w:val="NORMAL12"/>
        <w:rPr>
          <w:lang w:val="es-ES"/>
        </w:rPr>
      </w:pPr>
      <w:r w:rsidRPr="00035413">
        <w:rPr>
          <w:lang w:val="es-ES"/>
        </w:rPr>
        <w:t>Sobre la capa compactada, siempre que sea la superior de la explanada, se aplicará dentro de la misma jornada de trabajo un riego de curado.</w:t>
      </w:r>
    </w:p>
    <w:p w14:paraId="7E01221A" w14:textId="77777777" w:rsidR="00262F4D" w:rsidRPr="00035413" w:rsidRDefault="00D62492" w:rsidP="00262F4D">
      <w:pPr>
        <w:pStyle w:val="NORMAL12"/>
        <w:rPr>
          <w:lang w:val="es-ES"/>
        </w:rPr>
      </w:pPr>
      <w:r>
        <w:rPr>
          <w:lang w:val="es-ES"/>
        </w:rPr>
        <w:t>Se prohíbe</w:t>
      </w:r>
      <w:r w:rsidR="00262F4D" w:rsidRPr="00035413">
        <w:rPr>
          <w:lang w:val="es-ES"/>
        </w:rPr>
        <w:t xml:space="preserve"> la circulación de vehículos, una vez ejecutado el riego de curado, durante tres (3) días para vehículos ligeros y siete (7) días para vehículos pesados.</w:t>
      </w:r>
    </w:p>
    <w:p w14:paraId="0C862833" w14:textId="77777777" w:rsidR="00262F4D" w:rsidRDefault="00262F4D" w:rsidP="00262F4D">
      <w:pPr>
        <w:pStyle w:val="NORMAL12"/>
        <w:rPr>
          <w:lang w:val="es-ES"/>
        </w:rPr>
      </w:pPr>
      <w:r w:rsidRPr="00035413">
        <w:rPr>
          <w:lang w:val="es-ES"/>
        </w:rPr>
        <w:t xml:space="preserve">Se protegerá el riego de curado con una </w:t>
      </w:r>
      <w:r w:rsidR="00AF2335" w:rsidRPr="00035413">
        <w:rPr>
          <w:lang w:val="es-ES"/>
        </w:rPr>
        <w:t>capa de árido de cobertura, que debe ser barrida antes de la ejecución de la capa superior.</w:t>
      </w:r>
    </w:p>
    <w:p w14:paraId="11C0DD9C" w14:textId="77777777" w:rsidR="00515A60" w:rsidRPr="00035413" w:rsidRDefault="001D5107" w:rsidP="00262F4D">
      <w:pPr>
        <w:pStyle w:val="NORMAL12"/>
        <w:rPr>
          <w:lang w:val="es-ES"/>
        </w:rPr>
      </w:pPr>
      <w:r>
        <w:rPr>
          <w:lang w:val="es-ES"/>
        </w:rPr>
        <w:t xml:space="preserve">La aplicación del riego de curado y extendido del árido de cobertura se realizará según el artículo 532. </w:t>
      </w:r>
      <w:r w:rsidRPr="001D5107">
        <w:rPr>
          <w:i/>
          <w:lang w:val="es-ES"/>
        </w:rPr>
        <w:t>Riego de curado</w:t>
      </w:r>
      <w:r>
        <w:rPr>
          <w:lang w:val="es-ES"/>
        </w:rPr>
        <w:t xml:space="preserve"> del presente pliego.</w:t>
      </w:r>
    </w:p>
    <w:p w14:paraId="2F025C2D" w14:textId="77777777" w:rsidR="00810099" w:rsidRPr="00035413" w:rsidRDefault="00810099" w:rsidP="000313DD">
      <w:pPr>
        <w:pStyle w:val="TITU2"/>
      </w:pPr>
      <w:bookmarkStart w:id="562" w:name="_Toc404302"/>
      <w:r w:rsidRPr="00035413">
        <w:t>512.7. Especificaciones de la unida terminada</w:t>
      </w:r>
      <w:bookmarkEnd w:id="562"/>
    </w:p>
    <w:p w14:paraId="0896EE29" w14:textId="77777777" w:rsidR="00810099" w:rsidRPr="00111B52" w:rsidRDefault="00810099" w:rsidP="009F36C5">
      <w:pPr>
        <w:pStyle w:val="TITU3"/>
        <w:numPr>
          <w:ilvl w:val="0"/>
          <w:numId w:val="0"/>
        </w:numPr>
      </w:pPr>
      <w:r w:rsidRPr="00111B52">
        <w:t>512.7.1. Resistencia, densidad y capacidad del soporte</w:t>
      </w:r>
    </w:p>
    <w:p w14:paraId="213B5D22" w14:textId="77777777" w:rsidR="00AF2335" w:rsidRPr="00111B52" w:rsidRDefault="00810099" w:rsidP="00810099">
      <w:pPr>
        <w:pStyle w:val="NORMAL12"/>
      </w:pPr>
      <w:r w:rsidRPr="00111B52">
        <w:t>La capacidad de soporte o la resistencia y la densidad del suelo estabilizado in situ deberán c</w:t>
      </w:r>
      <w:r w:rsidR="00AF2335" w:rsidRPr="00111B52">
        <w:t>umplir:</w:t>
      </w:r>
    </w:p>
    <w:p w14:paraId="7D70AAB4" w14:textId="77777777" w:rsidR="00AF2335" w:rsidRPr="00111B52" w:rsidRDefault="00AF2335" w:rsidP="00221E1A">
      <w:pPr>
        <w:pStyle w:val="NORMAL12"/>
        <w:numPr>
          <w:ilvl w:val="0"/>
          <w:numId w:val="126"/>
        </w:numPr>
      </w:pPr>
      <w:r w:rsidRPr="00111B52">
        <w:t xml:space="preserve">Capa superior de la explanada con módulo de deformación vertical superior a 300 </w:t>
      </w:r>
      <w:proofErr w:type="spellStart"/>
      <w:r w:rsidRPr="00111B52">
        <w:t>megapascales</w:t>
      </w:r>
      <w:proofErr w:type="spellEnd"/>
      <w:r w:rsidRPr="00111B52">
        <w:t>.</w:t>
      </w:r>
    </w:p>
    <w:p w14:paraId="6651B4EC" w14:textId="77777777" w:rsidR="00AF2335" w:rsidRPr="00111B52" w:rsidRDefault="00AF2335" w:rsidP="00221E1A">
      <w:pPr>
        <w:pStyle w:val="NORMAL12"/>
        <w:numPr>
          <w:ilvl w:val="0"/>
          <w:numId w:val="126"/>
        </w:numPr>
      </w:pPr>
      <w:r w:rsidRPr="00111B52">
        <w:t>Relleno de tipo terraplén, en capa superior de cimiento y núcleo se debe cump</w:t>
      </w:r>
      <w:r w:rsidR="00D62492" w:rsidRPr="00111B52">
        <w:t>l</w:t>
      </w:r>
      <w:r w:rsidRPr="00111B52">
        <w:t>ir que la relación Ev2/Ev1 menor de 2,2</w:t>
      </w:r>
    </w:p>
    <w:p w14:paraId="6796B38C" w14:textId="77777777" w:rsidR="00810099" w:rsidRPr="00111B52" w:rsidRDefault="00810099" w:rsidP="009F36C5">
      <w:pPr>
        <w:pStyle w:val="TITU3"/>
        <w:numPr>
          <w:ilvl w:val="0"/>
          <w:numId w:val="0"/>
        </w:numPr>
      </w:pPr>
      <w:r w:rsidRPr="00111B52">
        <w:t>512.7.2. Terminación, rasante, anchura y espesor</w:t>
      </w:r>
    </w:p>
    <w:p w14:paraId="1B72FEB1" w14:textId="77777777" w:rsidR="00810099" w:rsidRPr="00111B52" w:rsidRDefault="00810099" w:rsidP="00810099">
      <w:pPr>
        <w:pStyle w:val="NORMAL12"/>
      </w:pPr>
      <w:r w:rsidRPr="00111B52">
        <w:t>La rasante de la superficie terminada, en los supuestos de estabilizaciones in situ para conseguir categorías de explanadas E1 a E3, no deberá superar a la teórica en ningún punto, ni quedar por debajo de ella en más de veinte milímetros (20 mm).</w:t>
      </w:r>
    </w:p>
    <w:p w14:paraId="25A1974E" w14:textId="77777777" w:rsidR="001D5107" w:rsidRPr="00111B52" w:rsidRDefault="00810099" w:rsidP="00810099">
      <w:pPr>
        <w:pStyle w:val="NORMAL12"/>
      </w:pPr>
      <w:r w:rsidRPr="00111B52">
        <w:t xml:space="preserve">El espesor de la capa no deberá ser inferior en ningún punto al previsto para ella, y en caso contrario se procederá según </w:t>
      </w:r>
      <w:r w:rsidR="001D5107" w:rsidRPr="00111B52">
        <w:t>se indica a continuación:</w:t>
      </w:r>
    </w:p>
    <w:p w14:paraId="43365E5B" w14:textId="77777777" w:rsidR="001D5107" w:rsidRPr="00111B52" w:rsidRDefault="001D5107" w:rsidP="00221E1A">
      <w:pPr>
        <w:pStyle w:val="NORMAL12"/>
        <w:numPr>
          <w:ilvl w:val="0"/>
          <w:numId w:val="126"/>
        </w:numPr>
      </w:pPr>
      <w:r w:rsidRPr="00111B52">
        <w:t>Si es superior al noventa por ciento (≥90) del especificado y no existen zonas de acumulación de agua, se procede a compensar esa merma en el espesor con espesor adicional de la capa superior.</w:t>
      </w:r>
    </w:p>
    <w:p w14:paraId="17CEACCA" w14:textId="77777777" w:rsidR="00810099" w:rsidRDefault="001D5107" w:rsidP="00221E1A">
      <w:pPr>
        <w:pStyle w:val="NORMAL12"/>
        <w:numPr>
          <w:ilvl w:val="0"/>
          <w:numId w:val="126"/>
        </w:numPr>
      </w:pPr>
      <w:r w:rsidRPr="00111B52">
        <w:t>Si es inferior al noventa por ciento (&lt; 90 %) se demolerá la capa correspondiente y se repondrá con el material debido.</w:t>
      </w:r>
    </w:p>
    <w:p w14:paraId="6EC79227" w14:textId="77777777" w:rsidR="00050087" w:rsidRDefault="00050087" w:rsidP="00050087">
      <w:pPr>
        <w:pStyle w:val="NORMAL12"/>
      </w:pPr>
    </w:p>
    <w:p w14:paraId="793EDB06" w14:textId="77777777" w:rsidR="00810099" w:rsidRPr="00111B52" w:rsidRDefault="00810099" w:rsidP="000313DD">
      <w:pPr>
        <w:pStyle w:val="TITU2"/>
      </w:pPr>
      <w:bookmarkStart w:id="563" w:name="_Toc404303"/>
      <w:r w:rsidRPr="00111B52">
        <w:t>512.8. Limitaciones de la ejecución</w:t>
      </w:r>
      <w:bookmarkEnd w:id="563"/>
    </w:p>
    <w:p w14:paraId="7B6574EE" w14:textId="77777777" w:rsidR="00810099" w:rsidRPr="00111B52" w:rsidRDefault="00412689" w:rsidP="00810099">
      <w:pPr>
        <w:pStyle w:val="NORMAL12"/>
      </w:pPr>
      <w:r w:rsidRPr="00111B52">
        <w:t xml:space="preserve">No se </w:t>
      </w:r>
      <w:r w:rsidR="00810099" w:rsidRPr="00111B52">
        <w:t>permitirá la ejecución de la estabilización in situ:</w:t>
      </w:r>
    </w:p>
    <w:p w14:paraId="7E43C31F" w14:textId="77777777" w:rsidR="00810099" w:rsidRPr="00111B52" w:rsidRDefault="00810099" w:rsidP="00221E1A">
      <w:pPr>
        <w:pStyle w:val="NORMAL12"/>
        <w:numPr>
          <w:ilvl w:val="0"/>
          <w:numId w:val="126"/>
        </w:numPr>
      </w:pPr>
      <w:r w:rsidRPr="00111B52">
        <w:t>Cuando la temperatura ambiente a la sombra sea superior a los treinta y cinco grados Celsius (&gt; 35 °C).</w:t>
      </w:r>
    </w:p>
    <w:p w14:paraId="08A1756D" w14:textId="77777777" w:rsidR="00810099" w:rsidRPr="00111B52" w:rsidRDefault="00810099" w:rsidP="00221E1A">
      <w:pPr>
        <w:pStyle w:val="NORMAL12"/>
        <w:numPr>
          <w:ilvl w:val="0"/>
          <w:numId w:val="126"/>
        </w:numPr>
      </w:pPr>
      <w:r w:rsidRPr="00111B52">
        <w:t xml:space="preserve">Cuando la temperatura ambiente a la sombra sea inferior a cinco grados Celsius (&lt; 5 °C) y exista previsión de heladas. El </w:t>
      </w:r>
      <w:proofErr w:type="gramStart"/>
      <w:r w:rsidRPr="00111B52">
        <w:t>Director</w:t>
      </w:r>
      <w:proofErr w:type="gramEnd"/>
      <w:r w:rsidRPr="00111B52">
        <w:t xml:space="preserve"> de las Obras podrá bajar este límite, a la vista de los resultados de capacidad de soporte y densidad obtenidos.</w:t>
      </w:r>
    </w:p>
    <w:p w14:paraId="35227F23" w14:textId="77777777" w:rsidR="00810099" w:rsidRPr="00111B52" w:rsidRDefault="00810099" w:rsidP="00221E1A">
      <w:pPr>
        <w:pStyle w:val="NORMAL12"/>
        <w:numPr>
          <w:ilvl w:val="0"/>
          <w:numId w:val="126"/>
        </w:numPr>
      </w:pPr>
      <w:r w:rsidRPr="00111B52">
        <w:t>Cuando se produzcan precipitaciones atmosféricas intensas.</w:t>
      </w:r>
    </w:p>
    <w:p w14:paraId="07741F76" w14:textId="77777777" w:rsidR="00810099" w:rsidRPr="00111B52" w:rsidRDefault="00810099" w:rsidP="00810099">
      <w:pPr>
        <w:pStyle w:val="NORMAL12"/>
      </w:pPr>
      <w:r w:rsidRPr="00111B52">
        <w:t xml:space="preserve">En el caso de suelos estabilizados tipo S-EST3, cuando haya riesgo de que se produzcan heladas nocturnas, </w:t>
      </w:r>
      <w:r w:rsidR="00412689" w:rsidRPr="00111B52">
        <w:t xml:space="preserve">se protegerá con cobertores. </w:t>
      </w:r>
    </w:p>
    <w:p w14:paraId="0CE798C2" w14:textId="77777777" w:rsidR="00810099" w:rsidRPr="00111B52" w:rsidRDefault="00810099" w:rsidP="000313DD">
      <w:pPr>
        <w:pStyle w:val="TITU2"/>
      </w:pPr>
      <w:bookmarkStart w:id="564" w:name="_Toc404304"/>
      <w:r w:rsidRPr="00111B52">
        <w:t>512.9. Control de calidad</w:t>
      </w:r>
      <w:bookmarkEnd w:id="564"/>
    </w:p>
    <w:p w14:paraId="2BDC085E" w14:textId="77777777" w:rsidR="00810099" w:rsidRPr="00111B52" w:rsidRDefault="00810099" w:rsidP="009F36C5">
      <w:pPr>
        <w:pStyle w:val="TITU3"/>
        <w:numPr>
          <w:ilvl w:val="0"/>
          <w:numId w:val="0"/>
        </w:numPr>
      </w:pPr>
      <w:r w:rsidRPr="00111B52">
        <w:t>512.9.1. Control de procedencia de los materiales</w:t>
      </w:r>
    </w:p>
    <w:p w14:paraId="3339D956" w14:textId="77777777" w:rsidR="00810099" w:rsidRPr="00A051B7" w:rsidRDefault="00810099" w:rsidP="00810099">
      <w:pPr>
        <w:pStyle w:val="NORMAL12"/>
      </w:pPr>
      <w:r w:rsidRPr="00111B52">
        <w:t xml:space="preserve">En el caso de productos que no tengan la obligación de disponer de marcado CE por no estar incluidos en normas armonizadas, o corresponder con alguna de las excepciones establecidas en el artículo 5 del Reglamento 305/2011, se deberá llevar a cabo obligatoriamente los ensayos de identificación </w:t>
      </w:r>
      <w:r w:rsidRPr="00A051B7">
        <w:t>y caracterización para el control de procedencia que se indican en los epígrafes siguientes.</w:t>
      </w:r>
    </w:p>
    <w:p w14:paraId="4D539441" w14:textId="77777777" w:rsidR="00810099" w:rsidRPr="00A051B7" w:rsidRDefault="00810099" w:rsidP="009F36C5">
      <w:pPr>
        <w:pStyle w:val="TITU4"/>
        <w:numPr>
          <w:ilvl w:val="0"/>
          <w:numId w:val="0"/>
        </w:numPr>
      </w:pPr>
      <w:r w:rsidRPr="00A051B7">
        <w:t>512.9.1.2. Cemento</w:t>
      </w:r>
    </w:p>
    <w:p w14:paraId="1A6B5D8E" w14:textId="77777777" w:rsidR="00810099" w:rsidRPr="00A051B7" w:rsidRDefault="00810099" w:rsidP="00810099">
      <w:pPr>
        <w:pStyle w:val="NORMAL12"/>
      </w:pPr>
      <w:r w:rsidRPr="00A051B7">
        <w:t xml:space="preserve">Se seguirán las prescripciones del artículo 202 </w:t>
      </w:r>
      <w:r w:rsidR="00664E2D" w:rsidRPr="00A051B7">
        <w:t xml:space="preserve">del PG3 y </w:t>
      </w:r>
      <w:r w:rsidRPr="00A051B7">
        <w:t>de este Pliego.</w:t>
      </w:r>
    </w:p>
    <w:p w14:paraId="23F0BF32" w14:textId="77777777" w:rsidR="00810099" w:rsidRPr="00A051B7" w:rsidRDefault="00810099" w:rsidP="009F36C5">
      <w:pPr>
        <w:pStyle w:val="TITU4"/>
        <w:numPr>
          <w:ilvl w:val="0"/>
          <w:numId w:val="0"/>
        </w:numPr>
      </w:pPr>
      <w:r w:rsidRPr="00A051B7">
        <w:t>512.9.1.3. Suelo</w:t>
      </w:r>
    </w:p>
    <w:p w14:paraId="65E393E3" w14:textId="77777777" w:rsidR="00810099" w:rsidRPr="00111B52" w:rsidRDefault="00810099" w:rsidP="00810099">
      <w:pPr>
        <w:pStyle w:val="NORMAL12"/>
      </w:pPr>
      <w:r w:rsidRPr="00A051B7">
        <w:t xml:space="preserve">De cada tipo de suelo, y sea cual fuere la cantidad que se va a estabilizar, se tomarán como mínimo cuatro (4) muestras, añadiéndose una (1) más </w:t>
      </w:r>
      <w:r w:rsidR="00217216" w:rsidRPr="00A051B7">
        <w:t>por</w:t>
      </w:r>
      <w:r w:rsidRPr="00111B52">
        <w:t xml:space="preserve"> cada cinco mil metros cúbicos (5 000 m</w:t>
      </w:r>
      <w:r w:rsidRPr="00111B52">
        <w:rPr>
          <w:vertAlign w:val="superscript"/>
        </w:rPr>
        <w:t>3</w:t>
      </w:r>
      <w:r w:rsidRPr="00111B52">
        <w:t>), o fracción, de exceso sobre veinte mil metros cúbicos (20 000 m</w:t>
      </w:r>
      <w:r w:rsidRPr="00111B52">
        <w:rPr>
          <w:vertAlign w:val="superscript"/>
        </w:rPr>
        <w:t>3</w:t>
      </w:r>
      <w:r w:rsidRPr="00111B52">
        <w:t>) de suelo. Sobre cada muestra se realizarán los siguientes ensayos:</w:t>
      </w:r>
    </w:p>
    <w:p w14:paraId="66AD6A8B" w14:textId="77777777" w:rsidR="00810099" w:rsidRPr="00111B52" w:rsidRDefault="00810099" w:rsidP="006D4837">
      <w:pPr>
        <w:pStyle w:val="NORMAL12"/>
        <w:numPr>
          <w:ilvl w:val="0"/>
          <w:numId w:val="23"/>
        </w:numPr>
      </w:pPr>
      <w:r w:rsidRPr="00111B52">
        <w:t>Granulometría por tamizado (norma UNE 103101</w:t>
      </w:r>
      <w:r w:rsidR="007515A8" w:rsidRPr="00111B52">
        <w:t>:1995</w:t>
      </w:r>
      <w:r w:rsidRPr="00111B52">
        <w:t>).</w:t>
      </w:r>
    </w:p>
    <w:p w14:paraId="25DD32BC" w14:textId="77777777" w:rsidR="00810099" w:rsidRPr="00111B52" w:rsidRDefault="00810099" w:rsidP="006D4837">
      <w:pPr>
        <w:pStyle w:val="NORMAL12"/>
        <w:numPr>
          <w:ilvl w:val="0"/>
          <w:numId w:val="23"/>
        </w:numPr>
      </w:pPr>
      <w:r w:rsidRPr="00111B52">
        <w:t>Límite líquido e índice de plasticidad (normas UNE 103103</w:t>
      </w:r>
      <w:r w:rsidR="007515A8" w:rsidRPr="00111B52">
        <w:t>:1994</w:t>
      </w:r>
      <w:r w:rsidRPr="00111B52">
        <w:t xml:space="preserve"> y UNE 103104</w:t>
      </w:r>
      <w:r w:rsidR="007515A8" w:rsidRPr="00111B52">
        <w:t>:1993</w:t>
      </w:r>
      <w:r w:rsidRPr="00111B52">
        <w:t>).</w:t>
      </w:r>
    </w:p>
    <w:p w14:paraId="31F020C7" w14:textId="77777777" w:rsidR="00810099" w:rsidRPr="00111B52" w:rsidRDefault="00810099" w:rsidP="006D4837">
      <w:pPr>
        <w:pStyle w:val="NORMAL12"/>
        <w:numPr>
          <w:ilvl w:val="0"/>
          <w:numId w:val="23"/>
        </w:numPr>
      </w:pPr>
      <w:r w:rsidRPr="00111B52">
        <w:t>Contenido de materia orgánica (norma UNE 103204</w:t>
      </w:r>
      <w:r w:rsidR="007515A8" w:rsidRPr="00111B52">
        <w:t>:1993 ERRATUM</w:t>
      </w:r>
      <w:r w:rsidRPr="00111B52">
        <w:t>).</w:t>
      </w:r>
    </w:p>
    <w:p w14:paraId="64263AE6" w14:textId="77777777" w:rsidR="00810099" w:rsidRPr="00111B52" w:rsidRDefault="00810099" w:rsidP="006D4837">
      <w:pPr>
        <w:pStyle w:val="NORMAL12"/>
        <w:numPr>
          <w:ilvl w:val="0"/>
          <w:numId w:val="23"/>
        </w:numPr>
      </w:pPr>
      <w:r w:rsidRPr="00111B52">
        <w:lastRenderedPageBreak/>
        <w:t>Contenido de sulfatos solubles, expresados en SO3 (norma UNE 103201</w:t>
      </w:r>
      <w:r w:rsidR="007515A8" w:rsidRPr="00111B52">
        <w:t>:2003 ERRATUM</w:t>
      </w:r>
      <w:r w:rsidRPr="00111B52">
        <w:t>).</w:t>
      </w:r>
    </w:p>
    <w:p w14:paraId="29AE63C5" w14:textId="77777777" w:rsidR="00810099" w:rsidRPr="00111B52" w:rsidRDefault="00810099" w:rsidP="006D4837">
      <w:pPr>
        <w:pStyle w:val="NORMAL12"/>
        <w:numPr>
          <w:ilvl w:val="0"/>
          <w:numId w:val="23"/>
        </w:numPr>
      </w:pPr>
      <w:r w:rsidRPr="00111B52">
        <w:t>Ensayo de colapso (norma UNE 103406</w:t>
      </w:r>
      <w:r w:rsidR="007515A8" w:rsidRPr="00111B52">
        <w:t>:2006</w:t>
      </w:r>
      <w:r w:rsidRPr="00111B52">
        <w:t>).</w:t>
      </w:r>
    </w:p>
    <w:p w14:paraId="22364AB8" w14:textId="77777777" w:rsidR="00810099" w:rsidRPr="00111B52" w:rsidRDefault="00810099" w:rsidP="006D4837">
      <w:pPr>
        <w:pStyle w:val="NORMAL12"/>
        <w:numPr>
          <w:ilvl w:val="0"/>
          <w:numId w:val="23"/>
        </w:numPr>
      </w:pPr>
      <w:r w:rsidRPr="00111B52">
        <w:t>Ensayo de hinchamiento libre (norma UNE 103601</w:t>
      </w:r>
      <w:r w:rsidR="007515A8" w:rsidRPr="00111B52">
        <w:t>:1996</w:t>
      </w:r>
      <w:r w:rsidRPr="00111B52">
        <w:t>).</w:t>
      </w:r>
    </w:p>
    <w:p w14:paraId="17DD39A1" w14:textId="77777777" w:rsidR="00810099" w:rsidRPr="00111B52" w:rsidRDefault="00810099" w:rsidP="009F36C5">
      <w:pPr>
        <w:pStyle w:val="TITU3"/>
        <w:numPr>
          <w:ilvl w:val="0"/>
          <w:numId w:val="0"/>
        </w:numPr>
      </w:pPr>
      <w:r w:rsidRPr="00111B52">
        <w:t>512.9.2. Control de ejecución</w:t>
      </w:r>
    </w:p>
    <w:p w14:paraId="1CF8A597" w14:textId="77777777" w:rsidR="00474881" w:rsidRPr="00035413" w:rsidRDefault="00474881" w:rsidP="00474881">
      <w:pPr>
        <w:pStyle w:val="NORMAL12"/>
      </w:pPr>
      <w:r w:rsidRPr="00111B52">
        <w:t>Se considerará como lote de recepción, que se aceptará o rechazará en bloque, al menor que resulte de aplicar los cuatro (4) criterios siguientes a una (1) sola capa de suelo estabilizado in situ:</w:t>
      </w:r>
    </w:p>
    <w:p w14:paraId="09F54C01" w14:textId="77777777" w:rsidR="00474881" w:rsidRPr="00035413" w:rsidRDefault="00474881" w:rsidP="006D4837">
      <w:pPr>
        <w:pStyle w:val="NORMAL12"/>
        <w:numPr>
          <w:ilvl w:val="0"/>
          <w:numId w:val="24"/>
        </w:numPr>
      </w:pPr>
      <w:r w:rsidRPr="00035413">
        <w:t>Quinientos metros (500 m) de calzada.</w:t>
      </w:r>
    </w:p>
    <w:p w14:paraId="2271740B" w14:textId="77777777" w:rsidR="00474881" w:rsidRPr="00035413" w:rsidRDefault="00474881" w:rsidP="006D4837">
      <w:pPr>
        <w:pStyle w:val="NORMAL12"/>
        <w:numPr>
          <w:ilvl w:val="0"/>
          <w:numId w:val="24"/>
        </w:numPr>
      </w:pPr>
      <w:r w:rsidRPr="00035413">
        <w:t>En el caso de formación de explanadas o en la coronación de rellenos tipo terraplén, tres mil quinientos metros cuadrados (3</w:t>
      </w:r>
      <w:r w:rsidR="00A625B0">
        <w:t>.</w:t>
      </w:r>
      <w:r w:rsidRPr="00035413">
        <w:t>500 m</w:t>
      </w:r>
      <w:r w:rsidRPr="00E34DE7">
        <w:rPr>
          <w:vertAlign w:val="superscript"/>
        </w:rPr>
        <w:t>2</w:t>
      </w:r>
      <w:r w:rsidRPr="00035413">
        <w:t>) de calzada.</w:t>
      </w:r>
    </w:p>
    <w:p w14:paraId="757D8DE1" w14:textId="77777777" w:rsidR="00474881" w:rsidRPr="00035413" w:rsidRDefault="00474881" w:rsidP="006D4837">
      <w:pPr>
        <w:pStyle w:val="NORMAL12"/>
        <w:numPr>
          <w:ilvl w:val="0"/>
          <w:numId w:val="24"/>
        </w:numPr>
      </w:pPr>
      <w:r w:rsidRPr="00035413">
        <w:t>La fracción construida diariamente.</w:t>
      </w:r>
    </w:p>
    <w:p w14:paraId="6CB8E04E" w14:textId="77777777" w:rsidR="00474881" w:rsidRPr="00035413" w:rsidRDefault="00474881" w:rsidP="006D4837">
      <w:pPr>
        <w:pStyle w:val="NORMAL12"/>
        <w:numPr>
          <w:ilvl w:val="0"/>
          <w:numId w:val="24"/>
        </w:numPr>
      </w:pPr>
      <w:r w:rsidRPr="00035413">
        <w:t>La fracción construida con el mismo material, de la misma procedencia y con el mismo equipo y procedimiento de ejecución.</w:t>
      </w:r>
    </w:p>
    <w:p w14:paraId="0B81FC03" w14:textId="77777777" w:rsidR="00810099" w:rsidRPr="00111B52" w:rsidRDefault="00810099" w:rsidP="00810099">
      <w:pPr>
        <w:pStyle w:val="NORMAL12"/>
      </w:pPr>
      <w:r w:rsidRPr="00035413">
        <w:t>Por cada lote se tomarán como mínimo dos</w:t>
      </w:r>
      <w:r w:rsidR="00D62492">
        <w:t xml:space="preserve"> </w:t>
      </w:r>
      <w:r w:rsidRPr="00035413">
        <w:t xml:space="preserve">(2) amasadas diferentes (mañana y tarde) del suelo recién mezclado con el conglomerante. El número de probetas confeccionadas de cada amasada no será </w:t>
      </w:r>
      <w:r w:rsidRPr="00111B52">
        <w:t>inferior a tres (3), sobre las que se determinará la resistencia a compresión simple a siete días (7 d) (norma UNE-EN 13286-41</w:t>
      </w:r>
      <w:r w:rsidR="007515A8" w:rsidRPr="00111B52">
        <w:t>:2006</w:t>
      </w:r>
      <w:r w:rsidRPr="00111B52">
        <w:t xml:space="preserve">) para los suelos S-EST3. </w:t>
      </w:r>
    </w:p>
    <w:p w14:paraId="14ADB351" w14:textId="77777777" w:rsidR="00810099" w:rsidRPr="00111B52" w:rsidRDefault="00810099" w:rsidP="00810099">
      <w:pPr>
        <w:pStyle w:val="NORMAL12"/>
      </w:pPr>
      <w:r w:rsidRPr="00111B52">
        <w:t>Por cada diez mil metros cúbicos (10 000 m</w:t>
      </w:r>
      <w:r w:rsidRPr="00111B52">
        <w:rPr>
          <w:vertAlign w:val="superscript"/>
        </w:rPr>
        <w:t>3</w:t>
      </w:r>
      <w:r w:rsidRPr="00111B52">
        <w:t xml:space="preserve">) de suelo estabilizado in situ o una (1) vez a la semana, si se estabilizara una cantidad menor, se realizará un ensayo </w:t>
      </w:r>
      <w:proofErr w:type="spellStart"/>
      <w:r w:rsidRPr="00111B52">
        <w:t>Próctor</w:t>
      </w:r>
      <w:proofErr w:type="spellEnd"/>
      <w:r w:rsidRPr="00111B52">
        <w:t xml:space="preserve"> modificado de la mezcla (norma UNE 103501</w:t>
      </w:r>
      <w:r w:rsidR="007515A8" w:rsidRPr="00111B52">
        <w:t>:1994</w:t>
      </w:r>
      <w:r w:rsidRPr="00111B52">
        <w:t>), que se empleará como referencia para la compactación.</w:t>
      </w:r>
    </w:p>
    <w:p w14:paraId="66C4F50D" w14:textId="77777777" w:rsidR="00810099" w:rsidRPr="00035413" w:rsidRDefault="00810099" w:rsidP="009F36C5">
      <w:pPr>
        <w:pStyle w:val="TITU3"/>
        <w:numPr>
          <w:ilvl w:val="0"/>
          <w:numId w:val="0"/>
        </w:numPr>
      </w:pPr>
      <w:r w:rsidRPr="00111B52">
        <w:t>512.9.3. Control de recepción de</w:t>
      </w:r>
      <w:r w:rsidR="00664E2D">
        <w:t xml:space="preserve"> </w:t>
      </w:r>
      <w:r w:rsidRPr="00111B52">
        <w:t>la unidad terminada</w:t>
      </w:r>
    </w:p>
    <w:p w14:paraId="2CF9F0A1" w14:textId="77777777" w:rsidR="00810099" w:rsidRPr="00035413" w:rsidRDefault="00810099" w:rsidP="00810099">
      <w:pPr>
        <w:pStyle w:val="NORMAL12"/>
      </w:pPr>
      <w:r w:rsidRPr="00035413">
        <w:t>Si durante la construcción apareciesen defectos localizados, tales como blandones, se corregirán antes de iniciar el muestreo.</w:t>
      </w:r>
    </w:p>
    <w:p w14:paraId="0B912277" w14:textId="77777777" w:rsidR="00810099" w:rsidRPr="00111B52" w:rsidRDefault="00810099" w:rsidP="00810099">
      <w:pPr>
        <w:pStyle w:val="NORMAL12"/>
      </w:pPr>
      <w:r w:rsidRPr="00035413">
        <w:t>Se asignarán a cada lote de recepción las probetas fabricadas durante el control de ejecución que le correspondan. En los puntos donde se realice el control de la compactación</w:t>
      </w:r>
      <w:r w:rsidRPr="00111B52">
        <w:t>, se determinará el espesor de la capa de suelo estabilizado in situ.</w:t>
      </w:r>
    </w:p>
    <w:p w14:paraId="59E3D7C4" w14:textId="77777777" w:rsidR="00810099" w:rsidRPr="00111B52" w:rsidRDefault="00810099" w:rsidP="00810099">
      <w:pPr>
        <w:pStyle w:val="NORMAL12"/>
      </w:pPr>
      <w:r w:rsidRPr="00111B52">
        <w:t xml:space="preserve">En la capa superior de la formación de explanadas, del cimiento y de la </w:t>
      </w:r>
      <w:r w:rsidR="008A44B9" w:rsidRPr="00111B52">
        <w:t>coronación en</w:t>
      </w:r>
      <w:r w:rsidRPr="00111B52">
        <w:t xml:space="preserve"> la formación de rellenos tipo terraplén, se realizarán por cada lote, un (1) ensayo de carga vertical de suelos mediante placa estática (norma UNE 103808</w:t>
      </w:r>
      <w:r w:rsidR="007515A8" w:rsidRPr="00111B52">
        <w:t>:2006</w:t>
      </w:r>
      <w:r w:rsidRPr="00111B52">
        <w:t xml:space="preserve">). </w:t>
      </w:r>
    </w:p>
    <w:p w14:paraId="14D95E4F" w14:textId="77777777" w:rsidR="00553FF2" w:rsidRDefault="00A625B0" w:rsidP="00810099">
      <w:pPr>
        <w:pStyle w:val="NORMAL12"/>
      </w:pPr>
      <w:r w:rsidRPr="00111B52">
        <w:t xml:space="preserve">Se llevarán a cabo los ensayos de deflexiones sobre la explanada </w:t>
      </w:r>
      <w:r w:rsidR="00553FF2">
        <w:t xml:space="preserve">teniendo </w:t>
      </w:r>
      <w:r w:rsidR="00D1013C">
        <w:t>como referencia el valor de la deflexión patrón a la que se le aplicará los coeficientes de corrección por humedad y temperatura del pavimento tal y como se expresa a continuación:</w:t>
      </w:r>
    </w:p>
    <w:p w14:paraId="7203C9F3" w14:textId="77777777" w:rsidR="00A625B0" w:rsidRPr="00050087" w:rsidRDefault="00553FF2" w:rsidP="000313DD">
      <w:pPr>
        <w:pStyle w:val="NORMAL12"/>
        <w:numPr>
          <w:ilvl w:val="0"/>
          <w:numId w:val="232"/>
        </w:numPr>
      </w:pPr>
      <w:r w:rsidRPr="00050087">
        <w:t>Defl</w:t>
      </w:r>
      <w:r w:rsidR="00A625B0" w:rsidRPr="00050087">
        <w:t xml:space="preserve">exión patrón máxima sea inferior a </w:t>
      </w:r>
      <w:r w:rsidR="005D0632" w:rsidRPr="00050087">
        <w:t>ciento veinticinco (≤125. 10</w:t>
      </w:r>
      <w:r w:rsidR="005D0632" w:rsidRPr="00050087">
        <w:rPr>
          <w:vertAlign w:val="superscript"/>
        </w:rPr>
        <w:t>-2</w:t>
      </w:r>
      <w:r w:rsidR="005D0632" w:rsidRPr="00050087">
        <w:t xml:space="preserve">mm) </w:t>
      </w:r>
      <w:r w:rsidR="00A625B0" w:rsidRPr="00050087">
        <w:t>establecidos en la norma 6.</w:t>
      </w:r>
      <w:proofErr w:type="gramStart"/>
      <w:r w:rsidR="00A625B0" w:rsidRPr="00050087">
        <w:t>1.IC</w:t>
      </w:r>
      <w:proofErr w:type="gramEnd"/>
      <w:r w:rsidR="00A625B0" w:rsidRPr="00050087">
        <w:t xml:space="preserve">, para categorías de tráfico pesado T00 y T2 </w:t>
      </w:r>
      <w:r w:rsidR="005D0632" w:rsidRPr="00050087">
        <w:t>y explanadas tipo E3.</w:t>
      </w:r>
      <w:r w:rsidR="00A625B0" w:rsidRPr="00050087">
        <w:t xml:space="preserve"> </w:t>
      </w:r>
    </w:p>
    <w:p w14:paraId="16675389" w14:textId="77777777" w:rsidR="00553FF2" w:rsidRPr="00050087" w:rsidRDefault="00553FF2" w:rsidP="000313DD">
      <w:pPr>
        <w:pStyle w:val="NORMAL12"/>
        <w:numPr>
          <w:ilvl w:val="0"/>
          <w:numId w:val="232"/>
        </w:numPr>
      </w:pPr>
      <w:r w:rsidRPr="00050087">
        <w:t>Corrección por humedad: se trata de un suelo estabilizado SEST-3 (Tipo A) y buenas condiciones de drenaje (Tipo 1).</w:t>
      </w:r>
    </w:p>
    <w:tbl>
      <w:tblPr>
        <w:tblW w:w="7479" w:type="dxa"/>
        <w:jc w:val="center"/>
        <w:tblCellMar>
          <w:left w:w="70" w:type="dxa"/>
          <w:right w:w="70" w:type="dxa"/>
        </w:tblCellMar>
        <w:tblLook w:val="04A0" w:firstRow="1" w:lastRow="0" w:firstColumn="1" w:lastColumn="0" w:noHBand="0" w:noVBand="1"/>
      </w:tblPr>
      <w:tblGrid>
        <w:gridCol w:w="1471"/>
        <w:gridCol w:w="2045"/>
        <w:gridCol w:w="2381"/>
        <w:gridCol w:w="1582"/>
      </w:tblGrid>
      <w:tr w:rsidR="00553FF2" w:rsidRPr="00050087" w14:paraId="4A077927" w14:textId="77777777" w:rsidTr="00553FF2">
        <w:trPr>
          <w:trHeight w:val="308"/>
          <w:jc w:val="center"/>
        </w:trPr>
        <w:tc>
          <w:tcPr>
            <w:tcW w:w="1471" w:type="dxa"/>
            <w:vMerge w:val="restart"/>
            <w:tcBorders>
              <w:top w:val="single" w:sz="4" w:space="0" w:color="auto"/>
              <w:left w:val="single" w:sz="4" w:space="0" w:color="auto"/>
              <w:bottom w:val="single" w:sz="4" w:space="0" w:color="auto"/>
              <w:right w:val="single" w:sz="4" w:space="0" w:color="auto"/>
            </w:tcBorders>
            <w:shd w:val="clear" w:color="000000" w:fill="D9D9D9"/>
            <w:vAlign w:val="bottom"/>
            <w:hideMark/>
          </w:tcPr>
          <w:p w14:paraId="14FC63BF" w14:textId="77777777" w:rsidR="00553FF2" w:rsidRPr="00050087" w:rsidRDefault="00553FF2">
            <w:pPr>
              <w:jc w:val="center"/>
              <w:rPr>
                <w:rFonts w:ascii="Calibri" w:hAnsi="Calibri" w:cs="Calibri"/>
                <w:b/>
                <w:bCs/>
                <w:color w:val="000000"/>
                <w:sz w:val="22"/>
                <w:szCs w:val="22"/>
              </w:rPr>
            </w:pPr>
            <w:r w:rsidRPr="00050087">
              <w:rPr>
                <w:rFonts w:ascii="Calibri" w:hAnsi="Calibri" w:cs="Calibri"/>
                <w:b/>
                <w:bCs/>
                <w:color w:val="000000"/>
                <w:sz w:val="22"/>
                <w:szCs w:val="22"/>
              </w:rPr>
              <w:t>Tipo de explanada</w:t>
            </w:r>
          </w:p>
        </w:tc>
        <w:tc>
          <w:tcPr>
            <w:tcW w:w="6007" w:type="dxa"/>
            <w:gridSpan w:val="3"/>
            <w:tcBorders>
              <w:top w:val="single" w:sz="4" w:space="0" w:color="auto"/>
              <w:left w:val="nil"/>
              <w:bottom w:val="single" w:sz="4" w:space="0" w:color="auto"/>
              <w:right w:val="single" w:sz="4" w:space="0" w:color="auto"/>
            </w:tcBorders>
            <w:shd w:val="clear" w:color="000000" w:fill="D9D9D9"/>
            <w:noWrap/>
            <w:vAlign w:val="bottom"/>
            <w:hideMark/>
          </w:tcPr>
          <w:p w14:paraId="318B59F9" w14:textId="77777777" w:rsidR="00553FF2" w:rsidRPr="00050087" w:rsidRDefault="00553FF2">
            <w:pPr>
              <w:jc w:val="center"/>
              <w:rPr>
                <w:rFonts w:ascii="Calibri" w:hAnsi="Calibri" w:cs="Calibri"/>
                <w:b/>
                <w:bCs/>
                <w:color w:val="000000"/>
                <w:sz w:val="22"/>
                <w:szCs w:val="22"/>
              </w:rPr>
            </w:pPr>
            <w:r w:rsidRPr="00050087">
              <w:rPr>
                <w:rFonts w:ascii="Calibri" w:hAnsi="Calibri" w:cs="Calibri"/>
                <w:b/>
                <w:bCs/>
                <w:color w:val="000000"/>
                <w:sz w:val="22"/>
                <w:szCs w:val="22"/>
              </w:rPr>
              <w:t>Coeficiente Ch</w:t>
            </w:r>
          </w:p>
        </w:tc>
      </w:tr>
      <w:tr w:rsidR="00553FF2" w:rsidRPr="00050087" w14:paraId="08AF300A" w14:textId="77777777" w:rsidTr="00553FF2">
        <w:trPr>
          <w:trHeight w:val="308"/>
          <w:jc w:val="center"/>
        </w:trPr>
        <w:tc>
          <w:tcPr>
            <w:tcW w:w="1471" w:type="dxa"/>
            <w:vMerge/>
            <w:tcBorders>
              <w:top w:val="single" w:sz="4" w:space="0" w:color="auto"/>
              <w:left w:val="single" w:sz="4" w:space="0" w:color="auto"/>
              <w:bottom w:val="single" w:sz="4" w:space="0" w:color="auto"/>
              <w:right w:val="single" w:sz="4" w:space="0" w:color="auto"/>
            </w:tcBorders>
            <w:vAlign w:val="center"/>
            <w:hideMark/>
          </w:tcPr>
          <w:p w14:paraId="1BBFA2E3" w14:textId="77777777" w:rsidR="00553FF2" w:rsidRPr="00050087" w:rsidRDefault="00553FF2">
            <w:pPr>
              <w:rPr>
                <w:rFonts w:ascii="Calibri" w:hAnsi="Calibri" w:cs="Calibri"/>
                <w:b/>
                <w:bCs/>
                <w:color w:val="000000"/>
                <w:sz w:val="22"/>
                <w:szCs w:val="22"/>
              </w:rPr>
            </w:pPr>
          </w:p>
        </w:tc>
        <w:tc>
          <w:tcPr>
            <w:tcW w:w="2045" w:type="dxa"/>
            <w:tcBorders>
              <w:top w:val="nil"/>
              <w:left w:val="nil"/>
              <w:bottom w:val="single" w:sz="4" w:space="0" w:color="auto"/>
              <w:right w:val="single" w:sz="4" w:space="0" w:color="auto"/>
            </w:tcBorders>
            <w:shd w:val="clear" w:color="000000" w:fill="D9D9D9"/>
            <w:noWrap/>
            <w:vAlign w:val="bottom"/>
            <w:hideMark/>
          </w:tcPr>
          <w:p w14:paraId="21D8B083" w14:textId="77777777" w:rsidR="00553FF2" w:rsidRPr="00050087" w:rsidRDefault="00553FF2">
            <w:pPr>
              <w:jc w:val="center"/>
              <w:rPr>
                <w:rFonts w:ascii="Calibri" w:hAnsi="Calibri" w:cs="Calibri"/>
                <w:b/>
                <w:bCs/>
                <w:color w:val="000000"/>
                <w:sz w:val="22"/>
                <w:szCs w:val="22"/>
              </w:rPr>
            </w:pPr>
            <w:r w:rsidRPr="00050087">
              <w:rPr>
                <w:rFonts w:ascii="Calibri" w:hAnsi="Calibri" w:cs="Calibri"/>
                <w:b/>
                <w:bCs/>
                <w:color w:val="000000"/>
                <w:sz w:val="22"/>
                <w:szCs w:val="22"/>
              </w:rPr>
              <w:t>Período húmedo</w:t>
            </w:r>
          </w:p>
        </w:tc>
        <w:tc>
          <w:tcPr>
            <w:tcW w:w="2381" w:type="dxa"/>
            <w:tcBorders>
              <w:top w:val="nil"/>
              <w:left w:val="nil"/>
              <w:bottom w:val="single" w:sz="4" w:space="0" w:color="auto"/>
              <w:right w:val="single" w:sz="4" w:space="0" w:color="auto"/>
            </w:tcBorders>
            <w:shd w:val="clear" w:color="000000" w:fill="D9D9D9"/>
            <w:noWrap/>
            <w:vAlign w:val="bottom"/>
            <w:hideMark/>
          </w:tcPr>
          <w:p w14:paraId="10F86776" w14:textId="77777777" w:rsidR="00553FF2" w:rsidRPr="00050087" w:rsidRDefault="00553FF2">
            <w:pPr>
              <w:jc w:val="center"/>
              <w:rPr>
                <w:rFonts w:ascii="Calibri" w:hAnsi="Calibri" w:cs="Calibri"/>
                <w:b/>
                <w:bCs/>
                <w:color w:val="000000"/>
                <w:sz w:val="22"/>
                <w:szCs w:val="22"/>
              </w:rPr>
            </w:pPr>
            <w:r w:rsidRPr="00050087">
              <w:rPr>
                <w:rFonts w:ascii="Calibri" w:hAnsi="Calibri" w:cs="Calibri"/>
                <w:b/>
                <w:bCs/>
                <w:color w:val="000000"/>
                <w:sz w:val="22"/>
                <w:szCs w:val="22"/>
              </w:rPr>
              <w:t>Período intermedio</w:t>
            </w:r>
          </w:p>
        </w:tc>
        <w:tc>
          <w:tcPr>
            <w:tcW w:w="1582" w:type="dxa"/>
            <w:tcBorders>
              <w:top w:val="nil"/>
              <w:left w:val="nil"/>
              <w:bottom w:val="single" w:sz="4" w:space="0" w:color="auto"/>
              <w:right w:val="single" w:sz="4" w:space="0" w:color="auto"/>
            </w:tcBorders>
            <w:shd w:val="clear" w:color="000000" w:fill="D9D9D9"/>
            <w:noWrap/>
            <w:vAlign w:val="bottom"/>
            <w:hideMark/>
          </w:tcPr>
          <w:p w14:paraId="24A5D37D" w14:textId="77777777" w:rsidR="00553FF2" w:rsidRPr="00050087" w:rsidRDefault="00553FF2">
            <w:pPr>
              <w:jc w:val="center"/>
              <w:rPr>
                <w:rFonts w:ascii="Calibri" w:hAnsi="Calibri" w:cs="Calibri"/>
                <w:b/>
                <w:bCs/>
                <w:color w:val="000000"/>
                <w:sz w:val="22"/>
                <w:szCs w:val="22"/>
              </w:rPr>
            </w:pPr>
            <w:r w:rsidRPr="00050087">
              <w:rPr>
                <w:rFonts w:ascii="Calibri" w:hAnsi="Calibri" w:cs="Calibri"/>
                <w:b/>
                <w:bCs/>
                <w:color w:val="000000"/>
                <w:sz w:val="22"/>
                <w:szCs w:val="22"/>
              </w:rPr>
              <w:t>Periodo seco</w:t>
            </w:r>
          </w:p>
        </w:tc>
      </w:tr>
      <w:tr w:rsidR="00553FF2" w:rsidRPr="00050087" w14:paraId="32392282" w14:textId="77777777" w:rsidTr="00553FF2">
        <w:trPr>
          <w:trHeight w:val="308"/>
          <w:jc w:val="center"/>
        </w:trPr>
        <w:tc>
          <w:tcPr>
            <w:tcW w:w="1471" w:type="dxa"/>
            <w:tcBorders>
              <w:top w:val="nil"/>
              <w:left w:val="single" w:sz="4" w:space="0" w:color="auto"/>
              <w:bottom w:val="single" w:sz="4" w:space="0" w:color="auto"/>
              <w:right w:val="single" w:sz="4" w:space="0" w:color="auto"/>
            </w:tcBorders>
            <w:noWrap/>
            <w:vAlign w:val="bottom"/>
            <w:hideMark/>
          </w:tcPr>
          <w:p w14:paraId="43D2AA01" w14:textId="77777777" w:rsidR="00553FF2" w:rsidRPr="00050087" w:rsidRDefault="00553FF2">
            <w:pPr>
              <w:jc w:val="center"/>
              <w:rPr>
                <w:rFonts w:ascii="Calibri" w:hAnsi="Calibri" w:cs="Calibri"/>
                <w:color w:val="000000"/>
                <w:sz w:val="22"/>
                <w:szCs w:val="22"/>
              </w:rPr>
            </w:pPr>
            <w:r w:rsidRPr="00050087">
              <w:rPr>
                <w:rFonts w:ascii="Calibri" w:hAnsi="Calibri" w:cs="Calibri"/>
                <w:color w:val="000000"/>
                <w:sz w:val="22"/>
                <w:szCs w:val="22"/>
              </w:rPr>
              <w:t>A 1</w:t>
            </w:r>
          </w:p>
        </w:tc>
        <w:tc>
          <w:tcPr>
            <w:tcW w:w="2045" w:type="dxa"/>
            <w:tcBorders>
              <w:top w:val="nil"/>
              <w:left w:val="nil"/>
              <w:bottom w:val="single" w:sz="4" w:space="0" w:color="auto"/>
              <w:right w:val="single" w:sz="4" w:space="0" w:color="auto"/>
            </w:tcBorders>
            <w:noWrap/>
            <w:vAlign w:val="bottom"/>
            <w:hideMark/>
          </w:tcPr>
          <w:p w14:paraId="03D0AEF3" w14:textId="77777777" w:rsidR="00553FF2" w:rsidRPr="00050087" w:rsidRDefault="00553FF2">
            <w:pPr>
              <w:jc w:val="center"/>
              <w:rPr>
                <w:rFonts w:ascii="Calibri" w:hAnsi="Calibri" w:cs="Calibri"/>
                <w:color w:val="000000"/>
                <w:sz w:val="22"/>
                <w:szCs w:val="22"/>
              </w:rPr>
            </w:pPr>
            <w:r w:rsidRPr="00050087">
              <w:rPr>
                <w:rFonts w:ascii="Calibri" w:hAnsi="Calibri" w:cs="Calibri"/>
                <w:color w:val="000000"/>
                <w:sz w:val="22"/>
                <w:szCs w:val="22"/>
              </w:rPr>
              <w:t>1</w:t>
            </w:r>
          </w:p>
        </w:tc>
        <w:tc>
          <w:tcPr>
            <w:tcW w:w="2381" w:type="dxa"/>
            <w:tcBorders>
              <w:top w:val="nil"/>
              <w:left w:val="nil"/>
              <w:bottom w:val="single" w:sz="4" w:space="0" w:color="auto"/>
              <w:right w:val="single" w:sz="4" w:space="0" w:color="auto"/>
            </w:tcBorders>
            <w:noWrap/>
            <w:vAlign w:val="bottom"/>
            <w:hideMark/>
          </w:tcPr>
          <w:p w14:paraId="77D457CC" w14:textId="77777777" w:rsidR="00553FF2" w:rsidRPr="00050087" w:rsidRDefault="00553FF2">
            <w:pPr>
              <w:jc w:val="center"/>
              <w:rPr>
                <w:rFonts w:ascii="Calibri" w:hAnsi="Calibri" w:cs="Calibri"/>
                <w:color w:val="000000"/>
                <w:sz w:val="22"/>
                <w:szCs w:val="22"/>
              </w:rPr>
            </w:pPr>
            <w:r w:rsidRPr="00050087">
              <w:rPr>
                <w:rFonts w:ascii="Calibri" w:hAnsi="Calibri" w:cs="Calibri"/>
                <w:color w:val="000000"/>
                <w:sz w:val="22"/>
                <w:szCs w:val="22"/>
              </w:rPr>
              <w:t>1,15</w:t>
            </w:r>
          </w:p>
        </w:tc>
        <w:tc>
          <w:tcPr>
            <w:tcW w:w="1582" w:type="dxa"/>
            <w:tcBorders>
              <w:top w:val="nil"/>
              <w:left w:val="nil"/>
              <w:bottom w:val="single" w:sz="4" w:space="0" w:color="auto"/>
              <w:right w:val="single" w:sz="4" w:space="0" w:color="auto"/>
            </w:tcBorders>
            <w:noWrap/>
            <w:vAlign w:val="bottom"/>
            <w:hideMark/>
          </w:tcPr>
          <w:p w14:paraId="28391DCE" w14:textId="77777777" w:rsidR="00553FF2" w:rsidRPr="00050087" w:rsidRDefault="00553FF2">
            <w:pPr>
              <w:jc w:val="center"/>
              <w:rPr>
                <w:rFonts w:ascii="Calibri" w:hAnsi="Calibri" w:cs="Calibri"/>
                <w:color w:val="000000"/>
                <w:sz w:val="22"/>
                <w:szCs w:val="22"/>
              </w:rPr>
            </w:pPr>
            <w:r w:rsidRPr="00050087">
              <w:rPr>
                <w:rFonts w:ascii="Calibri" w:hAnsi="Calibri" w:cs="Calibri"/>
                <w:color w:val="000000"/>
                <w:sz w:val="22"/>
                <w:szCs w:val="22"/>
              </w:rPr>
              <w:t>1,3</w:t>
            </w:r>
          </w:p>
        </w:tc>
      </w:tr>
    </w:tbl>
    <w:p w14:paraId="54ED9151" w14:textId="77777777" w:rsidR="00553FF2" w:rsidRPr="00050087" w:rsidRDefault="00553FF2" w:rsidP="000313DD">
      <w:pPr>
        <w:pStyle w:val="NORMAL12"/>
        <w:numPr>
          <w:ilvl w:val="0"/>
          <w:numId w:val="232"/>
        </w:numPr>
      </w:pPr>
      <w:r w:rsidRPr="00050087">
        <w:t xml:space="preserve">Corrección por temperatura del pavimento: para espesores de firme mayores de 10 cm en los ramales. Se aplicarán los coeficientes contenidos en </w:t>
      </w:r>
      <w:r w:rsidR="00D1013C" w:rsidRPr="00050087">
        <w:t>el epígrafe 2.6 de la norma 6.</w:t>
      </w:r>
      <w:proofErr w:type="gramStart"/>
      <w:r w:rsidR="00D1013C" w:rsidRPr="00050087">
        <w:t>3.IC</w:t>
      </w:r>
      <w:proofErr w:type="gramEnd"/>
      <w:r w:rsidR="00D1013C" w:rsidRPr="00050087">
        <w:t xml:space="preserve"> de Rehabilitación de firmes, que deben ser aprobados por el </w:t>
      </w:r>
      <w:proofErr w:type="gramStart"/>
      <w:r w:rsidR="00D1013C" w:rsidRPr="00050087">
        <w:t>Director</w:t>
      </w:r>
      <w:proofErr w:type="gramEnd"/>
      <w:r w:rsidR="00D1013C" w:rsidRPr="00050087">
        <w:t xml:space="preserve"> de Obra en función del grado de fisuración del pavimento.</w:t>
      </w:r>
    </w:p>
    <w:p w14:paraId="38ECC431" w14:textId="77777777" w:rsidR="00810099" w:rsidRPr="00035413" w:rsidRDefault="00810099" w:rsidP="000313DD">
      <w:pPr>
        <w:pStyle w:val="TITU2"/>
      </w:pPr>
      <w:bookmarkStart w:id="565" w:name="_Toc404305"/>
      <w:r w:rsidRPr="00035413">
        <w:t>512.10. Criterios de aceptación o rechazo</w:t>
      </w:r>
      <w:bookmarkEnd w:id="565"/>
    </w:p>
    <w:p w14:paraId="6E2F57A0" w14:textId="77777777" w:rsidR="00474881" w:rsidRPr="001633AB" w:rsidRDefault="00474881" w:rsidP="00810099">
      <w:pPr>
        <w:pStyle w:val="NORMAL12"/>
      </w:pPr>
      <w:r w:rsidRPr="001633AB">
        <w:rPr>
          <w:i/>
          <w:u w:val="single"/>
        </w:rPr>
        <w:t>Densidad:</w:t>
      </w:r>
      <w:r w:rsidRPr="001633AB">
        <w:t xml:space="preserve"> no debe ser inferior en tres puntos porcentuales a la establecida en el apartado 512.9.3, si la diferencia es mayor se demolerá la capa y se repondrá con material nuevo, desechando el material anterior como residuo de la construcción.</w:t>
      </w:r>
      <w:r w:rsidR="00BB4898" w:rsidRPr="001633AB">
        <w:t xml:space="preserve"> Si es inferior se abonará con una penalización del 10%.</w:t>
      </w:r>
    </w:p>
    <w:p w14:paraId="29418E70" w14:textId="77777777" w:rsidR="00474881" w:rsidRPr="001633AB" w:rsidRDefault="00474881" w:rsidP="00474881">
      <w:pPr>
        <w:pStyle w:val="NORMAL12"/>
      </w:pPr>
      <w:r w:rsidRPr="001633AB">
        <w:rPr>
          <w:i/>
          <w:u w:val="single"/>
        </w:rPr>
        <w:t>Capacidad de soporte</w:t>
      </w:r>
      <w:r w:rsidRPr="001633AB">
        <w:t xml:space="preserve">: </w:t>
      </w:r>
      <w:r w:rsidR="00810099" w:rsidRPr="001633AB">
        <w:t xml:space="preserve">Si es inferior al noventa por ciento (&lt; 90%) del valor de referencia especificado en capas para la formación de explanadas, o del ochenta por ciento (&lt; 80%) en caso de formación de rellenos tipo terraplén, </w:t>
      </w:r>
      <w:r w:rsidRPr="001633AB">
        <w:t>se demolerá la capa y se repondrá con material nuevo, desechando el material anterior como residuo de la construcción.</w:t>
      </w:r>
      <w:r w:rsidR="00BB4898" w:rsidRPr="001633AB">
        <w:t xml:space="preserve"> Si es superior al 90 e inferior al 95% se abonará con una penalización del 10%.</w:t>
      </w:r>
    </w:p>
    <w:p w14:paraId="53021529" w14:textId="77777777" w:rsidR="00474881" w:rsidRPr="001633AB" w:rsidRDefault="00BB4898" w:rsidP="00474881">
      <w:pPr>
        <w:pStyle w:val="NORMAL12"/>
      </w:pPr>
      <w:r w:rsidRPr="001633AB">
        <w:rPr>
          <w:i/>
          <w:u w:val="single"/>
        </w:rPr>
        <w:t xml:space="preserve">Espesor: </w:t>
      </w:r>
      <w:r w:rsidRPr="001633AB">
        <w:t>Si es inferior al noventa por ciento (&lt; 90%) de lo especificado, se demolerá la capa y se repondrá con material nuevo, desechando el material anterior como residuo de la construcción.</w:t>
      </w:r>
    </w:p>
    <w:p w14:paraId="11F2A1C2" w14:textId="77777777" w:rsidR="00810099" w:rsidRPr="001633AB" w:rsidRDefault="00BB4898" w:rsidP="00D30945">
      <w:pPr>
        <w:pStyle w:val="NORMAL12"/>
      </w:pPr>
      <w:r w:rsidRPr="001633AB">
        <w:rPr>
          <w:i/>
          <w:u w:val="single"/>
        </w:rPr>
        <w:lastRenderedPageBreak/>
        <w:t>Cambios volumétricos</w:t>
      </w:r>
      <w:r w:rsidR="00CE424A" w:rsidRPr="001633AB">
        <w:rPr>
          <w:i/>
          <w:u w:val="single"/>
        </w:rPr>
        <w:t>: en</w:t>
      </w:r>
      <w:r w:rsidR="00D30945" w:rsidRPr="001633AB">
        <w:rPr>
          <w:i/>
          <w:u w:val="single"/>
        </w:rPr>
        <w:t xml:space="preserve"> suelos que presenta hinchamiento, los cambios </w:t>
      </w:r>
      <w:r w:rsidR="00CE424A" w:rsidRPr="001633AB">
        <w:rPr>
          <w:i/>
          <w:u w:val="single"/>
        </w:rPr>
        <w:t>volumétricos iguales</w:t>
      </w:r>
      <w:r w:rsidR="00810099" w:rsidRPr="001633AB">
        <w:t xml:space="preserve"> o inferiores al medio por ciento (</w:t>
      </w:r>
      <w:r w:rsidR="00B14C0E" w:rsidRPr="001633AB">
        <w:t>≤</w:t>
      </w:r>
      <w:r w:rsidR="00810099" w:rsidRPr="001633AB">
        <w:t>0,5%) se aplicará una penalización económica del veinte por ciento (20%) a la capa de suelo estabilizado cor</w:t>
      </w:r>
      <w:r w:rsidR="00D30945" w:rsidRPr="001633AB">
        <w:t xml:space="preserve">respondiente al lote controlado, </w:t>
      </w:r>
      <w:r w:rsidR="00810099" w:rsidRPr="001633AB">
        <w:t xml:space="preserve">Si éstos fueran superiores al medio por ciento (&gt; 0,5%) </w:t>
      </w:r>
      <w:r w:rsidR="008A44B9" w:rsidRPr="001633AB">
        <w:t>se demolerá</w:t>
      </w:r>
      <w:r w:rsidR="00810099" w:rsidRPr="001633AB">
        <w:t xml:space="preserve"> </w:t>
      </w:r>
      <w:r w:rsidR="008A44B9" w:rsidRPr="001633AB">
        <w:t>la capa</w:t>
      </w:r>
      <w:r w:rsidR="00810099" w:rsidRPr="001633AB">
        <w:t xml:space="preserve"> de suelo estabilizado.</w:t>
      </w:r>
    </w:p>
    <w:p w14:paraId="24345D7B" w14:textId="77777777" w:rsidR="00D30945" w:rsidRPr="00035413" w:rsidRDefault="00D30945" w:rsidP="00D30945">
      <w:pPr>
        <w:pStyle w:val="NORMAL12"/>
      </w:pPr>
      <w:r w:rsidRPr="00035413">
        <w:t>En los rellenos de tipo terraplén se procederá de la siguiente forma:</w:t>
      </w:r>
    </w:p>
    <w:p w14:paraId="07F2EE89" w14:textId="77777777" w:rsidR="00810099" w:rsidRPr="00035413" w:rsidRDefault="00810099" w:rsidP="00221E1A">
      <w:pPr>
        <w:pStyle w:val="NORMAL12"/>
        <w:numPr>
          <w:ilvl w:val="0"/>
          <w:numId w:val="127"/>
        </w:numPr>
      </w:pPr>
      <w:r w:rsidRPr="00035413">
        <w:t>Para los ensayos de colapso</w:t>
      </w:r>
      <w:r w:rsidR="00D30945" w:rsidRPr="00035413">
        <w:t xml:space="preserve">: </w:t>
      </w:r>
      <w:r w:rsidRPr="00035413">
        <w:t>Si fueran iguales o superiores al medio por ciento (</w:t>
      </w:r>
      <w:r w:rsidR="00B14C0E" w:rsidRPr="00035413">
        <w:t>≥</w:t>
      </w:r>
      <w:r w:rsidRPr="00035413">
        <w:t>0,5%) pero inferiores o iguales al uno por ciento (&lt;1%) se aplicará una penalización económi</w:t>
      </w:r>
      <w:r w:rsidR="00D30945" w:rsidRPr="00035413">
        <w:t xml:space="preserve">ca del veinte por ciento (20%), </w:t>
      </w:r>
      <w:r w:rsidRPr="00035413">
        <w:t xml:space="preserve">Si fueran superiores al uno por ciento (&gt; 1%) se demolerá la capa de suelo estabilizado correspondiente al lote controlado y se repondrá, con un material aceptado por el </w:t>
      </w:r>
      <w:proofErr w:type="gramStart"/>
      <w:r w:rsidRPr="00035413">
        <w:t>Director</w:t>
      </w:r>
      <w:proofErr w:type="gramEnd"/>
      <w:r w:rsidRPr="00035413">
        <w:t xml:space="preserve"> de las Obras, por cuenta del Contratista.</w:t>
      </w:r>
    </w:p>
    <w:p w14:paraId="0DB5AFC0" w14:textId="77777777" w:rsidR="00810099" w:rsidRPr="00035413" w:rsidRDefault="00D30945" w:rsidP="00221E1A">
      <w:pPr>
        <w:pStyle w:val="NORMAL12"/>
        <w:numPr>
          <w:ilvl w:val="0"/>
          <w:numId w:val="127"/>
        </w:numPr>
      </w:pPr>
      <w:r w:rsidRPr="00035413">
        <w:t xml:space="preserve">Para los ensayos de hinchamiento: si fueran </w:t>
      </w:r>
      <w:r w:rsidR="00810099" w:rsidRPr="00035413">
        <w:t>iguales o superior</w:t>
      </w:r>
      <w:r w:rsidR="00B14C0E" w:rsidRPr="00035413">
        <w:t>es al uno y medio por ciento (≥</w:t>
      </w:r>
      <w:r w:rsidR="00810099" w:rsidRPr="00035413">
        <w:t>1,5%) pero inferiores o iguales al tres por ciento (</w:t>
      </w:r>
      <w:r w:rsidR="00B14C0E" w:rsidRPr="00035413">
        <w:t>≤</w:t>
      </w:r>
      <w:r w:rsidR="00810099" w:rsidRPr="00035413">
        <w:t xml:space="preserve"> 3%) se aplicará una penalización económ</w:t>
      </w:r>
      <w:r w:rsidRPr="00035413">
        <w:t>ica del veinte por ciento (20%), s</w:t>
      </w:r>
      <w:r w:rsidR="00810099" w:rsidRPr="00035413">
        <w:t>i fueran superiores al tres por ciento (&gt; 3%) se demolerá la capa de suelo estabilizado correspondiente al lote controlado y se repondrá</w:t>
      </w:r>
    </w:p>
    <w:p w14:paraId="0E241226" w14:textId="77777777" w:rsidR="00810099" w:rsidRPr="00035413" w:rsidRDefault="00810099" w:rsidP="00221E1A">
      <w:pPr>
        <w:pStyle w:val="NORMAL12"/>
        <w:numPr>
          <w:ilvl w:val="0"/>
          <w:numId w:val="127"/>
        </w:numPr>
      </w:pPr>
      <w:r w:rsidRPr="00035413">
        <w:t>Para los ensayos de hinchamiento acelerado sobre suelos conteniend</w:t>
      </w:r>
      <w:r w:rsidR="00D30945" w:rsidRPr="00035413">
        <w:t>o sulfatos solubles s</w:t>
      </w:r>
      <w:r w:rsidRPr="00035413">
        <w:t>i fueran iguales o superiores al cinco por ciento (</w:t>
      </w:r>
      <w:r w:rsidR="00B14C0E" w:rsidRPr="00035413">
        <w:t>≥</w:t>
      </w:r>
      <w:r w:rsidRPr="00035413">
        <w:t>5%) pero inferiores o iguales al siete por ciento (&lt; 7%) se aplicará una penalización económica del treinta por ciento (30%)</w:t>
      </w:r>
      <w:r w:rsidR="00D30945" w:rsidRPr="00035413">
        <w:t>, s</w:t>
      </w:r>
      <w:r w:rsidRPr="00035413">
        <w:t>i fueran superiores al siete por ciento (&gt; 7%) se demolerá la capa de suelo estabilizado correspondiente al lote controlado y se repondrá</w:t>
      </w:r>
    </w:p>
    <w:p w14:paraId="18D8F487" w14:textId="77777777" w:rsidR="00093C68" w:rsidRDefault="00D30945" w:rsidP="008C7D19">
      <w:pPr>
        <w:pStyle w:val="NORMAL12"/>
        <w:numPr>
          <w:ilvl w:val="0"/>
          <w:numId w:val="25"/>
        </w:numPr>
      </w:pPr>
      <w:r w:rsidRPr="00035413">
        <w:t xml:space="preserve">Rasante </w:t>
      </w:r>
      <w:r w:rsidR="00810099" w:rsidRPr="00035413">
        <w:t xml:space="preserve">la tolerancia sea rebasada por defecto y no existan problemas de encharcamiento, el </w:t>
      </w:r>
      <w:proofErr w:type="gramStart"/>
      <w:r w:rsidR="00810099" w:rsidRPr="00035413">
        <w:t>Director</w:t>
      </w:r>
      <w:proofErr w:type="gramEnd"/>
      <w:r w:rsidR="00810099" w:rsidRPr="00035413">
        <w:t xml:space="preserve"> de las Obras podrá aceptar la superficie siempre que la capa superior a ella compense la merma con el espesor adicional necesario, sin incremento </w:t>
      </w:r>
      <w:r w:rsidRPr="00035413">
        <w:t xml:space="preserve">de coste para la Administración, si es por exceso, </w:t>
      </w:r>
      <w:r w:rsidR="00810099" w:rsidRPr="00035413">
        <w:t xml:space="preserve">éste se corregirá mediante refino y </w:t>
      </w:r>
      <w:proofErr w:type="spellStart"/>
      <w:r w:rsidR="00810099" w:rsidRPr="00035413">
        <w:t>recompactación</w:t>
      </w:r>
      <w:proofErr w:type="spellEnd"/>
      <w:r w:rsidR="00810099" w:rsidRPr="00035413">
        <w:t xml:space="preserve"> por cuenta del Contratista</w:t>
      </w:r>
      <w:r w:rsidR="009D46F7">
        <w:t>.</w:t>
      </w:r>
    </w:p>
    <w:p w14:paraId="5629A5C6" w14:textId="77777777" w:rsidR="00050087" w:rsidRDefault="00050087" w:rsidP="00050087">
      <w:pPr>
        <w:pStyle w:val="NORMAL12"/>
      </w:pPr>
    </w:p>
    <w:p w14:paraId="16C988C1" w14:textId="77777777" w:rsidR="00050087" w:rsidRDefault="00050087" w:rsidP="00050087">
      <w:pPr>
        <w:pStyle w:val="NORMAL12"/>
      </w:pPr>
    </w:p>
    <w:p w14:paraId="4C901633" w14:textId="77777777" w:rsidR="00810099" w:rsidRPr="00035413" w:rsidRDefault="00810099" w:rsidP="000313DD">
      <w:pPr>
        <w:pStyle w:val="TITU2"/>
      </w:pPr>
      <w:bookmarkStart w:id="566" w:name="_Toc404306"/>
      <w:r w:rsidRPr="00035413">
        <w:t>512.11. Medición y abono</w:t>
      </w:r>
      <w:bookmarkEnd w:id="566"/>
    </w:p>
    <w:p w14:paraId="4EB0844F" w14:textId="77777777" w:rsidR="00B66814" w:rsidRPr="00035413" w:rsidRDefault="00B66814" w:rsidP="00810099">
      <w:pPr>
        <w:pStyle w:val="NORMAL12"/>
      </w:pPr>
      <w:r w:rsidRPr="00035413">
        <w:t>La medición y abono del suelo estabilizado se realizará según las especificaciones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0"/>
        <w:gridCol w:w="7870"/>
      </w:tblGrid>
      <w:tr w:rsidR="00B66814" w:rsidRPr="00CF6C92" w14:paraId="07DC4EEF" w14:textId="77777777" w:rsidTr="00B66814">
        <w:trPr>
          <w:jc w:val="center"/>
        </w:trPr>
        <w:tc>
          <w:tcPr>
            <w:tcW w:w="0" w:type="auto"/>
            <w:vAlign w:val="center"/>
          </w:tcPr>
          <w:p w14:paraId="64D0A61C" w14:textId="77777777" w:rsidR="00B66814" w:rsidRPr="001633AB" w:rsidRDefault="00B66814" w:rsidP="00F02221">
            <w:pPr>
              <w:pStyle w:val="LCATabla"/>
              <w:keepNext/>
              <w:jc w:val="center"/>
              <w:rPr>
                <w:rFonts w:ascii="Arial" w:hAnsi="Arial" w:cs="Arial"/>
                <w:b/>
                <w:bCs/>
                <w:sz w:val="20"/>
              </w:rPr>
            </w:pPr>
            <w:r w:rsidRPr="001633AB">
              <w:rPr>
                <w:rFonts w:ascii="Arial" w:hAnsi="Arial" w:cs="Arial"/>
                <w:b/>
                <w:bCs/>
                <w:sz w:val="20"/>
              </w:rPr>
              <w:t>Unidad de medida</w:t>
            </w:r>
          </w:p>
        </w:tc>
        <w:tc>
          <w:tcPr>
            <w:tcW w:w="0" w:type="auto"/>
            <w:vAlign w:val="center"/>
          </w:tcPr>
          <w:p w14:paraId="33817117" w14:textId="77777777" w:rsidR="00B66814" w:rsidRPr="001633AB" w:rsidRDefault="00B66814" w:rsidP="00900DF9">
            <w:pPr>
              <w:pStyle w:val="LCATabla"/>
              <w:keepNext/>
              <w:jc w:val="both"/>
              <w:rPr>
                <w:rFonts w:ascii="Arial" w:hAnsi="Arial" w:cs="Arial"/>
                <w:sz w:val="20"/>
              </w:rPr>
            </w:pPr>
            <w:r w:rsidRPr="001633AB">
              <w:rPr>
                <w:rFonts w:ascii="Arial" w:hAnsi="Arial" w:cs="Arial"/>
                <w:sz w:val="20"/>
              </w:rPr>
              <w:t>Metro cúbico (m³)</w:t>
            </w:r>
          </w:p>
        </w:tc>
      </w:tr>
      <w:tr w:rsidR="00B66814" w:rsidRPr="00CF6C92" w14:paraId="3B891DCC" w14:textId="77777777" w:rsidTr="00B66814">
        <w:trPr>
          <w:jc w:val="center"/>
        </w:trPr>
        <w:tc>
          <w:tcPr>
            <w:tcW w:w="0" w:type="auto"/>
            <w:vAlign w:val="center"/>
          </w:tcPr>
          <w:p w14:paraId="29CCD68E" w14:textId="77777777" w:rsidR="00B66814" w:rsidRPr="001633AB" w:rsidRDefault="00B66814" w:rsidP="00F02221">
            <w:pPr>
              <w:pStyle w:val="LCATabla"/>
              <w:keepNext/>
              <w:jc w:val="center"/>
              <w:rPr>
                <w:rFonts w:ascii="Arial" w:hAnsi="Arial" w:cs="Arial"/>
                <w:b/>
                <w:bCs/>
                <w:sz w:val="20"/>
              </w:rPr>
            </w:pPr>
            <w:r w:rsidRPr="001633AB">
              <w:rPr>
                <w:rFonts w:ascii="Arial" w:hAnsi="Arial" w:cs="Arial"/>
                <w:b/>
                <w:bCs/>
                <w:sz w:val="20"/>
              </w:rPr>
              <w:t>Grado de precisión</w:t>
            </w:r>
          </w:p>
        </w:tc>
        <w:tc>
          <w:tcPr>
            <w:tcW w:w="0" w:type="auto"/>
            <w:vAlign w:val="center"/>
          </w:tcPr>
          <w:p w14:paraId="324FD41D" w14:textId="77777777" w:rsidR="00B66814" w:rsidRPr="001633AB" w:rsidRDefault="00B66814" w:rsidP="00900DF9">
            <w:pPr>
              <w:pStyle w:val="LCATabla"/>
              <w:keepNext/>
              <w:jc w:val="both"/>
              <w:rPr>
                <w:rFonts w:ascii="Arial" w:hAnsi="Arial" w:cs="Arial"/>
                <w:sz w:val="20"/>
              </w:rPr>
            </w:pPr>
            <w:r w:rsidRPr="001633AB">
              <w:rPr>
                <w:rFonts w:ascii="Arial" w:hAnsi="Arial" w:cs="Arial"/>
                <w:sz w:val="20"/>
              </w:rPr>
              <w:t>Dos (2) decimales</w:t>
            </w:r>
          </w:p>
        </w:tc>
      </w:tr>
      <w:tr w:rsidR="00B66814" w:rsidRPr="00CF6C92" w14:paraId="49AF88F8" w14:textId="77777777" w:rsidTr="00B66814">
        <w:trPr>
          <w:jc w:val="center"/>
        </w:trPr>
        <w:tc>
          <w:tcPr>
            <w:tcW w:w="0" w:type="auto"/>
            <w:vAlign w:val="center"/>
          </w:tcPr>
          <w:p w14:paraId="1648FCF8" w14:textId="77777777" w:rsidR="00B66814" w:rsidRPr="001633AB" w:rsidRDefault="00B66814" w:rsidP="00F02221">
            <w:pPr>
              <w:pStyle w:val="LCATabla"/>
              <w:keepNext/>
              <w:jc w:val="center"/>
              <w:rPr>
                <w:rFonts w:ascii="Arial" w:hAnsi="Arial" w:cs="Arial"/>
                <w:b/>
                <w:bCs/>
                <w:sz w:val="20"/>
              </w:rPr>
            </w:pPr>
            <w:r w:rsidRPr="001633AB">
              <w:rPr>
                <w:rFonts w:ascii="Arial" w:hAnsi="Arial" w:cs="Arial"/>
                <w:b/>
                <w:bCs/>
                <w:sz w:val="20"/>
              </w:rPr>
              <w:t>Forma de medición</w:t>
            </w:r>
          </w:p>
        </w:tc>
        <w:tc>
          <w:tcPr>
            <w:tcW w:w="0" w:type="auto"/>
            <w:vAlign w:val="center"/>
          </w:tcPr>
          <w:p w14:paraId="091D721D" w14:textId="77777777" w:rsidR="00B66814" w:rsidRPr="001633AB" w:rsidRDefault="00B66814" w:rsidP="00900DF9">
            <w:pPr>
              <w:pStyle w:val="LCATabla"/>
              <w:keepNext/>
              <w:jc w:val="both"/>
              <w:rPr>
                <w:rFonts w:ascii="Arial" w:hAnsi="Arial" w:cs="Arial"/>
                <w:sz w:val="20"/>
              </w:rPr>
            </w:pPr>
            <w:r w:rsidRPr="001633AB">
              <w:rPr>
                <w:rFonts w:ascii="Arial" w:hAnsi="Arial" w:cs="Arial"/>
                <w:sz w:val="20"/>
              </w:rPr>
              <w:t>Volumen de material estabilizado puesto en obra, medido por la superficie tratada (excluyendo sobreanchos laterales necesarios para una adecuada compactación), medida sobre el terreno, por el espesor medio de estabilización deducido de los ensayos de control</w:t>
            </w:r>
          </w:p>
        </w:tc>
      </w:tr>
      <w:tr w:rsidR="00B66814" w:rsidRPr="00CF6C92" w14:paraId="05B1251D" w14:textId="77777777" w:rsidTr="00B66814">
        <w:trPr>
          <w:jc w:val="center"/>
        </w:trPr>
        <w:tc>
          <w:tcPr>
            <w:tcW w:w="0" w:type="auto"/>
            <w:vAlign w:val="center"/>
          </w:tcPr>
          <w:p w14:paraId="6E26620A" w14:textId="77777777" w:rsidR="00B66814" w:rsidRPr="001633AB" w:rsidRDefault="00B66814" w:rsidP="00F02221">
            <w:pPr>
              <w:pStyle w:val="LCATabla"/>
              <w:keepNext/>
              <w:jc w:val="center"/>
              <w:rPr>
                <w:rFonts w:ascii="Arial" w:hAnsi="Arial" w:cs="Arial"/>
                <w:b/>
                <w:bCs/>
                <w:sz w:val="20"/>
              </w:rPr>
            </w:pPr>
            <w:r w:rsidRPr="001633AB">
              <w:rPr>
                <w:rFonts w:ascii="Arial" w:hAnsi="Arial" w:cs="Arial"/>
                <w:b/>
                <w:bCs/>
                <w:sz w:val="20"/>
              </w:rPr>
              <w:t>Abono</w:t>
            </w:r>
          </w:p>
        </w:tc>
        <w:tc>
          <w:tcPr>
            <w:tcW w:w="0" w:type="auto"/>
            <w:vAlign w:val="center"/>
          </w:tcPr>
          <w:p w14:paraId="518C1291" w14:textId="77777777" w:rsidR="00B66814" w:rsidRPr="001633AB" w:rsidRDefault="00B66814" w:rsidP="00900DF9">
            <w:pPr>
              <w:pStyle w:val="LCATabla"/>
              <w:keepNext/>
              <w:jc w:val="both"/>
              <w:rPr>
                <w:rFonts w:ascii="Arial" w:hAnsi="Arial" w:cs="Arial"/>
                <w:sz w:val="20"/>
              </w:rPr>
            </w:pPr>
            <w:r w:rsidRPr="001633AB">
              <w:rPr>
                <w:rFonts w:ascii="Arial" w:hAnsi="Arial" w:cs="Arial"/>
                <w:sz w:val="20"/>
              </w:rPr>
              <w:t>Se efectuará cuando se realice la aceptación</w:t>
            </w:r>
          </w:p>
        </w:tc>
      </w:tr>
      <w:tr w:rsidR="00B66814" w:rsidRPr="00CF6C92" w14:paraId="47E38EDD" w14:textId="77777777" w:rsidTr="00B66814">
        <w:trPr>
          <w:jc w:val="center"/>
        </w:trPr>
        <w:tc>
          <w:tcPr>
            <w:tcW w:w="0" w:type="auto"/>
            <w:vAlign w:val="center"/>
          </w:tcPr>
          <w:p w14:paraId="77E9743E" w14:textId="77777777" w:rsidR="00B66814" w:rsidRPr="001633AB" w:rsidRDefault="00B66814" w:rsidP="00F02221">
            <w:pPr>
              <w:pStyle w:val="LCATabla"/>
              <w:keepNext/>
              <w:jc w:val="center"/>
              <w:rPr>
                <w:rFonts w:ascii="Arial" w:hAnsi="Arial" w:cs="Arial"/>
                <w:b/>
                <w:bCs/>
                <w:sz w:val="20"/>
              </w:rPr>
            </w:pPr>
            <w:r w:rsidRPr="001633AB">
              <w:rPr>
                <w:rFonts w:ascii="Arial" w:hAnsi="Arial" w:cs="Arial"/>
                <w:b/>
                <w:bCs/>
                <w:sz w:val="20"/>
              </w:rPr>
              <w:t>Criterios complementarios</w:t>
            </w:r>
          </w:p>
        </w:tc>
        <w:tc>
          <w:tcPr>
            <w:tcW w:w="0" w:type="auto"/>
            <w:vAlign w:val="center"/>
          </w:tcPr>
          <w:p w14:paraId="521D5CE4" w14:textId="77777777" w:rsidR="00B66814" w:rsidRPr="001633AB" w:rsidRDefault="00B66814" w:rsidP="00900DF9">
            <w:pPr>
              <w:pStyle w:val="LCATabla"/>
              <w:keepNext/>
              <w:jc w:val="both"/>
              <w:rPr>
                <w:rFonts w:ascii="Arial" w:hAnsi="Arial" w:cs="Arial"/>
                <w:sz w:val="20"/>
              </w:rPr>
            </w:pPr>
            <w:r w:rsidRPr="001633AB">
              <w:rPr>
                <w:rFonts w:ascii="Arial" w:hAnsi="Arial" w:cs="Arial"/>
                <w:sz w:val="20"/>
              </w:rPr>
              <w:t>El precio incluye las operaciones de extendido, nivelado y compactado</w:t>
            </w:r>
          </w:p>
          <w:p w14:paraId="4B818619" w14:textId="77777777" w:rsidR="005D0632" w:rsidRPr="001633AB" w:rsidRDefault="005D0632" w:rsidP="00900DF9">
            <w:pPr>
              <w:pStyle w:val="LCATabla"/>
              <w:keepNext/>
              <w:jc w:val="both"/>
              <w:rPr>
                <w:rFonts w:ascii="Arial" w:hAnsi="Arial" w:cs="Arial"/>
                <w:sz w:val="20"/>
              </w:rPr>
            </w:pPr>
            <w:r w:rsidRPr="001633AB">
              <w:rPr>
                <w:rFonts w:ascii="Arial" w:hAnsi="Arial" w:cs="Arial"/>
                <w:sz w:val="20"/>
              </w:rPr>
              <w:t xml:space="preserve">No está incluido el coste del </w:t>
            </w:r>
            <w:r w:rsidR="00444240" w:rsidRPr="001633AB">
              <w:rPr>
                <w:rFonts w:ascii="Arial" w:hAnsi="Arial" w:cs="Arial"/>
                <w:sz w:val="20"/>
              </w:rPr>
              <w:t>cemento para la estabilización, que es objeto de medición y abono en unidad independiente.</w:t>
            </w:r>
          </w:p>
          <w:p w14:paraId="43023CCE" w14:textId="77777777" w:rsidR="00B66814" w:rsidRPr="001633AB" w:rsidRDefault="00B66814" w:rsidP="00900DF9">
            <w:pPr>
              <w:pStyle w:val="LCATabla"/>
              <w:keepNext/>
              <w:jc w:val="both"/>
              <w:rPr>
                <w:rFonts w:ascii="Arial" w:hAnsi="Arial" w:cs="Arial"/>
                <w:sz w:val="20"/>
              </w:rPr>
            </w:pPr>
            <w:r w:rsidRPr="001633AB">
              <w:rPr>
                <w:rFonts w:ascii="Arial" w:hAnsi="Arial" w:cs="Arial"/>
                <w:sz w:val="20"/>
              </w:rPr>
              <w:t>Los sobreanchos laterales necesarios para una adecuada compactación no serán de abono</w:t>
            </w:r>
          </w:p>
        </w:tc>
      </w:tr>
    </w:tbl>
    <w:p w14:paraId="7FECA0ED" w14:textId="77777777" w:rsidR="00B66814" w:rsidRDefault="00B66814" w:rsidP="00810099">
      <w:pPr>
        <w:pStyle w:val="NORMAL12"/>
        <w:rPr>
          <w:color w:val="365F91" w:themeColor="accent1" w:themeShade="BF"/>
        </w:rPr>
      </w:pPr>
    </w:p>
    <w:p w14:paraId="33E6B2D6" w14:textId="77777777" w:rsidR="00B66814" w:rsidRDefault="00B66814" w:rsidP="00810099">
      <w:pPr>
        <w:pStyle w:val="NORMAL12"/>
        <w:rPr>
          <w:color w:val="365F91" w:themeColor="accent1" w:themeShade="BF"/>
        </w:rPr>
      </w:pPr>
    </w:p>
    <w:p w14:paraId="346796A2" w14:textId="77777777" w:rsidR="00B66814" w:rsidRDefault="00B66814" w:rsidP="00810099">
      <w:pPr>
        <w:pStyle w:val="NORMAL12"/>
        <w:rPr>
          <w:color w:val="365F91" w:themeColor="accent1" w:themeShade="BF"/>
        </w:rPr>
      </w:pPr>
    </w:p>
    <w:p w14:paraId="050A84FE" w14:textId="77777777" w:rsidR="00810099" w:rsidRPr="005864C2" w:rsidRDefault="00810099" w:rsidP="00810099">
      <w:pPr>
        <w:pStyle w:val="NORMAL12"/>
        <w:rPr>
          <w:color w:val="365F91" w:themeColor="accent1" w:themeShade="BF"/>
          <w:lang w:val="es-ES"/>
        </w:rPr>
        <w:sectPr w:rsidR="00810099" w:rsidRPr="005864C2" w:rsidSect="003069BA">
          <w:type w:val="oddPage"/>
          <w:pgSz w:w="23814" w:h="16840" w:orient="landscape" w:code="8"/>
          <w:pgMar w:top="992" w:right="851" w:bottom="1418" w:left="851" w:header="567" w:footer="1021" w:gutter="1418"/>
          <w:cols w:num="2" w:space="1134"/>
        </w:sectPr>
      </w:pPr>
    </w:p>
    <w:p w14:paraId="7F9CCA54" w14:textId="77777777" w:rsidR="00810099" w:rsidRDefault="00810099" w:rsidP="006F6223">
      <w:pPr>
        <w:pStyle w:val="TITU1"/>
      </w:pPr>
      <w:bookmarkStart w:id="567" w:name="_Toc404307"/>
      <w:r w:rsidRPr="00886F1A">
        <w:lastRenderedPageBreak/>
        <w:t>Artículo 513. Materiales tratados con cemento. Suelo cemento y gravacemento</w:t>
      </w:r>
      <w:bookmarkEnd w:id="567"/>
    </w:p>
    <w:p w14:paraId="3D0AF259" w14:textId="77777777" w:rsidR="00BF3B76" w:rsidRPr="00BF3B76" w:rsidRDefault="00BF3B76" w:rsidP="00BF3B76">
      <w:pPr>
        <w:pStyle w:val="GTTTextoIndependiente"/>
        <w:spacing w:before="60"/>
        <w:ind w:firstLine="0"/>
      </w:pPr>
      <w:r w:rsidRPr="004D487C">
        <w:rPr>
          <w:rFonts w:ascii="Arial" w:hAnsi="Arial" w:cs="Arial"/>
          <w:sz w:val="24"/>
        </w:rPr>
        <w:t>Excepto para lo especificado en este artículo será de aplicación lo prescito en la normativa vigente, en particular en el Artículo 51</w:t>
      </w:r>
      <w:r>
        <w:rPr>
          <w:rFonts w:ascii="Arial" w:hAnsi="Arial" w:cs="Arial"/>
          <w:sz w:val="24"/>
        </w:rPr>
        <w:t>3</w:t>
      </w:r>
      <w:r w:rsidRPr="004D487C">
        <w:rPr>
          <w:rFonts w:ascii="Arial" w:hAnsi="Arial" w:cs="Arial"/>
          <w:sz w:val="24"/>
        </w:rPr>
        <w:t>. Zahorra del PG-3</w:t>
      </w:r>
    </w:p>
    <w:p w14:paraId="680027A8" w14:textId="77777777" w:rsidR="00810099" w:rsidRPr="009D46F7" w:rsidRDefault="00810099" w:rsidP="000313DD">
      <w:pPr>
        <w:pStyle w:val="TITU2"/>
      </w:pPr>
      <w:bookmarkStart w:id="568" w:name="_Toc404308"/>
      <w:r w:rsidRPr="009D46F7">
        <w:t>513.1. Definición</w:t>
      </w:r>
      <w:bookmarkEnd w:id="568"/>
    </w:p>
    <w:p w14:paraId="68FE4460" w14:textId="77777777" w:rsidR="009535DB" w:rsidRPr="009D46F7" w:rsidRDefault="009535DB" w:rsidP="009535DB">
      <w:pPr>
        <w:pStyle w:val="NORMAL12"/>
      </w:pPr>
      <w:r w:rsidRPr="009D46F7">
        <w:t xml:space="preserve">Se define como material tratado con cemento la mezcla homogénea, en las proporciones adecuadas, de material granular, cemento, agua y, eventualmente aditivos, realizada en central, que convenientemente compactada, se utiliza como capa estructural en firmes de carretera. Dependiendo del material granular utilizado se distinguen dos tipos de materiales tratados con cemento: </w:t>
      </w:r>
      <w:proofErr w:type="spellStart"/>
      <w:r w:rsidRPr="009D46F7">
        <w:t>suelocemento</w:t>
      </w:r>
      <w:proofErr w:type="spellEnd"/>
      <w:r w:rsidRPr="009D46F7">
        <w:t xml:space="preserve"> y </w:t>
      </w:r>
      <w:proofErr w:type="spellStart"/>
      <w:r w:rsidRPr="009D46F7">
        <w:t>gravacemento</w:t>
      </w:r>
      <w:proofErr w:type="spellEnd"/>
      <w:r w:rsidRPr="009D46F7">
        <w:t>.</w:t>
      </w:r>
    </w:p>
    <w:p w14:paraId="7D9209BD" w14:textId="77777777" w:rsidR="00C36ABC" w:rsidRPr="009D46F7" w:rsidRDefault="00C36ABC" w:rsidP="00C36ABC">
      <w:pPr>
        <w:pStyle w:val="NORMAL12"/>
        <w:rPr>
          <w:lang w:val="es-ES"/>
        </w:rPr>
      </w:pPr>
      <w:r w:rsidRPr="009D46F7">
        <w:rPr>
          <w:lang w:val="es-ES"/>
        </w:rPr>
        <w:t xml:space="preserve">Las prescripciones del presente </w:t>
      </w:r>
      <w:r w:rsidR="00D62492">
        <w:rPr>
          <w:lang w:val="es-ES"/>
        </w:rPr>
        <w:t xml:space="preserve">artículo </w:t>
      </w:r>
      <w:proofErr w:type="gramStart"/>
      <w:r w:rsidR="00D62492">
        <w:rPr>
          <w:lang w:val="es-ES"/>
        </w:rPr>
        <w:t>son de aplicación</w:t>
      </w:r>
      <w:proofErr w:type="gramEnd"/>
      <w:r w:rsidR="00D62492">
        <w:rPr>
          <w:lang w:val="es-ES"/>
        </w:rPr>
        <w:t xml:space="preserve"> a la</w:t>
      </w:r>
      <w:r w:rsidRPr="009D46F7">
        <w:rPr>
          <w:lang w:val="es-ES"/>
        </w:rPr>
        <w:t xml:space="preserve"> unidad de obra siguiente:</w:t>
      </w:r>
    </w:p>
    <w:tbl>
      <w:tblPr>
        <w:tblW w:w="5000" w:type="pct"/>
        <w:tblCellMar>
          <w:left w:w="70" w:type="dxa"/>
          <w:right w:w="70" w:type="dxa"/>
        </w:tblCellMar>
        <w:tblLook w:val="04A0" w:firstRow="1" w:lastRow="0" w:firstColumn="1" w:lastColumn="0" w:noHBand="0" w:noVBand="1"/>
      </w:tblPr>
      <w:tblGrid>
        <w:gridCol w:w="1053"/>
        <w:gridCol w:w="777"/>
        <w:gridCol w:w="7948"/>
      </w:tblGrid>
      <w:tr w:rsidR="009D46F7" w:rsidRPr="009D46F7" w14:paraId="530B7D2C" w14:textId="77777777" w:rsidTr="0084421A">
        <w:trPr>
          <w:trHeight w:val="419"/>
        </w:trPr>
        <w:tc>
          <w:tcPr>
            <w:tcW w:w="538" w:type="pct"/>
            <w:noWrap/>
          </w:tcPr>
          <w:p w14:paraId="668C82F5" w14:textId="77777777" w:rsidR="00365AED" w:rsidRPr="00050087" w:rsidRDefault="00365AED">
            <w:pPr>
              <w:rPr>
                <w:rFonts w:ascii="Calibri" w:hAnsi="Calibri"/>
              </w:rPr>
            </w:pPr>
            <w:r w:rsidRPr="00050087">
              <w:rPr>
                <w:rFonts w:ascii="Calibri" w:hAnsi="Calibri"/>
              </w:rPr>
              <w:t xml:space="preserve">513.0010          </w:t>
            </w:r>
          </w:p>
        </w:tc>
        <w:tc>
          <w:tcPr>
            <w:tcW w:w="398" w:type="pct"/>
            <w:noWrap/>
          </w:tcPr>
          <w:p w14:paraId="3788CF0A" w14:textId="77777777" w:rsidR="00365AED" w:rsidRPr="00050087" w:rsidRDefault="00365AED">
            <w:pPr>
              <w:rPr>
                <w:rFonts w:ascii="Calibri" w:hAnsi="Calibri"/>
              </w:rPr>
            </w:pPr>
            <w:r w:rsidRPr="00050087">
              <w:rPr>
                <w:rFonts w:ascii="Calibri" w:hAnsi="Calibri"/>
              </w:rPr>
              <w:t>m</w:t>
            </w:r>
            <w:r w:rsidRPr="00050087">
              <w:rPr>
                <w:rFonts w:ascii="Calibri" w:hAnsi="Calibri"/>
                <w:vertAlign w:val="superscript"/>
              </w:rPr>
              <w:t>3</w:t>
            </w:r>
          </w:p>
        </w:tc>
        <w:tc>
          <w:tcPr>
            <w:tcW w:w="4063" w:type="pct"/>
          </w:tcPr>
          <w:p w14:paraId="167B8AE7" w14:textId="77777777" w:rsidR="0084421A" w:rsidRPr="00050087" w:rsidRDefault="0084421A" w:rsidP="00900DF9">
            <w:pPr>
              <w:jc w:val="both"/>
              <w:rPr>
                <w:rFonts w:ascii="Calibri" w:hAnsi="Calibri"/>
              </w:rPr>
            </w:pPr>
            <w:r w:rsidRPr="00050087">
              <w:rPr>
                <w:rFonts w:ascii="Calibri" w:hAnsi="Calibri"/>
              </w:rPr>
              <w:t>SUELO-CEMENTO FABRICADO EN CENTRAL i/ TRANSPORTE, EXTENDIDO, COMPACTACIÓN, PREFISURACIÓN Y PREPARACIÓN DE LA SUPERFICIE DE ASIENTO, SIN INCLUIR CEMENTO.</w:t>
            </w:r>
          </w:p>
          <w:p w14:paraId="1C8C7259" w14:textId="77777777" w:rsidR="00365AED" w:rsidRPr="00050087" w:rsidRDefault="00365AED">
            <w:pPr>
              <w:rPr>
                <w:rFonts w:ascii="Calibri" w:hAnsi="Calibri"/>
              </w:rPr>
            </w:pPr>
          </w:p>
        </w:tc>
      </w:tr>
    </w:tbl>
    <w:p w14:paraId="7ACDEDB4" w14:textId="77777777" w:rsidR="00035413" w:rsidRPr="009D46F7" w:rsidRDefault="00035413" w:rsidP="00810099">
      <w:pPr>
        <w:pStyle w:val="NORMAL12"/>
      </w:pPr>
      <w:r w:rsidRPr="009D46F7">
        <w:t xml:space="preserve">La ejecución de unidad incluye la realización de las operaciones siguientes: </w:t>
      </w:r>
    </w:p>
    <w:p w14:paraId="492501BC" w14:textId="77777777" w:rsidR="00810099" w:rsidRPr="009D46F7" w:rsidRDefault="00810099" w:rsidP="006D4837">
      <w:pPr>
        <w:pStyle w:val="NORMAL12"/>
        <w:numPr>
          <w:ilvl w:val="0"/>
          <w:numId w:val="26"/>
        </w:numPr>
      </w:pPr>
      <w:r w:rsidRPr="009D46F7">
        <w:t>Estudio de la mezcla y obtención de la fórmula de trabajo.</w:t>
      </w:r>
    </w:p>
    <w:p w14:paraId="2BC06024" w14:textId="77777777" w:rsidR="00810099" w:rsidRPr="009D46F7" w:rsidRDefault="00810099" w:rsidP="006D4837">
      <w:pPr>
        <w:pStyle w:val="NORMAL12"/>
        <w:numPr>
          <w:ilvl w:val="0"/>
          <w:numId w:val="26"/>
        </w:numPr>
      </w:pPr>
      <w:r w:rsidRPr="009D46F7">
        <w:t>Fabricación de la mezcla en central.</w:t>
      </w:r>
    </w:p>
    <w:p w14:paraId="0E350C90" w14:textId="77777777" w:rsidR="00810099" w:rsidRPr="009D46F7" w:rsidRDefault="00810099" w:rsidP="006D4837">
      <w:pPr>
        <w:pStyle w:val="NORMAL12"/>
        <w:numPr>
          <w:ilvl w:val="0"/>
          <w:numId w:val="26"/>
        </w:numPr>
      </w:pPr>
      <w:r w:rsidRPr="009D46F7">
        <w:t>Preparación de la superficie existente, cuando proceda.</w:t>
      </w:r>
    </w:p>
    <w:p w14:paraId="242FAEBB" w14:textId="77777777" w:rsidR="00810099" w:rsidRPr="009D46F7" w:rsidRDefault="00810099" w:rsidP="006D4837">
      <w:pPr>
        <w:pStyle w:val="NORMAL12"/>
        <w:numPr>
          <w:ilvl w:val="0"/>
          <w:numId w:val="26"/>
        </w:numPr>
      </w:pPr>
      <w:r w:rsidRPr="009D46F7">
        <w:t xml:space="preserve">Transporte y extensión de </w:t>
      </w:r>
      <w:r w:rsidR="00710467" w:rsidRPr="009D46F7">
        <w:t>la mezcla</w:t>
      </w:r>
      <w:r w:rsidRPr="009D46F7">
        <w:t>.</w:t>
      </w:r>
    </w:p>
    <w:p w14:paraId="544EFB2C" w14:textId="77777777" w:rsidR="00810099" w:rsidRPr="009D46F7" w:rsidRDefault="00810099" w:rsidP="006D4837">
      <w:pPr>
        <w:pStyle w:val="NORMAL12"/>
        <w:numPr>
          <w:ilvl w:val="0"/>
          <w:numId w:val="26"/>
        </w:numPr>
      </w:pPr>
      <w:proofErr w:type="spellStart"/>
      <w:r w:rsidRPr="009D46F7">
        <w:t>Prefisuración</w:t>
      </w:r>
      <w:proofErr w:type="spellEnd"/>
      <w:r w:rsidRPr="009D46F7">
        <w:t>.</w:t>
      </w:r>
    </w:p>
    <w:p w14:paraId="7506AC82" w14:textId="77777777" w:rsidR="00810099" w:rsidRPr="009D46F7" w:rsidRDefault="00810099" w:rsidP="006D4837">
      <w:pPr>
        <w:pStyle w:val="NORMAL12"/>
        <w:numPr>
          <w:ilvl w:val="0"/>
          <w:numId w:val="26"/>
        </w:numPr>
      </w:pPr>
      <w:r w:rsidRPr="009D46F7">
        <w:t>Compactación y terminación.</w:t>
      </w:r>
    </w:p>
    <w:p w14:paraId="1C14FC27" w14:textId="77777777" w:rsidR="00810099" w:rsidRPr="009D46F7" w:rsidRDefault="00810099" w:rsidP="006D4837">
      <w:pPr>
        <w:pStyle w:val="NORMAL12"/>
        <w:numPr>
          <w:ilvl w:val="0"/>
          <w:numId w:val="26"/>
        </w:numPr>
      </w:pPr>
      <w:r w:rsidRPr="009D46F7">
        <w:t>Curado y protección superficial.</w:t>
      </w:r>
    </w:p>
    <w:p w14:paraId="6C1A20A2" w14:textId="77777777" w:rsidR="00810099" w:rsidRPr="009D46F7" w:rsidRDefault="00810099" w:rsidP="000313DD">
      <w:pPr>
        <w:pStyle w:val="TITU2"/>
      </w:pPr>
      <w:bookmarkStart w:id="569" w:name="_Toc404309"/>
      <w:r w:rsidRPr="009D46F7">
        <w:t>513.2. Materiales</w:t>
      </w:r>
      <w:bookmarkEnd w:id="569"/>
    </w:p>
    <w:p w14:paraId="4162D718" w14:textId="77777777" w:rsidR="00810099" w:rsidRPr="009D46F7" w:rsidRDefault="00810099" w:rsidP="00810099">
      <w:pPr>
        <w:pStyle w:val="NORMAL12"/>
      </w:pPr>
      <w:r w:rsidRPr="009D46F7">
        <w:t xml:space="preserve">Los áridos reciclados de residuos de construcción y demolición deberán aportar documento acreditativo de su origen, de la idoneidad de sus características para el uso </w:t>
      </w:r>
      <w:proofErr w:type="gramStart"/>
      <w:r w:rsidRPr="009D46F7">
        <w:t>pro puesto</w:t>
      </w:r>
      <w:proofErr w:type="gramEnd"/>
      <w:r w:rsidRPr="009D46F7">
        <w:t>, que han sido debidamente tratados y que no se encuentran mezclados con otros contaminantes.</w:t>
      </w:r>
    </w:p>
    <w:p w14:paraId="07E29175" w14:textId="77777777" w:rsidR="009535DB" w:rsidRPr="009D46F7" w:rsidRDefault="00030673" w:rsidP="00030673">
      <w:pPr>
        <w:pStyle w:val="TITU3"/>
        <w:numPr>
          <w:ilvl w:val="0"/>
          <w:numId w:val="0"/>
        </w:numPr>
        <w:rPr>
          <w:b w:val="0"/>
          <w:i w:val="0"/>
          <w:lang w:val="es-ES_tradnl"/>
        </w:rPr>
      </w:pPr>
      <w:r w:rsidRPr="009D46F7">
        <w:rPr>
          <w:b w:val="0"/>
          <w:i w:val="0"/>
          <w:lang w:val="es-ES_tradnl"/>
        </w:rPr>
        <w:t xml:space="preserve">Se empleará cemento con clase resistente </w:t>
      </w:r>
      <w:r w:rsidR="00810099" w:rsidRPr="009D46F7">
        <w:rPr>
          <w:b w:val="0"/>
          <w:i w:val="0"/>
          <w:lang w:val="es-ES_tradnl"/>
        </w:rPr>
        <w:t xml:space="preserve">32,5N para los cementos comunes. El </w:t>
      </w:r>
      <w:proofErr w:type="gramStart"/>
      <w:r w:rsidR="00810099" w:rsidRPr="009D46F7">
        <w:rPr>
          <w:b w:val="0"/>
          <w:i w:val="0"/>
          <w:lang w:val="es-ES_tradnl"/>
        </w:rPr>
        <w:t>Director</w:t>
      </w:r>
      <w:proofErr w:type="gramEnd"/>
      <w:r w:rsidR="00810099" w:rsidRPr="009D46F7">
        <w:rPr>
          <w:b w:val="0"/>
          <w:i w:val="0"/>
          <w:lang w:val="es-ES_tradnl"/>
        </w:rPr>
        <w:t xml:space="preserve"> de las Obras podrá autorizar en épocas frías el empleo de un cemento de clase resistente 42,5N. </w:t>
      </w:r>
    </w:p>
    <w:p w14:paraId="19F2F1E6" w14:textId="77777777" w:rsidR="00810099" w:rsidRPr="00111B52" w:rsidRDefault="00810099" w:rsidP="00030673">
      <w:pPr>
        <w:pStyle w:val="NORMAL12"/>
      </w:pPr>
      <w:r w:rsidRPr="009D46F7">
        <w:t>S</w:t>
      </w:r>
      <w:r w:rsidR="00030673" w:rsidRPr="009D46F7">
        <w:t xml:space="preserve">e emplearán cementos resistentes a los sulfuros </w:t>
      </w:r>
      <w:r w:rsidR="00D62492">
        <w:t>(</w:t>
      </w:r>
      <w:r w:rsidR="00030673" w:rsidRPr="009D46F7">
        <w:t>SR</w:t>
      </w:r>
      <w:r w:rsidR="00D62492">
        <w:t>)</w:t>
      </w:r>
      <w:r w:rsidR="00030673" w:rsidRPr="009D46F7">
        <w:t xml:space="preserve">, si </w:t>
      </w:r>
      <w:r w:rsidRPr="009D46F7">
        <w:t>el contenido ponderal de sulfatos solubles (SO</w:t>
      </w:r>
      <w:r w:rsidRPr="00BF7C47">
        <w:rPr>
          <w:vertAlign w:val="subscript"/>
        </w:rPr>
        <w:t>3</w:t>
      </w:r>
      <w:r w:rsidRPr="009D46F7">
        <w:t xml:space="preserve">) en el material granular para </w:t>
      </w:r>
      <w:proofErr w:type="spellStart"/>
      <w:r w:rsidRPr="009D46F7">
        <w:t>suelocemento</w:t>
      </w:r>
      <w:proofErr w:type="spellEnd"/>
      <w:r w:rsidRPr="009D46F7">
        <w:t xml:space="preserve"> que se vaya a utilizar </w:t>
      </w:r>
      <w:r w:rsidRPr="00111B52">
        <w:t>(norma UNE 103201</w:t>
      </w:r>
      <w:r w:rsidR="0006143B" w:rsidRPr="00111B52">
        <w:t>:2003 ERRATUM</w:t>
      </w:r>
      <w:r w:rsidRPr="00111B52">
        <w:t xml:space="preserve">) </w:t>
      </w:r>
      <w:r w:rsidR="00BF7C47">
        <w:t xml:space="preserve">es </w:t>
      </w:r>
      <w:r w:rsidRPr="00111B52">
        <w:t>superior al cinco por mil (&gt; 5‰) en masa</w:t>
      </w:r>
      <w:r w:rsidR="00030673" w:rsidRPr="00111B52">
        <w:t>.</w:t>
      </w:r>
    </w:p>
    <w:p w14:paraId="1836C778" w14:textId="77777777" w:rsidR="00810099" w:rsidRPr="00111B52" w:rsidRDefault="009535DB" w:rsidP="00810099">
      <w:pPr>
        <w:pStyle w:val="NORMAL12"/>
      </w:pPr>
      <w:r w:rsidRPr="00111B52">
        <w:t xml:space="preserve">El principio de fraguado </w:t>
      </w:r>
      <w:r w:rsidR="00810099" w:rsidRPr="00111B52">
        <w:t xml:space="preserve">(norma UNE-EN 196-3) no podrá tener lugar antes de las dos horas (2 h). </w:t>
      </w:r>
      <w:r w:rsidRPr="00111B52">
        <w:t xml:space="preserve">Si la </w:t>
      </w:r>
      <w:r w:rsidR="00810099" w:rsidRPr="00111B52">
        <w:t xml:space="preserve">temperatura ambiente </w:t>
      </w:r>
      <w:r w:rsidRPr="00111B52">
        <w:t xml:space="preserve">es </w:t>
      </w:r>
      <w:r w:rsidR="00810099" w:rsidRPr="00111B52">
        <w:t>superior a treinta grados Celsius (&gt; 30 °C), el principio de fraguado no podrá tener lugar antes de una hora (1 h)</w:t>
      </w:r>
      <w:r w:rsidRPr="00111B52">
        <w:t>.</w:t>
      </w:r>
    </w:p>
    <w:p w14:paraId="088F01F1" w14:textId="77777777" w:rsidR="00810099" w:rsidRPr="00111B52" w:rsidRDefault="00810099" w:rsidP="0026195C">
      <w:pPr>
        <w:pStyle w:val="TITU3"/>
        <w:numPr>
          <w:ilvl w:val="0"/>
          <w:numId w:val="0"/>
        </w:numPr>
        <w:outlineLvl w:val="3"/>
      </w:pPr>
      <w:r w:rsidRPr="00111B52">
        <w:t>513.2.3. Materiales granulares</w:t>
      </w:r>
    </w:p>
    <w:p w14:paraId="714A28A1" w14:textId="77777777" w:rsidR="00810099" w:rsidRPr="00111B52" w:rsidRDefault="00810099" w:rsidP="009F36C5">
      <w:pPr>
        <w:pStyle w:val="TITU4"/>
        <w:numPr>
          <w:ilvl w:val="0"/>
          <w:numId w:val="0"/>
        </w:numPr>
      </w:pPr>
      <w:r w:rsidRPr="00111B52">
        <w:t>513.2.3.1. Características generales</w:t>
      </w:r>
    </w:p>
    <w:p w14:paraId="45059D87" w14:textId="77777777" w:rsidR="00810099" w:rsidRPr="00111B52" w:rsidRDefault="00810099" w:rsidP="00810099">
      <w:pPr>
        <w:pStyle w:val="NORMAL12"/>
      </w:pPr>
      <w:r w:rsidRPr="00111B52">
        <w:t xml:space="preserve">Para el </w:t>
      </w:r>
      <w:proofErr w:type="spellStart"/>
      <w:r w:rsidRPr="00111B52">
        <w:t>suelocemento</w:t>
      </w:r>
      <w:proofErr w:type="spellEnd"/>
      <w:r w:rsidRPr="00111B52">
        <w:t xml:space="preserve"> se utilizará un suelo granular o material de origen natural, rodado o triturado, o una mezcla de ambos, exento de todo tipo de materias extrañas que puedan afectar a la durabilidad de la capa.</w:t>
      </w:r>
    </w:p>
    <w:p w14:paraId="03791365" w14:textId="77777777" w:rsidR="00BF1C27" w:rsidRPr="00111B52" w:rsidRDefault="00BF1C27" w:rsidP="00BF1C27">
      <w:pPr>
        <w:pStyle w:val="NORMAL12"/>
      </w:pPr>
      <w:r w:rsidRPr="00111B52">
        <w:t xml:space="preserve">Los áridos reciclados de residuos de construcción y demolición deberán aportar documento acreditativo de su origen, de la idoneidad de sus características para el uso </w:t>
      </w:r>
      <w:proofErr w:type="gramStart"/>
      <w:r w:rsidRPr="00111B52">
        <w:t>pro puesto</w:t>
      </w:r>
      <w:proofErr w:type="gramEnd"/>
      <w:r w:rsidRPr="00111B52">
        <w:t>, que han sido debidamente tratados y que no se encuentran mezclados con otros contaminantes.</w:t>
      </w:r>
    </w:p>
    <w:p w14:paraId="56E9CAE1" w14:textId="77777777" w:rsidR="00BF1C27" w:rsidRPr="00111B52" w:rsidRDefault="00BF1C27" w:rsidP="00810099">
      <w:pPr>
        <w:pStyle w:val="NORMAL12"/>
      </w:pPr>
      <w:r w:rsidRPr="00111B52">
        <w:t xml:space="preserve">El material granular debe cumplir: </w:t>
      </w:r>
    </w:p>
    <w:p w14:paraId="6218F4A0" w14:textId="77777777" w:rsidR="00BF1C27" w:rsidRPr="00111B52" w:rsidRDefault="00810099" w:rsidP="006D4837">
      <w:pPr>
        <w:pStyle w:val="NORMAL12"/>
        <w:numPr>
          <w:ilvl w:val="0"/>
          <w:numId w:val="26"/>
        </w:numPr>
      </w:pPr>
      <w:r w:rsidRPr="00111B52">
        <w:t xml:space="preserve">no será susceptibles a ningún tipo de meteorización o alteración </w:t>
      </w:r>
      <w:proofErr w:type="gramStart"/>
      <w:r w:rsidRPr="00111B52">
        <w:t>físico-química</w:t>
      </w:r>
      <w:proofErr w:type="gramEnd"/>
      <w:r w:rsidRPr="00111B52">
        <w:t xml:space="preserve"> apreciable bajo las condiciones más desfavorables que, presumiblemente, se puedan darse en el lugar de empleo. </w:t>
      </w:r>
    </w:p>
    <w:p w14:paraId="726D84A0" w14:textId="77777777" w:rsidR="00BF1C27" w:rsidRPr="00111B52" w:rsidRDefault="00BF1C27" w:rsidP="006D4837">
      <w:pPr>
        <w:pStyle w:val="NORMAL12"/>
        <w:numPr>
          <w:ilvl w:val="0"/>
          <w:numId w:val="26"/>
        </w:numPr>
      </w:pPr>
      <w:r w:rsidRPr="00111B52">
        <w:t>El contenido de materia orgánica debe ser inferior al uno por ciento (1%).</w:t>
      </w:r>
    </w:p>
    <w:p w14:paraId="6E85DA8B" w14:textId="77777777" w:rsidR="00BF1C27" w:rsidRPr="00111B52" w:rsidRDefault="00BF1C27" w:rsidP="006D4837">
      <w:pPr>
        <w:pStyle w:val="NORMAL12"/>
        <w:numPr>
          <w:ilvl w:val="0"/>
          <w:numId w:val="26"/>
        </w:numPr>
      </w:pPr>
      <w:r w:rsidRPr="00111B52">
        <w:t>No presentará reactividad potencial con los álcalis de cemento.</w:t>
      </w:r>
    </w:p>
    <w:p w14:paraId="201E0068" w14:textId="77777777" w:rsidR="00810099" w:rsidRPr="00111B52" w:rsidRDefault="00BF1C27" w:rsidP="006D4837">
      <w:pPr>
        <w:pStyle w:val="NORMAL12"/>
        <w:numPr>
          <w:ilvl w:val="0"/>
          <w:numId w:val="26"/>
        </w:numPr>
      </w:pPr>
      <w:r w:rsidRPr="00111B52">
        <w:t xml:space="preserve">El límite líquido del material </w:t>
      </w:r>
      <w:r w:rsidR="00810099" w:rsidRPr="00111B52">
        <w:t>deberá ser inferior a treinta (&lt; 30), y su índice de plasticidad (normas UNE 103103</w:t>
      </w:r>
      <w:r w:rsidR="0006143B" w:rsidRPr="00111B52">
        <w:t>:1994</w:t>
      </w:r>
      <w:r w:rsidR="00810099" w:rsidRPr="00111B52">
        <w:t xml:space="preserve"> y UNE 103104</w:t>
      </w:r>
      <w:r w:rsidR="0006143B" w:rsidRPr="00111B52">
        <w:t>:1993</w:t>
      </w:r>
      <w:r w:rsidR="00810099" w:rsidRPr="00111B52">
        <w:t>) deberá ser inferior a doce (&lt; 12).</w:t>
      </w:r>
    </w:p>
    <w:p w14:paraId="3A025DA3" w14:textId="77777777" w:rsidR="00810099" w:rsidRPr="009D46F7" w:rsidRDefault="00615A32" w:rsidP="00810099">
      <w:pPr>
        <w:pStyle w:val="NORMAL12"/>
      </w:pPr>
      <w:r w:rsidRPr="009D46F7">
        <w:t xml:space="preserve">Se podrán emplear retardadores de fraguado cuando la </w:t>
      </w:r>
      <w:r w:rsidR="00810099" w:rsidRPr="009D46F7">
        <w:t xml:space="preserve">temperatura ambiente durante la extensión de la mezcla supere los treinta grados Celsius (&gt; 30 °C), salvo que el </w:t>
      </w:r>
      <w:proofErr w:type="gramStart"/>
      <w:r w:rsidR="00810099" w:rsidRPr="009D46F7">
        <w:t>Director</w:t>
      </w:r>
      <w:proofErr w:type="gramEnd"/>
      <w:r w:rsidR="00810099" w:rsidRPr="009D46F7">
        <w:t xml:space="preserve"> de las Obras ordene lo contrario.</w:t>
      </w:r>
    </w:p>
    <w:p w14:paraId="07CF177A" w14:textId="77777777" w:rsidR="00810099" w:rsidRPr="009D46F7" w:rsidRDefault="00810099" w:rsidP="000313DD">
      <w:pPr>
        <w:pStyle w:val="TITU2"/>
      </w:pPr>
      <w:bookmarkStart w:id="570" w:name="_Toc404310"/>
      <w:r w:rsidRPr="009D46F7">
        <w:lastRenderedPageBreak/>
        <w:t>513.3. Tipo y composición de la mezcla</w:t>
      </w:r>
      <w:bookmarkEnd w:id="570"/>
    </w:p>
    <w:p w14:paraId="2EC44DF5" w14:textId="77777777" w:rsidR="00615A32" w:rsidRPr="009D46F7" w:rsidRDefault="00615A32" w:rsidP="00615A32">
      <w:pPr>
        <w:pStyle w:val="NORMAL12"/>
        <w:rPr>
          <w:lang w:val="es-ES"/>
        </w:rPr>
      </w:pPr>
      <w:r w:rsidRPr="009D46F7">
        <w:rPr>
          <w:lang w:val="es-ES"/>
        </w:rPr>
        <w:t>Se empleará suelo cemento del tipo SC40</w:t>
      </w:r>
    </w:p>
    <w:p w14:paraId="3BEF710B" w14:textId="77777777" w:rsidR="00615A32" w:rsidRPr="009D46F7" w:rsidRDefault="00BC0F28" w:rsidP="00615A32">
      <w:pPr>
        <w:pStyle w:val="NORMAL12"/>
        <w:rPr>
          <w:lang w:val="es-ES"/>
        </w:rPr>
      </w:pPr>
      <w:r w:rsidRPr="009D46F7">
        <w:rPr>
          <w:lang w:val="es-ES"/>
        </w:rPr>
        <w:t>El uso granulométrico se deberá cumplir:</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710"/>
        <w:gridCol w:w="850"/>
        <w:gridCol w:w="850"/>
        <w:gridCol w:w="849"/>
        <w:gridCol w:w="991"/>
        <w:gridCol w:w="788"/>
        <w:gridCol w:w="788"/>
        <w:gridCol w:w="788"/>
        <w:gridCol w:w="788"/>
        <w:gridCol w:w="784"/>
      </w:tblGrid>
      <w:tr w:rsidR="009D46F7" w:rsidRPr="009D46F7" w14:paraId="0C7D83BA" w14:textId="77777777" w:rsidTr="006B5352">
        <w:trPr>
          <w:trHeight w:val="595"/>
          <w:jc w:val="center"/>
        </w:trPr>
        <w:tc>
          <w:tcPr>
            <w:tcW w:w="846" w:type="pct"/>
            <w:vMerge w:val="restart"/>
            <w:shd w:val="clear" w:color="auto" w:fill="D9D9D9" w:themeFill="background1" w:themeFillShade="D9"/>
          </w:tcPr>
          <w:p w14:paraId="6BD07FF2" w14:textId="77777777" w:rsidR="00810099" w:rsidRPr="00BF7C47" w:rsidRDefault="00810099" w:rsidP="004D147E">
            <w:pPr>
              <w:pStyle w:val="TableParagraph"/>
              <w:spacing w:before="11"/>
              <w:rPr>
                <w:rFonts w:ascii="Arial" w:hAnsi="Arial" w:cs="Arial"/>
                <w:b/>
                <w:sz w:val="16"/>
                <w:szCs w:val="16"/>
                <w:lang w:val="es-ES"/>
              </w:rPr>
            </w:pPr>
          </w:p>
          <w:p w14:paraId="38C955A9" w14:textId="77777777" w:rsidR="00810099" w:rsidRPr="00BF7C47" w:rsidRDefault="00810099" w:rsidP="004D147E">
            <w:pPr>
              <w:pStyle w:val="TableParagraph"/>
              <w:ind w:left="188" w:firstLine="352"/>
              <w:rPr>
                <w:rFonts w:ascii="Arial" w:hAnsi="Arial" w:cs="Arial"/>
                <w:b/>
                <w:sz w:val="16"/>
                <w:szCs w:val="16"/>
              </w:rPr>
            </w:pPr>
            <w:r w:rsidRPr="00BF7C47">
              <w:rPr>
                <w:rFonts w:ascii="Arial" w:hAnsi="Arial" w:cs="Arial"/>
                <w:b/>
                <w:sz w:val="16"/>
                <w:szCs w:val="16"/>
              </w:rPr>
              <w:t xml:space="preserve">Tipo de </w:t>
            </w:r>
            <w:proofErr w:type="spellStart"/>
            <w:r w:rsidRPr="00BF7C47">
              <w:rPr>
                <w:rFonts w:ascii="Arial" w:hAnsi="Arial" w:cs="Arial"/>
                <w:b/>
                <w:sz w:val="16"/>
                <w:szCs w:val="16"/>
              </w:rPr>
              <w:t>Suelocemento</w:t>
            </w:r>
            <w:proofErr w:type="spellEnd"/>
          </w:p>
        </w:tc>
        <w:tc>
          <w:tcPr>
            <w:tcW w:w="4154" w:type="pct"/>
            <w:gridSpan w:val="10"/>
            <w:shd w:val="clear" w:color="auto" w:fill="D9D9D9" w:themeFill="background1" w:themeFillShade="D9"/>
          </w:tcPr>
          <w:p w14:paraId="1EE7F9DB" w14:textId="77777777" w:rsidR="00810099" w:rsidRPr="00BF7C47" w:rsidRDefault="00810099" w:rsidP="004D147E">
            <w:pPr>
              <w:pStyle w:val="TableParagraph"/>
              <w:spacing w:before="91"/>
              <w:ind w:left="1460" w:right="752" w:firstLine="40"/>
              <w:rPr>
                <w:rFonts w:ascii="Arial" w:hAnsi="Arial" w:cs="Arial"/>
                <w:b/>
                <w:sz w:val="16"/>
                <w:szCs w:val="16"/>
                <w:lang w:val="es-ES"/>
              </w:rPr>
            </w:pPr>
            <w:r w:rsidRPr="00BF7C47">
              <w:rPr>
                <w:rFonts w:ascii="Arial" w:hAnsi="Arial" w:cs="Arial"/>
                <w:b/>
                <w:sz w:val="16"/>
                <w:szCs w:val="16"/>
                <w:lang w:val="es-ES"/>
              </w:rPr>
              <w:t xml:space="preserve">Cernido ponderal acumulado (% en masa) </w:t>
            </w:r>
          </w:p>
          <w:p w14:paraId="446908A5" w14:textId="77777777" w:rsidR="00810099" w:rsidRPr="00BF7C47" w:rsidRDefault="00810099" w:rsidP="004D147E">
            <w:pPr>
              <w:pStyle w:val="TableParagraph"/>
              <w:spacing w:before="91"/>
              <w:ind w:left="1460" w:right="752" w:firstLine="40"/>
              <w:rPr>
                <w:rFonts w:ascii="Arial" w:hAnsi="Arial" w:cs="Arial"/>
                <w:b/>
                <w:sz w:val="16"/>
                <w:szCs w:val="16"/>
                <w:lang w:val="es-ES"/>
              </w:rPr>
            </w:pPr>
            <w:r w:rsidRPr="00BF7C47">
              <w:rPr>
                <w:rFonts w:ascii="Arial" w:hAnsi="Arial" w:cs="Arial"/>
                <w:b/>
                <w:sz w:val="16"/>
                <w:szCs w:val="16"/>
                <w:lang w:val="es-ES"/>
              </w:rPr>
              <w:t>Abertura de los tamices une-en 933-2 (mm)</w:t>
            </w:r>
          </w:p>
        </w:tc>
      </w:tr>
      <w:tr w:rsidR="009D46F7" w:rsidRPr="009D46F7" w14:paraId="3211F832" w14:textId="77777777" w:rsidTr="006B5352">
        <w:trPr>
          <w:trHeight w:val="386"/>
          <w:jc w:val="center"/>
        </w:trPr>
        <w:tc>
          <w:tcPr>
            <w:tcW w:w="846" w:type="pct"/>
            <w:vMerge/>
            <w:shd w:val="clear" w:color="auto" w:fill="D9D9D9" w:themeFill="background1" w:themeFillShade="D9"/>
          </w:tcPr>
          <w:p w14:paraId="46332B9F" w14:textId="77777777" w:rsidR="00810099" w:rsidRPr="00BF7C47" w:rsidRDefault="00810099" w:rsidP="004D147E">
            <w:pPr>
              <w:rPr>
                <w:rFonts w:ascii="Arial" w:hAnsi="Arial" w:cs="Arial"/>
                <w:sz w:val="16"/>
                <w:szCs w:val="16"/>
              </w:rPr>
            </w:pPr>
          </w:p>
        </w:tc>
        <w:tc>
          <w:tcPr>
            <w:tcW w:w="360" w:type="pct"/>
            <w:shd w:val="clear" w:color="auto" w:fill="D9D9D9" w:themeFill="background1" w:themeFillShade="D9"/>
          </w:tcPr>
          <w:p w14:paraId="341D3D51" w14:textId="77777777" w:rsidR="00810099" w:rsidRPr="00BF7C47" w:rsidRDefault="00810099" w:rsidP="00BF7C47">
            <w:pPr>
              <w:pStyle w:val="TableParagraph"/>
              <w:spacing w:before="84"/>
              <w:ind w:left="250"/>
              <w:jc w:val="center"/>
              <w:rPr>
                <w:rFonts w:ascii="Arial" w:hAnsi="Arial" w:cs="Arial"/>
                <w:b/>
                <w:sz w:val="16"/>
                <w:szCs w:val="16"/>
              </w:rPr>
            </w:pPr>
            <w:r w:rsidRPr="00BF7C47">
              <w:rPr>
                <w:rFonts w:ascii="Arial" w:hAnsi="Arial" w:cs="Arial"/>
                <w:b/>
                <w:sz w:val="16"/>
                <w:szCs w:val="16"/>
              </w:rPr>
              <w:t>50</w:t>
            </w:r>
          </w:p>
        </w:tc>
        <w:tc>
          <w:tcPr>
            <w:tcW w:w="431" w:type="pct"/>
            <w:shd w:val="clear" w:color="auto" w:fill="D9D9D9" w:themeFill="background1" w:themeFillShade="D9"/>
          </w:tcPr>
          <w:p w14:paraId="60C61BFF" w14:textId="77777777" w:rsidR="00810099" w:rsidRPr="00BF7C47" w:rsidRDefault="00810099" w:rsidP="00BF7C47">
            <w:pPr>
              <w:pStyle w:val="TableParagraph"/>
              <w:spacing w:before="84"/>
              <w:ind w:left="109" w:right="92"/>
              <w:jc w:val="center"/>
              <w:rPr>
                <w:rFonts w:ascii="Arial" w:hAnsi="Arial" w:cs="Arial"/>
                <w:b/>
                <w:sz w:val="16"/>
                <w:szCs w:val="16"/>
              </w:rPr>
            </w:pPr>
            <w:r w:rsidRPr="00BF7C47">
              <w:rPr>
                <w:rFonts w:ascii="Arial" w:hAnsi="Arial" w:cs="Arial"/>
                <w:b/>
                <w:sz w:val="16"/>
                <w:szCs w:val="16"/>
              </w:rPr>
              <w:t>40</w:t>
            </w:r>
          </w:p>
        </w:tc>
        <w:tc>
          <w:tcPr>
            <w:tcW w:w="431" w:type="pct"/>
            <w:shd w:val="clear" w:color="auto" w:fill="D9D9D9" w:themeFill="background1" w:themeFillShade="D9"/>
          </w:tcPr>
          <w:p w14:paraId="2B2D0218" w14:textId="77777777" w:rsidR="00810099" w:rsidRPr="00BF7C47" w:rsidRDefault="00810099" w:rsidP="00BF7C47">
            <w:pPr>
              <w:pStyle w:val="TableParagraph"/>
              <w:spacing w:before="84"/>
              <w:ind w:left="109" w:right="93"/>
              <w:jc w:val="center"/>
              <w:rPr>
                <w:rFonts w:ascii="Arial" w:hAnsi="Arial" w:cs="Arial"/>
                <w:b/>
                <w:sz w:val="16"/>
                <w:szCs w:val="16"/>
              </w:rPr>
            </w:pPr>
            <w:r w:rsidRPr="00BF7C47">
              <w:rPr>
                <w:rFonts w:ascii="Arial" w:hAnsi="Arial" w:cs="Arial"/>
                <w:b/>
                <w:sz w:val="16"/>
                <w:szCs w:val="16"/>
              </w:rPr>
              <w:t>32</w:t>
            </w:r>
          </w:p>
        </w:tc>
        <w:tc>
          <w:tcPr>
            <w:tcW w:w="431" w:type="pct"/>
            <w:shd w:val="clear" w:color="auto" w:fill="D9D9D9" w:themeFill="background1" w:themeFillShade="D9"/>
          </w:tcPr>
          <w:p w14:paraId="78B6213E" w14:textId="77777777" w:rsidR="00810099" w:rsidRPr="00BF7C47" w:rsidRDefault="00810099" w:rsidP="00BF7C47">
            <w:pPr>
              <w:pStyle w:val="TableParagraph"/>
              <w:spacing w:before="84"/>
              <w:ind w:left="109" w:right="95"/>
              <w:jc w:val="center"/>
              <w:rPr>
                <w:rFonts w:ascii="Arial" w:hAnsi="Arial" w:cs="Arial"/>
                <w:b/>
                <w:sz w:val="16"/>
                <w:szCs w:val="16"/>
              </w:rPr>
            </w:pPr>
            <w:r w:rsidRPr="00BF7C47">
              <w:rPr>
                <w:rFonts w:ascii="Arial" w:hAnsi="Arial" w:cs="Arial"/>
                <w:b/>
                <w:sz w:val="16"/>
                <w:szCs w:val="16"/>
              </w:rPr>
              <w:t>20</w:t>
            </w:r>
          </w:p>
        </w:tc>
        <w:tc>
          <w:tcPr>
            <w:tcW w:w="503" w:type="pct"/>
            <w:shd w:val="clear" w:color="auto" w:fill="D9D9D9" w:themeFill="background1" w:themeFillShade="D9"/>
          </w:tcPr>
          <w:p w14:paraId="7E262F25" w14:textId="77777777" w:rsidR="00810099" w:rsidRPr="00BF7C47" w:rsidRDefault="00810099" w:rsidP="00BF7C47">
            <w:pPr>
              <w:pStyle w:val="TableParagraph"/>
              <w:spacing w:before="84"/>
              <w:ind w:left="109" w:right="96"/>
              <w:jc w:val="center"/>
              <w:rPr>
                <w:rFonts w:ascii="Arial" w:hAnsi="Arial" w:cs="Arial"/>
                <w:b/>
                <w:sz w:val="16"/>
                <w:szCs w:val="16"/>
              </w:rPr>
            </w:pPr>
            <w:r w:rsidRPr="00BF7C47">
              <w:rPr>
                <w:rFonts w:ascii="Arial" w:hAnsi="Arial" w:cs="Arial"/>
                <w:b/>
                <w:sz w:val="16"/>
                <w:szCs w:val="16"/>
              </w:rPr>
              <w:t>12,5</w:t>
            </w:r>
          </w:p>
        </w:tc>
        <w:tc>
          <w:tcPr>
            <w:tcW w:w="400" w:type="pct"/>
            <w:shd w:val="clear" w:color="auto" w:fill="D9D9D9" w:themeFill="background1" w:themeFillShade="D9"/>
          </w:tcPr>
          <w:p w14:paraId="19EBA6BD" w14:textId="77777777" w:rsidR="00810099" w:rsidRPr="00BF7C47" w:rsidRDefault="00810099" w:rsidP="00BF7C47">
            <w:pPr>
              <w:pStyle w:val="TableParagraph"/>
              <w:spacing w:before="84"/>
              <w:ind w:left="11"/>
              <w:jc w:val="center"/>
              <w:rPr>
                <w:rFonts w:ascii="Arial" w:hAnsi="Arial" w:cs="Arial"/>
                <w:b/>
                <w:sz w:val="16"/>
                <w:szCs w:val="16"/>
              </w:rPr>
            </w:pPr>
            <w:r w:rsidRPr="00BF7C47">
              <w:rPr>
                <w:rFonts w:ascii="Arial" w:hAnsi="Arial" w:cs="Arial"/>
                <w:b/>
                <w:sz w:val="16"/>
                <w:szCs w:val="16"/>
              </w:rPr>
              <w:t>8</w:t>
            </w:r>
          </w:p>
        </w:tc>
        <w:tc>
          <w:tcPr>
            <w:tcW w:w="400" w:type="pct"/>
            <w:shd w:val="clear" w:color="auto" w:fill="D9D9D9" w:themeFill="background1" w:themeFillShade="D9"/>
          </w:tcPr>
          <w:p w14:paraId="006863BA" w14:textId="77777777" w:rsidR="00810099" w:rsidRPr="00BF7C47" w:rsidRDefault="00810099" w:rsidP="00BF7C47">
            <w:pPr>
              <w:pStyle w:val="TableParagraph"/>
              <w:spacing w:before="84"/>
              <w:ind w:left="10"/>
              <w:jc w:val="center"/>
              <w:rPr>
                <w:rFonts w:ascii="Arial" w:hAnsi="Arial" w:cs="Arial"/>
                <w:b/>
                <w:sz w:val="16"/>
                <w:szCs w:val="16"/>
              </w:rPr>
            </w:pPr>
            <w:r w:rsidRPr="00BF7C47">
              <w:rPr>
                <w:rFonts w:ascii="Arial" w:hAnsi="Arial" w:cs="Arial"/>
                <w:b/>
                <w:sz w:val="16"/>
                <w:szCs w:val="16"/>
              </w:rPr>
              <w:t>4</w:t>
            </w:r>
          </w:p>
        </w:tc>
        <w:tc>
          <w:tcPr>
            <w:tcW w:w="400" w:type="pct"/>
            <w:shd w:val="clear" w:color="auto" w:fill="D9D9D9" w:themeFill="background1" w:themeFillShade="D9"/>
          </w:tcPr>
          <w:p w14:paraId="3FC6797D" w14:textId="77777777" w:rsidR="00810099" w:rsidRPr="00BF7C47" w:rsidRDefault="00810099" w:rsidP="00BF7C47">
            <w:pPr>
              <w:pStyle w:val="TableParagraph"/>
              <w:spacing w:before="84"/>
              <w:ind w:left="8"/>
              <w:jc w:val="center"/>
              <w:rPr>
                <w:rFonts w:ascii="Arial" w:hAnsi="Arial" w:cs="Arial"/>
                <w:b/>
                <w:sz w:val="16"/>
                <w:szCs w:val="16"/>
              </w:rPr>
            </w:pPr>
            <w:r w:rsidRPr="00BF7C47">
              <w:rPr>
                <w:rFonts w:ascii="Arial" w:hAnsi="Arial" w:cs="Arial"/>
                <w:b/>
                <w:sz w:val="16"/>
                <w:szCs w:val="16"/>
              </w:rPr>
              <w:t>2</w:t>
            </w:r>
          </w:p>
        </w:tc>
        <w:tc>
          <w:tcPr>
            <w:tcW w:w="400" w:type="pct"/>
            <w:shd w:val="clear" w:color="auto" w:fill="D9D9D9" w:themeFill="background1" w:themeFillShade="D9"/>
          </w:tcPr>
          <w:p w14:paraId="3C2F7C9D" w14:textId="77777777" w:rsidR="00810099" w:rsidRPr="00BF7C47" w:rsidRDefault="00810099" w:rsidP="00BF7C47">
            <w:pPr>
              <w:pStyle w:val="TableParagraph"/>
              <w:spacing w:before="84"/>
              <w:ind w:left="129"/>
              <w:jc w:val="center"/>
              <w:rPr>
                <w:rFonts w:ascii="Arial" w:hAnsi="Arial" w:cs="Arial"/>
                <w:b/>
                <w:sz w:val="16"/>
                <w:szCs w:val="16"/>
              </w:rPr>
            </w:pPr>
            <w:r w:rsidRPr="00BF7C47">
              <w:rPr>
                <w:rFonts w:ascii="Arial" w:hAnsi="Arial" w:cs="Arial"/>
                <w:b/>
                <w:sz w:val="16"/>
                <w:szCs w:val="16"/>
              </w:rPr>
              <w:t>0,500</w:t>
            </w:r>
          </w:p>
        </w:tc>
        <w:tc>
          <w:tcPr>
            <w:tcW w:w="397" w:type="pct"/>
            <w:shd w:val="clear" w:color="auto" w:fill="D9D9D9" w:themeFill="background1" w:themeFillShade="D9"/>
          </w:tcPr>
          <w:p w14:paraId="04CC70D9" w14:textId="77777777" w:rsidR="00810099" w:rsidRPr="00BF7C47" w:rsidRDefault="00810099" w:rsidP="00BF7C47">
            <w:pPr>
              <w:pStyle w:val="TableParagraph"/>
              <w:spacing w:before="84"/>
              <w:ind w:left="130"/>
              <w:jc w:val="center"/>
              <w:rPr>
                <w:rFonts w:ascii="Arial" w:hAnsi="Arial" w:cs="Arial"/>
                <w:b/>
                <w:sz w:val="16"/>
                <w:szCs w:val="16"/>
              </w:rPr>
            </w:pPr>
            <w:r w:rsidRPr="00BF7C47">
              <w:rPr>
                <w:rFonts w:ascii="Arial" w:hAnsi="Arial" w:cs="Arial"/>
                <w:b/>
                <w:sz w:val="16"/>
                <w:szCs w:val="16"/>
              </w:rPr>
              <w:t>0,063</w:t>
            </w:r>
          </w:p>
        </w:tc>
      </w:tr>
      <w:tr w:rsidR="009D46F7" w:rsidRPr="009D46F7" w14:paraId="556DE770" w14:textId="77777777" w:rsidTr="006B5352">
        <w:trPr>
          <w:trHeight w:val="379"/>
          <w:jc w:val="center"/>
        </w:trPr>
        <w:tc>
          <w:tcPr>
            <w:tcW w:w="846" w:type="pct"/>
          </w:tcPr>
          <w:p w14:paraId="766B54F3" w14:textId="77777777" w:rsidR="00810099" w:rsidRPr="00BF7C47" w:rsidRDefault="00810099" w:rsidP="004D147E">
            <w:pPr>
              <w:pStyle w:val="TableParagraph"/>
              <w:spacing w:before="80"/>
              <w:ind w:left="94"/>
              <w:rPr>
                <w:rFonts w:ascii="Arial" w:hAnsi="Arial" w:cs="Arial"/>
                <w:sz w:val="16"/>
                <w:szCs w:val="16"/>
              </w:rPr>
            </w:pPr>
            <w:r w:rsidRPr="00BF7C47">
              <w:rPr>
                <w:rFonts w:ascii="Arial" w:hAnsi="Arial" w:cs="Arial"/>
                <w:sz w:val="16"/>
                <w:szCs w:val="16"/>
              </w:rPr>
              <w:t>SC40</w:t>
            </w:r>
          </w:p>
        </w:tc>
        <w:tc>
          <w:tcPr>
            <w:tcW w:w="360" w:type="pct"/>
          </w:tcPr>
          <w:p w14:paraId="0EA6F6BA" w14:textId="77777777" w:rsidR="00810099" w:rsidRPr="00BF7C47" w:rsidRDefault="00810099" w:rsidP="00BF7C47">
            <w:pPr>
              <w:pStyle w:val="TableParagraph"/>
              <w:spacing w:before="80"/>
              <w:ind w:left="208"/>
              <w:jc w:val="center"/>
              <w:rPr>
                <w:rFonts w:ascii="Arial" w:hAnsi="Arial" w:cs="Arial"/>
                <w:sz w:val="16"/>
                <w:szCs w:val="16"/>
              </w:rPr>
            </w:pPr>
            <w:r w:rsidRPr="00BF7C47">
              <w:rPr>
                <w:rFonts w:ascii="Arial" w:hAnsi="Arial" w:cs="Arial"/>
                <w:sz w:val="16"/>
                <w:szCs w:val="16"/>
              </w:rPr>
              <w:t>100</w:t>
            </w:r>
          </w:p>
        </w:tc>
        <w:tc>
          <w:tcPr>
            <w:tcW w:w="431" w:type="pct"/>
          </w:tcPr>
          <w:p w14:paraId="3653E835" w14:textId="77777777" w:rsidR="00810099" w:rsidRPr="00BF7C47" w:rsidRDefault="00810099" w:rsidP="00BF7C47">
            <w:pPr>
              <w:pStyle w:val="TableParagraph"/>
              <w:spacing w:before="80"/>
              <w:ind w:left="61" w:right="45"/>
              <w:jc w:val="center"/>
              <w:rPr>
                <w:rFonts w:ascii="Arial" w:hAnsi="Arial" w:cs="Arial"/>
                <w:sz w:val="16"/>
                <w:szCs w:val="16"/>
              </w:rPr>
            </w:pPr>
            <w:r w:rsidRPr="00BF7C47">
              <w:rPr>
                <w:rFonts w:ascii="Arial" w:hAnsi="Arial" w:cs="Arial"/>
                <w:sz w:val="16"/>
                <w:szCs w:val="16"/>
              </w:rPr>
              <w:t>80-100</w:t>
            </w:r>
          </w:p>
        </w:tc>
        <w:tc>
          <w:tcPr>
            <w:tcW w:w="431" w:type="pct"/>
          </w:tcPr>
          <w:p w14:paraId="4BFFFA4B" w14:textId="77777777" w:rsidR="00810099" w:rsidRPr="00BF7C47" w:rsidRDefault="00810099" w:rsidP="00BF7C47">
            <w:pPr>
              <w:pStyle w:val="TableParagraph"/>
              <w:spacing w:before="80"/>
              <w:ind w:left="61" w:right="46"/>
              <w:jc w:val="center"/>
              <w:rPr>
                <w:rFonts w:ascii="Arial" w:hAnsi="Arial" w:cs="Arial"/>
                <w:sz w:val="16"/>
                <w:szCs w:val="16"/>
              </w:rPr>
            </w:pPr>
            <w:r w:rsidRPr="00BF7C47">
              <w:rPr>
                <w:rFonts w:ascii="Arial" w:hAnsi="Arial" w:cs="Arial"/>
                <w:sz w:val="16"/>
                <w:szCs w:val="16"/>
              </w:rPr>
              <w:t>75-100</w:t>
            </w:r>
          </w:p>
        </w:tc>
        <w:tc>
          <w:tcPr>
            <w:tcW w:w="431" w:type="pct"/>
          </w:tcPr>
          <w:p w14:paraId="3631DC33" w14:textId="77777777" w:rsidR="00810099" w:rsidRPr="00BF7C47" w:rsidRDefault="00810099" w:rsidP="00BF7C47">
            <w:pPr>
              <w:pStyle w:val="TableParagraph"/>
              <w:spacing w:before="80"/>
              <w:ind w:left="61" w:right="48"/>
              <w:jc w:val="center"/>
              <w:rPr>
                <w:rFonts w:ascii="Arial" w:hAnsi="Arial" w:cs="Arial"/>
                <w:sz w:val="16"/>
                <w:szCs w:val="16"/>
              </w:rPr>
            </w:pPr>
            <w:r w:rsidRPr="00BF7C47">
              <w:rPr>
                <w:rFonts w:ascii="Arial" w:hAnsi="Arial" w:cs="Arial"/>
                <w:sz w:val="16"/>
                <w:szCs w:val="16"/>
              </w:rPr>
              <w:t>62-100</w:t>
            </w:r>
          </w:p>
        </w:tc>
        <w:tc>
          <w:tcPr>
            <w:tcW w:w="503" w:type="pct"/>
          </w:tcPr>
          <w:p w14:paraId="31D958E9" w14:textId="77777777" w:rsidR="00810099" w:rsidRPr="00BF7C47" w:rsidRDefault="00810099" w:rsidP="00BF7C47">
            <w:pPr>
              <w:pStyle w:val="TableParagraph"/>
              <w:spacing w:before="80"/>
              <w:ind w:left="61" w:right="49"/>
              <w:jc w:val="center"/>
              <w:rPr>
                <w:rFonts w:ascii="Arial" w:hAnsi="Arial" w:cs="Arial"/>
                <w:sz w:val="16"/>
                <w:szCs w:val="16"/>
              </w:rPr>
            </w:pPr>
            <w:r w:rsidRPr="00BF7C47">
              <w:rPr>
                <w:rFonts w:ascii="Arial" w:hAnsi="Arial" w:cs="Arial"/>
                <w:sz w:val="16"/>
                <w:szCs w:val="16"/>
              </w:rPr>
              <w:t>53-100</w:t>
            </w:r>
          </w:p>
        </w:tc>
        <w:tc>
          <w:tcPr>
            <w:tcW w:w="400" w:type="pct"/>
          </w:tcPr>
          <w:p w14:paraId="7A34A7F3" w14:textId="77777777" w:rsidR="00810099" w:rsidRPr="00BF7C47" w:rsidRDefault="00810099" w:rsidP="00BF7C47">
            <w:pPr>
              <w:pStyle w:val="TableParagraph"/>
              <w:spacing w:before="80"/>
              <w:ind w:left="59" w:right="49"/>
              <w:jc w:val="center"/>
              <w:rPr>
                <w:rFonts w:ascii="Arial" w:hAnsi="Arial" w:cs="Arial"/>
                <w:sz w:val="16"/>
                <w:szCs w:val="16"/>
              </w:rPr>
            </w:pPr>
            <w:r w:rsidRPr="00BF7C47">
              <w:rPr>
                <w:rFonts w:ascii="Arial" w:hAnsi="Arial" w:cs="Arial"/>
                <w:sz w:val="16"/>
                <w:szCs w:val="16"/>
              </w:rPr>
              <w:t>45-89</w:t>
            </w:r>
          </w:p>
        </w:tc>
        <w:tc>
          <w:tcPr>
            <w:tcW w:w="400" w:type="pct"/>
          </w:tcPr>
          <w:p w14:paraId="511C1627" w14:textId="77777777" w:rsidR="00810099" w:rsidRPr="00BF7C47" w:rsidRDefault="00810099" w:rsidP="00BF7C47">
            <w:pPr>
              <w:pStyle w:val="TableParagraph"/>
              <w:spacing w:before="80"/>
              <w:ind w:left="58" w:right="49"/>
              <w:jc w:val="center"/>
              <w:rPr>
                <w:rFonts w:ascii="Arial" w:hAnsi="Arial" w:cs="Arial"/>
                <w:sz w:val="16"/>
                <w:szCs w:val="16"/>
              </w:rPr>
            </w:pPr>
            <w:r w:rsidRPr="00BF7C47">
              <w:rPr>
                <w:rFonts w:ascii="Arial" w:hAnsi="Arial" w:cs="Arial"/>
                <w:sz w:val="16"/>
                <w:szCs w:val="16"/>
              </w:rPr>
              <w:t>30-65</w:t>
            </w:r>
          </w:p>
        </w:tc>
        <w:tc>
          <w:tcPr>
            <w:tcW w:w="400" w:type="pct"/>
          </w:tcPr>
          <w:p w14:paraId="3D8AC031" w14:textId="77777777" w:rsidR="00810099" w:rsidRPr="00BF7C47" w:rsidRDefault="00810099" w:rsidP="00BF7C47">
            <w:pPr>
              <w:pStyle w:val="TableParagraph"/>
              <w:spacing w:before="80"/>
              <w:ind w:left="56" w:right="49"/>
              <w:jc w:val="center"/>
              <w:rPr>
                <w:rFonts w:ascii="Arial" w:hAnsi="Arial" w:cs="Arial"/>
                <w:sz w:val="16"/>
                <w:szCs w:val="16"/>
              </w:rPr>
            </w:pPr>
            <w:r w:rsidRPr="00BF7C47">
              <w:rPr>
                <w:rFonts w:ascii="Arial" w:hAnsi="Arial" w:cs="Arial"/>
                <w:sz w:val="16"/>
                <w:szCs w:val="16"/>
              </w:rPr>
              <w:t>20-52</w:t>
            </w:r>
          </w:p>
        </w:tc>
        <w:tc>
          <w:tcPr>
            <w:tcW w:w="400" w:type="pct"/>
          </w:tcPr>
          <w:p w14:paraId="0EFBF278" w14:textId="77777777" w:rsidR="00810099" w:rsidRPr="00BF7C47" w:rsidRDefault="00810099" w:rsidP="00BF7C47">
            <w:pPr>
              <w:pStyle w:val="TableParagraph"/>
              <w:spacing w:before="80"/>
              <w:ind w:left="173"/>
              <w:jc w:val="center"/>
              <w:rPr>
                <w:rFonts w:ascii="Arial" w:hAnsi="Arial" w:cs="Arial"/>
                <w:sz w:val="16"/>
                <w:szCs w:val="16"/>
              </w:rPr>
            </w:pPr>
            <w:r w:rsidRPr="00BF7C47">
              <w:rPr>
                <w:rFonts w:ascii="Arial" w:hAnsi="Arial" w:cs="Arial"/>
                <w:sz w:val="16"/>
                <w:szCs w:val="16"/>
              </w:rPr>
              <w:t>5-37</w:t>
            </w:r>
          </w:p>
        </w:tc>
        <w:tc>
          <w:tcPr>
            <w:tcW w:w="397" w:type="pct"/>
          </w:tcPr>
          <w:p w14:paraId="729190D3" w14:textId="77777777" w:rsidR="00810099" w:rsidRPr="00BF7C47" w:rsidRDefault="00810099" w:rsidP="00BF7C47">
            <w:pPr>
              <w:pStyle w:val="TableParagraph"/>
              <w:spacing w:before="80"/>
              <w:ind w:left="172"/>
              <w:jc w:val="center"/>
              <w:rPr>
                <w:rFonts w:ascii="Arial" w:hAnsi="Arial" w:cs="Arial"/>
                <w:sz w:val="16"/>
                <w:szCs w:val="16"/>
              </w:rPr>
            </w:pPr>
            <w:r w:rsidRPr="00BF7C47">
              <w:rPr>
                <w:rFonts w:ascii="Arial" w:hAnsi="Arial" w:cs="Arial"/>
                <w:sz w:val="16"/>
                <w:szCs w:val="16"/>
              </w:rPr>
              <w:t>2-20</w:t>
            </w:r>
          </w:p>
        </w:tc>
      </w:tr>
    </w:tbl>
    <w:p w14:paraId="74548608" w14:textId="77777777" w:rsidR="00BC0F28" w:rsidRPr="009D46F7" w:rsidRDefault="00810099" w:rsidP="00810099">
      <w:pPr>
        <w:pStyle w:val="NORMAL12"/>
      </w:pPr>
      <w:r w:rsidRPr="009D46F7">
        <w:t xml:space="preserve">El contenido mínimo de cemento del </w:t>
      </w:r>
      <w:proofErr w:type="spellStart"/>
      <w:r w:rsidRPr="009D46F7">
        <w:t>suelocemento</w:t>
      </w:r>
      <w:proofErr w:type="spellEnd"/>
      <w:r w:rsidRPr="009D46F7">
        <w:t xml:space="preserve"> será tal que permita la consecución de las resistencias </w:t>
      </w:r>
      <w:r w:rsidR="00BC0F28" w:rsidRPr="009D46F7">
        <w:t xml:space="preserve">mínima para calzadas y arcenes </w:t>
      </w:r>
      <w:r w:rsidR="00BC0F28" w:rsidRPr="00050087">
        <w:t xml:space="preserve">de dos con cinco (2,5) </w:t>
      </w:r>
      <w:proofErr w:type="spellStart"/>
      <w:r w:rsidR="00BC0F28" w:rsidRPr="00050087">
        <w:t>Megapascales</w:t>
      </w:r>
      <w:proofErr w:type="spellEnd"/>
      <w:r w:rsidR="00BC0F28" w:rsidRPr="00050087">
        <w:t xml:space="preserve"> ni superior a </w:t>
      </w:r>
      <w:r w:rsidR="00D1013C" w:rsidRPr="00050087">
        <w:t xml:space="preserve">cuatro con cinco </w:t>
      </w:r>
      <w:r w:rsidR="00BC0F28" w:rsidRPr="00050087">
        <w:t>(</w:t>
      </w:r>
      <w:r w:rsidR="00D1013C" w:rsidRPr="00050087">
        <w:t>4,5</w:t>
      </w:r>
      <w:r w:rsidR="00BC0F28" w:rsidRPr="00050087">
        <w:t xml:space="preserve">) </w:t>
      </w:r>
      <w:proofErr w:type="spellStart"/>
      <w:r w:rsidR="00BC0F28" w:rsidRPr="00050087">
        <w:t>Megapascales</w:t>
      </w:r>
      <w:proofErr w:type="spellEnd"/>
      <w:r w:rsidR="00BC0F28" w:rsidRPr="00050087">
        <w:t xml:space="preserve"> a los siete días.</w:t>
      </w:r>
    </w:p>
    <w:p w14:paraId="69A6D2A5" w14:textId="77777777" w:rsidR="00810099" w:rsidRDefault="00810099" w:rsidP="00810099">
      <w:pPr>
        <w:pStyle w:val="NORMAL12"/>
      </w:pPr>
      <w:r w:rsidRPr="009D46F7">
        <w:t xml:space="preserve">En cualquier </w:t>
      </w:r>
      <w:proofErr w:type="gramStart"/>
      <w:r w:rsidRPr="009D46F7">
        <w:t>caso</w:t>
      </w:r>
      <w:proofErr w:type="gramEnd"/>
      <w:r w:rsidRPr="009D46F7">
        <w:t xml:space="preserve"> dicho contenido no será inferior al tres por ciento (3%) en masa, respecto del total del material granular en seco.</w:t>
      </w:r>
      <w:r w:rsidR="00BF7C47">
        <w:t xml:space="preserve">  Se emplea una dotación de doscientos (200) kilogramos de cementos por metro cúbico de suelo cemento. </w:t>
      </w:r>
      <w:r w:rsidR="00BF7C47">
        <w:rPr>
          <w:lang w:val="es-ES"/>
        </w:rPr>
        <w:t>Considerando una densidad del suelo de 1,4 t/m</w:t>
      </w:r>
      <w:r w:rsidR="00BF7C47" w:rsidRPr="00266DCA">
        <w:rPr>
          <w:vertAlign w:val="superscript"/>
          <w:lang w:val="es-ES"/>
        </w:rPr>
        <w:t>3</w:t>
      </w:r>
      <w:r w:rsidR="00BF7C47">
        <w:rPr>
          <w:lang w:val="es-ES"/>
        </w:rPr>
        <w:t>, el porcentaje de conglomerante hidráulico en masa del suelo seco es de catorce con veintiocho por ciento (14,28 %), superior al tres por ciento (3 %) exigido en el PG-3</w:t>
      </w:r>
      <w:r w:rsidR="007B4914">
        <w:rPr>
          <w:lang w:val="es-ES"/>
        </w:rPr>
        <w:t>.</w:t>
      </w:r>
    </w:p>
    <w:p w14:paraId="3FEBF9F4" w14:textId="77777777" w:rsidR="00BC0F28" w:rsidRPr="00111B52" w:rsidRDefault="00810099" w:rsidP="00810099">
      <w:pPr>
        <w:pStyle w:val="NORMAL12"/>
      </w:pPr>
      <w:r w:rsidRPr="009D46F7">
        <w:t xml:space="preserve">El periodo de trabajabilidad de una mezcla con </w:t>
      </w:r>
      <w:r w:rsidRPr="00111B52">
        <w:t>cemento, determinado a la temperatura máxima esperada durante la puesta en obra (norma UNE-EN 13286-45</w:t>
      </w:r>
      <w:r w:rsidR="0006143B" w:rsidRPr="00111B52">
        <w:t>:2004</w:t>
      </w:r>
      <w:r w:rsidRPr="00111B52">
        <w:t xml:space="preserve">), no deberá ser inferior </w:t>
      </w:r>
      <w:r w:rsidR="00BC0F28" w:rsidRPr="00111B52">
        <w:t>a 3 horas.</w:t>
      </w:r>
    </w:p>
    <w:p w14:paraId="5AE0E2B3" w14:textId="77777777" w:rsidR="00BC0F28" w:rsidRPr="009D46F7" w:rsidRDefault="00BC0F28" w:rsidP="00810099">
      <w:pPr>
        <w:pStyle w:val="NORMAL12"/>
      </w:pPr>
      <w:r w:rsidRPr="00111B52">
        <w:t>El espesor mínimo de la capa de suelo cemento debe ser mayor de veinte</w:t>
      </w:r>
      <w:r w:rsidRPr="009D46F7">
        <w:t xml:space="preserve"> (20) centímetros.</w:t>
      </w:r>
    </w:p>
    <w:p w14:paraId="0065DDCC" w14:textId="77777777" w:rsidR="00810099" w:rsidRDefault="00810099" w:rsidP="000313DD">
      <w:pPr>
        <w:pStyle w:val="TITU2"/>
      </w:pPr>
      <w:bookmarkStart w:id="571" w:name="_Toc404311"/>
      <w:r w:rsidRPr="009D46F7">
        <w:t>513.4. Equipo necesario para la ejecución de las obras</w:t>
      </w:r>
      <w:bookmarkEnd w:id="571"/>
    </w:p>
    <w:p w14:paraId="5EFA9CBF" w14:textId="77777777" w:rsidR="00B04240" w:rsidRDefault="00B04240" w:rsidP="00B04240">
      <w:pPr>
        <w:pStyle w:val="TITU3"/>
        <w:numPr>
          <w:ilvl w:val="0"/>
          <w:numId w:val="0"/>
        </w:numPr>
        <w:outlineLvl w:val="9"/>
      </w:pPr>
      <w:r>
        <w:t>513.4.2. Central de fabricación</w:t>
      </w:r>
    </w:p>
    <w:p w14:paraId="4F5C29B9" w14:textId="77777777" w:rsidR="009060E2" w:rsidRPr="009060E2" w:rsidRDefault="009060E2" w:rsidP="009060E2">
      <w:pPr>
        <w:pStyle w:val="NORMAL12"/>
        <w:rPr>
          <w:lang w:val="es-ES"/>
        </w:rPr>
      </w:pPr>
      <w:r w:rsidRPr="00A73BE8">
        <w:rPr>
          <w:lang w:val="es-ES"/>
        </w:rPr>
        <w:t>La producción mínima de la centr</w:t>
      </w:r>
      <w:r w:rsidR="00A73BE8" w:rsidRPr="00A73BE8">
        <w:rPr>
          <w:lang w:val="es-ES"/>
        </w:rPr>
        <w:t xml:space="preserve">al de fabricación será igual al volumen previsto para ejecutar en obra en </w:t>
      </w:r>
      <w:r w:rsidR="0026195C">
        <w:rPr>
          <w:lang w:val="es-ES"/>
        </w:rPr>
        <w:t>dos días</w:t>
      </w:r>
      <w:r w:rsidR="00A73BE8" w:rsidRPr="00A73BE8">
        <w:rPr>
          <w:lang w:val="es-ES"/>
        </w:rPr>
        <w:t>.</w:t>
      </w:r>
    </w:p>
    <w:p w14:paraId="1DB97A5F" w14:textId="77777777" w:rsidR="009060E2" w:rsidRDefault="009060E2" w:rsidP="009060E2">
      <w:pPr>
        <w:pStyle w:val="NORMAL12"/>
        <w:rPr>
          <w:lang w:val="es-ES"/>
        </w:rPr>
      </w:pPr>
      <w:r>
        <w:rPr>
          <w:lang w:val="es-ES"/>
        </w:rPr>
        <w:t xml:space="preserve">Los sistemas de dosificación de los materiales </w:t>
      </w:r>
      <w:r w:rsidR="00DA4AF2">
        <w:rPr>
          <w:lang w:val="es-ES"/>
        </w:rPr>
        <w:t xml:space="preserve">serán volumétricos. El </w:t>
      </w:r>
      <w:proofErr w:type="gramStart"/>
      <w:r w:rsidR="00DA4AF2">
        <w:rPr>
          <w:lang w:val="es-ES"/>
        </w:rPr>
        <w:t>Director</w:t>
      </w:r>
      <w:proofErr w:type="gramEnd"/>
      <w:r w:rsidR="00DA4AF2">
        <w:rPr>
          <w:lang w:val="es-ES"/>
        </w:rPr>
        <w:t xml:space="preserve"> de Obra podrá exigir la utilización de sistemas de dosificación de las fracciones de árido y </w:t>
      </w:r>
      <w:proofErr w:type="gramStart"/>
      <w:r w:rsidR="00DA4AF2">
        <w:rPr>
          <w:lang w:val="es-ES"/>
        </w:rPr>
        <w:t>cemento ponderales</w:t>
      </w:r>
      <w:proofErr w:type="gramEnd"/>
      <w:r w:rsidR="00DA4AF2">
        <w:rPr>
          <w:lang w:val="es-ES"/>
        </w:rPr>
        <w:t>.</w:t>
      </w:r>
    </w:p>
    <w:p w14:paraId="6F985205" w14:textId="77777777" w:rsidR="00B04240" w:rsidRDefault="00B04240" w:rsidP="00810099">
      <w:pPr>
        <w:pStyle w:val="NORMAL12"/>
      </w:pPr>
    </w:p>
    <w:p w14:paraId="418F7CE8" w14:textId="77777777" w:rsidR="00B04240" w:rsidRDefault="00B04240" w:rsidP="00B04240">
      <w:pPr>
        <w:pStyle w:val="TITU3"/>
        <w:numPr>
          <w:ilvl w:val="0"/>
          <w:numId w:val="0"/>
        </w:numPr>
        <w:outlineLvl w:val="3"/>
      </w:pPr>
      <w:r>
        <w:t>513.4.4. Equipo de extensión</w:t>
      </w:r>
    </w:p>
    <w:p w14:paraId="38B7AA1F" w14:textId="77777777" w:rsidR="00810099" w:rsidRPr="009D46F7" w:rsidRDefault="00BC0F28" w:rsidP="00810099">
      <w:pPr>
        <w:pStyle w:val="NORMAL12"/>
      </w:pPr>
      <w:r w:rsidRPr="009D46F7">
        <w:t xml:space="preserve">El </w:t>
      </w:r>
      <w:proofErr w:type="gramStart"/>
      <w:r w:rsidRPr="009D46F7">
        <w:t>Director</w:t>
      </w:r>
      <w:proofErr w:type="gramEnd"/>
      <w:r w:rsidRPr="009D46F7">
        <w:t xml:space="preserve"> de Obra debe aprobar el sistema propuesto por el contratista</w:t>
      </w:r>
      <w:r w:rsidR="009060E2">
        <w:t xml:space="preserve"> para la ejecución de las obras.</w:t>
      </w:r>
    </w:p>
    <w:p w14:paraId="790638EE" w14:textId="77777777" w:rsidR="00810099" w:rsidRPr="009D46F7" w:rsidRDefault="00810099" w:rsidP="0026195C">
      <w:pPr>
        <w:pStyle w:val="TITU3"/>
        <w:numPr>
          <w:ilvl w:val="0"/>
          <w:numId w:val="0"/>
        </w:numPr>
        <w:outlineLvl w:val="3"/>
      </w:pPr>
      <w:r w:rsidRPr="009D46F7">
        <w:t>513.4.6. Equipo para la ejecución de la junta longitudinal y las transversales en fresco</w:t>
      </w:r>
    </w:p>
    <w:p w14:paraId="7EC30236" w14:textId="77777777" w:rsidR="00810099" w:rsidRPr="009D46F7" w:rsidRDefault="00810099" w:rsidP="00810099">
      <w:pPr>
        <w:pStyle w:val="NORMAL12"/>
      </w:pPr>
      <w:r w:rsidRPr="009D46F7">
        <w:t>Para la ejecución de la junta longitudinal y las transversales en fresco, se utilizarán equipos automotrices que efectúen en cada pasada un surco vertical que penetre al menos dos tercios (2/3) del espesor de la capa y que al mismo tiempo introduzca en él un producto adecuado para impedir que los bordes de la junta se unan de nuevo. Este producto podrá consistir en una emulsión bituminosa de rotura rápida</w:t>
      </w:r>
      <w:r w:rsidR="00BC0F28" w:rsidRPr="009D46F7">
        <w:t>.</w:t>
      </w:r>
    </w:p>
    <w:p w14:paraId="1A38C648" w14:textId="77777777" w:rsidR="00810099" w:rsidRPr="009D46F7" w:rsidRDefault="00810099" w:rsidP="000313DD">
      <w:pPr>
        <w:pStyle w:val="TITU2"/>
      </w:pPr>
      <w:bookmarkStart w:id="572" w:name="_Toc404312"/>
      <w:r w:rsidRPr="009D46F7">
        <w:t>513.5. Ejecución de las obras</w:t>
      </w:r>
      <w:bookmarkEnd w:id="572"/>
    </w:p>
    <w:p w14:paraId="0F1B8AF5" w14:textId="77777777" w:rsidR="00810099" w:rsidRPr="009D46F7" w:rsidRDefault="00810099" w:rsidP="002C0CF3">
      <w:pPr>
        <w:pStyle w:val="TITU3"/>
        <w:numPr>
          <w:ilvl w:val="0"/>
          <w:numId w:val="0"/>
        </w:numPr>
        <w:outlineLvl w:val="9"/>
      </w:pPr>
      <w:r w:rsidRPr="009D46F7">
        <w:t>513.5.1. Estudio de la mezcla y obtención de la fórmula de trabajo</w:t>
      </w:r>
    </w:p>
    <w:p w14:paraId="2EAE8177" w14:textId="77777777" w:rsidR="00877778" w:rsidRPr="009D46F7" w:rsidRDefault="00877778" w:rsidP="00810099">
      <w:pPr>
        <w:pStyle w:val="NORMAL12"/>
      </w:pPr>
      <w:r w:rsidRPr="009D46F7">
        <w:t>Antes de iniciar la puesta en obra del suelo cemento se debe haber aprobado la correspondiente fórmula de trabajo.</w:t>
      </w:r>
    </w:p>
    <w:p w14:paraId="77A98F5D" w14:textId="77777777" w:rsidR="00877778" w:rsidRPr="009D46F7" w:rsidRDefault="00810099" w:rsidP="00810099">
      <w:pPr>
        <w:pStyle w:val="NORMAL12"/>
      </w:pPr>
      <w:r w:rsidRPr="009D46F7">
        <w:t xml:space="preserve">Las tolerancias admisibles respecto a la fórmula de trabajo </w:t>
      </w:r>
      <w:r w:rsidR="00877778" w:rsidRPr="009D46F7">
        <w:t>son las indicadas en la tabla siguiente: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3329"/>
        <w:gridCol w:w="2627"/>
        <w:gridCol w:w="1805"/>
      </w:tblGrid>
      <w:tr w:rsidR="005864C2" w:rsidRPr="0000436B" w14:paraId="448CBF69" w14:textId="77777777" w:rsidTr="00050087">
        <w:trPr>
          <w:trHeight w:val="374"/>
          <w:tblHeader/>
          <w:jc w:val="center"/>
        </w:trPr>
        <w:tc>
          <w:tcPr>
            <w:tcW w:w="2751" w:type="pct"/>
            <w:gridSpan w:val="2"/>
            <w:shd w:val="clear" w:color="auto" w:fill="D9D9D9" w:themeFill="background1" w:themeFillShade="D9"/>
          </w:tcPr>
          <w:p w14:paraId="3EEDDA85" w14:textId="77777777" w:rsidR="00810099" w:rsidRPr="0000436B" w:rsidRDefault="00810099" w:rsidP="0000436B">
            <w:pPr>
              <w:pStyle w:val="TableParagraph"/>
              <w:spacing w:before="86"/>
              <w:ind w:right="1398"/>
              <w:jc w:val="center"/>
              <w:rPr>
                <w:rFonts w:ascii="Arial" w:hAnsi="Arial" w:cs="Arial"/>
                <w:b/>
                <w:sz w:val="20"/>
                <w:szCs w:val="20"/>
              </w:rPr>
            </w:pPr>
            <w:proofErr w:type="spellStart"/>
            <w:r w:rsidRPr="0000436B">
              <w:rPr>
                <w:rFonts w:ascii="Arial" w:hAnsi="Arial" w:cs="Arial"/>
                <w:b/>
                <w:sz w:val="20"/>
                <w:szCs w:val="20"/>
              </w:rPr>
              <w:t>Características</w:t>
            </w:r>
            <w:proofErr w:type="spellEnd"/>
          </w:p>
        </w:tc>
        <w:tc>
          <w:tcPr>
            <w:tcW w:w="1333" w:type="pct"/>
            <w:shd w:val="clear" w:color="auto" w:fill="D9D9D9" w:themeFill="background1" w:themeFillShade="D9"/>
          </w:tcPr>
          <w:p w14:paraId="45E50458" w14:textId="77777777" w:rsidR="00810099" w:rsidRPr="0000436B" w:rsidRDefault="00810099" w:rsidP="0000436B">
            <w:pPr>
              <w:pStyle w:val="TableParagraph"/>
              <w:spacing w:before="86"/>
              <w:ind w:left="126" w:right="109"/>
              <w:jc w:val="center"/>
              <w:rPr>
                <w:rFonts w:ascii="Arial" w:hAnsi="Arial" w:cs="Arial"/>
                <w:b/>
                <w:sz w:val="20"/>
                <w:szCs w:val="20"/>
              </w:rPr>
            </w:pPr>
            <w:r w:rsidRPr="0000436B">
              <w:rPr>
                <w:rFonts w:ascii="Arial" w:hAnsi="Arial" w:cs="Arial"/>
                <w:b/>
                <w:sz w:val="20"/>
                <w:szCs w:val="20"/>
              </w:rPr>
              <w:t>Unidad</w:t>
            </w:r>
          </w:p>
        </w:tc>
        <w:tc>
          <w:tcPr>
            <w:tcW w:w="916" w:type="pct"/>
            <w:shd w:val="clear" w:color="auto" w:fill="D9D9D9" w:themeFill="background1" w:themeFillShade="D9"/>
          </w:tcPr>
          <w:p w14:paraId="7DE4909C" w14:textId="77777777" w:rsidR="00810099" w:rsidRPr="0000436B" w:rsidRDefault="00810099" w:rsidP="0000436B">
            <w:pPr>
              <w:pStyle w:val="TableParagraph"/>
              <w:spacing w:before="86"/>
              <w:ind w:left="192"/>
              <w:jc w:val="center"/>
              <w:rPr>
                <w:rFonts w:ascii="Arial" w:hAnsi="Arial" w:cs="Arial"/>
                <w:b/>
                <w:sz w:val="20"/>
                <w:szCs w:val="20"/>
              </w:rPr>
            </w:pPr>
            <w:proofErr w:type="spellStart"/>
            <w:r w:rsidRPr="0000436B">
              <w:rPr>
                <w:rFonts w:ascii="Arial" w:hAnsi="Arial" w:cs="Arial"/>
                <w:b/>
                <w:sz w:val="20"/>
                <w:szCs w:val="20"/>
              </w:rPr>
              <w:t>Tolerancia</w:t>
            </w:r>
            <w:proofErr w:type="spellEnd"/>
          </w:p>
        </w:tc>
      </w:tr>
      <w:tr w:rsidR="005864C2" w:rsidRPr="0000436B" w14:paraId="25B9AA5F" w14:textId="77777777" w:rsidTr="00050087">
        <w:trPr>
          <w:trHeight w:val="367"/>
          <w:jc w:val="center"/>
        </w:trPr>
        <w:tc>
          <w:tcPr>
            <w:tcW w:w="1062" w:type="pct"/>
            <w:vMerge w:val="restart"/>
            <w:vAlign w:val="center"/>
          </w:tcPr>
          <w:p w14:paraId="6697FA08" w14:textId="77777777" w:rsidR="00810099" w:rsidRPr="0000436B" w:rsidRDefault="00810099" w:rsidP="00BF7C47">
            <w:pPr>
              <w:pStyle w:val="TableParagraph"/>
              <w:spacing w:line="302" w:lineRule="auto"/>
              <w:ind w:right="136"/>
              <w:jc w:val="center"/>
              <w:rPr>
                <w:rFonts w:ascii="Arial" w:hAnsi="Arial" w:cs="Arial"/>
                <w:sz w:val="20"/>
                <w:szCs w:val="20"/>
              </w:rPr>
            </w:pPr>
            <w:proofErr w:type="spellStart"/>
            <w:r w:rsidRPr="0000436B">
              <w:rPr>
                <w:rFonts w:ascii="Arial" w:hAnsi="Arial" w:cs="Arial"/>
                <w:sz w:val="20"/>
                <w:szCs w:val="20"/>
              </w:rPr>
              <w:t>Cernido</w:t>
            </w:r>
            <w:proofErr w:type="spellEnd"/>
            <w:r w:rsidRPr="0000436B">
              <w:rPr>
                <w:rFonts w:ascii="Arial" w:hAnsi="Arial" w:cs="Arial"/>
                <w:sz w:val="20"/>
                <w:szCs w:val="20"/>
              </w:rPr>
              <w:t xml:space="preserve"> </w:t>
            </w:r>
            <w:proofErr w:type="spellStart"/>
            <w:r w:rsidRPr="0000436B">
              <w:rPr>
                <w:rFonts w:ascii="Arial" w:hAnsi="Arial" w:cs="Arial"/>
                <w:sz w:val="20"/>
                <w:szCs w:val="20"/>
              </w:rPr>
              <w:t>tamices</w:t>
            </w:r>
            <w:proofErr w:type="spellEnd"/>
            <w:r w:rsidRPr="0000436B">
              <w:rPr>
                <w:rFonts w:ascii="Arial" w:hAnsi="Arial" w:cs="Arial"/>
                <w:sz w:val="20"/>
                <w:szCs w:val="20"/>
              </w:rPr>
              <w:t xml:space="preserve"> (UNE-EN 933-2)</w:t>
            </w:r>
          </w:p>
        </w:tc>
        <w:tc>
          <w:tcPr>
            <w:tcW w:w="1689" w:type="pct"/>
          </w:tcPr>
          <w:p w14:paraId="6F5FEB68" w14:textId="77777777" w:rsidR="00810099" w:rsidRPr="0000436B" w:rsidRDefault="00810099" w:rsidP="004D147E">
            <w:pPr>
              <w:pStyle w:val="TableParagraph"/>
              <w:spacing w:before="77"/>
              <w:ind w:left="123"/>
              <w:rPr>
                <w:rFonts w:ascii="Arial" w:hAnsi="Arial" w:cs="Arial"/>
                <w:sz w:val="20"/>
                <w:szCs w:val="20"/>
              </w:rPr>
            </w:pPr>
            <w:proofErr w:type="spellStart"/>
            <w:r w:rsidRPr="0000436B">
              <w:rPr>
                <w:rFonts w:ascii="Arial" w:hAnsi="Arial" w:cs="Arial"/>
                <w:sz w:val="20"/>
                <w:szCs w:val="20"/>
              </w:rPr>
              <w:t>Tamaño</w:t>
            </w:r>
            <w:proofErr w:type="spellEnd"/>
            <w:r w:rsidRPr="0000436B">
              <w:rPr>
                <w:rFonts w:ascii="Arial" w:hAnsi="Arial" w:cs="Arial"/>
                <w:sz w:val="20"/>
                <w:szCs w:val="20"/>
              </w:rPr>
              <w:t xml:space="preserve"> </w:t>
            </w:r>
            <w:proofErr w:type="spellStart"/>
            <w:r w:rsidRPr="0000436B">
              <w:rPr>
                <w:rFonts w:ascii="Arial" w:hAnsi="Arial" w:cs="Arial"/>
                <w:sz w:val="20"/>
                <w:szCs w:val="20"/>
              </w:rPr>
              <w:t>máximo</w:t>
            </w:r>
            <w:proofErr w:type="spellEnd"/>
          </w:p>
        </w:tc>
        <w:tc>
          <w:tcPr>
            <w:tcW w:w="1333" w:type="pct"/>
            <w:vMerge w:val="restart"/>
          </w:tcPr>
          <w:p w14:paraId="4DD6E134" w14:textId="77777777" w:rsidR="00810099" w:rsidRPr="0000436B" w:rsidRDefault="00810099" w:rsidP="004D147E">
            <w:pPr>
              <w:pStyle w:val="TableParagraph"/>
              <w:rPr>
                <w:rFonts w:ascii="Arial" w:hAnsi="Arial" w:cs="Arial"/>
                <w:b/>
                <w:sz w:val="20"/>
                <w:szCs w:val="20"/>
                <w:lang w:val="es-ES"/>
              </w:rPr>
            </w:pPr>
          </w:p>
          <w:p w14:paraId="478A5B6F" w14:textId="77777777" w:rsidR="00810099" w:rsidRPr="0000436B" w:rsidRDefault="00810099" w:rsidP="004D147E">
            <w:pPr>
              <w:pStyle w:val="TableParagraph"/>
              <w:rPr>
                <w:rFonts w:ascii="Arial" w:hAnsi="Arial" w:cs="Arial"/>
                <w:b/>
                <w:sz w:val="20"/>
                <w:szCs w:val="20"/>
                <w:lang w:val="es-ES"/>
              </w:rPr>
            </w:pPr>
          </w:p>
          <w:p w14:paraId="21E29F79" w14:textId="77777777" w:rsidR="00810099" w:rsidRPr="0000436B" w:rsidRDefault="00810099" w:rsidP="004D147E">
            <w:pPr>
              <w:pStyle w:val="TableParagraph"/>
              <w:spacing w:before="6"/>
              <w:rPr>
                <w:rFonts w:ascii="Arial" w:hAnsi="Arial" w:cs="Arial"/>
                <w:b/>
                <w:sz w:val="20"/>
                <w:szCs w:val="20"/>
                <w:lang w:val="es-ES"/>
              </w:rPr>
            </w:pPr>
          </w:p>
          <w:p w14:paraId="0E0C98E3" w14:textId="77777777" w:rsidR="00810099" w:rsidRPr="0000436B" w:rsidRDefault="00810099" w:rsidP="004D147E">
            <w:pPr>
              <w:pStyle w:val="TableParagraph"/>
              <w:spacing w:before="1"/>
              <w:ind w:left="122"/>
              <w:rPr>
                <w:rFonts w:ascii="Arial" w:hAnsi="Arial" w:cs="Arial"/>
                <w:sz w:val="20"/>
                <w:szCs w:val="20"/>
                <w:lang w:val="es-ES"/>
              </w:rPr>
            </w:pPr>
            <w:r w:rsidRPr="0000436B">
              <w:rPr>
                <w:rFonts w:ascii="Arial" w:hAnsi="Arial" w:cs="Arial"/>
                <w:sz w:val="20"/>
                <w:szCs w:val="20"/>
                <w:lang w:val="es-ES"/>
              </w:rPr>
              <w:t>% sobre la masa total del material</w:t>
            </w:r>
          </w:p>
        </w:tc>
        <w:tc>
          <w:tcPr>
            <w:tcW w:w="916" w:type="pct"/>
          </w:tcPr>
          <w:p w14:paraId="1451EB39" w14:textId="77777777" w:rsidR="00810099" w:rsidRPr="0000436B" w:rsidRDefault="00810099" w:rsidP="004D147E">
            <w:pPr>
              <w:pStyle w:val="TableParagraph"/>
              <w:spacing w:before="77"/>
              <w:ind w:left="16"/>
              <w:jc w:val="center"/>
              <w:rPr>
                <w:rFonts w:ascii="Arial" w:hAnsi="Arial" w:cs="Arial"/>
                <w:sz w:val="20"/>
                <w:szCs w:val="20"/>
              </w:rPr>
            </w:pPr>
            <w:r w:rsidRPr="0000436B">
              <w:rPr>
                <w:rFonts w:ascii="Arial" w:hAnsi="Arial" w:cs="Arial"/>
                <w:sz w:val="20"/>
                <w:szCs w:val="20"/>
              </w:rPr>
              <w:t>0</w:t>
            </w:r>
          </w:p>
        </w:tc>
      </w:tr>
      <w:tr w:rsidR="005864C2" w:rsidRPr="0000436B" w14:paraId="24E0FD0D" w14:textId="77777777" w:rsidTr="00050087">
        <w:trPr>
          <w:trHeight w:val="364"/>
          <w:jc w:val="center"/>
        </w:trPr>
        <w:tc>
          <w:tcPr>
            <w:tcW w:w="1062" w:type="pct"/>
            <w:vMerge/>
          </w:tcPr>
          <w:p w14:paraId="5EC9CEFC" w14:textId="77777777" w:rsidR="00810099" w:rsidRPr="0000436B" w:rsidRDefault="00810099" w:rsidP="004D147E">
            <w:pPr>
              <w:rPr>
                <w:rFonts w:ascii="Arial" w:hAnsi="Arial" w:cs="Arial"/>
                <w:sz w:val="20"/>
                <w:szCs w:val="20"/>
              </w:rPr>
            </w:pPr>
          </w:p>
        </w:tc>
        <w:tc>
          <w:tcPr>
            <w:tcW w:w="1689" w:type="pct"/>
          </w:tcPr>
          <w:p w14:paraId="7F167688" w14:textId="77777777" w:rsidR="00810099" w:rsidRPr="0000436B" w:rsidRDefault="00810099" w:rsidP="004D147E">
            <w:pPr>
              <w:pStyle w:val="TableParagraph"/>
              <w:spacing w:before="76"/>
              <w:ind w:left="123"/>
              <w:rPr>
                <w:rFonts w:ascii="Arial" w:hAnsi="Arial" w:cs="Arial"/>
                <w:sz w:val="20"/>
                <w:szCs w:val="20"/>
              </w:rPr>
            </w:pPr>
            <w:r w:rsidRPr="0000436B">
              <w:rPr>
                <w:rFonts w:ascii="Arial" w:hAnsi="Arial" w:cs="Arial"/>
                <w:sz w:val="20"/>
                <w:szCs w:val="20"/>
              </w:rPr>
              <w:t>&gt; 4 mm</w:t>
            </w:r>
          </w:p>
        </w:tc>
        <w:tc>
          <w:tcPr>
            <w:tcW w:w="1333" w:type="pct"/>
            <w:vMerge/>
          </w:tcPr>
          <w:p w14:paraId="1BCE2935" w14:textId="77777777" w:rsidR="00810099" w:rsidRPr="0000436B" w:rsidRDefault="00810099" w:rsidP="004D147E">
            <w:pPr>
              <w:rPr>
                <w:rFonts w:ascii="Arial" w:hAnsi="Arial" w:cs="Arial"/>
                <w:sz w:val="20"/>
                <w:szCs w:val="20"/>
              </w:rPr>
            </w:pPr>
          </w:p>
        </w:tc>
        <w:tc>
          <w:tcPr>
            <w:tcW w:w="916" w:type="pct"/>
          </w:tcPr>
          <w:p w14:paraId="4F0F9C03" w14:textId="77777777" w:rsidR="00810099" w:rsidRPr="0000436B" w:rsidRDefault="00810099" w:rsidP="004D147E">
            <w:pPr>
              <w:pStyle w:val="TableParagraph"/>
              <w:spacing w:before="76"/>
              <w:ind w:left="273" w:right="389"/>
              <w:jc w:val="center"/>
              <w:rPr>
                <w:rFonts w:ascii="Arial" w:hAnsi="Arial" w:cs="Arial"/>
                <w:sz w:val="20"/>
                <w:szCs w:val="20"/>
              </w:rPr>
            </w:pPr>
            <w:r w:rsidRPr="0000436B">
              <w:rPr>
                <w:rFonts w:ascii="Arial" w:hAnsi="Arial" w:cs="Arial"/>
                <w:sz w:val="20"/>
                <w:szCs w:val="20"/>
              </w:rPr>
              <w:t>± 6</w:t>
            </w:r>
          </w:p>
        </w:tc>
      </w:tr>
      <w:tr w:rsidR="005864C2" w:rsidRPr="0000436B" w14:paraId="66307110" w14:textId="77777777" w:rsidTr="00050087">
        <w:trPr>
          <w:trHeight w:val="364"/>
          <w:jc w:val="center"/>
        </w:trPr>
        <w:tc>
          <w:tcPr>
            <w:tcW w:w="1062" w:type="pct"/>
            <w:vMerge/>
          </w:tcPr>
          <w:p w14:paraId="6658AD05" w14:textId="77777777" w:rsidR="00810099" w:rsidRPr="0000436B" w:rsidRDefault="00810099" w:rsidP="004D147E">
            <w:pPr>
              <w:rPr>
                <w:rFonts w:ascii="Arial" w:hAnsi="Arial" w:cs="Arial"/>
                <w:sz w:val="20"/>
                <w:szCs w:val="20"/>
              </w:rPr>
            </w:pPr>
          </w:p>
        </w:tc>
        <w:tc>
          <w:tcPr>
            <w:tcW w:w="1689" w:type="pct"/>
          </w:tcPr>
          <w:p w14:paraId="72F275BA" w14:textId="77777777" w:rsidR="00810099" w:rsidRPr="0000436B" w:rsidRDefault="006112B7" w:rsidP="004D147E">
            <w:pPr>
              <w:pStyle w:val="TableParagraph"/>
              <w:spacing w:before="53"/>
              <w:ind w:left="123"/>
              <w:rPr>
                <w:rFonts w:ascii="Arial" w:hAnsi="Arial" w:cs="Arial"/>
                <w:sz w:val="20"/>
                <w:szCs w:val="20"/>
              </w:rPr>
            </w:pPr>
            <w:r w:rsidRPr="0000436B">
              <w:rPr>
                <w:rFonts w:ascii="Arial" w:hAnsi="Arial" w:cs="Arial"/>
                <w:sz w:val="20"/>
                <w:szCs w:val="20"/>
              </w:rPr>
              <w:t>≤</w:t>
            </w:r>
            <w:r w:rsidR="00810099" w:rsidRPr="0000436B">
              <w:rPr>
                <w:rFonts w:ascii="Arial" w:hAnsi="Arial" w:cs="Arial"/>
                <w:sz w:val="20"/>
                <w:szCs w:val="20"/>
              </w:rPr>
              <w:t xml:space="preserve"> 4 mm</w:t>
            </w:r>
          </w:p>
        </w:tc>
        <w:tc>
          <w:tcPr>
            <w:tcW w:w="1333" w:type="pct"/>
            <w:vMerge/>
          </w:tcPr>
          <w:p w14:paraId="5A9B4366" w14:textId="77777777" w:rsidR="00810099" w:rsidRPr="0000436B" w:rsidRDefault="00810099" w:rsidP="004D147E">
            <w:pPr>
              <w:rPr>
                <w:rFonts w:ascii="Arial" w:hAnsi="Arial" w:cs="Arial"/>
                <w:sz w:val="20"/>
                <w:szCs w:val="20"/>
              </w:rPr>
            </w:pPr>
          </w:p>
        </w:tc>
        <w:tc>
          <w:tcPr>
            <w:tcW w:w="916" w:type="pct"/>
          </w:tcPr>
          <w:p w14:paraId="11759060" w14:textId="77777777" w:rsidR="00810099" w:rsidRPr="0000436B" w:rsidRDefault="00810099" w:rsidP="004D147E">
            <w:pPr>
              <w:pStyle w:val="TableParagraph"/>
              <w:spacing w:before="76"/>
              <w:ind w:left="273" w:right="389"/>
              <w:jc w:val="center"/>
              <w:rPr>
                <w:rFonts w:ascii="Arial" w:hAnsi="Arial" w:cs="Arial"/>
                <w:sz w:val="20"/>
                <w:szCs w:val="20"/>
              </w:rPr>
            </w:pPr>
            <w:r w:rsidRPr="0000436B">
              <w:rPr>
                <w:rFonts w:ascii="Arial" w:hAnsi="Arial" w:cs="Arial"/>
                <w:sz w:val="20"/>
                <w:szCs w:val="20"/>
              </w:rPr>
              <w:t>± 3</w:t>
            </w:r>
          </w:p>
        </w:tc>
      </w:tr>
      <w:tr w:rsidR="005864C2" w:rsidRPr="0000436B" w14:paraId="5FA02DF2" w14:textId="77777777" w:rsidTr="00050087">
        <w:trPr>
          <w:trHeight w:val="364"/>
          <w:jc w:val="center"/>
        </w:trPr>
        <w:tc>
          <w:tcPr>
            <w:tcW w:w="1062" w:type="pct"/>
            <w:vMerge/>
          </w:tcPr>
          <w:p w14:paraId="6B6E69DF" w14:textId="77777777" w:rsidR="00810099" w:rsidRPr="0000436B" w:rsidRDefault="00810099" w:rsidP="004D147E">
            <w:pPr>
              <w:rPr>
                <w:rFonts w:ascii="Arial" w:hAnsi="Arial" w:cs="Arial"/>
                <w:sz w:val="20"/>
                <w:szCs w:val="20"/>
              </w:rPr>
            </w:pPr>
          </w:p>
        </w:tc>
        <w:tc>
          <w:tcPr>
            <w:tcW w:w="1689" w:type="pct"/>
          </w:tcPr>
          <w:p w14:paraId="05E081E8" w14:textId="77777777" w:rsidR="00810099" w:rsidRPr="0000436B" w:rsidRDefault="00810099" w:rsidP="004D147E">
            <w:pPr>
              <w:pStyle w:val="TableParagraph"/>
              <w:spacing w:before="76"/>
              <w:ind w:left="123"/>
              <w:rPr>
                <w:rFonts w:ascii="Arial" w:hAnsi="Arial" w:cs="Arial"/>
                <w:sz w:val="20"/>
                <w:szCs w:val="20"/>
              </w:rPr>
            </w:pPr>
            <w:r w:rsidRPr="0000436B">
              <w:rPr>
                <w:rFonts w:ascii="Arial" w:hAnsi="Arial" w:cs="Arial"/>
                <w:sz w:val="20"/>
                <w:szCs w:val="20"/>
              </w:rPr>
              <w:t>0,063 mm (</w:t>
            </w:r>
            <w:proofErr w:type="spellStart"/>
            <w:r w:rsidRPr="0000436B">
              <w:rPr>
                <w:rFonts w:ascii="Arial" w:hAnsi="Arial" w:cs="Arial"/>
                <w:sz w:val="20"/>
                <w:szCs w:val="20"/>
              </w:rPr>
              <w:t>incluido</w:t>
            </w:r>
            <w:proofErr w:type="spellEnd"/>
            <w:r w:rsidRPr="0000436B">
              <w:rPr>
                <w:rFonts w:ascii="Arial" w:hAnsi="Arial" w:cs="Arial"/>
                <w:sz w:val="20"/>
                <w:szCs w:val="20"/>
              </w:rPr>
              <w:t xml:space="preserve"> </w:t>
            </w:r>
            <w:proofErr w:type="spellStart"/>
            <w:r w:rsidRPr="0000436B">
              <w:rPr>
                <w:rFonts w:ascii="Arial" w:hAnsi="Arial" w:cs="Arial"/>
                <w:sz w:val="20"/>
                <w:szCs w:val="20"/>
              </w:rPr>
              <w:t>el</w:t>
            </w:r>
            <w:proofErr w:type="spellEnd"/>
            <w:r w:rsidRPr="0000436B">
              <w:rPr>
                <w:rFonts w:ascii="Arial" w:hAnsi="Arial" w:cs="Arial"/>
                <w:sz w:val="20"/>
                <w:szCs w:val="20"/>
              </w:rPr>
              <w:t xml:space="preserve"> </w:t>
            </w:r>
            <w:proofErr w:type="spellStart"/>
            <w:r w:rsidRPr="0000436B">
              <w:rPr>
                <w:rFonts w:ascii="Arial" w:hAnsi="Arial" w:cs="Arial"/>
                <w:sz w:val="20"/>
                <w:szCs w:val="20"/>
              </w:rPr>
              <w:t>cemento</w:t>
            </w:r>
            <w:proofErr w:type="spellEnd"/>
            <w:r w:rsidRPr="0000436B">
              <w:rPr>
                <w:rFonts w:ascii="Arial" w:hAnsi="Arial" w:cs="Arial"/>
                <w:sz w:val="20"/>
                <w:szCs w:val="20"/>
              </w:rPr>
              <w:t>)</w:t>
            </w:r>
          </w:p>
        </w:tc>
        <w:tc>
          <w:tcPr>
            <w:tcW w:w="1333" w:type="pct"/>
            <w:vMerge/>
          </w:tcPr>
          <w:p w14:paraId="10E4585B" w14:textId="77777777" w:rsidR="00810099" w:rsidRPr="0000436B" w:rsidRDefault="00810099" w:rsidP="004D147E">
            <w:pPr>
              <w:rPr>
                <w:rFonts w:ascii="Arial" w:hAnsi="Arial" w:cs="Arial"/>
                <w:sz w:val="20"/>
                <w:szCs w:val="20"/>
              </w:rPr>
            </w:pPr>
          </w:p>
        </w:tc>
        <w:tc>
          <w:tcPr>
            <w:tcW w:w="916" w:type="pct"/>
          </w:tcPr>
          <w:p w14:paraId="231E61F1" w14:textId="77777777" w:rsidR="00810099" w:rsidRPr="0000436B" w:rsidRDefault="00810099" w:rsidP="004D147E">
            <w:pPr>
              <w:pStyle w:val="TableParagraph"/>
              <w:spacing w:before="76"/>
              <w:ind w:left="404" w:right="388"/>
              <w:jc w:val="center"/>
              <w:rPr>
                <w:rFonts w:ascii="Arial" w:hAnsi="Arial" w:cs="Arial"/>
                <w:sz w:val="20"/>
                <w:szCs w:val="20"/>
              </w:rPr>
            </w:pPr>
            <w:r w:rsidRPr="0000436B">
              <w:rPr>
                <w:rFonts w:ascii="Arial" w:hAnsi="Arial" w:cs="Arial"/>
                <w:sz w:val="20"/>
                <w:szCs w:val="20"/>
              </w:rPr>
              <w:t>± 1,5</w:t>
            </w:r>
          </w:p>
        </w:tc>
      </w:tr>
      <w:tr w:rsidR="005864C2" w:rsidRPr="0000436B" w14:paraId="0BAAF69C" w14:textId="77777777" w:rsidTr="00050087">
        <w:trPr>
          <w:trHeight w:val="364"/>
          <w:jc w:val="center"/>
        </w:trPr>
        <w:tc>
          <w:tcPr>
            <w:tcW w:w="2751" w:type="pct"/>
            <w:gridSpan w:val="2"/>
          </w:tcPr>
          <w:p w14:paraId="1F0F7D20" w14:textId="77777777" w:rsidR="00810099" w:rsidRPr="0000436B" w:rsidRDefault="00810099" w:rsidP="004D147E">
            <w:pPr>
              <w:pStyle w:val="TableParagraph"/>
              <w:spacing w:before="76"/>
              <w:ind w:left="123"/>
              <w:rPr>
                <w:rFonts w:ascii="Arial" w:hAnsi="Arial" w:cs="Arial"/>
                <w:sz w:val="20"/>
                <w:szCs w:val="20"/>
              </w:rPr>
            </w:pPr>
            <w:proofErr w:type="spellStart"/>
            <w:r w:rsidRPr="0000436B">
              <w:rPr>
                <w:rFonts w:ascii="Arial" w:hAnsi="Arial" w:cs="Arial"/>
                <w:sz w:val="20"/>
                <w:szCs w:val="20"/>
              </w:rPr>
              <w:t>Cemento</w:t>
            </w:r>
            <w:proofErr w:type="spellEnd"/>
          </w:p>
        </w:tc>
        <w:tc>
          <w:tcPr>
            <w:tcW w:w="1333" w:type="pct"/>
            <w:vMerge/>
          </w:tcPr>
          <w:p w14:paraId="303FF0CB" w14:textId="77777777" w:rsidR="00810099" w:rsidRPr="0000436B" w:rsidRDefault="00810099" w:rsidP="004D147E">
            <w:pPr>
              <w:rPr>
                <w:rFonts w:ascii="Arial" w:hAnsi="Arial" w:cs="Arial"/>
                <w:sz w:val="20"/>
                <w:szCs w:val="20"/>
              </w:rPr>
            </w:pPr>
          </w:p>
        </w:tc>
        <w:tc>
          <w:tcPr>
            <w:tcW w:w="916" w:type="pct"/>
          </w:tcPr>
          <w:p w14:paraId="2005701E" w14:textId="77777777" w:rsidR="00810099" w:rsidRPr="0000436B" w:rsidRDefault="00810099" w:rsidP="004D147E">
            <w:pPr>
              <w:pStyle w:val="TableParagraph"/>
              <w:spacing w:before="76"/>
              <w:ind w:left="404" w:right="388"/>
              <w:jc w:val="center"/>
              <w:rPr>
                <w:rFonts w:ascii="Arial" w:hAnsi="Arial" w:cs="Arial"/>
                <w:sz w:val="20"/>
                <w:szCs w:val="20"/>
              </w:rPr>
            </w:pPr>
            <w:r w:rsidRPr="0000436B">
              <w:rPr>
                <w:rFonts w:ascii="Arial" w:hAnsi="Arial" w:cs="Arial"/>
                <w:sz w:val="20"/>
                <w:szCs w:val="20"/>
              </w:rPr>
              <w:t>± 0,3</w:t>
            </w:r>
          </w:p>
        </w:tc>
      </w:tr>
      <w:tr w:rsidR="005864C2" w:rsidRPr="0000436B" w14:paraId="618EE4B3" w14:textId="77777777" w:rsidTr="00050087">
        <w:trPr>
          <w:trHeight w:val="362"/>
          <w:jc w:val="center"/>
        </w:trPr>
        <w:tc>
          <w:tcPr>
            <w:tcW w:w="2751" w:type="pct"/>
            <w:gridSpan w:val="2"/>
          </w:tcPr>
          <w:p w14:paraId="38C36BA1" w14:textId="77777777" w:rsidR="00810099" w:rsidRPr="0000436B" w:rsidRDefault="00810099" w:rsidP="004D147E">
            <w:pPr>
              <w:pStyle w:val="TableParagraph"/>
              <w:spacing w:before="74"/>
              <w:ind w:left="123"/>
              <w:rPr>
                <w:rFonts w:ascii="Arial" w:hAnsi="Arial" w:cs="Arial"/>
                <w:sz w:val="20"/>
                <w:szCs w:val="20"/>
                <w:lang w:val="es-ES"/>
              </w:rPr>
            </w:pPr>
            <w:r w:rsidRPr="0000436B">
              <w:rPr>
                <w:rFonts w:ascii="Arial" w:hAnsi="Arial" w:cs="Arial"/>
                <w:sz w:val="20"/>
                <w:szCs w:val="20"/>
                <w:lang w:val="es-ES"/>
              </w:rPr>
              <w:t>Humedad de compactación (agua total)</w:t>
            </w:r>
          </w:p>
        </w:tc>
        <w:tc>
          <w:tcPr>
            <w:tcW w:w="1333" w:type="pct"/>
          </w:tcPr>
          <w:p w14:paraId="3C04D8BA" w14:textId="77777777" w:rsidR="00810099" w:rsidRPr="0000436B" w:rsidRDefault="00810099" w:rsidP="004D147E">
            <w:pPr>
              <w:pStyle w:val="TableParagraph"/>
              <w:spacing w:before="74"/>
              <w:ind w:left="122"/>
              <w:rPr>
                <w:rFonts w:ascii="Arial" w:hAnsi="Arial" w:cs="Arial"/>
                <w:sz w:val="20"/>
                <w:szCs w:val="20"/>
              </w:rPr>
            </w:pPr>
            <w:r w:rsidRPr="0000436B">
              <w:rPr>
                <w:rFonts w:ascii="Arial" w:hAnsi="Arial" w:cs="Arial"/>
                <w:sz w:val="20"/>
                <w:szCs w:val="20"/>
              </w:rPr>
              <w:t xml:space="preserve">% </w:t>
            </w:r>
            <w:proofErr w:type="spellStart"/>
            <w:r w:rsidRPr="0000436B">
              <w:rPr>
                <w:rFonts w:ascii="Arial" w:hAnsi="Arial" w:cs="Arial"/>
                <w:sz w:val="20"/>
                <w:szCs w:val="20"/>
              </w:rPr>
              <w:t>respecto</w:t>
            </w:r>
            <w:proofErr w:type="spellEnd"/>
            <w:r w:rsidRPr="0000436B">
              <w:rPr>
                <w:rFonts w:ascii="Arial" w:hAnsi="Arial" w:cs="Arial"/>
                <w:sz w:val="20"/>
                <w:szCs w:val="20"/>
              </w:rPr>
              <w:t xml:space="preserve"> de la </w:t>
            </w:r>
            <w:proofErr w:type="spellStart"/>
            <w:r w:rsidRPr="0000436B">
              <w:rPr>
                <w:rFonts w:ascii="Arial" w:hAnsi="Arial" w:cs="Arial"/>
                <w:sz w:val="20"/>
                <w:szCs w:val="20"/>
              </w:rPr>
              <w:t>óptima</w:t>
            </w:r>
            <w:proofErr w:type="spellEnd"/>
          </w:p>
        </w:tc>
        <w:tc>
          <w:tcPr>
            <w:tcW w:w="916" w:type="pct"/>
          </w:tcPr>
          <w:p w14:paraId="20FB3E39" w14:textId="77777777" w:rsidR="00810099" w:rsidRPr="0000436B" w:rsidRDefault="00810099" w:rsidP="004D147E">
            <w:pPr>
              <w:pStyle w:val="TableParagraph"/>
              <w:spacing w:before="74"/>
              <w:ind w:left="307"/>
              <w:rPr>
                <w:rFonts w:ascii="Arial" w:hAnsi="Arial" w:cs="Arial"/>
                <w:sz w:val="20"/>
                <w:szCs w:val="20"/>
              </w:rPr>
            </w:pPr>
            <w:r w:rsidRPr="0000436B">
              <w:rPr>
                <w:rFonts w:ascii="Arial" w:hAnsi="Arial" w:cs="Arial"/>
                <w:sz w:val="20"/>
                <w:szCs w:val="20"/>
              </w:rPr>
              <w:t>– 1,0 / + 0,5</w:t>
            </w:r>
          </w:p>
        </w:tc>
      </w:tr>
    </w:tbl>
    <w:p w14:paraId="41E8989E" w14:textId="77777777" w:rsidR="00810099" w:rsidRPr="0000436B" w:rsidRDefault="00810099" w:rsidP="00810099">
      <w:pPr>
        <w:pStyle w:val="NORMAL12"/>
        <w:rPr>
          <w:sz w:val="18"/>
          <w:szCs w:val="18"/>
          <w:lang w:val="es-ES"/>
        </w:rPr>
      </w:pPr>
      <w:r w:rsidRPr="0000436B">
        <w:rPr>
          <w:sz w:val="18"/>
          <w:szCs w:val="18"/>
        </w:rPr>
        <w:t xml:space="preserve">(*) En el </w:t>
      </w:r>
      <w:proofErr w:type="spellStart"/>
      <w:r w:rsidRPr="0000436B">
        <w:rPr>
          <w:sz w:val="18"/>
          <w:szCs w:val="18"/>
        </w:rPr>
        <w:t>suelocemento</w:t>
      </w:r>
      <w:proofErr w:type="spellEnd"/>
      <w:r w:rsidRPr="0000436B">
        <w:rPr>
          <w:sz w:val="18"/>
          <w:szCs w:val="18"/>
        </w:rPr>
        <w:t xml:space="preserve"> únicamente se exigen las relativas al cemento y a la humedad de compactación.</w:t>
      </w:r>
    </w:p>
    <w:p w14:paraId="1333CD54" w14:textId="77777777" w:rsidR="00810099" w:rsidRPr="009D46F7" w:rsidRDefault="00810099" w:rsidP="002C0CF3">
      <w:pPr>
        <w:pStyle w:val="TITU3"/>
        <w:numPr>
          <w:ilvl w:val="0"/>
          <w:numId w:val="0"/>
        </w:numPr>
        <w:outlineLvl w:val="9"/>
      </w:pPr>
      <w:r w:rsidRPr="009D46F7">
        <w:t>513.5.2. Preparación de la superficie existente</w:t>
      </w:r>
    </w:p>
    <w:p w14:paraId="4558C085" w14:textId="77777777" w:rsidR="00810099" w:rsidRPr="009D46F7" w:rsidRDefault="00877778" w:rsidP="00810099">
      <w:pPr>
        <w:pStyle w:val="NORMAL12"/>
      </w:pPr>
      <w:r w:rsidRPr="009D46F7">
        <w:t>Se eliminarán la</w:t>
      </w:r>
      <w:r w:rsidR="00856F5B">
        <w:t>s</w:t>
      </w:r>
      <w:r w:rsidRPr="009D46F7">
        <w:t xml:space="preserve"> irregularidades existentes según lo prescrito para unidad de obra sobre la que se asienta.</w:t>
      </w:r>
    </w:p>
    <w:p w14:paraId="78DE8036" w14:textId="77777777" w:rsidR="00810099" w:rsidRDefault="00877778" w:rsidP="0052049A">
      <w:pPr>
        <w:pStyle w:val="NORMAL12"/>
      </w:pPr>
      <w:r w:rsidRPr="009D46F7">
        <w:t xml:space="preserve">En época calurosa y seca, </w:t>
      </w:r>
      <w:r w:rsidR="0052049A" w:rsidRPr="009D46F7">
        <w:t xml:space="preserve">se regará </w:t>
      </w:r>
      <w:r w:rsidR="00810099" w:rsidRPr="009D46F7">
        <w:t>ligeramente inmediatamente antes de la extensión, de forma que ésta quede húmeda pero no encharcada, eliminándose las acumulaciones de agua en superficie que hubieran podido formarse.</w:t>
      </w:r>
    </w:p>
    <w:p w14:paraId="0AE985EA" w14:textId="77777777" w:rsidR="0052049A" w:rsidRPr="009D46F7" w:rsidRDefault="0052049A" w:rsidP="0052049A">
      <w:pPr>
        <w:pStyle w:val="NORMAL12"/>
        <w:rPr>
          <w:i/>
          <w:u w:val="single"/>
        </w:rPr>
      </w:pPr>
      <w:r w:rsidRPr="009D46F7">
        <w:rPr>
          <w:i/>
          <w:u w:val="single"/>
        </w:rPr>
        <w:lastRenderedPageBreak/>
        <w:t>Ejecución</w:t>
      </w:r>
    </w:p>
    <w:p w14:paraId="3BC323DF" w14:textId="77777777" w:rsidR="0052049A" w:rsidRPr="009D46F7" w:rsidRDefault="00810099" w:rsidP="00810099">
      <w:pPr>
        <w:pStyle w:val="NORMAL12"/>
      </w:pPr>
      <w:r w:rsidRPr="009D46F7">
        <w:t xml:space="preserve">En obras de carreteras con categoría de tráfico pesado T00 el volumen mínimo </w:t>
      </w:r>
      <w:r w:rsidR="0052049A" w:rsidRPr="009D46F7">
        <w:t xml:space="preserve">acopiado </w:t>
      </w:r>
      <w:r w:rsidRPr="009D46F7">
        <w:t xml:space="preserve">a exigir </w:t>
      </w:r>
      <w:r w:rsidR="0052049A" w:rsidRPr="009D46F7">
        <w:t>es</w:t>
      </w:r>
      <w:r w:rsidRPr="009D46F7">
        <w:t xml:space="preserve"> no i</w:t>
      </w:r>
      <w:r w:rsidR="006112B7" w:rsidRPr="009D46F7">
        <w:t>nferior al treinta por ciento (&gt;</w:t>
      </w:r>
      <w:r w:rsidRPr="009D46F7">
        <w:t xml:space="preserve"> 30%) del total. </w:t>
      </w:r>
    </w:p>
    <w:p w14:paraId="4843EEE3" w14:textId="77777777" w:rsidR="00810099" w:rsidRPr="009D46F7" w:rsidRDefault="0052049A" w:rsidP="00810099">
      <w:pPr>
        <w:pStyle w:val="NORMAL12"/>
      </w:pPr>
      <w:r w:rsidRPr="009D46F7">
        <w:t xml:space="preserve">El tiempo mínimo de amasado se superior a </w:t>
      </w:r>
      <w:r w:rsidR="006112B7" w:rsidRPr="009D46F7">
        <w:t>treinta segundos (&gt;</w:t>
      </w:r>
      <w:r w:rsidR="00810099" w:rsidRPr="009D46F7">
        <w:t xml:space="preserve"> 30 s).</w:t>
      </w:r>
    </w:p>
    <w:p w14:paraId="7130623D" w14:textId="77777777" w:rsidR="0052049A" w:rsidRPr="00A73BE8" w:rsidRDefault="0052049A" w:rsidP="00810099">
      <w:pPr>
        <w:pStyle w:val="NORMAL12"/>
      </w:pPr>
      <w:r w:rsidRPr="009D46F7">
        <w:t xml:space="preserve">El extendido se realizará en anchura completa, si no fuera posible se realizará el menor </w:t>
      </w:r>
      <w:r w:rsidRPr="00A73BE8">
        <w:t>número de juntas.</w:t>
      </w:r>
    </w:p>
    <w:p w14:paraId="6835ADF3" w14:textId="77777777" w:rsidR="0052049A" w:rsidRPr="009D46F7" w:rsidRDefault="0052049A" w:rsidP="00810099">
      <w:pPr>
        <w:pStyle w:val="NORMAL12"/>
      </w:pPr>
      <w:r w:rsidRPr="00A73BE8">
        <w:t>Las juntas transversales estarán separadas tres (3) metros.</w:t>
      </w:r>
    </w:p>
    <w:p w14:paraId="6E5F43C7" w14:textId="77777777" w:rsidR="00810099" w:rsidRPr="009D46F7" w:rsidRDefault="00810099" w:rsidP="002C0CF3">
      <w:pPr>
        <w:pStyle w:val="TITU3"/>
        <w:numPr>
          <w:ilvl w:val="0"/>
          <w:numId w:val="0"/>
        </w:numPr>
        <w:outlineLvl w:val="9"/>
      </w:pPr>
      <w:r w:rsidRPr="009D46F7">
        <w:t>513.5.9. Curado y protección superficial</w:t>
      </w:r>
    </w:p>
    <w:p w14:paraId="57B816D6" w14:textId="77777777" w:rsidR="00810099" w:rsidRPr="009D46F7" w:rsidRDefault="00810099" w:rsidP="00810099">
      <w:pPr>
        <w:pStyle w:val="NORMAL12"/>
      </w:pPr>
      <w:r w:rsidRPr="009D46F7">
        <w:t>Una vez terminada la capa</w:t>
      </w:r>
      <w:r w:rsidR="003144A3">
        <w:t xml:space="preserve">, convenientemente compactadas, </w:t>
      </w:r>
      <w:r w:rsidRPr="009D46F7">
        <w:t>se procederá a la aplicación de un riego con una emulsión bituminosa</w:t>
      </w:r>
      <w:r w:rsidR="00DA4AF2">
        <w:t>. E</w:t>
      </w:r>
      <w:r w:rsidR="003144A3">
        <w:t>l periodo para aplicar esta capa e</w:t>
      </w:r>
      <w:r w:rsidRPr="009D46F7">
        <w:t xml:space="preserve">n ningún caso </w:t>
      </w:r>
      <w:r w:rsidR="00DA4AF2">
        <w:t>s</w:t>
      </w:r>
      <w:r w:rsidR="003144A3">
        <w:t xml:space="preserve">erá superior a </w:t>
      </w:r>
      <w:r w:rsidRPr="009D46F7">
        <w:t>tres horas (3 h) desde la terminación</w:t>
      </w:r>
      <w:r w:rsidR="00DA4AF2">
        <w:t xml:space="preserve"> de la capa inferior.</w:t>
      </w:r>
    </w:p>
    <w:p w14:paraId="4C50FF29" w14:textId="77777777" w:rsidR="00810099" w:rsidRPr="009D46F7" w:rsidRDefault="00810099" w:rsidP="00810099">
      <w:pPr>
        <w:pStyle w:val="NORMAL12"/>
      </w:pPr>
      <w:r w:rsidRPr="009D46F7">
        <w:t>Se prohibirá la circulación de todo tipo de vehículos sobre las capas recién ejecutadas, al menos durante los tres días (3 d) siguientes a su terminación, y durante siete días (7 d) a los vehículos pesados.</w:t>
      </w:r>
    </w:p>
    <w:p w14:paraId="5A59A58E" w14:textId="77777777" w:rsidR="00810099" w:rsidRPr="009D46F7" w:rsidRDefault="00810099" w:rsidP="000313DD">
      <w:pPr>
        <w:pStyle w:val="TITU2"/>
      </w:pPr>
      <w:bookmarkStart w:id="573" w:name="_Toc404313"/>
      <w:r w:rsidRPr="009D46F7">
        <w:t>513.6. Tramo de prueba</w:t>
      </w:r>
      <w:bookmarkEnd w:id="573"/>
    </w:p>
    <w:p w14:paraId="3C311460" w14:textId="77777777" w:rsidR="00810099" w:rsidRPr="009D46F7" w:rsidRDefault="0052049A" w:rsidP="00810099">
      <w:pPr>
        <w:pStyle w:val="NORMAL12"/>
      </w:pPr>
      <w:r w:rsidRPr="009D46F7">
        <w:t xml:space="preserve">Se fijará una </w:t>
      </w:r>
      <w:r w:rsidR="00810099" w:rsidRPr="009D46F7">
        <w:t>longitud del tramo de prueba, que n</w:t>
      </w:r>
      <w:r w:rsidR="006112B7" w:rsidRPr="009D46F7">
        <w:t>o será inferior a cien metros (&gt;</w:t>
      </w:r>
      <w:r w:rsidR="00810099" w:rsidRPr="009D46F7">
        <w:t xml:space="preserve"> 100 m). </w:t>
      </w:r>
    </w:p>
    <w:p w14:paraId="41E76DE8" w14:textId="77777777" w:rsidR="00810099" w:rsidRPr="009D46F7" w:rsidRDefault="00810099" w:rsidP="00810099">
      <w:pPr>
        <w:pStyle w:val="NORMAL12"/>
      </w:pPr>
      <w:r w:rsidRPr="009D46F7">
        <w:t xml:space="preserve">A la vista de los resultados obtenidos, el </w:t>
      </w:r>
      <w:proofErr w:type="gramStart"/>
      <w:r w:rsidRPr="009D46F7">
        <w:t>Director</w:t>
      </w:r>
      <w:proofErr w:type="gramEnd"/>
      <w:r w:rsidRPr="009D46F7">
        <w:t xml:space="preserve"> de las Obras definirá:</w:t>
      </w:r>
    </w:p>
    <w:p w14:paraId="66703E9C" w14:textId="77777777" w:rsidR="00810099" w:rsidRPr="009D46F7" w:rsidRDefault="00810099" w:rsidP="006D4837">
      <w:pPr>
        <w:pStyle w:val="NORMAL12"/>
        <w:numPr>
          <w:ilvl w:val="0"/>
          <w:numId w:val="27"/>
        </w:numPr>
      </w:pPr>
      <w:r w:rsidRPr="009D46F7">
        <w:t xml:space="preserve">Si es aceptable o no la fórmula de trabajo; en el primer caso se podrá </w:t>
      </w:r>
      <w:r w:rsidR="00D9029C" w:rsidRPr="009D46F7">
        <w:t>iniciar la</w:t>
      </w:r>
      <w:r w:rsidRPr="009D46F7">
        <w:t xml:space="preserve"> fabricación del material tratado con cemento. En el segundo, deberá proponer el Contratista las actuaciones a seguir (estudio de una nueva fórmula, corrección parcial de la ensayada, correcciones en la central de fabricación y en los sistemas de extensión y compactación, etc.).</w:t>
      </w:r>
    </w:p>
    <w:p w14:paraId="7B1EE4FF" w14:textId="77777777" w:rsidR="00810099" w:rsidRPr="009D46F7" w:rsidRDefault="00810099" w:rsidP="006D4837">
      <w:pPr>
        <w:pStyle w:val="NORMAL12"/>
        <w:numPr>
          <w:ilvl w:val="0"/>
          <w:numId w:val="27"/>
        </w:numPr>
      </w:pPr>
      <w:r w:rsidRPr="009D46F7">
        <w:t>Si son aceptables o no los equipos propuestos por el Contratista; en el primer caso, aprobará su forma específica de actuación. En el segundo, el Contratista deberá proponer nuevos equipos o incorporar otros adicionales a los existentes.</w:t>
      </w:r>
    </w:p>
    <w:p w14:paraId="6B441447" w14:textId="77777777" w:rsidR="00810099" w:rsidRPr="009D46F7" w:rsidRDefault="00810099" w:rsidP="000313DD">
      <w:pPr>
        <w:pStyle w:val="TITU2"/>
      </w:pPr>
      <w:bookmarkStart w:id="574" w:name="_Toc404314"/>
      <w:r w:rsidRPr="009D46F7">
        <w:t>513.7. Especificaciones de la unidad terminada</w:t>
      </w:r>
      <w:bookmarkEnd w:id="574"/>
    </w:p>
    <w:p w14:paraId="2DCADB8F" w14:textId="77777777" w:rsidR="0052049A" w:rsidRPr="009D46F7" w:rsidRDefault="0052049A" w:rsidP="00810099">
      <w:pPr>
        <w:pStyle w:val="NORMAL12"/>
      </w:pPr>
      <w:r w:rsidRPr="009D46F7">
        <w:t>Se debe cumplir:</w:t>
      </w:r>
    </w:p>
    <w:p w14:paraId="5A55C8DA" w14:textId="77777777" w:rsidR="00810099" w:rsidRPr="00111B52" w:rsidRDefault="0052049A" w:rsidP="006D4837">
      <w:pPr>
        <w:pStyle w:val="NORMAL12"/>
        <w:numPr>
          <w:ilvl w:val="0"/>
          <w:numId w:val="27"/>
        </w:numPr>
      </w:pPr>
      <w:r w:rsidRPr="00111B52">
        <w:t>L</w:t>
      </w:r>
      <w:r w:rsidR="00810099" w:rsidRPr="00111B52">
        <w:t xml:space="preserve">a densidad de la capa tras el proceso de compactación, la cual no deberá ser inferior </w:t>
      </w:r>
      <w:r w:rsidR="00A327F2" w:rsidRPr="00111B52">
        <w:t xml:space="preserve">al noventa y ocho por ciento </w:t>
      </w:r>
      <w:r w:rsidR="00810099" w:rsidRPr="00111B52">
        <w:t xml:space="preserve">(98%) de la densidad máxima </w:t>
      </w:r>
      <w:proofErr w:type="spellStart"/>
      <w:r w:rsidR="00810099" w:rsidRPr="00111B52">
        <w:t>Próctor</w:t>
      </w:r>
      <w:proofErr w:type="spellEnd"/>
      <w:r w:rsidR="00810099" w:rsidRPr="00111B52">
        <w:t xml:space="preserve"> modificado (norma UNE-EN 13286-2</w:t>
      </w:r>
      <w:r w:rsidR="0006143B" w:rsidRPr="00111B52">
        <w:t>:2011</w:t>
      </w:r>
      <w:r w:rsidR="00810099" w:rsidRPr="00111B52">
        <w:t>), definida en la fórmula de trabajo.</w:t>
      </w:r>
    </w:p>
    <w:p w14:paraId="28072D1C" w14:textId="77777777" w:rsidR="00810099" w:rsidRPr="00111B52" w:rsidRDefault="00810099" w:rsidP="006D4837">
      <w:pPr>
        <w:pStyle w:val="NORMAL12"/>
        <w:numPr>
          <w:ilvl w:val="0"/>
          <w:numId w:val="27"/>
        </w:numPr>
      </w:pPr>
      <w:r w:rsidRPr="00111B52">
        <w:t>La resistencia a compresión simple a siete días (7 d) (norma UNE-EN 13286-41</w:t>
      </w:r>
      <w:r w:rsidR="0006143B" w:rsidRPr="00111B52">
        <w:t>:2003</w:t>
      </w:r>
      <w:r w:rsidRPr="00111B52">
        <w:t xml:space="preserve">) </w:t>
      </w:r>
      <w:r w:rsidR="0052049A" w:rsidRPr="00111B52">
        <w:t xml:space="preserve">deberá estar comprendida entre </w:t>
      </w:r>
      <w:r w:rsidR="009D46F7" w:rsidRPr="00111B52">
        <w:t>2,5</w:t>
      </w:r>
      <w:r w:rsidR="0052049A" w:rsidRPr="00111B52">
        <w:t xml:space="preserve"> y </w:t>
      </w:r>
      <w:r w:rsidR="009060E2" w:rsidRPr="00111B52">
        <w:t>4,5</w:t>
      </w:r>
      <w:r w:rsidR="0052049A" w:rsidRPr="00111B52">
        <w:t xml:space="preserve"> </w:t>
      </w:r>
      <w:proofErr w:type="spellStart"/>
      <w:r w:rsidR="0052049A" w:rsidRPr="00111B52">
        <w:t>Megapascales</w:t>
      </w:r>
      <w:proofErr w:type="spellEnd"/>
      <w:r w:rsidRPr="00111B52">
        <w:t>.</w:t>
      </w:r>
    </w:p>
    <w:p w14:paraId="365A63D0" w14:textId="77777777" w:rsidR="00810099" w:rsidRPr="00111B52" w:rsidRDefault="00810099" w:rsidP="006D4837">
      <w:pPr>
        <w:pStyle w:val="NORMAL12"/>
        <w:numPr>
          <w:ilvl w:val="0"/>
          <w:numId w:val="27"/>
        </w:numPr>
      </w:pPr>
      <w:r w:rsidRPr="00111B52">
        <w:t>La rasante no deberá superar a la teórica en ningún punto, ni quedar por debajo de ella en más de quince milímetros (15 mm).</w:t>
      </w:r>
    </w:p>
    <w:p w14:paraId="44B3F7D5" w14:textId="77777777" w:rsidR="00810099" w:rsidRPr="00111B52" w:rsidRDefault="00810099" w:rsidP="006D4837">
      <w:pPr>
        <w:pStyle w:val="NORMAL12"/>
        <w:numPr>
          <w:ilvl w:val="0"/>
          <w:numId w:val="27"/>
        </w:numPr>
      </w:pPr>
      <w:r w:rsidRPr="00111B52">
        <w:t>En perfiles transversales cada veinte metros (20 m), se comprobará la anchura de la capa extendida, que en ningún caso deberá ser inferior, ni superar en más de diez centímetros (10 cm), a la definida en los Planos.</w:t>
      </w:r>
    </w:p>
    <w:p w14:paraId="473774FB" w14:textId="77777777" w:rsidR="00810099" w:rsidRPr="00111B52" w:rsidRDefault="00810099" w:rsidP="006D4837">
      <w:pPr>
        <w:pStyle w:val="NORMAL12"/>
        <w:numPr>
          <w:ilvl w:val="0"/>
          <w:numId w:val="27"/>
        </w:numPr>
      </w:pPr>
      <w:r w:rsidRPr="00111B52">
        <w:t>El espesor de la capa no deberá ser inferior en ningún punto al previsto para ella</w:t>
      </w:r>
    </w:p>
    <w:p w14:paraId="358F896A" w14:textId="77777777" w:rsidR="00810099" w:rsidRPr="009D46F7" w:rsidRDefault="00810099" w:rsidP="000313DD">
      <w:pPr>
        <w:pStyle w:val="TITU2"/>
      </w:pPr>
      <w:bookmarkStart w:id="575" w:name="_Toc404315"/>
      <w:r w:rsidRPr="00111B52">
        <w:t>513.8. Limitaciones de la ejecución</w:t>
      </w:r>
      <w:bookmarkEnd w:id="575"/>
    </w:p>
    <w:p w14:paraId="5E97853E" w14:textId="77777777" w:rsidR="00810099" w:rsidRPr="009D46F7" w:rsidRDefault="009D46F7" w:rsidP="00810099">
      <w:pPr>
        <w:pStyle w:val="NORMAL12"/>
      </w:pPr>
      <w:r w:rsidRPr="009D46F7">
        <w:t>N</w:t>
      </w:r>
      <w:r w:rsidR="00810099" w:rsidRPr="009D46F7">
        <w:t>o se permitirá la ejecución de materiales tratados con cemento:</w:t>
      </w:r>
    </w:p>
    <w:p w14:paraId="75DF7E47" w14:textId="77777777" w:rsidR="00810099" w:rsidRPr="009D46F7" w:rsidRDefault="00810099" w:rsidP="006D4837">
      <w:pPr>
        <w:pStyle w:val="NORMAL12"/>
        <w:numPr>
          <w:ilvl w:val="0"/>
          <w:numId w:val="28"/>
        </w:numPr>
      </w:pPr>
      <w:r w:rsidRPr="009D46F7">
        <w:t>Cuando la temperatura ambiente a la sombra sea superior a los treinta y cinco grados Celsius (&gt; 35 °C).</w:t>
      </w:r>
    </w:p>
    <w:p w14:paraId="19FC5312" w14:textId="77777777" w:rsidR="00810099" w:rsidRPr="009D46F7" w:rsidRDefault="00810099" w:rsidP="006D4837">
      <w:pPr>
        <w:pStyle w:val="NORMAL12"/>
        <w:numPr>
          <w:ilvl w:val="0"/>
          <w:numId w:val="28"/>
        </w:numPr>
      </w:pPr>
      <w:r w:rsidRPr="009D46F7">
        <w:t xml:space="preserve">Cuando la temperatura ambiente a la sombra sea inferior a cinco grados Celsius (&lt; 5 °C) y exista previsión de heladas. El </w:t>
      </w:r>
      <w:proofErr w:type="gramStart"/>
      <w:r w:rsidRPr="009D46F7">
        <w:t>Director</w:t>
      </w:r>
      <w:proofErr w:type="gramEnd"/>
      <w:r w:rsidRPr="009D46F7">
        <w:t xml:space="preserve"> de las obras podrá bajar este límite a la vista de los resultados de capacidad de soporte y densidad obtenidos.</w:t>
      </w:r>
    </w:p>
    <w:p w14:paraId="000B94F6" w14:textId="77777777" w:rsidR="00810099" w:rsidRPr="009D46F7" w:rsidRDefault="00810099" w:rsidP="006D4837">
      <w:pPr>
        <w:pStyle w:val="NORMAL12"/>
        <w:numPr>
          <w:ilvl w:val="0"/>
          <w:numId w:val="28"/>
        </w:numPr>
      </w:pPr>
      <w:r w:rsidRPr="009D46F7">
        <w:t>Cuando se produzcan precipitaciones atmosféricas intensas.</w:t>
      </w:r>
    </w:p>
    <w:p w14:paraId="575E566A" w14:textId="77777777" w:rsidR="00810099" w:rsidRPr="009D46F7" w:rsidRDefault="00810099" w:rsidP="000313DD">
      <w:pPr>
        <w:pStyle w:val="TITU2"/>
      </w:pPr>
      <w:bookmarkStart w:id="576" w:name="_Toc404316"/>
      <w:r w:rsidRPr="009D46F7">
        <w:t>513.9. Control de calidad</w:t>
      </w:r>
      <w:bookmarkEnd w:id="576"/>
    </w:p>
    <w:p w14:paraId="5926116D" w14:textId="77777777" w:rsidR="009D46F7" w:rsidRPr="009D46F7" w:rsidRDefault="009D46F7" w:rsidP="009D46F7">
      <w:pPr>
        <w:pStyle w:val="NORMAL12"/>
        <w:rPr>
          <w:lang w:val="es-ES"/>
        </w:rPr>
      </w:pPr>
      <w:r w:rsidRPr="009D46F7">
        <w:rPr>
          <w:lang w:val="es-ES"/>
        </w:rPr>
        <w:t>Se llevará a cabo el control de calidad establecido en el PG-3 para cada uno de los siguientes procesos:</w:t>
      </w:r>
    </w:p>
    <w:p w14:paraId="24775FCF" w14:textId="77777777" w:rsidR="009D46F7" w:rsidRPr="009D46F7" w:rsidRDefault="009D46F7" w:rsidP="00221E1A">
      <w:pPr>
        <w:pStyle w:val="NORMAL12"/>
        <w:numPr>
          <w:ilvl w:val="0"/>
          <w:numId w:val="128"/>
        </w:numPr>
        <w:rPr>
          <w:lang w:val="es-ES"/>
        </w:rPr>
      </w:pPr>
      <w:r w:rsidRPr="009D46F7">
        <w:rPr>
          <w:lang w:val="es-ES"/>
        </w:rPr>
        <w:t>Procedencia de los materiales.</w:t>
      </w:r>
    </w:p>
    <w:p w14:paraId="12A3608B" w14:textId="77777777" w:rsidR="009D46F7" w:rsidRPr="009D46F7" w:rsidRDefault="009D46F7" w:rsidP="00221E1A">
      <w:pPr>
        <w:pStyle w:val="NORMAL12"/>
        <w:numPr>
          <w:ilvl w:val="0"/>
          <w:numId w:val="128"/>
        </w:numPr>
        <w:rPr>
          <w:lang w:val="es-ES"/>
        </w:rPr>
      </w:pPr>
      <w:r w:rsidRPr="009D46F7">
        <w:rPr>
          <w:lang w:val="es-ES"/>
        </w:rPr>
        <w:t>Cemento</w:t>
      </w:r>
    </w:p>
    <w:p w14:paraId="20BB6DE5" w14:textId="77777777" w:rsidR="009D46F7" w:rsidRPr="009D46F7" w:rsidRDefault="009D46F7" w:rsidP="00221E1A">
      <w:pPr>
        <w:pStyle w:val="NORMAL12"/>
        <w:numPr>
          <w:ilvl w:val="0"/>
          <w:numId w:val="128"/>
        </w:numPr>
        <w:rPr>
          <w:lang w:val="es-ES"/>
        </w:rPr>
      </w:pPr>
      <w:r w:rsidRPr="009D46F7">
        <w:rPr>
          <w:lang w:val="es-ES"/>
        </w:rPr>
        <w:t>Material granular para suelo cemento:</w:t>
      </w:r>
    </w:p>
    <w:p w14:paraId="5173A2E9" w14:textId="77777777" w:rsidR="00810099" w:rsidRPr="00111B52" w:rsidRDefault="00810099" w:rsidP="00221E1A">
      <w:pPr>
        <w:pStyle w:val="NORMAL12"/>
        <w:numPr>
          <w:ilvl w:val="1"/>
          <w:numId w:val="128"/>
        </w:numPr>
        <w:rPr>
          <w:lang w:val="es-ES"/>
        </w:rPr>
      </w:pPr>
      <w:r w:rsidRPr="00111B52">
        <w:rPr>
          <w:lang w:val="es-ES"/>
        </w:rPr>
        <w:t>La granulometría (norma UNE-EN 933-1</w:t>
      </w:r>
      <w:r w:rsidR="0006143B" w:rsidRPr="00111B52">
        <w:rPr>
          <w:lang w:val="es-ES"/>
        </w:rPr>
        <w:t>:2012</w:t>
      </w:r>
      <w:r w:rsidRPr="00111B52">
        <w:rPr>
          <w:lang w:val="es-ES"/>
        </w:rPr>
        <w:t>).</w:t>
      </w:r>
    </w:p>
    <w:p w14:paraId="5C3DB1BD" w14:textId="77777777" w:rsidR="00810099" w:rsidRPr="00111B52" w:rsidRDefault="00810099" w:rsidP="00221E1A">
      <w:pPr>
        <w:pStyle w:val="NORMAL12"/>
        <w:numPr>
          <w:ilvl w:val="1"/>
          <w:numId w:val="128"/>
        </w:numPr>
        <w:rPr>
          <w:lang w:val="es-ES"/>
        </w:rPr>
      </w:pPr>
      <w:r w:rsidRPr="00111B52">
        <w:rPr>
          <w:lang w:val="es-ES"/>
        </w:rPr>
        <w:t>El límite líquido y el índice de plasticidad (normas UNE 103103</w:t>
      </w:r>
      <w:r w:rsidR="0006143B" w:rsidRPr="00111B52">
        <w:rPr>
          <w:lang w:val="es-ES"/>
        </w:rPr>
        <w:t>:1994</w:t>
      </w:r>
      <w:r w:rsidRPr="00111B52">
        <w:rPr>
          <w:lang w:val="es-ES"/>
        </w:rPr>
        <w:t xml:space="preserve"> y UNE 103104</w:t>
      </w:r>
      <w:r w:rsidR="0006143B" w:rsidRPr="00111B52">
        <w:rPr>
          <w:lang w:val="es-ES"/>
        </w:rPr>
        <w:t>:1993</w:t>
      </w:r>
      <w:r w:rsidRPr="00111B52">
        <w:rPr>
          <w:lang w:val="es-ES"/>
        </w:rPr>
        <w:t>).</w:t>
      </w:r>
    </w:p>
    <w:p w14:paraId="45D88B7B" w14:textId="77777777" w:rsidR="00810099" w:rsidRPr="00111B52" w:rsidRDefault="00810099" w:rsidP="00221E1A">
      <w:pPr>
        <w:pStyle w:val="NORMAL12"/>
        <w:numPr>
          <w:ilvl w:val="1"/>
          <w:numId w:val="128"/>
        </w:numPr>
        <w:rPr>
          <w:lang w:val="es-ES"/>
        </w:rPr>
      </w:pPr>
      <w:r w:rsidRPr="00111B52">
        <w:rPr>
          <w:lang w:val="es-ES"/>
        </w:rPr>
        <w:lastRenderedPageBreak/>
        <w:t>El contenido de materia orgánica (norma UNE 103204</w:t>
      </w:r>
      <w:r w:rsidR="0006143B" w:rsidRPr="00111B52">
        <w:rPr>
          <w:lang w:val="es-ES"/>
        </w:rPr>
        <w:t>:1993</w:t>
      </w:r>
      <w:r w:rsidRPr="00111B52">
        <w:rPr>
          <w:lang w:val="es-ES"/>
        </w:rPr>
        <w:t>).</w:t>
      </w:r>
    </w:p>
    <w:p w14:paraId="1F6BD623" w14:textId="77777777" w:rsidR="00810099" w:rsidRPr="00111B52" w:rsidRDefault="00810099" w:rsidP="00221E1A">
      <w:pPr>
        <w:pStyle w:val="NORMAL12"/>
        <w:numPr>
          <w:ilvl w:val="1"/>
          <w:numId w:val="128"/>
        </w:numPr>
        <w:rPr>
          <w:lang w:val="es-ES"/>
        </w:rPr>
      </w:pPr>
      <w:r w:rsidRPr="00111B52">
        <w:rPr>
          <w:lang w:val="es-ES"/>
        </w:rPr>
        <w:t>El contenido ponderal en azufre total (S) y sulfatos solubles en ácido (SO3) (norma UNE-EN 1744-1</w:t>
      </w:r>
      <w:r w:rsidR="0006143B" w:rsidRPr="00111B52">
        <w:rPr>
          <w:lang w:val="es-ES"/>
        </w:rPr>
        <w:t>:2010 + A1:2013</w:t>
      </w:r>
      <w:r w:rsidRPr="00111B52">
        <w:rPr>
          <w:lang w:val="es-ES"/>
        </w:rPr>
        <w:t>).</w:t>
      </w:r>
    </w:p>
    <w:p w14:paraId="0702B823" w14:textId="77777777" w:rsidR="009D46F7" w:rsidRPr="00111B52" w:rsidRDefault="009D46F7" w:rsidP="00221E1A">
      <w:pPr>
        <w:pStyle w:val="NORMAL12"/>
        <w:numPr>
          <w:ilvl w:val="0"/>
          <w:numId w:val="128"/>
        </w:numPr>
      </w:pPr>
      <w:r w:rsidRPr="00111B52">
        <w:rPr>
          <w:lang w:val="es-ES"/>
        </w:rPr>
        <w:t>Control de ejecución</w:t>
      </w:r>
    </w:p>
    <w:p w14:paraId="0E5ECBC4" w14:textId="77777777" w:rsidR="00810099" w:rsidRPr="00111B52" w:rsidRDefault="00810099" w:rsidP="00221E1A">
      <w:pPr>
        <w:pStyle w:val="NORMAL12"/>
        <w:numPr>
          <w:ilvl w:val="0"/>
          <w:numId w:val="128"/>
        </w:numPr>
      </w:pPr>
      <w:r w:rsidRPr="00111B52">
        <w:t>Control de recepción de la unidad terminada</w:t>
      </w:r>
      <w:r w:rsidR="009D46F7" w:rsidRPr="00111B52">
        <w:t xml:space="preserve"> considerando como lo te para la aceptación el que resulte menor de: </w:t>
      </w:r>
    </w:p>
    <w:p w14:paraId="65BBE8C1" w14:textId="77777777" w:rsidR="00810099" w:rsidRPr="00111B52" w:rsidRDefault="00810099" w:rsidP="00221E1A">
      <w:pPr>
        <w:pStyle w:val="NORMAL12"/>
        <w:numPr>
          <w:ilvl w:val="1"/>
          <w:numId w:val="128"/>
        </w:numPr>
      </w:pPr>
      <w:r w:rsidRPr="00111B52">
        <w:t>Quinientos metros (500 m) de calzada.</w:t>
      </w:r>
    </w:p>
    <w:p w14:paraId="74DD2A0C" w14:textId="77777777" w:rsidR="00810099" w:rsidRPr="00111B52" w:rsidRDefault="00810099" w:rsidP="00221E1A">
      <w:pPr>
        <w:pStyle w:val="NORMAL12"/>
        <w:numPr>
          <w:ilvl w:val="1"/>
          <w:numId w:val="128"/>
        </w:numPr>
      </w:pPr>
      <w:r w:rsidRPr="00111B52">
        <w:t>Tres mil quinientos metros cuadrados (3</w:t>
      </w:r>
      <w:r w:rsidR="00E34DE7">
        <w:t>.</w:t>
      </w:r>
      <w:r w:rsidRPr="00111B52">
        <w:t>500 m</w:t>
      </w:r>
      <w:r w:rsidRPr="00E34DE7">
        <w:rPr>
          <w:vertAlign w:val="superscript"/>
        </w:rPr>
        <w:t>2</w:t>
      </w:r>
      <w:r w:rsidRPr="00111B52">
        <w:t>) de calzada.</w:t>
      </w:r>
    </w:p>
    <w:p w14:paraId="63A30AD0" w14:textId="77777777" w:rsidR="00810099" w:rsidRPr="00111B52" w:rsidRDefault="00810099" w:rsidP="00221E1A">
      <w:pPr>
        <w:pStyle w:val="NORMAL12"/>
        <w:numPr>
          <w:ilvl w:val="1"/>
          <w:numId w:val="128"/>
        </w:numPr>
      </w:pPr>
      <w:r w:rsidRPr="00111B52">
        <w:t>La fracción construida diariamente.</w:t>
      </w:r>
    </w:p>
    <w:p w14:paraId="00E2C288" w14:textId="77777777" w:rsidR="00810099" w:rsidRPr="00111B52" w:rsidRDefault="00810099" w:rsidP="000313DD">
      <w:pPr>
        <w:pStyle w:val="TITU2"/>
      </w:pPr>
      <w:bookmarkStart w:id="577" w:name="_Toc404317"/>
      <w:r w:rsidRPr="00111B52">
        <w:t>513.10 Criterios de aceptación o rechazo</w:t>
      </w:r>
      <w:bookmarkEnd w:id="577"/>
    </w:p>
    <w:p w14:paraId="164D7D47" w14:textId="77777777" w:rsidR="009D46F7" w:rsidRPr="00111B52" w:rsidRDefault="009921F2" w:rsidP="009D46F7">
      <w:pPr>
        <w:pStyle w:val="NORMAL12"/>
        <w:rPr>
          <w:lang w:val="es-ES"/>
        </w:rPr>
      </w:pPr>
      <w:r w:rsidRPr="00111B52">
        <w:rPr>
          <w:lang w:val="es-ES"/>
        </w:rPr>
        <w:t>Para la aceptación de la unidad de obra se debe cumplir:</w:t>
      </w:r>
    </w:p>
    <w:p w14:paraId="35CBC42B" w14:textId="77777777" w:rsidR="009D46F7" w:rsidRPr="00111B52" w:rsidRDefault="009D46F7" w:rsidP="009D46F7">
      <w:pPr>
        <w:pStyle w:val="NORMAL12"/>
      </w:pPr>
      <w:r w:rsidRPr="00111B52">
        <w:rPr>
          <w:i/>
          <w:u w:val="single"/>
        </w:rPr>
        <w:t>Densidad:</w:t>
      </w:r>
      <w:r w:rsidRPr="00111B52">
        <w:t xml:space="preserve"> no debe ser inferior en tres puntos porcentuales a la establecida en el apartado 512.9.3, si la diferencia es mayor se demolerá la capa y se repondrá con material nuevo, desechando el material anterior como residuo de la construcción. Si es inferior se abonará con una penalización del 10%.</w:t>
      </w:r>
    </w:p>
    <w:p w14:paraId="65316D83" w14:textId="77777777" w:rsidR="009D46F7" w:rsidRPr="00111B52" w:rsidRDefault="009D46F7" w:rsidP="009D46F7">
      <w:pPr>
        <w:pStyle w:val="NORMAL12"/>
      </w:pPr>
      <w:r w:rsidRPr="00111B52">
        <w:rPr>
          <w:i/>
          <w:u w:val="single"/>
        </w:rPr>
        <w:t>Capacidad de soporte</w:t>
      </w:r>
      <w:r w:rsidRPr="00111B52">
        <w:t>: Si es inferior al noventa por ciento (&lt; 90%) del valor de referencia especificado, se demolerá la capa y se repondrá con material nuevo, desechando el material anterior como residuo de la construcción. Si es superior al 90 e inferior al 95% se abonará con una penalización del 10%.</w:t>
      </w:r>
    </w:p>
    <w:p w14:paraId="3443327A" w14:textId="77777777" w:rsidR="009D46F7" w:rsidRPr="00111B52" w:rsidRDefault="009D46F7" w:rsidP="009D46F7">
      <w:pPr>
        <w:pStyle w:val="NORMAL12"/>
      </w:pPr>
      <w:r w:rsidRPr="00111B52">
        <w:rPr>
          <w:i/>
          <w:u w:val="single"/>
        </w:rPr>
        <w:t xml:space="preserve">Espesor: </w:t>
      </w:r>
      <w:r w:rsidRPr="00111B52">
        <w:t xml:space="preserve">Si es inferior al noventa por ciento (&lt; 90%) de lo especificado, se demolerá la capa y se repondrá con material nuevo, desechando el material anterior como residuo de la construcción. Si es inferior al especificado pero superior al noventa (&gt;90%) se </w:t>
      </w:r>
      <w:proofErr w:type="gramStart"/>
      <w:r w:rsidRPr="00111B52">
        <w:t>acepta</w:t>
      </w:r>
      <w:proofErr w:type="gramEnd"/>
      <w:r w:rsidRPr="00111B52">
        <w:t xml:space="preserve"> pero el incremento de coste de las capas superiores no será de abono.</w:t>
      </w:r>
    </w:p>
    <w:p w14:paraId="10F43DC7" w14:textId="77777777" w:rsidR="009D46F7" w:rsidRPr="00111B52" w:rsidRDefault="009D46F7" w:rsidP="009D46F7">
      <w:pPr>
        <w:pStyle w:val="NORMAL12"/>
      </w:pPr>
      <w:r w:rsidRPr="00111B52">
        <w:rPr>
          <w:i/>
          <w:u w:val="single"/>
        </w:rPr>
        <w:t>Cambios volumétricos</w:t>
      </w:r>
      <w:r w:rsidR="00D9029C" w:rsidRPr="00111B52">
        <w:rPr>
          <w:i/>
          <w:u w:val="single"/>
        </w:rPr>
        <w:t>: en</w:t>
      </w:r>
      <w:r w:rsidRPr="00111B52">
        <w:rPr>
          <w:i/>
          <w:u w:val="single"/>
        </w:rPr>
        <w:t xml:space="preserve"> suelos que presenta hinchamiento, los cambios </w:t>
      </w:r>
      <w:r w:rsidR="00D9029C" w:rsidRPr="00111B52">
        <w:rPr>
          <w:i/>
          <w:u w:val="single"/>
        </w:rPr>
        <w:t>volumétricos iguales</w:t>
      </w:r>
      <w:r w:rsidRPr="00111B52">
        <w:t xml:space="preserve"> o inferiores al medio por ciento (≤0,5%) se aplicará una penalización económica del veinte por ciento (20%) a la capa de suelo estabilizado correspondiente al lote controlado, Si éstos fueran superiores al medio por ciento (&gt; 0,5%) se demolerá la capa de suelo estabilizado.</w:t>
      </w:r>
    </w:p>
    <w:p w14:paraId="04F2AB67" w14:textId="77777777" w:rsidR="009D46F7" w:rsidRPr="00111B52" w:rsidRDefault="009D46F7" w:rsidP="009D46F7">
      <w:pPr>
        <w:pStyle w:val="NORMAL12"/>
      </w:pPr>
      <w:r w:rsidRPr="00111B52">
        <w:t>En los rellenos de tipo terraplén se procederá de la siguiente forma:</w:t>
      </w:r>
    </w:p>
    <w:p w14:paraId="6CA6330E" w14:textId="77777777" w:rsidR="009D46F7" w:rsidRPr="00111B52" w:rsidRDefault="009D46F7" w:rsidP="00221E1A">
      <w:pPr>
        <w:pStyle w:val="NORMAL12"/>
        <w:numPr>
          <w:ilvl w:val="0"/>
          <w:numId w:val="127"/>
        </w:numPr>
      </w:pPr>
      <w:r w:rsidRPr="00111B52">
        <w:t xml:space="preserve">Para los ensayos de colapso: Si fueran iguales o superiores al medio por ciento (≥0,5%) pero inferiores o iguales al uno por ciento (&lt; 1%) se aplicará una penalización económica del veinte por ciento (20%), Si fueran superiores al uno por ciento (&gt; 1%) se demolerá la capa de suelo estabilizado correspondiente al lote controlado y se repondrá, con un material aceptado por el </w:t>
      </w:r>
      <w:proofErr w:type="gramStart"/>
      <w:r w:rsidRPr="00111B52">
        <w:t>Director</w:t>
      </w:r>
      <w:proofErr w:type="gramEnd"/>
      <w:r w:rsidRPr="00111B52">
        <w:t xml:space="preserve"> de las Obras, por cuenta del Contratista.</w:t>
      </w:r>
    </w:p>
    <w:p w14:paraId="3F019978" w14:textId="77777777" w:rsidR="009D46F7" w:rsidRPr="00111B52" w:rsidRDefault="009D46F7" w:rsidP="00221E1A">
      <w:pPr>
        <w:pStyle w:val="NORMAL12"/>
        <w:numPr>
          <w:ilvl w:val="0"/>
          <w:numId w:val="127"/>
        </w:numPr>
      </w:pPr>
      <w:r w:rsidRPr="00111B52">
        <w:t>Para los ensayos de hinchamiento: si fueran iguales o superiores al uno y medio por ciento (≥1,5%) pero inferiores o iguales al tres por ciento (≤ 3%) se aplicará una penalización económica del veinte por ciento (20%), si fueran superiores al tres por ciento (&gt; 3%) se demolerá la capa de suelo estabilizado correspondiente al lote controlado y se repondrá</w:t>
      </w:r>
    </w:p>
    <w:p w14:paraId="3B697453" w14:textId="77777777" w:rsidR="009D46F7" w:rsidRPr="00111B52" w:rsidRDefault="009D46F7" w:rsidP="00221E1A">
      <w:pPr>
        <w:pStyle w:val="NORMAL12"/>
        <w:numPr>
          <w:ilvl w:val="0"/>
          <w:numId w:val="127"/>
        </w:numPr>
      </w:pPr>
      <w:r w:rsidRPr="00111B52">
        <w:t>Para los ensayos de hinchamiento acelerado sobre suelos conteniendo sulfatos solubles si fueran iguales o superiores al cinco por ciento (≥5%) pero inferiores o iguales al siete por ciento (&lt; 7%) se aplicará una penalización económica del treinta por ciento (30%), si fueran superiores al siete por ciento (&gt; 7%) se demolerá la capa de suelo estabilizado correspondiente al lote controlado y se repondrá</w:t>
      </w:r>
    </w:p>
    <w:p w14:paraId="57A064ED" w14:textId="77777777" w:rsidR="009D46F7" w:rsidRPr="00111B52" w:rsidRDefault="009D46F7" w:rsidP="00221E1A">
      <w:pPr>
        <w:pStyle w:val="NORMAL12"/>
        <w:numPr>
          <w:ilvl w:val="0"/>
          <w:numId w:val="127"/>
        </w:numPr>
      </w:pPr>
      <w:r w:rsidRPr="00111B52">
        <w:t>Rasante</w:t>
      </w:r>
      <w:r w:rsidR="00D64E5F" w:rsidRPr="00111B52">
        <w:t>:</w:t>
      </w:r>
      <w:r w:rsidRPr="00111B52">
        <w:t xml:space="preserve"> </w:t>
      </w:r>
      <w:r w:rsidR="00D64E5F" w:rsidRPr="00111B52">
        <w:t xml:space="preserve">si </w:t>
      </w:r>
      <w:r w:rsidRPr="00111B52">
        <w:t>la tolerancia</w:t>
      </w:r>
      <w:r w:rsidR="00D64E5F" w:rsidRPr="00111B52">
        <w:t xml:space="preserve"> es</w:t>
      </w:r>
      <w:r w:rsidRPr="00111B52">
        <w:t xml:space="preserve"> rebasada por defecto y no exist</w:t>
      </w:r>
      <w:r w:rsidR="00D64E5F" w:rsidRPr="00111B52">
        <w:t>e</w:t>
      </w:r>
      <w:r w:rsidRPr="00111B52">
        <w:t xml:space="preserve">n problemas de encharcamiento, el </w:t>
      </w:r>
      <w:proofErr w:type="gramStart"/>
      <w:r w:rsidRPr="00111B52">
        <w:t>Director</w:t>
      </w:r>
      <w:proofErr w:type="gramEnd"/>
      <w:r w:rsidRPr="00111B52">
        <w:t xml:space="preserve"> de las Obras podrá aceptar la superficie siempre que la capa superior a ella compense la merma con el espesor adicional necesario, sin incremento de coste para la Administración</w:t>
      </w:r>
      <w:r w:rsidR="00D64E5F" w:rsidRPr="00111B52">
        <w:t>. Si la tolerancia es rebasada por exceso</w:t>
      </w:r>
      <w:r w:rsidRPr="00111B52">
        <w:t xml:space="preserve">, éste se corregirá mediante refino y </w:t>
      </w:r>
      <w:proofErr w:type="spellStart"/>
      <w:r w:rsidRPr="00111B52">
        <w:t>recompactación</w:t>
      </w:r>
      <w:proofErr w:type="spellEnd"/>
      <w:r w:rsidRPr="00111B52">
        <w:t xml:space="preserve"> por cuenta del Contratista. </w:t>
      </w:r>
    </w:p>
    <w:p w14:paraId="3F4CAA98" w14:textId="77777777" w:rsidR="00810099" w:rsidRPr="009D46F7" w:rsidRDefault="00E22AE3" w:rsidP="000313DD">
      <w:pPr>
        <w:pStyle w:val="TITU2"/>
      </w:pPr>
      <w:r>
        <w:br w:type="column"/>
      </w:r>
      <w:bookmarkStart w:id="578" w:name="_Toc404318"/>
      <w:r w:rsidR="00810099" w:rsidRPr="009D46F7">
        <w:lastRenderedPageBreak/>
        <w:t>513.11. Medición y abono</w:t>
      </w:r>
      <w:bookmarkEnd w:id="578"/>
    </w:p>
    <w:p w14:paraId="7B396288" w14:textId="77777777" w:rsidR="009D46F7" w:rsidRPr="009D46F7" w:rsidRDefault="00810099" w:rsidP="00810099">
      <w:pPr>
        <w:pStyle w:val="NORMAL12"/>
      </w:pPr>
      <w:r w:rsidRPr="009D46F7">
        <w:t xml:space="preserve">La </w:t>
      </w:r>
      <w:r w:rsidR="009D46F7" w:rsidRPr="009D46F7">
        <w:t>medición y abono de la unidad de suelo cemento se realizará según las especificaciones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76"/>
        <w:gridCol w:w="7402"/>
      </w:tblGrid>
      <w:tr w:rsidR="00041C39" w:rsidRPr="009D46F7" w14:paraId="55F99158" w14:textId="77777777" w:rsidTr="00A01B43">
        <w:tc>
          <w:tcPr>
            <w:tcW w:w="0" w:type="auto"/>
            <w:vAlign w:val="center"/>
          </w:tcPr>
          <w:p w14:paraId="6385E906" w14:textId="77777777" w:rsidR="009D46F7" w:rsidRPr="001633AB" w:rsidRDefault="009D46F7" w:rsidP="00A01B43">
            <w:pPr>
              <w:pStyle w:val="LCATabla"/>
              <w:keepNext/>
              <w:jc w:val="center"/>
              <w:rPr>
                <w:rFonts w:ascii="Arial" w:hAnsi="Arial" w:cs="Arial"/>
                <w:b/>
                <w:bCs/>
                <w:sz w:val="20"/>
              </w:rPr>
            </w:pPr>
            <w:r w:rsidRPr="001633AB">
              <w:rPr>
                <w:rFonts w:ascii="Arial" w:hAnsi="Arial" w:cs="Arial"/>
                <w:b/>
                <w:bCs/>
                <w:sz w:val="20"/>
              </w:rPr>
              <w:t>Unidad de medida</w:t>
            </w:r>
          </w:p>
        </w:tc>
        <w:tc>
          <w:tcPr>
            <w:tcW w:w="0" w:type="auto"/>
            <w:vAlign w:val="center"/>
          </w:tcPr>
          <w:p w14:paraId="2349817E" w14:textId="77777777" w:rsidR="009D46F7" w:rsidRPr="00D3491E" w:rsidRDefault="009D46F7" w:rsidP="00900DF9">
            <w:pPr>
              <w:pStyle w:val="LCATabla"/>
              <w:keepNext/>
              <w:jc w:val="both"/>
              <w:rPr>
                <w:rFonts w:ascii="Arial" w:hAnsi="Arial" w:cs="Arial"/>
                <w:sz w:val="20"/>
              </w:rPr>
            </w:pPr>
            <w:r w:rsidRPr="001633AB">
              <w:rPr>
                <w:rFonts w:ascii="Arial" w:hAnsi="Arial" w:cs="Arial"/>
                <w:sz w:val="20"/>
              </w:rPr>
              <w:t>Metros cúbicos</w:t>
            </w:r>
            <w:r w:rsidR="00D3491E">
              <w:rPr>
                <w:rFonts w:ascii="Arial" w:hAnsi="Arial" w:cs="Arial"/>
                <w:sz w:val="20"/>
              </w:rPr>
              <w:t xml:space="preserve"> (m</w:t>
            </w:r>
            <w:r w:rsidR="00D3491E">
              <w:rPr>
                <w:rFonts w:ascii="Arial" w:hAnsi="Arial" w:cs="Arial"/>
                <w:sz w:val="20"/>
                <w:vertAlign w:val="superscript"/>
              </w:rPr>
              <w:t>3</w:t>
            </w:r>
            <w:r w:rsidR="00D3491E">
              <w:rPr>
                <w:rFonts w:ascii="Arial" w:hAnsi="Arial" w:cs="Arial"/>
                <w:sz w:val="20"/>
              </w:rPr>
              <w:t>)</w:t>
            </w:r>
          </w:p>
        </w:tc>
      </w:tr>
      <w:tr w:rsidR="00041C39" w:rsidRPr="009D46F7" w14:paraId="68C47AFF" w14:textId="77777777" w:rsidTr="00A01B43">
        <w:tc>
          <w:tcPr>
            <w:tcW w:w="0" w:type="auto"/>
            <w:vAlign w:val="center"/>
          </w:tcPr>
          <w:p w14:paraId="6249BD40" w14:textId="77777777" w:rsidR="009D46F7" w:rsidRPr="001633AB" w:rsidRDefault="009D46F7" w:rsidP="00A01B43">
            <w:pPr>
              <w:pStyle w:val="LCATabla"/>
              <w:keepNext/>
              <w:jc w:val="center"/>
              <w:rPr>
                <w:rFonts w:ascii="Arial" w:hAnsi="Arial" w:cs="Arial"/>
                <w:b/>
                <w:bCs/>
                <w:sz w:val="20"/>
              </w:rPr>
            </w:pPr>
            <w:r w:rsidRPr="001633AB">
              <w:rPr>
                <w:rFonts w:ascii="Arial" w:hAnsi="Arial" w:cs="Arial"/>
                <w:b/>
                <w:bCs/>
                <w:sz w:val="20"/>
              </w:rPr>
              <w:t>Grado de precisión</w:t>
            </w:r>
          </w:p>
        </w:tc>
        <w:tc>
          <w:tcPr>
            <w:tcW w:w="0" w:type="auto"/>
            <w:vAlign w:val="center"/>
          </w:tcPr>
          <w:p w14:paraId="41EE29C0" w14:textId="77777777" w:rsidR="009D46F7" w:rsidRPr="001633AB" w:rsidRDefault="009D46F7" w:rsidP="00900DF9">
            <w:pPr>
              <w:pStyle w:val="LCATabla"/>
              <w:keepNext/>
              <w:jc w:val="both"/>
              <w:rPr>
                <w:rFonts w:ascii="Arial" w:hAnsi="Arial" w:cs="Arial"/>
                <w:sz w:val="20"/>
              </w:rPr>
            </w:pPr>
            <w:r w:rsidRPr="001633AB">
              <w:rPr>
                <w:rFonts w:ascii="Arial" w:hAnsi="Arial" w:cs="Arial"/>
                <w:sz w:val="20"/>
              </w:rPr>
              <w:t>Dos (2) decimales</w:t>
            </w:r>
          </w:p>
        </w:tc>
      </w:tr>
      <w:tr w:rsidR="00041C39" w:rsidRPr="009D46F7" w14:paraId="1FE6B099" w14:textId="77777777" w:rsidTr="00A01B43">
        <w:tc>
          <w:tcPr>
            <w:tcW w:w="0" w:type="auto"/>
            <w:vAlign w:val="center"/>
          </w:tcPr>
          <w:p w14:paraId="54AF7715" w14:textId="77777777" w:rsidR="009D46F7" w:rsidRPr="001633AB" w:rsidRDefault="009D46F7" w:rsidP="00A01B43">
            <w:pPr>
              <w:pStyle w:val="LCATabla"/>
              <w:keepNext/>
              <w:jc w:val="center"/>
              <w:rPr>
                <w:rFonts w:ascii="Arial" w:hAnsi="Arial" w:cs="Arial"/>
                <w:b/>
                <w:bCs/>
                <w:sz w:val="20"/>
              </w:rPr>
            </w:pPr>
            <w:r w:rsidRPr="001633AB">
              <w:rPr>
                <w:rFonts w:ascii="Arial" w:hAnsi="Arial" w:cs="Arial"/>
                <w:b/>
                <w:bCs/>
                <w:sz w:val="20"/>
              </w:rPr>
              <w:t>Forma de medición</w:t>
            </w:r>
          </w:p>
        </w:tc>
        <w:tc>
          <w:tcPr>
            <w:tcW w:w="0" w:type="auto"/>
            <w:vAlign w:val="center"/>
          </w:tcPr>
          <w:p w14:paraId="6A78306D" w14:textId="77777777" w:rsidR="009D46F7" w:rsidRPr="001633AB" w:rsidRDefault="009D46F7" w:rsidP="00900DF9">
            <w:pPr>
              <w:pStyle w:val="LCATabla"/>
              <w:keepNext/>
              <w:jc w:val="both"/>
              <w:rPr>
                <w:rFonts w:ascii="Arial" w:hAnsi="Arial" w:cs="Arial"/>
                <w:sz w:val="20"/>
              </w:rPr>
            </w:pPr>
            <w:r w:rsidRPr="001633AB">
              <w:rPr>
                <w:rFonts w:ascii="Arial" w:hAnsi="Arial" w:cs="Arial"/>
                <w:sz w:val="20"/>
              </w:rPr>
              <w:t>Metros cúbicos realmente fabricados y puestos en obra.</w:t>
            </w:r>
          </w:p>
        </w:tc>
      </w:tr>
      <w:tr w:rsidR="00041C39" w:rsidRPr="009D46F7" w14:paraId="3ED1975F" w14:textId="77777777" w:rsidTr="00A01B43">
        <w:tc>
          <w:tcPr>
            <w:tcW w:w="0" w:type="auto"/>
            <w:vAlign w:val="center"/>
          </w:tcPr>
          <w:p w14:paraId="70119FBE" w14:textId="77777777" w:rsidR="009D46F7" w:rsidRPr="001633AB" w:rsidRDefault="009D46F7" w:rsidP="00A01B43">
            <w:pPr>
              <w:pStyle w:val="LCATabla"/>
              <w:keepNext/>
              <w:jc w:val="center"/>
              <w:rPr>
                <w:rFonts w:ascii="Arial" w:hAnsi="Arial" w:cs="Arial"/>
                <w:b/>
                <w:bCs/>
                <w:sz w:val="20"/>
              </w:rPr>
            </w:pPr>
            <w:r w:rsidRPr="001633AB">
              <w:rPr>
                <w:rFonts w:ascii="Arial" w:hAnsi="Arial" w:cs="Arial"/>
                <w:b/>
                <w:bCs/>
                <w:sz w:val="20"/>
              </w:rPr>
              <w:t>Abono</w:t>
            </w:r>
          </w:p>
        </w:tc>
        <w:tc>
          <w:tcPr>
            <w:tcW w:w="0" w:type="auto"/>
            <w:vAlign w:val="center"/>
          </w:tcPr>
          <w:p w14:paraId="6F2A24C5" w14:textId="77777777" w:rsidR="009D46F7" w:rsidRPr="001633AB" w:rsidRDefault="009D46F7" w:rsidP="00900DF9">
            <w:pPr>
              <w:pStyle w:val="LCATabla"/>
              <w:keepNext/>
              <w:jc w:val="both"/>
              <w:rPr>
                <w:rFonts w:ascii="Arial" w:hAnsi="Arial" w:cs="Arial"/>
                <w:sz w:val="20"/>
              </w:rPr>
            </w:pPr>
            <w:r w:rsidRPr="001633AB">
              <w:rPr>
                <w:rFonts w:ascii="Arial" w:hAnsi="Arial" w:cs="Arial"/>
                <w:sz w:val="20"/>
              </w:rPr>
              <w:t>Se efectuará a la aceptación de la reposición completa de losa.</w:t>
            </w:r>
          </w:p>
        </w:tc>
      </w:tr>
      <w:tr w:rsidR="00041C39" w:rsidRPr="009D46F7" w14:paraId="3834C3B9" w14:textId="77777777" w:rsidTr="00A01B43">
        <w:tc>
          <w:tcPr>
            <w:tcW w:w="0" w:type="auto"/>
            <w:vAlign w:val="center"/>
          </w:tcPr>
          <w:p w14:paraId="09A8F075" w14:textId="77777777" w:rsidR="009D46F7" w:rsidRPr="001633AB" w:rsidRDefault="009D46F7" w:rsidP="00A01B43">
            <w:pPr>
              <w:pStyle w:val="LCATabla"/>
              <w:keepNext/>
              <w:jc w:val="center"/>
              <w:rPr>
                <w:rFonts w:ascii="Arial" w:hAnsi="Arial" w:cs="Arial"/>
                <w:b/>
                <w:bCs/>
                <w:sz w:val="20"/>
              </w:rPr>
            </w:pPr>
            <w:r w:rsidRPr="001633AB">
              <w:rPr>
                <w:rFonts w:ascii="Arial" w:hAnsi="Arial" w:cs="Arial"/>
                <w:b/>
                <w:bCs/>
                <w:sz w:val="20"/>
              </w:rPr>
              <w:t>Criterios complementarios</w:t>
            </w:r>
          </w:p>
        </w:tc>
        <w:tc>
          <w:tcPr>
            <w:tcW w:w="0" w:type="auto"/>
            <w:vAlign w:val="center"/>
          </w:tcPr>
          <w:p w14:paraId="311D5CEC" w14:textId="77777777" w:rsidR="00CF2D86" w:rsidRPr="00A051B7" w:rsidRDefault="00CF2D86" w:rsidP="00900DF9">
            <w:pPr>
              <w:pStyle w:val="LCATabla"/>
              <w:keepNext/>
              <w:jc w:val="both"/>
              <w:rPr>
                <w:rFonts w:ascii="Arial" w:hAnsi="Arial" w:cs="Arial"/>
                <w:sz w:val="20"/>
              </w:rPr>
            </w:pPr>
            <w:r w:rsidRPr="001633AB">
              <w:rPr>
                <w:rFonts w:ascii="Arial" w:hAnsi="Arial" w:cs="Arial"/>
                <w:sz w:val="20"/>
              </w:rPr>
              <w:t xml:space="preserve">El precio de la </w:t>
            </w:r>
            <w:r w:rsidRPr="00A051B7">
              <w:rPr>
                <w:rFonts w:ascii="Arial" w:hAnsi="Arial" w:cs="Arial"/>
                <w:sz w:val="20"/>
              </w:rPr>
              <w:t xml:space="preserve">unidad </w:t>
            </w:r>
            <w:r w:rsidR="000405D7" w:rsidRPr="00A051B7">
              <w:rPr>
                <w:rFonts w:ascii="Arial" w:hAnsi="Arial" w:cs="Arial"/>
                <w:sz w:val="20"/>
              </w:rPr>
              <w:t>no incluye el coste del cemento, riegos de curado, ni el árido de cobertura</w:t>
            </w:r>
          </w:p>
          <w:p w14:paraId="4E8287D9" w14:textId="77777777" w:rsidR="005E0960" w:rsidRPr="00A051B7" w:rsidRDefault="005E0960" w:rsidP="00900DF9">
            <w:pPr>
              <w:pStyle w:val="LCATabla"/>
              <w:keepNext/>
              <w:jc w:val="both"/>
              <w:rPr>
                <w:rFonts w:ascii="Arial" w:hAnsi="Arial" w:cs="Arial"/>
                <w:sz w:val="20"/>
              </w:rPr>
            </w:pPr>
            <w:r w:rsidRPr="00A051B7">
              <w:rPr>
                <w:rFonts w:ascii="Arial" w:hAnsi="Arial" w:cs="Arial"/>
                <w:sz w:val="20"/>
              </w:rPr>
              <w:t>Si está incluido el coste del agua y árido para realizar la mezcla.</w:t>
            </w:r>
          </w:p>
          <w:p w14:paraId="00A27FEE" w14:textId="77777777" w:rsidR="002B40AF" w:rsidRPr="00A051B7" w:rsidRDefault="002B40AF" w:rsidP="00900DF9">
            <w:pPr>
              <w:pStyle w:val="LCATabla"/>
              <w:keepNext/>
              <w:jc w:val="both"/>
              <w:rPr>
                <w:rFonts w:ascii="Arial" w:hAnsi="Arial" w:cs="Arial"/>
                <w:sz w:val="20"/>
              </w:rPr>
            </w:pPr>
            <w:r w:rsidRPr="00A051B7">
              <w:rPr>
                <w:rFonts w:ascii="Arial" w:hAnsi="Arial" w:cs="Arial"/>
                <w:sz w:val="20"/>
              </w:rPr>
              <w:t xml:space="preserve">El precio del árido de cobertura y el riego de curado se </w:t>
            </w:r>
            <w:r w:rsidR="00FD4B8E" w:rsidRPr="00A051B7">
              <w:rPr>
                <w:rFonts w:ascii="Arial" w:hAnsi="Arial" w:cs="Arial"/>
                <w:sz w:val="20"/>
              </w:rPr>
              <w:t>incluye en el artículo 532.Riego de curado</w:t>
            </w:r>
            <w:r w:rsidR="00041C39" w:rsidRPr="00A051B7">
              <w:rPr>
                <w:rFonts w:ascii="Arial" w:hAnsi="Arial" w:cs="Arial"/>
                <w:sz w:val="20"/>
              </w:rPr>
              <w:t xml:space="preserve"> del presente pliego.</w:t>
            </w:r>
          </w:p>
          <w:p w14:paraId="751276BE" w14:textId="77777777" w:rsidR="00041C39" w:rsidRPr="001633AB" w:rsidRDefault="00041C39" w:rsidP="00900DF9">
            <w:pPr>
              <w:pStyle w:val="LCATabla"/>
              <w:keepNext/>
              <w:jc w:val="both"/>
              <w:rPr>
                <w:rFonts w:ascii="Arial" w:hAnsi="Arial" w:cs="Arial"/>
                <w:sz w:val="20"/>
              </w:rPr>
            </w:pPr>
            <w:r w:rsidRPr="00A051B7">
              <w:rPr>
                <w:rFonts w:ascii="Arial" w:hAnsi="Arial" w:cs="Arial"/>
                <w:sz w:val="20"/>
              </w:rPr>
              <w:t xml:space="preserve">Incluye todos los materiales y medios </w:t>
            </w:r>
            <w:r w:rsidR="00217216" w:rsidRPr="00A051B7">
              <w:rPr>
                <w:rFonts w:ascii="Arial" w:hAnsi="Arial" w:cs="Arial"/>
                <w:sz w:val="20"/>
              </w:rPr>
              <w:t>necesarios</w:t>
            </w:r>
            <w:r>
              <w:rPr>
                <w:rFonts w:ascii="Arial" w:hAnsi="Arial" w:cs="Arial"/>
                <w:sz w:val="20"/>
              </w:rPr>
              <w:t xml:space="preserve"> para la correcta ejecución de la unidad.</w:t>
            </w:r>
          </w:p>
          <w:p w14:paraId="60625A72" w14:textId="77777777" w:rsidR="00D1013C" w:rsidRPr="001633AB" w:rsidRDefault="009D46F7" w:rsidP="00900DF9">
            <w:pPr>
              <w:pStyle w:val="LCATabla"/>
              <w:keepNext/>
              <w:jc w:val="both"/>
              <w:rPr>
                <w:rFonts w:ascii="Arial" w:hAnsi="Arial" w:cs="Arial"/>
                <w:sz w:val="20"/>
              </w:rPr>
            </w:pPr>
            <w:r w:rsidRPr="001633AB">
              <w:rPr>
                <w:rFonts w:ascii="Arial" w:hAnsi="Arial" w:cs="Arial"/>
                <w:sz w:val="20"/>
              </w:rPr>
              <w:t>La preparación de</w:t>
            </w:r>
            <w:r w:rsidR="009921F2" w:rsidRPr="001633AB">
              <w:rPr>
                <w:rFonts w:ascii="Arial" w:hAnsi="Arial" w:cs="Arial"/>
                <w:sz w:val="20"/>
              </w:rPr>
              <w:t xml:space="preserve"> </w:t>
            </w:r>
            <w:r w:rsidRPr="001633AB">
              <w:rPr>
                <w:rFonts w:ascii="Arial" w:hAnsi="Arial" w:cs="Arial"/>
                <w:sz w:val="20"/>
              </w:rPr>
              <w:t>la superficie se considera i</w:t>
            </w:r>
            <w:r w:rsidR="00CF2D86" w:rsidRPr="001633AB">
              <w:rPr>
                <w:rFonts w:ascii="Arial" w:hAnsi="Arial" w:cs="Arial"/>
                <w:sz w:val="20"/>
              </w:rPr>
              <w:t>ncluida en la unidad subyacente.</w:t>
            </w:r>
          </w:p>
        </w:tc>
      </w:tr>
    </w:tbl>
    <w:p w14:paraId="5B4550CB" w14:textId="77777777" w:rsidR="009D46F7" w:rsidRDefault="009D46F7" w:rsidP="00810099">
      <w:pPr>
        <w:pStyle w:val="NORMAL12"/>
        <w:rPr>
          <w:color w:val="365F91" w:themeColor="accent1" w:themeShade="BF"/>
        </w:rPr>
      </w:pPr>
    </w:p>
    <w:p w14:paraId="0D396B9E" w14:textId="77777777" w:rsidR="00810099" w:rsidRPr="00886F1A" w:rsidRDefault="006F6223" w:rsidP="00C37F22">
      <w:pPr>
        <w:pStyle w:val="TITU1"/>
      </w:pPr>
      <w:bookmarkStart w:id="579" w:name="_Toc404319"/>
      <w:r w:rsidRPr="00622514">
        <w:lastRenderedPageBreak/>
        <w:t xml:space="preserve">Artículo </w:t>
      </w:r>
      <w:r w:rsidR="00810099" w:rsidRPr="00622514">
        <w:t>530. Riegos de imprimación</w:t>
      </w:r>
      <w:bookmarkEnd w:id="579"/>
    </w:p>
    <w:p w14:paraId="6EE24724" w14:textId="77777777" w:rsidR="0095201D" w:rsidRDefault="0095201D" w:rsidP="008D0820">
      <w:pPr>
        <w:pStyle w:val="NORMAL12"/>
      </w:pPr>
      <w:r w:rsidRPr="008D0820">
        <w:t>Excepto para lo especificado en el presente Pliego de Prescripciones Técnicas particulares se seguirá lo prescrito en el vigente artículo 530 del PG-3.</w:t>
      </w:r>
    </w:p>
    <w:p w14:paraId="79D01980" w14:textId="77777777" w:rsidR="009535DB" w:rsidRPr="009B23E5" w:rsidRDefault="009535DB" w:rsidP="009535DB">
      <w:pPr>
        <w:pStyle w:val="NORMAL12"/>
      </w:pPr>
      <w:r w:rsidRPr="009B23E5">
        <w:t xml:space="preserve">Se define como riego de imprimación la aplicación </w:t>
      </w:r>
      <w:r w:rsidRPr="001A3051">
        <w:t>de una emulsión bituminosa sobre</w:t>
      </w:r>
      <w:r w:rsidRPr="009B23E5">
        <w:t xml:space="preserve"> una capa granular previamente a la colocación sobre ésta de una capa o tratamiento bituminoso.</w:t>
      </w:r>
    </w:p>
    <w:p w14:paraId="3F6F3338" w14:textId="77777777" w:rsidR="00810099" w:rsidRPr="005864C2" w:rsidRDefault="00810099" w:rsidP="000313DD">
      <w:pPr>
        <w:pStyle w:val="TITU2"/>
      </w:pPr>
      <w:bookmarkStart w:id="580" w:name="_Toc404320"/>
      <w:r w:rsidRPr="005864C2">
        <w:t xml:space="preserve">530.1. </w:t>
      </w:r>
      <w:r w:rsidR="008D0820">
        <w:t>Aplicació</w:t>
      </w:r>
      <w:r w:rsidR="0095201D">
        <w:t>n</w:t>
      </w:r>
      <w:bookmarkEnd w:id="580"/>
    </w:p>
    <w:p w14:paraId="280CBE97" w14:textId="77777777" w:rsidR="00C36ABC" w:rsidRPr="008D0820" w:rsidRDefault="00C36ABC" w:rsidP="00C36ABC">
      <w:pPr>
        <w:pStyle w:val="NORMAL12"/>
      </w:pPr>
      <w:r w:rsidRPr="008D0820">
        <w:t xml:space="preserve">Las prescripciones del presente artículo </w:t>
      </w:r>
      <w:proofErr w:type="gramStart"/>
      <w:r w:rsidRPr="008D0820">
        <w:t>son de aplicación</w:t>
      </w:r>
      <w:proofErr w:type="gramEnd"/>
      <w:r w:rsidRPr="008D0820">
        <w:t xml:space="preserve"> a las unidades de obra siguientes:</w:t>
      </w:r>
    </w:p>
    <w:tbl>
      <w:tblPr>
        <w:tblW w:w="5000" w:type="pct"/>
        <w:tblCellMar>
          <w:left w:w="70" w:type="dxa"/>
          <w:right w:w="70" w:type="dxa"/>
        </w:tblCellMar>
        <w:tblLook w:val="04A0" w:firstRow="1" w:lastRow="0" w:firstColumn="1" w:lastColumn="0" w:noHBand="0" w:noVBand="1"/>
      </w:tblPr>
      <w:tblGrid>
        <w:gridCol w:w="1207"/>
        <w:gridCol w:w="702"/>
        <w:gridCol w:w="7869"/>
      </w:tblGrid>
      <w:tr w:rsidR="00A177CF" w:rsidRPr="005864C2" w14:paraId="542D2A99" w14:textId="77777777" w:rsidTr="0084421A">
        <w:trPr>
          <w:trHeight w:val="300"/>
        </w:trPr>
        <w:tc>
          <w:tcPr>
            <w:tcW w:w="538" w:type="pct"/>
            <w:noWrap/>
          </w:tcPr>
          <w:p w14:paraId="0BF87921" w14:textId="77777777" w:rsidR="00A177CF" w:rsidRPr="00D3491E" w:rsidRDefault="00A177CF" w:rsidP="00D510AC">
            <w:pPr>
              <w:rPr>
                <w:rFonts w:ascii="Calibri" w:hAnsi="Calibri"/>
                <w:color w:val="000000"/>
              </w:rPr>
            </w:pPr>
            <w:r w:rsidRPr="00D3491E">
              <w:rPr>
                <w:rFonts w:ascii="Calibri" w:hAnsi="Calibri"/>
                <w:color w:val="000000"/>
              </w:rPr>
              <w:t>530.0020</w:t>
            </w:r>
            <w:r w:rsidR="00F61ECD" w:rsidRPr="00D3491E">
              <w:rPr>
                <w:rFonts w:ascii="Calibri" w:hAnsi="Calibri"/>
                <w:color w:val="000000"/>
              </w:rPr>
              <w:t>N</w:t>
            </w:r>
            <w:r w:rsidRPr="00D3491E">
              <w:rPr>
                <w:rFonts w:ascii="Calibri" w:hAnsi="Calibri"/>
                <w:color w:val="000000"/>
              </w:rPr>
              <w:t xml:space="preserve">         </w:t>
            </w:r>
          </w:p>
        </w:tc>
        <w:tc>
          <w:tcPr>
            <w:tcW w:w="399" w:type="pct"/>
            <w:noWrap/>
          </w:tcPr>
          <w:p w14:paraId="564BAB66" w14:textId="77777777" w:rsidR="00A177CF" w:rsidRPr="00D3491E" w:rsidRDefault="00A177CF">
            <w:pPr>
              <w:rPr>
                <w:rFonts w:ascii="Calibri" w:hAnsi="Calibri"/>
                <w:color w:val="000000"/>
              </w:rPr>
            </w:pPr>
            <w:r w:rsidRPr="00D3491E">
              <w:rPr>
                <w:rFonts w:ascii="Calibri" w:hAnsi="Calibri"/>
                <w:color w:val="000000"/>
              </w:rPr>
              <w:t>t</w:t>
            </w:r>
          </w:p>
        </w:tc>
        <w:tc>
          <w:tcPr>
            <w:tcW w:w="4062" w:type="pct"/>
          </w:tcPr>
          <w:p w14:paraId="2FFB3BAD" w14:textId="77777777" w:rsidR="00A177CF" w:rsidRPr="00D3491E" w:rsidRDefault="0084421A" w:rsidP="00900DF9">
            <w:pPr>
              <w:jc w:val="both"/>
              <w:rPr>
                <w:rFonts w:ascii="Calibri" w:hAnsi="Calibri"/>
                <w:color w:val="000000"/>
              </w:rPr>
            </w:pPr>
            <w:r w:rsidRPr="00D3491E">
              <w:rPr>
                <w:rFonts w:ascii="Calibri" w:hAnsi="Calibri"/>
                <w:color w:val="000000"/>
              </w:rPr>
              <w:t>EMULSIÓN C50BF</w:t>
            </w:r>
            <w:r w:rsidR="000405D7" w:rsidRPr="00D3491E">
              <w:rPr>
                <w:rFonts w:ascii="Calibri" w:hAnsi="Calibri"/>
                <w:color w:val="000000"/>
              </w:rPr>
              <w:t>4</w:t>
            </w:r>
            <w:r w:rsidRPr="00D3491E">
              <w:rPr>
                <w:rFonts w:ascii="Calibri" w:hAnsi="Calibri"/>
                <w:color w:val="000000"/>
              </w:rPr>
              <w:t xml:space="preserve"> IMP EN RIEGO DE IMPRIMACIÓN, BARRIDO Y PREPARACIÓN DE LA SUPERFICIE, TOTALMENTE TERMINADO.</w:t>
            </w:r>
          </w:p>
        </w:tc>
      </w:tr>
    </w:tbl>
    <w:p w14:paraId="63C805BF" w14:textId="77777777" w:rsidR="00810099" w:rsidRPr="005864C2" w:rsidRDefault="00810099" w:rsidP="000313DD">
      <w:pPr>
        <w:pStyle w:val="TITU2"/>
      </w:pPr>
      <w:bookmarkStart w:id="581" w:name="_Toc404321"/>
      <w:r w:rsidRPr="005864C2">
        <w:t>530.2. Materiales</w:t>
      </w:r>
      <w:bookmarkEnd w:id="581"/>
    </w:p>
    <w:p w14:paraId="0B916C3F" w14:textId="77777777" w:rsidR="00835A51" w:rsidRPr="009B23E5" w:rsidRDefault="00835A51" w:rsidP="008D0820">
      <w:pPr>
        <w:pStyle w:val="NORMAL12"/>
      </w:pPr>
      <w:r w:rsidRPr="00A01B43">
        <w:t xml:space="preserve">Salvo justificación en contrario, se empleará una emulsión bituminosa tipo </w:t>
      </w:r>
      <w:r w:rsidR="00A01B43" w:rsidRPr="00A01B43">
        <w:t xml:space="preserve">C50BF4 IMP del </w:t>
      </w:r>
      <w:r w:rsidRPr="00A01B43">
        <w:t>artículo 214 del PG-3 vigente.</w:t>
      </w:r>
    </w:p>
    <w:p w14:paraId="64F26A07" w14:textId="77777777" w:rsidR="00835A51" w:rsidRPr="009B23E5" w:rsidRDefault="00835A51" w:rsidP="008D0820">
      <w:pPr>
        <w:pStyle w:val="NORMAL12"/>
      </w:pPr>
      <w:r w:rsidRPr="009B23E5">
        <w:t>El árido de cobertura a emplear, en rieg</w:t>
      </w:r>
      <w:r w:rsidR="008D0820">
        <w:t xml:space="preserve">os de imprimación será una arena </w:t>
      </w:r>
      <w:r w:rsidRPr="009B23E5">
        <w:t>natural, aren</w:t>
      </w:r>
      <w:r w:rsidR="008D0820">
        <w:t>a</w:t>
      </w:r>
      <w:r w:rsidRPr="009B23E5">
        <w:t xml:space="preserve"> de </w:t>
      </w:r>
      <w:r w:rsidR="00C83B5C">
        <w:t>machaqueo o una mezcla de ambas y debe cumplir:</w:t>
      </w:r>
    </w:p>
    <w:p w14:paraId="42DA70C6" w14:textId="77777777" w:rsidR="00835A51" w:rsidRPr="00111B52" w:rsidRDefault="00835A51" w:rsidP="009159F9">
      <w:pPr>
        <w:pStyle w:val="NORMAL12"/>
        <w:numPr>
          <w:ilvl w:val="0"/>
          <w:numId w:val="123"/>
        </w:numPr>
      </w:pPr>
      <w:r w:rsidRPr="00111B52">
        <w:t>La totalidad del árido deberá pasar por el tamiz 4 mm y no contener más de un quince (15) por ciento de partículas inferiores al tamiz 0,063 mm de acuerdo con la norma UNE</w:t>
      </w:r>
      <w:r w:rsidR="005609C2">
        <w:t>-</w:t>
      </w:r>
      <w:r w:rsidRPr="00111B52">
        <w:t>EN 933-1</w:t>
      </w:r>
      <w:r w:rsidR="0006143B" w:rsidRPr="00111B52">
        <w:t>:2012</w:t>
      </w:r>
      <w:r w:rsidRPr="00111B52">
        <w:t>.</w:t>
      </w:r>
    </w:p>
    <w:p w14:paraId="51253ACA" w14:textId="77777777" w:rsidR="00835A51" w:rsidRPr="00111B52" w:rsidRDefault="00835A51" w:rsidP="009159F9">
      <w:pPr>
        <w:pStyle w:val="NORMAL12"/>
        <w:numPr>
          <w:ilvl w:val="0"/>
          <w:numId w:val="123"/>
        </w:numPr>
      </w:pPr>
      <w:r w:rsidRPr="00111B52">
        <w:t>El árido deberá estar exento de todo tipo de materias extrañas. El equivalente de arena (SE4) del árido, para la fracción 0/4 del árido debe ser superior al cuarenta (SE4&gt;40)</w:t>
      </w:r>
    </w:p>
    <w:p w14:paraId="1C4D2F93" w14:textId="77777777" w:rsidR="00835A51" w:rsidRPr="00111B52" w:rsidRDefault="00835A51" w:rsidP="009159F9">
      <w:pPr>
        <w:pStyle w:val="NORMAL12"/>
        <w:numPr>
          <w:ilvl w:val="0"/>
          <w:numId w:val="123"/>
        </w:numPr>
      </w:pPr>
      <w:r w:rsidRPr="00111B52">
        <w:t xml:space="preserve">El </w:t>
      </w:r>
      <w:r w:rsidRPr="00D3491E">
        <w:t>material deberá ser no plástico según normas UNE 103103</w:t>
      </w:r>
      <w:r w:rsidR="0006143B" w:rsidRPr="00D3491E">
        <w:t>:1994</w:t>
      </w:r>
      <w:r w:rsidRPr="00D3491E">
        <w:t xml:space="preserve"> y UNE 103104</w:t>
      </w:r>
      <w:r w:rsidR="0006143B" w:rsidRPr="00D3491E">
        <w:t>:1993</w:t>
      </w:r>
      <w:r w:rsidR="00810099" w:rsidRPr="00D3491E">
        <w:t>.</w:t>
      </w:r>
      <w:r w:rsidR="00810099" w:rsidRPr="00111B52">
        <w:t xml:space="preserve"> </w:t>
      </w:r>
    </w:p>
    <w:p w14:paraId="5826EC39" w14:textId="77777777" w:rsidR="00810099" w:rsidRPr="00111B52" w:rsidRDefault="00835A51" w:rsidP="000313DD">
      <w:pPr>
        <w:pStyle w:val="TITU2"/>
      </w:pPr>
      <w:bookmarkStart w:id="582" w:name="_Toc404322"/>
      <w:r w:rsidRPr="00111B52">
        <w:t xml:space="preserve">530.3. </w:t>
      </w:r>
      <w:r w:rsidR="00810099" w:rsidRPr="00111B52">
        <w:t>Dotación de los materiales</w:t>
      </w:r>
      <w:bookmarkEnd w:id="582"/>
    </w:p>
    <w:p w14:paraId="68412E08" w14:textId="77777777" w:rsidR="00B04240" w:rsidRPr="00B04240" w:rsidRDefault="00B04240" w:rsidP="00B04240">
      <w:pPr>
        <w:pStyle w:val="NORMAL12"/>
      </w:pPr>
      <w:r>
        <w:t>Será de aplicación lo prescrito en el artículo 530 del PG-3 con las siguientes especificaciones:</w:t>
      </w:r>
    </w:p>
    <w:p w14:paraId="278FD541" w14:textId="77777777" w:rsidR="00835A51" w:rsidRPr="00111B52" w:rsidRDefault="00A01B43" w:rsidP="00221E1A">
      <w:pPr>
        <w:pStyle w:val="NORMAL12"/>
        <w:numPr>
          <w:ilvl w:val="0"/>
          <w:numId w:val="127"/>
        </w:numPr>
      </w:pPr>
      <w:r w:rsidRPr="00111B52">
        <w:t xml:space="preserve">La dotación de la emulsión bituminosa será de </w:t>
      </w:r>
      <w:r w:rsidR="00835A51" w:rsidRPr="00111B52">
        <w:t>1,0 kg/m</w:t>
      </w:r>
      <w:r w:rsidR="00835A51" w:rsidRPr="006455AE">
        <w:rPr>
          <w:vertAlign w:val="superscript"/>
        </w:rPr>
        <w:t>2</w:t>
      </w:r>
      <w:r w:rsidR="00835A51" w:rsidRPr="00111B52">
        <w:t xml:space="preserve"> de superficie a tratar. No obstante, el </w:t>
      </w:r>
      <w:proofErr w:type="gramStart"/>
      <w:r w:rsidR="00835A51" w:rsidRPr="00111B52">
        <w:t>Director</w:t>
      </w:r>
      <w:proofErr w:type="gramEnd"/>
      <w:r w:rsidR="00835A51" w:rsidRPr="00111B52">
        <w:t xml:space="preserve"> de la obra podrá modificar tal dotación a la vista de las pruebas realizadas, como se indica posteriormente.</w:t>
      </w:r>
    </w:p>
    <w:p w14:paraId="53F4EB1D" w14:textId="77777777" w:rsidR="00835A51" w:rsidRPr="00111B52" w:rsidRDefault="00835A51" w:rsidP="00221E1A">
      <w:pPr>
        <w:pStyle w:val="NORMAL12"/>
        <w:numPr>
          <w:ilvl w:val="0"/>
          <w:numId w:val="127"/>
        </w:numPr>
      </w:pPr>
      <w:r w:rsidRPr="00111B52">
        <w:t>Dotación de árido de cobertura estimada: 5 l/m</w:t>
      </w:r>
      <w:r w:rsidRPr="00D3491E">
        <w:rPr>
          <w:vertAlign w:val="superscript"/>
        </w:rPr>
        <w:t xml:space="preserve">2 </w:t>
      </w:r>
      <w:r w:rsidRPr="00111B52">
        <w:t>de superficie a tratar</w:t>
      </w:r>
    </w:p>
    <w:p w14:paraId="75ECA2D4" w14:textId="77777777" w:rsidR="000C1D27" w:rsidRPr="00111B52" w:rsidRDefault="000C1D27" w:rsidP="000313DD">
      <w:pPr>
        <w:pStyle w:val="TITU2"/>
      </w:pPr>
      <w:bookmarkStart w:id="583" w:name="_Toc404323"/>
      <w:r w:rsidRPr="00111B52">
        <w:t>530.5. Ejecución de las obras</w:t>
      </w:r>
      <w:bookmarkEnd w:id="583"/>
    </w:p>
    <w:p w14:paraId="122FA36B" w14:textId="77777777" w:rsidR="000C1D27" w:rsidRPr="00111B52" w:rsidRDefault="000C1D27" w:rsidP="000C1D27">
      <w:pPr>
        <w:pStyle w:val="TITU3"/>
        <w:numPr>
          <w:ilvl w:val="0"/>
          <w:numId w:val="0"/>
        </w:numPr>
      </w:pPr>
      <w:r w:rsidRPr="00111B52">
        <w:t>530.5.3. Extensión del árido de cobertura</w:t>
      </w:r>
    </w:p>
    <w:p w14:paraId="489CF1D9" w14:textId="77777777" w:rsidR="000C1D27" w:rsidRPr="00111B52" w:rsidRDefault="000C1D27" w:rsidP="000C1D27">
      <w:pPr>
        <w:pStyle w:val="NORMAL12"/>
        <w:rPr>
          <w:lang w:val="es-ES"/>
        </w:rPr>
      </w:pPr>
      <w:r w:rsidRPr="00111B52">
        <w:rPr>
          <w:lang w:val="es-ES"/>
        </w:rPr>
        <w:t xml:space="preserve">La extensión del árido de cobertura se realizará por orden del </w:t>
      </w:r>
      <w:proofErr w:type="gramStart"/>
      <w:r w:rsidRPr="00111B52">
        <w:rPr>
          <w:lang w:val="es-ES"/>
        </w:rPr>
        <w:t>Director</w:t>
      </w:r>
      <w:proofErr w:type="gramEnd"/>
      <w:r w:rsidRPr="00111B52">
        <w:rPr>
          <w:lang w:val="es-ES"/>
        </w:rPr>
        <w:t xml:space="preserve"> de las Obras en los siguientes casos:</w:t>
      </w:r>
    </w:p>
    <w:p w14:paraId="47F6F197" w14:textId="77777777" w:rsidR="000C1D27" w:rsidRPr="00111B52" w:rsidRDefault="000C1D27" w:rsidP="00221E1A">
      <w:pPr>
        <w:pStyle w:val="NORMAL12"/>
        <w:numPr>
          <w:ilvl w:val="0"/>
          <w:numId w:val="127"/>
        </w:numPr>
      </w:pPr>
      <w:r w:rsidRPr="00111B52">
        <w:t>Cuando sea preciso hacer circular vehículos sobre el riego de imprimación.</w:t>
      </w:r>
    </w:p>
    <w:p w14:paraId="679F0CF0" w14:textId="77777777" w:rsidR="000C1D27" w:rsidRPr="00111B52" w:rsidRDefault="000C1D27" w:rsidP="00221E1A">
      <w:pPr>
        <w:pStyle w:val="NORMAL12"/>
        <w:numPr>
          <w:ilvl w:val="0"/>
          <w:numId w:val="127"/>
        </w:numPr>
      </w:pPr>
      <w:r w:rsidRPr="00111B52">
        <w:t>Si se observa que parte del riego de imprimación está sin absorber después de veinticuatro horas (24 h) después de su aplicación.</w:t>
      </w:r>
    </w:p>
    <w:p w14:paraId="5BC04048" w14:textId="77777777" w:rsidR="00810099" w:rsidRPr="00111B52" w:rsidRDefault="00810099" w:rsidP="000313DD">
      <w:pPr>
        <w:pStyle w:val="TITU2"/>
      </w:pPr>
      <w:bookmarkStart w:id="584" w:name="_Toc404324"/>
      <w:r w:rsidRPr="00111B52">
        <w:t>530.7. Control de calidad</w:t>
      </w:r>
      <w:bookmarkEnd w:id="584"/>
    </w:p>
    <w:p w14:paraId="796EF5FA" w14:textId="77777777" w:rsidR="00835A51" w:rsidRPr="00111B52" w:rsidRDefault="00835A51" w:rsidP="008D0820">
      <w:pPr>
        <w:pStyle w:val="NORMAL12"/>
      </w:pPr>
      <w:r w:rsidRPr="00111B52">
        <w:t>Para los productos con marcado CE, según el Reglamento 305/2011, para el control de procedencia de los materiales, se llevará a cabo la verificación de los valores declarados en los documentos que acompañan al marcado CE cumplen las especificaciones establecidas en este Pliego.</w:t>
      </w:r>
    </w:p>
    <w:p w14:paraId="30DF6046" w14:textId="77777777" w:rsidR="00835A51" w:rsidRPr="00111B52" w:rsidRDefault="00835A51" w:rsidP="008D0820">
      <w:pPr>
        <w:pStyle w:val="NORMAL12"/>
      </w:pPr>
      <w:r w:rsidRPr="00111B52">
        <w:t>La emulsión bituminosa debe cumplir las especificaciones establecidas en el artículo 214 del PG-3 vigente.</w:t>
      </w:r>
    </w:p>
    <w:p w14:paraId="047D1900" w14:textId="77777777" w:rsidR="00835A51" w:rsidRPr="00111B52" w:rsidRDefault="00835A51" w:rsidP="008D0820">
      <w:pPr>
        <w:pStyle w:val="NORMAL12"/>
      </w:pPr>
      <w:r w:rsidRPr="00111B52">
        <w:t>Los áridos deben disponer de marcado CE con un sistema de evaluación de la conformidad 2+, salvo en el caso de los áridos declarados en el propio lugar de construcción.</w:t>
      </w:r>
    </w:p>
    <w:p w14:paraId="4E34D7FC" w14:textId="77777777" w:rsidR="00835A51" w:rsidRPr="009B23E5" w:rsidRDefault="00835A51" w:rsidP="008D0820">
      <w:pPr>
        <w:pStyle w:val="NORMAL12"/>
      </w:pPr>
      <w:r w:rsidRPr="00111B52">
        <w:t xml:space="preserve">Para los áridos fabricados en el lugar de construcción, de cada procedencia y para cualquier volumen de producción previsto, se </w:t>
      </w:r>
      <w:proofErr w:type="gramStart"/>
      <w:r w:rsidRPr="00111B52">
        <w:t>tomaran</w:t>
      </w:r>
      <w:proofErr w:type="gramEnd"/>
      <w:r w:rsidRPr="00111B52">
        <w:t xml:space="preserve"> dos muestras y sobre ella se determinará la granulometría, el equivalente de arena (norma UNE</w:t>
      </w:r>
      <w:r w:rsidR="005609C2">
        <w:t>-</w:t>
      </w:r>
      <w:r w:rsidRPr="00111B52">
        <w:t>EN 933-8</w:t>
      </w:r>
      <w:r w:rsidR="0006143B" w:rsidRPr="00111B52">
        <w:t>:2012 +A1:2015</w:t>
      </w:r>
      <w:r w:rsidRPr="00111B52">
        <w:t>) y la plasticidad (norma UNE 103104</w:t>
      </w:r>
      <w:r w:rsidR="00A5501B" w:rsidRPr="00111B52">
        <w:t>:1993</w:t>
      </w:r>
      <w:r w:rsidRPr="00111B52">
        <w:t>)</w:t>
      </w:r>
    </w:p>
    <w:p w14:paraId="5C4EC738" w14:textId="77777777" w:rsidR="00835A51" w:rsidRDefault="00835A51" w:rsidP="009921F2">
      <w:pPr>
        <w:pStyle w:val="NORMAL12"/>
      </w:pPr>
      <w:proofErr w:type="gramStart"/>
      <w:r w:rsidRPr="00111B52">
        <w:t>Los ensayos mínimos a realizar</w:t>
      </w:r>
      <w:proofErr w:type="gramEnd"/>
      <w:r w:rsidRPr="00111B52">
        <w:t xml:space="preserve"> sobre el material y la frecuencia establecida está</w:t>
      </w:r>
      <w:r w:rsidR="00020F26" w:rsidRPr="00111B52">
        <w:t>n reflejados</w:t>
      </w:r>
      <w:r w:rsidRPr="00111B52">
        <w:t xml:space="preserve"> en la siguiente tabla; serán también de aplicación los ensayos establecidos en el artículo 530. Riego de Imprimación del PG-3 no incluidos en el presente artículo; el </w:t>
      </w:r>
      <w:r w:rsidRPr="00111B52">
        <w:lastRenderedPageBreak/>
        <w:t xml:space="preserve">coste de </w:t>
      </w:r>
      <w:proofErr w:type="gramStart"/>
      <w:r w:rsidRPr="00111B52">
        <w:t>los mismos</w:t>
      </w:r>
      <w:proofErr w:type="gramEnd"/>
      <w:r w:rsidRPr="00111B52">
        <w:t xml:space="preserve"> será sufragado según indica </w:t>
      </w:r>
      <w:r w:rsidR="009921F2" w:rsidRPr="00111B52">
        <w:t>en el artículo ensayos del presente pliego.</w:t>
      </w:r>
    </w:p>
    <w:tbl>
      <w:tblPr>
        <w:tblW w:w="5000" w:type="pct"/>
        <w:tblCellMar>
          <w:left w:w="70" w:type="dxa"/>
          <w:right w:w="70" w:type="dxa"/>
        </w:tblCellMar>
        <w:tblLook w:val="00A0" w:firstRow="1" w:lastRow="0" w:firstColumn="1" w:lastColumn="0" w:noHBand="0" w:noVBand="0"/>
      </w:tblPr>
      <w:tblGrid>
        <w:gridCol w:w="9778"/>
      </w:tblGrid>
      <w:tr w:rsidR="00097BC8" w:rsidRPr="00097BC8" w14:paraId="39174FF5" w14:textId="77777777" w:rsidTr="00524011">
        <w:trPr>
          <w:trHeight w:val="510"/>
          <w:tblHeader/>
        </w:trPr>
        <w:tc>
          <w:tcPr>
            <w:tcW w:w="5000" w:type="pct"/>
            <w:tcBorders>
              <w:top w:val="single" w:sz="4" w:space="0" w:color="auto"/>
              <w:left w:val="single" w:sz="4" w:space="0" w:color="auto"/>
              <w:bottom w:val="single" w:sz="4" w:space="0" w:color="auto"/>
              <w:right w:val="single" w:sz="4" w:space="0" w:color="auto"/>
            </w:tcBorders>
            <w:shd w:val="clear" w:color="000000" w:fill="D8D8D8"/>
            <w:noWrap/>
            <w:vAlign w:val="center"/>
          </w:tcPr>
          <w:p w14:paraId="553DA607" w14:textId="77777777" w:rsidR="00097BC8" w:rsidRPr="00097BC8" w:rsidRDefault="00097BC8" w:rsidP="00524011">
            <w:pPr>
              <w:rPr>
                <w:rFonts w:ascii="Arial" w:hAnsi="Arial" w:cs="Arial"/>
                <w:b/>
                <w:bCs/>
                <w:sz w:val="20"/>
                <w:szCs w:val="20"/>
              </w:rPr>
            </w:pPr>
            <w:r>
              <w:rPr>
                <w:rFonts w:ascii="Arial" w:hAnsi="Arial" w:cs="Arial"/>
                <w:b/>
                <w:bCs/>
                <w:sz w:val="20"/>
                <w:szCs w:val="20"/>
              </w:rPr>
              <w:t>RIEGOS DE IMPRIMACIÓN</w:t>
            </w:r>
          </w:p>
        </w:tc>
      </w:tr>
      <w:tr w:rsidR="00097BC8" w:rsidRPr="00097BC8" w14:paraId="4F0F3F95" w14:textId="77777777" w:rsidTr="00524011">
        <w:trPr>
          <w:trHeight w:val="600"/>
        </w:trPr>
        <w:tc>
          <w:tcPr>
            <w:tcW w:w="5000" w:type="pct"/>
            <w:tcBorders>
              <w:top w:val="nil"/>
              <w:left w:val="single" w:sz="4" w:space="0" w:color="auto"/>
              <w:bottom w:val="single" w:sz="4" w:space="0" w:color="auto"/>
              <w:right w:val="single" w:sz="4" w:space="0" w:color="auto"/>
            </w:tcBorders>
            <w:noWrap/>
            <w:vAlign w:val="center"/>
          </w:tcPr>
          <w:p w14:paraId="4E6335AE" w14:textId="77777777" w:rsidR="00097BC8" w:rsidRPr="00097BC8" w:rsidRDefault="00097BC8" w:rsidP="00524011">
            <w:pPr>
              <w:rPr>
                <w:rFonts w:ascii="Arial" w:hAnsi="Arial" w:cs="Arial"/>
                <w:b/>
                <w:bCs/>
                <w:sz w:val="20"/>
                <w:szCs w:val="20"/>
              </w:rPr>
            </w:pPr>
            <w:r w:rsidRPr="00097BC8">
              <w:rPr>
                <w:rFonts w:ascii="Arial" w:hAnsi="Arial" w:cs="Arial"/>
                <w:b/>
                <w:bCs/>
                <w:i/>
                <w:sz w:val="20"/>
                <w:szCs w:val="20"/>
                <w:u w:val="single"/>
              </w:rPr>
              <w:t>Lugar de procedencia. Antes de su ejecución:</w:t>
            </w:r>
          </w:p>
        </w:tc>
      </w:tr>
      <w:tr w:rsidR="00097BC8" w:rsidRPr="00097BC8" w14:paraId="06CF1880" w14:textId="77777777" w:rsidTr="00524011">
        <w:trPr>
          <w:trHeight w:val="600"/>
        </w:trPr>
        <w:tc>
          <w:tcPr>
            <w:tcW w:w="5000" w:type="pct"/>
            <w:tcBorders>
              <w:top w:val="nil"/>
              <w:left w:val="single" w:sz="4" w:space="0" w:color="auto"/>
              <w:bottom w:val="single" w:sz="4" w:space="0" w:color="auto"/>
              <w:right w:val="single" w:sz="4" w:space="0" w:color="auto"/>
            </w:tcBorders>
            <w:vAlign w:val="center"/>
          </w:tcPr>
          <w:p w14:paraId="17071C23"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 xml:space="preserve">Cada quinientos </w:t>
            </w:r>
            <w:proofErr w:type="gramStart"/>
            <w:r w:rsidRPr="00097BC8">
              <w:rPr>
                <w:rFonts w:ascii="Arial" w:hAnsi="Arial" w:cs="Arial"/>
                <w:i/>
                <w:iCs/>
                <w:sz w:val="20"/>
                <w:szCs w:val="20"/>
              </w:rPr>
              <w:t>metros(</w:t>
            </w:r>
            <w:proofErr w:type="gramEnd"/>
            <w:r w:rsidRPr="00097BC8">
              <w:rPr>
                <w:rFonts w:ascii="Arial" w:hAnsi="Arial" w:cs="Arial"/>
                <w:i/>
                <w:iCs/>
                <w:sz w:val="20"/>
                <w:szCs w:val="20"/>
              </w:rPr>
              <w:t>500 m) de calzada, superficie de (3.500 m</w:t>
            </w:r>
            <w:r w:rsidRPr="00097BC8">
              <w:rPr>
                <w:rFonts w:ascii="Arial" w:hAnsi="Arial" w:cs="Arial"/>
                <w:i/>
                <w:iCs/>
                <w:sz w:val="20"/>
                <w:szCs w:val="20"/>
                <w:vertAlign w:val="superscript"/>
              </w:rPr>
              <w:t>2</w:t>
            </w:r>
            <w:r w:rsidRPr="00097BC8">
              <w:rPr>
                <w:rFonts w:ascii="Arial" w:hAnsi="Arial" w:cs="Arial"/>
                <w:i/>
                <w:iCs/>
                <w:sz w:val="20"/>
                <w:szCs w:val="20"/>
              </w:rPr>
              <w:t>) o superficie imprimada diariamente:</w:t>
            </w:r>
          </w:p>
        </w:tc>
      </w:tr>
      <w:tr w:rsidR="00097BC8" w:rsidRPr="00097BC8" w14:paraId="5664FEA8"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51EB994D" w14:textId="77777777" w:rsidR="00097BC8" w:rsidRPr="00097BC8" w:rsidRDefault="00097BC8" w:rsidP="00524011">
            <w:pPr>
              <w:autoSpaceDE w:val="0"/>
              <w:autoSpaceDN w:val="0"/>
              <w:adjustRightInd w:val="0"/>
              <w:jc w:val="right"/>
              <w:rPr>
                <w:rFonts w:ascii="Arial" w:hAnsi="Arial" w:cs="Arial"/>
                <w:sz w:val="20"/>
                <w:szCs w:val="20"/>
              </w:rPr>
            </w:pPr>
            <w:r w:rsidRPr="00097BC8">
              <w:rPr>
                <w:rFonts w:ascii="Arial" w:hAnsi="Arial" w:cs="Arial"/>
                <w:sz w:val="20"/>
                <w:szCs w:val="20"/>
              </w:rPr>
              <w:t>Una (1) Determinación del contenido de agua (UNE-EN 13614:2011)</w:t>
            </w:r>
          </w:p>
        </w:tc>
      </w:tr>
      <w:tr w:rsidR="00097BC8" w:rsidRPr="00097BC8" w14:paraId="0371BBA9"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7B8A4B25"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Viscosidad Saybolt (UNE-EN 12846-1:2011)</w:t>
            </w:r>
          </w:p>
        </w:tc>
      </w:tr>
      <w:tr w:rsidR="00097BC8" w:rsidRPr="00097BC8" w14:paraId="4FE39F29"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3D39078E"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Destilación (NLT 134/99)</w:t>
            </w:r>
          </w:p>
        </w:tc>
      </w:tr>
      <w:tr w:rsidR="00097BC8" w:rsidRPr="00097BC8" w14:paraId="2D8730CF"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6A5DDA28"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Penetración sobre residuo de destilación (NLT 124/99) (UNE EN 1426:2015)</w:t>
            </w:r>
          </w:p>
        </w:tc>
      </w:tr>
      <w:tr w:rsidR="00097BC8" w:rsidRPr="00097BC8" w14:paraId="5A7F065F" w14:textId="77777777" w:rsidTr="00524011">
        <w:trPr>
          <w:trHeight w:val="600"/>
        </w:trPr>
        <w:tc>
          <w:tcPr>
            <w:tcW w:w="5000" w:type="pct"/>
            <w:tcBorders>
              <w:top w:val="nil"/>
              <w:left w:val="single" w:sz="4" w:space="0" w:color="auto"/>
              <w:bottom w:val="single" w:sz="4" w:space="0" w:color="auto"/>
              <w:right w:val="single" w:sz="4" w:space="0" w:color="auto"/>
            </w:tcBorders>
            <w:noWrap/>
            <w:vAlign w:val="center"/>
          </w:tcPr>
          <w:p w14:paraId="36684DD7" w14:textId="77777777" w:rsidR="00097BC8" w:rsidRPr="00097BC8" w:rsidRDefault="00097BC8" w:rsidP="00524011">
            <w:pPr>
              <w:rPr>
                <w:rFonts w:ascii="Arial" w:hAnsi="Arial" w:cs="Arial"/>
                <w:b/>
                <w:bCs/>
                <w:sz w:val="20"/>
                <w:szCs w:val="20"/>
              </w:rPr>
            </w:pPr>
            <w:r w:rsidRPr="00097BC8">
              <w:rPr>
                <w:rFonts w:ascii="Arial" w:hAnsi="Arial" w:cs="Arial"/>
                <w:b/>
                <w:bCs/>
                <w:i/>
                <w:sz w:val="20"/>
                <w:szCs w:val="20"/>
                <w:u w:val="single"/>
              </w:rPr>
              <w:t>Durante su ejecución:</w:t>
            </w:r>
          </w:p>
        </w:tc>
      </w:tr>
      <w:tr w:rsidR="00097BC8" w:rsidRPr="00097BC8" w14:paraId="4C6F938D" w14:textId="77777777" w:rsidTr="00524011">
        <w:trPr>
          <w:trHeight w:val="600"/>
        </w:trPr>
        <w:tc>
          <w:tcPr>
            <w:tcW w:w="5000" w:type="pct"/>
            <w:tcBorders>
              <w:top w:val="nil"/>
              <w:left w:val="single" w:sz="4" w:space="0" w:color="auto"/>
              <w:bottom w:val="single" w:sz="4" w:space="0" w:color="auto"/>
              <w:right w:val="single" w:sz="4" w:space="0" w:color="auto"/>
            </w:tcBorders>
            <w:vAlign w:val="center"/>
          </w:tcPr>
          <w:p w14:paraId="56245F79"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 xml:space="preserve">Cada quinientos </w:t>
            </w:r>
            <w:proofErr w:type="gramStart"/>
            <w:r w:rsidRPr="00097BC8">
              <w:rPr>
                <w:rFonts w:ascii="Arial" w:hAnsi="Arial" w:cs="Arial"/>
                <w:i/>
                <w:iCs/>
                <w:sz w:val="20"/>
                <w:szCs w:val="20"/>
              </w:rPr>
              <w:t>metros(</w:t>
            </w:r>
            <w:proofErr w:type="gramEnd"/>
            <w:r w:rsidRPr="00097BC8">
              <w:rPr>
                <w:rFonts w:ascii="Arial" w:hAnsi="Arial" w:cs="Arial"/>
                <w:i/>
                <w:iCs/>
                <w:sz w:val="20"/>
                <w:szCs w:val="20"/>
              </w:rPr>
              <w:t>500 m) de calzada, superficie de (3.500 m</w:t>
            </w:r>
            <w:r w:rsidRPr="00097BC8">
              <w:rPr>
                <w:rFonts w:ascii="Arial" w:hAnsi="Arial" w:cs="Arial"/>
                <w:i/>
                <w:iCs/>
                <w:sz w:val="20"/>
                <w:szCs w:val="20"/>
                <w:vertAlign w:val="superscript"/>
              </w:rPr>
              <w:t>2</w:t>
            </w:r>
            <w:r w:rsidRPr="00097BC8">
              <w:rPr>
                <w:rFonts w:ascii="Arial" w:hAnsi="Arial" w:cs="Arial"/>
                <w:i/>
                <w:iCs/>
                <w:sz w:val="20"/>
                <w:szCs w:val="20"/>
              </w:rPr>
              <w:t>) o superficie imprimada diariamente:</w:t>
            </w:r>
          </w:p>
        </w:tc>
      </w:tr>
      <w:tr w:rsidR="00097BC8" w:rsidRPr="00097BC8" w14:paraId="12604AC3"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6F7C65F5" w14:textId="77777777" w:rsidR="00097BC8" w:rsidRPr="00097BC8" w:rsidRDefault="00097BC8" w:rsidP="00524011">
            <w:pPr>
              <w:autoSpaceDE w:val="0"/>
              <w:autoSpaceDN w:val="0"/>
              <w:adjustRightInd w:val="0"/>
              <w:jc w:val="right"/>
              <w:rPr>
                <w:rFonts w:ascii="Arial" w:hAnsi="Arial" w:cs="Arial"/>
                <w:sz w:val="20"/>
                <w:szCs w:val="20"/>
              </w:rPr>
            </w:pPr>
            <w:r w:rsidRPr="00097BC8">
              <w:rPr>
                <w:rFonts w:ascii="Arial" w:hAnsi="Arial" w:cs="Arial"/>
                <w:sz w:val="20"/>
                <w:szCs w:val="20"/>
              </w:rPr>
              <w:t>Una (1) Determinación del contenido de agua (UNE EN 13614:2011)</w:t>
            </w:r>
          </w:p>
        </w:tc>
      </w:tr>
      <w:tr w:rsidR="00097BC8" w:rsidRPr="00097BC8" w14:paraId="6EEDB032"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1320DDE7"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Viscosidad Saybolt (UNE-EN 12846-1:2011)</w:t>
            </w:r>
          </w:p>
        </w:tc>
      </w:tr>
      <w:tr w:rsidR="00097BC8" w:rsidRPr="00097BC8" w14:paraId="5DC4B56E"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2F8D60BB"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Destilación (NLT 134/99)</w:t>
            </w:r>
          </w:p>
        </w:tc>
      </w:tr>
      <w:tr w:rsidR="00097BC8" w:rsidRPr="00097BC8" w14:paraId="37A9386D"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5E713272"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Penetración sobre residuo de destilación (NLT 124/99) (UNE EN 1426:2015)</w:t>
            </w:r>
          </w:p>
        </w:tc>
      </w:tr>
      <w:tr w:rsidR="00097BC8" w:rsidRPr="00097BC8" w14:paraId="3029706D" w14:textId="77777777" w:rsidTr="00524011">
        <w:trPr>
          <w:trHeight w:val="600"/>
        </w:trPr>
        <w:tc>
          <w:tcPr>
            <w:tcW w:w="5000" w:type="pct"/>
            <w:tcBorders>
              <w:top w:val="nil"/>
              <w:left w:val="single" w:sz="4" w:space="0" w:color="auto"/>
              <w:bottom w:val="single" w:sz="4" w:space="0" w:color="auto"/>
              <w:right w:val="single" w:sz="4" w:space="0" w:color="auto"/>
            </w:tcBorders>
            <w:vAlign w:val="center"/>
          </w:tcPr>
          <w:p w14:paraId="71E66E7C" w14:textId="77777777" w:rsidR="00097BC8" w:rsidRPr="00097BC8" w:rsidRDefault="00097BC8" w:rsidP="00524011">
            <w:pPr>
              <w:rPr>
                <w:rFonts w:ascii="Arial" w:hAnsi="Arial" w:cs="Arial"/>
                <w:b/>
                <w:i/>
                <w:iCs/>
                <w:sz w:val="20"/>
                <w:szCs w:val="20"/>
              </w:rPr>
            </w:pPr>
            <w:r w:rsidRPr="00097BC8">
              <w:rPr>
                <w:rFonts w:ascii="Arial" w:hAnsi="Arial" w:cs="Arial"/>
                <w:b/>
                <w:bCs/>
                <w:i/>
                <w:sz w:val="20"/>
                <w:szCs w:val="20"/>
                <w:u w:val="single"/>
              </w:rPr>
              <w:t>Árido de cobertura:</w:t>
            </w:r>
          </w:p>
        </w:tc>
      </w:tr>
      <w:tr w:rsidR="00097BC8" w:rsidRPr="00097BC8" w14:paraId="408BED23" w14:textId="77777777" w:rsidTr="00524011">
        <w:trPr>
          <w:trHeight w:val="600"/>
        </w:trPr>
        <w:tc>
          <w:tcPr>
            <w:tcW w:w="5000" w:type="pct"/>
            <w:tcBorders>
              <w:top w:val="nil"/>
              <w:left w:val="single" w:sz="4" w:space="0" w:color="auto"/>
              <w:bottom w:val="single" w:sz="4" w:space="0" w:color="auto"/>
              <w:right w:val="single" w:sz="4" w:space="0" w:color="auto"/>
            </w:tcBorders>
            <w:noWrap/>
            <w:vAlign w:val="center"/>
          </w:tcPr>
          <w:p w14:paraId="40CAD64C"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 xml:space="preserve">Por cada procedencia o volumen de producción </w:t>
            </w:r>
            <w:proofErr w:type="gramStart"/>
            <w:r w:rsidRPr="00097BC8">
              <w:rPr>
                <w:rFonts w:ascii="Arial" w:hAnsi="Arial" w:cs="Arial"/>
                <w:i/>
                <w:iCs/>
                <w:sz w:val="20"/>
                <w:szCs w:val="20"/>
              </w:rPr>
              <w:t>previsto :</w:t>
            </w:r>
            <w:proofErr w:type="gramEnd"/>
          </w:p>
        </w:tc>
      </w:tr>
      <w:tr w:rsidR="00097BC8" w:rsidRPr="00097BC8" w14:paraId="6FA4E00C" w14:textId="77777777" w:rsidTr="00524011">
        <w:trPr>
          <w:trHeight w:val="540"/>
        </w:trPr>
        <w:tc>
          <w:tcPr>
            <w:tcW w:w="5000" w:type="pct"/>
            <w:tcBorders>
              <w:top w:val="nil"/>
              <w:left w:val="single" w:sz="4" w:space="0" w:color="auto"/>
              <w:bottom w:val="single" w:sz="4" w:space="0" w:color="auto"/>
              <w:right w:val="single" w:sz="4" w:space="0" w:color="auto"/>
            </w:tcBorders>
            <w:vAlign w:val="center"/>
          </w:tcPr>
          <w:p w14:paraId="53153526"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 xml:space="preserve"> Un (1) Ensayo Granulométrico por tamizado del material que pasa por el tamiz </w:t>
            </w:r>
            <w:proofErr w:type="gramStart"/>
            <w:r w:rsidRPr="00097BC8">
              <w:rPr>
                <w:rFonts w:ascii="Arial" w:hAnsi="Arial" w:cs="Arial"/>
                <w:sz w:val="20"/>
                <w:szCs w:val="20"/>
              </w:rPr>
              <w:t>5  (</w:t>
            </w:r>
            <w:proofErr w:type="gramEnd"/>
            <w:r w:rsidRPr="00097BC8">
              <w:rPr>
                <w:rFonts w:ascii="Arial" w:hAnsi="Arial" w:cs="Arial"/>
                <w:sz w:val="20"/>
                <w:szCs w:val="20"/>
              </w:rPr>
              <w:t>UNE-EN 933-2/1M:1999)</w:t>
            </w:r>
          </w:p>
        </w:tc>
      </w:tr>
      <w:tr w:rsidR="00097BC8" w:rsidRPr="00097BC8" w14:paraId="22A72D2F" w14:textId="77777777" w:rsidTr="00524011">
        <w:trPr>
          <w:trHeight w:val="540"/>
        </w:trPr>
        <w:tc>
          <w:tcPr>
            <w:tcW w:w="5000" w:type="pct"/>
            <w:tcBorders>
              <w:top w:val="nil"/>
              <w:left w:val="single" w:sz="4" w:space="0" w:color="auto"/>
              <w:bottom w:val="single" w:sz="4" w:space="0" w:color="auto"/>
              <w:right w:val="single" w:sz="4" w:space="0" w:color="auto"/>
            </w:tcBorders>
            <w:vAlign w:val="center"/>
          </w:tcPr>
          <w:p w14:paraId="2334261F"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 xml:space="preserve">Dos (2) ensayos de equivalente de arena (UNE-EN 933-8:2012+A1:2015/1M:2016) </w:t>
            </w:r>
          </w:p>
        </w:tc>
      </w:tr>
      <w:tr w:rsidR="00097BC8" w:rsidRPr="00097BC8" w14:paraId="165612DE" w14:textId="77777777" w:rsidTr="00524011">
        <w:trPr>
          <w:trHeight w:val="600"/>
        </w:trPr>
        <w:tc>
          <w:tcPr>
            <w:tcW w:w="5000" w:type="pct"/>
            <w:tcBorders>
              <w:top w:val="nil"/>
              <w:left w:val="single" w:sz="4" w:space="0" w:color="auto"/>
              <w:bottom w:val="single" w:sz="4" w:space="0" w:color="auto"/>
              <w:right w:val="single" w:sz="4" w:space="0" w:color="auto"/>
            </w:tcBorders>
            <w:noWrap/>
            <w:vAlign w:val="center"/>
          </w:tcPr>
          <w:p w14:paraId="027D2737"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 xml:space="preserve">Por cada veinticinco metros cúbicos (25 m³) de </w:t>
            </w:r>
            <w:proofErr w:type="gramStart"/>
            <w:r w:rsidRPr="00097BC8">
              <w:rPr>
                <w:rFonts w:ascii="Arial" w:hAnsi="Arial" w:cs="Arial"/>
                <w:i/>
                <w:iCs/>
                <w:sz w:val="20"/>
                <w:szCs w:val="20"/>
              </w:rPr>
              <w:t>material  o</w:t>
            </w:r>
            <w:proofErr w:type="gramEnd"/>
            <w:r w:rsidRPr="00097BC8">
              <w:rPr>
                <w:rFonts w:ascii="Arial" w:hAnsi="Arial" w:cs="Arial"/>
                <w:i/>
                <w:iCs/>
                <w:sz w:val="20"/>
                <w:szCs w:val="20"/>
              </w:rPr>
              <w:t xml:space="preserve"> fracción:</w:t>
            </w:r>
          </w:p>
        </w:tc>
      </w:tr>
      <w:tr w:rsidR="00097BC8" w:rsidRPr="00097BC8" w14:paraId="53896ABC"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7F1E96BA"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 xml:space="preserve">Una </w:t>
            </w:r>
            <w:proofErr w:type="gramStart"/>
            <w:r w:rsidRPr="00097BC8">
              <w:rPr>
                <w:rFonts w:ascii="Arial" w:hAnsi="Arial" w:cs="Arial"/>
                <w:sz w:val="20"/>
                <w:szCs w:val="20"/>
              </w:rPr>
              <w:t>( 1</w:t>
            </w:r>
            <w:proofErr w:type="gramEnd"/>
            <w:r w:rsidRPr="00097BC8">
              <w:rPr>
                <w:rFonts w:ascii="Arial" w:hAnsi="Arial" w:cs="Arial"/>
                <w:sz w:val="20"/>
                <w:szCs w:val="20"/>
              </w:rPr>
              <w:t>) Determinación de la humedad “in situ” (UNE-EN ISO 17892-1:2015)</w:t>
            </w:r>
          </w:p>
        </w:tc>
      </w:tr>
    </w:tbl>
    <w:p w14:paraId="59D0903A" w14:textId="77777777" w:rsidR="00097BC8" w:rsidRDefault="00097BC8" w:rsidP="009921F2">
      <w:pPr>
        <w:pStyle w:val="NORMAL12"/>
      </w:pPr>
    </w:p>
    <w:p w14:paraId="3139EA6C" w14:textId="77777777" w:rsidR="00097BC8" w:rsidRDefault="00097BC8" w:rsidP="009921F2">
      <w:pPr>
        <w:pStyle w:val="NORMAL12"/>
      </w:pPr>
    </w:p>
    <w:p w14:paraId="15E2F38C" w14:textId="77777777" w:rsidR="00097BC8" w:rsidRDefault="00097BC8" w:rsidP="009921F2">
      <w:pPr>
        <w:pStyle w:val="NORMAL12"/>
      </w:pPr>
    </w:p>
    <w:p w14:paraId="3EA6122F" w14:textId="77777777" w:rsidR="00835A51" w:rsidRDefault="00835A51" w:rsidP="00835A51"/>
    <w:p w14:paraId="04146421" w14:textId="77777777" w:rsidR="00835A51" w:rsidRPr="009B23E5" w:rsidRDefault="00835A51" w:rsidP="00835A51"/>
    <w:p w14:paraId="1D51EB4E" w14:textId="77777777" w:rsidR="00810099" w:rsidRPr="005864C2" w:rsidRDefault="00E22AE3" w:rsidP="000313DD">
      <w:pPr>
        <w:pStyle w:val="TITU2"/>
      </w:pPr>
      <w:r>
        <w:br w:type="column"/>
      </w:r>
      <w:bookmarkStart w:id="585" w:name="_Toc404325"/>
      <w:r w:rsidR="00810099" w:rsidRPr="005864C2">
        <w:t>530.9</w:t>
      </w:r>
      <w:r w:rsidR="001633AB">
        <w:t>.</w:t>
      </w:r>
      <w:r w:rsidR="00810099" w:rsidRPr="005864C2">
        <w:t xml:space="preserve"> Medición y abono</w:t>
      </w:r>
      <w:bookmarkEnd w:id="585"/>
    </w:p>
    <w:p w14:paraId="6ABCD458" w14:textId="77777777" w:rsidR="00C83B5C" w:rsidRDefault="00C83B5C" w:rsidP="008D0820">
      <w:pPr>
        <w:pStyle w:val="NORMAL12"/>
      </w:pPr>
      <w:r>
        <w:t>La medición y abono de la unidad de riego de imprimación se realizará según las especificaciones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2"/>
        <w:gridCol w:w="7646"/>
      </w:tblGrid>
      <w:tr w:rsidR="00835A51" w:rsidRPr="0000436B" w14:paraId="3940D91C" w14:textId="77777777" w:rsidTr="001B1CBC">
        <w:tc>
          <w:tcPr>
            <w:tcW w:w="0" w:type="auto"/>
            <w:vAlign w:val="center"/>
          </w:tcPr>
          <w:p w14:paraId="692B18F8" w14:textId="77777777" w:rsidR="00835A51" w:rsidRPr="0000436B" w:rsidRDefault="00835A51" w:rsidP="001B1CBC">
            <w:pPr>
              <w:pStyle w:val="LCATabla"/>
              <w:keepNext/>
              <w:jc w:val="center"/>
              <w:rPr>
                <w:rFonts w:ascii="Arial" w:hAnsi="Arial" w:cs="Arial"/>
                <w:b/>
                <w:bCs/>
                <w:sz w:val="20"/>
              </w:rPr>
            </w:pPr>
            <w:r w:rsidRPr="0000436B">
              <w:rPr>
                <w:rFonts w:ascii="Arial" w:hAnsi="Arial" w:cs="Arial"/>
                <w:b/>
                <w:bCs/>
                <w:sz w:val="20"/>
              </w:rPr>
              <w:t>Unidad de medida</w:t>
            </w:r>
          </w:p>
        </w:tc>
        <w:tc>
          <w:tcPr>
            <w:tcW w:w="0" w:type="auto"/>
            <w:vAlign w:val="center"/>
          </w:tcPr>
          <w:p w14:paraId="3569DC9A" w14:textId="77777777" w:rsidR="00835A51" w:rsidRPr="0000436B" w:rsidRDefault="00835A51" w:rsidP="00900DF9">
            <w:pPr>
              <w:pStyle w:val="LCATabla"/>
              <w:keepNext/>
              <w:jc w:val="both"/>
              <w:rPr>
                <w:rFonts w:ascii="Arial" w:hAnsi="Arial" w:cs="Arial"/>
                <w:sz w:val="20"/>
              </w:rPr>
            </w:pPr>
            <w:r w:rsidRPr="0000436B">
              <w:rPr>
                <w:rFonts w:ascii="Arial" w:hAnsi="Arial" w:cs="Arial"/>
                <w:sz w:val="20"/>
              </w:rPr>
              <w:t>Tonelada (t).</w:t>
            </w:r>
          </w:p>
        </w:tc>
      </w:tr>
      <w:tr w:rsidR="00835A51" w:rsidRPr="0000436B" w14:paraId="6D92B2B3" w14:textId="77777777" w:rsidTr="001B1CBC">
        <w:tc>
          <w:tcPr>
            <w:tcW w:w="0" w:type="auto"/>
            <w:vAlign w:val="center"/>
          </w:tcPr>
          <w:p w14:paraId="07D5E6DC" w14:textId="77777777" w:rsidR="00835A51" w:rsidRPr="0000436B" w:rsidRDefault="00835A51" w:rsidP="001B1CBC">
            <w:pPr>
              <w:pStyle w:val="LCATabla"/>
              <w:keepNext/>
              <w:jc w:val="center"/>
              <w:rPr>
                <w:rFonts w:ascii="Arial" w:hAnsi="Arial" w:cs="Arial"/>
                <w:b/>
                <w:bCs/>
                <w:sz w:val="20"/>
              </w:rPr>
            </w:pPr>
            <w:r w:rsidRPr="0000436B">
              <w:rPr>
                <w:rFonts w:ascii="Arial" w:hAnsi="Arial" w:cs="Arial"/>
                <w:b/>
                <w:bCs/>
                <w:sz w:val="20"/>
              </w:rPr>
              <w:t>Grado de precisión</w:t>
            </w:r>
          </w:p>
        </w:tc>
        <w:tc>
          <w:tcPr>
            <w:tcW w:w="0" w:type="auto"/>
            <w:vAlign w:val="center"/>
          </w:tcPr>
          <w:p w14:paraId="340637AD" w14:textId="77777777" w:rsidR="00835A51" w:rsidRPr="0000436B" w:rsidRDefault="00835A51" w:rsidP="00900DF9">
            <w:pPr>
              <w:pStyle w:val="LCATabla"/>
              <w:keepNext/>
              <w:jc w:val="both"/>
              <w:rPr>
                <w:rFonts w:ascii="Arial" w:hAnsi="Arial" w:cs="Arial"/>
                <w:sz w:val="20"/>
              </w:rPr>
            </w:pPr>
            <w:r w:rsidRPr="0000436B">
              <w:rPr>
                <w:rFonts w:ascii="Arial" w:hAnsi="Arial" w:cs="Arial"/>
                <w:sz w:val="20"/>
              </w:rPr>
              <w:t>Dos (2) decimales.</w:t>
            </w:r>
          </w:p>
        </w:tc>
      </w:tr>
      <w:tr w:rsidR="00835A51" w:rsidRPr="0000436B" w14:paraId="71D39B39" w14:textId="77777777" w:rsidTr="001B1CBC">
        <w:tc>
          <w:tcPr>
            <w:tcW w:w="0" w:type="auto"/>
            <w:vAlign w:val="center"/>
          </w:tcPr>
          <w:p w14:paraId="2FDE687A" w14:textId="77777777" w:rsidR="00835A51" w:rsidRPr="0000436B" w:rsidRDefault="00835A51" w:rsidP="001B1CBC">
            <w:pPr>
              <w:pStyle w:val="LCATabla"/>
              <w:keepNext/>
              <w:jc w:val="center"/>
              <w:rPr>
                <w:rFonts w:ascii="Arial" w:hAnsi="Arial" w:cs="Arial"/>
                <w:b/>
                <w:bCs/>
                <w:sz w:val="20"/>
              </w:rPr>
            </w:pPr>
            <w:r w:rsidRPr="0000436B">
              <w:rPr>
                <w:rFonts w:ascii="Arial" w:hAnsi="Arial" w:cs="Arial"/>
                <w:b/>
                <w:bCs/>
                <w:sz w:val="20"/>
              </w:rPr>
              <w:t>Forma de medición</w:t>
            </w:r>
          </w:p>
        </w:tc>
        <w:tc>
          <w:tcPr>
            <w:tcW w:w="0" w:type="auto"/>
            <w:vAlign w:val="center"/>
          </w:tcPr>
          <w:p w14:paraId="025AD615" w14:textId="77777777" w:rsidR="00835A51" w:rsidRPr="0000436B" w:rsidRDefault="00835A51" w:rsidP="00900DF9">
            <w:pPr>
              <w:pStyle w:val="LCATabla"/>
              <w:keepNext/>
              <w:jc w:val="both"/>
              <w:rPr>
                <w:rFonts w:ascii="Arial" w:hAnsi="Arial" w:cs="Arial"/>
                <w:sz w:val="20"/>
              </w:rPr>
            </w:pPr>
            <w:r w:rsidRPr="0000436B">
              <w:rPr>
                <w:rFonts w:ascii="Arial" w:hAnsi="Arial" w:cs="Arial"/>
                <w:sz w:val="20"/>
              </w:rPr>
              <w:t xml:space="preserve">Toneladas (t) realmente empleadas, medidas por pesada directa en báscula contrastada, o bien por deducción a partir de su volumen, medido a su vez por métodos aprobados por el </w:t>
            </w:r>
            <w:proofErr w:type="gramStart"/>
            <w:r w:rsidRPr="0000436B">
              <w:rPr>
                <w:rFonts w:ascii="Arial" w:hAnsi="Arial" w:cs="Arial"/>
                <w:sz w:val="20"/>
              </w:rPr>
              <w:t>Director</w:t>
            </w:r>
            <w:proofErr w:type="gramEnd"/>
            <w:r w:rsidRPr="0000436B">
              <w:rPr>
                <w:rFonts w:ascii="Arial" w:hAnsi="Arial" w:cs="Arial"/>
                <w:sz w:val="20"/>
              </w:rPr>
              <w:t xml:space="preserve"> de la obra.</w:t>
            </w:r>
          </w:p>
        </w:tc>
      </w:tr>
      <w:tr w:rsidR="00835A51" w:rsidRPr="0000436B" w14:paraId="6574FA93" w14:textId="77777777" w:rsidTr="001B1CBC">
        <w:tc>
          <w:tcPr>
            <w:tcW w:w="0" w:type="auto"/>
            <w:vAlign w:val="center"/>
          </w:tcPr>
          <w:p w14:paraId="5DF6D15E" w14:textId="77777777" w:rsidR="00835A51" w:rsidRPr="0000436B" w:rsidRDefault="00835A51" w:rsidP="001B1CBC">
            <w:pPr>
              <w:pStyle w:val="LCATabla"/>
              <w:keepNext/>
              <w:jc w:val="center"/>
              <w:rPr>
                <w:rFonts w:ascii="Arial" w:hAnsi="Arial" w:cs="Arial"/>
                <w:b/>
                <w:bCs/>
                <w:sz w:val="20"/>
              </w:rPr>
            </w:pPr>
            <w:r w:rsidRPr="0000436B">
              <w:rPr>
                <w:rFonts w:ascii="Arial" w:hAnsi="Arial" w:cs="Arial"/>
                <w:b/>
                <w:bCs/>
                <w:sz w:val="20"/>
              </w:rPr>
              <w:t>Abono</w:t>
            </w:r>
          </w:p>
        </w:tc>
        <w:tc>
          <w:tcPr>
            <w:tcW w:w="0" w:type="auto"/>
            <w:vAlign w:val="center"/>
          </w:tcPr>
          <w:p w14:paraId="60CAF710" w14:textId="77777777" w:rsidR="00835A51" w:rsidRPr="0000436B" w:rsidRDefault="00835A51" w:rsidP="00900DF9">
            <w:pPr>
              <w:pStyle w:val="LCATabla"/>
              <w:keepNext/>
              <w:jc w:val="both"/>
              <w:rPr>
                <w:rFonts w:ascii="Arial" w:hAnsi="Arial" w:cs="Arial"/>
                <w:sz w:val="20"/>
              </w:rPr>
            </w:pPr>
            <w:r w:rsidRPr="0000436B">
              <w:rPr>
                <w:rFonts w:ascii="Arial" w:hAnsi="Arial" w:cs="Arial"/>
                <w:sz w:val="20"/>
              </w:rPr>
              <w:t>Se efectuará cuando se realice la aceptación.</w:t>
            </w:r>
          </w:p>
        </w:tc>
      </w:tr>
      <w:tr w:rsidR="00835A51" w:rsidRPr="0000436B" w14:paraId="1DA148A9" w14:textId="77777777" w:rsidTr="001B1CBC">
        <w:tc>
          <w:tcPr>
            <w:tcW w:w="0" w:type="auto"/>
            <w:vAlign w:val="center"/>
          </w:tcPr>
          <w:p w14:paraId="53BDCA78" w14:textId="77777777" w:rsidR="00835A51" w:rsidRPr="0000436B" w:rsidRDefault="00835A51" w:rsidP="001B1CBC">
            <w:pPr>
              <w:pStyle w:val="LCATabla"/>
              <w:keepNext/>
              <w:jc w:val="center"/>
              <w:rPr>
                <w:rFonts w:ascii="Arial" w:hAnsi="Arial" w:cs="Arial"/>
                <w:b/>
                <w:bCs/>
                <w:sz w:val="20"/>
              </w:rPr>
            </w:pPr>
            <w:r w:rsidRPr="0000436B">
              <w:rPr>
                <w:rFonts w:ascii="Arial" w:hAnsi="Arial" w:cs="Arial"/>
                <w:b/>
                <w:bCs/>
                <w:sz w:val="20"/>
              </w:rPr>
              <w:t>Criterios complementarios</w:t>
            </w:r>
          </w:p>
        </w:tc>
        <w:tc>
          <w:tcPr>
            <w:tcW w:w="0" w:type="auto"/>
            <w:vAlign w:val="center"/>
          </w:tcPr>
          <w:p w14:paraId="330D3B1B" w14:textId="77777777" w:rsidR="00835A51" w:rsidRPr="0000436B" w:rsidRDefault="00AF1EB3" w:rsidP="00900DF9">
            <w:pPr>
              <w:pStyle w:val="LCATabla"/>
              <w:keepNext/>
              <w:jc w:val="both"/>
              <w:rPr>
                <w:rFonts w:ascii="Arial" w:hAnsi="Arial" w:cs="Arial"/>
                <w:sz w:val="20"/>
              </w:rPr>
            </w:pPr>
            <w:r w:rsidRPr="009B23E5">
              <w:rPr>
                <w:rFonts w:ascii="Arial" w:hAnsi="Arial" w:cs="Arial"/>
                <w:sz w:val="20"/>
              </w:rPr>
              <w:t>El precio para el abono incluye todas las operaciones de preparación de la superficie, así como los medios auxiliares necesarios para la ejecución de la unidad.</w:t>
            </w:r>
          </w:p>
        </w:tc>
      </w:tr>
    </w:tbl>
    <w:p w14:paraId="4F6D4AAB" w14:textId="77777777" w:rsidR="00810099" w:rsidRPr="005864C2" w:rsidRDefault="00810099" w:rsidP="008A44B9">
      <w:pPr>
        <w:pStyle w:val="NORMAL12"/>
        <w:tabs>
          <w:tab w:val="left" w:pos="2127"/>
        </w:tabs>
        <w:ind w:left="2127" w:hanging="2127"/>
        <w:rPr>
          <w:color w:val="365F91" w:themeColor="accent1" w:themeShade="BF"/>
        </w:rPr>
      </w:pPr>
    </w:p>
    <w:p w14:paraId="2ED662B4" w14:textId="77777777" w:rsidR="00810099" w:rsidRPr="007D6044" w:rsidRDefault="00A87D99" w:rsidP="006F6223">
      <w:pPr>
        <w:pStyle w:val="TITU1"/>
      </w:pPr>
      <w:bookmarkStart w:id="586" w:name="_Toc404326"/>
      <w:r w:rsidRPr="00622514">
        <w:lastRenderedPageBreak/>
        <w:t xml:space="preserve">Artículo </w:t>
      </w:r>
      <w:r w:rsidR="00810099" w:rsidRPr="00622514">
        <w:t>531. Riegos de adherencia</w:t>
      </w:r>
      <w:bookmarkEnd w:id="586"/>
    </w:p>
    <w:p w14:paraId="71957266" w14:textId="77777777" w:rsidR="005E4D9A" w:rsidRDefault="005E4D9A" w:rsidP="008D0820">
      <w:pPr>
        <w:pStyle w:val="NORMAL12"/>
      </w:pPr>
      <w:r w:rsidRPr="008D0820">
        <w:t>Excepto para lo especificado en el presente Pliego de Prescripciones Técnicas particulares se seguirá lo prescrito en el vigente artículo 531 del PG-3.</w:t>
      </w:r>
    </w:p>
    <w:p w14:paraId="0D52992F" w14:textId="77777777" w:rsidR="0066707C" w:rsidRPr="009B23E5" w:rsidRDefault="0066707C" w:rsidP="0066707C">
      <w:pPr>
        <w:pStyle w:val="NORMAL12"/>
      </w:pPr>
      <w:r w:rsidRPr="008C69F8">
        <w:t>Se define como riego de adherencia a la aplicación de una emulsión bituminosa sobre una superficie tratada con ligantes hidrocarbonados o con conglomerantes hidráulicos, que no haya sido imprimada, previamente</w:t>
      </w:r>
      <w:r w:rsidRPr="009B23E5">
        <w:t xml:space="preserve"> a la colocación sobre ésta de una capa bituminosa </w:t>
      </w:r>
      <w:r w:rsidRPr="008D0820">
        <w:t>que no sea un tratamiento superficial con gravilla o una lechada bituminosa</w:t>
      </w:r>
      <w:r w:rsidRPr="009B23E5">
        <w:t>.</w:t>
      </w:r>
    </w:p>
    <w:p w14:paraId="34CB69BB" w14:textId="77777777" w:rsidR="00810099" w:rsidRDefault="00810099" w:rsidP="000313DD">
      <w:pPr>
        <w:pStyle w:val="TITU2"/>
      </w:pPr>
      <w:bookmarkStart w:id="587" w:name="_Toc404327"/>
      <w:r w:rsidRPr="005864C2">
        <w:t>531.1. Definición</w:t>
      </w:r>
      <w:bookmarkEnd w:id="587"/>
    </w:p>
    <w:p w14:paraId="7AA3F39C" w14:textId="77777777" w:rsidR="00C36ABC" w:rsidRPr="007D6044" w:rsidRDefault="00C36ABC" w:rsidP="00C36ABC">
      <w:pPr>
        <w:pStyle w:val="NORMAL12"/>
        <w:rPr>
          <w:lang w:val="es-ES"/>
        </w:rPr>
      </w:pPr>
      <w:r w:rsidRPr="007D6044">
        <w:rPr>
          <w:lang w:val="es-ES"/>
        </w:rPr>
        <w:t xml:space="preserve">Las prescripciones del presente artículo </w:t>
      </w:r>
      <w:proofErr w:type="gramStart"/>
      <w:r w:rsidRPr="007D6044">
        <w:rPr>
          <w:lang w:val="es-ES"/>
        </w:rPr>
        <w:t>son de aplicación</w:t>
      </w:r>
      <w:proofErr w:type="gramEnd"/>
      <w:r w:rsidRPr="007D6044">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053"/>
        <w:gridCol w:w="774"/>
        <w:gridCol w:w="7951"/>
      </w:tblGrid>
      <w:tr w:rsidR="00A177CF" w:rsidRPr="005864C2" w14:paraId="4A50809C" w14:textId="77777777" w:rsidTr="0084421A">
        <w:trPr>
          <w:trHeight w:val="300"/>
        </w:trPr>
        <w:tc>
          <w:tcPr>
            <w:tcW w:w="538" w:type="pct"/>
            <w:noWrap/>
          </w:tcPr>
          <w:p w14:paraId="7EC5AF37" w14:textId="77777777" w:rsidR="00A177CF" w:rsidRPr="00C61E14" w:rsidRDefault="00A177CF">
            <w:pPr>
              <w:rPr>
                <w:rFonts w:ascii="Calibri" w:hAnsi="Calibri"/>
                <w:color w:val="000000"/>
              </w:rPr>
            </w:pPr>
            <w:r w:rsidRPr="00C61E14">
              <w:rPr>
                <w:rFonts w:ascii="Calibri" w:hAnsi="Calibri"/>
                <w:color w:val="000000"/>
              </w:rPr>
              <w:t xml:space="preserve">531.0040          </w:t>
            </w:r>
          </w:p>
        </w:tc>
        <w:tc>
          <w:tcPr>
            <w:tcW w:w="396" w:type="pct"/>
            <w:noWrap/>
          </w:tcPr>
          <w:p w14:paraId="00DFC174" w14:textId="77777777" w:rsidR="00A177CF" w:rsidRPr="00C61E14" w:rsidRDefault="00A177CF">
            <w:pPr>
              <w:rPr>
                <w:rFonts w:ascii="Calibri" w:hAnsi="Calibri"/>
                <w:color w:val="000000"/>
              </w:rPr>
            </w:pPr>
            <w:r w:rsidRPr="00C61E14">
              <w:rPr>
                <w:rFonts w:ascii="Calibri" w:hAnsi="Calibri"/>
                <w:color w:val="000000"/>
              </w:rPr>
              <w:t>t</w:t>
            </w:r>
          </w:p>
        </w:tc>
        <w:tc>
          <w:tcPr>
            <w:tcW w:w="4065" w:type="pct"/>
          </w:tcPr>
          <w:p w14:paraId="230D24FB" w14:textId="77777777" w:rsidR="00A177CF" w:rsidRPr="00C61E14" w:rsidRDefault="0084421A" w:rsidP="00E22AE3">
            <w:pPr>
              <w:jc w:val="both"/>
              <w:rPr>
                <w:rFonts w:ascii="Calibri" w:hAnsi="Calibri"/>
                <w:color w:val="000000"/>
              </w:rPr>
            </w:pPr>
            <w:r w:rsidRPr="00C61E14">
              <w:rPr>
                <w:rFonts w:ascii="Calibri" w:hAnsi="Calibri"/>
                <w:color w:val="000000"/>
              </w:rPr>
              <w:t>EMULSIÓN C60BP3 ADH, MODIFICADA CON POLÍMEROS, EN RIEGO DE ADHERENCIA i/ BARRIDO Y PREPARACIÓN DE LA SUPERFICIE, TOTALMENTE TERMINADO.</w:t>
            </w:r>
          </w:p>
        </w:tc>
      </w:tr>
    </w:tbl>
    <w:p w14:paraId="0D62B455" w14:textId="77777777" w:rsidR="005E4D9A" w:rsidRPr="009B23E5" w:rsidRDefault="005E4D9A" w:rsidP="008D0820">
      <w:pPr>
        <w:pStyle w:val="NORMAL12"/>
      </w:pPr>
      <w:r w:rsidRPr="009B23E5">
        <w:t>A efectos de aplicación de este artículo, no se consideran como riegos de adherencia los denominados riegos de curado.</w:t>
      </w:r>
    </w:p>
    <w:p w14:paraId="1EACDFF9" w14:textId="77777777" w:rsidR="00810099" w:rsidRDefault="00810099" w:rsidP="000313DD">
      <w:pPr>
        <w:pStyle w:val="TITU2"/>
      </w:pPr>
      <w:bookmarkStart w:id="588" w:name="_Toc404328"/>
      <w:r w:rsidRPr="005864C2">
        <w:t>531.2. Materiales</w:t>
      </w:r>
      <w:bookmarkEnd w:id="588"/>
    </w:p>
    <w:p w14:paraId="691904AF" w14:textId="77777777" w:rsidR="00687BE7" w:rsidRDefault="00687BE7" w:rsidP="007D6044">
      <w:pPr>
        <w:pStyle w:val="NORMAL12"/>
      </w:pPr>
      <w:r>
        <w:t>Los tipos de emulsión bituminosa a emplear son:</w:t>
      </w:r>
    </w:p>
    <w:p w14:paraId="7FD5945F" w14:textId="77777777" w:rsidR="005E4D9A" w:rsidRDefault="005E4D9A" w:rsidP="009159F9">
      <w:pPr>
        <w:pStyle w:val="NORMAL12"/>
        <w:numPr>
          <w:ilvl w:val="0"/>
          <w:numId w:val="122"/>
        </w:numPr>
      </w:pPr>
      <w:r w:rsidRPr="0066707C">
        <w:t>El tipo de emulsión a emplear será de tipo</w:t>
      </w:r>
      <w:r w:rsidR="0066707C" w:rsidRPr="0066707C">
        <w:t xml:space="preserve"> C60BP3 ADH</w:t>
      </w:r>
      <w:r w:rsidRPr="0066707C">
        <w:t xml:space="preserve">, </w:t>
      </w:r>
      <w:proofErr w:type="spellStart"/>
      <w:r w:rsidRPr="0066707C">
        <w:t>termoadherente</w:t>
      </w:r>
      <w:proofErr w:type="spellEnd"/>
      <w:r w:rsidRPr="0066707C">
        <w:t>, para los riegos de adherencia entre capa</w:t>
      </w:r>
      <w:r w:rsidR="001A3051">
        <w:t>s intermedia y capa de rodadura en los firmes de los ramales de los enlaces, bajo los arcenes exteriores de dichos ramales, vías de servicio, vías laterales y colectores y bajo los arcenes interiores y exteriores de las vías principales.</w:t>
      </w:r>
    </w:p>
    <w:p w14:paraId="3FAA08CE" w14:textId="77777777" w:rsidR="001C4D39" w:rsidRDefault="001C4D39" w:rsidP="009159F9">
      <w:pPr>
        <w:pStyle w:val="NORMAL12"/>
        <w:numPr>
          <w:ilvl w:val="0"/>
          <w:numId w:val="122"/>
        </w:numPr>
      </w:pPr>
      <w:r w:rsidRPr="0066707C">
        <w:t xml:space="preserve">El tipo de emulsión a emplear será de tipo C60B3 ADH, </w:t>
      </w:r>
      <w:proofErr w:type="spellStart"/>
      <w:r w:rsidRPr="0066707C">
        <w:t>termoadherente</w:t>
      </w:r>
      <w:proofErr w:type="spellEnd"/>
      <w:r w:rsidRPr="0066707C">
        <w:t xml:space="preserve">, para los riegos de adherencia </w:t>
      </w:r>
      <w:r>
        <w:t>sobre capa base</w:t>
      </w:r>
      <w:r w:rsidR="001A3051">
        <w:t xml:space="preserve"> en los firmes de los ramales de los enlaces y bajo los arcenes exteriores de dichos ramales, bajo los arcenes exteriores de dichos ramales, vías de servicio, vías laterales y colectores y bajo los arcenes interiores y exteriores de las vías principales.</w:t>
      </w:r>
    </w:p>
    <w:p w14:paraId="7920B042" w14:textId="77777777" w:rsidR="005E4D9A" w:rsidRPr="009B23E5" w:rsidRDefault="005E4D9A" w:rsidP="007D6044">
      <w:pPr>
        <w:pStyle w:val="NORMAL12"/>
      </w:pPr>
      <w:r w:rsidRPr="007D6044">
        <w:t xml:space="preserve">El contratista presentará a la Dirección de Obra, con anterioridad al empleo de las emulsiones, el cuadro de especificaciones técnicas, análogos a los recogidos en el artículo 214 del PG-3 vigente para la emulsión bituminosa. En caso de que las </w:t>
      </w:r>
      <w:r w:rsidRPr="007D6044">
        <w:t xml:space="preserve">especificaciones de la emulsión difieran de los límites establecidos en los citados cuadros, debido al carácter </w:t>
      </w:r>
      <w:proofErr w:type="spellStart"/>
      <w:r w:rsidRPr="007D6044">
        <w:t>termoadherente</w:t>
      </w:r>
      <w:proofErr w:type="spellEnd"/>
      <w:r w:rsidRPr="007D6044">
        <w:t xml:space="preserve"> de la emulsión, el fabricante deberá justificar oportunamente la idoneidad de la emulsión para el caso de empleo de este Pliego.</w:t>
      </w:r>
    </w:p>
    <w:p w14:paraId="7616C39E" w14:textId="77777777" w:rsidR="00810099" w:rsidRPr="005864C2" w:rsidRDefault="00810099" w:rsidP="000313DD">
      <w:pPr>
        <w:pStyle w:val="TITU2"/>
      </w:pPr>
      <w:bookmarkStart w:id="589" w:name="_Toc404329"/>
      <w:r w:rsidRPr="005864C2">
        <w:t>531.3. Dotación del ligante</w:t>
      </w:r>
      <w:bookmarkEnd w:id="589"/>
    </w:p>
    <w:p w14:paraId="625B771D" w14:textId="77777777" w:rsidR="00B134D9" w:rsidRPr="007D6044" w:rsidRDefault="00B134D9" w:rsidP="007D6044">
      <w:pPr>
        <w:pStyle w:val="NORMAL12"/>
      </w:pPr>
      <w:r w:rsidRPr="007D6044">
        <w:t>Se estima la utilización de las siguientes dotaciones de ligante hidrocarbonado:</w:t>
      </w:r>
    </w:p>
    <w:p w14:paraId="69F570F8" w14:textId="77777777" w:rsidR="00B134D9" w:rsidRPr="00A177CF" w:rsidRDefault="00B134D9" w:rsidP="00E01981">
      <w:pPr>
        <w:pStyle w:val="NORMAL12"/>
        <w:numPr>
          <w:ilvl w:val="0"/>
          <w:numId w:val="64"/>
        </w:numPr>
      </w:pPr>
      <w:r w:rsidRPr="00A177CF">
        <w:t>La dotación del riego de adherencia entre capas de mezcla bituminosa es de 0,5 Kg/m</w:t>
      </w:r>
      <w:r w:rsidRPr="00504DAB">
        <w:rPr>
          <w:vertAlign w:val="superscript"/>
        </w:rPr>
        <w:t>2</w:t>
      </w:r>
      <w:r w:rsidRPr="00A177CF">
        <w:t xml:space="preserve"> con emulsión tipo C60B</w:t>
      </w:r>
      <w:r w:rsidR="001C4D39" w:rsidRPr="00A177CF">
        <w:t>P</w:t>
      </w:r>
      <w:r w:rsidRPr="00A177CF">
        <w:t xml:space="preserve">3 ADH, colocado entre capa intermedia y rodadura. </w:t>
      </w:r>
    </w:p>
    <w:p w14:paraId="07FBC758" w14:textId="77777777" w:rsidR="001A3051" w:rsidRPr="00A177CF" w:rsidRDefault="001A3051" w:rsidP="00E01981">
      <w:pPr>
        <w:pStyle w:val="NORMAL12"/>
        <w:numPr>
          <w:ilvl w:val="0"/>
          <w:numId w:val="64"/>
        </w:numPr>
      </w:pPr>
      <w:r w:rsidRPr="00A177CF">
        <w:t>La dotación del riego de adherencia entre capas de mezcla bituminosa es de 0,5 Kg/m</w:t>
      </w:r>
      <w:r w:rsidRPr="00504DAB">
        <w:rPr>
          <w:vertAlign w:val="superscript"/>
        </w:rPr>
        <w:t>2</w:t>
      </w:r>
      <w:r w:rsidRPr="00A177CF">
        <w:t xml:space="preserve"> con emulsión tipo C60B</w:t>
      </w:r>
      <w:r w:rsidR="00A177CF" w:rsidRPr="00A177CF">
        <w:t>P</w:t>
      </w:r>
      <w:r w:rsidRPr="00A177CF">
        <w:t>3 ADH, colocado entre capa intermedia y capa base.</w:t>
      </w:r>
    </w:p>
    <w:p w14:paraId="611B2800" w14:textId="77777777" w:rsidR="00BD08A9" w:rsidRPr="00A177CF" w:rsidRDefault="00BD08A9" w:rsidP="00E01981">
      <w:pPr>
        <w:pStyle w:val="NORMAL12"/>
        <w:numPr>
          <w:ilvl w:val="0"/>
          <w:numId w:val="64"/>
        </w:numPr>
      </w:pPr>
      <w:r w:rsidRPr="00A177CF">
        <w:t xml:space="preserve">La dotación del riego de adherencia </w:t>
      </w:r>
      <w:r w:rsidR="00503563" w:rsidRPr="00A177CF">
        <w:t>sobre la losa de hormigón es de 2,1 kg/m</w:t>
      </w:r>
      <w:r w:rsidR="00503563" w:rsidRPr="00A177CF">
        <w:rPr>
          <w:vertAlign w:val="superscript"/>
        </w:rPr>
        <w:t>2</w:t>
      </w:r>
      <w:r w:rsidR="00503563" w:rsidRPr="00A177CF">
        <w:t>.</w:t>
      </w:r>
    </w:p>
    <w:p w14:paraId="69DA6835" w14:textId="77777777" w:rsidR="00B134D9" w:rsidRPr="00A177CF" w:rsidRDefault="00B134D9" w:rsidP="007D6044">
      <w:pPr>
        <w:pStyle w:val="NORMAL12"/>
      </w:pPr>
      <w:r w:rsidRPr="007D6044">
        <w:t xml:space="preserve">En cualquier caso, se cumplirán las dotaciones mínimas establecidas en el apartado 531.3 del PG-3 o las indicadas en las especificaciones técnicas aportadas por el </w:t>
      </w:r>
      <w:r w:rsidRPr="00A177CF">
        <w:t>fabricante de la mezcla.</w:t>
      </w:r>
    </w:p>
    <w:p w14:paraId="7ADC9BC8" w14:textId="77777777" w:rsidR="00036C21" w:rsidRPr="00111B52" w:rsidRDefault="00B134D9" w:rsidP="00036C21">
      <w:pPr>
        <w:pStyle w:val="NORMAL12"/>
      </w:pPr>
      <w:r w:rsidRPr="00A177CF">
        <w:t xml:space="preserve">El </w:t>
      </w:r>
      <w:proofErr w:type="gramStart"/>
      <w:r w:rsidRPr="00A177CF">
        <w:t>Director</w:t>
      </w:r>
      <w:proofErr w:type="gramEnd"/>
      <w:r w:rsidRPr="00A177CF">
        <w:t xml:space="preserve"> de la obra podrá modificar la dotación a la vista de las pruebas realizadas.</w:t>
      </w:r>
      <w:r w:rsidR="00036C21" w:rsidRPr="00111B52">
        <w:rPr>
          <w:lang w:val="es-ES"/>
        </w:rPr>
        <w:t xml:space="preserve"> </w:t>
      </w:r>
    </w:p>
    <w:p w14:paraId="7C514263" w14:textId="77777777" w:rsidR="00810099" w:rsidRPr="00A177CF" w:rsidRDefault="00810099" w:rsidP="000313DD">
      <w:pPr>
        <w:pStyle w:val="TITU2"/>
      </w:pPr>
      <w:bookmarkStart w:id="590" w:name="_Toc404330"/>
      <w:r w:rsidRPr="00A177CF">
        <w:t>531.8. Control de calidad</w:t>
      </w:r>
      <w:bookmarkEnd w:id="590"/>
    </w:p>
    <w:p w14:paraId="546CBE2F" w14:textId="77777777" w:rsidR="00B134D9" w:rsidRPr="00A177CF" w:rsidRDefault="00B134D9" w:rsidP="007D6044">
      <w:pPr>
        <w:pStyle w:val="NORMAL12"/>
      </w:pPr>
      <w:r w:rsidRPr="00A177CF">
        <w:t>Para los productos con marcado CE, según el Reglamento 305/2011, para el control de procedencia de los materiales, se llevará a cabo la verificación de los valores declarados en los documentos que acompañan al marcado CE cumplen las especificaciones establecidas en este Pliego.</w:t>
      </w:r>
    </w:p>
    <w:p w14:paraId="6AC8F267" w14:textId="77777777" w:rsidR="00B134D9" w:rsidRDefault="00B134D9" w:rsidP="007D6044">
      <w:pPr>
        <w:pStyle w:val="NORMAL12"/>
      </w:pPr>
      <w:proofErr w:type="gramStart"/>
      <w:r w:rsidRPr="00A177CF">
        <w:t>Los ensayos mínimos a realizar</w:t>
      </w:r>
      <w:proofErr w:type="gramEnd"/>
      <w:r w:rsidRPr="00A177CF">
        <w:t xml:space="preserve"> sobre el material y la frecuencia establecida están reflejados en la siguiente tabla; serán también de aplicación los ensayos establecidos en el vigente artículo 531. Riego de Adherencia del PG-3 no incluidos en el presente artículo; el coste de </w:t>
      </w:r>
      <w:proofErr w:type="gramStart"/>
      <w:r w:rsidRPr="00A177CF">
        <w:t>los mismos</w:t>
      </w:r>
      <w:proofErr w:type="gramEnd"/>
      <w:r w:rsidRPr="00A177CF">
        <w:t xml:space="preserve"> será sufragado según indica el artículo correspondiente del presente pliego.</w:t>
      </w:r>
    </w:p>
    <w:p w14:paraId="3A0857BF" w14:textId="77777777" w:rsidR="004C5A96" w:rsidRDefault="004C5A96" w:rsidP="007D6044">
      <w:pPr>
        <w:pStyle w:val="NORMAL12"/>
      </w:pPr>
    </w:p>
    <w:p w14:paraId="6D1B1DD0" w14:textId="77777777" w:rsidR="00504DAB" w:rsidRDefault="00504DAB" w:rsidP="007D6044">
      <w:pPr>
        <w:pStyle w:val="NORMAL12"/>
      </w:pPr>
    </w:p>
    <w:p w14:paraId="4453B630" w14:textId="77777777" w:rsidR="00097BC8" w:rsidRDefault="00097BC8" w:rsidP="007D6044">
      <w:pPr>
        <w:pStyle w:val="NORMAL12"/>
      </w:pPr>
    </w:p>
    <w:tbl>
      <w:tblPr>
        <w:tblW w:w="5000" w:type="pct"/>
        <w:tblCellMar>
          <w:left w:w="70" w:type="dxa"/>
          <w:right w:w="70" w:type="dxa"/>
        </w:tblCellMar>
        <w:tblLook w:val="00A0" w:firstRow="1" w:lastRow="0" w:firstColumn="1" w:lastColumn="0" w:noHBand="0" w:noVBand="0"/>
      </w:tblPr>
      <w:tblGrid>
        <w:gridCol w:w="9778"/>
      </w:tblGrid>
      <w:tr w:rsidR="00097BC8" w:rsidRPr="00097BC8" w14:paraId="297DCA6E" w14:textId="77777777" w:rsidTr="00524011">
        <w:trPr>
          <w:trHeight w:val="510"/>
          <w:tblHeader/>
        </w:trPr>
        <w:tc>
          <w:tcPr>
            <w:tcW w:w="5000" w:type="pct"/>
            <w:tcBorders>
              <w:top w:val="single" w:sz="4" w:space="0" w:color="auto"/>
              <w:left w:val="single" w:sz="4" w:space="0" w:color="auto"/>
              <w:bottom w:val="single" w:sz="4" w:space="0" w:color="auto"/>
              <w:right w:val="single" w:sz="4" w:space="0" w:color="auto"/>
            </w:tcBorders>
            <w:shd w:val="clear" w:color="000000" w:fill="D8D8D8"/>
            <w:noWrap/>
            <w:vAlign w:val="center"/>
          </w:tcPr>
          <w:p w14:paraId="5A813291" w14:textId="77777777" w:rsidR="00097BC8" w:rsidRPr="00097BC8" w:rsidRDefault="00097BC8" w:rsidP="00097BC8">
            <w:pPr>
              <w:rPr>
                <w:rFonts w:ascii="Arial" w:hAnsi="Arial" w:cs="Arial"/>
                <w:b/>
                <w:bCs/>
                <w:sz w:val="20"/>
                <w:szCs w:val="20"/>
              </w:rPr>
            </w:pPr>
            <w:r>
              <w:rPr>
                <w:rFonts w:ascii="Arial" w:hAnsi="Arial" w:cs="Arial"/>
                <w:b/>
                <w:bCs/>
                <w:sz w:val="20"/>
                <w:szCs w:val="20"/>
              </w:rPr>
              <w:lastRenderedPageBreak/>
              <w:t>RIEGOS DE ADHERENCIA</w:t>
            </w:r>
          </w:p>
        </w:tc>
      </w:tr>
      <w:tr w:rsidR="00097BC8" w:rsidRPr="00097BC8" w14:paraId="756E5B21" w14:textId="77777777" w:rsidTr="00524011">
        <w:trPr>
          <w:trHeight w:val="600"/>
        </w:trPr>
        <w:tc>
          <w:tcPr>
            <w:tcW w:w="5000" w:type="pct"/>
            <w:tcBorders>
              <w:top w:val="nil"/>
              <w:left w:val="single" w:sz="4" w:space="0" w:color="auto"/>
              <w:bottom w:val="single" w:sz="4" w:space="0" w:color="auto"/>
              <w:right w:val="single" w:sz="4" w:space="0" w:color="auto"/>
            </w:tcBorders>
            <w:noWrap/>
            <w:vAlign w:val="center"/>
          </w:tcPr>
          <w:p w14:paraId="59CBAB10" w14:textId="77777777" w:rsidR="00097BC8" w:rsidRPr="00097BC8" w:rsidRDefault="00097BC8" w:rsidP="00524011">
            <w:pPr>
              <w:rPr>
                <w:rFonts w:ascii="Arial" w:hAnsi="Arial" w:cs="Arial"/>
                <w:b/>
                <w:bCs/>
                <w:sz w:val="20"/>
                <w:szCs w:val="20"/>
              </w:rPr>
            </w:pPr>
            <w:r w:rsidRPr="00097BC8">
              <w:rPr>
                <w:rFonts w:ascii="Arial" w:hAnsi="Arial" w:cs="Arial"/>
                <w:b/>
                <w:bCs/>
                <w:i/>
                <w:sz w:val="20"/>
                <w:szCs w:val="20"/>
                <w:u w:val="single"/>
              </w:rPr>
              <w:t>Lugar de procedencia. Antes de su ejecución:</w:t>
            </w:r>
          </w:p>
        </w:tc>
      </w:tr>
      <w:tr w:rsidR="00097BC8" w:rsidRPr="00097BC8" w14:paraId="2809B836" w14:textId="77777777" w:rsidTr="00524011">
        <w:trPr>
          <w:trHeight w:val="600"/>
        </w:trPr>
        <w:tc>
          <w:tcPr>
            <w:tcW w:w="5000" w:type="pct"/>
            <w:tcBorders>
              <w:top w:val="nil"/>
              <w:left w:val="single" w:sz="4" w:space="0" w:color="auto"/>
              <w:bottom w:val="single" w:sz="4" w:space="0" w:color="auto"/>
              <w:right w:val="single" w:sz="4" w:space="0" w:color="auto"/>
            </w:tcBorders>
            <w:vAlign w:val="center"/>
          </w:tcPr>
          <w:p w14:paraId="25AAE46C"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 xml:space="preserve">Cada quinientos </w:t>
            </w:r>
            <w:proofErr w:type="gramStart"/>
            <w:r w:rsidRPr="00097BC8">
              <w:rPr>
                <w:rFonts w:ascii="Arial" w:hAnsi="Arial" w:cs="Arial"/>
                <w:i/>
                <w:iCs/>
                <w:sz w:val="20"/>
                <w:szCs w:val="20"/>
              </w:rPr>
              <w:t>metros(</w:t>
            </w:r>
            <w:proofErr w:type="gramEnd"/>
            <w:r w:rsidRPr="00097BC8">
              <w:rPr>
                <w:rFonts w:ascii="Arial" w:hAnsi="Arial" w:cs="Arial"/>
                <w:i/>
                <w:iCs/>
                <w:sz w:val="20"/>
                <w:szCs w:val="20"/>
              </w:rPr>
              <w:t>500 m) de calzada, superficie de (3.500 m</w:t>
            </w:r>
            <w:r w:rsidRPr="00097BC8">
              <w:rPr>
                <w:rFonts w:ascii="Arial" w:hAnsi="Arial" w:cs="Arial"/>
                <w:i/>
                <w:iCs/>
                <w:sz w:val="20"/>
                <w:szCs w:val="20"/>
                <w:vertAlign w:val="superscript"/>
              </w:rPr>
              <w:t>2</w:t>
            </w:r>
            <w:r w:rsidRPr="00097BC8">
              <w:rPr>
                <w:rFonts w:ascii="Arial" w:hAnsi="Arial" w:cs="Arial"/>
                <w:i/>
                <w:iCs/>
                <w:sz w:val="20"/>
                <w:szCs w:val="20"/>
              </w:rPr>
              <w:t>) o superficie imprimada diariamente:</w:t>
            </w:r>
          </w:p>
        </w:tc>
      </w:tr>
      <w:tr w:rsidR="00097BC8" w:rsidRPr="00097BC8" w14:paraId="6EA3A595"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17ECB335" w14:textId="77777777" w:rsidR="00097BC8" w:rsidRPr="00097BC8" w:rsidRDefault="00097BC8" w:rsidP="00524011">
            <w:pPr>
              <w:autoSpaceDE w:val="0"/>
              <w:autoSpaceDN w:val="0"/>
              <w:adjustRightInd w:val="0"/>
              <w:jc w:val="right"/>
              <w:rPr>
                <w:rFonts w:ascii="Arial" w:hAnsi="Arial" w:cs="Arial"/>
                <w:sz w:val="20"/>
                <w:szCs w:val="20"/>
              </w:rPr>
            </w:pPr>
            <w:r w:rsidRPr="00097BC8">
              <w:rPr>
                <w:rFonts w:ascii="Arial" w:hAnsi="Arial" w:cs="Arial"/>
                <w:sz w:val="20"/>
                <w:szCs w:val="20"/>
              </w:rPr>
              <w:t>Una (1) Determinación del contenido de agua (UNE-EN 13614:2011)</w:t>
            </w:r>
          </w:p>
        </w:tc>
      </w:tr>
      <w:tr w:rsidR="00097BC8" w:rsidRPr="00097BC8" w14:paraId="7F1686A9"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17144137"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Viscosidad Saybolt (UNE-EN 12846-1:2011)</w:t>
            </w:r>
          </w:p>
        </w:tc>
      </w:tr>
      <w:tr w:rsidR="00097BC8" w:rsidRPr="00097BC8" w14:paraId="0B66C343"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1E38FDA1"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Destilación (NLT 134/99)</w:t>
            </w:r>
          </w:p>
        </w:tc>
      </w:tr>
      <w:tr w:rsidR="00097BC8" w:rsidRPr="00097BC8" w14:paraId="216504A0"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005D968B"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Penetración sobre residuo de destilación (NLT 124/99) (UNE EN 1426:2015)</w:t>
            </w:r>
          </w:p>
        </w:tc>
      </w:tr>
      <w:tr w:rsidR="00097BC8" w:rsidRPr="00097BC8" w14:paraId="3462AEBC" w14:textId="77777777" w:rsidTr="00524011">
        <w:trPr>
          <w:trHeight w:val="600"/>
        </w:trPr>
        <w:tc>
          <w:tcPr>
            <w:tcW w:w="5000" w:type="pct"/>
            <w:tcBorders>
              <w:top w:val="nil"/>
              <w:left w:val="single" w:sz="4" w:space="0" w:color="auto"/>
              <w:bottom w:val="single" w:sz="4" w:space="0" w:color="auto"/>
              <w:right w:val="single" w:sz="4" w:space="0" w:color="auto"/>
            </w:tcBorders>
            <w:noWrap/>
            <w:vAlign w:val="center"/>
          </w:tcPr>
          <w:p w14:paraId="3B6F3575" w14:textId="77777777" w:rsidR="00097BC8" w:rsidRPr="00097BC8" w:rsidRDefault="00097BC8" w:rsidP="00524011">
            <w:pPr>
              <w:rPr>
                <w:rFonts w:ascii="Arial" w:hAnsi="Arial" w:cs="Arial"/>
                <w:b/>
                <w:bCs/>
                <w:sz w:val="20"/>
                <w:szCs w:val="20"/>
              </w:rPr>
            </w:pPr>
            <w:r w:rsidRPr="00097BC8">
              <w:rPr>
                <w:rFonts w:ascii="Arial" w:hAnsi="Arial" w:cs="Arial"/>
                <w:b/>
                <w:bCs/>
                <w:i/>
                <w:sz w:val="20"/>
                <w:szCs w:val="20"/>
                <w:u w:val="single"/>
              </w:rPr>
              <w:t>Durante su ejecución:</w:t>
            </w:r>
          </w:p>
        </w:tc>
      </w:tr>
      <w:tr w:rsidR="00097BC8" w:rsidRPr="00097BC8" w14:paraId="5A55A459" w14:textId="77777777" w:rsidTr="00524011">
        <w:trPr>
          <w:trHeight w:val="600"/>
        </w:trPr>
        <w:tc>
          <w:tcPr>
            <w:tcW w:w="5000" w:type="pct"/>
            <w:tcBorders>
              <w:top w:val="nil"/>
              <w:left w:val="single" w:sz="4" w:space="0" w:color="auto"/>
              <w:bottom w:val="single" w:sz="4" w:space="0" w:color="auto"/>
              <w:right w:val="single" w:sz="4" w:space="0" w:color="auto"/>
            </w:tcBorders>
            <w:vAlign w:val="center"/>
          </w:tcPr>
          <w:p w14:paraId="48D624FC"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 xml:space="preserve">Cada quinientos </w:t>
            </w:r>
            <w:proofErr w:type="gramStart"/>
            <w:r w:rsidRPr="00097BC8">
              <w:rPr>
                <w:rFonts w:ascii="Arial" w:hAnsi="Arial" w:cs="Arial"/>
                <w:i/>
                <w:iCs/>
                <w:sz w:val="20"/>
                <w:szCs w:val="20"/>
              </w:rPr>
              <w:t>metros(</w:t>
            </w:r>
            <w:proofErr w:type="gramEnd"/>
            <w:r w:rsidRPr="00097BC8">
              <w:rPr>
                <w:rFonts w:ascii="Arial" w:hAnsi="Arial" w:cs="Arial"/>
                <w:i/>
                <w:iCs/>
                <w:sz w:val="20"/>
                <w:szCs w:val="20"/>
              </w:rPr>
              <w:t>500 m) de calzada, superficie de (3.500 m</w:t>
            </w:r>
            <w:r w:rsidRPr="00097BC8">
              <w:rPr>
                <w:rFonts w:ascii="Arial" w:hAnsi="Arial" w:cs="Arial"/>
                <w:i/>
                <w:iCs/>
                <w:sz w:val="20"/>
                <w:szCs w:val="20"/>
                <w:vertAlign w:val="superscript"/>
              </w:rPr>
              <w:t>2</w:t>
            </w:r>
            <w:r w:rsidRPr="00097BC8">
              <w:rPr>
                <w:rFonts w:ascii="Arial" w:hAnsi="Arial" w:cs="Arial"/>
                <w:i/>
                <w:iCs/>
                <w:sz w:val="20"/>
                <w:szCs w:val="20"/>
              </w:rPr>
              <w:t>) o superficie imprimada diariamente:</w:t>
            </w:r>
          </w:p>
        </w:tc>
      </w:tr>
      <w:tr w:rsidR="00097BC8" w:rsidRPr="00097BC8" w14:paraId="5B13F1A1"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228ECB24" w14:textId="77777777" w:rsidR="00097BC8" w:rsidRPr="00097BC8" w:rsidRDefault="00097BC8" w:rsidP="00524011">
            <w:pPr>
              <w:autoSpaceDE w:val="0"/>
              <w:autoSpaceDN w:val="0"/>
              <w:adjustRightInd w:val="0"/>
              <w:jc w:val="right"/>
              <w:rPr>
                <w:rFonts w:ascii="Arial" w:hAnsi="Arial" w:cs="Arial"/>
                <w:sz w:val="20"/>
                <w:szCs w:val="20"/>
              </w:rPr>
            </w:pPr>
            <w:r w:rsidRPr="00097BC8">
              <w:rPr>
                <w:rFonts w:ascii="Arial" w:hAnsi="Arial" w:cs="Arial"/>
                <w:sz w:val="20"/>
                <w:szCs w:val="20"/>
              </w:rPr>
              <w:t>Una (1) Determinación del contenido de agua (UNE EN 13614:2011)</w:t>
            </w:r>
          </w:p>
        </w:tc>
      </w:tr>
      <w:tr w:rsidR="00097BC8" w:rsidRPr="00097BC8" w14:paraId="7F369350"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27298741"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Viscosidad Saybolt (UNE-EN 12846-1:2011)</w:t>
            </w:r>
          </w:p>
        </w:tc>
      </w:tr>
      <w:tr w:rsidR="00097BC8" w:rsidRPr="00097BC8" w14:paraId="02A6300B"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6BBE67EF"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Destilación (NLT 134/99)</w:t>
            </w:r>
          </w:p>
        </w:tc>
      </w:tr>
      <w:tr w:rsidR="00097BC8" w:rsidRPr="00097BC8" w14:paraId="24E48ABD"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3C8DBEFB"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Penetración sobre residuo de destilación (NLT 124/99) (UNE EN 1426:2015)</w:t>
            </w:r>
          </w:p>
        </w:tc>
      </w:tr>
      <w:tr w:rsidR="00097BC8" w:rsidRPr="00097BC8" w14:paraId="3ACA4EE0" w14:textId="77777777" w:rsidTr="00524011">
        <w:trPr>
          <w:trHeight w:val="600"/>
        </w:trPr>
        <w:tc>
          <w:tcPr>
            <w:tcW w:w="5000" w:type="pct"/>
            <w:tcBorders>
              <w:top w:val="nil"/>
              <w:left w:val="single" w:sz="4" w:space="0" w:color="auto"/>
              <w:bottom w:val="single" w:sz="4" w:space="0" w:color="auto"/>
              <w:right w:val="single" w:sz="4" w:space="0" w:color="auto"/>
            </w:tcBorders>
            <w:vAlign w:val="center"/>
          </w:tcPr>
          <w:p w14:paraId="6EAB402F" w14:textId="77777777" w:rsidR="00097BC8" w:rsidRPr="00097BC8" w:rsidRDefault="00097BC8" w:rsidP="00524011">
            <w:pPr>
              <w:rPr>
                <w:rFonts w:ascii="Arial" w:hAnsi="Arial" w:cs="Arial"/>
                <w:b/>
                <w:i/>
                <w:iCs/>
                <w:sz w:val="20"/>
                <w:szCs w:val="20"/>
              </w:rPr>
            </w:pPr>
            <w:r w:rsidRPr="00097BC8">
              <w:rPr>
                <w:rFonts w:ascii="Arial" w:hAnsi="Arial" w:cs="Arial"/>
                <w:b/>
                <w:bCs/>
                <w:i/>
                <w:sz w:val="20"/>
                <w:szCs w:val="20"/>
                <w:u w:val="single"/>
              </w:rPr>
              <w:t>Árido de cobertura:</w:t>
            </w:r>
          </w:p>
        </w:tc>
      </w:tr>
      <w:tr w:rsidR="00097BC8" w:rsidRPr="00097BC8" w14:paraId="126CCD3F" w14:textId="77777777" w:rsidTr="00524011">
        <w:trPr>
          <w:trHeight w:val="600"/>
        </w:trPr>
        <w:tc>
          <w:tcPr>
            <w:tcW w:w="5000" w:type="pct"/>
            <w:tcBorders>
              <w:top w:val="nil"/>
              <w:left w:val="single" w:sz="4" w:space="0" w:color="auto"/>
              <w:bottom w:val="single" w:sz="4" w:space="0" w:color="auto"/>
              <w:right w:val="single" w:sz="4" w:space="0" w:color="auto"/>
            </w:tcBorders>
            <w:noWrap/>
            <w:vAlign w:val="center"/>
          </w:tcPr>
          <w:p w14:paraId="7E40AE54"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 xml:space="preserve">Por cada procedencia o volumen de producción </w:t>
            </w:r>
            <w:proofErr w:type="gramStart"/>
            <w:r w:rsidRPr="00097BC8">
              <w:rPr>
                <w:rFonts w:ascii="Arial" w:hAnsi="Arial" w:cs="Arial"/>
                <w:i/>
                <w:iCs/>
                <w:sz w:val="20"/>
                <w:szCs w:val="20"/>
              </w:rPr>
              <w:t>previsto :</w:t>
            </w:r>
            <w:proofErr w:type="gramEnd"/>
          </w:p>
        </w:tc>
      </w:tr>
      <w:tr w:rsidR="00097BC8" w:rsidRPr="00097BC8" w14:paraId="799FC651" w14:textId="77777777" w:rsidTr="00524011">
        <w:trPr>
          <w:trHeight w:val="540"/>
        </w:trPr>
        <w:tc>
          <w:tcPr>
            <w:tcW w:w="5000" w:type="pct"/>
            <w:tcBorders>
              <w:top w:val="nil"/>
              <w:left w:val="single" w:sz="4" w:space="0" w:color="auto"/>
              <w:bottom w:val="single" w:sz="4" w:space="0" w:color="auto"/>
              <w:right w:val="single" w:sz="4" w:space="0" w:color="auto"/>
            </w:tcBorders>
            <w:vAlign w:val="center"/>
          </w:tcPr>
          <w:p w14:paraId="730A9FC2"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 xml:space="preserve"> Un (1) Ensayo Granulométrico por tamizado del material que pasa por el tamiz </w:t>
            </w:r>
            <w:proofErr w:type="gramStart"/>
            <w:r w:rsidRPr="00097BC8">
              <w:rPr>
                <w:rFonts w:ascii="Arial" w:hAnsi="Arial" w:cs="Arial"/>
                <w:sz w:val="20"/>
                <w:szCs w:val="20"/>
              </w:rPr>
              <w:t>5  (</w:t>
            </w:r>
            <w:proofErr w:type="gramEnd"/>
            <w:r w:rsidRPr="00097BC8">
              <w:rPr>
                <w:rFonts w:ascii="Arial" w:hAnsi="Arial" w:cs="Arial"/>
                <w:sz w:val="20"/>
                <w:szCs w:val="20"/>
              </w:rPr>
              <w:t>UNE-EN 933-2/1M:1999)</w:t>
            </w:r>
          </w:p>
        </w:tc>
      </w:tr>
      <w:tr w:rsidR="00097BC8" w:rsidRPr="00097BC8" w14:paraId="5989BCB8" w14:textId="77777777" w:rsidTr="00524011">
        <w:trPr>
          <w:trHeight w:val="540"/>
        </w:trPr>
        <w:tc>
          <w:tcPr>
            <w:tcW w:w="5000" w:type="pct"/>
            <w:tcBorders>
              <w:top w:val="nil"/>
              <w:left w:val="single" w:sz="4" w:space="0" w:color="auto"/>
              <w:bottom w:val="single" w:sz="4" w:space="0" w:color="auto"/>
              <w:right w:val="single" w:sz="4" w:space="0" w:color="auto"/>
            </w:tcBorders>
            <w:vAlign w:val="center"/>
          </w:tcPr>
          <w:p w14:paraId="0188008C"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 xml:space="preserve">Dos (2) ensayos de equivalente de arena (UNE-EN 933-8:2012+A1:2015/1M:2016) </w:t>
            </w:r>
          </w:p>
        </w:tc>
      </w:tr>
      <w:tr w:rsidR="00097BC8" w:rsidRPr="00097BC8" w14:paraId="3D9D62DE" w14:textId="77777777" w:rsidTr="00524011">
        <w:trPr>
          <w:trHeight w:val="600"/>
        </w:trPr>
        <w:tc>
          <w:tcPr>
            <w:tcW w:w="5000" w:type="pct"/>
            <w:tcBorders>
              <w:top w:val="nil"/>
              <w:left w:val="single" w:sz="4" w:space="0" w:color="auto"/>
              <w:bottom w:val="single" w:sz="4" w:space="0" w:color="auto"/>
              <w:right w:val="single" w:sz="4" w:space="0" w:color="auto"/>
            </w:tcBorders>
            <w:noWrap/>
            <w:vAlign w:val="center"/>
          </w:tcPr>
          <w:p w14:paraId="1419D216"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 xml:space="preserve">Por cada veinticinco metros cúbicos (25 m³) de </w:t>
            </w:r>
            <w:proofErr w:type="gramStart"/>
            <w:r w:rsidRPr="00097BC8">
              <w:rPr>
                <w:rFonts w:ascii="Arial" w:hAnsi="Arial" w:cs="Arial"/>
                <w:i/>
                <w:iCs/>
                <w:sz w:val="20"/>
                <w:szCs w:val="20"/>
              </w:rPr>
              <w:t>material  o</w:t>
            </w:r>
            <w:proofErr w:type="gramEnd"/>
            <w:r w:rsidRPr="00097BC8">
              <w:rPr>
                <w:rFonts w:ascii="Arial" w:hAnsi="Arial" w:cs="Arial"/>
                <w:i/>
                <w:iCs/>
                <w:sz w:val="20"/>
                <w:szCs w:val="20"/>
              </w:rPr>
              <w:t xml:space="preserve"> fracción:</w:t>
            </w:r>
          </w:p>
        </w:tc>
      </w:tr>
      <w:tr w:rsidR="00097BC8" w:rsidRPr="00097BC8" w14:paraId="05570D08"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59E6C66C"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 xml:space="preserve">Una </w:t>
            </w:r>
            <w:proofErr w:type="gramStart"/>
            <w:r w:rsidRPr="00097BC8">
              <w:rPr>
                <w:rFonts w:ascii="Arial" w:hAnsi="Arial" w:cs="Arial"/>
                <w:sz w:val="20"/>
                <w:szCs w:val="20"/>
              </w:rPr>
              <w:t>( 1</w:t>
            </w:r>
            <w:proofErr w:type="gramEnd"/>
            <w:r w:rsidRPr="00097BC8">
              <w:rPr>
                <w:rFonts w:ascii="Arial" w:hAnsi="Arial" w:cs="Arial"/>
                <w:sz w:val="20"/>
                <w:szCs w:val="20"/>
              </w:rPr>
              <w:t>) Determinación de la humedad “in situ” (UNE-EN ISO 17892-1:2015)</w:t>
            </w:r>
          </w:p>
        </w:tc>
      </w:tr>
    </w:tbl>
    <w:p w14:paraId="779B9FAE" w14:textId="77777777" w:rsidR="00097BC8" w:rsidRDefault="00097BC8" w:rsidP="007D6044">
      <w:pPr>
        <w:pStyle w:val="NORMAL12"/>
      </w:pPr>
    </w:p>
    <w:p w14:paraId="2849C3C2" w14:textId="77777777" w:rsidR="004C5A96" w:rsidRDefault="004C5A96" w:rsidP="007D6044">
      <w:pPr>
        <w:pStyle w:val="NORMAL12"/>
      </w:pPr>
    </w:p>
    <w:p w14:paraId="30E7B288" w14:textId="77777777" w:rsidR="00B134D9" w:rsidRPr="00A177CF" w:rsidRDefault="00B134D9" w:rsidP="00B134D9"/>
    <w:p w14:paraId="43B8E911" w14:textId="77777777" w:rsidR="00810099" w:rsidRPr="00A177CF" w:rsidRDefault="00E22AE3" w:rsidP="000313DD">
      <w:pPr>
        <w:pStyle w:val="TITU2"/>
      </w:pPr>
      <w:r>
        <w:br w:type="column"/>
      </w:r>
      <w:bookmarkStart w:id="591" w:name="_Toc404331"/>
      <w:r w:rsidR="00810099" w:rsidRPr="00A177CF">
        <w:t>531.10. Medición y abono</w:t>
      </w:r>
      <w:bookmarkEnd w:id="591"/>
    </w:p>
    <w:p w14:paraId="27D20CF7" w14:textId="77777777" w:rsidR="00B134D9" w:rsidRPr="00A177CF" w:rsidRDefault="00B134D9" w:rsidP="00D9029C">
      <w:pPr>
        <w:pStyle w:val="NORMAL12"/>
      </w:pPr>
      <w:r w:rsidRPr="00A177CF">
        <w:t>L</w:t>
      </w:r>
      <w:r w:rsidR="00C83B5C" w:rsidRPr="00A177CF">
        <w:t>a medición y abono de los riegos de adherencia se realizará según las especificaciones siguientes:</w:t>
      </w:r>
    </w:p>
    <w:p w14:paraId="404826C3" w14:textId="77777777" w:rsidR="007D6044" w:rsidRPr="007D6044" w:rsidRDefault="007D6044" w:rsidP="00B134D9">
      <w:pPr>
        <w:keepNext/>
        <w:rPr>
          <w:rFonts w:ascii="Arial" w:hAnsi="Arial" w:cs="Arial"/>
          <w:lang w:val="es-ES_tradnl"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32"/>
        <w:gridCol w:w="7646"/>
      </w:tblGrid>
      <w:tr w:rsidR="00B134D9" w:rsidRPr="009B23E5" w14:paraId="1413C88F" w14:textId="77777777" w:rsidTr="001B1CBC">
        <w:tc>
          <w:tcPr>
            <w:tcW w:w="0" w:type="auto"/>
            <w:vAlign w:val="center"/>
          </w:tcPr>
          <w:p w14:paraId="2B03E82C" w14:textId="77777777" w:rsidR="00B134D9" w:rsidRPr="009B23E5" w:rsidRDefault="00B134D9" w:rsidP="0000436B">
            <w:pPr>
              <w:pStyle w:val="LCATabla"/>
              <w:keepNext/>
              <w:jc w:val="center"/>
              <w:rPr>
                <w:rFonts w:ascii="Arial" w:hAnsi="Arial" w:cs="Arial"/>
                <w:b/>
                <w:bCs/>
                <w:sz w:val="20"/>
              </w:rPr>
            </w:pPr>
            <w:r w:rsidRPr="009B23E5">
              <w:rPr>
                <w:rFonts w:ascii="Arial" w:hAnsi="Arial" w:cs="Arial"/>
                <w:b/>
                <w:bCs/>
                <w:sz w:val="20"/>
              </w:rPr>
              <w:t>Unidad de medida</w:t>
            </w:r>
          </w:p>
        </w:tc>
        <w:tc>
          <w:tcPr>
            <w:tcW w:w="0" w:type="auto"/>
            <w:vAlign w:val="center"/>
          </w:tcPr>
          <w:p w14:paraId="4FEEB7F3" w14:textId="77777777" w:rsidR="00B134D9" w:rsidRPr="009B23E5" w:rsidRDefault="0066707C" w:rsidP="00900DF9">
            <w:pPr>
              <w:pStyle w:val="LCATabla"/>
              <w:keepNext/>
              <w:jc w:val="both"/>
              <w:rPr>
                <w:rFonts w:ascii="Arial" w:hAnsi="Arial" w:cs="Arial"/>
                <w:sz w:val="20"/>
              </w:rPr>
            </w:pPr>
            <w:r>
              <w:rPr>
                <w:rFonts w:ascii="Arial" w:hAnsi="Arial" w:cs="Arial"/>
                <w:sz w:val="20"/>
              </w:rPr>
              <w:t>Toneladas</w:t>
            </w:r>
            <w:r w:rsidR="00B134D9" w:rsidRPr="009B23E5">
              <w:rPr>
                <w:rFonts w:ascii="Arial" w:hAnsi="Arial" w:cs="Arial"/>
                <w:sz w:val="20"/>
              </w:rPr>
              <w:t xml:space="preserve"> (</w:t>
            </w:r>
            <w:r>
              <w:rPr>
                <w:rFonts w:ascii="Arial" w:hAnsi="Arial" w:cs="Arial"/>
                <w:sz w:val="20"/>
              </w:rPr>
              <w:t>t</w:t>
            </w:r>
            <w:r w:rsidR="00B134D9" w:rsidRPr="009B23E5">
              <w:rPr>
                <w:rFonts w:ascii="Arial" w:hAnsi="Arial" w:cs="Arial"/>
                <w:sz w:val="20"/>
              </w:rPr>
              <w:t>).</w:t>
            </w:r>
          </w:p>
        </w:tc>
      </w:tr>
      <w:tr w:rsidR="00B134D9" w:rsidRPr="009B23E5" w14:paraId="3528E0BC" w14:textId="77777777" w:rsidTr="001B1CBC">
        <w:tc>
          <w:tcPr>
            <w:tcW w:w="0" w:type="auto"/>
            <w:vAlign w:val="center"/>
          </w:tcPr>
          <w:p w14:paraId="5601E346" w14:textId="77777777" w:rsidR="00B134D9" w:rsidRPr="009B23E5" w:rsidRDefault="00B134D9" w:rsidP="0000436B">
            <w:pPr>
              <w:pStyle w:val="LCATabla"/>
              <w:keepNext/>
              <w:jc w:val="center"/>
              <w:rPr>
                <w:rFonts w:ascii="Arial" w:hAnsi="Arial" w:cs="Arial"/>
                <w:b/>
                <w:bCs/>
                <w:sz w:val="20"/>
              </w:rPr>
            </w:pPr>
            <w:r w:rsidRPr="009B23E5">
              <w:rPr>
                <w:rFonts w:ascii="Arial" w:hAnsi="Arial" w:cs="Arial"/>
                <w:b/>
                <w:bCs/>
                <w:sz w:val="20"/>
              </w:rPr>
              <w:t>Grado de precisión</w:t>
            </w:r>
          </w:p>
        </w:tc>
        <w:tc>
          <w:tcPr>
            <w:tcW w:w="0" w:type="auto"/>
            <w:vAlign w:val="center"/>
          </w:tcPr>
          <w:p w14:paraId="2178DFA7" w14:textId="77777777" w:rsidR="00B134D9" w:rsidRPr="009B23E5" w:rsidRDefault="00B134D9" w:rsidP="00900DF9">
            <w:pPr>
              <w:pStyle w:val="LCATabla"/>
              <w:keepNext/>
              <w:jc w:val="both"/>
              <w:rPr>
                <w:rFonts w:ascii="Arial" w:hAnsi="Arial" w:cs="Arial"/>
                <w:sz w:val="20"/>
              </w:rPr>
            </w:pPr>
            <w:r w:rsidRPr="009B23E5">
              <w:rPr>
                <w:rFonts w:ascii="Arial" w:hAnsi="Arial" w:cs="Arial"/>
                <w:sz w:val="20"/>
              </w:rPr>
              <w:t>Dos decimales.</w:t>
            </w:r>
          </w:p>
        </w:tc>
      </w:tr>
      <w:tr w:rsidR="00B134D9" w:rsidRPr="009B23E5" w14:paraId="73D5A5A2" w14:textId="77777777" w:rsidTr="001B1CBC">
        <w:tc>
          <w:tcPr>
            <w:tcW w:w="0" w:type="auto"/>
            <w:vAlign w:val="center"/>
          </w:tcPr>
          <w:p w14:paraId="7C4268AE" w14:textId="77777777" w:rsidR="00B134D9" w:rsidRPr="009B23E5" w:rsidRDefault="00B134D9" w:rsidP="0000436B">
            <w:pPr>
              <w:pStyle w:val="LCATabla"/>
              <w:keepNext/>
              <w:jc w:val="center"/>
              <w:rPr>
                <w:rFonts w:ascii="Arial" w:hAnsi="Arial" w:cs="Arial"/>
                <w:b/>
                <w:bCs/>
                <w:sz w:val="20"/>
              </w:rPr>
            </w:pPr>
            <w:r w:rsidRPr="009B23E5">
              <w:rPr>
                <w:rFonts w:ascii="Arial" w:hAnsi="Arial" w:cs="Arial"/>
                <w:b/>
                <w:bCs/>
                <w:sz w:val="20"/>
              </w:rPr>
              <w:t>Forma de medición</w:t>
            </w:r>
          </w:p>
        </w:tc>
        <w:tc>
          <w:tcPr>
            <w:tcW w:w="0" w:type="auto"/>
            <w:vAlign w:val="center"/>
          </w:tcPr>
          <w:p w14:paraId="1AB6D9FE" w14:textId="77777777" w:rsidR="00B134D9" w:rsidRPr="009B23E5" w:rsidRDefault="00B134D9" w:rsidP="00900DF9">
            <w:pPr>
              <w:pStyle w:val="LCATabla"/>
              <w:keepNext/>
              <w:jc w:val="both"/>
              <w:rPr>
                <w:rFonts w:ascii="Arial" w:hAnsi="Arial" w:cs="Arial"/>
                <w:sz w:val="20"/>
              </w:rPr>
            </w:pPr>
            <w:r w:rsidRPr="009B23E5">
              <w:rPr>
                <w:rFonts w:ascii="Arial" w:hAnsi="Arial" w:cs="Arial"/>
                <w:sz w:val="20"/>
              </w:rPr>
              <w:t xml:space="preserve">Toneladas (t) realmente empleadas, medidas por pesada directa en báscula contrastada, o bien por deducción a partir de su volumen, medido a su vez por métodos aprobados por el </w:t>
            </w:r>
            <w:proofErr w:type="gramStart"/>
            <w:r w:rsidRPr="009B23E5">
              <w:rPr>
                <w:rFonts w:ascii="Arial" w:hAnsi="Arial" w:cs="Arial"/>
                <w:sz w:val="20"/>
              </w:rPr>
              <w:t>Director</w:t>
            </w:r>
            <w:proofErr w:type="gramEnd"/>
            <w:r w:rsidRPr="009B23E5">
              <w:rPr>
                <w:rFonts w:ascii="Arial" w:hAnsi="Arial" w:cs="Arial"/>
                <w:sz w:val="20"/>
              </w:rPr>
              <w:t xml:space="preserve"> de la obra.</w:t>
            </w:r>
          </w:p>
        </w:tc>
      </w:tr>
      <w:tr w:rsidR="00B134D9" w:rsidRPr="009B23E5" w14:paraId="163AD9F8" w14:textId="77777777" w:rsidTr="001B1CBC">
        <w:tc>
          <w:tcPr>
            <w:tcW w:w="0" w:type="auto"/>
            <w:vAlign w:val="center"/>
          </w:tcPr>
          <w:p w14:paraId="6640392D" w14:textId="77777777" w:rsidR="00B134D9" w:rsidRPr="009B23E5" w:rsidRDefault="00B134D9" w:rsidP="0000436B">
            <w:pPr>
              <w:pStyle w:val="LCATabla"/>
              <w:keepNext/>
              <w:jc w:val="center"/>
              <w:rPr>
                <w:rFonts w:ascii="Arial" w:hAnsi="Arial" w:cs="Arial"/>
                <w:b/>
                <w:bCs/>
                <w:sz w:val="20"/>
              </w:rPr>
            </w:pPr>
            <w:r w:rsidRPr="009B23E5">
              <w:rPr>
                <w:rFonts w:ascii="Arial" w:hAnsi="Arial" w:cs="Arial"/>
                <w:b/>
                <w:bCs/>
                <w:sz w:val="20"/>
              </w:rPr>
              <w:t>Abono</w:t>
            </w:r>
          </w:p>
        </w:tc>
        <w:tc>
          <w:tcPr>
            <w:tcW w:w="0" w:type="auto"/>
            <w:vAlign w:val="center"/>
          </w:tcPr>
          <w:p w14:paraId="48DE60F8" w14:textId="77777777" w:rsidR="00B134D9" w:rsidRPr="009B23E5" w:rsidRDefault="00B134D9" w:rsidP="00900DF9">
            <w:pPr>
              <w:pStyle w:val="LCATabla"/>
              <w:keepNext/>
              <w:jc w:val="both"/>
              <w:rPr>
                <w:rFonts w:ascii="Arial" w:hAnsi="Arial" w:cs="Arial"/>
                <w:sz w:val="20"/>
              </w:rPr>
            </w:pPr>
            <w:r w:rsidRPr="009B23E5">
              <w:rPr>
                <w:rFonts w:ascii="Arial" w:hAnsi="Arial" w:cs="Arial"/>
                <w:sz w:val="20"/>
              </w:rPr>
              <w:t>Se efectuará cuando se realice la aceptación.</w:t>
            </w:r>
          </w:p>
        </w:tc>
      </w:tr>
      <w:tr w:rsidR="00B134D9" w:rsidRPr="009B23E5" w14:paraId="22BDBC4D" w14:textId="77777777" w:rsidTr="001B1CBC">
        <w:tc>
          <w:tcPr>
            <w:tcW w:w="0" w:type="auto"/>
            <w:vAlign w:val="center"/>
          </w:tcPr>
          <w:p w14:paraId="6AC8CAB2" w14:textId="77777777" w:rsidR="00B134D9" w:rsidRPr="009B23E5" w:rsidRDefault="00B134D9" w:rsidP="0000436B">
            <w:pPr>
              <w:pStyle w:val="LCATabla"/>
              <w:keepNext/>
              <w:jc w:val="center"/>
              <w:rPr>
                <w:rFonts w:ascii="Arial" w:hAnsi="Arial" w:cs="Arial"/>
                <w:b/>
                <w:bCs/>
                <w:sz w:val="20"/>
              </w:rPr>
            </w:pPr>
            <w:r w:rsidRPr="009B23E5">
              <w:rPr>
                <w:rFonts w:ascii="Arial" w:hAnsi="Arial" w:cs="Arial"/>
                <w:b/>
                <w:bCs/>
                <w:sz w:val="20"/>
              </w:rPr>
              <w:t>Criterios complementarios</w:t>
            </w:r>
          </w:p>
        </w:tc>
        <w:tc>
          <w:tcPr>
            <w:tcW w:w="0" w:type="auto"/>
            <w:vAlign w:val="center"/>
          </w:tcPr>
          <w:p w14:paraId="3414F312" w14:textId="77777777" w:rsidR="00B134D9" w:rsidRPr="009B23E5" w:rsidRDefault="00B134D9" w:rsidP="00900DF9">
            <w:pPr>
              <w:pStyle w:val="LCATabla"/>
              <w:keepNext/>
              <w:jc w:val="both"/>
              <w:rPr>
                <w:rFonts w:ascii="Arial" w:hAnsi="Arial" w:cs="Arial"/>
                <w:sz w:val="20"/>
              </w:rPr>
            </w:pPr>
            <w:r w:rsidRPr="009B23E5">
              <w:rPr>
                <w:rFonts w:ascii="Arial" w:hAnsi="Arial" w:cs="Arial"/>
                <w:sz w:val="20"/>
              </w:rPr>
              <w:t>El precio para el abono incluye todas las operaciones de preparación de la superficie, así como los medios auxiliares necesarios para la ejecución de la unidad.</w:t>
            </w:r>
          </w:p>
        </w:tc>
      </w:tr>
    </w:tbl>
    <w:p w14:paraId="63EDA9BE" w14:textId="77777777" w:rsidR="00622514" w:rsidRPr="00622514" w:rsidRDefault="004062C1" w:rsidP="00622514">
      <w:pPr>
        <w:pStyle w:val="TITU1"/>
      </w:pPr>
      <w:bookmarkStart w:id="592" w:name="_Toc404332"/>
      <w:r>
        <w:lastRenderedPageBreak/>
        <w:t>Artículo 532.</w:t>
      </w:r>
      <w:r w:rsidR="00622514">
        <w:t xml:space="preserve"> Riego de curado</w:t>
      </w:r>
      <w:bookmarkEnd w:id="592"/>
    </w:p>
    <w:p w14:paraId="2F95BAB6" w14:textId="77777777" w:rsidR="009921F2" w:rsidRDefault="009921F2" w:rsidP="009921F2">
      <w:pPr>
        <w:pStyle w:val="NORMAL12"/>
      </w:pPr>
      <w:r w:rsidRPr="008D0820">
        <w:t>Excepto para lo especificado en el presente Pliego de Prescripciones Técnicas particulares se seguirá lo prescrito en el vigente artículo 53</w:t>
      </w:r>
      <w:r>
        <w:t>2</w:t>
      </w:r>
      <w:r w:rsidRPr="008D0820">
        <w:t xml:space="preserve"> del PG-3.</w:t>
      </w:r>
    </w:p>
    <w:p w14:paraId="1E28A60C" w14:textId="77777777" w:rsidR="00810099" w:rsidRPr="00722A1E" w:rsidRDefault="00810099" w:rsidP="000313DD">
      <w:pPr>
        <w:pStyle w:val="TITU2"/>
      </w:pPr>
      <w:bookmarkStart w:id="593" w:name="_Toc404333"/>
      <w:r w:rsidRPr="00722A1E">
        <w:t>532.1. Definición</w:t>
      </w:r>
      <w:r w:rsidR="0066707C" w:rsidRPr="00722A1E">
        <w:t xml:space="preserve"> y aplicación</w:t>
      </w:r>
      <w:bookmarkEnd w:id="593"/>
    </w:p>
    <w:p w14:paraId="1876CA3E" w14:textId="77777777" w:rsidR="0066707C" w:rsidRPr="00722A1E" w:rsidRDefault="0066707C" w:rsidP="0066707C">
      <w:pPr>
        <w:pStyle w:val="NORMAL12"/>
      </w:pPr>
      <w:r w:rsidRPr="00722A1E">
        <w:t>Se define como riego de curado la aplicación de una película continua y uniforme de emulsión bituminosa sobre una capa tratada con un conglomerante hidráulico, al objeto de impermeabilizar toda la superficie y evitar la evaporación del agua necesaria para el correcto fraguado.</w:t>
      </w:r>
    </w:p>
    <w:p w14:paraId="203962A0" w14:textId="77777777" w:rsidR="006F74F1" w:rsidRPr="00722A1E" w:rsidRDefault="006F74F1" w:rsidP="00722A1E">
      <w:pPr>
        <w:pStyle w:val="NORMAL12"/>
      </w:pPr>
      <w:r w:rsidRPr="00722A1E">
        <w:t>Por tanto, el rie</w:t>
      </w:r>
      <w:r w:rsidR="00722A1E" w:rsidRPr="00722A1E">
        <w:t xml:space="preserve">go de curado será de aplicación sobre la capa de </w:t>
      </w:r>
      <w:proofErr w:type="spellStart"/>
      <w:r w:rsidR="00722A1E" w:rsidRPr="00722A1E">
        <w:t>suelocemento</w:t>
      </w:r>
      <w:proofErr w:type="spellEnd"/>
      <w:r w:rsidR="00722A1E" w:rsidRPr="00722A1E">
        <w:t xml:space="preserve"> de </w:t>
      </w:r>
      <w:proofErr w:type="gramStart"/>
      <w:r w:rsidR="00722A1E" w:rsidRPr="00722A1E">
        <w:t>coronación  de</w:t>
      </w:r>
      <w:proofErr w:type="gramEnd"/>
      <w:r w:rsidR="00722A1E" w:rsidRPr="00722A1E">
        <w:t xml:space="preserve"> la explanada.</w:t>
      </w:r>
    </w:p>
    <w:p w14:paraId="54894D25" w14:textId="77777777" w:rsidR="00C36ABC" w:rsidRPr="00722A1E" w:rsidRDefault="00C36ABC" w:rsidP="007D6044">
      <w:pPr>
        <w:pStyle w:val="NORMAL12"/>
      </w:pPr>
      <w:r w:rsidRPr="00722A1E">
        <w:t xml:space="preserve">Las prescripciones del presente artículo </w:t>
      </w:r>
      <w:proofErr w:type="gramStart"/>
      <w:r w:rsidRPr="00722A1E">
        <w:t>son de aplicación</w:t>
      </w:r>
      <w:proofErr w:type="gramEnd"/>
      <w:r w:rsidRPr="00722A1E">
        <w:t xml:space="preserve"> a las unidades de obra siguientes:</w:t>
      </w:r>
    </w:p>
    <w:tbl>
      <w:tblPr>
        <w:tblW w:w="5000" w:type="pct"/>
        <w:tblCellMar>
          <w:left w:w="70" w:type="dxa"/>
          <w:right w:w="70" w:type="dxa"/>
        </w:tblCellMar>
        <w:tblLook w:val="04A0" w:firstRow="1" w:lastRow="0" w:firstColumn="1" w:lastColumn="0" w:noHBand="0" w:noVBand="1"/>
      </w:tblPr>
      <w:tblGrid>
        <w:gridCol w:w="1053"/>
        <w:gridCol w:w="774"/>
        <w:gridCol w:w="7951"/>
      </w:tblGrid>
      <w:tr w:rsidR="005864C2" w:rsidRPr="00722A1E" w14:paraId="2343ADBB" w14:textId="77777777" w:rsidTr="0084421A">
        <w:trPr>
          <w:trHeight w:val="300"/>
        </w:trPr>
        <w:tc>
          <w:tcPr>
            <w:tcW w:w="538" w:type="pct"/>
            <w:noWrap/>
          </w:tcPr>
          <w:p w14:paraId="3261670C" w14:textId="77777777" w:rsidR="001A49A5" w:rsidRPr="00504DAB" w:rsidRDefault="001A49A5">
            <w:pPr>
              <w:rPr>
                <w:rFonts w:ascii="Calibri" w:hAnsi="Calibri"/>
              </w:rPr>
            </w:pPr>
            <w:r w:rsidRPr="00504DAB">
              <w:rPr>
                <w:rFonts w:ascii="Calibri" w:hAnsi="Calibri"/>
              </w:rPr>
              <w:t xml:space="preserve">530.0010          </w:t>
            </w:r>
          </w:p>
        </w:tc>
        <w:tc>
          <w:tcPr>
            <w:tcW w:w="396" w:type="pct"/>
            <w:noWrap/>
          </w:tcPr>
          <w:p w14:paraId="5DBB12B2" w14:textId="77777777" w:rsidR="001A49A5" w:rsidRPr="00504DAB" w:rsidRDefault="001A49A5">
            <w:pPr>
              <w:rPr>
                <w:rFonts w:ascii="Calibri" w:hAnsi="Calibri"/>
              </w:rPr>
            </w:pPr>
            <w:r w:rsidRPr="00504DAB">
              <w:rPr>
                <w:rFonts w:ascii="Calibri" w:hAnsi="Calibri"/>
              </w:rPr>
              <w:t>t</w:t>
            </w:r>
          </w:p>
        </w:tc>
        <w:tc>
          <w:tcPr>
            <w:tcW w:w="4065" w:type="pct"/>
          </w:tcPr>
          <w:p w14:paraId="6CC9209C" w14:textId="77777777" w:rsidR="0084421A" w:rsidRPr="00504DAB" w:rsidRDefault="0084421A" w:rsidP="00900DF9">
            <w:pPr>
              <w:jc w:val="both"/>
              <w:rPr>
                <w:rFonts w:ascii="Calibri" w:hAnsi="Calibri"/>
              </w:rPr>
            </w:pPr>
            <w:r w:rsidRPr="00504DAB">
              <w:rPr>
                <w:rFonts w:ascii="Calibri" w:hAnsi="Calibri"/>
              </w:rPr>
              <w:t>ÁRIDO DE COBERTURA EMPLEADO EN RIEGOS DE IMPRIMACIÓN O DE CURADO i/ LA EXTENSIÓN.</w:t>
            </w:r>
          </w:p>
          <w:p w14:paraId="7AF4FABA" w14:textId="77777777" w:rsidR="001A49A5" w:rsidRPr="00504DAB" w:rsidRDefault="001A49A5" w:rsidP="00900DF9">
            <w:pPr>
              <w:jc w:val="both"/>
              <w:rPr>
                <w:rFonts w:ascii="Calibri" w:hAnsi="Calibri"/>
              </w:rPr>
            </w:pPr>
          </w:p>
        </w:tc>
      </w:tr>
      <w:tr w:rsidR="00A177CF" w:rsidRPr="00722A1E" w14:paraId="703DFD9F" w14:textId="77777777" w:rsidTr="0084421A">
        <w:trPr>
          <w:trHeight w:val="518"/>
        </w:trPr>
        <w:tc>
          <w:tcPr>
            <w:tcW w:w="538" w:type="pct"/>
            <w:noWrap/>
          </w:tcPr>
          <w:p w14:paraId="766C91A8" w14:textId="77777777" w:rsidR="00A177CF" w:rsidRPr="00504DAB" w:rsidRDefault="00A177CF">
            <w:pPr>
              <w:rPr>
                <w:rFonts w:ascii="Calibri" w:hAnsi="Calibri"/>
                <w:color w:val="000000"/>
              </w:rPr>
            </w:pPr>
            <w:r w:rsidRPr="00504DAB">
              <w:rPr>
                <w:rFonts w:ascii="Calibri" w:hAnsi="Calibri"/>
                <w:color w:val="000000"/>
              </w:rPr>
              <w:t xml:space="preserve">531.0020          </w:t>
            </w:r>
          </w:p>
        </w:tc>
        <w:tc>
          <w:tcPr>
            <w:tcW w:w="396" w:type="pct"/>
            <w:noWrap/>
          </w:tcPr>
          <w:p w14:paraId="3E1CD91C" w14:textId="77777777" w:rsidR="00A177CF" w:rsidRPr="00504DAB" w:rsidRDefault="00A177CF">
            <w:pPr>
              <w:rPr>
                <w:rFonts w:ascii="Calibri" w:hAnsi="Calibri"/>
                <w:color w:val="000000"/>
              </w:rPr>
            </w:pPr>
            <w:r w:rsidRPr="00504DAB">
              <w:rPr>
                <w:rFonts w:ascii="Calibri" w:hAnsi="Calibri"/>
                <w:color w:val="000000"/>
              </w:rPr>
              <w:t>t</w:t>
            </w:r>
          </w:p>
        </w:tc>
        <w:tc>
          <w:tcPr>
            <w:tcW w:w="4065" w:type="pct"/>
          </w:tcPr>
          <w:p w14:paraId="73C1E368" w14:textId="77777777" w:rsidR="00A177CF" w:rsidRPr="00504DAB" w:rsidRDefault="0084421A" w:rsidP="00900DF9">
            <w:pPr>
              <w:jc w:val="both"/>
              <w:rPr>
                <w:rFonts w:ascii="Calibri" w:hAnsi="Calibri"/>
                <w:color w:val="000000"/>
              </w:rPr>
            </w:pPr>
            <w:r w:rsidRPr="00504DAB">
              <w:rPr>
                <w:rFonts w:ascii="Calibri" w:hAnsi="Calibri"/>
                <w:color w:val="000000"/>
              </w:rPr>
              <w:t>EMULSIÓN C60B3 ADH EN RIEGOS DE ADHERENCIA O C60B3 CUR EN RIEGOS DE CURADO i/ EL BARRIDO Y LA PREPARACIÓN DE LA SUPERFICIE, TOTALMENTE TERMINADO.</w:t>
            </w:r>
          </w:p>
        </w:tc>
      </w:tr>
    </w:tbl>
    <w:p w14:paraId="1537ABE2" w14:textId="77777777" w:rsidR="00810099" w:rsidRPr="00722A1E" w:rsidRDefault="00810099" w:rsidP="000313DD">
      <w:pPr>
        <w:pStyle w:val="TITU2"/>
      </w:pPr>
      <w:bookmarkStart w:id="594" w:name="_Toc404334"/>
      <w:r w:rsidRPr="00722A1E">
        <w:t>532.2. Materiales</w:t>
      </w:r>
      <w:bookmarkEnd w:id="594"/>
    </w:p>
    <w:p w14:paraId="13C9BEF7" w14:textId="77777777" w:rsidR="00722A1E" w:rsidRPr="00722A1E" w:rsidRDefault="006F74F1" w:rsidP="00722A1E">
      <w:pPr>
        <w:pStyle w:val="NORMAL12"/>
      </w:pPr>
      <w:r w:rsidRPr="00722A1E">
        <w:t>Será de aplicación lo indicado en el artículo 530 del PG-3, con las siguientes especificaciones:</w:t>
      </w:r>
    </w:p>
    <w:p w14:paraId="3DAFD69B" w14:textId="77777777" w:rsidR="006F74F1" w:rsidRPr="00722A1E" w:rsidRDefault="006F74F1" w:rsidP="009159F9">
      <w:pPr>
        <w:pStyle w:val="NORMAL12"/>
        <w:numPr>
          <w:ilvl w:val="0"/>
          <w:numId w:val="121"/>
        </w:numPr>
      </w:pPr>
      <w:r w:rsidRPr="00722A1E">
        <w:t xml:space="preserve">El </w:t>
      </w:r>
      <w:r w:rsidR="00722A1E" w:rsidRPr="00722A1E">
        <w:t>tipo de emulsión bituminosa a e</w:t>
      </w:r>
      <w:r w:rsidRPr="00722A1E">
        <w:t xml:space="preserve">mplear será una emulsión bituminosa de tipo </w:t>
      </w:r>
      <w:r w:rsidR="00722A1E" w:rsidRPr="00722A1E">
        <w:t>C60B3 CUR</w:t>
      </w:r>
    </w:p>
    <w:p w14:paraId="1DC8E016" w14:textId="77777777" w:rsidR="006F74F1" w:rsidRPr="00722A1E" w:rsidRDefault="006F74F1" w:rsidP="009159F9">
      <w:pPr>
        <w:pStyle w:val="NORMAL12"/>
        <w:numPr>
          <w:ilvl w:val="0"/>
          <w:numId w:val="121"/>
        </w:numPr>
      </w:pPr>
      <w:r w:rsidRPr="00722A1E">
        <w:t>La dotación de ligante no será nunca inferior a 300 g/m</w:t>
      </w:r>
      <w:r w:rsidRPr="00504DAB">
        <w:rPr>
          <w:vertAlign w:val="superscript"/>
        </w:rPr>
        <w:t>2</w:t>
      </w:r>
      <w:r w:rsidRPr="00722A1E">
        <w:t xml:space="preserve">. Se comprobará que con esta dotación mínima se consigue una película continua, uniforme e impermeable de ligante hidrocarbonado sobre el suelo tratado con el riego de curado. De no ser así, el </w:t>
      </w:r>
      <w:proofErr w:type="gramStart"/>
      <w:r w:rsidRPr="00722A1E">
        <w:t>Director</w:t>
      </w:r>
      <w:proofErr w:type="gramEnd"/>
      <w:r w:rsidRPr="00722A1E">
        <w:t xml:space="preserve"> de Obra dará las instrucciones oportunas para aumentar la dotación hasta alcanzar los requisitos de continuidad, uniformidad e impermeabilidad.</w:t>
      </w:r>
    </w:p>
    <w:p w14:paraId="3E49756C" w14:textId="77777777" w:rsidR="006F74F1" w:rsidRPr="00111B52" w:rsidRDefault="006F74F1" w:rsidP="009159F9">
      <w:pPr>
        <w:pStyle w:val="NORMAL12"/>
        <w:numPr>
          <w:ilvl w:val="0"/>
          <w:numId w:val="121"/>
        </w:numPr>
      </w:pPr>
      <w:r w:rsidRPr="00111B52">
        <w:t>Dotación de árido de cobertura estimada: 5 l/m</w:t>
      </w:r>
      <w:r w:rsidRPr="00504DAB">
        <w:rPr>
          <w:vertAlign w:val="superscript"/>
        </w:rPr>
        <w:t>2</w:t>
      </w:r>
      <w:r w:rsidRPr="00111B52">
        <w:t xml:space="preserve"> de superficie a tratar</w:t>
      </w:r>
      <w:r w:rsidR="00722A1E" w:rsidRPr="00111B52">
        <w:t>. Será arena procedente de machaqueo que debe cumplir:</w:t>
      </w:r>
    </w:p>
    <w:p w14:paraId="232A8A60" w14:textId="77777777" w:rsidR="00810099" w:rsidRPr="00111B52" w:rsidRDefault="00810099" w:rsidP="009159F9">
      <w:pPr>
        <w:pStyle w:val="NORMAL12"/>
        <w:numPr>
          <w:ilvl w:val="1"/>
          <w:numId w:val="121"/>
        </w:numPr>
      </w:pPr>
      <w:r w:rsidRPr="00111B52">
        <w:t xml:space="preserve">El </w:t>
      </w:r>
      <w:r w:rsidR="008A44B9" w:rsidRPr="00111B52">
        <w:t>equivalente de</w:t>
      </w:r>
      <w:r w:rsidRPr="00111B52">
        <w:t xml:space="preserve"> </w:t>
      </w:r>
      <w:r w:rsidR="008A44B9" w:rsidRPr="00111B52">
        <w:t>arena (</w:t>
      </w:r>
      <w:r w:rsidRPr="00111B52">
        <w:t>SE</w:t>
      </w:r>
      <w:r w:rsidRPr="00504DAB">
        <w:rPr>
          <w:vertAlign w:val="subscript"/>
        </w:rPr>
        <w:t>4</w:t>
      </w:r>
      <w:r w:rsidR="008A44B9" w:rsidRPr="00111B52">
        <w:t>) del árido (Anexo A de la norma UNE-EN 933-8</w:t>
      </w:r>
      <w:r w:rsidR="00A5501B" w:rsidRPr="00111B52">
        <w:t>:2012 +A1:2015/1M:2016</w:t>
      </w:r>
      <w:r w:rsidR="008A44B9" w:rsidRPr="00111B52">
        <w:t>),</w:t>
      </w:r>
      <w:r w:rsidRPr="00111B52">
        <w:t xml:space="preserve"> para la </w:t>
      </w:r>
      <w:r w:rsidR="008A44B9" w:rsidRPr="00111B52">
        <w:t>fracción 0</w:t>
      </w:r>
      <w:r w:rsidRPr="00111B52">
        <w:t>/4 deberá ser superior a cuarenta (SE</w:t>
      </w:r>
      <w:r w:rsidRPr="00504DAB">
        <w:rPr>
          <w:vertAlign w:val="subscript"/>
        </w:rPr>
        <w:t>4</w:t>
      </w:r>
      <w:r w:rsidRPr="00111B52">
        <w:t>&gt;40).</w:t>
      </w:r>
    </w:p>
    <w:p w14:paraId="320B4C0F" w14:textId="77777777" w:rsidR="00810099" w:rsidRPr="00111B52" w:rsidRDefault="00810099" w:rsidP="009159F9">
      <w:pPr>
        <w:pStyle w:val="NORMAL12"/>
        <w:numPr>
          <w:ilvl w:val="1"/>
          <w:numId w:val="121"/>
        </w:numPr>
      </w:pPr>
      <w:r w:rsidRPr="00111B52">
        <w:t>El material deberá ser “no plástico</w:t>
      </w:r>
      <w:r w:rsidR="008A44B9" w:rsidRPr="00111B52">
        <w:t>” (</w:t>
      </w:r>
      <w:r w:rsidRPr="00111B52">
        <w:t>normas UNE 103103</w:t>
      </w:r>
      <w:r w:rsidR="00A5501B" w:rsidRPr="00111B52">
        <w:t>:1994</w:t>
      </w:r>
      <w:r w:rsidRPr="00111B52">
        <w:t xml:space="preserve"> y UNE 103104</w:t>
      </w:r>
      <w:r w:rsidR="00A5501B" w:rsidRPr="00111B52">
        <w:t>:1993</w:t>
      </w:r>
      <w:r w:rsidRPr="00111B52">
        <w:t>).</w:t>
      </w:r>
    </w:p>
    <w:p w14:paraId="7671A45A" w14:textId="77777777" w:rsidR="00810099" w:rsidRPr="00111B52" w:rsidRDefault="00810099" w:rsidP="000313DD">
      <w:pPr>
        <w:pStyle w:val="TITU2"/>
      </w:pPr>
      <w:bookmarkStart w:id="595" w:name="_Toc404335"/>
      <w:r w:rsidRPr="00111B52">
        <w:t>532.5. Ejecución</w:t>
      </w:r>
      <w:r w:rsidR="00C50108" w:rsidRPr="00111B52">
        <w:t xml:space="preserve"> de las obras</w:t>
      </w:r>
      <w:bookmarkEnd w:id="595"/>
    </w:p>
    <w:p w14:paraId="00BB06C9" w14:textId="77777777" w:rsidR="00810099" w:rsidRPr="00111B52" w:rsidRDefault="00810099" w:rsidP="00963F2E">
      <w:pPr>
        <w:pStyle w:val="NORMAL12"/>
      </w:pPr>
      <w:r w:rsidRPr="00111B52">
        <w:t>Inmediatament</w:t>
      </w:r>
      <w:r w:rsidR="008A44B9" w:rsidRPr="00111B52">
        <w:t xml:space="preserve">e antes de proceder a la aplicación de la emulsión bituminosa, la superficie a tratar se limpiará de materiales sueltos o perjudiciales. </w:t>
      </w:r>
    </w:p>
    <w:p w14:paraId="22000AB0" w14:textId="77777777" w:rsidR="00810099" w:rsidRPr="00722A1E" w:rsidRDefault="00810099" w:rsidP="00963F2E">
      <w:pPr>
        <w:pStyle w:val="NORMAL12"/>
      </w:pPr>
      <w:r w:rsidRPr="00111B52">
        <w:t>Tras la compactación de la capa tratada con conglomerante hidráulico y hasta la ejecución del riego de curado deberá</w:t>
      </w:r>
      <w:r w:rsidRPr="00722A1E">
        <w:t xml:space="preserve"> evitarse la desecación de la mencionada capa, </w:t>
      </w:r>
      <w:r w:rsidR="008A44B9" w:rsidRPr="00722A1E">
        <w:t>especialmente en</w:t>
      </w:r>
      <w:r w:rsidRPr="00722A1E">
        <w:t xml:space="preserve"> tiempo cálido o con viento, en que se deberá regar con un equipo de pulverización de agua evitando la formación de charcos.</w:t>
      </w:r>
    </w:p>
    <w:p w14:paraId="76A6C838" w14:textId="77777777" w:rsidR="00810099" w:rsidRPr="00722A1E" w:rsidRDefault="00810099" w:rsidP="00963F2E">
      <w:pPr>
        <w:pStyle w:val="NORMAL12"/>
      </w:pPr>
      <w:r w:rsidRPr="00722A1E">
        <w:t xml:space="preserve">El riego de curado se ejecutará </w:t>
      </w:r>
      <w:r w:rsidR="008A44B9" w:rsidRPr="00722A1E">
        <w:t>inmediatamente después</w:t>
      </w:r>
      <w:r w:rsidRPr="00722A1E">
        <w:t xml:space="preserve"> de acabar la compactación de la capa inferior, y en ningún caso después de transcurrir tres horas </w:t>
      </w:r>
      <w:r w:rsidR="008A44B9" w:rsidRPr="00722A1E">
        <w:t>(3</w:t>
      </w:r>
      <w:r w:rsidRPr="00722A1E">
        <w:t xml:space="preserve"> h) desde la</w:t>
      </w:r>
      <w:r w:rsidR="008A44B9" w:rsidRPr="00722A1E">
        <w:t xml:space="preserve"> </w:t>
      </w:r>
      <w:r w:rsidRPr="00722A1E">
        <w:t>terminación, manteniéndose hasta entonces la superficie en estado húmedo.</w:t>
      </w:r>
    </w:p>
    <w:p w14:paraId="775C0038" w14:textId="77777777" w:rsidR="00810099" w:rsidRPr="00722A1E" w:rsidRDefault="00810099" w:rsidP="00963F2E">
      <w:pPr>
        <w:pStyle w:val="NORMAL12"/>
      </w:pPr>
      <w:r w:rsidRPr="00722A1E">
        <w:t xml:space="preserve">El riego de curado se podrá aplicar sólo cuando la temperatura ambiente sea superior a los diez grados Celsius (&gt;10 </w:t>
      </w:r>
      <w:proofErr w:type="spellStart"/>
      <w:r w:rsidRPr="00722A1E">
        <w:t>ºC</w:t>
      </w:r>
      <w:proofErr w:type="spellEnd"/>
      <w:r w:rsidRPr="00722A1E">
        <w:t>), y no exista riesgo de preci</w:t>
      </w:r>
      <w:r w:rsidR="008A44B9" w:rsidRPr="00722A1E">
        <w:t xml:space="preserve">pitaciones atmosféricas. Dicho </w:t>
      </w:r>
      <w:r w:rsidRPr="00722A1E">
        <w:t>límite</w:t>
      </w:r>
      <w:r w:rsidR="008A44B9" w:rsidRPr="00722A1E">
        <w:t xml:space="preserve"> se podrá rebajar, a juicio del </w:t>
      </w:r>
      <w:proofErr w:type="gramStart"/>
      <w:r w:rsidR="008A44B9" w:rsidRPr="00722A1E">
        <w:t>Director</w:t>
      </w:r>
      <w:proofErr w:type="gramEnd"/>
      <w:r w:rsidR="008A44B9" w:rsidRPr="00722A1E">
        <w:t xml:space="preserve"> de las Obras, a cinco grados</w:t>
      </w:r>
      <w:r w:rsidRPr="00722A1E">
        <w:t xml:space="preserve"> Celsius (5 </w:t>
      </w:r>
      <w:proofErr w:type="spellStart"/>
      <w:r w:rsidRPr="00722A1E">
        <w:t>ºC</w:t>
      </w:r>
      <w:proofErr w:type="spellEnd"/>
      <w:r w:rsidRPr="00722A1E">
        <w:t>), si la temperatura ambiente tiende a aumentar.</w:t>
      </w:r>
    </w:p>
    <w:p w14:paraId="1F814DEC" w14:textId="77777777" w:rsidR="00810099" w:rsidRPr="00722A1E" w:rsidRDefault="00810099" w:rsidP="000313DD">
      <w:pPr>
        <w:pStyle w:val="TITU2"/>
      </w:pPr>
      <w:bookmarkStart w:id="596" w:name="_Toc404336"/>
      <w:r w:rsidRPr="00722A1E">
        <w:t>532.7. Control de calidad</w:t>
      </w:r>
      <w:bookmarkEnd w:id="596"/>
    </w:p>
    <w:p w14:paraId="3E9707AA" w14:textId="77777777" w:rsidR="006F74F1" w:rsidRDefault="006F74F1" w:rsidP="00722A1E">
      <w:pPr>
        <w:pStyle w:val="NORMAL12"/>
      </w:pPr>
      <w:proofErr w:type="gramStart"/>
      <w:r w:rsidRPr="00722A1E">
        <w:t>Los ensayos a realizar</w:t>
      </w:r>
      <w:proofErr w:type="gramEnd"/>
      <w:r w:rsidRPr="00722A1E">
        <w:t xml:space="preserve"> sobre el </w:t>
      </w:r>
      <w:r w:rsidR="00D9029C" w:rsidRPr="00722A1E">
        <w:t>material y</w:t>
      </w:r>
      <w:r w:rsidRPr="00722A1E">
        <w:t xml:space="preserve"> la frecuencia establecida está</w:t>
      </w:r>
      <w:r w:rsidR="00266CDB">
        <w:t>n reflejados</w:t>
      </w:r>
      <w:r w:rsidRPr="00722A1E">
        <w:t xml:space="preserve"> en la siguiente tabla; serán también de aplicación los ensayos establecidos en </w:t>
      </w:r>
      <w:proofErr w:type="gramStart"/>
      <w:r w:rsidRPr="00722A1E">
        <w:t>el  artículo</w:t>
      </w:r>
      <w:proofErr w:type="gramEnd"/>
      <w:r w:rsidRPr="00722A1E">
        <w:t xml:space="preserve"> 532. Riego de Curado, del PG-3 no incluidos en el presente artículo; el coste de </w:t>
      </w:r>
      <w:proofErr w:type="gramStart"/>
      <w:r w:rsidRPr="00722A1E">
        <w:t>los mismos</w:t>
      </w:r>
      <w:proofErr w:type="gramEnd"/>
      <w:r w:rsidRPr="00722A1E">
        <w:t xml:space="preserve"> será sufragado según indica el artículo </w:t>
      </w:r>
      <w:r w:rsidR="009B2080">
        <w:t xml:space="preserve">104.3. </w:t>
      </w:r>
      <w:r w:rsidR="009B2080" w:rsidRPr="009B2080">
        <w:rPr>
          <w:i/>
        </w:rPr>
        <w:t>Ensayos</w:t>
      </w:r>
      <w:r w:rsidR="009B2080">
        <w:t xml:space="preserve"> del presente pl</w:t>
      </w:r>
      <w:r w:rsidRPr="00722A1E">
        <w:t>iego.</w:t>
      </w:r>
    </w:p>
    <w:p w14:paraId="430DCFB0" w14:textId="77777777" w:rsidR="007E2B4D" w:rsidRDefault="007E2B4D" w:rsidP="00722A1E">
      <w:pPr>
        <w:pStyle w:val="NORMAL12"/>
      </w:pPr>
    </w:p>
    <w:p w14:paraId="03E55EFE" w14:textId="77777777" w:rsidR="00097BC8" w:rsidRDefault="00097BC8" w:rsidP="00722A1E">
      <w:pPr>
        <w:pStyle w:val="NORMAL12"/>
      </w:pPr>
    </w:p>
    <w:p w14:paraId="1179F7C4" w14:textId="77777777" w:rsidR="00097BC8" w:rsidRDefault="00097BC8" w:rsidP="00722A1E">
      <w:pPr>
        <w:pStyle w:val="NORMAL12"/>
      </w:pPr>
    </w:p>
    <w:p w14:paraId="0F22C43E" w14:textId="77777777" w:rsidR="004C5A96" w:rsidRDefault="004C5A96" w:rsidP="00722A1E">
      <w:pPr>
        <w:pStyle w:val="NORMAL12"/>
      </w:pPr>
    </w:p>
    <w:tbl>
      <w:tblPr>
        <w:tblW w:w="5000" w:type="pct"/>
        <w:tblCellMar>
          <w:left w:w="70" w:type="dxa"/>
          <w:right w:w="70" w:type="dxa"/>
        </w:tblCellMar>
        <w:tblLook w:val="00A0" w:firstRow="1" w:lastRow="0" w:firstColumn="1" w:lastColumn="0" w:noHBand="0" w:noVBand="0"/>
      </w:tblPr>
      <w:tblGrid>
        <w:gridCol w:w="9778"/>
      </w:tblGrid>
      <w:tr w:rsidR="00097BC8" w:rsidRPr="00097BC8" w14:paraId="7E2B6244" w14:textId="77777777" w:rsidTr="00524011">
        <w:trPr>
          <w:trHeight w:val="510"/>
          <w:tblHeader/>
        </w:trPr>
        <w:tc>
          <w:tcPr>
            <w:tcW w:w="5000" w:type="pct"/>
            <w:tcBorders>
              <w:top w:val="single" w:sz="4" w:space="0" w:color="auto"/>
              <w:left w:val="single" w:sz="4" w:space="0" w:color="auto"/>
              <w:bottom w:val="single" w:sz="4" w:space="0" w:color="auto"/>
              <w:right w:val="single" w:sz="4" w:space="0" w:color="auto"/>
            </w:tcBorders>
            <w:shd w:val="clear" w:color="000000" w:fill="D8D8D8"/>
            <w:noWrap/>
            <w:vAlign w:val="center"/>
          </w:tcPr>
          <w:p w14:paraId="43CF2E2E" w14:textId="77777777" w:rsidR="00097BC8" w:rsidRPr="00097BC8" w:rsidRDefault="00097BC8" w:rsidP="00097BC8">
            <w:pPr>
              <w:rPr>
                <w:rFonts w:ascii="Arial" w:hAnsi="Arial" w:cs="Arial"/>
                <w:b/>
                <w:bCs/>
              </w:rPr>
            </w:pPr>
            <w:r w:rsidRPr="00097BC8">
              <w:rPr>
                <w:rFonts w:ascii="Arial" w:hAnsi="Arial" w:cs="Arial"/>
                <w:b/>
                <w:bCs/>
              </w:rPr>
              <w:lastRenderedPageBreak/>
              <w:t>RIEGOS DE CURADO</w:t>
            </w:r>
          </w:p>
        </w:tc>
      </w:tr>
      <w:tr w:rsidR="00097BC8" w:rsidRPr="00097BC8" w14:paraId="16153B69" w14:textId="77777777" w:rsidTr="00524011">
        <w:trPr>
          <w:trHeight w:val="600"/>
        </w:trPr>
        <w:tc>
          <w:tcPr>
            <w:tcW w:w="5000" w:type="pct"/>
            <w:tcBorders>
              <w:top w:val="nil"/>
              <w:left w:val="single" w:sz="4" w:space="0" w:color="auto"/>
              <w:bottom w:val="single" w:sz="4" w:space="0" w:color="auto"/>
              <w:right w:val="single" w:sz="4" w:space="0" w:color="auto"/>
            </w:tcBorders>
            <w:noWrap/>
            <w:vAlign w:val="center"/>
          </w:tcPr>
          <w:p w14:paraId="6165B673" w14:textId="77777777" w:rsidR="00097BC8" w:rsidRPr="00097BC8" w:rsidRDefault="00097BC8" w:rsidP="00524011">
            <w:pPr>
              <w:rPr>
                <w:rFonts w:ascii="Arial" w:hAnsi="Arial" w:cs="Arial"/>
                <w:b/>
                <w:bCs/>
                <w:sz w:val="20"/>
                <w:szCs w:val="20"/>
                <w:u w:val="single"/>
              </w:rPr>
            </w:pPr>
            <w:r w:rsidRPr="00097BC8">
              <w:rPr>
                <w:rFonts w:ascii="Arial" w:hAnsi="Arial" w:cs="Arial"/>
                <w:b/>
                <w:bCs/>
                <w:sz w:val="20"/>
                <w:szCs w:val="20"/>
                <w:u w:val="single"/>
              </w:rPr>
              <w:t>Lugar de procedencia. Antes de su ejecución:</w:t>
            </w:r>
          </w:p>
        </w:tc>
      </w:tr>
      <w:tr w:rsidR="00097BC8" w:rsidRPr="00097BC8" w14:paraId="3912BE8F" w14:textId="77777777" w:rsidTr="00524011">
        <w:trPr>
          <w:trHeight w:val="600"/>
        </w:trPr>
        <w:tc>
          <w:tcPr>
            <w:tcW w:w="5000" w:type="pct"/>
            <w:tcBorders>
              <w:top w:val="nil"/>
              <w:left w:val="single" w:sz="4" w:space="0" w:color="auto"/>
              <w:bottom w:val="single" w:sz="4" w:space="0" w:color="auto"/>
              <w:right w:val="single" w:sz="4" w:space="0" w:color="auto"/>
            </w:tcBorders>
            <w:vAlign w:val="center"/>
          </w:tcPr>
          <w:p w14:paraId="4794F89F"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 xml:space="preserve">Cada quinientos </w:t>
            </w:r>
            <w:proofErr w:type="gramStart"/>
            <w:r w:rsidRPr="00097BC8">
              <w:rPr>
                <w:rFonts w:ascii="Arial" w:hAnsi="Arial" w:cs="Arial"/>
                <w:i/>
                <w:iCs/>
                <w:sz w:val="20"/>
                <w:szCs w:val="20"/>
              </w:rPr>
              <w:t>metros(</w:t>
            </w:r>
            <w:proofErr w:type="gramEnd"/>
            <w:r w:rsidRPr="00097BC8">
              <w:rPr>
                <w:rFonts w:ascii="Arial" w:hAnsi="Arial" w:cs="Arial"/>
                <w:i/>
                <w:iCs/>
                <w:sz w:val="20"/>
                <w:szCs w:val="20"/>
              </w:rPr>
              <w:t>500 m) de calzada, superficie de (3.500 m</w:t>
            </w:r>
            <w:r w:rsidRPr="006455AE">
              <w:rPr>
                <w:rFonts w:ascii="Arial" w:hAnsi="Arial" w:cs="Arial"/>
                <w:i/>
                <w:iCs/>
                <w:sz w:val="20"/>
                <w:szCs w:val="20"/>
                <w:vertAlign w:val="superscript"/>
              </w:rPr>
              <w:t>2</w:t>
            </w:r>
            <w:r w:rsidRPr="00097BC8">
              <w:rPr>
                <w:rFonts w:ascii="Arial" w:hAnsi="Arial" w:cs="Arial"/>
                <w:i/>
                <w:iCs/>
                <w:sz w:val="20"/>
                <w:szCs w:val="20"/>
              </w:rPr>
              <w:t>) o superficie imprimada diariamente:</w:t>
            </w:r>
          </w:p>
        </w:tc>
      </w:tr>
      <w:tr w:rsidR="00097BC8" w:rsidRPr="00097BC8" w14:paraId="737F8310"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1F2542C7" w14:textId="77777777" w:rsidR="00097BC8" w:rsidRPr="00097BC8" w:rsidRDefault="00097BC8" w:rsidP="00524011">
            <w:pPr>
              <w:autoSpaceDE w:val="0"/>
              <w:autoSpaceDN w:val="0"/>
              <w:adjustRightInd w:val="0"/>
              <w:jc w:val="right"/>
              <w:rPr>
                <w:rFonts w:ascii="Arial" w:hAnsi="Arial" w:cs="Arial"/>
                <w:sz w:val="20"/>
                <w:szCs w:val="20"/>
              </w:rPr>
            </w:pPr>
            <w:r w:rsidRPr="00097BC8">
              <w:rPr>
                <w:rFonts w:ascii="Arial" w:hAnsi="Arial" w:cs="Arial"/>
                <w:sz w:val="20"/>
                <w:szCs w:val="20"/>
              </w:rPr>
              <w:t>Una (1) Determinación del contenido de agua (UNE-EN 13614)</w:t>
            </w:r>
          </w:p>
        </w:tc>
      </w:tr>
      <w:tr w:rsidR="00097BC8" w:rsidRPr="00097BC8" w14:paraId="475982E3"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7DD3F48B"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Viscosidad Saybolt (UNE-EN 12846-1)</w:t>
            </w:r>
          </w:p>
        </w:tc>
      </w:tr>
      <w:tr w:rsidR="00097BC8" w:rsidRPr="00097BC8" w14:paraId="0B28996C"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4FFF2B2F"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Destilación (NLT 134/99)</w:t>
            </w:r>
          </w:p>
        </w:tc>
      </w:tr>
      <w:tr w:rsidR="00097BC8" w:rsidRPr="00097BC8" w14:paraId="208E9839"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2F927491"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Penetración sobre residuo de destilación (NLT 124/99)</w:t>
            </w:r>
          </w:p>
        </w:tc>
      </w:tr>
      <w:tr w:rsidR="00097BC8" w:rsidRPr="00097BC8" w14:paraId="5A0C99A3" w14:textId="77777777" w:rsidTr="00524011">
        <w:trPr>
          <w:trHeight w:val="600"/>
        </w:trPr>
        <w:tc>
          <w:tcPr>
            <w:tcW w:w="5000" w:type="pct"/>
            <w:tcBorders>
              <w:top w:val="nil"/>
              <w:left w:val="single" w:sz="4" w:space="0" w:color="auto"/>
              <w:bottom w:val="single" w:sz="4" w:space="0" w:color="auto"/>
              <w:right w:val="single" w:sz="4" w:space="0" w:color="auto"/>
            </w:tcBorders>
            <w:noWrap/>
            <w:vAlign w:val="center"/>
          </w:tcPr>
          <w:p w14:paraId="1972895E" w14:textId="77777777" w:rsidR="00097BC8" w:rsidRPr="00097BC8" w:rsidRDefault="00097BC8" w:rsidP="00524011">
            <w:pPr>
              <w:rPr>
                <w:rFonts w:ascii="Arial" w:hAnsi="Arial" w:cs="Arial"/>
                <w:b/>
                <w:bCs/>
                <w:sz w:val="20"/>
                <w:szCs w:val="20"/>
                <w:u w:val="single"/>
              </w:rPr>
            </w:pPr>
            <w:r w:rsidRPr="00097BC8">
              <w:rPr>
                <w:rFonts w:ascii="Arial" w:hAnsi="Arial" w:cs="Arial"/>
                <w:b/>
                <w:bCs/>
                <w:sz w:val="20"/>
                <w:szCs w:val="20"/>
                <w:u w:val="single"/>
              </w:rPr>
              <w:t>Durante su ejecución:</w:t>
            </w:r>
          </w:p>
        </w:tc>
      </w:tr>
      <w:tr w:rsidR="00097BC8" w:rsidRPr="00097BC8" w14:paraId="2ACB766E" w14:textId="77777777" w:rsidTr="00524011">
        <w:trPr>
          <w:trHeight w:val="600"/>
        </w:trPr>
        <w:tc>
          <w:tcPr>
            <w:tcW w:w="5000" w:type="pct"/>
            <w:tcBorders>
              <w:top w:val="nil"/>
              <w:left w:val="single" w:sz="4" w:space="0" w:color="auto"/>
              <w:bottom w:val="single" w:sz="4" w:space="0" w:color="auto"/>
              <w:right w:val="single" w:sz="4" w:space="0" w:color="auto"/>
            </w:tcBorders>
            <w:vAlign w:val="center"/>
          </w:tcPr>
          <w:p w14:paraId="306EEECA"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 xml:space="preserve">Cada quinientos </w:t>
            </w:r>
            <w:proofErr w:type="gramStart"/>
            <w:r w:rsidRPr="00097BC8">
              <w:rPr>
                <w:rFonts w:ascii="Arial" w:hAnsi="Arial" w:cs="Arial"/>
                <w:i/>
                <w:iCs/>
                <w:sz w:val="20"/>
                <w:szCs w:val="20"/>
              </w:rPr>
              <w:t>metros(</w:t>
            </w:r>
            <w:proofErr w:type="gramEnd"/>
            <w:r w:rsidRPr="00097BC8">
              <w:rPr>
                <w:rFonts w:ascii="Arial" w:hAnsi="Arial" w:cs="Arial"/>
                <w:i/>
                <w:iCs/>
                <w:sz w:val="20"/>
                <w:szCs w:val="20"/>
              </w:rPr>
              <w:t>500 m) de calzada, superficie de (3.500 m</w:t>
            </w:r>
            <w:r w:rsidRPr="006455AE">
              <w:rPr>
                <w:rFonts w:ascii="Arial" w:hAnsi="Arial" w:cs="Arial"/>
                <w:i/>
                <w:iCs/>
                <w:sz w:val="20"/>
                <w:szCs w:val="20"/>
                <w:vertAlign w:val="superscript"/>
              </w:rPr>
              <w:t>2</w:t>
            </w:r>
            <w:r w:rsidRPr="00097BC8">
              <w:rPr>
                <w:rFonts w:ascii="Arial" w:hAnsi="Arial" w:cs="Arial"/>
                <w:i/>
                <w:iCs/>
                <w:sz w:val="20"/>
                <w:szCs w:val="20"/>
              </w:rPr>
              <w:t>) o superficie imprimada diariamente:</w:t>
            </w:r>
          </w:p>
        </w:tc>
      </w:tr>
      <w:tr w:rsidR="00097BC8" w:rsidRPr="00097BC8" w14:paraId="2452CA91"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5A8B1288" w14:textId="77777777" w:rsidR="00097BC8" w:rsidRPr="00097BC8" w:rsidRDefault="00097BC8" w:rsidP="00524011">
            <w:pPr>
              <w:autoSpaceDE w:val="0"/>
              <w:autoSpaceDN w:val="0"/>
              <w:adjustRightInd w:val="0"/>
              <w:jc w:val="right"/>
              <w:rPr>
                <w:rFonts w:ascii="Arial" w:hAnsi="Arial" w:cs="Arial"/>
                <w:sz w:val="20"/>
                <w:szCs w:val="20"/>
              </w:rPr>
            </w:pPr>
            <w:r w:rsidRPr="00097BC8">
              <w:rPr>
                <w:rFonts w:ascii="Arial" w:hAnsi="Arial" w:cs="Arial"/>
                <w:sz w:val="20"/>
                <w:szCs w:val="20"/>
              </w:rPr>
              <w:t>Una (1) Determinación del contenido de agua (UNE-EN 13614)</w:t>
            </w:r>
          </w:p>
        </w:tc>
      </w:tr>
      <w:tr w:rsidR="00097BC8" w:rsidRPr="00097BC8" w14:paraId="70F94C93"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1731EA61"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Viscosidad Saybolt (UNE-EN 12846-1)</w:t>
            </w:r>
          </w:p>
        </w:tc>
      </w:tr>
      <w:tr w:rsidR="00097BC8" w:rsidRPr="00097BC8" w14:paraId="1B3F6B68"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26FB8C3B"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Destilación (NLT 134/99)</w:t>
            </w:r>
          </w:p>
        </w:tc>
      </w:tr>
      <w:tr w:rsidR="00097BC8" w:rsidRPr="00097BC8" w14:paraId="36EE3042"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6B08428E"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Penetración sobre residuo de destilación (NLT 124/99)</w:t>
            </w:r>
          </w:p>
        </w:tc>
      </w:tr>
      <w:tr w:rsidR="00097BC8" w:rsidRPr="00097BC8" w14:paraId="18D46BEF" w14:textId="77777777" w:rsidTr="00524011">
        <w:trPr>
          <w:trHeight w:val="600"/>
        </w:trPr>
        <w:tc>
          <w:tcPr>
            <w:tcW w:w="5000" w:type="pct"/>
            <w:tcBorders>
              <w:top w:val="nil"/>
              <w:left w:val="single" w:sz="4" w:space="0" w:color="auto"/>
              <w:bottom w:val="single" w:sz="4" w:space="0" w:color="auto"/>
              <w:right w:val="single" w:sz="4" w:space="0" w:color="auto"/>
            </w:tcBorders>
            <w:vAlign w:val="center"/>
          </w:tcPr>
          <w:p w14:paraId="6ABE1264"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Árido de cobertura:</w:t>
            </w:r>
          </w:p>
        </w:tc>
      </w:tr>
      <w:tr w:rsidR="00097BC8" w:rsidRPr="00097BC8" w14:paraId="57D7BE78" w14:textId="77777777" w:rsidTr="00524011">
        <w:trPr>
          <w:trHeight w:val="600"/>
        </w:trPr>
        <w:tc>
          <w:tcPr>
            <w:tcW w:w="5000" w:type="pct"/>
            <w:tcBorders>
              <w:top w:val="nil"/>
              <w:left w:val="single" w:sz="4" w:space="0" w:color="auto"/>
              <w:bottom w:val="single" w:sz="4" w:space="0" w:color="auto"/>
              <w:right w:val="single" w:sz="4" w:space="0" w:color="auto"/>
            </w:tcBorders>
            <w:noWrap/>
            <w:vAlign w:val="center"/>
          </w:tcPr>
          <w:p w14:paraId="283D6EFE"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 xml:space="preserve">Por cada procedencia o volumen de producción </w:t>
            </w:r>
            <w:proofErr w:type="gramStart"/>
            <w:r w:rsidRPr="00097BC8">
              <w:rPr>
                <w:rFonts w:ascii="Arial" w:hAnsi="Arial" w:cs="Arial"/>
                <w:i/>
                <w:iCs/>
                <w:sz w:val="20"/>
                <w:szCs w:val="20"/>
              </w:rPr>
              <w:t>previsto :</w:t>
            </w:r>
            <w:proofErr w:type="gramEnd"/>
          </w:p>
        </w:tc>
      </w:tr>
      <w:tr w:rsidR="00097BC8" w:rsidRPr="00097BC8" w14:paraId="0BEC33BD" w14:textId="77777777" w:rsidTr="00524011">
        <w:trPr>
          <w:trHeight w:val="540"/>
        </w:trPr>
        <w:tc>
          <w:tcPr>
            <w:tcW w:w="5000" w:type="pct"/>
            <w:tcBorders>
              <w:top w:val="nil"/>
              <w:left w:val="single" w:sz="4" w:space="0" w:color="auto"/>
              <w:bottom w:val="single" w:sz="4" w:space="0" w:color="auto"/>
              <w:right w:val="single" w:sz="4" w:space="0" w:color="auto"/>
            </w:tcBorders>
            <w:vAlign w:val="center"/>
          </w:tcPr>
          <w:p w14:paraId="0AB2E447"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 xml:space="preserve"> Un (1) Ensayo Granulométrico por tamizado del material que pasa por el tamiz </w:t>
            </w:r>
            <w:proofErr w:type="gramStart"/>
            <w:r w:rsidRPr="00097BC8">
              <w:rPr>
                <w:rFonts w:ascii="Arial" w:hAnsi="Arial" w:cs="Arial"/>
                <w:sz w:val="20"/>
                <w:szCs w:val="20"/>
              </w:rPr>
              <w:t>5  (</w:t>
            </w:r>
            <w:proofErr w:type="gramEnd"/>
            <w:r w:rsidRPr="00097BC8">
              <w:rPr>
                <w:rFonts w:ascii="Arial" w:hAnsi="Arial" w:cs="Arial"/>
                <w:sz w:val="20"/>
                <w:szCs w:val="20"/>
              </w:rPr>
              <w:t>UNE-EN 933-2)</w:t>
            </w:r>
          </w:p>
        </w:tc>
      </w:tr>
      <w:tr w:rsidR="00097BC8" w:rsidRPr="00097BC8" w14:paraId="5CC434B1" w14:textId="77777777" w:rsidTr="00524011">
        <w:trPr>
          <w:trHeight w:val="540"/>
        </w:trPr>
        <w:tc>
          <w:tcPr>
            <w:tcW w:w="5000" w:type="pct"/>
            <w:tcBorders>
              <w:top w:val="nil"/>
              <w:left w:val="single" w:sz="4" w:space="0" w:color="auto"/>
              <w:bottom w:val="single" w:sz="4" w:space="0" w:color="auto"/>
              <w:right w:val="single" w:sz="4" w:space="0" w:color="auto"/>
            </w:tcBorders>
            <w:vAlign w:val="center"/>
          </w:tcPr>
          <w:p w14:paraId="7F89991F"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 xml:space="preserve">Dos (2) ensayos de equivalente de arena (UNE-EN 933-8) </w:t>
            </w:r>
          </w:p>
        </w:tc>
      </w:tr>
      <w:tr w:rsidR="00097BC8" w:rsidRPr="00097BC8" w14:paraId="51B13578" w14:textId="77777777" w:rsidTr="00524011">
        <w:trPr>
          <w:trHeight w:val="600"/>
        </w:trPr>
        <w:tc>
          <w:tcPr>
            <w:tcW w:w="5000" w:type="pct"/>
            <w:tcBorders>
              <w:top w:val="nil"/>
              <w:left w:val="single" w:sz="4" w:space="0" w:color="auto"/>
              <w:bottom w:val="single" w:sz="4" w:space="0" w:color="auto"/>
              <w:right w:val="single" w:sz="4" w:space="0" w:color="auto"/>
            </w:tcBorders>
            <w:noWrap/>
            <w:vAlign w:val="center"/>
          </w:tcPr>
          <w:p w14:paraId="6E266302"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Por cada veinticinco metros cúbicos (25 m</w:t>
            </w:r>
            <w:r w:rsidRPr="006455AE">
              <w:rPr>
                <w:rFonts w:ascii="Arial" w:hAnsi="Arial" w:cs="Arial"/>
                <w:i/>
                <w:iCs/>
                <w:sz w:val="20"/>
                <w:szCs w:val="20"/>
                <w:vertAlign w:val="superscript"/>
              </w:rPr>
              <w:t>3</w:t>
            </w:r>
            <w:r w:rsidRPr="00097BC8">
              <w:rPr>
                <w:rFonts w:ascii="Arial" w:hAnsi="Arial" w:cs="Arial"/>
                <w:i/>
                <w:iCs/>
                <w:sz w:val="20"/>
                <w:szCs w:val="20"/>
              </w:rPr>
              <w:t xml:space="preserve">) de </w:t>
            </w:r>
            <w:proofErr w:type="gramStart"/>
            <w:r w:rsidRPr="00097BC8">
              <w:rPr>
                <w:rFonts w:ascii="Arial" w:hAnsi="Arial" w:cs="Arial"/>
                <w:i/>
                <w:iCs/>
                <w:sz w:val="20"/>
                <w:szCs w:val="20"/>
              </w:rPr>
              <w:t>material  o</w:t>
            </w:r>
            <w:proofErr w:type="gramEnd"/>
            <w:r w:rsidRPr="00097BC8">
              <w:rPr>
                <w:rFonts w:ascii="Arial" w:hAnsi="Arial" w:cs="Arial"/>
                <w:i/>
                <w:iCs/>
                <w:sz w:val="20"/>
                <w:szCs w:val="20"/>
              </w:rPr>
              <w:t xml:space="preserve"> fracción:</w:t>
            </w:r>
          </w:p>
        </w:tc>
      </w:tr>
      <w:tr w:rsidR="00097BC8" w:rsidRPr="00097BC8" w14:paraId="0AAB8397"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165D0C3F"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 xml:space="preserve">Una </w:t>
            </w:r>
            <w:proofErr w:type="gramStart"/>
            <w:r w:rsidRPr="00097BC8">
              <w:rPr>
                <w:rFonts w:ascii="Arial" w:hAnsi="Arial" w:cs="Arial"/>
                <w:sz w:val="20"/>
                <w:szCs w:val="20"/>
              </w:rPr>
              <w:t>( 1</w:t>
            </w:r>
            <w:proofErr w:type="gramEnd"/>
            <w:r w:rsidRPr="00097BC8">
              <w:rPr>
                <w:rFonts w:ascii="Arial" w:hAnsi="Arial" w:cs="Arial"/>
                <w:sz w:val="20"/>
                <w:szCs w:val="20"/>
              </w:rPr>
              <w:t>) Determinación de la humedad “in situ” (UNE 103300)</w:t>
            </w:r>
          </w:p>
        </w:tc>
      </w:tr>
    </w:tbl>
    <w:p w14:paraId="70E3DBE5" w14:textId="77777777" w:rsidR="004062C1" w:rsidRDefault="004062C1" w:rsidP="00722A1E">
      <w:pPr>
        <w:pStyle w:val="NORMAL12"/>
      </w:pPr>
    </w:p>
    <w:p w14:paraId="7077C830" w14:textId="77777777" w:rsidR="004C5A96" w:rsidRDefault="004C5A96" w:rsidP="00722A1E">
      <w:pPr>
        <w:pStyle w:val="NORMAL12"/>
      </w:pPr>
    </w:p>
    <w:p w14:paraId="3E47DE23" w14:textId="77777777" w:rsidR="00097BC8" w:rsidRDefault="00097BC8" w:rsidP="00722A1E">
      <w:pPr>
        <w:pStyle w:val="NORMAL12"/>
      </w:pPr>
    </w:p>
    <w:p w14:paraId="6621B290" w14:textId="77777777" w:rsidR="00097BC8" w:rsidRDefault="00097BC8" w:rsidP="00722A1E">
      <w:pPr>
        <w:pStyle w:val="NORMAL12"/>
      </w:pPr>
    </w:p>
    <w:p w14:paraId="35CC33F3" w14:textId="77777777" w:rsidR="00097BC8" w:rsidRDefault="00097BC8" w:rsidP="00722A1E">
      <w:pPr>
        <w:pStyle w:val="NORMAL12"/>
      </w:pPr>
    </w:p>
    <w:p w14:paraId="75F1D1DB" w14:textId="77777777" w:rsidR="00097BC8" w:rsidRDefault="00097BC8" w:rsidP="00722A1E">
      <w:pPr>
        <w:pStyle w:val="NORMAL12"/>
      </w:pPr>
    </w:p>
    <w:p w14:paraId="590CC3EE" w14:textId="77777777" w:rsidR="00097BC8" w:rsidRDefault="00097BC8" w:rsidP="00722A1E">
      <w:pPr>
        <w:pStyle w:val="NORMAL12"/>
      </w:pPr>
    </w:p>
    <w:p w14:paraId="59C56796" w14:textId="77777777" w:rsidR="00097BC8" w:rsidRDefault="00097BC8" w:rsidP="00722A1E">
      <w:pPr>
        <w:pStyle w:val="NORMAL12"/>
      </w:pPr>
    </w:p>
    <w:p w14:paraId="0523D570" w14:textId="77777777" w:rsidR="00097BC8" w:rsidRDefault="00097BC8" w:rsidP="00722A1E">
      <w:pPr>
        <w:pStyle w:val="NORMAL12"/>
      </w:pPr>
    </w:p>
    <w:p w14:paraId="4ABFEB66" w14:textId="77777777" w:rsidR="004C5A96" w:rsidRDefault="004C5A96" w:rsidP="00722A1E">
      <w:pPr>
        <w:pStyle w:val="NORMAL12"/>
      </w:pPr>
    </w:p>
    <w:p w14:paraId="3FB68D5C" w14:textId="77777777" w:rsidR="00810099" w:rsidRPr="00722A1E" w:rsidRDefault="00810099" w:rsidP="000313DD">
      <w:pPr>
        <w:pStyle w:val="TITU2"/>
      </w:pPr>
      <w:bookmarkStart w:id="597" w:name="_Toc404337"/>
      <w:r w:rsidRPr="00722A1E">
        <w:t>532.8. Criterios de aceptación o rechazo</w:t>
      </w:r>
      <w:bookmarkEnd w:id="597"/>
    </w:p>
    <w:p w14:paraId="5959CC13" w14:textId="77777777" w:rsidR="00810099" w:rsidRPr="00722A1E" w:rsidRDefault="008A44B9" w:rsidP="00963F2E">
      <w:pPr>
        <w:pStyle w:val="NORMAL12"/>
      </w:pPr>
      <w:r w:rsidRPr="00722A1E">
        <w:t>La dotación</w:t>
      </w:r>
      <w:r w:rsidR="00810099" w:rsidRPr="00722A1E">
        <w:t xml:space="preserve"> media en cada </w:t>
      </w:r>
      <w:r w:rsidRPr="00722A1E">
        <w:t>lote, tanto de ligante residual</w:t>
      </w:r>
      <w:r w:rsidR="00810099" w:rsidRPr="00722A1E">
        <w:t xml:space="preserve"> </w:t>
      </w:r>
      <w:r w:rsidRPr="00722A1E">
        <w:t>como en su caso de los áridos, no deberá diferir de la prevista en más de un quince por ciento (</w:t>
      </w:r>
      <w:r w:rsidR="00810099" w:rsidRPr="00722A1E">
        <w:t>±15%).</w:t>
      </w:r>
    </w:p>
    <w:p w14:paraId="64F6E3F2" w14:textId="77777777" w:rsidR="00810099" w:rsidRPr="00722A1E" w:rsidRDefault="00810099" w:rsidP="000313DD">
      <w:pPr>
        <w:pStyle w:val="TITU2"/>
      </w:pPr>
      <w:bookmarkStart w:id="598" w:name="_Toc404338"/>
      <w:r w:rsidRPr="00722A1E">
        <w:t>532.9. Medición y abono</w:t>
      </w:r>
      <w:bookmarkEnd w:id="598"/>
    </w:p>
    <w:p w14:paraId="6E939C18" w14:textId="77777777" w:rsidR="00722A1E" w:rsidRPr="00722A1E" w:rsidRDefault="00722A1E" w:rsidP="00722A1E">
      <w:pPr>
        <w:pStyle w:val="NORMAL12"/>
        <w:rPr>
          <w:lang w:val="es-ES"/>
        </w:rPr>
      </w:pPr>
      <w:r w:rsidRPr="00722A1E">
        <w:rPr>
          <w:lang w:val="es-ES"/>
        </w:rPr>
        <w:t>La medición y abono de la</w:t>
      </w:r>
      <w:r>
        <w:rPr>
          <w:lang w:val="es-ES"/>
        </w:rPr>
        <w:t>s</w:t>
      </w:r>
      <w:r w:rsidRPr="00722A1E">
        <w:rPr>
          <w:lang w:val="es-ES"/>
        </w:rPr>
        <w:t xml:space="preserve"> unidad</w:t>
      </w:r>
      <w:r>
        <w:rPr>
          <w:lang w:val="es-ES"/>
        </w:rPr>
        <w:t>es</w:t>
      </w:r>
      <w:r w:rsidRPr="00722A1E">
        <w:rPr>
          <w:lang w:val="es-ES"/>
        </w:rPr>
        <w:t xml:space="preserve"> de emulsión bituminosa </w:t>
      </w:r>
      <w:r>
        <w:rPr>
          <w:lang w:val="es-ES"/>
        </w:rPr>
        <w:t xml:space="preserve">y árido de cobertura </w:t>
      </w:r>
      <w:r w:rsidRPr="00722A1E">
        <w:rPr>
          <w:lang w:val="es-ES"/>
        </w:rPr>
        <w:t>en riegos de curado se realizará según las prescripciones siguientes:</w:t>
      </w:r>
    </w:p>
    <w:p w14:paraId="2FD8351D" w14:textId="77777777" w:rsidR="006F74F1" w:rsidRPr="0026434E" w:rsidRDefault="006F74F1" w:rsidP="006F74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1"/>
        <w:gridCol w:w="7657"/>
      </w:tblGrid>
      <w:tr w:rsidR="006F74F1" w:rsidRPr="0026434E" w14:paraId="61DCD96D" w14:textId="77777777" w:rsidTr="00687BE7">
        <w:tc>
          <w:tcPr>
            <w:tcW w:w="0" w:type="auto"/>
            <w:vAlign w:val="center"/>
          </w:tcPr>
          <w:p w14:paraId="147A5EB2" w14:textId="77777777" w:rsidR="006F74F1" w:rsidRPr="004062C1" w:rsidRDefault="006F74F1" w:rsidP="00687BE7">
            <w:pPr>
              <w:pStyle w:val="LCATabla"/>
              <w:keepNext/>
              <w:jc w:val="center"/>
              <w:rPr>
                <w:rFonts w:ascii="Arial" w:hAnsi="Arial" w:cs="Arial"/>
                <w:b/>
                <w:bCs/>
                <w:sz w:val="20"/>
              </w:rPr>
            </w:pPr>
            <w:r w:rsidRPr="004062C1">
              <w:rPr>
                <w:rFonts w:ascii="Arial" w:hAnsi="Arial" w:cs="Arial"/>
                <w:b/>
                <w:bCs/>
                <w:sz w:val="20"/>
              </w:rPr>
              <w:t>Unidad de medida</w:t>
            </w:r>
          </w:p>
        </w:tc>
        <w:tc>
          <w:tcPr>
            <w:tcW w:w="0" w:type="auto"/>
            <w:vAlign w:val="center"/>
          </w:tcPr>
          <w:p w14:paraId="358F9F3E" w14:textId="77777777" w:rsidR="006F74F1" w:rsidRPr="004062C1" w:rsidRDefault="006F74F1" w:rsidP="00900DF9">
            <w:pPr>
              <w:pStyle w:val="LCATabla"/>
              <w:keepNext/>
              <w:jc w:val="both"/>
              <w:rPr>
                <w:rFonts w:ascii="Arial" w:hAnsi="Arial" w:cs="Arial"/>
                <w:sz w:val="20"/>
              </w:rPr>
            </w:pPr>
            <w:r w:rsidRPr="004062C1">
              <w:rPr>
                <w:rFonts w:ascii="Arial" w:hAnsi="Arial" w:cs="Arial"/>
                <w:sz w:val="20"/>
              </w:rPr>
              <w:t>Tonelada (t)</w:t>
            </w:r>
          </w:p>
        </w:tc>
      </w:tr>
      <w:tr w:rsidR="006F74F1" w:rsidRPr="0026434E" w14:paraId="7C7322C6" w14:textId="77777777" w:rsidTr="00687BE7">
        <w:tc>
          <w:tcPr>
            <w:tcW w:w="0" w:type="auto"/>
            <w:vAlign w:val="center"/>
          </w:tcPr>
          <w:p w14:paraId="708E0482" w14:textId="77777777" w:rsidR="006F74F1" w:rsidRPr="004062C1" w:rsidRDefault="006F74F1" w:rsidP="00687BE7">
            <w:pPr>
              <w:pStyle w:val="LCATabla"/>
              <w:keepNext/>
              <w:jc w:val="center"/>
              <w:rPr>
                <w:rFonts w:ascii="Arial" w:hAnsi="Arial" w:cs="Arial"/>
                <w:b/>
                <w:bCs/>
                <w:sz w:val="20"/>
              </w:rPr>
            </w:pPr>
            <w:r w:rsidRPr="004062C1">
              <w:rPr>
                <w:rFonts w:ascii="Arial" w:hAnsi="Arial" w:cs="Arial"/>
                <w:b/>
                <w:bCs/>
                <w:sz w:val="20"/>
              </w:rPr>
              <w:t>Grado de precisión</w:t>
            </w:r>
          </w:p>
        </w:tc>
        <w:tc>
          <w:tcPr>
            <w:tcW w:w="0" w:type="auto"/>
            <w:vAlign w:val="center"/>
          </w:tcPr>
          <w:p w14:paraId="134FEE3C" w14:textId="77777777" w:rsidR="006F74F1" w:rsidRPr="004062C1" w:rsidRDefault="006F74F1" w:rsidP="00900DF9">
            <w:pPr>
              <w:pStyle w:val="LCATabla"/>
              <w:keepNext/>
              <w:jc w:val="both"/>
              <w:rPr>
                <w:rFonts w:ascii="Arial" w:hAnsi="Arial" w:cs="Arial"/>
                <w:sz w:val="20"/>
              </w:rPr>
            </w:pPr>
            <w:r w:rsidRPr="004062C1">
              <w:rPr>
                <w:rFonts w:ascii="Arial" w:hAnsi="Arial" w:cs="Arial"/>
                <w:sz w:val="20"/>
              </w:rPr>
              <w:t>Dos (2) decimales</w:t>
            </w:r>
          </w:p>
        </w:tc>
      </w:tr>
      <w:tr w:rsidR="006F74F1" w:rsidRPr="0026434E" w14:paraId="1BF0A38C" w14:textId="77777777" w:rsidTr="00687BE7">
        <w:tc>
          <w:tcPr>
            <w:tcW w:w="0" w:type="auto"/>
            <w:vAlign w:val="center"/>
          </w:tcPr>
          <w:p w14:paraId="680A01DC" w14:textId="77777777" w:rsidR="006F74F1" w:rsidRPr="004062C1" w:rsidRDefault="006F74F1" w:rsidP="00687BE7">
            <w:pPr>
              <w:pStyle w:val="LCATabla"/>
              <w:keepNext/>
              <w:jc w:val="center"/>
              <w:rPr>
                <w:rFonts w:ascii="Arial" w:hAnsi="Arial" w:cs="Arial"/>
                <w:b/>
                <w:bCs/>
                <w:sz w:val="20"/>
              </w:rPr>
            </w:pPr>
            <w:r w:rsidRPr="004062C1">
              <w:rPr>
                <w:rFonts w:ascii="Arial" w:hAnsi="Arial" w:cs="Arial"/>
                <w:b/>
                <w:bCs/>
                <w:sz w:val="20"/>
              </w:rPr>
              <w:t>Forma de medición</w:t>
            </w:r>
          </w:p>
        </w:tc>
        <w:tc>
          <w:tcPr>
            <w:tcW w:w="0" w:type="auto"/>
            <w:vAlign w:val="center"/>
          </w:tcPr>
          <w:p w14:paraId="62F63F8B" w14:textId="77777777" w:rsidR="006F74F1" w:rsidRPr="004062C1" w:rsidRDefault="006F74F1" w:rsidP="00900DF9">
            <w:pPr>
              <w:pStyle w:val="LCATabla"/>
              <w:keepNext/>
              <w:jc w:val="both"/>
              <w:rPr>
                <w:rFonts w:ascii="Arial" w:hAnsi="Arial" w:cs="Arial"/>
                <w:sz w:val="20"/>
              </w:rPr>
            </w:pPr>
            <w:r w:rsidRPr="004062C1">
              <w:rPr>
                <w:rFonts w:ascii="Arial" w:hAnsi="Arial" w:cs="Arial"/>
                <w:sz w:val="20"/>
              </w:rPr>
              <w:t xml:space="preserve">Toneladas (t) realmente empleadas, medidas por pesada directa en báscula contrastada, o bien por deducción a partir de su volumen, medido a su vez por métodos aprobados por el </w:t>
            </w:r>
            <w:proofErr w:type="gramStart"/>
            <w:r w:rsidRPr="004062C1">
              <w:rPr>
                <w:rFonts w:ascii="Arial" w:hAnsi="Arial" w:cs="Arial"/>
                <w:sz w:val="20"/>
              </w:rPr>
              <w:t>Director</w:t>
            </w:r>
            <w:proofErr w:type="gramEnd"/>
            <w:r w:rsidRPr="004062C1">
              <w:rPr>
                <w:rFonts w:ascii="Arial" w:hAnsi="Arial" w:cs="Arial"/>
                <w:sz w:val="20"/>
              </w:rPr>
              <w:t xml:space="preserve"> de la obra.</w:t>
            </w:r>
          </w:p>
        </w:tc>
      </w:tr>
      <w:tr w:rsidR="006F74F1" w:rsidRPr="0026434E" w14:paraId="46BD638D" w14:textId="77777777" w:rsidTr="00687BE7">
        <w:tc>
          <w:tcPr>
            <w:tcW w:w="0" w:type="auto"/>
            <w:vAlign w:val="center"/>
          </w:tcPr>
          <w:p w14:paraId="79BEE27C" w14:textId="77777777" w:rsidR="006F74F1" w:rsidRPr="004062C1" w:rsidRDefault="006F74F1" w:rsidP="00687BE7">
            <w:pPr>
              <w:pStyle w:val="LCATabla"/>
              <w:keepNext/>
              <w:jc w:val="center"/>
              <w:rPr>
                <w:rFonts w:ascii="Arial" w:hAnsi="Arial" w:cs="Arial"/>
                <w:b/>
                <w:bCs/>
                <w:sz w:val="20"/>
              </w:rPr>
            </w:pPr>
            <w:r w:rsidRPr="004062C1">
              <w:rPr>
                <w:rFonts w:ascii="Arial" w:hAnsi="Arial" w:cs="Arial"/>
                <w:b/>
                <w:bCs/>
                <w:sz w:val="20"/>
              </w:rPr>
              <w:t>Abono</w:t>
            </w:r>
          </w:p>
        </w:tc>
        <w:tc>
          <w:tcPr>
            <w:tcW w:w="0" w:type="auto"/>
            <w:vAlign w:val="center"/>
          </w:tcPr>
          <w:p w14:paraId="2B03AAD4" w14:textId="77777777" w:rsidR="006F74F1" w:rsidRPr="004062C1" w:rsidRDefault="006F74F1" w:rsidP="00900DF9">
            <w:pPr>
              <w:pStyle w:val="LCATabla"/>
              <w:keepNext/>
              <w:jc w:val="both"/>
              <w:rPr>
                <w:rFonts w:ascii="Arial" w:hAnsi="Arial" w:cs="Arial"/>
                <w:sz w:val="20"/>
              </w:rPr>
            </w:pPr>
            <w:r w:rsidRPr="004062C1">
              <w:rPr>
                <w:rFonts w:ascii="Arial" w:hAnsi="Arial" w:cs="Arial"/>
                <w:sz w:val="20"/>
              </w:rPr>
              <w:t>Se efectuará cuando se realice la aceptación</w:t>
            </w:r>
          </w:p>
        </w:tc>
      </w:tr>
      <w:tr w:rsidR="006F74F1" w:rsidRPr="0026434E" w14:paraId="3AC77F2D" w14:textId="77777777" w:rsidTr="00687BE7">
        <w:tc>
          <w:tcPr>
            <w:tcW w:w="0" w:type="auto"/>
            <w:vAlign w:val="center"/>
          </w:tcPr>
          <w:p w14:paraId="6AA0FE93" w14:textId="77777777" w:rsidR="006F74F1" w:rsidRPr="004062C1" w:rsidRDefault="006F74F1" w:rsidP="00687BE7">
            <w:pPr>
              <w:pStyle w:val="LCATabla"/>
              <w:keepNext/>
              <w:jc w:val="center"/>
              <w:rPr>
                <w:rFonts w:ascii="Arial" w:hAnsi="Arial" w:cs="Arial"/>
                <w:b/>
                <w:bCs/>
                <w:sz w:val="20"/>
              </w:rPr>
            </w:pPr>
            <w:r w:rsidRPr="004062C1">
              <w:rPr>
                <w:rFonts w:ascii="Arial" w:hAnsi="Arial" w:cs="Arial"/>
                <w:b/>
                <w:bCs/>
                <w:sz w:val="20"/>
              </w:rPr>
              <w:t>Criterios complementarios</w:t>
            </w:r>
          </w:p>
        </w:tc>
        <w:tc>
          <w:tcPr>
            <w:tcW w:w="0" w:type="auto"/>
            <w:vAlign w:val="center"/>
          </w:tcPr>
          <w:p w14:paraId="3D532BE3" w14:textId="77777777" w:rsidR="00722A1E" w:rsidRPr="004062C1" w:rsidRDefault="006F74F1" w:rsidP="00900DF9">
            <w:pPr>
              <w:pStyle w:val="LCATabla"/>
              <w:keepNext/>
              <w:jc w:val="both"/>
              <w:rPr>
                <w:rFonts w:ascii="Arial" w:hAnsi="Arial" w:cs="Arial"/>
                <w:sz w:val="20"/>
              </w:rPr>
            </w:pPr>
            <w:r w:rsidRPr="004062C1">
              <w:rPr>
                <w:rFonts w:ascii="Arial" w:hAnsi="Arial" w:cs="Arial"/>
                <w:sz w:val="20"/>
              </w:rPr>
              <w:t>El abono incluirá el de la preparación de la superficie existente y de la aplicación del ligante hidrocarbonado, incluso árido de cobertura</w:t>
            </w:r>
            <w:r w:rsidR="00722A1E" w:rsidRPr="004062C1">
              <w:rPr>
                <w:rFonts w:ascii="Arial" w:hAnsi="Arial" w:cs="Arial"/>
                <w:sz w:val="20"/>
              </w:rPr>
              <w:t xml:space="preserve"> y la eliminación posterior del riego de curado.</w:t>
            </w:r>
          </w:p>
        </w:tc>
      </w:tr>
    </w:tbl>
    <w:p w14:paraId="1266C7C7" w14:textId="77777777" w:rsidR="006F74F1" w:rsidRPr="0026434E" w:rsidRDefault="006F74F1" w:rsidP="006F74F1">
      <w:pPr>
        <w:rPr>
          <w:rFonts w:cs="Arial"/>
        </w:rPr>
      </w:pPr>
    </w:p>
    <w:p w14:paraId="0C0ADC63" w14:textId="77777777" w:rsidR="00810099" w:rsidRPr="00886F1A" w:rsidRDefault="004062C1" w:rsidP="00072BDF">
      <w:pPr>
        <w:pStyle w:val="TITU1"/>
      </w:pPr>
      <w:bookmarkStart w:id="599" w:name="_Toc404339"/>
      <w:r w:rsidRPr="00524011">
        <w:lastRenderedPageBreak/>
        <w:t>Artículo 542.</w:t>
      </w:r>
      <w:r w:rsidR="00810099" w:rsidRPr="00524011">
        <w:t xml:space="preserve"> Mezclas bituminosas tipo hormigón bituminoso</w:t>
      </w:r>
      <w:bookmarkEnd w:id="599"/>
    </w:p>
    <w:p w14:paraId="17B57332" w14:textId="77777777" w:rsidR="00B134D9" w:rsidRPr="007D6044" w:rsidRDefault="00B134D9" w:rsidP="007D6044">
      <w:pPr>
        <w:pStyle w:val="NORMAL12"/>
      </w:pPr>
      <w:r w:rsidRPr="007D6044">
        <w:t xml:space="preserve">Excepto para lo especificado en el presente Pliego de Prescripciones Técnicas particulares se seguirá lo prescrito en el vigente artículo 542 del PG-3 </w:t>
      </w:r>
    </w:p>
    <w:p w14:paraId="2711059B" w14:textId="77777777" w:rsidR="00810099" w:rsidRDefault="00810099" w:rsidP="000313DD">
      <w:pPr>
        <w:pStyle w:val="TITU2"/>
      </w:pPr>
      <w:bookmarkStart w:id="600" w:name="_Toc404340"/>
      <w:r w:rsidRPr="005864C2">
        <w:t xml:space="preserve">542.1. </w:t>
      </w:r>
      <w:r w:rsidR="00A27148">
        <w:t>Definición</w:t>
      </w:r>
      <w:bookmarkEnd w:id="600"/>
    </w:p>
    <w:p w14:paraId="5310C6E0" w14:textId="77777777" w:rsidR="00A27148" w:rsidRPr="00A27148" w:rsidRDefault="00A27148" w:rsidP="00A27148">
      <w:pPr>
        <w:pStyle w:val="NORMAL12"/>
        <w:rPr>
          <w:lang w:val="es-ES"/>
        </w:rPr>
      </w:pPr>
      <w:r w:rsidRPr="00A27148">
        <w:rPr>
          <w:lang w:val="es-ES"/>
        </w:rPr>
        <w:t>Se define como mezcla bituminosa tipo hormigón bituminoso la combinación de un</w:t>
      </w:r>
      <w:r>
        <w:rPr>
          <w:lang w:val="es-ES"/>
        </w:rPr>
        <w:t xml:space="preserve"> </w:t>
      </w:r>
      <w:r w:rsidRPr="00A27148">
        <w:rPr>
          <w:lang w:val="es-ES"/>
        </w:rPr>
        <w:t>betún asfáltico, áridos con granulometría continua, polvo mineral y, eventualmente,</w:t>
      </w:r>
      <w:r>
        <w:rPr>
          <w:lang w:val="es-ES"/>
        </w:rPr>
        <w:t xml:space="preserve"> </w:t>
      </w:r>
      <w:r w:rsidRPr="00A27148">
        <w:rPr>
          <w:lang w:val="es-ES"/>
        </w:rPr>
        <w:t>aditivos, de manera que todas las partículas del árido queden recubiertas por una</w:t>
      </w:r>
      <w:r>
        <w:rPr>
          <w:lang w:val="es-ES"/>
        </w:rPr>
        <w:t xml:space="preserve"> </w:t>
      </w:r>
      <w:r w:rsidRPr="00A27148">
        <w:rPr>
          <w:lang w:val="es-ES"/>
        </w:rPr>
        <w:t>película homogénea de ligante, cuyo proceso de fabricación y puesta en obra deben</w:t>
      </w:r>
      <w:r>
        <w:rPr>
          <w:lang w:val="es-ES"/>
        </w:rPr>
        <w:t xml:space="preserve"> </w:t>
      </w:r>
      <w:r w:rsidRPr="00A27148">
        <w:rPr>
          <w:lang w:val="es-ES"/>
        </w:rPr>
        <w:t>realizarse a una temperatura muy superior a la del ambiente.</w:t>
      </w:r>
      <w:r w:rsidR="00CF2B36">
        <w:rPr>
          <w:lang w:val="es-ES"/>
        </w:rPr>
        <w:t xml:space="preserve">  </w:t>
      </w:r>
    </w:p>
    <w:p w14:paraId="45AA68B9" w14:textId="77777777" w:rsidR="00C36ABC" w:rsidRPr="007D6044" w:rsidRDefault="00C36ABC" w:rsidP="00C36ABC">
      <w:pPr>
        <w:pStyle w:val="NORMAL12"/>
        <w:rPr>
          <w:lang w:val="es-ES"/>
        </w:rPr>
      </w:pPr>
      <w:r w:rsidRPr="007D6044">
        <w:rPr>
          <w:lang w:val="es-ES"/>
        </w:rPr>
        <w:t xml:space="preserve">Las prescripciones del presente artículo </w:t>
      </w:r>
      <w:proofErr w:type="gramStart"/>
      <w:r w:rsidRPr="007D6044">
        <w:rPr>
          <w:lang w:val="es-ES"/>
        </w:rPr>
        <w:t>son de aplicación</w:t>
      </w:r>
      <w:proofErr w:type="gramEnd"/>
      <w:r w:rsidRPr="007D6044">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053"/>
        <w:gridCol w:w="774"/>
        <w:gridCol w:w="7951"/>
      </w:tblGrid>
      <w:tr w:rsidR="00AF1EB3" w:rsidRPr="005864C2" w14:paraId="1AA70A8F" w14:textId="77777777" w:rsidTr="005F442A">
        <w:trPr>
          <w:trHeight w:val="419"/>
        </w:trPr>
        <w:tc>
          <w:tcPr>
            <w:tcW w:w="538" w:type="pct"/>
            <w:noWrap/>
          </w:tcPr>
          <w:p w14:paraId="358069E2" w14:textId="77777777" w:rsidR="00AF1EB3" w:rsidRPr="00A051B7" w:rsidRDefault="00AF1EB3" w:rsidP="00755566">
            <w:pPr>
              <w:rPr>
                <w:rFonts w:ascii="Calibri" w:hAnsi="Calibri"/>
                <w:color w:val="000000"/>
              </w:rPr>
            </w:pPr>
            <w:r w:rsidRPr="00A051B7">
              <w:rPr>
                <w:rFonts w:ascii="Calibri" w:hAnsi="Calibri"/>
                <w:color w:val="000000"/>
              </w:rPr>
              <w:t xml:space="preserve">542.0030          </w:t>
            </w:r>
          </w:p>
        </w:tc>
        <w:tc>
          <w:tcPr>
            <w:tcW w:w="396" w:type="pct"/>
            <w:noWrap/>
          </w:tcPr>
          <w:p w14:paraId="1A6AD36D" w14:textId="77777777" w:rsidR="00AF1EB3" w:rsidRPr="00A051B7" w:rsidRDefault="00AF1EB3" w:rsidP="00755566">
            <w:pPr>
              <w:rPr>
                <w:rFonts w:ascii="Calibri" w:hAnsi="Calibri"/>
                <w:color w:val="000000"/>
              </w:rPr>
            </w:pPr>
            <w:r w:rsidRPr="00A051B7">
              <w:rPr>
                <w:rFonts w:ascii="Calibri" w:hAnsi="Calibri"/>
                <w:color w:val="000000"/>
              </w:rPr>
              <w:t>t</w:t>
            </w:r>
          </w:p>
        </w:tc>
        <w:tc>
          <w:tcPr>
            <w:tcW w:w="4066" w:type="pct"/>
          </w:tcPr>
          <w:p w14:paraId="0F3DCBA6" w14:textId="77777777" w:rsidR="00AF1EB3" w:rsidRPr="00A051B7" w:rsidRDefault="00AF1EB3" w:rsidP="00AD74D1">
            <w:pPr>
              <w:jc w:val="both"/>
              <w:rPr>
                <w:rFonts w:ascii="Calibri" w:hAnsi="Calibri"/>
                <w:color w:val="000000"/>
              </w:rPr>
            </w:pPr>
            <w:r w:rsidRPr="00A051B7">
              <w:rPr>
                <w:rFonts w:ascii="Calibri" w:hAnsi="Calibri"/>
                <w:color w:val="000000"/>
              </w:rPr>
              <w:t>MEZCLA BITUMINOSA EN CALIENTE TIPO AC16 SURF D (D-12 RODADURA), EXTENDIDA Y COMPACTADA, EXCEPTO BETÚN Y POLVO MINERAL DE APORTACIÓN.</w:t>
            </w:r>
          </w:p>
          <w:p w14:paraId="50BA6AFB" w14:textId="77777777" w:rsidR="00AF1EB3" w:rsidRPr="00A051B7" w:rsidRDefault="00AF1EB3" w:rsidP="00AD74D1">
            <w:pPr>
              <w:jc w:val="both"/>
              <w:rPr>
                <w:rFonts w:ascii="Calibri" w:hAnsi="Calibri"/>
                <w:color w:val="000000"/>
              </w:rPr>
            </w:pPr>
          </w:p>
        </w:tc>
      </w:tr>
      <w:tr w:rsidR="00AF1EB3" w:rsidRPr="005864C2" w14:paraId="1E5E0FAB" w14:textId="77777777" w:rsidTr="005F442A">
        <w:trPr>
          <w:trHeight w:val="419"/>
        </w:trPr>
        <w:tc>
          <w:tcPr>
            <w:tcW w:w="538" w:type="pct"/>
            <w:noWrap/>
          </w:tcPr>
          <w:p w14:paraId="154CCE98" w14:textId="77777777" w:rsidR="00AF1EB3" w:rsidRPr="00A051B7" w:rsidRDefault="00AF1EB3">
            <w:pPr>
              <w:rPr>
                <w:rFonts w:ascii="Calibri" w:hAnsi="Calibri"/>
                <w:color w:val="000000"/>
              </w:rPr>
            </w:pPr>
            <w:r w:rsidRPr="00A051B7">
              <w:rPr>
                <w:rFonts w:ascii="Calibri" w:hAnsi="Calibri"/>
                <w:color w:val="000000"/>
              </w:rPr>
              <w:t xml:space="preserve">542.0050          </w:t>
            </w:r>
          </w:p>
        </w:tc>
        <w:tc>
          <w:tcPr>
            <w:tcW w:w="396" w:type="pct"/>
            <w:noWrap/>
          </w:tcPr>
          <w:p w14:paraId="3E9E4B00" w14:textId="77777777" w:rsidR="00AF1EB3" w:rsidRPr="00A051B7" w:rsidRDefault="00AF1EB3">
            <w:pPr>
              <w:rPr>
                <w:rFonts w:ascii="Calibri" w:hAnsi="Calibri"/>
                <w:color w:val="000000"/>
              </w:rPr>
            </w:pPr>
            <w:r w:rsidRPr="00A051B7">
              <w:rPr>
                <w:rFonts w:ascii="Calibri" w:hAnsi="Calibri"/>
                <w:color w:val="000000"/>
              </w:rPr>
              <w:t>t</w:t>
            </w:r>
          </w:p>
        </w:tc>
        <w:tc>
          <w:tcPr>
            <w:tcW w:w="4066" w:type="pct"/>
          </w:tcPr>
          <w:p w14:paraId="59B0182A" w14:textId="77777777" w:rsidR="00AF1EB3" w:rsidRPr="00A051B7" w:rsidRDefault="00AF1EB3" w:rsidP="00AD74D1">
            <w:pPr>
              <w:jc w:val="both"/>
              <w:rPr>
                <w:rFonts w:ascii="Calibri" w:hAnsi="Calibri"/>
                <w:color w:val="000000"/>
              </w:rPr>
            </w:pPr>
            <w:r w:rsidRPr="00A051B7">
              <w:rPr>
                <w:rFonts w:ascii="Calibri" w:hAnsi="Calibri"/>
                <w:color w:val="000000"/>
              </w:rPr>
              <w:t>MEZCLA BITUMINOSA EN CALIENTE TIPO AC22 BIN S (S-20 INTERMEDIA), EXTENDIDA Y COMPACTADA, EXCEPTO BETÚN Y POLVO MINERAL DE APORTACIÓN.</w:t>
            </w:r>
          </w:p>
          <w:p w14:paraId="539BE2F1" w14:textId="77777777" w:rsidR="00AF1EB3" w:rsidRPr="00A051B7" w:rsidRDefault="00AF1EB3" w:rsidP="00AD74D1">
            <w:pPr>
              <w:jc w:val="both"/>
              <w:rPr>
                <w:rFonts w:ascii="Calibri" w:hAnsi="Calibri"/>
                <w:color w:val="000000"/>
              </w:rPr>
            </w:pPr>
          </w:p>
        </w:tc>
      </w:tr>
      <w:tr w:rsidR="00AF1EB3" w:rsidRPr="005864C2" w14:paraId="43FF7BBC" w14:textId="77777777" w:rsidTr="005F442A">
        <w:trPr>
          <w:trHeight w:val="419"/>
        </w:trPr>
        <w:tc>
          <w:tcPr>
            <w:tcW w:w="538" w:type="pct"/>
            <w:noWrap/>
          </w:tcPr>
          <w:p w14:paraId="198BDDFA" w14:textId="77777777" w:rsidR="00AF1EB3" w:rsidRPr="00A051B7" w:rsidRDefault="00AF1EB3">
            <w:pPr>
              <w:rPr>
                <w:rFonts w:ascii="Calibri" w:hAnsi="Calibri"/>
                <w:color w:val="000000"/>
              </w:rPr>
            </w:pPr>
            <w:r w:rsidRPr="00A051B7">
              <w:rPr>
                <w:rFonts w:ascii="Calibri" w:hAnsi="Calibri"/>
                <w:color w:val="000000"/>
              </w:rPr>
              <w:t xml:space="preserve">542.0100          </w:t>
            </w:r>
          </w:p>
        </w:tc>
        <w:tc>
          <w:tcPr>
            <w:tcW w:w="396" w:type="pct"/>
            <w:noWrap/>
          </w:tcPr>
          <w:p w14:paraId="25CF84E8" w14:textId="77777777" w:rsidR="00AF1EB3" w:rsidRPr="00A051B7" w:rsidRDefault="00AF1EB3">
            <w:pPr>
              <w:rPr>
                <w:rFonts w:ascii="Calibri" w:hAnsi="Calibri"/>
                <w:color w:val="000000"/>
              </w:rPr>
            </w:pPr>
            <w:r w:rsidRPr="00A051B7">
              <w:rPr>
                <w:rFonts w:ascii="Calibri" w:hAnsi="Calibri"/>
                <w:color w:val="000000"/>
              </w:rPr>
              <w:t>t</w:t>
            </w:r>
          </w:p>
        </w:tc>
        <w:tc>
          <w:tcPr>
            <w:tcW w:w="4066" w:type="pct"/>
          </w:tcPr>
          <w:p w14:paraId="252A7DE4" w14:textId="77777777" w:rsidR="00AF1EB3" w:rsidRPr="00A051B7" w:rsidRDefault="00AF1EB3" w:rsidP="00AD74D1">
            <w:pPr>
              <w:jc w:val="both"/>
              <w:rPr>
                <w:rFonts w:ascii="Calibri" w:hAnsi="Calibri"/>
                <w:color w:val="000000"/>
              </w:rPr>
            </w:pPr>
            <w:r w:rsidRPr="00A051B7">
              <w:rPr>
                <w:rFonts w:ascii="Calibri" w:hAnsi="Calibri"/>
                <w:color w:val="000000"/>
              </w:rPr>
              <w:t>MEZCLA BITUMINOSA EN CALIENTE TIPO AC32 BASE G (G-25 BASE), EXTENDIDA Y COMPACTADA, EXCEPTO BETÚN Y POLVO MINERAL DE APORTACIÓN.</w:t>
            </w:r>
          </w:p>
          <w:p w14:paraId="6A2C63D9" w14:textId="77777777" w:rsidR="00AF1EB3" w:rsidRPr="00A051B7" w:rsidRDefault="00AF1EB3" w:rsidP="00AD74D1">
            <w:pPr>
              <w:jc w:val="both"/>
              <w:rPr>
                <w:rFonts w:ascii="Calibri" w:hAnsi="Calibri"/>
                <w:color w:val="000000"/>
              </w:rPr>
            </w:pPr>
          </w:p>
        </w:tc>
      </w:tr>
      <w:tr w:rsidR="00AF1EB3" w:rsidRPr="002969BE" w14:paraId="657D59B5" w14:textId="77777777" w:rsidTr="005F442A">
        <w:trPr>
          <w:trHeight w:val="419"/>
        </w:trPr>
        <w:tc>
          <w:tcPr>
            <w:tcW w:w="538" w:type="pct"/>
            <w:noWrap/>
          </w:tcPr>
          <w:p w14:paraId="3B3AB776" w14:textId="77777777" w:rsidR="00AF1EB3" w:rsidRPr="00A051B7" w:rsidRDefault="00AF1EB3" w:rsidP="00D63E39">
            <w:pPr>
              <w:rPr>
                <w:rFonts w:ascii="Calibri" w:hAnsi="Calibri"/>
              </w:rPr>
            </w:pPr>
            <w:r w:rsidRPr="00A051B7">
              <w:rPr>
                <w:rFonts w:ascii="Calibri" w:hAnsi="Calibri"/>
              </w:rPr>
              <w:t xml:space="preserve">542.0110          </w:t>
            </w:r>
          </w:p>
        </w:tc>
        <w:tc>
          <w:tcPr>
            <w:tcW w:w="396" w:type="pct"/>
            <w:noWrap/>
          </w:tcPr>
          <w:p w14:paraId="569CED60" w14:textId="77777777" w:rsidR="00AF1EB3" w:rsidRPr="00A051B7" w:rsidRDefault="00AF1EB3" w:rsidP="000E3EE5">
            <w:pPr>
              <w:rPr>
                <w:rFonts w:ascii="Calibri" w:hAnsi="Calibri"/>
              </w:rPr>
            </w:pPr>
            <w:r w:rsidRPr="00A051B7">
              <w:rPr>
                <w:rFonts w:ascii="Calibri" w:hAnsi="Calibri"/>
              </w:rPr>
              <w:t>t</w:t>
            </w:r>
          </w:p>
        </w:tc>
        <w:tc>
          <w:tcPr>
            <w:tcW w:w="4066" w:type="pct"/>
          </w:tcPr>
          <w:p w14:paraId="5D4B6EF7" w14:textId="77777777" w:rsidR="00AF1EB3" w:rsidRPr="00A051B7" w:rsidRDefault="00AF1EB3" w:rsidP="00AD74D1">
            <w:pPr>
              <w:jc w:val="both"/>
              <w:rPr>
                <w:rFonts w:ascii="Calibri" w:hAnsi="Calibri"/>
              </w:rPr>
            </w:pPr>
            <w:r w:rsidRPr="00A051B7">
              <w:rPr>
                <w:rFonts w:ascii="Calibri" w:hAnsi="Calibri"/>
              </w:rPr>
              <w:t>POLVO MINERAL O CARBONATO (TRICALSA O SIMILAR) EMPLEADO COMO POLVO MINERAL DE APORTACIÓN EN MEZCLAS BITUMINOSAS EN CALIENTE PUESTO A PIE DE OBRA O PLANTA.</w:t>
            </w:r>
          </w:p>
          <w:p w14:paraId="31ECD392" w14:textId="77777777" w:rsidR="00AF1EB3" w:rsidRPr="00A051B7" w:rsidRDefault="00AF1EB3" w:rsidP="00AD74D1">
            <w:pPr>
              <w:jc w:val="both"/>
              <w:rPr>
                <w:rFonts w:ascii="Calibri" w:hAnsi="Calibri"/>
              </w:rPr>
            </w:pPr>
          </w:p>
        </w:tc>
      </w:tr>
    </w:tbl>
    <w:p w14:paraId="14E77482" w14:textId="77777777" w:rsidR="00810099" w:rsidRPr="00154596" w:rsidRDefault="00810099" w:rsidP="00963F2E">
      <w:pPr>
        <w:pStyle w:val="NORMAL12"/>
      </w:pPr>
      <w:r w:rsidRPr="00154596">
        <w:t xml:space="preserve">La ejecución de cualquiera de los tipos de mezclas </w:t>
      </w:r>
      <w:r w:rsidR="009A55F6" w:rsidRPr="00154596">
        <w:t>b</w:t>
      </w:r>
      <w:r w:rsidRPr="00154596">
        <w:t>ituminosas definidas anteriormente incluye las siguientes operaciones:</w:t>
      </w:r>
    </w:p>
    <w:p w14:paraId="0E6D6D74" w14:textId="77777777" w:rsidR="00810099" w:rsidRPr="00154596" w:rsidRDefault="00810099" w:rsidP="006D4837">
      <w:pPr>
        <w:pStyle w:val="NORMAL12"/>
        <w:numPr>
          <w:ilvl w:val="0"/>
          <w:numId w:val="29"/>
        </w:numPr>
      </w:pPr>
      <w:r w:rsidRPr="00154596">
        <w:t>Estudio de la mezcla y obtención de la fórmula de trabajo.</w:t>
      </w:r>
    </w:p>
    <w:p w14:paraId="170CC6E5" w14:textId="77777777" w:rsidR="00810099" w:rsidRPr="00154596" w:rsidRDefault="00810099" w:rsidP="006D4837">
      <w:pPr>
        <w:pStyle w:val="NORMAL12"/>
        <w:numPr>
          <w:ilvl w:val="0"/>
          <w:numId w:val="29"/>
        </w:numPr>
      </w:pPr>
      <w:r w:rsidRPr="00154596">
        <w:t>Fabricación de acuerdo con la fórmula de trabajo.</w:t>
      </w:r>
    </w:p>
    <w:p w14:paraId="60370B2B" w14:textId="77777777" w:rsidR="00810099" w:rsidRPr="00154596" w:rsidRDefault="00810099" w:rsidP="006D4837">
      <w:pPr>
        <w:pStyle w:val="NORMAL12"/>
        <w:numPr>
          <w:ilvl w:val="0"/>
          <w:numId w:val="29"/>
        </w:numPr>
      </w:pPr>
      <w:r w:rsidRPr="00154596">
        <w:t>Transporte al lugar de empleo.</w:t>
      </w:r>
    </w:p>
    <w:p w14:paraId="3AB45181" w14:textId="77777777" w:rsidR="00810099" w:rsidRPr="00154596" w:rsidRDefault="00810099" w:rsidP="006D4837">
      <w:pPr>
        <w:pStyle w:val="NORMAL12"/>
        <w:numPr>
          <w:ilvl w:val="0"/>
          <w:numId w:val="29"/>
        </w:numPr>
      </w:pPr>
      <w:r w:rsidRPr="00154596">
        <w:t>Preparación de la superficie que va a recibir la mezcla.</w:t>
      </w:r>
    </w:p>
    <w:p w14:paraId="32A79662" w14:textId="77777777" w:rsidR="00810099" w:rsidRPr="00154596" w:rsidRDefault="00810099" w:rsidP="006D4837">
      <w:pPr>
        <w:pStyle w:val="NORMAL12"/>
        <w:numPr>
          <w:ilvl w:val="0"/>
          <w:numId w:val="29"/>
        </w:numPr>
      </w:pPr>
      <w:r w:rsidRPr="00154596">
        <w:t>Extensión y compactación de la mezcla.</w:t>
      </w:r>
    </w:p>
    <w:p w14:paraId="6241033E" w14:textId="77777777" w:rsidR="00810099" w:rsidRPr="005864C2" w:rsidRDefault="00810099" w:rsidP="000313DD">
      <w:pPr>
        <w:pStyle w:val="TITU2"/>
      </w:pPr>
      <w:bookmarkStart w:id="601" w:name="_Toc404341"/>
      <w:r w:rsidRPr="005864C2">
        <w:t>542.2. Materiales</w:t>
      </w:r>
      <w:bookmarkEnd w:id="601"/>
    </w:p>
    <w:p w14:paraId="732652F6" w14:textId="77777777" w:rsidR="00B134D9" w:rsidRDefault="00B134D9" w:rsidP="007D6044">
      <w:pPr>
        <w:pStyle w:val="NORMAL12"/>
        <w:rPr>
          <w:i/>
          <w:u w:val="single"/>
        </w:rPr>
      </w:pPr>
      <w:bookmarkStart w:id="602" w:name="_Toc252870796"/>
      <w:r w:rsidRPr="007D6044">
        <w:rPr>
          <w:i/>
          <w:u w:val="single"/>
        </w:rPr>
        <w:t>Ligantes</w:t>
      </w:r>
      <w:bookmarkEnd w:id="602"/>
    </w:p>
    <w:p w14:paraId="2049A7B9" w14:textId="77777777" w:rsidR="004E2933" w:rsidRPr="004E2933" w:rsidRDefault="004E2933" w:rsidP="007D6044">
      <w:pPr>
        <w:pStyle w:val="NORMAL12"/>
      </w:pPr>
      <w:r w:rsidRPr="004E2933">
        <w:t>Se emplearán los ligantes y dotaciones siguientes:</w:t>
      </w:r>
    </w:p>
    <w:p w14:paraId="44B41D87" w14:textId="77777777" w:rsidR="009C52EB" w:rsidRPr="00A27148" w:rsidRDefault="00A27148" w:rsidP="00221E1A">
      <w:pPr>
        <w:pStyle w:val="NORMAL12"/>
        <w:numPr>
          <w:ilvl w:val="0"/>
          <w:numId w:val="129"/>
        </w:numPr>
      </w:pPr>
      <w:r w:rsidRPr="00A27148">
        <w:t xml:space="preserve">Para el tronco de la autovía se empleará </w:t>
      </w:r>
      <w:r w:rsidR="009C52EB" w:rsidRPr="00A27148">
        <w:t xml:space="preserve">betún </w:t>
      </w:r>
      <w:r>
        <w:t xml:space="preserve">tipo </w:t>
      </w:r>
      <w:r w:rsidR="009C52EB" w:rsidRPr="00A27148">
        <w:t>PMB 45/80-65 par</w:t>
      </w:r>
      <w:r w:rsidRPr="00A27148">
        <w:t>a la capa intermedia</w:t>
      </w:r>
      <w:r w:rsidR="00154596">
        <w:t xml:space="preserve"> con una dotación mínima del </w:t>
      </w:r>
      <w:r w:rsidR="009C52EB" w:rsidRPr="00A27148">
        <w:t>4,25%.</w:t>
      </w:r>
    </w:p>
    <w:p w14:paraId="4CDD9C28" w14:textId="77777777" w:rsidR="009C52EB" w:rsidRDefault="00A27148" w:rsidP="00221E1A">
      <w:pPr>
        <w:pStyle w:val="NORMAL12"/>
        <w:numPr>
          <w:ilvl w:val="0"/>
          <w:numId w:val="129"/>
        </w:numPr>
      </w:pPr>
      <w:r>
        <w:t>Para los ramales de los enlaces se empleará b</w:t>
      </w:r>
      <w:r w:rsidR="0066707C">
        <w:t>etú</w:t>
      </w:r>
      <w:r w:rsidR="009C52EB" w:rsidRPr="0066707C">
        <w:t xml:space="preserve">n </w:t>
      </w:r>
      <w:r>
        <w:t>tipo BC 35/50 para capa intermedia y base</w:t>
      </w:r>
      <w:r w:rsidR="00A016B3">
        <w:t xml:space="preserve"> </w:t>
      </w:r>
      <w:r w:rsidR="00154596">
        <w:t xml:space="preserve">con una dotación mínima del </w:t>
      </w:r>
      <w:r w:rsidR="00154596" w:rsidRPr="00A27148">
        <w:t>4,25%.</w:t>
      </w:r>
    </w:p>
    <w:p w14:paraId="6CBC9BBF" w14:textId="77777777" w:rsidR="004E2933" w:rsidRDefault="004E2933" w:rsidP="00221E1A">
      <w:pPr>
        <w:pStyle w:val="NORMAL12"/>
        <w:numPr>
          <w:ilvl w:val="0"/>
          <w:numId w:val="129"/>
        </w:numPr>
      </w:pPr>
      <w:r>
        <w:t>Para los arcenes de los ramales de los enlaces se empleará betú</w:t>
      </w:r>
      <w:r w:rsidRPr="0066707C">
        <w:t xml:space="preserve">n </w:t>
      </w:r>
      <w:r>
        <w:t>tip</w:t>
      </w:r>
      <w:r w:rsidR="00154596">
        <w:t xml:space="preserve">o BC 35/50 para capa intermedia con una dotación mínima del </w:t>
      </w:r>
      <w:r w:rsidR="00154596" w:rsidRPr="00A27148">
        <w:t>4,25%.</w:t>
      </w:r>
    </w:p>
    <w:p w14:paraId="1AAFD9D6" w14:textId="77777777" w:rsidR="004E2933" w:rsidRDefault="004E2933" w:rsidP="00221E1A">
      <w:pPr>
        <w:pStyle w:val="NORMAL12"/>
        <w:numPr>
          <w:ilvl w:val="0"/>
          <w:numId w:val="129"/>
        </w:numPr>
      </w:pPr>
      <w:r>
        <w:t>Bajo la calzada ampliada se utilizará betú</w:t>
      </w:r>
      <w:r w:rsidRPr="0066707C">
        <w:t xml:space="preserve">n </w:t>
      </w:r>
      <w:r>
        <w:t>tipo BC 35</w:t>
      </w:r>
      <w:r w:rsidR="00154596">
        <w:t xml:space="preserve">/50 para capa intermedia y base con una dotación mínima del </w:t>
      </w:r>
      <w:r w:rsidR="00154596" w:rsidRPr="00A27148">
        <w:t>4,25%.</w:t>
      </w:r>
    </w:p>
    <w:p w14:paraId="6744AC80" w14:textId="77777777" w:rsidR="004E2933" w:rsidRPr="0066707C" w:rsidRDefault="004E2933" w:rsidP="00221E1A">
      <w:pPr>
        <w:pStyle w:val="NORMAL12"/>
        <w:numPr>
          <w:ilvl w:val="0"/>
          <w:numId w:val="129"/>
        </w:numPr>
      </w:pPr>
      <w:r>
        <w:t>Bajo los arcenes interior y exterior de las calzadas principales se utilizará betú</w:t>
      </w:r>
      <w:r w:rsidRPr="0066707C">
        <w:t xml:space="preserve">n </w:t>
      </w:r>
      <w:r>
        <w:t>tip</w:t>
      </w:r>
      <w:r w:rsidR="00154596">
        <w:t xml:space="preserve">o BC 35/50 para capa intermedia con una dotación mínima del </w:t>
      </w:r>
      <w:r w:rsidR="00154596" w:rsidRPr="00A27148">
        <w:t>4,25%.</w:t>
      </w:r>
    </w:p>
    <w:p w14:paraId="509A8876" w14:textId="77777777" w:rsidR="00B134D9" w:rsidRPr="00111B52" w:rsidRDefault="00B134D9" w:rsidP="007D6044">
      <w:pPr>
        <w:pStyle w:val="NORMAL12"/>
        <w:rPr>
          <w:i/>
          <w:u w:val="single"/>
        </w:rPr>
      </w:pPr>
      <w:r w:rsidRPr="00111B52">
        <w:rPr>
          <w:i/>
          <w:u w:val="single"/>
        </w:rPr>
        <w:t>Áridos</w:t>
      </w:r>
    </w:p>
    <w:p w14:paraId="5371E82A" w14:textId="77777777" w:rsidR="00B134D9" w:rsidRPr="00111B52" w:rsidRDefault="00B134D9" w:rsidP="007D6044">
      <w:pPr>
        <w:pStyle w:val="NORMAL12"/>
      </w:pPr>
      <w:r w:rsidRPr="00111B52">
        <w:t xml:space="preserve">Los áridos a emplear, ya sean naturales, artificiales o provenientes del fresado de mezclas bituminosas, serán inalterables frente a la meteorización o degradación por agentes </w:t>
      </w:r>
      <w:proofErr w:type="gramStart"/>
      <w:r w:rsidRPr="00111B52">
        <w:t>físico-químicos</w:t>
      </w:r>
      <w:proofErr w:type="gramEnd"/>
      <w:r w:rsidRPr="00111B52">
        <w:t>, en las condiciones más adversas que puedan darse en la zona de empleo. La inalterabilidad de los áridos se evaluará conforme a las normas UNE-EN-1744 partes 1, 3 y 4.</w:t>
      </w:r>
    </w:p>
    <w:p w14:paraId="53E4702B" w14:textId="77777777" w:rsidR="004C3A80" w:rsidRPr="00111B52" w:rsidRDefault="00B134D9" w:rsidP="007D6044">
      <w:pPr>
        <w:pStyle w:val="NORMAL12"/>
      </w:pPr>
      <w:r w:rsidRPr="00111B52">
        <w:t>En caso de áridos procedentes del fresado de mezclas bituminosas, el tamaño máximo será inferior a 20 mm según norma UNE 933-2</w:t>
      </w:r>
      <w:r w:rsidR="00A5501B" w:rsidRPr="00111B52">
        <w:t>/1M:1999</w:t>
      </w:r>
      <w:r w:rsidRPr="00111B52">
        <w:t>. En la fabricación de mezclas bituminosas para capas de base e intermedia podrá emplearse árido procedente de fresado de mezclas bituminosas en caliente, según</w:t>
      </w:r>
      <w:r w:rsidR="004C3A80" w:rsidRPr="00111B52">
        <w:t xml:space="preserve"> los siguientes criterios: </w:t>
      </w:r>
    </w:p>
    <w:p w14:paraId="7DB00473" w14:textId="77777777" w:rsidR="004C3A80" w:rsidRPr="00111B52" w:rsidRDefault="004C3A80" w:rsidP="00221E1A">
      <w:pPr>
        <w:pStyle w:val="NORMAL12"/>
        <w:numPr>
          <w:ilvl w:val="0"/>
          <w:numId w:val="140"/>
        </w:numPr>
      </w:pPr>
      <w:r w:rsidRPr="00111B52">
        <w:t>Se emplearán en proporción igual o inferior al quince por ciento (≤15%) de la masa total de la mezcla.</w:t>
      </w:r>
    </w:p>
    <w:p w14:paraId="64A7A005" w14:textId="77777777" w:rsidR="001106C5" w:rsidRPr="00111B52" w:rsidRDefault="00AA5AE4" w:rsidP="001106C5">
      <w:pPr>
        <w:pStyle w:val="NORMAL12"/>
      </w:pPr>
      <w:r w:rsidRPr="00111B52">
        <w:t>El árido grueso debe cumplir</w:t>
      </w:r>
      <w:r w:rsidR="001106C5" w:rsidRPr="00111B52">
        <w:t>:</w:t>
      </w:r>
    </w:p>
    <w:p w14:paraId="0DB2BD8E" w14:textId="77777777" w:rsidR="001106C5" w:rsidRPr="00111B52" w:rsidRDefault="001106C5" w:rsidP="00221E1A">
      <w:pPr>
        <w:pStyle w:val="NORMAL12"/>
        <w:numPr>
          <w:ilvl w:val="0"/>
          <w:numId w:val="140"/>
        </w:numPr>
      </w:pPr>
      <w:r w:rsidRPr="00111B52">
        <w:t>Los áridos gruesos a emplear en la capa de rodadura para tráfico pesado T0, no serán calizos, ni procederán de la trituración de gravas procedentes de yacimientos granulares.</w:t>
      </w:r>
    </w:p>
    <w:p w14:paraId="1D1EACFB" w14:textId="77777777" w:rsidR="001106C5" w:rsidRPr="00111B52" w:rsidRDefault="001106C5" w:rsidP="00221E1A">
      <w:pPr>
        <w:pStyle w:val="NORMAL12"/>
        <w:numPr>
          <w:ilvl w:val="0"/>
          <w:numId w:val="140"/>
        </w:numPr>
      </w:pPr>
      <w:r w:rsidRPr="00111B52">
        <w:lastRenderedPageBreak/>
        <w:t>La proporción de partículas meteorizadas presentes en masa será inferior al cinco (&lt;5) por ciento.</w:t>
      </w:r>
    </w:p>
    <w:p w14:paraId="3CDEDC18" w14:textId="77777777" w:rsidR="001106C5" w:rsidRPr="00111B52" w:rsidRDefault="001106C5" w:rsidP="00221E1A">
      <w:pPr>
        <w:pStyle w:val="NORMAL12"/>
        <w:numPr>
          <w:ilvl w:val="0"/>
          <w:numId w:val="140"/>
        </w:numPr>
      </w:pPr>
      <w:r w:rsidRPr="00111B52">
        <w:t xml:space="preserve">La proporción en masa de partículas total y parcialmente trituradas del árido grueso (norma UNE-EN 933-5) debe ser del cien por cien (100%) en las capas de rodadura, intermedia y base para tráfico T0. Por lo </w:t>
      </w:r>
      <w:r w:rsidR="00AA5AE4" w:rsidRPr="00111B52">
        <w:t xml:space="preserve">que </w:t>
      </w:r>
      <w:r w:rsidRPr="00111B52">
        <w:t>la proporción en masa de partículas totalmente redondeadas</w:t>
      </w:r>
      <w:r w:rsidR="00AA5AE4" w:rsidRPr="00111B52">
        <w:t xml:space="preserve"> (norma UNE-EN 933-5)</w:t>
      </w:r>
      <w:r w:rsidRPr="00111B52">
        <w:t xml:space="preserve"> debe ser igual al cero por ciento (0%).</w:t>
      </w:r>
    </w:p>
    <w:p w14:paraId="4CAE666D" w14:textId="77777777" w:rsidR="001106C5" w:rsidRPr="00111B52" w:rsidRDefault="001106C5" w:rsidP="00221E1A">
      <w:pPr>
        <w:pStyle w:val="NORMAL12"/>
        <w:numPr>
          <w:ilvl w:val="0"/>
          <w:numId w:val="140"/>
        </w:numPr>
      </w:pPr>
      <w:r w:rsidRPr="00111B52">
        <w:t>El índice de lajas (FI)</w:t>
      </w:r>
      <w:r w:rsidR="00AA5AE4" w:rsidRPr="00111B52">
        <w:t xml:space="preserve"> (norma UNE-EN 933-3)</w:t>
      </w:r>
      <w:r w:rsidRPr="00111B52">
        <w:t xml:space="preserve"> de las distintas fracciones del árido grueso debe ser meno</w:t>
      </w:r>
      <w:r w:rsidR="00386DC0" w:rsidRPr="00111B52">
        <w:t>r</w:t>
      </w:r>
      <w:r w:rsidRPr="00111B52">
        <w:t xml:space="preserve"> veinticinco (≤25).</w:t>
      </w:r>
    </w:p>
    <w:p w14:paraId="599C380A" w14:textId="77777777" w:rsidR="00AA5AE4" w:rsidRPr="00111B52" w:rsidRDefault="00AA5AE4" w:rsidP="00221E1A">
      <w:pPr>
        <w:pStyle w:val="NORMAL12"/>
        <w:numPr>
          <w:ilvl w:val="0"/>
          <w:numId w:val="140"/>
        </w:numPr>
      </w:pPr>
      <w:r w:rsidRPr="00111B52">
        <w:t>Resistencia a la fragmentación (coeficiente de los Ángeles) del árido grueso (norma UNE-EN 1097-2) debe ser menor de veinte (≤20) para capa de rodadura y menos de veinticinco (≤25) para capa intermedia y base.</w:t>
      </w:r>
    </w:p>
    <w:p w14:paraId="591ECCAB" w14:textId="77777777" w:rsidR="00AA5AE4" w:rsidRPr="00111B52" w:rsidRDefault="00AA5AE4" w:rsidP="00221E1A">
      <w:pPr>
        <w:pStyle w:val="NORMAL12"/>
        <w:numPr>
          <w:ilvl w:val="0"/>
          <w:numId w:val="140"/>
        </w:numPr>
      </w:pPr>
      <w:r w:rsidRPr="00111B52">
        <w:t>El coeficiente del pulimento acelerado (PSV) del árido grueso a emplear en las capas de rodadura (norma UNE-EN 1097-8) deber ser mayor de cincuenta y seis (≥56).</w:t>
      </w:r>
    </w:p>
    <w:p w14:paraId="0D9EB1B0" w14:textId="77777777" w:rsidR="00AA5AE4" w:rsidRPr="00111B52" w:rsidRDefault="00AA5AE4" w:rsidP="00221E1A">
      <w:pPr>
        <w:pStyle w:val="NORMAL12"/>
        <w:numPr>
          <w:ilvl w:val="0"/>
          <w:numId w:val="140"/>
        </w:numPr>
      </w:pPr>
      <w:r w:rsidRPr="00111B52">
        <w:t>El contenido en finos (norma UNE-EN 933-1) determinado como el porcentaje que pasa por el tamiz 0,063 mm, será inferior a cinco por mil.</w:t>
      </w:r>
    </w:p>
    <w:p w14:paraId="1C136031" w14:textId="77777777" w:rsidR="00AA5AE4" w:rsidRPr="00111B52" w:rsidRDefault="00AA5AE4" w:rsidP="00AA5AE4">
      <w:pPr>
        <w:pStyle w:val="NORMAL12"/>
      </w:pPr>
      <w:r w:rsidRPr="00111B52">
        <w:t>El árido fino debe cumplir:</w:t>
      </w:r>
    </w:p>
    <w:p w14:paraId="2E5DF492" w14:textId="77777777" w:rsidR="00AA5AE4" w:rsidRPr="00111B52" w:rsidRDefault="00AA5AE4" w:rsidP="00221E1A">
      <w:pPr>
        <w:pStyle w:val="NORMAL12"/>
        <w:numPr>
          <w:ilvl w:val="0"/>
          <w:numId w:val="141"/>
        </w:numPr>
      </w:pPr>
      <w:r w:rsidRPr="00111B52">
        <w:t>Procederá en su totalidad de la trituración de piedra de cantera o grava natural.</w:t>
      </w:r>
    </w:p>
    <w:p w14:paraId="657C446D" w14:textId="77777777" w:rsidR="00AA5AE4" w:rsidRPr="00111B52" w:rsidRDefault="00AA5AE4" w:rsidP="00221E1A">
      <w:pPr>
        <w:pStyle w:val="NORMAL12"/>
        <w:numPr>
          <w:ilvl w:val="0"/>
          <w:numId w:val="141"/>
        </w:numPr>
      </w:pPr>
      <w:r w:rsidRPr="00111B52">
        <w:t>El árido fino está exento de todo tipo de materia extrañas que puedan afectar a la durabilidad de la capa.</w:t>
      </w:r>
    </w:p>
    <w:p w14:paraId="6B59FD0F" w14:textId="77777777" w:rsidR="00AA5AE4" w:rsidRPr="00111B52" w:rsidRDefault="00385BA2" w:rsidP="00221E1A">
      <w:pPr>
        <w:pStyle w:val="NORMAL12"/>
        <w:numPr>
          <w:ilvl w:val="0"/>
          <w:numId w:val="141"/>
        </w:numPr>
      </w:pPr>
      <w:r w:rsidRPr="00111B52">
        <w:t>El material que se triture para obtener árido fino debe cumplir las mismas condiciones en cuanto al coeficiente de los Ángeles que lo dispuesto para el árido grueso.</w:t>
      </w:r>
    </w:p>
    <w:p w14:paraId="764E2520" w14:textId="77777777" w:rsidR="00385BA2" w:rsidRPr="00111B52" w:rsidRDefault="00385BA2" w:rsidP="00385BA2">
      <w:pPr>
        <w:pStyle w:val="NORMAL12"/>
      </w:pPr>
      <w:r w:rsidRPr="00111B52">
        <w:t>Las características del polvo mineral empleado son:</w:t>
      </w:r>
    </w:p>
    <w:p w14:paraId="2EF3466B" w14:textId="77777777" w:rsidR="00385BA2" w:rsidRPr="00111B52" w:rsidRDefault="00385BA2" w:rsidP="00221E1A">
      <w:pPr>
        <w:pStyle w:val="NORMAL12"/>
        <w:numPr>
          <w:ilvl w:val="0"/>
          <w:numId w:val="142"/>
        </w:numPr>
      </w:pPr>
      <w:r w:rsidRPr="00111B52">
        <w:t>La proporción de polvo mineral de aportación a emplear en la mezcla deber ser del cien por cien en capas de rodadura, intermedia y base.</w:t>
      </w:r>
    </w:p>
    <w:p w14:paraId="45E15235" w14:textId="77777777" w:rsidR="00385BA2" w:rsidRPr="00111B52" w:rsidRDefault="00385BA2" w:rsidP="00221E1A">
      <w:pPr>
        <w:pStyle w:val="NORMAL12"/>
        <w:numPr>
          <w:ilvl w:val="0"/>
          <w:numId w:val="142"/>
        </w:numPr>
      </w:pPr>
      <w:r w:rsidRPr="00111B52">
        <w:t>La densidad aparente de polvo mineral (norma UNE-EN 1097-3) debe estar comprendida entre cinco y ocho décimas de gramo por centímetro cúbico (0,5 a 0,8 g/cm</w:t>
      </w:r>
      <w:r w:rsidRPr="00111B52">
        <w:rPr>
          <w:vertAlign w:val="superscript"/>
        </w:rPr>
        <w:t>3</w:t>
      </w:r>
      <w:r w:rsidRPr="00111B52">
        <w:t>).</w:t>
      </w:r>
    </w:p>
    <w:p w14:paraId="701BA533" w14:textId="77777777" w:rsidR="00385BA2" w:rsidRDefault="00385BA2" w:rsidP="00385BA2">
      <w:pPr>
        <w:pStyle w:val="NORMAL12"/>
      </w:pPr>
      <w:r w:rsidRPr="00111B52">
        <w:t xml:space="preserve">No está permitido el uso de aditivos, salvo autorización expresa del </w:t>
      </w:r>
      <w:proofErr w:type="gramStart"/>
      <w:r w:rsidRPr="00111B52">
        <w:t>Director</w:t>
      </w:r>
      <w:proofErr w:type="gramEnd"/>
      <w:r w:rsidRPr="00111B52">
        <w:t xml:space="preserve"> de Obra.</w:t>
      </w:r>
    </w:p>
    <w:p w14:paraId="6F9D8F95" w14:textId="77777777" w:rsidR="00810099" w:rsidRPr="005864C2" w:rsidRDefault="00810099" w:rsidP="000313DD">
      <w:pPr>
        <w:pStyle w:val="TITU2"/>
      </w:pPr>
      <w:bookmarkStart w:id="603" w:name="_Toc404342"/>
      <w:r w:rsidRPr="005864C2">
        <w:t>542.3. Tipo y composición de la mezcla</w:t>
      </w:r>
      <w:bookmarkEnd w:id="603"/>
    </w:p>
    <w:p w14:paraId="0A9A434A" w14:textId="77777777" w:rsidR="00B134D9" w:rsidRPr="007D6044" w:rsidRDefault="00B134D9" w:rsidP="007D6044">
      <w:pPr>
        <w:pStyle w:val="NORMAL12"/>
      </w:pPr>
      <w:r w:rsidRPr="007D6044">
        <w:t>Los tipos de mezcla a emplear en las distintas capas de firme en el presente proyecto son las definidas en el documento planos y que se reproducen en la siguiente tabla:</w:t>
      </w:r>
    </w:p>
    <w:tbl>
      <w:tblPr>
        <w:tblW w:w="5000" w:type="pct"/>
        <w:tblCellMar>
          <w:left w:w="70" w:type="dxa"/>
          <w:right w:w="70" w:type="dxa"/>
        </w:tblCellMar>
        <w:tblLook w:val="04A0" w:firstRow="1" w:lastRow="0" w:firstColumn="1" w:lastColumn="0" w:noHBand="0" w:noVBand="1"/>
      </w:tblPr>
      <w:tblGrid>
        <w:gridCol w:w="4038"/>
        <w:gridCol w:w="1987"/>
        <w:gridCol w:w="3753"/>
      </w:tblGrid>
      <w:tr w:rsidR="00B134D9" w:rsidRPr="009B23E5" w14:paraId="2E33D963" w14:textId="77777777" w:rsidTr="001B1CBC">
        <w:trPr>
          <w:trHeight w:val="300"/>
        </w:trPr>
        <w:tc>
          <w:tcPr>
            <w:tcW w:w="5000" w:type="pct"/>
            <w:gridSpan w:val="3"/>
            <w:tcBorders>
              <w:top w:val="single" w:sz="4" w:space="0" w:color="auto"/>
              <w:left w:val="single" w:sz="4" w:space="0" w:color="auto"/>
              <w:bottom w:val="single" w:sz="4" w:space="0" w:color="auto"/>
              <w:right w:val="single" w:sz="4" w:space="0" w:color="auto"/>
            </w:tcBorders>
            <w:shd w:val="clear" w:color="000000" w:fill="D8D8D8"/>
            <w:noWrap/>
            <w:vAlign w:val="bottom"/>
            <w:hideMark/>
          </w:tcPr>
          <w:p w14:paraId="5B14209C" w14:textId="77777777" w:rsidR="00B134D9" w:rsidRPr="004062C1" w:rsidRDefault="00A27148" w:rsidP="001B1CBC">
            <w:pPr>
              <w:jc w:val="center"/>
              <w:rPr>
                <w:rFonts w:ascii="Arial" w:hAnsi="Arial" w:cs="Arial"/>
                <w:color w:val="000000"/>
                <w:sz w:val="20"/>
                <w:szCs w:val="20"/>
              </w:rPr>
            </w:pPr>
            <w:r w:rsidRPr="004062C1">
              <w:rPr>
                <w:rFonts w:ascii="Arial" w:hAnsi="Arial" w:cs="Arial"/>
                <w:color w:val="000000"/>
                <w:sz w:val="20"/>
                <w:szCs w:val="20"/>
              </w:rPr>
              <w:t>FIRMES A EMPLEAR</w:t>
            </w:r>
          </w:p>
        </w:tc>
      </w:tr>
      <w:tr w:rsidR="00B134D9" w:rsidRPr="009B23E5" w14:paraId="2C07CA1D" w14:textId="77777777" w:rsidTr="005D70D4">
        <w:trPr>
          <w:trHeight w:val="300"/>
        </w:trPr>
        <w:tc>
          <w:tcPr>
            <w:tcW w:w="2065" w:type="pct"/>
            <w:tcBorders>
              <w:top w:val="nil"/>
              <w:left w:val="single" w:sz="4" w:space="0" w:color="auto"/>
              <w:bottom w:val="single" w:sz="4" w:space="0" w:color="auto"/>
              <w:right w:val="single" w:sz="4" w:space="0" w:color="auto"/>
            </w:tcBorders>
            <w:hideMark/>
          </w:tcPr>
          <w:p w14:paraId="16278734" w14:textId="77777777" w:rsidR="00B134D9" w:rsidRPr="004062C1" w:rsidRDefault="00A27148" w:rsidP="001B1CBC">
            <w:pPr>
              <w:jc w:val="center"/>
              <w:rPr>
                <w:rFonts w:ascii="Arial" w:hAnsi="Arial" w:cs="Arial"/>
                <w:b/>
                <w:bCs/>
                <w:color w:val="000000"/>
                <w:sz w:val="20"/>
                <w:szCs w:val="20"/>
              </w:rPr>
            </w:pPr>
            <w:r w:rsidRPr="004062C1">
              <w:rPr>
                <w:rFonts w:ascii="Arial" w:hAnsi="Arial" w:cs="Arial"/>
                <w:b/>
                <w:bCs/>
                <w:color w:val="000000"/>
                <w:sz w:val="20"/>
                <w:szCs w:val="20"/>
              </w:rPr>
              <w:t>Tramo</w:t>
            </w:r>
          </w:p>
        </w:tc>
        <w:tc>
          <w:tcPr>
            <w:tcW w:w="1016" w:type="pct"/>
            <w:tcBorders>
              <w:top w:val="nil"/>
              <w:left w:val="nil"/>
              <w:bottom w:val="single" w:sz="4" w:space="0" w:color="auto"/>
              <w:right w:val="single" w:sz="4" w:space="0" w:color="auto"/>
            </w:tcBorders>
            <w:hideMark/>
          </w:tcPr>
          <w:p w14:paraId="057AA060" w14:textId="77777777" w:rsidR="00B134D9" w:rsidRPr="004062C1" w:rsidRDefault="004E2933" w:rsidP="001B1CBC">
            <w:pPr>
              <w:jc w:val="center"/>
              <w:rPr>
                <w:rFonts w:ascii="Arial" w:hAnsi="Arial" w:cs="Arial"/>
                <w:b/>
                <w:bCs/>
                <w:color w:val="000000"/>
                <w:sz w:val="20"/>
                <w:szCs w:val="20"/>
              </w:rPr>
            </w:pPr>
            <w:r w:rsidRPr="004062C1">
              <w:rPr>
                <w:rFonts w:ascii="Arial" w:hAnsi="Arial" w:cs="Arial"/>
                <w:b/>
                <w:bCs/>
                <w:color w:val="000000"/>
                <w:sz w:val="20"/>
                <w:szCs w:val="20"/>
              </w:rPr>
              <w:t xml:space="preserve">Capa </w:t>
            </w:r>
          </w:p>
        </w:tc>
        <w:tc>
          <w:tcPr>
            <w:tcW w:w="1919" w:type="pct"/>
            <w:tcBorders>
              <w:top w:val="nil"/>
              <w:left w:val="nil"/>
              <w:bottom w:val="single" w:sz="4" w:space="0" w:color="auto"/>
              <w:right w:val="single" w:sz="4" w:space="0" w:color="auto"/>
            </w:tcBorders>
            <w:hideMark/>
          </w:tcPr>
          <w:p w14:paraId="4C67251E" w14:textId="77777777" w:rsidR="00B134D9" w:rsidRPr="004062C1" w:rsidRDefault="00B134D9" w:rsidP="001B1CBC">
            <w:pPr>
              <w:jc w:val="center"/>
              <w:rPr>
                <w:rFonts w:ascii="Arial" w:hAnsi="Arial" w:cs="Arial"/>
                <w:b/>
                <w:bCs/>
                <w:color w:val="000000"/>
                <w:sz w:val="20"/>
                <w:szCs w:val="20"/>
              </w:rPr>
            </w:pPr>
            <w:r w:rsidRPr="004062C1">
              <w:rPr>
                <w:rFonts w:ascii="Arial" w:hAnsi="Arial" w:cs="Arial"/>
                <w:b/>
                <w:bCs/>
                <w:color w:val="000000"/>
                <w:sz w:val="20"/>
                <w:szCs w:val="20"/>
              </w:rPr>
              <w:t>Denominación</w:t>
            </w:r>
          </w:p>
        </w:tc>
      </w:tr>
      <w:tr w:rsidR="00B134D9" w:rsidRPr="009B23E5" w14:paraId="241F41D8" w14:textId="77777777" w:rsidTr="005D70D4">
        <w:trPr>
          <w:trHeight w:val="300"/>
        </w:trPr>
        <w:tc>
          <w:tcPr>
            <w:tcW w:w="2065" w:type="pct"/>
            <w:tcBorders>
              <w:top w:val="nil"/>
              <w:left w:val="single" w:sz="4" w:space="0" w:color="auto"/>
              <w:bottom w:val="nil"/>
              <w:right w:val="single" w:sz="4" w:space="0" w:color="auto"/>
            </w:tcBorders>
            <w:hideMark/>
          </w:tcPr>
          <w:p w14:paraId="41E188B0" w14:textId="77777777" w:rsidR="00B134D9" w:rsidRPr="004062C1" w:rsidRDefault="00A27148" w:rsidP="001B1CBC">
            <w:pPr>
              <w:jc w:val="center"/>
              <w:rPr>
                <w:rFonts w:ascii="Arial" w:hAnsi="Arial" w:cs="Arial"/>
                <w:color w:val="000000"/>
                <w:sz w:val="20"/>
                <w:szCs w:val="20"/>
              </w:rPr>
            </w:pPr>
            <w:r w:rsidRPr="004062C1">
              <w:rPr>
                <w:rFonts w:ascii="Arial" w:hAnsi="Arial" w:cs="Arial"/>
                <w:color w:val="000000"/>
                <w:sz w:val="20"/>
                <w:szCs w:val="20"/>
              </w:rPr>
              <w:t xml:space="preserve">Tronco sobre </w:t>
            </w:r>
            <w:r w:rsidR="004E2933" w:rsidRPr="004062C1">
              <w:rPr>
                <w:rFonts w:ascii="Arial" w:hAnsi="Arial" w:cs="Arial"/>
                <w:color w:val="000000"/>
                <w:sz w:val="20"/>
                <w:szCs w:val="20"/>
              </w:rPr>
              <w:t xml:space="preserve">la </w:t>
            </w:r>
            <w:r w:rsidRPr="004062C1">
              <w:rPr>
                <w:rFonts w:ascii="Arial" w:hAnsi="Arial" w:cs="Arial"/>
                <w:color w:val="000000"/>
                <w:sz w:val="20"/>
                <w:szCs w:val="20"/>
              </w:rPr>
              <w:t>losa</w:t>
            </w:r>
            <w:r w:rsidR="004E2933" w:rsidRPr="004062C1">
              <w:rPr>
                <w:rFonts w:ascii="Arial" w:hAnsi="Arial" w:cs="Arial"/>
                <w:color w:val="000000"/>
                <w:sz w:val="20"/>
                <w:szCs w:val="20"/>
              </w:rPr>
              <w:t xml:space="preserve"> de hormigón</w:t>
            </w:r>
          </w:p>
        </w:tc>
        <w:tc>
          <w:tcPr>
            <w:tcW w:w="1016" w:type="pct"/>
            <w:tcBorders>
              <w:top w:val="nil"/>
              <w:left w:val="nil"/>
              <w:bottom w:val="nil"/>
              <w:right w:val="single" w:sz="4" w:space="0" w:color="auto"/>
            </w:tcBorders>
            <w:hideMark/>
          </w:tcPr>
          <w:p w14:paraId="04458CBA" w14:textId="77777777" w:rsidR="00B134D9" w:rsidRPr="004062C1" w:rsidRDefault="004E2933" w:rsidP="001B1CBC">
            <w:pPr>
              <w:jc w:val="center"/>
              <w:rPr>
                <w:rFonts w:ascii="Arial" w:hAnsi="Arial" w:cs="Arial"/>
                <w:color w:val="000000"/>
                <w:sz w:val="20"/>
                <w:szCs w:val="20"/>
              </w:rPr>
            </w:pPr>
            <w:r w:rsidRPr="004062C1">
              <w:rPr>
                <w:rFonts w:ascii="Arial" w:hAnsi="Arial" w:cs="Arial"/>
                <w:color w:val="000000"/>
                <w:sz w:val="20"/>
                <w:szCs w:val="20"/>
              </w:rPr>
              <w:t>Intermedia</w:t>
            </w:r>
          </w:p>
        </w:tc>
        <w:tc>
          <w:tcPr>
            <w:tcW w:w="1919" w:type="pct"/>
            <w:tcBorders>
              <w:top w:val="nil"/>
              <w:left w:val="nil"/>
              <w:bottom w:val="nil"/>
              <w:right w:val="single" w:sz="4" w:space="0" w:color="auto"/>
            </w:tcBorders>
            <w:hideMark/>
          </w:tcPr>
          <w:p w14:paraId="7B34654D" w14:textId="77777777" w:rsidR="00B134D9" w:rsidRPr="00504DAB" w:rsidRDefault="00B134D9" w:rsidP="00316D62">
            <w:pPr>
              <w:jc w:val="center"/>
              <w:rPr>
                <w:rFonts w:ascii="Arial" w:hAnsi="Arial" w:cs="Arial"/>
                <w:color w:val="000000"/>
                <w:sz w:val="20"/>
                <w:szCs w:val="20"/>
              </w:rPr>
            </w:pPr>
            <w:r w:rsidRPr="00504DAB">
              <w:rPr>
                <w:rFonts w:ascii="Arial" w:hAnsi="Arial" w:cs="Arial"/>
                <w:color w:val="000000"/>
                <w:sz w:val="20"/>
                <w:szCs w:val="20"/>
              </w:rPr>
              <w:t xml:space="preserve">AC </w:t>
            </w:r>
            <w:r w:rsidR="00316D62" w:rsidRPr="00504DAB">
              <w:rPr>
                <w:rFonts w:ascii="Arial" w:hAnsi="Arial" w:cs="Arial"/>
                <w:color w:val="000000"/>
                <w:sz w:val="20"/>
                <w:szCs w:val="20"/>
              </w:rPr>
              <w:t>surf 16 D</w:t>
            </w:r>
            <w:r w:rsidR="00A27148" w:rsidRPr="00504DAB">
              <w:rPr>
                <w:rFonts w:ascii="Arial" w:hAnsi="Arial" w:cs="Arial"/>
                <w:color w:val="000000"/>
                <w:sz w:val="20"/>
                <w:szCs w:val="20"/>
              </w:rPr>
              <w:t xml:space="preserve"> (PMB 45/80</w:t>
            </w:r>
            <w:r w:rsidR="005D70D4" w:rsidRPr="00504DAB">
              <w:rPr>
                <w:rFonts w:ascii="Arial" w:hAnsi="Arial" w:cs="Arial"/>
                <w:color w:val="000000"/>
                <w:sz w:val="20"/>
                <w:szCs w:val="20"/>
              </w:rPr>
              <w:t>-</w:t>
            </w:r>
            <w:r w:rsidR="00A27148" w:rsidRPr="00504DAB">
              <w:rPr>
                <w:rFonts w:ascii="Arial" w:hAnsi="Arial" w:cs="Arial"/>
                <w:color w:val="000000"/>
                <w:sz w:val="20"/>
                <w:szCs w:val="20"/>
              </w:rPr>
              <w:t>65)</w:t>
            </w:r>
          </w:p>
        </w:tc>
      </w:tr>
      <w:tr w:rsidR="00A943DD" w:rsidRPr="009B23E5" w14:paraId="30AD9947" w14:textId="77777777" w:rsidTr="005D70D4">
        <w:trPr>
          <w:trHeight w:val="300"/>
        </w:trPr>
        <w:tc>
          <w:tcPr>
            <w:tcW w:w="2065" w:type="pct"/>
            <w:tcBorders>
              <w:top w:val="nil"/>
              <w:left w:val="single" w:sz="4" w:space="0" w:color="auto"/>
              <w:bottom w:val="nil"/>
              <w:right w:val="single" w:sz="4" w:space="0" w:color="auto"/>
            </w:tcBorders>
          </w:tcPr>
          <w:p w14:paraId="5E2DD382" w14:textId="77777777" w:rsidR="00A943DD" w:rsidRPr="004062C1" w:rsidRDefault="00A943DD" w:rsidP="005D70D4">
            <w:pPr>
              <w:jc w:val="center"/>
              <w:rPr>
                <w:rFonts w:ascii="Arial" w:hAnsi="Arial" w:cs="Arial"/>
                <w:color w:val="000000"/>
                <w:sz w:val="20"/>
                <w:szCs w:val="20"/>
              </w:rPr>
            </w:pPr>
            <w:r w:rsidRPr="004062C1">
              <w:rPr>
                <w:rFonts w:ascii="Arial" w:hAnsi="Arial" w:cs="Arial"/>
                <w:color w:val="000000"/>
                <w:sz w:val="20"/>
                <w:szCs w:val="20"/>
              </w:rPr>
              <w:t>Ramales de los enlaces</w:t>
            </w:r>
          </w:p>
        </w:tc>
        <w:tc>
          <w:tcPr>
            <w:tcW w:w="1016" w:type="pct"/>
            <w:tcBorders>
              <w:top w:val="nil"/>
              <w:left w:val="nil"/>
              <w:bottom w:val="nil"/>
              <w:right w:val="single" w:sz="4" w:space="0" w:color="auto"/>
            </w:tcBorders>
          </w:tcPr>
          <w:p w14:paraId="1F180C7A" w14:textId="77777777" w:rsidR="00A943DD" w:rsidRPr="004062C1" w:rsidRDefault="00A943DD" w:rsidP="001B1CBC">
            <w:pPr>
              <w:jc w:val="center"/>
              <w:rPr>
                <w:rFonts w:ascii="Arial" w:hAnsi="Arial" w:cs="Arial"/>
                <w:color w:val="000000"/>
                <w:sz w:val="20"/>
                <w:szCs w:val="20"/>
              </w:rPr>
            </w:pPr>
            <w:r w:rsidRPr="004062C1">
              <w:rPr>
                <w:rFonts w:ascii="Arial" w:hAnsi="Arial" w:cs="Arial"/>
                <w:color w:val="000000"/>
                <w:sz w:val="20"/>
                <w:szCs w:val="20"/>
              </w:rPr>
              <w:t>Intermedia</w:t>
            </w:r>
          </w:p>
        </w:tc>
        <w:tc>
          <w:tcPr>
            <w:tcW w:w="1919" w:type="pct"/>
            <w:tcBorders>
              <w:top w:val="nil"/>
              <w:left w:val="nil"/>
              <w:bottom w:val="nil"/>
              <w:right w:val="single" w:sz="4" w:space="0" w:color="auto"/>
            </w:tcBorders>
          </w:tcPr>
          <w:p w14:paraId="78A36D86" w14:textId="77777777" w:rsidR="00A943DD" w:rsidRPr="00504DAB" w:rsidRDefault="00A943DD" w:rsidP="00A943DD">
            <w:pPr>
              <w:jc w:val="center"/>
              <w:rPr>
                <w:rFonts w:ascii="Arial" w:hAnsi="Arial" w:cs="Arial"/>
                <w:color w:val="000000"/>
                <w:sz w:val="20"/>
                <w:szCs w:val="20"/>
              </w:rPr>
            </w:pPr>
            <w:r w:rsidRPr="00504DAB">
              <w:rPr>
                <w:rFonts w:ascii="Arial" w:hAnsi="Arial" w:cs="Arial"/>
                <w:color w:val="000000"/>
                <w:sz w:val="20"/>
                <w:szCs w:val="20"/>
              </w:rPr>
              <w:t xml:space="preserve">AC 22 </w:t>
            </w:r>
            <w:proofErr w:type="spellStart"/>
            <w:r w:rsidRPr="00504DAB">
              <w:rPr>
                <w:rFonts w:ascii="Arial" w:hAnsi="Arial" w:cs="Arial"/>
                <w:color w:val="000000"/>
                <w:sz w:val="20"/>
                <w:szCs w:val="20"/>
              </w:rPr>
              <w:t>bin</w:t>
            </w:r>
            <w:proofErr w:type="spellEnd"/>
            <w:r w:rsidRPr="00504DAB">
              <w:rPr>
                <w:rFonts w:ascii="Arial" w:hAnsi="Arial" w:cs="Arial"/>
                <w:color w:val="000000"/>
                <w:sz w:val="20"/>
                <w:szCs w:val="20"/>
              </w:rPr>
              <w:t xml:space="preserve"> S (B 35/50)</w:t>
            </w:r>
          </w:p>
        </w:tc>
      </w:tr>
      <w:tr w:rsidR="00A943DD" w:rsidRPr="009B23E5" w14:paraId="7D8DD7CE" w14:textId="77777777" w:rsidTr="005D70D4">
        <w:trPr>
          <w:trHeight w:val="300"/>
        </w:trPr>
        <w:tc>
          <w:tcPr>
            <w:tcW w:w="2065" w:type="pct"/>
            <w:tcBorders>
              <w:top w:val="nil"/>
              <w:left w:val="single" w:sz="4" w:space="0" w:color="auto"/>
              <w:bottom w:val="nil"/>
              <w:right w:val="single" w:sz="4" w:space="0" w:color="auto"/>
            </w:tcBorders>
          </w:tcPr>
          <w:p w14:paraId="0EDE0C57" w14:textId="77777777" w:rsidR="00A943DD" w:rsidRPr="004062C1" w:rsidRDefault="00A943DD" w:rsidP="005D70D4">
            <w:pPr>
              <w:jc w:val="center"/>
              <w:rPr>
                <w:rFonts w:ascii="Arial" w:hAnsi="Arial" w:cs="Arial"/>
                <w:color w:val="000000"/>
                <w:sz w:val="20"/>
                <w:szCs w:val="20"/>
              </w:rPr>
            </w:pPr>
            <w:r w:rsidRPr="004062C1">
              <w:rPr>
                <w:rFonts w:ascii="Arial" w:hAnsi="Arial" w:cs="Arial"/>
                <w:color w:val="000000"/>
                <w:sz w:val="20"/>
                <w:szCs w:val="20"/>
              </w:rPr>
              <w:t>Ramales de los enlaces</w:t>
            </w:r>
          </w:p>
        </w:tc>
        <w:tc>
          <w:tcPr>
            <w:tcW w:w="1016" w:type="pct"/>
            <w:tcBorders>
              <w:top w:val="nil"/>
              <w:left w:val="nil"/>
              <w:bottom w:val="nil"/>
              <w:right w:val="single" w:sz="4" w:space="0" w:color="auto"/>
            </w:tcBorders>
          </w:tcPr>
          <w:p w14:paraId="778C2D62" w14:textId="77777777" w:rsidR="00A943DD" w:rsidRPr="004062C1" w:rsidRDefault="00A943DD" w:rsidP="001B1CBC">
            <w:pPr>
              <w:jc w:val="center"/>
              <w:rPr>
                <w:rFonts w:ascii="Arial" w:hAnsi="Arial" w:cs="Arial"/>
                <w:color w:val="000000"/>
                <w:sz w:val="20"/>
                <w:szCs w:val="20"/>
              </w:rPr>
            </w:pPr>
            <w:r w:rsidRPr="004062C1">
              <w:rPr>
                <w:rFonts w:ascii="Arial" w:hAnsi="Arial" w:cs="Arial"/>
                <w:color w:val="000000"/>
                <w:sz w:val="20"/>
                <w:szCs w:val="20"/>
              </w:rPr>
              <w:t>Base</w:t>
            </w:r>
          </w:p>
        </w:tc>
        <w:tc>
          <w:tcPr>
            <w:tcW w:w="1919" w:type="pct"/>
            <w:tcBorders>
              <w:top w:val="nil"/>
              <w:left w:val="nil"/>
              <w:bottom w:val="nil"/>
              <w:right w:val="single" w:sz="4" w:space="0" w:color="auto"/>
            </w:tcBorders>
          </w:tcPr>
          <w:p w14:paraId="57B60941" w14:textId="77777777" w:rsidR="00A943DD" w:rsidRPr="00504DAB" w:rsidRDefault="00A943DD" w:rsidP="00A943DD">
            <w:pPr>
              <w:jc w:val="center"/>
              <w:rPr>
                <w:rFonts w:ascii="Arial" w:hAnsi="Arial" w:cs="Arial"/>
                <w:sz w:val="20"/>
                <w:szCs w:val="20"/>
              </w:rPr>
            </w:pPr>
            <w:r w:rsidRPr="00504DAB">
              <w:rPr>
                <w:rFonts w:ascii="Arial" w:hAnsi="Arial" w:cs="Arial"/>
                <w:sz w:val="20"/>
                <w:szCs w:val="20"/>
              </w:rPr>
              <w:t>AC 32 Base G (B 35/50)</w:t>
            </w:r>
          </w:p>
        </w:tc>
      </w:tr>
      <w:tr w:rsidR="00A943DD" w:rsidRPr="009B23E5" w14:paraId="4263CC86" w14:textId="77777777" w:rsidTr="005D70D4">
        <w:trPr>
          <w:trHeight w:val="300"/>
        </w:trPr>
        <w:tc>
          <w:tcPr>
            <w:tcW w:w="2065" w:type="pct"/>
            <w:tcBorders>
              <w:top w:val="nil"/>
              <w:left w:val="single" w:sz="4" w:space="0" w:color="auto"/>
              <w:bottom w:val="nil"/>
              <w:right w:val="single" w:sz="4" w:space="0" w:color="auto"/>
            </w:tcBorders>
          </w:tcPr>
          <w:p w14:paraId="459CE7D5" w14:textId="77777777" w:rsidR="00A943DD" w:rsidRPr="004062C1" w:rsidRDefault="00A943DD" w:rsidP="001B1CBC">
            <w:pPr>
              <w:jc w:val="center"/>
              <w:rPr>
                <w:rFonts w:ascii="Arial" w:hAnsi="Arial" w:cs="Arial"/>
                <w:color w:val="000000"/>
                <w:sz w:val="20"/>
                <w:szCs w:val="20"/>
              </w:rPr>
            </w:pPr>
            <w:r w:rsidRPr="004062C1">
              <w:rPr>
                <w:rFonts w:ascii="Arial" w:hAnsi="Arial" w:cs="Arial"/>
                <w:color w:val="000000"/>
                <w:sz w:val="20"/>
                <w:szCs w:val="20"/>
              </w:rPr>
              <w:t>Arcén de los ramales</w:t>
            </w:r>
          </w:p>
        </w:tc>
        <w:tc>
          <w:tcPr>
            <w:tcW w:w="1016" w:type="pct"/>
            <w:tcBorders>
              <w:top w:val="nil"/>
              <w:left w:val="nil"/>
              <w:bottom w:val="nil"/>
              <w:right w:val="single" w:sz="4" w:space="0" w:color="auto"/>
            </w:tcBorders>
          </w:tcPr>
          <w:p w14:paraId="2F76A2BB" w14:textId="77777777" w:rsidR="00A943DD" w:rsidRPr="004062C1" w:rsidRDefault="00A943DD" w:rsidP="001B1CBC">
            <w:pPr>
              <w:jc w:val="center"/>
              <w:rPr>
                <w:rFonts w:ascii="Arial" w:hAnsi="Arial" w:cs="Arial"/>
                <w:color w:val="000000"/>
                <w:sz w:val="20"/>
                <w:szCs w:val="20"/>
              </w:rPr>
            </w:pPr>
            <w:r w:rsidRPr="004062C1">
              <w:rPr>
                <w:rFonts w:ascii="Arial" w:hAnsi="Arial" w:cs="Arial"/>
                <w:color w:val="000000"/>
                <w:sz w:val="20"/>
                <w:szCs w:val="20"/>
              </w:rPr>
              <w:t>Intermedia</w:t>
            </w:r>
          </w:p>
        </w:tc>
        <w:tc>
          <w:tcPr>
            <w:tcW w:w="1919" w:type="pct"/>
            <w:tcBorders>
              <w:top w:val="nil"/>
              <w:left w:val="nil"/>
              <w:bottom w:val="nil"/>
              <w:right w:val="single" w:sz="4" w:space="0" w:color="auto"/>
            </w:tcBorders>
          </w:tcPr>
          <w:p w14:paraId="754DBD4B" w14:textId="77777777" w:rsidR="00A943DD" w:rsidRPr="00504DAB" w:rsidRDefault="00A943DD" w:rsidP="00A943DD">
            <w:pPr>
              <w:jc w:val="center"/>
              <w:rPr>
                <w:rFonts w:ascii="Arial" w:hAnsi="Arial" w:cs="Arial"/>
                <w:sz w:val="20"/>
                <w:szCs w:val="20"/>
              </w:rPr>
            </w:pPr>
            <w:r w:rsidRPr="00504DAB">
              <w:rPr>
                <w:rFonts w:ascii="Arial" w:hAnsi="Arial" w:cs="Arial"/>
                <w:sz w:val="20"/>
                <w:szCs w:val="20"/>
              </w:rPr>
              <w:t xml:space="preserve">AC22 </w:t>
            </w:r>
            <w:proofErr w:type="spellStart"/>
            <w:r w:rsidRPr="00504DAB">
              <w:rPr>
                <w:rFonts w:ascii="Arial" w:hAnsi="Arial" w:cs="Arial"/>
                <w:sz w:val="20"/>
                <w:szCs w:val="20"/>
              </w:rPr>
              <w:t>bin</w:t>
            </w:r>
            <w:proofErr w:type="spellEnd"/>
            <w:r w:rsidRPr="00504DAB">
              <w:rPr>
                <w:rFonts w:ascii="Arial" w:hAnsi="Arial" w:cs="Arial"/>
                <w:sz w:val="20"/>
                <w:szCs w:val="20"/>
              </w:rPr>
              <w:t xml:space="preserve"> S (B 35/50)</w:t>
            </w:r>
          </w:p>
        </w:tc>
      </w:tr>
      <w:tr w:rsidR="00A943DD" w:rsidRPr="009B23E5" w14:paraId="6364F21D" w14:textId="77777777" w:rsidTr="005D70D4">
        <w:trPr>
          <w:trHeight w:val="300"/>
        </w:trPr>
        <w:tc>
          <w:tcPr>
            <w:tcW w:w="2065" w:type="pct"/>
            <w:tcBorders>
              <w:top w:val="nil"/>
              <w:left w:val="single" w:sz="4" w:space="0" w:color="auto"/>
              <w:bottom w:val="nil"/>
              <w:right w:val="single" w:sz="4" w:space="0" w:color="auto"/>
            </w:tcBorders>
          </w:tcPr>
          <w:p w14:paraId="09AA0846" w14:textId="77777777" w:rsidR="00A943DD" w:rsidRPr="004062C1" w:rsidRDefault="00A943DD" w:rsidP="001B1CBC">
            <w:pPr>
              <w:jc w:val="center"/>
              <w:rPr>
                <w:rFonts w:ascii="Arial" w:hAnsi="Arial" w:cs="Arial"/>
                <w:color w:val="000000"/>
                <w:sz w:val="20"/>
                <w:szCs w:val="20"/>
              </w:rPr>
            </w:pPr>
            <w:r w:rsidRPr="004062C1">
              <w:rPr>
                <w:rFonts w:ascii="Arial" w:hAnsi="Arial" w:cs="Arial"/>
                <w:color w:val="000000"/>
                <w:sz w:val="20"/>
                <w:szCs w:val="20"/>
              </w:rPr>
              <w:t>Vías colectoras y laterales</w:t>
            </w:r>
          </w:p>
        </w:tc>
        <w:tc>
          <w:tcPr>
            <w:tcW w:w="1016" w:type="pct"/>
            <w:tcBorders>
              <w:top w:val="nil"/>
              <w:left w:val="nil"/>
              <w:bottom w:val="nil"/>
              <w:right w:val="single" w:sz="4" w:space="0" w:color="auto"/>
            </w:tcBorders>
          </w:tcPr>
          <w:p w14:paraId="5B0C25DE" w14:textId="77777777" w:rsidR="00A943DD" w:rsidRPr="004062C1" w:rsidRDefault="00A943DD" w:rsidP="001B1CBC">
            <w:pPr>
              <w:jc w:val="center"/>
              <w:rPr>
                <w:rFonts w:ascii="Arial" w:hAnsi="Arial" w:cs="Arial"/>
                <w:color w:val="000000"/>
                <w:sz w:val="20"/>
                <w:szCs w:val="20"/>
              </w:rPr>
            </w:pPr>
            <w:r w:rsidRPr="004062C1">
              <w:rPr>
                <w:rFonts w:ascii="Arial" w:hAnsi="Arial" w:cs="Arial"/>
                <w:color w:val="000000"/>
                <w:sz w:val="20"/>
                <w:szCs w:val="20"/>
              </w:rPr>
              <w:t>Intermedia</w:t>
            </w:r>
          </w:p>
        </w:tc>
        <w:tc>
          <w:tcPr>
            <w:tcW w:w="1919" w:type="pct"/>
            <w:tcBorders>
              <w:top w:val="nil"/>
              <w:left w:val="nil"/>
              <w:bottom w:val="nil"/>
              <w:right w:val="single" w:sz="4" w:space="0" w:color="auto"/>
            </w:tcBorders>
          </w:tcPr>
          <w:p w14:paraId="7C159794" w14:textId="77777777" w:rsidR="00A943DD" w:rsidRPr="00504DAB" w:rsidRDefault="00A943DD" w:rsidP="00A943DD">
            <w:pPr>
              <w:jc w:val="center"/>
              <w:rPr>
                <w:rFonts w:ascii="Arial" w:hAnsi="Arial" w:cs="Arial"/>
                <w:color w:val="000000"/>
                <w:sz w:val="20"/>
                <w:szCs w:val="20"/>
              </w:rPr>
            </w:pPr>
            <w:r w:rsidRPr="00504DAB">
              <w:rPr>
                <w:rFonts w:ascii="Arial" w:hAnsi="Arial" w:cs="Arial"/>
                <w:sz w:val="20"/>
                <w:szCs w:val="20"/>
              </w:rPr>
              <w:t xml:space="preserve">AC22 </w:t>
            </w:r>
            <w:proofErr w:type="spellStart"/>
            <w:r w:rsidRPr="00504DAB">
              <w:rPr>
                <w:rFonts w:ascii="Arial" w:hAnsi="Arial" w:cs="Arial"/>
                <w:sz w:val="20"/>
                <w:szCs w:val="20"/>
              </w:rPr>
              <w:t>bin</w:t>
            </w:r>
            <w:proofErr w:type="spellEnd"/>
            <w:r w:rsidRPr="00504DAB">
              <w:rPr>
                <w:rFonts w:ascii="Arial" w:hAnsi="Arial" w:cs="Arial"/>
                <w:sz w:val="20"/>
                <w:szCs w:val="20"/>
              </w:rPr>
              <w:t xml:space="preserve"> S (B 35/50)</w:t>
            </w:r>
          </w:p>
        </w:tc>
      </w:tr>
      <w:tr w:rsidR="00A943DD" w:rsidRPr="009B23E5" w14:paraId="68647207" w14:textId="77777777" w:rsidTr="005D70D4">
        <w:trPr>
          <w:trHeight w:val="300"/>
        </w:trPr>
        <w:tc>
          <w:tcPr>
            <w:tcW w:w="2065" w:type="pct"/>
            <w:tcBorders>
              <w:top w:val="nil"/>
              <w:left w:val="single" w:sz="4" w:space="0" w:color="auto"/>
              <w:bottom w:val="nil"/>
              <w:right w:val="single" w:sz="4" w:space="0" w:color="auto"/>
            </w:tcBorders>
          </w:tcPr>
          <w:p w14:paraId="32A92B5C" w14:textId="77777777" w:rsidR="00A943DD" w:rsidRPr="004062C1" w:rsidRDefault="00A943DD" w:rsidP="001B1CBC">
            <w:pPr>
              <w:jc w:val="center"/>
              <w:rPr>
                <w:rFonts w:ascii="Arial" w:hAnsi="Arial" w:cs="Arial"/>
                <w:color w:val="000000"/>
                <w:sz w:val="20"/>
                <w:szCs w:val="20"/>
              </w:rPr>
            </w:pPr>
            <w:r w:rsidRPr="004062C1">
              <w:rPr>
                <w:rFonts w:ascii="Arial" w:hAnsi="Arial" w:cs="Arial"/>
                <w:color w:val="000000"/>
                <w:sz w:val="20"/>
                <w:szCs w:val="20"/>
              </w:rPr>
              <w:t>Vías colectoras y laterales</w:t>
            </w:r>
          </w:p>
        </w:tc>
        <w:tc>
          <w:tcPr>
            <w:tcW w:w="1016" w:type="pct"/>
            <w:tcBorders>
              <w:top w:val="nil"/>
              <w:left w:val="nil"/>
              <w:bottom w:val="nil"/>
              <w:right w:val="single" w:sz="4" w:space="0" w:color="auto"/>
            </w:tcBorders>
          </w:tcPr>
          <w:p w14:paraId="1EF146AF" w14:textId="77777777" w:rsidR="00A943DD" w:rsidRPr="004062C1" w:rsidRDefault="00A943DD" w:rsidP="001B1CBC">
            <w:pPr>
              <w:jc w:val="center"/>
              <w:rPr>
                <w:rFonts w:ascii="Arial" w:hAnsi="Arial" w:cs="Arial"/>
                <w:color w:val="000000"/>
                <w:sz w:val="20"/>
                <w:szCs w:val="20"/>
              </w:rPr>
            </w:pPr>
            <w:r w:rsidRPr="004062C1">
              <w:rPr>
                <w:rFonts w:ascii="Arial" w:hAnsi="Arial" w:cs="Arial"/>
                <w:color w:val="000000"/>
                <w:sz w:val="20"/>
                <w:szCs w:val="20"/>
              </w:rPr>
              <w:t>Base</w:t>
            </w:r>
          </w:p>
        </w:tc>
        <w:tc>
          <w:tcPr>
            <w:tcW w:w="1919" w:type="pct"/>
            <w:tcBorders>
              <w:top w:val="nil"/>
              <w:left w:val="nil"/>
              <w:bottom w:val="nil"/>
              <w:right w:val="single" w:sz="4" w:space="0" w:color="auto"/>
            </w:tcBorders>
          </w:tcPr>
          <w:p w14:paraId="29316E62" w14:textId="77777777" w:rsidR="00A943DD" w:rsidRPr="00504DAB" w:rsidRDefault="00A943DD" w:rsidP="00A943DD">
            <w:pPr>
              <w:jc w:val="center"/>
              <w:rPr>
                <w:rFonts w:ascii="Arial" w:hAnsi="Arial" w:cs="Arial"/>
                <w:sz w:val="20"/>
                <w:szCs w:val="20"/>
              </w:rPr>
            </w:pPr>
            <w:r w:rsidRPr="00504DAB">
              <w:rPr>
                <w:rFonts w:ascii="Arial" w:hAnsi="Arial" w:cs="Arial"/>
                <w:sz w:val="20"/>
                <w:szCs w:val="20"/>
              </w:rPr>
              <w:t>AC32 Base G (B 35/50)</w:t>
            </w:r>
          </w:p>
        </w:tc>
      </w:tr>
      <w:tr w:rsidR="00A943DD" w:rsidRPr="009B23E5" w14:paraId="65D5F9A4" w14:textId="77777777" w:rsidTr="005D70D4">
        <w:trPr>
          <w:trHeight w:val="300"/>
        </w:trPr>
        <w:tc>
          <w:tcPr>
            <w:tcW w:w="2065" w:type="pct"/>
            <w:tcBorders>
              <w:top w:val="nil"/>
              <w:left w:val="single" w:sz="4" w:space="0" w:color="auto"/>
              <w:bottom w:val="nil"/>
              <w:right w:val="single" w:sz="4" w:space="0" w:color="auto"/>
            </w:tcBorders>
          </w:tcPr>
          <w:p w14:paraId="70775ADF" w14:textId="77777777" w:rsidR="00A943DD" w:rsidRPr="004062C1" w:rsidRDefault="00A943DD" w:rsidP="001B1CBC">
            <w:pPr>
              <w:jc w:val="center"/>
              <w:rPr>
                <w:rFonts w:ascii="Arial" w:hAnsi="Arial" w:cs="Arial"/>
                <w:color w:val="000000"/>
                <w:sz w:val="20"/>
                <w:szCs w:val="20"/>
              </w:rPr>
            </w:pPr>
            <w:r w:rsidRPr="004062C1">
              <w:rPr>
                <w:rFonts w:ascii="Arial" w:hAnsi="Arial" w:cs="Arial"/>
                <w:color w:val="000000"/>
                <w:sz w:val="20"/>
                <w:szCs w:val="20"/>
              </w:rPr>
              <w:t>Calzada ampliada</w:t>
            </w:r>
          </w:p>
        </w:tc>
        <w:tc>
          <w:tcPr>
            <w:tcW w:w="1016" w:type="pct"/>
            <w:tcBorders>
              <w:top w:val="nil"/>
              <w:left w:val="nil"/>
              <w:bottom w:val="nil"/>
              <w:right w:val="single" w:sz="4" w:space="0" w:color="auto"/>
            </w:tcBorders>
          </w:tcPr>
          <w:p w14:paraId="2DE5FF2B" w14:textId="77777777" w:rsidR="00A943DD" w:rsidRPr="004062C1" w:rsidRDefault="00A943DD" w:rsidP="001B1CBC">
            <w:pPr>
              <w:jc w:val="center"/>
              <w:rPr>
                <w:rFonts w:ascii="Arial" w:hAnsi="Arial" w:cs="Arial"/>
                <w:color w:val="000000"/>
                <w:sz w:val="20"/>
                <w:szCs w:val="20"/>
              </w:rPr>
            </w:pPr>
            <w:r w:rsidRPr="004062C1">
              <w:rPr>
                <w:rFonts w:ascii="Arial" w:hAnsi="Arial" w:cs="Arial"/>
                <w:color w:val="000000"/>
                <w:sz w:val="20"/>
                <w:szCs w:val="20"/>
              </w:rPr>
              <w:t>Intermedia</w:t>
            </w:r>
          </w:p>
        </w:tc>
        <w:tc>
          <w:tcPr>
            <w:tcW w:w="1919" w:type="pct"/>
            <w:tcBorders>
              <w:top w:val="nil"/>
              <w:left w:val="nil"/>
              <w:bottom w:val="nil"/>
              <w:right w:val="single" w:sz="4" w:space="0" w:color="auto"/>
            </w:tcBorders>
          </w:tcPr>
          <w:p w14:paraId="6B7AECA9" w14:textId="77777777" w:rsidR="00A943DD" w:rsidRPr="00504DAB" w:rsidRDefault="00A943DD" w:rsidP="00316D62">
            <w:pPr>
              <w:jc w:val="center"/>
              <w:rPr>
                <w:rFonts w:ascii="Arial" w:hAnsi="Arial" w:cs="Arial"/>
                <w:sz w:val="20"/>
                <w:szCs w:val="20"/>
              </w:rPr>
            </w:pPr>
            <w:r w:rsidRPr="00504DAB">
              <w:rPr>
                <w:rFonts w:ascii="Arial" w:hAnsi="Arial" w:cs="Arial"/>
                <w:color w:val="000000"/>
                <w:sz w:val="20"/>
                <w:szCs w:val="20"/>
              </w:rPr>
              <w:t xml:space="preserve">AC </w:t>
            </w:r>
            <w:r w:rsidR="00316D62" w:rsidRPr="00504DAB">
              <w:rPr>
                <w:rFonts w:ascii="Arial" w:hAnsi="Arial" w:cs="Arial"/>
                <w:color w:val="000000"/>
                <w:sz w:val="20"/>
                <w:szCs w:val="20"/>
              </w:rPr>
              <w:t>surf 16 D</w:t>
            </w:r>
            <w:r w:rsidRPr="00504DAB">
              <w:rPr>
                <w:rFonts w:ascii="Arial" w:hAnsi="Arial" w:cs="Arial"/>
                <w:color w:val="000000"/>
                <w:sz w:val="20"/>
                <w:szCs w:val="20"/>
              </w:rPr>
              <w:t xml:space="preserve"> (B 35/50)</w:t>
            </w:r>
          </w:p>
        </w:tc>
      </w:tr>
      <w:tr w:rsidR="00A943DD" w:rsidRPr="009B23E5" w14:paraId="6C7FBAE5" w14:textId="77777777" w:rsidTr="005D70D4">
        <w:trPr>
          <w:trHeight w:val="300"/>
        </w:trPr>
        <w:tc>
          <w:tcPr>
            <w:tcW w:w="2065" w:type="pct"/>
            <w:tcBorders>
              <w:top w:val="nil"/>
              <w:left w:val="single" w:sz="4" w:space="0" w:color="auto"/>
              <w:bottom w:val="nil"/>
              <w:right w:val="single" w:sz="4" w:space="0" w:color="auto"/>
            </w:tcBorders>
          </w:tcPr>
          <w:p w14:paraId="5CD6F84B" w14:textId="77777777" w:rsidR="00A943DD" w:rsidRPr="004062C1" w:rsidRDefault="00A943DD" w:rsidP="001B1CBC">
            <w:pPr>
              <w:jc w:val="center"/>
              <w:rPr>
                <w:rFonts w:ascii="Arial" w:hAnsi="Arial" w:cs="Arial"/>
                <w:color w:val="000000"/>
                <w:sz w:val="20"/>
                <w:szCs w:val="20"/>
              </w:rPr>
            </w:pPr>
            <w:r w:rsidRPr="004062C1">
              <w:rPr>
                <w:rFonts w:ascii="Arial" w:hAnsi="Arial" w:cs="Arial"/>
                <w:color w:val="000000"/>
                <w:sz w:val="20"/>
                <w:szCs w:val="20"/>
              </w:rPr>
              <w:t>Calzada ampliada</w:t>
            </w:r>
          </w:p>
        </w:tc>
        <w:tc>
          <w:tcPr>
            <w:tcW w:w="1016" w:type="pct"/>
            <w:tcBorders>
              <w:top w:val="nil"/>
              <w:left w:val="nil"/>
              <w:bottom w:val="nil"/>
              <w:right w:val="single" w:sz="4" w:space="0" w:color="auto"/>
            </w:tcBorders>
          </w:tcPr>
          <w:p w14:paraId="3E004EC8" w14:textId="77777777" w:rsidR="00A943DD" w:rsidRPr="004062C1" w:rsidRDefault="00A943DD" w:rsidP="001B1CBC">
            <w:pPr>
              <w:jc w:val="center"/>
              <w:rPr>
                <w:rFonts w:ascii="Arial" w:hAnsi="Arial" w:cs="Arial"/>
                <w:color w:val="000000"/>
                <w:sz w:val="20"/>
                <w:szCs w:val="20"/>
              </w:rPr>
            </w:pPr>
            <w:r w:rsidRPr="004062C1">
              <w:rPr>
                <w:rFonts w:ascii="Arial" w:hAnsi="Arial" w:cs="Arial"/>
                <w:color w:val="000000"/>
                <w:sz w:val="20"/>
                <w:szCs w:val="20"/>
              </w:rPr>
              <w:t xml:space="preserve">Base </w:t>
            </w:r>
          </w:p>
        </w:tc>
        <w:tc>
          <w:tcPr>
            <w:tcW w:w="1919" w:type="pct"/>
            <w:tcBorders>
              <w:top w:val="nil"/>
              <w:left w:val="nil"/>
              <w:bottom w:val="nil"/>
              <w:right w:val="single" w:sz="4" w:space="0" w:color="auto"/>
            </w:tcBorders>
          </w:tcPr>
          <w:p w14:paraId="2CDB19F6" w14:textId="77777777" w:rsidR="00A943DD" w:rsidRPr="004062C1" w:rsidRDefault="00A943DD" w:rsidP="00A943DD">
            <w:pPr>
              <w:jc w:val="center"/>
              <w:rPr>
                <w:rFonts w:ascii="Arial" w:hAnsi="Arial" w:cs="Arial"/>
                <w:color w:val="000000"/>
                <w:sz w:val="20"/>
                <w:szCs w:val="20"/>
              </w:rPr>
            </w:pPr>
            <w:r w:rsidRPr="004062C1">
              <w:rPr>
                <w:rFonts w:ascii="Arial" w:hAnsi="Arial" w:cs="Arial"/>
                <w:sz w:val="20"/>
                <w:szCs w:val="20"/>
              </w:rPr>
              <w:t>AC32 Base G (B 35/</w:t>
            </w:r>
            <w:proofErr w:type="gramStart"/>
            <w:r w:rsidRPr="004062C1">
              <w:rPr>
                <w:rFonts w:ascii="Arial" w:hAnsi="Arial" w:cs="Arial"/>
                <w:sz w:val="20"/>
                <w:szCs w:val="20"/>
              </w:rPr>
              <w:t>50 )</w:t>
            </w:r>
            <w:proofErr w:type="gramEnd"/>
          </w:p>
        </w:tc>
      </w:tr>
      <w:tr w:rsidR="00A943DD" w:rsidRPr="009B23E5" w14:paraId="2C1A4C7E" w14:textId="77777777" w:rsidTr="005D70D4">
        <w:trPr>
          <w:trHeight w:val="300"/>
        </w:trPr>
        <w:tc>
          <w:tcPr>
            <w:tcW w:w="2065" w:type="pct"/>
            <w:tcBorders>
              <w:top w:val="nil"/>
              <w:left w:val="single" w:sz="4" w:space="0" w:color="auto"/>
              <w:bottom w:val="nil"/>
              <w:right w:val="single" w:sz="4" w:space="0" w:color="auto"/>
            </w:tcBorders>
          </w:tcPr>
          <w:p w14:paraId="7B31DCCC" w14:textId="77777777" w:rsidR="00A943DD" w:rsidRPr="004062C1" w:rsidRDefault="00A943DD" w:rsidP="001B1CBC">
            <w:pPr>
              <w:jc w:val="center"/>
              <w:rPr>
                <w:rFonts w:ascii="Arial" w:hAnsi="Arial" w:cs="Arial"/>
                <w:color w:val="000000"/>
                <w:sz w:val="20"/>
                <w:szCs w:val="20"/>
              </w:rPr>
            </w:pPr>
            <w:r w:rsidRPr="004062C1">
              <w:rPr>
                <w:rFonts w:ascii="Arial" w:hAnsi="Arial" w:cs="Arial"/>
                <w:color w:val="000000"/>
                <w:sz w:val="20"/>
                <w:szCs w:val="20"/>
              </w:rPr>
              <w:t>Arcenes de calzada ampliada</w:t>
            </w:r>
          </w:p>
        </w:tc>
        <w:tc>
          <w:tcPr>
            <w:tcW w:w="1016" w:type="pct"/>
            <w:tcBorders>
              <w:top w:val="nil"/>
              <w:left w:val="nil"/>
              <w:bottom w:val="nil"/>
              <w:right w:val="single" w:sz="4" w:space="0" w:color="auto"/>
            </w:tcBorders>
          </w:tcPr>
          <w:p w14:paraId="42F076D2" w14:textId="77777777" w:rsidR="00A943DD" w:rsidRPr="004062C1" w:rsidRDefault="00A943DD" w:rsidP="001B1CBC">
            <w:pPr>
              <w:jc w:val="center"/>
              <w:rPr>
                <w:rFonts w:ascii="Arial" w:hAnsi="Arial" w:cs="Arial"/>
                <w:color w:val="000000"/>
                <w:sz w:val="20"/>
                <w:szCs w:val="20"/>
              </w:rPr>
            </w:pPr>
            <w:r w:rsidRPr="004062C1">
              <w:rPr>
                <w:rFonts w:ascii="Arial" w:hAnsi="Arial" w:cs="Arial"/>
                <w:color w:val="000000"/>
                <w:sz w:val="20"/>
                <w:szCs w:val="20"/>
              </w:rPr>
              <w:t>Intermedia</w:t>
            </w:r>
          </w:p>
        </w:tc>
        <w:tc>
          <w:tcPr>
            <w:tcW w:w="1919" w:type="pct"/>
            <w:tcBorders>
              <w:top w:val="nil"/>
              <w:left w:val="nil"/>
              <w:bottom w:val="nil"/>
              <w:right w:val="single" w:sz="4" w:space="0" w:color="auto"/>
            </w:tcBorders>
          </w:tcPr>
          <w:p w14:paraId="1E0B21BF" w14:textId="77777777" w:rsidR="00A943DD" w:rsidRPr="004062C1" w:rsidRDefault="00A943DD" w:rsidP="00A943DD">
            <w:pPr>
              <w:jc w:val="center"/>
              <w:rPr>
                <w:rFonts w:ascii="Arial" w:hAnsi="Arial" w:cs="Arial"/>
                <w:sz w:val="20"/>
                <w:szCs w:val="20"/>
              </w:rPr>
            </w:pPr>
            <w:r w:rsidRPr="004062C1">
              <w:rPr>
                <w:rFonts w:ascii="Arial" w:hAnsi="Arial" w:cs="Arial"/>
                <w:sz w:val="20"/>
                <w:szCs w:val="20"/>
              </w:rPr>
              <w:t xml:space="preserve">AC22 </w:t>
            </w:r>
            <w:proofErr w:type="spellStart"/>
            <w:r w:rsidRPr="004062C1">
              <w:rPr>
                <w:rFonts w:ascii="Arial" w:hAnsi="Arial" w:cs="Arial"/>
                <w:sz w:val="20"/>
                <w:szCs w:val="20"/>
              </w:rPr>
              <w:t>bin</w:t>
            </w:r>
            <w:proofErr w:type="spellEnd"/>
            <w:r w:rsidRPr="004062C1">
              <w:rPr>
                <w:rFonts w:ascii="Arial" w:hAnsi="Arial" w:cs="Arial"/>
                <w:sz w:val="20"/>
                <w:szCs w:val="20"/>
              </w:rPr>
              <w:t xml:space="preserve"> S (B 35/50)</w:t>
            </w:r>
          </w:p>
        </w:tc>
      </w:tr>
      <w:tr w:rsidR="00A943DD" w:rsidRPr="009B23E5" w14:paraId="2FCB9185" w14:textId="77777777" w:rsidTr="005D70D4">
        <w:trPr>
          <w:trHeight w:val="300"/>
        </w:trPr>
        <w:tc>
          <w:tcPr>
            <w:tcW w:w="2065" w:type="pct"/>
            <w:tcBorders>
              <w:top w:val="nil"/>
              <w:left w:val="single" w:sz="4" w:space="0" w:color="auto"/>
              <w:bottom w:val="nil"/>
              <w:right w:val="single" w:sz="4" w:space="0" w:color="auto"/>
            </w:tcBorders>
          </w:tcPr>
          <w:p w14:paraId="07F548C8" w14:textId="77777777" w:rsidR="00A943DD" w:rsidRPr="004062C1" w:rsidRDefault="00A943DD" w:rsidP="001B1CBC">
            <w:pPr>
              <w:jc w:val="center"/>
              <w:rPr>
                <w:rFonts w:ascii="Arial" w:hAnsi="Arial" w:cs="Arial"/>
                <w:color w:val="000000"/>
                <w:sz w:val="20"/>
                <w:szCs w:val="20"/>
              </w:rPr>
            </w:pPr>
            <w:r w:rsidRPr="004062C1">
              <w:rPr>
                <w:rFonts w:ascii="Arial" w:hAnsi="Arial" w:cs="Arial"/>
                <w:color w:val="000000"/>
                <w:sz w:val="20"/>
                <w:szCs w:val="20"/>
              </w:rPr>
              <w:t>Carretera SI-2</w:t>
            </w:r>
          </w:p>
        </w:tc>
        <w:tc>
          <w:tcPr>
            <w:tcW w:w="1016" w:type="pct"/>
            <w:tcBorders>
              <w:top w:val="nil"/>
              <w:left w:val="nil"/>
              <w:bottom w:val="nil"/>
              <w:right w:val="single" w:sz="4" w:space="0" w:color="auto"/>
            </w:tcBorders>
          </w:tcPr>
          <w:p w14:paraId="67F5CD50" w14:textId="77777777" w:rsidR="00A943DD" w:rsidRPr="004062C1" w:rsidRDefault="00A943DD" w:rsidP="001B1CBC">
            <w:pPr>
              <w:jc w:val="center"/>
              <w:rPr>
                <w:rFonts w:ascii="Arial" w:hAnsi="Arial" w:cs="Arial"/>
                <w:color w:val="000000"/>
                <w:sz w:val="20"/>
                <w:szCs w:val="20"/>
              </w:rPr>
            </w:pPr>
            <w:r w:rsidRPr="004062C1">
              <w:rPr>
                <w:rFonts w:ascii="Arial" w:hAnsi="Arial" w:cs="Arial"/>
                <w:color w:val="000000"/>
                <w:sz w:val="20"/>
                <w:szCs w:val="20"/>
              </w:rPr>
              <w:t>Rodadura</w:t>
            </w:r>
          </w:p>
        </w:tc>
        <w:tc>
          <w:tcPr>
            <w:tcW w:w="1919" w:type="pct"/>
            <w:tcBorders>
              <w:top w:val="nil"/>
              <w:left w:val="nil"/>
              <w:bottom w:val="nil"/>
              <w:right w:val="single" w:sz="4" w:space="0" w:color="auto"/>
            </w:tcBorders>
          </w:tcPr>
          <w:p w14:paraId="5BD259CA" w14:textId="77777777" w:rsidR="00A943DD" w:rsidRPr="004062C1" w:rsidRDefault="00A943DD" w:rsidP="005D70D4">
            <w:pPr>
              <w:jc w:val="center"/>
              <w:rPr>
                <w:rFonts w:ascii="Arial" w:hAnsi="Arial" w:cs="Arial"/>
                <w:sz w:val="20"/>
                <w:szCs w:val="20"/>
              </w:rPr>
            </w:pPr>
            <w:r w:rsidRPr="004062C1">
              <w:rPr>
                <w:rFonts w:ascii="Arial" w:hAnsi="Arial" w:cs="Arial"/>
                <w:sz w:val="20"/>
                <w:szCs w:val="20"/>
              </w:rPr>
              <w:t>AC16 surf D (PMB 45/80-65)</w:t>
            </w:r>
          </w:p>
        </w:tc>
      </w:tr>
      <w:tr w:rsidR="00A943DD" w:rsidRPr="009B23E5" w14:paraId="1C7A1183" w14:textId="77777777" w:rsidTr="005D70D4">
        <w:trPr>
          <w:trHeight w:val="300"/>
        </w:trPr>
        <w:tc>
          <w:tcPr>
            <w:tcW w:w="2065" w:type="pct"/>
            <w:tcBorders>
              <w:top w:val="nil"/>
              <w:left w:val="single" w:sz="4" w:space="0" w:color="auto"/>
              <w:bottom w:val="nil"/>
              <w:right w:val="single" w:sz="4" w:space="0" w:color="auto"/>
            </w:tcBorders>
          </w:tcPr>
          <w:p w14:paraId="2F9A6DD0" w14:textId="77777777" w:rsidR="00A943DD" w:rsidRPr="004062C1" w:rsidRDefault="00A943DD" w:rsidP="008C69F8">
            <w:pPr>
              <w:jc w:val="center"/>
              <w:rPr>
                <w:rFonts w:ascii="Arial" w:hAnsi="Arial" w:cs="Arial"/>
                <w:color w:val="000000"/>
                <w:sz w:val="20"/>
                <w:szCs w:val="20"/>
              </w:rPr>
            </w:pPr>
            <w:r w:rsidRPr="004062C1">
              <w:rPr>
                <w:rFonts w:ascii="Arial" w:hAnsi="Arial" w:cs="Arial"/>
                <w:color w:val="000000"/>
                <w:sz w:val="20"/>
                <w:szCs w:val="20"/>
              </w:rPr>
              <w:t>Carretera SI-2</w:t>
            </w:r>
          </w:p>
        </w:tc>
        <w:tc>
          <w:tcPr>
            <w:tcW w:w="1016" w:type="pct"/>
            <w:tcBorders>
              <w:top w:val="nil"/>
              <w:left w:val="nil"/>
              <w:bottom w:val="nil"/>
              <w:right w:val="single" w:sz="4" w:space="0" w:color="auto"/>
            </w:tcBorders>
          </w:tcPr>
          <w:p w14:paraId="52739DE0" w14:textId="77777777" w:rsidR="00A943DD" w:rsidRPr="004062C1" w:rsidRDefault="00A943DD" w:rsidP="008C69F8">
            <w:pPr>
              <w:jc w:val="center"/>
              <w:rPr>
                <w:rFonts w:ascii="Arial" w:hAnsi="Arial" w:cs="Arial"/>
                <w:color w:val="000000"/>
                <w:sz w:val="20"/>
                <w:szCs w:val="20"/>
              </w:rPr>
            </w:pPr>
            <w:r w:rsidRPr="004062C1">
              <w:rPr>
                <w:rFonts w:ascii="Arial" w:hAnsi="Arial" w:cs="Arial"/>
                <w:color w:val="000000"/>
                <w:sz w:val="20"/>
                <w:szCs w:val="20"/>
              </w:rPr>
              <w:t>Intermedia</w:t>
            </w:r>
          </w:p>
        </w:tc>
        <w:tc>
          <w:tcPr>
            <w:tcW w:w="1919" w:type="pct"/>
            <w:tcBorders>
              <w:top w:val="nil"/>
              <w:left w:val="nil"/>
              <w:bottom w:val="nil"/>
              <w:right w:val="single" w:sz="4" w:space="0" w:color="auto"/>
            </w:tcBorders>
          </w:tcPr>
          <w:p w14:paraId="387C87FF" w14:textId="77777777" w:rsidR="00A943DD" w:rsidRPr="004062C1" w:rsidRDefault="00A943DD" w:rsidP="00A943DD">
            <w:pPr>
              <w:jc w:val="center"/>
              <w:rPr>
                <w:rFonts w:ascii="Arial" w:hAnsi="Arial" w:cs="Arial"/>
                <w:sz w:val="20"/>
                <w:szCs w:val="20"/>
              </w:rPr>
            </w:pPr>
            <w:r w:rsidRPr="004062C1">
              <w:rPr>
                <w:rFonts w:ascii="Arial" w:hAnsi="Arial" w:cs="Arial"/>
                <w:sz w:val="20"/>
                <w:szCs w:val="20"/>
              </w:rPr>
              <w:t xml:space="preserve">AC22 </w:t>
            </w:r>
            <w:proofErr w:type="spellStart"/>
            <w:r w:rsidRPr="004062C1">
              <w:rPr>
                <w:rFonts w:ascii="Arial" w:hAnsi="Arial" w:cs="Arial"/>
                <w:sz w:val="20"/>
                <w:szCs w:val="20"/>
              </w:rPr>
              <w:t>bin</w:t>
            </w:r>
            <w:proofErr w:type="spellEnd"/>
            <w:r w:rsidRPr="004062C1">
              <w:rPr>
                <w:rFonts w:ascii="Arial" w:hAnsi="Arial" w:cs="Arial"/>
                <w:sz w:val="20"/>
                <w:szCs w:val="20"/>
              </w:rPr>
              <w:t xml:space="preserve"> S (B 35/50)</w:t>
            </w:r>
          </w:p>
        </w:tc>
      </w:tr>
      <w:tr w:rsidR="00A943DD" w:rsidRPr="009B23E5" w14:paraId="2BC2EF4D" w14:textId="77777777" w:rsidTr="005D70D4">
        <w:trPr>
          <w:trHeight w:val="300"/>
        </w:trPr>
        <w:tc>
          <w:tcPr>
            <w:tcW w:w="2065" w:type="pct"/>
            <w:tcBorders>
              <w:top w:val="nil"/>
              <w:left w:val="single" w:sz="4" w:space="0" w:color="auto"/>
              <w:bottom w:val="single" w:sz="4" w:space="0" w:color="auto"/>
              <w:right w:val="single" w:sz="4" w:space="0" w:color="auto"/>
            </w:tcBorders>
          </w:tcPr>
          <w:p w14:paraId="11FE9A32" w14:textId="77777777" w:rsidR="00A943DD" w:rsidRPr="004062C1" w:rsidRDefault="00A943DD" w:rsidP="008C69F8">
            <w:pPr>
              <w:jc w:val="center"/>
              <w:rPr>
                <w:rFonts w:ascii="Arial" w:hAnsi="Arial" w:cs="Arial"/>
                <w:color w:val="000000"/>
                <w:sz w:val="20"/>
                <w:szCs w:val="20"/>
              </w:rPr>
            </w:pPr>
            <w:r w:rsidRPr="004062C1">
              <w:rPr>
                <w:rFonts w:ascii="Arial" w:hAnsi="Arial" w:cs="Arial"/>
                <w:color w:val="000000"/>
                <w:sz w:val="20"/>
                <w:szCs w:val="20"/>
              </w:rPr>
              <w:t>Carretera SI-2</w:t>
            </w:r>
          </w:p>
        </w:tc>
        <w:tc>
          <w:tcPr>
            <w:tcW w:w="1016" w:type="pct"/>
            <w:tcBorders>
              <w:top w:val="nil"/>
              <w:left w:val="nil"/>
              <w:bottom w:val="single" w:sz="4" w:space="0" w:color="auto"/>
              <w:right w:val="single" w:sz="4" w:space="0" w:color="auto"/>
            </w:tcBorders>
          </w:tcPr>
          <w:p w14:paraId="6F6E2E34" w14:textId="77777777" w:rsidR="00A943DD" w:rsidRPr="004062C1" w:rsidRDefault="00A943DD" w:rsidP="005D70D4">
            <w:pPr>
              <w:jc w:val="center"/>
              <w:rPr>
                <w:rFonts w:ascii="Arial" w:hAnsi="Arial" w:cs="Arial"/>
                <w:color w:val="000000"/>
                <w:sz w:val="20"/>
                <w:szCs w:val="20"/>
              </w:rPr>
            </w:pPr>
            <w:r w:rsidRPr="004062C1">
              <w:rPr>
                <w:rFonts w:ascii="Arial" w:hAnsi="Arial" w:cs="Arial"/>
                <w:color w:val="000000"/>
                <w:sz w:val="20"/>
                <w:szCs w:val="20"/>
              </w:rPr>
              <w:t>Base</w:t>
            </w:r>
          </w:p>
        </w:tc>
        <w:tc>
          <w:tcPr>
            <w:tcW w:w="1919" w:type="pct"/>
            <w:tcBorders>
              <w:top w:val="nil"/>
              <w:left w:val="nil"/>
              <w:bottom w:val="single" w:sz="4" w:space="0" w:color="auto"/>
              <w:right w:val="single" w:sz="4" w:space="0" w:color="auto"/>
            </w:tcBorders>
          </w:tcPr>
          <w:p w14:paraId="70EF6A03" w14:textId="77777777" w:rsidR="00A943DD" w:rsidRPr="004062C1" w:rsidRDefault="00A943DD" w:rsidP="00A943DD">
            <w:pPr>
              <w:jc w:val="center"/>
              <w:rPr>
                <w:rFonts w:ascii="Arial" w:hAnsi="Arial" w:cs="Arial"/>
                <w:sz w:val="20"/>
                <w:szCs w:val="20"/>
              </w:rPr>
            </w:pPr>
            <w:r w:rsidRPr="004062C1">
              <w:rPr>
                <w:rFonts w:ascii="Arial" w:hAnsi="Arial" w:cs="Arial"/>
                <w:sz w:val="20"/>
                <w:szCs w:val="20"/>
              </w:rPr>
              <w:t>AC32 base G (B 35/50)</w:t>
            </w:r>
          </w:p>
        </w:tc>
      </w:tr>
    </w:tbl>
    <w:p w14:paraId="70631A56" w14:textId="77777777" w:rsidR="00B134D9" w:rsidRPr="007D6044" w:rsidRDefault="00B134D9" w:rsidP="007D6044">
      <w:pPr>
        <w:pStyle w:val="NORMAL12"/>
      </w:pPr>
      <w:r w:rsidRPr="007D6044">
        <w:t xml:space="preserve">Para la dosificación del </w:t>
      </w:r>
      <w:proofErr w:type="spellStart"/>
      <w:r w:rsidRPr="007D6044">
        <w:t>Iigante</w:t>
      </w:r>
      <w:proofErr w:type="spellEnd"/>
      <w:r w:rsidRPr="007D6044">
        <w:t xml:space="preserve"> hidrocarbonado se deberán tener en cuenta los materiales disponibles y la experiencia obtenida en casos análogos.</w:t>
      </w:r>
    </w:p>
    <w:p w14:paraId="24F64C61" w14:textId="77777777" w:rsidR="00B134D9" w:rsidRPr="007D6044" w:rsidRDefault="00B134D9" w:rsidP="007D6044">
      <w:pPr>
        <w:pStyle w:val="NORMAL12"/>
      </w:pPr>
      <w:r w:rsidRPr="007D6044">
        <w:t xml:space="preserve">La proporción mínima de </w:t>
      </w:r>
      <w:proofErr w:type="spellStart"/>
      <w:r w:rsidRPr="007D6044">
        <w:t>Iigante</w:t>
      </w:r>
      <w:proofErr w:type="spellEnd"/>
      <w:r w:rsidRPr="007D6044">
        <w:t xml:space="preserve"> hidrocarbonado, en % en masa sobre el total del árido seco incluido el polvo mineral, será del cuatro y medio (4,50%) en capas de rodadura (ver tabla 542.10 del PG-3)</w:t>
      </w:r>
    </w:p>
    <w:p w14:paraId="17DCF7E3" w14:textId="77777777" w:rsidR="00B134D9" w:rsidRDefault="00B134D9" w:rsidP="007D6044">
      <w:pPr>
        <w:pStyle w:val="NORMAL12"/>
      </w:pPr>
      <w:r w:rsidRPr="007D6044">
        <w:t xml:space="preserve">La fórmula de trabajo adoptada para cada tipo de mezcla deberá ser aprobada por el </w:t>
      </w:r>
      <w:proofErr w:type="gramStart"/>
      <w:r w:rsidRPr="007D6044">
        <w:t>Director</w:t>
      </w:r>
      <w:proofErr w:type="gramEnd"/>
      <w:r w:rsidRPr="007D6044">
        <w:t xml:space="preserve"> de las obras, requisito sin el cual no podrá iniciarse la ejecución de la mezcla.</w:t>
      </w:r>
    </w:p>
    <w:p w14:paraId="131E805B" w14:textId="77777777" w:rsidR="00810099" w:rsidRPr="005864C2" w:rsidRDefault="00810099" w:rsidP="000313DD">
      <w:pPr>
        <w:pStyle w:val="TITU2"/>
      </w:pPr>
      <w:bookmarkStart w:id="604" w:name="_Toc404343"/>
      <w:r w:rsidRPr="005864C2">
        <w:t>542.5. Ejecución</w:t>
      </w:r>
      <w:r w:rsidR="00C50108" w:rsidRPr="005864C2">
        <w:t xml:space="preserve"> de las obras</w:t>
      </w:r>
      <w:bookmarkEnd w:id="604"/>
    </w:p>
    <w:p w14:paraId="142EE214" w14:textId="77777777" w:rsidR="00B134D9" w:rsidRPr="009B23E5" w:rsidRDefault="00B134D9" w:rsidP="007D6044">
      <w:pPr>
        <w:pStyle w:val="NORMAL12"/>
      </w:pPr>
      <w:r w:rsidRPr="009B23E5">
        <w:t>Las distintas fases de la ejecución de las obras se realizarán según lo prescrito en los artículos vigentes del PG-3 siguientes:</w:t>
      </w:r>
    </w:p>
    <w:p w14:paraId="65A3C386" w14:textId="77777777" w:rsidR="00B134D9" w:rsidRPr="009B23E5" w:rsidRDefault="00B134D9" w:rsidP="00E01981">
      <w:pPr>
        <w:pStyle w:val="NORMAL12"/>
        <w:numPr>
          <w:ilvl w:val="0"/>
          <w:numId w:val="65"/>
        </w:numPr>
      </w:pPr>
      <w:r w:rsidRPr="009B23E5">
        <w:t>Estudio de la mezcla y obtención de la fórmula de trabajo según apartado 542.5.1.</w:t>
      </w:r>
    </w:p>
    <w:p w14:paraId="5690D69A" w14:textId="77777777" w:rsidR="00B134D9" w:rsidRPr="009B23E5" w:rsidRDefault="00B134D9" w:rsidP="00E01981">
      <w:pPr>
        <w:pStyle w:val="NORMAL12"/>
        <w:numPr>
          <w:ilvl w:val="0"/>
          <w:numId w:val="65"/>
        </w:numPr>
      </w:pPr>
      <w:r w:rsidRPr="009B23E5">
        <w:t>Preparación de la superficie existente según apartado 542.5.2</w:t>
      </w:r>
    </w:p>
    <w:p w14:paraId="0D85B381" w14:textId="77777777" w:rsidR="00B134D9" w:rsidRPr="009B23E5" w:rsidRDefault="00B134D9" w:rsidP="00E01981">
      <w:pPr>
        <w:pStyle w:val="NORMAL12"/>
        <w:numPr>
          <w:ilvl w:val="0"/>
          <w:numId w:val="65"/>
        </w:numPr>
      </w:pPr>
      <w:r w:rsidRPr="009B23E5">
        <w:lastRenderedPageBreak/>
        <w:t>Aprovisionamiento de áridos según apartado 542.5.3</w:t>
      </w:r>
    </w:p>
    <w:p w14:paraId="5D44225F" w14:textId="77777777" w:rsidR="00B134D9" w:rsidRPr="009B23E5" w:rsidRDefault="00B134D9" w:rsidP="00E01981">
      <w:pPr>
        <w:pStyle w:val="NORMAL12"/>
        <w:numPr>
          <w:ilvl w:val="0"/>
          <w:numId w:val="65"/>
        </w:numPr>
      </w:pPr>
      <w:r w:rsidRPr="009B23E5">
        <w:t>Fabricación de la mezcla según apartado 542.5.4</w:t>
      </w:r>
    </w:p>
    <w:p w14:paraId="19E76D6E" w14:textId="77777777" w:rsidR="00B134D9" w:rsidRPr="009B23E5" w:rsidRDefault="00B134D9" w:rsidP="00E01981">
      <w:pPr>
        <w:pStyle w:val="NORMAL12"/>
        <w:numPr>
          <w:ilvl w:val="0"/>
          <w:numId w:val="65"/>
        </w:numPr>
      </w:pPr>
      <w:r w:rsidRPr="009B23E5">
        <w:t>Transporte según apartado 542.5.5</w:t>
      </w:r>
    </w:p>
    <w:p w14:paraId="5E5DE369" w14:textId="77777777" w:rsidR="00B134D9" w:rsidRPr="009B23E5" w:rsidRDefault="00B134D9" w:rsidP="00E01981">
      <w:pPr>
        <w:pStyle w:val="NORMAL12"/>
        <w:numPr>
          <w:ilvl w:val="0"/>
          <w:numId w:val="65"/>
        </w:numPr>
      </w:pPr>
      <w:r w:rsidRPr="009B23E5">
        <w:t>Extensión según apartado 542.5.6</w:t>
      </w:r>
    </w:p>
    <w:p w14:paraId="52EA13CD" w14:textId="77777777" w:rsidR="00B134D9" w:rsidRPr="009B23E5" w:rsidRDefault="00B134D9" w:rsidP="00E01981">
      <w:pPr>
        <w:pStyle w:val="NORMAL12"/>
        <w:numPr>
          <w:ilvl w:val="0"/>
          <w:numId w:val="65"/>
        </w:numPr>
      </w:pPr>
      <w:r w:rsidRPr="009B23E5">
        <w:t>Compactación según apartado 542.5.7</w:t>
      </w:r>
    </w:p>
    <w:p w14:paraId="79068572" w14:textId="77777777" w:rsidR="00B134D9" w:rsidRPr="009B23E5" w:rsidRDefault="00B134D9" w:rsidP="00E01981">
      <w:pPr>
        <w:pStyle w:val="NORMAL12"/>
        <w:numPr>
          <w:ilvl w:val="0"/>
          <w:numId w:val="65"/>
        </w:numPr>
      </w:pPr>
      <w:r w:rsidRPr="009B23E5">
        <w:t>Juntas transversales y longitudinales según apartado 542.5.8</w:t>
      </w:r>
    </w:p>
    <w:p w14:paraId="0A3A6ECA" w14:textId="77777777" w:rsidR="00B134D9" w:rsidRPr="007D6044" w:rsidRDefault="00B134D9" w:rsidP="007D6044">
      <w:pPr>
        <w:pStyle w:val="NORMAL12"/>
      </w:pPr>
      <w:r w:rsidRPr="009B23E5">
        <w:t xml:space="preserve">En particular, se deberá ser especialmente cuidadoso en lo relativo al </w:t>
      </w:r>
      <w:proofErr w:type="spellStart"/>
      <w:r w:rsidRPr="009B23E5">
        <w:t>sobreespesor</w:t>
      </w:r>
      <w:proofErr w:type="spellEnd"/>
      <w:r w:rsidRPr="009B23E5">
        <w:t xml:space="preserve"> respecto al nivel de la </w:t>
      </w:r>
      <w:r w:rsidRPr="007D6044">
        <w:t>calzada que deberá dejarse a la salida de la regla de la extendedora y al tratamiento de las juntas, evitando segregaciones y presencia de gruesos juntos a ellas y a la compactación, que se empezará por los bordes, avanzando hacia el centro.</w:t>
      </w:r>
    </w:p>
    <w:p w14:paraId="7EB8DEF8" w14:textId="77777777" w:rsidR="00B134D9" w:rsidRPr="009B23E5" w:rsidRDefault="00B134D9" w:rsidP="007D6044">
      <w:pPr>
        <w:pStyle w:val="NORMAL12"/>
      </w:pPr>
      <w:r w:rsidRPr="009B23E5">
        <w:t>Terminada su compactación, se podrá abrir a la circulación la capa ejecutada tan pronto como alcance la temperatura ambiente en todo su espesor.</w:t>
      </w:r>
    </w:p>
    <w:p w14:paraId="154EDB04" w14:textId="77777777" w:rsidR="00810099" w:rsidRDefault="00810099" w:rsidP="000313DD">
      <w:pPr>
        <w:pStyle w:val="TITU2"/>
      </w:pPr>
      <w:bookmarkStart w:id="605" w:name="_Toc404344"/>
      <w:r w:rsidRPr="005864C2">
        <w:t>542.6. Tramo de prueba</w:t>
      </w:r>
      <w:bookmarkEnd w:id="605"/>
    </w:p>
    <w:p w14:paraId="0D34D2F1" w14:textId="77777777" w:rsidR="003B0232" w:rsidRDefault="003B0232" w:rsidP="00B338BE">
      <w:pPr>
        <w:pStyle w:val="NORMAL12"/>
      </w:pPr>
      <w:r w:rsidRPr="003B0232">
        <w:t xml:space="preserve">El </w:t>
      </w:r>
      <w:proofErr w:type="gramStart"/>
      <w:r w:rsidRPr="003B0232">
        <w:t>Director</w:t>
      </w:r>
      <w:proofErr w:type="gramEnd"/>
      <w:r w:rsidRPr="003B0232">
        <w:t xml:space="preserve"> de Obra fijará la longitud del tramo de prueba, a la vista de las </w:t>
      </w:r>
      <w:r w:rsidR="00D93E76" w:rsidRPr="003B0232">
        <w:t>particulares</w:t>
      </w:r>
      <w:r w:rsidR="00D93E76">
        <w:t xml:space="preserve"> de</w:t>
      </w:r>
      <w:r>
        <w:t xml:space="preserve"> la obra, en ningún caso será inferior a doscientos metros.</w:t>
      </w:r>
    </w:p>
    <w:p w14:paraId="3E8D1AA7" w14:textId="77777777" w:rsidR="003B0232" w:rsidRDefault="003B0232" w:rsidP="00B338BE">
      <w:pPr>
        <w:pStyle w:val="NORMAL12"/>
      </w:pPr>
      <w:r>
        <w:t xml:space="preserve">Sobre el tramo de prueba se llevarán a cabo ensayos de textura superficial y coeficiente de rozamiento transversal, y </w:t>
      </w:r>
      <w:proofErr w:type="spellStart"/>
      <w:r>
        <w:t>macrotextura</w:t>
      </w:r>
      <w:proofErr w:type="spellEnd"/>
      <w:r>
        <w:t xml:space="preserve"> en la capa de rodadura sobre una longitud de al menos cien (100) metros del tramo de prueba.</w:t>
      </w:r>
    </w:p>
    <w:p w14:paraId="46444DDD" w14:textId="77777777" w:rsidR="00B338BE" w:rsidRPr="003B0232" w:rsidRDefault="003B0232" w:rsidP="00B338BE">
      <w:pPr>
        <w:pStyle w:val="NORMAL12"/>
        <w:rPr>
          <w:lang w:val="es-ES"/>
        </w:rPr>
      </w:pPr>
      <w:r>
        <w:t>Del tramo de prueba se obtendrán muestras que deben cumplir las especificaciones de la mezcla propuesta. De no cumplirse e</w:t>
      </w:r>
      <w:r w:rsidRPr="003B0232">
        <w:rPr>
          <w:lang w:val="es-ES"/>
        </w:rPr>
        <w:t>l c</w:t>
      </w:r>
      <w:r w:rsidR="00B338BE" w:rsidRPr="003B0232">
        <w:rPr>
          <w:lang w:val="es-ES"/>
        </w:rPr>
        <w:t xml:space="preserve">ontratista propondrá una fórmula de trabajo que debe ser aprobada por el </w:t>
      </w:r>
      <w:proofErr w:type="gramStart"/>
      <w:r w:rsidR="00B338BE" w:rsidRPr="003B0232">
        <w:rPr>
          <w:lang w:val="es-ES"/>
        </w:rPr>
        <w:t>Director</w:t>
      </w:r>
      <w:proofErr w:type="gramEnd"/>
      <w:r w:rsidR="00B338BE" w:rsidRPr="003B0232">
        <w:rPr>
          <w:lang w:val="es-ES"/>
        </w:rPr>
        <w:t xml:space="preserve"> de la Obra.</w:t>
      </w:r>
    </w:p>
    <w:p w14:paraId="456BDEEB" w14:textId="77777777" w:rsidR="00810099" w:rsidRPr="00B338BE" w:rsidRDefault="00810099" w:rsidP="000313DD">
      <w:pPr>
        <w:pStyle w:val="TITU2"/>
      </w:pPr>
      <w:bookmarkStart w:id="606" w:name="_Toc404345"/>
      <w:r w:rsidRPr="00B338BE">
        <w:t>542.9. Control de calidad</w:t>
      </w:r>
      <w:bookmarkEnd w:id="606"/>
    </w:p>
    <w:p w14:paraId="5653A9B9" w14:textId="77777777" w:rsidR="00B134D9" w:rsidRPr="00B338BE" w:rsidRDefault="00B134D9" w:rsidP="007D6044">
      <w:pPr>
        <w:pStyle w:val="NORMAL12"/>
      </w:pPr>
      <w:r w:rsidRPr="00B338BE">
        <w:t>Para los productos con marcado CE, según el Reglamento 305/2011, para el control de procedencia de los materiales, se llevará a cabo la verificación de los valores declarados en los documentos que acompañan al marcado CE cumplen las especificaciones establecidas en este Pliego.</w:t>
      </w:r>
    </w:p>
    <w:p w14:paraId="62A2FB91" w14:textId="77777777" w:rsidR="00B134D9" w:rsidRPr="00B338BE" w:rsidRDefault="00B134D9" w:rsidP="007D6044">
      <w:pPr>
        <w:pStyle w:val="NORMAL12"/>
      </w:pPr>
      <w:proofErr w:type="gramStart"/>
      <w:r w:rsidRPr="00B338BE">
        <w:t>Las mezclas bituminosas a emplear</w:t>
      </w:r>
      <w:proofErr w:type="gramEnd"/>
      <w:r w:rsidRPr="00B338BE">
        <w:t xml:space="preserve"> en este proyecto contarán con el preceptivo marcado CE. La posesión de esta marca exime de la necesidad de realizar los controles de calidad </w:t>
      </w:r>
      <w:r w:rsidRPr="00B338BE">
        <w:t>previstos en el vigente artículo 542.9 del PG-3. Bastará con un control documental de cada suministro, cotejando las especificaciones declaradas en la hoja de suministro adjunta al marcado con las exigidas en este artículo de pliego.</w:t>
      </w:r>
    </w:p>
    <w:p w14:paraId="2199CFF5" w14:textId="77777777" w:rsidR="00B134D9" w:rsidRPr="00B338BE" w:rsidRDefault="00B134D9" w:rsidP="007D6044">
      <w:pPr>
        <w:pStyle w:val="NORMAL12"/>
      </w:pPr>
      <w:r w:rsidRPr="00B338BE">
        <w:t>Los controles de ejecución se realizarán conforme al apartado 542.9.3. del PG-3 vigente. En particular, resultan de aplicación a todas las mezclas, con independencia del marcado CE, la toma de muestras a la salida del mezclador para la determinación del aspecto de la muestra y de la dotación de ligante, según las indicaciones del apartado 542.9.3.1. relativo a controles de fabricación. Resulta también de aplicación íntegra el apartado 542.9.3.2 relativo a controles de puesta en obra.</w:t>
      </w:r>
    </w:p>
    <w:p w14:paraId="24CB9B29" w14:textId="77777777" w:rsidR="00B134D9" w:rsidRPr="00B338BE" w:rsidRDefault="00B134D9" w:rsidP="007D6044">
      <w:pPr>
        <w:pStyle w:val="NORMAL12"/>
      </w:pPr>
      <w:r w:rsidRPr="00B338BE">
        <w:t>Los ensayos de control de recepción de la unidad terminada se realizarán conforme al apartado 542.9.4 del PG-3 vigente.</w:t>
      </w:r>
    </w:p>
    <w:p w14:paraId="320C2D5E" w14:textId="77777777" w:rsidR="00B134D9" w:rsidRPr="00B338BE" w:rsidRDefault="00B134D9" w:rsidP="007D6044">
      <w:pPr>
        <w:pStyle w:val="NORMAL12"/>
      </w:pPr>
      <w:r w:rsidRPr="00B338BE">
        <w:t xml:space="preserve">En cualquier caso, el </w:t>
      </w:r>
      <w:proofErr w:type="gramStart"/>
      <w:r w:rsidRPr="00B338BE">
        <w:t>Director</w:t>
      </w:r>
      <w:proofErr w:type="gramEnd"/>
      <w:r w:rsidRPr="00B338BE">
        <w:t xml:space="preserve"> de Obra podrá realizar, a su juicio, los controles de calidad que estime oportunos, según los criterios del apartado 542.9 del PG-3 vigente.</w:t>
      </w:r>
    </w:p>
    <w:p w14:paraId="18352ED7" w14:textId="77777777" w:rsidR="00B134D9" w:rsidRDefault="00B134D9" w:rsidP="007D6044">
      <w:pPr>
        <w:pStyle w:val="NORMAL12"/>
      </w:pPr>
      <w:proofErr w:type="gramStart"/>
      <w:r w:rsidRPr="00B338BE">
        <w:t>Los ensayos a realizar</w:t>
      </w:r>
      <w:proofErr w:type="gramEnd"/>
      <w:r w:rsidRPr="00B338BE">
        <w:t xml:space="preserve"> sobre el material y la frecuencia establecida están reflejados en la siguiente tabla; serán también de aplicación los ensayos establecidos en el vigente artículo </w:t>
      </w:r>
      <w:r w:rsidRPr="00504DAB">
        <w:t>542. Mezclas bituminosas, del PG-3 no incluidos en el presente artículo</w:t>
      </w:r>
      <w:r w:rsidR="00FD4B8E" w:rsidRPr="00504DAB">
        <w:t>. E</w:t>
      </w:r>
      <w:r w:rsidRPr="00504DAB">
        <w:t>l coste</w:t>
      </w:r>
      <w:r w:rsidR="00FD4B8E" w:rsidRPr="00504DAB">
        <w:t xml:space="preserve"> </w:t>
      </w:r>
      <w:r w:rsidRPr="00504DAB">
        <w:t xml:space="preserve">de </w:t>
      </w:r>
      <w:proofErr w:type="gramStart"/>
      <w:r w:rsidRPr="00504DAB">
        <w:t>los mismos</w:t>
      </w:r>
      <w:proofErr w:type="gramEnd"/>
      <w:r w:rsidRPr="00504DAB">
        <w:t xml:space="preserve"> será</w:t>
      </w:r>
      <w:r w:rsidRPr="00B338BE">
        <w:t xml:space="preserve"> sufragado según indica el artículo correspondiente del presente pliego.</w:t>
      </w:r>
    </w:p>
    <w:tbl>
      <w:tblPr>
        <w:tblW w:w="5000" w:type="pct"/>
        <w:tblCellMar>
          <w:left w:w="70" w:type="dxa"/>
          <w:right w:w="70" w:type="dxa"/>
        </w:tblCellMar>
        <w:tblLook w:val="04A0" w:firstRow="1" w:lastRow="0" w:firstColumn="1" w:lastColumn="0" w:noHBand="0" w:noVBand="1"/>
      </w:tblPr>
      <w:tblGrid>
        <w:gridCol w:w="9778"/>
      </w:tblGrid>
      <w:tr w:rsidR="00097BC8" w:rsidRPr="00097BC8" w14:paraId="3E5248AD" w14:textId="77777777" w:rsidTr="00524011">
        <w:trPr>
          <w:trHeight w:val="360"/>
          <w:tblHeader/>
        </w:trPr>
        <w:tc>
          <w:tcPr>
            <w:tcW w:w="500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4B52B0B7" w14:textId="77777777" w:rsidR="00097BC8" w:rsidRPr="00097BC8" w:rsidRDefault="00097BC8" w:rsidP="00524011">
            <w:pPr>
              <w:rPr>
                <w:rFonts w:ascii="Arial" w:hAnsi="Arial" w:cs="Arial"/>
                <w:b/>
                <w:bCs/>
                <w:sz w:val="20"/>
                <w:szCs w:val="20"/>
              </w:rPr>
            </w:pPr>
            <w:r w:rsidRPr="00097BC8">
              <w:rPr>
                <w:rFonts w:ascii="Arial" w:hAnsi="Arial" w:cs="Arial"/>
                <w:b/>
                <w:bCs/>
                <w:sz w:val="20"/>
                <w:szCs w:val="20"/>
              </w:rPr>
              <w:t>MEZCLAS BITUMINOSAS EN CALIENTE</w:t>
            </w:r>
          </w:p>
        </w:tc>
      </w:tr>
      <w:tr w:rsidR="00097BC8" w:rsidRPr="00097BC8" w14:paraId="210D1479"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75BAF9C6" w14:textId="77777777" w:rsidR="00097BC8" w:rsidRPr="00097BC8" w:rsidRDefault="00097BC8" w:rsidP="00524011">
            <w:pPr>
              <w:rPr>
                <w:rFonts w:ascii="Arial" w:hAnsi="Arial" w:cs="Arial"/>
                <w:b/>
                <w:i/>
                <w:iCs/>
                <w:sz w:val="20"/>
                <w:szCs w:val="20"/>
              </w:rPr>
            </w:pPr>
            <w:r w:rsidRPr="00097BC8">
              <w:rPr>
                <w:rFonts w:ascii="Arial" w:hAnsi="Arial" w:cs="Arial"/>
                <w:b/>
                <w:bCs/>
                <w:i/>
                <w:sz w:val="20"/>
                <w:szCs w:val="20"/>
                <w:u w:val="single"/>
              </w:rPr>
              <w:t>Antes de su ejecución:</w:t>
            </w:r>
          </w:p>
        </w:tc>
      </w:tr>
      <w:tr w:rsidR="00097BC8" w:rsidRPr="00097BC8" w14:paraId="108182CB"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0DD71D08" w14:textId="77777777" w:rsidR="00097BC8" w:rsidRPr="00097BC8" w:rsidRDefault="00097BC8" w:rsidP="00524011">
            <w:pPr>
              <w:rPr>
                <w:rFonts w:ascii="Arial" w:hAnsi="Arial" w:cs="Arial"/>
                <w:b/>
                <w:i/>
                <w:iCs/>
                <w:sz w:val="20"/>
                <w:szCs w:val="20"/>
                <w:u w:val="single"/>
              </w:rPr>
            </w:pPr>
            <w:r w:rsidRPr="00097BC8">
              <w:rPr>
                <w:rFonts w:ascii="Arial" w:hAnsi="Arial" w:cs="Arial"/>
                <w:b/>
                <w:bCs/>
                <w:i/>
                <w:sz w:val="20"/>
                <w:szCs w:val="20"/>
                <w:u w:val="single"/>
              </w:rPr>
              <w:t>Árido grueso:</w:t>
            </w:r>
          </w:p>
        </w:tc>
      </w:tr>
      <w:tr w:rsidR="00097BC8" w:rsidRPr="00097BC8" w14:paraId="700B7C80"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538352C7"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Cada cien metros cúbicos (100 m³) o fracción de árido grueso a emplear:</w:t>
            </w:r>
          </w:p>
        </w:tc>
      </w:tr>
      <w:tr w:rsidR="00097BC8" w:rsidRPr="00097BC8" w14:paraId="2FCA905A"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03B41D09"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 xml:space="preserve"> Un (1) ensayo Granulométrico (UNE-EN 933-1:2012)</w:t>
            </w:r>
          </w:p>
        </w:tc>
      </w:tr>
      <w:tr w:rsidR="00097BC8" w:rsidRPr="00097BC8" w14:paraId="5D255AB6"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09109B60"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Cada mil metros cúbicos (1.000 m³) o fracción de árido grueso a emplear:</w:t>
            </w:r>
          </w:p>
        </w:tc>
      </w:tr>
      <w:tr w:rsidR="00097BC8" w:rsidRPr="00097BC8" w14:paraId="491BD610"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7D15D1BA"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Índice de lajas (UNE-EN 933-3:2012)</w:t>
            </w:r>
          </w:p>
        </w:tc>
      </w:tr>
      <w:tr w:rsidR="00097BC8" w:rsidRPr="00097BC8" w14:paraId="52AEACA6"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4BF009A4" w14:textId="77777777" w:rsidR="00097BC8" w:rsidRPr="00097BC8" w:rsidRDefault="00097BC8" w:rsidP="00524011">
            <w:pPr>
              <w:rPr>
                <w:rFonts w:ascii="Arial" w:hAnsi="Arial" w:cs="Arial"/>
                <w:sz w:val="20"/>
                <w:szCs w:val="20"/>
              </w:rPr>
            </w:pPr>
            <w:r w:rsidRPr="00097BC8">
              <w:rPr>
                <w:rFonts w:ascii="Arial" w:hAnsi="Arial" w:cs="Arial"/>
                <w:sz w:val="20"/>
                <w:szCs w:val="20"/>
              </w:rPr>
              <w:t>Una (1) Determinación del porcentaje de elementos con dos o más caras de fractura (UNE-EN 933-5:1999/A1:2005)</w:t>
            </w:r>
          </w:p>
        </w:tc>
      </w:tr>
      <w:tr w:rsidR="00097BC8" w:rsidRPr="00097BC8" w14:paraId="445EC84E"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12222E81"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Cada dos mil metros cúbicos (2.000 m³) o fracción de árido grueso a emplear:</w:t>
            </w:r>
          </w:p>
        </w:tc>
      </w:tr>
      <w:tr w:rsidR="00097BC8" w:rsidRPr="00097BC8" w14:paraId="773C3DA3"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03373015"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Absorción de Ligante en unión del resto de los áridos (UNE-EN 1097-6:2014)</w:t>
            </w:r>
          </w:p>
        </w:tc>
      </w:tr>
      <w:tr w:rsidR="00097BC8" w:rsidRPr="00097BC8" w14:paraId="2032AFCF"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5D159645"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desgaste Los Ángeles (UNE-EN 1097-2:2010)</w:t>
            </w:r>
          </w:p>
        </w:tc>
      </w:tr>
      <w:tr w:rsidR="00097BC8" w:rsidRPr="00097BC8" w14:paraId="3B261FB8"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538F4A66"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Una (1) determinación de la Adhesividad áridos gruesos (Mezclas Abiertas únicamente) (NLT 166)</w:t>
            </w:r>
          </w:p>
        </w:tc>
      </w:tr>
      <w:tr w:rsidR="00097BC8" w:rsidRPr="00097BC8" w14:paraId="2E9E8A89"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409BA891"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 xml:space="preserve">Una (1) equivalente de </w:t>
            </w:r>
            <w:proofErr w:type="gramStart"/>
            <w:r w:rsidRPr="00097BC8">
              <w:rPr>
                <w:rFonts w:ascii="Arial" w:hAnsi="Arial" w:cs="Arial"/>
                <w:sz w:val="20"/>
                <w:szCs w:val="20"/>
              </w:rPr>
              <w:t>arena(</w:t>
            </w:r>
            <w:proofErr w:type="gramEnd"/>
            <w:r w:rsidRPr="00097BC8">
              <w:rPr>
                <w:rFonts w:ascii="Arial" w:hAnsi="Arial" w:cs="Arial"/>
                <w:sz w:val="20"/>
                <w:szCs w:val="20"/>
              </w:rPr>
              <w:t>UNE-EN 933-8:2012+A1:2015/1M:2016)</w:t>
            </w:r>
          </w:p>
        </w:tc>
      </w:tr>
      <w:tr w:rsidR="00097BC8" w:rsidRPr="00097BC8" w14:paraId="02639EC2"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133564AB"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lastRenderedPageBreak/>
              <w:t>Cada diez mil metros cúbicos (10.000 m³) o fracción de árido grueso a emplear:</w:t>
            </w:r>
          </w:p>
        </w:tc>
      </w:tr>
      <w:tr w:rsidR="00097BC8" w:rsidRPr="00097BC8" w14:paraId="7C8149E7"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42CE3984"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Coeficiente de Pulido Acelerado (Capas de Rodadura) (UNE-EN 1097-8:2010)</w:t>
            </w:r>
          </w:p>
        </w:tc>
      </w:tr>
      <w:tr w:rsidR="00097BC8" w:rsidRPr="00097BC8" w14:paraId="390DE470"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06FD28AB" w14:textId="77777777" w:rsidR="00097BC8" w:rsidRPr="00097BC8" w:rsidRDefault="00097BC8" w:rsidP="00524011">
            <w:pPr>
              <w:rPr>
                <w:rFonts w:ascii="Arial" w:hAnsi="Arial" w:cs="Arial"/>
                <w:b/>
                <w:i/>
                <w:iCs/>
                <w:sz w:val="20"/>
                <w:szCs w:val="20"/>
                <w:u w:val="single"/>
              </w:rPr>
            </w:pPr>
            <w:r w:rsidRPr="00097BC8">
              <w:rPr>
                <w:rFonts w:ascii="Arial" w:hAnsi="Arial" w:cs="Arial"/>
                <w:b/>
                <w:i/>
                <w:iCs/>
                <w:sz w:val="20"/>
                <w:szCs w:val="20"/>
                <w:u w:val="single"/>
              </w:rPr>
              <w:t>Árido fino (material que pasa por el tamiz 2,5 UNE):</w:t>
            </w:r>
          </w:p>
        </w:tc>
      </w:tr>
      <w:tr w:rsidR="00097BC8" w:rsidRPr="00097BC8" w14:paraId="0571BC1B"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65017EFE"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Cada cien metros cúbicos (100 m³) o fracción de árido fino a emplear:</w:t>
            </w:r>
          </w:p>
        </w:tc>
      </w:tr>
      <w:tr w:rsidR="00097BC8" w:rsidRPr="00097BC8" w14:paraId="6DC26B26"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774A0583"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 xml:space="preserve"> Un (1) ensayo Granulométrico (UNE-EN 933-10:2010)</w:t>
            </w:r>
          </w:p>
        </w:tc>
      </w:tr>
      <w:tr w:rsidR="00097BC8" w:rsidRPr="00097BC8" w14:paraId="3EAA3C5C"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569574AF"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Cada mil metros cúbicos (1.000 m³) o fracción de árido fino a emplear:</w:t>
            </w:r>
          </w:p>
        </w:tc>
      </w:tr>
      <w:tr w:rsidR="00097BC8" w:rsidRPr="00097BC8" w14:paraId="0CA09DE3"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23DA66A5"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Índice de lajas (UNE-EN 933-3:2012)</w:t>
            </w:r>
          </w:p>
        </w:tc>
      </w:tr>
      <w:tr w:rsidR="00097BC8" w:rsidRPr="00097BC8" w14:paraId="0D4EB898"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08D5CE0F"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Una (1) Determinación del porcentaje de elementos con dos o más caras de fractura (UNE-EN 933-5:1999/A1:2005)</w:t>
            </w:r>
          </w:p>
        </w:tc>
      </w:tr>
      <w:tr w:rsidR="00097BC8" w:rsidRPr="00097BC8" w14:paraId="14E41BCB"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200C59F7"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Cada dos mil metros cúbicos (2.000 m³) o fracción de árido fino a emplear:</w:t>
            </w:r>
          </w:p>
        </w:tc>
      </w:tr>
      <w:tr w:rsidR="00097BC8" w:rsidRPr="00097BC8" w14:paraId="57A64CBE"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0E0B0408"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Absorción de Ligante, en unión del resto de los áridos (NLT 167/58)</w:t>
            </w:r>
          </w:p>
        </w:tc>
      </w:tr>
      <w:tr w:rsidR="00097BC8" w:rsidRPr="00097BC8" w14:paraId="6B3A95B7" w14:textId="77777777" w:rsidTr="00524011">
        <w:trPr>
          <w:trHeight w:val="585"/>
        </w:trPr>
        <w:tc>
          <w:tcPr>
            <w:tcW w:w="5000" w:type="pct"/>
            <w:tcBorders>
              <w:top w:val="nil"/>
              <w:left w:val="single" w:sz="4" w:space="0" w:color="auto"/>
              <w:bottom w:val="single" w:sz="4" w:space="0" w:color="auto"/>
              <w:right w:val="single" w:sz="4" w:space="0" w:color="auto"/>
            </w:tcBorders>
            <w:vAlign w:val="center"/>
            <w:hideMark/>
          </w:tcPr>
          <w:p w14:paraId="21DB0AD0"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Una (1) determinación de la Adhesividad (Mezclas Abiertas únicamente), a los áridos de los ligantes bituminosos en presencia de agua (NLT 166)</w:t>
            </w:r>
          </w:p>
        </w:tc>
      </w:tr>
      <w:tr w:rsidR="00097BC8" w:rsidRPr="00097BC8" w14:paraId="146869B4"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418E8A9C"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Una (1) determinación de la Densidad relativa en aceite de parafina (NLT 167)</w:t>
            </w:r>
          </w:p>
        </w:tc>
      </w:tr>
      <w:tr w:rsidR="00097BC8" w:rsidRPr="00097BC8" w14:paraId="6F349B96"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04ABC881" w14:textId="77777777" w:rsidR="00097BC8" w:rsidRPr="00097BC8" w:rsidRDefault="00097BC8" w:rsidP="00524011">
            <w:pPr>
              <w:jc w:val="right"/>
              <w:rPr>
                <w:rFonts w:ascii="Arial" w:hAnsi="Arial" w:cs="Arial"/>
                <w:sz w:val="20"/>
                <w:szCs w:val="20"/>
              </w:rPr>
            </w:pPr>
          </w:p>
          <w:p w14:paraId="4D37B37C" w14:textId="77777777" w:rsidR="00097BC8" w:rsidRPr="00097BC8" w:rsidRDefault="00097BC8" w:rsidP="00524011">
            <w:pPr>
              <w:jc w:val="right"/>
              <w:rPr>
                <w:rFonts w:ascii="Arial" w:hAnsi="Arial" w:cs="Arial"/>
                <w:sz w:val="20"/>
                <w:szCs w:val="20"/>
              </w:rPr>
            </w:pPr>
          </w:p>
          <w:p w14:paraId="6CED85D8"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 </w:t>
            </w:r>
          </w:p>
        </w:tc>
      </w:tr>
      <w:tr w:rsidR="00097BC8" w:rsidRPr="00097BC8" w14:paraId="07847C2C"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5041CDE4" w14:textId="77777777" w:rsidR="00097BC8" w:rsidRPr="00097BC8" w:rsidRDefault="00097BC8" w:rsidP="00524011">
            <w:pPr>
              <w:rPr>
                <w:rFonts w:ascii="Arial" w:hAnsi="Arial" w:cs="Arial"/>
                <w:b/>
                <w:i/>
                <w:iCs/>
                <w:sz w:val="20"/>
                <w:szCs w:val="20"/>
                <w:u w:val="single"/>
              </w:rPr>
            </w:pPr>
            <w:r w:rsidRPr="00097BC8">
              <w:rPr>
                <w:rFonts w:ascii="Arial" w:hAnsi="Arial" w:cs="Arial"/>
                <w:b/>
                <w:i/>
                <w:iCs/>
                <w:sz w:val="20"/>
                <w:szCs w:val="20"/>
                <w:u w:val="single"/>
              </w:rPr>
              <w:t>Del Conjunto:</w:t>
            </w:r>
          </w:p>
        </w:tc>
      </w:tr>
      <w:tr w:rsidR="00097BC8" w:rsidRPr="00097BC8" w14:paraId="09B73153"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009C5D62"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Cada diez mil metros cúbicos (10.000 m³) o fracción del conjunto a emplear, o al menos una vez al mes:</w:t>
            </w:r>
          </w:p>
        </w:tc>
      </w:tr>
      <w:tr w:rsidR="00097BC8" w:rsidRPr="00097BC8" w14:paraId="205DEC6D"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53EC03E3"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Inmersión-Compresión, incluyendo fabricación, densidad y rotura (Mezclas Cerradas) (NLT-162)</w:t>
            </w:r>
          </w:p>
        </w:tc>
      </w:tr>
      <w:tr w:rsidR="00097BC8" w:rsidRPr="00097BC8" w14:paraId="1D502903"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4E43E25F" w14:textId="77777777" w:rsidR="00097BC8" w:rsidRPr="00097BC8" w:rsidRDefault="00097BC8" w:rsidP="00524011">
            <w:pPr>
              <w:rPr>
                <w:rFonts w:ascii="Arial" w:hAnsi="Arial" w:cs="Arial"/>
                <w:b/>
                <w:i/>
                <w:iCs/>
                <w:sz w:val="20"/>
                <w:szCs w:val="20"/>
                <w:u w:val="single"/>
              </w:rPr>
            </w:pPr>
            <w:proofErr w:type="spellStart"/>
            <w:r w:rsidRPr="00097BC8">
              <w:rPr>
                <w:rFonts w:ascii="Arial" w:hAnsi="Arial" w:cs="Arial"/>
                <w:b/>
                <w:i/>
                <w:iCs/>
                <w:sz w:val="20"/>
                <w:szCs w:val="20"/>
                <w:u w:val="single"/>
              </w:rPr>
              <w:t>Filler</w:t>
            </w:r>
            <w:proofErr w:type="spellEnd"/>
            <w:r w:rsidRPr="00097BC8">
              <w:rPr>
                <w:rFonts w:ascii="Arial" w:hAnsi="Arial" w:cs="Arial"/>
                <w:b/>
                <w:i/>
                <w:iCs/>
                <w:sz w:val="20"/>
                <w:szCs w:val="20"/>
                <w:u w:val="single"/>
              </w:rPr>
              <w:t>:</w:t>
            </w:r>
          </w:p>
        </w:tc>
      </w:tr>
      <w:tr w:rsidR="00097BC8" w:rsidRPr="00097BC8" w14:paraId="2BAE6C41"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27420B0B"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 xml:space="preserve">Por cada procedencia de </w:t>
            </w:r>
            <w:proofErr w:type="spellStart"/>
            <w:r w:rsidRPr="00097BC8">
              <w:rPr>
                <w:rFonts w:ascii="Arial" w:hAnsi="Arial" w:cs="Arial"/>
                <w:i/>
                <w:iCs/>
                <w:sz w:val="20"/>
                <w:szCs w:val="20"/>
              </w:rPr>
              <w:t>filler</w:t>
            </w:r>
            <w:proofErr w:type="spellEnd"/>
            <w:r w:rsidRPr="00097BC8">
              <w:rPr>
                <w:rFonts w:ascii="Arial" w:hAnsi="Arial" w:cs="Arial"/>
                <w:i/>
                <w:iCs/>
                <w:sz w:val="20"/>
                <w:szCs w:val="20"/>
              </w:rPr>
              <w:t xml:space="preserve"> o al menos una vez al día</w:t>
            </w:r>
          </w:p>
        </w:tc>
      </w:tr>
      <w:tr w:rsidR="00097BC8" w:rsidRPr="00097BC8" w14:paraId="70ED8C03"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5D7BC97C"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 xml:space="preserve">Un (1) Granulométrico (UNE-EN 933-10:2010) </w:t>
            </w:r>
          </w:p>
        </w:tc>
      </w:tr>
      <w:tr w:rsidR="00097BC8" w:rsidRPr="00097BC8" w14:paraId="68C151E5"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6421337E"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 xml:space="preserve">Un (1) ensayo de Densidad aparente del </w:t>
            </w:r>
            <w:proofErr w:type="spellStart"/>
            <w:r w:rsidRPr="00097BC8">
              <w:rPr>
                <w:rFonts w:ascii="Arial" w:hAnsi="Arial" w:cs="Arial"/>
                <w:sz w:val="20"/>
                <w:szCs w:val="20"/>
              </w:rPr>
              <w:t>filler</w:t>
            </w:r>
            <w:proofErr w:type="spellEnd"/>
            <w:r w:rsidRPr="00097BC8">
              <w:rPr>
                <w:rFonts w:ascii="Arial" w:hAnsi="Arial" w:cs="Arial"/>
                <w:sz w:val="20"/>
                <w:szCs w:val="20"/>
              </w:rPr>
              <w:t xml:space="preserve"> en </w:t>
            </w:r>
            <w:proofErr w:type="gramStart"/>
            <w:r w:rsidRPr="00097BC8">
              <w:rPr>
                <w:rFonts w:ascii="Arial" w:hAnsi="Arial" w:cs="Arial"/>
                <w:sz w:val="20"/>
                <w:szCs w:val="20"/>
              </w:rPr>
              <w:t>tolueno(</w:t>
            </w:r>
            <w:proofErr w:type="gramEnd"/>
            <w:r w:rsidRPr="00097BC8">
              <w:rPr>
                <w:rFonts w:ascii="Arial" w:hAnsi="Arial" w:cs="Arial"/>
                <w:sz w:val="20"/>
                <w:szCs w:val="20"/>
              </w:rPr>
              <w:t xml:space="preserve">UNE-EN 1097-3:1999) </w:t>
            </w:r>
          </w:p>
        </w:tc>
      </w:tr>
      <w:tr w:rsidR="00097BC8" w:rsidRPr="00097BC8" w14:paraId="67FF24D6"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5B6FB853" w14:textId="77777777" w:rsidR="00097BC8" w:rsidRPr="00097BC8" w:rsidRDefault="00097BC8" w:rsidP="00524011">
            <w:pPr>
              <w:rPr>
                <w:rFonts w:ascii="Arial" w:hAnsi="Arial" w:cs="Arial"/>
                <w:b/>
                <w:i/>
                <w:iCs/>
                <w:sz w:val="20"/>
                <w:szCs w:val="20"/>
                <w:u w:val="single"/>
              </w:rPr>
            </w:pPr>
            <w:r w:rsidRPr="00097BC8">
              <w:rPr>
                <w:rFonts w:ascii="Arial" w:hAnsi="Arial" w:cs="Arial"/>
                <w:b/>
                <w:i/>
                <w:iCs/>
                <w:sz w:val="20"/>
                <w:szCs w:val="20"/>
                <w:u w:val="single"/>
              </w:rPr>
              <w:t>Betún:</w:t>
            </w:r>
          </w:p>
        </w:tc>
      </w:tr>
      <w:tr w:rsidR="00097BC8" w:rsidRPr="00097BC8" w14:paraId="0A347B27"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42351A08"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Cada cien toneladas (100 t) o fracción de betún a emplear una vez al día o de cada partida distinta:</w:t>
            </w:r>
          </w:p>
        </w:tc>
      </w:tr>
      <w:tr w:rsidR="00097BC8" w:rsidRPr="00097BC8" w14:paraId="38EC3916"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1A653D45"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Penetración sobre residuo de destilación (UNE-EN 1426:2015)</w:t>
            </w:r>
          </w:p>
        </w:tc>
      </w:tr>
      <w:tr w:rsidR="00097BC8" w:rsidRPr="00097BC8" w14:paraId="75663FEB"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5956E399" w14:textId="77777777" w:rsidR="00097BC8" w:rsidRPr="00097BC8" w:rsidRDefault="00097BC8" w:rsidP="00524011">
            <w:pPr>
              <w:rPr>
                <w:rFonts w:ascii="Arial" w:hAnsi="Arial" w:cs="Arial"/>
                <w:b/>
                <w:i/>
                <w:iCs/>
                <w:sz w:val="20"/>
                <w:szCs w:val="20"/>
                <w:u w:val="single"/>
              </w:rPr>
            </w:pPr>
            <w:r w:rsidRPr="00097BC8">
              <w:rPr>
                <w:rFonts w:ascii="Arial" w:hAnsi="Arial" w:cs="Arial"/>
                <w:b/>
                <w:i/>
                <w:iCs/>
                <w:sz w:val="20"/>
                <w:szCs w:val="20"/>
                <w:u w:val="single"/>
              </w:rPr>
              <w:t>Se realizan controles en la fabricación de aglomerado asfáltico:</w:t>
            </w:r>
          </w:p>
        </w:tc>
      </w:tr>
      <w:tr w:rsidR="00097BC8" w:rsidRPr="00097BC8" w14:paraId="4B4591A2"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6EAF0451" w14:textId="77777777" w:rsidR="00097BC8" w:rsidRPr="00097BC8" w:rsidRDefault="00097BC8" w:rsidP="00524011">
            <w:pPr>
              <w:rPr>
                <w:rFonts w:ascii="Arial" w:hAnsi="Arial" w:cs="Arial"/>
                <w:i/>
                <w:iCs/>
                <w:sz w:val="20"/>
                <w:szCs w:val="20"/>
              </w:rPr>
            </w:pPr>
            <w:proofErr w:type="gramStart"/>
            <w:r w:rsidRPr="00097BC8">
              <w:rPr>
                <w:rFonts w:ascii="Arial" w:hAnsi="Arial" w:cs="Arial"/>
                <w:i/>
                <w:iCs/>
                <w:sz w:val="20"/>
                <w:szCs w:val="20"/>
              </w:rPr>
              <w:t>Cada  quinientas</w:t>
            </w:r>
            <w:proofErr w:type="gramEnd"/>
            <w:r w:rsidRPr="00097BC8">
              <w:rPr>
                <w:rFonts w:ascii="Arial" w:hAnsi="Arial" w:cs="Arial"/>
                <w:i/>
                <w:iCs/>
                <w:sz w:val="20"/>
                <w:szCs w:val="20"/>
              </w:rPr>
              <w:t xml:space="preserve">  toneladas (500 t) de mezcla tomada de los camiones receptores de la descarga de la planta o fracción correspondiente a un día si se emplea menos material:</w:t>
            </w:r>
          </w:p>
        </w:tc>
      </w:tr>
      <w:tr w:rsidR="00097BC8" w:rsidRPr="00097BC8" w14:paraId="208B3FE7"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46F0D795"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Dos (2) Ensayos de determinación del contenido de betún (NLT 164/90) (UNE EN 12697-1:2013)</w:t>
            </w:r>
          </w:p>
        </w:tc>
      </w:tr>
      <w:tr w:rsidR="00097BC8" w:rsidRPr="00097BC8" w14:paraId="61CFE2D2"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191F536B"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Dos (2) ensayos Granulométricos del árido que queda tras eliminar el betún (NLT 150/89)</w:t>
            </w:r>
          </w:p>
        </w:tc>
      </w:tr>
      <w:tr w:rsidR="00097BC8" w:rsidRPr="00097BC8" w14:paraId="7560DD84" w14:textId="77777777" w:rsidTr="00524011">
        <w:trPr>
          <w:trHeight w:val="555"/>
        </w:trPr>
        <w:tc>
          <w:tcPr>
            <w:tcW w:w="5000" w:type="pct"/>
            <w:tcBorders>
              <w:top w:val="nil"/>
              <w:left w:val="single" w:sz="4" w:space="0" w:color="auto"/>
              <w:bottom w:val="single" w:sz="4" w:space="0" w:color="auto"/>
              <w:right w:val="single" w:sz="4" w:space="0" w:color="auto"/>
            </w:tcBorders>
            <w:vAlign w:val="center"/>
            <w:hideMark/>
          </w:tcPr>
          <w:p w14:paraId="7F3D7FE8"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Un (1) ensayo de estabilidad Marshall completo, incluyendo la fabricación de 3 probetas, determinación de la densidad, estabilidad, deformación, contenido de ligante, análisis granulométrico de los áridos extraídos y cálculo de huecos (NLT 159 y 168) (UNE EN 12679-6:2012)</w:t>
            </w:r>
          </w:p>
        </w:tc>
      </w:tr>
      <w:tr w:rsidR="00097BC8" w:rsidRPr="00097BC8" w14:paraId="60C59597"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201F0312" w14:textId="77777777" w:rsidR="00097BC8" w:rsidRPr="00097BC8" w:rsidRDefault="00097BC8" w:rsidP="00524011">
            <w:pPr>
              <w:rPr>
                <w:rFonts w:ascii="Arial" w:hAnsi="Arial" w:cs="Arial"/>
                <w:b/>
                <w:i/>
                <w:iCs/>
                <w:sz w:val="20"/>
                <w:szCs w:val="20"/>
                <w:u w:val="single"/>
              </w:rPr>
            </w:pPr>
            <w:r w:rsidRPr="00097BC8">
              <w:rPr>
                <w:rFonts w:ascii="Arial" w:hAnsi="Arial" w:cs="Arial"/>
                <w:b/>
                <w:i/>
                <w:iCs/>
                <w:sz w:val="20"/>
                <w:szCs w:val="20"/>
                <w:u w:val="single"/>
              </w:rPr>
              <w:t>Durante su ejecución: Se realiza el control de la compactación</w:t>
            </w:r>
          </w:p>
        </w:tc>
      </w:tr>
      <w:tr w:rsidR="00097BC8" w:rsidRPr="00097BC8" w14:paraId="42635527" w14:textId="77777777" w:rsidTr="00524011">
        <w:trPr>
          <w:trHeight w:val="600"/>
        </w:trPr>
        <w:tc>
          <w:tcPr>
            <w:tcW w:w="5000" w:type="pct"/>
            <w:tcBorders>
              <w:top w:val="nil"/>
              <w:left w:val="single" w:sz="4" w:space="0" w:color="auto"/>
              <w:bottom w:val="single" w:sz="4" w:space="0" w:color="auto"/>
              <w:right w:val="single" w:sz="4" w:space="0" w:color="auto"/>
            </w:tcBorders>
            <w:vAlign w:val="center"/>
            <w:hideMark/>
          </w:tcPr>
          <w:p w14:paraId="1708A9B5" w14:textId="77777777" w:rsidR="00097BC8" w:rsidRPr="00097BC8" w:rsidRDefault="00097BC8" w:rsidP="00524011">
            <w:pPr>
              <w:rPr>
                <w:rFonts w:ascii="Arial" w:hAnsi="Arial" w:cs="Arial"/>
                <w:i/>
                <w:iCs/>
                <w:sz w:val="20"/>
                <w:szCs w:val="20"/>
              </w:rPr>
            </w:pPr>
            <w:r w:rsidRPr="00097BC8">
              <w:rPr>
                <w:rFonts w:ascii="Arial" w:hAnsi="Arial" w:cs="Arial"/>
                <w:i/>
                <w:iCs/>
                <w:sz w:val="20"/>
                <w:szCs w:val="20"/>
              </w:rPr>
              <w:t xml:space="preserve">Cada quinientas metros de calzada, tres mil quinientos metros cuadrados de calzada o fracción construida diariamente se llevarán a cabo los ensayos </w:t>
            </w:r>
            <w:proofErr w:type="gramStart"/>
            <w:r w:rsidRPr="00097BC8">
              <w:rPr>
                <w:rFonts w:ascii="Arial" w:hAnsi="Arial" w:cs="Arial"/>
                <w:i/>
                <w:iCs/>
                <w:sz w:val="20"/>
                <w:szCs w:val="20"/>
              </w:rPr>
              <w:t>siguientes::</w:t>
            </w:r>
            <w:proofErr w:type="gramEnd"/>
          </w:p>
        </w:tc>
      </w:tr>
      <w:tr w:rsidR="00097BC8" w:rsidRPr="00097BC8" w14:paraId="176FEBFF"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77C68F2F"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Cuatro (4) ensayos para la determinación de la densidad (UNE-EN 12697-6:2012)</w:t>
            </w:r>
          </w:p>
        </w:tc>
      </w:tr>
      <w:tr w:rsidR="00097BC8" w:rsidRPr="00097BC8" w14:paraId="6A5C902B"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hideMark/>
          </w:tcPr>
          <w:p w14:paraId="3BBD5B19"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Cuatro (4) ensayos para el Cálculo del porcentaje de huecos (UNE-EN 12697-8:2003)</w:t>
            </w:r>
          </w:p>
        </w:tc>
      </w:tr>
      <w:tr w:rsidR="00097BC8" w:rsidRPr="00097BC8" w14:paraId="187081D5"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7C13A366" w14:textId="77777777" w:rsidR="00097BC8" w:rsidRPr="00097BC8" w:rsidRDefault="00097BC8" w:rsidP="00524011">
            <w:pPr>
              <w:rPr>
                <w:rFonts w:ascii="Arial" w:hAnsi="Arial" w:cs="Arial"/>
                <w:b/>
                <w:sz w:val="20"/>
                <w:szCs w:val="20"/>
                <w:u w:val="single"/>
              </w:rPr>
            </w:pPr>
            <w:r w:rsidRPr="00097BC8">
              <w:rPr>
                <w:rFonts w:ascii="Arial" w:hAnsi="Arial" w:cs="Arial"/>
                <w:b/>
                <w:bCs/>
                <w:i/>
                <w:sz w:val="20"/>
                <w:szCs w:val="20"/>
                <w:u w:val="single"/>
              </w:rPr>
              <w:t xml:space="preserve">Recepción de la </w:t>
            </w:r>
            <w:proofErr w:type="gramStart"/>
            <w:r w:rsidRPr="00097BC8">
              <w:rPr>
                <w:rFonts w:ascii="Arial" w:hAnsi="Arial" w:cs="Arial"/>
                <w:b/>
                <w:bCs/>
                <w:i/>
                <w:sz w:val="20"/>
                <w:szCs w:val="20"/>
                <w:u w:val="single"/>
              </w:rPr>
              <w:t>unidad  terminada</w:t>
            </w:r>
            <w:proofErr w:type="gramEnd"/>
          </w:p>
        </w:tc>
      </w:tr>
      <w:tr w:rsidR="00097BC8" w:rsidRPr="00097BC8" w14:paraId="1BDEAA67"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2F3192EF" w14:textId="77777777" w:rsidR="00097BC8" w:rsidRPr="00097BC8" w:rsidRDefault="00097BC8" w:rsidP="00524011">
            <w:pPr>
              <w:jc w:val="right"/>
              <w:rPr>
                <w:rFonts w:ascii="Arial" w:hAnsi="Arial" w:cs="Arial"/>
                <w:sz w:val="20"/>
                <w:szCs w:val="20"/>
                <w:u w:val="single"/>
              </w:rPr>
            </w:pPr>
            <w:proofErr w:type="spellStart"/>
            <w:r w:rsidRPr="00097BC8">
              <w:rPr>
                <w:rFonts w:ascii="Arial" w:hAnsi="Arial" w:cs="Arial"/>
                <w:sz w:val="20"/>
                <w:szCs w:val="20"/>
              </w:rPr>
              <w:t>Indice</w:t>
            </w:r>
            <w:proofErr w:type="spellEnd"/>
            <w:r w:rsidRPr="00097BC8">
              <w:rPr>
                <w:rFonts w:ascii="Arial" w:hAnsi="Arial" w:cs="Arial"/>
                <w:sz w:val="20"/>
                <w:szCs w:val="20"/>
              </w:rPr>
              <w:t xml:space="preserve"> de regularidad internacional (IRI</w:t>
            </w:r>
            <w:proofErr w:type="gramStart"/>
            <w:r w:rsidRPr="00097BC8">
              <w:rPr>
                <w:rFonts w:ascii="Arial" w:hAnsi="Arial" w:cs="Arial"/>
                <w:sz w:val="20"/>
                <w:szCs w:val="20"/>
              </w:rPr>
              <w:t>).(</w:t>
            </w:r>
            <w:proofErr w:type="gramEnd"/>
            <w:r w:rsidRPr="00097BC8">
              <w:rPr>
                <w:rFonts w:ascii="Arial" w:hAnsi="Arial" w:cs="Arial"/>
                <w:sz w:val="20"/>
                <w:szCs w:val="20"/>
              </w:rPr>
              <w:t xml:space="preserve"> norma NLT-330)</w:t>
            </w:r>
          </w:p>
        </w:tc>
      </w:tr>
      <w:tr w:rsidR="00097BC8" w:rsidRPr="00097BC8" w14:paraId="3C393D55"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483BE126"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 xml:space="preserve">Coeficiente de rozamiento transversal </w:t>
            </w:r>
            <w:proofErr w:type="gramStart"/>
            <w:r w:rsidRPr="00097BC8">
              <w:rPr>
                <w:rFonts w:ascii="Arial" w:hAnsi="Arial" w:cs="Arial"/>
                <w:sz w:val="20"/>
                <w:szCs w:val="20"/>
              </w:rPr>
              <w:t>CRT(</w:t>
            </w:r>
            <w:proofErr w:type="gramEnd"/>
            <w:r w:rsidRPr="00097BC8">
              <w:rPr>
                <w:rFonts w:ascii="Arial" w:hAnsi="Arial" w:cs="Arial"/>
                <w:sz w:val="20"/>
                <w:szCs w:val="20"/>
              </w:rPr>
              <w:t>UNE–EN 13036-1:2010)</w:t>
            </w:r>
          </w:p>
        </w:tc>
      </w:tr>
      <w:tr w:rsidR="00097BC8" w:rsidRPr="00097BC8" w14:paraId="4A02F1EF"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7AF2A723" w14:textId="77777777" w:rsidR="00097BC8" w:rsidRPr="00097BC8" w:rsidRDefault="00097BC8" w:rsidP="00524011">
            <w:pPr>
              <w:rPr>
                <w:rFonts w:ascii="Arial" w:hAnsi="Arial" w:cs="Arial"/>
                <w:b/>
                <w:sz w:val="20"/>
                <w:szCs w:val="20"/>
                <w:u w:val="single"/>
              </w:rPr>
            </w:pPr>
            <w:r w:rsidRPr="00097BC8">
              <w:rPr>
                <w:rFonts w:ascii="Arial" w:hAnsi="Arial" w:cs="Arial"/>
                <w:b/>
                <w:bCs/>
                <w:i/>
                <w:sz w:val="20"/>
                <w:szCs w:val="20"/>
                <w:u w:val="single"/>
              </w:rPr>
              <w:t>En la capa de rodadura se llevarán a cabo los ensayos siguientes</w:t>
            </w:r>
            <w:r w:rsidRPr="00097BC8">
              <w:rPr>
                <w:rFonts w:ascii="Arial" w:hAnsi="Arial" w:cs="Arial"/>
                <w:b/>
                <w:sz w:val="20"/>
                <w:szCs w:val="20"/>
                <w:u w:val="single"/>
              </w:rPr>
              <w:t xml:space="preserve"> </w:t>
            </w:r>
          </w:p>
        </w:tc>
      </w:tr>
      <w:tr w:rsidR="00097BC8" w:rsidRPr="00097BC8" w14:paraId="4D99B76D"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6E08405A" w14:textId="77777777" w:rsidR="00097BC8" w:rsidRPr="00097BC8" w:rsidRDefault="00097BC8" w:rsidP="00524011">
            <w:pPr>
              <w:jc w:val="right"/>
              <w:rPr>
                <w:rFonts w:ascii="Arial" w:hAnsi="Arial" w:cs="Arial"/>
                <w:sz w:val="20"/>
                <w:szCs w:val="20"/>
              </w:rPr>
            </w:pPr>
            <w:proofErr w:type="spellStart"/>
            <w:r w:rsidRPr="00097BC8">
              <w:rPr>
                <w:rFonts w:ascii="Arial" w:hAnsi="Arial" w:cs="Arial"/>
                <w:sz w:val="20"/>
                <w:szCs w:val="20"/>
              </w:rPr>
              <w:t>Macrotextura</w:t>
            </w:r>
            <w:proofErr w:type="spellEnd"/>
            <w:r w:rsidRPr="00097BC8">
              <w:rPr>
                <w:rFonts w:ascii="Arial" w:hAnsi="Arial" w:cs="Arial"/>
                <w:sz w:val="20"/>
                <w:szCs w:val="20"/>
              </w:rPr>
              <w:t xml:space="preserve"> superficial (UNE-EN 13036-1:2010)</w:t>
            </w:r>
          </w:p>
        </w:tc>
      </w:tr>
      <w:tr w:rsidR="00097BC8" w:rsidRPr="00097BC8" w14:paraId="3F8B392F" w14:textId="77777777" w:rsidTr="00524011">
        <w:trPr>
          <w:trHeight w:val="300"/>
        </w:trPr>
        <w:tc>
          <w:tcPr>
            <w:tcW w:w="5000" w:type="pct"/>
            <w:tcBorders>
              <w:top w:val="nil"/>
              <w:left w:val="single" w:sz="4" w:space="0" w:color="auto"/>
              <w:bottom w:val="single" w:sz="4" w:space="0" w:color="auto"/>
              <w:right w:val="single" w:sz="4" w:space="0" w:color="auto"/>
            </w:tcBorders>
            <w:noWrap/>
            <w:vAlign w:val="center"/>
          </w:tcPr>
          <w:p w14:paraId="1D1EBED2" w14:textId="77777777" w:rsidR="00097BC8" w:rsidRPr="00097BC8" w:rsidRDefault="00097BC8" w:rsidP="00524011">
            <w:pPr>
              <w:jc w:val="right"/>
              <w:rPr>
                <w:rFonts w:ascii="Arial" w:hAnsi="Arial" w:cs="Arial"/>
                <w:sz w:val="20"/>
                <w:szCs w:val="20"/>
              </w:rPr>
            </w:pPr>
            <w:r w:rsidRPr="00097BC8">
              <w:rPr>
                <w:rFonts w:ascii="Arial" w:hAnsi="Arial" w:cs="Arial"/>
                <w:sz w:val="20"/>
                <w:szCs w:val="20"/>
              </w:rPr>
              <w:t>Resistencia al deslizamiento (UNE 41201:2010 IN)</w:t>
            </w:r>
          </w:p>
        </w:tc>
      </w:tr>
      <w:tr w:rsidR="00097BC8" w:rsidRPr="00097BC8" w14:paraId="185346F1" w14:textId="77777777" w:rsidTr="00524011">
        <w:trPr>
          <w:trHeight w:val="255"/>
        </w:trPr>
        <w:tc>
          <w:tcPr>
            <w:tcW w:w="5000" w:type="pct"/>
            <w:tcBorders>
              <w:top w:val="nil"/>
              <w:left w:val="nil"/>
              <w:bottom w:val="nil"/>
              <w:right w:val="nil"/>
            </w:tcBorders>
            <w:vAlign w:val="center"/>
            <w:hideMark/>
          </w:tcPr>
          <w:p w14:paraId="5B1D9112" w14:textId="77777777" w:rsidR="00097BC8" w:rsidRPr="00097BC8" w:rsidRDefault="00097BC8" w:rsidP="00524011">
            <w:pPr>
              <w:rPr>
                <w:rFonts w:cs="Arial"/>
                <w:i/>
                <w:iCs/>
                <w:sz w:val="20"/>
                <w:szCs w:val="20"/>
              </w:rPr>
            </w:pPr>
          </w:p>
        </w:tc>
      </w:tr>
    </w:tbl>
    <w:p w14:paraId="4DD55880" w14:textId="77777777" w:rsidR="00B134D9" w:rsidRPr="00B338BE" w:rsidRDefault="00B134D9" w:rsidP="007D6044">
      <w:pPr>
        <w:pStyle w:val="NORMAL12"/>
      </w:pPr>
      <w:r w:rsidRPr="00B338BE">
        <w:t>Se realizarán además las siguientes auscultaciones:</w:t>
      </w:r>
    </w:p>
    <w:p w14:paraId="0CB1153F" w14:textId="77777777" w:rsidR="00B134D9" w:rsidRPr="00B338BE" w:rsidRDefault="00B134D9" w:rsidP="006D4837">
      <w:pPr>
        <w:pStyle w:val="NORMAL12"/>
        <w:numPr>
          <w:ilvl w:val="0"/>
          <w:numId w:val="30"/>
        </w:numPr>
      </w:pPr>
      <w:r w:rsidRPr="00B338BE">
        <w:t>Auscultación visual: Tiene por objeto detectar e incluso cuantificar los deterioros existentes. Se realizará siguiendo la metodología para la evaluación del estado de firmes de carreteras según la normativa que aplique en su caso.</w:t>
      </w:r>
    </w:p>
    <w:p w14:paraId="0088D733" w14:textId="77777777" w:rsidR="00B134D9" w:rsidRPr="00B338BE" w:rsidRDefault="00B134D9" w:rsidP="006D4837">
      <w:pPr>
        <w:pStyle w:val="NORMAL12"/>
        <w:numPr>
          <w:ilvl w:val="0"/>
          <w:numId w:val="30"/>
        </w:numPr>
      </w:pPr>
      <w:r w:rsidRPr="00B338BE">
        <w:t>Auscultación especializada: Supone un paso más respecto a la auscultación visual, posibilitando una cuantificación más precisa de determinados deterioros. Se deberá realizar mediciones de los siguientes parámetros:</w:t>
      </w:r>
    </w:p>
    <w:p w14:paraId="1CB473AE" w14:textId="77777777" w:rsidR="00B134D9" w:rsidRPr="00B338BE" w:rsidRDefault="00B134D9" w:rsidP="006D4837">
      <w:pPr>
        <w:pStyle w:val="NORMAL12"/>
        <w:numPr>
          <w:ilvl w:val="1"/>
          <w:numId w:val="30"/>
        </w:numPr>
      </w:pPr>
      <w:r w:rsidRPr="00B338BE">
        <w:t>Regularidad superficial: Se determinará el Índice de Regularidad Internacional (</w:t>
      </w:r>
      <w:proofErr w:type="spellStart"/>
      <w:r w:rsidRPr="00B338BE">
        <w:t>lRI</w:t>
      </w:r>
      <w:proofErr w:type="spellEnd"/>
      <w:r w:rsidRPr="00B338BE">
        <w:t xml:space="preserve">). Para ello se dividirá cada tramo en subtramos de 1.000 metros de longitud por sentido, y se tomarán mediciones cada </w:t>
      </w:r>
      <w:r w:rsidR="00961CAF">
        <w:t>10</w:t>
      </w:r>
      <w:r w:rsidRPr="00B338BE">
        <w:t>0 metros en cada uno de estos subtramos.</w:t>
      </w:r>
    </w:p>
    <w:p w14:paraId="51C69DDF" w14:textId="77777777" w:rsidR="00B134D9" w:rsidRPr="00504DAB" w:rsidRDefault="00B134D9" w:rsidP="006D4837">
      <w:pPr>
        <w:pStyle w:val="NORMAL12"/>
        <w:numPr>
          <w:ilvl w:val="1"/>
          <w:numId w:val="30"/>
        </w:numPr>
      </w:pPr>
      <w:r w:rsidRPr="00B338BE">
        <w:t>Adherencia del pavimento: Se determinará el Coeficiente de Rozamiento Transversal (</w:t>
      </w:r>
      <w:r w:rsidRPr="00504DAB">
        <w:t>CRT)</w:t>
      </w:r>
      <w:r w:rsidR="00FD4B8E" w:rsidRPr="00504DAB">
        <w:t xml:space="preserve"> en la capa de rodadura</w:t>
      </w:r>
      <w:r w:rsidRPr="00504DAB">
        <w:t>. Para ello se dividirá cada tramo en subtramos de 1.000 metros de longitud por sentido, y se tomarán mediciones cada 20 metros en cada uno de estos subtramos.</w:t>
      </w:r>
    </w:p>
    <w:p w14:paraId="4BA35A2D" w14:textId="77777777" w:rsidR="00B134D9" w:rsidRPr="00B338BE" w:rsidRDefault="00B134D9" w:rsidP="006D4837">
      <w:pPr>
        <w:pStyle w:val="NORMAL12"/>
        <w:numPr>
          <w:ilvl w:val="1"/>
          <w:numId w:val="30"/>
        </w:numPr>
      </w:pPr>
      <w:r w:rsidRPr="00504DAB">
        <w:t>Deflexiones: Se medirán las deflexiones de los distintos subtramos, calculando las deflexiones característica</w:t>
      </w:r>
      <w:r w:rsidR="00097C55" w:rsidRPr="00504DAB">
        <w:t>s</w:t>
      </w:r>
      <w:r w:rsidRPr="00504DAB">
        <w:t>, patrón y</w:t>
      </w:r>
      <w:r w:rsidRPr="00B338BE">
        <w:t xml:space="preserve"> de cálculo.</w:t>
      </w:r>
    </w:p>
    <w:p w14:paraId="54C7508E" w14:textId="77777777" w:rsidR="00B134D9" w:rsidRPr="00852CB3" w:rsidRDefault="00E22AE3" w:rsidP="00D9029C">
      <w:pPr>
        <w:pStyle w:val="NORMAL12"/>
        <w:keepNext/>
        <w:rPr>
          <w:i/>
          <w:u w:val="single"/>
        </w:rPr>
      </w:pPr>
      <w:r>
        <w:rPr>
          <w:i/>
          <w:u w:val="single"/>
        </w:rPr>
        <w:br w:type="column"/>
      </w:r>
      <w:r w:rsidR="00B134D9" w:rsidRPr="00852CB3">
        <w:rPr>
          <w:i/>
          <w:u w:val="single"/>
        </w:rPr>
        <w:lastRenderedPageBreak/>
        <w:t>Prescripciones sobre auscultación especializada</w:t>
      </w:r>
    </w:p>
    <w:p w14:paraId="7D6A3A1D" w14:textId="77777777" w:rsidR="00852CB3" w:rsidRDefault="00852CB3" w:rsidP="000313DD">
      <w:pPr>
        <w:pStyle w:val="NORMAL12"/>
        <w:keepNext/>
        <w:numPr>
          <w:ilvl w:val="0"/>
          <w:numId w:val="263"/>
        </w:numPr>
      </w:pPr>
      <w:r w:rsidRPr="000202A1">
        <w:t>El índice</w:t>
      </w:r>
      <w:r w:rsidR="007D15FB">
        <w:t xml:space="preserve"> de regularidad internacional </w:t>
      </w:r>
      <w:r w:rsidRPr="000202A1">
        <w:t>IRI (dm/hm) para firmes de nueva construcción debe cumplir</w:t>
      </w:r>
      <w:r w:rsidR="00217216">
        <w:t xml:space="preserve"> </w:t>
      </w:r>
      <w:r w:rsidRPr="000202A1">
        <w:t>lo establecido en la tabla 542.17 a del PG-3 que se adjunta</w:t>
      </w:r>
      <w:r w:rsidR="000202A1">
        <w:t>:</w:t>
      </w:r>
    </w:p>
    <w:tbl>
      <w:tblPr>
        <w:tblW w:w="6700" w:type="dxa"/>
        <w:jc w:val="center"/>
        <w:tblCellMar>
          <w:left w:w="70" w:type="dxa"/>
          <w:right w:w="70" w:type="dxa"/>
        </w:tblCellMar>
        <w:tblLook w:val="04A0" w:firstRow="1" w:lastRow="0" w:firstColumn="1" w:lastColumn="0" w:noHBand="0" w:noVBand="1"/>
      </w:tblPr>
      <w:tblGrid>
        <w:gridCol w:w="2660"/>
        <w:gridCol w:w="2496"/>
        <w:gridCol w:w="1544"/>
      </w:tblGrid>
      <w:tr w:rsidR="000202A1" w14:paraId="174E7212" w14:textId="77777777" w:rsidTr="000202A1">
        <w:trPr>
          <w:trHeight w:val="300"/>
          <w:jc w:val="center"/>
        </w:trPr>
        <w:tc>
          <w:tcPr>
            <w:tcW w:w="26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6F446544" w14:textId="77777777" w:rsidR="000202A1" w:rsidRDefault="000202A1">
            <w:pPr>
              <w:jc w:val="center"/>
              <w:rPr>
                <w:rFonts w:ascii="Calibri" w:hAnsi="Calibri" w:cs="Calibri"/>
                <w:b/>
                <w:bCs/>
                <w:color w:val="000000"/>
                <w:sz w:val="22"/>
                <w:szCs w:val="22"/>
              </w:rPr>
            </w:pPr>
            <w:r>
              <w:rPr>
                <w:rFonts w:ascii="Calibri" w:hAnsi="Calibri" w:cs="Calibri"/>
                <w:b/>
                <w:bCs/>
                <w:color w:val="000000"/>
                <w:sz w:val="22"/>
                <w:szCs w:val="22"/>
              </w:rPr>
              <w:t>Porcentaje de hectómetros</w:t>
            </w:r>
          </w:p>
        </w:tc>
        <w:tc>
          <w:tcPr>
            <w:tcW w:w="404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2DEDCFED" w14:textId="77777777" w:rsidR="000202A1" w:rsidRDefault="000202A1">
            <w:pPr>
              <w:jc w:val="center"/>
              <w:rPr>
                <w:rFonts w:ascii="Calibri" w:hAnsi="Calibri" w:cs="Calibri"/>
                <w:b/>
                <w:bCs/>
                <w:color w:val="000000"/>
                <w:sz w:val="22"/>
                <w:szCs w:val="22"/>
              </w:rPr>
            </w:pPr>
            <w:r>
              <w:rPr>
                <w:rFonts w:ascii="Calibri" w:hAnsi="Calibri" w:cs="Calibri"/>
                <w:b/>
                <w:bCs/>
                <w:color w:val="000000"/>
                <w:sz w:val="22"/>
                <w:szCs w:val="22"/>
              </w:rPr>
              <w:t>TIPO DE VÍA</w:t>
            </w:r>
          </w:p>
        </w:tc>
      </w:tr>
      <w:tr w:rsidR="000202A1" w14:paraId="2EEE969C" w14:textId="77777777" w:rsidTr="000202A1">
        <w:trPr>
          <w:trHeight w:val="300"/>
          <w:jc w:val="center"/>
        </w:trPr>
        <w:tc>
          <w:tcPr>
            <w:tcW w:w="2660" w:type="dxa"/>
            <w:vMerge/>
            <w:tcBorders>
              <w:top w:val="single" w:sz="4" w:space="0" w:color="auto"/>
              <w:left w:val="single" w:sz="4" w:space="0" w:color="auto"/>
              <w:bottom w:val="single" w:sz="4" w:space="0" w:color="000000"/>
              <w:right w:val="single" w:sz="4" w:space="0" w:color="auto"/>
            </w:tcBorders>
            <w:vAlign w:val="center"/>
            <w:hideMark/>
          </w:tcPr>
          <w:p w14:paraId="377ACE24" w14:textId="77777777" w:rsidR="000202A1" w:rsidRDefault="000202A1">
            <w:pPr>
              <w:rPr>
                <w:rFonts w:ascii="Calibri" w:hAnsi="Calibri" w:cs="Calibri"/>
                <w:b/>
                <w:bCs/>
                <w:color w:val="000000"/>
                <w:sz w:val="22"/>
                <w:szCs w:val="22"/>
              </w:rPr>
            </w:pPr>
          </w:p>
        </w:tc>
        <w:tc>
          <w:tcPr>
            <w:tcW w:w="2496" w:type="dxa"/>
            <w:tcBorders>
              <w:top w:val="nil"/>
              <w:left w:val="nil"/>
              <w:bottom w:val="single" w:sz="4" w:space="0" w:color="auto"/>
              <w:right w:val="single" w:sz="4" w:space="0" w:color="auto"/>
            </w:tcBorders>
            <w:shd w:val="clear" w:color="000000" w:fill="D9D9D9"/>
            <w:noWrap/>
            <w:vAlign w:val="bottom"/>
            <w:hideMark/>
          </w:tcPr>
          <w:p w14:paraId="7D431E5B" w14:textId="77777777" w:rsidR="000202A1" w:rsidRDefault="000202A1">
            <w:pPr>
              <w:jc w:val="center"/>
              <w:rPr>
                <w:rFonts w:ascii="Calibri" w:hAnsi="Calibri" w:cs="Calibri"/>
                <w:b/>
                <w:bCs/>
                <w:color w:val="000000"/>
                <w:sz w:val="22"/>
                <w:szCs w:val="22"/>
              </w:rPr>
            </w:pPr>
            <w:r>
              <w:rPr>
                <w:rFonts w:ascii="Calibri" w:hAnsi="Calibri" w:cs="Calibri"/>
                <w:b/>
                <w:bCs/>
                <w:color w:val="000000"/>
                <w:sz w:val="22"/>
                <w:szCs w:val="22"/>
              </w:rPr>
              <w:t>Autopistas y autovías</w:t>
            </w:r>
          </w:p>
        </w:tc>
        <w:tc>
          <w:tcPr>
            <w:tcW w:w="1544" w:type="dxa"/>
            <w:tcBorders>
              <w:top w:val="nil"/>
              <w:left w:val="nil"/>
              <w:bottom w:val="single" w:sz="4" w:space="0" w:color="auto"/>
              <w:right w:val="single" w:sz="4" w:space="0" w:color="auto"/>
            </w:tcBorders>
            <w:shd w:val="clear" w:color="000000" w:fill="D9D9D9"/>
            <w:noWrap/>
            <w:vAlign w:val="bottom"/>
            <w:hideMark/>
          </w:tcPr>
          <w:p w14:paraId="12F07CC0" w14:textId="77777777" w:rsidR="000202A1" w:rsidRDefault="000202A1">
            <w:pPr>
              <w:jc w:val="center"/>
              <w:rPr>
                <w:rFonts w:ascii="Calibri" w:hAnsi="Calibri" w:cs="Calibri"/>
                <w:b/>
                <w:bCs/>
                <w:color w:val="000000"/>
                <w:sz w:val="22"/>
                <w:szCs w:val="22"/>
              </w:rPr>
            </w:pPr>
            <w:r>
              <w:rPr>
                <w:rFonts w:ascii="Calibri" w:hAnsi="Calibri" w:cs="Calibri"/>
                <w:b/>
                <w:bCs/>
                <w:color w:val="000000"/>
                <w:sz w:val="22"/>
                <w:szCs w:val="22"/>
              </w:rPr>
              <w:t>Resto de vías</w:t>
            </w:r>
          </w:p>
        </w:tc>
      </w:tr>
      <w:tr w:rsidR="000202A1" w14:paraId="1EAC96A9" w14:textId="77777777" w:rsidTr="000202A1">
        <w:trPr>
          <w:trHeight w:val="300"/>
          <w:jc w:val="center"/>
        </w:trPr>
        <w:tc>
          <w:tcPr>
            <w:tcW w:w="2660" w:type="dxa"/>
            <w:tcBorders>
              <w:top w:val="nil"/>
              <w:left w:val="single" w:sz="4" w:space="0" w:color="auto"/>
              <w:bottom w:val="single" w:sz="4" w:space="0" w:color="auto"/>
              <w:right w:val="single" w:sz="4" w:space="0" w:color="auto"/>
            </w:tcBorders>
            <w:noWrap/>
            <w:vAlign w:val="bottom"/>
            <w:hideMark/>
          </w:tcPr>
          <w:p w14:paraId="1214B5BE" w14:textId="77777777" w:rsidR="000202A1" w:rsidRDefault="000202A1">
            <w:pPr>
              <w:jc w:val="center"/>
              <w:rPr>
                <w:rFonts w:ascii="Calibri" w:hAnsi="Calibri" w:cs="Calibri"/>
                <w:color w:val="000000"/>
                <w:sz w:val="22"/>
                <w:szCs w:val="22"/>
              </w:rPr>
            </w:pPr>
            <w:r>
              <w:rPr>
                <w:rFonts w:ascii="Calibri" w:hAnsi="Calibri" w:cs="Calibri"/>
                <w:color w:val="000000"/>
                <w:sz w:val="22"/>
                <w:szCs w:val="22"/>
              </w:rPr>
              <w:t>50</w:t>
            </w:r>
          </w:p>
        </w:tc>
        <w:tc>
          <w:tcPr>
            <w:tcW w:w="2496" w:type="dxa"/>
            <w:tcBorders>
              <w:top w:val="nil"/>
              <w:left w:val="nil"/>
              <w:bottom w:val="single" w:sz="4" w:space="0" w:color="auto"/>
              <w:right w:val="single" w:sz="4" w:space="0" w:color="auto"/>
            </w:tcBorders>
            <w:noWrap/>
            <w:vAlign w:val="bottom"/>
            <w:hideMark/>
          </w:tcPr>
          <w:p w14:paraId="3F8CF00C" w14:textId="77777777" w:rsidR="000202A1" w:rsidRDefault="000202A1">
            <w:pPr>
              <w:jc w:val="center"/>
              <w:rPr>
                <w:rFonts w:ascii="Calibri" w:hAnsi="Calibri" w:cs="Calibri"/>
                <w:color w:val="000000"/>
                <w:sz w:val="22"/>
                <w:szCs w:val="22"/>
              </w:rPr>
            </w:pPr>
            <w:r>
              <w:rPr>
                <w:rFonts w:ascii="Calibri" w:hAnsi="Calibri" w:cs="Calibri"/>
                <w:color w:val="000000"/>
                <w:sz w:val="22"/>
                <w:szCs w:val="22"/>
              </w:rPr>
              <w:t>≤ 1,5</w:t>
            </w:r>
          </w:p>
        </w:tc>
        <w:tc>
          <w:tcPr>
            <w:tcW w:w="1544" w:type="dxa"/>
            <w:tcBorders>
              <w:top w:val="nil"/>
              <w:left w:val="nil"/>
              <w:bottom w:val="single" w:sz="4" w:space="0" w:color="auto"/>
              <w:right w:val="single" w:sz="4" w:space="0" w:color="auto"/>
            </w:tcBorders>
            <w:noWrap/>
            <w:vAlign w:val="bottom"/>
            <w:hideMark/>
          </w:tcPr>
          <w:p w14:paraId="1CE1D4C7" w14:textId="77777777" w:rsidR="000202A1" w:rsidRDefault="000202A1">
            <w:pPr>
              <w:jc w:val="center"/>
              <w:rPr>
                <w:rFonts w:ascii="Calibri" w:hAnsi="Calibri" w:cs="Calibri"/>
                <w:color w:val="000000"/>
                <w:sz w:val="22"/>
                <w:szCs w:val="22"/>
              </w:rPr>
            </w:pPr>
            <w:r>
              <w:rPr>
                <w:rFonts w:ascii="Calibri" w:hAnsi="Calibri" w:cs="Calibri"/>
                <w:color w:val="000000"/>
                <w:sz w:val="22"/>
                <w:szCs w:val="22"/>
              </w:rPr>
              <w:t>≤ 1,5</w:t>
            </w:r>
          </w:p>
        </w:tc>
      </w:tr>
      <w:tr w:rsidR="000202A1" w14:paraId="1DCFBF00" w14:textId="77777777" w:rsidTr="000202A1">
        <w:trPr>
          <w:trHeight w:val="300"/>
          <w:jc w:val="center"/>
        </w:trPr>
        <w:tc>
          <w:tcPr>
            <w:tcW w:w="2660" w:type="dxa"/>
            <w:tcBorders>
              <w:top w:val="nil"/>
              <w:left w:val="single" w:sz="4" w:space="0" w:color="auto"/>
              <w:bottom w:val="single" w:sz="4" w:space="0" w:color="auto"/>
              <w:right w:val="single" w:sz="4" w:space="0" w:color="auto"/>
            </w:tcBorders>
            <w:noWrap/>
            <w:vAlign w:val="bottom"/>
            <w:hideMark/>
          </w:tcPr>
          <w:p w14:paraId="5E1C85FE" w14:textId="77777777" w:rsidR="000202A1" w:rsidRDefault="000202A1">
            <w:pPr>
              <w:jc w:val="center"/>
              <w:rPr>
                <w:rFonts w:ascii="Calibri" w:hAnsi="Calibri" w:cs="Calibri"/>
                <w:color w:val="000000"/>
                <w:sz w:val="22"/>
                <w:szCs w:val="22"/>
              </w:rPr>
            </w:pPr>
            <w:r>
              <w:rPr>
                <w:rFonts w:ascii="Calibri" w:hAnsi="Calibri" w:cs="Calibri"/>
                <w:color w:val="000000"/>
                <w:sz w:val="22"/>
                <w:szCs w:val="22"/>
              </w:rPr>
              <w:t>80</w:t>
            </w:r>
          </w:p>
        </w:tc>
        <w:tc>
          <w:tcPr>
            <w:tcW w:w="2496" w:type="dxa"/>
            <w:tcBorders>
              <w:top w:val="nil"/>
              <w:left w:val="nil"/>
              <w:bottom w:val="single" w:sz="4" w:space="0" w:color="auto"/>
              <w:right w:val="single" w:sz="4" w:space="0" w:color="auto"/>
            </w:tcBorders>
            <w:noWrap/>
            <w:vAlign w:val="bottom"/>
            <w:hideMark/>
          </w:tcPr>
          <w:p w14:paraId="074D4EBF" w14:textId="77777777" w:rsidR="000202A1" w:rsidRDefault="000202A1">
            <w:pPr>
              <w:jc w:val="center"/>
              <w:rPr>
                <w:rFonts w:ascii="Calibri" w:hAnsi="Calibri" w:cs="Calibri"/>
                <w:color w:val="000000"/>
                <w:sz w:val="22"/>
                <w:szCs w:val="22"/>
              </w:rPr>
            </w:pPr>
            <w:r>
              <w:rPr>
                <w:rFonts w:ascii="Calibri" w:hAnsi="Calibri" w:cs="Calibri"/>
                <w:color w:val="000000"/>
                <w:sz w:val="22"/>
                <w:szCs w:val="22"/>
              </w:rPr>
              <w:t>≤ 1,8</w:t>
            </w:r>
          </w:p>
        </w:tc>
        <w:tc>
          <w:tcPr>
            <w:tcW w:w="1544" w:type="dxa"/>
            <w:tcBorders>
              <w:top w:val="nil"/>
              <w:left w:val="nil"/>
              <w:bottom w:val="single" w:sz="4" w:space="0" w:color="auto"/>
              <w:right w:val="single" w:sz="4" w:space="0" w:color="auto"/>
            </w:tcBorders>
            <w:noWrap/>
            <w:vAlign w:val="bottom"/>
            <w:hideMark/>
          </w:tcPr>
          <w:p w14:paraId="3BD2B753" w14:textId="77777777" w:rsidR="000202A1" w:rsidRDefault="000202A1">
            <w:pPr>
              <w:jc w:val="center"/>
              <w:rPr>
                <w:rFonts w:ascii="Calibri" w:hAnsi="Calibri" w:cs="Calibri"/>
                <w:color w:val="000000"/>
                <w:sz w:val="22"/>
                <w:szCs w:val="22"/>
              </w:rPr>
            </w:pPr>
            <w:r>
              <w:rPr>
                <w:rFonts w:ascii="Calibri" w:hAnsi="Calibri" w:cs="Calibri"/>
                <w:color w:val="000000"/>
                <w:sz w:val="22"/>
                <w:szCs w:val="22"/>
              </w:rPr>
              <w:t>≤ 2,0</w:t>
            </w:r>
          </w:p>
        </w:tc>
      </w:tr>
      <w:tr w:rsidR="000202A1" w14:paraId="6BB3068B" w14:textId="77777777" w:rsidTr="000202A1">
        <w:trPr>
          <w:trHeight w:val="300"/>
          <w:jc w:val="center"/>
        </w:trPr>
        <w:tc>
          <w:tcPr>
            <w:tcW w:w="2660" w:type="dxa"/>
            <w:tcBorders>
              <w:top w:val="nil"/>
              <w:left w:val="single" w:sz="4" w:space="0" w:color="auto"/>
              <w:bottom w:val="single" w:sz="4" w:space="0" w:color="auto"/>
              <w:right w:val="single" w:sz="4" w:space="0" w:color="auto"/>
            </w:tcBorders>
            <w:noWrap/>
            <w:vAlign w:val="bottom"/>
            <w:hideMark/>
          </w:tcPr>
          <w:p w14:paraId="45DF204B" w14:textId="77777777" w:rsidR="000202A1" w:rsidRDefault="000202A1">
            <w:pPr>
              <w:jc w:val="center"/>
              <w:rPr>
                <w:rFonts w:ascii="Calibri" w:hAnsi="Calibri" w:cs="Calibri"/>
                <w:color w:val="000000"/>
                <w:sz w:val="22"/>
                <w:szCs w:val="22"/>
              </w:rPr>
            </w:pPr>
            <w:r>
              <w:rPr>
                <w:rFonts w:ascii="Calibri" w:hAnsi="Calibri" w:cs="Calibri"/>
                <w:color w:val="000000"/>
                <w:sz w:val="22"/>
                <w:szCs w:val="22"/>
              </w:rPr>
              <w:t>100</w:t>
            </w:r>
          </w:p>
        </w:tc>
        <w:tc>
          <w:tcPr>
            <w:tcW w:w="2496" w:type="dxa"/>
            <w:tcBorders>
              <w:top w:val="nil"/>
              <w:left w:val="nil"/>
              <w:bottom w:val="single" w:sz="4" w:space="0" w:color="auto"/>
              <w:right w:val="single" w:sz="4" w:space="0" w:color="auto"/>
            </w:tcBorders>
            <w:noWrap/>
            <w:vAlign w:val="bottom"/>
            <w:hideMark/>
          </w:tcPr>
          <w:p w14:paraId="1BE6A70E" w14:textId="77777777" w:rsidR="000202A1" w:rsidRDefault="000202A1">
            <w:pPr>
              <w:jc w:val="center"/>
              <w:rPr>
                <w:rFonts w:ascii="Calibri" w:hAnsi="Calibri" w:cs="Calibri"/>
                <w:color w:val="000000"/>
                <w:sz w:val="22"/>
                <w:szCs w:val="22"/>
              </w:rPr>
            </w:pPr>
            <w:r>
              <w:rPr>
                <w:rFonts w:ascii="Calibri" w:hAnsi="Calibri" w:cs="Calibri"/>
                <w:color w:val="000000"/>
                <w:sz w:val="22"/>
                <w:szCs w:val="22"/>
              </w:rPr>
              <w:t>≤ 2,0</w:t>
            </w:r>
          </w:p>
        </w:tc>
        <w:tc>
          <w:tcPr>
            <w:tcW w:w="1544" w:type="dxa"/>
            <w:tcBorders>
              <w:top w:val="nil"/>
              <w:left w:val="nil"/>
              <w:bottom w:val="single" w:sz="4" w:space="0" w:color="auto"/>
              <w:right w:val="single" w:sz="4" w:space="0" w:color="auto"/>
            </w:tcBorders>
            <w:noWrap/>
            <w:vAlign w:val="bottom"/>
            <w:hideMark/>
          </w:tcPr>
          <w:p w14:paraId="7AA37456" w14:textId="77777777" w:rsidR="000202A1" w:rsidRDefault="000202A1">
            <w:pPr>
              <w:jc w:val="center"/>
              <w:rPr>
                <w:rFonts w:ascii="Calibri" w:hAnsi="Calibri" w:cs="Calibri"/>
                <w:color w:val="000000"/>
                <w:sz w:val="22"/>
                <w:szCs w:val="22"/>
              </w:rPr>
            </w:pPr>
            <w:r>
              <w:rPr>
                <w:rFonts w:ascii="Calibri" w:hAnsi="Calibri" w:cs="Calibri"/>
                <w:color w:val="000000"/>
                <w:sz w:val="22"/>
                <w:szCs w:val="22"/>
              </w:rPr>
              <w:t>&lt;2,5</w:t>
            </w:r>
          </w:p>
        </w:tc>
      </w:tr>
    </w:tbl>
    <w:p w14:paraId="4E0EF3B6" w14:textId="77777777" w:rsidR="000202A1" w:rsidRPr="000202A1" w:rsidRDefault="000202A1" w:rsidP="00D9029C">
      <w:pPr>
        <w:pStyle w:val="NORMAL12"/>
        <w:keepNext/>
      </w:pPr>
    </w:p>
    <w:p w14:paraId="2EA878A4" w14:textId="77777777" w:rsidR="00852CB3" w:rsidRDefault="00852CB3" w:rsidP="00852CB3">
      <w:pPr>
        <w:pStyle w:val="NORMAL12"/>
        <w:numPr>
          <w:ilvl w:val="0"/>
          <w:numId w:val="30"/>
        </w:numPr>
      </w:pPr>
      <w:proofErr w:type="spellStart"/>
      <w:r w:rsidRPr="00F85AD4">
        <w:t>Macrotextura</w:t>
      </w:r>
      <w:proofErr w:type="spellEnd"/>
      <w:r w:rsidRPr="00F85AD4">
        <w:t xml:space="preserve"> de la capa de rodadura &gt; </w:t>
      </w:r>
      <w:r>
        <w:t>0,7</w:t>
      </w:r>
      <w:r w:rsidRPr="00F85AD4">
        <w:t xml:space="preserve"> mm</w:t>
      </w:r>
      <w:r>
        <w:t>, medida inmediatamente después de la puesta en obra.</w:t>
      </w:r>
    </w:p>
    <w:p w14:paraId="1028F828" w14:textId="77777777" w:rsidR="00852CB3" w:rsidRPr="00F85AD4" w:rsidRDefault="00852CB3" w:rsidP="00852CB3">
      <w:pPr>
        <w:pStyle w:val="NORMAL12"/>
        <w:numPr>
          <w:ilvl w:val="0"/>
          <w:numId w:val="30"/>
        </w:numPr>
      </w:pPr>
      <w:r w:rsidRPr="00F85AD4">
        <w:t>Resistencia al deslizamiento mayor al 6</w:t>
      </w:r>
      <w:r>
        <w:t>5</w:t>
      </w:r>
      <w:r w:rsidRPr="00F85AD4">
        <w:t xml:space="preserve">%, </w:t>
      </w:r>
      <w:r>
        <w:t xml:space="preserve">medida </w:t>
      </w:r>
      <w:r w:rsidRPr="00F85AD4">
        <w:t>una vez transcurrido un mes desde la puesta en servicio</w:t>
      </w:r>
      <w:r>
        <w:t xml:space="preserve"> de la </w:t>
      </w:r>
      <w:r w:rsidR="00AA6379">
        <w:t>vía.</w:t>
      </w:r>
    </w:p>
    <w:p w14:paraId="0EC4E270" w14:textId="77777777" w:rsidR="00B134D9" w:rsidRPr="00852CB3" w:rsidRDefault="00B134D9" w:rsidP="006D4837">
      <w:pPr>
        <w:pStyle w:val="NORMAL12"/>
        <w:numPr>
          <w:ilvl w:val="0"/>
          <w:numId w:val="30"/>
        </w:numPr>
      </w:pPr>
      <w:r w:rsidRPr="00852CB3">
        <w:t>Deflexiones. Para cada subtramo de 1000 metros de longitud por sentido deberá cumplirse la siguiente condición:</w:t>
      </w:r>
    </w:p>
    <w:p w14:paraId="322F963D" w14:textId="77777777" w:rsidR="00B134D9" w:rsidRPr="00852CB3" w:rsidRDefault="00B134D9" w:rsidP="006D4837">
      <w:pPr>
        <w:pStyle w:val="NORMAL12"/>
        <w:numPr>
          <w:ilvl w:val="1"/>
          <w:numId w:val="30"/>
        </w:numPr>
      </w:pPr>
      <w:r w:rsidRPr="00852CB3">
        <w:t>Deflexión de cálculo &lt; 30 centésimas</w:t>
      </w:r>
      <w:r w:rsidR="007323B3" w:rsidRPr="00852CB3">
        <w:tab/>
      </w:r>
    </w:p>
    <w:p w14:paraId="66A37ACC" w14:textId="77777777" w:rsidR="00810099" w:rsidRPr="00B338BE" w:rsidRDefault="00E22AE3" w:rsidP="000313DD">
      <w:pPr>
        <w:pStyle w:val="TITU2"/>
      </w:pPr>
      <w:r>
        <w:br w:type="column"/>
      </w:r>
      <w:bookmarkStart w:id="607" w:name="_Toc404346"/>
      <w:r w:rsidR="00810099" w:rsidRPr="00B338BE">
        <w:t>542.11</w:t>
      </w:r>
      <w:r w:rsidR="001013FE">
        <w:t>.</w:t>
      </w:r>
      <w:r w:rsidR="00810099" w:rsidRPr="00B338BE">
        <w:t xml:space="preserve"> Medición y abono</w:t>
      </w:r>
      <w:bookmarkEnd w:id="607"/>
    </w:p>
    <w:p w14:paraId="28AADFBE" w14:textId="77777777" w:rsidR="00B134D9" w:rsidRPr="00B338BE" w:rsidRDefault="00154596" w:rsidP="007323B3">
      <w:pPr>
        <w:pStyle w:val="NORMAL12"/>
      </w:pPr>
      <w:r w:rsidRPr="00B338BE">
        <w:t xml:space="preserve">La medición y abono de las unidades de mezcla bituminosa se realizará </w:t>
      </w:r>
      <w:r w:rsidR="00B134D9" w:rsidRPr="00B338BE">
        <w:t>conforme a las especificaciones</w:t>
      </w:r>
      <w:r w:rsidRPr="00B338BE">
        <w:t xml:space="preserve"> siguientes</w:t>
      </w:r>
      <w:r w:rsidR="00B134D9" w:rsidRPr="00B338B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9"/>
        <w:gridCol w:w="6872"/>
      </w:tblGrid>
      <w:tr w:rsidR="00B134D9" w:rsidRPr="00B338BE" w14:paraId="48A314CB" w14:textId="77777777" w:rsidTr="001B1CBC">
        <w:tc>
          <w:tcPr>
            <w:tcW w:w="2339" w:type="dxa"/>
            <w:vAlign w:val="center"/>
          </w:tcPr>
          <w:p w14:paraId="3E564AA0" w14:textId="77777777" w:rsidR="00B134D9" w:rsidRPr="00B338BE" w:rsidRDefault="00B134D9" w:rsidP="0000436B">
            <w:pPr>
              <w:pStyle w:val="Tabla"/>
              <w:rPr>
                <w:b/>
              </w:rPr>
            </w:pPr>
            <w:r w:rsidRPr="00B338BE">
              <w:rPr>
                <w:b/>
              </w:rPr>
              <w:t>Unidad de medida</w:t>
            </w:r>
          </w:p>
        </w:tc>
        <w:tc>
          <w:tcPr>
            <w:tcW w:w="6872" w:type="dxa"/>
            <w:vAlign w:val="center"/>
          </w:tcPr>
          <w:p w14:paraId="0F79A45C" w14:textId="77777777" w:rsidR="00B134D9" w:rsidRPr="00B338BE" w:rsidRDefault="00B134D9" w:rsidP="001B1CBC">
            <w:pPr>
              <w:pStyle w:val="Tabla1"/>
              <w:rPr>
                <w:sz w:val="20"/>
                <w:szCs w:val="20"/>
              </w:rPr>
            </w:pPr>
            <w:r w:rsidRPr="00B338BE">
              <w:rPr>
                <w:sz w:val="20"/>
                <w:szCs w:val="20"/>
              </w:rPr>
              <w:t>Tonelada (t)</w:t>
            </w:r>
          </w:p>
        </w:tc>
      </w:tr>
      <w:tr w:rsidR="00B134D9" w:rsidRPr="00B338BE" w14:paraId="07A28AA4" w14:textId="77777777" w:rsidTr="001B1CBC">
        <w:tc>
          <w:tcPr>
            <w:tcW w:w="2339" w:type="dxa"/>
            <w:vAlign w:val="center"/>
          </w:tcPr>
          <w:p w14:paraId="33619281" w14:textId="77777777" w:rsidR="00B134D9" w:rsidRPr="00B338BE" w:rsidRDefault="00B134D9" w:rsidP="0000436B">
            <w:pPr>
              <w:pStyle w:val="Tabla"/>
              <w:rPr>
                <w:b/>
              </w:rPr>
            </w:pPr>
            <w:r w:rsidRPr="00B338BE">
              <w:rPr>
                <w:b/>
              </w:rPr>
              <w:t>Grado de precisión</w:t>
            </w:r>
          </w:p>
        </w:tc>
        <w:tc>
          <w:tcPr>
            <w:tcW w:w="6872" w:type="dxa"/>
            <w:vAlign w:val="center"/>
          </w:tcPr>
          <w:p w14:paraId="413E21C6" w14:textId="77777777" w:rsidR="00B134D9" w:rsidRPr="00B338BE" w:rsidRDefault="00B134D9" w:rsidP="001B1CBC">
            <w:pPr>
              <w:pStyle w:val="Tabla1"/>
              <w:rPr>
                <w:sz w:val="20"/>
                <w:szCs w:val="20"/>
              </w:rPr>
            </w:pPr>
            <w:r w:rsidRPr="00B338BE">
              <w:rPr>
                <w:sz w:val="20"/>
                <w:szCs w:val="20"/>
              </w:rPr>
              <w:t xml:space="preserve">Dos decimales </w:t>
            </w:r>
          </w:p>
        </w:tc>
      </w:tr>
      <w:tr w:rsidR="00B134D9" w:rsidRPr="00B338BE" w14:paraId="29B6C147" w14:textId="77777777" w:rsidTr="001B1CBC">
        <w:tc>
          <w:tcPr>
            <w:tcW w:w="2339" w:type="dxa"/>
            <w:vAlign w:val="center"/>
          </w:tcPr>
          <w:p w14:paraId="01AD63AA" w14:textId="77777777" w:rsidR="00B134D9" w:rsidRPr="00B338BE" w:rsidRDefault="00B134D9" w:rsidP="0000436B">
            <w:pPr>
              <w:pStyle w:val="Tabla"/>
              <w:rPr>
                <w:b/>
              </w:rPr>
            </w:pPr>
            <w:r w:rsidRPr="00B338BE">
              <w:rPr>
                <w:b/>
              </w:rPr>
              <w:t>Forma de medición</w:t>
            </w:r>
          </w:p>
        </w:tc>
        <w:tc>
          <w:tcPr>
            <w:tcW w:w="6872" w:type="dxa"/>
            <w:vAlign w:val="center"/>
          </w:tcPr>
          <w:p w14:paraId="73D51911" w14:textId="77777777" w:rsidR="00B134D9" w:rsidRPr="00B338BE" w:rsidRDefault="00B134D9" w:rsidP="001B1CBC">
            <w:pPr>
              <w:pStyle w:val="Tabla1"/>
              <w:rPr>
                <w:sz w:val="20"/>
                <w:szCs w:val="20"/>
              </w:rPr>
            </w:pPr>
            <w:r w:rsidRPr="00B338BE">
              <w:rPr>
                <w:sz w:val="20"/>
                <w:szCs w:val="20"/>
              </w:rPr>
              <w:t xml:space="preserve">Toneladas (t) realmente empleadas, medidas por pesada directa en báscula contrastada, o bien por deducción a partir de su volumen, medido a su vez por métodos aprobados por el </w:t>
            </w:r>
            <w:proofErr w:type="gramStart"/>
            <w:r w:rsidRPr="00B338BE">
              <w:rPr>
                <w:sz w:val="20"/>
                <w:szCs w:val="20"/>
              </w:rPr>
              <w:t>Director</w:t>
            </w:r>
            <w:proofErr w:type="gramEnd"/>
            <w:r w:rsidRPr="00B338BE">
              <w:rPr>
                <w:sz w:val="20"/>
                <w:szCs w:val="20"/>
              </w:rPr>
              <w:t xml:space="preserve"> de la obra.</w:t>
            </w:r>
          </w:p>
          <w:p w14:paraId="512F96BD" w14:textId="77777777" w:rsidR="00B134D9" w:rsidRPr="00B338BE" w:rsidRDefault="00B134D9" w:rsidP="009C3D93">
            <w:pPr>
              <w:pStyle w:val="Tabla1"/>
              <w:rPr>
                <w:sz w:val="20"/>
                <w:szCs w:val="20"/>
              </w:rPr>
            </w:pPr>
            <w:r w:rsidRPr="00B338BE">
              <w:rPr>
                <w:sz w:val="20"/>
                <w:szCs w:val="20"/>
              </w:rPr>
              <w:t>A los efectos de medición a partir de los perfiles teóricos de proyecto, la densidad a aplicar a la mezcla es de 2,</w:t>
            </w:r>
            <w:r w:rsidR="009C3D93" w:rsidRPr="00B338BE">
              <w:rPr>
                <w:sz w:val="20"/>
                <w:szCs w:val="20"/>
              </w:rPr>
              <w:t>4</w:t>
            </w:r>
            <w:r w:rsidRPr="00B338BE">
              <w:rPr>
                <w:sz w:val="20"/>
                <w:szCs w:val="20"/>
              </w:rPr>
              <w:t xml:space="preserve"> t/m</w:t>
            </w:r>
            <w:r w:rsidRPr="00B338BE">
              <w:rPr>
                <w:sz w:val="20"/>
                <w:szCs w:val="20"/>
                <w:vertAlign w:val="superscript"/>
              </w:rPr>
              <w:t>3</w:t>
            </w:r>
            <w:r w:rsidRPr="00B338BE">
              <w:rPr>
                <w:sz w:val="20"/>
                <w:szCs w:val="20"/>
              </w:rPr>
              <w:t>.</w:t>
            </w:r>
          </w:p>
        </w:tc>
      </w:tr>
      <w:tr w:rsidR="00B134D9" w:rsidRPr="00B338BE" w14:paraId="4E11CDBE" w14:textId="77777777" w:rsidTr="001B1CBC">
        <w:tc>
          <w:tcPr>
            <w:tcW w:w="2339" w:type="dxa"/>
            <w:vAlign w:val="center"/>
          </w:tcPr>
          <w:p w14:paraId="63219ADB" w14:textId="77777777" w:rsidR="00B134D9" w:rsidRPr="00B338BE" w:rsidRDefault="00B134D9" w:rsidP="0000436B">
            <w:pPr>
              <w:pStyle w:val="Tabla"/>
              <w:rPr>
                <w:b/>
              </w:rPr>
            </w:pPr>
            <w:r w:rsidRPr="00B338BE">
              <w:rPr>
                <w:b/>
              </w:rPr>
              <w:t>Abono</w:t>
            </w:r>
          </w:p>
        </w:tc>
        <w:tc>
          <w:tcPr>
            <w:tcW w:w="6872" w:type="dxa"/>
            <w:vAlign w:val="center"/>
          </w:tcPr>
          <w:p w14:paraId="1B3EAA23" w14:textId="77777777" w:rsidR="00B134D9" w:rsidRPr="00B338BE" w:rsidRDefault="00B134D9" w:rsidP="001B1CBC">
            <w:pPr>
              <w:pStyle w:val="Tabla1"/>
              <w:rPr>
                <w:sz w:val="20"/>
                <w:szCs w:val="20"/>
              </w:rPr>
            </w:pPr>
            <w:r w:rsidRPr="00B338BE">
              <w:rPr>
                <w:sz w:val="20"/>
                <w:szCs w:val="20"/>
              </w:rPr>
              <w:t>Se efectuará cuando se realice la aceptación, una vez realizadas las pruebas y ensayos de recepción.</w:t>
            </w:r>
          </w:p>
        </w:tc>
      </w:tr>
      <w:tr w:rsidR="00B134D9" w:rsidRPr="00B338BE" w14:paraId="0727029C" w14:textId="77777777" w:rsidTr="001B1CBC">
        <w:tc>
          <w:tcPr>
            <w:tcW w:w="2339" w:type="dxa"/>
            <w:vAlign w:val="center"/>
          </w:tcPr>
          <w:p w14:paraId="1C0EC160" w14:textId="77777777" w:rsidR="00B134D9" w:rsidRPr="00B338BE" w:rsidRDefault="00B134D9" w:rsidP="0000436B">
            <w:pPr>
              <w:pStyle w:val="Tabla"/>
              <w:rPr>
                <w:b/>
              </w:rPr>
            </w:pPr>
            <w:r w:rsidRPr="00B338BE">
              <w:rPr>
                <w:b/>
              </w:rPr>
              <w:t>Criterios complementarios</w:t>
            </w:r>
          </w:p>
        </w:tc>
        <w:tc>
          <w:tcPr>
            <w:tcW w:w="6872" w:type="dxa"/>
            <w:vAlign w:val="center"/>
          </w:tcPr>
          <w:p w14:paraId="7D1D410F" w14:textId="77777777" w:rsidR="00B134D9" w:rsidRPr="00B338BE" w:rsidRDefault="00B134D9" w:rsidP="001B1CBC">
            <w:pPr>
              <w:pStyle w:val="Tabla1"/>
              <w:rPr>
                <w:sz w:val="20"/>
                <w:szCs w:val="20"/>
              </w:rPr>
            </w:pPr>
            <w:r w:rsidRPr="00B338BE">
              <w:rPr>
                <w:sz w:val="20"/>
                <w:szCs w:val="20"/>
              </w:rPr>
              <w:t>El precio incluye todas las operaciones y medios auxiliares para su ejecución.</w:t>
            </w:r>
          </w:p>
          <w:p w14:paraId="6655DDB3" w14:textId="77777777" w:rsidR="00B134D9" w:rsidRPr="00B338BE" w:rsidRDefault="007323B3" w:rsidP="001B1CBC">
            <w:pPr>
              <w:pStyle w:val="Tabla1"/>
              <w:rPr>
                <w:sz w:val="20"/>
                <w:szCs w:val="20"/>
              </w:rPr>
            </w:pPr>
            <w:r w:rsidRPr="00B338BE">
              <w:rPr>
                <w:sz w:val="20"/>
                <w:szCs w:val="20"/>
              </w:rPr>
              <w:t>El precio de la unidad de obra no i</w:t>
            </w:r>
            <w:r w:rsidR="00B134D9" w:rsidRPr="00B338BE">
              <w:rPr>
                <w:sz w:val="20"/>
                <w:szCs w:val="20"/>
              </w:rPr>
              <w:t xml:space="preserve">ncluye el </w:t>
            </w:r>
            <w:proofErr w:type="spellStart"/>
            <w:r w:rsidR="00B134D9" w:rsidRPr="00B338BE">
              <w:rPr>
                <w:sz w:val="20"/>
                <w:szCs w:val="20"/>
              </w:rPr>
              <w:t>filler</w:t>
            </w:r>
            <w:proofErr w:type="spellEnd"/>
            <w:r w:rsidR="00B134D9" w:rsidRPr="00B338BE">
              <w:rPr>
                <w:sz w:val="20"/>
                <w:szCs w:val="20"/>
              </w:rPr>
              <w:t xml:space="preserve"> </w:t>
            </w:r>
            <w:r w:rsidR="003A4D91" w:rsidRPr="00B338BE">
              <w:rPr>
                <w:sz w:val="20"/>
                <w:szCs w:val="20"/>
              </w:rPr>
              <w:t xml:space="preserve">de aportación </w:t>
            </w:r>
            <w:r w:rsidR="00B134D9" w:rsidRPr="00B338BE">
              <w:rPr>
                <w:sz w:val="20"/>
                <w:szCs w:val="20"/>
              </w:rPr>
              <w:t>y el betún</w:t>
            </w:r>
            <w:r w:rsidR="009C3D93" w:rsidRPr="00B338BE">
              <w:rPr>
                <w:sz w:val="20"/>
                <w:szCs w:val="20"/>
              </w:rPr>
              <w:t>, que son objeto de medición y abono por unidades independientes</w:t>
            </w:r>
            <w:r w:rsidR="00785503">
              <w:rPr>
                <w:sz w:val="20"/>
                <w:szCs w:val="20"/>
              </w:rPr>
              <w:t xml:space="preserve">, incluidos en los </w:t>
            </w:r>
            <w:proofErr w:type="gramStart"/>
            <w:r w:rsidR="00785503">
              <w:rPr>
                <w:sz w:val="20"/>
                <w:szCs w:val="20"/>
              </w:rPr>
              <w:t>artículos  211</w:t>
            </w:r>
            <w:proofErr w:type="gramEnd"/>
            <w:r w:rsidR="00785503">
              <w:rPr>
                <w:sz w:val="20"/>
                <w:szCs w:val="20"/>
              </w:rPr>
              <w:t xml:space="preserve"> y 212 del presente pliego.</w:t>
            </w:r>
          </w:p>
        </w:tc>
      </w:tr>
    </w:tbl>
    <w:p w14:paraId="7E9BC155" w14:textId="77777777" w:rsidR="00B134D9" w:rsidRPr="009B23E5" w:rsidRDefault="00B134D9" w:rsidP="00B134D9"/>
    <w:p w14:paraId="3854CF98" w14:textId="77777777" w:rsidR="00810099" w:rsidRPr="00886F1A" w:rsidRDefault="009F36C5" w:rsidP="00154596">
      <w:pPr>
        <w:pStyle w:val="TITU1"/>
      </w:pPr>
      <w:bookmarkStart w:id="608" w:name="_Toc404347"/>
      <w:r w:rsidRPr="00886F1A">
        <w:lastRenderedPageBreak/>
        <w:t>A</w:t>
      </w:r>
      <w:r w:rsidR="004062C1">
        <w:t>rtículo 543.</w:t>
      </w:r>
      <w:r w:rsidR="00810099" w:rsidRPr="00886F1A">
        <w:t xml:space="preserve"> Mezclas bituminosas para capas de rodadura. Mezclas drenantes y discontinuas</w:t>
      </w:r>
      <w:bookmarkEnd w:id="608"/>
    </w:p>
    <w:p w14:paraId="28ACBB7C" w14:textId="77777777" w:rsidR="00A016B3" w:rsidRDefault="00A016B3" w:rsidP="00A016B3">
      <w:pPr>
        <w:pStyle w:val="NORMAL12"/>
      </w:pPr>
      <w:r w:rsidRPr="007323B3">
        <w:t>Excepto para lo especificado en el presente Pliego de Prescripciones Técnicas Particulares se seguirá lo prescrito en e</w:t>
      </w:r>
      <w:r>
        <w:t>l vigente artículo 543 del PG-3.</w:t>
      </w:r>
    </w:p>
    <w:p w14:paraId="05A13F8B" w14:textId="77777777" w:rsidR="00512AA4" w:rsidRPr="005864C2" w:rsidRDefault="00512AA4" w:rsidP="000313DD">
      <w:pPr>
        <w:pStyle w:val="TITU2"/>
      </w:pPr>
      <w:bookmarkStart w:id="609" w:name="_Toc404348"/>
      <w:r w:rsidRPr="005864C2">
        <w:t>543.1. Definición</w:t>
      </w:r>
      <w:bookmarkEnd w:id="609"/>
    </w:p>
    <w:p w14:paraId="160F7384" w14:textId="77777777" w:rsidR="00512AA4" w:rsidRPr="002E3333" w:rsidRDefault="00512AA4" w:rsidP="00512AA4">
      <w:pPr>
        <w:pStyle w:val="NORMAL12"/>
      </w:pPr>
      <w:r w:rsidRPr="002E3333">
        <w:t>Se definen como mezclas bituminosas para capa de rodadura aquellas resultantes de la combinación de un betún asfáltico, áridos, en granulometría continua con bajas proporciones de árido fino o con discontinuidad  granulométrica en algunos tamices, polvo mineral y, eventualmente, aditivos, de manera que todas las partículas del árido queden recubiertas por una película homogénea de ligante, cuyo proceso de fabricación y puesta en obra debe realizarse a una temperatura muy superior a la del ambiente.</w:t>
      </w:r>
    </w:p>
    <w:p w14:paraId="69CF5562" w14:textId="77777777" w:rsidR="00C36ABC" w:rsidRPr="002E3333" w:rsidRDefault="00C36ABC" w:rsidP="00C36ABC">
      <w:pPr>
        <w:pStyle w:val="NORMAL12"/>
      </w:pPr>
      <w:r w:rsidRPr="002E3333">
        <w:t xml:space="preserve">Las prescripciones del presente artículo </w:t>
      </w:r>
      <w:proofErr w:type="gramStart"/>
      <w:r w:rsidRPr="002E3333">
        <w:t>son de aplicación</w:t>
      </w:r>
      <w:proofErr w:type="gramEnd"/>
      <w:r w:rsidRPr="002E3333">
        <w:t xml:space="preserve"> a las unidades de obra siguientes:</w:t>
      </w:r>
    </w:p>
    <w:tbl>
      <w:tblPr>
        <w:tblW w:w="5000" w:type="pct"/>
        <w:tblCellMar>
          <w:left w:w="70" w:type="dxa"/>
          <w:right w:w="70" w:type="dxa"/>
        </w:tblCellMar>
        <w:tblLook w:val="04A0" w:firstRow="1" w:lastRow="0" w:firstColumn="1" w:lastColumn="0" w:noHBand="0" w:noVBand="1"/>
      </w:tblPr>
      <w:tblGrid>
        <w:gridCol w:w="1053"/>
        <w:gridCol w:w="777"/>
        <w:gridCol w:w="7948"/>
      </w:tblGrid>
      <w:tr w:rsidR="005864C2" w:rsidRPr="005864C2" w14:paraId="28D95C2C" w14:textId="77777777" w:rsidTr="0084421A">
        <w:trPr>
          <w:trHeight w:val="300"/>
        </w:trPr>
        <w:tc>
          <w:tcPr>
            <w:tcW w:w="538" w:type="pct"/>
            <w:noWrap/>
          </w:tcPr>
          <w:p w14:paraId="520B86EA" w14:textId="77777777" w:rsidR="00E47492" w:rsidRPr="00A051B7" w:rsidRDefault="00E47492">
            <w:pPr>
              <w:rPr>
                <w:rFonts w:ascii="Calibri" w:hAnsi="Calibri"/>
              </w:rPr>
            </w:pPr>
            <w:r w:rsidRPr="00A051B7">
              <w:rPr>
                <w:rFonts w:ascii="Calibri" w:hAnsi="Calibri"/>
              </w:rPr>
              <w:t xml:space="preserve">543.0040          </w:t>
            </w:r>
          </w:p>
        </w:tc>
        <w:tc>
          <w:tcPr>
            <w:tcW w:w="398" w:type="pct"/>
            <w:noWrap/>
          </w:tcPr>
          <w:p w14:paraId="1F439195" w14:textId="77777777" w:rsidR="00E47492" w:rsidRPr="00A051B7" w:rsidRDefault="00E47492">
            <w:pPr>
              <w:rPr>
                <w:rFonts w:ascii="Calibri" w:hAnsi="Calibri"/>
              </w:rPr>
            </w:pPr>
            <w:r w:rsidRPr="00A051B7">
              <w:rPr>
                <w:rFonts w:ascii="Calibri" w:hAnsi="Calibri"/>
              </w:rPr>
              <w:t>m</w:t>
            </w:r>
            <w:r w:rsidRPr="00A051B7">
              <w:rPr>
                <w:rFonts w:ascii="Calibri" w:hAnsi="Calibri"/>
                <w:vertAlign w:val="superscript"/>
              </w:rPr>
              <w:t>2</w:t>
            </w:r>
          </w:p>
        </w:tc>
        <w:tc>
          <w:tcPr>
            <w:tcW w:w="4063" w:type="pct"/>
          </w:tcPr>
          <w:p w14:paraId="7E34BB0C" w14:textId="77777777" w:rsidR="0084421A" w:rsidRPr="00A051B7" w:rsidRDefault="0084421A" w:rsidP="0084421A">
            <w:pPr>
              <w:rPr>
                <w:rFonts w:ascii="Calibri" w:hAnsi="Calibri"/>
              </w:rPr>
            </w:pPr>
            <w:r w:rsidRPr="00A051B7">
              <w:rPr>
                <w:rFonts w:ascii="Calibri" w:hAnsi="Calibri"/>
              </w:rPr>
              <w:t>MEZCLA BITUMINOSA EN CALIENTE DRENANTE TIPO PA 16 (PA-16) EN CAPA DE RODADURA, EXTENDIDA Y COMPACTADA, EXCEPTO BETÚN Y POLVO MINERAL DE APORTACIÓN, CON UN ESPESOR DE 4 cm.</w:t>
            </w:r>
          </w:p>
          <w:p w14:paraId="47F8A4DC" w14:textId="77777777" w:rsidR="00E47492" w:rsidRPr="00A051B7" w:rsidRDefault="00E47492">
            <w:pPr>
              <w:rPr>
                <w:rFonts w:ascii="Calibri" w:hAnsi="Calibri"/>
              </w:rPr>
            </w:pPr>
          </w:p>
        </w:tc>
      </w:tr>
    </w:tbl>
    <w:p w14:paraId="35B1CC11" w14:textId="77777777" w:rsidR="00810099" w:rsidRPr="002E3333" w:rsidRDefault="00810099" w:rsidP="009F36C5">
      <w:pPr>
        <w:pStyle w:val="NORMAL12"/>
      </w:pPr>
      <w:r w:rsidRPr="002E3333">
        <w:t>La ejecución de cualquiera de los tipos de mezcla bituminosa definidas anteriormente incluye las siguientes operaciones:</w:t>
      </w:r>
    </w:p>
    <w:p w14:paraId="00EE77FB" w14:textId="77777777" w:rsidR="00810099" w:rsidRPr="002E3333" w:rsidRDefault="00810099" w:rsidP="006D4837">
      <w:pPr>
        <w:pStyle w:val="NORMAL12"/>
        <w:numPr>
          <w:ilvl w:val="0"/>
          <w:numId w:val="31"/>
        </w:numPr>
      </w:pPr>
      <w:r w:rsidRPr="002E3333">
        <w:t>Estudio de la mezcla y obtención de la fórmula de trabajo.</w:t>
      </w:r>
    </w:p>
    <w:p w14:paraId="577D7674" w14:textId="77777777" w:rsidR="00810099" w:rsidRPr="002E3333" w:rsidRDefault="00810099" w:rsidP="006D4837">
      <w:pPr>
        <w:pStyle w:val="NORMAL12"/>
        <w:numPr>
          <w:ilvl w:val="0"/>
          <w:numId w:val="31"/>
        </w:numPr>
      </w:pPr>
      <w:r w:rsidRPr="002E3333">
        <w:t>Fabricación de acuerdo con la fórmula de trabajo.</w:t>
      </w:r>
    </w:p>
    <w:p w14:paraId="033628AC" w14:textId="77777777" w:rsidR="00810099" w:rsidRPr="002E3333" w:rsidRDefault="00810099" w:rsidP="006D4837">
      <w:pPr>
        <w:pStyle w:val="NORMAL12"/>
        <w:numPr>
          <w:ilvl w:val="0"/>
          <w:numId w:val="31"/>
        </w:numPr>
      </w:pPr>
      <w:r w:rsidRPr="002E3333">
        <w:t>Transporte al lugar de empleo.</w:t>
      </w:r>
    </w:p>
    <w:p w14:paraId="4FC2F5F9" w14:textId="77777777" w:rsidR="00810099" w:rsidRPr="002E3333" w:rsidRDefault="00810099" w:rsidP="006D4837">
      <w:pPr>
        <w:pStyle w:val="NORMAL12"/>
        <w:numPr>
          <w:ilvl w:val="0"/>
          <w:numId w:val="31"/>
        </w:numPr>
      </w:pPr>
      <w:r w:rsidRPr="002E3333">
        <w:t>Preparación de la superficie que va a recibir la mezcla.</w:t>
      </w:r>
    </w:p>
    <w:p w14:paraId="056320BD" w14:textId="77777777" w:rsidR="00810099" w:rsidRPr="002E3333" w:rsidRDefault="00810099" w:rsidP="006D4837">
      <w:pPr>
        <w:pStyle w:val="NORMAL12"/>
        <w:numPr>
          <w:ilvl w:val="0"/>
          <w:numId w:val="31"/>
        </w:numPr>
      </w:pPr>
      <w:r w:rsidRPr="002E3333">
        <w:t>Extensión y compactación de la mezcla.</w:t>
      </w:r>
    </w:p>
    <w:p w14:paraId="46EB9D85" w14:textId="77777777" w:rsidR="00810099" w:rsidRPr="005864C2" w:rsidRDefault="00810099" w:rsidP="000313DD">
      <w:pPr>
        <w:pStyle w:val="TITU2"/>
      </w:pPr>
      <w:bookmarkStart w:id="610" w:name="_Toc404349"/>
      <w:r w:rsidRPr="005864C2">
        <w:t>543.2. Materiales</w:t>
      </w:r>
      <w:bookmarkEnd w:id="610"/>
    </w:p>
    <w:p w14:paraId="5806CD42" w14:textId="77777777" w:rsidR="0033481F" w:rsidRPr="008205EF" w:rsidRDefault="0033481F" w:rsidP="008205EF">
      <w:pPr>
        <w:pStyle w:val="NORMAL12"/>
        <w:rPr>
          <w:i/>
          <w:u w:val="single"/>
        </w:rPr>
      </w:pPr>
      <w:r w:rsidRPr="008205EF">
        <w:rPr>
          <w:i/>
          <w:u w:val="single"/>
        </w:rPr>
        <w:t>Ligantes</w:t>
      </w:r>
    </w:p>
    <w:p w14:paraId="17FD43EE" w14:textId="77777777" w:rsidR="0033481F" w:rsidRDefault="0033481F" w:rsidP="008205EF">
      <w:pPr>
        <w:pStyle w:val="NORMAL12"/>
      </w:pPr>
      <w:r w:rsidRPr="00B076DD">
        <w:t xml:space="preserve">El </w:t>
      </w:r>
      <w:proofErr w:type="spellStart"/>
      <w:r w:rsidRPr="00B076DD">
        <w:t>Iigante</w:t>
      </w:r>
      <w:proofErr w:type="spellEnd"/>
      <w:r w:rsidRPr="00B076DD">
        <w:t xml:space="preserve"> hidrocarbonado que se utilizará en todas las mezclas será un betún asfáltico </w:t>
      </w:r>
      <w:r w:rsidR="00E166ED" w:rsidRPr="00B076DD">
        <w:t>del tipo</w:t>
      </w:r>
      <w:r w:rsidR="00A016B3">
        <w:t xml:space="preserve"> PMB 45/80-65.</w:t>
      </w:r>
    </w:p>
    <w:p w14:paraId="6A23CAF7" w14:textId="77777777" w:rsidR="00A016B3" w:rsidRPr="00B076DD" w:rsidRDefault="00A016B3" w:rsidP="008205EF">
      <w:pPr>
        <w:pStyle w:val="NORMAL12"/>
      </w:pPr>
      <w:r>
        <w:t>La dotación del ligante será de 4,30 % en masa sobre el total de la mezcla</w:t>
      </w:r>
    </w:p>
    <w:p w14:paraId="7A2E46D6" w14:textId="77777777" w:rsidR="0033481F" w:rsidRPr="008205EF" w:rsidRDefault="0033481F" w:rsidP="008205EF">
      <w:pPr>
        <w:pStyle w:val="NORMAL12"/>
        <w:rPr>
          <w:i/>
          <w:u w:val="single"/>
        </w:rPr>
      </w:pPr>
      <w:r w:rsidRPr="008205EF">
        <w:rPr>
          <w:i/>
          <w:u w:val="single"/>
        </w:rPr>
        <w:t>Áridos</w:t>
      </w:r>
    </w:p>
    <w:p w14:paraId="5C60692A" w14:textId="77777777" w:rsidR="00BA7F4B" w:rsidRPr="00B338BE" w:rsidRDefault="00BA7F4B" w:rsidP="008205EF">
      <w:pPr>
        <w:pStyle w:val="NORMAL12"/>
      </w:pPr>
      <w:r w:rsidRPr="00B338BE">
        <w:t>El árido empleado en las mezclas bituminosas discontinuas y en las drenantes podrán ser naturales o artificiales siempre que cumplan las especificaciones recogidas en este artículo.</w:t>
      </w:r>
    </w:p>
    <w:p w14:paraId="79AF5FF9" w14:textId="77777777" w:rsidR="0033481F" w:rsidRPr="00B338BE" w:rsidRDefault="0033481F" w:rsidP="008205EF">
      <w:pPr>
        <w:pStyle w:val="NORMAL12"/>
      </w:pPr>
      <w:r w:rsidRPr="00B338BE">
        <w:t xml:space="preserve">El árido (grueso y fino) a utilizar en la obtención de la mezcla bituminosa discontinua en caliente para la capa de rodadura será en todo momento de naturaleza </w:t>
      </w:r>
      <w:proofErr w:type="spellStart"/>
      <w:r w:rsidRPr="00B338BE">
        <w:t>ofítica</w:t>
      </w:r>
      <w:proofErr w:type="spellEnd"/>
      <w:r w:rsidRPr="00B338BE">
        <w:t>.</w:t>
      </w:r>
    </w:p>
    <w:p w14:paraId="5801CCFD" w14:textId="77777777" w:rsidR="009C3D93" w:rsidRPr="00B338BE" w:rsidRDefault="009C3D93" w:rsidP="009C3D93">
      <w:pPr>
        <w:pStyle w:val="NORMAL12"/>
      </w:pPr>
      <w:r w:rsidRPr="00B338BE">
        <w:t>El árido grueso debe cumplir:</w:t>
      </w:r>
    </w:p>
    <w:p w14:paraId="5821F7BA" w14:textId="77777777" w:rsidR="009C3D93" w:rsidRPr="00B338BE" w:rsidRDefault="009C3D93" w:rsidP="00221E1A">
      <w:pPr>
        <w:pStyle w:val="NORMAL12"/>
        <w:numPr>
          <w:ilvl w:val="0"/>
          <w:numId w:val="140"/>
        </w:numPr>
      </w:pPr>
      <w:r w:rsidRPr="00B338BE">
        <w:t>Los áridos gruesos a emplear en la capa de rodadura para tráfico pesado T0, no serán calizos, ni procederán de la trituración de gravas procedentes de yacimientos granulares.</w:t>
      </w:r>
    </w:p>
    <w:p w14:paraId="2A29710A" w14:textId="77777777" w:rsidR="009C3D93" w:rsidRPr="00B338BE" w:rsidRDefault="009C3D93" w:rsidP="00221E1A">
      <w:pPr>
        <w:pStyle w:val="NORMAL12"/>
        <w:numPr>
          <w:ilvl w:val="0"/>
          <w:numId w:val="140"/>
        </w:numPr>
      </w:pPr>
      <w:r w:rsidRPr="00B338BE">
        <w:t>La proporción de partículas meteorizadas presentes en masa será inferior al cinco (&lt;5) por ciento.</w:t>
      </w:r>
    </w:p>
    <w:p w14:paraId="12E257A4" w14:textId="77777777" w:rsidR="009C3D93" w:rsidRPr="00B338BE" w:rsidRDefault="009C3D93" w:rsidP="00221E1A">
      <w:pPr>
        <w:pStyle w:val="NORMAL12"/>
        <w:numPr>
          <w:ilvl w:val="0"/>
          <w:numId w:val="140"/>
        </w:numPr>
      </w:pPr>
      <w:r w:rsidRPr="00B338BE">
        <w:t>La proporción en masa de partículas total y parcialmente trituradas del árido grueso (norma UNE-EN 933-5) debe ser del cien por cien (100%) en la</w:t>
      </w:r>
      <w:r w:rsidR="00BA7F4B" w:rsidRPr="00B338BE">
        <w:t xml:space="preserve"> capa de rodadura. </w:t>
      </w:r>
      <w:r w:rsidRPr="00B338BE">
        <w:t>Por lo que la proporción en masa de partículas totalmente redondeadas (norma UNE-EN 933-5) debe ser igual al cero por ciento (0%).</w:t>
      </w:r>
    </w:p>
    <w:p w14:paraId="1048DB3D" w14:textId="77777777" w:rsidR="009C3D93" w:rsidRPr="00B338BE" w:rsidRDefault="009C3D93" w:rsidP="00221E1A">
      <w:pPr>
        <w:pStyle w:val="NORMAL12"/>
        <w:numPr>
          <w:ilvl w:val="0"/>
          <w:numId w:val="140"/>
        </w:numPr>
      </w:pPr>
      <w:r w:rsidRPr="00B338BE">
        <w:t>El índice de lajas (FI) (norma UNE-EN 933-3) de las distintas fracciones del árido grueso debe ser meno</w:t>
      </w:r>
      <w:r w:rsidR="00BA7F4B" w:rsidRPr="00B338BE">
        <w:t>r</w:t>
      </w:r>
      <w:r w:rsidRPr="00B338BE">
        <w:t xml:space="preserve"> veint</w:t>
      </w:r>
      <w:r w:rsidR="00BA7F4B" w:rsidRPr="00B338BE">
        <w:t>e</w:t>
      </w:r>
      <w:r w:rsidRPr="00B338BE">
        <w:t xml:space="preserve"> (≤2</w:t>
      </w:r>
      <w:r w:rsidR="00BA7F4B" w:rsidRPr="00B338BE">
        <w:t>0</w:t>
      </w:r>
      <w:r w:rsidRPr="00B338BE">
        <w:t>).</w:t>
      </w:r>
    </w:p>
    <w:p w14:paraId="560F7087" w14:textId="77777777" w:rsidR="009C3D93" w:rsidRPr="00B338BE" w:rsidRDefault="009C3D93" w:rsidP="00221E1A">
      <w:pPr>
        <w:pStyle w:val="NORMAL12"/>
        <w:numPr>
          <w:ilvl w:val="0"/>
          <w:numId w:val="140"/>
        </w:numPr>
      </w:pPr>
      <w:r w:rsidRPr="00B338BE">
        <w:t xml:space="preserve">Resistencia a la fragmentación (coeficiente de los Ángeles) del árido grueso (norma UNE-EN 1097-2) debe ser menor de </w:t>
      </w:r>
      <w:r w:rsidR="00130B56" w:rsidRPr="00B338BE">
        <w:t xml:space="preserve">quince </w:t>
      </w:r>
      <w:r w:rsidRPr="00B338BE">
        <w:t>(≤</w:t>
      </w:r>
      <w:r w:rsidR="00130B56" w:rsidRPr="00B338BE">
        <w:t>15</w:t>
      </w:r>
      <w:r w:rsidRPr="00B338BE">
        <w:t>).</w:t>
      </w:r>
    </w:p>
    <w:p w14:paraId="295CBBD1" w14:textId="77777777" w:rsidR="009C3D93" w:rsidRPr="00B338BE" w:rsidRDefault="009C3D93" w:rsidP="00221E1A">
      <w:pPr>
        <w:pStyle w:val="NORMAL12"/>
        <w:numPr>
          <w:ilvl w:val="0"/>
          <w:numId w:val="140"/>
        </w:numPr>
      </w:pPr>
      <w:r w:rsidRPr="00B338BE">
        <w:t>El coeficiente del pulimento acelerado (PSV) del árido grueso a emplear en las capas de rodadura (norma UNE-EN 1097-8) deber ser mayor de cincuenta y seis (≥56).</w:t>
      </w:r>
    </w:p>
    <w:p w14:paraId="659E136B" w14:textId="77777777" w:rsidR="009C3D93" w:rsidRPr="00B338BE" w:rsidRDefault="009C3D93" w:rsidP="00221E1A">
      <w:pPr>
        <w:pStyle w:val="NORMAL12"/>
        <w:numPr>
          <w:ilvl w:val="0"/>
          <w:numId w:val="140"/>
        </w:numPr>
      </w:pPr>
      <w:r w:rsidRPr="00B338BE">
        <w:t>El contenido en finos (norma UNE-EN 933-1) determinado como el porcentaje que pasa por el tamiz 0,063 mm, será inferior a cinco por mil.</w:t>
      </w:r>
    </w:p>
    <w:p w14:paraId="7C5BEF8C" w14:textId="77777777" w:rsidR="009C3D93" w:rsidRPr="00B338BE" w:rsidRDefault="009C3D93" w:rsidP="009C3D93">
      <w:pPr>
        <w:pStyle w:val="NORMAL12"/>
      </w:pPr>
      <w:r w:rsidRPr="00B338BE">
        <w:t>El árido fino debe cumplir:</w:t>
      </w:r>
    </w:p>
    <w:p w14:paraId="6E01BB7A" w14:textId="77777777" w:rsidR="009C3D93" w:rsidRPr="00B338BE" w:rsidRDefault="009C3D93" w:rsidP="00221E1A">
      <w:pPr>
        <w:pStyle w:val="NORMAL12"/>
        <w:numPr>
          <w:ilvl w:val="0"/>
          <w:numId w:val="141"/>
        </w:numPr>
      </w:pPr>
      <w:r w:rsidRPr="00B338BE">
        <w:t>Procederá en su totalidad de la trituración de piedra de cantera o grava natural.</w:t>
      </w:r>
    </w:p>
    <w:p w14:paraId="53822DA2" w14:textId="77777777" w:rsidR="009C3D93" w:rsidRPr="00B338BE" w:rsidRDefault="009C3D93" w:rsidP="00221E1A">
      <w:pPr>
        <w:pStyle w:val="NORMAL12"/>
        <w:numPr>
          <w:ilvl w:val="0"/>
          <w:numId w:val="141"/>
        </w:numPr>
      </w:pPr>
      <w:r w:rsidRPr="00B338BE">
        <w:lastRenderedPageBreak/>
        <w:t>El árido fino está exento de todo tipo de materia extrañas que puedan afectar a la durabilidad de la capa.</w:t>
      </w:r>
    </w:p>
    <w:p w14:paraId="441D727F" w14:textId="77777777" w:rsidR="009C3D93" w:rsidRPr="00B338BE" w:rsidRDefault="009C3D93" w:rsidP="00221E1A">
      <w:pPr>
        <w:pStyle w:val="NORMAL12"/>
        <w:numPr>
          <w:ilvl w:val="0"/>
          <w:numId w:val="141"/>
        </w:numPr>
      </w:pPr>
      <w:r w:rsidRPr="00B338BE">
        <w:t>El material que se triture para obtener árido fino debe cumplir las mismas condiciones en cuanto al coeficiente de los Ángeles que lo dispuesto para el árido grueso.</w:t>
      </w:r>
    </w:p>
    <w:p w14:paraId="38BE5964" w14:textId="77777777" w:rsidR="00504DAB" w:rsidRDefault="00504DAB" w:rsidP="009C3D93">
      <w:pPr>
        <w:pStyle w:val="NORMAL12"/>
      </w:pPr>
    </w:p>
    <w:p w14:paraId="79781057" w14:textId="77777777" w:rsidR="009C3D93" w:rsidRPr="00B338BE" w:rsidRDefault="009C3D93" w:rsidP="009C3D93">
      <w:pPr>
        <w:pStyle w:val="NORMAL12"/>
      </w:pPr>
      <w:r w:rsidRPr="00B338BE">
        <w:t>Las características del polvo mineral empleado son:</w:t>
      </w:r>
    </w:p>
    <w:p w14:paraId="0E17D098" w14:textId="77777777" w:rsidR="009C3D93" w:rsidRPr="00B338BE" w:rsidRDefault="009C3D93" w:rsidP="00221E1A">
      <w:pPr>
        <w:pStyle w:val="NORMAL12"/>
        <w:numPr>
          <w:ilvl w:val="0"/>
          <w:numId w:val="142"/>
        </w:numPr>
      </w:pPr>
      <w:r w:rsidRPr="00B338BE">
        <w:t>La proporción de polvo mineral de aportación a emplear en la mezcla deber ser del cien por cien.</w:t>
      </w:r>
    </w:p>
    <w:p w14:paraId="42AA1BC7" w14:textId="77777777" w:rsidR="009C3D93" w:rsidRPr="00B338BE" w:rsidRDefault="009C3D93" w:rsidP="00221E1A">
      <w:pPr>
        <w:pStyle w:val="NORMAL12"/>
        <w:numPr>
          <w:ilvl w:val="0"/>
          <w:numId w:val="142"/>
        </w:numPr>
      </w:pPr>
      <w:r w:rsidRPr="00B338BE">
        <w:t>La densidad aparente de polvo mineral (norma UNE-EN 1097-3) debe estar comprendida entre cinco y ocho décimas de gramo por centímetro cúbico (0,5 a 0,8 g/cm</w:t>
      </w:r>
      <w:r w:rsidRPr="00B338BE">
        <w:rPr>
          <w:vertAlign w:val="superscript"/>
        </w:rPr>
        <w:t>3</w:t>
      </w:r>
      <w:r w:rsidRPr="00B338BE">
        <w:t>).</w:t>
      </w:r>
    </w:p>
    <w:p w14:paraId="12F882DA" w14:textId="77777777" w:rsidR="009C3D93" w:rsidRPr="00B338BE" w:rsidRDefault="009C3D93" w:rsidP="009C3D93">
      <w:pPr>
        <w:pStyle w:val="NORMAL12"/>
      </w:pPr>
      <w:r w:rsidRPr="00B338BE">
        <w:t xml:space="preserve">No está permitido el uso de aditivos, salvo autorización expresa del </w:t>
      </w:r>
      <w:proofErr w:type="gramStart"/>
      <w:r w:rsidRPr="00B338BE">
        <w:t>Director</w:t>
      </w:r>
      <w:proofErr w:type="gramEnd"/>
      <w:r w:rsidRPr="00B338BE">
        <w:t xml:space="preserve"> de Obra.</w:t>
      </w:r>
    </w:p>
    <w:p w14:paraId="62C0ABB3" w14:textId="77777777" w:rsidR="0033481F" w:rsidRPr="009B23E5" w:rsidRDefault="0033481F" w:rsidP="008205EF">
      <w:pPr>
        <w:pStyle w:val="NORMAL12"/>
      </w:pPr>
      <w:r w:rsidRPr="00B338BE">
        <w:t>Para la determinación de las características del árido serán de aplicación las tablas del apartado 543.2. del vigente artículo del PG-3</w:t>
      </w:r>
      <w:r w:rsidRPr="009B23E5">
        <w:t>. A efectos de aplicación de estas tablas en el presente artículo de pliego, la categoría del tráfico pesado es la indicada en el epígrafe precedente.</w:t>
      </w:r>
    </w:p>
    <w:p w14:paraId="1487EF4F" w14:textId="77777777" w:rsidR="0033481F" w:rsidRPr="009B23E5" w:rsidRDefault="0033481F" w:rsidP="008205EF">
      <w:pPr>
        <w:pStyle w:val="NORMAL12"/>
      </w:pPr>
      <w:r w:rsidRPr="008205EF">
        <w:t xml:space="preserve">El árido grueso deberá estar exento de terrones de arcilla, materia vegetal, marga u otras materias extrañas que puedan afectar a la durabilidad de la capa. El contenido de impurezas, según la UNE 146130, del árido grueso deberá ser inferior al cinco por mil (0,5%) en masa; en caso contrario, el </w:t>
      </w:r>
      <w:proofErr w:type="gramStart"/>
      <w:r w:rsidRPr="008205EF">
        <w:t>Director</w:t>
      </w:r>
      <w:proofErr w:type="gramEnd"/>
      <w:r w:rsidRPr="008205EF">
        <w:t xml:space="preserve"> de las Obras podrá exigir su limpieza por lavado, aspiración u otros métodos por él aprobados y una nueva comprobación.</w:t>
      </w:r>
    </w:p>
    <w:p w14:paraId="3DF47826" w14:textId="77777777" w:rsidR="0033481F" w:rsidRPr="009B23E5" w:rsidRDefault="0033481F" w:rsidP="008205EF">
      <w:pPr>
        <w:pStyle w:val="NORMAL12"/>
      </w:pPr>
      <w:r w:rsidRPr="009B23E5">
        <w:t>La proporción máxima de arena natural a emplear en la mezcla en masa del total de áridos (incluido el polvo mineral) será del cero por ciento (0 %).</w:t>
      </w:r>
    </w:p>
    <w:p w14:paraId="66B22A76" w14:textId="77777777" w:rsidR="0033481F" w:rsidRDefault="0033481F" w:rsidP="008205EF">
      <w:pPr>
        <w:pStyle w:val="NORMAL12"/>
      </w:pPr>
      <w:r w:rsidRPr="009B23E5">
        <w:t>La proporción mínima de polvo mineral de aportación, excluido el que inevitablemente queda adherido a los áridos, será del cien por cien (100 %) en masa respecto al resto del polvo mineral.</w:t>
      </w:r>
    </w:p>
    <w:p w14:paraId="5C13D6D8" w14:textId="77777777" w:rsidR="00504DAB" w:rsidRPr="009B23E5" w:rsidRDefault="00504DAB" w:rsidP="008205EF">
      <w:pPr>
        <w:pStyle w:val="NORMAL12"/>
      </w:pPr>
    </w:p>
    <w:p w14:paraId="0025FE7B" w14:textId="77777777" w:rsidR="00810099" w:rsidRPr="005864C2" w:rsidRDefault="00810099" w:rsidP="000313DD">
      <w:pPr>
        <w:pStyle w:val="TITU2"/>
      </w:pPr>
      <w:bookmarkStart w:id="611" w:name="_Toc404350"/>
      <w:r w:rsidRPr="005864C2">
        <w:t>543.3. Tipo y composición de la mezcla</w:t>
      </w:r>
      <w:bookmarkEnd w:id="611"/>
    </w:p>
    <w:p w14:paraId="4CA05846" w14:textId="77777777" w:rsidR="0033481F" w:rsidRDefault="0033481F" w:rsidP="008205EF">
      <w:pPr>
        <w:pStyle w:val="NORMAL12"/>
      </w:pPr>
      <w:r w:rsidRPr="009B23E5">
        <w:t>Los tipos de mezcla discontinua o drenante a emplear en este proyecto se indican en la tabla siguiente:</w:t>
      </w:r>
    </w:p>
    <w:p w14:paraId="3E6759FC" w14:textId="77777777" w:rsidR="00F52AAF" w:rsidRPr="009B23E5" w:rsidRDefault="00F52AAF" w:rsidP="00661A5F">
      <w:pPr>
        <w:pStyle w:val="NORMAL12"/>
        <w:numPr>
          <w:ilvl w:val="0"/>
          <w:numId w:val="207"/>
        </w:numPr>
      </w:pPr>
      <w:r w:rsidRPr="00A016B3">
        <w:t>PA 16 PMB 45/80-65 en capa de rodadura en toda la actuación</w:t>
      </w:r>
    </w:p>
    <w:p w14:paraId="1DF3F7A2" w14:textId="77777777" w:rsidR="0033481F" w:rsidRPr="009B23E5" w:rsidRDefault="0033481F" w:rsidP="008205EF">
      <w:pPr>
        <w:pStyle w:val="NORMAL12"/>
      </w:pPr>
      <w:r w:rsidRPr="009B23E5">
        <w:t xml:space="preserve">La fórmula de trabajo de la mezcla bituminosa discontinua en caliente deberá asegurar el cumplimiento de las características de la unidad terminada en lo referente a la </w:t>
      </w:r>
      <w:proofErr w:type="spellStart"/>
      <w:r w:rsidRPr="009B23E5">
        <w:t>macrotextura</w:t>
      </w:r>
      <w:proofErr w:type="spellEnd"/>
      <w:r w:rsidRPr="009B23E5">
        <w:t xml:space="preserve"> superficial y a la resistencia al deslizamiento.</w:t>
      </w:r>
    </w:p>
    <w:p w14:paraId="336FC896" w14:textId="77777777" w:rsidR="0033481F" w:rsidRPr="009B23E5" w:rsidRDefault="0033481F" w:rsidP="008205EF">
      <w:pPr>
        <w:pStyle w:val="NORMAL12"/>
        <w:rPr>
          <w:szCs w:val="22"/>
        </w:rPr>
      </w:pPr>
      <w:r w:rsidRPr="009B23E5">
        <w:t xml:space="preserve">La fórmula de trabajo adoptada para cada tipo de mezcla deberá ser aprobada por el </w:t>
      </w:r>
      <w:proofErr w:type="gramStart"/>
      <w:r w:rsidRPr="009B23E5">
        <w:t>Director</w:t>
      </w:r>
      <w:proofErr w:type="gramEnd"/>
      <w:r w:rsidRPr="009B23E5">
        <w:t xml:space="preserve"> de las obras, requisito sin el cual no podrá iniciarse la ejecución de la mezcla. Si la marcha de las obras lo aconseja, el </w:t>
      </w:r>
      <w:proofErr w:type="gramStart"/>
      <w:r w:rsidRPr="009B23E5">
        <w:t>Director</w:t>
      </w:r>
      <w:proofErr w:type="gramEnd"/>
      <w:r w:rsidRPr="009B23E5">
        <w:t xml:space="preserve"> de las Obras podrá exigir la corrección de la fórmula de trabajo, que se justificará mediante </w:t>
      </w:r>
      <w:r w:rsidRPr="008205EF">
        <w:t>ensayos. Se estudiará y aprobará una nueva fórmula de trabajo si varía la procedencia de alguno de los componentes, o si, durante la producción, se rebasan las tolerancias</w:t>
      </w:r>
      <w:r w:rsidRPr="009B23E5">
        <w:rPr>
          <w:szCs w:val="22"/>
        </w:rPr>
        <w:t xml:space="preserve"> granulométricas establecidas.</w:t>
      </w:r>
    </w:p>
    <w:p w14:paraId="626EE7F3" w14:textId="77777777" w:rsidR="00810099" w:rsidRPr="005864C2" w:rsidRDefault="00810099" w:rsidP="000313DD">
      <w:pPr>
        <w:pStyle w:val="TITU2"/>
      </w:pPr>
      <w:bookmarkStart w:id="612" w:name="_Toc404351"/>
      <w:r w:rsidRPr="005864C2">
        <w:t>543.5. Ejecución</w:t>
      </w:r>
      <w:r w:rsidR="00C50108" w:rsidRPr="005864C2">
        <w:t xml:space="preserve"> de las obras</w:t>
      </w:r>
      <w:bookmarkEnd w:id="612"/>
    </w:p>
    <w:p w14:paraId="53C53DBA" w14:textId="77777777" w:rsidR="0033481F" w:rsidRPr="009B23E5" w:rsidRDefault="0033481F" w:rsidP="008205EF">
      <w:pPr>
        <w:pStyle w:val="NORMAL12"/>
      </w:pPr>
      <w:r w:rsidRPr="009B23E5">
        <w:t xml:space="preserve">La fabricación, transporte, extensión y compactación de la mezcla bituminosa </w:t>
      </w:r>
      <w:r w:rsidRPr="008205EF">
        <w:t xml:space="preserve">se efectuará siguiendo los criterios </w:t>
      </w:r>
      <w:r w:rsidRPr="00B076DD">
        <w:t>establecidos en los apartados 543.5.4, 543.5.5, 543.5.6 Y 543.5.7 del vigente artículo 543.5 del PG3 en su citada revisión de la O.C. 24/2008.</w:t>
      </w:r>
    </w:p>
    <w:p w14:paraId="50DDEA5A" w14:textId="77777777" w:rsidR="0033481F" w:rsidRPr="009B23E5" w:rsidRDefault="0033481F" w:rsidP="008205EF">
      <w:pPr>
        <w:pStyle w:val="NORMAL12"/>
      </w:pPr>
      <w:r w:rsidRPr="009B23E5">
        <w:t>Terminada su compactación, se podrá abrir a la circulación la capa ejecutada, tan pronto como alcance la temperatura ambiente en todo su espesor.</w:t>
      </w:r>
    </w:p>
    <w:p w14:paraId="6C745A1B" w14:textId="77777777" w:rsidR="00810099" w:rsidRDefault="00810099" w:rsidP="000313DD">
      <w:pPr>
        <w:pStyle w:val="TITU2"/>
      </w:pPr>
      <w:bookmarkStart w:id="613" w:name="_Toc404352"/>
      <w:r w:rsidRPr="005864C2">
        <w:t>543.6. Tramo de prueba</w:t>
      </w:r>
      <w:bookmarkEnd w:id="613"/>
    </w:p>
    <w:p w14:paraId="46B1AEBA" w14:textId="77777777" w:rsidR="00F52AAF" w:rsidRDefault="00F52AAF" w:rsidP="00F52AAF">
      <w:pPr>
        <w:pStyle w:val="NORMAL12"/>
      </w:pPr>
      <w:r w:rsidRPr="003B0232">
        <w:t xml:space="preserve">El </w:t>
      </w:r>
      <w:proofErr w:type="gramStart"/>
      <w:r w:rsidRPr="003B0232">
        <w:t>Director</w:t>
      </w:r>
      <w:proofErr w:type="gramEnd"/>
      <w:r w:rsidRPr="003B0232">
        <w:t xml:space="preserve"> de Obra fijará la longitud del tramo de prueba, a la vista de las </w:t>
      </w:r>
      <w:r w:rsidR="00D93E76" w:rsidRPr="003B0232">
        <w:t>particulares</w:t>
      </w:r>
      <w:r w:rsidR="00D93E76">
        <w:t xml:space="preserve"> de</w:t>
      </w:r>
      <w:r>
        <w:t xml:space="preserve"> la obra, en ningún caso será inferior a doscientos metros.</w:t>
      </w:r>
    </w:p>
    <w:p w14:paraId="2988E539" w14:textId="77777777" w:rsidR="00F52AAF" w:rsidRDefault="00F52AAF" w:rsidP="00F52AAF">
      <w:pPr>
        <w:pStyle w:val="NORMAL12"/>
      </w:pPr>
      <w:r>
        <w:t xml:space="preserve">Sobre el tramo de prueba se llevarán a cabo ensayos de textura superficial y coeficiente de rozamiento transversal, y </w:t>
      </w:r>
      <w:proofErr w:type="spellStart"/>
      <w:r>
        <w:t>macrotextura</w:t>
      </w:r>
      <w:proofErr w:type="spellEnd"/>
      <w:r>
        <w:t xml:space="preserve"> en la capa de rodadura sobre una longitud de al menos cien (100) metros del tramo de prueba.</w:t>
      </w:r>
    </w:p>
    <w:p w14:paraId="03CE7269" w14:textId="77777777" w:rsidR="00F52AAF" w:rsidRPr="003B0232" w:rsidRDefault="00F52AAF" w:rsidP="00F52AAF">
      <w:pPr>
        <w:pStyle w:val="NORMAL12"/>
        <w:rPr>
          <w:lang w:val="es-ES"/>
        </w:rPr>
      </w:pPr>
      <w:r>
        <w:t>Del tramo de prueba se obtendrán muestras que deben cumplir las especificaciones de la mezcla propuesta. De no cumplirse e</w:t>
      </w:r>
      <w:r w:rsidRPr="003B0232">
        <w:rPr>
          <w:lang w:val="es-ES"/>
        </w:rPr>
        <w:t xml:space="preserve">l contratista propondrá una fórmula de trabajo que debe ser aprobada por el </w:t>
      </w:r>
      <w:proofErr w:type="gramStart"/>
      <w:r w:rsidRPr="003B0232">
        <w:rPr>
          <w:lang w:val="es-ES"/>
        </w:rPr>
        <w:t>Director</w:t>
      </w:r>
      <w:proofErr w:type="gramEnd"/>
      <w:r w:rsidRPr="003B0232">
        <w:rPr>
          <w:lang w:val="es-ES"/>
        </w:rPr>
        <w:t xml:space="preserve"> de la Obra.</w:t>
      </w:r>
    </w:p>
    <w:p w14:paraId="2207CA30" w14:textId="77777777" w:rsidR="00810099" w:rsidRPr="00B338BE" w:rsidRDefault="00810099" w:rsidP="000313DD">
      <w:pPr>
        <w:pStyle w:val="TITU2"/>
      </w:pPr>
      <w:bookmarkStart w:id="614" w:name="_Toc404353"/>
      <w:r w:rsidRPr="00B338BE">
        <w:lastRenderedPageBreak/>
        <w:t>543.9. Control de calidad</w:t>
      </w:r>
      <w:bookmarkEnd w:id="614"/>
    </w:p>
    <w:p w14:paraId="1FE45514" w14:textId="77777777" w:rsidR="0033481F" w:rsidRPr="00B338BE" w:rsidRDefault="0033481F" w:rsidP="008205EF">
      <w:pPr>
        <w:pStyle w:val="NORMAL12"/>
      </w:pPr>
      <w:proofErr w:type="gramStart"/>
      <w:r w:rsidRPr="00B338BE">
        <w:t>Las mezclas bituminosas a emplear</w:t>
      </w:r>
      <w:proofErr w:type="gramEnd"/>
      <w:r w:rsidRPr="00B338BE">
        <w:t xml:space="preserve"> en este Proyecto contarán con el preceptivo marcado CE. La posesión de esta marca exime de la necesidad de realizar los controles de calidad previstos en el vigente artículo 543.9 del PG-3. Bastará con un control documental de cada suministro, cotejando las especificaciones declaradas en la hoja de </w:t>
      </w:r>
      <w:proofErr w:type="gramStart"/>
      <w:r w:rsidRPr="00B338BE">
        <w:t xml:space="preserve">suministro </w:t>
      </w:r>
      <w:r w:rsidR="00F52AAF">
        <w:t xml:space="preserve"> </w:t>
      </w:r>
      <w:r w:rsidRPr="00B338BE">
        <w:t>adjunta</w:t>
      </w:r>
      <w:proofErr w:type="gramEnd"/>
      <w:r w:rsidRPr="00B338BE">
        <w:t xml:space="preserve"> al marcado con las exigidas en este artículo de pliego.</w:t>
      </w:r>
    </w:p>
    <w:p w14:paraId="15A0983D" w14:textId="77777777" w:rsidR="0033481F" w:rsidRPr="00B338BE" w:rsidRDefault="0033481F" w:rsidP="008205EF">
      <w:pPr>
        <w:pStyle w:val="NORMAL12"/>
      </w:pPr>
      <w:r w:rsidRPr="00B338BE">
        <w:t>Los controles de ejecución se realizarán conforme al apartado 543.9.3. del PG-3. En particular, resultan de aplicación a todas las mezclas, con independencia del marcado CE, la toma de muestras a la salida del mezclador para la determinación del aspecto de la muestra y de la dotación de ligante, según las indicaciones del apartado 543.9.3.1. relativo a controles de fabricación. Resulta también de aplicación íntegra el apartado 543.9.3.2 relativo a controles de puesta en obra</w:t>
      </w:r>
    </w:p>
    <w:p w14:paraId="4CFD29EF" w14:textId="77777777" w:rsidR="0033481F" w:rsidRPr="00B338BE" w:rsidRDefault="0033481F" w:rsidP="008205EF">
      <w:pPr>
        <w:pStyle w:val="NORMAL12"/>
      </w:pPr>
      <w:r w:rsidRPr="00B338BE">
        <w:t>Los ensayos de control de recepción de la unidad terminada se realizarán conforme al apartado 543.9.4 del PG-3</w:t>
      </w:r>
    </w:p>
    <w:p w14:paraId="273EA47F" w14:textId="77777777" w:rsidR="0033481F" w:rsidRPr="00B338BE" w:rsidRDefault="0033481F" w:rsidP="008205EF">
      <w:pPr>
        <w:pStyle w:val="NORMAL12"/>
      </w:pPr>
      <w:r w:rsidRPr="00B338BE">
        <w:t xml:space="preserve">En cualquier caso, el </w:t>
      </w:r>
      <w:proofErr w:type="gramStart"/>
      <w:r w:rsidRPr="00B338BE">
        <w:t>Director</w:t>
      </w:r>
      <w:proofErr w:type="gramEnd"/>
      <w:r w:rsidRPr="00B338BE">
        <w:t xml:space="preserve"> de Obra podrá realizar, a su juicio, los controles de calidad que estime oportunos, según los criterios del apartado 543.9 del PG-3.</w:t>
      </w:r>
    </w:p>
    <w:p w14:paraId="29395A7B" w14:textId="77777777" w:rsidR="0033481F" w:rsidRDefault="0033481F" w:rsidP="008205EF">
      <w:pPr>
        <w:pStyle w:val="NORMAL12"/>
      </w:pPr>
      <w:proofErr w:type="gramStart"/>
      <w:r w:rsidRPr="00B338BE">
        <w:t>Los ensayos a realizar</w:t>
      </w:r>
      <w:proofErr w:type="gramEnd"/>
      <w:r w:rsidRPr="00B338BE">
        <w:t xml:space="preserve"> sobre el material y la frecuencia establecida están reflejados en la siguiente tabla; serán también de aplicación los ensayos establecidos en el artículo 543. Mezclas bituminosas para capas de rodadura del PG-3 no incluidos en el presente artículo. El coste de </w:t>
      </w:r>
      <w:proofErr w:type="gramStart"/>
      <w:r w:rsidRPr="00B338BE">
        <w:t>los mismos</w:t>
      </w:r>
      <w:proofErr w:type="gramEnd"/>
      <w:r w:rsidRPr="00B338BE">
        <w:t xml:space="preserve"> será sufragado según indica el artículo 104.3, del presente pliego.</w:t>
      </w:r>
    </w:p>
    <w:p w14:paraId="1850D8F5" w14:textId="77777777" w:rsidR="007D15FB" w:rsidRDefault="007D15FB" w:rsidP="008205EF">
      <w:pPr>
        <w:pStyle w:val="NORMAL12"/>
      </w:pPr>
    </w:p>
    <w:p w14:paraId="709FF249" w14:textId="77777777" w:rsidR="007D15FB" w:rsidRDefault="007D15FB" w:rsidP="008205EF">
      <w:pPr>
        <w:pStyle w:val="NORMAL12"/>
      </w:pPr>
    </w:p>
    <w:p w14:paraId="431EDF11" w14:textId="77777777" w:rsidR="007D15FB" w:rsidRDefault="007D15FB" w:rsidP="008205EF">
      <w:pPr>
        <w:pStyle w:val="NORMAL12"/>
      </w:pPr>
    </w:p>
    <w:p w14:paraId="12607575" w14:textId="77777777" w:rsidR="007D15FB" w:rsidRDefault="007D15FB" w:rsidP="008205EF">
      <w:pPr>
        <w:pStyle w:val="NORMAL12"/>
      </w:pPr>
    </w:p>
    <w:p w14:paraId="1986BAA9" w14:textId="77777777" w:rsidR="007D15FB" w:rsidRDefault="007D15FB" w:rsidP="008205EF">
      <w:pPr>
        <w:pStyle w:val="NORMAL12"/>
      </w:pPr>
    </w:p>
    <w:p w14:paraId="60B39EDD" w14:textId="77777777" w:rsidR="007D15FB" w:rsidRDefault="007D15FB" w:rsidP="008205EF">
      <w:pPr>
        <w:pStyle w:val="NORMAL12"/>
      </w:pPr>
    </w:p>
    <w:p w14:paraId="65E26A56" w14:textId="77777777" w:rsidR="007D15FB" w:rsidRDefault="007D15FB" w:rsidP="008205EF">
      <w:pPr>
        <w:pStyle w:val="NORMAL12"/>
      </w:pPr>
    </w:p>
    <w:p w14:paraId="3A164E38" w14:textId="77777777" w:rsidR="00C61E14" w:rsidRDefault="00C61E14" w:rsidP="008205EF">
      <w:pPr>
        <w:pStyle w:val="NORMAL12"/>
      </w:pPr>
    </w:p>
    <w:tbl>
      <w:tblPr>
        <w:tblW w:w="5000" w:type="pct"/>
        <w:tblCellMar>
          <w:left w:w="70" w:type="dxa"/>
          <w:right w:w="70" w:type="dxa"/>
        </w:tblCellMar>
        <w:tblLook w:val="04A0" w:firstRow="1" w:lastRow="0" w:firstColumn="1" w:lastColumn="0" w:noHBand="0" w:noVBand="1"/>
      </w:tblPr>
      <w:tblGrid>
        <w:gridCol w:w="9778"/>
      </w:tblGrid>
      <w:tr w:rsidR="00C61E14" w:rsidRPr="00097BC8" w14:paraId="5B192346" w14:textId="77777777" w:rsidTr="00852CB3">
        <w:trPr>
          <w:trHeight w:val="360"/>
          <w:tblHeader/>
        </w:trPr>
        <w:tc>
          <w:tcPr>
            <w:tcW w:w="5000" w:type="pct"/>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4C3802E" w14:textId="77777777" w:rsidR="00C61E14" w:rsidRPr="00097BC8" w:rsidRDefault="00C61E14" w:rsidP="00852CB3">
            <w:pPr>
              <w:rPr>
                <w:rFonts w:ascii="Arial" w:hAnsi="Arial" w:cs="Arial"/>
                <w:b/>
                <w:bCs/>
                <w:sz w:val="20"/>
                <w:szCs w:val="20"/>
              </w:rPr>
            </w:pPr>
            <w:r w:rsidRPr="00097BC8">
              <w:rPr>
                <w:rFonts w:ascii="Arial" w:hAnsi="Arial" w:cs="Arial"/>
                <w:b/>
                <w:bCs/>
                <w:sz w:val="20"/>
                <w:szCs w:val="20"/>
              </w:rPr>
              <w:t>MEZCLAS BITUMINOSAS EN CALIENTE</w:t>
            </w:r>
          </w:p>
        </w:tc>
      </w:tr>
      <w:tr w:rsidR="00C61E14" w:rsidRPr="00097BC8" w14:paraId="1FE93262"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6E6B27F7" w14:textId="77777777" w:rsidR="00C61E14" w:rsidRPr="00097BC8" w:rsidRDefault="00C61E14" w:rsidP="00852CB3">
            <w:pPr>
              <w:rPr>
                <w:rFonts w:ascii="Arial" w:hAnsi="Arial" w:cs="Arial"/>
                <w:b/>
                <w:i/>
                <w:iCs/>
                <w:sz w:val="20"/>
                <w:szCs w:val="20"/>
              </w:rPr>
            </w:pPr>
            <w:r w:rsidRPr="00097BC8">
              <w:rPr>
                <w:rFonts w:ascii="Arial" w:hAnsi="Arial" w:cs="Arial"/>
                <w:b/>
                <w:bCs/>
                <w:i/>
                <w:sz w:val="20"/>
                <w:szCs w:val="20"/>
                <w:u w:val="single"/>
              </w:rPr>
              <w:t>Antes de su ejecución:</w:t>
            </w:r>
          </w:p>
        </w:tc>
      </w:tr>
      <w:tr w:rsidR="00C61E14" w:rsidRPr="00097BC8" w14:paraId="0B8BC05F"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503E929F" w14:textId="77777777" w:rsidR="00C61E14" w:rsidRPr="00097BC8" w:rsidRDefault="00C61E14" w:rsidP="00852CB3">
            <w:pPr>
              <w:rPr>
                <w:rFonts w:ascii="Arial" w:hAnsi="Arial" w:cs="Arial"/>
                <w:b/>
                <w:i/>
                <w:iCs/>
                <w:sz w:val="20"/>
                <w:szCs w:val="20"/>
                <w:u w:val="single"/>
              </w:rPr>
            </w:pPr>
            <w:r w:rsidRPr="00097BC8">
              <w:rPr>
                <w:rFonts w:ascii="Arial" w:hAnsi="Arial" w:cs="Arial"/>
                <w:b/>
                <w:bCs/>
                <w:i/>
                <w:sz w:val="20"/>
                <w:szCs w:val="20"/>
                <w:u w:val="single"/>
              </w:rPr>
              <w:t>Árido grueso:</w:t>
            </w:r>
          </w:p>
        </w:tc>
      </w:tr>
      <w:tr w:rsidR="00C61E14" w:rsidRPr="00097BC8" w14:paraId="7128CBFE"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0B5FB17D" w14:textId="77777777" w:rsidR="00C61E14" w:rsidRPr="00097BC8" w:rsidRDefault="00C61E14" w:rsidP="00852CB3">
            <w:pPr>
              <w:rPr>
                <w:rFonts w:ascii="Arial" w:hAnsi="Arial" w:cs="Arial"/>
                <w:i/>
                <w:iCs/>
                <w:sz w:val="20"/>
                <w:szCs w:val="20"/>
              </w:rPr>
            </w:pPr>
            <w:r w:rsidRPr="00097BC8">
              <w:rPr>
                <w:rFonts w:ascii="Arial" w:hAnsi="Arial" w:cs="Arial"/>
                <w:i/>
                <w:iCs/>
                <w:sz w:val="20"/>
                <w:szCs w:val="20"/>
              </w:rPr>
              <w:t>Cada cien metros cúbicos (100 m³) o fracción de árido grueso a emplear:</w:t>
            </w:r>
          </w:p>
        </w:tc>
      </w:tr>
      <w:tr w:rsidR="00C61E14" w:rsidRPr="00097BC8" w14:paraId="7C0697AB"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4526C955"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 xml:space="preserve"> Un (1) ensayo Granulométrico (UNE-EN 933-1:2012)</w:t>
            </w:r>
          </w:p>
        </w:tc>
      </w:tr>
      <w:tr w:rsidR="00C61E14" w:rsidRPr="00097BC8" w14:paraId="1B695240"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23F57A80" w14:textId="77777777" w:rsidR="00C61E14" w:rsidRPr="00097BC8" w:rsidRDefault="00C61E14" w:rsidP="00852CB3">
            <w:pPr>
              <w:rPr>
                <w:rFonts w:ascii="Arial" w:hAnsi="Arial" w:cs="Arial"/>
                <w:i/>
                <w:iCs/>
                <w:sz w:val="20"/>
                <w:szCs w:val="20"/>
              </w:rPr>
            </w:pPr>
            <w:r w:rsidRPr="00097BC8">
              <w:rPr>
                <w:rFonts w:ascii="Arial" w:hAnsi="Arial" w:cs="Arial"/>
                <w:i/>
                <w:iCs/>
                <w:sz w:val="20"/>
                <w:szCs w:val="20"/>
              </w:rPr>
              <w:t>Cada mil metros cúbicos (1.000 m³) o fracción de árido grueso a emplear:</w:t>
            </w:r>
          </w:p>
        </w:tc>
      </w:tr>
      <w:tr w:rsidR="00C61E14" w:rsidRPr="00097BC8" w14:paraId="377309FE"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32851B3F"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Un (1) Índice de lajas (UNE-EN 933-3:2012)</w:t>
            </w:r>
          </w:p>
        </w:tc>
      </w:tr>
      <w:tr w:rsidR="00C61E14" w:rsidRPr="00097BC8" w14:paraId="373534E0"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53532166" w14:textId="77777777" w:rsidR="00C61E14" w:rsidRPr="00097BC8" w:rsidRDefault="00C61E14" w:rsidP="00852CB3">
            <w:pPr>
              <w:rPr>
                <w:rFonts w:ascii="Arial" w:hAnsi="Arial" w:cs="Arial"/>
                <w:sz w:val="20"/>
                <w:szCs w:val="20"/>
              </w:rPr>
            </w:pPr>
            <w:r w:rsidRPr="00097BC8">
              <w:rPr>
                <w:rFonts w:ascii="Arial" w:hAnsi="Arial" w:cs="Arial"/>
                <w:sz w:val="20"/>
                <w:szCs w:val="20"/>
              </w:rPr>
              <w:t>Una (1) Determinación del porcentaje de elementos con dos o más caras de fractura (UNE-EN 933-5:1999/A1:2005)</w:t>
            </w:r>
          </w:p>
        </w:tc>
      </w:tr>
      <w:tr w:rsidR="00C61E14" w:rsidRPr="00097BC8" w14:paraId="48F57A0F"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0F3A41A8" w14:textId="77777777" w:rsidR="00C61E14" w:rsidRPr="00097BC8" w:rsidRDefault="00C61E14" w:rsidP="00852CB3">
            <w:pPr>
              <w:rPr>
                <w:rFonts w:ascii="Arial" w:hAnsi="Arial" w:cs="Arial"/>
                <w:i/>
                <w:iCs/>
                <w:sz w:val="20"/>
                <w:szCs w:val="20"/>
              </w:rPr>
            </w:pPr>
            <w:r w:rsidRPr="00097BC8">
              <w:rPr>
                <w:rFonts w:ascii="Arial" w:hAnsi="Arial" w:cs="Arial"/>
                <w:i/>
                <w:iCs/>
                <w:sz w:val="20"/>
                <w:szCs w:val="20"/>
              </w:rPr>
              <w:t>Cada dos mil metros cúbicos (2.000 m³) o fracción de árido grueso a emplear:</w:t>
            </w:r>
          </w:p>
        </w:tc>
      </w:tr>
      <w:tr w:rsidR="00C61E14" w:rsidRPr="00097BC8" w14:paraId="39940AF9"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0C587BDA"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Un (1) Ensayo de Absorción de Ligante en unión del resto de los áridos (UNE-EN 1097-6:2014)</w:t>
            </w:r>
          </w:p>
        </w:tc>
      </w:tr>
      <w:tr w:rsidR="00C61E14" w:rsidRPr="00097BC8" w14:paraId="669860DB"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7F75D5CF"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Un (1) Ensayo de desgaste Los Ángeles (UNE-EN 1097-2:2010)</w:t>
            </w:r>
          </w:p>
        </w:tc>
      </w:tr>
      <w:tr w:rsidR="00C61E14" w:rsidRPr="00097BC8" w14:paraId="709842B4"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7EC898BB"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Una (1) determinación de la Adhesividad áridos gruesos (Mezclas Abiertas únicamente) (NLT 166)</w:t>
            </w:r>
          </w:p>
        </w:tc>
      </w:tr>
      <w:tr w:rsidR="00C61E14" w:rsidRPr="00097BC8" w14:paraId="752168C2"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1C43EE80"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 xml:space="preserve">Una (1) equivalente de </w:t>
            </w:r>
            <w:proofErr w:type="gramStart"/>
            <w:r w:rsidRPr="00097BC8">
              <w:rPr>
                <w:rFonts w:ascii="Arial" w:hAnsi="Arial" w:cs="Arial"/>
                <w:sz w:val="20"/>
                <w:szCs w:val="20"/>
              </w:rPr>
              <w:t>arena(</w:t>
            </w:r>
            <w:proofErr w:type="gramEnd"/>
            <w:r w:rsidRPr="00097BC8">
              <w:rPr>
                <w:rFonts w:ascii="Arial" w:hAnsi="Arial" w:cs="Arial"/>
                <w:sz w:val="20"/>
                <w:szCs w:val="20"/>
              </w:rPr>
              <w:t>UNE-EN 933-8:2012+A1:2015/1M:2016)</w:t>
            </w:r>
          </w:p>
        </w:tc>
      </w:tr>
      <w:tr w:rsidR="00C61E14" w:rsidRPr="00097BC8" w14:paraId="6E18D9D2"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1DBCC687" w14:textId="77777777" w:rsidR="00C61E14" w:rsidRPr="00097BC8" w:rsidRDefault="00C61E14" w:rsidP="00852CB3">
            <w:pPr>
              <w:rPr>
                <w:rFonts w:ascii="Arial" w:hAnsi="Arial" w:cs="Arial"/>
                <w:i/>
                <w:iCs/>
                <w:sz w:val="20"/>
                <w:szCs w:val="20"/>
              </w:rPr>
            </w:pPr>
            <w:r w:rsidRPr="00097BC8">
              <w:rPr>
                <w:rFonts w:ascii="Arial" w:hAnsi="Arial" w:cs="Arial"/>
                <w:i/>
                <w:iCs/>
                <w:sz w:val="20"/>
                <w:szCs w:val="20"/>
              </w:rPr>
              <w:t>Cada diez mil metros cúbicos (10.000 m³) o fracción de árido grueso a emplear:</w:t>
            </w:r>
          </w:p>
        </w:tc>
      </w:tr>
      <w:tr w:rsidR="00C61E14" w:rsidRPr="00097BC8" w14:paraId="407BFE63"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4A6930A5"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Un (1) Coeficiente de Pulido Acelerado (Capas de Rodadura) (UNE-EN 1097-8:2010)</w:t>
            </w:r>
          </w:p>
        </w:tc>
      </w:tr>
      <w:tr w:rsidR="00C61E14" w:rsidRPr="00097BC8" w14:paraId="3C6864C7"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6FDAEAA3" w14:textId="77777777" w:rsidR="00C61E14" w:rsidRPr="00097BC8" w:rsidRDefault="00C61E14" w:rsidP="00852CB3">
            <w:pPr>
              <w:rPr>
                <w:rFonts w:ascii="Arial" w:hAnsi="Arial" w:cs="Arial"/>
                <w:b/>
                <w:i/>
                <w:iCs/>
                <w:sz w:val="20"/>
                <w:szCs w:val="20"/>
                <w:u w:val="single"/>
              </w:rPr>
            </w:pPr>
            <w:r w:rsidRPr="00097BC8">
              <w:rPr>
                <w:rFonts w:ascii="Arial" w:hAnsi="Arial" w:cs="Arial"/>
                <w:b/>
                <w:i/>
                <w:iCs/>
                <w:sz w:val="20"/>
                <w:szCs w:val="20"/>
                <w:u w:val="single"/>
              </w:rPr>
              <w:t>Árido fino (material que pasa por el tamiz 2,5 UNE):</w:t>
            </w:r>
          </w:p>
        </w:tc>
      </w:tr>
      <w:tr w:rsidR="00C61E14" w:rsidRPr="00097BC8" w14:paraId="6ADF2A48"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0BEEFFFC" w14:textId="77777777" w:rsidR="00C61E14" w:rsidRPr="00097BC8" w:rsidRDefault="00C61E14" w:rsidP="00852CB3">
            <w:pPr>
              <w:rPr>
                <w:rFonts w:ascii="Arial" w:hAnsi="Arial" w:cs="Arial"/>
                <w:i/>
                <w:iCs/>
                <w:sz w:val="20"/>
                <w:szCs w:val="20"/>
              </w:rPr>
            </w:pPr>
            <w:r w:rsidRPr="00097BC8">
              <w:rPr>
                <w:rFonts w:ascii="Arial" w:hAnsi="Arial" w:cs="Arial"/>
                <w:i/>
                <w:iCs/>
                <w:sz w:val="20"/>
                <w:szCs w:val="20"/>
              </w:rPr>
              <w:t>Cada cien metros cúbicos (100 m³) o fracción de árido fino a emplear:</w:t>
            </w:r>
          </w:p>
        </w:tc>
      </w:tr>
      <w:tr w:rsidR="00C61E14" w:rsidRPr="00097BC8" w14:paraId="77602BEE"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0E65EDCB"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 xml:space="preserve"> Un (1) ensayo Granulométrico (UNE-EN 933-10:2010)</w:t>
            </w:r>
          </w:p>
        </w:tc>
      </w:tr>
      <w:tr w:rsidR="00C61E14" w:rsidRPr="00097BC8" w14:paraId="044DF0B6"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3F824997" w14:textId="77777777" w:rsidR="00C61E14" w:rsidRPr="00097BC8" w:rsidRDefault="00C61E14" w:rsidP="00852CB3">
            <w:pPr>
              <w:rPr>
                <w:rFonts w:ascii="Arial" w:hAnsi="Arial" w:cs="Arial"/>
                <w:i/>
                <w:iCs/>
                <w:sz w:val="20"/>
                <w:szCs w:val="20"/>
              </w:rPr>
            </w:pPr>
            <w:r w:rsidRPr="00097BC8">
              <w:rPr>
                <w:rFonts w:ascii="Arial" w:hAnsi="Arial" w:cs="Arial"/>
                <w:i/>
                <w:iCs/>
                <w:sz w:val="20"/>
                <w:szCs w:val="20"/>
              </w:rPr>
              <w:t>Cada mil metros cúbicos (1.000 m³) o fracción de árido fino a emplear:</w:t>
            </w:r>
          </w:p>
        </w:tc>
      </w:tr>
      <w:tr w:rsidR="00C61E14" w:rsidRPr="00097BC8" w14:paraId="65A3FF7F"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3D183B34"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Un (1) Índice de lajas (UNE-EN 933-3:2012)</w:t>
            </w:r>
          </w:p>
        </w:tc>
      </w:tr>
      <w:tr w:rsidR="00C61E14" w:rsidRPr="00097BC8" w14:paraId="577A6B38"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5F8DA186"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Una (1) Determinación del porcentaje de elementos con dos o más caras de fractura (UNE-EN 933-5:1999/A1:2005)</w:t>
            </w:r>
          </w:p>
        </w:tc>
      </w:tr>
      <w:tr w:rsidR="00C61E14" w:rsidRPr="00097BC8" w14:paraId="7E7581BC"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0E701F82" w14:textId="77777777" w:rsidR="00C61E14" w:rsidRPr="00097BC8" w:rsidRDefault="00C61E14" w:rsidP="00852CB3">
            <w:pPr>
              <w:rPr>
                <w:rFonts w:ascii="Arial" w:hAnsi="Arial" w:cs="Arial"/>
                <w:i/>
                <w:iCs/>
                <w:sz w:val="20"/>
                <w:szCs w:val="20"/>
              </w:rPr>
            </w:pPr>
            <w:r w:rsidRPr="00097BC8">
              <w:rPr>
                <w:rFonts w:ascii="Arial" w:hAnsi="Arial" w:cs="Arial"/>
                <w:i/>
                <w:iCs/>
                <w:sz w:val="20"/>
                <w:szCs w:val="20"/>
              </w:rPr>
              <w:t>Cada dos mil metros cúbicos (2.000 m³) o fracción de árido fino a emplear:</w:t>
            </w:r>
          </w:p>
        </w:tc>
      </w:tr>
      <w:tr w:rsidR="00C61E14" w:rsidRPr="00097BC8" w14:paraId="5D253BCD"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7CFEFC62"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Un (1) Ensayo de Absorción de Ligante, en unión del resto de los áridos (NLT 167/58)</w:t>
            </w:r>
          </w:p>
        </w:tc>
      </w:tr>
      <w:tr w:rsidR="00C61E14" w:rsidRPr="00097BC8" w14:paraId="19EC777D" w14:textId="77777777" w:rsidTr="00852CB3">
        <w:trPr>
          <w:trHeight w:val="585"/>
        </w:trPr>
        <w:tc>
          <w:tcPr>
            <w:tcW w:w="5000" w:type="pct"/>
            <w:tcBorders>
              <w:top w:val="nil"/>
              <w:left w:val="single" w:sz="4" w:space="0" w:color="auto"/>
              <w:bottom w:val="single" w:sz="4" w:space="0" w:color="auto"/>
              <w:right w:val="single" w:sz="4" w:space="0" w:color="auto"/>
            </w:tcBorders>
            <w:vAlign w:val="center"/>
            <w:hideMark/>
          </w:tcPr>
          <w:p w14:paraId="78741F94"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Una (1) determinación de la Adhesividad (Mezclas Abiertas únicamente), a los áridos de los ligantes bituminosos en presencia de agua (NLT 166)</w:t>
            </w:r>
          </w:p>
        </w:tc>
      </w:tr>
      <w:tr w:rsidR="00C61E14" w:rsidRPr="00097BC8" w14:paraId="5ADC13D2"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1FB0C0AB"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Una (1) determinación de la Densidad relativa en aceite de parafina (NLT 167)</w:t>
            </w:r>
          </w:p>
        </w:tc>
      </w:tr>
      <w:tr w:rsidR="00C61E14" w:rsidRPr="00097BC8" w14:paraId="056563B8"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47F145DE" w14:textId="77777777" w:rsidR="00C61E14" w:rsidRPr="00097BC8" w:rsidRDefault="00C61E14" w:rsidP="00852CB3">
            <w:pPr>
              <w:jc w:val="right"/>
              <w:rPr>
                <w:rFonts w:ascii="Arial" w:hAnsi="Arial" w:cs="Arial"/>
                <w:sz w:val="20"/>
                <w:szCs w:val="20"/>
              </w:rPr>
            </w:pPr>
          </w:p>
          <w:p w14:paraId="0E1222AE" w14:textId="77777777" w:rsidR="00C61E14" w:rsidRPr="00097BC8" w:rsidRDefault="00C61E14" w:rsidP="00852CB3">
            <w:pPr>
              <w:jc w:val="right"/>
              <w:rPr>
                <w:rFonts w:ascii="Arial" w:hAnsi="Arial" w:cs="Arial"/>
                <w:sz w:val="20"/>
                <w:szCs w:val="20"/>
              </w:rPr>
            </w:pPr>
          </w:p>
          <w:p w14:paraId="68C91632"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 </w:t>
            </w:r>
          </w:p>
        </w:tc>
      </w:tr>
      <w:tr w:rsidR="00C61E14" w:rsidRPr="00097BC8" w14:paraId="66F882A6"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1DAF3E5F" w14:textId="77777777" w:rsidR="00C61E14" w:rsidRPr="00097BC8" w:rsidRDefault="00C61E14" w:rsidP="00852CB3">
            <w:pPr>
              <w:rPr>
                <w:rFonts w:ascii="Arial" w:hAnsi="Arial" w:cs="Arial"/>
                <w:b/>
                <w:i/>
                <w:iCs/>
                <w:sz w:val="20"/>
                <w:szCs w:val="20"/>
                <w:u w:val="single"/>
              </w:rPr>
            </w:pPr>
            <w:r w:rsidRPr="00097BC8">
              <w:rPr>
                <w:rFonts w:ascii="Arial" w:hAnsi="Arial" w:cs="Arial"/>
                <w:b/>
                <w:i/>
                <w:iCs/>
                <w:sz w:val="20"/>
                <w:szCs w:val="20"/>
                <w:u w:val="single"/>
              </w:rPr>
              <w:t>Del Conjunto:</w:t>
            </w:r>
          </w:p>
        </w:tc>
      </w:tr>
      <w:tr w:rsidR="00C61E14" w:rsidRPr="00097BC8" w14:paraId="6343E10A"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66B906B9" w14:textId="77777777" w:rsidR="00C61E14" w:rsidRPr="00097BC8" w:rsidRDefault="00C61E14" w:rsidP="00852CB3">
            <w:pPr>
              <w:rPr>
                <w:rFonts w:ascii="Arial" w:hAnsi="Arial" w:cs="Arial"/>
                <w:i/>
                <w:iCs/>
                <w:sz w:val="20"/>
                <w:szCs w:val="20"/>
              </w:rPr>
            </w:pPr>
            <w:r w:rsidRPr="00097BC8">
              <w:rPr>
                <w:rFonts w:ascii="Arial" w:hAnsi="Arial" w:cs="Arial"/>
                <w:i/>
                <w:iCs/>
                <w:sz w:val="20"/>
                <w:szCs w:val="20"/>
              </w:rPr>
              <w:t>Cada diez mil metros cúbicos (10.000 m³) o fracción del conjunto a emplear, o al menos una vez al mes:</w:t>
            </w:r>
          </w:p>
        </w:tc>
      </w:tr>
      <w:tr w:rsidR="00C61E14" w:rsidRPr="00097BC8" w14:paraId="7EF39A9B"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3E1D23CF"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Un (1) Ensayo de Inmersión-Compresión, incluyendo fabricación, densidad y rotura (Mezclas Cerradas) (NLT-162)</w:t>
            </w:r>
          </w:p>
        </w:tc>
      </w:tr>
      <w:tr w:rsidR="00C61E14" w:rsidRPr="00097BC8" w14:paraId="4317F822"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627F276A" w14:textId="77777777" w:rsidR="00C61E14" w:rsidRPr="00097BC8" w:rsidRDefault="00C61E14" w:rsidP="00852CB3">
            <w:pPr>
              <w:rPr>
                <w:rFonts w:ascii="Arial" w:hAnsi="Arial" w:cs="Arial"/>
                <w:b/>
                <w:i/>
                <w:iCs/>
                <w:sz w:val="20"/>
                <w:szCs w:val="20"/>
                <w:u w:val="single"/>
              </w:rPr>
            </w:pPr>
            <w:proofErr w:type="spellStart"/>
            <w:r w:rsidRPr="00097BC8">
              <w:rPr>
                <w:rFonts w:ascii="Arial" w:hAnsi="Arial" w:cs="Arial"/>
                <w:b/>
                <w:i/>
                <w:iCs/>
                <w:sz w:val="20"/>
                <w:szCs w:val="20"/>
                <w:u w:val="single"/>
              </w:rPr>
              <w:lastRenderedPageBreak/>
              <w:t>Filler</w:t>
            </w:r>
            <w:proofErr w:type="spellEnd"/>
            <w:r w:rsidRPr="00097BC8">
              <w:rPr>
                <w:rFonts w:ascii="Arial" w:hAnsi="Arial" w:cs="Arial"/>
                <w:b/>
                <w:i/>
                <w:iCs/>
                <w:sz w:val="20"/>
                <w:szCs w:val="20"/>
                <w:u w:val="single"/>
              </w:rPr>
              <w:t>:</w:t>
            </w:r>
          </w:p>
        </w:tc>
      </w:tr>
      <w:tr w:rsidR="00C61E14" w:rsidRPr="00097BC8" w14:paraId="7F698E42"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0996F60A" w14:textId="77777777" w:rsidR="00C61E14" w:rsidRPr="00097BC8" w:rsidRDefault="00C61E14" w:rsidP="00852CB3">
            <w:pPr>
              <w:rPr>
                <w:rFonts w:ascii="Arial" w:hAnsi="Arial" w:cs="Arial"/>
                <w:i/>
                <w:iCs/>
                <w:sz w:val="20"/>
                <w:szCs w:val="20"/>
              </w:rPr>
            </w:pPr>
            <w:r w:rsidRPr="00097BC8">
              <w:rPr>
                <w:rFonts w:ascii="Arial" w:hAnsi="Arial" w:cs="Arial"/>
                <w:i/>
                <w:iCs/>
                <w:sz w:val="20"/>
                <w:szCs w:val="20"/>
              </w:rPr>
              <w:t xml:space="preserve">Por cada procedencia de </w:t>
            </w:r>
            <w:proofErr w:type="spellStart"/>
            <w:r w:rsidRPr="00097BC8">
              <w:rPr>
                <w:rFonts w:ascii="Arial" w:hAnsi="Arial" w:cs="Arial"/>
                <w:i/>
                <w:iCs/>
                <w:sz w:val="20"/>
                <w:szCs w:val="20"/>
              </w:rPr>
              <w:t>filler</w:t>
            </w:r>
            <w:proofErr w:type="spellEnd"/>
            <w:r w:rsidRPr="00097BC8">
              <w:rPr>
                <w:rFonts w:ascii="Arial" w:hAnsi="Arial" w:cs="Arial"/>
                <w:i/>
                <w:iCs/>
                <w:sz w:val="20"/>
                <w:szCs w:val="20"/>
              </w:rPr>
              <w:t xml:space="preserve"> o al menos una vez al día</w:t>
            </w:r>
          </w:p>
        </w:tc>
      </w:tr>
      <w:tr w:rsidR="00C61E14" w:rsidRPr="00097BC8" w14:paraId="41497003"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0F8375C3"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 xml:space="preserve">Un (1) Granulométrico (UNE-EN 933-10:2010) </w:t>
            </w:r>
          </w:p>
        </w:tc>
      </w:tr>
      <w:tr w:rsidR="00C61E14" w:rsidRPr="00097BC8" w14:paraId="74861288"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395B0971"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 xml:space="preserve">Un (1) ensayo de Densidad aparente del </w:t>
            </w:r>
            <w:proofErr w:type="spellStart"/>
            <w:r w:rsidRPr="00097BC8">
              <w:rPr>
                <w:rFonts w:ascii="Arial" w:hAnsi="Arial" w:cs="Arial"/>
                <w:sz w:val="20"/>
                <w:szCs w:val="20"/>
              </w:rPr>
              <w:t>filler</w:t>
            </w:r>
            <w:proofErr w:type="spellEnd"/>
            <w:r w:rsidRPr="00097BC8">
              <w:rPr>
                <w:rFonts w:ascii="Arial" w:hAnsi="Arial" w:cs="Arial"/>
                <w:sz w:val="20"/>
                <w:szCs w:val="20"/>
              </w:rPr>
              <w:t xml:space="preserve"> en </w:t>
            </w:r>
            <w:proofErr w:type="gramStart"/>
            <w:r w:rsidRPr="00097BC8">
              <w:rPr>
                <w:rFonts w:ascii="Arial" w:hAnsi="Arial" w:cs="Arial"/>
                <w:sz w:val="20"/>
                <w:szCs w:val="20"/>
              </w:rPr>
              <w:t>tolueno(</w:t>
            </w:r>
            <w:proofErr w:type="gramEnd"/>
            <w:r w:rsidRPr="00097BC8">
              <w:rPr>
                <w:rFonts w:ascii="Arial" w:hAnsi="Arial" w:cs="Arial"/>
                <w:sz w:val="20"/>
                <w:szCs w:val="20"/>
              </w:rPr>
              <w:t xml:space="preserve">UNE-EN 1097-3:1999) </w:t>
            </w:r>
          </w:p>
        </w:tc>
      </w:tr>
      <w:tr w:rsidR="00C61E14" w:rsidRPr="00097BC8" w14:paraId="51806E1C"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5681ED7B" w14:textId="77777777" w:rsidR="00C61E14" w:rsidRPr="00097BC8" w:rsidRDefault="00C61E14" w:rsidP="00852CB3">
            <w:pPr>
              <w:rPr>
                <w:rFonts w:ascii="Arial" w:hAnsi="Arial" w:cs="Arial"/>
                <w:b/>
                <w:i/>
                <w:iCs/>
                <w:sz w:val="20"/>
                <w:szCs w:val="20"/>
                <w:u w:val="single"/>
              </w:rPr>
            </w:pPr>
            <w:r w:rsidRPr="00097BC8">
              <w:rPr>
                <w:rFonts w:ascii="Arial" w:hAnsi="Arial" w:cs="Arial"/>
                <w:b/>
                <w:i/>
                <w:iCs/>
                <w:sz w:val="20"/>
                <w:szCs w:val="20"/>
                <w:u w:val="single"/>
              </w:rPr>
              <w:t>Betún:</w:t>
            </w:r>
          </w:p>
        </w:tc>
      </w:tr>
      <w:tr w:rsidR="00C61E14" w:rsidRPr="00097BC8" w14:paraId="5AD08AB7"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470D0DA0" w14:textId="77777777" w:rsidR="00C61E14" w:rsidRPr="00097BC8" w:rsidRDefault="00C61E14" w:rsidP="00852CB3">
            <w:pPr>
              <w:rPr>
                <w:rFonts w:ascii="Arial" w:hAnsi="Arial" w:cs="Arial"/>
                <w:i/>
                <w:iCs/>
                <w:sz w:val="20"/>
                <w:szCs w:val="20"/>
              </w:rPr>
            </w:pPr>
            <w:r w:rsidRPr="00097BC8">
              <w:rPr>
                <w:rFonts w:ascii="Arial" w:hAnsi="Arial" w:cs="Arial"/>
                <w:i/>
                <w:iCs/>
                <w:sz w:val="20"/>
                <w:szCs w:val="20"/>
              </w:rPr>
              <w:t>Cada cien toneladas (100 t) o fracción de betún a emplear una vez al día o de cada partida distinta:</w:t>
            </w:r>
          </w:p>
        </w:tc>
      </w:tr>
      <w:tr w:rsidR="00C61E14" w:rsidRPr="00097BC8" w14:paraId="2EAE2D17"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0D667549"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Un (1) Ensayo de Penetración sobre residuo de destilación (UNE-EN 1426:2015)</w:t>
            </w:r>
          </w:p>
        </w:tc>
      </w:tr>
      <w:tr w:rsidR="00C61E14" w:rsidRPr="00097BC8" w14:paraId="28D58848"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6B048E57" w14:textId="77777777" w:rsidR="00C61E14" w:rsidRPr="00097BC8" w:rsidRDefault="00C61E14" w:rsidP="00852CB3">
            <w:pPr>
              <w:rPr>
                <w:rFonts w:ascii="Arial" w:hAnsi="Arial" w:cs="Arial"/>
                <w:b/>
                <w:i/>
                <w:iCs/>
                <w:sz w:val="20"/>
                <w:szCs w:val="20"/>
                <w:u w:val="single"/>
              </w:rPr>
            </w:pPr>
            <w:r w:rsidRPr="00097BC8">
              <w:rPr>
                <w:rFonts w:ascii="Arial" w:hAnsi="Arial" w:cs="Arial"/>
                <w:b/>
                <w:i/>
                <w:iCs/>
                <w:sz w:val="20"/>
                <w:szCs w:val="20"/>
                <w:u w:val="single"/>
              </w:rPr>
              <w:t>Se realizan controles en la fabricación de aglomerado asfáltico:</w:t>
            </w:r>
          </w:p>
        </w:tc>
      </w:tr>
      <w:tr w:rsidR="00C61E14" w:rsidRPr="00097BC8" w14:paraId="20A0D79B"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22DA028E" w14:textId="77777777" w:rsidR="00C61E14" w:rsidRPr="00097BC8" w:rsidRDefault="00C61E14" w:rsidP="00852CB3">
            <w:pPr>
              <w:rPr>
                <w:rFonts w:ascii="Arial" w:hAnsi="Arial" w:cs="Arial"/>
                <w:i/>
                <w:iCs/>
                <w:sz w:val="20"/>
                <w:szCs w:val="20"/>
              </w:rPr>
            </w:pPr>
            <w:proofErr w:type="gramStart"/>
            <w:r w:rsidRPr="00097BC8">
              <w:rPr>
                <w:rFonts w:ascii="Arial" w:hAnsi="Arial" w:cs="Arial"/>
                <w:i/>
                <w:iCs/>
                <w:sz w:val="20"/>
                <w:szCs w:val="20"/>
              </w:rPr>
              <w:t>Cada  quinientas</w:t>
            </w:r>
            <w:proofErr w:type="gramEnd"/>
            <w:r w:rsidRPr="00097BC8">
              <w:rPr>
                <w:rFonts w:ascii="Arial" w:hAnsi="Arial" w:cs="Arial"/>
                <w:i/>
                <w:iCs/>
                <w:sz w:val="20"/>
                <w:szCs w:val="20"/>
              </w:rPr>
              <w:t xml:space="preserve">  toneladas (500 t) de mezcla tomada de los camiones receptores de la descarga de la planta o fracción correspondiente a un día si se emplea menos material:</w:t>
            </w:r>
          </w:p>
        </w:tc>
      </w:tr>
      <w:tr w:rsidR="00C61E14" w:rsidRPr="00097BC8" w14:paraId="156C3609"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557C1CDD"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Dos (2) Ensayos de determinación del contenido de betún (NLT 164/90) (UNE EN 12697-1:2013)</w:t>
            </w:r>
          </w:p>
        </w:tc>
      </w:tr>
      <w:tr w:rsidR="00C61E14" w:rsidRPr="00097BC8" w14:paraId="060565DF"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7361B263"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Dos (2) ensayos Granulométricos del árido que queda tras eliminar el betún (NLT 150/89)</w:t>
            </w:r>
          </w:p>
        </w:tc>
      </w:tr>
      <w:tr w:rsidR="00C61E14" w:rsidRPr="00097BC8" w14:paraId="644FBE03" w14:textId="77777777" w:rsidTr="00852CB3">
        <w:trPr>
          <w:trHeight w:val="555"/>
        </w:trPr>
        <w:tc>
          <w:tcPr>
            <w:tcW w:w="5000" w:type="pct"/>
            <w:tcBorders>
              <w:top w:val="nil"/>
              <w:left w:val="single" w:sz="4" w:space="0" w:color="auto"/>
              <w:bottom w:val="single" w:sz="4" w:space="0" w:color="auto"/>
              <w:right w:val="single" w:sz="4" w:space="0" w:color="auto"/>
            </w:tcBorders>
            <w:vAlign w:val="center"/>
            <w:hideMark/>
          </w:tcPr>
          <w:p w14:paraId="1821D0B0"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Un (1) ensayo de estabilidad Marshall completo, incluyendo la fabricación de 3 probetas, determinación de la densidad, estabilidad, deformación, contenido de ligante, análisis granulométrico de los áridos extraídos y cálculo de huecos (NLT 159 y 168) (UNE EN 12679-6:2012)</w:t>
            </w:r>
          </w:p>
        </w:tc>
      </w:tr>
      <w:tr w:rsidR="00C61E14" w:rsidRPr="00097BC8" w14:paraId="4DBBF449"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62395D44" w14:textId="77777777" w:rsidR="00C61E14" w:rsidRPr="00097BC8" w:rsidRDefault="00C61E14" w:rsidP="00852CB3">
            <w:pPr>
              <w:rPr>
                <w:rFonts w:ascii="Arial" w:hAnsi="Arial" w:cs="Arial"/>
                <w:b/>
                <w:i/>
                <w:iCs/>
                <w:sz w:val="20"/>
                <w:szCs w:val="20"/>
                <w:u w:val="single"/>
              </w:rPr>
            </w:pPr>
            <w:r w:rsidRPr="00097BC8">
              <w:rPr>
                <w:rFonts w:ascii="Arial" w:hAnsi="Arial" w:cs="Arial"/>
                <w:b/>
                <w:i/>
                <w:iCs/>
                <w:sz w:val="20"/>
                <w:szCs w:val="20"/>
                <w:u w:val="single"/>
              </w:rPr>
              <w:t>Durante su ejecución: Se realiza el control de la compactación</w:t>
            </w:r>
          </w:p>
        </w:tc>
      </w:tr>
      <w:tr w:rsidR="00C61E14" w:rsidRPr="00097BC8" w14:paraId="5363063B" w14:textId="77777777" w:rsidTr="00852CB3">
        <w:trPr>
          <w:trHeight w:val="600"/>
        </w:trPr>
        <w:tc>
          <w:tcPr>
            <w:tcW w:w="5000" w:type="pct"/>
            <w:tcBorders>
              <w:top w:val="nil"/>
              <w:left w:val="single" w:sz="4" w:space="0" w:color="auto"/>
              <w:bottom w:val="single" w:sz="4" w:space="0" w:color="auto"/>
              <w:right w:val="single" w:sz="4" w:space="0" w:color="auto"/>
            </w:tcBorders>
            <w:vAlign w:val="center"/>
            <w:hideMark/>
          </w:tcPr>
          <w:p w14:paraId="3E9774A7" w14:textId="77777777" w:rsidR="00C61E14" w:rsidRPr="00097BC8" w:rsidRDefault="00C61E14" w:rsidP="00852CB3">
            <w:pPr>
              <w:rPr>
                <w:rFonts w:ascii="Arial" w:hAnsi="Arial" w:cs="Arial"/>
                <w:i/>
                <w:iCs/>
                <w:sz w:val="20"/>
                <w:szCs w:val="20"/>
              </w:rPr>
            </w:pPr>
            <w:r w:rsidRPr="00097BC8">
              <w:rPr>
                <w:rFonts w:ascii="Arial" w:hAnsi="Arial" w:cs="Arial"/>
                <w:i/>
                <w:iCs/>
                <w:sz w:val="20"/>
                <w:szCs w:val="20"/>
              </w:rPr>
              <w:t xml:space="preserve">Cada quinientas metros de calzada, tres mil quinientos metros cuadrados de calzada o fracción construida diariamente se llevarán a cabo los ensayos </w:t>
            </w:r>
            <w:proofErr w:type="gramStart"/>
            <w:r w:rsidRPr="00097BC8">
              <w:rPr>
                <w:rFonts w:ascii="Arial" w:hAnsi="Arial" w:cs="Arial"/>
                <w:i/>
                <w:iCs/>
                <w:sz w:val="20"/>
                <w:szCs w:val="20"/>
              </w:rPr>
              <w:t>siguientes::</w:t>
            </w:r>
            <w:proofErr w:type="gramEnd"/>
          </w:p>
        </w:tc>
      </w:tr>
      <w:tr w:rsidR="00C61E14" w:rsidRPr="00097BC8" w14:paraId="3838946E"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18F2DDED"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Cuatro (4) ensayos para la determinación de la densidad (UNE-EN 12697-6:2012)</w:t>
            </w:r>
          </w:p>
        </w:tc>
      </w:tr>
      <w:tr w:rsidR="00C61E14" w:rsidRPr="00097BC8" w14:paraId="24AEA452"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hideMark/>
          </w:tcPr>
          <w:p w14:paraId="6DA316CD"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Cuatro (4) ensayos para el Cálculo del porcentaje de huecos (UNE-EN 12697-8:2003)</w:t>
            </w:r>
          </w:p>
        </w:tc>
      </w:tr>
      <w:tr w:rsidR="00C61E14" w:rsidRPr="00097BC8" w14:paraId="42951C3C"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tcPr>
          <w:p w14:paraId="5AE29C5A" w14:textId="77777777" w:rsidR="00C61E14" w:rsidRPr="00097BC8" w:rsidRDefault="00C61E14" w:rsidP="00852CB3">
            <w:pPr>
              <w:rPr>
                <w:rFonts w:ascii="Arial" w:hAnsi="Arial" w:cs="Arial"/>
                <w:b/>
                <w:sz w:val="20"/>
                <w:szCs w:val="20"/>
                <w:u w:val="single"/>
              </w:rPr>
            </w:pPr>
            <w:r w:rsidRPr="00097BC8">
              <w:rPr>
                <w:rFonts w:ascii="Arial" w:hAnsi="Arial" w:cs="Arial"/>
                <w:b/>
                <w:bCs/>
                <w:i/>
                <w:sz w:val="20"/>
                <w:szCs w:val="20"/>
                <w:u w:val="single"/>
              </w:rPr>
              <w:t xml:space="preserve">Recepción de la </w:t>
            </w:r>
            <w:proofErr w:type="gramStart"/>
            <w:r w:rsidRPr="00097BC8">
              <w:rPr>
                <w:rFonts w:ascii="Arial" w:hAnsi="Arial" w:cs="Arial"/>
                <w:b/>
                <w:bCs/>
                <w:i/>
                <w:sz w:val="20"/>
                <w:szCs w:val="20"/>
                <w:u w:val="single"/>
              </w:rPr>
              <w:t>unidad  terminada</w:t>
            </w:r>
            <w:proofErr w:type="gramEnd"/>
          </w:p>
        </w:tc>
      </w:tr>
      <w:tr w:rsidR="00C61E14" w:rsidRPr="00097BC8" w14:paraId="71418FEF"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tcPr>
          <w:p w14:paraId="6D690715" w14:textId="77777777" w:rsidR="00C61E14" w:rsidRPr="00097BC8" w:rsidRDefault="00C61E14" w:rsidP="00852CB3">
            <w:pPr>
              <w:jc w:val="right"/>
              <w:rPr>
                <w:rFonts w:ascii="Arial" w:hAnsi="Arial" w:cs="Arial"/>
                <w:sz w:val="20"/>
                <w:szCs w:val="20"/>
                <w:u w:val="single"/>
              </w:rPr>
            </w:pPr>
            <w:proofErr w:type="spellStart"/>
            <w:r w:rsidRPr="00097BC8">
              <w:rPr>
                <w:rFonts w:ascii="Arial" w:hAnsi="Arial" w:cs="Arial"/>
                <w:sz w:val="20"/>
                <w:szCs w:val="20"/>
              </w:rPr>
              <w:t>Indice</w:t>
            </w:r>
            <w:proofErr w:type="spellEnd"/>
            <w:r w:rsidRPr="00097BC8">
              <w:rPr>
                <w:rFonts w:ascii="Arial" w:hAnsi="Arial" w:cs="Arial"/>
                <w:sz w:val="20"/>
                <w:szCs w:val="20"/>
              </w:rPr>
              <w:t xml:space="preserve"> de regularidad internacional (IRI</w:t>
            </w:r>
            <w:proofErr w:type="gramStart"/>
            <w:r w:rsidRPr="00097BC8">
              <w:rPr>
                <w:rFonts w:ascii="Arial" w:hAnsi="Arial" w:cs="Arial"/>
                <w:sz w:val="20"/>
                <w:szCs w:val="20"/>
              </w:rPr>
              <w:t>).(</w:t>
            </w:r>
            <w:proofErr w:type="gramEnd"/>
            <w:r w:rsidRPr="00097BC8">
              <w:rPr>
                <w:rFonts w:ascii="Arial" w:hAnsi="Arial" w:cs="Arial"/>
                <w:sz w:val="20"/>
                <w:szCs w:val="20"/>
              </w:rPr>
              <w:t xml:space="preserve"> norma NLT-330)</w:t>
            </w:r>
          </w:p>
        </w:tc>
      </w:tr>
      <w:tr w:rsidR="00C61E14" w:rsidRPr="00097BC8" w14:paraId="3F210F30"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tcPr>
          <w:p w14:paraId="7B3BC5D2"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 xml:space="preserve">Coeficiente de rozamiento transversal </w:t>
            </w:r>
            <w:proofErr w:type="gramStart"/>
            <w:r w:rsidRPr="00097BC8">
              <w:rPr>
                <w:rFonts w:ascii="Arial" w:hAnsi="Arial" w:cs="Arial"/>
                <w:sz w:val="20"/>
                <w:szCs w:val="20"/>
              </w:rPr>
              <w:t>CRT(</w:t>
            </w:r>
            <w:proofErr w:type="gramEnd"/>
            <w:r w:rsidRPr="00097BC8">
              <w:rPr>
                <w:rFonts w:ascii="Arial" w:hAnsi="Arial" w:cs="Arial"/>
                <w:sz w:val="20"/>
                <w:szCs w:val="20"/>
              </w:rPr>
              <w:t>UNE–EN 13036-1:2010)</w:t>
            </w:r>
          </w:p>
        </w:tc>
      </w:tr>
      <w:tr w:rsidR="00C61E14" w:rsidRPr="00097BC8" w14:paraId="12B3565E"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tcPr>
          <w:p w14:paraId="72506EB0" w14:textId="77777777" w:rsidR="00C61E14" w:rsidRPr="00097BC8" w:rsidRDefault="00C61E14" w:rsidP="00852CB3">
            <w:pPr>
              <w:rPr>
                <w:rFonts w:ascii="Arial" w:hAnsi="Arial" w:cs="Arial"/>
                <w:b/>
                <w:sz w:val="20"/>
                <w:szCs w:val="20"/>
                <w:u w:val="single"/>
              </w:rPr>
            </w:pPr>
            <w:r w:rsidRPr="00097BC8">
              <w:rPr>
                <w:rFonts w:ascii="Arial" w:hAnsi="Arial" w:cs="Arial"/>
                <w:b/>
                <w:bCs/>
                <w:i/>
                <w:sz w:val="20"/>
                <w:szCs w:val="20"/>
                <w:u w:val="single"/>
              </w:rPr>
              <w:t>En la capa de rodadura se llevarán a cabo los ensayos siguientes</w:t>
            </w:r>
            <w:r w:rsidRPr="00097BC8">
              <w:rPr>
                <w:rFonts w:ascii="Arial" w:hAnsi="Arial" w:cs="Arial"/>
                <w:b/>
                <w:sz w:val="20"/>
                <w:szCs w:val="20"/>
                <w:u w:val="single"/>
              </w:rPr>
              <w:t xml:space="preserve"> </w:t>
            </w:r>
          </w:p>
        </w:tc>
      </w:tr>
      <w:tr w:rsidR="00C61E14" w:rsidRPr="00097BC8" w14:paraId="2EF0C08E"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tcPr>
          <w:p w14:paraId="05051484" w14:textId="77777777" w:rsidR="00C61E14" w:rsidRPr="00097BC8" w:rsidRDefault="00C61E14" w:rsidP="00852CB3">
            <w:pPr>
              <w:jc w:val="right"/>
              <w:rPr>
                <w:rFonts w:ascii="Arial" w:hAnsi="Arial" w:cs="Arial"/>
                <w:sz w:val="20"/>
                <w:szCs w:val="20"/>
              </w:rPr>
            </w:pPr>
            <w:proofErr w:type="spellStart"/>
            <w:r w:rsidRPr="00097BC8">
              <w:rPr>
                <w:rFonts w:ascii="Arial" w:hAnsi="Arial" w:cs="Arial"/>
                <w:sz w:val="20"/>
                <w:szCs w:val="20"/>
              </w:rPr>
              <w:t>Macrotextura</w:t>
            </w:r>
            <w:proofErr w:type="spellEnd"/>
            <w:r w:rsidRPr="00097BC8">
              <w:rPr>
                <w:rFonts w:ascii="Arial" w:hAnsi="Arial" w:cs="Arial"/>
                <w:sz w:val="20"/>
                <w:szCs w:val="20"/>
              </w:rPr>
              <w:t xml:space="preserve"> superficial (UNE-EN 13036-1:2010)</w:t>
            </w:r>
          </w:p>
        </w:tc>
      </w:tr>
      <w:tr w:rsidR="00C61E14" w:rsidRPr="00097BC8" w14:paraId="5D614499" w14:textId="77777777" w:rsidTr="00852CB3">
        <w:trPr>
          <w:trHeight w:val="300"/>
        </w:trPr>
        <w:tc>
          <w:tcPr>
            <w:tcW w:w="5000" w:type="pct"/>
            <w:tcBorders>
              <w:top w:val="nil"/>
              <w:left w:val="single" w:sz="4" w:space="0" w:color="auto"/>
              <w:bottom w:val="single" w:sz="4" w:space="0" w:color="auto"/>
              <w:right w:val="single" w:sz="4" w:space="0" w:color="auto"/>
            </w:tcBorders>
            <w:noWrap/>
            <w:vAlign w:val="center"/>
          </w:tcPr>
          <w:p w14:paraId="6517CEB1" w14:textId="77777777" w:rsidR="00C61E14" w:rsidRPr="00097BC8" w:rsidRDefault="00C61E14" w:rsidP="00852CB3">
            <w:pPr>
              <w:jc w:val="right"/>
              <w:rPr>
                <w:rFonts w:ascii="Arial" w:hAnsi="Arial" w:cs="Arial"/>
                <w:sz w:val="20"/>
                <w:szCs w:val="20"/>
              </w:rPr>
            </w:pPr>
            <w:r w:rsidRPr="00097BC8">
              <w:rPr>
                <w:rFonts w:ascii="Arial" w:hAnsi="Arial" w:cs="Arial"/>
                <w:sz w:val="20"/>
                <w:szCs w:val="20"/>
              </w:rPr>
              <w:t>Resistencia al deslizamiento (UNE 41201:2010 IN)</w:t>
            </w:r>
          </w:p>
        </w:tc>
      </w:tr>
      <w:tr w:rsidR="00C61E14" w:rsidRPr="00097BC8" w14:paraId="2812780A" w14:textId="77777777" w:rsidTr="00852CB3">
        <w:trPr>
          <w:trHeight w:val="255"/>
        </w:trPr>
        <w:tc>
          <w:tcPr>
            <w:tcW w:w="5000" w:type="pct"/>
            <w:tcBorders>
              <w:top w:val="nil"/>
              <w:left w:val="nil"/>
              <w:bottom w:val="nil"/>
              <w:right w:val="nil"/>
            </w:tcBorders>
            <w:vAlign w:val="center"/>
            <w:hideMark/>
          </w:tcPr>
          <w:p w14:paraId="77919BC9" w14:textId="77777777" w:rsidR="00C61E14" w:rsidRPr="00097BC8" w:rsidRDefault="00C61E14" w:rsidP="00852CB3">
            <w:pPr>
              <w:rPr>
                <w:rFonts w:cs="Arial"/>
                <w:i/>
                <w:iCs/>
                <w:sz w:val="20"/>
                <w:szCs w:val="20"/>
              </w:rPr>
            </w:pPr>
          </w:p>
        </w:tc>
      </w:tr>
    </w:tbl>
    <w:p w14:paraId="6793E196" w14:textId="77777777" w:rsidR="00961CAF" w:rsidRPr="00B338BE" w:rsidRDefault="00961CAF" w:rsidP="00961CAF">
      <w:pPr>
        <w:pStyle w:val="NORMAL12"/>
      </w:pPr>
      <w:r w:rsidRPr="00B338BE">
        <w:t>Se realizarán además las siguientes auscultaciones:</w:t>
      </w:r>
    </w:p>
    <w:p w14:paraId="2F421C0C" w14:textId="77777777" w:rsidR="00961CAF" w:rsidRPr="00B338BE" w:rsidRDefault="00961CAF" w:rsidP="00961CAF">
      <w:pPr>
        <w:pStyle w:val="NORMAL12"/>
        <w:numPr>
          <w:ilvl w:val="0"/>
          <w:numId w:val="30"/>
        </w:numPr>
      </w:pPr>
      <w:r w:rsidRPr="00B338BE">
        <w:t>Auscultación visual: Tiene por objeto detectar e incluso cuantificar los deterioros existentes. Se realizará siguiendo la metodología para la evaluación del estado de firmes de carreteras según la normativa que aplique en su caso.</w:t>
      </w:r>
    </w:p>
    <w:p w14:paraId="163AC90F" w14:textId="77777777" w:rsidR="00961CAF" w:rsidRPr="00B338BE" w:rsidRDefault="00961CAF" w:rsidP="00961CAF">
      <w:pPr>
        <w:pStyle w:val="NORMAL12"/>
        <w:numPr>
          <w:ilvl w:val="0"/>
          <w:numId w:val="30"/>
        </w:numPr>
      </w:pPr>
      <w:r w:rsidRPr="00B338BE">
        <w:t>Auscultación especializada: Supone un paso más respecto a la auscultación visual, posibilitando una cuantificación más precisa de determinados deterioros. Se deberá realizar mediciones de los siguientes parámetros:</w:t>
      </w:r>
    </w:p>
    <w:p w14:paraId="68400FFA" w14:textId="77777777" w:rsidR="00961CAF" w:rsidRPr="00B338BE" w:rsidRDefault="00961CAF" w:rsidP="00961CAF">
      <w:pPr>
        <w:pStyle w:val="NORMAL12"/>
        <w:numPr>
          <w:ilvl w:val="1"/>
          <w:numId w:val="30"/>
        </w:numPr>
      </w:pPr>
      <w:r w:rsidRPr="00B338BE">
        <w:t>Regularidad superficial: Se determinará el Índice de Regularidad Internacional (</w:t>
      </w:r>
      <w:proofErr w:type="spellStart"/>
      <w:r w:rsidRPr="00B338BE">
        <w:t>lRI</w:t>
      </w:r>
      <w:proofErr w:type="spellEnd"/>
      <w:r w:rsidRPr="00B338BE">
        <w:t xml:space="preserve">). Para ello se dividirá cada tramo en subtramos de 1.000 metros de longitud por sentido, y se tomarán mediciones cada </w:t>
      </w:r>
      <w:r>
        <w:t>10</w:t>
      </w:r>
      <w:r w:rsidRPr="00B338BE">
        <w:t>0 metros en cada uno de estos subtramos.</w:t>
      </w:r>
    </w:p>
    <w:p w14:paraId="7CB1C741" w14:textId="77777777" w:rsidR="00961CAF" w:rsidRPr="00B338BE" w:rsidRDefault="00961CAF" w:rsidP="00961CAF">
      <w:pPr>
        <w:pStyle w:val="NORMAL12"/>
        <w:numPr>
          <w:ilvl w:val="1"/>
          <w:numId w:val="30"/>
        </w:numPr>
      </w:pPr>
      <w:r w:rsidRPr="00B338BE">
        <w:t>Adherencia del pavimento: Se determinará el Coeficiente de Rozamiento Transversal (CRT). Para ello se dividirá cada tramo en subtramos de 1.000 metros de longitud por sentido, y se tomarán mediciones cada 20 metros en cada uno de estos subtramos.</w:t>
      </w:r>
    </w:p>
    <w:p w14:paraId="4B35F5DC" w14:textId="77777777" w:rsidR="00961CAF" w:rsidRPr="00B338BE" w:rsidRDefault="00961CAF" w:rsidP="00961CAF">
      <w:pPr>
        <w:pStyle w:val="NORMAL12"/>
        <w:numPr>
          <w:ilvl w:val="1"/>
          <w:numId w:val="30"/>
        </w:numPr>
      </w:pPr>
      <w:r w:rsidRPr="00B338BE">
        <w:t xml:space="preserve">Deflexiones: Se medirán las deflexiones de los distintos subtramos, calculando las </w:t>
      </w:r>
      <w:proofErr w:type="gramStart"/>
      <w:r w:rsidRPr="00B338BE">
        <w:t>deflexiones característica</w:t>
      </w:r>
      <w:proofErr w:type="gramEnd"/>
      <w:r w:rsidRPr="00B338BE">
        <w:t>, patrón y de cálculo.</w:t>
      </w:r>
    </w:p>
    <w:p w14:paraId="7025CC77" w14:textId="77777777" w:rsidR="00961CAF" w:rsidRPr="00B338BE" w:rsidRDefault="00961CAF" w:rsidP="00961CAF">
      <w:pPr>
        <w:pStyle w:val="NORMAL12"/>
        <w:keepNext/>
        <w:rPr>
          <w:i/>
          <w:u w:val="single"/>
        </w:rPr>
      </w:pPr>
      <w:r w:rsidRPr="00B338BE">
        <w:rPr>
          <w:i/>
          <w:u w:val="single"/>
        </w:rPr>
        <w:t>Prescripciones sobre auscultación especializada</w:t>
      </w:r>
    </w:p>
    <w:p w14:paraId="7521DF5F" w14:textId="77777777" w:rsidR="00961CAF" w:rsidRDefault="00961CAF" w:rsidP="00961CAF">
      <w:pPr>
        <w:pStyle w:val="NORMAL12"/>
        <w:numPr>
          <w:ilvl w:val="0"/>
          <w:numId w:val="30"/>
        </w:numPr>
      </w:pPr>
      <w:r w:rsidRPr="00B338BE">
        <w:t>Regularidad superficial. Para cada subtramo deberán cumplirse los estándares que a continuación se indican:</w:t>
      </w:r>
    </w:p>
    <w:tbl>
      <w:tblPr>
        <w:tblW w:w="6700" w:type="dxa"/>
        <w:jc w:val="center"/>
        <w:tblCellMar>
          <w:left w:w="70" w:type="dxa"/>
          <w:right w:w="70" w:type="dxa"/>
        </w:tblCellMar>
        <w:tblLook w:val="04A0" w:firstRow="1" w:lastRow="0" w:firstColumn="1" w:lastColumn="0" w:noHBand="0" w:noVBand="1"/>
      </w:tblPr>
      <w:tblGrid>
        <w:gridCol w:w="2660"/>
        <w:gridCol w:w="2496"/>
        <w:gridCol w:w="1544"/>
      </w:tblGrid>
      <w:tr w:rsidR="00AA6379" w14:paraId="18AADD8E" w14:textId="77777777" w:rsidTr="00AA6379">
        <w:trPr>
          <w:trHeight w:val="300"/>
          <w:jc w:val="center"/>
        </w:trPr>
        <w:tc>
          <w:tcPr>
            <w:tcW w:w="2660" w:type="dxa"/>
            <w:vMerge w:val="restart"/>
            <w:tcBorders>
              <w:top w:val="single" w:sz="4" w:space="0" w:color="auto"/>
              <w:left w:val="single" w:sz="4" w:space="0" w:color="auto"/>
              <w:bottom w:val="single" w:sz="4" w:space="0" w:color="000000"/>
              <w:right w:val="single" w:sz="4" w:space="0" w:color="auto"/>
            </w:tcBorders>
            <w:shd w:val="clear" w:color="000000" w:fill="D9D9D9"/>
            <w:noWrap/>
            <w:vAlign w:val="center"/>
            <w:hideMark/>
          </w:tcPr>
          <w:p w14:paraId="2F834051" w14:textId="77777777" w:rsidR="00AA6379" w:rsidRDefault="00AA6379">
            <w:pPr>
              <w:jc w:val="center"/>
              <w:rPr>
                <w:rFonts w:ascii="Calibri" w:hAnsi="Calibri" w:cs="Calibri"/>
                <w:b/>
                <w:bCs/>
                <w:color w:val="000000"/>
                <w:sz w:val="22"/>
                <w:szCs w:val="22"/>
              </w:rPr>
            </w:pPr>
            <w:r>
              <w:rPr>
                <w:rFonts w:ascii="Calibri" w:hAnsi="Calibri" w:cs="Calibri"/>
                <w:b/>
                <w:bCs/>
                <w:color w:val="000000"/>
                <w:sz w:val="22"/>
                <w:szCs w:val="22"/>
              </w:rPr>
              <w:t>Porcentaje de hectómetros</w:t>
            </w:r>
          </w:p>
        </w:tc>
        <w:tc>
          <w:tcPr>
            <w:tcW w:w="4040" w:type="dxa"/>
            <w:gridSpan w:val="2"/>
            <w:tcBorders>
              <w:top w:val="single" w:sz="4" w:space="0" w:color="auto"/>
              <w:left w:val="nil"/>
              <w:bottom w:val="single" w:sz="4" w:space="0" w:color="auto"/>
              <w:right w:val="single" w:sz="4" w:space="0" w:color="000000"/>
            </w:tcBorders>
            <w:shd w:val="clear" w:color="000000" w:fill="D9D9D9"/>
            <w:noWrap/>
            <w:vAlign w:val="bottom"/>
            <w:hideMark/>
          </w:tcPr>
          <w:p w14:paraId="59472031" w14:textId="77777777" w:rsidR="00AA6379" w:rsidRDefault="00AA6379">
            <w:pPr>
              <w:jc w:val="center"/>
              <w:rPr>
                <w:rFonts w:ascii="Calibri" w:hAnsi="Calibri" w:cs="Calibri"/>
                <w:b/>
                <w:bCs/>
                <w:color w:val="000000"/>
                <w:sz w:val="22"/>
                <w:szCs w:val="22"/>
              </w:rPr>
            </w:pPr>
            <w:r>
              <w:rPr>
                <w:rFonts w:ascii="Calibri" w:hAnsi="Calibri" w:cs="Calibri"/>
                <w:b/>
                <w:bCs/>
                <w:color w:val="000000"/>
                <w:sz w:val="22"/>
                <w:szCs w:val="22"/>
              </w:rPr>
              <w:t>TIPO DE VÍA</w:t>
            </w:r>
          </w:p>
        </w:tc>
      </w:tr>
      <w:tr w:rsidR="00AA6379" w14:paraId="02883556" w14:textId="77777777" w:rsidTr="00AA6379">
        <w:trPr>
          <w:trHeight w:val="300"/>
          <w:jc w:val="center"/>
        </w:trPr>
        <w:tc>
          <w:tcPr>
            <w:tcW w:w="2660" w:type="dxa"/>
            <w:vMerge/>
            <w:tcBorders>
              <w:top w:val="single" w:sz="4" w:space="0" w:color="auto"/>
              <w:left w:val="single" w:sz="4" w:space="0" w:color="auto"/>
              <w:bottom w:val="single" w:sz="4" w:space="0" w:color="000000"/>
              <w:right w:val="single" w:sz="4" w:space="0" w:color="auto"/>
            </w:tcBorders>
            <w:vAlign w:val="center"/>
            <w:hideMark/>
          </w:tcPr>
          <w:p w14:paraId="6E025DAF" w14:textId="77777777" w:rsidR="00AA6379" w:rsidRDefault="00AA6379">
            <w:pPr>
              <w:rPr>
                <w:rFonts w:ascii="Calibri" w:hAnsi="Calibri" w:cs="Calibri"/>
                <w:b/>
                <w:bCs/>
                <w:color w:val="000000"/>
                <w:sz w:val="22"/>
                <w:szCs w:val="22"/>
              </w:rPr>
            </w:pPr>
          </w:p>
        </w:tc>
        <w:tc>
          <w:tcPr>
            <w:tcW w:w="2496" w:type="dxa"/>
            <w:tcBorders>
              <w:top w:val="nil"/>
              <w:left w:val="nil"/>
              <w:bottom w:val="single" w:sz="4" w:space="0" w:color="auto"/>
              <w:right w:val="single" w:sz="4" w:space="0" w:color="auto"/>
            </w:tcBorders>
            <w:shd w:val="clear" w:color="000000" w:fill="D9D9D9"/>
            <w:noWrap/>
            <w:vAlign w:val="bottom"/>
            <w:hideMark/>
          </w:tcPr>
          <w:p w14:paraId="6BD0FF41" w14:textId="77777777" w:rsidR="00AA6379" w:rsidRDefault="00AA6379">
            <w:pPr>
              <w:jc w:val="center"/>
              <w:rPr>
                <w:rFonts w:ascii="Calibri" w:hAnsi="Calibri" w:cs="Calibri"/>
                <w:b/>
                <w:bCs/>
                <w:color w:val="000000"/>
                <w:sz w:val="22"/>
                <w:szCs w:val="22"/>
              </w:rPr>
            </w:pPr>
            <w:r>
              <w:rPr>
                <w:rFonts w:ascii="Calibri" w:hAnsi="Calibri" w:cs="Calibri"/>
                <w:b/>
                <w:bCs/>
                <w:color w:val="000000"/>
                <w:sz w:val="22"/>
                <w:szCs w:val="22"/>
              </w:rPr>
              <w:t>Autopistas y autovías</w:t>
            </w:r>
          </w:p>
        </w:tc>
        <w:tc>
          <w:tcPr>
            <w:tcW w:w="1544" w:type="dxa"/>
            <w:tcBorders>
              <w:top w:val="nil"/>
              <w:left w:val="nil"/>
              <w:bottom w:val="single" w:sz="4" w:space="0" w:color="auto"/>
              <w:right w:val="single" w:sz="4" w:space="0" w:color="auto"/>
            </w:tcBorders>
            <w:shd w:val="clear" w:color="000000" w:fill="D9D9D9"/>
            <w:noWrap/>
            <w:vAlign w:val="bottom"/>
            <w:hideMark/>
          </w:tcPr>
          <w:p w14:paraId="4BDD440B" w14:textId="77777777" w:rsidR="00AA6379" w:rsidRDefault="00AA6379">
            <w:pPr>
              <w:jc w:val="center"/>
              <w:rPr>
                <w:rFonts w:ascii="Calibri" w:hAnsi="Calibri" w:cs="Calibri"/>
                <w:b/>
                <w:bCs/>
                <w:color w:val="000000"/>
                <w:sz w:val="22"/>
                <w:szCs w:val="22"/>
              </w:rPr>
            </w:pPr>
            <w:r>
              <w:rPr>
                <w:rFonts w:ascii="Calibri" w:hAnsi="Calibri" w:cs="Calibri"/>
                <w:b/>
                <w:bCs/>
                <w:color w:val="000000"/>
                <w:sz w:val="22"/>
                <w:szCs w:val="22"/>
              </w:rPr>
              <w:t>Resto de vías</w:t>
            </w:r>
          </w:p>
        </w:tc>
      </w:tr>
      <w:tr w:rsidR="00AA6379" w14:paraId="7C250615" w14:textId="77777777" w:rsidTr="00AA6379">
        <w:trPr>
          <w:trHeight w:val="300"/>
          <w:jc w:val="center"/>
        </w:trPr>
        <w:tc>
          <w:tcPr>
            <w:tcW w:w="2660" w:type="dxa"/>
            <w:tcBorders>
              <w:top w:val="nil"/>
              <w:left w:val="single" w:sz="4" w:space="0" w:color="auto"/>
              <w:bottom w:val="single" w:sz="4" w:space="0" w:color="auto"/>
              <w:right w:val="single" w:sz="4" w:space="0" w:color="auto"/>
            </w:tcBorders>
            <w:noWrap/>
            <w:vAlign w:val="bottom"/>
            <w:hideMark/>
          </w:tcPr>
          <w:p w14:paraId="3E72E7D4" w14:textId="77777777" w:rsidR="00AA6379" w:rsidRDefault="00AA6379">
            <w:pPr>
              <w:jc w:val="center"/>
              <w:rPr>
                <w:rFonts w:ascii="Calibri" w:hAnsi="Calibri" w:cs="Calibri"/>
                <w:color w:val="000000"/>
                <w:sz w:val="22"/>
                <w:szCs w:val="22"/>
              </w:rPr>
            </w:pPr>
            <w:r>
              <w:rPr>
                <w:rFonts w:ascii="Calibri" w:hAnsi="Calibri" w:cs="Calibri"/>
                <w:color w:val="000000"/>
                <w:sz w:val="22"/>
                <w:szCs w:val="22"/>
              </w:rPr>
              <w:t>50</w:t>
            </w:r>
          </w:p>
        </w:tc>
        <w:tc>
          <w:tcPr>
            <w:tcW w:w="2496" w:type="dxa"/>
            <w:tcBorders>
              <w:top w:val="nil"/>
              <w:left w:val="nil"/>
              <w:bottom w:val="single" w:sz="4" w:space="0" w:color="auto"/>
              <w:right w:val="single" w:sz="4" w:space="0" w:color="auto"/>
            </w:tcBorders>
            <w:noWrap/>
            <w:vAlign w:val="bottom"/>
            <w:hideMark/>
          </w:tcPr>
          <w:p w14:paraId="593483B6" w14:textId="77777777" w:rsidR="00AA6379" w:rsidRDefault="00AA6379">
            <w:pPr>
              <w:jc w:val="center"/>
              <w:rPr>
                <w:rFonts w:ascii="Calibri" w:hAnsi="Calibri" w:cs="Calibri"/>
                <w:color w:val="000000"/>
                <w:sz w:val="22"/>
                <w:szCs w:val="22"/>
              </w:rPr>
            </w:pPr>
            <w:r>
              <w:rPr>
                <w:rFonts w:ascii="Calibri" w:hAnsi="Calibri" w:cs="Calibri"/>
                <w:color w:val="000000"/>
                <w:sz w:val="22"/>
                <w:szCs w:val="22"/>
              </w:rPr>
              <w:t>≤ 1,5</w:t>
            </w:r>
          </w:p>
        </w:tc>
        <w:tc>
          <w:tcPr>
            <w:tcW w:w="1544" w:type="dxa"/>
            <w:tcBorders>
              <w:top w:val="nil"/>
              <w:left w:val="nil"/>
              <w:bottom w:val="single" w:sz="4" w:space="0" w:color="auto"/>
              <w:right w:val="single" w:sz="4" w:space="0" w:color="auto"/>
            </w:tcBorders>
            <w:noWrap/>
            <w:vAlign w:val="bottom"/>
            <w:hideMark/>
          </w:tcPr>
          <w:p w14:paraId="4EADC9D6" w14:textId="77777777" w:rsidR="00AA6379" w:rsidRDefault="00AA6379">
            <w:pPr>
              <w:jc w:val="center"/>
              <w:rPr>
                <w:rFonts w:ascii="Calibri" w:hAnsi="Calibri" w:cs="Calibri"/>
                <w:color w:val="000000"/>
                <w:sz w:val="22"/>
                <w:szCs w:val="22"/>
              </w:rPr>
            </w:pPr>
            <w:r>
              <w:rPr>
                <w:rFonts w:ascii="Calibri" w:hAnsi="Calibri" w:cs="Calibri"/>
                <w:color w:val="000000"/>
                <w:sz w:val="22"/>
                <w:szCs w:val="22"/>
              </w:rPr>
              <w:t>≤ 1,5</w:t>
            </w:r>
          </w:p>
        </w:tc>
      </w:tr>
      <w:tr w:rsidR="00AA6379" w14:paraId="09008823" w14:textId="77777777" w:rsidTr="00AA6379">
        <w:trPr>
          <w:trHeight w:val="300"/>
          <w:jc w:val="center"/>
        </w:trPr>
        <w:tc>
          <w:tcPr>
            <w:tcW w:w="2660" w:type="dxa"/>
            <w:tcBorders>
              <w:top w:val="nil"/>
              <w:left w:val="single" w:sz="4" w:space="0" w:color="auto"/>
              <w:bottom w:val="single" w:sz="4" w:space="0" w:color="auto"/>
              <w:right w:val="single" w:sz="4" w:space="0" w:color="auto"/>
            </w:tcBorders>
            <w:noWrap/>
            <w:vAlign w:val="bottom"/>
            <w:hideMark/>
          </w:tcPr>
          <w:p w14:paraId="336750AF" w14:textId="77777777" w:rsidR="00AA6379" w:rsidRDefault="00AA6379">
            <w:pPr>
              <w:jc w:val="center"/>
              <w:rPr>
                <w:rFonts w:ascii="Calibri" w:hAnsi="Calibri" w:cs="Calibri"/>
                <w:color w:val="000000"/>
                <w:sz w:val="22"/>
                <w:szCs w:val="22"/>
              </w:rPr>
            </w:pPr>
            <w:r>
              <w:rPr>
                <w:rFonts w:ascii="Calibri" w:hAnsi="Calibri" w:cs="Calibri"/>
                <w:color w:val="000000"/>
                <w:sz w:val="22"/>
                <w:szCs w:val="22"/>
              </w:rPr>
              <w:t>80</w:t>
            </w:r>
          </w:p>
        </w:tc>
        <w:tc>
          <w:tcPr>
            <w:tcW w:w="2496" w:type="dxa"/>
            <w:tcBorders>
              <w:top w:val="nil"/>
              <w:left w:val="nil"/>
              <w:bottom w:val="single" w:sz="4" w:space="0" w:color="auto"/>
              <w:right w:val="single" w:sz="4" w:space="0" w:color="auto"/>
            </w:tcBorders>
            <w:noWrap/>
            <w:vAlign w:val="bottom"/>
            <w:hideMark/>
          </w:tcPr>
          <w:p w14:paraId="1D8F298F" w14:textId="77777777" w:rsidR="00AA6379" w:rsidRDefault="00AA6379">
            <w:pPr>
              <w:jc w:val="center"/>
              <w:rPr>
                <w:rFonts w:ascii="Calibri" w:hAnsi="Calibri" w:cs="Calibri"/>
                <w:color w:val="000000"/>
                <w:sz w:val="22"/>
                <w:szCs w:val="22"/>
              </w:rPr>
            </w:pPr>
            <w:r>
              <w:rPr>
                <w:rFonts w:ascii="Calibri" w:hAnsi="Calibri" w:cs="Calibri"/>
                <w:color w:val="000000"/>
                <w:sz w:val="22"/>
                <w:szCs w:val="22"/>
              </w:rPr>
              <w:t>≤ 1,8</w:t>
            </w:r>
          </w:p>
        </w:tc>
        <w:tc>
          <w:tcPr>
            <w:tcW w:w="1544" w:type="dxa"/>
            <w:tcBorders>
              <w:top w:val="nil"/>
              <w:left w:val="nil"/>
              <w:bottom w:val="single" w:sz="4" w:space="0" w:color="auto"/>
              <w:right w:val="single" w:sz="4" w:space="0" w:color="auto"/>
            </w:tcBorders>
            <w:noWrap/>
            <w:vAlign w:val="bottom"/>
            <w:hideMark/>
          </w:tcPr>
          <w:p w14:paraId="183A2094" w14:textId="77777777" w:rsidR="00AA6379" w:rsidRDefault="00AA6379">
            <w:pPr>
              <w:jc w:val="center"/>
              <w:rPr>
                <w:rFonts w:ascii="Calibri" w:hAnsi="Calibri" w:cs="Calibri"/>
                <w:color w:val="000000"/>
                <w:sz w:val="22"/>
                <w:szCs w:val="22"/>
              </w:rPr>
            </w:pPr>
            <w:r>
              <w:rPr>
                <w:rFonts w:ascii="Calibri" w:hAnsi="Calibri" w:cs="Calibri"/>
                <w:color w:val="000000"/>
                <w:sz w:val="22"/>
                <w:szCs w:val="22"/>
              </w:rPr>
              <w:t>≤ 2,0</w:t>
            </w:r>
          </w:p>
        </w:tc>
      </w:tr>
      <w:tr w:rsidR="00AA6379" w14:paraId="264E0A23" w14:textId="77777777" w:rsidTr="00AA6379">
        <w:trPr>
          <w:trHeight w:val="300"/>
          <w:jc w:val="center"/>
        </w:trPr>
        <w:tc>
          <w:tcPr>
            <w:tcW w:w="2660" w:type="dxa"/>
            <w:tcBorders>
              <w:top w:val="nil"/>
              <w:left w:val="single" w:sz="4" w:space="0" w:color="auto"/>
              <w:bottom w:val="single" w:sz="4" w:space="0" w:color="auto"/>
              <w:right w:val="single" w:sz="4" w:space="0" w:color="auto"/>
            </w:tcBorders>
            <w:noWrap/>
            <w:vAlign w:val="bottom"/>
            <w:hideMark/>
          </w:tcPr>
          <w:p w14:paraId="74736D4B" w14:textId="77777777" w:rsidR="00AA6379" w:rsidRDefault="00AA6379">
            <w:pPr>
              <w:jc w:val="center"/>
              <w:rPr>
                <w:rFonts w:ascii="Calibri" w:hAnsi="Calibri" w:cs="Calibri"/>
                <w:color w:val="000000"/>
                <w:sz w:val="22"/>
                <w:szCs w:val="22"/>
              </w:rPr>
            </w:pPr>
            <w:r>
              <w:rPr>
                <w:rFonts w:ascii="Calibri" w:hAnsi="Calibri" w:cs="Calibri"/>
                <w:color w:val="000000"/>
                <w:sz w:val="22"/>
                <w:szCs w:val="22"/>
              </w:rPr>
              <w:t>100</w:t>
            </w:r>
          </w:p>
        </w:tc>
        <w:tc>
          <w:tcPr>
            <w:tcW w:w="2496" w:type="dxa"/>
            <w:tcBorders>
              <w:top w:val="nil"/>
              <w:left w:val="nil"/>
              <w:bottom w:val="single" w:sz="4" w:space="0" w:color="auto"/>
              <w:right w:val="single" w:sz="4" w:space="0" w:color="auto"/>
            </w:tcBorders>
            <w:noWrap/>
            <w:vAlign w:val="bottom"/>
            <w:hideMark/>
          </w:tcPr>
          <w:p w14:paraId="0B34DA80" w14:textId="77777777" w:rsidR="00AA6379" w:rsidRDefault="00AA6379">
            <w:pPr>
              <w:jc w:val="center"/>
              <w:rPr>
                <w:rFonts w:ascii="Calibri" w:hAnsi="Calibri" w:cs="Calibri"/>
                <w:color w:val="000000"/>
                <w:sz w:val="22"/>
                <w:szCs w:val="22"/>
              </w:rPr>
            </w:pPr>
            <w:r>
              <w:rPr>
                <w:rFonts w:ascii="Calibri" w:hAnsi="Calibri" w:cs="Calibri"/>
                <w:color w:val="000000"/>
                <w:sz w:val="22"/>
                <w:szCs w:val="22"/>
              </w:rPr>
              <w:t>≤ 2,0</w:t>
            </w:r>
          </w:p>
        </w:tc>
        <w:tc>
          <w:tcPr>
            <w:tcW w:w="1544" w:type="dxa"/>
            <w:tcBorders>
              <w:top w:val="nil"/>
              <w:left w:val="nil"/>
              <w:bottom w:val="single" w:sz="4" w:space="0" w:color="auto"/>
              <w:right w:val="single" w:sz="4" w:space="0" w:color="auto"/>
            </w:tcBorders>
            <w:noWrap/>
            <w:vAlign w:val="bottom"/>
            <w:hideMark/>
          </w:tcPr>
          <w:p w14:paraId="05AF048B" w14:textId="77777777" w:rsidR="00AA6379" w:rsidRDefault="00AA6379">
            <w:pPr>
              <w:jc w:val="center"/>
              <w:rPr>
                <w:rFonts w:ascii="Calibri" w:hAnsi="Calibri" w:cs="Calibri"/>
                <w:color w:val="000000"/>
                <w:sz w:val="22"/>
                <w:szCs w:val="22"/>
              </w:rPr>
            </w:pPr>
            <w:r>
              <w:rPr>
                <w:rFonts w:ascii="Calibri" w:hAnsi="Calibri" w:cs="Calibri"/>
                <w:color w:val="000000"/>
                <w:sz w:val="22"/>
                <w:szCs w:val="22"/>
              </w:rPr>
              <w:t>&lt;2,5</w:t>
            </w:r>
          </w:p>
        </w:tc>
      </w:tr>
    </w:tbl>
    <w:p w14:paraId="1AE798B0" w14:textId="77777777" w:rsidR="00AA6379" w:rsidRDefault="00AA6379" w:rsidP="00AA6379">
      <w:pPr>
        <w:pStyle w:val="NORMAL12"/>
        <w:ind w:left="720"/>
      </w:pPr>
    </w:p>
    <w:p w14:paraId="41D965B7" w14:textId="77777777" w:rsidR="00961CAF" w:rsidRDefault="00961CAF" w:rsidP="00961CAF">
      <w:pPr>
        <w:pStyle w:val="NORMAL12"/>
        <w:numPr>
          <w:ilvl w:val="0"/>
          <w:numId w:val="30"/>
        </w:numPr>
      </w:pPr>
      <w:proofErr w:type="spellStart"/>
      <w:r>
        <w:t>Macrotextura</w:t>
      </w:r>
      <w:proofErr w:type="spellEnd"/>
      <w:r>
        <w:t xml:space="preserve"> de la capa de rodadura &gt; </w:t>
      </w:r>
      <w:r w:rsidR="007D15FB">
        <w:t>1,5</w:t>
      </w:r>
      <w:r w:rsidR="00AA6379">
        <w:t xml:space="preserve"> mm medida</w:t>
      </w:r>
      <w:r>
        <w:t xml:space="preserve"> inmediatamente </w:t>
      </w:r>
      <w:r w:rsidR="00AA6379">
        <w:t>después de</w:t>
      </w:r>
      <w:r>
        <w:t xml:space="preserve"> la </w:t>
      </w:r>
      <w:r w:rsidR="00AA6379">
        <w:t>puesta en obra</w:t>
      </w:r>
    </w:p>
    <w:p w14:paraId="4C1FE5C9" w14:textId="77777777" w:rsidR="00961CAF" w:rsidRDefault="00961CAF" w:rsidP="00961CAF">
      <w:pPr>
        <w:pStyle w:val="NORMAL12"/>
        <w:numPr>
          <w:ilvl w:val="0"/>
          <w:numId w:val="30"/>
        </w:numPr>
      </w:pPr>
      <w:r>
        <w:t>Resistencia al deslizamiento mayor al 6</w:t>
      </w:r>
      <w:r w:rsidR="00AA6379">
        <w:t>0</w:t>
      </w:r>
      <w:r>
        <w:t xml:space="preserve">%, </w:t>
      </w:r>
      <w:r w:rsidR="00AA6379">
        <w:t xml:space="preserve">medida </w:t>
      </w:r>
      <w:r>
        <w:t xml:space="preserve">una vez transcurrido un </w:t>
      </w:r>
      <w:r w:rsidR="00AA6379">
        <w:t>mes desde la puesta en servicio de la vía</w:t>
      </w:r>
    </w:p>
    <w:p w14:paraId="7EBF34B8" w14:textId="77777777" w:rsidR="00AA6379" w:rsidRPr="00B338BE" w:rsidRDefault="00AA6379" w:rsidP="00AA6379">
      <w:pPr>
        <w:pStyle w:val="NORMAL12"/>
        <w:numPr>
          <w:ilvl w:val="0"/>
          <w:numId w:val="30"/>
        </w:numPr>
      </w:pPr>
      <w:r w:rsidRPr="00B338BE">
        <w:t>Deflexiones. Para cada subtramo de 1000 metros de longitud por sentido deberá cumplirse la siguiente condición:</w:t>
      </w:r>
    </w:p>
    <w:p w14:paraId="08567BD8" w14:textId="77777777" w:rsidR="00AA6379" w:rsidRDefault="00AA6379" w:rsidP="00AA6379">
      <w:pPr>
        <w:pStyle w:val="NORMAL12"/>
        <w:numPr>
          <w:ilvl w:val="1"/>
          <w:numId w:val="30"/>
        </w:numPr>
      </w:pPr>
      <w:r w:rsidRPr="00B338BE">
        <w:t>Deflexión de cálculo &lt; 30 centésimas</w:t>
      </w:r>
      <w:r w:rsidRPr="00B338BE">
        <w:tab/>
      </w:r>
    </w:p>
    <w:p w14:paraId="78D9D0D3" w14:textId="77777777" w:rsidR="00AA6379" w:rsidRDefault="00AA6379" w:rsidP="007D15FB">
      <w:pPr>
        <w:pStyle w:val="NORMAL12"/>
        <w:ind w:left="720"/>
      </w:pPr>
    </w:p>
    <w:p w14:paraId="572D3A2B" w14:textId="77777777" w:rsidR="00AA6379" w:rsidRPr="00B338BE" w:rsidRDefault="00AA6379" w:rsidP="007D15FB">
      <w:pPr>
        <w:pStyle w:val="NORMAL12"/>
        <w:ind w:left="720"/>
      </w:pPr>
    </w:p>
    <w:p w14:paraId="7D1D65D9" w14:textId="77777777" w:rsidR="00810099" w:rsidRPr="00B338BE" w:rsidRDefault="00810099" w:rsidP="000313DD">
      <w:pPr>
        <w:pStyle w:val="TITU2"/>
      </w:pPr>
      <w:bookmarkStart w:id="615" w:name="_Toc404354"/>
      <w:r w:rsidRPr="00B338BE">
        <w:lastRenderedPageBreak/>
        <w:t>543.11. Medición y abono</w:t>
      </w:r>
      <w:bookmarkEnd w:id="615"/>
    </w:p>
    <w:p w14:paraId="6BD93B0D" w14:textId="77777777" w:rsidR="0033481F" w:rsidRPr="00B338BE" w:rsidRDefault="0033481F" w:rsidP="008205EF">
      <w:pPr>
        <w:pStyle w:val="NORMAL12"/>
      </w:pPr>
      <w:r w:rsidRPr="00B338BE">
        <w:t>La</w:t>
      </w:r>
      <w:r w:rsidR="00B076DD" w:rsidRPr="00B338BE">
        <w:t xml:space="preserve"> medición y abono de la unidad de </w:t>
      </w:r>
      <w:r w:rsidRPr="00B338BE">
        <w:t xml:space="preserve">mezclas bituminosas discontinuas y drenantes se </w:t>
      </w:r>
      <w:r w:rsidR="00B076DD" w:rsidRPr="00B338BE">
        <w:t>realizará según las especificaciones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8"/>
        <w:gridCol w:w="6073"/>
      </w:tblGrid>
      <w:tr w:rsidR="0033481F" w:rsidRPr="00B338BE" w14:paraId="52960303" w14:textId="77777777" w:rsidTr="001B1CBC">
        <w:trPr>
          <w:cantSplit/>
        </w:trPr>
        <w:tc>
          <w:tcPr>
            <w:tcW w:w="0" w:type="auto"/>
            <w:vAlign w:val="center"/>
          </w:tcPr>
          <w:p w14:paraId="07BB606E" w14:textId="77777777" w:rsidR="0033481F" w:rsidRPr="00B338BE" w:rsidRDefault="0033481F" w:rsidP="0000436B">
            <w:pPr>
              <w:pStyle w:val="LCATabla"/>
              <w:keepLines/>
              <w:jc w:val="center"/>
              <w:rPr>
                <w:rFonts w:ascii="Arial" w:hAnsi="Arial" w:cs="Arial"/>
                <w:b/>
                <w:bCs/>
                <w:sz w:val="20"/>
              </w:rPr>
            </w:pPr>
            <w:r w:rsidRPr="00B338BE">
              <w:rPr>
                <w:rFonts w:ascii="Arial" w:hAnsi="Arial" w:cs="Arial"/>
                <w:b/>
                <w:bCs/>
                <w:sz w:val="20"/>
              </w:rPr>
              <w:t>Unidad de medida</w:t>
            </w:r>
          </w:p>
        </w:tc>
        <w:tc>
          <w:tcPr>
            <w:tcW w:w="6073" w:type="dxa"/>
            <w:vAlign w:val="center"/>
          </w:tcPr>
          <w:p w14:paraId="3A6F156E" w14:textId="77777777" w:rsidR="0033481F" w:rsidRPr="00B338BE" w:rsidRDefault="00B076DD" w:rsidP="00AD74D1">
            <w:pPr>
              <w:pStyle w:val="LCATabla"/>
              <w:keepLines/>
              <w:jc w:val="both"/>
              <w:rPr>
                <w:rFonts w:ascii="Arial" w:hAnsi="Arial" w:cs="Arial"/>
                <w:sz w:val="20"/>
              </w:rPr>
            </w:pPr>
            <w:r w:rsidRPr="00B338BE">
              <w:rPr>
                <w:rFonts w:ascii="Arial" w:hAnsi="Arial" w:cs="Arial"/>
                <w:sz w:val="20"/>
              </w:rPr>
              <w:t>Metro cuadrado</w:t>
            </w:r>
            <w:r w:rsidR="0033481F" w:rsidRPr="00B338BE">
              <w:rPr>
                <w:rFonts w:ascii="Arial" w:hAnsi="Arial" w:cs="Arial"/>
                <w:sz w:val="20"/>
              </w:rPr>
              <w:t xml:space="preserve"> (</w:t>
            </w:r>
            <w:r w:rsidRPr="00B338BE">
              <w:rPr>
                <w:rFonts w:ascii="Arial" w:hAnsi="Arial" w:cs="Arial"/>
                <w:sz w:val="20"/>
              </w:rPr>
              <w:t>m</w:t>
            </w:r>
            <w:r w:rsidRPr="00BF3B76">
              <w:rPr>
                <w:rFonts w:ascii="Arial" w:hAnsi="Arial" w:cs="Arial"/>
                <w:sz w:val="20"/>
                <w:vertAlign w:val="superscript"/>
              </w:rPr>
              <w:t>2</w:t>
            </w:r>
            <w:r w:rsidR="0033481F" w:rsidRPr="00B338BE">
              <w:rPr>
                <w:rFonts w:ascii="Arial" w:hAnsi="Arial" w:cs="Arial"/>
                <w:sz w:val="20"/>
              </w:rPr>
              <w:t>).</w:t>
            </w:r>
          </w:p>
        </w:tc>
      </w:tr>
      <w:tr w:rsidR="0033481F" w:rsidRPr="00B338BE" w14:paraId="3C7946A8" w14:textId="77777777" w:rsidTr="001B1CBC">
        <w:trPr>
          <w:cantSplit/>
        </w:trPr>
        <w:tc>
          <w:tcPr>
            <w:tcW w:w="0" w:type="auto"/>
            <w:vAlign w:val="center"/>
          </w:tcPr>
          <w:p w14:paraId="5FFE7310" w14:textId="77777777" w:rsidR="0033481F" w:rsidRPr="00B338BE" w:rsidRDefault="0033481F" w:rsidP="0000436B">
            <w:pPr>
              <w:pStyle w:val="LCATabla"/>
              <w:keepLines/>
              <w:jc w:val="center"/>
              <w:rPr>
                <w:rFonts w:ascii="Arial" w:hAnsi="Arial" w:cs="Arial"/>
                <w:b/>
                <w:bCs/>
                <w:sz w:val="20"/>
              </w:rPr>
            </w:pPr>
            <w:r w:rsidRPr="00B338BE">
              <w:rPr>
                <w:rFonts w:ascii="Arial" w:hAnsi="Arial" w:cs="Arial"/>
                <w:b/>
                <w:bCs/>
                <w:sz w:val="20"/>
              </w:rPr>
              <w:t>Grado de precisión</w:t>
            </w:r>
          </w:p>
        </w:tc>
        <w:tc>
          <w:tcPr>
            <w:tcW w:w="6073" w:type="dxa"/>
            <w:vAlign w:val="center"/>
          </w:tcPr>
          <w:p w14:paraId="3F911902" w14:textId="77777777" w:rsidR="0033481F" w:rsidRPr="00B338BE" w:rsidRDefault="0033481F" w:rsidP="00AD74D1">
            <w:pPr>
              <w:pStyle w:val="LCATabla"/>
              <w:keepLines/>
              <w:jc w:val="both"/>
              <w:rPr>
                <w:rFonts w:ascii="Arial" w:hAnsi="Arial" w:cs="Arial"/>
                <w:sz w:val="20"/>
              </w:rPr>
            </w:pPr>
            <w:r w:rsidRPr="00B338BE">
              <w:rPr>
                <w:rFonts w:ascii="Arial" w:hAnsi="Arial" w:cs="Arial"/>
                <w:sz w:val="20"/>
              </w:rPr>
              <w:t>Dos decimales.</w:t>
            </w:r>
          </w:p>
        </w:tc>
      </w:tr>
      <w:tr w:rsidR="0033481F" w:rsidRPr="00B338BE" w14:paraId="07B60B72" w14:textId="77777777" w:rsidTr="001B1CBC">
        <w:trPr>
          <w:cantSplit/>
        </w:trPr>
        <w:tc>
          <w:tcPr>
            <w:tcW w:w="0" w:type="auto"/>
            <w:vAlign w:val="center"/>
          </w:tcPr>
          <w:p w14:paraId="13986836" w14:textId="77777777" w:rsidR="0033481F" w:rsidRPr="00B338BE" w:rsidRDefault="0033481F" w:rsidP="0000436B">
            <w:pPr>
              <w:pStyle w:val="LCATabla"/>
              <w:keepLines/>
              <w:jc w:val="center"/>
              <w:rPr>
                <w:rFonts w:ascii="Arial" w:hAnsi="Arial" w:cs="Arial"/>
                <w:b/>
                <w:bCs/>
                <w:sz w:val="20"/>
              </w:rPr>
            </w:pPr>
            <w:r w:rsidRPr="00B338BE">
              <w:rPr>
                <w:rFonts w:ascii="Arial" w:hAnsi="Arial" w:cs="Arial"/>
                <w:b/>
                <w:bCs/>
                <w:sz w:val="20"/>
              </w:rPr>
              <w:t>Forma de medición</w:t>
            </w:r>
          </w:p>
        </w:tc>
        <w:tc>
          <w:tcPr>
            <w:tcW w:w="6073" w:type="dxa"/>
            <w:vAlign w:val="center"/>
          </w:tcPr>
          <w:p w14:paraId="58E2968A" w14:textId="77777777" w:rsidR="0033481F" w:rsidRPr="00B338BE" w:rsidRDefault="00B076DD" w:rsidP="00AD74D1">
            <w:pPr>
              <w:pStyle w:val="LCATabla"/>
              <w:keepLines/>
              <w:jc w:val="both"/>
              <w:rPr>
                <w:rFonts w:ascii="Arial" w:hAnsi="Arial" w:cs="Arial"/>
                <w:sz w:val="20"/>
              </w:rPr>
            </w:pPr>
            <w:r w:rsidRPr="00B338BE">
              <w:rPr>
                <w:rFonts w:ascii="Arial" w:hAnsi="Arial" w:cs="Arial"/>
                <w:sz w:val="20"/>
              </w:rPr>
              <w:t>Superficie con un espesor de cuatro (4) centímetros realmente ejecutada.</w:t>
            </w:r>
          </w:p>
        </w:tc>
      </w:tr>
      <w:tr w:rsidR="0033481F" w:rsidRPr="00B338BE" w14:paraId="3A63C06A" w14:textId="77777777" w:rsidTr="001B1CBC">
        <w:trPr>
          <w:cantSplit/>
        </w:trPr>
        <w:tc>
          <w:tcPr>
            <w:tcW w:w="0" w:type="auto"/>
            <w:vAlign w:val="center"/>
          </w:tcPr>
          <w:p w14:paraId="6DE1C9B0" w14:textId="77777777" w:rsidR="0033481F" w:rsidRPr="00B338BE" w:rsidRDefault="0033481F" w:rsidP="0000436B">
            <w:pPr>
              <w:pStyle w:val="LCATabla"/>
              <w:keepLines/>
              <w:jc w:val="center"/>
              <w:rPr>
                <w:rFonts w:ascii="Arial" w:hAnsi="Arial" w:cs="Arial"/>
                <w:b/>
                <w:bCs/>
                <w:sz w:val="20"/>
              </w:rPr>
            </w:pPr>
            <w:r w:rsidRPr="00B338BE">
              <w:rPr>
                <w:rFonts w:ascii="Arial" w:hAnsi="Arial" w:cs="Arial"/>
                <w:b/>
                <w:bCs/>
                <w:sz w:val="20"/>
              </w:rPr>
              <w:t>Abono</w:t>
            </w:r>
          </w:p>
        </w:tc>
        <w:tc>
          <w:tcPr>
            <w:tcW w:w="6073" w:type="dxa"/>
            <w:vAlign w:val="center"/>
          </w:tcPr>
          <w:p w14:paraId="0A034466" w14:textId="77777777" w:rsidR="0033481F" w:rsidRPr="00B338BE" w:rsidRDefault="0033481F" w:rsidP="00AD74D1">
            <w:pPr>
              <w:pStyle w:val="LCATabla"/>
              <w:keepLines/>
              <w:jc w:val="both"/>
              <w:rPr>
                <w:rFonts w:ascii="Arial" w:hAnsi="Arial" w:cs="Arial"/>
                <w:sz w:val="20"/>
              </w:rPr>
            </w:pPr>
            <w:r w:rsidRPr="00B338BE">
              <w:rPr>
                <w:rFonts w:ascii="Arial" w:hAnsi="Arial" w:cs="Arial"/>
                <w:sz w:val="20"/>
              </w:rPr>
              <w:t>Se efectuará cuando se realice la aceptación completa de la unidad.</w:t>
            </w:r>
          </w:p>
        </w:tc>
      </w:tr>
      <w:tr w:rsidR="0033481F" w:rsidRPr="00B338BE" w14:paraId="62D7C637" w14:textId="77777777" w:rsidTr="001B1CBC">
        <w:trPr>
          <w:cantSplit/>
        </w:trPr>
        <w:tc>
          <w:tcPr>
            <w:tcW w:w="0" w:type="auto"/>
            <w:vAlign w:val="center"/>
          </w:tcPr>
          <w:p w14:paraId="1FD987AA" w14:textId="77777777" w:rsidR="0033481F" w:rsidRPr="00B338BE" w:rsidRDefault="0033481F" w:rsidP="0000436B">
            <w:pPr>
              <w:pStyle w:val="LCATabla"/>
              <w:keepLines/>
              <w:jc w:val="center"/>
              <w:rPr>
                <w:rFonts w:ascii="Arial" w:hAnsi="Arial" w:cs="Arial"/>
                <w:b/>
                <w:bCs/>
                <w:sz w:val="20"/>
              </w:rPr>
            </w:pPr>
            <w:r w:rsidRPr="00B338BE">
              <w:rPr>
                <w:rFonts w:ascii="Arial" w:hAnsi="Arial" w:cs="Arial"/>
                <w:b/>
                <w:bCs/>
                <w:sz w:val="20"/>
              </w:rPr>
              <w:t>Criterios complementarios</w:t>
            </w:r>
          </w:p>
        </w:tc>
        <w:tc>
          <w:tcPr>
            <w:tcW w:w="6073" w:type="dxa"/>
            <w:vAlign w:val="center"/>
          </w:tcPr>
          <w:p w14:paraId="77364079" w14:textId="77777777" w:rsidR="00B076DD" w:rsidRPr="00B338BE" w:rsidRDefault="0033481F" w:rsidP="00AD74D1">
            <w:pPr>
              <w:pStyle w:val="LCATabla"/>
              <w:jc w:val="both"/>
              <w:rPr>
                <w:rFonts w:ascii="Arial" w:hAnsi="Arial" w:cs="Arial"/>
                <w:sz w:val="20"/>
              </w:rPr>
            </w:pPr>
            <w:r w:rsidRPr="00B338BE">
              <w:rPr>
                <w:rFonts w:ascii="Arial" w:hAnsi="Arial" w:cs="Arial"/>
                <w:sz w:val="20"/>
              </w:rPr>
              <w:t>El precio incluye el de los áridos, incluido el procedente del re</w:t>
            </w:r>
            <w:r w:rsidR="00B076DD" w:rsidRPr="00B338BE">
              <w:rPr>
                <w:rFonts w:ascii="Arial" w:hAnsi="Arial" w:cs="Arial"/>
                <w:sz w:val="20"/>
              </w:rPr>
              <w:t>ciclado de mezclas bituminosas.</w:t>
            </w:r>
          </w:p>
          <w:p w14:paraId="7754593D" w14:textId="77777777" w:rsidR="003A4D91" w:rsidRPr="00B338BE" w:rsidRDefault="003A4D91" w:rsidP="00AD74D1">
            <w:pPr>
              <w:pStyle w:val="LCATabla"/>
              <w:jc w:val="both"/>
              <w:rPr>
                <w:rFonts w:ascii="Arial" w:hAnsi="Arial" w:cs="Arial"/>
                <w:sz w:val="20"/>
              </w:rPr>
            </w:pPr>
            <w:r w:rsidRPr="00B338BE">
              <w:rPr>
                <w:rFonts w:ascii="Arial" w:hAnsi="Arial" w:cs="Arial"/>
                <w:sz w:val="20"/>
              </w:rPr>
              <w:t xml:space="preserve">El precio de la unidad de obra no incluye el </w:t>
            </w:r>
            <w:proofErr w:type="spellStart"/>
            <w:r w:rsidRPr="00B338BE">
              <w:rPr>
                <w:rFonts w:ascii="Arial" w:hAnsi="Arial" w:cs="Arial"/>
                <w:sz w:val="20"/>
              </w:rPr>
              <w:t>filler</w:t>
            </w:r>
            <w:proofErr w:type="spellEnd"/>
            <w:r w:rsidRPr="00B338BE">
              <w:rPr>
                <w:rFonts w:ascii="Arial" w:hAnsi="Arial" w:cs="Arial"/>
                <w:sz w:val="20"/>
              </w:rPr>
              <w:t xml:space="preserve"> de aportación y el betún, que son objeto de medición y ab</w:t>
            </w:r>
            <w:r w:rsidR="0046299F">
              <w:rPr>
                <w:rFonts w:ascii="Arial" w:hAnsi="Arial" w:cs="Arial"/>
                <w:sz w:val="20"/>
              </w:rPr>
              <w:t>ono por unidades independientes reflejadas en los artículos 211 y 212 del presente pliego</w:t>
            </w:r>
          </w:p>
          <w:p w14:paraId="79F07FF4" w14:textId="77777777" w:rsidR="0033481F" w:rsidRPr="00B338BE" w:rsidRDefault="0033481F" w:rsidP="00AD74D1">
            <w:pPr>
              <w:pStyle w:val="LCATabla"/>
              <w:jc w:val="both"/>
              <w:rPr>
                <w:rFonts w:ascii="Arial" w:hAnsi="Arial" w:cs="Arial"/>
                <w:sz w:val="20"/>
              </w:rPr>
            </w:pPr>
            <w:r w:rsidRPr="00B338BE">
              <w:rPr>
                <w:rFonts w:ascii="Arial" w:hAnsi="Arial" w:cs="Arial"/>
                <w:sz w:val="20"/>
              </w:rPr>
              <w:t>Los excesos de espesor sobre los previstos en los planos de secciones tipo sólo se abonarán hasta el diez por ciento (10%) de éstos.</w:t>
            </w:r>
          </w:p>
          <w:p w14:paraId="1A69AB27" w14:textId="77777777" w:rsidR="0033481F" w:rsidRPr="00B338BE" w:rsidRDefault="0033481F" w:rsidP="00AD74D1">
            <w:pPr>
              <w:pStyle w:val="LCATabla"/>
              <w:jc w:val="both"/>
              <w:rPr>
                <w:rFonts w:ascii="Arial" w:hAnsi="Arial" w:cs="Arial"/>
                <w:sz w:val="20"/>
              </w:rPr>
            </w:pPr>
            <w:r w:rsidRPr="00B338BE">
              <w:rPr>
                <w:rFonts w:ascii="Arial" w:hAnsi="Arial" w:cs="Arial"/>
                <w:sz w:val="20"/>
              </w:rPr>
              <w:t>No serán de abono las creces laterales, ni los aumentos de espesor por corrección de mermas en capas subyacentes.</w:t>
            </w:r>
          </w:p>
        </w:tc>
      </w:tr>
    </w:tbl>
    <w:p w14:paraId="0ADC1E06" w14:textId="77777777" w:rsidR="00810099" w:rsidRPr="00886F1A" w:rsidRDefault="00810099" w:rsidP="006F6223">
      <w:pPr>
        <w:pStyle w:val="TITU1"/>
      </w:pPr>
      <w:bookmarkStart w:id="616" w:name="_Toc404355"/>
      <w:r w:rsidRPr="00524011">
        <w:lastRenderedPageBreak/>
        <w:t>Artículo 550. Pavimentos de hormigón</w:t>
      </w:r>
      <w:bookmarkEnd w:id="616"/>
    </w:p>
    <w:p w14:paraId="39789130" w14:textId="77777777" w:rsidR="00FD774A" w:rsidRDefault="00FD774A" w:rsidP="00FD774A">
      <w:pPr>
        <w:pStyle w:val="NORMAL12"/>
      </w:pPr>
      <w:r w:rsidRPr="007323B3">
        <w:t>Excepto para lo especificado en el presente Pliego de Prescripciones Técnicas Particulares se seguirá lo prescrito en e</w:t>
      </w:r>
      <w:r>
        <w:t>l vigente artículo 550 del PG-3.</w:t>
      </w:r>
    </w:p>
    <w:p w14:paraId="6166C370" w14:textId="77777777" w:rsidR="00810099" w:rsidRDefault="00810099" w:rsidP="000313DD">
      <w:pPr>
        <w:pStyle w:val="TITU2"/>
      </w:pPr>
      <w:bookmarkStart w:id="617" w:name="_Toc404356"/>
      <w:r w:rsidRPr="005864C2">
        <w:t>550.1. Definición</w:t>
      </w:r>
      <w:bookmarkEnd w:id="617"/>
    </w:p>
    <w:p w14:paraId="3E649A32" w14:textId="77777777" w:rsidR="00922D9C" w:rsidRPr="00466B1C" w:rsidRDefault="00922D9C" w:rsidP="00922D9C">
      <w:pPr>
        <w:pStyle w:val="NORMAL12"/>
      </w:pPr>
      <w:r w:rsidRPr="00466B1C">
        <w:t>Se define como pavimento de hormigón el constituido por un conjunto de losas de hormigón en masa separadas por juntas transversales, o por una losa continua de hormigón armado, en ambos casos eventualmente dotados de juntas longitudinales. En dicho pavimento el hormigón se pone en obra con una consistencia tal, que requiere el empleo de vibradores internos para su compactación y maquinaria específica para su extensión y acabado superficial.</w:t>
      </w:r>
    </w:p>
    <w:p w14:paraId="347C4954" w14:textId="77777777" w:rsidR="00C36ABC" w:rsidRPr="00466B1C" w:rsidRDefault="00C36ABC" w:rsidP="00C36ABC">
      <w:pPr>
        <w:pStyle w:val="NORMAL12"/>
        <w:rPr>
          <w:lang w:val="es-ES"/>
        </w:rPr>
      </w:pPr>
      <w:r w:rsidRPr="00466B1C">
        <w:rPr>
          <w:lang w:val="es-ES"/>
        </w:rPr>
        <w:t xml:space="preserve">Las prescripciones del presente artículo </w:t>
      </w:r>
      <w:proofErr w:type="gramStart"/>
      <w:r w:rsidRPr="00466B1C">
        <w:rPr>
          <w:lang w:val="es-ES"/>
        </w:rPr>
        <w:t>son de aplicación</w:t>
      </w:r>
      <w:proofErr w:type="gramEnd"/>
      <w:r w:rsidRPr="00466B1C">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207"/>
        <w:gridCol w:w="704"/>
        <w:gridCol w:w="7867"/>
      </w:tblGrid>
      <w:tr w:rsidR="005864C2" w:rsidRPr="00466B1C" w14:paraId="3CDAD9C6" w14:textId="77777777" w:rsidTr="0084421A">
        <w:trPr>
          <w:trHeight w:val="300"/>
        </w:trPr>
        <w:tc>
          <w:tcPr>
            <w:tcW w:w="617" w:type="pct"/>
            <w:noWrap/>
          </w:tcPr>
          <w:p w14:paraId="1F15FB34" w14:textId="77777777" w:rsidR="00E47492" w:rsidRPr="00524011" w:rsidRDefault="00E47492">
            <w:pPr>
              <w:rPr>
                <w:rFonts w:ascii="Calibri" w:hAnsi="Calibri"/>
              </w:rPr>
            </w:pPr>
            <w:r w:rsidRPr="00524011">
              <w:rPr>
                <w:rFonts w:ascii="Calibri" w:hAnsi="Calibri"/>
              </w:rPr>
              <w:t>550.0010</w:t>
            </w:r>
            <w:r w:rsidR="006B5352" w:rsidRPr="00524011">
              <w:rPr>
                <w:rFonts w:ascii="Calibri" w:hAnsi="Calibri"/>
              </w:rPr>
              <w:t>N</w:t>
            </w:r>
            <w:r w:rsidRPr="00524011">
              <w:rPr>
                <w:rFonts w:ascii="Calibri" w:hAnsi="Calibri"/>
              </w:rPr>
              <w:t xml:space="preserve">          </w:t>
            </w:r>
          </w:p>
        </w:tc>
        <w:tc>
          <w:tcPr>
            <w:tcW w:w="360" w:type="pct"/>
            <w:noWrap/>
          </w:tcPr>
          <w:p w14:paraId="2952ABA5" w14:textId="77777777" w:rsidR="00E47492" w:rsidRPr="00524011" w:rsidRDefault="00E47492">
            <w:pPr>
              <w:rPr>
                <w:rFonts w:ascii="Calibri" w:hAnsi="Calibri"/>
              </w:rPr>
            </w:pPr>
            <w:r w:rsidRPr="00524011">
              <w:rPr>
                <w:rFonts w:ascii="Calibri" w:hAnsi="Calibri"/>
              </w:rPr>
              <w:t>m</w:t>
            </w:r>
            <w:r w:rsidRPr="00524011">
              <w:rPr>
                <w:rFonts w:ascii="Calibri" w:hAnsi="Calibri"/>
                <w:vertAlign w:val="superscript"/>
              </w:rPr>
              <w:t>3</w:t>
            </w:r>
          </w:p>
        </w:tc>
        <w:tc>
          <w:tcPr>
            <w:tcW w:w="4023" w:type="pct"/>
          </w:tcPr>
          <w:p w14:paraId="638FA3CB" w14:textId="77777777" w:rsidR="0084421A" w:rsidRPr="00524011" w:rsidRDefault="0084421A" w:rsidP="0092291B">
            <w:pPr>
              <w:jc w:val="both"/>
              <w:rPr>
                <w:rFonts w:ascii="Calibri" w:hAnsi="Calibri"/>
              </w:rPr>
            </w:pPr>
            <w:r w:rsidRPr="00524011">
              <w:rPr>
                <w:rFonts w:ascii="Calibri" w:hAnsi="Calibri"/>
              </w:rPr>
              <w:t>PAVIMENTO DE HORMIGÓN VIBRADO HF-4,5 ARMADO CONTINUO, P.P. DE CORTE DE JUNTAS LONGITUDINALES POR SERRADO, SELLADO Y CURADO CON PRODUCTO FILMÓGENO (SIN ARMADURA).</w:t>
            </w:r>
          </w:p>
          <w:p w14:paraId="188B8E32" w14:textId="77777777" w:rsidR="00E47492" w:rsidRPr="00524011" w:rsidRDefault="00E47492">
            <w:pPr>
              <w:rPr>
                <w:rFonts w:ascii="Calibri" w:hAnsi="Calibri"/>
              </w:rPr>
            </w:pPr>
          </w:p>
        </w:tc>
      </w:tr>
    </w:tbl>
    <w:p w14:paraId="32E150F4" w14:textId="77777777" w:rsidR="00810099" w:rsidRPr="00466B1C" w:rsidRDefault="00EC172F" w:rsidP="00544AB3">
      <w:pPr>
        <w:pStyle w:val="NORMAL12"/>
      </w:pPr>
      <w:r w:rsidRPr="00466B1C">
        <w:t>A efectos de este proyecto se ejecutará un p</w:t>
      </w:r>
      <w:r w:rsidR="00810099" w:rsidRPr="00466B1C">
        <w:t xml:space="preserve">avimento </w:t>
      </w:r>
      <w:r w:rsidR="00CF1D9C" w:rsidRPr="00466B1C">
        <w:t>de hormigón</w:t>
      </w:r>
      <w:r w:rsidR="00810099" w:rsidRPr="00466B1C">
        <w:t xml:space="preserve"> armado continuo: pavimento de hormigón </w:t>
      </w:r>
      <w:r w:rsidR="00CF1D9C" w:rsidRPr="00466B1C">
        <w:t>dotado de</w:t>
      </w:r>
      <w:r w:rsidR="00810099" w:rsidRPr="00466B1C">
        <w:t xml:space="preserve"> </w:t>
      </w:r>
      <w:r w:rsidR="00CF1D9C" w:rsidRPr="00466B1C">
        <w:t>armadura longitudinal</w:t>
      </w:r>
      <w:r w:rsidR="00810099" w:rsidRPr="00466B1C">
        <w:t xml:space="preserve"> continua, sin juntas transversales de contracción o, eventualmente, dilatación.</w:t>
      </w:r>
    </w:p>
    <w:p w14:paraId="08EB7A2F" w14:textId="77777777" w:rsidR="00810099" w:rsidRPr="00466B1C" w:rsidRDefault="00810099" w:rsidP="00544AB3">
      <w:pPr>
        <w:pStyle w:val="NORMAL12"/>
      </w:pPr>
      <w:r w:rsidRPr="00466B1C">
        <w:t>La ejecución del pavimento de hormigón incluye la</w:t>
      </w:r>
      <w:r w:rsidR="00922D9C" w:rsidRPr="00466B1C">
        <w:t xml:space="preserve"> realización de las operaciones siguientes:</w:t>
      </w:r>
    </w:p>
    <w:p w14:paraId="4CBB12DF" w14:textId="77777777" w:rsidR="00810099" w:rsidRPr="00466B1C" w:rsidRDefault="00810099" w:rsidP="006D4837">
      <w:pPr>
        <w:pStyle w:val="NORMAL12"/>
        <w:numPr>
          <w:ilvl w:val="0"/>
          <w:numId w:val="34"/>
        </w:numPr>
      </w:pPr>
      <w:r w:rsidRPr="00466B1C">
        <w:t>Estudio y obtención de la fórmula de trabajo.</w:t>
      </w:r>
    </w:p>
    <w:p w14:paraId="3FCFDEE3" w14:textId="77777777" w:rsidR="00810099" w:rsidRPr="00466B1C" w:rsidRDefault="00810099" w:rsidP="006D4837">
      <w:pPr>
        <w:pStyle w:val="NORMAL12"/>
        <w:numPr>
          <w:ilvl w:val="0"/>
          <w:numId w:val="34"/>
        </w:numPr>
      </w:pPr>
      <w:r w:rsidRPr="00466B1C">
        <w:t>Preparación de la superficie de asiento.</w:t>
      </w:r>
    </w:p>
    <w:p w14:paraId="24A67732" w14:textId="77777777" w:rsidR="00810099" w:rsidRPr="00466B1C" w:rsidRDefault="00810099" w:rsidP="006D4837">
      <w:pPr>
        <w:pStyle w:val="NORMAL12"/>
        <w:numPr>
          <w:ilvl w:val="0"/>
          <w:numId w:val="34"/>
        </w:numPr>
      </w:pPr>
      <w:r w:rsidRPr="00466B1C">
        <w:t>Fabricación del hormigón.</w:t>
      </w:r>
    </w:p>
    <w:p w14:paraId="21376CA4" w14:textId="77777777" w:rsidR="00810099" w:rsidRPr="00466B1C" w:rsidRDefault="00810099" w:rsidP="006D4837">
      <w:pPr>
        <w:pStyle w:val="NORMAL12"/>
        <w:numPr>
          <w:ilvl w:val="0"/>
          <w:numId w:val="34"/>
        </w:numPr>
      </w:pPr>
      <w:r w:rsidRPr="00466B1C">
        <w:t>Transporte del hormigón.</w:t>
      </w:r>
    </w:p>
    <w:p w14:paraId="664FA13F" w14:textId="77777777" w:rsidR="00810099" w:rsidRPr="00466B1C" w:rsidRDefault="00810099" w:rsidP="006D4837">
      <w:pPr>
        <w:pStyle w:val="NORMAL12"/>
        <w:numPr>
          <w:ilvl w:val="0"/>
          <w:numId w:val="34"/>
        </w:numPr>
      </w:pPr>
      <w:r w:rsidRPr="00466B1C">
        <w:t xml:space="preserve">Colocación de elementos de guía y acondicionamiento de los </w:t>
      </w:r>
      <w:r w:rsidR="00C874F7" w:rsidRPr="00466B1C">
        <w:t>caminos de</w:t>
      </w:r>
      <w:r w:rsidRPr="00466B1C">
        <w:t xml:space="preserve"> rodadura para la pavimentadora y los equipos de acabado superficial.</w:t>
      </w:r>
    </w:p>
    <w:p w14:paraId="17E9EDA4" w14:textId="77777777" w:rsidR="00810099" w:rsidRPr="00466B1C" w:rsidRDefault="00810099" w:rsidP="006D4837">
      <w:pPr>
        <w:pStyle w:val="NORMAL12"/>
        <w:numPr>
          <w:ilvl w:val="0"/>
          <w:numId w:val="34"/>
        </w:numPr>
      </w:pPr>
      <w:r w:rsidRPr="00466B1C">
        <w:t>Colocación de los elementos de las juntas.</w:t>
      </w:r>
    </w:p>
    <w:p w14:paraId="044E7ACF" w14:textId="77777777" w:rsidR="00810099" w:rsidRPr="00466B1C" w:rsidRDefault="00810099" w:rsidP="006D4837">
      <w:pPr>
        <w:pStyle w:val="NORMAL12"/>
        <w:numPr>
          <w:ilvl w:val="0"/>
          <w:numId w:val="34"/>
        </w:numPr>
      </w:pPr>
      <w:r w:rsidRPr="00466B1C">
        <w:t>Colocación, en su caso, de armaduras en pavimento continuo de hormigón armado.</w:t>
      </w:r>
    </w:p>
    <w:p w14:paraId="51C9FC96" w14:textId="77777777" w:rsidR="00810099" w:rsidRPr="00466B1C" w:rsidRDefault="00810099" w:rsidP="006D4837">
      <w:pPr>
        <w:pStyle w:val="NORMAL12"/>
        <w:numPr>
          <w:ilvl w:val="0"/>
          <w:numId w:val="34"/>
        </w:numPr>
      </w:pPr>
      <w:r w:rsidRPr="00466B1C">
        <w:t>Puesta en obra del hormigón.</w:t>
      </w:r>
    </w:p>
    <w:p w14:paraId="4CEBF8D5" w14:textId="77777777" w:rsidR="00810099" w:rsidRPr="00466B1C" w:rsidRDefault="00810099" w:rsidP="006D4837">
      <w:pPr>
        <w:pStyle w:val="NORMAL12"/>
        <w:numPr>
          <w:ilvl w:val="0"/>
          <w:numId w:val="34"/>
        </w:numPr>
      </w:pPr>
      <w:r w:rsidRPr="00466B1C">
        <w:t>Ejecución de la junta longitudinal en fresco, en su caso, y de las juntas transversales de hormigonado.</w:t>
      </w:r>
    </w:p>
    <w:p w14:paraId="13B5E444" w14:textId="77777777" w:rsidR="00810099" w:rsidRPr="00466B1C" w:rsidRDefault="00810099" w:rsidP="006D4837">
      <w:pPr>
        <w:pStyle w:val="NORMAL12"/>
        <w:numPr>
          <w:ilvl w:val="0"/>
          <w:numId w:val="34"/>
        </w:numPr>
      </w:pPr>
      <w:r w:rsidRPr="00466B1C">
        <w:t>Terminación de bordes y de la textura superficial.</w:t>
      </w:r>
    </w:p>
    <w:p w14:paraId="4402B2DC" w14:textId="77777777" w:rsidR="00810099" w:rsidRPr="00466B1C" w:rsidRDefault="00810099" w:rsidP="006D4837">
      <w:pPr>
        <w:pStyle w:val="NORMAL12"/>
        <w:numPr>
          <w:ilvl w:val="0"/>
          <w:numId w:val="34"/>
        </w:numPr>
      </w:pPr>
      <w:r w:rsidRPr="00466B1C">
        <w:t>Protección y curado del hormigón fresco.</w:t>
      </w:r>
    </w:p>
    <w:p w14:paraId="36947791" w14:textId="77777777" w:rsidR="00810099" w:rsidRPr="00466B1C" w:rsidRDefault="00810099" w:rsidP="006D4837">
      <w:pPr>
        <w:pStyle w:val="NORMAL12"/>
        <w:numPr>
          <w:ilvl w:val="0"/>
          <w:numId w:val="34"/>
        </w:numPr>
      </w:pPr>
      <w:r w:rsidRPr="00466B1C">
        <w:t>Ejecución de juntas transversales serradas y, en su caso, la longitudinal.</w:t>
      </w:r>
    </w:p>
    <w:p w14:paraId="78BBC0C0" w14:textId="77777777" w:rsidR="00810099" w:rsidRPr="00466B1C" w:rsidRDefault="00810099" w:rsidP="006D4837">
      <w:pPr>
        <w:pStyle w:val="NORMAL12"/>
        <w:numPr>
          <w:ilvl w:val="0"/>
          <w:numId w:val="34"/>
        </w:numPr>
      </w:pPr>
      <w:r w:rsidRPr="00466B1C">
        <w:t>Sellado de las juntas.</w:t>
      </w:r>
    </w:p>
    <w:p w14:paraId="55DE861A" w14:textId="77777777" w:rsidR="00810099" w:rsidRPr="00466B1C" w:rsidRDefault="00810099" w:rsidP="000313DD">
      <w:pPr>
        <w:pStyle w:val="TITU2"/>
      </w:pPr>
      <w:bookmarkStart w:id="618" w:name="_Toc404357"/>
      <w:r w:rsidRPr="00466B1C">
        <w:t>550.2. Materiales</w:t>
      </w:r>
      <w:bookmarkEnd w:id="618"/>
    </w:p>
    <w:p w14:paraId="54CB7321" w14:textId="77777777" w:rsidR="00810099" w:rsidRPr="00466B1C" w:rsidRDefault="00810099" w:rsidP="003F2FE9">
      <w:pPr>
        <w:pStyle w:val="TITU3"/>
        <w:numPr>
          <w:ilvl w:val="0"/>
          <w:numId w:val="0"/>
        </w:numPr>
      </w:pPr>
      <w:r w:rsidRPr="00466B1C">
        <w:t>550.2.2. Cementos</w:t>
      </w:r>
    </w:p>
    <w:p w14:paraId="1C0C911B" w14:textId="77777777" w:rsidR="00EC172F" w:rsidRPr="00466B1C" w:rsidRDefault="00EC172F" w:rsidP="00D752A9">
      <w:pPr>
        <w:pStyle w:val="NORMAL12"/>
      </w:pPr>
      <w:r w:rsidRPr="00466B1C">
        <w:t xml:space="preserve">La clase resistente del cemento será, salvo justificación en contrario, la 32,5 N. El </w:t>
      </w:r>
      <w:proofErr w:type="gramStart"/>
      <w:r w:rsidRPr="00466B1C">
        <w:t>Director</w:t>
      </w:r>
      <w:proofErr w:type="gramEnd"/>
      <w:r w:rsidRPr="00466B1C">
        <w:t xml:space="preserve"> de las Obras podrá autorizar el empleo de un cemento de clase resistente 42,5R en épocas frías. </w:t>
      </w:r>
    </w:p>
    <w:p w14:paraId="292783AA" w14:textId="77777777" w:rsidR="00EC172F" w:rsidRPr="00466B1C" w:rsidRDefault="00EC172F" w:rsidP="00D752A9">
      <w:pPr>
        <w:pStyle w:val="NORMAL12"/>
      </w:pPr>
      <w:r w:rsidRPr="00466B1C">
        <w:t>No se emplearán cementos de aluminato de calcio, ni mezclas de cemento con adiciones que no hayan sido realizadas en instalaciones de fabricación específicas.</w:t>
      </w:r>
    </w:p>
    <w:p w14:paraId="6BF2D5D7" w14:textId="77777777" w:rsidR="00810099" w:rsidRPr="00466B1C" w:rsidRDefault="00EA4416" w:rsidP="00D752A9">
      <w:pPr>
        <w:pStyle w:val="NORMAL12"/>
      </w:pPr>
      <w:r w:rsidRPr="00466B1C">
        <w:t xml:space="preserve">El principio de fraguado no </w:t>
      </w:r>
      <w:r w:rsidR="00810099" w:rsidRPr="00466B1C">
        <w:t>podrá tener lugar antes de los cien minutos (100 min).</w:t>
      </w:r>
    </w:p>
    <w:p w14:paraId="5E028513" w14:textId="77777777" w:rsidR="00810099" w:rsidRPr="00466B1C" w:rsidRDefault="00810099" w:rsidP="00F04B51">
      <w:pPr>
        <w:pStyle w:val="TITU3"/>
        <w:numPr>
          <w:ilvl w:val="0"/>
          <w:numId w:val="0"/>
        </w:numPr>
      </w:pPr>
      <w:r w:rsidRPr="00466B1C">
        <w:t>550.2.4. Áridos</w:t>
      </w:r>
    </w:p>
    <w:p w14:paraId="21B8205E" w14:textId="77777777" w:rsidR="00810099" w:rsidRPr="00466B1C" w:rsidRDefault="00810099" w:rsidP="00F04B51">
      <w:pPr>
        <w:pStyle w:val="TITU4"/>
        <w:numPr>
          <w:ilvl w:val="0"/>
          <w:numId w:val="0"/>
        </w:numPr>
      </w:pPr>
      <w:r w:rsidRPr="00466B1C">
        <w:t>550.2.4.1. Características generales</w:t>
      </w:r>
    </w:p>
    <w:p w14:paraId="2FBE704B" w14:textId="77777777" w:rsidR="00810099" w:rsidRPr="00466B1C" w:rsidRDefault="00810099" w:rsidP="00D752A9">
      <w:pPr>
        <w:pStyle w:val="NORMAL12"/>
      </w:pPr>
      <w:r w:rsidRPr="00466B1C">
        <w:t xml:space="preserve">Los áridos </w:t>
      </w:r>
      <w:r w:rsidR="00C874F7" w:rsidRPr="00466B1C">
        <w:t>cumplirán las prescripciones de la vigente</w:t>
      </w:r>
      <w:r w:rsidRPr="00466B1C">
        <w:t xml:space="preserve"> Instrucción de Hormigón</w:t>
      </w:r>
      <w:r w:rsidR="002E14D0" w:rsidRPr="00466B1C">
        <w:t xml:space="preserve"> </w:t>
      </w:r>
      <w:r w:rsidRPr="00466B1C">
        <w:t>Estructural EHE y las adicionales contenidas en este artículo.</w:t>
      </w:r>
    </w:p>
    <w:p w14:paraId="37E6C54A" w14:textId="77777777" w:rsidR="00810099" w:rsidRPr="00466B1C" w:rsidRDefault="00810099" w:rsidP="00D752A9">
      <w:pPr>
        <w:pStyle w:val="NORMAL12"/>
      </w:pPr>
      <w:r w:rsidRPr="00466B1C">
        <w:t xml:space="preserve">En la capa </w:t>
      </w:r>
      <w:r w:rsidR="00EA4416" w:rsidRPr="00466B1C">
        <w:t xml:space="preserve">de hormigón no se podrán utilizar materiales granulados </w:t>
      </w:r>
      <w:r w:rsidRPr="00466B1C">
        <w:t>r</w:t>
      </w:r>
      <w:r w:rsidR="002E14D0" w:rsidRPr="00466B1C">
        <w:t xml:space="preserve">eciclados, áridos siderúrgicos, </w:t>
      </w:r>
      <w:r w:rsidRPr="00466B1C">
        <w:t>subproductos y productos inertes de desecho</w:t>
      </w:r>
      <w:r w:rsidR="00EA4416" w:rsidRPr="00466B1C">
        <w:t>.</w:t>
      </w:r>
    </w:p>
    <w:p w14:paraId="2B2B6BC5" w14:textId="77777777" w:rsidR="00810099" w:rsidRPr="00466B1C" w:rsidRDefault="00C874F7" w:rsidP="00D752A9">
      <w:pPr>
        <w:pStyle w:val="NORMAL12"/>
      </w:pPr>
      <w:r w:rsidRPr="00466B1C">
        <w:t>Los áridos</w:t>
      </w:r>
      <w:r w:rsidR="00810099" w:rsidRPr="00466B1C">
        <w:t xml:space="preserve"> </w:t>
      </w:r>
      <w:r w:rsidRPr="00466B1C">
        <w:t>utilizados no serán reactivos con el cemento, ni contendrán sulfuros</w:t>
      </w:r>
      <w:r w:rsidR="00810099" w:rsidRPr="00466B1C">
        <w:t xml:space="preserve"> oxidables, sulfato cálcico o compuestos ferrosos inestables, que puedan originar fenómenos expansivos en la masa del hormigón.</w:t>
      </w:r>
    </w:p>
    <w:p w14:paraId="3BD22DC6" w14:textId="77777777" w:rsidR="00810099" w:rsidRPr="00466B1C" w:rsidRDefault="0092291B" w:rsidP="00F04B51">
      <w:pPr>
        <w:pStyle w:val="TITU4"/>
        <w:numPr>
          <w:ilvl w:val="0"/>
          <w:numId w:val="0"/>
        </w:numPr>
      </w:pPr>
      <w:r>
        <w:br w:type="column"/>
      </w:r>
      <w:r w:rsidR="00810099" w:rsidRPr="00466B1C">
        <w:lastRenderedPageBreak/>
        <w:t>550.2.4.2. Árido grueso</w:t>
      </w:r>
    </w:p>
    <w:p w14:paraId="0932CA2B" w14:textId="77777777" w:rsidR="00EA4416" w:rsidRPr="00466B1C" w:rsidRDefault="00EA4416" w:rsidP="00D752A9">
      <w:pPr>
        <w:pStyle w:val="NORMAL12"/>
      </w:pPr>
      <w:r w:rsidRPr="00466B1C">
        <w:t>El árido debe cumplir:</w:t>
      </w:r>
    </w:p>
    <w:p w14:paraId="7C8280CD" w14:textId="77777777" w:rsidR="00810099" w:rsidRPr="00466B1C" w:rsidRDefault="00C874F7" w:rsidP="00221E1A">
      <w:pPr>
        <w:pStyle w:val="NORMAL12"/>
        <w:numPr>
          <w:ilvl w:val="0"/>
          <w:numId w:val="130"/>
        </w:numPr>
      </w:pPr>
      <w:r w:rsidRPr="00466B1C">
        <w:t>El tamaño</w:t>
      </w:r>
      <w:r w:rsidR="00810099" w:rsidRPr="00466B1C">
        <w:t xml:space="preserve"> </w:t>
      </w:r>
      <w:r w:rsidRPr="00466B1C">
        <w:t>máximo del árido</w:t>
      </w:r>
      <w:r w:rsidR="00810099" w:rsidRPr="00466B1C">
        <w:t xml:space="preserve"> </w:t>
      </w:r>
      <w:r w:rsidRPr="00466B1C">
        <w:t>grueso no</w:t>
      </w:r>
      <w:r w:rsidR="00810099" w:rsidRPr="00466B1C">
        <w:t xml:space="preserve"> será </w:t>
      </w:r>
      <w:r w:rsidRPr="00466B1C">
        <w:t>superior a</w:t>
      </w:r>
      <w:r w:rsidR="00810099" w:rsidRPr="00466B1C">
        <w:t xml:space="preserve"> </w:t>
      </w:r>
      <w:r w:rsidRPr="00466B1C">
        <w:t>cuarenta milímetros</w:t>
      </w:r>
      <w:r w:rsidR="00810099" w:rsidRPr="00466B1C">
        <w:t xml:space="preserve"> </w:t>
      </w:r>
      <w:r w:rsidR="0072225E" w:rsidRPr="00466B1C">
        <w:t>(40</w:t>
      </w:r>
      <w:r w:rsidR="00810099" w:rsidRPr="00466B1C">
        <w:t xml:space="preserve"> mm), ni a un cuarto </w:t>
      </w:r>
      <w:r w:rsidR="0072225E" w:rsidRPr="00466B1C">
        <w:t>(1</w:t>
      </w:r>
      <w:r w:rsidR="00810099" w:rsidRPr="00466B1C">
        <w:t xml:space="preserve">/4) del espesor de la capa. </w:t>
      </w:r>
      <w:r w:rsidR="00EA4416" w:rsidRPr="00466B1C">
        <w:t xml:space="preserve"> </w:t>
      </w:r>
      <w:r w:rsidR="00810099" w:rsidRPr="00466B1C">
        <w:t xml:space="preserve">En el caso de pavimentos de </w:t>
      </w:r>
      <w:r w:rsidRPr="00466B1C">
        <w:t>hormigón armado continuo, su</w:t>
      </w:r>
      <w:r w:rsidR="00810099" w:rsidRPr="00466B1C">
        <w:t xml:space="preserve"> </w:t>
      </w:r>
      <w:r w:rsidRPr="00466B1C">
        <w:t>tamaño no</w:t>
      </w:r>
      <w:r w:rsidR="00810099" w:rsidRPr="00466B1C">
        <w:t xml:space="preserve"> </w:t>
      </w:r>
      <w:r w:rsidRPr="00466B1C">
        <w:t>excederá de</w:t>
      </w:r>
      <w:r w:rsidR="00810099" w:rsidRPr="00466B1C">
        <w:t xml:space="preserve"> un </w:t>
      </w:r>
      <w:r w:rsidRPr="00466B1C">
        <w:t>cuarto (</w:t>
      </w:r>
      <w:r w:rsidR="0072225E" w:rsidRPr="00466B1C">
        <w:t>1</w:t>
      </w:r>
      <w:r w:rsidR="00810099" w:rsidRPr="00466B1C">
        <w:t>/4) de la distancia libre entre armaduras longitudinales y</w:t>
      </w:r>
      <w:r w:rsidR="002E14D0" w:rsidRPr="00466B1C">
        <w:t xml:space="preserve"> </w:t>
      </w:r>
      <w:r w:rsidR="00810099" w:rsidRPr="00466B1C">
        <w:t>se suministrará, como mínimo, en dos (2) fracciones granulométricas diferenciadas.</w:t>
      </w:r>
    </w:p>
    <w:p w14:paraId="3594269E" w14:textId="77777777" w:rsidR="00810099" w:rsidRPr="00111B52" w:rsidRDefault="00810099" w:rsidP="00221E1A">
      <w:pPr>
        <w:pStyle w:val="NORMAL12"/>
        <w:numPr>
          <w:ilvl w:val="0"/>
          <w:numId w:val="130"/>
        </w:numPr>
      </w:pPr>
      <w:r w:rsidRPr="00466B1C">
        <w:t xml:space="preserve">El coeficiente de Los </w:t>
      </w:r>
      <w:r w:rsidRPr="00111B52">
        <w:t>Ángeles (norma UNE-EN 1097-2</w:t>
      </w:r>
      <w:r w:rsidR="00F43FA8" w:rsidRPr="00111B52">
        <w:t>:2010</w:t>
      </w:r>
      <w:r w:rsidRPr="00111B52">
        <w:t xml:space="preserve">) deberá ser inferior a treinta y cinco (LA &lt; 35). </w:t>
      </w:r>
    </w:p>
    <w:p w14:paraId="0F9A55D7" w14:textId="77777777" w:rsidR="00810099" w:rsidRPr="00111B52" w:rsidRDefault="00810099" w:rsidP="00221E1A">
      <w:pPr>
        <w:pStyle w:val="NORMAL12"/>
        <w:numPr>
          <w:ilvl w:val="0"/>
          <w:numId w:val="130"/>
        </w:numPr>
      </w:pPr>
      <w:r w:rsidRPr="00111B52">
        <w:t>El índice de lajas (norma UNE-EN 933-3</w:t>
      </w:r>
      <w:r w:rsidR="00F43FA8" w:rsidRPr="00111B52">
        <w:t>:2012</w:t>
      </w:r>
      <w:r w:rsidRPr="00111B52">
        <w:t>) deberá ser inferior a treinta y cinco (FI &lt; 35).</w:t>
      </w:r>
    </w:p>
    <w:p w14:paraId="2EDBD5CC" w14:textId="77777777" w:rsidR="00810099" w:rsidRPr="00111B52" w:rsidRDefault="00810099" w:rsidP="00F04B51">
      <w:pPr>
        <w:pStyle w:val="TITU4"/>
        <w:numPr>
          <w:ilvl w:val="0"/>
          <w:numId w:val="0"/>
        </w:numPr>
      </w:pPr>
      <w:r w:rsidRPr="00111B52">
        <w:t>550.2.4.3. Árido fino</w:t>
      </w:r>
    </w:p>
    <w:p w14:paraId="42A5D1E5" w14:textId="77777777" w:rsidR="00810099" w:rsidRPr="00111B52" w:rsidRDefault="00EA4416" w:rsidP="00D752A9">
      <w:pPr>
        <w:pStyle w:val="NORMAL12"/>
      </w:pPr>
      <w:r w:rsidRPr="00111B52">
        <w:t>Debe cumplir:</w:t>
      </w:r>
    </w:p>
    <w:p w14:paraId="6E720F69" w14:textId="77777777" w:rsidR="00EA4416" w:rsidRPr="00111B52" w:rsidRDefault="00EA4416" w:rsidP="00221E1A">
      <w:pPr>
        <w:pStyle w:val="NORMAL12"/>
        <w:numPr>
          <w:ilvl w:val="0"/>
          <w:numId w:val="131"/>
        </w:numPr>
      </w:pPr>
      <w:r w:rsidRPr="00111B52">
        <w:t xml:space="preserve">El </w:t>
      </w:r>
      <w:r w:rsidR="00810099" w:rsidRPr="00111B52">
        <w:t xml:space="preserve">árido fino tenga una proporción mínima de partículas silíceas, no inferior al treinta y cinco por ciento (35%), y sea procedente de un árido grueso cuyo coeficiente de </w:t>
      </w:r>
      <w:r w:rsidR="00C874F7" w:rsidRPr="00111B52">
        <w:t>pulimento acelerado</w:t>
      </w:r>
      <w:r w:rsidR="00810099" w:rsidRPr="00111B52">
        <w:t xml:space="preserve"> (norma UNE-EN 1</w:t>
      </w:r>
      <w:r w:rsidR="00F43FA8" w:rsidRPr="00111B52">
        <w:t>09</w:t>
      </w:r>
      <w:r w:rsidR="00810099" w:rsidRPr="00111B52">
        <w:t>7-8</w:t>
      </w:r>
      <w:r w:rsidR="00F43FA8" w:rsidRPr="00111B52">
        <w:t>:2010</w:t>
      </w:r>
      <w:r w:rsidR="00C874F7" w:rsidRPr="00111B52">
        <w:t>) para</w:t>
      </w:r>
      <w:r w:rsidR="00810099" w:rsidRPr="00111B52">
        <w:t xml:space="preserve"> las </w:t>
      </w:r>
      <w:r w:rsidR="00C874F7" w:rsidRPr="00111B52">
        <w:t>categorías de</w:t>
      </w:r>
      <w:r w:rsidR="00810099" w:rsidRPr="00111B52">
        <w:t xml:space="preserve"> tráfico pesado T00 a T1 sea superior a cincuenta (PSV &gt; 50). </w:t>
      </w:r>
    </w:p>
    <w:p w14:paraId="28C62B74" w14:textId="77777777" w:rsidR="00810099" w:rsidRPr="00111B52" w:rsidRDefault="00EA4416" w:rsidP="00221E1A">
      <w:pPr>
        <w:pStyle w:val="NORMAL12"/>
        <w:numPr>
          <w:ilvl w:val="0"/>
          <w:numId w:val="131"/>
        </w:numPr>
      </w:pPr>
      <w:r w:rsidRPr="00111B52">
        <w:t>E</w:t>
      </w:r>
      <w:r w:rsidR="00810099" w:rsidRPr="00111B52">
        <w:t xml:space="preserve">l valor del </w:t>
      </w:r>
      <w:r w:rsidR="00C874F7" w:rsidRPr="00111B52">
        <w:t>equivalente de</w:t>
      </w:r>
      <w:r w:rsidR="00810099" w:rsidRPr="00111B52">
        <w:t xml:space="preserve"> arena (SE</w:t>
      </w:r>
      <w:r w:rsidR="00810099" w:rsidRPr="00111B52">
        <w:rPr>
          <w:vertAlign w:val="subscript"/>
        </w:rPr>
        <w:t>4</w:t>
      </w:r>
      <w:r w:rsidR="00810099" w:rsidRPr="00111B52">
        <w:t>) del árido fino (Ane</w:t>
      </w:r>
      <w:r w:rsidRPr="00111B52">
        <w:t>xo A de la norma UNE-EN 933-8</w:t>
      </w:r>
      <w:r w:rsidR="00F43FA8" w:rsidRPr="00111B52">
        <w:t>:2012+A1:2015/1M: 2016</w:t>
      </w:r>
      <w:r w:rsidRPr="00111B52">
        <w:t xml:space="preserve">) no será inferior a </w:t>
      </w:r>
      <w:r w:rsidR="00810099" w:rsidRPr="00111B52">
        <w:t>setenta (SE</w:t>
      </w:r>
      <w:r w:rsidR="00810099" w:rsidRPr="00111B52">
        <w:rPr>
          <w:vertAlign w:val="subscript"/>
        </w:rPr>
        <w:t>4</w:t>
      </w:r>
      <w:r w:rsidR="00646678" w:rsidRPr="00111B52">
        <w:t xml:space="preserve"> &gt;</w:t>
      </w:r>
      <w:r w:rsidR="00810099" w:rsidRPr="00111B52">
        <w:t xml:space="preserve"> 70)</w:t>
      </w:r>
      <w:r w:rsidRPr="00111B52">
        <w:t>.</w:t>
      </w:r>
    </w:p>
    <w:p w14:paraId="557DC1CE" w14:textId="77777777" w:rsidR="00EA4416" w:rsidRPr="00466B1C" w:rsidRDefault="00EA4416" w:rsidP="00221E1A">
      <w:pPr>
        <w:pStyle w:val="NORMAL12"/>
        <w:numPr>
          <w:ilvl w:val="0"/>
          <w:numId w:val="131"/>
        </w:numPr>
      </w:pPr>
      <w:r w:rsidRPr="00466B1C">
        <w:t>La curva granulométrica será del tipo:</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21"/>
        <w:gridCol w:w="1323"/>
        <w:gridCol w:w="1322"/>
        <w:gridCol w:w="1322"/>
        <w:gridCol w:w="1323"/>
        <w:gridCol w:w="1322"/>
        <w:gridCol w:w="1326"/>
      </w:tblGrid>
      <w:tr w:rsidR="005864C2" w:rsidRPr="00466B1C" w14:paraId="7B1232CF" w14:textId="77777777" w:rsidTr="00646678">
        <w:trPr>
          <w:trHeight w:hRule="exact" w:val="758"/>
          <w:jc w:val="center"/>
        </w:trPr>
        <w:tc>
          <w:tcPr>
            <w:tcW w:w="9259" w:type="dxa"/>
            <w:gridSpan w:val="7"/>
            <w:shd w:val="clear" w:color="auto" w:fill="D9D9D9" w:themeFill="background1" w:themeFillShade="D9"/>
          </w:tcPr>
          <w:p w14:paraId="5480CC4F" w14:textId="77777777" w:rsidR="00810099" w:rsidRPr="00466B1C" w:rsidRDefault="00810099" w:rsidP="004D147E">
            <w:pPr>
              <w:spacing w:before="3" w:line="110" w:lineRule="exact"/>
              <w:rPr>
                <w:sz w:val="11"/>
                <w:szCs w:val="11"/>
              </w:rPr>
            </w:pPr>
          </w:p>
          <w:p w14:paraId="6C2ACFAF" w14:textId="77777777" w:rsidR="00810099" w:rsidRPr="00466B1C" w:rsidRDefault="00810099" w:rsidP="00646678">
            <w:pPr>
              <w:shd w:val="clear" w:color="auto" w:fill="D9D9D9" w:themeFill="background1" w:themeFillShade="D9"/>
              <w:ind w:left="2309" w:right="-20"/>
              <w:rPr>
                <w:rFonts w:ascii="Arial" w:eastAsia="Arial" w:hAnsi="Arial" w:cs="Arial"/>
                <w:sz w:val="20"/>
                <w:szCs w:val="20"/>
              </w:rPr>
            </w:pPr>
            <w:r w:rsidRPr="00466B1C">
              <w:rPr>
                <w:rFonts w:ascii="Arial" w:eastAsia="Arial" w:hAnsi="Arial" w:cs="Arial"/>
                <w:b/>
                <w:bCs/>
                <w:sz w:val="20"/>
                <w:szCs w:val="20"/>
              </w:rPr>
              <w:t>C</w:t>
            </w:r>
            <w:r w:rsidR="00504DAB">
              <w:rPr>
                <w:rFonts w:ascii="Arial" w:eastAsia="Arial" w:hAnsi="Arial" w:cs="Arial"/>
                <w:b/>
                <w:bCs/>
                <w:sz w:val="20"/>
                <w:szCs w:val="20"/>
              </w:rPr>
              <w:t>ernido ponderal acumulado</w:t>
            </w:r>
            <w:r w:rsidRPr="00466B1C">
              <w:rPr>
                <w:rFonts w:ascii="Arial" w:eastAsia="Arial" w:hAnsi="Arial" w:cs="Arial"/>
                <w:b/>
                <w:bCs/>
                <w:sz w:val="20"/>
                <w:szCs w:val="20"/>
              </w:rPr>
              <w:t xml:space="preserve"> </w:t>
            </w:r>
            <w:r w:rsidRPr="00466B1C">
              <w:rPr>
                <w:rFonts w:ascii="Arial" w:eastAsia="Arial" w:hAnsi="Arial" w:cs="Arial"/>
                <w:sz w:val="20"/>
                <w:szCs w:val="20"/>
              </w:rPr>
              <w:t>(% en masa)</w:t>
            </w:r>
          </w:p>
          <w:p w14:paraId="416E5660" w14:textId="77777777" w:rsidR="00810099" w:rsidRPr="00466B1C" w:rsidRDefault="00810099" w:rsidP="004D147E">
            <w:pPr>
              <w:spacing w:before="7" w:line="110" w:lineRule="exact"/>
              <w:rPr>
                <w:sz w:val="11"/>
                <w:szCs w:val="11"/>
              </w:rPr>
            </w:pPr>
          </w:p>
          <w:p w14:paraId="40F466A2" w14:textId="77777777" w:rsidR="00810099" w:rsidRPr="00466B1C" w:rsidRDefault="00810099" w:rsidP="00504DAB">
            <w:pPr>
              <w:ind w:left="2243" w:right="-20"/>
              <w:rPr>
                <w:rFonts w:ascii="Arial" w:eastAsia="Arial" w:hAnsi="Arial" w:cs="Arial"/>
                <w:sz w:val="20"/>
                <w:szCs w:val="20"/>
              </w:rPr>
            </w:pPr>
            <w:r w:rsidRPr="00466B1C">
              <w:rPr>
                <w:rFonts w:ascii="Arial" w:eastAsia="Arial" w:hAnsi="Arial" w:cs="Arial"/>
                <w:b/>
                <w:bCs/>
                <w:sz w:val="20"/>
                <w:szCs w:val="20"/>
              </w:rPr>
              <w:t>A</w:t>
            </w:r>
            <w:r w:rsidR="00504DAB">
              <w:rPr>
                <w:rFonts w:ascii="Arial" w:eastAsia="Arial" w:hAnsi="Arial" w:cs="Arial"/>
                <w:b/>
                <w:bCs/>
                <w:sz w:val="20"/>
                <w:szCs w:val="20"/>
              </w:rPr>
              <w:t>bertura de los tamices</w:t>
            </w:r>
            <w:r w:rsidRPr="00466B1C">
              <w:rPr>
                <w:rFonts w:ascii="Arial" w:eastAsia="Arial" w:hAnsi="Arial" w:cs="Arial"/>
                <w:b/>
                <w:bCs/>
                <w:sz w:val="20"/>
                <w:szCs w:val="20"/>
              </w:rPr>
              <w:t xml:space="preserve"> UNE-EN 933-2 </w:t>
            </w:r>
            <w:r w:rsidRPr="00466B1C">
              <w:rPr>
                <w:rFonts w:ascii="Arial" w:eastAsia="Arial" w:hAnsi="Arial" w:cs="Arial"/>
                <w:sz w:val="20"/>
                <w:szCs w:val="20"/>
              </w:rPr>
              <w:t>(mm)</w:t>
            </w:r>
          </w:p>
        </w:tc>
      </w:tr>
      <w:tr w:rsidR="005864C2" w:rsidRPr="00466B1C" w14:paraId="3DECF0A8" w14:textId="77777777" w:rsidTr="00646678">
        <w:trPr>
          <w:trHeight w:hRule="exact" w:val="485"/>
          <w:jc w:val="center"/>
        </w:trPr>
        <w:tc>
          <w:tcPr>
            <w:tcW w:w="1321" w:type="dxa"/>
          </w:tcPr>
          <w:p w14:paraId="043426DD" w14:textId="77777777" w:rsidR="00810099" w:rsidRPr="00466B1C" w:rsidRDefault="00810099" w:rsidP="004D147E">
            <w:pPr>
              <w:spacing w:before="91"/>
              <w:ind w:left="554" w:right="517"/>
              <w:jc w:val="center"/>
              <w:rPr>
                <w:rFonts w:ascii="Arial" w:eastAsia="Arial" w:hAnsi="Arial" w:cs="Arial"/>
                <w:sz w:val="20"/>
                <w:szCs w:val="20"/>
              </w:rPr>
            </w:pPr>
            <w:r w:rsidRPr="00466B1C">
              <w:rPr>
                <w:rFonts w:ascii="Arial" w:eastAsia="Arial" w:hAnsi="Arial" w:cs="Arial"/>
                <w:b/>
                <w:bCs/>
                <w:sz w:val="20"/>
                <w:szCs w:val="20"/>
              </w:rPr>
              <w:t>4</w:t>
            </w:r>
          </w:p>
        </w:tc>
        <w:tc>
          <w:tcPr>
            <w:tcW w:w="1323" w:type="dxa"/>
          </w:tcPr>
          <w:p w14:paraId="5FC3A2E8" w14:textId="77777777" w:rsidR="00810099" w:rsidRPr="00466B1C" w:rsidRDefault="00810099" w:rsidP="004D147E">
            <w:pPr>
              <w:spacing w:before="91"/>
              <w:ind w:left="538" w:right="517"/>
              <w:jc w:val="center"/>
              <w:rPr>
                <w:rFonts w:ascii="Arial" w:eastAsia="Arial" w:hAnsi="Arial" w:cs="Arial"/>
                <w:sz w:val="20"/>
                <w:szCs w:val="20"/>
              </w:rPr>
            </w:pPr>
            <w:r w:rsidRPr="00466B1C">
              <w:rPr>
                <w:rFonts w:ascii="Arial" w:eastAsia="Arial" w:hAnsi="Arial" w:cs="Arial"/>
                <w:b/>
                <w:bCs/>
                <w:sz w:val="20"/>
                <w:szCs w:val="20"/>
              </w:rPr>
              <w:t>2</w:t>
            </w:r>
          </w:p>
        </w:tc>
        <w:tc>
          <w:tcPr>
            <w:tcW w:w="1322" w:type="dxa"/>
          </w:tcPr>
          <w:p w14:paraId="6F4D8814" w14:textId="77777777" w:rsidR="00810099" w:rsidRPr="00466B1C" w:rsidRDefault="00810099" w:rsidP="004D147E">
            <w:pPr>
              <w:spacing w:before="4" w:line="110" w:lineRule="exact"/>
              <w:rPr>
                <w:sz w:val="11"/>
                <w:szCs w:val="11"/>
              </w:rPr>
            </w:pPr>
          </w:p>
          <w:p w14:paraId="0C6A5364" w14:textId="77777777" w:rsidR="00810099" w:rsidRPr="00466B1C" w:rsidRDefault="00810099" w:rsidP="004D147E">
            <w:pPr>
              <w:ind w:left="537" w:right="517"/>
              <w:jc w:val="center"/>
              <w:rPr>
                <w:rFonts w:ascii="Arial" w:eastAsia="Arial" w:hAnsi="Arial" w:cs="Arial"/>
                <w:sz w:val="20"/>
                <w:szCs w:val="20"/>
              </w:rPr>
            </w:pPr>
            <w:r w:rsidRPr="00466B1C">
              <w:rPr>
                <w:rFonts w:ascii="Arial" w:eastAsia="Arial" w:hAnsi="Arial" w:cs="Arial"/>
                <w:b/>
                <w:bCs/>
                <w:sz w:val="20"/>
                <w:szCs w:val="20"/>
              </w:rPr>
              <w:t>1</w:t>
            </w:r>
          </w:p>
        </w:tc>
        <w:tc>
          <w:tcPr>
            <w:tcW w:w="1322" w:type="dxa"/>
          </w:tcPr>
          <w:p w14:paraId="660DDAFF" w14:textId="77777777" w:rsidR="00810099" w:rsidRPr="00466B1C" w:rsidRDefault="00810099" w:rsidP="004D147E">
            <w:pPr>
              <w:spacing w:before="4" w:line="110" w:lineRule="exact"/>
              <w:rPr>
                <w:sz w:val="11"/>
                <w:szCs w:val="11"/>
              </w:rPr>
            </w:pPr>
          </w:p>
          <w:p w14:paraId="3C976744" w14:textId="77777777" w:rsidR="00810099" w:rsidRPr="00466B1C" w:rsidRDefault="00810099" w:rsidP="004D147E">
            <w:pPr>
              <w:ind w:left="379" w:right="-20"/>
              <w:rPr>
                <w:rFonts w:ascii="Arial" w:eastAsia="Arial" w:hAnsi="Arial" w:cs="Arial"/>
                <w:sz w:val="20"/>
                <w:szCs w:val="20"/>
              </w:rPr>
            </w:pPr>
            <w:r w:rsidRPr="00466B1C">
              <w:rPr>
                <w:rFonts w:ascii="Arial" w:eastAsia="Arial" w:hAnsi="Arial" w:cs="Arial"/>
                <w:b/>
                <w:bCs/>
                <w:sz w:val="20"/>
                <w:szCs w:val="20"/>
              </w:rPr>
              <w:t>0,500</w:t>
            </w:r>
          </w:p>
        </w:tc>
        <w:tc>
          <w:tcPr>
            <w:tcW w:w="1323" w:type="dxa"/>
          </w:tcPr>
          <w:p w14:paraId="1761747F" w14:textId="77777777" w:rsidR="00810099" w:rsidRPr="00466B1C" w:rsidRDefault="00810099" w:rsidP="004D147E">
            <w:pPr>
              <w:spacing w:before="4" w:line="110" w:lineRule="exact"/>
              <w:rPr>
                <w:sz w:val="11"/>
                <w:szCs w:val="11"/>
              </w:rPr>
            </w:pPr>
          </w:p>
          <w:p w14:paraId="10BEE8FB" w14:textId="77777777" w:rsidR="00810099" w:rsidRPr="00466B1C" w:rsidRDefault="00810099" w:rsidP="004D147E">
            <w:pPr>
              <w:ind w:left="379" w:right="-20"/>
              <w:rPr>
                <w:rFonts w:ascii="Arial" w:eastAsia="Arial" w:hAnsi="Arial" w:cs="Arial"/>
                <w:sz w:val="20"/>
                <w:szCs w:val="20"/>
              </w:rPr>
            </w:pPr>
            <w:r w:rsidRPr="00466B1C">
              <w:rPr>
                <w:rFonts w:ascii="Arial" w:eastAsia="Arial" w:hAnsi="Arial" w:cs="Arial"/>
                <w:b/>
                <w:bCs/>
                <w:sz w:val="20"/>
                <w:szCs w:val="20"/>
              </w:rPr>
              <w:t>0,250</w:t>
            </w:r>
          </w:p>
        </w:tc>
        <w:tc>
          <w:tcPr>
            <w:tcW w:w="1322" w:type="dxa"/>
          </w:tcPr>
          <w:p w14:paraId="06FCAB8C" w14:textId="77777777" w:rsidR="00810099" w:rsidRPr="00466B1C" w:rsidRDefault="00810099" w:rsidP="004D147E">
            <w:pPr>
              <w:spacing w:before="7" w:line="130" w:lineRule="exact"/>
              <w:rPr>
                <w:sz w:val="13"/>
                <w:szCs w:val="13"/>
              </w:rPr>
            </w:pPr>
          </w:p>
          <w:p w14:paraId="264DBC7A" w14:textId="77777777" w:rsidR="00810099" w:rsidRPr="00466B1C" w:rsidRDefault="00810099" w:rsidP="004D147E">
            <w:pPr>
              <w:ind w:left="379" w:right="-20"/>
              <w:rPr>
                <w:rFonts w:ascii="Arial" w:eastAsia="Arial" w:hAnsi="Arial" w:cs="Arial"/>
                <w:sz w:val="20"/>
                <w:szCs w:val="20"/>
              </w:rPr>
            </w:pPr>
            <w:r w:rsidRPr="00466B1C">
              <w:rPr>
                <w:rFonts w:ascii="Arial" w:eastAsia="Arial" w:hAnsi="Arial" w:cs="Arial"/>
                <w:b/>
                <w:bCs/>
                <w:sz w:val="20"/>
                <w:szCs w:val="20"/>
              </w:rPr>
              <w:t>0,125</w:t>
            </w:r>
          </w:p>
        </w:tc>
        <w:tc>
          <w:tcPr>
            <w:tcW w:w="1326" w:type="dxa"/>
          </w:tcPr>
          <w:p w14:paraId="0F446B04" w14:textId="77777777" w:rsidR="00810099" w:rsidRPr="00466B1C" w:rsidRDefault="00810099" w:rsidP="004D147E">
            <w:pPr>
              <w:spacing w:before="4" w:line="110" w:lineRule="exact"/>
              <w:rPr>
                <w:sz w:val="11"/>
                <w:szCs w:val="11"/>
              </w:rPr>
            </w:pPr>
          </w:p>
          <w:p w14:paraId="4ECA31FF" w14:textId="77777777" w:rsidR="00810099" w:rsidRPr="00466B1C" w:rsidRDefault="00810099" w:rsidP="004D147E">
            <w:pPr>
              <w:ind w:left="276" w:right="-20"/>
              <w:rPr>
                <w:rFonts w:ascii="Arial" w:eastAsia="Arial" w:hAnsi="Arial" w:cs="Arial"/>
                <w:sz w:val="20"/>
                <w:szCs w:val="20"/>
              </w:rPr>
            </w:pPr>
            <w:r w:rsidRPr="00466B1C">
              <w:rPr>
                <w:rFonts w:ascii="Arial" w:eastAsia="Arial" w:hAnsi="Arial" w:cs="Arial"/>
                <w:b/>
                <w:bCs/>
                <w:sz w:val="20"/>
                <w:szCs w:val="20"/>
              </w:rPr>
              <w:t>0,063 (*)</w:t>
            </w:r>
          </w:p>
        </w:tc>
      </w:tr>
      <w:tr w:rsidR="005864C2" w:rsidRPr="00466B1C" w14:paraId="39BD9E2D" w14:textId="77777777" w:rsidTr="00646678">
        <w:trPr>
          <w:trHeight w:hRule="exact" w:val="375"/>
          <w:jc w:val="center"/>
        </w:trPr>
        <w:tc>
          <w:tcPr>
            <w:tcW w:w="1321" w:type="dxa"/>
          </w:tcPr>
          <w:p w14:paraId="45D941E2" w14:textId="77777777" w:rsidR="00810099" w:rsidRPr="00466B1C" w:rsidRDefault="00810099" w:rsidP="004D147E">
            <w:pPr>
              <w:spacing w:before="53"/>
              <w:ind w:left="336" w:right="-20"/>
              <w:rPr>
                <w:rFonts w:ascii="Arial" w:eastAsia="Arial" w:hAnsi="Arial" w:cs="Arial"/>
                <w:sz w:val="20"/>
                <w:szCs w:val="20"/>
              </w:rPr>
            </w:pPr>
            <w:r w:rsidRPr="00466B1C">
              <w:rPr>
                <w:rFonts w:ascii="Arial" w:eastAsia="Arial" w:hAnsi="Arial" w:cs="Arial"/>
                <w:sz w:val="20"/>
                <w:szCs w:val="20"/>
              </w:rPr>
              <w:t>81-100</w:t>
            </w:r>
          </w:p>
        </w:tc>
        <w:tc>
          <w:tcPr>
            <w:tcW w:w="1323" w:type="dxa"/>
          </w:tcPr>
          <w:p w14:paraId="3AC167AC" w14:textId="77777777" w:rsidR="00810099" w:rsidRPr="00466B1C" w:rsidRDefault="00810099" w:rsidP="004D147E">
            <w:pPr>
              <w:spacing w:before="53"/>
              <w:ind w:left="403" w:right="-20"/>
              <w:rPr>
                <w:rFonts w:ascii="Arial" w:eastAsia="Arial" w:hAnsi="Arial" w:cs="Arial"/>
                <w:sz w:val="20"/>
                <w:szCs w:val="20"/>
              </w:rPr>
            </w:pPr>
            <w:r w:rsidRPr="00466B1C">
              <w:rPr>
                <w:rFonts w:ascii="Arial" w:eastAsia="Arial" w:hAnsi="Arial" w:cs="Arial"/>
                <w:sz w:val="20"/>
                <w:szCs w:val="20"/>
              </w:rPr>
              <w:t>58-85</w:t>
            </w:r>
          </w:p>
        </w:tc>
        <w:tc>
          <w:tcPr>
            <w:tcW w:w="1322" w:type="dxa"/>
          </w:tcPr>
          <w:p w14:paraId="28B312E5" w14:textId="77777777" w:rsidR="00810099" w:rsidRPr="00466B1C" w:rsidRDefault="00810099" w:rsidP="004D147E">
            <w:pPr>
              <w:spacing w:before="53"/>
              <w:ind w:left="401" w:right="-20"/>
              <w:rPr>
                <w:rFonts w:ascii="Arial" w:eastAsia="Arial" w:hAnsi="Arial" w:cs="Arial"/>
                <w:sz w:val="20"/>
                <w:szCs w:val="20"/>
              </w:rPr>
            </w:pPr>
            <w:r w:rsidRPr="00466B1C">
              <w:rPr>
                <w:rFonts w:ascii="Arial" w:eastAsia="Arial" w:hAnsi="Arial" w:cs="Arial"/>
                <w:sz w:val="20"/>
                <w:szCs w:val="20"/>
              </w:rPr>
              <w:t>39-68</w:t>
            </w:r>
          </w:p>
        </w:tc>
        <w:tc>
          <w:tcPr>
            <w:tcW w:w="1322" w:type="dxa"/>
          </w:tcPr>
          <w:p w14:paraId="78E893C2" w14:textId="77777777" w:rsidR="00810099" w:rsidRPr="00466B1C" w:rsidRDefault="00810099" w:rsidP="004D147E">
            <w:pPr>
              <w:spacing w:before="53"/>
              <w:ind w:left="401" w:right="-20"/>
              <w:rPr>
                <w:rFonts w:ascii="Arial" w:eastAsia="Arial" w:hAnsi="Arial" w:cs="Arial"/>
                <w:sz w:val="20"/>
                <w:szCs w:val="20"/>
              </w:rPr>
            </w:pPr>
            <w:r w:rsidRPr="00466B1C">
              <w:rPr>
                <w:rFonts w:ascii="Arial" w:eastAsia="Arial" w:hAnsi="Arial" w:cs="Arial"/>
                <w:sz w:val="20"/>
                <w:szCs w:val="20"/>
              </w:rPr>
              <w:t>21-46</w:t>
            </w:r>
          </w:p>
        </w:tc>
        <w:tc>
          <w:tcPr>
            <w:tcW w:w="1323" w:type="dxa"/>
          </w:tcPr>
          <w:p w14:paraId="0D797F01" w14:textId="77777777" w:rsidR="00810099" w:rsidRPr="00466B1C" w:rsidRDefault="00810099" w:rsidP="004D147E">
            <w:pPr>
              <w:spacing w:before="53"/>
              <w:ind w:left="421" w:right="403"/>
              <w:jc w:val="center"/>
              <w:rPr>
                <w:rFonts w:ascii="Arial" w:eastAsia="Arial" w:hAnsi="Arial" w:cs="Arial"/>
                <w:sz w:val="20"/>
                <w:szCs w:val="20"/>
              </w:rPr>
            </w:pPr>
            <w:r w:rsidRPr="00466B1C">
              <w:rPr>
                <w:rFonts w:ascii="Arial" w:eastAsia="Arial" w:hAnsi="Arial" w:cs="Arial"/>
                <w:sz w:val="20"/>
                <w:szCs w:val="20"/>
              </w:rPr>
              <w:t>7-22</w:t>
            </w:r>
          </w:p>
        </w:tc>
        <w:tc>
          <w:tcPr>
            <w:tcW w:w="1322" w:type="dxa"/>
          </w:tcPr>
          <w:p w14:paraId="0909F0DB" w14:textId="77777777" w:rsidR="00810099" w:rsidRPr="00466B1C" w:rsidRDefault="00810099" w:rsidP="004D147E">
            <w:pPr>
              <w:spacing w:before="53"/>
              <w:ind w:left="475" w:right="458"/>
              <w:jc w:val="center"/>
              <w:rPr>
                <w:rFonts w:ascii="Arial" w:eastAsia="Arial" w:hAnsi="Arial" w:cs="Arial"/>
                <w:sz w:val="20"/>
                <w:szCs w:val="20"/>
              </w:rPr>
            </w:pPr>
            <w:r w:rsidRPr="00466B1C">
              <w:rPr>
                <w:rFonts w:ascii="Arial" w:eastAsia="Arial" w:hAnsi="Arial" w:cs="Arial"/>
                <w:sz w:val="20"/>
                <w:szCs w:val="20"/>
              </w:rPr>
              <w:t>1-8</w:t>
            </w:r>
          </w:p>
        </w:tc>
        <w:tc>
          <w:tcPr>
            <w:tcW w:w="1326" w:type="dxa"/>
          </w:tcPr>
          <w:p w14:paraId="5D69AA78" w14:textId="77777777" w:rsidR="00810099" w:rsidRPr="00466B1C" w:rsidRDefault="00810099" w:rsidP="004D147E">
            <w:pPr>
              <w:spacing w:before="53"/>
              <w:ind w:left="476" w:right="450"/>
              <w:jc w:val="center"/>
              <w:rPr>
                <w:rFonts w:ascii="Arial" w:eastAsia="Arial" w:hAnsi="Arial" w:cs="Arial"/>
                <w:sz w:val="20"/>
                <w:szCs w:val="20"/>
              </w:rPr>
            </w:pPr>
            <w:r w:rsidRPr="00466B1C">
              <w:rPr>
                <w:rFonts w:ascii="Arial" w:eastAsia="Arial" w:hAnsi="Arial" w:cs="Arial"/>
                <w:sz w:val="20"/>
                <w:szCs w:val="20"/>
              </w:rPr>
              <w:t>0-4</w:t>
            </w:r>
          </w:p>
        </w:tc>
      </w:tr>
    </w:tbl>
    <w:p w14:paraId="3A6A035B" w14:textId="77777777" w:rsidR="00810099" w:rsidRPr="00466B1C" w:rsidRDefault="00810099" w:rsidP="00810099">
      <w:pPr>
        <w:spacing w:before="35" w:line="237" w:lineRule="auto"/>
        <w:ind w:left="918" w:right="893"/>
        <w:jc w:val="both"/>
        <w:rPr>
          <w:rFonts w:ascii="Arial" w:eastAsia="Arial" w:hAnsi="Arial" w:cs="Arial"/>
          <w:sz w:val="20"/>
          <w:szCs w:val="20"/>
        </w:rPr>
      </w:pPr>
    </w:p>
    <w:p w14:paraId="100FA030" w14:textId="77777777" w:rsidR="00810099" w:rsidRPr="00466B1C" w:rsidRDefault="00810099" w:rsidP="00F04B51">
      <w:pPr>
        <w:pStyle w:val="TITU3"/>
        <w:numPr>
          <w:ilvl w:val="0"/>
          <w:numId w:val="0"/>
        </w:numPr>
      </w:pPr>
      <w:r w:rsidRPr="00466B1C">
        <w:t>550.2.5. Aditivos</w:t>
      </w:r>
    </w:p>
    <w:p w14:paraId="42811B04" w14:textId="77777777" w:rsidR="009378A4" w:rsidRDefault="009378A4" w:rsidP="0043412B">
      <w:pPr>
        <w:pStyle w:val="NORMAL12"/>
        <w:rPr>
          <w:lang w:val="es-ES"/>
        </w:rPr>
      </w:pPr>
      <w:r>
        <w:rPr>
          <w:lang w:val="es-ES"/>
        </w:rPr>
        <w:t>No está permitido el uso de aditivos.</w:t>
      </w:r>
    </w:p>
    <w:p w14:paraId="6DF65087" w14:textId="77777777" w:rsidR="009378A4" w:rsidRDefault="009378A4" w:rsidP="0043412B">
      <w:pPr>
        <w:pStyle w:val="NORMAL12"/>
        <w:rPr>
          <w:lang w:val="es-ES"/>
        </w:rPr>
      </w:pPr>
      <w:r>
        <w:rPr>
          <w:lang w:val="es-ES"/>
        </w:rPr>
        <w:t xml:space="preserve">El </w:t>
      </w:r>
      <w:proofErr w:type="gramStart"/>
      <w:r>
        <w:rPr>
          <w:lang w:val="es-ES"/>
        </w:rPr>
        <w:t>Director</w:t>
      </w:r>
      <w:proofErr w:type="gramEnd"/>
      <w:r>
        <w:rPr>
          <w:lang w:val="es-ES"/>
        </w:rPr>
        <w:t xml:space="preserve"> de Obra podrá aprobar el uso de </w:t>
      </w:r>
      <w:proofErr w:type="gramStart"/>
      <w:r>
        <w:rPr>
          <w:lang w:val="es-ES"/>
        </w:rPr>
        <w:t>los mismos</w:t>
      </w:r>
      <w:proofErr w:type="gramEnd"/>
      <w:r>
        <w:rPr>
          <w:lang w:val="es-ES"/>
        </w:rPr>
        <w:t xml:space="preserve"> en función de las condiciones climáticas y evolución de la obra. En caso de ser aprobados por el </w:t>
      </w:r>
      <w:proofErr w:type="gramStart"/>
      <w:r>
        <w:rPr>
          <w:lang w:val="es-ES"/>
        </w:rPr>
        <w:t>Director</w:t>
      </w:r>
      <w:proofErr w:type="gramEnd"/>
      <w:r>
        <w:rPr>
          <w:lang w:val="es-ES"/>
        </w:rPr>
        <w:t xml:space="preserve"> de Obra deben figurar en la fórmula de trabajo.</w:t>
      </w:r>
    </w:p>
    <w:p w14:paraId="1D7C3059" w14:textId="77777777" w:rsidR="00E82276" w:rsidRDefault="00E82276" w:rsidP="0043412B">
      <w:pPr>
        <w:pStyle w:val="NORMAL12"/>
        <w:rPr>
          <w:lang w:val="es-ES"/>
        </w:rPr>
      </w:pPr>
      <w:r>
        <w:rPr>
          <w:lang w:val="es-ES"/>
        </w:rPr>
        <w:t>Los aditivos empleados deberán cumplir con las condiciones establecidas en la UNE-EN 934-2.</w:t>
      </w:r>
    </w:p>
    <w:p w14:paraId="40578FFD" w14:textId="77777777" w:rsidR="00E82276" w:rsidRPr="0092291B" w:rsidRDefault="00E82276" w:rsidP="0043412B">
      <w:pPr>
        <w:pStyle w:val="NORMAL12"/>
        <w:rPr>
          <w:sz w:val="2"/>
          <w:szCs w:val="2"/>
          <w:lang w:val="es-ES"/>
        </w:rPr>
      </w:pPr>
      <w:r>
        <w:rPr>
          <w:lang w:val="es-ES"/>
        </w:rPr>
        <w:t xml:space="preserve">Únicamente el </w:t>
      </w:r>
      <w:proofErr w:type="gramStart"/>
      <w:r>
        <w:rPr>
          <w:lang w:val="es-ES"/>
        </w:rPr>
        <w:t>Director</w:t>
      </w:r>
      <w:proofErr w:type="gramEnd"/>
      <w:r>
        <w:rPr>
          <w:lang w:val="es-ES"/>
        </w:rPr>
        <w:t xml:space="preserve"> de Obra podrá aprobar aditivos cuyas características y especialmente su comportamiento y los efectos sobre la mezcla al emplearlos en las proporciones previstas, vengan garantizadas por el fabricante, siendo obligatorio realizar ensayos previos para comprobar dicho comportamiento.</w:t>
      </w:r>
    </w:p>
    <w:p w14:paraId="7A3BA596" w14:textId="77777777" w:rsidR="00810099" w:rsidRPr="00D95BD5" w:rsidRDefault="00810099" w:rsidP="00F04B51">
      <w:pPr>
        <w:pStyle w:val="TITU3"/>
        <w:numPr>
          <w:ilvl w:val="0"/>
          <w:numId w:val="0"/>
        </w:numPr>
      </w:pPr>
      <w:r w:rsidRPr="00D95BD5">
        <w:t>550.2.6. Pasadores y barras de unión</w:t>
      </w:r>
    </w:p>
    <w:p w14:paraId="5D4C7309" w14:textId="77777777" w:rsidR="00810099" w:rsidRDefault="00810099" w:rsidP="00D752A9">
      <w:pPr>
        <w:pStyle w:val="NORMAL12"/>
      </w:pPr>
      <w:r w:rsidRPr="00D95BD5">
        <w:t>L</w:t>
      </w:r>
      <w:r w:rsidR="00E82276">
        <w:t>as barras de unión</w:t>
      </w:r>
      <w:r w:rsidRPr="00D95BD5">
        <w:t xml:space="preserve"> deberán llevar obligatoriamente el marcado CE y la correspondiente información que debe acompañarle, así como disponer del certificado de control de producción en fábrica expedido por un organismo notificado y de la declaración de prestaciones elaborada por el propio fabricante, todo ello </w:t>
      </w:r>
      <w:proofErr w:type="gramStart"/>
      <w:r w:rsidRPr="00D95BD5">
        <w:t>de acuerdo a</w:t>
      </w:r>
      <w:proofErr w:type="gramEnd"/>
      <w:r w:rsidRPr="00D95BD5">
        <w:t xml:space="preserve"> lo establecido en la norma UNE-EN 13877-3</w:t>
      </w:r>
      <w:r w:rsidR="00F43FA8" w:rsidRPr="00D95BD5">
        <w:t>:2005</w:t>
      </w:r>
      <w:r w:rsidRPr="00D95BD5">
        <w:t>.</w:t>
      </w:r>
    </w:p>
    <w:p w14:paraId="58E610BC" w14:textId="77777777" w:rsidR="00E82276" w:rsidRPr="00466B1C" w:rsidRDefault="00E82276" w:rsidP="00D752A9">
      <w:pPr>
        <w:pStyle w:val="NORMAL12"/>
      </w:pPr>
      <w:r>
        <w:t xml:space="preserve">Las barras de unión serán corrugadas, de doce milímetros de diámetro (Φ12) y ochenta </w:t>
      </w:r>
      <w:r w:rsidR="00217216">
        <w:t>centímetros</w:t>
      </w:r>
      <w:r>
        <w:t xml:space="preserve"> (80cm) de acero B-500</w:t>
      </w:r>
    </w:p>
    <w:p w14:paraId="0D1CEECA" w14:textId="77777777" w:rsidR="00810099" w:rsidRPr="00466B1C" w:rsidRDefault="00810099" w:rsidP="00F04B51">
      <w:pPr>
        <w:pStyle w:val="TITU3"/>
        <w:numPr>
          <w:ilvl w:val="0"/>
          <w:numId w:val="0"/>
        </w:numPr>
      </w:pPr>
      <w:r w:rsidRPr="00466B1C">
        <w:t>550.2.7. Armaduras para pavimentos de hormigón armado continuo</w:t>
      </w:r>
    </w:p>
    <w:p w14:paraId="2A0183D7" w14:textId="77777777" w:rsidR="00466B1C" w:rsidRDefault="00466B1C" w:rsidP="00466B1C">
      <w:pPr>
        <w:pStyle w:val="NORMAL12"/>
      </w:pPr>
      <w:r w:rsidRPr="00CF14A5">
        <w:t>La armadura longitudinal está formada por barras de acero B500S de Ø 16 mm colocadas cada 11 cm. Transversalmente se disponen barras de acero B500 S de Ø 10 mm cada 70 cm formando un ángulo de 60º con el eje. Esta armadura se dispondrá sobre apoyos para situarla 7 cm por debajo de la rasante. La cuantía geométrica colocada es 0,73%</w:t>
      </w:r>
      <w:r w:rsidR="00EA559F" w:rsidRPr="00CF14A5">
        <w:t>.</w:t>
      </w:r>
      <w:r w:rsidRPr="00466B1C">
        <w:t xml:space="preserve"> </w:t>
      </w:r>
    </w:p>
    <w:p w14:paraId="172B9B63" w14:textId="77777777" w:rsidR="00A65977" w:rsidRPr="00466B1C" w:rsidRDefault="00A65977" w:rsidP="00466B1C">
      <w:pPr>
        <w:pStyle w:val="NORMAL12"/>
      </w:pPr>
      <w:r>
        <w:t xml:space="preserve">El acero empleado </w:t>
      </w:r>
      <w:r w:rsidR="00D93E76">
        <w:t>debe</w:t>
      </w:r>
      <w:r>
        <w:t xml:space="preserve"> cumplir las condiciones establecidas en la instrucción EHE</w:t>
      </w:r>
    </w:p>
    <w:p w14:paraId="7EF4D4FE" w14:textId="77777777" w:rsidR="00733A15" w:rsidRDefault="00733A15" w:rsidP="00F04B51">
      <w:pPr>
        <w:pStyle w:val="TITU3"/>
        <w:numPr>
          <w:ilvl w:val="0"/>
          <w:numId w:val="0"/>
        </w:numPr>
      </w:pPr>
      <w:r>
        <w:t>550.2.8. Membranas para curado del pavimento</w:t>
      </w:r>
    </w:p>
    <w:p w14:paraId="119BFEAD" w14:textId="77777777" w:rsidR="00733A15" w:rsidRDefault="00733A15" w:rsidP="00733A15">
      <w:pPr>
        <w:pStyle w:val="NORMAL12"/>
        <w:rPr>
          <w:lang w:val="es-ES"/>
        </w:rPr>
      </w:pPr>
      <w:r>
        <w:rPr>
          <w:lang w:val="es-ES"/>
        </w:rPr>
        <w:t xml:space="preserve">Sólo se emplearán con la autorización expresa del </w:t>
      </w:r>
      <w:proofErr w:type="gramStart"/>
      <w:r w:rsidR="00217216">
        <w:rPr>
          <w:lang w:val="es-ES"/>
        </w:rPr>
        <w:t>Director</w:t>
      </w:r>
      <w:proofErr w:type="gramEnd"/>
      <w:r>
        <w:rPr>
          <w:lang w:val="es-ES"/>
        </w:rPr>
        <w:t xml:space="preserve"> de obra.</w:t>
      </w:r>
    </w:p>
    <w:p w14:paraId="2885E3A1" w14:textId="77777777" w:rsidR="00733A15" w:rsidRDefault="00733A15" w:rsidP="00733A15">
      <w:pPr>
        <w:pStyle w:val="NORMAL12"/>
        <w:rPr>
          <w:lang w:val="es-ES"/>
        </w:rPr>
      </w:pPr>
      <w:r>
        <w:rPr>
          <w:lang w:val="es-ES"/>
        </w:rPr>
        <w:t xml:space="preserve">Las </w:t>
      </w:r>
      <w:r w:rsidR="00217216">
        <w:rPr>
          <w:lang w:val="es-ES"/>
        </w:rPr>
        <w:t>láminas</w:t>
      </w:r>
      <w:r>
        <w:rPr>
          <w:lang w:val="es-ES"/>
        </w:rPr>
        <w:t xml:space="preserve"> de plástico </w:t>
      </w:r>
      <w:r w:rsidR="00217216">
        <w:rPr>
          <w:lang w:val="es-ES"/>
        </w:rPr>
        <w:t>tendrán</w:t>
      </w:r>
      <w:r>
        <w:rPr>
          <w:lang w:val="es-ES"/>
        </w:rPr>
        <w:t xml:space="preserve"> un espesor igual o superior a diez décimas de milímetro (0,1mm).</w:t>
      </w:r>
    </w:p>
    <w:p w14:paraId="337A547B" w14:textId="77777777" w:rsidR="00733A15" w:rsidRPr="00733A15" w:rsidRDefault="00733A15" w:rsidP="00733A15">
      <w:pPr>
        <w:pStyle w:val="NORMAL12"/>
        <w:rPr>
          <w:lang w:val="es-ES"/>
        </w:rPr>
      </w:pPr>
      <w:r>
        <w:rPr>
          <w:lang w:val="es-ES"/>
        </w:rPr>
        <w:t>La resisten</w:t>
      </w:r>
      <w:r w:rsidR="00217216">
        <w:rPr>
          <w:lang w:val="es-ES"/>
        </w:rPr>
        <w:t>ci</w:t>
      </w:r>
      <w:r>
        <w:rPr>
          <w:lang w:val="es-ES"/>
        </w:rPr>
        <w:t xml:space="preserve">a a tracción en rotura deber ser superior a quince </w:t>
      </w:r>
      <w:proofErr w:type="spellStart"/>
      <w:r>
        <w:rPr>
          <w:lang w:val="es-ES"/>
        </w:rPr>
        <w:t>megapascales</w:t>
      </w:r>
      <w:proofErr w:type="spellEnd"/>
      <w:r>
        <w:rPr>
          <w:lang w:val="es-ES"/>
        </w:rPr>
        <w:t xml:space="preserve"> (&gt;15 </w:t>
      </w:r>
      <w:proofErr w:type="spellStart"/>
      <w:r>
        <w:rPr>
          <w:lang w:val="es-ES"/>
        </w:rPr>
        <w:t>Mpa</w:t>
      </w:r>
      <w:proofErr w:type="spellEnd"/>
      <w:r>
        <w:rPr>
          <w:lang w:val="es-ES"/>
        </w:rPr>
        <w:t xml:space="preserve">) y un alargamiento en rotura superior </w:t>
      </w:r>
      <w:proofErr w:type="gramStart"/>
      <w:r>
        <w:rPr>
          <w:lang w:val="es-ES"/>
        </w:rPr>
        <w:t>al doscientos cincuenta</w:t>
      </w:r>
      <w:proofErr w:type="gramEnd"/>
      <w:r>
        <w:rPr>
          <w:lang w:val="es-ES"/>
        </w:rPr>
        <w:t xml:space="preserve"> por ciento (&gt;250%)</w:t>
      </w:r>
    </w:p>
    <w:p w14:paraId="7707C6FA" w14:textId="77777777" w:rsidR="00733A15" w:rsidRDefault="00733A15" w:rsidP="00F04B51">
      <w:pPr>
        <w:pStyle w:val="TITU3"/>
        <w:numPr>
          <w:ilvl w:val="0"/>
          <w:numId w:val="0"/>
        </w:numPr>
      </w:pPr>
    </w:p>
    <w:p w14:paraId="00694BED" w14:textId="77777777" w:rsidR="00810099" w:rsidRPr="004A0385" w:rsidRDefault="00810099" w:rsidP="00F04B51">
      <w:pPr>
        <w:pStyle w:val="TITU3"/>
        <w:numPr>
          <w:ilvl w:val="0"/>
          <w:numId w:val="0"/>
        </w:numPr>
      </w:pPr>
      <w:r w:rsidRPr="004A0385">
        <w:t xml:space="preserve">550.2.9. Productos </w:t>
      </w:r>
      <w:proofErr w:type="spellStart"/>
      <w:r w:rsidRPr="004A0385">
        <w:t>filmógenos</w:t>
      </w:r>
      <w:proofErr w:type="spellEnd"/>
      <w:r w:rsidRPr="004A0385">
        <w:t xml:space="preserve"> de curado</w:t>
      </w:r>
    </w:p>
    <w:p w14:paraId="6292742D" w14:textId="77777777" w:rsidR="00810099" w:rsidRPr="004A0385" w:rsidRDefault="00810099" w:rsidP="00D752A9">
      <w:pPr>
        <w:pStyle w:val="NORMAL12"/>
      </w:pPr>
      <w:r w:rsidRPr="004A0385">
        <w:t xml:space="preserve">Las partidas de productos </w:t>
      </w:r>
      <w:proofErr w:type="spellStart"/>
      <w:r w:rsidRPr="004A0385">
        <w:t>filmógenos</w:t>
      </w:r>
      <w:proofErr w:type="spellEnd"/>
      <w:r w:rsidRPr="004A0385">
        <w:t xml:space="preserve"> de curado irán acompañadas de su </w:t>
      </w:r>
      <w:r w:rsidR="00DB2E7E" w:rsidRPr="004A0385">
        <w:t>correspondiente documentación y</w:t>
      </w:r>
      <w:r w:rsidRPr="004A0385">
        <w:t xml:space="preserve"> características</w:t>
      </w:r>
      <w:r w:rsidR="00DB2E7E" w:rsidRPr="004A0385">
        <w:t>, así</w:t>
      </w:r>
      <w:r w:rsidRPr="004A0385">
        <w:t xml:space="preserve"> como de las </w:t>
      </w:r>
      <w:r w:rsidR="00DB2E7E" w:rsidRPr="004A0385">
        <w:t>instrucciones de</w:t>
      </w:r>
      <w:r w:rsidRPr="004A0385">
        <w:t xml:space="preserve"> uso, dotación óptima y tiempo máximo de almacenamiento. Deberán proporcionar protección al hormigón durante un periodo de tiempo no inferior a la duración mínima del curado, estimada </w:t>
      </w:r>
      <w:r w:rsidR="002E3084">
        <w:t xml:space="preserve">en </w:t>
      </w:r>
      <w:proofErr w:type="gramStart"/>
      <w:r w:rsidR="002E3084">
        <w:t>tres  (</w:t>
      </w:r>
      <w:proofErr w:type="gramEnd"/>
      <w:r w:rsidR="002E3084">
        <w:t xml:space="preserve">3) días. </w:t>
      </w:r>
    </w:p>
    <w:p w14:paraId="277FBB37" w14:textId="77777777" w:rsidR="00810099" w:rsidRPr="00111B52" w:rsidRDefault="00DB2E7E" w:rsidP="00D752A9">
      <w:pPr>
        <w:pStyle w:val="NORMAL12"/>
      </w:pPr>
      <w:r w:rsidRPr="00111B52">
        <w:t>El índice</w:t>
      </w:r>
      <w:r w:rsidR="00810099" w:rsidRPr="00111B52">
        <w:t xml:space="preserve"> de eficacia en el curado, entendido </w:t>
      </w:r>
      <w:r w:rsidRPr="00111B52">
        <w:t>como el porcentaje de agua que el producto aplicado ha evitado que pierda</w:t>
      </w:r>
      <w:r w:rsidR="00810099" w:rsidRPr="00111B52">
        <w:t xml:space="preserve"> </w:t>
      </w:r>
      <w:r w:rsidRPr="00111B52">
        <w:t>el hormigón en un determinado tiempo</w:t>
      </w:r>
      <w:r w:rsidR="00810099" w:rsidRPr="00111B52">
        <w:t xml:space="preserve"> (norma UNE 83299</w:t>
      </w:r>
      <w:r w:rsidR="00F43FA8" w:rsidRPr="00111B52">
        <w:t>:2016</w:t>
      </w:r>
      <w:r w:rsidR="00810099" w:rsidRPr="00111B52">
        <w:t>), no será inf</w:t>
      </w:r>
      <w:r w:rsidRPr="00111B52">
        <w:t>erior al sesenta por ciento (</w:t>
      </w:r>
      <w:r w:rsidR="00810099" w:rsidRPr="00111B52">
        <w:t>60%) durante el periodo de curado.</w:t>
      </w:r>
    </w:p>
    <w:p w14:paraId="6A3DFF2D" w14:textId="77777777" w:rsidR="00810099" w:rsidRPr="004A0385" w:rsidRDefault="00810099" w:rsidP="00D752A9">
      <w:pPr>
        <w:pStyle w:val="NORMAL12"/>
      </w:pPr>
      <w:r w:rsidRPr="00111B52">
        <w:t xml:space="preserve">El producto </w:t>
      </w:r>
      <w:proofErr w:type="spellStart"/>
      <w:r w:rsidRPr="00111B52">
        <w:t>filmógeno</w:t>
      </w:r>
      <w:proofErr w:type="spellEnd"/>
      <w:r w:rsidRPr="00111B52">
        <w:t xml:space="preserve"> de curado no podrá almacenarse durante un periodo de tiempo superior a seis (</w:t>
      </w:r>
      <w:r w:rsidR="00DB2E7E" w:rsidRPr="00111B52">
        <w:t xml:space="preserve">6) meses, debiéndose comprobar que durante este tiempo </w:t>
      </w:r>
      <w:r w:rsidRPr="00111B52">
        <w:t>no ha sufrido deterioros, no se ha producido su sedimentación, no se han form</w:t>
      </w:r>
      <w:r w:rsidR="00DB2E7E" w:rsidRPr="00111B52">
        <w:t>ado costras en el recipiente, y</w:t>
      </w:r>
      <w:r w:rsidRPr="00111B52">
        <w:t xml:space="preserve"> </w:t>
      </w:r>
      <w:r w:rsidR="00DB2E7E" w:rsidRPr="00111B52">
        <w:t>mantiene su capacidad de adquirir una consistencia uniforme</w:t>
      </w:r>
      <w:r w:rsidRPr="00111B52">
        <w:t xml:space="preserve"> después de ser batido moderadamente o agitado con</w:t>
      </w:r>
      <w:r w:rsidRPr="004A0385">
        <w:t xml:space="preserve"> aire comprimido.</w:t>
      </w:r>
    </w:p>
    <w:p w14:paraId="67734526" w14:textId="77777777" w:rsidR="00810099" w:rsidRPr="004A0385" w:rsidRDefault="00810099" w:rsidP="00F04B51">
      <w:pPr>
        <w:pStyle w:val="TITU3"/>
        <w:numPr>
          <w:ilvl w:val="0"/>
          <w:numId w:val="0"/>
        </w:numPr>
      </w:pPr>
      <w:r w:rsidRPr="004A0385">
        <w:t>550.2.10. Materiales para juntas</w:t>
      </w:r>
    </w:p>
    <w:p w14:paraId="4C30C0E9" w14:textId="77777777" w:rsidR="00810099" w:rsidRPr="004A0385" w:rsidRDefault="00810099" w:rsidP="00D752A9">
      <w:pPr>
        <w:pStyle w:val="NORMAL12"/>
      </w:pPr>
      <w:r w:rsidRPr="004A0385">
        <w:t>Éste deberá ser un material compresible, con un espesor comprendido entre quince y veinte milímetros (15 a 20 mm), no perjudicial para el hormigón, que no absorba agua, y resistente a los álcalis y a los productos empleados en tratamientos de vialidad invernal.</w:t>
      </w:r>
    </w:p>
    <w:p w14:paraId="05657906" w14:textId="77777777" w:rsidR="00810099" w:rsidRPr="004A0385" w:rsidRDefault="008C69F8" w:rsidP="008C69F8">
      <w:pPr>
        <w:pStyle w:val="TITU4"/>
        <w:numPr>
          <w:ilvl w:val="0"/>
          <w:numId w:val="0"/>
        </w:numPr>
        <w:rPr>
          <w:i w:val="0"/>
          <w:u w:val="none"/>
        </w:rPr>
      </w:pPr>
      <w:r w:rsidRPr="004A0385">
        <w:rPr>
          <w:i w:val="0"/>
          <w:u w:val="none"/>
        </w:rPr>
        <w:t xml:space="preserve">Para las juntas longitudinales en fresco se emplearán tiras de </w:t>
      </w:r>
      <w:r w:rsidR="00810099" w:rsidRPr="004A0385">
        <w:rPr>
          <w:i w:val="0"/>
          <w:u w:val="none"/>
        </w:rPr>
        <w:t xml:space="preserve">plástico con un espesor </w:t>
      </w:r>
      <w:r w:rsidR="00DB2E7E" w:rsidRPr="004A0385">
        <w:rPr>
          <w:i w:val="0"/>
          <w:u w:val="none"/>
        </w:rPr>
        <w:t>mínimo de</w:t>
      </w:r>
      <w:r w:rsidR="00810099" w:rsidRPr="004A0385">
        <w:rPr>
          <w:i w:val="0"/>
          <w:u w:val="none"/>
        </w:rPr>
        <w:t xml:space="preserve"> treinta y cinco centésimas de milímetro (</w:t>
      </w:r>
      <w:r w:rsidR="00DB2E7E" w:rsidRPr="004A0385">
        <w:rPr>
          <w:i w:val="0"/>
          <w:u w:val="none"/>
        </w:rPr>
        <w:t>0,35 mm</w:t>
      </w:r>
      <w:r w:rsidR="00810099" w:rsidRPr="004A0385">
        <w:rPr>
          <w:i w:val="0"/>
          <w:u w:val="none"/>
        </w:rPr>
        <w:t xml:space="preserve">). </w:t>
      </w:r>
    </w:p>
    <w:p w14:paraId="20E08E82" w14:textId="77777777" w:rsidR="00810099" w:rsidRPr="004A0385" w:rsidRDefault="00810099" w:rsidP="00F04B51">
      <w:pPr>
        <w:pStyle w:val="TITU4"/>
        <w:numPr>
          <w:ilvl w:val="0"/>
          <w:numId w:val="0"/>
        </w:numPr>
      </w:pPr>
      <w:r w:rsidRPr="004A0385">
        <w:t>550.2.10.3. Materiales para el sellado de juntas</w:t>
      </w:r>
    </w:p>
    <w:p w14:paraId="61C7D4F6" w14:textId="77777777" w:rsidR="00810099" w:rsidRPr="006B5352" w:rsidRDefault="00DB2E7E" w:rsidP="00D752A9">
      <w:pPr>
        <w:pStyle w:val="NORMAL12"/>
      </w:pPr>
      <w:r w:rsidRPr="004A0385">
        <w:t xml:space="preserve">El </w:t>
      </w:r>
      <w:r w:rsidR="00810099" w:rsidRPr="004A0385">
        <w:t xml:space="preserve">material </w:t>
      </w:r>
      <w:r w:rsidR="00810099" w:rsidRPr="006B5352">
        <w:t xml:space="preserve">utilizado para sellado de juntas </w:t>
      </w:r>
      <w:r w:rsidR="004A0385" w:rsidRPr="006B5352">
        <w:t xml:space="preserve">será </w:t>
      </w:r>
      <w:r w:rsidR="00810099" w:rsidRPr="006B5352">
        <w:t>resistente a los agentes exteriores y capaz de asegurar la estanqueidad de las juntas, sin despegarse de los bordes de las losas.</w:t>
      </w:r>
    </w:p>
    <w:p w14:paraId="4A41C300" w14:textId="77777777" w:rsidR="004A0385" w:rsidRPr="006B5352" w:rsidRDefault="004A0385" w:rsidP="00D752A9">
      <w:pPr>
        <w:pStyle w:val="NORMAL12"/>
      </w:pPr>
      <w:r w:rsidRPr="006B5352">
        <w:t>Se emplearán productos de sellado en caliente tal y como se especifica en la norma UNE-EN 14188-1</w:t>
      </w:r>
      <w:r w:rsidR="00F43FA8" w:rsidRPr="006B5352">
        <w:t>:2005</w:t>
      </w:r>
    </w:p>
    <w:p w14:paraId="57E2A47A" w14:textId="77777777" w:rsidR="00810099" w:rsidRPr="006B5352" w:rsidRDefault="00810099" w:rsidP="00D752A9">
      <w:pPr>
        <w:pStyle w:val="NORMAL12"/>
      </w:pPr>
      <w:r w:rsidRPr="006B5352">
        <w:t>Los productos de imprimación que, en su caso, se utilicen, dispondrán también del correspondiente marcado CE y serán conformes con la norma UNE-EN 14188-4</w:t>
      </w:r>
      <w:r w:rsidR="00F43FA8" w:rsidRPr="006B5352">
        <w:t>:2010</w:t>
      </w:r>
      <w:r w:rsidRPr="006B5352">
        <w:t>.</w:t>
      </w:r>
    </w:p>
    <w:p w14:paraId="2CCCAF1E" w14:textId="77777777" w:rsidR="00810099" w:rsidRPr="006B5352" w:rsidRDefault="00810099" w:rsidP="00D752A9">
      <w:pPr>
        <w:pStyle w:val="NORMAL12"/>
      </w:pPr>
      <w:r w:rsidRPr="006B5352">
        <w:t xml:space="preserve">En el caso de emplearse juntas preformadas, éstas deberán ser de clase de dureza </w:t>
      </w:r>
      <w:r w:rsidR="00DB2E7E" w:rsidRPr="006B5352">
        <w:t>sesenta (</w:t>
      </w:r>
      <w:r w:rsidRPr="006B5352">
        <w:t>60</w:t>
      </w:r>
      <w:r w:rsidR="00DB2E7E" w:rsidRPr="006B5352">
        <w:t>) o</w:t>
      </w:r>
      <w:r w:rsidRPr="006B5352">
        <w:t xml:space="preserve"> </w:t>
      </w:r>
      <w:r w:rsidR="00DB2E7E" w:rsidRPr="006B5352">
        <w:t xml:space="preserve">superior (norma UNE-EN </w:t>
      </w:r>
      <w:r w:rsidRPr="006B5352">
        <w:t>14188-3</w:t>
      </w:r>
      <w:r w:rsidR="00F43FA8" w:rsidRPr="006B5352">
        <w:t>:2007</w:t>
      </w:r>
      <w:r w:rsidRPr="006B5352">
        <w:t>)</w:t>
      </w:r>
      <w:r w:rsidR="004A0385" w:rsidRPr="006B5352">
        <w:t>.</w:t>
      </w:r>
    </w:p>
    <w:p w14:paraId="4366E0B9" w14:textId="77777777" w:rsidR="00810099" w:rsidRPr="006B5352" w:rsidRDefault="00810099" w:rsidP="000313DD">
      <w:pPr>
        <w:pStyle w:val="TITU2"/>
      </w:pPr>
      <w:bookmarkStart w:id="619" w:name="_Toc404358"/>
      <w:r w:rsidRPr="006B5352">
        <w:t>550.3. Tipo y composición del hormigón</w:t>
      </w:r>
      <w:bookmarkEnd w:id="619"/>
    </w:p>
    <w:p w14:paraId="5CC7F657" w14:textId="77777777" w:rsidR="00810099" w:rsidRPr="006B5352" w:rsidRDefault="00AD556B" w:rsidP="00D752A9">
      <w:pPr>
        <w:pStyle w:val="NORMAL12"/>
      </w:pPr>
      <w:r w:rsidRPr="006B5352">
        <w:t xml:space="preserve">Se empleará hormigón cuya </w:t>
      </w:r>
      <w:r w:rsidR="00810099" w:rsidRPr="006B5352">
        <w:t xml:space="preserve">resistencia característica a </w:t>
      </w:r>
      <w:proofErr w:type="spellStart"/>
      <w:r w:rsidR="00810099" w:rsidRPr="006B5352">
        <w:t>flexotracción</w:t>
      </w:r>
      <w:proofErr w:type="spellEnd"/>
      <w:r w:rsidR="00810099" w:rsidRPr="006B5352">
        <w:t xml:space="preserve"> a veintiocho días (28d) se define como el valor de la resistencia asociado a un nivel de confianza del n</w:t>
      </w:r>
      <w:r w:rsidRPr="006B5352">
        <w:t>oventa y cinco por ciento (95%) sea:</w:t>
      </w:r>
    </w:p>
    <w:p w14:paraId="7E425F56" w14:textId="77777777" w:rsidR="00810099" w:rsidRPr="006B5352" w:rsidRDefault="00810099" w:rsidP="00D752A9">
      <w:pPr>
        <w:pStyle w:val="NORMAL12"/>
        <w:jc w:val="center"/>
        <w:rPr>
          <w:sz w:val="20"/>
          <w:szCs w:val="20"/>
          <w:lang w:val="es-ES"/>
        </w:rPr>
      </w:pPr>
      <w:r w:rsidRPr="006B5352">
        <w:rPr>
          <w:sz w:val="20"/>
          <w:szCs w:val="20"/>
          <w:lang w:val="es-ES"/>
        </w:rPr>
        <w:t xml:space="preserve">Tabla 550.3.- Resistencia característica mínima a </w:t>
      </w:r>
      <w:proofErr w:type="spellStart"/>
      <w:r w:rsidRPr="006B5352">
        <w:rPr>
          <w:sz w:val="20"/>
          <w:szCs w:val="20"/>
          <w:lang w:val="es-ES"/>
        </w:rPr>
        <w:t>flexotracción</w:t>
      </w:r>
      <w:proofErr w:type="spellEnd"/>
      <w:r w:rsidRPr="006B5352">
        <w:rPr>
          <w:sz w:val="20"/>
          <w:szCs w:val="20"/>
          <w:lang w:val="es-ES"/>
        </w:rPr>
        <w:t xml:space="preserve"> a 28 días</w:t>
      </w:r>
    </w:p>
    <w:tbl>
      <w:tblPr>
        <w:tblW w:w="8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705"/>
        <w:gridCol w:w="5272"/>
      </w:tblGrid>
      <w:tr w:rsidR="008C69F8" w:rsidRPr="006B5352" w14:paraId="7D837399" w14:textId="77777777" w:rsidTr="00DB2E7E">
        <w:trPr>
          <w:trHeight w:hRule="exact" w:val="377"/>
          <w:tblHeader/>
          <w:jc w:val="center"/>
        </w:trPr>
        <w:tc>
          <w:tcPr>
            <w:tcW w:w="3705" w:type="dxa"/>
            <w:shd w:val="clear" w:color="auto" w:fill="D9D9D9" w:themeFill="background1" w:themeFillShade="D9"/>
          </w:tcPr>
          <w:p w14:paraId="5350707C" w14:textId="77777777" w:rsidR="00810099" w:rsidRPr="006B5352" w:rsidRDefault="0000436B" w:rsidP="0000436B">
            <w:pPr>
              <w:spacing w:before="55"/>
              <w:ind w:left="858" w:right="-20"/>
              <w:rPr>
                <w:rFonts w:ascii="Arial" w:eastAsia="Arial" w:hAnsi="Arial" w:cs="Arial"/>
                <w:sz w:val="20"/>
                <w:szCs w:val="20"/>
              </w:rPr>
            </w:pPr>
            <w:r>
              <w:rPr>
                <w:rFonts w:ascii="Arial" w:eastAsia="Arial" w:hAnsi="Arial" w:cs="Arial"/>
                <w:b/>
                <w:bCs/>
                <w:sz w:val="20"/>
                <w:szCs w:val="20"/>
              </w:rPr>
              <w:t>Tipo de hormigón</w:t>
            </w:r>
          </w:p>
        </w:tc>
        <w:tc>
          <w:tcPr>
            <w:tcW w:w="5272" w:type="dxa"/>
            <w:shd w:val="clear" w:color="auto" w:fill="D9D9D9" w:themeFill="background1" w:themeFillShade="D9"/>
          </w:tcPr>
          <w:p w14:paraId="4FF823D5" w14:textId="77777777" w:rsidR="00810099" w:rsidRPr="006B5352" w:rsidRDefault="00810099" w:rsidP="0000436B">
            <w:pPr>
              <w:spacing w:before="55"/>
              <w:ind w:left="1525" w:right="-20"/>
              <w:rPr>
                <w:rFonts w:ascii="Arial" w:eastAsia="Arial" w:hAnsi="Arial" w:cs="Arial"/>
                <w:sz w:val="20"/>
                <w:szCs w:val="20"/>
              </w:rPr>
            </w:pPr>
            <w:r w:rsidRPr="006B5352">
              <w:rPr>
                <w:rFonts w:ascii="Arial" w:eastAsia="Arial" w:hAnsi="Arial" w:cs="Arial"/>
                <w:b/>
                <w:bCs/>
                <w:sz w:val="20"/>
                <w:szCs w:val="20"/>
              </w:rPr>
              <w:t>R</w:t>
            </w:r>
            <w:r w:rsidR="0000436B">
              <w:rPr>
                <w:rFonts w:ascii="Arial" w:eastAsia="Arial" w:hAnsi="Arial" w:cs="Arial"/>
                <w:b/>
                <w:bCs/>
                <w:sz w:val="20"/>
                <w:szCs w:val="20"/>
              </w:rPr>
              <w:t>esistencia</w:t>
            </w:r>
            <w:r w:rsidRPr="006B5352">
              <w:rPr>
                <w:rFonts w:ascii="Arial" w:eastAsia="Arial" w:hAnsi="Arial" w:cs="Arial"/>
                <w:b/>
                <w:bCs/>
                <w:sz w:val="20"/>
                <w:szCs w:val="20"/>
              </w:rPr>
              <w:t xml:space="preserve"> (MPa) (*)</w:t>
            </w:r>
          </w:p>
        </w:tc>
      </w:tr>
      <w:tr w:rsidR="008C69F8" w:rsidRPr="006B5352" w14:paraId="42BB56D0" w14:textId="77777777" w:rsidTr="00646678">
        <w:trPr>
          <w:trHeight w:hRule="exact" w:val="475"/>
          <w:jc w:val="center"/>
        </w:trPr>
        <w:tc>
          <w:tcPr>
            <w:tcW w:w="3705" w:type="dxa"/>
          </w:tcPr>
          <w:p w14:paraId="36F6B0E4" w14:textId="77777777" w:rsidR="00810099" w:rsidRPr="006B5352" w:rsidRDefault="00810099" w:rsidP="004D147E">
            <w:pPr>
              <w:spacing w:before="4" w:line="110" w:lineRule="exact"/>
              <w:rPr>
                <w:sz w:val="11"/>
                <w:szCs w:val="11"/>
              </w:rPr>
            </w:pPr>
          </w:p>
          <w:p w14:paraId="30ECDB7E" w14:textId="77777777" w:rsidR="00810099" w:rsidRPr="006B5352" w:rsidRDefault="00810099" w:rsidP="004D147E">
            <w:pPr>
              <w:ind w:left="1410" w:right="1568"/>
              <w:jc w:val="center"/>
              <w:rPr>
                <w:rFonts w:ascii="Arial" w:eastAsia="Arial" w:hAnsi="Arial" w:cs="Arial"/>
                <w:sz w:val="20"/>
                <w:szCs w:val="20"/>
              </w:rPr>
            </w:pPr>
            <w:r w:rsidRPr="006B5352">
              <w:rPr>
                <w:rFonts w:ascii="Arial" w:eastAsia="Arial" w:hAnsi="Arial" w:cs="Arial"/>
                <w:b/>
                <w:bCs/>
                <w:sz w:val="20"/>
                <w:szCs w:val="20"/>
              </w:rPr>
              <w:t>HF-4,5</w:t>
            </w:r>
          </w:p>
        </w:tc>
        <w:tc>
          <w:tcPr>
            <w:tcW w:w="5272" w:type="dxa"/>
          </w:tcPr>
          <w:p w14:paraId="09AD4140" w14:textId="77777777" w:rsidR="00810099" w:rsidRPr="006B5352" w:rsidRDefault="00810099" w:rsidP="004D147E">
            <w:pPr>
              <w:spacing w:before="3" w:line="110" w:lineRule="exact"/>
              <w:rPr>
                <w:sz w:val="11"/>
                <w:szCs w:val="11"/>
              </w:rPr>
            </w:pPr>
          </w:p>
          <w:p w14:paraId="56ACEADF" w14:textId="77777777" w:rsidR="00810099" w:rsidRPr="006B5352" w:rsidRDefault="00810099" w:rsidP="004D147E">
            <w:pPr>
              <w:ind w:left="2447" w:right="2428"/>
              <w:jc w:val="center"/>
              <w:rPr>
                <w:rFonts w:ascii="Arial" w:eastAsia="Arial" w:hAnsi="Arial" w:cs="Arial"/>
                <w:sz w:val="20"/>
                <w:szCs w:val="20"/>
              </w:rPr>
            </w:pPr>
            <w:r w:rsidRPr="006B5352">
              <w:rPr>
                <w:rFonts w:ascii="Arial" w:eastAsia="Arial" w:hAnsi="Arial" w:cs="Arial"/>
                <w:sz w:val="20"/>
                <w:szCs w:val="20"/>
              </w:rPr>
              <w:t>4,5</w:t>
            </w:r>
          </w:p>
        </w:tc>
      </w:tr>
    </w:tbl>
    <w:p w14:paraId="27FE2F53" w14:textId="77777777" w:rsidR="00810099" w:rsidRPr="006B5352" w:rsidRDefault="00810099" w:rsidP="00810099">
      <w:pPr>
        <w:spacing w:line="200" w:lineRule="exact"/>
        <w:rPr>
          <w:sz w:val="20"/>
          <w:szCs w:val="20"/>
        </w:rPr>
      </w:pPr>
    </w:p>
    <w:p w14:paraId="5D6A3ABF" w14:textId="77777777" w:rsidR="00AD556B" w:rsidRPr="006B5352" w:rsidRDefault="00AD556B" w:rsidP="00D752A9">
      <w:pPr>
        <w:pStyle w:val="NORMAL12"/>
      </w:pPr>
      <w:r w:rsidRPr="006B5352">
        <w:t>El hormigón debe cumplir:</w:t>
      </w:r>
    </w:p>
    <w:p w14:paraId="4F5CA90C" w14:textId="77777777" w:rsidR="00810099" w:rsidRPr="006B5352" w:rsidRDefault="00810099" w:rsidP="00221E1A">
      <w:pPr>
        <w:pStyle w:val="NORMAL12"/>
        <w:numPr>
          <w:ilvl w:val="0"/>
          <w:numId w:val="132"/>
        </w:numPr>
      </w:pPr>
      <w:r w:rsidRPr="006B5352">
        <w:t>La con</w:t>
      </w:r>
      <w:r w:rsidR="00DB2E7E" w:rsidRPr="006B5352">
        <w:t xml:space="preserve">sistencia del hormigón (norma </w:t>
      </w:r>
      <w:r w:rsidRPr="006B5352">
        <w:t>UNE-EN 12350-2</w:t>
      </w:r>
      <w:r w:rsidR="00F43FA8" w:rsidRPr="006B5352">
        <w:t>:2009</w:t>
      </w:r>
      <w:r w:rsidRPr="006B5352">
        <w:t xml:space="preserve">) tendrá un valor de asentamiento comprendido entre uno y </w:t>
      </w:r>
      <w:r w:rsidR="0058394A">
        <w:t>seis centímetros (1 a 6</w:t>
      </w:r>
      <w:r w:rsidRPr="006B5352">
        <w:t xml:space="preserve"> cm</w:t>
      </w:r>
      <w:r w:rsidR="00DB2E7E" w:rsidRPr="006B5352">
        <w:t xml:space="preserve">). </w:t>
      </w:r>
    </w:p>
    <w:p w14:paraId="30CE0E46" w14:textId="77777777" w:rsidR="00810099" w:rsidRPr="006B5352" w:rsidRDefault="00DB2E7E" w:rsidP="00221E1A">
      <w:pPr>
        <w:pStyle w:val="NORMAL12"/>
        <w:numPr>
          <w:ilvl w:val="0"/>
          <w:numId w:val="132"/>
        </w:numPr>
      </w:pPr>
      <w:r w:rsidRPr="006B5352">
        <w:t>La masa</w:t>
      </w:r>
      <w:r w:rsidR="00810099" w:rsidRPr="006B5352">
        <w:t xml:space="preserve"> un</w:t>
      </w:r>
      <w:r w:rsidRPr="006B5352">
        <w:t>itaria del total de partículas cernidas por el tamiz</w:t>
      </w:r>
      <w:r w:rsidR="00810099" w:rsidRPr="006B5352">
        <w:t xml:space="preserve"> </w:t>
      </w:r>
      <w:r w:rsidRPr="006B5352">
        <w:t>0,125 mm (</w:t>
      </w:r>
      <w:r w:rsidR="00810099" w:rsidRPr="006B5352">
        <w:t xml:space="preserve">norma UNE-EN 933-2) </w:t>
      </w:r>
      <w:r w:rsidRPr="006B5352">
        <w:t>incluyendo el</w:t>
      </w:r>
      <w:r w:rsidR="00810099" w:rsidRPr="006B5352">
        <w:t xml:space="preserve"> cemento</w:t>
      </w:r>
      <w:r w:rsidRPr="006B5352">
        <w:t>, no</w:t>
      </w:r>
      <w:r w:rsidR="00810099" w:rsidRPr="006B5352">
        <w:t xml:space="preserve"> será mayor de </w:t>
      </w:r>
      <w:r w:rsidRPr="006B5352">
        <w:t>cuatrocientos cincuenta</w:t>
      </w:r>
      <w:r w:rsidR="00810099" w:rsidRPr="006B5352">
        <w:t xml:space="preserve"> kilogramos por metro cúbico </w:t>
      </w:r>
      <w:r w:rsidRPr="006B5352">
        <w:t>(450</w:t>
      </w:r>
      <w:r w:rsidR="00810099" w:rsidRPr="006B5352">
        <w:t xml:space="preserve"> kg/m</w:t>
      </w:r>
      <w:r w:rsidR="00810099" w:rsidRPr="00733A15">
        <w:rPr>
          <w:vertAlign w:val="superscript"/>
        </w:rPr>
        <w:t>3</w:t>
      </w:r>
      <w:r w:rsidR="00810099" w:rsidRPr="006B5352">
        <w:t xml:space="preserve">). </w:t>
      </w:r>
    </w:p>
    <w:p w14:paraId="6C064FE5" w14:textId="77777777" w:rsidR="00810099" w:rsidRPr="006B5352" w:rsidRDefault="00D9251B" w:rsidP="00221E1A">
      <w:pPr>
        <w:pStyle w:val="NORMAL12"/>
        <w:numPr>
          <w:ilvl w:val="0"/>
          <w:numId w:val="132"/>
        </w:numPr>
      </w:pPr>
      <w:r>
        <w:rPr>
          <w:noProof/>
          <w:lang w:val="es-ES" w:eastAsia="es-ES"/>
        </w:rPr>
        <mc:AlternateContent>
          <mc:Choice Requires="wpg">
            <w:drawing>
              <wp:anchor distT="0" distB="0" distL="114300" distR="114300" simplePos="0" relativeHeight="251777024" behindDoc="1" locked="0" layoutInCell="1" allowOverlap="1" wp14:anchorId="6418532B" wp14:editId="143B7323">
                <wp:simplePos x="0" y="0"/>
                <wp:positionH relativeFrom="page">
                  <wp:posOffset>799465</wp:posOffset>
                </wp:positionH>
                <wp:positionV relativeFrom="paragraph">
                  <wp:posOffset>-624205</wp:posOffset>
                </wp:positionV>
                <wp:extent cx="1970405" cy="308610"/>
                <wp:effectExtent l="0" t="0" r="0" b="0"/>
                <wp:wrapNone/>
                <wp:docPr id="432" name="Grupo 4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70405" cy="308610"/>
                          <a:chOff x="1259" y="-983"/>
                          <a:chExt cx="3103" cy="486"/>
                        </a:xfrm>
                      </wpg:grpSpPr>
                      <wpg:grpSp>
                        <wpg:cNvPr id="433" name="Group 429"/>
                        <wpg:cNvGrpSpPr>
                          <a:grpSpLocks/>
                        </wpg:cNvGrpSpPr>
                        <wpg:grpSpPr bwMode="auto">
                          <a:xfrm>
                            <a:off x="1269" y="-973"/>
                            <a:ext cx="3083" cy="466"/>
                            <a:chOff x="1269" y="-973"/>
                            <a:chExt cx="3083" cy="466"/>
                          </a:xfrm>
                        </wpg:grpSpPr>
                        <wps:wsp>
                          <wps:cNvPr id="434" name="Freeform 430"/>
                          <wps:cNvSpPr>
                            <a:spLocks/>
                          </wps:cNvSpPr>
                          <wps:spPr bwMode="auto">
                            <a:xfrm>
                              <a:off x="1269" y="-973"/>
                              <a:ext cx="3083" cy="466"/>
                            </a:xfrm>
                            <a:custGeom>
                              <a:avLst/>
                              <a:gdLst>
                                <a:gd name="T0" fmla="+- 0 1362 1269"/>
                                <a:gd name="T1" fmla="*/ T0 w 3083"/>
                                <a:gd name="T2" fmla="+- 0 -973 -973"/>
                                <a:gd name="T3" fmla="*/ -973 h 466"/>
                                <a:gd name="T4" fmla="+- 0 1269 1269"/>
                                <a:gd name="T5" fmla="*/ T4 w 3083"/>
                                <a:gd name="T6" fmla="+- 0 -973 -973"/>
                                <a:gd name="T7" fmla="*/ -973 h 466"/>
                                <a:gd name="T8" fmla="+- 0 1269 1269"/>
                                <a:gd name="T9" fmla="*/ T8 w 3083"/>
                                <a:gd name="T10" fmla="+- 0 -508 -973"/>
                                <a:gd name="T11" fmla="*/ -508 h 466"/>
                                <a:gd name="T12" fmla="+- 0 4352 1269"/>
                                <a:gd name="T13" fmla="*/ T12 w 3083"/>
                                <a:gd name="T14" fmla="+- 0 -508 -973"/>
                                <a:gd name="T15" fmla="*/ -508 h 466"/>
                                <a:gd name="T16" fmla="+- 0 4352 1269"/>
                                <a:gd name="T17" fmla="*/ T16 w 3083"/>
                                <a:gd name="T18" fmla="+- 0 -509 -973"/>
                                <a:gd name="T19" fmla="*/ -509 h 466"/>
                                <a:gd name="T20" fmla="+- 0 1362 1269"/>
                                <a:gd name="T21" fmla="*/ T20 w 3083"/>
                                <a:gd name="T22" fmla="+- 0 -509 -973"/>
                                <a:gd name="T23" fmla="*/ -509 h 466"/>
                                <a:gd name="T24" fmla="+- 0 1362 1269"/>
                                <a:gd name="T25" fmla="*/ T24 w 3083"/>
                                <a:gd name="T26" fmla="+- 0 -973 -973"/>
                                <a:gd name="T27" fmla="*/ -973 h 466"/>
                              </a:gdLst>
                              <a:ahLst/>
                              <a:cxnLst>
                                <a:cxn ang="0">
                                  <a:pos x="T1" y="T3"/>
                                </a:cxn>
                                <a:cxn ang="0">
                                  <a:pos x="T5" y="T7"/>
                                </a:cxn>
                                <a:cxn ang="0">
                                  <a:pos x="T9" y="T11"/>
                                </a:cxn>
                                <a:cxn ang="0">
                                  <a:pos x="T13" y="T15"/>
                                </a:cxn>
                                <a:cxn ang="0">
                                  <a:pos x="T17" y="T19"/>
                                </a:cxn>
                                <a:cxn ang="0">
                                  <a:pos x="T21" y="T23"/>
                                </a:cxn>
                                <a:cxn ang="0">
                                  <a:pos x="T25" y="T27"/>
                                </a:cxn>
                              </a:cxnLst>
                              <a:rect l="0" t="0" r="r" b="b"/>
                              <a:pathLst>
                                <a:path w="3083" h="466">
                                  <a:moveTo>
                                    <a:pt x="93" y="0"/>
                                  </a:moveTo>
                                  <a:lnTo>
                                    <a:pt x="0" y="0"/>
                                  </a:lnTo>
                                  <a:lnTo>
                                    <a:pt x="0" y="465"/>
                                  </a:lnTo>
                                  <a:lnTo>
                                    <a:pt x="3083" y="465"/>
                                  </a:lnTo>
                                  <a:lnTo>
                                    <a:pt x="3083" y="464"/>
                                  </a:lnTo>
                                  <a:lnTo>
                                    <a:pt x="93" y="464"/>
                                  </a:lnTo>
                                  <a:lnTo>
                                    <a:pt x="9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35" name="Group 431"/>
                        <wpg:cNvGrpSpPr>
                          <a:grpSpLocks/>
                        </wpg:cNvGrpSpPr>
                        <wpg:grpSpPr bwMode="auto">
                          <a:xfrm>
                            <a:off x="4259" y="-973"/>
                            <a:ext cx="93" cy="464"/>
                            <a:chOff x="4259" y="-973"/>
                            <a:chExt cx="93" cy="464"/>
                          </a:xfrm>
                        </wpg:grpSpPr>
                        <wps:wsp>
                          <wps:cNvPr id="436" name="Freeform 432"/>
                          <wps:cNvSpPr>
                            <a:spLocks/>
                          </wps:cNvSpPr>
                          <wps:spPr bwMode="auto">
                            <a:xfrm>
                              <a:off x="4259" y="-973"/>
                              <a:ext cx="93" cy="464"/>
                            </a:xfrm>
                            <a:custGeom>
                              <a:avLst/>
                              <a:gdLst>
                                <a:gd name="T0" fmla="+- 0 4352 4259"/>
                                <a:gd name="T1" fmla="*/ T0 w 93"/>
                                <a:gd name="T2" fmla="+- 0 -973 -973"/>
                                <a:gd name="T3" fmla="*/ -973 h 464"/>
                                <a:gd name="T4" fmla="+- 0 4259 4259"/>
                                <a:gd name="T5" fmla="*/ T4 w 93"/>
                                <a:gd name="T6" fmla="+- 0 -973 -973"/>
                                <a:gd name="T7" fmla="*/ -973 h 464"/>
                                <a:gd name="T8" fmla="+- 0 4259 4259"/>
                                <a:gd name="T9" fmla="*/ T8 w 93"/>
                                <a:gd name="T10" fmla="+- 0 -509 -973"/>
                                <a:gd name="T11" fmla="*/ -509 h 464"/>
                                <a:gd name="T12" fmla="+- 0 4352 4259"/>
                                <a:gd name="T13" fmla="*/ T12 w 93"/>
                                <a:gd name="T14" fmla="+- 0 -509 -973"/>
                                <a:gd name="T15" fmla="*/ -509 h 464"/>
                                <a:gd name="T16" fmla="+- 0 4352 4259"/>
                                <a:gd name="T17" fmla="*/ T16 w 93"/>
                                <a:gd name="T18" fmla="+- 0 -973 -973"/>
                                <a:gd name="T19" fmla="*/ -973 h 464"/>
                              </a:gdLst>
                              <a:ahLst/>
                              <a:cxnLst>
                                <a:cxn ang="0">
                                  <a:pos x="T1" y="T3"/>
                                </a:cxn>
                                <a:cxn ang="0">
                                  <a:pos x="T5" y="T7"/>
                                </a:cxn>
                                <a:cxn ang="0">
                                  <a:pos x="T9" y="T11"/>
                                </a:cxn>
                                <a:cxn ang="0">
                                  <a:pos x="T13" y="T15"/>
                                </a:cxn>
                                <a:cxn ang="0">
                                  <a:pos x="T17" y="T19"/>
                                </a:cxn>
                              </a:cxnLst>
                              <a:rect l="0" t="0" r="r" b="b"/>
                              <a:pathLst>
                                <a:path w="93" h="464">
                                  <a:moveTo>
                                    <a:pt x="93" y="0"/>
                                  </a:moveTo>
                                  <a:lnTo>
                                    <a:pt x="0" y="0"/>
                                  </a:lnTo>
                                  <a:lnTo>
                                    <a:pt x="0" y="464"/>
                                  </a:lnTo>
                                  <a:lnTo>
                                    <a:pt x="93" y="464"/>
                                  </a:lnTo>
                                  <a:lnTo>
                                    <a:pt x="93"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7D4CDE8" id="Grupo 432" o:spid="_x0000_s1026" style="position:absolute;margin-left:62.95pt;margin-top:-49.15pt;width:155.15pt;height:24.3pt;z-index:-251539456;mso-position-horizontal-relative:page" coordorigin="1259,-983" coordsize="3103,4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">
                <v:group id="Group 429" o:spid="_x0000_s1027" style="position:absolute;left:1269;top:-973;width:3083;height:466" coordorigin="1269,-973" coordsize="3083,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shape id="Freeform 430" o:spid="_x0000_s1028" style="position:absolute;left:1269;top:-973;width:3083;height:466;visibility:visible;mso-wrap-style:square;v-text-anchor:top" coordsize="3083,4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" path="m93,l,,,465r3083,l3083,464,93,464,93,e" stroked="f">
                    <v:path arrowok="t" o:connecttype="custom" o:connectlocs="93,-973;0,-973;0,-508;3083,-508;3083,-509;93,-509;93,-973" o:connectangles="0,0,0,0,0,0,0"/>
                  </v:shape>
                </v:group>
                <v:group id="Group 431" o:spid="_x0000_s1029" style="position:absolute;left:4259;top:-973;width:93;height:464" coordorigin="4259,-973" coordsize="9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D9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">
                  <v:shape id="Freeform 432" o:spid="_x0000_s1030" style="position:absolute;left:4259;top:-973;width:93;height:464;visibility:visible;mso-wrap-style:square;v-text-anchor:top" coordsize="93,4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" path="m93,l,,,464r93,l93,e" stroked="f">
                    <v:path arrowok="t" o:connecttype="custom" o:connectlocs="93,-973;0,-973;0,-509;93,-509;93,-973" o:connectangles="0,0,0,0,0"/>
                  </v:shape>
                </v:group>
                <w10:wrap anchorx="page"/>
              </v:group>
            </w:pict>
          </mc:Fallback>
        </mc:AlternateContent>
      </w:r>
      <w:r w:rsidR="00810099" w:rsidRPr="006B5352">
        <w:t xml:space="preserve">La dosificación de cemento no será inferior a trescientos </w:t>
      </w:r>
      <w:r w:rsidR="00DB2E7E" w:rsidRPr="006B5352">
        <w:t>kilogramos por metro cúbico (3</w:t>
      </w:r>
      <w:r w:rsidR="0058394A">
        <w:t>0</w:t>
      </w:r>
      <w:r w:rsidR="00AD556B" w:rsidRPr="006B5352">
        <w:t>0</w:t>
      </w:r>
      <w:r w:rsidR="00DB2E7E" w:rsidRPr="006B5352">
        <w:t xml:space="preserve"> </w:t>
      </w:r>
      <w:r w:rsidR="00810099" w:rsidRPr="006B5352">
        <w:t>kg/m</w:t>
      </w:r>
      <w:r w:rsidR="00810099" w:rsidRPr="006B5352">
        <w:rPr>
          <w:vertAlign w:val="superscript"/>
        </w:rPr>
        <w:t>3</w:t>
      </w:r>
      <w:r w:rsidR="00DB2E7E" w:rsidRPr="006B5352">
        <w:t>) de hormigón fresco y la relación ponderal agua</w:t>
      </w:r>
      <w:r w:rsidR="00810099" w:rsidRPr="006B5352">
        <w:t>/</w:t>
      </w:r>
      <w:r w:rsidR="00DB2E7E" w:rsidRPr="006B5352">
        <w:t>cemento no será</w:t>
      </w:r>
      <w:r w:rsidR="00810099" w:rsidRPr="006B5352">
        <w:t xml:space="preserve"> superior a cuarenta y seis centésimas (a/c </w:t>
      </w:r>
      <w:r w:rsidR="000B181E" w:rsidRPr="006B5352">
        <w:t xml:space="preserve">&lt; </w:t>
      </w:r>
      <w:r w:rsidR="00810099" w:rsidRPr="006B5352">
        <w:t xml:space="preserve">0,46). </w:t>
      </w:r>
    </w:p>
    <w:p w14:paraId="4933F46F" w14:textId="77777777" w:rsidR="00810099" w:rsidRPr="006B5352" w:rsidRDefault="00DB2E7E" w:rsidP="00221E1A">
      <w:pPr>
        <w:pStyle w:val="NORMAL12"/>
        <w:numPr>
          <w:ilvl w:val="0"/>
          <w:numId w:val="132"/>
        </w:numPr>
      </w:pPr>
      <w:r w:rsidRPr="006B5352">
        <w:t>La proporción</w:t>
      </w:r>
      <w:r w:rsidR="00810099" w:rsidRPr="006B5352">
        <w:t xml:space="preserve"> de </w:t>
      </w:r>
      <w:r w:rsidRPr="006B5352">
        <w:t>aire ocluido</w:t>
      </w:r>
      <w:r w:rsidR="00810099" w:rsidRPr="006B5352">
        <w:t xml:space="preserve"> </w:t>
      </w:r>
      <w:r w:rsidRPr="006B5352">
        <w:t>en el hormigón fresco vertido en obra (</w:t>
      </w:r>
      <w:r w:rsidR="00810099" w:rsidRPr="006B5352">
        <w:t>norma UNE-EN 12350-7</w:t>
      </w:r>
      <w:r w:rsidR="00F43FA8" w:rsidRPr="006B5352">
        <w:t>:2010</w:t>
      </w:r>
      <w:r w:rsidR="00810099" w:rsidRPr="006B5352">
        <w:t xml:space="preserve">) no será superior al seis por ciento </w:t>
      </w:r>
      <w:r w:rsidR="0072225E" w:rsidRPr="006B5352">
        <w:t>(6</w:t>
      </w:r>
      <w:r w:rsidR="00810099" w:rsidRPr="006B5352">
        <w:t xml:space="preserve">%) en volumen. En zonas sometidas a nevadas o heladas será obligatoria la utilización de un incluso de aire. En este caso, la proporción de aire ocluido en el hormigón fresco no será inferior al cuatro y medio por ciento </w:t>
      </w:r>
      <w:r w:rsidR="0072225E" w:rsidRPr="006B5352">
        <w:t>(4,5</w:t>
      </w:r>
      <w:r w:rsidR="00810099" w:rsidRPr="006B5352">
        <w:t>%) en volumen.</w:t>
      </w:r>
    </w:p>
    <w:p w14:paraId="6935240F" w14:textId="77777777" w:rsidR="00810099" w:rsidRPr="006B5352" w:rsidRDefault="00810099" w:rsidP="000313DD">
      <w:pPr>
        <w:pStyle w:val="TITU2"/>
      </w:pPr>
      <w:bookmarkStart w:id="620" w:name="_Toc404359"/>
      <w:r w:rsidRPr="006B5352">
        <w:t>550.4. Equipo necesario para la ejecución de las obras</w:t>
      </w:r>
      <w:bookmarkEnd w:id="620"/>
    </w:p>
    <w:p w14:paraId="36B53635" w14:textId="77777777" w:rsidR="00810099" w:rsidRPr="006B5352" w:rsidRDefault="00810099" w:rsidP="00D752A9">
      <w:pPr>
        <w:pStyle w:val="NORMAL12"/>
      </w:pPr>
      <w:r w:rsidRPr="006B5352">
        <w:t xml:space="preserve">No se podrá utilizar en la ejecución de un pavimento de hormigón ningún equipo que no haya sido previamente empleado en el tramo de prueba y aprobado por el </w:t>
      </w:r>
      <w:proofErr w:type="gramStart"/>
      <w:r w:rsidRPr="006B5352">
        <w:t>Director</w:t>
      </w:r>
      <w:proofErr w:type="gramEnd"/>
      <w:r w:rsidRPr="006B5352">
        <w:t xml:space="preserve"> de las Obras.</w:t>
      </w:r>
    </w:p>
    <w:p w14:paraId="60ED522A" w14:textId="77777777" w:rsidR="0058394A" w:rsidRDefault="0058394A" w:rsidP="00D752A9">
      <w:pPr>
        <w:pStyle w:val="NORMAL12"/>
      </w:pPr>
    </w:p>
    <w:p w14:paraId="0B75F6F8" w14:textId="77777777" w:rsidR="0058394A" w:rsidRDefault="0058394A" w:rsidP="00D752A9">
      <w:pPr>
        <w:pStyle w:val="NORMAL12"/>
      </w:pPr>
      <w:r>
        <w:lastRenderedPageBreak/>
        <w:t>En la central de fabricación se dispondrá de un acopio mínimo correspondiente al consumo de una jornada y media a rendimiento normal.</w:t>
      </w:r>
    </w:p>
    <w:p w14:paraId="4790362D" w14:textId="77777777" w:rsidR="0058394A" w:rsidRDefault="0058394A" w:rsidP="0058394A">
      <w:pPr>
        <w:pStyle w:val="NORMAL12"/>
      </w:pPr>
      <w:r>
        <w:t xml:space="preserve">La central de fabricación estará dotada de un dosificador de agua </w:t>
      </w:r>
      <w:proofErr w:type="spellStart"/>
      <w:r>
        <w:t>computerizado</w:t>
      </w:r>
      <w:proofErr w:type="spellEnd"/>
      <w:r>
        <w:t xml:space="preserve"> con medición integrada de la humedad de los áridos y de un sistema de registro de visualización de la potencia absorbida por los motores de accionamiento de las amasadoras, y en su caso, de las pesadas en los áridos, cementos, agua y eventuales aditivos. </w:t>
      </w:r>
    </w:p>
    <w:p w14:paraId="027B2B07" w14:textId="77777777" w:rsidR="00810099" w:rsidRPr="006B5352" w:rsidRDefault="00810099" w:rsidP="00D752A9">
      <w:pPr>
        <w:pStyle w:val="NORMAL12"/>
      </w:pPr>
      <w:r w:rsidRPr="006B5352">
        <w:t>El equipo de transporte deberá ser capaz de suministrar el h</w:t>
      </w:r>
      <w:r w:rsidR="0053473D" w:rsidRPr="006B5352">
        <w:t>ormigón a la zona del extendido de forma continua y uniforme sin</w:t>
      </w:r>
      <w:r w:rsidRPr="006B5352">
        <w:t xml:space="preserve"> </w:t>
      </w:r>
      <w:r w:rsidR="0053473D" w:rsidRPr="006B5352">
        <w:t>que la alimentación del equipo de</w:t>
      </w:r>
      <w:r w:rsidRPr="006B5352">
        <w:t xml:space="preserve"> extensión se interrumpa o sea necesario modificar su velocidad de avance.</w:t>
      </w:r>
    </w:p>
    <w:p w14:paraId="4A2E5461" w14:textId="77777777" w:rsidR="00A65977" w:rsidRDefault="00A65977" w:rsidP="00AD556B">
      <w:pPr>
        <w:pStyle w:val="NORMAL12"/>
      </w:pPr>
      <w:r>
        <w:t xml:space="preserve">Sólo está permitido el uso de </w:t>
      </w:r>
      <w:r w:rsidR="00D93E76">
        <w:t>extendedora</w:t>
      </w:r>
      <w:r>
        <w:t xml:space="preserve">. </w:t>
      </w:r>
    </w:p>
    <w:p w14:paraId="6E67E6DA" w14:textId="77777777" w:rsidR="00810099" w:rsidRPr="008C69F8" w:rsidRDefault="00810099" w:rsidP="000313DD">
      <w:pPr>
        <w:pStyle w:val="TITU2"/>
      </w:pPr>
      <w:bookmarkStart w:id="621" w:name="_Toc404360"/>
      <w:r w:rsidRPr="008C69F8">
        <w:t>550.5. Ejecución</w:t>
      </w:r>
      <w:r w:rsidR="002C7DBC" w:rsidRPr="008C69F8">
        <w:t xml:space="preserve"> de las obras</w:t>
      </w:r>
      <w:bookmarkEnd w:id="621"/>
    </w:p>
    <w:p w14:paraId="23103355" w14:textId="77777777" w:rsidR="00810099" w:rsidRPr="008C69F8" w:rsidRDefault="00810099" w:rsidP="00F04B51">
      <w:pPr>
        <w:pStyle w:val="TITU3"/>
        <w:numPr>
          <w:ilvl w:val="0"/>
          <w:numId w:val="0"/>
        </w:numPr>
      </w:pPr>
      <w:r w:rsidRPr="008C69F8">
        <w:t>550.5.1. Estudio y obtención de la fórmula de trabajo</w:t>
      </w:r>
    </w:p>
    <w:p w14:paraId="3F8DFA5A" w14:textId="77777777" w:rsidR="00810099" w:rsidRPr="008C69F8" w:rsidRDefault="00810099" w:rsidP="00D752A9">
      <w:pPr>
        <w:pStyle w:val="NORMAL12"/>
      </w:pPr>
      <w:r w:rsidRPr="008C69F8">
        <w:t xml:space="preserve">La producción del hormigón no se podrá iniciar en tanto que el </w:t>
      </w:r>
      <w:proofErr w:type="gramStart"/>
      <w:r w:rsidRPr="008C69F8">
        <w:t>Director</w:t>
      </w:r>
      <w:proofErr w:type="gramEnd"/>
      <w:r w:rsidRPr="008C69F8">
        <w:t xml:space="preserve"> de las Obras no haya aprobado la correspondiente fórmula de trabajo, estudiada en laboratorio y verificada en la central de fabricación y en el tramo de prueba, la cual deberá señalar, como mínimo:</w:t>
      </w:r>
    </w:p>
    <w:p w14:paraId="44CA2A8F" w14:textId="77777777" w:rsidR="00810099" w:rsidRPr="008C69F8" w:rsidRDefault="00810099" w:rsidP="006D4837">
      <w:pPr>
        <w:pStyle w:val="NORMAL12"/>
        <w:numPr>
          <w:ilvl w:val="0"/>
          <w:numId w:val="34"/>
        </w:numPr>
      </w:pPr>
      <w:r w:rsidRPr="008C69F8">
        <w:t>La identificación de cada fracción de árido y su proporción ponderal en seco por metro cúbico (m</w:t>
      </w:r>
      <w:r w:rsidRPr="008C69F8">
        <w:rPr>
          <w:vertAlign w:val="superscript"/>
        </w:rPr>
        <w:t>3</w:t>
      </w:r>
      <w:r w:rsidRPr="008C69F8">
        <w:t>).</w:t>
      </w:r>
    </w:p>
    <w:p w14:paraId="1ACF7DF4" w14:textId="77777777" w:rsidR="00810099" w:rsidRPr="006B5352" w:rsidRDefault="0053473D" w:rsidP="00E01981">
      <w:pPr>
        <w:pStyle w:val="NORMAL12"/>
        <w:numPr>
          <w:ilvl w:val="0"/>
          <w:numId w:val="37"/>
        </w:numPr>
      </w:pPr>
      <w:r w:rsidRPr="008C69F8">
        <w:t xml:space="preserve">La </w:t>
      </w:r>
      <w:r w:rsidRPr="006B5352">
        <w:t>granulometría de los áridos combinados</w:t>
      </w:r>
      <w:r w:rsidR="00810099" w:rsidRPr="006B5352">
        <w:t xml:space="preserve"> por los tamices 40 mm; 32 mm;</w:t>
      </w:r>
      <w:r w:rsidR="000B181E" w:rsidRPr="006B5352">
        <w:t xml:space="preserve"> </w:t>
      </w:r>
      <w:r w:rsidRPr="006B5352">
        <w:t xml:space="preserve">20 mm; 12,5 mm; 8 mm; 4 mm; 2 mm; 1 mm; </w:t>
      </w:r>
      <w:r w:rsidR="00810099" w:rsidRPr="006B5352">
        <w:t xml:space="preserve">0,500 mm; </w:t>
      </w:r>
      <w:r w:rsidRPr="006B5352">
        <w:t xml:space="preserve">0,250 </w:t>
      </w:r>
      <w:r w:rsidR="00810099" w:rsidRPr="006B5352">
        <w:t>mm;</w:t>
      </w:r>
      <w:r w:rsidR="00D752A9" w:rsidRPr="006B5352">
        <w:t xml:space="preserve"> </w:t>
      </w:r>
      <w:r w:rsidR="00810099" w:rsidRPr="006B5352">
        <w:t>0,125 mm y 0,063 mm de la norma UNE-EN 933-2</w:t>
      </w:r>
      <w:r w:rsidR="00B42817" w:rsidRPr="006B5352">
        <w:t>:2012</w:t>
      </w:r>
      <w:r w:rsidR="00810099" w:rsidRPr="006B5352">
        <w:t>.</w:t>
      </w:r>
    </w:p>
    <w:p w14:paraId="251FB07D" w14:textId="77777777" w:rsidR="00810099" w:rsidRPr="008C69F8" w:rsidRDefault="00810099" w:rsidP="00E01981">
      <w:pPr>
        <w:pStyle w:val="NORMAL12"/>
        <w:numPr>
          <w:ilvl w:val="0"/>
          <w:numId w:val="37"/>
        </w:numPr>
      </w:pPr>
      <w:r w:rsidRPr="006B5352">
        <w:t>La dosificación de cemento, la de agua y, eventualmente</w:t>
      </w:r>
      <w:r w:rsidR="0053473D" w:rsidRPr="006B5352">
        <w:t>, la</w:t>
      </w:r>
      <w:r w:rsidRPr="006B5352">
        <w:t xml:space="preserve"> de cada aditivo, referidas a la amasada (en masa o en volumen</w:t>
      </w:r>
      <w:r w:rsidRPr="008C69F8">
        <w:t>, según corresponda).</w:t>
      </w:r>
    </w:p>
    <w:p w14:paraId="4BC283C0" w14:textId="77777777" w:rsidR="00810099" w:rsidRPr="008C69F8" w:rsidRDefault="0053473D" w:rsidP="00E01981">
      <w:pPr>
        <w:pStyle w:val="NORMAL12"/>
        <w:numPr>
          <w:ilvl w:val="0"/>
          <w:numId w:val="37"/>
        </w:numPr>
      </w:pPr>
      <w:r w:rsidRPr="008C69F8">
        <w:t>La resistencia característica a</w:t>
      </w:r>
      <w:r w:rsidR="00810099" w:rsidRPr="008C69F8">
        <w:t xml:space="preserve"> </w:t>
      </w:r>
      <w:proofErr w:type="spellStart"/>
      <w:r w:rsidRPr="008C69F8">
        <w:t>flexotracción</w:t>
      </w:r>
      <w:proofErr w:type="spellEnd"/>
      <w:r w:rsidRPr="008C69F8">
        <w:t xml:space="preserve"> a</w:t>
      </w:r>
      <w:r w:rsidR="00810099" w:rsidRPr="008C69F8">
        <w:t xml:space="preserve"> </w:t>
      </w:r>
      <w:r w:rsidRPr="008C69F8">
        <w:t>siete y</w:t>
      </w:r>
      <w:r w:rsidR="00810099" w:rsidRPr="008C69F8">
        <w:t xml:space="preserve"> </w:t>
      </w:r>
      <w:r w:rsidRPr="008C69F8">
        <w:t>veintiocho días (7 y</w:t>
      </w:r>
      <w:r w:rsidR="00D752A9" w:rsidRPr="008C69F8">
        <w:t xml:space="preserve"> </w:t>
      </w:r>
      <w:r w:rsidR="00810099" w:rsidRPr="008C69F8">
        <w:t>28 d).</w:t>
      </w:r>
    </w:p>
    <w:p w14:paraId="00453C83" w14:textId="77777777" w:rsidR="00810099" w:rsidRPr="008C69F8" w:rsidRDefault="00810099" w:rsidP="00E01981">
      <w:pPr>
        <w:pStyle w:val="NORMAL12"/>
        <w:numPr>
          <w:ilvl w:val="0"/>
          <w:numId w:val="37"/>
        </w:numPr>
      </w:pPr>
      <w:r w:rsidRPr="008C69F8">
        <w:t>La consistencia del hormigón fresco y el contenido de aire ocluido.</w:t>
      </w:r>
    </w:p>
    <w:p w14:paraId="7B2F264F" w14:textId="77777777" w:rsidR="00810099" w:rsidRPr="008C69F8" w:rsidRDefault="00194B9D" w:rsidP="00D752A9">
      <w:pPr>
        <w:pStyle w:val="NORMAL12"/>
      </w:pPr>
      <w:r w:rsidRPr="008C69F8">
        <w:t xml:space="preserve">La superficie de apoyo debe cumplir las condiciones establecidas para la unidad con la que se ejecuta. En caso contrario se aplicarán las medidas </w:t>
      </w:r>
      <w:r w:rsidR="00810099" w:rsidRPr="008C69F8">
        <w:t>necesarias para obtener dicha regularidad superficial y, en su caso, como subsanar las deficiencias.</w:t>
      </w:r>
    </w:p>
    <w:p w14:paraId="5ADD91CC" w14:textId="77777777" w:rsidR="00810099" w:rsidRPr="008C69F8" w:rsidRDefault="00810099" w:rsidP="00D752A9">
      <w:pPr>
        <w:pStyle w:val="NORMAL12"/>
      </w:pPr>
      <w:r w:rsidRPr="008C69F8">
        <w:t>Si la superficie de apoyo fuera de hormigón magro, antes de la puesta en obra del hormigón se colocará una lámina de material plástico como separación entre ambas capas</w:t>
      </w:r>
      <w:r w:rsidR="00660CE0" w:rsidRPr="008C69F8">
        <w:t xml:space="preserve"> con solapes no </w:t>
      </w:r>
      <w:r w:rsidRPr="008C69F8">
        <w:t>infe</w:t>
      </w:r>
      <w:r w:rsidR="0053473D" w:rsidRPr="008C69F8">
        <w:t>riores a quince centímetros (</w:t>
      </w:r>
      <w:r w:rsidRPr="008C69F8">
        <w:t xml:space="preserve">15 cm) y se asegurarán de manera adecuada para evitar su movimiento. </w:t>
      </w:r>
    </w:p>
    <w:p w14:paraId="012F12F5" w14:textId="77777777" w:rsidR="00810099" w:rsidRPr="008C69F8" w:rsidRDefault="00810099" w:rsidP="00F04B51">
      <w:pPr>
        <w:pStyle w:val="TITU3"/>
        <w:numPr>
          <w:ilvl w:val="0"/>
          <w:numId w:val="0"/>
        </w:numPr>
      </w:pPr>
      <w:r w:rsidRPr="008C69F8">
        <w:t>550.5.5. Elementos de guía y acondicionamiento de los caminos de rodadura para pavimentadoras de encofrados deslizantes</w:t>
      </w:r>
    </w:p>
    <w:p w14:paraId="05F6FE4D" w14:textId="77777777" w:rsidR="00810099" w:rsidRPr="008C69F8" w:rsidRDefault="00810099" w:rsidP="00D752A9">
      <w:pPr>
        <w:pStyle w:val="NORMAL12"/>
      </w:pPr>
      <w:r w:rsidRPr="008C69F8">
        <w:t>La distancia entre piquetes, en su caso, que sostengan el cable de</w:t>
      </w:r>
      <w:r w:rsidR="00567CAF" w:rsidRPr="008C69F8">
        <w:t xml:space="preserve"> guiado de las pavimentadoras de encofrados deslizantes no podrá ser superior a diez metros (10 m); dicha distancia se reducirá a</w:t>
      </w:r>
      <w:r w:rsidRPr="008C69F8">
        <w:t xml:space="preserve"> </w:t>
      </w:r>
      <w:r w:rsidR="00567CAF" w:rsidRPr="008C69F8">
        <w:t>cinco metros (</w:t>
      </w:r>
      <w:r w:rsidRPr="008C69F8">
        <w:t>5 m</w:t>
      </w:r>
      <w:r w:rsidR="00567CAF" w:rsidRPr="008C69F8">
        <w:t>) en curvas de radio</w:t>
      </w:r>
      <w:r w:rsidRPr="008C69F8">
        <w:t xml:space="preserve"> inferior a quinientos metros (&lt; 500 m) y en acuerdos verticales de parámetro inferior a dos mil metros (&lt; 2 000 m). Se tensará el cable de forma que su flecha entre dos piquetes consecutivos no</w:t>
      </w:r>
      <w:r w:rsidR="00260112" w:rsidRPr="008C69F8">
        <w:t xml:space="preserve"> sea superior a un milímetro (</w:t>
      </w:r>
      <w:r w:rsidRPr="008C69F8">
        <w:t>1 mm).</w:t>
      </w:r>
    </w:p>
    <w:p w14:paraId="6F86736A" w14:textId="77777777" w:rsidR="008C69F8" w:rsidRDefault="00810099" w:rsidP="00D752A9">
      <w:pPr>
        <w:pStyle w:val="NORMAL12"/>
      </w:pPr>
      <w:r w:rsidRPr="008C69F8">
        <w:t>Donde se ejecute una franja junto a otra existente, se podrá usar ésta como cami</w:t>
      </w:r>
      <w:r w:rsidR="008C69F8" w:rsidRPr="008C69F8">
        <w:t>no de rodadura de las máquina</w:t>
      </w:r>
      <w:r w:rsidR="004A0385">
        <w:t>s</w:t>
      </w:r>
      <w:r w:rsidR="008C69F8" w:rsidRPr="008C69F8">
        <w:t xml:space="preserve">, siempre y cuando la </w:t>
      </w:r>
      <w:r w:rsidRPr="008C69F8">
        <w:t xml:space="preserve">primera deberá haber alcanzado una edad mínima de tres días (3 d) y se protegerá su superficie de la acción de las orugas </w:t>
      </w:r>
      <w:r w:rsidR="00567CAF" w:rsidRPr="008C69F8">
        <w:t>interponiendo bandas de</w:t>
      </w:r>
      <w:r w:rsidRPr="008C69F8">
        <w:t xml:space="preserve"> goma</w:t>
      </w:r>
      <w:r w:rsidR="0058394A">
        <w:t>.</w:t>
      </w:r>
    </w:p>
    <w:p w14:paraId="14068BA0" w14:textId="77777777" w:rsidR="0058394A" w:rsidRPr="008C69F8" w:rsidRDefault="0058394A" w:rsidP="00D752A9">
      <w:pPr>
        <w:pStyle w:val="NORMAL12"/>
      </w:pPr>
      <w:r>
        <w:t xml:space="preserve">Si se observan daños estructurales o superficiales en los caminos de rodadura se suspenderá el hormigonado, </w:t>
      </w:r>
      <w:r w:rsidR="00217216">
        <w:t>reanudándolo</w:t>
      </w:r>
      <w:r>
        <w:t xml:space="preserve"> cuando haya adquirido la resistencia </w:t>
      </w:r>
      <w:r w:rsidR="00217216">
        <w:t>necearía</w:t>
      </w:r>
      <w:r>
        <w:t>.</w:t>
      </w:r>
    </w:p>
    <w:p w14:paraId="5A2732BE" w14:textId="77777777" w:rsidR="00810099" w:rsidRPr="008C69F8" w:rsidRDefault="00810099" w:rsidP="00F04B51">
      <w:pPr>
        <w:pStyle w:val="TITU3"/>
        <w:numPr>
          <w:ilvl w:val="0"/>
          <w:numId w:val="0"/>
        </w:numPr>
      </w:pPr>
      <w:r w:rsidRPr="008C69F8">
        <w:t>550.5.6. Colocación de los elementos de las juntas</w:t>
      </w:r>
    </w:p>
    <w:p w14:paraId="2CD29704" w14:textId="77777777" w:rsidR="008C69F8" w:rsidRPr="008C69F8" w:rsidRDefault="00810099" w:rsidP="00D752A9">
      <w:pPr>
        <w:pStyle w:val="NORMAL12"/>
      </w:pPr>
      <w:r w:rsidRPr="008C69F8">
        <w:t xml:space="preserve">La máxima desviación, tanto en planta como en alzado, de la posición del eje de un pasador respecto a la teórica será de veinte </w:t>
      </w:r>
      <w:r w:rsidR="00567CAF" w:rsidRPr="008C69F8">
        <w:t>milímetros (</w:t>
      </w:r>
      <w:r w:rsidRPr="008C69F8">
        <w:t>± 20 mm</w:t>
      </w:r>
      <w:r w:rsidR="00567CAF" w:rsidRPr="008C69F8">
        <w:t>).</w:t>
      </w:r>
    </w:p>
    <w:p w14:paraId="25F82ED3" w14:textId="77777777" w:rsidR="00810099" w:rsidRPr="008C69F8" w:rsidRDefault="00567CAF" w:rsidP="00D752A9">
      <w:pPr>
        <w:pStyle w:val="NORMAL12"/>
      </w:pPr>
      <w:r w:rsidRPr="008C69F8">
        <w:t xml:space="preserve">La máxima desviación angular respecto a la dirección </w:t>
      </w:r>
      <w:r w:rsidR="00810099" w:rsidRPr="008C69F8">
        <w:t xml:space="preserve">teórica del eje </w:t>
      </w:r>
      <w:r w:rsidRPr="008C69F8">
        <w:t xml:space="preserve">de cada </w:t>
      </w:r>
      <w:r w:rsidR="00810099" w:rsidRPr="008C69F8">
        <w:t>pasador,</w:t>
      </w:r>
      <w:r w:rsidRPr="008C69F8">
        <w:t xml:space="preserve"> medida por la posición de sus extremos, será de diez</w:t>
      </w:r>
      <w:r w:rsidR="00810099" w:rsidRPr="008C69F8">
        <w:t xml:space="preserve"> </w:t>
      </w:r>
      <w:r w:rsidRPr="008C69F8">
        <w:t>milímetros (± 10 mm) si se insertan por</w:t>
      </w:r>
      <w:r w:rsidR="00810099" w:rsidRPr="008C69F8">
        <w:t xml:space="preserve"> vibración, o de cinco milímetros (± 5 mm)</w:t>
      </w:r>
      <w:r w:rsidR="008C69F8" w:rsidRPr="008C69F8">
        <w:t>.</w:t>
      </w:r>
    </w:p>
    <w:p w14:paraId="3D291B3C" w14:textId="77777777" w:rsidR="00810099" w:rsidRPr="008C69F8" w:rsidRDefault="00810099" w:rsidP="00F04B51">
      <w:pPr>
        <w:pStyle w:val="TITU3"/>
        <w:numPr>
          <w:ilvl w:val="0"/>
          <w:numId w:val="0"/>
        </w:numPr>
      </w:pPr>
      <w:r w:rsidRPr="008C69F8">
        <w:t>550.5.8. Colocación de la armadura en pavimento continuo de hormigón armado</w:t>
      </w:r>
    </w:p>
    <w:p w14:paraId="6D06AAAE" w14:textId="77777777" w:rsidR="00810099" w:rsidRPr="008C69F8" w:rsidRDefault="00810099" w:rsidP="00D752A9">
      <w:pPr>
        <w:pStyle w:val="NORMAL12"/>
      </w:pPr>
      <w:r w:rsidRPr="008C69F8">
        <w:t xml:space="preserve">Cuando la armadura se coloque previamente a la puesta en obra del hormigón, se dispondrá la correspondiente armadura transversal de montaje. El armado podrá </w:t>
      </w:r>
      <w:r w:rsidR="00567CAF" w:rsidRPr="008C69F8">
        <w:t>efectuarse mediante procedimientos</w:t>
      </w:r>
      <w:r w:rsidRPr="008C69F8">
        <w:t xml:space="preserve"> </w:t>
      </w:r>
      <w:r w:rsidR="00567CAF" w:rsidRPr="008C69F8">
        <w:t>de atado con alambre o por aplicación de</w:t>
      </w:r>
      <w:r w:rsidRPr="008C69F8">
        <w:t xml:space="preserve"> soldadura no resistente. Cuando la armadura se coloque me</w:t>
      </w:r>
      <w:r w:rsidR="00567CAF" w:rsidRPr="008C69F8">
        <w:t xml:space="preserve">diante el uso de extendedoras </w:t>
      </w:r>
      <w:r w:rsidRPr="008C69F8">
        <w:t xml:space="preserve">equipadas con trompetas, las uniones a tope </w:t>
      </w:r>
      <w:r w:rsidR="00567CAF" w:rsidRPr="008C69F8">
        <w:t>se realizarán por</w:t>
      </w:r>
      <w:r w:rsidRPr="008C69F8">
        <w:t xml:space="preserve"> soldadura o dispositivos mecánicos (manguitos) y los solapes por soldadura.</w:t>
      </w:r>
    </w:p>
    <w:p w14:paraId="33CEC5E7" w14:textId="77777777" w:rsidR="00810099" w:rsidRPr="008C69F8" w:rsidRDefault="00810099" w:rsidP="00D752A9">
      <w:pPr>
        <w:pStyle w:val="NORMAL12"/>
      </w:pPr>
      <w:r w:rsidRPr="008C69F8">
        <w:lastRenderedPageBreak/>
        <w:t>La tolerancia máxima en el espaciamiento entre armaduras longitudinales será de dos centímetros (±2 cm).</w:t>
      </w:r>
    </w:p>
    <w:p w14:paraId="1E8B0FF4" w14:textId="77777777" w:rsidR="00810099" w:rsidRPr="008C69F8" w:rsidRDefault="00567CAF" w:rsidP="00D752A9">
      <w:pPr>
        <w:pStyle w:val="NORMAL12"/>
      </w:pPr>
      <w:r w:rsidRPr="008C69F8">
        <w:t>La armadura transversal</w:t>
      </w:r>
      <w:r w:rsidR="00810099" w:rsidRPr="008C69F8">
        <w:t>, en su caso, se colocará por debajo de la armadura longitudinal, cuyo recubrimiento no será i</w:t>
      </w:r>
      <w:r w:rsidRPr="008C69F8">
        <w:t>nferior a siete centímetros (</w:t>
      </w:r>
      <w:r w:rsidR="00810099" w:rsidRPr="008C69F8">
        <w:t>7 cm).</w:t>
      </w:r>
    </w:p>
    <w:p w14:paraId="57EFBFBB" w14:textId="77777777" w:rsidR="00810099" w:rsidRPr="008C69F8" w:rsidRDefault="00810099" w:rsidP="00D752A9">
      <w:pPr>
        <w:pStyle w:val="NORMAL12"/>
      </w:pPr>
      <w:r w:rsidRPr="008C69F8">
        <w:t xml:space="preserve">Si no se uniesen mediante soldadura a tope, </w:t>
      </w:r>
      <w:r w:rsidR="00567CAF" w:rsidRPr="008C69F8">
        <w:t xml:space="preserve">las armaduras longitudinales </w:t>
      </w:r>
      <w:r w:rsidRPr="008C69F8">
        <w:t xml:space="preserve">se solaparán en una longitud mínima de treinta (30) diámetros. El número de solapes en cualquier sección transversal no excederá del veinte por ciento </w:t>
      </w:r>
      <w:r w:rsidR="0072225E" w:rsidRPr="008C69F8">
        <w:t>(20</w:t>
      </w:r>
      <w:r w:rsidRPr="008C69F8">
        <w:t>%) del total de armaduras longitudinales contenidas en dicha sección.</w:t>
      </w:r>
    </w:p>
    <w:p w14:paraId="239B5CB3" w14:textId="77777777" w:rsidR="00810099" w:rsidRPr="004A0385" w:rsidRDefault="00810099" w:rsidP="00D752A9">
      <w:pPr>
        <w:pStyle w:val="NORMAL12"/>
        <w:rPr>
          <w:rFonts w:eastAsia="Arial"/>
          <w:sz w:val="23"/>
          <w:szCs w:val="23"/>
        </w:rPr>
      </w:pPr>
      <w:r w:rsidRPr="004A0385">
        <w:t>Las armaduras se interrumpirán diez centímetros (10 cm) a cada lado de las juntas de dilatación.</w:t>
      </w:r>
    </w:p>
    <w:p w14:paraId="1A400ADB" w14:textId="77777777" w:rsidR="00810099" w:rsidRPr="00FD774A" w:rsidRDefault="00810099" w:rsidP="00F04B51">
      <w:pPr>
        <w:pStyle w:val="TITU3"/>
        <w:numPr>
          <w:ilvl w:val="0"/>
          <w:numId w:val="0"/>
        </w:numPr>
      </w:pPr>
      <w:r w:rsidRPr="00FD774A">
        <w:t>550.5.10. Terminación</w:t>
      </w:r>
    </w:p>
    <w:p w14:paraId="25ED4682" w14:textId="77777777" w:rsidR="00E61F2C" w:rsidRPr="00FD774A" w:rsidRDefault="00E61F2C" w:rsidP="00E61F2C">
      <w:pPr>
        <w:pStyle w:val="NORMAL12"/>
        <w:rPr>
          <w:lang w:val="es-ES"/>
        </w:rPr>
      </w:pPr>
      <w:r w:rsidRPr="006B5352">
        <w:rPr>
          <w:lang w:val="es-ES"/>
        </w:rPr>
        <w:t>Se tendrán en cuenta la</w:t>
      </w:r>
      <w:r w:rsidR="00020F26" w:rsidRPr="006B5352">
        <w:rPr>
          <w:lang w:val="es-ES"/>
        </w:rPr>
        <w:t>s</w:t>
      </w:r>
      <w:r w:rsidRPr="006B5352">
        <w:rPr>
          <w:lang w:val="es-ES"/>
        </w:rPr>
        <w:t xml:space="preserve"> siguientes especificaciones:</w:t>
      </w:r>
    </w:p>
    <w:p w14:paraId="1AB69FA1" w14:textId="77777777" w:rsidR="0058394A" w:rsidRDefault="0058394A" w:rsidP="00221E1A">
      <w:pPr>
        <w:pStyle w:val="NORMAL12"/>
        <w:numPr>
          <w:ilvl w:val="0"/>
          <w:numId w:val="133"/>
        </w:numPr>
      </w:pPr>
      <w:r>
        <w:t>La superficie del pavimento no deberá ser retocada, salvo zonas aisladas comprobadas con reglas de longitud no inferior a cuatro metros (4m).</w:t>
      </w:r>
    </w:p>
    <w:p w14:paraId="6B169204" w14:textId="77777777" w:rsidR="00E61F2C" w:rsidRPr="00FD774A" w:rsidRDefault="00567CAF" w:rsidP="00221E1A">
      <w:pPr>
        <w:pStyle w:val="NORMAL12"/>
        <w:numPr>
          <w:ilvl w:val="0"/>
          <w:numId w:val="133"/>
        </w:numPr>
      </w:pPr>
      <w:r w:rsidRPr="00FD774A">
        <w:t>Se prohibirá el riego con agua o la extensión de</w:t>
      </w:r>
      <w:r w:rsidR="00810099" w:rsidRPr="00FD774A">
        <w:t xml:space="preserve"> </w:t>
      </w:r>
      <w:r w:rsidRPr="00FD774A">
        <w:t>mortero sobre la superficie del</w:t>
      </w:r>
      <w:r w:rsidR="00810099" w:rsidRPr="00FD774A">
        <w:t xml:space="preserve"> </w:t>
      </w:r>
      <w:r w:rsidRPr="00FD774A">
        <w:t>hormigón fresco para facilitar su</w:t>
      </w:r>
      <w:r w:rsidR="00810099" w:rsidRPr="00FD774A">
        <w:t xml:space="preserve"> acabado.</w:t>
      </w:r>
      <w:r w:rsidRPr="00FD774A">
        <w:t xml:space="preserve"> </w:t>
      </w:r>
    </w:p>
    <w:p w14:paraId="5BEC9BF0" w14:textId="77777777" w:rsidR="00810099" w:rsidRDefault="00567CAF" w:rsidP="00221E1A">
      <w:pPr>
        <w:pStyle w:val="NORMAL12"/>
        <w:numPr>
          <w:ilvl w:val="0"/>
          <w:numId w:val="133"/>
        </w:numPr>
      </w:pPr>
      <w:r w:rsidRPr="00FD774A">
        <w:t>Donde fuera necesario aportar material</w:t>
      </w:r>
      <w:r w:rsidR="00810099" w:rsidRPr="00FD774A">
        <w:t xml:space="preserve"> para corregir una zona baja, se empleará hormigón aún no extendido. En todo caso, se eliminará la lechada de la superficie del hormigón fresco.</w:t>
      </w:r>
    </w:p>
    <w:p w14:paraId="1F272307" w14:textId="77777777" w:rsidR="0058394A" w:rsidRPr="00FD774A" w:rsidRDefault="00905D39" w:rsidP="00221E1A">
      <w:pPr>
        <w:pStyle w:val="NORMAL12"/>
        <w:numPr>
          <w:ilvl w:val="0"/>
          <w:numId w:val="133"/>
        </w:numPr>
      </w:pPr>
      <w:r>
        <w:t xml:space="preserve">Mientras el hormigón esté fresco se redondearán cuidadosamente </w:t>
      </w:r>
      <w:proofErr w:type="gramStart"/>
      <w:r>
        <w:t>los borde</w:t>
      </w:r>
      <w:proofErr w:type="gramEnd"/>
      <w:r>
        <w:t xml:space="preserve"> de las losas con una llana curva de doce milímetros (12 mm) de radio</w:t>
      </w:r>
    </w:p>
    <w:p w14:paraId="3B77790B" w14:textId="77777777" w:rsidR="00810099" w:rsidRPr="00FD774A" w:rsidRDefault="00E61F2C" w:rsidP="00D752A9">
      <w:pPr>
        <w:pStyle w:val="NORMAL12"/>
      </w:pPr>
      <w:r w:rsidRPr="00FD774A">
        <w:t>La textura superficial consistirá en l</w:t>
      </w:r>
      <w:r w:rsidR="00810099" w:rsidRPr="00FD774A">
        <w:t>a eliminación del mortero de la superficie, en un estriado o ranurado longitudinal en la calzada y en un estriado o ranurado longitudinal o transversal en los arcenes.</w:t>
      </w:r>
    </w:p>
    <w:p w14:paraId="716B68FE" w14:textId="77777777" w:rsidR="00810099" w:rsidRPr="00FD774A" w:rsidRDefault="00810099" w:rsidP="00D752A9">
      <w:pPr>
        <w:pStyle w:val="NORMAL12"/>
      </w:pPr>
      <w:r w:rsidRPr="00FD774A">
        <w:t xml:space="preserve">De no </w:t>
      </w:r>
      <w:r w:rsidR="00567CAF" w:rsidRPr="00FD774A">
        <w:t>extenderse conjuntamente</w:t>
      </w:r>
      <w:r w:rsidRPr="00FD774A">
        <w:t xml:space="preserve"> un líquido de curado, se dispondrá a continuación una membrana impermeable, que se mantendrá hasta la eliminación del mortero. Esta </w:t>
      </w:r>
      <w:r w:rsidR="00567CAF" w:rsidRPr="00FD774A">
        <w:t>operación se</w:t>
      </w:r>
      <w:r w:rsidRPr="00FD774A">
        <w:t xml:space="preserve"> </w:t>
      </w:r>
      <w:r w:rsidR="00567CAF" w:rsidRPr="00FD774A">
        <w:t>realizará en</w:t>
      </w:r>
      <w:r w:rsidRPr="00FD774A">
        <w:t xml:space="preserve"> cuanto el </w:t>
      </w:r>
      <w:r w:rsidR="00567CAF" w:rsidRPr="00FD774A">
        <w:t>hormigón permita el</w:t>
      </w:r>
      <w:r w:rsidRPr="00FD774A">
        <w:t xml:space="preserve"> acceso de los </w:t>
      </w:r>
      <w:r w:rsidR="00567CAF" w:rsidRPr="00FD774A">
        <w:t>equipos de</w:t>
      </w:r>
      <w:r w:rsidRPr="00FD774A">
        <w:t xml:space="preserve"> barrido; antes de transcurridas veinticuatro horas (24 h), salvo que u</w:t>
      </w:r>
      <w:r w:rsidR="00567CAF" w:rsidRPr="00FD774A">
        <w:t>n insuficiente endurecimiento del hormigón</w:t>
      </w:r>
      <w:r w:rsidRPr="00FD774A">
        <w:t xml:space="preserve"> requiera alargar este periodo. Una </w:t>
      </w:r>
      <w:r w:rsidR="00567CAF" w:rsidRPr="00FD774A">
        <w:t>vez retirado el</w:t>
      </w:r>
      <w:r w:rsidRPr="00FD774A">
        <w:t xml:space="preserve"> mortero no fraguado, se </w:t>
      </w:r>
      <w:r w:rsidRPr="00FD774A">
        <w:t xml:space="preserve">procederá a reanudar el curado del hormigón mediante la aplicación de un producto </w:t>
      </w:r>
      <w:proofErr w:type="spellStart"/>
      <w:r w:rsidRPr="00FD774A">
        <w:t>filmógeno</w:t>
      </w:r>
      <w:proofErr w:type="spellEnd"/>
      <w:r w:rsidRPr="00FD774A">
        <w:t xml:space="preserve"> de curado.</w:t>
      </w:r>
    </w:p>
    <w:p w14:paraId="40A7DBD9" w14:textId="77777777" w:rsidR="00810099" w:rsidRPr="00FD774A" w:rsidRDefault="00810099" w:rsidP="00F04B51">
      <w:pPr>
        <w:pStyle w:val="TITU3"/>
        <w:numPr>
          <w:ilvl w:val="0"/>
          <w:numId w:val="0"/>
        </w:numPr>
      </w:pPr>
      <w:r w:rsidRPr="00FD774A">
        <w:t>550.5.11. Protección y curado del hormigón fresco</w:t>
      </w:r>
    </w:p>
    <w:p w14:paraId="02A9EC2D" w14:textId="77777777" w:rsidR="00810099" w:rsidRPr="00FD774A" w:rsidRDefault="00567CAF" w:rsidP="00D752A9">
      <w:pPr>
        <w:pStyle w:val="NORMAL12"/>
      </w:pPr>
      <w:r w:rsidRPr="00FD774A">
        <w:t>Deberán someterse a</w:t>
      </w:r>
      <w:r w:rsidR="00810099" w:rsidRPr="00FD774A">
        <w:t xml:space="preserve"> curado todas las superficies expuestas de la losa, incluidos sus bordes laterales, tan pronto como hayan finalizado las operaciones de acabado.</w:t>
      </w:r>
    </w:p>
    <w:p w14:paraId="4BD633BE" w14:textId="77777777" w:rsidR="00810099" w:rsidRPr="00FD774A" w:rsidRDefault="00810099" w:rsidP="00D752A9">
      <w:pPr>
        <w:pStyle w:val="NORMAL12"/>
      </w:pPr>
      <w:r w:rsidRPr="00FD774A">
        <w:t xml:space="preserve">Durante un período que, salvo autorización expresa del </w:t>
      </w:r>
      <w:proofErr w:type="gramStart"/>
      <w:r w:rsidRPr="00FD774A">
        <w:t>Director</w:t>
      </w:r>
      <w:proofErr w:type="gramEnd"/>
      <w:r w:rsidRPr="00FD774A">
        <w:t xml:space="preserve"> de las Obras, no será inferior a tres días </w:t>
      </w:r>
      <w:r w:rsidR="0072225E" w:rsidRPr="00FD774A">
        <w:t>(3</w:t>
      </w:r>
      <w:r w:rsidRPr="00FD774A">
        <w:t xml:space="preserve"> d) a partir de la puesta en obra del hormigón, estará prohibido todo tipo de circulación</w:t>
      </w:r>
      <w:r w:rsidR="00F850FB" w:rsidRPr="00FD774A">
        <w:t xml:space="preserve"> </w:t>
      </w:r>
      <w:r w:rsidRPr="00FD774A">
        <w:t>sobre el pavimento recién ejecutado, con excepción de la imprescindible para el aserrado de juntas, la eliminación del mortero superficial no fraguado, en su caso, y la comprobación de la textura y regularidad superficial.</w:t>
      </w:r>
    </w:p>
    <w:p w14:paraId="738BDF1B" w14:textId="77777777" w:rsidR="00810099" w:rsidRPr="00FD774A" w:rsidRDefault="00E61F2C" w:rsidP="003F0EA7">
      <w:pPr>
        <w:pStyle w:val="NORMAL12"/>
      </w:pPr>
      <w:r w:rsidRPr="00FD774A">
        <w:t xml:space="preserve">La dotación del producto </w:t>
      </w:r>
      <w:proofErr w:type="spellStart"/>
      <w:r w:rsidRPr="00FD774A">
        <w:t>filmógeno</w:t>
      </w:r>
      <w:proofErr w:type="spellEnd"/>
      <w:r w:rsidRPr="00FD774A">
        <w:t xml:space="preserve"> </w:t>
      </w:r>
      <w:r w:rsidR="00810099" w:rsidRPr="00FD774A">
        <w:t xml:space="preserve">no será inferior a doscientos cincuenta gramos por metro cuadrado </w:t>
      </w:r>
      <w:r w:rsidR="0072225E" w:rsidRPr="00FD774A">
        <w:t>(250</w:t>
      </w:r>
      <w:r w:rsidR="00810099" w:rsidRPr="00FD774A">
        <w:t xml:space="preserve"> g/m</w:t>
      </w:r>
      <w:r w:rsidR="00810099" w:rsidRPr="00E34DE7">
        <w:rPr>
          <w:vertAlign w:val="superscript"/>
        </w:rPr>
        <w:t>2</w:t>
      </w:r>
      <w:r w:rsidR="00810099" w:rsidRPr="00FD774A">
        <w:t>).</w:t>
      </w:r>
    </w:p>
    <w:p w14:paraId="57FB12E8" w14:textId="77777777" w:rsidR="00810099" w:rsidRDefault="00810099" w:rsidP="00F04B51">
      <w:pPr>
        <w:pStyle w:val="TITU3"/>
        <w:numPr>
          <w:ilvl w:val="0"/>
          <w:numId w:val="0"/>
        </w:numPr>
      </w:pPr>
      <w:r w:rsidRPr="00FD774A">
        <w:t>550.5.13. Sellado de juntas</w:t>
      </w:r>
    </w:p>
    <w:p w14:paraId="5611311C" w14:textId="77777777" w:rsidR="00810099" w:rsidRPr="006455AE" w:rsidRDefault="00810099" w:rsidP="003F0EA7">
      <w:pPr>
        <w:pStyle w:val="NORMAL12"/>
      </w:pPr>
      <w:r w:rsidRPr="006455AE">
        <w:t xml:space="preserve">Terminado el </w:t>
      </w:r>
      <w:r w:rsidR="002E3084" w:rsidRPr="006455AE">
        <w:t xml:space="preserve">período de </w:t>
      </w:r>
      <w:proofErr w:type="gramStart"/>
      <w:r w:rsidR="002E3084" w:rsidRPr="006455AE">
        <w:t>curado  del</w:t>
      </w:r>
      <w:proofErr w:type="gramEnd"/>
      <w:r w:rsidR="002E3084" w:rsidRPr="006455AE">
        <w:t xml:space="preserve"> </w:t>
      </w:r>
      <w:proofErr w:type="gramStart"/>
      <w:r w:rsidR="002E3084" w:rsidRPr="006455AE">
        <w:t>hormigón,  se</w:t>
      </w:r>
      <w:proofErr w:type="gramEnd"/>
      <w:r w:rsidR="002E3084" w:rsidRPr="006455AE">
        <w:t xml:space="preserve"> sellarán las juntas. Para ello </w:t>
      </w:r>
      <w:r w:rsidRPr="006455AE">
        <w:t>se limpiarán enérgica y cuidadosamente el fondo y los bordes de la ranura, utilizando para ello un cepillo giratorio de púas metálicas, discos de diamante u otro procedimiento que no produzca daños en la junta, y dando una pasada final con aire comprimido. Finalizada esta operación, se introducirá un obturador de fondo y se imprimarán los bordes con un producto adecuado, si el tipo de material de sellado lo requiere.</w:t>
      </w:r>
    </w:p>
    <w:p w14:paraId="6C95EF69" w14:textId="77777777" w:rsidR="00810099" w:rsidRPr="00FD774A" w:rsidRDefault="004D3C9F" w:rsidP="003F0EA7">
      <w:pPr>
        <w:pStyle w:val="NORMAL12"/>
      </w:pPr>
      <w:r>
        <w:t xml:space="preserve">Se realizará el sellado con material elástico de base asfáltica, en todo caso el contratista facilitará al </w:t>
      </w:r>
      <w:proofErr w:type="gramStart"/>
      <w:r>
        <w:t>Director</w:t>
      </w:r>
      <w:proofErr w:type="gramEnd"/>
      <w:r>
        <w:t xml:space="preserve"> de Obra las características y método para aplicar el sellado, para su aprobación. No se </w:t>
      </w:r>
      <w:proofErr w:type="gramStart"/>
      <w:r>
        <w:t>emplearan</w:t>
      </w:r>
      <w:proofErr w:type="gramEnd"/>
      <w:r>
        <w:t xml:space="preserve"> materiales para juntas sin la aprobación del </w:t>
      </w:r>
      <w:proofErr w:type="gramStart"/>
      <w:r>
        <w:t>Director</w:t>
      </w:r>
      <w:proofErr w:type="gramEnd"/>
      <w:r>
        <w:t xml:space="preserve"> de Obra</w:t>
      </w:r>
      <w:r w:rsidR="00810099" w:rsidRPr="006455AE">
        <w:t>.</w:t>
      </w:r>
    </w:p>
    <w:p w14:paraId="4F0E9318" w14:textId="77777777" w:rsidR="00810099" w:rsidRPr="005864C2" w:rsidRDefault="00810099" w:rsidP="000313DD">
      <w:pPr>
        <w:pStyle w:val="TITU2"/>
      </w:pPr>
      <w:bookmarkStart w:id="622" w:name="_Toc404361"/>
      <w:r w:rsidRPr="005864C2">
        <w:t>550.6. Tramo de prueba</w:t>
      </w:r>
      <w:bookmarkEnd w:id="622"/>
    </w:p>
    <w:p w14:paraId="7D2DD49C" w14:textId="77777777" w:rsidR="00810099" w:rsidRPr="0010179F" w:rsidRDefault="00E61F2C" w:rsidP="00E61F2C">
      <w:pPr>
        <w:pStyle w:val="NORMAL12"/>
      </w:pPr>
      <w:r w:rsidRPr="0010179F">
        <w:t xml:space="preserve">Se establece una longitud de </w:t>
      </w:r>
      <w:r w:rsidR="00567CAF" w:rsidRPr="0010179F">
        <w:t>doscientos metros (</w:t>
      </w:r>
      <w:r w:rsidR="00810099" w:rsidRPr="0010179F">
        <w:t>200 m)</w:t>
      </w:r>
      <w:r w:rsidRPr="0010179F">
        <w:t xml:space="preserve"> para el tramo de prueba.</w:t>
      </w:r>
    </w:p>
    <w:p w14:paraId="62425D28" w14:textId="77777777" w:rsidR="00810099" w:rsidRPr="0010179F" w:rsidRDefault="00810099" w:rsidP="003F0EA7">
      <w:pPr>
        <w:pStyle w:val="NORMAL12"/>
      </w:pPr>
      <w:r w:rsidRPr="0010179F">
        <w:t>En el tramo de prueba se comprobará que:</w:t>
      </w:r>
    </w:p>
    <w:p w14:paraId="26FCA45F" w14:textId="77777777" w:rsidR="00810099" w:rsidRPr="0010179F" w:rsidRDefault="00810099" w:rsidP="00E01981">
      <w:pPr>
        <w:pStyle w:val="NORMAL12"/>
        <w:numPr>
          <w:ilvl w:val="0"/>
          <w:numId w:val="37"/>
        </w:numPr>
      </w:pPr>
      <w:r w:rsidRPr="0010179F">
        <w:t>Los medios de vibración serán capa</w:t>
      </w:r>
      <w:r w:rsidR="00567CAF" w:rsidRPr="0010179F">
        <w:t xml:space="preserve">ces de compactar adecuadamente </w:t>
      </w:r>
      <w:r w:rsidRPr="0010179F">
        <w:t>el hormigón en todo el espesor del pavimento.</w:t>
      </w:r>
    </w:p>
    <w:p w14:paraId="453A8603" w14:textId="77777777" w:rsidR="00810099" w:rsidRPr="0010179F" w:rsidRDefault="00810099" w:rsidP="00E01981">
      <w:pPr>
        <w:pStyle w:val="NORMAL12"/>
        <w:numPr>
          <w:ilvl w:val="0"/>
          <w:numId w:val="38"/>
        </w:numPr>
      </w:pPr>
      <w:r w:rsidRPr="0010179F">
        <w:t xml:space="preserve">Se </w:t>
      </w:r>
      <w:r w:rsidR="003F0EA7" w:rsidRPr="0010179F">
        <w:t>p</w:t>
      </w:r>
      <w:r w:rsidRPr="0010179F">
        <w:t xml:space="preserve">odrán cumplir </w:t>
      </w:r>
      <w:r w:rsidRPr="0010179F">
        <w:tab/>
        <w:t xml:space="preserve">las prescripciones de </w:t>
      </w:r>
      <w:proofErr w:type="spellStart"/>
      <w:r w:rsidR="003F0EA7" w:rsidRPr="0010179F">
        <w:t>m</w:t>
      </w:r>
      <w:r w:rsidRPr="0010179F">
        <w:t>acrotextura</w:t>
      </w:r>
      <w:proofErr w:type="spellEnd"/>
      <w:r w:rsidRPr="0010179F">
        <w:t xml:space="preserve"> y regularidad superficial.</w:t>
      </w:r>
    </w:p>
    <w:p w14:paraId="7133EF16" w14:textId="77777777" w:rsidR="00810099" w:rsidRPr="0010179F" w:rsidRDefault="00810099" w:rsidP="00E01981">
      <w:pPr>
        <w:pStyle w:val="NORMAL12"/>
        <w:numPr>
          <w:ilvl w:val="0"/>
          <w:numId w:val="38"/>
        </w:numPr>
      </w:pPr>
      <w:r w:rsidRPr="0010179F">
        <w:lastRenderedPageBreak/>
        <w:t>El proceso de protección y curado del hormigón fresco será adecuado.</w:t>
      </w:r>
    </w:p>
    <w:p w14:paraId="70682290" w14:textId="77777777" w:rsidR="00810099" w:rsidRPr="0010179F" w:rsidRDefault="00810099" w:rsidP="00E01981">
      <w:pPr>
        <w:pStyle w:val="NORMAL12"/>
        <w:numPr>
          <w:ilvl w:val="0"/>
          <w:numId w:val="38"/>
        </w:numPr>
      </w:pPr>
      <w:r w:rsidRPr="0010179F">
        <w:t>Las juntas se puedan realizar correctamente.</w:t>
      </w:r>
    </w:p>
    <w:p w14:paraId="6602ED04" w14:textId="77777777" w:rsidR="00810099" w:rsidRPr="0010179F" w:rsidRDefault="00567CAF" w:rsidP="003F0EA7">
      <w:pPr>
        <w:pStyle w:val="NORMAL12"/>
      </w:pPr>
      <w:r w:rsidRPr="0010179F">
        <w:t>Se comprobará</w:t>
      </w:r>
      <w:r w:rsidR="00810099" w:rsidRPr="0010179F">
        <w:t xml:space="preserve"> expresamente la </w:t>
      </w:r>
      <w:proofErr w:type="spellStart"/>
      <w:r w:rsidR="00810099" w:rsidRPr="0010179F">
        <w:t>macrotextura</w:t>
      </w:r>
      <w:proofErr w:type="spellEnd"/>
      <w:r w:rsidR="00810099" w:rsidRPr="0010179F">
        <w:t xml:space="preserve"> superficial obtenida</w:t>
      </w:r>
      <w:r w:rsidRPr="0010179F">
        <w:t xml:space="preserve">, mediante el método volumétrico (norma </w:t>
      </w:r>
      <w:r w:rsidR="00810099" w:rsidRPr="0010179F">
        <w:t>UNE-EN 13036-1</w:t>
      </w:r>
      <w:r w:rsidRPr="0010179F">
        <w:t>) que</w:t>
      </w:r>
      <w:r w:rsidR="00810099" w:rsidRPr="0010179F">
        <w:t xml:space="preserve"> deberá </w:t>
      </w:r>
      <w:r w:rsidRPr="0010179F">
        <w:t>cumplir los valores</w:t>
      </w:r>
      <w:r w:rsidR="00810099" w:rsidRPr="0010179F">
        <w:t xml:space="preserve"> establecidos en la tabla 550.10.</w:t>
      </w:r>
    </w:p>
    <w:p w14:paraId="194B924A" w14:textId="77777777" w:rsidR="00810099" w:rsidRDefault="00810099" w:rsidP="000313DD">
      <w:pPr>
        <w:pStyle w:val="TITU2"/>
      </w:pPr>
      <w:bookmarkStart w:id="623" w:name="_Toc404362"/>
      <w:r w:rsidRPr="005864C2">
        <w:t>550.7. Especificaciones de la unidad terminada</w:t>
      </w:r>
      <w:bookmarkEnd w:id="623"/>
    </w:p>
    <w:p w14:paraId="0337E093" w14:textId="77777777" w:rsidR="00E61F2C" w:rsidRDefault="00E61F2C" w:rsidP="00E61F2C">
      <w:pPr>
        <w:pStyle w:val="NORMAL12"/>
        <w:rPr>
          <w:lang w:val="es-ES"/>
        </w:rPr>
      </w:pPr>
      <w:r>
        <w:rPr>
          <w:lang w:val="es-ES"/>
        </w:rPr>
        <w:t>Las especificaciones de la unidad terminada deben cumplir:</w:t>
      </w:r>
    </w:p>
    <w:p w14:paraId="11AF2A04" w14:textId="77777777" w:rsidR="00810099" w:rsidRPr="0010179F" w:rsidRDefault="00810099" w:rsidP="00221E1A">
      <w:pPr>
        <w:pStyle w:val="NORMAL12"/>
        <w:numPr>
          <w:ilvl w:val="0"/>
          <w:numId w:val="134"/>
        </w:numPr>
      </w:pPr>
      <w:r w:rsidRPr="0010179F">
        <w:t xml:space="preserve">La resistencia característica a </w:t>
      </w:r>
      <w:proofErr w:type="spellStart"/>
      <w:r w:rsidRPr="0010179F">
        <w:t>flexotracción</w:t>
      </w:r>
      <w:proofErr w:type="spellEnd"/>
      <w:r w:rsidRPr="0010179F">
        <w:t xml:space="preserve"> a veintiocho </w:t>
      </w:r>
      <w:r w:rsidR="00E85A5F" w:rsidRPr="0010179F">
        <w:t xml:space="preserve">días (28 d) </w:t>
      </w:r>
      <w:r w:rsidR="0010179F" w:rsidRPr="0010179F">
        <w:t xml:space="preserve">será mayor de 4,5 </w:t>
      </w:r>
      <w:proofErr w:type="spellStart"/>
      <w:r w:rsidR="0010179F" w:rsidRPr="0010179F">
        <w:t>megapascales</w:t>
      </w:r>
      <w:proofErr w:type="spellEnd"/>
      <w:r w:rsidR="0010179F" w:rsidRPr="0010179F">
        <w:t>.</w:t>
      </w:r>
    </w:p>
    <w:p w14:paraId="07EBA14B" w14:textId="77777777" w:rsidR="00810099" w:rsidRPr="0010179F" w:rsidRDefault="00810099" w:rsidP="00221E1A">
      <w:pPr>
        <w:pStyle w:val="NORMAL12"/>
        <w:numPr>
          <w:ilvl w:val="0"/>
          <w:numId w:val="134"/>
        </w:numPr>
      </w:pPr>
      <w:r w:rsidRPr="0010179F">
        <w:t xml:space="preserve">La desviación en planta respecto a la alineación del </w:t>
      </w:r>
      <w:proofErr w:type="gramStart"/>
      <w:r w:rsidRPr="0010179F">
        <w:t>Proyecto,</w:t>
      </w:r>
      <w:proofErr w:type="gramEnd"/>
      <w:r w:rsidRPr="0010179F">
        <w:t xml:space="preserve"> no deberá ser superior a tres centímetros </w:t>
      </w:r>
      <w:r w:rsidR="0072225E" w:rsidRPr="0010179F">
        <w:t>(3</w:t>
      </w:r>
      <w:r w:rsidRPr="0010179F">
        <w:t xml:space="preserve"> cm), y la superficie de la capa deberá tener las pendientes y la rasante indicadas en los Planos, admitiéndose una tolerancia de diez milímetros (± 10 mm) para esta última.</w:t>
      </w:r>
    </w:p>
    <w:p w14:paraId="75976973" w14:textId="77777777" w:rsidR="00810099" w:rsidRPr="0010179F" w:rsidRDefault="00810099" w:rsidP="00221E1A">
      <w:pPr>
        <w:pStyle w:val="NORMAL12"/>
        <w:numPr>
          <w:ilvl w:val="0"/>
          <w:numId w:val="134"/>
        </w:numPr>
      </w:pPr>
      <w:r w:rsidRPr="0010179F">
        <w:t xml:space="preserve">El </w:t>
      </w:r>
      <w:r w:rsidR="00E85A5F" w:rsidRPr="0010179F">
        <w:t>espesor del</w:t>
      </w:r>
      <w:r w:rsidRPr="0010179F">
        <w:t xml:space="preserve"> </w:t>
      </w:r>
      <w:r w:rsidR="00E85A5F" w:rsidRPr="0010179F">
        <w:t>pavimento no</w:t>
      </w:r>
      <w:r w:rsidRPr="0010179F">
        <w:t xml:space="preserve"> podrá ser inferior, en ningún punto, al previsto en los </w:t>
      </w:r>
      <w:r w:rsidR="00E85A5F" w:rsidRPr="0010179F">
        <w:t>Planos de</w:t>
      </w:r>
      <w:r w:rsidRPr="0010179F">
        <w:t xml:space="preserve"> secciones tipo. </w:t>
      </w:r>
      <w:r w:rsidR="00E85A5F" w:rsidRPr="0010179F">
        <w:t>En todos los perfiles</w:t>
      </w:r>
      <w:r w:rsidRPr="0010179F">
        <w:t xml:space="preserve"> se </w:t>
      </w:r>
      <w:r w:rsidR="00E85A5F" w:rsidRPr="0010179F">
        <w:t>comprobará la anchura del</w:t>
      </w:r>
      <w:r w:rsidRPr="0010179F">
        <w:t xml:space="preserve"> pavimento, que en ningún caso podrá ser inferior a la deducida de la sección tipo de los Planos.</w:t>
      </w:r>
    </w:p>
    <w:p w14:paraId="4CB54B40" w14:textId="77777777" w:rsidR="00810099" w:rsidRPr="0010179F" w:rsidRDefault="00E61F2C" w:rsidP="00221E1A">
      <w:pPr>
        <w:pStyle w:val="NORMAL12"/>
        <w:numPr>
          <w:ilvl w:val="0"/>
          <w:numId w:val="134"/>
        </w:numPr>
      </w:pPr>
      <w:r w:rsidRPr="0010179F">
        <w:t xml:space="preserve">La regularidad superficial: </w:t>
      </w:r>
      <w:r w:rsidR="00810099" w:rsidRPr="0010179F">
        <w:t>El Índice de Regularidad Internacional (</w:t>
      </w:r>
      <w:r w:rsidR="00E85A5F" w:rsidRPr="0010179F">
        <w:t>norma NLT</w:t>
      </w:r>
      <w:r w:rsidR="00810099" w:rsidRPr="0010179F">
        <w:t>-330) no superará los valores indicados en la tabla 550.9.</w:t>
      </w:r>
    </w:p>
    <w:p w14:paraId="6214B46F" w14:textId="77777777" w:rsidR="00810099" w:rsidRPr="0010179F" w:rsidRDefault="00810099" w:rsidP="003F0EA7">
      <w:pPr>
        <w:pStyle w:val="NORMAL12"/>
        <w:jc w:val="center"/>
        <w:rPr>
          <w:sz w:val="20"/>
          <w:szCs w:val="20"/>
          <w:lang w:val="es-ES"/>
        </w:rPr>
      </w:pPr>
      <w:r w:rsidRPr="0010179F">
        <w:rPr>
          <w:sz w:val="20"/>
          <w:szCs w:val="20"/>
          <w:lang w:val="es-ES"/>
        </w:rPr>
        <w:t>Tabla 550.9.- Índice de regularidad internacional (IRI) (dm/hm)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95"/>
        <w:gridCol w:w="4446"/>
      </w:tblGrid>
      <w:tr w:rsidR="00E61F2C" w:rsidRPr="0010179F" w14:paraId="3CE21E07" w14:textId="77777777" w:rsidTr="00D95BD5">
        <w:trPr>
          <w:trHeight w:val="809"/>
          <w:tblHeader/>
          <w:jc w:val="center"/>
        </w:trPr>
        <w:tc>
          <w:tcPr>
            <w:tcW w:w="2495" w:type="dxa"/>
            <w:shd w:val="clear" w:color="auto" w:fill="D9D9D9" w:themeFill="background1" w:themeFillShade="D9"/>
            <w:vAlign w:val="center"/>
          </w:tcPr>
          <w:p w14:paraId="4F5AEC87" w14:textId="77777777" w:rsidR="00E61F2C" w:rsidRPr="0010179F" w:rsidRDefault="00D9029C" w:rsidP="0000436B">
            <w:pPr>
              <w:jc w:val="center"/>
            </w:pPr>
            <w:r w:rsidRPr="0010179F">
              <w:rPr>
                <w:rFonts w:ascii="Arial" w:eastAsia="Arial" w:hAnsi="Arial" w:cs="Arial"/>
                <w:b/>
                <w:bCs/>
                <w:sz w:val="20"/>
                <w:szCs w:val="20"/>
              </w:rPr>
              <w:t>P</w:t>
            </w:r>
            <w:r w:rsidR="0000436B">
              <w:rPr>
                <w:rFonts w:ascii="Arial" w:eastAsia="Arial" w:hAnsi="Arial" w:cs="Arial"/>
                <w:b/>
                <w:bCs/>
                <w:sz w:val="20"/>
                <w:szCs w:val="20"/>
              </w:rPr>
              <w:t>orcentaje de hectómetros</w:t>
            </w:r>
          </w:p>
        </w:tc>
        <w:tc>
          <w:tcPr>
            <w:tcW w:w="4446" w:type="dxa"/>
            <w:shd w:val="clear" w:color="auto" w:fill="D9D9D9" w:themeFill="background1" w:themeFillShade="D9"/>
          </w:tcPr>
          <w:p w14:paraId="6E30C797" w14:textId="77777777" w:rsidR="00E61F2C" w:rsidRPr="0010179F" w:rsidRDefault="00E61F2C" w:rsidP="004D147E">
            <w:pPr>
              <w:spacing w:before="6" w:line="110" w:lineRule="exact"/>
              <w:rPr>
                <w:sz w:val="11"/>
                <w:szCs w:val="11"/>
              </w:rPr>
            </w:pPr>
          </w:p>
          <w:p w14:paraId="6065CFCF" w14:textId="77777777" w:rsidR="00E61F2C" w:rsidRPr="0010179F" w:rsidRDefault="00E61F2C" w:rsidP="0000436B">
            <w:pPr>
              <w:spacing w:line="237" w:lineRule="auto"/>
              <w:ind w:left="206" w:right="200" w:firstLine="3"/>
              <w:jc w:val="center"/>
              <w:rPr>
                <w:rFonts w:ascii="Arial" w:eastAsia="Arial" w:hAnsi="Arial" w:cs="Arial"/>
                <w:sz w:val="20"/>
                <w:szCs w:val="20"/>
              </w:rPr>
            </w:pPr>
            <w:r w:rsidRPr="0010179F">
              <w:rPr>
                <w:rFonts w:ascii="Arial" w:eastAsia="Arial" w:hAnsi="Arial" w:cs="Arial"/>
                <w:b/>
                <w:bCs/>
                <w:sz w:val="20"/>
                <w:szCs w:val="20"/>
              </w:rPr>
              <w:t>C</w:t>
            </w:r>
            <w:r w:rsidR="0000436B">
              <w:rPr>
                <w:rFonts w:ascii="Arial" w:eastAsia="Arial" w:hAnsi="Arial" w:cs="Arial"/>
                <w:b/>
                <w:bCs/>
                <w:sz w:val="20"/>
                <w:szCs w:val="20"/>
              </w:rPr>
              <w:t>alzadas de autopistas y autovías</w:t>
            </w:r>
            <w:r w:rsidRPr="0010179F">
              <w:rPr>
                <w:rFonts w:ascii="Arial" w:eastAsia="Arial" w:hAnsi="Arial" w:cs="Arial"/>
                <w:b/>
                <w:bCs/>
                <w:sz w:val="20"/>
                <w:szCs w:val="20"/>
              </w:rPr>
              <w:t xml:space="preserve"> (C</w:t>
            </w:r>
            <w:r w:rsidR="0000436B">
              <w:rPr>
                <w:rFonts w:ascii="Arial" w:eastAsia="Arial" w:hAnsi="Arial" w:cs="Arial"/>
                <w:b/>
                <w:bCs/>
                <w:sz w:val="20"/>
                <w:szCs w:val="20"/>
              </w:rPr>
              <w:t>arreteras con calzadas separadas)</w:t>
            </w:r>
          </w:p>
        </w:tc>
      </w:tr>
      <w:tr w:rsidR="00E61F2C" w:rsidRPr="0010179F" w14:paraId="4C9BD14B" w14:textId="77777777" w:rsidTr="00D95BD5">
        <w:trPr>
          <w:trHeight w:val="348"/>
          <w:jc w:val="center"/>
        </w:trPr>
        <w:tc>
          <w:tcPr>
            <w:tcW w:w="2495" w:type="dxa"/>
          </w:tcPr>
          <w:p w14:paraId="49A6C69D" w14:textId="77777777" w:rsidR="00E61F2C" w:rsidRPr="0010179F" w:rsidRDefault="00E61F2C" w:rsidP="004D147E">
            <w:pPr>
              <w:spacing w:before="4" w:line="110" w:lineRule="exact"/>
              <w:rPr>
                <w:sz w:val="11"/>
                <w:szCs w:val="11"/>
              </w:rPr>
            </w:pPr>
          </w:p>
          <w:p w14:paraId="1E1E473C" w14:textId="77777777" w:rsidR="00E61F2C" w:rsidRPr="0010179F" w:rsidRDefault="00E61F2C" w:rsidP="004D147E">
            <w:pPr>
              <w:ind w:left="822" w:right="803"/>
              <w:jc w:val="center"/>
              <w:rPr>
                <w:rFonts w:ascii="Arial" w:eastAsia="Arial" w:hAnsi="Arial" w:cs="Arial"/>
                <w:sz w:val="20"/>
                <w:szCs w:val="20"/>
              </w:rPr>
            </w:pPr>
            <w:r w:rsidRPr="0010179F">
              <w:rPr>
                <w:rFonts w:ascii="Arial" w:eastAsia="Arial" w:hAnsi="Arial" w:cs="Arial"/>
                <w:b/>
                <w:bCs/>
                <w:sz w:val="20"/>
                <w:szCs w:val="20"/>
              </w:rPr>
              <w:t>50</w:t>
            </w:r>
          </w:p>
        </w:tc>
        <w:tc>
          <w:tcPr>
            <w:tcW w:w="4446" w:type="dxa"/>
          </w:tcPr>
          <w:p w14:paraId="0A9F863E" w14:textId="77777777" w:rsidR="00E61F2C" w:rsidRPr="0010179F" w:rsidRDefault="00E61F2C" w:rsidP="004D147E">
            <w:pPr>
              <w:spacing w:before="3" w:line="110" w:lineRule="exact"/>
              <w:rPr>
                <w:sz w:val="11"/>
                <w:szCs w:val="11"/>
              </w:rPr>
            </w:pPr>
          </w:p>
          <w:p w14:paraId="24EDA9E7" w14:textId="77777777" w:rsidR="00E61F2C" w:rsidRPr="0010179F" w:rsidRDefault="00E61F2C" w:rsidP="004D147E">
            <w:pPr>
              <w:ind w:left="1476" w:right="1470"/>
              <w:jc w:val="center"/>
              <w:rPr>
                <w:rFonts w:ascii="Arial" w:eastAsia="Arial" w:hAnsi="Arial" w:cs="Arial"/>
                <w:sz w:val="20"/>
                <w:szCs w:val="20"/>
              </w:rPr>
            </w:pPr>
            <w:r w:rsidRPr="0010179F">
              <w:rPr>
                <w:rFonts w:ascii="Arial" w:eastAsia="Arial" w:hAnsi="Arial" w:cs="Arial"/>
                <w:sz w:val="20"/>
                <w:szCs w:val="20"/>
              </w:rPr>
              <w:t>&lt; 1,5</w:t>
            </w:r>
          </w:p>
        </w:tc>
      </w:tr>
      <w:tr w:rsidR="00E61F2C" w:rsidRPr="0010179F" w14:paraId="4883CFEC" w14:textId="77777777" w:rsidTr="00D95BD5">
        <w:trPr>
          <w:trHeight w:val="348"/>
          <w:jc w:val="center"/>
        </w:trPr>
        <w:tc>
          <w:tcPr>
            <w:tcW w:w="2495" w:type="dxa"/>
          </w:tcPr>
          <w:p w14:paraId="10B903F0" w14:textId="77777777" w:rsidR="00E61F2C" w:rsidRPr="0010179F" w:rsidRDefault="00E61F2C" w:rsidP="004D147E">
            <w:pPr>
              <w:spacing w:before="4" w:line="110" w:lineRule="exact"/>
              <w:rPr>
                <w:sz w:val="11"/>
                <w:szCs w:val="11"/>
              </w:rPr>
            </w:pPr>
          </w:p>
          <w:p w14:paraId="24D8D1ED" w14:textId="77777777" w:rsidR="00E61F2C" w:rsidRPr="0010179F" w:rsidRDefault="00E61F2C" w:rsidP="004D147E">
            <w:pPr>
              <w:ind w:left="822" w:right="797"/>
              <w:jc w:val="center"/>
              <w:rPr>
                <w:rFonts w:ascii="Arial" w:eastAsia="Arial" w:hAnsi="Arial" w:cs="Arial"/>
                <w:sz w:val="20"/>
                <w:szCs w:val="20"/>
              </w:rPr>
            </w:pPr>
            <w:r w:rsidRPr="0010179F">
              <w:rPr>
                <w:rFonts w:ascii="Arial" w:eastAsia="Arial" w:hAnsi="Arial" w:cs="Arial"/>
                <w:b/>
                <w:bCs/>
                <w:sz w:val="20"/>
                <w:szCs w:val="20"/>
              </w:rPr>
              <w:t>80</w:t>
            </w:r>
          </w:p>
        </w:tc>
        <w:tc>
          <w:tcPr>
            <w:tcW w:w="4446" w:type="dxa"/>
          </w:tcPr>
          <w:p w14:paraId="2CFA2C5E" w14:textId="77777777" w:rsidR="00E61F2C" w:rsidRPr="0010179F" w:rsidRDefault="00E61F2C" w:rsidP="004D147E">
            <w:pPr>
              <w:spacing w:before="3" w:line="110" w:lineRule="exact"/>
              <w:rPr>
                <w:sz w:val="11"/>
                <w:szCs w:val="11"/>
              </w:rPr>
            </w:pPr>
          </w:p>
          <w:p w14:paraId="1484DFA1" w14:textId="77777777" w:rsidR="00E61F2C" w:rsidRPr="0010179F" w:rsidRDefault="00E61F2C" w:rsidP="004D147E">
            <w:pPr>
              <w:ind w:left="1470" w:right="1470"/>
              <w:jc w:val="center"/>
              <w:rPr>
                <w:rFonts w:ascii="Arial" w:eastAsia="Arial" w:hAnsi="Arial" w:cs="Arial"/>
                <w:sz w:val="20"/>
                <w:szCs w:val="20"/>
              </w:rPr>
            </w:pPr>
            <w:r w:rsidRPr="0010179F">
              <w:rPr>
                <w:rFonts w:ascii="Arial" w:eastAsia="Arial" w:hAnsi="Arial" w:cs="Arial"/>
                <w:sz w:val="20"/>
                <w:szCs w:val="20"/>
              </w:rPr>
              <w:t>&lt; 1,8</w:t>
            </w:r>
          </w:p>
        </w:tc>
      </w:tr>
      <w:tr w:rsidR="00E61F2C" w:rsidRPr="0010179F" w14:paraId="0E9CCA78" w14:textId="77777777" w:rsidTr="00D95BD5">
        <w:trPr>
          <w:trHeight w:val="348"/>
          <w:jc w:val="center"/>
        </w:trPr>
        <w:tc>
          <w:tcPr>
            <w:tcW w:w="2495" w:type="dxa"/>
          </w:tcPr>
          <w:p w14:paraId="03CC5F90" w14:textId="77777777" w:rsidR="00E61F2C" w:rsidRPr="0010179F" w:rsidRDefault="00E61F2C" w:rsidP="004D147E">
            <w:pPr>
              <w:spacing w:before="4" w:line="110" w:lineRule="exact"/>
              <w:rPr>
                <w:sz w:val="11"/>
                <w:szCs w:val="11"/>
              </w:rPr>
            </w:pPr>
          </w:p>
          <w:p w14:paraId="527ACE16" w14:textId="77777777" w:rsidR="00E61F2C" w:rsidRPr="0010179F" w:rsidRDefault="00E61F2C" w:rsidP="004D147E">
            <w:pPr>
              <w:ind w:left="767" w:right="741"/>
              <w:jc w:val="center"/>
              <w:rPr>
                <w:rFonts w:ascii="Arial" w:eastAsia="Arial" w:hAnsi="Arial" w:cs="Arial"/>
                <w:sz w:val="20"/>
                <w:szCs w:val="20"/>
              </w:rPr>
            </w:pPr>
            <w:r w:rsidRPr="0010179F">
              <w:rPr>
                <w:rFonts w:ascii="Arial" w:eastAsia="Arial" w:hAnsi="Arial" w:cs="Arial"/>
                <w:b/>
                <w:bCs/>
                <w:sz w:val="20"/>
                <w:szCs w:val="20"/>
              </w:rPr>
              <w:t>100</w:t>
            </w:r>
          </w:p>
        </w:tc>
        <w:tc>
          <w:tcPr>
            <w:tcW w:w="4446" w:type="dxa"/>
          </w:tcPr>
          <w:p w14:paraId="4C40F35D" w14:textId="77777777" w:rsidR="00E61F2C" w:rsidRPr="0010179F" w:rsidRDefault="00E61F2C" w:rsidP="004D147E">
            <w:pPr>
              <w:spacing w:before="3" w:line="110" w:lineRule="exact"/>
              <w:rPr>
                <w:sz w:val="11"/>
                <w:szCs w:val="11"/>
              </w:rPr>
            </w:pPr>
          </w:p>
          <w:p w14:paraId="72C51AA9" w14:textId="77777777" w:rsidR="00E61F2C" w:rsidRPr="0010179F" w:rsidRDefault="00E61F2C" w:rsidP="004D147E">
            <w:pPr>
              <w:ind w:left="1470" w:right="1470"/>
              <w:jc w:val="center"/>
              <w:rPr>
                <w:rFonts w:ascii="Arial" w:eastAsia="Arial" w:hAnsi="Arial" w:cs="Arial"/>
                <w:sz w:val="20"/>
                <w:szCs w:val="20"/>
              </w:rPr>
            </w:pPr>
            <w:r w:rsidRPr="0010179F">
              <w:rPr>
                <w:rFonts w:ascii="Arial" w:eastAsia="Arial" w:hAnsi="Arial" w:cs="Arial"/>
                <w:sz w:val="20"/>
                <w:szCs w:val="20"/>
              </w:rPr>
              <w:t>&lt; 2,0</w:t>
            </w:r>
          </w:p>
        </w:tc>
      </w:tr>
    </w:tbl>
    <w:p w14:paraId="301027D9" w14:textId="77777777" w:rsidR="00810099" w:rsidRPr="0010179F" w:rsidRDefault="00810099" w:rsidP="00221E1A">
      <w:pPr>
        <w:pStyle w:val="NORMAL12"/>
        <w:numPr>
          <w:ilvl w:val="0"/>
          <w:numId w:val="134"/>
        </w:numPr>
      </w:pPr>
      <w:r w:rsidRPr="0010179F">
        <w:t xml:space="preserve">La superficie de la capa presentará una textura uniforme y exenta de </w:t>
      </w:r>
      <w:r w:rsidRPr="00847B90">
        <w:t>segregaci</w:t>
      </w:r>
      <w:r w:rsidR="00D9029C" w:rsidRPr="00847B90">
        <w:t>ones. La</w:t>
      </w:r>
      <w:r w:rsidRPr="00847B90">
        <w:t xml:space="preserve"> </w:t>
      </w:r>
      <w:proofErr w:type="spellStart"/>
      <w:r w:rsidRPr="00847B90">
        <w:t>macrotextura</w:t>
      </w:r>
      <w:proofErr w:type="spellEnd"/>
      <w:r w:rsidRPr="00847B90">
        <w:t xml:space="preserve"> superficial, obtenida mediante el método volumétrico (norma UNE-EN 13036-1</w:t>
      </w:r>
      <w:r w:rsidR="00D618A8" w:rsidRPr="00847B90">
        <w:t>:2010</w:t>
      </w:r>
      <w:r w:rsidRPr="00847B90">
        <w:t>) y la resistencia al deslizamiento transversal (norma UNE 41201 IN</w:t>
      </w:r>
      <w:r w:rsidR="00D618A8" w:rsidRPr="00847B90">
        <w:t>:2010</w:t>
      </w:r>
      <w:r w:rsidRPr="00847B90">
        <w:t>) no deberán ser inferiores a los valores indicados en la tabla 550.10.</w:t>
      </w:r>
    </w:p>
    <w:p w14:paraId="76D589E5" w14:textId="77777777" w:rsidR="00810099" w:rsidRPr="0010179F" w:rsidRDefault="00810099" w:rsidP="003F0EA7">
      <w:pPr>
        <w:pStyle w:val="NORMAL12"/>
        <w:jc w:val="center"/>
        <w:rPr>
          <w:sz w:val="20"/>
          <w:szCs w:val="20"/>
          <w:lang w:val="es-ES"/>
        </w:rPr>
      </w:pPr>
      <w:r w:rsidRPr="0010179F">
        <w:rPr>
          <w:sz w:val="20"/>
          <w:szCs w:val="20"/>
          <w:lang w:val="es-ES"/>
        </w:rPr>
        <w:t>Tabla 550</w:t>
      </w:r>
      <w:r w:rsidR="00D9029C">
        <w:rPr>
          <w:sz w:val="20"/>
          <w:szCs w:val="20"/>
          <w:lang w:val="es-ES"/>
        </w:rPr>
        <w:t>.10.-</w:t>
      </w:r>
      <w:r w:rsidRPr="0010179F">
        <w:rPr>
          <w:sz w:val="20"/>
          <w:szCs w:val="20"/>
          <w:lang w:val="es-ES"/>
        </w:rPr>
        <w:t xml:space="preserve"> Valores de la </w:t>
      </w:r>
      <w:proofErr w:type="spellStart"/>
      <w:r w:rsidRPr="0010179F">
        <w:rPr>
          <w:sz w:val="20"/>
          <w:szCs w:val="20"/>
          <w:lang w:val="es-ES"/>
        </w:rPr>
        <w:t>macrotextura</w:t>
      </w:r>
      <w:proofErr w:type="spellEnd"/>
      <w:r w:rsidRPr="0010179F">
        <w:rPr>
          <w:sz w:val="20"/>
          <w:szCs w:val="20"/>
          <w:lang w:val="es-ES"/>
        </w:rPr>
        <w:t xml:space="preserve"> superficial</w:t>
      </w:r>
    </w:p>
    <w:tbl>
      <w:tblPr>
        <w:tblW w:w="8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796"/>
        <w:gridCol w:w="2980"/>
      </w:tblGrid>
      <w:tr w:rsidR="005864C2" w:rsidRPr="0010179F" w14:paraId="3BD43C0D" w14:textId="77777777" w:rsidTr="00F850FB">
        <w:trPr>
          <w:trHeight w:hRule="exact" w:val="574"/>
          <w:jc w:val="center"/>
        </w:trPr>
        <w:tc>
          <w:tcPr>
            <w:tcW w:w="5796" w:type="dxa"/>
            <w:shd w:val="clear" w:color="auto" w:fill="D9D9D9" w:themeFill="background1" w:themeFillShade="D9"/>
          </w:tcPr>
          <w:p w14:paraId="7917FCC4" w14:textId="77777777" w:rsidR="00810099" w:rsidRPr="0010179F" w:rsidRDefault="00810099" w:rsidP="0000436B">
            <w:pPr>
              <w:spacing w:before="4" w:line="150" w:lineRule="exact"/>
              <w:jc w:val="center"/>
              <w:rPr>
                <w:sz w:val="15"/>
                <w:szCs w:val="15"/>
              </w:rPr>
            </w:pPr>
          </w:p>
          <w:p w14:paraId="2848DEAB" w14:textId="77777777" w:rsidR="00810099" w:rsidRPr="0010179F" w:rsidRDefault="00E85A5F" w:rsidP="0000436B">
            <w:pPr>
              <w:ind w:left="1966" w:right="1949"/>
              <w:jc w:val="center"/>
              <w:rPr>
                <w:rFonts w:ascii="Arial" w:eastAsia="Arial" w:hAnsi="Arial" w:cs="Arial"/>
                <w:sz w:val="20"/>
                <w:szCs w:val="20"/>
              </w:rPr>
            </w:pPr>
            <w:r w:rsidRPr="0010179F">
              <w:rPr>
                <w:rFonts w:ascii="Arial" w:eastAsia="Arial" w:hAnsi="Arial" w:cs="Arial"/>
                <w:b/>
                <w:bCs/>
                <w:sz w:val="20"/>
                <w:szCs w:val="20"/>
              </w:rPr>
              <w:t>C</w:t>
            </w:r>
            <w:r w:rsidR="0000436B">
              <w:rPr>
                <w:rFonts w:ascii="Arial" w:eastAsia="Arial" w:hAnsi="Arial" w:cs="Arial"/>
                <w:b/>
                <w:bCs/>
                <w:sz w:val="20"/>
                <w:szCs w:val="20"/>
              </w:rPr>
              <w:t>aracterística</w:t>
            </w:r>
          </w:p>
        </w:tc>
        <w:tc>
          <w:tcPr>
            <w:tcW w:w="2980" w:type="dxa"/>
            <w:shd w:val="clear" w:color="auto" w:fill="D9D9D9" w:themeFill="background1" w:themeFillShade="D9"/>
          </w:tcPr>
          <w:p w14:paraId="0E931C84" w14:textId="77777777" w:rsidR="00810099" w:rsidRPr="0010179F" w:rsidRDefault="00810099" w:rsidP="0000436B">
            <w:pPr>
              <w:spacing w:before="4" w:line="150" w:lineRule="exact"/>
              <w:jc w:val="center"/>
              <w:rPr>
                <w:sz w:val="15"/>
                <w:szCs w:val="15"/>
              </w:rPr>
            </w:pPr>
          </w:p>
          <w:p w14:paraId="3CB9B7FD" w14:textId="77777777" w:rsidR="00810099" w:rsidRPr="0010179F" w:rsidRDefault="00810099" w:rsidP="0000436B">
            <w:pPr>
              <w:ind w:left="136" w:right="-20"/>
              <w:jc w:val="center"/>
              <w:rPr>
                <w:rFonts w:ascii="Arial" w:eastAsia="Arial" w:hAnsi="Arial" w:cs="Arial"/>
                <w:sz w:val="20"/>
                <w:szCs w:val="20"/>
              </w:rPr>
            </w:pPr>
            <w:r w:rsidRPr="0010179F">
              <w:rPr>
                <w:rFonts w:ascii="Arial" w:eastAsia="Arial" w:hAnsi="Arial" w:cs="Arial"/>
                <w:b/>
                <w:bCs/>
                <w:sz w:val="20"/>
                <w:szCs w:val="20"/>
              </w:rPr>
              <w:t>P</w:t>
            </w:r>
            <w:r w:rsidR="0000436B">
              <w:rPr>
                <w:rFonts w:ascii="Arial" w:eastAsia="Arial" w:hAnsi="Arial" w:cs="Arial"/>
                <w:b/>
                <w:bCs/>
                <w:sz w:val="20"/>
                <w:szCs w:val="20"/>
              </w:rPr>
              <w:t>avimento de hormigón</w:t>
            </w:r>
          </w:p>
        </w:tc>
      </w:tr>
      <w:tr w:rsidR="005864C2" w:rsidRPr="0010179F" w14:paraId="570DA41F" w14:textId="77777777" w:rsidTr="00F850FB">
        <w:trPr>
          <w:trHeight w:hRule="exact" w:val="485"/>
          <w:jc w:val="center"/>
        </w:trPr>
        <w:tc>
          <w:tcPr>
            <w:tcW w:w="5796" w:type="dxa"/>
          </w:tcPr>
          <w:p w14:paraId="5810A214" w14:textId="77777777" w:rsidR="00810099" w:rsidRPr="0010179F" w:rsidRDefault="00810099" w:rsidP="004D147E">
            <w:pPr>
              <w:spacing w:before="3" w:line="110" w:lineRule="exact"/>
              <w:rPr>
                <w:sz w:val="11"/>
                <w:szCs w:val="11"/>
              </w:rPr>
            </w:pPr>
          </w:p>
          <w:p w14:paraId="1126AD90" w14:textId="77777777" w:rsidR="00810099" w:rsidRPr="0010179F" w:rsidRDefault="00810099" w:rsidP="004D147E">
            <w:pPr>
              <w:ind w:left="39" w:right="-20"/>
              <w:rPr>
                <w:rFonts w:ascii="Arial" w:eastAsia="Arial" w:hAnsi="Arial" w:cs="Arial"/>
                <w:sz w:val="20"/>
                <w:szCs w:val="20"/>
              </w:rPr>
            </w:pPr>
            <w:r w:rsidRPr="0010179F">
              <w:rPr>
                <w:rFonts w:ascii="Arial" w:eastAsia="Arial" w:hAnsi="Arial" w:cs="Arial"/>
                <w:bCs/>
                <w:sz w:val="20"/>
                <w:szCs w:val="20"/>
              </w:rPr>
              <w:t xml:space="preserve">MACROTEXTURA SUPERFICIAL </w:t>
            </w:r>
            <w:r w:rsidRPr="0010179F">
              <w:rPr>
                <w:rFonts w:ascii="Arial" w:eastAsia="Arial" w:hAnsi="Arial" w:cs="Arial"/>
                <w:sz w:val="20"/>
                <w:szCs w:val="20"/>
              </w:rPr>
              <w:t>(*) (mm) (UNE-EN 13036-1)</w:t>
            </w:r>
          </w:p>
        </w:tc>
        <w:tc>
          <w:tcPr>
            <w:tcW w:w="2980" w:type="dxa"/>
          </w:tcPr>
          <w:p w14:paraId="13DD2E0E" w14:textId="77777777" w:rsidR="00810099" w:rsidRPr="0010179F" w:rsidRDefault="00810099" w:rsidP="004D147E">
            <w:pPr>
              <w:spacing w:before="3" w:line="110" w:lineRule="exact"/>
              <w:rPr>
                <w:sz w:val="11"/>
                <w:szCs w:val="11"/>
              </w:rPr>
            </w:pPr>
          </w:p>
          <w:p w14:paraId="273C802A" w14:textId="77777777" w:rsidR="00810099" w:rsidRPr="0010179F" w:rsidRDefault="00810099" w:rsidP="004D147E">
            <w:pPr>
              <w:ind w:left="1217" w:right="1191"/>
              <w:jc w:val="center"/>
              <w:rPr>
                <w:rFonts w:ascii="Arial" w:eastAsia="Arial" w:hAnsi="Arial" w:cs="Arial"/>
                <w:sz w:val="20"/>
                <w:szCs w:val="20"/>
              </w:rPr>
            </w:pPr>
            <w:r w:rsidRPr="0010179F">
              <w:rPr>
                <w:rFonts w:ascii="Arial" w:eastAsia="Arial" w:hAnsi="Arial" w:cs="Arial"/>
                <w:sz w:val="20"/>
                <w:szCs w:val="20"/>
              </w:rPr>
              <w:t>&gt; 0,9</w:t>
            </w:r>
          </w:p>
        </w:tc>
      </w:tr>
      <w:tr w:rsidR="005864C2" w:rsidRPr="0010179F" w14:paraId="5D08C35D" w14:textId="77777777" w:rsidTr="00F850FB">
        <w:trPr>
          <w:trHeight w:hRule="exact" w:val="485"/>
          <w:jc w:val="center"/>
        </w:trPr>
        <w:tc>
          <w:tcPr>
            <w:tcW w:w="5796" w:type="dxa"/>
          </w:tcPr>
          <w:p w14:paraId="415E236F" w14:textId="77777777" w:rsidR="00810099" w:rsidRPr="0010179F" w:rsidRDefault="00810099" w:rsidP="004D147E">
            <w:pPr>
              <w:spacing w:before="3" w:line="110" w:lineRule="exact"/>
              <w:rPr>
                <w:sz w:val="11"/>
                <w:szCs w:val="11"/>
              </w:rPr>
            </w:pPr>
          </w:p>
          <w:p w14:paraId="538241EC" w14:textId="77777777" w:rsidR="00810099" w:rsidRPr="0010179F" w:rsidRDefault="00810099" w:rsidP="004D147E">
            <w:pPr>
              <w:ind w:left="39" w:right="-20"/>
              <w:rPr>
                <w:rFonts w:ascii="Arial" w:eastAsia="Arial" w:hAnsi="Arial" w:cs="Arial"/>
                <w:sz w:val="20"/>
                <w:szCs w:val="20"/>
              </w:rPr>
            </w:pPr>
            <w:r w:rsidRPr="0010179F">
              <w:rPr>
                <w:rFonts w:ascii="Arial" w:eastAsia="Arial" w:hAnsi="Arial" w:cs="Arial"/>
                <w:bCs/>
                <w:sz w:val="20"/>
                <w:szCs w:val="20"/>
              </w:rPr>
              <w:t xml:space="preserve">RESISTENCIA AL DESLIZAMIENTO </w:t>
            </w:r>
            <w:r w:rsidRPr="0010179F">
              <w:rPr>
                <w:rFonts w:ascii="Arial" w:eastAsia="Arial" w:hAnsi="Arial" w:cs="Arial"/>
                <w:sz w:val="20"/>
                <w:szCs w:val="20"/>
              </w:rPr>
              <w:t>(**) (%) (UNE 41201 IN)</w:t>
            </w:r>
          </w:p>
        </w:tc>
        <w:tc>
          <w:tcPr>
            <w:tcW w:w="2980" w:type="dxa"/>
          </w:tcPr>
          <w:p w14:paraId="4727EA74" w14:textId="77777777" w:rsidR="00810099" w:rsidRPr="0010179F" w:rsidRDefault="00810099" w:rsidP="004D147E">
            <w:pPr>
              <w:spacing w:before="3" w:line="110" w:lineRule="exact"/>
              <w:rPr>
                <w:sz w:val="11"/>
                <w:szCs w:val="11"/>
              </w:rPr>
            </w:pPr>
          </w:p>
          <w:p w14:paraId="615A374F" w14:textId="77777777" w:rsidR="00810099" w:rsidRPr="0010179F" w:rsidRDefault="00810099" w:rsidP="004D147E">
            <w:pPr>
              <w:ind w:left="1245" w:right="1219"/>
              <w:jc w:val="center"/>
              <w:rPr>
                <w:rFonts w:ascii="Arial" w:eastAsia="Arial" w:hAnsi="Arial" w:cs="Arial"/>
                <w:sz w:val="20"/>
                <w:szCs w:val="20"/>
              </w:rPr>
            </w:pPr>
            <w:r w:rsidRPr="0010179F">
              <w:rPr>
                <w:rFonts w:ascii="Arial" w:eastAsia="Arial" w:hAnsi="Arial" w:cs="Arial"/>
                <w:sz w:val="20"/>
                <w:szCs w:val="20"/>
              </w:rPr>
              <w:t>&gt; 75</w:t>
            </w:r>
          </w:p>
        </w:tc>
      </w:tr>
    </w:tbl>
    <w:p w14:paraId="343BB5AE" w14:textId="77777777" w:rsidR="00810099" w:rsidRDefault="00810099" w:rsidP="000313DD">
      <w:pPr>
        <w:pStyle w:val="TITU2"/>
      </w:pPr>
      <w:bookmarkStart w:id="624" w:name="_Toc404363"/>
      <w:r w:rsidRPr="005864C2">
        <w:t>550.8. Limitaciones de la ejecución</w:t>
      </w:r>
      <w:bookmarkEnd w:id="624"/>
    </w:p>
    <w:p w14:paraId="71B5A774" w14:textId="77777777" w:rsidR="00676B46" w:rsidRDefault="00676B46" w:rsidP="00676B46">
      <w:pPr>
        <w:pStyle w:val="NORMAL12"/>
        <w:rPr>
          <w:lang w:val="es-ES"/>
        </w:rPr>
      </w:pPr>
      <w:r>
        <w:rPr>
          <w:lang w:val="es-ES"/>
        </w:rPr>
        <w:t>Se limitará la ejecución si:</w:t>
      </w:r>
    </w:p>
    <w:p w14:paraId="60E605C6" w14:textId="77777777" w:rsidR="00810099" w:rsidRPr="0010179F" w:rsidRDefault="00810099" w:rsidP="00221E1A">
      <w:pPr>
        <w:pStyle w:val="NORMAL12"/>
        <w:numPr>
          <w:ilvl w:val="0"/>
          <w:numId w:val="134"/>
        </w:numPr>
      </w:pPr>
      <w:r w:rsidRPr="0010179F">
        <w:t xml:space="preserve">Se interrumpirá la ejecución cuando haya </w:t>
      </w:r>
      <w:r w:rsidR="00E85A5F" w:rsidRPr="0010179F">
        <w:t>precipitaciones con</w:t>
      </w:r>
      <w:r w:rsidRPr="0010179F">
        <w:t xml:space="preserve"> una intensidad tal que pudiera, a juicio del </w:t>
      </w:r>
      <w:proofErr w:type="gramStart"/>
      <w:r w:rsidRPr="0010179F">
        <w:t>Director</w:t>
      </w:r>
      <w:proofErr w:type="gramEnd"/>
      <w:r w:rsidRPr="0010179F">
        <w:t xml:space="preserve"> de las Obras, provocar la deformación del borde de las losas o la pérdida de la textura superficial del hormigón fresco.</w:t>
      </w:r>
    </w:p>
    <w:p w14:paraId="737867D9" w14:textId="77777777" w:rsidR="00810099" w:rsidRPr="0010179F" w:rsidRDefault="00E85A5F" w:rsidP="00221E1A">
      <w:pPr>
        <w:pStyle w:val="NORMAL12"/>
        <w:numPr>
          <w:ilvl w:val="0"/>
          <w:numId w:val="134"/>
        </w:numPr>
      </w:pPr>
      <w:r w:rsidRPr="0010179F">
        <w:t>La descarga</w:t>
      </w:r>
      <w:r w:rsidR="00810099" w:rsidRPr="0010179F">
        <w:t xml:space="preserve"> del </w:t>
      </w:r>
      <w:r w:rsidRPr="0010179F">
        <w:t>hormigón transportado</w:t>
      </w:r>
      <w:r w:rsidR="00810099" w:rsidRPr="0010179F">
        <w:t xml:space="preserve"> deberá realizarse antes de que haya transcurrido un período máximo de cuarenta y cinco minutos (45 min), a partir de la </w:t>
      </w:r>
      <w:r w:rsidRPr="0010179F">
        <w:t>introducción del</w:t>
      </w:r>
      <w:r w:rsidR="00810099" w:rsidRPr="0010179F">
        <w:t xml:space="preserve"> cemento y de los áridos en la amasadora. </w:t>
      </w:r>
    </w:p>
    <w:p w14:paraId="6D34F7C0" w14:textId="77777777" w:rsidR="00810099" w:rsidRPr="0010179F" w:rsidRDefault="00810099" w:rsidP="00221E1A">
      <w:pPr>
        <w:pStyle w:val="NORMAL12"/>
        <w:numPr>
          <w:ilvl w:val="0"/>
          <w:numId w:val="134"/>
        </w:numPr>
      </w:pPr>
      <w:r w:rsidRPr="0010179F">
        <w:t xml:space="preserve">No deberá transcurrir más de una hora </w:t>
      </w:r>
      <w:r w:rsidR="0072225E" w:rsidRPr="0010179F">
        <w:t>(1</w:t>
      </w:r>
      <w:r w:rsidRPr="0010179F">
        <w:t xml:space="preserve"> h) entre la fabricación del hormigón y su terminación. </w:t>
      </w:r>
    </w:p>
    <w:p w14:paraId="24116DC6" w14:textId="77777777" w:rsidR="00810099" w:rsidRPr="0010179F" w:rsidRDefault="00810099" w:rsidP="00221E1A">
      <w:pPr>
        <w:pStyle w:val="NORMAL12"/>
        <w:numPr>
          <w:ilvl w:val="0"/>
          <w:numId w:val="134"/>
        </w:numPr>
      </w:pPr>
      <w:r w:rsidRPr="0010179F">
        <w:t xml:space="preserve">Con temperatura ambiente superior a treinta grados Celsius (&gt; 30 </w:t>
      </w:r>
      <w:proofErr w:type="spellStart"/>
      <w:r w:rsidRPr="0010179F">
        <w:t>ºC</w:t>
      </w:r>
      <w:proofErr w:type="spellEnd"/>
      <w:r w:rsidRPr="0010179F">
        <w:t xml:space="preserve">), se controlará constantemente la temperatura del hormigón, la cual no deberá rebasar en ningún momento los treinta y cinco grados Celsius </w:t>
      </w:r>
      <w:r w:rsidR="0072225E" w:rsidRPr="0010179F">
        <w:t>(35</w:t>
      </w:r>
      <w:r w:rsidRPr="0010179F">
        <w:t xml:space="preserve"> </w:t>
      </w:r>
      <w:proofErr w:type="spellStart"/>
      <w:r w:rsidRPr="0010179F">
        <w:t>ºC</w:t>
      </w:r>
      <w:proofErr w:type="spellEnd"/>
      <w:r w:rsidRPr="0010179F">
        <w:t xml:space="preserve">). </w:t>
      </w:r>
    </w:p>
    <w:p w14:paraId="4BAD037F" w14:textId="77777777" w:rsidR="00810099" w:rsidRPr="0010179F" w:rsidRDefault="00810099" w:rsidP="00221E1A">
      <w:pPr>
        <w:pStyle w:val="NORMAL12"/>
        <w:numPr>
          <w:ilvl w:val="0"/>
          <w:numId w:val="134"/>
        </w:numPr>
      </w:pPr>
      <w:r w:rsidRPr="0010179F">
        <w:t>La temperatura de la masa de hormigón durante su puesta en obra no será infe</w:t>
      </w:r>
      <w:r w:rsidR="00E85A5F" w:rsidRPr="0010179F">
        <w:t>rior a cinco grados Celsius (</w:t>
      </w:r>
      <w:r w:rsidRPr="0010179F">
        <w:t xml:space="preserve">5 </w:t>
      </w:r>
      <w:proofErr w:type="spellStart"/>
      <w:r w:rsidRPr="0010179F">
        <w:t>ºC</w:t>
      </w:r>
      <w:proofErr w:type="spellEnd"/>
      <w:r w:rsidRPr="0010179F">
        <w:t xml:space="preserve">) y se prohibirá la puesta en obra del hormigón sobre una superficie cuya temperatura sea inferior a cero grados Celsius (&lt; 0 </w:t>
      </w:r>
      <w:proofErr w:type="spellStart"/>
      <w:r w:rsidRPr="0010179F">
        <w:t>ºC</w:t>
      </w:r>
      <w:proofErr w:type="spellEnd"/>
      <w:r w:rsidRPr="0010179F">
        <w:t>).</w:t>
      </w:r>
    </w:p>
    <w:p w14:paraId="476BEC50" w14:textId="77777777" w:rsidR="00810099" w:rsidRPr="0010179F" w:rsidRDefault="00810099" w:rsidP="00221E1A">
      <w:pPr>
        <w:pStyle w:val="NORMAL12"/>
        <w:numPr>
          <w:ilvl w:val="0"/>
          <w:numId w:val="134"/>
        </w:numPr>
      </w:pPr>
      <w:r w:rsidRPr="0010179F">
        <w:t xml:space="preserve">El sellado de juntas en caliente se suspenderá, salvo indicación expresa del </w:t>
      </w:r>
      <w:proofErr w:type="gramStart"/>
      <w:r w:rsidRPr="0010179F">
        <w:t>Director</w:t>
      </w:r>
      <w:proofErr w:type="gramEnd"/>
      <w:r w:rsidRPr="0010179F">
        <w:t xml:space="preserve"> de las Obras, cuando la temperatura ambiente baje de cinco grados Celsius (5 </w:t>
      </w:r>
      <w:proofErr w:type="spellStart"/>
      <w:r w:rsidRPr="0010179F">
        <w:t>ºC</w:t>
      </w:r>
      <w:proofErr w:type="spellEnd"/>
      <w:r w:rsidRPr="0010179F">
        <w:t>), o en caso de lluvia o viento fuerte.</w:t>
      </w:r>
    </w:p>
    <w:p w14:paraId="1255965A" w14:textId="77777777" w:rsidR="00810099" w:rsidRPr="004A0385" w:rsidRDefault="00810099" w:rsidP="00221E1A">
      <w:pPr>
        <w:pStyle w:val="NORMAL12"/>
        <w:numPr>
          <w:ilvl w:val="0"/>
          <w:numId w:val="134"/>
        </w:numPr>
      </w:pPr>
      <w:r w:rsidRPr="0010179F">
        <w:t xml:space="preserve">El tráfico de obra no podrá circular sobre el pavimento hasta que éste </w:t>
      </w:r>
      <w:r w:rsidR="00E85A5F" w:rsidRPr="0010179F">
        <w:t>no haya</w:t>
      </w:r>
      <w:r w:rsidRPr="0010179F">
        <w:t xml:space="preserve"> alcanzado una resistencia a </w:t>
      </w:r>
      <w:proofErr w:type="spellStart"/>
      <w:r w:rsidRPr="0010179F">
        <w:t>flexotracción</w:t>
      </w:r>
      <w:proofErr w:type="spellEnd"/>
      <w:r w:rsidRPr="0010179F">
        <w:t xml:space="preserve"> del ochenta por ciento (80%) de la exigida a </w:t>
      </w:r>
      <w:r w:rsidR="00E85A5F" w:rsidRPr="0010179F">
        <w:t>veintiocho días (28 d). Todas las juntas que no hayan sido obturadas</w:t>
      </w:r>
      <w:r w:rsidRPr="0010179F">
        <w:t xml:space="preserve"> </w:t>
      </w:r>
      <w:r w:rsidRPr="004A0385">
        <w:t>provisionalmente con un cordón deberán sellarse lo más rápidamente posible.</w:t>
      </w:r>
    </w:p>
    <w:p w14:paraId="7875B3A3" w14:textId="77777777" w:rsidR="00810099" w:rsidRPr="004A0385" w:rsidRDefault="00810099" w:rsidP="00221E1A">
      <w:pPr>
        <w:pStyle w:val="NORMAL12"/>
        <w:numPr>
          <w:ilvl w:val="0"/>
          <w:numId w:val="134"/>
        </w:numPr>
      </w:pPr>
      <w:r w:rsidRPr="004A0385">
        <w:t>La apertura a la circulación no podrá realizarse antes de siete días (7 d) de la terminación del pavimento.</w:t>
      </w:r>
    </w:p>
    <w:p w14:paraId="56797637" w14:textId="77777777" w:rsidR="00810099" w:rsidRPr="004A0385" w:rsidRDefault="00810099" w:rsidP="000313DD">
      <w:pPr>
        <w:pStyle w:val="TITU2"/>
      </w:pPr>
      <w:bookmarkStart w:id="625" w:name="_Toc404364"/>
      <w:r w:rsidRPr="004A0385">
        <w:lastRenderedPageBreak/>
        <w:t>550.9. Control de calidad</w:t>
      </w:r>
      <w:bookmarkEnd w:id="625"/>
    </w:p>
    <w:p w14:paraId="0CB8FB84" w14:textId="77777777" w:rsidR="00CA0E21" w:rsidRPr="00847B90" w:rsidRDefault="00CA0E21" w:rsidP="00CA0E21">
      <w:pPr>
        <w:pStyle w:val="NORMAL12"/>
        <w:rPr>
          <w:lang w:val="es-ES"/>
        </w:rPr>
      </w:pPr>
      <w:r w:rsidRPr="004A0385">
        <w:rPr>
          <w:lang w:val="es-ES"/>
        </w:rPr>
        <w:t xml:space="preserve">Se </w:t>
      </w:r>
      <w:r w:rsidRPr="00847B90">
        <w:rPr>
          <w:lang w:val="es-ES"/>
        </w:rPr>
        <w:t>llevará a cabo el control de calidad de los siguientes elementos:</w:t>
      </w:r>
    </w:p>
    <w:p w14:paraId="2F95C122" w14:textId="77777777" w:rsidR="0010179F" w:rsidRPr="00847B90" w:rsidRDefault="0010179F" w:rsidP="00221E1A">
      <w:pPr>
        <w:pStyle w:val="NORMAL12"/>
        <w:numPr>
          <w:ilvl w:val="0"/>
          <w:numId w:val="136"/>
        </w:numPr>
        <w:rPr>
          <w:lang w:val="es-ES"/>
        </w:rPr>
      </w:pPr>
      <w:r w:rsidRPr="00847B90">
        <w:rPr>
          <w:lang w:val="es-ES"/>
        </w:rPr>
        <w:t xml:space="preserve">Control de procedencia de los materiales. </w:t>
      </w:r>
    </w:p>
    <w:p w14:paraId="1F1F0873" w14:textId="77777777" w:rsidR="0010179F" w:rsidRPr="00847B90" w:rsidRDefault="0010179F" w:rsidP="00221E1A">
      <w:pPr>
        <w:pStyle w:val="NORMAL12"/>
        <w:numPr>
          <w:ilvl w:val="1"/>
          <w:numId w:val="136"/>
        </w:numPr>
        <w:rPr>
          <w:lang w:val="es-ES"/>
        </w:rPr>
      </w:pPr>
      <w:r w:rsidRPr="00847B90">
        <w:rPr>
          <w:lang w:val="es-ES"/>
        </w:rPr>
        <w:t>Cementos según el artículo 202 del PG3.</w:t>
      </w:r>
    </w:p>
    <w:p w14:paraId="0493E81E" w14:textId="77777777" w:rsidR="00810099" w:rsidRPr="00847B90" w:rsidRDefault="0010179F" w:rsidP="00221E1A">
      <w:pPr>
        <w:pStyle w:val="NORMAL12"/>
        <w:numPr>
          <w:ilvl w:val="1"/>
          <w:numId w:val="136"/>
        </w:numPr>
        <w:rPr>
          <w:lang w:val="es-ES"/>
        </w:rPr>
      </w:pPr>
      <w:r w:rsidRPr="00847B90">
        <w:rPr>
          <w:lang w:val="es-ES"/>
        </w:rPr>
        <w:t>Control de los áridos</w:t>
      </w:r>
    </w:p>
    <w:p w14:paraId="393C6D30" w14:textId="77777777" w:rsidR="00810099" w:rsidRPr="00847B90" w:rsidRDefault="00810099" w:rsidP="007D3477">
      <w:pPr>
        <w:pStyle w:val="NORMAL12"/>
      </w:pPr>
      <w:r w:rsidRPr="00847B90">
        <w:t>Sobre cada fracción de árido que se produzca o reciba, se realizarán los siguientes ensayos:</w:t>
      </w:r>
    </w:p>
    <w:p w14:paraId="5E359D4F" w14:textId="77777777" w:rsidR="00810099" w:rsidRPr="00847B90" w:rsidRDefault="00810099" w:rsidP="007D3477">
      <w:pPr>
        <w:pStyle w:val="NORMAL12"/>
      </w:pPr>
      <w:r w:rsidRPr="00847B90">
        <w:t>Al menos dos (2) veces al día, una por la mañana y otra por la tarde:</w:t>
      </w:r>
    </w:p>
    <w:p w14:paraId="49E0B57E" w14:textId="77777777" w:rsidR="00810099" w:rsidRPr="00847B90" w:rsidRDefault="00810099" w:rsidP="00E01981">
      <w:pPr>
        <w:pStyle w:val="NORMAL12"/>
        <w:numPr>
          <w:ilvl w:val="0"/>
          <w:numId w:val="39"/>
        </w:numPr>
      </w:pPr>
      <w:r w:rsidRPr="00847B90">
        <w:t>Granulometría (norma UNE-EN 933-1</w:t>
      </w:r>
      <w:r w:rsidR="00D618A8" w:rsidRPr="00847B90">
        <w:t>:2012</w:t>
      </w:r>
      <w:r w:rsidRPr="00847B90">
        <w:t>).</w:t>
      </w:r>
    </w:p>
    <w:p w14:paraId="4C9F7BCA" w14:textId="77777777" w:rsidR="00810099" w:rsidRPr="00847B90" w:rsidRDefault="00810099" w:rsidP="00E01981">
      <w:pPr>
        <w:pStyle w:val="NORMAL12"/>
        <w:numPr>
          <w:ilvl w:val="0"/>
          <w:numId w:val="39"/>
        </w:numPr>
      </w:pPr>
      <w:r w:rsidRPr="00847B90">
        <w:t xml:space="preserve">Proporción de finos que pasan por el </w:t>
      </w:r>
      <w:r w:rsidR="007D3477" w:rsidRPr="00847B90">
        <w:t>t</w:t>
      </w:r>
      <w:r w:rsidRPr="00847B90">
        <w:t>amiz</w:t>
      </w:r>
      <w:r w:rsidR="007D3477" w:rsidRPr="00847B90">
        <w:t xml:space="preserve"> </w:t>
      </w:r>
      <w:r w:rsidRPr="00847B90">
        <w:t>0,063 mm (norma</w:t>
      </w:r>
      <w:r w:rsidR="00F04B51" w:rsidRPr="00847B90">
        <w:t xml:space="preserve"> </w:t>
      </w:r>
      <w:r w:rsidRPr="00847B90">
        <w:t>UNE-EN 933-2</w:t>
      </w:r>
      <w:r w:rsidR="00D618A8" w:rsidRPr="00847B90">
        <w:t>:1996</w:t>
      </w:r>
      <w:r w:rsidRPr="00847B90">
        <w:t>).</w:t>
      </w:r>
    </w:p>
    <w:p w14:paraId="1D5CC622" w14:textId="77777777" w:rsidR="00810099" w:rsidRPr="00847B90" w:rsidRDefault="00810099" w:rsidP="00E85A5F">
      <w:pPr>
        <w:pStyle w:val="NORMAL12"/>
        <w:keepNext/>
      </w:pPr>
      <w:r w:rsidRPr="00847B90">
        <w:t>Al menos una (1) vez a la semana:</w:t>
      </w:r>
    </w:p>
    <w:p w14:paraId="0B29C05A" w14:textId="77777777" w:rsidR="00810099" w:rsidRPr="00847B90" w:rsidRDefault="00810099" w:rsidP="00E01981">
      <w:pPr>
        <w:pStyle w:val="NORMAL12"/>
        <w:numPr>
          <w:ilvl w:val="0"/>
          <w:numId w:val="39"/>
        </w:numPr>
      </w:pPr>
      <w:r w:rsidRPr="00847B90">
        <w:t>Índice de lajas (FI) del árido grueso (norma UNE-EN 933-3</w:t>
      </w:r>
      <w:r w:rsidR="00D618A8" w:rsidRPr="00847B90">
        <w:t>:2012</w:t>
      </w:r>
      <w:r w:rsidRPr="00847B90">
        <w:t>).</w:t>
      </w:r>
    </w:p>
    <w:p w14:paraId="5BC4E06F" w14:textId="77777777" w:rsidR="00810099" w:rsidRPr="00847B90" w:rsidRDefault="00810099" w:rsidP="00E01981">
      <w:pPr>
        <w:pStyle w:val="NORMAL12"/>
        <w:numPr>
          <w:ilvl w:val="0"/>
          <w:numId w:val="39"/>
        </w:numPr>
      </w:pPr>
      <w:r w:rsidRPr="00847B90">
        <w:t>Equivalente de arena (SE</w:t>
      </w:r>
      <w:r w:rsidRPr="00847B90">
        <w:rPr>
          <w:vertAlign w:val="subscript"/>
        </w:rPr>
        <w:t>4</w:t>
      </w:r>
      <w:r w:rsidRPr="00847B90">
        <w:t>) del árido fino (Anexo A de la norma UNE-EN 933-</w:t>
      </w:r>
      <w:r w:rsidR="00F04B51" w:rsidRPr="00847B90">
        <w:t xml:space="preserve"> </w:t>
      </w:r>
      <w:r w:rsidRPr="00847B90">
        <w:t>8</w:t>
      </w:r>
      <w:r w:rsidR="00D618A8" w:rsidRPr="00847B90">
        <w:t>:2012 +A1:2015</w:t>
      </w:r>
      <w:r w:rsidRPr="00847B90">
        <w:t>).</w:t>
      </w:r>
    </w:p>
    <w:p w14:paraId="2AE2F4D1" w14:textId="77777777" w:rsidR="00810099" w:rsidRPr="00847B90" w:rsidRDefault="00810099" w:rsidP="007D3477">
      <w:pPr>
        <w:pStyle w:val="NORMAL12"/>
      </w:pPr>
      <w:r w:rsidRPr="00847B90">
        <w:t>Al menos una (1) vez al mes:</w:t>
      </w:r>
    </w:p>
    <w:p w14:paraId="5FD6BE61" w14:textId="77777777" w:rsidR="00810099" w:rsidRPr="00847B90" w:rsidRDefault="00810099" w:rsidP="00E01981">
      <w:pPr>
        <w:pStyle w:val="NORMAL12"/>
        <w:numPr>
          <w:ilvl w:val="0"/>
          <w:numId w:val="39"/>
        </w:numPr>
      </w:pPr>
      <w:r w:rsidRPr="00847B90">
        <w:t>Coeficiente de Los Ángeles (LA) del árido grueso (norma UNE-EN 1097-2</w:t>
      </w:r>
      <w:r w:rsidR="00D618A8" w:rsidRPr="00847B90">
        <w:t>:2010</w:t>
      </w:r>
      <w:r w:rsidRPr="00847B90">
        <w:t>).</w:t>
      </w:r>
    </w:p>
    <w:p w14:paraId="4C5281E1" w14:textId="77777777" w:rsidR="00810099" w:rsidRPr="00847B90" w:rsidRDefault="00810099" w:rsidP="00E01981">
      <w:pPr>
        <w:pStyle w:val="NORMAL12"/>
        <w:numPr>
          <w:ilvl w:val="0"/>
          <w:numId w:val="39"/>
        </w:numPr>
      </w:pPr>
      <w:r w:rsidRPr="00847B90">
        <w:t>Co</w:t>
      </w:r>
      <w:r w:rsidR="00E85A5F" w:rsidRPr="00847B90">
        <w:t>eficiente de pulimiento acelerado</w:t>
      </w:r>
      <w:r w:rsidRPr="00847B90">
        <w:t xml:space="preserve"> (PSV), en su cas</w:t>
      </w:r>
      <w:r w:rsidR="00E85A5F" w:rsidRPr="00847B90">
        <w:t>o, del árido grueso a utilizar en la capa de hormigón superior de pavimentos bicapa (</w:t>
      </w:r>
      <w:r w:rsidRPr="00847B90">
        <w:t>norma UNE-EN 1097-8</w:t>
      </w:r>
      <w:r w:rsidR="00D618A8" w:rsidRPr="00847B90">
        <w:t>:2010</w:t>
      </w:r>
      <w:r w:rsidRPr="00847B90">
        <w:t>).</w:t>
      </w:r>
    </w:p>
    <w:p w14:paraId="144D6B22" w14:textId="77777777" w:rsidR="00810099" w:rsidRPr="00847B90" w:rsidRDefault="00810099" w:rsidP="00E01981">
      <w:pPr>
        <w:pStyle w:val="NORMAL12"/>
        <w:numPr>
          <w:ilvl w:val="0"/>
          <w:numId w:val="39"/>
        </w:numPr>
      </w:pPr>
      <w:r w:rsidRPr="00847B90">
        <w:t>El contenido ponderal de compuestos totales de azufre (S) y sulfatos solubles en ácido (SO</w:t>
      </w:r>
      <w:r w:rsidRPr="00847B90">
        <w:rPr>
          <w:vertAlign w:val="subscript"/>
        </w:rPr>
        <w:t>3</w:t>
      </w:r>
      <w:r w:rsidRPr="00847B90">
        <w:t>) (norma UNE-EN 1744-1</w:t>
      </w:r>
      <w:r w:rsidR="00D618A8" w:rsidRPr="00847B90">
        <w:t>:2010 + A1:2013</w:t>
      </w:r>
      <w:r w:rsidRPr="00847B90">
        <w:t>).</w:t>
      </w:r>
    </w:p>
    <w:p w14:paraId="7913BB62" w14:textId="77777777" w:rsidR="00810099" w:rsidRPr="00847B90" w:rsidRDefault="00810099" w:rsidP="00E01981">
      <w:pPr>
        <w:pStyle w:val="NORMAL12"/>
        <w:numPr>
          <w:ilvl w:val="0"/>
          <w:numId w:val="39"/>
        </w:numPr>
      </w:pPr>
      <w:r w:rsidRPr="00847B90">
        <w:t xml:space="preserve">Determinación de compuestos </w:t>
      </w:r>
      <w:r w:rsidR="007D3477" w:rsidRPr="00847B90">
        <w:t>o</w:t>
      </w:r>
      <w:r w:rsidRPr="00847B90">
        <w:t>rgánicos que afectan al fraguado</w:t>
      </w:r>
      <w:r w:rsidR="007D3477" w:rsidRPr="00847B90">
        <w:t xml:space="preserve"> </w:t>
      </w:r>
      <w:r w:rsidRPr="00847B90">
        <w:t>y</w:t>
      </w:r>
      <w:r w:rsidR="00AB6DB4" w:rsidRPr="00847B90">
        <w:t xml:space="preserve"> </w:t>
      </w:r>
      <w:r w:rsidRPr="00847B90">
        <w:t>endurecimiento del cemento (norma UNE-EN 1744-1</w:t>
      </w:r>
      <w:r w:rsidR="00D618A8" w:rsidRPr="00847B90">
        <w:t>:2010 + A1:2013</w:t>
      </w:r>
      <w:r w:rsidRPr="00847B90">
        <w:t>).</w:t>
      </w:r>
    </w:p>
    <w:p w14:paraId="05089C1C" w14:textId="77777777" w:rsidR="00810099" w:rsidRPr="00847B90" w:rsidRDefault="00E85A5F" w:rsidP="00E01981">
      <w:pPr>
        <w:pStyle w:val="NORMAL12"/>
        <w:numPr>
          <w:ilvl w:val="0"/>
          <w:numId w:val="39"/>
        </w:numPr>
      </w:pPr>
      <w:r w:rsidRPr="00847B90">
        <w:t>Comprobación de que no existe reactividad álcali</w:t>
      </w:r>
      <w:r w:rsidR="00810099" w:rsidRPr="00847B90">
        <w:t>-</w:t>
      </w:r>
      <w:r w:rsidRPr="00847B90">
        <w:t>árido y álcali</w:t>
      </w:r>
      <w:r w:rsidR="00810099" w:rsidRPr="00847B90">
        <w:t>-carbonato según la vigente Instrucción de Hormigón Estructural EHE.</w:t>
      </w:r>
    </w:p>
    <w:p w14:paraId="36599B3D" w14:textId="77777777" w:rsidR="00810099" w:rsidRPr="00847B90" w:rsidRDefault="00810099" w:rsidP="00E01981">
      <w:pPr>
        <w:pStyle w:val="NORMAL12"/>
        <w:numPr>
          <w:ilvl w:val="0"/>
          <w:numId w:val="39"/>
        </w:numPr>
        <w:rPr>
          <w:rFonts w:eastAsia="Arial"/>
          <w:sz w:val="23"/>
          <w:szCs w:val="23"/>
        </w:rPr>
      </w:pPr>
      <w:r w:rsidRPr="00847B90">
        <w:t>Absorción de agua (norma UNE-EN 1097-6</w:t>
      </w:r>
      <w:r w:rsidR="00D618A8" w:rsidRPr="00847B90">
        <w:t>:2014</w:t>
      </w:r>
      <w:r w:rsidRPr="00847B90">
        <w:t xml:space="preserve">) y, en su caso, ensayo de sulfato de </w:t>
      </w:r>
      <w:r w:rsidR="00E85A5F" w:rsidRPr="00847B90">
        <w:t>magnesio (norma UNE</w:t>
      </w:r>
      <w:r w:rsidRPr="00847B90">
        <w:t>-EN 1367-2</w:t>
      </w:r>
      <w:r w:rsidR="00D618A8" w:rsidRPr="00847B90">
        <w:t>:2010</w:t>
      </w:r>
      <w:r w:rsidRPr="00847B90">
        <w:t>)</w:t>
      </w:r>
      <w:r w:rsidR="00E85A5F" w:rsidRPr="00847B90">
        <w:t>, en</w:t>
      </w:r>
      <w:r w:rsidRPr="00847B90">
        <w:t xml:space="preserve"> </w:t>
      </w:r>
      <w:r w:rsidR="00E85A5F" w:rsidRPr="00847B90">
        <w:t>carreteras sometidas durante el</w:t>
      </w:r>
      <w:r w:rsidRPr="00847B90">
        <w:t xml:space="preserve"> invierno a heladas y frecuentes tratamientos de vialidad invernal.</w:t>
      </w:r>
    </w:p>
    <w:p w14:paraId="26A54E6D" w14:textId="77777777" w:rsidR="00810099" w:rsidRPr="0010179F" w:rsidRDefault="0010179F" w:rsidP="00221E1A">
      <w:pPr>
        <w:pStyle w:val="NORMAL12"/>
        <w:numPr>
          <w:ilvl w:val="1"/>
          <w:numId w:val="136"/>
        </w:numPr>
        <w:rPr>
          <w:lang w:val="es-ES"/>
        </w:rPr>
      </w:pPr>
      <w:r>
        <w:rPr>
          <w:lang w:val="es-ES"/>
        </w:rPr>
        <w:t xml:space="preserve">Las armaduras </w:t>
      </w:r>
      <w:r w:rsidR="00E85A5F" w:rsidRPr="0010179F">
        <w:rPr>
          <w:lang w:val="es-ES"/>
        </w:rPr>
        <w:t>seguirán las</w:t>
      </w:r>
      <w:r w:rsidR="00810099" w:rsidRPr="0010179F">
        <w:rPr>
          <w:lang w:val="es-ES"/>
        </w:rPr>
        <w:t xml:space="preserve"> </w:t>
      </w:r>
      <w:r w:rsidR="00E85A5F" w:rsidRPr="0010179F">
        <w:rPr>
          <w:lang w:val="es-ES"/>
        </w:rPr>
        <w:t>prescripciones establecidas en</w:t>
      </w:r>
      <w:r w:rsidR="00810099" w:rsidRPr="0010179F">
        <w:rPr>
          <w:lang w:val="es-ES"/>
        </w:rPr>
        <w:t xml:space="preserve"> la </w:t>
      </w:r>
      <w:r w:rsidR="00E85A5F" w:rsidRPr="0010179F">
        <w:rPr>
          <w:lang w:val="es-ES"/>
        </w:rPr>
        <w:t>vigente Instrucción de</w:t>
      </w:r>
      <w:r w:rsidR="00810099" w:rsidRPr="0010179F">
        <w:rPr>
          <w:lang w:val="es-ES"/>
        </w:rPr>
        <w:t xml:space="preserve"> Hormigón</w:t>
      </w:r>
      <w:r w:rsidR="00AB6DB4" w:rsidRPr="0010179F">
        <w:rPr>
          <w:lang w:val="es-ES"/>
        </w:rPr>
        <w:t xml:space="preserve"> </w:t>
      </w:r>
      <w:r w:rsidR="00810099" w:rsidRPr="0010179F">
        <w:rPr>
          <w:lang w:val="es-ES"/>
        </w:rPr>
        <w:t>Estructural EHE.</w:t>
      </w:r>
    </w:p>
    <w:p w14:paraId="2EBE6837" w14:textId="77777777" w:rsidR="00810099" w:rsidRPr="004A0385" w:rsidRDefault="00810099" w:rsidP="00F04B51">
      <w:pPr>
        <w:pStyle w:val="TITU3"/>
        <w:numPr>
          <w:ilvl w:val="0"/>
          <w:numId w:val="0"/>
        </w:numPr>
      </w:pPr>
      <w:r w:rsidRPr="004A0385">
        <w:t>550.9.3. Control de ejecución</w:t>
      </w:r>
    </w:p>
    <w:p w14:paraId="59B0DDCC" w14:textId="77777777" w:rsidR="00810099" w:rsidRPr="004A0385" w:rsidRDefault="00810099" w:rsidP="00F04B51">
      <w:pPr>
        <w:pStyle w:val="TITU4"/>
        <w:numPr>
          <w:ilvl w:val="0"/>
          <w:numId w:val="0"/>
        </w:numPr>
        <w:ind w:left="426"/>
      </w:pPr>
      <w:r w:rsidRPr="004A0385">
        <w:t>550.9.3.2. Puesta en obra</w:t>
      </w:r>
    </w:p>
    <w:p w14:paraId="7139B073" w14:textId="77777777" w:rsidR="0010179F" w:rsidRDefault="0010179F" w:rsidP="0010179F">
      <w:pPr>
        <w:pStyle w:val="NORMAL12"/>
        <w:rPr>
          <w:lang w:val="es-ES"/>
        </w:rPr>
      </w:pPr>
      <w:r>
        <w:rPr>
          <w:lang w:val="es-ES"/>
        </w:rPr>
        <w:t>Durante la puesta en obra se contralará:</w:t>
      </w:r>
    </w:p>
    <w:p w14:paraId="4D3327B5" w14:textId="77777777" w:rsidR="0010179F" w:rsidRDefault="0010179F" w:rsidP="00221E1A">
      <w:pPr>
        <w:pStyle w:val="NORMAL12"/>
        <w:numPr>
          <w:ilvl w:val="0"/>
          <w:numId w:val="136"/>
        </w:numPr>
        <w:rPr>
          <w:lang w:val="es-ES"/>
        </w:rPr>
      </w:pPr>
      <w:r>
        <w:rPr>
          <w:lang w:val="es-ES"/>
        </w:rPr>
        <w:t>La temperatura y humedad relativa</w:t>
      </w:r>
    </w:p>
    <w:p w14:paraId="3E873561" w14:textId="77777777" w:rsidR="0010179F" w:rsidRDefault="0010179F" w:rsidP="00221E1A">
      <w:pPr>
        <w:pStyle w:val="NORMAL12"/>
        <w:numPr>
          <w:ilvl w:val="0"/>
          <w:numId w:val="136"/>
        </w:numPr>
        <w:rPr>
          <w:lang w:val="es-ES"/>
        </w:rPr>
      </w:pPr>
      <w:r>
        <w:rPr>
          <w:lang w:val="es-ES"/>
        </w:rPr>
        <w:t xml:space="preserve">La consistencia del hormigón al menos dos veces al </w:t>
      </w:r>
      <w:r w:rsidR="00EF277D">
        <w:rPr>
          <w:lang w:val="es-ES"/>
        </w:rPr>
        <w:t>día</w:t>
      </w:r>
      <w:r>
        <w:rPr>
          <w:lang w:val="es-ES"/>
        </w:rPr>
        <w:t>.</w:t>
      </w:r>
    </w:p>
    <w:p w14:paraId="64178FEB" w14:textId="77777777" w:rsidR="0010179F" w:rsidRDefault="0010179F" w:rsidP="00221E1A">
      <w:pPr>
        <w:pStyle w:val="NORMAL12"/>
        <w:numPr>
          <w:ilvl w:val="0"/>
          <w:numId w:val="136"/>
        </w:numPr>
        <w:rPr>
          <w:lang w:val="es-ES"/>
        </w:rPr>
      </w:pPr>
      <w:r>
        <w:rPr>
          <w:lang w:val="es-ES"/>
        </w:rPr>
        <w:t>El espesor del extendido.</w:t>
      </w:r>
    </w:p>
    <w:p w14:paraId="76F927B9" w14:textId="77777777" w:rsidR="0010179F" w:rsidRPr="00135637" w:rsidRDefault="0010179F" w:rsidP="0010179F">
      <w:pPr>
        <w:pStyle w:val="NORMAL12"/>
        <w:rPr>
          <w:lang w:val="es-ES"/>
        </w:rPr>
      </w:pPr>
      <w:r w:rsidRPr="00135637">
        <w:rPr>
          <w:lang w:val="es-ES"/>
        </w:rPr>
        <w:t>Para la recepción de la unidad terminada se considera como lote, al menor que resulte de aplicar los tres (3) criterios siguientes:</w:t>
      </w:r>
    </w:p>
    <w:p w14:paraId="4F75DFFD" w14:textId="77777777" w:rsidR="00810099" w:rsidRPr="00135637" w:rsidRDefault="00810099" w:rsidP="00E01981">
      <w:pPr>
        <w:pStyle w:val="NORMAL12"/>
        <w:numPr>
          <w:ilvl w:val="0"/>
          <w:numId w:val="40"/>
        </w:numPr>
      </w:pPr>
      <w:r w:rsidRPr="00135637">
        <w:t>Quinientos metros (500 m) de calzada.</w:t>
      </w:r>
    </w:p>
    <w:p w14:paraId="781EC972" w14:textId="77777777" w:rsidR="00810099" w:rsidRPr="00135637" w:rsidRDefault="00810099" w:rsidP="00E01981">
      <w:pPr>
        <w:pStyle w:val="NORMAL12"/>
        <w:numPr>
          <w:ilvl w:val="0"/>
          <w:numId w:val="40"/>
        </w:numPr>
      </w:pPr>
      <w:r w:rsidRPr="00135637">
        <w:t>Tres mil</w:t>
      </w:r>
      <w:r w:rsidR="00E34DE7">
        <w:t xml:space="preserve"> quinientos metros cuadrados (3.</w:t>
      </w:r>
      <w:r w:rsidRPr="00135637">
        <w:t>500 m</w:t>
      </w:r>
      <w:r w:rsidRPr="00E34DE7">
        <w:rPr>
          <w:vertAlign w:val="superscript"/>
        </w:rPr>
        <w:t>2</w:t>
      </w:r>
      <w:r w:rsidRPr="00135637">
        <w:t>) de calzada.</w:t>
      </w:r>
    </w:p>
    <w:p w14:paraId="502300C4" w14:textId="77777777" w:rsidR="00810099" w:rsidRPr="00135637" w:rsidRDefault="00810099" w:rsidP="00E01981">
      <w:pPr>
        <w:pStyle w:val="NORMAL12"/>
        <w:numPr>
          <w:ilvl w:val="0"/>
          <w:numId w:val="40"/>
        </w:numPr>
      </w:pPr>
      <w:r w:rsidRPr="00135637">
        <w:t>La fracción construida diariamente.</w:t>
      </w:r>
    </w:p>
    <w:p w14:paraId="69E13DD6" w14:textId="77777777" w:rsidR="00810099" w:rsidRPr="00135637" w:rsidRDefault="00D51625" w:rsidP="007D3477">
      <w:pPr>
        <w:pStyle w:val="NORMAL12"/>
      </w:pPr>
      <w:r w:rsidRPr="00135637">
        <w:t xml:space="preserve">Se determinará la </w:t>
      </w:r>
      <w:proofErr w:type="spellStart"/>
      <w:r w:rsidRPr="00135637">
        <w:t>macrotextura</w:t>
      </w:r>
      <w:proofErr w:type="spellEnd"/>
      <w:r w:rsidRPr="00135637">
        <w:t xml:space="preserve"> superficial mediante método volumétrico. El número mínimo de puntos a controlar por cada lote será de </w:t>
      </w:r>
      <w:r w:rsidR="00810099" w:rsidRPr="00135637">
        <w:t xml:space="preserve">tres (3), que se ampliarán a cinco (5) si la textura de alguno de los </w:t>
      </w:r>
      <w:r w:rsidR="00E85A5F" w:rsidRPr="00135637">
        <w:t>dos primeros es inferior</w:t>
      </w:r>
      <w:r w:rsidR="00810099" w:rsidRPr="00135637">
        <w:t xml:space="preserve"> </w:t>
      </w:r>
      <w:r w:rsidR="00E85A5F" w:rsidRPr="00135637">
        <w:t>a la prescrita</w:t>
      </w:r>
      <w:r w:rsidR="00810099" w:rsidRPr="00135637">
        <w:t xml:space="preserve">. </w:t>
      </w:r>
    </w:p>
    <w:p w14:paraId="010E2465" w14:textId="77777777" w:rsidR="00D51625" w:rsidRPr="00135637" w:rsidRDefault="00810099" w:rsidP="007D3477">
      <w:pPr>
        <w:pStyle w:val="NORMAL12"/>
      </w:pPr>
      <w:r w:rsidRPr="00135637">
        <w:t>El espesor de las losas y la homogeneidad del hormigón se comprobarán mediante extracción de testigos cilíndric</w:t>
      </w:r>
      <w:r w:rsidR="00D51625" w:rsidRPr="00135637">
        <w:t>os en emplazamientos aleatorios</w:t>
      </w:r>
      <w:r w:rsidRPr="00135637">
        <w:t xml:space="preserve">. El número </w:t>
      </w:r>
      <w:r w:rsidR="00D51625" w:rsidRPr="00135637">
        <w:t xml:space="preserve">de </w:t>
      </w:r>
      <w:r w:rsidRPr="00135637">
        <w:t>puntos a controlar por cada lote será de dos (2), que se ampliarán a cinco (5) si el espesor de alguno de los dos (2) primeros resultara ser inferior al prescrito o su aspecto indicara una compactación inadecuada.</w:t>
      </w:r>
      <w:r w:rsidR="00ED1B97">
        <w:t xml:space="preserve"> El hueco de los </w:t>
      </w:r>
      <w:r w:rsidR="002E3084">
        <w:t xml:space="preserve">testigos se </w:t>
      </w:r>
      <w:r w:rsidR="00D93E76">
        <w:t>rellenará</w:t>
      </w:r>
      <w:r w:rsidR="002E3084">
        <w:t xml:space="preserve"> con mortero de alta resistencia.</w:t>
      </w:r>
    </w:p>
    <w:p w14:paraId="1696EE84" w14:textId="77777777" w:rsidR="00810099" w:rsidRPr="004A0385" w:rsidRDefault="00810099" w:rsidP="007D3477">
      <w:pPr>
        <w:pStyle w:val="NORMAL12"/>
      </w:pPr>
      <w:r w:rsidRPr="00135637">
        <w:t xml:space="preserve">Se comprobará en perfiles transversales cada veinte metros (20 m) que la superficie </w:t>
      </w:r>
      <w:r w:rsidRPr="004A0385">
        <w:t xml:space="preserve">extendida presenta un </w:t>
      </w:r>
      <w:proofErr w:type="gramStart"/>
      <w:r w:rsidRPr="004A0385">
        <w:t>aspecto  uniforme</w:t>
      </w:r>
      <w:proofErr w:type="gramEnd"/>
      <w:r w:rsidRPr="004A0385">
        <w:t xml:space="preserve">, así como la ausencia </w:t>
      </w:r>
      <w:proofErr w:type="gramStart"/>
      <w:r w:rsidRPr="004A0385">
        <w:t>de  defectos</w:t>
      </w:r>
      <w:proofErr w:type="gramEnd"/>
      <w:r w:rsidRPr="004A0385">
        <w:t xml:space="preserve"> superficiales importantes tales como segregaciones, falta de textura superficial, etc.</w:t>
      </w:r>
    </w:p>
    <w:p w14:paraId="3748FDCB" w14:textId="77777777" w:rsidR="00ED1B97" w:rsidRDefault="00ED1B97" w:rsidP="00ED1B97">
      <w:pPr>
        <w:pStyle w:val="NORMAL12"/>
      </w:pPr>
      <w:r>
        <w:lastRenderedPageBreak/>
        <w:t>S</w:t>
      </w:r>
      <w:r w:rsidR="00810099" w:rsidRPr="004A0385">
        <w:t xml:space="preserve">e controlará la regularidad superficial en tramos de mil </w:t>
      </w:r>
      <w:r w:rsidR="00D331B9" w:rsidRPr="004A0385">
        <w:t>metros de</w:t>
      </w:r>
      <w:r w:rsidR="00810099" w:rsidRPr="004A0385">
        <w:t xml:space="preserve"> </w:t>
      </w:r>
      <w:r w:rsidR="00D331B9" w:rsidRPr="004A0385">
        <w:t>longitud (</w:t>
      </w:r>
      <w:r w:rsidR="00810099" w:rsidRPr="004A0385">
        <w:t xml:space="preserve">1 000 m) </w:t>
      </w:r>
      <w:r w:rsidR="00D331B9" w:rsidRPr="004A0385">
        <w:t>mediante la</w:t>
      </w:r>
      <w:r w:rsidR="00810099" w:rsidRPr="004A0385">
        <w:t xml:space="preserve"> </w:t>
      </w:r>
      <w:r w:rsidR="00D331B9" w:rsidRPr="004A0385">
        <w:t>determinación del</w:t>
      </w:r>
      <w:r w:rsidR="00810099" w:rsidRPr="004A0385">
        <w:t xml:space="preserve"> </w:t>
      </w:r>
      <w:r w:rsidR="00D331B9" w:rsidRPr="004A0385">
        <w:t>Índice de</w:t>
      </w:r>
      <w:r w:rsidR="00810099" w:rsidRPr="004A0385">
        <w:t xml:space="preserve"> Regularidad Internacional (norma NLT-330), calculando un solo valor del IRI para cada hectómetro (hm) del perfil auscultado, que se </w:t>
      </w:r>
      <w:r w:rsidR="00D331B9" w:rsidRPr="004A0385">
        <w:t>asignará a</w:t>
      </w:r>
      <w:r w:rsidR="00810099" w:rsidRPr="004A0385">
        <w:t xml:space="preserve"> dicho hectómetro (hm), y así </w:t>
      </w:r>
      <w:r w:rsidR="00D331B9" w:rsidRPr="004A0385">
        <w:t>sucesivamente hasta</w:t>
      </w:r>
      <w:r w:rsidR="00810099" w:rsidRPr="004A0385">
        <w:t xml:space="preserve"> completar el tramo</w:t>
      </w:r>
      <w:r>
        <w:t xml:space="preserve">. Los resultados deben cumplir lo especificado en el </w:t>
      </w:r>
      <w:r w:rsidRPr="005B79AD">
        <w:t>epígrafe 550.7.</w:t>
      </w:r>
      <w:r w:rsidR="00E31529" w:rsidRPr="005B79AD">
        <w:t xml:space="preserve"> del presente pliego.</w:t>
      </w:r>
      <w:r w:rsidRPr="005B79AD">
        <w:t xml:space="preserve"> El ensayo se realizará antes de un mes de la puesta en servicio del tramo.</w:t>
      </w:r>
    </w:p>
    <w:p w14:paraId="063D30CD" w14:textId="77777777" w:rsidR="00ED1B97" w:rsidRDefault="00ED1B97" w:rsidP="00ED1B97">
      <w:pPr>
        <w:pStyle w:val="NORMAL12"/>
      </w:pPr>
      <w:r>
        <w:t>La capa de hormigón forma parte de la base del firme, y se utilizará como capa de rodadura hasta el extendido de la capa de mezcla bituminosa. El tiempo máximo que debe transcurrir desde la ejecución de la capa de hormigón hasta el extendido de la mezcla bituminosa debe ser inferior a seis meses.</w:t>
      </w:r>
    </w:p>
    <w:p w14:paraId="7485CE62" w14:textId="77777777" w:rsidR="00810099" w:rsidRPr="004A0385" w:rsidRDefault="00810099" w:rsidP="000313DD">
      <w:pPr>
        <w:pStyle w:val="TITU2"/>
      </w:pPr>
      <w:bookmarkStart w:id="626" w:name="_Toc404365"/>
      <w:r w:rsidRPr="004A0385">
        <w:t>550.10. Criterios de aceptación o rechazo</w:t>
      </w:r>
      <w:bookmarkEnd w:id="626"/>
    </w:p>
    <w:p w14:paraId="4C4B825B" w14:textId="77777777" w:rsidR="00D51625" w:rsidRPr="004A0385" w:rsidRDefault="00D51625" w:rsidP="007D3477">
      <w:pPr>
        <w:pStyle w:val="NORMAL12"/>
      </w:pPr>
      <w:r w:rsidRPr="00E01981">
        <w:t>Los criterios de aceptación o rechazo de la unidad terminada se determina</w:t>
      </w:r>
      <w:r w:rsidR="00020F26" w:rsidRPr="00E01981">
        <w:t>n</w:t>
      </w:r>
      <w:r w:rsidRPr="00E01981">
        <w:t xml:space="preserve"> para cada una de las características según las especificaciones siguientes:</w:t>
      </w:r>
    </w:p>
    <w:p w14:paraId="07D4C789" w14:textId="77777777" w:rsidR="00810099" w:rsidRPr="004A0385" w:rsidRDefault="00135637" w:rsidP="00E01981">
      <w:pPr>
        <w:pStyle w:val="NORMAL12"/>
        <w:numPr>
          <w:ilvl w:val="0"/>
          <w:numId w:val="40"/>
        </w:numPr>
      </w:pPr>
      <w:r w:rsidRPr="004A0385">
        <w:t xml:space="preserve">Resistencia: si es superior al noventa (90) % se aplicarán unas </w:t>
      </w:r>
      <w:r w:rsidR="00810099" w:rsidRPr="004A0385">
        <w:t xml:space="preserve">sanciones </w:t>
      </w:r>
      <w:r w:rsidRPr="004A0385">
        <w:t xml:space="preserve">que </w:t>
      </w:r>
      <w:proofErr w:type="gramStart"/>
      <w:r w:rsidRPr="004A0385">
        <w:t xml:space="preserve">no </w:t>
      </w:r>
      <w:r w:rsidR="00810099" w:rsidRPr="004A0385">
        <w:t xml:space="preserve"> podrán</w:t>
      </w:r>
      <w:proofErr w:type="gramEnd"/>
      <w:r w:rsidR="00810099" w:rsidRPr="004A0385">
        <w:t xml:space="preserve"> ser inferiores a la aplicación de una penalización al precio unitario del lote, cuya cuantía sea igual al doble de la merma de resistencia, expresadas ambas en proporción.</w:t>
      </w:r>
      <w:r w:rsidRPr="004A0385">
        <w:t xml:space="preserve"> </w:t>
      </w:r>
      <w:r w:rsidR="00810099" w:rsidRPr="004A0385">
        <w:t>Si es inferior al noventa po</w:t>
      </w:r>
      <w:r w:rsidRPr="004A0385">
        <w:t>r ciento (&lt; 90%) de la exigida demolerá el lote y s se reconstruirá por cuenta del contratista.</w:t>
      </w:r>
    </w:p>
    <w:p w14:paraId="08F78A85" w14:textId="77777777" w:rsidR="00810099" w:rsidRPr="004A0385" w:rsidRDefault="00135637" w:rsidP="00E01981">
      <w:pPr>
        <w:pStyle w:val="NORMAL12"/>
        <w:numPr>
          <w:ilvl w:val="0"/>
          <w:numId w:val="40"/>
        </w:numPr>
      </w:pPr>
      <w:r w:rsidRPr="004A0385">
        <w:t xml:space="preserve">Integridad: los </w:t>
      </w:r>
      <w:r w:rsidR="00810099" w:rsidRPr="004A0385">
        <w:t xml:space="preserve">bordes de las losas y de las juntas que presenten desconchados serán reparados con productos </w:t>
      </w:r>
      <w:proofErr w:type="spellStart"/>
      <w:r w:rsidR="00810099" w:rsidRPr="004A0385">
        <w:t>epoxídicos</w:t>
      </w:r>
      <w:proofErr w:type="spellEnd"/>
      <w:r w:rsidR="00810099" w:rsidRPr="004A0385">
        <w:t xml:space="preserve"> que garanticen la durabilidad de la aplicación.</w:t>
      </w:r>
      <w:r w:rsidRPr="004A0385">
        <w:t xml:space="preserve"> Las losas no deberán presente grietas. Las fisuras de corta </w:t>
      </w:r>
      <w:proofErr w:type="gramStart"/>
      <w:r w:rsidRPr="004A0385">
        <w:t>longitud,</w:t>
      </w:r>
      <w:proofErr w:type="gramEnd"/>
      <w:r w:rsidRPr="004A0385">
        <w:t xml:space="preserve"> se sellarán con productos que </w:t>
      </w:r>
      <w:r w:rsidR="00810099" w:rsidRPr="004A0385">
        <w:t>garanticen la durabilidad de la aplicación.</w:t>
      </w:r>
    </w:p>
    <w:p w14:paraId="1B89C931" w14:textId="77777777" w:rsidR="00810099" w:rsidRPr="004A0385" w:rsidRDefault="00810099" w:rsidP="00135637">
      <w:pPr>
        <w:pStyle w:val="NORMAL12"/>
        <w:ind w:left="720"/>
      </w:pPr>
      <w:r w:rsidRPr="004A0385">
        <w:t>Para garantizar la transmisión de cargas en las juntas de la zona reparada, se dotarán a éstas de pasadores, cuando sean juntas transversales, y de barras de unión en las longitudinales.</w:t>
      </w:r>
    </w:p>
    <w:p w14:paraId="0FF80B1C" w14:textId="77777777" w:rsidR="00810099" w:rsidRPr="004A0385" w:rsidRDefault="00135637" w:rsidP="00E01981">
      <w:pPr>
        <w:pStyle w:val="NORMAL12"/>
        <w:numPr>
          <w:ilvl w:val="0"/>
          <w:numId w:val="40"/>
        </w:numPr>
      </w:pPr>
      <w:r w:rsidRPr="004A0385">
        <w:t xml:space="preserve">Espesor: </w:t>
      </w:r>
      <w:r w:rsidR="00810099" w:rsidRPr="004A0385">
        <w:t>Si la media de las</w:t>
      </w:r>
      <w:r w:rsidR="00D331B9" w:rsidRPr="004A0385">
        <w:t xml:space="preserve"> diferencias entre el espesor medido y el prescrito </w:t>
      </w:r>
      <w:r w:rsidR="00810099" w:rsidRPr="004A0385">
        <w:t>fu</w:t>
      </w:r>
      <w:r w:rsidR="00D331B9" w:rsidRPr="004A0385">
        <w:t>era positiva, y no más de un (</w:t>
      </w:r>
      <w:r w:rsidR="00810099" w:rsidRPr="004A0385">
        <w:t>1) individuo de la muestra presentase una merma</w:t>
      </w:r>
      <w:r w:rsidR="007D3477" w:rsidRPr="004A0385">
        <w:t xml:space="preserve"> </w:t>
      </w:r>
      <w:r w:rsidR="00D331B9" w:rsidRPr="004A0385">
        <w:t xml:space="preserve">(diferencia negativa) superior a diez milímetros (&gt; 10 mm), se aplicará, </w:t>
      </w:r>
      <w:r w:rsidR="00810099" w:rsidRPr="004A0385">
        <w:t>al precio unitario del lote, una penalización de un siete y medio por mil (7,5‰) por cada milímetro (mm) de dicha merma.</w:t>
      </w:r>
      <w:r w:rsidR="00A52CFA" w:rsidRPr="004A0385">
        <w:t xml:space="preserve"> </w:t>
      </w:r>
      <w:r w:rsidR="00810099" w:rsidRPr="004A0385">
        <w:t>Si la merma media fuera inf</w:t>
      </w:r>
      <w:r w:rsidR="00D331B9" w:rsidRPr="004A0385">
        <w:t xml:space="preserve">erior o igual a diez milímetros (≤ 10 mm), y no más de un (1) individuo de la muestra presenta una </w:t>
      </w:r>
      <w:r w:rsidR="00D331B9" w:rsidRPr="004A0385">
        <w:t xml:space="preserve">merma superior </w:t>
      </w:r>
      <w:r w:rsidR="00810099" w:rsidRPr="004A0385">
        <w:t>a</w:t>
      </w:r>
      <w:r w:rsidR="007D3477" w:rsidRPr="004A0385">
        <w:t xml:space="preserve"> </w:t>
      </w:r>
      <w:r w:rsidR="00D331B9" w:rsidRPr="004A0385">
        <w:t>veinte milímetros (&gt; 20 mm), se aplicará, al precio unitario del lote,</w:t>
      </w:r>
      <w:r w:rsidR="00810099" w:rsidRPr="004A0385">
        <w:t xml:space="preserve"> una penalización de un uno y medio por ciento (1,5%) por cada milímetro (mm) de merma media.</w:t>
      </w:r>
      <w:r w:rsidR="00A52CFA" w:rsidRPr="004A0385">
        <w:t xml:space="preserve"> </w:t>
      </w:r>
      <w:r w:rsidR="00D331B9" w:rsidRPr="004A0385">
        <w:t>En</w:t>
      </w:r>
      <w:r w:rsidR="00810099" w:rsidRPr="004A0385">
        <w:t xml:space="preserve"> </w:t>
      </w:r>
      <w:proofErr w:type="gramStart"/>
      <w:r w:rsidR="00810099" w:rsidRPr="004A0385">
        <w:t>los  demás</w:t>
      </w:r>
      <w:proofErr w:type="gramEnd"/>
      <w:r w:rsidR="00810099" w:rsidRPr="004A0385">
        <w:t xml:space="preserve"> casos</w:t>
      </w:r>
      <w:r w:rsidR="00D331B9" w:rsidRPr="004A0385">
        <w:t>, se demolerá y reconstruirá el lote con cargo</w:t>
      </w:r>
      <w:r w:rsidR="00810099" w:rsidRPr="004A0385">
        <w:t xml:space="preserve"> al</w:t>
      </w:r>
      <w:r w:rsidR="00AB6DB4" w:rsidRPr="004A0385">
        <w:t xml:space="preserve"> </w:t>
      </w:r>
      <w:r w:rsidR="00810099" w:rsidRPr="004A0385">
        <w:t>Contratista</w:t>
      </w:r>
    </w:p>
    <w:p w14:paraId="39CEEE64" w14:textId="77777777" w:rsidR="00A52CFA" w:rsidRPr="004A0385" w:rsidRDefault="00A52CFA" w:rsidP="00E01981">
      <w:pPr>
        <w:pStyle w:val="NORMAL12"/>
        <w:numPr>
          <w:ilvl w:val="0"/>
          <w:numId w:val="40"/>
        </w:numPr>
      </w:pPr>
      <w:r w:rsidRPr="004A0385">
        <w:t xml:space="preserve">Rasante: la desviación en planta </w:t>
      </w:r>
      <w:r w:rsidR="00810099" w:rsidRPr="004A0385">
        <w:t xml:space="preserve">entre la </w:t>
      </w:r>
      <w:r w:rsidRPr="004A0385">
        <w:t xml:space="preserve">alineación </w:t>
      </w:r>
      <w:r w:rsidR="00D331B9" w:rsidRPr="004A0385">
        <w:t>obtenida y</w:t>
      </w:r>
      <w:r w:rsidR="00810099" w:rsidRPr="004A0385">
        <w:t xml:space="preserve"> la </w:t>
      </w:r>
      <w:r w:rsidRPr="004A0385">
        <w:t xml:space="preserve">de los planos </w:t>
      </w:r>
      <w:r w:rsidR="00D331B9" w:rsidRPr="004A0385">
        <w:t xml:space="preserve">teórica </w:t>
      </w:r>
      <w:r w:rsidRPr="004A0385">
        <w:t>debe ser menor a tres centímetros</w:t>
      </w:r>
      <w:r w:rsidR="00905D39">
        <w:t xml:space="preserve"> (3cm)</w:t>
      </w:r>
      <w:r w:rsidRPr="004A0385">
        <w:t xml:space="preserve">. El espesor del pavimento no puede ser inferior al de los planos en ningún caso. </w:t>
      </w:r>
    </w:p>
    <w:p w14:paraId="529C352A" w14:textId="77777777" w:rsidR="00810099" w:rsidRPr="004A0385" w:rsidRDefault="00810099" w:rsidP="00E01981">
      <w:pPr>
        <w:pStyle w:val="NORMAL12"/>
        <w:numPr>
          <w:ilvl w:val="0"/>
          <w:numId w:val="40"/>
        </w:numPr>
      </w:pPr>
      <w:r w:rsidRPr="004A0385">
        <w:t>Regularidad superficial</w:t>
      </w:r>
      <w:r w:rsidR="00A52CFA" w:rsidRPr="004A0385">
        <w:t xml:space="preserve">: si excede de los límites en menos del </w:t>
      </w:r>
      <w:r w:rsidR="00D331B9" w:rsidRPr="004A0385">
        <w:t>diez por ciento (</w:t>
      </w:r>
      <w:r w:rsidRPr="004A0385">
        <w:t xml:space="preserve">&lt; 10%) </w:t>
      </w:r>
      <w:r w:rsidR="00D331B9" w:rsidRPr="004A0385">
        <w:t>de la</w:t>
      </w:r>
      <w:r w:rsidRPr="004A0385">
        <w:t xml:space="preserve"> </w:t>
      </w:r>
      <w:r w:rsidR="00D331B9" w:rsidRPr="004A0385">
        <w:t>longitud del tramo</w:t>
      </w:r>
      <w:r w:rsidRPr="004A0385">
        <w:t xml:space="preserve"> controlado, se corregirán los defectos de regularidad superficial mediante fresado, siempre que no suponga una reducción del espesor de la capa por debajo del valor especificado en los Planos. Si es igual o más del diez por ciento (≥ 10%) de la longitud del tramo controlado, se demolerá el lote y se reconstruirá el material por cuenta del Contratista.</w:t>
      </w:r>
    </w:p>
    <w:p w14:paraId="4DB066FF" w14:textId="77777777" w:rsidR="00810099" w:rsidRPr="004A0385" w:rsidRDefault="00A52CFA" w:rsidP="00221E1A">
      <w:pPr>
        <w:pStyle w:val="NORMAL12"/>
        <w:numPr>
          <w:ilvl w:val="0"/>
          <w:numId w:val="137"/>
        </w:numPr>
      </w:pPr>
      <w:proofErr w:type="spellStart"/>
      <w:r w:rsidRPr="004A0385">
        <w:t>Macrotextura</w:t>
      </w:r>
      <w:proofErr w:type="spellEnd"/>
      <w:r w:rsidRPr="004A0385">
        <w:t xml:space="preserve"> superficial: debe ser superior a 0,9 mm </w:t>
      </w:r>
      <w:r w:rsidR="00810099" w:rsidRPr="004A0385">
        <w:t xml:space="preserve">y ninguno de los resultados individuales podrá ser inferior a cuarenta centésimas de milímetro </w:t>
      </w:r>
      <w:r w:rsidR="0072225E" w:rsidRPr="004A0385">
        <w:t>(0,40</w:t>
      </w:r>
      <w:r w:rsidR="00810099" w:rsidRPr="004A0385">
        <w:t xml:space="preserve"> mm).</w:t>
      </w:r>
      <w:r w:rsidRPr="004A0385">
        <w:t xml:space="preserve"> Se corregirá mediante fresado s</w:t>
      </w:r>
      <w:r w:rsidR="00D331B9" w:rsidRPr="004A0385">
        <w:t>iempre</w:t>
      </w:r>
      <w:r w:rsidR="00810099" w:rsidRPr="004A0385">
        <w:t xml:space="preserve"> que el espesor </w:t>
      </w:r>
      <w:r w:rsidR="00D331B9" w:rsidRPr="004A0385">
        <w:t>resultante de</w:t>
      </w:r>
      <w:r w:rsidR="00810099" w:rsidRPr="004A0385">
        <w:t xml:space="preserve"> las losas </w:t>
      </w:r>
      <w:r w:rsidR="00D331B9" w:rsidRPr="004A0385">
        <w:t>reparadas no</w:t>
      </w:r>
      <w:r w:rsidR="00810099" w:rsidRPr="004A0385">
        <w:t xml:space="preserve"> sea inferior en un centímetro </w:t>
      </w:r>
      <w:r w:rsidR="0072225E" w:rsidRPr="004A0385">
        <w:t>(1</w:t>
      </w:r>
      <w:r w:rsidRPr="004A0385">
        <w:t xml:space="preserve"> cm) al previsto en el proyecto.</w:t>
      </w:r>
    </w:p>
    <w:p w14:paraId="036C1D35" w14:textId="77777777" w:rsidR="00810099" w:rsidRDefault="0092291B" w:rsidP="000313DD">
      <w:pPr>
        <w:pStyle w:val="TITU2"/>
      </w:pPr>
      <w:r>
        <w:br w:type="column"/>
      </w:r>
      <w:bookmarkStart w:id="627" w:name="_Toc404366"/>
      <w:r w:rsidR="00810099" w:rsidRPr="005864C2">
        <w:lastRenderedPageBreak/>
        <w:t>550.11. Medición y abono</w:t>
      </w:r>
      <w:bookmarkEnd w:id="627"/>
    </w:p>
    <w:p w14:paraId="65A92230" w14:textId="77777777" w:rsidR="00CA0E21" w:rsidRDefault="00CA0E21" w:rsidP="00CA0E21">
      <w:pPr>
        <w:pStyle w:val="NORMAL12"/>
        <w:rPr>
          <w:lang w:val="es-ES"/>
        </w:rPr>
      </w:pPr>
      <w:r>
        <w:rPr>
          <w:lang w:val="es-ES"/>
        </w:rPr>
        <w:t>La medición y abono de la unidad de pavimento de hormigón se realizará según las especificaciones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6663"/>
      </w:tblGrid>
      <w:tr w:rsidR="00CA0E21" w:rsidRPr="009B23E5" w14:paraId="776DF906" w14:textId="77777777" w:rsidTr="00BE1547">
        <w:tc>
          <w:tcPr>
            <w:tcW w:w="2338" w:type="dxa"/>
            <w:vAlign w:val="center"/>
          </w:tcPr>
          <w:p w14:paraId="24918486" w14:textId="77777777" w:rsidR="00CA0E21" w:rsidRPr="009B23E5" w:rsidRDefault="00CA0E21" w:rsidP="0000436B">
            <w:pPr>
              <w:pStyle w:val="LCATabla"/>
              <w:keepNext/>
              <w:keepLines/>
              <w:jc w:val="center"/>
              <w:rPr>
                <w:rFonts w:ascii="Arial" w:hAnsi="Arial" w:cs="Arial"/>
                <w:b/>
                <w:bCs/>
                <w:sz w:val="20"/>
              </w:rPr>
            </w:pPr>
            <w:r w:rsidRPr="009B23E5">
              <w:rPr>
                <w:rFonts w:ascii="Arial" w:hAnsi="Arial" w:cs="Arial"/>
                <w:b/>
                <w:bCs/>
                <w:sz w:val="20"/>
              </w:rPr>
              <w:t>Unidad de medida</w:t>
            </w:r>
          </w:p>
        </w:tc>
        <w:tc>
          <w:tcPr>
            <w:tcW w:w="6663" w:type="dxa"/>
            <w:vAlign w:val="center"/>
          </w:tcPr>
          <w:p w14:paraId="7D95D088" w14:textId="77777777" w:rsidR="00CA0E21" w:rsidRPr="009B23E5" w:rsidRDefault="00CA0E21" w:rsidP="00AD74D1">
            <w:pPr>
              <w:pStyle w:val="LCATabla"/>
              <w:keepNext/>
              <w:keepLines/>
              <w:jc w:val="both"/>
              <w:rPr>
                <w:rFonts w:ascii="Arial" w:hAnsi="Arial" w:cs="Arial"/>
                <w:sz w:val="20"/>
              </w:rPr>
            </w:pPr>
            <w:r w:rsidRPr="009B23E5">
              <w:rPr>
                <w:rFonts w:ascii="Arial" w:hAnsi="Arial" w:cs="Arial"/>
                <w:sz w:val="20"/>
              </w:rPr>
              <w:t xml:space="preserve">Metro </w:t>
            </w:r>
            <w:r>
              <w:rPr>
                <w:rFonts w:ascii="Arial" w:hAnsi="Arial" w:cs="Arial"/>
                <w:sz w:val="20"/>
              </w:rPr>
              <w:t>cúbico (m</w:t>
            </w:r>
            <w:r w:rsidRPr="005B79AD">
              <w:rPr>
                <w:rFonts w:ascii="Arial" w:hAnsi="Arial" w:cs="Arial"/>
                <w:sz w:val="20"/>
                <w:vertAlign w:val="superscript"/>
              </w:rPr>
              <w:t>3</w:t>
            </w:r>
            <w:r>
              <w:rPr>
                <w:rFonts w:ascii="Arial" w:hAnsi="Arial" w:cs="Arial"/>
                <w:sz w:val="20"/>
              </w:rPr>
              <w:t>)</w:t>
            </w:r>
          </w:p>
        </w:tc>
      </w:tr>
      <w:tr w:rsidR="00CA0E21" w:rsidRPr="009B23E5" w14:paraId="26BB8B60" w14:textId="77777777" w:rsidTr="00BE1547">
        <w:tc>
          <w:tcPr>
            <w:tcW w:w="2338" w:type="dxa"/>
            <w:vAlign w:val="center"/>
          </w:tcPr>
          <w:p w14:paraId="50F752B1" w14:textId="77777777" w:rsidR="00CA0E21" w:rsidRPr="009B23E5" w:rsidRDefault="00CA0E21" w:rsidP="0000436B">
            <w:pPr>
              <w:pStyle w:val="LCATabla"/>
              <w:keepNext/>
              <w:keepLines/>
              <w:jc w:val="center"/>
              <w:rPr>
                <w:rFonts w:ascii="Arial" w:hAnsi="Arial" w:cs="Arial"/>
                <w:b/>
                <w:bCs/>
                <w:sz w:val="20"/>
              </w:rPr>
            </w:pPr>
            <w:r w:rsidRPr="009B23E5">
              <w:rPr>
                <w:rFonts w:ascii="Arial" w:hAnsi="Arial" w:cs="Arial"/>
                <w:b/>
                <w:bCs/>
                <w:sz w:val="20"/>
              </w:rPr>
              <w:t>Grado de precisión</w:t>
            </w:r>
          </w:p>
        </w:tc>
        <w:tc>
          <w:tcPr>
            <w:tcW w:w="6663" w:type="dxa"/>
            <w:vAlign w:val="center"/>
          </w:tcPr>
          <w:p w14:paraId="3B2C1F5A" w14:textId="77777777" w:rsidR="00CA0E21" w:rsidRPr="009B23E5" w:rsidRDefault="00CA0E21" w:rsidP="00AD74D1">
            <w:pPr>
              <w:pStyle w:val="LCATabla"/>
              <w:keepNext/>
              <w:keepLines/>
              <w:jc w:val="both"/>
              <w:rPr>
                <w:rFonts w:ascii="Arial" w:hAnsi="Arial" w:cs="Arial"/>
                <w:sz w:val="20"/>
              </w:rPr>
            </w:pPr>
            <w:r w:rsidRPr="009B23E5">
              <w:rPr>
                <w:rFonts w:ascii="Arial" w:hAnsi="Arial" w:cs="Arial"/>
                <w:sz w:val="20"/>
              </w:rPr>
              <w:t>Dos decimales.</w:t>
            </w:r>
          </w:p>
        </w:tc>
      </w:tr>
      <w:tr w:rsidR="00CA0E21" w:rsidRPr="009B23E5" w14:paraId="305E0CF4" w14:textId="77777777" w:rsidTr="00BE1547">
        <w:tc>
          <w:tcPr>
            <w:tcW w:w="2338" w:type="dxa"/>
            <w:vAlign w:val="center"/>
          </w:tcPr>
          <w:p w14:paraId="03DEA6E3" w14:textId="77777777" w:rsidR="00CA0E21" w:rsidRPr="009B23E5" w:rsidRDefault="00CA0E21" w:rsidP="0000436B">
            <w:pPr>
              <w:pStyle w:val="LCATabla"/>
              <w:keepNext/>
              <w:keepLines/>
              <w:jc w:val="center"/>
              <w:rPr>
                <w:rFonts w:ascii="Arial" w:hAnsi="Arial" w:cs="Arial"/>
                <w:b/>
                <w:bCs/>
                <w:sz w:val="20"/>
              </w:rPr>
            </w:pPr>
            <w:r w:rsidRPr="009B23E5">
              <w:rPr>
                <w:rFonts w:ascii="Arial" w:hAnsi="Arial" w:cs="Arial"/>
                <w:b/>
                <w:bCs/>
                <w:sz w:val="20"/>
              </w:rPr>
              <w:t>Forma de medición</w:t>
            </w:r>
          </w:p>
        </w:tc>
        <w:tc>
          <w:tcPr>
            <w:tcW w:w="6663" w:type="dxa"/>
            <w:vAlign w:val="center"/>
          </w:tcPr>
          <w:p w14:paraId="0FB5111C" w14:textId="77777777" w:rsidR="00CA0E21" w:rsidRPr="009B23E5" w:rsidRDefault="00CA0E21" w:rsidP="00AD74D1">
            <w:pPr>
              <w:pStyle w:val="LCATabla"/>
              <w:keepNext/>
              <w:keepLines/>
              <w:jc w:val="both"/>
              <w:rPr>
                <w:rFonts w:ascii="Arial" w:hAnsi="Arial" w:cs="Arial"/>
                <w:sz w:val="20"/>
              </w:rPr>
            </w:pPr>
            <w:r>
              <w:rPr>
                <w:rFonts w:ascii="Arial" w:hAnsi="Arial" w:cs="Arial"/>
                <w:sz w:val="20"/>
              </w:rPr>
              <w:t>Medición del volumen realmente ejecutado</w:t>
            </w:r>
          </w:p>
        </w:tc>
      </w:tr>
      <w:tr w:rsidR="00CA0E21" w:rsidRPr="009B23E5" w14:paraId="72BF796E" w14:textId="77777777" w:rsidTr="00BE1547">
        <w:tc>
          <w:tcPr>
            <w:tcW w:w="2338" w:type="dxa"/>
            <w:vAlign w:val="center"/>
          </w:tcPr>
          <w:p w14:paraId="2323C5CF" w14:textId="77777777" w:rsidR="00CA0E21" w:rsidRPr="009B23E5" w:rsidRDefault="00CA0E21" w:rsidP="0000436B">
            <w:pPr>
              <w:pStyle w:val="LCATabla"/>
              <w:keepNext/>
              <w:keepLines/>
              <w:jc w:val="center"/>
              <w:rPr>
                <w:rFonts w:ascii="Arial" w:hAnsi="Arial" w:cs="Arial"/>
                <w:b/>
                <w:bCs/>
                <w:sz w:val="20"/>
              </w:rPr>
            </w:pPr>
            <w:r w:rsidRPr="009B23E5">
              <w:rPr>
                <w:rFonts w:ascii="Arial" w:hAnsi="Arial" w:cs="Arial"/>
                <w:b/>
                <w:bCs/>
                <w:sz w:val="20"/>
              </w:rPr>
              <w:t>Abono</w:t>
            </w:r>
          </w:p>
        </w:tc>
        <w:tc>
          <w:tcPr>
            <w:tcW w:w="6663" w:type="dxa"/>
            <w:vAlign w:val="center"/>
          </w:tcPr>
          <w:p w14:paraId="2E684F85" w14:textId="77777777" w:rsidR="00CA0E21" w:rsidRPr="009B23E5" w:rsidRDefault="00CA0E21" w:rsidP="00AD74D1">
            <w:pPr>
              <w:pStyle w:val="LCATabla"/>
              <w:keepNext/>
              <w:keepLines/>
              <w:jc w:val="both"/>
              <w:rPr>
                <w:rFonts w:ascii="Arial" w:hAnsi="Arial" w:cs="Arial"/>
                <w:sz w:val="20"/>
              </w:rPr>
            </w:pPr>
            <w:r w:rsidRPr="009B23E5">
              <w:rPr>
                <w:rFonts w:ascii="Arial" w:hAnsi="Arial" w:cs="Arial"/>
                <w:sz w:val="20"/>
              </w:rPr>
              <w:t>Se efectuará cuando se realice la aceptación.</w:t>
            </w:r>
          </w:p>
        </w:tc>
      </w:tr>
      <w:tr w:rsidR="00CA0E21" w:rsidRPr="009B23E5" w14:paraId="482222F8" w14:textId="77777777" w:rsidTr="00BE1547">
        <w:tc>
          <w:tcPr>
            <w:tcW w:w="2338" w:type="dxa"/>
            <w:vAlign w:val="center"/>
          </w:tcPr>
          <w:p w14:paraId="36A2622E" w14:textId="77777777" w:rsidR="00CA0E21" w:rsidRPr="009B23E5" w:rsidRDefault="00CA0E21" w:rsidP="0000436B">
            <w:pPr>
              <w:pStyle w:val="LCATabla"/>
              <w:keepNext/>
              <w:keepLines/>
              <w:jc w:val="center"/>
              <w:rPr>
                <w:rFonts w:ascii="Arial" w:hAnsi="Arial" w:cs="Arial"/>
                <w:b/>
                <w:bCs/>
                <w:sz w:val="20"/>
              </w:rPr>
            </w:pPr>
            <w:r w:rsidRPr="009B23E5">
              <w:rPr>
                <w:rFonts w:ascii="Arial" w:hAnsi="Arial" w:cs="Arial"/>
                <w:b/>
                <w:bCs/>
                <w:sz w:val="20"/>
              </w:rPr>
              <w:t>Criterios complementarios</w:t>
            </w:r>
          </w:p>
        </w:tc>
        <w:tc>
          <w:tcPr>
            <w:tcW w:w="6663" w:type="dxa"/>
            <w:vAlign w:val="center"/>
          </w:tcPr>
          <w:p w14:paraId="0E9D43E0" w14:textId="77777777" w:rsidR="00CA0E21" w:rsidRDefault="00CA0E21" w:rsidP="00AD74D1">
            <w:pPr>
              <w:pStyle w:val="LCATabla"/>
              <w:keepNext/>
              <w:keepLines/>
              <w:jc w:val="both"/>
              <w:rPr>
                <w:rFonts w:ascii="Arial" w:hAnsi="Arial" w:cs="Arial"/>
                <w:sz w:val="20"/>
              </w:rPr>
            </w:pPr>
            <w:r>
              <w:rPr>
                <w:rFonts w:ascii="Arial" w:hAnsi="Arial" w:cs="Arial"/>
                <w:sz w:val="20"/>
              </w:rPr>
              <w:t xml:space="preserve">El precio de la unidad incluye la preparación de la superficie de apoyo, los aditivos necesarios, el abono de las juntas, y todo tipo de aditivos, curado y acabado de la superficie. </w:t>
            </w:r>
          </w:p>
          <w:p w14:paraId="42418E97" w14:textId="77777777" w:rsidR="00CA0E21" w:rsidRDefault="00CA0E21" w:rsidP="00AD74D1">
            <w:pPr>
              <w:pStyle w:val="LCATabla"/>
              <w:keepNext/>
              <w:keepLines/>
              <w:jc w:val="both"/>
              <w:rPr>
                <w:rFonts w:ascii="Arial" w:hAnsi="Arial" w:cs="Arial"/>
                <w:sz w:val="20"/>
              </w:rPr>
            </w:pPr>
            <w:r>
              <w:rPr>
                <w:rFonts w:ascii="Arial" w:hAnsi="Arial" w:cs="Arial"/>
                <w:sz w:val="20"/>
              </w:rPr>
              <w:t>No se abonarán las reparaciones de juntas defectuosos, ni las losas que acusen irregularidades.</w:t>
            </w:r>
          </w:p>
          <w:p w14:paraId="680802C1" w14:textId="77777777" w:rsidR="00CA0E21" w:rsidRDefault="00CA0E21" w:rsidP="00AD74D1">
            <w:pPr>
              <w:pStyle w:val="LCATabla"/>
              <w:keepNext/>
              <w:keepLines/>
              <w:jc w:val="both"/>
              <w:rPr>
                <w:rFonts w:ascii="Arial" w:hAnsi="Arial" w:cs="Arial"/>
                <w:sz w:val="20"/>
              </w:rPr>
            </w:pPr>
            <w:r>
              <w:rPr>
                <w:rFonts w:ascii="Arial" w:hAnsi="Arial" w:cs="Arial"/>
                <w:sz w:val="20"/>
              </w:rPr>
              <w:t xml:space="preserve">La reposición de capas de </w:t>
            </w:r>
            <w:r w:rsidR="00234E5C">
              <w:rPr>
                <w:rFonts w:ascii="Arial" w:hAnsi="Arial" w:cs="Arial"/>
                <w:sz w:val="20"/>
              </w:rPr>
              <w:t xml:space="preserve">firme de </w:t>
            </w:r>
            <w:r>
              <w:rPr>
                <w:rFonts w:ascii="Arial" w:hAnsi="Arial" w:cs="Arial"/>
                <w:sz w:val="20"/>
              </w:rPr>
              <w:t>hormigón por no dispone</w:t>
            </w:r>
            <w:r w:rsidR="00234E5C">
              <w:rPr>
                <w:rFonts w:ascii="Arial" w:hAnsi="Arial" w:cs="Arial"/>
                <w:sz w:val="20"/>
              </w:rPr>
              <w:t>r</w:t>
            </w:r>
            <w:r>
              <w:rPr>
                <w:rFonts w:ascii="Arial" w:hAnsi="Arial" w:cs="Arial"/>
                <w:sz w:val="20"/>
              </w:rPr>
              <w:t xml:space="preserve"> de resistencia suficiente o espesor mínimo serán abonadas por cuenta del contratista.</w:t>
            </w:r>
          </w:p>
          <w:p w14:paraId="165EA665" w14:textId="77777777" w:rsidR="00316D62" w:rsidRPr="009B23E5" w:rsidRDefault="00316D62" w:rsidP="00AD74D1">
            <w:pPr>
              <w:pStyle w:val="LCATabla"/>
              <w:keepNext/>
              <w:keepLines/>
              <w:jc w:val="both"/>
              <w:rPr>
                <w:rFonts w:ascii="Arial" w:hAnsi="Arial" w:cs="Arial"/>
                <w:sz w:val="20"/>
              </w:rPr>
            </w:pPr>
            <w:r>
              <w:rPr>
                <w:rFonts w:ascii="Arial" w:hAnsi="Arial" w:cs="Arial"/>
                <w:sz w:val="20"/>
              </w:rPr>
              <w:t>El precio de la armadura y pasadores es objeto de medición y abono por unidad independiente.</w:t>
            </w:r>
          </w:p>
        </w:tc>
      </w:tr>
    </w:tbl>
    <w:p w14:paraId="60A4595C" w14:textId="77777777" w:rsidR="00CA0E21" w:rsidRPr="00CA0E21" w:rsidRDefault="00CA0E21" w:rsidP="00CA0E21">
      <w:pPr>
        <w:pStyle w:val="NORMAL12"/>
        <w:rPr>
          <w:lang w:val="es-ES"/>
        </w:rPr>
      </w:pPr>
    </w:p>
    <w:p w14:paraId="1C051363" w14:textId="77777777" w:rsidR="00016A9F" w:rsidRDefault="00016A9F" w:rsidP="00016A9F">
      <w:pPr>
        <w:pStyle w:val="NORMAL12"/>
        <w:rPr>
          <w:lang w:val="es-ES"/>
        </w:rPr>
      </w:pPr>
    </w:p>
    <w:p w14:paraId="09C58533" w14:textId="77777777" w:rsidR="00016A9F" w:rsidRDefault="00016A9F" w:rsidP="00016A9F">
      <w:pPr>
        <w:pStyle w:val="NORMAL12"/>
        <w:rPr>
          <w:lang w:val="es-ES"/>
        </w:rPr>
      </w:pPr>
    </w:p>
    <w:p w14:paraId="7993ACE5" w14:textId="77777777" w:rsidR="00016A9F" w:rsidRDefault="00016A9F" w:rsidP="00016A9F">
      <w:pPr>
        <w:pStyle w:val="NORMAL12"/>
        <w:rPr>
          <w:lang w:val="es-ES"/>
        </w:rPr>
      </w:pPr>
    </w:p>
    <w:p w14:paraId="315CD650" w14:textId="77777777" w:rsidR="00016A9F" w:rsidRDefault="00016A9F" w:rsidP="00016A9F">
      <w:pPr>
        <w:pStyle w:val="NORMAL12"/>
        <w:rPr>
          <w:lang w:val="es-ES"/>
        </w:rPr>
      </w:pPr>
    </w:p>
    <w:p w14:paraId="51967E1F" w14:textId="77777777" w:rsidR="00016A9F" w:rsidRDefault="00016A9F" w:rsidP="00016A9F">
      <w:pPr>
        <w:pStyle w:val="NORMAL12"/>
        <w:rPr>
          <w:lang w:val="es-ES"/>
        </w:rPr>
      </w:pPr>
    </w:p>
    <w:p w14:paraId="15715AE8" w14:textId="77777777" w:rsidR="00016A9F" w:rsidRDefault="00016A9F" w:rsidP="00016A9F">
      <w:pPr>
        <w:pStyle w:val="NORMAL12"/>
        <w:rPr>
          <w:lang w:val="es-ES"/>
        </w:rPr>
      </w:pPr>
    </w:p>
    <w:p w14:paraId="38B9427C" w14:textId="77777777" w:rsidR="00016A9F" w:rsidRDefault="00016A9F" w:rsidP="00016A9F">
      <w:pPr>
        <w:pStyle w:val="NORMAL12"/>
        <w:rPr>
          <w:lang w:val="es-ES"/>
        </w:rPr>
      </w:pPr>
    </w:p>
    <w:p w14:paraId="36385E79" w14:textId="77777777" w:rsidR="00016A9F" w:rsidRDefault="00016A9F" w:rsidP="00016A9F">
      <w:pPr>
        <w:pStyle w:val="NORMAL12"/>
        <w:rPr>
          <w:lang w:val="es-ES"/>
        </w:rPr>
      </w:pPr>
    </w:p>
    <w:p w14:paraId="2B8D101D" w14:textId="77777777" w:rsidR="00016A9F" w:rsidRDefault="00016A9F" w:rsidP="00016A9F">
      <w:pPr>
        <w:pStyle w:val="NORMAL12"/>
        <w:rPr>
          <w:lang w:val="es-ES"/>
        </w:rPr>
      </w:pPr>
    </w:p>
    <w:p w14:paraId="5DAFFF4D" w14:textId="77777777" w:rsidR="00810099" w:rsidRPr="00886F1A" w:rsidRDefault="00D95BD5" w:rsidP="00072BDF">
      <w:pPr>
        <w:pStyle w:val="TITU1"/>
      </w:pPr>
      <w:bookmarkStart w:id="628" w:name="_Toc404367"/>
      <w:r>
        <w:lastRenderedPageBreak/>
        <w:t>Artículo 551.</w:t>
      </w:r>
      <w:r w:rsidR="00810099" w:rsidRPr="00886F1A">
        <w:t xml:space="preserve"> Hormigón magro vibrado</w:t>
      </w:r>
      <w:bookmarkEnd w:id="628"/>
    </w:p>
    <w:p w14:paraId="43E213D9" w14:textId="77777777" w:rsidR="00FD774A" w:rsidRDefault="00FD774A" w:rsidP="00FD774A">
      <w:pPr>
        <w:pStyle w:val="NORMAL12"/>
      </w:pPr>
      <w:r w:rsidRPr="007323B3">
        <w:t>Excepto para lo especificado en el presente Pliego de Prescripciones Técnicas Particulares se seguirá lo prescrito en e</w:t>
      </w:r>
      <w:r>
        <w:t>l vigente artículo 551 del PG-3.</w:t>
      </w:r>
    </w:p>
    <w:p w14:paraId="532054BB" w14:textId="77777777" w:rsidR="00810099" w:rsidRPr="005864C2" w:rsidRDefault="00810099" w:rsidP="000313DD">
      <w:pPr>
        <w:pStyle w:val="TITU2"/>
      </w:pPr>
      <w:bookmarkStart w:id="629" w:name="_Toc404368"/>
      <w:r w:rsidRPr="005864C2">
        <w:t>551.1. Definición</w:t>
      </w:r>
      <w:bookmarkEnd w:id="629"/>
    </w:p>
    <w:p w14:paraId="1A5F6F2A" w14:textId="77777777" w:rsidR="003C21AB" w:rsidRPr="00423E36" w:rsidRDefault="003C21AB" w:rsidP="003C21AB">
      <w:pPr>
        <w:pStyle w:val="NORMAL12"/>
      </w:pPr>
      <w:r w:rsidRPr="00423E36">
        <w:t>Se define como hormigón magro vibrado la mezcla homogénea de áridos, cemento, agua y aditivos, empleada en capas de base bajo pavimento de hormigón</w:t>
      </w:r>
    </w:p>
    <w:p w14:paraId="5A3860F1" w14:textId="77777777" w:rsidR="00C36ABC" w:rsidRPr="00423E36" w:rsidRDefault="00C36ABC" w:rsidP="00C36ABC">
      <w:pPr>
        <w:pStyle w:val="NORMAL12"/>
        <w:rPr>
          <w:lang w:val="es-ES"/>
        </w:rPr>
      </w:pPr>
      <w:r w:rsidRPr="00423E36">
        <w:rPr>
          <w:lang w:val="es-ES"/>
        </w:rPr>
        <w:t xml:space="preserve">Las prescripciones del presente artículo </w:t>
      </w:r>
      <w:proofErr w:type="gramStart"/>
      <w:r w:rsidRPr="00423E36">
        <w:rPr>
          <w:lang w:val="es-ES"/>
        </w:rPr>
        <w:t>son de aplicación</w:t>
      </w:r>
      <w:proofErr w:type="gramEnd"/>
      <w:r w:rsidRPr="00423E36">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053"/>
        <w:gridCol w:w="781"/>
        <w:gridCol w:w="7944"/>
      </w:tblGrid>
      <w:tr w:rsidR="005864C2" w:rsidRPr="005864C2" w14:paraId="683C7516" w14:textId="77777777" w:rsidTr="0084421A">
        <w:trPr>
          <w:trHeight w:val="300"/>
        </w:trPr>
        <w:tc>
          <w:tcPr>
            <w:tcW w:w="538" w:type="pct"/>
            <w:noWrap/>
          </w:tcPr>
          <w:p w14:paraId="3FEBF0B7" w14:textId="77777777" w:rsidR="00E47492" w:rsidRPr="00524011" w:rsidRDefault="00E47492">
            <w:pPr>
              <w:rPr>
                <w:rFonts w:ascii="Calibri" w:hAnsi="Calibri"/>
              </w:rPr>
            </w:pPr>
            <w:r w:rsidRPr="00524011">
              <w:rPr>
                <w:rFonts w:ascii="Calibri" w:hAnsi="Calibri"/>
              </w:rPr>
              <w:t xml:space="preserve">551.0010          </w:t>
            </w:r>
          </w:p>
        </w:tc>
        <w:tc>
          <w:tcPr>
            <w:tcW w:w="400" w:type="pct"/>
            <w:noWrap/>
          </w:tcPr>
          <w:p w14:paraId="597E7D49" w14:textId="77777777" w:rsidR="00E47492" w:rsidRPr="00524011" w:rsidRDefault="00E47492">
            <w:pPr>
              <w:rPr>
                <w:rFonts w:ascii="Calibri" w:hAnsi="Calibri"/>
              </w:rPr>
            </w:pPr>
            <w:r w:rsidRPr="00524011">
              <w:rPr>
                <w:rFonts w:ascii="Calibri" w:hAnsi="Calibri"/>
              </w:rPr>
              <w:t>m</w:t>
            </w:r>
            <w:r w:rsidRPr="00524011">
              <w:rPr>
                <w:rFonts w:ascii="Calibri" w:hAnsi="Calibri"/>
                <w:vertAlign w:val="superscript"/>
              </w:rPr>
              <w:t>3</w:t>
            </w:r>
          </w:p>
        </w:tc>
        <w:tc>
          <w:tcPr>
            <w:tcW w:w="4061" w:type="pct"/>
          </w:tcPr>
          <w:p w14:paraId="64994D6F" w14:textId="77777777" w:rsidR="00E47492" w:rsidRPr="00524011" w:rsidRDefault="0084421A" w:rsidP="00AD74D1">
            <w:pPr>
              <w:jc w:val="both"/>
              <w:rPr>
                <w:rFonts w:ascii="Calibri" w:hAnsi="Calibri"/>
              </w:rPr>
            </w:pPr>
            <w:r w:rsidRPr="00524011">
              <w:rPr>
                <w:rFonts w:ascii="Calibri" w:hAnsi="Calibri"/>
              </w:rPr>
              <w:t>HORMIGÓN MAGRO VIBRADO EN BASE DE FIRME, COMPLETAMENTE TERMINADO i/ CURADO Y P.P. DE JUNTAS.</w:t>
            </w:r>
          </w:p>
        </w:tc>
      </w:tr>
    </w:tbl>
    <w:p w14:paraId="7264BE0E" w14:textId="77777777" w:rsidR="00C36ABC" w:rsidRPr="005864C2" w:rsidRDefault="00C36ABC" w:rsidP="00C36ABC">
      <w:pPr>
        <w:pStyle w:val="NORMAL12"/>
        <w:rPr>
          <w:color w:val="365F91" w:themeColor="accent1" w:themeShade="BF"/>
          <w:lang w:val="es-ES"/>
        </w:rPr>
      </w:pPr>
    </w:p>
    <w:p w14:paraId="1DDC22F6" w14:textId="77777777" w:rsidR="00810099" w:rsidRPr="00786B9B" w:rsidRDefault="00810099" w:rsidP="00CC12B5">
      <w:pPr>
        <w:pStyle w:val="NORMAL12"/>
      </w:pPr>
      <w:r w:rsidRPr="00786B9B">
        <w:t>La ejecución del hormigón magro vibrado incluye la</w:t>
      </w:r>
      <w:r w:rsidR="006D7255" w:rsidRPr="00786B9B">
        <w:t xml:space="preserve"> realización de las operaciones siguientes:</w:t>
      </w:r>
    </w:p>
    <w:p w14:paraId="21360538" w14:textId="77777777" w:rsidR="00810099" w:rsidRPr="00786B9B" w:rsidRDefault="00810099" w:rsidP="00E01981">
      <w:pPr>
        <w:pStyle w:val="NORMAL12"/>
        <w:numPr>
          <w:ilvl w:val="0"/>
          <w:numId w:val="40"/>
        </w:numPr>
      </w:pPr>
      <w:r w:rsidRPr="00786B9B">
        <w:t>Estudio y obtención de la fórmula de trabajo.</w:t>
      </w:r>
    </w:p>
    <w:p w14:paraId="3073049F" w14:textId="77777777" w:rsidR="00810099" w:rsidRPr="00786B9B" w:rsidRDefault="00810099" w:rsidP="00E01981">
      <w:pPr>
        <w:pStyle w:val="NORMAL12"/>
        <w:numPr>
          <w:ilvl w:val="0"/>
          <w:numId w:val="40"/>
        </w:numPr>
      </w:pPr>
      <w:r w:rsidRPr="00786B9B">
        <w:t>Preparación de la superficie de asiento.</w:t>
      </w:r>
    </w:p>
    <w:p w14:paraId="478501FB" w14:textId="77777777" w:rsidR="00810099" w:rsidRPr="00786B9B" w:rsidRDefault="00810099" w:rsidP="00E01981">
      <w:pPr>
        <w:pStyle w:val="NORMAL12"/>
        <w:numPr>
          <w:ilvl w:val="0"/>
          <w:numId w:val="40"/>
        </w:numPr>
      </w:pPr>
      <w:r w:rsidRPr="00786B9B">
        <w:t>Fabricación del hormigón.</w:t>
      </w:r>
    </w:p>
    <w:p w14:paraId="54A9D931" w14:textId="77777777" w:rsidR="00810099" w:rsidRPr="00786B9B" w:rsidRDefault="00810099" w:rsidP="00E01981">
      <w:pPr>
        <w:pStyle w:val="NORMAL12"/>
        <w:numPr>
          <w:ilvl w:val="0"/>
          <w:numId w:val="40"/>
        </w:numPr>
      </w:pPr>
      <w:r w:rsidRPr="00786B9B">
        <w:t>Transporte del hormigón.</w:t>
      </w:r>
    </w:p>
    <w:p w14:paraId="12FE12EE" w14:textId="77777777" w:rsidR="00810099" w:rsidRPr="00786B9B" w:rsidRDefault="00810099" w:rsidP="00E01981">
      <w:pPr>
        <w:pStyle w:val="NORMAL12"/>
        <w:numPr>
          <w:ilvl w:val="0"/>
          <w:numId w:val="40"/>
        </w:numPr>
      </w:pPr>
      <w:r w:rsidRPr="00786B9B">
        <w:t xml:space="preserve">Colocación de elementos de guía y acondicionamiento de los </w:t>
      </w:r>
      <w:proofErr w:type="gramStart"/>
      <w:r w:rsidRPr="00786B9B">
        <w:t>caminos  de</w:t>
      </w:r>
      <w:proofErr w:type="gramEnd"/>
      <w:r w:rsidRPr="00786B9B">
        <w:t xml:space="preserve"> rodadura para la pavimentadora.</w:t>
      </w:r>
    </w:p>
    <w:p w14:paraId="3828FE0B" w14:textId="77777777" w:rsidR="00810099" w:rsidRPr="00786B9B" w:rsidRDefault="00810099" w:rsidP="00E01981">
      <w:pPr>
        <w:pStyle w:val="NORMAL12"/>
        <w:numPr>
          <w:ilvl w:val="0"/>
          <w:numId w:val="40"/>
        </w:numPr>
      </w:pPr>
      <w:r w:rsidRPr="00786B9B">
        <w:t>Puesta en obra del hormigón.</w:t>
      </w:r>
    </w:p>
    <w:p w14:paraId="17A6ADB6" w14:textId="77777777" w:rsidR="00810099" w:rsidRPr="00786B9B" w:rsidRDefault="00810099" w:rsidP="00E01981">
      <w:pPr>
        <w:pStyle w:val="NORMAL12"/>
        <w:numPr>
          <w:ilvl w:val="0"/>
          <w:numId w:val="40"/>
        </w:numPr>
      </w:pPr>
      <w:r w:rsidRPr="00786B9B">
        <w:t>Protección y curado del hormigón fresco.</w:t>
      </w:r>
    </w:p>
    <w:p w14:paraId="7062DE0E" w14:textId="77777777" w:rsidR="00810099" w:rsidRPr="00786B9B" w:rsidRDefault="00810099" w:rsidP="000313DD">
      <w:pPr>
        <w:pStyle w:val="TITU2"/>
      </w:pPr>
      <w:bookmarkStart w:id="630" w:name="_Toc404369"/>
      <w:r w:rsidRPr="00786B9B">
        <w:t>551.2. Materiales</w:t>
      </w:r>
      <w:bookmarkEnd w:id="630"/>
    </w:p>
    <w:p w14:paraId="1BEDAF1B" w14:textId="77777777" w:rsidR="00810099" w:rsidRPr="00786B9B" w:rsidRDefault="00810099" w:rsidP="00F04B51">
      <w:pPr>
        <w:pStyle w:val="TITU3"/>
        <w:numPr>
          <w:ilvl w:val="0"/>
          <w:numId w:val="0"/>
        </w:numPr>
      </w:pPr>
      <w:r w:rsidRPr="00786B9B">
        <w:t>551.2.2. Cementos</w:t>
      </w:r>
    </w:p>
    <w:p w14:paraId="08636791" w14:textId="77777777" w:rsidR="006D7255" w:rsidRPr="00786B9B" w:rsidRDefault="00810099" w:rsidP="00CC12B5">
      <w:pPr>
        <w:pStyle w:val="NORMAL12"/>
      </w:pPr>
      <w:r w:rsidRPr="00786B9B">
        <w:t xml:space="preserve">La clase </w:t>
      </w:r>
      <w:r w:rsidR="00456C9A" w:rsidRPr="00786B9B">
        <w:t>resistente del</w:t>
      </w:r>
      <w:r w:rsidRPr="00786B9B">
        <w:t xml:space="preserve"> </w:t>
      </w:r>
      <w:r w:rsidR="00456C9A" w:rsidRPr="00786B9B">
        <w:t>cemento será la</w:t>
      </w:r>
      <w:r w:rsidRPr="00786B9B">
        <w:t xml:space="preserve"> 32,</w:t>
      </w:r>
      <w:r w:rsidR="006D7255" w:rsidRPr="00786B9B">
        <w:t xml:space="preserve">5N. el </w:t>
      </w:r>
      <w:proofErr w:type="gramStart"/>
      <w:r w:rsidR="006D7255" w:rsidRPr="00786B9B">
        <w:t>Director</w:t>
      </w:r>
      <w:proofErr w:type="gramEnd"/>
      <w:r w:rsidR="006D7255" w:rsidRPr="00786B9B">
        <w:t xml:space="preserve"> de Obra podrá autorizar el empleo de </w:t>
      </w:r>
      <w:r w:rsidRPr="00786B9B">
        <w:t xml:space="preserve">cemento de clase resistente 42,5R en épocas frías. </w:t>
      </w:r>
    </w:p>
    <w:p w14:paraId="6888E776" w14:textId="77777777" w:rsidR="00810099" w:rsidRDefault="00810099" w:rsidP="00F04B51">
      <w:pPr>
        <w:pStyle w:val="TITU3"/>
        <w:numPr>
          <w:ilvl w:val="0"/>
          <w:numId w:val="0"/>
        </w:numPr>
      </w:pPr>
      <w:r w:rsidRPr="00786B9B">
        <w:t>551.2.4. Áridos</w:t>
      </w:r>
    </w:p>
    <w:p w14:paraId="67248623" w14:textId="77777777" w:rsidR="008B70AE" w:rsidRPr="008B70AE" w:rsidRDefault="008B70AE" w:rsidP="008B70AE">
      <w:pPr>
        <w:pStyle w:val="NORMAL12"/>
        <w:rPr>
          <w:lang w:val="es-ES"/>
        </w:rPr>
      </w:pPr>
      <w:r>
        <w:rPr>
          <w:lang w:val="es-ES"/>
        </w:rPr>
        <w:t>Se podrán utilizar materiales granulares reciclados, áridos siderúrgicos, subproductos y productos inerte de desecho, siempre que se cumplan las prescripciones técnicas exigidas en el artículo 551 del PG3 y las condiciones particulares del presente artículo.</w:t>
      </w:r>
    </w:p>
    <w:p w14:paraId="7F3AD89C" w14:textId="77777777" w:rsidR="006D7255" w:rsidRPr="00786B9B" w:rsidRDefault="00456C9A" w:rsidP="00CC12B5">
      <w:pPr>
        <w:pStyle w:val="NORMAL12"/>
      </w:pPr>
      <w:r w:rsidRPr="00786B9B">
        <w:t xml:space="preserve">Los áridos </w:t>
      </w:r>
      <w:r w:rsidR="006D7255" w:rsidRPr="00786B9B">
        <w:t>empleados deben cumplir:</w:t>
      </w:r>
    </w:p>
    <w:p w14:paraId="0F94C818" w14:textId="77777777" w:rsidR="00B02BCE" w:rsidRPr="00786B9B" w:rsidRDefault="00512AA4" w:rsidP="00E01981">
      <w:pPr>
        <w:pStyle w:val="NORMAL12"/>
        <w:numPr>
          <w:ilvl w:val="0"/>
          <w:numId w:val="116"/>
        </w:numPr>
      </w:pPr>
      <w:r w:rsidRPr="00786B9B">
        <w:t>N</w:t>
      </w:r>
      <w:r w:rsidR="00456C9A" w:rsidRPr="00786B9B">
        <w:t>o serán susceptibles ante ningún tipo de meteorización o alteración</w:t>
      </w:r>
      <w:r w:rsidR="00810099" w:rsidRPr="00786B9B">
        <w:t xml:space="preserve"> </w:t>
      </w:r>
      <w:proofErr w:type="gramStart"/>
      <w:r w:rsidR="00810099" w:rsidRPr="00786B9B">
        <w:t>físico-química</w:t>
      </w:r>
      <w:proofErr w:type="gramEnd"/>
      <w:r w:rsidR="00810099" w:rsidRPr="00786B9B">
        <w:t xml:space="preserve"> apreciable bajo las condiciones </w:t>
      </w:r>
      <w:r w:rsidR="00B02BCE" w:rsidRPr="00786B9B">
        <w:t xml:space="preserve">que puedan darse en </w:t>
      </w:r>
      <w:r w:rsidR="00810099" w:rsidRPr="00786B9B">
        <w:t xml:space="preserve">la zona de empleo. </w:t>
      </w:r>
    </w:p>
    <w:p w14:paraId="59CCF817" w14:textId="77777777" w:rsidR="00810099" w:rsidRPr="00786B9B" w:rsidRDefault="00456C9A" w:rsidP="00E01981">
      <w:pPr>
        <w:pStyle w:val="NORMAL12"/>
        <w:numPr>
          <w:ilvl w:val="0"/>
          <w:numId w:val="116"/>
        </w:numPr>
      </w:pPr>
      <w:r w:rsidRPr="00786B9B">
        <w:t>Los áridos</w:t>
      </w:r>
      <w:r w:rsidR="00810099" w:rsidRPr="00786B9B">
        <w:t xml:space="preserve"> utilizados no serán reactivos con el cemento, ni contendrán sulfuros oxidables, sulfato cálcico o compuestos ferrosos inestables.</w:t>
      </w:r>
    </w:p>
    <w:p w14:paraId="27566D1D" w14:textId="77777777" w:rsidR="00810099" w:rsidRPr="00786B9B" w:rsidRDefault="00C41FDB" w:rsidP="00E01981">
      <w:pPr>
        <w:pStyle w:val="NORMAL12"/>
        <w:numPr>
          <w:ilvl w:val="0"/>
          <w:numId w:val="116"/>
        </w:numPr>
      </w:pPr>
      <w:r w:rsidRPr="00786B9B">
        <w:t xml:space="preserve">Sobre los áridos que </w:t>
      </w:r>
      <w:r w:rsidR="00810099" w:rsidRPr="00786B9B">
        <w:t xml:space="preserve">por su naturaleza petrográfica puedan tener constitutivos reactivos con los álcalis, </w:t>
      </w:r>
      <w:r w:rsidRPr="00786B9B">
        <w:t>se llevará a cabo un est</w:t>
      </w:r>
      <w:r w:rsidR="00810099" w:rsidRPr="00786B9B">
        <w:t>udio específico sobre la reactividad potencial de los áridos</w:t>
      </w:r>
      <w:r w:rsidR="00456C9A" w:rsidRPr="00786B9B">
        <w:t>, que</w:t>
      </w:r>
      <w:r w:rsidR="00810099" w:rsidRPr="00786B9B">
        <w:t xml:space="preserve"> </w:t>
      </w:r>
      <w:r w:rsidR="00456C9A" w:rsidRPr="00786B9B">
        <w:t>definirá su</w:t>
      </w:r>
      <w:r w:rsidR="00810099" w:rsidRPr="00786B9B">
        <w:t xml:space="preserve"> </w:t>
      </w:r>
      <w:r w:rsidR="00456C9A" w:rsidRPr="00786B9B">
        <w:t>aptitud de</w:t>
      </w:r>
      <w:r w:rsidR="00810099" w:rsidRPr="00786B9B">
        <w:t xml:space="preserve"> uso, </w:t>
      </w:r>
      <w:r w:rsidRPr="00786B9B">
        <w:t>según se establece en la EHE.</w:t>
      </w:r>
    </w:p>
    <w:p w14:paraId="39A4B472" w14:textId="77777777" w:rsidR="00810099" w:rsidRPr="00786B9B" w:rsidRDefault="00810099" w:rsidP="00E01981">
      <w:pPr>
        <w:pStyle w:val="NORMAL12"/>
        <w:numPr>
          <w:ilvl w:val="0"/>
          <w:numId w:val="116"/>
        </w:numPr>
      </w:pPr>
      <w:r w:rsidRPr="00786B9B">
        <w:t>La utilización de estos áridos requerirá el empleo de cementos con un contenido de alcalinos, expresados como óxido de sodio equivalente (0,658 K</w:t>
      </w:r>
      <w:r w:rsidRPr="005B79AD">
        <w:rPr>
          <w:vertAlign w:val="subscript"/>
        </w:rPr>
        <w:t>2</w:t>
      </w:r>
      <w:r w:rsidRPr="00786B9B">
        <w:t>O + Na</w:t>
      </w:r>
      <w:r w:rsidRPr="005B79AD">
        <w:rPr>
          <w:vertAlign w:val="subscript"/>
        </w:rPr>
        <w:t>2</w:t>
      </w:r>
      <w:r w:rsidRPr="00786B9B">
        <w:t>O) inferior al seis por mil (&lt; 6 ‰) del peso de cemento.</w:t>
      </w:r>
    </w:p>
    <w:p w14:paraId="7EAB5B1E" w14:textId="77777777" w:rsidR="00810099" w:rsidRPr="00786B9B" w:rsidRDefault="00C41FDB" w:rsidP="00F04B51">
      <w:pPr>
        <w:pStyle w:val="TITU4"/>
        <w:numPr>
          <w:ilvl w:val="0"/>
          <w:numId w:val="0"/>
        </w:numPr>
        <w:ind w:left="426"/>
      </w:pPr>
      <w:r w:rsidRPr="00786B9B">
        <w:t>Los áridos gruesos deben cumplir:</w:t>
      </w:r>
    </w:p>
    <w:p w14:paraId="0ED388B6" w14:textId="77777777" w:rsidR="00810099" w:rsidRPr="00786B9B" w:rsidRDefault="00810099" w:rsidP="00E01981">
      <w:pPr>
        <w:pStyle w:val="NORMAL12"/>
        <w:numPr>
          <w:ilvl w:val="0"/>
          <w:numId w:val="116"/>
        </w:numPr>
      </w:pPr>
      <w:r w:rsidRPr="00786B9B">
        <w:t>El tamaño máximo del árido grueso no será sup</w:t>
      </w:r>
      <w:r w:rsidR="00B47AE5" w:rsidRPr="00786B9B">
        <w:t>erior a cuarenta milímetros (</w:t>
      </w:r>
      <w:r w:rsidRPr="00786B9B">
        <w:t>40 mm)</w:t>
      </w:r>
      <w:r w:rsidR="00CC12B5" w:rsidRPr="00786B9B">
        <w:t xml:space="preserve"> </w:t>
      </w:r>
      <w:r w:rsidRPr="00786B9B">
        <w:t>y se suministrará, como mínimo, en dos (2) fracciones granulométricas diferenciadas.</w:t>
      </w:r>
    </w:p>
    <w:p w14:paraId="64305680" w14:textId="77777777" w:rsidR="00810099" w:rsidRPr="00E01981" w:rsidRDefault="00810099" w:rsidP="00E01981">
      <w:pPr>
        <w:pStyle w:val="NORMAL12"/>
        <w:numPr>
          <w:ilvl w:val="0"/>
          <w:numId w:val="116"/>
        </w:numPr>
      </w:pPr>
      <w:r w:rsidRPr="00786B9B">
        <w:t xml:space="preserve">El coeficiente </w:t>
      </w:r>
      <w:r w:rsidRPr="00E01981">
        <w:t xml:space="preserve">de Los </w:t>
      </w:r>
      <w:r w:rsidR="00B47AE5" w:rsidRPr="00E01981">
        <w:t>Ángeles (</w:t>
      </w:r>
      <w:r w:rsidRPr="00E01981">
        <w:t>LA</w:t>
      </w:r>
      <w:r w:rsidR="00B47AE5" w:rsidRPr="00E01981">
        <w:t>) (</w:t>
      </w:r>
      <w:r w:rsidRPr="00E01981">
        <w:t>norma UNE-EN 1097-2</w:t>
      </w:r>
      <w:r w:rsidR="00843E61" w:rsidRPr="00E01981">
        <w:t>:2010</w:t>
      </w:r>
      <w:r w:rsidR="00B47AE5" w:rsidRPr="00E01981">
        <w:t>) deberá</w:t>
      </w:r>
      <w:r w:rsidRPr="00E01981">
        <w:t xml:space="preserve"> ser inferior a treinta y cinco (LA &lt; 35)</w:t>
      </w:r>
      <w:r w:rsidR="00B47AE5" w:rsidRPr="00E01981">
        <w:t>, y</w:t>
      </w:r>
      <w:r w:rsidRPr="00E01981">
        <w:t xml:space="preserve"> a </w:t>
      </w:r>
      <w:r w:rsidR="00B47AE5" w:rsidRPr="00E01981">
        <w:t>cuarenta (</w:t>
      </w:r>
      <w:r w:rsidRPr="00E01981">
        <w:t>LA &lt; 40) cuando se empleen materiales reciclados procedentes de capas de aglomerado de firmes de</w:t>
      </w:r>
      <w:r w:rsidR="00CC12B5" w:rsidRPr="00E01981">
        <w:t xml:space="preserve"> </w:t>
      </w:r>
      <w:r w:rsidRPr="00E01981">
        <w:t xml:space="preserve">carretera, de demoliciones de hormigones de resistencia a compresión final </w:t>
      </w:r>
      <w:r w:rsidR="00B47AE5" w:rsidRPr="00E01981">
        <w:t>superior a</w:t>
      </w:r>
      <w:r w:rsidRPr="00E01981">
        <w:t xml:space="preserve"> </w:t>
      </w:r>
      <w:r w:rsidR="00B47AE5" w:rsidRPr="00E01981">
        <w:t>treinta y</w:t>
      </w:r>
      <w:r w:rsidRPr="00E01981">
        <w:t xml:space="preserve"> cinco </w:t>
      </w:r>
      <w:proofErr w:type="spellStart"/>
      <w:r w:rsidRPr="00E01981">
        <w:t>megapascales</w:t>
      </w:r>
      <w:proofErr w:type="spellEnd"/>
      <w:r w:rsidRPr="00E01981">
        <w:t xml:space="preserve"> (&gt; 35 MPa), o áridos siderúrgicos.</w:t>
      </w:r>
    </w:p>
    <w:p w14:paraId="2D736908" w14:textId="77777777" w:rsidR="00810099" w:rsidRPr="00786B9B" w:rsidRDefault="00810099" w:rsidP="00E01981">
      <w:pPr>
        <w:pStyle w:val="NORMAL12"/>
        <w:numPr>
          <w:ilvl w:val="0"/>
          <w:numId w:val="116"/>
        </w:numPr>
      </w:pPr>
      <w:r w:rsidRPr="00E01981">
        <w:t xml:space="preserve">El </w:t>
      </w:r>
      <w:r w:rsidR="00B47AE5" w:rsidRPr="00E01981">
        <w:t>índice de</w:t>
      </w:r>
      <w:r w:rsidRPr="00E01981">
        <w:t xml:space="preserve"> lajas (FI) (</w:t>
      </w:r>
      <w:r w:rsidR="00B47AE5" w:rsidRPr="00E01981">
        <w:t>norma UNE</w:t>
      </w:r>
      <w:r w:rsidRPr="00E01981">
        <w:t>-</w:t>
      </w:r>
      <w:r w:rsidR="00B47AE5" w:rsidRPr="00E01981">
        <w:t>EN 933</w:t>
      </w:r>
      <w:r w:rsidRPr="00E01981">
        <w:t>-3</w:t>
      </w:r>
      <w:r w:rsidR="00843E61" w:rsidRPr="00E01981">
        <w:t>:2012</w:t>
      </w:r>
      <w:r w:rsidR="00B47AE5" w:rsidRPr="00E01981">
        <w:t>) deberá ser</w:t>
      </w:r>
      <w:r w:rsidRPr="00786B9B">
        <w:t xml:space="preserve"> </w:t>
      </w:r>
      <w:r w:rsidR="00B47AE5" w:rsidRPr="00786B9B">
        <w:t>inferior a</w:t>
      </w:r>
      <w:r w:rsidRPr="00786B9B">
        <w:t xml:space="preserve"> </w:t>
      </w:r>
      <w:r w:rsidR="00B47AE5" w:rsidRPr="00786B9B">
        <w:t>treinta y</w:t>
      </w:r>
      <w:r w:rsidRPr="00786B9B">
        <w:t xml:space="preserve"> cinco (FI &lt; 35).</w:t>
      </w:r>
    </w:p>
    <w:p w14:paraId="3F912D66" w14:textId="77777777" w:rsidR="00810099" w:rsidRPr="00786B9B" w:rsidRDefault="0092291B" w:rsidP="00F04B51">
      <w:pPr>
        <w:pStyle w:val="TITU4"/>
        <w:numPr>
          <w:ilvl w:val="0"/>
          <w:numId w:val="0"/>
        </w:numPr>
        <w:ind w:left="426"/>
      </w:pPr>
      <w:r>
        <w:br w:type="column"/>
      </w:r>
      <w:r w:rsidR="00C41FDB" w:rsidRPr="00786B9B">
        <w:lastRenderedPageBreak/>
        <w:t>Los áridos finos deben cumplir:</w:t>
      </w:r>
    </w:p>
    <w:p w14:paraId="3F87858F" w14:textId="77777777" w:rsidR="00810099" w:rsidRPr="00786B9B" w:rsidRDefault="00C41FDB" w:rsidP="00E01981">
      <w:pPr>
        <w:pStyle w:val="NORMAL12"/>
        <w:numPr>
          <w:ilvl w:val="0"/>
          <w:numId w:val="116"/>
        </w:numPr>
      </w:pPr>
      <w:r w:rsidRPr="00786B9B">
        <w:t xml:space="preserve">Se podrá emplear árido fino que tenga arena de machaqueo siempre que lo apruebe el </w:t>
      </w:r>
      <w:proofErr w:type="gramStart"/>
      <w:r w:rsidRPr="00786B9B">
        <w:t>Director</w:t>
      </w:r>
      <w:proofErr w:type="gramEnd"/>
      <w:r w:rsidRPr="00786B9B">
        <w:t xml:space="preserve"> de obra. </w:t>
      </w:r>
    </w:p>
    <w:p w14:paraId="4D1BA12E" w14:textId="77777777" w:rsidR="00810099" w:rsidRPr="00786B9B" w:rsidRDefault="00810099" w:rsidP="00E01981">
      <w:pPr>
        <w:pStyle w:val="NORMAL12"/>
        <w:numPr>
          <w:ilvl w:val="0"/>
          <w:numId w:val="116"/>
        </w:numPr>
      </w:pPr>
      <w:r w:rsidRPr="00786B9B">
        <w:t xml:space="preserve">El </w:t>
      </w:r>
      <w:r w:rsidR="00B47AE5" w:rsidRPr="00786B9B">
        <w:t>árido fino deberá</w:t>
      </w:r>
      <w:r w:rsidRPr="00786B9B">
        <w:t xml:space="preserve"> cumplir lo establecido en la </w:t>
      </w:r>
      <w:r w:rsidR="00B47AE5" w:rsidRPr="00786B9B">
        <w:t>vigente Instrucción de Hormigón</w:t>
      </w:r>
      <w:r w:rsidR="00AB6DB4" w:rsidRPr="00786B9B">
        <w:t xml:space="preserve"> </w:t>
      </w:r>
      <w:r w:rsidRPr="00786B9B">
        <w:t>Estructural EHE.</w:t>
      </w:r>
    </w:p>
    <w:p w14:paraId="38034092" w14:textId="77777777" w:rsidR="00C41FDB" w:rsidRPr="00E01981" w:rsidRDefault="00C41FDB" w:rsidP="00E01981">
      <w:pPr>
        <w:pStyle w:val="NORMAL12"/>
        <w:numPr>
          <w:ilvl w:val="0"/>
          <w:numId w:val="116"/>
        </w:numPr>
      </w:pPr>
      <w:r w:rsidRPr="00E01981">
        <w:t xml:space="preserve">El </w:t>
      </w:r>
      <w:r w:rsidR="00810099" w:rsidRPr="00E01981">
        <w:t xml:space="preserve">valor del </w:t>
      </w:r>
      <w:r w:rsidR="00B47AE5" w:rsidRPr="00E01981">
        <w:t>equivalente de</w:t>
      </w:r>
      <w:r w:rsidR="00810099" w:rsidRPr="00E01981">
        <w:t xml:space="preserve"> arena (SE</w:t>
      </w:r>
      <w:r w:rsidR="00810099" w:rsidRPr="004D3C9F">
        <w:rPr>
          <w:vertAlign w:val="subscript"/>
        </w:rPr>
        <w:t>4</w:t>
      </w:r>
      <w:r w:rsidR="00810099" w:rsidRPr="00E01981">
        <w:t>) del árido fino (Anexo A de la norma UNE-EN 933-8</w:t>
      </w:r>
      <w:r w:rsidR="00843E61" w:rsidRPr="00E01981">
        <w:t>: 2012 + A1:2015</w:t>
      </w:r>
      <w:r w:rsidR="00810099" w:rsidRPr="00E01981">
        <w:t xml:space="preserve">) </w:t>
      </w:r>
      <w:r w:rsidRPr="00E01981">
        <w:t>n</w:t>
      </w:r>
      <w:r w:rsidR="00810099" w:rsidRPr="00E01981">
        <w:t>o será inferior a setenta y cinco (</w:t>
      </w:r>
      <w:r w:rsidR="00B47AE5" w:rsidRPr="00E01981">
        <w:t>SE</w:t>
      </w:r>
      <w:r w:rsidR="00B47AE5" w:rsidRPr="004D3C9F">
        <w:rPr>
          <w:vertAlign w:val="subscript"/>
        </w:rPr>
        <w:t>4</w:t>
      </w:r>
      <w:r w:rsidR="00B47AE5" w:rsidRPr="00E01981">
        <w:t xml:space="preserve"> &gt;</w:t>
      </w:r>
      <w:r w:rsidR="00810099" w:rsidRPr="00E01981">
        <w:t xml:space="preserve"> 75). </w:t>
      </w:r>
    </w:p>
    <w:p w14:paraId="6FD0F93A" w14:textId="77777777" w:rsidR="00810099" w:rsidRPr="00E01981" w:rsidRDefault="00C41FDB" w:rsidP="00E01981">
      <w:pPr>
        <w:pStyle w:val="NORMAL12"/>
        <w:numPr>
          <w:ilvl w:val="0"/>
          <w:numId w:val="116"/>
        </w:numPr>
      </w:pPr>
      <w:r w:rsidRPr="00E01981">
        <w:t xml:space="preserve">Se podrán emplear </w:t>
      </w:r>
      <w:r w:rsidR="00B47AE5" w:rsidRPr="00E01981">
        <w:t>arenas procedentes</w:t>
      </w:r>
      <w:r w:rsidR="00810099" w:rsidRPr="00E01981">
        <w:t xml:space="preserve"> del machaqueo de rocas calizas o dolomías si cumplen lo establecido en la vigente </w:t>
      </w:r>
      <w:r w:rsidR="00B47AE5" w:rsidRPr="00E01981">
        <w:t>Instrucción de</w:t>
      </w:r>
      <w:r w:rsidR="00810099" w:rsidRPr="00E01981">
        <w:t xml:space="preserve"> </w:t>
      </w:r>
      <w:r w:rsidR="00B47AE5" w:rsidRPr="00E01981">
        <w:t>Hormigón Estructural EHE</w:t>
      </w:r>
      <w:r w:rsidR="00810099" w:rsidRPr="00E01981">
        <w:t xml:space="preserve">, </w:t>
      </w:r>
      <w:r w:rsidR="00B47AE5" w:rsidRPr="00E01981">
        <w:t>respecto a</w:t>
      </w:r>
      <w:r w:rsidR="00810099" w:rsidRPr="00E01981">
        <w:t xml:space="preserve"> la calidad de los finos de los áridos.</w:t>
      </w:r>
    </w:p>
    <w:p w14:paraId="3EF61E41" w14:textId="77777777" w:rsidR="00810099" w:rsidRPr="00E01981" w:rsidRDefault="00810099" w:rsidP="00E01981">
      <w:pPr>
        <w:pStyle w:val="NORMAL12"/>
        <w:numPr>
          <w:ilvl w:val="0"/>
          <w:numId w:val="116"/>
        </w:numPr>
      </w:pPr>
      <w:r w:rsidRPr="00E01981">
        <w:t>La curva granulométrica del árido fino (norma UNE-</w:t>
      </w:r>
      <w:r w:rsidR="00B47AE5" w:rsidRPr="00E01981">
        <w:t>EN 933</w:t>
      </w:r>
      <w:r w:rsidRPr="00E01981">
        <w:t>-1</w:t>
      </w:r>
      <w:r w:rsidR="00843E61" w:rsidRPr="00E01981">
        <w:t>:2012</w:t>
      </w:r>
      <w:r w:rsidRPr="00E01981">
        <w:t>) estará comprendida dentro de los límites que se señalan en la tabla 551.1.</w:t>
      </w:r>
    </w:p>
    <w:p w14:paraId="02F38AF2" w14:textId="77777777" w:rsidR="00810099" w:rsidRPr="00786B9B" w:rsidRDefault="00810099" w:rsidP="003F0EA7">
      <w:pPr>
        <w:pStyle w:val="NORMAL12"/>
        <w:jc w:val="center"/>
        <w:rPr>
          <w:sz w:val="20"/>
          <w:szCs w:val="20"/>
          <w:lang w:val="es-ES"/>
        </w:rPr>
      </w:pPr>
      <w:r w:rsidRPr="00786B9B">
        <w:rPr>
          <w:sz w:val="20"/>
          <w:szCs w:val="20"/>
          <w:lang w:val="es-ES"/>
        </w:rPr>
        <w:t xml:space="preserve">Tabla 551.1. Huso granulométrico del árido fino. </w:t>
      </w:r>
    </w:p>
    <w:tbl>
      <w:tblPr>
        <w:tblW w:w="9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321"/>
        <w:gridCol w:w="1323"/>
        <w:gridCol w:w="1322"/>
        <w:gridCol w:w="1322"/>
        <w:gridCol w:w="1323"/>
        <w:gridCol w:w="1322"/>
        <w:gridCol w:w="1326"/>
      </w:tblGrid>
      <w:tr w:rsidR="005864C2" w:rsidRPr="00786B9B" w14:paraId="4735CA5E" w14:textId="77777777" w:rsidTr="00B8112A">
        <w:trPr>
          <w:trHeight w:hRule="exact" w:val="566"/>
          <w:jc w:val="center"/>
        </w:trPr>
        <w:tc>
          <w:tcPr>
            <w:tcW w:w="9259" w:type="dxa"/>
            <w:gridSpan w:val="7"/>
            <w:shd w:val="clear" w:color="auto" w:fill="D9D9D9" w:themeFill="background1" w:themeFillShade="D9"/>
          </w:tcPr>
          <w:p w14:paraId="54260588" w14:textId="77777777" w:rsidR="00810099" w:rsidRPr="00786B9B" w:rsidRDefault="00810099" w:rsidP="004D147E">
            <w:pPr>
              <w:spacing w:line="224" w:lineRule="exact"/>
              <w:ind w:left="2858" w:right="2838"/>
              <w:jc w:val="center"/>
              <w:rPr>
                <w:rFonts w:ascii="Arial" w:eastAsia="Arial" w:hAnsi="Arial" w:cs="Arial"/>
                <w:sz w:val="20"/>
                <w:szCs w:val="20"/>
              </w:rPr>
            </w:pPr>
            <w:r w:rsidRPr="00786B9B">
              <w:rPr>
                <w:rFonts w:ascii="Arial" w:eastAsia="Arial" w:hAnsi="Arial" w:cs="Arial"/>
                <w:b/>
                <w:bCs/>
                <w:sz w:val="20"/>
                <w:szCs w:val="20"/>
              </w:rPr>
              <w:t>C</w:t>
            </w:r>
            <w:r w:rsidR="005B79AD">
              <w:rPr>
                <w:rFonts w:ascii="Arial" w:eastAsia="Arial" w:hAnsi="Arial" w:cs="Arial"/>
                <w:b/>
                <w:bCs/>
                <w:sz w:val="20"/>
                <w:szCs w:val="20"/>
              </w:rPr>
              <w:t>ernido acumulado</w:t>
            </w:r>
            <w:r w:rsidRPr="00786B9B">
              <w:rPr>
                <w:rFonts w:ascii="Arial" w:eastAsia="Arial" w:hAnsi="Arial" w:cs="Arial"/>
                <w:b/>
                <w:bCs/>
                <w:sz w:val="20"/>
                <w:szCs w:val="20"/>
              </w:rPr>
              <w:t xml:space="preserve"> </w:t>
            </w:r>
            <w:r w:rsidRPr="00786B9B">
              <w:rPr>
                <w:rFonts w:ascii="Arial" w:eastAsia="Arial" w:hAnsi="Arial" w:cs="Arial"/>
                <w:sz w:val="20"/>
                <w:szCs w:val="20"/>
              </w:rPr>
              <w:t>(% en masa)</w:t>
            </w:r>
          </w:p>
          <w:p w14:paraId="51AF2546" w14:textId="77777777" w:rsidR="00810099" w:rsidRPr="00786B9B" w:rsidRDefault="00810099" w:rsidP="005B79AD">
            <w:pPr>
              <w:spacing w:before="43"/>
              <w:ind w:left="2208" w:right="2188"/>
              <w:jc w:val="center"/>
              <w:rPr>
                <w:rFonts w:ascii="Arial" w:eastAsia="Arial" w:hAnsi="Arial" w:cs="Arial"/>
                <w:sz w:val="20"/>
                <w:szCs w:val="20"/>
              </w:rPr>
            </w:pPr>
            <w:r w:rsidRPr="00786B9B">
              <w:rPr>
                <w:rFonts w:ascii="Arial" w:eastAsia="Arial" w:hAnsi="Arial" w:cs="Arial"/>
                <w:b/>
                <w:bCs/>
                <w:sz w:val="20"/>
                <w:szCs w:val="20"/>
              </w:rPr>
              <w:t>A</w:t>
            </w:r>
            <w:r w:rsidR="005B79AD">
              <w:rPr>
                <w:rFonts w:ascii="Arial" w:eastAsia="Arial" w:hAnsi="Arial" w:cs="Arial"/>
                <w:b/>
                <w:bCs/>
                <w:sz w:val="20"/>
                <w:szCs w:val="20"/>
              </w:rPr>
              <w:t>bertura de los tamices</w:t>
            </w:r>
            <w:r w:rsidRPr="00786B9B">
              <w:rPr>
                <w:rFonts w:ascii="Arial" w:eastAsia="Arial" w:hAnsi="Arial" w:cs="Arial"/>
                <w:b/>
                <w:bCs/>
                <w:sz w:val="20"/>
                <w:szCs w:val="20"/>
              </w:rPr>
              <w:t xml:space="preserve"> UNE-EN 933-2 </w:t>
            </w:r>
            <w:r w:rsidRPr="00786B9B">
              <w:rPr>
                <w:rFonts w:ascii="Arial" w:eastAsia="Arial" w:hAnsi="Arial" w:cs="Arial"/>
                <w:sz w:val="20"/>
                <w:szCs w:val="20"/>
              </w:rPr>
              <w:t>(mm)</w:t>
            </w:r>
          </w:p>
        </w:tc>
      </w:tr>
      <w:tr w:rsidR="005864C2" w:rsidRPr="00786B9B" w14:paraId="05645512" w14:textId="77777777" w:rsidTr="00B8112A">
        <w:trPr>
          <w:trHeight w:hRule="exact" w:val="413"/>
          <w:jc w:val="center"/>
        </w:trPr>
        <w:tc>
          <w:tcPr>
            <w:tcW w:w="1321" w:type="dxa"/>
            <w:shd w:val="clear" w:color="auto" w:fill="D9D9D9" w:themeFill="background1" w:themeFillShade="D9"/>
          </w:tcPr>
          <w:p w14:paraId="75A14D1D" w14:textId="77777777" w:rsidR="00810099" w:rsidRPr="00786B9B" w:rsidRDefault="00810099" w:rsidP="004D147E">
            <w:pPr>
              <w:spacing w:before="55"/>
              <w:ind w:left="554" w:right="517"/>
              <w:jc w:val="center"/>
              <w:rPr>
                <w:rFonts w:ascii="Arial" w:eastAsia="Arial" w:hAnsi="Arial" w:cs="Arial"/>
                <w:sz w:val="20"/>
                <w:szCs w:val="20"/>
              </w:rPr>
            </w:pPr>
            <w:r w:rsidRPr="00786B9B">
              <w:rPr>
                <w:rFonts w:ascii="Arial" w:eastAsia="Arial" w:hAnsi="Arial" w:cs="Arial"/>
                <w:b/>
                <w:bCs/>
                <w:sz w:val="20"/>
                <w:szCs w:val="20"/>
              </w:rPr>
              <w:t>4</w:t>
            </w:r>
          </w:p>
        </w:tc>
        <w:tc>
          <w:tcPr>
            <w:tcW w:w="1323" w:type="dxa"/>
            <w:shd w:val="clear" w:color="auto" w:fill="D9D9D9" w:themeFill="background1" w:themeFillShade="D9"/>
          </w:tcPr>
          <w:p w14:paraId="481850FD" w14:textId="77777777" w:rsidR="00810099" w:rsidRPr="00786B9B" w:rsidRDefault="00810099" w:rsidP="004D147E">
            <w:pPr>
              <w:spacing w:before="55"/>
              <w:ind w:left="538" w:right="517"/>
              <w:jc w:val="center"/>
              <w:rPr>
                <w:rFonts w:ascii="Arial" w:eastAsia="Arial" w:hAnsi="Arial" w:cs="Arial"/>
                <w:sz w:val="20"/>
                <w:szCs w:val="20"/>
              </w:rPr>
            </w:pPr>
            <w:r w:rsidRPr="00786B9B">
              <w:rPr>
                <w:rFonts w:ascii="Arial" w:eastAsia="Arial" w:hAnsi="Arial" w:cs="Arial"/>
                <w:b/>
                <w:bCs/>
                <w:sz w:val="20"/>
                <w:szCs w:val="20"/>
              </w:rPr>
              <w:t>2</w:t>
            </w:r>
          </w:p>
        </w:tc>
        <w:tc>
          <w:tcPr>
            <w:tcW w:w="1322" w:type="dxa"/>
            <w:shd w:val="clear" w:color="auto" w:fill="D9D9D9" w:themeFill="background1" w:themeFillShade="D9"/>
          </w:tcPr>
          <w:p w14:paraId="67E7D2B3" w14:textId="77777777" w:rsidR="00810099" w:rsidRPr="00786B9B" w:rsidRDefault="00810099" w:rsidP="004D147E">
            <w:pPr>
              <w:spacing w:before="55"/>
              <w:ind w:left="537" w:right="517"/>
              <w:jc w:val="center"/>
              <w:rPr>
                <w:rFonts w:ascii="Arial" w:eastAsia="Arial" w:hAnsi="Arial" w:cs="Arial"/>
                <w:sz w:val="20"/>
                <w:szCs w:val="20"/>
              </w:rPr>
            </w:pPr>
            <w:r w:rsidRPr="00786B9B">
              <w:rPr>
                <w:rFonts w:ascii="Arial" w:eastAsia="Arial" w:hAnsi="Arial" w:cs="Arial"/>
                <w:b/>
                <w:bCs/>
                <w:sz w:val="20"/>
                <w:szCs w:val="20"/>
              </w:rPr>
              <w:t>1</w:t>
            </w:r>
          </w:p>
        </w:tc>
        <w:tc>
          <w:tcPr>
            <w:tcW w:w="1322" w:type="dxa"/>
            <w:shd w:val="clear" w:color="auto" w:fill="D9D9D9" w:themeFill="background1" w:themeFillShade="D9"/>
          </w:tcPr>
          <w:p w14:paraId="438B003C" w14:textId="77777777" w:rsidR="00810099" w:rsidRPr="00786B9B" w:rsidRDefault="00810099" w:rsidP="004D147E">
            <w:pPr>
              <w:spacing w:before="55"/>
              <w:ind w:left="379" w:right="-20"/>
              <w:rPr>
                <w:rFonts w:ascii="Arial" w:eastAsia="Arial" w:hAnsi="Arial" w:cs="Arial"/>
                <w:sz w:val="20"/>
                <w:szCs w:val="20"/>
              </w:rPr>
            </w:pPr>
            <w:r w:rsidRPr="00786B9B">
              <w:rPr>
                <w:rFonts w:ascii="Arial" w:eastAsia="Arial" w:hAnsi="Arial" w:cs="Arial"/>
                <w:b/>
                <w:bCs/>
                <w:sz w:val="20"/>
                <w:szCs w:val="20"/>
              </w:rPr>
              <w:t>0,500</w:t>
            </w:r>
          </w:p>
        </w:tc>
        <w:tc>
          <w:tcPr>
            <w:tcW w:w="1323" w:type="dxa"/>
            <w:shd w:val="clear" w:color="auto" w:fill="D9D9D9" w:themeFill="background1" w:themeFillShade="D9"/>
          </w:tcPr>
          <w:p w14:paraId="4694C428" w14:textId="77777777" w:rsidR="00810099" w:rsidRPr="00786B9B" w:rsidRDefault="00810099" w:rsidP="004D147E">
            <w:pPr>
              <w:spacing w:before="55"/>
              <w:ind w:left="379" w:right="-20"/>
              <w:rPr>
                <w:rFonts w:ascii="Arial" w:eastAsia="Arial" w:hAnsi="Arial" w:cs="Arial"/>
                <w:sz w:val="20"/>
                <w:szCs w:val="20"/>
              </w:rPr>
            </w:pPr>
            <w:r w:rsidRPr="00786B9B">
              <w:rPr>
                <w:rFonts w:ascii="Arial" w:eastAsia="Arial" w:hAnsi="Arial" w:cs="Arial"/>
                <w:b/>
                <w:bCs/>
                <w:sz w:val="20"/>
                <w:szCs w:val="20"/>
              </w:rPr>
              <w:t>0,250</w:t>
            </w:r>
          </w:p>
        </w:tc>
        <w:tc>
          <w:tcPr>
            <w:tcW w:w="1322" w:type="dxa"/>
            <w:shd w:val="clear" w:color="auto" w:fill="D9D9D9" w:themeFill="background1" w:themeFillShade="D9"/>
          </w:tcPr>
          <w:p w14:paraId="5435FB83" w14:textId="77777777" w:rsidR="00810099" w:rsidRPr="00786B9B" w:rsidRDefault="00810099" w:rsidP="004D147E">
            <w:pPr>
              <w:spacing w:before="55"/>
              <w:ind w:left="379" w:right="-20"/>
              <w:rPr>
                <w:rFonts w:ascii="Arial" w:eastAsia="Arial" w:hAnsi="Arial" w:cs="Arial"/>
                <w:sz w:val="20"/>
                <w:szCs w:val="20"/>
              </w:rPr>
            </w:pPr>
            <w:r w:rsidRPr="00786B9B">
              <w:rPr>
                <w:rFonts w:ascii="Arial" w:eastAsia="Arial" w:hAnsi="Arial" w:cs="Arial"/>
                <w:b/>
                <w:bCs/>
                <w:sz w:val="20"/>
                <w:szCs w:val="20"/>
              </w:rPr>
              <w:t>0,125</w:t>
            </w:r>
          </w:p>
        </w:tc>
        <w:tc>
          <w:tcPr>
            <w:tcW w:w="1326" w:type="dxa"/>
            <w:shd w:val="clear" w:color="auto" w:fill="D9D9D9" w:themeFill="background1" w:themeFillShade="D9"/>
          </w:tcPr>
          <w:p w14:paraId="35FEA748" w14:textId="77777777" w:rsidR="00810099" w:rsidRPr="00786B9B" w:rsidRDefault="00810099" w:rsidP="004D147E">
            <w:pPr>
              <w:spacing w:before="55"/>
              <w:ind w:left="380" w:right="-20"/>
              <w:rPr>
                <w:rFonts w:ascii="Arial" w:eastAsia="Arial" w:hAnsi="Arial" w:cs="Arial"/>
                <w:sz w:val="20"/>
                <w:szCs w:val="20"/>
              </w:rPr>
            </w:pPr>
            <w:r w:rsidRPr="00786B9B">
              <w:rPr>
                <w:rFonts w:ascii="Arial" w:eastAsia="Arial" w:hAnsi="Arial" w:cs="Arial"/>
                <w:b/>
                <w:bCs/>
                <w:sz w:val="20"/>
                <w:szCs w:val="20"/>
              </w:rPr>
              <w:t>0,063</w:t>
            </w:r>
          </w:p>
        </w:tc>
      </w:tr>
      <w:tr w:rsidR="00810099" w:rsidRPr="00786B9B" w14:paraId="032C6F93" w14:textId="77777777" w:rsidTr="00B8112A">
        <w:trPr>
          <w:trHeight w:hRule="exact" w:val="494"/>
          <w:jc w:val="center"/>
        </w:trPr>
        <w:tc>
          <w:tcPr>
            <w:tcW w:w="1321" w:type="dxa"/>
          </w:tcPr>
          <w:p w14:paraId="752033D5" w14:textId="77777777" w:rsidR="00810099" w:rsidRPr="00786B9B" w:rsidRDefault="00810099" w:rsidP="004D147E">
            <w:pPr>
              <w:spacing w:before="90"/>
              <w:ind w:left="336" w:right="-20"/>
              <w:rPr>
                <w:rFonts w:ascii="Arial" w:eastAsia="Arial" w:hAnsi="Arial" w:cs="Arial"/>
                <w:sz w:val="20"/>
                <w:szCs w:val="20"/>
              </w:rPr>
            </w:pPr>
            <w:r w:rsidRPr="00786B9B">
              <w:rPr>
                <w:rFonts w:ascii="Arial" w:eastAsia="Arial" w:hAnsi="Arial" w:cs="Arial"/>
                <w:sz w:val="20"/>
                <w:szCs w:val="20"/>
              </w:rPr>
              <w:t>81-100</w:t>
            </w:r>
          </w:p>
        </w:tc>
        <w:tc>
          <w:tcPr>
            <w:tcW w:w="1323" w:type="dxa"/>
          </w:tcPr>
          <w:p w14:paraId="6F71573B" w14:textId="77777777" w:rsidR="00810099" w:rsidRPr="00786B9B" w:rsidRDefault="00810099" w:rsidP="004D147E">
            <w:pPr>
              <w:spacing w:before="3" w:line="110" w:lineRule="exact"/>
              <w:rPr>
                <w:sz w:val="11"/>
                <w:szCs w:val="11"/>
              </w:rPr>
            </w:pPr>
          </w:p>
          <w:p w14:paraId="6A2C5F27" w14:textId="77777777" w:rsidR="00810099" w:rsidRPr="00786B9B" w:rsidRDefault="00810099" w:rsidP="004D147E">
            <w:pPr>
              <w:ind w:left="403" w:right="-20"/>
              <w:rPr>
                <w:rFonts w:ascii="Arial" w:eastAsia="Arial" w:hAnsi="Arial" w:cs="Arial"/>
                <w:sz w:val="20"/>
                <w:szCs w:val="20"/>
              </w:rPr>
            </w:pPr>
            <w:r w:rsidRPr="00786B9B">
              <w:rPr>
                <w:rFonts w:ascii="Arial" w:eastAsia="Arial" w:hAnsi="Arial" w:cs="Arial"/>
                <w:sz w:val="20"/>
                <w:szCs w:val="20"/>
              </w:rPr>
              <w:t>58-85</w:t>
            </w:r>
          </w:p>
        </w:tc>
        <w:tc>
          <w:tcPr>
            <w:tcW w:w="1322" w:type="dxa"/>
          </w:tcPr>
          <w:p w14:paraId="434B4A96" w14:textId="77777777" w:rsidR="00810099" w:rsidRPr="00786B9B" w:rsidRDefault="00810099" w:rsidP="004D147E">
            <w:pPr>
              <w:spacing w:before="3" w:line="110" w:lineRule="exact"/>
              <w:rPr>
                <w:sz w:val="11"/>
                <w:szCs w:val="11"/>
              </w:rPr>
            </w:pPr>
          </w:p>
          <w:p w14:paraId="3A793A27" w14:textId="77777777" w:rsidR="00810099" w:rsidRPr="00786B9B" w:rsidRDefault="00810099" w:rsidP="004D147E">
            <w:pPr>
              <w:ind w:left="401" w:right="-20"/>
              <w:rPr>
                <w:rFonts w:ascii="Arial" w:eastAsia="Arial" w:hAnsi="Arial" w:cs="Arial"/>
                <w:sz w:val="20"/>
                <w:szCs w:val="20"/>
              </w:rPr>
            </w:pPr>
            <w:r w:rsidRPr="00786B9B">
              <w:rPr>
                <w:rFonts w:ascii="Arial" w:eastAsia="Arial" w:hAnsi="Arial" w:cs="Arial"/>
                <w:sz w:val="20"/>
                <w:szCs w:val="20"/>
              </w:rPr>
              <w:t>39-68</w:t>
            </w:r>
          </w:p>
        </w:tc>
        <w:tc>
          <w:tcPr>
            <w:tcW w:w="1322" w:type="dxa"/>
          </w:tcPr>
          <w:p w14:paraId="57B8C5F4" w14:textId="77777777" w:rsidR="00810099" w:rsidRPr="00786B9B" w:rsidRDefault="00810099" w:rsidP="004D147E">
            <w:pPr>
              <w:spacing w:before="90"/>
              <w:ind w:left="402" w:right="-20"/>
              <w:rPr>
                <w:rFonts w:ascii="Arial" w:eastAsia="Arial" w:hAnsi="Arial" w:cs="Arial"/>
                <w:sz w:val="20"/>
                <w:szCs w:val="20"/>
              </w:rPr>
            </w:pPr>
            <w:r w:rsidRPr="00786B9B">
              <w:rPr>
                <w:rFonts w:ascii="Arial" w:eastAsia="Arial" w:hAnsi="Arial" w:cs="Arial"/>
                <w:sz w:val="20"/>
                <w:szCs w:val="20"/>
              </w:rPr>
              <w:t>21-46</w:t>
            </w:r>
          </w:p>
        </w:tc>
        <w:tc>
          <w:tcPr>
            <w:tcW w:w="1323" w:type="dxa"/>
          </w:tcPr>
          <w:p w14:paraId="668F0F09" w14:textId="77777777" w:rsidR="00810099" w:rsidRPr="00786B9B" w:rsidRDefault="00810099" w:rsidP="004D147E">
            <w:pPr>
              <w:spacing w:before="3" w:line="110" w:lineRule="exact"/>
              <w:rPr>
                <w:sz w:val="11"/>
                <w:szCs w:val="11"/>
              </w:rPr>
            </w:pPr>
          </w:p>
          <w:p w14:paraId="1940AD9B" w14:textId="77777777" w:rsidR="00810099" w:rsidRPr="00786B9B" w:rsidRDefault="00810099" w:rsidP="004D147E">
            <w:pPr>
              <w:ind w:left="421" w:right="403"/>
              <w:jc w:val="center"/>
              <w:rPr>
                <w:rFonts w:ascii="Arial" w:eastAsia="Arial" w:hAnsi="Arial" w:cs="Arial"/>
                <w:sz w:val="20"/>
                <w:szCs w:val="20"/>
              </w:rPr>
            </w:pPr>
            <w:r w:rsidRPr="00786B9B">
              <w:rPr>
                <w:rFonts w:ascii="Arial" w:eastAsia="Arial" w:hAnsi="Arial" w:cs="Arial"/>
                <w:sz w:val="20"/>
                <w:szCs w:val="20"/>
              </w:rPr>
              <w:t>7-22</w:t>
            </w:r>
          </w:p>
        </w:tc>
        <w:tc>
          <w:tcPr>
            <w:tcW w:w="1322" w:type="dxa"/>
          </w:tcPr>
          <w:p w14:paraId="6150C4E9" w14:textId="77777777" w:rsidR="00810099" w:rsidRPr="00786B9B" w:rsidRDefault="00810099" w:rsidP="004D147E">
            <w:pPr>
              <w:spacing w:before="3" w:line="110" w:lineRule="exact"/>
              <w:rPr>
                <w:sz w:val="11"/>
                <w:szCs w:val="11"/>
              </w:rPr>
            </w:pPr>
          </w:p>
          <w:p w14:paraId="729F01EC" w14:textId="77777777" w:rsidR="00810099" w:rsidRPr="00786B9B" w:rsidRDefault="00810099" w:rsidP="004D147E">
            <w:pPr>
              <w:ind w:left="476" w:right="458"/>
              <w:jc w:val="center"/>
              <w:rPr>
                <w:rFonts w:ascii="Arial" w:eastAsia="Arial" w:hAnsi="Arial" w:cs="Arial"/>
                <w:sz w:val="20"/>
                <w:szCs w:val="20"/>
              </w:rPr>
            </w:pPr>
            <w:r w:rsidRPr="00786B9B">
              <w:rPr>
                <w:rFonts w:ascii="Arial" w:eastAsia="Arial" w:hAnsi="Arial" w:cs="Arial"/>
                <w:sz w:val="20"/>
                <w:szCs w:val="20"/>
              </w:rPr>
              <w:t>1-8</w:t>
            </w:r>
          </w:p>
        </w:tc>
        <w:tc>
          <w:tcPr>
            <w:tcW w:w="1326" w:type="dxa"/>
          </w:tcPr>
          <w:p w14:paraId="5919AE6C" w14:textId="77777777" w:rsidR="00810099" w:rsidRPr="00786B9B" w:rsidRDefault="00810099" w:rsidP="004D147E">
            <w:pPr>
              <w:spacing w:before="3" w:line="110" w:lineRule="exact"/>
              <w:rPr>
                <w:sz w:val="11"/>
                <w:szCs w:val="11"/>
              </w:rPr>
            </w:pPr>
          </w:p>
          <w:p w14:paraId="49455075" w14:textId="77777777" w:rsidR="00810099" w:rsidRPr="00786B9B" w:rsidRDefault="00810099" w:rsidP="004D147E">
            <w:pPr>
              <w:ind w:left="475" w:right="448"/>
              <w:jc w:val="center"/>
              <w:rPr>
                <w:rFonts w:ascii="Arial" w:eastAsia="Arial" w:hAnsi="Arial" w:cs="Arial"/>
                <w:sz w:val="20"/>
                <w:szCs w:val="20"/>
              </w:rPr>
            </w:pPr>
            <w:r w:rsidRPr="00786B9B">
              <w:rPr>
                <w:rFonts w:ascii="Arial" w:eastAsia="Arial" w:hAnsi="Arial" w:cs="Arial"/>
                <w:sz w:val="20"/>
                <w:szCs w:val="20"/>
              </w:rPr>
              <w:t>0-6</w:t>
            </w:r>
          </w:p>
        </w:tc>
      </w:tr>
    </w:tbl>
    <w:p w14:paraId="5AC1106D" w14:textId="77777777" w:rsidR="00810099" w:rsidRPr="00786B9B" w:rsidRDefault="00810099" w:rsidP="00810099">
      <w:pPr>
        <w:pStyle w:val="TITU3"/>
        <w:numPr>
          <w:ilvl w:val="0"/>
          <w:numId w:val="0"/>
        </w:numPr>
        <w:ind w:left="720"/>
      </w:pPr>
    </w:p>
    <w:p w14:paraId="3B9FFE04" w14:textId="77777777" w:rsidR="00810099" w:rsidRPr="00E01981" w:rsidRDefault="00810099" w:rsidP="00CC12B5">
      <w:pPr>
        <w:pStyle w:val="NORMAL12"/>
      </w:pPr>
      <w:r w:rsidRPr="00786B9B">
        <w:t>Se podrá admitir un cernido acumulado de hasta un ocho por ciento (8%) por el tamiz</w:t>
      </w:r>
      <w:r w:rsidR="00CC12B5" w:rsidRPr="00786B9B">
        <w:t xml:space="preserve"> </w:t>
      </w:r>
      <w:r w:rsidR="00B47AE5" w:rsidRPr="00786B9B">
        <w:t xml:space="preserve">0,063 </w:t>
      </w:r>
      <w:r w:rsidRPr="00786B9B">
        <w:t>mm (</w:t>
      </w:r>
      <w:r w:rsidRPr="00E01981">
        <w:t>norma UNE-</w:t>
      </w:r>
      <w:r w:rsidR="00260112" w:rsidRPr="00E01981">
        <w:t>EN 933</w:t>
      </w:r>
      <w:r w:rsidRPr="00E01981">
        <w:t>-2</w:t>
      </w:r>
      <w:r w:rsidR="00843E61" w:rsidRPr="00E01981">
        <w:t>:1997</w:t>
      </w:r>
      <w:r w:rsidRPr="00E01981">
        <w:t>), si se cumple lo estable</w:t>
      </w:r>
      <w:r w:rsidR="00B47AE5" w:rsidRPr="00E01981">
        <w:t>cido respecto a la composición de los hormigones en la vigente Instrucción de Hormigón Estructural EHE</w:t>
      </w:r>
    </w:p>
    <w:p w14:paraId="03E0B6D3" w14:textId="77777777" w:rsidR="00810099" w:rsidRPr="00786B9B" w:rsidRDefault="00F616A6" w:rsidP="00CC12B5">
      <w:pPr>
        <w:pStyle w:val="NORMAL12"/>
      </w:pPr>
      <w:r w:rsidRPr="00E01981">
        <w:t xml:space="preserve">El </w:t>
      </w:r>
      <w:r w:rsidR="00810099" w:rsidRPr="00E01981">
        <w:t>módulo de finura (norma UNE-EN 933-1</w:t>
      </w:r>
      <w:r w:rsidR="00843E61" w:rsidRPr="00E01981">
        <w:t>:2012</w:t>
      </w:r>
      <w:r w:rsidR="00810099" w:rsidRPr="00E01981">
        <w:t>)</w:t>
      </w:r>
      <w:r w:rsidRPr="00E01981">
        <w:t xml:space="preserve"> de la curva granulométrica</w:t>
      </w:r>
      <w:r w:rsidR="00810099" w:rsidRPr="00E01981">
        <w:t>, definido como la suma de las diferencias ponderales acumuladas, expresadas en tanto por uno,</w:t>
      </w:r>
      <w:r w:rsidR="00B47AE5" w:rsidRPr="00E01981">
        <w:t xml:space="preserve"> por cada uno de los siete (7) tamices especificados en la tabla 551.1, no experiment</w:t>
      </w:r>
      <w:r w:rsidRPr="00E01981">
        <w:t>ará</w:t>
      </w:r>
      <w:r w:rsidR="00B47AE5" w:rsidRPr="00E01981">
        <w:t xml:space="preserve"> una variación</w:t>
      </w:r>
      <w:r w:rsidR="00810099" w:rsidRPr="00E01981">
        <w:t xml:space="preserve"> superior al cinco por ciento </w:t>
      </w:r>
      <w:r w:rsidR="00B47AE5" w:rsidRPr="00E01981">
        <w:t>(5</w:t>
      </w:r>
      <w:r w:rsidR="00810099" w:rsidRPr="00E01981">
        <w:t>%).</w:t>
      </w:r>
    </w:p>
    <w:p w14:paraId="5ED2682F" w14:textId="77777777" w:rsidR="00810099" w:rsidRDefault="00810099" w:rsidP="00F04B51">
      <w:pPr>
        <w:pStyle w:val="TITU3"/>
        <w:numPr>
          <w:ilvl w:val="0"/>
          <w:numId w:val="0"/>
        </w:numPr>
      </w:pPr>
      <w:r w:rsidRPr="00786B9B">
        <w:t>551.2.5. Aditivos</w:t>
      </w:r>
    </w:p>
    <w:p w14:paraId="48F3C15E" w14:textId="77777777" w:rsidR="008B70AE" w:rsidRPr="008B70AE" w:rsidRDefault="008B70AE" w:rsidP="008B70AE">
      <w:pPr>
        <w:pStyle w:val="NORMAL12"/>
        <w:rPr>
          <w:lang w:val="es-ES"/>
        </w:rPr>
      </w:pPr>
      <w:r w:rsidRPr="00C61E14">
        <w:rPr>
          <w:lang w:val="es-ES"/>
        </w:rPr>
        <w:t xml:space="preserve">No se emplearán aditivos salvo autorización expresa del </w:t>
      </w:r>
      <w:proofErr w:type="gramStart"/>
      <w:r w:rsidRPr="00C61E14">
        <w:rPr>
          <w:lang w:val="es-ES"/>
        </w:rPr>
        <w:t>Director</w:t>
      </w:r>
      <w:proofErr w:type="gramEnd"/>
      <w:r w:rsidRPr="00C61E14">
        <w:rPr>
          <w:lang w:val="es-ES"/>
        </w:rPr>
        <w:t xml:space="preserve"> de Obra, que determ</w:t>
      </w:r>
      <w:r w:rsidR="00AB0BDD" w:rsidRPr="00C61E14">
        <w:rPr>
          <w:lang w:val="es-ES"/>
        </w:rPr>
        <w:t>inará también el modo de empl</w:t>
      </w:r>
      <w:r w:rsidR="00D93E76" w:rsidRPr="00C61E14">
        <w:rPr>
          <w:lang w:val="es-ES"/>
        </w:rPr>
        <w:t>eo, deben cumplir las especificaciones</w:t>
      </w:r>
      <w:r w:rsidR="00AB0BDD" w:rsidRPr="00C61E14">
        <w:rPr>
          <w:lang w:val="es-ES"/>
        </w:rPr>
        <w:t xml:space="preserve"> establecidas en la instrucción EHE</w:t>
      </w:r>
    </w:p>
    <w:p w14:paraId="4A4E1B60" w14:textId="77777777" w:rsidR="00810099" w:rsidRPr="00786B9B" w:rsidRDefault="00810099" w:rsidP="00F04B51">
      <w:pPr>
        <w:pStyle w:val="TITU3"/>
        <w:numPr>
          <w:ilvl w:val="0"/>
          <w:numId w:val="0"/>
        </w:numPr>
      </w:pPr>
      <w:r w:rsidRPr="00786B9B">
        <w:t xml:space="preserve">551.2.6. Productos </w:t>
      </w:r>
      <w:proofErr w:type="spellStart"/>
      <w:r w:rsidRPr="00786B9B">
        <w:t>filmógenos</w:t>
      </w:r>
      <w:proofErr w:type="spellEnd"/>
      <w:r w:rsidRPr="00786B9B">
        <w:t xml:space="preserve"> de curado</w:t>
      </w:r>
    </w:p>
    <w:p w14:paraId="317CFEC1" w14:textId="77777777" w:rsidR="00F616A6" w:rsidRPr="00786B9B" w:rsidRDefault="00F616A6" w:rsidP="00F616A6">
      <w:pPr>
        <w:pStyle w:val="NORMAL12"/>
      </w:pPr>
      <w:r w:rsidRPr="00786B9B">
        <w:t xml:space="preserve">No se utilizará ninguna clase de producto </w:t>
      </w:r>
      <w:proofErr w:type="spellStart"/>
      <w:r w:rsidRPr="00786B9B">
        <w:t>filmógeno</w:t>
      </w:r>
      <w:proofErr w:type="spellEnd"/>
      <w:r w:rsidRPr="00786B9B">
        <w:t xml:space="preserve"> de curado, sin la aprobación previa y expresa del </w:t>
      </w:r>
      <w:proofErr w:type="gramStart"/>
      <w:r w:rsidRPr="00786B9B">
        <w:t>Director</w:t>
      </w:r>
      <w:proofErr w:type="gramEnd"/>
      <w:r w:rsidRPr="00786B9B">
        <w:t xml:space="preserve"> de las Obras.</w:t>
      </w:r>
    </w:p>
    <w:p w14:paraId="2345F387" w14:textId="77777777" w:rsidR="00810099" w:rsidRPr="00E01981" w:rsidRDefault="00810099" w:rsidP="00CC12B5">
      <w:pPr>
        <w:pStyle w:val="NORMAL12"/>
      </w:pPr>
      <w:r w:rsidRPr="00786B9B">
        <w:t>La base, o porción no volátil</w:t>
      </w:r>
      <w:r w:rsidR="00B47AE5" w:rsidRPr="00786B9B">
        <w:t>, constará de</w:t>
      </w:r>
      <w:r w:rsidRPr="00786B9B">
        <w:t xml:space="preserve"> un </w:t>
      </w:r>
      <w:r w:rsidR="00B47AE5" w:rsidRPr="00786B9B">
        <w:t>pigmento claro</w:t>
      </w:r>
      <w:r w:rsidRPr="00786B9B">
        <w:t xml:space="preserve">, </w:t>
      </w:r>
      <w:r w:rsidR="00B47AE5" w:rsidRPr="00786B9B">
        <w:t>preferentemente blanco</w:t>
      </w:r>
      <w:r w:rsidRPr="00786B9B">
        <w:t xml:space="preserve">, finamente dividido, y un vehículo, que estará compuesto de ceras naturales o sintéticas, o bien de </w:t>
      </w:r>
      <w:r w:rsidRPr="00E01981">
        <w:t>resinas.</w:t>
      </w:r>
    </w:p>
    <w:p w14:paraId="4D9C4B79" w14:textId="77777777" w:rsidR="00810099" w:rsidRPr="00E01981" w:rsidRDefault="00810099" w:rsidP="00CC12B5">
      <w:pPr>
        <w:pStyle w:val="NORMAL12"/>
      </w:pPr>
      <w:r w:rsidRPr="00E01981">
        <w:t>El producto utilizado no permanecerá viscoso y aparecerá seco al tacto antes de transcurridas doce horas (12 h) desde su aplicación.</w:t>
      </w:r>
    </w:p>
    <w:p w14:paraId="00083B1A" w14:textId="77777777" w:rsidR="00810099" w:rsidRPr="00E01981" w:rsidRDefault="00810099" w:rsidP="00CC12B5">
      <w:pPr>
        <w:pStyle w:val="NORMAL12"/>
      </w:pPr>
      <w:r w:rsidRPr="00E01981">
        <w:t>Deberán proporcionar protección al hormigón durante un periodo de tiempo no inferior a la duración mínima del curado</w:t>
      </w:r>
      <w:r w:rsidR="00AB0BDD">
        <w:t xml:space="preserve"> establecido en un mínimo de tres días. </w:t>
      </w:r>
    </w:p>
    <w:p w14:paraId="56CFF543" w14:textId="77777777" w:rsidR="00810099" w:rsidRPr="00E01981" w:rsidRDefault="00810099" w:rsidP="00CC12B5">
      <w:pPr>
        <w:pStyle w:val="NORMAL12"/>
      </w:pPr>
      <w:r w:rsidRPr="00E01981">
        <w:t xml:space="preserve">El índice de </w:t>
      </w:r>
      <w:r w:rsidR="00B47AE5" w:rsidRPr="00E01981">
        <w:t>eficacia en</w:t>
      </w:r>
      <w:r w:rsidRPr="00E01981">
        <w:t xml:space="preserve"> el curado, entendido como el porcentaje de </w:t>
      </w:r>
      <w:r w:rsidR="00B47AE5" w:rsidRPr="00E01981">
        <w:t>agua que el</w:t>
      </w:r>
      <w:r w:rsidRPr="00E01981">
        <w:t xml:space="preserve"> producto aplicado ha </w:t>
      </w:r>
      <w:r w:rsidR="00B47AE5" w:rsidRPr="00E01981">
        <w:t>evitado que pierda el hormigón</w:t>
      </w:r>
      <w:r w:rsidRPr="00E01981">
        <w:t xml:space="preserve"> en un </w:t>
      </w:r>
      <w:r w:rsidR="00B47AE5" w:rsidRPr="00E01981">
        <w:t>determinado tiempo</w:t>
      </w:r>
      <w:r w:rsidRPr="00E01981">
        <w:t xml:space="preserve"> (norma UNE 83299</w:t>
      </w:r>
      <w:r w:rsidR="00843E61" w:rsidRPr="00E01981">
        <w:t>:2016</w:t>
      </w:r>
      <w:r w:rsidRPr="00E01981">
        <w:t xml:space="preserve">), no será inferior al sesenta por ciento </w:t>
      </w:r>
      <w:r w:rsidR="0072225E" w:rsidRPr="00E01981">
        <w:t>(60</w:t>
      </w:r>
      <w:r w:rsidRPr="00E01981">
        <w:t>%) durante el periodo de curado.</w:t>
      </w:r>
    </w:p>
    <w:p w14:paraId="0300FA9D" w14:textId="77777777" w:rsidR="00810099" w:rsidRPr="00E01981" w:rsidRDefault="00810099" w:rsidP="000313DD">
      <w:pPr>
        <w:pStyle w:val="TITU2"/>
      </w:pPr>
      <w:bookmarkStart w:id="631" w:name="_Toc404370"/>
      <w:r w:rsidRPr="00E01981">
        <w:t>551.3. Tipo y composición del hormigón magro vibrado</w:t>
      </w:r>
      <w:bookmarkEnd w:id="631"/>
    </w:p>
    <w:p w14:paraId="579B1008" w14:textId="77777777" w:rsidR="00810099" w:rsidRPr="00E01981" w:rsidRDefault="00810099" w:rsidP="00CC12B5">
      <w:pPr>
        <w:pStyle w:val="NORMAL12"/>
      </w:pPr>
      <w:r w:rsidRPr="00E01981">
        <w:t>La resistencia característica a compresión del hormigón magro vibrado, determinada sobre probetas cilíndricas de quince centímetros (15 cm) de diámetro y treinta centímetros (30 cm) de altura, fabricadas y conservadas de conformidad con la norma UNE-EN 12390-2</w:t>
      </w:r>
      <w:r w:rsidR="00843E61" w:rsidRPr="00E01981">
        <w:t>:2009</w:t>
      </w:r>
      <w:r w:rsidRPr="00E01981">
        <w:t xml:space="preserve"> y ensayadas a 28 días de edad (norma UNE-EN 12390-3</w:t>
      </w:r>
      <w:r w:rsidR="00843E61" w:rsidRPr="00E01981">
        <w:t>:2009</w:t>
      </w:r>
      <w:r w:rsidRPr="00E01981">
        <w:t xml:space="preserve">) no será inferior a quince </w:t>
      </w:r>
      <w:proofErr w:type="spellStart"/>
      <w:r w:rsidRPr="00E01981">
        <w:t>megapascales</w:t>
      </w:r>
      <w:proofErr w:type="spellEnd"/>
      <w:r w:rsidRPr="00E01981">
        <w:t xml:space="preserve"> </w:t>
      </w:r>
      <w:proofErr w:type="gramStart"/>
      <w:r w:rsidRPr="00E01981">
        <w:t>(  15</w:t>
      </w:r>
      <w:proofErr w:type="gramEnd"/>
      <w:r w:rsidRPr="00E01981">
        <w:t xml:space="preserve"> MPa).</w:t>
      </w:r>
    </w:p>
    <w:p w14:paraId="72C2E92F" w14:textId="77777777" w:rsidR="00810099" w:rsidRPr="00E01981" w:rsidRDefault="00810099" w:rsidP="00CC12B5">
      <w:pPr>
        <w:pStyle w:val="NORMAL12"/>
      </w:pPr>
      <w:r w:rsidRPr="00E01981">
        <w:t xml:space="preserve">La </w:t>
      </w:r>
      <w:r w:rsidR="00B47AE5" w:rsidRPr="00E01981">
        <w:t>consistencia del</w:t>
      </w:r>
      <w:r w:rsidRPr="00E01981">
        <w:t xml:space="preserve"> hormigón (norma UNE-EN 12350-2</w:t>
      </w:r>
      <w:r w:rsidR="00843E61" w:rsidRPr="00E01981">
        <w:t>:2009</w:t>
      </w:r>
      <w:r w:rsidRPr="00E01981">
        <w:t>) tendrá un valor de asentamiento comprendido entre uno y seis centímetros (1 a 6 cm</w:t>
      </w:r>
      <w:r w:rsidR="00B47AE5" w:rsidRPr="00E01981">
        <w:t xml:space="preserve">). </w:t>
      </w:r>
      <w:r w:rsidR="008B70AE" w:rsidRPr="00E01981">
        <w:t xml:space="preserve">El </w:t>
      </w:r>
      <w:proofErr w:type="gramStart"/>
      <w:r w:rsidR="00B47AE5" w:rsidRPr="00E01981">
        <w:t>Director</w:t>
      </w:r>
      <w:proofErr w:type="gramEnd"/>
      <w:r w:rsidR="00B47AE5" w:rsidRPr="00E01981">
        <w:t xml:space="preserve"> de las Obras</w:t>
      </w:r>
      <w:r w:rsidRPr="00E01981">
        <w:t xml:space="preserve"> </w:t>
      </w:r>
      <w:r w:rsidR="00B47AE5" w:rsidRPr="00E01981">
        <w:t>indicará su valor y los</w:t>
      </w:r>
      <w:r w:rsidRPr="00E01981">
        <w:t xml:space="preserve"> límites admisibles de sus resultados pudiendo también especificar otros procedimientos alternativos de determinación.</w:t>
      </w:r>
    </w:p>
    <w:p w14:paraId="3A789E98" w14:textId="77777777" w:rsidR="00810099" w:rsidRPr="00E01981" w:rsidRDefault="00B47AE5" w:rsidP="00CC12B5">
      <w:pPr>
        <w:pStyle w:val="NORMAL12"/>
      </w:pPr>
      <w:r w:rsidRPr="00E01981">
        <w:t>La masa unitaria del total de</w:t>
      </w:r>
      <w:r w:rsidR="00810099" w:rsidRPr="00E01981">
        <w:t xml:space="preserve"> </w:t>
      </w:r>
      <w:r w:rsidRPr="00E01981">
        <w:t>partículas cernidas por el tamiz 0,125 mm (</w:t>
      </w:r>
      <w:r w:rsidR="00810099" w:rsidRPr="00E01981">
        <w:t>norma UNE-EN 933-2</w:t>
      </w:r>
      <w:r w:rsidR="00843E61" w:rsidRPr="00E01981">
        <w:t>:1996</w:t>
      </w:r>
      <w:r w:rsidR="00810099" w:rsidRPr="00E01981">
        <w:t>), incluyendo el cemento, no será inferior a doscientos cincuenta kilogramos por metro cúbic</w:t>
      </w:r>
      <w:r w:rsidRPr="00E01981">
        <w:t>o de hormigón magro vibrado (</w:t>
      </w:r>
      <w:r w:rsidR="00810099" w:rsidRPr="00E01981">
        <w:t>250 kg/m</w:t>
      </w:r>
      <w:r w:rsidR="00810099" w:rsidRPr="00E01981">
        <w:rPr>
          <w:vertAlign w:val="superscript"/>
        </w:rPr>
        <w:t>3</w:t>
      </w:r>
      <w:r w:rsidR="00810099" w:rsidRPr="00E01981">
        <w:t>).</w:t>
      </w:r>
    </w:p>
    <w:p w14:paraId="40690410" w14:textId="77777777" w:rsidR="00810099" w:rsidRPr="00E01981" w:rsidRDefault="00810099" w:rsidP="00CC12B5">
      <w:pPr>
        <w:pStyle w:val="NORMAL12"/>
      </w:pPr>
      <w:r w:rsidRPr="00E01981">
        <w:t xml:space="preserve">La </w:t>
      </w:r>
      <w:r w:rsidR="00B47AE5" w:rsidRPr="00E01981">
        <w:t>dosificación de</w:t>
      </w:r>
      <w:r w:rsidRPr="00E01981">
        <w:t xml:space="preserve"> cemento no será inferior a ciento cincuenta kilogramos por metro cúbico </w:t>
      </w:r>
      <w:r w:rsidR="0072225E" w:rsidRPr="00E01981">
        <w:t>(150</w:t>
      </w:r>
      <w:r w:rsidRPr="00E01981">
        <w:t xml:space="preserve"> kg/m</w:t>
      </w:r>
      <w:r w:rsidRPr="00E34DE7">
        <w:rPr>
          <w:vertAlign w:val="superscript"/>
        </w:rPr>
        <w:t>3</w:t>
      </w:r>
      <w:r w:rsidRPr="00E01981">
        <w:t>) de hormigón fresco y la relación ponderal de agua/</w:t>
      </w:r>
      <w:r w:rsidR="00B47AE5" w:rsidRPr="00E01981">
        <w:t>cemento no</w:t>
      </w:r>
      <w:r w:rsidRPr="00E01981">
        <w:t xml:space="preserve"> será superior a ciento quince centésimas (a/</w:t>
      </w:r>
      <w:r w:rsidR="00B47AE5" w:rsidRPr="00E01981">
        <w:t>c &lt;</w:t>
      </w:r>
      <w:r w:rsidR="00083F49" w:rsidRPr="00E01981">
        <w:t xml:space="preserve"> </w:t>
      </w:r>
      <w:r w:rsidRPr="00E01981">
        <w:t>1,15).</w:t>
      </w:r>
    </w:p>
    <w:p w14:paraId="17CDA14C" w14:textId="77777777" w:rsidR="00810099" w:rsidRPr="00786B9B" w:rsidRDefault="00810099" w:rsidP="00CC12B5">
      <w:pPr>
        <w:pStyle w:val="NORMAL12"/>
        <w:rPr>
          <w:rFonts w:eastAsia="Arial"/>
          <w:sz w:val="23"/>
          <w:szCs w:val="23"/>
        </w:rPr>
      </w:pPr>
      <w:r w:rsidRPr="00E01981">
        <w:lastRenderedPageBreak/>
        <w:t xml:space="preserve">La </w:t>
      </w:r>
      <w:r w:rsidR="00B47AE5" w:rsidRPr="00E01981">
        <w:t>proporción de</w:t>
      </w:r>
      <w:r w:rsidRPr="00E01981">
        <w:t xml:space="preserve"> aire ocluido en el </w:t>
      </w:r>
      <w:r w:rsidR="00B47AE5" w:rsidRPr="00E01981">
        <w:t>hormigón magro</w:t>
      </w:r>
      <w:r w:rsidRPr="00E01981">
        <w:t xml:space="preserve"> fresco vertido en obra (norma UNE-EN 12350-7</w:t>
      </w:r>
      <w:r w:rsidR="00843E61" w:rsidRPr="00E01981">
        <w:t>:2010</w:t>
      </w:r>
      <w:r w:rsidRPr="00E01981">
        <w:t xml:space="preserve">), no será superior al seis por ciento </w:t>
      </w:r>
      <w:r w:rsidR="0072225E" w:rsidRPr="00E01981">
        <w:t>(6</w:t>
      </w:r>
      <w:r w:rsidRPr="00E01981">
        <w:t>%) en volumen. En zonas sometidas a nevadas o heladas será obligatoria la utilización</w:t>
      </w:r>
      <w:r w:rsidRPr="00786B9B">
        <w:t xml:space="preserve"> de un inclusor de aire. En </w:t>
      </w:r>
      <w:r w:rsidR="00B47AE5" w:rsidRPr="00786B9B">
        <w:t>este caso, la</w:t>
      </w:r>
      <w:r w:rsidRPr="00786B9B">
        <w:t xml:space="preserve"> </w:t>
      </w:r>
      <w:r w:rsidR="00B47AE5" w:rsidRPr="00786B9B">
        <w:t>proporción de</w:t>
      </w:r>
      <w:r w:rsidRPr="00786B9B">
        <w:t xml:space="preserve"> aire </w:t>
      </w:r>
      <w:r w:rsidR="00B47AE5" w:rsidRPr="00786B9B">
        <w:t>ocluido en</w:t>
      </w:r>
      <w:r w:rsidRPr="00786B9B">
        <w:t xml:space="preserve"> el hormigón magro </w:t>
      </w:r>
      <w:r w:rsidR="00B47AE5" w:rsidRPr="00786B9B">
        <w:t>fresco no</w:t>
      </w:r>
      <w:r w:rsidRPr="00786B9B">
        <w:t xml:space="preserve"> será inferior al cuatro y medio por ciento </w:t>
      </w:r>
      <w:r w:rsidR="0072225E" w:rsidRPr="00786B9B">
        <w:t>(4,5</w:t>
      </w:r>
      <w:r w:rsidRPr="00786B9B">
        <w:t xml:space="preserve"> %) en volumen.</w:t>
      </w:r>
    </w:p>
    <w:p w14:paraId="46B19F06" w14:textId="77777777" w:rsidR="00810099" w:rsidRPr="00786B9B" w:rsidRDefault="00810099" w:rsidP="000313DD">
      <w:pPr>
        <w:pStyle w:val="TITU2"/>
      </w:pPr>
      <w:bookmarkStart w:id="632" w:name="_Toc404371"/>
      <w:r w:rsidRPr="00786B9B">
        <w:t>551.4. Equipo necesario para la ejecución de las obras</w:t>
      </w:r>
      <w:bookmarkEnd w:id="632"/>
    </w:p>
    <w:p w14:paraId="272E8EC9" w14:textId="77777777" w:rsidR="00810099" w:rsidRPr="00786B9B" w:rsidRDefault="00810099" w:rsidP="00F04B51">
      <w:pPr>
        <w:pStyle w:val="TITU3"/>
        <w:numPr>
          <w:ilvl w:val="0"/>
          <w:numId w:val="0"/>
        </w:numPr>
      </w:pPr>
      <w:r w:rsidRPr="00786B9B">
        <w:t>551.4.1. Consideraciones generales</w:t>
      </w:r>
    </w:p>
    <w:p w14:paraId="4028742F" w14:textId="77777777" w:rsidR="00810099" w:rsidRDefault="00F616A6" w:rsidP="00CC12B5">
      <w:pPr>
        <w:pStyle w:val="NORMAL12"/>
      </w:pPr>
      <w:r w:rsidRPr="00786B9B">
        <w:t xml:space="preserve">El equipo para la ejecución del hormigón magro debe ser aprobado por el </w:t>
      </w:r>
      <w:proofErr w:type="gramStart"/>
      <w:r w:rsidRPr="00786B9B">
        <w:t>Director</w:t>
      </w:r>
      <w:proofErr w:type="gramEnd"/>
      <w:r w:rsidRPr="00786B9B">
        <w:t xml:space="preserve"> de obra y previamente debe ser empleado en el t</w:t>
      </w:r>
      <w:r w:rsidR="00810099" w:rsidRPr="00786B9B">
        <w:t>ramo de prueba.</w:t>
      </w:r>
    </w:p>
    <w:p w14:paraId="6AFE0DA2" w14:textId="77777777" w:rsidR="00AB0BDD" w:rsidRDefault="00AB0BDD" w:rsidP="00AB0BDD">
      <w:pPr>
        <w:pStyle w:val="TITU3"/>
        <w:numPr>
          <w:ilvl w:val="0"/>
          <w:numId w:val="0"/>
        </w:numPr>
      </w:pPr>
      <w:r w:rsidRPr="00786B9B">
        <w:t>551.4.</w:t>
      </w:r>
      <w:r>
        <w:t>2</w:t>
      </w:r>
      <w:r w:rsidRPr="00786B9B">
        <w:t>. C</w:t>
      </w:r>
      <w:r>
        <w:t>entral de fabricación</w:t>
      </w:r>
    </w:p>
    <w:p w14:paraId="2F5DE289" w14:textId="77777777" w:rsidR="00007037" w:rsidRPr="00007037" w:rsidRDefault="00007037" w:rsidP="00007037">
      <w:pPr>
        <w:pStyle w:val="NORMAL12"/>
      </w:pPr>
      <w:r w:rsidRPr="00007037">
        <w:t>El hormigón magro se fabricará en centrales de mezcla discontinua, capaces de</w:t>
      </w:r>
      <w:r>
        <w:t xml:space="preserve"> </w:t>
      </w:r>
      <w:r w:rsidRPr="00007037">
        <w:t>manejar, simultáneamente, el número de fracciones del árido que exija la fórmula de</w:t>
      </w:r>
      <w:r>
        <w:t xml:space="preserve"> </w:t>
      </w:r>
      <w:r w:rsidRPr="00007037">
        <w:t>trabajo adoptada. La producción horaria de la central de fabricación deberá ser capaz</w:t>
      </w:r>
      <w:r>
        <w:t xml:space="preserve"> </w:t>
      </w:r>
      <w:r w:rsidRPr="00007037">
        <w:t>de suministrar el hormigón magro sin que la alimentación del equipo de extensión se</w:t>
      </w:r>
      <w:r>
        <w:t xml:space="preserve"> </w:t>
      </w:r>
      <w:r w:rsidRPr="00007037">
        <w:t>interrumpa o sea necesario modificar su velocidad de avance.</w:t>
      </w:r>
    </w:p>
    <w:p w14:paraId="3FC85DCA" w14:textId="77777777" w:rsidR="00007037" w:rsidRPr="00007037" w:rsidRDefault="00007037" w:rsidP="00007037">
      <w:pPr>
        <w:pStyle w:val="NORMAL12"/>
      </w:pPr>
      <w:r w:rsidRPr="00007037">
        <w:t>La central de fabricación</w:t>
      </w:r>
      <w:r>
        <w:t xml:space="preserve"> </w:t>
      </w:r>
      <w:r w:rsidRPr="00007037">
        <w:t>estará dotada de un higrómetro dosificador de agua y de un sistema de registro con</w:t>
      </w:r>
      <w:r>
        <w:t xml:space="preserve"> </w:t>
      </w:r>
      <w:r w:rsidRPr="00007037">
        <w:t>visualización de la potencia absorbida por los motores de accionamiento de las</w:t>
      </w:r>
      <w:r>
        <w:t xml:space="preserve"> </w:t>
      </w:r>
      <w:r w:rsidRPr="00007037">
        <w:t>amasadoras y, en su caso, de las pesadas en los áridos, cemento, agua y eventuales</w:t>
      </w:r>
      <w:r>
        <w:t xml:space="preserve"> </w:t>
      </w:r>
      <w:r w:rsidRPr="00007037">
        <w:t>aditivos.</w:t>
      </w:r>
    </w:p>
    <w:p w14:paraId="04C2D4D2" w14:textId="77777777" w:rsidR="00810099" w:rsidRPr="00786B9B" w:rsidRDefault="00810099" w:rsidP="00F04B51">
      <w:pPr>
        <w:pStyle w:val="TITU3"/>
        <w:numPr>
          <w:ilvl w:val="0"/>
          <w:numId w:val="0"/>
        </w:numPr>
      </w:pPr>
      <w:r w:rsidRPr="00786B9B">
        <w:t>551.4.3. Elementos de transporte</w:t>
      </w:r>
    </w:p>
    <w:p w14:paraId="416B25E0" w14:textId="77777777" w:rsidR="00810099" w:rsidRPr="00786B9B" w:rsidRDefault="00810099" w:rsidP="00CC12B5">
      <w:pPr>
        <w:pStyle w:val="NORMAL12"/>
      </w:pPr>
      <w:r w:rsidRPr="00786B9B">
        <w:t xml:space="preserve">El transporte del hormigón magro </w:t>
      </w:r>
      <w:r w:rsidR="00F616A6" w:rsidRPr="00786B9B">
        <w:t xml:space="preserve">deberá realizarse en </w:t>
      </w:r>
      <w:r w:rsidRPr="00786B9B">
        <w:t>camiones hormigonera</w:t>
      </w:r>
      <w:r w:rsidR="00F616A6" w:rsidRPr="00786B9B">
        <w:t>.</w:t>
      </w:r>
      <w:r w:rsidR="00B47AE5" w:rsidRPr="00786B9B">
        <w:t xml:space="preserve"> </w:t>
      </w:r>
    </w:p>
    <w:p w14:paraId="4698D4F2" w14:textId="77777777" w:rsidR="00810099" w:rsidRPr="00786B9B" w:rsidRDefault="00810099" w:rsidP="00F04B51">
      <w:pPr>
        <w:pStyle w:val="TITU3"/>
        <w:numPr>
          <w:ilvl w:val="0"/>
          <w:numId w:val="0"/>
        </w:numPr>
      </w:pPr>
      <w:r w:rsidRPr="00786B9B">
        <w:t>551.4.4. Equipos de puesta en obra</w:t>
      </w:r>
    </w:p>
    <w:p w14:paraId="702E2832" w14:textId="77777777" w:rsidR="00810099" w:rsidRPr="00786B9B" w:rsidRDefault="00810099" w:rsidP="00CC12B5">
      <w:pPr>
        <w:pStyle w:val="NORMAL12"/>
      </w:pPr>
      <w:r w:rsidRPr="00786B9B">
        <w:t xml:space="preserve">La puesta en obra del hormigón magro se realizará mediante una </w:t>
      </w:r>
      <w:r w:rsidR="00B47AE5" w:rsidRPr="00786B9B">
        <w:t>pavimentadora de</w:t>
      </w:r>
      <w:r w:rsidRPr="00786B9B">
        <w:t xml:space="preserve"> encofrados deslizantes</w:t>
      </w:r>
      <w:r w:rsidR="00B47AE5" w:rsidRPr="00786B9B">
        <w:t>, capaz de</w:t>
      </w:r>
      <w:r w:rsidRPr="00786B9B">
        <w:t xml:space="preserve"> extender, v</w:t>
      </w:r>
      <w:r w:rsidR="00B47AE5" w:rsidRPr="00786B9B">
        <w:t xml:space="preserve">ibrar y enrasar uniformemente </w:t>
      </w:r>
      <w:r w:rsidRPr="00786B9B">
        <w:t xml:space="preserve">el </w:t>
      </w:r>
      <w:r w:rsidR="00F616A6" w:rsidRPr="00786B9B">
        <w:t xml:space="preserve">hormigón magro fresco y se debe disponer un </w:t>
      </w:r>
      <w:r w:rsidR="00B47AE5" w:rsidRPr="00786B9B">
        <w:t>equipo</w:t>
      </w:r>
      <w:r w:rsidRPr="00786B9B">
        <w:t xml:space="preserve"> </w:t>
      </w:r>
      <w:r w:rsidR="00B47AE5" w:rsidRPr="00786B9B">
        <w:t>para el</w:t>
      </w:r>
      <w:r w:rsidRPr="00786B9B">
        <w:t xml:space="preserve"> reparto previo del hormigón magro en toda la anchura de pavimentación.</w:t>
      </w:r>
    </w:p>
    <w:p w14:paraId="35C8EFAA" w14:textId="77777777" w:rsidR="00810099" w:rsidRPr="00786B9B" w:rsidRDefault="00810099" w:rsidP="00CC12B5">
      <w:pPr>
        <w:pStyle w:val="NORMAL12"/>
      </w:pPr>
      <w:r w:rsidRPr="00786B9B">
        <w:t>La pavimentadora dispondrá de un sistema de guía por cable o de sistemas de guiado tridimensional,</w:t>
      </w:r>
      <w:r w:rsidR="00083F49" w:rsidRPr="00786B9B">
        <w:t xml:space="preserve"> </w:t>
      </w:r>
      <w:r w:rsidRPr="00786B9B">
        <w:t>debiendo actuar los servomecanismos correctores apenas las desviaciones de la pavimentadora rebasen tres milímetros (±3 mm) en alzado, o diez milímetros (±10 mm) en planta.</w:t>
      </w:r>
    </w:p>
    <w:p w14:paraId="789F1D01" w14:textId="77777777" w:rsidR="00F616A6" w:rsidRPr="00786B9B" w:rsidRDefault="00810099" w:rsidP="00CC12B5">
      <w:pPr>
        <w:pStyle w:val="NORMAL12"/>
      </w:pPr>
      <w:r w:rsidRPr="00786B9B">
        <w:rPr>
          <w:noProof/>
          <w:lang w:val="es-ES" w:eastAsia="es-ES"/>
        </w:rPr>
        <w:drawing>
          <wp:anchor distT="0" distB="0" distL="114300" distR="114300" simplePos="0" relativeHeight="251658752" behindDoc="1" locked="0" layoutInCell="1" allowOverlap="1" wp14:anchorId="47BCC960" wp14:editId="3086428A">
            <wp:simplePos x="0" y="0"/>
            <wp:positionH relativeFrom="page">
              <wp:posOffset>5458460</wp:posOffset>
            </wp:positionH>
            <wp:positionV relativeFrom="paragraph">
              <wp:posOffset>1149350</wp:posOffset>
            </wp:positionV>
            <wp:extent cx="56515" cy="8890"/>
            <wp:effectExtent l="0" t="0" r="0" b="0"/>
            <wp:wrapNone/>
            <wp:docPr id="556" name="Imagen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15" cy="8890"/>
                    </a:xfrm>
                    <a:prstGeom prst="rect">
                      <a:avLst/>
                    </a:prstGeom>
                    <a:noFill/>
                  </pic:spPr>
                </pic:pic>
              </a:graphicData>
            </a:graphic>
          </wp:anchor>
        </w:drawing>
      </w:r>
      <w:r w:rsidRPr="00786B9B">
        <w:t xml:space="preserve">La </w:t>
      </w:r>
      <w:r w:rsidR="00B47AE5" w:rsidRPr="00786B9B">
        <w:t>pavimentadora deberá poder compactar adecuadamente el</w:t>
      </w:r>
      <w:r w:rsidRPr="00786B9B">
        <w:t xml:space="preserve"> </w:t>
      </w:r>
      <w:r w:rsidR="00B47AE5" w:rsidRPr="00786B9B">
        <w:t>hormigón fresco en</w:t>
      </w:r>
      <w:r w:rsidRPr="00786B9B">
        <w:t xml:space="preserve"> toda la anchura del extendido, mediante vibración interna aplicada por elementos dispuestos de forma uniforme con una separación comprendida entre trescientos cincuenta y quinientos milímetros (350 a 500 mm</w:t>
      </w:r>
      <w:r w:rsidR="00B47AE5" w:rsidRPr="00786B9B">
        <w:t>) medidos</w:t>
      </w:r>
      <w:r w:rsidRPr="00786B9B">
        <w:t xml:space="preserve"> entre sus centros y a una altura tal que queden dispuestos en la mitad (1/2) del espesor de la capa extendida. </w:t>
      </w:r>
    </w:p>
    <w:p w14:paraId="0B289DD0" w14:textId="77777777" w:rsidR="00810099" w:rsidRPr="00786B9B" w:rsidRDefault="00810099" w:rsidP="00CC12B5">
      <w:pPr>
        <w:pStyle w:val="NORMAL12"/>
      </w:pPr>
      <w:r w:rsidRPr="00786B9B">
        <w:t xml:space="preserve">Una vez alcanzado su régimen de funcionamiento, la velocidad de avance del equipo de extensión deberá ser uniforme </w:t>
      </w:r>
      <w:r w:rsidR="00F616A6" w:rsidRPr="00786B9B">
        <w:t xml:space="preserve">e inferior a </w:t>
      </w:r>
      <w:r w:rsidRPr="00786B9B">
        <w:t>sesenta</w:t>
      </w:r>
      <w:r w:rsidR="00AB6DB4" w:rsidRPr="00786B9B">
        <w:t xml:space="preserve"> </w:t>
      </w:r>
      <w:r w:rsidRPr="00786B9B">
        <w:t xml:space="preserve">metros por hora </w:t>
      </w:r>
      <w:r w:rsidR="0072225E" w:rsidRPr="00786B9B">
        <w:t>(60</w:t>
      </w:r>
      <w:r w:rsidRPr="00786B9B">
        <w:t xml:space="preserve"> m/h).</w:t>
      </w:r>
    </w:p>
    <w:p w14:paraId="303ADE26" w14:textId="77777777" w:rsidR="00810099" w:rsidRPr="00786B9B" w:rsidRDefault="00810099" w:rsidP="00F04B51">
      <w:pPr>
        <w:pStyle w:val="TITU3"/>
        <w:numPr>
          <w:ilvl w:val="0"/>
          <w:numId w:val="0"/>
        </w:numPr>
      </w:pPr>
      <w:r w:rsidRPr="00786B9B">
        <w:t xml:space="preserve">551.4.5. Distribuidor del producto </w:t>
      </w:r>
      <w:proofErr w:type="spellStart"/>
      <w:r w:rsidRPr="00786B9B">
        <w:t>filmógeno</w:t>
      </w:r>
      <w:proofErr w:type="spellEnd"/>
      <w:r w:rsidRPr="00786B9B">
        <w:t xml:space="preserve"> de curado</w:t>
      </w:r>
    </w:p>
    <w:p w14:paraId="5D692A60" w14:textId="77777777" w:rsidR="00810099" w:rsidRPr="00786B9B" w:rsidRDefault="00810099" w:rsidP="00CC12B5">
      <w:pPr>
        <w:pStyle w:val="NORMAL12"/>
      </w:pPr>
      <w:r w:rsidRPr="00786B9B">
        <w:t xml:space="preserve">La maquinaria y equipos utilizados en la distribución superficial del producto </w:t>
      </w:r>
      <w:proofErr w:type="spellStart"/>
      <w:r w:rsidRPr="00786B9B">
        <w:t>filmógeno</w:t>
      </w:r>
      <w:proofErr w:type="spellEnd"/>
      <w:r w:rsidRPr="00786B9B">
        <w:t xml:space="preserve"> de curado asegurarán una distribución continua y uniforme de la película aplicada, así como la ausencia de zonas deficitarias en dotación, tanto en la superficie como en los bordes laterales de la losa. El tanque de </w:t>
      </w:r>
      <w:r w:rsidR="00B47AE5" w:rsidRPr="00786B9B">
        <w:t>almacenamiento del</w:t>
      </w:r>
      <w:r w:rsidRPr="00786B9B">
        <w:t xml:space="preserve"> producto contará con un dispositivo mecánico, que lo mantendrá en continua agitación durante su aplicación.</w:t>
      </w:r>
    </w:p>
    <w:p w14:paraId="268B8529" w14:textId="77777777" w:rsidR="00382270" w:rsidRPr="00786B9B" w:rsidRDefault="00382270" w:rsidP="000313DD">
      <w:pPr>
        <w:pStyle w:val="TITU2"/>
      </w:pPr>
      <w:bookmarkStart w:id="633" w:name="_Toc404372"/>
      <w:r w:rsidRPr="00786B9B">
        <w:t>551.</w:t>
      </w:r>
      <w:r>
        <w:t>5</w:t>
      </w:r>
      <w:r w:rsidRPr="00786B9B">
        <w:t>. Tramo de prueba</w:t>
      </w:r>
      <w:bookmarkEnd w:id="633"/>
    </w:p>
    <w:p w14:paraId="51803908" w14:textId="77777777" w:rsidR="00382270" w:rsidRPr="00786B9B" w:rsidRDefault="00382270" w:rsidP="00382270">
      <w:pPr>
        <w:pStyle w:val="NORMAL12"/>
      </w:pPr>
      <w:r w:rsidRPr="00786B9B">
        <w:t>Adoptada una fórmula de trabajo, de acuerdo con el epígrafe 551.</w:t>
      </w:r>
      <w:r w:rsidR="00185EA6">
        <w:t>6</w:t>
      </w:r>
      <w:r w:rsidRPr="00786B9B">
        <w:t>.1, se procederá a la realización de un tramo de prueba con el mismo equipo, velocidad de puesta en obra del hormigón, espesor y anchura que se vayan a utilizar en la obra.</w:t>
      </w:r>
    </w:p>
    <w:p w14:paraId="3F18B828" w14:textId="77777777" w:rsidR="00382270" w:rsidRPr="00786B9B" w:rsidRDefault="00382270" w:rsidP="00382270">
      <w:pPr>
        <w:pStyle w:val="NORMAL12"/>
      </w:pPr>
      <w:r w:rsidRPr="00786B9B">
        <w:t xml:space="preserve">El Pliego de Prescripciones Técnicas Particulares, o en su defecto el </w:t>
      </w:r>
      <w:proofErr w:type="gramStart"/>
      <w:r w:rsidRPr="00786B9B">
        <w:t>Director</w:t>
      </w:r>
      <w:proofErr w:type="gramEnd"/>
      <w:r w:rsidRPr="00786B9B">
        <w:t xml:space="preserve"> de las Obras, fijará la longitud del tramo de prueba, que no será inferior a cien metros (100 m). </w:t>
      </w:r>
    </w:p>
    <w:p w14:paraId="325D9E9D" w14:textId="77777777" w:rsidR="00382270" w:rsidRPr="00786B9B" w:rsidRDefault="00382270" w:rsidP="00382270">
      <w:pPr>
        <w:pStyle w:val="NORMAL12"/>
      </w:pPr>
      <w:r w:rsidRPr="00786B9B">
        <w:t>En el tramo de prueba se comprobará que:</w:t>
      </w:r>
    </w:p>
    <w:p w14:paraId="4C9ABCD5" w14:textId="77777777" w:rsidR="00382270" w:rsidRPr="00786B9B" w:rsidRDefault="00382270" w:rsidP="00382270">
      <w:pPr>
        <w:pStyle w:val="NORMAL12"/>
        <w:numPr>
          <w:ilvl w:val="0"/>
          <w:numId w:val="41"/>
        </w:numPr>
      </w:pPr>
      <w:r w:rsidRPr="00786B9B">
        <w:t>Los medios de vibración serán capaces de compactar adecuadamente el hormigón magro en todo su espesor.</w:t>
      </w:r>
    </w:p>
    <w:p w14:paraId="674B2260" w14:textId="77777777" w:rsidR="00382270" w:rsidRPr="00786B9B" w:rsidRDefault="00382270" w:rsidP="00382270">
      <w:pPr>
        <w:pStyle w:val="NORMAL12"/>
        <w:numPr>
          <w:ilvl w:val="0"/>
          <w:numId w:val="42"/>
        </w:numPr>
      </w:pPr>
      <w:r w:rsidRPr="00786B9B">
        <w:t>Se podrán cumplir las prescripciones de terminación y de regularidad superficial.</w:t>
      </w:r>
    </w:p>
    <w:p w14:paraId="4872A566" w14:textId="77777777" w:rsidR="00382270" w:rsidRPr="00786B9B" w:rsidRDefault="00382270" w:rsidP="00382270">
      <w:pPr>
        <w:pStyle w:val="NORMAL12"/>
        <w:numPr>
          <w:ilvl w:val="0"/>
          <w:numId w:val="42"/>
        </w:numPr>
        <w:rPr>
          <w:rFonts w:eastAsia="Arial"/>
          <w:sz w:val="23"/>
          <w:szCs w:val="23"/>
        </w:rPr>
      </w:pPr>
      <w:r w:rsidRPr="00786B9B">
        <w:t>El proceso de protección y curado será adecuado.</w:t>
      </w:r>
    </w:p>
    <w:p w14:paraId="714022CD" w14:textId="77777777" w:rsidR="00382270" w:rsidRPr="00786B9B" w:rsidRDefault="00382270" w:rsidP="00382270">
      <w:pPr>
        <w:pStyle w:val="NORMAL12"/>
      </w:pPr>
      <w:r w:rsidRPr="00786B9B">
        <w:t xml:space="preserve">Si la ejecución no fuese satisfactoria, se procederá a la realización de otro tramo de prueba, introduciendo las oportunas variaciones en los equipos o métodos de puesta en obra. No se podrá proceder a la construcción de la capa en tanto que las condiciones que se comprueben en el tramo de prueba no </w:t>
      </w:r>
      <w:r w:rsidR="00D93E76" w:rsidRPr="00786B9B">
        <w:t>hayan</w:t>
      </w:r>
      <w:r w:rsidRPr="00786B9B">
        <w:t xml:space="preserve"> sido aceptadas por el </w:t>
      </w:r>
      <w:proofErr w:type="gramStart"/>
      <w:r w:rsidRPr="00786B9B">
        <w:t>Director</w:t>
      </w:r>
      <w:proofErr w:type="gramEnd"/>
      <w:r w:rsidRPr="00786B9B">
        <w:t xml:space="preserve"> de las Obras.</w:t>
      </w:r>
    </w:p>
    <w:p w14:paraId="44841021" w14:textId="77777777" w:rsidR="00810099" w:rsidRPr="00786B9B" w:rsidRDefault="00810099" w:rsidP="000313DD">
      <w:pPr>
        <w:pStyle w:val="TITU2"/>
      </w:pPr>
      <w:bookmarkStart w:id="634" w:name="_Toc404373"/>
      <w:r w:rsidRPr="00786B9B">
        <w:lastRenderedPageBreak/>
        <w:t>551.</w:t>
      </w:r>
      <w:r w:rsidR="00382270">
        <w:t>6</w:t>
      </w:r>
      <w:r w:rsidRPr="00786B9B">
        <w:t>. Ejecución de las obras</w:t>
      </w:r>
      <w:bookmarkEnd w:id="634"/>
    </w:p>
    <w:p w14:paraId="196B8CFF" w14:textId="77777777" w:rsidR="00810099" w:rsidRPr="00786B9B" w:rsidRDefault="00382270" w:rsidP="00F04B51">
      <w:pPr>
        <w:pStyle w:val="TITU3"/>
        <w:numPr>
          <w:ilvl w:val="0"/>
          <w:numId w:val="0"/>
        </w:numPr>
      </w:pPr>
      <w:r>
        <w:t>551.6</w:t>
      </w:r>
      <w:r w:rsidR="00810099" w:rsidRPr="00786B9B">
        <w:t>.1. Estudio y obtención de la fórmula de trabajo</w:t>
      </w:r>
    </w:p>
    <w:p w14:paraId="4E0CBF4B" w14:textId="77777777" w:rsidR="00810099" w:rsidRPr="00786B9B" w:rsidRDefault="00810099" w:rsidP="00CC12B5">
      <w:pPr>
        <w:pStyle w:val="NORMAL12"/>
      </w:pPr>
      <w:r w:rsidRPr="00786B9B">
        <w:t xml:space="preserve">La producción del hormigón magro no se podrá iniciar en tanto que el </w:t>
      </w:r>
      <w:proofErr w:type="gramStart"/>
      <w:r w:rsidRPr="00786B9B">
        <w:t>Director</w:t>
      </w:r>
      <w:proofErr w:type="gramEnd"/>
      <w:r w:rsidRPr="00786B9B">
        <w:t xml:space="preserve"> de las Obras no haya aprobado la correspondiente </w:t>
      </w:r>
      <w:r w:rsidR="00B47AE5" w:rsidRPr="00786B9B">
        <w:t>fórmula de trabajo</w:t>
      </w:r>
      <w:r w:rsidRPr="00786B9B">
        <w:t xml:space="preserve">, estudiada en laboratorio y verificada en la central de </w:t>
      </w:r>
      <w:r w:rsidR="00B47AE5" w:rsidRPr="00786B9B">
        <w:t>fabricación y</w:t>
      </w:r>
      <w:r w:rsidRPr="00786B9B">
        <w:t xml:space="preserve"> en el tramo de prueba, la cual deberá señalar, como mínimo:</w:t>
      </w:r>
    </w:p>
    <w:p w14:paraId="5A1383F9" w14:textId="77777777" w:rsidR="00810099" w:rsidRPr="00786B9B" w:rsidRDefault="00810099" w:rsidP="00E01981">
      <w:pPr>
        <w:pStyle w:val="NORMAL12"/>
        <w:numPr>
          <w:ilvl w:val="0"/>
          <w:numId w:val="40"/>
        </w:numPr>
      </w:pPr>
      <w:r w:rsidRPr="00786B9B">
        <w:t>La identificación y proporción ponderal en seco de cada fracción del árido en la amasada.</w:t>
      </w:r>
    </w:p>
    <w:p w14:paraId="39BADE98" w14:textId="77777777" w:rsidR="00810099" w:rsidRPr="00786B9B" w:rsidRDefault="00810099" w:rsidP="00E01981">
      <w:pPr>
        <w:pStyle w:val="NORMAL12"/>
        <w:numPr>
          <w:ilvl w:val="0"/>
          <w:numId w:val="41"/>
        </w:numPr>
      </w:pPr>
      <w:r w:rsidRPr="00786B9B">
        <w:t>La gr</w:t>
      </w:r>
      <w:r w:rsidR="00B47AE5" w:rsidRPr="00786B9B">
        <w:t>anulometría de los áridos combinados</w:t>
      </w:r>
      <w:r w:rsidRPr="00786B9B">
        <w:t xml:space="preserve"> por los tamices 40 mm; 32 mm,</w:t>
      </w:r>
      <w:r w:rsidR="00CC12B5" w:rsidRPr="00786B9B">
        <w:t xml:space="preserve"> </w:t>
      </w:r>
      <w:r w:rsidR="00B47AE5" w:rsidRPr="00786B9B">
        <w:t xml:space="preserve">20 mm; 12,5 mm; 8 mm; 4 mm; 2 mm; 1 mm; 0,500 mm; 0,250 </w:t>
      </w:r>
      <w:r w:rsidRPr="00786B9B">
        <w:t>mm;</w:t>
      </w:r>
      <w:r w:rsidR="00CC12B5" w:rsidRPr="00786B9B">
        <w:t xml:space="preserve"> </w:t>
      </w:r>
      <w:r w:rsidRPr="00786B9B">
        <w:t>0,125 mm; y 0,063 mm (norma UNE-EN 933-2).</w:t>
      </w:r>
    </w:p>
    <w:p w14:paraId="50FA3FB7" w14:textId="77777777" w:rsidR="00810099" w:rsidRPr="00786B9B" w:rsidRDefault="00810099" w:rsidP="00E01981">
      <w:pPr>
        <w:pStyle w:val="NORMAL12"/>
        <w:numPr>
          <w:ilvl w:val="0"/>
          <w:numId w:val="41"/>
        </w:numPr>
      </w:pPr>
      <w:r w:rsidRPr="00786B9B">
        <w:t>La dosificación de cemento, la de agua y, eventualmente, la de cada aditivo, referidas a la amasada (en masa o en volumen, según corresponda).</w:t>
      </w:r>
    </w:p>
    <w:p w14:paraId="2B6B28CC" w14:textId="77777777" w:rsidR="00810099" w:rsidRPr="00786B9B" w:rsidRDefault="00810099" w:rsidP="00E01981">
      <w:pPr>
        <w:pStyle w:val="NORMAL12"/>
        <w:numPr>
          <w:ilvl w:val="0"/>
          <w:numId w:val="41"/>
        </w:numPr>
      </w:pPr>
      <w:r w:rsidRPr="00786B9B">
        <w:t>La resistencia característica a compresión simple, a siete y veintiocho días (7 y 28 d).</w:t>
      </w:r>
    </w:p>
    <w:p w14:paraId="4908E15E" w14:textId="77777777" w:rsidR="00810099" w:rsidRPr="00786B9B" w:rsidRDefault="00810099" w:rsidP="00E01981">
      <w:pPr>
        <w:pStyle w:val="NORMAL12"/>
        <w:numPr>
          <w:ilvl w:val="0"/>
          <w:numId w:val="41"/>
        </w:numPr>
      </w:pPr>
      <w:r w:rsidRPr="00786B9B">
        <w:t>La consistencia del hormigón magro fresco y el contenido de aire ocluido.</w:t>
      </w:r>
    </w:p>
    <w:p w14:paraId="74BAA305" w14:textId="77777777" w:rsidR="00810099" w:rsidRPr="00786B9B" w:rsidRDefault="00810099" w:rsidP="00CC12B5">
      <w:pPr>
        <w:pStyle w:val="NORMAL12"/>
      </w:pPr>
      <w:r w:rsidRPr="00786B9B">
        <w:t>Si la res</w:t>
      </w:r>
      <w:r w:rsidR="00B47AE5" w:rsidRPr="00786B9B">
        <w:t>istencia característica a siete días (7 d) resultara superior al ochenta</w:t>
      </w:r>
      <w:r w:rsidRPr="00786B9B">
        <w:t xml:space="preserve"> por </w:t>
      </w:r>
      <w:r w:rsidR="00B47AE5" w:rsidRPr="00786B9B">
        <w:t xml:space="preserve">ciento (&gt; 80%) de especificada a veintiocho </w:t>
      </w:r>
      <w:r w:rsidRPr="00786B9B">
        <w:t xml:space="preserve">días (28 d), y no se hubieran obtenido resultados del contenido de aire ocluido y de la consistencia fuera </w:t>
      </w:r>
      <w:r w:rsidR="00B47AE5" w:rsidRPr="00786B9B">
        <w:t>de los límites establecidos, se podrá proceder a la realización</w:t>
      </w:r>
      <w:r w:rsidRPr="00786B9B">
        <w:t xml:space="preserve"> </w:t>
      </w:r>
      <w:r w:rsidR="00B47AE5" w:rsidRPr="00786B9B">
        <w:t>de un tramo de prueba con ese</w:t>
      </w:r>
      <w:r w:rsidRPr="00786B9B">
        <w:t xml:space="preserve"> </w:t>
      </w:r>
      <w:r w:rsidR="00B47AE5" w:rsidRPr="00786B9B">
        <w:t>hormigón magro</w:t>
      </w:r>
      <w:r w:rsidRPr="00786B9B">
        <w:t xml:space="preserve">. En caso contrario, se deberá esperar a los </w:t>
      </w:r>
      <w:r w:rsidR="00B47AE5" w:rsidRPr="00786B9B">
        <w:t>veintiocho días</w:t>
      </w:r>
      <w:r w:rsidRPr="00786B9B">
        <w:t xml:space="preserve"> (28 d) para aceptar la fórmula de trabajo o, en su caso, para introducir los ajustes necesarios en la dosificación y repetir los ensayos de resistencia.</w:t>
      </w:r>
    </w:p>
    <w:p w14:paraId="370CE8C9" w14:textId="77777777" w:rsidR="00810099" w:rsidRDefault="00810099" w:rsidP="00CC12B5">
      <w:pPr>
        <w:pStyle w:val="NORMAL12"/>
      </w:pPr>
      <w:r w:rsidRPr="00786B9B">
        <w:t xml:space="preserve">Si la marcha de los trabajos lo aconsejase, el </w:t>
      </w:r>
      <w:proofErr w:type="gramStart"/>
      <w:r w:rsidRPr="00786B9B">
        <w:t>Director</w:t>
      </w:r>
      <w:proofErr w:type="gramEnd"/>
      <w:r w:rsidRPr="00786B9B">
        <w:t xml:space="preserve"> de las Obras podrá exigir la corrección de la fórmula de trabajo, que </w:t>
      </w:r>
      <w:r w:rsidR="00B47AE5" w:rsidRPr="00786B9B">
        <w:t xml:space="preserve">se justificará mediante los ensayos oportunos. </w:t>
      </w:r>
      <w:r w:rsidRPr="00786B9B">
        <w:t>En todo caso se estudiará y aprobará una nueva fórmula siempre que varíe la procedencia de alguno de los componentes, o si, durante la producción, se rebasasen las tolerancias establecidas en este artículo.</w:t>
      </w:r>
    </w:p>
    <w:p w14:paraId="054B2524" w14:textId="77777777" w:rsidR="004D3C9F" w:rsidRPr="00786B9B" w:rsidRDefault="004D3C9F" w:rsidP="00CC12B5">
      <w:pPr>
        <w:pStyle w:val="NORMAL12"/>
      </w:pPr>
    </w:p>
    <w:p w14:paraId="2EDC7972" w14:textId="77777777" w:rsidR="00810099" w:rsidRPr="00786B9B" w:rsidRDefault="00810099" w:rsidP="00F04B51">
      <w:pPr>
        <w:pStyle w:val="TITU3"/>
        <w:numPr>
          <w:ilvl w:val="0"/>
          <w:numId w:val="0"/>
        </w:numPr>
      </w:pPr>
      <w:r w:rsidRPr="00786B9B">
        <w:t>551.</w:t>
      </w:r>
      <w:r w:rsidR="00382270">
        <w:t>6</w:t>
      </w:r>
      <w:r w:rsidRPr="00786B9B">
        <w:t>.2 Preparación de la superficie de asiento</w:t>
      </w:r>
    </w:p>
    <w:p w14:paraId="5B2BDA10" w14:textId="77777777" w:rsidR="00423E36" w:rsidRPr="00786B9B" w:rsidRDefault="00423E36" w:rsidP="00CC12B5">
      <w:pPr>
        <w:pStyle w:val="NORMAL12"/>
      </w:pPr>
      <w:r w:rsidRPr="00786B9B">
        <w:t xml:space="preserve">La superficie de apoyo debe ser plana y sin irregularidades. </w:t>
      </w:r>
    </w:p>
    <w:p w14:paraId="3C5974E0" w14:textId="77777777" w:rsidR="00810099" w:rsidRPr="00786B9B" w:rsidRDefault="00810099" w:rsidP="00CC12B5">
      <w:pPr>
        <w:pStyle w:val="NORMAL12"/>
      </w:pPr>
      <w:r w:rsidRPr="00786B9B">
        <w:t xml:space="preserve">En época seca y calurosa, y siempre que sea previsible una pérdida de humedad del hormigón magro, el </w:t>
      </w:r>
      <w:proofErr w:type="gramStart"/>
      <w:r w:rsidRPr="00786B9B">
        <w:t>Director</w:t>
      </w:r>
      <w:proofErr w:type="gramEnd"/>
      <w:r w:rsidRPr="00786B9B">
        <w:t xml:space="preserve"> de las Obras podrá exigir que la superficie </w:t>
      </w:r>
      <w:r w:rsidR="00B47AE5" w:rsidRPr="00786B9B">
        <w:t xml:space="preserve">de apoyo se riegue ligeramente </w:t>
      </w:r>
      <w:r w:rsidRPr="00786B9B">
        <w:t xml:space="preserve">con agua, </w:t>
      </w:r>
      <w:r w:rsidR="00B47AE5" w:rsidRPr="00786B9B">
        <w:t>inmediatamente antes de la extensión, de forma que ésta quede húmeda, pero no encharcada, eliminándose las acumulaciones</w:t>
      </w:r>
      <w:r w:rsidRPr="00786B9B">
        <w:t xml:space="preserve"> que hubieran podido formarse.</w:t>
      </w:r>
    </w:p>
    <w:p w14:paraId="4EE57FC7" w14:textId="77777777" w:rsidR="00810099" w:rsidRPr="00786B9B" w:rsidRDefault="00810099" w:rsidP="00F04B51">
      <w:pPr>
        <w:pStyle w:val="TITU3"/>
        <w:numPr>
          <w:ilvl w:val="0"/>
          <w:numId w:val="0"/>
        </w:numPr>
      </w:pPr>
      <w:r w:rsidRPr="00786B9B">
        <w:t>551.</w:t>
      </w:r>
      <w:r w:rsidR="00382270">
        <w:t>6</w:t>
      </w:r>
      <w:r w:rsidRPr="00786B9B">
        <w:t>.3. Fabricación del hormigón magro</w:t>
      </w:r>
    </w:p>
    <w:p w14:paraId="5563DD4B" w14:textId="77777777" w:rsidR="00810099" w:rsidRPr="00786B9B" w:rsidRDefault="00810099" w:rsidP="00F04B51">
      <w:pPr>
        <w:pStyle w:val="TITU4"/>
        <w:numPr>
          <w:ilvl w:val="0"/>
          <w:numId w:val="0"/>
        </w:numPr>
        <w:ind w:left="426"/>
      </w:pPr>
      <w:r w:rsidRPr="00786B9B">
        <w:t>551.</w:t>
      </w:r>
      <w:r w:rsidR="00382270">
        <w:t>6</w:t>
      </w:r>
      <w:r w:rsidRPr="00786B9B">
        <w:t>.3.1. Acopio de áridos</w:t>
      </w:r>
    </w:p>
    <w:p w14:paraId="732D6494" w14:textId="77777777" w:rsidR="00810099" w:rsidRPr="00786B9B" w:rsidRDefault="00810099" w:rsidP="00CC12B5">
      <w:pPr>
        <w:pStyle w:val="NORMAL12"/>
      </w:pPr>
      <w:r w:rsidRPr="00786B9B">
        <w:t xml:space="preserve">El </w:t>
      </w:r>
      <w:r w:rsidR="00B47AE5" w:rsidRPr="00786B9B">
        <w:t>número de</w:t>
      </w:r>
      <w:r w:rsidRPr="00786B9B">
        <w:t xml:space="preserve"> </w:t>
      </w:r>
      <w:r w:rsidR="00B47AE5" w:rsidRPr="00786B9B">
        <w:t xml:space="preserve">fracciones </w:t>
      </w:r>
      <w:r w:rsidR="00423E36" w:rsidRPr="00786B9B">
        <w:t xml:space="preserve">de árido </w:t>
      </w:r>
      <w:r w:rsidR="00B47AE5" w:rsidRPr="00786B9B">
        <w:t>no</w:t>
      </w:r>
      <w:r w:rsidRPr="00786B9B">
        <w:t xml:space="preserve"> </w:t>
      </w:r>
      <w:r w:rsidR="00B47AE5" w:rsidRPr="00786B9B">
        <w:t>podrá ser</w:t>
      </w:r>
      <w:r w:rsidRPr="00786B9B">
        <w:t xml:space="preserve"> </w:t>
      </w:r>
      <w:r w:rsidR="00B47AE5" w:rsidRPr="00786B9B">
        <w:t>inferior a</w:t>
      </w:r>
      <w:r w:rsidRPr="00786B9B">
        <w:t xml:space="preserve"> tres </w:t>
      </w:r>
      <w:r w:rsidR="0072225E" w:rsidRPr="00786B9B">
        <w:t>(3</w:t>
      </w:r>
      <w:r w:rsidRPr="00786B9B">
        <w:t xml:space="preserve">) </w:t>
      </w:r>
      <w:r w:rsidR="00B47AE5" w:rsidRPr="00786B9B">
        <w:t>para las</w:t>
      </w:r>
      <w:r w:rsidRPr="00786B9B">
        <w:t xml:space="preserve"> </w:t>
      </w:r>
      <w:r w:rsidR="00B47AE5" w:rsidRPr="00786B9B">
        <w:t>categorías de</w:t>
      </w:r>
      <w:r w:rsidRPr="00786B9B">
        <w:t xml:space="preserve"> tráfico pesado T00 a T2, incluidos arcenes. El </w:t>
      </w:r>
      <w:proofErr w:type="gramStart"/>
      <w:r w:rsidRPr="00786B9B">
        <w:t>Director</w:t>
      </w:r>
      <w:proofErr w:type="gramEnd"/>
      <w:r w:rsidRPr="00786B9B">
        <w:t xml:space="preserve"> de las Obras podrá exigir un mayor número de fracciones, si lo estimara necesario para mantener la composición y características del hormigón magro vibrado.</w:t>
      </w:r>
    </w:p>
    <w:p w14:paraId="2F7875E8" w14:textId="77777777" w:rsidR="00810099" w:rsidRPr="00786B9B" w:rsidRDefault="00382270" w:rsidP="00F04B51">
      <w:pPr>
        <w:pStyle w:val="TITU4"/>
        <w:numPr>
          <w:ilvl w:val="0"/>
          <w:numId w:val="0"/>
        </w:numPr>
        <w:ind w:left="426"/>
      </w:pPr>
      <w:r>
        <w:t>551.6</w:t>
      </w:r>
      <w:r w:rsidR="00810099" w:rsidRPr="00786B9B">
        <w:t>.3.2. Suministro y acopio de cemento</w:t>
      </w:r>
    </w:p>
    <w:p w14:paraId="3B500DBD" w14:textId="77777777" w:rsidR="00810099" w:rsidRPr="00786B9B" w:rsidRDefault="00810099" w:rsidP="00CC12B5">
      <w:pPr>
        <w:pStyle w:val="NORMAL12"/>
      </w:pPr>
      <w:r w:rsidRPr="00786B9B">
        <w:t>El cemento se suministrará y acopiará de acuerdo con el artículo 202 de este Pliego.</w:t>
      </w:r>
    </w:p>
    <w:p w14:paraId="092BD7F1" w14:textId="77777777" w:rsidR="00810099" w:rsidRPr="00786B9B" w:rsidRDefault="00810099" w:rsidP="00CC12B5">
      <w:pPr>
        <w:pStyle w:val="NORMAL12"/>
      </w:pPr>
      <w:r w:rsidRPr="00786B9B">
        <w:t xml:space="preserve">La masa mínima de cemento acopiado en todo </w:t>
      </w:r>
      <w:r w:rsidR="00F9009A" w:rsidRPr="00786B9B">
        <w:t>momento no será inferior a la</w:t>
      </w:r>
      <w:r w:rsidRPr="00786B9B">
        <w:t xml:space="preserve"> necesaria para la fabricación del hormigón durante una jornada y media (1,5 d) con un </w:t>
      </w:r>
      <w:r w:rsidR="00F9009A" w:rsidRPr="00786B9B">
        <w:t>rendimiento normal</w:t>
      </w:r>
      <w:r w:rsidRPr="00786B9B">
        <w:t xml:space="preserve">. </w:t>
      </w:r>
    </w:p>
    <w:p w14:paraId="7207E894" w14:textId="77777777" w:rsidR="00810099" w:rsidRPr="00786B9B" w:rsidRDefault="00382270" w:rsidP="00F04B51">
      <w:pPr>
        <w:pStyle w:val="TITU4"/>
        <w:numPr>
          <w:ilvl w:val="0"/>
          <w:numId w:val="0"/>
        </w:numPr>
        <w:ind w:left="426"/>
      </w:pPr>
      <w:r>
        <w:t>551.6</w:t>
      </w:r>
      <w:r w:rsidR="00810099" w:rsidRPr="00786B9B">
        <w:t>.3.4. Amasado</w:t>
      </w:r>
    </w:p>
    <w:p w14:paraId="3472602A" w14:textId="77777777" w:rsidR="00810099" w:rsidRPr="00786B9B" w:rsidRDefault="00423E36" w:rsidP="00CC12B5">
      <w:pPr>
        <w:pStyle w:val="NORMAL12"/>
      </w:pPr>
      <w:r w:rsidRPr="00786B9B">
        <w:t xml:space="preserve">Antes de la carga de la </w:t>
      </w:r>
      <w:r w:rsidR="00810099" w:rsidRPr="00786B9B">
        <w:t xml:space="preserve">amasadora se vaciará totalmente su contenido. Si hubiera estado parada más de treinta minutos (&gt; 30 min), se limpiará perfectamente antes de volver a verter materiales en ella. De la misma manera </w:t>
      </w:r>
      <w:r w:rsidR="00F9009A" w:rsidRPr="00786B9B">
        <w:t>se procederá antes de</w:t>
      </w:r>
      <w:r w:rsidR="00810099" w:rsidRPr="00786B9B">
        <w:t xml:space="preserve"> comenzar la fabricación de hormigón con un nuevo tipo de cemento.</w:t>
      </w:r>
    </w:p>
    <w:p w14:paraId="22E00267" w14:textId="77777777" w:rsidR="00810099" w:rsidRPr="00786B9B" w:rsidRDefault="00382270" w:rsidP="00F04B51">
      <w:pPr>
        <w:pStyle w:val="TITU3"/>
        <w:numPr>
          <w:ilvl w:val="0"/>
          <w:numId w:val="0"/>
        </w:numPr>
      </w:pPr>
      <w:r>
        <w:t>551.6</w:t>
      </w:r>
      <w:r w:rsidR="00810099" w:rsidRPr="00786B9B">
        <w:t>.4. Transporte</w:t>
      </w:r>
    </w:p>
    <w:p w14:paraId="06C8E66A" w14:textId="77777777" w:rsidR="00810099" w:rsidRPr="00786B9B" w:rsidRDefault="00810099" w:rsidP="00CC12B5">
      <w:pPr>
        <w:pStyle w:val="NORMAL12"/>
      </w:pPr>
      <w:r w:rsidRPr="00786B9B">
        <w:t>El transporte del hormigón magro desde la central de fabricación hasta su puesta en obra se realizará tan rápidamente como sea posible, y si es transportado en vehículo abierto se protegerá con cobertores contra la lluvia o la desecación.</w:t>
      </w:r>
    </w:p>
    <w:p w14:paraId="643C1E70" w14:textId="77777777" w:rsidR="00810099" w:rsidRPr="00786B9B" w:rsidRDefault="00810099" w:rsidP="00CC12B5">
      <w:pPr>
        <w:pStyle w:val="NORMAL12"/>
      </w:pPr>
      <w:r w:rsidRPr="00786B9B">
        <w:t xml:space="preserve">La máxima caída libre vertical del hormigón en cualquier punto de su recorrido no </w:t>
      </w:r>
      <w:r w:rsidR="00F9009A" w:rsidRPr="00786B9B">
        <w:t>excederá de</w:t>
      </w:r>
      <w:r w:rsidRPr="00786B9B">
        <w:t xml:space="preserve"> un </w:t>
      </w:r>
      <w:r w:rsidR="00F9009A" w:rsidRPr="00786B9B">
        <w:t>metro y</w:t>
      </w:r>
      <w:r w:rsidRPr="00786B9B">
        <w:t xml:space="preserve"> </w:t>
      </w:r>
      <w:r w:rsidR="00F9009A" w:rsidRPr="00786B9B">
        <w:t>medio (</w:t>
      </w:r>
      <w:r w:rsidR="0072225E" w:rsidRPr="00786B9B">
        <w:t>1,5</w:t>
      </w:r>
      <w:r w:rsidRPr="00786B9B">
        <w:t xml:space="preserve"> m) y, si la descarga se hiciera al suelo, se</w:t>
      </w:r>
      <w:r w:rsidR="00CC12B5" w:rsidRPr="00786B9B">
        <w:t xml:space="preserve"> </w:t>
      </w:r>
      <w:r w:rsidRPr="00786B9B">
        <w:t xml:space="preserve">procurará </w:t>
      </w:r>
      <w:r w:rsidRPr="00786B9B">
        <w:lastRenderedPageBreak/>
        <w:t>que se realice lo más cerca posible de su ubicación definitiva, reduciendo al mínimo posteriores manipulaciones.</w:t>
      </w:r>
    </w:p>
    <w:p w14:paraId="716895C9" w14:textId="77777777" w:rsidR="00810099" w:rsidRPr="00786B9B" w:rsidRDefault="00382270" w:rsidP="00F04B51">
      <w:pPr>
        <w:pStyle w:val="TITU3"/>
        <w:numPr>
          <w:ilvl w:val="0"/>
          <w:numId w:val="0"/>
        </w:numPr>
      </w:pPr>
      <w:r>
        <w:t>551.6</w:t>
      </w:r>
      <w:r w:rsidR="00810099" w:rsidRPr="00786B9B">
        <w:t>.5. Elementos de guía y acondicionamiento de caminos para pavimentadora de encofrados deslizantes</w:t>
      </w:r>
    </w:p>
    <w:p w14:paraId="54473DD3" w14:textId="77777777" w:rsidR="00810099" w:rsidRPr="00786B9B" w:rsidRDefault="00810099" w:rsidP="00CC12B5">
      <w:pPr>
        <w:pStyle w:val="NORMAL12"/>
      </w:pPr>
      <w:r w:rsidRPr="00786B9B">
        <w:t>La distancia entre piquetes en su caso que sostengan el cable d</w:t>
      </w:r>
      <w:r w:rsidR="00F9009A" w:rsidRPr="00786B9B">
        <w:t xml:space="preserve">e guía de las pavimentadoras de encofrados deslizantes no podrá ser superior a diez metros (10 m); dicha distancia se reducirá a cinco metros (5 m) en curvas de </w:t>
      </w:r>
      <w:r w:rsidRPr="00786B9B">
        <w:t>radio inferior a quinientos metros (&lt; 500 m) y en acuerdos verticales de parámetro inferior a dos mil metros (&lt; 2</w:t>
      </w:r>
      <w:r w:rsidR="00DE5F6D" w:rsidRPr="00786B9B">
        <w:t>.</w:t>
      </w:r>
      <w:r w:rsidRPr="00786B9B">
        <w:t xml:space="preserve">000 m). Se tensará el cable de forma que su flecha entre dos piquetes consecutivos no sea superior a un milímetro </w:t>
      </w:r>
      <w:r w:rsidR="0072225E" w:rsidRPr="00786B9B">
        <w:t>(1</w:t>
      </w:r>
      <w:r w:rsidRPr="00786B9B">
        <w:t xml:space="preserve"> mm).</w:t>
      </w:r>
    </w:p>
    <w:p w14:paraId="4C1BA098" w14:textId="77777777" w:rsidR="00810099" w:rsidRPr="00786B9B" w:rsidRDefault="00810099" w:rsidP="00CC12B5">
      <w:pPr>
        <w:pStyle w:val="NORMAL12"/>
      </w:pPr>
      <w:r w:rsidRPr="00786B9B">
        <w:t xml:space="preserve">Donde se ejecute una franja junto a otra existente, se podrá usar </w:t>
      </w:r>
      <w:r w:rsidR="00512AA4" w:rsidRPr="00786B9B">
        <w:t xml:space="preserve">ésta como guía de las máquinas, siempre que la </w:t>
      </w:r>
      <w:r w:rsidRPr="00786B9B">
        <w:t xml:space="preserve">primera </w:t>
      </w:r>
      <w:r w:rsidR="00512AA4" w:rsidRPr="00786B9B">
        <w:t xml:space="preserve">haya </w:t>
      </w:r>
      <w:r w:rsidRPr="00786B9B">
        <w:t xml:space="preserve">alcanzado una edad mínima de tres días (3 d) y se protegerá su superficie de la acción de las orugas interponiendo bandas de goma. </w:t>
      </w:r>
    </w:p>
    <w:p w14:paraId="5AECB1FF" w14:textId="77777777" w:rsidR="00810099" w:rsidRPr="00786B9B" w:rsidRDefault="00810099" w:rsidP="00CC12B5">
      <w:pPr>
        <w:pStyle w:val="NORMAL12"/>
      </w:pPr>
      <w:r w:rsidRPr="00786B9B">
        <w:t xml:space="preserve">Los caminos de rodadura de las orugas estarán suficientemente compactados para permitir su paso sin deformaciones, y se </w:t>
      </w:r>
      <w:r w:rsidR="00F9009A" w:rsidRPr="00786B9B">
        <w:t>mantendrán limpios</w:t>
      </w:r>
      <w:r w:rsidRPr="00786B9B">
        <w:t xml:space="preserve">. No deberán presentar </w:t>
      </w:r>
      <w:r w:rsidR="00F9009A" w:rsidRPr="00786B9B">
        <w:t>irregularidades superiores</w:t>
      </w:r>
      <w:r w:rsidRPr="00786B9B">
        <w:t xml:space="preserve"> a quince milímetros </w:t>
      </w:r>
      <w:r w:rsidR="00F9009A" w:rsidRPr="00786B9B">
        <w:t>(15</w:t>
      </w:r>
      <w:r w:rsidRPr="00786B9B">
        <w:t xml:space="preserve"> mm), medidos con regla de tres metros (3 m) (norma NLT-334).</w:t>
      </w:r>
    </w:p>
    <w:p w14:paraId="4575681E" w14:textId="77777777" w:rsidR="00810099" w:rsidRPr="00786B9B" w:rsidRDefault="00810099" w:rsidP="00F04B51">
      <w:pPr>
        <w:pStyle w:val="TITU3"/>
        <w:numPr>
          <w:ilvl w:val="0"/>
          <w:numId w:val="0"/>
        </w:numPr>
      </w:pPr>
      <w:r w:rsidRPr="00786B9B">
        <w:t>551.</w:t>
      </w:r>
      <w:r w:rsidR="00382270">
        <w:t>6</w:t>
      </w:r>
      <w:r w:rsidRPr="00786B9B">
        <w:t>.6. Puesta en obra</w:t>
      </w:r>
    </w:p>
    <w:p w14:paraId="442810A1" w14:textId="77777777" w:rsidR="00810099" w:rsidRPr="00786B9B" w:rsidRDefault="00810099" w:rsidP="00D607F8">
      <w:pPr>
        <w:pStyle w:val="NORMAL12"/>
      </w:pPr>
      <w:r w:rsidRPr="00786B9B">
        <w:t xml:space="preserve">La puesta en obra del hormigón se realizará con pavimentadoras de encofrados deslizantes que trabajarán a una velocidad constante que asegure una adecuada compactación en todo el espesor de la losa y su correcta terminación. </w:t>
      </w:r>
    </w:p>
    <w:p w14:paraId="5012C023" w14:textId="77777777" w:rsidR="00810099" w:rsidRPr="00786B9B" w:rsidRDefault="00810099" w:rsidP="00D607F8">
      <w:pPr>
        <w:pStyle w:val="NORMAL12"/>
      </w:pPr>
      <w:r w:rsidRPr="00786B9B">
        <w:t xml:space="preserve">Se cuidará que delante de la maestra </w:t>
      </w:r>
      <w:proofErr w:type="spellStart"/>
      <w:r w:rsidRPr="00786B9B">
        <w:t>enrasadora</w:t>
      </w:r>
      <w:proofErr w:type="spellEnd"/>
      <w:r w:rsidRPr="00786B9B">
        <w:t xml:space="preserve"> se mantenga en todo momento, y en toda la anchura de la pavimentación, un volumen suficiente de hormigón fresco en forma de cordón de unos diez centímetros (10 cm) como máximo de altura; delante de los fratases de acabado se mantendrá un cordón continuo de mortero fresco, de la menor altura posible.</w:t>
      </w:r>
    </w:p>
    <w:p w14:paraId="7A61DBC6" w14:textId="77777777" w:rsidR="00810099" w:rsidRPr="00786B9B" w:rsidRDefault="00810099" w:rsidP="00D607F8">
      <w:pPr>
        <w:pStyle w:val="NORMAL12"/>
      </w:pPr>
      <w:r w:rsidRPr="00786B9B">
        <w:t xml:space="preserve">Donde la calzada tuviera dos (2) o más carriles en el mismo sentido de circulación, se ejecutarán simultáneamente al menos dos (2) carriles, salvo indicación expresa en contrario del </w:t>
      </w:r>
      <w:proofErr w:type="gramStart"/>
      <w:r w:rsidRPr="00786B9B">
        <w:t>Director</w:t>
      </w:r>
      <w:proofErr w:type="gramEnd"/>
      <w:r w:rsidRPr="00786B9B">
        <w:t xml:space="preserve"> de las Obras.</w:t>
      </w:r>
    </w:p>
    <w:p w14:paraId="17392BB3" w14:textId="77777777" w:rsidR="00810099" w:rsidRPr="00786B9B" w:rsidRDefault="00810099" w:rsidP="00F04B51">
      <w:pPr>
        <w:pStyle w:val="TITU3"/>
        <w:numPr>
          <w:ilvl w:val="0"/>
          <w:numId w:val="0"/>
        </w:numPr>
      </w:pPr>
      <w:r w:rsidRPr="00786B9B">
        <w:t>551.</w:t>
      </w:r>
      <w:r w:rsidR="00185EA6">
        <w:t>6</w:t>
      </w:r>
      <w:r w:rsidRPr="00786B9B">
        <w:t>.7. Ejecución de juntas de puesta en obra del hormigón</w:t>
      </w:r>
    </w:p>
    <w:p w14:paraId="074E33BE" w14:textId="77777777" w:rsidR="00810099" w:rsidRPr="00786B9B" w:rsidRDefault="00810099" w:rsidP="00D607F8">
      <w:pPr>
        <w:pStyle w:val="NORMAL12"/>
      </w:pPr>
      <w:r w:rsidRPr="00786B9B">
        <w:t xml:space="preserve">La junta </w:t>
      </w:r>
      <w:r w:rsidR="00512AA4" w:rsidRPr="00786B9B">
        <w:t xml:space="preserve">de puesta del hormigón </w:t>
      </w:r>
      <w:r w:rsidRPr="00786B9B">
        <w:t>distará al menos cincuenta centímetros (50 cm) de cualquier junta longitudinal prevista en el pavimento de hormigón.</w:t>
      </w:r>
    </w:p>
    <w:p w14:paraId="5E23BEF6" w14:textId="77777777" w:rsidR="00810099" w:rsidRPr="00786B9B" w:rsidRDefault="00810099" w:rsidP="00D607F8">
      <w:pPr>
        <w:pStyle w:val="NORMAL12"/>
      </w:pPr>
      <w:r w:rsidRPr="00786B9B">
        <w:t>Las juntas transversales de hormigonado se dispondrán al f</w:t>
      </w:r>
      <w:r w:rsidR="00F9009A" w:rsidRPr="00786B9B">
        <w:t xml:space="preserve">inal de la jornada, o donde se hubiera </w:t>
      </w:r>
      <w:r w:rsidRPr="00786B9B">
        <w:t>producido</w:t>
      </w:r>
      <w:r w:rsidR="00F9009A" w:rsidRPr="00786B9B">
        <w:t>, por cualquier causa, una interrupción en la ejecución que</w:t>
      </w:r>
      <w:r w:rsidRPr="00786B9B">
        <w:t xml:space="preserve"> hiciera temer un comienzo de fraguado, de acuerdo con el epígrafe 551.8.1.</w:t>
      </w:r>
    </w:p>
    <w:p w14:paraId="1C61D363" w14:textId="77777777" w:rsidR="00810099" w:rsidRPr="00786B9B" w:rsidRDefault="00810099" w:rsidP="00F04B51">
      <w:pPr>
        <w:pStyle w:val="TITU3"/>
        <w:numPr>
          <w:ilvl w:val="0"/>
          <w:numId w:val="0"/>
        </w:numPr>
      </w:pPr>
      <w:r w:rsidRPr="00786B9B">
        <w:t>551.</w:t>
      </w:r>
      <w:r w:rsidR="00382270">
        <w:t>6</w:t>
      </w:r>
      <w:r w:rsidRPr="00786B9B">
        <w:t>.8. Terminación</w:t>
      </w:r>
    </w:p>
    <w:p w14:paraId="6FF745A5" w14:textId="77777777" w:rsidR="00810099" w:rsidRPr="00786B9B" w:rsidRDefault="00512AA4" w:rsidP="00D607F8">
      <w:pPr>
        <w:pStyle w:val="NORMAL12"/>
      </w:pPr>
      <w:r w:rsidRPr="00786B9B">
        <w:t>S</w:t>
      </w:r>
      <w:r w:rsidR="00810099" w:rsidRPr="00786B9B">
        <w:t xml:space="preserve">e dará a su superficie un acabado liso y homogéneo, según determine el </w:t>
      </w:r>
      <w:proofErr w:type="gramStart"/>
      <w:r w:rsidR="00810099" w:rsidRPr="00786B9B">
        <w:t>Director</w:t>
      </w:r>
      <w:proofErr w:type="gramEnd"/>
      <w:r w:rsidR="00810099" w:rsidRPr="00786B9B">
        <w:t xml:space="preserve"> de las Obras.</w:t>
      </w:r>
    </w:p>
    <w:p w14:paraId="7C37AC1F" w14:textId="77777777" w:rsidR="00810099" w:rsidRPr="00786B9B" w:rsidRDefault="00382270" w:rsidP="00F04B51">
      <w:pPr>
        <w:pStyle w:val="TITU3"/>
        <w:numPr>
          <w:ilvl w:val="0"/>
          <w:numId w:val="0"/>
        </w:numPr>
      </w:pPr>
      <w:r>
        <w:t>551.6</w:t>
      </w:r>
      <w:r w:rsidR="00810099" w:rsidRPr="00786B9B">
        <w:t>.9. Protección y curado</w:t>
      </w:r>
    </w:p>
    <w:p w14:paraId="7ED311BA" w14:textId="77777777" w:rsidR="00810099" w:rsidRPr="00786B9B" w:rsidRDefault="00810099" w:rsidP="00F04B51">
      <w:pPr>
        <w:pStyle w:val="TITU4"/>
        <w:numPr>
          <w:ilvl w:val="0"/>
          <w:numId w:val="0"/>
        </w:numPr>
        <w:ind w:left="426"/>
      </w:pPr>
      <w:r w:rsidRPr="00786B9B">
        <w:t>551.</w:t>
      </w:r>
      <w:r w:rsidR="00382270">
        <w:t>6</w:t>
      </w:r>
      <w:r w:rsidRPr="00786B9B">
        <w:t>.9.1. Consideraciones generales</w:t>
      </w:r>
    </w:p>
    <w:p w14:paraId="025BFF24" w14:textId="77777777" w:rsidR="00810099" w:rsidRPr="00786B9B" w:rsidRDefault="00512AA4" w:rsidP="00D607F8">
      <w:pPr>
        <w:pStyle w:val="NORMAL12"/>
      </w:pPr>
      <w:r w:rsidRPr="00786B9B">
        <w:t>Se</w:t>
      </w:r>
      <w:r w:rsidR="00810099" w:rsidRPr="00786B9B">
        <w:t xml:space="preserve"> protegerá el hormigón contra el lavado por lluvia, </w:t>
      </w:r>
      <w:r w:rsidR="00D607F8" w:rsidRPr="00786B9B">
        <w:t>l</w:t>
      </w:r>
      <w:r w:rsidR="00810099" w:rsidRPr="00786B9B">
        <w:t>a desecación rápida,</w:t>
      </w:r>
      <w:r w:rsidR="00D607F8" w:rsidRPr="00786B9B">
        <w:t xml:space="preserve"> </w:t>
      </w:r>
      <w:r w:rsidR="00810099" w:rsidRPr="00786B9B">
        <w:t>-</w:t>
      </w:r>
      <w:r w:rsidR="00F9009A" w:rsidRPr="00786B9B">
        <w:t>especialmente en</w:t>
      </w:r>
      <w:r w:rsidR="00810099" w:rsidRPr="00786B9B">
        <w:t xml:space="preserve"> condiciones de baja humedad relativa del aire, fuerte insolación o viento- y enfriamientos bruscos o congelación, pudiendo emplear para ello una lámina de plástico</w:t>
      </w:r>
      <w:r w:rsidR="00F9009A" w:rsidRPr="00786B9B">
        <w:t>, un</w:t>
      </w:r>
      <w:r w:rsidR="00810099" w:rsidRPr="00786B9B">
        <w:t xml:space="preserve"> </w:t>
      </w:r>
      <w:r w:rsidR="00F9009A" w:rsidRPr="00786B9B">
        <w:t>producto de</w:t>
      </w:r>
      <w:r w:rsidR="00810099" w:rsidRPr="00786B9B">
        <w:t xml:space="preserve"> </w:t>
      </w:r>
      <w:r w:rsidR="00F9009A" w:rsidRPr="00786B9B">
        <w:t>curado resistente a</w:t>
      </w:r>
      <w:r w:rsidR="00810099" w:rsidRPr="00786B9B">
        <w:t xml:space="preserve"> la </w:t>
      </w:r>
      <w:r w:rsidR="00F9009A" w:rsidRPr="00786B9B">
        <w:t>lluvia u</w:t>
      </w:r>
      <w:r w:rsidR="00810099" w:rsidRPr="00786B9B">
        <w:t xml:space="preserve"> otro </w:t>
      </w:r>
      <w:r w:rsidR="00F9009A" w:rsidRPr="00786B9B">
        <w:t>procedimiento que</w:t>
      </w:r>
      <w:r w:rsidR="00810099" w:rsidRPr="00786B9B">
        <w:t xml:space="preserve"> autorice el </w:t>
      </w:r>
      <w:proofErr w:type="gramStart"/>
      <w:r w:rsidR="00810099" w:rsidRPr="00786B9B">
        <w:t>Director</w:t>
      </w:r>
      <w:proofErr w:type="gramEnd"/>
      <w:r w:rsidR="00810099" w:rsidRPr="00786B9B">
        <w:t xml:space="preserve"> de las Obras.</w:t>
      </w:r>
    </w:p>
    <w:p w14:paraId="1E57B137" w14:textId="77777777" w:rsidR="00810099" w:rsidRPr="00786B9B" w:rsidRDefault="00F9009A" w:rsidP="00D607F8">
      <w:pPr>
        <w:pStyle w:val="NORMAL12"/>
      </w:pPr>
      <w:r w:rsidRPr="00786B9B">
        <w:t>Deberán someterse a</w:t>
      </w:r>
      <w:r w:rsidR="00810099" w:rsidRPr="00786B9B">
        <w:t xml:space="preserve"> curado todas las superficies expuestas de la losa, incluidos sus bordes laterales, tan pronto como hayan finalizado las operaciones de acabado.</w:t>
      </w:r>
    </w:p>
    <w:p w14:paraId="25365A1C" w14:textId="77777777" w:rsidR="00810099" w:rsidRPr="00786B9B" w:rsidRDefault="00810099" w:rsidP="00D607F8">
      <w:pPr>
        <w:pStyle w:val="NORMAL12"/>
      </w:pPr>
      <w:r w:rsidRPr="00786B9B">
        <w:t xml:space="preserve">Durante un período que, salvo autorización expresa del </w:t>
      </w:r>
      <w:proofErr w:type="gramStart"/>
      <w:r w:rsidRPr="00786B9B">
        <w:t>Director</w:t>
      </w:r>
      <w:proofErr w:type="gramEnd"/>
      <w:r w:rsidRPr="00786B9B">
        <w:t xml:space="preserve"> de las Obras, no será inferior a tres días </w:t>
      </w:r>
      <w:r w:rsidR="00D93E76" w:rsidRPr="00786B9B">
        <w:t>(3</w:t>
      </w:r>
      <w:r w:rsidRPr="00786B9B">
        <w:t xml:space="preserve"> d) a partir de la puesta en obra del hormigón, estará prohibido todo tipo de circulación sobre la capa recién ejecutada</w:t>
      </w:r>
      <w:r w:rsidR="00512AA4" w:rsidRPr="00786B9B">
        <w:t>.</w:t>
      </w:r>
    </w:p>
    <w:p w14:paraId="312BA775" w14:textId="77777777" w:rsidR="00810099" w:rsidRPr="00786B9B" w:rsidRDefault="00810099" w:rsidP="00F04B51">
      <w:pPr>
        <w:pStyle w:val="TITU4"/>
        <w:numPr>
          <w:ilvl w:val="0"/>
          <w:numId w:val="0"/>
        </w:numPr>
        <w:ind w:left="426"/>
      </w:pPr>
      <w:r w:rsidRPr="00786B9B">
        <w:t>551.</w:t>
      </w:r>
      <w:r w:rsidR="00382270">
        <w:t>6</w:t>
      </w:r>
      <w:r w:rsidRPr="00786B9B">
        <w:t xml:space="preserve">.9.3. Curado con productos </w:t>
      </w:r>
      <w:proofErr w:type="spellStart"/>
      <w:r w:rsidRPr="00786B9B">
        <w:t>filmógenos</w:t>
      </w:r>
      <w:proofErr w:type="spellEnd"/>
    </w:p>
    <w:p w14:paraId="72C411B0" w14:textId="77777777" w:rsidR="00810099" w:rsidRPr="00786B9B" w:rsidRDefault="00D9251B" w:rsidP="00D607F8">
      <w:pPr>
        <w:pStyle w:val="NORMAL12"/>
      </w:pPr>
      <w:r>
        <w:rPr>
          <w:noProof/>
          <w:lang w:val="es-ES" w:eastAsia="es-ES"/>
        </w:rPr>
        <mc:AlternateContent>
          <mc:Choice Requires="wps">
            <w:drawing>
              <wp:anchor distT="0" distB="0" distL="114300" distR="114300" simplePos="0" relativeHeight="251898880" behindDoc="1" locked="0" layoutInCell="1" allowOverlap="1" wp14:anchorId="29B379BB" wp14:editId="6551CD5A">
                <wp:simplePos x="0" y="0"/>
                <wp:positionH relativeFrom="page">
                  <wp:posOffset>7143750</wp:posOffset>
                </wp:positionH>
                <wp:positionV relativeFrom="paragraph">
                  <wp:posOffset>551815</wp:posOffset>
                </wp:positionV>
                <wp:extent cx="114300" cy="845820"/>
                <wp:effectExtent l="0" t="0" r="0" b="11430"/>
                <wp:wrapNone/>
                <wp:docPr id="589" name="Cuadro de texto 5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845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3266F1" w14:textId="77777777" w:rsidR="001B26B5" w:rsidRDefault="001B26B5" w:rsidP="00810099">
                            <w:pPr>
                              <w:spacing w:before="2"/>
                              <w:ind w:left="20" w:right="-41"/>
                              <w:rPr>
                                <w:rFonts w:ascii="Arial" w:eastAsia="Arial" w:hAnsi="Arial" w:cs="Arial"/>
                                <w:sz w:val="14"/>
                                <w:szCs w:val="14"/>
                              </w:rPr>
                            </w:pP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379BB" id="_x0000_t202" coordsize="21600,21600" o:spt="202" path="m,l,21600r21600,l21600,xe">
                <v:stroke joinstyle="miter"/>
                <v:path gradientshapeok="t" o:connecttype="rect"/>
              </v:shapetype>
              <v:shape id="Cuadro de texto 589" o:spid="_x0000_s1026" type="#_x0000_t202" style="position:absolute;left:0;text-align:left;margin-left:562.5pt;margin-top:43.45pt;width:9pt;height:66.6pt;z-index:-251417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" filled="f" stroked="f">
                <v:textbox style="layout-flow:vertical;mso-layout-flow-alt:bottom-to-top" inset="0,0,0,0">
                  <w:txbxContent>
                    <w:p w14:paraId="4B3266F1" w14:textId="77777777" w:rsidR="001B26B5" w:rsidRDefault="001B26B5" w:rsidP="00810099">
                      <w:pPr>
                        <w:spacing w:before="2"/>
                        <w:ind w:left="20" w:right="-41"/>
                        <w:rPr>
                          <w:rFonts w:ascii="Arial" w:eastAsia="Arial" w:hAnsi="Arial" w:cs="Arial"/>
                          <w:sz w:val="14"/>
                          <w:szCs w:val="14"/>
                        </w:rPr>
                      </w:pPr>
                    </w:p>
                  </w:txbxContent>
                </v:textbox>
                <w10:wrap anchorx="page"/>
              </v:shape>
            </w:pict>
          </mc:Fallback>
        </mc:AlternateContent>
      </w:r>
      <w:r w:rsidR="00810099" w:rsidRPr="00786B9B">
        <w:t xml:space="preserve">Si para el curado se utilizasen productos </w:t>
      </w:r>
      <w:proofErr w:type="spellStart"/>
      <w:r w:rsidR="00810099" w:rsidRPr="00786B9B">
        <w:t>filmógenos</w:t>
      </w:r>
      <w:proofErr w:type="spellEnd"/>
      <w:r w:rsidR="00810099" w:rsidRPr="00786B9B">
        <w:t>, se aplicarán apenas hubieran concluido las operaciones de acabado y no quedase agua libre en la superficie de la capa.</w:t>
      </w:r>
    </w:p>
    <w:p w14:paraId="67A4180B" w14:textId="77777777" w:rsidR="00810099" w:rsidRPr="00786B9B" w:rsidRDefault="00810099" w:rsidP="00D607F8">
      <w:pPr>
        <w:pStyle w:val="NORMAL12"/>
      </w:pPr>
      <w:r w:rsidRPr="00786B9B">
        <w:t xml:space="preserve">El producto de curado será aplicado, en toda la superficie de hormigón, por medios mecánicos que aseguren una pulverización del </w:t>
      </w:r>
      <w:r w:rsidR="00F9009A" w:rsidRPr="00786B9B">
        <w:t>producto en</w:t>
      </w:r>
      <w:r w:rsidRPr="00786B9B">
        <w:t xml:space="preserve"> un rocío fino de forma continua y uniforme. Se aplicará en las proporciones indicadas por el fabricante y aprobadas por el </w:t>
      </w:r>
      <w:proofErr w:type="gramStart"/>
      <w:r w:rsidRPr="00786B9B">
        <w:t>Director</w:t>
      </w:r>
      <w:proofErr w:type="gramEnd"/>
      <w:r w:rsidRPr="00786B9B">
        <w:t xml:space="preserve"> de las Obras. En caso de que no existiesen indicaciones al respecto</w:t>
      </w:r>
      <w:r w:rsidR="00F9009A" w:rsidRPr="00786B9B">
        <w:t>, esta dotación</w:t>
      </w:r>
      <w:r w:rsidRPr="00786B9B">
        <w:t xml:space="preserve"> no será </w:t>
      </w:r>
      <w:r w:rsidR="00F9009A" w:rsidRPr="00786B9B">
        <w:t>inferior a</w:t>
      </w:r>
      <w:r w:rsidRPr="00786B9B">
        <w:t xml:space="preserve"> doscientos </w:t>
      </w:r>
      <w:r w:rsidR="00F9009A" w:rsidRPr="00786B9B">
        <w:t>gramos por</w:t>
      </w:r>
      <w:r w:rsidRPr="00786B9B">
        <w:t xml:space="preserve"> metro cuadrado </w:t>
      </w:r>
      <w:r w:rsidR="0072225E" w:rsidRPr="00786B9B">
        <w:t>(200</w:t>
      </w:r>
      <w:r w:rsidRPr="00786B9B">
        <w:t xml:space="preserve"> g/m</w:t>
      </w:r>
      <w:r w:rsidRPr="00786B9B">
        <w:rPr>
          <w:vertAlign w:val="superscript"/>
        </w:rPr>
        <w:t>2</w:t>
      </w:r>
      <w:r w:rsidRPr="00786B9B">
        <w:t>). En condiciones ambientales adversas de baja humedad relativa, altas</w:t>
      </w:r>
      <w:r w:rsidR="00D607F8" w:rsidRPr="00786B9B">
        <w:t xml:space="preserve"> </w:t>
      </w:r>
      <w:r w:rsidRPr="00786B9B">
        <w:lastRenderedPageBreak/>
        <w:t>temperaturas</w:t>
      </w:r>
      <w:r w:rsidR="00F9009A" w:rsidRPr="00786B9B">
        <w:t>, fuertes vientos o</w:t>
      </w:r>
      <w:r w:rsidRPr="00786B9B">
        <w:t xml:space="preserve"> lluvia</w:t>
      </w:r>
      <w:r w:rsidR="00F9009A" w:rsidRPr="00786B9B">
        <w:t>, el</w:t>
      </w:r>
      <w:r w:rsidRPr="00786B9B">
        <w:t xml:space="preserve"> </w:t>
      </w:r>
      <w:proofErr w:type="gramStart"/>
      <w:r w:rsidRPr="00786B9B">
        <w:t>Director</w:t>
      </w:r>
      <w:proofErr w:type="gramEnd"/>
      <w:r w:rsidRPr="00786B9B">
        <w:t xml:space="preserve"> de las Obras </w:t>
      </w:r>
      <w:r w:rsidR="00F9009A" w:rsidRPr="00786B9B">
        <w:t>podrá exigir que</w:t>
      </w:r>
      <w:r w:rsidRPr="00786B9B">
        <w:t xml:space="preserve"> el producto de curado se aplique antes y con mayor dotación</w:t>
      </w:r>
    </w:p>
    <w:p w14:paraId="1D3B5ECD" w14:textId="77777777" w:rsidR="00810099" w:rsidRPr="00786B9B" w:rsidRDefault="00810099" w:rsidP="00D607F8">
      <w:pPr>
        <w:pStyle w:val="NORMAL12"/>
      </w:pPr>
      <w:r w:rsidRPr="00786B9B">
        <w:t xml:space="preserve">Al aplicar el producto sobre el hormigón, según la dosificación especificada, deberá </w:t>
      </w:r>
      <w:r w:rsidR="00F9009A" w:rsidRPr="00786B9B">
        <w:t>apreciarse visualmente la</w:t>
      </w:r>
      <w:r w:rsidRPr="00786B9B">
        <w:t xml:space="preserve"> </w:t>
      </w:r>
      <w:r w:rsidR="00F9009A" w:rsidRPr="00786B9B">
        <w:t>uniformidad de</w:t>
      </w:r>
      <w:r w:rsidRPr="00786B9B">
        <w:t xml:space="preserve"> su reparto, </w:t>
      </w:r>
      <w:r w:rsidR="00F9009A" w:rsidRPr="00786B9B">
        <w:t>procediéndose a</w:t>
      </w:r>
      <w:r w:rsidRPr="00786B9B">
        <w:t xml:space="preserve"> efectuar una nueva aplicación antes de transcurrida una hora (1 h) desde el primer tratamiento en aquellas zonas en las que el recubrimiento haya resultado deficiente.</w:t>
      </w:r>
    </w:p>
    <w:p w14:paraId="09B09B2B" w14:textId="77777777" w:rsidR="00810099" w:rsidRPr="00786B9B" w:rsidRDefault="00810099" w:rsidP="00F04B51">
      <w:pPr>
        <w:pStyle w:val="TITU3"/>
        <w:numPr>
          <w:ilvl w:val="0"/>
          <w:numId w:val="0"/>
        </w:numPr>
      </w:pPr>
      <w:r w:rsidRPr="00786B9B">
        <w:t>551.</w:t>
      </w:r>
      <w:r w:rsidR="00382270">
        <w:t>6</w:t>
      </w:r>
      <w:r w:rsidRPr="00786B9B">
        <w:t>.10. Protección térmica</w:t>
      </w:r>
    </w:p>
    <w:p w14:paraId="573D790A" w14:textId="77777777" w:rsidR="00810099" w:rsidRPr="00786B9B" w:rsidRDefault="00810099" w:rsidP="00D607F8">
      <w:pPr>
        <w:pStyle w:val="NORMAL12"/>
      </w:pPr>
      <w:r w:rsidRPr="00786B9B">
        <w:t>En caso de prever un</w:t>
      </w:r>
      <w:r w:rsidR="00F9009A" w:rsidRPr="00786B9B">
        <w:t xml:space="preserve">a posible helada, se protegerá </w:t>
      </w:r>
      <w:r w:rsidRPr="00786B9B">
        <w:t>hasta</w:t>
      </w:r>
      <w:r w:rsidR="00F9009A" w:rsidRPr="00786B9B">
        <w:t xml:space="preserve"> el día siguiente</w:t>
      </w:r>
      <w:r w:rsidRPr="00786B9B">
        <w:t xml:space="preserve"> </w:t>
      </w:r>
      <w:r w:rsidR="00F9009A" w:rsidRPr="00786B9B">
        <w:t>a su puesta en obra con una membrana de un</w:t>
      </w:r>
      <w:r w:rsidRPr="00786B9B">
        <w:t xml:space="preserve"> material idóneo para tal fin, que será aprobada por el </w:t>
      </w:r>
      <w:proofErr w:type="gramStart"/>
      <w:r w:rsidRPr="00786B9B">
        <w:t>Director</w:t>
      </w:r>
      <w:proofErr w:type="gramEnd"/>
      <w:r w:rsidRPr="00786B9B">
        <w:t xml:space="preserve"> de las Obras.</w:t>
      </w:r>
    </w:p>
    <w:p w14:paraId="6C596C37" w14:textId="77777777" w:rsidR="00810099" w:rsidRPr="00786B9B" w:rsidRDefault="00810099" w:rsidP="00D607F8">
      <w:pPr>
        <w:pStyle w:val="NORMAL12"/>
      </w:pPr>
      <w:r w:rsidRPr="00786B9B">
        <w:t xml:space="preserve">Si fuera probable el enfriamiento brusco de un hormigón sometido a elevadas </w:t>
      </w:r>
      <w:proofErr w:type="gramStart"/>
      <w:r w:rsidRPr="00786B9B">
        <w:t>temperaturas  diurnas</w:t>
      </w:r>
      <w:proofErr w:type="gramEnd"/>
      <w:r w:rsidRPr="00786B9B">
        <w:t>, como en caso de l</w:t>
      </w:r>
      <w:r w:rsidR="00F9009A" w:rsidRPr="00786B9B">
        <w:t>luvia después de un soleamiento</w:t>
      </w:r>
      <w:r w:rsidRPr="00786B9B">
        <w:t xml:space="preserve"> intenso o de un descenso de la temperatura ambiente en más de quince grados Celsius (15 </w:t>
      </w:r>
      <w:proofErr w:type="spellStart"/>
      <w:r w:rsidRPr="00786B9B">
        <w:t>ºC</w:t>
      </w:r>
      <w:proofErr w:type="spellEnd"/>
      <w:r w:rsidRPr="00786B9B">
        <w:t>) entre el día y la noche, se deberá proteger la capa en la forma indicada en el párrafo anterior.</w:t>
      </w:r>
    </w:p>
    <w:p w14:paraId="3D997649" w14:textId="77777777" w:rsidR="00810099" w:rsidRPr="00786B9B" w:rsidRDefault="00810099" w:rsidP="000313DD">
      <w:pPr>
        <w:pStyle w:val="TITU2"/>
      </w:pPr>
      <w:bookmarkStart w:id="635" w:name="_Toc404374"/>
      <w:r w:rsidRPr="00786B9B">
        <w:t>551.7. Especificaciones de la unidad terminada</w:t>
      </w:r>
      <w:bookmarkEnd w:id="635"/>
    </w:p>
    <w:p w14:paraId="435BB58C" w14:textId="77777777" w:rsidR="00810099" w:rsidRPr="00786B9B" w:rsidRDefault="00810099" w:rsidP="00F04B51">
      <w:pPr>
        <w:pStyle w:val="TITU3"/>
        <w:numPr>
          <w:ilvl w:val="0"/>
          <w:numId w:val="0"/>
        </w:numPr>
      </w:pPr>
      <w:r w:rsidRPr="00786B9B">
        <w:t>551.7.1. Resistencia</w:t>
      </w:r>
    </w:p>
    <w:p w14:paraId="30508C55" w14:textId="77777777" w:rsidR="00810099" w:rsidRPr="00786B9B" w:rsidRDefault="00810099" w:rsidP="00D607F8">
      <w:pPr>
        <w:pStyle w:val="NORMAL12"/>
      </w:pPr>
      <w:r w:rsidRPr="00786B9B">
        <w:t>La resistencia característica a compresión simple a veintiocho días (28 d) cumplirá lo indicado en el apartado 551.3.</w:t>
      </w:r>
    </w:p>
    <w:p w14:paraId="1D2475DE" w14:textId="77777777" w:rsidR="00810099" w:rsidRPr="00786B9B" w:rsidRDefault="00810099" w:rsidP="00F04B51">
      <w:pPr>
        <w:pStyle w:val="TITU3"/>
        <w:numPr>
          <w:ilvl w:val="0"/>
          <w:numId w:val="0"/>
        </w:numPr>
      </w:pPr>
      <w:r w:rsidRPr="00786B9B">
        <w:t>551.7.2. Alineación, rasante, espesor y anchura</w:t>
      </w:r>
    </w:p>
    <w:p w14:paraId="1ACA8916" w14:textId="77777777" w:rsidR="00810099" w:rsidRPr="00786B9B" w:rsidRDefault="00810099" w:rsidP="00D607F8">
      <w:pPr>
        <w:pStyle w:val="NORMAL12"/>
      </w:pPr>
      <w:r w:rsidRPr="00786B9B">
        <w:t xml:space="preserve">Las desviaciones en planta respecto a la alineación del </w:t>
      </w:r>
      <w:proofErr w:type="gramStart"/>
      <w:r w:rsidRPr="00786B9B">
        <w:t>Proyecto,</w:t>
      </w:r>
      <w:proofErr w:type="gramEnd"/>
      <w:r w:rsidRPr="00786B9B">
        <w:t xml:space="preserve"> no deberán ser superiores a tres centímetros </w:t>
      </w:r>
      <w:r w:rsidR="0072225E" w:rsidRPr="00786B9B">
        <w:t>(3</w:t>
      </w:r>
      <w:r w:rsidRPr="00786B9B">
        <w:t xml:space="preserve"> cm) y la superficie de la capa deberá tener las pendientes y la rasante indicadas en los Planos, admitiéndose una tolerancia de diez milímetros (± 10 mm) para esta última.</w:t>
      </w:r>
    </w:p>
    <w:p w14:paraId="66F9D6C0" w14:textId="77777777" w:rsidR="00810099" w:rsidRDefault="00810099" w:rsidP="00D607F8">
      <w:pPr>
        <w:pStyle w:val="NORMAL12"/>
      </w:pPr>
      <w:r w:rsidRPr="00786B9B">
        <w:t>El espesor de la capa no podrá ser inferior, en ningún punto, al previsto en los Planos de secciones tipo. En todos los perfiles se comprobará la anchura extendida, que en ningún caso podrá ser inferior a la teórica deducida de la sección tipo de los Planos.</w:t>
      </w:r>
    </w:p>
    <w:p w14:paraId="19B061B6" w14:textId="77777777" w:rsidR="004D3C9F" w:rsidRPr="00786B9B" w:rsidRDefault="004D3C9F" w:rsidP="00D607F8">
      <w:pPr>
        <w:pStyle w:val="NORMAL12"/>
      </w:pPr>
    </w:p>
    <w:p w14:paraId="1EA1546B" w14:textId="77777777" w:rsidR="00810099" w:rsidRPr="00786B9B" w:rsidRDefault="00810099" w:rsidP="00F04B51">
      <w:pPr>
        <w:pStyle w:val="TITU3"/>
        <w:numPr>
          <w:ilvl w:val="0"/>
          <w:numId w:val="0"/>
        </w:numPr>
      </w:pPr>
      <w:r w:rsidRPr="00786B9B">
        <w:t>551.7.3. Regularidad superficial</w:t>
      </w:r>
    </w:p>
    <w:p w14:paraId="2E30436C" w14:textId="77777777" w:rsidR="00810099" w:rsidRPr="00786B9B" w:rsidRDefault="00810099" w:rsidP="00D607F8">
      <w:pPr>
        <w:pStyle w:val="NORMAL12"/>
      </w:pPr>
      <w:r w:rsidRPr="00786B9B">
        <w:t>El Índice de Regularidad Internacional (IRI) (norma NLT-330) no superará los valores indicados en la tabla 551.6.</w:t>
      </w:r>
    </w:p>
    <w:p w14:paraId="0C9742B4" w14:textId="77777777" w:rsidR="00810099" w:rsidRPr="00786B9B" w:rsidRDefault="00810099" w:rsidP="00F9009A">
      <w:pPr>
        <w:pStyle w:val="NORMAL12"/>
        <w:keepNext/>
        <w:jc w:val="center"/>
        <w:rPr>
          <w:sz w:val="20"/>
          <w:szCs w:val="20"/>
          <w:lang w:val="es-ES"/>
        </w:rPr>
      </w:pPr>
      <w:r w:rsidRPr="00786B9B">
        <w:rPr>
          <w:sz w:val="20"/>
          <w:szCs w:val="20"/>
          <w:lang w:val="es-ES"/>
        </w:rPr>
        <w:t>Tabla 551.6.- Índice de regularidad internacional (IRI)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41"/>
        <w:gridCol w:w="2840"/>
      </w:tblGrid>
      <w:tr w:rsidR="005864C2" w:rsidRPr="00786B9B" w14:paraId="3D85E1ED" w14:textId="77777777" w:rsidTr="000F0EE2">
        <w:trPr>
          <w:trHeight w:hRule="exact" w:val="858"/>
          <w:jc w:val="center"/>
        </w:trPr>
        <w:tc>
          <w:tcPr>
            <w:tcW w:w="2841" w:type="dxa"/>
            <w:shd w:val="clear" w:color="auto" w:fill="D9D9D9" w:themeFill="background1" w:themeFillShade="D9"/>
          </w:tcPr>
          <w:p w14:paraId="21E6BD46" w14:textId="77777777" w:rsidR="00810099" w:rsidRPr="0046359B" w:rsidRDefault="00810099" w:rsidP="00F9009A">
            <w:pPr>
              <w:keepNext/>
              <w:spacing w:before="4" w:line="180" w:lineRule="exact"/>
              <w:rPr>
                <w:b/>
                <w:sz w:val="18"/>
                <w:szCs w:val="18"/>
              </w:rPr>
            </w:pPr>
          </w:p>
          <w:p w14:paraId="2BF7DDA7" w14:textId="77777777" w:rsidR="00810099" w:rsidRPr="0046359B" w:rsidRDefault="00D93E76" w:rsidP="0046359B">
            <w:pPr>
              <w:keepNext/>
              <w:spacing w:line="228" w:lineRule="exact"/>
              <w:ind w:left="635" w:right="510" w:hanging="71"/>
              <w:rPr>
                <w:rFonts w:ascii="Arial" w:eastAsia="Arial" w:hAnsi="Arial" w:cs="Arial"/>
                <w:b/>
                <w:sz w:val="20"/>
                <w:szCs w:val="20"/>
              </w:rPr>
            </w:pPr>
            <w:r w:rsidRPr="0046359B">
              <w:rPr>
                <w:rFonts w:ascii="Arial" w:eastAsia="Arial" w:hAnsi="Arial" w:cs="Arial"/>
                <w:b/>
                <w:bCs/>
                <w:sz w:val="20"/>
                <w:szCs w:val="20"/>
              </w:rPr>
              <w:t>Porcentaje</w:t>
            </w:r>
            <w:r w:rsidR="0046359B" w:rsidRPr="0046359B">
              <w:rPr>
                <w:rFonts w:ascii="Arial" w:eastAsia="Arial" w:hAnsi="Arial" w:cs="Arial"/>
                <w:b/>
                <w:bCs/>
                <w:sz w:val="20"/>
                <w:szCs w:val="20"/>
              </w:rPr>
              <w:t xml:space="preserve"> de hectómetros </w:t>
            </w:r>
          </w:p>
        </w:tc>
        <w:tc>
          <w:tcPr>
            <w:tcW w:w="2840" w:type="dxa"/>
            <w:shd w:val="clear" w:color="auto" w:fill="D9D9D9" w:themeFill="background1" w:themeFillShade="D9"/>
          </w:tcPr>
          <w:p w14:paraId="5EFF247C" w14:textId="77777777" w:rsidR="00810099" w:rsidRPr="0046359B" w:rsidRDefault="00810099" w:rsidP="00F9009A">
            <w:pPr>
              <w:keepNext/>
              <w:spacing w:before="10" w:line="110" w:lineRule="exact"/>
              <w:rPr>
                <w:b/>
                <w:sz w:val="11"/>
                <w:szCs w:val="11"/>
              </w:rPr>
            </w:pPr>
          </w:p>
          <w:p w14:paraId="7D279A8F" w14:textId="77777777" w:rsidR="00810099" w:rsidRPr="0046359B" w:rsidRDefault="00810099" w:rsidP="00F9009A">
            <w:pPr>
              <w:keepNext/>
              <w:ind w:left="1238" w:right="1219"/>
              <w:jc w:val="center"/>
              <w:rPr>
                <w:rFonts w:ascii="Arial" w:eastAsia="Arial" w:hAnsi="Arial" w:cs="Arial"/>
                <w:b/>
                <w:sz w:val="20"/>
                <w:szCs w:val="20"/>
              </w:rPr>
            </w:pPr>
            <w:r w:rsidRPr="0046359B">
              <w:rPr>
                <w:rFonts w:ascii="Arial" w:eastAsia="Arial" w:hAnsi="Arial" w:cs="Arial"/>
                <w:b/>
                <w:bCs/>
                <w:sz w:val="20"/>
                <w:szCs w:val="20"/>
              </w:rPr>
              <w:t>IRI</w:t>
            </w:r>
          </w:p>
          <w:p w14:paraId="73616744" w14:textId="77777777" w:rsidR="00810099" w:rsidRPr="0046359B" w:rsidRDefault="00810099" w:rsidP="00F9009A">
            <w:pPr>
              <w:keepNext/>
              <w:spacing w:before="6" w:line="110" w:lineRule="exact"/>
              <w:rPr>
                <w:b/>
                <w:sz w:val="11"/>
                <w:szCs w:val="11"/>
              </w:rPr>
            </w:pPr>
          </w:p>
          <w:p w14:paraId="7AC39DB3" w14:textId="77777777" w:rsidR="00810099" w:rsidRPr="0046359B" w:rsidRDefault="00810099" w:rsidP="00F9009A">
            <w:pPr>
              <w:keepNext/>
              <w:ind w:left="996" w:right="977"/>
              <w:jc w:val="center"/>
              <w:rPr>
                <w:rFonts w:ascii="Arial" w:eastAsia="Arial" w:hAnsi="Arial" w:cs="Arial"/>
                <w:b/>
                <w:sz w:val="20"/>
                <w:szCs w:val="20"/>
              </w:rPr>
            </w:pPr>
            <w:r w:rsidRPr="0046359B">
              <w:rPr>
                <w:rFonts w:ascii="Arial" w:eastAsia="Arial" w:hAnsi="Arial" w:cs="Arial"/>
                <w:b/>
                <w:sz w:val="20"/>
                <w:szCs w:val="20"/>
              </w:rPr>
              <w:t>(dm/hm)</w:t>
            </w:r>
          </w:p>
        </w:tc>
      </w:tr>
      <w:tr w:rsidR="005864C2" w:rsidRPr="00786B9B" w14:paraId="501ADFE2" w14:textId="77777777" w:rsidTr="000F0EE2">
        <w:trPr>
          <w:trHeight w:hRule="exact" w:val="507"/>
          <w:jc w:val="center"/>
        </w:trPr>
        <w:tc>
          <w:tcPr>
            <w:tcW w:w="2841" w:type="dxa"/>
          </w:tcPr>
          <w:p w14:paraId="54390B5A" w14:textId="77777777" w:rsidR="00810099" w:rsidRPr="00786B9B" w:rsidRDefault="00810099" w:rsidP="004D147E">
            <w:pPr>
              <w:spacing w:before="4" w:line="120" w:lineRule="exact"/>
              <w:rPr>
                <w:sz w:val="12"/>
                <w:szCs w:val="12"/>
              </w:rPr>
            </w:pPr>
          </w:p>
          <w:p w14:paraId="2B7555C3" w14:textId="77777777" w:rsidR="00810099" w:rsidRPr="00786B9B" w:rsidRDefault="00810099" w:rsidP="004D147E">
            <w:pPr>
              <w:ind w:left="1260" w:right="1239"/>
              <w:jc w:val="center"/>
              <w:rPr>
                <w:rFonts w:ascii="Arial" w:eastAsia="Arial" w:hAnsi="Arial" w:cs="Arial"/>
                <w:sz w:val="20"/>
                <w:szCs w:val="20"/>
              </w:rPr>
            </w:pPr>
            <w:r w:rsidRPr="00786B9B">
              <w:rPr>
                <w:rFonts w:ascii="Arial" w:eastAsia="Arial" w:hAnsi="Arial" w:cs="Arial"/>
                <w:sz w:val="20"/>
                <w:szCs w:val="20"/>
              </w:rPr>
              <w:t>50</w:t>
            </w:r>
          </w:p>
        </w:tc>
        <w:tc>
          <w:tcPr>
            <w:tcW w:w="2840" w:type="dxa"/>
          </w:tcPr>
          <w:p w14:paraId="4F67DA0E" w14:textId="77777777" w:rsidR="00810099" w:rsidRPr="00786B9B" w:rsidRDefault="00810099" w:rsidP="004D147E">
            <w:pPr>
              <w:spacing w:before="4" w:line="120" w:lineRule="exact"/>
              <w:rPr>
                <w:sz w:val="12"/>
                <w:szCs w:val="12"/>
              </w:rPr>
            </w:pPr>
          </w:p>
          <w:p w14:paraId="5E25181C" w14:textId="77777777" w:rsidR="00810099" w:rsidRPr="00786B9B" w:rsidRDefault="00810099" w:rsidP="004D147E">
            <w:pPr>
              <w:ind w:left="1146" w:right="1126"/>
              <w:jc w:val="center"/>
              <w:rPr>
                <w:rFonts w:ascii="Arial" w:eastAsia="Arial" w:hAnsi="Arial" w:cs="Arial"/>
                <w:sz w:val="20"/>
                <w:szCs w:val="20"/>
              </w:rPr>
            </w:pPr>
            <w:r w:rsidRPr="00786B9B">
              <w:rPr>
                <w:rFonts w:ascii="Arial" w:eastAsia="Arial" w:hAnsi="Arial" w:cs="Arial"/>
                <w:sz w:val="20"/>
                <w:szCs w:val="20"/>
              </w:rPr>
              <w:t>&lt; 2,0</w:t>
            </w:r>
          </w:p>
        </w:tc>
      </w:tr>
      <w:tr w:rsidR="005864C2" w:rsidRPr="00786B9B" w14:paraId="5FB8D8FA" w14:textId="77777777" w:rsidTr="000F0EE2">
        <w:trPr>
          <w:trHeight w:hRule="exact" w:val="497"/>
          <w:jc w:val="center"/>
        </w:trPr>
        <w:tc>
          <w:tcPr>
            <w:tcW w:w="2841" w:type="dxa"/>
          </w:tcPr>
          <w:p w14:paraId="320BC8A7" w14:textId="77777777" w:rsidR="00810099" w:rsidRPr="00786B9B" w:rsidRDefault="00810099" w:rsidP="004D147E">
            <w:pPr>
              <w:spacing w:before="5" w:line="120" w:lineRule="exact"/>
              <w:rPr>
                <w:sz w:val="12"/>
                <w:szCs w:val="12"/>
              </w:rPr>
            </w:pPr>
          </w:p>
          <w:p w14:paraId="091D898F" w14:textId="77777777" w:rsidR="00810099" w:rsidRPr="00786B9B" w:rsidRDefault="00810099" w:rsidP="004D147E">
            <w:pPr>
              <w:ind w:left="1260" w:right="1239"/>
              <w:jc w:val="center"/>
              <w:rPr>
                <w:rFonts w:ascii="Arial" w:eastAsia="Arial" w:hAnsi="Arial" w:cs="Arial"/>
                <w:sz w:val="20"/>
                <w:szCs w:val="20"/>
              </w:rPr>
            </w:pPr>
            <w:r w:rsidRPr="00786B9B">
              <w:rPr>
                <w:rFonts w:ascii="Arial" w:eastAsia="Arial" w:hAnsi="Arial" w:cs="Arial"/>
                <w:sz w:val="20"/>
                <w:szCs w:val="20"/>
              </w:rPr>
              <w:t>80</w:t>
            </w:r>
          </w:p>
        </w:tc>
        <w:tc>
          <w:tcPr>
            <w:tcW w:w="2840" w:type="dxa"/>
          </w:tcPr>
          <w:p w14:paraId="4D32F316" w14:textId="77777777" w:rsidR="00810099" w:rsidRPr="00786B9B" w:rsidRDefault="00810099" w:rsidP="004D147E">
            <w:pPr>
              <w:spacing w:before="5" w:line="120" w:lineRule="exact"/>
              <w:rPr>
                <w:sz w:val="12"/>
                <w:szCs w:val="12"/>
              </w:rPr>
            </w:pPr>
          </w:p>
          <w:p w14:paraId="36A47F6A" w14:textId="77777777" w:rsidR="00810099" w:rsidRPr="00786B9B" w:rsidRDefault="00810099" w:rsidP="004D147E">
            <w:pPr>
              <w:ind w:left="1146" w:right="1126"/>
              <w:jc w:val="center"/>
              <w:rPr>
                <w:rFonts w:ascii="Arial" w:eastAsia="Arial" w:hAnsi="Arial" w:cs="Arial"/>
                <w:sz w:val="20"/>
                <w:szCs w:val="20"/>
              </w:rPr>
            </w:pPr>
            <w:r w:rsidRPr="00786B9B">
              <w:rPr>
                <w:rFonts w:ascii="Arial" w:eastAsia="Arial" w:hAnsi="Arial" w:cs="Arial"/>
                <w:sz w:val="20"/>
                <w:szCs w:val="20"/>
              </w:rPr>
              <w:t>&lt; 2,5</w:t>
            </w:r>
          </w:p>
        </w:tc>
      </w:tr>
      <w:tr w:rsidR="00810099" w:rsidRPr="00786B9B" w14:paraId="1D11DF5B" w14:textId="77777777" w:rsidTr="000F0EE2">
        <w:trPr>
          <w:trHeight w:hRule="exact" w:val="507"/>
          <w:jc w:val="center"/>
        </w:trPr>
        <w:tc>
          <w:tcPr>
            <w:tcW w:w="2841" w:type="dxa"/>
          </w:tcPr>
          <w:p w14:paraId="5168D5FF" w14:textId="77777777" w:rsidR="00810099" w:rsidRPr="00786B9B" w:rsidRDefault="00810099" w:rsidP="004D147E">
            <w:pPr>
              <w:spacing w:before="5" w:line="120" w:lineRule="exact"/>
              <w:rPr>
                <w:sz w:val="12"/>
                <w:szCs w:val="12"/>
              </w:rPr>
            </w:pPr>
          </w:p>
          <w:p w14:paraId="3DE6760C" w14:textId="77777777" w:rsidR="00810099" w:rsidRPr="00786B9B" w:rsidRDefault="00810099" w:rsidP="004D147E">
            <w:pPr>
              <w:ind w:left="1204" w:right="1184"/>
              <w:jc w:val="center"/>
              <w:rPr>
                <w:rFonts w:ascii="Arial" w:eastAsia="Arial" w:hAnsi="Arial" w:cs="Arial"/>
                <w:sz w:val="20"/>
                <w:szCs w:val="20"/>
              </w:rPr>
            </w:pPr>
            <w:r w:rsidRPr="00786B9B">
              <w:rPr>
                <w:rFonts w:ascii="Arial" w:eastAsia="Arial" w:hAnsi="Arial" w:cs="Arial"/>
                <w:sz w:val="20"/>
                <w:szCs w:val="20"/>
              </w:rPr>
              <w:t>100</w:t>
            </w:r>
          </w:p>
        </w:tc>
        <w:tc>
          <w:tcPr>
            <w:tcW w:w="2840" w:type="dxa"/>
          </w:tcPr>
          <w:p w14:paraId="4D4B7F1A" w14:textId="77777777" w:rsidR="00810099" w:rsidRPr="00786B9B" w:rsidRDefault="00810099" w:rsidP="004D147E">
            <w:pPr>
              <w:spacing w:before="5" w:line="120" w:lineRule="exact"/>
              <w:rPr>
                <w:sz w:val="12"/>
                <w:szCs w:val="12"/>
              </w:rPr>
            </w:pPr>
          </w:p>
          <w:p w14:paraId="6457F2FE" w14:textId="77777777" w:rsidR="00810099" w:rsidRPr="00786B9B" w:rsidRDefault="00810099" w:rsidP="004D147E">
            <w:pPr>
              <w:ind w:left="1146" w:right="1126"/>
              <w:jc w:val="center"/>
              <w:rPr>
                <w:rFonts w:ascii="Arial" w:eastAsia="Arial" w:hAnsi="Arial" w:cs="Arial"/>
                <w:sz w:val="20"/>
                <w:szCs w:val="20"/>
              </w:rPr>
            </w:pPr>
            <w:r w:rsidRPr="00786B9B">
              <w:rPr>
                <w:rFonts w:ascii="Arial" w:eastAsia="Arial" w:hAnsi="Arial" w:cs="Arial"/>
                <w:sz w:val="20"/>
                <w:szCs w:val="20"/>
              </w:rPr>
              <w:t>&lt; 3,0</w:t>
            </w:r>
          </w:p>
        </w:tc>
      </w:tr>
    </w:tbl>
    <w:p w14:paraId="51B25ACF" w14:textId="77777777" w:rsidR="00810099" w:rsidRPr="00786B9B" w:rsidRDefault="00810099" w:rsidP="00810099">
      <w:pPr>
        <w:pStyle w:val="NORMAL12"/>
        <w:rPr>
          <w:lang w:val="es-ES"/>
        </w:rPr>
      </w:pPr>
    </w:p>
    <w:p w14:paraId="42528C3E" w14:textId="77777777" w:rsidR="00810099" w:rsidRPr="00786B9B" w:rsidRDefault="00810099" w:rsidP="000313DD">
      <w:pPr>
        <w:pStyle w:val="TITU2"/>
      </w:pPr>
      <w:bookmarkStart w:id="636" w:name="_Toc404375"/>
      <w:r w:rsidRPr="00786B9B">
        <w:t>551.8. Limitaciones de la ejecución</w:t>
      </w:r>
      <w:bookmarkEnd w:id="636"/>
    </w:p>
    <w:p w14:paraId="73DB0694" w14:textId="77777777" w:rsidR="00810099" w:rsidRPr="00786B9B" w:rsidRDefault="00810099" w:rsidP="00F04B51">
      <w:pPr>
        <w:pStyle w:val="TITU3"/>
        <w:numPr>
          <w:ilvl w:val="0"/>
          <w:numId w:val="0"/>
        </w:numPr>
      </w:pPr>
      <w:r w:rsidRPr="00786B9B">
        <w:t>551.8.1. Consideraciones generales</w:t>
      </w:r>
    </w:p>
    <w:p w14:paraId="349856B9" w14:textId="77777777" w:rsidR="00D607F8" w:rsidRPr="00786B9B" w:rsidRDefault="00810099" w:rsidP="00D607F8">
      <w:pPr>
        <w:pStyle w:val="NORMAL12"/>
      </w:pPr>
      <w:r w:rsidRPr="00786B9B">
        <w:t xml:space="preserve">Se interrumpirá la ejecución cuando haya </w:t>
      </w:r>
      <w:r w:rsidR="00F9009A" w:rsidRPr="00786B9B">
        <w:t>precipitaciones con</w:t>
      </w:r>
      <w:r w:rsidRPr="00786B9B">
        <w:t xml:space="preserve"> una intensidad tal que pudiera, a juicio del </w:t>
      </w:r>
      <w:proofErr w:type="gramStart"/>
      <w:r w:rsidRPr="00786B9B">
        <w:t>Director</w:t>
      </w:r>
      <w:proofErr w:type="gramEnd"/>
      <w:r w:rsidRPr="00786B9B">
        <w:t xml:space="preserve"> de las Obras, dañar al hormigón magro fresco.</w:t>
      </w:r>
    </w:p>
    <w:p w14:paraId="5343D3E4" w14:textId="77777777" w:rsidR="00423E36" w:rsidRPr="00786B9B" w:rsidRDefault="00F9009A" w:rsidP="00D607F8">
      <w:pPr>
        <w:pStyle w:val="NORMAL12"/>
      </w:pPr>
      <w:r w:rsidRPr="00786B9B">
        <w:t>La descarga</w:t>
      </w:r>
      <w:r w:rsidR="00810099" w:rsidRPr="00786B9B">
        <w:t xml:space="preserve"> </w:t>
      </w:r>
      <w:r w:rsidRPr="00786B9B">
        <w:t>del hormigón</w:t>
      </w:r>
      <w:r w:rsidR="00810099" w:rsidRPr="00786B9B">
        <w:t xml:space="preserve">, cuando el transporte se </w:t>
      </w:r>
      <w:r w:rsidR="00D607F8" w:rsidRPr="00786B9B">
        <w:t>e</w:t>
      </w:r>
      <w:r w:rsidRPr="00786B9B">
        <w:t xml:space="preserve">fectúe en camiones </w:t>
      </w:r>
      <w:r w:rsidR="00810099" w:rsidRPr="00786B9B">
        <w:t>sin elementos de agitación, deberá realizarse antes de que haya transcurrido un período máximo de cua</w:t>
      </w:r>
      <w:r w:rsidR="00423E36" w:rsidRPr="00786B9B">
        <w:t>renta y cinco minutos (45 min).</w:t>
      </w:r>
    </w:p>
    <w:p w14:paraId="6C24C61D" w14:textId="77777777" w:rsidR="00810099" w:rsidRPr="00847B90" w:rsidRDefault="00121018" w:rsidP="00D607F8">
      <w:pPr>
        <w:pStyle w:val="NORMAL12"/>
      </w:pPr>
      <w:r w:rsidRPr="00847B90">
        <w:t xml:space="preserve">El </w:t>
      </w:r>
      <w:proofErr w:type="gramStart"/>
      <w:r w:rsidRPr="00847B90">
        <w:t>Director</w:t>
      </w:r>
      <w:proofErr w:type="gramEnd"/>
      <w:r w:rsidRPr="00847B90">
        <w:t xml:space="preserve"> de Obra podrá aprobar el </w:t>
      </w:r>
      <w:r w:rsidR="00423E36" w:rsidRPr="00847B90">
        <w:t xml:space="preserve">empleo de </w:t>
      </w:r>
      <w:r w:rsidR="00810099" w:rsidRPr="00847B90">
        <w:t>sistemas de agitación</w:t>
      </w:r>
      <w:r w:rsidRPr="00847B90">
        <w:t xml:space="preserve"> o retardadores de fraguado, o limitar su uso </w:t>
      </w:r>
      <w:r w:rsidR="00810099" w:rsidRPr="00847B90">
        <w:t>si las condiciones atmosféricas originan un ráp</w:t>
      </w:r>
      <w:r w:rsidR="00423E36" w:rsidRPr="00847B90">
        <w:t>ido endurecimiento del hormigón.</w:t>
      </w:r>
    </w:p>
    <w:p w14:paraId="59D14324" w14:textId="77777777" w:rsidR="00810099" w:rsidRPr="00786B9B" w:rsidRDefault="00810099" w:rsidP="00D607F8">
      <w:pPr>
        <w:pStyle w:val="NORMAL12"/>
      </w:pPr>
      <w:r w:rsidRPr="00847B90">
        <w:t xml:space="preserve">No deberá transcurrir más de una hora </w:t>
      </w:r>
      <w:r w:rsidR="0072225E" w:rsidRPr="00847B90">
        <w:t>(1</w:t>
      </w:r>
      <w:r w:rsidRPr="00847B90">
        <w:t xml:space="preserve"> h) entre la fabricación del hormigón y su </w:t>
      </w:r>
      <w:r w:rsidR="00121018" w:rsidRPr="00847B90">
        <w:t>puesta en obra y terminación de la capa</w:t>
      </w:r>
      <w:r w:rsidRPr="00847B90">
        <w:t xml:space="preserve">. </w:t>
      </w:r>
      <w:r w:rsidR="00121018" w:rsidRPr="00847B90">
        <w:t xml:space="preserve">El </w:t>
      </w:r>
      <w:proofErr w:type="gramStart"/>
      <w:r w:rsidR="00121018" w:rsidRPr="00847B90">
        <w:t>Director</w:t>
      </w:r>
      <w:proofErr w:type="gramEnd"/>
      <w:r w:rsidR="00121018" w:rsidRPr="00847B90">
        <w:t xml:space="preserve"> de Obra podrá aumentar el plazo hasta un máximo de dos horas (2h).</w:t>
      </w:r>
    </w:p>
    <w:p w14:paraId="4C09989D" w14:textId="77777777" w:rsidR="00810099" w:rsidRDefault="00810099" w:rsidP="00D607F8">
      <w:pPr>
        <w:pStyle w:val="NORMAL12"/>
      </w:pPr>
      <w:r w:rsidRPr="00786B9B">
        <w:t xml:space="preserve">Si se interrumpe la puesta en obra durante más treinta minutos (&gt; 30 min), se cubrirá el frente de ejecución de forma que se impida la evaporación del agua. </w:t>
      </w:r>
    </w:p>
    <w:p w14:paraId="2730A564" w14:textId="77777777" w:rsidR="004D3C9F" w:rsidRDefault="004D3C9F" w:rsidP="00D607F8">
      <w:pPr>
        <w:pStyle w:val="NORMAL12"/>
      </w:pPr>
    </w:p>
    <w:p w14:paraId="1045A574" w14:textId="77777777" w:rsidR="004D3C9F" w:rsidRPr="00786B9B" w:rsidRDefault="004D3C9F" w:rsidP="00D607F8">
      <w:pPr>
        <w:pStyle w:val="NORMAL12"/>
        <w:rPr>
          <w:rFonts w:eastAsia="Arial"/>
          <w:sz w:val="23"/>
          <w:szCs w:val="23"/>
        </w:rPr>
      </w:pPr>
    </w:p>
    <w:p w14:paraId="5AE9087D" w14:textId="77777777" w:rsidR="00810099" w:rsidRPr="00786B9B" w:rsidRDefault="00810099" w:rsidP="00F04B51">
      <w:pPr>
        <w:pStyle w:val="TITU3"/>
        <w:numPr>
          <w:ilvl w:val="0"/>
          <w:numId w:val="0"/>
        </w:numPr>
      </w:pPr>
      <w:r w:rsidRPr="00786B9B">
        <w:lastRenderedPageBreak/>
        <w:t>551.8.2. Limitaciones en tiempo caluroso</w:t>
      </w:r>
    </w:p>
    <w:p w14:paraId="38F789D6" w14:textId="77777777" w:rsidR="00810099" w:rsidRPr="00786B9B" w:rsidRDefault="00423E36" w:rsidP="00D607F8">
      <w:pPr>
        <w:pStyle w:val="NORMAL12"/>
      </w:pPr>
      <w:r w:rsidRPr="00786B9B">
        <w:t xml:space="preserve">L </w:t>
      </w:r>
      <w:r w:rsidR="00810099" w:rsidRPr="00786B9B">
        <w:t xml:space="preserve">la temperatura del hormigón no deberá rebasar en ningún momento los treinta y cinco grados Celsius </w:t>
      </w:r>
      <w:r w:rsidR="0072225E" w:rsidRPr="00786B9B">
        <w:t>(35</w:t>
      </w:r>
      <w:r w:rsidR="00810099" w:rsidRPr="00786B9B">
        <w:t xml:space="preserve"> </w:t>
      </w:r>
      <w:proofErr w:type="spellStart"/>
      <w:r w:rsidR="00810099" w:rsidRPr="00786B9B">
        <w:t>ºC</w:t>
      </w:r>
      <w:proofErr w:type="spellEnd"/>
      <w:r w:rsidR="00810099" w:rsidRPr="00786B9B">
        <w:t xml:space="preserve">). El </w:t>
      </w:r>
      <w:proofErr w:type="gramStart"/>
      <w:r w:rsidR="00810099" w:rsidRPr="00786B9B">
        <w:t>Director</w:t>
      </w:r>
      <w:proofErr w:type="gramEnd"/>
      <w:r w:rsidR="00810099" w:rsidRPr="00786B9B">
        <w:t xml:space="preserve"> de las Obras podrá ordenar la adopción de </w:t>
      </w:r>
      <w:r w:rsidR="00F9009A" w:rsidRPr="00786B9B">
        <w:t>precauciones suplementarias a</w:t>
      </w:r>
      <w:r w:rsidR="00810099" w:rsidRPr="00786B9B">
        <w:t xml:space="preserve"> fin de que el material que se fabrique no supere dicho límite.</w:t>
      </w:r>
    </w:p>
    <w:p w14:paraId="0B6FBC33" w14:textId="77777777" w:rsidR="00810099" w:rsidRPr="00786B9B" w:rsidRDefault="00810099" w:rsidP="00F04B51">
      <w:pPr>
        <w:pStyle w:val="TITU3"/>
        <w:numPr>
          <w:ilvl w:val="0"/>
          <w:numId w:val="0"/>
        </w:numPr>
      </w:pPr>
      <w:r w:rsidRPr="00786B9B">
        <w:t>551.8.3. Limitaciones en tiempo frío</w:t>
      </w:r>
    </w:p>
    <w:p w14:paraId="5893A1C1" w14:textId="77777777" w:rsidR="00810099" w:rsidRPr="00786B9B" w:rsidRDefault="00810099" w:rsidP="00D607F8">
      <w:pPr>
        <w:pStyle w:val="NORMAL12"/>
      </w:pPr>
      <w:r w:rsidRPr="00786B9B">
        <w:t xml:space="preserve">La temperatura de la masa de hormigón magro, durante su puesta en obra, no será inferior a cinco grados Celsius </w:t>
      </w:r>
      <w:r w:rsidR="00F9009A" w:rsidRPr="00786B9B">
        <w:t>(5</w:t>
      </w:r>
      <w:r w:rsidRPr="00786B9B">
        <w:t xml:space="preserve"> </w:t>
      </w:r>
      <w:proofErr w:type="spellStart"/>
      <w:r w:rsidRPr="00786B9B">
        <w:t>ºC</w:t>
      </w:r>
      <w:proofErr w:type="spellEnd"/>
      <w:r w:rsidRPr="00786B9B">
        <w:t>) y se prohibirá la pue</w:t>
      </w:r>
      <w:r w:rsidR="00F9009A" w:rsidRPr="00786B9B">
        <w:t>sta en obra del hormigón magro sobre una superficie cuya temperatura sea inferior a cero grados Celsius</w:t>
      </w:r>
      <w:r w:rsidRPr="00786B9B">
        <w:t xml:space="preserve"> (&lt; 0 </w:t>
      </w:r>
      <w:proofErr w:type="spellStart"/>
      <w:r w:rsidRPr="00786B9B">
        <w:t>ºC</w:t>
      </w:r>
      <w:proofErr w:type="spellEnd"/>
      <w:r w:rsidRPr="00786B9B">
        <w:t>).</w:t>
      </w:r>
    </w:p>
    <w:p w14:paraId="32B14FEB" w14:textId="77777777" w:rsidR="00810099" w:rsidRPr="00786B9B" w:rsidRDefault="00810099" w:rsidP="00F04B51">
      <w:pPr>
        <w:pStyle w:val="TITU3"/>
        <w:numPr>
          <w:ilvl w:val="0"/>
          <w:numId w:val="0"/>
        </w:numPr>
      </w:pPr>
      <w:r w:rsidRPr="00786B9B">
        <w:t>551.8.4. Apertura a la circulación</w:t>
      </w:r>
    </w:p>
    <w:p w14:paraId="5753A5F0" w14:textId="77777777" w:rsidR="00810099" w:rsidRPr="00786B9B" w:rsidRDefault="00810099" w:rsidP="00D607F8">
      <w:pPr>
        <w:pStyle w:val="NORMAL12"/>
      </w:pPr>
      <w:r w:rsidRPr="00786B9B">
        <w:t xml:space="preserve">El tráfico de obra no podrá circular antes de siete días (7 d) desde la ejecución de la capa. El </w:t>
      </w:r>
      <w:proofErr w:type="gramStart"/>
      <w:r w:rsidRPr="00786B9B">
        <w:t>Director</w:t>
      </w:r>
      <w:proofErr w:type="gramEnd"/>
      <w:r w:rsidRPr="00786B9B">
        <w:t xml:space="preserve"> de las Obras podrá autorizar una reducción de este plazo, siempre que el hormigón magro vibrado hubiera alcanzado una resistencia a compresión de, al menos, el ochenta por ciento (80%) de la exigida a veintiocho días (28 d).</w:t>
      </w:r>
    </w:p>
    <w:p w14:paraId="3F11D189" w14:textId="77777777" w:rsidR="00810099" w:rsidRPr="00786B9B" w:rsidRDefault="00810099" w:rsidP="000313DD">
      <w:pPr>
        <w:pStyle w:val="TITU2"/>
      </w:pPr>
      <w:bookmarkStart w:id="637" w:name="_Toc404376"/>
      <w:r w:rsidRPr="00786B9B">
        <w:t>551.9. Control de calidad</w:t>
      </w:r>
      <w:bookmarkEnd w:id="637"/>
    </w:p>
    <w:p w14:paraId="29A05D72" w14:textId="77777777" w:rsidR="00810099" w:rsidRPr="00786B9B" w:rsidRDefault="00810099" w:rsidP="00F04B51">
      <w:pPr>
        <w:pStyle w:val="TITU3"/>
        <w:numPr>
          <w:ilvl w:val="0"/>
          <w:numId w:val="0"/>
        </w:numPr>
      </w:pPr>
      <w:r w:rsidRPr="00786B9B">
        <w:t>551.9.2. Control de calidad de los materiales</w:t>
      </w:r>
    </w:p>
    <w:p w14:paraId="082DAEBE" w14:textId="77777777" w:rsidR="00810099" w:rsidRPr="00786B9B" w:rsidRDefault="00810099" w:rsidP="00F04B51">
      <w:pPr>
        <w:pStyle w:val="TITU4"/>
        <w:numPr>
          <w:ilvl w:val="0"/>
          <w:numId w:val="0"/>
        </w:numPr>
        <w:ind w:left="426"/>
      </w:pPr>
      <w:r w:rsidRPr="00786B9B">
        <w:t>551.9.2.1. Cementos</w:t>
      </w:r>
    </w:p>
    <w:p w14:paraId="5B9557B5" w14:textId="77777777" w:rsidR="00810099" w:rsidRPr="00786B9B" w:rsidRDefault="00810099" w:rsidP="00D607F8">
      <w:pPr>
        <w:pStyle w:val="NORMAL12"/>
      </w:pPr>
      <w:r w:rsidRPr="00786B9B">
        <w:t>Se seguirán las prescripciones del artículo 202 de este Pliego.</w:t>
      </w:r>
    </w:p>
    <w:p w14:paraId="0B52ACCC" w14:textId="77777777" w:rsidR="00810099" w:rsidRPr="00847B90" w:rsidRDefault="00810099" w:rsidP="00F04B51">
      <w:pPr>
        <w:pStyle w:val="TITU4"/>
        <w:numPr>
          <w:ilvl w:val="0"/>
          <w:numId w:val="0"/>
        </w:numPr>
        <w:ind w:left="426"/>
      </w:pPr>
      <w:r w:rsidRPr="00786B9B">
        <w:t>551.9.</w:t>
      </w:r>
      <w:r w:rsidRPr="00847B90">
        <w:t>2.2. Áridos</w:t>
      </w:r>
    </w:p>
    <w:p w14:paraId="7DBBD31D" w14:textId="77777777" w:rsidR="00810099" w:rsidRPr="00847B90" w:rsidRDefault="00810099" w:rsidP="00D607F8">
      <w:pPr>
        <w:pStyle w:val="NORMAL12"/>
        <w:rPr>
          <w:rFonts w:eastAsia="Arial"/>
          <w:sz w:val="23"/>
          <w:szCs w:val="23"/>
        </w:rPr>
      </w:pPr>
      <w:r w:rsidRPr="00847B90">
        <w:t>Sobre cada fracción de árido que se produzca o reciba, se realizarán los siguientes ensayos:</w:t>
      </w:r>
    </w:p>
    <w:p w14:paraId="299F0AE7" w14:textId="77777777" w:rsidR="00810099" w:rsidRPr="00847B90" w:rsidRDefault="00810099" w:rsidP="00D607F8">
      <w:pPr>
        <w:pStyle w:val="NORMAL12"/>
      </w:pPr>
      <w:r w:rsidRPr="00847B90">
        <w:t>Al menos dos (2) veces al día, una por la mañana y otra por la tarde:</w:t>
      </w:r>
    </w:p>
    <w:p w14:paraId="55721410" w14:textId="77777777" w:rsidR="00810099" w:rsidRPr="00847B90" w:rsidRDefault="00810099" w:rsidP="00E01981">
      <w:pPr>
        <w:pStyle w:val="NORMAL12"/>
        <w:numPr>
          <w:ilvl w:val="0"/>
          <w:numId w:val="43"/>
        </w:numPr>
      </w:pPr>
      <w:r w:rsidRPr="00847B90">
        <w:t>Granulometría (norma UNE-EN 933-1</w:t>
      </w:r>
      <w:r w:rsidR="00575900" w:rsidRPr="00847B90">
        <w:t>:2012</w:t>
      </w:r>
      <w:r w:rsidRPr="00847B90">
        <w:t>).</w:t>
      </w:r>
    </w:p>
    <w:p w14:paraId="147882FB" w14:textId="77777777" w:rsidR="00810099" w:rsidRPr="00847B90" w:rsidRDefault="002B21EC" w:rsidP="00E01981">
      <w:pPr>
        <w:pStyle w:val="NORMAL12"/>
        <w:numPr>
          <w:ilvl w:val="0"/>
          <w:numId w:val="43"/>
        </w:numPr>
      </w:pPr>
      <w:r w:rsidRPr="00847B90">
        <w:t>Proporción de finos que pasan por el tamiz 0,063 mm de la norma</w:t>
      </w:r>
      <w:r w:rsidR="00D607F8" w:rsidRPr="00847B90">
        <w:t xml:space="preserve"> </w:t>
      </w:r>
      <w:r w:rsidR="00810099" w:rsidRPr="00847B90">
        <w:t>UNE-EN 933-2</w:t>
      </w:r>
      <w:r w:rsidR="00575900" w:rsidRPr="00847B90">
        <w:t>:1996</w:t>
      </w:r>
      <w:r w:rsidR="00810099" w:rsidRPr="00847B90">
        <w:t>.</w:t>
      </w:r>
    </w:p>
    <w:p w14:paraId="6E459080" w14:textId="77777777" w:rsidR="00810099" w:rsidRPr="00847B90" w:rsidRDefault="00810099" w:rsidP="00D607F8">
      <w:pPr>
        <w:pStyle w:val="NORMAL12"/>
      </w:pPr>
      <w:r w:rsidRPr="00847B90">
        <w:t>Al menos una (1) vez a la semana:</w:t>
      </w:r>
    </w:p>
    <w:p w14:paraId="7DC57CFA" w14:textId="77777777" w:rsidR="00810099" w:rsidRPr="00847B90" w:rsidRDefault="00810099" w:rsidP="00E01981">
      <w:pPr>
        <w:pStyle w:val="NORMAL12"/>
        <w:numPr>
          <w:ilvl w:val="0"/>
          <w:numId w:val="43"/>
        </w:numPr>
      </w:pPr>
      <w:r w:rsidRPr="00847B90">
        <w:t>Índice de lajas (FI) del árido grueso (norma UNE-EN 933-3</w:t>
      </w:r>
      <w:r w:rsidR="00575900" w:rsidRPr="00847B90">
        <w:t>:2012</w:t>
      </w:r>
      <w:r w:rsidRPr="00847B90">
        <w:t>).</w:t>
      </w:r>
    </w:p>
    <w:p w14:paraId="1C58740A" w14:textId="77777777" w:rsidR="00810099" w:rsidRPr="00847B90" w:rsidRDefault="00810099" w:rsidP="00E01981">
      <w:pPr>
        <w:pStyle w:val="NORMAL12"/>
        <w:numPr>
          <w:ilvl w:val="0"/>
          <w:numId w:val="43"/>
        </w:numPr>
      </w:pPr>
      <w:r w:rsidRPr="00847B90">
        <w:t>Equivalente de arena (SE</w:t>
      </w:r>
      <w:r w:rsidRPr="00847B90">
        <w:rPr>
          <w:vertAlign w:val="subscript"/>
        </w:rPr>
        <w:t>4</w:t>
      </w:r>
      <w:r w:rsidRPr="00847B90">
        <w:t>) del árido fino (Anexo A de la norma UNE-EN 933-</w:t>
      </w:r>
      <w:r w:rsidR="00D607F8" w:rsidRPr="00847B90">
        <w:t xml:space="preserve"> </w:t>
      </w:r>
      <w:r w:rsidRPr="00847B90">
        <w:t>8</w:t>
      </w:r>
      <w:r w:rsidR="00575900" w:rsidRPr="00847B90">
        <w:t>:2012 + A1: 2012</w:t>
      </w:r>
      <w:r w:rsidRPr="00847B90">
        <w:t>).</w:t>
      </w:r>
    </w:p>
    <w:p w14:paraId="086868CC" w14:textId="77777777" w:rsidR="00810099" w:rsidRPr="00847B90" w:rsidRDefault="00810099" w:rsidP="00D607F8">
      <w:pPr>
        <w:pStyle w:val="NORMAL12"/>
      </w:pPr>
      <w:r w:rsidRPr="00847B90">
        <w:t>Al menos una (1) vez al mes:</w:t>
      </w:r>
    </w:p>
    <w:p w14:paraId="28890053" w14:textId="77777777" w:rsidR="00810099" w:rsidRPr="00847B90" w:rsidRDefault="00810099" w:rsidP="00E01981">
      <w:pPr>
        <w:pStyle w:val="NORMAL12"/>
        <w:numPr>
          <w:ilvl w:val="0"/>
          <w:numId w:val="43"/>
        </w:numPr>
      </w:pPr>
      <w:r w:rsidRPr="00847B90">
        <w:t>Coeficiente de Los Ángeles (LA) del árido grueso (norma UNE-EN 1097-2</w:t>
      </w:r>
      <w:r w:rsidR="00575900" w:rsidRPr="00847B90">
        <w:t>:2010</w:t>
      </w:r>
      <w:r w:rsidRPr="00847B90">
        <w:t>).</w:t>
      </w:r>
    </w:p>
    <w:p w14:paraId="2ADE3C0E" w14:textId="77777777" w:rsidR="00810099" w:rsidRPr="00847B90" w:rsidRDefault="00810099" w:rsidP="00E01981">
      <w:pPr>
        <w:pStyle w:val="NORMAL12"/>
        <w:numPr>
          <w:ilvl w:val="0"/>
          <w:numId w:val="43"/>
        </w:numPr>
      </w:pPr>
      <w:r w:rsidRPr="00847B90">
        <w:t>El contenido ponderal de compuestos totales de azufre (S) y sulfatos solubles en ácido (SO3) (norma UNE-EN 1744-1</w:t>
      </w:r>
      <w:r w:rsidR="00575900" w:rsidRPr="00847B90">
        <w:t>: 2010 + A1:2013</w:t>
      </w:r>
      <w:r w:rsidRPr="00847B90">
        <w:t>).</w:t>
      </w:r>
    </w:p>
    <w:p w14:paraId="2AB2BF00" w14:textId="77777777" w:rsidR="00810099" w:rsidRPr="00847B90" w:rsidRDefault="00810099" w:rsidP="00E01981">
      <w:pPr>
        <w:pStyle w:val="NORMAL12"/>
        <w:numPr>
          <w:ilvl w:val="0"/>
          <w:numId w:val="43"/>
        </w:numPr>
      </w:pPr>
      <w:r w:rsidRPr="00847B90">
        <w:t xml:space="preserve">Determinación </w:t>
      </w:r>
      <w:r w:rsidR="00D607F8" w:rsidRPr="00847B90">
        <w:t>d</w:t>
      </w:r>
      <w:r w:rsidRPr="00847B90">
        <w:t>e compuestos orgánicos que</w:t>
      </w:r>
      <w:r w:rsidR="00D607F8" w:rsidRPr="00847B90">
        <w:t xml:space="preserve"> </w:t>
      </w:r>
      <w:r w:rsidRPr="00847B90">
        <w:t>afectan al fraguado</w:t>
      </w:r>
      <w:r w:rsidR="00D607F8" w:rsidRPr="00847B90">
        <w:t xml:space="preserve"> </w:t>
      </w:r>
      <w:r w:rsidRPr="00847B90">
        <w:t>y</w:t>
      </w:r>
      <w:r w:rsidR="00D607F8" w:rsidRPr="00847B90">
        <w:t xml:space="preserve"> </w:t>
      </w:r>
      <w:r w:rsidRPr="00847B90">
        <w:t xml:space="preserve">endurecimiento del cemento (norma </w:t>
      </w:r>
      <w:r w:rsidR="00575900" w:rsidRPr="00847B90">
        <w:t>UNE-EN 1744-1: 2010 + A1:2013</w:t>
      </w:r>
      <w:r w:rsidRPr="00847B90">
        <w:t>).</w:t>
      </w:r>
    </w:p>
    <w:p w14:paraId="26563BA4" w14:textId="77777777" w:rsidR="00810099" w:rsidRPr="00847B90" w:rsidRDefault="00810099" w:rsidP="00E01981">
      <w:pPr>
        <w:pStyle w:val="NORMAL12"/>
        <w:numPr>
          <w:ilvl w:val="0"/>
          <w:numId w:val="43"/>
        </w:numPr>
      </w:pPr>
      <w:r w:rsidRPr="00847B90">
        <w:t>Comprobación de que no existe reactividad álcali-árido y álcali-carbonato</w:t>
      </w:r>
      <w:r w:rsidR="002B21EC" w:rsidRPr="00847B90">
        <w:t>, de</w:t>
      </w:r>
      <w:r w:rsidRPr="00847B90">
        <w:t xml:space="preserve"> acuerdo con la vigente Instrucción de Hormigón Estructural EHE.</w:t>
      </w:r>
      <w:r w:rsidR="00575900" w:rsidRPr="00847B90">
        <w:t xml:space="preserve"> </w:t>
      </w:r>
    </w:p>
    <w:p w14:paraId="553AD7D8" w14:textId="77777777" w:rsidR="00810099" w:rsidRPr="00847B90" w:rsidRDefault="00810099" w:rsidP="00F04B51">
      <w:pPr>
        <w:pStyle w:val="TITU3"/>
        <w:numPr>
          <w:ilvl w:val="0"/>
          <w:numId w:val="0"/>
        </w:numPr>
      </w:pPr>
      <w:r w:rsidRPr="00847B90">
        <w:t>551.9.3. Control de ejecución</w:t>
      </w:r>
    </w:p>
    <w:p w14:paraId="4D776E6E" w14:textId="77777777" w:rsidR="00810099" w:rsidRPr="00847B90" w:rsidRDefault="00810099" w:rsidP="00F04B51">
      <w:pPr>
        <w:pStyle w:val="TITU4"/>
        <w:numPr>
          <w:ilvl w:val="0"/>
          <w:numId w:val="0"/>
        </w:numPr>
        <w:ind w:left="426"/>
      </w:pPr>
      <w:r w:rsidRPr="00847B90">
        <w:t>551.9.3.1. Fabricación</w:t>
      </w:r>
    </w:p>
    <w:p w14:paraId="79D4608D" w14:textId="77777777" w:rsidR="00810099" w:rsidRPr="00847B90" w:rsidRDefault="002B21EC" w:rsidP="00D607F8">
      <w:pPr>
        <w:pStyle w:val="NORMAL12"/>
      </w:pPr>
      <w:r w:rsidRPr="00847B90">
        <w:t>Se tomará diariamente al menos una (1) muestra de la mezcla de áridos, y</w:t>
      </w:r>
      <w:r w:rsidR="00810099" w:rsidRPr="00847B90">
        <w:t xml:space="preserve"> se </w:t>
      </w:r>
      <w:r w:rsidRPr="00847B90">
        <w:t xml:space="preserve">determinará su granulometría (norma </w:t>
      </w:r>
      <w:r w:rsidR="00575900" w:rsidRPr="00847B90">
        <w:t>UNE-EN 933-1:2012</w:t>
      </w:r>
      <w:r w:rsidRPr="00847B90">
        <w:t xml:space="preserve">). </w:t>
      </w:r>
      <w:r w:rsidR="00810099" w:rsidRPr="00847B90">
        <w:t xml:space="preserve">Al </w:t>
      </w:r>
      <w:r w:rsidRPr="00847B90">
        <w:t>menos una</w:t>
      </w:r>
      <w:r w:rsidR="00810099" w:rsidRPr="00847B90">
        <w:t xml:space="preserve"> (1) vez cada quince días (15 d) se verificará la precisión de las básculas de dosificación, mediante un conjunto adecuado de pesas patrón.</w:t>
      </w:r>
      <w:r w:rsidR="00575900" w:rsidRPr="00847B90">
        <w:t xml:space="preserve"> </w:t>
      </w:r>
    </w:p>
    <w:p w14:paraId="63890552" w14:textId="77777777" w:rsidR="00810099" w:rsidRPr="00847B90" w:rsidRDefault="00810099" w:rsidP="00D607F8">
      <w:pPr>
        <w:pStyle w:val="NORMAL12"/>
      </w:pPr>
      <w:r w:rsidRPr="00847B90">
        <w:t>Se tomarán muestras a la descarga de la amasadora</w:t>
      </w:r>
      <w:r w:rsidR="002B21EC" w:rsidRPr="00847B90">
        <w:t>, y</w:t>
      </w:r>
      <w:r w:rsidRPr="00847B90">
        <w:t xml:space="preserve"> con ellas se efectuarán los siguientes ensayos:</w:t>
      </w:r>
    </w:p>
    <w:p w14:paraId="1A9DFD9F" w14:textId="77777777" w:rsidR="00810099" w:rsidRPr="00847B90" w:rsidRDefault="00810099" w:rsidP="00D607F8">
      <w:pPr>
        <w:pStyle w:val="NORMAL12"/>
      </w:pPr>
      <w:r w:rsidRPr="00847B90">
        <w:t>En cada elemento de transporte:</w:t>
      </w:r>
    </w:p>
    <w:p w14:paraId="3A1786A4" w14:textId="77777777" w:rsidR="00810099" w:rsidRPr="00847B90" w:rsidRDefault="00810099" w:rsidP="00E01981">
      <w:pPr>
        <w:pStyle w:val="NORMAL12"/>
        <w:numPr>
          <w:ilvl w:val="0"/>
          <w:numId w:val="43"/>
        </w:numPr>
      </w:pPr>
      <w:r w:rsidRPr="00847B90">
        <w:t>Control del aspecto del hormigón y, en su caso, medición de su temperatura.</w:t>
      </w:r>
    </w:p>
    <w:p w14:paraId="33951F2A" w14:textId="77777777" w:rsidR="00810099" w:rsidRPr="00847B90" w:rsidRDefault="002B21EC" w:rsidP="00E01981">
      <w:pPr>
        <w:pStyle w:val="NORMAL12"/>
        <w:numPr>
          <w:ilvl w:val="0"/>
          <w:numId w:val="43"/>
        </w:numPr>
      </w:pPr>
      <w:r w:rsidRPr="00847B90">
        <w:t>Se rechazarán todos los hormigones segregados o</w:t>
      </w:r>
      <w:r w:rsidR="00810099" w:rsidRPr="00847B90">
        <w:t xml:space="preserve"> </w:t>
      </w:r>
      <w:r w:rsidRPr="00847B90">
        <w:t>cuya envuelta no</w:t>
      </w:r>
      <w:r w:rsidR="00810099" w:rsidRPr="00847B90">
        <w:t xml:space="preserve"> sea homogénea.</w:t>
      </w:r>
    </w:p>
    <w:p w14:paraId="7AD96313" w14:textId="77777777" w:rsidR="00810099" w:rsidRPr="00847B90" w:rsidRDefault="00810099" w:rsidP="00D607F8">
      <w:pPr>
        <w:pStyle w:val="NORMAL12"/>
      </w:pPr>
      <w:r w:rsidRPr="00847B90">
        <w:t>Al menos dos (2) veces al día (mañana y tarde):</w:t>
      </w:r>
    </w:p>
    <w:p w14:paraId="00BAC16C" w14:textId="77777777" w:rsidR="00810099" w:rsidRPr="00847B90" w:rsidRDefault="00810099" w:rsidP="00E01981">
      <w:pPr>
        <w:pStyle w:val="NORMAL12"/>
        <w:numPr>
          <w:ilvl w:val="0"/>
          <w:numId w:val="43"/>
        </w:numPr>
      </w:pPr>
      <w:r w:rsidRPr="00847B90">
        <w:t>Contenido de aire ocluido en el hormigón (norma UNE-EN 12350-7</w:t>
      </w:r>
      <w:r w:rsidR="00575900" w:rsidRPr="00847B90">
        <w:t>:2010</w:t>
      </w:r>
      <w:r w:rsidRPr="00847B90">
        <w:t>).</w:t>
      </w:r>
    </w:p>
    <w:p w14:paraId="179B06E8" w14:textId="77777777" w:rsidR="00810099" w:rsidRPr="00847B90" w:rsidRDefault="00810099" w:rsidP="00E01981">
      <w:pPr>
        <w:pStyle w:val="NORMAL12"/>
        <w:numPr>
          <w:ilvl w:val="0"/>
          <w:numId w:val="43"/>
        </w:numPr>
      </w:pPr>
      <w:r w:rsidRPr="00847B90">
        <w:t>Consistencia (norma UNE-EN 12350-2</w:t>
      </w:r>
      <w:r w:rsidR="00575900" w:rsidRPr="00847B90">
        <w:t>:2009</w:t>
      </w:r>
      <w:r w:rsidRPr="00847B90">
        <w:t>).</w:t>
      </w:r>
    </w:p>
    <w:p w14:paraId="3164AE60" w14:textId="77777777" w:rsidR="00810099" w:rsidRPr="00847B90" w:rsidRDefault="002B21EC" w:rsidP="00E01981">
      <w:pPr>
        <w:pStyle w:val="NORMAL12"/>
        <w:numPr>
          <w:ilvl w:val="0"/>
          <w:numId w:val="44"/>
        </w:numPr>
      </w:pPr>
      <w:r w:rsidRPr="00847B90">
        <w:t>Fabricación y</w:t>
      </w:r>
      <w:r w:rsidR="00810099" w:rsidRPr="00847B90">
        <w:t xml:space="preserve"> </w:t>
      </w:r>
      <w:r w:rsidRPr="00847B90">
        <w:t>conservación de</w:t>
      </w:r>
      <w:r w:rsidR="00810099" w:rsidRPr="00847B90">
        <w:t xml:space="preserve"> </w:t>
      </w:r>
      <w:r w:rsidRPr="00847B90">
        <w:t>probetas para</w:t>
      </w:r>
      <w:r w:rsidR="00810099" w:rsidRPr="00847B90">
        <w:t xml:space="preserve"> </w:t>
      </w:r>
      <w:r w:rsidRPr="00847B90">
        <w:t>ensayo a</w:t>
      </w:r>
      <w:r w:rsidR="00810099" w:rsidRPr="00847B90">
        <w:t xml:space="preserve"> </w:t>
      </w:r>
      <w:r w:rsidRPr="00847B90">
        <w:t>compresión simple</w:t>
      </w:r>
      <w:r w:rsidR="00D607F8" w:rsidRPr="00847B90">
        <w:t xml:space="preserve"> </w:t>
      </w:r>
      <w:r w:rsidR="00810099" w:rsidRPr="00847B90">
        <w:t>(norma UNE-EN 12390-2</w:t>
      </w:r>
      <w:r w:rsidR="00575900" w:rsidRPr="00847B90">
        <w:t>:2009</w:t>
      </w:r>
      <w:r w:rsidR="00810099" w:rsidRPr="00847B90">
        <w:t>).</w:t>
      </w:r>
    </w:p>
    <w:p w14:paraId="7E8271C6" w14:textId="77777777" w:rsidR="00810099" w:rsidRPr="00786B9B" w:rsidRDefault="00810099" w:rsidP="00D607F8">
      <w:pPr>
        <w:pStyle w:val="NORMAL12"/>
      </w:pPr>
      <w:r w:rsidRPr="00847B90">
        <w:lastRenderedPageBreak/>
        <w:t>El número de amasadas diferentes para el control de la resistencia de cada una de ellas en un mismo lote ejecutado</w:t>
      </w:r>
      <w:r w:rsidR="00121018" w:rsidRPr="00847B90">
        <w:t xml:space="preserve"> es de tres </w:t>
      </w:r>
      <w:r w:rsidR="0072225E" w:rsidRPr="00847B90">
        <w:t>(3</w:t>
      </w:r>
      <w:r w:rsidRPr="00847B90">
        <w:t>) en carreteras con</w:t>
      </w:r>
      <w:r w:rsidR="00F04B51" w:rsidRPr="00847B90">
        <w:t xml:space="preserve"> </w:t>
      </w:r>
      <w:r w:rsidR="002B21EC" w:rsidRPr="00847B90">
        <w:t xml:space="preserve">categoría </w:t>
      </w:r>
      <w:r w:rsidRPr="00847B90">
        <w:t>de tráfico pe</w:t>
      </w:r>
      <w:r w:rsidR="00786B9B" w:rsidRPr="00847B90">
        <w:t>sado T0</w:t>
      </w:r>
      <w:r w:rsidR="002B21EC" w:rsidRPr="00847B90">
        <w:t>.</w:t>
      </w:r>
      <w:r w:rsidRPr="00847B90">
        <w:t xml:space="preserve"> Por cada amasada controlada se fabricarán, al menos, dos (2) probetas.</w:t>
      </w:r>
    </w:p>
    <w:p w14:paraId="6D53B9C4" w14:textId="77777777" w:rsidR="00810099" w:rsidRPr="00786B9B" w:rsidRDefault="00810099" w:rsidP="00F04B51">
      <w:pPr>
        <w:pStyle w:val="TITU3"/>
        <w:numPr>
          <w:ilvl w:val="0"/>
          <w:numId w:val="0"/>
        </w:numPr>
      </w:pPr>
      <w:r w:rsidRPr="00786B9B">
        <w:t>551.9.4. Control de recepción de la unidad terminada</w:t>
      </w:r>
    </w:p>
    <w:p w14:paraId="400A8DF6" w14:textId="77777777" w:rsidR="00810099" w:rsidRPr="00786B9B" w:rsidRDefault="00810099" w:rsidP="00D607F8">
      <w:pPr>
        <w:pStyle w:val="NORMAL12"/>
      </w:pPr>
      <w:r w:rsidRPr="00786B9B">
        <w:t xml:space="preserve">Se considerará como lote, que se </w:t>
      </w:r>
      <w:r w:rsidR="002B21EC" w:rsidRPr="00786B9B">
        <w:t>aceptará o</w:t>
      </w:r>
      <w:r w:rsidRPr="00786B9B">
        <w:t xml:space="preserve"> </w:t>
      </w:r>
      <w:r w:rsidR="002B21EC" w:rsidRPr="00786B9B">
        <w:t>rechazará en</w:t>
      </w:r>
      <w:r w:rsidRPr="00786B9B">
        <w:t xml:space="preserve"> bloque</w:t>
      </w:r>
      <w:r w:rsidR="002B21EC" w:rsidRPr="00786B9B">
        <w:t>, al</w:t>
      </w:r>
      <w:r w:rsidRPr="00786B9B">
        <w:t xml:space="preserve"> </w:t>
      </w:r>
      <w:r w:rsidR="002B21EC" w:rsidRPr="00786B9B">
        <w:t>menor que</w:t>
      </w:r>
      <w:r w:rsidRPr="00786B9B">
        <w:t xml:space="preserve"> resulte de aplicar los tres (3) criterios siguientes a la capa de hormigón magro vibrado:</w:t>
      </w:r>
    </w:p>
    <w:p w14:paraId="6FF4F6A6" w14:textId="77777777" w:rsidR="00810099" w:rsidRPr="00786B9B" w:rsidRDefault="00810099" w:rsidP="00E01981">
      <w:pPr>
        <w:pStyle w:val="NORMAL12"/>
        <w:numPr>
          <w:ilvl w:val="0"/>
          <w:numId w:val="43"/>
        </w:numPr>
      </w:pPr>
      <w:r w:rsidRPr="00786B9B">
        <w:t>Quinientos metros (500 m) de calzada.</w:t>
      </w:r>
    </w:p>
    <w:p w14:paraId="23A727CE" w14:textId="77777777" w:rsidR="00810099" w:rsidRPr="00786B9B" w:rsidRDefault="00810099" w:rsidP="00E01981">
      <w:pPr>
        <w:pStyle w:val="NORMAL12"/>
        <w:numPr>
          <w:ilvl w:val="0"/>
          <w:numId w:val="43"/>
        </w:numPr>
      </w:pPr>
      <w:r w:rsidRPr="00786B9B">
        <w:t>Tres mil quinientos metros cuadrados (3 500 m</w:t>
      </w:r>
      <w:r w:rsidRPr="005B79AD">
        <w:rPr>
          <w:vertAlign w:val="superscript"/>
        </w:rPr>
        <w:t>2</w:t>
      </w:r>
      <w:r w:rsidRPr="00786B9B">
        <w:t>) de calzada.</w:t>
      </w:r>
    </w:p>
    <w:p w14:paraId="5EAEDA15" w14:textId="77777777" w:rsidR="00810099" w:rsidRPr="00786B9B" w:rsidRDefault="00810099" w:rsidP="00E01981">
      <w:pPr>
        <w:pStyle w:val="NORMAL12"/>
        <w:numPr>
          <w:ilvl w:val="0"/>
          <w:numId w:val="43"/>
        </w:numPr>
      </w:pPr>
      <w:r w:rsidRPr="00786B9B">
        <w:t>La fracción construida diariamente.</w:t>
      </w:r>
    </w:p>
    <w:p w14:paraId="74F14612" w14:textId="77777777" w:rsidR="00786B9B" w:rsidRPr="00786B9B" w:rsidRDefault="00810099" w:rsidP="00D607F8">
      <w:pPr>
        <w:pStyle w:val="NORMAL12"/>
      </w:pPr>
      <w:r w:rsidRPr="00786B9B">
        <w:t>El espesor de la capa y la homogeneidad del hormigón se comprobarán mediante extracción</w:t>
      </w:r>
      <w:r w:rsidR="002B21EC" w:rsidRPr="00786B9B">
        <w:t xml:space="preserve"> de testigos cilíndricos en emplazamientos aleatorios, con la frecuencia</w:t>
      </w:r>
      <w:r w:rsidRPr="00786B9B">
        <w:t xml:space="preserve"> fijada en el </w:t>
      </w:r>
      <w:r w:rsidR="002B21EC" w:rsidRPr="00786B9B">
        <w:t>Pliego de</w:t>
      </w:r>
      <w:r w:rsidRPr="00786B9B">
        <w:t xml:space="preserve"> Prescripciones </w:t>
      </w:r>
      <w:r w:rsidR="002B21EC" w:rsidRPr="00786B9B">
        <w:t>Técnicas Particulares</w:t>
      </w:r>
      <w:r w:rsidRPr="00786B9B">
        <w:t>, o que</w:t>
      </w:r>
      <w:r w:rsidR="002B21EC" w:rsidRPr="00786B9B">
        <w:t>, en</w:t>
      </w:r>
      <w:r w:rsidRPr="00786B9B">
        <w:t xml:space="preserve"> su defecto, señale el </w:t>
      </w:r>
      <w:proofErr w:type="gramStart"/>
      <w:r w:rsidRPr="00786B9B">
        <w:t>Director</w:t>
      </w:r>
      <w:proofErr w:type="gramEnd"/>
      <w:r w:rsidRPr="00786B9B">
        <w:t xml:space="preserve"> de las Obras. El número mínimo de puntos a controlar por cada lote será de dos (2), que se ampliarán a cinco (5) si el espesor de alguno de los dos (2) primeros resultara ser inferior al prescrito o su aspecto indicara una compactación inadecuada. Las extracciones efectuadas se repondrán con hormigón de la misma calidad que el utilizado en el resto de la capa, el cual será correctamente enrasado y compactado. </w:t>
      </w:r>
    </w:p>
    <w:p w14:paraId="671A16B3" w14:textId="77777777" w:rsidR="00810099" w:rsidRPr="00786B9B" w:rsidRDefault="00810099" w:rsidP="00D607F8">
      <w:pPr>
        <w:pStyle w:val="NORMAL12"/>
      </w:pPr>
      <w:r w:rsidRPr="00786B9B">
        <w:t>Se comprobará en perfiles transversales cada veinte metros (20 m</w:t>
      </w:r>
      <w:r w:rsidR="002B21EC" w:rsidRPr="00786B9B">
        <w:t xml:space="preserve">) que la superficie extendida presenta </w:t>
      </w:r>
      <w:r w:rsidRPr="00786B9B">
        <w:t>un aspecto uniforme, así como la ausencia de defect</w:t>
      </w:r>
      <w:r w:rsidR="002B21EC" w:rsidRPr="00786B9B">
        <w:t xml:space="preserve">os </w:t>
      </w:r>
      <w:proofErr w:type="gramStart"/>
      <w:r w:rsidR="002B21EC" w:rsidRPr="00786B9B">
        <w:t>superficiales  importantes</w:t>
      </w:r>
      <w:proofErr w:type="gramEnd"/>
      <w:r w:rsidR="002B21EC" w:rsidRPr="00786B9B">
        <w:t>, tales como segregaciones, modificación</w:t>
      </w:r>
      <w:r w:rsidRPr="00786B9B">
        <w:t xml:space="preserve"> de la terminación, etc.</w:t>
      </w:r>
    </w:p>
    <w:p w14:paraId="6EE5BC19" w14:textId="77777777" w:rsidR="00810099" w:rsidRPr="00786B9B" w:rsidRDefault="002B21EC" w:rsidP="00D607F8">
      <w:pPr>
        <w:pStyle w:val="NORMAL12"/>
      </w:pPr>
      <w:r w:rsidRPr="00786B9B">
        <w:t>Tan pronto como sea posible, y antes de la extensión</w:t>
      </w:r>
      <w:r w:rsidR="00810099" w:rsidRPr="00786B9B">
        <w:t xml:space="preserve"> de</w:t>
      </w:r>
      <w:r w:rsidRPr="00786B9B">
        <w:t xml:space="preserve"> la siguiente capa, </w:t>
      </w:r>
      <w:r w:rsidR="00810099" w:rsidRPr="00786B9B">
        <w:t>se controlará la regularidad superficial, en t</w:t>
      </w:r>
      <w:r w:rsidRPr="00786B9B">
        <w:t>ramos de mil metros de longitud (1 000 m) mediante la determinación del Índice</w:t>
      </w:r>
      <w:r w:rsidR="00810099" w:rsidRPr="00786B9B">
        <w:t xml:space="preserve"> de Regularidad Internaci</w:t>
      </w:r>
      <w:r w:rsidRPr="00786B9B">
        <w:t>onal (IRI)</w:t>
      </w:r>
      <w:r w:rsidR="00810099" w:rsidRPr="00786B9B">
        <w:t xml:space="preserve"> (norma NLT-330), calculando un solo valor del IRI para cada hectómetro (hm) del perfil auscultado, que se asignará a dicho hectómetro (hm), y así sucesivamente hasta completar el tramo medido, que deberá cumplir lo especificado en el epígrafe 551.7.3.</w:t>
      </w:r>
    </w:p>
    <w:p w14:paraId="7E6DFA92" w14:textId="77777777" w:rsidR="00810099" w:rsidRPr="00786B9B" w:rsidRDefault="00810099" w:rsidP="000313DD">
      <w:pPr>
        <w:pStyle w:val="TITU2"/>
      </w:pPr>
      <w:bookmarkStart w:id="638" w:name="_Toc404377"/>
      <w:r w:rsidRPr="00786B9B">
        <w:t>551.10. Criterios de aceptación o rechazo</w:t>
      </w:r>
      <w:bookmarkEnd w:id="638"/>
    </w:p>
    <w:p w14:paraId="5C32BE08" w14:textId="77777777" w:rsidR="00810099" w:rsidRPr="00786B9B" w:rsidRDefault="00810099" w:rsidP="00D607F8">
      <w:pPr>
        <w:pStyle w:val="NORMAL12"/>
      </w:pPr>
      <w:r w:rsidRPr="00786B9B">
        <w:t>Los criterios de aceptación o rechazo de la unidad terminada se aplicarán sobre los lotes definidos, según lo indicado a continuación.</w:t>
      </w:r>
    </w:p>
    <w:p w14:paraId="21B110A6" w14:textId="77777777" w:rsidR="00810099" w:rsidRPr="00786B9B" w:rsidRDefault="00810099" w:rsidP="00F04B51">
      <w:pPr>
        <w:pStyle w:val="TITU3"/>
        <w:numPr>
          <w:ilvl w:val="0"/>
          <w:numId w:val="0"/>
        </w:numPr>
      </w:pPr>
      <w:r w:rsidRPr="00786B9B">
        <w:t>551.10.1. Resistencia mecánica</w:t>
      </w:r>
    </w:p>
    <w:p w14:paraId="20D87EAF" w14:textId="77777777" w:rsidR="00810099" w:rsidRPr="00786B9B" w:rsidRDefault="00810099" w:rsidP="00F04B51">
      <w:pPr>
        <w:pStyle w:val="TITU4"/>
        <w:numPr>
          <w:ilvl w:val="0"/>
          <w:numId w:val="0"/>
        </w:numPr>
        <w:ind w:left="426"/>
      </w:pPr>
      <w:r w:rsidRPr="00786B9B">
        <w:t>551.10.1.1. Ensayos de control</w:t>
      </w:r>
    </w:p>
    <w:p w14:paraId="2C80B2E7" w14:textId="77777777" w:rsidR="00810099" w:rsidRPr="00786B9B" w:rsidRDefault="00810099" w:rsidP="00D607F8">
      <w:pPr>
        <w:pStyle w:val="NORMAL12"/>
      </w:pPr>
      <w:r w:rsidRPr="00786B9B">
        <w:t xml:space="preserve">La resistencia característica estimada a </w:t>
      </w:r>
      <w:r w:rsidR="004E64BD" w:rsidRPr="00786B9B">
        <w:t>l</w:t>
      </w:r>
      <w:r w:rsidRPr="00786B9B">
        <w:t>a compresión simple para cada lote por el procedimiento fijado en este artículo, no será inferior a la exigida. Si fuera inferior, se procederá de la siguiente manera:</w:t>
      </w:r>
    </w:p>
    <w:p w14:paraId="605C0BA7" w14:textId="77777777" w:rsidR="00810099" w:rsidRPr="00786B9B" w:rsidRDefault="002B21EC" w:rsidP="00E01981">
      <w:pPr>
        <w:pStyle w:val="NORMAL12"/>
        <w:numPr>
          <w:ilvl w:val="0"/>
          <w:numId w:val="43"/>
        </w:numPr>
      </w:pPr>
      <w:r w:rsidRPr="00786B9B">
        <w:t>Si es superior o igual</w:t>
      </w:r>
      <w:r w:rsidR="00810099" w:rsidRPr="00786B9B">
        <w:t xml:space="preserve"> al </w:t>
      </w:r>
      <w:r w:rsidRPr="00786B9B">
        <w:t xml:space="preserve">noventa por ciento (≥ 90%), </w:t>
      </w:r>
      <w:r w:rsidR="00810099" w:rsidRPr="00786B9B">
        <w:t xml:space="preserve">el </w:t>
      </w:r>
      <w:r w:rsidRPr="00786B9B">
        <w:t>Contratista podrá</w:t>
      </w:r>
      <w:r w:rsidR="00810099" w:rsidRPr="00786B9B">
        <w:t xml:space="preserve"> elegir entre aceptar las sanciones previstas en el Pliego de Prescripciones Técnicas Particulares, o solicitar la realización de ensayos de información. Dichas sanciones no podrán ser inferiores a la aplicación de una penalización al precio unitario del lote, cuya cuantía sea igual al doble (2) de la merma de resistencia, expresadas ambas en proporción.</w:t>
      </w:r>
    </w:p>
    <w:p w14:paraId="4637E74D" w14:textId="77777777" w:rsidR="00810099" w:rsidRPr="00786B9B" w:rsidRDefault="002B21EC" w:rsidP="00E01981">
      <w:pPr>
        <w:pStyle w:val="NORMAL12"/>
        <w:numPr>
          <w:ilvl w:val="0"/>
          <w:numId w:val="43"/>
        </w:numPr>
        <w:rPr>
          <w:rFonts w:eastAsia="Arial"/>
          <w:sz w:val="23"/>
          <w:szCs w:val="23"/>
        </w:rPr>
      </w:pPr>
      <w:r w:rsidRPr="00786B9B">
        <w:t>Si es inferior al noventa</w:t>
      </w:r>
      <w:r w:rsidR="00810099" w:rsidRPr="00786B9B">
        <w:t xml:space="preserve"> </w:t>
      </w:r>
      <w:r w:rsidRPr="00786B9B">
        <w:t>por ciento (</w:t>
      </w:r>
      <w:r w:rsidR="00810099" w:rsidRPr="00786B9B">
        <w:t>&lt; 90%</w:t>
      </w:r>
      <w:r w:rsidRPr="00786B9B">
        <w:t>) de la exigida, se realizarán</w:t>
      </w:r>
      <w:r w:rsidR="00810099" w:rsidRPr="00786B9B">
        <w:t xml:space="preserve"> ensayos de información.</w:t>
      </w:r>
    </w:p>
    <w:p w14:paraId="69B14272" w14:textId="77777777" w:rsidR="00810099" w:rsidRPr="00786B9B" w:rsidRDefault="002B21EC" w:rsidP="00D607F8">
      <w:pPr>
        <w:pStyle w:val="NORMAL12"/>
      </w:pPr>
      <w:r w:rsidRPr="00786B9B">
        <w:t xml:space="preserve">La resistencia de cada amasada a una determinada </w:t>
      </w:r>
      <w:proofErr w:type="gramStart"/>
      <w:r w:rsidRPr="00786B9B">
        <w:t>edad,</w:t>
      </w:r>
      <w:proofErr w:type="gramEnd"/>
      <w:r w:rsidRPr="00786B9B">
        <w:t xml:space="preserve"> se determinará como</w:t>
      </w:r>
      <w:r w:rsidR="00810099" w:rsidRPr="00786B9B">
        <w:t xml:space="preserve"> media de las resistencias de las probetas fabricadas con hormigón de dicha amasada y ensayadas a dicha edad. Una vez efectuados los ensayos, se ordenarán de menor a mayor los valores medios xi obtenidos de las N amasadas controladas (</w:t>
      </w:r>
      <w:r w:rsidR="00F9475A" w:rsidRPr="00786B9B">
        <w:t>x1 ≤</w:t>
      </w:r>
      <w:r w:rsidR="00810099" w:rsidRPr="00786B9B">
        <w:t xml:space="preserve"> x2 </w:t>
      </w:r>
      <w:r w:rsidR="00F9475A" w:rsidRPr="00786B9B">
        <w:t>≤…</w:t>
      </w:r>
      <w:r w:rsidR="00810099" w:rsidRPr="00786B9B">
        <w:t xml:space="preserve"> ≤ </w:t>
      </w:r>
      <w:proofErr w:type="spellStart"/>
      <w:r w:rsidR="00810099" w:rsidRPr="00786B9B">
        <w:t>xN</w:t>
      </w:r>
      <w:proofErr w:type="spellEnd"/>
      <w:r w:rsidR="00810099" w:rsidRPr="00786B9B">
        <w:t xml:space="preserve">), se calculará su valor medio </w:t>
      </w:r>
      <w:proofErr w:type="gramStart"/>
      <w:r w:rsidR="00810099" w:rsidRPr="00786B9B">
        <w:t>( )</w:t>
      </w:r>
      <w:proofErr w:type="gramEnd"/>
      <w:r w:rsidR="00810099" w:rsidRPr="00786B9B">
        <w:t xml:space="preserve"> y el valor de su recor</w:t>
      </w:r>
      <w:r w:rsidRPr="00786B9B">
        <w:t>rido muestral, definido como la diferencia entre el mayor</w:t>
      </w:r>
      <w:r w:rsidR="00810099" w:rsidRPr="00786B9B">
        <w:t xml:space="preserve"> y</w:t>
      </w:r>
      <w:r w:rsidRPr="00786B9B">
        <w:t xml:space="preserve"> el menor valor de las resistencias </w:t>
      </w:r>
      <w:r w:rsidR="00810099" w:rsidRPr="00786B9B">
        <w:t>medi</w:t>
      </w:r>
      <w:r w:rsidRPr="00786B9B">
        <w:t>as de</w:t>
      </w:r>
      <w:r w:rsidR="00810099" w:rsidRPr="00786B9B">
        <w:t xml:space="preserve"> las amasadas controladas (</w:t>
      </w:r>
      <w:proofErr w:type="spellStart"/>
      <w:r w:rsidR="00810099" w:rsidRPr="00786B9B">
        <w:t>rN</w:t>
      </w:r>
      <w:proofErr w:type="spellEnd"/>
      <w:r w:rsidR="00810099" w:rsidRPr="00786B9B">
        <w:t xml:space="preserve"> = </w:t>
      </w:r>
      <w:proofErr w:type="spellStart"/>
      <w:r w:rsidR="00810099" w:rsidRPr="00786B9B">
        <w:t>xN</w:t>
      </w:r>
      <w:proofErr w:type="spellEnd"/>
      <w:r w:rsidR="00810099" w:rsidRPr="00786B9B">
        <w:t xml:space="preserve"> – x1). A partir de estos valores, se</w:t>
      </w:r>
      <w:r w:rsidRPr="00786B9B">
        <w:t xml:space="preserve"> podrá estimar la resistencia característica mediante la siguiente expresión,</w:t>
      </w:r>
      <w:r w:rsidR="00810099" w:rsidRPr="00786B9B">
        <w:t xml:space="preserve"> </w:t>
      </w:r>
      <w:r w:rsidRPr="00786B9B">
        <w:t>en la que K es el</w:t>
      </w:r>
      <w:r w:rsidR="00810099" w:rsidRPr="00786B9B">
        <w:t xml:space="preserve"> coeficiente indicado en la tabla 551.7.</w:t>
      </w:r>
    </w:p>
    <w:p w14:paraId="504F0893" w14:textId="77777777" w:rsidR="004E64BD" w:rsidRPr="00786B9B" w:rsidRDefault="004E64BD" w:rsidP="002B21EC">
      <w:pPr>
        <w:keepNext/>
        <w:tabs>
          <w:tab w:val="left" w:pos="5800"/>
        </w:tabs>
        <w:ind w:left="3402" w:right="3684"/>
        <w:jc w:val="center"/>
        <w:rPr>
          <w:rFonts w:ascii="Arial" w:eastAsia="Arial" w:hAnsi="Arial" w:cs="Arial"/>
          <w:sz w:val="15"/>
          <w:szCs w:val="15"/>
        </w:rPr>
      </w:pPr>
      <w:proofErr w:type="gramStart"/>
      <w:r w:rsidRPr="00786B9B">
        <w:rPr>
          <w:rFonts w:ascii="Arial" w:eastAsia="Arial" w:hAnsi="Arial" w:cs="Arial"/>
          <w:position w:val="3"/>
          <w:sz w:val="23"/>
          <w:szCs w:val="23"/>
        </w:rPr>
        <w:t>f</w:t>
      </w:r>
      <w:proofErr w:type="spellStart"/>
      <w:r w:rsidRPr="00786B9B">
        <w:rPr>
          <w:rFonts w:ascii="Arial" w:eastAsia="Arial" w:hAnsi="Arial" w:cs="Arial"/>
          <w:sz w:val="15"/>
          <w:szCs w:val="15"/>
        </w:rPr>
        <w:t>ck,estima</w:t>
      </w:r>
      <w:proofErr w:type="spellEnd"/>
      <w:proofErr w:type="gramEnd"/>
      <w:r w:rsidRPr="00786B9B">
        <w:rPr>
          <w:rFonts w:ascii="Arial" w:eastAsia="Arial" w:hAnsi="Arial" w:cs="Arial"/>
          <w:sz w:val="15"/>
          <w:szCs w:val="15"/>
        </w:rPr>
        <w:t xml:space="preserve">= </w:t>
      </w:r>
      <w:r w:rsidRPr="00786B9B">
        <w:rPr>
          <w:rFonts w:ascii="Arial" w:eastAsia="Arial" w:hAnsi="Arial" w:cs="Arial"/>
          <w:position w:val="3"/>
          <w:sz w:val="23"/>
          <w:szCs w:val="23"/>
        </w:rPr>
        <w:t xml:space="preserve">= X- </w:t>
      </w:r>
      <w:proofErr w:type="spellStart"/>
      <w:r w:rsidRPr="00786B9B">
        <w:rPr>
          <w:rFonts w:ascii="Arial" w:eastAsia="Arial" w:hAnsi="Arial" w:cs="Arial"/>
          <w:position w:val="3"/>
          <w:sz w:val="23"/>
          <w:szCs w:val="23"/>
        </w:rPr>
        <w:t>K·r</w:t>
      </w:r>
      <w:proofErr w:type="spellEnd"/>
      <w:r w:rsidRPr="00786B9B">
        <w:rPr>
          <w:rFonts w:ascii="Arial" w:eastAsia="Arial" w:hAnsi="Arial" w:cs="Arial"/>
          <w:sz w:val="15"/>
          <w:szCs w:val="15"/>
        </w:rPr>
        <w:t>N</w:t>
      </w:r>
    </w:p>
    <w:p w14:paraId="0308BE3B" w14:textId="77777777" w:rsidR="00810099" w:rsidRPr="00786B9B" w:rsidRDefault="00810099" w:rsidP="002B21EC">
      <w:pPr>
        <w:pStyle w:val="NORMAL12"/>
        <w:keepNext/>
        <w:jc w:val="center"/>
        <w:rPr>
          <w:sz w:val="20"/>
          <w:szCs w:val="20"/>
          <w:lang w:val="es-ES"/>
        </w:rPr>
      </w:pPr>
      <w:r w:rsidRPr="00786B9B">
        <w:rPr>
          <w:sz w:val="20"/>
          <w:szCs w:val="20"/>
          <w:lang w:val="es-ES"/>
        </w:rPr>
        <w:t>Tabla 551.7.- Coeficiente multiplicados en función del número de amasadas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3163"/>
        <w:gridCol w:w="3377"/>
      </w:tblGrid>
      <w:tr w:rsidR="005864C2" w:rsidRPr="00786B9B" w14:paraId="49879FC8" w14:textId="77777777" w:rsidTr="004E64BD">
        <w:trPr>
          <w:trHeight w:hRule="exact" w:val="722"/>
          <w:jc w:val="center"/>
        </w:trPr>
        <w:tc>
          <w:tcPr>
            <w:tcW w:w="3163" w:type="dxa"/>
            <w:shd w:val="clear" w:color="auto" w:fill="D9D9D9" w:themeFill="background1" w:themeFillShade="D9"/>
          </w:tcPr>
          <w:p w14:paraId="01769436" w14:textId="77777777" w:rsidR="00810099" w:rsidRPr="00786B9B" w:rsidRDefault="00810099" w:rsidP="004D147E">
            <w:pPr>
              <w:spacing w:before="10" w:line="110" w:lineRule="exact"/>
              <w:rPr>
                <w:sz w:val="11"/>
                <w:szCs w:val="11"/>
              </w:rPr>
            </w:pPr>
          </w:p>
          <w:p w14:paraId="3D2086A1" w14:textId="77777777" w:rsidR="00810099" w:rsidRPr="00786B9B" w:rsidRDefault="00810099" w:rsidP="0046359B">
            <w:pPr>
              <w:spacing w:line="228" w:lineRule="exact"/>
              <w:ind w:right="130"/>
              <w:jc w:val="center"/>
              <w:rPr>
                <w:rFonts w:ascii="Arial" w:eastAsia="Arial" w:hAnsi="Arial" w:cs="Arial"/>
                <w:sz w:val="20"/>
                <w:szCs w:val="20"/>
              </w:rPr>
            </w:pPr>
            <w:r w:rsidRPr="00786B9B">
              <w:rPr>
                <w:rFonts w:ascii="Arial" w:eastAsia="Arial" w:hAnsi="Arial" w:cs="Arial"/>
                <w:b/>
                <w:bCs/>
                <w:sz w:val="20"/>
                <w:szCs w:val="20"/>
              </w:rPr>
              <w:t>N</w:t>
            </w:r>
            <w:r w:rsidR="0046359B">
              <w:rPr>
                <w:rFonts w:ascii="Arial" w:eastAsia="Arial" w:hAnsi="Arial" w:cs="Arial"/>
                <w:b/>
                <w:bCs/>
                <w:sz w:val="20"/>
                <w:szCs w:val="20"/>
              </w:rPr>
              <w:t>úmero de amasadas controladas en el lote</w:t>
            </w:r>
          </w:p>
        </w:tc>
        <w:tc>
          <w:tcPr>
            <w:tcW w:w="3377" w:type="dxa"/>
            <w:shd w:val="clear" w:color="auto" w:fill="D9D9D9" w:themeFill="background1" w:themeFillShade="D9"/>
          </w:tcPr>
          <w:p w14:paraId="23D9A301" w14:textId="77777777" w:rsidR="00810099" w:rsidRPr="00786B9B" w:rsidRDefault="00810099" w:rsidP="004D147E">
            <w:pPr>
              <w:spacing w:before="8" w:line="130" w:lineRule="exact"/>
              <w:rPr>
                <w:sz w:val="13"/>
                <w:szCs w:val="13"/>
              </w:rPr>
            </w:pPr>
          </w:p>
          <w:p w14:paraId="6F4F1FE6" w14:textId="77777777" w:rsidR="00810099" w:rsidRPr="00786B9B" w:rsidRDefault="00810099" w:rsidP="004D147E">
            <w:pPr>
              <w:ind w:left="1548" w:right="1522"/>
              <w:jc w:val="center"/>
              <w:rPr>
                <w:rFonts w:ascii="Arial" w:eastAsia="Arial" w:hAnsi="Arial" w:cs="Arial"/>
                <w:sz w:val="23"/>
                <w:szCs w:val="23"/>
              </w:rPr>
            </w:pPr>
            <w:r w:rsidRPr="00786B9B">
              <w:rPr>
                <w:rFonts w:ascii="Arial" w:eastAsia="Arial" w:hAnsi="Arial" w:cs="Arial"/>
                <w:b/>
                <w:bCs/>
                <w:sz w:val="23"/>
                <w:szCs w:val="23"/>
              </w:rPr>
              <w:t>K</w:t>
            </w:r>
          </w:p>
        </w:tc>
      </w:tr>
      <w:tr w:rsidR="005864C2" w:rsidRPr="00786B9B" w14:paraId="6265E770" w14:textId="77777777" w:rsidTr="004E64BD">
        <w:trPr>
          <w:trHeight w:hRule="exact" w:val="485"/>
          <w:jc w:val="center"/>
        </w:trPr>
        <w:tc>
          <w:tcPr>
            <w:tcW w:w="3163" w:type="dxa"/>
          </w:tcPr>
          <w:p w14:paraId="7309A4C7" w14:textId="77777777" w:rsidR="00810099" w:rsidRPr="00786B9B" w:rsidRDefault="00810099" w:rsidP="004D147E">
            <w:pPr>
              <w:spacing w:before="3" w:line="110" w:lineRule="exact"/>
              <w:rPr>
                <w:sz w:val="11"/>
                <w:szCs w:val="11"/>
              </w:rPr>
            </w:pPr>
          </w:p>
          <w:p w14:paraId="5403606D" w14:textId="77777777" w:rsidR="00810099" w:rsidRPr="00786B9B" w:rsidRDefault="00810099" w:rsidP="004D147E">
            <w:pPr>
              <w:ind w:left="1476" w:right="1455"/>
              <w:jc w:val="center"/>
              <w:rPr>
                <w:rFonts w:ascii="Arial" w:eastAsia="Arial" w:hAnsi="Arial" w:cs="Arial"/>
                <w:sz w:val="20"/>
                <w:szCs w:val="20"/>
              </w:rPr>
            </w:pPr>
            <w:r w:rsidRPr="00786B9B">
              <w:rPr>
                <w:rFonts w:ascii="Arial" w:eastAsia="Arial" w:hAnsi="Arial" w:cs="Arial"/>
                <w:sz w:val="20"/>
                <w:szCs w:val="20"/>
              </w:rPr>
              <w:t>2</w:t>
            </w:r>
          </w:p>
        </w:tc>
        <w:tc>
          <w:tcPr>
            <w:tcW w:w="3377" w:type="dxa"/>
          </w:tcPr>
          <w:p w14:paraId="20971270" w14:textId="77777777" w:rsidR="00810099" w:rsidRPr="00786B9B" w:rsidRDefault="00810099" w:rsidP="004D147E">
            <w:pPr>
              <w:spacing w:before="3" w:line="110" w:lineRule="exact"/>
              <w:rPr>
                <w:sz w:val="11"/>
                <w:szCs w:val="11"/>
              </w:rPr>
            </w:pPr>
          </w:p>
          <w:p w14:paraId="5EAB082F" w14:textId="77777777" w:rsidR="00810099" w:rsidRPr="00786B9B" w:rsidRDefault="00810099" w:rsidP="004D147E">
            <w:pPr>
              <w:ind w:left="1445" w:right="1424"/>
              <w:jc w:val="center"/>
              <w:rPr>
                <w:rFonts w:ascii="Arial" w:eastAsia="Arial" w:hAnsi="Arial" w:cs="Arial"/>
                <w:sz w:val="20"/>
                <w:szCs w:val="20"/>
              </w:rPr>
            </w:pPr>
            <w:r w:rsidRPr="00786B9B">
              <w:rPr>
                <w:rFonts w:ascii="Arial" w:eastAsia="Arial" w:hAnsi="Arial" w:cs="Arial"/>
                <w:sz w:val="20"/>
                <w:szCs w:val="20"/>
              </w:rPr>
              <w:t>1,65</w:t>
            </w:r>
          </w:p>
        </w:tc>
      </w:tr>
      <w:tr w:rsidR="005864C2" w:rsidRPr="00786B9B" w14:paraId="74D17068" w14:textId="77777777" w:rsidTr="004E64BD">
        <w:trPr>
          <w:trHeight w:hRule="exact" w:val="478"/>
          <w:jc w:val="center"/>
        </w:trPr>
        <w:tc>
          <w:tcPr>
            <w:tcW w:w="3163" w:type="dxa"/>
          </w:tcPr>
          <w:p w14:paraId="7A6C90E5" w14:textId="77777777" w:rsidR="00810099" w:rsidRPr="00786B9B" w:rsidRDefault="00810099" w:rsidP="004D147E">
            <w:pPr>
              <w:spacing w:before="3" w:line="110" w:lineRule="exact"/>
              <w:rPr>
                <w:sz w:val="11"/>
                <w:szCs w:val="11"/>
              </w:rPr>
            </w:pPr>
          </w:p>
          <w:p w14:paraId="31FF9FE5" w14:textId="77777777" w:rsidR="00810099" w:rsidRPr="00786B9B" w:rsidRDefault="00810099" w:rsidP="004D147E">
            <w:pPr>
              <w:ind w:left="1476" w:right="1455"/>
              <w:jc w:val="center"/>
              <w:rPr>
                <w:rFonts w:ascii="Arial" w:eastAsia="Arial" w:hAnsi="Arial" w:cs="Arial"/>
                <w:sz w:val="20"/>
                <w:szCs w:val="20"/>
              </w:rPr>
            </w:pPr>
            <w:r w:rsidRPr="00786B9B">
              <w:rPr>
                <w:rFonts w:ascii="Arial" w:eastAsia="Arial" w:hAnsi="Arial" w:cs="Arial"/>
                <w:sz w:val="20"/>
                <w:szCs w:val="20"/>
              </w:rPr>
              <w:t>3</w:t>
            </w:r>
          </w:p>
        </w:tc>
        <w:tc>
          <w:tcPr>
            <w:tcW w:w="3377" w:type="dxa"/>
          </w:tcPr>
          <w:p w14:paraId="36A5F407" w14:textId="77777777" w:rsidR="00810099" w:rsidRPr="00786B9B" w:rsidRDefault="00810099" w:rsidP="004D147E">
            <w:pPr>
              <w:spacing w:before="3" w:line="110" w:lineRule="exact"/>
              <w:rPr>
                <w:sz w:val="11"/>
                <w:szCs w:val="11"/>
              </w:rPr>
            </w:pPr>
          </w:p>
          <w:p w14:paraId="178F703C" w14:textId="77777777" w:rsidR="00810099" w:rsidRPr="00786B9B" w:rsidRDefault="00810099" w:rsidP="004D147E">
            <w:pPr>
              <w:ind w:left="1445" w:right="1424"/>
              <w:jc w:val="center"/>
              <w:rPr>
                <w:rFonts w:ascii="Arial" w:eastAsia="Arial" w:hAnsi="Arial" w:cs="Arial"/>
                <w:sz w:val="20"/>
                <w:szCs w:val="20"/>
              </w:rPr>
            </w:pPr>
            <w:r w:rsidRPr="00786B9B">
              <w:rPr>
                <w:rFonts w:ascii="Arial" w:eastAsia="Arial" w:hAnsi="Arial" w:cs="Arial"/>
                <w:sz w:val="20"/>
                <w:szCs w:val="20"/>
              </w:rPr>
              <w:t>1,02</w:t>
            </w:r>
          </w:p>
        </w:tc>
      </w:tr>
      <w:tr w:rsidR="005864C2" w:rsidRPr="00786B9B" w14:paraId="4AE735E9" w14:textId="77777777" w:rsidTr="004E64BD">
        <w:trPr>
          <w:trHeight w:hRule="exact" w:val="480"/>
          <w:jc w:val="center"/>
        </w:trPr>
        <w:tc>
          <w:tcPr>
            <w:tcW w:w="3163" w:type="dxa"/>
          </w:tcPr>
          <w:p w14:paraId="21D231FB" w14:textId="77777777" w:rsidR="00810099" w:rsidRPr="00786B9B" w:rsidRDefault="00810099" w:rsidP="004D147E">
            <w:pPr>
              <w:spacing w:before="3" w:line="110" w:lineRule="exact"/>
              <w:rPr>
                <w:sz w:val="11"/>
                <w:szCs w:val="11"/>
              </w:rPr>
            </w:pPr>
          </w:p>
          <w:p w14:paraId="17D428C0" w14:textId="77777777" w:rsidR="00810099" w:rsidRPr="00786B9B" w:rsidRDefault="00810099" w:rsidP="004D147E">
            <w:pPr>
              <w:ind w:left="1476" w:right="1450"/>
              <w:jc w:val="center"/>
              <w:rPr>
                <w:rFonts w:ascii="Arial" w:eastAsia="Arial" w:hAnsi="Arial" w:cs="Arial"/>
                <w:sz w:val="20"/>
                <w:szCs w:val="20"/>
              </w:rPr>
            </w:pPr>
            <w:r w:rsidRPr="00786B9B">
              <w:rPr>
                <w:rFonts w:ascii="Arial" w:eastAsia="Arial" w:hAnsi="Arial" w:cs="Arial"/>
                <w:sz w:val="20"/>
                <w:szCs w:val="20"/>
              </w:rPr>
              <w:t>4</w:t>
            </w:r>
          </w:p>
        </w:tc>
        <w:tc>
          <w:tcPr>
            <w:tcW w:w="3377" w:type="dxa"/>
          </w:tcPr>
          <w:p w14:paraId="412C1AED" w14:textId="77777777" w:rsidR="00810099" w:rsidRPr="00786B9B" w:rsidRDefault="00810099" w:rsidP="004D147E">
            <w:pPr>
              <w:spacing w:before="3" w:line="110" w:lineRule="exact"/>
              <w:rPr>
                <w:sz w:val="11"/>
                <w:szCs w:val="11"/>
              </w:rPr>
            </w:pPr>
          </w:p>
          <w:p w14:paraId="5411D362" w14:textId="77777777" w:rsidR="00810099" w:rsidRPr="00786B9B" w:rsidRDefault="00810099" w:rsidP="004D147E">
            <w:pPr>
              <w:ind w:left="1440" w:right="1424"/>
              <w:jc w:val="center"/>
              <w:rPr>
                <w:rFonts w:ascii="Arial" w:eastAsia="Arial" w:hAnsi="Arial" w:cs="Arial"/>
                <w:sz w:val="20"/>
                <w:szCs w:val="20"/>
              </w:rPr>
            </w:pPr>
            <w:r w:rsidRPr="00786B9B">
              <w:rPr>
                <w:rFonts w:ascii="Arial" w:eastAsia="Arial" w:hAnsi="Arial" w:cs="Arial"/>
                <w:sz w:val="20"/>
                <w:szCs w:val="20"/>
              </w:rPr>
              <w:t>0,82</w:t>
            </w:r>
          </w:p>
        </w:tc>
      </w:tr>
      <w:tr w:rsidR="005864C2" w:rsidRPr="00786B9B" w14:paraId="3FEDDDCA" w14:textId="77777777" w:rsidTr="004E64BD">
        <w:trPr>
          <w:trHeight w:hRule="exact" w:val="480"/>
          <w:jc w:val="center"/>
        </w:trPr>
        <w:tc>
          <w:tcPr>
            <w:tcW w:w="3163" w:type="dxa"/>
          </w:tcPr>
          <w:p w14:paraId="230C0749" w14:textId="77777777" w:rsidR="00810099" w:rsidRPr="00786B9B" w:rsidRDefault="00810099" w:rsidP="004D147E">
            <w:pPr>
              <w:spacing w:before="3" w:line="110" w:lineRule="exact"/>
              <w:rPr>
                <w:sz w:val="11"/>
                <w:szCs w:val="11"/>
              </w:rPr>
            </w:pPr>
          </w:p>
          <w:p w14:paraId="1F80349E" w14:textId="77777777" w:rsidR="00810099" w:rsidRPr="00786B9B" w:rsidRDefault="00810099" w:rsidP="004D147E">
            <w:pPr>
              <w:ind w:left="1476" w:right="1455"/>
              <w:jc w:val="center"/>
              <w:rPr>
                <w:rFonts w:ascii="Arial" w:eastAsia="Arial" w:hAnsi="Arial" w:cs="Arial"/>
                <w:sz w:val="20"/>
                <w:szCs w:val="20"/>
              </w:rPr>
            </w:pPr>
            <w:r w:rsidRPr="00786B9B">
              <w:rPr>
                <w:rFonts w:ascii="Arial" w:eastAsia="Arial" w:hAnsi="Arial" w:cs="Arial"/>
                <w:sz w:val="20"/>
                <w:szCs w:val="20"/>
              </w:rPr>
              <w:t>5</w:t>
            </w:r>
          </w:p>
        </w:tc>
        <w:tc>
          <w:tcPr>
            <w:tcW w:w="3377" w:type="dxa"/>
          </w:tcPr>
          <w:p w14:paraId="146F549D" w14:textId="77777777" w:rsidR="00810099" w:rsidRPr="00786B9B" w:rsidRDefault="00810099" w:rsidP="004D147E">
            <w:pPr>
              <w:spacing w:before="3" w:line="110" w:lineRule="exact"/>
              <w:rPr>
                <w:sz w:val="11"/>
                <w:szCs w:val="11"/>
              </w:rPr>
            </w:pPr>
          </w:p>
          <w:p w14:paraId="0E0DBBE4" w14:textId="77777777" w:rsidR="00810099" w:rsidRPr="00786B9B" w:rsidRDefault="00810099" w:rsidP="004D147E">
            <w:pPr>
              <w:ind w:left="1445" w:right="1424"/>
              <w:jc w:val="center"/>
              <w:rPr>
                <w:rFonts w:ascii="Arial" w:eastAsia="Arial" w:hAnsi="Arial" w:cs="Arial"/>
                <w:sz w:val="20"/>
                <w:szCs w:val="20"/>
              </w:rPr>
            </w:pPr>
            <w:r w:rsidRPr="00786B9B">
              <w:rPr>
                <w:rFonts w:ascii="Arial" w:eastAsia="Arial" w:hAnsi="Arial" w:cs="Arial"/>
                <w:sz w:val="20"/>
                <w:szCs w:val="20"/>
              </w:rPr>
              <w:t>0,72</w:t>
            </w:r>
          </w:p>
        </w:tc>
      </w:tr>
      <w:tr w:rsidR="00810099" w:rsidRPr="00786B9B" w14:paraId="402DCDA2" w14:textId="77777777" w:rsidTr="004E64BD">
        <w:trPr>
          <w:trHeight w:hRule="exact" w:val="487"/>
          <w:jc w:val="center"/>
        </w:trPr>
        <w:tc>
          <w:tcPr>
            <w:tcW w:w="3163" w:type="dxa"/>
          </w:tcPr>
          <w:p w14:paraId="23625E8F" w14:textId="77777777" w:rsidR="00810099" w:rsidRPr="00786B9B" w:rsidRDefault="00810099" w:rsidP="004D147E">
            <w:pPr>
              <w:spacing w:before="3" w:line="110" w:lineRule="exact"/>
              <w:rPr>
                <w:sz w:val="11"/>
                <w:szCs w:val="11"/>
              </w:rPr>
            </w:pPr>
          </w:p>
          <w:p w14:paraId="0FD25511" w14:textId="77777777" w:rsidR="00810099" w:rsidRPr="00786B9B" w:rsidRDefault="00810099" w:rsidP="004D147E">
            <w:pPr>
              <w:ind w:left="1476" w:right="1455"/>
              <w:jc w:val="center"/>
              <w:rPr>
                <w:rFonts w:ascii="Arial" w:eastAsia="Arial" w:hAnsi="Arial" w:cs="Arial"/>
                <w:sz w:val="20"/>
                <w:szCs w:val="20"/>
              </w:rPr>
            </w:pPr>
            <w:r w:rsidRPr="00786B9B">
              <w:rPr>
                <w:rFonts w:ascii="Arial" w:eastAsia="Arial" w:hAnsi="Arial" w:cs="Arial"/>
                <w:sz w:val="20"/>
                <w:szCs w:val="20"/>
              </w:rPr>
              <w:t>6</w:t>
            </w:r>
          </w:p>
        </w:tc>
        <w:tc>
          <w:tcPr>
            <w:tcW w:w="3377" w:type="dxa"/>
          </w:tcPr>
          <w:p w14:paraId="13161ABC" w14:textId="77777777" w:rsidR="00810099" w:rsidRPr="00786B9B" w:rsidRDefault="00810099" w:rsidP="004D147E">
            <w:pPr>
              <w:spacing w:before="3" w:line="110" w:lineRule="exact"/>
              <w:rPr>
                <w:sz w:val="11"/>
                <w:szCs w:val="11"/>
              </w:rPr>
            </w:pPr>
          </w:p>
          <w:p w14:paraId="520C628E" w14:textId="77777777" w:rsidR="00810099" w:rsidRPr="00786B9B" w:rsidRDefault="00810099" w:rsidP="004D147E">
            <w:pPr>
              <w:ind w:left="1445" w:right="1424"/>
              <w:jc w:val="center"/>
              <w:rPr>
                <w:rFonts w:ascii="Arial" w:eastAsia="Arial" w:hAnsi="Arial" w:cs="Arial"/>
                <w:sz w:val="20"/>
                <w:szCs w:val="20"/>
              </w:rPr>
            </w:pPr>
            <w:r w:rsidRPr="00786B9B">
              <w:rPr>
                <w:rFonts w:ascii="Arial" w:eastAsia="Arial" w:hAnsi="Arial" w:cs="Arial"/>
                <w:sz w:val="20"/>
                <w:szCs w:val="20"/>
              </w:rPr>
              <w:t>0,66</w:t>
            </w:r>
          </w:p>
        </w:tc>
      </w:tr>
    </w:tbl>
    <w:p w14:paraId="383696D8" w14:textId="77777777" w:rsidR="00810099" w:rsidRPr="00786B9B" w:rsidRDefault="00810099" w:rsidP="00F04B51">
      <w:pPr>
        <w:pStyle w:val="TITU3"/>
        <w:numPr>
          <w:ilvl w:val="0"/>
          <w:numId w:val="0"/>
        </w:numPr>
      </w:pPr>
      <w:r w:rsidRPr="00786B9B">
        <w:lastRenderedPageBreak/>
        <w:t>551.10.2. Espesor</w:t>
      </w:r>
    </w:p>
    <w:p w14:paraId="2145B1E4" w14:textId="77777777" w:rsidR="00810099" w:rsidRPr="00786B9B" w:rsidRDefault="00810099" w:rsidP="00D607F8">
      <w:pPr>
        <w:pStyle w:val="NORMAL12"/>
      </w:pPr>
      <w:r w:rsidRPr="00786B9B">
        <w:t xml:space="preserve">El espesor medio obtenido no deberá ser inferior al especificado en el Pliego de </w:t>
      </w:r>
      <w:r w:rsidR="002B21EC" w:rsidRPr="00786B9B">
        <w:t>Prescripciones Técnicas Particulares o en los Planos de secciones tipo</w:t>
      </w:r>
      <w:r w:rsidRPr="00786B9B">
        <w:t xml:space="preserve">. </w:t>
      </w:r>
      <w:r w:rsidR="002B21EC" w:rsidRPr="00786B9B">
        <w:t>Si fuera</w:t>
      </w:r>
      <w:r w:rsidRPr="00786B9B">
        <w:t xml:space="preserve"> inferior</w:t>
      </w:r>
      <w:r w:rsidR="002B21EC" w:rsidRPr="00786B9B">
        <w:t>, se</w:t>
      </w:r>
      <w:r w:rsidRPr="00786B9B">
        <w:t xml:space="preserve"> procederá de la siguiente manera:</w:t>
      </w:r>
    </w:p>
    <w:p w14:paraId="09C62E01" w14:textId="77777777" w:rsidR="00810099" w:rsidRPr="00786B9B" w:rsidRDefault="00810099" w:rsidP="00E01981">
      <w:pPr>
        <w:pStyle w:val="NORMAL12"/>
        <w:numPr>
          <w:ilvl w:val="0"/>
          <w:numId w:val="45"/>
        </w:numPr>
      </w:pPr>
      <w:r w:rsidRPr="00786B9B">
        <w:t>Si es superior al noventa por ciento (&gt; 90%) del especificado, se compensará la diferencia con un espesor adicional equivalente de la capa superior aplicado en toda la anchura de la sección tipo, por cuenta del Contratista.</w:t>
      </w:r>
    </w:p>
    <w:p w14:paraId="12DF9C5B" w14:textId="77777777" w:rsidR="00810099" w:rsidRPr="00786B9B" w:rsidRDefault="00810099" w:rsidP="00E01981">
      <w:pPr>
        <w:pStyle w:val="NORMAL12"/>
        <w:numPr>
          <w:ilvl w:val="0"/>
          <w:numId w:val="45"/>
        </w:numPr>
      </w:pPr>
      <w:r w:rsidRPr="00786B9B">
        <w:t>Si es inferior al noventa por ciento (&lt; 90%) del especificado</w:t>
      </w:r>
      <w:r w:rsidR="002B21EC" w:rsidRPr="00786B9B">
        <w:t>, se</w:t>
      </w:r>
      <w:r w:rsidRPr="00786B9B">
        <w:t xml:space="preserve"> demolerá la </w:t>
      </w:r>
      <w:r w:rsidR="002B21EC" w:rsidRPr="00786B9B">
        <w:t>capa correspondiente al lote controlado y se repondrá, por cuenta del</w:t>
      </w:r>
      <w:r w:rsidRPr="00786B9B">
        <w:t xml:space="preserve"> Contratista. El producto resultante de la demolición será tratado como residuo </w:t>
      </w:r>
      <w:r w:rsidR="002B21EC" w:rsidRPr="00786B9B">
        <w:t>de construcción y demolición, según la legislación ambiental</w:t>
      </w:r>
      <w:r w:rsidRPr="00786B9B">
        <w:t xml:space="preserve"> vigente</w:t>
      </w:r>
      <w:r w:rsidR="002B21EC" w:rsidRPr="00786B9B">
        <w:t>, o</w:t>
      </w:r>
      <w:r w:rsidRPr="00786B9B">
        <w:t xml:space="preserve"> empleado como indique el </w:t>
      </w:r>
      <w:proofErr w:type="gramStart"/>
      <w:r w:rsidRPr="00786B9B">
        <w:t>Director</w:t>
      </w:r>
      <w:proofErr w:type="gramEnd"/>
      <w:r w:rsidRPr="00786B9B">
        <w:t xml:space="preserve"> de las Obras, a cargo del Contratista.</w:t>
      </w:r>
    </w:p>
    <w:p w14:paraId="277E072F" w14:textId="77777777" w:rsidR="00810099" w:rsidRPr="00786B9B" w:rsidRDefault="00810099" w:rsidP="00D607F8">
      <w:pPr>
        <w:pStyle w:val="NORMAL12"/>
      </w:pPr>
      <w:r w:rsidRPr="00786B9B">
        <w:t>Adicionalmente</w:t>
      </w:r>
      <w:r w:rsidR="002B21EC" w:rsidRPr="00786B9B">
        <w:t>, no</w:t>
      </w:r>
      <w:r w:rsidRPr="00786B9B">
        <w:t xml:space="preserve"> se admitirá</w:t>
      </w:r>
      <w:r w:rsidR="002B21EC" w:rsidRPr="00786B9B">
        <w:t xml:space="preserve"> que más de dos (</w:t>
      </w:r>
      <w:r w:rsidRPr="00786B9B">
        <w:t xml:space="preserve">2) individuos </w:t>
      </w:r>
      <w:r w:rsidR="002B21EC" w:rsidRPr="00786B9B">
        <w:t>de la muestra</w:t>
      </w:r>
      <w:r w:rsidRPr="00786B9B">
        <w:t xml:space="preserve"> ensayada presenten resultados individuales inferiores al </w:t>
      </w:r>
      <w:r w:rsidR="002B21EC" w:rsidRPr="00786B9B">
        <w:t>especificado en</w:t>
      </w:r>
      <w:r w:rsidRPr="00786B9B">
        <w:t xml:space="preserve"> más de un cinco por ciento (&gt; 5%) De no cumplirse esta condición se dividirá el lote en dos (2) partes iguales y se tomarán testigos de cada una de ellas, aplicándose los criterios descritos en este epígrafe.</w:t>
      </w:r>
    </w:p>
    <w:p w14:paraId="28E64B6D" w14:textId="77777777" w:rsidR="00810099" w:rsidRPr="00786B9B" w:rsidRDefault="00810099" w:rsidP="00F04B51">
      <w:pPr>
        <w:pStyle w:val="TITU3"/>
        <w:numPr>
          <w:ilvl w:val="0"/>
          <w:numId w:val="0"/>
        </w:numPr>
      </w:pPr>
      <w:r w:rsidRPr="00786B9B">
        <w:t>551.10.3. Rasante</w:t>
      </w:r>
    </w:p>
    <w:p w14:paraId="25E854AA" w14:textId="77777777" w:rsidR="00810099" w:rsidRPr="00786B9B" w:rsidRDefault="00810099" w:rsidP="00D607F8">
      <w:pPr>
        <w:pStyle w:val="NORMAL12"/>
      </w:pPr>
      <w:r w:rsidRPr="00786B9B">
        <w:t xml:space="preserve">Las </w:t>
      </w:r>
      <w:r w:rsidR="002B21EC" w:rsidRPr="00786B9B">
        <w:t>diferencias de</w:t>
      </w:r>
      <w:r w:rsidRPr="00786B9B">
        <w:t xml:space="preserve"> cota entre la superficie obtenida y la </w:t>
      </w:r>
      <w:r w:rsidR="002B21EC" w:rsidRPr="00786B9B">
        <w:t>teórica establecida en</w:t>
      </w:r>
      <w:r w:rsidRPr="00786B9B">
        <w:t xml:space="preserve"> los</w:t>
      </w:r>
      <w:r w:rsidR="00D607F8" w:rsidRPr="00786B9B">
        <w:t xml:space="preserve"> </w:t>
      </w:r>
      <w:r w:rsidR="002B21EC" w:rsidRPr="00786B9B">
        <w:t>Planos del</w:t>
      </w:r>
      <w:r w:rsidRPr="00786B9B">
        <w:t xml:space="preserve"> Proyecto no excederán de las tolerancias </w:t>
      </w:r>
      <w:r w:rsidR="002B21EC" w:rsidRPr="00786B9B">
        <w:t>especificadas en</w:t>
      </w:r>
      <w:r w:rsidRPr="00786B9B">
        <w:t xml:space="preserve"> el epígrafe</w:t>
      </w:r>
      <w:r w:rsidR="00D607F8" w:rsidRPr="00786B9B">
        <w:t xml:space="preserve"> </w:t>
      </w:r>
      <w:r w:rsidRPr="00786B9B">
        <w:t>551.7.2, ni existirán zonas que retengan agua.</w:t>
      </w:r>
    </w:p>
    <w:p w14:paraId="5D04BCD9" w14:textId="77777777" w:rsidR="00810099" w:rsidRPr="00786B9B" w:rsidRDefault="002B21EC" w:rsidP="00E01981">
      <w:pPr>
        <w:pStyle w:val="NORMAL12"/>
        <w:numPr>
          <w:ilvl w:val="0"/>
          <w:numId w:val="43"/>
        </w:numPr>
      </w:pPr>
      <w:r w:rsidRPr="00786B9B">
        <w:t>Cuando la tolerancia sea rebasada por defecto y no existan problemas de encharcamiento,</w:t>
      </w:r>
      <w:r w:rsidR="00810099" w:rsidRPr="00786B9B">
        <w:t xml:space="preserve"> el </w:t>
      </w:r>
      <w:proofErr w:type="gramStart"/>
      <w:r w:rsidR="00810099" w:rsidRPr="00786B9B">
        <w:t>Director</w:t>
      </w:r>
      <w:proofErr w:type="gramEnd"/>
      <w:r w:rsidR="00810099" w:rsidRPr="00786B9B">
        <w:t xml:space="preserve"> de las Obras podrá aceptar la superficie siempre que la capa superior a ella compense la merma con el espesor adicional necesario sin incremento de coste para la Administración</w:t>
      </w:r>
    </w:p>
    <w:p w14:paraId="19CDA86D" w14:textId="77777777" w:rsidR="00810099" w:rsidRDefault="002B21EC" w:rsidP="00E01981">
      <w:pPr>
        <w:pStyle w:val="NORMAL12"/>
        <w:numPr>
          <w:ilvl w:val="0"/>
          <w:numId w:val="43"/>
        </w:numPr>
      </w:pPr>
      <w:r w:rsidRPr="00786B9B">
        <w:t xml:space="preserve">Cuando la tolerancia sea rebasada por </w:t>
      </w:r>
      <w:r w:rsidR="00810099" w:rsidRPr="00786B9B">
        <w:t>exceso</w:t>
      </w:r>
      <w:r w:rsidRPr="00786B9B">
        <w:t>, se corregirá el exceso</w:t>
      </w:r>
      <w:r w:rsidR="00810099" w:rsidRPr="00786B9B">
        <w:t xml:space="preserve"> mediante fresado por cuenta del Contratista siempre que no suponga una reducción del </w:t>
      </w:r>
      <w:r w:rsidRPr="00786B9B">
        <w:t>espesor de</w:t>
      </w:r>
      <w:r w:rsidR="00810099" w:rsidRPr="00786B9B">
        <w:t xml:space="preserve"> la capa por </w:t>
      </w:r>
      <w:r w:rsidRPr="00786B9B">
        <w:t>debajo del</w:t>
      </w:r>
      <w:r w:rsidR="00810099" w:rsidRPr="00786B9B">
        <w:t xml:space="preserve"> valor </w:t>
      </w:r>
      <w:r w:rsidRPr="00786B9B">
        <w:t>especificado en</w:t>
      </w:r>
      <w:r w:rsidR="00810099" w:rsidRPr="00786B9B">
        <w:t xml:space="preserve"> los Planos.</w:t>
      </w:r>
    </w:p>
    <w:p w14:paraId="01C31E0A" w14:textId="77777777" w:rsidR="00CF7652" w:rsidRPr="00786B9B" w:rsidRDefault="00CF7652" w:rsidP="00CF7652">
      <w:pPr>
        <w:pStyle w:val="NORMAL12"/>
        <w:ind w:left="720"/>
      </w:pPr>
    </w:p>
    <w:p w14:paraId="35642134" w14:textId="77777777" w:rsidR="00810099" w:rsidRPr="00786B9B" w:rsidRDefault="00810099" w:rsidP="00F04B51">
      <w:pPr>
        <w:pStyle w:val="TITU3"/>
        <w:numPr>
          <w:ilvl w:val="0"/>
          <w:numId w:val="0"/>
        </w:numPr>
      </w:pPr>
      <w:r w:rsidRPr="00786B9B">
        <w:t>551.10.4. Regularidad superficial</w:t>
      </w:r>
    </w:p>
    <w:p w14:paraId="5D5A8AE1" w14:textId="77777777" w:rsidR="00810099" w:rsidRPr="00786B9B" w:rsidRDefault="00810099" w:rsidP="00D607F8">
      <w:pPr>
        <w:pStyle w:val="NORMAL12"/>
      </w:pPr>
      <w:r w:rsidRPr="00786B9B">
        <w:t>En los tramos donde los resultados de la regularidad superficial excedan de los límites especificados en el epígrafe 551.7.3, se procederá de la siguiente manera:</w:t>
      </w:r>
    </w:p>
    <w:p w14:paraId="758EB30D" w14:textId="77777777" w:rsidR="00810099" w:rsidRPr="00786B9B" w:rsidRDefault="002B21EC" w:rsidP="00E01981">
      <w:pPr>
        <w:pStyle w:val="NORMAL12"/>
        <w:numPr>
          <w:ilvl w:val="0"/>
          <w:numId w:val="43"/>
        </w:numPr>
      </w:pPr>
      <w:r w:rsidRPr="00786B9B">
        <w:t xml:space="preserve">Si es en menos del diez por ciento </w:t>
      </w:r>
      <w:r w:rsidR="00810099" w:rsidRPr="00786B9B">
        <w:t>(&lt; 10%</w:t>
      </w:r>
      <w:r w:rsidRPr="00786B9B">
        <w:t>) de la longitud del tramo</w:t>
      </w:r>
      <w:r w:rsidR="00810099" w:rsidRPr="00786B9B">
        <w:t xml:space="preserve"> controlado, se corregirán los defectos de regularidad superficial mediante fresado, siempre que no suponga una reducción del espesor de la capa por debajo del valor especificado en los Planos.</w:t>
      </w:r>
    </w:p>
    <w:p w14:paraId="7E77E757" w14:textId="77777777" w:rsidR="00810099" w:rsidRPr="005864C2" w:rsidRDefault="00810099" w:rsidP="00E01981">
      <w:pPr>
        <w:pStyle w:val="NORMAL12"/>
        <w:numPr>
          <w:ilvl w:val="0"/>
          <w:numId w:val="43"/>
        </w:numPr>
        <w:rPr>
          <w:color w:val="365F91" w:themeColor="accent1" w:themeShade="BF"/>
        </w:rPr>
      </w:pPr>
      <w:r w:rsidRPr="00786B9B">
        <w:t xml:space="preserve">Si es igual </w:t>
      </w:r>
      <w:r w:rsidR="002B21EC" w:rsidRPr="00786B9B">
        <w:t>o más</w:t>
      </w:r>
      <w:r w:rsidRPr="00786B9B">
        <w:t xml:space="preserve"> del diez por ciento (≥ 10%</w:t>
      </w:r>
      <w:r w:rsidR="002B21EC" w:rsidRPr="00786B9B">
        <w:t>) de</w:t>
      </w:r>
      <w:r w:rsidRPr="00786B9B">
        <w:t xml:space="preserve"> </w:t>
      </w:r>
      <w:r w:rsidR="002B21EC" w:rsidRPr="00786B9B">
        <w:t>la longitud del tramo</w:t>
      </w:r>
      <w:r w:rsidRPr="00786B9B">
        <w:t xml:space="preserve"> controlado, si </w:t>
      </w:r>
      <w:r w:rsidRPr="006F433D">
        <w:t xml:space="preserve">lo autorizase l </w:t>
      </w:r>
      <w:proofErr w:type="gramStart"/>
      <w:r w:rsidRPr="006F433D">
        <w:t>Director</w:t>
      </w:r>
      <w:proofErr w:type="gramEnd"/>
      <w:r w:rsidRPr="006F433D">
        <w:t xml:space="preserve"> de las Obras se podrá corregir estos defectos mediante fresado, siempre que se cumpla el espesor de la capa prescrito o bien se demolerá el lote y se reciclará el material por cuenta del Contratista.</w:t>
      </w:r>
    </w:p>
    <w:p w14:paraId="58F2EAEB" w14:textId="77777777" w:rsidR="00810099" w:rsidRDefault="00810099" w:rsidP="000313DD">
      <w:pPr>
        <w:pStyle w:val="TITU2"/>
      </w:pPr>
      <w:bookmarkStart w:id="639" w:name="_Toc404378"/>
      <w:r w:rsidRPr="005864C2">
        <w:t>551.11. Medición y abono</w:t>
      </w:r>
      <w:bookmarkEnd w:id="639"/>
    </w:p>
    <w:p w14:paraId="7A2B0C04" w14:textId="77777777" w:rsidR="006D7255" w:rsidRPr="006D7255" w:rsidRDefault="006D7255" w:rsidP="006D7255">
      <w:pPr>
        <w:pStyle w:val="NORMAL12"/>
        <w:rPr>
          <w:lang w:val="es-ES"/>
        </w:rPr>
      </w:pPr>
      <w:r>
        <w:rPr>
          <w:lang w:val="es-ES"/>
        </w:rPr>
        <w:t>La medición y abono de la unidad de hormigón magro se realizará según las especificaciones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8"/>
        <w:gridCol w:w="6663"/>
      </w:tblGrid>
      <w:tr w:rsidR="006D7255" w:rsidRPr="009B23E5" w14:paraId="00F077EF" w14:textId="77777777" w:rsidTr="003E2B6D">
        <w:tc>
          <w:tcPr>
            <w:tcW w:w="2338" w:type="dxa"/>
            <w:vAlign w:val="center"/>
          </w:tcPr>
          <w:p w14:paraId="6078DCB4" w14:textId="77777777" w:rsidR="006D7255" w:rsidRPr="009B23E5" w:rsidRDefault="006D7255" w:rsidP="0046359B">
            <w:pPr>
              <w:pStyle w:val="LCATabla"/>
              <w:keepNext/>
              <w:keepLines/>
              <w:jc w:val="center"/>
              <w:rPr>
                <w:rFonts w:ascii="Arial" w:hAnsi="Arial" w:cs="Arial"/>
                <w:b/>
                <w:bCs/>
                <w:sz w:val="20"/>
              </w:rPr>
            </w:pPr>
            <w:r w:rsidRPr="009B23E5">
              <w:rPr>
                <w:rFonts w:ascii="Arial" w:hAnsi="Arial" w:cs="Arial"/>
                <w:b/>
                <w:bCs/>
                <w:sz w:val="20"/>
              </w:rPr>
              <w:t>Unidad de medida</w:t>
            </w:r>
          </w:p>
        </w:tc>
        <w:tc>
          <w:tcPr>
            <w:tcW w:w="6663" w:type="dxa"/>
            <w:vAlign w:val="center"/>
          </w:tcPr>
          <w:p w14:paraId="17B7CAEC" w14:textId="77777777" w:rsidR="006D7255" w:rsidRPr="009B23E5" w:rsidRDefault="006D7255" w:rsidP="00AD74D1">
            <w:pPr>
              <w:pStyle w:val="LCATabla"/>
              <w:keepNext/>
              <w:keepLines/>
              <w:jc w:val="both"/>
              <w:rPr>
                <w:rFonts w:ascii="Arial" w:hAnsi="Arial" w:cs="Arial"/>
                <w:sz w:val="20"/>
              </w:rPr>
            </w:pPr>
            <w:r w:rsidRPr="009B23E5">
              <w:rPr>
                <w:rFonts w:ascii="Arial" w:hAnsi="Arial" w:cs="Arial"/>
                <w:sz w:val="20"/>
              </w:rPr>
              <w:t xml:space="preserve">Metro </w:t>
            </w:r>
            <w:r>
              <w:rPr>
                <w:rFonts w:ascii="Arial" w:hAnsi="Arial" w:cs="Arial"/>
                <w:sz w:val="20"/>
              </w:rPr>
              <w:t>cúbico (m</w:t>
            </w:r>
            <w:r w:rsidR="007C72D3" w:rsidRPr="00E34DE7">
              <w:rPr>
                <w:rFonts w:ascii="Arial" w:hAnsi="Arial" w:cs="Arial"/>
                <w:sz w:val="20"/>
                <w:vertAlign w:val="superscript"/>
              </w:rPr>
              <w:t>3</w:t>
            </w:r>
            <w:r>
              <w:rPr>
                <w:rFonts w:ascii="Arial" w:hAnsi="Arial" w:cs="Arial"/>
                <w:sz w:val="20"/>
              </w:rPr>
              <w:t>)</w:t>
            </w:r>
          </w:p>
        </w:tc>
      </w:tr>
      <w:tr w:rsidR="006D7255" w:rsidRPr="009B23E5" w14:paraId="022B73EF" w14:textId="77777777" w:rsidTr="003E2B6D">
        <w:tc>
          <w:tcPr>
            <w:tcW w:w="2338" w:type="dxa"/>
            <w:vAlign w:val="center"/>
          </w:tcPr>
          <w:p w14:paraId="2435C825" w14:textId="77777777" w:rsidR="006D7255" w:rsidRPr="009B23E5" w:rsidRDefault="006D7255" w:rsidP="0046359B">
            <w:pPr>
              <w:pStyle w:val="LCATabla"/>
              <w:keepNext/>
              <w:keepLines/>
              <w:jc w:val="center"/>
              <w:rPr>
                <w:rFonts w:ascii="Arial" w:hAnsi="Arial" w:cs="Arial"/>
                <w:b/>
                <w:bCs/>
                <w:sz w:val="20"/>
              </w:rPr>
            </w:pPr>
            <w:r w:rsidRPr="009B23E5">
              <w:rPr>
                <w:rFonts w:ascii="Arial" w:hAnsi="Arial" w:cs="Arial"/>
                <w:b/>
                <w:bCs/>
                <w:sz w:val="20"/>
              </w:rPr>
              <w:t>Grado de precisión</w:t>
            </w:r>
          </w:p>
        </w:tc>
        <w:tc>
          <w:tcPr>
            <w:tcW w:w="6663" w:type="dxa"/>
            <w:vAlign w:val="center"/>
          </w:tcPr>
          <w:p w14:paraId="3E4BEF63" w14:textId="77777777" w:rsidR="006D7255" w:rsidRPr="009B23E5" w:rsidRDefault="006D7255" w:rsidP="00AD74D1">
            <w:pPr>
              <w:pStyle w:val="LCATabla"/>
              <w:keepNext/>
              <w:keepLines/>
              <w:jc w:val="both"/>
              <w:rPr>
                <w:rFonts w:ascii="Arial" w:hAnsi="Arial" w:cs="Arial"/>
                <w:sz w:val="20"/>
              </w:rPr>
            </w:pPr>
            <w:r w:rsidRPr="009B23E5">
              <w:rPr>
                <w:rFonts w:ascii="Arial" w:hAnsi="Arial" w:cs="Arial"/>
                <w:sz w:val="20"/>
              </w:rPr>
              <w:t>Dos decimales.</w:t>
            </w:r>
          </w:p>
        </w:tc>
      </w:tr>
      <w:tr w:rsidR="006D7255" w:rsidRPr="009B23E5" w14:paraId="3F78D553" w14:textId="77777777" w:rsidTr="003E2B6D">
        <w:tc>
          <w:tcPr>
            <w:tcW w:w="2338" w:type="dxa"/>
            <w:vAlign w:val="center"/>
          </w:tcPr>
          <w:p w14:paraId="580B5437" w14:textId="77777777" w:rsidR="006D7255" w:rsidRPr="009B23E5" w:rsidRDefault="006D7255" w:rsidP="0046359B">
            <w:pPr>
              <w:pStyle w:val="LCATabla"/>
              <w:keepNext/>
              <w:keepLines/>
              <w:jc w:val="center"/>
              <w:rPr>
                <w:rFonts w:ascii="Arial" w:hAnsi="Arial" w:cs="Arial"/>
                <w:b/>
                <w:bCs/>
                <w:sz w:val="20"/>
              </w:rPr>
            </w:pPr>
            <w:r w:rsidRPr="009B23E5">
              <w:rPr>
                <w:rFonts w:ascii="Arial" w:hAnsi="Arial" w:cs="Arial"/>
                <w:b/>
                <w:bCs/>
                <w:sz w:val="20"/>
              </w:rPr>
              <w:t>Forma de medición</w:t>
            </w:r>
          </w:p>
        </w:tc>
        <w:tc>
          <w:tcPr>
            <w:tcW w:w="6663" w:type="dxa"/>
            <w:vAlign w:val="center"/>
          </w:tcPr>
          <w:p w14:paraId="45AAAB42" w14:textId="77777777" w:rsidR="006D7255" w:rsidRPr="009B23E5" w:rsidRDefault="006D7255" w:rsidP="00AD74D1">
            <w:pPr>
              <w:pStyle w:val="LCATabla"/>
              <w:keepNext/>
              <w:keepLines/>
              <w:jc w:val="both"/>
              <w:rPr>
                <w:rFonts w:ascii="Arial" w:hAnsi="Arial" w:cs="Arial"/>
                <w:sz w:val="20"/>
              </w:rPr>
            </w:pPr>
            <w:r>
              <w:rPr>
                <w:rFonts w:ascii="Arial" w:hAnsi="Arial" w:cs="Arial"/>
                <w:sz w:val="20"/>
              </w:rPr>
              <w:t>Medición del volumen realmente ejecutado</w:t>
            </w:r>
          </w:p>
        </w:tc>
      </w:tr>
      <w:tr w:rsidR="006D7255" w:rsidRPr="009B23E5" w14:paraId="02807F69" w14:textId="77777777" w:rsidTr="003E2B6D">
        <w:tc>
          <w:tcPr>
            <w:tcW w:w="2338" w:type="dxa"/>
            <w:vAlign w:val="center"/>
          </w:tcPr>
          <w:p w14:paraId="199C9C88" w14:textId="77777777" w:rsidR="006D7255" w:rsidRPr="009B23E5" w:rsidRDefault="006D7255" w:rsidP="0046359B">
            <w:pPr>
              <w:pStyle w:val="LCATabla"/>
              <w:keepNext/>
              <w:keepLines/>
              <w:jc w:val="center"/>
              <w:rPr>
                <w:rFonts w:ascii="Arial" w:hAnsi="Arial" w:cs="Arial"/>
                <w:b/>
                <w:bCs/>
                <w:sz w:val="20"/>
              </w:rPr>
            </w:pPr>
            <w:r w:rsidRPr="009B23E5">
              <w:rPr>
                <w:rFonts w:ascii="Arial" w:hAnsi="Arial" w:cs="Arial"/>
                <w:b/>
                <w:bCs/>
                <w:sz w:val="20"/>
              </w:rPr>
              <w:t>Abono</w:t>
            </w:r>
          </w:p>
        </w:tc>
        <w:tc>
          <w:tcPr>
            <w:tcW w:w="6663" w:type="dxa"/>
            <w:vAlign w:val="center"/>
          </w:tcPr>
          <w:p w14:paraId="282DDCE8" w14:textId="77777777" w:rsidR="006D7255" w:rsidRPr="009B23E5" w:rsidRDefault="006D7255" w:rsidP="00AD74D1">
            <w:pPr>
              <w:pStyle w:val="LCATabla"/>
              <w:keepNext/>
              <w:keepLines/>
              <w:jc w:val="both"/>
              <w:rPr>
                <w:rFonts w:ascii="Arial" w:hAnsi="Arial" w:cs="Arial"/>
                <w:sz w:val="20"/>
              </w:rPr>
            </w:pPr>
            <w:r w:rsidRPr="009B23E5">
              <w:rPr>
                <w:rFonts w:ascii="Arial" w:hAnsi="Arial" w:cs="Arial"/>
                <w:sz w:val="20"/>
              </w:rPr>
              <w:t>Se efectuará cuando se realice la aceptación.</w:t>
            </w:r>
          </w:p>
        </w:tc>
      </w:tr>
      <w:tr w:rsidR="006D7255" w:rsidRPr="009B23E5" w14:paraId="6DD1B589" w14:textId="77777777" w:rsidTr="003E2B6D">
        <w:tc>
          <w:tcPr>
            <w:tcW w:w="2338" w:type="dxa"/>
            <w:vAlign w:val="center"/>
          </w:tcPr>
          <w:p w14:paraId="16A48B6E" w14:textId="77777777" w:rsidR="006D7255" w:rsidRPr="009B23E5" w:rsidRDefault="006D7255" w:rsidP="0046359B">
            <w:pPr>
              <w:pStyle w:val="LCATabla"/>
              <w:keepNext/>
              <w:keepLines/>
              <w:jc w:val="center"/>
              <w:rPr>
                <w:rFonts w:ascii="Arial" w:hAnsi="Arial" w:cs="Arial"/>
                <w:b/>
                <w:bCs/>
                <w:sz w:val="20"/>
              </w:rPr>
            </w:pPr>
            <w:r w:rsidRPr="009B23E5">
              <w:rPr>
                <w:rFonts w:ascii="Arial" w:hAnsi="Arial" w:cs="Arial"/>
                <w:b/>
                <w:bCs/>
                <w:sz w:val="20"/>
              </w:rPr>
              <w:t>Criterios complementarios</w:t>
            </w:r>
          </w:p>
        </w:tc>
        <w:tc>
          <w:tcPr>
            <w:tcW w:w="6663" w:type="dxa"/>
            <w:vAlign w:val="center"/>
          </w:tcPr>
          <w:p w14:paraId="4185BBDA" w14:textId="77777777" w:rsidR="006D7255" w:rsidRDefault="006D7255" w:rsidP="00AD74D1">
            <w:pPr>
              <w:pStyle w:val="LCATabla"/>
              <w:keepNext/>
              <w:keepLines/>
              <w:jc w:val="both"/>
              <w:rPr>
                <w:rFonts w:ascii="Arial" w:hAnsi="Arial" w:cs="Arial"/>
                <w:sz w:val="20"/>
              </w:rPr>
            </w:pPr>
            <w:r>
              <w:rPr>
                <w:rFonts w:ascii="Arial" w:hAnsi="Arial" w:cs="Arial"/>
                <w:sz w:val="20"/>
              </w:rPr>
              <w:t>El precio de la unidad incluye la preparación de la superficie de apoyo, los aditivos necesarios, el curado y el acabado de la superficie.</w:t>
            </w:r>
          </w:p>
          <w:p w14:paraId="42847037" w14:textId="77777777" w:rsidR="006D7255" w:rsidRPr="009B23E5" w:rsidRDefault="006D7255" w:rsidP="00AD74D1">
            <w:pPr>
              <w:pStyle w:val="LCATabla"/>
              <w:keepNext/>
              <w:keepLines/>
              <w:jc w:val="both"/>
              <w:rPr>
                <w:rFonts w:ascii="Arial" w:hAnsi="Arial" w:cs="Arial"/>
                <w:sz w:val="20"/>
              </w:rPr>
            </w:pPr>
            <w:r>
              <w:rPr>
                <w:rFonts w:ascii="Arial" w:hAnsi="Arial" w:cs="Arial"/>
                <w:sz w:val="20"/>
              </w:rPr>
              <w:t>La reposición de capas de hormigón magro por no dispone</w:t>
            </w:r>
            <w:r w:rsidR="00080847">
              <w:rPr>
                <w:rFonts w:ascii="Arial" w:hAnsi="Arial" w:cs="Arial"/>
                <w:sz w:val="20"/>
              </w:rPr>
              <w:t>r</w:t>
            </w:r>
            <w:r>
              <w:rPr>
                <w:rFonts w:ascii="Arial" w:hAnsi="Arial" w:cs="Arial"/>
                <w:sz w:val="20"/>
              </w:rPr>
              <w:t xml:space="preserve"> de resistencia suficiente o espesor mínimo serán abonadas por cuenta del contratista.</w:t>
            </w:r>
          </w:p>
        </w:tc>
      </w:tr>
    </w:tbl>
    <w:p w14:paraId="212E3485" w14:textId="77777777" w:rsidR="006D7255" w:rsidRPr="006D7255" w:rsidRDefault="006D7255" w:rsidP="00D607F8">
      <w:pPr>
        <w:pStyle w:val="NORMAL12"/>
        <w:rPr>
          <w:color w:val="365F91" w:themeColor="accent1" w:themeShade="BF"/>
          <w:lang w:val="es-ES"/>
        </w:rPr>
      </w:pPr>
    </w:p>
    <w:p w14:paraId="04A18D97" w14:textId="77777777" w:rsidR="004C30E0" w:rsidRDefault="004C30E0" w:rsidP="00810099">
      <w:pPr>
        <w:pStyle w:val="NORMAL12"/>
        <w:rPr>
          <w:color w:val="FF0000"/>
          <w:lang w:val="es-ES"/>
        </w:rPr>
      </w:pPr>
    </w:p>
    <w:p w14:paraId="44C180F8" w14:textId="77777777" w:rsidR="004C30E0" w:rsidRPr="007A73D5" w:rsidRDefault="004C30E0" w:rsidP="00810099">
      <w:pPr>
        <w:pStyle w:val="NORMAL12"/>
        <w:rPr>
          <w:color w:val="FF0000"/>
          <w:lang w:val="es-ES"/>
        </w:rPr>
      </w:pPr>
    </w:p>
    <w:p w14:paraId="4E7D7CE4" w14:textId="77777777" w:rsidR="008C33D6" w:rsidRPr="001B51D9" w:rsidRDefault="008C33D6" w:rsidP="008C33D6">
      <w:pPr>
        <w:pStyle w:val="TITU1"/>
        <w:rPr>
          <w:lang w:val="es-ES_tradnl"/>
        </w:rPr>
      </w:pPr>
      <w:bookmarkStart w:id="640" w:name="_Toc404379"/>
      <w:r w:rsidRPr="001B51D9">
        <w:rPr>
          <w:lang w:val="es-ES_tradnl"/>
        </w:rPr>
        <w:lastRenderedPageBreak/>
        <w:t>Artículo 555. Reparación de hormigón</w:t>
      </w:r>
      <w:bookmarkEnd w:id="640"/>
    </w:p>
    <w:p w14:paraId="3F2D05A7" w14:textId="77777777" w:rsidR="008C33D6" w:rsidRDefault="008C33D6" w:rsidP="000313DD">
      <w:pPr>
        <w:pStyle w:val="TITU2"/>
      </w:pPr>
      <w:bookmarkStart w:id="641" w:name="_Toc404380"/>
      <w:r w:rsidRPr="005864C2">
        <w:t>55</w:t>
      </w:r>
      <w:r>
        <w:t>5</w:t>
      </w:r>
      <w:r w:rsidRPr="005864C2">
        <w:t xml:space="preserve">.1. </w:t>
      </w:r>
      <w:r>
        <w:t xml:space="preserve">Definición y </w:t>
      </w:r>
      <w:r w:rsidR="001B51D9">
        <w:t>aplicación</w:t>
      </w:r>
      <w:bookmarkEnd w:id="641"/>
    </w:p>
    <w:p w14:paraId="3D3EB4CE" w14:textId="77777777" w:rsidR="001B51D9" w:rsidRDefault="001B51D9" w:rsidP="001B51D9">
      <w:pPr>
        <w:pStyle w:val="NORMAL12"/>
      </w:pPr>
      <w:r>
        <w:t>Este proceso se emplea como base para definir la reparación de los deterioros que se detecten en el firme en el momento del comienzo de las obras, que pueden coincidir con los expuestos en la inspección reflejada en el apartado anterior, o pueden ser otros, en función del tiempo que transcurra entre la redacción del presente proyecto y la fecha de comienzos de los trabajos.</w:t>
      </w:r>
    </w:p>
    <w:p w14:paraId="29AB1436" w14:textId="77777777" w:rsidR="008C33D6" w:rsidRPr="001B51D9" w:rsidRDefault="008C33D6" w:rsidP="008C33D6">
      <w:pPr>
        <w:pStyle w:val="NORMAL12"/>
        <w:rPr>
          <w:lang w:val="es-ES"/>
        </w:rPr>
      </w:pPr>
      <w:r w:rsidRPr="001B51D9">
        <w:rPr>
          <w:lang w:val="es-ES"/>
        </w:rPr>
        <w:t xml:space="preserve">Las prescripciones del presente artículo </w:t>
      </w:r>
      <w:proofErr w:type="gramStart"/>
      <w:r w:rsidRPr="001B51D9">
        <w:rPr>
          <w:lang w:val="es-ES"/>
        </w:rPr>
        <w:t>son de aplicación</w:t>
      </w:r>
      <w:proofErr w:type="gramEnd"/>
      <w:r w:rsidRPr="001B51D9">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330"/>
        <w:gridCol w:w="643"/>
        <w:gridCol w:w="7805"/>
      </w:tblGrid>
      <w:tr w:rsidR="00FB1DCE" w:rsidRPr="00016787" w14:paraId="34B14251" w14:textId="77777777" w:rsidTr="001B51D9">
        <w:trPr>
          <w:trHeight w:val="300"/>
        </w:trPr>
        <w:tc>
          <w:tcPr>
            <w:tcW w:w="680" w:type="pct"/>
            <w:noWrap/>
            <w:hideMark/>
          </w:tcPr>
          <w:p w14:paraId="23331923" w14:textId="77777777" w:rsidR="00FB1DCE" w:rsidRPr="005B79AD" w:rsidRDefault="00FB1DCE" w:rsidP="0095111F">
            <w:pPr>
              <w:jc w:val="both"/>
              <w:rPr>
                <w:rFonts w:ascii="Calibri" w:hAnsi="Calibri"/>
                <w:color w:val="000000"/>
              </w:rPr>
            </w:pPr>
            <w:r w:rsidRPr="005B79AD">
              <w:rPr>
                <w:rFonts w:ascii="Calibri" w:hAnsi="Calibri"/>
                <w:color w:val="000000"/>
              </w:rPr>
              <w:t xml:space="preserve">500.0002N         </w:t>
            </w:r>
          </w:p>
        </w:tc>
        <w:tc>
          <w:tcPr>
            <w:tcW w:w="329" w:type="pct"/>
            <w:noWrap/>
            <w:hideMark/>
          </w:tcPr>
          <w:p w14:paraId="7A580C0F" w14:textId="77777777" w:rsidR="00FB1DCE" w:rsidRPr="005B79AD" w:rsidRDefault="00FB1DCE" w:rsidP="0095111F">
            <w:pPr>
              <w:jc w:val="both"/>
              <w:rPr>
                <w:rFonts w:ascii="Calibri" w:hAnsi="Calibri"/>
                <w:color w:val="000000"/>
              </w:rPr>
            </w:pPr>
            <w:proofErr w:type="gramStart"/>
            <w:r w:rsidRPr="005B79AD">
              <w:rPr>
                <w:rFonts w:ascii="Calibri" w:hAnsi="Calibri"/>
                <w:color w:val="000000"/>
              </w:rPr>
              <w:t>P.A</w:t>
            </w:r>
            <w:proofErr w:type="gramEnd"/>
          </w:p>
        </w:tc>
        <w:tc>
          <w:tcPr>
            <w:tcW w:w="3991" w:type="pct"/>
            <w:hideMark/>
          </w:tcPr>
          <w:p w14:paraId="1ED38C12" w14:textId="77777777" w:rsidR="00FB1DCE" w:rsidRPr="005B79AD" w:rsidRDefault="00FB1DCE" w:rsidP="0095111F">
            <w:pPr>
              <w:jc w:val="both"/>
              <w:rPr>
                <w:rFonts w:ascii="Calibri" w:hAnsi="Calibri"/>
                <w:color w:val="000000"/>
              </w:rPr>
            </w:pPr>
            <w:r w:rsidRPr="005B79AD">
              <w:rPr>
                <w:rFonts w:ascii="Calibri" w:hAnsi="Calibri"/>
                <w:color w:val="000000"/>
              </w:rPr>
              <w:t>PARTIDA ALZADA A JUSTIFICAR PARA REPARACIÓN DE DESPERFECTOS DEL FIRME DE HORMIGÓN EXISTENTE</w:t>
            </w:r>
          </w:p>
        </w:tc>
      </w:tr>
    </w:tbl>
    <w:p w14:paraId="0F49E49C" w14:textId="77777777" w:rsidR="008C33D6" w:rsidRDefault="008C33D6" w:rsidP="000313DD">
      <w:pPr>
        <w:pStyle w:val="TITU2"/>
      </w:pPr>
      <w:bookmarkStart w:id="642" w:name="_Toc404381"/>
      <w:r w:rsidRPr="005864C2">
        <w:t>55</w:t>
      </w:r>
      <w:r>
        <w:t>5</w:t>
      </w:r>
      <w:r w:rsidRPr="005864C2">
        <w:t>.</w:t>
      </w:r>
      <w:r>
        <w:t>2</w:t>
      </w:r>
      <w:r w:rsidRPr="005864C2">
        <w:t xml:space="preserve">. </w:t>
      </w:r>
      <w:r>
        <w:t>Ejecución de las obras</w:t>
      </w:r>
      <w:bookmarkEnd w:id="642"/>
    </w:p>
    <w:p w14:paraId="20D3FD94" w14:textId="77777777" w:rsidR="001B51D9" w:rsidRDefault="001B51D9" w:rsidP="001B51D9">
      <w:pPr>
        <w:pStyle w:val="NORMAL12"/>
        <w:rPr>
          <w:lang w:val="es-ES"/>
        </w:rPr>
      </w:pPr>
      <w:r>
        <w:rPr>
          <w:lang w:val="es-ES"/>
        </w:rPr>
        <w:t>La ejecución de las obras se llevará a cabo según las siguientes fases:</w:t>
      </w:r>
    </w:p>
    <w:p w14:paraId="7FB3E67C" w14:textId="77777777" w:rsidR="001B51D9" w:rsidRDefault="001B51D9" w:rsidP="000313DD">
      <w:pPr>
        <w:pStyle w:val="NORMAL12"/>
        <w:numPr>
          <w:ilvl w:val="0"/>
          <w:numId w:val="231"/>
        </w:numPr>
      </w:pPr>
      <w:r>
        <w:t>Señalización, balizamiento y corte del carril a reparar (con avisos previos en prensa, televisión, etc.).</w:t>
      </w:r>
    </w:p>
    <w:p w14:paraId="339E2D71" w14:textId="77777777" w:rsidR="001B51D9" w:rsidRDefault="001B51D9" w:rsidP="000313DD">
      <w:pPr>
        <w:pStyle w:val="NORMAL12"/>
        <w:numPr>
          <w:ilvl w:val="0"/>
          <w:numId w:val="231"/>
        </w:numPr>
      </w:pPr>
      <w:r>
        <w:t>Serrado de la losa, dejando una franja de resguardo de 1,00 m hasta la zona fisurada o dañada.</w:t>
      </w:r>
    </w:p>
    <w:p w14:paraId="56420E68" w14:textId="77777777" w:rsidR="001B51D9" w:rsidRDefault="001B51D9" w:rsidP="000313DD">
      <w:pPr>
        <w:pStyle w:val="NORMAL12"/>
        <w:numPr>
          <w:ilvl w:val="0"/>
          <w:numId w:val="231"/>
        </w:numPr>
      </w:pPr>
      <w:r>
        <w:t>Serrado transversal de 5 cm de profundidad a 70 cm de distancia hacia el exterior del primer serrado, para demoler esta franja a mano y dejar la armadura longitudinal vista 70 cm para el solape por atado (en la primera reparación se soldaron las barras en 30 cm de longitud)</w:t>
      </w:r>
    </w:p>
    <w:p w14:paraId="3F2F9B20" w14:textId="77777777" w:rsidR="001B51D9" w:rsidRDefault="001B51D9" w:rsidP="000313DD">
      <w:pPr>
        <w:pStyle w:val="NORMAL12"/>
        <w:numPr>
          <w:ilvl w:val="0"/>
          <w:numId w:val="231"/>
        </w:numPr>
      </w:pPr>
      <w:r>
        <w:t>Demolición del hormigón interior con martillo hidráulico y transporte de los residuos a vertedero o reciclado. En esta etapa, y para coordinar con el tráfico pasante, es importante organizar bien el acceso y el número de camiones.</w:t>
      </w:r>
    </w:p>
    <w:p w14:paraId="205EF152" w14:textId="77777777" w:rsidR="001B51D9" w:rsidRDefault="001B51D9" w:rsidP="000313DD">
      <w:pPr>
        <w:pStyle w:val="NORMAL12"/>
        <w:numPr>
          <w:ilvl w:val="0"/>
          <w:numId w:val="231"/>
        </w:numPr>
      </w:pPr>
      <w:r>
        <w:t>Saneo de la base y/o subbase si es el caso, reponiéndola, con hormigón compactado HM-15 e incorporación de drenes con salida por el arcén.</w:t>
      </w:r>
    </w:p>
    <w:p w14:paraId="755C9055" w14:textId="77777777" w:rsidR="001B51D9" w:rsidRDefault="001B51D9" w:rsidP="000313DD">
      <w:pPr>
        <w:pStyle w:val="NORMAL12"/>
        <w:numPr>
          <w:ilvl w:val="0"/>
          <w:numId w:val="231"/>
        </w:numPr>
      </w:pPr>
      <w:r>
        <w:t>Encofrado longitudinal de la losa en el borde en contacto con el arcén.</w:t>
      </w:r>
    </w:p>
    <w:p w14:paraId="7B19F9E5" w14:textId="77777777" w:rsidR="001B51D9" w:rsidRDefault="001B51D9" w:rsidP="000313DD">
      <w:pPr>
        <w:pStyle w:val="NORMAL12"/>
        <w:numPr>
          <w:ilvl w:val="0"/>
          <w:numId w:val="231"/>
        </w:numPr>
      </w:pPr>
      <w:r>
        <w:t>Colocación de la siguiente armadura, solapando las barras longitudinales con las existentes:</w:t>
      </w:r>
    </w:p>
    <w:p w14:paraId="2E94D17C" w14:textId="77777777" w:rsidR="001B51D9" w:rsidRDefault="001B51D9" w:rsidP="000313DD">
      <w:pPr>
        <w:pStyle w:val="NORMAL12"/>
        <w:numPr>
          <w:ilvl w:val="1"/>
          <w:numId w:val="231"/>
        </w:numPr>
      </w:pPr>
      <w:r>
        <w:t>Longitudinal: Ø 20 a 14 cm.</w:t>
      </w:r>
    </w:p>
    <w:p w14:paraId="1E354F4D" w14:textId="77777777" w:rsidR="001B51D9" w:rsidRDefault="001B51D9" w:rsidP="000313DD">
      <w:pPr>
        <w:pStyle w:val="NORMAL12"/>
        <w:numPr>
          <w:ilvl w:val="1"/>
          <w:numId w:val="231"/>
        </w:numPr>
      </w:pPr>
      <w:r>
        <w:t>Transversal: Ø 12 a 70 cm formando un ángulo de 60º con el eje.</w:t>
      </w:r>
    </w:p>
    <w:p w14:paraId="7E2FFADC" w14:textId="77777777" w:rsidR="001B51D9" w:rsidRDefault="001B51D9" w:rsidP="000313DD">
      <w:pPr>
        <w:pStyle w:val="NORMAL12"/>
        <w:numPr>
          <w:ilvl w:val="1"/>
          <w:numId w:val="231"/>
        </w:numPr>
      </w:pPr>
      <w:r>
        <w:t>Soportes separadores: Ø 12 de 10 cm de alto.</w:t>
      </w:r>
    </w:p>
    <w:p w14:paraId="11B7CB7A" w14:textId="77777777" w:rsidR="001B51D9" w:rsidRDefault="001B51D9" w:rsidP="000313DD">
      <w:pPr>
        <w:pStyle w:val="NORMAL12"/>
        <w:numPr>
          <w:ilvl w:val="1"/>
          <w:numId w:val="231"/>
        </w:numPr>
      </w:pPr>
      <w:r>
        <w:t>Barras de unión: Ø 12 de 0,80 m de largo colocadas cada 1 m.</w:t>
      </w:r>
    </w:p>
    <w:p w14:paraId="5305BD0B" w14:textId="77777777" w:rsidR="001B51D9" w:rsidRDefault="001B51D9" w:rsidP="000313DD">
      <w:pPr>
        <w:pStyle w:val="NORMAL12"/>
        <w:numPr>
          <w:ilvl w:val="0"/>
          <w:numId w:val="231"/>
        </w:numPr>
      </w:pPr>
      <w:r>
        <w:t>Perforación cada metro, a mitad de altura de la losa contigua, de una profundidad de 40 cm para introducir las barras de unión, en el hueco relleno de epoxi para asegurar su adherencia.</w:t>
      </w:r>
    </w:p>
    <w:p w14:paraId="1E3231E7" w14:textId="77777777" w:rsidR="001B51D9" w:rsidRDefault="001B51D9" w:rsidP="000313DD">
      <w:pPr>
        <w:pStyle w:val="NORMAL12"/>
        <w:numPr>
          <w:ilvl w:val="0"/>
          <w:numId w:val="231"/>
        </w:numPr>
      </w:pPr>
      <w:r>
        <w:t>Aplicación de resina epoxi en los bordes de la losa para asegurar la adherencia del nuevo hormigón (salvo en la junta longitudinal entre carriles).</w:t>
      </w:r>
    </w:p>
    <w:p w14:paraId="06B13BC5" w14:textId="77777777" w:rsidR="001B51D9" w:rsidRDefault="001B51D9" w:rsidP="000313DD">
      <w:pPr>
        <w:pStyle w:val="NORMAL12"/>
        <w:numPr>
          <w:ilvl w:val="0"/>
          <w:numId w:val="231"/>
        </w:numPr>
      </w:pPr>
      <w:r>
        <w:t xml:space="preserve">Vertido, extendido a mano y vibrado del hormigón con regla. </w:t>
      </w:r>
    </w:p>
    <w:p w14:paraId="584EA7AB" w14:textId="77777777" w:rsidR="001B51D9" w:rsidRDefault="001B51D9" w:rsidP="000313DD">
      <w:pPr>
        <w:pStyle w:val="NORMAL12"/>
        <w:numPr>
          <w:ilvl w:val="0"/>
          <w:numId w:val="231"/>
        </w:numPr>
      </w:pPr>
      <w:r>
        <w:t>Textura realizada manualmente con un cepillo de flejes metálicos, dando continuidad al ranurado transversal existente.</w:t>
      </w:r>
    </w:p>
    <w:p w14:paraId="5C832050" w14:textId="77777777" w:rsidR="001B51D9" w:rsidRDefault="001B51D9" w:rsidP="000313DD">
      <w:pPr>
        <w:pStyle w:val="NORMAL12"/>
        <w:numPr>
          <w:ilvl w:val="0"/>
          <w:numId w:val="231"/>
        </w:numPr>
      </w:pPr>
      <w:r>
        <w:t>Curado del hormigón.</w:t>
      </w:r>
    </w:p>
    <w:p w14:paraId="2D7B8B0F" w14:textId="77777777" w:rsidR="001B51D9" w:rsidRDefault="001B51D9" w:rsidP="000313DD">
      <w:pPr>
        <w:pStyle w:val="NORMAL12"/>
        <w:numPr>
          <w:ilvl w:val="0"/>
          <w:numId w:val="231"/>
        </w:numPr>
      </w:pPr>
      <w:r>
        <w:t>Serrado de la junta longitudinal entre carriles y sellado de la misma con perfil extrusionado.</w:t>
      </w:r>
    </w:p>
    <w:p w14:paraId="77928ACC" w14:textId="77777777" w:rsidR="001B51D9" w:rsidRDefault="001B51D9" w:rsidP="000313DD">
      <w:pPr>
        <w:pStyle w:val="NORMAL12"/>
        <w:numPr>
          <w:ilvl w:val="0"/>
          <w:numId w:val="231"/>
        </w:numPr>
      </w:pPr>
      <w:r>
        <w:t>Retirada del encofrado de arcén y relleno del hueco dejado por el encofrado con hormigón HM-15.</w:t>
      </w:r>
    </w:p>
    <w:p w14:paraId="4BE3B7D5" w14:textId="77777777" w:rsidR="001B51D9" w:rsidRDefault="001B51D9" w:rsidP="000313DD">
      <w:pPr>
        <w:pStyle w:val="NORMAL12"/>
        <w:numPr>
          <w:ilvl w:val="0"/>
          <w:numId w:val="231"/>
        </w:numPr>
      </w:pPr>
      <w:r>
        <w:t>Fresado y reposición del arcén, con zahorra si es el caso, y 6 cm de mezcla bituminosa en caliente AC22 surf 50/70 S.</w:t>
      </w:r>
    </w:p>
    <w:p w14:paraId="7A104CCD" w14:textId="77777777" w:rsidR="001B51D9" w:rsidRDefault="001B51D9" w:rsidP="000313DD">
      <w:pPr>
        <w:pStyle w:val="NORMAL12"/>
        <w:numPr>
          <w:ilvl w:val="0"/>
          <w:numId w:val="231"/>
        </w:numPr>
      </w:pPr>
      <w:r>
        <w:t>Repintado de las marcas viales.</w:t>
      </w:r>
    </w:p>
    <w:p w14:paraId="5E5F604A" w14:textId="77777777" w:rsidR="001B51D9" w:rsidRDefault="001B51D9" w:rsidP="000313DD">
      <w:pPr>
        <w:pStyle w:val="NORMAL12"/>
        <w:numPr>
          <w:ilvl w:val="0"/>
          <w:numId w:val="231"/>
        </w:numPr>
      </w:pPr>
      <w:r>
        <w:t>Retirada de la señalización y balizamiento de obra y apertura al tráfico.</w:t>
      </w:r>
    </w:p>
    <w:p w14:paraId="0BFDCEA1" w14:textId="77777777" w:rsidR="001B51D9" w:rsidRDefault="001B51D9" w:rsidP="001B51D9">
      <w:pPr>
        <w:pStyle w:val="NORMAL12"/>
      </w:pPr>
      <w:r w:rsidRPr="001B51D9">
        <w:t>La demolición del firme se llevará a cabo según lo indicado en el artículo 300. Demoliciones del presente pliego</w:t>
      </w:r>
      <w:r w:rsidR="005B3230">
        <w:t xml:space="preserve"> y del PG-3</w:t>
      </w:r>
    </w:p>
    <w:p w14:paraId="22EC9E81" w14:textId="77777777" w:rsidR="005B3230" w:rsidRDefault="005B3230" w:rsidP="005B3230">
      <w:pPr>
        <w:pStyle w:val="NORMAL12"/>
      </w:pPr>
      <w:r>
        <w:t xml:space="preserve">La puesta en obra de encofrados y posterior retirada se llevará a cabo según lo indicado en el artículo </w:t>
      </w:r>
      <w:r w:rsidR="003A4B75">
        <w:t xml:space="preserve">696. Encofrado </w:t>
      </w:r>
      <w:r>
        <w:t>del presente pliego</w:t>
      </w:r>
      <w:r w:rsidR="003A4B75">
        <w:t>.</w:t>
      </w:r>
    </w:p>
    <w:p w14:paraId="6A896E30" w14:textId="77777777" w:rsidR="005B3230" w:rsidRDefault="005B3230" w:rsidP="005B3230">
      <w:pPr>
        <w:pStyle w:val="NORMAL12"/>
      </w:pPr>
      <w:r>
        <w:t>La puesta en obra del hormigón se llevará a cabo según lo indicado en el artículo 600. Hormigón del presente pliego y del PG-3.</w:t>
      </w:r>
    </w:p>
    <w:p w14:paraId="35551189" w14:textId="77777777" w:rsidR="005B3230" w:rsidRPr="001B51D9" w:rsidRDefault="005B3230" w:rsidP="001B51D9">
      <w:pPr>
        <w:pStyle w:val="NORMAL12"/>
      </w:pPr>
      <w:r>
        <w:lastRenderedPageBreak/>
        <w:t xml:space="preserve">La puesta en obra de armadura se llevará a cabo según lo indicado en el artículo </w:t>
      </w:r>
      <w:r w:rsidR="003A4B75">
        <w:t xml:space="preserve">600. </w:t>
      </w:r>
      <w:proofErr w:type="gramStart"/>
      <w:r w:rsidR="003A4B75">
        <w:t>Armadura a emplear</w:t>
      </w:r>
      <w:proofErr w:type="gramEnd"/>
      <w:r w:rsidR="003A4B75">
        <w:t xml:space="preserve"> en hormigón armado</w:t>
      </w:r>
      <w:r>
        <w:t xml:space="preserve"> del presente pliego y del PG-3.</w:t>
      </w:r>
    </w:p>
    <w:p w14:paraId="1B8E9667" w14:textId="77777777" w:rsidR="001B51D9" w:rsidRDefault="001B51D9" w:rsidP="001B51D9">
      <w:pPr>
        <w:pStyle w:val="NORMAL12"/>
      </w:pPr>
      <w:r w:rsidRPr="001B51D9">
        <w:t xml:space="preserve">La ejecución y reparación del firme </w:t>
      </w:r>
      <w:r w:rsidR="005B3230">
        <w:t xml:space="preserve">de hormigón </w:t>
      </w:r>
      <w:r w:rsidRPr="001B51D9">
        <w:t>se llevará a cabo según lo indicado en el artículo 550 Firme de hormigón del presente pliego</w:t>
      </w:r>
      <w:r w:rsidR="005B3230">
        <w:t xml:space="preserve"> y del PG-3.</w:t>
      </w:r>
    </w:p>
    <w:p w14:paraId="482CBAE5" w14:textId="77777777" w:rsidR="005B3230" w:rsidRDefault="005B3230" w:rsidP="001B51D9">
      <w:pPr>
        <w:pStyle w:val="NORMAL12"/>
      </w:pPr>
      <w:r>
        <w:t xml:space="preserve">La ejecución del firme con mezclas bituminosas se llevará a cabo según lo indicado en el artículo 542. </w:t>
      </w:r>
      <w:r w:rsidRPr="005B3230">
        <w:t>Mezclas bituminosas tipo hormigón bituminoso</w:t>
      </w:r>
      <w:r>
        <w:t xml:space="preserve"> del presente pliego y del PG-3.</w:t>
      </w:r>
    </w:p>
    <w:p w14:paraId="770AB5FC" w14:textId="77777777" w:rsidR="005B3230" w:rsidRDefault="005B3230" w:rsidP="001B51D9">
      <w:pPr>
        <w:pStyle w:val="NORMAL12"/>
      </w:pPr>
      <w:r>
        <w:t>El pintado de marcas viales se llevará a cabo según lo indicado en el art</w:t>
      </w:r>
      <w:r w:rsidR="003A4B75">
        <w:t>ículo 700.Marcas viales</w:t>
      </w:r>
      <w:r>
        <w:t xml:space="preserve"> del presente pliego y del PG-3.</w:t>
      </w:r>
    </w:p>
    <w:p w14:paraId="70F479BB" w14:textId="77777777" w:rsidR="005B3230" w:rsidRDefault="003A4B75" w:rsidP="001B51D9">
      <w:pPr>
        <w:pStyle w:val="NORMAL12"/>
      </w:pPr>
      <w:r>
        <w:t>La señalización vertical y balizamiento se llevará a cabo según lo indicado en el artículo 701. S</w:t>
      </w:r>
      <w:r w:rsidRPr="003A4B75">
        <w:t xml:space="preserve">eñales y carteles verticales de circulación </w:t>
      </w:r>
      <w:proofErr w:type="spellStart"/>
      <w:r w:rsidRPr="003A4B75">
        <w:t>retrorreflectantes</w:t>
      </w:r>
      <w:proofErr w:type="spellEnd"/>
      <w:r w:rsidRPr="003A4B75">
        <w:t xml:space="preserve"> </w:t>
      </w:r>
      <w:r>
        <w:t xml:space="preserve">y en el </w:t>
      </w:r>
      <w:r w:rsidR="00217216">
        <w:t>artículo</w:t>
      </w:r>
      <w:r>
        <w:t xml:space="preserve"> 703 elementos de balizamiento </w:t>
      </w:r>
      <w:proofErr w:type="spellStart"/>
      <w:r>
        <w:t>retrorreflectantes</w:t>
      </w:r>
      <w:proofErr w:type="spellEnd"/>
      <w:r>
        <w:t xml:space="preserve"> del presente pliego y del PG-3.</w:t>
      </w:r>
    </w:p>
    <w:p w14:paraId="6DEEFE6E" w14:textId="77777777" w:rsidR="008C33D6" w:rsidRPr="008C33D6" w:rsidRDefault="008C33D6" w:rsidP="000313DD">
      <w:pPr>
        <w:pStyle w:val="TITU2"/>
      </w:pPr>
      <w:bookmarkStart w:id="643" w:name="_Toc404382"/>
      <w:r>
        <w:t>555.3. Medición y abono</w:t>
      </w:r>
      <w:bookmarkEnd w:id="643"/>
    </w:p>
    <w:p w14:paraId="04A3B9C6" w14:textId="77777777" w:rsidR="008C33D6" w:rsidRPr="001B51D9" w:rsidRDefault="008C33D6" w:rsidP="008C33D6">
      <w:pPr>
        <w:pStyle w:val="NORMAL12"/>
        <w:rPr>
          <w:lang w:val="es-ES"/>
        </w:rPr>
      </w:pPr>
      <w:r w:rsidRPr="001B51D9">
        <w:rPr>
          <w:lang w:val="es-ES"/>
        </w:rPr>
        <w:t xml:space="preserve">Las prescripciones del presente artículo </w:t>
      </w:r>
      <w:proofErr w:type="gramStart"/>
      <w:r w:rsidRPr="001B51D9">
        <w:rPr>
          <w:lang w:val="es-ES"/>
        </w:rPr>
        <w:t>son de aplicación</w:t>
      </w:r>
      <w:proofErr w:type="gramEnd"/>
      <w:r w:rsidRPr="001B51D9">
        <w:rPr>
          <w:lang w:val="es-ES"/>
        </w:rPr>
        <w:t xml:space="preserve"> a las unidades de obra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12"/>
        <w:gridCol w:w="7466"/>
      </w:tblGrid>
      <w:tr w:rsidR="001B51D9" w:rsidRPr="009E1BDA" w14:paraId="5A92299A" w14:textId="77777777" w:rsidTr="001B51D9">
        <w:trPr>
          <w:jc w:val="center"/>
        </w:trPr>
        <w:tc>
          <w:tcPr>
            <w:tcW w:w="0" w:type="auto"/>
            <w:vAlign w:val="center"/>
          </w:tcPr>
          <w:p w14:paraId="181AA57E" w14:textId="77777777" w:rsidR="001B51D9" w:rsidRPr="009E1BDA" w:rsidRDefault="001B51D9" w:rsidP="001B51D9">
            <w:pPr>
              <w:spacing w:before="120" w:after="120"/>
              <w:jc w:val="center"/>
              <w:rPr>
                <w:rFonts w:ascii="Arial" w:hAnsi="Arial" w:cs="Arial"/>
                <w:b/>
                <w:bCs/>
                <w:sz w:val="20"/>
                <w:szCs w:val="20"/>
              </w:rPr>
            </w:pPr>
            <w:r w:rsidRPr="009E1BDA">
              <w:rPr>
                <w:rFonts w:ascii="Arial" w:hAnsi="Arial" w:cs="Arial"/>
                <w:b/>
                <w:bCs/>
                <w:sz w:val="20"/>
                <w:szCs w:val="20"/>
              </w:rPr>
              <w:t>Unidad de medida</w:t>
            </w:r>
          </w:p>
        </w:tc>
        <w:tc>
          <w:tcPr>
            <w:tcW w:w="0" w:type="auto"/>
            <w:vAlign w:val="center"/>
          </w:tcPr>
          <w:p w14:paraId="514B8DF7" w14:textId="77777777" w:rsidR="001B51D9" w:rsidRPr="009E1BDA" w:rsidRDefault="001B51D9" w:rsidP="0095111F">
            <w:pPr>
              <w:spacing w:before="120" w:after="120"/>
              <w:jc w:val="both"/>
              <w:rPr>
                <w:rFonts w:ascii="Arial" w:hAnsi="Arial" w:cs="Arial"/>
                <w:sz w:val="20"/>
                <w:szCs w:val="20"/>
              </w:rPr>
            </w:pPr>
            <w:r>
              <w:rPr>
                <w:rFonts w:ascii="Arial" w:hAnsi="Arial" w:cs="Arial"/>
                <w:sz w:val="20"/>
                <w:szCs w:val="20"/>
              </w:rPr>
              <w:t>Unidad (</w:t>
            </w:r>
            <w:proofErr w:type="spellStart"/>
            <w:r>
              <w:rPr>
                <w:rFonts w:ascii="Arial" w:hAnsi="Arial" w:cs="Arial"/>
                <w:sz w:val="20"/>
                <w:szCs w:val="20"/>
              </w:rPr>
              <w:t>ud</w:t>
            </w:r>
            <w:proofErr w:type="spellEnd"/>
            <w:r>
              <w:rPr>
                <w:rFonts w:ascii="Arial" w:hAnsi="Arial" w:cs="Arial"/>
                <w:sz w:val="20"/>
                <w:szCs w:val="20"/>
              </w:rPr>
              <w:t>)</w:t>
            </w:r>
          </w:p>
        </w:tc>
      </w:tr>
      <w:tr w:rsidR="001B51D9" w:rsidRPr="009E1BDA" w14:paraId="74B74FF4" w14:textId="77777777" w:rsidTr="001B51D9">
        <w:trPr>
          <w:jc w:val="center"/>
        </w:trPr>
        <w:tc>
          <w:tcPr>
            <w:tcW w:w="0" w:type="auto"/>
            <w:vAlign w:val="center"/>
          </w:tcPr>
          <w:p w14:paraId="3452CFDD" w14:textId="77777777" w:rsidR="001B51D9" w:rsidRPr="009E1BDA" w:rsidRDefault="001B51D9" w:rsidP="001B51D9">
            <w:pPr>
              <w:spacing w:before="120" w:after="120"/>
              <w:jc w:val="center"/>
              <w:rPr>
                <w:rFonts w:ascii="Arial" w:hAnsi="Arial" w:cs="Arial"/>
                <w:b/>
                <w:bCs/>
                <w:sz w:val="20"/>
                <w:szCs w:val="20"/>
              </w:rPr>
            </w:pPr>
            <w:r w:rsidRPr="009E1BDA">
              <w:rPr>
                <w:rFonts w:ascii="Arial" w:hAnsi="Arial" w:cs="Arial"/>
                <w:b/>
                <w:bCs/>
                <w:sz w:val="20"/>
                <w:szCs w:val="20"/>
              </w:rPr>
              <w:t>Grado de precisión</w:t>
            </w:r>
          </w:p>
        </w:tc>
        <w:tc>
          <w:tcPr>
            <w:tcW w:w="0" w:type="auto"/>
            <w:vAlign w:val="center"/>
          </w:tcPr>
          <w:p w14:paraId="67FD1FBC" w14:textId="77777777" w:rsidR="001B51D9" w:rsidRPr="009E1BDA" w:rsidRDefault="001B51D9" w:rsidP="0095111F">
            <w:pPr>
              <w:spacing w:before="120" w:after="120"/>
              <w:jc w:val="both"/>
              <w:rPr>
                <w:rFonts w:ascii="Arial" w:hAnsi="Arial" w:cs="Arial"/>
                <w:sz w:val="20"/>
                <w:szCs w:val="20"/>
              </w:rPr>
            </w:pPr>
            <w:r>
              <w:rPr>
                <w:rFonts w:ascii="Arial" w:hAnsi="Arial" w:cs="Arial"/>
                <w:sz w:val="20"/>
                <w:szCs w:val="20"/>
              </w:rPr>
              <w:t>Número entero</w:t>
            </w:r>
          </w:p>
        </w:tc>
      </w:tr>
      <w:tr w:rsidR="001B51D9" w:rsidRPr="009E1BDA" w14:paraId="66E1639B" w14:textId="77777777" w:rsidTr="001B51D9">
        <w:trPr>
          <w:jc w:val="center"/>
        </w:trPr>
        <w:tc>
          <w:tcPr>
            <w:tcW w:w="0" w:type="auto"/>
            <w:vAlign w:val="center"/>
          </w:tcPr>
          <w:p w14:paraId="3783299E" w14:textId="77777777" w:rsidR="001B51D9" w:rsidRPr="009E1BDA" w:rsidRDefault="001B51D9" w:rsidP="001B51D9">
            <w:pPr>
              <w:spacing w:before="120" w:after="120"/>
              <w:jc w:val="center"/>
              <w:rPr>
                <w:rFonts w:ascii="Arial" w:hAnsi="Arial" w:cs="Arial"/>
                <w:b/>
                <w:bCs/>
                <w:sz w:val="20"/>
                <w:szCs w:val="20"/>
              </w:rPr>
            </w:pPr>
            <w:r w:rsidRPr="009E1BDA">
              <w:rPr>
                <w:rFonts w:ascii="Arial" w:hAnsi="Arial" w:cs="Arial"/>
                <w:b/>
                <w:bCs/>
                <w:sz w:val="20"/>
                <w:szCs w:val="20"/>
              </w:rPr>
              <w:t>Forma de medición</w:t>
            </w:r>
          </w:p>
        </w:tc>
        <w:tc>
          <w:tcPr>
            <w:tcW w:w="0" w:type="auto"/>
            <w:vAlign w:val="center"/>
          </w:tcPr>
          <w:p w14:paraId="3DE0747B" w14:textId="77777777" w:rsidR="001B51D9" w:rsidRPr="009E1BDA" w:rsidRDefault="001B51D9" w:rsidP="0095111F">
            <w:pPr>
              <w:spacing w:before="120" w:after="120"/>
              <w:jc w:val="both"/>
              <w:rPr>
                <w:rFonts w:ascii="Arial" w:hAnsi="Arial" w:cs="Arial"/>
                <w:sz w:val="20"/>
                <w:szCs w:val="20"/>
              </w:rPr>
            </w:pPr>
            <w:r>
              <w:rPr>
                <w:rFonts w:ascii="Arial" w:hAnsi="Arial" w:cs="Arial"/>
                <w:sz w:val="20"/>
                <w:szCs w:val="20"/>
              </w:rPr>
              <w:t>Reparación del firme realmente ejecutada</w:t>
            </w:r>
          </w:p>
        </w:tc>
      </w:tr>
      <w:tr w:rsidR="001B51D9" w:rsidRPr="009E1BDA" w14:paraId="2755C23D" w14:textId="77777777" w:rsidTr="001B51D9">
        <w:trPr>
          <w:jc w:val="center"/>
        </w:trPr>
        <w:tc>
          <w:tcPr>
            <w:tcW w:w="0" w:type="auto"/>
            <w:vAlign w:val="center"/>
          </w:tcPr>
          <w:p w14:paraId="6FB711BD" w14:textId="77777777" w:rsidR="001B51D9" w:rsidRPr="009E1BDA" w:rsidRDefault="001B51D9" w:rsidP="001B51D9">
            <w:pPr>
              <w:spacing w:before="120" w:after="120"/>
              <w:jc w:val="center"/>
              <w:rPr>
                <w:rFonts w:ascii="Arial" w:hAnsi="Arial" w:cs="Arial"/>
                <w:b/>
                <w:bCs/>
                <w:sz w:val="20"/>
                <w:szCs w:val="20"/>
              </w:rPr>
            </w:pPr>
            <w:r w:rsidRPr="009E1BDA">
              <w:rPr>
                <w:rFonts w:ascii="Arial" w:hAnsi="Arial" w:cs="Arial"/>
                <w:b/>
                <w:bCs/>
                <w:sz w:val="20"/>
                <w:szCs w:val="20"/>
              </w:rPr>
              <w:t>Abono</w:t>
            </w:r>
          </w:p>
        </w:tc>
        <w:tc>
          <w:tcPr>
            <w:tcW w:w="0" w:type="auto"/>
            <w:vAlign w:val="center"/>
          </w:tcPr>
          <w:p w14:paraId="5D307718" w14:textId="77777777" w:rsidR="001B51D9" w:rsidRPr="009E1BDA" w:rsidRDefault="00583ADC" w:rsidP="0095111F">
            <w:pPr>
              <w:spacing w:before="120" w:after="120"/>
              <w:jc w:val="both"/>
              <w:rPr>
                <w:rFonts w:ascii="Arial" w:hAnsi="Arial" w:cs="Arial"/>
                <w:sz w:val="20"/>
                <w:szCs w:val="20"/>
              </w:rPr>
            </w:pPr>
            <w:r>
              <w:rPr>
                <w:rFonts w:ascii="Arial" w:hAnsi="Arial" w:cs="Arial"/>
                <w:sz w:val="20"/>
                <w:szCs w:val="20"/>
              </w:rPr>
              <w:t>Se realizará cuando se comprueb</w:t>
            </w:r>
            <w:r w:rsidR="00217216">
              <w:rPr>
                <w:rFonts w:ascii="Arial" w:hAnsi="Arial" w:cs="Arial"/>
                <w:sz w:val="20"/>
                <w:szCs w:val="20"/>
              </w:rPr>
              <w:t>e</w:t>
            </w:r>
            <w:r>
              <w:rPr>
                <w:rFonts w:ascii="Arial" w:hAnsi="Arial" w:cs="Arial"/>
                <w:sz w:val="20"/>
                <w:szCs w:val="20"/>
              </w:rPr>
              <w:t xml:space="preserve"> que se ha llevado a cabo la reparación del firme en las condiciones indicadas.</w:t>
            </w:r>
          </w:p>
        </w:tc>
      </w:tr>
      <w:tr w:rsidR="001B51D9" w:rsidRPr="009E1BDA" w14:paraId="5994CF5B" w14:textId="77777777" w:rsidTr="001B51D9">
        <w:trPr>
          <w:jc w:val="center"/>
        </w:trPr>
        <w:tc>
          <w:tcPr>
            <w:tcW w:w="0" w:type="auto"/>
            <w:vAlign w:val="center"/>
          </w:tcPr>
          <w:p w14:paraId="200974EE" w14:textId="77777777" w:rsidR="001B51D9" w:rsidRPr="009E1BDA" w:rsidRDefault="001B51D9" w:rsidP="001B51D9">
            <w:pPr>
              <w:spacing w:before="120" w:after="120"/>
              <w:jc w:val="center"/>
              <w:rPr>
                <w:rFonts w:ascii="Arial" w:hAnsi="Arial" w:cs="Arial"/>
                <w:b/>
                <w:bCs/>
                <w:sz w:val="20"/>
                <w:szCs w:val="20"/>
              </w:rPr>
            </w:pPr>
            <w:r w:rsidRPr="009E1BDA">
              <w:rPr>
                <w:rFonts w:ascii="Arial" w:hAnsi="Arial" w:cs="Arial"/>
                <w:b/>
                <w:bCs/>
                <w:sz w:val="20"/>
                <w:szCs w:val="20"/>
              </w:rPr>
              <w:t>Criterios complementarios</w:t>
            </w:r>
          </w:p>
        </w:tc>
        <w:tc>
          <w:tcPr>
            <w:tcW w:w="0" w:type="auto"/>
            <w:vAlign w:val="center"/>
          </w:tcPr>
          <w:p w14:paraId="25D78EFA" w14:textId="77777777" w:rsidR="00583ADC" w:rsidRPr="009E1BDA" w:rsidRDefault="00583ADC" w:rsidP="0095111F">
            <w:pPr>
              <w:spacing w:before="120" w:after="120"/>
              <w:jc w:val="both"/>
              <w:rPr>
                <w:rFonts w:ascii="Arial" w:hAnsi="Arial" w:cs="Arial"/>
                <w:sz w:val="20"/>
                <w:szCs w:val="20"/>
              </w:rPr>
            </w:pPr>
            <w:r>
              <w:rPr>
                <w:rFonts w:ascii="Arial" w:hAnsi="Arial" w:cs="Arial"/>
                <w:sz w:val="20"/>
                <w:szCs w:val="20"/>
              </w:rPr>
              <w:t>En el precio de la unidad están incluidos todos los materiales y medios auxiliares necesarios para la correcta ejecución de la unidad.</w:t>
            </w:r>
          </w:p>
        </w:tc>
      </w:tr>
    </w:tbl>
    <w:p w14:paraId="3CE3BB4A" w14:textId="77777777" w:rsidR="001B51D9" w:rsidRDefault="001B51D9" w:rsidP="008C33D6">
      <w:pPr>
        <w:pStyle w:val="NORMAL12"/>
        <w:rPr>
          <w:highlight w:val="green"/>
          <w:lang w:val="es-ES"/>
        </w:rPr>
      </w:pPr>
    </w:p>
    <w:p w14:paraId="0794C893" w14:textId="77777777" w:rsidR="00EF1D61" w:rsidRPr="0046359B" w:rsidRDefault="00EF1D61" w:rsidP="00EF1D61">
      <w:pPr>
        <w:pStyle w:val="TITU1"/>
      </w:pPr>
      <w:bookmarkStart w:id="644" w:name="_Toc404383"/>
      <w:r w:rsidRPr="0046359B">
        <w:rPr>
          <w:lang w:val="es-ES_tradnl"/>
        </w:rPr>
        <w:lastRenderedPageBreak/>
        <w:t xml:space="preserve">Artículo </w:t>
      </w:r>
      <w:r w:rsidR="0065022B" w:rsidRPr="0046359B">
        <w:rPr>
          <w:lang w:val="es-ES_tradnl"/>
        </w:rPr>
        <w:t>560</w:t>
      </w:r>
      <w:r w:rsidRPr="0046359B">
        <w:rPr>
          <w:lang w:val="es-ES_tradnl"/>
        </w:rPr>
        <w:t xml:space="preserve">. Pavimento de </w:t>
      </w:r>
      <w:r w:rsidR="00A51BDE" w:rsidRPr="0046359B">
        <w:rPr>
          <w:lang w:val="es-ES_tradnl"/>
        </w:rPr>
        <w:t>baldosas</w:t>
      </w:r>
      <w:bookmarkEnd w:id="644"/>
    </w:p>
    <w:p w14:paraId="71DF55D6" w14:textId="77777777" w:rsidR="00EF1D61" w:rsidRPr="0065022B" w:rsidRDefault="0065022B" w:rsidP="000313DD">
      <w:pPr>
        <w:pStyle w:val="TITU2"/>
      </w:pPr>
      <w:bookmarkStart w:id="645" w:name="_Toc433311413"/>
      <w:bookmarkStart w:id="646" w:name="_Toc404384"/>
      <w:r w:rsidRPr="0065022B">
        <w:t>560</w:t>
      </w:r>
      <w:r w:rsidR="00EF1D61" w:rsidRPr="0065022B">
        <w:t>.1.</w:t>
      </w:r>
      <w:r w:rsidR="00EF1D61" w:rsidRPr="0065022B">
        <w:tab/>
      </w:r>
      <w:r>
        <w:t xml:space="preserve"> </w:t>
      </w:r>
      <w:r w:rsidR="00EF1D61" w:rsidRPr="0065022B">
        <w:t>Definici</w:t>
      </w:r>
      <w:r w:rsidR="00EF1D61" w:rsidRPr="0065022B">
        <w:rPr>
          <w:rFonts w:hint="eastAsia"/>
        </w:rPr>
        <w:t>ó</w:t>
      </w:r>
      <w:r w:rsidR="00EF1D61" w:rsidRPr="0065022B">
        <w:t>n</w:t>
      </w:r>
      <w:bookmarkEnd w:id="645"/>
      <w:bookmarkEnd w:id="646"/>
    </w:p>
    <w:p w14:paraId="1FECF9EA" w14:textId="77777777" w:rsidR="00EF1D61" w:rsidRPr="00A51BDE" w:rsidRDefault="00EF1D61" w:rsidP="00A51BDE">
      <w:pPr>
        <w:pStyle w:val="NORMAL12"/>
        <w:rPr>
          <w:lang w:val="es-ES"/>
        </w:rPr>
      </w:pPr>
      <w:r w:rsidRPr="00A51BDE">
        <w:rPr>
          <w:lang w:val="es-ES"/>
        </w:rPr>
        <w:t xml:space="preserve">Las aceras son elementos generalmente prefabricados de loseta destinados a rematar una superficie para proporcionar accesibilidad a los peatones. </w:t>
      </w:r>
    </w:p>
    <w:p w14:paraId="613C538F" w14:textId="77777777" w:rsidR="00EF1D61" w:rsidRPr="00A51BDE" w:rsidRDefault="00EF1D61" w:rsidP="00A51BDE">
      <w:pPr>
        <w:pStyle w:val="NORMAL12"/>
        <w:rPr>
          <w:lang w:val="es-ES"/>
        </w:rPr>
      </w:pPr>
      <w:r w:rsidRPr="00A51BDE">
        <w:rPr>
          <w:lang w:val="es-ES"/>
        </w:rPr>
        <w:t>La presente unidad se refiere a los solados constituidos por baldosas de cemento (según clasificación y definiciones de la norma UNE 127-001-90) de color, de las dimensiones fijadas en los demás documentos del Proyecto, asen</w:t>
      </w:r>
      <w:r w:rsidR="0046359B">
        <w:rPr>
          <w:lang w:val="es-ES"/>
        </w:rPr>
        <w:t>tadas sobre una capa de mortero y solera de hormigón y base de zahorra.</w:t>
      </w:r>
    </w:p>
    <w:p w14:paraId="625E6EB6" w14:textId="77777777" w:rsidR="00EF1D61" w:rsidRPr="0065022B" w:rsidRDefault="0065022B" w:rsidP="000313DD">
      <w:pPr>
        <w:pStyle w:val="TITU2"/>
      </w:pPr>
      <w:bookmarkStart w:id="647" w:name="_Toc404385"/>
      <w:r w:rsidRPr="0065022B">
        <w:t>560.</w:t>
      </w:r>
      <w:r w:rsidR="00066BA3">
        <w:t>2</w:t>
      </w:r>
      <w:r w:rsidR="00D93E76">
        <w:t>.</w:t>
      </w:r>
      <w:r w:rsidR="00D93E76" w:rsidRPr="0065022B">
        <w:t xml:space="preserve"> </w:t>
      </w:r>
      <w:r w:rsidR="00036C21">
        <w:t xml:space="preserve"> </w:t>
      </w:r>
      <w:r w:rsidR="00D93E76" w:rsidRPr="0065022B">
        <w:t>Aplicación</w:t>
      </w:r>
      <w:bookmarkEnd w:id="647"/>
    </w:p>
    <w:p w14:paraId="5BCA2D2F" w14:textId="77777777" w:rsidR="00EF1D61" w:rsidRDefault="00EF1D61" w:rsidP="00EF1D61">
      <w:pPr>
        <w:spacing w:before="120" w:after="120" w:line="360" w:lineRule="auto"/>
        <w:jc w:val="both"/>
        <w:rPr>
          <w:rFonts w:ascii="Arial" w:hAnsi="Arial"/>
          <w:sz w:val="22"/>
          <w:lang w:val="es-ES_tradnl"/>
        </w:rPr>
      </w:pPr>
      <w:r w:rsidRPr="009E1BDA">
        <w:rPr>
          <w:rFonts w:ascii="Arial" w:hAnsi="Arial"/>
          <w:sz w:val="22"/>
          <w:lang w:val="es-ES_tradnl"/>
        </w:rPr>
        <w:t xml:space="preserve">Las prescripciones de este artículo </w:t>
      </w:r>
      <w:proofErr w:type="gramStart"/>
      <w:r w:rsidRPr="009E1BDA">
        <w:rPr>
          <w:rFonts w:ascii="Arial" w:hAnsi="Arial"/>
          <w:sz w:val="22"/>
          <w:lang w:val="es-ES_tradnl"/>
        </w:rPr>
        <w:t>son de aplicación</w:t>
      </w:r>
      <w:proofErr w:type="gramEnd"/>
      <w:r w:rsidRPr="009E1BDA">
        <w:rPr>
          <w:rFonts w:ascii="Arial" w:hAnsi="Arial"/>
          <w:sz w:val="22"/>
          <w:lang w:val="es-ES_tradnl"/>
        </w:rPr>
        <w:t xml:space="preserve"> a las siguientes unidades de obra:</w:t>
      </w:r>
    </w:p>
    <w:tbl>
      <w:tblPr>
        <w:tblW w:w="5000" w:type="pct"/>
        <w:tblCellMar>
          <w:left w:w="70" w:type="dxa"/>
          <w:right w:w="70" w:type="dxa"/>
        </w:tblCellMar>
        <w:tblLook w:val="04A0" w:firstRow="1" w:lastRow="0" w:firstColumn="1" w:lastColumn="0" w:noHBand="0" w:noVBand="1"/>
      </w:tblPr>
      <w:tblGrid>
        <w:gridCol w:w="1330"/>
        <w:gridCol w:w="643"/>
        <w:gridCol w:w="7805"/>
      </w:tblGrid>
      <w:tr w:rsidR="0065022B" w:rsidRPr="00016787" w14:paraId="170D7AFB" w14:textId="77777777" w:rsidTr="001013FE">
        <w:trPr>
          <w:trHeight w:val="300"/>
        </w:trPr>
        <w:tc>
          <w:tcPr>
            <w:tcW w:w="680" w:type="pct"/>
            <w:noWrap/>
            <w:hideMark/>
          </w:tcPr>
          <w:p w14:paraId="76344195" w14:textId="77777777" w:rsidR="0065022B" w:rsidRPr="005B79AD" w:rsidRDefault="0065022B" w:rsidP="001013FE">
            <w:pPr>
              <w:rPr>
                <w:rFonts w:ascii="Calibri" w:hAnsi="Calibri"/>
                <w:color w:val="000000"/>
              </w:rPr>
            </w:pPr>
            <w:r w:rsidRPr="005B79AD">
              <w:rPr>
                <w:rFonts w:ascii="Calibri" w:hAnsi="Calibri"/>
                <w:color w:val="000000"/>
              </w:rPr>
              <w:t xml:space="preserve">550.0001N         </w:t>
            </w:r>
          </w:p>
        </w:tc>
        <w:tc>
          <w:tcPr>
            <w:tcW w:w="329" w:type="pct"/>
            <w:noWrap/>
            <w:hideMark/>
          </w:tcPr>
          <w:p w14:paraId="4DC4E558" w14:textId="77777777" w:rsidR="0065022B" w:rsidRPr="005B79AD" w:rsidRDefault="0065022B" w:rsidP="001013FE">
            <w:pPr>
              <w:rPr>
                <w:rFonts w:ascii="Calibri" w:hAnsi="Calibri"/>
                <w:color w:val="000000"/>
              </w:rPr>
            </w:pPr>
            <w:r w:rsidRPr="005B79AD">
              <w:rPr>
                <w:rFonts w:ascii="Calibri" w:hAnsi="Calibri"/>
                <w:color w:val="000000"/>
              </w:rPr>
              <w:t>m²</w:t>
            </w:r>
          </w:p>
        </w:tc>
        <w:tc>
          <w:tcPr>
            <w:tcW w:w="3991" w:type="pct"/>
            <w:hideMark/>
          </w:tcPr>
          <w:p w14:paraId="159F3052" w14:textId="77777777" w:rsidR="0065022B" w:rsidRPr="005B79AD" w:rsidRDefault="005109E2" w:rsidP="0095111F">
            <w:pPr>
              <w:jc w:val="both"/>
              <w:rPr>
                <w:rFonts w:ascii="Calibri" w:hAnsi="Calibri"/>
                <w:color w:val="000000"/>
              </w:rPr>
            </w:pPr>
            <w:r w:rsidRPr="005B79AD">
              <w:rPr>
                <w:rFonts w:ascii="Calibri" w:hAnsi="Calibri"/>
                <w:color w:val="000000"/>
              </w:rPr>
              <w:t>PAVIMENTO DE BALDOSA DE TERRAZO, ACABADO SUPERFICIAL PÉTREO, DE 40X40X4 CM., SOBRE SOLERA DE HORMIGÓN HM-20/P/20/I, Y 10 CM. DE ESPESOR Y BASE DE ZAHORRA ARTIFICIAL DE 20 CM. DE ESPESOR, SENTADA CON MORTERO DE CEMENTO, I/P.P. DE JUNTA DE DILATACIÓN, ENLECHADO Y LIMPIEZA.</w:t>
            </w:r>
          </w:p>
        </w:tc>
      </w:tr>
    </w:tbl>
    <w:p w14:paraId="7B33A3B4" w14:textId="77777777" w:rsidR="0065022B" w:rsidRDefault="0065022B" w:rsidP="00EF1D61">
      <w:pPr>
        <w:spacing w:before="120" w:after="120" w:line="360" w:lineRule="auto"/>
        <w:jc w:val="both"/>
        <w:rPr>
          <w:rFonts w:ascii="Arial" w:hAnsi="Arial"/>
          <w:sz w:val="22"/>
          <w:lang w:val="es-ES_tradnl"/>
        </w:rPr>
      </w:pPr>
    </w:p>
    <w:p w14:paraId="071C3D42" w14:textId="77777777" w:rsidR="00EF1D61" w:rsidRPr="00A51BDE" w:rsidRDefault="00EF1D61" w:rsidP="00A51BDE">
      <w:pPr>
        <w:pStyle w:val="NORMAL12"/>
        <w:rPr>
          <w:lang w:val="es-ES"/>
        </w:rPr>
      </w:pPr>
      <w:r w:rsidRPr="00A51BDE">
        <w:rPr>
          <w:lang w:val="es-ES"/>
        </w:rPr>
        <w:t>El suministro y colocación de aceras incluye las siguientes operaciones:</w:t>
      </w:r>
    </w:p>
    <w:p w14:paraId="6166D308" w14:textId="77777777" w:rsidR="00EF1D61" w:rsidRPr="00A51BDE" w:rsidRDefault="00EF1D61" w:rsidP="00661A5F">
      <w:pPr>
        <w:pStyle w:val="NORMAL12"/>
        <w:numPr>
          <w:ilvl w:val="0"/>
          <w:numId w:val="215"/>
        </w:numPr>
        <w:rPr>
          <w:lang w:val="es-ES"/>
        </w:rPr>
      </w:pPr>
      <w:r w:rsidRPr="00A51BDE">
        <w:rPr>
          <w:lang w:val="es-ES"/>
        </w:rPr>
        <w:t xml:space="preserve">El suministro y colocación </w:t>
      </w:r>
      <w:r w:rsidR="0046359B">
        <w:rPr>
          <w:lang w:val="es-ES"/>
        </w:rPr>
        <w:t>de</w:t>
      </w:r>
      <w:r w:rsidRPr="00A51BDE">
        <w:rPr>
          <w:lang w:val="es-ES"/>
        </w:rPr>
        <w:t xml:space="preserve"> losetas, con dimensiones y características indicadas en los planos.</w:t>
      </w:r>
    </w:p>
    <w:p w14:paraId="40BAD3BD" w14:textId="77777777" w:rsidR="00EF1D61" w:rsidRPr="00A51BDE" w:rsidRDefault="00EF1D61" w:rsidP="00661A5F">
      <w:pPr>
        <w:pStyle w:val="NORMAL12"/>
        <w:numPr>
          <w:ilvl w:val="0"/>
          <w:numId w:val="215"/>
        </w:numPr>
        <w:rPr>
          <w:lang w:val="es-ES"/>
        </w:rPr>
      </w:pPr>
      <w:r w:rsidRPr="00A51BDE">
        <w:rPr>
          <w:lang w:val="es-ES"/>
        </w:rPr>
        <w:t>Suministro y colocación de hormigón H</w:t>
      </w:r>
      <w:r w:rsidR="00A51BDE">
        <w:rPr>
          <w:lang w:val="es-ES"/>
        </w:rPr>
        <w:t>M-20 y zahorra para la</w:t>
      </w:r>
      <w:r w:rsidRPr="00A51BDE">
        <w:rPr>
          <w:lang w:val="es-ES"/>
        </w:rPr>
        <w:t xml:space="preserve"> para base.</w:t>
      </w:r>
    </w:p>
    <w:p w14:paraId="5A59E0D6" w14:textId="77777777" w:rsidR="00EF1D61" w:rsidRPr="00A51BDE" w:rsidRDefault="0046359B" w:rsidP="00661A5F">
      <w:pPr>
        <w:pStyle w:val="NORMAL12"/>
        <w:numPr>
          <w:ilvl w:val="0"/>
          <w:numId w:val="215"/>
        </w:numPr>
        <w:rPr>
          <w:lang w:val="es-ES"/>
        </w:rPr>
      </w:pPr>
      <w:r>
        <w:rPr>
          <w:lang w:val="es-ES"/>
        </w:rPr>
        <w:t>Nivelado, rejuntado y enlechado.</w:t>
      </w:r>
    </w:p>
    <w:p w14:paraId="45135027" w14:textId="77777777" w:rsidR="00EF1D61" w:rsidRPr="00A51BDE" w:rsidRDefault="00EF1D61" w:rsidP="00661A5F">
      <w:pPr>
        <w:pStyle w:val="NORMAL12"/>
        <w:numPr>
          <w:ilvl w:val="0"/>
          <w:numId w:val="215"/>
        </w:numPr>
        <w:rPr>
          <w:lang w:val="es-ES"/>
        </w:rPr>
      </w:pPr>
      <w:r w:rsidRPr="00A51BDE">
        <w:rPr>
          <w:lang w:val="es-ES"/>
        </w:rPr>
        <w:t>Limpieza.</w:t>
      </w:r>
    </w:p>
    <w:p w14:paraId="10F6BCEA" w14:textId="77777777" w:rsidR="00EF1D61" w:rsidRPr="0065022B" w:rsidRDefault="0065022B" w:rsidP="000313DD">
      <w:pPr>
        <w:pStyle w:val="TITU2"/>
      </w:pPr>
      <w:bookmarkStart w:id="648" w:name="_Toc404386"/>
      <w:r w:rsidRPr="0065022B">
        <w:t>560</w:t>
      </w:r>
      <w:r>
        <w:t>.3</w:t>
      </w:r>
      <w:r w:rsidR="00EF1D61" w:rsidRPr="0065022B">
        <w:t>.</w:t>
      </w:r>
      <w:r>
        <w:t xml:space="preserve"> </w:t>
      </w:r>
      <w:r w:rsidR="00EF1D61" w:rsidRPr="0065022B">
        <w:tab/>
        <w:t>Materiales</w:t>
      </w:r>
      <w:bookmarkEnd w:id="648"/>
    </w:p>
    <w:p w14:paraId="64BA2131" w14:textId="77777777" w:rsidR="00EF1D61" w:rsidRDefault="00EF1D61" w:rsidP="00A51BDE">
      <w:pPr>
        <w:pStyle w:val="NORMAL12"/>
        <w:rPr>
          <w:lang w:val="es-ES"/>
        </w:rPr>
      </w:pPr>
      <w:r w:rsidRPr="00A51BDE">
        <w:rPr>
          <w:lang w:val="es-ES"/>
        </w:rPr>
        <w:t xml:space="preserve">Se cumplirá lo especificado en la normativa vigente para aceras prefabricadas utilizadas en aceras, con especial atención al hormigón </w:t>
      </w:r>
      <w:r w:rsidR="00A51BDE">
        <w:rPr>
          <w:lang w:val="es-ES"/>
        </w:rPr>
        <w:t>HM-20</w:t>
      </w:r>
      <w:r w:rsidRPr="00A51BDE">
        <w:rPr>
          <w:lang w:val="es-ES"/>
        </w:rPr>
        <w:t xml:space="preserve"> utilizado</w:t>
      </w:r>
      <w:r w:rsidR="00A51BDE">
        <w:rPr>
          <w:lang w:val="es-ES"/>
        </w:rPr>
        <w:t xml:space="preserve"> </w:t>
      </w:r>
      <w:r w:rsidRPr="00A51BDE">
        <w:rPr>
          <w:lang w:val="es-ES"/>
        </w:rPr>
        <w:t xml:space="preserve">para la base y los materiales empleados en su fabricación, que cumplirán lo establecido en la normativa vigente. </w:t>
      </w:r>
      <w:r w:rsidR="00FA438B">
        <w:rPr>
          <w:lang w:val="es-ES"/>
        </w:rPr>
        <w:t xml:space="preserve">El espesor de la capa de hormigón será de </w:t>
      </w:r>
      <w:r w:rsidR="00D93E76">
        <w:rPr>
          <w:lang w:val="es-ES"/>
        </w:rPr>
        <w:t>diez (</w:t>
      </w:r>
      <w:r w:rsidR="00FA438B">
        <w:rPr>
          <w:lang w:val="es-ES"/>
        </w:rPr>
        <w:t>10) centímetros.</w:t>
      </w:r>
    </w:p>
    <w:p w14:paraId="539839E1" w14:textId="77777777" w:rsidR="00FA438B" w:rsidRPr="00A51BDE" w:rsidRDefault="00FA438B" w:rsidP="00A51BDE">
      <w:pPr>
        <w:pStyle w:val="NORMAL12"/>
        <w:rPr>
          <w:lang w:val="es-ES"/>
        </w:rPr>
      </w:pPr>
      <w:r>
        <w:rPr>
          <w:lang w:val="es-ES"/>
        </w:rPr>
        <w:t>El hormigón cumplirá lo establecido en el artículo 610 del presente pliego y en la instrucción EHE. La zahorra utilizada cumplirá lo establecido en el artículo 510 del presente pliego. El espes</w:t>
      </w:r>
      <w:r w:rsidR="0046359B">
        <w:rPr>
          <w:lang w:val="es-ES"/>
        </w:rPr>
        <w:t>or</w:t>
      </w:r>
      <w:r>
        <w:rPr>
          <w:lang w:val="es-ES"/>
        </w:rPr>
        <w:t xml:space="preserve"> de la capa de zahorra será de veinte (20) centímetros.</w:t>
      </w:r>
    </w:p>
    <w:p w14:paraId="11F147DB" w14:textId="77777777" w:rsidR="00EF1D61" w:rsidRPr="00A51BDE" w:rsidRDefault="00EF1D61" w:rsidP="00A51BDE">
      <w:pPr>
        <w:pStyle w:val="NORMAL12"/>
        <w:rPr>
          <w:lang w:val="es-ES"/>
        </w:rPr>
      </w:pPr>
      <w:r w:rsidRPr="00A51BDE">
        <w:rPr>
          <w:lang w:val="es-ES"/>
        </w:rPr>
        <w:t xml:space="preserve">En concreto, los materiales que entren en la fabricación de las losas deberán cumplir las siguientes propiedades: </w:t>
      </w:r>
    </w:p>
    <w:p w14:paraId="705E4B3C" w14:textId="77777777" w:rsidR="00EF1D61" w:rsidRPr="00A51BDE" w:rsidRDefault="00EF1D61" w:rsidP="00661A5F">
      <w:pPr>
        <w:pStyle w:val="NORMAL12"/>
        <w:numPr>
          <w:ilvl w:val="0"/>
          <w:numId w:val="215"/>
        </w:numPr>
        <w:rPr>
          <w:lang w:val="es-ES"/>
        </w:rPr>
      </w:pPr>
      <w:r w:rsidRPr="00A51BDE">
        <w:rPr>
          <w:lang w:val="es-ES"/>
        </w:rPr>
        <w:t>Cemento: Debe cumplir los requisitos de la Norma UNE</w:t>
      </w:r>
      <w:r w:rsidR="005609C2">
        <w:rPr>
          <w:lang w:val="es-ES"/>
        </w:rPr>
        <w:t>-</w:t>
      </w:r>
      <w:r w:rsidRPr="00A51BDE">
        <w:rPr>
          <w:lang w:val="es-ES"/>
        </w:rPr>
        <w:t xml:space="preserve">EN 197-1:2000, los establecidos en la UNE 80303:2001 cuando se empleen cementos resistentes a sulfatos, al agua del mar y de bajo </w:t>
      </w:r>
      <w:r w:rsidRPr="005B79AD">
        <w:rPr>
          <w:lang w:val="es-ES"/>
        </w:rPr>
        <w:t>calor de hidratación; los de la UNE 80305:20</w:t>
      </w:r>
      <w:r w:rsidR="00097C55" w:rsidRPr="005B79AD">
        <w:rPr>
          <w:lang w:val="es-ES"/>
        </w:rPr>
        <w:t>11</w:t>
      </w:r>
      <w:r w:rsidRPr="005B79AD">
        <w:rPr>
          <w:lang w:val="es-ES"/>
        </w:rPr>
        <w:t xml:space="preserve"> cuando se empleen los cementos blancos y los de la UNE 80307:2001 cuando se empleen cementos para usos especiales. En todo caso, cumplirán la Instrucción para recepción de cementos RC-08.</w:t>
      </w:r>
    </w:p>
    <w:p w14:paraId="6C794337" w14:textId="77777777" w:rsidR="00EF1D61" w:rsidRPr="00A51BDE" w:rsidRDefault="00EF1D61" w:rsidP="00661A5F">
      <w:pPr>
        <w:pStyle w:val="NORMAL12"/>
        <w:numPr>
          <w:ilvl w:val="0"/>
          <w:numId w:val="215"/>
        </w:numPr>
        <w:rPr>
          <w:lang w:val="es-ES"/>
        </w:rPr>
      </w:pPr>
      <w:r w:rsidRPr="00A51BDE">
        <w:rPr>
          <w:lang w:val="es-ES"/>
        </w:rPr>
        <w:t>Marmolina: Polvo obtenido a partir de triturados finos de mármol, cuyas partículas pasan por el tamiz 1,40 UNE 7-050/2 (1,40 mm) y no pasan por el tamiz 90 UNE 7-050/2 (0,090 mm).</w:t>
      </w:r>
    </w:p>
    <w:p w14:paraId="03149017" w14:textId="77777777" w:rsidR="00EF1D61" w:rsidRPr="00A51BDE" w:rsidRDefault="00EF1D61" w:rsidP="00661A5F">
      <w:pPr>
        <w:pStyle w:val="NORMAL12"/>
        <w:numPr>
          <w:ilvl w:val="0"/>
          <w:numId w:val="215"/>
        </w:numPr>
        <w:rPr>
          <w:lang w:val="es-ES"/>
        </w:rPr>
      </w:pPr>
      <w:r w:rsidRPr="00A51BDE">
        <w:rPr>
          <w:lang w:val="es-ES"/>
        </w:rPr>
        <w:t>Áridos: Se emplearán arenas de río, de mina o arenas machacadas exentas de arcilla y materia orgánica. No contendrán piritas o cualquier otro tipo de sulfuros; estarán limpias y desprovistas de polvos de trituración u otra procedencia, que puedan afectar al fraguado, endurecimiento o a la colocación.</w:t>
      </w:r>
    </w:p>
    <w:p w14:paraId="46E8869D" w14:textId="77777777" w:rsidR="00EF1D61" w:rsidRPr="00A51BDE" w:rsidRDefault="00EF1D61" w:rsidP="00661A5F">
      <w:pPr>
        <w:pStyle w:val="NORMAL12"/>
        <w:numPr>
          <w:ilvl w:val="0"/>
          <w:numId w:val="215"/>
        </w:numPr>
        <w:rPr>
          <w:lang w:val="es-ES"/>
        </w:rPr>
      </w:pPr>
      <w:r w:rsidRPr="00A51BDE">
        <w:rPr>
          <w:lang w:val="es-ES"/>
        </w:rPr>
        <w:t>Aditivos: Se podrán utilizar siempre que la sustancia agregada en las proporciones previstas produzca el efecto deseado sin perturbar las demás características del hormigón o mortero.</w:t>
      </w:r>
    </w:p>
    <w:p w14:paraId="61812115" w14:textId="77777777" w:rsidR="00EF1D61" w:rsidRPr="00A51BDE" w:rsidRDefault="00EF1D61" w:rsidP="00661A5F">
      <w:pPr>
        <w:pStyle w:val="NORMAL12"/>
        <w:numPr>
          <w:ilvl w:val="0"/>
          <w:numId w:val="215"/>
        </w:numPr>
        <w:rPr>
          <w:lang w:val="es-ES"/>
        </w:rPr>
      </w:pPr>
      <w:r w:rsidRPr="00A51BDE">
        <w:rPr>
          <w:lang w:val="es-ES"/>
        </w:rPr>
        <w:t>Pigmentos: Serán estables y compatibles con los materiales que intervienen en el proceso de fabricación de las baldosas. Cuando se usen en forma de suspensión, los productos contenidos en la misma no comprometerán la futura estabilidad del color. Están especialmente indicados los pigmentos a base de óxidos metálicos que cumplan estas condiciones:</w:t>
      </w:r>
    </w:p>
    <w:p w14:paraId="31DF10A0" w14:textId="77777777" w:rsidR="00EF1D61" w:rsidRPr="00A51BDE" w:rsidRDefault="00EF1D61" w:rsidP="00661A5F">
      <w:pPr>
        <w:pStyle w:val="NORMAL12"/>
        <w:numPr>
          <w:ilvl w:val="1"/>
          <w:numId w:val="215"/>
        </w:numPr>
        <w:rPr>
          <w:lang w:val="es-ES"/>
        </w:rPr>
      </w:pPr>
      <w:r w:rsidRPr="00A51BDE">
        <w:rPr>
          <w:lang w:val="es-ES"/>
        </w:rPr>
        <w:t>Contenido en óxido metálico &gt; 90%</w:t>
      </w:r>
    </w:p>
    <w:p w14:paraId="558D967A" w14:textId="77777777" w:rsidR="00EF1D61" w:rsidRPr="00A51BDE" w:rsidRDefault="00EF1D61" w:rsidP="00661A5F">
      <w:pPr>
        <w:pStyle w:val="NORMAL12"/>
        <w:numPr>
          <w:ilvl w:val="1"/>
          <w:numId w:val="215"/>
        </w:numPr>
        <w:rPr>
          <w:lang w:val="es-ES"/>
        </w:rPr>
      </w:pPr>
      <w:r w:rsidRPr="00A51BDE">
        <w:rPr>
          <w:lang w:val="es-ES"/>
        </w:rPr>
        <w:t>Materias volátiles &lt; 1 %</w:t>
      </w:r>
    </w:p>
    <w:p w14:paraId="33D2A3AF" w14:textId="77777777" w:rsidR="00EF1D61" w:rsidRPr="00A51BDE" w:rsidRDefault="00EF1D61" w:rsidP="00661A5F">
      <w:pPr>
        <w:pStyle w:val="NORMAL12"/>
        <w:numPr>
          <w:ilvl w:val="1"/>
          <w:numId w:val="215"/>
        </w:numPr>
        <w:rPr>
          <w:lang w:val="es-ES"/>
        </w:rPr>
      </w:pPr>
      <w:r w:rsidRPr="00A51BDE">
        <w:rPr>
          <w:lang w:val="es-ES"/>
        </w:rPr>
        <w:t>Contenido en sales solubles en el agua &lt; 1 %</w:t>
      </w:r>
    </w:p>
    <w:p w14:paraId="32DE307D" w14:textId="77777777" w:rsidR="00EF1D61" w:rsidRPr="00A51BDE" w:rsidRDefault="00EF1D61" w:rsidP="00661A5F">
      <w:pPr>
        <w:pStyle w:val="NORMAL12"/>
        <w:numPr>
          <w:ilvl w:val="1"/>
          <w:numId w:val="215"/>
        </w:numPr>
        <w:rPr>
          <w:lang w:val="es-ES"/>
        </w:rPr>
      </w:pPr>
      <w:r w:rsidRPr="00A51BDE">
        <w:rPr>
          <w:lang w:val="es-ES"/>
        </w:rPr>
        <w:t>Residuo sobre el tamiz 63 UNE 7-050/2 (0,063 mm) &lt; 0,05%</w:t>
      </w:r>
    </w:p>
    <w:p w14:paraId="10F702EE" w14:textId="77777777" w:rsidR="00EF1D61" w:rsidRPr="00A51BDE" w:rsidRDefault="00EF1D61" w:rsidP="00661A5F">
      <w:pPr>
        <w:pStyle w:val="NORMAL12"/>
        <w:numPr>
          <w:ilvl w:val="1"/>
          <w:numId w:val="215"/>
        </w:numPr>
        <w:rPr>
          <w:lang w:val="es-ES"/>
        </w:rPr>
      </w:pPr>
      <w:r w:rsidRPr="00A51BDE">
        <w:rPr>
          <w:lang w:val="es-ES"/>
        </w:rPr>
        <w:lastRenderedPageBreak/>
        <w:t>Contenido en cloruros y sulfatos solubles en el agua &lt; 0, 1 %</w:t>
      </w:r>
    </w:p>
    <w:p w14:paraId="6F381DEE" w14:textId="77777777" w:rsidR="00EF1D61" w:rsidRPr="00A51BDE" w:rsidRDefault="00EF1D61" w:rsidP="00661A5F">
      <w:pPr>
        <w:pStyle w:val="NORMAL12"/>
        <w:numPr>
          <w:ilvl w:val="1"/>
          <w:numId w:val="215"/>
        </w:numPr>
        <w:rPr>
          <w:lang w:val="es-ES"/>
        </w:rPr>
      </w:pPr>
      <w:r w:rsidRPr="00A51BDE">
        <w:rPr>
          <w:lang w:val="es-ES"/>
        </w:rPr>
        <w:t>Contenido en óxido de calcio &lt; 5%</w:t>
      </w:r>
    </w:p>
    <w:p w14:paraId="56E11983" w14:textId="77777777" w:rsidR="00EF1D61" w:rsidRPr="00A51BDE" w:rsidRDefault="00EF1D61" w:rsidP="00661A5F">
      <w:pPr>
        <w:pStyle w:val="NORMAL12"/>
        <w:numPr>
          <w:ilvl w:val="0"/>
          <w:numId w:val="215"/>
        </w:numPr>
        <w:rPr>
          <w:lang w:val="es-ES"/>
        </w:rPr>
      </w:pPr>
      <w:r w:rsidRPr="00A51BDE">
        <w:rPr>
          <w:lang w:val="es-ES"/>
        </w:rPr>
        <w:t>Agua: Se utilizarán, tanto para el amasado como para el curado, todas aquellas que no perjudiquen al fraguado o endurecimiento de los hormigones.</w:t>
      </w:r>
    </w:p>
    <w:p w14:paraId="149C9FB8" w14:textId="77777777" w:rsidR="00EF1D61" w:rsidRPr="00A51BDE" w:rsidRDefault="00EF1D61" w:rsidP="00661A5F">
      <w:pPr>
        <w:pStyle w:val="NORMAL12"/>
        <w:numPr>
          <w:ilvl w:val="0"/>
          <w:numId w:val="215"/>
        </w:numPr>
        <w:rPr>
          <w:lang w:val="es-ES"/>
        </w:rPr>
      </w:pPr>
      <w:r w:rsidRPr="00A51BDE">
        <w:rPr>
          <w:lang w:val="es-ES"/>
        </w:rPr>
        <w:t>Las baldosas serán prefabricadas, y sus características serán tales que cumplan lo dispuesto en la norma UNE 127-001-90.</w:t>
      </w:r>
    </w:p>
    <w:p w14:paraId="57A80340" w14:textId="77777777" w:rsidR="00EF1D61" w:rsidRPr="0065022B" w:rsidRDefault="0065022B" w:rsidP="000313DD">
      <w:pPr>
        <w:pStyle w:val="TITU2"/>
      </w:pPr>
      <w:bookmarkStart w:id="649" w:name="_Toc404387"/>
      <w:r w:rsidRPr="0065022B">
        <w:t>560</w:t>
      </w:r>
      <w:r w:rsidR="00EF1D61" w:rsidRPr="0065022B">
        <w:t>.</w:t>
      </w:r>
      <w:r w:rsidRPr="0065022B">
        <w:t>4</w:t>
      </w:r>
      <w:r w:rsidR="00EF1D61" w:rsidRPr="0065022B">
        <w:t>.</w:t>
      </w:r>
      <w:r w:rsidR="00EF1D61" w:rsidRPr="0065022B">
        <w:tab/>
      </w:r>
      <w:r w:rsidR="001013FE">
        <w:t xml:space="preserve"> </w:t>
      </w:r>
      <w:r w:rsidR="00EF1D61" w:rsidRPr="0065022B">
        <w:t>Ejecución</w:t>
      </w:r>
      <w:r w:rsidRPr="0065022B">
        <w:t xml:space="preserve"> de las obras</w:t>
      </w:r>
      <w:bookmarkEnd w:id="649"/>
    </w:p>
    <w:p w14:paraId="63918AEF" w14:textId="77777777" w:rsidR="00EF1D61" w:rsidRPr="00A51BDE" w:rsidRDefault="00EF1D61" w:rsidP="00A51BDE">
      <w:pPr>
        <w:pStyle w:val="NORMAL12"/>
        <w:rPr>
          <w:lang w:val="es-ES"/>
        </w:rPr>
      </w:pPr>
      <w:r w:rsidRPr="00A51BDE">
        <w:rPr>
          <w:lang w:val="es-ES"/>
        </w:rPr>
        <w:t>Sobre el cimiento se extenderá una capa de mortero de consistencia seca tipo M-350, de 350 Kg de cemento CEM I-32,5 o CEM I-32,5 por m</w:t>
      </w:r>
      <w:r w:rsidRPr="00241CBC">
        <w:rPr>
          <w:vertAlign w:val="superscript"/>
          <w:lang w:val="es-ES"/>
        </w:rPr>
        <w:t>3</w:t>
      </w:r>
      <w:r w:rsidRPr="00A51BDE">
        <w:rPr>
          <w:lang w:val="es-ES"/>
        </w:rPr>
        <w:t xml:space="preserve"> de mortero, de unos 4 cm de espesor. Se extenderá sobre el mortero una fina capa de cemento en polvo.</w:t>
      </w:r>
    </w:p>
    <w:p w14:paraId="618BE71C" w14:textId="77777777" w:rsidR="00EF1D61" w:rsidRPr="00A51BDE" w:rsidRDefault="00EF1D61" w:rsidP="00A51BDE">
      <w:pPr>
        <w:pStyle w:val="NORMAL12"/>
        <w:rPr>
          <w:lang w:val="es-ES"/>
        </w:rPr>
      </w:pPr>
      <w:r w:rsidRPr="00A51BDE">
        <w:rPr>
          <w:lang w:val="es-ES"/>
        </w:rPr>
        <w:t>Sobre esta capa de asiento se colocarán a mano las losas previamente humectadas, golpeándolas con un martillo de goma, quedando bien asentadas y con su cara vista en la rasante prevista en los planos.</w:t>
      </w:r>
    </w:p>
    <w:p w14:paraId="4F2E19C7" w14:textId="77777777" w:rsidR="00EF1D61" w:rsidRPr="00A51BDE" w:rsidRDefault="00EF1D61" w:rsidP="00A51BDE">
      <w:pPr>
        <w:pStyle w:val="NORMAL12"/>
        <w:rPr>
          <w:lang w:val="es-ES"/>
        </w:rPr>
      </w:pPr>
      <w:r w:rsidRPr="00A51BDE">
        <w:rPr>
          <w:lang w:val="es-ES"/>
        </w:rPr>
        <w:t>Las losas quedarán colocadas en hiladas rectas con las juntas encontradas y el espesor de estas será de dos a tres milímetros (2-3 mm). La alineación de las juntas se asegurará tendiendo cuerda constantemente. Esta operación será completamente imprescindible cuando se trate de ejecutar cenefas y, en todo caso, siempre que así lo solicite la Dirección de Obra.</w:t>
      </w:r>
    </w:p>
    <w:p w14:paraId="369FC3C1" w14:textId="77777777" w:rsidR="00EF1D61" w:rsidRPr="00A51BDE" w:rsidRDefault="00EF1D61" w:rsidP="00A51BDE">
      <w:pPr>
        <w:pStyle w:val="NORMAL12"/>
        <w:rPr>
          <w:lang w:val="es-ES"/>
        </w:rPr>
      </w:pPr>
      <w:r w:rsidRPr="00A51BDE">
        <w:rPr>
          <w:lang w:val="es-ES"/>
        </w:rPr>
        <w:t>Los cortes se realizarán con sierra, y la ejecución de remates y cuchillos se realizarán según las indicaciones de la Dirección de Obra.</w:t>
      </w:r>
    </w:p>
    <w:p w14:paraId="2A25A280" w14:textId="77777777" w:rsidR="00EF1D61" w:rsidRPr="00A51BDE" w:rsidRDefault="00EF1D61" w:rsidP="00A51BDE">
      <w:pPr>
        <w:pStyle w:val="NORMAL12"/>
        <w:rPr>
          <w:lang w:val="es-ES"/>
        </w:rPr>
      </w:pPr>
      <w:r w:rsidRPr="00A51BDE">
        <w:rPr>
          <w:lang w:val="es-ES"/>
        </w:rPr>
        <w:t>Una vez colocadas las piezas de pavimento se procederá a regarlas abundantemente y después al relleno de las juntas mediante arena fina que se extenderá mediante barrido de la superficie. Sólo se admitirá el vertido de lechada en la superficie pare rejuntar cuando el material empleado sean losetas hidráulicas.</w:t>
      </w:r>
    </w:p>
    <w:p w14:paraId="00D7C4BF" w14:textId="77777777" w:rsidR="00EF1D61" w:rsidRPr="00A51BDE" w:rsidRDefault="00EF1D61" w:rsidP="00A51BDE">
      <w:pPr>
        <w:pStyle w:val="NORMAL12"/>
        <w:rPr>
          <w:lang w:val="es-ES"/>
        </w:rPr>
      </w:pPr>
      <w:r w:rsidRPr="00A51BDE">
        <w:rPr>
          <w:lang w:val="es-ES"/>
        </w:rPr>
        <w:t>El pavimento terminado no se abrirá al tránsito hasta pasados tres (3) días desde su ejecución.</w:t>
      </w:r>
    </w:p>
    <w:p w14:paraId="70A3885C" w14:textId="77777777" w:rsidR="00EF1D61" w:rsidRPr="00A51BDE" w:rsidRDefault="00EF1D61" w:rsidP="00A51BDE">
      <w:pPr>
        <w:pStyle w:val="NORMAL12"/>
        <w:rPr>
          <w:lang w:val="es-ES"/>
        </w:rPr>
      </w:pPr>
      <w:r w:rsidRPr="00A51BDE">
        <w:rPr>
          <w:lang w:val="es-ES"/>
        </w:rPr>
        <w:t>Las zonas que presenten cejillas o que retengan agua, deberán corregirse de acuerdo con lo que, sobre el particular, ordene la Dirección Técnica.</w:t>
      </w:r>
    </w:p>
    <w:p w14:paraId="4CB31B5F" w14:textId="77777777" w:rsidR="00EF1D61" w:rsidRPr="00A51BDE" w:rsidRDefault="00EF1D61" w:rsidP="00A51BDE">
      <w:pPr>
        <w:pStyle w:val="NORMAL12"/>
        <w:rPr>
          <w:lang w:val="es-ES"/>
        </w:rPr>
      </w:pPr>
      <w:r w:rsidRPr="00A51BDE">
        <w:rPr>
          <w:lang w:val="es-ES"/>
        </w:rPr>
        <w:t>Se cumplirá lo especificado en la normativa vigente para aceras, con especial atención a los aspectos siguientes:</w:t>
      </w:r>
    </w:p>
    <w:p w14:paraId="0E2DEAC0" w14:textId="77777777" w:rsidR="00EF1D61" w:rsidRPr="00A51BDE" w:rsidRDefault="00EF1D61" w:rsidP="00661A5F">
      <w:pPr>
        <w:pStyle w:val="NORMAL12"/>
        <w:numPr>
          <w:ilvl w:val="0"/>
          <w:numId w:val="215"/>
        </w:numPr>
        <w:rPr>
          <w:lang w:val="es-ES"/>
        </w:rPr>
      </w:pPr>
      <w:r w:rsidRPr="00A51BDE">
        <w:rPr>
          <w:lang w:val="es-ES"/>
        </w:rPr>
        <w:t>El cimiento de hormigón se ajusta a las dimensiones, alineación y rasante fijadas en el proyecto, deberá quedar bien asentado en la acera sin presencia de oquedades en el hormigón</w:t>
      </w:r>
    </w:p>
    <w:p w14:paraId="1293760F" w14:textId="77777777" w:rsidR="00EF1D61" w:rsidRPr="00A51BDE" w:rsidRDefault="00EF1D61" w:rsidP="00661A5F">
      <w:pPr>
        <w:pStyle w:val="NORMAL12"/>
        <w:numPr>
          <w:ilvl w:val="0"/>
          <w:numId w:val="215"/>
        </w:numPr>
        <w:rPr>
          <w:lang w:val="es-ES"/>
        </w:rPr>
      </w:pPr>
      <w:r w:rsidRPr="00A51BDE">
        <w:rPr>
          <w:lang w:val="es-ES"/>
        </w:rPr>
        <w:t>El rejuntado de piezas contiguas conjuntas no podrá exceder de medio centímetro (0,5 cm) de anchura.</w:t>
      </w:r>
    </w:p>
    <w:p w14:paraId="3E24DAAB" w14:textId="77777777" w:rsidR="00EF1D61" w:rsidRPr="00A51BDE" w:rsidRDefault="00EF1D61" w:rsidP="00661A5F">
      <w:pPr>
        <w:pStyle w:val="NORMAL12"/>
        <w:numPr>
          <w:ilvl w:val="0"/>
          <w:numId w:val="215"/>
        </w:numPr>
        <w:rPr>
          <w:lang w:val="es-ES"/>
        </w:rPr>
      </w:pPr>
      <w:r w:rsidRPr="00A51BDE">
        <w:rPr>
          <w:lang w:val="es-ES"/>
        </w:rPr>
        <w:t>Las líneas definidas por la arista superior deberán ser rectas y, en su caso, las curvas responder a las figuras prefijadas, ajustándose unas y otras a las rasantes fijadas.</w:t>
      </w:r>
    </w:p>
    <w:tbl>
      <w:tblPr>
        <w:tblW w:w="5280" w:type="dxa"/>
        <w:jc w:val="center"/>
        <w:tblCellMar>
          <w:left w:w="70" w:type="dxa"/>
          <w:right w:w="70" w:type="dxa"/>
        </w:tblCellMar>
        <w:tblLook w:val="04A0" w:firstRow="1" w:lastRow="0" w:firstColumn="1" w:lastColumn="0" w:noHBand="0" w:noVBand="1"/>
      </w:tblPr>
      <w:tblGrid>
        <w:gridCol w:w="3328"/>
        <w:gridCol w:w="1952"/>
      </w:tblGrid>
      <w:tr w:rsidR="00EF1D61" w:rsidRPr="009E1BDA" w14:paraId="4C363297" w14:textId="77777777" w:rsidTr="0046359B">
        <w:trPr>
          <w:trHeight w:val="433"/>
          <w:jc w:val="center"/>
        </w:trPr>
        <w:tc>
          <w:tcPr>
            <w:tcW w:w="33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6E594F6" w14:textId="77777777" w:rsidR="00EF1D61" w:rsidRPr="009E1BDA" w:rsidRDefault="00EF1D61" w:rsidP="0046359B">
            <w:pPr>
              <w:spacing w:before="120"/>
              <w:jc w:val="center"/>
              <w:rPr>
                <w:rFonts w:ascii="Arial" w:hAnsi="Arial" w:cs="Arial"/>
                <w:b/>
                <w:color w:val="000000"/>
                <w:sz w:val="20"/>
                <w:szCs w:val="20"/>
              </w:rPr>
            </w:pPr>
            <w:r w:rsidRPr="009E1BDA">
              <w:rPr>
                <w:rFonts w:ascii="Arial" w:hAnsi="Arial" w:cs="Arial"/>
                <w:b/>
                <w:color w:val="000000"/>
                <w:sz w:val="20"/>
                <w:szCs w:val="20"/>
              </w:rPr>
              <w:t>Características. Parámetro</w:t>
            </w:r>
          </w:p>
        </w:tc>
        <w:tc>
          <w:tcPr>
            <w:tcW w:w="1952"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09055BE" w14:textId="77777777" w:rsidR="00EF1D61" w:rsidRPr="009E1BDA" w:rsidRDefault="00EF1D61" w:rsidP="0046359B">
            <w:pPr>
              <w:spacing w:before="120"/>
              <w:jc w:val="center"/>
              <w:rPr>
                <w:rFonts w:ascii="Arial" w:hAnsi="Arial" w:cs="Arial"/>
                <w:b/>
                <w:color w:val="000000"/>
                <w:sz w:val="20"/>
                <w:szCs w:val="20"/>
              </w:rPr>
            </w:pPr>
            <w:r w:rsidRPr="009E1BDA">
              <w:rPr>
                <w:rFonts w:ascii="Arial" w:hAnsi="Arial" w:cs="Arial"/>
                <w:b/>
                <w:color w:val="000000"/>
                <w:sz w:val="20"/>
                <w:szCs w:val="20"/>
              </w:rPr>
              <w:t>Norma</w:t>
            </w:r>
          </w:p>
        </w:tc>
      </w:tr>
      <w:tr w:rsidR="00EF1D61" w:rsidRPr="009E1BDA" w14:paraId="0ED69379" w14:textId="77777777" w:rsidTr="00B54C79">
        <w:trPr>
          <w:trHeight w:val="433"/>
          <w:jc w:val="center"/>
        </w:trPr>
        <w:tc>
          <w:tcPr>
            <w:tcW w:w="3328" w:type="dxa"/>
            <w:tcBorders>
              <w:top w:val="nil"/>
              <w:left w:val="single" w:sz="4" w:space="0" w:color="auto"/>
              <w:bottom w:val="single" w:sz="4" w:space="0" w:color="auto"/>
              <w:right w:val="single" w:sz="4" w:space="0" w:color="auto"/>
            </w:tcBorders>
            <w:noWrap/>
            <w:vAlign w:val="center"/>
            <w:hideMark/>
          </w:tcPr>
          <w:p w14:paraId="563F9928" w14:textId="77777777" w:rsidR="00EF1D61" w:rsidRPr="009E1BDA" w:rsidRDefault="00EF1D61" w:rsidP="00B54C79">
            <w:pPr>
              <w:spacing w:before="120"/>
              <w:rPr>
                <w:rFonts w:ascii="Arial" w:hAnsi="Arial" w:cs="Arial"/>
                <w:color w:val="000000"/>
                <w:sz w:val="20"/>
                <w:szCs w:val="20"/>
              </w:rPr>
            </w:pPr>
            <w:r w:rsidRPr="009E1BDA">
              <w:rPr>
                <w:rFonts w:ascii="Arial" w:hAnsi="Arial" w:cs="Arial"/>
                <w:color w:val="000000"/>
                <w:sz w:val="20"/>
                <w:szCs w:val="20"/>
              </w:rPr>
              <w:t>Espesor de la base</w:t>
            </w:r>
          </w:p>
        </w:tc>
        <w:tc>
          <w:tcPr>
            <w:tcW w:w="1952" w:type="dxa"/>
            <w:tcBorders>
              <w:top w:val="nil"/>
              <w:left w:val="nil"/>
              <w:bottom w:val="single" w:sz="4" w:space="0" w:color="auto"/>
              <w:right w:val="single" w:sz="4" w:space="0" w:color="auto"/>
            </w:tcBorders>
            <w:noWrap/>
            <w:vAlign w:val="center"/>
            <w:hideMark/>
          </w:tcPr>
          <w:p w14:paraId="60E36640" w14:textId="77777777" w:rsidR="00EF1D61" w:rsidRPr="009E1BDA" w:rsidRDefault="00EF1D61" w:rsidP="0046359B">
            <w:pPr>
              <w:spacing w:before="120"/>
              <w:jc w:val="center"/>
              <w:rPr>
                <w:rFonts w:ascii="Arial" w:hAnsi="Arial" w:cs="Arial"/>
                <w:color w:val="000000"/>
                <w:sz w:val="20"/>
                <w:szCs w:val="20"/>
              </w:rPr>
            </w:pPr>
            <w:r w:rsidRPr="009E1BDA">
              <w:rPr>
                <w:rFonts w:ascii="Arial" w:hAnsi="Arial" w:cs="Arial"/>
                <w:color w:val="000000"/>
                <w:sz w:val="20"/>
                <w:szCs w:val="20"/>
              </w:rPr>
              <w:t>Visual / medida</w:t>
            </w:r>
          </w:p>
        </w:tc>
      </w:tr>
      <w:tr w:rsidR="00EF1D61" w:rsidRPr="009E1BDA" w14:paraId="08B1E635" w14:textId="77777777" w:rsidTr="00B54C79">
        <w:trPr>
          <w:trHeight w:val="433"/>
          <w:jc w:val="center"/>
        </w:trPr>
        <w:tc>
          <w:tcPr>
            <w:tcW w:w="3328" w:type="dxa"/>
            <w:tcBorders>
              <w:top w:val="nil"/>
              <w:left w:val="single" w:sz="4" w:space="0" w:color="auto"/>
              <w:bottom w:val="single" w:sz="4" w:space="0" w:color="auto"/>
              <w:right w:val="single" w:sz="4" w:space="0" w:color="auto"/>
            </w:tcBorders>
            <w:noWrap/>
            <w:vAlign w:val="center"/>
            <w:hideMark/>
          </w:tcPr>
          <w:p w14:paraId="58E443D9" w14:textId="77777777" w:rsidR="00EF1D61" w:rsidRPr="009E1BDA" w:rsidRDefault="00EF1D61" w:rsidP="00B54C79">
            <w:pPr>
              <w:spacing w:before="120"/>
              <w:rPr>
                <w:rFonts w:ascii="Arial" w:hAnsi="Arial" w:cs="Arial"/>
                <w:color w:val="000000"/>
                <w:sz w:val="20"/>
                <w:szCs w:val="20"/>
              </w:rPr>
            </w:pPr>
            <w:r w:rsidRPr="009E1BDA">
              <w:rPr>
                <w:rFonts w:ascii="Arial" w:hAnsi="Arial" w:cs="Arial"/>
                <w:color w:val="000000"/>
                <w:sz w:val="20"/>
                <w:szCs w:val="20"/>
              </w:rPr>
              <w:t>Dimensiones de la base</w:t>
            </w:r>
          </w:p>
        </w:tc>
        <w:tc>
          <w:tcPr>
            <w:tcW w:w="1952" w:type="dxa"/>
            <w:tcBorders>
              <w:top w:val="nil"/>
              <w:left w:val="nil"/>
              <w:bottom w:val="single" w:sz="4" w:space="0" w:color="auto"/>
              <w:right w:val="single" w:sz="4" w:space="0" w:color="auto"/>
            </w:tcBorders>
            <w:noWrap/>
            <w:vAlign w:val="center"/>
            <w:hideMark/>
          </w:tcPr>
          <w:p w14:paraId="480BD331" w14:textId="77777777" w:rsidR="00EF1D61" w:rsidRPr="009E1BDA" w:rsidRDefault="00EF1D61" w:rsidP="0046359B">
            <w:pPr>
              <w:spacing w:before="120"/>
              <w:jc w:val="center"/>
              <w:rPr>
                <w:rFonts w:ascii="Arial" w:hAnsi="Arial" w:cs="Arial"/>
                <w:color w:val="000000"/>
                <w:sz w:val="20"/>
                <w:szCs w:val="20"/>
              </w:rPr>
            </w:pPr>
            <w:r w:rsidRPr="009E1BDA">
              <w:rPr>
                <w:rFonts w:ascii="Arial" w:hAnsi="Arial" w:cs="Arial"/>
                <w:color w:val="000000"/>
                <w:sz w:val="20"/>
                <w:szCs w:val="20"/>
              </w:rPr>
              <w:t>Visual / medida</w:t>
            </w:r>
          </w:p>
        </w:tc>
      </w:tr>
      <w:tr w:rsidR="00EF1D61" w:rsidRPr="009E1BDA" w14:paraId="07074B82" w14:textId="77777777" w:rsidTr="00B54C79">
        <w:trPr>
          <w:trHeight w:val="433"/>
          <w:jc w:val="center"/>
        </w:trPr>
        <w:tc>
          <w:tcPr>
            <w:tcW w:w="3328" w:type="dxa"/>
            <w:tcBorders>
              <w:top w:val="nil"/>
              <w:left w:val="single" w:sz="4" w:space="0" w:color="auto"/>
              <w:bottom w:val="single" w:sz="4" w:space="0" w:color="auto"/>
              <w:right w:val="single" w:sz="4" w:space="0" w:color="auto"/>
            </w:tcBorders>
            <w:noWrap/>
            <w:vAlign w:val="center"/>
            <w:hideMark/>
          </w:tcPr>
          <w:p w14:paraId="2BD925D8" w14:textId="77777777" w:rsidR="00EF1D61" w:rsidRPr="009E1BDA" w:rsidRDefault="00EF1D61" w:rsidP="00B54C79">
            <w:pPr>
              <w:spacing w:before="120"/>
              <w:rPr>
                <w:rFonts w:ascii="Arial" w:hAnsi="Arial" w:cs="Arial"/>
                <w:color w:val="000000"/>
                <w:sz w:val="20"/>
                <w:szCs w:val="20"/>
              </w:rPr>
            </w:pPr>
            <w:r w:rsidRPr="009E1BDA">
              <w:rPr>
                <w:rFonts w:ascii="Arial" w:hAnsi="Arial" w:cs="Arial"/>
                <w:color w:val="000000"/>
                <w:sz w:val="20"/>
                <w:szCs w:val="20"/>
              </w:rPr>
              <w:t>Alineación y rasante de la base</w:t>
            </w:r>
          </w:p>
        </w:tc>
        <w:tc>
          <w:tcPr>
            <w:tcW w:w="1952" w:type="dxa"/>
            <w:tcBorders>
              <w:top w:val="nil"/>
              <w:left w:val="nil"/>
              <w:bottom w:val="single" w:sz="4" w:space="0" w:color="auto"/>
              <w:right w:val="single" w:sz="4" w:space="0" w:color="auto"/>
            </w:tcBorders>
            <w:noWrap/>
            <w:vAlign w:val="center"/>
            <w:hideMark/>
          </w:tcPr>
          <w:p w14:paraId="448D97D9" w14:textId="77777777" w:rsidR="00EF1D61" w:rsidRPr="009E1BDA" w:rsidRDefault="00EF1D61" w:rsidP="0046359B">
            <w:pPr>
              <w:spacing w:before="120"/>
              <w:jc w:val="center"/>
              <w:rPr>
                <w:rFonts w:ascii="Arial" w:hAnsi="Arial" w:cs="Arial"/>
                <w:color w:val="000000"/>
                <w:sz w:val="20"/>
                <w:szCs w:val="20"/>
              </w:rPr>
            </w:pPr>
            <w:r w:rsidRPr="009E1BDA">
              <w:rPr>
                <w:rFonts w:ascii="Arial" w:hAnsi="Arial" w:cs="Arial"/>
                <w:color w:val="000000"/>
                <w:sz w:val="20"/>
                <w:szCs w:val="20"/>
              </w:rPr>
              <w:t>Visual / medida</w:t>
            </w:r>
          </w:p>
        </w:tc>
      </w:tr>
    </w:tbl>
    <w:p w14:paraId="3DE86E61" w14:textId="77777777" w:rsidR="00EF1D61" w:rsidRPr="0065022B" w:rsidRDefault="0065022B" w:rsidP="000313DD">
      <w:pPr>
        <w:pStyle w:val="TITU2"/>
      </w:pPr>
      <w:bookmarkStart w:id="650" w:name="_Toc404388"/>
      <w:r w:rsidRPr="0065022B">
        <w:t>560</w:t>
      </w:r>
      <w:r w:rsidR="00EF1D61" w:rsidRPr="0065022B">
        <w:t>.</w:t>
      </w:r>
      <w:r w:rsidRPr="0065022B">
        <w:t>6</w:t>
      </w:r>
      <w:r w:rsidR="00EF1D61" w:rsidRPr="0065022B">
        <w:t>.</w:t>
      </w:r>
      <w:r w:rsidR="00EF1D61" w:rsidRPr="0065022B">
        <w:tab/>
      </w:r>
      <w:r>
        <w:t xml:space="preserve"> </w:t>
      </w:r>
      <w:r w:rsidR="00EF1D61" w:rsidRPr="0065022B">
        <w:t>Tratamiento de no conformidades</w:t>
      </w:r>
      <w:bookmarkEnd w:id="650"/>
    </w:p>
    <w:p w14:paraId="18DF42E7" w14:textId="77777777" w:rsidR="00EF1D61" w:rsidRPr="00A51BDE" w:rsidRDefault="00EF1D61" w:rsidP="00A51BDE">
      <w:pPr>
        <w:pStyle w:val="NORMAL12"/>
        <w:rPr>
          <w:lang w:val="es-ES"/>
        </w:rPr>
      </w:pPr>
      <w:r w:rsidRPr="00A51BDE">
        <w:rPr>
          <w:lang w:val="es-ES"/>
        </w:rPr>
        <w:t>Debe cumplir lo especificado en la normativa vigente con especial atención a los siguientes aspectos:</w:t>
      </w:r>
    </w:p>
    <w:tbl>
      <w:tblPr>
        <w:tblW w:w="0" w:type="auto"/>
        <w:tblCellMar>
          <w:left w:w="70" w:type="dxa"/>
          <w:right w:w="70" w:type="dxa"/>
        </w:tblCellMar>
        <w:tblLook w:val="04A0" w:firstRow="1" w:lastRow="0" w:firstColumn="1" w:lastColumn="0" w:noHBand="0" w:noVBand="1"/>
      </w:tblPr>
      <w:tblGrid>
        <w:gridCol w:w="2675"/>
        <w:gridCol w:w="3723"/>
        <w:gridCol w:w="3380"/>
      </w:tblGrid>
      <w:tr w:rsidR="00EF1D61" w:rsidRPr="009E1BDA" w14:paraId="2E0A0ECE" w14:textId="77777777" w:rsidTr="00B54C79">
        <w:trPr>
          <w:trHeight w:val="300"/>
        </w:trPr>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8164C38" w14:textId="77777777" w:rsidR="00EF1D61" w:rsidRPr="009E1BDA" w:rsidRDefault="00EF1D61" w:rsidP="00B54C79">
            <w:pPr>
              <w:spacing w:before="120"/>
              <w:jc w:val="center"/>
              <w:rPr>
                <w:rFonts w:ascii="Arial" w:hAnsi="Arial" w:cs="Arial"/>
                <w:b/>
                <w:color w:val="000000"/>
                <w:sz w:val="20"/>
                <w:szCs w:val="20"/>
              </w:rPr>
            </w:pPr>
            <w:r w:rsidRPr="009E1BDA">
              <w:rPr>
                <w:rFonts w:ascii="Arial" w:hAnsi="Arial" w:cs="Arial"/>
                <w:b/>
                <w:color w:val="000000"/>
                <w:sz w:val="20"/>
                <w:szCs w:val="20"/>
              </w:rPr>
              <w:t>Características. Parámetro</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1A76D1F1" w14:textId="77777777" w:rsidR="00EF1D61" w:rsidRPr="009E1BDA" w:rsidRDefault="00EF1D61" w:rsidP="00B54C79">
            <w:pPr>
              <w:spacing w:before="120"/>
              <w:jc w:val="center"/>
              <w:rPr>
                <w:rFonts w:ascii="Arial" w:hAnsi="Arial" w:cs="Arial"/>
                <w:b/>
                <w:color w:val="000000"/>
                <w:sz w:val="20"/>
                <w:szCs w:val="20"/>
              </w:rPr>
            </w:pPr>
            <w:r w:rsidRPr="009E1BDA">
              <w:rPr>
                <w:rFonts w:ascii="Arial" w:hAnsi="Arial" w:cs="Arial"/>
                <w:b/>
                <w:color w:val="000000"/>
                <w:sz w:val="20"/>
                <w:szCs w:val="20"/>
              </w:rPr>
              <w:t>No conformidad</w:t>
            </w:r>
          </w:p>
        </w:tc>
        <w:tc>
          <w:tcPr>
            <w:tcW w:w="0" w:type="auto"/>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14:paraId="5B60DCF8" w14:textId="77777777" w:rsidR="00EF1D61" w:rsidRPr="009E1BDA" w:rsidRDefault="00EF1D61" w:rsidP="00B54C79">
            <w:pPr>
              <w:spacing w:before="120"/>
              <w:jc w:val="center"/>
              <w:rPr>
                <w:rFonts w:ascii="Arial" w:hAnsi="Arial" w:cs="Arial"/>
                <w:b/>
                <w:color w:val="000000"/>
                <w:sz w:val="20"/>
                <w:szCs w:val="20"/>
              </w:rPr>
            </w:pPr>
            <w:r w:rsidRPr="009E1BDA">
              <w:rPr>
                <w:rFonts w:ascii="Arial" w:hAnsi="Arial" w:cs="Arial"/>
                <w:b/>
                <w:color w:val="000000"/>
                <w:sz w:val="20"/>
                <w:szCs w:val="20"/>
              </w:rPr>
              <w:t>Tratamiento</w:t>
            </w:r>
            <w:r w:rsidR="0046359B">
              <w:rPr>
                <w:rFonts w:ascii="Arial" w:hAnsi="Arial" w:cs="Arial"/>
                <w:b/>
                <w:color w:val="000000"/>
                <w:sz w:val="20"/>
                <w:szCs w:val="20"/>
              </w:rPr>
              <w:t xml:space="preserve"> de no conformidades</w:t>
            </w:r>
          </w:p>
        </w:tc>
      </w:tr>
      <w:tr w:rsidR="00EF1D61" w:rsidRPr="009E1BDA" w14:paraId="3E34F5D8" w14:textId="77777777" w:rsidTr="00B54C79">
        <w:trPr>
          <w:trHeight w:val="1500"/>
        </w:trPr>
        <w:tc>
          <w:tcPr>
            <w:tcW w:w="0" w:type="auto"/>
            <w:vMerge w:val="restart"/>
            <w:tcBorders>
              <w:top w:val="nil"/>
              <w:left w:val="single" w:sz="4" w:space="0" w:color="auto"/>
              <w:bottom w:val="single" w:sz="4" w:space="0" w:color="auto"/>
              <w:right w:val="single" w:sz="4" w:space="0" w:color="auto"/>
            </w:tcBorders>
            <w:noWrap/>
            <w:vAlign w:val="center"/>
            <w:hideMark/>
          </w:tcPr>
          <w:p w14:paraId="52E6C037" w14:textId="77777777" w:rsidR="00EF1D61" w:rsidRPr="009E1BDA" w:rsidRDefault="00EF1D61" w:rsidP="00B54C79">
            <w:pPr>
              <w:spacing w:before="120"/>
              <w:rPr>
                <w:rFonts w:ascii="Arial" w:hAnsi="Arial" w:cs="Arial"/>
                <w:color w:val="000000"/>
                <w:sz w:val="20"/>
                <w:szCs w:val="20"/>
              </w:rPr>
            </w:pPr>
            <w:r w:rsidRPr="009E1BDA">
              <w:rPr>
                <w:rFonts w:ascii="Arial" w:hAnsi="Arial" w:cs="Arial"/>
                <w:color w:val="000000"/>
                <w:sz w:val="20"/>
                <w:szCs w:val="20"/>
              </w:rPr>
              <w:t>Ejecución del encintado</w:t>
            </w:r>
          </w:p>
        </w:tc>
        <w:tc>
          <w:tcPr>
            <w:tcW w:w="0" w:type="auto"/>
            <w:tcBorders>
              <w:top w:val="nil"/>
              <w:left w:val="nil"/>
              <w:bottom w:val="single" w:sz="4" w:space="0" w:color="auto"/>
              <w:right w:val="single" w:sz="4" w:space="0" w:color="auto"/>
            </w:tcBorders>
            <w:vAlign w:val="center"/>
            <w:hideMark/>
          </w:tcPr>
          <w:p w14:paraId="7968CD7A" w14:textId="77777777" w:rsidR="00EF1D61" w:rsidRPr="009E1BDA" w:rsidRDefault="00EF1D61" w:rsidP="0046359B">
            <w:pPr>
              <w:spacing w:before="120"/>
              <w:jc w:val="center"/>
              <w:rPr>
                <w:rFonts w:ascii="Arial" w:hAnsi="Arial" w:cs="Arial"/>
                <w:color w:val="000000"/>
                <w:sz w:val="20"/>
                <w:szCs w:val="20"/>
              </w:rPr>
            </w:pPr>
            <w:r w:rsidRPr="009E1BDA">
              <w:rPr>
                <w:rFonts w:ascii="Arial" w:hAnsi="Arial" w:cs="Arial"/>
                <w:color w:val="000000"/>
                <w:sz w:val="20"/>
                <w:szCs w:val="20"/>
              </w:rPr>
              <w:t xml:space="preserve">Capa de hormigón </w:t>
            </w:r>
            <w:r w:rsidR="00FA438B">
              <w:rPr>
                <w:rFonts w:ascii="Arial" w:hAnsi="Arial" w:cs="Arial"/>
                <w:color w:val="000000"/>
                <w:sz w:val="20"/>
                <w:szCs w:val="20"/>
              </w:rPr>
              <w:t xml:space="preserve">y zahorra </w:t>
            </w:r>
            <w:r w:rsidRPr="009E1BDA">
              <w:rPr>
                <w:rFonts w:ascii="Arial" w:hAnsi="Arial" w:cs="Arial"/>
                <w:color w:val="000000"/>
                <w:sz w:val="20"/>
                <w:szCs w:val="20"/>
              </w:rPr>
              <w:t>para recibir la acera con menor espesor de lo especificado</w:t>
            </w:r>
          </w:p>
        </w:tc>
        <w:tc>
          <w:tcPr>
            <w:tcW w:w="0" w:type="auto"/>
            <w:tcBorders>
              <w:top w:val="nil"/>
              <w:left w:val="nil"/>
              <w:bottom w:val="single" w:sz="4" w:space="0" w:color="auto"/>
              <w:right w:val="single" w:sz="4" w:space="0" w:color="auto"/>
            </w:tcBorders>
            <w:vAlign w:val="center"/>
            <w:hideMark/>
          </w:tcPr>
          <w:p w14:paraId="449FB6CF" w14:textId="77777777" w:rsidR="00EF1D61" w:rsidRPr="009E1BDA" w:rsidRDefault="00EF1D61" w:rsidP="0046359B">
            <w:pPr>
              <w:spacing w:before="120"/>
              <w:jc w:val="center"/>
              <w:rPr>
                <w:rFonts w:ascii="Arial" w:hAnsi="Arial" w:cs="Arial"/>
                <w:color w:val="000000"/>
                <w:sz w:val="20"/>
                <w:szCs w:val="20"/>
              </w:rPr>
            </w:pPr>
            <w:r w:rsidRPr="009E1BDA">
              <w:rPr>
                <w:rFonts w:ascii="Arial" w:hAnsi="Arial" w:cs="Arial"/>
                <w:color w:val="000000"/>
                <w:sz w:val="20"/>
                <w:szCs w:val="20"/>
              </w:rPr>
              <w:t>Levantado del encintado, extensión de capa de hormigón y reposición por cuenta del contratista</w:t>
            </w:r>
          </w:p>
        </w:tc>
      </w:tr>
      <w:tr w:rsidR="00EF1D61" w:rsidRPr="009E1BDA" w14:paraId="55552670" w14:textId="77777777" w:rsidTr="00B54C79">
        <w:trPr>
          <w:trHeight w:val="402"/>
        </w:trPr>
        <w:tc>
          <w:tcPr>
            <w:tcW w:w="0" w:type="auto"/>
            <w:vMerge/>
            <w:tcBorders>
              <w:top w:val="nil"/>
              <w:left w:val="single" w:sz="4" w:space="0" w:color="auto"/>
              <w:bottom w:val="single" w:sz="4" w:space="0" w:color="auto"/>
              <w:right w:val="single" w:sz="4" w:space="0" w:color="auto"/>
            </w:tcBorders>
            <w:vAlign w:val="center"/>
            <w:hideMark/>
          </w:tcPr>
          <w:p w14:paraId="10C846B9" w14:textId="77777777" w:rsidR="00EF1D61" w:rsidRPr="009E1BDA" w:rsidRDefault="00EF1D61" w:rsidP="00B54C79">
            <w:pPr>
              <w:spacing w:before="120"/>
              <w:rPr>
                <w:rFonts w:ascii="Arial" w:hAnsi="Arial" w:cs="Arial"/>
                <w:color w:val="000000"/>
                <w:sz w:val="20"/>
                <w:szCs w:val="20"/>
              </w:rPr>
            </w:pPr>
          </w:p>
        </w:tc>
        <w:tc>
          <w:tcPr>
            <w:tcW w:w="0" w:type="auto"/>
            <w:tcBorders>
              <w:top w:val="nil"/>
              <w:left w:val="nil"/>
              <w:bottom w:val="single" w:sz="4" w:space="0" w:color="auto"/>
              <w:right w:val="single" w:sz="4" w:space="0" w:color="auto"/>
            </w:tcBorders>
            <w:noWrap/>
            <w:vAlign w:val="center"/>
            <w:hideMark/>
          </w:tcPr>
          <w:p w14:paraId="6E4DE638" w14:textId="77777777" w:rsidR="00EF1D61" w:rsidRPr="009E1BDA" w:rsidRDefault="00EF1D61" w:rsidP="0046359B">
            <w:pPr>
              <w:spacing w:before="120"/>
              <w:jc w:val="center"/>
              <w:rPr>
                <w:rFonts w:ascii="Arial" w:hAnsi="Arial" w:cs="Arial"/>
                <w:color w:val="000000"/>
                <w:sz w:val="20"/>
                <w:szCs w:val="20"/>
              </w:rPr>
            </w:pPr>
            <w:r w:rsidRPr="009E1BDA">
              <w:rPr>
                <w:rFonts w:ascii="Arial" w:hAnsi="Arial" w:cs="Arial"/>
                <w:color w:val="000000"/>
                <w:sz w:val="20"/>
                <w:szCs w:val="20"/>
              </w:rPr>
              <w:t>Colocación deficiente, falta de linealidad</w:t>
            </w:r>
          </w:p>
        </w:tc>
        <w:tc>
          <w:tcPr>
            <w:tcW w:w="0" w:type="auto"/>
            <w:vMerge w:val="restart"/>
            <w:tcBorders>
              <w:top w:val="nil"/>
              <w:left w:val="single" w:sz="4" w:space="0" w:color="auto"/>
              <w:bottom w:val="single" w:sz="4" w:space="0" w:color="000000"/>
              <w:right w:val="single" w:sz="4" w:space="0" w:color="auto"/>
            </w:tcBorders>
            <w:vAlign w:val="center"/>
            <w:hideMark/>
          </w:tcPr>
          <w:p w14:paraId="3D85E955" w14:textId="77777777" w:rsidR="00EF1D61" w:rsidRPr="009E1BDA" w:rsidRDefault="00EF1D61" w:rsidP="0046359B">
            <w:pPr>
              <w:spacing w:before="120"/>
              <w:jc w:val="center"/>
              <w:rPr>
                <w:rFonts w:ascii="Arial" w:hAnsi="Arial" w:cs="Arial"/>
                <w:color w:val="000000"/>
                <w:sz w:val="20"/>
                <w:szCs w:val="20"/>
              </w:rPr>
            </w:pPr>
            <w:r w:rsidRPr="009E1BDA">
              <w:rPr>
                <w:rFonts w:ascii="Arial" w:hAnsi="Arial" w:cs="Arial"/>
                <w:color w:val="000000"/>
                <w:sz w:val="20"/>
                <w:szCs w:val="20"/>
              </w:rPr>
              <w:t>Levantamiento del encintado en zonas defectuosas y reposición por cuenta del contratista.</w:t>
            </w:r>
          </w:p>
        </w:tc>
      </w:tr>
      <w:tr w:rsidR="00EF1D61" w:rsidRPr="009E1BDA" w14:paraId="4E822B1F" w14:textId="77777777" w:rsidTr="00B54C79">
        <w:trPr>
          <w:trHeight w:val="402"/>
        </w:trPr>
        <w:tc>
          <w:tcPr>
            <w:tcW w:w="0" w:type="auto"/>
            <w:vMerge w:val="restart"/>
            <w:tcBorders>
              <w:top w:val="nil"/>
              <w:left w:val="single" w:sz="4" w:space="0" w:color="auto"/>
              <w:bottom w:val="single" w:sz="4" w:space="0" w:color="auto"/>
              <w:right w:val="single" w:sz="4" w:space="0" w:color="auto"/>
            </w:tcBorders>
            <w:noWrap/>
            <w:vAlign w:val="center"/>
            <w:hideMark/>
          </w:tcPr>
          <w:p w14:paraId="3EB0783F" w14:textId="77777777" w:rsidR="00EF1D61" w:rsidRPr="009E1BDA" w:rsidRDefault="00EF1D61" w:rsidP="00B54C79">
            <w:pPr>
              <w:spacing w:before="120"/>
              <w:rPr>
                <w:rFonts w:ascii="Arial" w:hAnsi="Arial" w:cs="Arial"/>
                <w:color w:val="000000"/>
                <w:sz w:val="20"/>
                <w:szCs w:val="20"/>
              </w:rPr>
            </w:pPr>
            <w:r w:rsidRPr="009E1BDA">
              <w:rPr>
                <w:rFonts w:ascii="Arial" w:hAnsi="Arial" w:cs="Arial"/>
                <w:color w:val="000000"/>
                <w:sz w:val="20"/>
                <w:szCs w:val="20"/>
              </w:rPr>
              <w:t>Planeidad del encintado</w:t>
            </w:r>
          </w:p>
        </w:tc>
        <w:tc>
          <w:tcPr>
            <w:tcW w:w="0" w:type="auto"/>
            <w:tcBorders>
              <w:top w:val="nil"/>
              <w:left w:val="nil"/>
              <w:bottom w:val="single" w:sz="4" w:space="0" w:color="auto"/>
              <w:right w:val="single" w:sz="4" w:space="0" w:color="auto"/>
            </w:tcBorders>
            <w:noWrap/>
            <w:vAlign w:val="center"/>
            <w:hideMark/>
          </w:tcPr>
          <w:p w14:paraId="1301CF66" w14:textId="77777777" w:rsidR="00EF1D61" w:rsidRPr="009E1BDA" w:rsidRDefault="00EF1D61" w:rsidP="0046359B">
            <w:pPr>
              <w:spacing w:before="120"/>
              <w:jc w:val="center"/>
              <w:rPr>
                <w:rFonts w:ascii="Arial" w:hAnsi="Arial" w:cs="Arial"/>
                <w:color w:val="000000"/>
                <w:sz w:val="20"/>
                <w:szCs w:val="20"/>
              </w:rPr>
            </w:pPr>
            <w:r w:rsidRPr="009E1BDA">
              <w:rPr>
                <w:rFonts w:ascii="Arial" w:hAnsi="Arial" w:cs="Arial"/>
                <w:color w:val="000000"/>
                <w:sz w:val="20"/>
                <w:szCs w:val="20"/>
              </w:rPr>
              <w:t>Variaciones superiores a 6 mm</w:t>
            </w:r>
          </w:p>
        </w:tc>
        <w:tc>
          <w:tcPr>
            <w:tcW w:w="0" w:type="auto"/>
            <w:vMerge/>
            <w:tcBorders>
              <w:top w:val="nil"/>
              <w:left w:val="single" w:sz="4" w:space="0" w:color="auto"/>
              <w:bottom w:val="single" w:sz="4" w:space="0" w:color="000000"/>
              <w:right w:val="single" w:sz="4" w:space="0" w:color="auto"/>
            </w:tcBorders>
            <w:vAlign w:val="center"/>
            <w:hideMark/>
          </w:tcPr>
          <w:p w14:paraId="477E2C9C" w14:textId="77777777" w:rsidR="00EF1D61" w:rsidRPr="009E1BDA" w:rsidRDefault="00EF1D61" w:rsidP="0046359B">
            <w:pPr>
              <w:spacing w:before="120"/>
              <w:jc w:val="center"/>
              <w:rPr>
                <w:rFonts w:ascii="Arial" w:hAnsi="Arial" w:cs="Arial"/>
                <w:color w:val="000000"/>
                <w:sz w:val="20"/>
                <w:szCs w:val="20"/>
              </w:rPr>
            </w:pPr>
          </w:p>
        </w:tc>
      </w:tr>
      <w:tr w:rsidR="00EF1D61" w:rsidRPr="009E1BDA" w14:paraId="06F4846F" w14:textId="77777777" w:rsidTr="00B54C79">
        <w:trPr>
          <w:trHeight w:val="402"/>
        </w:trPr>
        <w:tc>
          <w:tcPr>
            <w:tcW w:w="0" w:type="auto"/>
            <w:vMerge/>
            <w:tcBorders>
              <w:top w:val="nil"/>
              <w:left w:val="single" w:sz="4" w:space="0" w:color="auto"/>
              <w:bottom w:val="single" w:sz="4" w:space="0" w:color="auto"/>
              <w:right w:val="single" w:sz="4" w:space="0" w:color="auto"/>
            </w:tcBorders>
            <w:vAlign w:val="center"/>
            <w:hideMark/>
          </w:tcPr>
          <w:p w14:paraId="72BD24EB" w14:textId="77777777" w:rsidR="00EF1D61" w:rsidRPr="009E1BDA" w:rsidRDefault="00EF1D61" w:rsidP="00B54C79">
            <w:pPr>
              <w:spacing w:before="120"/>
              <w:rPr>
                <w:rFonts w:ascii="Arial" w:hAnsi="Arial" w:cs="Arial"/>
                <w:color w:val="000000"/>
                <w:sz w:val="20"/>
                <w:szCs w:val="20"/>
              </w:rPr>
            </w:pPr>
          </w:p>
        </w:tc>
        <w:tc>
          <w:tcPr>
            <w:tcW w:w="0" w:type="auto"/>
            <w:tcBorders>
              <w:top w:val="nil"/>
              <w:left w:val="nil"/>
              <w:bottom w:val="single" w:sz="4" w:space="0" w:color="auto"/>
              <w:right w:val="single" w:sz="4" w:space="0" w:color="auto"/>
            </w:tcBorders>
            <w:noWrap/>
            <w:vAlign w:val="center"/>
            <w:hideMark/>
          </w:tcPr>
          <w:p w14:paraId="5D3E3159" w14:textId="77777777" w:rsidR="00EF1D61" w:rsidRPr="009E1BDA" w:rsidRDefault="00EF1D61" w:rsidP="0046359B">
            <w:pPr>
              <w:spacing w:before="120"/>
              <w:jc w:val="center"/>
              <w:rPr>
                <w:rFonts w:ascii="Arial" w:hAnsi="Arial" w:cs="Arial"/>
                <w:color w:val="000000"/>
                <w:sz w:val="20"/>
                <w:szCs w:val="20"/>
              </w:rPr>
            </w:pPr>
            <w:r w:rsidRPr="009E1BDA">
              <w:rPr>
                <w:rFonts w:ascii="Arial" w:hAnsi="Arial" w:cs="Arial"/>
                <w:color w:val="000000"/>
                <w:sz w:val="20"/>
                <w:szCs w:val="20"/>
              </w:rPr>
              <w:t>Cejas superiores a 4 mm</w:t>
            </w:r>
          </w:p>
        </w:tc>
        <w:tc>
          <w:tcPr>
            <w:tcW w:w="0" w:type="auto"/>
            <w:vMerge/>
            <w:tcBorders>
              <w:top w:val="nil"/>
              <w:left w:val="single" w:sz="4" w:space="0" w:color="auto"/>
              <w:bottom w:val="single" w:sz="4" w:space="0" w:color="000000"/>
              <w:right w:val="single" w:sz="4" w:space="0" w:color="auto"/>
            </w:tcBorders>
            <w:vAlign w:val="center"/>
            <w:hideMark/>
          </w:tcPr>
          <w:p w14:paraId="35F8056A" w14:textId="77777777" w:rsidR="00EF1D61" w:rsidRPr="009E1BDA" w:rsidRDefault="00EF1D61" w:rsidP="0046359B">
            <w:pPr>
              <w:spacing w:before="120"/>
              <w:jc w:val="center"/>
              <w:rPr>
                <w:rFonts w:ascii="Arial" w:hAnsi="Arial" w:cs="Arial"/>
                <w:color w:val="000000"/>
                <w:sz w:val="20"/>
                <w:szCs w:val="20"/>
              </w:rPr>
            </w:pPr>
          </w:p>
        </w:tc>
      </w:tr>
      <w:tr w:rsidR="00EF1D61" w:rsidRPr="009E1BDA" w14:paraId="4DBC2630" w14:textId="77777777" w:rsidTr="00B54C79">
        <w:trPr>
          <w:trHeight w:val="402"/>
        </w:trPr>
        <w:tc>
          <w:tcPr>
            <w:tcW w:w="0" w:type="auto"/>
            <w:vMerge w:val="restart"/>
            <w:tcBorders>
              <w:top w:val="nil"/>
              <w:left w:val="single" w:sz="4" w:space="0" w:color="auto"/>
              <w:bottom w:val="single" w:sz="4" w:space="0" w:color="auto"/>
              <w:right w:val="single" w:sz="4" w:space="0" w:color="auto"/>
            </w:tcBorders>
            <w:noWrap/>
            <w:vAlign w:val="center"/>
            <w:hideMark/>
          </w:tcPr>
          <w:p w14:paraId="6D895064" w14:textId="77777777" w:rsidR="00EF1D61" w:rsidRPr="009E1BDA" w:rsidRDefault="00EF1D61" w:rsidP="00B54C79">
            <w:pPr>
              <w:spacing w:before="120"/>
              <w:rPr>
                <w:rFonts w:ascii="Arial" w:hAnsi="Arial" w:cs="Arial"/>
                <w:color w:val="000000"/>
                <w:sz w:val="20"/>
                <w:szCs w:val="20"/>
              </w:rPr>
            </w:pPr>
            <w:r w:rsidRPr="009E1BDA">
              <w:rPr>
                <w:rFonts w:ascii="Arial" w:hAnsi="Arial" w:cs="Arial"/>
                <w:color w:val="000000"/>
                <w:sz w:val="20"/>
                <w:szCs w:val="20"/>
              </w:rPr>
              <w:t>Juntas</w:t>
            </w:r>
          </w:p>
        </w:tc>
        <w:tc>
          <w:tcPr>
            <w:tcW w:w="0" w:type="auto"/>
            <w:tcBorders>
              <w:top w:val="nil"/>
              <w:left w:val="nil"/>
              <w:bottom w:val="single" w:sz="4" w:space="0" w:color="auto"/>
              <w:right w:val="single" w:sz="4" w:space="0" w:color="auto"/>
            </w:tcBorders>
            <w:noWrap/>
            <w:vAlign w:val="center"/>
            <w:hideMark/>
          </w:tcPr>
          <w:p w14:paraId="47DE03C4" w14:textId="77777777" w:rsidR="00EF1D61" w:rsidRPr="009E1BDA" w:rsidRDefault="00EF1D61" w:rsidP="0046359B">
            <w:pPr>
              <w:spacing w:before="120"/>
              <w:jc w:val="center"/>
              <w:rPr>
                <w:rFonts w:ascii="Arial" w:hAnsi="Arial" w:cs="Arial"/>
                <w:color w:val="000000"/>
                <w:sz w:val="20"/>
                <w:szCs w:val="20"/>
              </w:rPr>
            </w:pPr>
            <w:r w:rsidRPr="009E1BDA">
              <w:rPr>
                <w:rFonts w:ascii="Arial" w:hAnsi="Arial" w:cs="Arial"/>
                <w:color w:val="000000"/>
                <w:sz w:val="20"/>
                <w:szCs w:val="20"/>
              </w:rPr>
              <w:t>Superiores a 1 cm</w:t>
            </w:r>
          </w:p>
        </w:tc>
        <w:tc>
          <w:tcPr>
            <w:tcW w:w="0" w:type="auto"/>
            <w:vMerge/>
            <w:tcBorders>
              <w:top w:val="nil"/>
              <w:left w:val="single" w:sz="4" w:space="0" w:color="auto"/>
              <w:bottom w:val="single" w:sz="4" w:space="0" w:color="000000"/>
              <w:right w:val="single" w:sz="4" w:space="0" w:color="auto"/>
            </w:tcBorders>
            <w:vAlign w:val="center"/>
            <w:hideMark/>
          </w:tcPr>
          <w:p w14:paraId="2B433E5C" w14:textId="77777777" w:rsidR="00EF1D61" w:rsidRPr="009E1BDA" w:rsidRDefault="00EF1D61" w:rsidP="0046359B">
            <w:pPr>
              <w:spacing w:before="120"/>
              <w:jc w:val="center"/>
              <w:rPr>
                <w:rFonts w:ascii="Arial" w:hAnsi="Arial" w:cs="Arial"/>
                <w:color w:val="000000"/>
                <w:sz w:val="20"/>
                <w:szCs w:val="20"/>
              </w:rPr>
            </w:pPr>
          </w:p>
        </w:tc>
      </w:tr>
      <w:tr w:rsidR="00EF1D61" w:rsidRPr="009E1BDA" w14:paraId="4DA97545" w14:textId="77777777" w:rsidTr="0046359B">
        <w:trPr>
          <w:trHeight w:val="600"/>
        </w:trPr>
        <w:tc>
          <w:tcPr>
            <w:tcW w:w="0" w:type="auto"/>
            <w:vMerge/>
            <w:tcBorders>
              <w:top w:val="nil"/>
              <w:left w:val="single" w:sz="4" w:space="0" w:color="auto"/>
              <w:bottom w:val="single" w:sz="4" w:space="0" w:color="auto"/>
              <w:right w:val="single" w:sz="4" w:space="0" w:color="auto"/>
            </w:tcBorders>
            <w:vAlign w:val="center"/>
            <w:hideMark/>
          </w:tcPr>
          <w:p w14:paraId="4611E650" w14:textId="77777777" w:rsidR="00EF1D61" w:rsidRPr="009E1BDA" w:rsidRDefault="00EF1D61" w:rsidP="0046359B">
            <w:pPr>
              <w:spacing w:before="120"/>
              <w:jc w:val="center"/>
              <w:rPr>
                <w:rFonts w:ascii="Arial" w:hAnsi="Arial" w:cs="Arial"/>
                <w:color w:val="000000"/>
                <w:sz w:val="20"/>
                <w:szCs w:val="20"/>
              </w:rPr>
            </w:pPr>
          </w:p>
        </w:tc>
        <w:tc>
          <w:tcPr>
            <w:tcW w:w="0" w:type="auto"/>
            <w:tcBorders>
              <w:top w:val="nil"/>
              <w:left w:val="nil"/>
              <w:bottom w:val="single" w:sz="4" w:space="0" w:color="auto"/>
              <w:right w:val="single" w:sz="4" w:space="0" w:color="auto"/>
            </w:tcBorders>
            <w:noWrap/>
            <w:vAlign w:val="center"/>
            <w:hideMark/>
          </w:tcPr>
          <w:p w14:paraId="37BD73F7" w14:textId="77777777" w:rsidR="00EF1D61" w:rsidRPr="009E1BDA" w:rsidRDefault="00EF1D61" w:rsidP="0046359B">
            <w:pPr>
              <w:spacing w:before="120"/>
              <w:jc w:val="center"/>
              <w:rPr>
                <w:rFonts w:ascii="Arial" w:hAnsi="Arial" w:cs="Arial"/>
                <w:color w:val="000000"/>
                <w:sz w:val="20"/>
                <w:szCs w:val="20"/>
              </w:rPr>
            </w:pPr>
            <w:r w:rsidRPr="009E1BDA">
              <w:rPr>
                <w:rFonts w:ascii="Arial" w:hAnsi="Arial" w:cs="Arial"/>
                <w:color w:val="000000"/>
                <w:sz w:val="20"/>
                <w:szCs w:val="20"/>
              </w:rPr>
              <w:t>Ausencia de lechada en juntas</w:t>
            </w:r>
          </w:p>
        </w:tc>
        <w:tc>
          <w:tcPr>
            <w:tcW w:w="0" w:type="auto"/>
            <w:tcBorders>
              <w:top w:val="nil"/>
              <w:left w:val="nil"/>
              <w:bottom w:val="single" w:sz="4" w:space="0" w:color="auto"/>
              <w:right w:val="single" w:sz="4" w:space="0" w:color="auto"/>
            </w:tcBorders>
            <w:vAlign w:val="center"/>
            <w:hideMark/>
          </w:tcPr>
          <w:p w14:paraId="7A168998" w14:textId="77777777" w:rsidR="00EF1D61" w:rsidRPr="009E1BDA" w:rsidRDefault="00EF1D61" w:rsidP="0046359B">
            <w:pPr>
              <w:spacing w:before="120"/>
              <w:jc w:val="center"/>
              <w:rPr>
                <w:rFonts w:ascii="Arial" w:hAnsi="Arial" w:cs="Arial"/>
                <w:color w:val="000000"/>
                <w:sz w:val="20"/>
                <w:szCs w:val="20"/>
              </w:rPr>
            </w:pPr>
            <w:r w:rsidRPr="009E1BDA">
              <w:rPr>
                <w:rFonts w:ascii="Arial" w:hAnsi="Arial" w:cs="Arial"/>
                <w:color w:val="000000"/>
                <w:sz w:val="20"/>
                <w:szCs w:val="20"/>
              </w:rPr>
              <w:t>Relleno de las juntas por cuenta del contratista</w:t>
            </w:r>
          </w:p>
        </w:tc>
      </w:tr>
    </w:tbl>
    <w:p w14:paraId="7904A504" w14:textId="77777777" w:rsidR="00531952" w:rsidRDefault="00531952" w:rsidP="000313DD">
      <w:pPr>
        <w:pStyle w:val="TITU2"/>
      </w:pPr>
    </w:p>
    <w:p w14:paraId="423B7933" w14:textId="77777777" w:rsidR="00EF1D61" w:rsidRPr="0065022B" w:rsidRDefault="00531952" w:rsidP="000313DD">
      <w:pPr>
        <w:pStyle w:val="TITU2"/>
      </w:pPr>
      <w:r>
        <w:br w:type="column"/>
      </w:r>
      <w:bookmarkStart w:id="651" w:name="_Toc404389"/>
      <w:r w:rsidR="0065022B" w:rsidRPr="0065022B">
        <w:lastRenderedPageBreak/>
        <w:t>560</w:t>
      </w:r>
      <w:r w:rsidR="00EF1D61" w:rsidRPr="0065022B">
        <w:t>.</w:t>
      </w:r>
      <w:r w:rsidR="0065022B" w:rsidRPr="0065022B">
        <w:t>8</w:t>
      </w:r>
      <w:r w:rsidR="00EF1D61" w:rsidRPr="0065022B">
        <w:t>.</w:t>
      </w:r>
      <w:r w:rsidR="00EF1D61" w:rsidRPr="0065022B">
        <w:tab/>
      </w:r>
      <w:r w:rsidR="0065022B">
        <w:t xml:space="preserve"> </w:t>
      </w:r>
      <w:r w:rsidR="00EF1D61" w:rsidRPr="0065022B">
        <w:t>Control de calidad</w:t>
      </w:r>
      <w:bookmarkEnd w:id="651"/>
    </w:p>
    <w:p w14:paraId="7EA55EFB" w14:textId="77777777" w:rsidR="00EF1D61" w:rsidRPr="00A51BDE" w:rsidRDefault="00EF1D61" w:rsidP="00A51BDE">
      <w:pPr>
        <w:pStyle w:val="NORMAL12"/>
        <w:rPr>
          <w:lang w:val="es-ES"/>
        </w:rPr>
      </w:pPr>
      <w:r w:rsidRPr="00A51BDE">
        <w:rPr>
          <w:lang w:val="es-ES"/>
        </w:rPr>
        <w:t>Se someterá al material empleado al siguiente conjunto de ensayos:</w:t>
      </w:r>
    </w:p>
    <w:p w14:paraId="2939D200" w14:textId="77777777" w:rsidR="00EF1D61" w:rsidRPr="00A51BDE" w:rsidRDefault="00EF1D61" w:rsidP="00661A5F">
      <w:pPr>
        <w:pStyle w:val="NORMAL12"/>
        <w:numPr>
          <w:ilvl w:val="0"/>
          <w:numId w:val="215"/>
        </w:numPr>
        <w:rPr>
          <w:lang w:val="es-ES"/>
        </w:rPr>
      </w:pPr>
      <w:r w:rsidRPr="00A51BDE">
        <w:rPr>
          <w:lang w:val="es-ES"/>
        </w:rPr>
        <w:t>Resistencia a flexión (UNE 127.006): 1 por cada 1000 m²</w:t>
      </w:r>
    </w:p>
    <w:p w14:paraId="2A3A0592" w14:textId="77777777" w:rsidR="00EF1D61" w:rsidRPr="00A51BDE" w:rsidRDefault="00EF1D61" w:rsidP="00661A5F">
      <w:pPr>
        <w:pStyle w:val="NORMAL12"/>
        <w:numPr>
          <w:ilvl w:val="0"/>
          <w:numId w:val="215"/>
        </w:numPr>
        <w:rPr>
          <w:lang w:val="es-ES"/>
        </w:rPr>
      </w:pPr>
      <w:r w:rsidRPr="00A51BDE">
        <w:rPr>
          <w:lang w:val="es-ES"/>
        </w:rPr>
        <w:t>Resistencia al desgaste (UNE 127.005): 1 por cada 1000 m²</w:t>
      </w:r>
    </w:p>
    <w:p w14:paraId="0EF47507" w14:textId="77777777" w:rsidR="00EF1D61" w:rsidRPr="00A51BDE" w:rsidRDefault="00EF1D61" w:rsidP="00661A5F">
      <w:pPr>
        <w:pStyle w:val="NORMAL12"/>
        <w:numPr>
          <w:ilvl w:val="0"/>
          <w:numId w:val="215"/>
        </w:numPr>
        <w:rPr>
          <w:lang w:val="es-ES"/>
        </w:rPr>
      </w:pPr>
      <w:r w:rsidRPr="00A51BDE">
        <w:rPr>
          <w:lang w:val="es-ES"/>
        </w:rPr>
        <w:t>Heladicidad (UNE 127.004): 1 por cada 1000 m²</w:t>
      </w:r>
    </w:p>
    <w:p w14:paraId="533A4FDB" w14:textId="77777777" w:rsidR="00EF1D61" w:rsidRPr="00A51BDE" w:rsidRDefault="00EF1D61" w:rsidP="00661A5F">
      <w:pPr>
        <w:pStyle w:val="NORMAL12"/>
        <w:numPr>
          <w:ilvl w:val="0"/>
          <w:numId w:val="215"/>
        </w:numPr>
        <w:rPr>
          <w:lang w:val="es-ES"/>
        </w:rPr>
      </w:pPr>
      <w:r w:rsidRPr="00A51BDE">
        <w:rPr>
          <w:lang w:val="es-ES"/>
        </w:rPr>
        <w:t>Absorción (UNE 127.002): 1 por cada 1000 m²</w:t>
      </w:r>
    </w:p>
    <w:p w14:paraId="7F1654E1" w14:textId="77777777" w:rsidR="00EF1D61" w:rsidRPr="00A51BDE" w:rsidRDefault="00EF1D61" w:rsidP="00A51BDE">
      <w:pPr>
        <w:pStyle w:val="NORMAL12"/>
        <w:rPr>
          <w:lang w:val="es-ES"/>
        </w:rPr>
      </w:pPr>
      <w:r w:rsidRPr="00A51BDE">
        <w:rPr>
          <w:lang w:val="es-ES"/>
        </w:rPr>
        <w:t xml:space="preserve">Si con el material utilizado se aporta certificado acreditativo del cumplimiento de las especificaciones técnicas de este artículo o estuviese en posesión de una marca, sello o distintito de calidad homologado, los criterios descritos no son de aplicación obligatoria, sin perjuicio de las facultades que corresponden al </w:t>
      </w:r>
      <w:proofErr w:type="gramStart"/>
      <w:r w:rsidRPr="00A51BDE">
        <w:rPr>
          <w:lang w:val="es-ES"/>
        </w:rPr>
        <w:t>Director</w:t>
      </w:r>
      <w:proofErr w:type="gramEnd"/>
      <w:r w:rsidRPr="00A51BDE">
        <w:rPr>
          <w:lang w:val="es-ES"/>
        </w:rPr>
        <w:t xml:space="preserve"> de obra.</w:t>
      </w:r>
    </w:p>
    <w:p w14:paraId="16C33127" w14:textId="77777777" w:rsidR="00EF1D61" w:rsidRPr="0065022B" w:rsidRDefault="0065022B" w:rsidP="000313DD">
      <w:pPr>
        <w:pStyle w:val="TITU2"/>
      </w:pPr>
      <w:bookmarkStart w:id="652" w:name="_Toc404390"/>
      <w:r w:rsidRPr="0065022B">
        <w:t>560</w:t>
      </w:r>
      <w:r w:rsidR="00EF1D61" w:rsidRPr="0065022B">
        <w:t>.9</w:t>
      </w:r>
      <w:r w:rsidR="00EF1D61" w:rsidRPr="0065022B">
        <w:tab/>
      </w:r>
      <w:r w:rsidR="00066BA3">
        <w:t xml:space="preserve">. </w:t>
      </w:r>
      <w:r w:rsidR="00EF1D61" w:rsidRPr="0065022B">
        <w:t>Medición y abono</w:t>
      </w:r>
      <w:bookmarkEnd w:id="652"/>
    </w:p>
    <w:p w14:paraId="594170EB" w14:textId="77777777" w:rsidR="00EF1D61" w:rsidRPr="00A51BDE" w:rsidRDefault="00217216" w:rsidP="00EF1D61">
      <w:pPr>
        <w:spacing w:before="120" w:after="120" w:line="360" w:lineRule="auto"/>
        <w:jc w:val="both"/>
        <w:rPr>
          <w:rFonts w:ascii="Arial" w:hAnsi="Arial" w:cs="Arial"/>
          <w:lang w:eastAsia="en-US"/>
        </w:rPr>
      </w:pPr>
      <w:r w:rsidRPr="00A51BDE">
        <w:rPr>
          <w:rFonts w:ascii="Arial" w:hAnsi="Arial" w:cs="Arial"/>
          <w:lang w:eastAsia="en-US"/>
        </w:rPr>
        <w:t>La medición y el</w:t>
      </w:r>
      <w:r w:rsidR="00B54C79">
        <w:rPr>
          <w:rFonts w:ascii="Arial" w:hAnsi="Arial" w:cs="Arial"/>
          <w:lang w:eastAsia="en-US"/>
        </w:rPr>
        <w:t xml:space="preserve"> abono de la unidad de pavimento de baldosa</w:t>
      </w:r>
      <w:r w:rsidR="00EF1D61" w:rsidRPr="00A51BDE">
        <w:rPr>
          <w:rFonts w:ascii="Arial" w:hAnsi="Arial" w:cs="Arial"/>
          <w:lang w:eastAsia="en-US"/>
        </w:rPr>
        <w:t xml:space="preserve"> </w:t>
      </w:r>
      <w:r w:rsidR="00B54C79">
        <w:rPr>
          <w:rFonts w:ascii="Arial" w:hAnsi="Arial" w:cs="Arial"/>
          <w:lang w:eastAsia="en-US"/>
        </w:rPr>
        <w:t>se realizará según los criterios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07"/>
        <w:gridCol w:w="7571"/>
      </w:tblGrid>
      <w:tr w:rsidR="00EF1D61" w:rsidRPr="009E1BDA" w14:paraId="1A496086" w14:textId="77777777" w:rsidTr="00EF1D61">
        <w:trPr>
          <w:jc w:val="center"/>
        </w:trPr>
        <w:tc>
          <w:tcPr>
            <w:tcW w:w="0" w:type="auto"/>
            <w:vAlign w:val="center"/>
          </w:tcPr>
          <w:p w14:paraId="3E95D9B6" w14:textId="77777777" w:rsidR="00EF1D61" w:rsidRPr="009E1BDA" w:rsidRDefault="00EF1D61" w:rsidP="0046359B">
            <w:pPr>
              <w:spacing w:before="120" w:after="120"/>
              <w:jc w:val="center"/>
              <w:rPr>
                <w:rFonts w:ascii="Arial" w:hAnsi="Arial" w:cs="Arial"/>
                <w:b/>
                <w:bCs/>
                <w:sz w:val="20"/>
                <w:szCs w:val="20"/>
              </w:rPr>
            </w:pPr>
            <w:r w:rsidRPr="009E1BDA">
              <w:rPr>
                <w:rFonts w:ascii="Arial" w:hAnsi="Arial" w:cs="Arial"/>
                <w:b/>
                <w:bCs/>
                <w:sz w:val="20"/>
                <w:szCs w:val="20"/>
              </w:rPr>
              <w:t>Unidad de medida</w:t>
            </w:r>
          </w:p>
        </w:tc>
        <w:tc>
          <w:tcPr>
            <w:tcW w:w="0" w:type="auto"/>
            <w:vAlign w:val="center"/>
          </w:tcPr>
          <w:p w14:paraId="15CDFC01" w14:textId="77777777" w:rsidR="00EF1D61" w:rsidRPr="009E1BDA" w:rsidRDefault="00EF1D61" w:rsidP="0095111F">
            <w:pPr>
              <w:spacing w:before="120" w:after="120"/>
              <w:jc w:val="both"/>
              <w:rPr>
                <w:rFonts w:ascii="Arial" w:hAnsi="Arial" w:cs="Arial"/>
                <w:sz w:val="20"/>
                <w:szCs w:val="20"/>
              </w:rPr>
            </w:pPr>
            <w:r w:rsidRPr="009E1BDA">
              <w:rPr>
                <w:rFonts w:ascii="Arial" w:hAnsi="Arial" w:cs="Arial"/>
                <w:sz w:val="20"/>
                <w:szCs w:val="20"/>
              </w:rPr>
              <w:t>Metro cuadrado (m</w:t>
            </w:r>
            <w:r w:rsidRPr="009E1BDA">
              <w:rPr>
                <w:rFonts w:ascii="Arial" w:hAnsi="Arial" w:cs="Arial"/>
                <w:sz w:val="20"/>
                <w:szCs w:val="20"/>
                <w:vertAlign w:val="superscript"/>
              </w:rPr>
              <w:t>2</w:t>
            </w:r>
            <w:r w:rsidRPr="009E1BDA">
              <w:rPr>
                <w:rFonts w:ascii="Arial" w:hAnsi="Arial" w:cs="Arial"/>
                <w:sz w:val="20"/>
                <w:szCs w:val="20"/>
              </w:rPr>
              <w:t>).</w:t>
            </w:r>
          </w:p>
        </w:tc>
      </w:tr>
      <w:tr w:rsidR="00EF1D61" w:rsidRPr="009E1BDA" w14:paraId="4B36F267" w14:textId="77777777" w:rsidTr="00EF1D61">
        <w:trPr>
          <w:jc w:val="center"/>
        </w:trPr>
        <w:tc>
          <w:tcPr>
            <w:tcW w:w="0" w:type="auto"/>
            <w:vAlign w:val="center"/>
          </w:tcPr>
          <w:p w14:paraId="0C08A3F7" w14:textId="77777777" w:rsidR="00EF1D61" w:rsidRPr="009E1BDA" w:rsidRDefault="00EF1D61" w:rsidP="0046359B">
            <w:pPr>
              <w:spacing w:before="120" w:after="120"/>
              <w:jc w:val="center"/>
              <w:rPr>
                <w:rFonts w:ascii="Arial" w:hAnsi="Arial" w:cs="Arial"/>
                <w:b/>
                <w:bCs/>
                <w:sz w:val="20"/>
                <w:szCs w:val="20"/>
              </w:rPr>
            </w:pPr>
            <w:r w:rsidRPr="009E1BDA">
              <w:rPr>
                <w:rFonts w:ascii="Arial" w:hAnsi="Arial" w:cs="Arial"/>
                <w:b/>
                <w:bCs/>
                <w:sz w:val="20"/>
                <w:szCs w:val="20"/>
              </w:rPr>
              <w:t>Grado de precisión</w:t>
            </w:r>
          </w:p>
        </w:tc>
        <w:tc>
          <w:tcPr>
            <w:tcW w:w="0" w:type="auto"/>
            <w:vAlign w:val="center"/>
          </w:tcPr>
          <w:p w14:paraId="4286DF72" w14:textId="77777777" w:rsidR="00EF1D61" w:rsidRPr="009E1BDA" w:rsidRDefault="00EF1D61" w:rsidP="0095111F">
            <w:pPr>
              <w:spacing w:before="120" w:after="120"/>
              <w:jc w:val="both"/>
              <w:rPr>
                <w:rFonts w:ascii="Arial" w:hAnsi="Arial" w:cs="Arial"/>
                <w:sz w:val="20"/>
                <w:szCs w:val="20"/>
              </w:rPr>
            </w:pPr>
            <w:r w:rsidRPr="009E1BDA">
              <w:rPr>
                <w:rFonts w:ascii="Arial" w:hAnsi="Arial" w:cs="Arial"/>
                <w:sz w:val="20"/>
                <w:szCs w:val="20"/>
              </w:rPr>
              <w:t>Dos decimales.</w:t>
            </w:r>
          </w:p>
        </w:tc>
      </w:tr>
      <w:tr w:rsidR="00EF1D61" w:rsidRPr="009E1BDA" w14:paraId="79AE5F46" w14:textId="77777777" w:rsidTr="00EF1D61">
        <w:trPr>
          <w:jc w:val="center"/>
        </w:trPr>
        <w:tc>
          <w:tcPr>
            <w:tcW w:w="0" w:type="auto"/>
            <w:vAlign w:val="center"/>
          </w:tcPr>
          <w:p w14:paraId="15FE3908" w14:textId="77777777" w:rsidR="00EF1D61" w:rsidRPr="009E1BDA" w:rsidRDefault="00EF1D61" w:rsidP="0046359B">
            <w:pPr>
              <w:spacing w:before="120" w:after="120"/>
              <w:jc w:val="center"/>
              <w:rPr>
                <w:rFonts w:ascii="Arial" w:hAnsi="Arial" w:cs="Arial"/>
                <w:b/>
                <w:bCs/>
                <w:sz w:val="20"/>
                <w:szCs w:val="20"/>
              </w:rPr>
            </w:pPr>
            <w:r w:rsidRPr="009E1BDA">
              <w:rPr>
                <w:rFonts w:ascii="Arial" w:hAnsi="Arial" w:cs="Arial"/>
                <w:b/>
                <w:bCs/>
                <w:sz w:val="20"/>
                <w:szCs w:val="20"/>
              </w:rPr>
              <w:t>Forma de medición</w:t>
            </w:r>
          </w:p>
        </w:tc>
        <w:tc>
          <w:tcPr>
            <w:tcW w:w="0" w:type="auto"/>
            <w:vAlign w:val="center"/>
          </w:tcPr>
          <w:p w14:paraId="54DE92B0" w14:textId="77777777" w:rsidR="00EF1D61" w:rsidRPr="009E1BDA" w:rsidRDefault="00EF1D61" w:rsidP="0095111F">
            <w:pPr>
              <w:spacing w:before="120" w:after="120"/>
              <w:jc w:val="both"/>
              <w:rPr>
                <w:rFonts w:ascii="Arial" w:hAnsi="Arial" w:cs="Arial"/>
                <w:sz w:val="20"/>
                <w:szCs w:val="20"/>
              </w:rPr>
            </w:pPr>
            <w:r w:rsidRPr="009E1BDA">
              <w:rPr>
                <w:rFonts w:ascii="Arial" w:hAnsi="Arial" w:cs="Arial"/>
                <w:sz w:val="20"/>
                <w:szCs w:val="20"/>
              </w:rPr>
              <w:t>Se abonará según la superficie de loseta realmente colocada en obra.</w:t>
            </w:r>
          </w:p>
        </w:tc>
      </w:tr>
      <w:tr w:rsidR="00EF1D61" w:rsidRPr="009E1BDA" w14:paraId="46F6E0C6" w14:textId="77777777" w:rsidTr="00EF1D61">
        <w:trPr>
          <w:jc w:val="center"/>
        </w:trPr>
        <w:tc>
          <w:tcPr>
            <w:tcW w:w="0" w:type="auto"/>
            <w:vAlign w:val="center"/>
          </w:tcPr>
          <w:p w14:paraId="3189EB81" w14:textId="77777777" w:rsidR="00EF1D61" w:rsidRPr="009E1BDA" w:rsidRDefault="00EF1D61" w:rsidP="0046359B">
            <w:pPr>
              <w:spacing w:before="120" w:after="120"/>
              <w:jc w:val="center"/>
              <w:rPr>
                <w:rFonts w:ascii="Arial" w:hAnsi="Arial" w:cs="Arial"/>
                <w:b/>
                <w:bCs/>
                <w:sz w:val="20"/>
                <w:szCs w:val="20"/>
              </w:rPr>
            </w:pPr>
            <w:r w:rsidRPr="009E1BDA">
              <w:rPr>
                <w:rFonts w:ascii="Arial" w:hAnsi="Arial" w:cs="Arial"/>
                <w:b/>
                <w:bCs/>
                <w:sz w:val="20"/>
                <w:szCs w:val="20"/>
              </w:rPr>
              <w:t>Abono</w:t>
            </w:r>
          </w:p>
        </w:tc>
        <w:tc>
          <w:tcPr>
            <w:tcW w:w="0" w:type="auto"/>
            <w:vAlign w:val="center"/>
          </w:tcPr>
          <w:p w14:paraId="131C7D12" w14:textId="77777777" w:rsidR="00EF1D61" w:rsidRPr="009E1BDA" w:rsidRDefault="00EF1D61" w:rsidP="0095111F">
            <w:pPr>
              <w:spacing w:before="120" w:after="120"/>
              <w:jc w:val="both"/>
              <w:rPr>
                <w:rFonts w:ascii="Arial" w:hAnsi="Arial" w:cs="Arial"/>
                <w:sz w:val="20"/>
                <w:szCs w:val="20"/>
              </w:rPr>
            </w:pPr>
            <w:r w:rsidRPr="009E1BDA">
              <w:rPr>
                <w:rFonts w:ascii="Arial" w:hAnsi="Arial" w:cs="Arial"/>
                <w:sz w:val="20"/>
                <w:szCs w:val="20"/>
              </w:rPr>
              <w:t>Se efectuará cuando se realice la aceptación.</w:t>
            </w:r>
          </w:p>
        </w:tc>
      </w:tr>
      <w:tr w:rsidR="00EF1D61" w:rsidRPr="009E1BDA" w14:paraId="68ACA6BB" w14:textId="77777777" w:rsidTr="00EF1D61">
        <w:trPr>
          <w:jc w:val="center"/>
        </w:trPr>
        <w:tc>
          <w:tcPr>
            <w:tcW w:w="0" w:type="auto"/>
            <w:vAlign w:val="center"/>
          </w:tcPr>
          <w:p w14:paraId="0819DF7A" w14:textId="77777777" w:rsidR="00EF1D61" w:rsidRPr="009E1BDA" w:rsidRDefault="00EF1D61" w:rsidP="0046359B">
            <w:pPr>
              <w:spacing w:before="120" w:after="120"/>
              <w:jc w:val="center"/>
              <w:rPr>
                <w:rFonts w:ascii="Arial" w:hAnsi="Arial" w:cs="Arial"/>
                <w:b/>
                <w:bCs/>
                <w:sz w:val="20"/>
                <w:szCs w:val="20"/>
              </w:rPr>
            </w:pPr>
            <w:r w:rsidRPr="009E1BDA">
              <w:rPr>
                <w:rFonts w:ascii="Arial" w:hAnsi="Arial" w:cs="Arial"/>
                <w:b/>
                <w:bCs/>
                <w:sz w:val="20"/>
                <w:szCs w:val="20"/>
              </w:rPr>
              <w:t>Criterios complementarios</w:t>
            </w:r>
          </w:p>
        </w:tc>
        <w:tc>
          <w:tcPr>
            <w:tcW w:w="0" w:type="auto"/>
            <w:vAlign w:val="center"/>
          </w:tcPr>
          <w:p w14:paraId="639F131A" w14:textId="77777777" w:rsidR="00EF1D61" w:rsidRPr="009E1BDA" w:rsidRDefault="00EF1D61" w:rsidP="0095111F">
            <w:pPr>
              <w:spacing w:before="120" w:after="120"/>
              <w:jc w:val="both"/>
              <w:rPr>
                <w:rFonts w:ascii="Arial" w:hAnsi="Arial" w:cs="Arial"/>
                <w:sz w:val="20"/>
                <w:szCs w:val="20"/>
              </w:rPr>
            </w:pPr>
            <w:r w:rsidRPr="009E1BDA">
              <w:rPr>
                <w:rFonts w:ascii="Arial" w:hAnsi="Arial" w:cs="Arial"/>
                <w:sz w:val="20"/>
                <w:szCs w:val="20"/>
              </w:rPr>
              <w:t>Está incluida la capa de mortero de asiento, la lechada de cemento de relleno de juntas y todas las operaciones necesarias para la correcta terminación de la unidad.</w:t>
            </w:r>
          </w:p>
        </w:tc>
      </w:tr>
    </w:tbl>
    <w:p w14:paraId="42854F6A" w14:textId="77777777" w:rsidR="00EF1D61" w:rsidRPr="009E1BDA" w:rsidRDefault="00EF1D61" w:rsidP="00EF1D61">
      <w:pPr>
        <w:spacing w:before="120" w:after="120" w:line="360" w:lineRule="auto"/>
        <w:ind w:firstLine="709"/>
        <w:jc w:val="both"/>
        <w:rPr>
          <w:rFonts w:ascii="Arial" w:hAnsi="Arial"/>
          <w:sz w:val="22"/>
          <w:szCs w:val="20"/>
        </w:rPr>
      </w:pPr>
    </w:p>
    <w:p w14:paraId="0F447C8A" w14:textId="77777777" w:rsidR="00D9029C" w:rsidRDefault="00D9029C" w:rsidP="00FC7B9D">
      <w:pPr>
        <w:pStyle w:val="TtuloPortada"/>
        <w:jc w:val="right"/>
        <w:outlineLvl w:val="0"/>
        <w:rPr>
          <w:color w:val="365F91" w:themeColor="accent1" w:themeShade="BF"/>
        </w:rPr>
        <w:sectPr w:rsidR="00D9029C" w:rsidSect="003069BA">
          <w:pgSz w:w="23814" w:h="16840" w:orient="landscape" w:code="8"/>
          <w:pgMar w:top="992" w:right="851" w:bottom="1418" w:left="851" w:header="567" w:footer="1021" w:gutter="1418"/>
          <w:cols w:num="2" w:space="1418"/>
        </w:sectPr>
      </w:pPr>
    </w:p>
    <w:p w14:paraId="516A643E" w14:textId="77777777" w:rsidR="00FC7B9D" w:rsidRPr="00D9029C" w:rsidRDefault="00667297" w:rsidP="00FC7B9D">
      <w:pPr>
        <w:pStyle w:val="TtuloPortada"/>
        <w:jc w:val="right"/>
        <w:outlineLvl w:val="0"/>
      </w:pPr>
      <w:r w:rsidRPr="005864C2">
        <w:rPr>
          <w:color w:val="365F91" w:themeColor="accent1" w:themeShade="BF"/>
        </w:rPr>
        <w:lastRenderedPageBreak/>
        <w:br w:type="column"/>
      </w:r>
      <w:bookmarkStart w:id="653" w:name="_Toc404391"/>
      <w:r w:rsidR="00FC7B9D" w:rsidRPr="00D9029C">
        <w:t>Parte 6.- Puentes y estructuras</w:t>
      </w:r>
      <w:bookmarkEnd w:id="653"/>
    </w:p>
    <w:p w14:paraId="79947B82" w14:textId="77777777" w:rsidR="00667297" w:rsidRPr="00D9029C" w:rsidRDefault="00667297" w:rsidP="00FC7B9D">
      <w:pPr>
        <w:pStyle w:val="Ttulo1"/>
        <w:rPr>
          <w:b w:val="0"/>
          <w:lang w:val="es-ES_tradnl"/>
        </w:rPr>
        <w:sectPr w:rsidR="00667297" w:rsidRPr="00D9029C" w:rsidSect="003069BA">
          <w:type w:val="oddPage"/>
          <w:pgSz w:w="23814" w:h="16840" w:orient="landscape" w:code="8"/>
          <w:pgMar w:top="992" w:right="851" w:bottom="1418" w:left="851" w:header="567" w:footer="1021" w:gutter="1418"/>
          <w:cols w:num="2" w:space="1418"/>
        </w:sectPr>
      </w:pPr>
    </w:p>
    <w:p w14:paraId="50531406" w14:textId="77777777" w:rsidR="00667297" w:rsidRPr="00886F1A" w:rsidRDefault="00F06086" w:rsidP="006F6223">
      <w:pPr>
        <w:pStyle w:val="TITU1"/>
        <w:rPr>
          <w:lang w:val="es-ES_tradnl"/>
        </w:rPr>
      </w:pPr>
      <w:bookmarkStart w:id="654" w:name="_Toc404392"/>
      <w:r w:rsidRPr="00886F1A">
        <w:rPr>
          <w:lang w:val="es-ES_tradnl"/>
        </w:rPr>
        <w:lastRenderedPageBreak/>
        <w:t>Artículo 600.- Armaduras a emplear en hormigón armado</w:t>
      </w:r>
      <w:bookmarkEnd w:id="654"/>
    </w:p>
    <w:p w14:paraId="1E34164E" w14:textId="77777777" w:rsidR="008A189D" w:rsidRPr="00C06F30" w:rsidRDefault="008A189D" w:rsidP="00C06F30">
      <w:pPr>
        <w:pStyle w:val="NORMAL12"/>
      </w:pPr>
      <w:r w:rsidRPr="00C06F30">
        <w:t>Excepto para lo especificado en el presente Pliego de Prescripciones Técnicas particulares se seguirá lo prescrito en el vigente artículo 600 del PG-3 y la EHE 08.</w:t>
      </w:r>
    </w:p>
    <w:p w14:paraId="4F4865EF" w14:textId="77777777" w:rsidR="00F06086" w:rsidRDefault="00F06086" w:rsidP="000313DD">
      <w:pPr>
        <w:pStyle w:val="TITU2"/>
        <w:rPr>
          <w:lang w:val="es-ES_tradnl"/>
        </w:rPr>
      </w:pPr>
      <w:bookmarkStart w:id="655" w:name="_Toc404393"/>
      <w:r w:rsidRPr="005864C2">
        <w:rPr>
          <w:lang w:val="es-ES_tradnl"/>
        </w:rPr>
        <w:t>600.1. Definición</w:t>
      </w:r>
      <w:bookmarkEnd w:id="655"/>
    </w:p>
    <w:p w14:paraId="277B5320" w14:textId="77777777" w:rsidR="008A189D" w:rsidRPr="009B23E5" w:rsidRDefault="008A189D" w:rsidP="004024D6">
      <w:pPr>
        <w:pStyle w:val="NORMAL12"/>
      </w:pPr>
      <w:r w:rsidRPr="009B23E5">
        <w:t>Se definen como armaduras pasivas las utilizadas para armar el hormigón, formadas por barras de acero corrugadas, mallas electrosoldadas o armaduras básicas electrosoldadas en celosía, cumpliendo lo especificado en la Instrucción de Hormigón Estructural (EHE).</w:t>
      </w:r>
    </w:p>
    <w:p w14:paraId="4130A92C" w14:textId="77777777" w:rsidR="008A189D" w:rsidRDefault="008A189D" w:rsidP="000313DD">
      <w:pPr>
        <w:pStyle w:val="TITU2"/>
        <w:rPr>
          <w:lang w:val="es-ES_tradnl"/>
        </w:rPr>
      </w:pPr>
      <w:bookmarkStart w:id="656" w:name="_Toc404394"/>
      <w:r w:rsidRPr="005864C2">
        <w:rPr>
          <w:lang w:val="es-ES_tradnl"/>
        </w:rPr>
        <w:t>600.</w:t>
      </w:r>
      <w:r>
        <w:rPr>
          <w:lang w:val="es-ES_tradnl"/>
        </w:rPr>
        <w:t>2</w:t>
      </w:r>
      <w:r w:rsidRPr="005864C2">
        <w:rPr>
          <w:lang w:val="es-ES_tradnl"/>
        </w:rPr>
        <w:t xml:space="preserve">. </w:t>
      </w:r>
      <w:r>
        <w:rPr>
          <w:lang w:val="es-ES_tradnl"/>
        </w:rPr>
        <w:t>Aplicación</w:t>
      </w:r>
      <w:bookmarkEnd w:id="656"/>
    </w:p>
    <w:p w14:paraId="02D6DFD2" w14:textId="77777777" w:rsidR="00C36ABC" w:rsidRPr="004024D6" w:rsidRDefault="00C36ABC" w:rsidP="00C36ABC">
      <w:pPr>
        <w:pStyle w:val="NORMAL12"/>
      </w:pPr>
      <w:r w:rsidRPr="004024D6">
        <w:t xml:space="preserve">Las prescripciones del presente artículo </w:t>
      </w:r>
      <w:proofErr w:type="gramStart"/>
      <w:r w:rsidRPr="004024D6">
        <w:t>son de aplicación</w:t>
      </w:r>
      <w:proofErr w:type="gramEnd"/>
      <w:r w:rsidRPr="004024D6">
        <w:t xml:space="preserve"> a las unidades de obra siguientes:</w:t>
      </w:r>
    </w:p>
    <w:tbl>
      <w:tblPr>
        <w:tblW w:w="5000" w:type="pct"/>
        <w:tblCellMar>
          <w:left w:w="70" w:type="dxa"/>
          <w:right w:w="70" w:type="dxa"/>
        </w:tblCellMar>
        <w:tblLook w:val="04A0" w:firstRow="1" w:lastRow="0" w:firstColumn="1" w:lastColumn="0" w:noHBand="0" w:noVBand="1"/>
      </w:tblPr>
      <w:tblGrid>
        <w:gridCol w:w="1207"/>
        <w:gridCol w:w="649"/>
        <w:gridCol w:w="7497"/>
      </w:tblGrid>
      <w:tr w:rsidR="005864C2" w:rsidRPr="005864C2" w14:paraId="7B04425C" w14:textId="77777777" w:rsidTr="0084421A">
        <w:trPr>
          <w:trHeight w:val="300"/>
        </w:trPr>
        <w:tc>
          <w:tcPr>
            <w:tcW w:w="645" w:type="pct"/>
            <w:noWrap/>
          </w:tcPr>
          <w:p w14:paraId="08551ECF" w14:textId="77777777" w:rsidR="00365AED" w:rsidRPr="005B79AD" w:rsidRDefault="00365AED">
            <w:pPr>
              <w:rPr>
                <w:rFonts w:ascii="Calibri" w:hAnsi="Calibri"/>
              </w:rPr>
            </w:pPr>
            <w:r w:rsidRPr="005B79AD">
              <w:rPr>
                <w:rFonts w:ascii="Calibri" w:hAnsi="Calibri"/>
              </w:rPr>
              <w:t xml:space="preserve">600.0010          </w:t>
            </w:r>
          </w:p>
        </w:tc>
        <w:tc>
          <w:tcPr>
            <w:tcW w:w="347" w:type="pct"/>
            <w:noWrap/>
          </w:tcPr>
          <w:p w14:paraId="448BA26C" w14:textId="77777777" w:rsidR="00365AED" w:rsidRPr="005B79AD" w:rsidRDefault="00365AED">
            <w:pPr>
              <w:rPr>
                <w:rFonts w:ascii="Calibri" w:hAnsi="Calibri"/>
              </w:rPr>
            </w:pPr>
            <w:r w:rsidRPr="005B79AD">
              <w:rPr>
                <w:rFonts w:ascii="Calibri" w:hAnsi="Calibri"/>
              </w:rPr>
              <w:t>kg</w:t>
            </w:r>
          </w:p>
        </w:tc>
        <w:tc>
          <w:tcPr>
            <w:tcW w:w="4008" w:type="pct"/>
          </w:tcPr>
          <w:p w14:paraId="3BE2F50C" w14:textId="77777777" w:rsidR="0084421A" w:rsidRPr="005B79AD" w:rsidRDefault="0084421A" w:rsidP="00531952">
            <w:pPr>
              <w:jc w:val="both"/>
              <w:rPr>
                <w:rFonts w:ascii="Calibri" w:hAnsi="Calibri"/>
              </w:rPr>
            </w:pPr>
            <w:r w:rsidRPr="005B79AD">
              <w:rPr>
                <w:rFonts w:ascii="Calibri" w:hAnsi="Calibri"/>
              </w:rPr>
              <w:t>ACERO EN BARRAS CORRUGADAS B 500 S COLOCADO EN ARMADURAS PASIVAS, i/ CORTE Y DOBLADO, COLOCACIÓN SOLAPES, DESPUNTES Y P.P. DE ATADO CON ALAMBRE RECOCIDO Y SEPARADORES.</w:t>
            </w:r>
          </w:p>
          <w:p w14:paraId="0CDFA687" w14:textId="77777777" w:rsidR="00365AED" w:rsidRPr="005B79AD" w:rsidRDefault="00365AED" w:rsidP="00531952">
            <w:pPr>
              <w:jc w:val="both"/>
              <w:rPr>
                <w:rFonts w:ascii="Calibri" w:hAnsi="Calibri"/>
              </w:rPr>
            </w:pPr>
          </w:p>
        </w:tc>
      </w:tr>
      <w:tr w:rsidR="003A1560" w:rsidRPr="005864C2" w14:paraId="418E74BA" w14:textId="77777777" w:rsidTr="0084421A">
        <w:trPr>
          <w:trHeight w:val="575"/>
        </w:trPr>
        <w:tc>
          <w:tcPr>
            <w:tcW w:w="645" w:type="pct"/>
            <w:noWrap/>
          </w:tcPr>
          <w:p w14:paraId="6D72C1E6" w14:textId="77777777" w:rsidR="003A1560" w:rsidRPr="005B79AD" w:rsidRDefault="003A1560" w:rsidP="00755566">
            <w:pPr>
              <w:rPr>
                <w:rFonts w:asciiTheme="minorHAnsi" w:hAnsiTheme="minorHAnsi" w:cstheme="minorHAnsi"/>
                <w:color w:val="000000"/>
              </w:rPr>
            </w:pPr>
            <w:r w:rsidRPr="005B79AD">
              <w:rPr>
                <w:rFonts w:asciiTheme="minorHAnsi" w:hAnsiTheme="minorHAnsi" w:cstheme="minorHAnsi"/>
                <w:color w:val="000000"/>
              </w:rPr>
              <w:t>675.0010N</w:t>
            </w:r>
          </w:p>
        </w:tc>
        <w:tc>
          <w:tcPr>
            <w:tcW w:w="347" w:type="pct"/>
            <w:noWrap/>
          </w:tcPr>
          <w:p w14:paraId="668585C5" w14:textId="77777777" w:rsidR="003A1560" w:rsidRPr="005B79AD" w:rsidRDefault="003A1560" w:rsidP="00755566">
            <w:pPr>
              <w:rPr>
                <w:rFonts w:asciiTheme="minorHAnsi" w:hAnsiTheme="minorHAnsi" w:cstheme="minorHAnsi"/>
                <w:color w:val="000000"/>
              </w:rPr>
            </w:pPr>
            <w:proofErr w:type="spellStart"/>
            <w:r w:rsidRPr="005B79AD">
              <w:rPr>
                <w:rFonts w:asciiTheme="minorHAnsi" w:hAnsiTheme="minorHAnsi" w:cstheme="minorHAnsi"/>
                <w:color w:val="000000"/>
              </w:rPr>
              <w:t>ud</w:t>
            </w:r>
            <w:proofErr w:type="spellEnd"/>
          </w:p>
        </w:tc>
        <w:tc>
          <w:tcPr>
            <w:tcW w:w="4008" w:type="pct"/>
          </w:tcPr>
          <w:p w14:paraId="2B69C217" w14:textId="77777777" w:rsidR="003A1560" w:rsidRPr="005B79AD" w:rsidRDefault="003A1560" w:rsidP="003A1560">
            <w:pPr>
              <w:jc w:val="both"/>
              <w:rPr>
                <w:rFonts w:asciiTheme="minorHAnsi" w:hAnsiTheme="minorHAnsi"/>
                <w:color w:val="000000"/>
              </w:rPr>
            </w:pPr>
            <w:r w:rsidRPr="005B79AD">
              <w:rPr>
                <w:rFonts w:asciiTheme="minorHAnsi" w:hAnsiTheme="minorHAnsi"/>
                <w:color w:val="000000"/>
              </w:rPr>
              <w:t>PASADOR FORMADO POR BARRA ø12 DE ACERO CORRUGADO B 500 S ANCLADA A POSTERIORI i/ PERFORACIÓN, COLOCACIÓN E INYECCIÓN DE RESINA EPOXI, SEGÚN DEFINICIÓN EN PLANOS (LONGITUD =0,80 m).</w:t>
            </w:r>
          </w:p>
          <w:p w14:paraId="1347B8EF" w14:textId="77777777" w:rsidR="003A1560" w:rsidRPr="005B79AD" w:rsidRDefault="003A1560" w:rsidP="00755566">
            <w:pPr>
              <w:jc w:val="both"/>
              <w:rPr>
                <w:rFonts w:asciiTheme="minorHAnsi" w:hAnsiTheme="minorHAnsi" w:cstheme="minorHAnsi"/>
                <w:color w:val="000000"/>
              </w:rPr>
            </w:pPr>
          </w:p>
        </w:tc>
      </w:tr>
      <w:tr w:rsidR="003A1560" w:rsidRPr="005864C2" w14:paraId="157F27CB" w14:textId="77777777" w:rsidTr="00B71B0B">
        <w:trPr>
          <w:trHeight w:val="80"/>
        </w:trPr>
        <w:tc>
          <w:tcPr>
            <w:tcW w:w="645" w:type="pct"/>
            <w:noWrap/>
          </w:tcPr>
          <w:p w14:paraId="1120DD7D" w14:textId="77777777" w:rsidR="003A1560" w:rsidRPr="005B79AD" w:rsidRDefault="003A1560">
            <w:pPr>
              <w:rPr>
                <w:rFonts w:ascii="Calibri" w:hAnsi="Calibri"/>
                <w:color w:val="000000"/>
              </w:rPr>
            </w:pPr>
            <w:r w:rsidRPr="005B79AD">
              <w:rPr>
                <w:rFonts w:ascii="Calibri" w:hAnsi="Calibri"/>
                <w:color w:val="000000"/>
              </w:rPr>
              <w:t xml:space="preserve">675.0070N         </w:t>
            </w:r>
          </w:p>
        </w:tc>
        <w:tc>
          <w:tcPr>
            <w:tcW w:w="347" w:type="pct"/>
            <w:noWrap/>
          </w:tcPr>
          <w:p w14:paraId="34DDB6B0" w14:textId="77777777" w:rsidR="003A1560" w:rsidRPr="005B79AD" w:rsidRDefault="003A1560">
            <w:pPr>
              <w:rPr>
                <w:rFonts w:ascii="Calibri" w:hAnsi="Calibri"/>
                <w:color w:val="000000"/>
              </w:rPr>
            </w:pPr>
            <w:proofErr w:type="spellStart"/>
            <w:r w:rsidRPr="005B79AD">
              <w:rPr>
                <w:rFonts w:ascii="Calibri" w:hAnsi="Calibri"/>
                <w:color w:val="000000"/>
              </w:rPr>
              <w:t>ud</w:t>
            </w:r>
            <w:proofErr w:type="spellEnd"/>
          </w:p>
        </w:tc>
        <w:tc>
          <w:tcPr>
            <w:tcW w:w="4008" w:type="pct"/>
          </w:tcPr>
          <w:p w14:paraId="38B65335" w14:textId="77777777" w:rsidR="003A1560" w:rsidRPr="005B79AD" w:rsidRDefault="003A1560" w:rsidP="00531952">
            <w:pPr>
              <w:jc w:val="both"/>
              <w:rPr>
                <w:rFonts w:ascii="Calibri" w:hAnsi="Calibri"/>
                <w:color w:val="000000"/>
              </w:rPr>
            </w:pPr>
            <w:r w:rsidRPr="005B79AD">
              <w:rPr>
                <w:rFonts w:ascii="Calibri" w:hAnsi="Calibri"/>
                <w:color w:val="000000"/>
              </w:rPr>
              <w:t>BARRA Ø12 EN FORMA DE U DE ACERO CORRUGADO B 500 S ANCLADA A POSTERIORI INCLUSO PERFORACIÓN, COLOCACIÓN E INYECCIÓN DE RESINA EPOXI, SEGÚN PLANOS, CON LONGITUD TOTAL DE PERFORACIÓN HASTA 70 CM PARA EL TOTAL DE LOS DOS TALADROS Y LONGITUD TOTAL DE BARRA HASTA 150 CM, ANCLADA Y TERMINADA</w:t>
            </w:r>
          </w:p>
          <w:p w14:paraId="45A2E6DB" w14:textId="77777777" w:rsidR="003A1560" w:rsidRPr="005B79AD" w:rsidRDefault="003A1560" w:rsidP="00531952">
            <w:pPr>
              <w:jc w:val="both"/>
              <w:rPr>
                <w:rFonts w:ascii="Calibri" w:hAnsi="Calibri"/>
                <w:color w:val="000000"/>
              </w:rPr>
            </w:pPr>
          </w:p>
        </w:tc>
      </w:tr>
      <w:tr w:rsidR="003A1560" w:rsidRPr="005864C2" w14:paraId="25BF956C" w14:textId="77777777" w:rsidTr="0084421A">
        <w:trPr>
          <w:trHeight w:val="355"/>
        </w:trPr>
        <w:tc>
          <w:tcPr>
            <w:tcW w:w="645" w:type="pct"/>
            <w:noWrap/>
          </w:tcPr>
          <w:p w14:paraId="4A264E1E" w14:textId="77777777" w:rsidR="003A1560" w:rsidRPr="005B79AD" w:rsidRDefault="003A1560" w:rsidP="00886F1A">
            <w:pPr>
              <w:rPr>
                <w:rFonts w:ascii="Calibri" w:hAnsi="Calibri"/>
              </w:rPr>
            </w:pPr>
            <w:r w:rsidRPr="005B79AD">
              <w:rPr>
                <w:rFonts w:ascii="Calibri" w:hAnsi="Calibri"/>
              </w:rPr>
              <w:t xml:space="preserve">418.0010          </w:t>
            </w:r>
          </w:p>
          <w:p w14:paraId="3A8FB7A8" w14:textId="77777777" w:rsidR="003A1560" w:rsidRPr="005B79AD" w:rsidRDefault="003A1560">
            <w:pPr>
              <w:rPr>
                <w:rFonts w:ascii="Calibri" w:hAnsi="Calibri"/>
              </w:rPr>
            </w:pPr>
          </w:p>
        </w:tc>
        <w:tc>
          <w:tcPr>
            <w:tcW w:w="347" w:type="pct"/>
            <w:noWrap/>
          </w:tcPr>
          <w:p w14:paraId="36856AF1" w14:textId="77777777" w:rsidR="003A1560" w:rsidRPr="005B79AD" w:rsidRDefault="003A1560" w:rsidP="00886F1A">
            <w:pPr>
              <w:rPr>
                <w:rFonts w:ascii="Calibri" w:hAnsi="Calibri"/>
              </w:rPr>
            </w:pPr>
            <w:proofErr w:type="spellStart"/>
            <w:r w:rsidRPr="005B79AD">
              <w:rPr>
                <w:rFonts w:ascii="Calibri" w:hAnsi="Calibri"/>
              </w:rPr>
              <w:t>ud</w:t>
            </w:r>
            <w:proofErr w:type="spellEnd"/>
          </w:p>
        </w:tc>
        <w:tc>
          <w:tcPr>
            <w:tcW w:w="4008" w:type="pct"/>
          </w:tcPr>
          <w:p w14:paraId="37648142" w14:textId="77777777" w:rsidR="003A1560" w:rsidRPr="005B79AD" w:rsidRDefault="003A1560" w:rsidP="00531952">
            <w:pPr>
              <w:jc w:val="both"/>
              <w:rPr>
                <w:rFonts w:ascii="Calibri" w:hAnsi="Calibri"/>
              </w:rPr>
            </w:pPr>
            <w:r w:rsidRPr="005B79AD">
              <w:rPr>
                <w:rFonts w:ascii="Calibri" w:hAnsi="Calibri"/>
              </w:rPr>
              <w:t>PATE DE ACERO REVESTIDO CON POLIPROPILENO</w:t>
            </w:r>
          </w:p>
        </w:tc>
      </w:tr>
    </w:tbl>
    <w:p w14:paraId="41D41EE9" w14:textId="77777777" w:rsidR="00F06086" w:rsidRPr="005864C2" w:rsidRDefault="00F06086" w:rsidP="000313DD">
      <w:pPr>
        <w:pStyle w:val="TITU2"/>
        <w:rPr>
          <w:lang w:val="es-ES_tradnl"/>
        </w:rPr>
      </w:pPr>
      <w:bookmarkStart w:id="657" w:name="_Toc404395"/>
      <w:r w:rsidRPr="005864C2">
        <w:rPr>
          <w:lang w:val="es-ES_tradnl"/>
        </w:rPr>
        <w:t>600.</w:t>
      </w:r>
      <w:r w:rsidR="008A189D">
        <w:rPr>
          <w:lang w:val="es-ES_tradnl"/>
        </w:rPr>
        <w:t>3</w:t>
      </w:r>
      <w:r w:rsidRPr="005864C2">
        <w:rPr>
          <w:lang w:val="es-ES_tradnl"/>
        </w:rPr>
        <w:t xml:space="preserve">. </w:t>
      </w:r>
      <w:r w:rsidR="008A189D">
        <w:rPr>
          <w:lang w:val="es-ES_tradnl"/>
        </w:rPr>
        <w:t>Descripción</w:t>
      </w:r>
      <w:bookmarkEnd w:id="657"/>
    </w:p>
    <w:p w14:paraId="01B29FD9" w14:textId="77777777" w:rsidR="008A189D" w:rsidRPr="009B23E5" w:rsidRDefault="008A189D" w:rsidP="004024D6">
      <w:pPr>
        <w:pStyle w:val="NORMAL12"/>
      </w:pPr>
      <w:r w:rsidRPr="009B23E5">
        <w:t>Consiste esta Unidad en el suministro y colocación de las armaduras pasivas en las estructuras de hormigón armado y/o pretensado.</w:t>
      </w:r>
    </w:p>
    <w:p w14:paraId="3CAAFB15" w14:textId="77777777" w:rsidR="008A189D" w:rsidRPr="009B23E5" w:rsidRDefault="008A189D" w:rsidP="004024D6">
      <w:pPr>
        <w:pStyle w:val="NORMAL12"/>
      </w:pPr>
      <w:r w:rsidRPr="009B23E5">
        <w:t xml:space="preserve">Se definen como armaduras pasivas las utilizadas para armar el hormigón, formadas por barras de acero corrugadas, mallas electrosoldadas o armaduras básicas </w:t>
      </w:r>
      <w:r w:rsidRPr="009B23E5">
        <w:t>electrosoldadas en celosía, cumpliendo lo especificado en la Instrucción de Hormigón Estructural (EHE).</w:t>
      </w:r>
    </w:p>
    <w:p w14:paraId="066F37C4" w14:textId="77777777" w:rsidR="008A189D" w:rsidRPr="009B23E5" w:rsidRDefault="008A189D" w:rsidP="004024D6">
      <w:pPr>
        <w:pStyle w:val="NORMAL12"/>
      </w:pPr>
      <w:r w:rsidRPr="009B23E5">
        <w:t>Los trabajos que se incluyen en la Unidad son:</w:t>
      </w:r>
    </w:p>
    <w:p w14:paraId="73BB0A3B" w14:textId="77777777" w:rsidR="008A189D" w:rsidRPr="004024D6" w:rsidRDefault="008A189D" w:rsidP="00E01981">
      <w:pPr>
        <w:pStyle w:val="NORMAL12"/>
        <w:numPr>
          <w:ilvl w:val="0"/>
          <w:numId w:val="69"/>
        </w:numPr>
      </w:pPr>
      <w:r w:rsidRPr="004024D6">
        <w:t>Preparación de las planillas de despiece de las armaduras.</w:t>
      </w:r>
    </w:p>
    <w:p w14:paraId="698463D4" w14:textId="77777777" w:rsidR="008A189D" w:rsidRPr="004024D6" w:rsidRDefault="008A189D" w:rsidP="00E01981">
      <w:pPr>
        <w:pStyle w:val="NORMAL12"/>
        <w:numPr>
          <w:ilvl w:val="0"/>
          <w:numId w:val="69"/>
        </w:numPr>
      </w:pPr>
      <w:r w:rsidRPr="004024D6">
        <w:t>Cortado y doblado de las armaduras.</w:t>
      </w:r>
    </w:p>
    <w:p w14:paraId="16F6B986" w14:textId="77777777" w:rsidR="008A189D" w:rsidRPr="004024D6" w:rsidRDefault="008A189D" w:rsidP="00E01981">
      <w:pPr>
        <w:pStyle w:val="NORMAL12"/>
        <w:numPr>
          <w:ilvl w:val="0"/>
          <w:numId w:val="69"/>
        </w:numPr>
      </w:pPr>
      <w:r w:rsidRPr="004024D6">
        <w:t>Colocación de los separadores.</w:t>
      </w:r>
    </w:p>
    <w:p w14:paraId="123806AD" w14:textId="77777777" w:rsidR="008A189D" w:rsidRPr="004024D6" w:rsidRDefault="008A189D" w:rsidP="00E01981">
      <w:pPr>
        <w:pStyle w:val="NORMAL12"/>
        <w:numPr>
          <w:ilvl w:val="0"/>
          <w:numId w:val="69"/>
        </w:numPr>
      </w:pPr>
      <w:r w:rsidRPr="004024D6">
        <w:t>Colocación de las armaduras.</w:t>
      </w:r>
    </w:p>
    <w:p w14:paraId="0A64C8C8" w14:textId="77777777" w:rsidR="008A189D" w:rsidRPr="004024D6" w:rsidRDefault="008A189D" w:rsidP="00E01981">
      <w:pPr>
        <w:pStyle w:val="NORMAL12"/>
        <w:numPr>
          <w:ilvl w:val="0"/>
          <w:numId w:val="69"/>
        </w:numPr>
      </w:pPr>
      <w:r w:rsidRPr="004024D6">
        <w:t>Atado o soldado de las armaduras, en su caso.</w:t>
      </w:r>
    </w:p>
    <w:p w14:paraId="57776165" w14:textId="77777777" w:rsidR="008A189D" w:rsidRPr="009B23E5" w:rsidRDefault="008A189D" w:rsidP="004024D6">
      <w:pPr>
        <w:pStyle w:val="NORMAL12"/>
      </w:pPr>
      <w:r w:rsidRPr="009B23E5">
        <w:t>Excepto para lo especificado en el presente Pliego de Prescripciones Técnicas particulares se seguirá lo prescrito en el vigente artículo 600 del PG-3.</w:t>
      </w:r>
    </w:p>
    <w:p w14:paraId="19E03723" w14:textId="77777777" w:rsidR="00F06086" w:rsidRPr="005864C2" w:rsidRDefault="00F06086" w:rsidP="000313DD">
      <w:pPr>
        <w:pStyle w:val="TITU2"/>
        <w:rPr>
          <w:lang w:val="es-ES_tradnl"/>
        </w:rPr>
      </w:pPr>
      <w:bookmarkStart w:id="658" w:name="_Toc404396"/>
      <w:r w:rsidRPr="005864C2">
        <w:rPr>
          <w:lang w:val="es-ES_tradnl"/>
        </w:rPr>
        <w:t>600.</w:t>
      </w:r>
      <w:r w:rsidR="008A189D">
        <w:rPr>
          <w:lang w:val="es-ES_tradnl"/>
        </w:rPr>
        <w:t>4</w:t>
      </w:r>
      <w:r w:rsidRPr="005864C2">
        <w:rPr>
          <w:lang w:val="es-ES_tradnl"/>
        </w:rPr>
        <w:t xml:space="preserve">. </w:t>
      </w:r>
      <w:r w:rsidR="008A189D">
        <w:rPr>
          <w:lang w:val="es-ES_tradnl"/>
        </w:rPr>
        <w:t>Materiales</w:t>
      </w:r>
      <w:bookmarkEnd w:id="658"/>
    </w:p>
    <w:p w14:paraId="49AFEC37" w14:textId="77777777" w:rsidR="008A189D" w:rsidRPr="009B23E5" w:rsidRDefault="008A189D" w:rsidP="004024D6">
      <w:pPr>
        <w:pStyle w:val="NORMAL12"/>
      </w:pPr>
      <w:r w:rsidRPr="009B23E5">
        <w:t>Las armaduras se ajustarán al tipo de acero indicado en los planos de Proyecto y en la definición de las unidades de obra incluidas en esta cláusula del Pliego. Llevarán grabadas las marcas de identificación definidas en la EHE.</w:t>
      </w:r>
    </w:p>
    <w:p w14:paraId="7D05E427" w14:textId="77777777" w:rsidR="008A189D" w:rsidRPr="00847B90" w:rsidRDefault="008A189D" w:rsidP="004024D6">
      <w:pPr>
        <w:pStyle w:val="NORMAL12"/>
      </w:pPr>
      <w:r w:rsidRPr="009B23E5">
        <w:t>El Contratista deberá aportar certificados del suministrador de cada partida</w:t>
      </w:r>
      <w:r w:rsidR="00BE4234">
        <w:t xml:space="preserve"> que llegue a obra, </w:t>
      </w:r>
      <w:r w:rsidRPr="009B23E5">
        <w:t>incluida la documentación r</w:t>
      </w:r>
      <w:r w:rsidR="00BE4234">
        <w:t>elativa al marcado CE</w:t>
      </w:r>
      <w:r w:rsidRPr="009B23E5">
        <w:t>, en los que se garanticen l</w:t>
      </w:r>
      <w:r w:rsidR="00BE4234">
        <w:t xml:space="preserve">as </w:t>
      </w:r>
      <w:r w:rsidR="00BE4234" w:rsidRPr="00847B90">
        <w:t xml:space="preserve">características del material, según lo establecido en el (Reglamento </w:t>
      </w:r>
      <w:proofErr w:type="spellStart"/>
      <w:r w:rsidR="00BE4234" w:rsidRPr="00847B90">
        <w:t>nº</w:t>
      </w:r>
      <w:proofErr w:type="spellEnd"/>
      <w:r w:rsidR="00BE4234" w:rsidRPr="00847B90">
        <w:t xml:space="preserve"> 305/2011 del Parlamento Europeo y del Consejo, de 9 de marzo del 2011, por el que se establecen condiciones armonizadas para la comercialización de productos de construcción)</w:t>
      </w:r>
    </w:p>
    <w:p w14:paraId="660E94C4" w14:textId="77777777" w:rsidR="008A189D" w:rsidRPr="00847B90" w:rsidRDefault="008A189D" w:rsidP="004024D6">
      <w:pPr>
        <w:pStyle w:val="NORMAL12"/>
      </w:pPr>
      <w:r w:rsidRPr="00847B90">
        <w:t>Las barras corrugadas cumplirán los requisitos técnicos</w:t>
      </w:r>
      <w:r w:rsidR="00660C85" w:rsidRPr="00847B90">
        <w:t xml:space="preserve"> establecidos en la UNE 36068:2011</w:t>
      </w:r>
      <w:r w:rsidRPr="00847B90">
        <w:t xml:space="preserve"> y en particular los indicados en el artículo 31.2 de EHE-08.</w:t>
      </w:r>
    </w:p>
    <w:p w14:paraId="586E12EC" w14:textId="77777777" w:rsidR="00F06086" w:rsidRDefault="008A189D" w:rsidP="000313DD">
      <w:pPr>
        <w:pStyle w:val="TITU2"/>
        <w:rPr>
          <w:lang w:val="es-ES_tradnl"/>
        </w:rPr>
      </w:pPr>
      <w:bookmarkStart w:id="659" w:name="_Toc404397"/>
      <w:r w:rsidRPr="00847B90">
        <w:rPr>
          <w:lang w:val="es-ES_tradnl"/>
        </w:rPr>
        <w:t>600.5</w:t>
      </w:r>
      <w:r w:rsidR="00F06086" w:rsidRPr="00847B90">
        <w:rPr>
          <w:lang w:val="es-ES_tradnl"/>
        </w:rPr>
        <w:t xml:space="preserve">. </w:t>
      </w:r>
      <w:r w:rsidRPr="00847B90">
        <w:rPr>
          <w:lang w:val="es-ES_tradnl"/>
        </w:rPr>
        <w:t>Ejecución</w:t>
      </w:r>
      <w:r w:rsidR="001013FE">
        <w:rPr>
          <w:lang w:val="es-ES_tradnl"/>
        </w:rPr>
        <w:t xml:space="preserve"> de las obras</w:t>
      </w:r>
      <w:bookmarkEnd w:id="659"/>
    </w:p>
    <w:p w14:paraId="11D8BAE8" w14:textId="77777777" w:rsidR="008A189D" w:rsidRPr="004024D6" w:rsidRDefault="008A189D" w:rsidP="004024D6">
      <w:pPr>
        <w:pStyle w:val="NORMAL12"/>
        <w:rPr>
          <w:i/>
          <w:u w:val="single"/>
        </w:rPr>
      </w:pPr>
      <w:r w:rsidRPr="004024D6">
        <w:rPr>
          <w:i/>
          <w:u w:val="single"/>
        </w:rPr>
        <w:t>Definición de planos de despiece de armaduras</w:t>
      </w:r>
    </w:p>
    <w:p w14:paraId="42872196" w14:textId="77777777" w:rsidR="008A189D" w:rsidRPr="009B23E5" w:rsidRDefault="008A189D" w:rsidP="004024D6">
      <w:pPr>
        <w:pStyle w:val="NORMAL12"/>
      </w:pPr>
      <w:r w:rsidRPr="009B23E5">
        <w:t>El Contratista deberá someter a la aprobación técnica de la Dirección</w:t>
      </w:r>
      <w:r w:rsidR="009771E6">
        <w:t xml:space="preserve"> de Obra</w:t>
      </w:r>
      <w:r w:rsidRPr="009B23E5">
        <w:t>, los planos de montaje de ferralla en obra, o en su caso, los esquemas y croquis necesarios para definir completamente los despieces, solapes, recubrimientos y esquemas reales de montaje de la armadura de obra. Dicha aprobación será previa a cualquier inicio de la ferralla del elemento afectado.</w:t>
      </w:r>
    </w:p>
    <w:p w14:paraId="55204006" w14:textId="77777777" w:rsidR="008A189D" w:rsidRPr="009B23E5" w:rsidRDefault="008A189D" w:rsidP="004024D6">
      <w:pPr>
        <w:pStyle w:val="NORMAL12"/>
      </w:pPr>
      <w:r w:rsidRPr="00CA0E21">
        <w:lastRenderedPageBreak/>
        <w:t>Los despieces de armaduras indicados en los planos son meramente orientativos. La empresa constructora será la responsable de los despieces finales a ejecutar.</w:t>
      </w:r>
      <w:r w:rsidRPr="004024D6">
        <w:t xml:space="preserve"> </w:t>
      </w:r>
      <w:r w:rsidRPr="009B23E5">
        <w:t>Dichos despieces se realizarán siguiendo las indicaciones de los planos, junto con los solapes, anclajes y radios de doblado indicados en la EHE-08.</w:t>
      </w:r>
    </w:p>
    <w:p w14:paraId="5144F96D" w14:textId="77777777" w:rsidR="008A189D" w:rsidRPr="009B23E5" w:rsidRDefault="008A189D" w:rsidP="004024D6">
      <w:pPr>
        <w:pStyle w:val="NORMAL12"/>
      </w:pPr>
      <w:r w:rsidRPr="009B23E5">
        <w:t>Los planos de despiece a elaborar por el Contratista contendrán:</w:t>
      </w:r>
    </w:p>
    <w:p w14:paraId="5E219CDE" w14:textId="77777777" w:rsidR="008A189D" w:rsidRPr="009B23E5" w:rsidRDefault="008A189D" w:rsidP="00E01981">
      <w:pPr>
        <w:pStyle w:val="NORMAL12"/>
        <w:numPr>
          <w:ilvl w:val="0"/>
          <w:numId w:val="70"/>
        </w:numPr>
      </w:pPr>
      <w:r w:rsidRPr="009B23E5">
        <w:t xml:space="preserve">Forma y medidas exactas de las armaduras de proyecto, según forma y dimensiones de </w:t>
      </w:r>
      <w:proofErr w:type="gramStart"/>
      <w:r w:rsidRPr="009B23E5">
        <w:t>las mismas</w:t>
      </w:r>
      <w:proofErr w:type="gramEnd"/>
      <w:r w:rsidRPr="009B23E5">
        <w:t xml:space="preserve"> indicadas en los planos de proyecto</w:t>
      </w:r>
    </w:p>
    <w:p w14:paraId="4A8BDB6C" w14:textId="77777777" w:rsidR="008A189D" w:rsidRPr="009B23E5" w:rsidRDefault="008A189D" w:rsidP="00E01981">
      <w:pPr>
        <w:pStyle w:val="NORMAL12"/>
        <w:numPr>
          <w:ilvl w:val="0"/>
          <w:numId w:val="70"/>
        </w:numPr>
      </w:pPr>
      <w:r w:rsidRPr="009B23E5">
        <w:t>Indicación clara del lugar donde se producen los empalmes de armaduras y número y longitud de éstos</w:t>
      </w:r>
    </w:p>
    <w:p w14:paraId="726D91DA" w14:textId="77777777" w:rsidR="008A189D" w:rsidRPr="009B23E5" w:rsidRDefault="008A189D" w:rsidP="00E01981">
      <w:pPr>
        <w:pStyle w:val="NORMAL12"/>
        <w:numPr>
          <w:ilvl w:val="0"/>
          <w:numId w:val="70"/>
        </w:numPr>
      </w:pPr>
      <w:r w:rsidRPr="009B23E5">
        <w:t>Detallar y despiezar todas las armaduras auxiliares de montaje</w:t>
      </w:r>
    </w:p>
    <w:p w14:paraId="70814D4E" w14:textId="77777777" w:rsidR="008A189D" w:rsidRPr="009B23E5" w:rsidRDefault="008A189D" w:rsidP="00E01981">
      <w:pPr>
        <w:pStyle w:val="NORMAL12"/>
        <w:numPr>
          <w:ilvl w:val="0"/>
          <w:numId w:val="70"/>
        </w:numPr>
      </w:pPr>
      <w:r w:rsidRPr="009B23E5">
        <w:t xml:space="preserve">Numeración de las armaduras en correspondencia con la numeración de </w:t>
      </w:r>
      <w:proofErr w:type="gramStart"/>
      <w:r w:rsidRPr="009B23E5">
        <w:t>las mismas</w:t>
      </w:r>
      <w:proofErr w:type="gramEnd"/>
      <w:r w:rsidRPr="009B23E5">
        <w:t xml:space="preserve"> en los planos de proyecto</w:t>
      </w:r>
    </w:p>
    <w:p w14:paraId="2B7FA5F1" w14:textId="77777777" w:rsidR="008A189D" w:rsidRPr="009B23E5" w:rsidRDefault="008A189D" w:rsidP="00E01981">
      <w:pPr>
        <w:pStyle w:val="NORMAL12"/>
        <w:numPr>
          <w:ilvl w:val="0"/>
          <w:numId w:val="70"/>
        </w:numPr>
      </w:pPr>
      <w:r w:rsidRPr="009B23E5">
        <w:t>Expresión de los pesos totales de cada posición</w:t>
      </w:r>
    </w:p>
    <w:p w14:paraId="5B0DEB16" w14:textId="77777777" w:rsidR="008A189D" w:rsidRPr="009B23E5" w:rsidRDefault="008A189D" w:rsidP="004024D6">
      <w:pPr>
        <w:pStyle w:val="NORMAL12"/>
      </w:pPr>
      <w:r w:rsidRPr="009B23E5">
        <w:t xml:space="preserve">Cuando en los planos de proyecto no aparezcan especificados los empalmes o solapes de algunas barras, su distribución se hará de forma que el número de empalmes o solapes sea mínimo, debiendo el Contratista, en cualquier caso, realizar y entregar al </w:t>
      </w:r>
      <w:proofErr w:type="gramStart"/>
      <w:r w:rsidRPr="009B23E5">
        <w:t>Director</w:t>
      </w:r>
      <w:proofErr w:type="gramEnd"/>
      <w:r w:rsidRPr="009B23E5">
        <w:t xml:space="preserve"> de las obras los correspondientes esquemas de despiece.</w:t>
      </w:r>
    </w:p>
    <w:p w14:paraId="40009158" w14:textId="77777777" w:rsidR="003A1560" w:rsidRDefault="008A189D" w:rsidP="004024D6">
      <w:pPr>
        <w:pStyle w:val="NORMAL12"/>
      </w:pPr>
      <w:r w:rsidRPr="009B23E5">
        <w:t xml:space="preserve">El constructor, antes de realizar el montaje de las armaduras y mientras prepara las plantillas de los despieces, realizará un estudio del despiece adecuado para cumplir las distancias mínimas entre armaduras indicadas en la EHE-08 y poder realizar un correcto hormigonado de los elementos. Una vez colocada la armadura se confirmará que la distancia mínima entre ellas cumple con las prescripciones indicadas en la EHE-08. En caso de no cumplir las prescripciones anteriores, antes de hormigonar, se adoptarán las medidas oportunas para ajustar el armado y cumplir con las distancias mínimas entre armaduras. Dichas medidas deberán ser aprobadas por la </w:t>
      </w:r>
      <w:r w:rsidR="009771E6">
        <w:t>D</w:t>
      </w:r>
      <w:r w:rsidRPr="009B23E5">
        <w:t xml:space="preserve">irección </w:t>
      </w:r>
      <w:r w:rsidR="009771E6">
        <w:t>de Obra</w:t>
      </w:r>
      <w:r w:rsidRPr="009B23E5">
        <w:t>.</w:t>
      </w:r>
    </w:p>
    <w:p w14:paraId="70D4BB73" w14:textId="77777777" w:rsidR="003A1560" w:rsidRDefault="003A1560" w:rsidP="004024D6">
      <w:pPr>
        <w:pStyle w:val="NORMAL12"/>
        <w:rPr>
          <w:i/>
          <w:u w:val="single"/>
        </w:rPr>
      </w:pPr>
    </w:p>
    <w:p w14:paraId="2C282CDB" w14:textId="77777777" w:rsidR="003A1560" w:rsidRDefault="003A1560" w:rsidP="004024D6">
      <w:pPr>
        <w:pStyle w:val="NORMAL12"/>
        <w:rPr>
          <w:i/>
          <w:u w:val="single"/>
        </w:rPr>
      </w:pPr>
    </w:p>
    <w:p w14:paraId="1C4D8DA0" w14:textId="77777777" w:rsidR="003A1560" w:rsidRDefault="003A1560" w:rsidP="004024D6">
      <w:pPr>
        <w:pStyle w:val="NORMAL12"/>
        <w:rPr>
          <w:i/>
          <w:u w:val="single"/>
        </w:rPr>
      </w:pPr>
    </w:p>
    <w:p w14:paraId="663EF236" w14:textId="77777777" w:rsidR="008A189D" w:rsidRPr="004024D6" w:rsidRDefault="008A189D" w:rsidP="004024D6">
      <w:pPr>
        <w:pStyle w:val="NORMAL12"/>
        <w:rPr>
          <w:i/>
          <w:u w:val="single"/>
        </w:rPr>
      </w:pPr>
      <w:r w:rsidRPr="004024D6">
        <w:rPr>
          <w:i/>
          <w:u w:val="single"/>
        </w:rPr>
        <w:t>Elaboración de ferralla y colocación de armaduras pasivas</w:t>
      </w:r>
    </w:p>
    <w:p w14:paraId="17DEFF93" w14:textId="77777777" w:rsidR="008A189D" w:rsidRPr="009B23E5" w:rsidRDefault="008A189D" w:rsidP="004024D6">
      <w:pPr>
        <w:pStyle w:val="NORMAL12"/>
      </w:pPr>
      <w:r w:rsidRPr="009B23E5">
        <w:t xml:space="preserve">Las condiciones de elaboración y colocación de la ferralla, en lo </w:t>
      </w:r>
      <w:proofErr w:type="gramStart"/>
      <w:r w:rsidRPr="009B23E5">
        <w:t>que</w:t>
      </w:r>
      <w:proofErr w:type="gramEnd"/>
      <w:r w:rsidRPr="009B23E5">
        <w:t xml:space="preserve"> a disposición de separadores, doblado de las armaduras, distancias entre barras de armaduras, anclajes y empalmes se refiere, serán conformes a EHE-08.</w:t>
      </w:r>
    </w:p>
    <w:p w14:paraId="60FF6AD7" w14:textId="77777777" w:rsidR="008A189D" w:rsidRPr="009B23E5" w:rsidRDefault="008A189D" w:rsidP="004024D6">
      <w:pPr>
        <w:pStyle w:val="NORMAL12"/>
      </w:pPr>
      <w:r w:rsidRPr="009B23E5">
        <w:t>En el caso de que la armadura presente un nivel de oxidación excesivo que pueda afectar a sus condiciones de adherencia, se procederá a su cepillado mediante cepillo de púas de alambre y se comprobará que la pérdida de peso de la armadura no excede del 1% y la altura de la corruga se encuentra dentro de lo indicado en apartado 31.2 de la Instrucción EHE-08.</w:t>
      </w:r>
    </w:p>
    <w:p w14:paraId="41B29C09" w14:textId="77777777" w:rsidR="008A189D" w:rsidRPr="009B23E5" w:rsidRDefault="008A189D" w:rsidP="004024D6">
      <w:pPr>
        <w:pStyle w:val="NORMAL12"/>
      </w:pPr>
      <w:r w:rsidRPr="009B23E5">
        <w:t>Se autoriza el uso de la técnica de soldadura para la elaboración de la ferralla (según UNE 36832:97) siempre que se efectúe en taller con instalación industrial fija. Solamente en aquellos casos previstos en el proyecto y debidamente autorizados por la Dirección de Obra se admitirá la soldadura en obra para la elaboración de la ferralla.</w:t>
      </w:r>
    </w:p>
    <w:p w14:paraId="7C18EE9E" w14:textId="77777777" w:rsidR="008A189D" w:rsidRPr="004024D6" w:rsidRDefault="008A189D" w:rsidP="004024D6">
      <w:pPr>
        <w:pStyle w:val="NORMAL12"/>
        <w:rPr>
          <w:i/>
          <w:u w:val="single"/>
        </w:rPr>
      </w:pPr>
      <w:r w:rsidRPr="004024D6">
        <w:rPr>
          <w:i/>
          <w:u w:val="single"/>
        </w:rPr>
        <w:t>Condiciones de durabilidad de las armaduras</w:t>
      </w:r>
    </w:p>
    <w:p w14:paraId="63870C12" w14:textId="77777777" w:rsidR="008A189D" w:rsidRPr="009B23E5" w:rsidRDefault="008A189D" w:rsidP="004024D6">
      <w:pPr>
        <w:pStyle w:val="NORMAL12"/>
      </w:pPr>
      <w:r w:rsidRPr="009B23E5">
        <w:t>La durabilidad de las armaduras está vinculada a la corrosión de éstas. Las armaduras deberán permanecer exentas de corrosión durante todo el período de vida útil de la estructura.</w:t>
      </w:r>
    </w:p>
    <w:p w14:paraId="4EE7054D" w14:textId="77777777" w:rsidR="008A189D" w:rsidRPr="009B23E5" w:rsidRDefault="008A189D" w:rsidP="004024D6">
      <w:pPr>
        <w:pStyle w:val="NORMAL12"/>
      </w:pPr>
      <w:r w:rsidRPr="009B23E5">
        <w:t>La agresividad del ambiente en relación con la corrosión de las armaduras viene definida por las clases generales de exposición según el apartado 8.2.2 de la EHE-08. En el cuadro de especificaciones técnicas incluido en planos se indica el ambiente correspondiente a cada unidad.</w:t>
      </w:r>
    </w:p>
    <w:p w14:paraId="0FC330FE" w14:textId="77777777" w:rsidR="008A189D" w:rsidRPr="009B23E5" w:rsidRDefault="008A189D" w:rsidP="004024D6">
      <w:pPr>
        <w:pStyle w:val="NORMAL12"/>
      </w:pPr>
      <w:r w:rsidRPr="009B23E5">
        <w:t>Para prevenir la corrosión se deberán tener en cuenta las siguientes consideraciones:</w:t>
      </w:r>
    </w:p>
    <w:p w14:paraId="4E3B47D4" w14:textId="77777777" w:rsidR="008A189D" w:rsidRPr="004024D6" w:rsidRDefault="008A189D" w:rsidP="00E01981">
      <w:pPr>
        <w:pStyle w:val="NORMAL12"/>
        <w:numPr>
          <w:ilvl w:val="0"/>
          <w:numId w:val="71"/>
        </w:numPr>
      </w:pPr>
      <w:r w:rsidRPr="004024D6">
        <w:t>Valores de recubrimiento nominal, indicados en el Artículo 37.2.4 de la Instrucción EHE-</w:t>
      </w:r>
      <w:proofErr w:type="gramStart"/>
      <w:r w:rsidRPr="004024D6">
        <w:t>08</w:t>
      </w:r>
      <w:r w:rsidRPr="009B23E5">
        <w:t>.</w:t>
      </w:r>
      <w:r w:rsidRPr="004024D6">
        <w:t>e</w:t>
      </w:r>
      <w:proofErr w:type="gramEnd"/>
      <w:r w:rsidRPr="004024D6">
        <w:t xml:space="preserve"> indicados en el cuadro de materiales en planos.</w:t>
      </w:r>
    </w:p>
    <w:p w14:paraId="533F7BC3" w14:textId="77777777" w:rsidR="008A189D" w:rsidRPr="004024D6" w:rsidRDefault="008A189D" w:rsidP="00E01981">
      <w:pPr>
        <w:pStyle w:val="NORMAL12"/>
        <w:numPr>
          <w:ilvl w:val="0"/>
          <w:numId w:val="71"/>
        </w:numPr>
      </w:pPr>
      <w:r w:rsidRPr="004024D6">
        <w:t>Se prohíbe poner en contacto las armaduras con otros metales de muy diferente potencial galvánico.</w:t>
      </w:r>
    </w:p>
    <w:p w14:paraId="457BC952" w14:textId="77777777" w:rsidR="008A189D" w:rsidRPr="004024D6" w:rsidRDefault="008A189D" w:rsidP="00E01981">
      <w:pPr>
        <w:pStyle w:val="NORMAL12"/>
        <w:numPr>
          <w:ilvl w:val="0"/>
          <w:numId w:val="71"/>
        </w:numPr>
      </w:pPr>
      <w:r w:rsidRPr="004024D6">
        <w:lastRenderedPageBreak/>
        <w:t xml:space="preserve">Se prohíbe emplear materiales componentes que contengan iones </w:t>
      </w:r>
      <w:proofErr w:type="spellStart"/>
      <w:r w:rsidRPr="004024D6">
        <w:t>despasivantes</w:t>
      </w:r>
      <w:proofErr w:type="spellEnd"/>
      <w:r w:rsidRPr="004024D6">
        <w:t xml:space="preserve"> (cloruros, sulfuros y sulfatos) en proporciones superiores a los indicados en los Artículos 27, 28 y 29 de la EHE-08.</w:t>
      </w:r>
    </w:p>
    <w:p w14:paraId="38E734B1" w14:textId="77777777" w:rsidR="008A189D" w:rsidRPr="004024D6" w:rsidRDefault="008A189D" w:rsidP="00E01981">
      <w:pPr>
        <w:pStyle w:val="NORMAL12"/>
        <w:numPr>
          <w:ilvl w:val="0"/>
          <w:numId w:val="71"/>
        </w:numPr>
      </w:pPr>
      <w:r w:rsidRPr="004024D6">
        <w:t>Se deberá de cumplir que el contenido total de cloruros en un hormigón que contenga armaduras pasivas sea inferior a los límites indicados en el Artículo 37.4.1 de la EHE-08.</w:t>
      </w:r>
    </w:p>
    <w:p w14:paraId="18DD4557" w14:textId="77777777" w:rsidR="00F06086" w:rsidRDefault="008A189D" w:rsidP="000313DD">
      <w:pPr>
        <w:pStyle w:val="TITU2"/>
        <w:rPr>
          <w:lang w:val="es-ES_tradnl"/>
        </w:rPr>
      </w:pPr>
      <w:bookmarkStart w:id="660" w:name="_Toc404398"/>
      <w:r>
        <w:rPr>
          <w:lang w:val="es-ES_tradnl"/>
        </w:rPr>
        <w:t>600.6</w:t>
      </w:r>
      <w:r w:rsidR="00F06086" w:rsidRPr="005864C2">
        <w:rPr>
          <w:lang w:val="es-ES_tradnl"/>
        </w:rPr>
        <w:t xml:space="preserve">. </w:t>
      </w:r>
      <w:r w:rsidRPr="00847B90">
        <w:rPr>
          <w:lang w:val="es-ES_tradnl"/>
        </w:rPr>
        <w:t>Recepción</w:t>
      </w:r>
      <w:r w:rsidR="00156FF8" w:rsidRPr="00847B90">
        <w:rPr>
          <w:lang w:val="es-ES_tradnl"/>
        </w:rPr>
        <w:t xml:space="preserve"> y control de calidad</w:t>
      </w:r>
      <w:bookmarkEnd w:id="660"/>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8A189D" w:rsidRPr="009B23E5" w14:paraId="3E2CB39F" w14:textId="77777777" w:rsidTr="00D9029C">
        <w:trPr>
          <w:tblHeader/>
          <w:jc w:val="center"/>
        </w:trPr>
        <w:tc>
          <w:tcPr>
            <w:tcW w:w="5032" w:type="dxa"/>
            <w:tcBorders>
              <w:bottom w:val="single" w:sz="4" w:space="0" w:color="auto"/>
              <w:right w:val="single" w:sz="4" w:space="0" w:color="auto"/>
            </w:tcBorders>
            <w:shd w:val="clear" w:color="auto" w:fill="D9D9D9" w:themeFill="background1" w:themeFillShade="D9"/>
            <w:vAlign w:val="center"/>
          </w:tcPr>
          <w:p w14:paraId="7BB9E8AD" w14:textId="77777777" w:rsidR="008A189D" w:rsidRPr="001013FE" w:rsidRDefault="008A189D" w:rsidP="001B1CBC">
            <w:pPr>
              <w:pStyle w:val="GTTTtuloTabla"/>
              <w:keepNext/>
              <w:spacing w:before="60" w:after="60" w:line="240" w:lineRule="auto"/>
              <w:rPr>
                <w:rFonts w:ascii="Arial" w:hAnsi="Arial" w:cs="Arial"/>
                <w:sz w:val="20"/>
                <w:szCs w:val="20"/>
              </w:rPr>
            </w:pPr>
            <w:r w:rsidRPr="001013FE">
              <w:rPr>
                <w:rFonts w:ascii="Arial" w:hAnsi="Arial" w:cs="Arial"/>
                <w:sz w:val="20"/>
                <w:szCs w:val="20"/>
              </w:rPr>
              <w:t>Parámetros de aceptación final</w:t>
            </w:r>
          </w:p>
        </w:tc>
        <w:tc>
          <w:tcPr>
            <w:tcW w:w="3612" w:type="dxa"/>
            <w:tcBorders>
              <w:left w:val="single" w:sz="4" w:space="0" w:color="auto"/>
              <w:bottom w:val="single" w:sz="4" w:space="0" w:color="auto"/>
            </w:tcBorders>
            <w:shd w:val="clear" w:color="auto" w:fill="D9D9D9" w:themeFill="background1" w:themeFillShade="D9"/>
            <w:vAlign w:val="center"/>
          </w:tcPr>
          <w:p w14:paraId="26203F64" w14:textId="77777777" w:rsidR="008A189D" w:rsidRPr="001013FE" w:rsidRDefault="008A189D" w:rsidP="001B1CBC">
            <w:pPr>
              <w:pStyle w:val="GTTTtuloTabla"/>
              <w:keepNext/>
              <w:spacing w:before="60" w:after="60" w:line="240" w:lineRule="auto"/>
              <w:rPr>
                <w:rFonts w:ascii="Arial" w:hAnsi="Arial" w:cs="Arial"/>
                <w:sz w:val="20"/>
                <w:szCs w:val="20"/>
              </w:rPr>
            </w:pPr>
            <w:r w:rsidRPr="001013FE">
              <w:rPr>
                <w:rFonts w:ascii="Arial" w:hAnsi="Arial" w:cs="Arial"/>
                <w:sz w:val="20"/>
                <w:szCs w:val="20"/>
              </w:rPr>
              <w:t>Normas de aplicación</w:t>
            </w:r>
          </w:p>
        </w:tc>
      </w:tr>
      <w:tr w:rsidR="008A189D" w:rsidRPr="009B23E5" w14:paraId="2C184270" w14:textId="77777777" w:rsidTr="004024D6">
        <w:trPr>
          <w:trHeight w:val="540"/>
          <w:jc w:val="center"/>
        </w:trPr>
        <w:tc>
          <w:tcPr>
            <w:tcW w:w="5032" w:type="dxa"/>
            <w:tcBorders>
              <w:right w:val="single" w:sz="4" w:space="0" w:color="auto"/>
            </w:tcBorders>
          </w:tcPr>
          <w:p w14:paraId="53F3C1DD" w14:textId="77777777" w:rsidR="008A189D" w:rsidRPr="001013FE" w:rsidRDefault="008A189D" w:rsidP="001B1CBC">
            <w:pPr>
              <w:pStyle w:val="GTTTabla"/>
              <w:ind w:right="72"/>
              <w:jc w:val="both"/>
              <w:rPr>
                <w:rFonts w:ascii="Arial" w:hAnsi="Arial" w:cs="Arial"/>
                <w:sz w:val="20"/>
                <w:szCs w:val="20"/>
              </w:rPr>
            </w:pPr>
            <w:r w:rsidRPr="001013FE">
              <w:rPr>
                <w:rFonts w:ascii="Arial" w:hAnsi="Arial" w:cs="Arial"/>
                <w:sz w:val="20"/>
                <w:szCs w:val="20"/>
              </w:rPr>
              <w:t>Número de armaduras colocadas coincidente con planillas de despiece</w:t>
            </w:r>
          </w:p>
        </w:tc>
        <w:tc>
          <w:tcPr>
            <w:tcW w:w="3612" w:type="dxa"/>
            <w:tcBorders>
              <w:left w:val="single" w:sz="4" w:space="0" w:color="auto"/>
            </w:tcBorders>
          </w:tcPr>
          <w:p w14:paraId="496112BA" w14:textId="77777777" w:rsidR="008A189D" w:rsidRPr="001013FE" w:rsidRDefault="008A189D" w:rsidP="001B1CBC">
            <w:pPr>
              <w:pStyle w:val="GTTTabla"/>
              <w:jc w:val="both"/>
              <w:rPr>
                <w:rFonts w:ascii="Arial" w:hAnsi="Arial" w:cs="Arial"/>
                <w:sz w:val="20"/>
                <w:szCs w:val="20"/>
              </w:rPr>
            </w:pPr>
            <w:r w:rsidRPr="001013FE">
              <w:rPr>
                <w:rFonts w:ascii="Arial" w:hAnsi="Arial" w:cs="Arial"/>
                <w:sz w:val="20"/>
                <w:szCs w:val="20"/>
              </w:rPr>
              <w:t>Inspección visual</w:t>
            </w:r>
          </w:p>
        </w:tc>
      </w:tr>
      <w:tr w:rsidR="008A189D" w:rsidRPr="009B23E5" w14:paraId="77FB8203" w14:textId="77777777" w:rsidTr="004024D6">
        <w:trPr>
          <w:trHeight w:val="540"/>
          <w:jc w:val="center"/>
        </w:trPr>
        <w:tc>
          <w:tcPr>
            <w:tcW w:w="5032" w:type="dxa"/>
            <w:tcBorders>
              <w:right w:val="single" w:sz="4" w:space="0" w:color="auto"/>
            </w:tcBorders>
          </w:tcPr>
          <w:p w14:paraId="39B98680" w14:textId="77777777" w:rsidR="008A189D" w:rsidRPr="001013FE" w:rsidRDefault="008A189D" w:rsidP="001B1CBC">
            <w:pPr>
              <w:pStyle w:val="GTTTabla"/>
              <w:ind w:right="72"/>
              <w:jc w:val="both"/>
              <w:rPr>
                <w:rFonts w:ascii="Arial" w:hAnsi="Arial" w:cs="Arial"/>
                <w:sz w:val="20"/>
                <w:szCs w:val="20"/>
              </w:rPr>
            </w:pPr>
            <w:r w:rsidRPr="001013FE">
              <w:rPr>
                <w:rFonts w:ascii="Arial" w:hAnsi="Arial" w:cs="Arial"/>
                <w:sz w:val="20"/>
                <w:szCs w:val="20"/>
              </w:rPr>
              <w:t>Recubrimientos mínimos superiores a los indicados en EHE-08.</w:t>
            </w:r>
          </w:p>
        </w:tc>
        <w:tc>
          <w:tcPr>
            <w:tcW w:w="3612" w:type="dxa"/>
            <w:tcBorders>
              <w:left w:val="single" w:sz="4" w:space="0" w:color="auto"/>
            </w:tcBorders>
          </w:tcPr>
          <w:p w14:paraId="1D699EBD" w14:textId="77777777" w:rsidR="008A189D" w:rsidRPr="001013FE" w:rsidRDefault="008A189D" w:rsidP="001B1CBC">
            <w:pPr>
              <w:pStyle w:val="GTTTabla"/>
              <w:jc w:val="both"/>
              <w:rPr>
                <w:rFonts w:ascii="Arial" w:hAnsi="Arial" w:cs="Arial"/>
                <w:sz w:val="20"/>
                <w:szCs w:val="20"/>
              </w:rPr>
            </w:pPr>
            <w:r w:rsidRPr="001013FE">
              <w:rPr>
                <w:rFonts w:ascii="Arial" w:hAnsi="Arial" w:cs="Arial"/>
                <w:sz w:val="20"/>
                <w:szCs w:val="20"/>
              </w:rPr>
              <w:t>Medición con cinta métrica</w:t>
            </w:r>
          </w:p>
        </w:tc>
      </w:tr>
      <w:tr w:rsidR="008A189D" w:rsidRPr="009B23E5" w14:paraId="227BEB3C" w14:textId="77777777" w:rsidTr="004024D6">
        <w:trPr>
          <w:trHeight w:val="540"/>
          <w:jc w:val="center"/>
        </w:trPr>
        <w:tc>
          <w:tcPr>
            <w:tcW w:w="5032" w:type="dxa"/>
            <w:tcBorders>
              <w:right w:val="single" w:sz="4" w:space="0" w:color="auto"/>
            </w:tcBorders>
          </w:tcPr>
          <w:p w14:paraId="06B7A6A1" w14:textId="77777777" w:rsidR="008A189D" w:rsidRPr="001013FE" w:rsidRDefault="008A189D" w:rsidP="00D9029C">
            <w:pPr>
              <w:pStyle w:val="GTTTabla"/>
              <w:keepNext/>
              <w:ind w:right="72"/>
              <w:jc w:val="both"/>
              <w:rPr>
                <w:rFonts w:ascii="Arial" w:hAnsi="Arial" w:cs="Arial"/>
                <w:sz w:val="20"/>
                <w:szCs w:val="20"/>
              </w:rPr>
            </w:pPr>
            <w:r w:rsidRPr="001013FE">
              <w:rPr>
                <w:rFonts w:ascii="Arial" w:hAnsi="Arial" w:cs="Arial"/>
                <w:sz w:val="20"/>
                <w:szCs w:val="20"/>
              </w:rPr>
              <w:t>Longitudes de anclaje y solape según planillas de despiece y EHE-08.</w:t>
            </w:r>
          </w:p>
        </w:tc>
        <w:tc>
          <w:tcPr>
            <w:tcW w:w="3612" w:type="dxa"/>
            <w:tcBorders>
              <w:left w:val="single" w:sz="4" w:space="0" w:color="auto"/>
            </w:tcBorders>
          </w:tcPr>
          <w:p w14:paraId="4E801394" w14:textId="77777777" w:rsidR="008A189D" w:rsidRPr="001013FE" w:rsidRDefault="008A189D" w:rsidP="00D9029C">
            <w:pPr>
              <w:pStyle w:val="GTTTabla"/>
              <w:keepNext/>
              <w:jc w:val="both"/>
              <w:rPr>
                <w:rFonts w:ascii="Arial" w:hAnsi="Arial" w:cs="Arial"/>
                <w:sz w:val="20"/>
                <w:szCs w:val="20"/>
              </w:rPr>
            </w:pPr>
            <w:r w:rsidRPr="001013FE">
              <w:rPr>
                <w:rFonts w:ascii="Arial" w:hAnsi="Arial" w:cs="Arial"/>
                <w:sz w:val="20"/>
                <w:szCs w:val="20"/>
              </w:rPr>
              <w:t>Medición con cinta métrica</w:t>
            </w:r>
          </w:p>
        </w:tc>
      </w:tr>
    </w:tbl>
    <w:p w14:paraId="06FC27CE" w14:textId="77777777" w:rsidR="008A189D" w:rsidRPr="004024D6" w:rsidRDefault="008A189D" w:rsidP="004024D6">
      <w:pPr>
        <w:pStyle w:val="NORMAL12"/>
      </w:pPr>
      <w:r w:rsidRPr="009B23E5">
        <w:t xml:space="preserve">Se describe seguidamente el Control de Calidad de recepción de armaduras pasivas, cuyo objeto es garantizar que la obra terminada tiene las características de </w:t>
      </w:r>
      <w:r w:rsidRPr="004024D6">
        <w:t>calidad, resistentes y funcionales, especificadas en proyecto, en virtud del control de calidad de los materiales empleados y del control de la ejecución.</w:t>
      </w:r>
    </w:p>
    <w:p w14:paraId="128FB67F" w14:textId="77777777" w:rsidR="008A189D" w:rsidRPr="009B23E5" w:rsidRDefault="008A189D" w:rsidP="004024D6">
      <w:pPr>
        <w:pStyle w:val="NORMAL12"/>
      </w:pPr>
      <w:r w:rsidRPr="004024D6">
        <w:t>Una vez realizados todos los controles de calidad durante la ejecución de la unidad aquí indicados, su aceptación final se realizará basándose en los criterios especificados en el epígrafe de Aceptación final de esta cláusula</w:t>
      </w:r>
      <w:r w:rsidRPr="009B23E5">
        <w:t>.</w:t>
      </w:r>
    </w:p>
    <w:p w14:paraId="2E58E381" w14:textId="77777777" w:rsidR="008A189D" w:rsidRPr="009B23E5" w:rsidRDefault="00156FF8" w:rsidP="008A189D">
      <w:pPr>
        <w:pStyle w:val="Ttulo3"/>
      </w:pPr>
      <w:bookmarkStart w:id="661" w:name="_Toc399508988"/>
      <w:bookmarkStart w:id="662" w:name="_Toc400741535"/>
      <w:bookmarkStart w:id="663" w:name="_Toc492537769"/>
      <w:r>
        <w:t>600.6</w:t>
      </w:r>
      <w:r w:rsidR="008A189D" w:rsidRPr="009B23E5">
        <w:t>.1.</w:t>
      </w:r>
      <w:r w:rsidR="003A1560">
        <w:t xml:space="preserve"> </w:t>
      </w:r>
      <w:r w:rsidR="008A189D" w:rsidRPr="009B23E5">
        <w:t>Control de calidad de materiales</w:t>
      </w:r>
      <w:bookmarkEnd w:id="661"/>
      <w:bookmarkEnd w:id="662"/>
      <w:bookmarkEnd w:id="663"/>
    </w:p>
    <w:p w14:paraId="231C9CA3" w14:textId="77777777" w:rsidR="008A189D" w:rsidRPr="009B23E5" w:rsidRDefault="008A189D" w:rsidP="004024D6">
      <w:pPr>
        <w:pStyle w:val="NORMAL12"/>
      </w:pPr>
      <w:r w:rsidRPr="009B23E5">
        <w:t>Será de aplicación todo lo expuesto en el EHE-08 sobre el control de calidad del acero.</w:t>
      </w:r>
    </w:p>
    <w:p w14:paraId="1BB1EBB7" w14:textId="77777777" w:rsidR="008A189D" w:rsidRPr="009B23E5" w:rsidRDefault="008A189D" w:rsidP="004024D6">
      <w:pPr>
        <w:pStyle w:val="NORMAL12"/>
      </w:pPr>
      <w:r w:rsidRPr="009B23E5">
        <w:t xml:space="preserve">Se establece un </w:t>
      </w:r>
      <w:r w:rsidRPr="004024D6">
        <w:rPr>
          <w:i/>
        </w:rPr>
        <w:t>control a nivel normal</w:t>
      </w:r>
      <w:r w:rsidRPr="009B23E5">
        <w:t xml:space="preserve"> para aceptar la calidad del acero.</w:t>
      </w:r>
    </w:p>
    <w:p w14:paraId="13AC7E6F" w14:textId="77777777" w:rsidR="008A189D" w:rsidRPr="009B23E5" w:rsidRDefault="00E41B77" w:rsidP="004024D6">
      <w:pPr>
        <w:pStyle w:val="NORMAL12"/>
      </w:pPr>
      <w:r>
        <w:t xml:space="preserve">Sólo podrán utilizarse </w:t>
      </w:r>
      <w:r w:rsidR="008A189D" w:rsidRPr="009B23E5">
        <w:t>aceros certificados según la definición de EHE-08. En los aceros certificados el control se realizará antes de la puesta en servicio de la estructura.</w:t>
      </w:r>
    </w:p>
    <w:p w14:paraId="5B7B2F94" w14:textId="77777777" w:rsidR="008A189D" w:rsidRPr="009B23E5" w:rsidRDefault="008A189D" w:rsidP="004024D6">
      <w:pPr>
        <w:pStyle w:val="NORMAL12"/>
      </w:pPr>
      <w:r w:rsidRPr="009B23E5">
        <w:t>Los controles de calidad a realizar se indican en la tabla siguiente:</w:t>
      </w:r>
    </w:p>
    <w:tbl>
      <w:tblPr>
        <w:tblW w:w="8596" w:type="dxa"/>
        <w:jc w:val="center"/>
        <w:tblBorders>
          <w:top w:val="single" w:sz="8" w:space="0" w:color="auto"/>
          <w:left w:val="single" w:sz="8" w:space="0" w:color="auto"/>
          <w:bottom w:val="single" w:sz="8" w:space="0" w:color="auto"/>
          <w:right w:val="single" w:sz="8" w:space="0" w:color="auto"/>
        </w:tblBorders>
        <w:tblLayout w:type="fixed"/>
        <w:tblCellMar>
          <w:left w:w="70" w:type="dxa"/>
          <w:right w:w="70" w:type="dxa"/>
        </w:tblCellMar>
        <w:tblLook w:val="0000" w:firstRow="0" w:lastRow="0" w:firstColumn="0" w:lastColumn="0" w:noHBand="0" w:noVBand="0"/>
      </w:tblPr>
      <w:tblGrid>
        <w:gridCol w:w="6309"/>
        <w:gridCol w:w="2287"/>
      </w:tblGrid>
      <w:tr w:rsidR="008A189D" w:rsidRPr="009B23E5" w14:paraId="39F6A423" w14:textId="77777777" w:rsidTr="00593D99">
        <w:trPr>
          <w:tblHeader/>
          <w:jc w:val="center"/>
        </w:trPr>
        <w:tc>
          <w:tcPr>
            <w:tcW w:w="63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DD3701" w14:textId="77777777" w:rsidR="008A189D" w:rsidRPr="001013FE" w:rsidRDefault="008A189D" w:rsidP="001B1CBC">
            <w:pPr>
              <w:pStyle w:val="GTTTtuloTabla"/>
              <w:spacing w:before="60" w:after="60" w:line="240" w:lineRule="auto"/>
              <w:rPr>
                <w:rFonts w:ascii="Arial" w:hAnsi="Arial" w:cs="Arial"/>
                <w:sz w:val="20"/>
                <w:szCs w:val="20"/>
              </w:rPr>
            </w:pPr>
            <w:r w:rsidRPr="001013FE">
              <w:rPr>
                <w:rFonts w:ascii="Arial" w:hAnsi="Arial" w:cs="Arial"/>
                <w:sz w:val="20"/>
                <w:szCs w:val="20"/>
              </w:rPr>
              <w:t>Control</w:t>
            </w:r>
          </w:p>
        </w:tc>
        <w:tc>
          <w:tcPr>
            <w:tcW w:w="228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93ECF8" w14:textId="77777777" w:rsidR="008A189D" w:rsidRPr="001013FE" w:rsidRDefault="008A189D" w:rsidP="001B1CBC">
            <w:pPr>
              <w:pStyle w:val="GTTTtuloTabla"/>
              <w:spacing w:before="60" w:after="60" w:line="240" w:lineRule="auto"/>
              <w:rPr>
                <w:rFonts w:ascii="Arial" w:hAnsi="Arial" w:cs="Arial"/>
                <w:sz w:val="20"/>
                <w:szCs w:val="20"/>
              </w:rPr>
            </w:pPr>
            <w:r w:rsidRPr="001013FE">
              <w:rPr>
                <w:rFonts w:ascii="Arial" w:hAnsi="Arial" w:cs="Arial"/>
                <w:sz w:val="20"/>
                <w:szCs w:val="20"/>
              </w:rPr>
              <w:t>Norma de referencia</w:t>
            </w:r>
          </w:p>
        </w:tc>
      </w:tr>
      <w:tr w:rsidR="008A189D" w:rsidRPr="009B23E5" w14:paraId="5C56780A" w14:textId="77777777" w:rsidTr="001B1CBC">
        <w:trPr>
          <w:jc w:val="center"/>
        </w:trPr>
        <w:tc>
          <w:tcPr>
            <w:tcW w:w="6309" w:type="dxa"/>
            <w:tcBorders>
              <w:top w:val="single" w:sz="4" w:space="0" w:color="auto"/>
            </w:tcBorders>
          </w:tcPr>
          <w:p w14:paraId="4603957A" w14:textId="77777777" w:rsidR="008A189D" w:rsidRPr="001013FE" w:rsidRDefault="008A189D" w:rsidP="001B1CBC">
            <w:pPr>
              <w:pStyle w:val="GTTTabla"/>
              <w:spacing w:line="240" w:lineRule="auto"/>
              <w:jc w:val="both"/>
              <w:rPr>
                <w:rFonts w:ascii="Arial" w:hAnsi="Arial" w:cs="Arial"/>
                <w:sz w:val="20"/>
                <w:szCs w:val="20"/>
              </w:rPr>
            </w:pPr>
            <w:r w:rsidRPr="001013FE">
              <w:rPr>
                <w:rFonts w:ascii="Arial" w:hAnsi="Arial" w:cs="Arial"/>
                <w:sz w:val="20"/>
                <w:szCs w:val="20"/>
              </w:rPr>
              <w:t>Control de armaduras de productos certificados</w:t>
            </w:r>
          </w:p>
        </w:tc>
        <w:tc>
          <w:tcPr>
            <w:tcW w:w="2287" w:type="dxa"/>
            <w:tcBorders>
              <w:top w:val="single" w:sz="4" w:space="0" w:color="auto"/>
            </w:tcBorders>
          </w:tcPr>
          <w:p w14:paraId="128A3D18" w14:textId="77777777" w:rsidR="008A189D" w:rsidRPr="001013FE" w:rsidRDefault="008A189D" w:rsidP="001B1CBC">
            <w:pPr>
              <w:pStyle w:val="GTTTabla"/>
              <w:spacing w:line="240" w:lineRule="auto"/>
              <w:jc w:val="center"/>
              <w:rPr>
                <w:rFonts w:ascii="Arial" w:hAnsi="Arial" w:cs="Arial"/>
                <w:i/>
                <w:sz w:val="20"/>
                <w:szCs w:val="20"/>
              </w:rPr>
            </w:pPr>
            <w:r w:rsidRPr="001013FE">
              <w:rPr>
                <w:rFonts w:ascii="Arial" w:hAnsi="Arial" w:cs="Arial"/>
                <w:sz w:val="20"/>
                <w:szCs w:val="20"/>
              </w:rPr>
              <w:t>EHE-08.</w:t>
            </w:r>
          </w:p>
        </w:tc>
      </w:tr>
      <w:tr w:rsidR="008A189D" w:rsidRPr="009B23E5" w14:paraId="1CF67D5C" w14:textId="77777777" w:rsidTr="001B1CBC">
        <w:trPr>
          <w:jc w:val="center"/>
        </w:trPr>
        <w:tc>
          <w:tcPr>
            <w:tcW w:w="6309" w:type="dxa"/>
          </w:tcPr>
          <w:p w14:paraId="7C480BEB" w14:textId="77777777" w:rsidR="008A189D" w:rsidRPr="001013FE" w:rsidRDefault="008A189D" w:rsidP="001B1CBC">
            <w:pPr>
              <w:pStyle w:val="GTTTabla"/>
              <w:spacing w:line="240" w:lineRule="auto"/>
              <w:jc w:val="both"/>
              <w:rPr>
                <w:rFonts w:ascii="Arial" w:hAnsi="Arial" w:cs="Arial"/>
                <w:sz w:val="20"/>
                <w:szCs w:val="20"/>
              </w:rPr>
            </w:pPr>
            <w:r w:rsidRPr="001013FE">
              <w:rPr>
                <w:rFonts w:ascii="Arial" w:hAnsi="Arial" w:cs="Arial"/>
                <w:sz w:val="20"/>
                <w:szCs w:val="20"/>
              </w:rPr>
              <w:t>Control de armaduras de productos no certificados</w:t>
            </w:r>
          </w:p>
        </w:tc>
        <w:tc>
          <w:tcPr>
            <w:tcW w:w="2287" w:type="dxa"/>
          </w:tcPr>
          <w:p w14:paraId="72FE32F9" w14:textId="77777777" w:rsidR="008A189D" w:rsidRPr="001013FE" w:rsidRDefault="008A189D" w:rsidP="001B1CBC">
            <w:pPr>
              <w:pStyle w:val="GTTTabla"/>
              <w:spacing w:line="240" w:lineRule="auto"/>
              <w:jc w:val="center"/>
              <w:rPr>
                <w:rFonts w:ascii="Arial" w:hAnsi="Arial" w:cs="Arial"/>
                <w:sz w:val="20"/>
                <w:szCs w:val="20"/>
              </w:rPr>
            </w:pPr>
            <w:r w:rsidRPr="001013FE">
              <w:rPr>
                <w:rFonts w:ascii="Arial" w:hAnsi="Arial" w:cs="Arial"/>
                <w:sz w:val="20"/>
                <w:szCs w:val="20"/>
              </w:rPr>
              <w:t>EHE-08.</w:t>
            </w:r>
          </w:p>
        </w:tc>
      </w:tr>
      <w:tr w:rsidR="008A189D" w:rsidRPr="009B23E5" w14:paraId="2C7FDF77" w14:textId="77777777" w:rsidTr="001B1CBC">
        <w:trPr>
          <w:jc w:val="center"/>
        </w:trPr>
        <w:tc>
          <w:tcPr>
            <w:tcW w:w="6309" w:type="dxa"/>
          </w:tcPr>
          <w:p w14:paraId="3733F27D" w14:textId="77777777" w:rsidR="008A189D" w:rsidRPr="001013FE" w:rsidRDefault="008A189D" w:rsidP="001B1CBC">
            <w:pPr>
              <w:pStyle w:val="GTTTabla"/>
              <w:spacing w:line="240" w:lineRule="auto"/>
              <w:jc w:val="both"/>
              <w:rPr>
                <w:rFonts w:ascii="Arial" w:hAnsi="Arial" w:cs="Arial"/>
                <w:sz w:val="20"/>
                <w:szCs w:val="20"/>
              </w:rPr>
            </w:pPr>
            <w:r w:rsidRPr="001013FE">
              <w:rPr>
                <w:rFonts w:ascii="Arial" w:hAnsi="Arial" w:cs="Arial"/>
                <w:sz w:val="20"/>
                <w:szCs w:val="20"/>
              </w:rPr>
              <w:t>Control de comprobación de soldabilidad</w:t>
            </w:r>
          </w:p>
          <w:p w14:paraId="5EEA6480" w14:textId="77777777" w:rsidR="008A189D" w:rsidRPr="001013FE" w:rsidRDefault="008A189D" w:rsidP="001B1CBC">
            <w:pPr>
              <w:pStyle w:val="GTTTabla"/>
              <w:spacing w:line="240" w:lineRule="auto"/>
              <w:jc w:val="both"/>
              <w:rPr>
                <w:rFonts w:ascii="Arial" w:hAnsi="Arial" w:cs="Arial"/>
                <w:sz w:val="20"/>
                <w:szCs w:val="20"/>
              </w:rPr>
            </w:pPr>
            <w:proofErr w:type="spellStart"/>
            <w:r w:rsidRPr="001013FE">
              <w:rPr>
                <w:rFonts w:ascii="Arial" w:hAnsi="Arial" w:cs="Arial"/>
                <w:sz w:val="20"/>
                <w:szCs w:val="20"/>
              </w:rPr>
              <w:t>Nº</w:t>
            </w:r>
            <w:proofErr w:type="spellEnd"/>
            <w:r w:rsidRPr="001013FE">
              <w:rPr>
                <w:rFonts w:ascii="Arial" w:hAnsi="Arial" w:cs="Arial"/>
                <w:sz w:val="20"/>
                <w:szCs w:val="20"/>
              </w:rPr>
              <w:t xml:space="preserve"> de armaduras inferior a las necesarias para suplementar a aquellas con pérdida de sección superior al 10%</w:t>
            </w:r>
          </w:p>
        </w:tc>
        <w:tc>
          <w:tcPr>
            <w:tcW w:w="2287" w:type="dxa"/>
          </w:tcPr>
          <w:p w14:paraId="611E5A17" w14:textId="77777777" w:rsidR="008A189D" w:rsidRPr="001013FE" w:rsidRDefault="008A189D" w:rsidP="001B1CBC">
            <w:pPr>
              <w:pStyle w:val="GTTTabla"/>
              <w:spacing w:line="240" w:lineRule="auto"/>
              <w:jc w:val="center"/>
              <w:rPr>
                <w:rFonts w:ascii="Arial" w:hAnsi="Arial" w:cs="Arial"/>
                <w:sz w:val="20"/>
                <w:szCs w:val="20"/>
              </w:rPr>
            </w:pPr>
            <w:r w:rsidRPr="001013FE">
              <w:rPr>
                <w:rFonts w:ascii="Arial" w:hAnsi="Arial" w:cs="Arial"/>
                <w:sz w:val="20"/>
                <w:szCs w:val="20"/>
              </w:rPr>
              <w:t>EHE-08.</w:t>
            </w:r>
          </w:p>
          <w:p w14:paraId="64730B28" w14:textId="77777777" w:rsidR="008A189D" w:rsidRPr="001013FE" w:rsidRDefault="008A189D" w:rsidP="001B1CBC">
            <w:pPr>
              <w:pStyle w:val="GTTTabla"/>
              <w:spacing w:line="240" w:lineRule="auto"/>
              <w:jc w:val="center"/>
              <w:rPr>
                <w:rFonts w:ascii="Arial" w:hAnsi="Arial" w:cs="Arial"/>
                <w:sz w:val="20"/>
                <w:szCs w:val="20"/>
              </w:rPr>
            </w:pPr>
            <w:r w:rsidRPr="001013FE">
              <w:rPr>
                <w:rFonts w:ascii="Arial" w:hAnsi="Arial" w:cs="Arial"/>
                <w:sz w:val="20"/>
                <w:szCs w:val="20"/>
              </w:rPr>
              <w:t>EHE-08.</w:t>
            </w:r>
          </w:p>
        </w:tc>
      </w:tr>
    </w:tbl>
    <w:p w14:paraId="40AC9B37" w14:textId="77777777" w:rsidR="00CF7652" w:rsidRDefault="00CF7652" w:rsidP="004024D6">
      <w:pPr>
        <w:pStyle w:val="NORMAL12"/>
      </w:pPr>
    </w:p>
    <w:p w14:paraId="38CB75A8" w14:textId="77777777" w:rsidR="008A189D" w:rsidRPr="009B23E5" w:rsidRDefault="008A189D" w:rsidP="004024D6">
      <w:pPr>
        <w:pStyle w:val="NORMAL12"/>
      </w:pPr>
      <w:r w:rsidRPr="009B23E5">
        <w:t xml:space="preserve">De acuerdo con el control de calidad establecido en el presente Proyecto se </w:t>
      </w:r>
      <w:proofErr w:type="gramStart"/>
      <w:r w:rsidRPr="009B23E5">
        <w:t>llevaran</w:t>
      </w:r>
      <w:proofErr w:type="gramEnd"/>
      <w:r w:rsidRPr="009B23E5">
        <w:t xml:space="preserve"> también a cabo los siguientes ensayos:</w:t>
      </w:r>
    </w:p>
    <w:tbl>
      <w:tblPr>
        <w:tblW w:w="7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7"/>
        <w:gridCol w:w="2268"/>
      </w:tblGrid>
      <w:tr w:rsidR="008A189D" w:rsidRPr="009B23E5" w14:paraId="7E9655EC" w14:textId="77777777" w:rsidTr="001013FE">
        <w:trPr>
          <w:tblHeader/>
          <w:jc w:val="center"/>
        </w:trPr>
        <w:tc>
          <w:tcPr>
            <w:tcW w:w="5457" w:type="dxa"/>
            <w:shd w:val="clear" w:color="auto" w:fill="D9D9D9" w:themeFill="background1" w:themeFillShade="D9"/>
          </w:tcPr>
          <w:p w14:paraId="706D7E5A" w14:textId="77777777" w:rsidR="008A189D" w:rsidRPr="001013FE" w:rsidRDefault="008A189D" w:rsidP="001B1CBC">
            <w:pPr>
              <w:pStyle w:val="Tabla1"/>
              <w:jc w:val="center"/>
              <w:rPr>
                <w:b/>
                <w:sz w:val="20"/>
                <w:szCs w:val="20"/>
              </w:rPr>
            </w:pPr>
            <w:r w:rsidRPr="001013FE">
              <w:rPr>
                <w:b/>
                <w:sz w:val="20"/>
                <w:szCs w:val="20"/>
              </w:rPr>
              <w:t>Ensayo</w:t>
            </w:r>
          </w:p>
        </w:tc>
        <w:tc>
          <w:tcPr>
            <w:tcW w:w="2268" w:type="dxa"/>
            <w:shd w:val="clear" w:color="auto" w:fill="D9D9D9" w:themeFill="background1" w:themeFillShade="D9"/>
          </w:tcPr>
          <w:p w14:paraId="3395381C" w14:textId="77777777" w:rsidR="008A189D" w:rsidRPr="001013FE" w:rsidRDefault="008A189D" w:rsidP="001B1CBC">
            <w:pPr>
              <w:pStyle w:val="Tabla1"/>
              <w:jc w:val="center"/>
              <w:rPr>
                <w:b/>
                <w:sz w:val="20"/>
                <w:szCs w:val="20"/>
              </w:rPr>
            </w:pPr>
            <w:r w:rsidRPr="001013FE">
              <w:rPr>
                <w:b/>
                <w:sz w:val="20"/>
                <w:szCs w:val="20"/>
              </w:rPr>
              <w:t>Norma</w:t>
            </w:r>
          </w:p>
        </w:tc>
      </w:tr>
      <w:tr w:rsidR="008A189D" w:rsidRPr="009B23E5" w14:paraId="73B36147" w14:textId="77777777" w:rsidTr="001013FE">
        <w:trPr>
          <w:jc w:val="center"/>
        </w:trPr>
        <w:tc>
          <w:tcPr>
            <w:tcW w:w="5457" w:type="dxa"/>
            <w:tcBorders>
              <w:bottom w:val="single" w:sz="4" w:space="0" w:color="auto"/>
            </w:tcBorders>
          </w:tcPr>
          <w:p w14:paraId="686B3113" w14:textId="77777777" w:rsidR="008A189D" w:rsidRPr="001013FE" w:rsidRDefault="008A189D" w:rsidP="001B1CBC">
            <w:pPr>
              <w:pStyle w:val="Tabla1"/>
              <w:jc w:val="left"/>
              <w:rPr>
                <w:sz w:val="20"/>
                <w:szCs w:val="20"/>
              </w:rPr>
            </w:pPr>
            <w:r w:rsidRPr="001013FE">
              <w:rPr>
                <w:sz w:val="20"/>
                <w:szCs w:val="20"/>
              </w:rPr>
              <w:t>Tracción simple</w:t>
            </w:r>
          </w:p>
        </w:tc>
        <w:tc>
          <w:tcPr>
            <w:tcW w:w="2268" w:type="dxa"/>
            <w:tcBorders>
              <w:bottom w:val="single" w:sz="4" w:space="0" w:color="auto"/>
            </w:tcBorders>
          </w:tcPr>
          <w:p w14:paraId="734686EF" w14:textId="77777777" w:rsidR="008A189D" w:rsidRPr="001013FE" w:rsidRDefault="008A189D" w:rsidP="005609C2">
            <w:pPr>
              <w:pStyle w:val="GTTTabla"/>
              <w:spacing w:line="240" w:lineRule="auto"/>
              <w:jc w:val="center"/>
              <w:rPr>
                <w:rFonts w:ascii="Arial" w:hAnsi="Arial" w:cs="Arial"/>
                <w:sz w:val="20"/>
                <w:szCs w:val="20"/>
              </w:rPr>
            </w:pPr>
            <w:r w:rsidRPr="001013FE">
              <w:rPr>
                <w:rFonts w:ascii="Arial" w:hAnsi="Arial" w:cs="Arial"/>
                <w:sz w:val="20"/>
                <w:szCs w:val="20"/>
              </w:rPr>
              <w:t>UNE</w:t>
            </w:r>
            <w:r w:rsidR="005609C2">
              <w:rPr>
                <w:rFonts w:ascii="Arial" w:hAnsi="Arial" w:cs="Arial"/>
                <w:sz w:val="20"/>
                <w:szCs w:val="20"/>
              </w:rPr>
              <w:t>-</w:t>
            </w:r>
            <w:r w:rsidRPr="001013FE">
              <w:rPr>
                <w:rFonts w:ascii="Arial" w:hAnsi="Arial" w:cs="Arial"/>
                <w:sz w:val="20"/>
                <w:szCs w:val="20"/>
              </w:rPr>
              <w:t>EN 15630</w:t>
            </w:r>
          </w:p>
        </w:tc>
      </w:tr>
      <w:tr w:rsidR="008A189D" w:rsidRPr="009B23E5" w14:paraId="19E881E5" w14:textId="77777777" w:rsidTr="001013FE">
        <w:trPr>
          <w:jc w:val="center"/>
        </w:trPr>
        <w:tc>
          <w:tcPr>
            <w:tcW w:w="5457" w:type="dxa"/>
            <w:tcBorders>
              <w:bottom w:val="single" w:sz="4" w:space="0" w:color="auto"/>
            </w:tcBorders>
          </w:tcPr>
          <w:p w14:paraId="43A7D4B5" w14:textId="77777777" w:rsidR="008A189D" w:rsidRPr="001013FE" w:rsidRDefault="008A189D" w:rsidP="001B1CBC">
            <w:pPr>
              <w:pStyle w:val="GTTTabla"/>
              <w:jc w:val="both"/>
              <w:rPr>
                <w:rFonts w:ascii="Arial" w:hAnsi="Arial" w:cs="Arial"/>
                <w:sz w:val="20"/>
                <w:szCs w:val="20"/>
              </w:rPr>
            </w:pPr>
            <w:r w:rsidRPr="001013FE">
              <w:rPr>
                <w:rFonts w:ascii="Arial" w:hAnsi="Arial" w:cs="Arial"/>
                <w:sz w:val="20"/>
                <w:szCs w:val="20"/>
              </w:rPr>
              <w:t>Alargamiento en rotura</w:t>
            </w:r>
          </w:p>
        </w:tc>
        <w:tc>
          <w:tcPr>
            <w:tcW w:w="2268" w:type="dxa"/>
            <w:tcBorders>
              <w:bottom w:val="single" w:sz="4" w:space="0" w:color="auto"/>
            </w:tcBorders>
          </w:tcPr>
          <w:p w14:paraId="1897FD98" w14:textId="77777777" w:rsidR="008A189D" w:rsidRPr="001013FE" w:rsidRDefault="008A189D" w:rsidP="005609C2">
            <w:pPr>
              <w:pStyle w:val="GTTTabla"/>
              <w:spacing w:line="240" w:lineRule="auto"/>
              <w:jc w:val="center"/>
              <w:rPr>
                <w:rFonts w:ascii="Arial" w:hAnsi="Arial" w:cs="Arial"/>
                <w:sz w:val="20"/>
                <w:szCs w:val="20"/>
              </w:rPr>
            </w:pPr>
            <w:r w:rsidRPr="001013FE">
              <w:rPr>
                <w:rFonts w:ascii="Arial" w:hAnsi="Arial" w:cs="Arial"/>
                <w:sz w:val="20"/>
                <w:szCs w:val="20"/>
              </w:rPr>
              <w:t>UNE</w:t>
            </w:r>
            <w:r w:rsidR="005609C2">
              <w:rPr>
                <w:rFonts w:ascii="Arial" w:hAnsi="Arial" w:cs="Arial"/>
                <w:sz w:val="20"/>
                <w:szCs w:val="20"/>
              </w:rPr>
              <w:t>-</w:t>
            </w:r>
            <w:r w:rsidRPr="001013FE">
              <w:rPr>
                <w:rFonts w:ascii="Arial" w:hAnsi="Arial" w:cs="Arial"/>
                <w:sz w:val="20"/>
                <w:szCs w:val="20"/>
              </w:rPr>
              <w:t>EN 15630</w:t>
            </w:r>
          </w:p>
        </w:tc>
      </w:tr>
      <w:tr w:rsidR="008A189D" w:rsidRPr="009B23E5" w14:paraId="1A727FCB" w14:textId="77777777" w:rsidTr="001013FE">
        <w:trPr>
          <w:jc w:val="center"/>
        </w:trPr>
        <w:tc>
          <w:tcPr>
            <w:tcW w:w="5457" w:type="dxa"/>
            <w:tcBorders>
              <w:top w:val="single" w:sz="4" w:space="0" w:color="auto"/>
              <w:left w:val="single" w:sz="4" w:space="0" w:color="auto"/>
              <w:bottom w:val="single" w:sz="4" w:space="0" w:color="auto"/>
              <w:right w:val="single" w:sz="4" w:space="0" w:color="auto"/>
            </w:tcBorders>
          </w:tcPr>
          <w:p w14:paraId="07CBE139" w14:textId="77777777" w:rsidR="008A189D" w:rsidRPr="001013FE" w:rsidRDefault="008A189D" w:rsidP="001B1CBC">
            <w:pPr>
              <w:pStyle w:val="GTTTabla"/>
              <w:jc w:val="both"/>
              <w:rPr>
                <w:rFonts w:ascii="Arial" w:hAnsi="Arial" w:cs="Arial"/>
                <w:sz w:val="20"/>
                <w:szCs w:val="20"/>
              </w:rPr>
            </w:pPr>
            <w:r w:rsidRPr="001013FE">
              <w:rPr>
                <w:rFonts w:ascii="Arial" w:hAnsi="Arial" w:cs="Arial"/>
                <w:sz w:val="20"/>
                <w:szCs w:val="20"/>
              </w:rPr>
              <w:t>Alargamiento bajo carga máxima</w:t>
            </w:r>
          </w:p>
        </w:tc>
        <w:tc>
          <w:tcPr>
            <w:tcW w:w="2268" w:type="dxa"/>
            <w:tcBorders>
              <w:top w:val="single" w:sz="4" w:space="0" w:color="auto"/>
              <w:left w:val="single" w:sz="4" w:space="0" w:color="auto"/>
              <w:bottom w:val="single" w:sz="4" w:space="0" w:color="auto"/>
              <w:right w:val="single" w:sz="4" w:space="0" w:color="auto"/>
            </w:tcBorders>
          </w:tcPr>
          <w:p w14:paraId="338BEF92" w14:textId="77777777" w:rsidR="008A189D" w:rsidRPr="001013FE" w:rsidRDefault="005609C2" w:rsidP="005609C2">
            <w:pPr>
              <w:pStyle w:val="GTTTabla"/>
              <w:spacing w:line="240" w:lineRule="auto"/>
              <w:jc w:val="center"/>
              <w:rPr>
                <w:rFonts w:ascii="Arial" w:hAnsi="Arial" w:cs="Arial"/>
                <w:sz w:val="20"/>
                <w:szCs w:val="20"/>
              </w:rPr>
            </w:pPr>
            <w:r>
              <w:rPr>
                <w:rFonts w:ascii="Arial" w:hAnsi="Arial" w:cs="Arial"/>
                <w:sz w:val="20"/>
                <w:szCs w:val="20"/>
              </w:rPr>
              <w:t>UNE-E</w:t>
            </w:r>
            <w:r w:rsidR="008A189D" w:rsidRPr="001013FE">
              <w:rPr>
                <w:rFonts w:ascii="Arial" w:hAnsi="Arial" w:cs="Arial"/>
                <w:sz w:val="20"/>
                <w:szCs w:val="20"/>
              </w:rPr>
              <w:t>N 15630</w:t>
            </w:r>
          </w:p>
        </w:tc>
      </w:tr>
      <w:tr w:rsidR="008A189D" w:rsidRPr="009B23E5" w14:paraId="69A9E2DF" w14:textId="77777777" w:rsidTr="001013FE">
        <w:trPr>
          <w:jc w:val="center"/>
        </w:trPr>
        <w:tc>
          <w:tcPr>
            <w:tcW w:w="5457" w:type="dxa"/>
            <w:tcBorders>
              <w:top w:val="single" w:sz="4" w:space="0" w:color="auto"/>
              <w:left w:val="single" w:sz="4" w:space="0" w:color="auto"/>
              <w:bottom w:val="single" w:sz="4" w:space="0" w:color="auto"/>
              <w:right w:val="single" w:sz="4" w:space="0" w:color="auto"/>
            </w:tcBorders>
          </w:tcPr>
          <w:p w14:paraId="359D5AB9" w14:textId="77777777" w:rsidR="008A189D" w:rsidRPr="001013FE" w:rsidRDefault="008A189D" w:rsidP="001B1CBC">
            <w:pPr>
              <w:pStyle w:val="GTTTabla"/>
              <w:jc w:val="both"/>
              <w:rPr>
                <w:rFonts w:ascii="Arial" w:hAnsi="Arial" w:cs="Arial"/>
                <w:sz w:val="20"/>
                <w:szCs w:val="20"/>
              </w:rPr>
            </w:pPr>
            <w:r w:rsidRPr="001013FE">
              <w:rPr>
                <w:rFonts w:ascii="Arial" w:hAnsi="Arial" w:cs="Arial"/>
                <w:sz w:val="20"/>
                <w:szCs w:val="20"/>
              </w:rPr>
              <w:t>Doblado-desdoblado</w:t>
            </w:r>
          </w:p>
        </w:tc>
        <w:tc>
          <w:tcPr>
            <w:tcW w:w="2268" w:type="dxa"/>
            <w:tcBorders>
              <w:top w:val="single" w:sz="4" w:space="0" w:color="auto"/>
              <w:left w:val="single" w:sz="4" w:space="0" w:color="auto"/>
              <w:bottom w:val="single" w:sz="4" w:space="0" w:color="auto"/>
              <w:right w:val="single" w:sz="4" w:space="0" w:color="auto"/>
            </w:tcBorders>
          </w:tcPr>
          <w:p w14:paraId="70AE4C16" w14:textId="77777777" w:rsidR="008A189D" w:rsidRPr="001013FE" w:rsidRDefault="008A189D" w:rsidP="005609C2">
            <w:pPr>
              <w:pStyle w:val="GTTTabla"/>
              <w:spacing w:line="240" w:lineRule="auto"/>
              <w:jc w:val="center"/>
              <w:rPr>
                <w:rFonts w:ascii="Arial" w:hAnsi="Arial" w:cs="Arial"/>
                <w:sz w:val="20"/>
                <w:szCs w:val="20"/>
              </w:rPr>
            </w:pPr>
            <w:r w:rsidRPr="001013FE">
              <w:rPr>
                <w:rFonts w:ascii="Arial" w:hAnsi="Arial" w:cs="Arial"/>
                <w:sz w:val="20"/>
                <w:szCs w:val="20"/>
              </w:rPr>
              <w:t>UNE</w:t>
            </w:r>
            <w:r w:rsidR="005609C2">
              <w:rPr>
                <w:rFonts w:ascii="Arial" w:hAnsi="Arial" w:cs="Arial"/>
                <w:sz w:val="20"/>
                <w:szCs w:val="20"/>
              </w:rPr>
              <w:t>-</w:t>
            </w:r>
            <w:r w:rsidRPr="001013FE">
              <w:rPr>
                <w:rFonts w:ascii="Arial" w:hAnsi="Arial" w:cs="Arial"/>
                <w:sz w:val="20"/>
                <w:szCs w:val="20"/>
              </w:rPr>
              <w:t>EN 15630</w:t>
            </w:r>
          </w:p>
        </w:tc>
      </w:tr>
      <w:tr w:rsidR="008A189D" w:rsidRPr="009B23E5" w14:paraId="72F1962D" w14:textId="77777777" w:rsidTr="001013FE">
        <w:trPr>
          <w:jc w:val="center"/>
        </w:trPr>
        <w:tc>
          <w:tcPr>
            <w:tcW w:w="5457" w:type="dxa"/>
            <w:tcBorders>
              <w:top w:val="single" w:sz="4" w:space="0" w:color="auto"/>
              <w:left w:val="single" w:sz="4" w:space="0" w:color="auto"/>
              <w:bottom w:val="single" w:sz="4" w:space="0" w:color="auto"/>
              <w:right w:val="single" w:sz="4" w:space="0" w:color="auto"/>
            </w:tcBorders>
          </w:tcPr>
          <w:p w14:paraId="35718105" w14:textId="77777777" w:rsidR="008A189D" w:rsidRPr="001013FE" w:rsidRDefault="008A189D" w:rsidP="001B1CBC">
            <w:pPr>
              <w:pStyle w:val="GTTTabla"/>
              <w:jc w:val="both"/>
              <w:rPr>
                <w:rFonts w:ascii="Arial" w:hAnsi="Arial" w:cs="Arial"/>
                <w:sz w:val="20"/>
                <w:szCs w:val="20"/>
              </w:rPr>
            </w:pPr>
            <w:r w:rsidRPr="001013FE">
              <w:rPr>
                <w:rFonts w:ascii="Arial" w:hAnsi="Arial" w:cs="Arial"/>
                <w:sz w:val="20"/>
                <w:szCs w:val="20"/>
              </w:rPr>
              <w:t>Sección equivalente y desviación de masa</w:t>
            </w:r>
          </w:p>
        </w:tc>
        <w:tc>
          <w:tcPr>
            <w:tcW w:w="2268" w:type="dxa"/>
            <w:tcBorders>
              <w:top w:val="single" w:sz="4" w:space="0" w:color="auto"/>
              <w:left w:val="single" w:sz="4" w:space="0" w:color="auto"/>
              <w:bottom w:val="single" w:sz="4" w:space="0" w:color="auto"/>
              <w:right w:val="single" w:sz="4" w:space="0" w:color="auto"/>
            </w:tcBorders>
          </w:tcPr>
          <w:p w14:paraId="5E6F67E5" w14:textId="77777777" w:rsidR="008A189D" w:rsidRPr="001013FE" w:rsidRDefault="008A189D" w:rsidP="005609C2">
            <w:pPr>
              <w:pStyle w:val="GTTTabla"/>
              <w:spacing w:line="240" w:lineRule="auto"/>
              <w:jc w:val="center"/>
              <w:rPr>
                <w:rFonts w:ascii="Arial" w:hAnsi="Arial" w:cs="Arial"/>
                <w:sz w:val="20"/>
                <w:szCs w:val="20"/>
              </w:rPr>
            </w:pPr>
            <w:r w:rsidRPr="001013FE">
              <w:rPr>
                <w:rFonts w:ascii="Arial" w:hAnsi="Arial" w:cs="Arial"/>
                <w:sz w:val="20"/>
                <w:szCs w:val="20"/>
              </w:rPr>
              <w:t>UNE</w:t>
            </w:r>
            <w:r w:rsidR="005609C2">
              <w:rPr>
                <w:rFonts w:ascii="Arial" w:hAnsi="Arial" w:cs="Arial"/>
                <w:sz w:val="20"/>
                <w:szCs w:val="20"/>
              </w:rPr>
              <w:t>-</w:t>
            </w:r>
            <w:r w:rsidRPr="001013FE">
              <w:rPr>
                <w:rFonts w:ascii="Arial" w:hAnsi="Arial" w:cs="Arial"/>
                <w:sz w:val="20"/>
                <w:szCs w:val="20"/>
              </w:rPr>
              <w:t>EN 15630</w:t>
            </w:r>
          </w:p>
        </w:tc>
      </w:tr>
      <w:tr w:rsidR="008A189D" w:rsidRPr="009B23E5" w14:paraId="614C0A29" w14:textId="77777777" w:rsidTr="001013FE">
        <w:trPr>
          <w:jc w:val="center"/>
        </w:trPr>
        <w:tc>
          <w:tcPr>
            <w:tcW w:w="5457" w:type="dxa"/>
            <w:tcBorders>
              <w:top w:val="single" w:sz="4" w:space="0" w:color="auto"/>
              <w:left w:val="single" w:sz="4" w:space="0" w:color="auto"/>
              <w:bottom w:val="single" w:sz="4" w:space="0" w:color="auto"/>
              <w:right w:val="single" w:sz="4" w:space="0" w:color="auto"/>
            </w:tcBorders>
          </w:tcPr>
          <w:p w14:paraId="391B4252" w14:textId="77777777" w:rsidR="008A189D" w:rsidRPr="001013FE" w:rsidRDefault="008A189D" w:rsidP="001B1CBC">
            <w:pPr>
              <w:pStyle w:val="GTTTabla"/>
              <w:jc w:val="both"/>
              <w:rPr>
                <w:rFonts w:ascii="Arial" w:hAnsi="Arial" w:cs="Arial"/>
                <w:sz w:val="20"/>
                <w:szCs w:val="20"/>
              </w:rPr>
            </w:pPr>
            <w:r w:rsidRPr="001013FE">
              <w:rPr>
                <w:rFonts w:ascii="Arial" w:hAnsi="Arial" w:cs="Arial"/>
                <w:sz w:val="20"/>
                <w:szCs w:val="20"/>
              </w:rPr>
              <w:t>Altura de corruga</w:t>
            </w:r>
          </w:p>
        </w:tc>
        <w:tc>
          <w:tcPr>
            <w:tcW w:w="2268" w:type="dxa"/>
            <w:tcBorders>
              <w:top w:val="single" w:sz="4" w:space="0" w:color="auto"/>
              <w:left w:val="single" w:sz="4" w:space="0" w:color="auto"/>
              <w:bottom w:val="single" w:sz="4" w:space="0" w:color="auto"/>
              <w:right w:val="single" w:sz="4" w:space="0" w:color="auto"/>
            </w:tcBorders>
          </w:tcPr>
          <w:p w14:paraId="65CC14EF" w14:textId="77777777" w:rsidR="008A189D" w:rsidRPr="001013FE" w:rsidRDefault="008A189D" w:rsidP="005609C2">
            <w:pPr>
              <w:pStyle w:val="GTTTabla"/>
              <w:spacing w:line="240" w:lineRule="auto"/>
              <w:jc w:val="center"/>
              <w:rPr>
                <w:rFonts w:ascii="Arial" w:hAnsi="Arial" w:cs="Arial"/>
                <w:sz w:val="20"/>
                <w:szCs w:val="20"/>
              </w:rPr>
            </w:pPr>
            <w:r w:rsidRPr="001013FE">
              <w:rPr>
                <w:rFonts w:ascii="Arial" w:hAnsi="Arial" w:cs="Arial"/>
                <w:sz w:val="20"/>
                <w:szCs w:val="20"/>
              </w:rPr>
              <w:t>UNE</w:t>
            </w:r>
            <w:r w:rsidR="005609C2">
              <w:rPr>
                <w:rFonts w:ascii="Arial" w:hAnsi="Arial" w:cs="Arial"/>
                <w:sz w:val="20"/>
                <w:szCs w:val="20"/>
              </w:rPr>
              <w:t>-</w:t>
            </w:r>
            <w:r w:rsidRPr="001013FE">
              <w:rPr>
                <w:rFonts w:ascii="Arial" w:hAnsi="Arial" w:cs="Arial"/>
                <w:sz w:val="20"/>
                <w:szCs w:val="20"/>
              </w:rPr>
              <w:t>EN 15630</w:t>
            </w:r>
          </w:p>
        </w:tc>
      </w:tr>
      <w:tr w:rsidR="008A189D" w:rsidRPr="009B23E5" w14:paraId="77A2AF55" w14:textId="77777777" w:rsidTr="001013FE">
        <w:trPr>
          <w:jc w:val="center"/>
        </w:trPr>
        <w:tc>
          <w:tcPr>
            <w:tcW w:w="5457" w:type="dxa"/>
            <w:tcBorders>
              <w:top w:val="single" w:sz="4" w:space="0" w:color="auto"/>
              <w:left w:val="single" w:sz="4" w:space="0" w:color="auto"/>
              <w:bottom w:val="single" w:sz="4" w:space="0" w:color="auto"/>
              <w:right w:val="single" w:sz="4" w:space="0" w:color="auto"/>
            </w:tcBorders>
          </w:tcPr>
          <w:p w14:paraId="3D2EB1F8" w14:textId="77777777" w:rsidR="008A189D" w:rsidRPr="001013FE" w:rsidRDefault="008A189D" w:rsidP="001B1CBC">
            <w:pPr>
              <w:pStyle w:val="GTTTabla"/>
              <w:jc w:val="both"/>
              <w:rPr>
                <w:rFonts w:ascii="Arial" w:hAnsi="Arial" w:cs="Arial"/>
                <w:sz w:val="20"/>
                <w:szCs w:val="20"/>
              </w:rPr>
            </w:pPr>
            <w:r w:rsidRPr="001013FE">
              <w:rPr>
                <w:rFonts w:ascii="Arial" w:hAnsi="Arial" w:cs="Arial"/>
                <w:sz w:val="20"/>
                <w:szCs w:val="20"/>
              </w:rPr>
              <w:t>Comprobación de geometría de la ferralla armada</w:t>
            </w:r>
          </w:p>
        </w:tc>
        <w:tc>
          <w:tcPr>
            <w:tcW w:w="2268" w:type="dxa"/>
            <w:tcBorders>
              <w:top w:val="single" w:sz="4" w:space="0" w:color="auto"/>
              <w:left w:val="single" w:sz="4" w:space="0" w:color="auto"/>
              <w:bottom w:val="single" w:sz="4" w:space="0" w:color="auto"/>
              <w:right w:val="single" w:sz="4" w:space="0" w:color="auto"/>
            </w:tcBorders>
          </w:tcPr>
          <w:p w14:paraId="436E4039" w14:textId="77777777" w:rsidR="008A189D" w:rsidRPr="001013FE" w:rsidRDefault="008A189D" w:rsidP="001B1CBC">
            <w:pPr>
              <w:pStyle w:val="GTTTabla"/>
              <w:keepNext/>
              <w:keepLines/>
              <w:jc w:val="center"/>
              <w:rPr>
                <w:rFonts w:ascii="Arial" w:hAnsi="Arial" w:cs="Arial"/>
                <w:sz w:val="20"/>
                <w:szCs w:val="20"/>
              </w:rPr>
            </w:pPr>
          </w:p>
        </w:tc>
      </w:tr>
    </w:tbl>
    <w:p w14:paraId="372D4DE9" w14:textId="77777777" w:rsidR="008A189D" w:rsidRPr="009B23E5" w:rsidRDefault="008A189D" w:rsidP="008A189D"/>
    <w:p w14:paraId="6012AB33" w14:textId="77777777" w:rsidR="003A1560" w:rsidRDefault="003A1560" w:rsidP="004024D6">
      <w:pPr>
        <w:pStyle w:val="NORMAL12"/>
      </w:pPr>
    </w:p>
    <w:p w14:paraId="473EAF46" w14:textId="77777777" w:rsidR="008A189D" w:rsidRDefault="008A189D" w:rsidP="004024D6">
      <w:pPr>
        <w:pStyle w:val="NORMAL12"/>
      </w:pPr>
      <w:r w:rsidRPr="009B23E5">
        <w:t>Los criterios de aceptación o rechazo son los indicados en EHE-08.</w:t>
      </w:r>
    </w:p>
    <w:p w14:paraId="4AD6F1E9" w14:textId="77777777" w:rsidR="00EC5CE0" w:rsidRPr="004024D6" w:rsidRDefault="00EC5CE0" w:rsidP="000313DD">
      <w:pPr>
        <w:pStyle w:val="TITU2"/>
        <w:rPr>
          <w:lang w:val="es-ES_tradnl"/>
        </w:rPr>
      </w:pPr>
      <w:bookmarkStart w:id="664" w:name="_Toc404399"/>
      <w:r w:rsidRPr="004024D6">
        <w:rPr>
          <w:lang w:val="es-ES_tradnl"/>
        </w:rPr>
        <w:t>600.8. Tratamiento de no conformidades</w:t>
      </w:r>
      <w:bookmarkEnd w:id="664"/>
    </w:p>
    <w:tbl>
      <w:tblPr>
        <w:tblW w:w="87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5580"/>
      </w:tblGrid>
      <w:tr w:rsidR="00EC5CE0" w:rsidRPr="009B23E5" w14:paraId="56ACABA1" w14:textId="77777777" w:rsidTr="001013FE">
        <w:trPr>
          <w:tblHeader/>
          <w:jc w:val="center"/>
        </w:trPr>
        <w:tc>
          <w:tcPr>
            <w:tcW w:w="3130" w:type="dxa"/>
            <w:shd w:val="clear" w:color="auto" w:fill="D9D9D9" w:themeFill="background1" w:themeFillShade="D9"/>
          </w:tcPr>
          <w:p w14:paraId="330B5D8C" w14:textId="77777777" w:rsidR="00EC5CE0" w:rsidRPr="001013FE" w:rsidRDefault="00EC5CE0" w:rsidP="0015400D">
            <w:pPr>
              <w:pStyle w:val="Tabla1"/>
              <w:keepNext/>
              <w:jc w:val="center"/>
              <w:rPr>
                <w:b/>
                <w:sz w:val="20"/>
                <w:szCs w:val="20"/>
              </w:rPr>
            </w:pPr>
            <w:r w:rsidRPr="001013FE">
              <w:rPr>
                <w:b/>
                <w:sz w:val="20"/>
                <w:szCs w:val="20"/>
              </w:rPr>
              <w:t>No Conformidades</w:t>
            </w:r>
          </w:p>
        </w:tc>
        <w:tc>
          <w:tcPr>
            <w:tcW w:w="5580" w:type="dxa"/>
            <w:shd w:val="clear" w:color="auto" w:fill="D9D9D9" w:themeFill="background1" w:themeFillShade="D9"/>
          </w:tcPr>
          <w:p w14:paraId="56109EE5" w14:textId="77777777" w:rsidR="00EC5CE0" w:rsidRPr="001013FE" w:rsidRDefault="00EC5CE0" w:rsidP="0015400D">
            <w:pPr>
              <w:pStyle w:val="Tabla1"/>
              <w:keepNext/>
              <w:jc w:val="center"/>
              <w:rPr>
                <w:b/>
                <w:sz w:val="20"/>
                <w:szCs w:val="20"/>
              </w:rPr>
            </w:pPr>
            <w:r w:rsidRPr="001013FE">
              <w:rPr>
                <w:b/>
                <w:sz w:val="20"/>
                <w:szCs w:val="20"/>
              </w:rPr>
              <w:t>Tratamiento</w:t>
            </w:r>
            <w:r w:rsidR="00F558CB">
              <w:rPr>
                <w:b/>
                <w:sz w:val="20"/>
                <w:szCs w:val="20"/>
              </w:rPr>
              <w:t xml:space="preserve"> de no conformidades</w:t>
            </w:r>
          </w:p>
        </w:tc>
      </w:tr>
      <w:tr w:rsidR="00EC5CE0" w:rsidRPr="009B23E5" w14:paraId="554588BD" w14:textId="77777777" w:rsidTr="001013FE">
        <w:trPr>
          <w:jc w:val="center"/>
        </w:trPr>
        <w:tc>
          <w:tcPr>
            <w:tcW w:w="3130" w:type="dxa"/>
            <w:tcBorders>
              <w:bottom w:val="single" w:sz="4" w:space="0" w:color="auto"/>
            </w:tcBorders>
          </w:tcPr>
          <w:p w14:paraId="394123AB" w14:textId="77777777" w:rsidR="00EC5CE0" w:rsidRPr="001013FE" w:rsidRDefault="00EC5CE0" w:rsidP="0015400D">
            <w:pPr>
              <w:pStyle w:val="Tabla1"/>
              <w:keepNext/>
              <w:jc w:val="left"/>
              <w:rPr>
                <w:sz w:val="20"/>
                <w:szCs w:val="20"/>
              </w:rPr>
            </w:pPr>
            <w:r w:rsidRPr="001013FE">
              <w:rPr>
                <w:sz w:val="20"/>
                <w:szCs w:val="20"/>
              </w:rPr>
              <w:t>Número de armaduras inferior a las indicadas en las planillas de despiece</w:t>
            </w:r>
          </w:p>
        </w:tc>
        <w:tc>
          <w:tcPr>
            <w:tcW w:w="5580" w:type="dxa"/>
            <w:tcBorders>
              <w:bottom w:val="single" w:sz="4" w:space="0" w:color="auto"/>
            </w:tcBorders>
          </w:tcPr>
          <w:p w14:paraId="13022B58" w14:textId="77777777" w:rsidR="00EC5CE0" w:rsidRPr="001013FE" w:rsidRDefault="00EC5CE0" w:rsidP="0015400D">
            <w:pPr>
              <w:pStyle w:val="Tabla1"/>
              <w:keepNext/>
              <w:rPr>
                <w:sz w:val="20"/>
                <w:szCs w:val="20"/>
              </w:rPr>
            </w:pPr>
            <w:r w:rsidRPr="001013FE">
              <w:rPr>
                <w:sz w:val="20"/>
                <w:szCs w:val="20"/>
              </w:rPr>
              <w:t>No se acepta, se corregirá el número de armaduras y los gastos serán por cuenta del Contratista</w:t>
            </w:r>
          </w:p>
        </w:tc>
      </w:tr>
      <w:tr w:rsidR="00EC5CE0" w:rsidRPr="009B23E5" w14:paraId="3F7228DC" w14:textId="77777777" w:rsidTr="001013FE">
        <w:trPr>
          <w:jc w:val="center"/>
        </w:trPr>
        <w:tc>
          <w:tcPr>
            <w:tcW w:w="3130" w:type="dxa"/>
            <w:tcBorders>
              <w:bottom w:val="single" w:sz="4" w:space="0" w:color="auto"/>
            </w:tcBorders>
          </w:tcPr>
          <w:p w14:paraId="679B9638" w14:textId="77777777" w:rsidR="00EC5CE0" w:rsidRPr="001013FE" w:rsidRDefault="00EC5CE0" w:rsidP="0015400D">
            <w:pPr>
              <w:pStyle w:val="GTTTabla"/>
              <w:jc w:val="both"/>
              <w:rPr>
                <w:rFonts w:ascii="Arial" w:hAnsi="Arial" w:cs="Arial"/>
                <w:sz w:val="20"/>
                <w:szCs w:val="20"/>
              </w:rPr>
            </w:pPr>
            <w:r w:rsidRPr="001013FE">
              <w:rPr>
                <w:rFonts w:ascii="Arial" w:hAnsi="Arial" w:cs="Arial"/>
                <w:sz w:val="20"/>
                <w:szCs w:val="20"/>
              </w:rPr>
              <w:t>Recubrimientos mínimos inferiores a los indicados en EHE-08.</w:t>
            </w:r>
          </w:p>
        </w:tc>
        <w:tc>
          <w:tcPr>
            <w:tcW w:w="5580" w:type="dxa"/>
            <w:tcBorders>
              <w:bottom w:val="single" w:sz="4" w:space="0" w:color="auto"/>
            </w:tcBorders>
          </w:tcPr>
          <w:p w14:paraId="56DEE132" w14:textId="77777777" w:rsidR="00EC5CE0" w:rsidRPr="001013FE" w:rsidRDefault="00EC5CE0" w:rsidP="0015400D">
            <w:pPr>
              <w:pStyle w:val="GTTTabla"/>
              <w:jc w:val="both"/>
              <w:rPr>
                <w:rFonts w:ascii="Arial" w:hAnsi="Arial" w:cs="Arial"/>
                <w:sz w:val="20"/>
                <w:szCs w:val="20"/>
              </w:rPr>
            </w:pPr>
            <w:r w:rsidRPr="001013FE">
              <w:rPr>
                <w:rFonts w:ascii="Arial" w:hAnsi="Arial" w:cs="Arial"/>
                <w:sz w:val="20"/>
                <w:szCs w:val="20"/>
              </w:rPr>
              <w:t>No se acepta, se corregirá y los gastos serán por cuenta del Contratista.</w:t>
            </w:r>
          </w:p>
        </w:tc>
      </w:tr>
      <w:tr w:rsidR="00EC5CE0" w:rsidRPr="009B23E5" w14:paraId="79A27259" w14:textId="77777777" w:rsidTr="001013FE">
        <w:trPr>
          <w:jc w:val="center"/>
        </w:trPr>
        <w:tc>
          <w:tcPr>
            <w:tcW w:w="3130" w:type="dxa"/>
            <w:tcBorders>
              <w:top w:val="single" w:sz="4" w:space="0" w:color="auto"/>
              <w:left w:val="single" w:sz="4" w:space="0" w:color="auto"/>
              <w:bottom w:val="single" w:sz="4" w:space="0" w:color="auto"/>
              <w:right w:val="single" w:sz="4" w:space="0" w:color="auto"/>
            </w:tcBorders>
          </w:tcPr>
          <w:p w14:paraId="199656C4" w14:textId="77777777" w:rsidR="00EC5CE0" w:rsidRPr="001013FE" w:rsidRDefault="00EC5CE0" w:rsidP="0015400D">
            <w:pPr>
              <w:pStyle w:val="GTTTabla"/>
              <w:keepNext/>
              <w:jc w:val="both"/>
              <w:rPr>
                <w:rFonts w:ascii="Arial" w:hAnsi="Arial" w:cs="Arial"/>
                <w:sz w:val="20"/>
                <w:szCs w:val="20"/>
              </w:rPr>
            </w:pPr>
            <w:r w:rsidRPr="001013FE">
              <w:rPr>
                <w:rFonts w:ascii="Arial" w:hAnsi="Arial" w:cs="Arial"/>
                <w:sz w:val="20"/>
                <w:szCs w:val="20"/>
              </w:rPr>
              <w:lastRenderedPageBreak/>
              <w:t xml:space="preserve">Recubrimientos mínimos iguales o superiores a 50 </w:t>
            </w:r>
            <w:proofErr w:type="spellStart"/>
            <w:r w:rsidRPr="001013FE">
              <w:rPr>
                <w:rFonts w:ascii="Arial" w:hAnsi="Arial" w:cs="Arial"/>
                <w:sz w:val="20"/>
                <w:szCs w:val="20"/>
              </w:rPr>
              <w:t>mm.</w:t>
            </w:r>
            <w:proofErr w:type="spellEnd"/>
            <w:r w:rsidRPr="001013FE">
              <w:rPr>
                <w:rFonts w:ascii="Arial" w:hAnsi="Arial" w:cs="Arial"/>
                <w:sz w:val="20"/>
                <w:szCs w:val="20"/>
              </w:rPr>
              <w:t>, salvo indicación expresa en planos.</w:t>
            </w:r>
          </w:p>
        </w:tc>
        <w:tc>
          <w:tcPr>
            <w:tcW w:w="5580" w:type="dxa"/>
            <w:tcBorders>
              <w:top w:val="single" w:sz="4" w:space="0" w:color="auto"/>
              <w:left w:val="single" w:sz="4" w:space="0" w:color="auto"/>
              <w:bottom w:val="single" w:sz="4" w:space="0" w:color="auto"/>
              <w:right w:val="single" w:sz="4" w:space="0" w:color="auto"/>
            </w:tcBorders>
          </w:tcPr>
          <w:p w14:paraId="378B64B0" w14:textId="77777777" w:rsidR="00EC5CE0" w:rsidRPr="001013FE" w:rsidRDefault="00EC5CE0" w:rsidP="0015400D">
            <w:pPr>
              <w:pStyle w:val="GTTTabla"/>
              <w:keepNext/>
              <w:jc w:val="both"/>
              <w:rPr>
                <w:rFonts w:ascii="Arial" w:hAnsi="Arial" w:cs="Arial"/>
                <w:sz w:val="20"/>
                <w:szCs w:val="20"/>
              </w:rPr>
            </w:pPr>
            <w:r w:rsidRPr="001013FE">
              <w:rPr>
                <w:rFonts w:ascii="Arial" w:hAnsi="Arial" w:cs="Arial"/>
                <w:sz w:val="20"/>
                <w:szCs w:val="20"/>
              </w:rPr>
              <w:t>Se dispondrá una malla de reparto en medio del espesor de recubrimiento con una cuantía según EHE-08.</w:t>
            </w:r>
          </w:p>
        </w:tc>
      </w:tr>
      <w:tr w:rsidR="00EC5CE0" w:rsidRPr="009B23E5" w14:paraId="1F81361D" w14:textId="77777777" w:rsidTr="001013FE">
        <w:trPr>
          <w:jc w:val="center"/>
        </w:trPr>
        <w:tc>
          <w:tcPr>
            <w:tcW w:w="3130" w:type="dxa"/>
            <w:tcBorders>
              <w:top w:val="single" w:sz="4" w:space="0" w:color="auto"/>
              <w:left w:val="single" w:sz="4" w:space="0" w:color="auto"/>
              <w:bottom w:val="single" w:sz="4" w:space="0" w:color="auto"/>
              <w:right w:val="single" w:sz="4" w:space="0" w:color="auto"/>
            </w:tcBorders>
          </w:tcPr>
          <w:p w14:paraId="6809CC4C" w14:textId="77777777" w:rsidR="00EC5CE0" w:rsidRPr="001013FE" w:rsidRDefault="00EC5CE0" w:rsidP="0015400D">
            <w:pPr>
              <w:pStyle w:val="GTTTabla"/>
              <w:jc w:val="both"/>
              <w:rPr>
                <w:rFonts w:ascii="Arial" w:hAnsi="Arial" w:cs="Arial"/>
                <w:sz w:val="20"/>
                <w:szCs w:val="20"/>
              </w:rPr>
            </w:pPr>
            <w:r w:rsidRPr="001013FE">
              <w:rPr>
                <w:rFonts w:ascii="Arial" w:hAnsi="Arial" w:cs="Arial"/>
                <w:sz w:val="20"/>
                <w:szCs w:val="20"/>
              </w:rPr>
              <w:t>Longitudes de anclaje y solape inferiores a las indicadas en planillas de despiece y EHE-08.</w:t>
            </w:r>
          </w:p>
        </w:tc>
        <w:tc>
          <w:tcPr>
            <w:tcW w:w="5580" w:type="dxa"/>
            <w:tcBorders>
              <w:top w:val="single" w:sz="4" w:space="0" w:color="auto"/>
              <w:left w:val="single" w:sz="4" w:space="0" w:color="auto"/>
              <w:bottom w:val="single" w:sz="4" w:space="0" w:color="auto"/>
              <w:right w:val="single" w:sz="4" w:space="0" w:color="auto"/>
            </w:tcBorders>
          </w:tcPr>
          <w:p w14:paraId="5AEF6523" w14:textId="77777777" w:rsidR="00EC5CE0" w:rsidRPr="001013FE" w:rsidRDefault="00EC5CE0" w:rsidP="0015400D">
            <w:pPr>
              <w:pStyle w:val="GTTTabla"/>
              <w:keepNext/>
              <w:keepLines/>
              <w:jc w:val="both"/>
              <w:rPr>
                <w:rFonts w:ascii="Arial" w:hAnsi="Arial" w:cs="Arial"/>
                <w:sz w:val="20"/>
                <w:szCs w:val="20"/>
              </w:rPr>
            </w:pPr>
            <w:r w:rsidRPr="001013FE">
              <w:rPr>
                <w:rFonts w:ascii="Arial" w:hAnsi="Arial" w:cs="Arial"/>
                <w:sz w:val="20"/>
                <w:szCs w:val="20"/>
              </w:rPr>
              <w:t>No se acepta, se corregirá y los gastos serán por cuenta del Contratista.</w:t>
            </w:r>
          </w:p>
          <w:p w14:paraId="2D07CE47" w14:textId="77777777" w:rsidR="00EC5CE0" w:rsidRPr="001013FE" w:rsidRDefault="00EC5CE0" w:rsidP="009771E6">
            <w:pPr>
              <w:pStyle w:val="GTTTabla"/>
              <w:keepNext/>
              <w:keepLines/>
              <w:jc w:val="both"/>
              <w:rPr>
                <w:rFonts w:ascii="Arial" w:hAnsi="Arial" w:cs="Arial"/>
                <w:sz w:val="20"/>
                <w:szCs w:val="20"/>
              </w:rPr>
            </w:pPr>
            <w:r w:rsidRPr="001013FE">
              <w:rPr>
                <w:rFonts w:ascii="Arial" w:hAnsi="Arial" w:cs="Arial"/>
                <w:sz w:val="20"/>
                <w:szCs w:val="20"/>
              </w:rPr>
              <w:t>Se dispondrán barras adicionales de solape o anclaje, con longitud y disposición que deberá ser aprobada explícitamente por la Dirección</w:t>
            </w:r>
            <w:r w:rsidR="009771E6">
              <w:rPr>
                <w:rFonts w:ascii="Arial" w:hAnsi="Arial" w:cs="Arial"/>
                <w:sz w:val="20"/>
                <w:szCs w:val="20"/>
              </w:rPr>
              <w:t xml:space="preserve"> de Obra</w:t>
            </w:r>
            <w:r w:rsidRPr="001013FE">
              <w:rPr>
                <w:rFonts w:ascii="Arial" w:hAnsi="Arial" w:cs="Arial"/>
                <w:sz w:val="20"/>
                <w:szCs w:val="20"/>
              </w:rPr>
              <w:t xml:space="preserve">. </w:t>
            </w:r>
          </w:p>
        </w:tc>
      </w:tr>
    </w:tbl>
    <w:p w14:paraId="3B05B27A" w14:textId="77777777" w:rsidR="00156FF8" w:rsidRPr="005864C2" w:rsidRDefault="00156FF8" w:rsidP="000313DD">
      <w:pPr>
        <w:pStyle w:val="TITU2"/>
        <w:rPr>
          <w:lang w:val="es-ES_tradnl"/>
        </w:rPr>
      </w:pPr>
      <w:bookmarkStart w:id="665" w:name="_Toc404400"/>
      <w:r w:rsidRPr="005864C2">
        <w:rPr>
          <w:lang w:val="es-ES_tradnl"/>
        </w:rPr>
        <w:t>600.7. Medición y abono</w:t>
      </w:r>
      <w:bookmarkEnd w:id="665"/>
    </w:p>
    <w:p w14:paraId="649CD825" w14:textId="77777777" w:rsidR="00156FF8" w:rsidRPr="009B23E5" w:rsidRDefault="00156FF8" w:rsidP="00156FF8">
      <w:pPr>
        <w:pStyle w:val="NORMAL12"/>
      </w:pPr>
      <w:r w:rsidRPr="009B23E5">
        <w:t>L</w:t>
      </w:r>
      <w:r>
        <w:t xml:space="preserve">a medición y abono de la unidad de obra de acero pasivo se realizará según los </w:t>
      </w:r>
      <w:r w:rsidRPr="004024D6">
        <w:t xml:space="preserve">criterios específicos </w:t>
      </w:r>
      <w:r>
        <w:t>que se indican en la siguiente tabla: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156FF8" w:rsidRPr="009B23E5" w14:paraId="0E3A60EC" w14:textId="77777777" w:rsidTr="00156FF8">
        <w:tc>
          <w:tcPr>
            <w:tcW w:w="2905" w:type="dxa"/>
            <w:vAlign w:val="center"/>
          </w:tcPr>
          <w:p w14:paraId="701CFDDF" w14:textId="77777777" w:rsidR="00156FF8" w:rsidRPr="009B23E5" w:rsidRDefault="00156FF8" w:rsidP="00F558CB">
            <w:pPr>
              <w:pStyle w:val="GTTTtuloTabla"/>
              <w:rPr>
                <w:rFonts w:ascii="Arial" w:hAnsi="Arial" w:cs="Arial"/>
                <w:sz w:val="20"/>
              </w:rPr>
            </w:pPr>
            <w:r w:rsidRPr="009B23E5">
              <w:rPr>
                <w:rFonts w:ascii="Arial" w:hAnsi="Arial" w:cs="Arial"/>
                <w:sz w:val="20"/>
              </w:rPr>
              <w:t>Unidad de medida</w:t>
            </w:r>
          </w:p>
        </w:tc>
        <w:tc>
          <w:tcPr>
            <w:tcW w:w="5739" w:type="dxa"/>
            <w:vAlign w:val="center"/>
          </w:tcPr>
          <w:p w14:paraId="23444C93" w14:textId="77777777" w:rsidR="00156FF8" w:rsidRPr="009B23E5" w:rsidRDefault="00684A3E" w:rsidP="00B71B0B">
            <w:pPr>
              <w:pStyle w:val="GTTTabla"/>
              <w:jc w:val="both"/>
              <w:rPr>
                <w:rFonts w:ascii="Arial" w:hAnsi="Arial" w:cs="Arial"/>
                <w:sz w:val="20"/>
              </w:rPr>
            </w:pPr>
            <w:r>
              <w:rPr>
                <w:rFonts w:ascii="Arial" w:hAnsi="Arial" w:cs="Arial"/>
                <w:sz w:val="20"/>
              </w:rPr>
              <w:t>Kilogramo (</w:t>
            </w:r>
            <w:r w:rsidR="00B71B0B">
              <w:rPr>
                <w:rFonts w:ascii="Arial" w:hAnsi="Arial" w:cs="Arial"/>
                <w:sz w:val="20"/>
              </w:rPr>
              <w:t>k</w:t>
            </w:r>
            <w:r w:rsidR="00156FF8" w:rsidRPr="009B23E5">
              <w:rPr>
                <w:rFonts w:ascii="Arial" w:hAnsi="Arial" w:cs="Arial"/>
                <w:sz w:val="20"/>
              </w:rPr>
              <w:t>g</w:t>
            </w:r>
            <w:r>
              <w:rPr>
                <w:rFonts w:ascii="Arial" w:hAnsi="Arial" w:cs="Arial"/>
                <w:sz w:val="20"/>
              </w:rPr>
              <w:t>)</w:t>
            </w:r>
            <w:r w:rsidR="00156FF8" w:rsidRPr="009B23E5">
              <w:rPr>
                <w:rFonts w:ascii="Arial" w:hAnsi="Arial" w:cs="Arial"/>
                <w:sz w:val="20"/>
              </w:rPr>
              <w:t>.</w:t>
            </w:r>
          </w:p>
        </w:tc>
      </w:tr>
      <w:tr w:rsidR="00156FF8" w:rsidRPr="009B23E5" w14:paraId="1295B13E" w14:textId="77777777" w:rsidTr="00156FF8">
        <w:tc>
          <w:tcPr>
            <w:tcW w:w="2905" w:type="dxa"/>
            <w:vAlign w:val="center"/>
          </w:tcPr>
          <w:p w14:paraId="70A4F614" w14:textId="77777777" w:rsidR="00156FF8" w:rsidRPr="009B23E5" w:rsidRDefault="00156FF8" w:rsidP="00F558CB">
            <w:pPr>
              <w:pStyle w:val="GTTTtuloTabla"/>
              <w:spacing w:before="60" w:after="120" w:line="360" w:lineRule="auto"/>
              <w:rPr>
                <w:rFonts w:ascii="Arial" w:hAnsi="Arial" w:cs="Arial"/>
                <w:sz w:val="20"/>
              </w:rPr>
            </w:pPr>
            <w:r w:rsidRPr="009B23E5">
              <w:rPr>
                <w:rFonts w:ascii="Arial" w:hAnsi="Arial" w:cs="Arial"/>
                <w:sz w:val="20"/>
              </w:rPr>
              <w:t>Grado de precisión</w:t>
            </w:r>
          </w:p>
        </w:tc>
        <w:tc>
          <w:tcPr>
            <w:tcW w:w="5739" w:type="dxa"/>
            <w:vAlign w:val="center"/>
          </w:tcPr>
          <w:p w14:paraId="03814DE3" w14:textId="77777777" w:rsidR="00156FF8" w:rsidRPr="009B23E5" w:rsidRDefault="00156FF8" w:rsidP="00B71B0B">
            <w:pPr>
              <w:pStyle w:val="GTTTabla"/>
              <w:jc w:val="both"/>
              <w:rPr>
                <w:rFonts w:ascii="Arial" w:hAnsi="Arial" w:cs="Arial"/>
                <w:sz w:val="20"/>
              </w:rPr>
            </w:pPr>
            <w:r w:rsidRPr="009B23E5">
              <w:rPr>
                <w:rFonts w:ascii="Arial" w:hAnsi="Arial" w:cs="Arial"/>
                <w:sz w:val="20"/>
              </w:rPr>
              <w:t>Dos decimales.</w:t>
            </w:r>
          </w:p>
        </w:tc>
      </w:tr>
      <w:tr w:rsidR="00156FF8" w:rsidRPr="009B23E5" w14:paraId="552A391E" w14:textId="77777777" w:rsidTr="00156FF8">
        <w:tc>
          <w:tcPr>
            <w:tcW w:w="2905" w:type="dxa"/>
            <w:vAlign w:val="center"/>
          </w:tcPr>
          <w:p w14:paraId="13BD5EB5" w14:textId="77777777" w:rsidR="00156FF8" w:rsidRPr="009B23E5" w:rsidRDefault="00156FF8" w:rsidP="00F558CB">
            <w:pPr>
              <w:pStyle w:val="GTTTtuloTabla"/>
              <w:spacing w:before="60" w:after="120" w:line="360" w:lineRule="auto"/>
              <w:rPr>
                <w:rFonts w:ascii="Arial" w:hAnsi="Arial" w:cs="Arial"/>
                <w:sz w:val="20"/>
              </w:rPr>
            </w:pPr>
            <w:r w:rsidRPr="009B23E5">
              <w:rPr>
                <w:rFonts w:ascii="Arial" w:hAnsi="Arial" w:cs="Arial"/>
                <w:sz w:val="20"/>
              </w:rPr>
              <w:t>Forma de medición</w:t>
            </w:r>
          </w:p>
        </w:tc>
        <w:tc>
          <w:tcPr>
            <w:tcW w:w="5739" w:type="dxa"/>
            <w:vAlign w:val="center"/>
          </w:tcPr>
          <w:p w14:paraId="62E70EA8" w14:textId="77777777" w:rsidR="00156FF8" w:rsidRPr="009B23E5" w:rsidRDefault="00156FF8" w:rsidP="00B71B0B">
            <w:pPr>
              <w:pStyle w:val="GTTTabla"/>
              <w:jc w:val="both"/>
              <w:rPr>
                <w:rFonts w:ascii="Arial" w:hAnsi="Arial" w:cs="Arial"/>
                <w:sz w:val="20"/>
              </w:rPr>
            </w:pPr>
            <w:r w:rsidRPr="009B23E5">
              <w:rPr>
                <w:rFonts w:ascii="Arial" w:hAnsi="Arial" w:cs="Arial"/>
                <w:sz w:val="20"/>
              </w:rPr>
              <w:t>Kilogramos de armadura realmente puesta en obra, deducidos de las planillas de despiece y supervisados en el Control de Ejecución.</w:t>
            </w:r>
          </w:p>
        </w:tc>
      </w:tr>
      <w:tr w:rsidR="00156FF8" w:rsidRPr="009B23E5" w14:paraId="01BD2067" w14:textId="77777777" w:rsidTr="00156FF8">
        <w:tc>
          <w:tcPr>
            <w:tcW w:w="2905" w:type="dxa"/>
            <w:vAlign w:val="center"/>
          </w:tcPr>
          <w:p w14:paraId="4FDE17ED" w14:textId="77777777" w:rsidR="00156FF8" w:rsidRPr="009B23E5" w:rsidRDefault="00156FF8" w:rsidP="00F558CB">
            <w:pPr>
              <w:pStyle w:val="GTTTtuloTabla"/>
              <w:rPr>
                <w:rFonts w:ascii="Arial" w:hAnsi="Arial" w:cs="Arial"/>
                <w:sz w:val="20"/>
              </w:rPr>
            </w:pPr>
            <w:r w:rsidRPr="009B23E5">
              <w:rPr>
                <w:rFonts w:ascii="Arial" w:hAnsi="Arial" w:cs="Arial"/>
                <w:sz w:val="20"/>
              </w:rPr>
              <w:t>Abono</w:t>
            </w:r>
          </w:p>
        </w:tc>
        <w:tc>
          <w:tcPr>
            <w:tcW w:w="5739" w:type="dxa"/>
            <w:vAlign w:val="center"/>
          </w:tcPr>
          <w:p w14:paraId="1648CBBF" w14:textId="77777777" w:rsidR="00156FF8" w:rsidRPr="009B23E5" w:rsidRDefault="00156FF8" w:rsidP="00B71B0B">
            <w:pPr>
              <w:pStyle w:val="GTTTabla"/>
              <w:jc w:val="both"/>
              <w:rPr>
                <w:rFonts w:ascii="Arial" w:hAnsi="Arial" w:cs="Arial"/>
                <w:sz w:val="20"/>
              </w:rPr>
            </w:pPr>
            <w:r w:rsidRPr="009B23E5">
              <w:rPr>
                <w:rFonts w:ascii="Arial" w:hAnsi="Arial" w:cs="Arial"/>
                <w:sz w:val="20"/>
              </w:rPr>
              <w:t>Se efectuará cuando se realice la aceptación, una vez realizadas las pruebas y ensayos de recepción.</w:t>
            </w:r>
          </w:p>
        </w:tc>
      </w:tr>
      <w:tr w:rsidR="00156FF8" w:rsidRPr="009B23E5" w14:paraId="09557D16" w14:textId="77777777" w:rsidTr="00156FF8">
        <w:tc>
          <w:tcPr>
            <w:tcW w:w="2905" w:type="dxa"/>
            <w:vAlign w:val="center"/>
          </w:tcPr>
          <w:p w14:paraId="4F90C3DE" w14:textId="77777777" w:rsidR="00156FF8" w:rsidRPr="009B23E5" w:rsidRDefault="00156FF8" w:rsidP="00F558CB">
            <w:pPr>
              <w:pStyle w:val="GTTTtuloTabla"/>
              <w:spacing w:before="60" w:after="120" w:line="360" w:lineRule="auto"/>
              <w:rPr>
                <w:sz w:val="20"/>
              </w:rPr>
            </w:pPr>
            <w:r w:rsidRPr="009B23E5">
              <w:rPr>
                <w:rFonts w:ascii="Arial" w:hAnsi="Arial" w:cs="Arial"/>
                <w:sz w:val="20"/>
              </w:rPr>
              <w:t>Criterios complementarios</w:t>
            </w:r>
          </w:p>
        </w:tc>
        <w:tc>
          <w:tcPr>
            <w:tcW w:w="5739" w:type="dxa"/>
            <w:vAlign w:val="center"/>
          </w:tcPr>
          <w:p w14:paraId="7FB6FB2E" w14:textId="77777777" w:rsidR="00156FF8" w:rsidRPr="009B23E5" w:rsidRDefault="00156FF8" w:rsidP="00B71B0B">
            <w:pPr>
              <w:pStyle w:val="GTTTabla"/>
              <w:jc w:val="both"/>
              <w:rPr>
                <w:rFonts w:ascii="Arial" w:hAnsi="Arial" w:cs="Arial"/>
                <w:sz w:val="20"/>
              </w:rPr>
            </w:pPr>
            <w:r w:rsidRPr="009B23E5">
              <w:rPr>
                <w:rFonts w:ascii="Arial" w:hAnsi="Arial" w:cs="Arial"/>
                <w:sz w:val="20"/>
              </w:rPr>
              <w:t xml:space="preserve">En el precio están incluidas ataduras y todos los materiales necesarios para la colocación de las armaduras. También incluye el suministro, transporte, enderezado, corte, doblado y colocación, así como la mano de obra, equipos y medios auxiliares necesarios para su correcta puesta en obra. También se incluyen los solapes no definidos en los planos. Los despuntes no serán objeto de medición. </w:t>
            </w:r>
          </w:p>
          <w:p w14:paraId="29CF1B42" w14:textId="77777777" w:rsidR="00156FF8" w:rsidRPr="009B23E5" w:rsidRDefault="00156FF8" w:rsidP="00B71B0B">
            <w:pPr>
              <w:pStyle w:val="GTTTabla"/>
              <w:jc w:val="both"/>
              <w:rPr>
                <w:rFonts w:ascii="Arial" w:hAnsi="Arial" w:cs="Arial"/>
                <w:sz w:val="20"/>
              </w:rPr>
            </w:pPr>
            <w:r w:rsidRPr="009B23E5">
              <w:rPr>
                <w:rFonts w:ascii="Arial" w:hAnsi="Arial" w:cs="Arial"/>
                <w:sz w:val="20"/>
              </w:rPr>
              <w:t>No serán de abono independiente las armaduras pertenecientes a elementos prefabricados, si su medición está incluida en la unidad de elemento prefabricado correspondiente.</w:t>
            </w:r>
          </w:p>
        </w:tc>
      </w:tr>
    </w:tbl>
    <w:p w14:paraId="2FAC5AC2" w14:textId="77777777" w:rsidR="00E41B77" w:rsidRDefault="00E41B77" w:rsidP="008A189D">
      <w:pPr>
        <w:pStyle w:val="NORMAL12"/>
      </w:pPr>
    </w:p>
    <w:p w14:paraId="02228CF0" w14:textId="77777777" w:rsidR="00F558CB" w:rsidRDefault="00531952" w:rsidP="008A189D">
      <w:pPr>
        <w:pStyle w:val="NORMAL12"/>
      </w:pPr>
      <w:r>
        <w:br w:type="column"/>
      </w:r>
      <w:r w:rsidR="00F558CB">
        <w:t xml:space="preserve">La medición y abono de la unidad de </w:t>
      </w:r>
      <w:proofErr w:type="gramStart"/>
      <w:r w:rsidR="00F558CB">
        <w:t>barra  Φ</w:t>
      </w:r>
      <w:proofErr w:type="gramEnd"/>
      <w:r w:rsidR="00F558CB">
        <w:t>12 en forma de U y el pate se realizará según las especificaciones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684A3E" w:rsidRPr="009B23E5" w14:paraId="38240324" w14:textId="77777777" w:rsidTr="00684A3E">
        <w:tc>
          <w:tcPr>
            <w:tcW w:w="2905" w:type="dxa"/>
            <w:vAlign w:val="center"/>
          </w:tcPr>
          <w:p w14:paraId="0285791B" w14:textId="77777777" w:rsidR="00684A3E" w:rsidRPr="009B23E5" w:rsidRDefault="00684A3E" w:rsidP="00132069">
            <w:pPr>
              <w:pStyle w:val="GTTTtuloTabla"/>
              <w:rPr>
                <w:rFonts w:ascii="Arial" w:hAnsi="Arial" w:cs="Arial"/>
                <w:sz w:val="20"/>
              </w:rPr>
            </w:pPr>
            <w:r w:rsidRPr="009B23E5">
              <w:rPr>
                <w:rFonts w:ascii="Arial" w:hAnsi="Arial" w:cs="Arial"/>
                <w:sz w:val="20"/>
              </w:rPr>
              <w:t>Unidad de medida</w:t>
            </w:r>
          </w:p>
        </w:tc>
        <w:tc>
          <w:tcPr>
            <w:tcW w:w="5739" w:type="dxa"/>
            <w:vAlign w:val="center"/>
          </w:tcPr>
          <w:p w14:paraId="5583B0D7" w14:textId="77777777" w:rsidR="00684A3E" w:rsidRPr="009B23E5" w:rsidRDefault="00684A3E" w:rsidP="00B71B0B">
            <w:pPr>
              <w:pStyle w:val="GTTTabla"/>
              <w:jc w:val="both"/>
              <w:rPr>
                <w:rFonts w:ascii="Arial" w:hAnsi="Arial" w:cs="Arial"/>
                <w:sz w:val="20"/>
              </w:rPr>
            </w:pPr>
            <w:r>
              <w:rPr>
                <w:rFonts w:ascii="Arial" w:hAnsi="Arial" w:cs="Arial"/>
                <w:sz w:val="20"/>
              </w:rPr>
              <w:t>Unidad (</w:t>
            </w:r>
            <w:proofErr w:type="spellStart"/>
            <w:r>
              <w:rPr>
                <w:rFonts w:ascii="Arial" w:hAnsi="Arial" w:cs="Arial"/>
                <w:sz w:val="20"/>
              </w:rPr>
              <w:t>ud</w:t>
            </w:r>
            <w:proofErr w:type="spellEnd"/>
            <w:r>
              <w:rPr>
                <w:rFonts w:ascii="Arial" w:hAnsi="Arial" w:cs="Arial"/>
                <w:sz w:val="20"/>
              </w:rPr>
              <w:t>)</w:t>
            </w:r>
            <w:r w:rsidRPr="009B23E5">
              <w:rPr>
                <w:rFonts w:ascii="Arial" w:hAnsi="Arial" w:cs="Arial"/>
                <w:sz w:val="20"/>
              </w:rPr>
              <w:t>.</w:t>
            </w:r>
          </w:p>
        </w:tc>
      </w:tr>
      <w:tr w:rsidR="00684A3E" w:rsidRPr="009B23E5" w14:paraId="3ABF5FB4" w14:textId="77777777" w:rsidTr="00684A3E">
        <w:tc>
          <w:tcPr>
            <w:tcW w:w="2905" w:type="dxa"/>
            <w:vAlign w:val="center"/>
          </w:tcPr>
          <w:p w14:paraId="58994282" w14:textId="77777777" w:rsidR="00684A3E" w:rsidRPr="009B23E5" w:rsidRDefault="00684A3E" w:rsidP="00132069">
            <w:pPr>
              <w:pStyle w:val="GTTTtuloTabla"/>
              <w:spacing w:before="60" w:after="120" w:line="360" w:lineRule="auto"/>
              <w:rPr>
                <w:rFonts w:ascii="Arial" w:hAnsi="Arial" w:cs="Arial"/>
                <w:sz w:val="20"/>
              </w:rPr>
            </w:pPr>
            <w:r w:rsidRPr="009B23E5">
              <w:rPr>
                <w:rFonts w:ascii="Arial" w:hAnsi="Arial" w:cs="Arial"/>
                <w:sz w:val="20"/>
              </w:rPr>
              <w:t>Grado de precisión</w:t>
            </w:r>
          </w:p>
        </w:tc>
        <w:tc>
          <w:tcPr>
            <w:tcW w:w="5739" w:type="dxa"/>
            <w:vAlign w:val="center"/>
          </w:tcPr>
          <w:p w14:paraId="0A996B8B" w14:textId="77777777" w:rsidR="00684A3E" w:rsidRPr="009B23E5" w:rsidRDefault="00684A3E" w:rsidP="00B71B0B">
            <w:pPr>
              <w:pStyle w:val="GTTTabla"/>
              <w:jc w:val="both"/>
              <w:rPr>
                <w:rFonts w:ascii="Arial" w:hAnsi="Arial" w:cs="Arial"/>
                <w:sz w:val="20"/>
              </w:rPr>
            </w:pPr>
            <w:r>
              <w:rPr>
                <w:rFonts w:ascii="Arial" w:hAnsi="Arial" w:cs="Arial"/>
                <w:sz w:val="20"/>
              </w:rPr>
              <w:t>Número entero</w:t>
            </w:r>
          </w:p>
        </w:tc>
      </w:tr>
      <w:tr w:rsidR="00684A3E" w:rsidRPr="009B23E5" w14:paraId="4FAD62CB" w14:textId="77777777" w:rsidTr="00684A3E">
        <w:tc>
          <w:tcPr>
            <w:tcW w:w="2905" w:type="dxa"/>
            <w:vAlign w:val="center"/>
          </w:tcPr>
          <w:p w14:paraId="5AC75CAC" w14:textId="77777777" w:rsidR="00684A3E" w:rsidRPr="009B23E5" w:rsidRDefault="00684A3E" w:rsidP="00132069">
            <w:pPr>
              <w:pStyle w:val="GTTTtuloTabla"/>
              <w:spacing w:before="60" w:after="120" w:line="360" w:lineRule="auto"/>
              <w:rPr>
                <w:rFonts w:ascii="Arial" w:hAnsi="Arial" w:cs="Arial"/>
                <w:sz w:val="20"/>
              </w:rPr>
            </w:pPr>
            <w:r w:rsidRPr="009B23E5">
              <w:rPr>
                <w:rFonts w:ascii="Arial" w:hAnsi="Arial" w:cs="Arial"/>
                <w:sz w:val="20"/>
              </w:rPr>
              <w:t>Forma de medición</w:t>
            </w:r>
          </w:p>
        </w:tc>
        <w:tc>
          <w:tcPr>
            <w:tcW w:w="5739" w:type="dxa"/>
            <w:vAlign w:val="center"/>
          </w:tcPr>
          <w:p w14:paraId="2D3B1BFC" w14:textId="77777777" w:rsidR="00684A3E" w:rsidRPr="009B23E5" w:rsidRDefault="00684A3E" w:rsidP="00B71B0B">
            <w:pPr>
              <w:pStyle w:val="GTTTabla"/>
              <w:jc w:val="both"/>
              <w:rPr>
                <w:rFonts w:ascii="Arial" w:hAnsi="Arial" w:cs="Arial"/>
                <w:sz w:val="20"/>
              </w:rPr>
            </w:pPr>
            <w:r>
              <w:rPr>
                <w:rFonts w:ascii="Arial" w:hAnsi="Arial" w:cs="Arial"/>
                <w:sz w:val="20"/>
              </w:rPr>
              <w:t xml:space="preserve">Unidad de barra o pate colocado según las especificaciones de la unidad. </w:t>
            </w:r>
          </w:p>
        </w:tc>
      </w:tr>
      <w:tr w:rsidR="00684A3E" w:rsidRPr="009B23E5" w14:paraId="34AE9795" w14:textId="77777777" w:rsidTr="00684A3E">
        <w:tc>
          <w:tcPr>
            <w:tcW w:w="2905" w:type="dxa"/>
            <w:vAlign w:val="center"/>
          </w:tcPr>
          <w:p w14:paraId="49B3F431" w14:textId="77777777" w:rsidR="00684A3E" w:rsidRPr="009B23E5" w:rsidRDefault="00684A3E" w:rsidP="00132069">
            <w:pPr>
              <w:pStyle w:val="GTTTtuloTabla"/>
              <w:rPr>
                <w:rFonts w:ascii="Arial" w:hAnsi="Arial" w:cs="Arial"/>
                <w:sz w:val="20"/>
              </w:rPr>
            </w:pPr>
            <w:r w:rsidRPr="009B23E5">
              <w:rPr>
                <w:rFonts w:ascii="Arial" w:hAnsi="Arial" w:cs="Arial"/>
                <w:sz w:val="20"/>
              </w:rPr>
              <w:t>Abono</w:t>
            </w:r>
          </w:p>
        </w:tc>
        <w:tc>
          <w:tcPr>
            <w:tcW w:w="5739" w:type="dxa"/>
            <w:vAlign w:val="center"/>
          </w:tcPr>
          <w:p w14:paraId="17ABCB9A" w14:textId="77777777" w:rsidR="00684A3E" w:rsidRPr="009B23E5" w:rsidRDefault="00684A3E" w:rsidP="00B71B0B">
            <w:pPr>
              <w:pStyle w:val="GTTTabla"/>
              <w:jc w:val="both"/>
              <w:rPr>
                <w:rFonts w:ascii="Arial" w:hAnsi="Arial" w:cs="Arial"/>
                <w:sz w:val="20"/>
              </w:rPr>
            </w:pPr>
            <w:r w:rsidRPr="009B23E5">
              <w:rPr>
                <w:rFonts w:ascii="Arial" w:hAnsi="Arial" w:cs="Arial"/>
                <w:sz w:val="20"/>
              </w:rPr>
              <w:t>Se efectuará cuando se realice la aceptación, una vez realizadas las pruebas y ensayos de recepción.</w:t>
            </w:r>
          </w:p>
        </w:tc>
      </w:tr>
      <w:tr w:rsidR="00684A3E" w:rsidRPr="009B23E5" w14:paraId="6C46285E" w14:textId="77777777" w:rsidTr="00684A3E">
        <w:tc>
          <w:tcPr>
            <w:tcW w:w="2905" w:type="dxa"/>
            <w:vAlign w:val="center"/>
          </w:tcPr>
          <w:p w14:paraId="28F9F14B" w14:textId="77777777" w:rsidR="00684A3E" w:rsidRPr="009B23E5" w:rsidRDefault="00684A3E" w:rsidP="00132069">
            <w:pPr>
              <w:pStyle w:val="GTTTtuloTabla"/>
              <w:spacing w:before="60" w:after="120" w:line="360" w:lineRule="auto"/>
              <w:rPr>
                <w:sz w:val="20"/>
              </w:rPr>
            </w:pPr>
            <w:r w:rsidRPr="009B23E5">
              <w:rPr>
                <w:rFonts w:ascii="Arial" w:hAnsi="Arial" w:cs="Arial"/>
                <w:sz w:val="20"/>
              </w:rPr>
              <w:t>Criterios complementarios</w:t>
            </w:r>
          </w:p>
        </w:tc>
        <w:tc>
          <w:tcPr>
            <w:tcW w:w="5739" w:type="dxa"/>
            <w:vAlign w:val="center"/>
          </w:tcPr>
          <w:p w14:paraId="17AA8CA3" w14:textId="77777777" w:rsidR="00684A3E" w:rsidRDefault="00684A3E" w:rsidP="00B71B0B">
            <w:pPr>
              <w:pStyle w:val="GTTTabla"/>
              <w:jc w:val="both"/>
              <w:rPr>
                <w:rFonts w:ascii="Arial" w:hAnsi="Arial" w:cs="Arial"/>
                <w:sz w:val="20"/>
              </w:rPr>
            </w:pPr>
            <w:r>
              <w:rPr>
                <w:rFonts w:ascii="Arial" w:hAnsi="Arial" w:cs="Arial"/>
                <w:sz w:val="20"/>
              </w:rPr>
              <w:t xml:space="preserve">El precio de la unidad incluye en el caso de la barra Φ12 en forma de U el anclaje a posteriori, la </w:t>
            </w:r>
            <w:r w:rsidR="00D93E76">
              <w:rPr>
                <w:rFonts w:ascii="Arial" w:hAnsi="Arial" w:cs="Arial"/>
                <w:sz w:val="20"/>
              </w:rPr>
              <w:t>perforación</w:t>
            </w:r>
            <w:r>
              <w:rPr>
                <w:rFonts w:ascii="Arial" w:hAnsi="Arial" w:cs="Arial"/>
                <w:sz w:val="20"/>
              </w:rPr>
              <w:t>, inyección de resina epoxi y todos los materiales y medios necesarios para la correcta ejecución de la unidad.</w:t>
            </w:r>
          </w:p>
          <w:p w14:paraId="04E1FA26" w14:textId="77777777" w:rsidR="00684A3E" w:rsidRPr="009B23E5" w:rsidRDefault="00684A3E" w:rsidP="00B71B0B">
            <w:pPr>
              <w:pStyle w:val="GTTTabla"/>
              <w:jc w:val="both"/>
              <w:rPr>
                <w:rFonts w:ascii="Arial" w:hAnsi="Arial" w:cs="Arial"/>
                <w:sz w:val="20"/>
              </w:rPr>
            </w:pPr>
            <w:r>
              <w:rPr>
                <w:rFonts w:ascii="Arial" w:hAnsi="Arial" w:cs="Arial"/>
                <w:sz w:val="20"/>
              </w:rPr>
              <w:t>El precio de la unidad de pate incluye todos los medios y materiales necesarios para la correcta ejecución de la unidad.</w:t>
            </w:r>
          </w:p>
        </w:tc>
      </w:tr>
    </w:tbl>
    <w:p w14:paraId="5A879090" w14:textId="77777777" w:rsidR="00684A3E" w:rsidRDefault="00684A3E" w:rsidP="008A189D">
      <w:pPr>
        <w:pStyle w:val="NORMAL12"/>
      </w:pPr>
    </w:p>
    <w:p w14:paraId="1DC1CC3E" w14:textId="77777777" w:rsidR="005240FA" w:rsidRPr="00622514" w:rsidRDefault="005240FA" w:rsidP="005240FA">
      <w:pPr>
        <w:pStyle w:val="TITU1"/>
      </w:pPr>
      <w:bookmarkStart w:id="666" w:name="_Toc404401"/>
      <w:bookmarkStart w:id="667" w:name="_Toc448916057"/>
      <w:r w:rsidRPr="00622514">
        <w:lastRenderedPageBreak/>
        <w:t>Artículo 610. Hormigones</w:t>
      </w:r>
      <w:bookmarkEnd w:id="666"/>
    </w:p>
    <w:p w14:paraId="2EC51787" w14:textId="77777777" w:rsidR="005240FA" w:rsidRPr="006B30E4" w:rsidRDefault="005240FA" w:rsidP="005240FA">
      <w:pPr>
        <w:pStyle w:val="NORMAL12"/>
      </w:pPr>
      <w:r w:rsidRPr="006B30E4">
        <w:t>Excepto para lo especificado en el presente Pliego de Prescripciones Técnicas particulares se seguirá lo prescrito en el vigente artículo 610 del PG-3 y la EHE 08.</w:t>
      </w:r>
    </w:p>
    <w:p w14:paraId="5A2467F0" w14:textId="77777777" w:rsidR="005240FA" w:rsidRDefault="005240FA" w:rsidP="000313DD">
      <w:pPr>
        <w:pStyle w:val="TITU2"/>
      </w:pPr>
      <w:bookmarkStart w:id="668" w:name="_Toc492537783"/>
      <w:bookmarkStart w:id="669" w:name="_Toc400741539"/>
      <w:bookmarkStart w:id="670" w:name="_Toc399508992"/>
      <w:bookmarkStart w:id="671" w:name="_Toc404402"/>
      <w:r w:rsidRPr="006B30E4">
        <w:t>610.1.</w:t>
      </w:r>
      <w:r w:rsidR="001013FE">
        <w:t xml:space="preserve"> </w:t>
      </w:r>
      <w:r w:rsidRPr="006B30E4">
        <w:tab/>
        <w:t>Aplicación</w:t>
      </w:r>
      <w:bookmarkEnd w:id="668"/>
      <w:bookmarkEnd w:id="669"/>
      <w:bookmarkEnd w:id="670"/>
      <w:bookmarkEnd w:id="671"/>
    </w:p>
    <w:p w14:paraId="41B4507B" w14:textId="77777777" w:rsidR="005240FA" w:rsidRPr="00886F1A" w:rsidRDefault="005240FA" w:rsidP="005240FA">
      <w:pPr>
        <w:pStyle w:val="NORMAL12"/>
      </w:pPr>
      <w:r w:rsidRPr="00886F1A">
        <w:t>Consiste esta Unidad en el suministro, vertido y vibrado del hormigón para la ejecución de estructuras de hormigón en masa, armado o pretensado, en las cuales el hormigón quede contenido por el terreno y/o por encofrados.</w:t>
      </w:r>
    </w:p>
    <w:p w14:paraId="3D8066E9" w14:textId="77777777" w:rsidR="005240FA" w:rsidRPr="00886F1A" w:rsidRDefault="005240FA" w:rsidP="005240FA">
      <w:pPr>
        <w:pStyle w:val="NORMAL12"/>
        <w:rPr>
          <w:lang w:val="es-ES"/>
        </w:rPr>
      </w:pPr>
      <w:r w:rsidRPr="00886F1A">
        <w:rPr>
          <w:lang w:val="es-ES"/>
        </w:rPr>
        <w:t xml:space="preserve">Las prescripciones del presente artículo </w:t>
      </w:r>
      <w:proofErr w:type="gramStart"/>
      <w:r w:rsidRPr="00886F1A">
        <w:rPr>
          <w:lang w:val="es-ES"/>
        </w:rPr>
        <w:t>son de aplicación</w:t>
      </w:r>
      <w:proofErr w:type="gramEnd"/>
      <w:r w:rsidRPr="00886F1A">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316"/>
        <w:gridCol w:w="585"/>
        <w:gridCol w:w="7452"/>
      </w:tblGrid>
      <w:tr w:rsidR="005240FA" w:rsidRPr="005864C2" w14:paraId="0F68F765" w14:textId="77777777" w:rsidTr="00C91AB8">
        <w:trPr>
          <w:trHeight w:val="300"/>
        </w:trPr>
        <w:tc>
          <w:tcPr>
            <w:tcW w:w="703" w:type="pct"/>
            <w:noWrap/>
          </w:tcPr>
          <w:p w14:paraId="01F8C586" w14:textId="77777777" w:rsidR="005240FA" w:rsidRPr="005B79AD" w:rsidRDefault="005240FA" w:rsidP="0015400D">
            <w:pPr>
              <w:rPr>
                <w:rFonts w:ascii="Calibri" w:hAnsi="Calibri"/>
              </w:rPr>
            </w:pPr>
            <w:r w:rsidRPr="005B79AD">
              <w:rPr>
                <w:rFonts w:ascii="Calibri" w:hAnsi="Calibri"/>
              </w:rPr>
              <w:t xml:space="preserve">610.0010          </w:t>
            </w:r>
          </w:p>
        </w:tc>
        <w:tc>
          <w:tcPr>
            <w:tcW w:w="313" w:type="pct"/>
            <w:noWrap/>
          </w:tcPr>
          <w:p w14:paraId="3FBE6718" w14:textId="77777777" w:rsidR="005240FA" w:rsidRPr="005B79AD" w:rsidRDefault="005240FA" w:rsidP="0015400D">
            <w:pPr>
              <w:rPr>
                <w:rFonts w:ascii="Calibri" w:hAnsi="Calibri"/>
              </w:rPr>
            </w:pPr>
            <w:r w:rsidRPr="005B79AD">
              <w:rPr>
                <w:rFonts w:ascii="Calibri" w:hAnsi="Calibri"/>
              </w:rPr>
              <w:t>m</w:t>
            </w:r>
            <w:r w:rsidRPr="005B79AD">
              <w:rPr>
                <w:rFonts w:ascii="Calibri" w:hAnsi="Calibri"/>
                <w:vertAlign w:val="superscript"/>
              </w:rPr>
              <w:t>3</w:t>
            </w:r>
          </w:p>
        </w:tc>
        <w:tc>
          <w:tcPr>
            <w:tcW w:w="3984" w:type="pct"/>
          </w:tcPr>
          <w:p w14:paraId="0685CD28" w14:textId="77777777" w:rsidR="005240FA" w:rsidRPr="005B79AD" w:rsidRDefault="005240FA" w:rsidP="00531952">
            <w:pPr>
              <w:jc w:val="both"/>
              <w:rPr>
                <w:rFonts w:ascii="Calibri" w:hAnsi="Calibri"/>
              </w:rPr>
            </w:pPr>
            <w:r w:rsidRPr="005B79AD">
              <w:rPr>
                <w:rFonts w:ascii="Calibri" w:hAnsi="Calibri"/>
              </w:rPr>
              <w:t>HORMIGÓN DE LIMPIEZA HL-150 EN CIMIENTOS DE SOLERAS Y DE PEQUEÑAS OBRAS DE FÁBRICA PUESTO EN OBRA.</w:t>
            </w:r>
          </w:p>
          <w:p w14:paraId="561C1BF2" w14:textId="77777777" w:rsidR="005240FA" w:rsidRPr="005B79AD" w:rsidRDefault="005240FA" w:rsidP="00531952">
            <w:pPr>
              <w:jc w:val="both"/>
              <w:rPr>
                <w:rFonts w:ascii="Calibri" w:hAnsi="Calibri"/>
              </w:rPr>
            </w:pPr>
          </w:p>
        </w:tc>
      </w:tr>
      <w:tr w:rsidR="003A1560" w:rsidRPr="005864C2" w14:paraId="4449BC23" w14:textId="77777777" w:rsidTr="00C91AB8">
        <w:trPr>
          <w:trHeight w:val="386"/>
        </w:trPr>
        <w:tc>
          <w:tcPr>
            <w:tcW w:w="703" w:type="pct"/>
            <w:noWrap/>
          </w:tcPr>
          <w:p w14:paraId="48E7A76C" w14:textId="77777777" w:rsidR="003A1560" w:rsidRPr="005B79AD" w:rsidRDefault="003A1560" w:rsidP="00755566">
            <w:pPr>
              <w:rPr>
                <w:rFonts w:ascii="Calibri" w:hAnsi="Calibri"/>
                <w:color w:val="000000"/>
              </w:rPr>
            </w:pPr>
            <w:r w:rsidRPr="005B79AD">
              <w:rPr>
                <w:rFonts w:ascii="Calibri" w:hAnsi="Calibri"/>
                <w:color w:val="000000"/>
              </w:rPr>
              <w:t xml:space="preserve">610.0020          </w:t>
            </w:r>
          </w:p>
        </w:tc>
        <w:tc>
          <w:tcPr>
            <w:tcW w:w="313" w:type="pct"/>
            <w:noWrap/>
          </w:tcPr>
          <w:p w14:paraId="7A0EA9E1" w14:textId="77777777" w:rsidR="003A1560" w:rsidRPr="005B79AD" w:rsidRDefault="003A1560" w:rsidP="00755566">
            <w:pPr>
              <w:rPr>
                <w:rFonts w:ascii="Calibri" w:hAnsi="Calibri"/>
                <w:color w:val="000000"/>
              </w:rPr>
            </w:pPr>
            <w:r w:rsidRPr="005B79AD">
              <w:rPr>
                <w:rFonts w:ascii="Calibri" w:hAnsi="Calibri"/>
                <w:color w:val="000000"/>
              </w:rPr>
              <w:t>m</w:t>
            </w:r>
            <w:r w:rsidRPr="005B79AD">
              <w:rPr>
                <w:rFonts w:ascii="Calibri" w:hAnsi="Calibri"/>
                <w:color w:val="000000"/>
                <w:vertAlign w:val="superscript"/>
              </w:rPr>
              <w:t>3</w:t>
            </w:r>
          </w:p>
        </w:tc>
        <w:tc>
          <w:tcPr>
            <w:tcW w:w="3984" w:type="pct"/>
          </w:tcPr>
          <w:p w14:paraId="1F98202A" w14:textId="77777777" w:rsidR="003A1560" w:rsidRPr="005B79AD" w:rsidRDefault="003A1560" w:rsidP="00755566">
            <w:pPr>
              <w:jc w:val="both"/>
              <w:rPr>
                <w:rFonts w:ascii="Calibri" w:hAnsi="Calibri"/>
                <w:color w:val="000000"/>
              </w:rPr>
            </w:pPr>
            <w:r w:rsidRPr="005B79AD">
              <w:rPr>
                <w:rFonts w:ascii="Calibri" w:hAnsi="Calibri"/>
                <w:color w:val="000000"/>
              </w:rPr>
              <w:t>HORMIGÓN EN MASA HM-20 VERTIDO, VIBRADO Y TOTALMENTE COLOCADO.</w:t>
            </w:r>
          </w:p>
          <w:p w14:paraId="2A16B5D0" w14:textId="77777777" w:rsidR="003A1560" w:rsidRPr="005B79AD" w:rsidRDefault="003A1560" w:rsidP="00755566">
            <w:pPr>
              <w:jc w:val="both"/>
              <w:rPr>
                <w:rFonts w:ascii="Calibri" w:hAnsi="Calibri"/>
                <w:color w:val="000000"/>
              </w:rPr>
            </w:pPr>
          </w:p>
        </w:tc>
      </w:tr>
      <w:tr w:rsidR="003A1560" w:rsidRPr="005864C2" w14:paraId="05A7580D" w14:textId="77777777" w:rsidTr="00C91AB8">
        <w:trPr>
          <w:trHeight w:val="386"/>
        </w:trPr>
        <w:tc>
          <w:tcPr>
            <w:tcW w:w="703" w:type="pct"/>
            <w:noWrap/>
          </w:tcPr>
          <w:p w14:paraId="5BC360CE" w14:textId="77777777" w:rsidR="003A1560" w:rsidRPr="005B79AD" w:rsidRDefault="003A1560" w:rsidP="00755566">
            <w:pPr>
              <w:rPr>
                <w:rFonts w:ascii="Calibri" w:hAnsi="Calibri"/>
                <w:color w:val="000000"/>
              </w:rPr>
            </w:pPr>
            <w:r w:rsidRPr="005B79AD">
              <w:rPr>
                <w:rFonts w:ascii="Calibri" w:hAnsi="Calibri"/>
                <w:color w:val="000000"/>
              </w:rPr>
              <w:t xml:space="preserve">610.0030          </w:t>
            </w:r>
          </w:p>
        </w:tc>
        <w:tc>
          <w:tcPr>
            <w:tcW w:w="313" w:type="pct"/>
            <w:noWrap/>
          </w:tcPr>
          <w:p w14:paraId="7165B3B9" w14:textId="77777777" w:rsidR="003A1560" w:rsidRPr="005B79AD" w:rsidRDefault="003A1560" w:rsidP="00755566">
            <w:pPr>
              <w:rPr>
                <w:rFonts w:ascii="Calibri" w:hAnsi="Calibri"/>
                <w:color w:val="000000"/>
              </w:rPr>
            </w:pPr>
            <w:r w:rsidRPr="005B79AD">
              <w:rPr>
                <w:rFonts w:ascii="Calibri" w:hAnsi="Calibri"/>
                <w:color w:val="000000"/>
              </w:rPr>
              <w:t>m</w:t>
            </w:r>
            <w:r w:rsidRPr="005B79AD">
              <w:rPr>
                <w:rFonts w:ascii="Calibri" w:hAnsi="Calibri"/>
                <w:color w:val="000000"/>
                <w:vertAlign w:val="superscript"/>
              </w:rPr>
              <w:t>3</w:t>
            </w:r>
          </w:p>
        </w:tc>
        <w:tc>
          <w:tcPr>
            <w:tcW w:w="3984" w:type="pct"/>
          </w:tcPr>
          <w:p w14:paraId="65ACA7D5" w14:textId="77777777" w:rsidR="003A1560" w:rsidRPr="005B79AD" w:rsidRDefault="003A1560" w:rsidP="00755566">
            <w:pPr>
              <w:jc w:val="both"/>
              <w:rPr>
                <w:rFonts w:ascii="Calibri" w:hAnsi="Calibri"/>
                <w:color w:val="000000"/>
              </w:rPr>
            </w:pPr>
            <w:r w:rsidRPr="005B79AD">
              <w:rPr>
                <w:rFonts w:ascii="Calibri" w:hAnsi="Calibri"/>
                <w:color w:val="000000"/>
              </w:rPr>
              <w:t>HORMIGÓN PARA ARMAR HA-25 EN CIMENTACIONES, PILOTES, PANTALLAS, ENCEPADOS Y ACERAS</w:t>
            </w:r>
          </w:p>
          <w:p w14:paraId="2BAF7850" w14:textId="77777777" w:rsidR="003A1560" w:rsidRPr="005B79AD" w:rsidRDefault="003A1560" w:rsidP="00755566">
            <w:pPr>
              <w:jc w:val="both"/>
              <w:rPr>
                <w:rFonts w:ascii="Calibri" w:hAnsi="Calibri"/>
                <w:color w:val="000000"/>
              </w:rPr>
            </w:pPr>
          </w:p>
        </w:tc>
      </w:tr>
      <w:tr w:rsidR="003A1560" w:rsidRPr="005864C2" w14:paraId="54FB8E65" w14:textId="77777777" w:rsidTr="00C91AB8">
        <w:trPr>
          <w:trHeight w:val="386"/>
        </w:trPr>
        <w:tc>
          <w:tcPr>
            <w:tcW w:w="703" w:type="pct"/>
            <w:noWrap/>
          </w:tcPr>
          <w:p w14:paraId="7FE9AD08" w14:textId="77777777" w:rsidR="003A1560" w:rsidRPr="005B79AD" w:rsidRDefault="003A1560" w:rsidP="00755566">
            <w:pPr>
              <w:rPr>
                <w:rFonts w:ascii="Calibri" w:hAnsi="Calibri"/>
                <w:color w:val="000000"/>
              </w:rPr>
            </w:pPr>
            <w:r w:rsidRPr="005B79AD">
              <w:rPr>
                <w:rFonts w:ascii="Calibri" w:hAnsi="Calibri"/>
                <w:color w:val="000000"/>
              </w:rPr>
              <w:t xml:space="preserve">610.0050          </w:t>
            </w:r>
          </w:p>
        </w:tc>
        <w:tc>
          <w:tcPr>
            <w:tcW w:w="313" w:type="pct"/>
            <w:noWrap/>
          </w:tcPr>
          <w:p w14:paraId="42A00298" w14:textId="77777777" w:rsidR="003A1560" w:rsidRPr="005B79AD" w:rsidRDefault="003A1560" w:rsidP="00755566">
            <w:pPr>
              <w:rPr>
                <w:rFonts w:ascii="Calibri" w:hAnsi="Calibri"/>
                <w:color w:val="000000"/>
              </w:rPr>
            </w:pPr>
            <w:r w:rsidRPr="005B79AD">
              <w:rPr>
                <w:rFonts w:ascii="Calibri" w:hAnsi="Calibri"/>
                <w:color w:val="000000"/>
              </w:rPr>
              <w:t>m³</w:t>
            </w:r>
          </w:p>
        </w:tc>
        <w:tc>
          <w:tcPr>
            <w:tcW w:w="3984" w:type="pct"/>
          </w:tcPr>
          <w:p w14:paraId="0F905045" w14:textId="77777777" w:rsidR="003A1560" w:rsidRPr="005B79AD" w:rsidRDefault="003A1560" w:rsidP="00755566">
            <w:pPr>
              <w:jc w:val="both"/>
              <w:rPr>
                <w:rFonts w:ascii="Calibri" w:hAnsi="Calibri"/>
                <w:color w:val="000000"/>
              </w:rPr>
            </w:pPr>
            <w:r w:rsidRPr="005B79AD">
              <w:rPr>
                <w:rFonts w:ascii="Calibri" w:hAnsi="Calibri"/>
                <w:color w:val="000000"/>
              </w:rPr>
              <w:t>HORMIGÓN PARA ARMAR HA-25 EN ALZADOS DE PILAS, ESTRIBOS, CABECEROS, VIGAS, TABLEROS, LOSAS, MUROS Y MARCOS.</w:t>
            </w:r>
          </w:p>
          <w:p w14:paraId="2E6432BF" w14:textId="77777777" w:rsidR="003A1560" w:rsidRPr="005B79AD" w:rsidRDefault="003A1560" w:rsidP="00755566">
            <w:pPr>
              <w:jc w:val="both"/>
              <w:rPr>
                <w:rFonts w:ascii="Calibri" w:hAnsi="Calibri"/>
                <w:color w:val="000000"/>
              </w:rPr>
            </w:pPr>
          </w:p>
        </w:tc>
      </w:tr>
      <w:tr w:rsidR="003A1560" w:rsidRPr="005864C2" w14:paraId="62900D2C" w14:textId="77777777" w:rsidTr="00C91AB8">
        <w:trPr>
          <w:trHeight w:val="386"/>
        </w:trPr>
        <w:tc>
          <w:tcPr>
            <w:tcW w:w="703" w:type="pct"/>
            <w:noWrap/>
          </w:tcPr>
          <w:p w14:paraId="51929DB2" w14:textId="77777777" w:rsidR="003A1560" w:rsidRPr="005B79AD" w:rsidRDefault="003A1560" w:rsidP="00755566">
            <w:pPr>
              <w:rPr>
                <w:rFonts w:ascii="Calibri" w:hAnsi="Calibri"/>
                <w:color w:val="000000"/>
              </w:rPr>
            </w:pPr>
            <w:r w:rsidRPr="005B79AD">
              <w:rPr>
                <w:rFonts w:ascii="Calibri" w:hAnsi="Calibri"/>
                <w:color w:val="000000"/>
              </w:rPr>
              <w:t xml:space="preserve">610.0070          </w:t>
            </w:r>
          </w:p>
        </w:tc>
        <w:tc>
          <w:tcPr>
            <w:tcW w:w="313" w:type="pct"/>
            <w:noWrap/>
          </w:tcPr>
          <w:p w14:paraId="00B889D0" w14:textId="77777777" w:rsidR="003A1560" w:rsidRPr="005B79AD" w:rsidRDefault="003A1560" w:rsidP="00755566">
            <w:pPr>
              <w:rPr>
                <w:rFonts w:ascii="Calibri" w:hAnsi="Calibri"/>
                <w:color w:val="000000"/>
              </w:rPr>
            </w:pPr>
            <w:r w:rsidRPr="005B79AD">
              <w:rPr>
                <w:rFonts w:ascii="Calibri" w:hAnsi="Calibri"/>
                <w:color w:val="000000"/>
              </w:rPr>
              <w:t>m³</w:t>
            </w:r>
          </w:p>
        </w:tc>
        <w:tc>
          <w:tcPr>
            <w:tcW w:w="3984" w:type="pct"/>
          </w:tcPr>
          <w:p w14:paraId="428BA35D" w14:textId="77777777" w:rsidR="003A1560" w:rsidRPr="005B79AD" w:rsidRDefault="003A1560" w:rsidP="00755566">
            <w:pPr>
              <w:jc w:val="both"/>
              <w:rPr>
                <w:rFonts w:ascii="Calibri" w:hAnsi="Calibri"/>
                <w:color w:val="000000"/>
              </w:rPr>
            </w:pPr>
            <w:r w:rsidRPr="005B79AD">
              <w:rPr>
                <w:rFonts w:ascii="Calibri" w:hAnsi="Calibri"/>
                <w:color w:val="000000"/>
              </w:rPr>
              <w:t>HORMIGÓN PARA ARMAR HA-30 EN ALZADOS DE PILAS, ESTRIBOS, CABECEROS, VIGAS, TABLEROS, LOSAS, MUROS Y MARCOS.</w:t>
            </w:r>
          </w:p>
          <w:p w14:paraId="02070679" w14:textId="77777777" w:rsidR="003A1560" w:rsidRPr="005B79AD" w:rsidRDefault="003A1560" w:rsidP="00755566">
            <w:pPr>
              <w:jc w:val="both"/>
              <w:rPr>
                <w:rFonts w:ascii="Calibri" w:hAnsi="Calibri"/>
                <w:color w:val="000000"/>
              </w:rPr>
            </w:pPr>
          </w:p>
        </w:tc>
      </w:tr>
      <w:tr w:rsidR="003A1560" w:rsidRPr="005864C2" w14:paraId="1C18CEDB" w14:textId="77777777" w:rsidTr="00C91AB8">
        <w:trPr>
          <w:trHeight w:val="386"/>
        </w:trPr>
        <w:tc>
          <w:tcPr>
            <w:tcW w:w="703" w:type="pct"/>
            <w:noWrap/>
          </w:tcPr>
          <w:p w14:paraId="4B563A30" w14:textId="77777777" w:rsidR="003A1560" w:rsidRPr="005B79AD" w:rsidRDefault="003A1560" w:rsidP="00755566">
            <w:pPr>
              <w:rPr>
                <w:rFonts w:ascii="Calibri" w:hAnsi="Calibri"/>
                <w:color w:val="000000"/>
              </w:rPr>
            </w:pPr>
            <w:r w:rsidRPr="005B79AD">
              <w:rPr>
                <w:rFonts w:ascii="Calibri" w:hAnsi="Calibri"/>
                <w:color w:val="000000"/>
              </w:rPr>
              <w:t xml:space="preserve">610.0100          </w:t>
            </w:r>
          </w:p>
        </w:tc>
        <w:tc>
          <w:tcPr>
            <w:tcW w:w="313" w:type="pct"/>
            <w:noWrap/>
          </w:tcPr>
          <w:p w14:paraId="46030ED1" w14:textId="77777777" w:rsidR="003A1560" w:rsidRPr="005B79AD" w:rsidRDefault="003A1560" w:rsidP="00755566">
            <w:pPr>
              <w:rPr>
                <w:rFonts w:ascii="Calibri" w:hAnsi="Calibri"/>
                <w:color w:val="000000"/>
              </w:rPr>
            </w:pPr>
            <w:r w:rsidRPr="005B79AD">
              <w:rPr>
                <w:rFonts w:ascii="Calibri" w:hAnsi="Calibri"/>
                <w:color w:val="000000"/>
              </w:rPr>
              <w:t>m</w:t>
            </w:r>
            <w:r w:rsidRPr="005B79AD">
              <w:rPr>
                <w:rFonts w:ascii="Calibri" w:hAnsi="Calibri"/>
                <w:color w:val="000000"/>
                <w:vertAlign w:val="superscript"/>
              </w:rPr>
              <w:t>3</w:t>
            </w:r>
          </w:p>
        </w:tc>
        <w:tc>
          <w:tcPr>
            <w:tcW w:w="3984" w:type="pct"/>
          </w:tcPr>
          <w:p w14:paraId="7E5C376C" w14:textId="77777777" w:rsidR="003A1560" w:rsidRPr="005B79AD" w:rsidRDefault="003A1560" w:rsidP="00755566">
            <w:pPr>
              <w:jc w:val="both"/>
              <w:rPr>
                <w:rFonts w:ascii="Calibri" w:hAnsi="Calibri"/>
                <w:color w:val="000000"/>
              </w:rPr>
            </w:pPr>
            <w:r w:rsidRPr="005B79AD">
              <w:rPr>
                <w:rFonts w:ascii="Calibri" w:hAnsi="Calibri"/>
                <w:color w:val="000000"/>
              </w:rPr>
              <w:t>HORMIGÓN PARA ARMAR HA-35 EN ALZADOS DE PILAS, ESTRIBOS, CABECEROS, VIGAS, TABLEROS, LOSAS, MUROS Y MARCOS.</w:t>
            </w:r>
          </w:p>
          <w:p w14:paraId="32C71FB9" w14:textId="77777777" w:rsidR="003A1560" w:rsidRPr="005B79AD" w:rsidRDefault="003A1560" w:rsidP="00755566">
            <w:pPr>
              <w:jc w:val="both"/>
              <w:rPr>
                <w:rFonts w:ascii="Calibri" w:hAnsi="Calibri"/>
                <w:color w:val="000000"/>
              </w:rPr>
            </w:pPr>
          </w:p>
        </w:tc>
      </w:tr>
      <w:tr w:rsidR="005240FA" w:rsidRPr="005864C2" w14:paraId="6DA040FC" w14:textId="77777777" w:rsidTr="00C91AB8">
        <w:trPr>
          <w:trHeight w:val="386"/>
        </w:trPr>
        <w:tc>
          <w:tcPr>
            <w:tcW w:w="703" w:type="pct"/>
            <w:noWrap/>
          </w:tcPr>
          <w:p w14:paraId="7EC46871" w14:textId="77777777" w:rsidR="005240FA" w:rsidRPr="005B79AD" w:rsidRDefault="005240FA" w:rsidP="0015400D">
            <w:pPr>
              <w:rPr>
                <w:rFonts w:ascii="Calibri" w:hAnsi="Calibri"/>
                <w:color w:val="000000"/>
              </w:rPr>
            </w:pPr>
            <w:r w:rsidRPr="005B79AD">
              <w:rPr>
                <w:rFonts w:ascii="Calibri" w:hAnsi="Calibri"/>
                <w:color w:val="000000"/>
              </w:rPr>
              <w:t xml:space="preserve">610.0220N         </w:t>
            </w:r>
          </w:p>
        </w:tc>
        <w:tc>
          <w:tcPr>
            <w:tcW w:w="313" w:type="pct"/>
            <w:noWrap/>
          </w:tcPr>
          <w:p w14:paraId="4FE7C2CB" w14:textId="77777777" w:rsidR="005240FA" w:rsidRPr="005B79AD" w:rsidRDefault="005240FA" w:rsidP="0015400D">
            <w:pPr>
              <w:rPr>
                <w:rFonts w:ascii="Calibri" w:hAnsi="Calibri"/>
                <w:color w:val="000000"/>
              </w:rPr>
            </w:pPr>
            <w:r w:rsidRPr="005B79AD">
              <w:rPr>
                <w:rFonts w:ascii="Calibri" w:hAnsi="Calibri"/>
                <w:color w:val="000000"/>
              </w:rPr>
              <w:t>m</w:t>
            </w:r>
            <w:r w:rsidRPr="005B79AD">
              <w:rPr>
                <w:rFonts w:ascii="Calibri" w:hAnsi="Calibri"/>
                <w:color w:val="000000"/>
                <w:vertAlign w:val="superscript"/>
              </w:rPr>
              <w:t>3</w:t>
            </w:r>
          </w:p>
        </w:tc>
        <w:tc>
          <w:tcPr>
            <w:tcW w:w="3984" w:type="pct"/>
          </w:tcPr>
          <w:p w14:paraId="0928B673" w14:textId="77777777" w:rsidR="005240FA" w:rsidRDefault="005240FA" w:rsidP="00C91AB8">
            <w:pPr>
              <w:jc w:val="both"/>
              <w:rPr>
                <w:rFonts w:ascii="Calibri" w:hAnsi="Calibri"/>
                <w:color w:val="000000"/>
              </w:rPr>
            </w:pPr>
            <w:r w:rsidRPr="005B79AD">
              <w:rPr>
                <w:rFonts w:ascii="Calibri" w:hAnsi="Calibri"/>
                <w:color w:val="000000"/>
              </w:rPr>
              <w:t>HORMIGÓN AISLANTE HLNE-150 (DENSIDAD 1400 KG/</w:t>
            </w:r>
            <w:r w:rsidR="00241CBC">
              <w:rPr>
                <w:rFonts w:ascii="Calibri" w:hAnsi="Calibri"/>
                <w:color w:val="000000"/>
              </w:rPr>
              <w:t>m</w:t>
            </w:r>
            <w:r w:rsidR="00241CBC">
              <w:rPr>
                <w:rFonts w:ascii="Calibri" w:hAnsi="Calibri"/>
                <w:color w:val="000000"/>
                <w:vertAlign w:val="superscript"/>
              </w:rPr>
              <w:t>3</w:t>
            </w:r>
            <w:r w:rsidRPr="005B79AD">
              <w:rPr>
                <w:rFonts w:ascii="Calibri" w:hAnsi="Calibri"/>
                <w:color w:val="000000"/>
              </w:rPr>
              <w:t xml:space="preserve">) CON CEMENTO CEM II 42,5 R, ARENA NATURAL Y ARCILLA EXPANDIDA EN </w:t>
            </w:r>
            <w:proofErr w:type="gramStart"/>
            <w:r w:rsidRPr="005B79AD">
              <w:rPr>
                <w:rFonts w:ascii="Calibri" w:hAnsi="Calibri"/>
                <w:color w:val="000000"/>
              </w:rPr>
              <w:t>SACOS,  0</w:t>
            </w:r>
            <w:proofErr w:type="gramEnd"/>
            <w:r w:rsidRPr="005B79AD">
              <w:rPr>
                <w:rFonts w:ascii="Calibri" w:hAnsi="Calibri"/>
                <w:color w:val="000000"/>
              </w:rPr>
              <w:t>,9% DE SUPERPLASTIFICANTE; INCLUSO APERTURA Y CIERRE DE JUNTAS DE CONTRACCIÓN Y ENCOFRADOS EN ZONAS DE JUNTAS ESTRUCTURALES. TOTALMENTE TERMINADO.</w:t>
            </w:r>
          </w:p>
          <w:p w14:paraId="79EBFEF0" w14:textId="77777777" w:rsidR="00C91AB8" w:rsidRPr="005B79AD" w:rsidRDefault="00C91AB8" w:rsidP="00C91AB8">
            <w:pPr>
              <w:jc w:val="both"/>
              <w:rPr>
                <w:rFonts w:ascii="Calibri" w:hAnsi="Calibri"/>
                <w:color w:val="000000"/>
              </w:rPr>
            </w:pPr>
          </w:p>
        </w:tc>
      </w:tr>
      <w:tr w:rsidR="00E128F9" w:rsidRPr="005864C2" w14:paraId="42DBEDAA" w14:textId="77777777" w:rsidTr="00C91AB8">
        <w:trPr>
          <w:trHeight w:val="386"/>
        </w:trPr>
        <w:tc>
          <w:tcPr>
            <w:tcW w:w="703" w:type="pct"/>
            <w:noWrap/>
          </w:tcPr>
          <w:p w14:paraId="37E9F0DE" w14:textId="77777777" w:rsidR="00E128F9" w:rsidRPr="00EC260E" w:rsidRDefault="00E128F9" w:rsidP="00154E71">
            <w:pPr>
              <w:rPr>
                <w:rFonts w:asciiTheme="minorHAnsi" w:hAnsiTheme="minorHAnsi" w:cstheme="minorHAnsi"/>
                <w:color w:val="000000"/>
              </w:rPr>
            </w:pPr>
            <w:r w:rsidRPr="00EC260E">
              <w:rPr>
                <w:rFonts w:asciiTheme="minorHAnsi" w:hAnsiTheme="minorHAnsi" w:cstheme="minorHAnsi"/>
                <w:color w:val="000000"/>
              </w:rPr>
              <w:t>610.0240N</w:t>
            </w:r>
          </w:p>
        </w:tc>
        <w:tc>
          <w:tcPr>
            <w:tcW w:w="313" w:type="pct"/>
            <w:noWrap/>
          </w:tcPr>
          <w:p w14:paraId="24CA4F17" w14:textId="77777777" w:rsidR="00E128F9" w:rsidRPr="00EC260E" w:rsidRDefault="00E128F9" w:rsidP="00154E71">
            <w:pPr>
              <w:rPr>
                <w:rFonts w:asciiTheme="minorHAnsi" w:hAnsiTheme="minorHAnsi" w:cstheme="minorHAnsi"/>
                <w:color w:val="000000"/>
                <w:vertAlign w:val="superscript"/>
              </w:rPr>
            </w:pPr>
            <w:r w:rsidRPr="00EC260E">
              <w:rPr>
                <w:rFonts w:asciiTheme="minorHAnsi" w:hAnsiTheme="minorHAnsi" w:cstheme="minorHAnsi"/>
                <w:color w:val="000000"/>
              </w:rPr>
              <w:t>m³</w:t>
            </w:r>
          </w:p>
        </w:tc>
        <w:tc>
          <w:tcPr>
            <w:tcW w:w="3984" w:type="pct"/>
          </w:tcPr>
          <w:p w14:paraId="0048E20D" w14:textId="77777777" w:rsidR="00E128F9" w:rsidRPr="00EC260E" w:rsidRDefault="00E128F9" w:rsidP="00154E71">
            <w:pPr>
              <w:jc w:val="both"/>
              <w:rPr>
                <w:rFonts w:asciiTheme="minorHAnsi" w:hAnsiTheme="minorHAnsi" w:cstheme="minorHAnsi"/>
                <w:color w:val="000000"/>
              </w:rPr>
            </w:pPr>
            <w:r w:rsidRPr="00EC260E">
              <w:rPr>
                <w:rFonts w:asciiTheme="minorHAnsi" w:hAnsiTheme="minorHAnsi" w:cstheme="minorHAnsi"/>
                <w:color w:val="000000"/>
              </w:rPr>
              <w:t xml:space="preserve">HORMIGÓN </w:t>
            </w:r>
            <w:proofErr w:type="gramStart"/>
            <w:r w:rsidRPr="00EC260E">
              <w:rPr>
                <w:rFonts w:asciiTheme="minorHAnsi" w:hAnsiTheme="minorHAnsi" w:cstheme="minorHAnsi"/>
                <w:color w:val="000000"/>
              </w:rPr>
              <w:t>PARA  ARMAR</w:t>
            </w:r>
            <w:proofErr w:type="gramEnd"/>
            <w:r w:rsidRPr="00EC260E">
              <w:rPr>
                <w:rFonts w:asciiTheme="minorHAnsi" w:hAnsiTheme="minorHAnsi" w:cstheme="minorHAnsi"/>
                <w:color w:val="000000"/>
              </w:rPr>
              <w:t xml:space="preserve"> H-25 EN CIMENTACIONES CON AMBIENTE </w:t>
            </w:r>
            <w:proofErr w:type="spellStart"/>
            <w:r w:rsidRPr="00EC260E">
              <w:rPr>
                <w:rFonts w:asciiTheme="minorHAnsi" w:hAnsiTheme="minorHAnsi" w:cstheme="minorHAnsi"/>
                <w:color w:val="000000"/>
              </w:rPr>
              <w:t>Qc</w:t>
            </w:r>
            <w:proofErr w:type="spellEnd"/>
          </w:p>
          <w:p w14:paraId="0714C526" w14:textId="77777777" w:rsidR="00E128F9" w:rsidRPr="00EC260E" w:rsidRDefault="00E128F9" w:rsidP="00154E71">
            <w:pPr>
              <w:jc w:val="both"/>
              <w:rPr>
                <w:rFonts w:asciiTheme="minorHAnsi" w:hAnsiTheme="minorHAnsi" w:cstheme="minorHAnsi"/>
                <w:color w:val="000000"/>
              </w:rPr>
            </w:pPr>
          </w:p>
        </w:tc>
      </w:tr>
      <w:tr w:rsidR="00E128F9" w:rsidRPr="005864C2" w14:paraId="196C9546" w14:textId="77777777" w:rsidTr="00C91AB8">
        <w:trPr>
          <w:trHeight w:val="386"/>
        </w:trPr>
        <w:tc>
          <w:tcPr>
            <w:tcW w:w="703" w:type="pct"/>
            <w:noWrap/>
          </w:tcPr>
          <w:p w14:paraId="0A397715" w14:textId="77777777" w:rsidR="00E128F9" w:rsidRPr="00EC260E" w:rsidRDefault="00E128F9" w:rsidP="00154E71">
            <w:pPr>
              <w:rPr>
                <w:rFonts w:asciiTheme="minorHAnsi" w:hAnsiTheme="minorHAnsi" w:cstheme="minorHAnsi"/>
                <w:color w:val="000000"/>
              </w:rPr>
            </w:pPr>
            <w:r w:rsidRPr="00EC260E">
              <w:rPr>
                <w:rFonts w:asciiTheme="minorHAnsi" w:hAnsiTheme="minorHAnsi" w:cstheme="minorHAnsi"/>
                <w:color w:val="000000"/>
              </w:rPr>
              <w:t>610.0250N</w:t>
            </w:r>
          </w:p>
        </w:tc>
        <w:tc>
          <w:tcPr>
            <w:tcW w:w="313" w:type="pct"/>
            <w:noWrap/>
          </w:tcPr>
          <w:p w14:paraId="599A0D23" w14:textId="77777777" w:rsidR="00E128F9" w:rsidRPr="00EC260E" w:rsidRDefault="00E128F9" w:rsidP="00154E71">
            <w:pPr>
              <w:rPr>
                <w:rFonts w:asciiTheme="minorHAnsi" w:hAnsiTheme="minorHAnsi" w:cstheme="minorHAnsi"/>
                <w:color w:val="000000"/>
              </w:rPr>
            </w:pPr>
            <w:r w:rsidRPr="00EC260E">
              <w:rPr>
                <w:rFonts w:asciiTheme="minorHAnsi" w:hAnsiTheme="minorHAnsi" w:cstheme="minorHAnsi"/>
                <w:color w:val="000000"/>
              </w:rPr>
              <w:t>m³</w:t>
            </w:r>
          </w:p>
        </w:tc>
        <w:tc>
          <w:tcPr>
            <w:tcW w:w="3984" w:type="pct"/>
          </w:tcPr>
          <w:p w14:paraId="05F6CD83" w14:textId="77777777" w:rsidR="00E128F9" w:rsidRPr="00EC260E" w:rsidRDefault="00E128F9" w:rsidP="00154E71">
            <w:pPr>
              <w:jc w:val="both"/>
              <w:rPr>
                <w:rFonts w:asciiTheme="minorHAnsi" w:hAnsiTheme="minorHAnsi" w:cstheme="minorHAnsi"/>
                <w:color w:val="000000"/>
              </w:rPr>
            </w:pPr>
            <w:r w:rsidRPr="00EC260E">
              <w:rPr>
                <w:rFonts w:asciiTheme="minorHAnsi" w:hAnsiTheme="minorHAnsi" w:cstheme="minorHAnsi"/>
                <w:color w:val="000000"/>
              </w:rPr>
              <w:t xml:space="preserve">HORMIGÓN PARA ARMAR HA-30 EN CIMENTACIONES CON AMBIENTE </w:t>
            </w:r>
            <w:proofErr w:type="spellStart"/>
            <w:r w:rsidRPr="00EC260E">
              <w:rPr>
                <w:rFonts w:asciiTheme="minorHAnsi" w:hAnsiTheme="minorHAnsi" w:cstheme="minorHAnsi"/>
                <w:color w:val="000000"/>
              </w:rPr>
              <w:t>Qc</w:t>
            </w:r>
            <w:proofErr w:type="spellEnd"/>
          </w:p>
          <w:p w14:paraId="6836CD3D" w14:textId="77777777" w:rsidR="00E128F9" w:rsidRPr="00EC260E" w:rsidRDefault="00E128F9" w:rsidP="00154E71">
            <w:pPr>
              <w:jc w:val="both"/>
              <w:rPr>
                <w:rFonts w:asciiTheme="minorHAnsi" w:hAnsiTheme="minorHAnsi" w:cstheme="minorHAnsi"/>
                <w:color w:val="000000"/>
              </w:rPr>
            </w:pPr>
          </w:p>
        </w:tc>
      </w:tr>
      <w:tr w:rsidR="00DE6646" w:rsidRPr="005864C2" w14:paraId="5B9936A4" w14:textId="77777777" w:rsidTr="00C91AB8">
        <w:trPr>
          <w:trHeight w:val="575"/>
        </w:trPr>
        <w:tc>
          <w:tcPr>
            <w:tcW w:w="703" w:type="pct"/>
            <w:noWrap/>
          </w:tcPr>
          <w:p w14:paraId="75A7586C" w14:textId="77777777" w:rsidR="00DE6646" w:rsidRPr="005B79AD" w:rsidRDefault="00DE6646" w:rsidP="0015400D">
            <w:pPr>
              <w:rPr>
                <w:rFonts w:ascii="Calibri" w:hAnsi="Calibri" w:cs="Calibri"/>
                <w:color w:val="000000"/>
              </w:rPr>
            </w:pPr>
            <w:r w:rsidRPr="005B79AD">
              <w:rPr>
                <w:rFonts w:ascii="Calibri" w:hAnsi="Calibri" w:cs="Calibri"/>
                <w:color w:val="000000"/>
              </w:rPr>
              <w:t xml:space="preserve">804.0100          </w:t>
            </w:r>
          </w:p>
        </w:tc>
        <w:tc>
          <w:tcPr>
            <w:tcW w:w="313" w:type="pct"/>
            <w:noWrap/>
          </w:tcPr>
          <w:p w14:paraId="2FF817B4" w14:textId="77777777" w:rsidR="00DE6646" w:rsidRPr="005B79AD" w:rsidRDefault="00DE6646" w:rsidP="0015400D">
            <w:pPr>
              <w:rPr>
                <w:rFonts w:ascii="Calibri" w:hAnsi="Calibri" w:cs="Calibri"/>
                <w:color w:val="000000"/>
              </w:rPr>
            </w:pPr>
            <w:r w:rsidRPr="005B79AD">
              <w:rPr>
                <w:rFonts w:ascii="Calibri" w:hAnsi="Calibri" w:cs="Calibri"/>
                <w:color w:val="000000"/>
              </w:rPr>
              <w:t>m³</w:t>
            </w:r>
          </w:p>
        </w:tc>
        <w:tc>
          <w:tcPr>
            <w:tcW w:w="3984" w:type="pct"/>
          </w:tcPr>
          <w:p w14:paraId="5BB22097" w14:textId="77777777" w:rsidR="00DE6646" w:rsidRPr="005B79AD" w:rsidRDefault="00DE6646" w:rsidP="00531952">
            <w:pPr>
              <w:jc w:val="both"/>
              <w:rPr>
                <w:rFonts w:ascii="Calibri" w:hAnsi="Calibri" w:cs="Calibri"/>
                <w:color w:val="000000"/>
              </w:rPr>
            </w:pPr>
            <w:r w:rsidRPr="005B79AD">
              <w:rPr>
                <w:rFonts w:ascii="Calibri" w:hAnsi="Calibri" w:cs="Calibri"/>
                <w:color w:val="000000"/>
              </w:rPr>
              <w:t>HORMIGÓN NO ESTRUCTURAL HNE-20 EN ACERAS Y RELLENOS</w:t>
            </w:r>
          </w:p>
        </w:tc>
      </w:tr>
    </w:tbl>
    <w:p w14:paraId="1FD2201A" w14:textId="77777777" w:rsidR="005240FA" w:rsidRDefault="005240FA" w:rsidP="005240FA">
      <w:pPr>
        <w:pStyle w:val="NORMAL12"/>
      </w:pPr>
      <w:r>
        <w:t>Los trabajos que se incluyen en la Unidad son:</w:t>
      </w:r>
    </w:p>
    <w:p w14:paraId="5B2635D9" w14:textId="77777777" w:rsidR="005240FA" w:rsidRDefault="005240FA" w:rsidP="00531952">
      <w:pPr>
        <w:pStyle w:val="NORMAL12"/>
        <w:numPr>
          <w:ilvl w:val="0"/>
          <w:numId w:val="72"/>
        </w:numPr>
        <w:ind w:left="714" w:hanging="357"/>
        <w:contextualSpacing/>
      </w:pPr>
      <w:r>
        <w:t>Suministro del hormigón</w:t>
      </w:r>
    </w:p>
    <w:p w14:paraId="63ECACB5" w14:textId="77777777" w:rsidR="005240FA" w:rsidRDefault="005240FA" w:rsidP="00531952">
      <w:pPr>
        <w:pStyle w:val="NORMAL12"/>
        <w:numPr>
          <w:ilvl w:val="0"/>
          <w:numId w:val="72"/>
        </w:numPr>
        <w:ind w:left="714" w:hanging="357"/>
        <w:contextualSpacing/>
      </w:pPr>
      <w:r>
        <w:t>Comprobación de la plasticidad del hormigón y toma de muestras según las especificaciones de frecuencia de muestreo indicadas en el control de calidad.</w:t>
      </w:r>
    </w:p>
    <w:p w14:paraId="09AA84A8" w14:textId="77777777" w:rsidR="005240FA" w:rsidRDefault="005240FA" w:rsidP="00531952">
      <w:pPr>
        <w:pStyle w:val="NORMAL12"/>
        <w:numPr>
          <w:ilvl w:val="0"/>
          <w:numId w:val="72"/>
        </w:numPr>
        <w:ind w:left="714" w:hanging="357"/>
        <w:contextualSpacing/>
      </w:pPr>
      <w:r>
        <w:t>Preparación de las juntas de hormigonado, mediante limpieza y eliminación de lechadas de mortero y aplicación, si es necesario, de los productos específicos para juntas de hormigonado.</w:t>
      </w:r>
    </w:p>
    <w:p w14:paraId="6DAFDFE5" w14:textId="77777777" w:rsidR="005240FA" w:rsidRDefault="005240FA" w:rsidP="00531952">
      <w:pPr>
        <w:pStyle w:val="NORMAL12"/>
        <w:numPr>
          <w:ilvl w:val="0"/>
          <w:numId w:val="72"/>
        </w:numPr>
        <w:ind w:left="714" w:hanging="357"/>
        <w:contextualSpacing/>
      </w:pPr>
      <w:r>
        <w:t>Vertido y compactación del hormigón.</w:t>
      </w:r>
    </w:p>
    <w:p w14:paraId="0F2D3D3F" w14:textId="77777777" w:rsidR="005240FA" w:rsidRDefault="005240FA" w:rsidP="00531952">
      <w:pPr>
        <w:pStyle w:val="NORMAL12"/>
        <w:numPr>
          <w:ilvl w:val="0"/>
          <w:numId w:val="72"/>
        </w:numPr>
        <w:ind w:left="714" w:hanging="357"/>
        <w:contextualSpacing/>
      </w:pPr>
      <w:r>
        <w:t>Curado del hormigón.</w:t>
      </w:r>
    </w:p>
    <w:p w14:paraId="55934079" w14:textId="77777777" w:rsidR="005240FA" w:rsidRDefault="005240FA" w:rsidP="000313DD">
      <w:pPr>
        <w:pStyle w:val="TITU2"/>
      </w:pPr>
      <w:bookmarkStart w:id="672" w:name="_Toc492537784"/>
      <w:bookmarkStart w:id="673" w:name="_Toc400741540"/>
      <w:bookmarkStart w:id="674" w:name="_Toc399508993"/>
      <w:bookmarkStart w:id="675" w:name="_Toc404403"/>
      <w:r w:rsidRPr="006B30E4">
        <w:t>610.2.</w:t>
      </w:r>
      <w:r w:rsidRPr="006B30E4">
        <w:tab/>
      </w:r>
      <w:r>
        <w:t xml:space="preserve"> </w:t>
      </w:r>
      <w:r w:rsidRPr="006B30E4">
        <w:t>Materiales</w:t>
      </w:r>
      <w:bookmarkEnd w:id="672"/>
      <w:bookmarkEnd w:id="673"/>
      <w:bookmarkEnd w:id="674"/>
      <w:bookmarkEnd w:id="675"/>
    </w:p>
    <w:p w14:paraId="0D1D50B4" w14:textId="77777777" w:rsidR="005240FA" w:rsidRDefault="005240FA" w:rsidP="005240FA">
      <w:pPr>
        <w:pStyle w:val="NORMAL12"/>
      </w:pPr>
      <w:r>
        <w:t>Los materiales deberán cumplir lo estipulado en la instrucción de hormigón estructural EHE-08. En particular, serán de aplicación los siguientes artículos y normas:</w:t>
      </w:r>
    </w:p>
    <w:p w14:paraId="38ADCEB3" w14:textId="77777777" w:rsidR="005240FA" w:rsidRPr="006B30E4" w:rsidRDefault="005240FA" w:rsidP="005240FA">
      <w:pPr>
        <w:pStyle w:val="NORMAL12"/>
        <w:rPr>
          <w:i/>
          <w:u w:val="single"/>
        </w:rPr>
      </w:pPr>
      <w:r w:rsidRPr="006B30E4">
        <w:rPr>
          <w:i/>
          <w:u w:val="single"/>
        </w:rPr>
        <w:t>Cementos:</w:t>
      </w:r>
    </w:p>
    <w:p w14:paraId="7EDF838A" w14:textId="77777777" w:rsidR="005240FA" w:rsidRDefault="005240FA" w:rsidP="005240FA">
      <w:pPr>
        <w:pStyle w:val="NORMAL12"/>
      </w:pPr>
      <w:r>
        <w:t xml:space="preserve">Los cementos cumplirán la vigente Instrucción para la Recepción de Cementos y las prescripciones de la EHE-08. La utilización de cementos se ajustará a lo indicado en la siguiente tabla, salvo indicación contraria en planos o del </w:t>
      </w:r>
      <w:proofErr w:type="gramStart"/>
      <w:r>
        <w:t>Director</w:t>
      </w:r>
      <w:proofErr w:type="gramEnd"/>
      <w:r>
        <w:t xml:space="preserve"> de Obra: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76"/>
        <w:gridCol w:w="4677"/>
      </w:tblGrid>
      <w:tr w:rsidR="005240FA" w14:paraId="5173EBA2" w14:textId="77777777" w:rsidTr="008F328B">
        <w:trPr>
          <w:jc w:val="center"/>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FC62F28" w14:textId="77777777" w:rsidR="005240FA" w:rsidRPr="001013FE" w:rsidRDefault="005240FA" w:rsidP="0015400D">
            <w:pPr>
              <w:pStyle w:val="LCATabla"/>
              <w:spacing w:line="360" w:lineRule="auto"/>
              <w:jc w:val="center"/>
              <w:rPr>
                <w:rFonts w:ascii="Arial" w:hAnsi="Arial" w:cs="Arial"/>
                <w:b/>
                <w:sz w:val="20"/>
              </w:rPr>
            </w:pPr>
            <w:r w:rsidRPr="001013FE">
              <w:rPr>
                <w:rFonts w:ascii="Arial" w:hAnsi="Arial" w:cs="Arial"/>
                <w:b/>
                <w:sz w:val="20"/>
              </w:rPr>
              <w:t>Tipo de Hormigón</w:t>
            </w:r>
          </w:p>
        </w:tc>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0BEC45" w14:textId="77777777" w:rsidR="005240FA" w:rsidRPr="001013FE" w:rsidRDefault="005240FA" w:rsidP="0015400D">
            <w:pPr>
              <w:pStyle w:val="LCATabla"/>
              <w:spacing w:line="360" w:lineRule="auto"/>
              <w:jc w:val="center"/>
              <w:rPr>
                <w:rFonts w:ascii="Arial" w:hAnsi="Arial" w:cs="Arial"/>
                <w:b/>
                <w:sz w:val="20"/>
              </w:rPr>
            </w:pPr>
            <w:r w:rsidRPr="001013FE">
              <w:rPr>
                <w:rFonts w:ascii="Arial" w:hAnsi="Arial" w:cs="Arial"/>
                <w:b/>
                <w:sz w:val="20"/>
              </w:rPr>
              <w:t>Tipo de cemento</w:t>
            </w:r>
          </w:p>
        </w:tc>
      </w:tr>
      <w:tr w:rsidR="005240FA" w14:paraId="249BC2D5" w14:textId="77777777" w:rsidTr="008F328B">
        <w:trPr>
          <w:trHeight w:val="510"/>
          <w:jc w:val="center"/>
        </w:trPr>
        <w:tc>
          <w:tcPr>
            <w:tcW w:w="2500" w:type="pct"/>
            <w:tcBorders>
              <w:top w:val="single" w:sz="4" w:space="0" w:color="auto"/>
              <w:left w:val="single" w:sz="4" w:space="0" w:color="auto"/>
              <w:bottom w:val="single" w:sz="4" w:space="0" w:color="auto"/>
              <w:right w:val="single" w:sz="4" w:space="0" w:color="auto"/>
            </w:tcBorders>
            <w:vAlign w:val="center"/>
            <w:hideMark/>
          </w:tcPr>
          <w:p w14:paraId="67237426" w14:textId="77777777" w:rsidR="005240FA" w:rsidRPr="001013FE" w:rsidRDefault="005240FA" w:rsidP="00531952">
            <w:pPr>
              <w:pStyle w:val="LCATabla"/>
              <w:spacing w:line="312" w:lineRule="auto"/>
              <w:rPr>
                <w:rFonts w:ascii="Arial" w:hAnsi="Arial" w:cs="Arial"/>
                <w:sz w:val="20"/>
              </w:rPr>
            </w:pPr>
            <w:r w:rsidRPr="001013FE">
              <w:rPr>
                <w:rFonts w:ascii="Arial" w:hAnsi="Arial" w:cs="Arial"/>
                <w:sz w:val="20"/>
              </w:rPr>
              <w:t>Elementos en contacto con el terreno</w:t>
            </w:r>
          </w:p>
        </w:tc>
        <w:tc>
          <w:tcPr>
            <w:tcW w:w="2500" w:type="pct"/>
            <w:tcBorders>
              <w:top w:val="single" w:sz="4" w:space="0" w:color="auto"/>
              <w:left w:val="single" w:sz="4" w:space="0" w:color="auto"/>
              <w:bottom w:val="single" w:sz="4" w:space="0" w:color="auto"/>
              <w:right w:val="single" w:sz="4" w:space="0" w:color="auto"/>
            </w:tcBorders>
            <w:hideMark/>
          </w:tcPr>
          <w:p w14:paraId="562BCEE3" w14:textId="77777777" w:rsidR="005240FA" w:rsidRPr="001013FE" w:rsidRDefault="005240FA" w:rsidP="00531952">
            <w:pPr>
              <w:pStyle w:val="LCATabla"/>
              <w:spacing w:line="312" w:lineRule="auto"/>
              <w:rPr>
                <w:rFonts w:ascii="Arial" w:hAnsi="Arial" w:cs="Arial"/>
                <w:sz w:val="20"/>
              </w:rPr>
            </w:pPr>
            <w:r w:rsidRPr="001013FE">
              <w:rPr>
                <w:rFonts w:ascii="Arial" w:hAnsi="Arial" w:cs="Arial"/>
                <w:sz w:val="20"/>
              </w:rPr>
              <w:t xml:space="preserve">CEM I 32.5 </w:t>
            </w:r>
            <w:proofErr w:type="spellStart"/>
            <w:r w:rsidRPr="001013FE">
              <w:rPr>
                <w:rFonts w:ascii="Arial" w:hAnsi="Arial" w:cs="Arial"/>
                <w:sz w:val="20"/>
              </w:rPr>
              <w:t>ó</w:t>
            </w:r>
            <w:proofErr w:type="spellEnd"/>
            <w:r w:rsidRPr="001013FE">
              <w:rPr>
                <w:rFonts w:ascii="Arial" w:hAnsi="Arial" w:cs="Arial"/>
                <w:sz w:val="20"/>
              </w:rPr>
              <w:t xml:space="preserve"> 32.5R</w:t>
            </w:r>
          </w:p>
          <w:p w14:paraId="69ACC8AF" w14:textId="77777777" w:rsidR="005240FA" w:rsidRPr="001013FE" w:rsidRDefault="005240FA" w:rsidP="003565C1">
            <w:pPr>
              <w:pStyle w:val="LCATabla"/>
              <w:spacing w:line="312" w:lineRule="auto"/>
              <w:rPr>
                <w:rFonts w:ascii="Arial" w:hAnsi="Arial" w:cs="Arial"/>
                <w:sz w:val="20"/>
              </w:rPr>
            </w:pPr>
            <w:r w:rsidRPr="001013FE">
              <w:rPr>
                <w:rFonts w:ascii="Arial" w:hAnsi="Arial" w:cs="Arial"/>
                <w:sz w:val="20"/>
              </w:rPr>
              <w:t>En aquellos casos que así se indique en planos o por indicación de la D.O., se empleará cemento puzolánico CEM II</w:t>
            </w:r>
            <w:r w:rsidR="003565C1">
              <w:rPr>
                <w:rFonts w:ascii="Arial" w:hAnsi="Arial" w:cs="Arial"/>
                <w:sz w:val="20"/>
              </w:rPr>
              <w:t xml:space="preserve"> de los tipos indicados en la tabla A.4.5 del Anejo 4 de la EHE</w:t>
            </w:r>
          </w:p>
        </w:tc>
      </w:tr>
      <w:tr w:rsidR="005240FA" w14:paraId="6E83B8BE" w14:textId="77777777" w:rsidTr="008F328B">
        <w:trPr>
          <w:trHeight w:val="510"/>
          <w:jc w:val="center"/>
        </w:trPr>
        <w:tc>
          <w:tcPr>
            <w:tcW w:w="2500" w:type="pct"/>
            <w:tcBorders>
              <w:top w:val="single" w:sz="4" w:space="0" w:color="auto"/>
              <w:left w:val="single" w:sz="4" w:space="0" w:color="auto"/>
              <w:bottom w:val="single" w:sz="4" w:space="0" w:color="auto"/>
              <w:right w:val="single" w:sz="4" w:space="0" w:color="auto"/>
            </w:tcBorders>
            <w:vAlign w:val="center"/>
            <w:hideMark/>
          </w:tcPr>
          <w:p w14:paraId="068E3661" w14:textId="77777777" w:rsidR="005240FA" w:rsidRPr="001013FE" w:rsidRDefault="005240FA" w:rsidP="00531952">
            <w:pPr>
              <w:pStyle w:val="LCATabla"/>
              <w:spacing w:line="312" w:lineRule="auto"/>
              <w:rPr>
                <w:rFonts w:ascii="Arial" w:hAnsi="Arial" w:cs="Arial"/>
                <w:sz w:val="20"/>
              </w:rPr>
            </w:pPr>
            <w:r w:rsidRPr="001013FE">
              <w:rPr>
                <w:rFonts w:ascii="Arial" w:hAnsi="Arial" w:cs="Arial"/>
                <w:sz w:val="20"/>
              </w:rPr>
              <w:t>Resto de elementos de hormigón armado</w:t>
            </w:r>
          </w:p>
        </w:tc>
        <w:tc>
          <w:tcPr>
            <w:tcW w:w="2500" w:type="pct"/>
            <w:tcBorders>
              <w:top w:val="single" w:sz="4" w:space="0" w:color="auto"/>
              <w:left w:val="single" w:sz="4" w:space="0" w:color="auto"/>
              <w:bottom w:val="single" w:sz="4" w:space="0" w:color="auto"/>
              <w:right w:val="single" w:sz="4" w:space="0" w:color="auto"/>
            </w:tcBorders>
            <w:vAlign w:val="center"/>
            <w:hideMark/>
          </w:tcPr>
          <w:p w14:paraId="18C8E847" w14:textId="77777777" w:rsidR="005240FA" w:rsidRPr="001013FE" w:rsidRDefault="005240FA" w:rsidP="00531952">
            <w:pPr>
              <w:pStyle w:val="LCATabla"/>
              <w:spacing w:line="312" w:lineRule="auto"/>
              <w:rPr>
                <w:rFonts w:ascii="Arial" w:hAnsi="Arial" w:cs="Arial"/>
                <w:sz w:val="20"/>
              </w:rPr>
            </w:pPr>
            <w:r w:rsidRPr="001013FE">
              <w:rPr>
                <w:rFonts w:ascii="Arial" w:hAnsi="Arial" w:cs="Arial"/>
                <w:sz w:val="20"/>
              </w:rPr>
              <w:t xml:space="preserve">CEM I 32.5 </w:t>
            </w:r>
            <w:proofErr w:type="spellStart"/>
            <w:r w:rsidRPr="001013FE">
              <w:rPr>
                <w:rFonts w:ascii="Arial" w:hAnsi="Arial" w:cs="Arial"/>
                <w:sz w:val="20"/>
              </w:rPr>
              <w:t>ó</w:t>
            </w:r>
            <w:proofErr w:type="spellEnd"/>
            <w:r w:rsidRPr="001013FE">
              <w:rPr>
                <w:rFonts w:ascii="Arial" w:hAnsi="Arial" w:cs="Arial"/>
                <w:sz w:val="20"/>
              </w:rPr>
              <w:t xml:space="preserve"> 32.5R</w:t>
            </w:r>
          </w:p>
        </w:tc>
      </w:tr>
      <w:tr w:rsidR="005240FA" w14:paraId="366C84A1" w14:textId="77777777" w:rsidTr="008F328B">
        <w:trPr>
          <w:trHeight w:val="510"/>
          <w:jc w:val="center"/>
        </w:trPr>
        <w:tc>
          <w:tcPr>
            <w:tcW w:w="2500" w:type="pct"/>
            <w:tcBorders>
              <w:top w:val="single" w:sz="4" w:space="0" w:color="auto"/>
              <w:left w:val="single" w:sz="4" w:space="0" w:color="auto"/>
              <w:bottom w:val="single" w:sz="4" w:space="0" w:color="auto"/>
              <w:right w:val="single" w:sz="4" w:space="0" w:color="auto"/>
            </w:tcBorders>
            <w:vAlign w:val="center"/>
            <w:hideMark/>
          </w:tcPr>
          <w:p w14:paraId="4E533FC4" w14:textId="77777777" w:rsidR="005240FA" w:rsidRPr="001013FE" w:rsidRDefault="005240FA" w:rsidP="00531952">
            <w:pPr>
              <w:pStyle w:val="LCATabla"/>
              <w:spacing w:line="312" w:lineRule="auto"/>
              <w:rPr>
                <w:rFonts w:ascii="Arial" w:hAnsi="Arial" w:cs="Arial"/>
                <w:sz w:val="20"/>
              </w:rPr>
            </w:pPr>
            <w:r w:rsidRPr="001013FE">
              <w:rPr>
                <w:rFonts w:ascii="Arial" w:hAnsi="Arial" w:cs="Arial"/>
                <w:sz w:val="20"/>
              </w:rPr>
              <w:t>Elementos de hormigón pretensado</w:t>
            </w:r>
          </w:p>
        </w:tc>
        <w:tc>
          <w:tcPr>
            <w:tcW w:w="2500" w:type="pct"/>
            <w:tcBorders>
              <w:top w:val="single" w:sz="4" w:space="0" w:color="auto"/>
              <w:left w:val="single" w:sz="4" w:space="0" w:color="auto"/>
              <w:bottom w:val="single" w:sz="4" w:space="0" w:color="auto"/>
              <w:right w:val="single" w:sz="4" w:space="0" w:color="auto"/>
            </w:tcBorders>
            <w:hideMark/>
          </w:tcPr>
          <w:p w14:paraId="6AC22E06" w14:textId="77777777" w:rsidR="005240FA" w:rsidRPr="001013FE" w:rsidRDefault="005240FA" w:rsidP="00531952">
            <w:pPr>
              <w:pStyle w:val="LCATabla"/>
              <w:spacing w:line="312" w:lineRule="auto"/>
              <w:rPr>
                <w:rFonts w:ascii="Arial" w:hAnsi="Arial" w:cs="Arial"/>
                <w:sz w:val="20"/>
              </w:rPr>
            </w:pPr>
            <w:r w:rsidRPr="001013FE">
              <w:rPr>
                <w:rFonts w:ascii="Arial" w:hAnsi="Arial" w:cs="Arial"/>
                <w:sz w:val="20"/>
              </w:rPr>
              <w:t xml:space="preserve">Cementos comunes de los tipos CEM I y CEM II/A-D, de la clase 42.5 </w:t>
            </w:r>
            <w:proofErr w:type="spellStart"/>
            <w:r w:rsidRPr="001013FE">
              <w:rPr>
                <w:rFonts w:ascii="Arial" w:hAnsi="Arial" w:cs="Arial"/>
                <w:sz w:val="20"/>
              </w:rPr>
              <w:t>ó</w:t>
            </w:r>
            <w:proofErr w:type="spellEnd"/>
            <w:r w:rsidRPr="001013FE">
              <w:rPr>
                <w:rFonts w:ascii="Arial" w:hAnsi="Arial" w:cs="Arial"/>
                <w:sz w:val="20"/>
              </w:rPr>
              <w:t xml:space="preserve"> 42.5R</w:t>
            </w:r>
          </w:p>
        </w:tc>
      </w:tr>
    </w:tbl>
    <w:p w14:paraId="7C28F644" w14:textId="77777777" w:rsidR="005240FA" w:rsidRDefault="005240FA" w:rsidP="005240FA">
      <w:pPr>
        <w:rPr>
          <w:rFonts w:ascii="Arial" w:hAnsi="Arial"/>
          <w:sz w:val="22"/>
          <w:szCs w:val="20"/>
        </w:rPr>
      </w:pPr>
    </w:p>
    <w:p w14:paraId="4A7C907B" w14:textId="77777777" w:rsidR="005240FA" w:rsidRDefault="005240FA" w:rsidP="005240FA">
      <w:pPr>
        <w:pStyle w:val="NORMAL12"/>
      </w:pPr>
      <w:r>
        <w:t>Las condiciones de suministro, almacenamiento y utilización de cementos se ajustarán a las prescripciones de EHE-08.</w:t>
      </w:r>
    </w:p>
    <w:p w14:paraId="27BF893D" w14:textId="77777777" w:rsidR="005240FA" w:rsidRDefault="005240FA" w:rsidP="005240FA">
      <w:pPr>
        <w:pStyle w:val="NORMAL12"/>
      </w:pPr>
      <w:r>
        <w:lastRenderedPageBreak/>
        <w:t>Todas las partidas de cemento suministradas vendrán acompañadas del preceptivo marcado CE.</w:t>
      </w:r>
    </w:p>
    <w:p w14:paraId="7A00B8BB" w14:textId="77777777" w:rsidR="005240FA" w:rsidRPr="006B30E4" w:rsidRDefault="005240FA" w:rsidP="005240FA">
      <w:pPr>
        <w:pStyle w:val="NORMAL12"/>
        <w:rPr>
          <w:i/>
          <w:u w:val="single"/>
        </w:rPr>
      </w:pPr>
      <w:r w:rsidRPr="006B30E4">
        <w:rPr>
          <w:i/>
          <w:u w:val="single"/>
        </w:rPr>
        <w:t>Agua</w:t>
      </w:r>
    </w:p>
    <w:p w14:paraId="08BBDA65" w14:textId="77777777" w:rsidR="005240FA" w:rsidRDefault="005240FA" w:rsidP="005240FA">
      <w:pPr>
        <w:pStyle w:val="NORMAL12"/>
      </w:pPr>
      <w:r>
        <w:t>Se prohíbe expresamente el empleo de agua de mar para el amasado o curado del hormigón armado o pretensado. Podrá, sin embargo, emplearse agua de mar o aguas salinas análogas para amasados y curados del hormigón en masa que no contenga armadura alguna.</w:t>
      </w:r>
    </w:p>
    <w:p w14:paraId="29B5FCEE" w14:textId="77777777" w:rsidR="005240FA" w:rsidRDefault="005240FA" w:rsidP="005240FA">
      <w:pPr>
        <w:pStyle w:val="NORMAL12"/>
      </w:pPr>
      <w:r>
        <w:t>La utilización de agua para el amasado y curado se ajustará a las prescripciones de la EHE-08.</w:t>
      </w:r>
    </w:p>
    <w:p w14:paraId="45B4FEB1" w14:textId="77777777" w:rsidR="005240FA" w:rsidRPr="006B30E4" w:rsidRDefault="005240FA" w:rsidP="005240FA">
      <w:pPr>
        <w:pStyle w:val="NORMAL12"/>
        <w:keepNext/>
        <w:rPr>
          <w:i/>
          <w:u w:val="single"/>
        </w:rPr>
      </w:pPr>
      <w:r w:rsidRPr="006B30E4">
        <w:rPr>
          <w:i/>
          <w:u w:val="single"/>
        </w:rPr>
        <w:t>Áridos</w:t>
      </w:r>
    </w:p>
    <w:p w14:paraId="4B9BAA09" w14:textId="77777777" w:rsidR="005240FA" w:rsidRDefault="005240FA" w:rsidP="005240FA">
      <w:pPr>
        <w:pStyle w:val="NORMAL12"/>
      </w:pPr>
      <w:r>
        <w:t>Se prohíbe expresamente el empleo de áridos que contengan sulfuros oxidables. Podrán emplearse como áridos para la fabricación de hormigones, arenas y gravas existentes en yacimientos naturales, rocas machacadas o escorias siderúrgicas apropiadas.</w:t>
      </w:r>
    </w:p>
    <w:p w14:paraId="2DD6FE07" w14:textId="77777777" w:rsidR="005240FA" w:rsidRDefault="005240FA" w:rsidP="005240FA">
      <w:pPr>
        <w:pStyle w:val="NORMAL12"/>
      </w:pPr>
      <w:r>
        <w:t>Las condiciones de los áridos en cuanto a designación, tamaño, suministro y almacenamiento se ajustarán a las especificaciones de EHE-08.</w:t>
      </w:r>
    </w:p>
    <w:p w14:paraId="2BDC1575" w14:textId="77777777" w:rsidR="005240FA" w:rsidRDefault="005240FA" w:rsidP="005240FA">
      <w:pPr>
        <w:pStyle w:val="NORMAL12"/>
      </w:pPr>
      <w:r>
        <w:t>Los áridos provenientes de cantera dispondrán del preceptivo marcado CE.</w:t>
      </w:r>
    </w:p>
    <w:p w14:paraId="352FE4D9" w14:textId="77777777" w:rsidR="005240FA" w:rsidRPr="00AB0476" w:rsidRDefault="005240FA" w:rsidP="005240FA">
      <w:pPr>
        <w:pStyle w:val="NORMAL12"/>
        <w:rPr>
          <w:i/>
          <w:u w:val="single"/>
        </w:rPr>
      </w:pPr>
      <w:r w:rsidRPr="00AB0476">
        <w:rPr>
          <w:i/>
          <w:u w:val="single"/>
        </w:rPr>
        <w:t>Aditivos y otros componentes del hormigón</w:t>
      </w:r>
    </w:p>
    <w:p w14:paraId="096B2D48" w14:textId="77777777" w:rsidR="005240FA" w:rsidRDefault="005240FA" w:rsidP="005240FA">
      <w:pPr>
        <w:pStyle w:val="NORMAL12"/>
      </w:pPr>
      <w:r>
        <w:t>El empleo de adiciones o aditivos no podrá hacerse en ningún caso sin el conocimiento del peticionario y la expresa autorización de la Dirección de Obra. La utilización de aditivos se ajustará a lo dispuesto en la Instrucción EHE-08.</w:t>
      </w:r>
    </w:p>
    <w:p w14:paraId="6FB4CB77" w14:textId="77777777" w:rsidR="005240FA" w:rsidRDefault="005240FA" w:rsidP="005240FA">
      <w:pPr>
        <w:pStyle w:val="NORMAL12"/>
      </w:pPr>
      <w:r>
        <w:t>Las especificaciones de los aditivos y condiciones de suministro y almacenamiento se ajustarán a lo expuesto en la citada EHE.</w:t>
      </w:r>
    </w:p>
    <w:p w14:paraId="05EE89CC" w14:textId="77777777" w:rsidR="005240FA" w:rsidRDefault="005240FA" w:rsidP="005240FA">
      <w:pPr>
        <w:pStyle w:val="NORMAL12"/>
      </w:pPr>
      <w:r>
        <w:t>Se tendrán en cuenta además las siguientes condiciones de utilización de los aditivos:</w:t>
      </w:r>
    </w:p>
    <w:p w14:paraId="2B290A70" w14:textId="77777777" w:rsidR="005240FA" w:rsidRDefault="005240FA" w:rsidP="005240FA">
      <w:pPr>
        <w:pStyle w:val="NORMAL12"/>
        <w:numPr>
          <w:ilvl w:val="0"/>
          <w:numId w:val="73"/>
        </w:numPr>
      </w:pPr>
      <w:r>
        <w:t>En los hormigones armados o pretensados no podrán utilizarse como aditivos el cloruro cálcico ni en general productos en cuya composición intervengan cloruros, sulfuros, sulfitos u otros componentes químicos que puedan ocasionar o favorecer la corrosión de las armaduras.</w:t>
      </w:r>
    </w:p>
    <w:p w14:paraId="60822E6C" w14:textId="77777777" w:rsidR="005240FA" w:rsidRDefault="005240FA" w:rsidP="005240FA">
      <w:pPr>
        <w:pStyle w:val="NORMAL12"/>
        <w:numPr>
          <w:ilvl w:val="0"/>
          <w:numId w:val="73"/>
        </w:numPr>
      </w:pPr>
      <w:r>
        <w:t xml:space="preserve">En los elementos pretensados mediante armaduras ancladas exclusivamente por adherencia, no podrán utilizarse aditivos que contengan carácter de </w:t>
      </w:r>
      <w:proofErr w:type="spellStart"/>
      <w:r>
        <w:t>aireantes</w:t>
      </w:r>
      <w:proofErr w:type="spellEnd"/>
      <w:r>
        <w:t>. Estos productos podrían perjudicar la adherencia entre el hormigón y la armadura.</w:t>
      </w:r>
    </w:p>
    <w:p w14:paraId="7D3BC6DD" w14:textId="77777777" w:rsidR="005240FA" w:rsidRDefault="008F328B" w:rsidP="000313DD">
      <w:pPr>
        <w:pStyle w:val="TITU2"/>
      </w:pPr>
      <w:bookmarkStart w:id="676" w:name="_Toc492537785"/>
      <w:bookmarkStart w:id="677" w:name="_Toc400741541"/>
      <w:bookmarkStart w:id="678" w:name="_Toc399508994"/>
      <w:bookmarkStart w:id="679" w:name="_Toc404404"/>
      <w:r>
        <w:t xml:space="preserve">610.3. </w:t>
      </w:r>
      <w:r w:rsidR="005240FA" w:rsidRPr="00E008E1">
        <w:tab/>
        <w:t>Tipos de hormigón</w:t>
      </w:r>
      <w:bookmarkEnd w:id="676"/>
      <w:bookmarkEnd w:id="677"/>
      <w:bookmarkEnd w:id="678"/>
      <w:bookmarkEnd w:id="679"/>
    </w:p>
    <w:p w14:paraId="7949001F" w14:textId="77777777" w:rsidR="005240FA" w:rsidRDefault="005240FA" w:rsidP="005240FA">
      <w:pPr>
        <w:pStyle w:val="NORMAL12"/>
      </w:pPr>
      <w:r>
        <w:t>Los tipos de hormigones a emplear son los siguientes:</w:t>
      </w: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7"/>
        <w:gridCol w:w="5812"/>
      </w:tblGrid>
      <w:tr w:rsidR="005240FA" w:rsidRPr="008F328B" w14:paraId="29C3243D" w14:textId="77777777" w:rsidTr="00E46F42">
        <w:trPr>
          <w:trHeight w:val="456"/>
          <w:tblHeader/>
          <w:jc w:val="center"/>
        </w:trPr>
        <w:tc>
          <w:tcPr>
            <w:tcW w:w="322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0969E93" w14:textId="77777777" w:rsidR="005240FA" w:rsidRPr="008F328B" w:rsidRDefault="005240FA" w:rsidP="0015400D">
            <w:pPr>
              <w:spacing w:before="120" w:after="120" w:line="360" w:lineRule="auto"/>
              <w:jc w:val="center"/>
              <w:rPr>
                <w:rFonts w:ascii="Arial" w:hAnsi="Arial" w:cs="Arial"/>
                <w:b/>
                <w:sz w:val="22"/>
                <w:szCs w:val="22"/>
              </w:rPr>
            </w:pPr>
            <w:r w:rsidRPr="008F328B">
              <w:rPr>
                <w:rFonts w:ascii="Arial" w:hAnsi="Arial" w:cs="Arial"/>
                <w:b/>
                <w:sz w:val="22"/>
                <w:szCs w:val="22"/>
              </w:rPr>
              <w:t>Tipo</w:t>
            </w:r>
          </w:p>
        </w:tc>
        <w:tc>
          <w:tcPr>
            <w:tcW w:w="581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D4E23E0" w14:textId="77777777" w:rsidR="005240FA" w:rsidRPr="008F328B" w:rsidRDefault="005240FA" w:rsidP="0015400D">
            <w:pPr>
              <w:spacing w:before="120" w:after="120" w:line="360" w:lineRule="auto"/>
              <w:jc w:val="center"/>
              <w:rPr>
                <w:rFonts w:ascii="Arial" w:hAnsi="Arial" w:cs="Arial"/>
                <w:b/>
                <w:sz w:val="22"/>
                <w:szCs w:val="22"/>
              </w:rPr>
            </w:pPr>
            <w:r w:rsidRPr="008F328B">
              <w:rPr>
                <w:rFonts w:ascii="Arial" w:hAnsi="Arial" w:cs="Arial"/>
                <w:b/>
                <w:sz w:val="22"/>
                <w:szCs w:val="22"/>
              </w:rPr>
              <w:t>Empleo</w:t>
            </w:r>
          </w:p>
        </w:tc>
      </w:tr>
      <w:tr w:rsidR="005240FA" w:rsidRPr="008F328B" w14:paraId="5951D254" w14:textId="77777777" w:rsidTr="00E46F42">
        <w:trPr>
          <w:jc w:val="center"/>
        </w:trPr>
        <w:tc>
          <w:tcPr>
            <w:tcW w:w="3227" w:type="dxa"/>
            <w:tcBorders>
              <w:top w:val="single" w:sz="4" w:space="0" w:color="000000"/>
              <w:left w:val="single" w:sz="4" w:space="0" w:color="000000"/>
              <w:bottom w:val="single" w:sz="4" w:space="0" w:color="000000"/>
              <w:right w:val="single" w:sz="4" w:space="0" w:color="000000"/>
            </w:tcBorders>
          </w:tcPr>
          <w:p w14:paraId="3E5211AA" w14:textId="77777777" w:rsidR="005240FA" w:rsidRPr="008F328B" w:rsidRDefault="005240FA" w:rsidP="0015400D">
            <w:pPr>
              <w:spacing w:before="120" w:after="120" w:line="360" w:lineRule="auto"/>
              <w:rPr>
                <w:rFonts w:ascii="Arial" w:hAnsi="Arial" w:cs="Arial"/>
                <w:sz w:val="22"/>
                <w:szCs w:val="22"/>
              </w:rPr>
            </w:pPr>
            <w:r w:rsidRPr="008F328B">
              <w:rPr>
                <w:rFonts w:ascii="Arial" w:hAnsi="Arial" w:cs="Arial"/>
                <w:sz w:val="22"/>
                <w:szCs w:val="22"/>
              </w:rPr>
              <w:t>HL-15</w:t>
            </w:r>
            <w:r w:rsidR="003A1560">
              <w:rPr>
                <w:rFonts w:ascii="Arial" w:hAnsi="Arial" w:cs="Arial"/>
                <w:sz w:val="22"/>
                <w:szCs w:val="22"/>
              </w:rPr>
              <w:t>0</w:t>
            </w:r>
          </w:p>
        </w:tc>
        <w:tc>
          <w:tcPr>
            <w:tcW w:w="5812" w:type="dxa"/>
            <w:tcBorders>
              <w:top w:val="single" w:sz="4" w:space="0" w:color="000000"/>
              <w:left w:val="single" w:sz="4" w:space="0" w:color="000000"/>
              <w:bottom w:val="single" w:sz="4" w:space="0" w:color="000000"/>
              <w:right w:val="single" w:sz="4" w:space="0" w:color="000000"/>
            </w:tcBorders>
          </w:tcPr>
          <w:p w14:paraId="6D7C6C40" w14:textId="77777777" w:rsidR="005240FA" w:rsidRPr="008F328B" w:rsidRDefault="005240FA" w:rsidP="0015400D">
            <w:pPr>
              <w:spacing w:before="120" w:after="120" w:line="360" w:lineRule="auto"/>
              <w:rPr>
                <w:rFonts w:ascii="Arial" w:hAnsi="Arial" w:cs="Arial"/>
                <w:sz w:val="22"/>
                <w:szCs w:val="22"/>
              </w:rPr>
            </w:pPr>
            <w:r w:rsidRPr="008F328B">
              <w:rPr>
                <w:rFonts w:ascii="Arial" w:hAnsi="Arial" w:cs="Arial"/>
                <w:sz w:val="22"/>
                <w:szCs w:val="22"/>
              </w:rPr>
              <w:t>Hormigón de limpieza</w:t>
            </w:r>
            <w:r w:rsidR="00684A3E">
              <w:rPr>
                <w:rFonts w:ascii="Arial" w:hAnsi="Arial" w:cs="Arial"/>
                <w:sz w:val="22"/>
                <w:szCs w:val="22"/>
              </w:rPr>
              <w:t xml:space="preserve"> en formación de cimientos</w:t>
            </w:r>
          </w:p>
        </w:tc>
      </w:tr>
      <w:tr w:rsidR="00C91A29" w:rsidRPr="008F328B" w14:paraId="091C49D4" w14:textId="77777777" w:rsidTr="00E46F42">
        <w:trPr>
          <w:jc w:val="center"/>
        </w:trPr>
        <w:tc>
          <w:tcPr>
            <w:tcW w:w="3227" w:type="dxa"/>
            <w:tcBorders>
              <w:top w:val="single" w:sz="4" w:space="0" w:color="000000"/>
              <w:left w:val="single" w:sz="4" w:space="0" w:color="000000"/>
              <w:bottom w:val="single" w:sz="4" w:space="0" w:color="000000"/>
              <w:right w:val="single" w:sz="4" w:space="0" w:color="000000"/>
            </w:tcBorders>
          </w:tcPr>
          <w:p w14:paraId="32FEBCC1" w14:textId="77777777" w:rsidR="00C91A29" w:rsidRPr="008F328B" w:rsidRDefault="00C91A29" w:rsidP="0015400D">
            <w:pPr>
              <w:spacing w:before="120" w:after="120" w:line="360" w:lineRule="auto"/>
              <w:rPr>
                <w:rFonts w:ascii="Arial" w:hAnsi="Arial" w:cs="Arial"/>
                <w:sz w:val="22"/>
                <w:szCs w:val="22"/>
              </w:rPr>
            </w:pPr>
            <w:r>
              <w:rPr>
                <w:rFonts w:ascii="Arial" w:hAnsi="Arial" w:cs="Arial"/>
                <w:sz w:val="22"/>
                <w:szCs w:val="22"/>
              </w:rPr>
              <w:t>HNE-20</w:t>
            </w:r>
          </w:p>
        </w:tc>
        <w:tc>
          <w:tcPr>
            <w:tcW w:w="5812" w:type="dxa"/>
            <w:tcBorders>
              <w:top w:val="single" w:sz="4" w:space="0" w:color="000000"/>
              <w:left w:val="single" w:sz="4" w:space="0" w:color="000000"/>
              <w:bottom w:val="single" w:sz="4" w:space="0" w:color="000000"/>
              <w:right w:val="single" w:sz="4" w:space="0" w:color="000000"/>
            </w:tcBorders>
          </w:tcPr>
          <w:p w14:paraId="719C0297" w14:textId="77777777" w:rsidR="00C91A29" w:rsidRPr="008F328B" w:rsidRDefault="00C91A29" w:rsidP="00684A3E">
            <w:pPr>
              <w:spacing w:before="120" w:after="120" w:line="360" w:lineRule="auto"/>
              <w:rPr>
                <w:rFonts w:ascii="Arial" w:hAnsi="Arial" w:cs="Arial"/>
                <w:sz w:val="22"/>
                <w:szCs w:val="22"/>
              </w:rPr>
            </w:pPr>
            <w:r>
              <w:rPr>
                <w:rFonts w:ascii="Arial" w:hAnsi="Arial" w:cs="Arial"/>
                <w:sz w:val="22"/>
                <w:szCs w:val="22"/>
              </w:rPr>
              <w:t>En bases de estructuras</w:t>
            </w:r>
          </w:p>
        </w:tc>
      </w:tr>
      <w:tr w:rsidR="005240FA" w:rsidRPr="008F328B" w14:paraId="63F21625" w14:textId="77777777" w:rsidTr="00E46F42">
        <w:trPr>
          <w:jc w:val="center"/>
        </w:trPr>
        <w:tc>
          <w:tcPr>
            <w:tcW w:w="3227" w:type="dxa"/>
            <w:tcBorders>
              <w:top w:val="single" w:sz="4" w:space="0" w:color="000000"/>
              <w:left w:val="single" w:sz="4" w:space="0" w:color="000000"/>
              <w:bottom w:val="single" w:sz="4" w:space="0" w:color="000000"/>
              <w:right w:val="single" w:sz="4" w:space="0" w:color="000000"/>
            </w:tcBorders>
          </w:tcPr>
          <w:p w14:paraId="1D48FDF2" w14:textId="77777777" w:rsidR="005240FA" w:rsidRPr="008F328B" w:rsidRDefault="005240FA" w:rsidP="0015400D">
            <w:pPr>
              <w:spacing w:before="120" w:after="120" w:line="360" w:lineRule="auto"/>
              <w:rPr>
                <w:rFonts w:ascii="Arial" w:hAnsi="Arial" w:cs="Arial"/>
                <w:sz w:val="22"/>
                <w:szCs w:val="22"/>
              </w:rPr>
            </w:pPr>
            <w:r w:rsidRPr="008F328B">
              <w:rPr>
                <w:rFonts w:ascii="Arial" w:hAnsi="Arial" w:cs="Arial"/>
                <w:sz w:val="22"/>
                <w:szCs w:val="22"/>
              </w:rPr>
              <w:t>HM-20</w:t>
            </w:r>
          </w:p>
        </w:tc>
        <w:tc>
          <w:tcPr>
            <w:tcW w:w="5812" w:type="dxa"/>
            <w:tcBorders>
              <w:top w:val="single" w:sz="4" w:space="0" w:color="000000"/>
              <w:left w:val="single" w:sz="4" w:space="0" w:color="000000"/>
              <w:bottom w:val="single" w:sz="4" w:space="0" w:color="000000"/>
              <w:right w:val="single" w:sz="4" w:space="0" w:color="000000"/>
            </w:tcBorders>
          </w:tcPr>
          <w:p w14:paraId="1442DBAC" w14:textId="77777777" w:rsidR="005240FA" w:rsidRPr="008F328B" w:rsidRDefault="005240FA" w:rsidP="00684A3E">
            <w:pPr>
              <w:spacing w:before="120" w:after="120" w:line="360" w:lineRule="auto"/>
              <w:rPr>
                <w:rFonts w:ascii="Arial" w:hAnsi="Arial" w:cs="Arial"/>
                <w:sz w:val="22"/>
                <w:szCs w:val="22"/>
              </w:rPr>
            </w:pPr>
            <w:r w:rsidRPr="008F328B">
              <w:rPr>
                <w:rFonts w:ascii="Arial" w:hAnsi="Arial" w:cs="Arial"/>
                <w:sz w:val="22"/>
                <w:szCs w:val="22"/>
              </w:rPr>
              <w:t>En formación de arquetas</w:t>
            </w:r>
            <w:r w:rsidR="00684A3E">
              <w:rPr>
                <w:rFonts w:ascii="Arial" w:hAnsi="Arial" w:cs="Arial"/>
                <w:sz w:val="22"/>
                <w:szCs w:val="22"/>
              </w:rPr>
              <w:t>,</w:t>
            </w:r>
            <w:r w:rsidRPr="008F328B">
              <w:rPr>
                <w:rFonts w:ascii="Arial" w:hAnsi="Arial" w:cs="Arial"/>
                <w:sz w:val="22"/>
                <w:szCs w:val="22"/>
              </w:rPr>
              <w:t xml:space="preserve"> pozos</w:t>
            </w:r>
            <w:r w:rsidR="00684A3E">
              <w:rPr>
                <w:rFonts w:ascii="Arial" w:hAnsi="Arial" w:cs="Arial"/>
                <w:sz w:val="22"/>
                <w:szCs w:val="22"/>
              </w:rPr>
              <w:t>, y base de acera</w:t>
            </w:r>
          </w:p>
        </w:tc>
      </w:tr>
      <w:tr w:rsidR="005240FA" w:rsidRPr="008F328B" w14:paraId="1020BC18" w14:textId="77777777" w:rsidTr="00E46F42">
        <w:trPr>
          <w:jc w:val="center"/>
        </w:trPr>
        <w:tc>
          <w:tcPr>
            <w:tcW w:w="3227" w:type="dxa"/>
            <w:tcBorders>
              <w:top w:val="single" w:sz="4" w:space="0" w:color="000000"/>
              <w:left w:val="single" w:sz="4" w:space="0" w:color="000000"/>
              <w:bottom w:val="single" w:sz="4" w:space="0" w:color="000000"/>
              <w:right w:val="single" w:sz="4" w:space="0" w:color="000000"/>
            </w:tcBorders>
          </w:tcPr>
          <w:p w14:paraId="59488047" w14:textId="77777777" w:rsidR="005240FA" w:rsidRPr="008F328B" w:rsidRDefault="005240FA" w:rsidP="0015400D">
            <w:pPr>
              <w:spacing w:before="120" w:after="120" w:line="360" w:lineRule="auto"/>
              <w:rPr>
                <w:rFonts w:ascii="Arial" w:hAnsi="Arial" w:cs="Arial"/>
                <w:sz w:val="22"/>
                <w:szCs w:val="22"/>
              </w:rPr>
            </w:pPr>
            <w:r w:rsidRPr="008F328B">
              <w:rPr>
                <w:rFonts w:ascii="Arial" w:hAnsi="Arial" w:cs="Arial"/>
                <w:sz w:val="22"/>
                <w:szCs w:val="22"/>
              </w:rPr>
              <w:t>HA-25</w:t>
            </w:r>
          </w:p>
        </w:tc>
        <w:tc>
          <w:tcPr>
            <w:tcW w:w="5812" w:type="dxa"/>
            <w:tcBorders>
              <w:top w:val="single" w:sz="4" w:space="0" w:color="000000"/>
              <w:left w:val="single" w:sz="4" w:space="0" w:color="000000"/>
              <w:bottom w:val="single" w:sz="4" w:space="0" w:color="000000"/>
              <w:right w:val="single" w:sz="4" w:space="0" w:color="000000"/>
            </w:tcBorders>
          </w:tcPr>
          <w:p w14:paraId="4D6E00C7" w14:textId="77777777" w:rsidR="005240FA" w:rsidRPr="008F328B" w:rsidRDefault="005240FA" w:rsidP="0015400D">
            <w:pPr>
              <w:spacing w:before="120" w:after="120" w:line="360" w:lineRule="auto"/>
              <w:rPr>
                <w:rFonts w:ascii="Arial" w:hAnsi="Arial" w:cs="Arial"/>
                <w:sz w:val="22"/>
                <w:szCs w:val="22"/>
              </w:rPr>
            </w:pPr>
            <w:r w:rsidRPr="008F328B">
              <w:rPr>
                <w:rFonts w:ascii="Arial" w:hAnsi="Arial" w:cs="Arial"/>
                <w:sz w:val="22"/>
                <w:szCs w:val="22"/>
              </w:rPr>
              <w:t>En estructuras y formación de arquetas</w:t>
            </w:r>
            <w:r w:rsidR="00684A3E">
              <w:rPr>
                <w:rFonts w:ascii="Arial" w:hAnsi="Arial" w:cs="Arial"/>
                <w:sz w:val="22"/>
                <w:szCs w:val="22"/>
              </w:rPr>
              <w:t xml:space="preserve"> y cimientos.</w:t>
            </w:r>
          </w:p>
        </w:tc>
      </w:tr>
      <w:tr w:rsidR="00684A3E" w:rsidRPr="008F328B" w14:paraId="63CFE374" w14:textId="77777777" w:rsidTr="00E46F42">
        <w:trPr>
          <w:jc w:val="center"/>
        </w:trPr>
        <w:tc>
          <w:tcPr>
            <w:tcW w:w="3227" w:type="dxa"/>
            <w:tcBorders>
              <w:top w:val="single" w:sz="4" w:space="0" w:color="000000"/>
              <w:left w:val="single" w:sz="4" w:space="0" w:color="000000"/>
              <w:bottom w:val="single" w:sz="4" w:space="0" w:color="000000"/>
              <w:right w:val="single" w:sz="4" w:space="0" w:color="000000"/>
            </w:tcBorders>
          </w:tcPr>
          <w:p w14:paraId="52DCAA7A" w14:textId="77777777" w:rsidR="00684A3E" w:rsidRPr="008F328B" w:rsidRDefault="00684A3E" w:rsidP="0015400D">
            <w:pPr>
              <w:spacing w:before="120" w:after="120" w:line="360" w:lineRule="auto"/>
              <w:rPr>
                <w:rFonts w:ascii="Arial" w:hAnsi="Arial" w:cs="Arial"/>
                <w:sz w:val="22"/>
                <w:szCs w:val="22"/>
              </w:rPr>
            </w:pPr>
            <w:r>
              <w:rPr>
                <w:rFonts w:ascii="Arial" w:hAnsi="Arial" w:cs="Arial"/>
                <w:sz w:val="22"/>
                <w:szCs w:val="22"/>
              </w:rPr>
              <w:t xml:space="preserve">HA-30 </w:t>
            </w:r>
          </w:p>
        </w:tc>
        <w:tc>
          <w:tcPr>
            <w:tcW w:w="5812" w:type="dxa"/>
            <w:tcBorders>
              <w:top w:val="single" w:sz="4" w:space="0" w:color="000000"/>
              <w:left w:val="single" w:sz="4" w:space="0" w:color="000000"/>
              <w:bottom w:val="single" w:sz="4" w:space="0" w:color="000000"/>
              <w:right w:val="single" w:sz="4" w:space="0" w:color="000000"/>
            </w:tcBorders>
          </w:tcPr>
          <w:p w14:paraId="7684E847" w14:textId="77777777" w:rsidR="00684A3E" w:rsidRPr="008F328B" w:rsidRDefault="00684A3E" w:rsidP="0015400D">
            <w:pPr>
              <w:spacing w:before="120" w:after="120" w:line="360" w:lineRule="auto"/>
              <w:rPr>
                <w:rFonts w:ascii="Arial" w:hAnsi="Arial" w:cs="Arial"/>
                <w:sz w:val="22"/>
                <w:szCs w:val="22"/>
              </w:rPr>
            </w:pPr>
            <w:r>
              <w:rPr>
                <w:rFonts w:ascii="Arial" w:hAnsi="Arial" w:cs="Arial"/>
                <w:sz w:val="22"/>
                <w:szCs w:val="22"/>
              </w:rPr>
              <w:t>En estructuras</w:t>
            </w:r>
          </w:p>
        </w:tc>
      </w:tr>
      <w:tr w:rsidR="005240FA" w:rsidRPr="008F328B" w14:paraId="2713C25C" w14:textId="77777777" w:rsidTr="00E46F42">
        <w:trPr>
          <w:jc w:val="center"/>
        </w:trPr>
        <w:tc>
          <w:tcPr>
            <w:tcW w:w="3227" w:type="dxa"/>
            <w:tcBorders>
              <w:top w:val="single" w:sz="4" w:space="0" w:color="000000"/>
              <w:left w:val="single" w:sz="4" w:space="0" w:color="000000"/>
              <w:bottom w:val="single" w:sz="4" w:space="0" w:color="000000"/>
              <w:right w:val="single" w:sz="4" w:space="0" w:color="000000"/>
            </w:tcBorders>
          </w:tcPr>
          <w:p w14:paraId="3955B621" w14:textId="77777777" w:rsidR="005240FA" w:rsidRPr="008F328B" w:rsidRDefault="005240FA" w:rsidP="0015400D">
            <w:pPr>
              <w:spacing w:before="120" w:after="120" w:line="360" w:lineRule="auto"/>
              <w:rPr>
                <w:rFonts w:ascii="Arial" w:hAnsi="Arial" w:cs="Arial"/>
                <w:sz w:val="22"/>
                <w:szCs w:val="22"/>
              </w:rPr>
            </w:pPr>
            <w:r w:rsidRPr="008F328B">
              <w:rPr>
                <w:rFonts w:ascii="Arial" w:hAnsi="Arial" w:cs="Arial"/>
                <w:sz w:val="22"/>
                <w:szCs w:val="22"/>
              </w:rPr>
              <w:t>HA-35</w:t>
            </w:r>
          </w:p>
        </w:tc>
        <w:tc>
          <w:tcPr>
            <w:tcW w:w="5812" w:type="dxa"/>
            <w:tcBorders>
              <w:top w:val="single" w:sz="4" w:space="0" w:color="000000"/>
              <w:left w:val="single" w:sz="4" w:space="0" w:color="000000"/>
              <w:bottom w:val="single" w:sz="4" w:space="0" w:color="000000"/>
              <w:right w:val="single" w:sz="4" w:space="0" w:color="000000"/>
            </w:tcBorders>
          </w:tcPr>
          <w:p w14:paraId="2838D36D" w14:textId="77777777" w:rsidR="005240FA" w:rsidRPr="008F328B" w:rsidRDefault="005240FA" w:rsidP="00684A3E">
            <w:pPr>
              <w:spacing w:before="120" w:after="120" w:line="360" w:lineRule="auto"/>
              <w:rPr>
                <w:rFonts w:ascii="Arial" w:hAnsi="Arial" w:cs="Arial"/>
                <w:sz w:val="22"/>
                <w:szCs w:val="22"/>
              </w:rPr>
            </w:pPr>
            <w:r w:rsidRPr="008F328B">
              <w:rPr>
                <w:rFonts w:ascii="Arial" w:hAnsi="Arial" w:cs="Arial"/>
                <w:sz w:val="22"/>
                <w:szCs w:val="22"/>
              </w:rPr>
              <w:t>En estructuras</w:t>
            </w:r>
          </w:p>
        </w:tc>
      </w:tr>
    </w:tbl>
    <w:p w14:paraId="3C13FB05" w14:textId="77777777" w:rsidR="005240FA" w:rsidRPr="00AB0476" w:rsidRDefault="005240FA" w:rsidP="000313DD">
      <w:pPr>
        <w:pStyle w:val="TITU2"/>
      </w:pPr>
      <w:bookmarkStart w:id="680" w:name="_Toc492537786"/>
      <w:bookmarkStart w:id="681" w:name="_Toc400741542"/>
      <w:bookmarkStart w:id="682" w:name="_Toc399508995"/>
      <w:bookmarkStart w:id="683" w:name="_Toc404405"/>
      <w:r w:rsidRPr="00AB0476">
        <w:t>610.4.</w:t>
      </w:r>
      <w:r w:rsidR="008F328B">
        <w:t xml:space="preserve"> </w:t>
      </w:r>
      <w:r w:rsidRPr="00AB0476">
        <w:tab/>
        <w:t>Dosificación del hormigón</w:t>
      </w:r>
      <w:bookmarkEnd w:id="680"/>
      <w:bookmarkEnd w:id="681"/>
      <w:bookmarkEnd w:id="682"/>
      <w:bookmarkEnd w:id="683"/>
    </w:p>
    <w:p w14:paraId="6591C01D" w14:textId="77777777" w:rsidR="005240FA" w:rsidRDefault="005240FA" w:rsidP="005240FA">
      <w:pPr>
        <w:pStyle w:val="NORMAL12"/>
      </w:pPr>
      <w:r>
        <w:t>Las cantidades mínimas de cemento por metro cúbico de hormigón y la máxima relación agua/cemento son función de la clase de exposición, definida en la tipificación de los hormigones indicada en las respectivas unidades de medición, y serán conformes a las condiciones exigidas en EHE-08. La dosificación del hormigón se ajustará asimismo a las especificaciones de EHE-08.</w:t>
      </w:r>
    </w:p>
    <w:p w14:paraId="2383F573" w14:textId="77777777" w:rsidR="005240FA" w:rsidRPr="007B6DC6" w:rsidRDefault="005240FA" w:rsidP="005240FA">
      <w:pPr>
        <w:pStyle w:val="NORMAL12"/>
        <w:rPr>
          <w:i/>
          <w:u w:val="single"/>
        </w:rPr>
      </w:pPr>
      <w:r w:rsidRPr="007B6DC6">
        <w:rPr>
          <w:i/>
          <w:u w:val="single"/>
        </w:rPr>
        <w:t>Condiciones de resistencia y durabilidad del hormigón</w:t>
      </w:r>
    </w:p>
    <w:p w14:paraId="186BF93F" w14:textId="77777777" w:rsidR="005240FA" w:rsidRDefault="005240FA" w:rsidP="005240FA">
      <w:pPr>
        <w:pStyle w:val="NORMAL12"/>
      </w:pPr>
      <w:r>
        <w:t>La utilización de hormigones de resistencia inferior a 20 N/mm², no contemplados en la Instrucción EHE-08, estará limitada exclusivamente a unidades de obra no estructurales como los hormigones de limpieza. Quedan expresamente excluidos los hormigones para armar con resistencia de proyecto inferior a 25 N/mm². Los valores mínimos de resistencia se ajustarán a los requisitos de EHE-08.</w:t>
      </w:r>
    </w:p>
    <w:p w14:paraId="0145AFC5" w14:textId="77777777" w:rsidR="005240FA" w:rsidRDefault="005240FA" w:rsidP="005240FA">
      <w:pPr>
        <w:pStyle w:val="NORMAL12"/>
      </w:pPr>
      <w:r>
        <w:lastRenderedPageBreak/>
        <w:t>Los requisitos de durabilidad del hormigón cumplirán las especificaciones de EHE-08, específicamente los siguientes aspectos:</w:t>
      </w:r>
    </w:p>
    <w:p w14:paraId="6974CFC9" w14:textId="77777777" w:rsidR="005240FA" w:rsidRDefault="005240FA" w:rsidP="005240FA">
      <w:pPr>
        <w:pStyle w:val="NORMAL12"/>
        <w:numPr>
          <w:ilvl w:val="0"/>
          <w:numId w:val="74"/>
        </w:numPr>
      </w:pPr>
      <w:r>
        <w:t>Resistencia del hormigón frente a la helada.</w:t>
      </w:r>
    </w:p>
    <w:p w14:paraId="41544D34" w14:textId="77777777" w:rsidR="005240FA" w:rsidRDefault="005240FA" w:rsidP="005240FA">
      <w:pPr>
        <w:pStyle w:val="NORMAL12"/>
        <w:numPr>
          <w:ilvl w:val="0"/>
          <w:numId w:val="74"/>
        </w:numPr>
      </w:pPr>
      <w:r>
        <w:t>Resistencia del hormigón frente al ataque por sulfatos.</w:t>
      </w:r>
    </w:p>
    <w:p w14:paraId="5A229A82" w14:textId="77777777" w:rsidR="005240FA" w:rsidRDefault="005240FA" w:rsidP="005240FA">
      <w:pPr>
        <w:pStyle w:val="NORMAL12"/>
        <w:numPr>
          <w:ilvl w:val="0"/>
          <w:numId w:val="74"/>
        </w:numPr>
      </w:pPr>
      <w:r>
        <w:t>Resistencia del hormigón frente al ataque del agua del mar.</w:t>
      </w:r>
    </w:p>
    <w:p w14:paraId="7C8E462A" w14:textId="77777777" w:rsidR="005240FA" w:rsidRDefault="005240FA" w:rsidP="005240FA">
      <w:pPr>
        <w:pStyle w:val="NORMAL12"/>
        <w:numPr>
          <w:ilvl w:val="0"/>
          <w:numId w:val="74"/>
        </w:numPr>
      </w:pPr>
      <w:r>
        <w:t>Resistencia del hormigón frente a la erosión.</w:t>
      </w:r>
    </w:p>
    <w:p w14:paraId="7926AA65" w14:textId="77777777" w:rsidR="005240FA" w:rsidRDefault="005240FA" w:rsidP="005240FA">
      <w:pPr>
        <w:pStyle w:val="NORMAL12"/>
        <w:numPr>
          <w:ilvl w:val="0"/>
          <w:numId w:val="74"/>
        </w:numPr>
      </w:pPr>
      <w:r>
        <w:t>Resistencia frente a la reactividad álcali-árido.</w:t>
      </w:r>
    </w:p>
    <w:p w14:paraId="5B63EFAF" w14:textId="77777777" w:rsidR="005240FA" w:rsidRDefault="005240FA" w:rsidP="000313DD">
      <w:pPr>
        <w:pStyle w:val="TITU2"/>
      </w:pPr>
      <w:bookmarkStart w:id="684" w:name="_Toc492537787"/>
      <w:bookmarkStart w:id="685" w:name="_Toc400741543"/>
      <w:bookmarkStart w:id="686" w:name="_Toc399508996"/>
      <w:bookmarkStart w:id="687" w:name="_Toc404406"/>
      <w:r w:rsidRPr="00AB0476">
        <w:t>610.6</w:t>
      </w:r>
      <w:r w:rsidR="008F328B">
        <w:t xml:space="preserve">. </w:t>
      </w:r>
      <w:r w:rsidRPr="00AB0476">
        <w:tab/>
        <w:t>Ejecución</w:t>
      </w:r>
      <w:bookmarkEnd w:id="684"/>
      <w:bookmarkEnd w:id="685"/>
      <w:bookmarkEnd w:id="686"/>
      <w:r w:rsidR="008F328B">
        <w:t xml:space="preserve"> de las obras</w:t>
      </w:r>
      <w:bookmarkEnd w:id="687"/>
    </w:p>
    <w:p w14:paraId="23EEE451" w14:textId="77777777" w:rsidR="005240FA" w:rsidRPr="007B6DC6" w:rsidRDefault="005240FA" w:rsidP="005240FA">
      <w:pPr>
        <w:pStyle w:val="NORMAL12"/>
        <w:rPr>
          <w:i/>
          <w:u w:val="single"/>
        </w:rPr>
      </w:pPr>
      <w:r w:rsidRPr="007B6DC6">
        <w:rPr>
          <w:i/>
          <w:u w:val="single"/>
        </w:rPr>
        <w:t>Puesta en obra del hormigón</w:t>
      </w:r>
    </w:p>
    <w:p w14:paraId="1EB9C5CE" w14:textId="77777777" w:rsidR="005240FA" w:rsidRDefault="005240FA" w:rsidP="005240FA">
      <w:pPr>
        <w:pStyle w:val="NORMAL12"/>
      </w:pPr>
      <w:r>
        <w:t>La puesta en obra del hormigón, en lo que a colocación, compactación y técnicas especiales se refiere, se ajustará a las prescripciones de EHE-08.</w:t>
      </w:r>
    </w:p>
    <w:p w14:paraId="57E62329" w14:textId="77777777" w:rsidR="005240FA" w:rsidRDefault="005240FA" w:rsidP="005240FA">
      <w:pPr>
        <w:pStyle w:val="NORMAL12"/>
      </w:pPr>
      <w:r>
        <w:t>El contratista ha de presentar al inicio de los trabajos un plan de hormigonado para cada estructura que ha de ser aprobado por la Dirección de Obra. El plan de hormigonado explicitará la forma, medios y proceso que el contratista ha de seguir para la buena colocación del hormigón.</w:t>
      </w:r>
    </w:p>
    <w:p w14:paraId="32DFC5FE" w14:textId="77777777" w:rsidR="005240FA" w:rsidRDefault="005240FA" w:rsidP="005240FA">
      <w:pPr>
        <w:pStyle w:val="NORMAL12"/>
      </w:pPr>
      <w:r>
        <w:t>El plan ha de constar de:</w:t>
      </w:r>
    </w:p>
    <w:p w14:paraId="4DBB82E8" w14:textId="77777777" w:rsidR="005240FA" w:rsidRDefault="005240FA" w:rsidP="005240FA">
      <w:pPr>
        <w:pStyle w:val="NORMAL12"/>
        <w:numPr>
          <w:ilvl w:val="0"/>
          <w:numId w:val="75"/>
        </w:numPr>
      </w:pPr>
      <w:r>
        <w:t>Descomposición de la obra en unidades de hormigonado, indicando el volumen de hormigón a utilizar en cada unidad.</w:t>
      </w:r>
    </w:p>
    <w:p w14:paraId="2D99CBC2" w14:textId="77777777" w:rsidR="005240FA" w:rsidRDefault="005240FA" w:rsidP="005240FA">
      <w:pPr>
        <w:pStyle w:val="NORMAL12"/>
        <w:numPr>
          <w:ilvl w:val="0"/>
          <w:numId w:val="75"/>
        </w:numPr>
      </w:pPr>
      <w:r>
        <w:t>Forma de tratamiento de las juntas de hormigonado.</w:t>
      </w:r>
    </w:p>
    <w:p w14:paraId="002AA447" w14:textId="77777777" w:rsidR="005240FA" w:rsidRDefault="005240FA" w:rsidP="005240FA">
      <w:pPr>
        <w:pStyle w:val="NORMAL12"/>
      </w:pPr>
      <w:r>
        <w:t>Para cada unidad ha de constar:</w:t>
      </w:r>
    </w:p>
    <w:p w14:paraId="7EECE040" w14:textId="77777777" w:rsidR="005240FA" w:rsidRDefault="005240FA" w:rsidP="005240FA">
      <w:pPr>
        <w:pStyle w:val="NORMAL12"/>
        <w:numPr>
          <w:ilvl w:val="0"/>
          <w:numId w:val="75"/>
        </w:numPr>
      </w:pPr>
      <w:r>
        <w:t>Sistema de hormigonado (mediante bomba, grúa y cubilote, canaleta, vertido directo…).</w:t>
      </w:r>
    </w:p>
    <w:p w14:paraId="6063FAC0" w14:textId="77777777" w:rsidR="005240FA" w:rsidRDefault="005240FA" w:rsidP="005240FA">
      <w:pPr>
        <w:pStyle w:val="NORMAL12"/>
        <w:numPr>
          <w:ilvl w:val="0"/>
          <w:numId w:val="75"/>
        </w:numPr>
      </w:pPr>
      <w:r>
        <w:t>Características de los medios mecánicos.</w:t>
      </w:r>
    </w:p>
    <w:p w14:paraId="76977795" w14:textId="77777777" w:rsidR="005240FA" w:rsidRDefault="005240FA" w:rsidP="005240FA">
      <w:pPr>
        <w:pStyle w:val="NORMAL12"/>
        <w:numPr>
          <w:ilvl w:val="0"/>
          <w:numId w:val="75"/>
        </w:numPr>
      </w:pPr>
      <w:r>
        <w:t>Personal.</w:t>
      </w:r>
    </w:p>
    <w:p w14:paraId="2BD3752F" w14:textId="77777777" w:rsidR="005240FA" w:rsidRDefault="005240FA" w:rsidP="005240FA">
      <w:pPr>
        <w:pStyle w:val="NORMAL12"/>
        <w:numPr>
          <w:ilvl w:val="0"/>
          <w:numId w:val="75"/>
        </w:numPr>
      </w:pPr>
      <w:r>
        <w:t>Vibradores (características, tipo y vibradores de recambio en caso de avería).</w:t>
      </w:r>
    </w:p>
    <w:p w14:paraId="6A434ED5" w14:textId="77777777" w:rsidR="005240FA" w:rsidRDefault="005240FA" w:rsidP="005240FA">
      <w:pPr>
        <w:pStyle w:val="NORMAL12"/>
        <w:numPr>
          <w:ilvl w:val="0"/>
          <w:numId w:val="75"/>
        </w:numPr>
      </w:pPr>
      <w:r>
        <w:t>Secuencia de relleno de moldes.</w:t>
      </w:r>
    </w:p>
    <w:p w14:paraId="33343B83" w14:textId="77777777" w:rsidR="005240FA" w:rsidRDefault="005240FA" w:rsidP="005240FA">
      <w:pPr>
        <w:pStyle w:val="NORMAL12"/>
        <w:numPr>
          <w:ilvl w:val="0"/>
          <w:numId w:val="75"/>
        </w:numPr>
      </w:pPr>
      <w:r>
        <w:t>Medios para evitar defectos de hormigonado por efecto del movimiento de personal y medios.</w:t>
      </w:r>
    </w:p>
    <w:p w14:paraId="75DBED46" w14:textId="77777777" w:rsidR="005240FA" w:rsidRDefault="005240FA" w:rsidP="005240FA">
      <w:pPr>
        <w:pStyle w:val="NORMAL12"/>
        <w:numPr>
          <w:ilvl w:val="0"/>
          <w:numId w:val="75"/>
        </w:numPr>
      </w:pPr>
      <w:r>
        <w:t>Medidas de seguridad del personal.</w:t>
      </w:r>
    </w:p>
    <w:p w14:paraId="112A8AB9" w14:textId="77777777" w:rsidR="005240FA" w:rsidRDefault="005240FA" w:rsidP="005240FA">
      <w:pPr>
        <w:pStyle w:val="NORMAL12"/>
        <w:numPr>
          <w:ilvl w:val="0"/>
          <w:numId w:val="75"/>
        </w:numPr>
      </w:pPr>
      <w:r>
        <w:t>Sistema de curado del hormigón.</w:t>
      </w:r>
    </w:p>
    <w:p w14:paraId="28188B17" w14:textId="77777777" w:rsidR="005240FA" w:rsidRDefault="005240FA" w:rsidP="005240FA">
      <w:pPr>
        <w:pStyle w:val="NORMAL12"/>
      </w:pPr>
      <w:r>
        <w:t>La docilidad del hormigón se medirá por su consistencia, indicada en los planos y en las unidades de medición de hormigones indicadas en este Pliego, siguiendo las indicaciones de la EHE-08.</w:t>
      </w:r>
    </w:p>
    <w:p w14:paraId="509CA774" w14:textId="77777777" w:rsidR="005240FA" w:rsidRDefault="005240FA" w:rsidP="005240FA">
      <w:pPr>
        <w:pStyle w:val="NORMAL12"/>
      </w:pPr>
      <w:r>
        <w:t xml:space="preserve">El Contratista podrá aumentar la fluidez indicada en planos y pliego mediante el uso de fluidificantes, siempre que justifique su empleo y establezca, </w:t>
      </w:r>
      <w:proofErr w:type="gramStart"/>
      <w:r>
        <w:t>de acuerdo al</w:t>
      </w:r>
      <w:proofErr w:type="gramEnd"/>
      <w:r>
        <w:t xml:space="preserve"> suministrador del producto, las condiciones adecuadas de uso </w:t>
      </w:r>
      <w:proofErr w:type="gramStart"/>
      <w:r>
        <w:t>del mismo</w:t>
      </w:r>
      <w:proofErr w:type="gramEnd"/>
      <w:r>
        <w:t xml:space="preserve"> que garanticen que el producto, añadido en las condiciones citadas, no altera las condiciones resistentes y de durabilidad del hormigón.</w:t>
      </w:r>
    </w:p>
    <w:p w14:paraId="24D0EC87" w14:textId="77777777" w:rsidR="005240FA" w:rsidRDefault="005240FA" w:rsidP="005240FA">
      <w:pPr>
        <w:pStyle w:val="NORMAL12"/>
      </w:pPr>
      <w:r>
        <w:t>En estos casos el Contratista definirá las condiciones de utilización del fluidificante (vertido en planta o en obra, y en qué proporciones), y, en función de éstas, establecerá la caracterización del hormigón mediante un doble control de consistencia. Primero, en planta, una vez amasado el hormigón y añadido el fluidificante que se disponga en planta, y, después, “in situ” previamente al vertido en el encofrado, una vez añadido ya el fluidificante en obra. El Contratista establecerá los rangos de asiento en cono de Abrams esperables en cada fase (planta y obra) que servirán de criterio de aceptación de la amasada (camión) tanto en planta como en obra. Para la correcta determinación de estos parámetros será precisa la realización de una campaña de ensayos previos que permita caracterizar adecuadamente el hormigón y fijar su dosificación. Esta campaña de ensayos previos y determinación de las condiciones de uso del fluidificante y dosificación correcta del hormigón podrá ser exigida por la Dirección de Obra sin coste adicional al objeto de obtener las condiciones óptimas de dosificación y consistencia que garanticen en obra simultáneamente la resistencia, durabilidad y condiciones de puesta en obra necesarias.</w:t>
      </w:r>
    </w:p>
    <w:p w14:paraId="7E0EB348" w14:textId="77777777" w:rsidR="005240FA" w:rsidRPr="007B6DC6" w:rsidRDefault="00531952" w:rsidP="005240FA">
      <w:pPr>
        <w:pStyle w:val="NORMAL12"/>
        <w:rPr>
          <w:i/>
          <w:u w:val="single"/>
        </w:rPr>
      </w:pPr>
      <w:r>
        <w:rPr>
          <w:i/>
          <w:u w:val="single"/>
        </w:rPr>
        <w:br w:type="column"/>
      </w:r>
      <w:r w:rsidR="005240FA" w:rsidRPr="007B6DC6">
        <w:rPr>
          <w:i/>
          <w:u w:val="single"/>
        </w:rPr>
        <w:lastRenderedPageBreak/>
        <w:t>Curado del hormigón</w:t>
      </w:r>
    </w:p>
    <w:p w14:paraId="1500D2DC" w14:textId="77777777" w:rsidR="005240FA" w:rsidRDefault="005240FA" w:rsidP="005240FA">
      <w:pPr>
        <w:pStyle w:val="NORMAL12"/>
      </w:pPr>
      <w:r>
        <w:t>La técnica de curado del hormigón se ajustará a las siguientes prescripciones, además de las generales relativas a las curadas recogidas en EHE-08:</w:t>
      </w:r>
    </w:p>
    <w:p w14:paraId="5BA60595" w14:textId="77777777" w:rsidR="005240FA" w:rsidRDefault="005240FA" w:rsidP="005240FA">
      <w:pPr>
        <w:pStyle w:val="NORMAL12"/>
      </w:pPr>
      <w:r>
        <w:t>Durante el fraguado y hasta conseguir el 70% de la resistencia prevista, se han de mantener húmedas las superficies del hormigón. Este proceso ha de ser como mínimo de:</w:t>
      </w:r>
    </w:p>
    <w:p w14:paraId="0B30FFCC" w14:textId="77777777" w:rsidR="005240FA" w:rsidRDefault="005240FA" w:rsidP="005240FA">
      <w:pPr>
        <w:pStyle w:val="NORMAL12"/>
        <w:numPr>
          <w:ilvl w:val="0"/>
          <w:numId w:val="76"/>
        </w:numPr>
      </w:pPr>
      <w:r>
        <w:t>7 días en tiempo húmedo y condiciones normales.</w:t>
      </w:r>
    </w:p>
    <w:p w14:paraId="71D1E057" w14:textId="77777777" w:rsidR="005240FA" w:rsidRDefault="005240FA" w:rsidP="005240FA">
      <w:pPr>
        <w:pStyle w:val="NORMAL12"/>
        <w:numPr>
          <w:ilvl w:val="0"/>
          <w:numId w:val="76"/>
        </w:numPr>
      </w:pPr>
      <w:r>
        <w:t>15 días en tiempo caluroso y seco, o cuando la superficie del elemento esté en contacto con aguas o filtraciones agresivas.</w:t>
      </w:r>
    </w:p>
    <w:p w14:paraId="1B986264" w14:textId="77777777" w:rsidR="005240FA" w:rsidRDefault="005240FA" w:rsidP="005240FA">
      <w:pPr>
        <w:pStyle w:val="NORMAL12"/>
      </w:pPr>
      <w:r>
        <w:t>El curado con agua no se ha de ejecutar con riegos esporádicos del hormigón, sino que se ha de garantizar la constante humedad del elemento con recintos que mantengan una lámina de agua, materiales tipo arpillera o geotextil permanentemente empapados con agua, sistema de riego continuo o cubrición completa mediante plásticos.</w:t>
      </w:r>
    </w:p>
    <w:p w14:paraId="400368AD" w14:textId="77777777" w:rsidR="005240FA" w:rsidRDefault="005240FA" w:rsidP="005240FA">
      <w:pPr>
        <w:pStyle w:val="NORMAL12"/>
      </w:pPr>
      <w:r>
        <w:t xml:space="preserve">En el caso de que se utilicen productos </w:t>
      </w:r>
      <w:proofErr w:type="spellStart"/>
      <w:r>
        <w:t>filmógenos</w:t>
      </w:r>
      <w:proofErr w:type="spellEnd"/>
      <w:r>
        <w:t>, autorizados por la D.O., se han de cumplir las especificaciones de su pliego de condiciones. Se tendrán en cuenta las limitaciones que incorpora el vigente Artículo 285 del PG 3</w:t>
      </w:r>
      <w:r w:rsidRPr="007B6DC6">
        <w:t xml:space="preserve">, </w:t>
      </w:r>
      <w:r>
        <w:t>en particular todo lo referente a las condiciones de suministro, aplicación, secado y dotación, así como a los ensayos de control del material y de su eficacia.</w:t>
      </w:r>
    </w:p>
    <w:p w14:paraId="5DD38039" w14:textId="77777777" w:rsidR="005240FA" w:rsidRDefault="005240FA" w:rsidP="005240FA">
      <w:pPr>
        <w:pStyle w:val="NORMAL12"/>
      </w:pPr>
      <w:r>
        <w:t>Durante el fraguado se han de evitar sobrecargas y vibraciones que puedan provocar la fisuración del elemento</w:t>
      </w:r>
    </w:p>
    <w:p w14:paraId="15EB0092" w14:textId="77777777" w:rsidR="005240FA" w:rsidRPr="007B6DC6" w:rsidRDefault="005240FA" w:rsidP="005240FA">
      <w:pPr>
        <w:pStyle w:val="NORMAL12"/>
        <w:rPr>
          <w:i/>
          <w:u w:val="single"/>
        </w:rPr>
      </w:pPr>
      <w:r w:rsidRPr="007B6DC6">
        <w:rPr>
          <w:i/>
          <w:u w:val="single"/>
        </w:rPr>
        <w:t>A</w:t>
      </w:r>
      <w:r>
        <w:rPr>
          <w:i/>
          <w:u w:val="single"/>
        </w:rPr>
        <w:t>ceptación final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5032"/>
        <w:gridCol w:w="3612"/>
      </w:tblGrid>
      <w:tr w:rsidR="005240FA" w:rsidRPr="00684A3E" w14:paraId="07323E3F" w14:textId="77777777" w:rsidTr="00CF7652">
        <w:trPr>
          <w:tblHeader/>
          <w:jc w:val="center"/>
        </w:trPr>
        <w:tc>
          <w:tcPr>
            <w:tcW w:w="50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81B029" w14:textId="77777777" w:rsidR="005240FA" w:rsidRPr="00684A3E" w:rsidRDefault="005240FA" w:rsidP="0015400D">
            <w:pPr>
              <w:pStyle w:val="GTTTtuloTabla"/>
              <w:keepNext/>
              <w:keepLines/>
              <w:rPr>
                <w:rFonts w:ascii="Arial" w:hAnsi="Arial" w:cs="Arial"/>
                <w:sz w:val="20"/>
                <w:szCs w:val="20"/>
              </w:rPr>
            </w:pPr>
            <w:r w:rsidRPr="00684A3E">
              <w:rPr>
                <w:rFonts w:ascii="Arial" w:hAnsi="Arial" w:cs="Arial"/>
                <w:sz w:val="20"/>
                <w:szCs w:val="20"/>
              </w:rPr>
              <w:t>Parámetros de aceptación final</w:t>
            </w:r>
          </w:p>
        </w:tc>
        <w:tc>
          <w:tcPr>
            <w:tcW w:w="361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500DE7" w14:textId="77777777" w:rsidR="005240FA" w:rsidRPr="00684A3E" w:rsidRDefault="005240FA" w:rsidP="0015400D">
            <w:pPr>
              <w:pStyle w:val="GTTTtuloTabla"/>
              <w:keepNext/>
              <w:keepLines/>
              <w:rPr>
                <w:rFonts w:ascii="Arial" w:hAnsi="Arial" w:cs="Arial"/>
                <w:sz w:val="20"/>
                <w:szCs w:val="20"/>
              </w:rPr>
            </w:pPr>
            <w:r w:rsidRPr="00684A3E">
              <w:rPr>
                <w:rFonts w:ascii="Arial" w:hAnsi="Arial" w:cs="Arial"/>
                <w:sz w:val="20"/>
                <w:szCs w:val="20"/>
              </w:rPr>
              <w:t>Procedimiento / Normas de aplicación</w:t>
            </w:r>
          </w:p>
        </w:tc>
      </w:tr>
      <w:tr w:rsidR="005240FA" w:rsidRPr="00684A3E" w14:paraId="49CE23E3" w14:textId="77777777" w:rsidTr="00CF7652">
        <w:trPr>
          <w:trHeight w:val="540"/>
          <w:jc w:val="center"/>
        </w:trPr>
        <w:tc>
          <w:tcPr>
            <w:tcW w:w="5032" w:type="dxa"/>
            <w:tcBorders>
              <w:top w:val="single" w:sz="4" w:space="0" w:color="auto"/>
              <w:left w:val="single" w:sz="4" w:space="0" w:color="auto"/>
              <w:bottom w:val="single" w:sz="4" w:space="0" w:color="auto"/>
              <w:right w:val="single" w:sz="4" w:space="0" w:color="auto"/>
            </w:tcBorders>
            <w:hideMark/>
          </w:tcPr>
          <w:p w14:paraId="2D8ABCDF" w14:textId="77777777" w:rsidR="005240FA" w:rsidRPr="00684A3E" w:rsidRDefault="005240FA" w:rsidP="0015400D">
            <w:pPr>
              <w:pStyle w:val="GTTTabla"/>
              <w:jc w:val="both"/>
              <w:rPr>
                <w:rFonts w:ascii="Arial" w:hAnsi="Arial" w:cs="Arial"/>
                <w:sz w:val="20"/>
                <w:szCs w:val="20"/>
              </w:rPr>
            </w:pPr>
            <w:r w:rsidRPr="00684A3E">
              <w:rPr>
                <w:rFonts w:ascii="Arial" w:hAnsi="Arial" w:cs="Arial"/>
                <w:sz w:val="20"/>
                <w:szCs w:val="20"/>
              </w:rPr>
              <w:t>Ausencia de coqueras superficiales.</w:t>
            </w:r>
          </w:p>
        </w:tc>
        <w:tc>
          <w:tcPr>
            <w:tcW w:w="3612" w:type="dxa"/>
            <w:tcBorders>
              <w:top w:val="single" w:sz="4" w:space="0" w:color="auto"/>
              <w:left w:val="single" w:sz="4" w:space="0" w:color="auto"/>
              <w:bottom w:val="single" w:sz="4" w:space="0" w:color="auto"/>
              <w:right w:val="single" w:sz="4" w:space="0" w:color="auto"/>
            </w:tcBorders>
            <w:hideMark/>
          </w:tcPr>
          <w:p w14:paraId="3E7C8384" w14:textId="77777777" w:rsidR="005240FA" w:rsidRPr="00684A3E" w:rsidRDefault="005240FA" w:rsidP="0015400D">
            <w:pPr>
              <w:pStyle w:val="GTTTabla"/>
              <w:rPr>
                <w:rFonts w:ascii="Arial" w:hAnsi="Arial" w:cs="Arial"/>
                <w:sz w:val="20"/>
                <w:szCs w:val="20"/>
              </w:rPr>
            </w:pPr>
            <w:r w:rsidRPr="00684A3E">
              <w:rPr>
                <w:rFonts w:ascii="Arial" w:hAnsi="Arial" w:cs="Arial"/>
                <w:sz w:val="20"/>
                <w:szCs w:val="20"/>
              </w:rPr>
              <w:t>Inspección visual</w:t>
            </w:r>
          </w:p>
        </w:tc>
      </w:tr>
      <w:tr w:rsidR="005240FA" w:rsidRPr="00684A3E" w14:paraId="1EB886FF" w14:textId="77777777" w:rsidTr="00CF7652">
        <w:trPr>
          <w:trHeight w:val="540"/>
          <w:jc w:val="center"/>
        </w:trPr>
        <w:tc>
          <w:tcPr>
            <w:tcW w:w="5032" w:type="dxa"/>
            <w:tcBorders>
              <w:top w:val="single" w:sz="4" w:space="0" w:color="auto"/>
              <w:left w:val="single" w:sz="4" w:space="0" w:color="auto"/>
              <w:bottom w:val="single" w:sz="4" w:space="0" w:color="auto"/>
              <w:right w:val="single" w:sz="4" w:space="0" w:color="auto"/>
            </w:tcBorders>
            <w:hideMark/>
          </w:tcPr>
          <w:p w14:paraId="04439981" w14:textId="77777777" w:rsidR="005240FA" w:rsidRPr="00684A3E" w:rsidRDefault="005240FA" w:rsidP="0015400D">
            <w:pPr>
              <w:pStyle w:val="GTTTabla"/>
              <w:spacing w:line="360" w:lineRule="auto"/>
              <w:jc w:val="both"/>
              <w:rPr>
                <w:rFonts w:ascii="Arial" w:hAnsi="Arial" w:cs="Arial"/>
                <w:sz w:val="20"/>
                <w:szCs w:val="20"/>
              </w:rPr>
            </w:pPr>
            <w:r w:rsidRPr="00684A3E">
              <w:rPr>
                <w:rFonts w:ascii="Arial" w:hAnsi="Arial" w:cs="Arial"/>
                <w:sz w:val="20"/>
                <w:szCs w:val="20"/>
              </w:rPr>
              <w:t>Resistencias características a 28 días iguales o superiores a las indicadas en la designación de las distintas unidades de obra de hormigón.</w:t>
            </w:r>
          </w:p>
        </w:tc>
        <w:tc>
          <w:tcPr>
            <w:tcW w:w="3612" w:type="dxa"/>
            <w:tcBorders>
              <w:top w:val="single" w:sz="4" w:space="0" w:color="auto"/>
              <w:left w:val="single" w:sz="4" w:space="0" w:color="auto"/>
              <w:bottom w:val="single" w:sz="4" w:space="0" w:color="auto"/>
              <w:right w:val="single" w:sz="4" w:space="0" w:color="auto"/>
            </w:tcBorders>
            <w:hideMark/>
          </w:tcPr>
          <w:p w14:paraId="30649BC4" w14:textId="77777777" w:rsidR="005240FA" w:rsidRPr="00684A3E" w:rsidRDefault="005240FA" w:rsidP="0015400D">
            <w:pPr>
              <w:pStyle w:val="GTTTabla"/>
              <w:spacing w:line="360" w:lineRule="auto"/>
              <w:jc w:val="both"/>
              <w:rPr>
                <w:rFonts w:ascii="Arial" w:hAnsi="Arial" w:cs="Arial"/>
                <w:sz w:val="20"/>
                <w:szCs w:val="20"/>
              </w:rPr>
            </w:pPr>
            <w:r w:rsidRPr="00684A3E">
              <w:rPr>
                <w:rFonts w:ascii="Arial" w:hAnsi="Arial" w:cs="Arial"/>
                <w:sz w:val="20"/>
                <w:szCs w:val="20"/>
              </w:rPr>
              <w:t>EHE-08</w:t>
            </w:r>
          </w:p>
        </w:tc>
      </w:tr>
      <w:tr w:rsidR="005240FA" w:rsidRPr="00684A3E" w14:paraId="10F518FB" w14:textId="77777777" w:rsidTr="00CF7652">
        <w:trPr>
          <w:trHeight w:val="540"/>
          <w:jc w:val="center"/>
        </w:trPr>
        <w:tc>
          <w:tcPr>
            <w:tcW w:w="5032" w:type="dxa"/>
            <w:tcBorders>
              <w:top w:val="single" w:sz="4" w:space="0" w:color="auto"/>
              <w:left w:val="single" w:sz="4" w:space="0" w:color="auto"/>
              <w:bottom w:val="single" w:sz="4" w:space="0" w:color="auto"/>
              <w:right w:val="single" w:sz="4" w:space="0" w:color="auto"/>
            </w:tcBorders>
            <w:hideMark/>
          </w:tcPr>
          <w:p w14:paraId="281FA17B" w14:textId="77777777" w:rsidR="005240FA" w:rsidRPr="00684A3E" w:rsidRDefault="005240FA" w:rsidP="0015400D">
            <w:pPr>
              <w:pStyle w:val="GTTTabla"/>
              <w:spacing w:line="360" w:lineRule="auto"/>
              <w:jc w:val="both"/>
              <w:rPr>
                <w:rFonts w:ascii="Arial" w:hAnsi="Arial" w:cs="Arial"/>
                <w:sz w:val="20"/>
                <w:szCs w:val="20"/>
              </w:rPr>
            </w:pPr>
            <w:r w:rsidRPr="00684A3E">
              <w:rPr>
                <w:rFonts w:ascii="Arial" w:hAnsi="Arial" w:cs="Arial"/>
                <w:sz w:val="20"/>
                <w:szCs w:val="20"/>
              </w:rPr>
              <w:t>Tolerancias dimensionales.</w:t>
            </w:r>
          </w:p>
        </w:tc>
        <w:tc>
          <w:tcPr>
            <w:tcW w:w="3612" w:type="dxa"/>
            <w:tcBorders>
              <w:top w:val="single" w:sz="4" w:space="0" w:color="auto"/>
              <w:left w:val="single" w:sz="4" w:space="0" w:color="auto"/>
              <w:bottom w:val="single" w:sz="4" w:space="0" w:color="auto"/>
              <w:right w:val="single" w:sz="4" w:space="0" w:color="auto"/>
            </w:tcBorders>
            <w:hideMark/>
          </w:tcPr>
          <w:p w14:paraId="6082B20A" w14:textId="77777777" w:rsidR="005240FA" w:rsidRPr="00684A3E" w:rsidRDefault="005240FA" w:rsidP="0015400D">
            <w:pPr>
              <w:pStyle w:val="GTTTabla"/>
              <w:spacing w:line="360" w:lineRule="auto"/>
              <w:jc w:val="both"/>
              <w:rPr>
                <w:rFonts w:ascii="Arial" w:hAnsi="Arial" w:cs="Arial"/>
                <w:sz w:val="20"/>
                <w:szCs w:val="20"/>
              </w:rPr>
            </w:pPr>
            <w:r w:rsidRPr="00684A3E">
              <w:rPr>
                <w:rFonts w:ascii="Arial" w:hAnsi="Arial" w:cs="Arial"/>
                <w:sz w:val="20"/>
                <w:szCs w:val="20"/>
              </w:rPr>
              <w:t>EHE-08</w:t>
            </w:r>
          </w:p>
        </w:tc>
      </w:tr>
      <w:tr w:rsidR="005240FA" w:rsidRPr="00684A3E" w14:paraId="50F5BF28" w14:textId="77777777" w:rsidTr="00CF7652">
        <w:trPr>
          <w:trHeight w:val="540"/>
          <w:jc w:val="center"/>
        </w:trPr>
        <w:tc>
          <w:tcPr>
            <w:tcW w:w="5032" w:type="dxa"/>
            <w:tcBorders>
              <w:top w:val="single" w:sz="4" w:space="0" w:color="auto"/>
              <w:left w:val="single" w:sz="4" w:space="0" w:color="auto"/>
              <w:bottom w:val="single" w:sz="4" w:space="0" w:color="auto"/>
              <w:right w:val="single" w:sz="4" w:space="0" w:color="auto"/>
            </w:tcBorders>
            <w:hideMark/>
          </w:tcPr>
          <w:p w14:paraId="25CC0584" w14:textId="77777777" w:rsidR="005240FA" w:rsidRPr="00684A3E" w:rsidRDefault="005240FA" w:rsidP="0015400D">
            <w:pPr>
              <w:pStyle w:val="GTTTabla"/>
              <w:spacing w:line="360" w:lineRule="auto"/>
              <w:jc w:val="both"/>
              <w:rPr>
                <w:rFonts w:ascii="Arial" w:hAnsi="Arial" w:cs="Arial"/>
                <w:sz w:val="20"/>
                <w:szCs w:val="20"/>
              </w:rPr>
            </w:pPr>
            <w:r w:rsidRPr="00684A3E">
              <w:rPr>
                <w:rFonts w:ascii="Arial" w:hAnsi="Arial" w:cs="Arial"/>
                <w:sz w:val="20"/>
                <w:szCs w:val="20"/>
              </w:rPr>
              <w:t>Tamaño máximo de fisuras bajo la acción de las cargas permanentes en elementos armados y pretensados.</w:t>
            </w:r>
          </w:p>
        </w:tc>
        <w:tc>
          <w:tcPr>
            <w:tcW w:w="3612" w:type="dxa"/>
            <w:tcBorders>
              <w:top w:val="single" w:sz="4" w:space="0" w:color="auto"/>
              <w:left w:val="single" w:sz="4" w:space="0" w:color="auto"/>
              <w:bottom w:val="single" w:sz="4" w:space="0" w:color="auto"/>
              <w:right w:val="single" w:sz="4" w:space="0" w:color="auto"/>
            </w:tcBorders>
            <w:hideMark/>
          </w:tcPr>
          <w:p w14:paraId="1EFC5280" w14:textId="77777777" w:rsidR="005240FA" w:rsidRPr="00684A3E" w:rsidRDefault="005240FA" w:rsidP="0015400D">
            <w:pPr>
              <w:pStyle w:val="GTTTabla"/>
              <w:spacing w:line="360" w:lineRule="auto"/>
              <w:jc w:val="both"/>
              <w:rPr>
                <w:rFonts w:ascii="Arial" w:hAnsi="Arial" w:cs="Arial"/>
                <w:sz w:val="20"/>
                <w:szCs w:val="20"/>
              </w:rPr>
            </w:pPr>
            <w:r w:rsidRPr="00684A3E">
              <w:rPr>
                <w:rFonts w:ascii="Arial" w:hAnsi="Arial" w:cs="Arial"/>
                <w:sz w:val="20"/>
                <w:szCs w:val="20"/>
              </w:rPr>
              <w:t>Inspección visual y medición con fisurómetro. Parámetros de aceptación según EHE-08.</w:t>
            </w:r>
          </w:p>
        </w:tc>
      </w:tr>
    </w:tbl>
    <w:p w14:paraId="7EB34662" w14:textId="77777777" w:rsidR="005240FA" w:rsidRDefault="005240FA" w:rsidP="005240FA">
      <w:pPr>
        <w:pStyle w:val="Descripcin"/>
      </w:pPr>
    </w:p>
    <w:p w14:paraId="3EA00A2C" w14:textId="77777777" w:rsidR="005240FA" w:rsidRDefault="005240FA" w:rsidP="005240FA">
      <w:pPr>
        <w:pStyle w:val="Descripcin"/>
        <w:rPr>
          <w:rFonts w:ascii="Arial" w:hAnsi="Arial" w:cs="Arial"/>
          <w:b w:val="0"/>
          <w:i/>
          <w:noProof w:val="0"/>
          <w:szCs w:val="24"/>
          <w:u w:val="single"/>
          <w:lang w:val="es-ES_tradnl"/>
        </w:rPr>
      </w:pPr>
      <w:r w:rsidRPr="00593D99">
        <w:rPr>
          <w:rFonts w:ascii="Arial" w:hAnsi="Arial" w:cs="Arial"/>
          <w:b w:val="0"/>
          <w:i/>
          <w:noProof w:val="0"/>
          <w:szCs w:val="24"/>
          <w:u w:val="single"/>
          <w:lang w:val="es-ES_tradnl"/>
        </w:rPr>
        <w:t>Tratamiento de no conformidades</w:t>
      </w:r>
    </w:p>
    <w:p w14:paraId="1CB31B78" w14:textId="77777777" w:rsidR="005240FA" w:rsidRPr="00342B08" w:rsidRDefault="005240FA" w:rsidP="005240FA">
      <w:pPr>
        <w:rPr>
          <w:lang w:val="es-ES_tradnl" w:eastAsia="en-US"/>
        </w:rPr>
      </w:pPr>
    </w:p>
    <w:tbl>
      <w:tblPr>
        <w:tblW w:w="8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17"/>
        <w:gridCol w:w="5098"/>
      </w:tblGrid>
      <w:tr w:rsidR="005240FA" w:rsidRPr="00684A3E" w14:paraId="587A6B67" w14:textId="77777777" w:rsidTr="00684A3E">
        <w:trPr>
          <w:tblHeader/>
        </w:trPr>
        <w:tc>
          <w:tcPr>
            <w:tcW w:w="36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318A23" w14:textId="77777777" w:rsidR="005240FA" w:rsidRPr="00684A3E" w:rsidRDefault="005240FA" w:rsidP="0015400D">
            <w:pPr>
              <w:pStyle w:val="GTTTtuloTabla"/>
              <w:rPr>
                <w:rFonts w:ascii="Arial" w:hAnsi="Arial" w:cs="Arial"/>
                <w:sz w:val="20"/>
                <w:szCs w:val="20"/>
              </w:rPr>
            </w:pPr>
            <w:r w:rsidRPr="00684A3E">
              <w:rPr>
                <w:rFonts w:ascii="Arial" w:hAnsi="Arial" w:cs="Arial"/>
                <w:sz w:val="20"/>
                <w:szCs w:val="20"/>
              </w:rPr>
              <w:t>No Conformidades</w:t>
            </w:r>
          </w:p>
        </w:tc>
        <w:tc>
          <w:tcPr>
            <w:tcW w:w="509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D8D1563" w14:textId="77777777" w:rsidR="005240FA" w:rsidRPr="00684A3E" w:rsidRDefault="005240FA" w:rsidP="0015400D">
            <w:pPr>
              <w:pStyle w:val="GTTTtuloTabla"/>
              <w:rPr>
                <w:rFonts w:ascii="Arial" w:hAnsi="Arial" w:cs="Arial"/>
                <w:sz w:val="20"/>
                <w:szCs w:val="20"/>
              </w:rPr>
            </w:pPr>
            <w:r w:rsidRPr="00684A3E">
              <w:rPr>
                <w:rFonts w:ascii="Arial" w:hAnsi="Arial" w:cs="Arial"/>
                <w:sz w:val="20"/>
                <w:szCs w:val="20"/>
              </w:rPr>
              <w:t xml:space="preserve">Tratamiento </w:t>
            </w:r>
            <w:r w:rsidR="00684A3E" w:rsidRPr="00684A3E">
              <w:rPr>
                <w:rFonts w:ascii="Arial" w:hAnsi="Arial" w:cs="Arial"/>
                <w:sz w:val="20"/>
                <w:szCs w:val="20"/>
              </w:rPr>
              <w:t>de no conformidades</w:t>
            </w:r>
          </w:p>
        </w:tc>
      </w:tr>
      <w:tr w:rsidR="005240FA" w:rsidRPr="00684A3E" w14:paraId="50DBCB89" w14:textId="77777777" w:rsidTr="0015400D">
        <w:tc>
          <w:tcPr>
            <w:tcW w:w="3615" w:type="dxa"/>
            <w:tcBorders>
              <w:top w:val="single" w:sz="4" w:space="0" w:color="auto"/>
              <w:left w:val="single" w:sz="4" w:space="0" w:color="auto"/>
              <w:bottom w:val="single" w:sz="4" w:space="0" w:color="auto"/>
              <w:right w:val="single" w:sz="4" w:space="0" w:color="auto"/>
            </w:tcBorders>
            <w:hideMark/>
          </w:tcPr>
          <w:p w14:paraId="6B7732BF" w14:textId="77777777" w:rsidR="005240FA" w:rsidRPr="00684A3E" w:rsidRDefault="005240FA" w:rsidP="0015400D">
            <w:pPr>
              <w:pStyle w:val="GTTTabla"/>
              <w:rPr>
                <w:rFonts w:ascii="Arial" w:hAnsi="Arial" w:cs="Arial"/>
                <w:sz w:val="20"/>
                <w:szCs w:val="20"/>
              </w:rPr>
            </w:pPr>
            <w:r w:rsidRPr="00684A3E">
              <w:rPr>
                <w:rFonts w:ascii="Arial" w:hAnsi="Arial" w:cs="Arial"/>
                <w:sz w:val="20"/>
                <w:szCs w:val="20"/>
              </w:rPr>
              <w:t>Existencia de coqueras superficiales.</w:t>
            </w:r>
          </w:p>
        </w:tc>
        <w:tc>
          <w:tcPr>
            <w:tcW w:w="5095" w:type="dxa"/>
            <w:tcBorders>
              <w:top w:val="single" w:sz="4" w:space="0" w:color="auto"/>
              <w:left w:val="single" w:sz="4" w:space="0" w:color="auto"/>
              <w:bottom w:val="single" w:sz="4" w:space="0" w:color="auto"/>
              <w:right w:val="single" w:sz="4" w:space="0" w:color="auto"/>
            </w:tcBorders>
            <w:hideMark/>
          </w:tcPr>
          <w:p w14:paraId="56E2AB8B" w14:textId="77777777" w:rsidR="005240FA" w:rsidRPr="00684A3E" w:rsidRDefault="005240FA" w:rsidP="0015400D">
            <w:pPr>
              <w:pStyle w:val="GTTTabla"/>
              <w:rPr>
                <w:rFonts w:ascii="Arial" w:hAnsi="Arial" w:cs="Arial"/>
                <w:sz w:val="20"/>
                <w:szCs w:val="20"/>
              </w:rPr>
            </w:pPr>
            <w:r w:rsidRPr="00684A3E">
              <w:rPr>
                <w:rFonts w:ascii="Arial" w:hAnsi="Arial" w:cs="Arial"/>
                <w:sz w:val="20"/>
                <w:szCs w:val="20"/>
              </w:rPr>
              <w:t>No se acepta, se corregirá y los gastos serán por cuenta del Contratista.</w:t>
            </w:r>
          </w:p>
        </w:tc>
      </w:tr>
      <w:tr w:rsidR="005240FA" w:rsidRPr="00684A3E" w14:paraId="199DE96B" w14:textId="77777777" w:rsidTr="0015400D">
        <w:tc>
          <w:tcPr>
            <w:tcW w:w="3615" w:type="dxa"/>
            <w:tcBorders>
              <w:top w:val="single" w:sz="4" w:space="0" w:color="auto"/>
              <w:left w:val="single" w:sz="4" w:space="0" w:color="auto"/>
              <w:bottom w:val="single" w:sz="4" w:space="0" w:color="auto"/>
              <w:right w:val="single" w:sz="4" w:space="0" w:color="auto"/>
            </w:tcBorders>
            <w:hideMark/>
          </w:tcPr>
          <w:p w14:paraId="1B1C3105" w14:textId="77777777" w:rsidR="005240FA" w:rsidRPr="00684A3E" w:rsidRDefault="005240FA" w:rsidP="0015400D">
            <w:pPr>
              <w:pStyle w:val="GTTTabla"/>
              <w:rPr>
                <w:rFonts w:ascii="Arial" w:hAnsi="Arial" w:cs="Arial"/>
                <w:sz w:val="20"/>
                <w:szCs w:val="20"/>
              </w:rPr>
            </w:pPr>
            <w:r w:rsidRPr="00684A3E">
              <w:rPr>
                <w:rFonts w:ascii="Arial" w:hAnsi="Arial" w:cs="Arial"/>
                <w:sz w:val="20"/>
                <w:szCs w:val="20"/>
              </w:rPr>
              <w:t>Disminución de resistencia característica.</w:t>
            </w:r>
          </w:p>
        </w:tc>
        <w:tc>
          <w:tcPr>
            <w:tcW w:w="5095" w:type="dxa"/>
            <w:tcBorders>
              <w:top w:val="single" w:sz="4" w:space="0" w:color="auto"/>
              <w:left w:val="single" w:sz="4" w:space="0" w:color="auto"/>
              <w:bottom w:val="single" w:sz="4" w:space="0" w:color="auto"/>
              <w:right w:val="single" w:sz="4" w:space="0" w:color="auto"/>
            </w:tcBorders>
            <w:hideMark/>
          </w:tcPr>
          <w:p w14:paraId="23915606" w14:textId="77777777" w:rsidR="005240FA" w:rsidRPr="00684A3E" w:rsidRDefault="005240FA" w:rsidP="0015400D">
            <w:pPr>
              <w:pStyle w:val="GTTTabla"/>
              <w:rPr>
                <w:rFonts w:ascii="Arial" w:hAnsi="Arial" w:cs="Arial"/>
                <w:sz w:val="20"/>
                <w:szCs w:val="20"/>
              </w:rPr>
            </w:pPr>
            <w:r w:rsidRPr="00684A3E">
              <w:rPr>
                <w:rFonts w:ascii="Arial" w:hAnsi="Arial" w:cs="Arial"/>
                <w:sz w:val="20"/>
                <w:szCs w:val="20"/>
              </w:rPr>
              <w:t>Condiciones de aceptación según EHE-08.</w:t>
            </w:r>
          </w:p>
        </w:tc>
      </w:tr>
      <w:tr w:rsidR="005240FA" w:rsidRPr="00684A3E" w14:paraId="37DD594F" w14:textId="77777777" w:rsidTr="0015400D">
        <w:tc>
          <w:tcPr>
            <w:tcW w:w="3615" w:type="dxa"/>
            <w:tcBorders>
              <w:top w:val="single" w:sz="4" w:space="0" w:color="auto"/>
              <w:left w:val="single" w:sz="4" w:space="0" w:color="auto"/>
              <w:bottom w:val="single" w:sz="4" w:space="0" w:color="auto"/>
              <w:right w:val="single" w:sz="4" w:space="0" w:color="auto"/>
            </w:tcBorders>
            <w:hideMark/>
          </w:tcPr>
          <w:p w14:paraId="5A105B0D" w14:textId="77777777" w:rsidR="005240FA" w:rsidRPr="00684A3E" w:rsidRDefault="005240FA" w:rsidP="0015400D">
            <w:pPr>
              <w:pStyle w:val="GTTTabla"/>
              <w:keepNext/>
              <w:rPr>
                <w:rFonts w:ascii="Arial" w:hAnsi="Arial" w:cs="Arial"/>
                <w:sz w:val="20"/>
                <w:szCs w:val="20"/>
              </w:rPr>
            </w:pPr>
            <w:r w:rsidRPr="00684A3E">
              <w:rPr>
                <w:rFonts w:ascii="Arial" w:hAnsi="Arial" w:cs="Arial"/>
                <w:sz w:val="20"/>
                <w:szCs w:val="20"/>
              </w:rPr>
              <w:t>Tolerancias dimensionales superiores, al alza o la baja, a las especificadas.</w:t>
            </w:r>
          </w:p>
        </w:tc>
        <w:tc>
          <w:tcPr>
            <w:tcW w:w="5095" w:type="dxa"/>
            <w:tcBorders>
              <w:top w:val="single" w:sz="4" w:space="0" w:color="auto"/>
              <w:left w:val="single" w:sz="4" w:space="0" w:color="auto"/>
              <w:bottom w:val="single" w:sz="4" w:space="0" w:color="auto"/>
              <w:right w:val="single" w:sz="4" w:space="0" w:color="auto"/>
            </w:tcBorders>
            <w:hideMark/>
          </w:tcPr>
          <w:p w14:paraId="4081EFDE" w14:textId="77777777" w:rsidR="005240FA" w:rsidRPr="00684A3E" w:rsidRDefault="005240FA" w:rsidP="0015400D">
            <w:pPr>
              <w:pStyle w:val="GTTTabla"/>
              <w:keepNext/>
              <w:jc w:val="both"/>
              <w:rPr>
                <w:rFonts w:ascii="Arial" w:hAnsi="Arial" w:cs="Arial"/>
                <w:sz w:val="20"/>
                <w:szCs w:val="20"/>
              </w:rPr>
            </w:pPr>
            <w:r w:rsidRPr="00684A3E">
              <w:rPr>
                <w:rFonts w:ascii="Arial" w:hAnsi="Arial" w:cs="Arial"/>
                <w:sz w:val="20"/>
                <w:szCs w:val="20"/>
              </w:rPr>
              <w:t>No se acepta, se corregirá y los gastos serán por cuenta del Contratista.</w:t>
            </w:r>
          </w:p>
          <w:p w14:paraId="53DBF1F0" w14:textId="77777777" w:rsidR="005240FA" w:rsidRPr="00684A3E" w:rsidRDefault="005240FA" w:rsidP="0015400D">
            <w:pPr>
              <w:pStyle w:val="GTTTabla"/>
              <w:keepNext/>
              <w:jc w:val="both"/>
              <w:rPr>
                <w:rFonts w:ascii="Arial" w:hAnsi="Arial" w:cs="Arial"/>
                <w:sz w:val="20"/>
                <w:szCs w:val="20"/>
              </w:rPr>
            </w:pPr>
            <w:r w:rsidRPr="00684A3E">
              <w:rPr>
                <w:rFonts w:ascii="Arial" w:hAnsi="Arial" w:cs="Arial"/>
                <w:sz w:val="20"/>
                <w:szCs w:val="20"/>
              </w:rPr>
              <w:t xml:space="preserve">Si no es posible la reparación y la unidad terminada es admisible desde el punto de vista estructural y funcional, se aceptará la unidad abonando el 90% del precio del C.P. </w:t>
            </w:r>
            <w:proofErr w:type="spellStart"/>
            <w:r w:rsidRPr="00684A3E">
              <w:rPr>
                <w:rFonts w:ascii="Arial" w:hAnsi="Arial" w:cs="Arial"/>
                <w:sz w:val="20"/>
                <w:szCs w:val="20"/>
              </w:rPr>
              <w:t>nº</w:t>
            </w:r>
            <w:proofErr w:type="spellEnd"/>
            <w:r w:rsidRPr="00684A3E">
              <w:rPr>
                <w:rFonts w:ascii="Arial" w:hAnsi="Arial" w:cs="Arial"/>
                <w:sz w:val="20"/>
                <w:szCs w:val="20"/>
              </w:rPr>
              <w:t xml:space="preserve"> 1</w:t>
            </w:r>
          </w:p>
        </w:tc>
      </w:tr>
      <w:tr w:rsidR="005240FA" w:rsidRPr="00684A3E" w14:paraId="62F2CCF6" w14:textId="77777777" w:rsidTr="0015400D">
        <w:tc>
          <w:tcPr>
            <w:tcW w:w="3615" w:type="dxa"/>
            <w:tcBorders>
              <w:top w:val="single" w:sz="4" w:space="0" w:color="auto"/>
              <w:left w:val="single" w:sz="4" w:space="0" w:color="auto"/>
              <w:bottom w:val="single" w:sz="4" w:space="0" w:color="auto"/>
              <w:right w:val="single" w:sz="4" w:space="0" w:color="auto"/>
            </w:tcBorders>
            <w:hideMark/>
          </w:tcPr>
          <w:p w14:paraId="41B7EC5D" w14:textId="77777777" w:rsidR="005240FA" w:rsidRPr="00684A3E" w:rsidRDefault="005240FA" w:rsidP="0015400D">
            <w:pPr>
              <w:pStyle w:val="GTTTabla"/>
              <w:rPr>
                <w:rFonts w:ascii="Arial" w:hAnsi="Arial" w:cs="Arial"/>
                <w:sz w:val="20"/>
                <w:szCs w:val="20"/>
              </w:rPr>
            </w:pPr>
            <w:r w:rsidRPr="00684A3E">
              <w:rPr>
                <w:rFonts w:ascii="Arial" w:hAnsi="Arial" w:cs="Arial"/>
                <w:sz w:val="20"/>
                <w:szCs w:val="20"/>
              </w:rPr>
              <w:t>Existencia de fisuras en elementos pretensados o armados, superiores a los límites admisibles según ambiente de exposición.</w:t>
            </w:r>
          </w:p>
        </w:tc>
        <w:tc>
          <w:tcPr>
            <w:tcW w:w="5095" w:type="dxa"/>
            <w:tcBorders>
              <w:top w:val="single" w:sz="4" w:space="0" w:color="auto"/>
              <w:left w:val="single" w:sz="4" w:space="0" w:color="auto"/>
              <w:bottom w:val="single" w:sz="4" w:space="0" w:color="auto"/>
              <w:right w:val="single" w:sz="4" w:space="0" w:color="auto"/>
            </w:tcBorders>
            <w:hideMark/>
          </w:tcPr>
          <w:p w14:paraId="47F37C42" w14:textId="77777777" w:rsidR="005240FA" w:rsidRPr="00684A3E" w:rsidRDefault="005240FA" w:rsidP="0015400D">
            <w:pPr>
              <w:pStyle w:val="GTTTabla"/>
              <w:jc w:val="both"/>
              <w:rPr>
                <w:rFonts w:ascii="Arial" w:hAnsi="Arial" w:cs="Arial"/>
                <w:sz w:val="20"/>
                <w:szCs w:val="20"/>
              </w:rPr>
            </w:pPr>
            <w:r w:rsidRPr="00684A3E">
              <w:rPr>
                <w:rFonts w:ascii="Arial" w:hAnsi="Arial" w:cs="Arial"/>
                <w:sz w:val="20"/>
                <w:szCs w:val="20"/>
              </w:rPr>
              <w:t>Las fisuras se inyectarán y los gastos serán por cuenta del Contratista.</w:t>
            </w:r>
          </w:p>
        </w:tc>
      </w:tr>
    </w:tbl>
    <w:p w14:paraId="17ADE32B" w14:textId="77777777" w:rsidR="005240FA" w:rsidRDefault="005240FA" w:rsidP="005240FA">
      <w:pPr>
        <w:rPr>
          <w:lang w:val="es-ES_tradnl" w:eastAsia="en-US"/>
        </w:rPr>
      </w:pPr>
    </w:p>
    <w:p w14:paraId="04F0AE62" w14:textId="77777777" w:rsidR="005240FA" w:rsidRPr="00342B08" w:rsidRDefault="005240FA" w:rsidP="005240FA">
      <w:pPr>
        <w:pStyle w:val="NORMAL12"/>
      </w:pPr>
      <w:proofErr w:type="gramStart"/>
      <w:r w:rsidRPr="00342B08">
        <w:t>Todos los tratamiento</w:t>
      </w:r>
      <w:proofErr w:type="gramEnd"/>
      <w:r w:rsidRPr="00342B08">
        <w:t xml:space="preserve"> de no conformidades llevados a cabo serán verificados y autorizados por el </w:t>
      </w:r>
      <w:proofErr w:type="gramStart"/>
      <w:r w:rsidRPr="00342B08">
        <w:t>Director</w:t>
      </w:r>
      <w:proofErr w:type="gramEnd"/>
      <w:r w:rsidRPr="00342B08">
        <w:t xml:space="preserve"> de Obra </w:t>
      </w:r>
    </w:p>
    <w:p w14:paraId="205E9D33" w14:textId="77777777" w:rsidR="005240FA" w:rsidRPr="00AB0476" w:rsidRDefault="005240FA" w:rsidP="000313DD">
      <w:pPr>
        <w:pStyle w:val="TITU2"/>
      </w:pPr>
      <w:bookmarkStart w:id="688" w:name="_Toc492537788"/>
      <w:bookmarkStart w:id="689" w:name="_Toc400741544"/>
      <w:bookmarkStart w:id="690" w:name="_Toc399508997"/>
      <w:bookmarkStart w:id="691" w:name="_Toc404407"/>
      <w:r w:rsidRPr="00AB0476">
        <w:t>610.7.</w:t>
      </w:r>
      <w:r w:rsidR="008F328B">
        <w:t xml:space="preserve"> </w:t>
      </w:r>
      <w:r w:rsidRPr="00AB0476">
        <w:tab/>
        <w:t>Control de calidad</w:t>
      </w:r>
      <w:bookmarkEnd w:id="688"/>
      <w:bookmarkEnd w:id="689"/>
      <w:bookmarkEnd w:id="690"/>
      <w:bookmarkEnd w:id="691"/>
    </w:p>
    <w:p w14:paraId="68C17ED3" w14:textId="77777777" w:rsidR="005240FA" w:rsidRDefault="005240FA" w:rsidP="005240FA">
      <w:pPr>
        <w:pStyle w:val="NORMAL12"/>
      </w:pPr>
      <w:r>
        <w:t>Se describe seguidamente el control de calidad de recepción de hormigones y de los materiales componentes excepto armaduras, cuyo control de calidad se define en la cláusula correspondiente de este Pliego. El objeto del control de calidad de recepción es garantizar que la obra terminada tiene las características de calidad, resistentes y funcionales, especificadas en proyecto, en virtud del control de calidad de los materiales empleados y del control de la ejecución.</w:t>
      </w:r>
    </w:p>
    <w:p w14:paraId="622B4190" w14:textId="77777777" w:rsidR="005240FA" w:rsidRDefault="005240FA" w:rsidP="005240FA">
      <w:pPr>
        <w:pStyle w:val="NORMAL12"/>
      </w:pPr>
      <w:r>
        <w:lastRenderedPageBreak/>
        <w:t xml:space="preserve">Una vez realizados todos los controles de calidad durante la ejecución de la unidad aquí indicados, su aceptación final se realizará basándose en los criterios especificados en el epígrafe de </w:t>
      </w:r>
      <w:r w:rsidRPr="007B6DC6">
        <w:t>Aceptación final</w:t>
      </w:r>
      <w:r>
        <w:t xml:space="preserve"> de este Artículo.</w:t>
      </w:r>
    </w:p>
    <w:p w14:paraId="307F1425" w14:textId="77777777" w:rsidR="005240FA" w:rsidRPr="007B6DC6" w:rsidRDefault="005240FA" w:rsidP="005240FA">
      <w:pPr>
        <w:pStyle w:val="NORMAL12"/>
        <w:rPr>
          <w:i/>
          <w:u w:val="single"/>
        </w:rPr>
      </w:pPr>
      <w:bookmarkStart w:id="692" w:name="_Toc492537789"/>
      <w:bookmarkStart w:id="693" w:name="_Toc400741545"/>
      <w:bookmarkStart w:id="694" w:name="_Toc399508998"/>
      <w:r w:rsidRPr="007B6DC6">
        <w:rPr>
          <w:i/>
          <w:u w:val="single"/>
        </w:rPr>
        <w:t>Control de calidad de materiales</w:t>
      </w:r>
      <w:bookmarkEnd w:id="692"/>
      <w:bookmarkEnd w:id="693"/>
      <w:bookmarkEnd w:id="694"/>
    </w:p>
    <w:p w14:paraId="16349953" w14:textId="77777777" w:rsidR="005240FA" w:rsidRDefault="005240FA" w:rsidP="005240FA">
      <w:pPr>
        <w:pStyle w:val="NORMAL12"/>
      </w:pPr>
      <w:r>
        <w:t xml:space="preserve">El control de calidad de materiales se realizará acorde al </w:t>
      </w:r>
      <w:r w:rsidRPr="007B6DC6">
        <w:t>Título 8º-Control</w:t>
      </w:r>
      <w:r>
        <w:t xml:space="preserve"> de la Instrucción de Hormigón Estructural EHE-08. </w:t>
      </w:r>
    </w:p>
    <w:p w14:paraId="7AEABC5F" w14:textId="77777777" w:rsidR="005240FA" w:rsidRDefault="005240FA" w:rsidP="005240FA">
      <w:pPr>
        <w:pStyle w:val="NORMAL12"/>
      </w:pPr>
      <w:r>
        <w:t>El control de calidad de los materiales comprende las siguientes actividades:</w:t>
      </w:r>
    </w:p>
    <w:p w14:paraId="1A4983B2" w14:textId="77777777" w:rsidR="005240FA" w:rsidRDefault="005240FA" w:rsidP="005240FA">
      <w:pPr>
        <w:pStyle w:val="NORMAL12"/>
        <w:numPr>
          <w:ilvl w:val="0"/>
          <w:numId w:val="77"/>
        </w:numPr>
      </w:pPr>
      <w:r>
        <w:t>Control de los componentes del hormigón</w:t>
      </w:r>
    </w:p>
    <w:p w14:paraId="114E0ED2" w14:textId="77777777" w:rsidR="005240FA" w:rsidRDefault="005240FA" w:rsidP="005240FA">
      <w:pPr>
        <w:pStyle w:val="NORMAL12"/>
        <w:numPr>
          <w:ilvl w:val="0"/>
          <w:numId w:val="77"/>
        </w:numPr>
      </w:pPr>
      <w:r>
        <w:t>Control de calidad del hormigón, que comprende, a su vez:</w:t>
      </w:r>
    </w:p>
    <w:p w14:paraId="7A9B48E1" w14:textId="77777777" w:rsidR="005240FA" w:rsidRDefault="005240FA" w:rsidP="005240FA">
      <w:pPr>
        <w:pStyle w:val="NORMAL12"/>
        <w:numPr>
          <w:ilvl w:val="1"/>
          <w:numId w:val="77"/>
        </w:numPr>
      </w:pPr>
      <w:r>
        <w:t>Control de la consistencia</w:t>
      </w:r>
    </w:p>
    <w:p w14:paraId="3247E197" w14:textId="77777777" w:rsidR="005240FA" w:rsidRDefault="005240FA" w:rsidP="005240FA">
      <w:pPr>
        <w:pStyle w:val="NORMAL12"/>
        <w:numPr>
          <w:ilvl w:val="1"/>
          <w:numId w:val="77"/>
        </w:numPr>
      </w:pPr>
      <w:r>
        <w:t>Control de la resistencia</w:t>
      </w:r>
    </w:p>
    <w:p w14:paraId="0AA62F75" w14:textId="77777777" w:rsidR="005240FA" w:rsidRDefault="005240FA" w:rsidP="005240FA">
      <w:pPr>
        <w:pStyle w:val="NORMAL12"/>
        <w:numPr>
          <w:ilvl w:val="1"/>
          <w:numId w:val="77"/>
        </w:numPr>
      </w:pPr>
      <w:r>
        <w:t>Control de las especificaciones relativas a la durabilidad</w:t>
      </w:r>
    </w:p>
    <w:p w14:paraId="24774790" w14:textId="77777777" w:rsidR="005240FA" w:rsidRDefault="005240FA" w:rsidP="005240FA">
      <w:pPr>
        <w:pStyle w:val="NORMAL12"/>
      </w:pPr>
      <w:r>
        <w:t>Seguidamente se indican los controles y las particularidades de aplicación a este Pliego.</w:t>
      </w:r>
    </w:p>
    <w:tbl>
      <w:tblPr>
        <w:tblW w:w="5000" w:type="pct"/>
        <w:jc w:val="center"/>
        <w:tblBorders>
          <w:top w:val="single" w:sz="8" w:space="0" w:color="auto"/>
          <w:left w:val="single" w:sz="8" w:space="0" w:color="auto"/>
          <w:bottom w:val="single" w:sz="8" w:space="0" w:color="auto"/>
          <w:right w:val="single" w:sz="8" w:space="0" w:color="auto"/>
        </w:tblBorders>
        <w:tblCellMar>
          <w:left w:w="70" w:type="dxa"/>
          <w:right w:w="70" w:type="dxa"/>
        </w:tblCellMar>
        <w:tblLook w:val="04A0" w:firstRow="1" w:lastRow="0" w:firstColumn="1" w:lastColumn="0" w:noHBand="0" w:noVBand="1"/>
      </w:tblPr>
      <w:tblGrid>
        <w:gridCol w:w="6865"/>
        <w:gridCol w:w="2488"/>
      </w:tblGrid>
      <w:tr w:rsidR="005240FA" w:rsidRPr="008F328B" w14:paraId="3BDAEBC6" w14:textId="77777777" w:rsidTr="00684A3E">
        <w:trPr>
          <w:jc w:val="center"/>
        </w:trPr>
        <w:tc>
          <w:tcPr>
            <w:tcW w:w="5000" w:type="pct"/>
            <w:gridSpan w:val="2"/>
            <w:tcBorders>
              <w:top w:val="single" w:sz="8" w:space="0" w:color="auto"/>
              <w:left w:val="single" w:sz="8" w:space="0" w:color="auto"/>
              <w:bottom w:val="nil"/>
              <w:right w:val="single" w:sz="8" w:space="0" w:color="auto"/>
            </w:tcBorders>
            <w:shd w:val="clear" w:color="auto" w:fill="D9D9D9" w:themeFill="background1" w:themeFillShade="D9"/>
            <w:vAlign w:val="center"/>
            <w:hideMark/>
          </w:tcPr>
          <w:p w14:paraId="0F0131A9" w14:textId="77777777" w:rsidR="005240FA" w:rsidRPr="008F328B" w:rsidRDefault="005240FA" w:rsidP="0015400D">
            <w:pPr>
              <w:pStyle w:val="GTTTabla"/>
              <w:jc w:val="center"/>
              <w:rPr>
                <w:rFonts w:ascii="Arial" w:hAnsi="Arial" w:cs="Arial"/>
                <w:b/>
                <w:sz w:val="20"/>
                <w:szCs w:val="20"/>
              </w:rPr>
            </w:pPr>
            <w:r w:rsidRPr="008F328B">
              <w:rPr>
                <w:rFonts w:ascii="Arial" w:hAnsi="Arial" w:cs="Arial"/>
                <w:b/>
                <w:sz w:val="20"/>
                <w:szCs w:val="20"/>
              </w:rPr>
              <w:t>Control de los componentes del hormigón</w:t>
            </w:r>
          </w:p>
        </w:tc>
      </w:tr>
      <w:tr w:rsidR="005240FA" w:rsidRPr="008F328B" w14:paraId="27DE87A4" w14:textId="77777777" w:rsidTr="008F328B">
        <w:trPr>
          <w:jc w:val="center"/>
        </w:trPr>
        <w:tc>
          <w:tcPr>
            <w:tcW w:w="5000" w:type="pct"/>
            <w:gridSpan w:val="2"/>
            <w:tcBorders>
              <w:top w:val="nil"/>
              <w:left w:val="single" w:sz="8" w:space="0" w:color="auto"/>
              <w:bottom w:val="single" w:sz="8" w:space="0" w:color="auto"/>
              <w:right w:val="single" w:sz="8" w:space="0" w:color="auto"/>
            </w:tcBorders>
            <w:hideMark/>
          </w:tcPr>
          <w:p w14:paraId="5893DA6D" w14:textId="77777777" w:rsidR="005240FA" w:rsidRPr="008F328B" w:rsidRDefault="005240FA" w:rsidP="0015400D">
            <w:pPr>
              <w:pStyle w:val="GTTTabla"/>
              <w:jc w:val="both"/>
              <w:rPr>
                <w:rFonts w:ascii="Arial" w:hAnsi="Arial" w:cs="Arial"/>
                <w:sz w:val="20"/>
                <w:szCs w:val="20"/>
              </w:rPr>
            </w:pPr>
            <w:r w:rsidRPr="008F328B">
              <w:rPr>
                <w:rFonts w:ascii="Arial" w:hAnsi="Arial" w:cs="Arial"/>
                <w:sz w:val="20"/>
                <w:szCs w:val="20"/>
              </w:rPr>
              <w:t>El control de los componentes del hormigón se realizará según las prescripciones de EHE-08.</w:t>
            </w:r>
          </w:p>
          <w:p w14:paraId="3B2F7D16" w14:textId="77777777" w:rsidR="005240FA" w:rsidRPr="008F328B" w:rsidRDefault="005240FA" w:rsidP="0015400D">
            <w:pPr>
              <w:pStyle w:val="GTTTabla"/>
              <w:jc w:val="both"/>
              <w:rPr>
                <w:rFonts w:ascii="Arial" w:hAnsi="Arial" w:cs="Arial"/>
                <w:sz w:val="20"/>
                <w:szCs w:val="20"/>
              </w:rPr>
            </w:pPr>
            <w:r w:rsidRPr="008F328B">
              <w:rPr>
                <w:rFonts w:ascii="Arial" w:hAnsi="Arial" w:cs="Arial"/>
                <w:sz w:val="20"/>
                <w:szCs w:val="20"/>
              </w:rPr>
              <w:t>Si la central productora dispone de un Sello de Marca de Calidad o distintivo reconocido análogo, no será necesario realizar controles de calidad de los materiales componentes del hormigón. En caso contrario, los controles a realizar son los indicados en los siguientes artículos de la instrucción EHE-08:</w:t>
            </w:r>
          </w:p>
        </w:tc>
      </w:tr>
      <w:tr w:rsidR="005240FA" w:rsidRPr="008F328B" w14:paraId="760D5A4B" w14:textId="77777777" w:rsidTr="008F328B">
        <w:trPr>
          <w:jc w:val="center"/>
        </w:trPr>
        <w:tc>
          <w:tcPr>
            <w:tcW w:w="3670" w:type="pct"/>
            <w:tcBorders>
              <w:top w:val="single" w:sz="8" w:space="0" w:color="auto"/>
              <w:left w:val="single" w:sz="8" w:space="0" w:color="auto"/>
              <w:bottom w:val="nil"/>
              <w:right w:val="nil"/>
            </w:tcBorders>
            <w:vAlign w:val="center"/>
            <w:hideMark/>
          </w:tcPr>
          <w:p w14:paraId="1F065F78" w14:textId="77777777" w:rsidR="005240FA" w:rsidRPr="008F328B" w:rsidRDefault="005240FA" w:rsidP="0015400D">
            <w:pPr>
              <w:pStyle w:val="GTTTabla"/>
              <w:jc w:val="center"/>
              <w:rPr>
                <w:rFonts w:ascii="Arial" w:hAnsi="Arial" w:cs="Arial"/>
                <w:b/>
                <w:sz w:val="20"/>
                <w:szCs w:val="20"/>
              </w:rPr>
            </w:pPr>
            <w:r w:rsidRPr="008F328B">
              <w:rPr>
                <w:rFonts w:ascii="Arial" w:hAnsi="Arial" w:cs="Arial"/>
                <w:b/>
                <w:sz w:val="20"/>
                <w:szCs w:val="20"/>
              </w:rPr>
              <w:t>Control</w:t>
            </w:r>
          </w:p>
        </w:tc>
        <w:tc>
          <w:tcPr>
            <w:tcW w:w="1330" w:type="pct"/>
            <w:tcBorders>
              <w:top w:val="single" w:sz="8" w:space="0" w:color="auto"/>
              <w:left w:val="nil"/>
              <w:bottom w:val="nil"/>
              <w:right w:val="single" w:sz="8" w:space="0" w:color="auto"/>
            </w:tcBorders>
            <w:vAlign w:val="center"/>
            <w:hideMark/>
          </w:tcPr>
          <w:p w14:paraId="52893D9C" w14:textId="77777777" w:rsidR="005240FA" w:rsidRPr="008F328B" w:rsidRDefault="005240FA" w:rsidP="0015400D">
            <w:pPr>
              <w:pStyle w:val="GTTTabla"/>
              <w:jc w:val="center"/>
              <w:rPr>
                <w:rFonts w:ascii="Arial" w:hAnsi="Arial" w:cs="Arial"/>
                <w:b/>
                <w:sz w:val="20"/>
                <w:szCs w:val="20"/>
              </w:rPr>
            </w:pPr>
            <w:r w:rsidRPr="008F328B">
              <w:rPr>
                <w:rFonts w:ascii="Arial" w:hAnsi="Arial" w:cs="Arial"/>
                <w:b/>
                <w:sz w:val="20"/>
                <w:szCs w:val="20"/>
              </w:rPr>
              <w:t>Norma</w:t>
            </w:r>
          </w:p>
        </w:tc>
      </w:tr>
      <w:tr w:rsidR="005240FA" w:rsidRPr="008F328B" w14:paraId="2D7FDC2A" w14:textId="77777777" w:rsidTr="008F328B">
        <w:trPr>
          <w:jc w:val="center"/>
        </w:trPr>
        <w:tc>
          <w:tcPr>
            <w:tcW w:w="3670" w:type="pct"/>
            <w:tcBorders>
              <w:top w:val="nil"/>
              <w:left w:val="single" w:sz="8" w:space="0" w:color="auto"/>
              <w:bottom w:val="nil"/>
              <w:right w:val="nil"/>
            </w:tcBorders>
            <w:hideMark/>
          </w:tcPr>
          <w:p w14:paraId="794DDA2A" w14:textId="77777777" w:rsidR="005240FA" w:rsidRPr="008F328B" w:rsidRDefault="005240FA" w:rsidP="0015400D">
            <w:pPr>
              <w:pStyle w:val="GTTTabla"/>
              <w:ind w:left="708"/>
              <w:rPr>
                <w:rFonts w:ascii="Arial" w:hAnsi="Arial" w:cs="Arial"/>
                <w:sz w:val="20"/>
                <w:szCs w:val="20"/>
              </w:rPr>
            </w:pPr>
            <w:r w:rsidRPr="008F328B">
              <w:rPr>
                <w:rFonts w:ascii="Arial" w:hAnsi="Arial" w:cs="Arial"/>
                <w:sz w:val="20"/>
                <w:szCs w:val="20"/>
              </w:rPr>
              <w:t>Control del cemento</w:t>
            </w:r>
          </w:p>
        </w:tc>
        <w:tc>
          <w:tcPr>
            <w:tcW w:w="1330" w:type="pct"/>
            <w:tcBorders>
              <w:top w:val="nil"/>
              <w:left w:val="nil"/>
              <w:bottom w:val="nil"/>
              <w:right w:val="single" w:sz="8" w:space="0" w:color="auto"/>
            </w:tcBorders>
            <w:hideMark/>
          </w:tcPr>
          <w:p w14:paraId="3AB78541" w14:textId="77777777" w:rsidR="005240FA" w:rsidRPr="008F328B" w:rsidRDefault="005240FA" w:rsidP="0015400D">
            <w:pPr>
              <w:pStyle w:val="GTTTabla"/>
              <w:jc w:val="center"/>
              <w:rPr>
                <w:rFonts w:ascii="Arial" w:hAnsi="Arial" w:cs="Arial"/>
                <w:i/>
                <w:sz w:val="20"/>
                <w:szCs w:val="20"/>
              </w:rPr>
            </w:pPr>
            <w:r w:rsidRPr="008F328B">
              <w:rPr>
                <w:rFonts w:ascii="Arial" w:hAnsi="Arial" w:cs="Arial"/>
                <w:i/>
                <w:sz w:val="20"/>
                <w:szCs w:val="20"/>
              </w:rPr>
              <w:t>EHE-08</w:t>
            </w:r>
          </w:p>
        </w:tc>
      </w:tr>
      <w:tr w:rsidR="005240FA" w:rsidRPr="008F328B" w14:paraId="1200049D" w14:textId="77777777" w:rsidTr="008F328B">
        <w:trPr>
          <w:jc w:val="center"/>
        </w:trPr>
        <w:tc>
          <w:tcPr>
            <w:tcW w:w="3670" w:type="pct"/>
            <w:tcBorders>
              <w:top w:val="nil"/>
              <w:left w:val="single" w:sz="8" w:space="0" w:color="auto"/>
              <w:bottom w:val="nil"/>
              <w:right w:val="nil"/>
            </w:tcBorders>
            <w:hideMark/>
          </w:tcPr>
          <w:p w14:paraId="1D2E1106" w14:textId="77777777" w:rsidR="005240FA" w:rsidRPr="008F328B" w:rsidRDefault="005240FA" w:rsidP="0015400D">
            <w:pPr>
              <w:pStyle w:val="GTTTabla"/>
              <w:ind w:left="708"/>
              <w:rPr>
                <w:rFonts w:ascii="Arial" w:hAnsi="Arial" w:cs="Arial"/>
                <w:sz w:val="20"/>
                <w:szCs w:val="20"/>
              </w:rPr>
            </w:pPr>
            <w:r w:rsidRPr="008F328B">
              <w:rPr>
                <w:rFonts w:ascii="Arial" w:hAnsi="Arial" w:cs="Arial"/>
                <w:sz w:val="20"/>
                <w:szCs w:val="20"/>
              </w:rPr>
              <w:t>Control del agua de amasado</w:t>
            </w:r>
          </w:p>
        </w:tc>
        <w:tc>
          <w:tcPr>
            <w:tcW w:w="1330" w:type="pct"/>
            <w:tcBorders>
              <w:top w:val="nil"/>
              <w:left w:val="nil"/>
              <w:bottom w:val="nil"/>
              <w:right w:val="single" w:sz="8" w:space="0" w:color="auto"/>
            </w:tcBorders>
            <w:hideMark/>
          </w:tcPr>
          <w:p w14:paraId="0B4FDDE3" w14:textId="77777777" w:rsidR="005240FA" w:rsidRPr="008F328B" w:rsidRDefault="005240FA" w:rsidP="0015400D">
            <w:pPr>
              <w:pStyle w:val="GTTTabla"/>
              <w:jc w:val="center"/>
              <w:rPr>
                <w:rFonts w:ascii="Arial" w:hAnsi="Arial" w:cs="Arial"/>
                <w:i/>
                <w:sz w:val="20"/>
                <w:szCs w:val="20"/>
              </w:rPr>
            </w:pPr>
            <w:r w:rsidRPr="008F328B">
              <w:rPr>
                <w:rFonts w:ascii="Arial" w:hAnsi="Arial" w:cs="Arial"/>
                <w:i/>
                <w:sz w:val="20"/>
                <w:szCs w:val="20"/>
              </w:rPr>
              <w:t>EHE-08</w:t>
            </w:r>
          </w:p>
        </w:tc>
      </w:tr>
      <w:tr w:rsidR="005240FA" w:rsidRPr="008F328B" w14:paraId="6527E23E" w14:textId="77777777" w:rsidTr="008F328B">
        <w:trPr>
          <w:jc w:val="center"/>
        </w:trPr>
        <w:tc>
          <w:tcPr>
            <w:tcW w:w="3670" w:type="pct"/>
            <w:tcBorders>
              <w:top w:val="nil"/>
              <w:left w:val="single" w:sz="8" w:space="0" w:color="auto"/>
              <w:bottom w:val="nil"/>
              <w:right w:val="nil"/>
            </w:tcBorders>
            <w:hideMark/>
          </w:tcPr>
          <w:p w14:paraId="25BDC8E3" w14:textId="77777777" w:rsidR="005240FA" w:rsidRPr="008F328B" w:rsidRDefault="005240FA" w:rsidP="0015400D">
            <w:pPr>
              <w:pStyle w:val="GTTTabla"/>
              <w:ind w:left="708"/>
              <w:rPr>
                <w:rFonts w:ascii="Arial" w:hAnsi="Arial" w:cs="Arial"/>
                <w:sz w:val="20"/>
                <w:szCs w:val="20"/>
              </w:rPr>
            </w:pPr>
            <w:r w:rsidRPr="008F328B">
              <w:rPr>
                <w:rFonts w:ascii="Arial" w:hAnsi="Arial" w:cs="Arial"/>
                <w:sz w:val="20"/>
                <w:szCs w:val="20"/>
              </w:rPr>
              <w:t>Control de los áridos</w:t>
            </w:r>
          </w:p>
        </w:tc>
        <w:tc>
          <w:tcPr>
            <w:tcW w:w="1330" w:type="pct"/>
            <w:tcBorders>
              <w:top w:val="nil"/>
              <w:left w:val="nil"/>
              <w:bottom w:val="nil"/>
              <w:right w:val="single" w:sz="8" w:space="0" w:color="auto"/>
            </w:tcBorders>
            <w:hideMark/>
          </w:tcPr>
          <w:p w14:paraId="7CD07BBC" w14:textId="77777777" w:rsidR="005240FA" w:rsidRPr="008F328B" w:rsidRDefault="005240FA" w:rsidP="0015400D">
            <w:pPr>
              <w:pStyle w:val="GTTTabla"/>
              <w:jc w:val="center"/>
              <w:rPr>
                <w:rFonts w:ascii="Arial" w:hAnsi="Arial" w:cs="Arial"/>
                <w:i/>
                <w:sz w:val="20"/>
                <w:szCs w:val="20"/>
              </w:rPr>
            </w:pPr>
            <w:r w:rsidRPr="008F328B">
              <w:rPr>
                <w:rFonts w:ascii="Arial" w:hAnsi="Arial" w:cs="Arial"/>
                <w:i/>
                <w:sz w:val="20"/>
                <w:szCs w:val="20"/>
              </w:rPr>
              <w:t>EHE-08</w:t>
            </w:r>
          </w:p>
        </w:tc>
      </w:tr>
      <w:tr w:rsidR="005240FA" w:rsidRPr="008F328B" w14:paraId="750B213D" w14:textId="77777777" w:rsidTr="008F328B">
        <w:trPr>
          <w:jc w:val="center"/>
        </w:trPr>
        <w:tc>
          <w:tcPr>
            <w:tcW w:w="3670" w:type="pct"/>
            <w:tcBorders>
              <w:top w:val="nil"/>
              <w:left w:val="single" w:sz="8" w:space="0" w:color="auto"/>
              <w:bottom w:val="single" w:sz="8" w:space="0" w:color="auto"/>
              <w:right w:val="nil"/>
            </w:tcBorders>
            <w:hideMark/>
          </w:tcPr>
          <w:p w14:paraId="461F439B" w14:textId="77777777" w:rsidR="005240FA" w:rsidRPr="008F328B" w:rsidRDefault="005240FA" w:rsidP="0015400D">
            <w:pPr>
              <w:pStyle w:val="GTTTabla"/>
              <w:ind w:left="708"/>
              <w:rPr>
                <w:rFonts w:ascii="Arial" w:hAnsi="Arial" w:cs="Arial"/>
                <w:sz w:val="20"/>
                <w:szCs w:val="20"/>
              </w:rPr>
            </w:pPr>
            <w:r w:rsidRPr="008F328B">
              <w:rPr>
                <w:rFonts w:ascii="Arial" w:hAnsi="Arial" w:cs="Arial"/>
                <w:sz w:val="20"/>
                <w:szCs w:val="20"/>
              </w:rPr>
              <w:t>Control de aditivos y otros componentes del hormigón</w:t>
            </w:r>
          </w:p>
        </w:tc>
        <w:tc>
          <w:tcPr>
            <w:tcW w:w="1330" w:type="pct"/>
            <w:tcBorders>
              <w:top w:val="nil"/>
              <w:left w:val="nil"/>
              <w:bottom w:val="single" w:sz="8" w:space="0" w:color="auto"/>
              <w:right w:val="single" w:sz="8" w:space="0" w:color="auto"/>
            </w:tcBorders>
            <w:hideMark/>
          </w:tcPr>
          <w:p w14:paraId="38717E68" w14:textId="77777777" w:rsidR="005240FA" w:rsidRPr="008F328B" w:rsidRDefault="005240FA" w:rsidP="0015400D">
            <w:pPr>
              <w:pStyle w:val="GTTTabla"/>
              <w:jc w:val="center"/>
              <w:rPr>
                <w:rFonts w:ascii="Arial" w:hAnsi="Arial" w:cs="Arial"/>
                <w:i/>
                <w:sz w:val="20"/>
                <w:szCs w:val="20"/>
              </w:rPr>
            </w:pPr>
            <w:r w:rsidRPr="008F328B">
              <w:rPr>
                <w:rFonts w:ascii="Arial" w:hAnsi="Arial" w:cs="Arial"/>
                <w:i/>
                <w:sz w:val="20"/>
                <w:szCs w:val="20"/>
              </w:rPr>
              <w:t>EHE-08</w:t>
            </w:r>
          </w:p>
        </w:tc>
      </w:tr>
    </w:tbl>
    <w:p w14:paraId="4707099C" w14:textId="77777777" w:rsidR="005240FA" w:rsidRDefault="005240FA" w:rsidP="005240FA">
      <w:pPr>
        <w:rPr>
          <w:rFonts w:ascii="Arial" w:hAnsi="Arial"/>
          <w:sz w:val="22"/>
          <w:szCs w:val="20"/>
        </w:rPr>
      </w:pPr>
    </w:p>
    <w:p w14:paraId="7408879A" w14:textId="77777777" w:rsidR="008F328B" w:rsidRDefault="00531952" w:rsidP="005240FA">
      <w:pPr>
        <w:rPr>
          <w:rFonts w:ascii="Arial" w:hAnsi="Arial"/>
          <w:sz w:val="22"/>
          <w:szCs w:val="20"/>
        </w:rPr>
      </w:pPr>
      <w:r>
        <w:rPr>
          <w:rFonts w:ascii="Arial" w:hAnsi="Arial"/>
          <w:sz w:val="22"/>
          <w:szCs w:val="20"/>
        </w:rPr>
        <w:br w:type="column"/>
      </w:r>
    </w:p>
    <w:tbl>
      <w:tblPr>
        <w:tblW w:w="5000" w:type="pct"/>
        <w:jc w:val="center"/>
        <w:tblBorders>
          <w:top w:val="single" w:sz="8" w:space="0" w:color="auto"/>
          <w:left w:val="single" w:sz="8" w:space="0" w:color="auto"/>
          <w:bottom w:val="single" w:sz="8" w:space="0" w:color="auto"/>
          <w:right w:val="single" w:sz="8" w:space="0" w:color="auto"/>
        </w:tblBorders>
        <w:tblCellMar>
          <w:left w:w="70" w:type="dxa"/>
          <w:right w:w="70" w:type="dxa"/>
        </w:tblCellMar>
        <w:tblLook w:val="04A0" w:firstRow="1" w:lastRow="0" w:firstColumn="1" w:lastColumn="0" w:noHBand="0" w:noVBand="1"/>
      </w:tblPr>
      <w:tblGrid>
        <w:gridCol w:w="6865"/>
        <w:gridCol w:w="2488"/>
      </w:tblGrid>
      <w:tr w:rsidR="005240FA" w:rsidRPr="008F328B" w14:paraId="6E160E11" w14:textId="77777777" w:rsidTr="00684A3E">
        <w:trPr>
          <w:tblHeader/>
          <w:jc w:val="center"/>
        </w:trPr>
        <w:tc>
          <w:tcPr>
            <w:tcW w:w="5000" w:type="pct"/>
            <w:gridSpan w:val="2"/>
            <w:tcBorders>
              <w:top w:val="single" w:sz="8" w:space="0" w:color="auto"/>
              <w:left w:val="single" w:sz="8" w:space="0" w:color="auto"/>
              <w:bottom w:val="nil"/>
              <w:right w:val="single" w:sz="8" w:space="0" w:color="auto"/>
            </w:tcBorders>
            <w:shd w:val="clear" w:color="auto" w:fill="D9D9D9" w:themeFill="background1" w:themeFillShade="D9"/>
            <w:hideMark/>
          </w:tcPr>
          <w:p w14:paraId="0647084C" w14:textId="77777777" w:rsidR="005240FA" w:rsidRPr="008F328B" w:rsidRDefault="005240FA" w:rsidP="0015400D">
            <w:pPr>
              <w:pStyle w:val="GTTTabla"/>
              <w:jc w:val="center"/>
              <w:rPr>
                <w:rFonts w:ascii="Arial" w:hAnsi="Arial" w:cs="Arial"/>
                <w:b/>
                <w:sz w:val="20"/>
                <w:szCs w:val="20"/>
              </w:rPr>
            </w:pPr>
            <w:r w:rsidRPr="008F328B">
              <w:rPr>
                <w:rFonts w:ascii="Arial" w:hAnsi="Arial" w:cs="Arial"/>
                <w:b/>
                <w:sz w:val="20"/>
                <w:szCs w:val="20"/>
              </w:rPr>
              <w:t>Control de la calidad del hormigón</w:t>
            </w:r>
          </w:p>
        </w:tc>
      </w:tr>
      <w:tr w:rsidR="005240FA" w:rsidRPr="008F328B" w14:paraId="06AACF54" w14:textId="77777777" w:rsidTr="008F328B">
        <w:trPr>
          <w:jc w:val="center"/>
        </w:trPr>
        <w:tc>
          <w:tcPr>
            <w:tcW w:w="5000" w:type="pct"/>
            <w:gridSpan w:val="2"/>
            <w:tcBorders>
              <w:top w:val="nil"/>
              <w:left w:val="single" w:sz="8" w:space="0" w:color="auto"/>
              <w:bottom w:val="single" w:sz="8" w:space="0" w:color="auto"/>
              <w:right w:val="single" w:sz="8" w:space="0" w:color="auto"/>
            </w:tcBorders>
            <w:hideMark/>
          </w:tcPr>
          <w:p w14:paraId="5F26A6CC" w14:textId="77777777" w:rsidR="005240FA" w:rsidRPr="008F328B" w:rsidRDefault="005240FA" w:rsidP="00531952">
            <w:pPr>
              <w:pStyle w:val="GTTTabla"/>
              <w:spacing w:before="60" w:after="60"/>
              <w:jc w:val="both"/>
              <w:rPr>
                <w:rFonts w:ascii="Arial" w:hAnsi="Arial" w:cs="Arial"/>
                <w:sz w:val="20"/>
                <w:szCs w:val="20"/>
              </w:rPr>
            </w:pPr>
            <w:r w:rsidRPr="008F328B">
              <w:rPr>
                <w:rFonts w:ascii="Arial" w:hAnsi="Arial" w:cs="Arial"/>
                <w:sz w:val="20"/>
                <w:szCs w:val="20"/>
              </w:rPr>
              <w:t>El control de calidad del hormigón comprende el control de la consistencia, de la resistencia y de la durabilidad.</w:t>
            </w:r>
          </w:p>
          <w:p w14:paraId="68D9CD6D" w14:textId="77777777" w:rsidR="005240FA" w:rsidRPr="008F328B" w:rsidRDefault="005240FA" w:rsidP="00531952">
            <w:pPr>
              <w:pStyle w:val="GTTTabla"/>
              <w:spacing w:before="60" w:after="60"/>
              <w:jc w:val="both"/>
              <w:rPr>
                <w:rFonts w:ascii="Arial" w:hAnsi="Arial" w:cs="Arial"/>
                <w:sz w:val="20"/>
                <w:szCs w:val="20"/>
              </w:rPr>
            </w:pPr>
            <w:r w:rsidRPr="008F328B">
              <w:rPr>
                <w:rFonts w:ascii="Arial" w:hAnsi="Arial" w:cs="Arial"/>
                <w:sz w:val="20"/>
                <w:szCs w:val="20"/>
              </w:rPr>
              <w:t>La toma de muestras se realizará según la norma UNE 83300:84</w:t>
            </w:r>
          </w:p>
        </w:tc>
      </w:tr>
      <w:tr w:rsidR="005240FA" w:rsidRPr="008F328B" w14:paraId="0F209F07" w14:textId="77777777" w:rsidTr="008F328B">
        <w:trPr>
          <w:jc w:val="center"/>
        </w:trPr>
        <w:tc>
          <w:tcPr>
            <w:tcW w:w="3670" w:type="pct"/>
            <w:tcBorders>
              <w:top w:val="single" w:sz="8" w:space="0" w:color="auto"/>
              <w:left w:val="single" w:sz="8" w:space="0" w:color="auto"/>
              <w:bottom w:val="nil"/>
              <w:right w:val="nil"/>
            </w:tcBorders>
            <w:vAlign w:val="center"/>
            <w:hideMark/>
          </w:tcPr>
          <w:p w14:paraId="61E07F3D" w14:textId="77777777" w:rsidR="005240FA" w:rsidRPr="008F328B" w:rsidRDefault="005240FA" w:rsidP="00531952">
            <w:pPr>
              <w:pStyle w:val="GTTTabla"/>
              <w:spacing w:before="60" w:after="60"/>
              <w:jc w:val="center"/>
              <w:rPr>
                <w:rFonts w:ascii="Arial" w:hAnsi="Arial" w:cs="Arial"/>
                <w:b/>
                <w:sz w:val="20"/>
                <w:szCs w:val="20"/>
              </w:rPr>
            </w:pPr>
            <w:r w:rsidRPr="008F328B">
              <w:rPr>
                <w:rFonts w:ascii="Arial" w:hAnsi="Arial" w:cs="Arial"/>
                <w:b/>
                <w:sz w:val="20"/>
                <w:szCs w:val="20"/>
              </w:rPr>
              <w:t>Control</w:t>
            </w:r>
          </w:p>
        </w:tc>
        <w:tc>
          <w:tcPr>
            <w:tcW w:w="1330" w:type="pct"/>
            <w:tcBorders>
              <w:top w:val="single" w:sz="8" w:space="0" w:color="auto"/>
              <w:left w:val="nil"/>
              <w:bottom w:val="nil"/>
              <w:right w:val="single" w:sz="8" w:space="0" w:color="auto"/>
            </w:tcBorders>
            <w:vAlign w:val="center"/>
            <w:hideMark/>
          </w:tcPr>
          <w:p w14:paraId="7C7E2A10" w14:textId="77777777" w:rsidR="005240FA" w:rsidRPr="008F328B" w:rsidRDefault="005240FA" w:rsidP="00531952">
            <w:pPr>
              <w:pStyle w:val="GTTTabla"/>
              <w:spacing w:before="60" w:after="60"/>
              <w:jc w:val="center"/>
              <w:rPr>
                <w:rFonts w:ascii="Arial" w:hAnsi="Arial" w:cs="Arial"/>
                <w:b/>
                <w:sz w:val="20"/>
                <w:szCs w:val="20"/>
              </w:rPr>
            </w:pPr>
            <w:r w:rsidRPr="008F328B">
              <w:rPr>
                <w:rFonts w:ascii="Arial" w:hAnsi="Arial" w:cs="Arial"/>
                <w:b/>
                <w:sz w:val="20"/>
                <w:szCs w:val="20"/>
              </w:rPr>
              <w:t>Norma</w:t>
            </w:r>
          </w:p>
        </w:tc>
      </w:tr>
      <w:tr w:rsidR="005240FA" w:rsidRPr="008F328B" w14:paraId="32E07563" w14:textId="77777777" w:rsidTr="008F328B">
        <w:trPr>
          <w:jc w:val="center"/>
        </w:trPr>
        <w:tc>
          <w:tcPr>
            <w:tcW w:w="3670" w:type="pct"/>
            <w:tcBorders>
              <w:top w:val="nil"/>
              <w:left w:val="single" w:sz="8" w:space="0" w:color="auto"/>
              <w:bottom w:val="single" w:sz="8" w:space="0" w:color="auto"/>
              <w:right w:val="nil"/>
            </w:tcBorders>
            <w:hideMark/>
          </w:tcPr>
          <w:p w14:paraId="718182B7" w14:textId="77777777" w:rsidR="005240FA" w:rsidRPr="008F328B" w:rsidRDefault="005240FA" w:rsidP="00531952">
            <w:pPr>
              <w:pStyle w:val="GTTTabla"/>
              <w:spacing w:before="60" w:after="60"/>
              <w:ind w:left="708"/>
              <w:rPr>
                <w:rFonts w:ascii="Arial" w:hAnsi="Arial" w:cs="Arial"/>
                <w:sz w:val="20"/>
                <w:szCs w:val="20"/>
              </w:rPr>
            </w:pPr>
            <w:r w:rsidRPr="008F328B">
              <w:rPr>
                <w:rFonts w:ascii="Arial" w:hAnsi="Arial" w:cs="Arial"/>
                <w:sz w:val="20"/>
                <w:szCs w:val="20"/>
              </w:rPr>
              <w:t xml:space="preserve">Control de la </w:t>
            </w:r>
            <w:r w:rsidRPr="008F328B">
              <w:rPr>
                <w:rFonts w:ascii="Arial" w:hAnsi="Arial" w:cs="Arial"/>
                <w:i/>
                <w:sz w:val="20"/>
                <w:szCs w:val="20"/>
              </w:rPr>
              <w:t>consistencia</w:t>
            </w:r>
            <w:r w:rsidRPr="008F328B">
              <w:rPr>
                <w:rFonts w:ascii="Arial" w:hAnsi="Arial" w:cs="Arial"/>
                <w:sz w:val="20"/>
                <w:szCs w:val="20"/>
              </w:rPr>
              <w:t xml:space="preserve"> del hormigón</w:t>
            </w:r>
          </w:p>
        </w:tc>
        <w:tc>
          <w:tcPr>
            <w:tcW w:w="1330" w:type="pct"/>
            <w:tcBorders>
              <w:top w:val="nil"/>
              <w:left w:val="nil"/>
              <w:bottom w:val="single" w:sz="8" w:space="0" w:color="auto"/>
              <w:right w:val="single" w:sz="8" w:space="0" w:color="auto"/>
            </w:tcBorders>
            <w:hideMark/>
          </w:tcPr>
          <w:p w14:paraId="1080A902" w14:textId="77777777" w:rsidR="005240FA" w:rsidRPr="008F328B" w:rsidRDefault="005240FA" w:rsidP="00531952">
            <w:pPr>
              <w:pStyle w:val="GTTTabla"/>
              <w:spacing w:before="60" w:after="60"/>
              <w:jc w:val="center"/>
              <w:rPr>
                <w:rFonts w:ascii="Arial" w:hAnsi="Arial" w:cs="Arial"/>
                <w:i/>
                <w:sz w:val="20"/>
                <w:szCs w:val="20"/>
              </w:rPr>
            </w:pPr>
            <w:r w:rsidRPr="008F328B">
              <w:rPr>
                <w:rFonts w:ascii="Arial" w:hAnsi="Arial" w:cs="Arial"/>
                <w:i/>
                <w:sz w:val="20"/>
                <w:szCs w:val="20"/>
              </w:rPr>
              <w:t>EHE-08</w:t>
            </w:r>
          </w:p>
        </w:tc>
      </w:tr>
      <w:tr w:rsidR="005240FA" w:rsidRPr="008F328B" w14:paraId="45DF816A" w14:textId="77777777" w:rsidTr="008F328B">
        <w:trPr>
          <w:jc w:val="center"/>
        </w:trPr>
        <w:tc>
          <w:tcPr>
            <w:tcW w:w="3670" w:type="pct"/>
            <w:tcBorders>
              <w:top w:val="single" w:sz="8" w:space="0" w:color="auto"/>
              <w:left w:val="single" w:sz="8" w:space="0" w:color="auto"/>
              <w:bottom w:val="nil"/>
              <w:right w:val="nil"/>
            </w:tcBorders>
            <w:hideMark/>
          </w:tcPr>
          <w:p w14:paraId="680431A0" w14:textId="77777777" w:rsidR="005240FA" w:rsidRPr="008F328B" w:rsidRDefault="005240FA" w:rsidP="00531952">
            <w:pPr>
              <w:pStyle w:val="GTTTabla"/>
              <w:spacing w:before="60" w:after="60"/>
              <w:ind w:left="708"/>
              <w:rPr>
                <w:rFonts w:ascii="Arial" w:hAnsi="Arial" w:cs="Arial"/>
                <w:sz w:val="20"/>
                <w:szCs w:val="20"/>
              </w:rPr>
            </w:pPr>
            <w:r w:rsidRPr="008F328B">
              <w:rPr>
                <w:rFonts w:ascii="Arial" w:hAnsi="Arial" w:cs="Arial"/>
                <w:sz w:val="20"/>
                <w:szCs w:val="20"/>
              </w:rPr>
              <w:t xml:space="preserve">Control de la </w:t>
            </w:r>
            <w:r w:rsidRPr="008F328B">
              <w:rPr>
                <w:rFonts w:ascii="Arial" w:hAnsi="Arial" w:cs="Arial"/>
                <w:i/>
                <w:sz w:val="20"/>
                <w:szCs w:val="20"/>
              </w:rPr>
              <w:t>resistencia</w:t>
            </w:r>
            <w:r w:rsidRPr="008F328B">
              <w:rPr>
                <w:rFonts w:ascii="Arial" w:hAnsi="Arial" w:cs="Arial"/>
                <w:sz w:val="20"/>
                <w:szCs w:val="20"/>
              </w:rPr>
              <w:t xml:space="preserve"> del hormigón</w:t>
            </w:r>
          </w:p>
        </w:tc>
        <w:tc>
          <w:tcPr>
            <w:tcW w:w="1330" w:type="pct"/>
            <w:tcBorders>
              <w:top w:val="single" w:sz="8" w:space="0" w:color="auto"/>
              <w:left w:val="nil"/>
              <w:bottom w:val="nil"/>
              <w:right w:val="single" w:sz="8" w:space="0" w:color="auto"/>
            </w:tcBorders>
            <w:hideMark/>
          </w:tcPr>
          <w:p w14:paraId="03F0BF17" w14:textId="77777777" w:rsidR="005240FA" w:rsidRPr="008F328B" w:rsidRDefault="005240FA" w:rsidP="00531952">
            <w:pPr>
              <w:pStyle w:val="GTTTabla"/>
              <w:spacing w:before="60" w:after="60"/>
              <w:jc w:val="center"/>
              <w:rPr>
                <w:rFonts w:ascii="Arial" w:hAnsi="Arial" w:cs="Arial"/>
                <w:i/>
                <w:sz w:val="20"/>
                <w:szCs w:val="20"/>
              </w:rPr>
            </w:pPr>
            <w:r w:rsidRPr="008F328B">
              <w:rPr>
                <w:rFonts w:ascii="Arial" w:hAnsi="Arial" w:cs="Arial"/>
                <w:i/>
                <w:sz w:val="20"/>
                <w:szCs w:val="20"/>
              </w:rPr>
              <w:t>EHE-08</w:t>
            </w:r>
          </w:p>
        </w:tc>
      </w:tr>
      <w:tr w:rsidR="005240FA" w:rsidRPr="008F328B" w14:paraId="550C49EF" w14:textId="77777777" w:rsidTr="008F328B">
        <w:trPr>
          <w:jc w:val="center"/>
        </w:trPr>
        <w:tc>
          <w:tcPr>
            <w:tcW w:w="5000" w:type="pct"/>
            <w:gridSpan w:val="2"/>
            <w:tcBorders>
              <w:top w:val="nil"/>
              <w:left w:val="single" w:sz="8" w:space="0" w:color="auto"/>
              <w:bottom w:val="nil"/>
              <w:right w:val="single" w:sz="8" w:space="0" w:color="auto"/>
            </w:tcBorders>
            <w:hideMark/>
          </w:tcPr>
          <w:p w14:paraId="2A7491DB" w14:textId="77777777" w:rsidR="005240FA" w:rsidRPr="008F328B" w:rsidRDefault="005240FA" w:rsidP="00531952">
            <w:pPr>
              <w:pStyle w:val="GTTTabla"/>
              <w:spacing w:before="60" w:after="60"/>
              <w:ind w:left="708"/>
              <w:jc w:val="both"/>
              <w:rPr>
                <w:rFonts w:ascii="Arial" w:hAnsi="Arial" w:cs="Arial"/>
                <w:sz w:val="20"/>
                <w:szCs w:val="20"/>
              </w:rPr>
            </w:pPr>
            <w:r w:rsidRPr="008F328B">
              <w:rPr>
                <w:rFonts w:ascii="Arial" w:hAnsi="Arial" w:cs="Arial"/>
                <w:sz w:val="20"/>
                <w:szCs w:val="20"/>
              </w:rPr>
              <w:t>El control de la resistencia del hormigón comprende los siguientes tipos de ensayos:</w:t>
            </w:r>
          </w:p>
        </w:tc>
      </w:tr>
      <w:tr w:rsidR="005240FA" w:rsidRPr="008F328B" w14:paraId="577725C1" w14:textId="77777777" w:rsidTr="008F328B">
        <w:trPr>
          <w:jc w:val="center"/>
        </w:trPr>
        <w:tc>
          <w:tcPr>
            <w:tcW w:w="3670" w:type="pct"/>
            <w:tcBorders>
              <w:top w:val="nil"/>
              <w:left w:val="single" w:sz="8" w:space="0" w:color="auto"/>
              <w:bottom w:val="nil"/>
              <w:right w:val="nil"/>
            </w:tcBorders>
            <w:hideMark/>
          </w:tcPr>
          <w:p w14:paraId="537D4BB0" w14:textId="77777777" w:rsidR="005240FA" w:rsidRPr="008F328B" w:rsidRDefault="005240FA" w:rsidP="00531952">
            <w:pPr>
              <w:pStyle w:val="GTTListaVietas"/>
              <w:numPr>
                <w:ilvl w:val="0"/>
                <w:numId w:val="66"/>
              </w:numPr>
              <w:tabs>
                <w:tab w:val="num" w:pos="1056"/>
              </w:tabs>
              <w:spacing w:before="60" w:after="60"/>
              <w:ind w:left="1056"/>
              <w:rPr>
                <w:rFonts w:cs="Arial"/>
                <w:noProof w:val="0"/>
                <w:sz w:val="20"/>
              </w:rPr>
            </w:pPr>
            <w:r w:rsidRPr="008F328B">
              <w:rPr>
                <w:rFonts w:cs="Arial"/>
                <w:noProof w:val="0"/>
                <w:sz w:val="20"/>
              </w:rPr>
              <w:t>Ensayos previos, destinados a establecer la dosificación inicial.</w:t>
            </w:r>
          </w:p>
          <w:p w14:paraId="08CD6E11" w14:textId="77777777" w:rsidR="005240FA" w:rsidRPr="008F328B" w:rsidRDefault="005240FA" w:rsidP="00531952">
            <w:pPr>
              <w:pStyle w:val="GTTListaVietas"/>
              <w:tabs>
                <w:tab w:val="left" w:pos="708"/>
              </w:tabs>
              <w:spacing w:before="60" w:after="60"/>
              <w:ind w:left="1056" w:firstLine="0"/>
              <w:rPr>
                <w:rFonts w:cs="Arial"/>
                <w:noProof w:val="0"/>
                <w:sz w:val="20"/>
              </w:rPr>
            </w:pPr>
            <w:r w:rsidRPr="008F328B">
              <w:rPr>
                <w:rFonts w:cs="Arial"/>
                <w:noProof w:val="0"/>
                <w:sz w:val="20"/>
              </w:rPr>
              <w:t xml:space="preserve">Si los hormigones se fabrican con dosificaciones ya sancionadas por la práctica no serán necesarios los ensayos previos, salvo indicación expresa de la Dirección </w:t>
            </w:r>
            <w:r w:rsidR="009771E6">
              <w:rPr>
                <w:rFonts w:cs="Arial"/>
                <w:noProof w:val="0"/>
                <w:sz w:val="20"/>
              </w:rPr>
              <w:t>de Obra</w:t>
            </w:r>
            <w:r w:rsidRPr="008F328B">
              <w:rPr>
                <w:rFonts w:cs="Arial"/>
                <w:noProof w:val="0"/>
                <w:sz w:val="20"/>
              </w:rPr>
              <w:t>.</w:t>
            </w:r>
          </w:p>
        </w:tc>
        <w:tc>
          <w:tcPr>
            <w:tcW w:w="1330" w:type="pct"/>
            <w:tcBorders>
              <w:top w:val="nil"/>
              <w:left w:val="nil"/>
              <w:bottom w:val="nil"/>
              <w:right w:val="single" w:sz="8" w:space="0" w:color="auto"/>
            </w:tcBorders>
            <w:hideMark/>
          </w:tcPr>
          <w:p w14:paraId="4C042E75" w14:textId="77777777" w:rsidR="005240FA" w:rsidRPr="008F328B" w:rsidRDefault="005240FA" w:rsidP="00531952">
            <w:pPr>
              <w:pStyle w:val="GTTTabla"/>
              <w:spacing w:before="60" w:after="60"/>
              <w:jc w:val="center"/>
              <w:rPr>
                <w:rFonts w:ascii="Arial" w:hAnsi="Arial" w:cs="Arial"/>
                <w:i/>
                <w:sz w:val="20"/>
                <w:szCs w:val="20"/>
              </w:rPr>
            </w:pPr>
            <w:r w:rsidRPr="008F328B">
              <w:rPr>
                <w:rFonts w:ascii="Arial" w:hAnsi="Arial" w:cs="Arial"/>
                <w:i/>
                <w:sz w:val="20"/>
                <w:szCs w:val="20"/>
              </w:rPr>
              <w:t>EHE-08</w:t>
            </w:r>
          </w:p>
        </w:tc>
      </w:tr>
      <w:tr w:rsidR="005240FA" w:rsidRPr="008F328B" w14:paraId="0CD12DAC" w14:textId="77777777" w:rsidTr="008F328B">
        <w:trPr>
          <w:jc w:val="center"/>
        </w:trPr>
        <w:tc>
          <w:tcPr>
            <w:tcW w:w="3670" w:type="pct"/>
            <w:tcBorders>
              <w:top w:val="nil"/>
              <w:left w:val="single" w:sz="8" w:space="0" w:color="auto"/>
              <w:bottom w:val="nil"/>
              <w:right w:val="nil"/>
            </w:tcBorders>
            <w:hideMark/>
          </w:tcPr>
          <w:p w14:paraId="10F0427F" w14:textId="77777777" w:rsidR="005240FA" w:rsidRPr="008F328B" w:rsidRDefault="005240FA" w:rsidP="00531952">
            <w:pPr>
              <w:pStyle w:val="GTTListaVietas"/>
              <w:numPr>
                <w:ilvl w:val="0"/>
                <w:numId w:val="66"/>
              </w:numPr>
              <w:tabs>
                <w:tab w:val="num" w:pos="1056"/>
              </w:tabs>
              <w:spacing w:before="60" w:after="60"/>
              <w:ind w:left="1056"/>
              <w:rPr>
                <w:rFonts w:cs="Arial"/>
                <w:noProof w:val="0"/>
                <w:sz w:val="20"/>
              </w:rPr>
            </w:pPr>
            <w:r w:rsidRPr="008F328B">
              <w:rPr>
                <w:rFonts w:cs="Arial"/>
                <w:noProof w:val="0"/>
                <w:sz w:val="20"/>
              </w:rPr>
              <w:t>Ensayos característicos, destinados a sancionar la dosificación definitiva y los medios de fabricación.</w:t>
            </w:r>
          </w:p>
          <w:p w14:paraId="6C33AC65" w14:textId="77777777" w:rsidR="005240FA" w:rsidRPr="008F328B" w:rsidRDefault="005240FA" w:rsidP="00531952">
            <w:pPr>
              <w:pStyle w:val="GTTListaVietas"/>
              <w:tabs>
                <w:tab w:val="left" w:pos="708"/>
              </w:tabs>
              <w:spacing w:before="60" w:after="60"/>
              <w:ind w:left="1056" w:firstLine="0"/>
              <w:rPr>
                <w:rFonts w:cs="Arial"/>
                <w:noProof w:val="0"/>
                <w:sz w:val="20"/>
              </w:rPr>
            </w:pPr>
            <w:r w:rsidRPr="008F328B">
              <w:rPr>
                <w:rFonts w:cs="Arial"/>
                <w:noProof w:val="0"/>
                <w:sz w:val="20"/>
              </w:rPr>
              <w:t xml:space="preserve">Al igual que los ensayos previos, no serán necesarios ensayos característicos si los hormigones se fabrican con dosificaciones ya sancionadas por la práctica, salvo indicación expresa del </w:t>
            </w:r>
            <w:proofErr w:type="gramStart"/>
            <w:r w:rsidRPr="008F328B">
              <w:rPr>
                <w:rFonts w:cs="Arial"/>
                <w:noProof w:val="0"/>
                <w:sz w:val="20"/>
              </w:rPr>
              <w:t>Director</w:t>
            </w:r>
            <w:proofErr w:type="gramEnd"/>
            <w:r w:rsidRPr="008F328B">
              <w:rPr>
                <w:rFonts w:cs="Arial"/>
                <w:noProof w:val="0"/>
                <w:sz w:val="20"/>
              </w:rPr>
              <w:t xml:space="preserve"> de Obra.</w:t>
            </w:r>
          </w:p>
        </w:tc>
        <w:tc>
          <w:tcPr>
            <w:tcW w:w="1330" w:type="pct"/>
            <w:tcBorders>
              <w:top w:val="nil"/>
              <w:left w:val="nil"/>
              <w:bottom w:val="nil"/>
              <w:right w:val="single" w:sz="8" w:space="0" w:color="auto"/>
            </w:tcBorders>
            <w:hideMark/>
          </w:tcPr>
          <w:p w14:paraId="1569899E" w14:textId="77777777" w:rsidR="005240FA" w:rsidRPr="008F328B" w:rsidRDefault="005240FA" w:rsidP="00531952">
            <w:pPr>
              <w:pStyle w:val="GTTTabla"/>
              <w:spacing w:before="60" w:after="60"/>
              <w:jc w:val="center"/>
              <w:rPr>
                <w:rFonts w:ascii="Arial" w:hAnsi="Arial" w:cs="Arial"/>
                <w:sz w:val="20"/>
                <w:szCs w:val="20"/>
              </w:rPr>
            </w:pPr>
            <w:r w:rsidRPr="008F328B">
              <w:rPr>
                <w:rFonts w:ascii="Arial" w:hAnsi="Arial" w:cs="Arial"/>
                <w:sz w:val="20"/>
                <w:szCs w:val="20"/>
              </w:rPr>
              <w:t>EHE-08</w:t>
            </w:r>
          </w:p>
        </w:tc>
      </w:tr>
      <w:tr w:rsidR="005240FA" w:rsidRPr="008F328B" w14:paraId="5A97B3A6" w14:textId="77777777" w:rsidTr="008F328B">
        <w:trPr>
          <w:jc w:val="center"/>
        </w:trPr>
        <w:tc>
          <w:tcPr>
            <w:tcW w:w="3670" w:type="pct"/>
            <w:tcBorders>
              <w:top w:val="nil"/>
              <w:left w:val="single" w:sz="8" w:space="0" w:color="auto"/>
              <w:bottom w:val="single" w:sz="8" w:space="0" w:color="auto"/>
              <w:right w:val="nil"/>
            </w:tcBorders>
            <w:hideMark/>
          </w:tcPr>
          <w:p w14:paraId="4FD1C699" w14:textId="77777777" w:rsidR="005240FA" w:rsidRPr="008F328B" w:rsidRDefault="005240FA" w:rsidP="00531952">
            <w:pPr>
              <w:pStyle w:val="GTTListaVietas"/>
              <w:numPr>
                <w:ilvl w:val="0"/>
                <w:numId w:val="66"/>
              </w:numPr>
              <w:tabs>
                <w:tab w:val="num" w:pos="1056"/>
              </w:tabs>
              <w:spacing w:before="60" w:after="60"/>
              <w:ind w:left="1056"/>
              <w:rPr>
                <w:rFonts w:cs="Arial"/>
                <w:noProof w:val="0"/>
                <w:sz w:val="20"/>
              </w:rPr>
            </w:pPr>
            <w:r w:rsidRPr="008F328B">
              <w:rPr>
                <w:rFonts w:cs="Arial"/>
                <w:noProof w:val="0"/>
                <w:sz w:val="20"/>
              </w:rPr>
              <w:t>Ensayos de control, destinados a comprobar, a lo largo de la ejecución, que la resistencia característica de la obra es igual o superior a la indicada para cada uno de los tipos de hormigón.</w:t>
            </w:r>
          </w:p>
          <w:p w14:paraId="3DBCAE61" w14:textId="77777777" w:rsidR="005240FA" w:rsidRPr="008F328B" w:rsidRDefault="005240FA" w:rsidP="00531952">
            <w:pPr>
              <w:pStyle w:val="GTTListaVietas"/>
              <w:tabs>
                <w:tab w:val="left" w:pos="708"/>
              </w:tabs>
              <w:spacing w:before="60" w:after="60"/>
              <w:ind w:left="1056" w:firstLine="0"/>
              <w:rPr>
                <w:rFonts w:cs="Arial"/>
                <w:noProof w:val="0"/>
                <w:sz w:val="20"/>
              </w:rPr>
            </w:pPr>
            <w:r w:rsidRPr="008F328B">
              <w:rPr>
                <w:rFonts w:cs="Arial"/>
                <w:noProof w:val="0"/>
                <w:sz w:val="20"/>
              </w:rPr>
              <w:t xml:space="preserve">Los ensayos de control son </w:t>
            </w:r>
            <w:r w:rsidRPr="008F328B">
              <w:rPr>
                <w:rFonts w:cs="Arial"/>
                <w:i/>
                <w:noProof w:val="0"/>
                <w:sz w:val="20"/>
              </w:rPr>
              <w:t>preceptivos</w:t>
            </w:r>
            <w:r w:rsidRPr="008F328B">
              <w:rPr>
                <w:rFonts w:cs="Arial"/>
                <w:noProof w:val="0"/>
                <w:sz w:val="20"/>
              </w:rPr>
              <w:t>.</w:t>
            </w:r>
          </w:p>
          <w:p w14:paraId="0A7A8E11" w14:textId="77777777" w:rsidR="005240FA" w:rsidRPr="008F328B" w:rsidRDefault="005240FA" w:rsidP="00531952">
            <w:pPr>
              <w:pStyle w:val="GTTListaVietas"/>
              <w:tabs>
                <w:tab w:val="left" w:pos="708"/>
              </w:tabs>
              <w:spacing w:before="60" w:after="60"/>
              <w:ind w:left="1056" w:firstLine="0"/>
              <w:rPr>
                <w:rFonts w:cs="Arial"/>
                <w:noProof w:val="0"/>
                <w:sz w:val="20"/>
              </w:rPr>
            </w:pPr>
            <w:r w:rsidRPr="008F328B">
              <w:rPr>
                <w:rFonts w:cs="Arial"/>
                <w:noProof w:val="0"/>
                <w:sz w:val="20"/>
              </w:rPr>
              <w:t xml:space="preserve">Este Pliego establece como modalidad de control para la obra la </w:t>
            </w:r>
            <w:r w:rsidRPr="008F328B">
              <w:rPr>
                <w:rFonts w:cs="Arial"/>
                <w:i/>
                <w:noProof w:val="0"/>
                <w:sz w:val="20"/>
              </w:rPr>
              <w:t>Modalidad 3, Control estadístico del hormigón</w:t>
            </w:r>
          </w:p>
        </w:tc>
        <w:tc>
          <w:tcPr>
            <w:tcW w:w="1330" w:type="pct"/>
            <w:tcBorders>
              <w:top w:val="nil"/>
              <w:left w:val="nil"/>
              <w:bottom w:val="single" w:sz="8" w:space="0" w:color="auto"/>
              <w:right w:val="single" w:sz="8" w:space="0" w:color="auto"/>
            </w:tcBorders>
            <w:hideMark/>
          </w:tcPr>
          <w:p w14:paraId="1AA8D8F3" w14:textId="77777777" w:rsidR="005240FA" w:rsidRPr="008F328B" w:rsidRDefault="005240FA" w:rsidP="00531952">
            <w:pPr>
              <w:pStyle w:val="GTTTabla"/>
              <w:spacing w:before="60" w:after="60"/>
              <w:jc w:val="center"/>
              <w:rPr>
                <w:rFonts w:ascii="Arial" w:hAnsi="Arial" w:cs="Arial"/>
                <w:sz w:val="20"/>
                <w:szCs w:val="20"/>
              </w:rPr>
            </w:pPr>
            <w:r w:rsidRPr="008F328B">
              <w:rPr>
                <w:rFonts w:ascii="Arial" w:hAnsi="Arial" w:cs="Arial"/>
                <w:sz w:val="20"/>
                <w:szCs w:val="20"/>
              </w:rPr>
              <w:t>EHE-08</w:t>
            </w:r>
          </w:p>
        </w:tc>
      </w:tr>
      <w:tr w:rsidR="005240FA" w:rsidRPr="008F328B" w14:paraId="2625F146" w14:textId="77777777" w:rsidTr="008F328B">
        <w:trPr>
          <w:jc w:val="center"/>
        </w:trPr>
        <w:tc>
          <w:tcPr>
            <w:tcW w:w="3670" w:type="pct"/>
            <w:tcBorders>
              <w:top w:val="single" w:sz="8" w:space="0" w:color="auto"/>
              <w:left w:val="single" w:sz="8" w:space="0" w:color="auto"/>
              <w:bottom w:val="nil"/>
              <w:right w:val="nil"/>
            </w:tcBorders>
            <w:hideMark/>
          </w:tcPr>
          <w:p w14:paraId="08D3CB30" w14:textId="77777777" w:rsidR="005240FA" w:rsidRPr="008F328B" w:rsidRDefault="005240FA" w:rsidP="00531952">
            <w:pPr>
              <w:pStyle w:val="GTTTabla"/>
              <w:spacing w:before="60" w:after="60"/>
              <w:ind w:left="708"/>
              <w:rPr>
                <w:rFonts w:ascii="Arial" w:hAnsi="Arial" w:cs="Arial"/>
                <w:sz w:val="20"/>
                <w:szCs w:val="20"/>
              </w:rPr>
            </w:pPr>
            <w:r w:rsidRPr="008F328B">
              <w:rPr>
                <w:rFonts w:ascii="Arial" w:hAnsi="Arial" w:cs="Arial"/>
                <w:sz w:val="20"/>
                <w:szCs w:val="20"/>
              </w:rPr>
              <w:t xml:space="preserve">Control de la </w:t>
            </w:r>
            <w:r w:rsidRPr="008F328B">
              <w:rPr>
                <w:rFonts w:ascii="Arial" w:hAnsi="Arial" w:cs="Arial"/>
                <w:i/>
                <w:sz w:val="20"/>
                <w:szCs w:val="20"/>
              </w:rPr>
              <w:t>durabilidad</w:t>
            </w:r>
            <w:r w:rsidRPr="008F328B">
              <w:rPr>
                <w:rFonts w:ascii="Arial" w:hAnsi="Arial" w:cs="Arial"/>
                <w:sz w:val="20"/>
                <w:szCs w:val="20"/>
              </w:rPr>
              <w:t xml:space="preserve"> del hormigón</w:t>
            </w:r>
          </w:p>
        </w:tc>
        <w:tc>
          <w:tcPr>
            <w:tcW w:w="1330" w:type="pct"/>
            <w:tcBorders>
              <w:top w:val="single" w:sz="8" w:space="0" w:color="auto"/>
              <w:left w:val="nil"/>
              <w:bottom w:val="nil"/>
              <w:right w:val="single" w:sz="8" w:space="0" w:color="auto"/>
            </w:tcBorders>
            <w:hideMark/>
          </w:tcPr>
          <w:p w14:paraId="4026A8C9" w14:textId="77777777" w:rsidR="005240FA" w:rsidRPr="008F328B" w:rsidRDefault="005240FA" w:rsidP="00531952">
            <w:pPr>
              <w:pStyle w:val="GTTTabla"/>
              <w:spacing w:before="60" w:after="60"/>
              <w:jc w:val="center"/>
              <w:rPr>
                <w:rFonts w:ascii="Arial" w:hAnsi="Arial" w:cs="Arial"/>
                <w:i/>
                <w:sz w:val="20"/>
                <w:szCs w:val="20"/>
              </w:rPr>
            </w:pPr>
            <w:r w:rsidRPr="008F328B">
              <w:rPr>
                <w:rFonts w:ascii="Arial" w:hAnsi="Arial" w:cs="Arial"/>
                <w:i/>
                <w:sz w:val="20"/>
                <w:szCs w:val="20"/>
              </w:rPr>
              <w:t>EHE-08</w:t>
            </w:r>
          </w:p>
        </w:tc>
      </w:tr>
      <w:tr w:rsidR="005240FA" w:rsidRPr="008F328B" w14:paraId="5684898E" w14:textId="77777777" w:rsidTr="008F328B">
        <w:trPr>
          <w:jc w:val="center"/>
        </w:trPr>
        <w:tc>
          <w:tcPr>
            <w:tcW w:w="3670" w:type="pct"/>
            <w:tcBorders>
              <w:top w:val="nil"/>
              <w:left w:val="single" w:sz="8" w:space="0" w:color="auto"/>
              <w:bottom w:val="nil"/>
              <w:right w:val="nil"/>
            </w:tcBorders>
            <w:hideMark/>
          </w:tcPr>
          <w:p w14:paraId="18A5E47F" w14:textId="77777777" w:rsidR="005240FA" w:rsidRPr="008F328B" w:rsidRDefault="005240FA" w:rsidP="00531952">
            <w:pPr>
              <w:pStyle w:val="GTTTabla"/>
              <w:spacing w:before="60" w:after="60"/>
              <w:ind w:left="708"/>
              <w:rPr>
                <w:rFonts w:ascii="Arial" w:hAnsi="Arial" w:cs="Arial"/>
                <w:sz w:val="20"/>
                <w:szCs w:val="20"/>
              </w:rPr>
            </w:pPr>
            <w:r w:rsidRPr="008F328B">
              <w:rPr>
                <w:rFonts w:ascii="Arial" w:hAnsi="Arial" w:cs="Arial"/>
                <w:sz w:val="20"/>
                <w:szCs w:val="20"/>
              </w:rPr>
              <w:t>El control de la durabilidad del hormigón se llevará a cabo con los siguientes controles:</w:t>
            </w:r>
          </w:p>
          <w:p w14:paraId="2F3B9C5A" w14:textId="77777777" w:rsidR="005240FA" w:rsidRPr="008F328B" w:rsidRDefault="005240FA" w:rsidP="00531952">
            <w:pPr>
              <w:pStyle w:val="GTTListaVietas"/>
              <w:numPr>
                <w:ilvl w:val="0"/>
                <w:numId w:val="66"/>
              </w:numPr>
              <w:tabs>
                <w:tab w:val="num" w:pos="1056"/>
              </w:tabs>
              <w:spacing w:before="60" w:after="60"/>
              <w:ind w:left="1056"/>
              <w:rPr>
                <w:rFonts w:cs="Arial"/>
                <w:noProof w:val="0"/>
                <w:sz w:val="20"/>
              </w:rPr>
            </w:pPr>
            <w:r w:rsidRPr="008F328B">
              <w:rPr>
                <w:rFonts w:cs="Arial"/>
                <w:noProof w:val="0"/>
                <w:sz w:val="20"/>
              </w:rPr>
              <w:t>Control documental de las hojas de suministro, a fin de verificar el cumplimiento de la limitación de la relación agua/</w:t>
            </w:r>
            <w:proofErr w:type="gramStart"/>
            <w:r w:rsidRPr="008F328B">
              <w:rPr>
                <w:rFonts w:cs="Arial"/>
                <w:noProof w:val="0"/>
                <w:sz w:val="20"/>
              </w:rPr>
              <w:t>cemento especificada</w:t>
            </w:r>
            <w:proofErr w:type="gramEnd"/>
            <w:r w:rsidRPr="008F328B">
              <w:rPr>
                <w:rFonts w:cs="Arial"/>
                <w:noProof w:val="0"/>
                <w:sz w:val="20"/>
              </w:rPr>
              <w:t xml:space="preserve"> en el cuadro de materiales para cada tipo de hormigón.</w:t>
            </w:r>
          </w:p>
        </w:tc>
        <w:tc>
          <w:tcPr>
            <w:tcW w:w="1330" w:type="pct"/>
            <w:tcBorders>
              <w:top w:val="nil"/>
              <w:left w:val="nil"/>
              <w:bottom w:val="nil"/>
              <w:right w:val="single" w:sz="8" w:space="0" w:color="auto"/>
            </w:tcBorders>
          </w:tcPr>
          <w:p w14:paraId="1CE9F5B9" w14:textId="77777777" w:rsidR="005240FA" w:rsidRPr="008F328B" w:rsidRDefault="005240FA" w:rsidP="00531952">
            <w:pPr>
              <w:pStyle w:val="GTTTabla"/>
              <w:spacing w:before="60" w:after="60"/>
              <w:rPr>
                <w:rFonts w:ascii="Arial" w:hAnsi="Arial" w:cs="Arial"/>
                <w:i/>
                <w:sz w:val="20"/>
                <w:szCs w:val="20"/>
              </w:rPr>
            </w:pPr>
          </w:p>
        </w:tc>
      </w:tr>
      <w:tr w:rsidR="005240FA" w:rsidRPr="008F328B" w14:paraId="6295A372" w14:textId="77777777" w:rsidTr="003565C1">
        <w:trPr>
          <w:jc w:val="center"/>
        </w:trPr>
        <w:tc>
          <w:tcPr>
            <w:tcW w:w="3670" w:type="pct"/>
            <w:tcBorders>
              <w:top w:val="nil"/>
              <w:left w:val="single" w:sz="8" w:space="0" w:color="auto"/>
              <w:bottom w:val="nil"/>
              <w:right w:val="nil"/>
            </w:tcBorders>
            <w:hideMark/>
          </w:tcPr>
          <w:p w14:paraId="359DF423" w14:textId="77777777" w:rsidR="005240FA" w:rsidRPr="008F328B" w:rsidRDefault="005240FA" w:rsidP="00531952">
            <w:pPr>
              <w:pStyle w:val="GTTListaVietas"/>
              <w:numPr>
                <w:ilvl w:val="0"/>
                <w:numId w:val="66"/>
              </w:numPr>
              <w:tabs>
                <w:tab w:val="num" w:pos="1056"/>
              </w:tabs>
              <w:spacing w:before="60" w:after="60"/>
              <w:ind w:left="1056"/>
              <w:rPr>
                <w:rFonts w:cs="Arial"/>
                <w:noProof w:val="0"/>
                <w:sz w:val="20"/>
              </w:rPr>
            </w:pPr>
            <w:r w:rsidRPr="008F328B">
              <w:rPr>
                <w:rFonts w:cs="Arial"/>
                <w:noProof w:val="0"/>
                <w:sz w:val="20"/>
              </w:rPr>
              <w:t xml:space="preserve">Control de la profundidad de penetración de agua, que se establece como preceptivo para esta obra al ser el ambiente de exposición </w:t>
            </w:r>
            <w:r w:rsidRPr="008F328B">
              <w:rPr>
                <w:rFonts w:cs="Arial"/>
                <w:i/>
                <w:noProof w:val="0"/>
                <w:sz w:val="20"/>
              </w:rPr>
              <w:t>III, ambiente marino</w:t>
            </w:r>
          </w:p>
        </w:tc>
        <w:tc>
          <w:tcPr>
            <w:tcW w:w="1330" w:type="pct"/>
            <w:tcBorders>
              <w:top w:val="nil"/>
              <w:left w:val="nil"/>
              <w:bottom w:val="nil"/>
              <w:right w:val="single" w:sz="8" w:space="0" w:color="auto"/>
            </w:tcBorders>
            <w:hideMark/>
          </w:tcPr>
          <w:p w14:paraId="07ABBD9B" w14:textId="77777777" w:rsidR="005240FA" w:rsidRPr="008F328B" w:rsidRDefault="005240FA" w:rsidP="00531952">
            <w:pPr>
              <w:pStyle w:val="GTTTabla"/>
              <w:spacing w:before="60" w:after="60"/>
              <w:jc w:val="center"/>
              <w:rPr>
                <w:rFonts w:ascii="Arial" w:hAnsi="Arial" w:cs="Arial"/>
                <w:i/>
                <w:sz w:val="20"/>
                <w:szCs w:val="20"/>
              </w:rPr>
            </w:pPr>
            <w:r w:rsidRPr="008F328B">
              <w:rPr>
                <w:rFonts w:ascii="Arial" w:hAnsi="Arial" w:cs="Arial"/>
                <w:i/>
                <w:sz w:val="20"/>
                <w:szCs w:val="20"/>
              </w:rPr>
              <w:t>UNE 83309:90 EX</w:t>
            </w:r>
          </w:p>
        </w:tc>
      </w:tr>
      <w:tr w:rsidR="003565C1" w:rsidRPr="008F328B" w14:paraId="4DB45447" w14:textId="77777777" w:rsidTr="008F328B">
        <w:trPr>
          <w:jc w:val="center"/>
        </w:trPr>
        <w:tc>
          <w:tcPr>
            <w:tcW w:w="3670" w:type="pct"/>
            <w:tcBorders>
              <w:top w:val="nil"/>
              <w:left w:val="single" w:sz="8" w:space="0" w:color="auto"/>
              <w:bottom w:val="single" w:sz="8" w:space="0" w:color="auto"/>
              <w:right w:val="nil"/>
            </w:tcBorders>
          </w:tcPr>
          <w:p w14:paraId="21AC38D6" w14:textId="77777777" w:rsidR="003565C1" w:rsidRDefault="003565C1" w:rsidP="003565C1">
            <w:pPr>
              <w:pStyle w:val="GTTTabla"/>
              <w:spacing w:before="60" w:after="60"/>
              <w:ind w:left="708"/>
              <w:rPr>
                <w:rFonts w:ascii="Arial" w:hAnsi="Arial" w:cs="Arial"/>
                <w:sz w:val="20"/>
                <w:szCs w:val="20"/>
              </w:rPr>
            </w:pPr>
            <w:r>
              <w:rPr>
                <w:rFonts w:ascii="Arial" w:hAnsi="Arial" w:cs="Arial"/>
                <w:sz w:val="20"/>
                <w:szCs w:val="20"/>
              </w:rPr>
              <w:lastRenderedPageBreak/>
              <w:t xml:space="preserve">Control de </w:t>
            </w:r>
            <w:r w:rsidRPr="003565C1">
              <w:rPr>
                <w:rFonts w:ascii="Arial" w:hAnsi="Arial" w:cs="Arial"/>
                <w:i/>
                <w:sz w:val="20"/>
                <w:szCs w:val="20"/>
              </w:rPr>
              <w:t>impermeabilidad</w:t>
            </w:r>
          </w:p>
          <w:p w14:paraId="670D3D36" w14:textId="77777777" w:rsidR="003565C1" w:rsidRPr="003565C1" w:rsidRDefault="003565C1" w:rsidP="003565C1">
            <w:pPr>
              <w:pStyle w:val="GTTListaVietas"/>
              <w:numPr>
                <w:ilvl w:val="0"/>
                <w:numId w:val="66"/>
              </w:numPr>
              <w:tabs>
                <w:tab w:val="num" w:pos="1056"/>
              </w:tabs>
              <w:spacing w:before="60" w:after="60"/>
              <w:ind w:left="1056"/>
              <w:rPr>
                <w:rFonts w:cs="Arial"/>
                <w:noProof w:val="0"/>
                <w:sz w:val="20"/>
              </w:rPr>
            </w:pPr>
            <w:r>
              <w:rPr>
                <w:rFonts w:cs="Arial"/>
                <w:noProof w:val="0"/>
                <w:sz w:val="20"/>
              </w:rPr>
              <w:t xml:space="preserve">El control de impermeabilidad al agua del hormigón se determinará mediante el método de la profundidad del agua a presión y será de aplicación para los ambientes de agresividad </w:t>
            </w:r>
            <w:proofErr w:type="spellStart"/>
            <w:r>
              <w:rPr>
                <w:rFonts w:cs="Arial"/>
                <w:noProof w:val="0"/>
                <w:sz w:val="20"/>
              </w:rPr>
              <w:t>IIIa</w:t>
            </w:r>
            <w:proofErr w:type="spellEnd"/>
            <w:r>
              <w:rPr>
                <w:rFonts w:cs="Arial"/>
                <w:noProof w:val="0"/>
                <w:sz w:val="20"/>
              </w:rPr>
              <w:t xml:space="preserve">, </w:t>
            </w:r>
            <w:proofErr w:type="spellStart"/>
            <w:r>
              <w:rPr>
                <w:rFonts w:cs="Arial"/>
                <w:noProof w:val="0"/>
                <w:sz w:val="20"/>
              </w:rPr>
              <w:t>IIIb</w:t>
            </w:r>
            <w:proofErr w:type="spellEnd"/>
            <w:r>
              <w:rPr>
                <w:rFonts w:cs="Arial"/>
                <w:noProof w:val="0"/>
                <w:sz w:val="20"/>
              </w:rPr>
              <w:t xml:space="preserve">, IV, </w:t>
            </w:r>
            <w:proofErr w:type="spellStart"/>
            <w:r>
              <w:rPr>
                <w:rFonts w:cs="Arial"/>
                <w:noProof w:val="0"/>
                <w:sz w:val="20"/>
              </w:rPr>
              <w:t>Qa</w:t>
            </w:r>
            <w:proofErr w:type="spellEnd"/>
            <w:r>
              <w:rPr>
                <w:rFonts w:cs="Arial"/>
                <w:noProof w:val="0"/>
                <w:sz w:val="20"/>
              </w:rPr>
              <w:t xml:space="preserve">, E, H, F, </w:t>
            </w:r>
            <w:proofErr w:type="spellStart"/>
            <w:r>
              <w:rPr>
                <w:rFonts w:cs="Arial"/>
                <w:noProof w:val="0"/>
                <w:sz w:val="20"/>
              </w:rPr>
              <w:t>Qb</w:t>
            </w:r>
            <w:proofErr w:type="spellEnd"/>
            <w:r>
              <w:rPr>
                <w:rFonts w:cs="Arial"/>
                <w:noProof w:val="0"/>
                <w:sz w:val="20"/>
              </w:rPr>
              <w:t xml:space="preserve">. Estos hormigones se </w:t>
            </w:r>
            <w:proofErr w:type="spellStart"/>
            <w:r>
              <w:rPr>
                <w:rFonts w:cs="Arial"/>
                <w:noProof w:val="0"/>
                <w:sz w:val="20"/>
              </w:rPr>
              <w:t>considerarna</w:t>
            </w:r>
            <w:proofErr w:type="spellEnd"/>
            <w:r>
              <w:rPr>
                <w:rFonts w:cs="Arial"/>
                <w:noProof w:val="0"/>
                <w:sz w:val="20"/>
              </w:rPr>
              <w:t xml:space="preserve"> suficientemente impermeable al agua cuando los resultados de ensayo </w:t>
            </w:r>
            <w:proofErr w:type="spellStart"/>
            <w:r>
              <w:rPr>
                <w:rFonts w:cs="Arial"/>
                <w:noProof w:val="0"/>
                <w:sz w:val="20"/>
              </w:rPr>
              <w:t>cumplén</w:t>
            </w:r>
            <w:proofErr w:type="spellEnd"/>
            <w:r>
              <w:rPr>
                <w:rFonts w:cs="Arial"/>
                <w:noProof w:val="0"/>
                <w:sz w:val="20"/>
              </w:rPr>
              <w:t xml:space="preserve"> la profundidad prescrita en el comentario 373.3 de la EHE.</w:t>
            </w:r>
          </w:p>
        </w:tc>
        <w:tc>
          <w:tcPr>
            <w:tcW w:w="1330" w:type="pct"/>
            <w:tcBorders>
              <w:top w:val="nil"/>
              <w:left w:val="nil"/>
              <w:bottom w:val="single" w:sz="8" w:space="0" w:color="auto"/>
              <w:right w:val="single" w:sz="8" w:space="0" w:color="auto"/>
            </w:tcBorders>
          </w:tcPr>
          <w:p w14:paraId="01F227CC" w14:textId="77777777" w:rsidR="003565C1" w:rsidRDefault="003565C1" w:rsidP="00531952">
            <w:pPr>
              <w:pStyle w:val="GTTTabla"/>
              <w:spacing w:before="60" w:after="60"/>
              <w:jc w:val="center"/>
              <w:rPr>
                <w:rFonts w:ascii="Arial" w:hAnsi="Arial" w:cs="Arial"/>
                <w:i/>
                <w:sz w:val="20"/>
                <w:szCs w:val="20"/>
              </w:rPr>
            </w:pPr>
            <w:r w:rsidRPr="008F328B">
              <w:rPr>
                <w:rFonts w:ascii="Arial" w:hAnsi="Arial" w:cs="Arial"/>
                <w:i/>
                <w:sz w:val="20"/>
                <w:szCs w:val="20"/>
              </w:rPr>
              <w:t>EHE-08</w:t>
            </w:r>
          </w:p>
          <w:p w14:paraId="41ED7528" w14:textId="77777777" w:rsidR="003565C1" w:rsidRPr="008F328B" w:rsidRDefault="003565C1" w:rsidP="00531952">
            <w:pPr>
              <w:pStyle w:val="GTTTabla"/>
              <w:spacing w:before="60" w:after="60"/>
              <w:jc w:val="center"/>
              <w:rPr>
                <w:rFonts w:ascii="Arial" w:hAnsi="Arial" w:cs="Arial"/>
                <w:i/>
                <w:sz w:val="20"/>
                <w:szCs w:val="20"/>
              </w:rPr>
            </w:pPr>
            <w:r>
              <w:rPr>
                <w:rFonts w:ascii="Arial" w:hAnsi="Arial" w:cs="Arial"/>
                <w:i/>
                <w:sz w:val="20"/>
                <w:szCs w:val="20"/>
              </w:rPr>
              <w:t>UNE-EN 12390-8</w:t>
            </w:r>
          </w:p>
        </w:tc>
      </w:tr>
    </w:tbl>
    <w:p w14:paraId="1A1202FC" w14:textId="77777777" w:rsidR="005240FA" w:rsidRPr="00AE285D" w:rsidRDefault="005240FA" w:rsidP="005240FA">
      <w:pPr>
        <w:pStyle w:val="NORMAL12"/>
      </w:pPr>
      <w:r>
        <w:t xml:space="preserve">Los criterios de aceptación o rechazo para cada uno de los ensayos se indican en los artículos de la EHE-08 indicados. En el caso de que los resultados de los ensayos de resistencia ofrezcan valores inferiores al 90% de la resistencia característica especificada en proyecto para cada tipo de hormigón, la Dirección </w:t>
      </w:r>
      <w:r w:rsidR="009771E6">
        <w:t>de Obra</w:t>
      </w:r>
      <w:r>
        <w:t xml:space="preserve"> podrá requerir la realización de ensayos de información complementaria del hormigón de cualquiera de los tipos indicados a continuación:</w:t>
      </w:r>
    </w:p>
    <w:tbl>
      <w:tblPr>
        <w:tblW w:w="5000" w:type="pct"/>
        <w:jc w:val="center"/>
        <w:tblBorders>
          <w:top w:val="single" w:sz="8" w:space="0" w:color="auto"/>
          <w:left w:val="single" w:sz="8" w:space="0" w:color="auto"/>
          <w:bottom w:val="single" w:sz="8" w:space="0" w:color="auto"/>
          <w:right w:val="single" w:sz="8" w:space="0" w:color="auto"/>
        </w:tblBorders>
        <w:tblCellMar>
          <w:left w:w="70" w:type="dxa"/>
          <w:right w:w="70" w:type="dxa"/>
        </w:tblCellMar>
        <w:tblLook w:val="04A0" w:firstRow="1" w:lastRow="0" w:firstColumn="1" w:lastColumn="0" w:noHBand="0" w:noVBand="1"/>
      </w:tblPr>
      <w:tblGrid>
        <w:gridCol w:w="6865"/>
        <w:gridCol w:w="2488"/>
      </w:tblGrid>
      <w:tr w:rsidR="005240FA" w:rsidRPr="008F328B" w14:paraId="3BFDE11A" w14:textId="77777777" w:rsidTr="00684A3E">
        <w:trPr>
          <w:jc w:val="center"/>
        </w:trPr>
        <w:tc>
          <w:tcPr>
            <w:tcW w:w="5000" w:type="pct"/>
            <w:gridSpan w:val="2"/>
            <w:tcBorders>
              <w:top w:val="single" w:sz="8" w:space="0" w:color="auto"/>
              <w:left w:val="single" w:sz="8" w:space="0" w:color="auto"/>
              <w:bottom w:val="nil"/>
              <w:right w:val="single" w:sz="8" w:space="0" w:color="auto"/>
            </w:tcBorders>
            <w:shd w:val="clear" w:color="auto" w:fill="D9D9D9" w:themeFill="background1" w:themeFillShade="D9"/>
            <w:hideMark/>
          </w:tcPr>
          <w:p w14:paraId="40093332" w14:textId="77777777" w:rsidR="005240FA" w:rsidRPr="008F328B" w:rsidRDefault="005240FA" w:rsidP="0015400D">
            <w:pPr>
              <w:pStyle w:val="GTTTabla"/>
              <w:jc w:val="center"/>
              <w:rPr>
                <w:rFonts w:ascii="Arial" w:hAnsi="Arial" w:cs="Arial"/>
                <w:b/>
                <w:sz w:val="20"/>
                <w:szCs w:val="20"/>
              </w:rPr>
            </w:pPr>
            <w:r w:rsidRPr="008F328B">
              <w:rPr>
                <w:rFonts w:ascii="Arial" w:hAnsi="Arial" w:cs="Arial"/>
                <w:b/>
                <w:sz w:val="20"/>
                <w:szCs w:val="20"/>
              </w:rPr>
              <w:t>Ensayos de información complementaria del hormigón</w:t>
            </w:r>
          </w:p>
        </w:tc>
      </w:tr>
      <w:tr w:rsidR="005240FA" w:rsidRPr="008F328B" w14:paraId="43B00AB4" w14:textId="77777777" w:rsidTr="008F328B">
        <w:trPr>
          <w:jc w:val="center"/>
        </w:trPr>
        <w:tc>
          <w:tcPr>
            <w:tcW w:w="5000" w:type="pct"/>
            <w:gridSpan w:val="2"/>
            <w:tcBorders>
              <w:top w:val="nil"/>
              <w:left w:val="single" w:sz="8" w:space="0" w:color="auto"/>
              <w:bottom w:val="single" w:sz="8" w:space="0" w:color="auto"/>
              <w:right w:val="single" w:sz="8" w:space="0" w:color="auto"/>
            </w:tcBorders>
            <w:hideMark/>
          </w:tcPr>
          <w:p w14:paraId="15B1776B" w14:textId="77777777" w:rsidR="005240FA" w:rsidRPr="008F328B" w:rsidRDefault="005240FA" w:rsidP="0015400D">
            <w:pPr>
              <w:pStyle w:val="GTTTabla"/>
              <w:jc w:val="both"/>
              <w:rPr>
                <w:rFonts w:ascii="Arial" w:hAnsi="Arial" w:cs="Arial"/>
                <w:sz w:val="20"/>
                <w:szCs w:val="20"/>
              </w:rPr>
            </w:pPr>
            <w:r w:rsidRPr="008F328B">
              <w:rPr>
                <w:rFonts w:ascii="Arial" w:hAnsi="Arial" w:cs="Arial"/>
                <w:sz w:val="20"/>
                <w:szCs w:val="20"/>
              </w:rPr>
              <w:t xml:space="preserve">A requerimiento de la Dirección </w:t>
            </w:r>
            <w:r w:rsidR="009771E6">
              <w:rPr>
                <w:rFonts w:ascii="Arial" w:hAnsi="Arial" w:cs="Arial"/>
                <w:sz w:val="20"/>
                <w:szCs w:val="20"/>
              </w:rPr>
              <w:t>de Obra</w:t>
            </w:r>
            <w:r w:rsidRPr="008F328B">
              <w:rPr>
                <w:rFonts w:ascii="Arial" w:hAnsi="Arial" w:cs="Arial"/>
                <w:sz w:val="20"/>
                <w:szCs w:val="20"/>
              </w:rPr>
              <w:t xml:space="preserve">, cuando la resistencia obtenida del control de resistencia sea </w:t>
            </w:r>
            <w:r w:rsidRPr="008F328B">
              <w:rPr>
                <w:rFonts w:ascii="Arial" w:hAnsi="Arial" w:cs="Arial"/>
                <w:position w:val="-12"/>
                <w:sz w:val="20"/>
                <w:szCs w:val="20"/>
              </w:rPr>
              <w:object w:dxaOrig="1350" w:dyaOrig="345" w14:anchorId="40C9E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75pt;height:16.5pt" o:ole="">
                  <v:imagedata r:id="rId16" o:title=""/>
                </v:shape>
                <o:OLEObject Type="Embed" ProgID="Equation.DSMT4" ShapeID="_x0000_i1025" DrawAspect="Content" ObjectID="_1824991066" r:id="rId17"/>
              </w:object>
            </w:r>
          </w:p>
          <w:p w14:paraId="57752241" w14:textId="77777777" w:rsidR="005240FA" w:rsidRPr="008F328B" w:rsidRDefault="005240FA" w:rsidP="0015400D">
            <w:pPr>
              <w:pStyle w:val="GTTTabla"/>
              <w:jc w:val="both"/>
              <w:rPr>
                <w:rFonts w:ascii="Arial" w:hAnsi="Arial" w:cs="Arial"/>
                <w:sz w:val="20"/>
                <w:szCs w:val="20"/>
              </w:rPr>
            </w:pPr>
            <w:r w:rsidRPr="008F328B">
              <w:rPr>
                <w:rFonts w:ascii="Arial" w:hAnsi="Arial" w:cs="Arial"/>
                <w:sz w:val="20"/>
                <w:szCs w:val="20"/>
              </w:rPr>
              <w:t xml:space="preserve">Indicados también cuando se efectúe hormigonado en tiempo frío o para garantizar el adecuado comportamiento estructural al realizar el descimbrado o desencofrado </w:t>
            </w:r>
          </w:p>
        </w:tc>
      </w:tr>
      <w:tr w:rsidR="005240FA" w:rsidRPr="008F328B" w14:paraId="67512732" w14:textId="77777777" w:rsidTr="008F328B">
        <w:trPr>
          <w:jc w:val="center"/>
        </w:trPr>
        <w:tc>
          <w:tcPr>
            <w:tcW w:w="3670" w:type="pct"/>
            <w:tcBorders>
              <w:top w:val="single" w:sz="8" w:space="0" w:color="auto"/>
              <w:left w:val="single" w:sz="8" w:space="0" w:color="auto"/>
              <w:bottom w:val="nil"/>
              <w:right w:val="nil"/>
            </w:tcBorders>
            <w:vAlign w:val="center"/>
            <w:hideMark/>
          </w:tcPr>
          <w:p w14:paraId="5397753B" w14:textId="77777777" w:rsidR="005240FA" w:rsidRPr="008F328B" w:rsidRDefault="005240FA" w:rsidP="0015400D">
            <w:pPr>
              <w:pStyle w:val="GTTTabla"/>
              <w:keepNext/>
              <w:jc w:val="center"/>
              <w:rPr>
                <w:rFonts w:ascii="Arial" w:hAnsi="Arial" w:cs="Arial"/>
                <w:b/>
                <w:sz w:val="20"/>
                <w:szCs w:val="20"/>
              </w:rPr>
            </w:pPr>
            <w:r w:rsidRPr="008F328B">
              <w:rPr>
                <w:rFonts w:ascii="Arial" w:hAnsi="Arial" w:cs="Arial"/>
                <w:b/>
                <w:sz w:val="20"/>
                <w:szCs w:val="20"/>
              </w:rPr>
              <w:t>Control</w:t>
            </w:r>
          </w:p>
        </w:tc>
        <w:tc>
          <w:tcPr>
            <w:tcW w:w="1330" w:type="pct"/>
            <w:tcBorders>
              <w:top w:val="single" w:sz="8" w:space="0" w:color="auto"/>
              <w:left w:val="nil"/>
              <w:bottom w:val="nil"/>
              <w:right w:val="single" w:sz="8" w:space="0" w:color="auto"/>
            </w:tcBorders>
            <w:vAlign w:val="center"/>
            <w:hideMark/>
          </w:tcPr>
          <w:p w14:paraId="74792A1A" w14:textId="77777777" w:rsidR="005240FA" w:rsidRPr="008F328B" w:rsidRDefault="005240FA" w:rsidP="0015400D">
            <w:pPr>
              <w:pStyle w:val="GTTTabla"/>
              <w:keepNext/>
              <w:jc w:val="center"/>
              <w:rPr>
                <w:rFonts w:ascii="Arial" w:hAnsi="Arial" w:cs="Arial"/>
                <w:b/>
                <w:sz w:val="20"/>
                <w:szCs w:val="20"/>
              </w:rPr>
            </w:pPr>
            <w:r w:rsidRPr="008F328B">
              <w:rPr>
                <w:rFonts w:ascii="Arial" w:hAnsi="Arial" w:cs="Arial"/>
                <w:b/>
                <w:sz w:val="20"/>
                <w:szCs w:val="20"/>
              </w:rPr>
              <w:t>Norma</w:t>
            </w:r>
          </w:p>
        </w:tc>
      </w:tr>
      <w:tr w:rsidR="005240FA" w:rsidRPr="008F328B" w14:paraId="120B3A85" w14:textId="77777777" w:rsidTr="008F328B">
        <w:trPr>
          <w:jc w:val="center"/>
        </w:trPr>
        <w:tc>
          <w:tcPr>
            <w:tcW w:w="3670" w:type="pct"/>
            <w:tcBorders>
              <w:top w:val="nil"/>
              <w:left w:val="single" w:sz="8" w:space="0" w:color="auto"/>
              <w:bottom w:val="single" w:sz="8" w:space="0" w:color="auto"/>
              <w:right w:val="nil"/>
            </w:tcBorders>
            <w:hideMark/>
          </w:tcPr>
          <w:p w14:paraId="2F599DD4" w14:textId="77777777" w:rsidR="005240FA" w:rsidRPr="008F328B" w:rsidRDefault="005240FA" w:rsidP="0015400D">
            <w:pPr>
              <w:pStyle w:val="GTTTabla"/>
              <w:ind w:left="708"/>
              <w:rPr>
                <w:rFonts w:ascii="Arial" w:hAnsi="Arial" w:cs="Arial"/>
                <w:sz w:val="20"/>
                <w:szCs w:val="20"/>
              </w:rPr>
            </w:pPr>
            <w:r w:rsidRPr="008F328B">
              <w:rPr>
                <w:rFonts w:ascii="Arial" w:hAnsi="Arial" w:cs="Arial"/>
                <w:i/>
                <w:sz w:val="20"/>
                <w:szCs w:val="20"/>
              </w:rPr>
              <w:t>Tipo a</w:t>
            </w:r>
            <w:r w:rsidRPr="008F328B">
              <w:rPr>
                <w:rFonts w:ascii="Arial" w:hAnsi="Arial" w:cs="Arial"/>
                <w:sz w:val="20"/>
                <w:szCs w:val="20"/>
              </w:rPr>
              <w:t>, fabricación de probetas y curado en condiciones análogas a las reales de la obra</w:t>
            </w:r>
          </w:p>
        </w:tc>
        <w:tc>
          <w:tcPr>
            <w:tcW w:w="1330" w:type="pct"/>
            <w:tcBorders>
              <w:top w:val="nil"/>
              <w:left w:val="nil"/>
              <w:bottom w:val="single" w:sz="8" w:space="0" w:color="auto"/>
              <w:right w:val="single" w:sz="8" w:space="0" w:color="auto"/>
            </w:tcBorders>
            <w:hideMark/>
          </w:tcPr>
          <w:p w14:paraId="1C08A0BD" w14:textId="77777777" w:rsidR="005240FA" w:rsidRPr="008F328B" w:rsidRDefault="005240FA" w:rsidP="0015400D">
            <w:pPr>
              <w:pStyle w:val="GTTTabla"/>
              <w:jc w:val="center"/>
              <w:rPr>
                <w:rFonts w:ascii="Arial" w:hAnsi="Arial" w:cs="Arial"/>
                <w:i/>
                <w:sz w:val="20"/>
                <w:szCs w:val="20"/>
              </w:rPr>
            </w:pPr>
            <w:r w:rsidRPr="008F328B">
              <w:rPr>
                <w:rFonts w:ascii="Arial" w:hAnsi="Arial" w:cs="Arial"/>
                <w:i/>
                <w:sz w:val="20"/>
                <w:szCs w:val="20"/>
              </w:rPr>
              <w:t>EHE-08</w:t>
            </w:r>
          </w:p>
        </w:tc>
      </w:tr>
      <w:tr w:rsidR="005240FA" w:rsidRPr="008F328B" w14:paraId="7A1E896F" w14:textId="77777777" w:rsidTr="008F328B">
        <w:trPr>
          <w:jc w:val="center"/>
        </w:trPr>
        <w:tc>
          <w:tcPr>
            <w:tcW w:w="3670" w:type="pct"/>
            <w:tcBorders>
              <w:top w:val="nil"/>
              <w:left w:val="single" w:sz="8" w:space="0" w:color="auto"/>
              <w:bottom w:val="single" w:sz="8" w:space="0" w:color="auto"/>
              <w:right w:val="nil"/>
            </w:tcBorders>
            <w:hideMark/>
          </w:tcPr>
          <w:p w14:paraId="53D0BB36" w14:textId="77777777" w:rsidR="005240FA" w:rsidRPr="008F328B" w:rsidRDefault="005240FA" w:rsidP="0015400D">
            <w:pPr>
              <w:pStyle w:val="GTTTabla"/>
              <w:ind w:left="708"/>
              <w:rPr>
                <w:rFonts w:ascii="Arial" w:hAnsi="Arial" w:cs="Arial"/>
                <w:sz w:val="20"/>
                <w:szCs w:val="20"/>
              </w:rPr>
            </w:pPr>
            <w:r w:rsidRPr="008F328B">
              <w:rPr>
                <w:rFonts w:ascii="Arial" w:hAnsi="Arial" w:cs="Arial"/>
                <w:i/>
                <w:sz w:val="20"/>
                <w:szCs w:val="20"/>
              </w:rPr>
              <w:t xml:space="preserve">Tipo b, </w:t>
            </w:r>
            <w:r w:rsidRPr="008F328B">
              <w:rPr>
                <w:rFonts w:ascii="Arial" w:hAnsi="Arial" w:cs="Arial"/>
                <w:sz w:val="20"/>
                <w:szCs w:val="20"/>
              </w:rPr>
              <w:t>extracción de probetas de hormigón endurecido</w:t>
            </w:r>
          </w:p>
        </w:tc>
        <w:tc>
          <w:tcPr>
            <w:tcW w:w="1330" w:type="pct"/>
            <w:tcBorders>
              <w:top w:val="nil"/>
              <w:left w:val="nil"/>
              <w:bottom w:val="single" w:sz="8" w:space="0" w:color="auto"/>
              <w:right w:val="single" w:sz="8" w:space="0" w:color="auto"/>
            </w:tcBorders>
            <w:hideMark/>
          </w:tcPr>
          <w:p w14:paraId="09AAD79E" w14:textId="77777777" w:rsidR="005240FA" w:rsidRPr="008F328B" w:rsidRDefault="005240FA" w:rsidP="0015400D">
            <w:pPr>
              <w:pStyle w:val="GTTTabla"/>
              <w:jc w:val="center"/>
              <w:rPr>
                <w:rFonts w:ascii="Arial" w:hAnsi="Arial" w:cs="Arial"/>
                <w:i/>
                <w:sz w:val="20"/>
                <w:szCs w:val="20"/>
              </w:rPr>
            </w:pPr>
            <w:r w:rsidRPr="008F328B">
              <w:rPr>
                <w:rFonts w:ascii="Arial" w:hAnsi="Arial" w:cs="Arial"/>
                <w:i/>
                <w:sz w:val="20"/>
                <w:szCs w:val="20"/>
              </w:rPr>
              <w:t>EHE-08</w:t>
            </w:r>
          </w:p>
        </w:tc>
      </w:tr>
      <w:tr w:rsidR="005240FA" w:rsidRPr="008F328B" w14:paraId="78243B8B" w14:textId="77777777" w:rsidTr="008F328B">
        <w:trPr>
          <w:jc w:val="center"/>
        </w:trPr>
        <w:tc>
          <w:tcPr>
            <w:tcW w:w="3670" w:type="pct"/>
            <w:tcBorders>
              <w:top w:val="nil"/>
              <w:left w:val="single" w:sz="8" w:space="0" w:color="auto"/>
              <w:bottom w:val="single" w:sz="8" w:space="0" w:color="auto"/>
              <w:right w:val="nil"/>
            </w:tcBorders>
            <w:hideMark/>
          </w:tcPr>
          <w:p w14:paraId="008B5AA5" w14:textId="77777777" w:rsidR="005240FA" w:rsidRPr="008F328B" w:rsidRDefault="005240FA" w:rsidP="0015400D">
            <w:pPr>
              <w:pStyle w:val="GTTTabla"/>
              <w:ind w:left="708"/>
              <w:rPr>
                <w:rFonts w:ascii="Arial" w:hAnsi="Arial" w:cs="Arial"/>
                <w:sz w:val="20"/>
                <w:szCs w:val="20"/>
              </w:rPr>
            </w:pPr>
            <w:r w:rsidRPr="008F328B">
              <w:rPr>
                <w:rFonts w:ascii="Arial" w:hAnsi="Arial" w:cs="Arial"/>
                <w:i/>
                <w:sz w:val="20"/>
                <w:szCs w:val="20"/>
              </w:rPr>
              <w:t>Tipo c,</w:t>
            </w:r>
            <w:r w:rsidRPr="008F328B">
              <w:rPr>
                <w:rFonts w:ascii="Arial" w:hAnsi="Arial" w:cs="Arial"/>
                <w:sz w:val="20"/>
                <w:szCs w:val="20"/>
              </w:rPr>
              <w:t xml:space="preserve"> ensayos no destructivos</w:t>
            </w:r>
          </w:p>
        </w:tc>
        <w:tc>
          <w:tcPr>
            <w:tcW w:w="1330" w:type="pct"/>
            <w:tcBorders>
              <w:top w:val="nil"/>
              <w:left w:val="nil"/>
              <w:bottom w:val="single" w:sz="8" w:space="0" w:color="auto"/>
              <w:right w:val="single" w:sz="8" w:space="0" w:color="auto"/>
            </w:tcBorders>
            <w:hideMark/>
          </w:tcPr>
          <w:p w14:paraId="7D210E08" w14:textId="77777777" w:rsidR="005240FA" w:rsidRPr="008F328B" w:rsidRDefault="005240FA" w:rsidP="0015400D">
            <w:pPr>
              <w:pStyle w:val="GTTTabla"/>
              <w:jc w:val="center"/>
              <w:rPr>
                <w:rFonts w:ascii="Arial" w:hAnsi="Arial" w:cs="Arial"/>
                <w:i/>
                <w:sz w:val="20"/>
                <w:szCs w:val="20"/>
              </w:rPr>
            </w:pPr>
            <w:r w:rsidRPr="008F328B">
              <w:rPr>
                <w:rFonts w:ascii="Arial" w:hAnsi="Arial" w:cs="Arial"/>
                <w:i/>
                <w:sz w:val="20"/>
                <w:szCs w:val="20"/>
              </w:rPr>
              <w:t>EHE-08</w:t>
            </w:r>
          </w:p>
        </w:tc>
      </w:tr>
    </w:tbl>
    <w:p w14:paraId="210D4BCB" w14:textId="77777777" w:rsidR="005240FA" w:rsidRPr="007B6DC6" w:rsidRDefault="005240FA" w:rsidP="005240FA">
      <w:pPr>
        <w:pStyle w:val="NORMAL12"/>
        <w:rPr>
          <w:i/>
          <w:u w:val="single"/>
        </w:rPr>
      </w:pPr>
      <w:bookmarkStart w:id="695" w:name="_Toc492537790"/>
      <w:bookmarkStart w:id="696" w:name="_Toc400741546"/>
      <w:bookmarkStart w:id="697" w:name="_Toc399508999"/>
      <w:r w:rsidRPr="007B6DC6">
        <w:rPr>
          <w:i/>
          <w:u w:val="single"/>
        </w:rPr>
        <w:t>Control de ejecución</w:t>
      </w:r>
      <w:bookmarkEnd w:id="695"/>
      <w:bookmarkEnd w:id="696"/>
      <w:bookmarkEnd w:id="697"/>
    </w:p>
    <w:p w14:paraId="16216DCF" w14:textId="77777777" w:rsidR="005240FA" w:rsidRDefault="005240FA" w:rsidP="005240FA">
      <w:pPr>
        <w:pStyle w:val="NORMAL12"/>
      </w:pPr>
      <w:r>
        <w:t>El hormigón se dividirá en lotes según las indicaciones de la Tabla 86.5.4.1. de EHE-08 08.</w:t>
      </w:r>
    </w:p>
    <w:p w14:paraId="1B7E677B" w14:textId="77777777" w:rsidR="005240FA" w:rsidRDefault="00531952" w:rsidP="000313DD">
      <w:pPr>
        <w:pStyle w:val="TITU2"/>
      </w:pPr>
      <w:bookmarkStart w:id="698" w:name="_Toc492537791"/>
      <w:bookmarkStart w:id="699" w:name="_Toc400741547"/>
      <w:bookmarkStart w:id="700" w:name="_Toc399509000"/>
      <w:r>
        <w:br w:type="column"/>
      </w:r>
      <w:bookmarkStart w:id="701" w:name="_Toc404408"/>
      <w:r w:rsidR="008F328B">
        <w:t xml:space="preserve">610.10. </w:t>
      </w:r>
      <w:r w:rsidR="005240FA" w:rsidRPr="007B6DC6">
        <w:t>Medición y abono</w:t>
      </w:r>
      <w:bookmarkEnd w:id="698"/>
      <w:bookmarkEnd w:id="699"/>
      <w:bookmarkEnd w:id="700"/>
      <w:bookmarkEnd w:id="701"/>
    </w:p>
    <w:p w14:paraId="5B54A5E2" w14:textId="77777777" w:rsidR="005240FA" w:rsidRDefault="005240FA" w:rsidP="005240FA">
      <w:pPr>
        <w:pStyle w:val="NORMAL12"/>
      </w:pPr>
      <w:r>
        <w:t>La medición y abono de las unidades referidas a los hormigones se realizará según las especificaciones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905"/>
        <w:gridCol w:w="5739"/>
      </w:tblGrid>
      <w:tr w:rsidR="005240FA" w14:paraId="32466851" w14:textId="77777777" w:rsidTr="0015400D">
        <w:tc>
          <w:tcPr>
            <w:tcW w:w="2905" w:type="dxa"/>
            <w:tcBorders>
              <w:top w:val="single" w:sz="4" w:space="0" w:color="auto"/>
              <w:left w:val="single" w:sz="4" w:space="0" w:color="auto"/>
              <w:bottom w:val="single" w:sz="4" w:space="0" w:color="auto"/>
              <w:right w:val="single" w:sz="4" w:space="0" w:color="auto"/>
            </w:tcBorders>
            <w:vAlign w:val="center"/>
            <w:hideMark/>
          </w:tcPr>
          <w:p w14:paraId="596CC4E3" w14:textId="77777777" w:rsidR="005240FA" w:rsidRDefault="005240FA" w:rsidP="00684A3E">
            <w:pPr>
              <w:pStyle w:val="GTTTtuloTabla"/>
              <w:rPr>
                <w:rFonts w:ascii="Arial" w:hAnsi="Arial" w:cs="Arial"/>
                <w:sz w:val="20"/>
              </w:rPr>
            </w:pPr>
            <w:r>
              <w:rPr>
                <w:rFonts w:ascii="Arial" w:hAnsi="Arial" w:cs="Arial"/>
                <w:sz w:val="20"/>
              </w:rPr>
              <w:t>Unidad de medida</w:t>
            </w:r>
          </w:p>
        </w:tc>
        <w:tc>
          <w:tcPr>
            <w:tcW w:w="5739" w:type="dxa"/>
            <w:tcBorders>
              <w:top w:val="single" w:sz="4" w:space="0" w:color="auto"/>
              <w:left w:val="single" w:sz="4" w:space="0" w:color="auto"/>
              <w:bottom w:val="single" w:sz="4" w:space="0" w:color="auto"/>
              <w:right w:val="single" w:sz="4" w:space="0" w:color="auto"/>
            </w:tcBorders>
            <w:vAlign w:val="center"/>
            <w:hideMark/>
          </w:tcPr>
          <w:p w14:paraId="3CCA26FC" w14:textId="77777777" w:rsidR="005240FA" w:rsidRDefault="005240FA" w:rsidP="0015400D">
            <w:pPr>
              <w:pStyle w:val="GTTTabla"/>
              <w:jc w:val="both"/>
              <w:rPr>
                <w:rFonts w:ascii="Arial" w:hAnsi="Arial" w:cs="Arial"/>
                <w:sz w:val="20"/>
              </w:rPr>
            </w:pPr>
            <w:r>
              <w:rPr>
                <w:rFonts w:ascii="Arial" w:hAnsi="Arial" w:cs="Arial"/>
                <w:sz w:val="20"/>
              </w:rPr>
              <w:t>Metro cúbico (m³).</w:t>
            </w:r>
          </w:p>
        </w:tc>
      </w:tr>
      <w:tr w:rsidR="005240FA" w14:paraId="74D2D438" w14:textId="77777777" w:rsidTr="0015400D">
        <w:tc>
          <w:tcPr>
            <w:tcW w:w="2905" w:type="dxa"/>
            <w:tcBorders>
              <w:top w:val="single" w:sz="4" w:space="0" w:color="auto"/>
              <w:left w:val="single" w:sz="4" w:space="0" w:color="auto"/>
              <w:bottom w:val="single" w:sz="4" w:space="0" w:color="auto"/>
              <w:right w:val="single" w:sz="4" w:space="0" w:color="auto"/>
            </w:tcBorders>
            <w:vAlign w:val="center"/>
            <w:hideMark/>
          </w:tcPr>
          <w:p w14:paraId="521CABF0" w14:textId="77777777" w:rsidR="005240FA" w:rsidRDefault="005240FA" w:rsidP="00684A3E">
            <w:pPr>
              <w:pStyle w:val="GTTTtuloTabla"/>
              <w:rPr>
                <w:rFonts w:ascii="Arial" w:hAnsi="Arial" w:cs="Arial"/>
                <w:sz w:val="20"/>
              </w:rPr>
            </w:pPr>
            <w:r>
              <w:rPr>
                <w:rFonts w:ascii="Arial" w:hAnsi="Arial" w:cs="Arial"/>
                <w:sz w:val="20"/>
              </w:rPr>
              <w:t>Grado de precisión</w:t>
            </w:r>
          </w:p>
        </w:tc>
        <w:tc>
          <w:tcPr>
            <w:tcW w:w="5739" w:type="dxa"/>
            <w:tcBorders>
              <w:top w:val="single" w:sz="4" w:space="0" w:color="auto"/>
              <w:left w:val="single" w:sz="4" w:space="0" w:color="auto"/>
              <w:bottom w:val="single" w:sz="4" w:space="0" w:color="auto"/>
              <w:right w:val="single" w:sz="4" w:space="0" w:color="auto"/>
            </w:tcBorders>
            <w:vAlign w:val="center"/>
            <w:hideMark/>
          </w:tcPr>
          <w:p w14:paraId="30FCFF17" w14:textId="77777777" w:rsidR="005240FA" w:rsidRDefault="005240FA" w:rsidP="0015400D">
            <w:pPr>
              <w:pStyle w:val="GTTTabla"/>
              <w:jc w:val="both"/>
              <w:rPr>
                <w:rFonts w:ascii="Arial" w:hAnsi="Arial" w:cs="Arial"/>
                <w:sz w:val="20"/>
              </w:rPr>
            </w:pPr>
            <w:r>
              <w:rPr>
                <w:rFonts w:ascii="Arial" w:hAnsi="Arial" w:cs="Arial"/>
                <w:sz w:val="20"/>
              </w:rPr>
              <w:t>Dos decimales.</w:t>
            </w:r>
          </w:p>
        </w:tc>
      </w:tr>
      <w:tr w:rsidR="005240FA" w14:paraId="1864AB77" w14:textId="77777777" w:rsidTr="0015400D">
        <w:tc>
          <w:tcPr>
            <w:tcW w:w="2905" w:type="dxa"/>
            <w:tcBorders>
              <w:top w:val="single" w:sz="4" w:space="0" w:color="auto"/>
              <w:left w:val="single" w:sz="4" w:space="0" w:color="auto"/>
              <w:bottom w:val="single" w:sz="4" w:space="0" w:color="auto"/>
              <w:right w:val="single" w:sz="4" w:space="0" w:color="auto"/>
            </w:tcBorders>
            <w:vAlign w:val="center"/>
            <w:hideMark/>
          </w:tcPr>
          <w:p w14:paraId="57245164" w14:textId="77777777" w:rsidR="005240FA" w:rsidRDefault="005240FA" w:rsidP="00684A3E">
            <w:pPr>
              <w:pStyle w:val="GTTTtuloTabla"/>
              <w:rPr>
                <w:rFonts w:ascii="Arial" w:hAnsi="Arial" w:cs="Arial"/>
                <w:sz w:val="20"/>
              </w:rPr>
            </w:pPr>
            <w:r>
              <w:rPr>
                <w:rFonts w:ascii="Arial" w:hAnsi="Arial" w:cs="Arial"/>
                <w:sz w:val="20"/>
              </w:rPr>
              <w:t>Forma de medición</w:t>
            </w:r>
          </w:p>
        </w:tc>
        <w:tc>
          <w:tcPr>
            <w:tcW w:w="5739" w:type="dxa"/>
            <w:tcBorders>
              <w:top w:val="single" w:sz="4" w:space="0" w:color="auto"/>
              <w:left w:val="single" w:sz="4" w:space="0" w:color="auto"/>
              <w:bottom w:val="single" w:sz="4" w:space="0" w:color="auto"/>
              <w:right w:val="single" w:sz="4" w:space="0" w:color="auto"/>
            </w:tcBorders>
            <w:vAlign w:val="center"/>
            <w:hideMark/>
          </w:tcPr>
          <w:p w14:paraId="27535CA5" w14:textId="77777777" w:rsidR="005240FA" w:rsidRDefault="005240FA" w:rsidP="0015400D">
            <w:pPr>
              <w:pStyle w:val="GTTTabla"/>
              <w:jc w:val="both"/>
              <w:rPr>
                <w:rFonts w:ascii="Arial" w:hAnsi="Arial" w:cs="Arial"/>
                <w:sz w:val="20"/>
              </w:rPr>
            </w:pPr>
            <w:r>
              <w:rPr>
                <w:rFonts w:ascii="Arial" w:hAnsi="Arial" w:cs="Arial"/>
                <w:sz w:val="20"/>
              </w:rPr>
              <w:t>Volumen de hormigón medido sobre planos de proyecto.</w:t>
            </w:r>
          </w:p>
          <w:p w14:paraId="4415EE52" w14:textId="77777777" w:rsidR="005240FA" w:rsidRDefault="005240FA" w:rsidP="009771E6">
            <w:pPr>
              <w:pStyle w:val="GTTTabla"/>
              <w:jc w:val="both"/>
              <w:rPr>
                <w:rFonts w:ascii="Arial" w:hAnsi="Arial" w:cs="Arial"/>
                <w:sz w:val="20"/>
              </w:rPr>
            </w:pPr>
            <w:r>
              <w:rPr>
                <w:rFonts w:ascii="Arial" w:hAnsi="Arial" w:cs="Arial"/>
                <w:sz w:val="20"/>
              </w:rPr>
              <w:t xml:space="preserve">Las desviaciones del hormigón realmente puesto en obra sobre las mediciones teóricas serán debidamente justificadas a la Dirección </w:t>
            </w:r>
            <w:r w:rsidR="009771E6">
              <w:rPr>
                <w:rFonts w:ascii="Arial" w:hAnsi="Arial" w:cs="Arial"/>
                <w:sz w:val="20"/>
              </w:rPr>
              <w:t>de Obra</w:t>
            </w:r>
            <w:r>
              <w:rPr>
                <w:rFonts w:ascii="Arial" w:hAnsi="Arial" w:cs="Arial"/>
                <w:sz w:val="20"/>
              </w:rPr>
              <w:t xml:space="preserve"> para que resulten de abono.</w:t>
            </w:r>
          </w:p>
        </w:tc>
      </w:tr>
      <w:tr w:rsidR="005240FA" w14:paraId="24CF9401" w14:textId="77777777" w:rsidTr="0015400D">
        <w:tc>
          <w:tcPr>
            <w:tcW w:w="2905" w:type="dxa"/>
            <w:tcBorders>
              <w:top w:val="single" w:sz="4" w:space="0" w:color="auto"/>
              <w:left w:val="single" w:sz="4" w:space="0" w:color="auto"/>
              <w:bottom w:val="single" w:sz="4" w:space="0" w:color="auto"/>
              <w:right w:val="single" w:sz="4" w:space="0" w:color="auto"/>
            </w:tcBorders>
            <w:vAlign w:val="center"/>
            <w:hideMark/>
          </w:tcPr>
          <w:p w14:paraId="6912A861" w14:textId="77777777" w:rsidR="005240FA" w:rsidRDefault="005240FA" w:rsidP="00684A3E">
            <w:pPr>
              <w:pStyle w:val="GTTTtuloTabla"/>
              <w:rPr>
                <w:rFonts w:ascii="Arial" w:hAnsi="Arial" w:cs="Arial"/>
                <w:sz w:val="20"/>
              </w:rPr>
            </w:pPr>
            <w:r>
              <w:rPr>
                <w:rFonts w:ascii="Arial" w:hAnsi="Arial" w:cs="Arial"/>
                <w:sz w:val="20"/>
              </w:rPr>
              <w:t>Abono</w:t>
            </w:r>
          </w:p>
        </w:tc>
        <w:tc>
          <w:tcPr>
            <w:tcW w:w="5739" w:type="dxa"/>
            <w:tcBorders>
              <w:top w:val="single" w:sz="4" w:space="0" w:color="auto"/>
              <w:left w:val="single" w:sz="4" w:space="0" w:color="auto"/>
              <w:bottom w:val="single" w:sz="4" w:space="0" w:color="auto"/>
              <w:right w:val="single" w:sz="4" w:space="0" w:color="auto"/>
            </w:tcBorders>
            <w:vAlign w:val="center"/>
            <w:hideMark/>
          </w:tcPr>
          <w:p w14:paraId="0BD27B44" w14:textId="77777777" w:rsidR="005240FA" w:rsidRDefault="005240FA" w:rsidP="0015400D">
            <w:pPr>
              <w:pStyle w:val="GTTTabla"/>
              <w:jc w:val="both"/>
              <w:rPr>
                <w:rFonts w:ascii="Arial" w:hAnsi="Arial" w:cs="Arial"/>
                <w:sz w:val="20"/>
              </w:rPr>
            </w:pPr>
            <w:r>
              <w:rPr>
                <w:rFonts w:ascii="Arial" w:hAnsi="Arial" w:cs="Arial"/>
                <w:sz w:val="20"/>
              </w:rPr>
              <w:t>Se efectuará cuando se realice la aceptación, una vez realizadas las pruebas y ensayos de recepción.</w:t>
            </w:r>
          </w:p>
        </w:tc>
      </w:tr>
      <w:tr w:rsidR="005240FA" w14:paraId="3548BE6F" w14:textId="77777777" w:rsidTr="0015400D">
        <w:tc>
          <w:tcPr>
            <w:tcW w:w="2905" w:type="dxa"/>
            <w:tcBorders>
              <w:top w:val="single" w:sz="4" w:space="0" w:color="auto"/>
              <w:left w:val="single" w:sz="4" w:space="0" w:color="auto"/>
              <w:bottom w:val="single" w:sz="4" w:space="0" w:color="auto"/>
              <w:right w:val="single" w:sz="4" w:space="0" w:color="auto"/>
            </w:tcBorders>
            <w:vAlign w:val="center"/>
            <w:hideMark/>
          </w:tcPr>
          <w:p w14:paraId="4A6DBBF6" w14:textId="77777777" w:rsidR="005240FA" w:rsidRDefault="005240FA" w:rsidP="00684A3E">
            <w:pPr>
              <w:pStyle w:val="GTTTtuloTabla"/>
              <w:keepNext/>
              <w:rPr>
                <w:rFonts w:ascii="Arial" w:hAnsi="Arial" w:cs="Arial"/>
                <w:sz w:val="20"/>
              </w:rPr>
            </w:pPr>
            <w:r>
              <w:rPr>
                <w:rFonts w:ascii="Arial" w:hAnsi="Arial" w:cs="Arial"/>
                <w:sz w:val="20"/>
              </w:rPr>
              <w:t>Criterios complementarios</w:t>
            </w:r>
          </w:p>
        </w:tc>
        <w:tc>
          <w:tcPr>
            <w:tcW w:w="5739" w:type="dxa"/>
            <w:tcBorders>
              <w:top w:val="single" w:sz="4" w:space="0" w:color="auto"/>
              <w:left w:val="single" w:sz="4" w:space="0" w:color="auto"/>
              <w:bottom w:val="single" w:sz="4" w:space="0" w:color="auto"/>
              <w:right w:val="single" w:sz="4" w:space="0" w:color="auto"/>
            </w:tcBorders>
            <w:vAlign w:val="center"/>
            <w:hideMark/>
          </w:tcPr>
          <w:p w14:paraId="6ED09EC9" w14:textId="77777777" w:rsidR="005240FA" w:rsidRDefault="005240FA" w:rsidP="0015400D">
            <w:pPr>
              <w:pStyle w:val="GTTTabla"/>
              <w:keepNext/>
              <w:jc w:val="both"/>
              <w:rPr>
                <w:rFonts w:ascii="Arial" w:hAnsi="Arial" w:cs="Arial"/>
                <w:sz w:val="20"/>
              </w:rPr>
            </w:pPr>
            <w:r>
              <w:rPr>
                <w:rFonts w:ascii="Arial" w:hAnsi="Arial" w:cs="Arial"/>
                <w:sz w:val="20"/>
              </w:rPr>
              <w:t>Los precios incluyen todos los materiales, mano de obra, maquinaria y medios auxiliares necesarios para la correcta ejecución de la unidad, incluso ensayos previos y característicos cuando proceda.</w:t>
            </w:r>
          </w:p>
          <w:p w14:paraId="54687DBA" w14:textId="77777777" w:rsidR="005240FA" w:rsidRDefault="005240FA" w:rsidP="0015400D">
            <w:pPr>
              <w:pStyle w:val="GTTTabla"/>
              <w:keepNext/>
              <w:jc w:val="both"/>
              <w:rPr>
                <w:rFonts w:ascii="Arial" w:hAnsi="Arial" w:cs="Arial"/>
                <w:sz w:val="20"/>
              </w:rPr>
            </w:pPr>
            <w:r>
              <w:rPr>
                <w:rFonts w:ascii="Arial" w:hAnsi="Arial" w:cs="Arial"/>
                <w:sz w:val="20"/>
              </w:rPr>
              <w:t xml:space="preserve">El empleo de cemento </w:t>
            </w:r>
            <w:proofErr w:type="spellStart"/>
            <w:r>
              <w:rPr>
                <w:rFonts w:ascii="Arial" w:hAnsi="Arial" w:cs="Arial"/>
                <w:sz w:val="20"/>
              </w:rPr>
              <w:t>sulforresistente</w:t>
            </w:r>
            <w:proofErr w:type="spellEnd"/>
            <w:r>
              <w:rPr>
                <w:rFonts w:ascii="Arial" w:hAnsi="Arial" w:cs="Arial"/>
                <w:sz w:val="20"/>
              </w:rPr>
              <w:t xml:space="preserve"> se considera incluido en el precio de las unidades de hormigón que así lo requieran.</w:t>
            </w:r>
          </w:p>
          <w:p w14:paraId="47AC3A63" w14:textId="77777777" w:rsidR="005240FA" w:rsidRDefault="005240FA" w:rsidP="0015400D">
            <w:pPr>
              <w:pStyle w:val="GTTTabla"/>
              <w:keepNext/>
              <w:jc w:val="both"/>
              <w:rPr>
                <w:rFonts w:ascii="Arial" w:hAnsi="Arial" w:cs="Arial"/>
                <w:sz w:val="20"/>
              </w:rPr>
            </w:pPr>
            <w:r>
              <w:rPr>
                <w:rFonts w:ascii="Arial" w:hAnsi="Arial" w:cs="Arial"/>
                <w:sz w:val="20"/>
              </w:rPr>
              <w:t xml:space="preserve">El hormigón en elementos prefabricados no es objeto de medición y abono independiente, sino que se incluye en la unidad del elemento prefabricado correspondiente. </w:t>
            </w:r>
          </w:p>
        </w:tc>
      </w:tr>
    </w:tbl>
    <w:p w14:paraId="42BE7354" w14:textId="77777777" w:rsidR="005240FA" w:rsidRDefault="005240FA" w:rsidP="005240FA">
      <w:pPr>
        <w:rPr>
          <w:rFonts w:ascii="Arial" w:hAnsi="Arial"/>
          <w:sz w:val="22"/>
          <w:szCs w:val="20"/>
        </w:rPr>
      </w:pPr>
    </w:p>
    <w:p w14:paraId="1F5B308A" w14:textId="77777777" w:rsidR="005240FA" w:rsidRDefault="005240FA" w:rsidP="005240FA">
      <w:pPr>
        <w:pStyle w:val="NORMAL12"/>
        <w:rPr>
          <w:lang w:val="es-ES"/>
        </w:rPr>
      </w:pPr>
    </w:p>
    <w:p w14:paraId="0861DB81" w14:textId="77777777" w:rsidR="005240FA" w:rsidRDefault="005240FA" w:rsidP="005240FA">
      <w:pPr>
        <w:pStyle w:val="NORMAL12"/>
        <w:rPr>
          <w:lang w:val="es-ES"/>
        </w:rPr>
      </w:pPr>
    </w:p>
    <w:p w14:paraId="2D2E8E46" w14:textId="77777777" w:rsidR="005240FA" w:rsidRDefault="005240FA" w:rsidP="005240FA">
      <w:pPr>
        <w:pStyle w:val="NORMAL12"/>
        <w:rPr>
          <w:lang w:val="es-ES"/>
        </w:rPr>
      </w:pPr>
    </w:p>
    <w:p w14:paraId="6E14E5EC" w14:textId="77777777" w:rsidR="005240FA" w:rsidRDefault="005240FA" w:rsidP="005240FA">
      <w:pPr>
        <w:pStyle w:val="NORMAL12"/>
        <w:rPr>
          <w:lang w:val="es-ES"/>
        </w:rPr>
      </w:pPr>
    </w:p>
    <w:p w14:paraId="32C58E6A" w14:textId="77777777" w:rsidR="001E6CAF" w:rsidRPr="007B10E9" w:rsidRDefault="008F328B" w:rsidP="001E6CAF">
      <w:pPr>
        <w:pStyle w:val="TITU1"/>
      </w:pPr>
      <w:bookmarkStart w:id="702" w:name="_Toc404409"/>
      <w:r w:rsidRPr="00574F61">
        <w:lastRenderedPageBreak/>
        <w:t>Artículo 618.</w:t>
      </w:r>
      <w:r w:rsidR="001E6CAF" w:rsidRPr="00574F61">
        <w:t xml:space="preserve"> Relleno especial localizado con material de préstamo tratado con cemento.</w:t>
      </w:r>
      <w:bookmarkEnd w:id="702"/>
      <w:r w:rsidR="001E6CAF" w:rsidRPr="007B10E9">
        <w:t xml:space="preserve"> </w:t>
      </w:r>
    </w:p>
    <w:p w14:paraId="5FF53FC3" w14:textId="77777777" w:rsidR="001E6CAF" w:rsidRPr="00876435" w:rsidRDefault="001E6CAF" w:rsidP="000313DD">
      <w:pPr>
        <w:pStyle w:val="TITU2"/>
        <w:rPr>
          <w:lang w:val="es-ES_tradnl"/>
        </w:rPr>
      </w:pPr>
      <w:bookmarkStart w:id="703" w:name="_Toc404410"/>
      <w:r w:rsidRPr="00876435">
        <w:rPr>
          <w:lang w:val="es-ES_tradnl"/>
        </w:rPr>
        <w:t>618.1.</w:t>
      </w:r>
      <w:r w:rsidR="008F328B">
        <w:rPr>
          <w:lang w:val="es-ES_tradnl"/>
        </w:rPr>
        <w:t xml:space="preserve"> </w:t>
      </w:r>
      <w:r w:rsidRPr="00876435">
        <w:rPr>
          <w:lang w:val="es-ES_tradnl"/>
        </w:rPr>
        <w:tab/>
        <w:t>Definición</w:t>
      </w:r>
      <w:bookmarkEnd w:id="703"/>
    </w:p>
    <w:p w14:paraId="5E9C1213" w14:textId="77777777" w:rsidR="001E6CAF" w:rsidRDefault="001E6CAF" w:rsidP="001E6CAF">
      <w:pPr>
        <w:pStyle w:val="NORMAL12"/>
      </w:pPr>
      <w:r>
        <w:t>El presente artículo se refiere a los rellenos localizados en la zona del trasdós de las aletas de la ampliación de la estructura ubicada en el P.I. 2+275 y que sirve de soporte a la plataforma de la autovía.</w:t>
      </w:r>
    </w:p>
    <w:p w14:paraId="246E54DF" w14:textId="77777777" w:rsidR="001E6CAF" w:rsidRDefault="001E6CAF" w:rsidP="001E6CAF">
      <w:pPr>
        <w:pStyle w:val="NORMAL12"/>
      </w:pPr>
      <w:r>
        <w:t xml:space="preserve">El relleno especial localizado consiste en el extendido y compactación del material de préstamo y/o </w:t>
      </w:r>
      <w:proofErr w:type="gramStart"/>
      <w:r>
        <w:t>cantera tratado</w:t>
      </w:r>
      <w:proofErr w:type="gramEnd"/>
      <w:r>
        <w:t xml:space="preserve"> con cemento y ubicado en el trasdós de las aletas debido a que las dimensiones no permiten emplear los mismos equipos y ejecución que para los rellenos generales</w:t>
      </w:r>
    </w:p>
    <w:p w14:paraId="37BAAD0E" w14:textId="77777777" w:rsidR="001E6CAF" w:rsidRPr="007A3448" w:rsidRDefault="001E6CAF" w:rsidP="000313DD">
      <w:pPr>
        <w:pStyle w:val="TITU2"/>
      </w:pPr>
      <w:bookmarkStart w:id="704" w:name="_Toc404411"/>
      <w:r w:rsidRPr="007A3448">
        <w:t>618.2.</w:t>
      </w:r>
      <w:r w:rsidR="008F328B">
        <w:t xml:space="preserve"> </w:t>
      </w:r>
      <w:r w:rsidRPr="007A3448">
        <w:tab/>
        <w:t>Aplicación</w:t>
      </w:r>
      <w:bookmarkEnd w:id="704"/>
      <w:r w:rsidRPr="007A3448">
        <w:t xml:space="preserve"> </w:t>
      </w:r>
    </w:p>
    <w:p w14:paraId="0F8DB4DA" w14:textId="77777777" w:rsidR="001E6CAF" w:rsidRPr="007A3448" w:rsidRDefault="001E6CAF" w:rsidP="001E6CAF">
      <w:pPr>
        <w:pStyle w:val="NORMAL12"/>
      </w:pPr>
      <w:r w:rsidRPr="007A3448">
        <w:t xml:space="preserve">El presente artículo </w:t>
      </w:r>
      <w:proofErr w:type="gramStart"/>
      <w:r w:rsidRPr="007A3448">
        <w:t>es de aplicación</w:t>
      </w:r>
      <w:proofErr w:type="gramEnd"/>
      <w:r w:rsidRPr="007A3448">
        <w:t xml:space="preserve"> a la siguiente unidad de obra: </w:t>
      </w:r>
    </w:p>
    <w:tbl>
      <w:tblPr>
        <w:tblW w:w="0" w:type="auto"/>
        <w:tblLook w:val="04A0" w:firstRow="1" w:lastRow="0" w:firstColumn="1" w:lastColumn="0" w:noHBand="0" w:noVBand="1"/>
      </w:tblPr>
      <w:tblGrid>
        <w:gridCol w:w="1471"/>
        <w:gridCol w:w="1105"/>
        <w:gridCol w:w="6212"/>
      </w:tblGrid>
      <w:tr w:rsidR="001E6CAF" w:rsidRPr="002005BA" w14:paraId="12714C3C" w14:textId="77777777" w:rsidTr="00B71B0B">
        <w:trPr>
          <w:trHeight w:val="357"/>
        </w:trPr>
        <w:tc>
          <w:tcPr>
            <w:tcW w:w="1471" w:type="dxa"/>
          </w:tcPr>
          <w:p w14:paraId="4A5FBC9A" w14:textId="77777777" w:rsidR="001E6CAF" w:rsidRPr="005B79AD" w:rsidRDefault="001E6CAF" w:rsidP="001E6CAF">
            <w:pPr>
              <w:rPr>
                <w:rFonts w:ascii="Calibri" w:hAnsi="Calibri" w:cs="Calibri"/>
              </w:rPr>
            </w:pPr>
            <w:r w:rsidRPr="005B79AD">
              <w:rPr>
                <w:rFonts w:ascii="Calibri" w:hAnsi="Calibri" w:cs="Calibri"/>
              </w:rPr>
              <w:t>332.0070N</w:t>
            </w:r>
          </w:p>
          <w:p w14:paraId="55D33CA1" w14:textId="77777777" w:rsidR="001E6CAF" w:rsidRPr="005B79AD" w:rsidRDefault="001E6CAF" w:rsidP="001E6CAF">
            <w:pPr>
              <w:rPr>
                <w:rFonts w:ascii="Calibri" w:hAnsi="Calibri" w:cs="Calibri"/>
              </w:rPr>
            </w:pPr>
            <w:r w:rsidRPr="005B79AD">
              <w:rPr>
                <w:rFonts w:ascii="Calibri" w:hAnsi="Calibri" w:cs="Calibri"/>
              </w:rPr>
              <w:t xml:space="preserve">         </w:t>
            </w:r>
          </w:p>
        </w:tc>
        <w:tc>
          <w:tcPr>
            <w:tcW w:w="1105" w:type="dxa"/>
          </w:tcPr>
          <w:p w14:paraId="23C9E0C7" w14:textId="77777777" w:rsidR="001E6CAF" w:rsidRPr="005B79AD" w:rsidRDefault="001E6CAF" w:rsidP="001E6CAF">
            <w:pPr>
              <w:rPr>
                <w:rFonts w:ascii="Calibri" w:hAnsi="Calibri" w:cs="Calibri"/>
              </w:rPr>
            </w:pPr>
            <w:r w:rsidRPr="005B79AD">
              <w:rPr>
                <w:rFonts w:ascii="Calibri" w:hAnsi="Calibri" w:cs="Calibri"/>
              </w:rPr>
              <w:t>m</w:t>
            </w:r>
            <w:r w:rsidRPr="005B79AD">
              <w:rPr>
                <w:rFonts w:ascii="Calibri" w:hAnsi="Calibri" w:cs="Calibri"/>
                <w:vertAlign w:val="superscript"/>
              </w:rPr>
              <w:t>3</w:t>
            </w:r>
          </w:p>
        </w:tc>
        <w:tc>
          <w:tcPr>
            <w:tcW w:w="6212" w:type="dxa"/>
          </w:tcPr>
          <w:p w14:paraId="12C1088A" w14:textId="77777777" w:rsidR="001E6CAF" w:rsidRPr="005B79AD" w:rsidRDefault="001E6CAF" w:rsidP="00B71B0B">
            <w:pPr>
              <w:jc w:val="both"/>
              <w:rPr>
                <w:rFonts w:ascii="Calibri" w:hAnsi="Calibri" w:cs="Calibri"/>
              </w:rPr>
            </w:pPr>
            <w:r w:rsidRPr="005B79AD">
              <w:rPr>
                <w:rFonts w:ascii="Calibri" w:hAnsi="Calibri" w:cs="Calibri"/>
              </w:rPr>
              <w:t>RELLENO ESPECIAL LOCALIZADO EN TRASDÓS DE MUROS Y ESTRIBOS DE OBRAS DE FÁBRICA CON MATERIAL DE PRÉSTAMO Y/O CANTERA TRATADO CON CEMENTO, CARGA Y TRANSPORTE AL LUGAR DE EMPLEO HASTA UNA DISTANCIA DE 30 km, EXTENDIDO, HUMECTACIÓN, COMPACTACIÓN POR TONGADAS Y TERMINACIÓN Y REFINO DE LA SUPERFICIE DE CORONACIÓN.</w:t>
            </w:r>
          </w:p>
        </w:tc>
      </w:tr>
    </w:tbl>
    <w:p w14:paraId="1F8652D2" w14:textId="77777777" w:rsidR="001E6CAF" w:rsidRPr="007A3448" w:rsidRDefault="001E6CAF" w:rsidP="000313DD">
      <w:pPr>
        <w:pStyle w:val="TITU2"/>
      </w:pPr>
      <w:bookmarkStart w:id="705" w:name="_Toc404412"/>
      <w:r w:rsidRPr="007A3448">
        <w:t>618.3.</w:t>
      </w:r>
      <w:r w:rsidR="008F328B">
        <w:t xml:space="preserve"> </w:t>
      </w:r>
      <w:r w:rsidRPr="007A3448">
        <w:tab/>
        <w:t>Descripción de los trabajos</w:t>
      </w:r>
      <w:bookmarkEnd w:id="705"/>
    </w:p>
    <w:p w14:paraId="7F23FE87" w14:textId="77777777" w:rsidR="001E6CAF" w:rsidRPr="007A3448" w:rsidRDefault="001E6CAF" w:rsidP="001E6CAF">
      <w:pPr>
        <w:pStyle w:val="NORMAL12"/>
      </w:pPr>
      <w:r w:rsidRPr="007A3448">
        <w:t>Las operaciones incluidas en este artículo son las siguientes:</w:t>
      </w:r>
    </w:p>
    <w:p w14:paraId="22E882BF" w14:textId="77777777" w:rsidR="001E6CAF" w:rsidRDefault="001E6CAF" w:rsidP="008F328B">
      <w:pPr>
        <w:pStyle w:val="NORMAL12"/>
        <w:numPr>
          <w:ilvl w:val="0"/>
          <w:numId w:val="77"/>
        </w:numPr>
      </w:pPr>
      <w:r>
        <w:t>Preparación de la zona de trabajo.</w:t>
      </w:r>
    </w:p>
    <w:p w14:paraId="4CEC9D0C" w14:textId="77777777" w:rsidR="001E6CAF" w:rsidRDefault="001E6CAF" w:rsidP="008F328B">
      <w:pPr>
        <w:pStyle w:val="NORMAL12"/>
        <w:numPr>
          <w:ilvl w:val="0"/>
          <w:numId w:val="77"/>
        </w:numPr>
      </w:pPr>
      <w:r>
        <w:t>Situación de los puntos topográficos de referencia</w:t>
      </w:r>
      <w:r w:rsidRPr="007A3448">
        <w:t>.</w:t>
      </w:r>
    </w:p>
    <w:p w14:paraId="2C51B006" w14:textId="77777777" w:rsidR="001E6CAF" w:rsidRDefault="001E6CAF" w:rsidP="008F328B">
      <w:pPr>
        <w:pStyle w:val="NORMAL12"/>
        <w:numPr>
          <w:ilvl w:val="0"/>
          <w:numId w:val="77"/>
        </w:numPr>
      </w:pPr>
      <w:r>
        <w:t>Extendido y compactación del relleno.</w:t>
      </w:r>
    </w:p>
    <w:p w14:paraId="54DAA7C7" w14:textId="77777777" w:rsidR="001E6CAF" w:rsidRPr="00D979F6" w:rsidRDefault="001E6CAF" w:rsidP="000313DD">
      <w:pPr>
        <w:pStyle w:val="TITU2"/>
      </w:pPr>
      <w:bookmarkStart w:id="706" w:name="_Toc404413"/>
      <w:r w:rsidRPr="00A144FA">
        <w:t>618.4.</w:t>
      </w:r>
      <w:r w:rsidR="008F328B">
        <w:t xml:space="preserve"> </w:t>
      </w:r>
      <w:r w:rsidRPr="00A144FA">
        <w:tab/>
        <w:t>Materiales</w:t>
      </w:r>
      <w:bookmarkEnd w:id="706"/>
    </w:p>
    <w:p w14:paraId="63634FB6" w14:textId="77777777" w:rsidR="001E6CAF" w:rsidRDefault="001E6CAF" w:rsidP="001E6CAF">
      <w:pPr>
        <w:pStyle w:val="NORMAL12"/>
      </w:pPr>
      <w:r w:rsidRPr="00A144FA">
        <w:t xml:space="preserve">El terreno procedente del préstamo será un suelo que cumpla las condiciones para ser clasificado como suelo seleccionado según el artículo 330 del PG-3, al </w:t>
      </w:r>
      <w:r>
        <w:t>que se le incorporará cemento para conseguir unas mejores propiedades de deformabilidad.</w:t>
      </w:r>
    </w:p>
    <w:p w14:paraId="73F5F1D3" w14:textId="77777777" w:rsidR="001E6CAF" w:rsidRPr="00A144FA" w:rsidRDefault="001E6CAF" w:rsidP="001E6CAF">
      <w:pPr>
        <w:pStyle w:val="NORMAL12"/>
      </w:pPr>
      <w:r w:rsidRPr="00A144FA">
        <w:t xml:space="preserve">El contenido mínimo de cemento nunca será inferior al 3%, siendo siempre el necesario para alcanzar una resistencia a compresión simple mínima de 4,5 MPa. </w:t>
      </w:r>
    </w:p>
    <w:p w14:paraId="3D4B1D65" w14:textId="77777777" w:rsidR="001E6CAF" w:rsidRDefault="001E6CAF" w:rsidP="001E6CAF">
      <w:pPr>
        <w:pStyle w:val="NORMAL12"/>
      </w:pPr>
      <w:r>
        <w:t xml:space="preserve">La </w:t>
      </w:r>
      <w:r w:rsidRPr="00C259F9">
        <w:t xml:space="preserve">incorporación del cemento, que será del tipo 32,5N o similar, de principio de fraguado en el entorno de las </w:t>
      </w:r>
      <w:r w:rsidR="00CD2624">
        <w:t>dos horas (</w:t>
      </w:r>
      <w:r w:rsidRPr="00C259F9">
        <w:t>2h</w:t>
      </w:r>
      <w:r w:rsidR="00CD2624">
        <w:t>)</w:t>
      </w:r>
      <w:r w:rsidRPr="00C259F9">
        <w:t xml:space="preserve">, se realizará en planta de mezclado al agua y a los suelos aptos, mediante el uso de dosificadores que permitan cumplir la dosificación de cemento y agua previamente estudiada en laboratorio. La referida dosificación deberá ser además verificada en la planta de mezclado y aprobada por el </w:t>
      </w:r>
      <w:proofErr w:type="gramStart"/>
      <w:r w:rsidRPr="00C259F9">
        <w:t>Director</w:t>
      </w:r>
      <w:proofErr w:type="gramEnd"/>
      <w:r w:rsidRPr="00C259F9">
        <w:t xml:space="preserve"> de Obra. Se proscribe la realización de la mezcla in situ con el cemento, mediante retroexcavadora o cualquier otro tipo de máquina auxiliar.</w:t>
      </w:r>
    </w:p>
    <w:p w14:paraId="05B37B58" w14:textId="77777777" w:rsidR="001E6CAF" w:rsidRPr="00D979F6" w:rsidRDefault="008F328B" w:rsidP="000313DD">
      <w:pPr>
        <w:pStyle w:val="TITU2"/>
      </w:pPr>
      <w:bookmarkStart w:id="707" w:name="_Toc404414"/>
      <w:r>
        <w:t xml:space="preserve">618.5. </w:t>
      </w:r>
      <w:r w:rsidR="00066BA3">
        <w:t xml:space="preserve"> </w:t>
      </w:r>
      <w:r w:rsidR="001E6CAF" w:rsidRPr="00D979F6">
        <w:t xml:space="preserve">Ejecución </w:t>
      </w:r>
      <w:r>
        <w:t>de las obras</w:t>
      </w:r>
      <w:bookmarkEnd w:id="707"/>
    </w:p>
    <w:p w14:paraId="518F95AA" w14:textId="77777777" w:rsidR="001E6CAF" w:rsidRPr="00C259F9" w:rsidRDefault="001E6CAF" w:rsidP="001E6CAF">
      <w:pPr>
        <w:pStyle w:val="NORMAL12"/>
        <w:rPr>
          <w:i/>
          <w:u w:val="single"/>
        </w:rPr>
      </w:pPr>
      <w:r w:rsidRPr="00C259F9">
        <w:rPr>
          <w:i/>
          <w:u w:val="single"/>
        </w:rPr>
        <w:t>Equipo</w:t>
      </w:r>
    </w:p>
    <w:p w14:paraId="0C6D8B87" w14:textId="77777777" w:rsidR="001E6CAF" w:rsidRDefault="001E6CAF" w:rsidP="001E6CAF">
      <w:pPr>
        <w:pStyle w:val="NORMAL12"/>
      </w:pPr>
      <w:r>
        <w:t xml:space="preserve">Los equipos de extendido, humectación y compactación serán suficientes para garantizar la ejecución de la obra </w:t>
      </w:r>
      <w:proofErr w:type="gramStart"/>
      <w:r>
        <w:t>de acuerdo a</w:t>
      </w:r>
      <w:proofErr w:type="gramEnd"/>
      <w:r>
        <w:t xml:space="preserve"> las exigencias del presente Artículo.</w:t>
      </w:r>
    </w:p>
    <w:p w14:paraId="618E7BAE" w14:textId="77777777" w:rsidR="001E6CAF" w:rsidRPr="00C259F9" w:rsidRDefault="001E6CAF" w:rsidP="001E6CAF">
      <w:pPr>
        <w:pStyle w:val="NORMAL12"/>
        <w:rPr>
          <w:i/>
          <w:u w:val="single"/>
        </w:rPr>
      </w:pPr>
      <w:r w:rsidRPr="00C259F9">
        <w:rPr>
          <w:i/>
          <w:u w:val="single"/>
        </w:rPr>
        <w:t>Preparación de la superficie</w:t>
      </w:r>
    </w:p>
    <w:p w14:paraId="322BA08C" w14:textId="77777777" w:rsidR="001E6CAF" w:rsidRDefault="001E6CAF" w:rsidP="001E6CAF">
      <w:pPr>
        <w:pStyle w:val="NORMAL12"/>
      </w:pPr>
      <w:r>
        <w:t xml:space="preserve">Previamente a la colocación del material de relleno, la superficie del terreno deberá estar libre de tierra vegetal y material inadecuado, excavándose hasta la profundidad que indique el </w:t>
      </w:r>
      <w:proofErr w:type="gramStart"/>
      <w:r>
        <w:t>Director</w:t>
      </w:r>
      <w:proofErr w:type="gramEnd"/>
      <w:r>
        <w:t xml:space="preserve"> de Obra.</w:t>
      </w:r>
    </w:p>
    <w:p w14:paraId="4EBAE8A2" w14:textId="77777777" w:rsidR="001E6CAF" w:rsidRPr="00C259F9" w:rsidRDefault="001E6CAF" w:rsidP="001E6CAF">
      <w:pPr>
        <w:pStyle w:val="NORMAL12"/>
        <w:rPr>
          <w:i/>
          <w:u w:val="single"/>
        </w:rPr>
      </w:pPr>
      <w:r w:rsidRPr="00C259F9">
        <w:rPr>
          <w:i/>
          <w:u w:val="single"/>
        </w:rPr>
        <w:t>Extensión de las tongadas</w:t>
      </w:r>
    </w:p>
    <w:p w14:paraId="737B7D85" w14:textId="77777777" w:rsidR="001E6CAF" w:rsidRDefault="001E6CAF" w:rsidP="001E6CAF">
      <w:pPr>
        <w:pStyle w:val="NORMAL12"/>
      </w:pPr>
      <w:r>
        <w:t xml:space="preserve">Una vez preparado el cimiento del relleno, se procederá a la construcción </w:t>
      </w:r>
      <w:proofErr w:type="gramStart"/>
      <w:r>
        <w:t>del mismo</w:t>
      </w:r>
      <w:proofErr w:type="gramEnd"/>
      <w:r>
        <w:t>, empleando materiales que cumplan las condiciones establecidas anteriormente, los cuales serán extendidos en tongadas sucesivas, de espesor uniforme y sensiblemente paralelas a la explanada.</w:t>
      </w:r>
    </w:p>
    <w:p w14:paraId="638B3C05" w14:textId="77777777" w:rsidR="001E6CAF" w:rsidRDefault="001E6CAF" w:rsidP="001E6CAF">
      <w:pPr>
        <w:pStyle w:val="NORMAL12"/>
      </w:pPr>
      <w:r>
        <w:t xml:space="preserve">El espesor de las tongadas no será superior a veinte centímetros (20 cm), medidos después de compactar. </w:t>
      </w:r>
    </w:p>
    <w:p w14:paraId="6F8A6A73" w14:textId="77777777" w:rsidR="001E6CAF" w:rsidRDefault="001E6CAF" w:rsidP="001E6CAF">
      <w:pPr>
        <w:pStyle w:val="NORMAL12"/>
      </w:pPr>
      <w:r>
        <w:t xml:space="preserve">Los materiales de cada tongada serán de características </w:t>
      </w:r>
      <w:r w:rsidR="00D93E76">
        <w:t>uniformes</w:t>
      </w:r>
      <w:r>
        <w:t>.</w:t>
      </w:r>
    </w:p>
    <w:p w14:paraId="2C22A76E" w14:textId="77777777" w:rsidR="001E6CAF" w:rsidRDefault="001E6CAF" w:rsidP="001E6CAF">
      <w:pPr>
        <w:pStyle w:val="NORMAL12"/>
      </w:pPr>
      <w:r>
        <w:t>Durante la ejecución de las obras, la superficie de las tongadas deberá tener la pendiente necesaria para asegurar la evacuación de agua sin peligro de erosión.</w:t>
      </w:r>
    </w:p>
    <w:p w14:paraId="487DDEEF" w14:textId="77777777" w:rsidR="001E6CAF" w:rsidRDefault="001E6CAF" w:rsidP="001E6CAF">
      <w:pPr>
        <w:pStyle w:val="NORMAL12"/>
      </w:pPr>
      <w:r w:rsidRPr="007F6E6E">
        <w:t>No se extenderá ninguna tongada mientras no se haya comprobado que la superficie</w:t>
      </w:r>
      <w:r>
        <w:t xml:space="preserve"> </w:t>
      </w:r>
      <w:r w:rsidRPr="007F6E6E">
        <w:t>subyacente cumple las condiciones exigidas y sea autorizada su extensión por la</w:t>
      </w:r>
      <w:r>
        <w:t xml:space="preserve"> </w:t>
      </w:r>
      <w:r w:rsidRPr="007F6E6E">
        <w:lastRenderedPageBreak/>
        <w:t>Dirección de Obra. Cuando la tongada subyacente se halle reblandecida por una</w:t>
      </w:r>
      <w:r>
        <w:t xml:space="preserve"> </w:t>
      </w:r>
      <w:r w:rsidRPr="007F6E6E">
        <w:t xml:space="preserve">humedad excesiva, el </w:t>
      </w:r>
      <w:proofErr w:type="gramStart"/>
      <w:r w:rsidRPr="007F6E6E">
        <w:t>Director</w:t>
      </w:r>
      <w:proofErr w:type="gramEnd"/>
      <w:r w:rsidRPr="007F6E6E">
        <w:t xml:space="preserve"> no autorizará la extensión de la siguiente.</w:t>
      </w:r>
    </w:p>
    <w:p w14:paraId="1FDE449A" w14:textId="77777777" w:rsidR="001E6CAF" w:rsidRPr="00C259F9" w:rsidRDefault="001E6CAF" w:rsidP="001E6CAF">
      <w:pPr>
        <w:pStyle w:val="NORMAL12"/>
        <w:rPr>
          <w:i/>
          <w:u w:val="single"/>
        </w:rPr>
      </w:pPr>
      <w:r w:rsidRPr="00C259F9">
        <w:rPr>
          <w:i/>
          <w:u w:val="single"/>
        </w:rPr>
        <w:t>Humectación y desecación</w:t>
      </w:r>
    </w:p>
    <w:p w14:paraId="2CFA9041" w14:textId="77777777" w:rsidR="001E6CAF" w:rsidRDefault="001E6CAF" w:rsidP="001E6CAF">
      <w:pPr>
        <w:pStyle w:val="NORMAL12"/>
      </w:pPr>
      <w:r>
        <w:t xml:space="preserve">Previamente al extendido, o inmediatamente después de realizado el mismo, se comprobará la humedad del material. La compactación se efectuará con una humedad dentro del rango comprendido entre la humedad óptima, obtenida en un ensayo </w:t>
      </w:r>
      <w:proofErr w:type="spellStart"/>
      <w:r>
        <w:t>Próctor</w:t>
      </w:r>
      <w:proofErr w:type="spellEnd"/>
      <w:r>
        <w:t xml:space="preserve"> Normal, y dos puntos porcentuales por encima de la misma (</w:t>
      </w:r>
      <w:proofErr w:type="spellStart"/>
      <w:r>
        <w:t>w</w:t>
      </w:r>
      <w:r>
        <w:rPr>
          <w:vertAlign w:val="subscript"/>
        </w:rPr>
        <w:t>opt</w:t>
      </w:r>
      <w:proofErr w:type="spellEnd"/>
      <w:r>
        <w:rPr>
          <w:vertAlign w:val="subscript"/>
        </w:rPr>
        <w:t xml:space="preserve"> </w:t>
      </w:r>
      <w:r>
        <w:t xml:space="preserve">&lt; </w:t>
      </w:r>
      <w:proofErr w:type="spellStart"/>
      <w:r>
        <w:t>w</w:t>
      </w:r>
      <w:r>
        <w:rPr>
          <w:vertAlign w:val="subscript"/>
        </w:rPr>
        <w:t>opt</w:t>
      </w:r>
      <w:proofErr w:type="spellEnd"/>
      <w:r>
        <w:rPr>
          <w:vertAlign w:val="subscript"/>
        </w:rPr>
        <w:t xml:space="preserve"> </w:t>
      </w:r>
      <w:r>
        <w:t>+ 2).</w:t>
      </w:r>
    </w:p>
    <w:p w14:paraId="237CCBF5" w14:textId="77777777" w:rsidR="001E6CAF" w:rsidRDefault="001E6CAF" w:rsidP="001E6CAF">
      <w:pPr>
        <w:pStyle w:val="NORMAL12"/>
      </w:pPr>
      <w:r>
        <w:t>En caso de que sea preciso añadir agua, esta operación se efectuará de forma que el humedecimiento de los materiales sea uniforme. La humectación en tajo no podrá implicar correcciones de humedad superiores al dos por ciento (2%), salvo autorización de la Dirección de Obra.</w:t>
      </w:r>
    </w:p>
    <w:p w14:paraId="05A92E47" w14:textId="77777777" w:rsidR="001E6CAF" w:rsidRDefault="001E6CAF" w:rsidP="001E6CAF">
      <w:pPr>
        <w:pStyle w:val="NORMAL12"/>
      </w:pPr>
      <w:r>
        <w:t>En los casos en los que la humedad natural del material sea excesiva para conseguir la compactación prevista, se tomarán las medidas adecuadas, pudiéndose proceder a la desecación por oreo, o a la adición y mezcla de materiales secos.</w:t>
      </w:r>
    </w:p>
    <w:p w14:paraId="46611D14" w14:textId="77777777" w:rsidR="001E6CAF" w:rsidRPr="00C259F9" w:rsidRDefault="001E6CAF" w:rsidP="001E6CAF">
      <w:pPr>
        <w:pStyle w:val="NORMAL12"/>
        <w:rPr>
          <w:i/>
          <w:u w:val="single"/>
        </w:rPr>
      </w:pPr>
      <w:r w:rsidRPr="00C259F9">
        <w:rPr>
          <w:i/>
          <w:u w:val="single"/>
        </w:rPr>
        <w:t>Compactación</w:t>
      </w:r>
    </w:p>
    <w:p w14:paraId="16A56674" w14:textId="77777777" w:rsidR="001E6CAF" w:rsidRDefault="001E6CAF" w:rsidP="001E6CAF">
      <w:pPr>
        <w:pStyle w:val="NORMAL12"/>
      </w:pPr>
      <w:r w:rsidRPr="00E37944">
        <w:t>Conseguida la humectación más conveniente, se procederá a la compactación</w:t>
      </w:r>
      <w:r>
        <w:t xml:space="preserve"> </w:t>
      </w:r>
      <w:r w:rsidRPr="00E37944">
        <w:t>mecánica de la tongada y no se extenderá sobre ella ninguna otra en tanto no se haya</w:t>
      </w:r>
      <w:r>
        <w:t xml:space="preserve"> </w:t>
      </w:r>
      <w:r w:rsidRPr="00E37944">
        <w:t xml:space="preserve">realizado la nivelación y conformación de </w:t>
      </w:r>
      <w:proofErr w:type="gramStart"/>
      <w:r w:rsidRPr="00E37944">
        <w:t>la misma</w:t>
      </w:r>
      <w:proofErr w:type="gramEnd"/>
      <w:r w:rsidRPr="00E37944">
        <w:t xml:space="preserve"> y comprobado su grado de</w:t>
      </w:r>
      <w:r>
        <w:t xml:space="preserve"> </w:t>
      </w:r>
      <w:r w:rsidRPr="00E37944">
        <w:t>compactación.</w:t>
      </w:r>
    </w:p>
    <w:p w14:paraId="62582FFA" w14:textId="77777777" w:rsidR="001E6CAF" w:rsidRDefault="001E6CAF" w:rsidP="001E6CAF">
      <w:pPr>
        <w:pStyle w:val="NORMAL12"/>
      </w:pPr>
      <w:r w:rsidRPr="00C259F9">
        <w:t>La compactación del material deberá iniciarse antes de</w:t>
      </w:r>
      <w:r>
        <w:t xml:space="preserve"> </w:t>
      </w:r>
      <w:r w:rsidRPr="00C259F9">
        <w:t>transcurrida una hora (1 h) desde el mezclado y deberá alc</w:t>
      </w:r>
      <w:r w:rsidRPr="00A144FA">
        <w:t xml:space="preserve">anzarse una densidad del 95% del </w:t>
      </w:r>
      <w:proofErr w:type="spellStart"/>
      <w:r w:rsidRPr="00A144FA">
        <w:t>Próctor</w:t>
      </w:r>
      <w:proofErr w:type="spellEnd"/>
      <w:r w:rsidRPr="00A144FA">
        <w:t xml:space="preserve"> Modificado antes </w:t>
      </w:r>
      <w:r w:rsidRPr="00C259F9">
        <w:t>de las cuatro horas (4 h). El espesor de cada</w:t>
      </w:r>
      <w:r>
        <w:t xml:space="preserve"> </w:t>
      </w:r>
      <w:proofErr w:type="gramStart"/>
      <w:r w:rsidRPr="00C259F9">
        <w:t>tongada</w:t>
      </w:r>
      <w:proofErr w:type="gramEnd"/>
      <w:r w:rsidRPr="00C259F9">
        <w:t xml:space="preserve"> así como el número de ellas ejecutadas dentro de este plazo, vendrá</w:t>
      </w:r>
      <w:r>
        <w:t xml:space="preserve"> </w:t>
      </w:r>
      <w:r w:rsidRPr="00C259F9">
        <w:t>determinado por la necesidad de obtener dicha densidad en la totalidad del espesor</w:t>
      </w:r>
      <w:r>
        <w:t xml:space="preserve"> </w:t>
      </w:r>
      <w:r w:rsidRPr="00C259F9">
        <w:t>extendido.</w:t>
      </w:r>
    </w:p>
    <w:p w14:paraId="6C3580BB" w14:textId="77777777" w:rsidR="001E6CAF" w:rsidRDefault="001E6CAF" w:rsidP="001E6CAF">
      <w:pPr>
        <w:pStyle w:val="NORMAL12"/>
      </w:pPr>
      <w:r w:rsidRPr="00C259F9">
        <w:t>Se realizarán las pruebas necesarias para dimensionar adecuadamente el equipo de</w:t>
      </w:r>
      <w:r>
        <w:t xml:space="preserve"> </w:t>
      </w:r>
      <w:r w:rsidRPr="00C259F9">
        <w:t>compactación. En estas pruebas deberá quedar garantizado que el material</w:t>
      </w:r>
      <w:r>
        <w:t xml:space="preserve"> </w:t>
      </w:r>
      <w:r w:rsidRPr="00C259F9">
        <w:t xml:space="preserve">compactado alcanza un módulo de deformación superior a </w:t>
      </w:r>
      <w:r w:rsidRPr="00A144FA">
        <w:t xml:space="preserve">100 MPa </w:t>
      </w:r>
      <w:r w:rsidRPr="00C259F9">
        <w:t>en el segundo ciclo de placa de carga, con la</w:t>
      </w:r>
      <w:r>
        <w:t xml:space="preserve"> condición Ev2/Ev1 ≤ </w:t>
      </w:r>
      <w:r w:rsidRPr="00C259F9">
        <w:t>2,2.</w:t>
      </w:r>
    </w:p>
    <w:p w14:paraId="5B9869E3" w14:textId="77777777" w:rsidR="001E6CAF" w:rsidRDefault="001E6CAF" w:rsidP="001E6CAF">
      <w:pPr>
        <w:pStyle w:val="NORMAL12"/>
      </w:pPr>
      <w:r w:rsidRPr="00E37944">
        <w:t>La densidad especificada deberá alcanzarse en todo el espesor de la tongada y en</w:t>
      </w:r>
      <w:r>
        <w:t xml:space="preserve"> </w:t>
      </w:r>
      <w:r w:rsidRPr="00E37944">
        <w:t xml:space="preserve">cualquier punto de </w:t>
      </w:r>
      <w:proofErr w:type="gramStart"/>
      <w:r w:rsidRPr="00E37944">
        <w:t>la misma</w:t>
      </w:r>
      <w:proofErr w:type="gramEnd"/>
      <w:r w:rsidRPr="00E37944">
        <w:t>, incluida el borde del talud teórico. Para poder lograr</w:t>
      </w:r>
      <w:r>
        <w:t xml:space="preserve"> </w:t>
      </w:r>
      <w:r w:rsidRPr="00E37944">
        <w:t xml:space="preserve">este objetivo, el relleno se realizará con el sobre </w:t>
      </w:r>
      <w:r>
        <w:t>ancho necesario y se eliminarán l</w:t>
      </w:r>
      <w:r w:rsidRPr="00E37944">
        <w:t>os</w:t>
      </w:r>
      <w:r>
        <w:t xml:space="preserve"> </w:t>
      </w:r>
      <w:r w:rsidRPr="00E37944">
        <w:t>materiales excedentes al terminar el mismo con el fin de obtener la geometría del</w:t>
      </w:r>
      <w:r>
        <w:t xml:space="preserve"> </w:t>
      </w:r>
      <w:r w:rsidRPr="00E37944">
        <w:t>talud teórico de Proyecto.</w:t>
      </w:r>
    </w:p>
    <w:p w14:paraId="01230F4C" w14:textId="77777777" w:rsidR="001E6CAF" w:rsidRPr="00C259F9" w:rsidRDefault="001E6CAF" w:rsidP="001E6CAF">
      <w:pPr>
        <w:pStyle w:val="NORMAL12"/>
        <w:rPr>
          <w:i/>
          <w:u w:val="single"/>
        </w:rPr>
      </w:pPr>
      <w:r w:rsidRPr="00C259F9">
        <w:rPr>
          <w:i/>
          <w:u w:val="single"/>
        </w:rPr>
        <w:t>Terminación y refino</w:t>
      </w:r>
    </w:p>
    <w:p w14:paraId="390E8451" w14:textId="77777777" w:rsidR="001E6CAF" w:rsidRDefault="001E6CAF" w:rsidP="001E6CAF">
      <w:pPr>
        <w:pStyle w:val="NORMAL12"/>
      </w:pPr>
      <w:r>
        <w:t>Esta actividad consiste en las operaciones necesarias para conseguir el acabado geométrico requerido.</w:t>
      </w:r>
    </w:p>
    <w:p w14:paraId="7CF6E99F" w14:textId="77777777" w:rsidR="001E6CAF" w:rsidRPr="00C259F9" w:rsidRDefault="001E6CAF" w:rsidP="001E6CAF">
      <w:pPr>
        <w:pStyle w:val="NORMAL12"/>
        <w:rPr>
          <w:i/>
          <w:u w:val="single"/>
        </w:rPr>
      </w:pPr>
      <w:r w:rsidRPr="00C259F9">
        <w:rPr>
          <w:i/>
          <w:u w:val="single"/>
        </w:rPr>
        <w:t>Limitaciones de ejecución</w:t>
      </w:r>
    </w:p>
    <w:p w14:paraId="276D6808" w14:textId="77777777" w:rsidR="001E6CAF" w:rsidRDefault="001E6CAF" w:rsidP="001E6CAF">
      <w:pPr>
        <w:pStyle w:val="NORMAL12"/>
      </w:pPr>
      <w:r>
        <w:t>La ejecución del relleno deberá suspenderse cuando la temperatura ambiente a la sombra sea inferior a 2ºC.</w:t>
      </w:r>
    </w:p>
    <w:p w14:paraId="2B3CCAB5" w14:textId="77777777" w:rsidR="001E6CAF" w:rsidRPr="007F6E6E" w:rsidRDefault="001E6CAF" w:rsidP="001E6CAF">
      <w:pPr>
        <w:pStyle w:val="NORMAL12"/>
      </w:pPr>
      <w:r w:rsidRPr="00E37944">
        <w:t>Si existe el temor de que vayan a producirse heladas, el Contratista deberá proteger</w:t>
      </w:r>
      <w:r>
        <w:t xml:space="preserve"> </w:t>
      </w:r>
      <w:r w:rsidRPr="00E37944">
        <w:t>todas aquellas zonas que pudieran qued</w:t>
      </w:r>
      <w:r>
        <w:t>ar perjudicadas por los efectos consiguientes</w:t>
      </w:r>
      <w:r w:rsidRPr="00E37944">
        <w:t>.</w:t>
      </w:r>
      <w:r>
        <w:t xml:space="preserve"> </w:t>
      </w:r>
      <w:r w:rsidRPr="00E37944">
        <w:t>Las partes de obra dañadas se levantarán y reconstruirán sin abono adicional alguno</w:t>
      </w:r>
    </w:p>
    <w:p w14:paraId="56394663" w14:textId="77777777" w:rsidR="001E6CAF" w:rsidRPr="00D979F6" w:rsidRDefault="001E6CAF" w:rsidP="000313DD">
      <w:pPr>
        <w:pStyle w:val="TITU2"/>
      </w:pPr>
      <w:bookmarkStart w:id="708" w:name="_Toc404415"/>
      <w:r w:rsidRPr="00D979F6">
        <w:t>618.7.</w:t>
      </w:r>
      <w:r w:rsidR="008F328B">
        <w:t xml:space="preserve"> </w:t>
      </w:r>
      <w:r w:rsidRPr="00D979F6">
        <w:tab/>
        <w:t>Control de calidad</w:t>
      </w:r>
      <w:bookmarkEnd w:id="708"/>
    </w:p>
    <w:p w14:paraId="6E4E2C7D" w14:textId="77777777" w:rsidR="001E6CAF" w:rsidRDefault="001E6CAF" w:rsidP="001E6CAF">
      <w:pPr>
        <w:pStyle w:val="NORMAL12"/>
      </w:pPr>
      <w:r>
        <w:t>Para cada tipo de suelo que exista en la zona de préstamo, el número de muestras a ensayar es 5 muestras si el volumen de material que se va a extraer es inferior a 5.000 m</w:t>
      </w:r>
      <w:r>
        <w:rPr>
          <w:vertAlign w:val="superscript"/>
        </w:rPr>
        <w:t>3</w:t>
      </w:r>
      <w:r>
        <w:t xml:space="preserve"> y 1 muestra adicional por cada 5.000 m</w:t>
      </w:r>
      <w:r>
        <w:rPr>
          <w:vertAlign w:val="superscript"/>
        </w:rPr>
        <w:t>3</w:t>
      </w:r>
      <w:r>
        <w:t xml:space="preserve"> adicionales. </w:t>
      </w:r>
      <w:r>
        <w:rPr>
          <w:vertAlign w:val="superscript"/>
        </w:rPr>
        <w:t xml:space="preserve"> </w:t>
      </w:r>
      <w:r w:rsidRPr="006E63B7">
        <w:t>Sobre</w:t>
      </w:r>
      <w:r>
        <w:t xml:space="preserve"> cada muestra se realizarán los siguientes ensayos </w:t>
      </w:r>
      <w:proofErr w:type="gramStart"/>
      <w:r>
        <w:t>de acuerdo a</w:t>
      </w:r>
      <w:proofErr w:type="gramEnd"/>
      <w:r>
        <w:t xml:space="preserve"> la normativa de ensayo indicada.</w:t>
      </w:r>
    </w:p>
    <w:p w14:paraId="480DA029" w14:textId="77777777" w:rsidR="001E6CAF" w:rsidRPr="00EA2099" w:rsidRDefault="001E6CAF" w:rsidP="001E6CAF">
      <w:pPr>
        <w:pStyle w:val="NORMAL12"/>
        <w:numPr>
          <w:ilvl w:val="0"/>
          <w:numId w:val="61"/>
        </w:numPr>
      </w:pPr>
      <w:r w:rsidRPr="00EA2099">
        <w:t>Granulometría por tamizado (UNE 103-101)</w:t>
      </w:r>
    </w:p>
    <w:p w14:paraId="4DC61C56" w14:textId="77777777" w:rsidR="001E6CAF" w:rsidRPr="00EA2099" w:rsidRDefault="001E6CAF" w:rsidP="001E6CAF">
      <w:pPr>
        <w:pStyle w:val="NORMAL12"/>
        <w:numPr>
          <w:ilvl w:val="0"/>
          <w:numId w:val="61"/>
        </w:numPr>
      </w:pPr>
      <w:r w:rsidRPr="00EA2099">
        <w:t>Límites de plasticidad (UNE 103-103 y UNE 103-104).</w:t>
      </w:r>
    </w:p>
    <w:p w14:paraId="4439E81B" w14:textId="77777777" w:rsidR="001E6CAF" w:rsidRPr="00EA2099" w:rsidRDefault="001E6CAF" w:rsidP="001E6CAF">
      <w:pPr>
        <w:pStyle w:val="NORMAL12"/>
        <w:numPr>
          <w:ilvl w:val="0"/>
          <w:numId w:val="61"/>
        </w:numPr>
      </w:pPr>
      <w:r w:rsidRPr="00EA2099">
        <w:t>Contenido en materia orgánica (UNE 103-204)</w:t>
      </w:r>
    </w:p>
    <w:p w14:paraId="7C8A3DFB" w14:textId="77777777" w:rsidR="001E6CAF" w:rsidRPr="00EA2099" w:rsidRDefault="001E6CAF" w:rsidP="001E6CAF">
      <w:pPr>
        <w:pStyle w:val="NORMAL12"/>
        <w:numPr>
          <w:ilvl w:val="0"/>
          <w:numId w:val="61"/>
        </w:numPr>
      </w:pPr>
      <w:r w:rsidRPr="00EA2099">
        <w:t>Contenido en sulfatos solubles (UNE 103-210).</w:t>
      </w:r>
    </w:p>
    <w:p w14:paraId="5E78AEC8" w14:textId="77777777" w:rsidR="001E6CAF" w:rsidRPr="00EA2099" w:rsidRDefault="001E6CAF" w:rsidP="001E6CAF">
      <w:pPr>
        <w:pStyle w:val="NORMAL12"/>
        <w:numPr>
          <w:ilvl w:val="0"/>
          <w:numId w:val="61"/>
        </w:numPr>
      </w:pPr>
      <w:r w:rsidRPr="00EA2099">
        <w:t>Contenido en sales solubles, distintas del yeso (NLT 114/96)</w:t>
      </w:r>
    </w:p>
    <w:p w14:paraId="56D61E60" w14:textId="77777777" w:rsidR="001E6CAF" w:rsidRPr="00EA2099" w:rsidRDefault="001E6CAF" w:rsidP="001E6CAF">
      <w:pPr>
        <w:pStyle w:val="NORMAL12"/>
        <w:numPr>
          <w:ilvl w:val="0"/>
          <w:numId w:val="61"/>
        </w:numPr>
      </w:pPr>
      <w:r w:rsidRPr="00EA2099">
        <w:t xml:space="preserve">Ensayo </w:t>
      </w:r>
      <w:proofErr w:type="spellStart"/>
      <w:r w:rsidRPr="00EA2099">
        <w:t>Próctor</w:t>
      </w:r>
      <w:proofErr w:type="spellEnd"/>
      <w:r w:rsidRPr="00EA2099">
        <w:t xml:space="preserve"> de referencia (UNE 103-500 </w:t>
      </w:r>
      <w:proofErr w:type="spellStart"/>
      <w:r w:rsidRPr="00EA2099">
        <w:t>ó</w:t>
      </w:r>
      <w:proofErr w:type="spellEnd"/>
      <w:r w:rsidRPr="00EA2099">
        <w:t xml:space="preserve"> (UNE 103-501)</w:t>
      </w:r>
    </w:p>
    <w:p w14:paraId="6F581C0B" w14:textId="77777777" w:rsidR="001E6CAF" w:rsidRPr="00EA2099" w:rsidRDefault="001E6CAF" w:rsidP="001E6CAF">
      <w:pPr>
        <w:pStyle w:val="NORMAL12"/>
        <w:numPr>
          <w:ilvl w:val="0"/>
          <w:numId w:val="61"/>
        </w:numPr>
      </w:pPr>
      <w:r w:rsidRPr="00EA2099">
        <w:t>Ensayo CBR (UNE 103-502)</w:t>
      </w:r>
    </w:p>
    <w:p w14:paraId="2238C3AA" w14:textId="77777777" w:rsidR="001E6CAF" w:rsidRPr="00805FD4" w:rsidRDefault="001E6CAF" w:rsidP="001E6CAF">
      <w:pPr>
        <w:pStyle w:val="NORMAL12"/>
        <w:numPr>
          <w:ilvl w:val="0"/>
          <w:numId w:val="61"/>
        </w:numPr>
      </w:pPr>
      <w:r w:rsidRPr="00805FD4">
        <w:t>Hinchamiento libre (UNE 103-601)</w:t>
      </w:r>
    </w:p>
    <w:p w14:paraId="76B7195C" w14:textId="77777777" w:rsidR="001E6CAF" w:rsidRPr="00805FD4" w:rsidRDefault="001E6CAF" w:rsidP="001E6CAF">
      <w:pPr>
        <w:pStyle w:val="NORMAL12"/>
        <w:numPr>
          <w:ilvl w:val="0"/>
          <w:numId w:val="61"/>
        </w:numPr>
      </w:pPr>
      <w:r w:rsidRPr="00805FD4">
        <w:lastRenderedPageBreak/>
        <w:t>Colapso de suelos (NLT 254/96)</w:t>
      </w:r>
    </w:p>
    <w:p w14:paraId="6954DEFF" w14:textId="77777777" w:rsidR="001E6CAF" w:rsidRPr="006E63B7" w:rsidRDefault="001E6CAF" w:rsidP="001E6CAF">
      <w:pPr>
        <w:pStyle w:val="NORMAL12"/>
      </w:pPr>
      <w:r>
        <w:t>El control de compactación se hará por lotes que estará constituido por 5.000 m</w:t>
      </w:r>
      <w:r>
        <w:rPr>
          <w:vertAlign w:val="superscript"/>
        </w:rPr>
        <w:t>2</w:t>
      </w:r>
      <w:r>
        <w:t xml:space="preserve"> o fracción de material compactado o la superficie tratada en un día.</w:t>
      </w:r>
    </w:p>
    <w:p w14:paraId="77FBD126" w14:textId="77777777" w:rsidR="001E6CAF" w:rsidRDefault="001E6CAF" w:rsidP="001E6CAF">
      <w:pPr>
        <w:pStyle w:val="NORMAL12"/>
      </w:pPr>
      <w:r w:rsidRPr="00EA2099">
        <w:t>A estos efectos se realizarán las pruebas necesarias para dimensionar adecuadamente</w:t>
      </w:r>
      <w:r>
        <w:t xml:space="preserve"> </w:t>
      </w:r>
      <w:r w:rsidRPr="00EA2099">
        <w:t>el equipo de compactación. En estas pruebas deberá quedar garantizado que el</w:t>
      </w:r>
      <w:r>
        <w:t xml:space="preserve"> </w:t>
      </w:r>
      <w:r w:rsidRPr="00EA2099">
        <w:t xml:space="preserve">material compactado alcanza un módulo de deformación superior a </w:t>
      </w:r>
      <w:r w:rsidRPr="00A144FA">
        <w:t>100 MPa</w:t>
      </w:r>
      <w:r w:rsidRPr="00EA2099">
        <w:t>, en el segundo ciclo de placa de</w:t>
      </w:r>
      <w:r>
        <w:t xml:space="preserve"> carga, con la condición Ev2/Ev1 ≤ </w:t>
      </w:r>
      <w:r w:rsidRPr="00EA2099">
        <w:t>2,2 siempre que el valor de Ev1 hubiese resultado</w:t>
      </w:r>
      <w:r>
        <w:t xml:space="preserve"> </w:t>
      </w:r>
      <w:r w:rsidRPr="00EA2099">
        <w:t>inferior al 60% de Ev2.</w:t>
      </w:r>
    </w:p>
    <w:p w14:paraId="129389F5" w14:textId="77777777" w:rsidR="001E6CAF" w:rsidRDefault="001E6CAF" w:rsidP="001E6CAF">
      <w:pPr>
        <w:pStyle w:val="NORMAL12"/>
      </w:pPr>
      <w:r>
        <w:t>Adicionalmente, se comprobará por cada día de trabajo o por cada 500 m</w:t>
      </w:r>
      <w:r>
        <w:rPr>
          <w:vertAlign w:val="superscript"/>
        </w:rPr>
        <w:t>2</w:t>
      </w:r>
      <w:r>
        <w:t xml:space="preserve"> o fracción de capa colocada, el contenido y propiedades del cemento y agua en la mezcla, y la densidad y humedad de cada tongada.</w:t>
      </w:r>
    </w:p>
    <w:p w14:paraId="412025E4" w14:textId="77777777" w:rsidR="001E6CAF" w:rsidRPr="00D979F6" w:rsidRDefault="008F328B" w:rsidP="000313DD">
      <w:pPr>
        <w:pStyle w:val="TITU2"/>
      </w:pPr>
      <w:bookmarkStart w:id="709" w:name="_Toc404416"/>
      <w:r>
        <w:t xml:space="preserve">618.9. </w:t>
      </w:r>
      <w:r w:rsidR="001E6CAF" w:rsidRPr="00D979F6">
        <w:tab/>
        <w:t>Medición y abono</w:t>
      </w:r>
      <w:bookmarkEnd w:id="709"/>
    </w:p>
    <w:p w14:paraId="095A63EA" w14:textId="77777777" w:rsidR="001E6CAF" w:rsidRDefault="001E6CAF" w:rsidP="001E6CAF">
      <w:pPr>
        <w:pStyle w:val="NORMAL12"/>
      </w:pPr>
      <w:r w:rsidRPr="00D979F6">
        <w:t>La medición y abono de las unidades de</w:t>
      </w:r>
      <w:r w:rsidRPr="00A144FA">
        <w:t xml:space="preserve"> Relleno especial localizado con material de préstamo tratado con cemento</w:t>
      </w:r>
      <w:r w:rsidR="00C91A29">
        <w:rPr>
          <w:strike/>
        </w:rPr>
        <w:t xml:space="preserve"> </w:t>
      </w:r>
      <w:r w:rsidRPr="00D979F6">
        <w:t>se realizará conforme a las siguientes prescripciones: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1E6CAF" w:rsidRPr="0051634D" w14:paraId="2329DFE3" w14:textId="77777777" w:rsidTr="001E6CAF">
        <w:tc>
          <w:tcPr>
            <w:tcW w:w="2905" w:type="dxa"/>
            <w:vAlign w:val="center"/>
          </w:tcPr>
          <w:p w14:paraId="6BB7B171" w14:textId="77777777" w:rsidR="001E6CAF" w:rsidRPr="002005BA" w:rsidRDefault="001E6CAF" w:rsidP="00CD2624">
            <w:pPr>
              <w:pStyle w:val="Tabla"/>
              <w:rPr>
                <w:b/>
              </w:rPr>
            </w:pPr>
            <w:r w:rsidRPr="002005BA">
              <w:rPr>
                <w:b/>
              </w:rPr>
              <w:t>Unidad de medida</w:t>
            </w:r>
          </w:p>
        </w:tc>
        <w:tc>
          <w:tcPr>
            <w:tcW w:w="5739" w:type="dxa"/>
            <w:vAlign w:val="center"/>
          </w:tcPr>
          <w:p w14:paraId="011F270D" w14:textId="77777777" w:rsidR="001E6CAF" w:rsidRPr="002005BA" w:rsidRDefault="001E6CAF" w:rsidP="00B71B0B">
            <w:pPr>
              <w:pStyle w:val="LCATabla"/>
              <w:keepLines/>
              <w:jc w:val="both"/>
              <w:rPr>
                <w:rFonts w:ascii="Arial" w:hAnsi="Arial"/>
                <w:sz w:val="20"/>
              </w:rPr>
            </w:pPr>
            <w:r>
              <w:rPr>
                <w:rFonts w:ascii="Arial" w:hAnsi="Arial"/>
                <w:sz w:val="20"/>
              </w:rPr>
              <w:t>Metros cúbicos (m</w:t>
            </w:r>
            <w:r w:rsidRPr="005B79AD">
              <w:rPr>
                <w:rFonts w:ascii="Arial" w:hAnsi="Arial"/>
                <w:sz w:val="20"/>
                <w:vertAlign w:val="superscript"/>
              </w:rPr>
              <w:t>3</w:t>
            </w:r>
            <w:r w:rsidRPr="002005BA">
              <w:rPr>
                <w:rFonts w:ascii="Arial" w:hAnsi="Arial"/>
                <w:sz w:val="20"/>
              </w:rPr>
              <w:t xml:space="preserve">). </w:t>
            </w:r>
          </w:p>
        </w:tc>
      </w:tr>
      <w:tr w:rsidR="001E6CAF" w:rsidRPr="0051634D" w14:paraId="0A9DCD7E" w14:textId="77777777" w:rsidTr="001E6CAF">
        <w:tc>
          <w:tcPr>
            <w:tcW w:w="2905" w:type="dxa"/>
            <w:vAlign w:val="center"/>
          </w:tcPr>
          <w:p w14:paraId="187EC9DB" w14:textId="77777777" w:rsidR="001E6CAF" w:rsidRPr="002005BA" w:rsidRDefault="001E6CAF" w:rsidP="00CD2624">
            <w:pPr>
              <w:pStyle w:val="Tabla"/>
              <w:rPr>
                <w:b/>
              </w:rPr>
            </w:pPr>
            <w:r w:rsidRPr="002005BA">
              <w:rPr>
                <w:b/>
              </w:rPr>
              <w:t>Grado de precisión</w:t>
            </w:r>
          </w:p>
        </w:tc>
        <w:tc>
          <w:tcPr>
            <w:tcW w:w="5739" w:type="dxa"/>
            <w:vAlign w:val="center"/>
          </w:tcPr>
          <w:p w14:paraId="531292FD" w14:textId="77777777" w:rsidR="001E6CAF" w:rsidRPr="002005BA" w:rsidRDefault="001E6CAF" w:rsidP="00B71B0B">
            <w:pPr>
              <w:pStyle w:val="LCATabla"/>
              <w:keepLines/>
              <w:jc w:val="both"/>
              <w:rPr>
                <w:rFonts w:ascii="Arial" w:hAnsi="Arial"/>
                <w:sz w:val="20"/>
              </w:rPr>
            </w:pPr>
            <w:r w:rsidRPr="002005BA">
              <w:rPr>
                <w:rFonts w:ascii="Arial" w:hAnsi="Arial"/>
                <w:sz w:val="20"/>
              </w:rPr>
              <w:t>Dos decimales.</w:t>
            </w:r>
          </w:p>
        </w:tc>
      </w:tr>
      <w:tr w:rsidR="001E6CAF" w:rsidRPr="0051634D" w14:paraId="6691F2B1" w14:textId="77777777" w:rsidTr="001E6CAF">
        <w:tc>
          <w:tcPr>
            <w:tcW w:w="2905" w:type="dxa"/>
            <w:vAlign w:val="center"/>
          </w:tcPr>
          <w:p w14:paraId="62E100D6" w14:textId="77777777" w:rsidR="001E6CAF" w:rsidRPr="002005BA" w:rsidRDefault="001E6CAF" w:rsidP="00CD2624">
            <w:pPr>
              <w:pStyle w:val="Tabla"/>
              <w:rPr>
                <w:b/>
              </w:rPr>
            </w:pPr>
            <w:r w:rsidRPr="002005BA">
              <w:rPr>
                <w:b/>
              </w:rPr>
              <w:t>Forma de medición</w:t>
            </w:r>
          </w:p>
        </w:tc>
        <w:tc>
          <w:tcPr>
            <w:tcW w:w="5739" w:type="dxa"/>
            <w:vAlign w:val="center"/>
          </w:tcPr>
          <w:p w14:paraId="6CE9F612" w14:textId="77777777" w:rsidR="001E6CAF" w:rsidRPr="002005BA" w:rsidRDefault="001E6CAF" w:rsidP="00B71B0B">
            <w:pPr>
              <w:pStyle w:val="LCATabla"/>
              <w:keepLines/>
              <w:jc w:val="both"/>
              <w:rPr>
                <w:rFonts w:ascii="Arial" w:hAnsi="Arial"/>
                <w:sz w:val="20"/>
              </w:rPr>
            </w:pPr>
            <w:r w:rsidRPr="00D979F6">
              <w:rPr>
                <w:rFonts w:ascii="Arial" w:hAnsi="Arial"/>
                <w:sz w:val="20"/>
              </w:rPr>
              <w:t xml:space="preserve">Metros </w:t>
            </w:r>
            <w:r>
              <w:rPr>
                <w:rFonts w:ascii="Arial" w:hAnsi="Arial"/>
                <w:sz w:val="20"/>
              </w:rPr>
              <w:t>cúbicos</w:t>
            </w:r>
            <w:r w:rsidRPr="00D979F6">
              <w:rPr>
                <w:rFonts w:ascii="Arial" w:hAnsi="Arial"/>
                <w:sz w:val="20"/>
              </w:rPr>
              <w:t xml:space="preserve"> (m</w:t>
            </w:r>
            <w:r w:rsidRPr="005B79AD">
              <w:rPr>
                <w:rFonts w:ascii="Arial" w:hAnsi="Arial"/>
                <w:sz w:val="20"/>
                <w:vertAlign w:val="superscript"/>
              </w:rPr>
              <w:t>3</w:t>
            </w:r>
            <w:r w:rsidRPr="00D979F6">
              <w:rPr>
                <w:rFonts w:ascii="Arial" w:hAnsi="Arial"/>
                <w:sz w:val="20"/>
              </w:rPr>
              <w:t xml:space="preserve">) realmente </w:t>
            </w:r>
            <w:r>
              <w:rPr>
                <w:rFonts w:ascii="Arial" w:hAnsi="Arial"/>
                <w:sz w:val="20"/>
              </w:rPr>
              <w:t>ejecutados</w:t>
            </w:r>
            <w:r>
              <w:rPr>
                <w:sz w:val="20"/>
              </w:rPr>
              <w:t>.</w:t>
            </w:r>
          </w:p>
        </w:tc>
      </w:tr>
      <w:tr w:rsidR="001E6CAF" w:rsidRPr="0051634D" w14:paraId="5AB931C8" w14:textId="77777777" w:rsidTr="001E6CAF">
        <w:tc>
          <w:tcPr>
            <w:tcW w:w="2905" w:type="dxa"/>
            <w:vAlign w:val="center"/>
          </w:tcPr>
          <w:p w14:paraId="08186EB5" w14:textId="77777777" w:rsidR="001E6CAF" w:rsidRPr="002005BA" w:rsidRDefault="001E6CAF" w:rsidP="00CD2624">
            <w:pPr>
              <w:pStyle w:val="Tabla"/>
              <w:rPr>
                <w:b/>
              </w:rPr>
            </w:pPr>
            <w:r w:rsidRPr="002005BA">
              <w:rPr>
                <w:b/>
              </w:rPr>
              <w:t>Abono</w:t>
            </w:r>
          </w:p>
        </w:tc>
        <w:tc>
          <w:tcPr>
            <w:tcW w:w="5739" w:type="dxa"/>
            <w:vAlign w:val="center"/>
          </w:tcPr>
          <w:p w14:paraId="2C5BD9A4" w14:textId="77777777" w:rsidR="001E6CAF" w:rsidRPr="002005BA" w:rsidRDefault="001E6CAF" w:rsidP="00B71B0B">
            <w:pPr>
              <w:pStyle w:val="LCATabla"/>
              <w:keepLines/>
              <w:jc w:val="both"/>
              <w:rPr>
                <w:rFonts w:ascii="Arial" w:hAnsi="Arial"/>
                <w:sz w:val="20"/>
              </w:rPr>
            </w:pPr>
            <w:r w:rsidRPr="002005BA">
              <w:rPr>
                <w:rFonts w:ascii="Arial" w:hAnsi="Arial"/>
                <w:sz w:val="20"/>
              </w:rPr>
              <w:t>Se efectuará cuando se realice la aceptación.</w:t>
            </w:r>
          </w:p>
        </w:tc>
      </w:tr>
      <w:tr w:rsidR="001E6CAF" w:rsidRPr="0051634D" w14:paraId="06B1D124" w14:textId="77777777" w:rsidTr="001E6CAF">
        <w:tc>
          <w:tcPr>
            <w:tcW w:w="2905" w:type="dxa"/>
            <w:vAlign w:val="center"/>
          </w:tcPr>
          <w:p w14:paraId="0DB7B142" w14:textId="77777777" w:rsidR="001E6CAF" w:rsidRPr="002005BA" w:rsidRDefault="001E6CAF" w:rsidP="00CD2624">
            <w:pPr>
              <w:pStyle w:val="Tabla"/>
              <w:rPr>
                <w:b/>
              </w:rPr>
            </w:pPr>
            <w:r w:rsidRPr="002005BA">
              <w:rPr>
                <w:b/>
              </w:rPr>
              <w:t>Criterios complementarios</w:t>
            </w:r>
          </w:p>
        </w:tc>
        <w:tc>
          <w:tcPr>
            <w:tcW w:w="5739" w:type="dxa"/>
            <w:vAlign w:val="center"/>
          </w:tcPr>
          <w:p w14:paraId="5B17DE28" w14:textId="77777777" w:rsidR="001E6CAF" w:rsidRDefault="001E6CAF" w:rsidP="00B71B0B">
            <w:pPr>
              <w:pStyle w:val="LCATabla"/>
              <w:keepLines/>
              <w:jc w:val="both"/>
              <w:rPr>
                <w:rFonts w:ascii="Arial" w:hAnsi="Arial"/>
                <w:sz w:val="20"/>
              </w:rPr>
            </w:pPr>
            <w:r w:rsidRPr="002005BA">
              <w:rPr>
                <w:rFonts w:ascii="Arial" w:hAnsi="Arial"/>
                <w:sz w:val="20"/>
              </w:rPr>
              <w:t>Los precios incluyen todos los materiales, mano de obra, maquinaria y medios auxiliares necesarios para la correcta ejecución de la unidad.</w:t>
            </w:r>
          </w:p>
          <w:p w14:paraId="3DB292AD" w14:textId="77777777" w:rsidR="001E6CAF" w:rsidRPr="002005BA" w:rsidRDefault="001E6CAF" w:rsidP="00B71B0B">
            <w:pPr>
              <w:pStyle w:val="LCATabla"/>
              <w:keepLines/>
              <w:jc w:val="both"/>
              <w:rPr>
                <w:rFonts w:ascii="Arial" w:hAnsi="Arial"/>
                <w:sz w:val="20"/>
              </w:rPr>
            </w:pPr>
            <w:r>
              <w:rPr>
                <w:rFonts w:ascii="Arial" w:hAnsi="Arial"/>
                <w:sz w:val="20"/>
              </w:rPr>
              <w:t xml:space="preserve">El precio incluye la preparación del terreno, el extendido, humidificación o desecación, compactación y todas las operaciones necesarias para la completa realización de la unidad de obra. </w:t>
            </w:r>
          </w:p>
        </w:tc>
      </w:tr>
    </w:tbl>
    <w:p w14:paraId="6EB100D5" w14:textId="77777777" w:rsidR="001E6CAF" w:rsidRPr="007B10E9" w:rsidRDefault="001E6CAF" w:rsidP="001E6CAF">
      <w:pPr>
        <w:pStyle w:val="TITU1"/>
      </w:pPr>
      <w:bookmarkStart w:id="710" w:name="_Toc448916039"/>
      <w:bookmarkStart w:id="711" w:name="_Toc404417"/>
      <w:r w:rsidRPr="00574F61">
        <w:lastRenderedPageBreak/>
        <w:t>Artículo 619. Chorreado con abrasivo a presión controlada</w:t>
      </w:r>
      <w:bookmarkEnd w:id="710"/>
      <w:bookmarkEnd w:id="711"/>
    </w:p>
    <w:p w14:paraId="1779D268" w14:textId="77777777" w:rsidR="001E6CAF" w:rsidRPr="007A3448" w:rsidRDefault="001E6CAF" w:rsidP="000313DD">
      <w:pPr>
        <w:pStyle w:val="TITU2"/>
      </w:pPr>
      <w:bookmarkStart w:id="712" w:name="_Toc448916040"/>
      <w:bookmarkStart w:id="713" w:name="_Toc404418"/>
      <w:r w:rsidRPr="007A3448">
        <w:t>61</w:t>
      </w:r>
      <w:r>
        <w:t>9</w:t>
      </w:r>
      <w:r w:rsidRPr="007A3448">
        <w:t>.1.</w:t>
      </w:r>
      <w:r>
        <w:t xml:space="preserve"> </w:t>
      </w:r>
      <w:r w:rsidRPr="007A3448">
        <w:tab/>
        <w:t>Definición</w:t>
      </w:r>
      <w:bookmarkEnd w:id="712"/>
      <w:bookmarkEnd w:id="713"/>
    </w:p>
    <w:p w14:paraId="3789B054" w14:textId="77777777" w:rsidR="001E6CAF" w:rsidRPr="007A3448" w:rsidRDefault="001E6CAF" w:rsidP="001E6CAF">
      <w:pPr>
        <w:pStyle w:val="NORMAL12"/>
      </w:pPr>
      <w:r w:rsidRPr="007A3448">
        <w:t xml:space="preserve">El chorreado con abrasivo se aplicará en este proyecto para la limpieza y preparación superficial de los paramentos de hormigón de los estribos de la estructura localizada en el P.I. 2+275, retirando óxidos, pinturas, grasas y otros componentes indeseados. </w:t>
      </w:r>
    </w:p>
    <w:p w14:paraId="383E6A79" w14:textId="77777777" w:rsidR="001E6CAF" w:rsidRPr="007A3448" w:rsidRDefault="001E6CAF" w:rsidP="001E6CAF">
      <w:pPr>
        <w:pStyle w:val="NORMAL12"/>
      </w:pPr>
      <w:r w:rsidRPr="007A3448">
        <w:t>En este último caso el proceso tiene la finalidad de obtener una superficie limpia y rugosa sobre la que posteriormente efectuar los tratamientos para su protección y garantizar la correcta adherencia entre los mismos.</w:t>
      </w:r>
    </w:p>
    <w:p w14:paraId="4D876345" w14:textId="77777777" w:rsidR="001E6CAF" w:rsidRPr="007A3448" w:rsidRDefault="001E6CAF" w:rsidP="000313DD">
      <w:pPr>
        <w:pStyle w:val="TITU2"/>
      </w:pPr>
      <w:bookmarkStart w:id="714" w:name="_Toc448916041"/>
      <w:bookmarkStart w:id="715" w:name="_Toc404419"/>
      <w:r>
        <w:t>619</w:t>
      </w:r>
      <w:r w:rsidRPr="007A3448">
        <w:t>.2.</w:t>
      </w:r>
      <w:r>
        <w:t xml:space="preserve"> </w:t>
      </w:r>
      <w:r w:rsidRPr="007A3448">
        <w:tab/>
        <w:t>Aplicación</w:t>
      </w:r>
      <w:bookmarkEnd w:id="714"/>
      <w:bookmarkEnd w:id="715"/>
      <w:r w:rsidRPr="007A3448">
        <w:t xml:space="preserve"> </w:t>
      </w:r>
    </w:p>
    <w:p w14:paraId="5DF83A90" w14:textId="77777777" w:rsidR="001E6CAF" w:rsidRPr="007A3448" w:rsidRDefault="001E6CAF" w:rsidP="001E6CAF">
      <w:pPr>
        <w:pStyle w:val="NORMAL12"/>
      </w:pPr>
      <w:r w:rsidRPr="007A3448">
        <w:t xml:space="preserve">El presente artículo </w:t>
      </w:r>
      <w:proofErr w:type="gramStart"/>
      <w:r w:rsidRPr="007A3448">
        <w:t>es de aplicación</w:t>
      </w:r>
      <w:proofErr w:type="gramEnd"/>
      <w:r w:rsidRPr="007A3448">
        <w:t xml:space="preserve"> a la siguiente unidad de obra: </w:t>
      </w:r>
    </w:p>
    <w:tbl>
      <w:tblPr>
        <w:tblW w:w="0" w:type="auto"/>
        <w:tblLook w:val="04A0" w:firstRow="1" w:lastRow="0" w:firstColumn="1" w:lastColumn="0" w:noHBand="0" w:noVBand="1"/>
      </w:tblPr>
      <w:tblGrid>
        <w:gridCol w:w="1471"/>
        <w:gridCol w:w="1105"/>
        <w:gridCol w:w="6212"/>
      </w:tblGrid>
      <w:tr w:rsidR="001E6CAF" w:rsidRPr="002005BA" w14:paraId="0C8E5A7E" w14:textId="77777777" w:rsidTr="001E6CAF">
        <w:tc>
          <w:tcPr>
            <w:tcW w:w="1471" w:type="dxa"/>
          </w:tcPr>
          <w:p w14:paraId="16EB80C1" w14:textId="77777777" w:rsidR="001E6CAF" w:rsidRPr="005B79AD" w:rsidRDefault="001E6CAF" w:rsidP="001E6CAF">
            <w:pPr>
              <w:rPr>
                <w:rFonts w:ascii="Calibri" w:hAnsi="Calibri" w:cs="Calibri"/>
              </w:rPr>
            </w:pPr>
            <w:r w:rsidRPr="005B79AD">
              <w:rPr>
                <w:rFonts w:ascii="Calibri" w:hAnsi="Calibri" w:cs="Calibri"/>
              </w:rPr>
              <w:t xml:space="preserve">301.0170N          </w:t>
            </w:r>
          </w:p>
          <w:p w14:paraId="63B728CE" w14:textId="77777777" w:rsidR="001E6CAF" w:rsidRPr="005B79AD" w:rsidRDefault="001E6CAF" w:rsidP="001E6CAF">
            <w:pPr>
              <w:rPr>
                <w:rFonts w:ascii="Calibri" w:hAnsi="Calibri" w:cs="Calibri"/>
              </w:rPr>
            </w:pPr>
            <w:r w:rsidRPr="005B79AD">
              <w:rPr>
                <w:rFonts w:ascii="Calibri" w:hAnsi="Calibri" w:cs="Calibri"/>
              </w:rPr>
              <w:t xml:space="preserve">         </w:t>
            </w:r>
          </w:p>
        </w:tc>
        <w:tc>
          <w:tcPr>
            <w:tcW w:w="1105" w:type="dxa"/>
          </w:tcPr>
          <w:p w14:paraId="04A545A0" w14:textId="77777777" w:rsidR="001E6CAF" w:rsidRPr="005B79AD" w:rsidRDefault="001E6CAF" w:rsidP="001E6CAF">
            <w:pPr>
              <w:rPr>
                <w:rFonts w:ascii="Calibri" w:hAnsi="Calibri" w:cs="Calibri"/>
              </w:rPr>
            </w:pPr>
            <w:r w:rsidRPr="005B79AD">
              <w:rPr>
                <w:rFonts w:ascii="Calibri" w:hAnsi="Calibri" w:cs="Calibri"/>
              </w:rPr>
              <w:t>m²</w:t>
            </w:r>
          </w:p>
        </w:tc>
        <w:tc>
          <w:tcPr>
            <w:tcW w:w="6212" w:type="dxa"/>
          </w:tcPr>
          <w:p w14:paraId="536CB5FC" w14:textId="77777777" w:rsidR="001E6CAF" w:rsidRPr="005B79AD" w:rsidRDefault="001E6CAF" w:rsidP="00B71B0B">
            <w:pPr>
              <w:jc w:val="both"/>
              <w:rPr>
                <w:rFonts w:ascii="Calibri" w:hAnsi="Calibri" w:cs="Calibri"/>
              </w:rPr>
            </w:pPr>
            <w:r w:rsidRPr="005B79AD">
              <w:rPr>
                <w:rFonts w:ascii="Calibri" w:hAnsi="Calibri" w:cs="Calibri"/>
              </w:rPr>
              <w:t>CHORREADO Y LIMPIEZA CON ABRASIVO DE PARAMENTOS DE HORMIGÓN Y PROTECCIÓN AMBIENTAL PRECISA CONTRA LA CONTAMINACIÓN DE POLVO, EN ESTRUCTURAS SINGULARES O REHABILITACIÓN DE ESTRUCTURAS.</w:t>
            </w:r>
          </w:p>
        </w:tc>
      </w:tr>
    </w:tbl>
    <w:p w14:paraId="4C32545C" w14:textId="77777777" w:rsidR="001E6CAF" w:rsidRPr="007A3448" w:rsidRDefault="001E6CAF" w:rsidP="000313DD">
      <w:pPr>
        <w:pStyle w:val="TITU2"/>
      </w:pPr>
      <w:bookmarkStart w:id="716" w:name="_Toc448916042"/>
      <w:bookmarkStart w:id="717" w:name="_Toc404420"/>
      <w:r w:rsidRPr="007A3448">
        <w:t>61</w:t>
      </w:r>
      <w:r>
        <w:t xml:space="preserve">9.3. </w:t>
      </w:r>
      <w:r w:rsidR="00036C21">
        <w:t xml:space="preserve"> </w:t>
      </w:r>
      <w:r w:rsidRPr="007A3448">
        <w:t>Descripción de los trabajos</w:t>
      </w:r>
      <w:bookmarkEnd w:id="716"/>
      <w:bookmarkEnd w:id="717"/>
    </w:p>
    <w:p w14:paraId="41DB3D4A" w14:textId="77777777" w:rsidR="001E6CAF" w:rsidRPr="007A3448" w:rsidRDefault="001E6CAF" w:rsidP="001E6CAF">
      <w:pPr>
        <w:pStyle w:val="NORMAL12"/>
      </w:pPr>
      <w:r w:rsidRPr="007A3448">
        <w:t>Las operaciones incluidas en este artículo son las siguientes:</w:t>
      </w:r>
    </w:p>
    <w:p w14:paraId="12CB20FE" w14:textId="77777777" w:rsidR="001E6CAF" w:rsidRPr="007A3448" w:rsidRDefault="001E6CAF" w:rsidP="008F328B">
      <w:pPr>
        <w:pStyle w:val="NORMAL12"/>
        <w:numPr>
          <w:ilvl w:val="0"/>
          <w:numId w:val="61"/>
        </w:numPr>
      </w:pPr>
      <w:r w:rsidRPr="007A3448">
        <w:t xml:space="preserve">Montaje de los equipos y medios auxiliares para la correcta ejecución de los trabajos. </w:t>
      </w:r>
    </w:p>
    <w:p w14:paraId="15BD7356" w14:textId="77777777" w:rsidR="001E6CAF" w:rsidRPr="007A3448" w:rsidRDefault="001E6CAF" w:rsidP="008F328B">
      <w:pPr>
        <w:pStyle w:val="NORMAL12"/>
        <w:numPr>
          <w:ilvl w:val="0"/>
          <w:numId w:val="61"/>
        </w:numPr>
      </w:pPr>
      <w:r w:rsidRPr="007A3448">
        <w:t>Disposición de protecciones para evitar la dispersión de polvo y recogida de la arena.</w:t>
      </w:r>
    </w:p>
    <w:p w14:paraId="1FFE7386" w14:textId="77777777" w:rsidR="001E6CAF" w:rsidRPr="007A3448" w:rsidRDefault="001E6CAF" w:rsidP="008F328B">
      <w:pPr>
        <w:pStyle w:val="NORMAL12"/>
        <w:numPr>
          <w:ilvl w:val="0"/>
          <w:numId w:val="61"/>
        </w:numPr>
      </w:pPr>
      <w:r w:rsidRPr="007A3448">
        <w:t xml:space="preserve">Chorreado de arena mediante compresor de caudal variable y control remoto.  </w:t>
      </w:r>
    </w:p>
    <w:p w14:paraId="7FA2A7E1" w14:textId="77777777" w:rsidR="001E6CAF" w:rsidRPr="007A3448" w:rsidRDefault="001E6CAF" w:rsidP="008F328B">
      <w:pPr>
        <w:pStyle w:val="NORMAL12"/>
        <w:numPr>
          <w:ilvl w:val="0"/>
          <w:numId w:val="61"/>
        </w:numPr>
      </w:pPr>
      <w:r w:rsidRPr="007A3448">
        <w:t xml:space="preserve">Retirada de los residuos generados a un lugar de acopio habilitado en obra hasta su posterior traslado al punto de gestión de residuos. </w:t>
      </w:r>
    </w:p>
    <w:p w14:paraId="1E0F5887" w14:textId="77777777" w:rsidR="001E6CAF" w:rsidRPr="00D979F6" w:rsidRDefault="001E6CAF" w:rsidP="000313DD">
      <w:pPr>
        <w:pStyle w:val="TITU2"/>
      </w:pPr>
      <w:bookmarkStart w:id="718" w:name="_Toc448916043"/>
      <w:bookmarkStart w:id="719" w:name="_Toc404421"/>
      <w:r w:rsidRPr="00D979F6">
        <w:t>61</w:t>
      </w:r>
      <w:r>
        <w:t>9</w:t>
      </w:r>
      <w:r w:rsidRPr="00D979F6">
        <w:t>.4.</w:t>
      </w:r>
      <w:r>
        <w:t xml:space="preserve"> </w:t>
      </w:r>
      <w:r w:rsidRPr="00D979F6">
        <w:tab/>
        <w:t>Materiales</w:t>
      </w:r>
      <w:bookmarkEnd w:id="718"/>
      <w:bookmarkEnd w:id="719"/>
    </w:p>
    <w:p w14:paraId="4DC3FB33" w14:textId="77777777" w:rsidR="001E6CAF" w:rsidRDefault="001E6CAF" w:rsidP="001E6CAF">
      <w:pPr>
        <w:pStyle w:val="NORMAL12"/>
        <w:rPr>
          <w:highlight w:val="red"/>
        </w:rPr>
      </w:pPr>
      <w:r>
        <w:t xml:space="preserve">Se empleará un abrasivo, proyectado a presión sobre la estructura de hormigón, que permita alcanzar el grado de limpieza y preparación de </w:t>
      </w:r>
      <w:r w:rsidR="00217216">
        <w:t>superficies prescritas</w:t>
      </w:r>
      <w:r>
        <w:t xml:space="preserve"> en este </w:t>
      </w:r>
      <w:r>
        <w:t>Pliego. Los abrasivos más usuales que podrán emplearse son la arena de sílice o los silicatos de aluminio.</w:t>
      </w:r>
    </w:p>
    <w:p w14:paraId="7288AA4B" w14:textId="77777777" w:rsidR="001E6CAF" w:rsidRPr="00D979F6" w:rsidRDefault="001E6CAF" w:rsidP="001E6CAF">
      <w:pPr>
        <w:pStyle w:val="NORMAL12"/>
      </w:pPr>
      <w:r w:rsidRPr="00D979F6">
        <w:t>La arena utilizada en el chorreado suele contener de 94 a 99% de sílice cristalina, SiO2 en forma de cuarzo. La arena de sílice tendrá una granulometría comprendida entre uno y tres milímetros (1mm y 3mm), obtenida por los suministradores después de haber tamizado la arena con el fin de retirar los finos, pues estos no son efectivos para la acción abrasiva, así como los granos gruesos, que obstruirían los equipos.</w:t>
      </w:r>
    </w:p>
    <w:p w14:paraId="7FF9E61E" w14:textId="77777777" w:rsidR="001E6CAF" w:rsidRPr="00D979F6" w:rsidRDefault="001E6CAF" w:rsidP="001E6CAF">
      <w:pPr>
        <w:pStyle w:val="NORMAL12"/>
      </w:pPr>
      <w:r w:rsidRPr="00D979F6">
        <w:t xml:space="preserve">Se pueden utilizar otros abrasivos que puedan contener sílice cristalina en porcentajes variables tales como escorias de cobre, granalla con arena, determinados silicatos de aluminio, corindón o microesferas de vidrio. </w:t>
      </w:r>
    </w:p>
    <w:p w14:paraId="30FE1C3D" w14:textId="77777777" w:rsidR="001E6CAF" w:rsidRPr="00D979F6" w:rsidRDefault="001E6CAF" w:rsidP="000313DD">
      <w:pPr>
        <w:pStyle w:val="TITU2"/>
      </w:pPr>
      <w:bookmarkStart w:id="720" w:name="_Toc448916044"/>
      <w:bookmarkStart w:id="721" w:name="_Toc404422"/>
      <w:r>
        <w:t>619</w:t>
      </w:r>
      <w:r w:rsidRPr="00D979F6">
        <w:t>.5.</w:t>
      </w:r>
      <w:r>
        <w:t xml:space="preserve"> </w:t>
      </w:r>
      <w:r w:rsidRPr="00D979F6">
        <w:tab/>
        <w:t>Ejecución</w:t>
      </w:r>
      <w:bookmarkEnd w:id="720"/>
      <w:r w:rsidRPr="00D979F6">
        <w:t xml:space="preserve"> </w:t>
      </w:r>
      <w:r w:rsidR="008F328B">
        <w:t>de las obras</w:t>
      </w:r>
      <w:bookmarkEnd w:id="721"/>
    </w:p>
    <w:p w14:paraId="1F8E1612" w14:textId="77777777" w:rsidR="001E6CAF" w:rsidRPr="00D979F6" w:rsidRDefault="001E6CAF" w:rsidP="001E6CAF">
      <w:pPr>
        <w:pStyle w:val="NORMAL12"/>
      </w:pPr>
      <w:r w:rsidRPr="00D979F6">
        <w:t xml:space="preserve">Antes del chorreado de arena será necesario realizar un picado manual de las concreciones o zonas más deterioradas para luego seguir con chorro de arena mediante un compresor de caudal variable, en función de la distancia a la superficie. La presión del chorro estará entre tres y cinco atmósferas (3 a 5 atm), afectando a una profundidad aproximada de 5 </w:t>
      </w:r>
      <w:proofErr w:type="spellStart"/>
      <w:r w:rsidRPr="00D979F6">
        <w:t>mm.</w:t>
      </w:r>
      <w:proofErr w:type="spellEnd"/>
      <w:r w:rsidRPr="00D979F6">
        <w:t xml:space="preserve"> </w:t>
      </w:r>
    </w:p>
    <w:p w14:paraId="28F17613" w14:textId="77777777" w:rsidR="001E6CAF" w:rsidRPr="00D979F6" w:rsidRDefault="001E6CAF" w:rsidP="001E6CAF">
      <w:pPr>
        <w:pStyle w:val="NORMAL12"/>
      </w:pPr>
      <w:r w:rsidRPr="00D979F6">
        <w:t xml:space="preserve">Será necesario efectuar una prueba en obra, en una zona representativa, donde se definirá la presión óptima, la distancia a la que debe proyectarse el abrasivo y la abertura de proyección. </w:t>
      </w:r>
    </w:p>
    <w:p w14:paraId="524B7FF5" w14:textId="77777777" w:rsidR="001E6CAF" w:rsidRPr="00D979F6" w:rsidRDefault="001E6CAF" w:rsidP="001E6CAF">
      <w:pPr>
        <w:pStyle w:val="NORMAL12"/>
      </w:pPr>
      <w:r w:rsidRPr="00D979F6">
        <w:t xml:space="preserve">Se tratará de comenzar con las áreas de más difícil acceso y elevadas, ya que al poco tiempo se empezará a acumular el material de desecho y polvo del propio trabajo y esto dificultará las maniobras cada vez más mientras avanzan los trabajos. </w:t>
      </w:r>
    </w:p>
    <w:p w14:paraId="3578B7AA" w14:textId="77777777" w:rsidR="001E6CAF" w:rsidRPr="00D979F6" w:rsidRDefault="001E6CAF" w:rsidP="001E6CAF">
      <w:pPr>
        <w:pStyle w:val="NORMAL12"/>
      </w:pPr>
      <w:r w:rsidRPr="00D979F6">
        <w:t>Las capas descubiertas no deben presentar nunca indicios de abrasión.</w:t>
      </w:r>
    </w:p>
    <w:p w14:paraId="732AD08B" w14:textId="77777777" w:rsidR="001E6CAF" w:rsidRPr="00D979F6" w:rsidRDefault="001E6CAF" w:rsidP="001E6CAF">
      <w:pPr>
        <w:pStyle w:val="NORMAL12"/>
      </w:pPr>
      <w:r w:rsidRPr="00D979F6">
        <w:t>Las operaciones se darán por terminadas cuando se compruebe que al pasar la mano no se aprecia existencia de zonas huecas o partículas mal adheridas, al golpear las superficies con un martillo o al rayar con un destornillador o herramienta punzante.</w:t>
      </w:r>
    </w:p>
    <w:p w14:paraId="4C8F51E4" w14:textId="77777777" w:rsidR="001E6CAF" w:rsidRPr="00D979F6" w:rsidRDefault="001E6CAF" w:rsidP="001E6CAF">
      <w:pPr>
        <w:pStyle w:val="NORMAL12"/>
      </w:pPr>
      <w:r w:rsidRPr="00D979F6">
        <w:t>Para evitar molestias al entorno por la nube de polvo que acompaña a esta actividad se dispondrán lonas o carpas protectoras que evitan la dispersión del polvo y que servirán igualmente para recoger la arena proyectada.</w:t>
      </w:r>
    </w:p>
    <w:p w14:paraId="31457929" w14:textId="77777777" w:rsidR="001E6CAF" w:rsidRDefault="001E6CAF" w:rsidP="001E6CAF">
      <w:pPr>
        <w:pStyle w:val="NORMAL12"/>
      </w:pPr>
      <w:r w:rsidRPr="00D979F6">
        <w:lastRenderedPageBreak/>
        <w:t>El operario actuará provisto de una escafandra protectora, ventilada con aire fresco.</w:t>
      </w:r>
    </w:p>
    <w:p w14:paraId="5145F1DC" w14:textId="77777777" w:rsidR="001E6CAF" w:rsidRDefault="001E6CAF" w:rsidP="008F328B">
      <w:pPr>
        <w:pStyle w:val="NORMAL12"/>
      </w:pPr>
      <w:r>
        <w:t>Se dispondrá en todo momento de un equipo adicional de reserva de chorreado con arena apto para su empleo en el caso de que sea necesario.</w:t>
      </w:r>
    </w:p>
    <w:p w14:paraId="035C6835" w14:textId="77777777" w:rsidR="001E6CAF" w:rsidRPr="00D979F6" w:rsidRDefault="001E6CAF" w:rsidP="000313DD">
      <w:pPr>
        <w:pStyle w:val="TITU2"/>
      </w:pPr>
      <w:bookmarkStart w:id="722" w:name="_Toc448916045"/>
      <w:bookmarkStart w:id="723" w:name="_Toc404423"/>
      <w:r w:rsidRPr="00D979F6">
        <w:t>61</w:t>
      </w:r>
      <w:r>
        <w:t>9</w:t>
      </w:r>
      <w:r w:rsidRPr="00D979F6">
        <w:t>.6.</w:t>
      </w:r>
      <w:r>
        <w:t xml:space="preserve"> </w:t>
      </w:r>
      <w:r w:rsidRPr="00D979F6">
        <w:tab/>
        <w:t>Recepción</w:t>
      </w:r>
      <w:bookmarkEnd w:id="722"/>
      <w:bookmarkEnd w:id="723"/>
    </w:p>
    <w:p w14:paraId="0B166038" w14:textId="77777777" w:rsidR="001E6CAF" w:rsidRPr="00D979F6" w:rsidRDefault="001E6CAF" w:rsidP="001E6CAF">
      <w:pPr>
        <w:pStyle w:val="NORMAL12"/>
      </w:pPr>
      <w:r w:rsidRPr="00D979F6">
        <w:t>El resultado de esta operación será una superficie firme, limpia, libre de óxidos, pinturas, grasas y otros elementos indeseables.</w:t>
      </w:r>
    </w:p>
    <w:p w14:paraId="74760933" w14:textId="77777777" w:rsidR="001E6CAF" w:rsidRPr="00D979F6" w:rsidRDefault="001E6CAF" w:rsidP="001E6CAF">
      <w:pPr>
        <w:pStyle w:val="NORMAL12"/>
      </w:pPr>
      <w:r w:rsidRPr="00D979F6">
        <w:t xml:space="preserve">En concreto, en el caso del hormigón debe quedar una superficie limpia y lo suficientemente rugosa como para aplicar tratamientos posteriores. </w:t>
      </w:r>
    </w:p>
    <w:p w14:paraId="6F4BE6F4" w14:textId="77777777" w:rsidR="001E6CAF" w:rsidRPr="00D979F6" w:rsidRDefault="001E6CAF" w:rsidP="001E6CAF">
      <w:pPr>
        <w:pStyle w:val="NORMAL12"/>
      </w:pPr>
      <w:r w:rsidRPr="00D979F6">
        <w:t>Las prestaciones requeridas a la superficie como resultado de esta etapa son las siguientes:</w:t>
      </w:r>
    </w:p>
    <w:p w14:paraId="4DE8218A" w14:textId="77777777" w:rsidR="001E6CAF" w:rsidRPr="00D979F6" w:rsidRDefault="001E6CAF" w:rsidP="001E6CAF">
      <w:pPr>
        <w:pStyle w:val="NORMAL12"/>
        <w:numPr>
          <w:ilvl w:val="0"/>
          <w:numId w:val="61"/>
        </w:numPr>
      </w:pPr>
      <w:r w:rsidRPr="00D979F6">
        <w:t>Superficie soporte firme con resistencia a tracción superficial de 1N/mm</w:t>
      </w:r>
      <w:r w:rsidRPr="00E34DE7">
        <w:rPr>
          <w:vertAlign w:val="superscript"/>
        </w:rPr>
        <w:t>2</w:t>
      </w:r>
      <w:r w:rsidRPr="00D979F6">
        <w:t>. Esta resistencia puede evaluarse mediante el ensayo de adherencia por tracción (según norma ISO 4624) El ensayo consiste en pegar, con un adhesivo, una placa metálica de 50mm de diámetro y de al menos 10mm de espesor a la superficie de hormigón. Cuando el adhesivo ha endurecido, se realiza un corte del sistema con una broca hueca circular (en su defecto, mediante cortes perpendiculares con una radial) y se tira de la placa mediante un dinamómetro de lectura digital montado concéntricamente con esta. La tensión de tracción obtenida se considera la resistencia de adherencia (tracción) del hormigón. De no alcanzarse el valor requerido, será necesario eliminar la capa de hormigón hasta otra más profunda.</w:t>
      </w:r>
    </w:p>
    <w:p w14:paraId="5D5B918F" w14:textId="77777777" w:rsidR="001E6CAF" w:rsidRPr="00D979F6" w:rsidRDefault="001E6CAF" w:rsidP="001E6CAF">
      <w:pPr>
        <w:pStyle w:val="NORMAL12"/>
        <w:numPr>
          <w:ilvl w:val="0"/>
          <w:numId w:val="61"/>
        </w:numPr>
      </w:pPr>
      <w:r w:rsidRPr="00D979F6">
        <w:t>Porosidad del hormigón abierta.</w:t>
      </w:r>
    </w:p>
    <w:p w14:paraId="1CEC0068" w14:textId="77777777" w:rsidR="001E6CAF" w:rsidRPr="00D979F6" w:rsidRDefault="001E6CAF" w:rsidP="001E6CAF">
      <w:pPr>
        <w:pStyle w:val="NORMAL12"/>
        <w:numPr>
          <w:ilvl w:val="0"/>
          <w:numId w:val="61"/>
        </w:numPr>
      </w:pPr>
      <w:r w:rsidRPr="00D979F6">
        <w:t xml:space="preserve">Superficie de hormigón libre de recubrimientos y limpia con ausencia de grasas, aceites, hormigón dañado/carbonatado y restos de otras aplicaciones, que puedan restar adherencia a los productos que se apliquen sobre el mismo. </w:t>
      </w:r>
    </w:p>
    <w:p w14:paraId="24D84703" w14:textId="77777777" w:rsidR="001E6CAF" w:rsidRPr="00D979F6" w:rsidRDefault="001E6CAF" w:rsidP="001E6CAF">
      <w:pPr>
        <w:pStyle w:val="GTTTtuloTabla"/>
        <w:spacing w:before="120" w:after="120" w:line="360" w:lineRule="auto"/>
        <w:rPr>
          <w:b w:val="0"/>
        </w:rPr>
      </w:pPr>
      <w:r w:rsidRPr="00D979F6">
        <w:rPr>
          <w:b w:val="0"/>
        </w:rPr>
        <w:t>Rugosidad igual a 1mm.</w:t>
      </w:r>
    </w:p>
    <w:p w14:paraId="1828FE88" w14:textId="77777777" w:rsidR="001E6CAF" w:rsidRPr="00D979F6" w:rsidRDefault="001E6CAF" w:rsidP="001E6CAF">
      <w:pPr>
        <w:pStyle w:val="NORMAL12"/>
      </w:pPr>
      <w:r w:rsidRPr="00D979F6">
        <w:t xml:space="preserve">Será necesario efectuar una prueba en obra, en una zona representativa, donde se definirá la presión óptima, la distancia a la que debe proyectarse el abrasivo y la abertura de proyección. </w:t>
      </w:r>
    </w:p>
    <w:p w14:paraId="77B962F9" w14:textId="77777777" w:rsidR="001E6CAF" w:rsidRPr="00D979F6" w:rsidRDefault="001E6CAF" w:rsidP="001E6CAF">
      <w:pPr>
        <w:pStyle w:val="NORMAL12"/>
      </w:pPr>
      <w:r w:rsidRPr="00D979F6">
        <w:t xml:space="preserve">Las capas descubiertas no deben presentar nunca síntomas de abrasión. Las operaciones de saneado y limpieza se darán por terminadas cuando se compruebe que al pasar la mano no se aprecia existencia de zonas huecas o partículas mal adheridas, así como al golpear las superficies con un martillo o al rayar con un destornillador o herramienta punzante. </w:t>
      </w:r>
    </w:p>
    <w:p w14:paraId="1E16D3CF" w14:textId="77777777" w:rsidR="001E6CAF" w:rsidRPr="00D979F6" w:rsidRDefault="001E6CAF" w:rsidP="001E6CAF">
      <w:pPr>
        <w:pStyle w:val="NORMAL12"/>
      </w:pPr>
      <w:r w:rsidRPr="00D979F6">
        <w:t>Para todos los materiales procedentes de los chorreados y limpiezas será de aplicación el RD 105/2008 así como el resto de normativa vigente al respecto.</w:t>
      </w:r>
    </w:p>
    <w:p w14:paraId="6CC86EA9" w14:textId="77777777" w:rsidR="001E6CAF" w:rsidRPr="00D979F6" w:rsidRDefault="001E6CAF" w:rsidP="000313DD">
      <w:pPr>
        <w:pStyle w:val="TITU2"/>
      </w:pPr>
      <w:bookmarkStart w:id="724" w:name="_Toc448916046"/>
      <w:bookmarkStart w:id="725" w:name="_Toc404424"/>
      <w:r w:rsidRPr="00D979F6">
        <w:t>61</w:t>
      </w:r>
      <w:r>
        <w:t>9</w:t>
      </w:r>
      <w:r w:rsidRPr="00D979F6">
        <w:t>.7.</w:t>
      </w:r>
      <w:r>
        <w:t xml:space="preserve"> </w:t>
      </w:r>
      <w:r w:rsidRPr="00D979F6">
        <w:tab/>
        <w:t>Control de calidad</w:t>
      </w:r>
      <w:bookmarkEnd w:id="724"/>
      <w:bookmarkEnd w:id="725"/>
    </w:p>
    <w:p w14:paraId="604A27A7" w14:textId="77777777" w:rsidR="001E6CAF" w:rsidRPr="00D979F6" w:rsidRDefault="001E6CAF" w:rsidP="001E6CAF">
      <w:pPr>
        <w:pStyle w:val="NORMAL12"/>
      </w:pPr>
      <w:r w:rsidRPr="00D979F6">
        <w:t xml:space="preserve">Los puntos de control con respecto a la limpieza superficial serán los siguientes: </w:t>
      </w:r>
    </w:p>
    <w:tbl>
      <w:tblPr>
        <w:tblW w:w="4880" w:type="pct"/>
        <w:tblLayout w:type="fixed"/>
        <w:tblCellMar>
          <w:left w:w="70" w:type="dxa"/>
          <w:right w:w="70" w:type="dxa"/>
        </w:tblCellMar>
        <w:tblLook w:val="04A0" w:firstRow="1" w:lastRow="0" w:firstColumn="1" w:lastColumn="0" w:noHBand="0" w:noVBand="1"/>
      </w:tblPr>
      <w:tblGrid>
        <w:gridCol w:w="3932"/>
        <w:gridCol w:w="26"/>
        <w:gridCol w:w="5171"/>
      </w:tblGrid>
      <w:tr w:rsidR="001E6CAF" w:rsidRPr="00506238" w14:paraId="0C11AA47" w14:textId="77777777" w:rsidTr="001E6CAF">
        <w:trPr>
          <w:trHeight w:val="356"/>
          <w:tblHeader/>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7E01EFE" w14:textId="77777777" w:rsidR="001E6CAF" w:rsidRPr="00506238" w:rsidRDefault="001E6CAF" w:rsidP="008F328B">
            <w:pPr>
              <w:jc w:val="center"/>
              <w:rPr>
                <w:rFonts w:ascii="Arial" w:hAnsi="Arial" w:cs="Arial"/>
                <w:b/>
                <w:sz w:val="20"/>
                <w:szCs w:val="20"/>
              </w:rPr>
            </w:pPr>
            <w:r w:rsidRPr="00506238">
              <w:rPr>
                <w:rFonts w:ascii="Arial" w:hAnsi="Arial" w:cs="Arial"/>
                <w:b/>
                <w:sz w:val="20"/>
                <w:szCs w:val="20"/>
              </w:rPr>
              <w:t>C</w:t>
            </w:r>
            <w:r w:rsidR="008F328B" w:rsidRPr="00506238">
              <w:rPr>
                <w:rFonts w:ascii="Arial" w:hAnsi="Arial" w:cs="Arial"/>
                <w:b/>
                <w:sz w:val="20"/>
                <w:szCs w:val="20"/>
              </w:rPr>
              <w:t>ontrol previo</w:t>
            </w:r>
          </w:p>
        </w:tc>
      </w:tr>
      <w:tr w:rsidR="001E6CAF" w:rsidRPr="00506238" w14:paraId="5F79BDC5" w14:textId="77777777" w:rsidTr="001E6CAF">
        <w:trPr>
          <w:trHeight w:val="356"/>
        </w:trPr>
        <w:tc>
          <w:tcPr>
            <w:tcW w:w="2168" w:type="pct"/>
            <w:gridSpan w:val="2"/>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CBE1B85" w14:textId="77777777" w:rsidR="001E6CAF" w:rsidRPr="00506238" w:rsidRDefault="001E6CAF" w:rsidP="001E6CAF">
            <w:pPr>
              <w:jc w:val="center"/>
              <w:rPr>
                <w:rFonts w:ascii="Arial" w:hAnsi="Arial" w:cs="Arial"/>
                <w:b/>
                <w:sz w:val="20"/>
                <w:szCs w:val="20"/>
              </w:rPr>
            </w:pPr>
            <w:r w:rsidRPr="00506238">
              <w:rPr>
                <w:rFonts w:ascii="Arial" w:hAnsi="Arial" w:cs="Arial"/>
                <w:b/>
                <w:sz w:val="20"/>
                <w:szCs w:val="20"/>
              </w:rPr>
              <w:t>Características.</w:t>
            </w:r>
          </w:p>
        </w:tc>
        <w:tc>
          <w:tcPr>
            <w:tcW w:w="2832" w:type="pct"/>
            <w:tcBorders>
              <w:top w:val="single" w:sz="4" w:space="0" w:color="auto"/>
              <w:left w:val="nil"/>
              <w:bottom w:val="single" w:sz="4" w:space="0" w:color="auto"/>
              <w:right w:val="single" w:sz="4" w:space="0" w:color="auto"/>
            </w:tcBorders>
            <w:shd w:val="clear" w:color="auto" w:fill="FFFFFF"/>
            <w:noWrap/>
            <w:vAlign w:val="bottom"/>
            <w:hideMark/>
          </w:tcPr>
          <w:p w14:paraId="443279DC" w14:textId="77777777" w:rsidR="001E6CAF" w:rsidRPr="00506238" w:rsidRDefault="001E6CAF" w:rsidP="001E6CAF">
            <w:pPr>
              <w:jc w:val="center"/>
              <w:rPr>
                <w:rFonts w:ascii="Arial" w:hAnsi="Arial" w:cs="Arial"/>
                <w:b/>
                <w:sz w:val="20"/>
                <w:szCs w:val="20"/>
              </w:rPr>
            </w:pPr>
            <w:r w:rsidRPr="00506238">
              <w:rPr>
                <w:rFonts w:ascii="Arial" w:hAnsi="Arial" w:cs="Arial"/>
                <w:b/>
                <w:sz w:val="20"/>
                <w:szCs w:val="20"/>
              </w:rPr>
              <w:t>Tipo de control</w:t>
            </w:r>
          </w:p>
        </w:tc>
      </w:tr>
      <w:tr w:rsidR="001E6CAF" w:rsidRPr="00506238" w14:paraId="41C9DD14" w14:textId="77777777" w:rsidTr="001E6CAF">
        <w:trPr>
          <w:trHeight w:val="356"/>
        </w:trPr>
        <w:tc>
          <w:tcPr>
            <w:tcW w:w="2168" w:type="pct"/>
            <w:gridSpan w:val="2"/>
            <w:tcBorders>
              <w:top w:val="nil"/>
              <w:left w:val="single" w:sz="4" w:space="0" w:color="auto"/>
              <w:bottom w:val="single" w:sz="4" w:space="0" w:color="auto"/>
              <w:right w:val="single" w:sz="4" w:space="0" w:color="auto"/>
            </w:tcBorders>
            <w:noWrap/>
            <w:vAlign w:val="center"/>
            <w:hideMark/>
          </w:tcPr>
          <w:p w14:paraId="5C720808" w14:textId="77777777" w:rsidR="001E6CAF" w:rsidRPr="00506238" w:rsidRDefault="001E6CAF" w:rsidP="001E6CAF">
            <w:pPr>
              <w:pStyle w:val="Tabla1"/>
              <w:rPr>
                <w:sz w:val="20"/>
                <w:szCs w:val="20"/>
              </w:rPr>
            </w:pPr>
            <w:r w:rsidRPr="00506238">
              <w:rPr>
                <w:sz w:val="20"/>
                <w:szCs w:val="20"/>
              </w:rPr>
              <w:t xml:space="preserve">Comprobación de equipos y medios de limpieza </w:t>
            </w:r>
          </w:p>
        </w:tc>
        <w:tc>
          <w:tcPr>
            <w:tcW w:w="2832" w:type="pct"/>
            <w:tcBorders>
              <w:top w:val="nil"/>
              <w:left w:val="nil"/>
              <w:bottom w:val="single" w:sz="4" w:space="0" w:color="auto"/>
              <w:right w:val="single" w:sz="4" w:space="0" w:color="auto"/>
            </w:tcBorders>
            <w:noWrap/>
            <w:vAlign w:val="center"/>
            <w:hideMark/>
          </w:tcPr>
          <w:p w14:paraId="1DAAF01A" w14:textId="77777777" w:rsidR="001E6CAF" w:rsidRPr="00506238" w:rsidRDefault="001E6CAF" w:rsidP="00CF7652">
            <w:pPr>
              <w:pStyle w:val="Tabla1"/>
              <w:jc w:val="center"/>
              <w:rPr>
                <w:sz w:val="20"/>
                <w:szCs w:val="20"/>
              </w:rPr>
            </w:pPr>
            <w:r w:rsidRPr="00506238">
              <w:rPr>
                <w:sz w:val="20"/>
                <w:szCs w:val="20"/>
              </w:rPr>
              <w:t>Visual</w:t>
            </w:r>
          </w:p>
        </w:tc>
      </w:tr>
      <w:tr w:rsidR="001E6CAF" w:rsidRPr="00506238" w14:paraId="65CACEE7" w14:textId="77777777" w:rsidTr="001E6CAF">
        <w:trPr>
          <w:trHeight w:val="356"/>
        </w:trPr>
        <w:tc>
          <w:tcPr>
            <w:tcW w:w="2168" w:type="pct"/>
            <w:gridSpan w:val="2"/>
            <w:tcBorders>
              <w:top w:val="nil"/>
              <w:left w:val="single" w:sz="4" w:space="0" w:color="auto"/>
              <w:bottom w:val="single" w:sz="4" w:space="0" w:color="auto"/>
              <w:right w:val="single" w:sz="4" w:space="0" w:color="auto"/>
            </w:tcBorders>
            <w:noWrap/>
            <w:vAlign w:val="center"/>
            <w:hideMark/>
          </w:tcPr>
          <w:p w14:paraId="7833149D" w14:textId="77777777" w:rsidR="001E6CAF" w:rsidRPr="00506238" w:rsidRDefault="001E6CAF" w:rsidP="001E6CAF">
            <w:pPr>
              <w:pStyle w:val="Tabla1"/>
              <w:rPr>
                <w:sz w:val="20"/>
                <w:szCs w:val="20"/>
              </w:rPr>
            </w:pPr>
            <w:r w:rsidRPr="00506238">
              <w:rPr>
                <w:sz w:val="20"/>
                <w:szCs w:val="20"/>
              </w:rPr>
              <w:t>Inspección previa de la superficie, determinación del grado de herrumbre en superficies metálicas</w:t>
            </w:r>
          </w:p>
        </w:tc>
        <w:tc>
          <w:tcPr>
            <w:tcW w:w="2832" w:type="pct"/>
            <w:tcBorders>
              <w:top w:val="nil"/>
              <w:left w:val="nil"/>
              <w:bottom w:val="single" w:sz="4" w:space="0" w:color="auto"/>
              <w:right w:val="single" w:sz="4" w:space="0" w:color="auto"/>
            </w:tcBorders>
            <w:noWrap/>
            <w:vAlign w:val="center"/>
            <w:hideMark/>
          </w:tcPr>
          <w:p w14:paraId="5AAACEC2" w14:textId="77777777" w:rsidR="001E6CAF" w:rsidRPr="00506238" w:rsidRDefault="001E6CAF" w:rsidP="00CF7652">
            <w:pPr>
              <w:pStyle w:val="Tabla1"/>
              <w:jc w:val="center"/>
              <w:rPr>
                <w:sz w:val="20"/>
                <w:szCs w:val="20"/>
              </w:rPr>
            </w:pPr>
            <w:r w:rsidRPr="00506238">
              <w:rPr>
                <w:sz w:val="20"/>
                <w:szCs w:val="20"/>
              </w:rPr>
              <w:t>Visual</w:t>
            </w:r>
          </w:p>
        </w:tc>
      </w:tr>
      <w:tr w:rsidR="001E6CAF" w:rsidRPr="00506238" w14:paraId="6121691A" w14:textId="77777777" w:rsidTr="001E6CAF">
        <w:trPr>
          <w:trHeight w:val="356"/>
        </w:trPr>
        <w:tc>
          <w:tcPr>
            <w:tcW w:w="500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070595F" w14:textId="77777777" w:rsidR="001E6CAF" w:rsidRPr="00506238" w:rsidRDefault="001E6CAF" w:rsidP="00506238">
            <w:pPr>
              <w:pStyle w:val="Tabla1"/>
              <w:spacing w:line="240" w:lineRule="auto"/>
              <w:jc w:val="center"/>
              <w:rPr>
                <w:b/>
                <w:sz w:val="20"/>
                <w:szCs w:val="20"/>
              </w:rPr>
            </w:pPr>
            <w:r w:rsidRPr="00506238">
              <w:rPr>
                <w:b/>
                <w:sz w:val="20"/>
                <w:szCs w:val="20"/>
              </w:rPr>
              <w:t>C</w:t>
            </w:r>
            <w:r w:rsidR="00506238">
              <w:rPr>
                <w:b/>
                <w:sz w:val="20"/>
                <w:szCs w:val="20"/>
              </w:rPr>
              <w:t>ontrol de la ejecución de los trabajos</w:t>
            </w:r>
          </w:p>
        </w:tc>
      </w:tr>
      <w:tr w:rsidR="001E6CAF" w:rsidRPr="00506238" w14:paraId="27EF3E47" w14:textId="77777777" w:rsidTr="001E6CAF">
        <w:trPr>
          <w:trHeight w:val="356"/>
        </w:trPr>
        <w:tc>
          <w:tcPr>
            <w:tcW w:w="2154" w:type="pct"/>
            <w:tcBorders>
              <w:top w:val="nil"/>
              <w:left w:val="single" w:sz="4" w:space="0" w:color="auto"/>
              <w:bottom w:val="single" w:sz="4" w:space="0" w:color="auto"/>
              <w:right w:val="single" w:sz="4" w:space="0" w:color="auto"/>
            </w:tcBorders>
            <w:noWrap/>
            <w:vAlign w:val="center"/>
            <w:hideMark/>
          </w:tcPr>
          <w:p w14:paraId="59C9F13F" w14:textId="77777777" w:rsidR="001E6CAF" w:rsidRPr="00506238" w:rsidRDefault="001E6CAF" w:rsidP="001E6CAF">
            <w:pPr>
              <w:pStyle w:val="Tabla1"/>
              <w:rPr>
                <w:sz w:val="20"/>
                <w:szCs w:val="20"/>
              </w:rPr>
            </w:pPr>
            <w:r w:rsidRPr="00506238">
              <w:rPr>
                <w:sz w:val="20"/>
                <w:szCs w:val="20"/>
              </w:rPr>
              <w:t>Grado de limpieza alcanzado</w:t>
            </w:r>
          </w:p>
        </w:tc>
        <w:tc>
          <w:tcPr>
            <w:tcW w:w="2846" w:type="pct"/>
            <w:gridSpan w:val="2"/>
            <w:tcBorders>
              <w:top w:val="nil"/>
              <w:left w:val="nil"/>
              <w:bottom w:val="single" w:sz="4" w:space="0" w:color="auto"/>
              <w:right w:val="single" w:sz="4" w:space="0" w:color="auto"/>
            </w:tcBorders>
            <w:noWrap/>
            <w:vAlign w:val="center"/>
            <w:hideMark/>
          </w:tcPr>
          <w:p w14:paraId="3338DFD2" w14:textId="77777777" w:rsidR="001E6CAF" w:rsidRPr="00506238" w:rsidRDefault="001E6CAF" w:rsidP="001E6CAF">
            <w:pPr>
              <w:pStyle w:val="Tabla1"/>
              <w:rPr>
                <w:sz w:val="20"/>
                <w:szCs w:val="20"/>
              </w:rPr>
            </w:pPr>
            <w:r w:rsidRPr="00506238">
              <w:rPr>
                <w:sz w:val="20"/>
                <w:szCs w:val="20"/>
              </w:rPr>
              <w:t>ISO 8501</w:t>
            </w:r>
          </w:p>
        </w:tc>
      </w:tr>
    </w:tbl>
    <w:p w14:paraId="2034EC1B" w14:textId="77777777" w:rsidR="001E6CAF" w:rsidRPr="009B23E5" w:rsidRDefault="001E6CAF" w:rsidP="000313DD">
      <w:pPr>
        <w:pStyle w:val="TITU2"/>
      </w:pPr>
      <w:bookmarkStart w:id="726" w:name="_Toc399509028"/>
      <w:bookmarkStart w:id="727" w:name="_Toc400741566"/>
      <w:bookmarkStart w:id="728" w:name="_Toc448916047"/>
      <w:bookmarkStart w:id="729" w:name="_Toc404425"/>
      <w:r w:rsidRPr="00353B61">
        <w:t>61</w:t>
      </w:r>
      <w:r>
        <w:t>9</w:t>
      </w:r>
      <w:r w:rsidRPr="00353B61">
        <w:t>.8.</w:t>
      </w:r>
      <w:r>
        <w:t xml:space="preserve"> </w:t>
      </w:r>
      <w:r w:rsidRPr="00353B61">
        <w:t xml:space="preserve"> Tratamiento de no conformidades</w:t>
      </w:r>
      <w:bookmarkEnd w:id="726"/>
      <w:bookmarkEnd w:id="727"/>
      <w:bookmarkEnd w:id="728"/>
      <w:bookmarkEnd w:id="729"/>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39"/>
        <w:gridCol w:w="5171"/>
      </w:tblGrid>
      <w:tr w:rsidR="001E6CAF" w:rsidRPr="00506238" w14:paraId="6CF87E18" w14:textId="77777777" w:rsidTr="001E6CAF">
        <w:trPr>
          <w:tblHeader/>
        </w:trPr>
        <w:tc>
          <w:tcPr>
            <w:tcW w:w="3539" w:type="dxa"/>
            <w:shd w:val="clear" w:color="auto" w:fill="D9D9D9" w:themeFill="background1" w:themeFillShade="D9"/>
          </w:tcPr>
          <w:p w14:paraId="29529822" w14:textId="77777777" w:rsidR="001E6CAF" w:rsidRPr="00506238" w:rsidRDefault="001E6CAF" w:rsidP="001E6CAF">
            <w:pPr>
              <w:pStyle w:val="GTTTtuloTabla"/>
              <w:spacing w:before="120" w:after="120" w:line="240" w:lineRule="auto"/>
              <w:rPr>
                <w:rFonts w:ascii="Arial" w:hAnsi="Arial"/>
                <w:sz w:val="20"/>
                <w:szCs w:val="20"/>
              </w:rPr>
            </w:pPr>
            <w:r w:rsidRPr="00506238">
              <w:rPr>
                <w:rFonts w:ascii="Arial" w:hAnsi="Arial"/>
                <w:sz w:val="20"/>
                <w:szCs w:val="20"/>
              </w:rPr>
              <w:t>No Conformidades</w:t>
            </w:r>
          </w:p>
        </w:tc>
        <w:tc>
          <w:tcPr>
            <w:tcW w:w="5171" w:type="dxa"/>
            <w:shd w:val="clear" w:color="auto" w:fill="D9D9D9" w:themeFill="background1" w:themeFillShade="D9"/>
          </w:tcPr>
          <w:p w14:paraId="60A31F66" w14:textId="77777777" w:rsidR="001E6CAF" w:rsidRPr="00506238" w:rsidRDefault="001E6CAF" w:rsidP="001E6CAF">
            <w:pPr>
              <w:pStyle w:val="GTTTtuloTabla"/>
              <w:spacing w:before="120" w:after="120" w:line="240" w:lineRule="auto"/>
              <w:rPr>
                <w:rFonts w:ascii="Arial" w:hAnsi="Arial"/>
                <w:sz w:val="20"/>
                <w:szCs w:val="20"/>
              </w:rPr>
            </w:pPr>
            <w:r w:rsidRPr="00506238">
              <w:rPr>
                <w:rFonts w:ascii="Arial" w:hAnsi="Arial"/>
                <w:sz w:val="20"/>
                <w:szCs w:val="20"/>
              </w:rPr>
              <w:t>Tratamiento</w:t>
            </w:r>
            <w:r w:rsidR="00506238" w:rsidRPr="00506238">
              <w:rPr>
                <w:rFonts w:ascii="Arial" w:hAnsi="Arial"/>
                <w:sz w:val="20"/>
                <w:szCs w:val="20"/>
              </w:rPr>
              <w:t xml:space="preserve"> de no conformidades</w:t>
            </w:r>
          </w:p>
        </w:tc>
      </w:tr>
      <w:tr w:rsidR="001E6CAF" w:rsidRPr="00506238" w14:paraId="60A75504" w14:textId="77777777" w:rsidTr="001E6CAF">
        <w:tc>
          <w:tcPr>
            <w:tcW w:w="3539" w:type="dxa"/>
            <w:tcBorders>
              <w:bottom w:val="single" w:sz="4" w:space="0" w:color="auto"/>
            </w:tcBorders>
          </w:tcPr>
          <w:p w14:paraId="140A4A18" w14:textId="77777777" w:rsidR="001E6CAF" w:rsidRPr="00506238" w:rsidRDefault="001E6CAF" w:rsidP="001E6CAF">
            <w:pPr>
              <w:pStyle w:val="Tabla1"/>
              <w:rPr>
                <w:sz w:val="20"/>
                <w:szCs w:val="20"/>
              </w:rPr>
            </w:pPr>
            <w:r w:rsidRPr="00506238">
              <w:rPr>
                <w:sz w:val="20"/>
                <w:szCs w:val="20"/>
              </w:rPr>
              <w:t>Grado de calidad del chorreado:</w:t>
            </w:r>
          </w:p>
          <w:p w14:paraId="69C9396E" w14:textId="77777777" w:rsidR="001E6CAF" w:rsidRPr="00506238" w:rsidRDefault="001E6CAF" w:rsidP="001E6CAF">
            <w:pPr>
              <w:pStyle w:val="Tabla1"/>
              <w:rPr>
                <w:sz w:val="20"/>
                <w:szCs w:val="20"/>
              </w:rPr>
            </w:pPr>
            <w:r w:rsidRPr="00506238">
              <w:rPr>
                <w:sz w:val="20"/>
                <w:szCs w:val="20"/>
              </w:rPr>
              <w:t xml:space="preserve">Rugosidad insuficiente. </w:t>
            </w:r>
          </w:p>
          <w:p w14:paraId="67AD326F" w14:textId="77777777" w:rsidR="001E6CAF" w:rsidRPr="00506238" w:rsidRDefault="001E6CAF" w:rsidP="001E6CAF">
            <w:pPr>
              <w:pStyle w:val="Tabla1"/>
              <w:rPr>
                <w:sz w:val="20"/>
                <w:szCs w:val="20"/>
              </w:rPr>
            </w:pPr>
            <w:r w:rsidRPr="00506238">
              <w:rPr>
                <w:sz w:val="20"/>
                <w:szCs w:val="20"/>
              </w:rPr>
              <w:t xml:space="preserve">Existencia de impurezas u otros materiales. </w:t>
            </w:r>
          </w:p>
        </w:tc>
        <w:tc>
          <w:tcPr>
            <w:tcW w:w="5171" w:type="dxa"/>
            <w:tcBorders>
              <w:bottom w:val="single" w:sz="4" w:space="0" w:color="auto"/>
            </w:tcBorders>
          </w:tcPr>
          <w:p w14:paraId="7A74C7BA" w14:textId="77777777" w:rsidR="001E6CAF" w:rsidRPr="00506238" w:rsidRDefault="001E6CAF" w:rsidP="001E6CAF">
            <w:pPr>
              <w:pStyle w:val="Tabla1"/>
              <w:rPr>
                <w:sz w:val="20"/>
                <w:szCs w:val="20"/>
              </w:rPr>
            </w:pPr>
            <w:r w:rsidRPr="00506238">
              <w:rPr>
                <w:sz w:val="20"/>
                <w:szCs w:val="20"/>
              </w:rPr>
              <w:t>No se acepta, se corregirá y los gastos serán por cuenta del Contratista.</w:t>
            </w:r>
          </w:p>
          <w:p w14:paraId="6D1F30FD" w14:textId="77777777" w:rsidR="001E6CAF" w:rsidRPr="00506238" w:rsidRDefault="001E6CAF" w:rsidP="001E6CAF">
            <w:pPr>
              <w:pStyle w:val="Tabla1"/>
              <w:rPr>
                <w:sz w:val="20"/>
                <w:szCs w:val="20"/>
              </w:rPr>
            </w:pPr>
            <w:r w:rsidRPr="00506238">
              <w:rPr>
                <w:sz w:val="20"/>
                <w:szCs w:val="20"/>
              </w:rPr>
              <w:t xml:space="preserve">Se volverá a aplicar el chorreado de arena hasta conseguir un óptimo acabado de la superficie tratada. </w:t>
            </w:r>
          </w:p>
        </w:tc>
      </w:tr>
      <w:tr w:rsidR="001E6CAF" w:rsidRPr="00506238" w14:paraId="28E9A67D" w14:textId="77777777" w:rsidTr="001E6CAF">
        <w:tc>
          <w:tcPr>
            <w:tcW w:w="3539" w:type="dxa"/>
            <w:tcBorders>
              <w:bottom w:val="single" w:sz="4" w:space="0" w:color="auto"/>
            </w:tcBorders>
          </w:tcPr>
          <w:p w14:paraId="0E756514" w14:textId="77777777" w:rsidR="001E6CAF" w:rsidRPr="00506238" w:rsidRDefault="001E6CAF" w:rsidP="001E6CAF">
            <w:pPr>
              <w:pStyle w:val="Tabla1"/>
              <w:rPr>
                <w:sz w:val="20"/>
                <w:szCs w:val="20"/>
              </w:rPr>
            </w:pPr>
            <w:r w:rsidRPr="00506238">
              <w:rPr>
                <w:sz w:val="20"/>
                <w:szCs w:val="20"/>
              </w:rPr>
              <w:t xml:space="preserve">Erosión en el material a tratar. </w:t>
            </w:r>
          </w:p>
        </w:tc>
        <w:tc>
          <w:tcPr>
            <w:tcW w:w="5171" w:type="dxa"/>
            <w:tcBorders>
              <w:bottom w:val="single" w:sz="4" w:space="0" w:color="auto"/>
            </w:tcBorders>
          </w:tcPr>
          <w:p w14:paraId="48B375F3" w14:textId="77777777" w:rsidR="001E6CAF" w:rsidRPr="00506238" w:rsidRDefault="001E6CAF" w:rsidP="001E6CAF">
            <w:pPr>
              <w:pStyle w:val="Tabla1"/>
              <w:rPr>
                <w:sz w:val="20"/>
                <w:szCs w:val="20"/>
              </w:rPr>
            </w:pPr>
            <w:r w:rsidRPr="00506238">
              <w:rPr>
                <w:sz w:val="20"/>
                <w:szCs w:val="20"/>
              </w:rPr>
              <w:t>No se acepta, se corregirá y los gastos serán por cuenta del Contratista.</w:t>
            </w:r>
          </w:p>
          <w:p w14:paraId="27C0C245" w14:textId="77777777" w:rsidR="001E6CAF" w:rsidRPr="00506238" w:rsidRDefault="001E6CAF" w:rsidP="001E6CAF">
            <w:pPr>
              <w:pStyle w:val="Tabla1"/>
              <w:rPr>
                <w:sz w:val="20"/>
                <w:szCs w:val="20"/>
              </w:rPr>
            </w:pPr>
            <w:r w:rsidRPr="00506238">
              <w:rPr>
                <w:sz w:val="20"/>
                <w:szCs w:val="20"/>
              </w:rPr>
              <w:t xml:space="preserve">Supondrá una reducción del pago al 90% de lo especificado en el Cuadro de Precios Nº1. </w:t>
            </w:r>
          </w:p>
        </w:tc>
      </w:tr>
    </w:tbl>
    <w:p w14:paraId="26A4BF96" w14:textId="77777777" w:rsidR="00506238" w:rsidRDefault="00506238" w:rsidP="00AC205C">
      <w:pPr>
        <w:pStyle w:val="NORMAL12"/>
      </w:pPr>
      <w:bookmarkStart w:id="730" w:name="_Toc448916048"/>
    </w:p>
    <w:p w14:paraId="19569D7C" w14:textId="77777777" w:rsidR="001E6CAF" w:rsidRPr="00D979F6" w:rsidRDefault="001E6CAF" w:rsidP="000313DD">
      <w:pPr>
        <w:pStyle w:val="TITU2"/>
      </w:pPr>
      <w:bookmarkStart w:id="731" w:name="_Toc404426"/>
      <w:r w:rsidRPr="00D979F6">
        <w:lastRenderedPageBreak/>
        <w:t>61</w:t>
      </w:r>
      <w:r>
        <w:t>9</w:t>
      </w:r>
      <w:r w:rsidRPr="00D979F6">
        <w:t>.9.</w:t>
      </w:r>
      <w:r>
        <w:t xml:space="preserve"> </w:t>
      </w:r>
      <w:r w:rsidRPr="00D979F6">
        <w:tab/>
        <w:t>Medición y abono</w:t>
      </w:r>
      <w:bookmarkEnd w:id="730"/>
      <w:bookmarkEnd w:id="731"/>
    </w:p>
    <w:p w14:paraId="2AE4562B" w14:textId="77777777" w:rsidR="001E6CAF" w:rsidRPr="00D979F6" w:rsidRDefault="001E6CAF" w:rsidP="001E6CAF">
      <w:pPr>
        <w:pStyle w:val="NORMAL12"/>
      </w:pPr>
      <w:r w:rsidRPr="00D979F6">
        <w:t>La medición y abono de las unidades de chorreado del hormigón se realizará conforme a las siguientes prescripciones: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1E6CAF" w:rsidRPr="0051634D" w14:paraId="5240EFCA" w14:textId="77777777" w:rsidTr="001E6CAF">
        <w:tc>
          <w:tcPr>
            <w:tcW w:w="2905" w:type="dxa"/>
            <w:vAlign w:val="center"/>
          </w:tcPr>
          <w:p w14:paraId="14CA8B56" w14:textId="77777777" w:rsidR="001E6CAF" w:rsidRPr="002005BA" w:rsidRDefault="001E6CAF" w:rsidP="00506238">
            <w:pPr>
              <w:pStyle w:val="Tabla"/>
              <w:rPr>
                <w:b/>
              </w:rPr>
            </w:pPr>
            <w:r w:rsidRPr="002005BA">
              <w:rPr>
                <w:b/>
              </w:rPr>
              <w:t>Unidad de medida</w:t>
            </w:r>
          </w:p>
        </w:tc>
        <w:tc>
          <w:tcPr>
            <w:tcW w:w="5739" w:type="dxa"/>
            <w:vAlign w:val="center"/>
          </w:tcPr>
          <w:p w14:paraId="3950224E" w14:textId="77777777" w:rsidR="001E6CAF" w:rsidRPr="002005BA" w:rsidRDefault="001E6CAF" w:rsidP="00B71B0B">
            <w:pPr>
              <w:pStyle w:val="LCATabla"/>
              <w:keepLines/>
              <w:jc w:val="both"/>
              <w:rPr>
                <w:rFonts w:ascii="Arial" w:hAnsi="Arial"/>
                <w:sz w:val="20"/>
              </w:rPr>
            </w:pPr>
            <w:r w:rsidRPr="002005BA">
              <w:rPr>
                <w:rFonts w:ascii="Arial" w:hAnsi="Arial"/>
                <w:sz w:val="20"/>
              </w:rPr>
              <w:t>Metros cuadrados (m</w:t>
            </w:r>
            <w:r w:rsidRPr="00C91A29">
              <w:rPr>
                <w:rFonts w:ascii="Arial" w:hAnsi="Arial"/>
                <w:sz w:val="20"/>
                <w:vertAlign w:val="superscript"/>
              </w:rPr>
              <w:t>2</w:t>
            </w:r>
            <w:r w:rsidRPr="002005BA">
              <w:rPr>
                <w:rFonts w:ascii="Arial" w:hAnsi="Arial"/>
                <w:sz w:val="20"/>
              </w:rPr>
              <w:t xml:space="preserve">). </w:t>
            </w:r>
          </w:p>
        </w:tc>
      </w:tr>
      <w:tr w:rsidR="001E6CAF" w:rsidRPr="0051634D" w14:paraId="500067E8" w14:textId="77777777" w:rsidTr="001E6CAF">
        <w:tc>
          <w:tcPr>
            <w:tcW w:w="2905" w:type="dxa"/>
            <w:vAlign w:val="center"/>
          </w:tcPr>
          <w:p w14:paraId="203BEFFA" w14:textId="77777777" w:rsidR="001E6CAF" w:rsidRPr="002005BA" w:rsidRDefault="001E6CAF" w:rsidP="00506238">
            <w:pPr>
              <w:pStyle w:val="Tabla"/>
              <w:rPr>
                <w:b/>
              </w:rPr>
            </w:pPr>
            <w:r w:rsidRPr="002005BA">
              <w:rPr>
                <w:b/>
              </w:rPr>
              <w:t>Grado de precisión</w:t>
            </w:r>
          </w:p>
        </w:tc>
        <w:tc>
          <w:tcPr>
            <w:tcW w:w="5739" w:type="dxa"/>
            <w:vAlign w:val="center"/>
          </w:tcPr>
          <w:p w14:paraId="36720A42" w14:textId="77777777" w:rsidR="001E6CAF" w:rsidRPr="002005BA" w:rsidRDefault="001E6CAF" w:rsidP="00B71B0B">
            <w:pPr>
              <w:pStyle w:val="LCATabla"/>
              <w:keepLines/>
              <w:jc w:val="both"/>
              <w:rPr>
                <w:rFonts w:ascii="Arial" w:hAnsi="Arial"/>
                <w:sz w:val="20"/>
              </w:rPr>
            </w:pPr>
            <w:r w:rsidRPr="002005BA">
              <w:rPr>
                <w:rFonts w:ascii="Arial" w:hAnsi="Arial"/>
                <w:sz w:val="20"/>
              </w:rPr>
              <w:t>Dos decimales.</w:t>
            </w:r>
          </w:p>
        </w:tc>
      </w:tr>
      <w:tr w:rsidR="001E6CAF" w:rsidRPr="0051634D" w14:paraId="5A7F3894" w14:textId="77777777" w:rsidTr="001E6CAF">
        <w:tc>
          <w:tcPr>
            <w:tcW w:w="2905" w:type="dxa"/>
            <w:vAlign w:val="center"/>
          </w:tcPr>
          <w:p w14:paraId="3A9F18A2" w14:textId="77777777" w:rsidR="001E6CAF" w:rsidRPr="002005BA" w:rsidRDefault="001E6CAF" w:rsidP="00506238">
            <w:pPr>
              <w:pStyle w:val="Tabla"/>
              <w:rPr>
                <w:b/>
              </w:rPr>
            </w:pPr>
            <w:r w:rsidRPr="002005BA">
              <w:rPr>
                <w:b/>
              </w:rPr>
              <w:t>Forma de medición</w:t>
            </w:r>
          </w:p>
        </w:tc>
        <w:tc>
          <w:tcPr>
            <w:tcW w:w="5739" w:type="dxa"/>
            <w:vAlign w:val="center"/>
          </w:tcPr>
          <w:p w14:paraId="0480C12B" w14:textId="77777777" w:rsidR="001E6CAF" w:rsidRPr="002005BA" w:rsidRDefault="001E6CAF" w:rsidP="00B71B0B">
            <w:pPr>
              <w:pStyle w:val="LCATabla"/>
              <w:keepLines/>
              <w:jc w:val="both"/>
              <w:rPr>
                <w:rFonts w:ascii="Arial" w:hAnsi="Arial"/>
                <w:sz w:val="20"/>
              </w:rPr>
            </w:pPr>
            <w:r w:rsidRPr="00D979F6">
              <w:rPr>
                <w:rFonts w:ascii="Arial" w:hAnsi="Arial"/>
                <w:sz w:val="20"/>
              </w:rPr>
              <w:t>Metros cuadrados (m</w:t>
            </w:r>
            <w:r w:rsidRPr="00C91A29">
              <w:rPr>
                <w:rFonts w:ascii="Arial" w:hAnsi="Arial"/>
                <w:sz w:val="20"/>
                <w:vertAlign w:val="superscript"/>
              </w:rPr>
              <w:t>2</w:t>
            </w:r>
            <w:r w:rsidRPr="00D979F6">
              <w:rPr>
                <w:rFonts w:ascii="Arial" w:hAnsi="Arial"/>
                <w:sz w:val="20"/>
              </w:rPr>
              <w:t xml:space="preserve">) realmente chorreados en obra, medidos sobre las superficies teóricas expuestas de perfiles y palastros </w:t>
            </w:r>
            <w:r w:rsidR="00D93E76" w:rsidRPr="00D979F6">
              <w:rPr>
                <w:rFonts w:ascii="Arial" w:hAnsi="Arial"/>
                <w:sz w:val="20"/>
              </w:rPr>
              <w:t>deducidos</w:t>
            </w:r>
            <w:r w:rsidRPr="00D979F6">
              <w:rPr>
                <w:rFonts w:ascii="Arial" w:hAnsi="Arial"/>
                <w:sz w:val="20"/>
              </w:rPr>
              <w:t xml:space="preserve"> de los planos de proyecto</w:t>
            </w:r>
            <w:r>
              <w:rPr>
                <w:sz w:val="20"/>
              </w:rPr>
              <w:t>.</w:t>
            </w:r>
          </w:p>
        </w:tc>
      </w:tr>
      <w:tr w:rsidR="001E6CAF" w:rsidRPr="0051634D" w14:paraId="0A0C4457" w14:textId="77777777" w:rsidTr="001E6CAF">
        <w:tc>
          <w:tcPr>
            <w:tcW w:w="2905" w:type="dxa"/>
            <w:vAlign w:val="center"/>
          </w:tcPr>
          <w:p w14:paraId="5DAA7B2D" w14:textId="77777777" w:rsidR="001E6CAF" w:rsidRPr="002005BA" w:rsidRDefault="001E6CAF" w:rsidP="00506238">
            <w:pPr>
              <w:pStyle w:val="Tabla"/>
              <w:rPr>
                <w:b/>
              </w:rPr>
            </w:pPr>
            <w:r w:rsidRPr="002005BA">
              <w:rPr>
                <w:b/>
              </w:rPr>
              <w:t>Abono</w:t>
            </w:r>
          </w:p>
        </w:tc>
        <w:tc>
          <w:tcPr>
            <w:tcW w:w="5739" w:type="dxa"/>
            <w:vAlign w:val="center"/>
          </w:tcPr>
          <w:p w14:paraId="70445F63" w14:textId="77777777" w:rsidR="001E6CAF" w:rsidRPr="002005BA" w:rsidRDefault="001E6CAF" w:rsidP="00B71B0B">
            <w:pPr>
              <w:pStyle w:val="LCATabla"/>
              <w:keepLines/>
              <w:jc w:val="both"/>
              <w:rPr>
                <w:rFonts w:ascii="Arial" w:hAnsi="Arial"/>
                <w:sz w:val="20"/>
              </w:rPr>
            </w:pPr>
            <w:r w:rsidRPr="002005BA">
              <w:rPr>
                <w:rFonts w:ascii="Arial" w:hAnsi="Arial"/>
                <w:sz w:val="20"/>
              </w:rPr>
              <w:t>Se efectuará cuando se realice la aceptación.</w:t>
            </w:r>
          </w:p>
        </w:tc>
      </w:tr>
      <w:tr w:rsidR="001E6CAF" w:rsidRPr="0051634D" w14:paraId="2A172510" w14:textId="77777777" w:rsidTr="001E6CAF">
        <w:tc>
          <w:tcPr>
            <w:tcW w:w="2905" w:type="dxa"/>
            <w:vAlign w:val="center"/>
          </w:tcPr>
          <w:p w14:paraId="13A67C53" w14:textId="77777777" w:rsidR="001E6CAF" w:rsidRPr="002005BA" w:rsidRDefault="001E6CAF" w:rsidP="00506238">
            <w:pPr>
              <w:pStyle w:val="Tabla"/>
              <w:rPr>
                <w:b/>
              </w:rPr>
            </w:pPr>
            <w:r w:rsidRPr="002005BA">
              <w:rPr>
                <w:b/>
              </w:rPr>
              <w:t>Criterios complementarios</w:t>
            </w:r>
          </w:p>
        </w:tc>
        <w:tc>
          <w:tcPr>
            <w:tcW w:w="5739" w:type="dxa"/>
            <w:vAlign w:val="center"/>
          </w:tcPr>
          <w:p w14:paraId="74FC30E6" w14:textId="77777777" w:rsidR="001E6CAF" w:rsidRDefault="001E6CAF" w:rsidP="00B71B0B">
            <w:pPr>
              <w:pStyle w:val="LCATabla"/>
              <w:keepLines/>
              <w:jc w:val="both"/>
              <w:rPr>
                <w:rFonts w:ascii="Arial" w:hAnsi="Arial"/>
                <w:sz w:val="20"/>
              </w:rPr>
            </w:pPr>
            <w:r w:rsidRPr="002005BA">
              <w:rPr>
                <w:rFonts w:ascii="Arial" w:hAnsi="Arial"/>
                <w:sz w:val="20"/>
              </w:rPr>
              <w:t>Los precios incluyen todos los materiales, mano de obra, maquinaria y medios auxiliares necesarios para la correcta ejecución de la unidad.</w:t>
            </w:r>
          </w:p>
          <w:p w14:paraId="09ECE2F7" w14:textId="77777777" w:rsidR="001E6CAF" w:rsidRPr="002005BA" w:rsidRDefault="001E6CAF" w:rsidP="00B71B0B">
            <w:pPr>
              <w:pStyle w:val="LCATabla"/>
              <w:keepLines/>
              <w:jc w:val="both"/>
              <w:rPr>
                <w:rFonts w:ascii="Arial" w:hAnsi="Arial"/>
                <w:sz w:val="20"/>
              </w:rPr>
            </w:pPr>
            <w:r w:rsidRPr="00D979F6">
              <w:rPr>
                <w:rFonts w:ascii="Arial" w:hAnsi="Arial"/>
                <w:sz w:val="20"/>
              </w:rPr>
              <w:t xml:space="preserve">La repetición sucesiva del chorreado en superficies previamente tratadas, a fin de alcanzar el grado de limpieza y preparación de superficie </w:t>
            </w:r>
            <w:r w:rsidR="00D93E76" w:rsidRPr="00D979F6">
              <w:rPr>
                <w:rFonts w:ascii="Arial" w:hAnsi="Arial"/>
                <w:sz w:val="20"/>
              </w:rPr>
              <w:t>requerida</w:t>
            </w:r>
            <w:r w:rsidRPr="00D979F6">
              <w:rPr>
                <w:rFonts w:ascii="Arial" w:hAnsi="Arial"/>
                <w:sz w:val="20"/>
              </w:rPr>
              <w:t xml:space="preserve"> en el Pliego, no es objeto de medición y abono adicional.</w:t>
            </w:r>
          </w:p>
          <w:p w14:paraId="5FCBD780" w14:textId="77777777" w:rsidR="001E6CAF" w:rsidRPr="002005BA" w:rsidRDefault="001E6CAF" w:rsidP="00B71B0B">
            <w:pPr>
              <w:pStyle w:val="LCATabla"/>
              <w:keepLines/>
              <w:jc w:val="both"/>
              <w:rPr>
                <w:rFonts w:ascii="Arial" w:hAnsi="Arial"/>
                <w:sz w:val="20"/>
              </w:rPr>
            </w:pPr>
            <w:r w:rsidRPr="002005BA">
              <w:rPr>
                <w:rFonts w:ascii="Arial" w:hAnsi="Arial"/>
                <w:sz w:val="20"/>
              </w:rPr>
              <w:t>Incluye las protecciones a disponer para evitar la dispersión de polvo y la recogida de la arena proyectada.</w:t>
            </w:r>
          </w:p>
        </w:tc>
      </w:tr>
    </w:tbl>
    <w:p w14:paraId="54F5AF4D" w14:textId="77777777" w:rsidR="00D50726" w:rsidRPr="00D50726" w:rsidRDefault="00D50726" w:rsidP="00D50726">
      <w:pPr>
        <w:pStyle w:val="TITU1"/>
        <w:rPr>
          <w:lang w:val="es-ES_tradnl"/>
        </w:rPr>
      </w:pPr>
      <w:bookmarkStart w:id="732" w:name="_Toc404427"/>
      <w:r w:rsidRPr="00574F61">
        <w:rPr>
          <w:lang w:val="es-ES_tradnl"/>
        </w:rPr>
        <w:lastRenderedPageBreak/>
        <w:t>Artículo 620. Perfiles y chapas de acero laminadas en caliente, para estructuras metálicas</w:t>
      </w:r>
      <w:bookmarkEnd w:id="667"/>
      <w:bookmarkEnd w:id="732"/>
    </w:p>
    <w:p w14:paraId="70530AAA" w14:textId="77777777" w:rsidR="00D50726" w:rsidRPr="008F328B" w:rsidRDefault="00D50726" w:rsidP="005609D6">
      <w:pPr>
        <w:spacing w:before="120" w:after="120" w:line="360" w:lineRule="auto"/>
        <w:jc w:val="both"/>
        <w:rPr>
          <w:rFonts w:ascii="Arial" w:hAnsi="Arial"/>
          <w:szCs w:val="20"/>
        </w:rPr>
      </w:pPr>
      <w:bookmarkStart w:id="733" w:name="_Toc399509002"/>
      <w:bookmarkStart w:id="734" w:name="_Toc411505883"/>
      <w:r w:rsidRPr="008F328B">
        <w:rPr>
          <w:rFonts w:ascii="Arial" w:hAnsi="Arial"/>
          <w:szCs w:val="20"/>
        </w:rPr>
        <w:t>Excepto para lo especificado en el presente Pliego de Prescripciones Técnicas particulares se seguirá lo prescrito en los vigentes artículos 620 y 640 del PG-3 y la EAE, instrucción de Acero Estructural.</w:t>
      </w:r>
    </w:p>
    <w:p w14:paraId="3CCD18F7" w14:textId="77777777" w:rsidR="00D50726" w:rsidRPr="002D78A2" w:rsidRDefault="00D50726" w:rsidP="000313DD">
      <w:pPr>
        <w:pStyle w:val="TITU2"/>
        <w:rPr>
          <w:lang w:val="es-ES_tradnl"/>
        </w:rPr>
      </w:pPr>
      <w:bookmarkStart w:id="735" w:name="_Toc433280475"/>
      <w:bookmarkStart w:id="736" w:name="_Toc448916058"/>
      <w:bookmarkStart w:id="737" w:name="_Toc404428"/>
      <w:r w:rsidRPr="002D78A2">
        <w:rPr>
          <w:lang w:val="es-ES_tradnl"/>
        </w:rPr>
        <w:t>620.1.</w:t>
      </w:r>
      <w:r w:rsidR="008F328B">
        <w:rPr>
          <w:lang w:val="es-ES_tradnl"/>
        </w:rPr>
        <w:t xml:space="preserve"> </w:t>
      </w:r>
      <w:r w:rsidRPr="002D78A2">
        <w:rPr>
          <w:lang w:val="es-ES_tradnl"/>
        </w:rPr>
        <w:tab/>
        <w:t>Definición</w:t>
      </w:r>
      <w:bookmarkEnd w:id="733"/>
      <w:bookmarkEnd w:id="734"/>
      <w:bookmarkEnd w:id="735"/>
      <w:bookmarkEnd w:id="736"/>
      <w:bookmarkEnd w:id="737"/>
    </w:p>
    <w:p w14:paraId="2343834A"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Para la construcción de las chapas y perfiles que han de constituir la estructura</w:t>
      </w:r>
      <w:r>
        <w:rPr>
          <w:rFonts w:ascii="Arial" w:hAnsi="Arial"/>
          <w:szCs w:val="20"/>
        </w:rPr>
        <w:t xml:space="preserve"> mixta de ampliación del Paso Inferior de la SI-2 en el </w:t>
      </w:r>
      <w:proofErr w:type="spellStart"/>
      <w:r>
        <w:rPr>
          <w:rFonts w:ascii="Arial" w:hAnsi="Arial"/>
          <w:szCs w:val="20"/>
        </w:rPr>
        <w:t>pk</w:t>
      </w:r>
      <w:proofErr w:type="spellEnd"/>
      <w:r>
        <w:rPr>
          <w:rFonts w:ascii="Arial" w:hAnsi="Arial"/>
          <w:szCs w:val="20"/>
        </w:rPr>
        <w:t xml:space="preserve">. 2+275 </w:t>
      </w:r>
      <w:r w:rsidRPr="00FC7A5B">
        <w:rPr>
          <w:rFonts w:ascii="Arial" w:hAnsi="Arial"/>
          <w:szCs w:val="20"/>
        </w:rPr>
        <w:t>se empleará acero laminado S275J0 pintado.</w:t>
      </w:r>
    </w:p>
    <w:p w14:paraId="70107344"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Se definen como perfiles y chapas de acero laminados en caliente, a los productos laminados en caliente, de espesor mayor que tres milímetros (3 mm), de sección transversal constante, distintos según ésta, empleados en las estructuras y elementos de acero estructural.</w:t>
      </w:r>
    </w:p>
    <w:p w14:paraId="4222D92F" w14:textId="77777777" w:rsidR="00D50726" w:rsidRPr="00FC7A5B" w:rsidRDefault="00D50726" w:rsidP="008F328B">
      <w:pPr>
        <w:spacing w:before="120" w:after="120" w:line="360" w:lineRule="auto"/>
        <w:jc w:val="both"/>
        <w:rPr>
          <w:rFonts w:ascii="Arial" w:hAnsi="Arial"/>
          <w:szCs w:val="20"/>
        </w:rPr>
      </w:pPr>
      <w:r w:rsidRPr="00FC7A5B">
        <w:rPr>
          <w:rFonts w:ascii="Arial" w:hAnsi="Arial"/>
          <w:szCs w:val="20"/>
        </w:rPr>
        <w:t>La ejecución de la unidad de obra comprende las operaciones siguientes:</w:t>
      </w:r>
    </w:p>
    <w:p w14:paraId="4DF2C60D" w14:textId="77777777" w:rsidR="00D50726" w:rsidRPr="00D50726" w:rsidRDefault="00D50726" w:rsidP="00E01981">
      <w:pPr>
        <w:pStyle w:val="NORMAL12"/>
        <w:numPr>
          <w:ilvl w:val="0"/>
          <w:numId w:val="71"/>
        </w:numPr>
      </w:pPr>
      <w:r w:rsidRPr="00D50726">
        <w:t>Suministro del acero.</w:t>
      </w:r>
    </w:p>
    <w:p w14:paraId="75A4C2BA" w14:textId="77777777" w:rsidR="00D50726" w:rsidRPr="00D50726" w:rsidRDefault="00D50726" w:rsidP="00E01981">
      <w:pPr>
        <w:pStyle w:val="NORMAL12"/>
        <w:numPr>
          <w:ilvl w:val="0"/>
          <w:numId w:val="71"/>
        </w:numPr>
      </w:pPr>
      <w:r w:rsidRPr="00D50726">
        <w:t>Construcción de la estructura metálica en taller.</w:t>
      </w:r>
    </w:p>
    <w:p w14:paraId="4CCF49E3" w14:textId="77777777" w:rsidR="00D50726" w:rsidRPr="00D50726" w:rsidRDefault="00D50726" w:rsidP="00E01981">
      <w:pPr>
        <w:pStyle w:val="NORMAL12"/>
        <w:numPr>
          <w:ilvl w:val="0"/>
          <w:numId w:val="71"/>
        </w:numPr>
      </w:pPr>
      <w:r w:rsidRPr="00D50726">
        <w:t>Transporte al tajo de obra.</w:t>
      </w:r>
    </w:p>
    <w:p w14:paraId="47526E18" w14:textId="77777777" w:rsidR="00D50726" w:rsidRPr="00D50726" w:rsidRDefault="00D50726" w:rsidP="00E01981">
      <w:pPr>
        <w:pStyle w:val="NORMAL12"/>
        <w:numPr>
          <w:ilvl w:val="0"/>
          <w:numId w:val="71"/>
        </w:numPr>
      </w:pPr>
      <w:r w:rsidRPr="00D50726">
        <w:t>Ensamblaje de tramos y elementos en el parque de fabricación en obra.</w:t>
      </w:r>
    </w:p>
    <w:p w14:paraId="40566663" w14:textId="77777777" w:rsidR="00D50726" w:rsidRPr="00D50726" w:rsidRDefault="00D50726" w:rsidP="00E01981">
      <w:pPr>
        <w:pStyle w:val="NORMAL12"/>
        <w:numPr>
          <w:ilvl w:val="0"/>
          <w:numId w:val="71"/>
        </w:numPr>
      </w:pPr>
      <w:r w:rsidRPr="00D50726">
        <w:t>Colocación del tablero según planos.</w:t>
      </w:r>
    </w:p>
    <w:p w14:paraId="4DA2AB5F" w14:textId="77777777" w:rsidR="00D50726" w:rsidRPr="00D50726" w:rsidRDefault="00D50726" w:rsidP="00E01981">
      <w:pPr>
        <w:pStyle w:val="NORMAL12"/>
        <w:numPr>
          <w:ilvl w:val="0"/>
          <w:numId w:val="71"/>
        </w:numPr>
      </w:pPr>
      <w:r w:rsidRPr="00D50726">
        <w:t>Una vez colocado el tablero definido en el proyecto, todas las operaciones y los medios auxiliares necesarios hasta la completa terminación de la estructura metálica según planos.</w:t>
      </w:r>
    </w:p>
    <w:p w14:paraId="74953952" w14:textId="77777777" w:rsidR="00D50726" w:rsidRPr="00D50726" w:rsidRDefault="00D50726" w:rsidP="00E01981">
      <w:pPr>
        <w:pStyle w:val="NORMAL12"/>
        <w:numPr>
          <w:ilvl w:val="0"/>
          <w:numId w:val="71"/>
        </w:numPr>
      </w:pPr>
      <w:r w:rsidRPr="00D50726">
        <w:t>Todas las operaciones previstas en el Plan de Control de Calidad definido en el Pliego.</w:t>
      </w:r>
    </w:p>
    <w:p w14:paraId="1BC4E884" w14:textId="77777777" w:rsidR="00D50726" w:rsidRPr="00D50726" w:rsidRDefault="00D50726" w:rsidP="00E01981">
      <w:pPr>
        <w:pStyle w:val="NORMAL12"/>
        <w:numPr>
          <w:ilvl w:val="0"/>
          <w:numId w:val="71"/>
        </w:numPr>
      </w:pPr>
      <w:r w:rsidRPr="00D50726">
        <w:t>Pintura protectora anticorrosiva definida en el presente Pliego.</w:t>
      </w:r>
    </w:p>
    <w:p w14:paraId="6C18CED1" w14:textId="77777777" w:rsidR="00D50726" w:rsidRPr="00FC7A5B" w:rsidRDefault="00D50726" w:rsidP="00D50726">
      <w:pPr>
        <w:spacing w:before="120" w:after="120" w:line="360" w:lineRule="auto"/>
        <w:ind w:firstLine="851"/>
        <w:jc w:val="both"/>
        <w:rPr>
          <w:rFonts w:ascii="Arial" w:hAnsi="Arial"/>
          <w:szCs w:val="20"/>
        </w:rPr>
      </w:pPr>
    </w:p>
    <w:p w14:paraId="0EC310FB"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Se incluye dentro de esta unidad el Programa de Control de Calidad que debe seguirse durante la ejecución de la estructura metálica, y se establece la existencia durante la ejecución de un Laboratorio Responsable del Control, independiente de los estamentos de autocontrol del taller metálico, que se responsabilizará del seguimiento de la ejecución de la estructura metálica y del cumplimiento satisfactorio de todos los controles especificados. Este Laboratorio Responsable del Cont</w:t>
      </w:r>
      <w:r>
        <w:rPr>
          <w:rFonts w:ascii="Arial" w:hAnsi="Arial"/>
          <w:szCs w:val="20"/>
        </w:rPr>
        <w:t>rol deberá ser además el que re</w:t>
      </w:r>
      <w:r w:rsidRPr="00FC7A5B">
        <w:rPr>
          <w:rFonts w:ascii="Arial" w:hAnsi="Arial"/>
          <w:szCs w:val="20"/>
        </w:rPr>
        <w:t>alice los ensayos de control que se establezcan, aunqu</w:t>
      </w:r>
      <w:r>
        <w:rPr>
          <w:rFonts w:ascii="Arial" w:hAnsi="Arial"/>
          <w:szCs w:val="20"/>
        </w:rPr>
        <w:t>e, siempre bajo su responsabili</w:t>
      </w:r>
      <w:r w:rsidRPr="00FC7A5B">
        <w:rPr>
          <w:rFonts w:ascii="Arial" w:hAnsi="Arial"/>
          <w:szCs w:val="20"/>
        </w:rPr>
        <w:t xml:space="preserve">dad, podrá asumir también si lo considera oportuno los resultados de los ensayos que realice el autocontrol del taller metálico, al objeto de evitar una duplicidad excesiva de los trabajos. En todo caso, al menos el 20% de los ensayos tomados del autocontrol deberán ser contrastados por ensayos específicos del Laboratorio Responsable del Control. El coste de este Laboratorio Responsable del Control y de todos los ensayos previstos en el Programa de Control </w:t>
      </w:r>
      <w:r w:rsidR="00217216" w:rsidRPr="00FC7A5B">
        <w:rPr>
          <w:rFonts w:ascii="Arial" w:hAnsi="Arial"/>
          <w:szCs w:val="20"/>
        </w:rPr>
        <w:t>está</w:t>
      </w:r>
      <w:r w:rsidRPr="00FC7A5B">
        <w:rPr>
          <w:rFonts w:ascii="Arial" w:hAnsi="Arial"/>
          <w:szCs w:val="20"/>
        </w:rPr>
        <w:t xml:space="preserve"> </w:t>
      </w:r>
      <w:r w:rsidR="00217216" w:rsidRPr="00FC7A5B">
        <w:rPr>
          <w:rFonts w:ascii="Arial" w:hAnsi="Arial"/>
          <w:szCs w:val="20"/>
        </w:rPr>
        <w:t>incluido</w:t>
      </w:r>
      <w:r w:rsidRPr="00FC7A5B">
        <w:rPr>
          <w:rFonts w:ascii="Arial" w:hAnsi="Arial"/>
          <w:szCs w:val="20"/>
        </w:rPr>
        <w:t xml:space="preserve"> en el precio de la unidad de obra.</w:t>
      </w:r>
    </w:p>
    <w:p w14:paraId="6C6F13C5"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El Laboratorio Responsable del Control acreditará una experiencia mínima de 5 años en trabajos de supervisión análogos, y deberá disponer de laboratorio homologado para la realización de los ensayos pertinentes. Deberá aportar un Técnico Superior o de Grado Medio como responsable del equipo de control.</w:t>
      </w:r>
    </w:p>
    <w:p w14:paraId="7C565B4F"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Los resultados de los ensayos realizados y los informes del Laboratorio Responsable del Control estarán siempre a disposición de la Dirección </w:t>
      </w:r>
      <w:r w:rsidR="00F42B32">
        <w:rPr>
          <w:rFonts w:ascii="Arial" w:hAnsi="Arial"/>
          <w:szCs w:val="20"/>
        </w:rPr>
        <w:t>de Obra</w:t>
      </w:r>
      <w:r w:rsidRPr="00FC7A5B">
        <w:rPr>
          <w:rFonts w:ascii="Arial" w:hAnsi="Arial"/>
          <w:szCs w:val="20"/>
        </w:rPr>
        <w:t>. En cualquier caso, previamente a cualquier envío de piezas a obra y previ</w:t>
      </w:r>
      <w:r w:rsidR="00157701">
        <w:rPr>
          <w:rFonts w:ascii="Arial" w:hAnsi="Arial"/>
          <w:szCs w:val="20"/>
        </w:rPr>
        <w:t xml:space="preserve">amente a la recepción de </w:t>
      </w:r>
      <w:proofErr w:type="gramStart"/>
      <w:r w:rsidR="00157701">
        <w:rPr>
          <w:rFonts w:ascii="Arial" w:hAnsi="Arial"/>
          <w:szCs w:val="20"/>
        </w:rPr>
        <w:t>la mis</w:t>
      </w:r>
      <w:r w:rsidRPr="00FC7A5B">
        <w:rPr>
          <w:rFonts w:ascii="Arial" w:hAnsi="Arial"/>
          <w:szCs w:val="20"/>
        </w:rPr>
        <w:t>ma</w:t>
      </w:r>
      <w:proofErr w:type="gramEnd"/>
      <w:r w:rsidRPr="00FC7A5B">
        <w:rPr>
          <w:rFonts w:ascii="Arial" w:hAnsi="Arial"/>
          <w:szCs w:val="20"/>
        </w:rPr>
        <w:t xml:space="preserve"> se</w:t>
      </w:r>
      <w:r w:rsidR="009771E6">
        <w:rPr>
          <w:rFonts w:ascii="Arial" w:hAnsi="Arial"/>
          <w:szCs w:val="20"/>
        </w:rPr>
        <w:t xml:space="preserve"> deberá aportar a la Dirección de Obra</w:t>
      </w:r>
      <w:r w:rsidRPr="00FC7A5B">
        <w:rPr>
          <w:rFonts w:ascii="Arial" w:hAnsi="Arial"/>
          <w:szCs w:val="20"/>
        </w:rPr>
        <w:t xml:space="preserve"> un Dossier de Calidad firmado por el Laboratorio Responsable del Control, el estamento responsable del autocontrol del taller metálico, y el </w:t>
      </w:r>
      <w:proofErr w:type="gramStart"/>
      <w:r w:rsidRPr="00FC7A5B">
        <w:rPr>
          <w:rFonts w:ascii="Arial" w:hAnsi="Arial"/>
          <w:szCs w:val="20"/>
        </w:rPr>
        <w:t>Responsable</w:t>
      </w:r>
      <w:proofErr w:type="gramEnd"/>
      <w:r w:rsidRPr="00FC7A5B">
        <w:rPr>
          <w:rFonts w:ascii="Arial" w:hAnsi="Arial"/>
          <w:szCs w:val="20"/>
        </w:rPr>
        <w:t xml:space="preserve"> de Calidad de la empresa constructora acreditando el cumplimiento del Plan de Control previsto en este Pliego.</w:t>
      </w:r>
    </w:p>
    <w:p w14:paraId="17F9D186" w14:textId="77777777" w:rsidR="00D50726" w:rsidRPr="00FC7A5B" w:rsidRDefault="00D50726" w:rsidP="000313DD">
      <w:pPr>
        <w:pStyle w:val="TITU2"/>
        <w:rPr>
          <w:rFonts w:cs="Times New Roman"/>
          <w:smallCaps/>
          <w:lang w:eastAsia="es-ES"/>
        </w:rPr>
      </w:pPr>
      <w:bookmarkStart w:id="738" w:name="_Toc399509003"/>
      <w:bookmarkStart w:id="739" w:name="_Toc411505884"/>
      <w:r w:rsidRPr="00FC7A5B">
        <w:rPr>
          <w:rFonts w:cs="Times New Roman"/>
          <w:smallCaps/>
          <w:lang w:eastAsia="es-ES"/>
        </w:rPr>
        <w:br w:type="column"/>
      </w:r>
      <w:bookmarkStart w:id="740" w:name="_Toc433280476"/>
      <w:bookmarkStart w:id="741" w:name="_Toc448916059"/>
      <w:bookmarkStart w:id="742" w:name="_Toc404429"/>
      <w:r w:rsidRPr="002D78A2">
        <w:rPr>
          <w:lang w:val="es-ES_tradnl"/>
        </w:rPr>
        <w:lastRenderedPageBreak/>
        <w:t>620.2.</w:t>
      </w:r>
      <w:r w:rsidR="008F328B">
        <w:rPr>
          <w:lang w:val="es-ES_tradnl"/>
        </w:rPr>
        <w:t xml:space="preserve"> </w:t>
      </w:r>
      <w:r w:rsidRPr="002D78A2">
        <w:rPr>
          <w:lang w:val="es-ES_tradnl"/>
        </w:rPr>
        <w:tab/>
        <w:t>Aplicación</w:t>
      </w:r>
      <w:bookmarkEnd w:id="738"/>
      <w:bookmarkEnd w:id="739"/>
      <w:bookmarkEnd w:id="740"/>
      <w:bookmarkEnd w:id="741"/>
      <w:bookmarkEnd w:id="742"/>
    </w:p>
    <w:p w14:paraId="65E7C3D7"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Las prescripciones contenidas en esta cláusula </w:t>
      </w:r>
      <w:proofErr w:type="gramStart"/>
      <w:r w:rsidRPr="00FC7A5B">
        <w:rPr>
          <w:rFonts w:ascii="Arial" w:hAnsi="Arial"/>
          <w:szCs w:val="20"/>
        </w:rPr>
        <w:t>son de aplicación</w:t>
      </w:r>
      <w:proofErr w:type="gramEnd"/>
      <w:r w:rsidRPr="00FC7A5B">
        <w:rPr>
          <w:rFonts w:ascii="Arial" w:hAnsi="Arial"/>
          <w:szCs w:val="20"/>
        </w:rPr>
        <w:t xml:space="preserve"> a las unidades de obra:</w:t>
      </w:r>
    </w:p>
    <w:tbl>
      <w:tblPr>
        <w:tblW w:w="8931" w:type="dxa"/>
        <w:tblLook w:val="04A0" w:firstRow="1" w:lastRow="0" w:firstColumn="1" w:lastColumn="0" w:noHBand="0" w:noVBand="1"/>
      </w:tblPr>
      <w:tblGrid>
        <w:gridCol w:w="1794"/>
        <w:gridCol w:w="1093"/>
        <w:gridCol w:w="6044"/>
      </w:tblGrid>
      <w:tr w:rsidR="002D7885" w:rsidRPr="00FC7A5B" w14:paraId="156344B4" w14:textId="77777777" w:rsidTr="008F328B">
        <w:trPr>
          <w:trHeight w:val="594"/>
        </w:trPr>
        <w:tc>
          <w:tcPr>
            <w:tcW w:w="1794" w:type="dxa"/>
          </w:tcPr>
          <w:p w14:paraId="0750F7DC" w14:textId="77777777" w:rsidR="002D7885" w:rsidRPr="005B79AD" w:rsidRDefault="002D7885" w:rsidP="00D50726">
            <w:pPr>
              <w:rPr>
                <w:rFonts w:asciiTheme="minorHAnsi" w:hAnsiTheme="minorHAnsi" w:cstheme="minorHAnsi"/>
              </w:rPr>
            </w:pPr>
            <w:r w:rsidRPr="005B79AD">
              <w:rPr>
                <w:rFonts w:asciiTheme="minorHAnsi" w:hAnsiTheme="minorHAnsi" w:cstheme="minorHAnsi"/>
                <w:color w:val="000000"/>
              </w:rPr>
              <w:t>620.0020</w:t>
            </w:r>
          </w:p>
        </w:tc>
        <w:tc>
          <w:tcPr>
            <w:tcW w:w="1093" w:type="dxa"/>
          </w:tcPr>
          <w:p w14:paraId="484163DA" w14:textId="77777777" w:rsidR="002D7885" w:rsidRPr="005B79AD" w:rsidRDefault="002D7885" w:rsidP="00D50726">
            <w:pPr>
              <w:rPr>
                <w:rFonts w:asciiTheme="minorHAnsi" w:hAnsiTheme="minorHAnsi" w:cstheme="minorHAnsi"/>
              </w:rPr>
            </w:pPr>
            <w:r w:rsidRPr="005B79AD">
              <w:rPr>
                <w:rFonts w:asciiTheme="minorHAnsi" w:hAnsiTheme="minorHAnsi" w:cstheme="minorHAnsi"/>
              </w:rPr>
              <w:t>kg</w:t>
            </w:r>
          </w:p>
        </w:tc>
        <w:tc>
          <w:tcPr>
            <w:tcW w:w="6044" w:type="dxa"/>
            <w:vAlign w:val="bottom"/>
          </w:tcPr>
          <w:p w14:paraId="0FA06D20" w14:textId="77777777" w:rsidR="002D7885" w:rsidRPr="005B79AD" w:rsidRDefault="002D7885" w:rsidP="002D7885">
            <w:pPr>
              <w:jc w:val="both"/>
              <w:rPr>
                <w:rFonts w:asciiTheme="minorHAnsi" w:hAnsiTheme="minorHAnsi" w:cstheme="minorHAnsi"/>
                <w:color w:val="000000"/>
              </w:rPr>
            </w:pPr>
            <w:r w:rsidRPr="005B79AD">
              <w:rPr>
                <w:rFonts w:asciiTheme="minorHAnsi" w:hAnsiTheme="minorHAnsi" w:cstheme="minorHAnsi"/>
                <w:color w:val="000000"/>
              </w:rPr>
              <w:t>ACERO LAMINADO ESTRUCTURAL S275JR EN CHAPAS Y PERFILES LAMINADOS i/ P.P. DE DESPUNTES, CORTE, DOBLADO, SOLDADURAS, TRANSPORTE, POSICIONAMIENTO Y COLOCACIÓN EN OBRA, PROTECCIÓN ANTI-CORROSIÓN TOTALMENTE MONTADO.</w:t>
            </w:r>
          </w:p>
          <w:p w14:paraId="188730AE" w14:textId="77777777" w:rsidR="002D7885" w:rsidRPr="005B79AD" w:rsidRDefault="002D7885" w:rsidP="00EB4FDD">
            <w:pPr>
              <w:jc w:val="both"/>
              <w:rPr>
                <w:rFonts w:asciiTheme="minorHAnsi" w:hAnsiTheme="minorHAnsi" w:cstheme="minorHAnsi"/>
              </w:rPr>
            </w:pPr>
          </w:p>
        </w:tc>
      </w:tr>
      <w:tr w:rsidR="00D50726" w:rsidRPr="00FC7A5B" w14:paraId="70907C0E" w14:textId="77777777" w:rsidTr="008F328B">
        <w:trPr>
          <w:trHeight w:val="594"/>
        </w:trPr>
        <w:tc>
          <w:tcPr>
            <w:tcW w:w="1794" w:type="dxa"/>
          </w:tcPr>
          <w:p w14:paraId="1C4F576E" w14:textId="77777777" w:rsidR="00D50726" w:rsidRPr="005B79AD" w:rsidRDefault="00D50726" w:rsidP="00D50726">
            <w:pPr>
              <w:rPr>
                <w:rFonts w:ascii="Calibri" w:hAnsi="Calibri" w:cs="Calibri"/>
              </w:rPr>
            </w:pPr>
            <w:r w:rsidRPr="005B79AD">
              <w:rPr>
                <w:rFonts w:ascii="Calibri" w:hAnsi="Calibri" w:cs="Calibri"/>
              </w:rPr>
              <w:t xml:space="preserve">620.0050N    </w:t>
            </w:r>
          </w:p>
          <w:p w14:paraId="2AD9C69E" w14:textId="77777777" w:rsidR="00D50726" w:rsidRPr="005B79AD" w:rsidRDefault="00D50726" w:rsidP="00D50726">
            <w:pPr>
              <w:rPr>
                <w:rFonts w:ascii="Calibri" w:hAnsi="Calibri" w:cs="Calibri"/>
              </w:rPr>
            </w:pPr>
          </w:p>
        </w:tc>
        <w:tc>
          <w:tcPr>
            <w:tcW w:w="1093" w:type="dxa"/>
          </w:tcPr>
          <w:p w14:paraId="7FA562F4" w14:textId="77777777" w:rsidR="00D50726" w:rsidRPr="005B79AD" w:rsidRDefault="00D50726" w:rsidP="00D50726">
            <w:pPr>
              <w:rPr>
                <w:rFonts w:ascii="Calibri" w:hAnsi="Calibri" w:cs="Calibri"/>
              </w:rPr>
            </w:pPr>
            <w:r w:rsidRPr="005B79AD">
              <w:rPr>
                <w:rFonts w:ascii="Calibri" w:hAnsi="Calibri" w:cs="Calibri"/>
              </w:rPr>
              <w:t>kg</w:t>
            </w:r>
          </w:p>
        </w:tc>
        <w:tc>
          <w:tcPr>
            <w:tcW w:w="6044" w:type="dxa"/>
            <w:vAlign w:val="bottom"/>
          </w:tcPr>
          <w:p w14:paraId="06D21664" w14:textId="77777777" w:rsidR="00D50726" w:rsidRPr="005B79AD" w:rsidRDefault="00D50726" w:rsidP="00EB4FDD">
            <w:pPr>
              <w:jc w:val="both"/>
              <w:rPr>
                <w:rFonts w:ascii="Calibri" w:hAnsi="Calibri" w:cs="Calibri"/>
              </w:rPr>
            </w:pPr>
            <w:r w:rsidRPr="005B79AD">
              <w:rPr>
                <w:rFonts w:ascii="Calibri" w:hAnsi="Calibri" w:cs="Calibri"/>
              </w:rPr>
              <w:t>ACERO LAMINADO ESTRUCTURAL S275J0 EN CHAPAS Y PERFILES LAMINADOS I/P.P. DE DESPUNTES CORTE, DOBLADO, SOLDADURAS, TRANSPORTE, POSICIONAMIENTO Y COLOCACIÓN EN OBRA, INCLUSO CONTROL DE CALIDAD Y PROTECCIÓN ANTI-CORROSIÓN MEDIANTE PINTURA PROTECTORA, TOTALMENTE MONTADO, INCLUIDOS TODOS LOS MEDIOS AUXILIARES NECESARIOS PARA LA COMPLETA EJECUCIÓN Y MONTAJE DE LA ESTRUCTURA EN SU POSICIÓN DEFINITIVA COMPLETAMENTE TERMINADA.</w:t>
            </w:r>
          </w:p>
          <w:p w14:paraId="44B1B599" w14:textId="77777777" w:rsidR="001C0B16" w:rsidRPr="005B79AD" w:rsidRDefault="001C0B16" w:rsidP="00EB4FDD">
            <w:pPr>
              <w:jc w:val="both"/>
              <w:rPr>
                <w:rFonts w:ascii="Calibri" w:hAnsi="Calibri" w:cs="Calibri"/>
              </w:rPr>
            </w:pPr>
          </w:p>
        </w:tc>
      </w:tr>
    </w:tbl>
    <w:p w14:paraId="71F41E3E" w14:textId="77777777" w:rsidR="00D50726" w:rsidRPr="002D78A2" w:rsidRDefault="008F328B" w:rsidP="000313DD">
      <w:pPr>
        <w:pStyle w:val="TITU2"/>
        <w:rPr>
          <w:lang w:val="es-ES_tradnl"/>
        </w:rPr>
      </w:pPr>
      <w:bookmarkStart w:id="743" w:name="_Toc399509004"/>
      <w:bookmarkStart w:id="744" w:name="_Toc411505885"/>
      <w:bookmarkStart w:id="745" w:name="_Toc433280477"/>
      <w:bookmarkStart w:id="746" w:name="_Toc448916060"/>
      <w:bookmarkStart w:id="747" w:name="_Toc404430"/>
      <w:r>
        <w:rPr>
          <w:lang w:val="es-ES_tradnl"/>
        </w:rPr>
        <w:t xml:space="preserve">620.3. </w:t>
      </w:r>
      <w:r w:rsidR="00D50726" w:rsidRPr="002D78A2">
        <w:rPr>
          <w:lang w:val="es-ES_tradnl"/>
        </w:rPr>
        <w:tab/>
        <w:t>Tipos</w:t>
      </w:r>
      <w:bookmarkEnd w:id="743"/>
      <w:bookmarkEnd w:id="744"/>
      <w:bookmarkEnd w:id="745"/>
      <w:bookmarkEnd w:id="746"/>
      <w:bookmarkEnd w:id="747"/>
    </w:p>
    <w:p w14:paraId="3D3925C9"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Lo dispuesto en este artículo se entenderá sin perjuicio de lo establecido en el Real Decreto 1630/1992 (modificado por el R.D. 1328/1995), por el que se dictan disposiciones para la libre circulación, en aplicación de la Directiva 89/106 CE. En particular, en lo referente a los procedimientos especiales de reconocimiento, se estará a lo establecido en el artículo 9 del mencionado Real Decreto.</w:t>
      </w:r>
    </w:p>
    <w:p w14:paraId="546B7433"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Los perfiles y chapas de acero laminados en caliente, para estructuras metálicas, se clasificarán en función de:</w:t>
      </w:r>
    </w:p>
    <w:p w14:paraId="39559CBF" w14:textId="77777777" w:rsidR="00D50726" w:rsidRPr="00FC7A5B" w:rsidRDefault="00D50726" w:rsidP="008F328B">
      <w:pPr>
        <w:spacing w:before="120" w:after="120" w:line="360" w:lineRule="auto"/>
        <w:jc w:val="both"/>
        <w:rPr>
          <w:rFonts w:ascii="Arial" w:hAnsi="Arial"/>
          <w:noProof/>
          <w:szCs w:val="20"/>
        </w:rPr>
      </w:pPr>
      <w:r w:rsidRPr="00FC7A5B">
        <w:rPr>
          <w:rFonts w:ascii="Arial" w:hAnsi="Arial"/>
          <w:noProof/>
          <w:szCs w:val="20"/>
        </w:rPr>
        <w:t>Su geometría:</w:t>
      </w:r>
    </w:p>
    <w:p w14:paraId="246B2B86"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Los productos de acero laminados en caliente se agrupan en series por las características geométricas de su sección. Las series utilizadas actualmente se indican en la tabla 620.1. Con carácter indicativo se citan las normas relativas a las dimensiones y términos de sección.</w:t>
      </w:r>
    </w:p>
    <w:p w14:paraId="3E7168E1" w14:textId="77777777" w:rsidR="00D50726" w:rsidRPr="00FC7A5B" w:rsidRDefault="00D50726" w:rsidP="00D50726">
      <w:pPr>
        <w:spacing w:before="120" w:after="120" w:line="360" w:lineRule="auto"/>
        <w:jc w:val="both"/>
        <w:rPr>
          <w:rFonts w:ascii="Arial" w:hAnsi="Arial"/>
          <w:szCs w:val="20"/>
        </w:rPr>
      </w:pPr>
      <w:r w:rsidRPr="00FC7A5B">
        <w:rPr>
          <w:rFonts w:ascii="Arial" w:hAnsi="Arial"/>
          <w:noProof/>
          <w:szCs w:val="20"/>
        </w:rPr>
        <w:drawing>
          <wp:inline distT="0" distB="0" distL="0" distR="0" wp14:anchorId="0E3FEE68" wp14:editId="45A9D729">
            <wp:extent cx="5937885" cy="2874010"/>
            <wp:effectExtent l="19050" t="0" r="5715" b="0"/>
            <wp:docPr id="5"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8" cstate="print"/>
                    <a:srcRect/>
                    <a:stretch>
                      <a:fillRect/>
                    </a:stretch>
                  </pic:blipFill>
                  <pic:spPr bwMode="auto">
                    <a:xfrm>
                      <a:off x="0" y="0"/>
                      <a:ext cx="5937885" cy="2874010"/>
                    </a:xfrm>
                    <a:prstGeom prst="rect">
                      <a:avLst/>
                    </a:prstGeom>
                    <a:noFill/>
                    <a:ln w="9525">
                      <a:noFill/>
                      <a:miter lim="800000"/>
                      <a:headEnd/>
                      <a:tailEnd/>
                    </a:ln>
                  </pic:spPr>
                </pic:pic>
              </a:graphicData>
            </a:graphic>
          </wp:inline>
        </w:drawing>
      </w:r>
    </w:p>
    <w:p w14:paraId="1FD1583B" w14:textId="77777777" w:rsidR="00D50726" w:rsidRPr="008133B0" w:rsidRDefault="00D50726" w:rsidP="005609D6">
      <w:pPr>
        <w:spacing w:before="120" w:after="120" w:line="360" w:lineRule="auto"/>
        <w:jc w:val="both"/>
        <w:rPr>
          <w:rFonts w:ascii="Arial" w:hAnsi="Arial"/>
          <w:i/>
          <w:sz w:val="20"/>
          <w:szCs w:val="20"/>
        </w:rPr>
      </w:pPr>
      <w:r w:rsidRPr="008133B0">
        <w:rPr>
          <w:rFonts w:ascii="Arial" w:hAnsi="Arial"/>
          <w:i/>
          <w:sz w:val="20"/>
          <w:szCs w:val="20"/>
        </w:rPr>
        <w:t>Nota 1: Producto laminado plano de anchura mayor que mil quinientos milímetros (1500 mm). Según su espesor se clasifica en:</w:t>
      </w:r>
    </w:p>
    <w:p w14:paraId="3D3296C4" w14:textId="77777777" w:rsidR="00D50726" w:rsidRPr="008F328B" w:rsidRDefault="00D50726" w:rsidP="008F328B">
      <w:pPr>
        <w:pStyle w:val="NORMAL12"/>
        <w:numPr>
          <w:ilvl w:val="0"/>
          <w:numId w:val="71"/>
        </w:numPr>
      </w:pPr>
      <w:r w:rsidRPr="008F328B">
        <w:t xml:space="preserve">Chapa media: igual o mayor que 3 mm hasta 4,75 </w:t>
      </w:r>
      <w:proofErr w:type="spellStart"/>
      <w:r w:rsidRPr="008F328B">
        <w:t>mm.</w:t>
      </w:r>
      <w:proofErr w:type="spellEnd"/>
    </w:p>
    <w:p w14:paraId="58CEB40B" w14:textId="77777777" w:rsidR="00D50726" w:rsidRPr="008F328B" w:rsidRDefault="00D50726" w:rsidP="008F328B">
      <w:pPr>
        <w:pStyle w:val="NORMAL12"/>
        <w:numPr>
          <w:ilvl w:val="0"/>
          <w:numId w:val="71"/>
        </w:numPr>
      </w:pPr>
      <w:r w:rsidRPr="008F328B">
        <w:t xml:space="preserve">Chapa gruesa: mayor que 4,75 </w:t>
      </w:r>
      <w:proofErr w:type="spellStart"/>
      <w:r w:rsidRPr="008F328B">
        <w:t>mm.</w:t>
      </w:r>
      <w:proofErr w:type="spellEnd"/>
    </w:p>
    <w:p w14:paraId="0CDDF7D8" w14:textId="77777777" w:rsidR="00D50726" w:rsidRPr="00FC7A5B" w:rsidRDefault="00D50726" w:rsidP="008F328B">
      <w:pPr>
        <w:spacing w:before="120" w:after="120" w:line="360" w:lineRule="auto"/>
        <w:jc w:val="both"/>
        <w:rPr>
          <w:rFonts w:ascii="Arial" w:hAnsi="Arial"/>
          <w:szCs w:val="20"/>
        </w:rPr>
      </w:pPr>
      <w:r w:rsidRPr="00FC7A5B">
        <w:rPr>
          <w:rFonts w:ascii="Arial" w:hAnsi="Arial"/>
          <w:szCs w:val="20"/>
        </w:rPr>
        <w:t>La chapa suele emplearse solamente como materia prima para la obtención por corte de elementos planos.</w:t>
      </w:r>
    </w:p>
    <w:p w14:paraId="3A79D7E2" w14:textId="77777777" w:rsidR="00D50726" w:rsidRPr="00FC7A5B" w:rsidRDefault="00D50726" w:rsidP="008F328B">
      <w:pPr>
        <w:spacing w:before="120" w:after="120" w:line="360" w:lineRule="auto"/>
        <w:jc w:val="both"/>
        <w:rPr>
          <w:rFonts w:ascii="Arial" w:hAnsi="Arial"/>
          <w:noProof/>
          <w:szCs w:val="20"/>
        </w:rPr>
      </w:pPr>
      <w:r w:rsidRPr="00FC7A5B">
        <w:rPr>
          <w:rFonts w:ascii="Arial" w:hAnsi="Arial"/>
          <w:noProof/>
          <w:szCs w:val="20"/>
        </w:rPr>
        <w:t xml:space="preserve"> Su tipo y grado de acero:</w:t>
      </w:r>
    </w:p>
    <w:p w14:paraId="6F5BDEB4"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Los tipos y grados de acero habitualmente empleados para la fabricación de estos productos, designados según la norma UNE-EN-10027 parte 1, son los que figuran en la tabla 620.2.</w:t>
      </w:r>
    </w:p>
    <w:p w14:paraId="327B84EB"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También está permitido el empleo de los tipos y grados de acero de construcción de alto límite elástico (según </w:t>
      </w:r>
      <w:r w:rsidR="00FD0C96" w:rsidRPr="00FD0C96">
        <w:rPr>
          <w:rFonts w:ascii="Arial" w:hAnsi="Arial"/>
          <w:szCs w:val="20"/>
        </w:rPr>
        <w:t>UNE</w:t>
      </w:r>
      <w:r w:rsidR="00FD0C96" w:rsidRPr="00FD0C96">
        <w:rPr>
          <w:rFonts w:ascii="Arial" w:hAnsi="Arial"/>
          <w:szCs w:val="20"/>
        </w:rPr>
        <w:noBreakHyphen/>
        <w:t>EN 10025</w:t>
      </w:r>
      <w:r w:rsidR="00FD0C96" w:rsidRPr="00FD0C96">
        <w:rPr>
          <w:rFonts w:ascii="Arial" w:hAnsi="Arial"/>
          <w:szCs w:val="20"/>
        </w:rPr>
        <w:noBreakHyphen/>
        <w:t>6:2007</w:t>
      </w:r>
      <w:r w:rsidR="00FD0C96" w:rsidRPr="00FD0C96">
        <w:rPr>
          <w:rFonts w:ascii="Arial" w:hAnsi="Arial"/>
          <w:szCs w:val="20"/>
        </w:rPr>
        <w:noBreakHyphen/>
        <w:t>A1:2009</w:t>
      </w:r>
      <w:r w:rsidRPr="00FC7A5B">
        <w:rPr>
          <w:rFonts w:ascii="Arial" w:hAnsi="Arial"/>
          <w:szCs w:val="20"/>
        </w:rPr>
        <w:t xml:space="preserve">), los de grano fino para construcción soldada (según </w:t>
      </w:r>
      <w:r w:rsidR="00675909" w:rsidRPr="00675909">
        <w:rPr>
          <w:rFonts w:ascii="Arial" w:hAnsi="Arial"/>
          <w:szCs w:val="20"/>
        </w:rPr>
        <w:t>UNE</w:t>
      </w:r>
      <w:r w:rsidR="00675909" w:rsidRPr="00675909">
        <w:rPr>
          <w:rFonts w:ascii="Arial" w:hAnsi="Arial"/>
          <w:szCs w:val="20"/>
        </w:rPr>
        <w:noBreakHyphen/>
        <w:t>EN 10025</w:t>
      </w:r>
      <w:r w:rsidR="00675909" w:rsidRPr="00675909">
        <w:rPr>
          <w:rFonts w:ascii="Arial" w:hAnsi="Arial"/>
          <w:szCs w:val="20"/>
        </w:rPr>
        <w:noBreakHyphen/>
        <w:t>4:2007</w:t>
      </w:r>
      <w:r w:rsidRPr="00FC7A5B">
        <w:rPr>
          <w:rFonts w:ascii="Arial" w:hAnsi="Arial"/>
          <w:szCs w:val="20"/>
        </w:rPr>
        <w:t xml:space="preserve">), los aceros de construcción con resistencia mejorada a la corrosión atmosférica (según </w:t>
      </w:r>
      <w:r w:rsidR="00675909" w:rsidRPr="00675909">
        <w:rPr>
          <w:rFonts w:ascii="Arial" w:hAnsi="Arial"/>
          <w:szCs w:val="20"/>
        </w:rPr>
        <w:t>UNE</w:t>
      </w:r>
      <w:r w:rsidR="00675909" w:rsidRPr="00675909">
        <w:rPr>
          <w:rFonts w:ascii="Arial" w:hAnsi="Arial"/>
          <w:szCs w:val="20"/>
        </w:rPr>
        <w:noBreakHyphen/>
        <w:t>EN</w:t>
      </w:r>
      <w:r w:rsidR="00675909" w:rsidRPr="00675909">
        <w:rPr>
          <w:rFonts w:ascii="Arial" w:hAnsi="Arial"/>
          <w:szCs w:val="20"/>
        </w:rPr>
        <w:noBreakHyphen/>
        <w:t>10025-5</w:t>
      </w:r>
      <w:r w:rsidRPr="00FC7A5B">
        <w:rPr>
          <w:rFonts w:ascii="Arial" w:hAnsi="Arial"/>
          <w:szCs w:val="20"/>
        </w:rPr>
        <w:t>) y los aceros con resistencia mejorada a la deformación en la dirección perpendicular a la superficie del producto (según UNE-EN-10164).</w:t>
      </w:r>
    </w:p>
    <w:p w14:paraId="47A70A01"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Estados de desoxidación admisibles: FN (no se admite acero efervescente) y FF (acero calmado).</w:t>
      </w:r>
    </w:p>
    <w:p w14:paraId="6E37B202" w14:textId="77777777" w:rsidR="00D84919" w:rsidRPr="00FC7A5B" w:rsidRDefault="00E02496" w:rsidP="00D50726">
      <w:pPr>
        <w:spacing w:before="120" w:after="120" w:line="360" w:lineRule="auto"/>
        <w:jc w:val="both"/>
        <w:rPr>
          <w:rFonts w:ascii="Arial" w:hAnsi="Arial"/>
          <w:szCs w:val="20"/>
        </w:rPr>
      </w:pPr>
      <w:r>
        <w:rPr>
          <w:rFonts w:ascii="Arial" w:hAnsi="Arial"/>
          <w:szCs w:val="20"/>
        </w:rPr>
        <w:t>Los tipos de acero empleados son:</w:t>
      </w:r>
      <w:r w:rsidR="00D84919">
        <w:rPr>
          <w:rFonts w:ascii="Arial" w:hAnsi="Arial"/>
          <w:szCs w:val="20"/>
        </w:rPr>
        <w:t xml:space="preserve"> S275J0 </w:t>
      </w:r>
      <w:r>
        <w:rPr>
          <w:rFonts w:ascii="Arial" w:hAnsi="Arial"/>
          <w:szCs w:val="20"/>
        </w:rPr>
        <w:t xml:space="preserve">y </w:t>
      </w:r>
      <w:r w:rsidR="007B4914">
        <w:rPr>
          <w:rFonts w:ascii="Arial" w:hAnsi="Arial"/>
          <w:szCs w:val="20"/>
        </w:rPr>
        <w:t>S</w:t>
      </w:r>
      <w:r>
        <w:rPr>
          <w:rFonts w:ascii="Arial" w:hAnsi="Arial"/>
          <w:szCs w:val="20"/>
        </w:rPr>
        <w:t>275JR</w:t>
      </w:r>
    </w:p>
    <w:p w14:paraId="69B4FB46" w14:textId="77777777" w:rsidR="00D50726" w:rsidRPr="002D78A2" w:rsidRDefault="00D50726" w:rsidP="000313DD">
      <w:pPr>
        <w:pStyle w:val="TITU2"/>
        <w:rPr>
          <w:lang w:val="es-ES_tradnl"/>
        </w:rPr>
      </w:pPr>
      <w:bookmarkStart w:id="748" w:name="_Toc399509005"/>
      <w:bookmarkStart w:id="749" w:name="_Toc411505886"/>
      <w:bookmarkStart w:id="750" w:name="_Toc433280478"/>
      <w:bookmarkStart w:id="751" w:name="_Toc448916061"/>
      <w:bookmarkStart w:id="752" w:name="_Toc404431"/>
      <w:r w:rsidRPr="002D78A2">
        <w:rPr>
          <w:lang w:val="es-ES_tradnl"/>
        </w:rPr>
        <w:lastRenderedPageBreak/>
        <w:t>620.4.</w:t>
      </w:r>
      <w:r w:rsidR="008F328B">
        <w:rPr>
          <w:lang w:val="es-ES_tradnl"/>
        </w:rPr>
        <w:t xml:space="preserve"> </w:t>
      </w:r>
      <w:r w:rsidRPr="002D78A2">
        <w:rPr>
          <w:lang w:val="es-ES_tradnl"/>
        </w:rPr>
        <w:tab/>
        <w:t>Caracter</w:t>
      </w:r>
      <w:r w:rsidRPr="002D78A2">
        <w:rPr>
          <w:rFonts w:hint="eastAsia"/>
          <w:lang w:val="es-ES_tradnl"/>
        </w:rPr>
        <w:t>í</w:t>
      </w:r>
      <w:r w:rsidRPr="002D78A2">
        <w:rPr>
          <w:lang w:val="es-ES_tradnl"/>
        </w:rPr>
        <w:t>sticas</w:t>
      </w:r>
      <w:bookmarkEnd w:id="748"/>
      <w:bookmarkEnd w:id="749"/>
      <w:bookmarkEnd w:id="750"/>
      <w:bookmarkEnd w:id="751"/>
      <w:bookmarkEnd w:id="752"/>
    </w:p>
    <w:p w14:paraId="5F1892B5" w14:textId="77777777" w:rsidR="00D50726" w:rsidRDefault="00D50726" w:rsidP="005609D6">
      <w:pPr>
        <w:spacing w:before="120" w:after="120" w:line="360" w:lineRule="auto"/>
        <w:jc w:val="both"/>
        <w:rPr>
          <w:rFonts w:ascii="Arial" w:hAnsi="Arial"/>
          <w:szCs w:val="20"/>
        </w:rPr>
      </w:pPr>
      <w:r w:rsidRPr="00FC7A5B">
        <w:rPr>
          <w:rFonts w:ascii="Arial" w:hAnsi="Arial"/>
          <w:szCs w:val="20"/>
        </w:rPr>
        <w:t>La garantía de calidad de los perfiles y chapas de acero laminados en caliente, para estructuras metálicas, será exigible en cualquier circunstancia al Contratista adjudicatario de las obras.</w:t>
      </w:r>
    </w:p>
    <w:p w14:paraId="4CC10145" w14:textId="77777777" w:rsidR="00D50726" w:rsidRPr="00FC7A5B" w:rsidRDefault="00D50726" w:rsidP="008F328B">
      <w:pPr>
        <w:spacing w:before="120" w:after="120" w:line="360" w:lineRule="auto"/>
        <w:jc w:val="both"/>
        <w:rPr>
          <w:rFonts w:ascii="Arial" w:hAnsi="Arial"/>
          <w:b/>
          <w:bCs/>
          <w:szCs w:val="20"/>
        </w:rPr>
      </w:pPr>
      <w:r w:rsidRPr="00FC7A5B">
        <w:rPr>
          <w:rFonts w:ascii="Arial" w:hAnsi="Arial"/>
          <w:b/>
          <w:bCs/>
          <w:szCs w:val="20"/>
        </w:rPr>
        <w:t>620.4.1</w:t>
      </w:r>
      <w:r w:rsidR="008F328B">
        <w:rPr>
          <w:rFonts w:ascii="Arial" w:hAnsi="Arial"/>
          <w:b/>
          <w:bCs/>
          <w:szCs w:val="20"/>
        </w:rPr>
        <w:t xml:space="preserve">. </w:t>
      </w:r>
      <w:r w:rsidRPr="00FC7A5B">
        <w:rPr>
          <w:rFonts w:ascii="Arial" w:hAnsi="Arial"/>
          <w:b/>
          <w:bCs/>
          <w:szCs w:val="20"/>
        </w:rPr>
        <w:t>Características de los aceros</w:t>
      </w:r>
    </w:p>
    <w:p w14:paraId="235A93E7" w14:textId="77777777" w:rsidR="00D50726" w:rsidRPr="008F328B" w:rsidRDefault="00D50726" w:rsidP="008F328B">
      <w:pPr>
        <w:spacing w:before="120" w:after="120" w:line="360" w:lineRule="auto"/>
        <w:jc w:val="both"/>
        <w:rPr>
          <w:rFonts w:ascii="Arial" w:hAnsi="Arial"/>
          <w:bCs/>
          <w:i/>
          <w:szCs w:val="20"/>
          <w:u w:val="single"/>
        </w:rPr>
      </w:pPr>
      <w:r w:rsidRPr="008F328B">
        <w:rPr>
          <w:rFonts w:ascii="Arial" w:hAnsi="Arial"/>
          <w:bCs/>
          <w:i/>
          <w:szCs w:val="20"/>
          <w:u w:val="single"/>
        </w:rPr>
        <w:t>620.4.1.1</w:t>
      </w:r>
      <w:r w:rsidR="00D93E76" w:rsidRPr="008F328B">
        <w:rPr>
          <w:rFonts w:ascii="Arial" w:hAnsi="Arial"/>
          <w:bCs/>
          <w:i/>
          <w:szCs w:val="20"/>
          <w:u w:val="single"/>
        </w:rPr>
        <w:t>. Composición</w:t>
      </w:r>
      <w:r w:rsidRPr="008F328B">
        <w:rPr>
          <w:rFonts w:ascii="Arial" w:hAnsi="Arial"/>
          <w:bCs/>
          <w:i/>
          <w:szCs w:val="20"/>
          <w:u w:val="single"/>
        </w:rPr>
        <w:t xml:space="preserve"> química</w:t>
      </w:r>
    </w:p>
    <w:p w14:paraId="64E8C49B" w14:textId="77777777" w:rsidR="008133B0" w:rsidRDefault="00D50726" w:rsidP="00675909">
      <w:pPr>
        <w:spacing w:before="120" w:after="120" w:line="360" w:lineRule="auto"/>
        <w:jc w:val="both"/>
        <w:rPr>
          <w:rFonts w:ascii="Arial" w:hAnsi="Arial"/>
          <w:szCs w:val="20"/>
        </w:rPr>
      </w:pPr>
      <w:r w:rsidRPr="00FC7A5B">
        <w:rPr>
          <w:rFonts w:ascii="Arial" w:hAnsi="Arial"/>
          <w:szCs w:val="20"/>
        </w:rPr>
        <w:t xml:space="preserve">La composición química de los aceros utilizados para la fabricación de los perfiles, secciones y </w:t>
      </w:r>
      <w:proofErr w:type="gramStart"/>
      <w:r w:rsidRPr="00FC7A5B">
        <w:rPr>
          <w:rFonts w:ascii="Arial" w:hAnsi="Arial"/>
          <w:szCs w:val="20"/>
        </w:rPr>
        <w:t>chapas,</w:t>
      </w:r>
      <w:proofErr w:type="gramEnd"/>
      <w:r w:rsidRPr="00FC7A5B">
        <w:rPr>
          <w:rFonts w:ascii="Arial" w:hAnsi="Arial"/>
          <w:szCs w:val="20"/>
        </w:rPr>
        <w:t xml:space="preserve"> será la especificada en la norma UNE-EN-10025, o en su caso, la especificada en la norma de condiciones técnicas de suministro que en cada caso corresponda</w:t>
      </w:r>
      <w:r w:rsidR="008133B0">
        <w:rPr>
          <w:rFonts w:ascii="Arial" w:hAnsi="Arial"/>
          <w:szCs w:val="20"/>
        </w:rPr>
        <w:t xml:space="preserve"> </w:t>
      </w:r>
      <w:proofErr w:type="gramStart"/>
      <w:r w:rsidR="008133B0">
        <w:rPr>
          <w:rFonts w:ascii="Arial" w:hAnsi="Arial"/>
          <w:szCs w:val="20"/>
        </w:rPr>
        <w:t>( UNE</w:t>
      </w:r>
      <w:proofErr w:type="gramEnd"/>
      <w:r w:rsidR="008133B0">
        <w:rPr>
          <w:rFonts w:ascii="Arial" w:hAnsi="Arial"/>
          <w:szCs w:val="20"/>
        </w:rPr>
        <w:t>-EN 10025-4:2007, UNE-EN 10025-6:2007-A1:2009, UNE-EN 10025-5 o UNE-EN 10164).</w:t>
      </w:r>
    </w:p>
    <w:p w14:paraId="50CB5748"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Para la verificación de la composición química sobre el producto, se deberán utilizar los métodos físicos o químicos analíticos descritos en las normas UNE al efecto en vigor.</w:t>
      </w:r>
    </w:p>
    <w:p w14:paraId="23E0515B" w14:textId="77777777" w:rsidR="00D50726" w:rsidRPr="00FC7A5B" w:rsidRDefault="00D50726" w:rsidP="008F328B">
      <w:pPr>
        <w:keepNext/>
        <w:spacing w:before="120" w:after="120" w:line="360" w:lineRule="auto"/>
        <w:jc w:val="both"/>
        <w:rPr>
          <w:rFonts w:ascii="Arial" w:hAnsi="Arial"/>
          <w:b/>
          <w:bCs/>
          <w:szCs w:val="20"/>
        </w:rPr>
      </w:pPr>
      <w:r w:rsidRPr="00FC7A5B">
        <w:rPr>
          <w:rFonts w:ascii="Arial" w:hAnsi="Arial"/>
          <w:b/>
          <w:bCs/>
          <w:szCs w:val="20"/>
        </w:rPr>
        <w:t>620.4.1.2</w:t>
      </w:r>
      <w:r w:rsidRPr="00FC7A5B">
        <w:rPr>
          <w:rFonts w:ascii="Arial" w:hAnsi="Arial"/>
          <w:b/>
          <w:bCs/>
          <w:szCs w:val="20"/>
        </w:rPr>
        <w:tab/>
        <w:t>Características mecánicas</w:t>
      </w:r>
    </w:p>
    <w:p w14:paraId="6F9DCE9F"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Las características mecánicas de los aceros utilizados para la fabricación de los perfiles, secciones y </w:t>
      </w:r>
      <w:proofErr w:type="gramStart"/>
      <w:r w:rsidRPr="00FC7A5B">
        <w:rPr>
          <w:rFonts w:ascii="Arial" w:hAnsi="Arial"/>
          <w:szCs w:val="20"/>
        </w:rPr>
        <w:t>chapas,</w:t>
      </w:r>
      <w:proofErr w:type="gramEnd"/>
      <w:r w:rsidRPr="00FC7A5B">
        <w:rPr>
          <w:rFonts w:ascii="Arial" w:hAnsi="Arial"/>
          <w:szCs w:val="20"/>
        </w:rPr>
        <w:t xml:space="preserve"> serán las especificadas en la norma UNE-EN- 10025, o en su caso, las especificadas en la norma de condiciones técnicas de suministro que en cada caso corresponda (</w:t>
      </w:r>
      <w:r w:rsidR="00675909" w:rsidRPr="00675909">
        <w:rPr>
          <w:rFonts w:ascii="Arial" w:hAnsi="Arial"/>
          <w:szCs w:val="20"/>
        </w:rPr>
        <w:t>UNE</w:t>
      </w:r>
      <w:r w:rsidR="00675909" w:rsidRPr="00675909">
        <w:rPr>
          <w:rFonts w:ascii="Arial" w:hAnsi="Arial"/>
          <w:szCs w:val="20"/>
        </w:rPr>
        <w:noBreakHyphen/>
        <w:t>EN 10025</w:t>
      </w:r>
      <w:r w:rsidR="00675909" w:rsidRPr="00675909">
        <w:rPr>
          <w:rFonts w:ascii="Arial" w:hAnsi="Arial"/>
          <w:szCs w:val="20"/>
        </w:rPr>
        <w:noBreakHyphen/>
        <w:t>4:2007</w:t>
      </w:r>
      <w:r w:rsidRPr="00FC7A5B">
        <w:rPr>
          <w:rFonts w:ascii="Arial" w:hAnsi="Arial"/>
          <w:szCs w:val="20"/>
        </w:rPr>
        <w:t xml:space="preserve">, </w:t>
      </w:r>
      <w:r w:rsidR="00FD0C96" w:rsidRPr="00FD0C96">
        <w:rPr>
          <w:rFonts w:ascii="Arial" w:hAnsi="Arial"/>
          <w:szCs w:val="20"/>
        </w:rPr>
        <w:t>UNE</w:t>
      </w:r>
      <w:r w:rsidR="00FD0C96" w:rsidRPr="00FD0C96">
        <w:rPr>
          <w:rFonts w:ascii="Arial" w:hAnsi="Arial"/>
          <w:szCs w:val="20"/>
        </w:rPr>
        <w:noBreakHyphen/>
        <w:t>EN 10025</w:t>
      </w:r>
      <w:r w:rsidR="00FD0C96" w:rsidRPr="00FD0C96">
        <w:rPr>
          <w:rFonts w:ascii="Arial" w:hAnsi="Arial"/>
          <w:szCs w:val="20"/>
        </w:rPr>
        <w:noBreakHyphen/>
        <w:t>6:2007</w:t>
      </w:r>
      <w:r w:rsidR="00FD0C96" w:rsidRPr="00FD0C96">
        <w:rPr>
          <w:rFonts w:ascii="Arial" w:hAnsi="Arial"/>
          <w:szCs w:val="20"/>
        </w:rPr>
        <w:noBreakHyphen/>
        <w:t>A1:2009</w:t>
      </w:r>
      <w:r w:rsidRPr="00FC7A5B">
        <w:rPr>
          <w:rFonts w:ascii="Arial" w:hAnsi="Arial"/>
          <w:szCs w:val="20"/>
        </w:rPr>
        <w:t>, UNE-EN- 10155 o UNE-EN-10164).</w:t>
      </w:r>
    </w:p>
    <w:p w14:paraId="140C9D4E" w14:textId="77777777" w:rsidR="00D50726" w:rsidRPr="00FC7A5B" w:rsidRDefault="00D50726" w:rsidP="005609D6">
      <w:pPr>
        <w:spacing w:before="120" w:after="120" w:line="360" w:lineRule="auto"/>
        <w:jc w:val="both"/>
        <w:rPr>
          <w:rFonts w:ascii="Arial" w:hAnsi="Arial"/>
          <w:noProof/>
          <w:szCs w:val="20"/>
        </w:rPr>
      </w:pPr>
      <w:r w:rsidRPr="00FC7A5B">
        <w:rPr>
          <w:rFonts w:ascii="Arial" w:hAnsi="Arial"/>
          <w:b/>
          <w:bCs/>
          <w:noProof/>
          <w:szCs w:val="20"/>
        </w:rPr>
        <w:t xml:space="preserve">Límite elástico </w:t>
      </w:r>
      <w:r w:rsidRPr="00FC7A5B">
        <w:rPr>
          <w:rFonts w:ascii="Arial" w:hAnsi="Arial"/>
          <w:noProof/>
          <w:szCs w:val="20"/>
        </w:rPr>
        <w:t>ReH: Es la carga unitaria, referida a la sección inicial de la probeta, que corresponde a la cedencia en el ensayo a tracción según la norma UNE 7 474(1), determinada por la detención de la aguja de lectura de la máquina de ensayo. Esta definición corresponde al límite superior de cedencia.</w:t>
      </w:r>
    </w:p>
    <w:p w14:paraId="42FB7069" w14:textId="77777777" w:rsidR="00D50726" w:rsidRPr="00FC7A5B" w:rsidRDefault="00D50726" w:rsidP="005609D6">
      <w:pPr>
        <w:spacing w:before="120" w:after="120" w:line="360" w:lineRule="auto"/>
        <w:jc w:val="both"/>
        <w:rPr>
          <w:rFonts w:ascii="Arial" w:hAnsi="Arial"/>
          <w:noProof/>
          <w:szCs w:val="20"/>
        </w:rPr>
      </w:pPr>
      <w:r w:rsidRPr="00FC7A5B">
        <w:rPr>
          <w:rFonts w:ascii="Arial" w:hAnsi="Arial"/>
          <w:b/>
          <w:bCs/>
          <w:noProof/>
          <w:szCs w:val="20"/>
        </w:rPr>
        <w:t xml:space="preserve">Resistencia a la tracción </w:t>
      </w:r>
      <w:r w:rsidRPr="00FC7A5B">
        <w:rPr>
          <w:rFonts w:ascii="Arial" w:hAnsi="Arial"/>
          <w:noProof/>
          <w:szCs w:val="20"/>
        </w:rPr>
        <w:t>Rm: Es la carga unitaria máxima, soportada durante el ensayo a tracción según la norma UNE 7 474(1).</w:t>
      </w:r>
    </w:p>
    <w:p w14:paraId="43143307" w14:textId="77777777" w:rsidR="00D50726" w:rsidRPr="00FC7A5B" w:rsidRDefault="00D50726" w:rsidP="005609D6">
      <w:pPr>
        <w:spacing w:before="120" w:after="120" w:line="360" w:lineRule="auto"/>
        <w:jc w:val="both"/>
        <w:rPr>
          <w:rFonts w:ascii="Arial" w:hAnsi="Arial"/>
          <w:noProof/>
          <w:szCs w:val="20"/>
        </w:rPr>
      </w:pPr>
      <w:r w:rsidRPr="00FC7A5B">
        <w:rPr>
          <w:rFonts w:ascii="Arial" w:hAnsi="Arial"/>
          <w:b/>
          <w:bCs/>
          <w:noProof/>
          <w:szCs w:val="20"/>
        </w:rPr>
        <w:t xml:space="preserve">Alargamiento de rotura </w:t>
      </w:r>
      <w:r w:rsidRPr="00FC7A5B">
        <w:rPr>
          <w:rFonts w:ascii="Arial" w:hAnsi="Arial"/>
          <w:noProof/>
          <w:szCs w:val="20"/>
        </w:rPr>
        <w:t>A: Es el aumento de la distancia inicial entre puntos, en el ensayo de tracción según la norma UNE 7 474(1), después de producida la rotura de la probeta, y reconstruida ésta, expresado en tanto por ciento de la distancia inicial.</w:t>
      </w:r>
    </w:p>
    <w:p w14:paraId="78F666EF" w14:textId="77777777" w:rsidR="00D50726" w:rsidRPr="00FC7A5B" w:rsidRDefault="00D50726" w:rsidP="005609D6">
      <w:pPr>
        <w:spacing w:before="120" w:after="120" w:line="360" w:lineRule="auto"/>
        <w:jc w:val="both"/>
        <w:rPr>
          <w:rFonts w:ascii="Arial" w:hAnsi="Arial"/>
          <w:szCs w:val="20"/>
        </w:rPr>
      </w:pPr>
      <w:r w:rsidRPr="00FC7A5B">
        <w:rPr>
          <w:rFonts w:ascii="Arial" w:hAnsi="Arial"/>
          <w:b/>
          <w:bCs/>
          <w:szCs w:val="20"/>
        </w:rPr>
        <w:t xml:space="preserve">Resiliencia </w:t>
      </w:r>
      <w:r w:rsidRPr="00FC7A5B">
        <w:rPr>
          <w:rFonts w:ascii="Arial" w:hAnsi="Arial"/>
          <w:szCs w:val="20"/>
        </w:rPr>
        <w:t>KV: Es la energía absorbida en el ensayo de flexión por choque, con probeta entallada, según la norma UNE 7 475(1).</w:t>
      </w:r>
    </w:p>
    <w:p w14:paraId="1FD7E566" w14:textId="77777777" w:rsidR="00D50726" w:rsidRPr="008F328B" w:rsidRDefault="00D50726" w:rsidP="008F328B">
      <w:pPr>
        <w:spacing w:before="120" w:after="120" w:line="360" w:lineRule="auto"/>
        <w:jc w:val="both"/>
        <w:rPr>
          <w:rFonts w:ascii="Arial" w:hAnsi="Arial"/>
          <w:bCs/>
          <w:i/>
          <w:szCs w:val="20"/>
          <w:u w:val="single"/>
        </w:rPr>
      </w:pPr>
      <w:r w:rsidRPr="008F328B">
        <w:rPr>
          <w:rFonts w:ascii="Arial" w:hAnsi="Arial"/>
          <w:bCs/>
          <w:i/>
          <w:szCs w:val="20"/>
          <w:u w:val="single"/>
        </w:rPr>
        <w:t>620.4.1.3</w:t>
      </w:r>
      <w:r w:rsidR="008F328B">
        <w:rPr>
          <w:rFonts w:ascii="Arial" w:hAnsi="Arial"/>
          <w:bCs/>
          <w:i/>
          <w:szCs w:val="20"/>
          <w:u w:val="single"/>
        </w:rPr>
        <w:t xml:space="preserve">. </w:t>
      </w:r>
      <w:r w:rsidRPr="008F328B">
        <w:rPr>
          <w:rFonts w:ascii="Arial" w:hAnsi="Arial"/>
          <w:bCs/>
          <w:i/>
          <w:szCs w:val="20"/>
          <w:u w:val="single"/>
        </w:rPr>
        <w:t>Características tecnológicas</w:t>
      </w:r>
    </w:p>
    <w:p w14:paraId="38883639" w14:textId="77777777" w:rsidR="005609D6" w:rsidRDefault="00D50726" w:rsidP="005609D6">
      <w:pPr>
        <w:spacing w:before="120" w:after="120" w:line="360" w:lineRule="auto"/>
        <w:jc w:val="both"/>
        <w:rPr>
          <w:rFonts w:ascii="Arial" w:hAnsi="Arial"/>
          <w:szCs w:val="20"/>
        </w:rPr>
      </w:pPr>
      <w:r w:rsidRPr="00FC7A5B">
        <w:rPr>
          <w:rFonts w:ascii="Arial" w:hAnsi="Arial"/>
          <w:b/>
          <w:bCs/>
          <w:szCs w:val="20"/>
        </w:rPr>
        <w:t>Soldabilidad</w:t>
      </w:r>
      <w:r w:rsidRPr="00FC7A5B">
        <w:rPr>
          <w:rFonts w:ascii="Arial" w:hAnsi="Arial"/>
          <w:szCs w:val="20"/>
        </w:rPr>
        <w:t xml:space="preserve">: En el caso de productos fabricados con aceros conforme a las normas UNE-EN-10025 o </w:t>
      </w:r>
      <w:r w:rsidR="00675909" w:rsidRPr="00675909">
        <w:rPr>
          <w:rFonts w:ascii="Arial" w:hAnsi="Arial"/>
          <w:szCs w:val="20"/>
        </w:rPr>
        <w:t>UNE</w:t>
      </w:r>
      <w:r w:rsidR="00675909" w:rsidRPr="00675909">
        <w:rPr>
          <w:rFonts w:ascii="Arial" w:hAnsi="Arial"/>
          <w:szCs w:val="20"/>
        </w:rPr>
        <w:noBreakHyphen/>
        <w:t>EN 10025</w:t>
      </w:r>
      <w:r w:rsidR="00675909" w:rsidRPr="00675909">
        <w:rPr>
          <w:rFonts w:ascii="Arial" w:hAnsi="Arial"/>
          <w:szCs w:val="20"/>
        </w:rPr>
        <w:noBreakHyphen/>
        <w:t>4:2007</w:t>
      </w:r>
      <w:r w:rsidRPr="00FC7A5B">
        <w:rPr>
          <w:rFonts w:ascii="Arial" w:hAnsi="Arial"/>
          <w:szCs w:val="20"/>
        </w:rPr>
        <w:t>, debe determinarse el valor del carbono equivalente (CEV), y dicho valor, debe cumplir lo especificado al respecto en la norma de condiciones técnicas de suministro que en cada caso corresponda.</w:t>
      </w:r>
    </w:p>
    <w:p w14:paraId="5C94FD13"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En el caso de productos fabricados con aceros conforme a las normas </w:t>
      </w:r>
      <w:r w:rsidR="00FD0C96" w:rsidRPr="00FD0C96">
        <w:rPr>
          <w:rFonts w:ascii="Arial" w:hAnsi="Arial"/>
          <w:szCs w:val="20"/>
        </w:rPr>
        <w:t>UNE</w:t>
      </w:r>
      <w:r w:rsidR="00FD0C96" w:rsidRPr="00FD0C96">
        <w:rPr>
          <w:rFonts w:ascii="Arial" w:hAnsi="Arial"/>
          <w:szCs w:val="20"/>
        </w:rPr>
        <w:noBreakHyphen/>
        <w:t>EN 10025</w:t>
      </w:r>
      <w:r w:rsidR="00FD0C96" w:rsidRPr="00FD0C96">
        <w:rPr>
          <w:rFonts w:ascii="Arial" w:hAnsi="Arial"/>
          <w:szCs w:val="20"/>
        </w:rPr>
        <w:noBreakHyphen/>
        <w:t>6:2007</w:t>
      </w:r>
      <w:r w:rsidR="00FD0C96" w:rsidRPr="00FD0C96">
        <w:rPr>
          <w:rFonts w:ascii="Arial" w:hAnsi="Arial"/>
          <w:szCs w:val="20"/>
        </w:rPr>
        <w:noBreakHyphen/>
        <w:t>A1:2009</w:t>
      </w:r>
      <w:r w:rsidRPr="00FC7A5B">
        <w:rPr>
          <w:rFonts w:ascii="Arial" w:hAnsi="Arial"/>
          <w:szCs w:val="20"/>
        </w:rPr>
        <w:t>, UNE-EN-10155 o UNE-EN- 10164, se estará a lo dispuesto en las propias normas.</w:t>
      </w:r>
    </w:p>
    <w:p w14:paraId="5ABDAFF8"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Para la verificación del CEV sobre el producto, se deberán utilizar los métodos físicos o químicos analíticos descritos en las normas UNE al efecto en vigor.</w:t>
      </w:r>
    </w:p>
    <w:p w14:paraId="3A14B6C7"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Dado que en este artículo solo contemplan aceros soldables, el suministrador, a través del Contratista, facilitará al </w:t>
      </w:r>
      <w:proofErr w:type="gramStart"/>
      <w:r w:rsidRPr="00FC7A5B">
        <w:rPr>
          <w:rFonts w:ascii="Arial" w:hAnsi="Arial"/>
          <w:szCs w:val="20"/>
        </w:rPr>
        <w:t>Director</w:t>
      </w:r>
      <w:proofErr w:type="gramEnd"/>
      <w:r w:rsidRPr="00FC7A5B">
        <w:rPr>
          <w:rFonts w:ascii="Arial" w:hAnsi="Arial"/>
          <w:szCs w:val="20"/>
        </w:rPr>
        <w:t xml:space="preserve"> de las Obras los procedimientos y condiciones recomendados para realizar, cuando sea necesario, las soldaduras.</w:t>
      </w:r>
    </w:p>
    <w:p w14:paraId="47B4C988"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Los aceros de los grados JR, J0, J2G3, J2G4, K2G3 y K2G4, generalmente, son aptos para el soldeo por todos los procedimientos. La soldabilidad es creciente desde el grado JR hasta K2.</w:t>
      </w:r>
    </w:p>
    <w:p w14:paraId="7DA44D0E"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El riesgo de que se produzcan grietas en frío en la zona soldada aumenta con el espesor del producto, con el nivel de resistencia y con el carbono equivalente. El agrietamiento en frío puede producirse por la acción combinada de los siguientes factores:</w:t>
      </w:r>
    </w:p>
    <w:p w14:paraId="232D0C72" w14:textId="77777777" w:rsidR="00D50726" w:rsidRPr="008F328B" w:rsidRDefault="00D50726" w:rsidP="008F328B">
      <w:pPr>
        <w:pStyle w:val="NORMAL12"/>
        <w:numPr>
          <w:ilvl w:val="0"/>
          <w:numId w:val="71"/>
        </w:numPr>
      </w:pPr>
      <w:r w:rsidRPr="008F328B">
        <w:t>Cantidad de hidrógeno difusible en el metal de aportación.</w:t>
      </w:r>
    </w:p>
    <w:p w14:paraId="12433CB8" w14:textId="77777777" w:rsidR="00D50726" w:rsidRPr="008F328B" w:rsidRDefault="00D50726" w:rsidP="008F328B">
      <w:pPr>
        <w:pStyle w:val="NORMAL12"/>
        <w:numPr>
          <w:ilvl w:val="0"/>
          <w:numId w:val="71"/>
        </w:numPr>
      </w:pPr>
      <w:r w:rsidRPr="008F328B">
        <w:t>Una estructura frágil de la zona afectada térmicamente.</w:t>
      </w:r>
    </w:p>
    <w:p w14:paraId="387D2760" w14:textId="77777777" w:rsidR="00D50726" w:rsidRPr="008F328B" w:rsidRDefault="00D50726" w:rsidP="008F328B">
      <w:pPr>
        <w:pStyle w:val="NORMAL12"/>
        <w:numPr>
          <w:ilvl w:val="0"/>
          <w:numId w:val="71"/>
        </w:numPr>
      </w:pPr>
      <w:r w:rsidRPr="008F328B">
        <w:t>Concentraciones importantes de tensiones de tracción en la unión soldada.</w:t>
      </w:r>
    </w:p>
    <w:p w14:paraId="345C611F"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Cuando se prescriba la utilización de ciertas recomendaciones, tales como las recogidas en la norma UNE-EN-1011 o en normas nacionales que sean aplicables, las condiciones de soldeo y los distintos niveles de soldabilidad recomendados, para cada tipo de acero, pueden estar determinados en función del espesor del producto, </w:t>
      </w:r>
      <w:r w:rsidRPr="00FC7A5B">
        <w:rPr>
          <w:rFonts w:ascii="Arial" w:hAnsi="Arial"/>
          <w:szCs w:val="20"/>
        </w:rPr>
        <w:lastRenderedPageBreak/>
        <w:t>de la energía aportada a la soldadura, de los requisitos de producto, de la eficiencia de los electrodos, del proceso de soldeo y de las características del metal de aportación.</w:t>
      </w:r>
    </w:p>
    <w:p w14:paraId="5706B488" w14:textId="77777777" w:rsidR="00D50726" w:rsidRDefault="00D50726" w:rsidP="008F328B">
      <w:pPr>
        <w:pStyle w:val="NORMAL12"/>
        <w:numPr>
          <w:ilvl w:val="0"/>
          <w:numId w:val="71"/>
        </w:numPr>
      </w:pPr>
      <w:r w:rsidRPr="008F328B">
        <w:t>Doblado: Es un índice de la ductilidad del material, definido por la ausencia o presencia de fisuras en el ensayo de doblado, según la norma UNE 7 472, efectuado sobre el mandril que se indica en la tabla de características, de las normas de condiciones técnicas de suministro, para cada una de las distintas clases de acero. Esta característica es opcional y su verificación solo es exigible si expresamente así se indica en el pedido.</w:t>
      </w:r>
    </w:p>
    <w:p w14:paraId="3748B02E" w14:textId="77777777" w:rsidR="00D50726" w:rsidRPr="00FC7A5B" w:rsidRDefault="00D50726" w:rsidP="008F328B">
      <w:pPr>
        <w:spacing w:before="120" w:after="120" w:line="360" w:lineRule="auto"/>
        <w:jc w:val="both"/>
        <w:rPr>
          <w:rFonts w:ascii="Arial" w:hAnsi="Arial"/>
          <w:b/>
          <w:bCs/>
          <w:szCs w:val="20"/>
        </w:rPr>
      </w:pPr>
      <w:r w:rsidRPr="00FC7A5B">
        <w:rPr>
          <w:rFonts w:ascii="Arial" w:hAnsi="Arial"/>
          <w:b/>
          <w:bCs/>
          <w:szCs w:val="20"/>
        </w:rPr>
        <w:t>620.4.2</w:t>
      </w:r>
      <w:r w:rsidRPr="00FC7A5B">
        <w:rPr>
          <w:rFonts w:ascii="Arial" w:hAnsi="Arial"/>
          <w:b/>
          <w:bCs/>
          <w:szCs w:val="20"/>
        </w:rPr>
        <w:tab/>
        <w:t>Características de los perfiles y chapas</w:t>
      </w:r>
    </w:p>
    <w:p w14:paraId="7A9BA854"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Las tolerancias dimensionales, de forma y de masa de cada producto son las especificadas en la norma correspondiente que figura en la tabla 620.3.</w:t>
      </w:r>
    </w:p>
    <w:p w14:paraId="409593A1"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El </w:t>
      </w:r>
      <w:proofErr w:type="gramStart"/>
      <w:r w:rsidR="009F1466">
        <w:rPr>
          <w:rFonts w:ascii="Arial" w:hAnsi="Arial"/>
          <w:szCs w:val="20"/>
        </w:rPr>
        <w:t>Director</w:t>
      </w:r>
      <w:proofErr w:type="gramEnd"/>
      <w:r w:rsidR="009F1466">
        <w:rPr>
          <w:rFonts w:ascii="Arial" w:hAnsi="Arial"/>
          <w:szCs w:val="20"/>
        </w:rPr>
        <w:t xml:space="preserve"> de Obra </w:t>
      </w:r>
      <w:r w:rsidRPr="00FC7A5B">
        <w:rPr>
          <w:rFonts w:ascii="Arial" w:hAnsi="Arial"/>
          <w:szCs w:val="20"/>
        </w:rPr>
        <w:t>podrá fijar tolerancias más estrictas para el caso de aplicaciones especiales.</w:t>
      </w:r>
    </w:p>
    <w:p w14:paraId="454D5DBB" w14:textId="77777777" w:rsidR="00D50726" w:rsidRPr="00FC7A5B" w:rsidRDefault="00D50726" w:rsidP="00D50726">
      <w:pPr>
        <w:spacing w:before="120" w:after="120" w:line="360" w:lineRule="auto"/>
        <w:jc w:val="both"/>
        <w:rPr>
          <w:rFonts w:ascii="Arial" w:hAnsi="Arial"/>
          <w:szCs w:val="20"/>
        </w:rPr>
      </w:pPr>
      <w:r w:rsidRPr="00FC7A5B">
        <w:rPr>
          <w:rFonts w:ascii="Arial" w:hAnsi="Arial"/>
          <w:noProof/>
          <w:szCs w:val="20"/>
        </w:rPr>
        <w:drawing>
          <wp:inline distT="0" distB="0" distL="0" distR="0" wp14:anchorId="1FB00F65" wp14:editId="404B64D1">
            <wp:extent cx="5743253" cy="2286000"/>
            <wp:effectExtent l="0" t="0" r="0" b="0"/>
            <wp:docPr id="7"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9" cstate="print"/>
                    <a:srcRect/>
                    <a:stretch>
                      <a:fillRect/>
                    </a:stretch>
                  </pic:blipFill>
                  <pic:spPr bwMode="auto">
                    <a:xfrm>
                      <a:off x="0" y="0"/>
                      <a:ext cx="5746341" cy="2287229"/>
                    </a:xfrm>
                    <a:prstGeom prst="rect">
                      <a:avLst/>
                    </a:prstGeom>
                    <a:noFill/>
                    <a:ln w="9525">
                      <a:noFill/>
                      <a:miter lim="800000"/>
                      <a:headEnd/>
                      <a:tailEnd/>
                    </a:ln>
                  </pic:spPr>
                </pic:pic>
              </a:graphicData>
            </a:graphic>
          </wp:inline>
        </w:drawing>
      </w:r>
    </w:p>
    <w:p w14:paraId="4411AB65" w14:textId="77777777" w:rsidR="00D50726" w:rsidRPr="00FC7A5B" w:rsidRDefault="00D50726" w:rsidP="008F328B">
      <w:pPr>
        <w:spacing w:before="120" w:after="120" w:line="360" w:lineRule="auto"/>
        <w:jc w:val="both"/>
        <w:rPr>
          <w:rFonts w:ascii="Arial" w:hAnsi="Arial"/>
          <w:b/>
          <w:bCs/>
          <w:szCs w:val="20"/>
        </w:rPr>
      </w:pPr>
      <w:bookmarkStart w:id="753" w:name="_Toc399509006"/>
      <w:bookmarkStart w:id="754" w:name="_Toc411505887"/>
      <w:r w:rsidRPr="00FC7A5B">
        <w:rPr>
          <w:rFonts w:ascii="Arial" w:hAnsi="Arial"/>
          <w:b/>
          <w:bCs/>
          <w:szCs w:val="20"/>
        </w:rPr>
        <w:t>620.4.3</w:t>
      </w:r>
      <w:r w:rsidR="008F328B">
        <w:rPr>
          <w:rFonts w:ascii="Arial" w:hAnsi="Arial"/>
          <w:b/>
          <w:bCs/>
          <w:szCs w:val="20"/>
        </w:rPr>
        <w:t xml:space="preserve">. </w:t>
      </w:r>
      <w:r w:rsidRPr="00FC7A5B">
        <w:rPr>
          <w:rFonts w:ascii="Arial" w:hAnsi="Arial"/>
          <w:b/>
          <w:bCs/>
          <w:szCs w:val="20"/>
        </w:rPr>
        <w:t>Aplicación</w:t>
      </w:r>
    </w:p>
    <w:p w14:paraId="74E92112"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Los elementos estructurales que se construirán con este tipo de acero son:</w:t>
      </w:r>
    </w:p>
    <w:p w14:paraId="2EA6B882" w14:textId="77777777" w:rsidR="00D50726" w:rsidRPr="00E01981" w:rsidRDefault="00D50726" w:rsidP="00221E1A">
      <w:pPr>
        <w:pStyle w:val="Prrafodelista"/>
        <w:numPr>
          <w:ilvl w:val="0"/>
          <w:numId w:val="174"/>
        </w:numPr>
        <w:spacing w:before="120" w:after="120" w:line="360" w:lineRule="auto"/>
        <w:jc w:val="both"/>
        <w:rPr>
          <w:rFonts w:ascii="Arial" w:hAnsi="Arial"/>
          <w:sz w:val="24"/>
          <w:lang w:eastAsia="es-ES"/>
        </w:rPr>
      </w:pPr>
      <w:r w:rsidRPr="00E01981">
        <w:rPr>
          <w:rFonts w:ascii="Arial" w:hAnsi="Arial"/>
          <w:sz w:val="24"/>
          <w:lang w:eastAsia="es-ES"/>
        </w:rPr>
        <w:t>platabanda inferior</w:t>
      </w:r>
    </w:p>
    <w:p w14:paraId="4D012E90" w14:textId="77777777" w:rsidR="00D50726" w:rsidRPr="00E01981" w:rsidRDefault="00D50726" w:rsidP="00221E1A">
      <w:pPr>
        <w:pStyle w:val="Prrafodelista"/>
        <w:numPr>
          <w:ilvl w:val="0"/>
          <w:numId w:val="174"/>
        </w:numPr>
        <w:spacing w:before="120" w:after="120" w:line="360" w:lineRule="auto"/>
        <w:jc w:val="both"/>
        <w:rPr>
          <w:rFonts w:ascii="Arial" w:hAnsi="Arial"/>
          <w:sz w:val="24"/>
          <w:lang w:eastAsia="es-ES"/>
        </w:rPr>
      </w:pPr>
      <w:r w:rsidRPr="00E01981">
        <w:rPr>
          <w:rFonts w:ascii="Arial" w:hAnsi="Arial"/>
          <w:sz w:val="24"/>
          <w:lang w:eastAsia="es-ES"/>
        </w:rPr>
        <w:t>almas</w:t>
      </w:r>
    </w:p>
    <w:p w14:paraId="41643443" w14:textId="77777777" w:rsidR="00D50726" w:rsidRPr="00E01981" w:rsidRDefault="00D50726" w:rsidP="00221E1A">
      <w:pPr>
        <w:pStyle w:val="Prrafodelista"/>
        <w:numPr>
          <w:ilvl w:val="0"/>
          <w:numId w:val="174"/>
        </w:numPr>
        <w:spacing w:before="120" w:after="120" w:line="360" w:lineRule="auto"/>
        <w:jc w:val="both"/>
        <w:rPr>
          <w:rFonts w:ascii="Arial" w:hAnsi="Arial"/>
          <w:sz w:val="24"/>
          <w:lang w:eastAsia="es-ES"/>
        </w:rPr>
      </w:pPr>
      <w:r w:rsidRPr="00E01981">
        <w:rPr>
          <w:rFonts w:ascii="Arial" w:hAnsi="Arial"/>
          <w:sz w:val="24"/>
          <w:lang w:eastAsia="es-ES"/>
        </w:rPr>
        <w:t>platabanda superior</w:t>
      </w:r>
    </w:p>
    <w:p w14:paraId="3C35C209" w14:textId="77777777" w:rsidR="00D50726" w:rsidRPr="00E01981" w:rsidRDefault="00D50726" w:rsidP="00221E1A">
      <w:pPr>
        <w:pStyle w:val="Prrafodelista"/>
        <w:numPr>
          <w:ilvl w:val="0"/>
          <w:numId w:val="174"/>
        </w:numPr>
        <w:spacing w:before="120" w:after="120" w:line="360" w:lineRule="auto"/>
        <w:jc w:val="both"/>
        <w:rPr>
          <w:rFonts w:ascii="Arial" w:hAnsi="Arial"/>
          <w:sz w:val="24"/>
          <w:lang w:eastAsia="es-ES"/>
        </w:rPr>
      </w:pPr>
      <w:r w:rsidRPr="00E01981">
        <w:rPr>
          <w:rFonts w:ascii="Arial" w:hAnsi="Arial"/>
          <w:sz w:val="24"/>
          <w:lang w:eastAsia="es-ES"/>
        </w:rPr>
        <w:t xml:space="preserve">rigidizadores de alma </w:t>
      </w:r>
    </w:p>
    <w:p w14:paraId="7561A8FC" w14:textId="77777777" w:rsidR="00D50726" w:rsidRDefault="00D50726" w:rsidP="00221E1A">
      <w:pPr>
        <w:pStyle w:val="Prrafodelista"/>
        <w:numPr>
          <w:ilvl w:val="0"/>
          <w:numId w:val="174"/>
        </w:numPr>
        <w:spacing w:before="120" w:after="120" w:line="360" w:lineRule="auto"/>
        <w:jc w:val="both"/>
        <w:rPr>
          <w:rFonts w:ascii="Arial" w:hAnsi="Arial"/>
          <w:sz w:val="24"/>
          <w:lang w:eastAsia="es-ES"/>
        </w:rPr>
      </w:pPr>
      <w:r w:rsidRPr="00E01981">
        <w:rPr>
          <w:rFonts w:ascii="Arial" w:hAnsi="Arial"/>
          <w:sz w:val="24"/>
          <w:lang w:eastAsia="es-ES"/>
        </w:rPr>
        <w:t>riostras</w:t>
      </w:r>
      <w:r w:rsidRPr="00E01981">
        <w:rPr>
          <w:rFonts w:ascii="Arial" w:hAnsi="Arial"/>
          <w:sz w:val="24"/>
          <w:lang w:eastAsia="es-ES"/>
        </w:rPr>
        <w:tab/>
      </w:r>
    </w:p>
    <w:p w14:paraId="3E9CC3F5" w14:textId="77777777" w:rsidR="008F328B" w:rsidRPr="008F328B" w:rsidRDefault="008F328B" w:rsidP="008F328B">
      <w:pPr>
        <w:spacing w:before="120" w:after="120" w:line="360" w:lineRule="auto"/>
        <w:jc w:val="both"/>
        <w:rPr>
          <w:rFonts w:ascii="Arial" w:hAnsi="Arial"/>
        </w:rPr>
      </w:pPr>
      <w:r>
        <w:rPr>
          <w:rFonts w:ascii="Arial" w:hAnsi="Arial"/>
        </w:rPr>
        <w:t>Así como todos aquellos que se definan en los planos</w:t>
      </w:r>
    </w:p>
    <w:p w14:paraId="1F1663F3" w14:textId="77777777" w:rsidR="00D50726" w:rsidRDefault="00D50726" w:rsidP="008F328B">
      <w:pPr>
        <w:spacing w:before="120" w:after="120" w:line="360" w:lineRule="auto"/>
        <w:jc w:val="both"/>
        <w:rPr>
          <w:rFonts w:ascii="Arial" w:hAnsi="Arial"/>
          <w:b/>
          <w:bCs/>
          <w:szCs w:val="20"/>
        </w:rPr>
      </w:pPr>
      <w:r w:rsidRPr="00FC7A5B">
        <w:rPr>
          <w:rFonts w:ascii="Arial" w:hAnsi="Arial"/>
          <w:b/>
          <w:bCs/>
          <w:szCs w:val="20"/>
        </w:rPr>
        <w:t>620.4.3</w:t>
      </w:r>
      <w:r w:rsidR="00B4423F">
        <w:rPr>
          <w:rFonts w:ascii="Arial" w:hAnsi="Arial"/>
          <w:b/>
          <w:bCs/>
          <w:szCs w:val="20"/>
        </w:rPr>
        <w:t xml:space="preserve">. </w:t>
      </w:r>
      <w:r w:rsidRPr="00FC7A5B">
        <w:rPr>
          <w:rFonts w:ascii="Arial" w:hAnsi="Arial"/>
          <w:b/>
          <w:bCs/>
          <w:szCs w:val="20"/>
        </w:rPr>
        <w:t>Características de los electrodos y consumibles de soldadura</w:t>
      </w:r>
    </w:p>
    <w:p w14:paraId="390521DE"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Los electrodos que se utilicen para el soldeo por arco en atmósfera de gas o arco </w:t>
      </w:r>
      <w:proofErr w:type="gramStart"/>
      <w:r w:rsidRPr="00FC7A5B">
        <w:rPr>
          <w:rFonts w:ascii="Arial" w:hAnsi="Arial"/>
          <w:szCs w:val="20"/>
        </w:rPr>
        <w:t>sumergido,</w:t>
      </w:r>
      <w:proofErr w:type="gramEnd"/>
      <w:r w:rsidRPr="00FC7A5B">
        <w:rPr>
          <w:rFonts w:ascii="Arial" w:hAnsi="Arial"/>
          <w:szCs w:val="20"/>
        </w:rPr>
        <w:t xml:space="preserve"> deberán presentar una composición química apropiada para conseguir un material depositado acorde al material base.  </w:t>
      </w:r>
    </w:p>
    <w:p w14:paraId="14F10B28" w14:textId="77777777" w:rsidR="00D50726" w:rsidRDefault="00D50726" w:rsidP="005609D6">
      <w:pPr>
        <w:spacing w:before="120" w:after="120" w:line="360" w:lineRule="auto"/>
        <w:jc w:val="both"/>
        <w:rPr>
          <w:rFonts w:ascii="Arial" w:hAnsi="Arial"/>
          <w:szCs w:val="20"/>
        </w:rPr>
      </w:pPr>
      <w:r w:rsidRPr="00FC7A5B">
        <w:rPr>
          <w:rFonts w:ascii="Arial" w:hAnsi="Arial"/>
          <w:szCs w:val="20"/>
        </w:rPr>
        <w:t>Los ensayos del material de aportación que se exijan se realizarán de acuerdo con lo previsto en la Norma UNE 14022.</w:t>
      </w:r>
    </w:p>
    <w:p w14:paraId="7E45B846" w14:textId="77777777" w:rsidR="00D50726" w:rsidRPr="008F328B" w:rsidRDefault="00205C8F" w:rsidP="000313DD">
      <w:pPr>
        <w:pStyle w:val="TITU2"/>
        <w:rPr>
          <w:lang w:val="es-ES_tradnl"/>
        </w:rPr>
      </w:pPr>
      <w:bookmarkStart w:id="755" w:name="_Toc433280479"/>
      <w:bookmarkStart w:id="756" w:name="_Toc448916062"/>
      <w:bookmarkStart w:id="757" w:name="_Toc404432"/>
      <w:r>
        <w:rPr>
          <w:lang w:val="es-ES_tradnl"/>
        </w:rPr>
        <w:t xml:space="preserve">620.5. </w:t>
      </w:r>
      <w:r w:rsidR="00D50726" w:rsidRPr="008F328B">
        <w:rPr>
          <w:lang w:val="es-ES_tradnl"/>
        </w:rPr>
        <w:tab/>
        <w:t>Ejecuci</w:t>
      </w:r>
      <w:r w:rsidR="00D50726" w:rsidRPr="008F328B">
        <w:rPr>
          <w:rFonts w:hint="eastAsia"/>
          <w:lang w:val="es-ES_tradnl"/>
        </w:rPr>
        <w:t>ó</w:t>
      </w:r>
      <w:r w:rsidR="00D50726" w:rsidRPr="008F328B">
        <w:rPr>
          <w:lang w:val="es-ES_tradnl"/>
        </w:rPr>
        <w:t>n</w:t>
      </w:r>
      <w:bookmarkEnd w:id="753"/>
      <w:bookmarkEnd w:id="754"/>
      <w:bookmarkEnd w:id="755"/>
      <w:bookmarkEnd w:id="756"/>
      <w:r w:rsidR="008F328B" w:rsidRPr="008F328B">
        <w:rPr>
          <w:lang w:val="es-ES_tradnl"/>
        </w:rPr>
        <w:t xml:space="preserve"> de las obras</w:t>
      </w:r>
      <w:bookmarkEnd w:id="757"/>
    </w:p>
    <w:p w14:paraId="53BB3EDA"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El Contratista comunicará por escrito al </w:t>
      </w:r>
      <w:proofErr w:type="gramStart"/>
      <w:r w:rsidRPr="00FC7A5B">
        <w:rPr>
          <w:rFonts w:ascii="Arial" w:hAnsi="Arial"/>
          <w:szCs w:val="20"/>
        </w:rPr>
        <w:t>Director</w:t>
      </w:r>
      <w:proofErr w:type="gramEnd"/>
      <w:r w:rsidRPr="00FC7A5B">
        <w:rPr>
          <w:rFonts w:ascii="Arial" w:hAnsi="Arial"/>
          <w:szCs w:val="20"/>
        </w:rPr>
        <w:t xml:space="preserve"> de las Obras, antes de transcurridos treinta días (30 d) desde la fecha de firma del acta de comprobación del replanteo, la relación completa de las empresas suministradoras de los perfiles y chapas laminados en caliente, para estructuras metálicas, objeto del proyecto, así como la marca comercial, o referencia que dichas empresas dan a esa clase y calidad.</w:t>
      </w:r>
    </w:p>
    <w:p w14:paraId="516720EA"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Toda la ejecución de la estructura metálica, salvo indicación expresa en contrario, cumplirá lo que al efecto indica UNE</w:t>
      </w:r>
      <w:r w:rsidR="005609C2">
        <w:rPr>
          <w:rFonts w:ascii="Arial" w:hAnsi="Arial"/>
          <w:szCs w:val="20"/>
        </w:rPr>
        <w:t>-</w:t>
      </w:r>
      <w:r w:rsidRPr="00FC7A5B">
        <w:rPr>
          <w:rFonts w:ascii="Arial" w:hAnsi="Arial"/>
          <w:szCs w:val="20"/>
        </w:rPr>
        <w:t>ENV 1090: Ejecución de estructuras de acero.</w:t>
      </w:r>
    </w:p>
    <w:p w14:paraId="7C66842D"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Asimismo, y en su campo de aplicación son también de aplicación:</w:t>
      </w:r>
    </w:p>
    <w:p w14:paraId="03E9A405" w14:textId="77777777" w:rsidR="00D50726" w:rsidRPr="00E01981" w:rsidRDefault="00D50726" w:rsidP="008F328B">
      <w:pPr>
        <w:pStyle w:val="NORMAL12"/>
        <w:numPr>
          <w:ilvl w:val="0"/>
          <w:numId w:val="71"/>
        </w:numPr>
      </w:pPr>
      <w:r w:rsidRPr="00E01981">
        <w:t>Inspección de chapas por ultrasonidos Norma UNE-EN 10160:2000.</w:t>
      </w:r>
    </w:p>
    <w:p w14:paraId="3545F60F" w14:textId="77777777" w:rsidR="00D50726" w:rsidRPr="00E01981" w:rsidRDefault="00D50726" w:rsidP="008F328B">
      <w:pPr>
        <w:pStyle w:val="NORMAL12"/>
        <w:numPr>
          <w:ilvl w:val="0"/>
          <w:numId w:val="71"/>
        </w:numPr>
      </w:pPr>
      <w:r w:rsidRPr="00E01981">
        <w:t>Calificación de soldadores. Norma UNE-EN 287-1:2004.</w:t>
      </w:r>
    </w:p>
    <w:p w14:paraId="57FD77A9" w14:textId="77777777" w:rsidR="00D50726" w:rsidRPr="00E01981" w:rsidRDefault="00D50726" w:rsidP="008F328B">
      <w:pPr>
        <w:pStyle w:val="NORMAL12"/>
        <w:numPr>
          <w:ilvl w:val="0"/>
          <w:numId w:val="71"/>
        </w:numPr>
      </w:pPr>
      <w:r w:rsidRPr="00E01981">
        <w:t>Calificación de las soldaduras por Rayos X. Norma UNE-EN 12517-1: 2006.</w:t>
      </w:r>
    </w:p>
    <w:p w14:paraId="31E482E9" w14:textId="77777777" w:rsidR="00D50726" w:rsidRPr="00E01981" w:rsidRDefault="00D50726" w:rsidP="008F328B">
      <w:pPr>
        <w:pStyle w:val="NORMAL12"/>
        <w:numPr>
          <w:ilvl w:val="0"/>
          <w:numId w:val="71"/>
        </w:numPr>
      </w:pPr>
      <w:r w:rsidRPr="00E01981">
        <w:t>Instrucción para la realización y control de imágenes de ensayos de uniones soldadas con Rayos Roentgen y Gamma.  Normas DIN 54111 y 54109.</w:t>
      </w:r>
    </w:p>
    <w:p w14:paraId="267EE96E" w14:textId="77777777" w:rsidR="00D50726" w:rsidRPr="002D78A2" w:rsidRDefault="00D50726" w:rsidP="000313DD">
      <w:pPr>
        <w:pStyle w:val="TITU2"/>
        <w:rPr>
          <w:lang w:val="es-ES_tradnl"/>
        </w:rPr>
      </w:pPr>
      <w:bookmarkStart w:id="758" w:name="_Toc399509007"/>
      <w:bookmarkStart w:id="759" w:name="_Toc411505888"/>
      <w:bookmarkStart w:id="760" w:name="_Toc433280480"/>
      <w:bookmarkStart w:id="761" w:name="_Toc448916063"/>
      <w:bookmarkStart w:id="762" w:name="_Toc404433"/>
      <w:r w:rsidRPr="002D78A2">
        <w:rPr>
          <w:lang w:val="es-ES_tradnl"/>
        </w:rPr>
        <w:t>620.6.</w:t>
      </w:r>
      <w:r w:rsidR="008F328B">
        <w:rPr>
          <w:lang w:val="es-ES_tradnl"/>
        </w:rPr>
        <w:t xml:space="preserve"> </w:t>
      </w:r>
      <w:r w:rsidRPr="002D78A2">
        <w:rPr>
          <w:lang w:val="es-ES_tradnl"/>
        </w:rPr>
        <w:tab/>
        <w:t>Control de calidad</w:t>
      </w:r>
      <w:bookmarkEnd w:id="758"/>
      <w:bookmarkEnd w:id="759"/>
      <w:bookmarkEnd w:id="760"/>
      <w:bookmarkEnd w:id="761"/>
      <w:bookmarkEnd w:id="762"/>
    </w:p>
    <w:p w14:paraId="6DCDF10F" w14:textId="77777777" w:rsidR="00D50726" w:rsidRPr="00FC7A5B" w:rsidRDefault="00D50726" w:rsidP="00D50726">
      <w:pPr>
        <w:spacing w:before="120" w:after="120" w:line="360" w:lineRule="auto"/>
        <w:jc w:val="both"/>
        <w:rPr>
          <w:rFonts w:ascii="Arial" w:hAnsi="Arial"/>
          <w:b/>
          <w:bCs/>
          <w:szCs w:val="20"/>
        </w:rPr>
      </w:pPr>
      <w:r w:rsidRPr="00FC7A5B">
        <w:rPr>
          <w:rFonts w:ascii="Arial" w:hAnsi="Arial"/>
          <w:b/>
          <w:bCs/>
          <w:szCs w:val="20"/>
        </w:rPr>
        <w:t>620.6.1</w:t>
      </w:r>
      <w:r w:rsidR="008F328B">
        <w:rPr>
          <w:rFonts w:ascii="Arial" w:hAnsi="Arial"/>
          <w:b/>
          <w:bCs/>
          <w:szCs w:val="20"/>
        </w:rPr>
        <w:t xml:space="preserve">. </w:t>
      </w:r>
      <w:r w:rsidRPr="00FC7A5B">
        <w:rPr>
          <w:rFonts w:ascii="Arial" w:hAnsi="Arial"/>
          <w:b/>
          <w:bCs/>
          <w:szCs w:val="20"/>
        </w:rPr>
        <w:t>Normativas</w:t>
      </w:r>
    </w:p>
    <w:p w14:paraId="10A5ACF6"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Dado que el campo de la Normativa de Control de Calidad en estructuras metálicas es de gran amplitud y especificidad, el taller metálico podrá proponer las modificaciones que considere convenientes a las Normativas específicas de control que figuran en el </w:t>
      </w:r>
      <w:r w:rsidRPr="00FC7A5B">
        <w:rPr>
          <w:rFonts w:ascii="Arial" w:hAnsi="Arial"/>
          <w:szCs w:val="20"/>
        </w:rPr>
        <w:lastRenderedPageBreak/>
        <w:t xml:space="preserve">Pliego, siempre que el nivel de control y exigencia que se establezca resulte equivalente al que figura en el Pliego. Las modificaciones que se establezcan deberán ser autoriza-das previamente por </w:t>
      </w:r>
      <w:r w:rsidR="009F1466">
        <w:rPr>
          <w:rFonts w:ascii="Arial" w:hAnsi="Arial"/>
          <w:szCs w:val="20"/>
        </w:rPr>
        <w:t xml:space="preserve">el </w:t>
      </w:r>
      <w:proofErr w:type="gramStart"/>
      <w:r w:rsidR="009F1466">
        <w:rPr>
          <w:rFonts w:ascii="Arial" w:hAnsi="Arial"/>
          <w:szCs w:val="20"/>
        </w:rPr>
        <w:t>Director</w:t>
      </w:r>
      <w:proofErr w:type="gramEnd"/>
      <w:r w:rsidR="009F1466">
        <w:rPr>
          <w:rFonts w:ascii="Arial" w:hAnsi="Arial"/>
          <w:szCs w:val="20"/>
        </w:rPr>
        <w:t xml:space="preserve"> de Obra</w:t>
      </w:r>
      <w:r w:rsidRPr="00FC7A5B">
        <w:rPr>
          <w:rFonts w:ascii="Arial" w:hAnsi="Arial"/>
          <w:szCs w:val="20"/>
        </w:rPr>
        <w:t>.</w:t>
      </w:r>
    </w:p>
    <w:p w14:paraId="3EE90B0C" w14:textId="77777777" w:rsidR="00D50726" w:rsidRPr="00FC7A5B" w:rsidRDefault="00D50726" w:rsidP="00D50726">
      <w:pPr>
        <w:spacing w:before="120" w:after="120" w:line="360" w:lineRule="auto"/>
        <w:jc w:val="both"/>
        <w:rPr>
          <w:rFonts w:ascii="Arial" w:hAnsi="Arial"/>
          <w:b/>
          <w:bCs/>
          <w:szCs w:val="20"/>
        </w:rPr>
      </w:pPr>
      <w:r w:rsidRPr="00FC7A5B">
        <w:rPr>
          <w:rFonts w:ascii="Arial" w:hAnsi="Arial"/>
          <w:b/>
          <w:bCs/>
          <w:szCs w:val="20"/>
        </w:rPr>
        <w:t>620.6.2</w:t>
      </w:r>
      <w:r w:rsidR="008F328B">
        <w:rPr>
          <w:rFonts w:ascii="Arial" w:hAnsi="Arial"/>
          <w:b/>
          <w:bCs/>
          <w:szCs w:val="20"/>
        </w:rPr>
        <w:t xml:space="preserve">. </w:t>
      </w:r>
      <w:r w:rsidRPr="00FC7A5B">
        <w:rPr>
          <w:rFonts w:ascii="Arial" w:hAnsi="Arial"/>
          <w:b/>
          <w:bCs/>
          <w:szCs w:val="20"/>
        </w:rPr>
        <w:t>Suministro</w:t>
      </w:r>
    </w:p>
    <w:p w14:paraId="0D598F3F"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A los efectos del control del suministro de los productos de acero laminados en caliente para estructuras metálicas, se denomina partida al material que simultáneamente cumpla las siguientes condiciones:</w:t>
      </w:r>
    </w:p>
    <w:p w14:paraId="3FD92D18" w14:textId="77777777" w:rsidR="00E01981" w:rsidRPr="00E01981" w:rsidRDefault="00D50726" w:rsidP="00221E1A">
      <w:pPr>
        <w:pStyle w:val="Prrafodelista"/>
        <w:numPr>
          <w:ilvl w:val="0"/>
          <w:numId w:val="175"/>
        </w:numPr>
        <w:spacing w:before="120" w:after="120" w:line="360" w:lineRule="auto"/>
        <w:jc w:val="both"/>
        <w:rPr>
          <w:rFonts w:ascii="Arial" w:hAnsi="Arial"/>
          <w:noProof/>
          <w:sz w:val="24"/>
          <w:szCs w:val="24"/>
        </w:rPr>
      </w:pPr>
      <w:r w:rsidRPr="00E01981">
        <w:rPr>
          <w:rFonts w:ascii="Arial" w:hAnsi="Arial"/>
          <w:noProof/>
          <w:sz w:val="24"/>
          <w:szCs w:val="24"/>
        </w:rPr>
        <w:t>Que pertenezcan a una de las series de productos citados en la tabla 620.1.</w:t>
      </w:r>
    </w:p>
    <w:p w14:paraId="09A3B6F5" w14:textId="77777777" w:rsidR="00D50726" w:rsidRPr="00E01981" w:rsidRDefault="00D50726" w:rsidP="00221E1A">
      <w:pPr>
        <w:pStyle w:val="Prrafodelista"/>
        <w:numPr>
          <w:ilvl w:val="0"/>
          <w:numId w:val="175"/>
        </w:numPr>
        <w:spacing w:before="120" w:after="120" w:line="360" w:lineRule="auto"/>
        <w:jc w:val="both"/>
        <w:rPr>
          <w:rFonts w:ascii="Arial" w:hAnsi="Arial"/>
          <w:noProof/>
          <w:sz w:val="24"/>
          <w:szCs w:val="24"/>
        </w:rPr>
      </w:pPr>
      <w:r w:rsidRPr="00E01981">
        <w:rPr>
          <w:rFonts w:ascii="Arial" w:hAnsi="Arial"/>
          <w:noProof/>
          <w:sz w:val="24"/>
          <w:szCs w:val="24"/>
        </w:rPr>
        <w:t>Que corresponda al mismo tipo y grado de acero</w:t>
      </w:r>
    </w:p>
    <w:p w14:paraId="68AE822F" w14:textId="77777777" w:rsidR="00D50726" w:rsidRPr="00E01981" w:rsidRDefault="00D50726" w:rsidP="00221E1A">
      <w:pPr>
        <w:pStyle w:val="Prrafodelista"/>
        <w:numPr>
          <w:ilvl w:val="0"/>
          <w:numId w:val="175"/>
        </w:numPr>
        <w:spacing w:before="120" w:after="120" w:line="360" w:lineRule="auto"/>
        <w:jc w:val="both"/>
        <w:rPr>
          <w:rFonts w:ascii="Arial" w:hAnsi="Arial"/>
          <w:noProof/>
          <w:sz w:val="24"/>
          <w:szCs w:val="24"/>
        </w:rPr>
      </w:pPr>
      <w:r w:rsidRPr="00E01981">
        <w:rPr>
          <w:rFonts w:ascii="Arial" w:hAnsi="Arial"/>
          <w:noProof/>
          <w:sz w:val="24"/>
          <w:szCs w:val="24"/>
        </w:rPr>
        <w:t>Que proceda de un mismo fabricante</w:t>
      </w:r>
    </w:p>
    <w:p w14:paraId="09C53339" w14:textId="77777777" w:rsidR="00D50726" w:rsidRPr="00E01981" w:rsidRDefault="00D50726" w:rsidP="00221E1A">
      <w:pPr>
        <w:pStyle w:val="Prrafodelista"/>
        <w:numPr>
          <w:ilvl w:val="0"/>
          <w:numId w:val="175"/>
        </w:numPr>
        <w:spacing w:before="120" w:after="120" w:line="360" w:lineRule="auto"/>
        <w:jc w:val="both"/>
        <w:rPr>
          <w:rFonts w:ascii="Arial" w:hAnsi="Arial"/>
          <w:noProof/>
          <w:sz w:val="24"/>
          <w:szCs w:val="24"/>
        </w:rPr>
      </w:pPr>
      <w:r w:rsidRPr="00E01981">
        <w:rPr>
          <w:rFonts w:ascii="Arial" w:hAnsi="Arial"/>
          <w:noProof/>
          <w:sz w:val="24"/>
          <w:szCs w:val="24"/>
        </w:rPr>
        <w:t>Que hayan sido suministrados de una vez</w:t>
      </w:r>
    </w:p>
    <w:p w14:paraId="6D4AC5A1"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No podrán utilizarse productos de acero laminados en caliente para estructuras metálicas que no lleguen acompañados de la documentación indicada a continuación.</w:t>
      </w:r>
    </w:p>
    <w:p w14:paraId="688CACF8" w14:textId="77777777" w:rsidR="00D50726" w:rsidRPr="00FC7A5B" w:rsidRDefault="00D50726" w:rsidP="00D50726">
      <w:pPr>
        <w:spacing w:before="120" w:after="120" w:line="360" w:lineRule="auto"/>
        <w:jc w:val="both"/>
        <w:rPr>
          <w:rFonts w:ascii="Arial" w:hAnsi="Arial"/>
          <w:szCs w:val="20"/>
        </w:rPr>
      </w:pPr>
      <w:r w:rsidRPr="00FC7A5B">
        <w:rPr>
          <w:rFonts w:ascii="Arial" w:hAnsi="Arial"/>
          <w:szCs w:val="20"/>
        </w:rPr>
        <w:t>A la entrega de cada suministro se aportará un albarán con documentación anexa, conteniendo, entre otros, los siguientes datos:</w:t>
      </w:r>
    </w:p>
    <w:p w14:paraId="77D48D1E" w14:textId="77777777" w:rsidR="00D50726" w:rsidRPr="009F3E93" w:rsidRDefault="00D50726" w:rsidP="009F3E93">
      <w:pPr>
        <w:pStyle w:val="NORMAL12"/>
        <w:numPr>
          <w:ilvl w:val="0"/>
          <w:numId w:val="71"/>
        </w:numPr>
      </w:pPr>
      <w:r w:rsidRPr="009F3E93">
        <w:t>Nombre y dirección de la empresa suministradora;</w:t>
      </w:r>
    </w:p>
    <w:p w14:paraId="3036AEBC" w14:textId="77777777" w:rsidR="00D50726" w:rsidRPr="009F3E93" w:rsidRDefault="00D50726" w:rsidP="009F3E93">
      <w:pPr>
        <w:pStyle w:val="NORMAL12"/>
        <w:numPr>
          <w:ilvl w:val="0"/>
          <w:numId w:val="71"/>
        </w:numPr>
      </w:pPr>
      <w:r w:rsidRPr="009F3E93">
        <w:t>Fecha de suministro;</w:t>
      </w:r>
    </w:p>
    <w:p w14:paraId="3CDA3F6F" w14:textId="77777777" w:rsidR="00D50726" w:rsidRPr="009F3E93" w:rsidRDefault="00D50726" w:rsidP="009F3E93">
      <w:pPr>
        <w:pStyle w:val="NORMAL12"/>
        <w:numPr>
          <w:ilvl w:val="0"/>
          <w:numId w:val="71"/>
        </w:numPr>
      </w:pPr>
      <w:r w:rsidRPr="009F3E93">
        <w:t>Identificación del vehículo que lo transporta;</w:t>
      </w:r>
    </w:p>
    <w:p w14:paraId="1BC056B3" w14:textId="77777777" w:rsidR="00D50726" w:rsidRPr="009F3E93" w:rsidRDefault="00D50726" w:rsidP="009F3E93">
      <w:pPr>
        <w:pStyle w:val="NORMAL12"/>
        <w:numPr>
          <w:ilvl w:val="0"/>
          <w:numId w:val="71"/>
        </w:numPr>
      </w:pPr>
      <w:r w:rsidRPr="009F3E93">
        <w:t>Numero de partidas que componen el suministro, identificando, para cada partida, al fabricante y su contenido (peso, número de perfiles o chapas, tipo de producto según se indica en la tabla 620.1, tipo y grado de acero según se indica en la tabla 620.2).</w:t>
      </w:r>
    </w:p>
    <w:p w14:paraId="3CCACE8B"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Además, cada partida deberá llegar acompañada de la siguiente documentación, según el caso:</w:t>
      </w:r>
    </w:p>
    <w:p w14:paraId="4B628935" w14:textId="77777777" w:rsidR="00D50726" w:rsidRPr="009F3E93" w:rsidRDefault="00D50726" w:rsidP="009F3E93">
      <w:pPr>
        <w:pStyle w:val="NORMAL12"/>
        <w:numPr>
          <w:ilvl w:val="0"/>
          <w:numId w:val="71"/>
        </w:numPr>
      </w:pPr>
      <w:r w:rsidRPr="009F3E93">
        <w:t>Si se trata de una partida con una marca, sello o distintivo de calidad reconocido (620.8):</w:t>
      </w:r>
    </w:p>
    <w:p w14:paraId="1E368083" w14:textId="77777777" w:rsidR="00D50726" w:rsidRPr="009F3E93" w:rsidRDefault="00D50726" w:rsidP="009F3E93">
      <w:pPr>
        <w:pStyle w:val="NORMAL12"/>
        <w:numPr>
          <w:ilvl w:val="1"/>
          <w:numId w:val="71"/>
        </w:numPr>
      </w:pPr>
      <w:r w:rsidRPr="009F3E93">
        <w:t>Documento acreditativo de que la partida está en posesión de una marca, sello o distintivo de calidad reconocido.</w:t>
      </w:r>
    </w:p>
    <w:p w14:paraId="2BECD54B" w14:textId="77777777" w:rsidR="00D50726" w:rsidRPr="009F3E93" w:rsidRDefault="00D50726" w:rsidP="009F3E93">
      <w:pPr>
        <w:pStyle w:val="NORMAL12"/>
        <w:numPr>
          <w:ilvl w:val="1"/>
          <w:numId w:val="71"/>
        </w:numPr>
      </w:pPr>
      <w:r w:rsidRPr="009F3E93">
        <w:t>Certificado del fabricante, firmado por persona física, en el que se indiquen los valores de las diferentes características según se especifica en el apartado 620.3, que justifiquen que los productos de acero laminados en caliente para estructuras metálicas cumplen las exigencias contenidas en este articulo</w:t>
      </w:r>
    </w:p>
    <w:p w14:paraId="37BF5E76" w14:textId="77777777" w:rsidR="00D50726" w:rsidRPr="00FC7A5B" w:rsidRDefault="00D84919" w:rsidP="005609D6">
      <w:pPr>
        <w:spacing w:before="120" w:after="120" w:line="360" w:lineRule="auto"/>
        <w:jc w:val="both"/>
        <w:rPr>
          <w:rFonts w:ascii="Arial" w:hAnsi="Arial"/>
          <w:noProof/>
          <w:szCs w:val="20"/>
        </w:rPr>
      </w:pPr>
      <w:r>
        <w:rPr>
          <w:rFonts w:ascii="Arial" w:hAnsi="Arial"/>
          <w:noProof/>
          <w:szCs w:val="20"/>
        </w:rPr>
        <w:t xml:space="preserve">No se admiten partidas </w:t>
      </w:r>
      <w:r w:rsidR="00D50726" w:rsidRPr="00FC7A5B">
        <w:rPr>
          <w:rFonts w:ascii="Arial" w:hAnsi="Arial"/>
          <w:noProof/>
          <w:szCs w:val="20"/>
        </w:rPr>
        <w:t>sin una marca, sello o distintivo de calidad reconocido</w:t>
      </w:r>
      <w:r w:rsidR="00C61E14">
        <w:rPr>
          <w:rFonts w:ascii="Arial" w:hAnsi="Arial"/>
          <w:noProof/>
          <w:szCs w:val="20"/>
        </w:rPr>
        <w:t>.</w:t>
      </w:r>
    </w:p>
    <w:p w14:paraId="4397A1E5"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Una vez comprobada la documentación que debe acompañar al suministro, se deberá </w:t>
      </w:r>
      <w:proofErr w:type="gramStart"/>
      <w:r w:rsidRPr="00FC7A5B">
        <w:rPr>
          <w:rFonts w:ascii="Arial" w:hAnsi="Arial"/>
          <w:szCs w:val="20"/>
        </w:rPr>
        <w:t>proceder a comprobar</w:t>
      </w:r>
      <w:proofErr w:type="gramEnd"/>
      <w:r w:rsidRPr="00FC7A5B">
        <w:rPr>
          <w:rFonts w:ascii="Arial" w:hAnsi="Arial"/>
          <w:szCs w:val="20"/>
        </w:rPr>
        <w:t xml:space="preserve"> el correcto marcado de los productos según los criterios siguientes:</w:t>
      </w:r>
    </w:p>
    <w:p w14:paraId="2B2A9D8B" w14:textId="77777777" w:rsidR="00D50726" w:rsidRPr="00FC7A5B" w:rsidRDefault="00D50726" w:rsidP="009F3E93">
      <w:pPr>
        <w:pStyle w:val="NORMAL12"/>
        <w:numPr>
          <w:ilvl w:val="0"/>
          <w:numId w:val="71"/>
        </w:numPr>
        <w:rPr>
          <w:noProof/>
          <w:szCs w:val="20"/>
        </w:rPr>
      </w:pPr>
      <w:r w:rsidRPr="00FC7A5B">
        <w:rPr>
          <w:noProof/>
          <w:szCs w:val="20"/>
        </w:rPr>
        <w:t>Los perfiles y secciones de los tipos U normal (UPN), IPE, I con alas inclinadas (antiguo IPN) y HE de alas anchas y caras paralelas (HEB, HEA, HEM), llevarán la identificación del fabricante estampada en caliente, mediante los rodillos de laminación, a intervalos de dos mil quinientos milímetros (2.500 mm) como máximo, además deberá marcarse la designación abreviada del producto y del tipo y grado de acero, así como la identificación de la colada de procedencia, mediante pintado o grabado. Esta información, completa y fácilmente identificable, deberá figurar en todos y cada uno de los perfiles individuales.</w:t>
      </w:r>
    </w:p>
    <w:p w14:paraId="1CEA9EB0" w14:textId="77777777" w:rsidR="00D50726" w:rsidRPr="00FC7A5B" w:rsidRDefault="00D50726" w:rsidP="009F3E93">
      <w:pPr>
        <w:pStyle w:val="NORMAL12"/>
        <w:numPr>
          <w:ilvl w:val="0"/>
          <w:numId w:val="71"/>
        </w:numPr>
        <w:rPr>
          <w:noProof/>
          <w:szCs w:val="20"/>
        </w:rPr>
      </w:pPr>
      <w:r w:rsidRPr="00FC7A5B">
        <w:rPr>
          <w:noProof/>
          <w:szCs w:val="20"/>
        </w:rPr>
        <w:t>Los perfiles y secciones de los tipos U comercial, T con alas iguales y aristas redondeadas, los angulares de lados iguales o desiguales, los redondos, los cuadrados, los hexagonales y los perfiles rectangulares de canto vivo, llevarán la identificación del fabricante, la designación abreviada del producto y del tipo y grado de acero, así como la identificación de la colada de procedencia, mediante un método a elección del fabricante.</w:t>
      </w:r>
    </w:p>
    <w:p w14:paraId="6FD67A76" w14:textId="77777777" w:rsidR="00D50726" w:rsidRPr="00FC7A5B" w:rsidRDefault="00D50726" w:rsidP="009F3E93">
      <w:pPr>
        <w:pStyle w:val="NORMAL12"/>
        <w:numPr>
          <w:ilvl w:val="0"/>
          <w:numId w:val="71"/>
        </w:numPr>
        <w:rPr>
          <w:noProof/>
          <w:szCs w:val="20"/>
        </w:rPr>
      </w:pPr>
      <w:r w:rsidRPr="00FC7A5B">
        <w:rPr>
          <w:noProof/>
          <w:szCs w:val="20"/>
        </w:rPr>
        <w:t>Las chapas y planos anchos de espesor ≥3 mm y ancho ≥1500 mm llevarán la marca de identificación del fabricante, el número de la pieza, el número de colada, las dimensiones, y la designación del tipo y grado del acero, pintados y troquelados.</w:t>
      </w:r>
    </w:p>
    <w:p w14:paraId="1224E75F"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No podrán utilizarse productos de acero laminados en caliente para estructuras metálicas que no estén correctamente marcados.</w:t>
      </w:r>
    </w:p>
    <w:p w14:paraId="2CCCED92" w14:textId="77777777" w:rsidR="00D50726" w:rsidRPr="00FC7A5B" w:rsidRDefault="00D50726" w:rsidP="00D50726">
      <w:pPr>
        <w:spacing w:before="120" w:after="120" w:line="360" w:lineRule="auto"/>
        <w:jc w:val="both"/>
        <w:rPr>
          <w:rFonts w:ascii="Arial" w:hAnsi="Arial"/>
          <w:b/>
          <w:bCs/>
          <w:szCs w:val="20"/>
        </w:rPr>
      </w:pPr>
      <w:r w:rsidRPr="00FC7A5B">
        <w:rPr>
          <w:rFonts w:ascii="Arial" w:hAnsi="Arial"/>
          <w:b/>
          <w:bCs/>
          <w:szCs w:val="20"/>
        </w:rPr>
        <w:lastRenderedPageBreak/>
        <w:t>620.6.3</w:t>
      </w:r>
      <w:r w:rsidR="009F3E93">
        <w:rPr>
          <w:rFonts w:ascii="Arial" w:hAnsi="Arial"/>
          <w:b/>
          <w:bCs/>
          <w:szCs w:val="20"/>
        </w:rPr>
        <w:t xml:space="preserve">. </w:t>
      </w:r>
      <w:r w:rsidRPr="00FC7A5B">
        <w:rPr>
          <w:rFonts w:ascii="Arial" w:hAnsi="Arial"/>
          <w:b/>
          <w:bCs/>
          <w:szCs w:val="20"/>
        </w:rPr>
        <w:t>Recepción de materiales</w:t>
      </w:r>
    </w:p>
    <w:p w14:paraId="4CC2CD82"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Con anterioridad a la fabricación en taller y al control de los sistemas de soldeo a emplear, se procederá a la homologación de los materiales de base y de aportación a utilizar, en presencia del Inspector del Laboratorio Responsable del Control, con arreglo a los siguientes criterios:</w:t>
      </w:r>
    </w:p>
    <w:p w14:paraId="6852DB67" w14:textId="77777777" w:rsidR="00D50726" w:rsidRPr="00FC7A5B" w:rsidRDefault="00D50726" w:rsidP="009F3E93">
      <w:pPr>
        <w:spacing w:before="120" w:after="120" w:line="360" w:lineRule="auto"/>
        <w:jc w:val="both"/>
        <w:rPr>
          <w:rFonts w:ascii="Arial" w:hAnsi="Arial"/>
          <w:szCs w:val="20"/>
          <w:u w:val="single"/>
        </w:rPr>
      </w:pPr>
      <w:r w:rsidRPr="00FC7A5B">
        <w:rPr>
          <w:rFonts w:ascii="Arial" w:hAnsi="Arial"/>
          <w:szCs w:val="20"/>
          <w:u w:val="single"/>
        </w:rPr>
        <w:t>Recepción del material base</w:t>
      </w:r>
    </w:p>
    <w:p w14:paraId="4DB7DCD4"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Todos los materiales deben ir acompañados de su certificado de control, emitido por el fabricante según la Norma UNE-EN 10021.</w:t>
      </w:r>
    </w:p>
    <w:p w14:paraId="219F85C3"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El certificado deberá acreditar la realización de todos los ensayos de comprobación de las características físicas, químicas y mecánicas que caracterizan al material base. Si no se hubieran realizado todos los ensayos correspondientes, será </w:t>
      </w:r>
      <w:r w:rsidR="00D93E76" w:rsidRPr="00FC7A5B">
        <w:rPr>
          <w:rFonts w:ascii="Arial" w:hAnsi="Arial"/>
          <w:szCs w:val="20"/>
        </w:rPr>
        <w:t>precisa</w:t>
      </w:r>
      <w:r w:rsidRPr="00FC7A5B">
        <w:rPr>
          <w:rFonts w:ascii="Arial" w:hAnsi="Arial"/>
          <w:szCs w:val="20"/>
        </w:rPr>
        <w:t xml:space="preserve"> la realización de éstos a cargo del Contratista.</w:t>
      </w:r>
    </w:p>
    <w:p w14:paraId="7FDB4E05"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Asimismo, y antes de que el material sea expedido por la Siderurgia, se procederá a la inspección de los productos de chapa por ultrasonidos, y, en su caso, curvas de transición del ensayo Charpy que amplían el ensayo estándar de resiliencia, quedando el material aceptado una vez realizados estos ensayos si los resultados son favorables.</w:t>
      </w:r>
    </w:p>
    <w:p w14:paraId="1B4D2143"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En el apartado de Programa de Control de Calidad se establece el número de chapas a controlar por ultrasonidos, y el alcance de los ensayos de curvas de transición a realizar.</w:t>
      </w:r>
    </w:p>
    <w:p w14:paraId="7901BC29" w14:textId="77777777" w:rsidR="00D50726" w:rsidRPr="00FC7A5B" w:rsidRDefault="00D50726" w:rsidP="009F3E93">
      <w:pPr>
        <w:spacing w:before="120" w:after="120" w:line="360" w:lineRule="auto"/>
        <w:jc w:val="both"/>
        <w:rPr>
          <w:rFonts w:ascii="Arial" w:hAnsi="Arial"/>
          <w:szCs w:val="20"/>
          <w:u w:val="single"/>
        </w:rPr>
      </w:pPr>
      <w:r w:rsidRPr="00FC7A5B">
        <w:rPr>
          <w:rFonts w:ascii="Arial" w:hAnsi="Arial"/>
          <w:szCs w:val="20"/>
          <w:u w:val="single"/>
        </w:rPr>
        <w:t>Recepción del material de aportación</w:t>
      </w:r>
    </w:p>
    <w:p w14:paraId="529C7345"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De todas las partidas empleadas se exigirá el correspondiente Certificado de Calidad emitido, por el fabricante, donde expresamente deberá acreditar, en su </w:t>
      </w:r>
      <w:proofErr w:type="gramStart"/>
      <w:r w:rsidRPr="00FC7A5B">
        <w:rPr>
          <w:rFonts w:ascii="Arial" w:hAnsi="Arial"/>
          <w:szCs w:val="20"/>
        </w:rPr>
        <w:t>caso,  su</w:t>
      </w:r>
      <w:proofErr w:type="gramEnd"/>
      <w:r w:rsidRPr="00FC7A5B">
        <w:rPr>
          <w:rFonts w:ascii="Arial" w:hAnsi="Arial"/>
          <w:szCs w:val="20"/>
        </w:rPr>
        <w:t xml:space="preserve"> compatibilidad con las características anticorrosivas del material base.</w:t>
      </w:r>
    </w:p>
    <w:p w14:paraId="56FEFA01"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Caso de que el taller no pueda aportar los Certificados de Calidad de determinada partida de material, previamente a la puesta en obra </w:t>
      </w:r>
      <w:proofErr w:type="gramStart"/>
      <w:r w:rsidRPr="00FC7A5B">
        <w:rPr>
          <w:rFonts w:ascii="Arial" w:hAnsi="Arial"/>
          <w:szCs w:val="20"/>
        </w:rPr>
        <w:t>del mismo</w:t>
      </w:r>
      <w:proofErr w:type="gramEnd"/>
      <w:r w:rsidRPr="00FC7A5B">
        <w:rPr>
          <w:rFonts w:ascii="Arial" w:hAnsi="Arial"/>
          <w:szCs w:val="20"/>
        </w:rPr>
        <w:t xml:space="preserve"> deberá realizar los ensayos precisos para demostrar que el suministro es acorde al resto del material adecuadamente documentado.</w:t>
      </w:r>
    </w:p>
    <w:p w14:paraId="0EC9CD56"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La preparación de las probetas y realización de los ensayos de los materiales de aportación (electrodos, hilos y fundentes) propuestos por el constructor de la estructura metálica se realizará conforme a la Norma UNE-EN 1597-1:1998 (Consumibles para el soldeo. Métodos de ensayo. Parte 1: Conjunto para el ensayo de probetas de metal depositado en acero, níquel y aleaciones de níquel). Para el ensayo de resiliencia, se prepararán probetas tipo A según la Norma UNE 7475-1: 1992 (Materiales metálicos. Ensayo de flexión por choque sobre probeta Charpy. Parte 1: Método de ensayo), siendo la temperatura de las probetas en el ensayo de 20º C.</w:t>
      </w:r>
    </w:p>
    <w:p w14:paraId="6ED70EF7" w14:textId="77777777" w:rsidR="00D50726" w:rsidRPr="00FC7A5B" w:rsidRDefault="00D50726" w:rsidP="00D50726">
      <w:pPr>
        <w:spacing w:before="120" w:after="120" w:line="360" w:lineRule="auto"/>
        <w:jc w:val="both"/>
        <w:rPr>
          <w:rFonts w:ascii="Arial" w:hAnsi="Arial"/>
          <w:b/>
          <w:bCs/>
          <w:szCs w:val="20"/>
        </w:rPr>
      </w:pPr>
      <w:r w:rsidRPr="00FC7A5B">
        <w:rPr>
          <w:rFonts w:ascii="Arial" w:hAnsi="Arial"/>
          <w:b/>
          <w:bCs/>
          <w:szCs w:val="20"/>
        </w:rPr>
        <w:t>620.6.4</w:t>
      </w:r>
      <w:r w:rsidR="009F3E93">
        <w:rPr>
          <w:rFonts w:ascii="Arial" w:hAnsi="Arial"/>
          <w:b/>
          <w:bCs/>
          <w:szCs w:val="20"/>
        </w:rPr>
        <w:t xml:space="preserve">. </w:t>
      </w:r>
      <w:r w:rsidRPr="00FC7A5B">
        <w:rPr>
          <w:rFonts w:ascii="Arial" w:hAnsi="Arial"/>
          <w:b/>
          <w:bCs/>
          <w:szCs w:val="20"/>
        </w:rPr>
        <w:t>Personal: cualificación de los soldadores</w:t>
      </w:r>
    </w:p>
    <w:p w14:paraId="4B6618CF"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Todos los soldadores que vayan a intervenir en la ejecución soldada a mano tanto en fabricación en taller como en montaje en </w:t>
      </w:r>
      <w:proofErr w:type="gramStart"/>
      <w:r w:rsidRPr="00FC7A5B">
        <w:rPr>
          <w:rFonts w:ascii="Arial" w:hAnsi="Arial" w:cs="Arial"/>
        </w:rPr>
        <w:t>obra,</w:t>
      </w:r>
      <w:proofErr w:type="gramEnd"/>
      <w:r w:rsidRPr="00FC7A5B">
        <w:rPr>
          <w:rFonts w:ascii="Arial" w:hAnsi="Arial" w:cs="Arial"/>
        </w:rPr>
        <w:t xml:space="preserve"> estarán calificados aptos para las posiciones de soldeo y procedimientos en los que vayan a intervenir, según la Norma UNE-EN 287-1:2004 o en posesión del correspondiente certificado acreditativo de acuerdo con el código AWS D1.1.90 o equivalente.</w:t>
      </w:r>
    </w:p>
    <w:p w14:paraId="26D29970"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Para la realización de las soldaduras de fabricación en taller serán admitidos los certificados que posean los soldadores, siempre que estos sean fijos del taller en que se realice la fabricación y en los límites establecidos por el código citado o equivalente, salvo mejor decisión por parte de la Supervisión o Dirección de obra. Si el soldador no pudiese certificar que no ha tenido interrupción de su trabajo o que este es inferior a seis meses seguidos no se aceptará su cualificación, debiendo el taller a su costa proporcionarle una nueva.</w:t>
      </w:r>
    </w:p>
    <w:p w14:paraId="7855282A"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Se realizarán pruebas de cualificación de todo soldador que haya de participar en el montaje en obra, aunque éste posea un certificado equivalente de otra obra o taller. Con la única excepción de aquéllos que participaron en la fabricación en taller y para los que el Laboratorio Responsable del Control considere que no resultan necesarias.</w:t>
      </w:r>
    </w:p>
    <w:p w14:paraId="75F2C239"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El Laboratorio Responsable del Control podrá retirar las cualificaciones a cualquier soldador por baja calidad de su trabajo o incumplimiento de alguno de los requisitos establecidos en este documento. Deberá asimismo presenciar y dirigir la cualificación de los soldadores, sea en taller, en obra, o cualquier otro lugar.</w:t>
      </w:r>
    </w:p>
    <w:p w14:paraId="7D12055B"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lastRenderedPageBreak/>
        <w:t xml:space="preserve">El Taller metálico mantendrá al día los correspondientes registros de identificación de sus soldadores de forma satisfactoria, en los que figuran: </w:t>
      </w:r>
      <w:proofErr w:type="spellStart"/>
      <w:r w:rsidRPr="00FC7A5B">
        <w:rPr>
          <w:rFonts w:ascii="Arial" w:hAnsi="Arial" w:cs="Arial"/>
        </w:rPr>
        <w:t>nº</w:t>
      </w:r>
      <w:proofErr w:type="spellEnd"/>
      <w:r w:rsidRPr="00FC7A5B">
        <w:rPr>
          <w:rFonts w:ascii="Arial" w:hAnsi="Arial" w:cs="Arial"/>
        </w:rPr>
        <w:t xml:space="preserve"> de ficha, copia de homologación y marca personal. Esta documentación estará en todo momento a disposición del ingeniero director de la obra y/o sus representantes.</w:t>
      </w:r>
    </w:p>
    <w:p w14:paraId="37646F9E"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Cada soldador identificará su propio trabajo, con marcas personales que no serán transferibles.</w:t>
      </w:r>
    </w:p>
    <w:p w14:paraId="231AC81B"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Toda soldadura ejecutada por un soldador no </w:t>
      </w:r>
      <w:proofErr w:type="gramStart"/>
      <w:r w:rsidRPr="00FC7A5B">
        <w:rPr>
          <w:rFonts w:ascii="Arial" w:hAnsi="Arial" w:cs="Arial"/>
        </w:rPr>
        <w:t>calificado,</w:t>
      </w:r>
      <w:proofErr w:type="gramEnd"/>
      <w:r w:rsidRPr="00FC7A5B">
        <w:rPr>
          <w:rFonts w:ascii="Arial" w:hAnsi="Arial" w:cs="Arial"/>
        </w:rPr>
        <w:t xml:space="preserve"> será rechazada, procediéndose a su levantamiento.</w:t>
      </w:r>
    </w:p>
    <w:p w14:paraId="557B8721"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En caso de que dicho levantamiento pudiese producir efectos perniciosos, a juicio del Inspector de la Dirección </w:t>
      </w:r>
      <w:r w:rsidR="009771E6">
        <w:rPr>
          <w:rFonts w:ascii="Arial" w:hAnsi="Arial" w:cs="Arial"/>
        </w:rPr>
        <w:t>de Obra</w:t>
      </w:r>
      <w:r w:rsidRPr="00FC7A5B">
        <w:rPr>
          <w:rFonts w:ascii="Arial" w:hAnsi="Arial" w:cs="Arial"/>
        </w:rPr>
        <w:t>, el conjunto soldado será rechazado y repuesto por el constructor de la estructura metálica.</w:t>
      </w:r>
    </w:p>
    <w:p w14:paraId="7EFBD639" w14:textId="77777777" w:rsidR="00D50726" w:rsidRPr="00FC7A5B" w:rsidRDefault="00D50726" w:rsidP="00D50726">
      <w:pPr>
        <w:spacing w:before="120" w:after="120" w:line="360" w:lineRule="auto"/>
        <w:jc w:val="both"/>
        <w:rPr>
          <w:rFonts w:ascii="Arial" w:hAnsi="Arial"/>
          <w:b/>
          <w:bCs/>
          <w:szCs w:val="20"/>
        </w:rPr>
      </w:pPr>
      <w:r w:rsidRPr="00FC7A5B">
        <w:rPr>
          <w:rFonts w:ascii="Arial" w:hAnsi="Arial"/>
          <w:b/>
          <w:bCs/>
          <w:szCs w:val="20"/>
        </w:rPr>
        <w:t>620.6.5</w:t>
      </w:r>
      <w:r w:rsidR="009F3E93">
        <w:rPr>
          <w:rFonts w:ascii="Arial" w:hAnsi="Arial"/>
          <w:b/>
          <w:bCs/>
          <w:szCs w:val="20"/>
        </w:rPr>
        <w:t xml:space="preserve">. </w:t>
      </w:r>
      <w:r w:rsidRPr="00FC7A5B">
        <w:rPr>
          <w:rFonts w:ascii="Arial" w:hAnsi="Arial"/>
          <w:b/>
          <w:bCs/>
          <w:szCs w:val="20"/>
        </w:rPr>
        <w:t>Procedimiento de soldeo</w:t>
      </w:r>
    </w:p>
    <w:p w14:paraId="1E5655B9"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Los procedimientos de soldadura requeridos deberán estar homologados por el taller o los montadores en obra según la norma UNE-EN ISO 15607:2004 o la AWS D1.1.90.</w:t>
      </w:r>
    </w:p>
    <w:p w14:paraId="71236E59"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Se definirán ahí las técnicas operativas que serán empleadas en las diversas uniones soldadas a realizar, las cuales se ajustarán en todo a la norma AWS D1.1.90, y se comprobará la validez de sus parámetros para las soldaduras que se deben realizar (espesores, tipo de acero, posición, preparación de bordes, técnica, metal de aporte, fundentes, parámetros eléctricos, precalentamiento, </w:t>
      </w:r>
      <w:proofErr w:type="spellStart"/>
      <w:r w:rsidRPr="00FC7A5B">
        <w:rPr>
          <w:rFonts w:ascii="Arial" w:hAnsi="Arial" w:cs="Arial"/>
        </w:rPr>
        <w:t>etc</w:t>
      </w:r>
      <w:proofErr w:type="spellEnd"/>
      <w:r w:rsidRPr="00FC7A5B">
        <w:rPr>
          <w:rFonts w:ascii="Arial" w:hAnsi="Arial" w:cs="Arial"/>
        </w:rPr>
        <w:t>). Si no se dispusiera de alguna homologación para alguna soldadura o se empleasen métodos distintos a los homologados se requerirá un nuevo certificado de homologación.</w:t>
      </w:r>
    </w:p>
    <w:p w14:paraId="774D4BDB"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En el caso de soldaduras en obra, la </w:t>
      </w:r>
      <w:r w:rsidR="009771E6">
        <w:rPr>
          <w:rFonts w:ascii="Arial" w:hAnsi="Arial" w:cs="Arial"/>
        </w:rPr>
        <w:t>D</w:t>
      </w:r>
      <w:r w:rsidRPr="00FC7A5B">
        <w:rPr>
          <w:rFonts w:ascii="Arial" w:hAnsi="Arial" w:cs="Arial"/>
        </w:rPr>
        <w:t xml:space="preserve">irección </w:t>
      </w:r>
      <w:r w:rsidR="009771E6">
        <w:rPr>
          <w:rFonts w:ascii="Arial" w:hAnsi="Arial" w:cs="Arial"/>
        </w:rPr>
        <w:t>de Obra</w:t>
      </w:r>
      <w:r w:rsidRPr="00FC7A5B">
        <w:rPr>
          <w:rFonts w:ascii="Arial" w:hAnsi="Arial" w:cs="Arial"/>
        </w:rPr>
        <w:t xml:space="preserve"> establecerá </w:t>
      </w:r>
      <w:proofErr w:type="gramStart"/>
      <w:r w:rsidRPr="00FC7A5B">
        <w:rPr>
          <w:rFonts w:ascii="Arial" w:hAnsi="Arial" w:cs="Arial"/>
        </w:rPr>
        <w:t>los test</w:t>
      </w:r>
      <w:proofErr w:type="gramEnd"/>
      <w:r w:rsidRPr="00FC7A5B">
        <w:rPr>
          <w:rFonts w:ascii="Arial" w:hAnsi="Arial" w:cs="Arial"/>
        </w:rPr>
        <w:t xml:space="preserve"> de producción necesarios para verificar in situ los procedimientos de soldadura previamente homologados, que serán ensayados a costa del taller. No podrán emplearse bajo ningún concepto procedimientos distintos a los homologados. El Laboratorio Responsable del Control será el responsable del seguimiento y realización satisfactoria de </w:t>
      </w:r>
      <w:proofErr w:type="gramStart"/>
      <w:r w:rsidRPr="00FC7A5B">
        <w:rPr>
          <w:rFonts w:ascii="Arial" w:hAnsi="Arial" w:cs="Arial"/>
        </w:rPr>
        <w:t>estos test</w:t>
      </w:r>
      <w:proofErr w:type="gramEnd"/>
      <w:r w:rsidRPr="00FC7A5B">
        <w:rPr>
          <w:rFonts w:ascii="Arial" w:hAnsi="Arial" w:cs="Arial"/>
        </w:rPr>
        <w:t xml:space="preserve"> de producción.</w:t>
      </w:r>
    </w:p>
    <w:p w14:paraId="6B6416C1" w14:textId="77777777" w:rsidR="00D50726" w:rsidRPr="005B79AD" w:rsidRDefault="00D50726" w:rsidP="005609D6">
      <w:pPr>
        <w:spacing w:before="120" w:after="120" w:line="312" w:lineRule="auto"/>
        <w:jc w:val="both"/>
        <w:rPr>
          <w:rFonts w:ascii="Arial" w:hAnsi="Arial" w:cs="Arial"/>
        </w:rPr>
      </w:pPr>
      <w:r w:rsidRPr="00FC7A5B">
        <w:rPr>
          <w:rFonts w:ascii="Arial" w:hAnsi="Arial" w:cs="Arial"/>
        </w:rPr>
        <w:t xml:space="preserve">Los "Procedimientos" homologables estarán exclusivamente constituidos por las </w:t>
      </w:r>
      <w:r w:rsidRPr="005B79AD">
        <w:rPr>
          <w:rFonts w:ascii="Arial" w:hAnsi="Arial" w:cs="Arial"/>
        </w:rPr>
        <w:t>técnicas indicadas a continuación o por combinación de ellas:</w:t>
      </w:r>
    </w:p>
    <w:p w14:paraId="79C9D03D" w14:textId="77777777" w:rsidR="00D50726" w:rsidRPr="005B79AD" w:rsidRDefault="00D50726" w:rsidP="009F3E93">
      <w:pPr>
        <w:pStyle w:val="NORMAL12"/>
        <w:numPr>
          <w:ilvl w:val="0"/>
          <w:numId w:val="71"/>
        </w:numPr>
        <w:rPr>
          <w:noProof/>
          <w:szCs w:val="20"/>
        </w:rPr>
      </w:pPr>
      <w:r w:rsidRPr="005B79AD">
        <w:rPr>
          <w:noProof/>
          <w:szCs w:val="20"/>
        </w:rPr>
        <w:t>Soldadura manual al arco, con electrodos revestidos con bajo contenido de hidrógeno. Los consumibles estarán de acuerdo con las especificaciones AWS A5.1 ó AWS A5.5.</w:t>
      </w:r>
    </w:p>
    <w:p w14:paraId="4E46A42D" w14:textId="77777777" w:rsidR="00D50726" w:rsidRPr="005B79AD" w:rsidRDefault="00D50726" w:rsidP="009F3E93">
      <w:pPr>
        <w:pStyle w:val="NORMAL12"/>
        <w:numPr>
          <w:ilvl w:val="0"/>
          <w:numId w:val="71"/>
        </w:numPr>
        <w:rPr>
          <w:noProof/>
          <w:szCs w:val="20"/>
        </w:rPr>
      </w:pPr>
      <w:r w:rsidRPr="005B79AD">
        <w:rPr>
          <w:noProof/>
          <w:szCs w:val="20"/>
        </w:rPr>
        <w:t>Soldadura automática con arco sumergido. Los consumibles estarán de acuerdo con las especificaciones AWS A5.17 ó AWS 5.23.</w:t>
      </w:r>
    </w:p>
    <w:p w14:paraId="07154178" w14:textId="77777777" w:rsidR="00D50726" w:rsidRPr="005B79AD" w:rsidRDefault="00D50726" w:rsidP="009F3E93">
      <w:pPr>
        <w:pStyle w:val="NORMAL12"/>
        <w:numPr>
          <w:ilvl w:val="0"/>
          <w:numId w:val="71"/>
        </w:numPr>
        <w:rPr>
          <w:noProof/>
        </w:rPr>
      </w:pPr>
      <w:r w:rsidRPr="005B79AD">
        <w:rPr>
          <w:noProof/>
          <w:szCs w:val="20"/>
        </w:rPr>
        <w:t>Soldadura semi-automática con protección gaseosa tipo MIG, TIG, MAG o similar. Los consumibles estarán de acuerdo con las especificaciones AWS A5.18 ó AWS A5.20.</w:t>
      </w:r>
    </w:p>
    <w:p w14:paraId="557D5A61" w14:textId="77777777" w:rsidR="00D50726" w:rsidRPr="00FC7A5B" w:rsidRDefault="00D50726" w:rsidP="005609D6">
      <w:pPr>
        <w:spacing w:before="120" w:after="120" w:line="360" w:lineRule="auto"/>
        <w:jc w:val="both"/>
        <w:rPr>
          <w:rFonts w:ascii="Arial" w:hAnsi="Arial"/>
          <w:noProof/>
          <w:szCs w:val="20"/>
        </w:rPr>
      </w:pPr>
      <w:r w:rsidRPr="00FC7A5B">
        <w:rPr>
          <w:rFonts w:ascii="Arial" w:hAnsi="Arial"/>
          <w:noProof/>
          <w:szCs w:val="20"/>
        </w:rPr>
        <w:t>Las soldaduras automática y semiautomática se emplearán en fabricación.</w:t>
      </w:r>
    </w:p>
    <w:p w14:paraId="45012782" w14:textId="77777777" w:rsidR="00D50726" w:rsidRPr="00FC7A5B" w:rsidRDefault="00D50726" w:rsidP="005609D6">
      <w:pPr>
        <w:spacing w:before="120" w:after="120" w:line="360" w:lineRule="auto"/>
        <w:jc w:val="both"/>
        <w:rPr>
          <w:rFonts w:ascii="Arial" w:hAnsi="Arial"/>
          <w:noProof/>
          <w:szCs w:val="20"/>
        </w:rPr>
      </w:pPr>
      <w:r w:rsidRPr="00FC7A5B">
        <w:rPr>
          <w:rFonts w:ascii="Arial" w:hAnsi="Arial"/>
          <w:noProof/>
          <w:szCs w:val="20"/>
        </w:rPr>
        <w:t>En obra se utilizará únicamente soldadura manual.</w:t>
      </w:r>
    </w:p>
    <w:p w14:paraId="5855921F"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Las uniones soldadas a tope serán de penetración completa, salvo que en el plano se indique expresamente otra cosa. Todas las soldaduras manuales en taller o montaje serán efectuadas mediante el procedimiento de pasadas múltiples.</w:t>
      </w:r>
    </w:p>
    <w:p w14:paraId="65D39EAE"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Por cuestiones de mala resistencia a fatiga se prohíben soldaduras transversales a tope en platabandas con penetración total ejecutadas desde un solo lado, aunque sean al amparo de chapa de respaldo. Sólo podrán emplearse estas soldaduras en aquellos casos específicamente indicados en planos.</w:t>
      </w:r>
    </w:p>
    <w:p w14:paraId="027B56E0" w14:textId="77777777" w:rsidR="00D50726" w:rsidRDefault="00D50726" w:rsidP="005609D6">
      <w:pPr>
        <w:spacing w:before="120" w:after="120" w:line="360" w:lineRule="auto"/>
        <w:jc w:val="both"/>
        <w:rPr>
          <w:rFonts w:ascii="Arial" w:hAnsi="Arial" w:cs="Arial"/>
        </w:rPr>
      </w:pPr>
      <w:r w:rsidRPr="00FC7A5B">
        <w:rPr>
          <w:rFonts w:ascii="Arial" w:hAnsi="Arial" w:cs="Arial"/>
        </w:rPr>
        <w:t xml:space="preserve">No se admitirán detalles de soldadura cuya categoría frente a fatiga sean inferiores a 80 según RPX-95 </w:t>
      </w:r>
      <w:proofErr w:type="spellStart"/>
      <w:r w:rsidRPr="00FC7A5B">
        <w:rPr>
          <w:rFonts w:ascii="Arial" w:hAnsi="Arial" w:cs="Arial"/>
        </w:rPr>
        <w:t>ó</w:t>
      </w:r>
      <w:proofErr w:type="spellEnd"/>
      <w:r w:rsidRPr="00FC7A5B">
        <w:rPr>
          <w:rFonts w:ascii="Arial" w:hAnsi="Arial" w:cs="Arial"/>
        </w:rPr>
        <w:t xml:space="preserve"> EC3, con la única excepción de aquellos que específicamente se indiquen en los planos. Todos los detalles de soldadura no incluidos en los planos deberán ser aprobados por la Dirección </w:t>
      </w:r>
      <w:r w:rsidR="009771E6">
        <w:rPr>
          <w:rFonts w:ascii="Arial" w:hAnsi="Arial" w:cs="Arial"/>
        </w:rPr>
        <w:t>de Obra</w:t>
      </w:r>
      <w:r w:rsidRPr="00FC7A5B">
        <w:rPr>
          <w:rFonts w:ascii="Arial" w:hAnsi="Arial" w:cs="Arial"/>
        </w:rPr>
        <w:t xml:space="preserve"> para tener en cuenta este criterio.</w:t>
      </w:r>
    </w:p>
    <w:p w14:paraId="50C084CC" w14:textId="77777777" w:rsidR="00CF7652" w:rsidRDefault="00CF7652" w:rsidP="005609D6">
      <w:pPr>
        <w:spacing w:before="120" w:after="120" w:line="360" w:lineRule="auto"/>
        <w:jc w:val="both"/>
        <w:rPr>
          <w:rFonts w:ascii="Arial" w:hAnsi="Arial" w:cs="Arial"/>
        </w:rPr>
      </w:pPr>
    </w:p>
    <w:p w14:paraId="04B37383" w14:textId="77777777" w:rsidR="00D50726" w:rsidRPr="00FC7A5B" w:rsidRDefault="00D50726" w:rsidP="00D50726">
      <w:pPr>
        <w:spacing w:before="120" w:after="120" w:line="360" w:lineRule="auto"/>
        <w:jc w:val="both"/>
        <w:rPr>
          <w:rFonts w:ascii="Arial" w:hAnsi="Arial"/>
          <w:b/>
          <w:bCs/>
          <w:szCs w:val="20"/>
        </w:rPr>
      </w:pPr>
      <w:r w:rsidRPr="00FC7A5B">
        <w:rPr>
          <w:rFonts w:ascii="Arial" w:hAnsi="Arial"/>
          <w:b/>
          <w:bCs/>
          <w:szCs w:val="20"/>
        </w:rPr>
        <w:t>620.6.6</w:t>
      </w:r>
      <w:r w:rsidR="009F3E93">
        <w:rPr>
          <w:rFonts w:ascii="Arial" w:hAnsi="Arial"/>
          <w:b/>
          <w:bCs/>
          <w:szCs w:val="20"/>
        </w:rPr>
        <w:t xml:space="preserve">. </w:t>
      </w:r>
      <w:r w:rsidRPr="00FC7A5B">
        <w:rPr>
          <w:rFonts w:ascii="Arial" w:hAnsi="Arial"/>
          <w:b/>
          <w:bCs/>
          <w:szCs w:val="20"/>
        </w:rPr>
        <w:t>Ejecución en taller</w:t>
      </w:r>
    </w:p>
    <w:p w14:paraId="73631432" w14:textId="77777777" w:rsidR="00D50726" w:rsidRPr="00FC7A5B" w:rsidRDefault="00D50726" w:rsidP="00D50726">
      <w:pPr>
        <w:spacing w:before="120" w:after="120" w:line="360" w:lineRule="auto"/>
        <w:jc w:val="both"/>
        <w:rPr>
          <w:rFonts w:ascii="Arial" w:hAnsi="Arial"/>
          <w:bCs/>
          <w:szCs w:val="20"/>
          <w:u w:val="single"/>
        </w:rPr>
      </w:pPr>
      <w:r w:rsidRPr="00FC7A5B">
        <w:rPr>
          <w:rFonts w:ascii="Arial" w:hAnsi="Arial"/>
          <w:bCs/>
          <w:szCs w:val="20"/>
          <w:u w:val="single"/>
        </w:rPr>
        <w:t>Trazabilidad</w:t>
      </w:r>
    </w:p>
    <w:p w14:paraId="3B0AB76D"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El taller garantizará la trazabilidad del 100% de los elementos, ya sean chapas, perfiles o pernos. El taller metálico entregará el procedimiento de trazabilidad para su control por la Dirección </w:t>
      </w:r>
      <w:r w:rsidR="009771E6">
        <w:rPr>
          <w:rFonts w:ascii="Arial" w:hAnsi="Arial" w:cs="Arial"/>
        </w:rPr>
        <w:t>de Obra</w:t>
      </w:r>
      <w:r w:rsidRPr="00FC7A5B">
        <w:rPr>
          <w:rFonts w:ascii="Arial" w:hAnsi="Arial" w:cs="Arial"/>
        </w:rPr>
        <w:t xml:space="preserve">. El Laboratorio Responsable del Control se responsabilizará del cumplimiento </w:t>
      </w:r>
      <w:proofErr w:type="gramStart"/>
      <w:r w:rsidRPr="00FC7A5B">
        <w:rPr>
          <w:rFonts w:ascii="Arial" w:hAnsi="Arial" w:cs="Arial"/>
        </w:rPr>
        <w:t>del mismo</w:t>
      </w:r>
      <w:proofErr w:type="gramEnd"/>
      <w:r w:rsidRPr="00FC7A5B">
        <w:rPr>
          <w:rFonts w:ascii="Arial" w:hAnsi="Arial" w:cs="Arial"/>
        </w:rPr>
        <w:t>.</w:t>
      </w:r>
    </w:p>
    <w:p w14:paraId="252BB4C7" w14:textId="77777777" w:rsidR="00CF7652" w:rsidRDefault="00CF7652" w:rsidP="00D50726">
      <w:pPr>
        <w:spacing w:before="120" w:after="120" w:line="360" w:lineRule="auto"/>
        <w:jc w:val="both"/>
        <w:rPr>
          <w:rFonts w:ascii="Arial" w:hAnsi="Arial"/>
          <w:bCs/>
          <w:szCs w:val="20"/>
          <w:u w:val="single"/>
        </w:rPr>
      </w:pPr>
    </w:p>
    <w:p w14:paraId="18C30A84" w14:textId="77777777" w:rsidR="00D50726" w:rsidRPr="00FC7A5B" w:rsidRDefault="00D50726" w:rsidP="00D50726">
      <w:pPr>
        <w:spacing w:before="120" w:after="120" w:line="360" w:lineRule="auto"/>
        <w:jc w:val="both"/>
        <w:rPr>
          <w:rFonts w:ascii="Arial" w:hAnsi="Arial"/>
          <w:bCs/>
          <w:szCs w:val="20"/>
          <w:u w:val="single"/>
        </w:rPr>
      </w:pPr>
      <w:r w:rsidRPr="00FC7A5B">
        <w:rPr>
          <w:rFonts w:ascii="Arial" w:hAnsi="Arial"/>
          <w:bCs/>
          <w:szCs w:val="20"/>
          <w:u w:val="single"/>
        </w:rPr>
        <w:lastRenderedPageBreak/>
        <w:t>Planos de taller y montaje</w:t>
      </w:r>
    </w:p>
    <w:p w14:paraId="0D7723BA"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Estos planos de taller se someterán con un mínimo de dos semanas de antelación a la Dirección de Obra, para su conformidad, antes de dar comienzo a la ejecución en taller.  La aprobación de </w:t>
      </w:r>
      <w:proofErr w:type="gramStart"/>
      <w:r w:rsidRPr="00FC7A5B">
        <w:rPr>
          <w:rFonts w:ascii="Arial" w:hAnsi="Arial" w:cs="Arial"/>
        </w:rPr>
        <w:t>los mismos</w:t>
      </w:r>
      <w:proofErr w:type="gramEnd"/>
      <w:r w:rsidRPr="00FC7A5B">
        <w:rPr>
          <w:rFonts w:ascii="Arial" w:hAnsi="Arial" w:cs="Arial"/>
        </w:rPr>
        <w:t xml:space="preserve"> no exime de la responsabilidad que pudieran contraer por errores existentes. Contendrá de manera inequívoca:</w:t>
      </w:r>
    </w:p>
    <w:p w14:paraId="2EA24BC5" w14:textId="77777777" w:rsidR="00D50726" w:rsidRPr="00FC7A5B" w:rsidRDefault="00D50726" w:rsidP="00221E1A">
      <w:pPr>
        <w:numPr>
          <w:ilvl w:val="0"/>
          <w:numId w:val="172"/>
        </w:numPr>
        <w:spacing w:before="120" w:after="120" w:line="360" w:lineRule="auto"/>
        <w:contextualSpacing/>
        <w:jc w:val="both"/>
        <w:rPr>
          <w:rFonts w:ascii="Arial" w:hAnsi="Arial"/>
          <w:bCs/>
          <w:szCs w:val="20"/>
        </w:rPr>
      </w:pPr>
      <w:proofErr w:type="spellStart"/>
      <w:r w:rsidRPr="00FC7A5B">
        <w:rPr>
          <w:rFonts w:ascii="Arial" w:hAnsi="Arial"/>
          <w:bCs/>
          <w:szCs w:val="20"/>
        </w:rPr>
        <w:t>Tramificación</w:t>
      </w:r>
      <w:proofErr w:type="spellEnd"/>
      <w:r w:rsidRPr="00FC7A5B">
        <w:rPr>
          <w:rFonts w:ascii="Arial" w:hAnsi="Arial"/>
          <w:bCs/>
          <w:szCs w:val="20"/>
        </w:rPr>
        <w:t xml:space="preserve"> de la estructura para permitir su transporte y montaje en obra.</w:t>
      </w:r>
    </w:p>
    <w:p w14:paraId="23419D0F" w14:textId="77777777" w:rsidR="00D50726" w:rsidRPr="00FC7A5B" w:rsidRDefault="00D50726" w:rsidP="00221E1A">
      <w:pPr>
        <w:numPr>
          <w:ilvl w:val="0"/>
          <w:numId w:val="172"/>
        </w:numPr>
        <w:spacing w:before="120" w:after="120" w:line="360" w:lineRule="auto"/>
        <w:contextualSpacing/>
        <w:jc w:val="both"/>
        <w:rPr>
          <w:rFonts w:ascii="Arial" w:hAnsi="Arial"/>
          <w:bCs/>
          <w:szCs w:val="20"/>
        </w:rPr>
      </w:pPr>
      <w:r w:rsidRPr="00FC7A5B">
        <w:rPr>
          <w:rFonts w:ascii="Arial" w:hAnsi="Arial"/>
          <w:bCs/>
          <w:szCs w:val="20"/>
        </w:rPr>
        <w:t>Las dimensiones necesarias para definir exactamente todos los elementos de la estructura.</w:t>
      </w:r>
    </w:p>
    <w:p w14:paraId="27330FC8" w14:textId="77777777" w:rsidR="00D50726" w:rsidRPr="00FC7A5B" w:rsidRDefault="00D50726" w:rsidP="00221E1A">
      <w:pPr>
        <w:numPr>
          <w:ilvl w:val="0"/>
          <w:numId w:val="172"/>
        </w:numPr>
        <w:spacing w:before="120" w:after="120" w:line="360" w:lineRule="auto"/>
        <w:contextualSpacing/>
        <w:jc w:val="both"/>
        <w:rPr>
          <w:rFonts w:ascii="Arial" w:hAnsi="Arial"/>
          <w:bCs/>
          <w:szCs w:val="20"/>
        </w:rPr>
      </w:pPr>
      <w:r w:rsidRPr="00FC7A5B">
        <w:rPr>
          <w:rFonts w:ascii="Arial" w:hAnsi="Arial"/>
          <w:bCs/>
          <w:szCs w:val="20"/>
        </w:rPr>
        <w:t xml:space="preserve">Las </w:t>
      </w:r>
      <w:proofErr w:type="spellStart"/>
      <w:r w:rsidRPr="00FC7A5B">
        <w:rPr>
          <w:rFonts w:ascii="Arial" w:hAnsi="Arial"/>
          <w:bCs/>
          <w:szCs w:val="20"/>
        </w:rPr>
        <w:t>contraflechas</w:t>
      </w:r>
      <w:proofErr w:type="spellEnd"/>
      <w:r w:rsidRPr="00FC7A5B">
        <w:rPr>
          <w:rFonts w:ascii="Arial" w:hAnsi="Arial"/>
          <w:bCs/>
          <w:szCs w:val="20"/>
        </w:rPr>
        <w:t xml:space="preserve"> de ejecución.</w:t>
      </w:r>
    </w:p>
    <w:p w14:paraId="6CF1427F" w14:textId="77777777" w:rsidR="00D50726" w:rsidRPr="00FC7A5B" w:rsidRDefault="00D50726" w:rsidP="00221E1A">
      <w:pPr>
        <w:numPr>
          <w:ilvl w:val="0"/>
          <w:numId w:val="172"/>
        </w:numPr>
        <w:spacing w:before="120" w:after="120" w:line="360" w:lineRule="auto"/>
        <w:contextualSpacing/>
        <w:jc w:val="both"/>
        <w:rPr>
          <w:rFonts w:ascii="Arial" w:hAnsi="Arial"/>
          <w:bCs/>
          <w:szCs w:val="20"/>
        </w:rPr>
      </w:pPr>
      <w:r w:rsidRPr="00FC7A5B">
        <w:rPr>
          <w:rFonts w:ascii="Arial" w:hAnsi="Arial"/>
          <w:bCs/>
          <w:szCs w:val="20"/>
        </w:rPr>
        <w:t>La forma y dimensiones de las uniones.</w:t>
      </w:r>
    </w:p>
    <w:p w14:paraId="7E90EFFA" w14:textId="77777777" w:rsidR="00D50726" w:rsidRPr="00FC7A5B" w:rsidRDefault="00D50726" w:rsidP="00221E1A">
      <w:pPr>
        <w:numPr>
          <w:ilvl w:val="0"/>
          <w:numId w:val="172"/>
        </w:numPr>
        <w:spacing w:before="120" w:after="120" w:line="360" w:lineRule="auto"/>
        <w:contextualSpacing/>
        <w:jc w:val="both"/>
        <w:rPr>
          <w:rFonts w:ascii="Arial" w:hAnsi="Arial"/>
          <w:bCs/>
          <w:szCs w:val="20"/>
        </w:rPr>
      </w:pPr>
      <w:r w:rsidRPr="00FC7A5B">
        <w:rPr>
          <w:rFonts w:ascii="Arial" w:hAnsi="Arial"/>
          <w:bCs/>
          <w:szCs w:val="20"/>
        </w:rPr>
        <w:t>Las dimensiones de los cordones de soldadura y su orden de ejecución, así como la preparación de los bordes, métodos y posiciones de soldeo y los materiales de aportación a utilizar.</w:t>
      </w:r>
    </w:p>
    <w:p w14:paraId="1953551D" w14:textId="77777777" w:rsidR="00D50726" w:rsidRPr="00FC7A5B" w:rsidRDefault="00D50726" w:rsidP="00221E1A">
      <w:pPr>
        <w:numPr>
          <w:ilvl w:val="0"/>
          <w:numId w:val="172"/>
        </w:numPr>
        <w:spacing w:before="120" w:after="120" w:line="360" w:lineRule="auto"/>
        <w:contextualSpacing/>
        <w:jc w:val="both"/>
        <w:rPr>
          <w:rFonts w:ascii="Arial" w:hAnsi="Arial"/>
          <w:bCs/>
          <w:szCs w:val="20"/>
        </w:rPr>
      </w:pPr>
      <w:r w:rsidRPr="00FC7A5B">
        <w:rPr>
          <w:rFonts w:ascii="Arial" w:hAnsi="Arial"/>
          <w:bCs/>
          <w:szCs w:val="20"/>
        </w:rPr>
        <w:t>Las indicaciones sobre mecanizado o tratamiento de las uniones que lo precisen.</w:t>
      </w:r>
    </w:p>
    <w:p w14:paraId="2CF506CA" w14:textId="77777777" w:rsidR="00D50726" w:rsidRPr="00FC7A5B" w:rsidRDefault="00D50726" w:rsidP="00221E1A">
      <w:pPr>
        <w:numPr>
          <w:ilvl w:val="0"/>
          <w:numId w:val="172"/>
        </w:numPr>
        <w:spacing w:before="120" w:after="120" w:line="360" w:lineRule="auto"/>
        <w:contextualSpacing/>
        <w:jc w:val="both"/>
        <w:rPr>
          <w:rFonts w:ascii="Arial" w:hAnsi="Arial"/>
          <w:bCs/>
          <w:szCs w:val="20"/>
        </w:rPr>
      </w:pPr>
      <w:r w:rsidRPr="00FC7A5B">
        <w:rPr>
          <w:rFonts w:ascii="Arial" w:hAnsi="Arial"/>
          <w:bCs/>
          <w:szCs w:val="20"/>
        </w:rPr>
        <w:t>Las calidades y diámetros de los posibles tornillos a emplear.</w:t>
      </w:r>
    </w:p>
    <w:p w14:paraId="4F123146" w14:textId="77777777" w:rsidR="00D50726" w:rsidRPr="00FC7A5B" w:rsidRDefault="00D50726" w:rsidP="00221E1A">
      <w:pPr>
        <w:numPr>
          <w:ilvl w:val="0"/>
          <w:numId w:val="172"/>
        </w:numPr>
        <w:spacing w:before="120" w:after="120" w:line="360" w:lineRule="auto"/>
        <w:contextualSpacing/>
        <w:jc w:val="both"/>
        <w:rPr>
          <w:rFonts w:ascii="Arial" w:hAnsi="Arial"/>
          <w:bCs/>
          <w:szCs w:val="20"/>
        </w:rPr>
      </w:pPr>
      <w:r w:rsidRPr="00FC7A5B">
        <w:rPr>
          <w:rFonts w:ascii="Arial" w:hAnsi="Arial"/>
          <w:bCs/>
          <w:szCs w:val="20"/>
        </w:rPr>
        <w:t>Los empalmes que por limitaciones de laminación o transporte sea necesario establecer.</w:t>
      </w:r>
    </w:p>
    <w:p w14:paraId="07F9259F" w14:textId="77777777" w:rsidR="00D50726" w:rsidRPr="00FC7A5B" w:rsidRDefault="00D50726" w:rsidP="00221E1A">
      <w:pPr>
        <w:numPr>
          <w:ilvl w:val="0"/>
          <w:numId w:val="172"/>
        </w:numPr>
        <w:spacing w:before="120" w:after="120" w:line="360" w:lineRule="auto"/>
        <w:contextualSpacing/>
        <w:jc w:val="both"/>
        <w:rPr>
          <w:rFonts w:ascii="Arial" w:hAnsi="Arial"/>
          <w:bCs/>
          <w:szCs w:val="20"/>
        </w:rPr>
      </w:pPr>
      <w:r w:rsidRPr="00FC7A5B">
        <w:rPr>
          <w:rFonts w:ascii="Arial" w:hAnsi="Arial"/>
          <w:bCs/>
          <w:szCs w:val="20"/>
        </w:rPr>
        <w:t>Posibles sistemas de arriostramiento transversal de los distintos tramos que eviten su distorsión durante su manipulación, transporte y montaje.</w:t>
      </w:r>
    </w:p>
    <w:p w14:paraId="7C24FA68" w14:textId="77777777" w:rsidR="00D50726" w:rsidRPr="00FC7A5B" w:rsidRDefault="00D50726" w:rsidP="00221E1A">
      <w:pPr>
        <w:numPr>
          <w:ilvl w:val="0"/>
          <w:numId w:val="172"/>
        </w:numPr>
        <w:spacing w:before="120" w:after="120" w:line="360" w:lineRule="auto"/>
        <w:contextualSpacing/>
        <w:jc w:val="both"/>
        <w:rPr>
          <w:rFonts w:ascii="Arial" w:hAnsi="Arial"/>
          <w:bCs/>
          <w:szCs w:val="20"/>
        </w:rPr>
      </w:pPr>
      <w:r w:rsidRPr="00FC7A5B">
        <w:rPr>
          <w:rFonts w:ascii="Arial" w:hAnsi="Arial"/>
          <w:bCs/>
          <w:szCs w:val="20"/>
        </w:rPr>
        <w:t>Todos los elementos auxiliares que el taller prevea necesario disponer sobre los elementos metálicos para su manipulación y transporte.</w:t>
      </w:r>
    </w:p>
    <w:p w14:paraId="31A76A15" w14:textId="77777777" w:rsidR="00D50726" w:rsidRPr="00FC7A5B" w:rsidRDefault="00D50726" w:rsidP="005609D6">
      <w:pPr>
        <w:spacing w:before="240" w:after="120" w:line="360" w:lineRule="auto"/>
        <w:jc w:val="both"/>
        <w:rPr>
          <w:rFonts w:ascii="Arial" w:hAnsi="Arial" w:cs="Arial"/>
        </w:rPr>
      </w:pPr>
      <w:r w:rsidRPr="00FC7A5B">
        <w:rPr>
          <w:rFonts w:ascii="Arial" w:hAnsi="Arial" w:cs="Arial"/>
        </w:rPr>
        <w:t>El constructor metálico confeccionará los planos de ensamblaje en obra y montaje necesarios, con las marcas con que se señalan en cada tramo metálico, las piezas a ensamblar y montar en obra, para la mejor identificación de montaje. Todas las marcas se dispondrán en la parte correspondiente al interior de las vigas, evitando en lo posible el realizarlos en el exterior de manera de mejorar la limpieza y tratamiento definitivo de la superficie vista.</w:t>
      </w:r>
    </w:p>
    <w:p w14:paraId="7E9D7CAB"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Se definirán aquí los medios auxiliares precisos para el izado y montaje en obra de los tramos, y su posible interacción con la estructura terminada, como puedan ser marcas </w:t>
      </w:r>
      <w:r w:rsidRPr="00FC7A5B">
        <w:rPr>
          <w:rFonts w:ascii="Arial" w:hAnsi="Arial" w:cs="Arial"/>
        </w:rPr>
        <w:t xml:space="preserve">o puntos de fijación durante la ejecución, para su estudio y, en su caso, aprobación por </w:t>
      </w:r>
      <w:r w:rsidR="009F1466">
        <w:rPr>
          <w:rFonts w:ascii="Arial" w:hAnsi="Arial" w:cs="Arial"/>
        </w:rPr>
        <w:t xml:space="preserve">el </w:t>
      </w:r>
      <w:proofErr w:type="gramStart"/>
      <w:r w:rsidR="009F1466">
        <w:rPr>
          <w:rFonts w:ascii="Arial" w:hAnsi="Arial" w:cs="Arial"/>
        </w:rPr>
        <w:t>Director</w:t>
      </w:r>
      <w:proofErr w:type="gramEnd"/>
      <w:r w:rsidR="009F1466">
        <w:rPr>
          <w:rFonts w:ascii="Arial" w:hAnsi="Arial" w:cs="Arial"/>
        </w:rPr>
        <w:t xml:space="preserve"> de Obra</w:t>
      </w:r>
      <w:r w:rsidRPr="00FC7A5B">
        <w:rPr>
          <w:rFonts w:ascii="Arial" w:hAnsi="Arial" w:cs="Arial"/>
        </w:rPr>
        <w:t>.</w:t>
      </w:r>
    </w:p>
    <w:p w14:paraId="7AC4B28A" w14:textId="77777777" w:rsidR="00D50726" w:rsidRPr="00FC7A5B" w:rsidRDefault="00D50726" w:rsidP="005609D6">
      <w:pPr>
        <w:spacing w:before="120" w:after="120" w:line="312" w:lineRule="auto"/>
        <w:jc w:val="both"/>
        <w:rPr>
          <w:rFonts w:ascii="Arial" w:hAnsi="Arial" w:cs="Arial"/>
        </w:rPr>
      </w:pPr>
      <w:r w:rsidRPr="00FC7A5B">
        <w:rPr>
          <w:rFonts w:ascii="Arial" w:hAnsi="Arial" w:cs="Arial"/>
        </w:rPr>
        <w:t xml:space="preserve">No podrá disponerse ninguna fijación (orejeta, puntal, </w:t>
      </w:r>
      <w:proofErr w:type="spellStart"/>
      <w:r w:rsidRPr="00FC7A5B">
        <w:rPr>
          <w:rFonts w:ascii="Arial" w:hAnsi="Arial" w:cs="Arial"/>
        </w:rPr>
        <w:t>etc</w:t>
      </w:r>
      <w:proofErr w:type="spellEnd"/>
      <w:r w:rsidRPr="00FC7A5B">
        <w:rPr>
          <w:rFonts w:ascii="Arial" w:hAnsi="Arial" w:cs="Arial"/>
        </w:rPr>
        <w:t>) sobre la estructura de acero salvo aquellas que figuren en los planos de taller o montaje en o</w:t>
      </w:r>
      <w:r w:rsidR="009F1466">
        <w:rPr>
          <w:rFonts w:ascii="Arial" w:hAnsi="Arial" w:cs="Arial"/>
        </w:rPr>
        <w:t xml:space="preserve">bra y hayan sido aportados por el </w:t>
      </w:r>
      <w:proofErr w:type="gramStart"/>
      <w:r w:rsidR="00D93E76">
        <w:rPr>
          <w:rFonts w:ascii="Arial" w:hAnsi="Arial" w:cs="Arial"/>
        </w:rPr>
        <w:t>Director</w:t>
      </w:r>
      <w:proofErr w:type="gramEnd"/>
      <w:r w:rsidR="009F1466">
        <w:rPr>
          <w:rFonts w:ascii="Arial" w:hAnsi="Arial" w:cs="Arial"/>
        </w:rPr>
        <w:t xml:space="preserve"> de Obra</w:t>
      </w:r>
      <w:r w:rsidRPr="00FC7A5B">
        <w:rPr>
          <w:rFonts w:ascii="Arial" w:hAnsi="Arial" w:cs="Arial"/>
        </w:rPr>
        <w:t>.</w:t>
      </w:r>
    </w:p>
    <w:p w14:paraId="6702533D" w14:textId="77777777" w:rsidR="00D50726" w:rsidRPr="00FC7A5B" w:rsidRDefault="00D50726" w:rsidP="005609D6">
      <w:pPr>
        <w:spacing w:before="120" w:after="120" w:line="312" w:lineRule="auto"/>
        <w:jc w:val="both"/>
        <w:rPr>
          <w:rFonts w:ascii="Arial" w:hAnsi="Arial" w:cs="Arial"/>
        </w:rPr>
      </w:pPr>
      <w:r w:rsidRPr="00FC7A5B">
        <w:rPr>
          <w:rFonts w:ascii="Arial" w:hAnsi="Arial" w:cs="Arial"/>
        </w:rPr>
        <w:t>Los planos se completarán antes de empezar a construir, con el número de colada de las chapas de que se va a obtener las piezas.</w:t>
      </w:r>
    </w:p>
    <w:p w14:paraId="5F4035C8" w14:textId="77777777" w:rsidR="00D50726" w:rsidRPr="00FC7A5B" w:rsidRDefault="00D50726" w:rsidP="00D50726">
      <w:pPr>
        <w:spacing w:before="120" w:after="120" w:line="360" w:lineRule="auto"/>
        <w:jc w:val="both"/>
        <w:rPr>
          <w:rFonts w:ascii="Arial" w:hAnsi="Arial"/>
          <w:bCs/>
          <w:szCs w:val="20"/>
          <w:u w:val="single"/>
        </w:rPr>
      </w:pPr>
      <w:r w:rsidRPr="00FC7A5B">
        <w:rPr>
          <w:rFonts w:ascii="Arial" w:hAnsi="Arial"/>
          <w:bCs/>
          <w:szCs w:val="20"/>
          <w:u w:val="single"/>
        </w:rPr>
        <w:t>Marcado de piezas</w:t>
      </w:r>
    </w:p>
    <w:p w14:paraId="3D5C25B4" w14:textId="77777777" w:rsidR="00D50726" w:rsidRPr="00FC7A5B" w:rsidRDefault="00D50726" w:rsidP="005609D6">
      <w:pPr>
        <w:spacing w:before="120" w:after="120" w:line="312" w:lineRule="auto"/>
        <w:jc w:val="both"/>
        <w:rPr>
          <w:rFonts w:ascii="Arial" w:hAnsi="Arial" w:cs="Arial"/>
        </w:rPr>
      </w:pPr>
      <w:r w:rsidRPr="00FC7A5B">
        <w:rPr>
          <w:rFonts w:ascii="Arial" w:hAnsi="Arial" w:cs="Arial"/>
        </w:rPr>
        <w:t>Las piezas de cada conjunto, procedentes del corte y enderezado, se marcarán para su identificación y armado con las siglas correspondientes, en su recuadro.</w:t>
      </w:r>
    </w:p>
    <w:p w14:paraId="131F4163" w14:textId="77777777" w:rsidR="00D50726" w:rsidRPr="00FC7A5B" w:rsidRDefault="00D50726" w:rsidP="005609D6">
      <w:pPr>
        <w:spacing w:before="120" w:after="120" w:line="312" w:lineRule="auto"/>
        <w:jc w:val="both"/>
        <w:rPr>
          <w:rFonts w:ascii="Arial" w:hAnsi="Arial" w:cs="Arial"/>
        </w:rPr>
      </w:pPr>
      <w:r w:rsidRPr="00FC7A5B">
        <w:rPr>
          <w:rFonts w:ascii="Arial" w:hAnsi="Arial" w:cs="Arial"/>
        </w:rPr>
        <w:t>El recuadro y las siglas se marcarán con pintura.</w:t>
      </w:r>
    </w:p>
    <w:p w14:paraId="311C2205" w14:textId="77777777" w:rsidR="00D50726" w:rsidRPr="00FC7A5B" w:rsidRDefault="00D50726" w:rsidP="005609D6">
      <w:pPr>
        <w:spacing w:before="120" w:after="120" w:line="312" w:lineRule="auto"/>
        <w:jc w:val="both"/>
        <w:rPr>
          <w:rFonts w:ascii="Arial" w:hAnsi="Arial" w:cs="Arial"/>
        </w:rPr>
      </w:pPr>
      <w:r w:rsidRPr="00FC7A5B">
        <w:rPr>
          <w:rFonts w:ascii="Arial" w:hAnsi="Arial" w:cs="Arial"/>
        </w:rPr>
        <w:t>Se prohíbe el marcado con punzonado, granate, troquelado o cualquier sistema que produzca hendiduras en el material, por pequeñas que sean.</w:t>
      </w:r>
    </w:p>
    <w:p w14:paraId="1F51F65B" w14:textId="77777777" w:rsidR="00D50726" w:rsidRPr="00FC7A5B" w:rsidRDefault="00D50726" w:rsidP="00D50726">
      <w:pPr>
        <w:spacing w:before="120" w:after="120" w:line="360" w:lineRule="auto"/>
        <w:jc w:val="both"/>
        <w:rPr>
          <w:rFonts w:ascii="Arial" w:hAnsi="Arial"/>
          <w:bCs/>
          <w:szCs w:val="20"/>
          <w:u w:val="single"/>
        </w:rPr>
      </w:pPr>
      <w:r w:rsidRPr="00FC7A5B">
        <w:rPr>
          <w:rFonts w:ascii="Arial" w:hAnsi="Arial"/>
          <w:bCs/>
          <w:szCs w:val="20"/>
          <w:u w:val="single"/>
        </w:rPr>
        <w:t>Preparación</w:t>
      </w:r>
    </w:p>
    <w:p w14:paraId="2664C10D" w14:textId="77777777" w:rsidR="00D50726" w:rsidRPr="00FC7A5B" w:rsidRDefault="00D50726" w:rsidP="00D50726">
      <w:pPr>
        <w:spacing w:before="120" w:after="120" w:line="360" w:lineRule="auto"/>
        <w:jc w:val="both"/>
        <w:rPr>
          <w:rFonts w:ascii="Arial" w:hAnsi="Arial"/>
          <w:bCs/>
          <w:szCs w:val="20"/>
        </w:rPr>
      </w:pPr>
      <w:r w:rsidRPr="00FC7A5B">
        <w:rPr>
          <w:rFonts w:ascii="Arial" w:hAnsi="Arial"/>
          <w:bCs/>
          <w:szCs w:val="20"/>
        </w:rPr>
        <w:t>En cada uno de los perfiles o chapas a utilizar en la estructura se procederá a:</w:t>
      </w:r>
    </w:p>
    <w:p w14:paraId="024EC7D9" w14:textId="77777777" w:rsidR="00D50726" w:rsidRPr="005B79AD" w:rsidRDefault="00D50726" w:rsidP="00221E1A">
      <w:pPr>
        <w:numPr>
          <w:ilvl w:val="0"/>
          <w:numId w:val="172"/>
        </w:numPr>
        <w:spacing w:before="120" w:after="120" w:line="360" w:lineRule="auto"/>
        <w:contextualSpacing/>
        <w:jc w:val="both"/>
        <w:rPr>
          <w:rFonts w:ascii="Arial" w:hAnsi="Arial"/>
          <w:bCs/>
          <w:szCs w:val="20"/>
        </w:rPr>
      </w:pPr>
      <w:r w:rsidRPr="005B79AD">
        <w:rPr>
          <w:rFonts w:ascii="Arial" w:hAnsi="Arial"/>
          <w:bCs/>
          <w:szCs w:val="20"/>
        </w:rPr>
        <w:t>Eliminar aquellos defectos de laminación que, por su pequeña importancia, no hayan sido causa de rechazo.</w:t>
      </w:r>
    </w:p>
    <w:p w14:paraId="2355852F" w14:textId="77777777" w:rsidR="00D50726" w:rsidRPr="005B79AD" w:rsidRDefault="00D50726" w:rsidP="00221E1A">
      <w:pPr>
        <w:numPr>
          <w:ilvl w:val="0"/>
          <w:numId w:val="172"/>
        </w:numPr>
        <w:spacing w:before="120" w:after="120" w:line="360" w:lineRule="auto"/>
        <w:contextualSpacing/>
        <w:jc w:val="both"/>
        <w:rPr>
          <w:rFonts w:ascii="Arial" w:hAnsi="Arial"/>
          <w:bCs/>
          <w:szCs w:val="20"/>
        </w:rPr>
      </w:pPr>
      <w:r w:rsidRPr="005B79AD">
        <w:rPr>
          <w:rFonts w:ascii="Arial" w:hAnsi="Arial"/>
          <w:bCs/>
          <w:szCs w:val="20"/>
        </w:rPr>
        <w:t>Suprimir las marcas de laminación con relieve en aquellas zonas que hayan de entrar en contacto con otro elemento en las uniones de la estructura.</w:t>
      </w:r>
    </w:p>
    <w:p w14:paraId="22E31C24" w14:textId="77777777" w:rsidR="00D50726" w:rsidRPr="005B79AD" w:rsidRDefault="00D50726" w:rsidP="00221E1A">
      <w:pPr>
        <w:numPr>
          <w:ilvl w:val="0"/>
          <w:numId w:val="172"/>
        </w:numPr>
        <w:spacing w:before="120" w:after="120" w:line="360" w:lineRule="auto"/>
        <w:contextualSpacing/>
        <w:jc w:val="both"/>
        <w:rPr>
          <w:rFonts w:ascii="Arial" w:hAnsi="Arial"/>
          <w:bCs/>
          <w:szCs w:val="20"/>
        </w:rPr>
      </w:pPr>
      <w:r w:rsidRPr="005B79AD">
        <w:rPr>
          <w:rFonts w:ascii="Arial" w:hAnsi="Arial"/>
          <w:bCs/>
          <w:szCs w:val="20"/>
        </w:rPr>
        <w:t>Eliminar todas las impurezas que lleven adheridas; la cascarilla de laminación fijamente unida no necesita ser eliminada, a menos que se indique en los planos del proyecto.</w:t>
      </w:r>
    </w:p>
    <w:p w14:paraId="7DBB672B" w14:textId="77777777" w:rsidR="00D50726" w:rsidRPr="00FC7A5B" w:rsidRDefault="00D50726" w:rsidP="00D50726">
      <w:pPr>
        <w:spacing w:before="120" w:after="120" w:line="360" w:lineRule="auto"/>
        <w:jc w:val="both"/>
        <w:rPr>
          <w:rFonts w:ascii="Arial" w:hAnsi="Arial"/>
          <w:bCs/>
          <w:szCs w:val="20"/>
          <w:u w:val="single"/>
        </w:rPr>
      </w:pPr>
      <w:r w:rsidRPr="00FC7A5B">
        <w:rPr>
          <w:rFonts w:ascii="Arial" w:hAnsi="Arial"/>
          <w:bCs/>
          <w:szCs w:val="20"/>
          <w:u w:val="single"/>
        </w:rPr>
        <w:t>Corte y preparación de biseles y ojales</w:t>
      </w:r>
    </w:p>
    <w:p w14:paraId="1971D183" w14:textId="77777777" w:rsidR="00D50726" w:rsidRPr="00FC7A5B" w:rsidRDefault="00D50726" w:rsidP="005609D6">
      <w:pPr>
        <w:spacing w:before="120" w:after="120" w:line="312" w:lineRule="auto"/>
        <w:jc w:val="both"/>
        <w:rPr>
          <w:rFonts w:ascii="Arial" w:hAnsi="Arial" w:cs="Arial"/>
        </w:rPr>
      </w:pPr>
      <w:proofErr w:type="gramStart"/>
      <w:r w:rsidRPr="00FC7A5B">
        <w:rPr>
          <w:rFonts w:ascii="Arial" w:hAnsi="Arial" w:cs="Arial"/>
        </w:rPr>
        <w:t>El corte a realizar</w:t>
      </w:r>
      <w:proofErr w:type="gramEnd"/>
      <w:r w:rsidRPr="00FC7A5B">
        <w:rPr>
          <w:rFonts w:ascii="Arial" w:hAnsi="Arial" w:cs="Arial"/>
        </w:rPr>
        <w:t xml:space="preserve"> para la obtención de chapas de rigidizadores se ejecutará con máquina automática de oxicorte.</w:t>
      </w:r>
    </w:p>
    <w:p w14:paraId="3E7F4FDA" w14:textId="77777777" w:rsidR="00D50726" w:rsidRPr="00FC7A5B" w:rsidRDefault="00D50726" w:rsidP="005609D6">
      <w:pPr>
        <w:spacing w:before="120" w:after="120" w:line="312" w:lineRule="auto"/>
        <w:jc w:val="both"/>
        <w:rPr>
          <w:rFonts w:ascii="Arial" w:hAnsi="Arial" w:cs="Arial"/>
        </w:rPr>
      </w:pPr>
      <w:r w:rsidRPr="00FC7A5B">
        <w:rPr>
          <w:rFonts w:ascii="Arial" w:hAnsi="Arial" w:cs="Arial"/>
        </w:rPr>
        <w:t>El borde resultante de cualquier tipo de preparación será uniforme y liso, y exento de cualquier oxidación.</w:t>
      </w:r>
    </w:p>
    <w:p w14:paraId="3527400D"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El óxido adherido y las rebabas, estrías o irregularidades de borde producidas en el corte, se eliminarán posteriormente mediante piedra esmeril, buril y esmerilado posterior, fresa o cepillo. Esta operación se realizará con el mayor esmero y se llevará </w:t>
      </w:r>
      <w:r w:rsidRPr="00FC7A5B">
        <w:rPr>
          <w:rFonts w:ascii="Arial" w:hAnsi="Arial" w:cs="Arial"/>
        </w:rPr>
        <w:lastRenderedPageBreak/>
        <w:t xml:space="preserve">con una profundidad mínima de 2 </w:t>
      </w:r>
      <w:proofErr w:type="spellStart"/>
      <w:r w:rsidRPr="00FC7A5B">
        <w:rPr>
          <w:rFonts w:ascii="Arial" w:hAnsi="Arial" w:cs="Arial"/>
        </w:rPr>
        <w:t>mm.</w:t>
      </w:r>
      <w:proofErr w:type="spellEnd"/>
      <w:r w:rsidRPr="00FC7A5B">
        <w:rPr>
          <w:rFonts w:ascii="Arial" w:hAnsi="Arial" w:cs="Arial"/>
        </w:rPr>
        <w:t xml:space="preserve"> en los bordes que sin ser fundidos durante el soldeo hayan de quedar a distancias inferiores a 30 cm. de la unión soldada.</w:t>
      </w:r>
    </w:p>
    <w:p w14:paraId="3DD1151B" w14:textId="77777777" w:rsidR="00D50726" w:rsidRPr="00FC7A5B" w:rsidRDefault="00D50726" w:rsidP="005609D6">
      <w:pPr>
        <w:spacing w:before="120" w:after="120" w:line="312" w:lineRule="auto"/>
        <w:jc w:val="both"/>
        <w:rPr>
          <w:rFonts w:ascii="Arial" w:hAnsi="Arial" w:cs="Arial"/>
        </w:rPr>
      </w:pPr>
      <w:r w:rsidRPr="00FC7A5B">
        <w:rPr>
          <w:rFonts w:ascii="Arial" w:hAnsi="Arial" w:cs="Arial"/>
        </w:rPr>
        <w:t>La preparación de biseles para uniones soldadas, se ejecutarán con máquinas automáticas de oxicorte.</w:t>
      </w:r>
    </w:p>
    <w:p w14:paraId="1923733E"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Todas las entallas, producidas, tanto en cortes rectos como en biseles, con profundidad superior a 0.5 </w:t>
      </w:r>
      <w:proofErr w:type="spellStart"/>
      <w:r w:rsidRPr="00FC7A5B">
        <w:rPr>
          <w:rFonts w:ascii="Arial" w:hAnsi="Arial" w:cs="Arial"/>
        </w:rPr>
        <w:t>mm.</w:t>
      </w:r>
      <w:proofErr w:type="spellEnd"/>
      <w:r w:rsidRPr="00FC7A5B">
        <w:rPr>
          <w:rFonts w:ascii="Arial" w:hAnsi="Arial" w:cs="Arial"/>
        </w:rPr>
        <w:t xml:space="preserve"> se esmerilarán para su eliminación.</w:t>
      </w:r>
    </w:p>
    <w:p w14:paraId="0008E17A"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Los ojales para salvar el cruce de distintos cordones de soldadura se ejecutarán también automáticamente, con radios de círculo regulares y ausentes de estrías, irregularidades o rebabas.</w:t>
      </w:r>
    </w:p>
    <w:p w14:paraId="6FBEB187" w14:textId="77777777" w:rsidR="00D50726" w:rsidRPr="00FC7A5B" w:rsidRDefault="00D50726" w:rsidP="00D50726">
      <w:pPr>
        <w:spacing w:before="120" w:after="120" w:line="312" w:lineRule="auto"/>
        <w:jc w:val="both"/>
        <w:rPr>
          <w:rFonts w:ascii="Arial" w:hAnsi="Arial" w:cs="Arial"/>
          <w:u w:val="single"/>
        </w:rPr>
      </w:pPr>
      <w:r w:rsidRPr="00FC7A5B">
        <w:rPr>
          <w:rFonts w:ascii="Arial" w:hAnsi="Arial" w:cs="Arial"/>
          <w:u w:val="single"/>
        </w:rPr>
        <w:t>Enderezado de piezas</w:t>
      </w:r>
    </w:p>
    <w:p w14:paraId="01AD6855"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 El enderezado de perfiles y chapas se realizará con enderezadora mecánica, nunca con maza o aportación de calor.</w:t>
      </w:r>
    </w:p>
    <w:p w14:paraId="74882F5C"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 Para la corrección de las deformaciones producidas que se pudieran originar en los conjuntos soldados, será necesario contar con la aprobación del inspector de la </w:t>
      </w:r>
      <w:r w:rsidR="00157701" w:rsidRPr="00FC7A5B">
        <w:rPr>
          <w:rFonts w:ascii="Arial" w:hAnsi="Arial" w:cs="Arial"/>
        </w:rPr>
        <w:t>Dirección</w:t>
      </w:r>
      <w:r w:rsidRPr="00FC7A5B">
        <w:rPr>
          <w:rFonts w:ascii="Arial" w:hAnsi="Arial" w:cs="Arial"/>
        </w:rPr>
        <w:t xml:space="preserve"> </w:t>
      </w:r>
      <w:r w:rsidR="009771E6">
        <w:rPr>
          <w:rFonts w:ascii="Arial" w:hAnsi="Arial" w:cs="Arial"/>
        </w:rPr>
        <w:t>de Obra</w:t>
      </w:r>
      <w:r w:rsidRPr="00FC7A5B">
        <w:rPr>
          <w:rFonts w:ascii="Arial" w:hAnsi="Arial" w:cs="Arial"/>
        </w:rPr>
        <w:t>, sobre el sistema a emplear.</w:t>
      </w:r>
    </w:p>
    <w:p w14:paraId="278DDC41"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Será preferible el empleo de medios de armado y soldeo, tales como vibradores, armaduras auxiliares, etc. que anulen o reduzcan las deformaciones.</w:t>
      </w:r>
    </w:p>
    <w:p w14:paraId="08476F86" w14:textId="77777777" w:rsidR="00D50726" w:rsidRPr="00FC7A5B" w:rsidRDefault="00D50726" w:rsidP="00D50726">
      <w:pPr>
        <w:spacing w:before="120" w:after="120" w:line="312" w:lineRule="auto"/>
        <w:jc w:val="both"/>
        <w:rPr>
          <w:rFonts w:ascii="Arial" w:hAnsi="Arial" w:cs="Arial"/>
          <w:u w:val="single"/>
        </w:rPr>
      </w:pPr>
      <w:r w:rsidRPr="00FC7A5B">
        <w:rPr>
          <w:rFonts w:ascii="Arial" w:hAnsi="Arial" w:cs="Arial"/>
          <w:u w:val="single"/>
        </w:rPr>
        <w:t>Secuencia de armado y soldeo</w:t>
      </w:r>
    </w:p>
    <w:p w14:paraId="378E2D37"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Antes de iniciarse la fabricación, el constructor metálico propondrá, por escrito y con los planos necesarios, la secuencia de armado y soldeo que, a juicio de sus conocimientos y experiencia, genere la mayor reducción de tensiones residuales y deformaciones </w:t>
      </w:r>
      <w:proofErr w:type="spellStart"/>
      <w:r w:rsidRPr="00FC7A5B">
        <w:rPr>
          <w:rFonts w:ascii="Arial" w:hAnsi="Arial" w:cs="Arial"/>
        </w:rPr>
        <w:t>pre-visibles</w:t>
      </w:r>
      <w:proofErr w:type="spellEnd"/>
      <w:r w:rsidRPr="00FC7A5B">
        <w:rPr>
          <w:rFonts w:ascii="Arial" w:hAnsi="Arial" w:cs="Arial"/>
        </w:rPr>
        <w:t>. Estas secuencias se someterán a la Dirección de Obra para su discusión y aprobación, previa al inicio de la fabricación.</w:t>
      </w:r>
    </w:p>
    <w:p w14:paraId="64696009" w14:textId="77777777" w:rsidR="00D50726" w:rsidRPr="00FC7A5B" w:rsidRDefault="00D50726" w:rsidP="00D50726">
      <w:pPr>
        <w:spacing w:before="120" w:after="120" w:line="312" w:lineRule="auto"/>
        <w:jc w:val="both"/>
        <w:rPr>
          <w:rFonts w:ascii="Arial" w:hAnsi="Arial" w:cs="Arial"/>
          <w:u w:val="single"/>
        </w:rPr>
      </w:pPr>
      <w:r w:rsidRPr="00FC7A5B">
        <w:rPr>
          <w:rFonts w:ascii="Arial" w:hAnsi="Arial" w:cs="Arial"/>
          <w:u w:val="single"/>
        </w:rPr>
        <w:t>Armado en taller</w:t>
      </w:r>
    </w:p>
    <w:p w14:paraId="399616EE"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En el armado previo de taller se comprobará que la disposición y dimensiones de cada elemento se ajustan a las indicadas en los planos de taller. Se rectificarán, o reharán todas las piezas que no permitan el acoplamiento mutuo, sin reforzarlas, en la posición que hayan de tener, una vez efectuadas las uniones definitivas.</w:t>
      </w:r>
    </w:p>
    <w:p w14:paraId="4DFA843F"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En cada una de las piezas preparadas en taller se pondrá con pintura o lápiz grueso la marca de identificación con que ha sido designada en los planos de taller para el armado de los distintos elementos.</w:t>
      </w:r>
    </w:p>
    <w:p w14:paraId="1EB05249"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Asimismo, cada uno de los elementos terminados en taller llevará la marca de identificación necesaria (realizada con pintura) para determinar su posición relativa en el conjunto de la obra.</w:t>
      </w:r>
    </w:p>
    <w:p w14:paraId="6D51757C"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Para el armado en taller, las piezas se fijarán entre sí o a gálibos de armado, mediante medios adecuados que aseguren, sin una coacción excesiva, la inmovilidad durante el soldeo y enfriamiento subsiguiente.</w:t>
      </w:r>
    </w:p>
    <w:p w14:paraId="69151460"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Se permite emplear como medio de fijación, puntos de soldadura, depositados entre los bordes de las piezas a unir.</w:t>
      </w:r>
    </w:p>
    <w:p w14:paraId="68BB8A4D"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El número y tamaño de estos puntos de soldadura será el mínimo suficiente para asegurar la inmovilidad y se limpiarán perfectamente de escoria, cuidando que no contengan fisuras.</w:t>
      </w:r>
    </w:p>
    <w:p w14:paraId="7DB5AD98"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Estos puntos de soldadura podrán englobarse en la soldadura definitiva si están perfectamente limpios de escoria y no presentan fisuras u otros defectos.</w:t>
      </w:r>
    </w:p>
    <w:p w14:paraId="3DD1A990" w14:textId="77777777" w:rsidR="00D50726" w:rsidRPr="00FC7A5B" w:rsidRDefault="00D50726" w:rsidP="00D50726">
      <w:pPr>
        <w:spacing w:before="120" w:after="120" w:line="312" w:lineRule="auto"/>
        <w:jc w:val="both"/>
        <w:rPr>
          <w:rFonts w:ascii="Arial" w:hAnsi="Arial" w:cs="Arial"/>
          <w:u w:val="single"/>
        </w:rPr>
      </w:pPr>
      <w:r w:rsidRPr="00FC7A5B">
        <w:rPr>
          <w:rFonts w:ascii="Arial" w:hAnsi="Arial" w:cs="Arial"/>
          <w:u w:val="single"/>
        </w:rPr>
        <w:t>Ejecución de uniones soldadas</w:t>
      </w:r>
    </w:p>
    <w:p w14:paraId="2F62D134"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Juntamente con los planos de taller, el Constructor, deberá presentar a la aprobación de la Dirección de Obra, un programa de soldadura que abarcará los siguientes puntos:</w:t>
      </w:r>
    </w:p>
    <w:p w14:paraId="7D009433" w14:textId="77777777" w:rsidR="00D50726" w:rsidRPr="00E01981" w:rsidRDefault="00D50726" w:rsidP="00221E1A">
      <w:pPr>
        <w:pStyle w:val="Prrafodelista"/>
        <w:numPr>
          <w:ilvl w:val="0"/>
          <w:numId w:val="176"/>
        </w:numPr>
        <w:spacing w:before="120" w:after="120" w:line="360" w:lineRule="auto"/>
        <w:contextualSpacing/>
        <w:jc w:val="both"/>
        <w:rPr>
          <w:rFonts w:ascii="Arial" w:hAnsi="Arial" w:cs="Arial"/>
          <w:sz w:val="24"/>
          <w:szCs w:val="24"/>
        </w:rPr>
      </w:pPr>
      <w:proofErr w:type="gramStart"/>
      <w:r w:rsidRPr="00E01981">
        <w:rPr>
          <w:rFonts w:ascii="Arial" w:hAnsi="Arial" w:cs="Arial"/>
          <w:sz w:val="24"/>
          <w:szCs w:val="24"/>
        </w:rPr>
        <w:t>Cordones a ejecutar</w:t>
      </w:r>
      <w:proofErr w:type="gramEnd"/>
      <w:r w:rsidRPr="00E01981">
        <w:rPr>
          <w:rFonts w:ascii="Arial" w:hAnsi="Arial" w:cs="Arial"/>
          <w:sz w:val="24"/>
          <w:szCs w:val="24"/>
        </w:rPr>
        <w:t xml:space="preserve"> en taller y cordones a ejecutar en obra.</w:t>
      </w:r>
    </w:p>
    <w:p w14:paraId="1A426057" w14:textId="77777777" w:rsidR="00D50726" w:rsidRPr="00E01981" w:rsidRDefault="00D50726" w:rsidP="00221E1A">
      <w:pPr>
        <w:pStyle w:val="Prrafodelista"/>
        <w:numPr>
          <w:ilvl w:val="0"/>
          <w:numId w:val="176"/>
        </w:numPr>
        <w:spacing w:before="120" w:after="120" w:line="360" w:lineRule="auto"/>
        <w:contextualSpacing/>
        <w:jc w:val="both"/>
        <w:rPr>
          <w:rFonts w:ascii="Arial" w:hAnsi="Arial" w:cs="Arial"/>
          <w:sz w:val="24"/>
          <w:szCs w:val="24"/>
        </w:rPr>
      </w:pPr>
      <w:r w:rsidRPr="00E01981">
        <w:rPr>
          <w:rFonts w:ascii="Arial" w:hAnsi="Arial" w:cs="Arial"/>
          <w:sz w:val="24"/>
          <w:szCs w:val="24"/>
        </w:rPr>
        <w:t>Orden de ejecución de las distintas uniones y precauciones a adoptar para reducir al mínimo las deformaciones y las tensiones residuales.</w:t>
      </w:r>
    </w:p>
    <w:p w14:paraId="7F76AE29" w14:textId="77777777" w:rsidR="00D50726" w:rsidRPr="00E01981" w:rsidRDefault="00D50726" w:rsidP="00221E1A">
      <w:pPr>
        <w:pStyle w:val="Prrafodelista"/>
        <w:numPr>
          <w:ilvl w:val="0"/>
          <w:numId w:val="176"/>
        </w:numPr>
        <w:spacing w:before="120" w:after="120" w:line="360" w:lineRule="auto"/>
        <w:contextualSpacing/>
        <w:jc w:val="both"/>
        <w:rPr>
          <w:rFonts w:ascii="Arial" w:hAnsi="Arial" w:cs="Arial"/>
          <w:sz w:val="24"/>
          <w:szCs w:val="24"/>
        </w:rPr>
      </w:pPr>
      <w:r w:rsidRPr="00E01981">
        <w:rPr>
          <w:rFonts w:ascii="Arial" w:hAnsi="Arial" w:cs="Arial"/>
          <w:sz w:val="24"/>
          <w:szCs w:val="24"/>
        </w:rPr>
        <w:t xml:space="preserve">Procedimiento de soldeo elegido para cada cordón, con una breve justificación de las razones del procedimiento propuesto.  Para la soldadura manual, se indicará la clase y diámetro de los electrodos, el voltaje y la intensidad, de acuerdo con las </w:t>
      </w:r>
      <w:r w:rsidR="00157701" w:rsidRPr="00E01981">
        <w:rPr>
          <w:rFonts w:ascii="Arial" w:hAnsi="Arial" w:cs="Arial"/>
          <w:sz w:val="24"/>
          <w:szCs w:val="24"/>
        </w:rPr>
        <w:t>recomendaciones</w:t>
      </w:r>
      <w:r w:rsidRPr="00E01981">
        <w:rPr>
          <w:rFonts w:ascii="Arial" w:hAnsi="Arial" w:cs="Arial"/>
          <w:sz w:val="24"/>
          <w:szCs w:val="24"/>
        </w:rPr>
        <w:t xml:space="preserve"> del fabricante, la polaridad y las posiciones de soldeo para las que está aconsejado cada tipo de electrodos.</w:t>
      </w:r>
    </w:p>
    <w:p w14:paraId="070462D1" w14:textId="77777777" w:rsidR="00D50726" w:rsidRPr="00FC7A5B" w:rsidRDefault="00D50726" w:rsidP="00E01981">
      <w:pPr>
        <w:spacing w:before="120" w:after="120" w:line="360" w:lineRule="auto"/>
        <w:contextualSpacing/>
        <w:jc w:val="both"/>
        <w:rPr>
          <w:rFonts w:ascii="Arial" w:hAnsi="Arial" w:cs="Arial"/>
        </w:rPr>
      </w:pPr>
      <w:r w:rsidRPr="00FC7A5B">
        <w:rPr>
          <w:rFonts w:ascii="Arial" w:hAnsi="Arial" w:cs="Arial"/>
        </w:rPr>
        <w:t>Para la soldadura con arco sumergido se indicará: el tipo y marca de la máquina, la calidad y diámetro del hilo, la calidad y granulado del polvo, voltaje e intensidad.</w:t>
      </w:r>
    </w:p>
    <w:p w14:paraId="4E4FB295" w14:textId="77777777" w:rsidR="00D50726" w:rsidRPr="00FC7A5B" w:rsidRDefault="00D50726" w:rsidP="00E01981">
      <w:pPr>
        <w:spacing w:before="120" w:after="120" w:line="360" w:lineRule="auto"/>
        <w:contextualSpacing/>
        <w:jc w:val="both"/>
        <w:rPr>
          <w:rFonts w:ascii="Arial" w:hAnsi="Arial" w:cs="Arial"/>
        </w:rPr>
      </w:pPr>
      <w:r w:rsidRPr="00FC7A5B">
        <w:rPr>
          <w:rFonts w:ascii="Arial" w:hAnsi="Arial" w:cs="Arial"/>
        </w:rPr>
        <w:lastRenderedPageBreak/>
        <w:t>Teniendo en cuenta el tipo de acero a emplear se elegirán consumibles con una composición química adaptada a las características anticorrosivas del material base, garantizándose la idoneidad mediante la documentación pertinente.</w:t>
      </w:r>
    </w:p>
    <w:p w14:paraId="6282E2FB" w14:textId="77777777" w:rsidR="00D50726" w:rsidRPr="00E01981" w:rsidRDefault="00D50726" w:rsidP="00221E1A">
      <w:pPr>
        <w:pStyle w:val="Prrafodelista"/>
        <w:numPr>
          <w:ilvl w:val="0"/>
          <w:numId w:val="177"/>
        </w:numPr>
        <w:spacing w:before="120" w:after="120" w:line="360" w:lineRule="auto"/>
        <w:contextualSpacing/>
        <w:jc w:val="both"/>
        <w:rPr>
          <w:rFonts w:ascii="Arial" w:hAnsi="Arial" w:cs="Arial"/>
          <w:sz w:val="24"/>
          <w:szCs w:val="24"/>
        </w:rPr>
      </w:pPr>
      <w:r w:rsidRPr="00E01981">
        <w:rPr>
          <w:rFonts w:ascii="Arial" w:hAnsi="Arial" w:cs="Arial"/>
          <w:sz w:val="24"/>
          <w:szCs w:val="24"/>
        </w:rPr>
        <w:t>Todas las uniones soldadas entre platabandas y chapas rigidizadas de almas serán con penetración total o en ángulo según lo especificado en el plano de detalles metálicos del proyecto. Se admiten soldaduras simétricas con penetración parcial según el plano de detalles metálicos del proyecto.</w:t>
      </w:r>
    </w:p>
    <w:p w14:paraId="524AA3C1" w14:textId="77777777" w:rsidR="00D50726" w:rsidRPr="00E01981" w:rsidRDefault="00D50726" w:rsidP="00221E1A">
      <w:pPr>
        <w:pStyle w:val="Prrafodelista"/>
        <w:numPr>
          <w:ilvl w:val="0"/>
          <w:numId w:val="177"/>
        </w:numPr>
        <w:spacing w:before="120" w:after="120" w:line="360" w:lineRule="auto"/>
        <w:contextualSpacing/>
        <w:jc w:val="both"/>
        <w:rPr>
          <w:rFonts w:ascii="Arial" w:hAnsi="Arial" w:cs="Arial"/>
          <w:sz w:val="24"/>
          <w:szCs w:val="24"/>
        </w:rPr>
      </w:pPr>
      <w:r w:rsidRPr="00E01981">
        <w:rPr>
          <w:rFonts w:ascii="Arial" w:hAnsi="Arial" w:cs="Arial"/>
          <w:sz w:val="24"/>
          <w:szCs w:val="24"/>
        </w:rPr>
        <w:t>Las soldaduras de uniones de chapas de almas y alas de tramo metálico, así como los empalmes a tope de alas y almas, se ejecutarán en lo posible, con soldeo automático por arco sumergido, o con soldeo semiautomático con arco en atmósfera de gas inerte. Con este método, se ejecutarán todas las uniones posibles de rigidizadores.</w:t>
      </w:r>
    </w:p>
    <w:p w14:paraId="14790486" w14:textId="77777777" w:rsidR="00D50726" w:rsidRPr="00FC7A5B" w:rsidRDefault="00D50726" w:rsidP="00E01981">
      <w:pPr>
        <w:spacing w:before="120" w:after="120" w:line="360" w:lineRule="auto"/>
        <w:contextualSpacing/>
        <w:jc w:val="both"/>
        <w:rPr>
          <w:rFonts w:ascii="Arial" w:hAnsi="Arial" w:cs="Arial"/>
        </w:rPr>
      </w:pPr>
      <w:r w:rsidRPr="00FC7A5B">
        <w:rPr>
          <w:rFonts w:ascii="Arial" w:hAnsi="Arial" w:cs="Arial"/>
        </w:rPr>
        <w:t>Aquellas costuras difícilmente accesibles para la máquina de soldeo automático o semiautomático se realizarán por soldeo manual con electrodos revestidos.</w:t>
      </w:r>
    </w:p>
    <w:p w14:paraId="01AF4141" w14:textId="77777777" w:rsidR="00D50726" w:rsidRPr="00FC7A5B" w:rsidRDefault="00D50726" w:rsidP="00E01981">
      <w:pPr>
        <w:spacing w:before="120" w:after="120" w:line="360" w:lineRule="auto"/>
        <w:contextualSpacing/>
        <w:jc w:val="both"/>
        <w:rPr>
          <w:rFonts w:ascii="Arial" w:hAnsi="Arial" w:cs="Arial"/>
        </w:rPr>
      </w:pPr>
      <w:r w:rsidRPr="00FC7A5B">
        <w:rPr>
          <w:rFonts w:ascii="Arial" w:hAnsi="Arial" w:cs="Arial"/>
        </w:rPr>
        <w:t>En todas las soldaduras manuales a tope, deberán levantarse la raíz por el revés, recogiéndola, por lo menos, con un nuevo cordón de cierre; cuando ello no sea posible, por-que dicha raíz sea inaccesible, se adoptarán las medidas oportunas (chapa dorsal, guía de cobre acanalado, etc.) para conseguir un depósito de metal sano en todo el espesor de la costura.</w:t>
      </w:r>
    </w:p>
    <w:p w14:paraId="3B671369" w14:textId="77777777" w:rsidR="00D50726" w:rsidRPr="00E01981" w:rsidRDefault="00D50726" w:rsidP="00221E1A">
      <w:pPr>
        <w:pStyle w:val="Prrafodelista"/>
        <w:numPr>
          <w:ilvl w:val="0"/>
          <w:numId w:val="178"/>
        </w:numPr>
        <w:spacing w:before="120" w:after="120" w:line="360" w:lineRule="auto"/>
        <w:contextualSpacing/>
        <w:jc w:val="both"/>
        <w:rPr>
          <w:rFonts w:ascii="Arial" w:hAnsi="Arial" w:cs="Arial"/>
          <w:sz w:val="24"/>
          <w:szCs w:val="24"/>
        </w:rPr>
      </w:pPr>
      <w:r w:rsidRPr="00E01981">
        <w:rPr>
          <w:rFonts w:ascii="Arial" w:hAnsi="Arial" w:cs="Arial"/>
          <w:sz w:val="24"/>
          <w:szCs w:val="24"/>
        </w:rPr>
        <w:t xml:space="preserve">El levantamiento de uniones defectuosas y las tomas de </w:t>
      </w:r>
      <w:proofErr w:type="gramStart"/>
      <w:r w:rsidRPr="00E01981">
        <w:rPr>
          <w:rFonts w:ascii="Arial" w:hAnsi="Arial" w:cs="Arial"/>
          <w:sz w:val="24"/>
          <w:szCs w:val="24"/>
        </w:rPr>
        <w:t>raíz,</w:t>
      </w:r>
      <w:proofErr w:type="gramEnd"/>
      <w:r w:rsidRPr="00E01981">
        <w:rPr>
          <w:rFonts w:ascii="Arial" w:hAnsi="Arial" w:cs="Arial"/>
          <w:sz w:val="24"/>
          <w:szCs w:val="24"/>
        </w:rPr>
        <w:t xml:space="preserve"> se realizarán con procedimiento arco aire o buril automático, quedando excluido el empleo de amolado o cualquier otro sistema, salvo que a propuesta del Contratista y con expresa autorización de la Dirección </w:t>
      </w:r>
      <w:r w:rsidR="009F1466">
        <w:rPr>
          <w:rFonts w:ascii="Arial" w:hAnsi="Arial" w:cs="Arial"/>
          <w:sz w:val="24"/>
          <w:szCs w:val="24"/>
        </w:rPr>
        <w:t>de Obra</w:t>
      </w:r>
      <w:r w:rsidRPr="00E01981">
        <w:rPr>
          <w:rFonts w:ascii="Arial" w:hAnsi="Arial" w:cs="Arial"/>
          <w:sz w:val="24"/>
          <w:szCs w:val="24"/>
        </w:rPr>
        <w:t xml:space="preserve">, se acepte algún método que garantice realizar el </w:t>
      </w:r>
      <w:proofErr w:type="gramStart"/>
      <w:r w:rsidRPr="00E01981">
        <w:rPr>
          <w:rFonts w:ascii="Arial" w:hAnsi="Arial" w:cs="Arial"/>
          <w:sz w:val="24"/>
          <w:szCs w:val="24"/>
        </w:rPr>
        <w:t>levanta-miento</w:t>
      </w:r>
      <w:proofErr w:type="gramEnd"/>
      <w:r w:rsidRPr="00E01981">
        <w:rPr>
          <w:rFonts w:ascii="Arial" w:hAnsi="Arial" w:cs="Arial"/>
          <w:sz w:val="24"/>
          <w:szCs w:val="24"/>
        </w:rPr>
        <w:t xml:space="preserve"> sin excesivos recortes de las chapas adyacentes y con posterior preparación de los bordes de </w:t>
      </w:r>
      <w:proofErr w:type="gramStart"/>
      <w:r w:rsidRPr="00E01981">
        <w:rPr>
          <w:rFonts w:ascii="Arial" w:hAnsi="Arial" w:cs="Arial"/>
          <w:sz w:val="24"/>
          <w:szCs w:val="24"/>
        </w:rPr>
        <w:t>las mismas</w:t>
      </w:r>
      <w:proofErr w:type="gramEnd"/>
      <w:r w:rsidRPr="00E01981">
        <w:rPr>
          <w:rFonts w:ascii="Arial" w:hAnsi="Arial" w:cs="Arial"/>
          <w:sz w:val="24"/>
          <w:szCs w:val="24"/>
        </w:rPr>
        <w:t>.</w:t>
      </w:r>
    </w:p>
    <w:p w14:paraId="7C6070D8" w14:textId="77777777" w:rsidR="00D50726" w:rsidRPr="00E01981" w:rsidRDefault="00D50726" w:rsidP="00221E1A">
      <w:pPr>
        <w:pStyle w:val="Prrafodelista"/>
        <w:numPr>
          <w:ilvl w:val="0"/>
          <w:numId w:val="178"/>
        </w:numPr>
        <w:spacing w:before="120" w:after="120" w:line="360" w:lineRule="auto"/>
        <w:contextualSpacing/>
        <w:jc w:val="both"/>
        <w:rPr>
          <w:rFonts w:ascii="Arial" w:hAnsi="Arial" w:cs="Arial"/>
          <w:sz w:val="24"/>
          <w:szCs w:val="24"/>
        </w:rPr>
      </w:pPr>
      <w:r w:rsidRPr="00E01981">
        <w:rPr>
          <w:rFonts w:ascii="Arial" w:hAnsi="Arial" w:cs="Arial"/>
          <w:sz w:val="24"/>
          <w:szCs w:val="24"/>
        </w:rPr>
        <w:t>Se pondrá un cuidado especial, dando normas adecuadas a montadores y soldadores, en no cebar o probar el electrodo sobre el material de la estructura. Se tomarán los medios que aconsejen la buena práctica, tales como chapas de prueba, para el cebado del arco.</w:t>
      </w:r>
    </w:p>
    <w:p w14:paraId="1AD60D2D" w14:textId="77777777" w:rsidR="00D50726" w:rsidRPr="00E01981" w:rsidRDefault="00D50726" w:rsidP="00221E1A">
      <w:pPr>
        <w:pStyle w:val="Prrafodelista"/>
        <w:numPr>
          <w:ilvl w:val="0"/>
          <w:numId w:val="178"/>
        </w:numPr>
        <w:spacing w:before="120" w:after="120" w:line="360" w:lineRule="auto"/>
        <w:contextualSpacing/>
        <w:jc w:val="both"/>
        <w:rPr>
          <w:rFonts w:ascii="Arial" w:hAnsi="Arial" w:cs="Arial"/>
          <w:sz w:val="24"/>
          <w:szCs w:val="24"/>
        </w:rPr>
      </w:pPr>
      <w:r w:rsidRPr="00E01981">
        <w:rPr>
          <w:rFonts w:ascii="Arial" w:hAnsi="Arial" w:cs="Arial"/>
          <w:sz w:val="24"/>
          <w:szCs w:val="24"/>
        </w:rPr>
        <w:t xml:space="preserve">Para el armado de piezas para la ejecución del conjunto, antes de proceder a la ejecución de las soldaduras de ensamble y en general en el curso de la </w:t>
      </w:r>
      <w:r w:rsidRPr="00E01981">
        <w:rPr>
          <w:rFonts w:ascii="Arial" w:hAnsi="Arial" w:cs="Arial"/>
          <w:sz w:val="24"/>
          <w:szCs w:val="24"/>
        </w:rPr>
        <w:t xml:space="preserve">fabricación e incluso en la carga y volteo de piezas, se prohíbe rigurosamente el empleo de puentes de chapa o soldeo de elementos auxiliares de unión que sea preciso puntear o soldar a la estructura, salvo que se apruebe expresamente por la Dirección </w:t>
      </w:r>
      <w:r w:rsidR="009F1466">
        <w:rPr>
          <w:rFonts w:ascii="Arial" w:hAnsi="Arial" w:cs="Arial"/>
          <w:sz w:val="24"/>
          <w:szCs w:val="24"/>
        </w:rPr>
        <w:t>de Obra</w:t>
      </w:r>
      <w:r w:rsidRPr="00E01981">
        <w:rPr>
          <w:rFonts w:ascii="Arial" w:hAnsi="Arial" w:cs="Arial"/>
          <w:sz w:val="24"/>
          <w:szCs w:val="24"/>
        </w:rPr>
        <w:t xml:space="preserve"> a propuesta del Contratista, garantizando y controlándose por parte de éste la perfecta rigidez del método propuesto y la correcta disposición de las soldaduras a la estructura, de manera que no se produzcan tensiones residuales parásitos peligrosos para la misma o detalles bajos de fatiga que puedan reducir la capacidad final de la estructura. En cualquier caso, se intentarán aprovechar al máximo las soldaduras y elementos internos de </w:t>
      </w:r>
      <w:proofErr w:type="spellStart"/>
      <w:r w:rsidRPr="00E01981">
        <w:rPr>
          <w:rFonts w:ascii="Arial" w:hAnsi="Arial" w:cs="Arial"/>
          <w:sz w:val="24"/>
          <w:szCs w:val="24"/>
        </w:rPr>
        <w:t>rigidización</w:t>
      </w:r>
      <w:proofErr w:type="spellEnd"/>
      <w:r w:rsidRPr="00E01981">
        <w:rPr>
          <w:rFonts w:ascii="Arial" w:hAnsi="Arial" w:cs="Arial"/>
          <w:sz w:val="24"/>
          <w:szCs w:val="24"/>
        </w:rPr>
        <w:t xml:space="preserve"> y arriostramiento, previsto en proyecto.</w:t>
      </w:r>
    </w:p>
    <w:p w14:paraId="20C430D2" w14:textId="77777777" w:rsidR="00D50726" w:rsidRPr="00E01981" w:rsidRDefault="00D50726" w:rsidP="00221E1A">
      <w:pPr>
        <w:pStyle w:val="Prrafodelista"/>
        <w:numPr>
          <w:ilvl w:val="0"/>
          <w:numId w:val="178"/>
        </w:numPr>
        <w:spacing w:before="120" w:after="120" w:line="360" w:lineRule="auto"/>
        <w:contextualSpacing/>
        <w:jc w:val="both"/>
        <w:rPr>
          <w:rFonts w:ascii="Arial" w:hAnsi="Arial" w:cs="Arial"/>
          <w:sz w:val="24"/>
          <w:szCs w:val="24"/>
        </w:rPr>
      </w:pPr>
      <w:r w:rsidRPr="00E01981">
        <w:rPr>
          <w:rFonts w:ascii="Arial" w:hAnsi="Arial" w:cs="Arial"/>
          <w:sz w:val="24"/>
          <w:szCs w:val="24"/>
        </w:rPr>
        <w:t>En taller debe procurarse que el depósito de los cordones se efectúe siempre que sea posible, en posición horizontal.  Con este fin se utilizarán los dispositivos de volteo que sean necesarios para poder orientar las piezas en la posición más conveniente para la ejecución de las distintas costuras, sin provocar en ellas, no obstante, solicitaciones excesivas que puedan dañar la débil resistencia de las primeras capas depositadas.</w:t>
      </w:r>
    </w:p>
    <w:p w14:paraId="2191A7FB" w14:textId="77777777" w:rsidR="00D50726" w:rsidRPr="00FC7A5B" w:rsidRDefault="00D50726" w:rsidP="005609D6">
      <w:pPr>
        <w:spacing w:before="120" w:after="120" w:line="360" w:lineRule="auto"/>
        <w:contextualSpacing/>
        <w:jc w:val="both"/>
        <w:rPr>
          <w:rFonts w:ascii="Arial" w:hAnsi="Arial" w:cs="Arial"/>
        </w:rPr>
      </w:pPr>
      <w:r w:rsidRPr="00FC7A5B">
        <w:rPr>
          <w:rFonts w:ascii="Arial" w:hAnsi="Arial" w:cs="Arial"/>
        </w:rPr>
        <w:t>Se pondrá especial cuidado para evitar que los electrodos, varilla y fundente adquieran humedad del medio ambiente.</w:t>
      </w:r>
    </w:p>
    <w:p w14:paraId="6BE60ACB" w14:textId="77777777" w:rsidR="00D50726" w:rsidRPr="00FC7A5B" w:rsidRDefault="00D50726" w:rsidP="00E01981">
      <w:pPr>
        <w:spacing w:before="120" w:after="120" w:line="360" w:lineRule="auto"/>
        <w:contextualSpacing/>
        <w:jc w:val="both"/>
        <w:rPr>
          <w:rFonts w:ascii="Arial" w:hAnsi="Arial" w:cs="Arial"/>
        </w:rPr>
      </w:pPr>
      <w:r w:rsidRPr="00FC7A5B">
        <w:rPr>
          <w:rFonts w:ascii="Arial" w:hAnsi="Arial" w:cs="Arial"/>
        </w:rPr>
        <w:t xml:space="preserve">Los materiales de aportación se almacenarán en un recinto cuya humedad ambiente sea inferior al 50% y la temperatura del recinto se mantenga 10 </w:t>
      </w:r>
      <w:proofErr w:type="spellStart"/>
      <w:r w:rsidRPr="00FC7A5B">
        <w:rPr>
          <w:rFonts w:ascii="Arial" w:hAnsi="Arial" w:cs="Arial"/>
        </w:rPr>
        <w:t>ºC</w:t>
      </w:r>
      <w:proofErr w:type="spellEnd"/>
      <w:r w:rsidRPr="00FC7A5B">
        <w:rPr>
          <w:rFonts w:ascii="Arial" w:hAnsi="Arial" w:cs="Arial"/>
        </w:rPr>
        <w:t xml:space="preserve"> por encima del ambiente de trabajo.</w:t>
      </w:r>
    </w:p>
    <w:p w14:paraId="7338F9F1" w14:textId="77777777" w:rsidR="00D50726" w:rsidRPr="00E01981" w:rsidRDefault="00D50726" w:rsidP="00221E1A">
      <w:pPr>
        <w:pStyle w:val="Prrafodelista"/>
        <w:numPr>
          <w:ilvl w:val="0"/>
          <w:numId w:val="179"/>
        </w:numPr>
        <w:spacing w:before="120" w:after="120" w:line="360" w:lineRule="auto"/>
        <w:contextualSpacing/>
        <w:jc w:val="both"/>
        <w:rPr>
          <w:rFonts w:ascii="Arial" w:hAnsi="Arial" w:cs="Arial"/>
          <w:sz w:val="24"/>
          <w:szCs w:val="24"/>
        </w:rPr>
      </w:pPr>
      <w:r w:rsidRPr="00E01981">
        <w:rPr>
          <w:rFonts w:ascii="Arial" w:hAnsi="Arial" w:cs="Arial"/>
          <w:sz w:val="24"/>
          <w:szCs w:val="24"/>
        </w:rPr>
        <w:t>Los cantos y caras de las chapas a soldar, antes del soldeo, se limpiarán de la capa de recubrimiento en una anchura de 5 cm. en planos y de 3 cm. en bordes.</w:t>
      </w:r>
    </w:p>
    <w:p w14:paraId="6BD9777A" w14:textId="77777777" w:rsidR="00E01981" w:rsidRPr="00E01981" w:rsidRDefault="00D50726" w:rsidP="00221E1A">
      <w:pPr>
        <w:pStyle w:val="Prrafodelista"/>
        <w:numPr>
          <w:ilvl w:val="0"/>
          <w:numId w:val="179"/>
        </w:numPr>
        <w:spacing w:before="120" w:after="120" w:line="360" w:lineRule="auto"/>
        <w:contextualSpacing/>
        <w:jc w:val="both"/>
        <w:rPr>
          <w:rFonts w:ascii="Arial" w:hAnsi="Arial" w:cs="Arial"/>
          <w:sz w:val="24"/>
          <w:szCs w:val="24"/>
        </w:rPr>
      </w:pPr>
      <w:r w:rsidRPr="00E01981">
        <w:rPr>
          <w:rFonts w:ascii="Arial" w:hAnsi="Arial" w:cs="Arial"/>
          <w:sz w:val="24"/>
          <w:szCs w:val="24"/>
        </w:rPr>
        <w:t xml:space="preserve">No se realizará ninguna soldadura cuando la temperatura ambiente sea igual o inferior </w:t>
      </w:r>
      <w:proofErr w:type="gramStart"/>
      <w:r w:rsidRPr="00E01981">
        <w:rPr>
          <w:rFonts w:ascii="Arial" w:hAnsi="Arial" w:cs="Arial"/>
          <w:sz w:val="24"/>
          <w:szCs w:val="24"/>
        </w:rPr>
        <w:t>a  5º</w:t>
      </w:r>
      <w:proofErr w:type="gramEnd"/>
      <w:r w:rsidRPr="00E01981">
        <w:rPr>
          <w:rFonts w:ascii="Arial" w:hAnsi="Arial" w:cs="Arial"/>
          <w:sz w:val="24"/>
          <w:szCs w:val="24"/>
        </w:rPr>
        <w:t xml:space="preserve"> C.</w:t>
      </w:r>
    </w:p>
    <w:p w14:paraId="10C976F0" w14:textId="77777777" w:rsidR="00D50726" w:rsidRPr="00E01981" w:rsidRDefault="00D50726" w:rsidP="00221E1A">
      <w:pPr>
        <w:pStyle w:val="Prrafodelista"/>
        <w:numPr>
          <w:ilvl w:val="0"/>
          <w:numId w:val="179"/>
        </w:numPr>
        <w:spacing w:before="120" w:after="120" w:line="360" w:lineRule="auto"/>
        <w:contextualSpacing/>
        <w:jc w:val="both"/>
        <w:rPr>
          <w:rFonts w:ascii="Arial" w:hAnsi="Arial" w:cs="Arial"/>
          <w:sz w:val="24"/>
          <w:szCs w:val="24"/>
        </w:rPr>
      </w:pPr>
      <w:r w:rsidRPr="00E01981">
        <w:rPr>
          <w:rFonts w:ascii="Arial" w:hAnsi="Arial" w:cs="Arial"/>
          <w:sz w:val="24"/>
          <w:szCs w:val="24"/>
        </w:rPr>
        <w:t xml:space="preserve">Con temperatura ambiente comprendida </w:t>
      </w:r>
      <w:proofErr w:type="gramStart"/>
      <w:r w:rsidRPr="00E01981">
        <w:rPr>
          <w:rFonts w:ascii="Arial" w:hAnsi="Arial" w:cs="Arial"/>
          <w:sz w:val="24"/>
          <w:szCs w:val="24"/>
        </w:rPr>
        <w:t>entre  5º</w:t>
      </w:r>
      <w:proofErr w:type="gramEnd"/>
      <w:r w:rsidRPr="00E01981">
        <w:rPr>
          <w:rFonts w:ascii="Arial" w:hAnsi="Arial" w:cs="Arial"/>
          <w:sz w:val="24"/>
          <w:szCs w:val="24"/>
        </w:rPr>
        <w:t xml:space="preserve"> C y +5º C, se precalentarán los bordes a soldar a 100º C.</w:t>
      </w:r>
    </w:p>
    <w:p w14:paraId="1BE49328" w14:textId="77777777" w:rsidR="00D50726" w:rsidRPr="00E01981" w:rsidRDefault="00D50726" w:rsidP="00221E1A">
      <w:pPr>
        <w:pStyle w:val="Prrafodelista"/>
        <w:numPr>
          <w:ilvl w:val="0"/>
          <w:numId w:val="179"/>
        </w:numPr>
        <w:spacing w:before="120" w:after="120" w:line="360" w:lineRule="auto"/>
        <w:contextualSpacing/>
        <w:jc w:val="both"/>
        <w:rPr>
          <w:rFonts w:ascii="Arial" w:hAnsi="Arial" w:cs="Arial"/>
          <w:sz w:val="24"/>
          <w:szCs w:val="24"/>
        </w:rPr>
      </w:pPr>
      <w:r w:rsidRPr="00E01981">
        <w:rPr>
          <w:rFonts w:ascii="Arial" w:hAnsi="Arial" w:cs="Arial"/>
          <w:sz w:val="24"/>
          <w:szCs w:val="24"/>
        </w:rPr>
        <w:t xml:space="preserve">Con temperatura ambiente, por encima de +5º C, se soldará sin precalentamiento, para espesores iguales o inferiores a 20 </w:t>
      </w:r>
      <w:proofErr w:type="spellStart"/>
      <w:r w:rsidRPr="00E01981">
        <w:rPr>
          <w:rFonts w:ascii="Arial" w:hAnsi="Arial" w:cs="Arial"/>
          <w:sz w:val="24"/>
          <w:szCs w:val="24"/>
        </w:rPr>
        <w:t>mm.</w:t>
      </w:r>
      <w:proofErr w:type="spellEnd"/>
      <w:r w:rsidRPr="00E01981">
        <w:rPr>
          <w:rFonts w:ascii="Arial" w:hAnsi="Arial" w:cs="Arial"/>
          <w:sz w:val="24"/>
          <w:szCs w:val="24"/>
        </w:rPr>
        <w:t xml:space="preserve"> pero se evitará la humedad, para lo cual se pasará la llama neutra de soplete por los bordes a </w:t>
      </w:r>
      <w:r w:rsidRPr="00E01981">
        <w:rPr>
          <w:rFonts w:ascii="Arial" w:hAnsi="Arial" w:cs="Arial"/>
          <w:sz w:val="24"/>
          <w:szCs w:val="24"/>
        </w:rPr>
        <w:lastRenderedPageBreak/>
        <w:t>soldar. Para espesores mayores se realizarán las actuaciones previas al soldeo necesarias para garantizar la bondad de la soldadura (precalentamiento).</w:t>
      </w:r>
    </w:p>
    <w:p w14:paraId="2AEE2153" w14:textId="77777777" w:rsidR="00D50726" w:rsidRPr="00E01981" w:rsidRDefault="00D50726" w:rsidP="00221E1A">
      <w:pPr>
        <w:pStyle w:val="Prrafodelista"/>
        <w:numPr>
          <w:ilvl w:val="0"/>
          <w:numId w:val="179"/>
        </w:numPr>
        <w:spacing w:before="120" w:after="120" w:line="360" w:lineRule="auto"/>
        <w:contextualSpacing/>
        <w:jc w:val="both"/>
        <w:rPr>
          <w:rFonts w:ascii="Arial" w:hAnsi="Arial" w:cs="Arial"/>
          <w:sz w:val="24"/>
          <w:szCs w:val="24"/>
        </w:rPr>
      </w:pPr>
      <w:r w:rsidRPr="00E01981">
        <w:rPr>
          <w:rFonts w:ascii="Arial" w:hAnsi="Arial" w:cs="Arial"/>
          <w:sz w:val="24"/>
          <w:szCs w:val="24"/>
        </w:rPr>
        <w:t>Cuando se requiera más de una pasada para la ejecución de las costuras soldadas, la temperatura entre pasadas no será superior a 100º C.</w:t>
      </w:r>
    </w:p>
    <w:p w14:paraId="0C81450C" w14:textId="77777777" w:rsidR="00E01981" w:rsidRPr="00E01981" w:rsidRDefault="00D50726" w:rsidP="00221E1A">
      <w:pPr>
        <w:pStyle w:val="Prrafodelista"/>
        <w:numPr>
          <w:ilvl w:val="0"/>
          <w:numId w:val="179"/>
        </w:numPr>
        <w:spacing w:before="120" w:after="120" w:line="360" w:lineRule="auto"/>
        <w:contextualSpacing/>
        <w:jc w:val="both"/>
        <w:rPr>
          <w:rFonts w:ascii="Arial" w:hAnsi="Arial" w:cs="Arial"/>
          <w:sz w:val="24"/>
          <w:szCs w:val="24"/>
        </w:rPr>
      </w:pPr>
      <w:r w:rsidRPr="00E01981">
        <w:rPr>
          <w:rFonts w:ascii="Arial" w:hAnsi="Arial" w:cs="Arial"/>
          <w:sz w:val="24"/>
          <w:szCs w:val="24"/>
        </w:rPr>
        <w:t xml:space="preserve">El control de precalentamiento y temperatura entre pasadas, tanto durante la cualificación de los métodos de soldeo como durante la fabricación se realizará con tizas termométricas con tolerancia de 1º C sobre la temperatura a medir. </w:t>
      </w:r>
    </w:p>
    <w:p w14:paraId="5642934F" w14:textId="77777777" w:rsidR="00D50726" w:rsidRPr="00E01981" w:rsidRDefault="00D50726" w:rsidP="00221E1A">
      <w:pPr>
        <w:pStyle w:val="Prrafodelista"/>
        <w:numPr>
          <w:ilvl w:val="0"/>
          <w:numId w:val="179"/>
        </w:numPr>
        <w:spacing w:before="120" w:after="120" w:line="360" w:lineRule="auto"/>
        <w:contextualSpacing/>
        <w:jc w:val="both"/>
        <w:rPr>
          <w:rFonts w:ascii="Arial" w:hAnsi="Arial" w:cs="Arial"/>
          <w:sz w:val="24"/>
          <w:szCs w:val="24"/>
        </w:rPr>
      </w:pPr>
      <w:r w:rsidRPr="00E01981">
        <w:rPr>
          <w:rFonts w:ascii="Arial" w:hAnsi="Arial" w:cs="Arial"/>
          <w:sz w:val="24"/>
          <w:szCs w:val="24"/>
        </w:rPr>
        <w:t xml:space="preserve">En el caso de soldaduras a tope el </w:t>
      </w:r>
      <w:proofErr w:type="spellStart"/>
      <w:r w:rsidRPr="00E01981">
        <w:rPr>
          <w:rFonts w:ascii="Arial" w:hAnsi="Arial" w:cs="Arial"/>
          <w:sz w:val="24"/>
          <w:szCs w:val="24"/>
        </w:rPr>
        <w:t>sobreespesor</w:t>
      </w:r>
      <w:proofErr w:type="spellEnd"/>
      <w:r w:rsidRPr="00E01981">
        <w:rPr>
          <w:rFonts w:ascii="Arial" w:hAnsi="Arial" w:cs="Arial"/>
          <w:sz w:val="24"/>
          <w:szCs w:val="24"/>
        </w:rPr>
        <w:t xml:space="preserve"> de las mismas cumplirá las condiciones de tolerancias indicadas en los planos de detalles, al objeto de no penalizar la respuesta a fatiga.</w:t>
      </w:r>
    </w:p>
    <w:p w14:paraId="531A0F25" w14:textId="77777777" w:rsidR="00D50726" w:rsidRPr="00E01981" w:rsidRDefault="00D50726" w:rsidP="00221E1A">
      <w:pPr>
        <w:pStyle w:val="Prrafodelista"/>
        <w:numPr>
          <w:ilvl w:val="0"/>
          <w:numId w:val="179"/>
        </w:numPr>
        <w:spacing w:before="120" w:after="120" w:line="360" w:lineRule="auto"/>
        <w:contextualSpacing/>
        <w:jc w:val="both"/>
        <w:rPr>
          <w:rFonts w:ascii="Arial" w:hAnsi="Arial" w:cs="Arial"/>
          <w:sz w:val="24"/>
          <w:szCs w:val="24"/>
        </w:rPr>
      </w:pPr>
      <w:r w:rsidRPr="00E01981">
        <w:rPr>
          <w:rFonts w:ascii="Arial" w:hAnsi="Arial" w:cs="Arial"/>
          <w:sz w:val="24"/>
          <w:szCs w:val="24"/>
        </w:rPr>
        <w:t xml:space="preserve">Al montar y unir las partes de la estructura, la secuencia de soldadura será tal que evite las distorsiones innecesarias y reduzca al mínimo las torsiones residuales. Cuando sea imposible evitarlas, por </w:t>
      </w:r>
      <w:proofErr w:type="gramStart"/>
      <w:r w:rsidRPr="00E01981">
        <w:rPr>
          <w:rFonts w:ascii="Arial" w:hAnsi="Arial" w:cs="Arial"/>
          <w:sz w:val="24"/>
          <w:szCs w:val="24"/>
        </w:rPr>
        <w:t>ejemplo</w:t>
      </w:r>
      <w:proofErr w:type="gramEnd"/>
      <w:r w:rsidRPr="00E01981">
        <w:rPr>
          <w:rFonts w:ascii="Arial" w:hAnsi="Arial" w:cs="Arial"/>
          <w:sz w:val="24"/>
          <w:szCs w:val="24"/>
        </w:rPr>
        <w:t xml:space="preserve"> en las soldaduras de cierre de un montaje rígido, se dispondrá tal soldadura en los elementos en compresión.</w:t>
      </w:r>
    </w:p>
    <w:p w14:paraId="29C3E94A" w14:textId="77777777" w:rsidR="00D50726" w:rsidRPr="00E01981" w:rsidRDefault="00D50726" w:rsidP="00221E1A">
      <w:pPr>
        <w:pStyle w:val="Prrafodelista"/>
        <w:numPr>
          <w:ilvl w:val="0"/>
          <w:numId w:val="179"/>
        </w:numPr>
        <w:spacing w:before="120" w:after="120" w:line="360" w:lineRule="auto"/>
        <w:contextualSpacing/>
        <w:jc w:val="both"/>
        <w:rPr>
          <w:rFonts w:ascii="Arial" w:hAnsi="Arial" w:cs="Arial"/>
          <w:sz w:val="24"/>
          <w:szCs w:val="24"/>
        </w:rPr>
      </w:pPr>
      <w:r w:rsidRPr="00E01981">
        <w:rPr>
          <w:rFonts w:ascii="Arial" w:hAnsi="Arial" w:cs="Arial"/>
          <w:sz w:val="24"/>
          <w:szCs w:val="24"/>
        </w:rPr>
        <w:t xml:space="preserve">En los elementos transversales se dispondrán arcos de círculo vacíos para librar el eventual paso de cordones longitudinales principales, tal cual fijan en planos, y en todos los cruces de tres soldaduras, aunque no figuren expresamente en planos. Los ojales se dispondrán en los planos de taller para su supervisión por la Dirección </w:t>
      </w:r>
      <w:r w:rsidR="009771E6">
        <w:rPr>
          <w:rFonts w:ascii="Arial" w:hAnsi="Arial" w:cs="Arial"/>
          <w:sz w:val="24"/>
          <w:szCs w:val="24"/>
        </w:rPr>
        <w:t>de Obra</w:t>
      </w:r>
      <w:r w:rsidRPr="00E01981">
        <w:rPr>
          <w:rFonts w:ascii="Arial" w:hAnsi="Arial" w:cs="Arial"/>
          <w:sz w:val="24"/>
          <w:szCs w:val="24"/>
        </w:rPr>
        <w:t>.</w:t>
      </w:r>
    </w:p>
    <w:p w14:paraId="5BD99678" w14:textId="77777777" w:rsidR="00D50726" w:rsidRPr="00FC7A5B" w:rsidRDefault="00D50726" w:rsidP="00D50726">
      <w:pPr>
        <w:spacing w:before="120" w:after="120" w:line="360" w:lineRule="auto"/>
        <w:contextualSpacing/>
        <w:jc w:val="both"/>
        <w:rPr>
          <w:rFonts w:ascii="Arial" w:hAnsi="Arial" w:cs="Arial"/>
        </w:rPr>
      </w:pPr>
      <w:r w:rsidRPr="00FC7A5B">
        <w:rPr>
          <w:rFonts w:ascii="Arial" w:hAnsi="Arial" w:cs="Arial"/>
          <w:u w:val="single"/>
        </w:rPr>
        <w:t>Inspección de fabricación</w:t>
      </w:r>
    </w:p>
    <w:p w14:paraId="456E6A96" w14:textId="77777777" w:rsidR="00D50726" w:rsidRPr="00FC7A5B" w:rsidRDefault="00D50726" w:rsidP="00D50726">
      <w:pPr>
        <w:spacing w:before="120" w:after="120" w:line="360" w:lineRule="auto"/>
        <w:ind w:firstLine="851"/>
        <w:jc w:val="both"/>
        <w:rPr>
          <w:rFonts w:ascii="Arial" w:hAnsi="Arial" w:cs="Arial"/>
        </w:rPr>
      </w:pPr>
      <w:r w:rsidRPr="00FC7A5B">
        <w:rPr>
          <w:rFonts w:ascii="Arial" w:hAnsi="Arial" w:cs="Arial"/>
        </w:rPr>
        <w:t xml:space="preserve">a) La Dirección </w:t>
      </w:r>
      <w:r w:rsidR="009F1466">
        <w:rPr>
          <w:rFonts w:ascii="Arial" w:hAnsi="Arial" w:cs="Arial"/>
        </w:rPr>
        <w:t>de Obra</w:t>
      </w:r>
      <w:r w:rsidRPr="00FC7A5B">
        <w:rPr>
          <w:rFonts w:ascii="Arial" w:hAnsi="Arial" w:cs="Arial"/>
        </w:rPr>
        <w:t xml:space="preserve"> tendrá libre acceso a los talleres del constructor metálico para realizar la inspección de la estructura metálica que considere necesaria, pudiendo disponer de forma permanente en taller de personal inspector.</w:t>
      </w:r>
    </w:p>
    <w:p w14:paraId="37FBD309" w14:textId="77777777" w:rsidR="00D50726" w:rsidRPr="00FC7A5B" w:rsidRDefault="00D50726" w:rsidP="00D50726">
      <w:pPr>
        <w:spacing w:before="120" w:after="120" w:line="360" w:lineRule="auto"/>
        <w:ind w:firstLine="851"/>
        <w:jc w:val="both"/>
        <w:rPr>
          <w:rFonts w:ascii="Arial" w:hAnsi="Arial" w:cs="Arial"/>
        </w:rPr>
      </w:pPr>
      <w:r w:rsidRPr="00FC7A5B">
        <w:rPr>
          <w:rFonts w:ascii="Arial" w:hAnsi="Arial" w:cs="Arial"/>
        </w:rPr>
        <w:t xml:space="preserve">b) Se realizará el control de calidad de la fabricación descrito en el Plan de Control, mediante ensayos destructivos, y no destructivos, poniendo a disposición del personal inspector de la Dirección </w:t>
      </w:r>
      <w:r w:rsidR="009F1466">
        <w:rPr>
          <w:rFonts w:ascii="Arial" w:hAnsi="Arial" w:cs="Arial"/>
        </w:rPr>
        <w:t>de Obra</w:t>
      </w:r>
      <w:r w:rsidRPr="00FC7A5B">
        <w:rPr>
          <w:rFonts w:ascii="Arial" w:hAnsi="Arial" w:cs="Arial"/>
        </w:rPr>
        <w:t xml:space="preserve"> cuanta información se desprenda de este control. El Laboratorio Responsable del Control ya exigido al inicio de este Pliego será el Organismo responsable de garantizar el cumplimiento satisfactorio del Plan de Control.</w:t>
      </w:r>
    </w:p>
    <w:p w14:paraId="52DBD23E" w14:textId="77777777" w:rsidR="00D50726" w:rsidRPr="00FC7A5B" w:rsidRDefault="009F1466" w:rsidP="00D50726">
      <w:pPr>
        <w:spacing w:before="120" w:after="120" w:line="360" w:lineRule="auto"/>
        <w:ind w:firstLine="851"/>
        <w:jc w:val="both"/>
        <w:rPr>
          <w:rFonts w:ascii="Arial" w:hAnsi="Arial" w:cs="Arial"/>
        </w:rPr>
      </w:pPr>
      <w:r>
        <w:rPr>
          <w:rFonts w:ascii="Arial" w:hAnsi="Arial" w:cs="Arial"/>
        </w:rPr>
        <w:t>c) La Dirección de Obra</w:t>
      </w:r>
      <w:r w:rsidR="00D50726" w:rsidRPr="00FC7A5B">
        <w:rPr>
          <w:rFonts w:ascii="Arial" w:hAnsi="Arial" w:cs="Arial"/>
        </w:rPr>
        <w:t xml:space="preserve"> podrá realizar cuantas inspecciones considere oportunas para asegurar la calidad de la obra, estando obligado el constructor metálico a prestar las ayudas necesarias para la realización de los ensayos de contraste que se consideren convenientes.</w:t>
      </w:r>
    </w:p>
    <w:p w14:paraId="561D636C" w14:textId="77777777" w:rsidR="00D50726" w:rsidRPr="00FC7A5B" w:rsidRDefault="00D50726" w:rsidP="00D50726">
      <w:pPr>
        <w:spacing w:before="120" w:after="120" w:line="360" w:lineRule="auto"/>
        <w:ind w:firstLine="851"/>
        <w:jc w:val="both"/>
        <w:rPr>
          <w:rFonts w:ascii="Arial" w:hAnsi="Arial" w:cs="Arial"/>
        </w:rPr>
      </w:pPr>
      <w:r w:rsidRPr="00FC7A5B">
        <w:rPr>
          <w:rFonts w:ascii="Arial" w:hAnsi="Arial" w:cs="Arial"/>
        </w:rPr>
        <w:t xml:space="preserve">d) En las inspecciones radiográficas que se realicen se exigirá nivel de aceptación 1 de acuerdo con la Norma UNE-EN 12517-1: 2006.  Si una soldadura no es calificable con nivel de aceptación 1 pero sí con nivel de aceptación 2 su aceptación queda a criterio de la Dirección </w:t>
      </w:r>
      <w:r w:rsidR="009771E6">
        <w:rPr>
          <w:rFonts w:ascii="Arial" w:hAnsi="Arial" w:cs="Arial"/>
        </w:rPr>
        <w:t>de Obra</w:t>
      </w:r>
      <w:r w:rsidRPr="00FC7A5B">
        <w:rPr>
          <w:rFonts w:ascii="Arial" w:hAnsi="Arial" w:cs="Arial"/>
        </w:rPr>
        <w:t xml:space="preserve">, en función del defecto encontrado y su incidencia en la res-puesta del elemento correspondiente. Para tomar la decisión podrá solicitar los informes que considere necesarios al propio taller y al Laboratorio Responsable del Control. En el caso de ausencia de aprobación explícita de la Dirección </w:t>
      </w:r>
      <w:r w:rsidR="009771E6">
        <w:rPr>
          <w:rFonts w:ascii="Arial" w:hAnsi="Arial" w:cs="Arial"/>
        </w:rPr>
        <w:t>de Obra</w:t>
      </w:r>
      <w:r w:rsidRPr="00FC7A5B">
        <w:rPr>
          <w:rFonts w:ascii="Arial" w:hAnsi="Arial" w:cs="Arial"/>
        </w:rPr>
        <w:t>, la soldadura se levantará. Las soldaduras que no cumplan con el nivel de aceptación 2 se levantarán siempre, para proceder a su nueva ejecución.</w:t>
      </w:r>
    </w:p>
    <w:p w14:paraId="407C0A57" w14:textId="77777777" w:rsidR="00D50726" w:rsidRPr="00FC7A5B" w:rsidRDefault="00D50726" w:rsidP="00D50726">
      <w:pPr>
        <w:spacing w:before="120" w:after="120" w:line="360" w:lineRule="auto"/>
        <w:ind w:firstLine="851"/>
        <w:jc w:val="both"/>
        <w:rPr>
          <w:rFonts w:ascii="Arial" w:hAnsi="Arial" w:cs="Arial"/>
        </w:rPr>
      </w:pPr>
      <w:r w:rsidRPr="00FC7A5B">
        <w:rPr>
          <w:rFonts w:ascii="Arial" w:hAnsi="Arial" w:cs="Arial"/>
        </w:rPr>
        <w:t>e) Excepcionalmente, las calificadas con 3 podrán admitirse en función de la amplitud del defecto, posición y características de la unión, solicitaciones, etc.</w:t>
      </w:r>
    </w:p>
    <w:p w14:paraId="71A578DB" w14:textId="77777777" w:rsidR="00D50726" w:rsidRPr="00FC7A5B" w:rsidRDefault="00D50726" w:rsidP="00D50726">
      <w:pPr>
        <w:spacing w:before="120" w:after="120" w:line="360" w:lineRule="auto"/>
        <w:ind w:firstLine="851"/>
        <w:jc w:val="both"/>
        <w:rPr>
          <w:rFonts w:ascii="Arial" w:hAnsi="Arial" w:cs="Arial"/>
        </w:rPr>
      </w:pPr>
      <w:r w:rsidRPr="00FC7A5B">
        <w:rPr>
          <w:rFonts w:ascii="Arial" w:hAnsi="Arial" w:cs="Arial"/>
        </w:rPr>
        <w:t>f) En las uniones inspeccionadas mediante ultrasonidos se seguirán las instrucciones del código AWS D1.1.90.</w:t>
      </w:r>
    </w:p>
    <w:p w14:paraId="741A4DCF" w14:textId="77777777" w:rsidR="00D50726" w:rsidRPr="00FC7A5B" w:rsidRDefault="00D50726" w:rsidP="00D50726">
      <w:pPr>
        <w:spacing w:before="120" w:after="120" w:line="360" w:lineRule="auto"/>
        <w:ind w:firstLine="851"/>
        <w:jc w:val="both"/>
        <w:rPr>
          <w:rFonts w:ascii="Arial" w:hAnsi="Arial" w:cs="Arial"/>
        </w:rPr>
      </w:pPr>
      <w:r w:rsidRPr="00FC7A5B">
        <w:rPr>
          <w:rFonts w:ascii="Arial" w:hAnsi="Arial" w:cs="Arial"/>
        </w:rPr>
        <w:t>g) Se consideran soldaduras rechazadas las clasificadas como "CLASE A" y "CLASE B", siendo admisibles las de "CLASE C" y "CLASE D".</w:t>
      </w:r>
    </w:p>
    <w:p w14:paraId="3027FFE7" w14:textId="77777777" w:rsidR="00D50726" w:rsidRPr="00FC7A5B" w:rsidRDefault="00D50726" w:rsidP="00D50726">
      <w:pPr>
        <w:spacing w:before="120" w:after="120" w:line="360" w:lineRule="auto"/>
        <w:ind w:firstLine="851"/>
        <w:jc w:val="both"/>
        <w:rPr>
          <w:rFonts w:ascii="Arial" w:hAnsi="Arial" w:cs="Arial"/>
        </w:rPr>
      </w:pPr>
      <w:r w:rsidRPr="00FC7A5B">
        <w:rPr>
          <w:rFonts w:ascii="Arial" w:hAnsi="Arial" w:cs="Arial"/>
        </w:rPr>
        <w:t>h) En las inspecciones por líquidos penetrantes se seguirán las instrucciones del código AWS D1.1.90, siguiendo sus directrices en cuanto a aceptación o rechazo.</w:t>
      </w:r>
    </w:p>
    <w:p w14:paraId="09910495" w14:textId="77777777" w:rsidR="00D50726" w:rsidRPr="00FC7A5B" w:rsidRDefault="00D50726" w:rsidP="00D50726">
      <w:pPr>
        <w:spacing w:before="120" w:after="120" w:line="360" w:lineRule="auto"/>
        <w:ind w:firstLine="851"/>
        <w:jc w:val="both"/>
        <w:rPr>
          <w:rFonts w:ascii="Arial" w:hAnsi="Arial" w:cs="Arial"/>
        </w:rPr>
      </w:pPr>
      <w:r w:rsidRPr="00FC7A5B">
        <w:rPr>
          <w:rFonts w:ascii="Arial" w:hAnsi="Arial" w:cs="Arial"/>
        </w:rPr>
        <w:t xml:space="preserve">i) En el curso de la fabricación de cada uno de los tramos metálicos del puente, además de la inspección habitual que se realice por medios no destructivos, la Dirección </w:t>
      </w:r>
      <w:r w:rsidR="009771E6">
        <w:rPr>
          <w:rFonts w:ascii="Arial" w:hAnsi="Arial" w:cs="Arial"/>
        </w:rPr>
        <w:t>de Obra</w:t>
      </w:r>
      <w:r w:rsidRPr="00FC7A5B">
        <w:rPr>
          <w:rFonts w:ascii="Arial" w:hAnsi="Arial" w:cs="Arial"/>
        </w:rPr>
        <w:t xml:space="preserve"> podrá ordenar la obtención de un testigo de fabricación por cada uno de los métodos de soldeo que se estén empleando. Es importante que estos testigos se obtengan al principio de la fabricación de cada tramo metálico para corregir los defectos que se pudieran observar.</w:t>
      </w:r>
    </w:p>
    <w:p w14:paraId="1B697C6E"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Siempre que la forma de construcción lo permita, la pieza testigo se colocará de apéndice en el extremo de la unión considerada, soldándose como si formase parte </w:t>
      </w:r>
      <w:r w:rsidRPr="00FC7A5B">
        <w:rPr>
          <w:rFonts w:ascii="Arial" w:hAnsi="Arial" w:cs="Arial"/>
        </w:rPr>
        <w:lastRenderedPageBreak/>
        <w:t>de ésta. La pieza testigo deberá estar bien sujeta para evitar deformaciones anormales.</w:t>
      </w:r>
    </w:p>
    <w:p w14:paraId="38D7598F"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En caso de no poder colocarse como apéndice, se soldará aparte por los mismos operarios y con las mismas características de la construcción.</w:t>
      </w:r>
    </w:p>
    <w:p w14:paraId="3893955F"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Estos testigos serán ensayados de modo similar a si se tratara de la homologación del procedimiento de soldeo correspondiente.</w:t>
      </w:r>
    </w:p>
    <w:p w14:paraId="10D62FDC"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Si los testigos no superasen las pruebas, se corregirán los parámetros que originasen los defectos observados, y la Dirección </w:t>
      </w:r>
      <w:r w:rsidR="009771E6">
        <w:rPr>
          <w:rFonts w:ascii="Arial" w:hAnsi="Arial" w:cs="Arial"/>
        </w:rPr>
        <w:t>de Obra</w:t>
      </w:r>
      <w:r w:rsidRPr="00FC7A5B">
        <w:rPr>
          <w:rFonts w:ascii="Arial" w:hAnsi="Arial" w:cs="Arial"/>
        </w:rPr>
        <w:t xml:space="preserve"> decidirá sobre los elementos ya soldados conforme al procedimiento cuyo ensayo ha resultado defectuoso, pudiendo llegar al rechazo del elemento si los ensayos no destructivos que se realicen no aportan a su juicio la claridad necesaria.</w:t>
      </w:r>
    </w:p>
    <w:p w14:paraId="03F6D64E"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El control de las soldaduras por métodos radiográficos, líquidos penetrantes, etc. se especifica en el apartado “Plan de Control de Calidad” en cuanto a número y ubicación de los controles.</w:t>
      </w:r>
    </w:p>
    <w:p w14:paraId="2F881779" w14:textId="77777777" w:rsidR="00D50726" w:rsidRPr="00FC7A5B" w:rsidRDefault="00D50726" w:rsidP="00D50726">
      <w:pPr>
        <w:spacing w:before="120" w:after="120" w:line="360" w:lineRule="auto"/>
        <w:jc w:val="both"/>
        <w:rPr>
          <w:rFonts w:ascii="Arial" w:hAnsi="Arial" w:cs="Arial"/>
          <w:u w:val="single"/>
        </w:rPr>
      </w:pPr>
      <w:r w:rsidRPr="00FC7A5B">
        <w:rPr>
          <w:rFonts w:ascii="Arial" w:hAnsi="Arial" w:cs="Arial"/>
          <w:u w:val="single"/>
        </w:rPr>
        <w:t>Tolerancias</w:t>
      </w:r>
    </w:p>
    <w:p w14:paraId="12F94C16"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Las tolerancias en dimensiones geométricas y en defectos de ejecución, serán las especificadas por las normas RPX-95 y demás especificaciones de este Pliego de Condiciones, o figuren en los planos en el caso de que resulten más severas que aquellas.</w:t>
      </w:r>
    </w:p>
    <w:p w14:paraId="00E89447" w14:textId="77777777" w:rsidR="00D50726" w:rsidRDefault="00D50726" w:rsidP="005609D6">
      <w:pPr>
        <w:spacing w:before="120" w:after="120" w:line="360" w:lineRule="auto"/>
        <w:jc w:val="both"/>
        <w:rPr>
          <w:rFonts w:ascii="Arial" w:hAnsi="Arial" w:cs="Arial"/>
        </w:rPr>
      </w:pPr>
      <w:r w:rsidRPr="00FC7A5B">
        <w:rPr>
          <w:rFonts w:ascii="Arial" w:hAnsi="Arial" w:cs="Arial"/>
        </w:rPr>
        <w:t xml:space="preserve">En caso de discrepancia entre normas, la solución quedará a juicio de la Dirección </w:t>
      </w:r>
      <w:r w:rsidR="009F1466">
        <w:rPr>
          <w:rFonts w:ascii="Arial" w:hAnsi="Arial" w:cs="Arial"/>
        </w:rPr>
        <w:t>de Obra</w:t>
      </w:r>
      <w:r w:rsidRPr="00FC7A5B">
        <w:rPr>
          <w:rFonts w:ascii="Arial" w:hAnsi="Arial" w:cs="Arial"/>
        </w:rPr>
        <w:t>.</w:t>
      </w:r>
    </w:p>
    <w:p w14:paraId="758D28AE" w14:textId="77777777" w:rsidR="00D50726" w:rsidRPr="00FC7A5B" w:rsidRDefault="00D50726" w:rsidP="00D50726">
      <w:pPr>
        <w:spacing w:before="120" w:after="120" w:line="360" w:lineRule="auto"/>
        <w:jc w:val="both"/>
        <w:rPr>
          <w:rFonts w:ascii="Arial" w:hAnsi="Arial" w:cs="Arial"/>
          <w:u w:val="single"/>
        </w:rPr>
      </w:pPr>
      <w:r w:rsidRPr="00FC7A5B">
        <w:rPr>
          <w:rFonts w:ascii="Arial" w:hAnsi="Arial" w:cs="Arial"/>
          <w:u w:val="single"/>
        </w:rPr>
        <w:t>Limpieza y pintura de las piezas</w:t>
      </w:r>
    </w:p>
    <w:p w14:paraId="435E8097"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Una vez concluida la ejecución del tramo, podrá procederse a la limpieza, tratamiento superficial y posterior pintura de las superficies que lo requieran de acuerdo con lo especificado en este artículo del pliego. Se dejarán perfectamente limpias de pintura las zonas correspondientes a las uniones en obra de los tramos, en una longitud de al menos 30 cm desde los bordes de las costuras.</w:t>
      </w:r>
    </w:p>
    <w:p w14:paraId="1B77FD18" w14:textId="77777777" w:rsidR="00D50726" w:rsidRDefault="00D50726" w:rsidP="005609D6">
      <w:pPr>
        <w:spacing w:before="120" w:after="120" w:line="360" w:lineRule="auto"/>
        <w:jc w:val="both"/>
        <w:rPr>
          <w:rFonts w:ascii="Arial" w:hAnsi="Arial" w:cs="Arial"/>
        </w:rPr>
      </w:pPr>
      <w:r w:rsidRPr="00FC7A5B">
        <w:rPr>
          <w:rFonts w:ascii="Arial" w:hAnsi="Arial" w:cs="Arial"/>
        </w:rPr>
        <w:t>Ver apartado Pintura y Acabado.</w:t>
      </w:r>
    </w:p>
    <w:p w14:paraId="65354C32" w14:textId="77777777" w:rsidR="00CF7652" w:rsidRPr="00FC7A5B" w:rsidRDefault="00CF7652" w:rsidP="005609D6">
      <w:pPr>
        <w:spacing w:before="120" w:after="120" w:line="360" w:lineRule="auto"/>
        <w:jc w:val="both"/>
        <w:rPr>
          <w:rFonts w:ascii="Arial" w:hAnsi="Arial" w:cs="Arial"/>
        </w:rPr>
      </w:pPr>
    </w:p>
    <w:p w14:paraId="48B90922" w14:textId="77777777" w:rsidR="00D50726" w:rsidRPr="00FC7A5B" w:rsidRDefault="00D50726" w:rsidP="00D50726">
      <w:pPr>
        <w:spacing w:before="120" w:after="120" w:line="360" w:lineRule="auto"/>
        <w:jc w:val="both"/>
        <w:rPr>
          <w:rFonts w:ascii="Arial" w:hAnsi="Arial" w:cs="Arial"/>
          <w:u w:val="single"/>
        </w:rPr>
      </w:pPr>
      <w:r w:rsidRPr="00FC7A5B">
        <w:rPr>
          <w:rFonts w:ascii="Arial" w:hAnsi="Arial" w:cs="Arial"/>
          <w:u w:val="single"/>
        </w:rPr>
        <w:t>Acabado de la estructura</w:t>
      </w:r>
    </w:p>
    <w:p w14:paraId="7DA03790"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Las piezas de la estructura una vez terminada su fabricación en taller, antes de su montaje, deberán ser obligatoriamente aprobadas por el inspector del Laboratorio Responsable del Control, que emitirá la Autorización de envío a obra correspondiente. Esta Autorización de envío irá acompañada del informe acreditativo del cumplimiento satisfactorio en todos sus puntos del Plan de Puntos de Inspección confeccionado </w:t>
      </w:r>
      <w:proofErr w:type="gramStart"/>
      <w:r w:rsidRPr="00FC7A5B">
        <w:rPr>
          <w:rFonts w:ascii="Arial" w:hAnsi="Arial" w:cs="Arial"/>
        </w:rPr>
        <w:t>de acuerdo a</w:t>
      </w:r>
      <w:proofErr w:type="gramEnd"/>
      <w:r w:rsidRPr="00FC7A5B">
        <w:rPr>
          <w:rFonts w:ascii="Arial" w:hAnsi="Arial" w:cs="Arial"/>
        </w:rPr>
        <w:t xml:space="preserve"> las exigencias de Control establecidas en el Pliego. Este informe y el Dossier de Calidad de la pieza </w:t>
      </w:r>
      <w:r w:rsidR="00157701" w:rsidRPr="00FC7A5B">
        <w:rPr>
          <w:rFonts w:ascii="Arial" w:hAnsi="Arial" w:cs="Arial"/>
        </w:rPr>
        <w:t>deberán</w:t>
      </w:r>
      <w:r w:rsidRPr="00FC7A5B">
        <w:rPr>
          <w:rFonts w:ascii="Arial" w:hAnsi="Arial" w:cs="Arial"/>
        </w:rPr>
        <w:t xml:space="preserve"> ir </w:t>
      </w:r>
      <w:r w:rsidR="00157701" w:rsidRPr="00FC7A5B">
        <w:rPr>
          <w:rFonts w:ascii="Arial" w:hAnsi="Arial" w:cs="Arial"/>
        </w:rPr>
        <w:t>firmados</w:t>
      </w:r>
      <w:r w:rsidRPr="00FC7A5B">
        <w:rPr>
          <w:rFonts w:ascii="Arial" w:hAnsi="Arial" w:cs="Arial"/>
        </w:rPr>
        <w:t xml:space="preserve"> por los estamentos responsables de calidad del taller metálico y de la empresa constructora, así como, por supuesto, por el Laboratorio Responsable del Control.</w:t>
      </w:r>
    </w:p>
    <w:p w14:paraId="068083D4"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Previamente al envío a obra de las piezas, será obligación del constructor metálico la realización de los montajes en blanco necesarios para asegurar la perfecta ejecución y continuidad de los tramos metálicos contiguos, tanto en lo que respecta a la alineación y </w:t>
      </w:r>
      <w:proofErr w:type="spellStart"/>
      <w:r w:rsidRPr="00FC7A5B">
        <w:rPr>
          <w:rFonts w:ascii="Arial" w:hAnsi="Arial" w:cs="Arial"/>
        </w:rPr>
        <w:t>contraflechas</w:t>
      </w:r>
      <w:proofErr w:type="spellEnd"/>
      <w:r w:rsidRPr="00FC7A5B">
        <w:rPr>
          <w:rFonts w:ascii="Arial" w:hAnsi="Arial" w:cs="Arial"/>
        </w:rPr>
        <w:t xml:space="preserve"> de los mismos como a la preparación de los bordes y condiciones de la unión de tramos.</w:t>
      </w:r>
    </w:p>
    <w:p w14:paraId="0B4E20E1" w14:textId="77777777" w:rsidR="00D50726" w:rsidRPr="00FC7A5B" w:rsidRDefault="00D50726" w:rsidP="00D50726">
      <w:pPr>
        <w:spacing w:before="120" w:after="120" w:line="360" w:lineRule="auto"/>
        <w:jc w:val="both"/>
        <w:rPr>
          <w:rFonts w:ascii="Arial" w:hAnsi="Arial" w:cs="Arial"/>
          <w:u w:val="single"/>
        </w:rPr>
      </w:pPr>
      <w:r w:rsidRPr="00FC7A5B">
        <w:rPr>
          <w:rFonts w:ascii="Arial" w:hAnsi="Arial" w:cs="Arial"/>
          <w:u w:val="single"/>
        </w:rPr>
        <w:t>Limpieza de las piezas en taller de obra</w:t>
      </w:r>
    </w:p>
    <w:p w14:paraId="4F500871"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Una vez preparados los elementos principales para su montaje en obra, podrá procederse a la limpieza.</w:t>
      </w:r>
    </w:p>
    <w:p w14:paraId="4C60B370" w14:textId="77777777" w:rsidR="00D50726" w:rsidRDefault="00D50726" w:rsidP="005609D6">
      <w:pPr>
        <w:spacing w:before="120" w:after="120" w:line="360" w:lineRule="auto"/>
        <w:jc w:val="both"/>
        <w:rPr>
          <w:rFonts w:ascii="Arial" w:hAnsi="Arial" w:cs="Arial"/>
        </w:rPr>
      </w:pPr>
      <w:r w:rsidRPr="00FC7A5B">
        <w:rPr>
          <w:rFonts w:ascii="Arial" w:hAnsi="Arial" w:cs="Arial"/>
        </w:rPr>
        <w:t>Una vez realizada la operación, se cuidará especialmente que la disposición y almacenamiento eventual de estas piezas en la obra no perjudique las superficies vistas e interiores.</w:t>
      </w:r>
    </w:p>
    <w:p w14:paraId="34D0A81B" w14:textId="77777777" w:rsidR="00D50726" w:rsidRDefault="00D50726" w:rsidP="00D50726">
      <w:pPr>
        <w:spacing w:before="120" w:after="120" w:line="312" w:lineRule="auto"/>
        <w:jc w:val="both"/>
        <w:rPr>
          <w:rFonts w:ascii="Arial" w:hAnsi="Arial" w:cs="Arial"/>
          <w:u w:val="single"/>
        </w:rPr>
      </w:pPr>
      <w:r w:rsidRPr="00FC7A5B">
        <w:rPr>
          <w:rFonts w:ascii="Arial" w:hAnsi="Arial" w:cs="Arial"/>
          <w:u w:val="single"/>
        </w:rPr>
        <w:t xml:space="preserve">Montaje en obra de los tramos </w:t>
      </w:r>
    </w:p>
    <w:p w14:paraId="43CDD42C" w14:textId="77777777" w:rsidR="00D50726" w:rsidRDefault="00D50726" w:rsidP="00221E1A">
      <w:pPr>
        <w:numPr>
          <w:ilvl w:val="0"/>
          <w:numId w:val="173"/>
        </w:numPr>
        <w:spacing w:before="120" w:after="120" w:line="312" w:lineRule="auto"/>
        <w:contextualSpacing/>
        <w:jc w:val="both"/>
        <w:rPr>
          <w:rFonts w:ascii="Arial" w:hAnsi="Arial" w:cs="Arial"/>
          <w:i/>
        </w:rPr>
      </w:pPr>
      <w:r w:rsidRPr="00FC7A5B">
        <w:rPr>
          <w:rFonts w:ascii="Arial" w:hAnsi="Arial" w:cs="Arial"/>
          <w:i/>
        </w:rPr>
        <w:t>Condiciones generales</w:t>
      </w:r>
    </w:p>
    <w:p w14:paraId="4A5176F2" w14:textId="77777777" w:rsidR="009F1466" w:rsidRPr="00FC7A5B" w:rsidRDefault="009F1466" w:rsidP="009F1466">
      <w:pPr>
        <w:spacing w:before="120" w:after="120" w:line="312" w:lineRule="auto"/>
        <w:ind w:left="1421"/>
        <w:contextualSpacing/>
        <w:jc w:val="both"/>
        <w:rPr>
          <w:rFonts w:ascii="Arial" w:hAnsi="Arial" w:cs="Arial"/>
          <w:i/>
        </w:rPr>
      </w:pPr>
    </w:p>
    <w:p w14:paraId="324D0F63"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t>El Constructor quedará en libertad de elegir los medios que, según las circunstancias del momento, juzgue más conveniente para el montaje de los tramos de acuerdo con el proceso constructivo definido en planos. Deberá, sin embargo, poner en conocimiento de la Dirección de Obra, con antelación suficiente, el sistema definitivo adoptado en cada caso, con la justificación oportuna.</w:t>
      </w:r>
    </w:p>
    <w:p w14:paraId="51540AE7"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lastRenderedPageBreak/>
        <w:t>No podrá, en ningún caso, comenzar las operaciones de montaje sin que obre en su poder la aprobación del Director de Obra, del plan a emplear; quedando obligado a respetar cuantas modificaciones o rectificaciones introduzca el Director en el plan propuesto.</w:t>
      </w:r>
    </w:p>
    <w:p w14:paraId="203313C4"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t>El almacenamiento y depósito de los elementos constitutivos de la obra se hará de una forma sistemática y ordenada para facilitar su montaje.</w:t>
      </w:r>
    </w:p>
    <w:p w14:paraId="628A037E"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t>Las manipulaciones y el montaje se realizarán con el cuidado suficiente para no provocar solicitaciones excesivas en ningún elemento de la estructura y para no dañar ni a las piezas, ni a la pintura, cuando existe.</w:t>
      </w:r>
    </w:p>
    <w:p w14:paraId="63B4E8F0"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t>Se corregirá cuidadosamente, antes de proceder al montaje, cualquier abolladura, comba o torcedura que haya podido provocarse en las operaciones de transporte.  Si el defecto no puede ser corregido, o se presume que después de corregido puede afectar a la resistencia o estabilidad de la estructura, la pieza en cuestión se rechazará, marcándola debidamente para dejar constancia de ello.</w:t>
      </w:r>
    </w:p>
    <w:p w14:paraId="2E593C2B"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t>Los obreros empleados en el montaje serán todos de reconocida cualificación en su oficio. Especialmente los soldadores estarán calificados de acuerdo con la Norma UNE-EN 287-1:2004 ó AWS D1.1.90 y deberán ser de primera categoría. Se realizarán, no obstante, las cualificaciones para los soldadores de obra establecidos en el Pliego anteriormente.</w:t>
      </w:r>
    </w:p>
    <w:p w14:paraId="30661690"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t>En la preparación y ejecución de las soldaduras en obra se seguirán las especificaciones del apartado f que no sean específicas de taller, en particular el apartado f.8.</w:t>
      </w:r>
    </w:p>
    <w:p w14:paraId="577C5D17"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t>No se realizarán trabajos de soldadura a la intemperie en condiciones atmosféricas desfavorables, tales como excesiva humedad, lluvia o viento. En tales circunstancias, se deberá proteger la zona de trabajo previamente a la iniciación de cualquier operación de soldadura.</w:t>
      </w:r>
    </w:p>
    <w:p w14:paraId="590C1FD5"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t>El Constructor será responsable de todas las operaciones de montaje y de sus defectos. Deberá estar en continua relación con la persona encargada por la Dirección de Obra para vigilar estas operaciones.</w:t>
      </w:r>
    </w:p>
    <w:p w14:paraId="412E1E79"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t>A fin de asegurar la continuidad de los trabajos y facilitar la resolución de cualquier dificultad imprevista, el Constructor metálico deberá mantener constantemente a pie de obra un representante suyo, provisto de plenos poderes y aceptado por la Dirección de Obra.</w:t>
      </w:r>
    </w:p>
    <w:p w14:paraId="2153D79C"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t>Una vez completado el montaje se completará la pintura de las zonas no protegidas previamente. Asimismo, se repararán adecuadamente todas las zonas que hayan podido ser afectadas durante las operaciones de montaje y soldeo de las uniones de obra.</w:t>
      </w:r>
    </w:p>
    <w:p w14:paraId="2883325F" w14:textId="77777777" w:rsidR="00D50726" w:rsidRPr="00FC7A5B" w:rsidRDefault="00D50726" w:rsidP="00221E1A">
      <w:pPr>
        <w:numPr>
          <w:ilvl w:val="0"/>
          <w:numId w:val="173"/>
        </w:numPr>
        <w:spacing w:before="120" w:after="120" w:line="312" w:lineRule="auto"/>
        <w:contextualSpacing/>
        <w:jc w:val="both"/>
        <w:rPr>
          <w:rFonts w:ascii="Arial" w:hAnsi="Arial" w:cs="Arial"/>
          <w:i/>
        </w:rPr>
      </w:pPr>
      <w:r w:rsidRPr="00FC7A5B">
        <w:rPr>
          <w:rFonts w:ascii="Arial" w:hAnsi="Arial" w:cs="Arial"/>
          <w:i/>
        </w:rPr>
        <w:t xml:space="preserve"> Condiciones de los medios auxiliares</w:t>
      </w:r>
    </w:p>
    <w:p w14:paraId="4C3030EA" w14:textId="77777777" w:rsidR="00D50726" w:rsidRPr="00FC7A5B" w:rsidRDefault="00D50726" w:rsidP="00D50726">
      <w:pPr>
        <w:spacing w:before="120" w:after="120" w:line="312" w:lineRule="auto"/>
        <w:ind w:left="1421"/>
        <w:contextualSpacing/>
        <w:jc w:val="both"/>
        <w:rPr>
          <w:rFonts w:ascii="Arial" w:hAnsi="Arial" w:cs="Arial"/>
          <w:i/>
        </w:rPr>
      </w:pPr>
    </w:p>
    <w:p w14:paraId="6FD16901"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Previamente al inicio de los trabajos de montaje en obra el Contratista deberá suministrar a la Dirección </w:t>
      </w:r>
      <w:r w:rsidR="00D50357">
        <w:rPr>
          <w:rFonts w:ascii="Arial" w:hAnsi="Arial" w:cs="Arial"/>
        </w:rPr>
        <w:t>de Obra</w:t>
      </w:r>
      <w:r w:rsidRPr="00FC7A5B">
        <w:rPr>
          <w:rFonts w:ascii="Arial" w:hAnsi="Arial" w:cs="Arial"/>
        </w:rPr>
        <w:t xml:space="preserve"> un Plan de Ejecución del Montaje en Obra, en el que describa inequívocamente la secuencia de trabajos a realizar en obra desde la llegada de los distintos tramos a obra hasta su colocación en la posición definitiva las distintas dovelas a obra hasta su empuje a su posición definitiva. Este documento deberá ser supervisado por la Dirección </w:t>
      </w:r>
      <w:r w:rsidR="009F1466">
        <w:rPr>
          <w:rFonts w:ascii="Arial" w:hAnsi="Arial" w:cs="Arial"/>
        </w:rPr>
        <w:t>de Obra</w:t>
      </w:r>
      <w:r w:rsidRPr="00FC7A5B">
        <w:rPr>
          <w:rFonts w:ascii="Arial" w:hAnsi="Arial" w:cs="Arial"/>
        </w:rPr>
        <w:t>, y no podrán iniciarse los trabajos en obra hasta su aprobación por aquélla. El Plan deberá incluir al menos:</w:t>
      </w:r>
    </w:p>
    <w:p w14:paraId="4FB65010" w14:textId="77777777" w:rsidR="00D50726" w:rsidRPr="00B4423F" w:rsidRDefault="00D50726" w:rsidP="00221E1A">
      <w:pPr>
        <w:pStyle w:val="Prrafodelista"/>
        <w:numPr>
          <w:ilvl w:val="0"/>
          <w:numId w:val="179"/>
        </w:numPr>
        <w:spacing w:before="120" w:after="120" w:line="360" w:lineRule="auto"/>
        <w:contextualSpacing/>
        <w:jc w:val="both"/>
        <w:rPr>
          <w:rFonts w:ascii="Arial" w:hAnsi="Arial" w:cs="Arial"/>
          <w:sz w:val="24"/>
          <w:szCs w:val="24"/>
        </w:rPr>
      </w:pPr>
      <w:r w:rsidRPr="00B4423F">
        <w:rPr>
          <w:rFonts w:ascii="Arial" w:hAnsi="Arial" w:cs="Arial"/>
          <w:sz w:val="24"/>
          <w:szCs w:val="24"/>
        </w:rPr>
        <w:t>Actuaciones previas al montaje del tablero</w:t>
      </w:r>
    </w:p>
    <w:p w14:paraId="202A43AA" w14:textId="77777777" w:rsidR="00D50726" w:rsidRPr="00857242" w:rsidRDefault="00D50726" w:rsidP="00221E1A">
      <w:pPr>
        <w:pStyle w:val="Prrafodelista"/>
        <w:numPr>
          <w:ilvl w:val="1"/>
          <w:numId w:val="179"/>
        </w:numPr>
        <w:spacing w:before="120" w:after="120" w:line="360" w:lineRule="auto"/>
        <w:contextualSpacing/>
        <w:jc w:val="both"/>
        <w:rPr>
          <w:rFonts w:ascii="Arial" w:hAnsi="Arial" w:cs="Arial"/>
          <w:sz w:val="24"/>
          <w:szCs w:val="24"/>
        </w:rPr>
      </w:pPr>
      <w:r w:rsidRPr="00857242">
        <w:rPr>
          <w:rFonts w:ascii="Arial" w:hAnsi="Arial" w:cs="Arial"/>
          <w:sz w:val="24"/>
          <w:szCs w:val="24"/>
        </w:rPr>
        <w:t>Procedimiento de descarga de las vigas a su llegada a obra, con los medios auxiliares necesarios.</w:t>
      </w:r>
    </w:p>
    <w:p w14:paraId="1072A009" w14:textId="77777777" w:rsidR="00D50726" w:rsidRPr="00857242" w:rsidRDefault="00D50726" w:rsidP="00221E1A">
      <w:pPr>
        <w:pStyle w:val="Prrafodelista"/>
        <w:numPr>
          <w:ilvl w:val="1"/>
          <w:numId w:val="179"/>
        </w:numPr>
        <w:spacing w:before="120" w:after="120" w:line="360" w:lineRule="auto"/>
        <w:contextualSpacing/>
        <w:jc w:val="both"/>
        <w:rPr>
          <w:rFonts w:ascii="Arial" w:hAnsi="Arial" w:cs="Arial"/>
          <w:sz w:val="24"/>
          <w:szCs w:val="24"/>
        </w:rPr>
      </w:pPr>
      <w:r w:rsidRPr="00857242">
        <w:rPr>
          <w:rFonts w:ascii="Arial" w:hAnsi="Arial" w:cs="Arial"/>
          <w:sz w:val="24"/>
          <w:szCs w:val="24"/>
        </w:rPr>
        <w:t xml:space="preserve">Ubicación de las zonas de acopio y diseño de </w:t>
      </w:r>
      <w:proofErr w:type="gramStart"/>
      <w:r w:rsidRPr="00857242">
        <w:rPr>
          <w:rFonts w:ascii="Arial" w:hAnsi="Arial" w:cs="Arial"/>
          <w:sz w:val="24"/>
          <w:szCs w:val="24"/>
        </w:rPr>
        <w:t>las mismas</w:t>
      </w:r>
      <w:proofErr w:type="gramEnd"/>
      <w:r w:rsidRPr="00857242">
        <w:rPr>
          <w:rFonts w:ascii="Arial" w:hAnsi="Arial" w:cs="Arial"/>
          <w:sz w:val="24"/>
          <w:szCs w:val="24"/>
        </w:rPr>
        <w:t>, especificando los puntos de apoyo de los distintos elementos.</w:t>
      </w:r>
    </w:p>
    <w:p w14:paraId="1872337E" w14:textId="77777777" w:rsidR="00D50726" w:rsidRPr="00857242" w:rsidRDefault="00D50726" w:rsidP="00221E1A">
      <w:pPr>
        <w:pStyle w:val="Prrafodelista"/>
        <w:numPr>
          <w:ilvl w:val="1"/>
          <w:numId w:val="179"/>
        </w:numPr>
        <w:spacing w:before="120" w:after="120" w:line="360" w:lineRule="auto"/>
        <w:contextualSpacing/>
        <w:jc w:val="both"/>
        <w:rPr>
          <w:rFonts w:ascii="Arial" w:hAnsi="Arial" w:cs="Arial"/>
          <w:sz w:val="24"/>
          <w:szCs w:val="24"/>
        </w:rPr>
      </w:pPr>
      <w:r w:rsidRPr="00857242">
        <w:rPr>
          <w:rFonts w:ascii="Arial" w:hAnsi="Arial" w:cs="Arial"/>
          <w:sz w:val="24"/>
          <w:szCs w:val="24"/>
        </w:rPr>
        <w:t>Plan de acopio de elementos recibidos de taller en zona de acopio y planificación del trasporte hasta el punto de izado.</w:t>
      </w:r>
    </w:p>
    <w:p w14:paraId="702E216B" w14:textId="77777777" w:rsidR="00D50726" w:rsidRPr="00857242" w:rsidRDefault="00D50726" w:rsidP="00221E1A">
      <w:pPr>
        <w:pStyle w:val="Prrafodelista"/>
        <w:numPr>
          <w:ilvl w:val="1"/>
          <w:numId w:val="179"/>
        </w:numPr>
        <w:spacing w:before="120" w:after="120" w:line="360" w:lineRule="auto"/>
        <w:contextualSpacing/>
        <w:jc w:val="both"/>
        <w:rPr>
          <w:rFonts w:ascii="Arial" w:hAnsi="Arial" w:cs="Arial"/>
          <w:sz w:val="24"/>
          <w:szCs w:val="24"/>
        </w:rPr>
      </w:pPr>
      <w:r w:rsidRPr="00857242">
        <w:rPr>
          <w:rFonts w:ascii="Arial" w:hAnsi="Arial" w:cs="Arial"/>
          <w:sz w:val="24"/>
          <w:szCs w:val="24"/>
        </w:rPr>
        <w:t>Secuencia de armado en obra de la sección transversal, ya que previsiblemente los elementos que llegarán a obra serán principalmente de carácter longitudinal.</w:t>
      </w:r>
    </w:p>
    <w:p w14:paraId="34C4EC00" w14:textId="77777777" w:rsidR="00D50726" w:rsidRPr="00857242" w:rsidRDefault="00D50726" w:rsidP="00221E1A">
      <w:pPr>
        <w:pStyle w:val="Prrafodelista"/>
        <w:numPr>
          <w:ilvl w:val="1"/>
          <w:numId w:val="179"/>
        </w:numPr>
        <w:spacing w:before="120" w:after="120" w:line="360" w:lineRule="auto"/>
        <w:contextualSpacing/>
        <w:jc w:val="both"/>
        <w:rPr>
          <w:rFonts w:ascii="Arial" w:hAnsi="Arial" w:cs="Arial"/>
          <w:sz w:val="24"/>
          <w:szCs w:val="24"/>
        </w:rPr>
      </w:pPr>
      <w:r w:rsidRPr="00857242">
        <w:rPr>
          <w:rFonts w:ascii="Arial" w:hAnsi="Arial" w:cs="Arial"/>
          <w:sz w:val="24"/>
          <w:szCs w:val="24"/>
        </w:rPr>
        <w:t>Montaje de los elementos sobre el parque de fabricación. Nivelación y control geométrico de los mismos.</w:t>
      </w:r>
    </w:p>
    <w:p w14:paraId="019E85A9" w14:textId="77777777" w:rsidR="00D50726" w:rsidRPr="00857242" w:rsidRDefault="00D50726" w:rsidP="00221E1A">
      <w:pPr>
        <w:pStyle w:val="Prrafodelista"/>
        <w:numPr>
          <w:ilvl w:val="1"/>
          <w:numId w:val="179"/>
        </w:numPr>
        <w:spacing w:before="120" w:after="120" w:line="360" w:lineRule="auto"/>
        <w:contextualSpacing/>
        <w:jc w:val="both"/>
        <w:rPr>
          <w:rFonts w:ascii="Arial" w:hAnsi="Arial" w:cs="Arial"/>
          <w:sz w:val="24"/>
          <w:szCs w:val="24"/>
        </w:rPr>
      </w:pPr>
      <w:r w:rsidRPr="00857242">
        <w:rPr>
          <w:rFonts w:ascii="Arial" w:hAnsi="Arial" w:cs="Arial"/>
          <w:sz w:val="24"/>
          <w:szCs w:val="24"/>
        </w:rPr>
        <w:t xml:space="preserve">Plan de soldeo en obra e inspecciones </w:t>
      </w:r>
      <w:proofErr w:type="gramStart"/>
      <w:r w:rsidRPr="00857242">
        <w:rPr>
          <w:rFonts w:ascii="Arial" w:hAnsi="Arial" w:cs="Arial"/>
          <w:sz w:val="24"/>
          <w:szCs w:val="24"/>
        </w:rPr>
        <w:t>de acuerdo al</w:t>
      </w:r>
      <w:proofErr w:type="gramEnd"/>
      <w:r w:rsidRPr="00857242">
        <w:rPr>
          <w:rFonts w:ascii="Arial" w:hAnsi="Arial" w:cs="Arial"/>
          <w:sz w:val="24"/>
          <w:szCs w:val="24"/>
        </w:rPr>
        <w:t xml:space="preserve"> P.P.T.P. del proyecto.</w:t>
      </w:r>
    </w:p>
    <w:p w14:paraId="397A46B6" w14:textId="77777777" w:rsidR="00D50726" w:rsidRPr="00857242" w:rsidRDefault="00D50726" w:rsidP="00221E1A">
      <w:pPr>
        <w:pStyle w:val="Prrafodelista"/>
        <w:numPr>
          <w:ilvl w:val="1"/>
          <w:numId w:val="179"/>
        </w:numPr>
        <w:spacing w:before="120" w:after="120" w:line="360" w:lineRule="auto"/>
        <w:contextualSpacing/>
        <w:jc w:val="both"/>
        <w:rPr>
          <w:rFonts w:ascii="Arial" w:hAnsi="Arial" w:cs="Arial"/>
          <w:sz w:val="24"/>
          <w:szCs w:val="24"/>
        </w:rPr>
      </w:pPr>
      <w:r w:rsidRPr="00857242">
        <w:rPr>
          <w:rFonts w:ascii="Arial" w:hAnsi="Arial" w:cs="Arial"/>
          <w:sz w:val="24"/>
          <w:szCs w:val="24"/>
        </w:rPr>
        <w:lastRenderedPageBreak/>
        <w:t xml:space="preserve">Plan de ejecución una vez colocado en las medias maderas del puente actual: Montajes de </w:t>
      </w:r>
      <w:proofErr w:type="spellStart"/>
      <w:r w:rsidRPr="00857242">
        <w:rPr>
          <w:rFonts w:ascii="Arial" w:hAnsi="Arial" w:cs="Arial"/>
          <w:sz w:val="24"/>
          <w:szCs w:val="24"/>
        </w:rPr>
        <w:t>prelosas</w:t>
      </w:r>
      <w:proofErr w:type="spellEnd"/>
      <w:r w:rsidRPr="00857242">
        <w:rPr>
          <w:rFonts w:ascii="Arial" w:hAnsi="Arial" w:cs="Arial"/>
          <w:sz w:val="24"/>
          <w:szCs w:val="24"/>
        </w:rPr>
        <w:t xml:space="preserve">, </w:t>
      </w:r>
      <w:proofErr w:type="spellStart"/>
      <w:r w:rsidRPr="00857242">
        <w:rPr>
          <w:rFonts w:ascii="Arial" w:hAnsi="Arial" w:cs="Arial"/>
          <w:sz w:val="24"/>
          <w:szCs w:val="24"/>
        </w:rPr>
        <w:t>ferrallado</w:t>
      </w:r>
      <w:proofErr w:type="spellEnd"/>
      <w:r w:rsidRPr="00857242">
        <w:rPr>
          <w:rFonts w:ascii="Arial" w:hAnsi="Arial" w:cs="Arial"/>
          <w:sz w:val="24"/>
          <w:szCs w:val="24"/>
        </w:rPr>
        <w:t xml:space="preserve"> y hormigonados in situ, con los medios auxiliares necesarios previstos</w:t>
      </w:r>
    </w:p>
    <w:p w14:paraId="22F7954D" w14:textId="77777777" w:rsidR="00D50726" w:rsidRPr="00FC7A5B" w:rsidRDefault="00D50726" w:rsidP="005609D6">
      <w:pPr>
        <w:spacing w:before="120" w:after="120" w:line="360" w:lineRule="auto"/>
        <w:contextualSpacing/>
        <w:jc w:val="both"/>
        <w:rPr>
          <w:rFonts w:ascii="Arial" w:hAnsi="Arial" w:cs="Arial"/>
        </w:rPr>
      </w:pPr>
      <w:r w:rsidRPr="00FC7A5B">
        <w:rPr>
          <w:rFonts w:ascii="Arial" w:hAnsi="Arial" w:cs="Arial"/>
        </w:rPr>
        <w:t xml:space="preserve">Es decir, el documento a entregar deberá contener toda la información necesaria para describir las distintas operaciones que se realizarán en obra desde la llegada de las piezas metálicas a obra hasta que el conjunto correspondiente queda listo para su colocación y terminación completa del tablero, incluida la losa. El objetivo </w:t>
      </w:r>
      <w:proofErr w:type="gramStart"/>
      <w:r w:rsidRPr="00FC7A5B">
        <w:rPr>
          <w:rFonts w:ascii="Arial" w:hAnsi="Arial" w:cs="Arial"/>
        </w:rPr>
        <w:t>del mismo</w:t>
      </w:r>
      <w:proofErr w:type="gramEnd"/>
      <w:r w:rsidRPr="00FC7A5B">
        <w:rPr>
          <w:rFonts w:ascii="Arial" w:hAnsi="Arial" w:cs="Arial"/>
        </w:rPr>
        <w:t xml:space="preserve"> es evitar imprevistos y falta de coordinación que puedan arruinar la </w:t>
      </w:r>
      <w:r w:rsidR="00157701" w:rsidRPr="00FC7A5B">
        <w:rPr>
          <w:rFonts w:ascii="Arial" w:hAnsi="Arial" w:cs="Arial"/>
        </w:rPr>
        <w:t>perfecta</w:t>
      </w:r>
      <w:r w:rsidRPr="00FC7A5B">
        <w:rPr>
          <w:rFonts w:ascii="Arial" w:hAnsi="Arial" w:cs="Arial"/>
        </w:rPr>
        <w:t xml:space="preserve"> colocación y terminación del tramo nuevo sobre la estructura existente, con la menor afección al tráfico inferior. </w:t>
      </w:r>
    </w:p>
    <w:p w14:paraId="0F278078" w14:textId="77777777" w:rsidR="00D50726" w:rsidRPr="00FC7A5B" w:rsidRDefault="00D50726" w:rsidP="005609D6">
      <w:pPr>
        <w:spacing w:before="120" w:after="120" w:line="360" w:lineRule="auto"/>
        <w:contextualSpacing/>
        <w:jc w:val="both"/>
        <w:rPr>
          <w:rFonts w:ascii="Arial" w:hAnsi="Arial" w:cs="Arial"/>
        </w:rPr>
      </w:pPr>
      <w:r w:rsidRPr="00FC7A5B">
        <w:rPr>
          <w:rFonts w:ascii="Arial" w:hAnsi="Arial" w:cs="Arial"/>
        </w:rPr>
        <w:t xml:space="preserve">Este documento deberá ser supervisado por la Dirección </w:t>
      </w:r>
      <w:r w:rsidR="00D50357">
        <w:rPr>
          <w:rFonts w:ascii="Arial" w:hAnsi="Arial" w:cs="Arial"/>
        </w:rPr>
        <w:t>de Obra</w:t>
      </w:r>
      <w:r w:rsidRPr="00FC7A5B">
        <w:rPr>
          <w:rFonts w:ascii="Arial" w:hAnsi="Arial" w:cs="Arial"/>
        </w:rPr>
        <w:t>, y no podrán iniciarse los trabajos en obra hasta su aprobación por aquella.</w:t>
      </w:r>
    </w:p>
    <w:p w14:paraId="797838BB" w14:textId="77777777" w:rsidR="00D50726" w:rsidRPr="00B4423F" w:rsidRDefault="00D50726" w:rsidP="00221E1A">
      <w:pPr>
        <w:pStyle w:val="Prrafodelista"/>
        <w:numPr>
          <w:ilvl w:val="0"/>
          <w:numId w:val="179"/>
        </w:numPr>
        <w:spacing w:before="120" w:after="120" w:line="360" w:lineRule="auto"/>
        <w:contextualSpacing/>
        <w:jc w:val="both"/>
        <w:rPr>
          <w:rFonts w:ascii="Arial" w:hAnsi="Arial" w:cs="Arial"/>
          <w:sz w:val="24"/>
          <w:szCs w:val="24"/>
        </w:rPr>
      </w:pPr>
      <w:r w:rsidRPr="00B4423F">
        <w:rPr>
          <w:rFonts w:ascii="Arial" w:hAnsi="Arial" w:cs="Arial"/>
          <w:sz w:val="24"/>
          <w:szCs w:val="24"/>
        </w:rPr>
        <w:t>Actuaciones ligadas a la colocación del tablero</w:t>
      </w:r>
    </w:p>
    <w:p w14:paraId="14256688" w14:textId="77777777" w:rsidR="00D50726" w:rsidRPr="00B4423F" w:rsidRDefault="00D50726" w:rsidP="00221E1A">
      <w:pPr>
        <w:pStyle w:val="Prrafodelista"/>
        <w:numPr>
          <w:ilvl w:val="1"/>
          <w:numId w:val="179"/>
        </w:numPr>
        <w:spacing w:before="120" w:after="120" w:line="360" w:lineRule="auto"/>
        <w:contextualSpacing/>
        <w:jc w:val="both"/>
        <w:rPr>
          <w:rFonts w:ascii="Arial" w:hAnsi="Arial" w:cs="Arial"/>
          <w:sz w:val="24"/>
          <w:szCs w:val="24"/>
        </w:rPr>
      </w:pPr>
      <w:r w:rsidRPr="00B4423F">
        <w:rPr>
          <w:rFonts w:ascii="Arial" w:hAnsi="Arial" w:cs="Arial"/>
          <w:sz w:val="24"/>
          <w:szCs w:val="24"/>
        </w:rPr>
        <w:t>Planos, cálculos y especificaciones técnicas de los medios auxiliares ligados a la colocación del tablero y su control, como son:</w:t>
      </w:r>
    </w:p>
    <w:p w14:paraId="79DB27F9" w14:textId="77777777" w:rsidR="00D50726" w:rsidRPr="00B4423F" w:rsidRDefault="00D50726" w:rsidP="00221E1A">
      <w:pPr>
        <w:pStyle w:val="Prrafodelista"/>
        <w:numPr>
          <w:ilvl w:val="2"/>
          <w:numId w:val="179"/>
        </w:numPr>
        <w:spacing w:before="120" w:after="120" w:line="360" w:lineRule="auto"/>
        <w:contextualSpacing/>
        <w:jc w:val="both"/>
        <w:rPr>
          <w:rFonts w:ascii="Arial" w:hAnsi="Arial" w:cs="Arial"/>
          <w:sz w:val="24"/>
          <w:szCs w:val="24"/>
        </w:rPr>
      </w:pPr>
      <w:r w:rsidRPr="00B4423F">
        <w:rPr>
          <w:rFonts w:ascii="Arial" w:hAnsi="Arial" w:cs="Arial"/>
          <w:sz w:val="24"/>
          <w:szCs w:val="24"/>
        </w:rPr>
        <w:t>Sistemas de elevación</w:t>
      </w:r>
    </w:p>
    <w:p w14:paraId="679980FA" w14:textId="77777777" w:rsidR="00D50726" w:rsidRDefault="00D50726" w:rsidP="00221E1A">
      <w:pPr>
        <w:pStyle w:val="Prrafodelista"/>
        <w:numPr>
          <w:ilvl w:val="2"/>
          <w:numId w:val="179"/>
        </w:numPr>
        <w:spacing w:before="120" w:after="120" w:line="360" w:lineRule="auto"/>
        <w:contextualSpacing/>
        <w:jc w:val="both"/>
        <w:rPr>
          <w:rFonts w:ascii="Arial" w:hAnsi="Arial" w:cs="Arial"/>
          <w:sz w:val="24"/>
          <w:szCs w:val="24"/>
        </w:rPr>
      </w:pPr>
      <w:r w:rsidRPr="00B4423F">
        <w:rPr>
          <w:rFonts w:ascii="Arial" w:hAnsi="Arial" w:cs="Arial"/>
          <w:sz w:val="24"/>
          <w:szCs w:val="24"/>
        </w:rPr>
        <w:t>Sistemas auxiliares de arriostramiento durante el izado y colocación</w:t>
      </w:r>
    </w:p>
    <w:p w14:paraId="06F5EB0A" w14:textId="77777777" w:rsidR="00D50726" w:rsidRPr="00FC7A5B" w:rsidRDefault="00D50726" w:rsidP="00D50726">
      <w:pPr>
        <w:spacing w:before="120" w:after="120" w:line="312" w:lineRule="auto"/>
        <w:jc w:val="both"/>
        <w:rPr>
          <w:rFonts w:ascii="Arial" w:hAnsi="Arial" w:cs="Arial"/>
          <w:u w:val="single"/>
        </w:rPr>
      </w:pPr>
      <w:r w:rsidRPr="00FC7A5B">
        <w:rPr>
          <w:rFonts w:ascii="Arial" w:hAnsi="Arial" w:cs="Arial"/>
          <w:u w:val="single"/>
        </w:rPr>
        <w:t>Protección y acabado de la estructura metálica</w:t>
      </w:r>
    </w:p>
    <w:p w14:paraId="2346878C" w14:textId="77777777" w:rsidR="00D50726" w:rsidRPr="00FC7A5B" w:rsidRDefault="00D50726" w:rsidP="005609D6">
      <w:pPr>
        <w:spacing w:before="120" w:after="120" w:line="312" w:lineRule="auto"/>
        <w:jc w:val="both"/>
        <w:rPr>
          <w:rFonts w:ascii="Arial" w:hAnsi="Arial" w:cs="Arial"/>
        </w:rPr>
      </w:pPr>
      <w:r w:rsidRPr="00FC7A5B">
        <w:rPr>
          <w:rFonts w:ascii="Arial" w:hAnsi="Arial" w:cs="Arial"/>
        </w:rPr>
        <w:t>Se efectuará según las especificaciones contenidas al final del presente artículo.</w:t>
      </w:r>
    </w:p>
    <w:p w14:paraId="63CAC014" w14:textId="77777777" w:rsidR="00D50726" w:rsidRPr="00FC7A5B" w:rsidRDefault="00D50726" w:rsidP="005609D6">
      <w:pPr>
        <w:spacing w:before="120" w:after="120" w:line="312" w:lineRule="auto"/>
        <w:jc w:val="both"/>
        <w:rPr>
          <w:rFonts w:ascii="Arial" w:hAnsi="Arial" w:cs="Arial"/>
        </w:rPr>
      </w:pPr>
      <w:r w:rsidRPr="00FC7A5B">
        <w:rPr>
          <w:rFonts w:ascii="Arial" w:hAnsi="Arial" w:cs="Arial"/>
        </w:rPr>
        <w:t>Las operaciones de preparación, pintura y acabado previstas son:</w:t>
      </w:r>
    </w:p>
    <w:p w14:paraId="74379E46" w14:textId="77777777" w:rsidR="00D50726" w:rsidRPr="00857242" w:rsidRDefault="00D50726" w:rsidP="00221E1A">
      <w:pPr>
        <w:pStyle w:val="Prrafodelista"/>
        <w:numPr>
          <w:ilvl w:val="0"/>
          <w:numId w:val="179"/>
        </w:numPr>
        <w:spacing w:before="120" w:after="120" w:line="360" w:lineRule="auto"/>
        <w:contextualSpacing/>
        <w:jc w:val="both"/>
        <w:rPr>
          <w:rFonts w:ascii="Arial" w:hAnsi="Arial" w:cs="Arial"/>
          <w:sz w:val="24"/>
          <w:szCs w:val="24"/>
        </w:rPr>
      </w:pPr>
      <w:r w:rsidRPr="00857242">
        <w:rPr>
          <w:rFonts w:ascii="Arial" w:hAnsi="Arial" w:cs="Arial"/>
          <w:sz w:val="24"/>
          <w:szCs w:val="24"/>
        </w:rPr>
        <w:t>Preparación de las superficies con granallado una vez finalizadas las piezas principales en taller. En todas las superficies interiores de acero S 275 J0 se realizará un granallado con grado no inferior a 2 ½ según la norma sueca SIS-055900/1967.</w:t>
      </w:r>
    </w:p>
    <w:p w14:paraId="14BFC98F" w14:textId="77777777" w:rsidR="00D50726" w:rsidRPr="00857242" w:rsidRDefault="00D50726" w:rsidP="00221E1A">
      <w:pPr>
        <w:pStyle w:val="Prrafodelista"/>
        <w:numPr>
          <w:ilvl w:val="0"/>
          <w:numId w:val="179"/>
        </w:numPr>
        <w:spacing w:before="120" w:after="120" w:line="360" w:lineRule="auto"/>
        <w:contextualSpacing/>
        <w:jc w:val="both"/>
        <w:rPr>
          <w:rFonts w:ascii="Arial" w:hAnsi="Arial" w:cs="Arial"/>
          <w:sz w:val="24"/>
          <w:szCs w:val="24"/>
        </w:rPr>
      </w:pPr>
      <w:r w:rsidRPr="00857242">
        <w:rPr>
          <w:rFonts w:ascii="Arial" w:hAnsi="Arial" w:cs="Arial"/>
          <w:sz w:val="24"/>
          <w:szCs w:val="24"/>
        </w:rPr>
        <w:t xml:space="preserve">Pintura de todas las superficies de acero S 275 J0. No se pintará nunca el acero que posteriormente deba entrar en contacto con hormigón in situ. El sistema de pintura a aplicar será el siguiente: </w:t>
      </w:r>
    </w:p>
    <w:p w14:paraId="1CA43C9B" w14:textId="77777777" w:rsidR="00D50726" w:rsidRPr="00857242" w:rsidRDefault="00D50726" w:rsidP="00221E1A">
      <w:pPr>
        <w:pStyle w:val="Prrafodelista"/>
        <w:numPr>
          <w:ilvl w:val="1"/>
          <w:numId w:val="179"/>
        </w:numPr>
        <w:spacing w:before="120" w:after="120" w:line="360" w:lineRule="auto"/>
        <w:contextualSpacing/>
        <w:jc w:val="both"/>
        <w:rPr>
          <w:rFonts w:ascii="Arial" w:hAnsi="Arial" w:cs="Arial"/>
          <w:sz w:val="24"/>
          <w:szCs w:val="24"/>
        </w:rPr>
      </w:pPr>
      <w:r w:rsidRPr="00857242">
        <w:rPr>
          <w:rFonts w:ascii="Arial" w:hAnsi="Arial" w:cs="Arial"/>
          <w:sz w:val="24"/>
          <w:szCs w:val="24"/>
        </w:rPr>
        <w:t>esmalte de poliuretano alifático de 50</w:t>
      </w:r>
      <w:r w:rsidR="00993453">
        <w:rPr>
          <w:rFonts w:ascii="Arial" w:hAnsi="Arial" w:cs="Arial"/>
          <w:sz w:val="24"/>
          <w:szCs w:val="24"/>
        </w:rPr>
        <w:t>-60</w:t>
      </w:r>
      <w:r w:rsidRPr="00857242">
        <w:rPr>
          <w:rFonts w:ascii="Arial" w:hAnsi="Arial" w:cs="Arial"/>
          <w:sz w:val="24"/>
          <w:szCs w:val="24"/>
        </w:rPr>
        <w:t xml:space="preserve"> micras de espesor de película seca.</w:t>
      </w:r>
    </w:p>
    <w:p w14:paraId="63B5CEFD" w14:textId="77777777" w:rsidR="00D50726" w:rsidRPr="00857242" w:rsidRDefault="00D50726" w:rsidP="00221E1A">
      <w:pPr>
        <w:pStyle w:val="Prrafodelista"/>
        <w:numPr>
          <w:ilvl w:val="1"/>
          <w:numId w:val="179"/>
        </w:numPr>
        <w:spacing w:before="120" w:after="120" w:line="360" w:lineRule="auto"/>
        <w:contextualSpacing/>
        <w:jc w:val="both"/>
        <w:rPr>
          <w:rFonts w:ascii="Arial" w:hAnsi="Arial" w:cs="Arial"/>
          <w:sz w:val="24"/>
          <w:szCs w:val="24"/>
        </w:rPr>
      </w:pPr>
      <w:r w:rsidRPr="00857242">
        <w:rPr>
          <w:rFonts w:ascii="Arial" w:hAnsi="Arial" w:cs="Arial"/>
          <w:sz w:val="24"/>
          <w:szCs w:val="24"/>
        </w:rPr>
        <w:t xml:space="preserve">pintura de epoxi aluminio laminar de dos componentes curada con poliamida, con espesor de película seca de </w:t>
      </w:r>
      <w:r w:rsidR="00993453">
        <w:rPr>
          <w:rFonts w:ascii="Arial" w:hAnsi="Arial" w:cs="Arial"/>
          <w:sz w:val="24"/>
          <w:szCs w:val="24"/>
        </w:rPr>
        <w:t>120-140 micras en dos capas.</w:t>
      </w:r>
    </w:p>
    <w:p w14:paraId="50D2A117" w14:textId="77777777" w:rsidR="00D50726" w:rsidRPr="00857242" w:rsidRDefault="00D50726" w:rsidP="00221E1A">
      <w:pPr>
        <w:pStyle w:val="Prrafodelista"/>
        <w:numPr>
          <w:ilvl w:val="1"/>
          <w:numId w:val="179"/>
        </w:numPr>
        <w:spacing w:before="120" w:after="120" w:line="360" w:lineRule="auto"/>
        <w:contextualSpacing/>
        <w:jc w:val="both"/>
        <w:rPr>
          <w:rFonts w:ascii="Arial" w:hAnsi="Arial" w:cs="Arial"/>
          <w:sz w:val="24"/>
          <w:szCs w:val="24"/>
        </w:rPr>
      </w:pPr>
      <w:r w:rsidRPr="00857242">
        <w:rPr>
          <w:rFonts w:ascii="Arial" w:hAnsi="Arial" w:cs="Arial"/>
          <w:sz w:val="24"/>
          <w:szCs w:val="24"/>
        </w:rPr>
        <w:t xml:space="preserve">capa de imprimación de </w:t>
      </w:r>
      <w:r w:rsidR="00993453">
        <w:rPr>
          <w:rFonts w:ascii="Arial" w:hAnsi="Arial" w:cs="Arial"/>
          <w:sz w:val="24"/>
          <w:szCs w:val="24"/>
        </w:rPr>
        <w:t>50-60</w:t>
      </w:r>
      <w:r w:rsidRPr="00857242">
        <w:rPr>
          <w:rFonts w:ascii="Arial" w:hAnsi="Arial" w:cs="Arial"/>
          <w:sz w:val="24"/>
          <w:szCs w:val="24"/>
        </w:rPr>
        <w:t xml:space="preserve"> micras de espesor de película seca de pintura de cinc epoxi. </w:t>
      </w:r>
    </w:p>
    <w:p w14:paraId="3B7ADFC0" w14:textId="77777777" w:rsidR="00D50726" w:rsidRPr="00FC7A5B" w:rsidRDefault="00D50726" w:rsidP="00221E1A">
      <w:pPr>
        <w:pStyle w:val="Prrafodelista"/>
        <w:numPr>
          <w:ilvl w:val="1"/>
          <w:numId w:val="179"/>
        </w:numPr>
        <w:spacing w:before="120" w:after="120" w:line="360" w:lineRule="auto"/>
        <w:contextualSpacing/>
        <w:jc w:val="both"/>
        <w:rPr>
          <w:rFonts w:ascii="Arial" w:hAnsi="Arial" w:cs="Arial"/>
        </w:rPr>
      </w:pPr>
      <w:r w:rsidRPr="00857242">
        <w:rPr>
          <w:rFonts w:ascii="Arial" w:hAnsi="Arial" w:cs="Arial"/>
          <w:sz w:val="24"/>
          <w:szCs w:val="24"/>
        </w:rPr>
        <w:t xml:space="preserve">espesor total del sistema: </w:t>
      </w:r>
      <w:r w:rsidR="00993453">
        <w:rPr>
          <w:rFonts w:ascii="Arial" w:hAnsi="Arial" w:cs="Arial"/>
          <w:sz w:val="24"/>
          <w:szCs w:val="24"/>
        </w:rPr>
        <w:t xml:space="preserve">el sistema de protección deberá tener un espesor total </w:t>
      </w:r>
      <w:r w:rsidR="00217216">
        <w:rPr>
          <w:rFonts w:ascii="Arial" w:hAnsi="Arial" w:cs="Arial"/>
          <w:sz w:val="24"/>
          <w:szCs w:val="24"/>
        </w:rPr>
        <w:t>mínimo</w:t>
      </w:r>
      <w:r w:rsidR="00993453">
        <w:rPr>
          <w:rFonts w:ascii="Arial" w:hAnsi="Arial" w:cs="Arial"/>
          <w:sz w:val="24"/>
          <w:szCs w:val="24"/>
        </w:rPr>
        <w:t xml:space="preserve"> de 240 micras sin contar el Shop Primer</w:t>
      </w:r>
      <w:r w:rsidRPr="00FC7A5B">
        <w:rPr>
          <w:rFonts w:ascii="Arial" w:hAnsi="Arial" w:cs="Arial"/>
        </w:rPr>
        <w:t>.</w:t>
      </w:r>
    </w:p>
    <w:p w14:paraId="73E68DE8" w14:textId="77777777" w:rsidR="00CB164A" w:rsidRPr="005B79AD" w:rsidRDefault="00CB164A" w:rsidP="00CB164A">
      <w:pPr>
        <w:spacing w:before="120" w:after="120" w:line="360" w:lineRule="auto"/>
        <w:contextualSpacing/>
        <w:jc w:val="both"/>
        <w:rPr>
          <w:rFonts w:ascii="Arial" w:hAnsi="Arial" w:cs="Arial"/>
        </w:rPr>
      </w:pPr>
      <w:r w:rsidRPr="005B79AD">
        <w:rPr>
          <w:rFonts w:ascii="Arial" w:hAnsi="Arial" w:cs="Arial"/>
        </w:rPr>
        <w:t>El sistema de pintura previsto proporciona la protección anticorrosión más eficaz posible ya que combina los tres efectos de protección de una pintura: efecto barrera frente a la humedad, dada la elevada densidad e impermeabilidad que aportan las resinas epoxi; efecto de protección catódica, ya que el cinc activado (cinc metálico) se comporta como ánodo de sacrificio frente al hierro de la estructura y, por último, retardo de la corrosión sobre el material base gracias a los aditivos inhibidores.</w:t>
      </w:r>
    </w:p>
    <w:p w14:paraId="6EDEF038" w14:textId="77777777" w:rsidR="00CB164A" w:rsidRPr="00FC7A5B" w:rsidRDefault="00CB164A" w:rsidP="00CB164A">
      <w:pPr>
        <w:spacing w:before="120" w:after="120" w:line="360" w:lineRule="auto"/>
        <w:contextualSpacing/>
        <w:jc w:val="both"/>
        <w:rPr>
          <w:rFonts w:ascii="Arial" w:hAnsi="Arial" w:cs="Arial"/>
        </w:rPr>
      </w:pPr>
      <w:r w:rsidRPr="005B79AD">
        <w:rPr>
          <w:rFonts w:ascii="Arial" w:hAnsi="Arial" w:cs="Arial"/>
        </w:rPr>
        <w:t xml:space="preserve">El sistema dispuesto deberá garantizar durabilidad Alta (según EAE), más de 15 años, en ambiente de exposición tipo </w:t>
      </w:r>
      <w:r w:rsidR="00993453" w:rsidRPr="005B79AD">
        <w:rPr>
          <w:rFonts w:ascii="Arial" w:hAnsi="Arial" w:cs="Arial"/>
        </w:rPr>
        <w:t>C4</w:t>
      </w:r>
      <w:r w:rsidRPr="005B79AD">
        <w:rPr>
          <w:rFonts w:ascii="Arial" w:hAnsi="Arial" w:cs="Arial"/>
        </w:rPr>
        <w:t>, según UNE-EN ISO 12944-5. Las especificaciones del sistema que eventualmente pudiera proponer el Contratista cumplirán los requisitos establecidos en este Pliego, garantizando además una protección de triple efecto (</w:t>
      </w:r>
      <w:proofErr w:type="gramStart"/>
      <w:r w:rsidRPr="005B79AD">
        <w:rPr>
          <w:rFonts w:ascii="Arial" w:hAnsi="Arial" w:cs="Arial"/>
        </w:rPr>
        <w:t>efecto barrera</w:t>
      </w:r>
      <w:proofErr w:type="gramEnd"/>
      <w:r w:rsidRPr="005B79AD">
        <w:rPr>
          <w:rFonts w:ascii="Arial" w:hAnsi="Arial" w:cs="Arial"/>
        </w:rPr>
        <w:t>, protección catódica y retardo de la corrosión por aditivos inhibidores). No obstante, la Dirección de Obra podrá exigir si lo estima oportuno la pintura prevista en el Pliego sin admitir</w:t>
      </w:r>
      <w:r w:rsidRPr="00907DAE">
        <w:rPr>
          <w:rFonts w:ascii="Arial" w:hAnsi="Arial" w:cs="Arial"/>
        </w:rPr>
        <w:t xml:space="preserve"> modificación alguna.</w:t>
      </w:r>
    </w:p>
    <w:p w14:paraId="79B286C2" w14:textId="77777777" w:rsidR="00CB164A" w:rsidRPr="00FC7A5B" w:rsidRDefault="00CB164A" w:rsidP="00CB164A">
      <w:pPr>
        <w:spacing w:before="120" w:after="120" w:line="360" w:lineRule="auto"/>
        <w:contextualSpacing/>
        <w:jc w:val="both"/>
        <w:rPr>
          <w:rFonts w:ascii="Arial" w:hAnsi="Arial" w:cs="Arial"/>
        </w:rPr>
      </w:pPr>
      <w:r w:rsidRPr="00FC7A5B">
        <w:rPr>
          <w:rFonts w:ascii="Arial" w:hAnsi="Arial" w:cs="Arial"/>
        </w:rPr>
        <w:t>Tras el montaje en obra. Limpieza y preparación de las zonas de juntas no tratadas anteriormente y de las zonas locales que hayan sufrido deterioros, mediante chorreado de arena o granallado, y reposición de pintura en elementos de acero laminado pintado que hayan podido resultar dañados, y en las zonas de las juntas.</w:t>
      </w:r>
    </w:p>
    <w:p w14:paraId="50E8A867" w14:textId="77777777" w:rsidR="00CB164A" w:rsidRDefault="00CB164A" w:rsidP="00E01981">
      <w:pPr>
        <w:spacing w:before="120" w:after="120" w:line="360" w:lineRule="auto"/>
        <w:contextualSpacing/>
        <w:jc w:val="both"/>
        <w:rPr>
          <w:rFonts w:ascii="Arial" w:hAnsi="Arial" w:cs="Arial"/>
        </w:rPr>
      </w:pPr>
    </w:p>
    <w:p w14:paraId="08914EDD" w14:textId="77777777" w:rsidR="00D50726" w:rsidRPr="00FC7A5B" w:rsidRDefault="00D50726" w:rsidP="00D50726">
      <w:pPr>
        <w:spacing w:before="120" w:after="120" w:line="360" w:lineRule="auto"/>
        <w:jc w:val="both"/>
        <w:rPr>
          <w:rFonts w:ascii="Arial" w:hAnsi="Arial"/>
          <w:b/>
          <w:bCs/>
          <w:szCs w:val="20"/>
        </w:rPr>
      </w:pPr>
      <w:r w:rsidRPr="00FC7A5B">
        <w:rPr>
          <w:rFonts w:ascii="Arial" w:hAnsi="Arial"/>
          <w:b/>
          <w:bCs/>
          <w:szCs w:val="20"/>
        </w:rPr>
        <w:t>620.6.7. Pintura sobre superficies de acero</w:t>
      </w:r>
    </w:p>
    <w:p w14:paraId="498B26C9" w14:textId="77777777" w:rsidR="00D50726" w:rsidRPr="00B4423F" w:rsidRDefault="00D50726" w:rsidP="00B4423F">
      <w:pPr>
        <w:spacing w:before="120" w:after="120" w:line="360" w:lineRule="auto"/>
        <w:jc w:val="both"/>
        <w:rPr>
          <w:rFonts w:ascii="Arial" w:hAnsi="Arial" w:cs="Arial"/>
          <w:i/>
          <w:u w:val="single"/>
        </w:rPr>
      </w:pPr>
      <w:r w:rsidRPr="00B4423F">
        <w:rPr>
          <w:rFonts w:ascii="Arial" w:hAnsi="Arial" w:cs="Arial"/>
          <w:i/>
          <w:u w:val="single"/>
        </w:rPr>
        <w:t>Definición</w:t>
      </w:r>
    </w:p>
    <w:p w14:paraId="7A5BD731"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Sobre todas las superficies interiores y exteriores de la estructura metálica </w:t>
      </w:r>
      <w:r>
        <w:rPr>
          <w:rFonts w:ascii="Arial" w:hAnsi="Arial" w:cs="Arial"/>
        </w:rPr>
        <w:t xml:space="preserve">para la ampliación del Paso Inferior SI-2 </w:t>
      </w:r>
      <w:proofErr w:type="spellStart"/>
      <w:r>
        <w:rPr>
          <w:rFonts w:ascii="Arial" w:hAnsi="Arial" w:cs="Arial"/>
        </w:rPr>
        <w:t>pk</w:t>
      </w:r>
      <w:proofErr w:type="spellEnd"/>
      <w:r>
        <w:rPr>
          <w:rFonts w:ascii="Arial" w:hAnsi="Arial" w:cs="Arial"/>
        </w:rPr>
        <w:t>. 2+275</w:t>
      </w:r>
      <w:r w:rsidRPr="00FC7A5B">
        <w:rPr>
          <w:rFonts w:ascii="Arial" w:hAnsi="Arial" w:cs="Arial"/>
        </w:rPr>
        <w:t xml:space="preserve"> se aplicará la pintura protectora que se define a continuación:</w:t>
      </w:r>
    </w:p>
    <w:p w14:paraId="305B5B67" w14:textId="77777777" w:rsidR="00D50726" w:rsidRPr="00C61E14"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E01981">
        <w:rPr>
          <w:rFonts w:ascii="Arial" w:hAnsi="Arial" w:cs="Arial"/>
          <w:sz w:val="24"/>
          <w:szCs w:val="24"/>
          <w:lang w:val="es-ES_tradnl"/>
        </w:rPr>
        <w:lastRenderedPageBreak/>
        <w:t>Pintura de poliuretano alifático de dos componentes, con espesor de película seca de 50</w:t>
      </w:r>
      <w:r w:rsidR="00993453">
        <w:rPr>
          <w:rFonts w:ascii="Arial" w:hAnsi="Arial" w:cs="Arial"/>
          <w:sz w:val="24"/>
          <w:szCs w:val="24"/>
          <w:lang w:val="es-ES_tradnl"/>
        </w:rPr>
        <w:t>-60</w:t>
      </w:r>
      <w:r w:rsidRPr="00E01981">
        <w:rPr>
          <w:rFonts w:ascii="Arial" w:hAnsi="Arial" w:cs="Arial"/>
          <w:sz w:val="24"/>
          <w:szCs w:val="24"/>
          <w:lang w:val="es-ES_tradnl"/>
        </w:rPr>
        <w:t xml:space="preserve"> micras, sobre superficie pintura de epoxi aluminio laminar de dos componentes curada con poliamida, con espesor de película seca de </w:t>
      </w:r>
      <w:r w:rsidR="00993453">
        <w:rPr>
          <w:rFonts w:ascii="Arial" w:hAnsi="Arial" w:cs="Arial"/>
          <w:sz w:val="24"/>
          <w:szCs w:val="24"/>
          <w:lang w:val="es-ES_tradnl"/>
        </w:rPr>
        <w:t>120</w:t>
      </w:r>
      <w:r w:rsidR="00993453" w:rsidRPr="00C61E14">
        <w:rPr>
          <w:rFonts w:ascii="Arial" w:hAnsi="Arial" w:cs="Arial"/>
          <w:sz w:val="24"/>
          <w:szCs w:val="24"/>
          <w:lang w:val="es-ES_tradnl"/>
        </w:rPr>
        <w:t>-140</w:t>
      </w:r>
      <w:r w:rsidRPr="00C61E14">
        <w:rPr>
          <w:rFonts w:ascii="Arial" w:hAnsi="Arial" w:cs="Arial"/>
          <w:sz w:val="24"/>
          <w:szCs w:val="24"/>
          <w:lang w:val="es-ES_tradnl"/>
        </w:rPr>
        <w:t xml:space="preserve"> micras, sobre superficie de acero al carbono tratada con Shop Primer de pintura epoxi de óxido de hierro y con capa de imprimación de </w:t>
      </w:r>
      <w:r w:rsidR="00993453" w:rsidRPr="00C61E14">
        <w:rPr>
          <w:rFonts w:ascii="Arial" w:hAnsi="Arial" w:cs="Arial"/>
          <w:sz w:val="24"/>
          <w:szCs w:val="24"/>
          <w:lang w:val="es-ES_tradnl"/>
        </w:rPr>
        <w:t>50-60</w:t>
      </w:r>
      <w:r w:rsidRPr="00C61E14">
        <w:rPr>
          <w:rFonts w:ascii="Arial" w:hAnsi="Arial" w:cs="Arial"/>
          <w:sz w:val="24"/>
          <w:szCs w:val="24"/>
          <w:lang w:val="es-ES_tradnl"/>
        </w:rPr>
        <w:t xml:space="preserve"> micras de espesor de película seca de pintura de cinc epoxi, incluso preparación, manejo, aplicación y control de calidad.</w:t>
      </w:r>
    </w:p>
    <w:p w14:paraId="3BCE47C6" w14:textId="77777777" w:rsidR="00D50726" w:rsidRPr="00C61E14" w:rsidRDefault="00D50726" w:rsidP="005609D6">
      <w:pPr>
        <w:spacing w:before="120" w:after="120" w:line="360" w:lineRule="auto"/>
        <w:jc w:val="both"/>
        <w:rPr>
          <w:rFonts w:ascii="Arial" w:hAnsi="Arial" w:cs="Arial"/>
        </w:rPr>
      </w:pPr>
      <w:r w:rsidRPr="00C61E14">
        <w:rPr>
          <w:rFonts w:ascii="Arial" w:hAnsi="Arial" w:cs="Arial"/>
        </w:rPr>
        <w:t xml:space="preserve">El revestimiento con esta pintura se realizará sobre tratamientos previos del acero de forma que se constituya un sistema de protección </w:t>
      </w:r>
      <w:proofErr w:type="spellStart"/>
      <w:r w:rsidRPr="00C61E14">
        <w:rPr>
          <w:rFonts w:ascii="Arial" w:hAnsi="Arial" w:cs="Arial"/>
        </w:rPr>
        <w:t>repintable</w:t>
      </w:r>
      <w:proofErr w:type="spellEnd"/>
      <w:r w:rsidRPr="00C61E14">
        <w:rPr>
          <w:rFonts w:ascii="Arial" w:hAnsi="Arial" w:cs="Arial"/>
        </w:rPr>
        <w:t>, salvo elementos que quedarán inaccesibles y por tanto se tratarán de forma especial para garantizar la máxima durabilidad. El suministrador deberá garantizar que la durabilidad del sistema de protección aplicado, entendiéndose ésta como su capacidad de protección anticorrosiva del acero hasta su primer repintado general de mantenimiento previsto, es mayor que 15 años (duración mínima correspondiente a la categoría “muy alta” descrita en la norma EN UNE ISO 12944).</w:t>
      </w:r>
    </w:p>
    <w:p w14:paraId="73A44A19" w14:textId="77777777" w:rsidR="00D50726" w:rsidRPr="00C61E14" w:rsidRDefault="00D50726" w:rsidP="005609D6">
      <w:pPr>
        <w:spacing w:before="120" w:after="120" w:line="360" w:lineRule="auto"/>
        <w:jc w:val="both"/>
        <w:rPr>
          <w:rFonts w:ascii="Arial" w:hAnsi="Arial" w:cs="Arial"/>
        </w:rPr>
      </w:pPr>
      <w:r w:rsidRPr="00C61E14">
        <w:rPr>
          <w:rFonts w:ascii="Arial" w:hAnsi="Arial" w:cs="Arial"/>
        </w:rPr>
        <w:t>Las unidades de obra que llevan incluida la pintura tienen incorporados, en su Precio Unitario, los costes de los ensayos a realizar y acreditar por los propios sistemas de calidad de las empresas encargadas de su aplicación. Dichos controles y ensayos deberán cumplir las exigencias indicadas en los apartados siguientes del presente Artículo.</w:t>
      </w:r>
    </w:p>
    <w:p w14:paraId="00BB92C1" w14:textId="77777777" w:rsidR="00D50726" w:rsidRPr="00C61E14" w:rsidRDefault="00D50726" w:rsidP="00B4423F">
      <w:pPr>
        <w:spacing w:before="120" w:after="120" w:line="360" w:lineRule="auto"/>
        <w:jc w:val="both"/>
        <w:rPr>
          <w:rFonts w:ascii="Arial" w:hAnsi="Arial" w:cs="Arial"/>
          <w:i/>
          <w:u w:val="single"/>
        </w:rPr>
      </w:pPr>
      <w:r w:rsidRPr="00C61E14">
        <w:rPr>
          <w:rFonts w:ascii="Arial" w:hAnsi="Arial" w:cs="Arial"/>
          <w:i/>
          <w:u w:val="single"/>
        </w:rPr>
        <w:t>Normas</w:t>
      </w:r>
    </w:p>
    <w:p w14:paraId="36F9985B" w14:textId="77777777" w:rsidR="00D50726" w:rsidRPr="00C61E14" w:rsidRDefault="00D50726" w:rsidP="00B4423F">
      <w:pPr>
        <w:spacing w:before="120" w:after="120" w:line="360" w:lineRule="auto"/>
        <w:jc w:val="both"/>
        <w:rPr>
          <w:rFonts w:ascii="Arial" w:hAnsi="Arial" w:cs="Arial"/>
        </w:rPr>
      </w:pPr>
      <w:r w:rsidRPr="00C61E14">
        <w:rPr>
          <w:rFonts w:ascii="Arial" w:hAnsi="Arial" w:cs="Arial"/>
        </w:rPr>
        <w:t>Las normativas aplicables serán:</w:t>
      </w:r>
    </w:p>
    <w:p w14:paraId="2056B547" w14:textId="77777777" w:rsidR="00D50726" w:rsidRPr="00C61E14" w:rsidRDefault="00D50726" w:rsidP="00221E1A">
      <w:pPr>
        <w:pStyle w:val="Prrafodelista"/>
        <w:numPr>
          <w:ilvl w:val="0"/>
          <w:numId w:val="180"/>
        </w:numPr>
        <w:tabs>
          <w:tab w:val="left" w:pos="284"/>
        </w:tabs>
        <w:spacing w:before="120" w:after="120" w:line="360" w:lineRule="auto"/>
        <w:contextualSpacing/>
        <w:jc w:val="both"/>
        <w:rPr>
          <w:rFonts w:ascii="Arial" w:hAnsi="Arial" w:cs="Arial"/>
          <w:sz w:val="24"/>
          <w:szCs w:val="24"/>
          <w:lang w:val="es-ES_tradnl"/>
        </w:rPr>
      </w:pPr>
      <w:r w:rsidRPr="00C61E14">
        <w:rPr>
          <w:rFonts w:ascii="Arial" w:hAnsi="Arial" w:cs="Arial"/>
          <w:sz w:val="24"/>
          <w:szCs w:val="24"/>
          <w:lang w:val="es-ES_tradnl"/>
        </w:rPr>
        <w:t>Sistemas de pintado:</w:t>
      </w: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t>ISO - 12944</w:t>
      </w:r>
    </w:p>
    <w:p w14:paraId="3975180B" w14:textId="77777777" w:rsidR="00D50726" w:rsidRPr="00C61E14" w:rsidRDefault="00D50726" w:rsidP="00221E1A">
      <w:pPr>
        <w:pStyle w:val="Prrafodelista"/>
        <w:numPr>
          <w:ilvl w:val="0"/>
          <w:numId w:val="180"/>
        </w:numPr>
        <w:tabs>
          <w:tab w:val="left" w:pos="284"/>
        </w:tabs>
        <w:spacing w:before="120" w:after="120" w:line="360" w:lineRule="auto"/>
        <w:contextualSpacing/>
        <w:jc w:val="both"/>
        <w:rPr>
          <w:rFonts w:ascii="Arial" w:hAnsi="Arial" w:cs="Arial"/>
          <w:sz w:val="24"/>
          <w:szCs w:val="24"/>
          <w:lang w:val="es-ES_tradnl"/>
        </w:rPr>
      </w:pPr>
      <w:r w:rsidRPr="00C61E14">
        <w:rPr>
          <w:rFonts w:ascii="Arial" w:hAnsi="Arial" w:cs="Arial"/>
          <w:sz w:val="24"/>
          <w:szCs w:val="24"/>
          <w:lang w:val="es-ES_tradnl"/>
        </w:rPr>
        <w:t>Toma de muestras:</w:t>
      </w: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t>ISO – 1513</w:t>
      </w:r>
    </w:p>
    <w:p w14:paraId="5C284120" w14:textId="77777777" w:rsidR="00D50726" w:rsidRPr="00C61E14" w:rsidRDefault="00D50726" w:rsidP="00221E1A">
      <w:pPr>
        <w:pStyle w:val="Prrafodelista"/>
        <w:numPr>
          <w:ilvl w:val="0"/>
          <w:numId w:val="180"/>
        </w:numPr>
        <w:tabs>
          <w:tab w:val="left" w:pos="284"/>
        </w:tabs>
        <w:spacing w:before="120" w:after="120" w:line="360" w:lineRule="auto"/>
        <w:contextualSpacing/>
        <w:jc w:val="both"/>
        <w:rPr>
          <w:rFonts w:ascii="Arial" w:hAnsi="Arial" w:cs="Arial"/>
          <w:sz w:val="24"/>
          <w:szCs w:val="24"/>
          <w:lang w:val="es-ES_tradnl"/>
        </w:rPr>
      </w:pPr>
      <w:r w:rsidRPr="00C61E14">
        <w:rPr>
          <w:rFonts w:ascii="Arial" w:hAnsi="Arial" w:cs="Arial"/>
          <w:sz w:val="24"/>
          <w:szCs w:val="24"/>
          <w:lang w:val="es-ES_tradnl"/>
        </w:rPr>
        <w:t>Preparación de superficies:</w:t>
      </w:r>
      <w:r w:rsidRPr="00C61E14">
        <w:rPr>
          <w:rFonts w:ascii="Arial" w:hAnsi="Arial" w:cs="Arial"/>
          <w:sz w:val="24"/>
          <w:szCs w:val="24"/>
          <w:lang w:val="es-ES_tradnl"/>
        </w:rPr>
        <w:tab/>
      </w:r>
      <w:r w:rsidRPr="00C61E14">
        <w:rPr>
          <w:rFonts w:ascii="Arial" w:hAnsi="Arial" w:cs="Arial"/>
          <w:sz w:val="24"/>
          <w:szCs w:val="24"/>
          <w:lang w:val="es-ES_tradnl"/>
        </w:rPr>
        <w:tab/>
        <w:t>ISO – 8501-01</w:t>
      </w:r>
    </w:p>
    <w:p w14:paraId="0F574E62" w14:textId="77777777" w:rsidR="00D50726" w:rsidRPr="00C61E14" w:rsidRDefault="00D50726" w:rsidP="00221E1A">
      <w:pPr>
        <w:pStyle w:val="Prrafodelista"/>
        <w:numPr>
          <w:ilvl w:val="0"/>
          <w:numId w:val="180"/>
        </w:numPr>
        <w:tabs>
          <w:tab w:val="left" w:pos="284"/>
        </w:tabs>
        <w:spacing w:before="120" w:after="120" w:line="360" w:lineRule="auto"/>
        <w:contextualSpacing/>
        <w:jc w:val="both"/>
        <w:rPr>
          <w:rFonts w:ascii="Arial" w:hAnsi="Arial" w:cs="Arial"/>
          <w:sz w:val="24"/>
          <w:szCs w:val="24"/>
          <w:lang w:val="es-ES_tradnl"/>
        </w:rPr>
      </w:pPr>
      <w:r w:rsidRPr="00C61E14">
        <w:rPr>
          <w:rFonts w:ascii="Arial" w:hAnsi="Arial" w:cs="Arial"/>
          <w:sz w:val="24"/>
          <w:szCs w:val="24"/>
          <w:lang w:val="es-ES_tradnl"/>
        </w:rPr>
        <w:t>Perfil de rugosidad:</w:t>
      </w: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t>ISO – 2632.1</w:t>
      </w:r>
    </w:p>
    <w:p w14:paraId="2366AC57" w14:textId="77777777" w:rsidR="00D50726" w:rsidRPr="00C61E14" w:rsidRDefault="00B4423F" w:rsidP="00B4423F">
      <w:pPr>
        <w:pStyle w:val="Prrafodelista"/>
        <w:tabs>
          <w:tab w:val="left" w:pos="284"/>
        </w:tabs>
        <w:spacing w:before="120" w:after="120" w:line="360" w:lineRule="auto"/>
        <w:ind w:left="720"/>
        <w:contextualSpacing/>
        <w:jc w:val="both"/>
        <w:rPr>
          <w:rFonts w:ascii="Arial" w:hAnsi="Arial" w:cs="Arial"/>
          <w:sz w:val="24"/>
          <w:szCs w:val="24"/>
          <w:lang w:val="es-ES_tradnl"/>
        </w:rPr>
      </w:pP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r>
      <w:r w:rsidR="00D50726" w:rsidRPr="00C61E14">
        <w:rPr>
          <w:rFonts w:ascii="Arial" w:hAnsi="Arial" w:cs="Arial"/>
          <w:sz w:val="24"/>
          <w:szCs w:val="24"/>
          <w:lang w:val="es-ES_tradnl"/>
        </w:rPr>
        <w:t>ISO - 8503</w:t>
      </w:r>
    </w:p>
    <w:p w14:paraId="34EE5BED" w14:textId="77777777" w:rsidR="00D50726" w:rsidRPr="00C61E14" w:rsidRDefault="00D50726" w:rsidP="00221E1A">
      <w:pPr>
        <w:pStyle w:val="Prrafodelista"/>
        <w:numPr>
          <w:ilvl w:val="0"/>
          <w:numId w:val="180"/>
        </w:numPr>
        <w:tabs>
          <w:tab w:val="left" w:pos="284"/>
        </w:tabs>
        <w:spacing w:before="120" w:after="120" w:line="360" w:lineRule="auto"/>
        <w:contextualSpacing/>
        <w:jc w:val="both"/>
        <w:rPr>
          <w:rFonts w:ascii="Arial" w:hAnsi="Arial" w:cs="Arial"/>
          <w:sz w:val="24"/>
          <w:szCs w:val="24"/>
          <w:lang w:val="es-ES_tradnl"/>
        </w:rPr>
      </w:pPr>
      <w:r w:rsidRPr="00C61E14">
        <w:rPr>
          <w:rFonts w:ascii="Arial" w:hAnsi="Arial" w:cs="Arial"/>
          <w:sz w:val="24"/>
          <w:szCs w:val="24"/>
          <w:lang w:val="es-ES_tradnl"/>
        </w:rPr>
        <w:t>Espesor de película seca:</w:t>
      </w: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t>SSPC-PA2</w:t>
      </w:r>
    </w:p>
    <w:p w14:paraId="3749502A" w14:textId="77777777" w:rsidR="00D50726" w:rsidRPr="00C61E14" w:rsidRDefault="00B4423F" w:rsidP="00B4423F">
      <w:pPr>
        <w:pStyle w:val="Prrafodelista"/>
        <w:tabs>
          <w:tab w:val="left" w:pos="284"/>
        </w:tabs>
        <w:spacing w:before="120" w:after="120" w:line="360" w:lineRule="auto"/>
        <w:ind w:left="720"/>
        <w:contextualSpacing/>
        <w:jc w:val="both"/>
        <w:rPr>
          <w:rFonts w:ascii="Arial" w:hAnsi="Arial" w:cs="Arial"/>
          <w:sz w:val="24"/>
          <w:szCs w:val="24"/>
          <w:lang w:val="es-ES_tradnl"/>
        </w:rPr>
      </w:pPr>
      <w:r w:rsidRPr="00C61E14">
        <w:rPr>
          <w:rFonts w:ascii="Arial" w:hAnsi="Arial" w:cs="Arial"/>
          <w:sz w:val="24"/>
          <w:szCs w:val="24"/>
          <w:lang w:val="es-ES_tradnl"/>
        </w:rPr>
        <w:tab/>
      </w:r>
      <w:r w:rsidRPr="00C61E14">
        <w:rPr>
          <w:rFonts w:ascii="Arial" w:hAnsi="Arial" w:cs="Arial"/>
          <w:sz w:val="24"/>
          <w:szCs w:val="24"/>
          <w:lang w:val="es-ES_tradnl"/>
        </w:rPr>
        <w:tab/>
      </w:r>
      <w:r w:rsidR="00D50726" w:rsidRPr="00C61E14">
        <w:rPr>
          <w:rFonts w:ascii="Arial" w:hAnsi="Arial" w:cs="Arial"/>
          <w:sz w:val="24"/>
          <w:szCs w:val="24"/>
          <w:lang w:val="es-ES_tradnl"/>
        </w:rPr>
        <w:tab/>
      </w:r>
      <w:r w:rsidR="00D50726" w:rsidRPr="00C61E14">
        <w:rPr>
          <w:rFonts w:ascii="Arial" w:hAnsi="Arial" w:cs="Arial"/>
          <w:sz w:val="24"/>
          <w:szCs w:val="24"/>
          <w:lang w:val="es-ES_tradnl"/>
        </w:rPr>
        <w:tab/>
      </w:r>
      <w:r w:rsidR="00D50726" w:rsidRPr="00C61E14">
        <w:rPr>
          <w:rFonts w:ascii="Arial" w:hAnsi="Arial" w:cs="Arial"/>
          <w:sz w:val="24"/>
          <w:szCs w:val="24"/>
          <w:lang w:val="es-ES_tradnl"/>
        </w:rPr>
        <w:tab/>
      </w:r>
      <w:r w:rsidR="00D50726" w:rsidRPr="00C61E14">
        <w:rPr>
          <w:rFonts w:ascii="Arial" w:hAnsi="Arial" w:cs="Arial"/>
          <w:sz w:val="24"/>
          <w:szCs w:val="24"/>
          <w:lang w:val="es-ES_tradnl"/>
        </w:rPr>
        <w:tab/>
        <w:t>ISO-2178</w:t>
      </w:r>
    </w:p>
    <w:p w14:paraId="12953686" w14:textId="77777777" w:rsidR="00D50726" w:rsidRPr="00C61E14" w:rsidRDefault="00B71B0B" w:rsidP="00221E1A">
      <w:pPr>
        <w:pStyle w:val="Prrafodelista"/>
        <w:numPr>
          <w:ilvl w:val="0"/>
          <w:numId w:val="180"/>
        </w:numPr>
        <w:tabs>
          <w:tab w:val="left" w:pos="284"/>
        </w:tabs>
        <w:spacing w:before="120" w:after="120" w:line="360" w:lineRule="auto"/>
        <w:contextualSpacing/>
        <w:jc w:val="both"/>
        <w:rPr>
          <w:rFonts w:ascii="Arial" w:hAnsi="Arial" w:cs="Arial"/>
          <w:sz w:val="24"/>
          <w:szCs w:val="24"/>
          <w:lang w:val="es-ES_tradnl"/>
        </w:rPr>
      </w:pPr>
      <w:r>
        <w:rPr>
          <w:rFonts w:ascii="Arial" w:hAnsi="Arial" w:cs="Arial"/>
          <w:sz w:val="24"/>
          <w:szCs w:val="24"/>
          <w:lang w:val="es-ES_tradnl"/>
        </w:rPr>
        <w:br w:type="column"/>
      </w:r>
      <w:r w:rsidR="00D50726" w:rsidRPr="00C61E14">
        <w:rPr>
          <w:rFonts w:ascii="Arial" w:hAnsi="Arial" w:cs="Arial"/>
          <w:sz w:val="24"/>
          <w:szCs w:val="24"/>
          <w:lang w:val="es-ES_tradnl"/>
        </w:rPr>
        <w:t>Adherencia:</w:t>
      </w:r>
      <w:r w:rsidR="00D50726" w:rsidRPr="00C61E14">
        <w:rPr>
          <w:rFonts w:ascii="Arial" w:hAnsi="Arial" w:cs="Arial"/>
          <w:sz w:val="24"/>
          <w:szCs w:val="24"/>
          <w:lang w:val="es-ES_tradnl"/>
        </w:rPr>
        <w:tab/>
      </w:r>
    </w:p>
    <w:p w14:paraId="01596F4D" w14:textId="77777777" w:rsidR="00D50726" w:rsidRPr="00C61E14" w:rsidRDefault="00B4423F" w:rsidP="00B4423F">
      <w:pPr>
        <w:pStyle w:val="Prrafodelista"/>
        <w:tabs>
          <w:tab w:val="left" w:pos="284"/>
        </w:tabs>
        <w:spacing w:before="120" w:after="120" w:line="360" w:lineRule="auto"/>
        <w:ind w:left="720"/>
        <w:contextualSpacing/>
        <w:jc w:val="both"/>
        <w:rPr>
          <w:rFonts w:ascii="Arial" w:hAnsi="Arial" w:cs="Arial"/>
          <w:sz w:val="24"/>
          <w:szCs w:val="24"/>
          <w:lang w:val="es-ES_tradnl"/>
        </w:rPr>
      </w:pPr>
      <w:r w:rsidRPr="00C61E14">
        <w:rPr>
          <w:rFonts w:ascii="Arial" w:hAnsi="Arial" w:cs="Arial"/>
          <w:sz w:val="24"/>
          <w:szCs w:val="24"/>
          <w:lang w:val="es-ES_tradnl"/>
        </w:rPr>
        <w:tab/>
      </w:r>
      <w:r w:rsidR="00D50726" w:rsidRPr="00C61E14">
        <w:rPr>
          <w:rFonts w:ascii="Arial" w:hAnsi="Arial" w:cs="Arial"/>
          <w:sz w:val="24"/>
          <w:szCs w:val="24"/>
          <w:lang w:val="es-ES_tradnl"/>
        </w:rPr>
        <w:t>por corte (máx. 500</w:t>
      </w:r>
      <w:r w:rsidR="00D50726" w:rsidRPr="00C61E14">
        <w:rPr>
          <w:rFonts w:ascii="Arial" w:hAnsi="Arial" w:cs="Arial"/>
          <w:sz w:val="24"/>
          <w:szCs w:val="24"/>
          <w:lang w:val="es-ES_tradnl"/>
        </w:rPr>
        <w:sym w:font="Symbol" w:char="F06D"/>
      </w:r>
      <w:r w:rsidR="00157701" w:rsidRPr="00C61E14">
        <w:rPr>
          <w:rFonts w:ascii="Arial" w:hAnsi="Arial" w:cs="Arial"/>
          <w:sz w:val="24"/>
          <w:szCs w:val="24"/>
          <w:lang w:val="es-ES_tradnl"/>
        </w:rPr>
        <w:t>):</w:t>
      </w:r>
      <w:r w:rsidR="00D50726" w:rsidRPr="00C61E14">
        <w:rPr>
          <w:rFonts w:ascii="Arial" w:hAnsi="Arial" w:cs="Arial"/>
          <w:sz w:val="24"/>
          <w:szCs w:val="24"/>
          <w:lang w:val="es-ES_tradnl"/>
        </w:rPr>
        <w:tab/>
      </w:r>
      <w:r w:rsidR="00D50726" w:rsidRPr="00C61E14">
        <w:rPr>
          <w:rFonts w:ascii="Arial" w:hAnsi="Arial" w:cs="Arial"/>
          <w:sz w:val="24"/>
          <w:szCs w:val="24"/>
          <w:lang w:val="es-ES_tradnl"/>
        </w:rPr>
        <w:tab/>
        <w:t>ISO-2409, DIN53151</w:t>
      </w:r>
    </w:p>
    <w:p w14:paraId="5F0F8E6C" w14:textId="77777777" w:rsidR="00D50726" w:rsidRPr="00C61E14" w:rsidRDefault="00B4423F" w:rsidP="00B4423F">
      <w:pPr>
        <w:pStyle w:val="Prrafodelista"/>
        <w:tabs>
          <w:tab w:val="left" w:pos="284"/>
        </w:tabs>
        <w:spacing w:before="120" w:after="120" w:line="360" w:lineRule="auto"/>
        <w:ind w:left="720"/>
        <w:contextualSpacing/>
        <w:jc w:val="both"/>
        <w:rPr>
          <w:rFonts w:ascii="Arial" w:hAnsi="Arial" w:cs="Arial"/>
          <w:sz w:val="24"/>
          <w:szCs w:val="24"/>
          <w:lang w:val="es-ES_tradnl"/>
        </w:rPr>
      </w:pPr>
      <w:r w:rsidRPr="00C61E14">
        <w:rPr>
          <w:rFonts w:ascii="Arial" w:hAnsi="Arial" w:cs="Arial"/>
          <w:sz w:val="24"/>
          <w:szCs w:val="24"/>
          <w:lang w:val="es-ES_tradnl"/>
        </w:rPr>
        <w:tab/>
      </w:r>
      <w:r w:rsidR="00D50726" w:rsidRPr="00C61E14">
        <w:rPr>
          <w:rFonts w:ascii="Arial" w:hAnsi="Arial" w:cs="Arial"/>
          <w:sz w:val="24"/>
          <w:szCs w:val="24"/>
          <w:lang w:val="es-ES_tradnl"/>
        </w:rPr>
        <w:t xml:space="preserve">por </w:t>
      </w:r>
      <w:r w:rsidR="00157701" w:rsidRPr="00C61E14">
        <w:rPr>
          <w:rFonts w:ascii="Arial" w:hAnsi="Arial" w:cs="Arial"/>
          <w:sz w:val="24"/>
          <w:szCs w:val="24"/>
          <w:lang w:val="es-ES_tradnl"/>
        </w:rPr>
        <w:t>tracción:</w:t>
      </w:r>
      <w:r w:rsidR="00D50726" w:rsidRPr="00C61E14">
        <w:rPr>
          <w:rFonts w:ascii="Arial" w:hAnsi="Arial" w:cs="Arial"/>
          <w:sz w:val="24"/>
          <w:szCs w:val="24"/>
          <w:lang w:val="es-ES_tradnl"/>
        </w:rPr>
        <w:tab/>
      </w:r>
      <w:r w:rsidR="00D50726" w:rsidRPr="00C61E14">
        <w:rPr>
          <w:rFonts w:ascii="Arial" w:hAnsi="Arial" w:cs="Arial"/>
          <w:sz w:val="24"/>
          <w:szCs w:val="24"/>
          <w:lang w:val="es-ES_tradnl"/>
        </w:rPr>
        <w:tab/>
      </w:r>
      <w:r w:rsidR="00D50726" w:rsidRPr="00C61E14">
        <w:rPr>
          <w:rFonts w:ascii="Arial" w:hAnsi="Arial" w:cs="Arial"/>
          <w:sz w:val="24"/>
          <w:szCs w:val="24"/>
          <w:lang w:val="es-ES_tradnl"/>
        </w:rPr>
        <w:tab/>
      </w:r>
      <w:r w:rsidR="00D50726" w:rsidRPr="00C61E14">
        <w:rPr>
          <w:rFonts w:ascii="Arial" w:hAnsi="Arial" w:cs="Arial"/>
          <w:sz w:val="24"/>
          <w:szCs w:val="24"/>
          <w:lang w:val="es-ES_tradnl"/>
        </w:rPr>
        <w:tab/>
        <w:t>ISO- 4628.3, DIN 53451</w:t>
      </w:r>
    </w:p>
    <w:p w14:paraId="72D7C0F0" w14:textId="77777777" w:rsidR="00D50726" w:rsidRPr="00C61E14" w:rsidRDefault="00D50726" w:rsidP="00221E1A">
      <w:pPr>
        <w:pStyle w:val="Prrafodelista"/>
        <w:numPr>
          <w:ilvl w:val="0"/>
          <w:numId w:val="180"/>
        </w:numPr>
        <w:tabs>
          <w:tab w:val="left" w:pos="284"/>
        </w:tabs>
        <w:spacing w:before="120" w:after="120" w:line="360" w:lineRule="auto"/>
        <w:contextualSpacing/>
        <w:jc w:val="both"/>
        <w:rPr>
          <w:rFonts w:ascii="Arial" w:hAnsi="Arial" w:cs="Arial"/>
          <w:sz w:val="24"/>
          <w:szCs w:val="24"/>
          <w:lang w:val="es-ES_tradnl"/>
        </w:rPr>
      </w:pPr>
      <w:r w:rsidRPr="00C61E14">
        <w:rPr>
          <w:rFonts w:ascii="Arial" w:hAnsi="Arial" w:cs="Arial"/>
          <w:sz w:val="24"/>
          <w:szCs w:val="24"/>
          <w:lang w:val="es-ES_tradnl"/>
        </w:rPr>
        <w:t>Corrosión por superficies pintadas:</w:t>
      </w:r>
      <w:r w:rsidRPr="00C61E14">
        <w:rPr>
          <w:rFonts w:ascii="Arial" w:hAnsi="Arial" w:cs="Arial"/>
          <w:sz w:val="24"/>
          <w:szCs w:val="24"/>
          <w:lang w:val="es-ES_tradnl"/>
        </w:rPr>
        <w:tab/>
        <w:t>SIS-185111</w:t>
      </w:r>
    </w:p>
    <w:p w14:paraId="5A11BE95" w14:textId="77777777" w:rsidR="00D50726" w:rsidRPr="00C61E14" w:rsidRDefault="00B4423F" w:rsidP="00B4423F">
      <w:pPr>
        <w:pStyle w:val="Prrafodelista"/>
        <w:tabs>
          <w:tab w:val="left" w:pos="284"/>
        </w:tabs>
        <w:spacing w:before="120" w:after="120" w:line="360" w:lineRule="auto"/>
        <w:ind w:left="720"/>
        <w:contextualSpacing/>
        <w:jc w:val="both"/>
        <w:rPr>
          <w:rFonts w:ascii="Arial" w:hAnsi="Arial" w:cs="Arial"/>
          <w:sz w:val="24"/>
          <w:szCs w:val="24"/>
          <w:lang w:val="es-ES_tradnl"/>
        </w:rPr>
      </w:pPr>
      <w:r w:rsidRPr="00C61E14">
        <w:rPr>
          <w:rFonts w:ascii="Arial" w:hAnsi="Arial" w:cs="Arial"/>
          <w:sz w:val="24"/>
          <w:szCs w:val="24"/>
          <w:lang w:val="es-ES_tradnl"/>
        </w:rPr>
        <w:tab/>
      </w:r>
      <w:r w:rsidRPr="00C61E14">
        <w:rPr>
          <w:rFonts w:ascii="Arial" w:hAnsi="Arial" w:cs="Arial"/>
          <w:sz w:val="24"/>
          <w:szCs w:val="24"/>
          <w:lang w:val="es-ES_tradnl"/>
        </w:rPr>
        <w:tab/>
      </w:r>
      <w:r w:rsidR="00D50726" w:rsidRPr="00C61E14">
        <w:rPr>
          <w:rFonts w:ascii="Arial" w:hAnsi="Arial" w:cs="Arial"/>
          <w:sz w:val="24"/>
          <w:szCs w:val="24"/>
          <w:lang w:val="es-ES_tradnl"/>
        </w:rPr>
        <w:tab/>
      </w:r>
      <w:r w:rsidR="00D50726" w:rsidRPr="00C61E14">
        <w:rPr>
          <w:rFonts w:ascii="Arial" w:hAnsi="Arial" w:cs="Arial"/>
          <w:sz w:val="24"/>
          <w:szCs w:val="24"/>
          <w:lang w:val="es-ES_tradnl"/>
        </w:rPr>
        <w:tab/>
      </w:r>
      <w:r w:rsidR="00D50726" w:rsidRPr="00C61E14">
        <w:rPr>
          <w:rFonts w:ascii="Arial" w:hAnsi="Arial" w:cs="Arial"/>
          <w:sz w:val="24"/>
          <w:szCs w:val="24"/>
          <w:lang w:val="es-ES_tradnl"/>
        </w:rPr>
        <w:tab/>
      </w:r>
      <w:r w:rsidR="00D50726" w:rsidRPr="00C61E14">
        <w:rPr>
          <w:rFonts w:ascii="Arial" w:hAnsi="Arial" w:cs="Arial"/>
          <w:sz w:val="24"/>
          <w:szCs w:val="24"/>
          <w:lang w:val="es-ES_tradnl"/>
        </w:rPr>
        <w:tab/>
        <w:t>ISO-4628.3</w:t>
      </w:r>
    </w:p>
    <w:p w14:paraId="75C93CA8" w14:textId="77777777" w:rsidR="00D50726" w:rsidRPr="00C61E14" w:rsidRDefault="00D50726" w:rsidP="00B4423F">
      <w:pPr>
        <w:spacing w:before="120" w:after="120" w:line="360" w:lineRule="auto"/>
        <w:jc w:val="both"/>
        <w:rPr>
          <w:rFonts w:ascii="Arial" w:hAnsi="Arial" w:cs="Arial"/>
          <w:i/>
          <w:u w:val="single"/>
        </w:rPr>
      </w:pPr>
      <w:r w:rsidRPr="00C61E14">
        <w:rPr>
          <w:rFonts w:ascii="Arial" w:hAnsi="Arial" w:cs="Arial"/>
          <w:i/>
          <w:u w:val="single"/>
        </w:rPr>
        <w:t>Materiales</w:t>
      </w:r>
    </w:p>
    <w:p w14:paraId="4428F3C4" w14:textId="77777777" w:rsidR="00E91CA0" w:rsidRPr="00C61E14" w:rsidRDefault="00E91CA0" w:rsidP="00E91CA0">
      <w:pPr>
        <w:spacing w:before="120" w:after="120" w:line="360" w:lineRule="auto"/>
        <w:jc w:val="both"/>
        <w:rPr>
          <w:rFonts w:ascii="Arial" w:hAnsi="Arial" w:cs="Arial"/>
          <w:i/>
          <w:u w:val="single"/>
        </w:rPr>
      </w:pPr>
      <w:r w:rsidRPr="00C61E14">
        <w:rPr>
          <w:rFonts w:ascii="Arial" w:hAnsi="Arial" w:cs="Arial"/>
          <w:i/>
          <w:u w:val="single"/>
        </w:rPr>
        <w:t xml:space="preserve">Pintura de cinc epoxi </w:t>
      </w:r>
    </w:p>
    <w:p w14:paraId="721C6E0E" w14:textId="77777777" w:rsidR="00E91CA0" w:rsidRPr="00C61E14" w:rsidRDefault="00E91CA0" w:rsidP="00E91CA0">
      <w:pPr>
        <w:spacing w:before="120" w:after="120" w:line="360" w:lineRule="auto"/>
        <w:jc w:val="both"/>
        <w:rPr>
          <w:rFonts w:ascii="Arial" w:hAnsi="Arial" w:cs="Arial"/>
        </w:rPr>
      </w:pPr>
      <w:r w:rsidRPr="00C61E14">
        <w:rPr>
          <w:rFonts w:ascii="Arial" w:hAnsi="Arial" w:cs="Arial"/>
        </w:rPr>
        <w:t>Como pintura de cinc epoxi para las imprimaciones se utilizará pintura de cinc epoxi rica en cinc (&gt;80% cinc metálico activado) de dos componentes curada con poliamida. Cualquier otra pintura deberá ser justificada convenientemente por el Contratista y aceptada por la Dirección de Obra, garantizando las mismas propiedades de protección contra la corrosión que la que se menciona en este Artículo y la compatibilidad con los materiales de las capas del resto del sistema de pintado.</w:t>
      </w:r>
    </w:p>
    <w:p w14:paraId="47B716B5" w14:textId="77777777" w:rsidR="00E91CA0" w:rsidRPr="00C61E14" w:rsidRDefault="00E91CA0" w:rsidP="00E91CA0">
      <w:pPr>
        <w:spacing w:before="120" w:after="120" w:line="360" w:lineRule="auto"/>
        <w:jc w:val="both"/>
        <w:rPr>
          <w:rFonts w:ascii="Arial" w:hAnsi="Arial" w:cs="Arial"/>
        </w:rPr>
      </w:pPr>
      <w:r w:rsidRPr="00C61E14">
        <w:rPr>
          <w:rFonts w:ascii="Arial" w:hAnsi="Arial" w:cs="Arial"/>
        </w:rPr>
        <w:t>Esta pintura de cinc epoxi se caracterizará por su rápido secado y curado, permitiendo una rápida aplicación del recubrimiento. Su contenido en sólidos será de aproximadamente el 50% en volumen.</w:t>
      </w:r>
    </w:p>
    <w:p w14:paraId="55EEEEE6" w14:textId="77777777" w:rsidR="00E91CA0" w:rsidRPr="00C61E14" w:rsidRDefault="00E91CA0" w:rsidP="00E91CA0">
      <w:pPr>
        <w:spacing w:before="120" w:after="120" w:line="360" w:lineRule="auto"/>
        <w:jc w:val="both"/>
        <w:rPr>
          <w:rFonts w:ascii="Arial" w:hAnsi="Arial" w:cs="Arial"/>
        </w:rPr>
      </w:pPr>
      <w:r w:rsidRPr="00C61E14">
        <w:rPr>
          <w:rFonts w:ascii="Arial" w:hAnsi="Arial" w:cs="Arial"/>
        </w:rPr>
        <w:t xml:space="preserve">El espesor de película seca será de </w:t>
      </w:r>
      <w:r w:rsidR="00993453" w:rsidRPr="00C61E14">
        <w:rPr>
          <w:rFonts w:ascii="Arial" w:hAnsi="Arial" w:cs="Arial"/>
        </w:rPr>
        <w:t>50-60</w:t>
      </w:r>
      <w:r w:rsidRPr="00C61E14">
        <w:rPr>
          <w:rFonts w:ascii="Arial" w:hAnsi="Arial" w:cs="Arial"/>
        </w:rPr>
        <w:t xml:space="preserve"> </w:t>
      </w:r>
      <w:proofErr w:type="gramStart"/>
      <w:r w:rsidRPr="00C61E14">
        <w:rPr>
          <w:rFonts w:ascii="Arial" w:hAnsi="Arial" w:cs="Arial"/>
        </w:rPr>
        <w:t>micras</w:t>
      </w:r>
      <w:proofErr w:type="gramEnd"/>
      <w:r w:rsidRPr="00C61E14">
        <w:rPr>
          <w:rFonts w:ascii="Arial" w:hAnsi="Arial" w:cs="Arial"/>
        </w:rPr>
        <w:t xml:space="preserve"> en cualquier caso, salvo que la Dirección de Obra, a la vista del grado de rugosidad de la superficie obtenido tras el chorreado o limpieza, considere otro espesor más conveniente.</w:t>
      </w:r>
    </w:p>
    <w:p w14:paraId="4A4FE2E4" w14:textId="77777777" w:rsidR="00E91CA0" w:rsidRPr="00C61E14" w:rsidRDefault="00E91CA0" w:rsidP="00E91CA0">
      <w:pPr>
        <w:spacing w:before="120" w:after="120" w:line="360" w:lineRule="auto"/>
        <w:jc w:val="both"/>
        <w:rPr>
          <w:rFonts w:ascii="Arial" w:hAnsi="Arial" w:cs="Arial"/>
        </w:rPr>
      </w:pPr>
      <w:r w:rsidRPr="00C61E14">
        <w:rPr>
          <w:rFonts w:ascii="Arial" w:hAnsi="Arial" w:cs="Arial"/>
        </w:rPr>
        <w:t>Las características más relevantes serán, salvo que el fabricante y el contratista justifiquen debidamente otra pintura y la Dirección de Obra así la acepte:</w:t>
      </w:r>
    </w:p>
    <w:p w14:paraId="75C02FE6" w14:textId="77777777" w:rsidR="00E91CA0" w:rsidRPr="00C61E14" w:rsidRDefault="00E91CA0"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C61E14">
        <w:rPr>
          <w:rFonts w:ascii="Arial" w:hAnsi="Arial" w:cs="Arial"/>
          <w:sz w:val="24"/>
          <w:szCs w:val="24"/>
          <w:lang w:val="es-ES_tradnl"/>
        </w:rPr>
        <w:t>Densidad a 20ºC (aproximadamente):</w:t>
      </w: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t>2,2 g/cm</w:t>
      </w:r>
      <w:r w:rsidRPr="00241CBC">
        <w:rPr>
          <w:rFonts w:ascii="Arial" w:hAnsi="Arial" w:cs="Arial"/>
          <w:sz w:val="24"/>
          <w:szCs w:val="24"/>
          <w:vertAlign w:val="superscript"/>
          <w:lang w:val="es-ES_tradnl"/>
        </w:rPr>
        <w:t>3</w:t>
      </w:r>
    </w:p>
    <w:p w14:paraId="68FA7A0C" w14:textId="77777777" w:rsidR="00E91CA0" w:rsidRPr="00C61E14" w:rsidRDefault="00E91CA0"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C61E14">
        <w:rPr>
          <w:rFonts w:ascii="Arial" w:hAnsi="Arial" w:cs="Arial"/>
          <w:sz w:val="24"/>
          <w:szCs w:val="24"/>
          <w:lang w:val="es-ES_tradnl"/>
        </w:rPr>
        <w:t>Contenido de sólidos a 20º C:</w:t>
      </w: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t>50% del volumen</w:t>
      </w:r>
    </w:p>
    <w:p w14:paraId="6C2902FC" w14:textId="77777777" w:rsidR="00E91CA0" w:rsidRPr="00C61E14" w:rsidRDefault="00E91CA0"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C61E14">
        <w:rPr>
          <w:rFonts w:ascii="Arial" w:hAnsi="Arial" w:cs="Arial"/>
          <w:sz w:val="24"/>
          <w:szCs w:val="24"/>
          <w:lang w:val="es-ES_tradnl"/>
        </w:rPr>
        <w:t>Proporción mezcla en peso resina/endurecedor:</w:t>
      </w:r>
      <w:r w:rsidRPr="00C61E14">
        <w:rPr>
          <w:rFonts w:ascii="Arial" w:hAnsi="Arial" w:cs="Arial"/>
          <w:sz w:val="24"/>
          <w:szCs w:val="24"/>
          <w:lang w:val="es-ES_tradnl"/>
        </w:rPr>
        <w:tab/>
      </w:r>
      <w:r w:rsidRPr="00C61E14">
        <w:rPr>
          <w:rFonts w:ascii="Arial" w:hAnsi="Arial" w:cs="Arial"/>
          <w:sz w:val="24"/>
          <w:szCs w:val="24"/>
          <w:lang w:val="es-ES_tradnl"/>
        </w:rPr>
        <w:tab/>
      </w:r>
      <w:proofErr w:type="gramStart"/>
      <w:r w:rsidRPr="00C61E14">
        <w:rPr>
          <w:rFonts w:ascii="Arial" w:hAnsi="Arial" w:cs="Arial"/>
          <w:sz w:val="24"/>
          <w:szCs w:val="24"/>
          <w:lang w:val="es-ES_tradnl"/>
        </w:rPr>
        <w:t>75 :</w:t>
      </w:r>
      <w:proofErr w:type="gramEnd"/>
      <w:r w:rsidRPr="00C61E14">
        <w:rPr>
          <w:rFonts w:ascii="Arial" w:hAnsi="Arial" w:cs="Arial"/>
          <w:sz w:val="24"/>
          <w:szCs w:val="24"/>
          <w:lang w:val="es-ES_tradnl"/>
        </w:rPr>
        <w:t xml:space="preserve"> 25</w:t>
      </w:r>
    </w:p>
    <w:p w14:paraId="7C647B93" w14:textId="77777777" w:rsidR="00E91CA0" w:rsidRPr="00C61E14" w:rsidRDefault="00E91CA0"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C61E14">
        <w:rPr>
          <w:rFonts w:ascii="Arial" w:hAnsi="Arial" w:cs="Arial"/>
          <w:sz w:val="24"/>
          <w:szCs w:val="24"/>
          <w:lang w:val="es-ES_tradnl"/>
        </w:rPr>
        <w:t>Se palpa seca a los 15 minutos (a 20ºC)</w:t>
      </w:r>
    </w:p>
    <w:p w14:paraId="35E5A453" w14:textId="77777777" w:rsidR="00E91CA0" w:rsidRPr="00C61E14" w:rsidRDefault="00E91CA0"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C61E14">
        <w:rPr>
          <w:rFonts w:ascii="Arial" w:hAnsi="Arial" w:cs="Arial"/>
          <w:sz w:val="24"/>
          <w:szCs w:val="24"/>
          <w:lang w:val="es-ES_tradnl"/>
        </w:rPr>
        <w:t xml:space="preserve">Tiempo de curado completo (a 20º C): </w:t>
      </w: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r>
      <w:r w:rsidRPr="00C61E14">
        <w:rPr>
          <w:rFonts w:ascii="Arial" w:hAnsi="Arial" w:cs="Arial"/>
          <w:sz w:val="24"/>
          <w:szCs w:val="24"/>
          <w:lang w:val="es-ES_tradnl"/>
        </w:rPr>
        <w:tab/>
        <w:t>7 días</w:t>
      </w:r>
    </w:p>
    <w:p w14:paraId="45DDC99C" w14:textId="77777777" w:rsidR="00E91CA0" w:rsidRPr="00C61E14" w:rsidRDefault="00E91CA0"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C61E14">
        <w:rPr>
          <w:rFonts w:ascii="Arial" w:hAnsi="Arial" w:cs="Arial"/>
          <w:sz w:val="24"/>
          <w:szCs w:val="24"/>
          <w:lang w:val="es-ES_tradnl"/>
        </w:rPr>
        <w:t>Tiempo de utilización con viscosidad adecuada a 20ºC:</w:t>
      </w:r>
      <w:r w:rsidRPr="00C61E14">
        <w:rPr>
          <w:rFonts w:ascii="Arial" w:hAnsi="Arial" w:cs="Arial"/>
          <w:sz w:val="24"/>
          <w:szCs w:val="24"/>
          <w:lang w:val="es-ES_tradnl"/>
        </w:rPr>
        <w:tab/>
        <w:t xml:space="preserve"> 48 horas</w:t>
      </w:r>
    </w:p>
    <w:p w14:paraId="688C4E1F" w14:textId="77777777" w:rsidR="00CF7652" w:rsidRDefault="00CF7652" w:rsidP="00B4423F">
      <w:pPr>
        <w:spacing w:before="120" w:after="120" w:line="360" w:lineRule="auto"/>
        <w:jc w:val="both"/>
        <w:rPr>
          <w:rFonts w:ascii="Arial" w:hAnsi="Arial" w:cs="Arial"/>
          <w:i/>
          <w:u w:val="single"/>
        </w:rPr>
      </w:pPr>
    </w:p>
    <w:p w14:paraId="699DDD0A" w14:textId="77777777" w:rsidR="00D50726" w:rsidRPr="00B4423F" w:rsidRDefault="00D50726" w:rsidP="00B4423F">
      <w:pPr>
        <w:spacing w:before="120" w:after="120" w:line="360" w:lineRule="auto"/>
        <w:jc w:val="both"/>
        <w:rPr>
          <w:rFonts w:ascii="Arial" w:hAnsi="Arial" w:cs="Arial"/>
          <w:i/>
          <w:u w:val="single"/>
        </w:rPr>
      </w:pPr>
      <w:r w:rsidRPr="00B4423F">
        <w:rPr>
          <w:rFonts w:ascii="Arial" w:hAnsi="Arial" w:cs="Arial"/>
          <w:i/>
          <w:u w:val="single"/>
        </w:rPr>
        <w:lastRenderedPageBreak/>
        <w:t>Pintura de epoxi aluminio laminar</w:t>
      </w:r>
    </w:p>
    <w:p w14:paraId="6835CA68"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La pintura de epoxi aluminio laminar de dos</w:t>
      </w:r>
      <w:r>
        <w:rPr>
          <w:rFonts w:ascii="Arial" w:hAnsi="Arial" w:cs="Arial"/>
        </w:rPr>
        <w:t xml:space="preserve"> componentes curada con poliamid</w:t>
      </w:r>
      <w:r w:rsidRPr="00FC7A5B">
        <w:rPr>
          <w:rFonts w:ascii="Arial" w:hAnsi="Arial" w:cs="Arial"/>
        </w:rPr>
        <w:t xml:space="preserve">a, utilizada con espesor de película seca en función del elemento a recubrir, de </w:t>
      </w:r>
      <w:r w:rsidR="00993453">
        <w:rPr>
          <w:rFonts w:ascii="Arial" w:hAnsi="Arial" w:cs="Arial"/>
        </w:rPr>
        <w:t>120-140 micras</w:t>
      </w:r>
      <w:r w:rsidRPr="00FC7A5B">
        <w:rPr>
          <w:rFonts w:ascii="Arial" w:hAnsi="Arial" w:cs="Arial"/>
        </w:rPr>
        <w:t>, debe tener las siguientes características:</w:t>
      </w:r>
    </w:p>
    <w:p w14:paraId="72A2E8B2"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Densidad a 20ºC:</w:t>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t>1,3 g/cm</w:t>
      </w:r>
      <w:r w:rsidRPr="00241CBC">
        <w:rPr>
          <w:rFonts w:ascii="Arial" w:hAnsi="Arial" w:cs="Arial"/>
          <w:sz w:val="24"/>
          <w:szCs w:val="24"/>
          <w:vertAlign w:val="superscript"/>
          <w:lang w:val="es-ES_tradnl"/>
        </w:rPr>
        <w:t>3</w:t>
      </w:r>
    </w:p>
    <w:p w14:paraId="6EC5EA99"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Contenido de sólidos a 20º C:</w:t>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t xml:space="preserve"> </w:t>
      </w:r>
      <w:r w:rsidRPr="00857242">
        <w:rPr>
          <w:rFonts w:ascii="Arial" w:hAnsi="Arial" w:cs="Arial"/>
          <w:sz w:val="24"/>
          <w:szCs w:val="24"/>
          <w:lang w:val="es-ES_tradnl"/>
        </w:rPr>
        <w:tab/>
        <w:t>90% del volumen</w:t>
      </w:r>
    </w:p>
    <w:p w14:paraId="39C5EC30"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 xml:space="preserve">Proporción mezcla en peso resina/endurecedor: </w:t>
      </w:r>
      <w:r w:rsidRPr="00857242">
        <w:rPr>
          <w:rFonts w:ascii="Arial" w:hAnsi="Arial" w:cs="Arial"/>
          <w:sz w:val="24"/>
          <w:szCs w:val="24"/>
          <w:lang w:val="es-ES_tradnl"/>
        </w:rPr>
        <w:tab/>
        <w:t>77,</w:t>
      </w:r>
      <w:proofErr w:type="gramStart"/>
      <w:r w:rsidRPr="00857242">
        <w:rPr>
          <w:rFonts w:ascii="Arial" w:hAnsi="Arial" w:cs="Arial"/>
          <w:sz w:val="24"/>
          <w:szCs w:val="24"/>
          <w:lang w:val="es-ES_tradnl"/>
        </w:rPr>
        <w:t>5 :</w:t>
      </w:r>
      <w:proofErr w:type="gramEnd"/>
      <w:r w:rsidRPr="00857242">
        <w:rPr>
          <w:rFonts w:ascii="Arial" w:hAnsi="Arial" w:cs="Arial"/>
          <w:sz w:val="24"/>
          <w:szCs w:val="24"/>
          <w:lang w:val="es-ES_tradnl"/>
        </w:rPr>
        <w:t xml:space="preserve"> 22,5</w:t>
      </w:r>
    </w:p>
    <w:p w14:paraId="7902C9F9"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Tolera bajos grados de preparación del acero</w:t>
      </w:r>
    </w:p>
    <w:p w14:paraId="7B0B3BCE"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Buen repintado con pintura epoxi o de poliuretano</w:t>
      </w:r>
    </w:p>
    <w:p w14:paraId="790252D5"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Buena resistencia a la abrasión</w:t>
      </w:r>
    </w:p>
    <w:p w14:paraId="69309F1A"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Resistencia a productos químicos</w:t>
      </w:r>
    </w:p>
    <w:p w14:paraId="09548DAD"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Se palpa seca a las 4 horas (a 20ºC)</w:t>
      </w:r>
    </w:p>
    <w:p w14:paraId="0BCBE88A"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 xml:space="preserve">Tiempo de curado (a 20º C): </w:t>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t>5 días</w:t>
      </w:r>
    </w:p>
    <w:p w14:paraId="28A49C93"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Tiempo de utilización con viscosidad adecuada a 20ºC: 3 horas</w:t>
      </w:r>
    </w:p>
    <w:p w14:paraId="4E176DD9" w14:textId="77777777" w:rsidR="00D50726" w:rsidRPr="00B4423F" w:rsidRDefault="00D50726" w:rsidP="00D50726">
      <w:pPr>
        <w:spacing w:before="120" w:after="120" w:line="360" w:lineRule="auto"/>
        <w:jc w:val="both"/>
        <w:rPr>
          <w:rFonts w:ascii="Arial" w:hAnsi="Arial" w:cs="Arial"/>
          <w:i/>
          <w:u w:val="single"/>
        </w:rPr>
      </w:pPr>
      <w:r w:rsidRPr="00B4423F">
        <w:rPr>
          <w:rFonts w:ascii="Arial" w:hAnsi="Arial" w:cs="Arial"/>
          <w:i/>
          <w:u w:val="single"/>
        </w:rPr>
        <w:t xml:space="preserve">Pintura de poliuretano alifático </w:t>
      </w:r>
      <w:proofErr w:type="spellStart"/>
      <w:r w:rsidRPr="00B4423F">
        <w:rPr>
          <w:rFonts w:ascii="Arial" w:hAnsi="Arial" w:cs="Arial"/>
          <w:i/>
          <w:u w:val="single"/>
        </w:rPr>
        <w:t>bicomponente</w:t>
      </w:r>
      <w:proofErr w:type="spellEnd"/>
    </w:p>
    <w:p w14:paraId="73DDEB61"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La pintura de poliuretano alifático de dos componentes, </w:t>
      </w:r>
      <w:proofErr w:type="gramStart"/>
      <w:r w:rsidRPr="00FC7A5B">
        <w:rPr>
          <w:rFonts w:ascii="Arial" w:hAnsi="Arial" w:cs="Arial"/>
        </w:rPr>
        <w:t>utilizada  con</w:t>
      </w:r>
      <w:proofErr w:type="gramEnd"/>
      <w:r w:rsidRPr="00FC7A5B">
        <w:rPr>
          <w:rFonts w:ascii="Arial" w:hAnsi="Arial" w:cs="Arial"/>
        </w:rPr>
        <w:t xml:space="preserve"> espesor de película seca de </w:t>
      </w:r>
      <w:r w:rsidR="00993453">
        <w:rPr>
          <w:rFonts w:ascii="Arial" w:hAnsi="Arial" w:cs="Arial"/>
        </w:rPr>
        <w:t>50-60</w:t>
      </w:r>
      <w:r w:rsidRPr="00FC7A5B">
        <w:rPr>
          <w:rFonts w:ascii="Arial" w:hAnsi="Arial" w:cs="Arial"/>
        </w:rPr>
        <w:t xml:space="preserve"> micras como capa de acabado en elementos exteriores vistos debe tener las siguientes características:</w:t>
      </w:r>
    </w:p>
    <w:p w14:paraId="239BE85E"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Densidad a 20ºC:</w:t>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r>
      <w:r w:rsidR="00857242">
        <w:rPr>
          <w:rFonts w:ascii="Arial" w:hAnsi="Arial" w:cs="Arial"/>
          <w:sz w:val="24"/>
          <w:szCs w:val="24"/>
          <w:lang w:val="es-ES_tradnl"/>
        </w:rPr>
        <w:tab/>
      </w:r>
      <w:r w:rsidRPr="00857242">
        <w:rPr>
          <w:rFonts w:ascii="Arial" w:hAnsi="Arial" w:cs="Arial"/>
          <w:sz w:val="24"/>
          <w:szCs w:val="24"/>
          <w:lang w:val="es-ES_tradnl"/>
        </w:rPr>
        <w:t>1,2-1,4 g/cm</w:t>
      </w:r>
      <w:r w:rsidRPr="00241CBC">
        <w:rPr>
          <w:rFonts w:ascii="Arial" w:hAnsi="Arial" w:cs="Arial"/>
          <w:sz w:val="24"/>
          <w:szCs w:val="24"/>
          <w:vertAlign w:val="superscript"/>
          <w:lang w:val="es-ES_tradnl"/>
        </w:rPr>
        <w:t>3</w:t>
      </w:r>
    </w:p>
    <w:p w14:paraId="2F2E2901"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Contenido de sólidos a 20º C:</w:t>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r>
      <w:r w:rsidR="00857242">
        <w:rPr>
          <w:rFonts w:ascii="Arial" w:hAnsi="Arial" w:cs="Arial"/>
          <w:sz w:val="24"/>
          <w:szCs w:val="24"/>
          <w:lang w:val="es-ES_tradnl"/>
        </w:rPr>
        <w:tab/>
      </w:r>
      <w:r w:rsidRPr="00857242">
        <w:rPr>
          <w:rFonts w:ascii="Arial" w:hAnsi="Arial" w:cs="Arial"/>
          <w:sz w:val="24"/>
          <w:szCs w:val="24"/>
          <w:lang w:val="es-ES_tradnl"/>
        </w:rPr>
        <w:t>55-70% del volumen</w:t>
      </w:r>
    </w:p>
    <w:p w14:paraId="18E7D073"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Proporción mezcla en peso resina/endurecedor:</w:t>
      </w:r>
      <w:r w:rsidRPr="00857242">
        <w:rPr>
          <w:rFonts w:ascii="Arial" w:hAnsi="Arial" w:cs="Arial"/>
          <w:sz w:val="24"/>
          <w:szCs w:val="24"/>
          <w:lang w:val="es-ES_tradnl"/>
        </w:rPr>
        <w:tab/>
      </w:r>
      <w:proofErr w:type="gramStart"/>
      <w:r w:rsidRPr="00857242">
        <w:rPr>
          <w:rFonts w:ascii="Arial" w:hAnsi="Arial" w:cs="Arial"/>
          <w:sz w:val="24"/>
          <w:szCs w:val="24"/>
          <w:lang w:val="es-ES_tradnl"/>
        </w:rPr>
        <w:t>80 :</w:t>
      </w:r>
      <w:proofErr w:type="gramEnd"/>
      <w:r w:rsidRPr="00857242">
        <w:rPr>
          <w:rFonts w:ascii="Arial" w:hAnsi="Arial" w:cs="Arial"/>
          <w:sz w:val="24"/>
          <w:szCs w:val="24"/>
          <w:lang w:val="es-ES_tradnl"/>
        </w:rPr>
        <w:t xml:space="preserve"> 20</w:t>
      </w:r>
    </w:p>
    <w:p w14:paraId="10349164"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Tolera bajos grados de preparación del acero</w:t>
      </w:r>
    </w:p>
    <w:p w14:paraId="4BBA52FD"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Buen repintado con pintura epoxi o de poliuretano</w:t>
      </w:r>
    </w:p>
    <w:p w14:paraId="460E8D73"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Buena resistencia a la abrasión</w:t>
      </w:r>
    </w:p>
    <w:p w14:paraId="375550F1"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Resistencia a productos químicos</w:t>
      </w:r>
    </w:p>
    <w:p w14:paraId="5F0EF10F"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Resistencia a la radiación ultravioleta</w:t>
      </w:r>
    </w:p>
    <w:p w14:paraId="5B42BF8A"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Se palpa seca a las 4 horas (a 20ºC)</w:t>
      </w:r>
    </w:p>
    <w:p w14:paraId="2ABAEAF9"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 xml:space="preserve">Tiempo de curado (a 20º C): </w:t>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t>5 días</w:t>
      </w:r>
    </w:p>
    <w:p w14:paraId="5FD52421" w14:textId="77777777" w:rsidR="00D50726" w:rsidRPr="00FC7A5B" w:rsidRDefault="00D50726" w:rsidP="00221E1A">
      <w:pPr>
        <w:pStyle w:val="Prrafodelista"/>
        <w:numPr>
          <w:ilvl w:val="0"/>
          <w:numId w:val="180"/>
        </w:numPr>
        <w:tabs>
          <w:tab w:val="left" w:pos="284"/>
        </w:tabs>
        <w:spacing w:before="120" w:after="120" w:line="360" w:lineRule="auto"/>
        <w:jc w:val="both"/>
        <w:rPr>
          <w:rFonts w:ascii="Arial" w:hAnsi="Arial" w:cs="Arial"/>
        </w:rPr>
      </w:pPr>
      <w:r w:rsidRPr="00857242">
        <w:rPr>
          <w:rFonts w:ascii="Arial" w:hAnsi="Arial" w:cs="Arial"/>
          <w:sz w:val="24"/>
          <w:szCs w:val="24"/>
          <w:lang w:val="es-ES_tradnl"/>
        </w:rPr>
        <w:t>Tiempo de utilización con viscosidad adecuada a 20ºC: 3-5 horas</w:t>
      </w:r>
    </w:p>
    <w:p w14:paraId="0ED7DF62" w14:textId="77777777" w:rsidR="00D50726" w:rsidRPr="00B4423F" w:rsidRDefault="00D50726" w:rsidP="00B4423F">
      <w:pPr>
        <w:spacing w:before="120" w:after="120" w:line="360" w:lineRule="auto"/>
        <w:jc w:val="both"/>
        <w:rPr>
          <w:rFonts w:ascii="Arial" w:hAnsi="Arial" w:cs="Arial"/>
          <w:i/>
          <w:u w:val="single"/>
        </w:rPr>
      </w:pPr>
      <w:proofErr w:type="spellStart"/>
      <w:r w:rsidRPr="00B4423F">
        <w:rPr>
          <w:rFonts w:ascii="Arial" w:hAnsi="Arial" w:cs="Arial"/>
          <w:i/>
          <w:u w:val="single"/>
        </w:rPr>
        <w:t>ShopPrimer</w:t>
      </w:r>
      <w:proofErr w:type="spellEnd"/>
      <w:r w:rsidRPr="00B4423F">
        <w:rPr>
          <w:rFonts w:ascii="Arial" w:hAnsi="Arial" w:cs="Arial"/>
          <w:i/>
          <w:u w:val="single"/>
        </w:rPr>
        <w:t xml:space="preserve"> de óxido de hierro</w:t>
      </w:r>
    </w:p>
    <w:p w14:paraId="0AA15A78"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Las características más relevantes serán, salvo que el fabricante y el contratista justifiquen debidamente otra pintura y la Dirección </w:t>
      </w:r>
      <w:r w:rsidR="00D50357">
        <w:rPr>
          <w:rFonts w:ascii="Arial" w:hAnsi="Arial" w:cs="Arial"/>
        </w:rPr>
        <w:t>de Obra</w:t>
      </w:r>
      <w:r w:rsidRPr="00FC7A5B">
        <w:rPr>
          <w:rFonts w:ascii="Arial" w:hAnsi="Arial" w:cs="Arial"/>
        </w:rPr>
        <w:t xml:space="preserve"> así la acepte:</w:t>
      </w:r>
    </w:p>
    <w:p w14:paraId="6B1852FB"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 xml:space="preserve">Composición básica:  </w:t>
      </w:r>
      <w:r w:rsidRPr="00857242">
        <w:rPr>
          <w:rFonts w:ascii="Arial" w:hAnsi="Arial" w:cs="Arial"/>
          <w:sz w:val="24"/>
          <w:szCs w:val="24"/>
          <w:lang w:val="es-ES_tradnl"/>
        </w:rPr>
        <w:tab/>
      </w:r>
      <w:r w:rsidR="00857242">
        <w:rPr>
          <w:rFonts w:ascii="Arial" w:hAnsi="Arial" w:cs="Arial"/>
          <w:sz w:val="24"/>
          <w:szCs w:val="24"/>
          <w:lang w:val="es-ES_tradnl"/>
        </w:rPr>
        <w:tab/>
      </w:r>
      <w:r w:rsidR="00857242">
        <w:rPr>
          <w:rFonts w:ascii="Arial" w:hAnsi="Arial" w:cs="Arial"/>
          <w:sz w:val="24"/>
          <w:szCs w:val="24"/>
          <w:lang w:val="es-ES_tradnl"/>
        </w:rPr>
        <w:tab/>
      </w:r>
      <w:r w:rsidR="00857242">
        <w:rPr>
          <w:rFonts w:ascii="Arial" w:hAnsi="Arial" w:cs="Arial"/>
          <w:sz w:val="24"/>
          <w:szCs w:val="24"/>
          <w:lang w:val="es-ES_tradnl"/>
        </w:rPr>
        <w:tab/>
      </w:r>
      <w:r w:rsidRPr="00857242">
        <w:rPr>
          <w:rFonts w:ascii="Arial" w:hAnsi="Arial" w:cs="Arial"/>
          <w:sz w:val="24"/>
          <w:szCs w:val="24"/>
          <w:lang w:val="es-ES_tradnl"/>
        </w:rPr>
        <w:t>Resina epoxi</w:t>
      </w:r>
    </w:p>
    <w:p w14:paraId="1F345987"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 xml:space="preserve">Acabado: </w:t>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r>
      <w:r w:rsidR="00857242">
        <w:rPr>
          <w:rFonts w:ascii="Arial" w:hAnsi="Arial" w:cs="Arial"/>
          <w:sz w:val="24"/>
          <w:szCs w:val="24"/>
          <w:lang w:val="es-ES_tradnl"/>
        </w:rPr>
        <w:tab/>
      </w:r>
      <w:r w:rsidR="00857242">
        <w:rPr>
          <w:rFonts w:ascii="Arial" w:hAnsi="Arial" w:cs="Arial"/>
          <w:sz w:val="24"/>
          <w:szCs w:val="24"/>
          <w:lang w:val="es-ES_tradnl"/>
        </w:rPr>
        <w:tab/>
      </w:r>
      <w:r w:rsidR="00857242">
        <w:rPr>
          <w:rFonts w:ascii="Arial" w:hAnsi="Arial" w:cs="Arial"/>
          <w:sz w:val="24"/>
          <w:szCs w:val="24"/>
          <w:lang w:val="es-ES_tradnl"/>
        </w:rPr>
        <w:tab/>
      </w:r>
      <w:r w:rsidRPr="00857242">
        <w:rPr>
          <w:rFonts w:ascii="Arial" w:hAnsi="Arial" w:cs="Arial"/>
          <w:sz w:val="24"/>
          <w:szCs w:val="24"/>
          <w:lang w:val="es-ES_tradnl"/>
        </w:rPr>
        <w:t>Mate</w:t>
      </w:r>
    </w:p>
    <w:p w14:paraId="365B4AB6"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Inhibidor de corrosión:</w:t>
      </w:r>
      <w:r w:rsidRPr="00857242">
        <w:rPr>
          <w:rFonts w:ascii="Arial" w:hAnsi="Arial" w:cs="Arial"/>
          <w:sz w:val="24"/>
          <w:szCs w:val="24"/>
          <w:lang w:val="es-ES_tradnl"/>
        </w:rPr>
        <w:tab/>
      </w:r>
      <w:r w:rsidR="00857242">
        <w:rPr>
          <w:rFonts w:ascii="Arial" w:hAnsi="Arial" w:cs="Arial"/>
          <w:sz w:val="24"/>
          <w:szCs w:val="24"/>
          <w:lang w:val="es-ES_tradnl"/>
        </w:rPr>
        <w:tab/>
      </w:r>
      <w:r w:rsidR="00857242">
        <w:rPr>
          <w:rFonts w:ascii="Arial" w:hAnsi="Arial" w:cs="Arial"/>
          <w:sz w:val="24"/>
          <w:szCs w:val="24"/>
          <w:lang w:val="es-ES_tradnl"/>
        </w:rPr>
        <w:tab/>
      </w:r>
      <w:r w:rsidR="00857242">
        <w:rPr>
          <w:rFonts w:ascii="Arial" w:hAnsi="Arial" w:cs="Arial"/>
          <w:sz w:val="24"/>
          <w:szCs w:val="24"/>
          <w:lang w:val="es-ES_tradnl"/>
        </w:rPr>
        <w:tab/>
      </w:r>
      <w:r w:rsidRPr="00857242">
        <w:rPr>
          <w:rFonts w:ascii="Arial" w:hAnsi="Arial" w:cs="Arial"/>
          <w:sz w:val="24"/>
          <w:szCs w:val="24"/>
          <w:lang w:val="es-ES_tradnl"/>
        </w:rPr>
        <w:t>Fosfato de cinc</w:t>
      </w:r>
    </w:p>
    <w:p w14:paraId="674E0A92"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Peso específico de la mezcla:</w:t>
      </w:r>
      <w:r w:rsidRPr="00857242">
        <w:rPr>
          <w:rFonts w:ascii="Arial" w:hAnsi="Arial" w:cs="Arial"/>
          <w:sz w:val="24"/>
          <w:szCs w:val="24"/>
          <w:lang w:val="es-ES_tradnl"/>
        </w:rPr>
        <w:tab/>
      </w:r>
      <w:r w:rsidR="00857242">
        <w:rPr>
          <w:rFonts w:ascii="Arial" w:hAnsi="Arial" w:cs="Arial"/>
          <w:sz w:val="24"/>
          <w:szCs w:val="24"/>
          <w:lang w:val="es-ES_tradnl"/>
        </w:rPr>
        <w:tab/>
      </w:r>
      <w:r w:rsidR="00857242">
        <w:rPr>
          <w:rFonts w:ascii="Arial" w:hAnsi="Arial" w:cs="Arial"/>
          <w:sz w:val="24"/>
          <w:szCs w:val="24"/>
          <w:lang w:val="es-ES_tradnl"/>
        </w:rPr>
        <w:tab/>
      </w:r>
      <w:r w:rsidRPr="00857242">
        <w:rPr>
          <w:rFonts w:ascii="Arial" w:hAnsi="Arial" w:cs="Arial"/>
          <w:sz w:val="24"/>
          <w:szCs w:val="24"/>
          <w:lang w:val="es-ES_tradnl"/>
        </w:rPr>
        <w:t>1,35- 1,43</w:t>
      </w:r>
    </w:p>
    <w:p w14:paraId="37F876CE"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Sólidos en volumen:</w:t>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r>
      <w:r w:rsidR="00857242">
        <w:rPr>
          <w:rFonts w:ascii="Arial" w:hAnsi="Arial" w:cs="Arial"/>
          <w:sz w:val="24"/>
          <w:szCs w:val="24"/>
          <w:lang w:val="es-ES_tradnl"/>
        </w:rPr>
        <w:tab/>
      </w:r>
      <w:r w:rsidRPr="00857242">
        <w:rPr>
          <w:rFonts w:ascii="Arial" w:hAnsi="Arial" w:cs="Arial"/>
          <w:sz w:val="24"/>
          <w:szCs w:val="24"/>
          <w:lang w:val="es-ES_tradnl"/>
        </w:rPr>
        <w:t>53%</w:t>
      </w:r>
    </w:p>
    <w:p w14:paraId="51F288AA"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Vida útil de la mezcla (</w:t>
      </w:r>
      <w:proofErr w:type="spellStart"/>
      <w:r w:rsidRPr="00857242">
        <w:rPr>
          <w:rFonts w:ascii="Arial" w:hAnsi="Arial" w:cs="Arial"/>
          <w:sz w:val="24"/>
          <w:szCs w:val="24"/>
          <w:lang w:val="es-ES_tradnl"/>
        </w:rPr>
        <w:t>Pot</w:t>
      </w:r>
      <w:proofErr w:type="spellEnd"/>
      <w:r w:rsidRPr="00857242">
        <w:rPr>
          <w:rFonts w:ascii="Arial" w:hAnsi="Arial" w:cs="Arial"/>
          <w:sz w:val="24"/>
          <w:szCs w:val="24"/>
          <w:lang w:val="es-ES_tradnl"/>
        </w:rPr>
        <w:t xml:space="preserve"> </w:t>
      </w:r>
      <w:proofErr w:type="spellStart"/>
      <w:r w:rsidRPr="00857242">
        <w:rPr>
          <w:rFonts w:ascii="Arial" w:hAnsi="Arial" w:cs="Arial"/>
          <w:sz w:val="24"/>
          <w:szCs w:val="24"/>
          <w:lang w:val="es-ES_tradnl"/>
        </w:rPr>
        <w:t>Life</w:t>
      </w:r>
      <w:proofErr w:type="spellEnd"/>
      <w:r w:rsidRPr="00857242">
        <w:rPr>
          <w:rFonts w:ascii="Arial" w:hAnsi="Arial" w:cs="Arial"/>
          <w:sz w:val="24"/>
          <w:szCs w:val="24"/>
          <w:lang w:val="es-ES_tradnl"/>
        </w:rPr>
        <w:t>) a 20º C:</w:t>
      </w:r>
      <w:r w:rsidRPr="00857242">
        <w:rPr>
          <w:rFonts w:ascii="Arial" w:hAnsi="Arial" w:cs="Arial"/>
          <w:sz w:val="24"/>
          <w:szCs w:val="24"/>
          <w:lang w:val="es-ES_tradnl"/>
        </w:rPr>
        <w:tab/>
      </w:r>
      <w:r w:rsidR="00857242">
        <w:rPr>
          <w:rFonts w:ascii="Arial" w:hAnsi="Arial" w:cs="Arial"/>
          <w:sz w:val="24"/>
          <w:szCs w:val="24"/>
          <w:lang w:val="es-ES_tradnl"/>
        </w:rPr>
        <w:tab/>
      </w:r>
      <w:r w:rsidRPr="00857242">
        <w:rPr>
          <w:rFonts w:ascii="Arial" w:hAnsi="Arial" w:cs="Arial"/>
          <w:sz w:val="24"/>
          <w:szCs w:val="24"/>
          <w:lang w:val="es-ES_tradnl"/>
        </w:rPr>
        <w:t>8 horas</w:t>
      </w:r>
    </w:p>
    <w:p w14:paraId="6071B4B4"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Proporción de la mezcla en peso:</w:t>
      </w:r>
    </w:p>
    <w:p w14:paraId="052E3A28" w14:textId="77777777" w:rsidR="00D50726" w:rsidRPr="00857242"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Componente pigmentado:</w:t>
      </w:r>
      <w:r w:rsidR="00857242">
        <w:rPr>
          <w:rFonts w:ascii="Arial" w:hAnsi="Arial" w:cs="Arial"/>
          <w:sz w:val="24"/>
          <w:szCs w:val="24"/>
          <w:lang w:val="es-ES_tradnl"/>
        </w:rPr>
        <w:tab/>
      </w:r>
      <w:r w:rsidR="00857242">
        <w:rPr>
          <w:rFonts w:ascii="Arial" w:hAnsi="Arial" w:cs="Arial"/>
          <w:sz w:val="24"/>
          <w:szCs w:val="24"/>
          <w:lang w:val="es-ES_tradnl"/>
        </w:rPr>
        <w:tab/>
      </w:r>
      <w:r w:rsidR="00857242">
        <w:rPr>
          <w:rFonts w:ascii="Arial" w:hAnsi="Arial" w:cs="Arial"/>
          <w:sz w:val="24"/>
          <w:szCs w:val="24"/>
          <w:lang w:val="es-ES_tradnl"/>
        </w:rPr>
        <w:tab/>
      </w:r>
      <w:r w:rsidRPr="00857242">
        <w:rPr>
          <w:rFonts w:ascii="Arial" w:hAnsi="Arial" w:cs="Arial"/>
          <w:sz w:val="24"/>
          <w:szCs w:val="24"/>
          <w:lang w:val="es-ES_tradnl"/>
        </w:rPr>
        <w:t xml:space="preserve"> 85 partes</w:t>
      </w:r>
    </w:p>
    <w:p w14:paraId="5979BF0F" w14:textId="77777777" w:rsidR="00D50726" w:rsidRPr="00857242"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Endurecedor: 15 partes</w:t>
      </w:r>
    </w:p>
    <w:p w14:paraId="2EA39AEF"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Secado aplicado con obertura de 60 micras:</w:t>
      </w:r>
    </w:p>
    <w:p w14:paraId="557B9FA9" w14:textId="77777777" w:rsidR="00D50726" w:rsidRPr="00857242"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para repintar: 8 horas</w:t>
      </w:r>
    </w:p>
    <w:p w14:paraId="02A8F243" w14:textId="77777777" w:rsidR="00D50726" w:rsidRPr="00857242"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proofErr w:type="gramStart"/>
      <w:r w:rsidRPr="00857242">
        <w:rPr>
          <w:rFonts w:ascii="Arial" w:hAnsi="Arial" w:cs="Arial"/>
          <w:sz w:val="24"/>
          <w:szCs w:val="24"/>
          <w:lang w:val="es-ES_tradnl"/>
        </w:rPr>
        <w:t>al  tacto</w:t>
      </w:r>
      <w:proofErr w:type="gramEnd"/>
      <w:r w:rsidRPr="00857242">
        <w:rPr>
          <w:rFonts w:ascii="Arial" w:hAnsi="Arial" w:cs="Arial"/>
          <w:sz w:val="24"/>
          <w:szCs w:val="24"/>
          <w:lang w:val="es-ES_tradnl"/>
        </w:rPr>
        <w:t>: 1 hora</w:t>
      </w:r>
    </w:p>
    <w:p w14:paraId="26629BFB" w14:textId="77777777" w:rsidR="00D50726" w:rsidRPr="00B4423F" w:rsidRDefault="00D50726" w:rsidP="00B4423F">
      <w:pPr>
        <w:spacing w:before="120" w:after="120" w:line="360" w:lineRule="auto"/>
        <w:jc w:val="both"/>
        <w:rPr>
          <w:rFonts w:ascii="Arial" w:hAnsi="Arial" w:cs="Arial"/>
          <w:i/>
          <w:u w:val="single"/>
        </w:rPr>
      </w:pPr>
      <w:r w:rsidRPr="00B4423F">
        <w:rPr>
          <w:rFonts w:ascii="Arial" w:hAnsi="Arial" w:cs="Arial"/>
          <w:i/>
          <w:u w:val="single"/>
        </w:rPr>
        <w:t>Utilización</w:t>
      </w:r>
    </w:p>
    <w:p w14:paraId="3006A309" w14:textId="77777777" w:rsidR="00D50726" w:rsidRPr="00B4423F" w:rsidRDefault="00D50726" w:rsidP="005609D6">
      <w:pPr>
        <w:spacing w:before="120" w:after="120" w:line="360" w:lineRule="auto"/>
        <w:jc w:val="both"/>
        <w:rPr>
          <w:rFonts w:ascii="Arial" w:hAnsi="Arial" w:cs="Arial"/>
        </w:rPr>
      </w:pPr>
      <w:r w:rsidRPr="00B4423F">
        <w:rPr>
          <w:rFonts w:ascii="Arial" w:hAnsi="Arial" w:cs="Arial"/>
        </w:rPr>
        <w:t>La pintura de cinc epoxi y Shop Primer se empleará como capa de imprimación en los siguientes elementos:</w:t>
      </w:r>
    </w:p>
    <w:p w14:paraId="09A95941"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Elementos interiores y exteriores de acero al carbono, en taller</w:t>
      </w:r>
    </w:p>
    <w:p w14:paraId="40D1C2F1"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La pintura de epoxi aluminio laminar de dos</w:t>
      </w:r>
      <w:r>
        <w:rPr>
          <w:rFonts w:ascii="Arial" w:hAnsi="Arial" w:cs="Arial"/>
        </w:rPr>
        <w:t xml:space="preserve"> componentes curada con poliamid</w:t>
      </w:r>
      <w:r w:rsidRPr="00FC7A5B">
        <w:rPr>
          <w:rFonts w:ascii="Arial" w:hAnsi="Arial" w:cs="Arial"/>
        </w:rPr>
        <w:t>a se empleará como recubrimiento de los siguientes elementos:</w:t>
      </w:r>
    </w:p>
    <w:p w14:paraId="4A307775"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Elementos interiores y exteriores de acero al carbono, en taller</w:t>
      </w:r>
    </w:p>
    <w:p w14:paraId="4063B086"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lastRenderedPageBreak/>
        <w:t>La pintura de esmalte de poliuretano de acabado se empleará como recubrimiento de los siguientes elementos:</w:t>
      </w:r>
    </w:p>
    <w:p w14:paraId="4B77E988"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Elementos exteriores vistos, platabandas inferiores, y se ejecutará en obra, tras el montaje de la estructura metálica y una vez hormigonada la losa</w:t>
      </w:r>
    </w:p>
    <w:p w14:paraId="5246F2FA" w14:textId="77777777" w:rsidR="00D50726" w:rsidRPr="00B4423F" w:rsidRDefault="00D50726" w:rsidP="00B4423F">
      <w:pPr>
        <w:spacing w:before="120" w:after="120" w:line="360" w:lineRule="auto"/>
        <w:jc w:val="both"/>
        <w:rPr>
          <w:rFonts w:ascii="Arial" w:hAnsi="Arial" w:cs="Arial"/>
          <w:i/>
          <w:u w:val="single"/>
        </w:rPr>
      </w:pPr>
      <w:r w:rsidRPr="00B4423F">
        <w:rPr>
          <w:rFonts w:ascii="Arial" w:hAnsi="Arial" w:cs="Arial"/>
          <w:i/>
          <w:u w:val="single"/>
        </w:rPr>
        <w:t>Ejecución</w:t>
      </w:r>
    </w:p>
    <w:p w14:paraId="06E4423B" w14:textId="77777777" w:rsidR="00D50726" w:rsidRPr="00B4423F" w:rsidRDefault="00857242" w:rsidP="00B4423F">
      <w:pPr>
        <w:spacing w:before="120" w:after="120" w:line="360" w:lineRule="auto"/>
        <w:jc w:val="both"/>
        <w:rPr>
          <w:rFonts w:ascii="Arial" w:hAnsi="Arial" w:cs="Arial"/>
          <w:i/>
          <w:u w:val="single"/>
        </w:rPr>
      </w:pPr>
      <w:r w:rsidRPr="00B4423F">
        <w:rPr>
          <w:rFonts w:ascii="Arial" w:hAnsi="Arial" w:cs="Arial"/>
          <w:i/>
          <w:u w:val="single"/>
        </w:rPr>
        <w:t>Pre</w:t>
      </w:r>
      <w:r w:rsidR="00D50726" w:rsidRPr="00B4423F">
        <w:rPr>
          <w:rFonts w:ascii="Arial" w:hAnsi="Arial" w:cs="Arial"/>
          <w:i/>
          <w:u w:val="single"/>
        </w:rPr>
        <w:t>tratamiento del acero al carbono. Fase de elaboración de chapas, caras interiores y exteriores.</w:t>
      </w:r>
    </w:p>
    <w:p w14:paraId="7DCD8A00"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El acero al carbono irá previamente tratado mediante pintura de cinc epoxi y se aplicará sobre la superficie chorreada del acero. </w:t>
      </w:r>
    </w:p>
    <w:p w14:paraId="51342786"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Todas las superficies se chorrearán al grado Sa2 ½ (ISO-8501), dejando un perfil de rugosidad de unas 50-100 micras </w:t>
      </w:r>
      <w:proofErr w:type="spellStart"/>
      <w:r w:rsidRPr="00FC7A5B">
        <w:rPr>
          <w:rFonts w:ascii="Arial" w:hAnsi="Arial" w:cs="Arial"/>
        </w:rPr>
        <w:t>press</w:t>
      </w:r>
      <w:proofErr w:type="spellEnd"/>
      <w:r w:rsidRPr="00FC7A5B">
        <w:rPr>
          <w:rFonts w:ascii="Arial" w:hAnsi="Arial" w:cs="Arial"/>
        </w:rPr>
        <w:t>-o-</w:t>
      </w:r>
      <w:proofErr w:type="gramStart"/>
      <w:r w:rsidRPr="00FC7A5B">
        <w:rPr>
          <w:rFonts w:ascii="Arial" w:hAnsi="Arial" w:cs="Arial"/>
        </w:rPr>
        <w:t>film</w:t>
      </w:r>
      <w:proofErr w:type="gramEnd"/>
      <w:r w:rsidRPr="00FC7A5B">
        <w:rPr>
          <w:rFonts w:ascii="Arial" w:hAnsi="Arial" w:cs="Arial"/>
        </w:rPr>
        <w:t xml:space="preserve"> o </w:t>
      </w:r>
      <w:proofErr w:type="spellStart"/>
      <w:r w:rsidRPr="00FC7A5B">
        <w:rPr>
          <w:rFonts w:ascii="Arial" w:hAnsi="Arial" w:cs="Arial"/>
        </w:rPr>
        <w:t>Keane</w:t>
      </w:r>
      <w:proofErr w:type="spellEnd"/>
      <w:r w:rsidRPr="00FC7A5B">
        <w:rPr>
          <w:rFonts w:ascii="Arial" w:hAnsi="Arial" w:cs="Arial"/>
        </w:rPr>
        <w:t xml:space="preserve"> </w:t>
      </w:r>
      <w:proofErr w:type="spellStart"/>
      <w:r w:rsidRPr="00FC7A5B">
        <w:rPr>
          <w:rFonts w:ascii="Arial" w:hAnsi="Arial" w:cs="Arial"/>
        </w:rPr>
        <w:t>Tactor</w:t>
      </w:r>
      <w:proofErr w:type="spellEnd"/>
      <w:r w:rsidRPr="00FC7A5B">
        <w:rPr>
          <w:rFonts w:ascii="Arial" w:hAnsi="Arial" w:cs="Arial"/>
        </w:rPr>
        <w:t xml:space="preserve"> </w:t>
      </w:r>
      <w:proofErr w:type="spellStart"/>
      <w:r w:rsidRPr="00FC7A5B">
        <w:rPr>
          <w:rFonts w:ascii="Arial" w:hAnsi="Arial" w:cs="Arial"/>
        </w:rPr>
        <w:t>Comparator</w:t>
      </w:r>
      <w:proofErr w:type="spellEnd"/>
      <w:r w:rsidRPr="00FC7A5B">
        <w:rPr>
          <w:rFonts w:ascii="Arial" w:hAnsi="Arial" w:cs="Arial"/>
        </w:rPr>
        <w:t>, debiendo tener esta calidad en el momento de aplicación de la pintura.</w:t>
      </w:r>
    </w:p>
    <w:p w14:paraId="58DD0D87"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El aire a presión debe estar seco, exento de agua y aceite, libre de contaminación y con la presión suficiente para mantener el estándar del chorro especificado.</w:t>
      </w:r>
    </w:p>
    <w:p w14:paraId="335CE9AE"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El tiempo máximo que debe permanecer la superficie sin recubrir dependerá de la humedad del ambiente, aunque como norma deberá imprimarse en un máximo de 4-6 horas después de la preparación. Tras el chorreado se limpiará toda la suciedad que pueda quedar en la superficie antes de aplicar el Shop Primer (la superficie debe quedar sin </w:t>
      </w:r>
      <w:proofErr w:type="spellStart"/>
      <w:r w:rsidRPr="00FC7A5B">
        <w:rPr>
          <w:rFonts w:ascii="Arial" w:hAnsi="Arial" w:cs="Arial"/>
        </w:rPr>
        <w:t>escamación</w:t>
      </w:r>
      <w:proofErr w:type="spellEnd"/>
      <w:r w:rsidRPr="00FC7A5B">
        <w:rPr>
          <w:rFonts w:ascii="Arial" w:hAnsi="Arial" w:cs="Arial"/>
        </w:rPr>
        <w:t>, óxido, grasa, marcas de pintura, sales solubles y ninguna materia extraña). Es importante tener en cuenta que una limpieza con agua a presión o mediante chorro abrasivo húmedo puede llevar a una oxidación rápida inmediata que se ha de impedir mediante la rápida aplicación del Shop Primer o mediante la utilización de inhibidores en la limpieza, que deben escogerse con precaución para que sean siempre compatibles con el sistema de pintado especificado.</w:t>
      </w:r>
    </w:p>
    <w:p w14:paraId="0E7D98CC"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La imprimación se realizará inmediatamente después del chorreado y el espesor de la película seca de la misma se cuidará rigurosamente para evitar su interferencia con el oxicorte y la soldadura.</w:t>
      </w:r>
    </w:p>
    <w:p w14:paraId="035B82C2"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Durante los procesos de oxicorte, soldadura y montaje, las superficies imprimadas van acumulando polvo, grasa, </w:t>
      </w:r>
      <w:proofErr w:type="spellStart"/>
      <w:r w:rsidRPr="00FC7A5B">
        <w:rPr>
          <w:rFonts w:ascii="Arial" w:hAnsi="Arial" w:cs="Arial"/>
        </w:rPr>
        <w:t>polucionantes</w:t>
      </w:r>
      <w:proofErr w:type="spellEnd"/>
      <w:r w:rsidRPr="00FC7A5B">
        <w:rPr>
          <w:rFonts w:ascii="Arial" w:hAnsi="Arial" w:cs="Arial"/>
        </w:rPr>
        <w:t xml:space="preserve"> atmosféricos y otros contaminantes (sales de cinc, etc.) que es preciso eliminar antes de proceder a la aplicación del </w:t>
      </w:r>
      <w:r w:rsidRPr="00FC7A5B">
        <w:rPr>
          <w:rFonts w:ascii="Arial" w:hAnsi="Arial" w:cs="Arial"/>
        </w:rPr>
        <w:t>sistema final de pintura.  Se procederá a una limpieza general con agua a presión, para luego, si es necesario, proceder a un desengrasado con trapos limpios. Se cuidarán de forma especial las zonas donde se hayan producido soldaduras o cortes.</w:t>
      </w:r>
    </w:p>
    <w:p w14:paraId="68B40C3D"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Se podrá considerar la posibilidad de eliminar la imprimación mediante </w:t>
      </w:r>
      <w:proofErr w:type="gramStart"/>
      <w:r w:rsidRPr="00FC7A5B">
        <w:rPr>
          <w:rFonts w:ascii="Arial" w:hAnsi="Arial" w:cs="Arial"/>
        </w:rPr>
        <w:t>chorreado  una</w:t>
      </w:r>
      <w:proofErr w:type="gramEnd"/>
      <w:r w:rsidRPr="00FC7A5B">
        <w:rPr>
          <w:rFonts w:ascii="Arial" w:hAnsi="Arial" w:cs="Arial"/>
        </w:rPr>
        <w:t xml:space="preserve"> vez ya montado el acero, para posteriormente aplicar una capa de imprimación de pintura de cinc epoxi ya descrita anteriormente. Este procedimiento será convenientemente justificado por el contratista y deberá ser aprobado por la Dirección </w:t>
      </w:r>
      <w:r w:rsidR="00D50357">
        <w:rPr>
          <w:rFonts w:ascii="Arial" w:hAnsi="Arial" w:cs="Arial"/>
        </w:rPr>
        <w:t>de Obra</w:t>
      </w:r>
      <w:r w:rsidRPr="00FC7A5B">
        <w:rPr>
          <w:rFonts w:ascii="Arial" w:hAnsi="Arial" w:cs="Arial"/>
        </w:rPr>
        <w:t xml:space="preserve">. Si se procede a eliminar la imprimación con agua a presión o mediante chorro abrasivo húmedo se corre nuevamente el riesgo de producirse una oxidación rápida inmediata que se ha de impedir mediante la rápida aplicación de la siguiente capa de pintura o mediante la utilización de inhibidores en la limpieza, que deben escogerse con precaución para que sean siempre compatibles con el sistema de pintado especificado.  </w:t>
      </w:r>
    </w:p>
    <w:p w14:paraId="5E46701A" w14:textId="77777777" w:rsidR="00D50726" w:rsidRPr="00AC205C" w:rsidRDefault="00D50726" w:rsidP="00AC205C">
      <w:pPr>
        <w:spacing w:before="120" w:after="120" w:line="360" w:lineRule="auto"/>
        <w:jc w:val="both"/>
        <w:rPr>
          <w:rFonts w:ascii="Arial" w:hAnsi="Arial" w:cs="Arial"/>
          <w:i/>
          <w:u w:val="single"/>
        </w:rPr>
      </w:pPr>
      <w:r w:rsidRPr="00AC205C">
        <w:rPr>
          <w:rFonts w:ascii="Arial" w:hAnsi="Arial" w:cs="Arial"/>
          <w:i/>
          <w:u w:val="single"/>
        </w:rPr>
        <w:t>Fase en taller. Aplicación de la capa de recubrimiento e imprimación en zonas de soldadura en obra</w:t>
      </w:r>
    </w:p>
    <w:p w14:paraId="4F477D85"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La aplicación de la pintura epoxi de capas intermedias o de acabado deberá realizarse sobre las anteriores capas del sistema de pintura, atendiendo a su tiempo de utilización y a disminuir al mínimo el tiempo entre la imprimación y el revestimiento.</w:t>
      </w:r>
    </w:p>
    <w:p w14:paraId="04A73CA0"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La proporción en mezcla (volumétrica) entre resina y endurecedor debe ajustarse a los valores marcados por el fabricante.</w:t>
      </w:r>
    </w:p>
    <w:p w14:paraId="1ECD696B"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Se aplicará sobre una superficie limpia y seca.</w:t>
      </w:r>
    </w:p>
    <w:p w14:paraId="4951F68D"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Antes de aplicar la primera imprimación, los cordones de soldadura, si son irregulares, deben aplanarse y redondearse con muela de esmeril. Posteriormente deben limpiarse mediante chorreado o cepillado. Los bordes irregulares, rebabas, aristas cortantes, etc. deben ser biselados y aplanados con muela de esmeril.</w:t>
      </w:r>
    </w:p>
    <w:p w14:paraId="686C6067"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Nunca se pintarán las superficies de acero que vayan a ser hormigonadas posteriormente.</w:t>
      </w:r>
    </w:p>
    <w:p w14:paraId="20BB3FD0" w14:textId="77777777" w:rsidR="00D50726" w:rsidRPr="00FC7A5B" w:rsidRDefault="00D50726" w:rsidP="00857242">
      <w:pPr>
        <w:spacing w:before="120" w:after="120" w:line="360" w:lineRule="auto"/>
        <w:jc w:val="both"/>
        <w:rPr>
          <w:rFonts w:ascii="Arial" w:hAnsi="Arial" w:cs="Arial"/>
        </w:rPr>
      </w:pPr>
      <w:r w:rsidRPr="00FC7A5B">
        <w:rPr>
          <w:rFonts w:ascii="Arial" w:hAnsi="Arial" w:cs="Arial"/>
        </w:rPr>
        <w:t xml:space="preserve">Antes de la aplicación de la pintura, se agitará ésta adecuadamente, bien por agitación mecánica continua o por agitación intermitente con la frecuencia necesaria. Al tratarse de pinturas de dos componentes se debe seguir el procedimiento </w:t>
      </w:r>
      <w:r w:rsidRPr="00FC7A5B">
        <w:rPr>
          <w:rFonts w:ascii="Arial" w:hAnsi="Arial" w:cs="Arial"/>
        </w:rPr>
        <w:lastRenderedPageBreak/>
        <w:t>establecido para su homogeneización y cumplir las recomendaciones técnicas dadas por el fabricante.</w:t>
      </w:r>
    </w:p>
    <w:p w14:paraId="4A8BD3B9"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No se utilizarán materiales provenientes de envases dañados o abiertos, en los que el componente líquido haya quedado expuesto al aire.</w:t>
      </w:r>
    </w:p>
    <w:p w14:paraId="71462CC8" w14:textId="77777777" w:rsidR="00D50726" w:rsidRPr="00FC7A5B" w:rsidRDefault="00D50726" w:rsidP="00857242">
      <w:pPr>
        <w:spacing w:before="120" w:after="120" w:line="360" w:lineRule="auto"/>
        <w:jc w:val="both"/>
        <w:rPr>
          <w:rFonts w:ascii="Arial" w:hAnsi="Arial" w:cs="Arial"/>
        </w:rPr>
      </w:pPr>
      <w:r w:rsidRPr="00FC7A5B">
        <w:rPr>
          <w:rFonts w:ascii="Arial" w:hAnsi="Arial" w:cs="Arial"/>
        </w:rPr>
        <w:t>Las condiciones ambientales durante la aplicación deben cumplir:</w:t>
      </w:r>
    </w:p>
    <w:p w14:paraId="2C30E6EC"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 xml:space="preserve">Humedad relativa durante aplicación y curado: </w:t>
      </w:r>
      <w:r w:rsidRPr="00857242">
        <w:rPr>
          <w:rFonts w:ascii="Arial" w:hAnsi="Arial" w:cs="Arial"/>
          <w:sz w:val="24"/>
          <w:szCs w:val="24"/>
          <w:lang w:val="es-ES_tradnl"/>
        </w:rPr>
        <w:tab/>
        <w:t>hasta un 85-95%.</w:t>
      </w:r>
    </w:p>
    <w:p w14:paraId="6B17C5B9"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 xml:space="preserve">Mínima temperatura del sustrato: </w:t>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t>+5ºC</w:t>
      </w:r>
    </w:p>
    <w:p w14:paraId="0A0929D2"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 xml:space="preserve">Temperatura de la mezcla: </w:t>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r>
      <w:r w:rsidRPr="00857242">
        <w:rPr>
          <w:rFonts w:ascii="Arial" w:hAnsi="Arial" w:cs="Arial"/>
          <w:sz w:val="24"/>
          <w:szCs w:val="24"/>
          <w:lang w:val="es-ES_tradnl"/>
        </w:rPr>
        <w:tab/>
        <w:t>por encima de 15ºC.</w:t>
      </w:r>
    </w:p>
    <w:p w14:paraId="1C960813"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El espesor</w:t>
      </w:r>
      <w:r w:rsidR="005D4FAF">
        <w:rPr>
          <w:rFonts w:ascii="Arial" w:hAnsi="Arial" w:cs="Arial"/>
        </w:rPr>
        <w:t xml:space="preserve"> mínimo</w:t>
      </w:r>
      <w:r w:rsidRPr="00FC7A5B">
        <w:rPr>
          <w:rFonts w:ascii="Arial" w:hAnsi="Arial" w:cs="Arial"/>
        </w:rPr>
        <w:t xml:space="preserve"> </w:t>
      </w:r>
      <w:r w:rsidR="00993453">
        <w:rPr>
          <w:rFonts w:ascii="Arial" w:hAnsi="Arial" w:cs="Arial"/>
        </w:rPr>
        <w:t xml:space="preserve">total </w:t>
      </w:r>
      <w:r w:rsidRPr="00FC7A5B">
        <w:rPr>
          <w:rFonts w:ascii="Arial" w:hAnsi="Arial" w:cs="Arial"/>
        </w:rPr>
        <w:t>de película seca</w:t>
      </w:r>
      <w:r w:rsidR="005D4FAF">
        <w:rPr>
          <w:rFonts w:ascii="Arial" w:hAnsi="Arial" w:cs="Arial"/>
        </w:rPr>
        <w:t xml:space="preserve"> del sistema</w:t>
      </w:r>
      <w:r w:rsidRPr="00FC7A5B">
        <w:rPr>
          <w:rFonts w:ascii="Arial" w:hAnsi="Arial" w:cs="Arial"/>
        </w:rPr>
        <w:t xml:space="preserve"> será de </w:t>
      </w:r>
      <w:r w:rsidR="005D4FAF">
        <w:rPr>
          <w:rFonts w:ascii="Arial" w:hAnsi="Arial" w:cs="Arial"/>
        </w:rPr>
        <w:t>240</w:t>
      </w:r>
      <w:r w:rsidRPr="00FC7A5B">
        <w:rPr>
          <w:rFonts w:ascii="Arial" w:hAnsi="Arial" w:cs="Arial"/>
        </w:rPr>
        <w:t xml:space="preserve"> micras según las zonas indicadas, en dos capas de pintura de epoxi aluminio laminar. La última de dichas capas será del color que finalmente se haya elegido para el acabado. Si se desea dividir estas capas en más capas, se justificará debidamente a la Dirección</w:t>
      </w:r>
      <w:r w:rsidR="00D50357">
        <w:rPr>
          <w:rFonts w:ascii="Arial" w:hAnsi="Arial" w:cs="Arial"/>
        </w:rPr>
        <w:t xml:space="preserve"> de Obra</w:t>
      </w:r>
      <w:r w:rsidRPr="00FC7A5B">
        <w:rPr>
          <w:rFonts w:ascii="Arial" w:hAnsi="Arial" w:cs="Arial"/>
        </w:rPr>
        <w:t>, siendo cada capa de un color diferente para poder medir el grado de deterioro a lo largo del tiempo, y teniendo la capa final el color escogido que debe quedar a la vista; esta división de capas carece de sentido en elementos auxiliares de acero al carbono interiores no vistos.</w:t>
      </w:r>
    </w:p>
    <w:p w14:paraId="42C08FE0"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La pintura epoxi </w:t>
      </w:r>
      <w:proofErr w:type="spellStart"/>
      <w:r w:rsidRPr="00FC7A5B">
        <w:rPr>
          <w:rFonts w:ascii="Arial" w:hAnsi="Arial" w:cs="Arial"/>
        </w:rPr>
        <w:t>alumínica</w:t>
      </w:r>
      <w:proofErr w:type="spellEnd"/>
      <w:r w:rsidRPr="00FC7A5B">
        <w:rPr>
          <w:rFonts w:ascii="Arial" w:hAnsi="Arial" w:cs="Arial"/>
        </w:rPr>
        <w:t xml:space="preserve"> se aplicará sobre la capa de imprimación o intermedia mediante pistola </w:t>
      </w:r>
      <w:proofErr w:type="spellStart"/>
      <w:r w:rsidRPr="00FC7A5B">
        <w:rPr>
          <w:rFonts w:ascii="Arial" w:hAnsi="Arial" w:cs="Arial"/>
        </w:rPr>
        <w:t>airless</w:t>
      </w:r>
      <w:proofErr w:type="spellEnd"/>
      <w:r w:rsidRPr="00FC7A5B">
        <w:rPr>
          <w:rFonts w:ascii="Arial" w:hAnsi="Arial" w:cs="Arial"/>
        </w:rPr>
        <w:t xml:space="preserve"> con boquilla de 0,48 – 0,53 mm y con una presión de 15 MPa, para garantizar las características del recubrimiento indicadas en este artículo. Cualquier otro método de aplicación deberá ser justificado por el Contratis</w:t>
      </w:r>
      <w:r w:rsidR="00D50357">
        <w:rPr>
          <w:rFonts w:ascii="Arial" w:hAnsi="Arial" w:cs="Arial"/>
        </w:rPr>
        <w:t>ta y aprobado por la Dirección de Obra</w:t>
      </w:r>
      <w:r w:rsidRPr="00FC7A5B">
        <w:rPr>
          <w:rFonts w:ascii="Arial" w:hAnsi="Arial" w:cs="Arial"/>
        </w:rPr>
        <w:t>.</w:t>
      </w:r>
    </w:p>
    <w:p w14:paraId="705C6F72"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En el manejo y aplicación se observarán las normas de seguridad e higiene referentes a componentes corrosivos, tóxicos e inflamables.</w:t>
      </w:r>
    </w:p>
    <w:p w14:paraId="252C57E9" w14:textId="77777777" w:rsidR="00D50726" w:rsidRPr="00B4423F" w:rsidRDefault="00D50726" w:rsidP="00D50726">
      <w:pPr>
        <w:spacing w:before="120" w:after="120" w:line="360" w:lineRule="auto"/>
        <w:jc w:val="both"/>
        <w:rPr>
          <w:rFonts w:ascii="Arial" w:hAnsi="Arial" w:cs="Arial"/>
          <w:i/>
          <w:u w:val="single"/>
        </w:rPr>
      </w:pPr>
      <w:r w:rsidRPr="00B4423F">
        <w:rPr>
          <w:rFonts w:ascii="Arial" w:hAnsi="Arial" w:cs="Arial"/>
          <w:i/>
          <w:u w:val="single"/>
        </w:rPr>
        <w:t>Fase en obra. Aplicación de la capa de recubrimiento</w:t>
      </w:r>
    </w:p>
    <w:p w14:paraId="313543E9"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El color final de la capa de acabado será establecido por la Dirección </w:t>
      </w:r>
      <w:r w:rsidR="00D50357">
        <w:rPr>
          <w:rFonts w:ascii="Arial" w:hAnsi="Arial" w:cs="Arial"/>
        </w:rPr>
        <w:t>de Obra</w:t>
      </w:r>
      <w:r w:rsidRPr="00FC7A5B">
        <w:rPr>
          <w:rFonts w:ascii="Arial" w:hAnsi="Arial" w:cs="Arial"/>
        </w:rPr>
        <w:t>, para lo que podrá plantear la realización de pruebas que en ningún caso serán de abono.</w:t>
      </w:r>
    </w:p>
    <w:p w14:paraId="637B194F"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La vida media del sistema de protección viene determinada por el espesor de película seca del sistema anticorrosivo existente en soldaduras, cantos vivos, tornillos y tuercas. Todas las zonas críticas deben llevar una capa extra con el mismo material </w:t>
      </w:r>
      <w:r w:rsidRPr="00FC7A5B">
        <w:rPr>
          <w:rFonts w:ascii="Arial" w:hAnsi="Arial" w:cs="Arial"/>
        </w:rPr>
        <w:t>que la capa consecutiva del sistema para conseguir el espesor de película seca especificada.</w:t>
      </w:r>
    </w:p>
    <w:p w14:paraId="0486D979" w14:textId="77777777" w:rsidR="00D50726" w:rsidRPr="00857242" w:rsidRDefault="00D50726" w:rsidP="00D50726">
      <w:pPr>
        <w:spacing w:before="120" w:after="120" w:line="360" w:lineRule="auto"/>
        <w:jc w:val="both"/>
        <w:rPr>
          <w:rFonts w:ascii="Arial" w:hAnsi="Arial" w:cs="Arial"/>
          <w:i/>
          <w:u w:val="single"/>
        </w:rPr>
      </w:pPr>
      <w:r w:rsidRPr="00857242">
        <w:rPr>
          <w:rFonts w:ascii="Arial" w:hAnsi="Arial" w:cs="Arial"/>
          <w:i/>
          <w:u w:val="single"/>
        </w:rPr>
        <w:t>Reparación de daños y zonas de soldadura</w:t>
      </w:r>
    </w:p>
    <w:p w14:paraId="4451AE67"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Los daños localizados que haya podido sufrir la pintura causados por el transporte y/o montaje y las zonas de soldadura en obra se repararán se la siguiente forma:</w:t>
      </w:r>
    </w:p>
    <w:p w14:paraId="0C9C8F25"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 xml:space="preserve">Preparación de superficie mediante rotativos neumáticos o eléctricos hasta el grado ST-3 de norma ISO-1 o </w:t>
      </w:r>
      <w:r w:rsidR="00157701" w:rsidRPr="00857242">
        <w:rPr>
          <w:rFonts w:ascii="Arial" w:hAnsi="Arial" w:cs="Arial"/>
          <w:sz w:val="24"/>
          <w:szCs w:val="24"/>
          <w:lang w:val="es-ES_tradnl"/>
        </w:rPr>
        <w:t>chorreado</w:t>
      </w:r>
      <w:r w:rsidRPr="00857242">
        <w:rPr>
          <w:rFonts w:ascii="Arial" w:hAnsi="Arial" w:cs="Arial"/>
          <w:sz w:val="24"/>
          <w:szCs w:val="24"/>
          <w:lang w:val="es-ES_tradnl"/>
        </w:rPr>
        <w:t xml:space="preserve"> al grado SA 2 1/2 con chorro controlado.</w:t>
      </w:r>
    </w:p>
    <w:p w14:paraId="6D2C3D3B"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Limpieza de la superficie con agua y desengrasantes.</w:t>
      </w:r>
    </w:p>
    <w:p w14:paraId="5535E284"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Aplicación de todas las capas anteriormente especificadas de pintura</w:t>
      </w:r>
    </w:p>
    <w:p w14:paraId="0F3FB2F4"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Si es necesario, y a juicio de la Dirección de Obra, se aplicará una capa general de esmalte de acabado.</w:t>
      </w:r>
    </w:p>
    <w:p w14:paraId="19C0FBAE" w14:textId="77777777" w:rsidR="00D50726" w:rsidRDefault="00D50726" w:rsidP="005609D6">
      <w:pPr>
        <w:spacing w:before="120" w:after="120" w:line="360" w:lineRule="auto"/>
        <w:jc w:val="both"/>
        <w:rPr>
          <w:rFonts w:ascii="Arial" w:hAnsi="Arial" w:cs="Arial"/>
        </w:rPr>
      </w:pPr>
      <w:proofErr w:type="gramStart"/>
      <w:r w:rsidRPr="00FC7A5B">
        <w:rPr>
          <w:rFonts w:ascii="Arial" w:hAnsi="Arial" w:cs="Arial"/>
        </w:rPr>
        <w:t>Estas operaciones deberá</w:t>
      </w:r>
      <w:proofErr w:type="gramEnd"/>
      <w:r w:rsidRPr="00FC7A5B">
        <w:rPr>
          <w:rFonts w:ascii="Arial" w:hAnsi="Arial" w:cs="Arial"/>
        </w:rPr>
        <w:t xml:space="preserve"> realizarse previamente al izado de la estructura metálica, excepto a lo relacionado con la capa final de esmalte de acabado.</w:t>
      </w:r>
    </w:p>
    <w:p w14:paraId="1B840F2A" w14:textId="77777777" w:rsidR="00D50726" w:rsidRPr="00FC7A5B" w:rsidRDefault="00B4423F" w:rsidP="00D50726">
      <w:pPr>
        <w:spacing w:before="120" w:after="120" w:line="360" w:lineRule="auto"/>
        <w:jc w:val="both"/>
        <w:rPr>
          <w:rFonts w:ascii="Arial" w:hAnsi="Arial"/>
          <w:b/>
          <w:bCs/>
          <w:szCs w:val="20"/>
        </w:rPr>
      </w:pPr>
      <w:r>
        <w:rPr>
          <w:rFonts w:ascii="Arial" w:hAnsi="Arial"/>
          <w:b/>
          <w:bCs/>
          <w:szCs w:val="20"/>
        </w:rPr>
        <w:t xml:space="preserve">620.6.8. </w:t>
      </w:r>
      <w:r w:rsidR="00D50726" w:rsidRPr="00FC7A5B">
        <w:rPr>
          <w:rFonts w:ascii="Arial" w:hAnsi="Arial"/>
          <w:b/>
          <w:bCs/>
          <w:szCs w:val="20"/>
        </w:rPr>
        <w:t>Programa de Control de Calidad</w:t>
      </w:r>
    </w:p>
    <w:p w14:paraId="344686A4"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Los controles que se especifiquen en el siguiente Programa de Control de Calidad deberán ser transcritos a un Plan de Puntos de Inspección de la ejecución de la Estructura metálica. El control y supervisión del correcto cumplimiento de este Programa de Control de Calidad será responsabilidad del Laboratorio Responsable de Control.</w:t>
      </w:r>
    </w:p>
    <w:p w14:paraId="10A806E4" w14:textId="77777777" w:rsidR="00D50726" w:rsidRPr="00B4423F" w:rsidRDefault="00D50726" w:rsidP="00B4423F">
      <w:pPr>
        <w:spacing w:before="120" w:after="120" w:line="360" w:lineRule="auto"/>
        <w:jc w:val="both"/>
        <w:rPr>
          <w:rFonts w:ascii="Arial" w:hAnsi="Arial" w:cs="Arial"/>
          <w:i/>
          <w:u w:val="single"/>
        </w:rPr>
      </w:pPr>
      <w:r w:rsidRPr="00B4423F">
        <w:rPr>
          <w:rFonts w:ascii="Arial" w:hAnsi="Arial" w:cs="Arial"/>
          <w:i/>
          <w:u w:val="single"/>
        </w:rPr>
        <w:t>Características de los materiales a emplear</w:t>
      </w:r>
    </w:p>
    <w:p w14:paraId="191D0CFB"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Todos los materiales que sean requeridos con Certificados de Calidad serán documentados de acuerdo con </w:t>
      </w:r>
      <w:proofErr w:type="gramStart"/>
      <w:r w:rsidRPr="00FC7A5B">
        <w:rPr>
          <w:rFonts w:ascii="Arial" w:hAnsi="Arial" w:cs="Arial"/>
        </w:rPr>
        <w:t>la  Norma</w:t>
      </w:r>
      <w:proofErr w:type="gramEnd"/>
      <w:r w:rsidRPr="00FC7A5B">
        <w:rPr>
          <w:rFonts w:ascii="Arial" w:hAnsi="Arial" w:cs="Arial"/>
        </w:rPr>
        <w:t xml:space="preserve">  UNE-EN 10021: 1994.</w:t>
      </w:r>
    </w:p>
    <w:p w14:paraId="0A87BCD9" w14:textId="77777777" w:rsidR="00D50726" w:rsidRPr="00B4423F" w:rsidRDefault="00D50726" w:rsidP="00857242">
      <w:pPr>
        <w:spacing w:before="120" w:after="120" w:line="360" w:lineRule="auto"/>
        <w:jc w:val="both"/>
        <w:rPr>
          <w:rFonts w:ascii="Arial" w:hAnsi="Arial" w:cs="Arial"/>
          <w:i/>
          <w:u w:val="single"/>
        </w:rPr>
      </w:pPr>
      <w:r w:rsidRPr="00B4423F">
        <w:rPr>
          <w:rFonts w:ascii="Arial" w:hAnsi="Arial" w:cs="Arial"/>
          <w:i/>
          <w:u w:val="single"/>
        </w:rPr>
        <w:t>Productos laminados en caliente:</w:t>
      </w:r>
    </w:p>
    <w:p w14:paraId="14648523"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Se incluyen en este apartado los diferentes tipos de chapas comerciales a emplear, cuya calidad se indica en los planos.</w:t>
      </w:r>
    </w:p>
    <w:p w14:paraId="6F543AF2"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Se exigirá del fabricante la entrega del certificado numérico de todos los materiales.</w:t>
      </w:r>
    </w:p>
    <w:p w14:paraId="0D664EB4"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lastRenderedPageBreak/>
        <w:t>Aparte de las características mecánicas y químicas exigidas para estos materiales, todas las chapas serán inspeccionadas por ultrasonidos, siendo admisibles aquéllas que se clasifiquen como Clase S</w:t>
      </w:r>
      <w:r w:rsidRPr="00FC7A5B">
        <w:rPr>
          <w:rFonts w:ascii="Arial" w:hAnsi="Arial" w:cs="Arial"/>
          <w:vertAlign w:val="subscript"/>
        </w:rPr>
        <w:t>1</w:t>
      </w:r>
      <w:r w:rsidRPr="00FC7A5B">
        <w:rPr>
          <w:rFonts w:ascii="Arial" w:hAnsi="Arial" w:cs="Arial"/>
        </w:rPr>
        <w:t xml:space="preserve"> + E</w:t>
      </w:r>
      <w:r w:rsidRPr="00FC7A5B">
        <w:rPr>
          <w:rFonts w:ascii="Arial" w:hAnsi="Arial" w:cs="Arial"/>
          <w:vertAlign w:val="subscript"/>
        </w:rPr>
        <w:t xml:space="preserve">2 </w:t>
      </w:r>
      <w:r w:rsidRPr="00FC7A5B">
        <w:rPr>
          <w:rFonts w:ascii="Arial" w:hAnsi="Arial" w:cs="Arial"/>
        </w:rPr>
        <w:t>según UNE-EN 10160:2000 salvo en los casos específicos que se mencionan a continuación. El resultado de esta inspección figurará en el certificado.</w:t>
      </w:r>
    </w:p>
    <w:p w14:paraId="28E5FB60" w14:textId="77777777" w:rsidR="00D50726" w:rsidRPr="00FC7A5B" w:rsidRDefault="00D50726" w:rsidP="005609D6">
      <w:pPr>
        <w:spacing w:before="120" w:after="120" w:line="360" w:lineRule="auto"/>
        <w:jc w:val="both"/>
        <w:rPr>
          <w:rFonts w:ascii="Arial" w:hAnsi="Arial" w:cs="Arial"/>
          <w:szCs w:val="20"/>
        </w:rPr>
      </w:pPr>
      <w:r w:rsidRPr="00FC7A5B">
        <w:rPr>
          <w:rFonts w:ascii="Arial" w:hAnsi="Arial" w:cs="Arial"/>
        </w:rPr>
        <w:t>Se exigirá Clase S</w:t>
      </w:r>
      <w:r w:rsidRPr="00FC7A5B">
        <w:rPr>
          <w:rFonts w:ascii="Arial" w:hAnsi="Arial" w:cs="Arial"/>
          <w:vertAlign w:val="subscript"/>
        </w:rPr>
        <w:t>2</w:t>
      </w:r>
      <w:r w:rsidRPr="00FC7A5B">
        <w:rPr>
          <w:rFonts w:ascii="Arial" w:hAnsi="Arial" w:cs="Arial"/>
        </w:rPr>
        <w:t xml:space="preserve"> + E</w:t>
      </w:r>
      <w:r w:rsidRPr="00FC7A5B">
        <w:rPr>
          <w:rFonts w:ascii="Arial" w:hAnsi="Arial" w:cs="Arial"/>
          <w:vertAlign w:val="subscript"/>
        </w:rPr>
        <w:t>3</w:t>
      </w:r>
      <w:r w:rsidRPr="00FC7A5B">
        <w:rPr>
          <w:rFonts w:ascii="Arial" w:hAnsi="Arial" w:cs="Arial"/>
        </w:rPr>
        <w:t xml:space="preserve"> en todas las chapas de platabandas de espesor superior a 20 mm, y almas superiores a 25mm.</w:t>
      </w:r>
    </w:p>
    <w:p w14:paraId="19E95D41"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En las chapas de especial importancia se establecen requisitos especiales que figuraran en los planos.</w:t>
      </w:r>
    </w:p>
    <w:p w14:paraId="28AB561D" w14:textId="77777777" w:rsidR="00D50726" w:rsidRDefault="00D50726" w:rsidP="005609D6">
      <w:pPr>
        <w:spacing w:before="120" w:after="120" w:line="360" w:lineRule="auto"/>
        <w:jc w:val="both"/>
        <w:rPr>
          <w:rFonts w:ascii="Arial" w:hAnsi="Arial" w:cs="Arial"/>
        </w:rPr>
      </w:pPr>
      <w:r w:rsidRPr="00FC7A5B">
        <w:rPr>
          <w:rFonts w:ascii="Arial" w:hAnsi="Arial" w:cs="Arial"/>
        </w:rPr>
        <w:t>Asimismo, siempre que se hayan realizado los ensayos convencionales de resiliencia para certificar el material, no se considera preciso realizar curvas de transición adicionales.</w:t>
      </w:r>
    </w:p>
    <w:p w14:paraId="501365A9" w14:textId="77777777" w:rsidR="00D50726" w:rsidRPr="00857242" w:rsidRDefault="00D50726" w:rsidP="00857242">
      <w:pPr>
        <w:spacing w:before="120" w:after="120" w:line="360" w:lineRule="auto"/>
        <w:jc w:val="both"/>
        <w:rPr>
          <w:rFonts w:ascii="Arial" w:hAnsi="Arial" w:cs="Arial"/>
          <w:i/>
          <w:u w:val="single"/>
        </w:rPr>
      </w:pPr>
      <w:r w:rsidRPr="00857242">
        <w:rPr>
          <w:rFonts w:ascii="Arial" w:hAnsi="Arial" w:cs="Arial"/>
          <w:i/>
          <w:u w:val="single"/>
        </w:rPr>
        <w:t>Materiales de aportación:</w:t>
      </w:r>
    </w:p>
    <w:p w14:paraId="132FD70B"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Los diferentes materiales de aportación serán de las calidades requeridas en el apartado de definición de materiales y se certificarán sus características de acuerdo con los métodos de ensayo establecidos en el apartado de recepción de materiales. Se requerirán del fabricante los correspondientes Certificados de Calidad e idoneidad (compatibilidad con el material base).</w:t>
      </w:r>
    </w:p>
    <w:p w14:paraId="2D5981E3"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Caso de que el taller no pueda aportar los Certificados de Calidad de determinada partida de material, previamente a la puesta en obra </w:t>
      </w:r>
      <w:proofErr w:type="gramStart"/>
      <w:r w:rsidRPr="00FC7A5B">
        <w:rPr>
          <w:rFonts w:ascii="Arial" w:hAnsi="Arial" w:cs="Arial"/>
        </w:rPr>
        <w:t>del mismo</w:t>
      </w:r>
      <w:proofErr w:type="gramEnd"/>
      <w:r w:rsidRPr="00FC7A5B">
        <w:rPr>
          <w:rFonts w:ascii="Arial" w:hAnsi="Arial" w:cs="Arial"/>
        </w:rPr>
        <w:t>, se compromete a realizar a su cargo los ensayos precisos para demostrar que el suministro es conforme a lo requerido.</w:t>
      </w:r>
    </w:p>
    <w:p w14:paraId="5DD8A07A" w14:textId="77777777" w:rsidR="00D50726" w:rsidRPr="00B4423F" w:rsidRDefault="00D50726" w:rsidP="00B4423F">
      <w:pPr>
        <w:spacing w:before="120" w:after="120" w:line="360" w:lineRule="auto"/>
        <w:jc w:val="both"/>
        <w:rPr>
          <w:rFonts w:ascii="Arial" w:hAnsi="Arial" w:cs="Arial"/>
          <w:i/>
          <w:u w:val="single"/>
        </w:rPr>
      </w:pPr>
      <w:r w:rsidRPr="00B4423F">
        <w:rPr>
          <w:rFonts w:ascii="Arial" w:hAnsi="Arial" w:cs="Arial"/>
          <w:i/>
          <w:u w:val="single"/>
        </w:rPr>
        <w:t>Controles dimensionales</w:t>
      </w:r>
    </w:p>
    <w:p w14:paraId="5A915F4E"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Una vez confeccionados los planos de fabricación se controlará su ajuste a los de proyecto mediante el estudio de los elementos que se mencionan a continuación, en número expresado mediante porcentaje referido al total de elementos de la misma clase o tipo:</w:t>
      </w:r>
    </w:p>
    <w:p w14:paraId="16021E43"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 xml:space="preserve">Se controlará el 100% de las dimensiones y espesores de las chapas principales de las vigas metálicas (almas, platabandas, riostras), así como la preparación de biseles para soldaduras, entendiéndose como tal que se </w:t>
      </w:r>
      <w:r w:rsidRPr="00857242">
        <w:rPr>
          <w:rFonts w:ascii="Arial" w:hAnsi="Arial" w:cs="Arial"/>
          <w:sz w:val="24"/>
          <w:szCs w:val="24"/>
          <w:lang w:val="es-ES_tradnl"/>
        </w:rPr>
        <w:t>medirán los espesores de todas las chapas y se inspeccionarán visualmente el 100% de los biseles, midiéndose aquellos que ofrezcan dudas y no menos del 20% de todos los biseles. Especial atención se prestará a las condiciones de la unión de tramos en obra (biseles, holguras y preparación).</w:t>
      </w:r>
    </w:p>
    <w:p w14:paraId="6A4FAB88"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En el resto de los elementos el control geométrico podrá reducirse a un valor no inferior al 33%, en espesores y biseles, pero de forma que queden inspeccionados el 100% de tipos de elementos existentes.</w:t>
      </w:r>
    </w:p>
    <w:p w14:paraId="0D746D48" w14:textId="77777777" w:rsidR="00D50726" w:rsidRPr="00FC7A5B" w:rsidRDefault="00D50726" w:rsidP="00221E1A">
      <w:pPr>
        <w:pStyle w:val="Prrafodelista"/>
        <w:numPr>
          <w:ilvl w:val="0"/>
          <w:numId w:val="180"/>
        </w:numPr>
        <w:tabs>
          <w:tab w:val="left" w:pos="284"/>
        </w:tabs>
        <w:spacing w:before="120" w:after="120" w:line="360" w:lineRule="auto"/>
        <w:jc w:val="both"/>
        <w:rPr>
          <w:rFonts w:ascii="Arial" w:hAnsi="Arial" w:cs="Arial"/>
        </w:rPr>
      </w:pPr>
      <w:r w:rsidRPr="00857242">
        <w:rPr>
          <w:rFonts w:ascii="Arial" w:hAnsi="Arial" w:cs="Arial"/>
          <w:sz w:val="24"/>
          <w:szCs w:val="24"/>
          <w:lang w:val="es-ES_tradnl"/>
        </w:rPr>
        <w:t>Se controlarán el 100% de los ojales para el cruce de cordones de soldadura, así como la adecuada resolución de los distintos detalles de cruce según los planos de taller.</w:t>
      </w:r>
    </w:p>
    <w:p w14:paraId="469113B6" w14:textId="77777777" w:rsidR="00D50726" w:rsidRPr="00FC7A5B" w:rsidRDefault="00D50726" w:rsidP="005609D6">
      <w:pPr>
        <w:spacing w:before="120" w:after="120" w:line="312" w:lineRule="auto"/>
        <w:jc w:val="both"/>
        <w:rPr>
          <w:rFonts w:ascii="Arial" w:hAnsi="Arial" w:cs="Arial"/>
        </w:rPr>
      </w:pPr>
      <w:r w:rsidRPr="00FC7A5B">
        <w:rPr>
          <w:rFonts w:ascii="Arial" w:hAnsi="Arial" w:cs="Arial"/>
        </w:rPr>
        <w:t>La normativa de referencia para el establecimiento de tolerancias dimensionales será la EAE.</w:t>
      </w:r>
    </w:p>
    <w:p w14:paraId="46ADFB91" w14:textId="77777777" w:rsidR="00D50726" w:rsidRPr="00FC7A5B" w:rsidRDefault="00D50726" w:rsidP="00B4423F">
      <w:pPr>
        <w:spacing w:before="120" w:after="120" w:line="360" w:lineRule="auto"/>
        <w:jc w:val="both"/>
        <w:rPr>
          <w:rFonts w:ascii="Arial" w:hAnsi="Arial" w:cs="Arial"/>
        </w:rPr>
      </w:pPr>
      <w:r w:rsidRPr="00FC7A5B">
        <w:rPr>
          <w:rFonts w:ascii="Arial" w:hAnsi="Arial" w:cs="Arial"/>
        </w:rPr>
        <w:t>Se dejará constancia documental de todos los controles dimensionales realizados.</w:t>
      </w:r>
    </w:p>
    <w:p w14:paraId="1B98CA56" w14:textId="77777777" w:rsidR="00D50726" w:rsidRPr="00B4423F" w:rsidRDefault="00D50726" w:rsidP="00B4423F">
      <w:pPr>
        <w:spacing w:before="120" w:after="120" w:line="360" w:lineRule="auto"/>
        <w:jc w:val="both"/>
        <w:rPr>
          <w:rFonts w:ascii="Arial" w:hAnsi="Arial" w:cs="Arial"/>
          <w:i/>
          <w:u w:val="single"/>
        </w:rPr>
      </w:pPr>
      <w:r w:rsidRPr="00B4423F">
        <w:rPr>
          <w:rFonts w:ascii="Arial" w:hAnsi="Arial" w:cs="Arial"/>
          <w:i/>
          <w:u w:val="single"/>
        </w:rPr>
        <w:t>Controles geométricos</w:t>
      </w:r>
    </w:p>
    <w:p w14:paraId="4F9704DB" w14:textId="77777777" w:rsidR="00D50726" w:rsidRPr="0000444B" w:rsidRDefault="00D50726" w:rsidP="00857242">
      <w:pPr>
        <w:spacing w:before="120" w:after="120" w:line="360" w:lineRule="auto"/>
        <w:jc w:val="both"/>
        <w:rPr>
          <w:rFonts w:ascii="Arial" w:hAnsi="Arial" w:cs="Arial"/>
        </w:rPr>
      </w:pPr>
      <w:r w:rsidRPr="0000444B">
        <w:rPr>
          <w:rFonts w:ascii="Arial" w:hAnsi="Arial" w:cs="Arial"/>
        </w:rPr>
        <w:t xml:space="preserve">Se controlarán las </w:t>
      </w:r>
      <w:proofErr w:type="spellStart"/>
      <w:r w:rsidRPr="0000444B">
        <w:rPr>
          <w:rFonts w:ascii="Arial" w:hAnsi="Arial" w:cs="Arial"/>
        </w:rPr>
        <w:t>contraflechas</w:t>
      </w:r>
      <w:proofErr w:type="spellEnd"/>
      <w:r w:rsidRPr="0000444B">
        <w:rPr>
          <w:rFonts w:ascii="Arial" w:hAnsi="Arial" w:cs="Arial"/>
        </w:rPr>
        <w:t xml:space="preserve"> previstas por el taller metálico y su conformidad con las establecidas en el proyecto. En el caso de que las </w:t>
      </w:r>
      <w:proofErr w:type="spellStart"/>
      <w:r w:rsidRPr="0000444B">
        <w:rPr>
          <w:rFonts w:ascii="Arial" w:hAnsi="Arial" w:cs="Arial"/>
        </w:rPr>
        <w:t>contraflechas</w:t>
      </w:r>
      <w:proofErr w:type="spellEnd"/>
      <w:r w:rsidRPr="0000444B">
        <w:rPr>
          <w:rFonts w:ascii="Arial" w:hAnsi="Arial" w:cs="Arial"/>
        </w:rPr>
        <w:t xml:space="preserve"> en tramo terminado difieran de las teóricas previstas, se comunicará el hecho a la Dirección </w:t>
      </w:r>
      <w:r w:rsidR="00D50357">
        <w:rPr>
          <w:rFonts w:ascii="Arial" w:hAnsi="Arial" w:cs="Arial"/>
        </w:rPr>
        <w:t>de Obra</w:t>
      </w:r>
      <w:r w:rsidRPr="0000444B">
        <w:rPr>
          <w:rFonts w:ascii="Arial" w:hAnsi="Arial" w:cs="Arial"/>
        </w:rPr>
        <w:t xml:space="preserve"> para su análisis y definición de las posibles actuaciones correctoras que resultaran necesarias.</w:t>
      </w:r>
    </w:p>
    <w:p w14:paraId="6FA22790" w14:textId="77777777" w:rsidR="00D50726" w:rsidRPr="0000444B" w:rsidRDefault="00D50726" w:rsidP="005609D6">
      <w:pPr>
        <w:spacing w:before="120" w:after="120" w:line="360" w:lineRule="auto"/>
        <w:jc w:val="both"/>
        <w:rPr>
          <w:rFonts w:ascii="Arial" w:hAnsi="Arial" w:cs="Arial"/>
        </w:rPr>
      </w:pPr>
      <w:r w:rsidRPr="0000444B">
        <w:rPr>
          <w:rFonts w:ascii="Arial" w:hAnsi="Arial" w:cs="Arial"/>
        </w:rPr>
        <w:t>Todos los controles geométricos realizados quedarán también registrados documentalmente.</w:t>
      </w:r>
    </w:p>
    <w:p w14:paraId="3AD4AFA1" w14:textId="77777777" w:rsidR="00D50726" w:rsidRPr="0000444B" w:rsidRDefault="00D50726" w:rsidP="005609D6">
      <w:pPr>
        <w:spacing w:before="120" w:after="120" w:line="360" w:lineRule="auto"/>
        <w:jc w:val="both"/>
        <w:rPr>
          <w:rFonts w:ascii="Arial" w:hAnsi="Arial" w:cs="Arial"/>
        </w:rPr>
      </w:pPr>
      <w:r w:rsidRPr="0000444B">
        <w:rPr>
          <w:rFonts w:ascii="Arial" w:hAnsi="Arial" w:cs="Arial"/>
        </w:rPr>
        <w:t>La normativa de referencia para el establecimiento de los controles geométricos será la EAE.</w:t>
      </w:r>
    </w:p>
    <w:p w14:paraId="0C62981F" w14:textId="77777777" w:rsidR="00D50726" w:rsidRPr="00FC7A5B" w:rsidRDefault="00D50726" w:rsidP="005609D6">
      <w:pPr>
        <w:spacing w:before="120" w:after="120" w:line="360" w:lineRule="auto"/>
        <w:jc w:val="both"/>
        <w:rPr>
          <w:rFonts w:ascii="Arial" w:hAnsi="Arial" w:cs="Arial"/>
        </w:rPr>
      </w:pPr>
      <w:r w:rsidRPr="0000444B">
        <w:rPr>
          <w:rFonts w:ascii="Arial" w:hAnsi="Arial" w:cs="Arial"/>
        </w:rPr>
        <w:t>Se dejará constancia documental de todos los controles geométricos realizados.</w:t>
      </w:r>
    </w:p>
    <w:p w14:paraId="3D728E91" w14:textId="77777777" w:rsidR="00D50726" w:rsidRPr="00B4423F" w:rsidRDefault="00D50726" w:rsidP="00B4423F">
      <w:pPr>
        <w:spacing w:before="120" w:after="120" w:line="360" w:lineRule="auto"/>
        <w:jc w:val="both"/>
        <w:rPr>
          <w:rFonts w:ascii="Arial" w:hAnsi="Arial" w:cs="Arial"/>
          <w:i/>
          <w:u w:val="single"/>
        </w:rPr>
      </w:pPr>
      <w:r w:rsidRPr="00B4423F">
        <w:rPr>
          <w:rFonts w:ascii="Arial" w:hAnsi="Arial" w:cs="Arial"/>
          <w:i/>
          <w:u w:val="single"/>
        </w:rPr>
        <w:t>Control cualificación de soldadores</w:t>
      </w:r>
    </w:p>
    <w:p w14:paraId="6ED41814"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Se comprobará expresamente que se cumplen los requisitos establecidos en el apartado de ejecución y montaje.</w:t>
      </w:r>
    </w:p>
    <w:p w14:paraId="59ACBB70" w14:textId="77777777" w:rsidR="00CF7652" w:rsidRDefault="00CF7652" w:rsidP="00B4423F">
      <w:pPr>
        <w:spacing w:before="120" w:after="120" w:line="360" w:lineRule="auto"/>
        <w:jc w:val="both"/>
        <w:rPr>
          <w:rFonts w:ascii="Arial" w:hAnsi="Arial" w:cs="Arial"/>
          <w:i/>
          <w:u w:val="single"/>
        </w:rPr>
      </w:pPr>
    </w:p>
    <w:p w14:paraId="529FA169" w14:textId="77777777" w:rsidR="00CF7652" w:rsidRDefault="00CF7652" w:rsidP="00B4423F">
      <w:pPr>
        <w:spacing w:before="120" w:after="120" w:line="360" w:lineRule="auto"/>
        <w:jc w:val="both"/>
        <w:rPr>
          <w:rFonts w:ascii="Arial" w:hAnsi="Arial" w:cs="Arial"/>
          <w:i/>
          <w:u w:val="single"/>
        </w:rPr>
      </w:pPr>
    </w:p>
    <w:p w14:paraId="51001E4C" w14:textId="77777777" w:rsidR="00D50726" w:rsidRPr="00B4423F" w:rsidRDefault="00D50726" w:rsidP="00B4423F">
      <w:pPr>
        <w:spacing w:before="120" w:after="120" w:line="360" w:lineRule="auto"/>
        <w:jc w:val="both"/>
        <w:rPr>
          <w:rFonts w:ascii="Arial" w:hAnsi="Arial" w:cs="Arial"/>
          <w:i/>
          <w:u w:val="single"/>
        </w:rPr>
      </w:pPr>
      <w:r w:rsidRPr="00B4423F">
        <w:rPr>
          <w:rFonts w:ascii="Arial" w:hAnsi="Arial" w:cs="Arial"/>
          <w:i/>
          <w:u w:val="single"/>
        </w:rPr>
        <w:lastRenderedPageBreak/>
        <w:t>Control del procedimiento de soldeo</w:t>
      </w:r>
    </w:p>
    <w:p w14:paraId="0C972BB2"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Se comprobará expresamente que se cumplen los requisitos establecidos en el apartado de ejecución y montaje.</w:t>
      </w:r>
    </w:p>
    <w:p w14:paraId="1E73F63A"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La Dirección </w:t>
      </w:r>
      <w:r w:rsidR="00F42B32">
        <w:rPr>
          <w:rFonts w:ascii="Arial" w:hAnsi="Arial" w:cs="Arial"/>
        </w:rPr>
        <w:t>de Obra</w:t>
      </w:r>
      <w:r w:rsidRPr="00FC7A5B">
        <w:rPr>
          <w:rFonts w:ascii="Arial" w:hAnsi="Arial" w:cs="Arial"/>
        </w:rPr>
        <w:t xml:space="preserve"> podrá asimismo realizar las supervisiones que considere oportunas durante el proceso de fabricación, comprobando las soldaduras que se estén realizando en ese momento. Asimismo, podrá verificar la documentación correspondiente a las ya realizadas.</w:t>
      </w:r>
    </w:p>
    <w:p w14:paraId="61B9C923" w14:textId="77777777" w:rsidR="00D50726" w:rsidRDefault="00D50726" w:rsidP="005609D6">
      <w:pPr>
        <w:spacing w:before="120" w:after="120" w:line="360" w:lineRule="auto"/>
        <w:jc w:val="both"/>
        <w:rPr>
          <w:rFonts w:ascii="Arial" w:hAnsi="Arial" w:cs="Arial"/>
        </w:rPr>
      </w:pPr>
      <w:r w:rsidRPr="00FC7A5B">
        <w:rPr>
          <w:rFonts w:ascii="Arial" w:hAnsi="Arial" w:cs="Arial"/>
        </w:rPr>
        <w:t xml:space="preserve">Además, con independencia de estas visitas rutinarias, la Dirección </w:t>
      </w:r>
      <w:r w:rsidR="00F42B32">
        <w:rPr>
          <w:rFonts w:ascii="Arial" w:hAnsi="Arial" w:cs="Arial"/>
        </w:rPr>
        <w:t>de Obra</w:t>
      </w:r>
      <w:r w:rsidRPr="00FC7A5B">
        <w:rPr>
          <w:rFonts w:ascii="Arial" w:hAnsi="Arial" w:cs="Arial"/>
        </w:rPr>
        <w:t xml:space="preserve"> podrá ordenar la realización de los oportunos testigos de producción, que se someterán a los ensayos no destructivos, y destructivos que se consideren oportunos. Si los resultados no son aceptables, se levantarán todas las soldaduras realizadas con dicho procedimiento, y se procederá a una nueva homologación, y a la repetición de los testigos de producción. No </w:t>
      </w:r>
      <w:proofErr w:type="gramStart"/>
      <w:r w:rsidRPr="00FC7A5B">
        <w:rPr>
          <w:rFonts w:ascii="Arial" w:hAnsi="Arial" w:cs="Arial"/>
        </w:rPr>
        <w:t>obstante</w:t>
      </w:r>
      <w:proofErr w:type="gramEnd"/>
      <w:r w:rsidRPr="00FC7A5B">
        <w:rPr>
          <w:rFonts w:ascii="Arial" w:hAnsi="Arial" w:cs="Arial"/>
        </w:rPr>
        <w:t xml:space="preserve"> lo antes establecido, si el resultado de los ensayos sobre testigos fuera excepcionalmente malo, a juicio de la Dirección </w:t>
      </w:r>
      <w:r w:rsidR="00D50357">
        <w:rPr>
          <w:rFonts w:ascii="Arial" w:hAnsi="Arial" w:cs="Arial"/>
        </w:rPr>
        <w:t>de Obra</w:t>
      </w:r>
      <w:r w:rsidRPr="00FC7A5B">
        <w:rPr>
          <w:rFonts w:ascii="Arial" w:hAnsi="Arial" w:cs="Arial"/>
        </w:rPr>
        <w:t>, podrá recusarse al soldador, e incluso rechazarse todas las piezas soldadas con dicho procedimiento de soldadura.</w:t>
      </w:r>
    </w:p>
    <w:p w14:paraId="2F663B27" w14:textId="77777777" w:rsidR="00D50726" w:rsidRPr="00B4423F" w:rsidRDefault="00D50726" w:rsidP="00B4423F">
      <w:pPr>
        <w:spacing w:before="120" w:after="120" w:line="360" w:lineRule="auto"/>
        <w:jc w:val="both"/>
        <w:rPr>
          <w:rFonts w:ascii="Arial" w:hAnsi="Arial" w:cs="Arial"/>
          <w:i/>
          <w:u w:val="single"/>
        </w:rPr>
      </w:pPr>
      <w:r w:rsidRPr="00B4423F">
        <w:rPr>
          <w:rFonts w:ascii="Arial" w:hAnsi="Arial" w:cs="Arial"/>
          <w:i/>
          <w:u w:val="single"/>
        </w:rPr>
        <w:t>Inspección de soldaduras</w:t>
      </w:r>
    </w:p>
    <w:p w14:paraId="7FF80F2C" w14:textId="77777777" w:rsidR="00D50726" w:rsidRPr="00B4423F" w:rsidRDefault="00D50726" w:rsidP="00B4423F">
      <w:pPr>
        <w:spacing w:before="120" w:after="120" w:line="360" w:lineRule="auto"/>
        <w:jc w:val="both"/>
        <w:rPr>
          <w:rFonts w:ascii="Arial" w:hAnsi="Arial" w:cs="Arial"/>
          <w:i/>
          <w:u w:val="single"/>
        </w:rPr>
      </w:pPr>
      <w:r w:rsidRPr="00B4423F">
        <w:rPr>
          <w:rFonts w:ascii="Arial" w:hAnsi="Arial" w:cs="Arial"/>
          <w:i/>
          <w:u w:val="single"/>
        </w:rPr>
        <w:t>Inspección visual y control dimensional</w:t>
      </w:r>
    </w:p>
    <w:p w14:paraId="6A6AFA2D"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Se realizará un control visual en el 100% de las soldaduras, tanto previamente a su ejecución, garantizando la preparación de bordes según planos de taller y su limpieza, como una vez ejecutada la soldadura, verificando la ausencia de desbordamientos, cráter terminal, mordeduras, sobre espesores, pérdida de espesor, ausencia de fisuras e integralidad del cordón. Específicamente será objeto de inspección la soldadura a realizar en obra para unión de tramos, tanto previamente a su ejecución, garantizando la aptitud de los dos labios a unir para realizar una soldadura adecuada, como posteriormente a su ejecución, inspeccionando la soldadura ya ejecutada.</w:t>
      </w:r>
    </w:p>
    <w:p w14:paraId="250C7F78"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En almas, platabandas, y riostras se medirán el 100% de las gargantas de soldadura en ángulo o la penetración en uniones a penetración parcial.</w:t>
      </w:r>
    </w:p>
    <w:p w14:paraId="6B82E061"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En el resto de </w:t>
      </w:r>
      <w:proofErr w:type="gramStart"/>
      <w:r w:rsidRPr="00FC7A5B">
        <w:rPr>
          <w:rFonts w:ascii="Arial" w:hAnsi="Arial" w:cs="Arial"/>
        </w:rPr>
        <w:t>elementos</w:t>
      </w:r>
      <w:proofErr w:type="gramEnd"/>
      <w:r w:rsidRPr="00FC7A5B">
        <w:rPr>
          <w:rFonts w:ascii="Arial" w:hAnsi="Arial" w:cs="Arial"/>
        </w:rPr>
        <w:t xml:space="preserve"> el control dimensional de cordones en ángulo podrá reducirse al 33%, pero de forma que queden inspeccionados el 100% de tipos de elementos existentes.</w:t>
      </w:r>
    </w:p>
    <w:p w14:paraId="16E6D583"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Se dejará constancia documental de todos los controles citados.</w:t>
      </w:r>
    </w:p>
    <w:p w14:paraId="3099C833" w14:textId="77777777" w:rsidR="00D50726" w:rsidRPr="00857242" w:rsidRDefault="00D50726" w:rsidP="00857242">
      <w:pPr>
        <w:spacing w:before="120" w:after="120" w:line="360" w:lineRule="auto"/>
        <w:jc w:val="both"/>
        <w:rPr>
          <w:rFonts w:ascii="Arial" w:hAnsi="Arial" w:cs="Arial"/>
          <w:i/>
          <w:u w:val="single"/>
        </w:rPr>
      </w:pPr>
      <w:r w:rsidRPr="00857242">
        <w:rPr>
          <w:rFonts w:ascii="Arial" w:hAnsi="Arial" w:cs="Arial"/>
          <w:i/>
          <w:u w:val="single"/>
        </w:rPr>
        <w:t>Controles Radiográficos:</w:t>
      </w:r>
    </w:p>
    <w:p w14:paraId="16A21C8E" w14:textId="77777777" w:rsidR="00D50726" w:rsidRPr="00FC7A5B" w:rsidRDefault="00D50726" w:rsidP="00857242">
      <w:pPr>
        <w:spacing w:before="120" w:after="120" w:line="360" w:lineRule="auto"/>
        <w:jc w:val="both"/>
        <w:rPr>
          <w:rFonts w:ascii="Arial" w:hAnsi="Arial" w:cs="Arial"/>
        </w:rPr>
      </w:pPr>
      <w:r w:rsidRPr="00FC7A5B">
        <w:rPr>
          <w:rFonts w:ascii="Arial" w:hAnsi="Arial" w:cs="Arial"/>
        </w:rPr>
        <w:t>Se inspeccionarán por métodos radiográficos las siguientes soldaduras:</w:t>
      </w:r>
    </w:p>
    <w:p w14:paraId="642E26C3"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100 % de las soldaduras a tope en obra, en caso de haberlas.</w:t>
      </w:r>
    </w:p>
    <w:p w14:paraId="5991E300"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100 % de las soldaduras de almas en taller, sobre una altura igual a 1/4 de la total.  El control se realizará en el extremo traccionado del alma. Si se detectasen errores, se radiografiaría la altura completa.</w:t>
      </w:r>
    </w:p>
    <w:p w14:paraId="4CBE60E0"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En las soldaduras próximas a los extremos, se inspeccionará siempre la altura total.</w:t>
      </w:r>
    </w:p>
    <w:p w14:paraId="3E973E1A"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100% de las soldaduras a tope en riostras, incluyendo rigidizadores de apoyo.</w:t>
      </w:r>
    </w:p>
    <w:p w14:paraId="4B364549"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100 % de las soldaduras en taller en platabandas superiores traccionadas.</w:t>
      </w:r>
    </w:p>
    <w:p w14:paraId="7C0CD330"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100 % de las soldaduras a tope en rigidizadores.</w:t>
      </w:r>
    </w:p>
    <w:p w14:paraId="130ED831"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25 % de las soldaduras a tope entre cartelas y alas, y de perfiles de arriostramiento a cartelas o alas.</w:t>
      </w:r>
    </w:p>
    <w:p w14:paraId="3B889E1A"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En elementos especiales, tales como basas o transmisiones locales todas las soldaduras a tope se controlarán con radiografías.</w:t>
      </w:r>
    </w:p>
    <w:p w14:paraId="03261E2C" w14:textId="77777777" w:rsidR="00D50726" w:rsidRPr="00857242" w:rsidRDefault="00D50726" w:rsidP="00857242">
      <w:pPr>
        <w:spacing w:before="120" w:after="120" w:line="360" w:lineRule="auto"/>
        <w:jc w:val="both"/>
        <w:rPr>
          <w:rFonts w:ascii="Arial" w:hAnsi="Arial" w:cs="Arial"/>
          <w:i/>
          <w:u w:val="single"/>
        </w:rPr>
      </w:pPr>
      <w:r w:rsidRPr="00857242">
        <w:rPr>
          <w:rFonts w:ascii="Arial" w:hAnsi="Arial" w:cs="Arial"/>
          <w:i/>
          <w:u w:val="single"/>
        </w:rPr>
        <w:t>Controles mediante ultrasonidos:</w:t>
      </w:r>
    </w:p>
    <w:p w14:paraId="68601F7A"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100 % de las zonas del alma no inspeccionadas mediante radiografías (en principio 3/4 de la altura de soldadura, salvo errores en el otro 1/4, como se establece en el párrafo anterior).</w:t>
      </w:r>
    </w:p>
    <w:p w14:paraId="4AA46C94"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100% de las soldaduras longitudinales en paneles de alma, si existen.</w:t>
      </w:r>
    </w:p>
    <w:p w14:paraId="20E651C5"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100 % de las soldaduras a tope en taller, en platabandas superiores comprimidas.</w:t>
      </w:r>
    </w:p>
    <w:p w14:paraId="3EDBAA8A"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lastRenderedPageBreak/>
        <w:t>100 % de las soldaduras a tope en taller en platabandas inferiores, no inspeccionadas mediante radiografía.</w:t>
      </w:r>
    </w:p>
    <w:p w14:paraId="0C2A3DE9"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100% de las soldaduras a penetración parcial de la platabanda inferior con el alma.</w:t>
      </w:r>
    </w:p>
    <w:p w14:paraId="4B95DBF3"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25% de las soldaduras a penetración parcial alma-ala superior. Se controlarán en su totalidad las soldaduras a cinco metros a cada lado de los extremos, sin contar en el porcentaje anterior.</w:t>
      </w:r>
    </w:p>
    <w:p w14:paraId="4F23DDFB"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25% de las soldaduras a tope entre cartelas y alas, y de perfiles de arriostramiento a cartelas o alas.</w:t>
      </w:r>
    </w:p>
    <w:p w14:paraId="2E07C4D2"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Cualquier soldadura a tope con penetración completa o parcial no definida expresamente en las relaciones anteriores, de modo que se garantice que el 100% de las soldaduras a penetración se ensaya bien con radiografías, bien con ultrasonidos.</w:t>
      </w:r>
    </w:p>
    <w:p w14:paraId="7B166F92" w14:textId="77777777" w:rsidR="00D50726" w:rsidRPr="00857242" w:rsidRDefault="00D50726" w:rsidP="00857242">
      <w:pPr>
        <w:spacing w:before="120" w:after="120" w:line="360" w:lineRule="auto"/>
        <w:jc w:val="both"/>
        <w:rPr>
          <w:rFonts w:ascii="Arial" w:hAnsi="Arial" w:cs="Arial"/>
          <w:i/>
          <w:u w:val="single"/>
        </w:rPr>
      </w:pPr>
      <w:r w:rsidRPr="00857242">
        <w:rPr>
          <w:rFonts w:ascii="Arial" w:hAnsi="Arial" w:cs="Arial"/>
          <w:i/>
          <w:u w:val="single"/>
        </w:rPr>
        <w:t>Controles mediante líquidos penetrantes y/o partículas magnéticas:</w:t>
      </w:r>
    </w:p>
    <w:p w14:paraId="26C33897" w14:textId="77777777" w:rsidR="00D50726" w:rsidRDefault="00D50726" w:rsidP="00857242">
      <w:pPr>
        <w:spacing w:before="120" w:after="120" w:line="360" w:lineRule="auto"/>
        <w:jc w:val="both"/>
        <w:rPr>
          <w:rFonts w:ascii="Arial" w:hAnsi="Arial" w:cs="Arial"/>
        </w:rPr>
      </w:pPr>
      <w:r w:rsidRPr="00FC7A5B">
        <w:rPr>
          <w:rFonts w:ascii="Arial" w:hAnsi="Arial" w:cs="Arial"/>
        </w:rPr>
        <w:t>Las soldaduras en ángulo se inspeccionarán mediante líquidos penetrantes o partículas magnéticas (100%).</w:t>
      </w:r>
    </w:p>
    <w:p w14:paraId="2A5EB8C5" w14:textId="77777777" w:rsidR="00D50726" w:rsidRPr="00857242" w:rsidRDefault="00D50726" w:rsidP="00857242">
      <w:pPr>
        <w:spacing w:before="120" w:after="120" w:line="360" w:lineRule="auto"/>
        <w:jc w:val="both"/>
        <w:rPr>
          <w:rFonts w:ascii="Arial" w:hAnsi="Arial" w:cs="Arial"/>
          <w:i/>
        </w:rPr>
      </w:pPr>
      <w:r w:rsidRPr="00857242">
        <w:rPr>
          <w:rFonts w:ascii="Arial" w:hAnsi="Arial" w:cs="Arial"/>
          <w:i/>
          <w:u w:val="single"/>
        </w:rPr>
        <w:t>Criterios de aceptación o rechazo</w:t>
      </w:r>
      <w:r w:rsidRPr="00857242">
        <w:rPr>
          <w:rFonts w:ascii="Arial" w:hAnsi="Arial" w:cs="Arial"/>
          <w:i/>
        </w:rPr>
        <w:t>:</w:t>
      </w:r>
    </w:p>
    <w:p w14:paraId="0EE33516"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En el apartado de ejecución y montaje, se establecen los criterios de aceptación o rechazo de una soldadura, según el tipo de control realizado.</w:t>
      </w:r>
    </w:p>
    <w:p w14:paraId="3D784676" w14:textId="77777777" w:rsidR="00D50726" w:rsidRDefault="00D50726" w:rsidP="005609D6">
      <w:pPr>
        <w:spacing w:before="120" w:after="120" w:line="360" w:lineRule="auto"/>
        <w:jc w:val="both"/>
        <w:rPr>
          <w:rFonts w:ascii="Arial" w:hAnsi="Arial" w:cs="Arial"/>
        </w:rPr>
      </w:pPr>
      <w:r w:rsidRPr="00FC7A5B">
        <w:rPr>
          <w:rFonts w:ascii="Arial" w:hAnsi="Arial" w:cs="Arial"/>
        </w:rPr>
        <w:t xml:space="preserve">En todas aquellas inspecciones en las que se establece un muestreo parcial (inferior al 100%), se aumentarán los controles previa consulta a la Dirección </w:t>
      </w:r>
      <w:r w:rsidR="00D50357">
        <w:rPr>
          <w:rFonts w:ascii="Arial" w:hAnsi="Arial" w:cs="Arial"/>
        </w:rPr>
        <w:t>de Obra</w:t>
      </w:r>
      <w:r w:rsidRPr="00FC7A5B">
        <w:rPr>
          <w:rFonts w:ascii="Arial" w:hAnsi="Arial" w:cs="Arial"/>
        </w:rPr>
        <w:t xml:space="preserve"> en todos aquellos elementos en los que se detecten fallos, pudiendo llegar al 100% de ensayos si la magnitud o trascendencia de los defectos así lo aconseja.</w:t>
      </w:r>
    </w:p>
    <w:p w14:paraId="4A3402EB" w14:textId="77777777" w:rsidR="00D50726" w:rsidRPr="00B4423F" w:rsidRDefault="00D50726" w:rsidP="00B4423F">
      <w:pPr>
        <w:spacing w:before="120" w:after="120" w:line="360" w:lineRule="auto"/>
        <w:jc w:val="both"/>
        <w:rPr>
          <w:rFonts w:ascii="Arial" w:hAnsi="Arial" w:cs="Arial"/>
          <w:i/>
          <w:u w:val="single"/>
        </w:rPr>
      </w:pPr>
      <w:r w:rsidRPr="00B4423F">
        <w:rPr>
          <w:rFonts w:ascii="Arial" w:hAnsi="Arial" w:cs="Arial"/>
          <w:i/>
          <w:u w:val="single"/>
        </w:rPr>
        <w:t>Pintura y acabado</w:t>
      </w:r>
    </w:p>
    <w:p w14:paraId="4860DA58" w14:textId="77777777" w:rsidR="00CF7652" w:rsidRDefault="00D50726" w:rsidP="005609D6">
      <w:pPr>
        <w:spacing w:before="120" w:after="120" w:line="360" w:lineRule="auto"/>
        <w:jc w:val="both"/>
        <w:rPr>
          <w:rFonts w:ascii="Arial" w:hAnsi="Arial" w:cs="Arial"/>
        </w:rPr>
      </w:pPr>
      <w:r w:rsidRPr="00FC7A5B">
        <w:rPr>
          <w:rFonts w:ascii="Arial" w:hAnsi="Arial" w:cs="Arial"/>
        </w:rPr>
        <w:t xml:space="preserve">Antes de la ejecución del sistema de pintura se elaborará un Programa de Control de Calidad específico para la pintura y acabado que recoja todos los puntos de control a realizar, y que deberá ser aprobado por la Dirección </w:t>
      </w:r>
      <w:r w:rsidR="00D50357">
        <w:rPr>
          <w:rFonts w:ascii="Arial" w:hAnsi="Arial" w:cs="Arial"/>
        </w:rPr>
        <w:t>de Obra</w:t>
      </w:r>
      <w:r w:rsidRPr="00FC7A5B">
        <w:rPr>
          <w:rFonts w:ascii="Arial" w:hAnsi="Arial" w:cs="Arial"/>
        </w:rPr>
        <w:t xml:space="preserve">. Dicho Programa deberá contemplar los puntos incluidos anteriormente en este artículo, relativo a la pintura sobre superficies de acero.  </w:t>
      </w:r>
    </w:p>
    <w:p w14:paraId="46A54E2A"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Dicho Programa deberá contemplar los siguientes puntos:</w:t>
      </w:r>
    </w:p>
    <w:p w14:paraId="4EB48630"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Ensayos de recepción e identificación de pinturas.</w:t>
      </w:r>
    </w:p>
    <w:p w14:paraId="7E8CAC9C"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Control de las características y estado operativo de equipamiento en general.</w:t>
      </w:r>
    </w:p>
    <w:p w14:paraId="75C6E051"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Verificación y control de medidas de seguridad.</w:t>
      </w:r>
    </w:p>
    <w:p w14:paraId="6998892C"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Calificación de operarios.</w:t>
      </w:r>
    </w:p>
    <w:p w14:paraId="1BD33FAB"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Definición de normas de referencia aplicables.</w:t>
      </w:r>
    </w:p>
    <w:p w14:paraId="123E3F11"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Control sobre el procedimiento de pintado.</w:t>
      </w:r>
    </w:p>
    <w:p w14:paraId="79062EA3"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Control sobre los procedimientos generales.</w:t>
      </w:r>
    </w:p>
    <w:p w14:paraId="7D381DA5"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Puntos de control con respecto a la Preparación de Superficies.</w:t>
      </w:r>
    </w:p>
    <w:p w14:paraId="6CD63BA6"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Comprobación del acabado general del recubrimiento</w:t>
      </w:r>
    </w:p>
    <w:p w14:paraId="71BB411E"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Medición de espesores de película seca según UNE-EN ISO 2808:2000 en un 10% de las superficies pintadas</w:t>
      </w:r>
    </w:p>
    <w:p w14:paraId="37BE18CE"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Ensayo cualitativo de adherencia por tracción según ASTM3359-D proceso B</w:t>
      </w:r>
    </w:p>
    <w:p w14:paraId="12CA68E3" w14:textId="77777777" w:rsidR="00D50726" w:rsidRPr="00FC7A5B" w:rsidRDefault="00D50726" w:rsidP="00857242">
      <w:pPr>
        <w:spacing w:before="120" w:after="120" w:line="360" w:lineRule="auto"/>
        <w:jc w:val="both"/>
        <w:rPr>
          <w:rFonts w:ascii="Arial" w:hAnsi="Arial" w:cs="Arial"/>
        </w:rPr>
      </w:pPr>
      <w:r w:rsidRPr="00FC7A5B">
        <w:rPr>
          <w:rFonts w:ascii="Arial" w:hAnsi="Arial" w:cs="Arial"/>
        </w:rPr>
        <w:t>Equipos de Inspección y Control:</w:t>
      </w:r>
    </w:p>
    <w:p w14:paraId="7A267BF7"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Tabla de punto de rocío</w:t>
      </w:r>
    </w:p>
    <w:p w14:paraId="316EB914"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Termómetro seco y húmedo</w:t>
      </w:r>
    </w:p>
    <w:p w14:paraId="7FBF01F6"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Termómetro de contacto</w:t>
      </w:r>
    </w:p>
    <w:p w14:paraId="5DBB486E"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Higrómetro</w:t>
      </w:r>
    </w:p>
    <w:p w14:paraId="74D68CC8"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Medidor de la rugosidad y comparadores</w:t>
      </w:r>
    </w:p>
    <w:p w14:paraId="65E3D947"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Medidor de película seca y húmeda</w:t>
      </w:r>
    </w:p>
    <w:p w14:paraId="7113661C"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Detector de poros</w:t>
      </w:r>
    </w:p>
    <w:p w14:paraId="104140E7"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Instrumentos para medir adherencia</w:t>
      </w:r>
    </w:p>
    <w:p w14:paraId="326393CB"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Lupas de 15 aumentos</w:t>
      </w:r>
    </w:p>
    <w:p w14:paraId="31299D3A"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Detectores de gases</w:t>
      </w:r>
    </w:p>
    <w:p w14:paraId="248182AE" w14:textId="77777777" w:rsidR="00CF7652" w:rsidRDefault="00CF7652" w:rsidP="00857242">
      <w:pPr>
        <w:spacing w:before="120" w:after="120" w:line="360" w:lineRule="auto"/>
        <w:jc w:val="both"/>
        <w:rPr>
          <w:rFonts w:ascii="Arial" w:hAnsi="Arial" w:cs="Arial"/>
        </w:rPr>
      </w:pPr>
    </w:p>
    <w:p w14:paraId="177F0110" w14:textId="77777777" w:rsidR="00D50726" w:rsidRPr="00FC7A5B" w:rsidRDefault="00D50726" w:rsidP="00857242">
      <w:pPr>
        <w:spacing w:before="120" w:after="120" w:line="360" w:lineRule="auto"/>
        <w:jc w:val="both"/>
        <w:rPr>
          <w:rFonts w:ascii="Arial" w:hAnsi="Arial" w:cs="Arial"/>
        </w:rPr>
      </w:pPr>
      <w:r w:rsidRPr="00FC7A5B">
        <w:rPr>
          <w:rFonts w:ascii="Arial" w:hAnsi="Arial" w:cs="Arial"/>
        </w:rPr>
        <w:lastRenderedPageBreak/>
        <w:t>Puntos de control con respecto a la Preparación de Superficies:</w:t>
      </w:r>
    </w:p>
    <w:p w14:paraId="7E5890F6"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Control y calibración de las herramientas</w:t>
      </w:r>
    </w:p>
    <w:p w14:paraId="26BE1884"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Limpieza de aceites y grasas (según SSPC-SP-1)</w:t>
      </w:r>
    </w:p>
    <w:p w14:paraId="65BF5033"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Temperatura del acero, determinada mediante termómetro magnético de acero bien calibrado o termómetro de contacto digital con una varilla de prueba apropiada. Esta temperatura no puede exceder los 40ºC.</w:t>
      </w:r>
    </w:p>
    <w:p w14:paraId="7774A2F8"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Temperatura del aire y humedad relativa (medida con indicadores como Higrómetros o similares)</w:t>
      </w:r>
    </w:p>
    <w:p w14:paraId="509CFA41" w14:textId="77777777" w:rsidR="00D50726" w:rsidRPr="00FC7A5B" w:rsidRDefault="00D50726" w:rsidP="00857242">
      <w:pPr>
        <w:spacing w:before="120" w:after="120" w:line="360" w:lineRule="auto"/>
        <w:jc w:val="both"/>
        <w:rPr>
          <w:rFonts w:ascii="Arial" w:hAnsi="Arial" w:cs="Arial"/>
        </w:rPr>
      </w:pPr>
      <w:r w:rsidRPr="00FC7A5B">
        <w:rPr>
          <w:rFonts w:ascii="Arial" w:hAnsi="Arial" w:cs="Arial"/>
        </w:rPr>
        <w:t>Puntos de control con respecto a los trabajos de pintado:</w:t>
      </w:r>
    </w:p>
    <w:p w14:paraId="31397AB0"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Comprobación del estado de los equipos y herramientas necesarias</w:t>
      </w:r>
    </w:p>
    <w:p w14:paraId="05247B12"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Condiciones de temperatura ambiente, temperatura del sustrato, humedad relativa y determinación del punto de rocío.</w:t>
      </w:r>
    </w:p>
    <w:p w14:paraId="63921FCD"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Espesor de película seca, mediante indicador bien calibrado. Esta verificación se hará siempre sobre película completamente seca.</w:t>
      </w:r>
    </w:p>
    <w:p w14:paraId="77DAF980" w14:textId="77777777" w:rsidR="00D50726" w:rsidRPr="00FC7A5B" w:rsidRDefault="00D50726" w:rsidP="00857242">
      <w:pPr>
        <w:spacing w:before="120" w:after="120" w:line="360" w:lineRule="auto"/>
        <w:jc w:val="both"/>
        <w:rPr>
          <w:rFonts w:ascii="Arial" w:hAnsi="Arial" w:cs="Arial"/>
        </w:rPr>
      </w:pPr>
      <w:r w:rsidRPr="00FC7A5B">
        <w:rPr>
          <w:rFonts w:ascii="Arial" w:hAnsi="Arial" w:cs="Arial"/>
        </w:rPr>
        <w:t>Inspección final a partir del curado:</w:t>
      </w:r>
    </w:p>
    <w:p w14:paraId="26A29146"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Comprobación del acabado general del recubrimiento</w:t>
      </w:r>
    </w:p>
    <w:p w14:paraId="45ABE1F4"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 xml:space="preserve">Medición de espesores de película seca, </w:t>
      </w:r>
      <w:proofErr w:type="gramStart"/>
      <w:r w:rsidRPr="00857242">
        <w:rPr>
          <w:rFonts w:ascii="Arial" w:hAnsi="Arial" w:cs="Arial"/>
          <w:sz w:val="24"/>
          <w:szCs w:val="24"/>
          <w:lang w:val="es-ES_tradnl"/>
        </w:rPr>
        <w:t>de acuerdo a</w:t>
      </w:r>
      <w:proofErr w:type="gramEnd"/>
      <w:r w:rsidRPr="00857242">
        <w:rPr>
          <w:rFonts w:ascii="Arial" w:hAnsi="Arial" w:cs="Arial"/>
          <w:sz w:val="24"/>
          <w:szCs w:val="24"/>
          <w:lang w:val="es-ES_tradnl"/>
        </w:rPr>
        <w:t xml:space="preserve"> la Norma y a las especificaciones aplicables</w:t>
      </w:r>
    </w:p>
    <w:p w14:paraId="6E0817F8"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Ensayo cualitativo de adherencia por tracción, sobre probetas planas</w:t>
      </w:r>
    </w:p>
    <w:p w14:paraId="478C6620"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Previamente a la ejecución se elaborará el Programa de Control de Calidad que recoja todos los puntos aquí expuestos, y que deberá ser aprobado por la Dirección </w:t>
      </w:r>
      <w:r w:rsidR="009F1466">
        <w:rPr>
          <w:rFonts w:ascii="Arial" w:hAnsi="Arial" w:cs="Arial"/>
        </w:rPr>
        <w:t>de Obra</w:t>
      </w:r>
      <w:r w:rsidRPr="00FC7A5B">
        <w:rPr>
          <w:rFonts w:ascii="Arial" w:hAnsi="Arial" w:cs="Arial"/>
        </w:rPr>
        <w:t>.</w:t>
      </w:r>
    </w:p>
    <w:p w14:paraId="7036BC27"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Se extenderá un certificado en el cual se exprese que la pintura cumple con lo especificado en este pliego (calidad, espesores y durabilidad), o que el grado de protección y calidad obtenidos son similares a los previstos en caso de variantes en tipo y aplicación de pintura (elementos en acero laminado pintado), siempre que éstos hayan sido previamente aceptados por la Dirección </w:t>
      </w:r>
      <w:r w:rsidR="009F1466">
        <w:rPr>
          <w:rFonts w:ascii="Arial" w:hAnsi="Arial" w:cs="Arial"/>
        </w:rPr>
        <w:t>de Obra</w:t>
      </w:r>
      <w:r w:rsidRPr="00FC7A5B">
        <w:rPr>
          <w:rFonts w:ascii="Arial" w:hAnsi="Arial" w:cs="Arial"/>
        </w:rPr>
        <w:t>.</w:t>
      </w:r>
    </w:p>
    <w:p w14:paraId="7EDD1EE6"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Se inspeccionará asimismo el acabado de las superficies granalladas en un 15% de su extensión.</w:t>
      </w:r>
    </w:p>
    <w:p w14:paraId="03F74BC7"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El cumplimiento del Reglamento de Control en lo que respecta a pintura y acabado será también responsabilidad del Laboratorio Responsable del Control.</w:t>
      </w:r>
    </w:p>
    <w:p w14:paraId="4122CC43" w14:textId="77777777" w:rsidR="00D50726" w:rsidRPr="00B4423F" w:rsidRDefault="00D50726" w:rsidP="00B4423F">
      <w:pPr>
        <w:spacing w:before="120" w:after="120" w:line="360" w:lineRule="auto"/>
        <w:jc w:val="both"/>
        <w:rPr>
          <w:rFonts w:ascii="Arial" w:hAnsi="Arial" w:cs="Arial"/>
          <w:i/>
          <w:u w:val="single"/>
        </w:rPr>
      </w:pPr>
      <w:r w:rsidRPr="00B4423F">
        <w:rPr>
          <w:rFonts w:ascii="Arial" w:hAnsi="Arial" w:cs="Arial"/>
          <w:i/>
          <w:u w:val="single"/>
        </w:rPr>
        <w:t>Dossier final</w:t>
      </w:r>
    </w:p>
    <w:p w14:paraId="6F02FE4E" w14:textId="77777777" w:rsidR="00D50726" w:rsidRPr="00FC7A5B" w:rsidRDefault="00D50726" w:rsidP="00B4423F">
      <w:pPr>
        <w:spacing w:before="120" w:after="120" w:line="360" w:lineRule="auto"/>
        <w:jc w:val="both"/>
        <w:rPr>
          <w:rFonts w:ascii="Arial" w:hAnsi="Arial" w:cs="Arial"/>
        </w:rPr>
      </w:pPr>
      <w:r w:rsidRPr="00FC7A5B">
        <w:rPr>
          <w:rFonts w:ascii="Arial" w:hAnsi="Arial" w:cs="Arial"/>
        </w:rPr>
        <w:t>Incluirá todos los controles de calidad definidos en el Pliego, como son:</w:t>
      </w:r>
    </w:p>
    <w:p w14:paraId="60E2D99D"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Certificados y recepción de materiales.</w:t>
      </w:r>
    </w:p>
    <w:p w14:paraId="79C34FCC"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Trazabilidad.</w:t>
      </w:r>
    </w:p>
    <w:p w14:paraId="54D9374D"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Homologación de soldaduras y procedimientos de soldadura.</w:t>
      </w:r>
    </w:p>
    <w:p w14:paraId="2C2B57EB"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Controles geométricos y dimensionales.</w:t>
      </w:r>
    </w:p>
    <w:p w14:paraId="15D8AF23"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Inspección de soldadura.</w:t>
      </w:r>
    </w:p>
    <w:p w14:paraId="34C3803F" w14:textId="77777777" w:rsidR="00D50726" w:rsidRPr="00857242"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57242">
        <w:rPr>
          <w:rFonts w:ascii="Arial" w:hAnsi="Arial" w:cs="Arial"/>
          <w:sz w:val="24"/>
          <w:szCs w:val="24"/>
          <w:lang w:val="es-ES_tradnl"/>
        </w:rPr>
        <w:t xml:space="preserve">Tratamiento superficial y acabado. se deberán incluir documentalmente en el Dossier de Calidad de ejecución de la estructura. </w:t>
      </w:r>
    </w:p>
    <w:p w14:paraId="4B1BC302"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Se incluirán tanto los controles en taller como los controles de obra.</w:t>
      </w:r>
    </w:p>
    <w:p w14:paraId="03150091" w14:textId="77777777" w:rsidR="00D50726" w:rsidRPr="00FC7A5B" w:rsidRDefault="00D50726" w:rsidP="005609D6">
      <w:pPr>
        <w:spacing w:before="120" w:after="120" w:line="360" w:lineRule="auto"/>
        <w:jc w:val="both"/>
        <w:rPr>
          <w:rFonts w:ascii="Arial" w:hAnsi="Arial" w:cs="Arial"/>
        </w:rPr>
      </w:pPr>
      <w:r w:rsidRPr="00B4423F">
        <w:rPr>
          <w:rFonts w:ascii="Arial" w:hAnsi="Arial" w:cs="Arial"/>
        </w:rPr>
        <w:t xml:space="preserve">A partir de los controles establecidos en el Pliego se realizará por parte del Laboratorio Responsable del Control el Plan de Puntos de Inspección a seguir durante la ejecución, que recoja todos los controles y prescripciones establecidos en el Pliego. Este PPI deberá ser sometido a aprobación previa por parte de la Dirección </w:t>
      </w:r>
      <w:r w:rsidR="009F1466">
        <w:rPr>
          <w:rFonts w:ascii="Arial" w:hAnsi="Arial" w:cs="Arial"/>
        </w:rPr>
        <w:t>de Obra</w:t>
      </w:r>
      <w:r w:rsidRPr="00B4423F">
        <w:rPr>
          <w:rFonts w:ascii="Arial" w:hAnsi="Arial" w:cs="Arial"/>
        </w:rPr>
        <w:t xml:space="preserve"> previamente a la ejecución de los trabajos.</w:t>
      </w:r>
    </w:p>
    <w:p w14:paraId="57C3702C" w14:textId="77777777" w:rsidR="00D50726" w:rsidRDefault="00D50726" w:rsidP="005609D6">
      <w:pPr>
        <w:spacing w:before="120" w:after="120" w:line="360" w:lineRule="auto"/>
        <w:jc w:val="both"/>
        <w:rPr>
          <w:rFonts w:ascii="Arial" w:hAnsi="Arial" w:cs="Arial"/>
        </w:rPr>
      </w:pPr>
      <w:r w:rsidRPr="00FC7A5B">
        <w:rPr>
          <w:rFonts w:ascii="Arial" w:hAnsi="Arial" w:cs="Arial"/>
        </w:rPr>
        <w:t xml:space="preserve">El Dossier de Calidad final de la estructura deberá acreditar finalmente el cumplimiento del PPI por parte del Laboratorio Responsable del Control y de los estamentos responsables de Control de Calidad tanto del taller como de la empresa constructora, y deberá entregarse al término de los trabajos un ejemplar debidamente firmado por las tres partes a la Dirección </w:t>
      </w:r>
      <w:r w:rsidR="00D50357">
        <w:rPr>
          <w:rFonts w:ascii="Arial" w:hAnsi="Arial" w:cs="Arial"/>
        </w:rPr>
        <w:t>de Obra</w:t>
      </w:r>
      <w:r w:rsidRPr="00FC7A5B">
        <w:rPr>
          <w:rFonts w:ascii="Arial" w:hAnsi="Arial" w:cs="Arial"/>
        </w:rPr>
        <w:t>, con independencia de que durante la ejecución de los mismos ésta pudiera exigir las documentaciones parciales que considere necesarias.</w:t>
      </w:r>
    </w:p>
    <w:p w14:paraId="7FB33C59" w14:textId="77777777" w:rsidR="00CF7652" w:rsidRDefault="00CF7652" w:rsidP="005609D6">
      <w:pPr>
        <w:spacing w:before="120" w:after="120" w:line="360" w:lineRule="auto"/>
        <w:jc w:val="both"/>
        <w:rPr>
          <w:rFonts w:ascii="Arial" w:hAnsi="Arial" w:cs="Arial"/>
        </w:rPr>
      </w:pPr>
    </w:p>
    <w:p w14:paraId="1A1F168C" w14:textId="77777777" w:rsidR="00CF7652" w:rsidRPr="00FC7A5B" w:rsidRDefault="00CF7652" w:rsidP="005609D6">
      <w:pPr>
        <w:spacing w:before="120" w:after="120" w:line="360" w:lineRule="auto"/>
        <w:jc w:val="both"/>
        <w:rPr>
          <w:rFonts w:ascii="Arial" w:hAnsi="Arial" w:cs="Arial"/>
        </w:rPr>
      </w:pPr>
    </w:p>
    <w:p w14:paraId="35B0C836" w14:textId="77777777" w:rsidR="00D50726" w:rsidRPr="00804F6A" w:rsidRDefault="00D50726" w:rsidP="00804F6A">
      <w:pPr>
        <w:spacing w:before="120" w:after="120" w:line="360" w:lineRule="auto"/>
        <w:jc w:val="both"/>
        <w:rPr>
          <w:rFonts w:ascii="Arial" w:hAnsi="Arial"/>
          <w:b/>
          <w:bCs/>
          <w:szCs w:val="20"/>
        </w:rPr>
      </w:pPr>
      <w:r w:rsidRPr="00804F6A">
        <w:rPr>
          <w:rFonts w:ascii="Arial" w:hAnsi="Arial"/>
          <w:b/>
          <w:bCs/>
          <w:szCs w:val="20"/>
        </w:rPr>
        <w:lastRenderedPageBreak/>
        <w:t>620.6.9</w:t>
      </w:r>
      <w:r w:rsidR="00891FDB" w:rsidRPr="00804F6A">
        <w:rPr>
          <w:rFonts w:ascii="Arial" w:hAnsi="Arial"/>
          <w:b/>
          <w:bCs/>
          <w:szCs w:val="20"/>
        </w:rPr>
        <w:t xml:space="preserve">. </w:t>
      </w:r>
      <w:r w:rsidRPr="00804F6A">
        <w:rPr>
          <w:rFonts w:ascii="Arial" w:hAnsi="Arial"/>
          <w:b/>
          <w:bCs/>
          <w:szCs w:val="20"/>
        </w:rPr>
        <w:t>Acopio</w:t>
      </w:r>
    </w:p>
    <w:p w14:paraId="59FD80CE"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Se comprobará que los perfiles y chapas laminados en caliente, para estructuras metálicas, acopiados se corresponden con todo lo previamente comunicado al </w:t>
      </w:r>
      <w:proofErr w:type="gramStart"/>
      <w:r w:rsidRPr="00FC7A5B">
        <w:rPr>
          <w:rFonts w:ascii="Arial" w:hAnsi="Arial"/>
          <w:szCs w:val="20"/>
        </w:rPr>
        <w:t>Director</w:t>
      </w:r>
      <w:proofErr w:type="gramEnd"/>
      <w:r w:rsidRPr="00FC7A5B">
        <w:rPr>
          <w:rFonts w:ascii="Arial" w:hAnsi="Arial"/>
          <w:szCs w:val="20"/>
        </w:rPr>
        <w:t xml:space="preserve"> de las Obras, según se especifica en el apartado 620.5.</w:t>
      </w:r>
    </w:p>
    <w:p w14:paraId="6D4339B9"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A los efectos del control de los acopios, se denomina unidad de inspección al material que simultáneamente cumpla las siguientes condiciones:</w:t>
      </w:r>
    </w:p>
    <w:p w14:paraId="470A54B5" w14:textId="77777777" w:rsidR="00D50726" w:rsidRPr="00891FDB"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91FDB">
        <w:rPr>
          <w:rFonts w:ascii="Arial" w:hAnsi="Arial" w:cs="Arial"/>
          <w:sz w:val="24"/>
          <w:szCs w:val="24"/>
          <w:lang w:val="es-ES_tradnl"/>
        </w:rPr>
        <w:t>Corresponde al mismo tipo y grado de acero.</w:t>
      </w:r>
    </w:p>
    <w:p w14:paraId="7260902C" w14:textId="77777777" w:rsidR="00D50726" w:rsidRPr="00891FDB"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91FDB">
        <w:rPr>
          <w:rFonts w:ascii="Arial" w:hAnsi="Arial" w:cs="Arial"/>
          <w:sz w:val="24"/>
          <w:szCs w:val="24"/>
          <w:lang w:val="es-ES_tradnl"/>
        </w:rPr>
        <w:t>Procede de un mismo fabricante.</w:t>
      </w:r>
    </w:p>
    <w:p w14:paraId="7D87E1D0" w14:textId="77777777" w:rsidR="00D50726" w:rsidRPr="00891FDB"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91FDB">
        <w:rPr>
          <w:rFonts w:ascii="Arial" w:hAnsi="Arial" w:cs="Arial"/>
          <w:sz w:val="24"/>
          <w:szCs w:val="24"/>
          <w:lang w:val="es-ES_tradnl"/>
        </w:rPr>
        <w:t>Pertenece a una de las siguientes series en función del espesor máximo de la sección:</w:t>
      </w:r>
    </w:p>
    <w:p w14:paraId="60EEF640" w14:textId="77777777" w:rsidR="00D50726" w:rsidRPr="00891FDB"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91FDB">
        <w:rPr>
          <w:rFonts w:ascii="Arial" w:hAnsi="Arial" w:cs="Arial"/>
          <w:sz w:val="24"/>
          <w:szCs w:val="24"/>
          <w:lang w:val="es-ES_tradnl"/>
        </w:rPr>
        <w:t xml:space="preserve"> serie ligera (e ≤16 mm)</w:t>
      </w:r>
    </w:p>
    <w:p w14:paraId="4A69E1AC" w14:textId="77777777" w:rsidR="00D50726" w:rsidRPr="00891FDB"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91FDB">
        <w:rPr>
          <w:rFonts w:ascii="Arial" w:hAnsi="Arial" w:cs="Arial"/>
          <w:sz w:val="24"/>
          <w:szCs w:val="24"/>
          <w:lang w:val="es-ES_tradnl"/>
        </w:rPr>
        <w:t xml:space="preserve"> serie media (16 mm &lt; e ≤ 40 mm)</w:t>
      </w:r>
    </w:p>
    <w:p w14:paraId="5B0356F4" w14:textId="77777777" w:rsidR="00D50726" w:rsidRPr="00891FDB"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91FDB">
        <w:rPr>
          <w:rFonts w:ascii="Arial" w:hAnsi="Arial" w:cs="Arial"/>
          <w:sz w:val="24"/>
          <w:szCs w:val="24"/>
          <w:lang w:val="es-ES_tradnl"/>
        </w:rPr>
        <w:t xml:space="preserve"> serie pesada (e &gt; 40 mm)</w:t>
      </w:r>
    </w:p>
    <w:p w14:paraId="2A2BB5D2" w14:textId="77777777" w:rsidR="00D50726" w:rsidRPr="00891FDB"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91FDB">
        <w:rPr>
          <w:rFonts w:ascii="Arial" w:hAnsi="Arial" w:cs="Arial"/>
          <w:sz w:val="24"/>
          <w:szCs w:val="24"/>
          <w:lang w:val="es-ES_tradnl"/>
        </w:rPr>
        <w:t>El tamaño máximo de la unidad de inspección será de:</w:t>
      </w:r>
    </w:p>
    <w:p w14:paraId="69EAF155" w14:textId="77777777" w:rsidR="00D50726" w:rsidRPr="00891FDB"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91FDB">
        <w:rPr>
          <w:rFonts w:ascii="Arial" w:hAnsi="Arial" w:cs="Arial"/>
          <w:sz w:val="24"/>
          <w:szCs w:val="24"/>
          <w:lang w:val="es-ES_tradnl"/>
        </w:rPr>
        <w:t>Ochenta toneladas (80 t), en el caso de acopios con una marca, sello o distintivo de calidad reconocido (620.8).</w:t>
      </w:r>
    </w:p>
    <w:p w14:paraId="753944FC" w14:textId="77777777" w:rsidR="00D50726" w:rsidRPr="00891FDB"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91FDB">
        <w:rPr>
          <w:rFonts w:ascii="Arial" w:hAnsi="Arial" w:cs="Arial"/>
          <w:sz w:val="24"/>
          <w:szCs w:val="24"/>
          <w:lang w:val="es-ES_tradnl"/>
        </w:rPr>
        <w:t>Cuarenta toneladas (40 t), en el caso de acopios sin una marca, sello o distintivo de calidad reconocido (620.8).</w:t>
      </w:r>
    </w:p>
    <w:p w14:paraId="31186219"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Los criterios que se describen a continuación para realizar el control de calidad de los acopios serán sin perjuicio de las facultades que corresponden al </w:t>
      </w:r>
      <w:proofErr w:type="gramStart"/>
      <w:r w:rsidRPr="00FC7A5B">
        <w:rPr>
          <w:rFonts w:ascii="Arial" w:hAnsi="Arial"/>
          <w:szCs w:val="20"/>
        </w:rPr>
        <w:t>Director</w:t>
      </w:r>
      <w:proofErr w:type="gramEnd"/>
      <w:r w:rsidRPr="00FC7A5B">
        <w:rPr>
          <w:rFonts w:ascii="Arial" w:hAnsi="Arial"/>
          <w:szCs w:val="20"/>
        </w:rPr>
        <w:t xml:space="preserve"> de Obra.</w:t>
      </w:r>
    </w:p>
    <w:p w14:paraId="0F7817F3" w14:textId="77777777" w:rsidR="00D50726" w:rsidRPr="00FC7A5B" w:rsidRDefault="00D50726" w:rsidP="00D50726">
      <w:pPr>
        <w:spacing w:before="120" w:after="120" w:line="360" w:lineRule="auto"/>
        <w:jc w:val="both"/>
        <w:rPr>
          <w:rFonts w:ascii="Arial" w:hAnsi="Arial"/>
          <w:szCs w:val="20"/>
        </w:rPr>
      </w:pPr>
      <w:r w:rsidRPr="00FC7A5B">
        <w:rPr>
          <w:rFonts w:ascii="Arial" w:hAnsi="Arial"/>
          <w:szCs w:val="20"/>
        </w:rPr>
        <w:t>Se distinguen dos niveles distintos de intensidad para el control de los acopios de estos productos:</w:t>
      </w:r>
    </w:p>
    <w:p w14:paraId="0D3B87F8"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t>Control de acopios con una marca, sello o distintivo de calidad reconocido (620.8)</w:t>
      </w:r>
    </w:p>
    <w:p w14:paraId="3FDBDB88" w14:textId="77777777" w:rsidR="00D50726" w:rsidRPr="00FC7A5B" w:rsidRDefault="00D50726" w:rsidP="00D50726">
      <w:pPr>
        <w:spacing w:before="120" w:after="120" w:line="360" w:lineRule="auto"/>
        <w:jc w:val="both"/>
        <w:rPr>
          <w:rFonts w:ascii="Arial" w:hAnsi="Arial"/>
          <w:szCs w:val="20"/>
        </w:rPr>
      </w:pPr>
      <w:r w:rsidRPr="00FC7A5B">
        <w:rPr>
          <w:rFonts w:ascii="Arial" w:hAnsi="Arial"/>
          <w:szCs w:val="20"/>
        </w:rPr>
        <w:t>En este caso, los resultados del control deben disponerse antes de la puesta en obra de la unidad de obra de la que formen parte.</w:t>
      </w:r>
    </w:p>
    <w:p w14:paraId="7081D136"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t>Control de acopios sin una marca, sello o distintivo de calidad reconocido (620.8)</w:t>
      </w:r>
    </w:p>
    <w:p w14:paraId="3F43F888" w14:textId="77777777" w:rsidR="00D50726" w:rsidRPr="00FC7A5B" w:rsidRDefault="00D50726" w:rsidP="00D50726">
      <w:pPr>
        <w:spacing w:before="120" w:after="120" w:line="360" w:lineRule="auto"/>
        <w:jc w:val="both"/>
        <w:rPr>
          <w:rFonts w:ascii="Arial" w:hAnsi="Arial"/>
          <w:szCs w:val="20"/>
        </w:rPr>
      </w:pPr>
      <w:r w:rsidRPr="00FC7A5B">
        <w:rPr>
          <w:rFonts w:ascii="Arial" w:hAnsi="Arial"/>
          <w:szCs w:val="20"/>
        </w:rPr>
        <w:t>En este caso los ensayos deben realizarse y obtenerse los resultados, previamente a la ejecución de la unidad de obra de la que vayan a formar parte, de tal forma que todos los productos de acero laminados en caliente para estructuras metálicas que se empleen en cada unidad de obra deben estar previamente totalmente identificados.</w:t>
      </w:r>
    </w:p>
    <w:p w14:paraId="2DA2533F" w14:textId="77777777" w:rsidR="00D50726" w:rsidRPr="009F1466" w:rsidRDefault="00D50726" w:rsidP="00804F6A">
      <w:pPr>
        <w:spacing w:before="120" w:after="120" w:line="360" w:lineRule="auto"/>
        <w:jc w:val="both"/>
        <w:rPr>
          <w:rFonts w:ascii="Arial" w:hAnsi="Arial"/>
          <w:b/>
          <w:bCs/>
          <w:i/>
          <w:szCs w:val="20"/>
        </w:rPr>
      </w:pPr>
      <w:r w:rsidRPr="009F1466">
        <w:rPr>
          <w:rFonts w:ascii="Arial" w:hAnsi="Arial"/>
          <w:b/>
          <w:bCs/>
          <w:i/>
          <w:szCs w:val="20"/>
        </w:rPr>
        <w:t>620.6.5</w:t>
      </w:r>
      <w:r w:rsidR="00891FDB" w:rsidRPr="009F1466">
        <w:rPr>
          <w:rFonts w:ascii="Arial" w:hAnsi="Arial"/>
          <w:b/>
          <w:bCs/>
          <w:i/>
          <w:szCs w:val="20"/>
        </w:rPr>
        <w:t>.</w:t>
      </w:r>
      <w:r w:rsidR="00205C8F" w:rsidRPr="009F1466">
        <w:rPr>
          <w:rFonts w:ascii="Arial" w:hAnsi="Arial"/>
          <w:b/>
          <w:bCs/>
          <w:i/>
          <w:szCs w:val="20"/>
        </w:rPr>
        <w:t xml:space="preserve"> </w:t>
      </w:r>
      <w:r w:rsidRPr="009F1466">
        <w:rPr>
          <w:rFonts w:ascii="Arial" w:hAnsi="Arial"/>
          <w:b/>
          <w:bCs/>
          <w:i/>
          <w:szCs w:val="20"/>
        </w:rPr>
        <w:t>Criterios de aceptación y rechazo</w:t>
      </w:r>
    </w:p>
    <w:p w14:paraId="4760698F" w14:textId="77777777" w:rsidR="00D50726" w:rsidRPr="00FC7A5B" w:rsidRDefault="00D50726" w:rsidP="00D50726">
      <w:pPr>
        <w:spacing w:before="120" w:after="120" w:line="360" w:lineRule="auto"/>
        <w:jc w:val="both"/>
        <w:rPr>
          <w:rFonts w:ascii="Arial" w:hAnsi="Arial"/>
          <w:szCs w:val="20"/>
        </w:rPr>
      </w:pPr>
      <w:r w:rsidRPr="00FC7A5B">
        <w:rPr>
          <w:rFonts w:ascii="Arial" w:hAnsi="Arial"/>
          <w:szCs w:val="20"/>
        </w:rPr>
        <w:t>Los criterios de aceptación y rechazo serán:</w:t>
      </w:r>
    </w:p>
    <w:p w14:paraId="58BE6C56"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t>Composición química (620.3.1.1) y características tecnológicas (620.3.1.3): Cada unidad de inspección será controlada mediante un ensayo de cada una de las características, según se especifica en la norma UNE-EN-10025 o en la norma de condiciones técnicas de suministro que en cada caso corresponda (</w:t>
      </w:r>
      <w:r w:rsidR="00675909" w:rsidRPr="00675909">
        <w:rPr>
          <w:rFonts w:ascii="Arial" w:hAnsi="Arial"/>
          <w:szCs w:val="20"/>
        </w:rPr>
        <w:t>UNE</w:t>
      </w:r>
      <w:r w:rsidR="00675909" w:rsidRPr="00675909">
        <w:rPr>
          <w:rFonts w:ascii="Arial" w:hAnsi="Arial"/>
          <w:szCs w:val="20"/>
        </w:rPr>
        <w:noBreakHyphen/>
        <w:t>EN 10025</w:t>
      </w:r>
      <w:r w:rsidR="00675909" w:rsidRPr="00675909">
        <w:rPr>
          <w:rFonts w:ascii="Arial" w:hAnsi="Arial"/>
          <w:szCs w:val="20"/>
        </w:rPr>
        <w:noBreakHyphen/>
        <w:t>4:2007</w:t>
      </w:r>
      <w:r w:rsidRPr="00FC7A5B">
        <w:rPr>
          <w:rFonts w:ascii="Arial" w:hAnsi="Arial"/>
          <w:noProof/>
          <w:szCs w:val="20"/>
        </w:rPr>
        <w:t xml:space="preserve">, </w:t>
      </w:r>
      <w:r w:rsidR="00FD0C96" w:rsidRPr="00FD0C96">
        <w:rPr>
          <w:rFonts w:ascii="Arial" w:hAnsi="Arial"/>
          <w:szCs w:val="20"/>
        </w:rPr>
        <w:t>UNE</w:t>
      </w:r>
      <w:r w:rsidR="00FD0C96" w:rsidRPr="00FD0C96">
        <w:rPr>
          <w:rFonts w:ascii="Arial" w:hAnsi="Arial"/>
          <w:szCs w:val="20"/>
        </w:rPr>
        <w:noBreakHyphen/>
        <w:t>EN 10025</w:t>
      </w:r>
      <w:r w:rsidR="00FD0C96" w:rsidRPr="00FD0C96">
        <w:rPr>
          <w:rFonts w:ascii="Arial" w:hAnsi="Arial"/>
          <w:szCs w:val="20"/>
        </w:rPr>
        <w:noBreakHyphen/>
        <w:t>6:2007</w:t>
      </w:r>
      <w:r w:rsidR="00FD0C96" w:rsidRPr="00FD0C96">
        <w:rPr>
          <w:rFonts w:ascii="Arial" w:hAnsi="Arial"/>
          <w:szCs w:val="20"/>
        </w:rPr>
        <w:noBreakHyphen/>
        <w:t>A1:2009</w:t>
      </w:r>
      <w:r w:rsidRPr="00FC7A5B">
        <w:rPr>
          <w:rFonts w:ascii="Arial" w:hAnsi="Arial"/>
          <w:noProof/>
          <w:szCs w:val="20"/>
        </w:rPr>
        <w:t>, UNE-EN-10155 o UNE-EN-10164). Si los resultados de todos los ensayos son satisfactorios, la unidad de inspección será aceptada. Si el resultado, para alguna de las características, no es satisfactorio, se efectuará un nuevo ensayo de esa característica sobre cuatro (4) nuevas probetas de la unidad de inspección correspondiente. Cualquier fallo registrado en estos nuevos ensayos obligará a rechazar la unidad de inspección.</w:t>
      </w:r>
    </w:p>
    <w:p w14:paraId="1C4F13D5"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t>Tolerancias dimensionales, de forma y de masa (620.3.2): Cada unidad de inspección será controlada mediante ensayos sobre un producto muestra. Si los resultados de todos los ensayos son satisfactorios, la unidad de inspección será aceptada. Si el resultado, para alguna de las características, no es satisfactorio, se efectuará un nuevo ensayo de esa característica sobre cuatro (4) nuevos productos muestra de la unidad de inspección correspondiente. Cualquier fallo registrado en estos nuevos ensayos obligará a rechazar la unidad de inspección.</w:t>
      </w:r>
    </w:p>
    <w:p w14:paraId="20B89E22"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t>Características mecánicas (620.3.1.2): Cada unidad de inspección será controlada mediante ensayos sobre dos juegos de probetas, que se tomarán, según se especifica en la norma UNE-EN-10025 o en la norma de condiciones técnicas de suministro que en cada caso corresponda (</w:t>
      </w:r>
      <w:r w:rsidR="00675909" w:rsidRPr="00675909">
        <w:rPr>
          <w:rFonts w:ascii="Arial" w:hAnsi="Arial"/>
          <w:szCs w:val="20"/>
        </w:rPr>
        <w:t>UNE</w:t>
      </w:r>
      <w:r w:rsidR="00675909" w:rsidRPr="00675909">
        <w:rPr>
          <w:rFonts w:ascii="Arial" w:hAnsi="Arial"/>
          <w:szCs w:val="20"/>
        </w:rPr>
        <w:noBreakHyphen/>
        <w:t>EN 10025</w:t>
      </w:r>
      <w:r w:rsidR="00675909" w:rsidRPr="00675909">
        <w:rPr>
          <w:rFonts w:ascii="Arial" w:hAnsi="Arial"/>
          <w:szCs w:val="20"/>
        </w:rPr>
        <w:noBreakHyphen/>
        <w:t>4:2007</w:t>
      </w:r>
      <w:r w:rsidRPr="00FC7A5B">
        <w:rPr>
          <w:rFonts w:ascii="Arial" w:hAnsi="Arial"/>
          <w:noProof/>
          <w:szCs w:val="20"/>
        </w:rPr>
        <w:t xml:space="preserve">, </w:t>
      </w:r>
      <w:r w:rsidR="00FD0C96" w:rsidRPr="00FD0C96">
        <w:rPr>
          <w:rFonts w:ascii="Arial" w:hAnsi="Arial"/>
          <w:szCs w:val="20"/>
        </w:rPr>
        <w:t>UNE</w:t>
      </w:r>
      <w:r w:rsidR="00FD0C96" w:rsidRPr="00FD0C96">
        <w:rPr>
          <w:rFonts w:ascii="Arial" w:hAnsi="Arial"/>
          <w:szCs w:val="20"/>
        </w:rPr>
        <w:noBreakHyphen/>
        <w:t>EN 10025</w:t>
      </w:r>
      <w:r w:rsidR="00FD0C96" w:rsidRPr="00FD0C96">
        <w:rPr>
          <w:rFonts w:ascii="Arial" w:hAnsi="Arial"/>
          <w:szCs w:val="20"/>
        </w:rPr>
        <w:noBreakHyphen/>
        <w:t>6:2007</w:t>
      </w:r>
      <w:r w:rsidR="00FD0C96" w:rsidRPr="00FD0C96">
        <w:rPr>
          <w:rFonts w:ascii="Arial" w:hAnsi="Arial"/>
          <w:szCs w:val="20"/>
        </w:rPr>
        <w:noBreakHyphen/>
        <w:t>A1:2009</w:t>
      </w:r>
      <w:r w:rsidRPr="00FC7A5B">
        <w:rPr>
          <w:rFonts w:ascii="Arial" w:hAnsi="Arial"/>
          <w:noProof/>
          <w:szCs w:val="20"/>
        </w:rPr>
        <w:t xml:space="preserve">, UNE-EN-10155 o UNE-EN-10164). Si los resultados de ambos ensayos son satisfactorios, la unidad de inspección será aceptada. Si los dos resultados fuesen no satisfactorios, la unidad de inspección será rechazada, y si solamente uno de ellos resulta no satisfactorio, se efectuará un nuevo ensayo </w:t>
      </w:r>
      <w:r w:rsidRPr="00FC7A5B">
        <w:rPr>
          <w:rFonts w:ascii="Arial" w:hAnsi="Arial"/>
          <w:noProof/>
          <w:szCs w:val="20"/>
        </w:rPr>
        <w:lastRenderedPageBreak/>
        <w:t>completo de todas las características mecánicas sobre dieciséis (16) juegos de probetas de la unidad de inspección correspondiente. El resultado se considerará satisfactorio si la media aritmética de los resultados obtenidos supera el valor mínimo garantizado y todos los resultados superan el 95 % de dicho valor. En caso contrario la unidad de inspección será rechazada. En el caso de Rm además de lo citado anteriormente, la media aritmética será inferior al valor máximo garantizado y todos los resultados serán inferiores al ciento cinco por ciento (105%) de dicho valor.</w:t>
      </w:r>
    </w:p>
    <w:p w14:paraId="65974A54" w14:textId="77777777" w:rsidR="00D50726" w:rsidRPr="00FC7A5B" w:rsidRDefault="00D50726" w:rsidP="00D50726">
      <w:pPr>
        <w:spacing w:before="120" w:after="120" w:line="360" w:lineRule="auto"/>
        <w:jc w:val="both"/>
        <w:rPr>
          <w:rFonts w:ascii="Arial" w:hAnsi="Arial"/>
          <w:noProof/>
          <w:szCs w:val="20"/>
        </w:rPr>
      </w:pPr>
      <w:r w:rsidRPr="00FC7A5B">
        <w:rPr>
          <w:rFonts w:ascii="Arial" w:hAnsi="Arial"/>
          <w:noProof/>
          <w:szCs w:val="20"/>
        </w:rPr>
        <w:t>Los indicados en el apartado de Control de Calidad, que deben estar incluidos en el Programa de Control de Calidad elaborado por el taller metálico.</w:t>
      </w:r>
    </w:p>
    <w:p w14:paraId="780B5965" w14:textId="77777777" w:rsidR="00D50726" w:rsidRPr="002D78A2" w:rsidRDefault="00D50726" w:rsidP="000313DD">
      <w:pPr>
        <w:pStyle w:val="TITU2"/>
        <w:rPr>
          <w:lang w:val="es-ES_tradnl"/>
        </w:rPr>
      </w:pPr>
      <w:bookmarkStart w:id="763" w:name="_Toc399509008"/>
      <w:bookmarkStart w:id="764" w:name="_Toc411505889"/>
      <w:bookmarkStart w:id="765" w:name="_Toc433280481"/>
      <w:bookmarkStart w:id="766" w:name="_Toc448916064"/>
      <w:bookmarkStart w:id="767" w:name="_Toc404434"/>
      <w:r w:rsidRPr="002D78A2">
        <w:rPr>
          <w:lang w:val="es-ES_tradnl"/>
        </w:rPr>
        <w:t>620.7.</w:t>
      </w:r>
      <w:r w:rsidR="00891FDB">
        <w:rPr>
          <w:lang w:val="es-ES_tradnl"/>
        </w:rPr>
        <w:t xml:space="preserve"> </w:t>
      </w:r>
      <w:r w:rsidRPr="002D78A2">
        <w:rPr>
          <w:lang w:val="es-ES_tradnl"/>
        </w:rPr>
        <w:tab/>
        <w:t>Almacenamiento</w:t>
      </w:r>
      <w:bookmarkEnd w:id="763"/>
      <w:bookmarkEnd w:id="764"/>
      <w:bookmarkEnd w:id="765"/>
      <w:bookmarkEnd w:id="766"/>
      <w:bookmarkEnd w:id="767"/>
    </w:p>
    <w:p w14:paraId="66717292"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 xml:space="preserve">Los perfiles y chapas de acero laminados en caliente para estructuras </w:t>
      </w:r>
      <w:proofErr w:type="gramStart"/>
      <w:r w:rsidRPr="00FC7A5B">
        <w:rPr>
          <w:rFonts w:ascii="Arial" w:hAnsi="Arial"/>
          <w:szCs w:val="20"/>
        </w:rPr>
        <w:t>metálicas,</w:t>
      </w:r>
      <w:proofErr w:type="gramEnd"/>
      <w:r w:rsidRPr="00FC7A5B">
        <w:rPr>
          <w:rFonts w:ascii="Arial" w:hAnsi="Arial"/>
          <w:szCs w:val="20"/>
        </w:rPr>
        <w:t xml:space="preserve"> se almacenarán de forma que no se perjudique su estado de conservación.</w:t>
      </w:r>
    </w:p>
    <w:p w14:paraId="2945470C" w14:textId="77777777" w:rsidR="00D50726" w:rsidRPr="002D78A2" w:rsidRDefault="00D50726" w:rsidP="000313DD">
      <w:pPr>
        <w:pStyle w:val="TITU2"/>
        <w:rPr>
          <w:lang w:val="es-ES_tradnl"/>
        </w:rPr>
      </w:pPr>
      <w:bookmarkStart w:id="768" w:name="_Toc433280482"/>
      <w:bookmarkStart w:id="769" w:name="_Toc448916065"/>
      <w:bookmarkStart w:id="770" w:name="_Toc404435"/>
      <w:bookmarkStart w:id="771" w:name="_Toc399509009"/>
      <w:bookmarkStart w:id="772" w:name="_Toc411505890"/>
      <w:r w:rsidRPr="002D78A2">
        <w:rPr>
          <w:lang w:val="es-ES_tradnl"/>
        </w:rPr>
        <w:t xml:space="preserve">620.8. </w:t>
      </w:r>
      <w:r w:rsidRPr="002D78A2">
        <w:rPr>
          <w:lang w:val="es-ES_tradnl"/>
        </w:rPr>
        <w:tab/>
        <w:t>Normas aplicables</w:t>
      </w:r>
      <w:bookmarkEnd w:id="768"/>
      <w:bookmarkEnd w:id="769"/>
      <w:bookmarkEnd w:id="770"/>
    </w:p>
    <w:p w14:paraId="61C36270" w14:textId="77777777" w:rsidR="00D50726" w:rsidRPr="00804F6A"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M.O.P.U. PG.3, Pliego de prescripciones técnicas generales para obras de carreteras y puentes.</w:t>
      </w:r>
    </w:p>
    <w:p w14:paraId="1FA43CAE" w14:textId="77777777" w:rsidR="00D50726" w:rsidRPr="00804F6A"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CTE</w:t>
      </w:r>
    </w:p>
    <w:p w14:paraId="7AB89874" w14:textId="77777777" w:rsidR="00D50726" w:rsidRPr="00804F6A"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Normas U.N.E.</w:t>
      </w:r>
    </w:p>
    <w:p w14:paraId="16BD91A7" w14:textId="77777777" w:rsidR="00D50726" w:rsidRPr="00804F6A"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UNE</w:t>
      </w:r>
      <w:r w:rsidR="005609C2">
        <w:rPr>
          <w:rFonts w:ascii="Arial" w:hAnsi="Arial" w:cs="Arial"/>
          <w:sz w:val="24"/>
          <w:szCs w:val="24"/>
          <w:lang w:val="es-ES_tradnl"/>
        </w:rPr>
        <w:t>-</w:t>
      </w:r>
      <w:r w:rsidRPr="00804F6A">
        <w:rPr>
          <w:rFonts w:ascii="Arial" w:hAnsi="Arial" w:cs="Arial"/>
          <w:sz w:val="24"/>
          <w:szCs w:val="24"/>
          <w:lang w:val="es-ES_tradnl"/>
        </w:rPr>
        <w:t>ENV 1090: Ejecución de estructuras de acero.</w:t>
      </w:r>
    </w:p>
    <w:p w14:paraId="018982B9" w14:textId="77777777" w:rsidR="00D50726" w:rsidRPr="00A3518D"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n-US"/>
        </w:rPr>
      </w:pPr>
      <w:r w:rsidRPr="00A3518D">
        <w:rPr>
          <w:rFonts w:ascii="Arial" w:hAnsi="Arial" w:cs="Arial"/>
          <w:sz w:val="24"/>
          <w:szCs w:val="24"/>
          <w:lang w:val="en-US"/>
        </w:rPr>
        <w:t>EN 10025-5:2004: Hot rolled products of structural steels - Part 5: Technical delivery conditions for structural steels with improved atmospheric corrosion resistance.</w:t>
      </w:r>
    </w:p>
    <w:p w14:paraId="13689886" w14:textId="77777777" w:rsidR="00D50726" w:rsidRPr="00804F6A"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UNE</w:t>
      </w:r>
      <w:r w:rsidR="005609C2">
        <w:rPr>
          <w:rFonts w:ascii="Arial" w:hAnsi="Arial" w:cs="Arial"/>
          <w:sz w:val="24"/>
          <w:szCs w:val="24"/>
          <w:lang w:val="es-ES_tradnl"/>
        </w:rPr>
        <w:t>-</w:t>
      </w:r>
      <w:r w:rsidRPr="00804F6A">
        <w:rPr>
          <w:rFonts w:ascii="Arial" w:hAnsi="Arial" w:cs="Arial"/>
          <w:sz w:val="24"/>
          <w:szCs w:val="24"/>
          <w:lang w:val="es-ES_tradnl"/>
        </w:rPr>
        <w:t>EN 10025. Productos laminados en caliente, de acero no aleado, para construcciones metálicas de uso general.</w:t>
      </w:r>
    </w:p>
    <w:p w14:paraId="2EB011B1" w14:textId="77777777" w:rsidR="00D50726" w:rsidRPr="00804F6A"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UNE</w:t>
      </w:r>
      <w:r w:rsidR="005609C2">
        <w:rPr>
          <w:rFonts w:ascii="Arial" w:hAnsi="Arial" w:cs="Arial"/>
          <w:sz w:val="24"/>
          <w:szCs w:val="24"/>
          <w:lang w:val="es-ES_tradnl"/>
        </w:rPr>
        <w:t>-</w:t>
      </w:r>
      <w:r w:rsidRPr="00804F6A">
        <w:rPr>
          <w:rFonts w:ascii="Arial" w:hAnsi="Arial" w:cs="Arial"/>
          <w:sz w:val="24"/>
          <w:szCs w:val="24"/>
          <w:lang w:val="es-ES_tradnl"/>
        </w:rPr>
        <w:t>EN 10021: 1994: Acero y productos Siderúrgicos. Condiciones Técnicas generales de suministro.</w:t>
      </w:r>
    </w:p>
    <w:p w14:paraId="33A37D72" w14:textId="77777777" w:rsidR="00D50726" w:rsidRPr="00804F6A"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UNE</w:t>
      </w:r>
      <w:r w:rsidR="005609C2">
        <w:rPr>
          <w:rFonts w:ascii="Arial" w:hAnsi="Arial" w:cs="Arial"/>
          <w:sz w:val="24"/>
          <w:szCs w:val="24"/>
          <w:lang w:val="es-ES_tradnl"/>
        </w:rPr>
        <w:t>-</w:t>
      </w:r>
      <w:r w:rsidRPr="00804F6A">
        <w:rPr>
          <w:rFonts w:ascii="Arial" w:hAnsi="Arial" w:cs="Arial"/>
          <w:sz w:val="24"/>
          <w:szCs w:val="24"/>
          <w:lang w:val="es-ES_tradnl"/>
        </w:rPr>
        <w:t>EN 10025-1:2006: Productos laminados en caliente de aceros para estructuras. Parte 1: Condiciones técnicas generales de suministro.</w:t>
      </w:r>
    </w:p>
    <w:p w14:paraId="22103AD9" w14:textId="77777777" w:rsidR="00D50726" w:rsidRPr="00804F6A"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UNE-EN 10160:2000: Examen por ultrasonidos de los productos planos de acero de espesor igual o superior a 6 mm (método de reflexión).</w:t>
      </w:r>
    </w:p>
    <w:p w14:paraId="63AE4A0B" w14:textId="77777777" w:rsidR="00D50726" w:rsidRPr="00804F6A"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UNE-EN 287-1:2004: Cualificación de soldadores. Soldeo por fusión. Parte 1: Aceros.</w:t>
      </w:r>
    </w:p>
    <w:p w14:paraId="305B7AD3" w14:textId="77777777" w:rsidR="00D50726" w:rsidRPr="00804F6A"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UNE-EN 287-1:2004: Cualificación de soldadores. Soldeo por fusión. Parte 1: Aceros (versión oficial UNE-EN 287-1:2004).</w:t>
      </w:r>
    </w:p>
    <w:p w14:paraId="4083C552" w14:textId="77777777" w:rsidR="00D50726" w:rsidRPr="00804F6A"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UNE-EN 12517-1: 2006. Examen no destructivo de Soldaduras. Examen Radiográfico de uniones soldadas. Niveles de aceptación.</w:t>
      </w:r>
    </w:p>
    <w:p w14:paraId="1A35BE5F" w14:textId="77777777" w:rsidR="00D50726" w:rsidRPr="00804F6A"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UNE-EN 1597-1: 1998: Consumibles para el soldeo. Métodos de ensayo. Parte 1: Conjunto para el ensayo de probetas de metal depositado en acero, níquel y aleaciones de níquel.</w:t>
      </w:r>
    </w:p>
    <w:p w14:paraId="1AD5055A" w14:textId="77777777" w:rsidR="00D50726" w:rsidRPr="00FC7A5B" w:rsidRDefault="00D50726" w:rsidP="00221E1A">
      <w:pPr>
        <w:pStyle w:val="Prrafodelista"/>
        <w:numPr>
          <w:ilvl w:val="1"/>
          <w:numId w:val="180"/>
        </w:numPr>
        <w:tabs>
          <w:tab w:val="left" w:pos="284"/>
        </w:tabs>
        <w:spacing w:before="120" w:after="120" w:line="360" w:lineRule="auto"/>
        <w:jc w:val="both"/>
        <w:rPr>
          <w:rFonts w:ascii="Arial" w:hAnsi="Arial" w:cs="Arial"/>
        </w:rPr>
      </w:pPr>
      <w:r w:rsidRPr="00804F6A">
        <w:rPr>
          <w:rFonts w:ascii="Arial" w:hAnsi="Arial" w:cs="Arial"/>
          <w:sz w:val="24"/>
          <w:szCs w:val="24"/>
          <w:lang w:val="es-ES_tradnl"/>
        </w:rPr>
        <w:t>UNE 7475-1: 1992: Materiales metálicas. Ensayo de flexión por choque sobre probeta Charpy. Parte 1: Método de ensayo.</w:t>
      </w:r>
    </w:p>
    <w:p w14:paraId="793B0211" w14:textId="77777777" w:rsidR="00D50726" w:rsidRPr="00804F6A"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Normas DIN</w:t>
      </w:r>
    </w:p>
    <w:p w14:paraId="67CB451A" w14:textId="77777777" w:rsidR="00D50726" w:rsidRPr="00804F6A"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DIN 50.049: Certificaciones de Ensayos de Materiales.</w:t>
      </w:r>
    </w:p>
    <w:p w14:paraId="7C26EB41" w14:textId="77777777" w:rsidR="00D50726" w:rsidRPr="00804F6A"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 xml:space="preserve">DIN 54111,54109: Instrucción para la realización y control de imágenes de ensayos de uniones soldadas con Rayos </w:t>
      </w:r>
      <w:proofErr w:type="spellStart"/>
      <w:r w:rsidRPr="00804F6A">
        <w:rPr>
          <w:rFonts w:ascii="Arial" w:hAnsi="Arial" w:cs="Arial"/>
          <w:sz w:val="24"/>
          <w:szCs w:val="24"/>
          <w:lang w:val="es-ES_tradnl"/>
        </w:rPr>
        <w:t>Roetgen</w:t>
      </w:r>
      <w:proofErr w:type="spellEnd"/>
      <w:r w:rsidRPr="00804F6A">
        <w:rPr>
          <w:rFonts w:ascii="Arial" w:hAnsi="Arial" w:cs="Arial"/>
          <w:sz w:val="24"/>
          <w:szCs w:val="24"/>
          <w:lang w:val="es-ES_tradnl"/>
        </w:rPr>
        <w:t xml:space="preserve"> y Gamma.</w:t>
      </w:r>
    </w:p>
    <w:p w14:paraId="7C1C23A1" w14:textId="77777777" w:rsidR="00D50726" w:rsidRPr="00804F6A"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AISC</w:t>
      </w:r>
    </w:p>
    <w:p w14:paraId="5E8FE3FA" w14:textId="77777777" w:rsidR="00D50726" w:rsidRPr="00A3518D"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n-US"/>
        </w:rPr>
      </w:pPr>
      <w:r w:rsidRPr="00A3518D">
        <w:rPr>
          <w:rFonts w:ascii="Arial" w:hAnsi="Arial" w:cs="Arial"/>
          <w:sz w:val="24"/>
          <w:szCs w:val="24"/>
          <w:lang w:val="en-US"/>
        </w:rPr>
        <w:t xml:space="preserve">a) AISC-Code of Standard </w:t>
      </w:r>
      <w:proofErr w:type="spellStart"/>
      <w:r w:rsidRPr="00A3518D">
        <w:rPr>
          <w:rFonts w:ascii="Arial" w:hAnsi="Arial" w:cs="Arial"/>
          <w:sz w:val="24"/>
          <w:szCs w:val="24"/>
          <w:lang w:val="en-US"/>
        </w:rPr>
        <w:t>Parctice</w:t>
      </w:r>
      <w:proofErr w:type="spellEnd"/>
      <w:r w:rsidRPr="00A3518D">
        <w:rPr>
          <w:rFonts w:ascii="Arial" w:hAnsi="Arial" w:cs="Arial"/>
          <w:sz w:val="24"/>
          <w:szCs w:val="24"/>
          <w:lang w:val="en-US"/>
        </w:rPr>
        <w:t xml:space="preserve"> for Steel Buildings and Bridges (1976).</w:t>
      </w:r>
    </w:p>
    <w:p w14:paraId="5129DDD6" w14:textId="77777777" w:rsidR="00D50726" w:rsidRPr="00A3518D"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n-US"/>
        </w:rPr>
      </w:pPr>
      <w:r w:rsidRPr="00A3518D">
        <w:rPr>
          <w:rFonts w:ascii="Arial" w:hAnsi="Arial" w:cs="Arial"/>
          <w:sz w:val="24"/>
          <w:szCs w:val="24"/>
          <w:lang w:val="en-US"/>
        </w:rPr>
        <w:t>AWS D1.1.90 Structural Welding Code (American Welding Code).</w:t>
      </w:r>
    </w:p>
    <w:p w14:paraId="4E3049C9" w14:textId="77777777" w:rsidR="00D50726" w:rsidRPr="00804F6A"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Homologación de procedimiento de soldadura</w:t>
      </w:r>
    </w:p>
    <w:p w14:paraId="2D8B8534" w14:textId="77777777" w:rsidR="00D50726" w:rsidRPr="00804F6A"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Realización de radiografías en soldadura.</w:t>
      </w:r>
    </w:p>
    <w:p w14:paraId="5C81E5EB" w14:textId="77777777" w:rsidR="00D50726" w:rsidRPr="00804F6A"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Pruebas no destructivas (Ultrasonidos, Líquidos penetrantes, Partículas magnéticas, etc.).</w:t>
      </w:r>
    </w:p>
    <w:p w14:paraId="7E5E53E4" w14:textId="77777777" w:rsidR="00D50726" w:rsidRPr="00804F6A" w:rsidRDefault="00D50726" w:rsidP="00221E1A">
      <w:pPr>
        <w:pStyle w:val="Prrafodelista"/>
        <w:numPr>
          <w:ilvl w:val="1"/>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Inspección visual de las soldaduras.</w:t>
      </w:r>
    </w:p>
    <w:p w14:paraId="03C544C6" w14:textId="77777777" w:rsidR="00D50726" w:rsidRPr="00804F6A"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Código ASME, Sección II, parte C (Materiales de aportación).</w:t>
      </w:r>
    </w:p>
    <w:p w14:paraId="41EC059E" w14:textId="77777777" w:rsidR="00D50726" w:rsidRDefault="00D50726" w:rsidP="00804F6A">
      <w:pPr>
        <w:spacing w:before="120" w:after="120" w:line="360" w:lineRule="auto"/>
        <w:jc w:val="both"/>
        <w:rPr>
          <w:rFonts w:ascii="Arial" w:hAnsi="Arial"/>
          <w:noProof/>
          <w:szCs w:val="20"/>
        </w:rPr>
      </w:pPr>
      <w:r w:rsidRPr="00804F6A">
        <w:rPr>
          <w:rFonts w:ascii="Arial" w:hAnsi="Arial"/>
          <w:noProof/>
          <w:szCs w:val="20"/>
        </w:rPr>
        <w:lastRenderedPageBreak/>
        <w:t xml:space="preserve">Además de las normas aquí recogidas se seguirán las más concretas que se especifican en los distintos apartados de este capítulo. En caso de discrepancia entre unas normas y otras, </w:t>
      </w:r>
      <w:r w:rsidR="009F1466">
        <w:rPr>
          <w:rFonts w:ascii="Arial" w:hAnsi="Arial"/>
          <w:noProof/>
          <w:szCs w:val="20"/>
        </w:rPr>
        <w:t xml:space="preserve">decidirá siempre el criterio de </w:t>
      </w:r>
      <w:r w:rsidRPr="00804F6A">
        <w:rPr>
          <w:rFonts w:ascii="Arial" w:hAnsi="Arial"/>
          <w:noProof/>
          <w:szCs w:val="20"/>
        </w:rPr>
        <w:t xml:space="preserve">la Dirección </w:t>
      </w:r>
      <w:r w:rsidR="009F1466">
        <w:rPr>
          <w:rFonts w:ascii="Arial" w:hAnsi="Arial"/>
          <w:noProof/>
          <w:szCs w:val="20"/>
        </w:rPr>
        <w:t>de Obra</w:t>
      </w:r>
      <w:r w:rsidRPr="00804F6A">
        <w:rPr>
          <w:rFonts w:ascii="Arial" w:hAnsi="Arial"/>
          <w:noProof/>
          <w:szCs w:val="20"/>
        </w:rPr>
        <w:t>.</w:t>
      </w:r>
    </w:p>
    <w:p w14:paraId="16A06640" w14:textId="77777777" w:rsidR="00D50726" w:rsidRPr="002D78A2" w:rsidRDefault="00D50726" w:rsidP="000313DD">
      <w:pPr>
        <w:pStyle w:val="TITU2"/>
        <w:rPr>
          <w:lang w:val="es-ES_tradnl"/>
        </w:rPr>
      </w:pPr>
      <w:bookmarkStart w:id="773" w:name="_Toc433280483"/>
      <w:bookmarkStart w:id="774" w:name="_Toc448916066"/>
      <w:bookmarkStart w:id="775" w:name="_Toc404436"/>
      <w:r w:rsidRPr="002D78A2">
        <w:rPr>
          <w:lang w:val="es-ES_tradnl"/>
        </w:rPr>
        <w:t>620.9.</w:t>
      </w:r>
      <w:r w:rsidR="00205C8F">
        <w:rPr>
          <w:lang w:val="es-ES_tradnl"/>
        </w:rPr>
        <w:t xml:space="preserve"> </w:t>
      </w:r>
      <w:r w:rsidRPr="002D78A2">
        <w:rPr>
          <w:lang w:val="es-ES_tradnl"/>
        </w:rPr>
        <w:tab/>
        <w:t>Medici</w:t>
      </w:r>
      <w:r w:rsidRPr="002D78A2">
        <w:rPr>
          <w:rFonts w:hint="eastAsia"/>
          <w:lang w:val="es-ES_tradnl"/>
        </w:rPr>
        <w:t>ó</w:t>
      </w:r>
      <w:r w:rsidRPr="002D78A2">
        <w:rPr>
          <w:lang w:val="es-ES_tradnl"/>
        </w:rPr>
        <w:t>n y abono</w:t>
      </w:r>
      <w:bookmarkEnd w:id="771"/>
      <w:bookmarkEnd w:id="772"/>
      <w:bookmarkEnd w:id="773"/>
      <w:bookmarkEnd w:id="774"/>
      <w:bookmarkEnd w:id="775"/>
    </w:p>
    <w:p w14:paraId="227F75A6"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L</w:t>
      </w:r>
      <w:r w:rsidR="009F1466">
        <w:rPr>
          <w:rFonts w:ascii="Arial" w:hAnsi="Arial" w:cs="Arial"/>
        </w:rPr>
        <w:t xml:space="preserve">a medición y abono de las unidades contenidas en </w:t>
      </w:r>
      <w:r w:rsidR="00D93E76">
        <w:rPr>
          <w:rFonts w:ascii="Arial" w:hAnsi="Arial" w:cs="Arial"/>
        </w:rPr>
        <w:t>este artículo</w:t>
      </w:r>
      <w:r w:rsidR="009F1466">
        <w:rPr>
          <w:rFonts w:ascii="Arial" w:hAnsi="Arial" w:cs="Arial"/>
        </w:rPr>
        <w:t xml:space="preserve"> se realizará según los criterios siguientes:</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D50726" w:rsidRPr="00FC7A5B" w14:paraId="525A3580" w14:textId="77777777" w:rsidTr="00DC5083">
        <w:tc>
          <w:tcPr>
            <w:tcW w:w="2905" w:type="dxa"/>
            <w:vAlign w:val="center"/>
          </w:tcPr>
          <w:p w14:paraId="0ED13753" w14:textId="77777777" w:rsidR="00D50726" w:rsidRPr="00FC7A5B" w:rsidRDefault="00D50726" w:rsidP="00280916">
            <w:pPr>
              <w:tabs>
                <w:tab w:val="left" w:pos="1134"/>
              </w:tabs>
              <w:spacing w:line="288" w:lineRule="auto"/>
              <w:jc w:val="center"/>
              <w:rPr>
                <w:rFonts w:ascii="Arial" w:hAnsi="Arial" w:cs="Arial"/>
                <w:b/>
                <w:sz w:val="20"/>
              </w:rPr>
            </w:pPr>
            <w:r w:rsidRPr="00FC7A5B">
              <w:rPr>
                <w:rFonts w:ascii="Arial" w:hAnsi="Arial" w:cs="Arial"/>
                <w:b/>
                <w:sz w:val="20"/>
              </w:rPr>
              <w:t>Unidad de medida</w:t>
            </w:r>
          </w:p>
        </w:tc>
        <w:tc>
          <w:tcPr>
            <w:tcW w:w="5739" w:type="dxa"/>
            <w:vAlign w:val="center"/>
          </w:tcPr>
          <w:p w14:paraId="0B4432B6" w14:textId="77777777" w:rsidR="00D50726" w:rsidRPr="00FC7A5B" w:rsidRDefault="00D50726" w:rsidP="00B71B0B">
            <w:pPr>
              <w:spacing w:before="120" w:after="120" w:line="288" w:lineRule="auto"/>
              <w:jc w:val="both"/>
              <w:rPr>
                <w:rFonts w:ascii="Arial" w:hAnsi="Arial" w:cs="Arial"/>
                <w:sz w:val="20"/>
              </w:rPr>
            </w:pPr>
            <w:r w:rsidRPr="00FC7A5B">
              <w:rPr>
                <w:rFonts w:ascii="Arial" w:hAnsi="Arial" w:cs="Arial"/>
                <w:sz w:val="20"/>
              </w:rPr>
              <w:t>Kilogramos (kg)</w:t>
            </w:r>
          </w:p>
        </w:tc>
      </w:tr>
      <w:tr w:rsidR="00D50726" w:rsidRPr="00FC7A5B" w14:paraId="68458E07" w14:textId="77777777" w:rsidTr="00DC5083">
        <w:tc>
          <w:tcPr>
            <w:tcW w:w="2905" w:type="dxa"/>
            <w:vAlign w:val="center"/>
          </w:tcPr>
          <w:p w14:paraId="69C350FB" w14:textId="77777777" w:rsidR="00D50726" w:rsidRPr="00FC7A5B" w:rsidRDefault="00D50726" w:rsidP="00280916">
            <w:pPr>
              <w:tabs>
                <w:tab w:val="left" w:pos="1134"/>
              </w:tabs>
              <w:spacing w:before="60" w:after="120" w:line="360" w:lineRule="auto"/>
              <w:jc w:val="center"/>
              <w:rPr>
                <w:rFonts w:ascii="Arial" w:hAnsi="Arial" w:cs="Arial"/>
                <w:b/>
                <w:sz w:val="20"/>
              </w:rPr>
            </w:pPr>
            <w:r w:rsidRPr="00FC7A5B">
              <w:rPr>
                <w:rFonts w:ascii="Arial" w:hAnsi="Arial" w:cs="Arial"/>
                <w:b/>
                <w:sz w:val="20"/>
              </w:rPr>
              <w:t>Grado de precisión</w:t>
            </w:r>
          </w:p>
        </w:tc>
        <w:tc>
          <w:tcPr>
            <w:tcW w:w="5739" w:type="dxa"/>
            <w:vAlign w:val="center"/>
          </w:tcPr>
          <w:p w14:paraId="05069317" w14:textId="77777777" w:rsidR="00D50726" w:rsidRPr="00FC7A5B" w:rsidRDefault="00D50726" w:rsidP="00B71B0B">
            <w:pPr>
              <w:spacing w:before="120" w:after="120" w:line="288" w:lineRule="auto"/>
              <w:jc w:val="both"/>
              <w:rPr>
                <w:rFonts w:ascii="Arial" w:hAnsi="Arial" w:cs="Arial"/>
                <w:sz w:val="20"/>
              </w:rPr>
            </w:pPr>
            <w:r w:rsidRPr="00FC7A5B">
              <w:rPr>
                <w:rFonts w:ascii="Arial" w:hAnsi="Arial" w:cs="Arial"/>
                <w:sz w:val="20"/>
              </w:rPr>
              <w:t>Dos decimales.</w:t>
            </w:r>
          </w:p>
        </w:tc>
      </w:tr>
      <w:tr w:rsidR="00D50726" w:rsidRPr="00FC7A5B" w14:paraId="79E36700" w14:textId="77777777" w:rsidTr="00DC5083">
        <w:tc>
          <w:tcPr>
            <w:tcW w:w="2905" w:type="dxa"/>
            <w:vAlign w:val="center"/>
          </w:tcPr>
          <w:p w14:paraId="4F6696FB" w14:textId="77777777" w:rsidR="00D50726" w:rsidRPr="00FC7A5B" w:rsidRDefault="00D50726" w:rsidP="00280916">
            <w:pPr>
              <w:tabs>
                <w:tab w:val="left" w:pos="1134"/>
              </w:tabs>
              <w:spacing w:before="60" w:after="120" w:line="360" w:lineRule="auto"/>
              <w:jc w:val="center"/>
              <w:rPr>
                <w:rFonts w:ascii="Arial" w:hAnsi="Arial" w:cs="Arial"/>
                <w:b/>
                <w:sz w:val="20"/>
              </w:rPr>
            </w:pPr>
            <w:r w:rsidRPr="00FC7A5B">
              <w:rPr>
                <w:rFonts w:ascii="Arial" w:hAnsi="Arial" w:cs="Arial"/>
                <w:b/>
                <w:sz w:val="20"/>
              </w:rPr>
              <w:t>Forma de medición</w:t>
            </w:r>
          </w:p>
        </w:tc>
        <w:tc>
          <w:tcPr>
            <w:tcW w:w="5739" w:type="dxa"/>
            <w:vAlign w:val="center"/>
          </w:tcPr>
          <w:p w14:paraId="2DBAFF5D" w14:textId="77777777" w:rsidR="00D50726" w:rsidRPr="00FC7A5B" w:rsidRDefault="00D50726" w:rsidP="00B71B0B">
            <w:pPr>
              <w:spacing w:before="120" w:after="120" w:line="288" w:lineRule="auto"/>
              <w:jc w:val="both"/>
              <w:rPr>
                <w:rFonts w:ascii="Arial" w:hAnsi="Arial" w:cs="Arial"/>
                <w:sz w:val="20"/>
              </w:rPr>
            </w:pPr>
            <w:r w:rsidRPr="00FC7A5B">
              <w:rPr>
                <w:rFonts w:ascii="Arial" w:hAnsi="Arial" w:cs="Arial"/>
                <w:sz w:val="20"/>
              </w:rPr>
              <w:t xml:space="preserve">Kilogramos de acero en perfiles y chapas realmente acopiados, pesados con báscula contrastada. </w:t>
            </w:r>
          </w:p>
        </w:tc>
      </w:tr>
      <w:tr w:rsidR="00D50726" w:rsidRPr="00FC7A5B" w14:paraId="7502BB63" w14:textId="77777777" w:rsidTr="00DC5083">
        <w:tc>
          <w:tcPr>
            <w:tcW w:w="2905" w:type="dxa"/>
            <w:vAlign w:val="center"/>
          </w:tcPr>
          <w:p w14:paraId="23F37180" w14:textId="77777777" w:rsidR="00D50726" w:rsidRPr="00FC7A5B" w:rsidRDefault="00D50726" w:rsidP="00280916">
            <w:pPr>
              <w:tabs>
                <w:tab w:val="left" w:pos="1134"/>
              </w:tabs>
              <w:spacing w:line="288" w:lineRule="auto"/>
              <w:jc w:val="center"/>
              <w:rPr>
                <w:rFonts w:ascii="Arial" w:hAnsi="Arial" w:cs="Arial"/>
                <w:b/>
                <w:sz w:val="20"/>
              </w:rPr>
            </w:pPr>
            <w:r w:rsidRPr="00FC7A5B">
              <w:rPr>
                <w:rFonts w:ascii="Arial" w:hAnsi="Arial" w:cs="Arial"/>
                <w:b/>
                <w:sz w:val="20"/>
              </w:rPr>
              <w:t>Abono</w:t>
            </w:r>
          </w:p>
        </w:tc>
        <w:tc>
          <w:tcPr>
            <w:tcW w:w="5739" w:type="dxa"/>
            <w:vAlign w:val="center"/>
          </w:tcPr>
          <w:p w14:paraId="4D55F0C6" w14:textId="77777777" w:rsidR="00D50726" w:rsidRPr="00FC7A5B" w:rsidRDefault="00D50726" w:rsidP="00B71B0B">
            <w:pPr>
              <w:spacing w:before="120" w:after="120" w:line="288" w:lineRule="auto"/>
              <w:jc w:val="both"/>
              <w:rPr>
                <w:rFonts w:ascii="Arial" w:hAnsi="Arial" w:cs="Arial"/>
                <w:sz w:val="20"/>
              </w:rPr>
            </w:pPr>
            <w:r w:rsidRPr="00FC7A5B">
              <w:rPr>
                <w:rFonts w:ascii="Arial" w:hAnsi="Arial" w:cs="Arial"/>
                <w:sz w:val="20"/>
              </w:rPr>
              <w:t>Se efectuará cuando se realice la aceptación, una vez realizadas las pruebas y ensayos de recepción.</w:t>
            </w:r>
          </w:p>
        </w:tc>
      </w:tr>
      <w:tr w:rsidR="00D50726" w:rsidRPr="00FC7A5B" w14:paraId="41FA0F87" w14:textId="77777777" w:rsidTr="00DC5083">
        <w:tc>
          <w:tcPr>
            <w:tcW w:w="2905" w:type="dxa"/>
            <w:vAlign w:val="center"/>
          </w:tcPr>
          <w:p w14:paraId="04DBAE8B" w14:textId="77777777" w:rsidR="00D50726" w:rsidRPr="00FC7A5B" w:rsidRDefault="00D50726" w:rsidP="00280916">
            <w:pPr>
              <w:tabs>
                <w:tab w:val="left" w:pos="1134"/>
              </w:tabs>
              <w:spacing w:before="60" w:after="120" w:line="360" w:lineRule="auto"/>
              <w:jc w:val="center"/>
              <w:rPr>
                <w:b/>
                <w:sz w:val="20"/>
              </w:rPr>
            </w:pPr>
            <w:r w:rsidRPr="00FC7A5B">
              <w:rPr>
                <w:rFonts w:ascii="Arial" w:hAnsi="Arial" w:cs="Arial"/>
                <w:b/>
                <w:sz w:val="20"/>
              </w:rPr>
              <w:t>Criterios complementarios</w:t>
            </w:r>
          </w:p>
        </w:tc>
        <w:tc>
          <w:tcPr>
            <w:tcW w:w="5739" w:type="dxa"/>
            <w:vAlign w:val="center"/>
          </w:tcPr>
          <w:p w14:paraId="7AC3BB6C" w14:textId="77777777" w:rsidR="00D50726" w:rsidRPr="00FC7A5B" w:rsidRDefault="00D50726" w:rsidP="00B71B0B">
            <w:pPr>
              <w:spacing w:before="120" w:after="120" w:line="288" w:lineRule="auto"/>
              <w:jc w:val="both"/>
              <w:rPr>
                <w:rFonts w:ascii="Arial" w:hAnsi="Arial" w:cs="Arial"/>
                <w:sz w:val="20"/>
              </w:rPr>
            </w:pPr>
            <w:r w:rsidRPr="00FC7A5B">
              <w:rPr>
                <w:rFonts w:ascii="Arial" w:hAnsi="Arial" w:cs="Arial"/>
                <w:sz w:val="20"/>
              </w:rPr>
              <w:t>En el precio están incluidas ataduras y todos los materiales necesarios para la colocación. También incluye el suministro, transporte, enderezado, corte y colocación, así como la mano de obra, equipos y medios auxiliares necesarios para su correcta puesta en obra, así como la pintura anticorrosión definida en este pliego.</w:t>
            </w:r>
          </w:p>
        </w:tc>
      </w:tr>
    </w:tbl>
    <w:p w14:paraId="31327A19" w14:textId="77777777" w:rsidR="00D50726" w:rsidRPr="00D50726" w:rsidRDefault="00D50726" w:rsidP="00D50726">
      <w:pPr>
        <w:pStyle w:val="TITU1"/>
      </w:pPr>
      <w:bookmarkStart w:id="776" w:name="_Toc433280484"/>
      <w:bookmarkStart w:id="777" w:name="_Toc448916067"/>
      <w:bookmarkStart w:id="778" w:name="_Toc404437"/>
      <w:r w:rsidRPr="00574F61">
        <w:lastRenderedPageBreak/>
        <w:t>Artículo 62</w:t>
      </w:r>
      <w:r w:rsidR="0017106C" w:rsidRPr="00574F61">
        <w:t>5.</w:t>
      </w:r>
      <w:r w:rsidRPr="00574F61">
        <w:t xml:space="preserve"> Pernos conectadores para conexión de estructuras mixtas</w:t>
      </w:r>
      <w:bookmarkEnd w:id="776"/>
      <w:bookmarkEnd w:id="777"/>
      <w:bookmarkEnd w:id="778"/>
    </w:p>
    <w:p w14:paraId="7882D291" w14:textId="77777777" w:rsidR="00D50726" w:rsidRPr="00804F6A" w:rsidRDefault="00D50726" w:rsidP="00804F6A">
      <w:pPr>
        <w:spacing w:before="120" w:after="120" w:line="360" w:lineRule="auto"/>
        <w:jc w:val="both"/>
        <w:rPr>
          <w:rFonts w:ascii="Arial" w:hAnsi="Arial"/>
          <w:noProof/>
          <w:szCs w:val="20"/>
        </w:rPr>
      </w:pPr>
      <w:r w:rsidRPr="00804F6A">
        <w:rPr>
          <w:rFonts w:ascii="Arial" w:hAnsi="Arial"/>
          <w:noProof/>
          <w:szCs w:val="20"/>
        </w:rPr>
        <w:t>Excepto para lo especificado en el presente Pliego de Prescripciones Técnicas particulares se seguirá lo prescrito en los vigentes artículos 620 y 640 del PG-3, EAE, instrucción de Acero Estructural y RPX 95.</w:t>
      </w:r>
    </w:p>
    <w:p w14:paraId="4DD4FB70" w14:textId="77777777" w:rsidR="00D50726" w:rsidRPr="002D78A2" w:rsidRDefault="00D50726" w:rsidP="000313DD">
      <w:pPr>
        <w:pStyle w:val="TITU2"/>
        <w:rPr>
          <w:lang w:val="es-ES_tradnl"/>
        </w:rPr>
      </w:pPr>
      <w:bookmarkStart w:id="779" w:name="_Toc433280485"/>
      <w:bookmarkStart w:id="780" w:name="_Toc448916068"/>
      <w:bookmarkStart w:id="781" w:name="_Toc404438"/>
      <w:r w:rsidRPr="002D78A2">
        <w:rPr>
          <w:lang w:val="es-ES_tradnl"/>
        </w:rPr>
        <w:t>62</w:t>
      </w:r>
      <w:r w:rsidR="0017106C">
        <w:rPr>
          <w:lang w:val="es-ES_tradnl"/>
        </w:rPr>
        <w:t>5</w:t>
      </w:r>
      <w:r w:rsidRPr="002D78A2">
        <w:rPr>
          <w:lang w:val="es-ES_tradnl"/>
        </w:rPr>
        <w:t>.1.</w:t>
      </w:r>
      <w:r w:rsidR="0017106C">
        <w:rPr>
          <w:lang w:val="es-ES_tradnl"/>
        </w:rPr>
        <w:t xml:space="preserve"> </w:t>
      </w:r>
      <w:r w:rsidRPr="002D78A2">
        <w:rPr>
          <w:lang w:val="es-ES_tradnl"/>
        </w:rPr>
        <w:tab/>
        <w:t>Definición</w:t>
      </w:r>
      <w:bookmarkEnd w:id="779"/>
      <w:bookmarkEnd w:id="780"/>
      <w:bookmarkEnd w:id="781"/>
    </w:p>
    <w:p w14:paraId="7EBECDC7" w14:textId="77777777" w:rsidR="00D50726" w:rsidRPr="00804F6A" w:rsidRDefault="00D50726" w:rsidP="00804F6A">
      <w:pPr>
        <w:spacing w:before="120" w:after="120" w:line="360" w:lineRule="auto"/>
        <w:jc w:val="both"/>
        <w:rPr>
          <w:rFonts w:ascii="Arial" w:hAnsi="Arial"/>
          <w:noProof/>
          <w:szCs w:val="20"/>
        </w:rPr>
      </w:pPr>
      <w:r w:rsidRPr="00804F6A">
        <w:rPr>
          <w:rFonts w:ascii="Arial" w:hAnsi="Arial"/>
          <w:noProof/>
          <w:szCs w:val="20"/>
        </w:rPr>
        <w:t>Como elementos conectadores entre acero y hormigón, se dispondrán en la estructura pernos de fuste cilíndrico rematados en su extremo superior por la cabeza también cilíndrica, soldados al material base mediante pistolas de soldeo por arco eléctrico y recubiertos por el hormigón que ha de unirse a dichas piezas base.</w:t>
      </w:r>
    </w:p>
    <w:p w14:paraId="78E9402E" w14:textId="77777777" w:rsidR="00D50726" w:rsidRPr="002D78A2" w:rsidRDefault="00215226" w:rsidP="000313DD">
      <w:pPr>
        <w:pStyle w:val="TITU2"/>
        <w:rPr>
          <w:lang w:val="es-ES_tradnl"/>
        </w:rPr>
      </w:pPr>
      <w:bookmarkStart w:id="782" w:name="_Toc433280486"/>
      <w:bookmarkStart w:id="783" w:name="_Toc448916069"/>
      <w:bookmarkStart w:id="784" w:name="_Toc404439"/>
      <w:r>
        <w:rPr>
          <w:lang w:val="es-ES_tradnl"/>
        </w:rPr>
        <w:t>62</w:t>
      </w:r>
      <w:r w:rsidR="0017106C">
        <w:rPr>
          <w:lang w:val="es-ES_tradnl"/>
        </w:rPr>
        <w:t>5</w:t>
      </w:r>
      <w:r>
        <w:rPr>
          <w:lang w:val="es-ES_tradnl"/>
        </w:rPr>
        <w:t>.2.</w:t>
      </w:r>
      <w:r w:rsidR="0017106C">
        <w:rPr>
          <w:lang w:val="es-ES_tradnl"/>
        </w:rPr>
        <w:t xml:space="preserve"> </w:t>
      </w:r>
      <w:r>
        <w:rPr>
          <w:lang w:val="es-ES_tradnl"/>
        </w:rPr>
        <w:tab/>
        <w:t>A</w:t>
      </w:r>
      <w:r w:rsidR="00D50726" w:rsidRPr="002D78A2">
        <w:rPr>
          <w:lang w:val="es-ES_tradnl"/>
        </w:rPr>
        <w:t>plicación</w:t>
      </w:r>
      <w:bookmarkEnd w:id="782"/>
      <w:bookmarkEnd w:id="783"/>
      <w:bookmarkEnd w:id="784"/>
    </w:p>
    <w:p w14:paraId="27500C57" w14:textId="77777777" w:rsidR="009F1466" w:rsidRDefault="00D50726" w:rsidP="005609D6">
      <w:pPr>
        <w:spacing w:before="120" w:after="120" w:line="360" w:lineRule="auto"/>
        <w:jc w:val="both"/>
        <w:rPr>
          <w:rFonts w:ascii="Arial" w:hAnsi="Arial"/>
          <w:szCs w:val="20"/>
        </w:rPr>
      </w:pPr>
      <w:r w:rsidRPr="00FC7A5B">
        <w:rPr>
          <w:rFonts w:ascii="Arial" w:hAnsi="Arial"/>
          <w:szCs w:val="20"/>
        </w:rPr>
        <w:t xml:space="preserve">Las prescripciones contenidas en esta cláusula </w:t>
      </w:r>
      <w:proofErr w:type="gramStart"/>
      <w:r w:rsidRPr="00FC7A5B">
        <w:rPr>
          <w:rFonts w:ascii="Arial" w:hAnsi="Arial"/>
          <w:szCs w:val="20"/>
        </w:rPr>
        <w:t>son de aplicación</w:t>
      </w:r>
      <w:proofErr w:type="gramEnd"/>
      <w:r w:rsidRPr="00FC7A5B">
        <w:rPr>
          <w:rFonts w:ascii="Arial" w:hAnsi="Arial"/>
          <w:szCs w:val="20"/>
        </w:rPr>
        <w:t xml:space="preserve"> a las unidades de obra:</w:t>
      </w:r>
    </w:p>
    <w:p w14:paraId="44F6212C" w14:textId="77777777" w:rsidR="00CF7652" w:rsidRPr="00FC7A5B" w:rsidRDefault="00CF7652" w:rsidP="005609D6">
      <w:pPr>
        <w:spacing w:before="120" w:after="120" w:line="360" w:lineRule="auto"/>
        <w:jc w:val="both"/>
        <w:rPr>
          <w:rFonts w:ascii="Arial" w:hAnsi="Arial"/>
          <w:szCs w:val="20"/>
        </w:rPr>
      </w:pPr>
    </w:p>
    <w:tbl>
      <w:tblPr>
        <w:tblW w:w="8931" w:type="dxa"/>
        <w:tblBorders>
          <w:insideH w:val="single" w:sz="4" w:space="0" w:color="auto"/>
        </w:tblBorders>
        <w:tblLook w:val="04A0" w:firstRow="1" w:lastRow="0" w:firstColumn="1" w:lastColumn="0" w:noHBand="0" w:noVBand="1"/>
      </w:tblPr>
      <w:tblGrid>
        <w:gridCol w:w="1831"/>
        <w:gridCol w:w="1092"/>
        <w:gridCol w:w="6008"/>
      </w:tblGrid>
      <w:tr w:rsidR="00D50726" w:rsidRPr="00FC7A5B" w14:paraId="5C06D36A" w14:textId="77777777" w:rsidTr="00DC5083">
        <w:trPr>
          <w:trHeight w:val="594"/>
        </w:trPr>
        <w:tc>
          <w:tcPr>
            <w:tcW w:w="1831" w:type="dxa"/>
          </w:tcPr>
          <w:p w14:paraId="31637E56" w14:textId="77777777" w:rsidR="00D50726" w:rsidRPr="005B79AD" w:rsidRDefault="00D50726" w:rsidP="00D50726">
            <w:pPr>
              <w:rPr>
                <w:rFonts w:ascii="Calibri" w:hAnsi="Calibri" w:cs="Calibri"/>
              </w:rPr>
            </w:pPr>
            <w:r w:rsidRPr="005B79AD">
              <w:rPr>
                <w:rFonts w:ascii="Calibri" w:hAnsi="Calibri" w:cs="Calibri"/>
              </w:rPr>
              <w:t>620.0060N</w:t>
            </w:r>
          </w:p>
          <w:p w14:paraId="50F26B8E" w14:textId="77777777" w:rsidR="00D50726" w:rsidRPr="005B79AD" w:rsidRDefault="00D50726" w:rsidP="00D50726">
            <w:pPr>
              <w:rPr>
                <w:rFonts w:ascii="Calibri" w:hAnsi="Calibri" w:cs="Calibri"/>
              </w:rPr>
            </w:pPr>
          </w:p>
        </w:tc>
        <w:tc>
          <w:tcPr>
            <w:tcW w:w="1092" w:type="dxa"/>
          </w:tcPr>
          <w:p w14:paraId="7F14F6E8" w14:textId="77777777" w:rsidR="00D50726" w:rsidRPr="005B79AD" w:rsidRDefault="00D50726" w:rsidP="00D50726">
            <w:pPr>
              <w:rPr>
                <w:rFonts w:ascii="Calibri" w:hAnsi="Calibri" w:cs="Calibri"/>
              </w:rPr>
            </w:pPr>
            <w:proofErr w:type="spellStart"/>
            <w:r w:rsidRPr="005B79AD">
              <w:rPr>
                <w:rFonts w:ascii="Calibri" w:hAnsi="Calibri" w:cs="Calibri"/>
              </w:rPr>
              <w:t>ud</w:t>
            </w:r>
            <w:proofErr w:type="spellEnd"/>
          </w:p>
        </w:tc>
        <w:tc>
          <w:tcPr>
            <w:tcW w:w="6008" w:type="dxa"/>
            <w:vAlign w:val="center"/>
          </w:tcPr>
          <w:p w14:paraId="625117B1" w14:textId="77777777" w:rsidR="00D50726" w:rsidRPr="005B79AD" w:rsidRDefault="00D50726" w:rsidP="00B71B0B">
            <w:pPr>
              <w:jc w:val="both"/>
              <w:rPr>
                <w:rFonts w:ascii="Calibri" w:hAnsi="Calibri" w:cs="Calibri"/>
              </w:rPr>
            </w:pPr>
            <w:r w:rsidRPr="005B79AD">
              <w:rPr>
                <w:rFonts w:ascii="Calibri" w:hAnsi="Calibri" w:cs="Calibri"/>
              </w:rPr>
              <w:t>PERNO CONECTADOR DE 19 MM DE DIÁMETRO Y 150 MM DE ALTURA, COLOCADO, ANCLADO Y TERMINADO.</w:t>
            </w:r>
          </w:p>
        </w:tc>
      </w:tr>
    </w:tbl>
    <w:p w14:paraId="0CE97BDA" w14:textId="77777777" w:rsidR="00D50726" w:rsidRPr="002D78A2" w:rsidRDefault="00D50726" w:rsidP="000313DD">
      <w:pPr>
        <w:pStyle w:val="TITU2"/>
        <w:rPr>
          <w:lang w:val="es-ES_tradnl"/>
        </w:rPr>
      </w:pPr>
      <w:bookmarkStart w:id="785" w:name="_Toc433280487"/>
      <w:bookmarkStart w:id="786" w:name="_Toc448916070"/>
      <w:bookmarkStart w:id="787" w:name="_Toc404440"/>
      <w:r w:rsidRPr="002D78A2">
        <w:rPr>
          <w:lang w:val="es-ES_tradnl"/>
        </w:rPr>
        <w:t>6</w:t>
      </w:r>
      <w:r w:rsidR="0017106C">
        <w:rPr>
          <w:lang w:val="es-ES_tradnl"/>
        </w:rPr>
        <w:t>25</w:t>
      </w:r>
      <w:r w:rsidRPr="002D78A2">
        <w:rPr>
          <w:lang w:val="es-ES_tradnl"/>
        </w:rPr>
        <w:t>.3.</w:t>
      </w:r>
      <w:r w:rsidR="0017106C">
        <w:rPr>
          <w:lang w:val="es-ES_tradnl"/>
        </w:rPr>
        <w:t xml:space="preserve"> </w:t>
      </w:r>
      <w:r w:rsidRPr="002D78A2">
        <w:rPr>
          <w:lang w:val="es-ES_tradnl"/>
        </w:rPr>
        <w:tab/>
        <w:t>Caracter</w:t>
      </w:r>
      <w:r w:rsidRPr="002D78A2">
        <w:rPr>
          <w:rFonts w:hint="eastAsia"/>
          <w:lang w:val="es-ES_tradnl"/>
        </w:rPr>
        <w:t>í</w:t>
      </w:r>
      <w:r w:rsidRPr="002D78A2">
        <w:rPr>
          <w:lang w:val="es-ES_tradnl"/>
        </w:rPr>
        <w:t>sticas</w:t>
      </w:r>
      <w:bookmarkEnd w:id="785"/>
      <w:bookmarkEnd w:id="786"/>
      <w:bookmarkEnd w:id="787"/>
    </w:p>
    <w:p w14:paraId="744114B6" w14:textId="77777777" w:rsidR="00D50726" w:rsidRPr="009F1466" w:rsidRDefault="00D50726" w:rsidP="009F1466">
      <w:pPr>
        <w:spacing w:before="120" w:after="120" w:line="360" w:lineRule="auto"/>
        <w:jc w:val="both"/>
        <w:rPr>
          <w:rFonts w:ascii="Arial" w:hAnsi="Arial"/>
          <w:b/>
          <w:bCs/>
          <w:i/>
          <w:szCs w:val="20"/>
        </w:rPr>
      </w:pPr>
      <w:r w:rsidRPr="009F1466">
        <w:rPr>
          <w:rFonts w:ascii="Arial" w:hAnsi="Arial"/>
          <w:b/>
          <w:bCs/>
          <w:i/>
          <w:szCs w:val="20"/>
        </w:rPr>
        <w:t>6</w:t>
      </w:r>
      <w:r w:rsidR="0017106C" w:rsidRPr="009F1466">
        <w:rPr>
          <w:rFonts w:ascii="Arial" w:hAnsi="Arial"/>
          <w:b/>
          <w:bCs/>
          <w:i/>
          <w:szCs w:val="20"/>
        </w:rPr>
        <w:t>25</w:t>
      </w:r>
      <w:r w:rsidRPr="009F1466">
        <w:rPr>
          <w:rFonts w:ascii="Arial" w:hAnsi="Arial"/>
          <w:b/>
          <w:bCs/>
          <w:i/>
          <w:szCs w:val="20"/>
        </w:rPr>
        <w:t>.3.1</w:t>
      </w:r>
      <w:r w:rsidR="0017106C" w:rsidRPr="009F1466">
        <w:rPr>
          <w:rFonts w:ascii="Arial" w:hAnsi="Arial"/>
          <w:b/>
          <w:bCs/>
          <w:i/>
          <w:szCs w:val="20"/>
        </w:rPr>
        <w:t xml:space="preserve">. </w:t>
      </w:r>
      <w:r w:rsidRPr="009F1466">
        <w:rPr>
          <w:rFonts w:ascii="Arial" w:hAnsi="Arial"/>
          <w:b/>
          <w:bCs/>
          <w:i/>
          <w:szCs w:val="20"/>
        </w:rPr>
        <w:t>Características del material</w:t>
      </w:r>
    </w:p>
    <w:p w14:paraId="7FC484FF" w14:textId="77777777" w:rsidR="00D50726" w:rsidRPr="00FC7A5B" w:rsidRDefault="00D50726" w:rsidP="005609D6">
      <w:pPr>
        <w:spacing w:before="120" w:after="120" w:line="360" w:lineRule="auto"/>
        <w:jc w:val="both"/>
        <w:rPr>
          <w:rFonts w:ascii="Arial" w:hAnsi="Arial"/>
          <w:szCs w:val="20"/>
        </w:rPr>
      </w:pPr>
      <w:r w:rsidRPr="00FC7A5B">
        <w:rPr>
          <w:rFonts w:ascii="Arial" w:hAnsi="Arial"/>
          <w:szCs w:val="20"/>
        </w:rPr>
        <w:t>El material de los conectadores deberá cumplir las siguientes condiciones mecánicas:</w:t>
      </w:r>
    </w:p>
    <w:p w14:paraId="312F26A5" w14:textId="77777777" w:rsidR="00D50726" w:rsidRPr="00804F6A"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Límite elástico</w:t>
      </w:r>
      <w:r w:rsidRPr="00804F6A">
        <w:rPr>
          <w:rFonts w:ascii="Arial" w:hAnsi="Arial" w:cs="Arial"/>
          <w:sz w:val="24"/>
          <w:szCs w:val="24"/>
          <w:lang w:val="es-ES_tradnl"/>
        </w:rPr>
        <w:tab/>
      </w:r>
      <w:r w:rsidRPr="00804F6A">
        <w:rPr>
          <w:rFonts w:ascii="Arial" w:hAnsi="Arial" w:cs="Arial"/>
          <w:sz w:val="24"/>
          <w:szCs w:val="24"/>
          <w:lang w:val="es-ES_tradnl"/>
        </w:rPr>
        <w:sym w:font="Symbol" w:char="F0B3"/>
      </w:r>
      <w:r w:rsidRPr="00804F6A">
        <w:rPr>
          <w:rFonts w:ascii="Arial" w:hAnsi="Arial" w:cs="Arial"/>
          <w:sz w:val="24"/>
          <w:szCs w:val="24"/>
          <w:lang w:val="es-ES_tradnl"/>
        </w:rPr>
        <w:t xml:space="preserve"> 360 MPa</w:t>
      </w:r>
    </w:p>
    <w:p w14:paraId="78EA5317" w14:textId="77777777" w:rsidR="00D50726" w:rsidRPr="00804F6A"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Tensión mínima de rotura</w:t>
      </w:r>
      <w:r w:rsidRPr="00804F6A">
        <w:rPr>
          <w:rFonts w:ascii="Arial" w:hAnsi="Arial" w:cs="Arial"/>
          <w:sz w:val="24"/>
          <w:szCs w:val="24"/>
          <w:lang w:val="es-ES_tradnl"/>
        </w:rPr>
        <w:tab/>
      </w:r>
      <w:r w:rsidRPr="00804F6A">
        <w:rPr>
          <w:rFonts w:ascii="Arial" w:hAnsi="Arial" w:cs="Arial"/>
          <w:sz w:val="24"/>
          <w:szCs w:val="24"/>
          <w:lang w:val="es-ES_tradnl"/>
        </w:rPr>
        <w:sym w:font="Symbol" w:char="F0B3"/>
      </w:r>
      <w:r w:rsidRPr="00804F6A">
        <w:rPr>
          <w:rFonts w:ascii="Arial" w:hAnsi="Arial" w:cs="Arial"/>
          <w:sz w:val="24"/>
          <w:szCs w:val="24"/>
          <w:lang w:val="es-ES_tradnl"/>
        </w:rPr>
        <w:t xml:space="preserve"> 460 MPa</w:t>
      </w:r>
    </w:p>
    <w:p w14:paraId="5082A0AD" w14:textId="77777777" w:rsidR="00D50726" w:rsidRPr="00804F6A"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Alargamiento en rotura</w:t>
      </w:r>
      <w:r w:rsidRPr="00804F6A">
        <w:rPr>
          <w:rFonts w:ascii="Arial" w:hAnsi="Arial" w:cs="Arial"/>
          <w:sz w:val="24"/>
          <w:szCs w:val="24"/>
          <w:lang w:val="es-ES_tradnl"/>
        </w:rPr>
        <w:tab/>
      </w:r>
      <w:r w:rsidRPr="00804F6A">
        <w:rPr>
          <w:rFonts w:ascii="Arial" w:hAnsi="Arial" w:cs="Arial"/>
          <w:sz w:val="24"/>
          <w:szCs w:val="24"/>
          <w:lang w:val="es-ES_tradnl"/>
        </w:rPr>
        <w:sym w:font="Symbol" w:char="F0B3"/>
      </w:r>
      <w:r w:rsidRPr="00804F6A">
        <w:rPr>
          <w:rFonts w:ascii="Arial" w:hAnsi="Arial" w:cs="Arial"/>
          <w:sz w:val="24"/>
          <w:szCs w:val="24"/>
          <w:lang w:val="es-ES_tradnl"/>
        </w:rPr>
        <w:t xml:space="preserve"> 15%, medido en probeta normalizada de </w:t>
      </w:r>
      <w:r w:rsidR="00157701" w:rsidRPr="00804F6A">
        <w:rPr>
          <w:rFonts w:ascii="Arial" w:hAnsi="Arial" w:cs="Arial"/>
          <w:sz w:val="24"/>
          <w:szCs w:val="24"/>
          <w:lang w:val="es-ES_tradnl"/>
        </w:rPr>
        <w:t>longitud</w:t>
      </w:r>
      <w:r w:rsidRPr="00804F6A">
        <w:rPr>
          <w:rFonts w:ascii="Arial" w:hAnsi="Arial" w:cs="Arial"/>
          <w:sz w:val="24"/>
          <w:szCs w:val="24"/>
          <w:lang w:val="es-ES_tradnl"/>
        </w:rPr>
        <w:t xml:space="preserve"> L0 = 5,65</w:t>
      </w:r>
      <w:r w:rsidRPr="00804F6A">
        <w:rPr>
          <w:rFonts w:ascii="Arial" w:hAnsi="Arial" w:cs="Arial"/>
          <w:sz w:val="24"/>
          <w:szCs w:val="24"/>
          <w:lang w:val="es-ES_tradnl"/>
        </w:rPr>
        <w:object w:dxaOrig="740" w:dyaOrig="360" w14:anchorId="686FA53D">
          <v:shape id="_x0000_i1026" type="#_x0000_t75" style="width:38.25pt;height:18.75pt" o:ole="">
            <v:imagedata r:id="rId20" o:title=""/>
          </v:shape>
          <o:OLEObject Type="Embed" ProgID="Equation.3" ShapeID="_x0000_i1026" DrawAspect="Content" ObjectID="_1824991067" r:id="rId21"/>
        </w:object>
      </w:r>
    </w:p>
    <w:p w14:paraId="41849324" w14:textId="77777777" w:rsidR="00D50726" w:rsidRDefault="00D5072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04F6A">
        <w:rPr>
          <w:rFonts w:ascii="Arial" w:hAnsi="Arial" w:cs="Arial"/>
          <w:sz w:val="24"/>
          <w:szCs w:val="24"/>
          <w:lang w:val="es-ES_tradnl"/>
        </w:rPr>
        <w:t>La relación entre la tensión de rotura y el límite elástico no será menor de 1,20.</w:t>
      </w:r>
    </w:p>
    <w:p w14:paraId="160DA000" w14:textId="77777777" w:rsidR="00CF7652" w:rsidRDefault="00CF7652" w:rsidP="00CF7652">
      <w:pPr>
        <w:tabs>
          <w:tab w:val="left" w:pos="284"/>
        </w:tabs>
        <w:spacing w:before="120" w:after="120" w:line="360" w:lineRule="auto"/>
        <w:jc w:val="both"/>
        <w:rPr>
          <w:rFonts w:ascii="Arial" w:hAnsi="Arial" w:cs="Arial"/>
          <w:lang w:val="es-ES_tradnl"/>
        </w:rPr>
      </w:pPr>
    </w:p>
    <w:p w14:paraId="23BFE443" w14:textId="77777777" w:rsidR="00CF7652" w:rsidRDefault="00CF7652" w:rsidP="009F1466">
      <w:pPr>
        <w:spacing w:before="120" w:after="120" w:line="360" w:lineRule="auto"/>
        <w:jc w:val="both"/>
        <w:rPr>
          <w:rFonts w:ascii="Arial" w:hAnsi="Arial"/>
          <w:b/>
          <w:bCs/>
          <w:i/>
          <w:szCs w:val="20"/>
        </w:rPr>
      </w:pPr>
    </w:p>
    <w:p w14:paraId="13A4A407" w14:textId="77777777" w:rsidR="00D50726" w:rsidRPr="009F1466" w:rsidRDefault="00D50726" w:rsidP="009F1466">
      <w:pPr>
        <w:spacing w:before="120" w:after="120" w:line="360" w:lineRule="auto"/>
        <w:jc w:val="both"/>
        <w:rPr>
          <w:rFonts w:ascii="Arial" w:hAnsi="Arial"/>
          <w:b/>
          <w:bCs/>
          <w:i/>
          <w:szCs w:val="20"/>
        </w:rPr>
      </w:pPr>
      <w:r w:rsidRPr="009F1466">
        <w:rPr>
          <w:rFonts w:ascii="Arial" w:hAnsi="Arial"/>
          <w:b/>
          <w:bCs/>
          <w:i/>
          <w:szCs w:val="20"/>
        </w:rPr>
        <w:t>6</w:t>
      </w:r>
      <w:r w:rsidR="0017106C" w:rsidRPr="009F1466">
        <w:rPr>
          <w:rFonts w:ascii="Arial" w:hAnsi="Arial"/>
          <w:b/>
          <w:bCs/>
          <w:i/>
          <w:szCs w:val="20"/>
        </w:rPr>
        <w:t>25</w:t>
      </w:r>
      <w:r w:rsidRPr="009F1466">
        <w:rPr>
          <w:rFonts w:ascii="Arial" w:hAnsi="Arial"/>
          <w:b/>
          <w:bCs/>
          <w:i/>
          <w:szCs w:val="20"/>
        </w:rPr>
        <w:t>.3.2</w:t>
      </w:r>
      <w:r w:rsidR="0017106C" w:rsidRPr="009F1466">
        <w:rPr>
          <w:rFonts w:ascii="Arial" w:hAnsi="Arial"/>
          <w:b/>
          <w:bCs/>
          <w:i/>
          <w:szCs w:val="20"/>
        </w:rPr>
        <w:t>.</w:t>
      </w:r>
      <w:r w:rsidR="009F1466">
        <w:rPr>
          <w:rFonts w:ascii="Arial" w:hAnsi="Arial"/>
          <w:b/>
          <w:bCs/>
          <w:i/>
          <w:szCs w:val="20"/>
        </w:rPr>
        <w:t xml:space="preserve"> </w:t>
      </w:r>
      <w:r w:rsidRPr="009F1466">
        <w:rPr>
          <w:rFonts w:ascii="Arial" w:hAnsi="Arial"/>
          <w:b/>
          <w:bCs/>
          <w:i/>
          <w:szCs w:val="20"/>
        </w:rPr>
        <w:t>Formas y dimensiones</w:t>
      </w:r>
    </w:p>
    <w:p w14:paraId="2E35512C"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Las características geométricas de los pernos conectadores serán de las dimensiones señaladas en los planos, o de las equivalentes propuestas por el suministrador de </w:t>
      </w:r>
      <w:proofErr w:type="gramStart"/>
      <w:r w:rsidRPr="00FC7A5B">
        <w:rPr>
          <w:rFonts w:ascii="Arial" w:hAnsi="Arial" w:cs="Arial"/>
        </w:rPr>
        <w:t>los mismos</w:t>
      </w:r>
      <w:proofErr w:type="gramEnd"/>
      <w:r w:rsidRPr="00FC7A5B">
        <w:rPr>
          <w:rFonts w:ascii="Arial" w:hAnsi="Arial" w:cs="Arial"/>
        </w:rPr>
        <w:t xml:space="preserve">, siempre que se cuente de forma explícita con </w:t>
      </w:r>
      <w:r w:rsidR="00157701" w:rsidRPr="00FC7A5B">
        <w:rPr>
          <w:rFonts w:ascii="Arial" w:hAnsi="Arial" w:cs="Arial"/>
        </w:rPr>
        <w:t>la</w:t>
      </w:r>
      <w:r w:rsidRPr="00FC7A5B">
        <w:rPr>
          <w:rFonts w:ascii="Arial" w:hAnsi="Arial" w:cs="Arial"/>
        </w:rPr>
        <w:t xml:space="preserve"> conformidad de la Dirección de la Obra. Cumplirán las relaciones geométricas que para ellos se prescriben en el artículo 7.3 de RPX 95.</w:t>
      </w:r>
    </w:p>
    <w:p w14:paraId="4E77DA67" w14:textId="77777777" w:rsidR="00D50726" w:rsidRPr="00215226" w:rsidRDefault="00D50726" w:rsidP="000313DD">
      <w:pPr>
        <w:pStyle w:val="TITU2"/>
        <w:rPr>
          <w:lang w:val="es-ES_tradnl"/>
        </w:rPr>
      </w:pPr>
      <w:bookmarkStart w:id="788" w:name="_Toc404441"/>
      <w:r w:rsidRPr="00215226">
        <w:rPr>
          <w:lang w:val="es-ES_tradnl"/>
        </w:rPr>
        <w:t>6</w:t>
      </w:r>
      <w:r w:rsidR="0017106C">
        <w:rPr>
          <w:lang w:val="es-ES_tradnl"/>
        </w:rPr>
        <w:t>25</w:t>
      </w:r>
      <w:r w:rsidRPr="00215226">
        <w:rPr>
          <w:lang w:val="es-ES_tradnl"/>
        </w:rPr>
        <w:t>.4.</w:t>
      </w:r>
      <w:r w:rsidR="0017106C">
        <w:rPr>
          <w:lang w:val="es-ES_tradnl"/>
        </w:rPr>
        <w:t xml:space="preserve"> </w:t>
      </w:r>
      <w:r w:rsidRPr="00215226">
        <w:rPr>
          <w:lang w:val="es-ES_tradnl"/>
        </w:rPr>
        <w:tab/>
        <w:t>Ejecuci</w:t>
      </w:r>
      <w:r w:rsidRPr="00215226">
        <w:rPr>
          <w:rFonts w:hint="eastAsia"/>
          <w:lang w:val="es-ES_tradnl"/>
        </w:rPr>
        <w:t>ó</w:t>
      </w:r>
      <w:r w:rsidRPr="00215226">
        <w:rPr>
          <w:lang w:val="es-ES_tradnl"/>
        </w:rPr>
        <w:t>n</w:t>
      </w:r>
      <w:r w:rsidR="00804F6A">
        <w:rPr>
          <w:lang w:val="es-ES_tradnl"/>
        </w:rPr>
        <w:t xml:space="preserve"> de las obras</w:t>
      </w:r>
      <w:bookmarkEnd w:id="788"/>
    </w:p>
    <w:p w14:paraId="67027DF4" w14:textId="77777777" w:rsidR="00D50726" w:rsidRPr="009F1466" w:rsidRDefault="00D50726" w:rsidP="009F1466">
      <w:pPr>
        <w:spacing w:before="120" w:after="120" w:line="360" w:lineRule="auto"/>
        <w:jc w:val="both"/>
        <w:rPr>
          <w:rFonts w:ascii="Arial" w:hAnsi="Arial"/>
          <w:b/>
          <w:bCs/>
          <w:i/>
          <w:szCs w:val="20"/>
        </w:rPr>
      </w:pPr>
      <w:r w:rsidRPr="009F1466">
        <w:rPr>
          <w:rFonts w:ascii="Arial" w:hAnsi="Arial"/>
          <w:b/>
          <w:bCs/>
          <w:i/>
          <w:szCs w:val="20"/>
        </w:rPr>
        <w:t>6</w:t>
      </w:r>
      <w:r w:rsidR="0017106C" w:rsidRPr="009F1466">
        <w:rPr>
          <w:rFonts w:ascii="Arial" w:hAnsi="Arial"/>
          <w:b/>
          <w:bCs/>
          <w:i/>
          <w:szCs w:val="20"/>
        </w:rPr>
        <w:t>25</w:t>
      </w:r>
      <w:r w:rsidRPr="009F1466">
        <w:rPr>
          <w:rFonts w:ascii="Arial" w:hAnsi="Arial"/>
          <w:b/>
          <w:bCs/>
          <w:i/>
          <w:szCs w:val="20"/>
        </w:rPr>
        <w:t>.4.1</w:t>
      </w:r>
      <w:r w:rsidR="0017106C" w:rsidRPr="009F1466">
        <w:rPr>
          <w:rFonts w:ascii="Arial" w:hAnsi="Arial"/>
          <w:b/>
          <w:bCs/>
          <w:i/>
          <w:szCs w:val="20"/>
        </w:rPr>
        <w:t>.</w:t>
      </w:r>
      <w:r w:rsidR="009F1466">
        <w:rPr>
          <w:rFonts w:ascii="Arial" w:hAnsi="Arial"/>
          <w:b/>
          <w:bCs/>
          <w:i/>
          <w:szCs w:val="20"/>
        </w:rPr>
        <w:t xml:space="preserve"> </w:t>
      </w:r>
      <w:r w:rsidRPr="009F1466">
        <w:rPr>
          <w:rFonts w:ascii="Arial" w:hAnsi="Arial"/>
          <w:b/>
          <w:bCs/>
          <w:i/>
          <w:szCs w:val="20"/>
        </w:rPr>
        <w:t>Soldadura de los pernos</w:t>
      </w:r>
    </w:p>
    <w:p w14:paraId="65A6DFFE"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Previamente al comienzo de los trabajos, el Contratista presentará los certificados del material y del sistema o tipo de conectadores a emplear. El voltaje, intensidad y tipo de cableado empleados en la soldadura serán los apropiados para asegurar la perfecta fijación de los pernos, teniendo en cuenta las eventuales fluctuaciones de la red eléctrica.</w:t>
      </w:r>
    </w:p>
    <w:p w14:paraId="4DEBF1C2"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La soldadura se realizará obligatoriamente con máquina automática, y antes de comenzar las soldaduras de los pernos se homologará el procedimiento de soldadura que recoja las recomendaciones del fabricante del perno, del suministrador del equipo y las prescripciones de la Normativa aplicable (AWS C5.4 “</w:t>
      </w:r>
      <w:proofErr w:type="spellStart"/>
      <w:r w:rsidRPr="00FC7A5B">
        <w:rPr>
          <w:rFonts w:ascii="Arial" w:hAnsi="Arial" w:cs="Arial"/>
        </w:rPr>
        <w:t>Recommended</w:t>
      </w:r>
      <w:proofErr w:type="spellEnd"/>
      <w:r w:rsidRPr="00FC7A5B">
        <w:rPr>
          <w:rFonts w:ascii="Arial" w:hAnsi="Arial" w:cs="Arial"/>
        </w:rPr>
        <w:t xml:space="preserve"> </w:t>
      </w:r>
      <w:proofErr w:type="spellStart"/>
      <w:r w:rsidRPr="00FC7A5B">
        <w:rPr>
          <w:rFonts w:ascii="Arial" w:hAnsi="Arial" w:cs="Arial"/>
        </w:rPr>
        <w:t>practices</w:t>
      </w:r>
      <w:proofErr w:type="spellEnd"/>
      <w:r w:rsidRPr="00FC7A5B">
        <w:rPr>
          <w:rFonts w:ascii="Arial" w:hAnsi="Arial" w:cs="Arial"/>
        </w:rPr>
        <w:t xml:space="preserve"> </w:t>
      </w:r>
      <w:proofErr w:type="spellStart"/>
      <w:r w:rsidRPr="00FC7A5B">
        <w:rPr>
          <w:rFonts w:ascii="Arial" w:hAnsi="Arial" w:cs="Arial"/>
        </w:rPr>
        <w:t>for</w:t>
      </w:r>
      <w:proofErr w:type="spellEnd"/>
      <w:r w:rsidRPr="00FC7A5B">
        <w:rPr>
          <w:rFonts w:ascii="Arial" w:hAnsi="Arial" w:cs="Arial"/>
        </w:rPr>
        <w:t xml:space="preserve"> </w:t>
      </w:r>
      <w:proofErr w:type="spellStart"/>
      <w:r w:rsidRPr="00FC7A5B">
        <w:rPr>
          <w:rFonts w:ascii="Arial" w:hAnsi="Arial" w:cs="Arial"/>
        </w:rPr>
        <w:t>Stud</w:t>
      </w:r>
      <w:proofErr w:type="spellEnd"/>
      <w:r w:rsidRPr="00FC7A5B">
        <w:rPr>
          <w:rFonts w:ascii="Arial" w:hAnsi="Arial" w:cs="Arial"/>
        </w:rPr>
        <w:t xml:space="preserve"> </w:t>
      </w:r>
      <w:proofErr w:type="spellStart"/>
      <w:r w:rsidRPr="00FC7A5B">
        <w:rPr>
          <w:rFonts w:ascii="Arial" w:hAnsi="Arial" w:cs="Arial"/>
        </w:rPr>
        <w:t>Welding</w:t>
      </w:r>
      <w:proofErr w:type="spellEnd"/>
      <w:r w:rsidRPr="00FC7A5B">
        <w:rPr>
          <w:rFonts w:ascii="Arial" w:hAnsi="Arial" w:cs="Arial"/>
        </w:rPr>
        <w:t xml:space="preserve">” y la AWS D.1.1). Para ello se soldarán diez pernos sobre unas chapas del mismo material y máximo espesor de los elementos reales, y se realizará un control con líquidos penetrantes que asegure que la soldadura no tiene grietas después de esta prueba. Si no es así, el procedimiento de soldeo deberá ser corregido, y deberán soldarse y ensayarse conjuntos de tres pernos realizando de nuevo el ensayo hasta que éste sea satisfactorio. Sobre estas probetas se realizarán ensayos a tracción hasta rotura, y el procedimiento se considerará homologado si la rotura no se produce por la soldadura y el valor de la carga de rotura es igual o superior a la nominal del </w:t>
      </w:r>
      <w:proofErr w:type="spellStart"/>
      <w:r w:rsidRPr="00FC7A5B">
        <w:rPr>
          <w:rFonts w:ascii="Arial" w:hAnsi="Arial" w:cs="Arial"/>
        </w:rPr>
        <w:t>stud</w:t>
      </w:r>
      <w:proofErr w:type="spellEnd"/>
      <w:r w:rsidRPr="00FC7A5B">
        <w:rPr>
          <w:rFonts w:ascii="Arial" w:hAnsi="Arial" w:cs="Arial"/>
        </w:rPr>
        <w:t>. Este proceso deberá repetirse siempre que se produzca algún cambio en el procedimiento de soldeo.</w:t>
      </w:r>
    </w:p>
    <w:p w14:paraId="6FA67B30"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Los pernos conectadores deberán venir preparados, en su parte inferior, con los oportunos casquillos cerámicos de protección y aislamiento de la zona a fusionar durante el soldeo y la unión.</w:t>
      </w:r>
    </w:p>
    <w:p w14:paraId="60D0C6DD" w14:textId="77777777" w:rsidR="00D50726" w:rsidRPr="00215226" w:rsidRDefault="00D50726" w:rsidP="000313DD">
      <w:pPr>
        <w:pStyle w:val="TITU2"/>
        <w:rPr>
          <w:lang w:val="es-ES_tradnl"/>
        </w:rPr>
      </w:pPr>
      <w:bookmarkStart w:id="789" w:name="_Toc433280488"/>
      <w:bookmarkStart w:id="790" w:name="_Toc448916071"/>
      <w:bookmarkStart w:id="791" w:name="_Toc404442"/>
      <w:r w:rsidRPr="00215226">
        <w:rPr>
          <w:lang w:val="es-ES_tradnl"/>
        </w:rPr>
        <w:lastRenderedPageBreak/>
        <w:t>6</w:t>
      </w:r>
      <w:r w:rsidR="0017106C">
        <w:rPr>
          <w:lang w:val="es-ES_tradnl"/>
        </w:rPr>
        <w:t>25</w:t>
      </w:r>
      <w:r w:rsidRPr="00215226">
        <w:rPr>
          <w:lang w:val="es-ES_tradnl"/>
        </w:rPr>
        <w:t>.6.</w:t>
      </w:r>
      <w:r w:rsidR="0017106C">
        <w:rPr>
          <w:lang w:val="es-ES_tradnl"/>
        </w:rPr>
        <w:t xml:space="preserve"> </w:t>
      </w:r>
      <w:r w:rsidRPr="00215226">
        <w:rPr>
          <w:lang w:val="es-ES_tradnl"/>
        </w:rPr>
        <w:tab/>
        <w:t>Control de calidad</w:t>
      </w:r>
      <w:bookmarkEnd w:id="789"/>
      <w:bookmarkEnd w:id="790"/>
      <w:bookmarkEnd w:id="791"/>
    </w:p>
    <w:p w14:paraId="4469F1D0"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Sólo se permitirá el empleo de pernos conectadores en posesión de Certificado de Calidad que acredite las características mecánicas exigidas en proyecto: límite elástico mínimo, tensión mínima de rotura y alargamiento mínimo, así como haber superado satisfactoriamente </w:t>
      </w:r>
      <w:proofErr w:type="gramStart"/>
      <w:r w:rsidRPr="00FC7A5B">
        <w:rPr>
          <w:rFonts w:ascii="Arial" w:hAnsi="Arial" w:cs="Arial"/>
        </w:rPr>
        <w:t>el test</w:t>
      </w:r>
      <w:proofErr w:type="gramEnd"/>
      <w:r w:rsidRPr="00FC7A5B">
        <w:rPr>
          <w:rFonts w:ascii="Arial" w:hAnsi="Arial" w:cs="Arial"/>
        </w:rPr>
        <w:t xml:space="preserve"> de calificación según AWS D1.1-90.</w:t>
      </w:r>
    </w:p>
    <w:p w14:paraId="2F6E9720"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Caso de no disponer de certificado acreditativo según esta norma el taller metálico aportará la documentación alternativa que considere pertinente y la Dirección </w:t>
      </w:r>
      <w:r w:rsidR="00D50357">
        <w:rPr>
          <w:rFonts w:ascii="Arial" w:hAnsi="Arial" w:cs="Arial"/>
        </w:rPr>
        <w:t>de Obra</w:t>
      </w:r>
      <w:r w:rsidRPr="00FC7A5B">
        <w:rPr>
          <w:rFonts w:ascii="Arial" w:hAnsi="Arial" w:cs="Arial"/>
        </w:rPr>
        <w:t xml:space="preserve"> decidirá la utilización o no de los conectadores propuestos.</w:t>
      </w:r>
    </w:p>
    <w:p w14:paraId="40A862F1"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El Laboratorio Responsable del Control, según se define en la unidad de obra relativa al acero laminado resistente a la corrosión, podrá proponer los ensayos de contraste que considere necesarios, en los que la determinación de las características correspondientes se realizará </w:t>
      </w:r>
      <w:proofErr w:type="gramStart"/>
      <w:r w:rsidRPr="00FC7A5B">
        <w:rPr>
          <w:rFonts w:ascii="Arial" w:hAnsi="Arial" w:cs="Arial"/>
        </w:rPr>
        <w:t>de acuerdo a</w:t>
      </w:r>
      <w:proofErr w:type="gramEnd"/>
      <w:r w:rsidRPr="00FC7A5B">
        <w:rPr>
          <w:rFonts w:ascii="Arial" w:hAnsi="Arial" w:cs="Arial"/>
        </w:rPr>
        <w:t xml:space="preserve"> UNE 36-401-81</w:t>
      </w:r>
    </w:p>
    <w:p w14:paraId="16E899DC"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La soldadura de los pernos a la platabanda superior se realizará obligatoriamente en taller, tras el oportuno programa de coordinación entre el taller metálico y la empresa </w:t>
      </w:r>
      <w:proofErr w:type="spellStart"/>
      <w:r w:rsidRPr="00FC7A5B">
        <w:rPr>
          <w:rFonts w:ascii="Arial" w:hAnsi="Arial" w:cs="Arial"/>
        </w:rPr>
        <w:t>prefabricadora</w:t>
      </w:r>
      <w:proofErr w:type="spellEnd"/>
      <w:r w:rsidRPr="00FC7A5B">
        <w:rPr>
          <w:rFonts w:ascii="Arial" w:hAnsi="Arial" w:cs="Arial"/>
        </w:rPr>
        <w:t xml:space="preserve"> de las </w:t>
      </w:r>
      <w:proofErr w:type="spellStart"/>
      <w:r w:rsidRPr="00FC7A5B">
        <w:rPr>
          <w:rFonts w:ascii="Arial" w:hAnsi="Arial" w:cs="Arial"/>
        </w:rPr>
        <w:t>prelosas</w:t>
      </w:r>
      <w:proofErr w:type="spellEnd"/>
      <w:r w:rsidRPr="00FC7A5B">
        <w:rPr>
          <w:rFonts w:ascii="Arial" w:hAnsi="Arial" w:cs="Arial"/>
        </w:rPr>
        <w:t>.</w:t>
      </w:r>
    </w:p>
    <w:p w14:paraId="74634C62" w14:textId="77777777" w:rsidR="00D50726" w:rsidRPr="009F1466" w:rsidRDefault="00D50726" w:rsidP="009F1466">
      <w:pPr>
        <w:spacing w:before="120" w:after="120" w:line="360" w:lineRule="auto"/>
        <w:jc w:val="both"/>
        <w:rPr>
          <w:rFonts w:ascii="Arial" w:hAnsi="Arial"/>
          <w:b/>
          <w:bCs/>
          <w:i/>
          <w:szCs w:val="20"/>
        </w:rPr>
      </w:pPr>
      <w:r w:rsidRPr="009F1466">
        <w:rPr>
          <w:rFonts w:ascii="Arial" w:hAnsi="Arial"/>
          <w:b/>
          <w:bCs/>
          <w:i/>
          <w:szCs w:val="20"/>
        </w:rPr>
        <w:t>62</w:t>
      </w:r>
      <w:r w:rsidR="0017106C" w:rsidRPr="009F1466">
        <w:rPr>
          <w:rFonts w:ascii="Arial" w:hAnsi="Arial"/>
          <w:b/>
          <w:bCs/>
          <w:i/>
          <w:szCs w:val="20"/>
        </w:rPr>
        <w:t>5</w:t>
      </w:r>
      <w:r w:rsidRPr="009F1466">
        <w:rPr>
          <w:rFonts w:ascii="Arial" w:hAnsi="Arial"/>
          <w:b/>
          <w:bCs/>
          <w:i/>
          <w:szCs w:val="20"/>
        </w:rPr>
        <w:t>.6.1</w:t>
      </w:r>
      <w:r w:rsidR="0017106C" w:rsidRPr="009F1466">
        <w:rPr>
          <w:rFonts w:ascii="Arial" w:hAnsi="Arial"/>
          <w:b/>
          <w:bCs/>
          <w:i/>
          <w:szCs w:val="20"/>
        </w:rPr>
        <w:t>.</w:t>
      </w:r>
      <w:r w:rsidR="009F1466">
        <w:rPr>
          <w:rFonts w:ascii="Arial" w:hAnsi="Arial"/>
          <w:b/>
          <w:bCs/>
          <w:i/>
          <w:szCs w:val="20"/>
        </w:rPr>
        <w:t xml:space="preserve"> </w:t>
      </w:r>
      <w:r w:rsidRPr="009F1466">
        <w:rPr>
          <w:rFonts w:ascii="Arial" w:hAnsi="Arial"/>
          <w:b/>
          <w:bCs/>
          <w:i/>
          <w:szCs w:val="20"/>
        </w:rPr>
        <w:t>Control de la soldadura de los pernos</w:t>
      </w:r>
    </w:p>
    <w:p w14:paraId="20764609"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 xml:space="preserve">Antes de comenzar el soldeo cada día, por cada tipo de perno a soldar cada operario soldará dos pernos en una pieza de material y espesor análogos a los de la producción real, y en una posición idéntica a la soldadura real. La soldadura se inspeccionará visualmente y deberá mostrar un cordón completo de 360º. Además, después de haber enfriado se les doblará, golpeando con una maza, un ángulo de 45º. Si en la inspección visual el ensayo no muestra 360º completos de cordón de soldadura, o si en el doblado alguno de ellos falla, y se produce la rotura de la zona soldada, deberá corregirse el procedimiento, y soldar y ensayar una nueva pareja. Si nuevamente fallase alguno, será necesario </w:t>
      </w:r>
      <w:proofErr w:type="spellStart"/>
      <w:r w:rsidRPr="00FC7A5B">
        <w:rPr>
          <w:rFonts w:ascii="Arial" w:hAnsi="Arial" w:cs="Arial"/>
        </w:rPr>
        <w:t>rehomologar</w:t>
      </w:r>
      <w:proofErr w:type="spellEnd"/>
      <w:r w:rsidRPr="00FC7A5B">
        <w:rPr>
          <w:rFonts w:ascii="Arial" w:hAnsi="Arial" w:cs="Arial"/>
        </w:rPr>
        <w:t xml:space="preserve"> el procedimiento según el apartado correspondiente de este artículo.</w:t>
      </w:r>
    </w:p>
    <w:p w14:paraId="7469999D" w14:textId="77777777" w:rsidR="00D50726" w:rsidRPr="00FC7A5B" w:rsidRDefault="00D50726" w:rsidP="00D766CF">
      <w:pPr>
        <w:spacing w:before="120" w:after="120" w:line="360" w:lineRule="auto"/>
        <w:jc w:val="both"/>
        <w:rPr>
          <w:rFonts w:ascii="Arial" w:hAnsi="Arial" w:cs="Arial"/>
        </w:rPr>
      </w:pPr>
      <w:r w:rsidRPr="00FC7A5B">
        <w:rPr>
          <w:rFonts w:ascii="Arial" w:hAnsi="Arial" w:cs="Arial"/>
        </w:rPr>
        <w:t xml:space="preserve">Una vez superada la prueba anterior, podrá iniciarse el soldeo de la estructura. Se realizará una inspección visual del 100% de los pernos ejecutados, en la que se verifique que el cordón es completo en 360º alrededor del perno y que presenta un color azul brillante, rodeando completamente el vástago del perno. Aquellos pernos en </w:t>
      </w:r>
      <w:r w:rsidRPr="00FC7A5B">
        <w:rPr>
          <w:rFonts w:ascii="Arial" w:hAnsi="Arial" w:cs="Arial"/>
        </w:rPr>
        <w:t>que el cordón de soldadura haya resultado incompleto (&lt;360º) deberán ser reparados mediante un procedimiento de soldadura manual por arco con electrodos de 4 a 4,8 mm de bajo contenido en hidrógeno, de modo que se rellene la parte sin soldadura con un cordón de 8 mm de altura mínima y que exceda en un mínimo de 10 mm de la zona sin soldadura por cada lado.</w:t>
      </w:r>
    </w:p>
    <w:p w14:paraId="12370DC8"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Se realizará un golpeo con martillo ligero sobre el 100% de los pernos soldados, y el sonido debe ser claro y neto.</w:t>
      </w:r>
    </w:p>
    <w:p w14:paraId="65185AF1" w14:textId="77777777" w:rsidR="00D50726" w:rsidRPr="00FC7A5B" w:rsidRDefault="00D50726" w:rsidP="005609D6">
      <w:pPr>
        <w:spacing w:before="120" w:after="120" w:line="360" w:lineRule="auto"/>
        <w:jc w:val="both"/>
        <w:rPr>
          <w:rFonts w:ascii="Arial" w:hAnsi="Arial" w:cs="Arial"/>
        </w:rPr>
      </w:pPr>
      <w:r w:rsidRPr="00FC7A5B">
        <w:rPr>
          <w:rFonts w:ascii="Arial" w:hAnsi="Arial" w:cs="Arial"/>
        </w:rPr>
        <w:t>Sobre el 3% de todos los pernos soldados, más todos aquellos sobre los que haya sido necesario repasar la soldadura al no existir inicialmente un cordón completo de 360º, más todos aquellos cuyo sonido no resulte satisfactorio al golpeo con el martillo, se realizará un ensayo de doblado aproximadamente de 15º respecto a su eje, bien con maza o haciendo palanca con un tubo, una vez ya esté fría la soldadura. Si falla la unión o la soldadura queda agrietada, lo que se comprobará con líquidos penetrantes, el perno será sustituido. Esta sustitución y el tratamiento posterior de la chapa base será conforme a AWS D1.1-90, dejando una superficie lisa rellenando las mordeduras previamente con electrodo de bajo contenido en hidrógeno. Por cada perno cuya unión no sea correcta, en este ensayo, se inspeccionarán tres nuevos pernos. Esta inspección por doblado se realizará preferentemente en aquellos pernos cuyo cordón presente un aspecto rugoso, poroso no brillante o con mordeduras, o en aquellos pernos insuficientemente acortados después de soldados, entendiendo como insuficiente un acortamiento 1,6 mm inferior al especificado.</w:t>
      </w:r>
    </w:p>
    <w:p w14:paraId="7265AC9C" w14:textId="77777777" w:rsidR="00D50726" w:rsidRDefault="00D50726" w:rsidP="00D766CF">
      <w:pPr>
        <w:spacing w:before="120" w:after="120" w:line="360" w:lineRule="auto"/>
        <w:jc w:val="both"/>
        <w:rPr>
          <w:rFonts w:ascii="Arial" w:hAnsi="Arial" w:cs="Arial"/>
        </w:rPr>
      </w:pPr>
      <w:r w:rsidRPr="00FC7A5B">
        <w:rPr>
          <w:rFonts w:ascii="Arial" w:hAnsi="Arial" w:cs="Arial"/>
        </w:rPr>
        <w:t>Todos los controles de calidad relativos a los pernos que se establecen en este artículo quedarán recogidos en el PPI que para la construcción del tablero metálico se establezca. De todos ellos deberá quedar constancia documental, y el mismo Laboratorio Responsable del Control que se establece en la unidad de obra correspondiente al acero laminado resistente a la corrosión será el responsable del cumplimiento satisfactorio del Plan de Control exigido.</w:t>
      </w:r>
    </w:p>
    <w:p w14:paraId="419BCD70" w14:textId="77777777" w:rsidR="009F1466" w:rsidRDefault="009F1466" w:rsidP="00D766CF">
      <w:pPr>
        <w:spacing w:before="120" w:after="120" w:line="360" w:lineRule="auto"/>
        <w:jc w:val="both"/>
        <w:rPr>
          <w:rFonts w:ascii="Arial" w:hAnsi="Arial" w:cs="Arial"/>
        </w:rPr>
      </w:pPr>
    </w:p>
    <w:p w14:paraId="112529C4" w14:textId="77777777" w:rsidR="009F1466" w:rsidRDefault="009F1466" w:rsidP="00D766CF">
      <w:pPr>
        <w:spacing w:before="120" w:after="120" w:line="360" w:lineRule="auto"/>
        <w:jc w:val="both"/>
        <w:rPr>
          <w:rFonts w:ascii="Arial" w:hAnsi="Arial" w:cs="Arial"/>
        </w:rPr>
      </w:pPr>
    </w:p>
    <w:p w14:paraId="59C00324" w14:textId="77777777" w:rsidR="009F1466" w:rsidRDefault="009F1466" w:rsidP="00D766CF">
      <w:pPr>
        <w:spacing w:before="120" w:after="120" w:line="360" w:lineRule="auto"/>
        <w:jc w:val="both"/>
        <w:rPr>
          <w:rFonts w:ascii="Arial" w:hAnsi="Arial" w:cs="Arial"/>
        </w:rPr>
      </w:pPr>
    </w:p>
    <w:p w14:paraId="36456C19" w14:textId="77777777" w:rsidR="009F1466" w:rsidRPr="00FC7A5B" w:rsidRDefault="009F1466" w:rsidP="00D766CF">
      <w:pPr>
        <w:spacing w:before="120" w:after="120" w:line="360" w:lineRule="auto"/>
        <w:jc w:val="both"/>
        <w:rPr>
          <w:rFonts w:ascii="Arial" w:hAnsi="Arial" w:cs="Arial"/>
        </w:rPr>
      </w:pPr>
    </w:p>
    <w:p w14:paraId="2050C3C4" w14:textId="77777777" w:rsidR="00D50726" w:rsidRPr="002D78A2" w:rsidRDefault="00D50726" w:rsidP="000313DD">
      <w:pPr>
        <w:pStyle w:val="TITU2"/>
        <w:rPr>
          <w:lang w:val="es-ES_tradnl"/>
        </w:rPr>
      </w:pPr>
      <w:bookmarkStart w:id="792" w:name="_Toc433280489"/>
      <w:bookmarkStart w:id="793" w:name="_Toc448916072"/>
      <w:bookmarkStart w:id="794" w:name="_Toc404443"/>
      <w:r w:rsidRPr="002D78A2">
        <w:rPr>
          <w:lang w:val="es-ES_tradnl"/>
        </w:rPr>
        <w:t>62</w:t>
      </w:r>
      <w:r w:rsidR="0017106C">
        <w:rPr>
          <w:lang w:val="es-ES_tradnl"/>
        </w:rPr>
        <w:t>5</w:t>
      </w:r>
      <w:r w:rsidRPr="002D78A2">
        <w:rPr>
          <w:lang w:val="es-ES_tradnl"/>
        </w:rPr>
        <w:t>.7.</w:t>
      </w:r>
      <w:r w:rsidR="0017106C">
        <w:rPr>
          <w:lang w:val="es-ES_tradnl"/>
        </w:rPr>
        <w:t xml:space="preserve"> </w:t>
      </w:r>
      <w:r w:rsidRPr="002D78A2">
        <w:rPr>
          <w:lang w:val="es-ES_tradnl"/>
        </w:rPr>
        <w:tab/>
        <w:t>Medici</w:t>
      </w:r>
      <w:r w:rsidRPr="002D78A2">
        <w:rPr>
          <w:rFonts w:hint="eastAsia"/>
          <w:lang w:val="es-ES_tradnl"/>
        </w:rPr>
        <w:t>ó</w:t>
      </w:r>
      <w:r w:rsidRPr="002D78A2">
        <w:rPr>
          <w:lang w:val="es-ES_tradnl"/>
        </w:rPr>
        <w:t>n y abono</w:t>
      </w:r>
      <w:bookmarkEnd w:id="792"/>
      <w:bookmarkEnd w:id="793"/>
      <w:bookmarkEnd w:id="794"/>
    </w:p>
    <w:p w14:paraId="5572F105" w14:textId="77777777" w:rsidR="009F1466" w:rsidRDefault="009F1466" w:rsidP="009F1466">
      <w:pPr>
        <w:spacing w:before="120" w:after="120" w:line="360" w:lineRule="auto"/>
        <w:jc w:val="both"/>
        <w:rPr>
          <w:rFonts w:ascii="Arial" w:hAnsi="Arial" w:cs="Arial"/>
        </w:rPr>
      </w:pPr>
      <w:r>
        <w:rPr>
          <w:rFonts w:ascii="Arial" w:hAnsi="Arial" w:cs="Arial"/>
        </w:rPr>
        <w:t xml:space="preserve">La medición y abono de </w:t>
      </w:r>
      <w:proofErr w:type="gramStart"/>
      <w:r>
        <w:rPr>
          <w:rFonts w:ascii="Arial" w:hAnsi="Arial" w:cs="Arial"/>
        </w:rPr>
        <w:t>la  unidad</w:t>
      </w:r>
      <w:proofErr w:type="gramEnd"/>
      <w:r>
        <w:rPr>
          <w:rFonts w:ascii="Arial" w:hAnsi="Arial" w:cs="Arial"/>
        </w:rPr>
        <w:t xml:space="preserve"> de perno se realizará según las especificaciones siguientes:</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D50726" w:rsidRPr="00FC7A5B" w14:paraId="4D9C6FDF" w14:textId="77777777" w:rsidTr="00DC5083">
        <w:tc>
          <w:tcPr>
            <w:tcW w:w="2905" w:type="dxa"/>
            <w:vAlign w:val="center"/>
          </w:tcPr>
          <w:p w14:paraId="35953D36" w14:textId="77777777" w:rsidR="00D50726" w:rsidRPr="00FC7A5B" w:rsidRDefault="00D50726" w:rsidP="009F1466">
            <w:pPr>
              <w:tabs>
                <w:tab w:val="left" w:pos="1134"/>
              </w:tabs>
              <w:spacing w:line="288" w:lineRule="auto"/>
              <w:jc w:val="center"/>
              <w:rPr>
                <w:rFonts w:ascii="Arial" w:hAnsi="Arial" w:cs="Arial"/>
                <w:b/>
                <w:sz w:val="20"/>
              </w:rPr>
            </w:pPr>
            <w:r w:rsidRPr="00FC7A5B">
              <w:rPr>
                <w:rFonts w:ascii="Arial" w:hAnsi="Arial" w:cs="Arial"/>
                <w:b/>
                <w:sz w:val="20"/>
              </w:rPr>
              <w:t>Unidad de medida</w:t>
            </w:r>
          </w:p>
        </w:tc>
        <w:tc>
          <w:tcPr>
            <w:tcW w:w="5739" w:type="dxa"/>
            <w:vAlign w:val="center"/>
          </w:tcPr>
          <w:p w14:paraId="395A05C7" w14:textId="77777777" w:rsidR="00D50726" w:rsidRPr="00FC7A5B" w:rsidRDefault="00D50726" w:rsidP="00B71B0B">
            <w:pPr>
              <w:spacing w:before="120" w:after="120" w:line="288" w:lineRule="auto"/>
              <w:jc w:val="both"/>
              <w:rPr>
                <w:rFonts w:ascii="Arial" w:hAnsi="Arial" w:cs="Arial"/>
                <w:sz w:val="20"/>
              </w:rPr>
            </w:pPr>
            <w:r w:rsidRPr="00FC7A5B">
              <w:rPr>
                <w:rFonts w:ascii="Arial" w:hAnsi="Arial" w:cs="Arial"/>
                <w:sz w:val="20"/>
              </w:rPr>
              <w:t>Unidades (</w:t>
            </w:r>
            <w:proofErr w:type="spellStart"/>
            <w:r w:rsidR="00280916">
              <w:rPr>
                <w:rFonts w:ascii="Arial" w:hAnsi="Arial" w:cs="Arial"/>
                <w:sz w:val="20"/>
              </w:rPr>
              <w:t>u</w:t>
            </w:r>
            <w:r w:rsidRPr="00FC7A5B">
              <w:rPr>
                <w:rFonts w:ascii="Arial" w:hAnsi="Arial" w:cs="Arial"/>
                <w:sz w:val="20"/>
              </w:rPr>
              <w:t>d</w:t>
            </w:r>
            <w:proofErr w:type="spellEnd"/>
            <w:r w:rsidRPr="00FC7A5B">
              <w:rPr>
                <w:rFonts w:ascii="Arial" w:hAnsi="Arial" w:cs="Arial"/>
                <w:sz w:val="20"/>
              </w:rPr>
              <w:t>)</w:t>
            </w:r>
          </w:p>
        </w:tc>
      </w:tr>
      <w:tr w:rsidR="00D50726" w:rsidRPr="00FC7A5B" w14:paraId="0F40C961" w14:textId="77777777" w:rsidTr="00DC5083">
        <w:tc>
          <w:tcPr>
            <w:tcW w:w="2905" w:type="dxa"/>
            <w:vAlign w:val="center"/>
          </w:tcPr>
          <w:p w14:paraId="057C89EB" w14:textId="77777777" w:rsidR="00D50726" w:rsidRPr="00FC7A5B" w:rsidRDefault="00D50726" w:rsidP="009F1466">
            <w:pPr>
              <w:tabs>
                <w:tab w:val="left" w:pos="1134"/>
              </w:tabs>
              <w:spacing w:before="60" w:after="120" w:line="360" w:lineRule="auto"/>
              <w:jc w:val="center"/>
              <w:rPr>
                <w:rFonts w:ascii="Arial" w:hAnsi="Arial" w:cs="Arial"/>
                <w:b/>
                <w:sz w:val="20"/>
              </w:rPr>
            </w:pPr>
            <w:r w:rsidRPr="00FC7A5B">
              <w:rPr>
                <w:rFonts w:ascii="Arial" w:hAnsi="Arial" w:cs="Arial"/>
                <w:b/>
                <w:sz w:val="20"/>
              </w:rPr>
              <w:t>Grado de precisión</w:t>
            </w:r>
          </w:p>
        </w:tc>
        <w:tc>
          <w:tcPr>
            <w:tcW w:w="5739" w:type="dxa"/>
            <w:vAlign w:val="center"/>
          </w:tcPr>
          <w:p w14:paraId="15C3AFED" w14:textId="77777777" w:rsidR="00D50726" w:rsidRPr="00FC7A5B" w:rsidRDefault="00D50726" w:rsidP="00B71B0B">
            <w:pPr>
              <w:spacing w:before="120" w:after="120" w:line="288" w:lineRule="auto"/>
              <w:jc w:val="both"/>
              <w:rPr>
                <w:rFonts w:ascii="Arial" w:hAnsi="Arial" w:cs="Arial"/>
                <w:sz w:val="20"/>
              </w:rPr>
            </w:pPr>
            <w:r w:rsidRPr="00FC7A5B">
              <w:rPr>
                <w:rFonts w:ascii="Arial" w:hAnsi="Arial" w:cs="Arial"/>
                <w:sz w:val="20"/>
              </w:rPr>
              <w:t>Sin decimales.</w:t>
            </w:r>
          </w:p>
        </w:tc>
      </w:tr>
      <w:tr w:rsidR="00D50726" w:rsidRPr="00FC7A5B" w14:paraId="6718053A" w14:textId="77777777" w:rsidTr="00DC5083">
        <w:tc>
          <w:tcPr>
            <w:tcW w:w="2905" w:type="dxa"/>
            <w:vAlign w:val="center"/>
          </w:tcPr>
          <w:p w14:paraId="437A3D25" w14:textId="77777777" w:rsidR="00D50726" w:rsidRPr="00FC7A5B" w:rsidRDefault="00D50726" w:rsidP="009F1466">
            <w:pPr>
              <w:tabs>
                <w:tab w:val="left" w:pos="1134"/>
              </w:tabs>
              <w:spacing w:before="60" w:after="120" w:line="360" w:lineRule="auto"/>
              <w:jc w:val="center"/>
              <w:rPr>
                <w:rFonts w:ascii="Arial" w:hAnsi="Arial" w:cs="Arial"/>
                <w:b/>
                <w:sz w:val="20"/>
              </w:rPr>
            </w:pPr>
            <w:r w:rsidRPr="00FC7A5B">
              <w:rPr>
                <w:rFonts w:ascii="Arial" w:hAnsi="Arial" w:cs="Arial"/>
                <w:b/>
                <w:sz w:val="20"/>
              </w:rPr>
              <w:t>Forma de medición</w:t>
            </w:r>
          </w:p>
        </w:tc>
        <w:tc>
          <w:tcPr>
            <w:tcW w:w="5739" w:type="dxa"/>
            <w:vAlign w:val="center"/>
          </w:tcPr>
          <w:p w14:paraId="4388830B" w14:textId="77777777" w:rsidR="00D50726" w:rsidRPr="00FC7A5B" w:rsidRDefault="00D50726" w:rsidP="00B71B0B">
            <w:pPr>
              <w:spacing w:before="120" w:after="120" w:line="288" w:lineRule="auto"/>
              <w:jc w:val="both"/>
              <w:rPr>
                <w:rFonts w:ascii="Arial" w:hAnsi="Arial" w:cs="Arial"/>
                <w:sz w:val="20"/>
              </w:rPr>
            </w:pPr>
            <w:r w:rsidRPr="00FC7A5B">
              <w:rPr>
                <w:rFonts w:ascii="Arial" w:hAnsi="Arial" w:cs="Arial"/>
                <w:sz w:val="20"/>
              </w:rPr>
              <w:t xml:space="preserve">Unidades de pernos realmente colocados. </w:t>
            </w:r>
          </w:p>
        </w:tc>
      </w:tr>
      <w:tr w:rsidR="00D50726" w:rsidRPr="00FC7A5B" w14:paraId="7ED13E20" w14:textId="77777777" w:rsidTr="00DC5083">
        <w:tc>
          <w:tcPr>
            <w:tcW w:w="2905" w:type="dxa"/>
            <w:vAlign w:val="center"/>
          </w:tcPr>
          <w:p w14:paraId="1F8D5FCF" w14:textId="77777777" w:rsidR="00D50726" w:rsidRPr="00FC7A5B" w:rsidRDefault="00D50726" w:rsidP="009F1466">
            <w:pPr>
              <w:tabs>
                <w:tab w:val="left" w:pos="1134"/>
              </w:tabs>
              <w:spacing w:line="288" w:lineRule="auto"/>
              <w:jc w:val="center"/>
              <w:rPr>
                <w:rFonts w:ascii="Arial" w:hAnsi="Arial" w:cs="Arial"/>
                <w:b/>
                <w:sz w:val="20"/>
              </w:rPr>
            </w:pPr>
            <w:r w:rsidRPr="00FC7A5B">
              <w:rPr>
                <w:rFonts w:ascii="Arial" w:hAnsi="Arial" w:cs="Arial"/>
                <w:b/>
                <w:sz w:val="20"/>
              </w:rPr>
              <w:t>Abono</w:t>
            </w:r>
          </w:p>
        </w:tc>
        <w:tc>
          <w:tcPr>
            <w:tcW w:w="5739" w:type="dxa"/>
            <w:vAlign w:val="center"/>
          </w:tcPr>
          <w:p w14:paraId="0DA14498" w14:textId="77777777" w:rsidR="00D50726" w:rsidRPr="00FC7A5B" w:rsidRDefault="00D50726" w:rsidP="00B71B0B">
            <w:pPr>
              <w:spacing w:before="120" w:after="120" w:line="288" w:lineRule="auto"/>
              <w:jc w:val="both"/>
              <w:rPr>
                <w:rFonts w:ascii="Arial" w:hAnsi="Arial" w:cs="Arial"/>
                <w:sz w:val="20"/>
              </w:rPr>
            </w:pPr>
            <w:r w:rsidRPr="00FC7A5B">
              <w:rPr>
                <w:rFonts w:ascii="Arial" w:hAnsi="Arial" w:cs="Arial"/>
                <w:sz w:val="20"/>
              </w:rPr>
              <w:t>Se efectuará cuando se realice la aceptación, una vez realizadas las pruebas y ensayos de recepción.</w:t>
            </w:r>
          </w:p>
        </w:tc>
      </w:tr>
      <w:tr w:rsidR="00D50726" w:rsidRPr="00FC7A5B" w14:paraId="38DCBED9" w14:textId="77777777" w:rsidTr="00DC5083">
        <w:tc>
          <w:tcPr>
            <w:tcW w:w="2905" w:type="dxa"/>
            <w:vAlign w:val="center"/>
          </w:tcPr>
          <w:p w14:paraId="3C4959B2" w14:textId="77777777" w:rsidR="00D50726" w:rsidRPr="00FC7A5B" w:rsidRDefault="00D50726" w:rsidP="009F1466">
            <w:pPr>
              <w:tabs>
                <w:tab w:val="left" w:pos="1134"/>
              </w:tabs>
              <w:spacing w:before="60" w:after="120" w:line="360" w:lineRule="auto"/>
              <w:jc w:val="center"/>
              <w:rPr>
                <w:b/>
                <w:sz w:val="20"/>
              </w:rPr>
            </w:pPr>
            <w:r w:rsidRPr="00FC7A5B">
              <w:rPr>
                <w:rFonts w:ascii="Arial" w:hAnsi="Arial" w:cs="Arial"/>
                <w:b/>
                <w:sz w:val="20"/>
              </w:rPr>
              <w:t>Criterios complementarios</w:t>
            </w:r>
          </w:p>
        </w:tc>
        <w:tc>
          <w:tcPr>
            <w:tcW w:w="5739" w:type="dxa"/>
            <w:vAlign w:val="center"/>
          </w:tcPr>
          <w:p w14:paraId="6502D61B" w14:textId="77777777" w:rsidR="00D50726" w:rsidRPr="00FC7A5B" w:rsidRDefault="00D50726" w:rsidP="00B71B0B">
            <w:pPr>
              <w:spacing w:before="120" w:after="120" w:line="288" w:lineRule="auto"/>
              <w:jc w:val="both"/>
              <w:rPr>
                <w:rFonts w:ascii="Arial" w:hAnsi="Arial" w:cs="Arial"/>
                <w:sz w:val="20"/>
              </w:rPr>
            </w:pPr>
            <w:r w:rsidRPr="00FC7A5B">
              <w:rPr>
                <w:rFonts w:ascii="Arial" w:hAnsi="Arial" w:cs="Arial"/>
                <w:sz w:val="20"/>
              </w:rPr>
              <w:t xml:space="preserve">En el precio están incluidos todos los materiales </w:t>
            </w:r>
            <w:r w:rsidR="00280916">
              <w:rPr>
                <w:rFonts w:ascii="Arial" w:hAnsi="Arial" w:cs="Arial"/>
                <w:sz w:val="20"/>
              </w:rPr>
              <w:t xml:space="preserve">y medios necesarios </w:t>
            </w:r>
            <w:r w:rsidR="00217216">
              <w:rPr>
                <w:rFonts w:ascii="Arial" w:hAnsi="Arial" w:cs="Arial"/>
                <w:sz w:val="20"/>
              </w:rPr>
              <w:t>para</w:t>
            </w:r>
            <w:r w:rsidR="00280916">
              <w:rPr>
                <w:rFonts w:ascii="Arial" w:hAnsi="Arial" w:cs="Arial"/>
                <w:sz w:val="20"/>
              </w:rPr>
              <w:t xml:space="preserve"> la correcta ejecución de la unidad</w:t>
            </w:r>
            <w:r w:rsidRPr="00FC7A5B">
              <w:rPr>
                <w:rFonts w:ascii="Arial" w:hAnsi="Arial" w:cs="Arial"/>
                <w:sz w:val="20"/>
              </w:rPr>
              <w:t xml:space="preserve">. </w:t>
            </w:r>
          </w:p>
        </w:tc>
      </w:tr>
    </w:tbl>
    <w:p w14:paraId="07925A09" w14:textId="77777777" w:rsidR="00E83996" w:rsidRDefault="00E83996" w:rsidP="00E83996">
      <w:pPr>
        <w:pStyle w:val="TITU1"/>
        <w:rPr>
          <w:lang w:val="es-ES_tradnl"/>
        </w:rPr>
      </w:pPr>
      <w:bookmarkStart w:id="795" w:name="_Toc404444"/>
      <w:r w:rsidRPr="002305C1">
        <w:rPr>
          <w:lang w:val="es-ES_tradnl"/>
        </w:rPr>
        <w:lastRenderedPageBreak/>
        <w:t xml:space="preserve">Artículo 635.- </w:t>
      </w:r>
      <w:r w:rsidR="004A6733" w:rsidRPr="002305C1">
        <w:rPr>
          <w:lang w:val="es-ES_tradnl"/>
        </w:rPr>
        <w:t>Fábrica de bloques de hormigón</w:t>
      </w:r>
      <w:bookmarkEnd w:id="795"/>
    </w:p>
    <w:p w14:paraId="1494BE86" w14:textId="77777777" w:rsidR="00804F6A" w:rsidRDefault="00804F6A" w:rsidP="000313DD">
      <w:pPr>
        <w:pStyle w:val="TITU2"/>
        <w:rPr>
          <w:lang w:val="es-ES_tradnl"/>
        </w:rPr>
      </w:pPr>
      <w:bookmarkStart w:id="796" w:name="_Toc404445"/>
      <w:r w:rsidRPr="00397D79">
        <w:rPr>
          <w:lang w:val="es-ES_tradnl"/>
        </w:rPr>
        <w:t>635.1. Aplicación</w:t>
      </w:r>
      <w:bookmarkEnd w:id="796"/>
    </w:p>
    <w:p w14:paraId="295DD773" w14:textId="77777777" w:rsidR="004A6733" w:rsidRPr="004A6733" w:rsidRDefault="004A6733" w:rsidP="004A6733">
      <w:pPr>
        <w:pStyle w:val="NORMAL12"/>
      </w:pPr>
      <w:r>
        <w:t>Se define como fábricas de bloques de hormigón como aquellas constituidas por bloques huecos de hormigón, recibidas con mortero de cemento y rellenas de hormigón.</w:t>
      </w:r>
      <w:r w:rsidR="00A84D98">
        <w:t xml:space="preserve"> Se trata del muro de bloques construido en el paso inferior de la carretera SI-2 para delimitar la zona de acera.</w:t>
      </w:r>
    </w:p>
    <w:p w14:paraId="101F162C" w14:textId="77777777" w:rsidR="00804F6A" w:rsidRPr="00804F6A" w:rsidRDefault="00804F6A" w:rsidP="00804F6A">
      <w:pPr>
        <w:pStyle w:val="NORMAL12"/>
        <w:rPr>
          <w:lang w:val="es-ES"/>
        </w:rPr>
      </w:pPr>
      <w:r w:rsidRPr="00804F6A">
        <w:rPr>
          <w:lang w:val="es-ES"/>
        </w:rPr>
        <w:t xml:space="preserve">Las prescripciones del presente artículo </w:t>
      </w:r>
      <w:proofErr w:type="gramStart"/>
      <w:r w:rsidRPr="00804F6A">
        <w:rPr>
          <w:lang w:val="es-ES"/>
        </w:rPr>
        <w:t>son de aplicación</w:t>
      </w:r>
      <w:proofErr w:type="gramEnd"/>
      <w:r w:rsidRPr="00804F6A">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207"/>
        <w:gridCol w:w="639"/>
        <w:gridCol w:w="7507"/>
      </w:tblGrid>
      <w:tr w:rsidR="00804F6A" w:rsidRPr="00016787" w14:paraId="6551986F" w14:textId="77777777" w:rsidTr="00507AB0">
        <w:trPr>
          <w:trHeight w:val="300"/>
        </w:trPr>
        <w:tc>
          <w:tcPr>
            <w:tcW w:w="645" w:type="pct"/>
            <w:noWrap/>
            <w:hideMark/>
          </w:tcPr>
          <w:p w14:paraId="13A23CBA" w14:textId="77777777" w:rsidR="00804F6A" w:rsidRPr="005B79AD" w:rsidRDefault="00804F6A" w:rsidP="00A8316A">
            <w:pPr>
              <w:rPr>
                <w:rFonts w:ascii="Calibri" w:hAnsi="Calibri" w:cs="Calibri"/>
                <w:color w:val="000000"/>
              </w:rPr>
            </w:pPr>
            <w:r w:rsidRPr="005B79AD">
              <w:rPr>
                <w:rFonts w:ascii="Calibri" w:hAnsi="Calibri" w:cs="Calibri"/>
                <w:color w:val="000000"/>
              </w:rPr>
              <w:t xml:space="preserve">710.0002N         </w:t>
            </w:r>
          </w:p>
        </w:tc>
        <w:tc>
          <w:tcPr>
            <w:tcW w:w="342" w:type="pct"/>
            <w:noWrap/>
            <w:hideMark/>
          </w:tcPr>
          <w:p w14:paraId="52005B86" w14:textId="77777777" w:rsidR="00804F6A" w:rsidRPr="005B79AD" w:rsidRDefault="00804F6A" w:rsidP="00A8316A">
            <w:pPr>
              <w:rPr>
                <w:rFonts w:ascii="Calibri" w:hAnsi="Calibri" w:cs="Calibri"/>
                <w:color w:val="000000"/>
              </w:rPr>
            </w:pPr>
            <w:r w:rsidRPr="005B79AD">
              <w:rPr>
                <w:rFonts w:ascii="Calibri" w:hAnsi="Calibri" w:cs="Calibri"/>
                <w:color w:val="000000"/>
              </w:rPr>
              <w:t>m</w:t>
            </w:r>
            <w:r w:rsidRPr="005B79AD">
              <w:rPr>
                <w:rFonts w:ascii="Calibri" w:hAnsi="Calibri" w:cs="Calibri"/>
                <w:color w:val="000000"/>
                <w:vertAlign w:val="superscript"/>
              </w:rPr>
              <w:t>2</w:t>
            </w:r>
          </w:p>
        </w:tc>
        <w:tc>
          <w:tcPr>
            <w:tcW w:w="4013" w:type="pct"/>
            <w:hideMark/>
          </w:tcPr>
          <w:p w14:paraId="72C4071B" w14:textId="77777777" w:rsidR="00804F6A" w:rsidRPr="005B79AD" w:rsidRDefault="00507AB0" w:rsidP="00B71B0B">
            <w:pPr>
              <w:jc w:val="both"/>
              <w:rPr>
                <w:rFonts w:ascii="Calibri" w:hAnsi="Calibri" w:cs="Calibri"/>
                <w:color w:val="000000"/>
              </w:rPr>
            </w:pPr>
            <w:r w:rsidRPr="005B79AD">
              <w:rPr>
                <w:rFonts w:ascii="Calibri" w:hAnsi="Calibri" w:cs="Calibri"/>
                <w:color w:val="000000"/>
              </w:rPr>
              <w:t>FÁBRICA DE BLOQUES HUECOS DE HORMIGÓN GRIS ESTÁNDAR DE 40X20X15 CM. PARA REVESTIR, RECIBIDOS CON MORTERO DE CEMENTO CEM II/B-M 32,5 N Y ARENA DE RÍO M-5, RELLENOS DE HORMIGÓN DE 330 KG. DE CEMENTO/</w:t>
            </w:r>
            <w:r w:rsidR="00241CBC">
              <w:rPr>
                <w:rFonts w:ascii="Calibri" w:hAnsi="Calibri" w:cs="Calibri"/>
                <w:color w:val="000000"/>
              </w:rPr>
              <w:t>m</w:t>
            </w:r>
            <w:r w:rsidR="00241CBC">
              <w:rPr>
                <w:rFonts w:ascii="Calibri" w:hAnsi="Calibri" w:cs="Calibri"/>
                <w:color w:val="000000"/>
                <w:vertAlign w:val="superscript"/>
              </w:rPr>
              <w:t>3</w:t>
            </w:r>
            <w:r w:rsidRPr="005B79AD">
              <w:rPr>
                <w:rFonts w:ascii="Calibri" w:hAnsi="Calibri" w:cs="Calibri"/>
                <w:color w:val="000000"/>
              </w:rPr>
              <w:t>. DE DOSIFICACIÓN Y ARMADURA SEGÚN NORMATIVA, INCLUSO ZUNCHOS, EJECUCIÓN DE ENCUENTROS, PIEZAS ESPECIALES, ROTURAS, REPLANTEO, NIVELACIÓN, APLOMADO, REJUNTADO, LIMPIEZA Y MEDIOS AUXILIARES, TOTALMENTE TERMINADO</w:t>
            </w:r>
          </w:p>
        </w:tc>
      </w:tr>
    </w:tbl>
    <w:p w14:paraId="0651BD75" w14:textId="77777777" w:rsidR="006D3BCE" w:rsidRPr="002305C1" w:rsidRDefault="006D3BCE" w:rsidP="002305C1">
      <w:pPr>
        <w:pStyle w:val="NORMAL12"/>
      </w:pPr>
      <w:r w:rsidRPr="002305C1">
        <w:t>La ejecución de la unidad incluye la realización de las operaciones siguientes:</w:t>
      </w:r>
    </w:p>
    <w:p w14:paraId="08DDF0E6" w14:textId="77777777" w:rsidR="00397D79" w:rsidRDefault="00397D79" w:rsidP="000313DD">
      <w:pPr>
        <w:pStyle w:val="NORMAL12"/>
        <w:numPr>
          <w:ilvl w:val="0"/>
          <w:numId w:val="225"/>
        </w:numPr>
        <w:rPr>
          <w:lang w:val="es-ES" w:eastAsia="es-ES"/>
        </w:rPr>
      </w:pPr>
      <w:r>
        <w:rPr>
          <w:lang w:val="es-ES" w:eastAsia="es-ES"/>
        </w:rPr>
        <w:t>Nivelado de la superficie de apoyo y colocación de miras</w:t>
      </w:r>
    </w:p>
    <w:p w14:paraId="456F4E4B" w14:textId="77777777" w:rsidR="00397D79" w:rsidRDefault="00397D79" w:rsidP="000313DD">
      <w:pPr>
        <w:pStyle w:val="NORMAL12"/>
        <w:numPr>
          <w:ilvl w:val="0"/>
          <w:numId w:val="225"/>
        </w:numPr>
        <w:rPr>
          <w:lang w:val="es-ES" w:eastAsia="es-ES"/>
        </w:rPr>
      </w:pPr>
      <w:r>
        <w:rPr>
          <w:lang w:val="es-ES" w:eastAsia="es-ES"/>
        </w:rPr>
        <w:t>Colocación de hiladas de bloques de hormigón, mediante mortero de asiento y relleno de juntas</w:t>
      </w:r>
    </w:p>
    <w:p w14:paraId="5A1B6990" w14:textId="77777777" w:rsidR="00397D79" w:rsidRDefault="00397D79" w:rsidP="000313DD">
      <w:pPr>
        <w:pStyle w:val="NORMAL12"/>
        <w:numPr>
          <w:ilvl w:val="0"/>
          <w:numId w:val="225"/>
        </w:numPr>
        <w:rPr>
          <w:lang w:val="es-ES" w:eastAsia="es-ES"/>
        </w:rPr>
      </w:pPr>
      <w:r>
        <w:rPr>
          <w:lang w:val="es-ES" w:eastAsia="es-ES"/>
        </w:rPr>
        <w:t>Relleno de los huecos de los bloques de hormigón.</w:t>
      </w:r>
    </w:p>
    <w:p w14:paraId="68AD9CBD" w14:textId="77777777" w:rsidR="00397D79" w:rsidRDefault="00397D79" w:rsidP="000313DD">
      <w:pPr>
        <w:pStyle w:val="NORMAL12"/>
        <w:numPr>
          <w:ilvl w:val="0"/>
          <w:numId w:val="225"/>
        </w:numPr>
        <w:rPr>
          <w:lang w:val="es-ES" w:eastAsia="es-ES"/>
        </w:rPr>
      </w:pPr>
      <w:r>
        <w:rPr>
          <w:lang w:val="es-ES" w:eastAsia="es-ES"/>
        </w:rPr>
        <w:t>Limpieza de la superficie y retirada de rebabas</w:t>
      </w:r>
    </w:p>
    <w:p w14:paraId="67630049" w14:textId="77777777" w:rsidR="00507AB0" w:rsidRDefault="00507AB0" w:rsidP="00507AB0">
      <w:pPr>
        <w:pStyle w:val="NORMAL12"/>
        <w:rPr>
          <w:lang w:val="es-ES" w:eastAsia="es-ES"/>
        </w:rPr>
      </w:pPr>
      <w:r>
        <w:rPr>
          <w:lang w:val="es-ES" w:eastAsia="es-ES"/>
        </w:rPr>
        <w:t xml:space="preserve">Se emplea la unidad para la ejecución de murete de </w:t>
      </w:r>
      <w:proofErr w:type="gramStart"/>
      <w:r>
        <w:rPr>
          <w:lang w:val="es-ES" w:eastAsia="es-ES"/>
        </w:rPr>
        <w:t>bloques  como</w:t>
      </w:r>
      <w:proofErr w:type="gramEnd"/>
      <w:r>
        <w:rPr>
          <w:lang w:val="es-ES" w:eastAsia="es-ES"/>
        </w:rPr>
        <w:t xml:space="preserve"> apoyo de barandilla en el paso inferior de la carretera SI-2.</w:t>
      </w:r>
    </w:p>
    <w:p w14:paraId="5C0ED380" w14:textId="77777777" w:rsidR="00804F6A" w:rsidRPr="00397D79" w:rsidRDefault="00804F6A" w:rsidP="000313DD">
      <w:pPr>
        <w:pStyle w:val="TITU2"/>
        <w:rPr>
          <w:lang w:val="es-ES_tradnl"/>
        </w:rPr>
      </w:pPr>
      <w:bookmarkStart w:id="797" w:name="_Toc404446"/>
      <w:r w:rsidRPr="00397D79">
        <w:rPr>
          <w:lang w:val="es-ES_tradnl"/>
        </w:rPr>
        <w:t>635.2. Materiales</w:t>
      </w:r>
      <w:bookmarkEnd w:id="797"/>
    </w:p>
    <w:p w14:paraId="3FD4AD51" w14:textId="77777777" w:rsidR="00A26AEF" w:rsidRPr="00397D79" w:rsidRDefault="00A26AEF" w:rsidP="00A26AEF">
      <w:pPr>
        <w:spacing w:before="120" w:after="120" w:line="360" w:lineRule="auto"/>
        <w:jc w:val="both"/>
        <w:rPr>
          <w:rFonts w:ascii="Arial" w:hAnsi="Arial"/>
        </w:rPr>
      </w:pPr>
      <w:r w:rsidRPr="00397D79">
        <w:rPr>
          <w:rFonts w:ascii="Arial" w:hAnsi="Arial"/>
        </w:rPr>
        <w:t xml:space="preserve">Los bloques de hormigón huecos </w:t>
      </w:r>
      <w:proofErr w:type="gramStart"/>
      <w:r w:rsidRPr="00397D79">
        <w:rPr>
          <w:rFonts w:ascii="Arial" w:hAnsi="Arial"/>
        </w:rPr>
        <w:t>están  constituidos</w:t>
      </w:r>
      <w:proofErr w:type="gramEnd"/>
      <w:r w:rsidRPr="00397D79">
        <w:rPr>
          <w:rFonts w:ascii="Arial" w:hAnsi="Arial"/>
        </w:rPr>
        <w:t xml:space="preserve"> por un conglomerante de cemento y árido. Presenta perforaciones uniformemente repartidas y de volumen n</w:t>
      </w:r>
      <w:r w:rsidR="00F83B62">
        <w:rPr>
          <w:rFonts w:ascii="Arial" w:hAnsi="Arial"/>
        </w:rPr>
        <w:t>o</w:t>
      </w:r>
      <w:r w:rsidRPr="00397D79">
        <w:rPr>
          <w:rFonts w:ascii="Arial" w:hAnsi="Arial"/>
        </w:rPr>
        <w:t xml:space="preserve"> superior a los dos tercios del volumen total del bloque</w:t>
      </w:r>
      <w:r w:rsidR="00F83B62">
        <w:rPr>
          <w:rFonts w:ascii="Arial" w:hAnsi="Arial"/>
        </w:rPr>
        <w:t xml:space="preserve">. </w:t>
      </w:r>
      <w:r w:rsidRPr="00397D79">
        <w:rPr>
          <w:rFonts w:ascii="Arial" w:hAnsi="Arial"/>
        </w:rPr>
        <w:t xml:space="preserve">Se </w:t>
      </w:r>
      <w:r w:rsidR="00F83B62" w:rsidRPr="00397D79">
        <w:rPr>
          <w:rFonts w:ascii="Arial" w:hAnsi="Arial"/>
        </w:rPr>
        <w:t>suministrarán</w:t>
      </w:r>
      <w:r w:rsidRPr="00397D79">
        <w:rPr>
          <w:rFonts w:ascii="Arial" w:hAnsi="Arial"/>
        </w:rPr>
        <w:t xml:space="preserve"> en obra con una resistencia a compresión no inferior a 40 kg/cm</w:t>
      </w:r>
      <w:r w:rsidRPr="00E34DE7">
        <w:rPr>
          <w:rFonts w:ascii="Arial" w:hAnsi="Arial"/>
          <w:vertAlign w:val="superscript"/>
        </w:rPr>
        <w:t>2</w:t>
      </w:r>
      <w:r w:rsidRPr="00397D79">
        <w:rPr>
          <w:rFonts w:ascii="Arial" w:hAnsi="Arial"/>
        </w:rPr>
        <w:t xml:space="preserve">. El peso del bloque no será superior a 30 kg. Se utilizarán bloques de fondo ciego, que llevarán las perforaciones </w:t>
      </w:r>
      <w:r w:rsidRPr="00397D79">
        <w:rPr>
          <w:rFonts w:ascii="Arial" w:hAnsi="Arial"/>
        </w:rPr>
        <w:t xml:space="preserve">cerradas en la cara de asiento </w:t>
      </w:r>
      <w:proofErr w:type="gramStart"/>
      <w:r w:rsidRPr="00397D79">
        <w:rPr>
          <w:rFonts w:ascii="Arial" w:hAnsi="Arial"/>
        </w:rPr>
        <w:t>del el mismo material</w:t>
      </w:r>
      <w:proofErr w:type="gramEnd"/>
      <w:r w:rsidRPr="00397D79">
        <w:rPr>
          <w:rFonts w:ascii="Arial" w:hAnsi="Arial"/>
        </w:rPr>
        <w:t xml:space="preserve"> del bloque y de espesor no menor de 15 </w:t>
      </w:r>
      <w:proofErr w:type="spellStart"/>
      <w:r w:rsidRPr="00397D79">
        <w:rPr>
          <w:rFonts w:ascii="Arial" w:hAnsi="Arial"/>
        </w:rPr>
        <w:t>mm.</w:t>
      </w:r>
      <w:proofErr w:type="spellEnd"/>
    </w:p>
    <w:p w14:paraId="5D09D1C5" w14:textId="77777777" w:rsidR="00A26AEF" w:rsidRPr="00397D79" w:rsidRDefault="00A26AEF" w:rsidP="00A26AEF">
      <w:pPr>
        <w:pStyle w:val="NORMAL12"/>
        <w:rPr>
          <w:rFonts w:cs="Times New Roman"/>
          <w:lang w:val="es-ES" w:eastAsia="es-ES"/>
        </w:rPr>
      </w:pPr>
      <w:r w:rsidRPr="00397D79">
        <w:rPr>
          <w:rFonts w:cs="Times New Roman"/>
          <w:lang w:val="es-ES" w:eastAsia="es-ES"/>
        </w:rPr>
        <w:t>Para el pegado se utilizará mortero de cemento CEM II/B-M 32,5 N y arena de río M-5. El relleno del bloque se llevará a cabo con Hormigón HM-20. Todos los materiales empleados cumplirán las prescripciones establecidas en la instrucción EHE</w:t>
      </w:r>
    </w:p>
    <w:p w14:paraId="5CC14822" w14:textId="77777777" w:rsidR="00804F6A" w:rsidRPr="00397D79" w:rsidRDefault="00804F6A" w:rsidP="000313DD">
      <w:pPr>
        <w:pStyle w:val="TITU2"/>
        <w:rPr>
          <w:lang w:val="es-ES_tradnl"/>
        </w:rPr>
      </w:pPr>
      <w:bookmarkStart w:id="798" w:name="_Toc404447"/>
      <w:r w:rsidRPr="00397D79">
        <w:rPr>
          <w:lang w:val="es-ES_tradnl"/>
        </w:rPr>
        <w:t>635.3. Ejecución de las obras</w:t>
      </w:r>
      <w:bookmarkEnd w:id="798"/>
    </w:p>
    <w:p w14:paraId="7DF92AD2" w14:textId="77777777" w:rsidR="006D3BCE" w:rsidRPr="00397D79" w:rsidRDefault="006D3BCE" w:rsidP="006D3BCE">
      <w:pPr>
        <w:keepNext/>
        <w:spacing w:before="120" w:after="120" w:line="360" w:lineRule="auto"/>
        <w:jc w:val="both"/>
        <w:rPr>
          <w:rFonts w:ascii="Arial" w:hAnsi="Arial"/>
          <w:i/>
          <w:u w:val="single"/>
        </w:rPr>
      </w:pPr>
      <w:r w:rsidRPr="00397D79">
        <w:rPr>
          <w:rFonts w:ascii="Arial" w:hAnsi="Arial"/>
          <w:i/>
          <w:u w:val="single"/>
        </w:rPr>
        <w:t>Preparación</w:t>
      </w:r>
    </w:p>
    <w:p w14:paraId="5AECBEC3" w14:textId="77777777" w:rsidR="006D3BCE" w:rsidRPr="00397D79" w:rsidRDefault="006D3BCE" w:rsidP="006D3BCE">
      <w:pPr>
        <w:spacing w:before="120" w:after="120" w:line="360" w:lineRule="auto"/>
        <w:jc w:val="both"/>
        <w:rPr>
          <w:rFonts w:ascii="Arial" w:hAnsi="Arial"/>
        </w:rPr>
      </w:pPr>
      <w:r w:rsidRPr="00397D79">
        <w:rPr>
          <w:rFonts w:ascii="Arial" w:hAnsi="Arial"/>
        </w:rPr>
        <w:t xml:space="preserve">Se replanteará en primer lugar la fábrica de bloques de hormigón, con el debido cuidado para que sus dimensiones estén dentro de las tolerancias establecidas en la norma NTE-FFB Posteriormente para el alzado de la fábrica se </w:t>
      </w:r>
      <w:r w:rsidR="00A26AEF" w:rsidRPr="00397D79">
        <w:rPr>
          <w:rFonts w:ascii="Arial" w:hAnsi="Arial"/>
        </w:rPr>
        <w:t xml:space="preserve">arriostrarán con miras situadas a una distancia no mayor de cuatro (4) metros, que deberán estar </w:t>
      </w:r>
      <w:r w:rsidRPr="00397D79">
        <w:rPr>
          <w:rFonts w:ascii="Arial" w:hAnsi="Arial"/>
        </w:rPr>
        <w:t>recta</w:t>
      </w:r>
      <w:r w:rsidR="00A26AEF" w:rsidRPr="00397D79">
        <w:rPr>
          <w:rFonts w:ascii="Arial" w:hAnsi="Arial"/>
        </w:rPr>
        <w:t>s</w:t>
      </w:r>
      <w:r w:rsidRPr="00397D79">
        <w:rPr>
          <w:rFonts w:ascii="Arial" w:hAnsi="Arial"/>
        </w:rPr>
        <w:t xml:space="preserve"> y aplomada</w:t>
      </w:r>
      <w:r w:rsidR="00A26AEF" w:rsidRPr="00397D79">
        <w:rPr>
          <w:rFonts w:ascii="Arial" w:hAnsi="Arial"/>
        </w:rPr>
        <w:t>s</w:t>
      </w:r>
      <w:r w:rsidRPr="00397D79">
        <w:rPr>
          <w:rFonts w:ascii="Arial" w:hAnsi="Arial"/>
        </w:rPr>
        <w:t>, con la referencias precisas a las alturas de las hiladas, y se procederá al tendido de los cordeles entre las miras, apoyadas sobre sus marcas, que se elevarán con la altura de una o varias hiladas para asegurar la horizontalidad de éstas.</w:t>
      </w:r>
      <w:r w:rsidR="001D69D2" w:rsidRPr="00397D79">
        <w:rPr>
          <w:rFonts w:ascii="Arial" w:hAnsi="Arial"/>
        </w:rPr>
        <w:t xml:space="preserve"> Igualmente se colocarán miras en </w:t>
      </w:r>
      <w:r w:rsidR="00F83B62" w:rsidRPr="00397D79">
        <w:rPr>
          <w:rFonts w:ascii="Arial" w:hAnsi="Arial"/>
        </w:rPr>
        <w:t>todas</w:t>
      </w:r>
      <w:r w:rsidR="001D69D2" w:rsidRPr="00397D79">
        <w:rPr>
          <w:rFonts w:ascii="Arial" w:hAnsi="Arial"/>
        </w:rPr>
        <w:t xml:space="preserve"> las esquinas y quiebros</w:t>
      </w:r>
    </w:p>
    <w:p w14:paraId="475F1E13" w14:textId="77777777" w:rsidR="001D69D2" w:rsidRPr="00397D79" w:rsidRDefault="001D69D2" w:rsidP="006D3BCE">
      <w:pPr>
        <w:spacing w:before="120" w:after="120" w:line="360" w:lineRule="auto"/>
        <w:jc w:val="both"/>
        <w:rPr>
          <w:rFonts w:ascii="Arial" w:hAnsi="Arial"/>
        </w:rPr>
      </w:pPr>
      <w:r w:rsidRPr="00397D79">
        <w:rPr>
          <w:rFonts w:ascii="Arial" w:hAnsi="Arial"/>
        </w:rPr>
        <w:t>Las restantes hiladas se asentarán con juntas alternadas y tendeles a nivel</w:t>
      </w:r>
      <w:r w:rsidR="002305C1">
        <w:rPr>
          <w:rFonts w:ascii="Arial" w:hAnsi="Arial"/>
        </w:rPr>
        <w:t>.</w:t>
      </w:r>
    </w:p>
    <w:p w14:paraId="27119393" w14:textId="77777777" w:rsidR="001D69D2" w:rsidRPr="00397D79" w:rsidRDefault="001D69D2" w:rsidP="006D3BCE">
      <w:pPr>
        <w:spacing w:before="120" w:after="120" w:line="360" w:lineRule="auto"/>
        <w:jc w:val="both"/>
        <w:rPr>
          <w:rFonts w:ascii="Arial" w:hAnsi="Arial"/>
        </w:rPr>
      </w:pPr>
      <w:r w:rsidRPr="00397D79">
        <w:rPr>
          <w:rFonts w:ascii="Arial" w:hAnsi="Arial"/>
        </w:rPr>
        <w:t xml:space="preserve">Los encuentros con las esquinas u otros muros se realizarán </w:t>
      </w:r>
      <w:proofErr w:type="spellStart"/>
      <w:r w:rsidRPr="00397D79">
        <w:rPr>
          <w:rFonts w:ascii="Arial" w:hAnsi="Arial"/>
        </w:rPr>
        <w:t>mediantes</w:t>
      </w:r>
      <w:proofErr w:type="spellEnd"/>
      <w:r w:rsidRPr="00397D79">
        <w:rPr>
          <w:rFonts w:ascii="Arial" w:hAnsi="Arial"/>
        </w:rPr>
        <w:t xml:space="preserve"> enjarjes entre bloques.</w:t>
      </w:r>
    </w:p>
    <w:p w14:paraId="68572B9E" w14:textId="77777777" w:rsidR="006D3BCE" w:rsidRPr="00397D79" w:rsidRDefault="00A26AEF" w:rsidP="00A26AEF">
      <w:pPr>
        <w:spacing w:before="120" w:after="120" w:line="360" w:lineRule="auto"/>
        <w:jc w:val="both"/>
        <w:rPr>
          <w:rFonts w:ascii="Arial" w:hAnsi="Arial"/>
        </w:rPr>
      </w:pPr>
      <w:r w:rsidRPr="00397D79">
        <w:rPr>
          <w:rFonts w:ascii="Arial" w:hAnsi="Arial"/>
        </w:rPr>
        <w:t>Los bloques se dispondrán</w:t>
      </w:r>
      <w:r w:rsidR="006D3BCE" w:rsidRPr="00397D79">
        <w:rPr>
          <w:rFonts w:ascii="Arial" w:hAnsi="Arial"/>
        </w:rPr>
        <w:t xml:space="preserve"> dando continuidad para que no se den cambios desde el punto de vista estético.</w:t>
      </w:r>
    </w:p>
    <w:p w14:paraId="73313598" w14:textId="77777777" w:rsidR="001D69D2" w:rsidRPr="00397D79" w:rsidRDefault="001D69D2" w:rsidP="00A26AEF">
      <w:pPr>
        <w:spacing w:before="120" w:after="120" w:line="360" w:lineRule="auto"/>
        <w:jc w:val="both"/>
        <w:rPr>
          <w:rFonts w:ascii="Arial" w:hAnsi="Arial"/>
        </w:rPr>
      </w:pPr>
      <w:r w:rsidRPr="00397D79">
        <w:rPr>
          <w:rFonts w:ascii="Arial" w:hAnsi="Arial"/>
        </w:rPr>
        <w:t>No se emplearán piezas inferiores a medio bloque</w:t>
      </w:r>
      <w:r w:rsidR="002305C1">
        <w:rPr>
          <w:rFonts w:ascii="Arial" w:hAnsi="Arial"/>
        </w:rPr>
        <w:t>.</w:t>
      </w:r>
    </w:p>
    <w:p w14:paraId="41E20952" w14:textId="77777777" w:rsidR="001D69D2" w:rsidRPr="00397D79" w:rsidRDefault="001D69D2" w:rsidP="00A26AEF">
      <w:pPr>
        <w:spacing w:before="120" w:after="120" w:line="360" w:lineRule="auto"/>
        <w:jc w:val="both"/>
        <w:rPr>
          <w:rFonts w:ascii="Arial" w:hAnsi="Arial"/>
        </w:rPr>
      </w:pPr>
      <w:r w:rsidRPr="00397D79">
        <w:rPr>
          <w:rFonts w:ascii="Arial" w:hAnsi="Arial"/>
        </w:rPr>
        <w:t>Los bloques se colocarán secos, humedeciendo únicamente la superficie en contacto con el mortero.</w:t>
      </w:r>
    </w:p>
    <w:p w14:paraId="178C676F" w14:textId="77777777" w:rsidR="001D69D2" w:rsidRPr="00397D79" w:rsidRDefault="001D69D2" w:rsidP="00A26AEF">
      <w:pPr>
        <w:spacing w:before="120" w:after="120" w:line="360" w:lineRule="auto"/>
        <w:jc w:val="both"/>
        <w:rPr>
          <w:rFonts w:ascii="Arial" w:hAnsi="Arial"/>
        </w:rPr>
      </w:pPr>
      <w:r w:rsidRPr="00397D79">
        <w:rPr>
          <w:rFonts w:ascii="Arial" w:hAnsi="Arial"/>
        </w:rPr>
        <w:t>Se suspenderá su ejecución en tiempo lluvioso o con heladas.</w:t>
      </w:r>
    </w:p>
    <w:p w14:paraId="0068BC3C" w14:textId="77777777" w:rsidR="001D69D2" w:rsidRPr="00397D79" w:rsidRDefault="001D69D2" w:rsidP="00A26AEF">
      <w:pPr>
        <w:spacing w:before="120" w:after="120" w:line="360" w:lineRule="auto"/>
        <w:jc w:val="both"/>
        <w:rPr>
          <w:rFonts w:ascii="Arial" w:hAnsi="Arial"/>
        </w:rPr>
      </w:pPr>
      <w:r w:rsidRPr="00397D79">
        <w:rPr>
          <w:rFonts w:ascii="Arial" w:hAnsi="Arial"/>
        </w:rPr>
        <w:t xml:space="preserve">Se empleará mortero de cemento CEM II/B-M 32,5 N y arena de río M-5, para el rejuntado. Se extenderá sobre la superficie de asiento </w:t>
      </w:r>
      <w:proofErr w:type="gramStart"/>
      <w:r w:rsidRPr="00397D79">
        <w:rPr>
          <w:rFonts w:ascii="Arial" w:hAnsi="Arial"/>
        </w:rPr>
        <w:t>del bloques</w:t>
      </w:r>
      <w:proofErr w:type="gramEnd"/>
      <w:r w:rsidRPr="00397D79">
        <w:rPr>
          <w:rFonts w:ascii="Arial" w:hAnsi="Arial"/>
        </w:rPr>
        <w:t xml:space="preserve"> en un espesor no inferior a un (1) centímetro.</w:t>
      </w:r>
    </w:p>
    <w:p w14:paraId="4D09F208" w14:textId="77777777" w:rsidR="001D69D2" w:rsidRPr="00397D79" w:rsidRDefault="001D69D2" w:rsidP="00A26AEF">
      <w:pPr>
        <w:spacing w:before="120" w:after="120" w:line="360" w:lineRule="auto"/>
        <w:jc w:val="both"/>
        <w:rPr>
          <w:rFonts w:ascii="Arial" w:hAnsi="Arial"/>
        </w:rPr>
      </w:pPr>
      <w:r w:rsidRPr="00397D79">
        <w:rPr>
          <w:rFonts w:ascii="Arial" w:hAnsi="Arial"/>
        </w:rPr>
        <w:t xml:space="preserve">Se recogerán las rebabas de mortero al asentar </w:t>
      </w:r>
      <w:r w:rsidR="00F83B62" w:rsidRPr="00397D79">
        <w:rPr>
          <w:rFonts w:ascii="Arial" w:hAnsi="Arial"/>
        </w:rPr>
        <w:t>los bloques</w:t>
      </w:r>
      <w:r w:rsidRPr="00397D79">
        <w:rPr>
          <w:rFonts w:ascii="Arial" w:hAnsi="Arial"/>
        </w:rPr>
        <w:t xml:space="preserve"> y se apretarán contra la junta entre bloques. </w:t>
      </w:r>
    </w:p>
    <w:p w14:paraId="11970B81" w14:textId="77777777" w:rsidR="001D69D2" w:rsidRDefault="001D69D2" w:rsidP="00A26AEF">
      <w:pPr>
        <w:spacing w:before="120" w:after="120" w:line="360" w:lineRule="auto"/>
        <w:jc w:val="both"/>
        <w:rPr>
          <w:rFonts w:ascii="Arial" w:hAnsi="Arial"/>
        </w:rPr>
      </w:pPr>
      <w:r w:rsidRPr="00397D79">
        <w:rPr>
          <w:rFonts w:ascii="Arial" w:hAnsi="Arial"/>
        </w:rPr>
        <w:lastRenderedPageBreak/>
        <w:t>Posteriormente se relle</w:t>
      </w:r>
      <w:r w:rsidR="002305C1">
        <w:rPr>
          <w:rFonts w:ascii="Arial" w:hAnsi="Arial"/>
        </w:rPr>
        <w:t>narán</w:t>
      </w:r>
      <w:r w:rsidRPr="00397D79">
        <w:rPr>
          <w:rFonts w:ascii="Arial" w:hAnsi="Arial"/>
        </w:rPr>
        <w:t xml:space="preserve"> los huecos con hormigón HM-20 hasta completar la totalidad del hueco.</w:t>
      </w:r>
    </w:p>
    <w:p w14:paraId="6AA1199F" w14:textId="77777777" w:rsidR="00CF7652" w:rsidRPr="00397D79" w:rsidRDefault="00CF7652" w:rsidP="00A26AEF">
      <w:pPr>
        <w:spacing w:before="120" w:after="120" w:line="360" w:lineRule="auto"/>
        <w:jc w:val="both"/>
        <w:rPr>
          <w:rFonts w:ascii="Arial" w:hAnsi="Arial"/>
        </w:rPr>
      </w:pPr>
    </w:p>
    <w:p w14:paraId="4160C6B9" w14:textId="77777777" w:rsidR="006D3BCE" w:rsidRPr="00397D79" w:rsidRDefault="006D3BCE" w:rsidP="001D69D2">
      <w:pPr>
        <w:spacing w:before="120" w:after="120" w:line="360" w:lineRule="auto"/>
        <w:jc w:val="both"/>
        <w:rPr>
          <w:rFonts w:ascii="Arial" w:hAnsi="Arial"/>
          <w:i/>
          <w:u w:val="single"/>
        </w:rPr>
      </w:pPr>
      <w:r w:rsidRPr="00397D79">
        <w:rPr>
          <w:rFonts w:ascii="Arial" w:hAnsi="Arial"/>
          <w:i/>
          <w:u w:val="single"/>
        </w:rPr>
        <w:t>Protecciones durante la ejecución</w:t>
      </w:r>
    </w:p>
    <w:p w14:paraId="38B47881" w14:textId="77777777" w:rsidR="006D3BCE" w:rsidRPr="00397D79" w:rsidRDefault="006D3BCE" w:rsidP="001D69D2">
      <w:pPr>
        <w:spacing w:before="120" w:after="120" w:line="360" w:lineRule="auto"/>
        <w:jc w:val="both"/>
        <w:rPr>
          <w:rFonts w:ascii="Arial" w:hAnsi="Arial"/>
        </w:rPr>
      </w:pPr>
      <w:r w:rsidRPr="00397D79">
        <w:rPr>
          <w:rFonts w:ascii="Arial" w:hAnsi="Arial"/>
        </w:rPr>
        <w:t>Durante la ejecución de las fábricas se adoptarán las siguientes protecciones:</w:t>
      </w:r>
    </w:p>
    <w:p w14:paraId="7E7FC9C5" w14:textId="77777777" w:rsidR="006D3BCE" w:rsidRPr="002305C1" w:rsidRDefault="006D3BCE" w:rsidP="000313DD">
      <w:pPr>
        <w:pStyle w:val="NORMAL12"/>
        <w:numPr>
          <w:ilvl w:val="0"/>
          <w:numId w:val="225"/>
        </w:numPr>
        <w:rPr>
          <w:lang w:val="es-ES" w:eastAsia="es-ES"/>
        </w:rPr>
      </w:pPr>
      <w:r w:rsidRPr="002305C1">
        <w:rPr>
          <w:lang w:val="es-ES" w:eastAsia="es-ES"/>
        </w:rPr>
        <w:t>Contra la lluvia: Las partes recientemente ejecutadas se protegerán con láminas de material plástico o similar, para evitar la erosión de las juntas de mortero.</w:t>
      </w:r>
    </w:p>
    <w:p w14:paraId="076C93C4" w14:textId="77777777" w:rsidR="006D3BCE" w:rsidRPr="002305C1" w:rsidRDefault="006D3BCE" w:rsidP="000313DD">
      <w:pPr>
        <w:pStyle w:val="NORMAL12"/>
        <w:numPr>
          <w:ilvl w:val="0"/>
          <w:numId w:val="225"/>
        </w:numPr>
        <w:rPr>
          <w:lang w:val="es-ES" w:eastAsia="es-ES"/>
        </w:rPr>
      </w:pPr>
      <w:r w:rsidRPr="002305C1">
        <w:rPr>
          <w:lang w:val="es-ES" w:eastAsia="es-ES"/>
        </w:rPr>
        <w:t>Contra el calor: En tiempo seco y caluroso, se mantendrá húmeda la fábrica recientemente ejecutada, para evitar el riesgo de una rápida evaporación del agua del mortero.</w:t>
      </w:r>
    </w:p>
    <w:p w14:paraId="6B6D69CB" w14:textId="77777777" w:rsidR="006D3BCE" w:rsidRPr="002305C1" w:rsidRDefault="006D3BCE" w:rsidP="000313DD">
      <w:pPr>
        <w:pStyle w:val="NORMAL12"/>
        <w:numPr>
          <w:ilvl w:val="0"/>
          <w:numId w:val="225"/>
        </w:numPr>
        <w:rPr>
          <w:lang w:val="es-ES" w:eastAsia="es-ES"/>
        </w:rPr>
      </w:pPr>
      <w:r w:rsidRPr="002305C1">
        <w:rPr>
          <w:lang w:val="es-ES" w:eastAsia="es-ES"/>
        </w:rPr>
        <w:t>Contra heladas: Si ha helado antes de iniciar el trabajo, se revisará escrupulosamente lo ejecutado en las 48 horas anteriores, demoliéndose las zonas dañadas. Si la helada se produce una vez iniciado el trabajo, se suspenderá protegiendo lo recientemente construido.</w:t>
      </w:r>
    </w:p>
    <w:p w14:paraId="5F80754C" w14:textId="77777777" w:rsidR="006D3BCE" w:rsidRPr="002305C1" w:rsidRDefault="006D3BCE" w:rsidP="000313DD">
      <w:pPr>
        <w:pStyle w:val="NORMAL12"/>
        <w:numPr>
          <w:ilvl w:val="0"/>
          <w:numId w:val="225"/>
        </w:numPr>
        <w:rPr>
          <w:lang w:val="es-ES" w:eastAsia="es-ES"/>
        </w:rPr>
      </w:pPr>
      <w:r w:rsidRPr="002305C1">
        <w:rPr>
          <w:lang w:val="es-ES" w:eastAsia="es-ES"/>
        </w:rPr>
        <w:t>Contra derribos: Hasta que las fábricas no estén estabilizadas, se arriostrarán y apuntalarán.</w:t>
      </w:r>
    </w:p>
    <w:p w14:paraId="5E20DBD2" w14:textId="77777777" w:rsidR="006D3BCE" w:rsidRPr="002305C1" w:rsidRDefault="006D3BCE" w:rsidP="000313DD">
      <w:pPr>
        <w:pStyle w:val="NORMAL12"/>
        <w:numPr>
          <w:ilvl w:val="0"/>
          <w:numId w:val="225"/>
        </w:numPr>
        <w:rPr>
          <w:lang w:val="es-ES" w:eastAsia="es-ES"/>
        </w:rPr>
      </w:pPr>
      <w:r w:rsidRPr="002305C1">
        <w:rPr>
          <w:lang w:val="es-ES" w:eastAsia="es-ES"/>
        </w:rPr>
        <w:t>Los trabajos se suspenderán con viento superior a 50 km/h y se asegurarán las partes realizadas.</w:t>
      </w:r>
    </w:p>
    <w:p w14:paraId="2D9DE0C1" w14:textId="77777777" w:rsidR="006D3BCE" w:rsidRPr="00397D79" w:rsidRDefault="006D3BCE" w:rsidP="001D69D2">
      <w:pPr>
        <w:spacing w:before="120" w:after="120" w:line="360" w:lineRule="auto"/>
        <w:jc w:val="both"/>
        <w:rPr>
          <w:rFonts w:ascii="Arial" w:hAnsi="Arial"/>
        </w:rPr>
      </w:pPr>
      <w:r w:rsidRPr="00397D79">
        <w:rPr>
          <w:rFonts w:ascii="Arial" w:hAnsi="Arial"/>
        </w:rPr>
        <w:t xml:space="preserve">El mortero deberá llenar las juntas, tendel y llagas totalmente. Si después de restregar el ladrillo no quedara alguna junta totalmente llena, se añadirá el mortero. Los muros deberán mantenerse limpios durante la construcción. Todo exceso de mortero deberá ser retirado, limpiando la zona a continuación. </w:t>
      </w:r>
    </w:p>
    <w:p w14:paraId="1CC4214F" w14:textId="77777777" w:rsidR="006D3BCE" w:rsidRPr="00397D79" w:rsidRDefault="006D3BCE" w:rsidP="002305C1">
      <w:pPr>
        <w:spacing w:before="120" w:after="120" w:line="360" w:lineRule="auto"/>
        <w:jc w:val="both"/>
        <w:rPr>
          <w:rFonts w:ascii="Arial" w:hAnsi="Arial"/>
        </w:rPr>
      </w:pPr>
      <w:r w:rsidRPr="00397D79">
        <w:rPr>
          <w:rFonts w:ascii="Arial" w:hAnsi="Arial"/>
        </w:rPr>
        <w:t>Se deberán dejar los enjarjes cuando dos partes de una fábrica hayan de levantarse en épocas distintas. La que se ejecute primero se dejará escalonada, si no fuera posible se dejará formando alternativamente entrantes, adarajas y salientes y, endejas.</w:t>
      </w:r>
    </w:p>
    <w:p w14:paraId="2B3E9B55" w14:textId="77777777" w:rsidR="006D3BCE" w:rsidRPr="00397D79" w:rsidRDefault="006D3BCE" w:rsidP="001D69D2">
      <w:pPr>
        <w:spacing w:before="120" w:after="120" w:line="360" w:lineRule="auto"/>
        <w:jc w:val="both"/>
        <w:rPr>
          <w:rFonts w:ascii="Arial" w:hAnsi="Arial"/>
        </w:rPr>
      </w:pPr>
      <w:r w:rsidRPr="00397D79">
        <w:rPr>
          <w:rFonts w:ascii="Arial" w:hAnsi="Arial"/>
        </w:rPr>
        <w:t>Cuando los muros tengan excesiva longitud, se dispondrán juntas de dilatación para evitar la fisuración producida por la retracción de los morteros y por variaciones higrotérmicas</w:t>
      </w:r>
      <w:r w:rsidR="001D69D2" w:rsidRPr="00397D79">
        <w:rPr>
          <w:rFonts w:ascii="Arial" w:hAnsi="Arial"/>
        </w:rPr>
        <w:t xml:space="preserve">. </w:t>
      </w:r>
    </w:p>
    <w:p w14:paraId="1BD9D83C" w14:textId="77777777" w:rsidR="00804F6A" w:rsidRPr="00397D79" w:rsidRDefault="00804F6A" w:rsidP="000313DD">
      <w:pPr>
        <w:pStyle w:val="TITU2"/>
        <w:rPr>
          <w:lang w:val="es-ES_tradnl"/>
        </w:rPr>
      </w:pPr>
      <w:bookmarkStart w:id="799" w:name="_Toc404448"/>
      <w:r w:rsidRPr="00397D79">
        <w:rPr>
          <w:lang w:val="es-ES_tradnl"/>
        </w:rPr>
        <w:t>635.4. Recepción</w:t>
      </w:r>
      <w:bookmarkEnd w:id="799"/>
    </w:p>
    <w:p w14:paraId="0F492CCC" w14:textId="77777777" w:rsidR="006D3BCE" w:rsidRPr="00507AB0" w:rsidRDefault="006D3BCE" w:rsidP="00507AB0">
      <w:pPr>
        <w:spacing w:before="120" w:after="120" w:line="360" w:lineRule="auto"/>
        <w:jc w:val="both"/>
        <w:rPr>
          <w:rFonts w:ascii="Arial" w:hAnsi="Arial"/>
          <w:i/>
          <w:u w:val="single"/>
        </w:rPr>
      </w:pPr>
      <w:r w:rsidRPr="00507AB0">
        <w:rPr>
          <w:rFonts w:ascii="Arial" w:hAnsi="Arial"/>
          <w:i/>
          <w:u w:val="single"/>
        </w:rPr>
        <w:t>Replanteo:</w:t>
      </w:r>
    </w:p>
    <w:p w14:paraId="05484E07" w14:textId="77777777" w:rsidR="006D3BCE" w:rsidRPr="00507AB0" w:rsidRDefault="006D3BCE" w:rsidP="000313DD">
      <w:pPr>
        <w:pStyle w:val="NORMAL12"/>
        <w:numPr>
          <w:ilvl w:val="0"/>
          <w:numId w:val="225"/>
        </w:numPr>
        <w:rPr>
          <w:lang w:val="es-ES" w:eastAsia="es-ES"/>
        </w:rPr>
      </w:pPr>
      <w:r w:rsidRPr="00507AB0">
        <w:rPr>
          <w:lang w:val="es-ES" w:eastAsia="es-ES"/>
        </w:rPr>
        <w:t>Ejes de muros y ángulos principales.</w:t>
      </w:r>
    </w:p>
    <w:p w14:paraId="41E613B2" w14:textId="77777777" w:rsidR="006D3BCE" w:rsidRPr="00507AB0" w:rsidRDefault="006D3BCE" w:rsidP="000313DD">
      <w:pPr>
        <w:pStyle w:val="NORMAL12"/>
        <w:numPr>
          <w:ilvl w:val="0"/>
          <w:numId w:val="225"/>
        </w:numPr>
        <w:rPr>
          <w:lang w:val="es-ES" w:eastAsia="es-ES"/>
        </w:rPr>
      </w:pPr>
      <w:r w:rsidRPr="00507AB0">
        <w:rPr>
          <w:lang w:val="es-ES" w:eastAsia="es-ES"/>
        </w:rPr>
        <w:t xml:space="preserve">Verticalidad de las miras en las esquinas. </w:t>
      </w:r>
    </w:p>
    <w:p w14:paraId="328E7380" w14:textId="77777777" w:rsidR="006D3BCE" w:rsidRPr="00507AB0" w:rsidRDefault="006D3BCE" w:rsidP="000313DD">
      <w:pPr>
        <w:pStyle w:val="NORMAL12"/>
        <w:numPr>
          <w:ilvl w:val="0"/>
          <w:numId w:val="225"/>
        </w:numPr>
        <w:rPr>
          <w:lang w:val="es-ES" w:eastAsia="es-ES"/>
        </w:rPr>
      </w:pPr>
      <w:r w:rsidRPr="00507AB0">
        <w:rPr>
          <w:lang w:val="es-ES" w:eastAsia="es-ES"/>
        </w:rPr>
        <w:t>Espesor y longitud de</w:t>
      </w:r>
      <w:r w:rsidR="001D69D2" w:rsidRPr="00507AB0">
        <w:rPr>
          <w:lang w:val="es-ES" w:eastAsia="es-ES"/>
        </w:rPr>
        <w:t>l muro</w:t>
      </w:r>
      <w:r w:rsidRPr="00507AB0">
        <w:rPr>
          <w:lang w:val="es-ES" w:eastAsia="es-ES"/>
        </w:rPr>
        <w:t xml:space="preserve">. </w:t>
      </w:r>
    </w:p>
    <w:p w14:paraId="1DF1B531" w14:textId="77777777" w:rsidR="006D3BCE" w:rsidRPr="00507AB0" w:rsidRDefault="006D3BCE" w:rsidP="00507AB0">
      <w:pPr>
        <w:spacing w:before="120" w:after="120" w:line="360" w:lineRule="auto"/>
        <w:jc w:val="both"/>
        <w:rPr>
          <w:rFonts w:ascii="Arial" w:hAnsi="Arial"/>
          <w:i/>
        </w:rPr>
      </w:pPr>
      <w:r w:rsidRPr="00507AB0">
        <w:rPr>
          <w:rFonts w:ascii="Arial" w:hAnsi="Arial"/>
          <w:i/>
          <w:u w:val="single"/>
        </w:rPr>
        <w:t>Ejecución de las fábricas y morteros</w:t>
      </w:r>
      <w:r w:rsidRPr="00507AB0">
        <w:rPr>
          <w:rFonts w:ascii="Arial" w:hAnsi="Arial"/>
          <w:i/>
        </w:rPr>
        <w:t>:</w:t>
      </w:r>
    </w:p>
    <w:p w14:paraId="5CC0DB69" w14:textId="77777777" w:rsidR="006D3BCE" w:rsidRPr="00507AB0" w:rsidRDefault="006D3BCE" w:rsidP="000313DD">
      <w:pPr>
        <w:pStyle w:val="NORMAL12"/>
        <w:numPr>
          <w:ilvl w:val="0"/>
          <w:numId w:val="225"/>
        </w:numPr>
        <w:rPr>
          <w:lang w:val="es-ES" w:eastAsia="es-ES"/>
        </w:rPr>
      </w:pPr>
      <w:r w:rsidRPr="00507AB0">
        <w:rPr>
          <w:lang w:val="es-ES" w:eastAsia="es-ES"/>
        </w:rPr>
        <w:t>Mojado previo de l</w:t>
      </w:r>
      <w:r w:rsidR="001D69D2" w:rsidRPr="00507AB0">
        <w:rPr>
          <w:lang w:val="es-ES" w:eastAsia="es-ES"/>
        </w:rPr>
        <w:t>as zonas de unión</w:t>
      </w:r>
      <w:r w:rsidRPr="00507AB0">
        <w:rPr>
          <w:lang w:val="es-ES" w:eastAsia="es-ES"/>
        </w:rPr>
        <w:t>.</w:t>
      </w:r>
    </w:p>
    <w:p w14:paraId="6DAE3757" w14:textId="77777777" w:rsidR="006D3BCE" w:rsidRPr="00507AB0" w:rsidRDefault="006D3BCE" w:rsidP="000313DD">
      <w:pPr>
        <w:pStyle w:val="NORMAL12"/>
        <w:numPr>
          <w:ilvl w:val="0"/>
          <w:numId w:val="225"/>
        </w:numPr>
        <w:rPr>
          <w:lang w:val="es-ES" w:eastAsia="es-ES"/>
        </w:rPr>
      </w:pPr>
      <w:r w:rsidRPr="00507AB0">
        <w:rPr>
          <w:lang w:val="es-ES" w:eastAsia="es-ES"/>
        </w:rPr>
        <w:t>Relleno de juntas de acuerdo especificaciones de proyecto.</w:t>
      </w:r>
    </w:p>
    <w:p w14:paraId="4F8DE989" w14:textId="77777777" w:rsidR="006D3BCE" w:rsidRPr="00507AB0" w:rsidRDefault="006D3BCE" w:rsidP="00507AB0">
      <w:pPr>
        <w:keepNext/>
        <w:spacing w:before="120" w:after="120" w:line="360" w:lineRule="auto"/>
        <w:jc w:val="both"/>
        <w:rPr>
          <w:rFonts w:ascii="Arial" w:hAnsi="Arial"/>
          <w:i/>
          <w:u w:val="single"/>
        </w:rPr>
      </w:pPr>
      <w:r w:rsidRPr="00507AB0">
        <w:rPr>
          <w:rFonts w:ascii="Arial" w:hAnsi="Arial"/>
          <w:i/>
          <w:u w:val="single"/>
        </w:rPr>
        <w:t>Tolerancias en la ejecución según NBE-F</w:t>
      </w:r>
      <w:r w:rsidR="001D69D2" w:rsidRPr="00507AB0">
        <w:rPr>
          <w:rFonts w:ascii="Arial" w:hAnsi="Arial"/>
          <w:i/>
          <w:u w:val="single"/>
        </w:rPr>
        <w:t>FB</w:t>
      </w:r>
      <w:r w:rsidRPr="00507AB0">
        <w:rPr>
          <w:rFonts w:ascii="Arial" w:hAnsi="Arial"/>
          <w:i/>
          <w:u w:val="single"/>
        </w:rPr>
        <w:t>:</w:t>
      </w:r>
    </w:p>
    <w:p w14:paraId="1244FA06" w14:textId="77777777" w:rsidR="006D3BCE" w:rsidRPr="00507AB0" w:rsidRDefault="006D3BCE" w:rsidP="000313DD">
      <w:pPr>
        <w:pStyle w:val="NORMAL12"/>
        <w:numPr>
          <w:ilvl w:val="0"/>
          <w:numId w:val="225"/>
        </w:numPr>
        <w:rPr>
          <w:lang w:val="es-ES" w:eastAsia="es-ES"/>
        </w:rPr>
      </w:pPr>
      <w:r w:rsidRPr="00507AB0">
        <w:rPr>
          <w:lang w:val="es-ES" w:eastAsia="es-ES"/>
        </w:rPr>
        <w:t>Desplomes.</w:t>
      </w:r>
    </w:p>
    <w:p w14:paraId="7B387611" w14:textId="77777777" w:rsidR="006D3BCE" w:rsidRPr="00507AB0" w:rsidRDefault="006D3BCE" w:rsidP="000313DD">
      <w:pPr>
        <w:pStyle w:val="NORMAL12"/>
        <w:numPr>
          <w:ilvl w:val="0"/>
          <w:numId w:val="225"/>
        </w:numPr>
        <w:rPr>
          <w:lang w:val="es-ES" w:eastAsia="es-ES"/>
        </w:rPr>
      </w:pPr>
      <w:r w:rsidRPr="00507AB0">
        <w:rPr>
          <w:lang w:val="es-ES" w:eastAsia="es-ES"/>
        </w:rPr>
        <w:t>Horizontalidad de las hiladas.</w:t>
      </w:r>
    </w:p>
    <w:p w14:paraId="40166BBA" w14:textId="77777777" w:rsidR="006D3BCE" w:rsidRPr="00507AB0" w:rsidRDefault="006D3BCE" w:rsidP="000313DD">
      <w:pPr>
        <w:pStyle w:val="NORMAL12"/>
        <w:numPr>
          <w:ilvl w:val="0"/>
          <w:numId w:val="225"/>
        </w:numPr>
        <w:rPr>
          <w:lang w:val="es-ES" w:eastAsia="es-ES"/>
        </w:rPr>
      </w:pPr>
      <w:r w:rsidRPr="00507AB0">
        <w:rPr>
          <w:lang w:val="es-ES" w:eastAsia="es-ES"/>
        </w:rPr>
        <w:t>Planeidad de paramentos con regla de 2 m.</w:t>
      </w:r>
    </w:p>
    <w:p w14:paraId="372F9AA8" w14:textId="77777777" w:rsidR="006D3BCE" w:rsidRPr="00507AB0" w:rsidRDefault="006D3BCE" w:rsidP="00507AB0">
      <w:pPr>
        <w:spacing w:before="120" w:after="120" w:line="360" w:lineRule="auto"/>
        <w:jc w:val="both"/>
        <w:rPr>
          <w:rFonts w:ascii="Arial" w:hAnsi="Arial"/>
          <w:i/>
          <w:u w:val="single"/>
        </w:rPr>
      </w:pPr>
      <w:r w:rsidRPr="00507AB0">
        <w:rPr>
          <w:rFonts w:ascii="Arial" w:hAnsi="Arial"/>
          <w:i/>
          <w:u w:val="single"/>
        </w:rPr>
        <w:t>Protección de la fábrica:</w:t>
      </w:r>
    </w:p>
    <w:p w14:paraId="384D01F0" w14:textId="77777777" w:rsidR="006D3BCE" w:rsidRPr="00507AB0" w:rsidRDefault="006D3BCE" w:rsidP="000313DD">
      <w:pPr>
        <w:pStyle w:val="NORMAL12"/>
        <w:numPr>
          <w:ilvl w:val="0"/>
          <w:numId w:val="225"/>
        </w:numPr>
        <w:rPr>
          <w:lang w:val="es-ES" w:eastAsia="es-ES"/>
        </w:rPr>
      </w:pPr>
      <w:r w:rsidRPr="00507AB0">
        <w:rPr>
          <w:lang w:val="es-ES" w:eastAsia="es-ES"/>
        </w:rPr>
        <w:t>Protección en tiempo caluroso de fábricas recién ejecutadas.</w:t>
      </w:r>
    </w:p>
    <w:p w14:paraId="7D502508" w14:textId="77777777" w:rsidR="006D3BCE" w:rsidRPr="00507AB0" w:rsidRDefault="006D3BCE" w:rsidP="000313DD">
      <w:pPr>
        <w:pStyle w:val="NORMAL12"/>
        <w:numPr>
          <w:ilvl w:val="0"/>
          <w:numId w:val="225"/>
        </w:numPr>
        <w:rPr>
          <w:lang w:val="es-ES" w:eastAsia="es-ES"/>
        </w:rPr>
      </w:pPr>
      <w:r w:rsidRPr="00507AB0">
        <w:rPr>
          <w:lang w:val="es-ES" w:eastAsia="es-ES"/>
        </w:rPr>
        <w:t>Protección en tiempo frío (heladas) de fábricas recientes.</w:t>
      </w:r>
    </w:p>
    <w:p w14:paraId="06A9A3BD" w14:textId="77777777" w:rsidR="006D3BCE" w:rsidRPr="00507AB0" w:rsidRDefault="006D3BCE" w:rsidP="000313DD">
      <w:pPr>
        <w:pStyle w:val="NORMAL12"/>
        <w:numPr>
          <w:ilvl w:val="0"/>
          <w:numId w:val="225"/>
        </w:numPr>
        <w:rPr>
          <w:lang w:val="es-ES" w:eastAsia="es-ES"/>
        </w:rPr>
      </w:pPr>
      <w:r w:rsidRPr="00507AB0">
        <w:rPr>
          <w:lang w:val="es-ES" w:eastAsia="es-ES"/>
        </w:rPr>
        <w:t>Protección de la fábrica durante la ejecución, frente a la lluvia.</w:t>
      </w:r>
    </w:p>
    <w:p w14:paraId="34FB38A4" w14:textId="77777777" w:rsidR="006D3BCE" w:rsidRPr="00507AB0" w:rsidRDefault="006D3BCE" w:rsidP="000313DD">
      <w:pPr>
        <w:pStyle w:val="NORMAL12"/>
        <w:numPr>
          <w:ilvl w:val="0"/>
          <w:numId w:val="225"/>
        </w:numPr>
        <w:rPr>
          <w:lang w:val="es-ES" w:eastAsia="es-ES"/>
        </w:rPr>
      </w:pPr>
      <w:r w:rsidRPr="00507AB0">
        <w:rPr>
          <w:lang w:val="es-ES" w:eastAsia="es-ES"/>
        </w:rPr>
        <w:t>Arriostramiento durante la construcción mientras el elemento de fábrica no haya sido estabilizado (al terminar cada jornada de trabajo).</w:t>
      </w:r>
    </w:p>
    <w:p w14:paraId="24B8C126" w14:textId="77777777" w:rsidR="006D3BCE" w:rsidRDefault="006D3BCE" w:rsidP="000313DD">
      <w:pPr>
        <w:pStyle w:val="NORMAL12"/>
        <w:numPr>
          <w:ilvl w:val="0"/>
          <w:numId w:val="225"/>
        </w:numPr>
        <w:rPr>
          <w:lang w:val="es-ES" w:eastAsia="es-ES"/>
        </w:rPr>
      </w:pPr>
      <w:r w:rsidRPr="00507AB0">
        <w:rPr>
          <w:lang w:val="es-ES" w:eastAsia="es-ES"/>
        </w:rPr>
        <w:t>Control de la profundidad de las rozas y su verticalidad.</w:t>
      </w:r>
    </w:p>
    <w:p w14:paraId="5ED692EA" w14:textId="77777777" w:rsidR="00CF7652" w:rsidRPr="00507AB0" w:rsidRDefault="00CF7652" w:rsidP="00CF7652">
      <w:pPr>
        <w:pStyle w:val="NORMAL12"/>
        <w:rPr>
          <w:lang w:val="es-ES" w:eastAsia="es-ES"/>
        </w:rPr>
      </w:pPr>
    </w:p>
    <w:p w14:paraId="68CEF91E" w14:textId="77777777" w:rsidR="00804F6A" w:rsidRPr="00397D79" w:rsidRDefault="00804F6A" w:rsidP="000313DD">
      <w:pPr>
        <w:pStyle w:val="TITU2"/>
        <w:rPr>
          <w:lang w:val="es-ES_tradnl"/>
        </w:rPr>
      </w:pPr>
      <w:bookmarkStart w:id="800" w:name="_Toc404449"/>
      <w:r w:rsidRPr="00397D79">
        <w:rPr>
          <w:lang w:val="es-ES_tradnl"/>
        </w:rPr>
        <w:lastRenderedPageBreak/>
        <w:t>635.5. Control de calidad</w:t>
      </w:r>
      <w:bookmarkEnd w:id="800"/>
    </w:p>
    <w:p w14:paraId="6737D321" w14:textId="77777777" w:rsidR="006D3BCE" w:rsidRPr="00397D79" w:rsidRDefault="006D3BCE" w:rsidP="001D69D2">
      <w:pPr>
        <w:spacing w:before="120" w:after="120" w:line="360" w:lineRule="auto"/>
        <w:jc w:val="both"/>
        <w:rPr>
          <w:rFonts w:ascii="Arial" w:hAnsi="Arial"/>
        </w:rPr>
      </w:pPr>
      <w:r w:rsidRPr="00397D79">
        <w:rPr>
          <w:rFonts w:ascii="Arial" w:hAnsi="Arial"/>
        </w:rPr>
        <w:t xml:space="preserve">Se describe seguidamente el Control de Calidad de recepción de la ejecución de fábrica de </w:t>
      </w:r>
      <w:r w:rsidR="001D69D2" w:rsidRPr="00397D79">
        <w:rPr>
          <w:rFonts w:ascii="Arial" w:hAnsi="Arial"/>
        </w:rPr>
        <w:t>bloques</w:t>
      </w:r>
      <w:r w:rsidRPr="00397D79">
        <w:rPr>
          <w:rFonts w:ascii="Arial" w:hAnsi="Arial"/>
        </w:rPr>
        <w:t>, cuyo objeto es garantizar que la obra terminada tiene las características de calidad, resistentes y funcionales, especificadas en proyecto, en virtud del control de calidad de los materiales empleados y del control de la ejecución.</w:t>
      </w:r>
    </w:p>
    <w:p w14:paraId="63AB9405" w14:textId="77777777" w:rsidR="006D3BCE" w:rsidRDefault="006D3BCE" w:rsidP="001D69D2">
      <w:pPr>
        <w:spacing w:before="120" w:after="120" w:line="360" w:lineRule="auto"/>
        <w:jc w:val="both"/>
        <w:rPr>
          <w:rFonts w:ascii="Arial" w:hAnsi="Arial"/>
        </w:rPr>
      </w:pPr>
      <w:r w:rsidRPr="00397D79">
        <w:rPr>
          <w:rFonts w:ascii="Arial" w:hAnsi="Arial"/>
        </w:rPr>
        <w:t>Una vez realizados todos los controles de calidad durante la ejecución de la unidad aquí indicados, su aceptación final se realizará basándose en lo</w:t>
      </w:r>
      <w:r w:rsidR="002305C1">
        <w:rPr>
          <w:rFonts w:ascii="Arial" w:hAnsi="Arial"/>
        </w:rPr>
        <w:t>s criterios especificados en la tabla siguiente:</w:t>
      </w:r>
    </w:p>
    <w:p w14:paraId="485A6765" w14:textId="77777777" w:rsidR="002305C1" w:rsidRDefault="002305C1" w:rsidP="001D69D2">
      <w:pPr>
        <w:spacing w:before="120" w:after="120" w:line="360" w:lineRule="auto"/>
        <w:jc w:val="both"/>
        <w:rPr>
          <w:rFonts w:ascii="Arial" w:hAnsi="Arial"/>
        </w:rPr>
      </w:pPr>
    </w:p>
    <w:tbl>
      <w:tblPr>
        <w:tblW w:w="5000" w:type="pct"/>
        <w:tblCellMar>
          <w:left w:w="70" w:type="dxa"/>
          <w:right w:w="70" w:type="dxa"/>
        </w:tblCellMar>
        <w:tblLook w:val="04A0" w:firstRow="1" w:lastRow="0" w:firstColumn="1" w:lastColumn="0" w:noHBand="0" w:noVBand="1"/>
      </w:tblPr>
      <w:tblGrid>
        <w:gridCol w:w="2887"/>
        <w:gridCol w:w="4753"/>
        <w:gridCol w:w="1713"/>
      </w:tblGrid>
      <w:tr w:rsidR="00397D79" w14:paraId="3476BAD3" w14:textId="77777777" w:rsidTr="005B79AD">
        <w:trPr>
          <w:trHeight w:val="510"/>
        </w:trPr>
        <w:tc>
          <w:tcPr>
            <w:tcW w:w="15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3D76E4" w14:textId="77777777" w:rsidR="00397D79" w:rsidRDefault="00397D79">
            <w:pPr>
              <w:jc w:val="center"/>
              <w:rPr>
                <w:rFonts w:ascii="Arial" w:hAnsi="Arial" w:cs="Arial"/>
                <w:b/>
                <w:bCs/>
                <w:color w:val="000000"/>
                <w:sz w:val="20"/>
                <w:szCs w:val="20"/>
              </w:rPr>
            </w:pPr>
            <w:r>
              <w:rPr>
                <w:rFonts w:ascii="Arial" w:hAnsi="Arial"/>
                <w:b/>
                <w:bCs/>
                <w:color w:val="000000"/>
                <w:sz w:val="20"/>
                <w:szCs w:val="20"/>
              </w:rPr>
              <w:t>Controles durante la ejecución</w:t>
            </w:r>
          </w:p>
        </w:tc>
        <w:tc>
          <w:tcPr>
            <w:tcW w:w="2541"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0406E392" w14:textId="77777777" w:rsidR="00397D79" w:rsidRDefault="00397D79">
            <w:pPr>
              <w:jc w:val="center"/>
              <w:rPr>
                <w:rFonts w:ascii="Arial" w:hAnsi="Arial" w:cs="Arial"/>
                <w:b/>
                <w:bCs/>
                <w:color w:val="000000"/>
                <w:sz w:val="20"/>
                <w:szCs w:val="20"/>
              </w:rPr>
            </w:pPr>
            <w:r>
              <w:rPr>
                <w:rFonts w:ascii="Arial" w:hAnsi="Arial"/>
                <w:b/>
                <w:bCs/>
                <w:color w:val="000000"/>
                <w:sz w:val="20"/>
                <w:szCs w:val="20"/>
              </w:rPr>
              <w:t>Referencia de ensayo</w:t>
            </w:r>
          </w:p>
        </w:tc>
        <w:tc>
          <w:tcPr>
            <w:tcW w:w="916"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17550A3E" w14:textId="77777777" w:rsidR="00397D79" w:rsidRDefault="00397D79">
            <w:pPr>
              <w:jc w:val="center"/>
              <w:rPr>
                <w:rFonts w:ascii="Arial" w:hAnsi="Arial" w:cs="Arial"/>
                <w:b/>
                <w:bCs/>
                <w:color w:val="000000"/>
                <w:sz w:val="20"/>
                <w:szCs w:val="20"/>
              </w:rPr>
            </w:pPr>
            <w:r>
              <w:rPr>
                <w:rFonts w:ascii="Arial" w:hAnsi="Arial"/>
                <w:b/>
                <w:bCs/>
                <w:color w:val="000000"/>
                <w:sz w:val="20"/>
                <w:szCs w:val="20"/>
              </w:rPr>
              <w:t>Frecuencia de ensayo</w:t>
            </w:r>
          </w:p>
        </w:tc>
      </w:tr>
      <w:tr w:rsidR="00397D79" w14:paraId="747A1CCC" w14:textId="77777777" w:rsidTr="003907DA">
        <w:trPr>
          <w:trHeight w:val="510"/>
        </w:trPr>
        <w:tc>
          <w:tcPr>
            <w:tcW w:w="1543" w:type="pct"/>
            <w:tcBorders>
              <w:top w:val="nil"/>
              <w:left w:val="single" w:sz="4" w:space="0" w:color="auto"/>
              <w:bottom w:val="single" w:sz="4" w:space="0" w:color="auto"/>
              <w:right w:val="single" w:sz="4" w:space="0" w:color="auto"/>
            </w:tcBorders>
            <w:vAlign w:val="center"/>
            <w:hideMark/>
          </w:tcPr>
          <w:p w14:paraId="49EA035F" w14:textId="77777777" w:rsidR="00397D79" w:rsidRPr="003907DA" w:rsidRDefault="00397D79">
            <w:pPr>
              <w:jc w:val="both"/>
              <w:rPr>
                <w:rFonts w:ascii="Arial" w:hAnsi="Arial" w:cs="Arial"/>
                <w:color w:val="000000"/>
                <w:sz w:val="20"/>
                <w:szCs w:val="20"/>
              </w:rPr>
            </w:pPr>
            <w:r w:rsidRPr="003907DA">
              <w:rPr>
                <w:rFonts w:ascii="Arial" w:hAnsi="Arial"/>
                <w:color w:val="000000"/>
                <w:sz w:val="20"/>
                <w:szCs w:val="20"/>
              </w:rPr>
              <w:t>Replanteo</w:t>
            </w:r>
          </w:p>
        </w:tc>
        <w:tc>
          <w:tcPr>
            <w:tcW w:w="2541" w:type="pct"/>
            <w:tcBorders>
              <w:top w:val="nil"/>
              <w:left w:val="nil"/>
              <w:bottom w:val="single" w:sz="4" w:space="0" w:color="auto"/>
              <w:right w:val="single" w:sz="4" w:space="0" w:color="auto"/>
            </w:tcBorders>
            <w:vAlign w:val="center"/>
            <w:hideMark/>
          </w:tcPr>
          <w:p w14:paraId="319041BC" w14:textId="77777777" w:rsidR="00397D79" w:rsidRDefault="00397D79">
            <w:pPr>
              <w:jc w:val="center"/>
              <w:rPr>
                <w:rFonts w:ascii="Arial" w:hAnsi="Arial" w:cs="Arial"/>
                <w:color w:val="000000"/>
                <w:sz w:val="20"/>
                <w:szCs w:val="20"/>
              </w:rPr>
            </w:pPr>
            <w:r>
              <w:rPr>
                <w:rFonts w:ascii="Arial" w:hAnsi="Arial" w:cs="Arial"/>
                <w:color w:val="000000"/>
                <w:sz w:val="20"/>
                <w:szCs w:val="20"/>
              </w:rPr>
              <w:t>No se permiten desviaciones superiores a 1 mm por metro de altura</w:t>
            </w:r>
          </w:p>
        </w:tc>
        <w:tc>
          <w:tcPr>
            <w:tcW w:w="916" w:type="pct"/>
            <w:vMerge w:val="restart"/>
            <w:tcBorders>
              <w:top w:val="nil"/>
              <w:left w:val="single" w:sz="4" w:space="0" w:color="auto"/>
              <w:bottom w:val="single" w:sz="4" w:space="0" w:color="auto"/>
              <w:right w:val="single" w:sz="4" w:space="0" w:color="auto"/>
            </w:tcBorders>
            <w:vAlign w:val="center"/>
            <w:hideMark/>
          </w:tcPr>
          <w:p w14:paraId="06368432" w14:textId="77777777" w:rsidR="00397D79" w:rsidRDefault="00397D79">
            <w:pPr>
              <w:jc w:val="center"/>
              <w:rPr>
                <w:rFonts w:ascii="Arial" w:hAnsi="Arial" w:cs="Arial"/>
                <w:color w:val="000000"/>
                <w:sz w:val="20"/>
                <w:szCs w:val="20"/>
              </w:rPr>
            </w:pPr>
            <w:r>
              <w:rPr>
                <w:rFonts w:ascii="Arial" w:hAnsi="Arial"/>
                <w:color w:val="000000"/>
                <w:sz w:val="20"/>
                <w:szCs w:val="20"/>
              </w:rPr>
              <w:t>2 cada 50 m</w:t>
            </w:r>
            <w:r>
              <w:rPr>
                <w:rFonts w:ascii="Arial" w:hAnsi="Arial" w:cs="Arial"/>
                <w:color w:val="000000"/>
                <w:sz w:val="20"/>
                <w:szCs w:val="20"/>
                <w:vertAlign w:val="superscript"/>
              </w:rPr>
              <w:t>2</w:t>
            </w:r>
            <w:r>
              <w:rPr>
                <w:rFonts w:ascii="Arial" w:hAnsi="Arial" w:cs="Arial"/>
                <w:color w:val="000000"/>
                <w:sz w:val="20"/>
                <w:szCs w:val="20"/>
              </w:rPr>
              <w:t xml:space="preserve"> de muro</w:t>
            </w:r>
          </w:p>
        </w:tc>
      </w:tr>
      <w:tr w:rsidR="00397D79" w14:paraId="358EC033" w14:textId="77777777" w:rsidTr="003907DA">
        <w:trPr>
          <w:trHeight w:val="510"/>
        </w:trPr>
        <w:tc>
          <w:tcPr>
            <w:tcW w:w="1543" w:type="pct"/>
            <w:tcBorders>
              <w:top w:val="nil"/>
              <w:left w:val="single" w:sz="4" w:space="0" w:color="auto"/>
              <w:bottom w:val="single" w:sz="4" w:space="0" w:color="auto"/>
              <w:right w:val="single" w:sz="4" w:space="0" w:color="auto"/>
            </w:tcBorders>
            <w:vAlign w:val="center"/>
            <w:hideMark/>
          </w:tcPr>
          <w:p w14:paraId="0BAFA584" w14:textId="77777777" w:rsidR="00397D79" w:rsidRPr="003907DA" w:rsidRDefault="00397D79">
            <w:pPr>
              <w:jc w:val="both"/>
              <w:rPr>
                <w:rFonts w:ascii="Arial" w:hAnsi="Arial" w:cs="Arial"/>
                <w:color w:val="000000"/>
                <w:sz w:val="20"/>
                <w:szCs w:val="20"/>
              </w:rPr>
            </w:pPr>
            <w:r w:rsidRPr="003907DA">
              <w:rPr>
                <w:rFonts w:ascii="Arial" w:hAnsi="Arial"/>
                <w:color w:val="000000"/>
                <w:sz w:val="20"/>
                <w:szCs w:val="20"/>
              </w:rPr>
              <w:t>Recibido de los bloques</w:t>
            </w:r>
          </w:p>
        </w:tc>
        <w:tc>
          <w:tcPr>
            <w:tcW w:w="2541" w:type="pct"/>
            <w:tcBorders>
              <w:top w:val="nil"/>
              <w:left w:val="nil"/>
              <w:bottom w:val="single" w:sz="4" w:space="0" w:color="auto"/>
              <w:right w:val="single" w:sz="4" w:space="0" w:color="auto"/>
            </w:tcBorders>
            <w:vAlign w:val="center"/>
            <w:hideMark/>
          </w:tcPr>
          <w:p w14:paraId="6C6D5F8A" w14:textId="77777777" w:rsidR="00397D79" w:rsidRDefault="00397D79">
            <w:pPr>
              <w:jc w:val="center"/>
              <w:rPr>
                <w:rFonts w:ascii="Arial" w:hAnsi="Arial" w:cs="Arial"/>
                <w:color w:val="000000"/>
                <w:sz w:val="20"/>
                <w:szCs w:val="20"/>
              </w:rPr>
            </w:pPr>
            <w:r>
              <w:rPr>
                <w:rFonts w:ascii="Arial" w:hAnsi="Arial" w:cs="Arial"/>
                <w:color w:val="000000"/>
                <w:sz w:val="20"/>
                <w:szCs w:val="20"/>
              </w:rPr>
              <w:t>Falta de asiento en la superficie de asiento, o espesor menor de 1 cm</w:t>
            </w:r>
          </w:p>
        </w:tc>
        <w:tc>
          <w:tcPr>
            <w:tcW w:w="916" w:type="pct"/>
            <w:vMerge/>
            <w:tcBorders>
              <w:top w:val="nil"/>
              <w:left w:val="single" w:sz="4" w:space="0" w:color="auto"/>
              <w:bottom w:val="single" w:sz="4" w:space="0" w:color="auto"/>
              <w:right w:val="single" w:sz="4" w:space="0" w:color="auto"/>
            </w:tcBorders>
            <w:vAlign w:val="center"/>
            <w:hideMark/>
          </w:tcPr>
          <w:p w14:paraId="3AF71FE1" w14:textId="77777777" w:rsidR="00397D79" w:rsidRDefault="00397D79">
            <w:pPr>
              <w:rPr>
                <w:rFonts w:ascii="Arial" w:hAnsi="Arial" w:cs="Arial"/>
                <w:color w:val="000000"/>
                <w:sz w:val="20"/>
                <w:szCs w:val="20"/>
              </w:rPr>
            </w:pPr>
          </w:p>
        </w:tc>
      </w:tr>
      <w:tr w:rsidR="00397D79" w14:paraId="0312932A" w14:textId="77777777" w:rsidTr="003907DA">
        <w:trPr>
          <w:trHeight w:val="510"/>
        </w:trPr>
        <w:tc>
          <w:tcPr>
            <w:tcW w:w="1543" w:type="pct"/>
            <w:tcBorders>
              <w:top w:val="nil"/>
              <w:left w:val="single" w:sz="4" w:space="0" w:color="auto"/>
              <w:bottom w:val="single" w:sz="4" w:space="0" w:color="auto"/>
              <w:right w:val="single" w:sz="4" w:space="0" w:color="auto"/>
            </w:tcBorders>
            <w:vAlign w:val="center"/>
            <w:hideMark/>
          </w:tcPr>
          <w:p w14:paraId="4070269D" w14:textId="77777777" w:rsidR="00397D79" w:rsidRPr="003907DA" w:rsidRDefault="00397D79">
            <w:pPr>
              <w:jc w:val="both"/>
              <w:rPr>
                <w:rFonts w:ascii="Arial" w:hAnsi="Arial" w:cs="Arial"/>
                <w:color w:val="000000"/>
                <w:sz w:val="20"/>
                <w:szCs w:val="20"/>
              </w:rPr>
            </w:pPr>
            <w:r w:rsidRPr="003907DA">
              <w:rPr>
                <w:rFonts w:ascii="Arial" w:hAnsi="Arial"/>
                <w:color w:val="000000"/>
                <w:sz w:val="20"/>
                <w:szCs w:val="20"/>
              </w:rPr>
              <w:t>Horizontalidad de la hilada</w:t>
            </w:r>
          </w:p>
        </w:tc>
        <w:tc>
          <w:tcPr>
            <w:tcW w:w="2541" w:type="pct"/>
            <w:tcBorders>
              <w:top w:val="nil"/>
              <w:left w:val="nil"/>
              <w:bottom w:val="single" w:sz="4" w:space="0" w:color="auto"/>
              <w:right w:val="single" w:sz="4" w:space="0" w:color="auto"/>
            </w:tcBorders>
            <w:vAlign w:val="center"/>
            <w:hideMark/>
          </w:tcPr>
          <w:p w14:paraId="298636D1" w14:textId="77777777" w:rsidR="00397D79" w:rsidRDefault="00397D79">
            <w:pPr>
              <w:jc w:val="center"/>
              <w:rPr>
                <w:rFonts w:ascii="Arial" w:hAnsi="Arial" w:cs="Arial"/>
                <w:color w:val="000000"/>
                <w:sz w:val="20"/>
                <w:szCs w:val="20"/>
              </w:rPr>
            </w:pPr>
            <w:r>
              <w:rPr>
                <w:rFonts w:ascii="Arial" w:hAnsi="Arial" w:cs="Arial"/>
                <w:color w:val="000000"/>
                <w:sz w:val="20"/>
                <w:szCs w:val="20"/>
              </w:rPr>
              <w:t>Variaciones superiores a 2 mm por metro de longitud</w:t>
            </w:r>
          </w:p>
        </w:tc>
        <w:tc>
          <w:tcPr>
            <w:tcW w:w="916" w:type="pct"/>
            <w:vMerge/>
            <w:tcBorders>
              <w:top w:val="nil"/>
              <w:left w:val="single" w:sz="4" w:space="0" w:color="auto"/>
              <w:bottom w:val="single" w:sz="4" w:space="0" w:color="auto"/>
              <w:right w:val="single" w:sz="4" w:space="0" w:color="auto"/>
            </w:tcBorders>
            <w:vAlign w:val="center"/>
            <w:hideMark/>
          </w:tcPr>
          <w:p w14:paraId="1CF1CB57" w14:textId="77777777" w:rsidR="00397D79" w:rsidRDefault="00397D79">
            <w:pPr>
              <w:rPr>
                <w:rFonts w:ascii="Arial" w:hAnsi="Arial" w:cs="Arial"/>
                <w:color w:val="000000"/>
                <w:sz w:val="20"/>
                <w:szCs w:val="20"/>
              </w:rPr>
            </w:pPr>
          </w:p>
        </w:tc>
      </w:tr>
      <w:tr w:rsidR="00397D79" w14:paraId="146DA4CB" w14:textId="77777777" w:rsidTr="003907DA">
        <w:trPr>
          <w:trHeight w:val="510"/>
        </w:trPr>
        <w:tc>
          <w:tcPr>
            <w:tcW w:w="1543" w:type="pct"/>
            <w:tcBorders>
              <w:top w:val="nil"/>
              <w:left w:val="single" w:sz="4" w:space="0" w:color="auto"/>
              <w:bottom w:val="single" w:sz="4" w:space="0" w:color="auto"/>
              <w:right w:val="single" w:sz="4" w:space="0" w:color="auto"/>
            </w:tcBorders>
            <w:vAlign w:val="center"/>
            <w:hideMark/>
          </w:tcPr>
          <w:p w14:paraId="7AA45B77" w14:textId="77777777" w:rsidR="00397D79" w:rsidRPr="003907DA" w:rsidRDefault="00397D79">
            <w:pPr>
              <w:jc w:val="both"/>
              <w:rPr>
                <w:rFonts w:ascii="Arial" w:hAnsi="Arial" w:cs="Arial"/>
                <w:color w:val="000000"/>
                <w:sz w:val="20"/>
                <w:szCs w:val="20"/>
              </w:rPr>
            </w:pPr>
            <w:r w:rsidRPr="003907DA">
              <w:rPr>
                <w:rFonts w:ascii="Arial" w:hAnsi="Arial"/>
                <w:color w:val="000000"/>
                <w:sz w:val="20"/>
                <w:szCs w:val="20"/>
              </w:rPr>
              <w:t>Planeidad</w:t>
            </w:r>
          </w:p>
        </w:tc>
        <w:tc>
          <w:tcPr>
            <w:tcW w:w="2541" w:type="pct"/>
            <w:tcBorders>
              <w:top w:val="nil"/>
              <w:left w:val="nil"/>
              <w:bottom w:val="single" w:sz="4" w:space="0" w:color="auto"/>
              <w:right w:val="single" w:sz="4" w:space="0" w:color="auto"/>
            </w:tcBorders>
            <w:vAlign w:val="center"/>
            <w:hideMark/>
          </w:tcPr>
          <w:p w14:paraId="0E55E0B1" w14:textId="77777777" w:rsidR="00397D79" w:rsidRDefault="00397D79">
            <w:pPr>
              <w:jc w:val="center"/>
              <w:rPr>
                <w:rFonts w:ascii="Arial" w:hAnsi="Arial" w:cs="Arial"/>
                <w:color w:val="000000"/>
                <w:sz w:val="20"/>
                <w:szCs w:val="20"/>
              </w:rPr>
            </w:pPr>
            <w:r>
              <w:rPr>
                <w:rFonts w:ascii="Arial" w:hAnsi="Arial" w:cs="Arial"/>
                <w:color w:val="000000"/>
                <w:sz w:val="20"/>
                <w:szCs w:val="20"/>
              </w:rPr>
              <w:t>Variaciones superiores a 10 mm comprobadas con regla de 2 metros</w:t>
            </w:r>
          </w:p>
        </w:tc>
        <w:tc>
          <w:tcPr>
            <w:tcW w:w="916" w:type="pct"/>
            <w:vMerge/>
            <w:tcBorders>
              <w:top w:val="nil"/>
              <w:left w:val="single" w:sz="4" w:space="0" w:color="auto"/>
              <w:bottom w:val="single" w:sz="4" w:space="0" w:color="auto"/>
              <w:right w:val="single" w:sz="4" w:space="0" w:color="auto"/>
            </w:tcBorders>
            <w:vAlign w:val="center"/>
            <w:hideMark/>
          </w:tcPr>
          <w:p w14:paraId="0F99A578" w14:textId="77777777" w:rsidR="00397D79" w:rsidRDefault="00397D79">
            <w:pPr>
              <w:rPr>
                <w:rFonts w:ascii="Arial" w:hAnsi="Arial" w:cs="Arial"/>
                <w:color w:val="000000"/>
                <w:sz w:val="20"/>
                <w:szCs w:val="20"/>
              </w:rPr>
            </w:pPr>
          </w:p>
        </w:tc>
      </w:tr>
      <w:tr w:rsidR="00397D79" w14:paraId="46103BA4" w14:textId="77777777" w:rsidTr="003907DA">
        <w:trPr>
          <w:trHeight w:val="300"/>
        </w:trPr>
        <w:tc>
          <w:tcPr>
            <w:tcW w:w="1543" w:type="pct"/>
            <w:tcBorders>
              <w:top w:val="nil"/>
              <w:left w:val="single" w:sz="4" w:space="0" w:color="auto"/>
              <w:bottom w:val="single" w:sz="4" w:space="0" w:color="auto"/>
              <w:right w:val="single" w:sz="4" w:space="0" w:color="auto"/>
            </w:tcBorders>
            <w:vAlign w:val="center"/>
            <w:hideMark/>
          </w:tcPr>
          <w:p w14:paraId="4D57BC10" w14:textId="77777777" w:rsidR="00397D79" w:rsidRPr="003907DA" w:rsidRDefault="00397D79">
            <w:pPr>
              <w:jc w:val="both"/>
              <w:rPr>
                <w:rFonts w:ascii="Arial" w:hAnsi="Arial" w:cs="Arial"/>
                <w:color w:val="000000"/>
                <w:sz w:val="20"/>
                <w:szCs w:val="20"/>
              </w:rPr>
            </w:pPr>
            <w:r w:rsidRPr="003907DA">
              <w:rPr>
                <w:rFonts w:ascii="Arial" w:hAnsi="Arial"/>
                <w:color w:val="000000"/>
                <w:sz w:val="20"/>
                <w:szCs w:val="20"/>
              </w:rPr>
              <w:t>Mortero de agarre</w:t>
            </w:r>
          </w:p>
        </w:tc>
        <w:tc>
          <w:tcPr>
            <w:tcW w:w="2541" w:type="pct"/>
            <w:tcBorders>
              <w:top w:val="nil"/>
              <w:left w:val="nil"/>
              <w:bottom w:val="single" w:sz="4" w:space="0" w:color="auto"/>
              <w:right w:val="single" w:sz="4" w:space="0" w:color="auto"/>
            </w:tcBorders>
            <w:vAlign w:val="center"/>
            <w:hideMark/>
          </w:tcPr>
          <w:p w14:paraId="39D6941E" w14:textId="77777777" w:rsidR="00397D79" w:rsidRDefault="00397D79">
            <w:pPr>
              <w:jc w:val="center"/>
              <w:rPr>
                <w:rFonts w:ascii="Arial" w:hAnsi="Arial" w:cs="Arial"/>
                <w:color w:val="000000"/>
                <w:sz w:val="20"/>
                <w:szCs w:val="20"/>
              </w:rPr>
            </w:pPr>
            <w:r>
              <w:rPr>
                <w:rFonts w:ascii="Arial" w:hAnsi="Arial" w:cs="Arial"/>
                <w:color w:val="000000"/>
                <w:sz w:val="20"/>
                <w:szCs w:val="20"/>
              </w:rPr>
              <w:t>Dosificación distinta a la indicada</w:t>
            </w:r>
          </w:p>
        </w:tc>
        <w:tc>
          <w:tcPr>
            <w:tcW w:w="916" w:type="pct"/>
            <w:vMerge/>
            <w:tcBorders>
              <w:top w:val="nil"/>
              <w:left w:val="single" w:sz="4" w:space="0" w:color="auto"/>
              <w:bottom w:val="single" w:sz="4" w:space="0" w:color="auto"/>
              <w:right w:val="single" w:sz="4" w:space="0" w:color="auto"/>
            </w:tcBorders>
            <w:vAlign w:val="center"/>
            <w:hideMark/>
          </w:tcPr>
          <w:p w14:paraId="77FD28B9" w14:textId="77777777" w:rsidR="00397D79" w:rsidRDefault="00397D79">
            <w:pPr>
              <w:rPr>
                <w:rFonts w:ascii="Arial" w:hAnsi="Arial" w:cs="Arial"/>
                <w:color w:val="000000"/>
                <w:sz w:val="20"/>
                <w:szCs w:val="20"/>
              </w:rPr>
            </w:pPr>
          </w:p>
        </w:tc>
      </w:tr>
    </w:tbl>
    <w:p w14:paraId="77CCD4EC" w14:textId="77777777" w:rsidR="00804F6A" w:rsidRPr="00397D79" w:rsidRDefault="00804F6A" w:rsidP="000313DD">
      <w:pPr>
        <w:pStyle w:val="TITU2"/>
        <w:rPr>
          <w:lang w:val="es-ES_tradnl"/>
        </w:rPr>
      </w:pPr>
      <w:bookmarkStart w:id="801" w:name="_Toc404450"/>
      <w:r w:rsidRPr="00397D79">
        <w:rPr>
          <w:lang w:val="es-ES_tradnl"/>
        </w:rPr>
        <w:t>635.6. Medición y abono</w:t>
      </w:r>
      <w:bookmarkEnd w:id="801"/>
    </w:p>
    <w:p w14:paraId="0811537B" w14:textId="77777777" w:rsidR="006D3BCE" w:rsidRPr="00397D79" w:rsidRDefault="006D3BCE" w:rsidP="001D69D2">
      <w:pPr>
        <w:spacing w:before="120" w:after="120" w:line="360" w:lineRule="auto"/>
        <w:jc w:val="both"/>
        <w:rPr>
          <w:rFonts w:ascii="Arial" w:hAnsi="Arial"/>
        </w:rPr>
      </w:pPr>
      <w:r w:rsidRPr="00397D79">
        <w:rPr>
          <w:rFonts w:ascii="Arial" w:hAnsi="Arial"/>
        </w:rPr>
        <w:t>La medición y el abono de la unidad de fábrica de</w:t>
      </w:r>
      <w:r w:rsidR="00397D79" w:rsidRPr="00397D79">
        <w:rPr>
          <w:rFonts w:ascii="Arial" w:hAnsi="Arial"/>
        </w:rPr>
        <w:t xml:space="preserve"> bloques se </w:t>
      </w:r>
      <w:r w:rsidR="00F83B62" w:rsidRPr="00397D79">
        <w:rPr>
          <w:rFonts w:ascii="Arial" w:hAnsi="Arial"/>
        </w:rPr>
        <w:t>realizarán</w:t>
      </w:r>
      <w:r w:rsidRPr="00397D79">
        <w:rPr>
          <w:rFonts w:ascii="Arial" w:hAnsi="Arial"/>
        </w:rPr>
        <w:t xml:space="preserve"> conforme a las prescripciones</w:t>
      </w:r>
      <w:r w:rsidR="00397D79" w:rsidRPr="00397D79">
        <w:rPr>
          <w:rFonts w:ascii="Arial" w:hAnsi="Arial"/>
        </w:rPr>
        <w:t xml:space="preserve"> siguientes</w:t>
      </w:r>
      <w:r w:rsidRPr="00397D79">
        <w:rPr>
          <w:rFonts w:ascii="Arial" w:hAnsi="Arial"/>
        </w:rPr>
        <w:t>:</w:t>
      </w: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64"/>
        <w:gridCol w:w="6413"/>
      </w:tblGrid>
      <w:tr w:rsidR="006D3BCE" w:rsidRPr="00397D79" w14:paraId="6BDC01EF" w14:textId="77777777" w:rsidTr="006D3BCE">
        <w:trPr>
          <w:jc w:val="center"/>
        </w:trPr>
        <w:tc>
          <w:tcPr>
            <w:tcW w:w="0" w:type="auto"/>
            <w:vAlign w:val="center"/>
          </w:tcPr>
          <w:p w14:paraId="1BBC3EF9" w14:textId="77777777" w:rsidR="006D3BCE" w:rsidRPr="00397D79" w:rsidRDefault="006D3BCE" w:rsidP="003907DA">
            <w:pPr>
              <w:widowControl w:val="0"/>
              <w:spacing w:before="120" w:after="120"/>
              <w:jc w:val="center"/>
              <w:rPr>
                <w:rFonts w:ascii="Arial" w:hAnsi="Arial" w:cs="Arial"/>
                <w:b/>
                <w:bCs/>
                <w:sz w:val="20"/>
                <w:szCs w:val="20"/>
              </w:rPr>
            </w:pPr>
            <w:r w:rsidRPr="00397D79">
              <w:rPr>
                <w:rFonts w:ascii="Arial" w:hAnsi="Arial" w:cs="Arial"/>
                <w:b/>
                <w:bCs/>
                <w:sz w:val="20"/>
                <w:szCs w:val="20"/>
              </w:rPr>
              <w:t>Unidad de medida</w:t>
            </w:r>
          </w:p>
        </w:tc>
        <w:tc>
          <w:tcPr>
            <w:tcW w:w="6413" w:type="dxa"/>
            <w:vAlign w:val="center"/>
          </w:tcPr>
          <w:p w14:paraId="1FC88D28" w14:textId="77777777" w:rsidR="006D3BCE" w:rsidRPr="00397D79" w:rsidRDefault="006D3BCE" w:rsidP="001205F7">
            <w:pPr>
              <w:widowControl w:val="0"/>
              <w:spacing w:before="120" w:after="120"/>
              <w:jc w:val="both"/>
              <w:rPr>
                <w:rFonts w:ascii="Arial" w:hAnsi="Arial" w:cs="Arial"/>
                <w:sz w:val="20"/>
                <w:szCs w:val="20"/>
              </w:rPr>
            </w:pPr>
            <w:r w:rsidRPr="00397D79">
              <w:rPr>
                <w:rFonts w:ascii="Arial" w:hAnsi="Arial" w:cs="Arial"/>
                <w:sz w:val="20"/>
                <w:szCs w:val="20"/>
              </w:rPr>
              <w:t>Metro cuadrado (m</w:t>
            </w:r>
            <w:r w:rsidRPr="00397D79">
              <w:rPr>
                <w:rFonts w:ascii="Arial" w:hAnsi="Arial" w:cs="Arial"/>
                <w:sz w:val="20"/>
                <w:szCs w:val="20"/>
                <w:vertAlign w:val="superscript"/>
              </w:rPr>
              <w:t>2</w:t>
            </w:r>
            <w:r w:rsidRPr="00397D79">
              <w:rPr>
                <w:rFonts w:ascii="Arial" w:hAnsi="Arial" w:cs="Arial"/>
                <w:sz w:val="20"/>
                <w:szCs w:val="20"/>
              </w:rPr>
              <w:t>).</w:t>
            </w:r>
          </w:p>
        </w:tc>
      </w:tr>
      <w:tr w:rsidR="006D3BCE" w:rsidRPr="00397D79" w14:paraId="7CF040C2" w14:textId="77777777" w:rsidTr="006D3BCE">
        <w:trPr>
          <w:jc w:val="center"/>
        </w:trPr>
        <w:tc>
          <w:tcPr>
            <w:tcW w:w="0" w:type="auto"/>
            <w:vAlign w:val="center"/>
          </w:tcPr>
          <w:p w14:paraId="724315D2" w14:textId="77777777" w:rsidR="006D3BCE" w:rsidRPr="00397D79" w:rsidRDefault="006D3BCE" w:rsidP="003907DA">
            <w:pPr>
              <w:widowControl w:val="0"/>
              <w:spacing w:before="120" w:after="120"/>
              <w:jc w:val="center"/>
              <w:rPr>
                <w:rFonts w:ascii="Arial" w:hAnsi="Arial" w:cs="Arial"/>
                <w:b/>
                <w:bCs/>
                <w:sz w:val="20"/>
                <w:szCs w:val="20"/>
              </w:rPr>
            </w:pPr>
            <w:r w:rsidRPr="00397D79">
              <w:rPr>
                <w:rFonts w:ascii="Arial" w:hAnsi="Arial" w:cs="Arial"/>
                <w:b/>
                <w:bCs/>
                <w:sz w:val="20"/>
                <w:szCs w:val="20"/>
              </w:rPr>
              <w:t>Grado de precisión</w:t>
            </w:r>
          </w:p>
        </w:tc>
        <w:tc>
          <w:tcPr>
            <w:tcW w:w="6413" w:type="dxa"/>
            <w:vAlign w:val="center"/>
          </w:tcPr>
          <w:p w14:paraId="12A91DFD" w14:textId="77777777" w:rsidR="006D3BCE" w:rsidRPr="00397D79" w:rsidRDefault="006D3BCE" w:rsidP="001205F7">
            <w:pPr>
              <w:widowControl w:val="0"/>
              <w:spacing w:before="120" w:after="120"/>
              <w:jc w:val="both"/>
              <w:rPr>
                <w:rFonts w:ascii="Arial" w:hAnsi="Arial" w:cs="Arial"/>
                <w:sz w:val="20"/>
                <w:szCs w:val="20"/>
              </w:rPr>
            </w:pPr>
            <w:r w:rsidRPr="00397D79">
              <w:rPr>
                <w:rFonts w:ascii="Arial" w:hAnsi="Arial" w:cs="Arial"/>
                <w:sz w:val="20"/>
                <w:szCs w:val="20"/>
              </w:rPr>
              <w:t>Dos decimales.</w:t>
            </w:r>
          </w:p>
        </w:tc>
      </w:tr>
      <w:tr w:rsidR="006D3BCE" w:rsidRPr="00397D79" w14:paraId="35685AA6" w14:textId="77777777" w:rsidTr="006D3BCE">
        <w:trPr>
          <w:jc w:val="center"/>
        </w:trPr>
        <w:tc>
          <w:tcPr>
            <w:tcW w:w="0" w:type="auto"/>
            <w:vAlign w:val="center"/>
          </w:tcPr>
          <w:p w14:paraId="27F1481E" w14:textId="77777777" w:rsidR="006D3BCE" w:rsidRPr="00397D79" w:rsidRDefault="006D3BCE" w:rsidP="003907DA">
            <w:pPr>
              <w:widowControl w:val="0"/>
              <w:spacing w:before="120" w:after="120"/>
              <w:jc w:val="center"/>
              <w:rPr>
                <w:rFonts w:ascii="Arial" w:hAnsi="Arial" w:cs="Arial"/>
                <w:b/>
                <w:bCs/>
                <w:sz w:val="20"/>
                <w:szCs w:val="20"/>
              </w:rPr>
            </w:pPr>
            <w:r w:rsidRPr="00397D79">
              <w:rPr>
                <w:rFonts w:ascii="Arial" w:hAnsi="Arial" w:cs="Arial"/>
                <w:b/>
                <w:bCs/>
                <w:sz w:val="20"/>
                <w:szCs w:val="20"/>
              </w:rPr>
              <w:t>Forma de medición</w:t>
            </w:r>
          </w:p>
        </w:tc>
        <w:tc>
          <w:tcPr>
            <w:tcW w:w="6413" w:type="dxa"/>
            <w:vAlign w:val="center"/>
          </w:tcPr>
          <w:p w14:paraId="6E686144" w14:textId="77777777" w:rsidR="006D3BCE" w:rsidRPr="00397D79" w:rsidRDefault="006D3BCE" w:rsidP="001205F7">
            <w:pPr>
              <w:widowControl w:val="0"/>
              <w:spacing w:before="120" w:after="120"/>
              <w:jc w:val="both"/>
              <w:rPr>
                <w:rFonts w:ascii="Arial" w:hAnsi="Arial" w:cs="Arial"/>
                <w:sz w:val="20"/>
                <w:szCs w:val="20"/>
              </w:rPr>
            </w:pPr>
            <w:r w:rsidRPr="00397D79">
              <w:rPr>
                <w:rFonts w:ascii="Arial" w:hAnsi="Arial" w:cs="Arial"/>
                <w:sz w:val="20"/>
                <w:szCs w:val="20"/>
              </w:rPr>
              <w:t>Metro cuadrado de fábrica de</w:t>
            </w:r>
            <w:r w:rsidR="00397D79" w:rsidRPr="00397D79">
              <w:rPr>
                <w:rFonts w:ascii="Arial" w:hAnsi="Arial" w:cs="Arial"/>
                <w:sz w:val="20"/>
                <w:szCs w:val="20"/>
              </w:rPr>
              <w:t xml:space="preserve"> bloque, </w:t>
            </w:r>
            <w:r w:rsidRPr="00397D79">
              <w:rPr>
                <w:rFonts w:ascii="Arial" w:hAnsi="Arial" w:cs="Arial"/>
                <w:sz w:val="20"/>
                <w:szCs w:val="20"/>
              </w:rPr>
              <w:t>sentada con mortero de cemento, aparejada, incluso replanteo, nivelación y aplomado, parte proporcional de enjarjes, merm</w:t>
            </w:r>
            <w:r w:rsidR="00397D79" w:rsidRPr="00397D79">
              <w:rPr>
                <w:rFonts w:ascii="Arial" w:hAnsi="Arial" w:cs="Arial"/>
                <w:sz w:val="20"/>
                <w:szCs w:val="20"/>
              </w:rPr>
              <w:t>as y roturas, humedecido de la parte de unión de los bloques</w:t>
            </w:r>
            <w:r w:rsidRPr="00397D79">
              <w:rPr>
                <w:rFonts w:ascii="Arial" w:hAnsi="Arial" w:cs="Arial"/>
                <w:sz w:val="20"/>
                <w:szCs w:val="20"/>
              </w:rPr>
              <w:t>.</w:t>
            </w:r>
          </w:p>
        </w:tc>
      </w:tr>
      <w:tr w:rsidR="006D3BCE" w:rsidRPr="00397D79" w14:paraId="7A3CF0F3" w14:textId="77777777" w:rsidTr="006D3BCE">
        <w:trPr>
          <w:jc w:val="center"/>
        </w:trPr>
        <w:tc>
          <w:tcPr>
            <w:tcW w:w="0" w:type="auto"/>
            <w:vAlign w:val="center"/>
          </w:tcPr>
          <w:p w14:paraId="7F6A7056" w14:textId="77777777" w:rsidR="006D3BCE" w:rsidRPr="00397D79" w:rsidRDefault="006D3BCE" w:rsidP="003907DA">
            <w:pPr>
              <w:widowControl w:val="0"/>
              <w:spacing w:before="120" w:after="120"/>
              <w:jc w:val="center"/>
              <w:rPr>
                <w:rFonts w:ascii="Arial" w:hAnsi="Arial" w:cs="Arial"/>
                <w:b/>
                <w:bCs/>
                <w:sz w:val="20"/>
                <w:szCs w:val="20"/>
              </w:rPr>
            </w:pPr>
            <w:r w:rsidRPr="00397D79">
              <w:rPr>
                <w:rFonts w:ascii="Arial" w:hAnsi="Arial" w:cs="Arial"/>
                <w:b/>
                <w:bCs/>
                <w:sz w:val="20"/>
                <w:szCs w:val="20"/>
              </w:rPr>
              <w:t>Abono</w:t>
            </w:r>
          </w:p>
        </w:tc>
        <w:tc>
          <w:tcPr>
            <w:tcW w:w="6413" w:type="dxa"/>
            <w:vAlign w:val="center"/>
          </w:tcPr>
          <w:p w14:paraId="316491DF" w14:textId="77777777" w:rsidR="006D3BCE" w:rsidRPr="00397D79" w:rsidRDefault="006D3BCE" w:rsidP="001205F7">
            <w:pPr>
              <w:widowControl w:val="0"/>
              <w:spacing w:before="120" w:after="120"/>
              <w:jc w:val="both"/>
              <w:rPr>
                <w:rFonts w:ascii="Arial" w:hAnsi="Arial" w:cs="Arial"/>
                <w:sz w:val="20"/>
                <w:szCs w:val="20"/>
              </w:rPr>
            </w:pPr>
            <w:r w:rsidRPr="00397D79">
              <w:rPr>
                <w:rFonts w:ascii="Arial" w:hAnsi="Arial" w:cs="Arial"/>
                <w:sz w:val="20"/>
                <w:szCs w:val="20"/>
              </w:rPr>
              <w:t>Se efectuará cuando se realice la aceptación.</w:t>
            </w:r>
          </w:p>
        </w:tc>
      </w:tr>
      <w:tr w:rsidR="006D3BCE" w:rsidRPr="00397D79" w14:paraId="16A73308" w14:textId="77777777" w:rsidTr="006D3BCE">
        <w:trPr>
          <w:jc w:val="center"/>
        </w:trPr>
        <w:tc>
          <w:tcPr>
            <w:tcW w:w="0" w:type="auto"/>
            <w:vAlign w:val="center"/>
          </w:tcPr>
          <w:p w14:paraId="0EF48B6C" w14:textId="77777777" w:rsidR="006D3BCE" w:rsidRPr="00397D79" w:rsidRDefault="006D3BCE" w:rsidP="003907DA">
            <w:pPr>
              <w:widowControl w:val="0"/>
              <w:spacing w:before="120" w:after="120"/>
              <w:jc w:val="center"/>
              <w:rPr>
                <w:rFonts w:ascii="Arial" w:hAnsi="Arial" w:cs="Arial"/>
                <w:b/>
                <w:bCs/>
                <w:sz w:val="20"/>
                <w:szCs w:val="20"/>
              </w:rPr>
            </w:pPr>
            <w:r w:rsidRPr="00397D79">
              <w:rPr>
                <w:rFonts w:ascii="Arial" w:hAnsi="Arial" w:cs="Arial"/>
                <w:b/>
                <w:bCs/>
                <w:sz w:val="20"/>
                <w:szCs w:val="20"/>
              </w:rPr>
              <w:t>Criterios complementarios</w:t>
            </w:r>
          </w:p>
        </w:tc>
        <w:tc>
          <w:tcPr>
            <w:tcW w:w="6413" w:type="dxa"/>
            <w:vAlign w:val="center"/>
          </w:tcPr>
          <w:p w14:paraId="56956C80" w14:textId="77777777" w:rsidR="006D3BCE" w:rsidRPr="00397D79" w:rsidRDefault="006D3BCE" w:rsidP="001205F7">
            <w:pPr>
              <w:widowControl w:val="0"/>
              <w:autoSpaceDE w:val="0"/>
              <w:autoSpaceDN w:val="0"/>
              <w:adjustRightInd w:val="0"/>
              <w:spacing w:before="120"/>
              <w:jc w:val="both"/>
              <w:rPr>
                <w:rFonts w:ascii="Arial" w:hAnsi="Arial" w:cs="Arial"/>
                <w:sz w:val="20"/>
                <w:szCs w:val="20"/>
              </w:rPr>
            </w:pPr>
            <w:r w:rsidRPr="00397D79">
              <w:rPr>
                <w:rFonts w:ascii="Arial" w:hAnsi="Arial" w:cs="Arial"/>
                <w:sz w:val="20"/>
                <w:szCs w:val="20"/>
              </w:rPr>
              <w:t xml:space="preserve">El precio incluye materiales, transporte y colocación, </w:t>
            </w:r>
            <w:r w:rsidR="00397D79" w:rsidRPr="00397D79">
              <w:rPr>
                <w:rFonts w:ascii="Arial" w:hAnsi="Arial" w:cs="Arial"/>
                <w:sz w:val="20"/>
                <w:szCs w:val="20"/>
              </w:rPr>
              <w:t>junt</w:t>
            </w:r>
            <w:r w:rsidRPr="00397D79">
              <w:rPr>
                <w:rFonts w:ascii="Arial" w:hAnsi="Arial" w:cs="Arial"/>
                <w:sz w:val="20"/>
                <w:szCs w:val="20"/>
              </w:rPr>
              <w:t>as de dilatación, además de todas las operaciones y medios auxiliares necesarios para la correcta ejecución.</w:t>
            </w:r>
          </w:p>
          <w:p w14:paraId="3D70422B" w14:textId="77777777" w:rsidR="00397D79" w:rsidRPr="00397D79" w:rsidRDefault="00397D79" w:rsidP="001205F7">
            <w:pPr>
              <w:widowControl w:val="0"/>
              <w:autoSpaceDE w:val="0"/>
              <w:autoSpaceDN w:val="0"/>
              <w:adjustRightInd w:val="0"/>
              <w:spacing w:before="120"/>
              <w:jc w:val="both"/>
              <w:rPr>
                <w:rFonts w:ascii="Arial" w:hAnsi="Arial" w:cs="Arial"/>
                <w:sz w:val="20"/>
                <w:szCs w:val="20"/>
              </w:rPr>
            </w:pPr>
            <w:r w:rsidRPr="00397D79">
              <w:rPr>
                <w:rFonts w:ascii="Arial" w:hAnsi="Arial" w:cs="Arial"/>
                <w:sz w:val="20"/>
                <w:szCs w:val="20"/>
              </w:rPr>
              <w:t xml:space="preserve">Incluye el mortero de rejuntado y relleno de </w:t>
            </w:r>
            <w:proofErr w:type="gramStart"/>
            <w:r w:rsidRPr="00397D79">
              <w:rPr>
                <w:rFonts w:ascii="Arial" w:hAnsi="Arial" w:cs="Arial"/>
                <w:sz w:val="20"/>
                <w:szCs w:val="20"/>
              </w:rPr>
              <w:t>juntas</w:t>
            </w:r>
            <w:proofErr w:type="gramEnd"/>
            <w:r w:rsidRPr="00397D79">
              <w:rPr>
                <w:rFonts w:ascii="Arial" w:hAnsi="Arial" w:cs="Arial"/>
                <w:sz w:val="20"/>
                <w:szCs w:val="20"/>
              </w:rPr>
              <w:t xml:space="preserve"> así como el hormigón del relleno de los huecos</w:t>
            </w:r>
          </w:p>
        </w:tc>
      </w:tr>
    </w:tbl>
    <w:p w14:paraId="275D715B" w14:textId="77777777" w:rsidR="00804F6A" w:rsidRPr="00397D79" w:rsidRDefault="00804F6A" w:rsidP="00804F6A">
      <w:pPr>
        <w:pStyle w:val="NORMAL12"/>
      </w:pPr>
    </w:p>
    <w:p w14:paraId="46D2736B" w14:textId="77777777" w:rsidR="00E83996" w:rsidRDefault="00E83996" w:rsidP="00E83996">
      <w:pPr>
        <w:pStyle w:val="TITU1"/>
        <w:rPr>
          <w:lang w:val="es-ES_tradnl"/>
        </w:rPr>
      </w:pPr>
      <w:bookmarkStart w:id="802" w:name="_Toc404451"/>
      <w:r w:rsidRPr="00132069">
        <w:rPr>
          <w:lang w:val="es-ES_tradnl"/>
        </w:rPr>
        <w:lastRenderedPageBreak/>
        <w:t>Artículo 645.</w:t>
      </w:r>
      <w:r w:rsidR="00371F52" w:rsidRPr="00132069">
        <w:rPr>
          <w:lang w:val="es-ES_tradnl"/>
        </w:rPr>
        <w:t xml:space="preserve"> </w:t>
      </w:r>
      <w:r w:rsidRPr="00132069">
        <w:rPr>
          <w:lang w:val="es-ES_tradnl"/>
        </w:rPr>
        <w:t xml:space="preserve"> </w:t>
      </w:r>
      <w:r w:rsidR="00804F6A" w:rsidRPr="00132069">
        <w:rPr>
          <w:lang w:val="es-ES_tradnl"/>
        </w:rPr>
        <w:t>Estructuras metálicas para pórticos y banderolas</w:t>
      </w:r>
      <w:bookmarkEnd w:id="802"/>
    </w:p>
    <w:p w14:paraId="12A2B507" w14:textId="77777777" w:rsidR="00E83996" w:rsidRPr="00371F52" w:rsidRDefault="00E83996" w:rsidP="000313DD">
      <w:pPr>
        <w:pStyle w:val="TITU2"/>
        <w:rPr>
          <w:lang w:val="es-ES_tradnl"/>
        </w:rPr>
      </w:pPr>
      <w:bookmarkStart w:id="803" w:name="_Toc404452"/>
      <w:r w:rsidRPr="00371F52">
        <w:rPr>
          <w:lang w:val="es-ES_tradnl"/>
        </w:rPr>
        <w:t>6</w:t>
      </w:r>
      <w:r w:rsidR="00804F6A" w:rsidRPr="00371F52">
        <w:rPr>
          <w:lang w:val="es-ES_tradnl"/>
        </w:rPr>
        <w:t>45</w:t>
      </w:r>
      <w:r w:rsidRPr="00371F52">
        <w:rPr>
          <w:lang w:val="es-ES_tradnl"/>
        </w:rPr>
        <w:t>.1.</w:t>
      </w:r>
      <w:r w:rsidR="00371F52" w:rsidRPr="00371F52">
        <w:rPr>
          <w:lang w:val="es-ES_tradnl"/>
        </w:rPr>
        <w:t xml:space="preserve"> </w:t>
      </w:r>
      <w:r w:rsidRPr="00371F52">
        <w:rPr>
          <w:lang w:val="es-ES_tradnl"/>
        </w:rPr>
        <w:tab/>
        <w:t>Definición</w:t>
      </w:r>
      <w:bookmarkEnd w:id="803"/>
    </w:p>
    <w:p w14:paraId="07078944" w14:textId="77777777" w:rsidR="00E83996" w:rsidRPr="00804F6A" w:rsidRDefault="00E83996" w:rsidP="00804F6A">
      <w:pPr>
        <w:spacing w:before="120" w:after="120" w:line="360" w:lineRule="auto"/>
        <w:jc w:val="both"/>
        <w:rPr>
          <w:rFonts w:ascii="Arial" w:hAnsi="Arial" w:cs="Arial"/>
        </w:rPr>
      </w:pPr>
      <w:r w:rsidRPr="00804F6A">
        <w:rPr>
          <w:rFonts w:ascii="Arial" w:hAnsi="Arial" w:cs="Arial"/>
        </w:rPr>
        <w:t>Se define como estructura de acero los elementos o conjuntos de elementos de acero que forman la parte resistente y sustentante de las estructuras.</w:t>
      </w:r>
    </w:p>
    <w:p w14:paraId="4729A043" w14:textId="77777777" w:rsidR="00E83996" w:rsidRPr="00804F6A" w:rsidRDefault="00E83996" w:rsidP="00804F6A">
      <w:pPr>
        <w:spacing w:before="120" w:after="120" w:line="360" w:lineRule="auto"/>
        <w:jc w:val="both"/>
        <w:rPr>
          <w:rFonts w:ascii="Arial" w:hAnsi="Arial" w:cs="Arial"/>
        </w:rPr>
      </w:pPr>
      <w:r w:rsidRPr="00804F6A">
        <w:rPr>
          <w:rFonts w:ascii="Arial" w:hAnsi="Arial" w:cs="Arial"/>
        </w:rPr>
        <w:t>Las unidades de obra contempladas en este Artículo consistirán en la ejecución de las estructuras de acero de los pórticos y banderolas de sustentación de carteles.</w:t>
      </w:r>
    </w:p>
    <w:p w14:paraId="22F60AC6" w14:textId="77777777" w:rsidR="00E83996" w:rsidRPr="00804F6A" w:rsidRDefault="00E83996" w:rsidP="00804F6A">
      <w:pPr>
        <w:spacing w:before="120" w:after="120" w:line="360" w:lineRule="auto"/>
        <w:jc w:val="both"/>
        <w:rPr>
          <w:rFonts w:ascii="Arial" w:hAnsi="Arial" w:cs="Arial"/>
        </w:rPr>
      </w:pPr>
      <w:r w:rsidRPr="00804F6A">
        <w:rPr>
          <w:rFonts w:ascii="Arial" w:hAnsi="Arial" w:cs="Arial"/>
        </w:rPr>
        <w:t>Todas las estructuras metálicas para pórticos y banderolas de nueva ejecución deberán ser calculadas por el Contratista adjudicatario, según se especifica en el presente Artículo.</w:t>
      </w:r>
    </w:p>
    <w:p w14:paraId="54081F00" w14:textId="77777777" w:rsidR="00E83996" w:rsidRPr="00371F52" w:rsidRDefault="00E83996" w:rsidP="000313DD">
      <w:pPr>
        <w:pStyle w:val="TITU2"/>
        <w:rPr>
          <w:lang w:val="es-ES_tradnl"/>
        </w:rPr>
      </w:pPr>
      <w:bookmarkStart w:id="804" w:name="_Toc404453"/>
      <w:r w:rsidRPr="00371F52">
        <w:rPr>
          <w:lang w:val="es-ES_tradnl"/>
        </w:rPr>
        <w:t>6</w:t>
      </w:r>
      <w:r w:rsidR="00036C21">
        <w:rPr>
          <w:lang w:val="es-ES_tradnl"/>
        </w:rPr>
        <w:t>45</w:t>
      </w:r>
      <w:r w:rsidRPr="00371F52">
        <w:rPr>
          <w:lang w:val="es-ES_tradnl"/>
        </w:rPr>
        <w:t>.2.</w:t>
      </w:r>
      <w:r w:rsidR="00371F52">
        <w:rPr>
          <w:lang w:val="es-ES_tradnl"/>
        </w:rPr>
        <w:t xml:space="preserve"> </w:t>
      </w:r>
      <w:r w:rsidRPr="00371F52">
        <w:rPr>
          <w:lang w:val="es-ES_tradnl"/>
        </w:rPr>
        <w:tab/>
        <w:t>Aplicación</w:t>
      </w:r>
      <w:bookmarkEnd w:id="804"/>
    </w:p>
    <w:p w14:paraId="569A315E" w14:textId="77777777" w:rsidR="00371F52" w:rsidRDefault="00371F52" w:rsidP="00371F52">
      <w:pPr>
        <w:pStyle w:val="NORMAL12"/>
        <w:rPr>
          <w:lang w:val="es-ES"/>
        </w:rPr>
      </w:pPr>
      <w:r w:rsidRPr="00132069">
        <w:rPr>
          <w:lang w:val="es-ES"/>
        </w:rPr>
        <w:t xml:space="preserve">Las prescripciones del presente artículo </w:t>
      </w:r>
      <w:proofErr w:type="gramStart"/>
      <w:r w:rsidRPr="00132069">
        <w:rPr>
          <w:lang w:val="es-ES"/>
        </w:rPr>
        <w:t>son de aplicación</w:t>
      </w:r>
      <w:proofErr w:type="gramEnd"/>
      <w:r w:rsidRPr="00132069">
        <w:rPr>
          <w:lang w:val="es-ES"/>
        </w:rPr>
        <w:t xml:space="preserve"> a las unidades de obra </w:t>
      </w:r>
      <w:r w:rsidRPr="005B79AD">
        <w:rPr>
          <w:lang w:val="es-ES"/>
        </w:rPr>
        <w:t>siguientes:</w:t>
      </w:r>
    </w:p>
    <w:p w14:paraId="7464D257" w14:textId="77777777" w:rsidR="00CF7652" w:rsidRPr="005B79AD" w:rsidRDefault="00CF7652" w:rsidP="00371F52">
      <w:pPr>
        <w:pStyle w:val="NORMAL12"/>
        <w:rPr>
          <w:lang w:val="es-ES"/>
        </w:rPr>
      </w:pPr>
    </w:p>
    <w:tbl>
      <w:tblPr>
        <w:tblW w:w="5000" w:type="pct"/>
        <w:tblCellMar>
          <w:left w:w="70" w:type="dxa"/>
          <w:right w:w="70" w:type="dxa"/>
        </w:tblCellMar>
        <w:tblLook w:val="04A0" w:firstRow="1" w:lastRow="0" w:firstColumn="1" w:lastColumn="0" w:noHBand="0" w:noVBand="1"/>
      </w:tblPr>
      <w:tblGrid>
        <w:gridCol w:w="1207"/>
        <w:gridCol w:w="639"/>
        <w:gridCol w:w="7507"/>
      </w:tblGrid>
      <w:tr w:rsidR="003907DA" w:rsidRPr="005B79AD" w14:paraId="678383C3" w14:textId="77777777" w:rsidTr="003907DA">
        <w:trPr>
          <w:trHeight w:val="300"/>
        </w:trPr>
        <w:tc>
          <w:tcPr>
            <w:tcW w:w="645" w:type="pct"/>
            <w:noWrap/>
            <w:hideMark/>
          </w:tcPr>
          <w:p w14:paraId="5AE642B9" w14:textId="77777777" w:rsidR="003907DA" w:rsidRPr="005B79AD" w:rsidRDefault="003907DA" w:rsidP="00755566">
            <w:pPr>
              <w:rPr>
                <w:rFonts w:ascii="Calibri" w:hAnsi="Calibri" w:cs="Calibri"/>
                <w:color w:val="000000"/>
              </w:rPr>
            </w:pPr>
            <w:r w:rsidRPr="005B79AD">
              <w:rPr>
                <w:rFonts w:ascii="Calibri" w:hAnsi="Calibri" w:cs="Calibri"/>
                <w:color w:val="000000"/>
              </w:rPr>
              <w:t xml:space="preserve">701.0320          </w:t>
            </w:r>
          </w:p>
        </w:tc>
        <w:tc>
          <w:tcPr>
            <w:tcW w:w="342" w:type="pct"/>
            <w:noWrap/>
            <w:hideMark/>
          </w:tcPr>
          <w:p w14:paraId="4E9A9B6F" w14:textId="77777777" w:rsidR="003907DA" w:rsidRPr="005B79AD" w:rsidRDefault="003907DA" w:rsidP="00755566">
            <w:pPr>
              <w:rPr>
                <w:rFonts w:ascii="Calibri" w:hAnsi="Calibri" w:cs="Calibri"/>
                <w:color w:val="000000"/>
              </w:rPr>
            </w:pPr>
            <w:proofErr w:type="spellStart"/>
            <w:r w:rsidRPr="005B79AD">
              <w:rPr>
                <w:rFonts w:ascii="Calibri" w:hAnsi="Calibri" w:cs="Calibri"/>
                <w:color w:val="000000"/>
              </w:rPr>
              <w:t>ud</w:t>
            </w:r>
            <w:proofErr w:type="spellEnd"/>
          </w:p>
        </w:tc>
        <w:tc>
          <w:tcPr>
            <w:tcW w:w="4013" w:type="pct"/>
            <w:hideMark/>
          </w:tcPr>
          <w:p w14:paraId="1C49BE34" w14:textId="77777777" w:rsidR="003907DA" w:rsidRPr="005B79AD" w:rsidRDefault="003907DA" w:rsidP="001205F7">
            <w:pPr>
              <w:jc w:val="both"/>
              <w:rPr>
                <w:rFonts w:ascii="Calibri" w:hAnsi="Calibri" w:cs="Calibri"/>
                <w:color w:val="000000"/>
              </w:rPr>
            </w:pPr>
            <w:r w:rsidRPr="005B79AD">
              <w:rPr>
                <w:rFonts w:ascii="Calibri" w:hAnsi="Calibri" w:cs="Calibri"/>
                <w:color w:val="000000"/>
              </w:rPr>
              <w:t>BANDEROLA DE ACERO GALVANIZADO DE HASTA 8,00 m DE BRAZO Y/O HASTA 35 m² DE CARTEL i/ EXCAVACIÓN, RELLENO, CIMENTACIÓN MEDIANTE HORMIGÓN ARMADO Y ANCLAJES Y TRANSPORTE A LUGAR DE EMPLEO, COMPLETAMENTE COLOCADA (SIN INCLUIR CARTEL).</w:t>
            </w:r>
          </w:p>
          <w:p w14:paraId="5412924D" w14:textId="77777777" w:rsidR="003907DA" w:rsidRPr="005B79AD" w:rsidRDefault="003907DA" w:rsidP="001205F7">
            <w:pPr>
              <w:jc w:val="both"/>
              <w:rPr>
                <w:rFonts w:ascii="Calibri" w:hAnsi="Calibri" w:cs="Calibri"/>
                <w:color w:val="000000"/>
              </w:rPr>
            </w:pPr>
          </w:p>
        </w:tc>
      </w:tr>
      <w:tr w:rsidR="003907DA" w:rsidRPr="005B79AD" w14:paraId="0717F228" w14:textId="77777777" w:rsidTr="003907DA">
        <w:trPr>
          <w:trHeight w:val="300"/>
        </w:trPr>
        <w:tc>
          <w:tcPr>
            <w:tcW w:w="645" w:type="pct"/>
            <w:noWrap/>
            <w:hideMark/>
          </w:tcPr>
          <w:p w14:paraId="3B62D058" w14:textId="77777777" w:rsidR="003907DA" w:rsidRPr="005B79AD" w:rsidRDefault="003907DA" w:rsidP="00755566">
            <w:pPr>
              <w:rPr>
                <w:rFonts w:ascii="Calibri" w:hAnsi="Calibri" w:cs="Calibri"/>
                <w:color w:val="000000"/>
              </w:rPr>
            </w:pPr>
            <w:r w:rsidRPr="005B79AD">
              <w:rPr>
                <w:rFonts w:ascii="Calibri" w:hAnsi="Calibri" w:cs="Calibri"/>
                <w:color w:val="000000"/>
              </w:rPr>
              <w:t xml:space="preserve">701.0321N         </w:t>
            </w:r>
          </w:p>
        </w:tc>
        <w:tc>
          <w:tcPr>
            <w:tcW w:w="342" w:type="pct"/>
            <w:noWrap/>
            <w:hideMark/>
          </w:tcPr>
          <w:p w14:paraId="58DF8726" w14:textId="77777777" w:rsidR="003907DA" w:rsidRPr="005B79AD" w:rsidRDefault="003907DA" w:rsidP="00755566">
            <w:pPr>
              <w:rPr>
                <w:rFonts w:ascii="Calibri" w:hAnsi="Calibri" w:cs="Calibri"/>
                <w:color w:val="000000"/>
              </w:rPr>
            </w:pPr>
            <w:proofErr w:type="spellStart"/>
            <w:r w:rsidRPr="005B79AD">
              <w:rPr>
                <w:rFonts w:ascii="Calibri" w:hAnsi="Calibri" w:cs="Calibri"/>
                <w:color w:val="000000"/>
              </w:rPr>
              <w:t>ud</w:t>
            </w:r>
            <w:proofErr w:type="spellEnd"/>
          </w:p>
        </w:tc>
        <w:tc>
          <w:tcPr>
            <w:tcW w:w="4013" w:type="pct"/>
            <w:hideMark/>
          </w:tcPr>
          <w:p w14:paraId="1250AC14" w14:textId="77777777" w:rsidR="003907DA" w:rsidRPr="005B79AD" w:rsidRDefault="003907DA" w:rsidP="001205F7">
            <w:pPr>
              <w:jc w:val="both"/>
              <w:rPr>
                <w:rFonts w:ascii="Calibri" w:hAnsi="Calibri" w:cs="Calibri"/>
                <w:color w:val="000000"/>
              </w:rPr>
            </w:pPr>
            <w:r w:rsidRPr="005B79AD">
              <w:rPr>
                <w:rFonts w:ascii="Calibri" w:hAnsi="Calibri" w:cs="Calibri"/>
                <w:color w:val="000000"/>
              </w:rPr>
              <w:t>BANDEROLA DE ACERO GALVANIZADO DE HASTA 9,00 m DE BRAZO Y/O HASTA 35 m² DE CARTEL i/ EXCAVACIÓN, RELLENO, CIMENTACIÓN MEDIANTE HORMIGÓN ARMADO Y ANCLAJES Y TRANSPORTE A LUGAR DE EMPLEO, COMPLETAMENTE COLOCADA (SIN INCLUIR CARTEL).</w:t>
            </w:r>
          </w:p>
          <w:p w14:paraId="3BE624A0" w14:textId="77777777" w:rsidR="003907DA" w:rsidRPr="005B79AD" w:rsidRDefault="003907DA" w:rsidP="001205F7">
            <w:pPr>
              <w:jc w:val="both"/>
              <w:rPr>
                <w:rFonts w:ascii="Calibri" w:hAnsi="Calibri" w:cs="Calibri"/>
                <w:color w:val="000000"/>
              </w:rPr>
            </w:pPr>
          </w:p>
        </w:tc>
      </w:tr>
      <w:tr w:rsidR="00371F52" w:rsidRPr="005B79AD" w14:paraId="540CA3F3" w14:textId="77777777" w:rsidTr="003907DA">
        <w:trPr>
          <w:trHeight w:val="300"/>
        </w:trPr>
        <w:tc>
          <w:tcPr>
            <w:tcW w:w="645" w:type="pct"/>
            <w:noWrap/>
            <w:hideMark/>
          </w:tcPr>
          <w:p w14:paraId="3CB1AED1" w14:textId="77777777" w:rsidR="00371F52" w:rsidRPr="005B79AD" w:rsidRDefault="00371F52" w:rsidP="00A8316A">
            <w:pPr>
              <w:rPr>
                <w:rFonts w:ascii="Calibri" w:hAnsi="Calibri" w:cs="Calibri"/>
                <w:color w:val="000000"/>
              </w:rPr>
            </w:pPr>
            <w:r w:rsidRPr="005B79AD">
              <w:rPr>
                <w:rFonts w:ascii="Calibri" w:hAnsi="Calibri" w:cs="Calibri"/>
                <w:color w:val="000000"/>
              </w:rPr>
              <w:t xml:space="preserve">701.0340          </w:t>
            </w:r>
          </w:p>
        </w:tc>
        <w:tc>
          <w:tcPr>
            <w:tcW w:w="342" w:type="pct"/>
            <w:noWrap/>
            <w:hideMark/>
          </w:tcPr>
          <w:p w14:paraId="078C49F1" w14:textId="77777777" w:rsidR="00371F52" w:rsidRPr="005B79AD" w:rsidRDefault="00371F52" w:rsidP="00A8316A">
            <w:pPr>
              <w:rPr>
                <w:rFonts w:ascii="Calibri" w:hAnsi="Calibri" w:cs="Calibri"/>
                <w:color w:val="000000"/>
              </w:rPr>
            </w:pPr>
            <w:proofErr w:type="spellStart"/>
            <w:r w:rsidRPr="005B79AD">
              <w:rPr>
                <w:rFonts w:ascii="Calibri" w:hAnsi="Calibri" w:cs="Calibri"/>
                <w:color w:val="000000"/>
              </w:rPr>
              <w:t>ud</w:t>
            </w:r>
            <w:proofErr w:type="spellEnd"/>
          </w:p>
        </w:tc>
        <w:tc>
          <w:tcPr>
            <w:tcW w:w="4013" w:type="pct"/>
            <w:hideMark/>
          </w:tcPr>
          <w:p w14:paraId="2BFD5701" w14:textId="77777777" w:rsidR="00371F52" w:rsidRPr="005B79AD" w:rsidRDefault="00371F52" w:rsidP="001205F7">
            <w:pPr>
              <w:jc w:val="both"/>
              <w:rPr>
                <w:rFonts w:ascii="Calibri" w:hAnsi="Calibri" w:cs="Calibri"/>
                <w:color w:val="000000"/>
              </w:rPr>
            </w:pPr>
            <w:r w:rsidRPr="005B79AD">
              <w:rPr>
                <w:rFonts w:ascii="Calibri" w:hAnsi="Calibri" w:cs="Calibri"/>
                <w:color w:val="000000"/>
              </w:rPr>
              <w:t>PÓRTICO DE ACERO GALVANIZADO DE HASTA 16,00 m DE LUZ Y HASTA 40 m² DE CARTEL i/ EXCAVACIÓN, RELLENO, CIMENTACIÓN MEDIANTE HORMIGÓN ARMADO Y ANCLAJES Y TRANSPORTE A LUGAR DE EMPLEO, COMPLETAMENTE COLOCADO (SIN INCLUIR CARTEL).</w:t>
            </w:r>
          </w:p>
          <w:p w14:paraId="30FF7A89" w14:textId="77777777" w:rsidR="00371F52" w:rsidRPr="005B79AD" w:rsidRDefault="00371F52" w:rsidP="001205F7">
            <w:pPr>
              <w:jc w:val="both"/>
              <w:rPr>
                <w:rFonts w:ascii="Calibri" w:hAnsi="Calibri" w:cs="Calibri"/>
                <w:color w:val="000000"/>
              </w:rPr>
            </w:pPr>
          </w:p>
        </w:tc>
      </w:tr>
      <w:tr w:rsidR="00371F52" w:rsidRPr="005B79AD" w14:paraId="571A7233" w14:textId="77777777" w:rsidTr="003907DA">
        <w:trPr>
          <w:trHeight w:val="701"/>
        </w:trPr>
        <w:tc>
          <w:tcPr>
            <w:tcW w:w="645" w:type="pct"/>
            <w:noWrap/>
          </w:tcPr>
          <w:p w14:paraId="03FA7460" w14:textId="77777777" w:rsidR="00371F52" w:rsidRPr="005B79AD" w:rsidRDefault="00371F52" w:rsidP="00A8316A">
            <w:pPr>
              <w:rPr>
                <w:rFonts w:ascii="Calibri" w:hAnsi="Calibri" w:cs="Calibri"/>
                <w:color w:val="000000"/>
              </w:rPr>
            </w:pPr>
            <w:r w:rsidRPr="005B79AD">
              <w:rPr>
                <w:rFonts w:ascii="Calibri" w:hAnsi="Calibri" w:cs="Calibri"/>
                <w:color w:val="000000"/>
              </w:rPr>
              <w:t xml:space="preserve">701.0360          </w:t>
            </w:r>
          </w:p>
        </w:tc>
        <w:tc>
          <w:tcPr>
            <w:tcW w:w="342" w:type="pct"/>
            <w:noWrap/>
          </w:tcPr>
          <w:p w14:paraId="3A4F4B36" w14:textId="77777777" w:rsidR="00371F52" w:rsidRPr="005B79AD" w:rsidRDefault="00371F52" w:rsidP="00A8316A">
            <w:pPr>
              <w:rPr>
                <w:rFonts w:ascii="Calibri" w:hAnsi="Calibri" w:cs="Calibri"/>
                <w:color w:val="000000"/>
              </w:rPr>
            </w:pPr>
            <w:proofErr w:type="spellStart"/>
            <w:r w:rsidRPr="005B79AD">
              <w:rPr>
                <w:rFonts w:ascii="Calibri" w:hAnsi="Calibri" w:cs="Calibri"/>
                <w:color w:val="000000"/>
              </w:rPr>
              <w:t>ud</w:t>
            </w:r>
            <w:proofErr w:type="spellEnd"/>
          </w:p>
        </w:tc>
        <w:tc>
          <w:tcPr>
            <w:tcW w:w="4013" w:type="pct"/>
          </w:tcPr>
          <w:p w14:paraId="0F052346" w14:textId="77777777" w:rsidR="00371F52" w:rsidRDefault="00371F52" w:rsidP="001205F7">
            <w:pPr>
              <w:jc w:val="both"/>
              <w:rPr>
                <w:rFonts w:ascii="Calibri" w:hAnsi="Calibri" w:cs="Calibri"/>
                <w:color w:val="000000"/>
              </w:rPr>
            </w:pPr>
            <w:r w:rsidRPr="005B79AD">
              <w:rPr>
                <w:rFonts w:ascii="Calibri" w:hAnsi="Calibri" w:cs="Calibri"/>
                <w:color w:val="000000"/>
              </w:rPr>
              <w:t>PÓRTICO DE ACERO GALVANIZADO DE HASTA 18,00 m DE LUZ Y HASTA 60 m² DE CARTEL i/ EXCAVACIÓN, RELLENO, CIMENTACIÓN MEDIANTE HORMIGÓN ARMADO Y ANCLAJES Y TRANSPORTE A LUGAR DE EMPLEO, COMPLETAMENTE COLOCADO (SIN INCLUIR CARTEL).</w:t>
            </w:r>
          </w:p>
          <w:p w14:paraId="5326E0F0" w14:textId="77777777" w:rsidR="00CF7652" w:rsidRPr="005B79AD" w:rsidRDefault="00CF7652" w:rsidP="001205F7">
            <w:pPr>
              <w:jc w:val="both"/>
              <w:rPr>
                <w:rFonts w:ascii="Calibri" w:hAnsi="Calibri" w:cs="Calibri"/>
                <w:color w:val="000000"/>
              </w:rPr>
            </w:pPr>
          </w:p>
          <w:p w14:paraId="15902CFC" w14:textId="77777777" w:rsidR="00371F52" w:rsidRPr="005B79AD" w:rsidRDefault="00371F52" w:rsidP="001205F7">
            <w:pPr>
              <w:jc w:val="both"/>
              <w:rPr>
                <w:rFonts w:ascii="Calibri" w:hAnsi="Calibri" w:cs="Calibri"/>
                <w:color w:val="000000"/>
              </w:rPr>
            </w:pPr>
          </w:p>
        </w:tc>
      </w:tr>
      <w:tr w:rsidR="00371F52" w:rsidRPr="005B79AD" w14:paraId="0502D977" w14:textId="77777777" w:rsidTr="003907DA">
        <w:trPr>
          <w:trHeight w:val="633"/>
        </w:trPr>
        <w:tc>
          <w:tcPr>
            <w:tcW w:w="645" w:type="pct"/>
            <w:noWrap/>
          </w:tcPr>
          <w:p w14:paraId="2C9BE047" w14:textId="77777777" w:rsidR="00371F52" w:rsidRPr="005B79AD" w:rsidRDefault="00371F52" w:rsidP="00A8316A">
            <w:pPr>
              <w:rPr>
                <w:rFonts w:ascii="Calibri" w:hAnsi="Calibri" w:cs="Calibri"/>
                <w:color w:val="000000"/>
              </w:rPr>
            </w:pPr>
            <w:r w:rsidRPr="005B79AD">
              <w:rPr>
                <w:rFonts w:ascii="Calibri" w:hAnsi="Calibri" w:cs="Calibri"/>
                <w:color w:val="000000"/>
              </w:rPr>
              <w:t xml:space="preserve">701.0370          </w:t>
            </w:r>
          </w:p>
        </w:tc>
        <w:tc>
          <w:tcPr>
            <w:tcW w:w="342" w:type="pct"/>
            <w:noWrap/>
          </w:tcPr>
          <w:p w14:paraId="72F7BDC9" w14:textId="77777777" w:rsidR="00371F52" w:rsidRPr="005B79AD" w:rsidRDefault="00371F52" w:rsidP="00A8316A">
            <w:pPr>
              <w:rPr>
                <w:rFonts w:ascii="Calibri" w:hAnsi="Calibri" w:cs="Calibri"/>
                <w:color w:val="000000"/>
              </w:rPr>
            </w:pPr>
            <w:proofErr w:type="spellStart"/>
            <w:r w:rsidRPr="005B79AD">
              <w:rPr>
                <w:rFonts w:ascii="Calibri" w:hAnsi="Calibri" w:cs="Calibri"/>
                <w:color w:val="000000"/>
              </w:rPr>
              <w:t>ud</w:t>
            </w:r>
            <w:proofErr w:type="spellEnd"/>
          </w:p>
        </w:tc>
        <w:tc>
          <w:tcPr>
            <w:tcW w:w="4013" w:type="pct"/>
          </w:tcPr>
          <w:p w14:paraId="2538B87D" w14:textId="77777777" w:rsidR="00371F52" w:rsidRPr="005B79AD" w:rsidRDefault="00371F52" w:rsidP="001205F7">
            <w:pPr>
              <w:jc w:val="both"/>
              <w:rPr>
                <w:rFonts w:ascii="Calibri" w:hAnsi="Calibri" w:cs="Calibri"/>
                <w:color w:val="000000"/>
              </w:rPr>
            </w:pPr>
            <w:r w:rsidRPr="005B79AD">
              <w:rPr>
                <w:rFonts w:ascii="Calibri" w:hAnsi="Calibri" w:cs="Calibri"/>
                <w:color w:val="000000"/>
              </w:rPr>
              <w:t>PÓRTICO DE ACERO GALVANIZADO DE HASTA 20,00 m DE LUZ Y HASTA 60 m² DE CARTEL i/ EXCAVACIÓN, RELLENO, CIMENTACIÓN MEDIANTE HORMIGÓN ARMADO Y ANCLAJES Y TRANSPORTE A LUGAR DE EMPLEO, COMPLETAMENTE COLOCADO (SIN INCLUIR CARTEL).</w:t>
            </w:r>
          </w:p>
          <w:p w14:paraId="0C0A5F9E" w14:textId="77777777" w:rsidR="00371F52" w:rsidRPr="005B79AD" w:rsidRDefault="00371F52" w:rsidP="001205F7">
            <w:pPr>
              <w:jc w:val="both"/>
              <w:rPr>
                <w:rFonts w:ascii="Calibri" w:hAnsi="Calibri" w:cs="Calibri"/>
                <w:color w:val="000000"/>
              </w:rPr>
            </w:pPr>
          </w:p>
        </w:tc>
      </w:tr>
      <w:tr w:rsidR="00371F52" w:rsidRPr="005B79AD" w14:paraId="131DF742" w14:textId="77777777" w:rsidTr="003907DA">
        <w:trPr>
          <w:trHeight w:val="649"/>
        </w:trPr>
        <w:tc>
          <w:tcPr>
            <w:tcW w:w="645" w:type="pct"/>
            <w:noWrap/>
          </w:tcPr>
          <w:p w14:paraId="595D4C06" w14:textId="77777777" w:rsidR="00371F52" w:rsidRPr="005B79AD" w:rsidRDefault="00371F52" w:rsidP="00A8316A">
            <w:pPr>
              <w:rPr>
                <w:rFonts w:ascii="Calibri" w:hAnsi="Calibri" w:cs="Calibri"/>
                <w:color w:val="000000"/>
              </w:rPr>
            </w:pPr>
            <w:r w:rsidRPr="005B79AD">
              <w:rPr>
                <w:rFonts w:ascii="Calibri" w:hAnsi="Calibri" w:cs="Calibri"/>
                <w:color w:val="000000"/>
              </w:rPr>
              <w:t xml:space="preserve">701.0380          </w:t>
            </w:r>
          </w:p>
        </w:tc>
        <w:tc>
          <w:tcPr>
            <w:tcW w:w="342" w:type="pct"/>
            <w:noWrap/>
          </w:tcPr>
          <w:p w14:paraId="6B3A58F2" w14:textId="77777777" w:rsidR="00371F52" w:rsidRPr="005B79AD" w:rsidRDefault="00371F52" w:rsidP="00A8316A">
            <w:pPr>
              <w:rPr>
                <w:rFonts w:ascii="Calibri" w:hAnsi="Calibri" w:cs="Calibri"/>
                <w:color w:val="000000"/>
              </w:rPr>
            </w:pPr>
            <w:proofErr w:type="spellStart"/>
            <w:r w:rsidRPr="005B79AD">
              <w:rPr>
                <w:rFonts w:ascii="Calibri" w:hAnsi="Calibri" w:cs="Calibri"/>
                <w:color w:val="000000"/>
              </w:rPr>
              <w:t>ud</w:t>
            </w:r>
            <w:proofErr w:type="spellEnd"/>
          </w:p>
        </w:tc>
        <w:tc>
          <w:tcPr>
            <w:tcW w:w="4013" w:type="pct"/>
          </w:tcPr>
          <w:p w14:paraId="387322CB" w14:textId="77777777" w:rsidR="00371F52" w:rsidRPr="005B79AD" w:rsidRDefault="00371F52" w:rsidP="001205F7">
            <w:pPr>
              <w:jc w:val="both"/>
              <w:rPr>
                <w:rFonts w:ascii="Calibri" w:hAnsi="Calibri" w:cs="Calibri"/>
                <w:color w:val="000000"/>
              </w:rPr>
            </w:pPr>
            <w:r w:rsidRPr="005B79AD">
              <w:rPr>
                <w:rFonts w:ascii="Calibri" w:hAnsi="Calibri" w:cs="Calibri"/>
                <w:color w:val="000000"/>
              </w:rPr>
              <w:t>PÓRTICO DE ACERO GALVANIZADO DE HASTA 22,00 m DE LUZ Y HASTA 60 m² DE CARTEL i/ EXCAVACIÓN, RELLENO, CIMENTACIÓN MEDIANTE HORMIGÓN ARMADO Y ANCLAJES Y TRANSPORTE A LUGAR DE EMPLEO, COMPLETAMENTE COLOCADO (SIN INCLUIR CARTEL).</w:t>
            </w:r>
          </w:p>
          <w:p w14:paraId="340A885C" w14:textId="77777777" w:rsidR="00371F52" w:rsidRPr="005B79AD" w:rsidRDefault="00371F52" w:rsidP="001205F7">
            <w:pPr>
              <w:jc w:val="both"/>
              <w:rPr>
                <w:rFonts w:ascii="Calibri" w:hAnsi="Calibri" w:cs="Calibri"/>
                <w:color w:val="000000"/>
              </w:rPr>
            </w:pPr>
          </w:p>
        </w:tc>
      </w:tr>
      <w:tr w:rsidR="00371F52" w:rsidRPr="005B79AD" w14:paraId="24E0A1CC" w14:textId="77777777" w:rsidTr="003907DA">
        <w:trPr>
          <w:trHeight w:val="509"/>
        </w:trPr>
        <w:tc>
          <w:tcPr>
            <w:tcW w:w="645" w:type="pct"/>
            <w:noWrap/>
          </w:tcPr>
          <w:p w14:paraId="7FA35D8A" w14:textId="77777777" w:rsidR="00371F52" w:rsidRPr="005B79AD" w:rsidRDefault="00371F52" w:rsidP="00A8316A">
            <w:pPr>
              <w:rPr>
                <w:rFonts w:ascii="Calibri" w:hAnsi="Calibri" w:cs="Calibri"/>
                <w:color w:val="000000"/>
              </w:rPr>
            </w:pPr>
            <w:r w:rsidRPr="005B79AD">
              <w:rPr>
                <w:rFonts w:ascii="Calibri" w:hAnsi="Calibri" w:cs="Calibri"/>
                <w:color w:val="000000"/>
              </w:rPr>
              <w:t xml:space="preserve">701.0331N         </w:t>
            </w:r>
          </w:p>
        </w:tc>
        <w:tc>
          <w:tcPr>
            <w:tcW w:w="342" w:type="pct"/>
            <w:noWrap/>
          </w:tcPr>
          <w:p w14:paraId="39486AAC" w14:textId="77777777" w:rsidR="00371F52" w:rsidRPr="005B79AD" w:rsidRDefault="00371F52" w:rsidP="00A8316A">
            <w:pPr>
              <w:rPr>
                <w:rFonts w:ascii="Calibri" w:hAnsi="Calibri" w:cs="Calibri"/>
                <w:color w:val="000000"/>
              </w:rPr>
            </w:pPr>
            <w:proofErr w:type="spellStart"/>
            <w:r w:rsidRPr="005B79AD">
              <w:rPr>
                <w:rFonts w:ascii="Calibri" w:hAnsi="Calibri" w:cs="Calibri"/>
                <w:color w:val="000000"/>
              </w:rPr>
              <w:t>ud</w:t>
            </w:r>
            <w:proofErr w:type="spellEnd"/>
          </w:p>
        </w:tc>
        <w:tc>
          <w:tcPr>
            <w:tcW w:w="4013" w:type="pct"/>
          </w:tcPr>
          <w:p w14:paraId="2A3125EC" w14:textId="77777777" w:rsidR="00371F52" w:rsidRPr="005B79AD" w:rsidRDefault="00371F52" w:rsidP="001205F7">
            <w:pPr>
              <w:jc w:val="both"/>
              <w:rPr>
                <w:rFonts w:ascii="Calibri" w:hAnsi="Calibri" w:cs="Calibri"/>
                <w:color w:val="000000"/>
              </w:rPr>
            </w:pPr>
            <w:r w:rsidRPr="005B79AD">
              <w:rPr>
                <w:rFonts w:ascii="Calibri" w:hAnsi="Calibri" w:cs="Calibri"/>
                <w:color w:val="000000"/>
              </w:rPr>
              <w:t>PÓRTICO DE ACERO GALVANIZADO DE HASTA 27,00 m DE LUZ Y HASTA 100 m² DE CARTEL i/ EXCAVACIÓN, RELLENO, CIMENTACIÓN MEDIANTE HORMIGÓN ARMADO Y ANCLAJES Y TRANSPORTE A LUGAR DE EMPLEO, COMPLETAMENTE COLOCADO (SIN INCLUIR CARTEL).</w:t>
            </w:r>
          </w:p>
          <w:p w14:paraId="3A88959E" w14:textId="77777777" w:rsidR="00371F52" w:rsidRPr="005B79AD" w:rsidRDefault="00371F52" w:rsidP="001205F7">
            <w:pPr>
              <w:jc w:val="both"/>
              <w:rPr>
                <w:rFonts w:ascii="Calibri" w:hAnsi="Calibri" w:cs="Calibri"/>
                <w:color w:val="000000"/>
              </w:rPr>
            </w:pPr>
          </w:p>
        </w:tc>
      </w:tr>
      <w:tr w:rsidR="00371F52" w:rsidRPr="005B79AD" w14:paraId="0100079A" w14:textId="77777777" w:rsidTr="003907DA">
        <w:trPr>
          <w:trHeight w:val="467"/>
        </w:trPr>
        <w:tc>
          <w:tcPr>
            <w:tcW w:w="645" w:type="pct"/>
            <w:noWrap/>
          </w:tcPr>
          <w:p w14:paraId="58ABC8F4" w14:textId="77777777" w:rsidR="00371F52" w:rsidRPr="005B79AD" w:rsidRDefault="00371F52" w:rsidP="00A8316A">
            <w:pPr>
              <w:rPr>
                <w:rFonts w:ascii="Calibri" w:hAnsi="Calibri" w:cs="Calibri"/>
                <w:color w:val="000000"/>
              </w:rPr>
            </w:pPr>
            <w:r w:rsidRPr="005B79AD">
              <w:rPr>
                <w:rFonts w:ascii="Calibri" w:hAnsi="Calibri" w:cs="Calibri"/>
                <w:color w:val="000000"/>
              </w:rPr>
              <w:t xml:space="preserve">701.0332N         </w:t>
            </w:r>
          </w:p>
        </w:tc>
        <w:tc>
          <w:tcPr>
            <w:tcW w:w="342" w:type="pct"/>
            <w:noWrap/>
          </w:tcPr>
          <w:p w14:paraId="51491B2C" w14:textId="77777777" w:rsidR="00371F52" w:rsidRPr="005B79AD" w:rsidRDefault="00371F52" w:rsidP="00A8316A">
            <w:pPr>
              <w:rPr>
                <w:rFonts w:ascii="Calibri" w:hAnsi="Calibri" w:cs="Calibri"/>
                <w:color w:val="000000"/>
              </w:rPr>
            </w:pPr>
            <w:proofErr w:type="spellStart"/>
            <w:r w:rsidRPr="005B79AD">
              <w:rPr>
                <w:rFonts w:ascii="Calibri" w:hAnsi="Calibri" w:cs="Calibri"/>
                <w:color w:val="000000"/>
              </w:rPr>
              <w:t>ud</w:t>
            </w:r>
            <w:proofErr w:type="spellEnd"/>
          </w:p>
        </w:tc>
        <w:tc>
          <w:tcPr>
            <w:tcW w:w="4013" w:type="pct"/>
          </w:tcPr>
          <w:p w14:paraId="7CA43B5A" w14:textId="77777777" w:rsidR="00371F52" w:rsidRPr="005B79AD" w:rsidRDefault="00371F52" w:rsidP="001205F7">
            <w:pPr>
              <w:jc w:val="both"/>
              <w:rPr>
                <w:rFonts w:ascii="Calibri" w:hAnsi="Calibri" w:cs="Calibri"/>
                <w:color w:val="000000"/>
              </w:rPr>
            </w:pPr>
            <w:r w:rsidRPr="005B79AD">
              <w:rPr>
                <w:rFonts w:ascii="Calibri" w:hAnsi="Calibri" w:cs="Calibri"/>
                <w:color w:val="000000"/>
              </w:rPr>
              <w:t>PÓRTICO DE ACERO GALVANIZADO DE HASTA 35,00 m DE LUZ Y HASTA 100 m² DE CARTEL i/ EXCAVACIÓN, RELLENO, CIMENTACIÓN MEDIANTE HORMIGÓN ARMADO Y ANCLAJES Y TRANSPORTE A LUGAR DE EMPLEO, COMPLETAMENTE COLOCADO (SIN INCLUIR CARTEL).</w:t>
            </w:r>
          </w:p>
          <w:p w14:paraId="4385D9C4" w14:textId="77777777" w:rsidR="00371F52" w:rsidRPr="005B79AD" w:rsidRDefault="00371F52" w:rsidP="001205F7">
            <w:pPr>
              <w:jc w:val="both"/>
              <w:rPr>
                <w:rFonts w:ascii="Calibri" w:hAnsi="Calibri" w:cs="Calibri"/>
                <w:color w:val="000000"/>
              </w:rPr>
            </w:pPr>
          </w:p>
        </w:tc>
      </w:tr>
      <w:tr w:rsidR="00371F52" w:rsidRPr="005864C2" w14:paraId="06305978" w14:textId="77777777" w:rsidTr="003907DA">
        <w:trPr>
          <w:trHeight w:val="387"/>
        </w:trPr>
        <w:tc>
          <w:tcPr>
            <w:tcW w:w="645" w:type="pct"/>
            <w:noWrap/>
          </w:tcPr>
          <w:p w14:paraId="793058C9" w14:textId="77777777" w:rsidR="00371F52" w:rsidRPr="005B79AD" w:rsidRDefault="00371F52" w:rsidP="00A8316A">
            <w:pPr>
              <w:rPr>
                <w:rFonts w:ascii="Calibri" w:hAnsi="Calibri" w:cs="Calibri"/>
                <w:color w:val="000000"/>
              </w:rPr>
            </w:pPr>
            <w:r w:rsidRPr="005B79AD">
              <w:rPr>
                <w:rFonts w:ascii="Calibri" w:hAnsi="Calibri" w:cs="Calibri"/>
                <w:color w:val="000000"/>
              </w:rPr>
              <w:t xml:space="preserve">701.0333N         </w:t>
            </w:r>
          </w:p>
        </w:tc>
        <w:tc>
          <w:tcPr>
            <w:tcW w:w="342" w:type="pct"/>
            <w:noWrap/>
          </w:tcPr>
          <w:p w14:paraId="4ECB1FEA" w14:textId="77777777" w:rsidR="00371F52" w:rsidRPr="005B79AD" w:rsidRDefault="00371F52" w:rsidP="00A8316A">
            <w:pPr>
              <w:rPr>
                <w:rFonts w:ascii="Calibri" w:hAnsi="Calibri" w:cs="Calibri"/>
                <w:color w:val="000000"/>
              </w:rPr>
            </w:pPr>
            <w:proofErr w:type="spellStart"/>
            <w:r w:rsidRPr="005B79AD">
              <w:rPr>
                <w:rFonts w:ascii="Calibri" w:hAnsi="Calibri" w:cs="Calibri"/>
                <w:color w:val="000000"/>
              </w:rPr>
              <w:t>ud</w:t>
            </w:r>
            <w:proofErr w:type="spellEnd"/>
          </w:p>
        </w:tc>
        <w:tc>
          <w:tcPr>
            <w:tcW w:w="4013" w:type="pct"/>
          </w:tcPr>
          <w:p w14:paraId="619433FD" w14:textId="77777777" w:rsidR="00371F52" w:rsidRDefault="00371F52" w:rsidP="001205F7">
            <w:pPr>
              <w:jc w:val="both"/>
              <w:rPr>
                <w:rFonts w:ascii="Calibri" w:hAnsi="Calibri" w:cs="Calibri"/>
                <w:color w:val="000000"/>
              </w:rPr>
            </w:pPr>
            <w:r w:rsidRPr="005B79AD">
              <w:rPr>
                <w:rFonts w:ascii="Calibri" w:hAnsi="Calibri" w:cs="Calibri"/>
                <w:color w:val="000000"/>
              </w:rPr>
              <w:t>PÓRTICO DE ACERO GALVANIZADO DE HASTA 38,00 m DE LUZ Y HASTA 100 m² DE CARTEL i/ EXCAVACIÓN, RELLENO, CIMENTACIÓN MEDIANTE HORMIGÓN ARMADO Y ANCLAJES Y TRANSPORTE A LUGAR DE EMPLEO, COMPLETAMENTE COLOCADO (SIN INCLUIR CARTEL).</w:t>
            </w:r>
          </w:p>
          <w:p w14:paraId="0D9B64E7" w14:textId="77777777" w:rsidR="00CF7652" w:rsidRPr="005B79AD" w:rsidRDefault="00CF7652" w:rsidP="001205F7">
            <w:pPr>
              <w:jc w:val="both"/>
              <w:rPr>
                <w:rFonts w:ascii="Calibri" w:hAnsi="Calibri" w:cs="Calibri"/>
                <w:color w:val="000000"/>
              </w:rPr>
            </w:pPr>
          </w:p>
          <w:p w14:paraId="1D7AAC4A" w14:textId="77777777" w:rsidR="00371F52" w:rsidRPr="005B79AD" w:rsidRDefault="00371F52" w:rsidP="001205F7">
            <w:pPr>
              <w:jc w:val="both"/>
              <w:rPr>
                <w:rFonts w:ascii="Calibri" w:hAnsi="Calibri" w:cs="Calibri"/>
                <w:color w:val="000000"/>
              </w:rPr>
            </w:pPr>
          </w:p>
        </w:tc>
      </w:tr>
    </w:tbl>
    <w:p w14:paraId="07E5081F" w14:textId="77777777" w:rsidR="00E83996" w:rsidRPr="00371F52" w:rsidRDefault="00371F52" w:rsidP="000313DD">
      <w:pPr>
        <w:pStyle w:val="TITU2"/>
        <w:rPr>
          <w:lang w:val="es-ES_tradnl"/>
        </w:rPr>
      </w:pPr>
      <w:bookmarkStart w:id="805" w:name="_Toc404454"/>
      <w:r>
        <w:rPr>
          <w:lang w:val="es-ES_tradnl"/>
        </w:rPr>
        <w:t>6</w:t>
      </w:r>
      <w:r w:rsidR="00036C21">
        <w:rPr>
          <w:lang w:val="es-ES_tradnl"/>
        </w:rPr>
        <w:t>45</w:t>
      </w:r>
      <w:r>
        <w:rPr>
          <w:lang w:val="es-ES_tradnl"/>
        </w:rPr>
        <w:t xml:space="preserve">.3. </w:t>
      </w:r>
      <w:r w:rsidR="00036C21">
        <w:rPr>
          <w:lang w:val="es-ES_tradnl"/>
        </w:rPr>
        <w:t xml:space="preserve"> </w:t>
      </w:r>
      <w:r>
        <w:rPr>
          <w:lang w:val="es-ES_tradnl"/>
        </w:rPr>
        <w:t>D</w:t>
      </w:r>
      <w:r w:rsidR="00E83996" w:rsidRPr="00371F52">
        <w:rPr>
          <w:lang w:val="es-ES_tradnl"/>
        </w:rPr>
        <w:t>escripción</w:t>
      </w:r>
      <w:bookmarkEnd w:id="805"/>
    </w:p>
    <w:p w14:paraId="78753139" w14:textId="77777777" w:rsidR="00E83996" w:rsidRPr="00371F52" w:rsidRDefault="00E83996" w:rsidP="00371F52">
      <w:pPr>
        <w:spacing w:before="120" w:after="120" w:line="360" w:lineRule="auto"/>
        <w:jc w:val="both"/>
        <w:rPr>
          <w:rFonts w:ascii="Arial" w:hAnsi="Arial" w:cs="Arial"/>
        </w:rPr>
      </w:pPr>
      <w:r w:rsidRPr="00371F52">
        <w:rPr>
          <w:rFonts w:ascii="Arial" w:hAnsi="Arial" w:cs="Arial"/>
        </w:rPr>
        <w:t>Los trabajos incluidos en las unidades de obra a las que aplica el presente Artículo son:</w:t>
      </w:r>
    </w:p>
    <w:p w14:paraId="42EE5F1A" w14:textId="77777777" w:rsidR="00E83996" w:rsidRPr="00371F52" w:rsidRDefault="00E8399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371F52">
        <w:rPr>
          <w:rFonts w:ascii="Arial" w:hAnsi="Arial" w:cs="Arial"/>
          <w:sz w:val="24"/>
          <w:szCs w:val="24"/>
          <w:lang w:val="es-ES_tradnl"/>
        </w:rPr>
        <w:t>Estudio detallado de la implantación del nuevo pórtico o banderola</w:t>
      </w:r>
    </w:p>
    <w:p w14:paraId="4DC34AFA" w14:textId="77777777" w:rsidR="00E83996" w:rsidRPr="00371F52" w:rsidRDefault="00E8399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371F52">
        <w:rPr>
          <w:rFonts w:ascii="Arial" w:hAnsi="Arial" w:cs="Arial"/>
          <w:sz w:val="24"/>
          <w:szCs w:val="24"/>
          <w:lang w:val="es-ES_tradnl"/>
        </w:rPr>
        <w:t>Cálculo estructural detallado de la estructura según normativa de aplicación.</w:t>
      </w:r>
    </w:p>
    <w:p w14:paraId="58202D30" w14:textId="77777777" w:rsidR="00E83996" w:rsidRPr="00371F52" w:rsidRDefault="00E8399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371F52">
        <w:rPr>
          <w:rFonts w:ascii="Arial" w:hAnsi="Arial" w:cs="Arial"/>
          <w:sz w:val="24"/>
          <w:szCs w:val="24"/>
          <w:lang w:val="es-ES_tradnl"/>
        </w:rPr>
        <w:t>Elaboración de los planos de detalle de las estructuras de sustentación, incluyendo la cimentación y la conexión con la estructura metálica.</w:t>
      </w:r>
    </w:p>
    <w:p w14:paraId="65727881" w14:textId="77777777" w:rsidR="00E83996" w:rsidRPr="00371F52" w:rsidRDefault="00E8399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371F52">
        <w:rPr>
          <w:rFonts w:ascii="Arial" w:hAnsi="Arial" w:cs="Arial"/>
          <w:sz w:val="24"/>
          <w:szCs w:val="24"/>
          <w:lang w:val="es-ES_tradnl"/>
        </w:rPr>
        <w:t>Suministro, ensamblaje e izado de las estructuras metálicas.</w:t>
      </w:r>
    </w:p>
    <w:p w14:paraId="7385E68B" w14:textId="77777777" w:rsidR="00E83996" w:rsidRPr="00371F52" w:rsidRDefault="00E8399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371F52">
        <w:rPr>
          <w:rFonts w:ascii="Arial" w:hAnsi="Arial" w:cs="Arial"/>
          <w:sz w:val="24"/>
          <w:szCs w:val="24"/>
          <w:lang w:val="es-ES_tradnl"/>
        </w:rPr>
        <w:t>Realización de los controles de calidad de ejecución de la estructura metálica</w:t>
      </w:r>
    </w:p>
    <w:p w14:paraId="72EA6219" w14:textId="77777777" w:rsidR="00E83996" w:rsidRPr="00371F52" w:rsidRDefault="00E83996" w:rsidP="000313DD">
      <w:pPr>
        <w:pStyle w:val="TITU2"/>
        <w:rPr>
          <w:lang w:val="es-ES_tradnl"/>
        </w:rPr>
      </w:pPr>
      <w:bookmarkStart w:id="806" w:name="_Toc404455"/>
      <w:r w:rsidRPr="00371F52">
        <w:rPr>
          <w:lang w:val="es-ES_tradnl"/>
        </w:rPr>
        <w:t>6</w:t>
      </w:r>
      <w:r w:rsidR="00036C21">
        <w:rPr>
          <w:lang w:val="es-ES_tradnl"/>
        </w:rPr>
        <w:t>45</w:t>
      </w:r>
      <w:r w:rsidRPr="00371F52">
        <w:rPr>
          <w:lang w:val="es-ES_tradnl"/>
        </w:rPr>
        <w:t>.4.</w:t>
      </w:r>
      <w:r w:rsidR="00036C21">
        <w:rPr>
          <w:lang w:val="es-ES_tradnl"/>
        </w:rPr>
        <w:t xml:space="preserve"> </w:t>
      </w:r>
      <w:r w:rsidRPr="00371F52">
        <w:rPr>
          <w:lang w:val="es-ES_tradnl"/>
        </w:rPr>
        <w:tab/>
        <w:t>Materiales</w:t>
      </w:r>
      <w:bookmarkEnd w:id="806"/>
    </w:p>
    <w:p w14:paraId="24C23FD0" w14:textId="77777777" w:rsidR="00E83996" w:rsidRPr="00371F52" w:rsidRDefault="00E83996" w:rsidP="00371F52">
      <w:pPr>
        <w:spacing w:before="120" w:after="120" w:line="360" w:lineRule="auto"/>
        <w:jc w:val="both"/>
        <w:rPr>
          <w:rFonts w:ascii="Arial" w:hAnsi="Arial" w:cs="Arial"/>
        </w:rPr>
      </w:pPr>
      <w:r w:rsidRPr="00371F52">
        <w:rPr>
          <w:rFonts w:ascii="Arial" w:hAnsi="Arial" w:cs="Arial"/>
        </w:rPr>
        <w:t xml:space="preserve">Las estructuras se fabrican con material base de calidad mínima S-275-JR </w:t>
      </w:r>
      <w:r w:rsidR="00D93E76" w:rsidRPr="00371F52">
        <w:rPr>
          <w:rFonts w:ascii="Arial" w:hAnsi="Arial" w:cs="Arial"/>
        </w:rPr>
        <w:t>o</w:t>
      </w:r>
      <w:r w:rsidRPr="00371F52">
        <w:rPr>
          <w:rFonts w:ascii="Arial" w:hAnsi="Arial" w:cs="Arial"/>
        </w:rPr>
        <w:t xml:space="preserve">, alternativamente, S-355-JR y uniones mediante juntas atornilladas. Cualquier otro </w:t>
      </w:r>
      <w:r w:rsidRPr="00371F52">
        <w:rPr>
          <w:rFonts w:ascii="Arial" w:hAnsi="Arial" w:cs="Arial"/>
        </w:rPr>
        <w:lastRenderedPageBreak/>
        <w:t xml:space="preserve">material para la estructura metálica deberá ser debidamente justificado técnicamente por el Contratista y sometido a la aprobación preceptiva de la Dirección de Obra. </w:t>
      </w:r>
    </w:p>
    <w:p w14:paraId="4B16C33D" w14:textId="77777777" w:rsidR="00E83996" w:rsidRPr="00371F52" w:rsidRDefault="00E83996" w:rsidP="00371F52">
      <w:pPr>
        <w:spacing w:before="120" w:after="120" w:line="360" w:lineRule="auto"/>
        <w:jc w:val="both"/>
        <w:rPr>
          <w:rFonts w:ascii="Arial" w:hAnsi="Arial" w:cs="Arial"/>
        </w:rPr>
      </w:pPr>
      <w:r w:rsidRPr="00371F52">
        <w:rPr>
          <w:rFonts w:ascii="Arial" w:hAnsi="Arial" w:cs="Arial"/>
        </w:rPr>
        <w:t>El pilar podrá ser de forma rectangular, o circular, de sección variable o constante en función de los esfuerzos a los que está sometido y de los desplazamientos permisibles máximos.</w:t>
      </w:r>
    </w:p>
    <w:p w14:paraId="434CC93C" w14:textId="77777777" w:rsidR="00E83996" w:rsidRPr="00371F52" w:rsidRDefault="00E83996" w:rsidP="00371F52">
      <w:pPr>
        <w:spacing w:before="120" w:after="120" w:line="360" w:lineRule="auto"/>
        <w:jc w:val="both"/>
        <w:rPr>
          <w:rFonts w:ascii="Arial" w:hAnsi="Arial" w:cs="Arial"/>
        </w:rPr>
      </w:pPr>
      <w:proofErr w:type="gramStart"/>
      <w:r w:rsidRPr="00371F52">
        <w:rPr>
          <w:rFonts w:ascii="Arial" w:hAnsi="Arial" w:cs="Arial"/>
        </w:rPr>
        <w:t>Los perfiles a utilizar</w:t>
      </w:r>
      <w:proofErr w:type="gramEnd"/>
      <w:r w:rsidRPr="00371F52">
        <w:rPr>
          <w:rFonts w:ascii="Arial" w:hAnsi="Arial" w:cs="Arial"/>
        </w:rPr>
        <w:t xml:space="preserve"> para las vigas serán generalmente perfiles conformados, aunque en algunos casos se podrán utilizar perfiles laminados (UPN) o perfiles de sección circular.</w:t>
      </w:r>
    </w:p>
    <w:p w14:paraId="73D0E6F9" w14:textId="77777777" w:rsidR="00E83996" w:rsidRPr="00371F52" w:rsidRDefault="00E83996" w:rsidP="00371F52">
      <w:pPr>
        <w:spacing w:before="120" w:after="120" w:line="360" w:lineRule="auto"/>
        <w:jc w:val="both"/>
        <w:rPr>
          <w:rFonts w:ascii="Arial" w:hAnsi="Arial" w:cs="Arial"/>
        </w:rPr>
      </w:pPr>
      <w:r w:rsidRPr="00371F52">
        <w:rPr>
          <w:rFonts w:ascii="Arial" w:hAnsi="Arial" w:cs="Arial"/>
        </w:rPr>
        <w:t xml:space="preserve">Las vigas serán, en general, de sección tubular o de perfiles cerrados </w:t>
      </w:r>
      <w:proofErr w:type="spellStart"/>
      <w:r w:rsidRPr="00371F52">
        <w:rPr>
          <w:rFonts w:ascii="Arial" w:hAnsi="Arial" w:cs="Arial"/>
        </w:rPr>
        <w:t>empresillados</w:t>
      </w:r>
      <w:proofErr w:type="spellEnd"/>
      <w:r w:rsidRPr="00371F52">
        <w:rPr>
          <w:rFonts w:ascii="Arial" w:hAnsi="Arial" w:cs="Arial"/>
        </w:rPr>
        <w:t xml:space="preserve"> y unidas entre sí mediante tubos cuadrados, todo ello según planos de definitorios realizados por el Contratista adjudicatario.</w:t>
      </w:r>
    </w:p>
    <w:p w14:paraId="3039D90A" w14:textId="77777777" w:rsidR="00E83996" w:rsidRPr="00371F52" w:rsidRDefault="00E83996" w:rsidP="00371F52">
      <w:pPr>
        <w:spacing w:before="120" w:after="120" w:line="360" w:lineRule="auto"/>
        <w:jc w:val="both"/>
        <w:rPr>
          <w:rFonts w:ascii="Arial" w:hAnsi="Arial" w:cs="Arial"/>
        </w:rPr>
      </w:pPr>
      <w:r w:rsidRPr="00371F52">
        <w:rPr>
          <w:rFonts w:ascii="Arial" w:hAnsi="Arial" w:cs="Arial"/>
        </w:rPr>
        <w:t>Cuando la Dirección de Obra no indique otra cosa, todos los elementos se suministrarán protegidos contra corrosión por galvanizado en caliente. La galvanización en caliente según UNE-EN 1461 es el tratamiento más utilizado para el acabado de este tipo de estructuras, ya que ofrece una elevada protección frente a la corrosión. El procedimiento de galvanización en caliente consiste fundamentalmente en la inmersión de los materiales de acero en zinc fundido a unos 450ºC. La película de zinc que se forma sobre el acero lo protege de dos maneras, protección de barrera y protección galvánica (catódica). Es esta última protección la que permite que los productos de acero puedan permanecer sin corrosión durante décadas. Esto se explica porque en presencia de humedad el zinc actúa como ánodo y el acero como cátodo, de manera que el zinc se corroe en una acción de sacrificio y evita que el acero se oxide.</w:t>
      </w:r>
    </w:p>
    <w:p w14:paraId="364834C4" w14:textId="77777777" w:rsidR="00E83996" w:rsidRPr="00371F52" w:rsidRDefault="00E83996" w:rsidP="00371F52">
      <w:pPr>
        <w:spacing w:before="120" w:after="120" w:line="360" w:lineRule="auto"/>
        <w:jc w:val="both"/>
        <w:rPr>
          <w:rFonts w:ascii="Arial" w:hAnsi="Arial" w:cs="Arial"/>
        </w:rPr>
      </w:pPr>
      <w:r w:rsidRPr="00371F52">
        <w:rPr>
          <w:rFonts w:ascii="Arial" w:hAnsi="Arial" w:cs="Arial"/>
        </w:rPr>
        <w:t xml:space="preserve">Todos los materiales laminados en caliente estarán documentados con certificado de calidad numéricos tipo 3.1.B. de acuerdo con la Norma UNE-36.801. En caso de no disponerse de estos certificados se </w:t>
      </w:r>
      <w:proofErr w:type="spellStart"/>
      <w:r w:rsidRPr="00371F52">
        <w:rPr>
          <w:rFonts w:ascii="Arial" w:hAnsi="Arial" w:cs="Arial"/>
        </w:rPr>
        <w:t>recepcionarán</w:t>
      </w:r>
      <w:proofErr w:type="spellEnd"/>
      <w:r w:rsidRPr="00371F52">
        <w:rPr>
          <w:rFonts w:ascii="Arial" w:hAnsi="Arial" w:cs="Arial"/>
        </w:rPr>
        <w:t xml:space="preserve"> los productos mediante toma de muestras y ensayos realizados según normas EAE y UNE correspondientes con cargo al Contratista.</w:t>
      </w:r>
    </w:p>
    <w:p w14:paraId="0B1D1EC5" w14:textId="77777777" w:rsidR="00E83996" w:rsidRPr="00371F52" w:rsidRDefault="00E83996" w:rsidP="00371F52">
      <w:pPr>
        <w:spacing w:before="120" w:after="120" w:line="360" w:lineRule="auto"/>
        <w:jc w:val="both"/>
        <w:rPr>
          <w:rFonts w:ascii="Arial" w:hAnsi="Arial" w:cs="Arial"/>
        </w:rPr>
      </w:pPr>
      <w:r w:rsidRPr="00371F52">
        <w:rPr>
          <w:rFonts w:ascii="Arial" w:hAnsi="Arial" w:cs="Arial"/>
        </w:rPr>
        <w:t>El resultado de esta inspección figurará en el certificado correspondiente.</w:t>
      </w:r>
    </w:p>
    <w:p w14:paraId="77321DB1" w14:textId="77777777" w:rsidR="00E83996" w:rsidRPr="00371F52" w:rsidRDefault="00E83996" w:rsidP="00371F52">
      <w:pPr>
        <w:spacing w:before="120" w:after="120" w:line="360" w:lineRule="auto"/>
        <w:jc w:val="both"/>
        <w:rPr>
          <w:rFonts w:ascii="Arial" w:hAnsi="Arial" w:cs="Arial"/>
          <w:i/>
          <w:u w:val="single"/>
        </w:rPr>
      </w:pPr>
      <w:r w:rsidRPr="00371F52">
        <w:rPr>
          <w:rFonts w:ascii="Arial" w:hAnsi="Arial" w:cs="Arial"/>
          <w:i/>
          <w:u w:val="single"/>
        </w:rPr>
        <w:t>Consumibles</w:t>
      </w:r>
    </w:p>
    <w:p w14:paraId="58A9FCFF" w14:textId="77777777" w:rsidR="00E83996" w:rsidRPr="00371F52" w:rsidRDefault="00E83996" w:rsidP="00371F52">
      <w:pPr>
        <w:spacing w:before="120" w:after="120" w:line="360" w:lineRule="auto"/>
        <w:jc w:val="both"/>
        <w:rPr>
          <w:rFonts w:ascii="Arial" w:hAnsi="Arial" w:cs="Arial"/>
        </w:rPr>
      </w:pPr>
      <w:r w:rsidRPr="00371F52">
        <w:rPr>
          <w:rFonts w:ascii="Arial" w:hAnsi="Arial" w:cs="Arial"/>
        </w:rPr>
        <w:t>Se requerirán de los fabricantes los correspondientes Certificados de Calidad con valores numéricos de análisis químico y valores mecánicos de cada partida suministrada, sobre probeta de metal depositado, que deben satisfacer todas las características mecánicas del acero a soldar.</w:t>
      </w:r>
    </w:p>
    <w:p w14:paraId="0C5B997B" w14:textId="77777777" w:rsidR="00E83996" w:rsidRPr="00371F52" w:rsidRDefault="00E83996" w:rsidP="00371F52">
      <w:pPr>
        <w:spacing w:before="120" w:after="120" w:line="360" w:lineRule="auto"/>
        <w:jc w:val="both"/>
        <w:rPr>
          <w:rFonts w:ascii="Arial" w:hAnsi="Arial" w:cs="Arial"/>
        </w:rPr>
      </w:pPr>
      <w:r w:rsidRPr="00371F52">
        <w:rPr>
          <w:rFonts w:ascii="Arial" w:hAnsi="Arial" w:cs="Arial"/>
        </w:rPr>
        <w:t xml:space="preserve">En cuanto al almacenamiento y utilización de </w:t>
      </w:r>
      <w:proofErr w:type="gramStart"/>
      <w:r w:rsidRPr="00371F52">
        <w:rPr>
          <w:rFonts w:ascii="Arial" w:hAnsi="Arial" w:cs="Arial"/>
        </w:rPr>
        <w:t>los mismos</w:t>
      </w:r>
      <w:proofErr w:type="gramEnd"/>
      <w:r w:rsidRPr="00371F52">
        <w:rPr>
          <w:rFonts w:ascii="Arial" w:hAnsi="Arial" w:cs="Arial"/>
        </w:rPr>
        <w:t>, se seguirán las indicaciones de los fabricantes.</w:t>
      </w:r>
    </w:p>
    <w:p w14:paraId="311BCB2B" w14:textId="77777777" w:rsidR="00E83996" w:rsidRPr="00371F52" w:rsidRDefault="00371F52" w:rsidP="000313DD">
      <w:pPr>
        <w:pStyle w:val="TITU2"/>
        <w:rPr>
          <w:lang w:val="es-ES_tradnl"/>
        </w:rPr>
      </w:pPr>
      <w:bookmarkStart w:id="807" w:name="_Toc404456"/>
      <w:r w:rsidRPr="00371F52">
        <w:rPr>
          <w:lang w:val="es-ES_tradnl"/>
        </w:rPr>
        <w:t>6</w:t>
      </w:r>
      <w:r w:rsidR="00036C21">
        <w:rPr>
          <w:lang w:val="es-ES_tradnl"/>
        </w:rPr>
        <w:t>45</w:t>
      </w:r>
      <w:r w:rsidRPr="00371F52">
        <w:rPr>
          <w:lang w:val="es-ES_tradnl"/>
        </w:rPr>
        <w:t>.5.</w:t>
      </w:r>
      <w:r w:rsidR="00E83996" w:rsidRPr="00371F52">
        <w:rPr>
          <w:lang w:val="es-ES_tradnl"/>
        </w:rPr>
        <w:tab/>
      </w:r>
      <w:r>
        <w:rPr>
          <w:lang w:val="es-ES_tradnl"/>
        </w:rPr>
        <w:t xml:space="preserve"> Ejecución de las obras</w:t>
      </w:r>
      <w:bookmarkEnd w:id="807"/>
    </w:p>
    <w:p w14:paraId="124DEF0A" w14:textId="77777777" w:rsidR="00E83996" w:rsidRPr="00036C21" w:rsidRDefault="00E83996" w:rsidP="00036C21">
      <w:pPr>
        <w:rPr>
          <w:rFonts w:ascii="Arial" w:hAnsi="Arial"/>
          <w:b/>
          <w:bCs/>
          <w:i/>
        </w:rPr>
      </w:pPr>
      <w:r w:rsidRPr="00036C21">
        <w:rPr>
          <w:rFonts w:ascii="Arial" w:hAnsi="Arial"/>
          <w:b/>
          <w:bCs/>
          <w:i/>
        </w:rPr>
        <w:t>6</w:t>
      </w:r>
      <w:r w:rsidR="00036C21" w:rsidRPr="00036C21">
        <w:rPr>
          <w:rFonts w:ascii="Arial" w:hAnsi="Arial"/>
          <w:b/>
          <w:bCs/>
          <w:i/>
        </w:rPr>
        <w:t>45</w:t>
      </w:r>
      <w:r w:rsidRPr="00036C21">
        <w:rPr>
          <w:rFonts w:ascii="Arial" w:hAnsi="Arial"/>
          <w:b/>
          <w:bCs/>
          <w:i/>
        </w:rPr>
        <w:t>.5.1</w:t>
      </w:r>
      <w:r w:rsidR="00371F52" w:rsidRPr="00036C21">
        <w:rPr>
          <w:rFonts w:ascii="Arial" w:hAnsi="Arial"/>
          <w:b/>
          <w:bCs/>
          <w:i/>
        </w:rPr>
        <w:t xml:space="preserve">. </w:t>
      </w:r>
      <w:r w:rsidRPr="00036C21">
        <w:rPr>
          <w:rFonts w:ascii="Arial" w:hAnsi="Arial"/>
          <w:b/>
          <w:bCs/>
          <w:i/>
        </w:rPr>
        <w:t>Formas y dimensiones</w:t>
      </w:r>
    </w:p>
    <w:p w14:paraId="52D811DF" w14:textId="77777777" w:rsidR="00E83996" w:rsidRPr="00371F52" w:rsidRDefault="00E83996" w:rsidP="00371F52">
      <w:pPr>
        <w:spacing w:before="120" w:after="120" w:line="360" w:lineRule="auto"/>
        <w:jc w:val="both"/>
        <w:rPr>
          <w:rFonts w:ascii="Arial" w:hAnsi="Arial"/>
        </w:rPr>
      </w:pPr>
      <w:r w:rsidRPr="00371F52">
        <w:rPr>
          <w:rFonts w:ascii="Arial" w:hAnsi="Arial"/>
        </w:rPr>
        <w:t>La forma y dimensiones de la estructura serán las señaladas en los cálculos realizados para cada una de las estructuras a disponer y en los planos elaborados al efecto por el Contratista adjudicatario.</w:t>
      </w:r>
    </w:p>
    <w:p w14:paraId="46327D8A" w14:textId="77777777" w:rsidR="00E83996" w:rsidRPr="00036C21" w:rsidRDefault="00371F52" w:rsidP="00036C21">
      <w:pPr>
        <w:rPr>
          <w:rFonts w:ascii="Arial" w:hAnsi="Arial"/>
          <w:b/>
          <w:bCs/>
          <w:i/>
        </w:rPr>
      </w:pPr>
      <w:r w:rsidRPr="00036C21">
        <w:rPr>
          <w:rFonts w:ascii="Arial" w:hAnsi="Arial"/>
          <w:b/>
          <w:bCs/>
          <w:i/>
        </w:rPr>
        <w:t>6</w:t>
      </w:r>
      <w:r w:rsidR="00036C21">
        <w:rPr>
          <w:rFonts w:ascii="Arial" w:hAnsi="Arial"/>
          <w:b/>
          <w:bCs/>
          <w:i/>
        </w:rPr>
        <w:t>45</w:t>
      </w:r>
      <w:r w:rsidRPr="00036C21">
        <w:rPr>
          <w:rFonts w:ascii="Arial" w:hAnsi="Arial"/>
          <w:b/>
          <w:bCs/>
          <w:i/>
        </w:rPr>
        <w:t xml:space="preserve">.5.2. </w:t>
      </w:r>
      <w:r w:rsidR="00E83996" w:rsidRPr="00036C21">
        <w:rPr>
          <w:rFonts w:ascii="Arial" w:hAnsi="Arial"/>
          <w:b/>
          <w:bCs/>
          <w:i/>
        </w:rPr>
        <w:t>Cálculos estructurales</w:t>
      </w:r>
    </w:p>
    <w:p w14:paraId="1A06F5B2" w14:textId="77777777" w:rsidR="00E83996" w:rsidRPr="00371F52" w:rsidRDefault="00E83996" w:rsidP="00371F52">
      <w:pPr>
        <w:spacing w:before="120" w:after="120" w:line="360" w:lineRule="auto"/>
        <w:jc w:val="both"/>
        <w:rPr>
          <w:rFonts w:ascii="Arial" w:hAnsi="Arial"/>
        </w:rPr>
      </w:pPr>
      <w:r w:rsidRPr="00371F52">
        <w:rPr>
          <w:rFonts w:ascii="Arial" w:hAnsi="Arial"/>
        </w:rPr>
        <w:t xml:space="preserve">El Contratista adjudicatario deberá realizar los cálculos estructurales de los nuevos pórticos y banderolas a disponer. </w:t>
      </w:r>
    </w:p>
    <w:p w14:paraId="180C69FC" w14:textId="77777777" w:rsidR="00E83996" w:rsidRPr="00371F52" w:rsidRDefault="00E83996" w:rsidP="00371F52">
      <w:pPr>
        <w:spacing w:before="120" w:after="120" w:line="360" w:lineRule="auto"/>
        <w:jc w:val="both"/>
        <w:rPr>
          <w:rFonts w:ascii="Arial" w:hAnsi="Arial" w:cs="Arial"/>
        </w:rPr>
      </w:pPr>
      <w:r w:rsidRPr="00371F52">
        <w:rPr>
          <w:rFonts w:ascii="Arial" w:hAnsi="Arial"/>
        </w:rPr>
        <w:t xml:space="preserve">El diseño y cálculo de las estructuras se realiza por medio de programas informáticos en base a lo indicado en la norma UNE 135311 (Señalización vertical. Elementos de sustentación y anclaje. Hipótesis de cálculo). Dicha norma establece los criterios de </w:t>
      </w:r>
      <w:r w:rsidRPr="00371F52">
        <w:rPr>
          <w:rFonts w:ascii="Arial" w:hAnsi="Arial" w:cs="Arial"/>
        </w:rPr>
        <w:t xml:space="preserve">cálculo y dimensionado de banderolas y pórticos. </w:t>
      </w:r>
      <w:proofErr w:type="gramStart"/>
      <w:r w:rsidRPr="00371F52">
        <w:rPr>
          <w:rFonts w:ascii="Arial" w:hAnsi="Arial" w:cs="Arial"/>
        </w:rPr>
        <w:t>Las cargas a considerar</w:t>
      </w:r>
      <w:proofErr w:type="gramEnd"/>
      <w:r w:rsidRPr="00371F52">
        <w:rPr>
          <w:rFonts w:ascii="Arial" w:hAnsi="Arial" w:cs="Arial"/>
        </w:rPr>
        <w:t xml:space="preserve"> para este tipo de estructuras son:</w:t>
      </w:r>
    </w:p>
    <w:p w14:paraId="2F4AA47E" w14:textId="77777777" w:rsidR="00E83996" w:rsidRPr="008D673E" w:rsidRDefault="00E8399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D673E">
        <w:rPr>
          <w:rFonts w:ascii="Arial" w:hAnsi="Arial" w:cs="Arial"/>
          <w:sz w:val="24"/>
          <w:szCs w:val="24"/>
          <w:lang w:val="es-ES_tradnl"/>
        </w:rPr>
        <w:t>Peso propio</w:t>
      </w:r>
    </w:p>
    <w:p w14:paraId="5D95353C" w14:textId="77777777" w:rsidR="00E83996" w:rsidRPr="008D673E" w:rsidRDefault="00E8399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D673E">
        <w:rPr>
          <w:rFonts w:ascii="Arial" w:hAnsi="Arial" w:cs="Arial"/>
          <w:sz w:val="24"/>
          <w:szCs w:val="24"/>
          <w:lang w:val="es-ES_tradnl"/>
        </w:rPr>
        <w:t>Sobrecarga de utilización.</w:t>
      </w:r>
    </w:p>
    <w:p w14:paraId="4028393B" w14:textId="77777777" w:rsidR="00E83996" w:rsidRPr="008D673E" w:rsidRDefault="00E8399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D673E">
        <w:rPr>
          <w:rFonts w:ascii="Arial" w:hAnsi="Arial" w:cs="Arial"/>
          <w:sz w:val="24"/>
          <w:szCs w:val="24"/>
          <w:lang w:val="es-ES_tradnl"/>
        </w:rPr>
        <w:t>Viento. Debido al efecto eólico se considerará una sobrecarga unitaria de viento de 1.500N/m</w:t>
      </w:r>
      <w:r w:rsidRPr="00E34DE7">
        <w:rPr>
          <w:rFonts w:ascii="Arial" w:hAnsi="Arial" w:cs="Arial"/>
          <w:sz w:val="24"/>
          <w:szCs w:val="24"/>
          <w:vertAlign w:val="superscript"/>
          <w:lang w:val="es-ES_tradnl"/>
        </w:rPr>
        <w:t>2</w:t>
      </w:r>
      <w:r w:rsidRPr="008D673E">
        <w:rPr>
          <w:rFonts w:ascii="Arial" w:hAnsi="Arial" w:cs="Arial"/>
          <w:sz w:val="24"/>
          <w:szCs w:val="24"/>
          <w:lang w:val="es-ES_tradnl"/>
        </w:rPr>
        <w:t>, como suma de presión más succión, actuando perpendicularmente a los carteles sobre una de sus caras.</w:t>
      </w:r>
    </w:p>
    <w:p w14:paraId="62285EA1" w14:textId="77777777" w:rsidR="00E83996" w:rsidRPr="008D673E" w:rsidRDefault="00E83996" w:rsidP="00221E1A">
      <w:pPr>
        <w:pStyle w:val="Prrafodelista"/>
        <w:numPr>
          <w:ilvl w:val="0"/>
          <w:numId w:val="180"/>
        </w:numPr>
        <w:tabs>
          <w:tab w:val="left" w:pos="284"/>
        </w:tabs>
        <w:spacing w:before="120" w:after="120" w:line="360" w:lineRule="auto"/>
        <w:jc w:val="both"/>
        <w:rPr>
          <w:rFonts w:ascii="Arial" w:hAnsi="Arial" w:cs="Arial"/>
          <w:sz w:val="24"/>
          <w:szCs w:val="24"/>
          <w:lang w:val="es-ES_tradnl"/>
        </w:rPr>
      </w:pPr>
      <w:r w:rsidRPr="008D673E">
        <w:rPr>
          <w:rFonts w:ascii="Arial" w:hAnsi="Arial" w:cs="Arial"/>
          <w:sz w:val="24"/>
          <w:szCs w:val="24"/>
          <w:lang w:val="es-ES_tradnl"/>
        </w:rPr>
        <w:t>Variación térmica de ±30°C uniforme en todas las barras.</w:t>
      </w:r>
    </w:p>
    <w:p w14:paraId="41C32A4B" w14:textId="77777777" w:rsidR="00E83996" w:rsidRPr="00E032E2" w:rsidRDefault="00E83996" w:rsidP="00371F52">
      <w:pPr>
        <w:spacing w:before="120" w:after="120" w:line="360" w:lineRule="auto"/>
        <w:jc w:val="both"/>
        <w:rPr>
          <w:rFonts w:ascii="Arial" w:hAnsi="Arial"/>
          <w:sz w:val="22"/>
          <w:szCs w:val="20"/>
        </w:rPr>
      </w:pPr>
      <w:r w:rsidRPr="00371F52">
        <w:rPr>
          <w:rFonts w:ascii="Arial" w:hAnsi="Arial" w:cs="Arial"/>
        </w:rPr>
        <w:t>Los desplazamientos máximos permitidos quedan recogidos en las Tablas 1 y 2 para banderolas; y Tablas 3 y 4 para pórticos según norma UNE 135311.</w:t>
      </w:r>
    </w:p>
    <w:p w14:paraId="773A56FC" w14:textId="77777777" w:rsidR="00E83996" w:rsidRPr="00036C21" w:rsidRDefault="008D673E" w:rsidP="00036C21">
      <w:pPr>
        <w:rPr>
          <w:rFonts w:ascii="Arial" w:hAnsi="Arial"/>
          <w:b/>
          <w:bCs/>
          <w:i/>
        </w:rPr>
      </w:pPr>
      <w:r w:rsidRPr="00036C21">
        <w:rPr>
          <w:rFonts w:ascii="Arial" w:hAnsi="Arial"/>
          <w:b/>
          <w:bCs/>
          <w:i/>
        </w:rPr>
        <w:t>6</w:t>
      </w:r>
      <w:r w:rsidR="00036C21" w:rsidRPr="00036C21">
        <w:rPr>
          <w:rFonts w:ascii="Arial" w:hAnsi="Arial"/>
          <w:b/>
          <w:bCs/>
          <w:i/>
        </w:rPr>
        <w:t>45</w:t>
      </w:r>
      <w:r w:rsidRPr="00036C21">
        <w:rPr>
          <w:rFonts w:ascii="Arial" w:hAnsi="Arial"/>
          <w:b/>
          <w:bCs/>
          <w:i/>
        </w:rPr>
        <w:t xml:space="preserve">.5.3. </w:t>
      </w:r>
      <w:r w:rsidR="00E83996" w:rsidRPr="00036C21">
        <w:rPr>
          <w:rFonts w:ascii="Arial" w:hAnsi="Arial"/>
          <w:b/>
          <w:bCs/>
          <w:i/>
        </w:rPr>
        <w:t>Condiciones generales de ejecución</w:t>
      </w:r>
    </w:p>
    <w:p w14:paraId="1427F64A" w14:textId="77777777" w:rsidR="00E83996" w:rsidRPr="008D673E" w:rsidRDefault="00E83996" w:rsidP="008D673E">
      <w:pPr>
        <w:spacing w:before="120" w:after="120" w:line="360" w:lineRule="auto"/>
        <w:jc w:val="both"/>
        <w:rPr>
          <w:rFonts w:ascii="Arial" w:hAnsi="Arial" w:cs="Arial"/>
        </w:rPr>
      </w:pPr>
      <w:r w:rsidRPr="008D673E">
        <w:rPr>
          <w:rFonts w:ascii="Arial" w:hAnsi="Arial" w:cs="Arial"/>
        </w:rPr>
        <w:lastRenderedPageBreak/>
        <w:t>Partiendo de los planos y cálculos estructurales realizados por el Contratista adjudicatario, el Taller Metálico encargado de la construcción de la estructura metálica estará obligado a:</w:t>
      </w:r>
    </w:p>
    <w:p w14:paraId="5C20285B"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La realización de los planos de taller y montaje precisos.</w:t>
      </w:r>
    </w:p>
    <w:p w14:paraId="58B92318"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Suministrar todos los materiales y elementos de unión necesarios para la fabricación de la estructura.</w:t>
      </w:r>
    </w:p>
    <w:p w14:paraId="5184291C"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 xml:space="preserve">La ejecución de la estructura en taller. </w:t>
      </w:r>
    </w:p>
    <w:p w14:paraId="5629E565"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El chorreado y protección anticorrosión de la estructura.</w:t>
      </w:r>
    </w:p>
    <w:p w14:paraId="205245CF"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 xml:space="preserve">La expedición y transporte de </w:t>
      </w:r>
      <w:proofErr w:type="gramStart"/>
      <w:r w:rsidRPr="008D673E">
        <w:rPr>
          <w:rFonts w:ascii="Arial" w:hAnsi="Arial" w:cs="Arial"/>
          <w:sz w:val="24"/>
          <w:szCs w:val="24"/>
        </w:rPr>
        <w:t>la misma</w:t>
      </w:r>
      <w:proofErr w:type="gramEnd"/>
      <w:r w:rsidRPr="008D673E">
        <w:rPr>
          <w:rFonts w:ascii="Arial" w:hAnsi="Arial" w:cs="Arial"/>
          <w:sz w:val="24"/>
          <w:szCs w:val="24"/>
        </w:rPr>
        <w:t xml:space="preserve"> hasta la obra. </w:t>
      </w:r>
    </w:p>
    <w:p w14:paraId="0F4CE22E"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El montaje de la estructura en obra.</w:t>
      </w:r>
    </w:p>
    <w:p w14:paraId="138DB93C"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La aportación y colocación de todos los andamios y elementos de elevación y auxiliares que sean necesarios, tanto para el montaje como para la realización de la función inspectora.</w:t>
      </w:r>
    </w:p>
    <w:p w14:paraId="3F07E0F4"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Suministrar todos aquellos elementos de la estructura que hayan de quedar anclados o embebidos en la parte no metálica, incluidos los correspondientes espárragos o pernos de anclaje.</w:t>
      </w:r>
    </w:p>
    <w:p w14:paraId="2C4DC649"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Efectuar los montajes en blanco totales o parciales precisos para asegurar que el ensamble entre las distintas partes de la estructura no presentará dificultades anormales en el momento del montaje definitivo, haciéndose responsable de las que puedan surgir.</w:t>
      </w:r>
    </w:p>
    <w:p w14:paraId="3EBCA999"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Marcar de forma clara e indeleble todas las partes de la estructura antes de expedirla a obra, registrando estas marcas en los Planos de montaje.</w:t>
      </w:r>
    </w:p>
    <w:p w14:paraId="66C32C92"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 xml:space="preserve">Suministrar y remitir con la estructura, debidamente embalados y clasificados, todos los elementos precisos para realizar las uniones de montaje, con excepción de los electrodos que se requieran para efectuar las posibles soldaduras de obra, pero en los planos de montaje indicará la calidad y tipo de electrodos recomendados, previa aprobación del </w:t>
      </w:r>
      <w:proofErr w:type="gramStart"/>
      <w:r w:rsidRPr="008D673E">
        <w:rPr>
          <w:rFonts w:ascii="Arial" w:hAnsi="Arial" w:cs="Arial"/>
          <w:sz w:val="24"/>
          <w:szCs w:val="24"/>
        </w:rPr>
        <w:t>Director</w:t>
      </w:r>
      <w:proofErr w:type="gramEnd"/>
      <w:r w:rsidR="00132069">
        <w:rPr>
          <w:rFonts w:ascii="Arial" w:hAnsi="Arial" w:cs="Arial"/>
          <w:sz w:val="24"/>
          <w:szCs w:val="24"/>
        </w:rPr>
        <w:t xml:space="preserve"> de Obra</w:t>
      </w:r>
      <w:r w:rsidRPr="008D673E">
        <w:rPr>
          <w:rFonts w:ascii="Arial" w:hAnsi="Arial" w:cs="Arial"/>
          <w:sz w:val="24"/>
          <w:szCs w:val="24"/>
        </w:rPr>
        <w:t>.</w:t>
      </w:r>
    </w:p>
    <w:p w14:paraId="6891BCA5"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Presentar los certificados de calidad correspondientes a los materiales base y de aportación empleados.</w:t>
      </w:r>
    </w:p>
    <w:p w14:paraId="39FEFD74"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Homologar a los soldadores.</w:t>
      </w:r>
    </w:p>
    <w:p w14:paraId="064E1A1E"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Homologar los procedimientos de soldadura.</w:t>
      </w:r>
    </w:p>
    <w:p w14:paraId="7D4CB59B"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 xml:space="preserve">Realizar el Control de Calidad de fabricación y montaje de la estructura y suministrar a la Dirección de Obra los resultados </w:t>
      </w:r>
      <w:proofErr w:type="gramStart"/>
      <w:r w:rsidRPr="008D673E">
        <w:rPr>
          <w:rFonts w:ascii="Arial" w:hAnsi="Arial" w:cs="Arial"/>
          <w:sz w:val="24"/>
          <w:szCs w:val="24"/>
        </w:rPr>
        <w:t>del mismo</w:t>
      </w:r>
      <w:proofErr w:type="gramEnd"/>
      <w:r w:rsidRPr="008D673E">
        <w:rPr>
          <w:rFonts w:ascii="Arial" w:hAnsi="Arial" w:cs="Arial"/>
          <w:sz w:val="24"/>
          <w:szCs w:val="24"/>
        </w:rPr>
        <w:t>.</w:t>
      </w:r>
    </w:p>
    <w:p w14:paraId="02DFEACE"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Permitir la realización del Control de Calidad en los Talleres por el personal inspector de la Propiedad.</w:t>
      </w:r>
    </w:p>
    <w:p w14:paraId="633F9F19"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Elaborar un programa de fabricación acomodándose a los ritmos y plazos de suministro estipulados.</w:t>
      </w:r>
    </w:p>
    <w:p w14:paraId="1AC7801E"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 xml:space="preserve">En el caso de que el Contratista principal quiera subcontratar parte o la totalidad de estos trabajos a talleres ajenos al propio Contratista, deberá demostrar, a satisfacción del </w:t>
      </w:r>
      <w:proofErr w:type="gramStart"/>
      <w:r w:rsidRPr="008D673E">
        <w:rPr>
          <w:rFonts w:ascii="Arial" w:hAnsi="Arial" w:cs="Arial"/>
          <w:sz w:val="24"/>
          <w:szCs w:val="24"/>
        </w:rPr>
        <w:t>Director</w:t>
      </w:r>
      <w:proofErr w:type="gramEnd"/>
      <w:r w:rsidRPr="008D673E">
        <w:rPr>
          <w:rFonts w:ascii="Arial" w:hAnsi="Arial" w:cs="Arial"/>
          <w:sz w:val="24"/>
          <w:szCs w:val="24"/>
        </w:rPr>
        <w:t xml:space="preserve"> de Obra, que la empresa propuesta para la subcontrata posee personal técnico y obrero experimentado en esta clase de obras, así como los elementos materiales y maquinaria necesarios para realizarlas. En este caso, será imprescindible la aprobación previa por escrito del </w:t>
      </w:r>
      <w:proofErr w:type="gramStart"/>
      <w:r w:rsidRPr="008D673E">
        <w:rPr>
          <w:rFonts w:ascii="Arial" w:hAnsi="Arial" w:cs="Arial"/>
          <w:sz w:val="24"/>
          <w:szCs w:val="24"/>
        </w:rPr>
        <w:t>Director</w:t>
      </w:r>
      <w:proofErr w:type="gramEnd"/>
      <w:r w:rsidRPr="008D673E">
        <w:rPr>
          <w:rFonts w:ascii="Arial" w:hAnsi="Arial" w:cs="Arial"/>
          <w:sz w:val="24"/>
          <w:szCs w:val="24"/>
        </w:rPr>
        <w:t xml:space="preserve"> de Obra de la Administración del taller que el Contratista pretende subcontratar.</w:t>
      </w:r>
    </w:p>
    <w:p w14:paraId="728AB6F1" w14:textId="77777777" w:rsidR="00E83996" w:rsidRPr="008D673E" w:rsidRDefault="00E83996" w:rsidP="00661A5F">
      <w:pPr>
        <w:pStyle w:val="Prrafodelista"/>
        <w:numPr>
          <w:ilvl w:val="0"/>
          <w:numId w:val="216"/>
        </w:numPr>
        <w:spacing w:before="120" w:after="120" w:line="360" w:lineRule="auto"/>
        <w:jc w:val="both"/>
        <w:rPr>
          <w:rFonts w:ascii="Arial" w:hAnsi="Arial" w:cs="Arial"/>
          <w:sz w:val="24"/>
          <w:szCs w:val="24"/>
        </w:rPr>
      </w:pPr>
      <w:r w:rsidRPr="008D673E">
        <w:rPr>
          <w:rFonts w:ascii="Arial" w:hAnsi="Arial" w:cs="Arial"/>
          <w:sz w:val="24"/>
          <w:szCs w:val="24"/>
        </w:rPr>
        <w:t xml:space="preserve">Tanto durante el proceso de ejecución en taller, como durante el montaje en obra, el Contratista estará obligado a mantener permanentemente en el mismo, durante la jornada de trabajo, un técnico responsable. Dentro de la jornada laboral y durante el período de construcción de la estructura, el Contratista deberá permitir, sin limitaciones, al objeto de la función inspectora, la entrada en su taller al </w:t>
      </w:r>
      <w:proofErr w:type="gramStart"/>
      <w:r w:rsidRPr="008D673E">
        <w:rPr>
          <w:rFonts w:ascii="Arial" w:hAnsi="Arial" w:cs="Arial"/>
          <w:sz w:val="24"/>
          <w:szCs w:val="24"/>
        </w:rPr>
        <w:t>Director</w:t>
      </w:r>
      <w:proofErr w:type="gramEnd"/>
      <w:r w:rsidRPr="008D673E">
        <w:rPr>
          <w:rFonts w:ascii="Arial" w:hAnsi="Arial" w:cs="Arial"/>
          <w:sz w:val="24"/>
          <w:szCs w:val="24"/>
        </w:rPr>
        <w:t xml:space="preserve"> de Obra o a sus representantes, a los que dará toda clase de facilidades para el cumplimiento de su misión.</w:t>
      </w:r>
    </w:p>
    <w:p w14:paraId="4E9936A8" w14:textId="77777777" w:rsidR="00E83996" w:rsidRPr="008D673E" w:rsidRDefault="00E83996" w:rsidP="008D673E">
      <w:pPr>
        <w:spacing w:before="120" w:after="120" w:line="360" w:lineRule="auto"/>
        <w:jc w:val="both"/>
        <w:rPr>
          <w:rFonts w:ascii="Arial" w:hAnsi="Arial" w:cs="Arial"/>
        </w:rPr>
      </w:pPr>
      <w:proofErr w:type="gramStart"/>
      <w:r w:rsidRPr="008D673E">
        <w:rPr>
          <w:rFonts w:ascii="Arial" w:hAnsi="Arial" w:cs="Arial"/>
        </w:rPr>
        <w:t>Cada soldadura a inspeccionar</w:t>
      </w:r>
      <w:proofErr w:type="gramEnd"/>
      <w:r w:rsidRPr="008D673E">
        <w:rPr>
          <w:rFonts w:ascii="Arial" w:hAnsi="Arial" w:cs="Arial"/>
        </w:rPr>
        <w:t>, de acuerdo con lo especificado en este Pliego de Prescripciones Técnicas Particulares, se controlará con el procedimiento correspondiente inmediatamente de ser ejecutada la soldadura.</w:t>
      </w:r>
    </w:p>
    <w:p w14:paraId="66D2B5A7" w14:textId="77777777" w:rsidR="00036C21" w:rsidRDefault="00036C21" w:rsidP="00036C21">
      <w:pPr>
        <w:rPr>
          <w:rFonts w:ascii="Arial" w:hAnsi="Arial"/>
          <w:b/>
          <w:bCs/>
          <w:i/>
        </w:rPr>
      </w:pPr>
    </w:p>
    <w:p w14:paraId="3C8FB3B7" w14:textId="77777777" w:rsidR="00E83996" w:rsidRPr="00036C21" w:rsidRDefault="008D673E" w:rsidP="00036C21">
      <w:pPr>
        <w:rPr>
          <w:rFonts w:ascii="Arial" w:hAnsi="Arial"/>
          <w:b/>
          <w:bCs/>
          <w:i/>
        </w:rPr>
      </w:pPr>
      <w:r w:rsidRPr="00036C21">
        <w:rPr>
          <w:rFonts w:ascii="Arial" w:hAnsi="Arial"/>
          <w:b/>
          <w:bCs/>
          <w:i/>
        </w:rPr>
        <w:t>6</w:t>
      </w:r>
      <w:r w:rsidR="00036C21">
        <w:rPr>
          <w:rFonts w:ascii="Arial" w:hAnsi="Arial"/>
          <w:b/>
          <w:bCs/>
          <w:i/>
        </w:rPr>
        <w:t>45</w:t>
      </w:r>
      <w:r w:rsidRPr="00036C21">
        <w:rPr>
          <w:rFonts w:ascii="Arial" w:hAnsi="Arial"/>
          <w:b/>
          <w:bCs/>
          <w:i/>
        </w:rPr>
        <w:t xml:space="preserve">.5.4. </w:t>
      </w:r>
      <w:r w:rsidR="00E83996" w:rsidRPr="00036C21">
        <w:rPr>
          <w:rFonts w:ascii="Arial" w:hAnsi="Arial"/>
          <w:b/>
          <w:bCs/>
          <w:i/>
        </w:rPr>
        <w:tab/>
        <w:t>Fabricación de la estructura metálica</w:t>
      </w:r>
    </w:p>
    <w:p w14:paraId="6FEE4A78" w14:textId="77777777" w:rsidR="00E83996" w:rsidRPr="008D673E" w:rsidRDefault="00E83996" w:rsidP="008D673E">
      <w:pPr>
        <w:spacing w:before="120" w:after="120" w:line="360" w:lineRule="auto"/>
        <w:jc w:val="both"/>
        <w:rPr>
          <w:rFonts w:ascii="Arial" w:hAnsi="Arial"/>
          <w:i/>
          <w:u w:val="single"/>
        </w:rPr>
      </w:pPr>
      <w:r w:rsidRPr="008D673E">
        <w:rPr>
          <w:rFonts w:ascii="Arial" w:hAnsi="Arial"/>
          <w:i/>
          <w:u w:val="single"/>
        </w:rPr>
        <w:lastRenderedPageBreak/>
        <w:t>Manual de Control de Calidad</w:t>
      </w:r>
    </w:p>
    <w:p w14:paraId="23ABD961" w14:textId="77777777" w:rsidR="00E83996" w:rsidRPr="008D673E" w:rsidRDefault="00E83996" w:rsidP="00E83996">
      <w:pPr>
        <w:spacing w:before="120" w:after="120" w:line="360" w:lineRule="auto"/>
        <w:jc w:val="both"/>
        <w:rPr>
          <w:rFonts w:ascii="Arial" w:hAnsi="Arial"/>
        </w:rPr>
      </w:pPr>
      <w:r w:rsidRPr="008D673E">
        <w:rPr>
          <w:rFonts w:ascii="Arial" w:hAnsi="Arial"/>
        </w:rPr>
        <w:t>El Contratista someterá a la aprobación de la Dirección de Obra su manual de Control de Calidad, en el cual deberán recogerse las técnicas a utilizar en esta materia.</w:t>
      </w:r>
    </w:p>
    <w:p w14:paraId="12BF146A" w14:textId="77777777" w:rsidR="00E83996" w:rsidRPr="008D673E" w:rsidRDefault="00E83996" w:rsidP="008D673E">
      <w:pPr>
        <w:spacing w:before="120" w:after="120" w:line="360" w:lineRule="auto"/>
        <w:jc w:val="both"/>
        <w:rPr>
          <w:rFonts w:ascii="Arial" w:hAnsi="Arial"/>
          <w:i/>
          <w:u w:val="single"/>
        </w:rPr>
      </w:pPr>
      <w:r w:rsidRPr="008D673E">
        <w:rPr>
          <w:rFonts w:ascii="Arial" w:hAnsi="Arial"/>
          <w:i/>
          <w:u w:val="single"/>
        </w:rPr>
        <w:t>Control de Calidad</w:t>
      </w:r>
    </w:p>
    <w:p w14:paraId="477EE67F" w14:textId="77777777" w:rsidR="00E83996" w:rsidRPr="008D673E" w:rsidRDefault="00E83996" w:rsidP="00E83996">
      <w:pPr>
        <w:spacing w:before="120" w:after="120" w:line="360" w:lineRule="auto"/>
        <w:jc w:val="both"/>
        <w:rPr>
          <w:rFonts w:ascii="Arial" w:hAnsi="Arial"/>
        </w:rPr>
      </w:pPr>
      <w:r w:rsidRPr="008D673E">
        <w:rPr>
          <w:rFonts w:ascii="Arial" w:hAnsi="Arial"/>
        </w:rPr>
        <w:t>Este Control de Calidad correrá económicamente por cuenta del Contratista, y su costo está incluido en los precios unitarios del Contrato.</w:t>
      </w:r>
    </w:p>
    <w:p w14:paraId="6A5D749E" w14:textId="77777777" w:rsidR="00E83996" w:rsidRPr="008D673E" w:rsidRDefault="00E83996" w:rsidP="00E83996">
      <w:pPr>
        <w:spacing w:before="120" w:after="120" w:line="360" w:lineRule="auto"/>
        <w:jc w:val="both"/>
        <w:rPr>
          <w:rFonts w:ascii="Arial" w:hAnsi="Arial"/>
        </w:rPr>
      </w:pPr>
      <w:r w:rsidRPr="008D673E">
        <w:rPr>
          <w:rFonts w:ascii="Arial" w:hAnsi="Arial"/>
        </w:rPr>
        <w:t>El Control de Calidad se ajustará al Programa de Puntos de Inspección (P.P.I.) que el Contratista está obligado a presentar antes del comienzo de los trabajos en taller para ser aprobado por la Dirección de Obra. Asimismo, la Dirección de Obra podrá modificar dicho P.P.I. en la medida que considere oportuno y de acuerdo con las necesidades que puedan ir surgiendo durante la realización de la Obra. El Contratista estará obligado al desarrollo de dicho P.P.I., salvo que por necesidades de ejecución o por causa justificada y tras consulta por escrito a la Dirección de Obra, ésta estimase oportuno modificar dicho desarrollo.</w:t>
      </w:r>
    </w:p>
    <w:p w14:paraId="1E4FD37A" w14:textId="77777777" w:rsidR="00E83996" w:rsidRPr="008D673E" w:rsidRDefault="00E83996" w:rsidP="00E83996">
      <w:pPr>
        <w:keepNext/>
        <w:spacing w:before="360" w:after="120" w:line="360" w:lineRule="auto"/>
        <w:jc w:val="both"/>
        <w:rPr>
          <w:rFonts w:ascii="Arial" w:hAnsi="Arial"/>
          <w:bCs/>
          <w:i/>
          <w:u w:val="single"/>
        </w:rPr>
      </w:pPr>
      <w:r w:rsidRPr="008D673E">
        <w:rPr>
          <w:rFonts w:ascii="Arial" w:hAnsi="Arial"/>
          <w:bCs/>
          <w:i/>
          <w:u w:val="single"/>
        </w:rPr>
        <w:t>Procedimientos del fabricante de construcción de estructuras de acero</w:t>
      </w:r>
    </w:p>
    <w:p w14:paraId="7770AF62" w14:textId="77777777" w:rsidR="00E83996" w:rsidRPr="008D673E" w:rsidRDefault="00E83996" w:rsidP="00E83996">
      <w:pPr>
        <w:spacing w:before="120" w:after="120" w:line="360" w:lineRule="auto"/>
        <w:jc w:val="both"/>
        <w:rPr>
          <w:rFonts w:ascii="Arial" w:hAnsi="Arial"/>
        </w:rPr>
      </w:pPr>
      <w:r w:rsidRPr="008D673E">
        <w:rPr>
          <w:rFonts w:ascii="Arial" w:hAnsi="Arial"/>
        </w:rPr>
        <w:t>El fabricante someterá a aprobación de la Dirección de Obra aquellos procedimientos de fabricación e inspecciones que vaya a utilizar y que como mínimo serán:</w:t>
      </w:r>
    </w:p>
    <w:p w14:paraId="3905280E" w14:textId="77777777" w:rsidR="00E83996" w:rsidRPr="008D673E" w:rsidRDefault="00E83996" w:rsidP="00661A5F">
      <w:pPr>
        <w:pStyle w:val="Prrafodelista"/>
        <w:numPr>
          <w:ilvl w:val="0"/>
          <w:numId w:val="217"/>
        </w:numPr>
        <w:spacing w:before="120" w:after="120" w:line="360" w:lineRule="auto"/>
        <w:jc w:val="both"/>
        <w:rPr>
          <w:rFonts w:ascii="Arial" w:hAnsi="Arial"/>
          <w:sz w:val="24"/>
          <w:szCs w:val="24"/>
        </w:rPr>
      </w:pPr>
      <w:r w:rsidRPr="008D673E">
        <w:rPr>
          <w:rFonts w:ascii="Arial" w:hAnsi="Arial"/>
          <w:sz w:val="24"/>
          <w:szCs w:val="24"/>
        </w:rPr>
        <w:t>Procedimiento de soldadura (W.P.S. y P.Q.R.)</w:t>
      </w:r>
    </w:p>
    <w:p w14:paraId="15DE78D4" w14:textId="77777777" w:rsidR="00E83996" w:rsidRPr="008D673E" w:rsidRDefault="00E83996" w:rsidP="00661A5F">
      <w:pPr>
        <w:pStyle w:val="Prrafodelista"/>
        <w:numPr>
          <w:ilvl w:val="1"/>
          <w:numId w:val="217"/>
        </w:numPr>
        <w:spacing w:before="120" w:after="120" w:line="360" w:lineRule="auto"/>
        <w:jc w:val="both"/>
        <w:rPr>
          <w:rFonts w:ascii="Arial" w:hAnsi="Arial"/>
          <w:sz w:val="24"/>
          <w:szCs w:val="24"/>
        </w:rPr>
      </w:pPr>
      <w:r w:rsidRPr="008D673E">
        <w:rPr>
          <w:rFonts w:ascii="Arial" w:hAnsi="Arial"/>
          <w:sz w:val="24"/>
          <w:szCs w:val="24"/>
        </w:rPr>
        <w:t>Manual</w:t>
      </w:r>
    </w:p>
    <w:p w14:paraId="12CE2B65" w14:textId="77777777" w:rsidR="00E83996" w:rsidRPr="008D673E" w:rsidRDefault="00E83996" w:rsidP="00661A5F">
      <w:pPr>
        <w:pStyle w:val="Prrafodelista"/>
        <w:numPr>
          <w:ilvl w:val="1"/>
          <w:numId w:val="217"/>
        </w:numPr>
        <w:spacing w:before="120" w:after="120" w:line="360" w:lineRule="auto"/>
        <w:jc w:val="both"/>
        <w:rPr>
          <w:rFonts w:ascii="Arial" w:hAnsi="Arial"/>
          <w:sz w:val="24"/>
          <w:szCs w:val="24"/>
        </w:rPr>
      </w:pPr>
      <w:r w:rsidRPr="008D673E">
        <w:rPr>
          <w:rFonts w:ascii="Arial" w:hAnsi="Arial"/>
          <w:sz w:val="24"/>
          <w:szCs w:val="24"/>
        </w:rPr>
        <w:t>Automática</w:t>
      </w:r>
    </w:p>
    <w:p w14:paraId="0A637505" w14:textId="77777777" w:rsidR="00E83996" w:rsidRPr="008D673E" w:rsidRDefault="00E83996" w:rsidP="00661A5F">
      <w:pPr>
        <w:pStyle w:val="Prrafodelista"/>
        <w:numPr>
          <w:ilvl w:val="1"/>
          <w:numId w:val="217"/>
        </w:numPr>
        <w:spacing w:before="120" w:after="120" w:line="360" w:lineRule="auto"/>
        <w:jc w:val="both"/>
        <w:rPr>
          <w:rFonts w:ascii="Arial" w:hAnsi="Arial"/>
          <w:sz w:val="24"/>
          <w:szCs w:val="24"/>
        </w:rPr>
      </w:pPr>
      <w:r w:rsidRPr="008D673E">
        <w:rPr>
          <w:rFonts w:ascii="Arial" w:hAnsi="Arial"/>
          <w:sz w:val="24"/>
          <w:szCs w:val="24"/>
        </w:rPr>
        <w:t>Semiautomática</w:t>
      </w:r>
    </w:p>
    <w:p w14:paraId="248D048E" w14:textId="77777777" w:rsidR="00E83996" w:rsidRPr="008D673E" w:rsidRDefault="00E83996" w:rsidP="00661A5F">
      <w:pPr>
        <w:pStyle w:val="Prrafodelista"/>
        <w:numPr>
          <w:ilvl w:val="0"/>
          <w:numId w:val="217"/>
        </w:numPr>
        <w:spacing w:before="120" w:after="120" w:line="360" w:lineRule="auto"/>
        <w:jc w:val="both"/>
        <w:rPr>
          <w:rFonts w:ascii="Arial" w:hAnsi="Arial"/>
          <w:sz w:val="24"/>
          <w:szCs w:val="24"/>
        </w:rPr>
      </w:pPr>
      <w:r w:rsidRPr="008D673E">
        <w:rPr>
          <w:rFonts w:ascii="Arial" w:hAnsi="Arial"/>
          <w:sz w:val="24"/>
          <w:szCs w:val="24"/>
        </w:rPr>
        <w:t>Procedimiento de recepción y seguimiento de materiales siderúrgicos laminados.</w:t>
      </w:r>
    </w:p>
    <w:p w14:paraId="50F476DA" w14:textId="77777777" w:rsidR="00E83996" w:rsidRPr="008D673E" w:rsidRDefault="00E83996" w:rsidP="00661A5F">
      <w:pPr>
        <w:pStyle w:val="Prrafodelista"/>
        <w:numPr>
          <w:ilvl w:val="0"/>
          <w:numId w:val="217"/>
        </w:numPr>
        <w:spacing w:before="120" w:after="120" w:line="360" w:lineRule="auto"/>
        <w:jc w:val="both"/>
        <w:rPr>
          <w:rFonts w:ascii="Arial" w:hAnsi="Arial"/>
          <w:sz w:val="24"/>
          <w:szCs w:val="24"/>
        </w:rPr>
      </w:pPr>
      <w:r w:rsidRPr="008D673E">
        <w:rPr>
          <w:rFonts w:ascii="Arial" w:hAnsi="Arial"/>
          <w:sz w:val="24"/>
          <w:szCs w:val="24"/>
        </w:rPr>
        <w:t>Procedimiento de recepción y seguimiento de materiales para soldadura.</w:t>
      </w:r>
    </w:p>
    <w:p w14:paraId="4D807D09" w14:textId="77777777" w:rsidR="00E83996" w:rsidRPr="008D673E" w:rsidRDefault="00E83996" w:rsidP="00661A5F">
      <w:pPr>
        <w:pStyle w:val="Prrafodelista"/>
        <w:numPr>
          <w:ilvl w:val="0"/>
          <w:numId w:val="217"/>
        </w:numPr>
        <w:spacing w:before="120" w:after="120" w:line="360" w:lineRule="auto"/>
        <w:jc w:val="both"/>
        <w:rPr>
          <w:rFonts w:ascii="Arial" w:hAnsi="Arial"/>
          <w:sz w:val="24"/>
          <w:szCs w:val="24"/>
        </w:rPr>
      </w:pPr>
      <w:r w:rsidRPr="008D673E">
        <w:rPr>
          <w:rFonts w:ascii="Arial" w:hAnsi="Arial"/>
          <w:sz w:val="24"/>
          <w:szCs w:val="24"/>
        </w:rPr>
        <w:t>Procedimiento para subcontratación de Compañías de Inspección.</w:t>
      </w:r>
    </w:p>
    <w:p w14:paraId="55499510" w14:textId="77777777" w:rsidR="00E83996" w:rsidRPr="008D673E" w:rsidRDefault="00E83996" w:rsidP="00661A5F">
      <w:pPr>
        <w:pStyle w:val="Prrafodelista"/>
        <w:numPr>
          <w:ilvl w:val="0"/>
          <w:numId w:val="217"/>
        </w:numPr>
        <w:spacing w:before="120" w:after="120" w:line="360" w:lineRule="auto"/>
        <w:jc w:val="both"/>
        <w:rPr>
          <w:rFonts w:ascii="Arial" w:hAnsi="Arial"/>
          <w:sz w:val="24"/>
          <w:szCs w:val="24"/>
        </w:rPr>
      </w:pPr>
      <w:r w:rsidRPr="008D673E">
        <w:rPr>
          <w:rFonts w:ascii="Arial" w:hAnsi="Arial"/>
          <w:sz w:val="24"/>
          <w:szCs w:val="24"/>
        </w:rPr>
        <w:t xml:space="preserve">Procedimiento para la Inspección visual de soldaduras. </w:t>
      </w:r>
    </w:p>
    <w:p w14:paraId="02E87C01" w14:textId="77777777" w:rsidR="00E83996" w:rsidRPr="008D673E" w:rsidRDefault="00E83996" w:rsidP="00661A5F">
      <w:pPr>
        <w:pStyle w:val="Prrafodelista"/>
        <w:numPr>
          <w:ilvl w:val="0"/>
          <w:numId w:val="217"/>
        </w:numPr>
        <w:spacing w:before="120" w:after="120" w:line="360" w:lineRule="auto"/>
        <w:jc w:val="both"/>
        <w:rPr>
          <w:rFonts w:ascii="Arial" w:hAnsi="Arial"/>
          <w:sz w:val="24"/>
          <w:szCs w:val="24"/>
        </w:rPr>
      </w:pPr>
      <w:r w:rsidRPr="008D673E">
        <w:rPr>
          <w:rFonts w:ascii="Arial" w:hAnsi="Arial"/>
          <w:sz w:val="24"/>
          <w:szCs w:val="24"/>
        </w:rPr>
        <w:t>Procedimiento general de compras.</w:t>
      </w:r>
    </w:p>
    <w:p w14:paraId="2BE9E923" w14:textId="77777777" w:rsidR="00E83996" w:rsidRPr="008D673E" w:rsidRDefault="00E83996" w:rsidP="00661A5F">
      <w:pPr>
        <w:pStyle w:val="Prrafodelista"/>
        <w:numPr>
          <w:ilvl w:val="0"/>
          <w:numId w:val="217"/>
        </w:numPr>
        <w:spacing w:before="120" w:after="120" w:line="360" w:lineRule="auto"/>
        <w:jc w:val="both"/>
        <w:rPr>
          <w:rFonts w:ascii="Arial" w:hAnsi="Arial"/>
          <w:noProof/>
          <w:sz w:val="22"/>
        </w:rPr>
      </w:pPr>
      <w:r w:rsidRPr="008D673E">
        <w:rPr>
          <w:rFonts w:ascii="Arial" w:hAnsi="Arial"/>
          <w:sz w:val="24"/>
          <w:szCs w:val="24"/>
        </w:rPr>
        <w:t>Procedimiento para la Inspección del chorreado y pintado.</w:t>
      </w:r>
    </w:p>
    <w:p w14:paraId="47A1B517" w14:textId="77777777" w:rsidR="00E83996" w:rsidRPr="00132069" w:rsidRDefault="00E83996" w:rsidP="00132069">
      <w:pPr>
        <w:spacing w:before="120" w:after="120" w:line="360" w:lineRule="auto"/>
        <w:jc w:val="both"/>
        <w:rPr>
          <w:rFonts w:ascii="Arial" w:hAnsi="Arial"/>
        </w:rPr>
      </w:pPr>
      <w:r w:rsidRPr="00132069">
        <w:rPr>
          <w:rFonts w:ascii="Arial" w:hAnsi="Arial"/>
        </w:rPr>
        <w:t>Esta lista se considera abierta, pudiendo ampliarse en función de las necesidades de la obra.</w:t>
      </w:r>
    </w:p>
    <w:p w14:paraId="21AD07E0" w14:textId="77777777" w:rsidR="00E83996" w:rsidRPr="008D673E" w:rsidRDefault="00E83996" w:rsidP="008D673E">
      <w:pPr>
        <w:spacing w:before="120" w:after="120" w:line="360" w:lineRule="auto"/>
        <w:jc w:val="both"/>
        <w:rPr>
          <w:rFonts w:ascii="Arial" w:hAnsi="Arial"/>
          <w:i/>
          <w:u w:val="single"/>
        </w:rPr>
      </w:pPr>
      <w:r w:rsidRPr="008D673E">
        <w:rPr>
          <w:rFonts w:ascii="Arial" w:hAnsi="Arial"/>
          <w:i/>
          <w:u w:val="single"/>
        </w:rPr>
        <w:t>Uniones</w:t>
      </w:r>
    </w:p>
    <w:p w14:paraId="0613F206" w14:textId="77777777" w:rsidR="00E83996" w:rsidRPr="008D673E" w:rsidRDefault="00E83996" w:rsidP="00E83996">
      <w:pPr>
        <w:spacing w:before="120" w:after="120" w:line="360" w:lineRule="auto"/>
        <w:jc w:val="both"/>
        <w:rPr>
          <w:rFonts w:ascii="Arial" w:hAnsi="Arial"/>
        </w:rPr>
      </w:pPr>
      <w:r w:rsidRPr="008D673E">
        <w:rPr>
          <w:rFonts w:ascii="Arial" w:hAnsi="Arial"/>
        </w:rPr>
        <w:t>Los tipos de uniones pueden ser:</w:t>
      </w:r>
    </w:p>
    <w:p w14:paraId="463874E5" w14:textId="77777777" w:rsidR="00E83996" w:rsidRPr="008D673E" w:rsidRDefault="00E83996" w:rsidP="00661A5F">
      <w:pPr>
        <w:pStyle w:val="Prrafodelista"/>
        <w:numPr>
          <w:ilvl w:val="0"/>
          <w:numId w:val="217"/>
        </w:numPr>
        <w:spacing w:before="120" w:after="120" w:line="360" w:lineRule="auto"/>
        <w:jc w:val="both"/>
        <w:rPr>
          <w:rFonts w:ascii="Arial" w:hAnsi="Arial"/>
          <w:sz w:val="24"/>
          <w:szCs w:val="24"/>
        </w:rPr>
      </w:pPr>
      <w:r w:rsidRPr="008D673E">
        <w:rPr>
          <w:rFonts w:ascii="Arial" w:hAnsi="Arial"/>
          <w:sz w:val="24"/>
          <w:szCs w:val="24"/>
        </w:rPr>
        <w:t>De fuerza: Las que tienen por misión transmitir, entre perfiles o piezas de la estructura, un esfuerzo calculado.</w:t>
      </w:r>
    </w:p>
    <w:p w14:paraId="7EE94F2D" w14:textId="77777777" w:rsidR="00E83996" w:rsidRPr="008D673E" w:rsidRDefault="00E83996" w:rsidP="008D673E">
      <w:pPr>
        <w:pStyle w:val="Prrafodelista"/>
        <w:spacing w:before="120" w:after="120" w:line="360" w:lineRule="auto"/>
        <w:ind w:left="720"/>
        <w:jc w:val="both"/>
        <w:rPr>
          <w:rFonts w:ascii="Arial" w:hAnsi="Arial"/>
          <w:sz w:val="24"/>
          <w:szCs w:val="24"/>
        </w:rPr>
      </w:pPr>
      <w:r w:rsidRPr="008D673E">
        <w:rPr>
          <w:rFonts w:ascii="Arial" w:hAnsi="Arial"/>
          <w:sz w:val="24"/>
          <w:szCs w:val="24"/>
        </w:rPr>
        <w:t>Dentro de este tipo se incluyen los empalmes, que son las uniones de perfiles o chapas en prolongación.</w:t>
      </w:r>
    </w:p>
    <w:p w14:paraId="578F7751" w14:textId="77777777" w:rsidR="00E83996" w:rsidRPr="008D673E" w:rsidRDefault="00E83996" w:rsidP="00661A5F">
      <w:pPr>
        <w:pStyle w:val="Prrafodelista"/>
        <w:numPr>
          <w:ilvl w:val="0"/>
          <w:numId w:val="217"/>
        </w:numPr>
        <w:spacing w:before="120" w:after="120" w:line="360" w:lineRule="auto"/>
        <w:jc w:val="both"/>
        <w:rPr>
          <w:rFonts w:ascii="Arial" w:hAnsi="Arial"/>
          <w:sz w:val="24"/>
          <w:szCs w:val="24"/>
        </w:rPr>
      </w:pPr>
      <w:r w:rsidRPr="008D673E">
        <w:rPr>
          <w:rFonts w:ascii="Arial" w:hAnsi="Arial"/>
          <w:sz w:val="24"/>
          <w:szCs w:val="24"/>
        </w:rPr>
        <w:t>De atado: Cuya misión es solamente mantener en posición perfiles de una pieza, y no transmitir un esfuerzo calculado.</w:t>
      </w:r>
    </w:p>
    <w:p w14:paraId="35E155F0" w14:textId="77777777" w:rsidR="00E83996" w:rsidRPr="008D673E" w:rsidRDefault="00E83996" w:rsidP="00E83996">
      <w:pPr>
        <w:spacing w:before="120" w:after="120" w:line="360" w:lineRule="auto"/>
        <w:jc w:val="both"/>
        <w:rPr>
          <w:rFonts w:ascii="Arial" w:hAnsi="Arial"/>
        </w:rPr>
      </w:pPr>
      <w:r w:rsidRPr="008D673E">
        <w:rPr>
          <w:rFonts w:ascii="Arial" w:hAnsi="Arial"/>
        </w:rPr>
        <w:t xml:space="preserve">No se permitirán otros empalmes que los indicados en los señalados en los planos de taller aprobados por el </w:t>
      </w:r>
      <w:proofErr w:type="gramStart"/>
      <w:r w:rsidRPr="008D673E">
        <w:rPr>
          <w:rFonts w:ascii="Arial" w:hAnsi="Arial"/>
        </w:rPr>
        <w:t>Director</w:t>
      </w:r>
      <w:proofErr w:type="gramEnd"/>
      <w:r w:rsidRPr="008D673E">
        <w:rPr>
          <w:rFonts w:ascii="Arial" w:hAnsi="Arial"/>
        </w:rPr>
        <w:t xml:space="preserve"> de las Obras.</w:t>
      </w:r>
    </w:p>
    <w:p w14:paraId="20AAA72A" w14:textId="77777777" w:rsidR="00E83996" w:rsidRPr="008D673E" w:rsidRDefault="00E83996" w:rsidP="00E83996">
      <w:pPr>
        <w:spacing w:before="120" w:after="120" w:line="360" w:lineRule="auto"/>
        <w:jc w:val="both"/>
        <w:rPr>
          <w:rFonts w:ascii="Arial" w:hAnsi="Arial"/>
        </w:rPr>
      </w:pPr>
      <w:r w:rsidRPr="008D673E">
        <w:rPr>
          <w:rFonts w:ascii="Arial" w:hAnsi="Arial"/>
        </w:rPr>
        <w:t xml:space="preserve">El punteo de perfiles a soldar y de chapas dorsales para soldaduras por una sola cara, se realizará de forma que los puntos siempre queden embebidos en la soldadura a realizar, y estos tendrán una longitud mínima de 30 </w:t>
      </w:r>
      <w:proofErr w:type="spellStart"/>
      <w:r w:rsidRPr="008D673E">
        <w:rPr>
          <w:rFonts w:ascii="Arial" w:hAnsi="Arial"/>
        </w:rPr>
        <w:t>mm.</w:t>
      </w:r>
      <w:proofErr w:type="spellEnd"/>
    </w:p>
    <w:p w14:paraId="4DDBBAF7" w14:textId="77777777" w:rsidR="00E83996" w:rsidRPr="008D673E" w:rsidRDefault="00E83996" w:rsidP="008D673E">
      <w:pPr>
        <w:spacing w:before="120" w:after="120" w:line="360" w:lineRule="auto"/>
        <w:jc w:val="both"/>
        <w:rPr>
          <w:rFonts w:ascii="Arial" w:hAnsi="Arial"/>
          <w:u w:val="single"/>
        </w:rPr>
      </w:pPr>
      <w:r w:rsidRPr="008D673E">
        <w:rPr>
          <w:rFonts w:ascii="Arial" w:hAnsi="Arial"/>
          <w:u w:val="single"/>
        </w:rPr>
        <w:t>1</w:t>
      </w:r>
      <w:r w:rsidRPr="008D673E">
        <w:rPr>
          <w:rFonts w:ascii="Arial" w:hAnsi="Arial"/>
          <w:i/>
          <w:u w:val="single"/>
        </w:rPr>
        <w:t>.- Uniones atornilladas</w:t>
      </w:r>
    </w:p>
    <w:p w14:paraId="01A0853A" w14:textId="77777777" w:rsidR="00E83996" w:rsidRPr="008D673E" w:rsidRDefault="00E83996" w:rsidP="00E83996">
      <w:pPr>
        <w:spacing w:before="120" w:after="120" w:line="360" w:lineRule="auto"/>
        <w:jc w:val="both"/>
        <w:rPr>
          <w:rFonts w:ascii="Arial" w:hAnsi="Arial"/>
        </w:rPr>
      </w:pPr>
      <w:r w:rsidRPr="008D673E">
        <w:rPr>
          <w:rFonts w:ascii="Arial" w:hAnsi="Arial"/>
        </w:rPr>
        <w:t>Los agujeros para tornillos se ejecutarán con taladro. Queda prohibida su ejecución mediante soplete, arco eléctrico o punzonado.</w:t>
      </w:r>
    </w:p>
    <w:p w14:paraId="0623C057" w14:textId="77777777" w:rsidR="00E83996" w:rsidRPr="008D673E" w:rsidRDefault="00E83996" w:rsidP="00E83996">
      <w:pPr>
        <w:spacing w:before="120" w:after="120" w:line="360" w:lineRule="auto"/>
        <w:jc w:val="both"/>
        <w:rPr>
          <w:rFonts w:ascii="Arial" w:hAnsi="Arial"/>
        </w:rPr>
      </w:pPr>
      <w:r w:rsidRPr="008D673E">
        <w:rPr>
          <w:rFonts w:ascii="Arial" w:hAnsi="Arial"/>
        </w:rPr>
        <w:t>Cuando haya de rectificarse la coincidencia de agujeros taladrados, la operación se realizará mediante escariado mecánico. Queda terminantemente prohibido el uso de la broca pasante para agrandar o rectificar los agujeros.</w:t>
      </w:r>
    </w:p>
    <w:p w14:paraId="24967AE9" w14:textId="77777777" w:rsidR="00E83996" w:rsidRDefault="00E83996" w:rsidP="00E83996">
      <w:pPr>
        <w:spacing w:before="120" w:after="120" w:line="360" w:lineRule="auto"/>
        <w:jc w:val="both"/>
        <w:rPr>
          <w:rFonts w:ascii="Arial" w:hAnsi="Arial"/>
        </w:rPr>
      </w:pPr>
      <w:r w:rsidRPr="008D673E">
        <w:rPr>
          <w:rFonts w:ascii="Arial" w:hAnsi="Arial"/>
        </w:rPr>
        <w:t>Siempre que sea posible, se taladrarán de una sola vez los agujeros que atraviesen dos o más piezas, después de armadas, engrapándolas o atornillándolas fuertemente. Después de taladradas las piezas, se repasarán para eliminar las rebabas.</w:t>
      </w:r>
    </w:p>
    <w:p w14:paraId="3BF60F8C" w14:textId="77777777" w:rsidR="00E83996" w:rsidRPr="008D673E" w:rsidRDefault="00E83996" w:rsidP="008D673E">
      <w:pPr>
        <w:spacing w:before="120" w:after="120" w:line="360" w:lineRule="auto"/>
        <w:jc w:val="both"/>
        <w:rPr>
          <w:rFonts w:ascii="Arial" w:hAnsi="Arial"/>
          <w:i/>
          <w:u w:val="single"/>
        </w:rPr>
      </w:pPr>
      <w:r w:rsidRPr="008D673E">
        <w:rPr>
          <w:rFonts w:ascii="Arial" w:hAnsi="Arial"/>
          <w:i/>
          <w:u w:val="single"/>
        </w:rPr>
        <w:t>2.- Uniones soldadas</w:t>
      </w:r>
    </w:p>
    <w:p w14:paraId="69BF52AC" w14:textId="77777777" w:rsidR="00E83996" w:rsidRPr="008D673E" w:rsidRDefault="00E83996" w:rsidP="00E83996">
      <w:pPr>
        <w:spacing w:before="120" w:after="120" w:line="360" w:lineRule="auto"/>
        <w:jc w:val="both"/>
        <w:rPr>
          <w:rFonts w:ascii="Arial" w:hAnsi="Arial"/>
        </w:rPr>
      </w:pPr>
      <w:r w:rsidRPr="008D673E">
        <w:rPr>
          <w:rFonts w:ascii="Arial" w:hAnsi="Arial"/>
        </w:rPr>
        <w:t xml:space="preserve">La soldadura eléctrica al arco será el medio de unión de los diferentes perfiles y chapas que formen los elementos estructurales metálicos, así como de los elementos </w:t>
      </w:r>
      <w:r w:rsidRPr="008D673E">
        <w:rPr>
          <w:rFonts w:ascii="Arial" w:hAnsi="Arial"/>
        </w:rPr>
        <w:lastRenderedPageBreak/>
        <w:t xml:space="preserve">provisionales de fijación de </w:t>
      </w:r>
      <w:proofErr w:type="gramStart"/>
      <w:r w:rsidRPr="008D673E">
        <w:rPr>
          <w:rFonts w:ascii="Arial" w:hAnsi="Arial"/>
        </w:rPr>
        <w:t>los mismos</w:t>
      </w:r>
      <w:proofErr w:type="gramEnd"/>
      <w:r w:rsidRPr="008D673E">
        <w:rPr>
          <w:rFonts w:ascii="Arial" w:hAnsi="Arial"/>
        </w:rPr>
        <w:t>. La utilización de otros procedimientos de soldadura será sometida a la aprobación de la Dirección de Obra.</w:t>
      </w:r>
    </w:p>
    <w:p w14:paraId="6BD38CB7" w14:textId="77777777" w:rsidR="00E83996" w:rsidRPr="008D673E" w:rsidRDefault="00E83996" w:rsidP="00E83996">
      <w:pPr>
        <w:spacing w:before="120" w:after="120" w:line="360" w:lineRule="auto"/>
        <w:jc w:val="both"/>
        <w:rPr>
          <w:rFonts w:ascii="Arial" w:hAnsi="Arial"/>
        </w:rPr>
      </w:pPr>
      <w:proofErr w:type="gramStart"/>
      <w:r w:rsidRPr="008D673E">
        <w:rPr>
          <w:rFonts w:ascii="Arial" w:hAnsi="Arial"/>
        </w:rPr>
        <w:t>Serán de aplicación</w:t>
      </w:r>
      <w:proofErr w:type="gramEnd"/>
      <w:r w:rsidRPr="008D673E">
        <w:rPr>
          <w:rFonts w:ascii="Arial" w:hAnsi="Arial"/>
        </w:rPr>
        <w:t xml:space="preserve"> en todo lo relativo a las soldaduras, la Norma </w:t>
      </w:r>
      <w:proofErr w:type="gramStart"/>
      <w:r w:rsidRPr="008D673E">
        <w:rPr>
          <w:rFonts w:ascii="Arial" w:hAnsi="Arial"/>
        </w:rPr>
        <w:t>EAE</w:t>
      </w:r>
      <w:proofErr w:type="gramEnd"/>
      <w:r w:rsidRPr="008D673E">
        <w:rPr>
          <w:rFonts w:ascii="Arial" w:hAnsi="Arial"/>
        </w:rPr>
        <w:t xml:space="preserve"> así como las Normas UNE referentes a esta técnica</w:t>
      </w:r>
    </w:p>
    <w:p w14:paraId="2DCA2877" w14:textId="77777777" w:rsidR="00E83996" w:rsidRPr="008D673E" w:rsidRDefault="00E83996" w:rsidP="00E83996">
      <w:pPr>
        <w:spacing w:before="120" w:after="120" w:line="360" w:lineRule="auto"/>
        <w:jc w:val="both"/>
        <w:rPr>
          <w:rFonts w:ascii="Arial" w:hAnsi="Arial"/>
        </w:rPr>
      </w:pPr>
      <w:r w:rsidRPr="008D673E">
        <w:rPr>
          <w:rFonts w:ascii="Arial" w:hAnsi="Arial"/>
        </w:rPr>
        <w:t>Se tomarán las precauciones necesarias para proteger los trabajos de soldeo contra el viento, el frío y la lluvia, mediante cobertizo, etc. Cuando la temperatura ambiente no supere los 0ºC, se suspenderán los trabajos de soldadura.</w:t>
      </w:r>
    </w:p>
    <w:p w14:paraId="3F7F2AEE" w14:textId="77777777" w:rsidR="00E83996" w:rsidRPr="008D673E" w:rsidRDefault="00E83996" w:rsidP="00E83996">
      <w:pPr>
        <w:spacing w:before="120" w:after="120" w:line="360" w:lineRule="auto"/>
        <w:jc w:val="both"/>
        <w:rPr>
          <w:rFonts w:ascii="Arial" w:hAnsi="Arial"/>
        </w:rPr>
      </w:pPr>
      <w:r w:rsidRPr="008D673E">
        <w:rPr>
          <w:rFonts w:ascii="Arial" w:hAnsi="Arial"/>
        </w:rPr>
        <w:t xml:space="preserve">La Dirección de Obra decidirá, en función de las condiciones de transporte de las piezas, de la seguridad de la obra y de la adecuación al programa de </w:t>
      </w:r>
      <w:proofErr w:type="gramStart"/>
      <w:r w:rsidRPr="008D673E">
        <w:rPr>
          <w:rFonts w:ascii="Arial" w:hAnsi="Arial"/>
        </w:rPr>
        <w:t>la misma</w:t>
      </w:r>
      <w:proofErr w:type="gramEnd"/>
      <w:r w:rsidRPr="008D673E">
        <w:rPr>
          <w:rFonts w:ascii="Arial" w:hAnsi="Arial"/>
        </w:rPr>
        <w:t>, las soldaduras que deben realizarse en taller y las que deben realizarse en obra. El Contratista no tendrá derecho a indemnización alguna por los perjuicios económicos que esta decisión pueda causarle, en sus relaciones con posibles Subcontratistas de la estructura metálica.</w:t>
      </w:r>
    </w:p>
    <w:p w14:paraId="0C9ED42A" w14:textId="77777777" w:rsidR="00E83996" w:rsidRPr="008D673E" w:rsidRDefault="00E83996" w:rsidP="00E83996">
      <w:pPr>
        <w:spacing w:before="120" w:after="120" w:line="360" w:lineRule="auto"/>
        <w:jc w:val="both"/>
        <w:rPr>
          <w:rFonts w:ascii="Arial" w:hAnsi="Arial"/>
        </w:rPr>
      </w:pPr>
      <w:r w:rsidRPr="008D673E">
        <w:rPr>
          <w:rFonts w:ascii="Arial" w:hAnsi="Arial"/>
        </w:rPr>
        <w:t>Antes del soldeo se limpiarán los bordes de la unión, eliminando cuidadosamente toda la cascarilla, herrumbre o suciedad y muy especialmente la grasa y la pintura.</w:t>
      </w:r>
    </w:p>
    <w:p w14:paraId="443E11B8" w14:textId="77777777" w:rsidR="00E83996" w:rsidRPr="008D673E" w:rsidRDefault="00E83996" w:rsidP="00E83996">
      <w:pPr>
        <w:spacing w:before="120" w:after="120" w:line="360" w:lineRule="auto"/>
        <w:jc w:val="both"/>
        <w:rPr>
          <w:rFonts w:ascii="Arial" w:hAnsi="Arial"/>
        </w:rPr>
      </w:pPr>
      <w:r w:rsidRPr="008D673E">
        <w:rPr>
          <w:rFonts w:ascii="Arial" w:hAnsi="Arial"/>
        </w:rPr>
        <w:t>Los cordones se depositarán sin provocar mordeduras.</w:t>
      </w:r>
    </w:p>
    <w:p w14:paraId="1C3A9E1B" w14:textId="77777777" w:rsidR="00E83996" w:rsidRPr="008D673E" w:rsidRDefault="00E83996" w:rsidP="00E83996">
      <w:pPr>
        <w:spacing w:before="120" w:after="120" w:line="360" w:lineRule="auto"/>
        <w:jc w:val="both"/>
        <w:rPr>
          <w:rFonts w:ascii="Arial" w:hAnsi="Arial"/>
        </w:rPr>
      </w:pPr>
      <w:r w:rsidRPr="008D673E">
        <w:rPr>
          <w:rFonts w:ascii="Arial" w:hAnsi="Arial"/>
        </w:rPr>
        <w:t>Después de ejecutar cada cordón, y antes de depositar el siguiente, se limpiará su superficie con piqueta y cepillo de alambre, eliminando todo rastro de escoria. Esta limpieza se realizará también en los cordones finales.</w:t>
      </w:r>
    </w:p>
    <w:p w14:paraId="0FD0389E" w14:textId="77777777" w:rsidR="00E83996" w:rsidRPr="008D673E" w:rsidRDefault="00E83996" w:rsidP="00E83996">
      <w:pPr>
        <w:spacing w:before="120" w:after="120" w:line="360" w:lineRule="auto"/>
        <w:jc w:val="both"/>
        <w:rPr>
          <w:rFonts w:ascii="Arial" w:hAnsi="Arial"/>
        </w:rPr>
      </w:pPr>
      <w:r w:rsidRPr="008D673E">
        <w:rPr>
          <w:rFonts w:ascii="Arial" w:hAnsi="Arial"/>
        </w:rPr>
        <w:t>Para facilitar la limpieza del depósito de los cordones siguientes se procurará que la superficie de todo cordón sea lo más regular posible y que no forme ángulos demasiado agudos con los anteriores depositados ni con los bordes de las piezas.</w:t>
      </w:r>
    </w:p>
    <w:p w14:paraId="4218D1D3" w14:textId="77777777" w:rsidR="00E83996" w:rsidRPr="008D673E" w:rsidRDefault="00E83996" w:rsidP="00E83996">
      <w:pPr>
        <w:spacing w:before="120" w:after="120" w:line="360" w:lineRule="auto"/>
        <w:jc w:val="both"/>
        <w:rPr>
          <w:rFonts w:ascii="Arial" w:hAnsi="Arial"/>
        </w:rPr>
      </w:pPr>
      <w:r w:rsidRPr="008D673E">
        <w:rPr>
          <w:rFonts w:ascii="Arial" w:hAnsi="Arial"/>
        </w:rPr>
        <w:t>La proyección de gotas de soldadura se evitará cuidadosamente.</w:t>
      </w:r>
    </w:p>
    <w:p w14:paraId="4D366FFB" w14:textId="77777777" w:rsidR="00E83996" w:rsidRPr="008D673E" w:rsidRDefault="00E83996" w:rsidP="00E83996">
      <w:pPr>
        <w:spacing w:before="120" w:after="120" w:line="360" w:lineRule="auto"/>
        <w:jc w:val="both"/>
        <w:rPr>
          <w:rFonts w:ascii="Arial" w:hAnsi="Arial"/>
        </w:rPr>
      </w:pPr>
      <w:r w:rsidRPr="008D673E">
        <w:rPr>
          <w:rFonts w:ascii="Arial" w:hAnsi="Arial"/>
        </w:rPr>
        <w:t>La superficie de la soldadura será regular. El espesor del cordón deberá ser tan uniforme como sea posible. Si es preciso, la soldadura se recargará o se esmerilará para que tenga el espesor debido, sin bombeo excesivo, ni falta de material y para que no presente discontinuidad o rebabas.</w:t>
      </w:r>
    </w:p>
    <w:p w14:paraId="3C72D257" w14:textId="77777777" w:rsidR="00E83996" w:rsidRPr="008D673E" w:rsidRDefault="00E83996" w:rsidP="00E83996">
      <w:pPr>
        <w:spacing w:before="120" w:after="120" w:line="360" w:lineRule="auto"/>
        <w:jc w:val="both"/>
        <w:rPr>
          <w:rFonts w:ascii="Arial" w:hAnsi="Arial"/>
        </w:rPr>
      </w:pPr>
      <w:r w:rsidRPr="008D673E">
        <w:rPr>
          <w:rFonts w:ascii="Arial" w:hAnsi="Arial"/>
        </w:rPr>
        <w:t>Se prohíbe todo enfriamiento anormal o excesivamente rápido de las soldaduras, siendo preceptivo tomar las precauciones precisas para evitarlo.</w:t>
      </w:r>
    </w:p>
    <w:p w14:paraId="1BFC2B80" w14:textId="77777777" w:rsidR="00E83996" w:rsidRPr="008D673E" w:rsidRDefault="00E83996" w:rsidP="00E83996">
      <w:pPr>
        <w:spacing w:before="120" w:after="120" w:line="360" w:lineRule="auto"/>
        <w:jc w:val="both"/>
        <w:rPr>
          <w:rFonts w:ascii="Arial" w:hAnsi="Arial"/>
        </w:rPr>
      </w:pPr>
      <w:r w:rsidRPr="008D673E">
        <w:rPr>
          <w:rFonts w:ascii="Arial" w:hAnsi="Arial"/>
        </w:rPr>
        <w:t xml:space="preserve">No se admitirán las soldaduras que presenten grietas, poros, inclusiones, faltas de penetración, picaduras, etc. La detección y calificación de estos </w:t>
      </w:r>
      <w:proofErr w:type="gramStart"/>
      <w:r w:rsidRPr="008D673E">
        <w:rPr>
          <w:rFonts w:ascii="Arial" w:hAnsi="Arial"/>
        </w:rPr>
        <w:t>defectos,</w:t>
      </w:r>
      <w:proofErr w:type="gramEnd"/>
      <w:r w:rsidRPr="008D673E">
        <w:rPr>
          <w:rFonts w:ascii="Arial" w:hAnsi="Arial"/>
        </w:rPr>
        <w:t xml:space="preserve"> ya sean visibles o localizables por exploración radiográfica, corresponde a la Dirección de Obra.</w:t>
      </w:r>
    </w:p>
    <w:p w14:paraId="341D8373" w14:textId="77777777" w:rsidR="00E83996" w:rsidRPr="008D673E" w:rsidRDefault="00E83996" w:rsidP="00E83996">
      <w:pPr>
        <w:spacing w:before="120" w:after="120" w:line="360" w:lineRule="auto"/>
        <w:jc w:val="both"/>
        <w:rPr>
          <w:rFonts w:ascii="Arial" w:hAnsi="Arial"/>
        </w:rPr>
      </w:pPr>
      <w:r w:rsidRPr="008D673E">
        <w:rPr>
          <w:rFonts w:ascii="Arial" w:hAnsi="Arial"/>
        </w:rPr>
        <w:t>La Dirección de Obra podrá ordenar el levantamiento de las soldaduras que crea conveniente, bien por su aspecto exterior o por ser su calificación del ensayo inaceptable, para que se ejecuten nuevamente.</w:t>
      </w:r>
    </w:p>
    <w:p w14:paraId="6B48A439" w14:textId="77777777" w:rsidR="00E83996" w:rsidRPr="008D673E" w:rsidRDefault="00E83996" w:rsidP="00E83996">
      <w:pPr>
        <w:spacing w:before="120" w:after="120" w:line="360" w:lineRule="auto"/>
        <w:jc w:val="both"/>
        <w:rPr>
          <w:rFonts w:ascii="Arial" w:hAnsi="Arial"/>
        </w:rPr>
      </w:pPr>
      <w:r w:rsidRPr="008D673E">
        <w:rPr>
          <w:rFonts w:ascii="Arial" w:hAnsi="Arial"/>
        </w:rPr>
        <w:t>El levantado se realizará cuidadosamente por cualquiera de los procedimientos sancionados por la práctica: cincelado con gubia de forma apropiada para evitar el recalado, por esmerilado, etc.</w:t>
      </w:r>
    </w:p>
    <w:p w14:paraId="5CD1098E" w14:textId="77777777" w:rsidR="00E83996" w:rsidRPr="008D673E" w:rsidRDefault="00E83996" w:rsidP="00E83996">
      <w:pPr>
        <w:spacing w:before="120" w:after="120" w:line="360" w:lineRule="auto"/>
        <w:jc w:val="both"/>
        <w:rPr>
          <w:rFonts w:ascii="Arial" w:hAnsi="Arial"/>
        </w:rPr>
      </w:pPr>
      <w:r w:rsidRPr="008D673E">
        <w:rPr>
          <w:rFonts w:ascii="Arial" w:hAnsi="Arial"/>
        </w:rPr>
        <w:t>Las soldaduras a tope serán continuas en toda la longitud de la unión, y de penetración completa.</w:t>
      </w:r>
    </w:p>
    <w:p w14:paraId="5A686753" w14:textId="77777777" w:rsidR="00E83996" w:rsidRPr="008D673E" w:rsidRDefault="00E83996" w:rsidP="00E83996">
      <w:pPr>
        <w:spacing w:before="120" w:after="120" w:line="360" w:lineRule="auto"/>
        <w:jc w:val="both"/>
        <w:rPr>
          <w:rFonts w:ascii="Arial" w:hAnsi="Arial"/>
        </w:rPr>
      </w:pPr>
      <w:r w:rsidRPr="008D673E">
        <w:rPr>
          <w:rFonts w:ascii="Arial" w:hAnsi="Arial"/>
        </w:rPr>
        <w:t>Se saneará la raíz antes de depositar el cordón de cierre, o primer cordón de la cara posterior.</w:t>
      </w:r>
    </w:p>
    <w:p w14:paraId="7250B3B7" w14:textId="77777777" w:rsidR="00E83996" w:rsidRPr="008D673E" w:rsidRDefault="00E83996" w:rsidP="00E83996">
      <w:pPr>
        <w:spacing w:before="120" w:after="120" w:line="360" w:lineRule="auto"/>
        <w:jc w:val="both"/>
        <w:rPr>
          <w:rFonts w:ascii="Arial" w:hAnsi="Arial"/>
        </w:rPr>
      </w:pPr>
      <w:r w:rsidRPr="008D673E">
        <w:rPr>
          <w:rFonts w:ascii="Arial" w:hAnsi="Arial"/>
        </w:rPr>
        <w:t>Cuando el acceso por la cara posterior no sea posible, se realizará la soldadura con chapa dorsal u otro dispositivo para conseguir penetración completa.</w:t>
      </w:r>
    </w:p>
    <w:p w14:paraId="1D0B6825" w14:textId="77777777" w:rsidR="00E83996" w:rsidRPr="008D673E" w:rsidRDefault="00E83996" w:rsidP="00E83996">
      <w:pPr>
        <w:spacing w:before="120" w:after="120" w:line="360" w:lineRule="auto"/>
        <w:jc w:val="both"/>
        <w:rPr>
          <w:rFonts w:ascii="Arial" w:hAnsi="Arial"/>
        </w:rPr>
      </w:pPr>
      <w:r w:rsidRPr="008D673E">
        <w:rPr>
          <w:rFonts w:ascii="Arial" w:hAnsi="Arial"/>
        </w:rPr>
        <w:t>Para unir dos piezas de distinta sección, la de mayor sección se adelgazará en la zona de contacto, con pendientes no superiores al 25 por cien para obtener una transición suave de la sección.</w:t>
      </w:r>
    </w:p>
    <w:p w14:paraId="59A7263C" w14:textId="77777777" w:rsidR="00E83996" w:rsidRPr="008D673E" w:rsidRDefault="00E83996" w:rsidP="00E83996">
      <w:pPr>
        <w:spacing w:before="120" w:after="120" w:line="360" w:lineRule="auto"/>
        <w:jc w:val="both"/>
        <w:rPr>
          <w:rFonts w:ascii="Arial" w:hAnsi="Arial"/>
        </w:rPr>
      </w:pPr>
      <w:r w:rsidRPr="008D673E">
        <w:rPr>
          <w:rFonts w:ascii="Arial" w:hAnsi="Arial"/>
        </w:rPr>
        <w:t xml:space="preserve">El máximo </w:t>
      </w:r>
      <w:proofErr w:type="spellStart"/>
      <w:r w:rsidRPr="008D673E">
        <w:rPr>
          <w:rFonts w:ascii="Arial" w:hAnsi="Arial"/>
        </w:rPr>
        <w:t>sobreespesor</w:t>
      </w:r>
      <w:proofErr w:type="spellEnd"/>
      <w:r w:rsidRPr="008D673E">
        <w:rPr>
          <w:rFonts w:ascii="Arial" w:hAnsi="Arial"/>
        </w:rPr>
        <w:t xml:space="preserve"> de la soldadura no será del diez por ciento del espesor de la pieza más delgada, con el fin de evitar el efecto de entalladura.</w:t>
      </w:r>
    </w:p>
    <w:p w14:paraId="7C72C0FB" w14:textId="77777777" w:rsidR="00E83996" w:rsidRPr="008D673E" w:rsidRDefault="00E83996" w:rsidP="00E83996">
      <w:pPr>
        <w:spacing w:before="120" w:after="120" w:line="360" w:lineRule="auto"/>
        <w:jc w:val="both"/>
        <w:rPr>
          <w:rFonts w:ascii="Arial" w:hAnsi="Arial"/>
        </w:rPr>
      </w:pPr>
      <w:r w:rsidRPr="008D673E">
        <w:rPr>
          <w:rFonts w:ascii="Arial" w:hAnsi="Arial"/>
        </w:rPr>
        <w:t>En las soldaduras en ángulo, los espesores de garganta y longitudes de cordón serán los indicados en los planos, y en su defecto, los ordenados por la Dirección de Obra.</w:t>
      </w:r>
    </w:p>
    <w:p w14:paraId="596260AE" w14:textId="77777777" w:rsidR="00E83996" w:rsidRPr="008D673E" w:rsidRDefault="00E83996" w:rsidP="00E83996">
      <w:pPr>
        <w:spacing w:before="120" w:after="120" w:line="360" w:lineRule="auto"/>
        <w:jc w:val="both"/>
        <w:rPr>
          <w:rFonts w:ascii="Arial" w:hAnsi="Arial"/>
        </w:rPr>
      </w:pPr>
      <w:r w:rsidRPr="008D673E">
        <w:rPr>
          <w:rFonts w:ascii="Arial" w:hAnsi="Arial"/>
        </w:rPr>
        <w:t>Se prohíben expresamente las soldaduras en tapón y ranura.</w:t>
      </w:r>
    </w:p>
    <w:p w14:paraId="2E23EB06" w14:textId="77777777" w:rsidR="00E83996" w:rsidRPr="008D673E" w:rsidRDefault="00E83996" w:rsidP="00E83996">
      <w:pPr>
        <w:spacing w:before="120" w:after="120" w:line="360" w:lineRule="auto"/>
        <w:jc w:val="both"/>
        <w:rPr>
          <w:rFonts w:ascii="Arial" w:hAnsi="Arial"/>
        </w:rPr>
      </w:pPr>
      <w:r w:rsidRPr="008D673E">
        <w:rPr>
          <w:rFonts w:ascii="Arial" w:hAnsi="Arial"/>
        </w:rPr>
        <w:t>Los elementos provisionales de fijación que para el armado o el montaje se suelden a las barras de la estructura, se desprenderán cuidadosamente con soplete sin dañar a las barras. Se prohíbe desprenderlos a golpes.</w:t>
      </w:r>
    </w:p>
    <w:p w14:paraId="32FC09AA" w14:textId="77777777" w:rsidR="00E83996" w:rsidRPr="008D673E" w:rsidRDefault="00E83996" w:rsidP="00E83996">
      <w:pPr>
        <w:spacing w:before="120" w:after="120" w:line="360" w:lineRule="auto"/>
        <w:jc w:val="both"/>
        <w:rPr>
          <w:rFonts w:ascii="Arial" w:hAnsi="Arial"/>
        </w:rPr>
      </w:pPr>
      <w:r w:rsidRPr="008D673E">
        <w:rPr>
          <w:rFonts w:ascii="Arial" w:hAnsi="Arial"/>
        </w:rPr>
        <w:t>Los restos de soldadura de las fijaciones se eliminarán con piedra de esmeril, fresa, lima u otros procedimientos.</w:t>
      </w:r>
    </w:p>
    <w:p w14:paraId="0A0B995A" w14:textId="77777777" w:rsidR="00E83996" w:rsidRPr="008D673E" w:rsidRDefault="00E83996" w:rsidP="00E83996">
      <w:pPr>
        <w:spacing w:before="120" w:after="120" w:line="360" w:lineRule="auto"/>
        <w:jc w:val="both"/>
        <w:rPr>
          <w:rFonts w:ascii="Arial" w:hAnsi="Arial"/>
        </w:rPr>
      </w:pPr>
      <w:r w:rsidRPr="008D673E">
        <w:rPr>
          <w:rFonts w:ascii="Arial" w:hAnsi="Arial"/>
        </w:rPr>
        <w:lastRenderedPageBreak/>
        <w:t>En las soldaduras realizadas en taller el depósito de los cordones se efectuará siempre que sea posible, en posición horizontal. El taller contará con dispositivos para voltear las piezas y colocarlas en la posición más conveniente para la ejecución de las soldaduras, sin que se produzcan solicitaciones excesivas que puedan dañar la resistencia de los cordones depositados.</w:t>
      </w:r>
    </w:p>
    <w:p w14:paraId="7A06B5F5" w14:textId="77777777" w:rsidR="00E83996" w:rsidRPr="008D673E" w:rsidRDefault="00E83996" w:rsidP="00E83996">
      <w:pPr>
        <w:spacing w:before="120" w:after="120" w:line="360" w:lineRule="auto"/>
        <w:jc w:val="both"/>
        <w:rPr>
          <w:rFonts w:ascii="Arial" w:hAnsi="Arial"/>
        </w:rPr>
      </w:pPr>
      <w:r w:rsidRPr="008D673E">
        <w:rPr>
          <w:rFonts w:ascii="Arial" w:hAnsi="Arial"/>
        </w:rPr>
        <w:t>Respecto al orden de ejecución de cordones y soldaduras en el soldeo manual, se seguirán las prescripciones de la EAE</w:t>
      </w:r>
    </w:p>
    <w:p w14:paraId="6E7F74E8" w14:textId="77777777" w:rsidR="008D673E" w:rsidRDefault="00E83996" w:rsidP="00E83996">
      <w:pPr>
        <w:spacing w:before="120" w:after="120" w:line="360" w:lineRule="auto"/>
        <w:jc w:val="both"/>
        <w:rPr>
          <w:rFonts w:ascii="Arial" w:hAnsi="Arial"/>
        </w:rPr>
      </w:pPr>
      <w:r w:rsidRPr="008D673E">
        <w:rPr>
          <w:rFonts w:ascii="Arial" w:hAnsi="Arial"/>
        </w:rPr>
        <w:t>Las uniones soldadas podrán ejecutarse mediante los siguientes procedimientos:</w:t>
      </w:r>
    </w:p>
    <w:p w14:paraId="2AB4E0B1" w14:textId="77777777" w:rsidR="00E83996" w:rsidRPr="008D673E" w:rsidRDefault="00E83996" w:rsidP="00661A5F">
      <w:pPr>
        <w:pStyle w:val="Prrafodelista"/>
        <w:numPr>
          <w:ilvl w:val="0"/>
          <w:numId w:val="217"/>
        </w:numPr>
        <w:spacing w:before="120" w:after="120" w:line="360" w:lineRule="auto"/>
        <w:jc w:val="both"/>
        <w:rPr>
          <w:rFonts w:ascii="Arial" w:hAnsi="Arial"/>
          <w:sz w:val="24"/>
          <w:szCs w:val="24"/>
        </w:rPr>
      </w:pPr>
      <w:r w:rsidRPr="008D673E">
        <w:rPr>
          <w:rFonts w:ascii="Arial" w:hAnsi="Arial"/>
          <w:sz w:val="24"/>
          <w:szCs w:val="24"/>
        </w:rPr>
        <w:t>Soldeo eléctrico, manual, por arco descubierto, con electrodo fusible revestido.</w:t>
      </w:r>
    </w:p>
    <w:p w14:paraId="781CBC3E" w14:textId="77777777" w:rsidR="00E83996" w:rsidRPr="008D673E" w:rsidRDefault="00E83996" w:rsidP="00661A5F">
      <w:pPr>
        <w:pStyle w:val="Prrafodelista"/>
        <w:numPr>
          <w:ilvl w:val="0"/>
          <w:numId w:val="217"/>
        </w:numPr>
        <w:spacing w:before="120" w:after="120" w:line="360" w:lineRule="auto"/>
        <w:jc w:val="both"/>
        <w:rPr>
          <w:rFonts w:ascii="Arial" w:hAnsi="Arial"/>
          <w:sz w:val="24"/>
          <w:szCs w:val="24"/>
        </w:rPr>
      </w:pPr>
      <w:r w:rsidRPr="008D673E">
        <w:rPr>
          <w:rFonts w:ascii="Arial" w:hAnsi="Arial"/>
          <w:sz w:val="24"/>
          <w:szCs w:val="24"/>
        </w:rPr>
        <w:t>Soldeo eléctrico, automático, por arco sumergido, con alambre-electrodo fusible desnudo.</w:t>
      </w:r>
    </w:p>
    <w:p w14:paraId="016E7D7B" w14:textId="77777777" w:rsidR="00E83996" w:rsidRPr="008D673E" w:rsidRDefault="00E83996" w:rsidP="00661A5F">
      <w:pPr>
        <w:pStyle w:val="Prrafodelista"/>
        <w:numPr>
          <w:ilvl w:val="0"/>
          <w:numId w:val="217"/>
        </w:numPr>
        <w:spacing w:before="120" w:after="120" w:line="360" w:lineRule="auto"/>
        <w:jc w:val="both"/>
        <w:rPr>
          <w:rFonts w:ascii="Arial" w:hAnsi="Arial"/>
          <w:sz w:val="24"/>
          <w:szCs w:val="24"/>
        </w:rPr>
      </w:pPr>
      <w:r w:rsidRPr="008D673E">
        <w:rPr>
          <w:rFonts w:ascii="Arial" w:hAnsi="Arial"/>
          <w:sz w:val="24"/>
          <w:szCs w:val="24"/>
        </w:rPr>
        <w:t>Soldeo eléctrico, semiautomático o automático, por arco en atmósfera gaseosa, con alambre-electrodo fusible.</w:t>
      </w:r>
    </w:p>
    <w:p w14:paraId="06D07AFB" w14:textId="77777777" w:rsidR="00E83996" w:rsidRPr="008D673E" w:rsidRDefault="00E83996" w:rsidP="00E83996">
      <w:pPr>
        <w:spacing w:before="120" w:after="120" w:line="360" w:lineRule="auto"/>
        <w:jc w:val="both"/>
        <w:rPr>
          <w:rFonts w:ascii="Arial" w:hAnsi="Arial"/>
        </w:rPr>
      </w:pPr>
      <w:r w:rsidRPr="008D673E">
        <w:rPr>
          <w:rFonts w:ascii="Arial" w:hAnsi="Arial"/>
        </w:rPr>
        <w:t>Las soldaduras automática y semiautomática se emplearán en fabricación, utilizándose la soldadura manual en las partes que éstas sean impracticables.</w:t>
      </w:r>
    </w:p>
    <w:p w14:paraId="070A9181" w14:textId="77777777" w:rsidR="00E83996" w:rsidRPr="008D673E" w:rsidRDefault="00E83996" w:rsidP="00E83996">
      <w:pPr>
        <w:spacing w:before="120" w:after="120" w:line="360" w:lineRule="auto"/>
        <w:jc w:val="both"/>
        <w:rPr>
          <w:rFonts w:ascii="Arial" w:hAnsi="Arial"/>
        </w:rPr>
      </w:pPr>
      <w:r w:rsidRPr="008D673E">
        <w:rPr>
          <w:rFonts w:ascii="Arial" w:hAnsi="Arial"/>
        </w:rPr>
        <w:t>En obra se utilizará preferentemente soldadura manual.</w:t>
      </w:r>
    </w:p>
    <w:p w14:paraId="3B7CC82F" w14:textId="77777777" w:rsidR="00E83996" w:rsidRPr="008D673E" w:rsidRDefault="00E83996" w:rsidP="00E83996">
      <w:pPr>
        <w:spacing w:before="120" w:after="120" w:line="360" w:lineRule="auto"/>
        <w:jc w:val="both"/>
        <w:rPr>
          <w:rFonts w:ascii="Arial" w:hAnsi="Arial"/>
        </w:rPr>
      </w:pPr>
      <w:r w:rsidRPr="008D673E">
        <w:rPr>
          <w:rFonts w:ascii="Arial" w:hAnsi="Arial"/>
        </w:rPr>
        <w:t>Con carácter general se prohíbe el uso del arco protegido en atmósfera de gas protector para las soldaduras de obra.</w:t>
      </w:r>
    </w:p>
    <w:p w14:paraId="3D188BC1" w14:textId="77777777" w:rsidR="00E83996" w:rsidRPr="008D673E" w:rsidRDefault="00E83996" w:rsidP="00E83996">
      <w:pPr>
        <w:spacing w:before="120" w:after="120" w:line="360" w:lineRule="auto"/>
        <w:jc w:val="both"/>
        <w:rPr>
          <w:rFonts w:ascii="Arial" w:hAnsi="Arial"/>
        </w:rPr>
      </w:pPr>
      <w:r w:rsidRPr="008D673E">
        <w:rPr>
          <w:rFonts w:ascii="Arial" w:hAnsi="Arial"/>
        </w:rPr>
        <w:t>Se definirán detalladamente en los correspondientes Procedimientos de soldadura las técnicas operativas que serán empleadas en las diversas uniones soldadas a realizar.</w:t>
      </w:r>
    </w:p>
    <w:p w14:paraId="71B630A5" w14:textId="77777777" w:rsidR="00E83996" w:rsidRPr="008D673E" w:rsidRDefault="00E83996" w:rsidP="00E83996">
      <w:pPr>
        <w:spacing w:before="120" w:after="120" w:line="360" w:lineRule="auto"/>
        <w:jc w:val="both"/>
        <w:rPr>
          <w:rFonts w:ascii="Arial" w:hAnsi="Arial"/>
        </w:rPr>
      </w:pPr>
      <w:r w:rsidRPr="008D673E">
        <w:rPr>
          <w:rFonts w:ascii="Arial" w:hAnsi="Arial"/>
        </w:rPr>
        <w:t>Los soldadores estarán provistos de piquetas manuales, cepillos y esmeriladoras, bien ellos o sus ayudantes. Con estas herramientas se limpiará la escoria y todo defecto que se aprecie: porosidad, fisuración, proyecciones, irregularidades y zonas deficientes de penetración.</w:t>
      </w:r>
    </w:p>
    <w:p w14:paraId="7575195B" w14:textId="77777777" w:rsidR="00E83996" w:rsidRPr="008D673E" w:rsidRDefault="00E83996" w:rsidP="00E83996">
      <w:pPr>
        <w:spacing w:before="120" w:after="120" w:line="360" w:lineRule="auto"/>
        <w:jc w:val="both"/>
        <w:rPr>
          <w:rFonts w:ascii="Arial" w:hAnsi="Arial"/>
        </w:rPr>
      </w:pPr>
      <w:r w:rsidRPr="008D673E">
        <w:rPr>
          <w:rFonts w:ascii="Arial" w:hAnsi="Arial"/>
        </w:rPr>
        <w:t>Las soldaduras a tope serán continuas en toda la longitud de la unión, y de penetración completa, salvo que se indique específicamente en los planos lo contrario.</w:t>
      </w:r>
    </w:p>
    <w:p w14:paraId="285ABC29" w14:textId="77777777" w:rsidR="00E83996" w:rsidRPr="008D673E" w:rsidRDefault="00E83996" w:rsidP="00E83996">
      <w:pPr>
        <w:spacing w:before="120" w:after="120" w:line="360" w:lineRule="auto"/>
        <w:jc w:val="both"/>
        <w:rPr>
          <w:rFonts w:ascii="Arial" w:hAnsi="Arial"/>
        </w:rPr>
      </w:pPr>
      <w:r w:rsidRPr="008D673E">
        <w:rPr>
          <w:rFonts w:ascii="Arial" w:hAnsi="Arial"/>
        </w:rPr>
        <w:t>Todas las soldaduras manuales en taller o montaje serán efectuadas mediante el procedimiento de pasadas múltiples.</w:t>
      </w:r>
    </w:p>
    <w:p w14:paraId="3BF12D5D" w14:textId="77777777" w:rsidR="00E83996" w:rsidRPr="008D673E" w:rsidRDefault="00E83996" w:rsidP="00E83996">
      <w:pPr>
        <w:spacing w:before="120" w:after="120" w:line="360" w:lineRule="auto"/>
        <w:jc w:val="both"/>
        <w:rPr>
          <w:rFonts w:ascii="Arial" w:hAnsi="Arial"/>
        </w:rPr>
      </w:pPr>
      <w:r w:rsidRPr="008D673E">
        <w:rPr>
          <w:rFonts w:ascii="Arial" w:hAnsi="Arial"/>
        </w:rPr>
        <w:t>Antes de la iniciación de las juntas soldadas, las piezas se colocarán y alinearán dentro de las tolerancias prescritas en las especificaciones y normas aplicables.</w:t>
      </w:r>
    </w:p>
    <w:p w14:paraId="2E6612AA" w14:textId="77777777" w:rsidR="00E83996" w:rsidRPr="008D673E" w:rsidRDefault="00E83996" w:rsidP="00E83996">
      <w:pPr>
        <w:spacing w:before="120" w:after="120" w:line="360" w:lineRule="auto"/>
        <w:jc w:val="both"/>
        <w:rPr>
          <w:rFonts w:ascii="Arial" w:hAnsi="Arial"/>
        </w:rPr>
      </w:pPr>
      <w:r w:rsidRPr="008D673E">
        <w:rPr>
          <w:rFonts w:ascii="Arial" w:hAnsi="Arial"/>
        </w:rPr>
        <w:t>La preparación de los bordes para soldar se realiza de acuerdo con lo indicado en los planos y bajo la supervisión del Control de Calidad de Taller y de la Dirección de Obra.</w:t>
      </w:r>
    </w:p>
    <w:p w14:paraId="1CE6E159" w14:textId="77777777" w:rsidR="00E83996" w:rsidRPr="008D673E" w:rsidRDefault="00E83996" w:rsidP="00E83996">
      <w:pPr>
        <w:spacing w:before="120" w:after="120" w:line="360" w:lineRule="auto"/>
        <w:jc w:val="both"/>
        <w:rPr>
          <w:rFonts w:ascii="Arial" w:hAnsi="Arial"/>
        </w:rPr>
      </w:pPr>
      <w:r w:rsidRPr="008D673E">
        <w:rPr>
          <w:rFonts w:ascii="Arial" w:hAnsi="Arial"/>
        </w:rPr>
        <w:t>El borde resultante de cualquier tipo de preparación será uniforme y liso y estará exento de cualquier tipo de oxidación. Cuando el procedimiento base utilizado no produzca estos resultados, se repasará con piedra de esmeril hasta conseguirlo. Se considera admisible una ligera coloración azulada producida por el oxicorte.</w:t>
      </w:r>
    </w:p>
    <w:p w14:paraId="605FC1C9" w14:textId="77777777" w:rsidR="00E83996" w:rsidRPr="008D673E" w:rsidRDefault="00E83996" w:rsidP="00E83996">
      <w:pPr>
        <w:spacing w:before="120" w:after="120" w:line="360" w:lineRule="auto"/>
        <w:jc w:val="both"/>
        <w:rPr>
          <w:rFonts w:ascii="Arial" w:hAnsi="Arial"/>
        </w:rPr>
      </w:pPr>
      <w:r w:rsidRPr="008D673E">
        <w:rPr>
          <w:rFonts w:ascii="Arial" w:hAnsi="Arial"/>
        </w:rPr>
        <w:t>Para el ajuste de los bordes a soldar se podrán emplear elementos auxiliares punteados en las piezas, así como puntos de soldadura sobre los bordes. En este caso estos puntos serán realizados por un soldador cualificado a fin de poder ser eliminados o incluidos como parte de la soldadura.</w:t>
      </w:r>
    </w:p>
    <w:p w14:paraId="549A2D89" w14:textId="77777777" w:rsidR="00E83996" w:rsidRPr="008D673E" w:rsidRDefault="00E83996" w:rsidP="00E83996">
      <w:pPr>
        <w:spacing w:before="120" w:after="120" w:line="360" w:lineRule="auto"/>
        <w:jc w:val="both"/>
        <w:rPr>
          <w:rFonts w:ascii="Arial" w:hAnsi="Arial"/>
        </w:rPr>
      </w:pPr>
      <w:r w:rsidRPr="008D673E">
        <w:rPr>
          <w:rFonts w:ascii="Arial" w:hAnsi="Arial"/>
        </w:rPr>
        <w:t>Los elementos auxiliares de ajustes serán punteados a las piezas solamente por una de sus caras, con el objeto de poder ser retirados sin que se produzcan mordeduras.</w:t>
      </w:r>
    </w:p>
    <w:p w14:paraId="39D1C1BA" w14:textId="77777777" w:rsidR="00E83996" w:rsidRPr="008D673E" w:rsidRDefault="00E83996" w:rsidP="00E83996">
      <w:pPr>
        <w:spacing w:before="120" w:after="120" w:line="360" w:lineRule="auto"/>
        <w:jc w:val="both"/>
        <w:rPr>
          <w:rFonts w:ascii="Arial" w:hAnsi="Arial"/>
        </w:rPr>
      </w:pPr>
      <w:r w:rsidRPr="008D673E">
        <w:rPr>
          <w:rFonts w:ascii="Arial" w:hAnsi="Arial"/>
        </w:rPr>
        <w:t>Los restos habrán de ser cuidadosamente eliminados.</w:t>
      </w:r>
    </w:p>
    <w:p w14:paraId="3F01D80F" w14:textId="77777777" w:rsidR="00E83996" w:rsidRPr="008D673E" w:rsidRDefault="00E83996" w:rsidP="00E83996">
      <w:pPr>
        <w:spacing w:before="120" w:after="120" w:line="360" w:lineRule="auto"/>
        <w:jc w:val="both"/>
        <w:rPr>
          <w:rFonts w:ascii="Arial" w:hAnsi="Arial"/>
        </w:rPr>
      </w:pPr>
      <w:r w:rsidRPr="008D673E">
        <w:rPr>
          <w:rFonts w:ascii="Arial" w:hAnsi="Arial"/>
        </w:rPr>
        <w:t>Se evitará cuidadosamente que el sistema de ajuste utilizado pueda producir fuertes restricciones de movimiento durante la ejecución de la soldadura.</w:t>
      </w:r>
    </w:p>
    <w:p w14:paraId="44CA88F9" w14:textId="77777777" w:rsidR="00E83996" w:rsidRPr="008D673E" w:rsidRDefault="00E83996" w:rsidP="00E83996">
      <w:pPr>
        <w:spacing w:before="120" w:after="120" w:line="360" w:lineRule="auto"/>
        <w:jc w:val="both"/>
        <w:rPr>
          <w:rFonts w:ascii="Arial" w:hAnsi="Arial"/>
        </w:rPr>
      </w:pPr>
      <w:r w:rsidRPr="008D673E">
        <w:rPr>
          <w:rFonts w:ascii="Arial" w:hAnsi="Arial"/>
        </w:rPr>
        <w:t>El arco de los electrodos se iniciará fuera del empalme y de la estructura, sobre chapas de prueba y se mantendrá lo más corto posible.</w:t>
      </w:r>
    </w:p>
    <w:p w14:paraId="28F583E9" w14:textId="77777777" w:rsidR="00E83996" w:rsidRPr="008D673E" w:rsidRDefault="00E83996" w:rsidP="00E83996">
      <w:pPr>
        <w:spacing w:before="120" w:after="120" w:line="360" w:lineRule="auto"/>
        <w:jc w:val="both"/>
        <w:rPr>
          <w:rFonts w:ascii="Arial" w:hAnsi="Arial"/>
        </w:rPr>
      </w:pPr>
      <w:r w:rsidRPr="008D673E">
        <w:rPr>
          <w:rFonts w:ascii="Arial" w:hAnsi="Arial"/>
        </w:rPr>
        <w:t>No se permite controlar las distorsiones durante la soldadura con martilleo, salvo en los casos en que esté autorizado por la supervisión y bajo vigilancia.</w:t>
      </w:r>
    </w:p>
    <w:p w14:paraId="6DD2581C" w14:textId="77777777" w:rsidR="00E83996" w:rsidRPr="008D673E" w:rsidRDefault="00E83996" w:rsidP="00E83996">
      <w:pPr>
        <w:spacing w:before="120" w:after="120" w:line="360" w:lineRule="auto"/>
        <w:jc w:val="both"/>
        <w:rPr>
          <w:rFonts w:ascii="Arial" w:hAnsi="Arial"/>
        </w:rPr>
      </w:pPr>
      <w:r w:rsidRPr="008D673E">
        <w:rPr>
          <w:rFonts w:ascii="Arial" w:hAnsi="Arial"/>
        </w:rPr>
        <w:t xml:space="preserve">El espesor mínimo de garganta de los cordones de soldadura de ángulo será de 3 </w:t>
      </w:r>
      <w:proofErr w:type="spellStart"/>
      <w:r w:rsidRPr="008D673E">
        <w:rPr>
          <w:rFonts w:ascii="Arial" w:hAnsi="Arial"/>
        </w:rPr>
        <w:t>mm.</w:t>
      </w:r>
      <w:proofErr w:type="spellEnd"/>
      <w:r w:rsidRPr="008D673E">
        <w:rPr>
          <w:rFonts w:ascii="Arial" w:hAnsi="Arial"/>
        </w:rPr>
        <w:t xml:space="preserve"> El espesor máximo será igual a 0,7 veces el menor de los espesores de las dos chapas o perfiles unidos por el cordón.</w:t>
      </w:r>
    </w:p>
    <w:p w14:paraId="398B1B8A" w14:textId="77777777" w:rsidR="00E83996" w:rsidRPr="008D673E" w:rsidRDefault="00E83996" w:rsidP="00E83996">
      <w:pPr>
        <w:spacing w:before="120" w:after="120" w:line="360" w:lineRule="auto"/>
        <w:jc w:val="both"/>
        <w:rPr>
          <w:rFonts w:ascii="Arial" w:hAnsi="Arial"/>
        </w:rPr>
      </w:pPr>
      <w:r w:rsidRPr="008D673E">
        <w:rPr>
          <w:rFonts w:ascii="Arial" w:hAnsi="Arial"/>
        </w:rPr>
        <w:t>Como norma general, cuando no se especifique otra cosa en los planos de proyecto, en los cordones en ángulo que unan chapas o perfiles, tendrán una altura de garganta resultante del producto 0,7 x e, siendo "e" el menor espesor de las piezas a unir.</w:t>
      </w:r>
    </w:p>
    <w:p w14:paraId="28AC503B" w14:textId="77777777" w:rsidR="00E83996" w:rsidRPr="008D673E" w:rsidRDefault="00E83996" w:rsidP="00E83996">
      <w:pPr>
        <w:spacing w:before="120" w:after="120" w:line="360" w:lineRule="auto"/>
        <w:jc w:val="both"/>
        <w:rPr>
          <w:rFonts w:ascii="Arial" w:hAnsi="Arial"/>
        </w:rPr>
      </w:pPr>
      <w:r w:rsidRPr="008D673E">
        <w:rPr>
          <w:rFonts w:ascii="Arial" w:hAnsi="Arial"/>
        </w:rPr>
        <w:lastRenderedPageBreak/>
        <w:t xml:space="preserve">Siempre que sea factible, se pondrá la pieza en posición para soldadura plana bajo mano. Al montar y unir partes de una estructura o de piezas compuestas, el procedimiento y la secuencia de soldadura serán tales que se eviten las distorsiones innecesarias y se reduzcan al mínimo las tensiones residuales. Cuando sea imposible evitar altas tensiones residuales, </w:t>
      </w:r>
      <w:proofErr w:type="gramStart"/>
      <w:r w:rsidRPr="008D673E">
        <w:rPr>
          <w:rFonts w:ascii="Arial" w:hAnsi="Arial"/>
        </w:rPr>
        <w:t>como</w:t>
      </w:r>
      <w:proofErr w:type="gramEnd"/>
      <w:r w:rsidRPr="008D673E">
        <w:rPr>
          <w:rFonts w:ascii="Arial" w:hAnsi="Arial"/>
        </w:rPr>
        <w:t xml:space="preserve"> por ejemplo, en las soldaduras de cierre de un montaje rígido, se hará tal soldadura de cierre en elementos de compresión.</w:t>
      </w:r>
    </w:p>
    <w:p w14:paraId="758EABC4" w14:textId="77777777" w:rsidR="00E83996" w:rsidRPr="008D673E" w:rsidRDefault="00E83996" w:rsidP="00E83996">
      <w:pPr>
        <w:spacing w:before="120" w:after="120" w:line="360" w:lineRule="auto"/>
        <w:jc w:val="both"/>
        <w:rPr>
          <w:rFonts w:ascii="Arial" w:hAnsi="Arial"/>
        </w:rPr>
      </w:pPr>
      <w:r w:rsidRPr="008D673E">
        <w:rPr>
          <w:rFonts w:ascii="Arial" w:hAnsi="Arial"/>
        </w:rPr>
        <w:t>En la fabricación de piezas compuestas con refuerzos o en los nudos de unión reforzados, todas las piezas simples en contacto con el refuerzo deberán ser soldadas a la pieza de refuerzo a lo largo de todos los puntos en contacto con dicha pieza.</w:t>
      </w:r>
    </w:p>
    <w:p w14:paraId="7D607137" w14:textId="77777777" w:rsidR="00E83996" w:rsidRPr="00390145" w:rsidRDefault="00E83996" w:rsidP="00390145">
      <w:pPr>
        <w:spacing w:before="120" w:after="120" w:line="360" w:lineRule="auto"/>
        <w:jc w:val="both"/>
        <w:rPr>
          <w:rFonts w:ascii="Arial" w:hAnsi="Arial"/>
          <w:i/>
          <w:u w:val="single"/>
        </w:rPr>
      </w:pPr>
      <w:r w:rsidRPr="00390145">
        <w:rPr>
          <w:rFonts w:ascii="Arial" w:hAnsi="Arial"/>
          <w:i/>
          <w:u w:val="single"/>
        </w:rPr>
        <w:t>Soldaduras a tope:</w:t>
      </w:r>
    </w:p>
    <w:p w14:paraId="77E44449"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Cuando el espesor de </w:t>
      </w:r>
      <w:proofErr w:type="gramStart"/>
      <w:r w:rsidRPr="00390145">
        <w:rPr>
          <w:rFonts w:ascii="Arial" w:hAnsi="Arial"/>
        </w:rPr>
        <w:t>la piezas</w:t>
      </w:r>
      <w:proofErr w:type="gramEnd"/>
      <w:r w:rsidRPr="00390145">
        <w:rPr>
          <w:rFonts w:ascii="Arial" w:hAnsi="Arial"/>
        </w:rPr>
        <w:t xml:space="preserve"> a unir sea igual o menor que 6 mm se permitirá la soldadura a tope por un lado sin necesidad de preparación de los bordes, siempre que se utilice un electrodo que asegure una penetración completa. La separación entre bordes en este </w:t>
      </w:r>
      <w:proofErr w:type="gramStart"/>
      <w:r w:rsidRPr="00390145">
        <w:rPr>
          <w:rFonts w:ascii="Arial" w:hAnsi="Arial"/>
        </w:rPr>
        <w:t>caso,</w:t>
      </w:r>
      <w:proofErr w:type="gramEnd"/>
      <w:r w:rsidRPr="00390145">
        <w:rPr>
          <w:rFonts w:ascii="Arial" w:hAnsi="Arial"/>
        </w:rPr>
        <w:t xml:space="preserve"> deberá ser inferior a la mitad del espesor de la pieza a soldar más delgada.</w:t>
      </w:r>
    </w:p>
    <w:p w14:paraId="0B1CA7B9"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Cuando el espesor de las piezas a unir sea superior a 6 mm se deberán preparar los bordes para junta en V o en X, según sean o no accesibles ambos lados. En cualquiera de los dos casos, la separación entre bordes no será mayor de 3 </w:t>
      </w:r>
      <w:proofErr w:type="spellStart"/>
      <w:r w:rsidRPr="00390145">
        <w:rPr>
          <w:rFonts w:ascii="Arial" w:hAnsi="Arial"/>
        </w:rPr>
        <w:t>mm.</w:t>
      </w:r>
      <w:proofErr w:type="spellEnd"/>
    </w:p>
    <w:p w14:paraId="655B19C7" w14:textId="77777777" w:rsidR="00E83996" w:rsidRPr="00390145" w:rsidRDefault="00E83996" w:rsidP="00E83996">
      <w:pPr>
        <w:spacing w:before="120" w:after="120" w:line="360" w:lineRule="auto"/>
        <w:jc w:val="both"/>
        <w:rPr>
          <w:rFonts w:ascii="Arial" w:hAnsi="Arial"/>
        </w:rPr>
      </w:pPr>
      <w:r w:rsidRPr="00390145">
        <w:rPr>
          <w:rFonts w:ascii="Arial" w:hAnsi="Arial"/>
        </w:rPr>
        <w:t>En juntas en X, deberá realizarse por sistema un saneado de la raíz por procedimientos mecánicos o por arco-aire antes de iniciar la soldadura por el lado opuesto. En el caso de que se utilice el electrodo de grafito, deberá eliminarse con muela la capa carburada de color azul que se haya formado.</w:t>
      </w:r>
    </w:p>
    <w:p w14:paraId="72F8E29F" w14:textId="77777777" w:rsidR="00E83996" w:rsidRPr="00390145" w:rsidRDefault="00E83996" w:rsidP="00E83996">
      <w:pPr>
        <w:spacing w:before="120" w:after="120" w:line="360" w:lineRule="auto"/>
        <w:jc w:val="both"/>
        <w:rPr>
          <w:rFonts w:ascii="Arial" w:hAnsi="Arial"/>
        </w:rPr>
      </w:pPr>
      <w:r w:rsidRPr="00390145">
        <w:rPr>
          <w:rFonts w:ascii="Arial" w:hAnsi="Arial"/>
        </w:rPr>
        <w:t>Cuando se especifique la necesidad de utilizar anillo o placa de respaldo, el material utilizado deberá ser de la misma naturaleza que el material de base y las variables de soldadura serán tales que aseguren una perfecta fusión de las tres piezas que intervienen en la unión.</w:t>
      </w:r>
    </w:p>
    <w:p w14:paraId="511AED37" w14:textId="77777777" w:rsidR="00E83996" w:rsidRPr="00390145" w:rsidRDefault="00E83996" w:rsidP="00E83996">
      <w:pPr>
        <w:spacing w:before="120" w:after="120" w:line="360" w:lineRule="auto"/>
        <w:jc w:val="both"/>
        <w:rPr>
          <w:rFonts w:ascii="Arial" w:hAnsi="Arial"/>
        </w:rPr>
      </w:pPr>
      <w:r w:rsidRPr="00390145">
        <w:rPr>
          <w:rFonts w:ascii="Arial" w:hAnsi="Arial"/>
        </w:rPr>
        <w:t>Los rigidizadores transversales llevarán en las esquinas junto a la unión de alma y platabanda, arcos de circunferencia para librar el paso de los cordones.</w:t>
      </w:r>
    </w:p>
    <w:p w14:paraId="110B2FC6"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En todos los casos de soldadura a tope en que no exista pletina soporte, se procederá a sanear la penetración por la segunda cara de la chapa antes de depositar los </w:t>
      </w:r>
      <w:r w:rsidRPr="00390145">
        <w:rPr>
          <w:rFonts w:ascii="Arial" w:hAnsi="Arial"/>
        </w:rPr>
        <w:t xml:space="preserve">cordones correspondientes a esta cara. Se podrá sanear mediante burilado, </w:t>
      </w:r>
      <w:proofErr w:type="spellStart"/>
      <w:r w:rsidRPr="00390145">
        <w:rPr>
          <w:rFonts w:ascii="Arial" w:hAnsi="Arial"/>
        </w:rPr>
        <w:t>arcogas</w:t>
      </w:r>
      <w:proofErr w:type="spellEnd"/>
      <w:r w:rsidRPr="00390145">
        <w:rPr>
          <w:rFonts w:ascii="Arial" w:hAnsi="Arial"/>
        </w:rPr>
        <w:t xml:space="preserve"> o esmerilado, en el caso que se utilicen cualquiera de estos procedimientos, se realizará un acabado con esmeriladora.</w:t>
      </w:r>
    </w:p>
    <w:p w14:paraId="75347BC5" w14:textId="77777777" w:rsidR="00E83996" w:rsidRPr="00390145" w:rsidRDefault="00E83996" w:rsidP="00E83996">
      <w:pPr>
        <w:spacing w:before="120" w:after="120" w:line="360" w:lineRule="auto"/>
        <w:jc w:val="both"/>
        <w:rPr>
          <w:rFonts w:ascii="Arial" w:hAnsi="Arial"/>
        </w:rPr>
      </w:pPr>
      <w:r w:rsidRPr="00390145">
        <w:rPr>
          <w:rFonts w:ascii="Arial" w:hAnsi="Arial"/>
        </w:rPr>
        <w:t>Caso de que la segunda cara sea inaccesible, se autorizará a soldadura "penetración completa" utilizando un electrodo apropiado y siguiendo las instrucciones de los planos.</w:t>
      </w:r>
    </w:p>
    <w:p w14:paraId="797D2149" w14:textId="77777777" w:rsidR="00E83996" w:rsidRPr="00390145" w:rsidRDefault="00E83996" w:rsidP="00E83996">
      <w:pPr>
        <w:spacing w:before="120" w:after="120" w:line="360" w:lineRule="auto"/>
        <w:jc w:val="both"/>
        <w:rPr>
          <w:rFonts w:ascii="Arial" w:hAnsi="Arial"/>
        </w:rPr>
      </w:pPr>
      <w:r w:rsidRPr="00390145">
        <w:rPr>
          <w:rFonts w:ascii="Arial" w:hAnsi="Arial"/>
        </w:rPr>
        <w:t>El acabado de las soldaduras presentará un aspecto uniforme, libre de mordeduras y solapes.</w:t>
      </w:r>
    </w:p>
    <w:p w14:paraId="5072DCF0" w14:textId="77777777" w:rsidR="00E83996" w:rsidRPr="00390145" w:rsidRDefault="00E83996" w:rsidP="00E83996">
      <w:pPr>
        <w:spacing w:before="120" w:after="120" w:line="360" w:lineRule="auto"/>
        <w:jc w:val="both"/>
        <w:rPr>
          <w:rFonts w:ascii="Arial" w:hAnsi="Arial"/>
        </w:rPr>
      </w:pPr>
      <w:r w:rsidRPr="00390145">
        <w:rPr>
          <w:rFonts w:ascii="Arial" w:hAnsi="Arial"/>
        </w:rPr>
        <w:t>En ningún caso se acelerará el enfriamiento de las soldaduras con métodos artificiales.</w:t>
      </w:r>
    </w:p>
    <w:p w14:paraId="6192C0EC" w14:textId="77777777" w:rsidR="00E83996" w:rsidRPr="00390145" w:rsidRDefault="00E83996" w:rsidP="00E83996">
      <w:pPr>
        <w:spacing w:before="120" w:after="120" w:line="360" w:lineRule="auto"/>
        <w:jc w:val="both"/>
        <w:rPr>
          <w:rFonts w:ascii="Arial" w:hAnsi="Arial"/>
        </w:rPr>
      </w:pPr>
      <w:r w:rsidRPr="00390145">
        <w:rPr>
          <w:rFonts w:ascii="Arial" w:hAnsi="Arial"/>
        </w:rPr>
        <w:t>No se realizarán trabajos de soldadura a la intemperie en condiciones atmosféricas desfavorables, tales como excesiva humedad, lluvia o viento. En tales circunstancias, se deberá proteger la zona de trabajo previamente a la iniciación de cualquier operación de soldadura.</w:t>
      </w:r>
    </w:p>
    <w:p w14:paraId="5600007D" w14:textId="77777777" w:rsidR="00E83996" w:rsidRPr="00390145" w:rsidRDefault="00E83996" w:rsidP="00E83996">
      <w:pPr>
        <w:spacing w:before="120" w:after="120" w:line="360" w:lineRule="auto"/>
        <w:jc w:val="both"/>
        <w:rPr>
          <w:rFonts w:ascii="Arial" w:hAnsi="Arial"/>
        </w:rPr>
      </w:pPr>
      <w:r w:rsidRPr="00390145">
        <w:rPr>
          <w:rFonts w:ascii="Arial" w:hAnsi="Arial"/>
        </w:rPr>
        <w:t>Cuando se obtenga el resultado de los ensayos que se realicen, y se reciban instrucciones para realizar reparaciones de la soldadura, se procederá a sanear el defecto, y rellenar la zona saneada.</w:t>
      </w:r>
    </w:p>
    <w:p w14:paraId="591FA4AF" w14:textId="77777777" w:rsidR="00E83996" w:rsidRPr="00390145" w:rsidRDefault="00E83996" w:rsidP="00E83996">
      <w:pPr>
        <w:spacing w:before="120" w:after="120" w:line="360" w:lineRule="auto"/>
        <w:jc w:val="both"/>
        <w:rPr>
          <w:rFonts w:ascii="Arial" w:hAnsi="Arial"/>
        </w:rPr>
      </w:pPr>
      <w:r w:rsidRPr="00390145">
        <w:rPr>
          <w:rFonts w:ascii="Arial" w:hAnsi="Arial"/>
        </w:rPr>
        <w:t>Finalizada la operación, se volverá a inspeccionar con el fin de determinar si esta reparación se ha efectuado correctamente.</w:t>
      </w:r>
    </w:p>
    <w:p w14:paraId="2DFDAF48" w14:textId="77777777" w:rsidR="00E83996" w:rsidRPr="00390145" w:rsidRDefault="00E83996" w:rsidP="00E83996">
      <w:pPr>
        <w:spacing w:before="120" w:after="120" w:line="360" w:lineRule="auto"/>
        <w:jc w:val="both"/>
        <w:rPr>
          <w:rFonts w:ascii="Arial" w:hAnsi="Arial"/>
        </w:rPr>
      </w:pPr>
      <w:r w:rsidRPr="00390145">
        <w:rPr>
          <w:rFonts w:ascii="Arial" w:hAnsi="Arial"/>
        </w:rPr>
        <w:t>En obra, cada unión será inspeccionada antes de iniciarse la soldadura en cuanto a limpieza, cumpliendo la tolerancia de ajuste, preparación de bordes y restricciones mecánicas.</w:t>
      </w:r>
    </w:p>
    <w:p w14:paraId="783A3199"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Los cordones laterales de soldadura de ángulo que transmitan esfuerzos axiles de </w:t>
      </w:r>
      <w:proofErr w:type="gramStart"/>
      <w:r w:rsidRPr="00390145">
        <w:rPr>
          <w:rFonts w:ascii="Arial" w:hAnsi="Arial"/>
        </w:rPr>
        <w:t>barras,</w:t>
      </w:r>
      <w:proofErr w:type="gramEnd"/>
      <w:r w:rsidRPr="00390145">
        <w:rPr>
          <w:rFonts w:ascii="Arial" w:hAnsi="Arial"/>
        </w:rPr>
        <w:t xml:space="preserve"> tendrán una longitud no inferior a 15 veces su espesor de garganta, ni inferior al ancho del perfil unido.</w:t>
      </w:r>
    </w:p>
    <w:p w14:paraId="6B8DAF9E" w14:textId="77777777" w:rsidR="00E83996" w:rsidRPr="00390145" w:rsidRDefault="00E83996" w:rsidP="00E83996">
      <w:pPr>
        <w:spacing w:before="120" w:after="120" w:line="360" w:lineRule="auto"/>
        <w:jc w:val="both"/>
        <w:rPr>
          <w:rFonts w:ascii="Arial" w:hAnsi="Arial"/>
        </w:rPr>
      </w:pPr>
      <w:r w:rsidRPr="00390145">
        <w:rPr>
          <w:rFonts w:ascii="Arial" w:hAnsi="Arial"/>
        </w:rPr>
        <w:t>Quedan terminantemente prohibidas las soldaduras de tapón y de ranura.</w:t>
      </w:r>
    </w:p>
    <w:p w14:paraId="3597361D" w14:textId="77777777" w:rsidR="00E83996" w:rsidRPr="00390145" w:rsidRDefault="00E83996" w:rsidP="00E83996">
      <w:pPr>
        <w:spacing w:before="120" w:after="120" w:line="360" w:lineRule="auto"/>
        <w:jc w:val="both"/>
        <w:rPr>
          <w:rFonts w:ascii="Arial" w:hAnsi="Arial"/>
        </w:rPr>
      </w:pPr>
      <w:r w:rsidRPr="00390145">
        <w:rPr>
          <w:rFonts w:ascii="Arial" w:hAnsi="Arial"/>
        </w:rPr>
        <w:t>El Contratista mantendrá los electrodos en paquetes a prueba de humedad situándolos en un local cerrado y seco y a una temperatura tal que se eviten condensaciones.</w:t>
      </w:r>
    </w:p>
    <w:p w14:paraId="0503B7CD" w14:textId="77777777" w:rsidR="00E83996" w:rsidRPr="00390145" w:rsidRDefault="00E83996" w:rsidP="00E83996">
      <w:pPr>
        <w:spacing w:before="120" w:after="120" w:line="360" w:lineRule="auto"/>
        <w:jc w:val="both"/>
        <w:rPr>
          <w:rFonts w:ascii="Arial" w:hAnsi="Arial"/>
        </w:rPr>
      </w:pPr>
      <w:r w:rsidRPr="00390145">
        <w:rPr>
          <w:rFonts w:ascii="Arial" w:hAnsi="Arial"/>
        </w:rPr>
        <w:lastRenderedPageBreak/>
        <w:t>Deberá disponer de hornos para el mantenimiento de electrodos en los cuales serán introducidos éstos en el momento en que los paquetes sean abiertos para su utilización. En aquellos casos en que las envolturas exteriores de los paquetes hayan sufrido daños, el Inspector de Control adscrito a la Dirección de Obra decidirá si los electrodos deben ser rechazados, desecados o introducidos directamente en los hornos de mantenimiento. Habrá de tenerse en cuenta a tal efecto que la misión exclusiva de los hornos de mantenimiento será tener en buenas condiciones de utilización aquellos electrodos que inicialmente lo estén y que por haber perdido su aislamiento de la atmósfera lo requieran.</w:t>
      </w:r>
    </w:p>
    <w:p w14:paraId="7AAEEEF6" w14:textId="77777777" w:rsidR="00E83996" w:rsidRPr="00390145" w:rsidRDefault="00E83996" w:rsidP="00E83996">
      <w:pPr>
        <w:spacing w:before="120" w:after="120" w:line="360" w:lineRule="auto"/>
        <w:jc w:val="both"/>
        <w:rPr>
          <w:rFonts w:ascii="Arial" w:hAnsi="Arial"/>
        </w:rPr>
      </w:pPr>
      <w:r w:rsidRPr="00390145">
        <w:rPr>
          <w:rFonts w:ascii="Arial" w:hAnsi="Arial"/>
        </w:rPr>
        <w:t>Los electrodos recubiertos de tipo básico, cuyos embalajes no presenten una estanqueidad garantizada y se decida desecarlos, lo sean durante 2 horas, como mínimo, a una temperatura entre 200 y 250ºC. Estos valores podrán modificarse de acuerdo con las recomendaciones del fabricante.</w:t>
      </w:r>
    </w:p>
    <w:p w14:paraId="24125C1D" w14:textId="77777777" w:rsidR="00E83996" w:rsidRPr="00390145" w:rsidRDefault="00E83996" w:rsidP="00E83996">
      <w:pPr>
        <w:spacing w:before="120" w:after="120" w:line="360" w:lineRule="auto"/>
        <w:jc w:val="both"/>
        <w:rPr>
          <w:rFonts w:ascii="Arial" w:hAnsi="Arial"/>
        </w:rPr>
      </w:pPr>
      <w:r w:rsidRPr="00390145">
        <w:rPr>
          <w:rFonts w:ascii="Arial" w:hAnsi="Arial"/>
        </w:rPr>
        <w:t>El fundente y las varillas para soldar se almacenarán en locales cerrados con el fin de evitar los excesos de humedad. El fundente se secará (antes de su utilización) durante dos horas como mínimo a una temperatura entre 175 y 225ºC, o tal como indique el fabricante.</w:t>
      </w:r>
    </w:p>
    <w:p w14:paraId="6F648B0A"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El fundente que haya estado a temperatura ambiente durante más de dos horas no se utilizará a menos que sea secado de acuerdo con lo descrito en el párrafo anterior. El fundente seco puede mantenerse en una estufa a una temperatura no inferior a 50 </w:t>
      </w:r>
      <w:proofErr w:type="spellStart"/>
      <w:r w:rsidRPr="00390145">
        <w:rPr>
          <w:rFonts w:ascii="Arial" w:hAnsi="Arial"/>
        </w:rPr>
        <w:t>ºC</w:t>
      </w:r>
      <w:proofErr w:type="spellEnd"/>
      <w:r w:rsidRPr="00390145">
        <w:rPr>
          <w:rFonts w:ascii="Arial" w:hAnsi="Arial"/>
        </w:rPr>
        <w:t xml:space="preserve"> hasta su utilización. </w:t>
      </w:r>
      <w:proofErr w:type="gramStart"/>
      <w:r w:rsidRPr="00390145">
        <w:rPr>
          <w:rFonts w:ascii="Arial" w:hAnsi="Arial"/>
        </w:rPr>
        <w:t>Bajo ninguna circunstancia</w:t>
      </w:r>
      <w:proofErr w:type="gramEnd"/>
      <w:r w:rsidRPr="00390145">
        <w:rPr>
          <w:rFonts w:ascii="Arial" w:hAnsi="Arial"/>
        </w:rPr>
        <w:t xml:space="preserve"> se permitirá el reciclaje de la escoria del fundente.</w:t>
      </w:r>
    </w:p>
    <w:p w14:paraId="7F36FBE9"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Con independencia de los hornos que pudiera disponer en el almacén, el Contratista situará hornos de mantenimiento en las proximidades de las zonas de trabajo de los soldadores. El soldador dispondrá de estufa </w:t>
      </w:r>
      <w:proofErr w:type="spellStart"/>
      <w:r w:rsidRPr="00390145">
        <w:rPr>
          <w:rFonts w:ascii="Arial" w:hAnsi="Arial"/>
        </w:rPr>
        <w:t>portaelectrodos</w:t>
      </w:r>
      <w:proofErr w:type="spellEnd"/>
      <w:r w:rsidRPr="00390145">
        <w:rPr>
          <w:rFonts w:ascii="Arial" w:hAnsi="Arial"/>
        </w:rPr>
        <w:t xml:space="preserve"> la cual colocará los electrodos que vaya retirando en pequeñas cantidades del horno de mantenimiento más cercano. Estos electrodos deberán ser utilizados en un plazo inferior a una hora.</w:t>
      </w:r>
    </w:p>
    <w:p w14:paraId="7B6B0E74" w14:textId="77777777" w:rsidR="00E83996" w:rsidRPr="00390145" w:rsidRDefault="00E83996" w:rsidP="00E83996">
      <w:pPr>
        <w:spacing w:before="120" w:after="120" w:line="360" w:lineRule="auto"/>
        <w:jc w:val="both"/>
        <w:rPr>
          <w:rFonts w:ascii="Arial" w:hAnsi="Arial"/>
        </w:rPr>
      </w:pPr>
      <w:r w:rsidRPr="00390145">
        <w:rPr>
          <w:rFonts w:ascii="Arial" w:hAnsi="Arial"/>
        </w:rPr>
        <w:t>Los Inspectores de Control de la Dirección de Obra podrán ordenar la retirada o destrucción de cualquier electrodo que a pesar de las precauciones tomadas por el Contratista haya resultado contaminado en su opinión.</w:t>
      </w:r>
    </w:p>
    <w:p w14:paraId="55167F3C" w14:textId="77777777" w:rsidR="00E83996" w:rsidRPr="00390145" w:rsidRDefault="00E83996" w:rsidP="00390145">
      <w:pPr>
        <w:spacing w:before="120" w:after="120" w:line="360" w:lineRule="auto"/>
        <w:jc w:val="both"/>
        <w:rPr>
          <w:rFonts w:ascii="Arial" w:hAnsi="Arial"/>
          <w:i/>
          <w:u w:val="single"/>
        </w:rPr>
      </w:pPr>
      <w:r w:rsidRPr="00390145">
        <w:rPr>
          <w:rFonts w:ascii="Arial" w:hAnsi="Arial"/>
          <w:i/>
          <w:u w:val="single"/>
        </w:rPr>
        <w:t>Deformaciones y tensiones residuales:</w:t>
      </w:r>
    </w:p>
    <w:p w14:paraId="5B1C0DD1" w14:textId="77777777" w:rsidR="00E83996" w:rsidRPr="00390145" w:rsidRDefault="00E83996" w:rsidP="00E83996">
      <w:pPr>
        <w:spacing w:before="120" w:after="120" w:line="360" w:lineRule="auto"/>
        <w:jc w:val="both"/>
        <w:rPr>
          <w:rFonts w:ascii="Arial" w:hAnsi="Arial"/>
        </w:rPr>
      </w:pPr>
      <w:r w:rsidRPr="00390145">
        <w:rPr>
          <w:rFonts w:ascii="Arial" w:hAnsi="Arial"/>
        </w:rPr>
        <w:t>Para conseguir una soldadura con coacciones mínimas, y reducir tensiones residuales y deformaciones al mínimo posible, se operará de acuerdo con las siguientes prescripciones:</w:t>
      </w:r>
    </w:p>
    <w:p w14:paraId="5E4AEFC7" w14:textId="77777777" w:rsidR="00E83996" w:rsidRPr="00390145" w:rsidRDefault="00E83996" w:rsidP="00E83996">
      <w:pPr>
        <w:spacing w:before="120" w:after="120" w:line="360" w:lineRule="auto"/>
        <w:jc w:val="both"/>
        <w:rPr>
          <w:rFonts w:ascii="Arial" w:hAnsi="Arial"/>
        </w:rPr>
      </w:pPr>
      <w:r w:rsidRPr="00390145">
        <w:rPr>
          <w:rFonts w:ascii="Arial" w:hAnsi="Arial"/>
        </w:rPr>
        <w:t>El volumen de metal depositado tendrá en todo momento la máxima simetría posible.</w:t>
      </w:r>
    </w:p>
    <w:p w14:paraId="7BDD91DC" w14:textId="77777777" w:rsidR="00E83996" w:rsidRPr="00390145" w:rsidRDefault="00E83996" w:rsidP="00E83996">
      <w:pPr>
        <w:spacing w:before="120" w:after="120" w:line="360" w:lineRule="auto"/>
        <w:jc w:val="both"/>
        <w:rPr>
          <w:rFonts w:ascii="Arial" w:hAnsi="Arial"/>
        </w:rPr>
      </w:pPr>
      <w:proofErr w:type="gramStart"/>
      <w:r w:rsidRPr="00390145">
        <w:rPr>
          <w:rFonts w:ascii="Arial" w:hAnsi="Arial"/>
        </w:rPr>
        <w:t>Las piezas a soldar</w:t>
      </w:r>
      <w:proofErr w:type="gramEnd"/>
      <w:r w:rsidRPr="00390145">
        <w:rPr>
          <w:rFonts w:ascii="Arial" w:hAnsi="Arial"/>
        </w:rPr>
        <w:t xml:space="preserve"> se dispondrán de modo que puedan seguir los movimientos producidos en el soldeo con la máxima libertad posible.</w:t>
      </w:r>
    </w:p>
    <w:p w14:paraId="7E31ACB0" w14:textId="77777777" w:rsidR="00E83996" w:rsidRPr="00390145" w:rsidRDefault="00E83996" w:rsidP="00E83996">
      <w:pPr>
        <w:spacing w:before="120" w:after="120" w:line="360" w:lineRule="auto"/>
        <w:jc w:val="both"/>
        <w:rPr>
          <w:rFonts w:ascii="Arial" w:hAnsi="Arial"/>
        </w:rPr>
      </w:pPr>
      <w:r w:rsidRPr="00390145">
        <w:rPr>
          <w:rFonts w:ascii="Arial" w:hAnsi="Arial"/>
        </w:rPr>
        <w:t>El soldador tendrá en todo momento acceso fácil y posición óptima de trabajo, para asegurar el depósito limpio y perfecto del material de aportación.</w:t>
      </w:r>
    </w:p>
    <w:p w14:paraId="52BAE13C" w14:textId="77777777" w:rsidR="00E83996" w:rsidRPr="00390145" w:rsidRDefault="00E83996" w:rsidP="00E83996">
      <w:pPr>
        <w:spacing w:before="120" w:after="120" w:line="360" w:lineRule="auto"/>
        <w:jc w:val="both"/>
        <w:rPr>
          <w:rFonts w:ascii="Arial" w:hAnsi="Arial"/>
        </w:rPr>
      </w:pPr>
      <w:r w:rsidRPr="00390145">
        <w:rPr>
          <w:rFonts w:ascii="Arial" w:hAnsi="Arial"/>
        </w:rPr>
        <w:t>La disposición de las piezas y el orden de los cordones será tal que se reduzca al mínimo la acumulación de calor en zonas locales.</w:t>
      </w:r>
    </w:p>
    <w:p w14:paraId="665F9A07" w14:textId="77777777" w:rsidR="00E83996" w:rsidRPr="00390145" w:rsidRDefault="00E83996" w:rsidP="00E83996">
      <w:pPr>
        <w:spacing w:before="120" w:after="120" w:line="360" w:lineRule="auto"/>
        <w:jc w:val="both"/>
        <w:rPr>
          <w:rFonts w:ascii="Arial" w:hAnsi="Arial"/>
        </w:rPr>
      </w:pPr>
      <w:r w:rsidRPr="00390145">
        <w:rPr>
          <w:rFonts w:ascii="Arial" w:hAnsi="Arial"/>
        </w:rPr>
        <w:t>Los cordones de soldadura continuos se soldarán con la técnica de “paso de peregrino”.</w:t>
      </w:r>
    </w:p>
    <w:p w14:paraId="7CA4F992" w14:textId="77777777" w:rsidR="00E83996" w:rsidRPr="00390145" w:rsidRDefault="00E83996" w:rsidP="00390145">
      <w:pPr>
        <w:spacing w:before="120" w:after="120" w:line="360" w:lineRule="auto"/>
        <w:jc w:val="both"/>
        <w:rPr>
          <w:rFonts w:ascii="Arial" w:hAnsi="Arial"/>
          <w:i/>
          <w:u w:val="single"/>
        </w:rPr>
      </w:pPr>
      <w:r w:rsidRPr="00390145">
        <w:rPr>
          <w:rFonts w:ascii="Arial" w:hAnsi="Arial"/>
          <w:i/>
          <w:u w:val="single"/>
        </w:rPr>
        <w:t>Planos de taller</w:t>
      </w:r>
    </w:p>
    <w:p w14:paraId="60075FFB" w14:textId="77777777" w:rsidR="00E83996" w:rsidRPr="00390145" w:rsidRDefault="00E83996" w:rsidP="00390145">
      <w:pPr>
        <w:spacing w:before="120" w:after="120" w:line="360" w:lineRule="auto"/>
        <w:jc w:val="both"/>
        <w:rPr>
          <w:rFonts w:ascii="Arial" w:hAnsi="Arial"/>
          <w:i/>
          <w:u w:val="single"/>
        </w:rPr>
      </w:pPr>
      <w:r w:rsidRPr="00390145">
        <w:rPr>
          <w:rFonts w:ascii="Arial" w:hAnsi="Arial"/>
          <w:i/>
          <w:u w:val="single"/>
        </w:rPr>
        <w:t>1.- Disposiciones generales</w:t>
      </w:r>
    </w:p>
    <w:p w14:paraId="15FA0976" w14:textId="77777777" w:rsidR="00E83996" w:rsidRPr="00390145" w:rsidRDefault="00E83996" w:rsidP="00E83996">
      <w:pPr>
        <w:spacing w:before="120" w:after="120" w:line="360" w:lineRule="auto"/>
        <w:jc w:val="both"/>
        <w:rPr>
          <w:rFonts w:ascii="Arial" w:hAnsi="Arial"/>
        </w:rPr>
      </w:pPr>
      <w:r w:rsidRPr="00390145">
        <w:rPr>
          <w:rFonts w:ascii="Arial" w:hAnsi="Arial"/>
        </w:rPr>
        <w:t>El Contratista adjudicatario, siguiendo las notaciones y directrices de la norma EAE, preparará a partir de los planos generales del Proyecto una colección de planos de taller conteniendo de forma completa:</w:t>
      </w:r>
    </w:p>
    <w:p w14:paraId="3449AF36"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las dimensiones necesarias para definir inequívocamente todos los elementos de la estructura.</w:t>
      </w:r>
    </w:p>
    <w:p w14:paraId="09D37F11"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 xml:space="preserve">las </w:t>
      </w:r>
      <w:proofErr w:type="spellStart"/>
      <w:r w:rsidRPr="00390145">
        <w:rPr>
          <w:rFonts w:ascii="Arial" w:hAnsi="Arial"/>
          <w:sz w:val="24"/>
          <w:szCs w:val="24"/>
        </w:rPr>
        <w:t>contraflechas</w:t>
      </w:r>
      <w:proofErr w:type="spellEnd"/>
      <w:r w:rsidRPr="00390145">
        <w:rPr>
          <w:rFonts w:ascii="Arial" w:hAnsi="Arial"/>
          <w:sz w:val="24"/>
          <w:szCs w:val="24"/>
        </w:rPr>
        <w:t xml:space="preserve"> de vigas, donde estén previstas.</w:t>
      </w:r>
    </w:p>
    <w:p w14:paraId="11BE577E"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la disposición de las uniones, incluso las provisionales de armado, indicando las realizadas en taller y las que se ejecutarán en obra.</w:t>
      </w:r>
    </w:p>
    <w:p w14:paraId="4E2F259C"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la forma y dimensiones de las uniones soldadas, la preparación de bordes, el procedimiento, métodos y posiciones de soldeo, los materiales de aportación a utilizar y el orden de ejecución individual de cada costura y general de la estructura.</w:t>
      </w:r>
    </w:p>
    <w:p w14:paraId="01C2AB4A"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el diámetro de los agujeros de los tornillos, con la indicación de la forma de mecanizado.</w:t>
      </w:r>
    </w:p>
    <w:p w14:paraId="2431F2A7"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lastRenderedPageBreak/>
        <w:t>las clases y diámetros de los tornillos.</w:t>
      </w:r>
    </w:p>
    <w:p w14:paraId="2B36B010"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 xml:space="preserve">el listado de los perfiles y las clases de </w:t>
      </w:r>
      <w:r w:rsidR="00F83B62" w:rsidRPr="00390145">
        <w:rPr>
          <w:rFonts w:ascii="Arial" w:hAnsi="Arial"/>
          <w:sz w:val="24"/>
          <w:szCs w:val="24"/>
        </w:rPr>
        <w:t>acero empleado</w:t>
      </w:r>
      <w:r w:rsidRPr="00390145">
        <w:rPr>
          <w:rFonts w:ascii="Arial" w:hAnsi="Arial"/>
          <w:sz w:val="24"/>
          <w:szCs w:val="24"/>
        </w:rPr>
        <w:t>, los pesos y marcas de cada uno de los elementos de la estructura representados en él y la referencia a los planos de Proyecto.</w:t>
      </w:r>
    </w:p>
    <w:p w14:paraId="6C0D138D"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 xml:space="preserve">las tolerancias de fabricación, </w:t>
      </w:r>
      <w:proofErr w:type="gramStart"/>
      <w:r w:rsidRPr="00390145">
        <w:rPr>
          <w:rFonts w:ascii="Arial" w:hAnsi="Arial"/>
          <w:sz w:val="24"/>
          <w:szCs w:val="24"/>
        </w:rPr>
        <w:t>de acuerdo a</w:t>
      </w:r>
      <w:proofErr w:type="gramEnd"/>
      <w:r w:rsidRPr="00390145">
        <w:rPr>
          <w:rFonts w:ascii="Arial" w:hAnsi="Arial"/>
          <w:sz w:val="24"/>
          <w:szCs w:val="24"/>
        </w:rPr>
        <w:t xml:space="preserve"> lo establecido en la norma EAE, lo indicado en este Pliego y en los Planos.</w:t>
      </w:r>
    </w:p>
    <w:p w14:paraId="4CB3FBD6"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las indicaciones sobre tratamientos térmicos y mecanizados de los elementos que los requieran.</w:t>
      </w:r>
    </w:p>
    <w:p w14:paraId="2FD12513" w14:textId="77777777" w:rsidR="00E83996" w:rsidRPr="00390145" w:rsidRDefault="00E83996" w:rsidP="00E83996">
      <w:pPr>
        <w:spacing w:before="120" w:after="120" w:line="360" w:lineRule="auto"/>
        <w:jc w:val="both"/>
        <w:rPr>
          <w:rFonts w:ascii="Arial" w:hAnsi="Arial"/>
        </w:rPr>
      </w:pPr>
      <w:r w:rsidRPr="00390145">
        <w:rPr>
          <w:rFonts w:ascii="Arial" w:hAnsi="Arial"/>
        </w:rPr>
        <w:t>Los procedimientos de control y cuantía a aplicar en las uniones soldadas, de acuerdo con lo especificado en este Pliego de Condiciones.</w:t>
      </w:r>
    </w:p>
    <w:p w14:paraId="058805B3" w14:textId="77777777" w:rsidR="00E83996" w:rsidRDefault="00E83996" w:rsidP="00E83996">
      <w:pPr>
        <w:spacing w:before="120" w:after="120" w:line="360" w:lineRule="auto"/>
        <w:jc w:val="both"/>
        <w:rPr>
          <w:rFonts w:ascii="Arial" w:hAnsi="Arial"/>
        </w:rPr>
      </w:pPr>
      <w:r w:rsidRPr="00390145">
        <w:rPr>
          <w:rFonts w:ascii="Arial" w:hAnsi="Arial"/>
        </w:rPr>
        <w:t xml:space="preserve">Los diámetros de los agujeros a ejecutar en chapas o planos se elegirán en función de los espesores de las piezas a unir dentro de los límites marcados en la Tabla </w:t>
      </w:r>
      <w:r w:rsidR="00132069">
        <w:rPr>
          <w:rFonts w:ascii="Arial" w:hAnsi="Arial"/>
        </w:rPr>
        <w:t>681.</w:t>
      </w:r>
      <w:r w:rsidRPr="00390145">
        <w:rPr>
          <w:rFonts w:ascii="Arial" w:hAnsi="Arial"/>
        </w:rPr>
        <w:t>1; para los perfiles se elegirán los valores indicados en la norma EAE.</w:t>
      </w:r>
    </w:p>
    <w:p w14:paraId="4E4F558E" w14:textId="77777777" w:rsidR="00132069" w:rsidRDefault="00132069" w:rsidP="00E83996">
      <w:pPr>
        <w:spacing w:before="120" w:after="120" w:line="360" w:lineRule="auto"/>
        <w:jc w:val="both"/>
        <w:rPr>
          <w:rFonts w:ascii="Arial" w:hAnsi="Arial"/>
        </w:rPr>
      </w:pPr>
    </w:p>
    <w:p w14:paraId="549204E6" w14:textId="77777777" w:rsidR="00132069" w:rsidRDefault="00132069" w:rsidP="00E83996">
      <w:pPr>
        <w:spacing w:before="120" w:after="120" w:line="360" w:lineRule="auto"/>
        <w:jc w:val="both"/>
        <w:rPr>
          <w:rFonts w:ascii="Arial" w:hAnsi="Arial"/>
        </w:rPr>
      </w:pPr>
    </w:p>
    <w:p w14:paraId="00D2BD02" w14:textId="77777777" w:rsidR="00132069" w:rsidRDefault="00132069" w:rsidP="00E83996">
      <w:pPr>
        <w:spacing w:before="120" w:after="120" w:line="360" w:lineRule="auto"/>
        <w:jc w:val="both"/>
        <w:rPr>
          <w:rFonts w:ascii="Arial" w:hAnsi="Arial"/>
        </w:rPr>
      </w:pPr>
    </w:p>
    <w:p w14:paraId="2FA993D9" w14:textId="77777777" w:rsidR="00132069" w:rsidRDefault="00132069" w:rsidP="00E83996">
      <w:pPr>
        <w:spacing w:before="120" w:after="120" w:line="360" w:lineRule="auto"/>
        <w:jc w:val="both"/>
        <w:rPr>
          <w:rFonts w:ascii="Arial" w:hAnsi="Arial"/>
        </w:rPr>
      </w:pPr>
    </w:p>
    <w:p w14:paraId="1799C66D" w14:textId="77777777" w:rsidR="00132069" w:rsidRDefault="00132069" w:rsidP="00E83996">
      <w:pPr>
        <w:spacing w:before="120" w:after="120" w:line="360" w:lineRule="auto"/>
        <w:jc w:val="both"/>
        <w:rPr>
          <w:rFonts w:ascii="Arial" w:hAnsi="Arial"/>
        </w:rPr>
      </w:pPr>
    </w:p>
    <w:p w14:paraId="015DF35E" w14:textId="77777777" w:rsidR="00132069" w:rsidRPr="00390145" w:rsidRDefault="00132069" w:rsidP="00E83996">
      <w:pPr>
        <w:spacing w:before="120" w:after="120" w:line="360" w:lineRule="auto"/>
        <w:jc w:val="both"/>
        <w:rPr>
          <w:rFonts w:ascii="Arial" w:hAnsi="Arial"/>
        </w:rPr>
      </w:pPr>
    </w:p>
    <w:p w14:paraId="0C4E1BFB" w14:textId="77777777" w:rsidR="00E83996" w:rsidRPr="00E032E2" w:rsidRDefault="00E83996" w:rsidP="00E83996">
      <w:pPr>
        <w:spacing w:before="120" w:after="120" w:line="360" w:lineRule="auto"/>
        <w:jc w:val="center"/>
        <w:rPr>
          <w:rFonts w:ascii="Arial" w:hAnsi="Arial"/>
          <w:i/>
          <w:sz w:val="22"/>
          <w:szCs w:val="20"/>
        </w:rPr>
      </w:pPr>
      <w:r w:rsidRPr="00E032E2">
        <w:rPr>
          <w:rFonts w:ascii="Arial" w:hAnsi="Arial"/>
          <w:b/>
          <w:i/>
          <w:sz w:val="22"/>
          <w:szCs w:val="20"/>
        </w:rPr>
        <w:t>Tabla 681.1:</w:t>
      </w:r>
      <w:r w:rsidRPr="00E032E2">
        <w:rPr>
          <w:rFonts w:ascii="Arial" w:hAnsi="Arial"/>
          <w:i/>
          <w:sz w:val="22"/>
          <w:szCs w:val="20"/>
        </w:rPr>
        <w:t xml:space="preserve"> Limitaciones para agujeros</w:t>
      </w:r>
    </w:p>
    <w:p w14:paraId="2B941835" w14:textId="77777777" w:rsidR="00E83996" w:rsidRPr="00E032E2" w:rsidRDefault="00E83996" w:rsidP="00E83996">
      <w:pPr>
        <w:autoSpaceDE w:val="0"/>
        <w:autoSpaceDN w:val="0"/>
        <w:adjustRightInd w:val="0"/>
        <w:spacing w:before="10" w:line="100" w:lineRule="exact"/>
        <w:rPr>
          <w:sz w:val="10"/>
          <w:szCs w:val="10"/>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000" w:firstRow="0" w:lastRow="0" w:firstColumn="0" w:lastColumn="0" w:noHBand="0" w:noVBand="0"/>
      </w:tblPr>
      <w:tblGrid>
        <w:gridCol w:w="2866"/>
        <w:gridCol w:w="2876"/>
        <w:gridCol w:w="2921"/>
      </w:tblGrid>
      <w:tr w:rsidR="00E83996" w:rsidRPr="00E032E2" w14:paraId="72A296B3" w14:textId="77777777" w:rsidTr="00390145">
        <w:trPr>
          <w:trHeight w:hRule="exact" w:val="1344"/>
          <w:jc w:val="center"/>
        </w:trPr>
        <w:tc>
          <w:tcPr>
            <w:tcW w:w="2866" w:type="dxa"/>
            <w:shd w:val="clear" w:color="auto" w:fill="D9D9D9" w:themeFill="background1" w:themeFillShade="D9"/>
            <w:vAlign w:val="center"/>
          </w:tcPr>
          <w:p w14:paraId="6B71706F" w14:textId="77777777" w:rsidR="00E83996" w:rsidRPr="00E032E2" w:rsidRDefault="00E83996" w:rsidP="00EC60DF">
            <w:pPr>
              <w:autoSpaceDE w:val="0"/>
              <w:autoSpaceDN w:val="0"/>
              <w:adjustRightInd w:val="0"/>
              <w:spacing w:before="3" w:line="110" w:lineRule="exact"/>
              <w:jc w:val="center"/>
              <w:rPr>
                <w:sz w:val="11"/>
                <w:szCs w:val="11"/>
              </w:rPr>
            </w:pPr>
          </w:p>
          <w:p w14:paraId="79F34197" w14:textId="77777777" w:rsidR="00E83996" w:rsidRPr="00E032E2" w:rsidRDefault="00E83996" w:rsidP="00EC60DF">
            <w:pPr>
              <w:autoSpaceDE w:val="0"/>
              <w:autoSpaceDN w:val="0"/>
              <w:adjustRightInd w:val="0"/>
              <w:spacing w:line="420" w:lineRule="auto"/>
              <w:ind w:left="683" w:right="582" w:firstLine="7"/>
              <w:jc w:val="center"/>
            </w:pPr>
            <w:r w:rsidRPr="00E032E2">
              <w:rPr>
                <w:rFonts w:ascii="Arial" w:hAnsi="Arial" w:cs="Arial"/>
                <w:b/>
                <w:bCs/>
                <w:sz w:val="20"/>
                <w:szCs w:val="20"/>
              </w:rPr>
              <w:t>D</w:t>
            </w:r>
            <w:r w:rsidRPr="00E032E2">
              <w:rPr>
                <w:rFonts w:ascii="Arial" w:hAnsi="Arial" w:cs="Arial"/>
                <w:b/>
                <w:bCs/>
                <w:spacing w:val="5"/>
                <w:sz w:val="20"/>
                <w:szCs w:val="20"/>
              </w:rPr>
              <w:t>I</w:t>
            </w:r>
            <w:r w:rsidRPr="00E032E2">
              <w:rPr>
                <w:rFonts w:ascii="Arial" w:hAnsi="Arial" w:cs="Arial"/>
                <w:b/>
                <w:bCs/>
                <w:spacing w:val="-7"/>
                <w:sz w:val="20"/>
                <w:szCs w:val="20"/>
              </w:rPr>
              <w:t>Á</w:t>
            </w:r>
            <w:r w:rsidRPr="00E032E2">
              <w:rPr>
                <w:rFonts w:ascii="Arial" w:hAnsi="Arial" w:cs="Arial"/>
                <w:b/>
                <w:bCs/>
                <w:spacing w:val="4"/>
                <w:sz w:val="20"/>
                <w:szCs w:val="20"/>
              </w:rPr>
              <w:t>M</w:t>
            </w:r>
            <w:r w:rsidRPr="00E032E2">
              <w:rPr>
                <w:rFonts w:ascii="Arial" w:hAnsi="Arial" w:cs="Arial"/>
                <w:b/>
                <w:bCs/>
                <w:spacing w:val="-1"/>
                <w:sz w:val="20"/>
                <w:szCs w:val="20"/>
              </w:rPr>
              <w:t>E</w:t>
            </w:r>
            <w:r w:rsidRPr="00E032E2">
              <w:rPr>
                <w:rFonts w:ascii="Arial" w:hAnsi="Arial" w:cs="Arial"/>
                <w:b/>
                <w:bCs/>
                <w:spacing w:val="3"/>
                <w:sz w:val="20"/>
                <w:szCs w:val="20"/>
              </w:rPr>
              <w:t>T</w:t>
            </w:r>
            <w:r w:rsidRPr="00E032E2">
              <w:rPr>
                <w:rFonts w:ascii="Arial" w:hAnsi="Arial" w:cs="Arial"/>
                <w:b/>
                <w:bCs/>
                <w:sz w:val="20"/>
                <w:szCs w:val="20"/>
              </w:rPr>
              <w:t>RO</w:t>
            </w:r>
            <w:r w:rsidRPr="00E032E2">
              <w:rPr>
                <w:rFonts w:ascii="Arial" w:hAnsi="Arial" w:cs="Arial"/>
                <w:b/>
                <w:bCs/>
                <w:spacing w:val="-10"/>
                <w:sz w:val="20"/>
                <w:szCs w:val="20"/>
              </w:rPr>
              <w:t xml:space="preserve"> </w:t>
            </w:r>
            <w:r w:rsidRPr="00E032E2">
              <w:rPr>
                <w:rFonts w:ascii="Arial" w:hAnsi="Arial" w:cs="Arial"/>
                <w:b/>
                <w:bCs/>
                <w:sz w:val="20"/>
                <w:szCs w:val="20"/>
              </w:rPr>
              <w:t>D</w:t>
            </w:r>
            <w:r w:rsidRPr="00E032E2">
              <w:rPr>
                <w:rFonts w:ascii="Arial" w:hAnsi="Arial" w:cs="Arial"/>
                <w:b/>
                <w:bCs/>
                <w:spacing w:val="-1"/>
                <w:sz w:val="20"/>
                <w:szCs w:val="20"/>
              </w:rPr>
              <w:t>E</w:t>
            </w:r>
            <w:r w:rsidRPr="00E032E2">
              <w:rPr>
                <w:rFonts w:ascii="Arial" w:hAnsi="Arial" w:cs="Arial"/>
                <w:b/>
                <w:bCs/>
                <w:sz w:val="20"/>
                <w:szCs w:val="20"/>
              </w:rPr>
              <w:t>L</w:t>
            </w:r>
            <w:r w:rsidRPr="00E032E2">
              <w:rPr>
                <w:rFonts w:ascii="Arial" w:hAnsi="Arial" w:cs="Arial"/>
                <w:b/>
                <w:bCs/>
                <w:spacing w:val="-5"/>
                <w:sz w:val="20"/>
                <w:szCs w:val="20"/>
              </w:rPr>
              <w:t xml:space="preserve"> A</w:t>
            </w:r>
            <w:r w:rsidRPr="00E032E2">
              <w:rPr>
                <w:rFonts w:ascii="Arial" w:hAnsi="Arial" w:cs="Arial"/>
                <w:b/>
                <w:bCs/>
                <w:spacing w:val="3"/>
                <w:sz w:val="20"/>
                <w:szCs w:val="20"/>
              </w:rPr>
              <w:t>G</w:t>
            </w:r>
            <w:r w:rsidRPr="00E032E2">
              <w:rPr>
                <w:rFonts w:ascii="Arial" w:hAnsi="Arial" w:cs="Arial"/>
                <w:b/>
                <w:bCs/>
                <w:spacing w:val="2"/>
                <w:sz w:val="20"/>
                <w:szCs w:val="20"/>
              </w:rPr>
              <w:t>U</w:t>
            </w:r>
            <w:r w:rsidRPr="00E032E2">
              <w:rPr>
                <w:rFonts w:ascii="Arial" w:hAnsi="Arial" w:cs="Arial"/>
                <w:b/>
                <w:bCs/>
                <w:sz w:val="20"/>
                <w:szCs w:val="20"/>
              </w:rPr>
              <w:t>J</w:t>
            </w:r>
            <w:r w:rsidRPr="00E032E2">
              <w:rPr>
                <w:rFonts w:ascii="Arial" w:hAnsi="Arial" w:cs="Arial"/>
                <w:b/>
                <w:bCs/>
                <w:spacing w:val="-1"/>
                <w:sz w:val="20"/>
                <w:szCs w:val="20"/>
              </w:rPr>
              <w:t>E</w:t>
            </w:r>
            <w:r w:rsidRPr="00E032E2">
              <w:rPr>
                <w:rFonts w:ascii="Arial" w:hAnsi="Arial" w:cs="Arial"/>
                <w:b/>
                <w:bCs/>
                <w:sz w:val="20"/>
                <w:szCs w:val="20"/>
              </w:rPr>
              <w:t>RO</w:t>
            </w:r>
            <w:r w:rsidRPr="00E032E2">
              <w:rPr>
                <w:rFonts w:ascii="Arial" w:hAnsi="Arial" w:cs="Arial"/>
                <w:b/>
                <w:bCs/>
                <w:spacing w:val="-9"/>
                <w:sz w:val="20"/>
                <w:szCs w:val="20"/>
              </w:rPr>
              <w:t xml:space="preserve"> </w:t>
            </w:r>
            <w:r w:rsidRPr="00E032E2">
              <w:rPr>
                <w:rFonts w:ascii="Arial" w:hAnsi="Arial" w:cs="Arial"/>
                <w:b/>
                <w:bCs/>
                <w:sz w:val="20"/>
                <w:szCs w:val="20"/>
              </w:rPr>
              <w:t>(m</w:t>
            </w:r>
            <w:r w:rsidRPr="00E032E2">
              <w:rPr>
                <w:rFonts w:ascii="Arial" w:hAnsi="Arial" w:cs="Arial"/>
                <w:b/>
                <w:bCs/>
                <w:spacing w:val="1"/>
                <w:sz w:val="20"/>
                <w:szCs w:val="20"/>
              </w:rPr>
              <w:t>m</w:t>
            </w:r>
            <w:r w:rsidRPr="00E032E2">
              <w:rPr>
                <w:rFonts w:ascii="Arial" w:hAnsi="Arial" w:cs="Arial"/>
                <w:b/>
                <w:bCs/>
                <w:sz w:val="20"/>
                <w:szCs w:val="20"/>
              </w:rPr>
              <w:t>)</w:t>
            </w:r>
          </w:p>
        </w:tc>
        <w:tc>
          <w:tcPr>
            <w:tcW w:w="2876" w:type="dxa"/>
            <w:shd w:val="clear" w:color="auto" w:fill="D9D9D9" w:themeFill="background1" w:themeFillShade="D9"/>
            <w:vAlign w:val="center"/>
          </w:tcPr>
          <w:p w14:paraId="04283405" w14:textId="77777777" w:rsidR="00E83996" w:rsidRPr="00E032E2" w:rsidRDefault="00E83996" w:rsidP="00EC60DF">
            <w:pPr>
              <w:autoSpaceDE w:val="0"/>
              <w:autoSpaceDN w:val="0"/>
              <w:adjustRightInd w:val="0"/>
              <w:spacing w:before="3" w:line="110" w:lineRule="exact"/>
              <w:jc w:val="center"/>
              <w:rPr>
                <w:sz w:val="11"/>
                <w:szCs w:val="11"/>
              </w:rPr>
            </w:pPr>
          </w:p>
          <w:p w14:paraId="15606887" w14:textId="77777777" w:rsidR="00E83996" w:rsidRPr="00E032E2" w:rsidRDefault="00E83996" w:rsidP="00EC60DF">
            <w:pPr>
              <w:autoSpaceDE w:val="0"/>
              <w:autoSpaceDN w:val="0"/>
              <w:adjustRightInd w:val="0"/>
              <w:spacing w:line="420" w:lineRule="auto"/>
              <w:ind w:left="647" w:right="298" w:hanging="240"/>
              <w:jc w:val="center"/>
            </w:pPr>
            <w:r w:rsidRPr="00E032E2">
              <w:rPr>
                <w:rFonts w:ascii="Arial" w:hAnsi="Arial" w:cs="Arial"/>
                <w:b/>
                <w:bCs/>
                <w:spacing w:val="-1"/>
                <w:sz w:val="20"/>
                <w:szCs w:val="20"/>
              </w:rPr>
              <w:t>E</w:t>
            </w:r>
            <w:r w:rsidRPr="00E032E2">
              <w:rPr>
                <w:rFonts w:ascii="Arial" w:hAnsi="Arial" w:cs="Arial"/>
                <w:b/>
                <w:bCs/>
                <w:spacing w:val="1"/>
                <w:sz w:val="20"/>
                <w:szCs w:val="20"/>
              </w:rPr>
              <w:t>S</w:t>
            </w:r>
            <w:r w:rsidRPr="00E032E2">
              <w:rPr>
                <w:rFonts w:ascii="Arial" w:hAnsi="Arial" w:cs="Arial"/>
                <w:b/>
                <w:bCs/>
                <w:spacing w:val="-1"/>
                <w:sz w:val="20"/>
                <w:szCs w:val="20"/>
              </w:rPr>
              <w:t>P</w:t>
            </w:r>
            <w:r w:rsidRPr="00E032E2">
              <w:rPr>
                <w:rFonts w:ascii="Arial" w:hAnsi="Arial" w:cs="Arial"/>
                <w:b/>
                <w:bCs/>
                <w:spacing w:val="1"/>
                <w:sz w:val="20"/>
                <w:szCs w:val="20"/>
              </w:rPr>
              <w:t>E</w:t>
            </w:r>
            <w:r w:rsidRPr="00E032E2">
              <w:rPr>
                <w:rFonts w:ascii="Arial" w:hAnsi="Arial" w:cs="Arial"/>
                <w:b/>
                <w:bCs/>
                <w:spacing w:val="-1"/>
                <w:sz w:val="20"/>
                <w:szCs w:val="20"/>
              </w:rPr>
              <w:t>S</w:t>
            </w:r>
            <w:r w:rsidRPr="00E032E2">
              <w:rPr>
                <w:rFonts w:ascii="Arial" w:hAnsi="Arial" w:cs="Arial"/>
                <w:b/>
                <w:bCs/>
                <w:spacing w:val="1"/>
                <w:sz w:val="20"/>
                <w:szCs w:val="20"/>
              </w:rPr>
              <w:t>O</w:t>
            </w:r>
            <w:r w:rsidRPr="00E032E2">
              <w:rPr>
                <w:rFonts w:ascii="Arial" w:hAnsi="Arial" w:cs="Arial"/>
                <w:b/>
                <w:bCs/>
                <w:sz w:val="20"/>
                <w:szCs w:val="20"/>
              </w:rPr>
              <w:t>R</w:t>
            </w:r>
            <w:r w:rsidRPr="00E032E2">
              <w:rPr>
                <w:rFonts w:ascii="Arial" w:hAnsi="Arial" w:cs="Arial"/>
                <w:b/>
                <w:bCs/>
                <w:spacing w:val="-10"/>
                <w:sz w:val="20"/>
                <w:szCs w:val="20"/>
              </w:rPr>
              <w:t xml:space="preserve"> </w:t>
            </w:r>
            <w:r w:rsidRPr="00E032E2">
              <w:rPr>
                <w:rFonts w:ascii="Arial" w:hAnsi="Arial" w:cs="Arial"/>
                <w:b/>
                <w:bCs/>
                <w:spacing w:val="4"/>
                <w:sz w:val="20"/>
                <w:szCs w:val="20"/>
              </w:rPr>
              <w:t>M</w:t>
            </w:r>
            <w:r w:rsidRPr="00E032E2">
              <w:rPr>
                <w:rFonts w:ascii="Arial" w:hAnsi="Arial" w:cs="Arial"/>
                <w:b/>
                <w:bCs/>
                <w:sz w:val="20"/>
                <w:szCs w:val="20"/>
              </w:rPr>
              <w:t>ÍN</w:t>
            </w:r>
            <w:r w:rsidRPr="00E032E2">
              <w:rPr>
                <w:rFonts w:ascii="Arial" w:hAnsi="Arial" w:cs="Arial"/>
                <w:b/>
                <w:bCs/>
                <w:spacing w:val="-3"/>
                <w:sz w:val="20"/>
                <w:szCs w:val="20"/>
              </w:rPr>
              <w:t>I</w:t>
            </w:r>
            <w:r w:rsidRPr="00E032E2">
              <w:rPr>
                <w:rFonts w:ascii="Arial" w:hAnsi="Arial" w:cs="Arial"/>
                <w:b/>
                <w:bCs/>
                <w:spacing w:val="4"/>
                <w:sz w:val="20"/>
                <w:szCs w:val="20"/>
              </w:rPr>
              <w:t>M</w:t>
            </w:r>
            <w:r w:rsidRPr="00E032E2">
              <w:rPr>
                <w:rFonts w:ascii="Arial" w:hAnsi="Arial" w:cs="Arial"/>
                <w:b/>
                <w:bCs/>
                <w:sz w:val="20"/>
                <w:szCs w:val="20"/>
              </w:rPr>
              <w:t>O</w:t>
            </w:r>
            <w:r w:rsidRPr="00E032E2">
              <w:rPr>
                <w:rFonts w:ascii="Arial" w:hAnsi="Arial" w:cs="Arial"/>
                <w:b/>
                <w:bCs/>
                <w:spacing w:val="-6"/>
                <w:sz w:val="20"/>
                <w:szCs w:val="20"/>
              </w:rPr>
              <w:t xml:space="preserve"> </w:t>
            </w:r>
            <w:r w:rsidRPr="00E032E2">
              <w:rPr>
                <w:rFonts w:ascii="Arial" w:hAnsi="Arial" w:cs="Arial"/>
                <w:b/>
                <w:bCs/>
                <w:sz w:val="20"/>
                <w:szCs w:val="20"/>
              </w:rPr>
              <w:t>DE</w:t>
            </w:r>
            <w:r w:rsidRPr="00E032E2">
              <w:rPr>
                <w:rFonts w:ascii="Arial" w:hAnsi="Arial" w:cs="Arial"/>
                <w:b/>
                <w:bCs/>
                <w:spacing w:val="-3"/>
                <w:sz w:val="20"/>
                <w:szCs w:val="20"/>
              </w:rPr>
              <w:t xml:space="preserve"> </w:t>
            </w:r>
            <w:r w:rsidRPr="00E032E2">
              <w:rPr>
                <w:rFonts w:ascii="Arial" w:hAnsi="Arial" w:cs="Arial"/>
                <w:b/>
                <w:bCs/>
                <w:sz w:val="20"/>
                <w:szCs w:val="20"/>
              </w:rPr>
              <w:t>U</w:t>
            </w:r>
            <w:r w:rsidRPr="00E032E2">
              <w:rPr>
                <w:rFonts w:ascii="Arial" w:hAnsi="Arial" w:cs="Arial"/>
                <w:b/>
                <w:bCs/>
                <w:spacing w:val="5"/>
                <w:sz w:val="20"/>
                <w:szCs w:val="20"/>
              </w:rPr>
              <w:t>N</w:t>
            </w:r>
            <w:r w:rsidRPr="00E032E2">
              <w:rPr>
                <w:rFonts w:ascii="Arial" w:hAnsi="Arial" w:cs="Arial"/>
                <w:b/>
                <w:bCs/>
                <w:sz w:val="20"/>
                <w:szCs w:val="20"/>
              </w:rPr>
              <w:t>A</w:t>
            </w:r>
            <w:r w:rsidRPr="00E032E2">
              <w:rPr>
                <w:rFonts w:ascii="Arial" w:hAnsi="Arial" w:cs="Arial"/>
                <w:b/>
                <w:bCs/>
                <w:spacing w:val="-9"/>
                <w:sz w:val="20"/>
                <w:szCs w:val="20"/>
              </w:rPr>
              <w:t xml:space="preserve"> </w:t>
            </w:r>
            <w:r w:rsidRPr="00E032E2">
              <w:rPr>
                <w:rFonts w:ascii="Arial" w:hAnsi="Arial" w:cs="Arial"/>
                <w:b/>
                <w:bCs/>
                <w:spacing w:val="-1"/>
                <w:sz w:val="20"/>
                <w:szCs w:val="20"/>
              </w:rPr>
              <w:t>P</w:t>
            </w:r>
            <w:r w:rsidRPr="00E032E2">
              <w:rPr>
                <w:rFonts w:ascii="Arial" w:hAnsi="Arial" w:cs="Arial"/>
                <w:b/>
                <w:bCs/>
                <w:spacing w:val="2"/>
                <w:sz w:val="20"/>
                <w:szCs w:val="20"/>
              </w:rPr>
              <w:t>I</w:t>
            </w:r>
            <w:r w:rsidRPr="00E032E2">
              <w:rPr>
                <w:rFonts w:ascii="Arial" w:hAnsi="Arial" w:cs="Arial"/>
                <w:b/>
                <w:bCs/>
                <w:spacing w:val="-1"/>
                <w:sz w:val="20"/>
                <w:szCs w:val="20"/>
              </w:rPr>
              <w:t>E</w:t>
            </w:r>
            <w:r w:rsidRPr="00E032E2">
              <w:rPr>
                <w:rFonts w:ascii="Arial" w:hAnsi="Arial" w:cs="Arial"/>
                <w:b/>
                <w:bCs/>
                <w:spacing w:val="5"/>
                <w:sz w:val="20"/>
                <w:szCs w:val="20"/>
              </w:rPr>
              <w:t>Z</w:t>
            </w:r>
            <w:r w:rsidRPr="00E032E2">
              <w:rPr>
                <w:rFonts w:ascii="Arial" w:hAnsi="Arial" w:cs="Arial"/>
                <w:b/>
                <w:bCs/>
                <w:sz w:val="20"/>
                <w:szCs w:val="20"/>
              </w:rPr>
              <w:t>A</w:t>
            </w:r>
            <w:r w:rsidRPr="00E032E2">
              <w:rPr>
                <w:rFonts w:ascii="Arial" w:hAnsi="Arial" w:cs="Arial"/>
                <w:b/>
                <w:bCs/>
                <w:spacing w:val="-11"/>
                <w:sz w:val="20"/>
                <w:szCs w:val="20"/>
              </w:rPr>
              <w:t xml:space="preserve"> </w:t>
            </w:r>
            <w:r w:rsidRPr="00E032E2">
              <w:rPr>
                <w:rFonts w:ascii="Arial" w:hAnsi="Arial" w:cs="Arial"/>
                <w:b/>
                <w:bCs/>
                <w:sz w:val="20"/>
                <w:szCs w:val="20"/>
              </w:rPr>
              <w:t>(m</w:t>
            </w:r>
            <w:r w:rsidRPr="00E032E2">
              <w:rPr>
                <w:rFonts w:ascii="Arial" w:hAnsi="Arial" w:cs="Arial"/>
                <w:b/>
                <w:bCs/>
                <w:spacing w:val="1"/>
                <w:sz w:val="20"/>
                <w:szCs w:val="20"/>
              </w:rPr>
              <w:t>m</w:t>
            </w:r>
            <w:r w:rsidRPr="00E032E2">
              <w:rPr>
                <w:rFonts w:ascii="Arial" w:hAnsi="Arial" w:cs="Arial"/>
                <w:b/>
                <w:bCs/>
                <w:sz w:val="20"/>
                <w:szCs w:val="20"/>
              </w:rPr>
              <w:t>)</w:t>
            </w:r>
          </w:p>
        </w:tc>
        <w:tc>
          <w:tcPr>
            <w:tcW w:w="2921" w:type="dxa"/>
            <w:shd w:val="clear" w:color="auto" w:fill="D9D9D9" w:themeFill="background1" w:themeFillShade="D9"/>
            <w:vAlign w:val="center"/>
          </w:tcPr>
          <w:p w14:paraId="2E96CC2D" w14:textId="77777777" w:rsidR="00E83996" w:rsidRPr="00E032E2" w:rsidRDefault="00E83996" w:rsidP="00EC60DF">
            <w:pPr>
              <w:autoSpaceDE w:val="0"/>
              <w:autoSpaceDN w:val="0"/>
              <w:adjustRightInd w:val="0"/>
              <w:spacing w:before="9" w:line="100" w:lineRule="exact"/>
              <w:jc w:val="center"/>
              <w:rPr>
                <w:sz w:val="10"/>
                <w:szCs w:val="10"/>
              </w:rPr>
            </w:pPr>
          </w:p>
          <w:p w14:paraId="6A23989C" w14:textId="77777777" w:rsidR="00E83996" w:rsidRPr="00E032E2" w:rsidRDefault="00E83996" w:rsidP="00EC60DF">
            <w:pPr>
              <w:autoSpaceDE w:val="0"/>
              <w:autoSpaceDN w:val="0"/>
              <w:adjustRightInd w:val="0"/>
              <w:spacing w:line="423" w:lineRule="auto"/>
              <w:ind w:left="452" w:right="424" w:hanging="1"/>
              <w:jc w:val="center"/>
            </w:pPr>
            <w:r w:rsidRPr="00E032E2">
              <w:rPr>
                <w:rFonts w:ascii="Arial" w:hAnsi="Arial" w:cs="Arial"/>
                <w:b/>
                <w:bCs/>
                <w:spacing w:val="7"/>
                <w:sz w:val="20"/>
                <w:szCs w:val="20"/>
              </w:rPr>
              <w:t>M</w:t>
            </w:r>
            <w:r w:rsidRPr="00E032E2">
              <w:rPr>
                <w:rFonts w:ascii="Arial" w:hAnsi="Arial" w:cs="Arial"/>
                <w:b/>
                <w:bCs/>
                <w:spacing w:val="-7"/>
                <w:sz w:val="20"/>
                <w:szCs w:val="20"/>
              </w:rPr>
              <w:t>Á</w:t>
            </w:r>
            <w:r w:rsidRPr="00E032E2">
              <w:rPr>
                <w:rFonts w:ascii="Arial" w:hAnsi="Arial" w:cs="Arial"/>
                <w:b/>
                <w:bCs/>
                <w:spacing w:val="-1"/>
                <w:sz w:val="20"/>
                <w:szCs w:val="20"/>
              </w:rPr>
              <w:t>X</w:t>
            </w:r>
            <w:r w:rsidRPr="00E032E2">
              <w:rPr>
                <w:rFonts w:ascii="Arial" w:hAnsi="Arial" w:cs="Arial"/>
                <w:b/>
                <w:bCs/>
                <w:sz w:val="20"/>
                <w:szCs w:val="20"/>
              </w:rPr>
              <w:t>I</w:t>
            </w:r>
            <w:r w:rsidRPr="00E032E2">
              <w:rPr>
                <w:rFonts w:ascii="Arial" w:hAnsi="Arial" w:cs="Arial"/>
                <w:b/>
                <w:bCs/>
                <w:spacing w:val="7"/>
                <w:sz w:val="20"/>
                <w:szCs w:val="20"/>
              </w:rPr>
              <w:t>M</w:t>
            </w:r>
            <w:r w:rsidRPr="00E032E2">
              <w:rPr>
                <w:rFonts w:ascii="Arial" w:hAnsi="Arial" w:cs="Arial"/>
                <w:b/>
                <w:bCs/>
                <w:sz w:val="20"/>
                <w:szCs w:val="20"/>
              </w:rPr>
              <w:t>A</w:t>
            </w:r>
            <w:r w:rsidRPr="00E032E2">
              <w:rPr>
                <w:rFonts w:ascii="Arial" w:hAnsi="Arial" w:cs="Arial"/>
                <w:b/>
                <w:bCs/>
                <w:spacing w:val="-11"/>
                <w:sz w:val="20"/>
                <w:szCs w:val="20"/>
              </w:rPr>
              <w:t xml:space="preserve"> </w:t>
            </w:r>
            <w:r w:rsidRPr="00E032E2">
              <w:rPr>
                <w:rFonts w:ascii="Arial" w:hAnsi="Arial" w:cs="Arial"/>
                <w:b/>
                <w:bCs/>
                <w:spacing w:val="-1"/>
                <w:sz w:val="20"/>
                <w:szCs w:val="20"/>
              </w:rPr>
              <w:t>S</w:t>
            </w:r>
            <w:r w:rsidRPr="00E032E2">
              <w:rPr>
                <w:rFonts w:ascii="Arial" w:hAnsi="Arial" w:cs="Arial"/>
                <w:b/>
                <w:bCs/>
                <w:sz w:val="20"/>
                <w:szCs w:val="20"/>
              </w:rPr>
              <w:t>U</w:t>
            </w:r>
            <w:r w:rsidRPr="00E032E2">
              <w:rPr>
                <w:rFonts w:ascii="Arial" w:hAnsi="Arial" w:cs="Arial"/>
                <w:b/>
                <w:bCs/>
                <w:spacing w:val="7"/>
                <w:sz w:val="20"/>
                <w:szCs w:val="20"/>
              </w:rPr>
              <w:t>M</w:t>
            </w:r>
            <w:r w:rsidRPr="00E032E2">
              <w:rPr>
                <w:rFonts w:ascii="Arial" w:hAnsi="Arial" w:cs="Arial"/>
                <w:b/>
                <w:bCs/>
                <w:sz w:val="20"/>
                <w:szCs w:val="20"/>
              </w:rPr>
              <w:t>A</w:t>
            </w:r>
            <w:r w:rsidRPr="00E032E2">
              <w:rPr>
                <w:rFonts w:ascii="Arial" w:hAnsi="Arial" w:cs="Arial"/>
                <w:b/>
                <w:bCs/>
                <w:spacing w:val="-11"/>
                <w:sz w:val="20"/>
                <w:szCs w:val="20"/>
              </w:rPr>
              <w:t xml:space="preserve"> </w:t>
            </w:r>
            <w:r w:rsidRPr="00E032E2">
              <w:rPr>
                <w:rFonts w:ascii="Arial" w:hAnsi="Arial" w:cs="Arial"/>
                <w:b/>
                <w:bCs/>
                <w:sz w:val="20"/>
                <w:szCs w:val="20"/>
              </w:rPr>
              <w:t>DE</w:t>
            </w:r>
            <w:r w:rsidRPr="00E032E2">
              <w:rPr>
                <w:rFonts w:ascii="Arial" w:hAnsi="Arial" w:cs="Arial"/>
                <w:b/>
                <w:bCs/>
                <w:spacing w:val="-3"/>
                <w:sz w:val="20"/>
                <w:szCs w:val="20"/>
              </w:rPr>
              <w:t xml:space="preserve"> </w:t>
            </w:r>
            <w:r w:rsidRPr="00E032E2">
              <w:rPr>
                <w:rFonts w:ascii="Arial" w:hAnsi="Arial" w:cs="Arial"/>
                <w:b/>
                <w:bCs/>
                <w:spacing w:val="-1"/>
                <w:sz w:val="20"/>
                <w:szCs w:val="20"/>
              </w:rPr>
              <w:t>E</w:t>
            </w:r>
            <w:r w:rsidRPr="00E032E2">
              <w:rPr>
                <w:rFonts w:ascii="Arial" w:hAnsi="Arial" w:cs="Arial"/>
                <w:b/>
                <w:bCs/>
                <w:spacing w:val="1"/>
                <w:sz w:val="20"/>
                <w:szCs w:val="20"/>
              </w:rPr>
              <w:t>S</w:t>
            </w:r>
            <w:r w:rsidRPr="00E032E2">
              <w:rPr>
                <w:rFonts w:ascii="Arial" w:hAnsi="Arial" w:cs="Arial"/>
                <w:b/>
                <w:bCs/>
                <w:spacing w:val="-1"/>
                <w:sz w:val="20"/>
                <w:szCs w:val="20"/>
              </w:rPr>
              <w:t>P</w:t>
            </w:r>
            <w:r w:rsidRPr="00E032E2">
              <w:rPr>
                <w:rFonts w:ascii="Arial" w:hAnsi="Arial" w:cs="Arial"/>
                <w:b/>
                <w:bCs/>
                <w:spacing w:val="1"/>
                <w:sz w:val="20"/>
                <w:szCs w:val="20"/>
              </w:rPr>
              <w:t>E</w:t>
            </w:r>
            <w:r w:rsidRPr="00E032E2">
              <w:rPr>
                <w:rFonts w:ascii="Arial" w:hAnsi="Arial" w:cs="Arial"/>
                <w:b/>
                <w:bCs/>
                <w:spacing w:val="-1"/>
                <w:sz w:val="20"/>
                <w:szCs w:val="20"/>
              </w:rPr>
              <w:t>S</w:t>
            </w:r>
            <w:r w:rsidRPr="00E032E2">
              <w:rPr>
                <w:rFonts w:ascii="Arial" w:hAnsi="Arial" w:cs="Arial"/>
                <w:b/>
                <w:bCs/>
                <w:spacing w:val="1"/>
                <w:sz w:val="20"/>
                <w:szCs w:val="20"/>
              </w:rPr>
              <w:t>O</w:t>
            </w:r>
            <w:r w:rsidRPr="00E032E2">
              <w:rPr>
                <w:rFonts w:ascii="Arial" w:hAnsi="Arial" w:cs="Arial"/>
                <w:b/>
                <w:bCs/>
                <w:spacing w:val="2"/>
                <w:sz w:val="20"/>
                <w:szCs w:val="20"/>
              </w:rPr>
              <w:t>R</w:t>
            </w:r>
            <w:r w:rsidRPr="00E032E2">
              <w:rPr>
                <w:rFonts w:ascii="Arial" w:hAnsi="Arial" w:cs="Arial"/>
                <w:b/>
                <w:bCs/>
                <w:spacing w:val="-1"/>
                <w:sz w:val="20"/>
                <w:szCs w:val="20"/>
              </w:rPr>
              <w:t>E</w:t>
            </w:r>
            <w:r w:rsidRPr="00E032E2">
              <w:rPr>
                <w:rFonts w:ascii="Arial" w:hAnsi="Arial" w:cs="Arial"/>
                <w:b/>
                <w:bCs/>
                <w:sz w:val="20"/>
                <w:szCs w:val="20"/>
              </w:rPr>
              <w:t>S</w:t>
            </w:r>
            <w:r w:rsidRPr="00E032E2">
              <w:rPr>
                <w:rFonts w:ascii="Arial" w:hAnsi="Arial" w:cs="Arial"/>
                <w:b/>
                <w:bCs/>
                <w:spacing w:val="-9"/>
                <w:sz w:val="20"/>
                <w:szCs w:val="20"/>
              </w:rPr>
              <w:t xml:space="preserve"> </w:t>
            </w:r>
            <w:r w:rsidRPr="00E032E2">
              <w:rPr>
                <w:rFonts w:ascii="Arial" w:hAnsi="Arial" w:cs="Arial"/>
                <w:b/>
                <w:bCs/>
                <w:sz w:val="20"/>
                <w:szCs w:val="20"/>
              </w:rPr>
              <w:t>A</w:t>
            </w:r>
            <w:r w:rsidRPr="00E032E2">
              <w:rPr>
                <w:rFonts w:ascii="Arial" w:hAnsi="Arial" w:cs="Arial"/>
                <w:b/>
                <w:bCs/>
                <w:spacing w:val="-4"/>
                <w:sz w:val="20"/>
                <w:szCs w:val="20"/>
              </w:rPr>
              <w:t xml:space="preserve"> </w:t>
            </w:r>
            <w:r w:rsidRPr="00E032E2">
              <w:rPr>
                <w:rFonts w:ascii="Arial" w:hAnsi="Arial" w:cs="Arial"/>
                <w:b/>
                <w:bCs/>
                <w:sz w:val="20"/>
                <w:szCs w:val="20"/>
              </w:rPr>
              <w:t>UNIR</w:t>
            </w:r>
            <w:r w:rsidRPr="00E032E2">
              <w:rPr>
                <w:rFonts w:ascii="Arial" w:hAnsi="Arial" w:cs="Arial"/>
                <w:b/>
                <w:bCs/>
                <w:spacing w:val="-5"/>
                <w:sz w:val="20"/>
                <w:szCs w:val="20"/>
              </w:rPr>
              <w:t xml:space="preserve"> </w:t>
            </w:r>
            <w:r w:rsidRPr="00E032E2">
              <w:rPr>
                <w:rFonts w:ascii="Arial" w:hAnsi="Arial" w:cs="Arial"/>
                <w:b/>
                <w:bCs/>
                <w:spacing w:val="1"/>
                <w:w w:val="99"/>
                <w:sz w:val="20"/>
                <w:szCs w:val="20"/>
              </w:rPr>
              <w:t>(</w:t>
            </w:r>
            <w:r w:rsidRPr="00E032E2">
              <w:rPr>
                <w:rFonts w:ascii="Arial" w:hAnsi="Arial" w:cs="Arial"/>
                <w:b/>
                <w:bCs/>
                <w:w w:val="99"/>
                <w:sz w:val="20"/>
                <w:szCs w:val="20"/>
              </w:rPr>
              <w:t>m</w:t>
            </w:r>
            <w:r w:rsidRPr="00E032E2">
              <w:rPr>
                <w:rFonts w:ascii="Arial" w:hAnsi="Arial" w:cs="Arial"/>
                <w:b/>
                <w:bCs/>
                <w:spacing w:val="1"/>
                <w:w w:val="99"/>
                <w:sz w:val="20"/>
                <w:szCs w:val="20"/>
              </w:rPr>
              <w:t>m</w:t>
            </w:r>
            <w:r w:rsidRPr="00E032E2">
              <w:rPr>
                <w:rFonts w:ascii="Arial" w:hAnsi="Arial" w:cs="Arial"/>
                <w:b/>
                <w:bCs/>
                <w:w w:val="99"/>
                <w:sz w:val="20"/>
                <w:szCs w:val="20"/>
              </w:rPr>
              <w:t>)</w:t>
            </w:r>
          </w:p>
        </w:tc>
      </w:tr>
      <w:tr w:rsidR="00E83996" w:rsidRPr="00E032E2" w14:paraId="061383FF" w14:textId="77777777" w:rsidTr="00390145">
        <w:trPr>
          <w:trHeight w:hRule="exact" w:val="536"/>
          <w:jc w:val="center"/>
        </w:trPr>
        <w:tc>
          <w:tcPr>
            <w:tcW w:w="2866" w:type="dxa"/>
            <w:vAlign w:val="center"/>
          </w:tcPr>
          <w:p w14:paraId="627C3ECC" w14:textId="77777777" w:rsidR="00E83996" w:rsidRPr="00E032E2" w:rsidRDefault="00E83996" w:rsidP="00EC60DF">
            <w:pPr>
              <w:autoSpaceDE w:val="0"/>
              <w:autoSpaceDN w:val="0"/>
              <w:adjustRightInd w:val="0"/>
              <w:spacing w:before="4" w:line="110" w:lineRule="exact"/>
              <w:jc w:val="center"/>
              <w:rPr>
                <w:sz w:val="11"/>
                <w:szCs w:val="11"/>
              </w:rPr>
            </w:pPr>
          </w:p>
          <w:p w14:paraId="5381F5FE" w14:textId="77777777" w:rsidR="00E83996" w:rsidRPr="00E032E2" w:rsidRDefault="00E83996" w:rsidP="00EC60DF">
            <w:pPr>
              <w:autoSpaceDE w:val="0"/>
              <w:autoSpaceDN w:val="0"/>
              <w:adjustRightInd w:val="0"/>
              <w:ind w:left="1104" w:right="1036"/>
              <w:jc w:val="center"/>
            </w:pPr>
            <w:r w:rsidRPr="00E032E2">
              <w:rPr>
                <w:rFonts w:ascii="Arial" w:hAnsi="Arial" w:cs="Arial"/>
                <w:sz w:val="20"/>
                <w:szCs w:val="20"/>
              </w:rPr>
              <w:t>13</w:t>
            </w:r>
            <w:r w:rsidRPr="00E032E2">
              <w:rPr>
                <w:rFonts w:ascii="Arial" w:hAnsi="Arial" w:cs="Arial"/>
                <w:spacing w:val="-3"/>
                <w:sz w:val="20"/>
                <w:szCs w:val="20"/>
              </w:rPr>
              <w:t xml:space="preserve"> </w:t>
            </w:r>
            <w:r w:rsidRPr="00E032E2">
              <w:rPr>
                <w:rFonts w:ascii="Arial" w:hAnsi="Arial" w:cs="Arial"/>
                <w:sz w:val="20"/>
                <w:szCs w:val="20"/>
              </w:rPr>
              <w:t>-</w:t>
            </w:r>
            <w:r w:rsidRPr="00E032E2">
              <w:rPr>
                <w:rFonts w:ascii="Arial" w:hAnsi="Arial" w:cs="Arial"/>
                <w:spacing w:val="-1"/>
                <w:sz w:val="20"/>
                <w:szCs w:val="20"/>
              </w:rPr>
              <w:t xml:space="preserve"> </w:t>
            </w:r>
            <w:r w:rsidRPr="00E032E2">
              <w:rPr>
                <w:rFonts w:ascii="Arial" w:hAnsi="Arial" w:cs="Arial"/>
                <w:w w:val="99"/>
                <w:sz w:val="20"/>
                <w:szCs w:val="20"/>
              </w:rPr>
              <w:t>14</w:t>
            </w:r>
          </w:p>
        </w:tc>
        <w:tc>
          <w:tcPr>
            <w:tcW w:w="2876" w:type="dxa"/>
            <w:vAlign w:val="center"/>
          </w:tcPr>
          <w:p w14:paraId="3BC701F7" w14:textId="77777777" w:rsidR="00E83996" w:rsidRPr="00E032E2" w:rsidRDefault="00E83996" w:rsidP="00EC60DF">
            <w:pPr>
              <w:autoSpaceDE w:val="0"/>
              <w:autoSpaceDN w:val="0"/>
              <w:adjustRightInd w:val="0"/>
              <w:spacing w:before="4" w:line="110" w:lineRule="exact"/>
              <w:jc w:val="center"/>
              <w:rPr>
                <w:sz w:val="11"/>
                <w:szCs w:val="11"/>
              </w:rPr>
            </w:pPr>
          </w:p>
          <w:p w14:paraId="5CA341C3" w14:textId="77777777" w:rsidR="00E83996" w:rsidRPr="00E032E2" w:rsidRDefault="00E83996" w:rsidP="00EC60DF">
            <w:pPr>
              <w:autoSpaceDE w:val="0"/>
              <w:autoSpaceDN w:val="0"/>
              <w:adjustRightInd w:val="0"/>
              <w:ind w:left="1368" w:right="1291"/>
              <w:jc w:val="center"/>
            </w:pPr>
            <w:r w:rsidRPr="00E032E2">
              <w:rPr>
                <w:rFonts w:ascii="Arial" w:hAnsi="Arial" w:cs="Arial"/>
                <w:w w:val="99"/>
                <w:sz w:val="20"/>
                <w:szCs w:val="20"/>
              </w:rPr>
              <w:t>4</w:t>
            </w:r>
          </w:p>
        </w:tc>
        <w:tc>
          <w:tcPr>
            <w:tcW w:w="2921" w:type="dxa"/>
            <w:vAlign w:val="center"/>
          </w:tcPr>
          <w:p w14:paraId="7E1EB84B" w14:textId="77777777" w:rsidR="00E83996" w:rsidRPr="00E032E2" w:rsidRDefault="00E83996" w:rsidP="00EC60DF">
            <w:pPr>
              <w:autoSpaceDE w:val="0"/>
              <w:autoSpaceDN w:val="0"/>
              <w:adjustRightInd w:val="0"/>
              <w:spacing w:before="4" w:line="110" w:lineRule="exact"/>
              <w:jc w:val="center"/>
              <w:rPr>
                <w:sz w:val="11"/>
                <w:szCs w:val="11"/>
              </w:rPr>
            </w:pPr>
          </w:p>
          <w:p w14:paraId="7B910902" w14:textId="77777777" w:rsidR="00E83996" w:rsidRPr="00E032E2" w:rsidRDefault="00E83996" w:rsidP="00EC60DF">
            <w:pPr>
              <w:autoSpaceDE w:val="0"/>
              <w:autoSpaceDN w:val="0"/>
              <w:adjustRightInd w:val="0"/>
              <w:ind w:left="1310" w:right="1283"/>
              <w:jc w:val="center"/>
            </w:pPr>
            <w:r w:rsidRPr="00E032E2">
              <w:rPr>
                <w:rFonts w:ascii="Arial" w:hAnsi="Arial" w:cs="Arial"/>
                <w:w w:val="99"/>
                <w:sz w:val="20"/>
                <w:szCs w:val="20"/>
              </w:rPr>
              <w:t>55</w:t>
            </w:r>
          </w:p>
        </w:tc>
      </w:tr>
      <w:tr w:rsidR="00E83996" w:rsidRPr="00E032E2" w14:paraId="6D910496" w14:textId="77777777" w:rsidTr="00390145">
        <w:trPr>
          <w:trHeight w:hRule="exact" w:val="535"/>
          <w:jc w:val="center"/>
        </w:trPr>
        <w:tc>
          <w:tcPr>
            <w:tcW w:w="2866" w:type="dxa"/>
            <w:vAlign w:val="center"/>
          </w:tcPr>
          <w:p w14:paraId="35BB8143" w14:textId="77777777" w:rsidR="00E83996" w:rsidRPr="00E032E2" w:rsidRDefault="00E83996" w:rsidP="00EC60DF">
            <w:pPr>
              <w:autoSpaceDE w:val="0"/>
              <w:autoSpaceDN w:val="0"/>
              <w:adjustRightInd w:val="0"/>
              <w:spacing w:before="4" w:line="110" w:lineRule="exact"/>
              <w:jc w:val="center"/>
              <w:rPr>
                <w:sz w:val="11"/>
                <w:szCs w:val="11"/>
              </w:rPr>
            </w:pPr>
          </w:p>
          <w:p w14:paraId="755AC6F2" w14:textId="77777777" w:rsidR="00E83996" w:rsidRPr="00E032E2" w:rsidRDefault="00E83996" w:rsidP="00EC60DF">
            <w:pPr>
              <w:autoSpaceDE w:val="0"/>
              <w:autoSpaceDN w:val="0"/>
              <w:adjustRightInd w:val="0"/>
              <w:ind w:left="1104" w:right="1036"/>
              <w:jc w:val="center"/>
            </w:pPr>
            <w:r w:rsidRPr="00E032E2">
              <w:rPr>
                <w:rFonts w:ascii="Arial" w:hAnsi="Arial" w:cs="Arial"/>
                <w:sz w:val="20"/>
                <w:szCs w:val="20"/>
              </w:rPr>
              <w:t>17</w:t>
            </w:r>
            <w:r w:rsidRPr="00E032E2">
              <w:rPr>
                <w:rFonts w:ascii="Arial" w:hAnsi="Arial" w:cs="Arial"/>
                <w:spacing w:val="-3"/>
                <w:sz w:val="20"/>
                <w:szCs w:val="20"/>
              </w:rPr>
              <w:t xml:space="preserve"> </w:t>
            </w:r>
            <w:r w:rsidRPr="00E032E2">
              <w:rPr>
                <w:rFonts w:ascii="Arial" w:hAnsi="Arial" w:cs="Arial"/>
                <w:sz w:val="20"/>
                <w:szCs w:val="20"/>
              </w:rPr>
              <w:t>-</w:t>
            </w:r>
            <w:r w:rsidRPr="00E032E2">
              <w:rPr>
                <w:rFonts w:ascii="Arial" w:hAnsi="Arial" w:cs="Arial"/>
                <w:spacing w:val="-1"/>
                <w:sz w:val="20"/>
                <w:szCs w:val="20"/>
              </w:rPr>
              <w:t xml:space="preserve"> </w:t>
            </w:r>
            <w:r w:rsidRPr="00E032E2">
              <w:rPr>
                <w:rFonts w:ascii="Arial" w:hAnsi="Arial" w:cs="Arial"/>
                <w:w w:val="99"/>
                <w:sz w:val="20"/>
                <w:szCs w:val="20"/>
              </w:rPr>
              <w:t>18</w:t>
            </w:r>
          </w:p>
        </w:tc>
        <w:tc>
          <w:tcPr>
            <w:tcW w:w="2876" w:type="dxa"/>
            <w:vAlign w:val="center"/>
          </w:tcPr>
          <w:p w14:paraId="368F296D" w14:textId="77777777" w:rsidR="00E83996" w:rsidRPr="00E032E2" w:rsidRDefault="00E83996" w:rsidP="00EC60DF">
            <w:pPr>
              <w:autoSpaceDE w:val="0"/>
              <w:autoSpaceDN w:val="0"/>
              <w:adjustRightInd w:val="0"/>
              <w:spacing w:before="4" w:line="110" w:lineRule="exact"/>
              <w:jc w:val="center"/>
              <w:rPr>
                <w:sz w:val="11"/>
                <w:szCs w:val="11"/>
              </w:rPr>
            </w:pPr>
          </w:p>
          <w:p w14:paraId="2D3509A6" w14:textId="77777777" w:rsidR="00E83996" w:rsidRPr="00E032E2" w:rsidRDefault="00E83996" w:rsidP="00EC60DF">
            <w:pPr>
              <w:autoSpaceDE w:val="0"/>
              <w:autoSpaceDN w:val="0"/>
              <w:adjustRightInd w:val="0"/>
              <w:ind w:left="1368" w:right="1291"/>
              <w:jc w:val="center"/>
            </w:pPr>
            <w:r w:rsidRPr="00E032E2">
              <w:rPr>
                <w:rFonts w:ascii="Arial" w:hAnsi="Arial" w:cs="Arial"/>
                <w:w w:val="99"/>
                <w:sz w:val="20"/>
                <w:szCs w:val="20"/>
              </w:rPr>
              <w:t>6</w:t>
            </w:r>
          </w:p>
        </w:tc>
        <w:tc>
          <w:tcPr>
            <w:tcW w:w="2921" w:type="dxa"/>
            <w:vAlign w:val="center"/>
          </w:tcPr>
          <w:p w14:paraId="66BFF0FB" w14:textId="77777777" w:rsidR="00E83996" w:rsidRPr="00E032E2" w:rsidRDefault="00E83996" w:rsidP="00EC60DF">
            <w:pPr>
              <w:autoSpaceDE w:val="0"/>
              <w:autoSpaceDN w:val="0"/>
              <w:adjustRightInd w:val="0"/>
              <w:spacing w:before="4" w:line="110" w:lineRule="exact"/>
              <w:jc w:val="center"/>
              <w:rPr>
                <w:sz w:val="11"/>
                <w:szCs w:val="11"/>
              </w:rPr>
            </w:pPr>
          </w:p>
          <w:p w14:paraId="6C8CB88E" w14:textId="77777777" w:rsidR="00E83996" w:rsidRPr="00E032E2" w:rsidRDefault="00E83996" w:rsidP="00EC60DF">
            <w:pPr>
              <w:autoSpaceDE w:val="0"/>
              <w:autoSpaceDN w:val="0"/>
              <w:adjustRightInd w:val="0"/>
              <w:ind w:left="1310" w:right="1283"/>
              <w:jc w:val="center"/>
            </w:pPr>
            <w:r w:rsidRPr="00E032E2">
              <w:rPr>
                <w:rFonts w:ascii="Arial" w:hAnsi="Arial" w:cs="Arial"/>
                <w:w w:val="99"/>
                <w:sz w:val="20"/>
                <w:szCs w:val="20"/>
              </w:rPr>
              <w:t>70</w:t>
            </w:r>
          </w:p>
        </w:tc>
      </w:tr>
      <w:tr w:rsidR="00E83996" w:rsidRPr="00E032E2" w14:paraId="3E74062A" w14:textId="77777777" w:rsidTr="00390145">
        <w:trPr>
          <w:trHeight w:hRule="exact" w:val="535"/>
          <w:jc w:val="center"/>
        </w:trPr>
        <w:tc>
          <w:tcPr>
            <w:tcW w:w="2866" w:type="dxa"/>
            <w:vAlign w:val="center"/>
          </w:tcPr>
          <w:p w14:paraId="6F69E8FF" w14:textId="77777777" w:rsidR="00E83996" w:rsidRPr="00E032E2" w:rsidRDefault="00E83996" w:rsidP="00EC60DF">
            <w:pPr>
              <w:autoSpaceDE w:val="0"/>
              <w:autoSpaceDN w:val="0"/>
              <w:adjustRightInd w:val="0"/>
              <w:spacing w:before="1" w:line="110" w:lineRule="exact"/>
              <w:jc w:val="center"/>
              <w:rPr>
                <w:sz w:val="11"/>
                <w:szCs w:val="11"/>
              </w:rPr>
            </w:pPr>
          </w:p>
          <w:p w14:paraId="4D1C7E3D" w14:textId="77777777" w:rsidR="00E83996" w:rsidRPr="00E032E2" w:rsidRDefault="00E83996" w:rsidP="00EC60DF">
            <w:pPr>
              <w:autoSpaceDE w:val="0"/>
              <w:autoSpaceDN w:val="0"/>
              <w:adjustRightInd w:val="0"/>
              <w:ind w:left="1104" w:right="1036"/>
              <w:jc w:val="center"/>
            </w:pPr>
            <w:r w:rsidRPr="00E032E2">
              <w:rPr>
                <w:rFonts w:ascii="Arial" w:hAnsi="Arial" w:cs="Arial"/>
                <w:sz w:val="20"/>
                <w:szCs w:val="20"/>
              </w:rPr>
              <w:t>21</w:t>
            </w:r>
            <w:r w:rsidRPr="00E032E2">
              <w:rPr>
                <w:rFonts w:ascii="Arial" w:hAnsi="Arial" w:cs="Arial"/>
                <w:spacing w:val="-3"/>
                <w:sz w:val="20"/>
                <w:szCs w:val="20"/>
              </w:rPr>
              <w:t xml:space="preserve"> </w:t>
            </w:r>
            <w:r w:rsidRPr="00E032E2">
              <w:rPr>
                <w:rFonts w:ascii="Arial" w:hAnsi="Arial" w:cs="Arial"/>
                <w:sz w:val="20"/>
                <w:szCs w:val="20"/>
              </w:rPr>
              <w:t>-</w:t>
            </w:r>
            <w:r w:rsidRPr="00E032E2">
              <w:rPr>
                <w:rFonts w:ascii="Arial" w:hAnsi="Arial" w:cs="Arial"/>
                <w:spacing w:val="-1"/>
                <w:sz w:val="20"/>
                <w:szCs w:val="20"/>
              </w:rPr>
              <w:t xml:space="preserve"> </w:t>
            </w:r>
            <w:r w:rsidRPr="00E032E2">
              <w:rPr>
                <w:rFonts w:ascii="Arial" w:hAnsi="Arial" w:cs="Arial"/>
                <w:w w:val="99"/>
                <w:sz w:val="20"/>
                <w:szCs w:val="20"/>
              </w:rPr>
              <w:t>22</w:t>
            </w:r>
          </w:p>
        </w:tc>
        <w:tc>
          <w:tcPr>
            <w:tcW w:w="2876" w:type="dxa"/>
            <w:vAlign w:val="center"/>
          </w:tcPr>
          <w:p w14:paraId="5923D0E3" w14:textId="77777777" w:rsidR="00E83996" w:rsidRPr="00E032E2" w:rsidRDefault="00E83996" w:rsidP="00EC60DF">
            <w:pPr>
              <w:autoSpaceDE w:val="0"/>
              <w:autoSpaceDN w:val="0"/>
              <w:adjustRightInd w:val="0"/>
              <w:spacing w:before="1" w:line="110" w:lineRule="exact"/>
              <w:jc w:val="center"/>
              <w:rPr>
                <w:sz w:val="11"/>
                <w:szCs w:val="11"/>
              </w:rPr>
            </w:pPr>
          </w:p>
          <w:p w14:paraId="4E116F6D" w14:textId="77777777" w:rsidR="00E83996" w:rsidRPr="00E032E2" w:rsidRDefault="00E83996" w:rsidP="00EC60DF">
            <w:pPr>
              <w:autoSpaceDE w:val="0"/>
              <w:autoSpaceDN w:val="0"/>
              <w:adjustRightInd w:val="0"/>
              <w:ind w:left="1368" w:right="1291"/>
              <w:jc w:val="center"/>
            </w:pPr>
            <w:r w:rsidRPr="00E032E2">
              <w:rPr>
                <w:rFonts w:ascii="Arial" w:hAnsi="Arial" w:cs="Arial"/>
                <w:w w:val="99"/>
                <w:sz w:val="20"/>
                <w:szCs w:val="20"/>
              </w:rPr>
              <w:t>8</w:t>
            </w:r>
          </w:p>
        </w:tc>
        <w:tc>
          <w:tcPr>
            <w:tcW w:w="2921" w:type="dxa"/>
            <w:vAlign w:val="center"/>
          </w:tcPr>
          <w:p w14:paraId="0DEC9612" w14:textId="77777777" w:rsidR="00E83996" w:rsidRPr="00E032E2" w:rsidRDefault="00E83996" w:rsidP="00EC60DF">
            <w:pPr>
              <w:autoSpaceDE w:val="0"/>
              <w:autoSpaceDN w:val="0"/>
              <w:adjustRightInd w:val="0"/>
              <w:spacing w:before="1" w:line="110" w:lineRule="exact"/>
              <w:jc w:val="center"/>
              <w:rPr>
                <w:sz w:val="11"/>
                <w:szCs w:val="11"/>
              </w:rPr>
            </w:pPr>
          </w:p>
          <w:p w14:paraId="4845F27A" w14:textId="77777777" w:rsidR="00E83996" w:rsidRPr="00E032E2" w:rsidRDefault="00E83996" w:rsidP="00EC60DF">
            <w:pPr>
              <w:autoSpaceDE w:val="0"/>
              <w:autoSpaceDN w:val="0"/>
              <w:adjustRightInd w:val="0"/>
              <w:ind w:left="1310" w:right="1283"/>
              <w:jc w:val="center"/>
            </w:pPr>
            <w:r w:rsidRPr="00E032E2">
              <w:rPr>
                <w:rFonts w:ascii="Arial" w:hAnsi="Arial" w:cs="Arial"/>
                <w:w w:val="99"/>
                <w:sz w:val="20"/>
                <w:szCs w:val="20"/>
              </w:rPr>
              <w:t>90</w:t>
            </w:r>
          </w:p>
        </w:tc>
      </w:tr>
      <w:tr w:rsidR="00E83996" w:rsidRPr="00E032E2" w14:paraId="79CFC9FE" w14:textId="77777777" w:rsidTr="00390145">
        <w:trPr>
          <w:trHeight w:hRule="exact" w:val="535"/>
          <w:jc w:val="center"/>
        </w:trPr>
        <w:tc>
          <w:tcPr>
            <w:tcW w:w="2866" w:type="dxa"/>
            <w:vAlign w:val="center"/>
          </w:tcPr>
          <w:p w14:paraId="041D5CEB" w14:textId="77777777" w:rsidR="00E83996" w:rsidRPr="00E032E2" w:rsidRDefault="00E83996" w:rsidP="00EC60DF">
            <w:pPr>
              <w:autoSpaceDE w:val="0"/>
              <w:autoSpaceDN w:val="0"/>
              <w:adjustRightInd w:val="0"/>
              <w:spacing w:before="1" w:line="110" w:lineRule="exact"/>
              <w:jc w:val="center"/>
              <w:rPr>
                <w:sz w:val="11"/>
                <w:szCs w:val="11"/>
              </w:rPr>
            </w:pPr>
          </w:p>
          <w:p w14:paraId="758246CF" w14:textId="77777777" w:rsidR="00E83996" w:rsidRPr="00E032E2" w:rsidRDefault="00E83996" w:rsidP="00EC60DF">
            <w:pPr>
              <w:autoSpaceDE w:val="0"/>
              <w:autoSpaceDN w:val="0"/>
              <w:adjustRightInd w:val="0"/>
              <w:ind w:left="1104" w:right="1036"/>
              <w:jc w:val="center"/>
            </w:pPr>
            <w:r w:rsidRPr="00E032E2">
              <w:rPr>
                <w:rFonts w:ascii="Arial" w:hAnsi="Arial" w:cs="Arial"/>
                <w:sz w:val="20"/>
                <w:szCs w:val="20"/>
              </w:rPr>
              <w:t>25</w:t>
            </w:r>
            <w:r w:rsidRPr="00E032E2">
              <w:rPr>
                <w:rFonts w:ascii="Arial" w:hAnsi="Arial" w:cs="Arial"/>
                <w:spacing w:val="-3"/>
                <w:sz w:val="20"/>
                <w:szCs w:val="20"/>
              </w:rPr>
              <w:t xml:space="preserve"> </w:t>
            </w:r>
            <w:r w:rsidRPr="00E032E2">
              <w:rPr>
                <w:rFonts w:ascii="Arial" w:hAnsi="Arial" w:cs="Arial"/>
                <w:sz w:val="20"/>
                <w:szCs w:val="20"/>
              </w:rPr>
              <w:t>-</w:t>
            </w:r>
            <w:r w:rsidRPr="00E032E2">
              <w:rPr>
                <w:rFonts w:ascii="Arial" w:hAnsi="Arial" w:cs="Arial"/>
                <w:spacing w:val="-1"/>
                <w:sz w:val="20"/>
                <w:szCs w:val="20"/>
              </w:rPr>
              <w:t xml:space="preserve"> </w:t>
            </w:r>
            <w:r w:rsidRPr="00E032E2">
              <w:rPr>
                <w:rFonts w:ascii="Arial" w:hAnsi="Arial" w:cs="Arial"/>
                <w:w w:val="99"/>
                <w:sz w:val="20"/>
                <w:szCs w:val="20"/>
              </w:rPr>
              <w:t>26</w:t>
            </w:r>
          </w:p>
        </w:tc>
        <w:tc>
          <w:tcPr>
            <w:tcW w:w="2876" w:type="dxa"/>
            <w:vAlign w:val="center"/>
          </w:tcPr>
          <w:p w14:paraId="21E3702F" w14:textId="77777777" w:rsidR="00E83996" w:rsidRPr="00E032E2" w:rsidRDefault="00E83996" w:rsidP="00EC60DF">
            <w:pPr>
              <w:autoSpaceDE w:val="0"/>
              <w:autoSpaceDN w:val="0"/>
              <w:adjustRightInd w:val="0"/>
              <w:spacing w:before="1" w:line="110" w:lineRule="exact"/>
              <w:jc w:val="center"/>
              <w:rPr>
                <w:sz w:val="11"/>
                <w:szCs w:val="11"/>
              </w:rPr>
            </w:pPr>
          </w:p>
          <w:p w14:paraId="2D536DA7" w14:textId="77777777" w:rsidR="00E83996" w:rsidRPr="00E032E2" w:rsidRDefault="00E83996" w:rsidP="00EC60DF">
            <w:pPr>
              <w:autoSpaceDE w:val="0"/>
              <w:autoSpaceDN w:val="0"/>
              <w:adjustRightInd w:val="0"/>
              <w:ind w:left="1310" w:right="1238"/>
              <w:jc w:val="center"/>
            </w:pPr>
            <w:r w:rsidRPr="00E032E2">
              <w:rPr>
                <w:rFonts w:ascii="Arial" w:hAnsi="Arial" w:cs="Arial"/>
                <w:w w:val="99"/>
                <w:sz w:val="20"/>
                <w:szCs w:val="20"/>
              </w:rPr>
              <w:t>10</w:t>
            </w:r>
          </w:p>
        </w:tc>
        <w:tc>
          <w:tcPr>
            <w:tcW w:w="2921" w:type="dxa"/>
            <w:vAlign w:val="center"/>
          </w:tcPr>
          <w:p w14:paraId="74A26A72" w14:textId="77777777" w:rsidR="00E83996" w:rsidRPr="00E032E2" w:rsidRDefault="00E83996" w:rsidP="00EC60DF">
            <w:pPr>
              <w:autoSpaceDE w:val="0"/>
              <w:autoSpaceDN w:val="0"/>
              <w:adjustRightInd w:val="0"/>
              <w:spacing w:before="1" w:line="110" w:lineRule="exact"/>
              <w:jc w:val="center"/>
              <w:rPr>
                <w:sz w:val="11"/>
                <w:szCs w:val="11"/>
              </w:rPr>
            </w:pPr>
          </w:p>
          <w:p w14:paraId="15DA7BE5" w14:textId="77777777" w:rsidR="00E83996" w:rsidRPr="00E032E2" w:rsidRDefault="00E83996" w:rsidP="00EC60DF">
            <w:pPr>
              <w:autoSpaceDE w:val="0"/>
              <w:autoSpaceDN w:val="0"/>
              <w:adjustRightInd w:val="0"/>
              <w:ind w:left="1255" w:right="1228"/>
              <w:jc w:val="center"/>
            </w:pPr>
            <w:r w:rsidRPr="00E032E2">
              <w:rPr>
                <w:rFonts w:ascii="Arial" w:hAnsi="Arial" w:cs="Arial"/>
                <w:w w:val="99"/>
                <w:sz w:val="20"/>
                <w:szCs w:val="20"/>
              </w:rPr>
              <w:t>115</w:t>
            </w:r>
          </w:p>
        </w:tc>
      </w:tr>
      <w:tr w:rsidR="00E83996" w:rsidRPr="00E032E2" w14:paraId="77716468" w14:textId="77777777" w:rsidTr="00390145">
        <w:trPr>
          <w:trHeight w:hRule="exact" w:val="563"/>
          <w:jc w:val="center"/>
        </w:trPr>
        <w:tc>
          <w:tcPr>
            <w:tcW w:w="2866" w:type="dxa"/>
            <w:vAlign w:val="center"/>
          </w:tcPr>
          <w:p w14:paraId="33851241" w14:textId="77777777" w:rsidR="00E83996" w:rsidRPr="00E032E2" w:rsidRDefault="00E83996" w:rsidP="00EC60DF">
            <w:pPr>
              <w:autoSpaceDE w:val="0"/>
              <w:autoSpaceDN w:val="0"/>
              <w:adjustRightInd w:val="0"/>
              <w:spacing w:before="1" w:line="110" w:lineRule="exact"/>
              <w:jc w:val="center"/>
              <w:rPr>
                <w:sz w:val="11"/>
                <w:szCs w:val="11"/>
              </w:rPr>
            </w:pPr>
          </w:p>
          <w:p w14:paraId="131A208E" w14:textId="77777777" w:rsidR="00E83996" w:rsidRPr="00E032E2" w:rsidRDefault="00E83996" w:rsidP="00EC60DF">
            <w:pPr>
              <w:autoSpaceDE w:val="0"/>
              <w:autoSpaceDN w:val="0"/>
              <w:adjustRightInd w:val="0"/>
              <w:ind w:left="1104" w:right="1036"/>
              <w:jc w:val="center"/>
            </w:pPr>
            <w:r w:rsidRPr="00E032E2">
              <w:rPr>
                <w:rFonts w:ascii="Arial" w:hAnsi="Arial" w:cs="Arial"/>
                <w:sz w:val="20"/>
                <w:szCs w:val="20"/>
              </w:rPr>
              <w:t>28</w:t>
            </w:r>
            <w:r w:rsidRPr="00E032E2">
              <w:rPr>
                <w:rFonts w:ascii="Arial" w:hAnsi="Arial" w:cs="Arial"/>
                <w:spacing w:val="-3"/>
                <w:sz w:val="20"/>
                <w:szCs w:val="20"/>
              </w:rPr>
              <w:t xml:space="preserve"> </w:t>
            </w:r>
            <w:r w:rsidRPr="00E032E2">
              <w:rPr>
                <w:rFonts w:ascii="Arial" w:hAnsi="Arial" w:cs="Arial"/>
                <w:sz w:val="20"/>
                <w:szCs w:val="20"/>
              </w:rPr>
              <w:t>-</w:t>
            </w:r>
            <w:r w:rsidRPr="00E032E2">
              <w:rPr>
                <w:rFonts w:ascii="Arial" w:hAnsi="Arial" w:cs="Arial"/>
                <w:spacing w:val="-1"/>
                <w:sz w:val="20"/>
                <w:szCs w:val="20"/>
              </w:rPr>
              <w:t xml:space="preserve"> </w:t>
            </w:r>
            <w:r w:rsidRPr="00E032E2">
              <w:rPr>
                <w:rFonts w:ascii="Arial" w:hAnsi="Arial" w:cs="Arial"/>
                <w:w w:val="99"/>
                <w:sz w:val="20"/>
                <w:szCs w:val="20"/>
              </w:rPr>
              <w:t>29</w:t>
            </w:r>
          </w:p>
        </w:tc>
        <w:tc>
          <w:tcPr>
            <w:tcW w:w="2876" w:type="dxa"/>
            <w:vAlign w:val="center"/>
          </w:tcPr>
          <w:p w14:paraId="6C5FB25D" w14:textId="77777777" w:rsidR="00E83996" w:rsidRPr="00E032E2" w:rsidRDefault="00E83996" w:rsidP="00EC60DF">
            <w:pPr>
              <w:autoSpaceDE w:val="0"/>
              <w:autoSpaceDN w:val="0"/>
              <w:adjustRightInd w:val="0"/>
              <w:spacing w:before="1" w:line="110" w:lineRule="exact"/>
              <w:jc w:val="center"/>
              <w:rPr>
                <w:sz w:val="11"/>
                <w:szCs w:val="11"/>
              </w:rPr>
            </w:pPr>
          </w:p>
          <w:p w14:paraId="2E4A7E44" w14:textId="77777777" w:rsidR="00E83996" w:rsidRPr="00E032E2" w:rsidRDefault="00E83996" w:rsidP="00EC60DF">
            <w:pPr>
              <w:autoSpaceDE w:val="0"/>
              <w:autoSpaceDN w:val="0"/>
              <w:adjustRightInd w:val="0"/>
              <w:ind w:left="1310" w:right="1238"/>
              <w:jc w:val="center"/>
            </w:pPr>
            <w:r w:rsidRPr="00E032E2">
              <w:rPr>
                <w:rFonts w:ascii="Arial" w:hAnsi="Arial" w:cs="Arial"/>
                <w:w w:val="99"/>
                <w:sz w:val="20"/>
                <w:szCs w:val="20"/>
              </w:rPr>
              <w:t>12</w:t>
            </w:r>
          </w:p>
        </w:tc>
        <w:tc>
          <w:tcPr>
            <w:tcW w:w="2921" w:type="dxa"/>
            <w:vAlign w:val="center"/>
          </w:tcPr>
          <w:p w14:paraId="7ADAC081" w14:textId="77777777" w:rsidR="00E83996" w:rsidRPr="00E032E2" w:rsidRDefault="00E83996" w:rsidP="00EC60DF">
            <w:pPr>
              <w:autoSpaceDE w:val="0"/>
              <w:autoSpaceDN w:val="0"/>
              <w:adjustRightInd w:val="0"/>
              <w:spacing w:before="1" w:line="110" w:lineRule="exact"/>
              <w:jc w:val="center"/>
              <w:rPr>
                <w:sz w:val="11"/>
                <w:szCs w:val="11"/>
              </w:rPr>
            </w:pPr>
          </w:p>
          <w:p w14:paraId="351811D8" w14:textId="77777777" w:rsidR="00E83996" w:rsidRPr="00E032E2" w:rsidRDefault="00E83996" w:rsidP="00EC60DF">
            <w:pPr>
              <w:autoSpaceDE w:val="0"/>
              <w:autoSpaceDN w:val="0"/>
              <w:adjustRightInd w:val="0"/>
              <w:ind w:left="1255" w:right="1228"/>
              <w:jc w:val="center"/>
            </w:pPr>
            <w:r w:rsidRPr="00E032E2">
              <w:rPr>
                <w:rFonts w:ascii="Arial" w:hAnsi="Arial" w:cs="Arial"/>
                <w:w w:val="99"/>
                <w:sz w:val="20"/>
                <w:szCs w:val="20"/>
              </w:rPr>
              <w:t>130</w:t>
            </w:r>
          </w:p>
        </w:tc>
      </w:tr>
    </w:tbl>
    <w:p w14:paraId="5425DAEC"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En cada estructura no se emplearán más de dos </w:t>
      </w:r>
      <w:r w:rsidR="00D93E76" w:rsidRPr="00390145">
        <w:rPr>
          <w:rFonts w:ascii="Arial" w:hAnsi="Arial"/>
        </w:rPr>
        <w:t>o</w:t>
      </w:r>
      <w:r w:rsidRPr="00390145">
        <w:rPr>
          <w:rFonts w:ascii="Arial" w:hAnsi="Arial"/>
        </w:rPr>
        <w:t xml:space="preserve"> como máximo tres diámetros diferentes procurando que sean bien distintos entre sí.</w:t>
      </w:r>
    </w:p>
    <w:p w14:paraId="4B4C745D" w14:textId="77777777" w:rsidR="00E83996" w:rsidRPr="00390145" w:rsidRDefault="00E83996" w:rsidP="00E83996">
      <w:pPr>
        <w:spacing w:before="120" w:after="120" w:line="360" w:lineRule="auto"/>
        <w:jc w:val="both"/>
        <w:rPr>
          <w:rFonts w:ascii="Arial" w:hAnsi="Arial"/>
        </w:rPr>
      </w:pPr>
      <w:r w:rsidRPr="00390145">
        <w:rPr>
          <w:rFonts w:ascii="Arial" w:hAnsi="Arial"/>
        </w:rPr>
        <w:t>Las distancias entre centros de taladros cumplirán las limitaciones establecidas en la norma EAE.</w:t>
      </w:r>
    </w:p>
    <w:p w14:paraId="4F18EB73" w14:textId="77777777" w:rsidR="00E83996" w:rsidRPr="00390145" w:rsidRDefault="00E83996" w:rsidP="00E83996">
      <w:pPr>
        <w:spacing w:before="120" w:after="120" w:line="360" w:lineRule="auto"/>
        <w:jc w:val="both"/>
        <w:rPr>
          <w:rFonts w:ascii="Arial" w:hAnsi="Arial"/>
        </w:rPr>
      </w:pPr>
      <w:r w:rsidRPr="00390145">
        <w:rPr>
          <w:rFonts w:ascii="Arial" w:hAnsi="Arial"/>
        </w:rPr>
        <w:t>El espesor de garganta mínimo de los cordones de soldadura en ángulo será de tres milímetros (3mm.). El espesor máximo no superará el setenta por ciento (70%) del espesor de la pieza más delgada.</w:t>
      </w:r>
    </w:p>
    <w:p w14:paraId="0A0D888D" w14:textId="77777777" w:rsidR="00E83996" w:rsidRPr="00390145" w:rsidRDefault="00E83996" w:rsidP="00E83996">
      <w:pPr>
        <w:spacing w:before="120" w:after="120" w:line="360" w:lineRule="auto"/>
        <w:jc w:val="both"/>
        <w:rPr>
          <w:rFonts w:ascii="Arial" w:hAnsi="Arial"/>
        </w:rPr>
      </w:pPr>
      <w:r w:rsidRPr="00390145">
        <w:rPr>
          <w:rFonts w:ascii="Arial" w:hAnsi="Arial"/>
        </w:rPr>
        <w:t>Para cordones en ángulo entre perfiles laminados o entre perfiles laminados y chapas, los espesores de garganta no serán superiores a los indicados en la EAE</w:t>
      </w:r>
    </w:p>
    <w:p w14:paraId="443C40AB" w14:textId="77777777" w:rsidR="00E83996" w:rsidRPr="00390145" w:rsidRDefault="00E83996" w:rsidP="00E83996">
      <w:pPr>
        <w:spacing w:before="120" w:after="120" w:line="360" w:lineRule="auto"/>
        <w:jc w:val="both"/>
        <w:rPr>
          <w:rFonts w:ascii="Arial" w:hAnsi="Arial"/>
        </w:rPr>
      </w:pPr>
      <w:r w:rsidRPr="00390145">
        <w:rPr>
          <w:rFonts w:ascii="Arial" w:hAnsi="Arial"/>
        </w:rPr>
        <w:t>Los cordones en ángulo cumplirán además las limitaciones en cuanto a longitudes y disposiciones indicadas en la norma EAE; se prohíbe expresamente el uso de cordones discontinuos cuando la pieza haya de estar en contacto con el agua.</w:t>
      </w:r>
    </w:p>
    <w:p w14:paraId="5689C9D8" w14:textId="77777777" w:rsidR="00E83996" w:rsidRPr="00390145" w:rsidRDefault="00E83996" w:rsidP="00E83996">
      <w:pPr>
        <w:spacing w:before="120" w:after="120" w:line="360" w:lineRule="auto"/>
        <w:jc w:val="both"/>
        <w:rPr>
          <w:rFonts w:ascii="Arial" w:hAnsi="Arial"/>
        </w:rPr>
      </w:pPr>
      <w:r w:rsidRPr="00390145">
        <w:rPr>
          <w:rFonts w:ascii="Arial" w:hAnsi="Arial"/>
        </w:rPr>
        <w:t>En general, quedan prohibidas las soldaduras de botón y de ranura. Sólo se permitirán, excepcionalmente las soldaduras de ranura para asegurar contra el pandeo local a los planos anchos que forman parte de una pieza comprimida, cuando no sea posible hacerlo por otro procedimiento. En este caso el ancho de la ranura debe ser, por lo menos, igual a dos veces y media (2,5) el espesor de la chapa cosida. La distancia libre en cualquier dirección entre dos ranuras consecutivas no será inferior a dos veces (2) el ancho de la ranura ni superior a treinta veces (30) el espesor de la chapa; la dimensión máxima de la ranura no excederá de diez veces (10) el espesor de la chapa.</w:t>
      </w:r>
    </w:p>
    <w:p w14:paraId="7F11489E" w14:textId="77777777" w:rsidR="00E83996" w:rsidRPr="00390145" w:rsidRDefault="00E83996" w:rsidP="00E83996">
      <w:pPr>
        <w:spacing w:before="120" w:after="120" w:line="360" w:lineRule="auto"/>
        <w:jc w:val="both"/>
        <w:rPr>
          <w:rFonts w:ascii="Arial" w:hAnsi="Arial"/>
        </w:rPr>
      </w:pPr>
      <w:r w:rsidRPr="00390145">
        <w:rPr>
          <w:rFonts w:ascii="Arial" w:hAnsi="Arial"/>
        </w:rPr>
        <w:t>Los planos que hayan de unirse mediante soldadura de ángulo en sus bordes longitudinales a otro plano o a un perfil para constituir una barra compuesta no deberán tener una anchura superior a treinta veces (30) su espesor.</w:t>
      </w:r>
    </w:p>
    <w:p w14:paraId="551BDDD8" w14:textId="77777777" w:rsidR="00E83996" w:rsidRPr="00390145" w:rsidRDefault="00E83996" w:rsidP="00E83996">
      <w:pPr>
        <w:spacing w:before="120" w:after="120" w:line="360" w:lineRule="auto"/>
        <w:jc w:val="both"/>
        <w:rPr>
          <w:rFonts w:ascii="Arial" w:hAnsi="Arial"/>
        </w:rPr>
      </w:pPr>
      <w:r w:rsidRPr="00390145">
        <w:rPr>
          <w:rFonts w:ascii="Arial" w:hAnsi="Arial"/>
        </w:rPr>
        <w:t>Las soldaduras a tope serán continuas en toda la longitud de la unión y de penetración completa.</w:t>
      </w:r>
    </w:p>
    <w:p w14:paraId="291A7878" w14:textId="77777777" w:rsidR="00E83996" w:rsidRPr="00390145" w:rsidRDefault="00E83996" w:rsidP="00E83996">
      <w:pPr>
        <w:spacing w:before="120" w:after="120" w:line="360" w:lineRule="auto"/>
        <w:jc w:val="both"/>
        <w:rPr>
          <w:rFonts w:ascii="Arial" w:hAnsi="Arial"/>
        </w:rPr>
      </w:pPr>
      <w:r w:rsidRPr="00390145">
        <w:rPr>
          <w:rFonts w:ascii="Arial" w:hAnsi="Arial"/>
        </w:rPr>
        <w:lastRenderedPageBreak/>
        <w:t>Los planos de taller indicarán también la forma de efectuar la toma de raíz en las soldaduras a tope con penetración completa, el empleo de chapa dorsal si no es posible la toma de raíz o el procedimiento para garantizar la penetración completa cuando no sea posible efectuar la toma de raíz ni recomendable el empleo de chapa dorsal (piezas sometidas a esfuerzos dinámicos).</w:t>
      </w:r>
    </w:p>
    <w:p w14:paraId="778C54A1"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En los planos de taller figurarán todos los empalmes que sea preciso efectuar. El </w:t>
      </w:r>
      <w:proofErr w:type="gramStart"/>
      <w:r w:rsidRPr="00390145">
        <w:rPr>
          <w:rFonts w:ascii="Arial" w:hAnsi="Arial"/>
        </w:rPr>
        <w:t>Director</w:t>
      </w:r>
      <w:proofErr w:type="gramEnd"/>
      <w:r w:rsidRPr="00390145">
        <w:rPr>
          <w:rFonts w:ascii="Arial" w:hAnsi="Arial"/>
        </w:rPr>
        <w:t xml:space="preserve"> puede autorizar, para series importantes de elementos del mismo perfil, realizar empalmes en piezas de longitudes inferiores a las habituales de laminación para no ocasionar un despunte excesivo. En este caso figurará en los planos de taller la zona de la pieza en donde puede efectuarse el empalme y el número máximo de piezas de la serie que pueden ser empalmadas.</w:t>
      </w:r>
    </w:p>
    <w:p w14:paraId="5D9797CD" w14:textId="77777777" w:rsidR="00E83996" w:rsidRPr="00390145" w:rsidRDefault="00E83996" w:rsidP="00E83996">
      <w:pPr>
        <w:spacing w:before="120" w:after="120" w:line="360" w:lineRule="auto"/>
        <w:jc w:val="both"/>
        <w:rPr>
          <w:rFonts w:ascii="Arial" w:hAnsi="Arial"/>
        </w:rPr>
      </w:pPr>
      <w:r w:rsidRPr="00390145">
        <w:rPr>
          <w:rFonts w:ascii="Arial" w:hAnsi="Arial"/>
        </w:rPr>
        <w:t>No se admitirán empalmes en aquellos elementos, como marcos transversales, en los que en los Planos de ejecución se indica que serán de una pieza.</w:t>
      </w:r>
    </w:p>
    <w:p w14:paraId="1BA7824B" w14:textId="77777777" w:rsidR="00E83996" w:rsidRPr="00390145" w:rsidRDefault="00E83996" w:rsidP="00E83996">
      <w:pPr>
        <w:spacing w:before="120" w:after="120" w:line="360" w:lineRule="auto"/>
        <w:jc w:val="both"/>
        <w:rPr>
          <w:rFonts w:ascii="Arial" w:hAnsi="Arial"/>
        </w:rPr>
      </w:pPr>
      <w:r w:rsidRPr="00390145">
        <w:rPr>
          <w:rFonts w:ascii="Arial" w:hAnsi="Arial"/>
        </w:rPr>
        <w:t>No se dispondrán empalmes en dos superficies contiguas a distancia menor de 0,50 m.</w:t>
      </w:r>
    </w:p>
    <w:p w14:paraId="043E4387" w14:textId="77777777" w:rsidR="00E83996" w:rsidRPr="00390145" w:rsidRDefault="00E83996" w:rsidP="00E83996">
      <w:pPr>
        <w:spacing w:before="120" w:after="120" w:line="360" w:lineRule="auto"/>
        <w:jc w:val="both"/>
        <w:rPr>
          <w:rFonts w:ascii="Arial" w:hAnsi="Arial"/>
        </w:rPr>
      </w:pPr>
      <w:r w:rsidRPr="00390145">
        <w:rPr>
          <w:rFonts w:ascii="Arial" w:hAnsi="Arial"/>
        </w:rPr>
        <w:t>En ningún caso se autorizará más de un empalme por pieza que no sea estrictamente necesario.</w:t>
      </w:r>
    </w:p>
    <w:p w14:paraId="63B14212"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Los planos deberán obtener la aprobación de la Dirección de Obra antes de proceder a la elaboración de la estructura. El Contratista, antes de comenzar la ejecución en taller, entregará dos copias de los planos de taller al </w:t>
      </w:r>
      <w:proofErr w:type="gramStart"/>
      <w:r w:rsidRPr="00390145">
        <w:rPr>
          <w:rFonts w:ascii="Arial" w:hAnsi="Arial"/>
        </w:rPr>
        <w:t>Director</w:t>
      </w:r>
      <w:proofErr w:type="gramEnd"/>
      <w:r w:rsidRPr="00390145">
        <w:rPr>
          <w:rFonts w:ascii="Arial" w:hAnsi="Arial"/>
        </w:rPr>
        <w:t xml:space="preserve"> de Obra, quien los revisará y devolverá una copia autorizada con su firma, en la que, si fuera preciso, señalará las correcciones a efectuar. En este caso, el Contratista entregará nuevas copias de los planos de taller corregidos para su aprobación definitiva. Si durante la ejecución fuese necesario introducir modificaciones de detalle respecto a lo definido en los planos de taller, se harán con la aprobación del </w:t>
      </w:r>
      <w:proofErr w:type="gramStart"/>
      <w:r w:rsidRPr="00390145">
        <w:rPr>
          <w:rFonts w:ascii="Arial" w:hAnsi="Arial"/>
        </w:rPr>
        <w:t>Director</w:t>
      </w:r>
      <w:proofErr w:type="gramEnd"/>
      <w:r w:rsidRPr="00390145">
        <w:rPr>
          <w:rFonts w:ascii="Arial" w:hAnsi="Arial"/>
        </w:rPr>
        <w:t xml:space="preserve"> de Obra, y se anotarán en los planos de taller todas las modificaciones.</w:t>
      </w:r>
    </w:p>
    <w:p w14:paraId="224096F0" w14:textId="77777777" w:rsidR="00E83996" w:rsidRPr="00390145" w:rsidRDefault="00E83996" w:rsidP="00390145">
      <w:pPr>
        <w:spacing w:before="120" w:after="120" w:line="360" w:lineRule="auto"/>
        <w:jc w:val="both"/>
        <w:rPr>
          <w:rFonts w:ascii="Arial" w:hAnsi="Arial"/>
          <w:i/>
          <w:u w:val="single"/>
        </w:rPr>
      </w:pPr>
      <w:r w:rsidRPr="00390145">
        <w:rPr>
          <w:rFonts w:ascii="Arial" w:hAnsi="Arial"/>
          <w:i/>
          <w:u w:val="single"/>
        </w:rPr>
        <w:t>2.- Trazabilidad</w:t>
      </w:r>
    </w:p>
    <w:p w14:paraId="22EB4C55"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El taller debe llevar un registro con la trazabilidad que indique la procedencia de cada pieza, respecto de la chapa (en este caso </w:t>
      </w:r>
      <w:proofErr w:type="spellStart"/>
      <w:r w:rsidRPr="00390145">
        <w:rPr>
          <w:rFonts w:ascii="Arial" w:hAnsi="Arial"/>
        </w:rPr>
        <w:t>nº</w:t>
      </w:r>
      <w:proofErr w:type="spellEnd"/>
      <w:r w:rsidRPr="00390145">
        <w:rPr>
          <w:rFonts w:ascii="Arial" w:hAnsi="Arial"/>
        </w:rPr>
        <w:t xml:space="preserve"> de identificación de Siderurgia) o perfil </w:t>
      </w:r>
      <w:r w:rsidRPr="00390145">
        <w:rPr>
          <w:rFonts w:ascii="Arial" w:hAnsi="Arial"/>
        </w:rPr>
        <w:t xml:space="preserve">del que procede, y dejará constancia del </w:t>
      </w:r>
      <w:proofErr w:type="spellStart"/>
      <w:r w:rsidRPr="00390145">
        <w:rPr>
          <w:rFonts w:ascii="Arial" w:hAnsi="Arial"/>
        </w:rPr>
        <w:t>nº</w:t>
      </w:r>
      <w:proofErr w:type="spellEnd"/>
      <w:r w:rsidRPr="00390145">
        <w:rPr>
          <w:rFonts w:ascii="Arial" w:hAnsi="Arial"/>
        </w:rPr>
        <w:t xml:space="preserve"> matriz de la pieza original en cada pieza parcial, mediante tiza indeleble.</w:t>
      </w:r>
    </w:p>
    <w:p w14:paraId="37DC15DF" w14:textId="77777777" w:rsidR="00E83996" w:rsidRPr="00390145" w:rsidRDefault="00E83996" w:rsidP="00390145">
      <w:pPr>
        <w:spacing w:before="120" w:after="120" w:line="360" w:lineRule="auto"/>
        <w:jc w:val="both"/>
        <w:rPr>
          <w:rFonts w:ascii="Arial" w:hAnsi="Arial"/>
          <w:i/>
          <w:u w:val="single"/>
        </w:rPr>
      </w:pPr>
      <w:r w:rsidRPr="00390145">
        <w:rPr>
          <w:rFonts w:ascii="Arial" w:hAnsi="Arial"/>
          <w:i/>
          <w:u w:val="single"/>
        </w:rPr>
        <w:t>Ejecución en taller</w:t>
      </w:r>
    </w:p>
    <w:p w14:paraId="113FE04F" w14:textId="77777777" w:rsidR="00E83996" w:rsidRPr="00390145" w:rsidRDefault="00E83996" w:rsidP="00E83996">
      <w:pPr>
        <w:spacing w:before="120" w:after="120" w:line="360" w:lineRule="auto"/>
        <w:jc w:val="both"/>
        <w:rPr>
          <w:rFonts w:ascii="Arial" w:hAnsi="Arial"/>
        </w:rPr>
      </w:pPr>
      <w:r w:rsidRPr="00390145">
        <w:rPr>
          <w:rFonts w:ascii="Arial" w:hAnsi="Arial"/>
        </w:rPr>
        <w:t>El aplanado y el enderezado de las chapas, planos y perfiles se realizará con prensa o con máquinas de rodillos. Queda prohibido el empleo de la maza o del martillo debido a que podrían producir un endurecimiento excesivo del material.</w:t>
      </w:r>
    </w:p>
    <w:p w14:paraId="5A8CF770" w14:textId="77777777" w:rsidR="00E83996" w:rsidRPr="00390145" w:rsidRDefault="00E83996" w:rsidP="00E83996">
      <w:pPr>
        <w:spacing w:before="120" w:after="120" w:line="360" w:lineRule="auto"/>
        <w:jc w:val="both"/>
        <w:rPr>
          <w:rFonts w:ascii="Arial" w:hAnsi="Arial"/>
        </w:rPr>
      </w:pPr>
      <w:r w:rsidRPr="00390145">
        <w:rPr>
          <w:rFonts w:ascii="Arial" w:hAnsi="Arial"/>
        </w:rPr>
        <w:t>Tanto las operaciones anteriores como las de conformación de las piezas, cuando sean necesarias, se realizarán preferentemente en frío, pero con temperaturas del material no inferiores a los cero grados centígrados. Las deformaciones locales permanentes se mantendrán dentro de límites prudentes, considerándose que esta condición se cumple cuando aquellas no excedan en ningún punto el dos y medio por ciento (2,5 %), a menos que se sometan las piezas deformadas en frío a un recocido de normalización posterior. Asimismo, en las operaciones de plegado en frío se evitará la aparición de abolladuras en el alma o en el cordón comprimido del perfil que se curva, o de grietas en la superficie en tracción durante la deformación.</w:t>
      </w:r>
    </w:p>
    <w:p w14:paraId="6CFD5B20" w14:textId="77777777" w:rsidR="00E83996" w:rsidRPr="00390145" w:rsidRDefault="00E83996" w:rsidP="00E83996">
      <w:pPr>
        <w:spacing w:before="120" w:after="120" w:line="360" w:lineRule="auto"/>
        <w:jc w:val="both"/>
        <w:rPr>
          <w:rFonts w:ascii="Arial" w:hAnsi="Arial"/>
        </w:rPr>
      </w:pPr>
      <w:r w:rsidRPr="00390145">
        <w:rPr>
          <w:rFonts w:ascii="Arial" w:hAnsi="Arial"/>
        </w:rPr>
        <w:t>Cuando las operaciones de conformación u otras necesarias hayan de realizarse en caliente, se ejecutarán siempre a la temperatura correspondiente al rojo cereza claro, alrededor de los 950°C, interrumpiéndose el trabajo, si es preciso, cuando el color del metal baje al rojo sombra, alrededor de los 700°C, para volver a calentar la pieza.</w:t>
      </w:r>
    </w:p>
    <w:p w14:paraId="4E9DD9DA" w14:textId="77777777" w:rsidR="00E83996" w:rsidRPr="00390145" w:rsidRDefault="00E83996" w:rsidP="00E83996">
      <w:pPr>
        <w:spacing w:before="120" w:after="120" w:line="360" w:lineRule="auto"/>
        <w:jc w:val="both"/>
        <w:rPr>
          <w:rFonts w:ascii="Arial" w:hAnsi="Arial"/>
        </w:rPr>
      </w:pPr>
      <w:r w:rsidRPr="00390145">
        <w:rPr>
          <w:rFonts w:ascii="Arial" w:hAnsi="Arial"/>
        </w:rPr>
        <w:t>Deberán tomarse todas las precauciones necesarias para no alterar la estructura del metal, ni introducir tensiones parásitas durante las fases de calentamiento y enfriamiento.</w:t>
      </w:r>
    </w:p>
    <w:p w14:paraId="18BB6A85" w14:textId="77777777" w:rsidR="00E83996" w:rsidRPr="00390145" w:rsidRDefault="00E83996" w:rsidP="00E83996">
      <w:pPr>
        <w:spacing w:before="120" w:after="120" w:line="360" w:lineRule="auto"/>
        <w:jc w:val="both"/>
        <w:rPr>
          <w:rFonts w:ascii="Arial" w:hAnsi="Arial"/>
        </w:rPr>
      </w:pPr>
      <w:r w:rsidRPr="00390145">
        <w:rPr>
          <w:rFonts w:ascii="Arial" w:hAnsi="Arial"/>
        </w:rPr>
        <w:t>El calentamiento se efectuará, a ser posible, en horno, enfriándose al aire en calma sin acelerar artificialmente.</w:t>
      </w:r>
    </w:p>
    <w:p w14:paraId="68F2407D"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Cuando no sea posible el eliminar completamente (mediante las precauciones adoptadas a priori) las deformaciones residuales debidas a las operaciones de soldeo, y éstas resultasen inadmisibles para el servicio o para el buen aspecto de la estructura, se permitirá su corrección en frío, con prensa o máquina de rodillos, siempre que con esta operación no se excedan los límites de las deformaciones indicadas anteriormente, y se someta la pieza corregida a un examen cuidadoso para </w:t>
      </w:r>
      <w:r w:rsidRPr="00390145">
        <w:rPr>
          <w:rFonts w:ascii="Arial" w:hAnsi="Arial"/>
        </w:rPr>
        <w:lastRenderedPageBreak/>
        <w:t>descubrir cualquier fisura que hubiese podido aparecer en el material de aportación, o en la zona de transición del metal base.</w:t>
      </w:r>
    </w:p>
    <w:p w14:paraId="30A0E2E3" w14:textId="77777777" w:rsidR="00E83996" w:rsidRPr="00390145" w:rsidRDefault="00E83996" w:rsidP="00E83996">
      <w:pPr>
        <w:spacing w:before="120" w:after="120" w:line="360" w:lineRule="auto"/>
        <w:jc w:val="both"/>
        <w:rPr>
          <w:rFonts w:ascii="Arial" w:hAnsi="Arial"/>
        </w:rPr>
      </w:pPr>
      <w:r w:rsidRPr="00390145">
        <w:rPr>
          <w:rFonts w:ascii="Arial" w:hAnsi="Arial"/>
        </w:rPr>
        <w:t>No se admitirá realizar este tipo de actividades después de procesos de soldadura, sin la expresa autorización de la Dirección de Obra, quien podrá decidir su aceptación o no y la necesidad de proceder a un tratamiento de eliminación de tensiones y de inspección de defectos en la zona soldada después del proceso de conformación.</w:t>
      </w:r>
    </w:p>
    <w:p w14:paraId="272CF263"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El trazado se realizará por personal especializado, respetándose escrupulosamente las cotas de los planos de taller y las tolerancias máximas permitidas </w:t>
      </w:r>
      <w:proofErr w:type="gramStart"/>
      <w:r w:rsidRPr="00390145">
        <w:rPr>
          <w:rFonts w:ascii="Arial" w:hAnsi="Arial"/>
        </w:rPr>
        <w:t>de acuerdo a</w:t>
      </w:r>
      <w:proofErr w:type="gramEnd"/>
      <w:r w:rsidRPr="00390145">
        <w:rPr>
          <w:rFonts w:ascii="Arial" w:hAnsi="Arial"/>
        </w:rPr>
        <w:t xml:space="preserve"> lo establecido en la EAE y en el presente Pliego. Se trazarán las plantillas a tamaño natural de todos los elementos que lo precisen, especialmente las de los nudos, con la marca de identificación y plano de taller en que queda definida. Esto no será preciso cuando se utilicen máquinas de oxicorte automáticas que trabajen sobre plantillas a escala reducida.</w:t>
      </w:r>
    </w:p>
    <w:p w14:paraId="025B843B" w14:textId="77777777" w:rsidR="00E83996" w:rsidRPr="00390145" w:rsidRDefault="00E83996" w:rsidP="00E83996">
      <w:pPr>
        <w:spacing w:before="120" w:after="120" w:line="360" w:lineRule="auto"/>
        <w:jc w:val="both"/>
        <w:rPr>
          <w:rFonts w:ascii="Arial" w:hAnsi="Arial"/>
        </w:rPr>
      </w:pPr>
      <w:r w:rsidRPr="00390145">
        <w:rPr>
          <w:rFonts w:ascii="Arial" w:hAnsi="Arial"/>
        </w:rPr>
        <w:t>El corte podrá efectuarse con sierra o mediante oxicorte, debiendo eliminarse posteriormente con piedra esmeril las rebabas, estrías o irregularidades de borde inherentes a las operaciones de corte. No se admitirá el corte por oxicorte de forma manual, sino solamente el oxicorte con máquina.</w:t>
      </w:r>
    </w:p>
    <w:p w14:paraId="0BEC6AC2" w14:textId="77777777" w:rsidR="00E83996" w:rsidRPr="00390145" w:rsidRDefault="00E83996" w:rsidP="00E83996">
      <w:pPr>
        <w:spacing w:before="120" w:after="120" w:line="360" w:lineRule="auto"/>
        <w:jc w:val="both"/>
        <w:rPr>
          <w:rFonts w:ascii="Arial" w:hAnsi="Arial"/>
        </w:rPr>
      </w:pPr>
      <w:r w:rsidRPr="00390145">
        <w:rPr>
          <w:rFonts w:ascii="Arial" w:hAnsi="Arial"/>
        </w:rPr>
        <w:t>Con respecto al corte deberán observarse además las prescripciones siguientes:</w:t>
      </w:r>
    </w:p>
    <w:p w14:paraId="07C8451C" w14:textId="77777777" w:rsidR="00E83996" w:rsidRPr="00390145" w:rsidRDefault="00E83996" w:rsidP="00E83996">
      <w:pPr>
        <w:spacing w:before="120" w:after="120" w:line="360" w:lineRule="auto"/>
        <w:jc w:val="both"/>
        <w:rPr>
          <w:rFonts w:ascii="Arial" w:hAnsi="Arial"/>
        </w:rPr>
      </w:pPr>
      <w:r w:rsidRPr="00390145">
        <w:rPr>
          <w:rFonts w:ascii="Arial" w:hAnsi="Arial"/>
        </w:rPr>
        <w:t>En el oxicorte se tomarán las precauciones necesarias para no introducir en la pieza tensiones parásitas de tipo térmico.</w:t>
      </w:r>
    </w:p>
    <w:p w14:paraId="29100939"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Los bordes cortados con cizalla o por oxicorte se mecanizarán antes de soldar mediante piedra esmeril, buril con esmerilado posterior, o fresa, al objeto de eliminar los óxidos o calaminas provocados por el proceso de corte, así como las rebabas o estrías que pudieran tener. Los bordes que sin ser fundidos durante el soldeo queden a distancias inferiores a 30 mm de una unión soldada, serán preceptivamente mecanizados en una profundidad no inferior a 2 </w:t>
      </w:r>
      <w:proofErr w:type="spellStart"/>
      <w:r w:rsidRPr="00390145">
        <w:rPr>
          <w:rFonts w:ascii="Arial" w:hAnsi="Arial"/>
        </w:rPr>
        <w:t>mm.</w:t>
      </w:r>
      <w:proofErr w:type="spellEnd"/>
    </w:p>
    <w:p w14:paraId="673E93EB"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Los biselados de aristas se ejecutarán mediante oxicorte automático o con máquinas herramientas, observándose respecto al primer procedimiento las precauciones dictadas anteriormente. Se prohíbe terminantemente la preparación de biseles con </w:t>
      </w:r>
      <w:r w:rsidRPr="00390145">
        <w:rPr>
          <w:rFonts w:ascii="Arial" w:hAnsi="Arial"/>
        </w:rPr>
        <w:t>oxicorte manual. Las superficies obtenidas serán uniformes y suaves, y quedarán exentas de rebabas y escorias.</w:t>
      </w:r>
    </w:p>
    <w:p w14:paraId="66BD8ADD" w14:textId="77777777" w:rsidR="00E83996" w:rsidRPr="00390145" w:rsidRDefault="00E83996" w:rsidP="00E83996">
      <w:pPr>
        <w:spacing w:before="120" w:after="120" w:line="360" w:lineRule="auto"/>
        <w:jc w:val="both"/>
        <w:rPr>
          <w:rFonts w:ascii="Arial" w:hAnsi="Arial"/>
        </w:rPr>
      </w:pPr>
      <w:r w:rsidRPr="00390145">
        <w:rPr>
          <w:rFonts w:ascii="Arial" w:hAnsi="Arial"/>
        </w:rPr>
        <w:t>Cada pieza o conjunto individual de una estructura se marcará para su posterior identificación en obra con las siglas correspondientes. Dichas marcas de identificación deberán aparecer reflejadas en los planos de montaje.</w:t>
      </w:r>
    </w:p>
    <w:p w14:paraId="10854117" w14:textId="77777777" w:rsidR="00E83996" w:rsidRPr="00390145" w:rsidRDefault="00E83996" w:rsidP="00E83996">
      <w:pPr>
        <w:spacing w:before="120" w:after="120" w:line="360" w:lineRule="auto"/>
        <w:jc w:val="both"/>
        <w:rPr>
          <w:rFonts w:ascii="Arial" w:hAnsi="Arial"/>
        </w:rPr>
      </w:pPr>
      <w:r w:rsidRPr="00390145">
        <w:rPr>
          <w:rFonts w:ascii="Arial" w:hAnsi="Arial"/>
        </w:rPr>
        <w:t>El marcado se realizará mediante pintura, lápiz graso o etiquetas. Se prohíbe el marcado por punzonado, troquelado o cualquier otro sistema que produzca hendiduras en el material.</w:t>
      </w:r>
    </w:p>
    <w:p w14:paraId="631ECC0C" w14:textId="77777777" w:rsidR="00E83996" w:rsidRPr="00390145" w:rsidRDefault="00E83996" w:rsidP="00E83996">
      <w:pPr>
        <w:spacing w:before="120" w:after="120" w:line="360" w:lineRule="auto"/>
        <w:jc w:val="both"/>
        <w:rPr>
          <w:rFonts w:ascii="Arial" w:hAnsi="Arial"/>
        </w:rPr>
      </w:pPr>
      <w:r w:rsidRPr="00390145">
        <w:rPr>
          <w:rFonts w:ascii="Arial" w:hAnsi="Arial"/>
        </w:rPr>
        <w:t>En cualquier caso, el sistema empleado será tal que garantice una fácil y perfecta identificación, así como su conservación durante el transporte y montaje.</w:t>
      </w:r>
    </w:p>
    <w:p w14:paraId="2F86C725"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El </w:t>
      </w:r>
      <w:proofErr w:type="gramStart"/>
      <w:r w:rsidRPr="00390145">
        <w:rPr>
          <w:rFonts w:ascii="Arial" w:hAnsi="Arial"/>
        </w:rPr>
        <w:t>Director</w:t>
      </w:r>
      <w:proofErr w:type="gramEnd"/>
      <w:r w:rsidRPr="00390145">
        <w:rPr>
          <w:rFonts w:ascii="Arial" w:hAnsi="Arial"/>
        </w:rPr>
        <w:t xml:space="preserve"> comprobará, por sí mismo o por el representante en quien delegue que, en cada fase de montaje, las disposiciones, cotas y distancias de la obra se ajustan a lo indicado, dentro de las tolerancias admitidas en los planos y en el presente capítulo.</w:t>
      </w:r>
    </w:p>
    <w:p w14:paraId="6092A7A9" w14:textId="77777777" w:rsidR="00E83996" w:rsidRPr="00390145" w:rsidRDefault="00E83996" w:rsidP="00390145">
      <w:pPr>
        <w:spacing w:before="120" w:after="120" w:line="360" w:lineRule="auto"/>
        <w:jc w:val="both"/>
        <w:rPr>
          <w:rFonts w:ascii="Arial" w:hAnsi="Arial"/>
          <w:i/>
          <w:u w:val="single"/>
        </w:rPr>
      </w:pPr>
      <w:r w:rsidRPr="00390145">
        <w:rPr>
          <w:rFonts w:ascii="Arial" w:hAnsi="Arial"/>
          <w:i/>
          <w:u w:val="single"/>
        </w:rPr>
        <w:t>Montaje</w:t>
      </w:r>
    </w:p>
    <w:p w14:paraId="7536FAB3" w14:textId="77777777" w:rsidR="00E83996" w:rsidRPr="00390145" w:rsidRDefault="00E83996" w:rsidP="00E83996">
      <w:pPr>
        <w:spacing w:before="120" w:after="120" w:line="360" w:lineRule="auto"/>
        <w:jc w:val="both"/>
        <w:rPr>
          <w:rFonts w:ascii="Arial" w:hAnsi="Arial"/>
        </w:rPr>
      </w:pPr>
      <w:r w:rsidRPr="00390145">
        <w:rPr>
          <w:rFonts w:ascii="Arial" w:hAnsi="Arial"/>
        </w:rPr>
        <w:t>El montaje incluirá la colocación y fijación de los elementos metálicos de la estructura indicados.</w:t>
      </w:r>
    </w:p>
    <w:p w14:paraId="593C8BFA" w14:textId="77777777" w:rsidR="00E83996" w:rsidRPr="00390145" w:rsidRDefault="00E83996" w:rsidP="00E83996">
      <w:pPr>
        <w:spacing w:before="120" w:after="120" w:line="360" w:lineRule="auto"/>
        <w:jc w:val="both"/>
        <w:rPr>
          <w:rFonts w:ascii="Arial" w:hAnsi="Arial"/>
        </w:rPr>
      </w:pPr>
      <w:r w:rsidRPr="00390145">
        <w:rPr>
          <w:rFonts w:ascii="Arial" w:hAnsi="Arial"/>
        </w:rPr>
        <w:t>Los elementos añadidos por el Contratista por conveniencia propia serán retirados por él mismo sin que queden huellas de ellos.</w:t>
      </w:r>
    </w:p>
    <w:p w14:paraId="02D2E5D8" w14:textId="77777777" w:rsidR="00E83996" w:rsidRPr="00390145" w:rsidRDefault="00E83996" w:rsidP="00E83996">
      <w:pPr>
        <w:spacing w:before="120" w:after="120" w:line="360" w:lineRule="auto"/>
        <w:jc w:val="both"/>
        <w:rPr>
          <w:rFonts w:ascii="Arial" w:hAnsi="Arial"/>
        </w:rPr>
      </w:pPr>
      <w:r w:rsidRPr="00390145">
        <w:rPr>
          <w:rFonts w:ascii="Arial" w:hAnsi="Arial"/>
        </w:rPr>
        <w:t>Será deber del Contratista preocuparse por la perfecta colocación de aquellos elementos que, no correspondiéndole su ejecución, estén directamente relacionados con el montaje de la estructura, tales como pernos de anclaje, etc.</w:t>
      </w:r>
    </w:p>
    <w:p w14:paraId="6FC831C9" w14:textId="77777777" w:rsidR="00E83996" w:rsidRPr="00390145" w:rsidRDefault="00E83996" w:rsidP="00E83996">
      <w:pPr>
        <w:spacing w:before="120" w:after="120" w:line="360" w:lineRule="auto"/>
        <w:jc w:val="both"/>
        <w:rPr>
          <w:rFonts w:ascii="Arial" w:hAnsi="Arial"/>
        </w:rPr>
      </w:pPr>
      <w:r w:rsidRPr="00390145">
        <w:rPr>
          <w:rFonts w:ascii="Arial" w:hAnsi="Arial"/>
        </w:rPr>
        <w:t>El Contratista será responsable de la colocación adecuada y alineación de todos los elementos de la estructura dentro de las tolerancias prescritas.</w:t>
      </w:r>
    </w:p>
    <w:p w14:paraId="6E2ACD34"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Los detalles correspondientes a soldaduras de elementos temporales que se deban instalar sobre la </w:t>
      </w:r>
      <w:proofErr w:type="gramStart"/>
      <w:r w:rsidRPr="00390145">
        <w:rPr>
          <w:rFonts w:ascii="Arial" w:hAnsi="Arial"/>
        </w:rPr>
        <w:t>estructura,</w:t>
      </w:r>
      <w:proofErr w:type="gramEnd"/>
      <w:r w:rsidRPr="00390145">
        <w:rPr>
          <w:rFonts w:ascii="Arial" w:hAnsi="Arial"/>
        </w:rPr>
        <w:t xml:space="preserve"> estarán de acuerdo con lo especificado en este Pliego y serán sometidos a la correspondiente aprobación de la Dirección de Obra.</w:t>
      </w:r>
    </w:p>
    <w:p w14:paraId="7B0F24EB"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Se procurará ejecutar las uniones de montaje de forma tal que todos sus elementos sean accesibles a una inspección posterior. En los casos en que sea forzoso que </w:t>
      </w:r>
      <w:r w:rsidRPr="00390145">
        <w:rPr>
          <w:rFonts w:ascii="Arial" w:hAnsi="Arial"/>
        </w:rPr>
        <w:lastRenderedPageBreak/>
        <w:t>queden algunos ocultos, no podrá procederse a la colocación de los elementos que los cubren hasta que no se hayan inspeccionado cuidadosamente los primeros.</w:t>
      </w:r>
    </w:p>
    <w:p w14:paraId="0F085445" w14:textId="77777777" w:rsidR="00E83996" w:rsidRPr="00390145" w:rsidRDefault="00E83996" w:rsidP="00390145">
      <w:pPr>
        <w:spacing w:before="120" w:after="120" w:line="360" w:lineRule="auto"/>
        <w:jc w:val="both"/>
        <w:rPr>
          <w:rFonts w:ascii="Arial" w:hAnsi="Arial"/>
          <w:i/>
          <w:u w:val="single"/>
        </w:rPr>
      </w:pPr>
      <w:r w:rsidRPr="00390145">
        <w:rPr>
          <w:rFonts w:ascii="Arial" w:hAnsi="Arial"/>
          <w:i/>
          <w:u w:val="single"/>
        </w:rPr>
        <w:t>Tolerancias de forma</w:t>
      </w:r>
    </w:p>
    <w:p w14:paraId="4D958926" w14:textId="77777777" w:rsidR="00E83996" w:rsidRPr="00390145" w:rsidRDefault="00E83996" w:rsidP="00E83996">
      <w:pPr>
        <w:spacing w:before="120" w:after="120" w:line="360" w:lineRule="auto"/>
        <w:jc w:val="both"/>
        <w:rPr>
          <w:rFonts w:ascii="Arial" w:hAnsi="Arial"/>
        </w:rPr>
      </w:pPr>
      <w:r w:rsidRPr="00390145">
        <w:rPr>
          <w:rFonts w:ascii="Arial" w:hAnsi="Arial"/>
        </w:rPr>
        <w:t>Las tolerancias máximas que se admitirán respecto de las cotas de los planos de taller en la ejecución y montaje de las estructuras metálicas son las reflejadas en la norma EAE y las incluidas en el presente Pliego.</w:t>
      </w:r>
    </w:p>
    <w:p w14:paraId="7CBB457A" w14:textId="77777777" w:rsidR="00E83996" w:rsidRPr="00390145" w:rsidRDefault="00E83996" w:rsidP="00E83996">
      <w:pPr>
        <w:spacing w:before="120" w:after="120" w:line="360" w:lineRule="auto"/>
        <w:jc w:val="both"/>
        <w:rPr>
          <w:rFonts w:ascii="Arial" w:hAnsi="Arial"/>
        </w:rPr>
      </w:pPr>
      <w:r w:rsidRPr="00390145">
        <w:rPr>
          <w:rFonts w:ascii="Arial" w:hAnsi="Arial"/>
        </w:rPr>
        <w:t>Las tolerancias admitidas, respecto a las cotas indicadas en los cálculos, de las piezas fabricadas en taller, serán las siguientes:</w:t>
      </w:r>
    </w:p>
    <w:p w14:paraId="37654EE2"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En pasos, gramiles y alineaciones de los agujeros para tornillos, la décima parte (1/10) del diámetro de estos.</w:t>
      </w:r>
    </w:p>
    <w:p w14:paraId="44900DCA"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En la posición de cualquier parte unida a una viga o soporte, cinco milímetros (5 mm) en cualquier dirección.</w:t>
      </w:r>
    </w:p>
    <w:p w14:paraId="656DE87B"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En el nivel de casquillos o ménsulas de apoyo, más cero y menos diez milímetros (+0,10 mm)</w:t>
      </w:r>
    </w:p>
    <w:p w14:paraId="447C9851"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En la longitud de piezas que no haya de encajar entre otros componentes, diez milímetros en más o en menos (± 10 mm)</w:t>
      </w:r>
    </w:p>
    <w:p w14:paraId="7AEC28E6"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En la longitud de piezas que hayan de encajar entre otros componentes, más cero y menos cinco milímetros (+0, -5 mm)</w:t>
      </w:r>
    </w:p>
    <w:p w14:paraId="50E9F8B7"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 xml:space="preserve">En la rectitud de un tramo, el </w:t>
      </w:r>
      <w:proofErr w:type="spellStart"/>
      <w:r w:rsidRPr="00390145">
        <w:rPr>
          <w:rFonts w:ascii="Arial" w:hAnsi="Arial"/>
          <w:sz w:val="24"/>
          <w:szCs w:val="24"/>
        </w:rPr>
        <w:t>dosmilavo</w:t>
      </w:r>
      <w:proofErr w:type="spellEnd"/>
      <w:r w:rsidRPr="00390145">
        <w:rPr>
          <w:rFonts w:ascii="Arial" w:hAnsi="Arial"/>
          <w:sz w:val="24"/>
          <w:szCs w:val="24"/>
        </w:rPr>
        <w:t xml:space="preserve"> (1/2000) de la luz sin exceder en ningún caso de cinco milímetros (5 mm)</w:t>
      </w:r>
    </w:p>
    <w:p w14:paraId="3AF75361"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En las secciones transversales de chapas, menos el tres y más el diez por ciento (-3%, +10%) el valor teórico.</w:t>
      </w:r>
    </w:p>
    <w:p w14:paraId="3D469458"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 xml:space="preserve">En la </w:t>
      </w:r>
      <w:proofErr w:type="spellStart"/>
      <w:r w:rsidRPr="00390145">
        <w:rPr>
          <w:rFonts w:ascii="Arial" w:hAnsi="Arial"/>
          <w:sz w:val="24"/>
          <w:szCs w:val="24"/>
        </w:rPr>
        <w:t>contraflecha</w:t>
      </w:r>
      <w:proofErr w:type="spellEnd"/>
      <w:r w:rsidRPr="00390145">
        <w:rPr>
          <w:rFonts w:ascii="Arial" w:hAnsi="Arial"/>
          <w:sz w:val="24"/>
          <w:szCs w:val="24"/>
        </w:rPr>
        <w:t xml:space="preserve"> de ejecución de las estructuras el quince por ciento de la indicada en los planos de taller en más o en menos (± 15%) o un milímetro (1 mm) si este valor es mayor.</w:t>
      </w:r>
    </w:p>
    <w:p w14:paraId="57B5C138"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Las tolerancias admitidas, respecto a las cotas indicadas, de la estructura </w:t>
      </w:r>
      <w:proofErr w:type="gramStart"/>
      <w:r w:rsidRPr="00390145">
        <w:rPr>
          <w:rFonts w:ascii="Arial" w:hAnsi="Arial"/>
        </w:rPr>
        <w:t>montada</w:t>
      </w:r>
      <w:proofErr w:type="gramEnd"/>
      <w:r w:rsidRPr="00390145">
        <w:rPr>
          <w:rFonts w:ascii="Arial" w:hAnsi="Arial"/>
        </w:rPr>
        <w:t xml:space="preserve"> pero sin cargar serán las siguientes:</w:t>
      </w:r>
    </w:p>
    <w:p w14:paraId="72C26598"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En las dimensiones totales de la estructura entre juntas de dilatación, veinte milímetros en más o en menos (± 20 mm)</w:t>
      </w:r>
    </w:p>
    <w:p w14:paraId="26C079C6" w14:textId="77777777" w:rsidR="00E83996" w:rsidRPr="00390145" w:rsidRDefault="00E83996" w:rsidP="00661A5F">
      <w:pPr>
        <w:pStyle w:val="Prrafodelista"/>
        <w:numPr>
          <w:ilvl w:val="0"/>
          <w:numId w:val="217"/>
        </w:numPr>
        <w:spacing w:before="120" w:after="120" w:line="360" w:lineRule="auto"/>
        <w:jc w:val="both"/>
        <w:rPr>
          <w:rFonts w:ascii="Arial" w:hAnsi="Arial"/>
          <w:sz w:val="24"/>
          <w:szCs w:val="24"/>
        </w:rPr>
      </w:pPr>
      <w:r w:rsidRPr="00390145">
        <w:rPr>
          <w:rFonts w:ascii="Arial" w:hAnsi="Arial"/>
          <w:sz w:val="24"/>
          <w:szCs w:val="24"/>
        </w:rPr>
        <w:t>En la distancia entre soportes o vigas continuas, diez milímetros en más o en menos (± 10 mm)</w:t>
      </w:r>
    </w:p>
    <w:p w14:paraId="410C56A7" w14:textId="77777777" w:rsidR="00E83996" w:rsidRPr="00390145" w:rsidRDefault="00E83996" w:rsidP="00E83996">
      <w:pPr>
        <w:spacing w:before="120" w:after="120" w:line="360" w:lineRule="auto"/>
        <w:jc w:val="both"/>
        <w:rPr>
          <w:rFonts w:ascii="Arial" w:hAnsi="Arial"/>
        </w:rPr>
      </w:pPr>
      <w:r w:rsidRPr="00390145">
        <w:rPr>
          <w:rFonts w:ascii="Arial" w:hAnsi="Arial"/>
        </w:rPr>
        <w:t>Todas las mediciones anteriores se efectuarán con cinta o regla metálica o con aparatos de igual o superior precisión, recomendándose el uso del taquímetro en donde sea de aplicación. En la medición de flechas se materializará la cuerda mediante alambre tensado.</w:t>
      </w:r>
    </w:p>
    <w:p w14:paraId="11652794" w14:textId="77777777" w:rsidR="00E83996" w:rsidRPr="00390145" w:rsidRDefault="00E83996" w:rsidP="00390145">
      <w:pPr>
        <w:spacing w:before="120" w:after="120" w:line="360" w:lineRule="auto"/>
        <w:jc w:val="both"/>
        <w:rPr>
          <w:rFonts w:ascii="Arial" w:hAnsi="Arial"/>
          <w:i/>
          <w:u w:val="single"/>
        </w:rPr>
      </w:pPr>
      <w:r w:rsidRPr="00390145">
        <w:rPr>
          <w:rFonts w:ascii="Arial" w:hAnsi="Arial"/>
          <w:i/>
          <w:u w:val="single"/>
        </w:rPr>
        <w:t>Condiciones especiales para la ejecución en obra</w:t>
      </w:r>
    </w:p>
    <w:p w14:paraId="70AC033F" w14:textId="77777777" w:rsidR="00E83996" w:rsidRPr="00390145" w:rsidRDefault="00E83996" w:rsidP="00E83996">
      <w:pPr>
        <w:spacing w:before="120" w:after="120" w:line="360" w:lineRule="auto"/>
        <w:jc w:val="both"/>
        <w:rPr>
          <w:rFonts w:ascii="Arial" w:hAnsi="Arial"/>
        </w:rPr>
      </w:pPr>
      <w:r w:rsidRPr="00390145">
        <w:rPr>
          <w:rFonts w:ascii="Arial" w:hAnsi="Arial"/>
        </w:rPr>
        <w:t>No se cebará el arco eléctrico sobre las estructuras fuera de la zona a soldar.</w:t>
      </w:r>
    </w:p>
    <w:p w14:paraId="120587B8"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Las zonas sobre las que se vayan a realizar uniones atornilladas o </w:t>
      </w:r>
      <w:proofErr w:type="gramStart"/>
      <w:r w:rsidRPr="00390145">
        <w:rPr>
          <w:rFonts w:ascii="Arial" w:hAnsi="Arial"/>
        </w:rPr>
        <w:t>soldadas,</w:t>
      </w:r>
      <w:proofErr w:type="gramEnd"/>
      <w:r w:rsidRPr="00390145">
        <w:rPr>
          <w:rFonts w:ascii="Arial" w:hAnsi="Arial"/>
        </w:rPr>
        <w:t xml:space="preserve"> deberán limpiarse perfectamente de suciedad, grasa, óxido y pintura hasta 50 </w:t>
      </w:r>
      <w:proofErr w:type="spellStart"/>
      <w:r w:rsidRPr="00390145">
        <w:rPr>
          <w:rFonts w:ascii="Arial" w:hAnsi="Arial"/>
        </w:rPr>
        <w:t>mm.</w:t>
      </w:r>
      <w:proofErr w:type="spellEnd"/>
      <w:r w:rsidRPr="00390145">
        <w:rPr>
          <w:rFonts w:ascii="Arial" w:hAnsi="Arial"/>
        </w:rPr>
        <w:t xml:space="preserve"> más allá de la superficie a ocupar por la unión en las uniones soldadas, y justo la superficie a ocupar por los cubrejuntas en las uniones atornilladas. El grado de limpieza debe ser el ST-3 </w:t>
      </w:r>
      <w:proofErr w:type="spellStart"/>
      <w:r w:rsidRPr="00390145">
        <w:rPr>
          <w:rFonts w:ascii="Arial" w:hAnsi="Arial"/>
        </w:rPr>
        <w:t>ó</w:t>
      </w:r>
      <w:proofErr w:type="spellEnd"/>
      <w:r w:rsidRPr="00390145">
        <w:rPr>
          <w:rFonts w:ascii="Arial" w:hAnsi="Arial"/>
        </w:rPr>
        <w:t xml:space="preserve"> Sa 2 ½ de la norma SIS 05 59 00.</w:t>
      </w:r>
    </w:p>
    <w:p w14:paraId="79344CD2" w14:textId="77777777" w:rsidR="00E83996" w:rsidRPr="00390145" w:rsidRDefault="00E83996" w:rsidP="00E83996">
      <w:pPr>
        <w:spacing w:before="120" w:after="120" w:line="360" w:lineRule="auto"/>
        <w:jc w:val="both"/>
        <w:rPr>
          <w:rFonts w:ascii="Arial" w:hAnsi="Arial"/>
        </w:rPr>
      </w:pPr>
      <w:r w:rsidRPr="00390145">
        <w:rPr>
          <w:rFonts w:ascii="Arial" w:hAnsi="Arial"/>
        </w:rPr>
        <w:t>Los agujeros para uniones atornilladas se realizarán con taladro.</w:t>
      </w:r>
    </w:p>
    <w:p w14:paraId="66741038" w14:textId="77777777" w:rsidR="00E83996" w:rsidRPr="00390145" w:rsidRDefault="00390145" w:rsidP="00390145">
      <w:pPr>
        <w:spacing w:before="120" w:after="120" w:line="360" w:lineRule="auto"/>
        <w:jc w:val="both"/>
        <w:rPr>
          <w:rFonts w:ascii="Arial" w:hAnsi="Arial"/>
        </w:rPr>
      </w:pPr>
      <w:r>
        <w:rPr>
          <w:rFonts w:ascii="Arial" w:hAnsi="Arial"/>
        </w:rPr>
        <w:t>Q</w:t>
      </w:r>
      <w:r w:rsidR="00E83996" w:rsidRPr="00390145">
        <w:rPr>
          <w:rFonts w:ascii="Arial" w:hAnsi="Arial"/>
        </w:rPr>
        <w:t>ueda prohibido hacer los agujeros por oxicorte o punzonado, así como utilizar broca pasante para conseguir la coincidencia de agujeros en la unión.</w:t>
      </w:r>
    </w:p>
    <w:p w14:paraId="0D9F1EF8"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Todas las soldaduras de obra se realizarán con electrodo básico, con diámetro mínimo de 3,25 mm, extremando los cuidados que </w:t>
      </w:r>
      <w:proofErr w:type="gramStart"/>
      <w:r w:rsidRPr="00390145">
        <w:rPr>
          <w:rFonts w:ascii="Arial" w:hAnsi="Arial"/>
        </w:rPr>
        <w:t>el manejo de estos electrodos requieren</w:t>
      </w:r>
      <w:proofErr w:type="gramEnd"/>
      <w:r w:rsidRPr="00390145">
        <w:rPr>
          <w:rFonts w:ascii="Arial" w:hAnsi="Arial"/>
        </w:rPr>
        <w:t>.</w:t>
      </w:r>
    </w:p>
    <w:p w14:paraId="2C73D5C7" w14:textId="77777777" w:rsidR="00E83996" w:rsidRPr="00390145" w:rsidRDefault="00E83996" w:rsidP="00E83996">
      <w:pPr>
        <w:spacing w:before="120" w:after="120" w:line="360" w:lineRule="auto"/>
        <w:jc w:val="both"/>
        <w:rPr>
          <w:rFonts w:ascii="Arial" w:hAnsi="Arial"/>
        </w:rPr>
      </w:pPr>
      <w:r w:rsidRPr="00390145">
        <w:rPr>
          <w:rFonts w:ascii="Arial" w:hAnsi="Arial"/>
        </w:rPr>
        <w:t>Queda prohibido el soldeo en obra bajo atmósfera protectora</w:t>
      </w:r>
    </w:p>
    <w:p w14:paraId="72DD0A48" w14:textId="77777777" w:rsidR="00E83996" w:rsidRPr="00390145" w:rsidRDefault="00E83996" w:rsidP="00E83996">
      <w:pPr>
        <w:spacing w:before="120" w:after="120" w:line="360" w:lineRule="auto"/>
        <w:jc w:val="both"/>
        <w:rPr>
          <w:rFonts w:ascii="Arial" w:hAnsi="Arial"/>
        </w:rPr>
      </w:pPr>
      <w:r w:rsidRPr="00390145">
        <w:rPr>
          <w:rFonts w:ascii="Arial" w:hAnsi="Arial"/>
        </w:rPr>
        <w:t>No se soldará con temperatura ambiente inferior a +5º C, salvo que se precaliente la zona a soldar a +100º C verificándolo con tizas termométricas.</w:t>
      </w:r>
    </w:p>
    <w:p w14:paraId="24E067F1" w14:textId="77777777" w:rsidR="00E83996" w:rsidRPr="00390145" w:rsidRDefault="00E83996" w:rsidP="00E83996">
      <w:pPr>
        <w:spacing w:before="120" w:after="120" w:line="360" w:lineRule="auto"/>
        <w:jc w:val="both"/>
        <w:rPr>
          <w:rFonts w:ascii="Arial" w:hAnsi="Arial"/>
        </w:rPr>
      </w:pPr>
      <w:r w:rsidRPr="00390145">
        <w:rPr>
          <w:rFonts w:ascii="Arial" w:hAnsi="Arial"/>
        </w:rPr>
        <w:t>Los procedimientos de soldeo en obra se homologarán según UNE-EN 288.</w:t>
      </w:r>
    </w:p>
    <w:p w14:paraId="50003EB9" w14:textId="77777777" w:rsidR="00E83996" w:rsidRPr="00390145" w:rsidRDefault="00E83996" w:rsidP="00E83996">
      <w:pPr>
        <w:spacing w:before="120" w:after="120" w:line="360" w:lineRule="auto"/>
        <w:jc w:val="both"/>
        <w:rPr>
          <w:rFonts w:ascii="Arial" w:hAnsi="Arial"/>
        </w:rPr>
      </w:pPr>
      <w:r w:rsidRPr="00390145">
        <w:rPr>
          <w:rFonts w:ascii="Arial" w:hAnsi="Arial"/>
        </w:rPr>
        <w:t>Los soldadores de obra deben estar homologados según UNE-EN 287 antes de empezar a soldar.</w:t>
      </w:r>
    </w:p>
    <w:p w14:paraId="3473258F" w14:textId="77777777" w:rsidR="00E83996" w:rsidRPr="00390145" w:rsidRDefault="00E83996" w:rsidP="00E83996">
      <w:pPr>
        <w:spacing w:before="120" w:after="120" w:line="360" w:lineRule="auto"/>
        <w:jc w:val="both"/>
        <w:rPr>
          <w:rFonts w:ascii="Arial" w:hAnsi="Arial"/>
        </w:rPr>
      </w:pPr>
      <w:r w:rsidRPr="00390145">
        <w:rPr>
          <w:rFonts w:ascii="Arial" w:hAnsi="Arial"/>
        </w:rPr>
        <w:lastRenderedPageBreak/>
        <w:t>Los trabajos de montaje deben ser realizados bajo control de calidad ejecutado por una Empresa Autorizada y previamente aprobada por la Dirección de Obra y dependiente de esta, ajena al Contratista.</w:t>
      </w:r>
    </w:p>
    <w:p w14:paraId="4074BD6F" w14:textId="77777777" w:rsidR="00E83996" w:rsidRPr="00390145" w:rsidRDefault="00E83996" w:rsidP="00E83996">
      <w:pPr>
        <w:spacing w:before="120" w:after="120" w:line="360" w:lineRule="auto"/>
        <w:jc w:val="both"/>
        <w:rPr>
          <w:rFonts w:ascii="Arial" w:hAnsi="Arial"/>
        </w:rPr>
      </w:pPr>
      <w:r w:rsidRPr="00390145">
        <w:rPr>
          <w:rFonts w:ascii="Arial" w:hAnsi="Arial"/>
        </w:rPr>
        <w:t>El Control de Calidad se realizará de acuerdo con un Programa de Puntos de Inspección (P.P.I.) aprobado por la Dirección de Obra, en el que se recogerán las Especificaciones del Pliego de Prescripciones Técnicas Particulares de la Obra, y las indicaciones de la Dirección de Obra.</w:t>
      </w:r>
    </w:p>
    <w:p w14:paraId="59942709" w14:textId="77777777" w:rsidR="00E83996" w:rsidRPr="00390145" w:rsidRDefault="00E83996" w:rsidP="00390145">
      <w:pPr>
        <w:spacing w:before="120" w:after="120" w:line="360" w:lineRule="auto"/>
        <w:jc w:val="both"/>
        <w:rPr>
          <w:rFonts w:ascii="Arial" w:hAnsi="Arial"/>
          <w:i/>
          <w:u w:val="single"/>
        </w:rPr>
      </w:pPr>
      <w:r w:rsidRPr="00390145">
        <w:rPr>
          <w:rFonts w:ascii="Arial" w:hAnsi="Arial"/>
          <w:i/>
          <w:u w:val="single"/>
        </w:rPr>
        <w:t>Ensamblaje en obra de la estructura metálica</w:t>
      </w:r>
    </w:p>
    <w:p w14:paraId="23AA6AB3"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Cuando ejecutamos la estructura nueva a colocar, ya sea pórtico o banderola, dividiremos el trabajo en dos elementos, la cimentación de la estructura y la colocación de la estructura con los carteles </w:t>
      </w:r>
      <w:proofErr w:type="spellStart"/>
      <w:r w:rsidRPr="00390145">
        <w:rPr>
          <w:rFonts w:ascii="Arial" w:hAnsi="Arial"/>
        </w:rPr>
        <w:t>premontados</w:t>
      </w:r>
      <w:proofErr w:type="spellEnd"/>
      <w:r w:rsidRPr="00390145">
        <w:rPr>
          <w:rFonts w:ascii="Arial" w:hAnsi="Arial"/>
        </w:rPr>
        <w:t>.</w:t>
      </w:r>
    </w:p>
    <w:p w14:paraId="5BCC141E"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La ejecución de la cimentación se basa en trabajos de obra civil consistentes en la demolición y excavación localizada, ejecución del </w:t>
      </w:r>
      <w:proofErr w:type="spellStart"/>
      <w:r w:rsidRPr="00390145">
        <w:rPr>
          <w:rFonts w:ascii="Arial" w:hAnsi="Arial"/>
        </w:rPr>
        <w:t>ferrallado</w:t>
      </w:r>
      <w:proofErr w:type="spellEnd"/>
      <w:r w:rsidRPr="00390145">
        <w:rPr>
          <w:rFonts w:ascii="Arial" w:hAnsi="Arial"/>
        </w:rPr>
        <w:t xml:space="preserve"> y hormigonado de la sección, dejando las pertinentes placas de anclaje para el posterior ensamblaje de la estructura que corresponda.</w:t>
      </w:r>
    </w:p>
    <w:p w14:paraId="3F2C9A7D" w14:textId="77777777" w:rsidR="00E83996" w:rsidRPr="00390145" w:rsidRDefault="00E83996" w:rsidP="00E83996">
      <w:pPr>
        <w:spacing w:before="120" w:after="120" w:line="360" w:lineRule="auto"/>
        <w:jc w:val="both"/>
        <w:rPr>
          <w:rFonts w:ascii="Arial" w:hAnsi="Arial"/>
        </w:rPr>
      </w:pPr>
      <w:r w:rsidRPr="00390145">
        <w:rPr>
          <w:rFonts w:ascii="Arial" w:hAnsi="Arial"/>
        </w:rPr>
        <w:t xml:space="preserve">La estructura metálica de sustentación de la cartelería, se </w:t>
      </w:r>
      <w:proofErr w:type="spellStart"/>
      <w:r w:rsidRPr="00390145">
        <w:rPr>
          <w:rFonts w:ascii="Arial" w:hAnsi="Arial"/>
        </w:rPr>
        <w:t>premontará</w:t>
      </w:r>
      <w:proofErr w:type="spellEnd"/>
      <w:r w:rsidRPr="00390145">
        <w:rPr>
          <w:rFonts w:ascii="Arial" w:hAnsi="Arial"/>
        </w:rPr>
        <w:t xml:space="preserve"> tumbada en la calzada, previo corte al tráfico de </w:t>
      </w:r>
      <w:proofErr w:type="gramStart"/>
      <w:r w:rsidRPr="00390145">
        <w:rPr>
          <w:rFonts w:ascii="Arial" w:hAnsi="Arial"/>
        </w:rPr>
        <w:t>la misma</w:t>
      </w:r>
      <w:proofErr w:type="gramEnd"/>
      <w:r w:rsidRPr="00390145">
        <w:rPr>
          <w:rFonts w:ascii="Arial" w:hAnsi="Arial"/>
        </w:rPr>
        <w:t xml:space="preserve"> y se ensamblarán todas las partes de la </w:t>
      </w:r>
      <w:proofErr w:type="gramStart"/>
      <w:r w:rsidRPr="00390145">
        <w:rPr>
          <w:rFonts w:ascii="Arial" w:hAnsi="Arial"/>
        </w:rPr>
        <w:t>estructura</w:t>
      </w:r>
      <w:proofErr w:type="gramEnd"/>
      <w:r w:rsidRPr="00390145">
        <w:rPr>
          <w:rFonts w:ascii="Arial" w:hAnsi="Arial"/>
        </w:rPr>
        <w:t xml:space="preserve"> así como los diferentes carteles que irán dispuestos en ella. Con esto se evitarán, en gran medida, los trabajos en altura, que generan peligros adicionales para los trabajadores.</w:t>
      </w:r>
    </w:p>
    <w:p w14:paraId="2D2F9437" w14:textId="77777777" w:rsidR="00E83996" w:rsidRPr="00390145" w:rsidRDefault="00E83996" w:rsidP="00E83996">
      <w:pPr>
        <w:spacing w:before="120" w:after="120" w:line="360" w:lineRule="auto"/>
        <w:jc w:val="both"/>
        <w:rPr>
          <w:rFonts w:ascii="Arial" w:hAnsi="Arial"/>
        </w:rPr>
      </w:pPr>
      <w:r w:rsidRPr="00390145">
        <w:rPr>
          <w:rFonts w:ascii="Arial" w:hAnsi="Arial"/>
        </w:rPr>
        <w:t>Una vez montada la estructura y los carteles en el suelo de la calzada, se procederá a su levantamiento y posicionamiento con la ayuda de una, o dos, grúas automóviles, con capacidad suficiente para el manejo del peso del conjunto a colocar.</w:t>
      </w:r>
    </w:p>
    <w:p w14:paraId="1555BD8D" w14:textId="77777777" w:rsidR="00E83996" w:rsidRPr="00390145" w:rsidRDefault="00E83996" w:rsidP="00E83996">
      <w:pPr>
        <w:spacing w:before="120" w:after="120" w:line="360" w:lineRule="auto"/>
        <w:jc w:val="both"/>
        <w:rPr>
          <w:rFonts w:ascii="Arial" w:hAnsi="Arial"/>
        </w:rPr>
      </w:pPr>
      <w:r w:rsidRPr="00390145">
        <w:rPr>
          <w:rFonts w:ascii="Arial" w:hAnsi="Arial"/>
        </w:rPr>
        <w:t>Posicionado el conjunto se procede a ensamblar la estructura con la cimentación, dejando el conjunto estable. Una vez finalizados estos trabajos, un operario se elevará mediante un camión con cesta, para realizar los acabados y retirar los enganches de la grúa móvil.</w:t>
      </w:r>
    </w:p>
    <w:p w14:paraId="15558D36" w14:textId="77777777" w:rsidR="00E83996" w:rsidRPr="00390145" w:rsidRDefault="00E83996" w:rsidP="00E83996">
      <w:pPr>
        <w:spacing w:before="120" w:after="120" w:line="360" w:lineRule="auto"/>
        <w:jc w:val="both"/>
        <w:rPr>
          <w:rFonts w:ascii="Arial" w:hAnsi="Arial"/>
        </w:rPr>
      </w:pPr>
      <w:r w:rsidRPr="00390145">
        <w:rPr>
          <w:rFonts w:ascii="Arial" w:hAnsi="Arial"/>
        </w:rPr>
        <w:t>Los elementos que se coloquen deberán acreditar los certificados de calidad que establece la normativa al respecto, al objeto de evitar el cálculo de sus características de manera localizada.</w:t>
      </w:r>
    </w:p>
    <w:p w14:paraId="0E1712EF" w14:textId="77777777" w:rsidR="00E83996" w:rsidRPr="00371F52" w:rsidRDefault="00E83996" w:rsidP="000313DD">
      <w:pPr>
        <w:pStyle w:val="TITU2"/>
        <w:rPr>
          <w:lang w:val="es-ES_tradnl"/>
        </w:rPr>
      </w:pPr>
      <w:bookmarkStart w:id="808" w:name="_Toc404457"/>
      <w:r w:rsidRPr="00371F52">
        <w:rPr>
          <w:lang w:val="es-ES_tradnl"/>
        </w:rPr>
        <w:t>6</w:t>
      </w:r>
      <w:r w:rsidR="00036C21">
        <w:rPr>
          <w:lang w:val="es-ES_tradnl"/>
        </w:rPr>
        <w:t>45</w:t>
      </w:r>
      <w:r w:rsidRPr="00371F52">
        <w:rPr>
          <w:lang w:val="es-ES_tradnl"/>
        </w:rPr>
        <w:t>.6.</w:t>
      </w:r>
      <w:r w:rsidR="00371F52">
        <w:rPr>
          <w:lang w:val="es-ES_tradnl"/>
        </w:rPr>
        <w:t xml:space="preserve"> </w:t>
      </w:r>
      <w:r w:rsidRPr="00371F52">
        <w:rPr>
          <w:lang w:val="es-ES_tradnl"/>
        </w:rPr>
        <w:tab/>
        <w:t>Medición y abono</w:t>
      </w:r>
      <w:bookmarkEnd w:id="808"/>
    </w:p>
    <w:p w14:paraId="263E04C9" w14:textId="77777777" w:rsidR="00E83996" w:rsidRPr="00390145" w:rsidRDefault="003907DA" w:rsidP="00E83996">
      <w:pPr>
        <w:spacing w:before="120" w:after="120" w:line="360" w:lineRule="auto"/>
        <w:jc w:val="both"/>
        <w:rPr>
          <w:rFonts w:ascii="Arial" w:hAnsi="Arial"/>
        </w:rPr>
      </w:pPr>
      <w:r>
        <w:rPr>
          <w:rFonts w:ascii="Arial" w:hAnsi="Arial"/>
        </w:rPr>
        <w:t>La</w:t>
      </w:r>
      <w:r w:rsidR="00E83996" w:rsidRPr="00390145">
        <w:rPr>
          <w:rFonts w:ascii="Arial" w:hAnsi="Arial"/>
        </w:rPr>
        <w:t xml:space="preserve"> medición y abono de las unidades de obra de estructuras de sustentación de carteles (pórticos y banderolas) a las que hace referencia el presente Artículo</w:t>
      </w:r>
      <w:r>
        <w:rPr>
          <w:rFonts w:ascii="Arial" w:hAnsi="Arial"/>
        </w:rPr>
        <w:t xml:space="preserve"> se realizará según los criterios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E83996" w:rsidRPr="00390145" w14:paraId="532AE15A" w14:textId="77777777" w:rsidTr="00EC60DF">
        <w:tc>
          <w:tcPr>
            <w:tcW w:w="2905" w:type="dxa"/>
            <w:vAlign w:val="center"/>
          </w:tcPr>
          <w:p w14:paraId="344A6212" w14:textId="77777777" w:rsidR="00E83996" w:rsidRPr="00390145" w:rsidRDefault="00E83996" w:rsidP="00EC60DF">
            <w:pPr>
              <w:tabs>
                <w:tab w:val="left" w:pos="1134"/>
              </w:tabs>
              <w:spacing w:line="288" w:lineRule="auto"/>
              <w:jc w:val="center"/>
              <w:rPr>
                <w:rFonts w:ascii="Arial" w:hAnsi="Arial" w:cs="Arial"/>
                <w:b/>
                <w:sz w:val="20"/>
                <w:szCs w:val="20"/>
              </w:rPr>
            </w:pPr>
            <w:r w:rsidRPr="00390145">
              <w:rPr>
                <w:rFonts w:ascii="Arial" w:hAnsi="Arial" w:cs="Arial"/>
                <w:b/>
                <w:sz w:val="20"/>
                <w:szCs w:val="20"/>
              </w:rPr>
              <w:t>Unidad de medida</w:t>
            </w:r>
          </w:p>
        </w:tc>
        <w:tc>
          <w:tcPr>
            <w:tcW w:w="5739" w:type="dxa"/>
            <w:vAlign w:val="center"/>
          </w:tcPr>
          <w:p w14:paraId="24A11838" w14:textId="77777777" w:rsidR="00E83996" w:rsidRPr="00390145" w:rsidRDefault="00E83996" w:rsidP="00390145">
            <w:pPr>
              <w:spacing w:before="120" w:after="120" w:line="288" w:lineRule="auto"/>
              <w:jc w:val="both"/>
              <w:rPr>
                <w:rFonts w:ascii="Arial" w:hAnsi="Arial" w:cs="Arial"/>
                <w:sz w:val="20"/>
                <w:szCs w:val="20"/>
              </w:rPr>
            </w:pPr>
            <w:r w:rsidRPr="00390145">
              <w:rPr>
                <w:rFonts w:ascii="Arial" w:hAnsi="Arial" w:cs="Arial"/>
                <w:sz w:val="20"/>
                <w:szCs w:val="20"/>
              </w:rPr>
              <w:t>Unidad (</w:t>
            </w:r>
            <w:proofErr w:type="spellStart"/>
            <w:r w:rsidRPr="00390145">
              <w:rPr>
                <w:rFonts w:ascii="Arial" w:hAnsi="Arial" w:cs="Arial"/>
                <w:sz w:val="20"/>
                <w:szCs w:val="20"/>
              </w:rPr>
              <w:t>ud</w:t>
            </w:r>
            <w:proofErr w:type="spellEnd"/>
            <w:r w:rsidRPr="00390145">
              <w:rPr>
                <w:rFonts w:ascii="Arial" w:hAnsi="Arial" w:cs="Arial"/>
                <w:sz w:val="20"/>
                <w:szCs w:val="20"/>
              </w:rPr>
              <w:t>)</w:t>
            </w:r>
          </w:p>
        </w:tc>
      </w:tr>
      <w:tr w:rsidR="00E83996" w:rsidRPr="00390145" w14:paraId="0E36AA27" w14:textId="77777777" w:rsidTr="00EC60DF">
        <w:tc>
          <w:tcPr>
            <w:tcW w:w="2905" w:type="dxa"/>
            <w:vAlign w:val="center"/>
          </w:tcPr>
          <w:p w14:paraId="2F141EB3" w14:textId="77777777" w:rsidR="00E83996" w:rsidRPr="00390145" w:rsidRDefault="00E83996" w:rsidP="00EC60DF">
            <w:pPr>
              <w:tabs>
                <w:tab w:val="left" w:pos="1134"/>
              </w:tabs>
              <w:spacing w:line="288" w:lineRule="auto"/>
              <w:jc w:val="center"/>
              <w:rPr>
                <w:rFonts w:ascii="Arial" w:hAnsi="Arial" w:cs="Arial"/>
                <w:b/>
                <w:sz w:val="20"/>
                <w:szCs w:val="20"/>
              </w:rPr>
            </w:pPr>
            <w:r w:rsidRPr="00390145">
              <w:rPr>
                <w:rFonts w:ascii="Arial" w:hAnsi="Arial" w:cs="Arial"/>
                <w:b/>
                <w:sz w:val="20"/>
                <w:szCs w:val="20"/>
              </w:rPr>
              <w:t>Grado de precisión</w:t>
            </w:r>
          </w:p>
        </w:tc>
        <w:tc>
          <w:tcPr>
            <w:tcW w:w="5739" w:type="dxa"/>
            <w:vAlign w:val="center"/>
          </w:tcPr>
          <w:p w14:paraId="31EA8D2C" w14:textId="77777777" w:rsidR="00E83996" w:rsidRPr="00390145" w:rsidRDefault="00E83996" w:rsidP="00390145">
            <w:pPr>
              <w:spacing w:before="120" w:after="120" w:line="288" w:lineRule="auto"/>
              <w:jc w:val="both"/>
              <w:rPr>
                <w:rFonts w:ascii="Arial" w:hAnsi="Arial" w:cs="Arial"/>
                <w:sz w:val="20"/>
                <w:szCs w:val="20"/>
              </w:rPr>
            </w:pPr>
            <w:r w:rsidRPr="00390145">
              <w:rPr>
                <w:rFonts w:ascii="Arial" w:hAnsi="Arial" w:cs="Arial"/>
                <w:sz w:val="20"/>
                <w:szCs w:val="20"/>
              </w:rPr>
              <w:t>Unidades enteras.</w:t>
            </w:r>
          </w:p>
        </w:tc>
      </w:tr>
      <w:tr w:rsidR="00E83996" w:rsidRPr="00390145" w14:paraId="64ED97E5" w14:textId="77777777" w:rsidTr="00EC60DF">
        <w:tc>
          <w:tcPr>
            <w:tcW w:w="2905" w:type="dxa"/>
            <w:vAlign w:val="center"/>
          </w:tcPr>
          <w:p w14:paraId="622A537D" w14:textId="77777777" w:rsidR="00E83996" w:rsidRPr="00390145" w:rsidRDefault="00E83996" w:rsidP="00EC60DF">
            <w:pPr>
              <w:tabs>
                <w:tab w:val="left" w:pos="1134"/>
              </w:tabs>
              <w:spacing w:line="288" w:lineRule="auto"/>
              <w:jc w:val="center"/>
              <w:rPr>
                <w:rFonts w:ascii="Arial" w:hAnsi="Arial" w:cs="Arial"/>
                <w:b/>
                <w:sz w:val="20"/>
                <w:szCs w:val="20"/>
              </w:rPr>
            </w:pPr>
            <w:r w:rsidRPr="00390145">
              <w:rPr>
                <w:rFonts w:ascii="Arial" w:hAnsi="Arial" w:cs="Arial"/>
                <w:b/>
                <w:sz w:val="20"/>
                <w:szCs w:val="20"/>
              </w:rPr>
              <w:t>Forma de medición</w:t>
            </w:r>
          </w:p>
        </w:tc>
        <w:tc>
          <w:tcPr>
            <w:tcW w:w="5739" w:type="dxa"/>
            <w:vAlign w:val="center"/>
          </w:tcPr>
          <w:p w14:paraId="0CD1BA87" w14:textId="77777777" w:rsidR="00E83996" w:rsidRPr="00390145" w:rsidRDefault="00E83996" w:rsidP="00390145">
            <w:pPr>
              <w:spacing w:before="120" w:after="120" w:line="288" w:lineRule="auto"/>
              <w:jc w:val="both"/>
              <w:rPr>
                <w:rFonts w:ascii="Arial" w:hAnsi="Arial" w:cs="Arial"/>
                <w:sz w:val="20"/>
                <w:szCs w:val="20"/>
              </w:rPr>
            </w:pPr>
            <w:r w:rsidRPr="00390145">
              <w:rPr>
                <w:rFonts w:ascii="Arial" w:hAnsi="Arial" w:cs="Arial"/>
                <w:sz w:val="20"/>
                <w:szCs w:val="20"/>
              </w:rPr>
              <w:t>Unidades de estructuras nuevas realmente ejecutadas.</w:t>
            </w:r>
          </w:p>
        </w:tc>
      </w:tr>
      <w:tr w:rsidR="00E83996" w:rsidRPr="00390145" w14:paraId="09D96577" w14:textId="77777777" w:rsidTr="00EC60DF">
        <w:trPr>
          <w:cantSplit/>
        </w:trPr>
        <w:tc>
          <w:tcPr>
            <w:tcW w:w="2905" w:type="dxa"/>
            <w:vAlign w:val="center"/>
          </w:tcPr>
          <w:p w14:paraId="09E917A4" w14:textId="77777777" w:rsidR="00E83996" w:rsidRPr="00390145" w:rsidRDefault="00E83996" w:rsidP="00EC60DF">
            <w:pPr>
              <w:tabs>
                <w:tab w:val="left" w:pos="1134"/>
              </w:tabs>
              <w:spacing w:line="288" w:lineRule="auto"/>
              <w:jc w:val="center"/>
              <w:rPr>
                <w:rFonts w:ascii="Arial" w:hAnsi="Arial" w:cs="Arial"/>
                <w:b/>
                <w:sz w:val="20"/>
                <w:szCs w:val="20"/>
              </w:rPr>
            </w:pPr>
            <w:r w:rsidRPr="00390145">
              <w:rPr>
                <w:rFonts w:ascii="Arial" w:hAnsi="Arial" w:cs="Arial"/>
                <w:b/>
                <w:sz w:val="20"/>
                <w:szCs w:val="20"/>
              </w:rPr>
              <w:t>Abono</w:t>
            </w:r>
          </w:p>
        </w:tc>
        <w:tc>
          <w:tcPr>
            <w:tcW w:w="5739" w:type="dxa"/>
            <w:vAlign w:val="center"/>
          </w:tcPr>
          <w:p w14:paraId="4E3CB430" w14:textId="77777777" w:rsidR="00132069" w:rsidRPr="00390145" w:rsidRDefault="00E83996" w:rsidP="00132069">
            <w:pPr>
              <w:spacing w:before="120" w:after="120" w:line="288" w:lineRule="auto"/>
              <w:jc w:val="both"/>
              <w:rPr>
                <w:rFonts w:ascii="Arial" w:hAnsi="Arial" w:cs="Arial"/>
                <w:sz w:val="20"/>
                <w:szCs w:val="20"/>
              </w:rPr>
            </w:pPr>
            <w:r w:rsidRPr="00390145">
              <w:rPr>
                <w:rFonts w:ascii="Arial" w:hAnsi="Arial" w:cs="Arial"/>
                <w:sz w:val="20"/>
                <w:szCs w:val="20"/>
              </w:rPr>
              <w:t xml:space="preserve">Los pórticos y banderolas se abonarán con los precios indicados en el cuadro de precios </w:t>
            </w:r>
            <w:proofErr w:type="spellStart"/>
            <w:r w:rsidRPr="00390145">
              <w:rPr>
                <w:rFonts w:ascii="Arial" w:hAnsi="Arial" w:cs="Arial"/>
                <w:sz w:val="20"/>
                <w:szCs w:val="20"/>
              </w:rPr>
              <w:t>nº</w:t>
            </w:r>
            <w:proofErr w:type="spellEnd"/>
            <w:r w:rsidRPr="00390145">
              <w:rPr>
                <w:rFonts w:ascii="Arial" w:hAnsi="Arial" w:cs="Arial"/>
                <w:sz w:val="20"/>
                <w:szCs w:val="20"/>
              </w:rPr>
              <w:t xml:space="preserve"> 1 para cada tipo de estructura, en función de su luz máxima.</w:t>
            </w:r>
          </w:p>
        </w:tc>
      </w:tr>
      <w:tr w:rsidR="00E83996" w:rsidRPr="00390145" w14:paraId="43A50094" w14:textId="77777777" w:rsidTr="00EC60DF">
        <w:trPr>
          <w:cantSplit/>
        </w:trPr>
        <w:tc>
          <w:tcPr>
            <w:tcW w:w="2905" w:type="dxa"/>
            <w:vAlign w:val="center"/>
          </w:tcPr>
          <w:p w14:paraId="74163967" w14:textId="77777777" w:rsidR="00E83996" w:rsidRPr="00390145" w:rsidRDefault="00E83996" w:rsidP="00EC60DF">
            <w:pPr>
              <w:keepNext/>
              <w:tabs>
                <w:tab w:val="left" w:pos="1134"/>
              </w:tabs>
              <w:spacing w:line="288" w:lineRule="auto"/>
              <w:jc w:val="center"/>
              <w:rPr>
                <w:rFonts w:ascii="Arial" w:hAnsi="Arial" w:cs="Arial"/>
                <w:b/>
                <w:sz w:val="20"/>
                <w:szCs w:val="20"/>
              </w:rPr>
            </w:pPr>
            <w:r w:rsidRPr="00390145">
              <w:rPr>
                <w:rFonts w:ascii="Arial" w:hAnsi="Arial" w:cs="Arial"/>
                <w:b/>
                <w:sz w:val="20"/>
                <w:szCs w:val="20"/>
              </w:rPr>
              <w:t xml:space="preserve">Criterios </w:t>
            </w:r>
          </w:p>
          <w:p w14:paraId="13A526F2" w14:textId="77777777" w:rsidR="00E83996" w:rsidRPr="00390145" w:rsidRDefault="00E83996" w:rsidP="00EC60DF">
            <w:pPr>
              <w:keepNext/>
              <w:tabs>
                <w:tab w:val="left" w:pos="1134"/>
              </w:tabs>
              <w:spacing w:line="288" w:lineRule="auto"/>
              <w:jc w:val="center"/>
              <w:rPr>
                <w:rFonts w:ascii="Arial" w:hAnsi="Arial" w:cs="Arial"/>
                <w:b/>
                <w:sz w:val="20"/>
                <w:szCs w:val="20"/>
              </w:rPr>
            </w:pPr>
            <w:r w:rsidRPr="00390145">
              <w:rPr>
                <w:rFonts w:ascii="Arial" w:hAnsi="Arial" w:cs="Arial"/>
                <w:b/>
                <w:sz w:val="20"/>
                <w:szCs w:val="20"/>
              </w:rPr>
              <w:t>complementarios</w:t>
            </w:r>
          </w:p>
        </w:tc>
        <w:tc>
          <w:tcPr>
            <w:tcW w:w="5739" w:type="dxa"/>
            <w:vAlign w:val="center"/>
          </w:tcPr>
          <w:p w14:paraId="41D3D593" w14:textId="77777777" w:rsidR="00390145" w:rsidRDefault="00E83996" w:rsidP="00390145">
            <w:pPr>
              <w:spacing w:before="120" w:after="120" w:line="288" w:lineRule="auto"/>
              <w:jc w:val="both"/>
              <w:rPr>
                <w:rFonts w:ascii="Arial" w:hAnsi="Arial" w:cs="Arial"/>
                <w:sz w:val="20"/>
                <w:szCs w:val="20"/>
              </w:rPr>
            </w:pPr>
            <w:r w:rsidRPr="00390145">
              <w:rPr>
                <w:rFonts w:ascii="Arial" w:hAnsi="Arial" w:cs="Arial"/>
                <w:sz w:val="20"/>
                <w:szCs w:val="20"/>
              </w:rPr>
              <w:t xml:space="preserve">El precio </w:t>
            </w:r>
            <w:r w:rsidR="00390145">
              <w:rPr>
                <w:rFonts w:ascii="Arial" w:hAnsi="Arial" w:cs="Arial"/>
                <w:sz w:val="20"/>
                <w:szCs w:val="20"/>
              </w:rPr>
              <w:t>de la unidad incluye:</w:t>
            </w:r>
          </w:p>
          <w:p w14:paraId="76B54310" w14:textId="77777777" w:rsidR="00E83996" w:rsidRPr="00390145" w:rsidRDefault="00390145" w:rsidP="00390145">
            <w:pPr>
              <w:spacing w:before="120" w:after="120" w:line="288" w:lineRule="auto"/>
              <w:jc w:val="both"/>
              <w:rPr>
                <w:rFonts w:ascii="Arial" w:hAnsi="Arial" w:cs="Arial"/>
                <w:sz w:val="20"/>
                <w:szCs w:val="20"/>
              </w:rPr>
            </w:pPr>
            <w:r>
              <w:rPr>
                <w:rFonts w:ascii="Arial" w:hAnsi="Arial" w:cs="Arial"/>
                <w:sz w:val="20"/>
                <w:szCs w:val="20"/>
              </w:rPr>
              <w:t>E</w:t>
            </w:r>
            <w:r w:rsidR="00E83996" w:rsidRPr="00390145">
              <w:rPr>
                <w:rFonts w:ascii="Arial" w:hAnsi="Arial" w:cs="Arial"/>
                <w:sz w:val="20"/>
                <w:szCs w:val="20"/>
              </w:rPr>
              <w:t>l cálculo</w:t>
            </w:r>
            <w:r>
              <w:rPr>
                <w:rFonts w:ascii="Arial" w:hAnsi="Arial" w:cs="Arial"/>
                <w:sz w:val="20"/>
                <w:szCs w:val="20"/>
              </w:rPr>
              <w:t xml:space="preserve"> estructural de las estructuras</w:t>
            </w:r>
            <w:r w:rsidR="00E83996" w:rsidRPr="00390145">
              <w:rPr>
                <w:rFonts w:ascii="Arial" w:hAnsi="Arial" w:cs="Arial"/>
                <w:sz w:val="20"/>
                <w:szCs w:val="20"/>
              </w:rPr>
              <w:t xml:space="preserve">. </w:t>
            </w:r>
          </w:p>
          <w:p w14:paraId="22DAB4C6" w14:textId="77777777" w:rsidR="00E83996" w:rsidRDefault="00390145" w:rsidP="00390145">
            <w:pPr>
              <w:spacing w:before="120" w:after="120" w:line="288" w:lineRule="auto"/>
              <w:jc w:val="both"/>
              <w:rPr>
                <w:rFonts w:ascii="Arial" w:hAnsi="Arial" w:cs="Arial"/>
                <w:sz w:val="20"/>
                <w:szCs w:val="20"/>
              </w:rPr>
            </w:pPr>
            <w:r>
              <w:rPr>
                <w:rFonts w:ascii="Arial" w:hAnsi="Arial" w:cs="Arial"/>
                <w:sz w:val="20"/>
                <w:szCs w:val="20"/>
              </w:rPr>
              <w:t>L</w:t>
            </w:r>
            <w:r w:rsidR="00E83996" w:rsidRPr="00390145">
              <w:rPr>
                <w:rFonts w:ascii="Arial" w:hAnsi="Arial" w:cs="Arial"/>
                <w:sz w:val="20"/>
                <w:szCs w:val="20"/>
              </w:rPr>
              <w:t xml:space="preserve">a cimentación, </w:t>
            </w:r>
            <w:r>
              <w:rPr>
                <w:rFonts w:ascii="Arial" w:hAnsi="Arial" w:cs="Arial"/>
                <w:sz w:val="20"/>
                <w:szCs w:val="20"/>
              </w:rPr>
              <w:t>tanto el hormigón como las armaduras</w:t>
            </w:r>
            <w:r w:rsidR="00E83996" w:rsidRPr="00390145">
              <w:rPr>
                <w:rFonts w:ascii="Arial" w:hAnsi="Arial" w:cs="Arial"/>
                <w:sz w:val="20"/>
                <w:szCs w:val="20"/>
              </w:rPr>
              <w:t>.</w:t>
            </w:r>
          </w:p>
          <w:p w14:paraId="3B55E26D" w14:textId="77777777" w:rsidR="00390145" w:rsidRDefault="00E83996" w:rsidP="00390145">
            <w:pPr>
              <w:spacing w:before="120" w:after="120" w:line="288" w:lineRule="auto"/>
              <w:jc w:val="both"/>
              <w:rPr>
                <w:rFonts w:ascii="Arial" w:hAnsi="Arial" w:cs="Arial"/>
                <w:sz w:val="20"/>
                <w:szCs w:val="20"/>
              </w:rPr>
            </w:pPr>
            <w:r w:rsidRPr="00390145">
              <w:rPr>
                <w:rFonts w:ascii="Arial" w:hAnsi="Arial" w:cs="Arial"/>
                <w:sz w:val="20"/>
                <w:szCs w:val="20"/>
              </w:rPr>
              <w:t xml:space="preserve">No se abonarán independientemente, por estar incluidos en el precio señalado, pinturas, despuntes, excesos de peso por tolerancias de laminación, casquillos, tornillos, tapajuntas y demás elementos accesorios y auxiliares de montaje. </w:t>
            </w:r>
          </w:p>
          <w:p w14:paraId="68DC48E9" w14:textId="77777777" w:rsidR="00E83996" w:rsidRPr="00390145" w:rsidRDefault="00E83996" w:rsidP="00390145">
            <w:pPr>
              <w:spacing w:before="120" w:after="120" w:line="288" w:lineRule="auto"/>
              <w:jc w:val="both"/>
              <w:rPr>
                <w:rFonts w:ascii="Arial" w:hAnsi="Arial" w:cs="Arial"/>
                <w:sz w:val="20"/>
                <w:szCs w:val="20"/>
              </w:rPr>
            </w:pPr>
            <w:r w:rsidRPr="00390145">
              <w:rPr>
                <w:rFonts w:ascii="Arial" w:hAnsi="Arial" w:cs="Arial"/>
                <w:sz w:val="20"/>
                <w:szCs w:val="20"/>
              </w:rPr>
              <w:t>Todas las operaciones, materiales y equipos necesarios para la fabricación, montaje en blanco en taller, transporte, manipulación, armado en obra de la estructura metálica y colocación de la misma mediante grúas, con todos los medios auxiliares necesarios hasta colocarla en su posición definitiva en obra, así como los costes que resulten de los controles de producción de la estructura a realizar por el Constructor y el coste del control realizado por la Dirección de Obra resultante de la detección de defectos, lo que conllevará una ampliación de los ensayos y su repetición una vez subsanados los mismos.</w:t>
            </w:r>
          </w:p>
          <w:p w14:paraId="65E60043" w14:textId="77777777" w:rsidR="00E83996" w:rsidRPr="00390145" w:rsidRDefault="00E83996" w:rsidP="00390145">
            <w:pPr>
              <w:spacing w:before="120" w:after="120" w:line="288" w:lineRule="auto"/>
              <w:jc w:val="both"/>
              <w:rPr>
                <w:rFonts w:ascii="Arial" w:hAnsi="Arial" w:cs="Arial"/>
                <w:sz w:val="20"/>
                <w:szCs w:val="20"/>
              </w:rPr>
            </w:pPr>
            <w:r w:rsidRPr="00390145">
              <w:rPr>
                <w:rFonts w:ascii="Arial" w:hAnsi="Arial" w:cs="Arial"/>
                <w:sz w:val="20"/>
                <w:szCs w:val="20"/>
              </w:rPr>
              <w:t>Se incluyen en el precio también, la preparación de los terrenos de acopio, montaje, accesos y todos los permisos, tasas y operaciones auxiliares necesarias para el montaje descrito en el apartado correspondiente de este Pliego.</w:t>
            </w:r>
          </w:p>
        </w:tc>
      </w:tr>
    </w:tbl>
    <w:p w14:paraId="2C13F95F" w14:textId="77777777" w:rsidR="00E83996" w:rsidRPr="00E032E2" w:rsidRDefault="00E83996" w:rsidP="00E83996">
      <w:pPr>
        <w:spacing w:before="120" w:after="120" w:line="360" w:lineRule="auto"/>
        <w:ind w:firstLine="851"/>
        <w:jc w:val="both"/>
        <w:rPr>
          <w:rFonts w:ascii="Arial" w:hAnsi="Arial"/>
          <w:sz w:val="22"/>
          <w:szCs w:val="20"/>
        </w:rPr>
      </w:pPr>
    </w:p>
    <w:p w14:paraId="15526F8E" w14:textId="77777777" w:rsidR="00E83996" w:rsidRDefault="00E83996" w:rsidP="00E83996">
      <w:pPr>
        <w:pStyle w:val="TITU1"/>
        <w:rPr>
          <w:lang w:val="es-ES_tradnl"/>
        </w:rPr>
      </w:pPr>
      <w:bookmarkStart w:id="809" w:name="_Toc404458"/>
      <w:r w:rsidRPr="00103474">
        <w:rPr>
          <w:lang w:val="es-ES_tradnl"/>
        </w:rPr>
        <w:lastRenderedPageBreak/>
        <w:t xml:space="preserve">Artículo 646. </w:t>
      </w:r>
      <w:r w:rsidR="00977BE2" w:rsidRPr="00103474">
        <w:rPr>
          <w:lang w:val="es-ES_tradnl"/>
        </w:rPr>
        <w:t>B</w:t>
      </w:r>
      <w:r w:rsidRPr="00103474">
        <w:rPr>
          <w:lang w:val="es-ES_tradnl"/>
        </w:rPr>
        <w:t>arandilla</w:t>
      </w:r>
      <w:bookmarkEnd w:id="809"/>
    </w:p>
    <w:p w14:paraId="168E5D5A" w14:textId="77777777" w:rsidR="00E83996" w:rsidRPr="00977BE2" w:rsidRDefault="007B6F62" w:rsidP="000313DD">
      <w:pPr>
        <w:pStyle w:val="TITU2"/>
        <w:rPr>
          <w:lang w:val="es-ES_tradnl"/>
        </w:rPr>
      </w:pPr>
      <w:bookmarkStart w:id="810" w:name="_Toc494739042"/>
      <w:bookmarkStart w:id="811" w:name="_Toc404459"/>
      <w:r>
        <w:rPr>
          <w:lang w:val="es-ES_tradnl"/>
        </w:rPr>
        <w:t>646</w:t>
      </w:r>
      <w:r w:rsidR="00E83996" w:rsidRPr="00977BE2">
        <w:rPr>
          <w:lang w:val="es-ES_tradnl"/>
        </w:rPr>
        <w:t>.</w:t>
      </w:r>
      <w:r>
        <w:rPr>
          <w:lang w:val="es-ES_tradnl"/>
        </w:rPr>
        <w:t>1</w:t>
      </w:r>
      <w:r w:rsidR="00E83996" w:rsidRPr="00977BE2">
        <w:rPr>
          <w:lang w:val="es-ES_tradnl"/>
        </w:rPr>
        <w:t>.</w:t>
      </w:r>
      <w:r>
        <w:rPr>
          <w:lang w:val="es-ES_tradnl"/>
        </w:rPr>
        <w:t xml:space="preserve"> </w:t>
      </w:r>
      <w:r w:rsidR="00E83996" w:rsidRPr="00977BE2">
        <w:rPr>
          <w:lang w:val="es-ES_tradnl"/>
        </w:rPr>
        <w:tab/>
        <w:t>Aplicación</w:t>
      </w:r>
      <w:bookmarkEnd w:id="810"/>
      <w:bookmarkEnd w:id="811"/>
    </w:p>
    <w:p w14:paraId="6E9FF319" w14:textId="77777777" w:rsidR="00977BE2" w:rsidRPr="00977BE2" w:rsidRDefault="00977BE2" w:rsidP="00977BE2">
      <w:pPr>
        <w:spacing w:before="120" w:after="120" w:line="360" w:lineRule="auto"/>
        <w:jc w:val="both"/>
        <w:rPr>
          <w:rFonts w:ascii="Arial" w:hAnsi="Arial"/>
        </w:rPr>
      </w:pPr>
      <w:r w:rsidRPr="00977BE2">
        <w:rPr>
          <w:rFonts w:ascii="Arial" w:hAnsi="Arial"/>
        </w:rPr>
        <w:t xml:space="preserve">Se entienden por barandillas aquellos dispositivos instalados con el propósito de encauzar el flujo peatonal, evitando el ingreso de los peatones en la calzada y/o en lugares inconvenientes. </w:t>
      </w:r>
    </w:p>
    <w:p w14:paraId="093E0923" w14:textId="77777777" w:rsidR="00E83996" w:rsidRPr="00977BE2" w:rsidRDefault="00E83996" w:rsidP="00E83996">
      <w:pPr>
        <w:pStyle w:val="NORMAL12"/>
        <w:rPr>
          <w:lang w:val="es-ES"/>
        </w:rPr>
      </w:pPr>
      <w:r w:rsidRPr="00977BE2">
        <w:rPr>
          <w:lang w:val="es-ES"/>
        </w:rPr>
        <w:t xml:space="preserve">Las prescripciones del presente artículo </w:t>
      </w:r>
      <w:proofErr w:type="gramStart"/>
      <w:r w:rsidRPr="00977BE2">
        <w:rPr>
          <w:lang w:val="es-ES"/>
        </w:rPr>
        <w:t>son de aplicación</w:t>
      </w:r>
      <w:proofErr w:type="gramEnd"/>
      <w:r w:rsidRPr="00977BE2">
        <w:rPr>
          <w:lang w:val="es-ES"/>
        </w:rPr>
        <w:t xml:space="preserve"> a </w:t>
      </w:r>
      <w:r w:rsidR="00D93E76" w:rsidRPr="00977BE2">
        <w:rPr>
          <w:lang w:val="es-ES"/>
        </w:rPr>
        <w:t>las unidades</w:t>
      </w:r>
      <w:r w:rsidRPr="00977BE2">
        <w:rPr>
          <w:lang w:val="es-ES"/>
        </w:rPr>
        <w:t xml:space="preserve"> de obra siguiente:</w:t>
      </w:r>
    </w:p>
    <w:tbl>
      <w:tblPr>
        <w:tblW w:w="5000" w:type="pct"/>
        <w:tblCellMar>
          <w:left w:w="70" w:type="dxa"/>
          <w:right w:w="70" w:type="dxa"/>
        </w:tblCellMar>
        <w:tblLook w:val="04A0" w:firstRow="1" w:lastRow="0" w:firstColumn="1" w:lastColumn="0" w:noHBand="0" w:noVBand="1"/>
      </w:tblPr>
      <w:tblGrid>
        <w:gridCol w:w="1207"/>
        <w:gridCol w:w="639"/>
        <w:gridCol w:w="7507"/>
      </w:tblGrid>
      <w:tr w:rsidR="00E83996" w:rsidRPr="00016787" w14:paraId="654B1785" w14:textId="77777777" w:rsidTr="00132069">
        <w:trPr>
          <w:trHeight w:val="300"/>
        </w:trPr>
        <w:tc>
          <w:tcPr>
            <w:tcW w:w="617" w:type="pct"/>
            <w:noWrap/>
            <w:hideMark/>
          </w:tcPr>
          <w:p w14:paraId="2BF12B5A" w14:textId="77777777" w:rsidR="00E83996" w:rsidRPr="00D921B6" w:rsidRDefault="00E83996" w:rsidP="00EC60DF">
            <w:pPr>
              <w:rPr>
                <w:rFonts w:ascii="Calibri" w:hAnsi="Calibri" w:cs="Calibri"/>
                <w:color w:val="000000"/>
              </w:rPr>
            </w:pPr>
            <w:r w:rsidRPr="00D921B6">
              <w:rPr>
                <w:rFonts w:ascii="Calibri" w:hAnsi="Calibri" w:cs="Calibri"/>
                <w:color w:val="000000"/>
              </w:rPr>
              <w:t xml:space="preserve">710.0001N         </w:t>
            </w:r>
          </w:p>
        </w:tc>
        <w:tc>
          <w:tcPr>
            <w:tcW w:w="356" w:type="pct"/>
            <w:noWrap/>
            <w:hideMark/>
          </w:tcPr>
          <w:p w14:paraId="5E18F8E8" w14:textId="77777777" w:rsidR="00E83996" w:rsidRPr="00D921B6" w:rsidRDefault="00E83996" w:rsidP="00EC60DF">
            <w:pPr>
              <w:rPr>
                <w:rFonts w:ascii="Calibri" w:hAnsi="Calibri" w:cs="Calibri"/>
                <w:color w:val="000000"/>
              </w:rPr>
            </w:pPr>
            <w:r w:rsidRPr="00D921B6">
              <w:rPr>
                <w:rFonts w:ascii="Calibri" w:hAnsi="Calibri" w:cs="Calibri"/>
                <w:color w:val="000000"/>
              </w:rPr>
              <w:t>m</w:t>
            </w:r>
          </w:p>
        </w:tc>
        <w:tc>
          <w:tcPr>
            <w:tcW w:w="4027" w:type="pct"/>
            <w:hideMark/>
          </w:tcPr>
          <w:p w14:paraId="7F11B49E" w14:textId="77777777" w:rsidR="00E83996" w:rsidRPr="00D921B6" w:rsidRDefault="00E83996" w:rsidP="00666B72">
            <w:pPr>
              <w:jc w:val="both"/>
              <w:rPr>
                <w:rFonts w:ascii="Calibri" w:hAnsi="Calibri" w:cs="Calibri"/>
                <w:color w:val="000000"/>
              </w:rPr>
            </w:pPr>
            <w:r w:rsidRPr="00D921B6">
              <w:rPr>
                <w:rFonts w:ascii="Calibri" w:hAnsi="Calibri" w:cs="Calibri"/>
                <w:color w:val="000000"/>
              </w:rPr>
              <w:t>SUMINISTRO Y COLOCACIÓN DE BARANDILLA DE 110 CM, DE ALTURA CONSTRUIDA CON TUBOS HUECOS DE ACERO LAMINADO EN FRÍO, CON PASAMANOS SUPERIOR DE 60X40X1,5 MM. SOBRE MONTANTES VERTICALES CADA METRO DE TUBO DE 40X40X1,5 MM. CON PROLONGACIÓN PARA ANCLAJE, VERTICALES DE TUBO DE 30X15X1,5 MM. CADA 10 CM. SOBRE HORIZONTALES DE 40X20X1,5 MM. SOLDADOS ENTRE SÍ, ELABORADA EN TALLER Y MONTAJE EN OBRA. TOTALMENTE TERMINADA.</w:t>
            </w:r>
          </w:p>
        </w:tc>
      </w:tr>
    </w:tbl>
    <w:p w14:paraId="0CD2288E" w14:textId="77777777" w:rsidR="00E83996" w:rsidRPr="00977BE2" w:rsidRDefault="00977BE2" w:rsidP="00977BE2">
      <w:pPr>
        <w:spacing w:before="120" w:after="120" w:line="360" w:lineRule="auto"/>
        <w:jc w:val="both"/>
        <w:rPr>
          <w:rFonts w:ascii="Arial" w:hAnsi="Arial"/>
        </w:rPr>
      </w:pPr>
      <w:r>
        <w:rPr>
          <w:rFonts w:ascii="Arial" w:hAnsi="Arial"/>
        </w:rPr>
        <w:t xml:space="preserve">La ejecución de la unidad incluye la realización de las </w:t>
      </w:r>
      <w:r w:rsidR="00D93E76">
        <w:rPr>
          <w:rFonts w:ascii="Arial" w:hAnsi="Arial"/>
        </w:rPr>
        <w:t>operaciones</w:t>
      </w:r>
      <w:r>
        <w:rPr>
          <w:rFonts w:ascii="Arial" w:hAnsi="Arial"/>
        </w:rPr>
        <w:t xml:space="preserve"> siguientes: </w:t>
      </w:r>
      <w:r w:rsidR="00E83996" w:rsidRPr="00977BE2">
        <w:rPr>
          <w:rFonts w:ascii="Arial" w:hAnsi="Arial"/>
        </w:rPr>
        <w:t xml:space="preserve"> </w:t>
      </w:r>
    </w:p>
    <w:p w14:paraId="756A7DE4" w14:textId="77777777" w:rsidR="00E83996" w:rsidRPr="00977BE2" w:rsidRDefault="00E83996" w:rsidP="00661A5F">
      <w:pPr>
        <w:pStyle w:val="Prrafodelista"/>
        <w:numPr>
          <w:ilvl w:val="0"/>
          <w:numId w:val="217"/>
        </w:numPr>
        <w:spacing w:before="120" w:after="120" w:line="360" w:lineRule="auto"/>
        <w:jc w:val="both"/>
        <w:rPr>
          <w:rFonts w:ascii="Arial" w:hAnsi="Arial"/>
          <w:sz w:val="24"/>
          <w:szCs w:val="24"/>
        </w:rPr>
      </w:pPr>
      <w:r w:rsidRPr="00977BE2">
        <w:rPr>
          <w:rFonts w:ascii="Arial" w:hAnsi="Arial"/>
          <w:sz w:val="24"/>
          <w:szCs w:val="24"/>
        </w:rPr>
        <w:t>El replanteo de la ubicación de la barandilla en su posición final tras las actividades realizadas en la zona de actuación.</w:t>
      </w:r>
    </w:p>
    <w:p w14:paraId="116C7769" w14:textId="77777777" w:rsidR="00E83996" w:rsidRPr="00977BE2" w:rsidRDefault="00E83996" w:rsidP="00661A5F">
      <w:pPr>
        <w:pStyle w:val="Prrafodelista"/>
        <w:numPr>
          <w:ilvl w:val="0"/>
          <w:numId w:val="217"/>
        </w:numPr>
        <w:spacing w:before="120" w:after="120" w:line="360" w:lineRule="auto"/>
        <w:jc w:val="both"/>
        <w:rPr>
          <w:rFonts w:ascii="Arial" w:hAnsi="Arial"/>
          <w:sz w:val="24"/>
          <w:szCs w:val="24"/>
        </w:rPr>
      </w:pPr>
      <w:r w:rsidRPr="00977BE2">
        <w:rPr>
          <w:rFonts w:ascii="Arial" w:hAnsi="Arial"/>
          <w:sz w:val="24"/>
          <w:szCs w:val="24"/>
        </w:rPr>
        <w:t>La instalación, incluyendo todos los elementos de sujeción, anclaje o soldadura.</w:t>
      </w:r>
    </w:p>
    <w:p w14:paraId="092DBA0F" w14:textId="77777777" w:rsidR="00E83996" w:rsidRPr="00977BE2" w:rsidRDefault="00E83996" w:rsidP="00661A5F">
      <w:pPr>
        <w:pStyle w:val="Prrafodelista"/>
        <w:numPr>
          <w:ilvl w:val="0"/>
          <w:numId w:val="217"/>
        </w:numPr>
        <w:spacing w:before="120" w:after="120" w:line="360" w:lineRule="auto"/>
        <w:jc w:val="both"/>
        <w:rPr>
          <w:rFonts w:ascii="Arial" w:hAnsi="Arial"/>
          <w:sz w:val="24"/>
          <w:szCs w:val="24"/>
        </w:rPr>
      </w:pPr>
      <w:r w:rsidRPr="00977BE2">
        <w:rPr>
          <w:rFonts w:ascii="Arial" w:hAnsi="Arial"/>
          <w:sz w:val="24"/>
          <w:szCs w:val="24"/>
        </w:rPr>
        <w:t>La limpieza y retirada de todos los elementos auxiliares y restos de obra.</w:t>
      </w:r>
    </w:p>
    <w:p w14:paraId="3A478CCB" w14:textId="77777777" w:rsidR="007B6F62" w:rsidRDefault="007B6F62" w:rsidP="000313DD">
      <w:pPr>
        <w:pStyle w:val="TITU2"/>
        <w:rPr>
          <w:lang w:val="es-ES_tradnl"/>
        </w:rPr>
      </w:pPr>
      <w:bookmarkStart w:id="812" w:name="_Toc404460"/>
      <w:bookmarkStart w:id="813" w:name="_Toc494739043"/>
      <w:r>
        <w:rPr>
          <w:lang w:val="es-ES_tradnl"/>
        </w:rPr>
        <w:t>646</w:t>
      </w:r>
      <w:r w:rsidR="00E83996" w:rsidRPr="00977BE2">
        <w:rPr>
          <w:lang w:val="es-ES_tradnl"/>
        </w:rPr>
        <w:t>.</w:t>
      </w:r>
      <w:r>
        <w:rPr>
          <w:lang w:val="es-ES_tradnl"/>
        </w:rPr>
        <w:t>2</w:t>
      </w:r>
      <w:r w:rsidR="00E83996" w:rsidRPr="00977BE2">
        <w:rPr>
          <w:lang w:val="es-ES_tradnl"/>
        </w:rPr>
        <w:t>.</w:t>
      </w:r>
      <w:r>
        <w:rPr>
          <w:lang w:val="es-ES_tradnl"/>
        </w:rPr>
        <w:t xml:space="preserve"> </w:t>
      </w:r>
      <w:r w:rsidR="00E83996" w:rsidRPr="00977BE2">
        <w:rPr>
          <w:lang w:val="es-ES_tradnl"/>
        </w:rPr>
        <w:tab/>
      </w:r>
      <w:r>
        <w:rPr>
          <w:lang w:val="es-ES_tradnl"/>
        </w:rPr>
        <w:t>Materiales</w:t>
      </w:r>
      <w:bookmarkEnd w:id="812"/>
    </w:p>
    <w:p w14:paraId="65F11C30" w14:textId="77777777" w:rsidR="00132069" w:rsidRDefault="00132069" w:rsidP="00132069">
      <w:pPr>
        <w:pStyle w:val="NORMAL12"/>
      </w:pPr>
      <w:r>
        <w:t xml:space="preserve">Los tubos de la barandilla son de acero laminado en frío que cumplirá las condiciones establecidas en el artículo </w:t>
      </w:r>
      <w:r w:rsidR="003234D0">
        <w:t>620.</w:t>
      </w:r>
      <w:r>
        <w:t xml:space="preserve"> </w:t>
      </w:r>
      <w:r w:rsidR="003234D0">
        <w:t>P</w:t>
      </w:r>
      <w:r>
        <w:t>erfiles</w:t>
      </w:r>
      <w:r w:rsidR="003234D0">
        <w:t xml:space="preserve"> y chapas de acero laminadas del presente pliego o del PG-3, según proceda.</w:t>
      </w:r>
    </w:p>
    <w:p w14:paraId="6DD35279" w14:textId="77777777" w:rsidR="006D1BBF" w:rsidRDefault="006D1BBF" w:rsidP="00132069">
      <w:pPr>
        <w:pStyle w:val="NORMAL12"/>
      </w:pPr>
      <w:r>
        <w:t xml:space="preserve">Las dimensiones de </w:t>
      </w:r>
      <w:proofErr w:type="gramStart"/>
      <w:r>
        <w:t>los mismos</w:t>
      </w:r>
      <w:proofErr w:type="gramEnd"/>
      <w:r>
        <w:t xml:space="preserve"> son las indicadas en la definición de la unidad. </w:t>
      </w:r>
    </w:p>
    <w:p w14:paraId="5F0FE185" w14:textId="77777777" w:rsidR="00402B5C" w:rsidRDefault="00402B5C" w:rsidP="00132069">
      <w:pPr>
        <w:pStyle w:val="NORMAL12"/>
      </w:pPr>
      <w:r>
        <w:t xml:space="preserve">Disponen de pasamanos superior de 60x40x1.5mm de acero. </w:t>
      </w:r>
    </w:p>
    <w:p w14:paraId="7F4B8501" w14:textId="77777777" w:rsidR="00402B5C" w:rsidRDefault="00402B5C" w:rsidP="00132069">
      <w:pPr>
        <w:pStyle w:val="NORMAL12"/>
      </w:pPr>
      <w:r>
        <w:t>Los montantes serán de acero con dimensiones 40x40x1.5 mm</w:t>
      </w:r>
    </w:p>
    <w:p w14:paraId="0F3A6177" w14:textId="77777777" w:rsidR="003E2F48" w:rsidRDefault="003E2F48" w:rsidP="00132069">
      <w:pPr>
        <w:pStyle w:val="NORMAL12"/>
      </w:pPr>
    </w:p>
    <w:p w14:paraId="4DB9CD80" w14:textId="77777777" w:rsidR="003E2F48" w:rsidRDefault="003E2F48" w:rsidP="00132069">
      <w:pPr>
        <w:pStyle w:val="NORMAL12"/>
      </w:pPr>
      <w:r>
        <w:t>El acero cumplirá lo establecido en la norma UNE EN 10025, y tendrá protección contra la corrosión mediante galvanizado en caliente según UNE EN ISO 1461</w:t>
      </w:r>
    </w:p>
    <w:p w14:paraId="6C0D74F9" w14:textId="77777777" w:rsidR="00E83996" w:rsidRPr="00977BE2" w:rsidRDefault="007B6F62" w:rsidP="000313DD">
      <w:pPr>
        <w:pStyle w:val="TITU2"/>
        <w:rPr>
          <w:lang w:val="es-ES_tradnl"/>
        </w:rPr>
      </w:pPr>
      <w:bookmarkStart w:id="814" w:name="_Toc404461"/>
      <w:r>
        <w:rPr>
          <w:lang w:val="es-ES_tradnl"/>
        </w:rPr>
        <w:t xml:space="preserve">646.3. </w:t>
      </w:r>
      <w:r w:rsidR="00103474">
        <w:rPr>
          <w:lang w:val="es-ES_tradnl"/>
        </w:rPr>
        <w:t xml:space="preserve"> </w:t>
      </w:r>
      <w:r w:rsidR="00D93E76">
        <w:rPr>
          <w:lang w:val="es-ES_tradnl"/>
        </w:rPr>
        <w:t>Ejecución</w:t>
      </w:r>
      <w:r>
        <w:rPr>
          <w:lang w:val="es-ES_tradnl"/>
        </w:rPr>
        <w:t xml:space="preserve"> de la</w:t>
      </w:r>
      <w:r w:rsidR="006D1BBF">
        <w:rPr>
          <w:lang w:val="es-ES_tradnl"/>
        </w:rPr>
        <w:t>s</w:t>
      </w:r>
      <w:r>
        <w:rPr>
          <w:lang w:val="es-ES_tradnl"/>
        </w:rPr>
        <w:t xml:space="preserve"> obra</w:t>
      </w:r>
      <w:bookmarkEnd w:id="813"/>
      <w:r w:rsidR="006D1BBF">
        <w:rPr>
          <w:lang w:val="es-ES_tradnl"/>
        </w:rPr>
        <w:t>s</w:t>
      </w:r>
      <w:bookmarkEnd w:id="814"/>
    </w:p>
    <w:p w14:paraId="5B4D6D9D" w14:textId="77777777" w:rsidR="00E83996" w:rsidRDefault="007B6F62" w:rsidP="007B6F62">
      <w:pPr>
        <w:spacing w:before="120" w:after="120" w:line="360" w:lineRule="auto"/>
        <w:jc w:val="both"/>
        <w:rPr>
          <w:rFonts w:ascii="Arial" w:hAnsi="Arial"/>
        </w:rPr>
      </w:pPr>
      <w:r>
        <w:rPr>
          <w:rFonts w:ascii="Arial" w:hAnsi="Arial"/>
        </w:rPr>
        <w:t>L</w:t>
      </w:r>
      <w:r w:rsidR="00E83996" w:rsidRPr="007B6F62">
        <w:rPr>
          <w:rFonts w:ascii="Arial" w:hAnsi="Arial"/>
        </w:rPr>
        <w:t xml:space="preserve">a barandilla se instalará sobre </w:t>
      </w:r>
      <w:r>
        <w:rPr>
          <w:rFonts w:ascii="Arial" w:hAnsi="Arial"/>
        </w:rPr>
        <w:t xml:space="preserve">la nueva acera, </w:t>
      </w:r>
      <w:r w:rsidR="00E83996" w:rsidRPr="007B6F62">
        <w:rPr>
          <w:rFonts w:ascii="Arial" w:hAnsi="Arial"/>
        </w:rPr>
        <w:t xml:space="preserve">dispuesta en paralelo al eje longitudinal de la calzada </w:t>
      </w:r>
      <w:r>
        <w:rPr>
          <w:rFonts w:ascii="Arial" w:hAnsi="Arial"/>
        </w:rPr>
        <w:t>en la zona de muro para evitar la caída a la misma</w:t>
      </w:r>
      <w:r w:rsidR="00E83996" w:rsidRPr="007B6F62">
        <w:rPr>
          <w:rFonts w:ascii="Arial" w:hAnsi="Arial"/>
        </w:rPr>
        <w:t>.</w:t>
      </w:r>
    </w:p>
    <w:p w14:paraId="4473154C" w14:textId="77777777" w:rsidR="007B6F62" w:rsidRPr="007B6F62" w:rsidRDefault="007B6F62" w:rsidP="007B6F62">
      <w:pPr>
        <w:spacing w:before="120" w:after="120" w:line="360" w:lineRule="auto"/>
        <w:jc w:val="both"/>
        <w:rPr>
          <w:rFonts w:ascii="Arial" w:hAnsi="Arial"/>
        </w:rPr>
      </w:pPr>
      <w:r w:rsidRPr="007B6F62">
        <w:rPr>
          <w:rFonts w:ascii="Arial" w:hAnsi="Arial"/>
        </w:rPr>
        <w:t>Las barandillas deberán ser montadas y puestas en obra por un instalador autorizado por el suministrador del sistema que asegure y verifique que el montaje se ha realizado conforme a las directrices establecidas por la Dirección de Obra.</w:t>
      </w:r>
    </w:p>
    <w:p w14:paraId="0E04E8B8" w14:textId="77777777" w:rsidR="007B6F62" w:rsidRDefault="007B6F62" w:rsidP="007B6F62">
      <w:pPr>
        <w:spacing w:before="120" w:after="120" w:line="360" w:lineRule="auto"/>
        <w:jc w:val="both"/>
        <w:rPr>
          <w:rFonts w:ascii="Arial" w:hAnsi="Arial"/>
        </w:rPr>
      </w:pPr>
      <w:r w:rsidRPr="007B6F62">
        <w:rPr>
          <w:rFonts w:ascii="Arial" w:hAnsi="Arial"/>
        </w:rPr>
        <w:t xml:space="preserve">El diseño final de la barandilla a disponer deberá ser aprobado por </w:t>
      </w:r>
      <w:r>
        <w:rPr>
          <w:rFonts w:ascii="Arial" w:hAnsi="Arial"/>
        </w:rPr>
        <w:t xml:space="preserve">el </w:t>
      </w:r>
      <w:proofErr w:type="gramStart"/>
      <w:r>
        <w:rPr>
          <w:rFonts w:ascii="Arial" w:hAnsi="Arial"/>
        </w:rPr>
        <w:t>Director</w:t>
      </w:r>
      <w:proofErr w:type="gramEnd"/>
      <w:r>
        <w:rPr>
          <w:rFonts w:ascii="Arial" w:hAnsi="Arial"/>
        </w:rPr>
        <w:t xml:space="preserve"> de Obra</w:t>
      </w:r>
      <w:r w:rsidRPr="007B6F62">
        <w:rPr>
          <w:rFonts w:ascii="Arial" w:hAnsi="Arial"/>
        </w:rPr>
        <w:t>.</w:t>
      </w:r>
    </w:p>
    <w:p w14:paraId="6D6081BB" w14:textId="77777777" w:rsidR="00402B5C" w:rsidRDefault="00402B5C" w:rsidP="007B6F62">
      <w:pPr>
        <w:spacing w:before="120" w:after="120" w:line="360" w:lineRule="auto"/>
        <w:jc w:val="both"/>
        <w:rPr>
          <w:rFonts w:ascii="Arial" w:hAnsi="Arial"/>
        </w:rPr>
      </w:pPr>
      <w:r>
        <w:rPr>
          <w:rFonts w:ascii="Arial" w:hAnsi="Arial"/>
        </w:rPr>
        <w:t xml:space="preserve">Se colocarán montantes </w:t>
      </w:r>
      <w:r w:rsidR="00F83B62">
        <w:rPr>
          <w:rFonts w:ascii="Arial" w:hAnsi="Arial"/>
        </w:rPr>
        <w:t>verticales</w:t>
      </w:r>
      <w:r>
        <w:rPr>
          <w:rFonts w:ascii="Arial" w:hAnsi="Arial"/>
        </w:rPr>
        <w:t xml:space="preserve"> cada metro</w:t>
      </w:r>
    </w:p>
    <w:p w14:paraId="2A5DC730" w14:textId="77777777" w:rsidR="003E2F48" w:rsidRDefault="003E2F48" w:rsidP="007B6F62">
      <w:pPr>
        <w:spacing w:before="120" w:after="120" w:line="360" w:lineRule="auto"/>
        <w:jc w:val="both"/>
        <w:rPr>
          <w:rFonts w:ascii="Arial" w:hAnsi="Arial"/>
        </w:rPr>
      </w:pPr>
      <w:r w:rsidRPr="00D921B6">
        <w:rPr>
          <w:rFonts w:ascii="Arial" w:hAnsi="Arial"/>
        </w:rPr>
        <w:t xml:space="preserve">La estructura de la barandilla tendrá una resistencia y una </w:t>
      </w:r>
      <w:r w:rsidR="00217216" w:rsidRPr="00D921B6">
        <w:rPr>
          <w:rFonts w:ascii="Arial" w:hAnsi="Arial"/>
        </w:rPr>
        <w:t>rigidez</w:t>
      </w:r>
      <w:r w:rsidRPr="00D921B6">
        <w:rPr>
          <w:rFonts w:ascii="Arial" w:hAnsi="Arial"/>
        </w:rPr>
        <w:t xml:space="preserve"> sufi</w:t>
      </w:r>
      <w:r w:rsidR="00217216">
        <w:rPr>
          <w:rFonts w:ascii="Arial" w:hAnsi="Arial"/>
        </w:rPr>
        <w:t>ci</w:t>
      </w:r>
      <w:r w:rsidRPr="00D921B6">
        <w:rPr>
          <w:rFonts w:ascii="Arial" w:hAnsi="Arial"/>
        </w:rPr>
        <w:t>ente para resistir una fuerza horizontal uniforme</w:t>
      </w:r>
      <w:r w:rsidR="00217216">
        <w:rPr>
          <w:rFonts w:ascii="Arial" w:hAnsi="Arial"/>
        </w:rPr>
        <w:t>me</w:t>
      </w:r>
      <w:r w:rsidRPr="00D921B6">
        <w:rPr>
          <w:rFonts w:ascii="Arial" w:hAnsi="Arial"/>
        </w:rPr>
        <w:t xml:space="preserve">nte distribuida de 1,6 </w:t>
      </w:r>
      <w:proofErr w:type="spellStart"/>
      <w:r w:rsidRPr="00D921B6">
        <w:rPr>
          <w:rFonts w:ascii="Arial" w:hAnsi="Arial"/>
        </w:rPr>
        <w:t>Kn</w:t>
      </w:r>
      <w:proofErr w:type="spellEnd"/>
      <w:r w:rsidRPr="00D921B6">
        <w:rPr>
          <w:rFonts w:ascii="Arial" w:hAnsi="Arial"/>
        </w:rPr>
        <w:t>/m</w:t>
      </w:r>
    </w:p>
    <w:p w14:paraId="6AAF57C6" w14:textId="77777777" w:rsidR="007B6F62" w:rsidRDefault="007B6F62" w:rsidP="000313DD">
      <w:pPr>
        <w:pStyle w:val="TITU2"/>
        <w:rPr>
          <w:lang w:val="es-ES_tradnl"/>
        </w:rPr>
      </w:pPr>
      <w:bookmarkStart w:id="815" w:name="_Toc404462"/>
      <w:bookmarkStart w:id="816" w:name="_Toc494739044"/>
      <w:r>
        <w:rPr>
          <w:lang w:val="es-ES_tradnl"/>
        </w:rPr>
        <w:t>646</w:t>
      </w:r>
      <w:r w:rsidR="00E83996" w:rsidRPr="00977BE2">
        <w:rPr>
          <w:lang w:val="es-ES_tradnl"/>
        </w:rPr>
        <w:t>.</w:t>
      </w:r>
      <w:r>
        <w:rPr>
          <w:lang w:val="es-ES_tradnl"/>
        </w:rPr>
        <w:t>4</w:t>
      </w:r>
      <w:r w:rsidR="00E83996" w:rsidRPr="00977BE2">
        <w:rPr>
          <w:lang w:val="es-ES_tradnl"/>
        </w:rPr>
        <w:t>.</w:t>
      </w:r>
      <w:r>
        <w:rPr>
          <w:lang w:val="es-ES_tradnl"/>
        </w:rPr>
        <w:t xml:space="preserve"> </w:t>
      </w:r>
      <w:r w:rsidR="00103474">
        <w:rPr>
          <w:lang w:val="es-ES_tradnl"/>
        </w:rPr>
        <w:t xml:space="preserve"> </w:t>
      </w:r>
      <w:r>
        <w:rPr>
          <w:lang w:val="es-ES_tradnl"/>
        </w:rPr>
        <w:t>Recepción</w:t>
      </w:r>
      <w:bookmarkEnd w:id="815"/>
      <w:r>
        <w:rPr>
          <w:lang w:val="es-ES_tradnl"/>
        </w:rPr>
        <w:t xml:space="preserve"> </w:t>
      </w:r>
      <w:r w:rsidR="00E83996" w:rsidRPr="00977BE2">
        <w:rPr>
          <w:lang w:val="es-ES_tradnl"/>
        </w:rPr>
        <w:tab/>
      </w:r>
    </w:p>
    <w:p w14:paraId="63C730E0" w14:textId="77777777" w:rsidR="006D1BBF" w:rsidRDefault="006D1BBF" w:rsidP="006D1BBF">
      <w:pPr>
        <w:pStyle w:val="NORMAL12"/>
      </w:pPr>
      <w:r>
        <w:t xml:space="preserve">Se comprobará que la barandilla instalada es la aprobada por el </w:t>
      </w:r>
      <w:proofErr w:type="gramStart"/>
      <w:r>
        <w:t>Director</w:t>
      </w:r>
      <w:proofErr w:type="gramEnd"/>
      <w:r>
        <w:t xml:space="preserve"> de Obra.</w:t>
      </w:r>
    </w:p>
    <w:p w14:paraId="6BAAFB6E" w14:textId="77777777" w:rsidR="006D1BBF" w:rsidRPr="006D1BBF" w:rsidRDefault="006D1BBF" w:rsidP="006D1BBF">
      <w:pPr>
        <w:pStyle w:val="NORMAL12"/>
      </w:pPr>
      <w:r>
        <w:t xml:space="preserve">Se comprueba que está completamente instalada, aplomada y los anclajes son los indicados </w:t>
      </w:r>
      <w:r w:rsidR="00402B5C">
        <w:t xml:space="preserve">y aprobados por el </w:t>
      </w:r>
      <w:proofErr w:type="gramStart"/>
      <w:r w:rsidR="00402B5C">
        <w:t>Director</w:t>
      </w:r>
      <w:proofErr w:type="gramEnd"/>
      <w:r w:rsidR="00402B5C">
        <w:t xml:space="preserve"> de Obra</w:t>
      </w:r>
    </w:p>
    <w:p w14:paraId="197CA70B" w14:textId="77777777" w:rsidR="00E83996" w:rsidRPr="00977BE2" w:rsidRDefault="007B6F62" w:rsidP="000313DD">
      <w:pPr>
        <w:pStyle w:val="TITU2"/>
        <w:rPr>
          <w:lang w:val="es-ES_tradnl"/>
        </w:rPr>
      </w:pPr>
      <w:bookmarkStart w:id="817" w:name="_Toc404463"/>
      <w:r>
        <w:rPr>
          <w:lang w:val="es-ES_tradnl"/>
        </w:rPr>
        <w:t xml:space="preserve">646.5. </w:t>
      </w:r>
      <w:r w:rsidR="00103474">
        <w:rPr>
          <w:lang w:val="es-ES_tradnl"/>
        </w:rPr>
        <w:t xml:space="preserve"> </w:t>
      </w:r>
      <w:r w:rsidR="00E83996" w:rsidRPr="00977BE2">
        <w:rPr>
          <w:lang w:val="es-ES_tradnl"/>
        </w:rPr>
        <w:t>Medición y abono</w:t>
      </w:r>
      <w:bookmarkEnd w:id="816"/>
      <w:bookmarkEnd w:id="817"/>
    </w:p>
    <w:p w14:paraId="5E21230B" w14:textId="77777777" w:rsidR="00E83996" w:rsidRPr="007B6F62" w:rsidRDefault="00E83996" w:rsidP="007B6F62">
      <w:pPr>
        <w:spacing w:before="120" w:after="120" w:line="360" w:lineRule="auto"/>
        <w:jc w:val="both"/>
        <w:rPr>
          <w:rFonts w:ascii="Arial" w:hAnsi="Arial"/>
        </w:rPr>
      </w:pPr>
      <w:r w:rsidRPr="007B6F62">
        <w:rPr>
          <w:rFonts w:ascii="Arial" w:hAnsi="Arial"/>
        </w:rPr>
        <w:t>La medición y el abono de la unidad montaje de barandilla se realizarán conforme a las siguientes prescripciones:</w:t>
      </w:r>
    </w:p>
    <w:tbl>
      <w:tblPr>
        <w:tblpPr w:leftFromText="141" w:rightFromText="141" w:vertAnchor="text" w:horzAnchor="margin" w:tblpXSpec="right" w:tblpY="99"/>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8"/>
        <w:gridCol w:w="6073"/>
      </w:tblGrid>
      <w:tr w:rsidR="00E83996" w:rsidRPr="00BC28C4" w14:paraId="15ABACB2" w14:textId="77777777" w:rsidTr="00EC60DF">
        <w:tc>
          <w:tcPr>
            <w:tcW w:w="0" w:type="auto"/>
            <w:vAlign w:val="center"/>
          </w:tcPr>
          <w:p w14:paraId="384A32DD" w14:textId="77777777" w:rsidR="00E83996" w:rsidRPr="00BC28C4" w:rsidRDefault="00E83996" w:rsidP="00A93D38">
            <w:pPr>
              <w:widowControl w:val="0"/>
              <w:spacing w:before="120" w:after="120"/>
              <w:jc w:val="center"/>
              <w:rPr>
                <w:rFonts w:ascii="Arial" w:hAnsi="Arial" w:cs="Arial"/>
                <w:b/>
                <w:bCs/>
                <w:sz w:val="20"/>
                <w:szCs w:val="22"/>
              </w:rPr>
            </w:pPr>
            <w:r w:rsidRPr="00BC28C4">
              <w:rPr>
                <w:rFonts w:ascii="Arial" w:hAnsi="Arial" w:cs="Arial"/>
                <w:b/>
                <w:bCs/>
                <w:sz w:val="20"/>
                <w:szCs w:val="22"/>
              </w:rPr>
              <w:t>Unidad de medida</w:t>
            </w:r>
          </w:p>
        </w:tc>
        <w:tc>
          <w:tcPr>
            <w:tcW w:w="6073" w:type="dxa"/>
            <w:vAlign w:val="center"/>
          </w:tcPr>
          <w:p w14:paraId="118E2845" w14:textId="77777777" w:rsidR="00E83996" w:rsidRPr="00BC28C4" w:rsidRDefault="00E83996" w:rsidP="00666B72">
            <w:pPr>
              <w:widowControl w:val="0"/>
              <w:spacing w:before="120" w:after="120"/>
              <w:jc w:val="both"/>
              <w:rPr>
                <w:rFonts w:ascii="Arial" w:hAnsi="Arial" w:cs="Arial"/>
                <w:sz w:val="20"/>
                <w:szCs w:val="22"/>
              </w:rPr>
            </w:pPr>
            <w:r w:rsidRPr="00BC28C4">
              <w:rPr>
                <w:rFonts w:ascii="Arial" w:hAnsi="Arial" w:cs="Arial"/>
                <w:sz w:val="20"/>
                <w:szCs w:val="22"/>
              </w:rPr>
              <w:t>Metro (m).</w:t>
            </w:r>
          </w:p>
        </w:tc>
      </w:tr>
      <w:tr w:rsidR="00E83996" w:rsidRPr="00BC28C4" w14:paraId="189E073C" w14:textId="77777777" w:rsidTr="00EC60DF">
        <w:tc>
          <w:tcPr>
            <w:tcW w:w="0" w:type="auto"/>
            <w:vAlign w:val="center"/>
          </w:tcPr>
          <w:p w14:paraId="760CE308" w14:textId="77777777" w:rsidR="00E83996" w:rsidRPr="00BC28C4" w:rsidRDefault="00E83996" w:rsidP="00A93D38">
            <w:pPr>
              <w:widowControl w:val="0"/>
              <w:spacing w:before="120" w:after="120"/>
              <w:jc w:val="center"/>
              <w:rPr>
                <w:rFonts w:ascii="Arial" w:hAnsi="Arial" w:cs="Arial"/>
                <w:b/>
                <w:bCs/>
                <w:sz w:val="20"/>
                <w:szCs w:val="22"/>
              </w:rPr>
            </w:pPr>
            <w:r w:rsidRPr="00BC28C4">
              <w:rPr>
                <w:rFonts w:ascii="Arial" w:hAnsi="Arial" w:cs="Arial"/>
                <w:b/>
                <w:bCs/>
                <w:sz w:val="20"/>
                <w:szCs w:val="22"/>
              </w:rPr>
              <w:t>Grado de precisión</w:t>
            </w:r>
          </w:p>
        </w:tc>
        <w:tc>
          <w:tcPr>
            <w:tcW w:w="6073" w:type="dxa"/>
            <w:vAlign w:val="center"/>
          </w:tcPr>
          <w:p w14:paraId="676E96DA" w14:textId="77777777" w:rsidR="00E83996" w:rsidRPr="00BC28C4" w:rsidRDefault="00E83996" w:rsidP="00666B72">
            <w:pPr>
              <w:widowControl w:val="0"/>
              <w:spacing w:before="120" w:after="120"/>
              <w:jc w:val="both"/>
              <w:rPr>
                <w:rFonts w:ascii="Arial" w:hAnsi="Arial" w:cs="Arial"/>
                <w:sz w:val="20"/>
                <w:szCs w:val="22"/>
              </w:rPr>
            </w:pPr>
            <w:r w:rsidRPr="00BC28C4">
              <w:rPr>
                <w:rFonts w:ascii="Arial" w:hAnsi="Arial" w:cs="Arial"/>
                <w:sz w:val="20"/>
                <w:szCs w:val="22"/>
              </w:rPr>
              <w:t>Dos decimales.</w:t>
            </w:r>
          </w:p>
        </w:tc>
      </w:tr>
      <w:tr w:rsidR="00E83996" w:rsidRPr="00BC28C4" w14:paraId="68BEDE21" w14:textId="77777777" w:rsidTr="00EC60DF">
        <w:tc>
          <w:tcPr>
            <w:tcW w:w="0" w:type="auto"/>
            <w:vAlign w:val="center"/>
          </w:tcPr>
          <w:p w14:paraId="01883AB4" w14:textId="77777777" w:rsidR="00E83996" w:rsidRPr="00BC28C4" w:rsidRDefault="00E83996" w:rsidP="00A93D38">
            <w:pPr>
              <w:widowControl w:val="0"/>
              <w:spacing w:before="120" w:after="120"/>
              <w:jc w:val="center"/>
              <w:rPr>
                <w:rFonts w:ascii="Arial" w:hAnsi="Arial" w:cs="Arial"/>
                <w:b/>
                <w:bCs/>
                <w:sz w:val="20"/>
                <w:szCs w:val="22"/>
              </w:rPr>
            </w:pPr>
            <w:r w:rsidRPr="00BC28C4">
              <w:rPr>
                <w:rFonts w:ascii="Arial" w:hAnsi="Arial" w:cs="Arial"/>
                <w:b/>
                <w:bCs/>
                <w:sz w:val="20"/>
                <w:szCs w:val="22"/>
              </w:rPr>
              <w:t>Forma de medición</w:t>
            </w:r>
          </w:p>
        </w:tc>
        <w:tc>
          <w:tcPr>
            <w:tcW w:w="6073" w:type="dxa"/>
            <w:vAlign w:val="center"/>
          </w:tcPr>
          <w:p w14:paraId="6240BDD1" w14:textId="77777777" w:rsidR="00E83996" w:rsidRPr="00BC28C4" w:rsidRDefault="00E83996" w:rsidP="00666B72">
            <w:pPr>
              <w:widowControl w:val="0"/>
              <w:spacing w:before="120" w:after="120"/>
              <w:jc w:val="both"/>
              <w:rPr>
                <w:rFonts w:ascii="Arial" w:hAnsi="Arial" w:cs="Arial"/>
                <w:sz w:val="20"/>
                <w:szCs w:val="22"/>
              </w:rPr>
            </w:pPr>
            <w:r w:rsidRPr="00BC28C4">
              <w:rPr>
                <w:rFonts w:ascii="Arial" w:hAnsi="Arial" w:cs="Arial"/>
                <w:sz w:val="20"/>
                <w:szCs w:val="22"/>
              </w:rPr>
              <w:t>Medición de longitud realmente colocada en obra.</w:t>
            </w:r>
          </w:p>
        </w:tc>
      </w:tr>
      <w:tr w:rsidR="00E83996" w:rsidRPr="00BC28C4" w14:paraId="0A04F620" w14:textId="77777777" w:rsidTr="00EC60DF">
        <w:tc>
          <w:tcPr>
            <w:tcW w:w="0" w:type="auto"/>
            <w:vAlign w:val="center"/>
          </w:tcPr>
          <w:p w14:paraId="7D5C902B" w14:textId="77777777" w:rsidR="00E83996" w:rsidRPr="00BC28C4" w:rsidRDefault="00E83996" w:rsidP="00A93D38">
            <w:pPr>
              <w:widowControl w:val="0"/>
              <w:spacing w:before="120" w:after="120"/>
              <w:jc w:val="center"/>
              <w:rPr>
                <w:rFonts w:ascii="Arial" w:hAnsi="Arial" w:cs="Arial"/>
                <w:b/>
                <w:bCs/>
                <w:sz w:val="20"/>
                <w:szCs w:val="22"/>
              </w:rPr>
            </w:pPr>
            <w:r w:rsidRPr="00BC28C4">
              <w:rPr>
                <w:rFonts w:ascii="Arial" w:hAnsi="Arial" w:cs="Arial"/>
                <w:b/>
                <w:bCs/>
                <w:sz w:val="20"/>
                <w:szCs w:val="22"/>
              </w:rPr>
              <w:t>Abono</w:t>
            </w:r>
          </w:p>
        </w:tc>
        <w:tc>
          <w:tcPr>
            <w:tcW w:w="6073" w:type="dxa"/>
            <w:vAlign w:val="center"/>
          </w:tcPr>
          <w:p w14:paraId="6313CF4F" w14:textId="77777777" w:rsidR="00E83996" w:rsidRPr="00BC28C4" w:rsidRDefault="00E83996" w:rsidP="00666B72">
            <w:pPr>
              <w:widowControl w:val="0"/>
              <w:spacing w:before="120" w:after="120"/>
              <w:jc w:val="both"/>
              <w:rPr>
                <w:rFonts w:ascii="Arial" w:hAnsi="Arial" w:cs="Arial"/>
                <w:sz w:val="20"/>
                <w:szCs w:val="22"/>
              </w:rPr>
            </w:pPr>
            <w:r w:rsidRPr="00BC28C4">
              <w:rPr>
                <w:rFonts w:ascii="Arial" w:hAnsi="Arial" w:cs="Arial"/>
                <w:sz w:val="20"/>
                <w:szCs w:val="22"/>
              </w:rPr>
              <w:t>Se efectuará cuando se realice la aceptación.</w:t>
            </w:r>
          </w:p>
        </w:tc>
      </w:tr>
      <w:tr w:rsidR="00E83996" w:rsidRPr="00BC28C4" w14:paraId="0EB52FA9" w14:textId="77777777" w:rsidTr="00EC60DF">
        <w:tc>
          <w:tcPr>
            <w:tcW w:w="0" w:type="auto"/>
            <w:vAlign w:val="center"/>
          </w:tcPr>
          <w:p w14:paraId="7B62D6BB" w14:textId="77777777" w:rsidR="00E83996" w:rsidRPr="00BC28C4" w:rsidRDefault="00E83996" w:rsidP="00A93D38">
            <w:pPr>
              <w:widowControl w:val="0"/>
              <w:spacing w:before="120" w:after="120"/>
              <w:jc w:val="center"/>
              <w:rPr>
                <w:rFonts w:ascii="Arial" w:hAnsi="Arial" w:cs="Arial"/>
                <w:b/>
                <w:bCs/>
                <w:sz w:val="20"/>
                <w:szCs w:val="22"/>
              </w:rPr>
            </w:pPr>
            <w:r w:rsidRPr="00BC28C4">
              <w:rPr>
                <w:rFonts w:ascii="Arial" w:hAnsi="Arial" w:cs="Arial"/>
                <w:b/>
                <w:bCs/>
                <w:sz w:val="20"/>
                <w:szCs w:val="22"/>
              </w:rPr>
              <w:t>Criterios complementarios</w:t>
            </w:r>
          </w:p>
        </w:tc>
        <w:tc>
          <w:tcPr>
            <w:tcW w:w="6073" w:type="dxa"/>
            <w:vAlign w:val="center"/>
          </w:tcPr>
          <w:p w14:paraId="19D4AB1D" w14:textId="77777777" w:rsidR="00E83996" w:rsidRPr="00BC28C4" w:rsidRDefault="00E83996" w:rsidP="00666B72">
            <w:pPr>
              <w:widowControl w:val="0"/>
              <w:autoSpaceDE w:val="0"/>
              <w:autoSpaceDN w:val="0"/>
              <w:adjustRightInd w:val="0"/>
              <w:spacing w:before="120" w:after="120"/>
              <w:jc w:val="both"/>
              <w:rPr>
                <w:rFonts w:ascii="Arial" w:hAnsi="Arial" w:cs="Arial"/>
                <w:sz w:val="20"/>
                <w:szCs w:val="22"/>
              </w:rPr>
            </w:pPr>
            <w:r w:rsidRPr="00BC28C4">
              <w:rPr>
                <w:rFonts w:ascii="Arial" w:hAnsi="Arial" w:cs="Arial"/>
                <w:sz w:val="20"/>
                <w:szCs w:val="22"/>
              </w:rPr>
              <w:t>El precio incluye materiales, transporte, y colocación además de todas las operaciones y medios auxiliares necesarios para la correcta ejecución.</w:t>
            </w:r>
          </w:p>
        </w:tc>
      </w:tr>
    </w:tbl>
    <w:p w14:paraId="57F21BBE" w14:textId="77777777" w:rsidR="00E83996" w:rsidRDefault="00E83996" w:rsidP="00E83996">
      <w:pPr>
        <w:pStyle w:val="TITU1"/>
        <w:rPr>
          <w:lang w:val="es-ES_tradnl"/>
        </w:rPr>
      </w:pPr>
      <w:bookmarkStart w:id="818" w:name="_Toc404464"/>
      <w:bookmarkStart w:id="819" w:name="_Toc404093692"/>
      <w:bookmarkStart w:id="820" w:name="_Toc407722972"/>
      <w:bookmarkStart w:id="821" w:name="_Toc409167299"/>
      <w:bookmarkStart w:id="822" w:name="_Toc524094407"/>
      <w:bookmarkStart w:id="823" w:name="_Toc528601293"/>
      <w:bookmarkStart w:id="824" w:name="_Toc398111492"/>
      <w:bookmarkStart w:id="825" w:name="_Toc398853330"/>
      <w:bookmarkStart w:id="826" w:name="_Toc400741617"/>
      <w:r w:rsidRPr="003234D0">
        <w:rPr>
          <w:lang w:val="es-ES_tradnl"/>
        </w:rPr>
        <w:lastRenderedPageBreak/>
        <w:t>Artículo 660.</w:t>
      </w:r>
      <w:r w:rsidR="003234D0">
        <w:rPr>
          <w:lang w:val="es-ES_tradnl"/>
        </w:rPr>
        <w:t xml:space="preserve"> </w:t>
      </w:r>
      <w:r w:rsidRPr="003234D0">
        <w:rPr>
          <w:lang w:val="es-ES_tradnl"/>
        </w:rPr>
        <w:t xml:space="preserve"> Pantalla acustica</w:t>
      </w:r>
      <w:bookmarkEnd w:id="818"/>
    </w:p>
    <w:p w14:paraId="7E1F2E72" w14:textId="77777777" w:rsidR="00E83996" w:rsidRPr="007B6F62" w:rsidRDefault="007B6F62" w:rsidP="000313DD">
      <w:pPr>
        <w:pStyle w:val="TITU2"/>
        <w:rPr>
          <w:lang w:val="es-ES_tradnl"/>
        </w:rPr>
      </w:pPr>
      <w:bookmarkStart w:id="827" w:name="_Toc398555866"/>
      <w:bookmarkStart w:id="828" w:name="_Toc492538271"/>
      <w:bookmarkStart w:id="829" w:name="_Toc518300156"/>
      <w:bookmarkStart w:id="830" w:name="_Toc404465"/>
      <w:r w:rsidRPr="007B6F62">
        <w:rPr>
          <w:lang w:val="es-ES_tradnl"/>
        </w:rPr>
        <w:t>660</w:t>
      </w:r>
      <w:r w:rsidR="00E83996" w:rsidRPr="007B6F62">
        <w:rPr>
          <w:lang w:val="es-ES_tradnl"/>
        </w:rPr>
        <w:t>.</w:t>
      </w:r>
      <w:r w:rsidRPr="007B6F62">
        <w:rPr>
          <w:lang w:val="es-ES_tradnl"/>
        </w:rPr>
        <w:t>1</w:t>
      </w:r>
      <w:r w:rsidR="00E83996" w:rsidRPr="007B6F62">
        <w:rPr>
          <w:lang w:val="es-ES_tradnl"/>
        </w:rPr>
        <w:t>.</w:t>
      </w:r>
      <w:r w:rsidR="00E83996" w:rsidRPr="007B6F62">
        <w:rPr>
          <w:lang w:val="es-ES_tradnl"/>
        </w:rPr>
        <w:tab/>
      </w:r>
      <w:r w:rsidR="003234D0">
        <w:rPr>
          <w:lang w:val="es-ES_tradnl"/>
        </w:rPr>
        <w:t xml:space="preserve"> </w:t>
      </w:r>
      <w:r w:rsidR="00E83996" w:rsidRPr="007B6F62">
        <w:rPr>
          <w:lang w:val="es-ES_tradnl"/>
        </w:rPr>
        <w:t>Aplicación</w:t>
      </w:r>
      <w:bookmarkEnd w:id="827"/>
      <w:bookmarkEnd w:id="828"/>
      <w:bookmarkEnd w:id="829"/>
      <w:bookmarkEnd w:id="830"/>
    </w:p>
    <w:p w14:paraId="0D45D73C" w14:textId="77777777" w:rsidR="007B6F62" w:rsidRPr="007B6F62" w:rsidRDefault="007B6F62" w:rsidP="007B6F62">
      <w:pPr>
        <w:pStyle w:val="NORMAL12"/>
        <w:rPr>
          <w:lang w:val="es-ES"/>
        </w:rPr>
      </w:pPr>
      <w:r w:rsidRPr="007B6F62">
        <w:rPr>
          <w:lang w:val="es-ES"/>
        </w:rPr>
        <w:t>Esta unidad hace referencia al suministro y colocación de la pantalla acústica fonoabsorbente.</w:t>
      </w:r>
    </w:p>
    <w:p w14:paraId="4B5ECA2D" w14:textId="77777777" w:rsidR="00E83996" w:rsidRPr="007B6F62" w:rsidRDefault="00E83996" w:rsidP="00E83996">
      <w:pPr>
        <w:pStyle w:val="NORMAL12"/>
        <w:rPr>
          <w:lang w:val="es-ES"/>
        </w:rPr>
      </w:pPr>
      <w:r w:rsidRPr="007B6F62">
        <w:rPr>
          <w:lang w:val="es-ES"/>
        </w:rPr>
        <w:t xml:space="preserve">Las prescripciones del presente artículo </w:t>
      </w:r>
      <w:proofErr w:type="gramStart"/>
      <w:r w:rsidRPr="007B6F62">
        <w:rPr>
          <w:lang w:val="es-ES"/>
        </w:rPr>
        <w:t>son de aplicación</w:t>
      </w:r>
      <w:proofErr w:type="gramEnd"/>
      <w:r w:rsidRPr="007B6F62">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154"/>
        <w:gridCol w:w="666"/>
        <w:gridCol w:w="7533"/>
      </w:tblGrid>
      <w:tr w:rsidR="00E83996" w:rsidRPr="00B51BA1" w14:paraId="4F11AF84" w14:textId="77777777" w:rsidTr="003234D0">
        <w:trPr>
          <w:trHeight w:val="300"/>
        </w:trPr>
        <w:tc>
          <w:tcPr>
            <w:tcW w:w="617" w:type="pct"/>
            <w:noWrap/>
            <w:hideMark/>
          </w:tcPr>
          <w:p w14:paraId="0E7EEEBA" w14:textId="77777777" w:rsidR="00E83996" w:rsidRPr="00D921B6" w:rsidRDefault="00E83996" w:rsidP="00EC60DF">
            <w:pPr>
              <w:rPr>
                <w:rFonts w:ascii="Calibri" w:hAnsi="Calibri" w:cs="Calibri"/>
                <w:color w:val="000000"/>
              </w:rPr>
            </w:pPr>
            <w:r w:rsidRPr="00D921B6">
              <w:rPr>
                <w:rFonts w:ascii="Calibri" w:hAnsi="Calibri" w:cs="Calibri"/>
                <w:color w:val="000000"/>
              </w:rPr>
              <w:t xml:space="preserve">801.0100          </w:t>
            </w:r>
          </w:p>
        </w:tc>
        <w:tc>
          <w:tcPr>
            <w:tcW w:w="356" w:type="pct"/>
            <w:noWrap/>
            <w:hideMark/>
          </w:tcPr>
          <w:p w14:paraId="369908E6" w14:textId="77777777" w:rsidR="00E83996" w:rsidRPr="00D921B6" w:rsidRDefault="00E83996" w:rsidP="00EC60DF">
            <w:pPr>
              <w:rPr>
                <w:rFonts w:ascii="Calibri" w:hAnsi="Calibri" w:cs="Calibri"/>
                <w:color w:val="000000"/>
              </w:rPr>
            </w:pPr>
            <w:r w:rsidRPr="00D921B6">
              <w:rPr>
                <w:rFonts w:ascii="Calibri" w:hAnsi="Calibri" w:cs="Calibri"/>
                <w:color w:val="000000"/>
              </w:rPr>
              <w:t>m</w:t>
            </w:r>
            <w:r w:rsidRPr="00D921B6">
              <w:rPr>
                <w:rFonts w:ascii="Calibri" w:hAnsi="Calibri" w:cs="Calibri"/>
                <w:color w:val="000000"/>
                <w:vertAlign w:val="superscript"/>
              </w:rPr>
              <w:t>2</w:t>
            </w:r>
          </w:p>
        </w:tc>
        <w:tc>
          <w:tcPr>
            <w:tcW w:w="4027" w:type="pct"/>
            <w:hideMark/>
          </w:tcPr>
          <w:p w14:paraId="27F7234B" w14:textId="77777777" w:rsidR="00E83996" w:rsidRPr="00D921B6" w:rsidRDefault="003234D0" w:rsidP="00666B72">
            <w:pPr>
              <w:jc w:val="both"/>
              <w:rPr>
                <w:rFonts w:ascii="Calibri" w:hAnsi="Calibri" w:cs="Calibri"/>
                <w:color w:val="000000"/>
              </w:rPr>
            </w:pPr>
            <w:r w:rsidRPr="00D921B6">
              <w:rPr>
                <w:rFonts w:ascii="Calibri" w:hAnsi="Calibri" w:cs="Calibri"/>
                <w:color w:val="000000"/>
              </w:rPr>
              <w:t>COLOCACIÓN DE PANEL METÁLICO ACÚSTICO FONOABSORBENTE, SIN INCLUIR PERFILES NI CIMENTACIÓN.</w:t>
            </w:r>
          </w:p>
        </w:tc>
      </w:tr>
    </w:tbl>
    <w:p w14:paraId="7487286D" w14:textId="77777777" w:rsidR="00E83996" w:rsidRPr="00F4369E" w:rsidRDefault="00E83996" w:rsidP="00E83996">
      <w:pPr>
        <w:tabs>
          <w:tab w:val="left" w:pos="993"/>
          <w:tab w:val="left" w:pos="1985"/>
          <w:tab w:val="left" w:pos="2268"/>
        </w:tabs>
        <w:spacing w:before="120" w:after="120" w:line="360" w:lineRule="auto"/>
        <w:ind w:firstLine="851"/>
        <w:jc w:val="both"/>
        <w:rPr>
          <w:rFonts w:ascii="Arial" w:hAnsi="Arial"/>
          <w:sz w:val="22"/>
          <w:szCs w:val="20"/>
        </w:rPr>
      </w:pPr>
    </w:p>
    <w:p w14:paraId="0026D6C3" w14:textId="77777777" w:rsidR="00E83996" w:rsidRPr="007B6F62" w:rsidRDefault="00E83996" w:rsidP="007B6F62">
      <w:pPr>
        <w:pStyle w:val="NORMAL12"/>
        <w:rPr>
          <w:lang w:val="es-ES"/>
        </w:rPr>
      </w:pPr>
      <w:bookmarkStart w:id="831" w:name="_Toc398555867"/>
      <w:bookmarkStart w:id="832" w:name="_Toc492538272"/>
      <w:r w:rsidRPr="007B6F62">
        <w:rPr>
          <w:lang w:val="es-ES"/>
        </w:rPr>
        <w:t>La ejecución de esta unidad de obra incluye las siguientes operaciones:</w:t>
      </w:r>
    </w:p>
    <w:p w14:paraId="6D099F60" w14:textId="77777777" w:rsidR="00E83996" w:rsidRPr="007B6F62" w:rsidRDefault="00E83996" w:rsidP="00661A5F">
      <w:pPr>
        <w:pStyle w:val="Prrafodelista"/>
        <w:numPr>
          <w:ilvl w:val="0"/>
          <w:numId w:val="217"/>
        </w:numPr>
        <w:spacing w:before="120" w:after="120" w:line="360" w:lineRule="auto"/>
        <w:jc w:val="both"/>
        <w:rPr>
          <w:rFonts w:ascii="Arial" w:hAnsi="Arial"/>
          <w:sz w:val="24"/>
          <w:szCs w:val="24"/>
        </w:rPr>
      </w:pPr>
      <w:r w:rsidRPr="007B6F62">
        <w:rPr>
          <w:rFonts w:ascii="Arial" w:hAnsi="Arial"/>
          <w:sz w:val="24"/>
          <w:szCs w:val="24"/>
        </w:rPr>
        <w:t>Replanteo y alineación de los elementos que conforman la pantalla acústica.</w:t>
      </w:r>
    </w:p>
    <w:p w14:paraId="253409FC" w14:textId="77777777" w:rsidR="00E83996" w:rsidRPr="007B6F62" w:rsidRDefault="00E83996" w:rsidP="00661A5F">
      <w:pPr>
        <w:pStyle w:val="Prrafodelista"/>
        <w:numPr>
          <w:ilvl w:val="0"/>
          <w:numId w:val="217"/>
        </w:numPr>
        <w:spacing w:before="120" w:after="120" w:line="360" w:lineRule="auto"/>
        <w:jc w:val="both"/>
        <w:rPr>
          <w:rFonts w:ascii="Arial" w:hAnsi="Arial"/>
          <w:sz w:val="24"/>
          <w:szCs w:val="24"/>
        </w:rPr>
      </w:pPr>
      <w:r w:rsidRPr="007B6F62">
        <w:rPr>
          <w:rFonts w:ascii="Arial" w:hAnsi="Arial"/>
          <w:sz w:val="24"/>
          <w:szCs w:val="24"/>
        </w:rPr>
        <w:t>Suministro de los materiales.</w:t>
      </w:r>
    </w:p>
    <w:p w14:paraId="586FBDD2" w14:textId="77777777" w:rsidR="00E83996" w:rsidRDefault="00E83996" w:rsidP="00661A5F">
      <w:pPr>
        <w:pStyle w:val="Prrafodelista"/>
        <w:numPr>
          <w:ilvl w:val="0"/>
          <w:numId w:val="217"/>
        </w:numPr>
        <w:spacing w:before="120" w:after="120" w:line="360" w:lineRule="auto"/>
        <w:jc w:val="both"/>
        <w:rPr>
          <w:rFonts w:ascii="Arial" w:hAnsi="Arial"/>
          <w:sz w:val="24"/>
          <w:szCs w:val="24"/>
        </w:rPr>
      </w:pPr>
      <w:r w:rsidRPr="007B6F62">
        <w:rPr>
          <w:rFonts w:ascii="Arial" w:hAnsi="Arial"/>
          <w:sz w:val="24"/>
          <w:szCs w:val="24"/>
        </w:rPr>
        <w:t>Colocación según planos de los elementos que integran la pantalla acústica.</w:t>
      </w:r>
    </w:p>
    <w:p w14:paraId="51D200BF" w14:textId="77777777" w:rsidR="003234D0" w:rsidRDefault="003234D0" w:rsidP="00661A5F">
      <w:pPr>
        <w:pStyle w:val="Prrafodelista"/>
        <w:numPr>
          <w:ilvl w:val="0"/>
          <w:numId w:val="217"/>
        </w:numPr>
        <w:spacing w:before="120" w:after="120" w:line="360" w:lineRule="auto"/>
        <w:jc w:val="both"/>
        <w:rPr>
          <w:rFonts w:ascii="Arial" w:hAnsi="Arial"/>
          <w:sz w:val="24"/>
          <w:szCs w:val="24"/>
        </w:rPr>
      </w:pPr>
      <w:r w:rsidRPr="003234D0">
        <w:rPr>
          <w:rFonts w:ascii="Arial" w:hAnsi="Arial"/>
          <w:sz w:val="24"/>
          <w:szCs w:val="24"/>
        </w:rPr>
        <w:t>Los perfiles y cimentaci</w:t>
      </w:r>
      <w:r>
        <w:rPr>
          <w:rFonts w:ascii="Arial" w:hAnsi="Arial"/>
          <w:sz w:val="24"/>
          <w:szCs w:val="24"/>
        </w:rPr>
        <w:t xml:space="preserve">ón se realizarán según las indicaciones establecidas en el artículo 610. Hormigones y 620. Chapas y perfiles de acero laminado del presente pliego. </w:t>
      </w:r>
    </w:p>
    <w:p w14:paraId="007388F7" w14:textId="77777777" w:rsidR="00E83996" w:rsidRPr="007B6F62" w:rsidRDefault="007B6F62" w:rsidP="000313DD">
      <w:pPr>
        <w:pStyle w:val="TITU2"/>
        <w:rPr>
          <w:lang w:val="es-ES_tradnl"/>
        </w:rPr>
      </w:pPr>
      <w:bookmarkStart w:id="833" w:name="_Toc518300158"/>
      <w:bookmarkStart w:id="834" w:name="_Toc404466"/>
      <w:r>
        <w:rPr>
          <w:lang w:val="es-ES_tradnl"/>
        </w:rPr>
        <w:t>660</w:t>
      </w:r>
      <w:r w:rsidR="00E83996" w:rsidRPr="007B6F62">
        <w:rPr>
          <w:lang w:val="es-ES_tradnl"/>
        </w:rPr>
        <w:t>.</w:t>
      </w:r>
      <w:r>
        <w:rPr>
          <w:lang w:val="es-ES_tradnl"/>
        </w:rPr>
        <w:t>2</w:t>
      </w:r>
      <w:r w:rsidR="00E83996" w:rsidRPr="007B6F62">
        <w:rPr>
          <w:lang w:val="es-ES_tradnl"/>
        </w:rPr>
        <w:t>.</w:t>
      </w:r>
      <w:r>
        <w:rPr>
          <w:lang w:val="es-ES_tradnl"/>
        </w:rPr>
        <w:t xml:space="preserve"> </w:t>
      </w:r>
      <w:r w:rsidR="00E83996" w:rsidRPr="007B6F62">
        <w:rPr>
          <w:lang w:val="es-ES_tradnl"/>
        </w:rPr>
        <w:tab/>
      </w:r>
      <w:bookmarkEnd w:id="831"/>
      <w:bookmarkEnd w:id="832"/>
      <w:r w:rsidR="00E83996" w:rsidRPr="007B6F62">
        <w:rPr>
          <w:lang w:val="es-ES_tradnl"/>
        </w:rPr>
        <w:t>Materiales</w:t>
      </w:r>
      <w:bookmarkEnd w:id="833"/>
      <w:bookmarkEnd w:id="834"/>
    </w:p>
    <w:p w14:paraId="6B5A1C95" w14:textId="77777777" w:rsidR="00E83996" w:rsidRPr="007B6F62" w:rsidRDefault="00E83996" w:rsidP="007B6F62">
      <w:pPr>
        <w:pStyle w:val="NORMAL12"/>
        <w:rPr>
          <w:lang w:val="es-ES"/>
        </w:rPr>
      </w:pPr>
      <w:r w:rsidRPr="007B6F62">
        <w:rPr>
          <w:lang w:val="es-ES"/>
        </w:rPr>
        <w:t xml:space="preserve">La pantalla acústica será metálica fonoabsorbente. Estará constituida por una carcasa exterior formada a base de chapa llena galvanizada </w:t>
      </w:r>
      <w:proofErr w:type="spellStart"/>
      <w:r w:rsidRPr="007B6F62">
        <w:rPr>
          <w:lang w:val="es-ES"/>
        </w:rPr>
        <w:t>grecada</w:t>
      </w:r>
      <w:proofErr w:type="spellEnd"/>
      <w:r w:rsidRPr="007B6F62">
        <w:rPr>
          <w:lang w:val="es-ES"/>
        </w:rPr>
        <w:t xml:space="preserve">. </w:t>
      </w:r>
    </w:p>
    <w:p w14:paraId="7B076A73" w14:textId="77777777" w:rsidR="00E83996" w:rsidRPr="007B6F62" w:rsidRDefault="00E83996" w:rsidP="007B6F62">
      <w:pPr>
        <w:pStyle w:val="NORMAL12"/>
        <w:rPr>
          <w:lang w:val="es-ES"/>
        </w:rPr>
      </w:pPr>
      <w:r w:rsidRPr="007B6F62">
        <w:rPr>
          <w:lang w:val="es-ES"/>
        </w:rPr>
        <w:t>La cara expuesta al ruido será la chapa perforada, sin tener contacto físico entre ambas chapas, de forma que no exista puente acústico y el panel permita disponer de las mejores características de absorción y aislamiento acústico.</w:t>
      </w:r>
    </w:p>
    <w:p w14:paraId="668BBFED" w14:textId="77777777" w:rsidR="00E83996" w:rsidRPr="007B6F62" w:rsidRDefault="00E83996" w:rsidP="007B6F62">
      <w:pPr>
        <w:pStyle w:val="NORMAL12"/>
        <w:rPr>
          <w:lang w:val="es-ES"/>
        </w:rPr>
      </w:pPr>
      <w:r w:rsidRPr="007B6F62">
        <w:rPr>
          <w:lang w:val="es-ES"/>
        </w:rPr>
        <w:t>El material base de los paneles metálicos de las pantallas acústicas deberá ser aluminio o aleación de éste, con el fin de evitar problemas de corrosión a lo largo de su vida útil de exposición a la intemperie.</w:t>
      </w:r>
    </w:p>
    <w:p w14:paraId="1A4ED492" w14:textId="77777777" w:rsidR="00E83996" w:rsidRPr="007B6F62" w:rsidRDefault="00E83996" w:rsidP="007B6F62">
      <w:pPr>
        <w:pStyle w:val="NORMAL12"/>
        <w:rPr>
          <w:lang w:val="es-ES"/>
        </w:rPr>
      </w:pPr>
      <w:r w:rsidRPr="007B6F62">
        <w:rPr>
          <w:lang w:val="es-ES"/>
        </w:rPr>
        <w:t xml:space="preserve">Entre ambas chapas se instalará un panel de lana mineral de alta densidad, disponiendo de protección en velo de vidrio. El relleno de los paneles deberá ser </w:t>
      </w:r>
      <w:r w:rsidRPr="007B6F62">
        <w:rPr>
          <w:lang w:val="es-ES"/>
        </w:rPr>
        <w:t>estable frente a la intemperie, la luz y las sales fundentes, debiendo llevar un tratamiento hidrófugo.</w:t>
      </w:r>
    </w:p>
    <w:p w14:paraId="5D3DA6F9" w14:textId="77777777" w:rsidR="00E83996" w:rsidRPr="007B6F62" w:rsidRDefault="00E83996" w:rsidP="007B6F62">
      <w:pPr>
        <w:pStyle w:val="NORMAL12"/>
        <w:rPr>
          <w:lang w:val="es-ES"/>
        </w:rPr>
      </w:pPr>
      <w:r w:rsidRPr="007B6F62">
        <w:rPr>
          <w:lang w:val="es-ES"/>
        </w:rPr>
        <w:t>Los paneles se situarán entre las alas de perfiles metálicos (tipo HEB), que serán los elementos estructurales resistentes que deberán soportar los esfuerzos del viento y del peso propio. El tipo de perfil a colocar en cada caso estará en función de la altura de la pantalla acústica y cumplirá lo especificado al efecto en los Planos del proyecto. La parte superior de estos perfiles se terminará con una pieza especial de protección que impida la sustracción de los paneles.</w:t>
      </w:r>
    </w:p>
    <w:p w14:paraId="213B98AB" w14:textId="77777777" w:rsidR="00E83996" w:rsidRPr="007B6F62" w:rsidRDefault="00E83996" w:rsidP="007B6F62">
      <w:pPr>
        <w:pStyle w:val="NORMAL12"/>
        <w:rPr>
          <w:lang w:val="es-ES"/>
        </w:rPr>
      </w:pPr>
      <w:r w:rsidRPr="007B6F62">
        <w:rPr>
          <w:lang w:val="es-ES"/>
        </w:rPr>
        <w:t>Los perfiles metálicos de soporte serán de acero del tipo S 275 JR incluido en la Norma UNE</w:t>
      </w:r>
      <w:r w:rsidR="005609C2">
        <w:rPr>
          <w:lang w:val="es-ES"/>
        </w:rPr>
        <w:t>-</w:t>
      </w:r>
      <w:r w:rsidRPr="007B6F62">
        <w:rPr>
          <w:lang w:val="es-ES"/>
        </w:rPr>
        <w:t>EN 10025-1:2006. Estarán necesariamente galvanizados, cumpliendo las Norma UNE-EN ISO 1461:2010 relativas a galvanización de elementos por inmersión en caliente.  El tipo de chapa galvanizada a utilizar será de 350 g/m</w:t>
      </w:r>
      <w:r w:rsidRPr="00E34DE7">
        <w:rPr>
          <w:vertAlign w:val="superscript"/>
          <w:lang w:val="es-ES"/>
        </w:rPr>
        <w:t>2</w:t>
      </w:r>
      <w:r w:rsidRPr="007B6F62">
        <w:rPr>
          <w:lang w:val="es-ES"/>
        </w:rPr>
        <w:t xml:space="preserve"> mínimo de zinc por cada una de las caras.</w:t>
      </w:r>
    </w:p>
    <w:p w14:paraId="065C956B" w14:textId="77777777" w:rsidR="00E83996" w:rsidRPr="007B6F62" w:rsidRDefault="00E83996" w:rsidP="007B6F62">
      <w:pPr>
        <w:pStyle w:val="NORMAL12"/>
        <w:rPr>
          <w:lang w:val="es-ES"/>
        </w:rPr>
      </w:pPr>
      <w:r w:rsidRPr="007B6F62">
        <w:rPr>
          <w:lang w:val="es-ES"/>
        </w:rPr>
        <w:t xml:space="preserve">La distancia entre ejes de perfiles será de 2 m, con una tolerancia de ± </w:t>
      </w:r>
      <w:smartTag w:uri="urn:schemas-microsoft-com:office:smarttags" w:element="metricconverter">
        <w:smartTagPr>
          <w:attr w:name="ProductID" w:val="4 mm"/>
        </w:smartTagPr>
        <w:r w:rsidRPr="007B6F62">
          <w:rPr>
            <w:lang w:val="es-ES"/>
          </w:rPr>
          <w:t xml:space="preserve">4 </w:t>
        </w:r>
        <w:proofErr w:type="spellStart"/>
        <w:r w:rsidRPr="007B6F62">
          <w:rPr>
            <w:lang w:val="es-ES"/>
          </w:rPr>
          <w:t>mm.</w:t>
        </w:r>
      </w:smartTag>
      <w:proofErr w:type="spellEnd"/>
    </w:p>
    <w:p w14:paraId="28DCCD50" w14:textId="77777777" w:rsidR="00E83996" w:rsidRPr="007B6F62" w:rsidRDefault="00E83996" w:rsidP="007B6F62">
      <w:pPr>
        <w:pStyle w:val="NORMAL12"/>
        <w:rPr>
          <w:lang w:val="es-ES"/>
        </w:rPr>
      </w:pPr>
      <w:r w:rsidRPr="007B6F62">
        <w:rPr>
          <w:lang w:val="es-ES"/>
        </w:rPr>
        <w:t xml:space="preserve">Tolerancias dimensionales de los paneles: con el objeto de garantizar una inmovilidad básica de cada panel dentro de cada perfil metálico se admitirán unas tolerancias máximas de ± </w:t>
      </w:r>
      <w:smartTag w:uri="urn:schemas-microsoft-com:office:smarttags" w:element="metricconverter">
        <w:smartTagPr>
          <w:attr w:name="ProductID" w:val="1 mm"/>
        </w:smartTagPr>
        <w:r w:rsidRPr="007B6F62">
          <w:rPr>
            <w:lang w:val="es-ES"/>
          </w:rPr>
          <w:t>1 mm</w:t>
        </w:r>
      </w:smartTag>
      <w:r w:rsidRPr="007B6F62">
        <w:rPr>
          <w:lang w:val="es-ES"/>
        </w:rPr>
        <w:t xml:space="preserve"> para el ancho máximo y de ± </w:t>
      </w:r>
      <w:smartTag w:uri="urn:schemas-microsoft-com:office:smarttags" w:element="metricconverter">
        <w:smartTagPr>
          <w:attr w:name="ProductID" w:val="2 mm"/>
        </w:smartTagPr>
        <w:r w:rsidRPr="007B6F62">
          <w:rPr>
            <w:lang w:val="es-ES"/>
          </w:rPr>
          <w:t>2 mm</w:t>
        </w:r>
      </w:smartTag>
      <w:r w:rsidRPr="007B6F62">
        <w:rPr>
          <w:lang w:val="es-ES"/>
        </w:rPr>
        <w:t xml:space="preserve"> para el alto máximo de cada módulo.</w:t>
      </w:r>
    </w:p>
    <w:p w14:paraId="39BD4CAE" w14:textId="77777777" w:rsidR="00E83996" w:rsidRPr="007B6F62" w:rsidRDefault="00E83996" w:rsidP="007B6F62">
      <w:pPr>
        <w:pStyle w:val="NORMAL12"/>
        <w:rPr>
          <w:lang w:val="es-ES"/>
        </w:rPr>
      </w:pPr>
      <w:r w:rsidRPr="007B6F62">
        <w:rPr>
          <w:lang w:val="es-ES"/>
        </w:rPr>
        <w:t>El conjunto formado por las piezas descritas se rigidizará mediante el remachado de las chapas laterales con los perfiles superior e inferior.</w:t>
      </w:r>
    </w:p>
    <w:p w14:paraId="2E338827" w14:textId="77777777" w:rsidR="00E83996" w:rsidRPr="007B6F62" w:rsidRDefault="00E83996" w:rsidP="007B6F62">
      <w:pPr>
        <w:pStyle w:val="NORMAL12"/>
        <w:rPr>
          <w:lang w:val="es-ES"/>
        </w:rPr>
      </w:pPr>
      <w:r w:rsidRPr="007B6F62">
        <w:rPr>
          <w:lang w:val="es-ES"/>
        </w:rPr>
        <w:t>Los paneles deberán trabajar en su situación final de forma que no existan empotramientos de ningún tipo.</w:t>
      </w:r>
    </w:p>
    <w:p w14:paraId="09FB0AF3" w14:textId="77777777" w:rsidR="00E83996" w:rsidRPr="007B6F62" w:rsidRDefault="00E83996" w:rsidP="007B6F62">
      <w:pPr>
        <w:pStyle w:val="NORMAL12"/>
        <w:rPr>
          <w:lang w:val="es-ES"/>
        </w:rPr>
      </w:pPr>
      <w:r w:rsidRPr="007B6F62">
        <w:rPr>
          <w:lang w:val="es-ES"/>
        </w:rPr>
        <w:t>Se dispondrán juntas de sellado entre paneles consecutivos, y entre los paneles y los perfiles que les sirven de soporte.</w:t>
      </w:r>
    </w:p>
    <w:p w14:paraId="7EDFCA64" w14:textId="77777777" w:rsidR="00E83996" w:rsidRPr="007B6F62" w:rsidRDefault="00E83996" w:rsidP="007B6F62">
      <w:pPr>
        <w:pStyle w:val="NORMAL12"/>
        <w:rPr>
          <w:lang w:val="es-ES"/>
        </w:rPr>
      </w:pPr>
      <w:r w:rsidRPr="007B6F62">
        <w:rPr>
          <w:lang w:val="es-ES"/>
        </w:rPr>
        <w:t>La Dirección de Obra podrá aceptar o exigir otro tipo de disposición que, a su juicio, ofrezca unas mayores garantías de funcionalidad.</w:t>
      </w:r>
    </w:p>
    <w:p w14:paraId="6A644E6B" w14:textId="77777777" w:rsidR="003234D0" w:rsidRDefault="003234D0" w:rsidP="007B6F62">
      <w:pPr>
        <w:pStyle w:val="NORMAL12"/>
        <w:rPr>
          <w:i/>
          <w:u w:val="single"/>
          <w:lang w:val="es-ES"/>
        </w:rPr>
      </w:pPr>
    </w:p>
    <w:p w14:paraId="252154E3" w14:textId="77777777" w:rsidR="003234D0" w:rsidRDefault="003234D0" w:rsidP="007B6F62">
      <w:pPr>
        <w:pStyle w:val="NORMAL12"/>
        <w:rPr>
          <w:i/>
          <w:u w:val="single"/>
          <w:lang w:val="es-ES"/>
        </w:rPr>
      </w:pPr>
    </w:p>
    <w:p w14:paraId="0AC23F2B" w14:textId="77777777" w:rsidR="003234D0" w:rsidRDefault="003234D0" w:rsidP="007B6F62">
      <w:pPr>
        <w:pStyle w:val="NORMAL12"/>
        <w:rPr>
          <w:i/>
          <w:u w:val="single"/>
          <w:lang w:val="es-ES"/>
        </w:rPr>
      </w:pPr>
    </w:p>
    <w:p w14:paraId="58FDF8A9" w14:textId="77777777" w:rsidR="00E83996" w:rsidRPr="007B6F62" w:rsidRDefault="00E83996" w:rsidP="007B6F62">
      <w:pPr>
        <w:pStyle w:val="NORMAL12"/>
        <w:rPr>
          <w:i/>
          <w:u w:val="single"/>
          <w:lang w:val="es-ES"/>
        </w:rPr>
      </w:pPr>
      <w:r w:rsidRPr="007B6F62">
        <w:rPr>
          <w:i/>
          <w:u w:val="single"/>
          <w:lang w:val="es-ES"/>
        </w:rPr>
        <w:lastRenderedPageBreak/>
        <w:t>Características acústicas</w:t>
      </w:r>
    </w:p>
    <w:p w14:paraId="22395366" w14:textId="77777777" w:rsidR="00E83996" w:rsidRPr="007B6F62" w:rsidRDefault="00E83996" w:rsidP="007B6F62">
      <w:pPr>
        <w:pStyle w:val="NORMAL12"/>
        <w:rPr>
          <w:lang w:val="es-ES"/>
        </w:rPr>
      </w:pPr>
      <w:r w:rsidRPr="007B6F62">
        <w:rPr>
          <w:lang w:val="es-ES"/>
        </w:rPr>
        <w:t>En lo que se refiere al aislamiento y absorción acústica (paneles metálicos), las pantallas acústicas deberán cumplir las especificaciones de las Normas UNE-EN 1793-1 y UNE-EN 1793-2.</w:t>
      </w:r>
    </w:p>
    <w:p w14:paraId="0C412808" w14:textId="77777777" w:rsidR="00E83996" w:rsidRPr="007B6F62" w:rsidRDefault="00E83996" w:rsidP="007B6F62">
      <w:pPr>
        <w:pStyle w:val="NORMAL12"/>
        <w:rPr>
          <w:lang w:val="es-ES"/>
        </w:rPr>
      </w:pPr>
      <w:r w:rsidRPr="007B6F62">
        <w:rPr>
          <w:lang w:val="es-ES"/>
        </w:rPr>
        <w:t>El coeficiente de aislamiento acústico deberá ser como mínimo de 25 dB (A) (clase B3 según la Norma UNE-EN 1793-2), valor ponderado obtenido de la gama de frecuencias comprendidas entre 250 y 4.000 Hz.</w:t>
      </w:r>
    </w:p>
    <w:p w14:paraId="3AA96252" w14:textId="77777777" w:rsidR="00E83996" w:rsidRPr="007B6F62" w:rsidRDefault="00E83996" w:rsidP="007B6F62">
      <w:pPr>
        <w:pStyle w:val="NORMAL12"/>
        <w:rPr>
          <w:lang w:val="es-ES"/>
        </w:rPr>
      </w:pPr>
      <w:r w:rsidRPr="007B6F62">
        <w:rPr>
          <w:lang w:val="es-ES"/>
        </w:rPr>
        <w:t>Las pantallas acústicas deberán ser altamente fonoabsorbentes (paneles metálicos), de conformidad con la Norma UNE-EN 1793-1 (clase A5).</w:t>
      </w:r>
    </w:p>
    <w:p w14:paraId="0F2DAC19" w14:textId="77777777" w:rsidR="00E83996" w:rsidRPr="007B6F62" w:rsidRDefault="00E83996" w:rsidP="007B6F62">
      <w:pPr>
        <w:pStyle w:val="NORMAL12"/>
        <w:rPr>
          <w:i/>
          <w:u w:val="single"/>
          <w:lang w:val="es-ES"/>
        </w:rPr>
      </w:pPr>
      <w:r w:rsidRPr="007B6F62">
        <w:rPr>
          <w:i/>
          <w:u w:val="single"/>
          <w:lang w:val="es-ES"/>
        </w:rPr>
        <w:t>Características mecánicas y resistencia al fuego</w:t>
      </w:r>
    </w:p>
    <w:p w14:paraId="662FF96C" w14:textId="77777777" w:rsidR="00E83996" w:rsidRPr="007B6F62" w:rsidRDefault="00E83996" w:rsidP="007B6F62">
      <w:pPr>
        <w:pStyle w:val="NORMAL12"/>
        <w:rPr>
          <w:lang w:val="es-ES"/>
        </w:rPr>
      </w:pPr>
      <w:r w:rsidRPr="007B6F62">
        <w:rPr>
          <w:lang w:val="es-ES"/>
        </w:rPr>
        <w:t>En cuanto a resistencia mecánica, las pantallas acústicas deberán cumplir igualmente la Norma UNE-EN 1794-1. Deberán resistir un viento capaz de provocar un valor de 1,45 kN/m² de fuerza horizontal uniformemente distribuida, sin que se produzca deformaciones permanentes ni se salgan de los perfiles de sujeción. Igualmente deberán soportar un esfuerzo de 2,5 kN/m² sin que se produzca rotura de los paneles.</w:t>
      </w:r>
    </w:p>
    <w:p w14:paraId="598082DE" w14:textId="77777777" w:rsidR="00E83996" w:rsidRPr="007B6F62" w:rsidRDefault="00E83996" w:rsidP="007B6F62">
      <w:pPr>
        <w:pStyle w:val="NORMAL12"/>
        <w:rPr>
          <w:lang w:val="es-ES"/>
        </w:rPr>
      </w:pPr>
      <w:r w:rsidRPr="007B6F62">
        <w:rPr>
          <w:lang w:val="es-ES"/>
        </w:rPr>
        <w:t>Las pantallas acústicas deberán ser incombustibles de acuerdo con la Norma UNE-EN 1794-2 (clase 3).</w:t>
      </w:r>
    </w:p>
    <w:p w14:paraId="3229684C" w14:textId="77777777" w:rsidR="00E83996" w:rsidRPr="007B6F62" w:rsidRDefault="00E83996" w:rsidP="007B6F62">
      <w:pPr>
        <w:pStyle w:val="NORMAL12"/>
        <w:rPr>
          <w:i/>
          <w:u w:val="single"/>
          <w:lang w:val="es-ES"/>
        </w:rPr>
      </w:pPr>
      <w:r w:rsidRPr="007B6F62">
        <w:rPr>
          <w:i/>
          <w:u w:val="single"/>
          <w:lang w:val="es-ES"/>
        </w:rPr>
        <w:t>Color</w:t>
      </w:r>
    </w:p>
    <w:p w14:paraId="799309CB" w14:textId="77777777" w:rsidR="00E83996" w:rsidRPr="007B6F62" w:rsidRDefault="00E83996" w:rsidP="007B6F62">
      <w:pPr>
        <w:pStyle w:val="NORMAL12"/>
        <w:rPr>
          <w:lang w:val="es-ES"/>
        </w:rPr>
      </w:pPr>
      <w:r w:rsidRPr="007B6F62">
        <w:rPr>
          <w:lang w:val="es-ES"/>
        </w:rPr>
        <w:t xml:space="preserve">Los paneles acústicos y los perfiles de la estructura soporte irán pintados según RAL color corporativo a elegir por la Dirección de Obra. </w:t>
      </w:r>
    </w:p>
    <w:p w14:paraId="18EB96F3" w14:textId="77777777" w:rsidR="00E83996" w:rsidRPr="007B6F62" w:rsidRDefault="007B6F62" w:rsidP="000313DD">
      <w:pPr>
        <w:pStyle w:val="TITU2"/>
        <w:rPr>
          <w:lang w:val="es-ES_tradnl"/>
        </w:rPr>
      </w:pPr>
      <w:bookmarkStart w:id="835" w:name="_Toc518300159"/>
      <w:bookmarkStart w:id="836" w:name="_Toc404467"/>
      <w:r>
        <w:rPr>
          <w:lang w:val="es-ES_tradnl"/>
        </w:rPr>
        <w:t>660</w:t>
      </w:r>
      <w:r w:rsidR="00E83996" w:rsidRPr="007B6F62">
        <w:rPr>
          <w:lang w:val="es-ES_tradnl"/>
        </w:rPr>
        <w:t>.</w:t>
      </w:r>
      <w:r>
        <w:rPr>
          <w:lang w:val="es-ES_tradnl"/>
        </w:rPr>
        <w:t>3</w:t>
      </w:r>
      <w:r w:rsidR="00E83996" w:rsidRPr="007B6F62">
        <w:rPr>
          <w:lang w:val="es-ES_tradnl"/>
        </w:rPr>
        <w:t>.</w:t>
      </w:r>
      <w:r>
        <w:rPr>
          <w:lang w:val="es-ES_tradnl"/>
        </w:rPr>
        <w:t xml:space="preserve"> </w:t>
      </w:r>
      <w:r w:rsidR="00E83996" w:rsidRPr="007B6F62">
        <w:rPr>
          <w:lang w:val="es-ES_tradnl"/>
        </w:rPr>
        <w:tab/>
        <w:t>Ejecución</w:t>
      </w:r>
      <w:bookmarkEnd w:id="835"/>
      <w:r w:rsidR="00E83996" w:rsidRPr="007B6F62">
        <w:rPr>
          <w:lang w:val="es-ES_tradnl"/>
        </w:rPr>
        <w:t xml:space="preserve"> </w:t>
      </w:r>
      <w:r>
        <w:rPr>
          <w:lang w:val="es-ES_tradnl"/>
        </w:rPr>
        <w:t>de las obras</w:t>
      </w:r>
      <w:bookmarkEnd w:id="836"/>
    </w:p>
    <w:p w14:paraId="210AB8D4" w14:textId="77777777" w:rsidR="00E83996" w:rsidRPr="007B6F62" w:rsidRDefault="00E83996" w:rsidP="007B6F62">
      <w:pPr>
        <w:pStyle w:val="NORMAL12"/>
        <w:rPr>
          <w:lang w:val="es-ES"/>
        </w:rPr>
      </w:pPr>
      <w:r w:rsidRPr="007B6F62">
        <w:rPr>
          <w:lang w:val="es-ES"/>
        </w:rPr>
        <w:t>En primer lugar, se tendrá especial atención en el replanteo de los soportes de la pantalla para garantizar una</w:t>
      </w:r>
      <w:r w:rsidR="003234D0">
        <w:rPr>
          <w:lang w:val="es-ES"/>
        </w:rPr>
        <w:t xml:space="preserve"> adecuada unión con la cimentación, </w:t>
      </w:r>
      <w:r w:rsidRPr="007B6F62">
        <w:rPr>
          <w:lang w:val="es-ES"/>
        </w:rPr>
        <w:t xml:space="preserve">con objeto de garantizar las condiciones óptimas de </w:t>
      </w:r>
      <w:proofErr w:type="gramStart"/>
      <w:r w:rsidRPr="007B6F62">
        <w:rPr>
          <w:lang w:val="es-ES"/>
        </w:rPr>
        <w:t>aislamiento acústico y absorción acústica</w:t>
      </w:r>
      <w:proofErr w:type="gramEnd"/>
      <w:r w:rsidRPr="007B6F62">
        <w:rPr>
          <w:lang w:val="es-ES"/>
        </w:rPr>
        <w:t>.</w:t>
      </w:r>
    </w:p>
    <w:p w14:paraId="33615A9C" w14:textId="77777777" w:rsidR="00E83996" w:rsidRPr="007B6F62" w:rsidRDefault="00E83996" w:rsidP="007B6F62">
      <w:pPr>
        <w:pStyle w:val="NORMAL12"/>
        <w:rPr>
          <w:lang w:val="es-ES"/>
        </w:rPr>
      </w:pPr>
      <w:r w:rsidRPr="007B6F62">
        <w:rPr>
          <w:lang w:val="es-ES"/>
        </w:rPr>
        <w:t>Los módulos se podrán apilar hasta 8 unidades en altura sin tomar precauciones especiales en los soportes de fijación. Los módulos deben quedar firmemente insertados entre las alas de los soportes para evitar vibraciones y movimientos perjudiciales. El solape de los paneles dentro de las alas deberá ser como mínimo de 4 cm.</w:t>
      </w:r>
    </w:p>
    <w:p w14:paraId="38DDD1FD" w14:textId="77777777" w:rsidR="00E83996" w:rsidRPr="007B6F62" w:rsidRDefault="00E83996" w:rsidP="007B6F62">
      <w:pPr>
        <w:pStyle w:val="NORMAL12"/>
        <w:rPr>
          <w:lang w:val="es-ES"/>
        </w:rPr>
      </w:pPr>
      <w:r w:rsidRPr="007B6F62">
        <w:rPr>
          <w:lang w:val="es-ES"/>
        </w:rPr>
        <w:t>La instalación de los paneles, insertándolos entre las alas de los perfiles, deberá realizarse tomando las precauciones necesarias para evitar el deterioro de las capas protectoras anticorrosión de los perfiles.</w:t>
      </w:r>
    </w:p>
    <w:p w14:paraId="30CD9D0B" w14:textId="77777777" w:rsidR="00E83996" w:rsidRPr="007B6F62" w:rsidRDefault="00E83996" w:rsidP="007B6F62">
      <w:pPr>
        <w:pStyle w:val="NORMAL12"/>
        <w:rPr>
          <w:lang w:val="es-ES"/>
        </w:rPr>
      </w:pPr>
      <w:r w:rsidRPr="007B6F62">
        <w:rPr>
          <w:lang w:val="es-ES"/>
        </w:rPr>
        <w:t>Cada panel tendrá unas dimensiones totales de forma que permita su fácil montaje y eventual desmontaje en los perfiles de la estructura de soporte.</w:t>
      </w:r>
    </w:p>
    <w:p w14:paraId="5B0E896F" w14:textId="77777777" w:rsidR="00E83996" w:rsidRPr="007B6F62" w:rsidRDefault="00E83996" w:rsidP="007B6F62">
      <w:pPr>
        <w:pStyle w:val="NORMAL12"/>
        <w:rPr>
          <w:lang w:val="es-ES"/>
        </w:rPr>
      </w:pPr>
      <w:r w:rsidRPr="007B6F62">
        <w:rPr>
          <w:lang w:val="es-ES"/>
        </w:rPr>
        <w:t xml:space="preserve">El montaje de las estructuras y el panel ha de realizarse sin producir deformaciones y no ha de haber roces o presiones que puedan producir tensiones. La fijación de las chapas se realizará por encaje, para evitar acciones de corte sobre la chapa. </w:t>
      </w:r>
    </w:p>
    <w:p w14:paraId="57BB4A61" w14:textId="77777777" w:rsidR="00E83996" w:rsidRPr="007B6F62" w:rsidRDefault="00E83996" w:rsidP="007B6F62">
      <w:pPr>
        <w:pStyle w:val="NORMAL12"/>
        <w:rPr>
          <w:lang w:val="es-ES"/>
        </w:rPr>
      </w:pPr>
      <w:r w:rsidRPr="007B6F62">
        <w:rPr>
          <w:lang w:val="es-ES"/>
        </w:rPr>
        <w:t>Las pantallas acústicas se colocarán de acuerdo con lo indicado en los Planos anteriormente mencionados o en su defecto según las instrucciones dadas al respecto por la Dirección de Obra.</w:t>
      </w:r>
    </w:p>
    <w:p w14:paraId="47214A06" w14:textId="77777777" w:rsidR="00E83996" w:rsidRPr="00F4369E" w:rsidRDefault="00E83996" w:rsidP="007B6F62">
      <w:pPr>
        <w:pStyle w:val="NORMAL12"/>
        <w:rPr>
          <w:sz w:val="22"/>
          <w:szCs w:val="20"/>
        </w:rPr>
      </w:pPr>
      <w:r w:rsidRPr="007B6F62">
        <w:rPr>
          <w:lang w:val="es-ES"/>
        </w:rPr>
        <w:t>La colocación de los paneles deberá organizarse de tal forma que sea fácil la reposición de nuevos materiales en el caso de rotura o deterioro de algún elemento.</w:t>
      </w:r>
    </w:p>
    <w:p w14:paraId="63219966" w14:textId="77777777" w:rsidR="00E83996" w:rsidRPr="007B6F62" w:rsidRDefault="007B6F62" w:rsidP="000313DD">
      <w:pPr>
        <w:pStyle w:val="TITU2"/>
        <w:rPr>
          <w:lang w:val="es-ES_tradnl"/>
        </w:rPr>
      </w:pPr>
      <w:bookmarkStart w:id="837" w:name="_Toc492538273"/>
      <w:bookmarkStart w:id="838" w:name="_Toc518300160"/>
      <w:bookmarkStart w:id="839" w:name="_Toc404468"/>
      <w:r>
        <w:rPr>
          <w:lang w:val="es-ES_tradnl"/>
        </w:rPr>
        <w:t xml:space="preserve">660.4. </w:t>
      </w:r>
      <w:r w:rsidR="00103474">
        <w:rPr>
          <w:lang w:val="es-ES_tradnl"/>
        </w:rPr>
        <w:t xml:space="preserve"> </w:t>
      </w:r>
      <w:r w:rsidR="00E83996" w:rsidRPr="007B6F62">
        <w:rPr>
          <w:lang w:val="es-ES_tradnl"/>
        </w:rPr>
        <w:t>Medición y abono</w:t>
      </w:r>
      <w:bookmarkEnd w:id="837"/>
      <w:bookmarkEnd w:id="838"/>
      <w:bookmarkEnd w:id="839"/>
    </w:p>
    <w:p w14:paraId="1B06DA5D" w14:textId="77777777" w:rsidR="00E83996" w:rsidRPr="007B6F62" w:rsidRDefault="00E83996" w:rsidP="007B6F62">
      <w:pPr>
        <w:pStyle w:val="NORMAL12"/>
        <w:rPr>
          <w:lang w:val="es-ES"/>
        </w:rPr>
      </w:pPr>
      <w:r w:rsidRPr="007B6F62">
        <w:rPr>
          <w:lang w:val="es-ES"/>
        </w:rPr>
        <w:t>La medición y el abono de la unidad de pantallas acústicas se realizarán conforme a los siguientes criterios: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9"/>
        <w:gridCol w:w="5812"/>
      </w:tblGrid>
      <w:tr w:rsidR="00E83996" w:rsidRPr="00F4369E" w14:paraId="57D8D86B" w14:textId="77777777" w:rsidTr="00EC60DF">
        <w:tc>
          <w:tcPr>
            <w:tcW w:w="3189" w:type="dxa"/>
            <w:vAlign w:val="center"/>
          </w:tcPr>
          <w:p w14:paraId="70F3E25F" w14:textId="77777777" w:rsidR="00E83996" w:rsidRPr="00F4369E" w:rsidRDefault="00E83996" w:rsidP="00A93D38">
            <w:pPr>
              <w:tabs>
                <w:tab w:val="left" w:pos="0"/>
                <w:tab w:val="left" w:pos="283"/>
                <w:tab w:val="left" w:pos="567"/>
                <w:tab w:val="left" w:pos="849"/>
                <w:tab w:val="left" w:pos="1134"/>
                <w:tab w:val="left" w:pos="1644"/>
              </w:tabs>
              <w:spacing w:before="60" w:after="120" w:line="276" w:lineRule="auto"/>
              <w:ind w:left="568" w:hanging="568"/>
              <w:jc w:val="center"/>
              <w:rPr>
                <w:rFonts w:ascii="Arial" w:hAnsi="Arial" w:cs="Arial"/>
                <w:b/>
                <w:bCs/>
                <w:iCs/>
                <w:sz w:val="20"/>
                <w:szCs w:val="20"/>
              </w:rPr>
            </w:pPr>
            <w:r w:rsidRPr="00F4369E">
              <w:rPr>
                <w:rFonts w:ascii="Arial" w:hAnsi="Arial" w:cs="Arial"/>
                <w:b/>
                <w:bCs/>
                <w:iCs/>
                <w:sz w:val="20"/>
                <w:szCs w:val="20"/>
              </w:rPr>
              <w:t>Unidad de medida</w:t>
            </w:r>
          </w:p>
        </w:tc>
        <w:tc>
          <w:tcPr>
            <w:tcW w:w="5812" w:type="dxa"/>
            <w:vAlign w:val="center"/>
          </w:tcPr>
          <w:p w14:paraId="57404661" w14:textId="77777777" w:rsidR="00E83996" w:rsidRPr="00F4369E" w:rsidRDefault="00E83996" w:rsidP="00666B72">
            <w:pPr>
              <w:spacing w:before="120" w:after="120" w:line="276" w:lineRule="auto"/>
              <w:jc w:val="both"/>
              <w:rPr>
                <w:rFonts w:ascii="Arial" w:hAnsi="Arial" w:cs="Arial"/>
                <w:bCs/>
                <w:iCs/>
                <w:sz w:val="20"/>
                <w:szCs w:val="20"/>
              </w:rPr>
            </w:pPr>
            <w:r w:rsidRPr="00F4369E">
              <w:rPr>
                <w:rFonts w:ascii="Arial" w:hAnsi="Arial" w:cs="Arial"/>
                <w:sz w:val="20"/>
                <w:szCs w:val="20"/>
              </w:rPr>
              <w:t>Metros cuadrados (m</w:t>
            </w:r>
            <w:r w:rsidRPr="00F4369E">
              <w:rPr>
                <w:rFonts w:ascii="Arial" w:hAnsi="Arial" w:cs="Arial"/>
                <w:sz w:val="20"/>
                <w:szCs w:val="20"/>
                <w:vertAlign w:val="superscript"/>
              </w:rPr>
              <w:t>2</w:t>
            </w:r>
            <w:r w:rsidRPr="00F4369E">
              <w:rPr>
                <w:rFonts w:ascii="Arial" w:hAnsi="Arial" w:cs="Arial"/>
                <w:sz w:val="20"/>
                <w:szCs w:val="20"/>
              </w:rPr>
              <w:t>).</w:t>
            </w:r>
          </w:p>
        </w:tc>
      </w:tr>
      <w:tr w:rsidR="00E83996" w:rsidRPr="00F4369E" w14:paraId="7773A4DC" w14:textId="77777777" w:rsidTr="00EC60DF">
        <w:tc>
          <w:tcPr>
            <w:tcW w:w="3189" w:type="dxa"/>
            <w:vAlign w:val="center"/>
          </w:tcPr>
          <w:p w14:paraId="34F37144" w14:textId="77777777" w:rsidR="00E83996" w:rsidRPr="00F4369E" w:rsidRDefault="00E83996" w:rsidP="00A93D38">
            <w:pPr>
              <w:tabs>
                <w:tab w:val="left" w:pos="0"/>
                <w:tab w:val="left" w:pos="283"/>
                <w:tab w:val="left" w:pos="567"/>
                <w:tab w:val="left" w:pos="849"/>
                <w:tab w:val="left" w:pos="1134"/>
                <w:tab w:val="left" w:pos="1644"/>
              </w:tabs>
              <w:spacing w:before="60" w:after="120" w:line="276" w:lineRule="auto"/>
              <w:ind w:left="568" w:hanging="568"/>
              <w:jc w:val="center"/>
              <w:rPr>
                <w:rFonts w:ascii="Arial" w:hAnsi="Arial" w:cs="Arial"/>
                <w:b/>
                <w:bCs/>
                <w:iCs/>
                <w:sz w:val="20"/>
                <w:szCs w:val="20"/>
              </w:rPr>
            </w:pPr>
            <w:r w:rsidRPr="00F4369E">
              <w:rPr>
                <w:rFonts w:ascii="Arial" w:hAnsi="Arial" w:cs="Arial"/>
                <w:b/>
                <w:bCs/>
                <w:iCs/>
                <w:sz w:val="20"/>
                <w:szCs w:val="20"/>
              </w:rPr>
              <w:t>Grado de precisión</w:t>
            </w:r>
          </w:p>
        </w:tc>
        <w:tc>
          <w:tcPr>
            <w:tcW w:w="5812" w:type="dxa"/>
            <w:vAlign w:val="center"/>
          </w:tcPr>
          <w:p w14:paraId="7A4D02DC" w14:textId="77777777" w:rsidR="00E83996" w:rsidRPr="00F4369E" w:rsidRDefault="00E83996" w:rsidP="00666B72">
            <w:pPr>
              <w:tabs>
                <w:tab w:val="left" w:pos="0"/>
                <w:tab w:val="left" w:pos="283"/>
                <w:tab w:val="left" w:pos="567"/>
                <w:tab w:val="left" w:pos="849"/>
                <w:tab w:val="left" w:pos="1134"/>
                <w:tab w:val="left" w:pos="1644"/>
              </w:tabs>
              <w:spacing w:before="60" w:after="120" w:line="276" w:lineRule="auto"/>
              <w:jc w:val="both"/>
              <w:rPr>
                <w:rFonts w:ascii="Arial" w:hAnsi="Arial" w:cs="Arial"/>
                <w:bCs/>
                <w:iCs/>
                <w:sz w:val="20"/>
                <w:szCs w:val="20"/>
              </w:rPr>
            </w:pPr>
            <w:r w:rsidRPr="00F4369E">
              <w:rPr>
                <w:rFonts w:ascii="Arial" w:hAnsi="Arial" w:cs="Arial"/>
                <w:bCs/>
                <w:iCs/>
                <w:sz w:val="20"/>
                <w:szCs w:val="20"/>
              </w:rPr>
              <w:t>Dos decimales.</w:t>
            </w:r>
          </w:p>
        </w:tc>
      </w:tr>
      <w:tr w:rsidR="00E83996" w:rsidRPr="00F4369E" w14:paraId="73C4F5FC" w14:textId="77777777" w:rsidTr="00EC60DF">
        <w:tc>
          <w:tcPr>
            <w:tcW w:w="3189" w:type="dxa"/>
            <w:vAlign w:val="center"/>
          </w:tcPr>
          <w:p w14:paraId="2A887E57" w14:textId="77777777" w:rsidR="00E83996" w:rsidRPr="00F4369E" w:rsidRDefault="00E83996" w:rsidP="00A93D38">
            <w:pPr>
              <w:tabs>
                <w:tab w:val="left" w:pos="0"/>
                <w:tab w:val="left" w:pos="283"/>
                <w:tab w:val="left" w:pos="567"/>
                <w:tab w:val="left" w:pos="849"/>
                <w:tab w:val="left" w:pos="1134"/>
                <w:tab w:val="left" w:pos="1644"/>
              </w:tabs>
              <w:spacing w:before="60" w:after="120" w:line="276" w:lineRule="auto"/>
              <w:ind w:left="568" w:hanging="568"/>
              <w:jc w:val="center"/>
              <w:rPr>
                <w:rFonts w:ascii="Arial" w:hAnsi="Arial" w:cs="Arial"/>
                <w:b/>
                <w:bCs/>
                <w:iCs/>
                <w:sz w:val="20"/>
                <w:szCs w:val="20"/>
              </w:rPr>
            </w:pPr>
            <w:r w:rsidRPr="00F4369E">
              <w:rPr>
                <w:rFonts w:ascii="Arial" w:hAnsi="Arial" w:cs="Arial"/>
                <w:b/>
                <w:bCs/>
                <w:iCs/>
                <w:sz w:val="20"/>
                <w:szCs w:val="20"/>
              </w:rPr>
              <w:t>Forma de medición</w:t>
            </w:r>
          </w:p>
        </w:tc>
        <w:tc>
          <w:tcPr>
            <w:tcW w:w="5812" w:type="dxa"/>
            <w:vAlign w:val="center"/>
          </w:tcPr>
          <w:p w14:paraId="5163912B" w14:textId="77777777" w:rsidR="00E83996" w:rsidRPr="00F4369E" w:rsidRDefault="00E83996" w:rsidP="00666B72">
            <w:pPr>
              <w:keepNext/>
              <w:keepLines/>
              <w:spacing w:before="120" w:after="120" w:line="276" w:lineRule="auto"/>
              <w:jc w:val="both"/>
              <w:rPr>
                <w:rFonts w:ascii="Arial" w:hAnsi="Arial" w:cs="Arial"/>
                <w:bCs/>
                <w:iCs/>
                <w:sz w:val="20"/>
                <w:szCs w:val="20"/>
              </w:rPr>
            </w:pPr>
            <w:r w:rsidRPr="00F4369E">
              <w:rPr>
                <w:rFonts w:ascii="Arial" w:hAnsi="Arial" w:cs="Arial"/>
                <w:sz w:val="20"/>
                <w:szCs w:val="20"/>
              </w:rPr>
              <w:t>Superficie de pantalla realmente colocada en obra.</w:t>
            </w:r>
          </w:p>
        </w:tc>
      </w:tr>
      <w:tr w:rsidR="00E83996" w:rsidRPr="00F4369E" w14:paraId="5F90CF15" w14:textId="77777777" w:rsidTr="00EC60DF">
        <w:tc>
          <w:tcPr>
            <w:tcW w:w="3189" w:type="dxa"/>
            <w:vAlign w:val="center"/>
          </w:tcPr>
          <w:p w14:paraId="661DBCCE" w14:textId="77777777" w:rsidR="00E83996" w:rsidRPr="00F4369E" w:rsidRDefault="00E83996" w:rsidP="00A93D38">
            <w:pPr>
              <w:tabs>
                <w:tab w:val="left" w:pos="0"/>
                <w:tab w:val="left" w:pos="283"/>
                <w:tab w:val="left" w:pos="567"/>
                <w:tab w:val="left" w:pos="849"/>
                <w:tab w:val="left" w:pos="1134"/>
                <w:tab w:val="left" w:pos="1644"/>
              </w:tabs>
              <w:spacing w:before="60" w:after="120" w:line="276" w:lineRule="auto"/>
              <w:ind w:left="568" w:hanging="568"/>
              <w:jc w:val="center"/>
              <w:rPr>
                <w:rFonts w:ascii="Arial" w:hAnsi="Arial" w:cs="Arial"/>
                <w:b/>
                <w:bCs/>
                <w:iCs/>
                <w:sz w:val="20"/>
                <w:szCs w:val="20"/>
              </w:rPr>
            </w:pPr>
            <w:r w:rsidRPr="00F4369E">
              <w:rPr>
                <w:rFonts w:ascii="Arial" w:hAnsi="Arial" w:cs="Arial"/>
                <w:b/>
                <w:bCs/>
                <w:iCs/>
                <w:sz w:val="20"/>
                <w:szCs w:val="20"/>
              </w:rPr>
              <w:t>Abono</w:t>
            </w:r>
          </w:p>
        </w:tc>
        <w:tc>
          <w:tcPr>
            <w:tcW w:w="5812" w:type="dxa"/>
            <w:vAlign w:val="center"/>
          </w:tcPr>
          <w:p w14:paraId="1DE11935" w14:textId="77777777" w:rsidR="00E83996" w:rsidRPr="00F4369E" w:rsidRDefault="00E83996" w:rsidP="00666B72">
            <w:pPr>
              <w:tabs>
                <w:tab w:val="left" w:pos="0"/>
                <w:tab w:val="left" w:pos="283"/>
                <w:tab w:val="left" w:pos="567"/>
                <w:tab w:val="left" w:pos="849"/>
                <w:tab w:val="left" w:pos="1134"/>
                <w:tab w:val="left" w:pos="1644"/>
              </w:tabs>
              <w:spacing w:before="60" w:after="120" w:line="276" w:lineRule="auto"/>
              <w:ind w:left="568" w:hanging="568"/>
              <w:jc w:val="both"/>
              <w:rPr>
                <w:rFonts w:ascii="Arial" w:hAnsi="Arial" w:cs="Arial"/>
                <w:bCs/>
                <w:iCs/>
                <w:sz w:val="20"/>
                <w:szCs w:val="20"/>
              </w:rPr>
            </w:pPr>
            <w:r w:rsidRPr="00F4369E">
              <w:rPr>
                <w:rFonts w:ascii="Arial" w:hAnsi="Arial" w:cs="Arial"/>
                <w:bCs/>
                <w:iCs/>
                <w:sz w:val="20"/>
                <w:szCs w:val="20"/>
              </w:rPr>
              <w:t>Se efectuará cuando se realice la aceptación.</w:t>
            </w:r>
          </w:p>
        </w:tc>
      </w:tr>
      <w:tr w:rsidR="00E83996" w:rsidRPr="00F4369E" w14:paraId="4A313E0A" w14:textId="77777777" w:rsidTr="00EC60DF">
        <w:trPr>
          <w:cantSplit/>
        </w:trPr>
        <w:tc>
          <w:tcPr>
            <w:tcW w:w="3189" w:type="dxa"/>
            <w:vAlign w:val="center"/>
          </w:tcPr>
          <w:p w14:paraId="516547BF" w14:textId="77777777" w:rsidR="00E83996" w:rsidRPr="00F4369E" w:rsidRDefault="00E83996" w:rsidP="00A93D38">
            <w:pPr>
              <w:tabs>
                <w:tab w:val="left" w:pos="0"/>
                <w:tab w:val="left" w:pos="283"/>
                <w:tab w:val="left" w:pos="567"/>
                <w:tab w:val="left" w:pos="849"/>
                <w:tab w:val="left" w:pos="1134"/>
                <w:tab w:val="left" w:pos="1644"/>
              </w:tabs>
              <w:spacing w:before="60" w:after="120" w:line="276" w:lineRule="auto"/>
              <w:ind w:left="568" w:hanging="568"/>
              <w:jc w:val="center"/>
              <w:rPr>
                <w:rFonts w:ascii="Arial" w:hAnsi="Arial" w:cs="Arial"/>
                <w:b/>
                <w:bCs/>
                <w:iCs/>
                <w:sz w:val="20"/>
                <w:szCs w:val="20"/>
              </w:rPr>
            </w:pPr>
            <w:r w:rsidRPr="00F4369E">
              <w:rPr>
                <w:rFonts w:ascii="Arial" w:hAnsi="Arial" w:cs="Arial"/>
                <w:b/>
                <w:bCs/>
                <w:iCs/>
                <w:sz w:val="20"/>
                <w:szCs w:val="20"/>
              </w:rPr>
              <w:t>Criterios complementarios</w:t>
            </w:r>
          </w:p>
        </w:tc>
        <w:tc>
          <w:tcPr>
            <w:tcW w:w="5812" w:type="dxa"/>
            <w:vAlign w:val="center"/>
          </w:tcPr>
          <w:p w14:paraId="357E528A" w14:textId="77777777" w:rsidR="00E83996" w:rsidRPr="00F4369E" w:rsidRDefault="00E83996" w:rsidP="00666B72">
            <w:pPr>
              <w:spacing w:before="120" w:after="120" w:line="276" w:lineRule="auto"/>
              <w:jc w:val="both"/>
              <w:rPr>
                <w:rFonts w:ascii="Arial" w:hAnsi="Arial" w:cs="Arial"/>
                <w:bCs/>
                <w:iCs/>
                <w:sz w:val="20"/>
                <w:szCs w:val="20"/>
              </w:rPr>
            </w:pPr>
            <w:r w:rsidRPr="00F4369E">
              <w:rPr>
                <w:rFonts w:ascii="Arial" w:hAnsi="Arial" w:cs="Arial"/>
                <w:sz w:val="20"/>
                <w:szCs w:val="20"/>
              </w:rPr>
              <w:t>Los precios incluyen todos los materiales, mano de obra, maquinaria y medios auxiliares necesarios para la correcta ejecución de la unidad, incluso ensayos previos y característicos cuando proceda.</w:t>
            </w:r>
          </w:p>
        </w:tc>
      </w:tr>
    </w:tbl>
    <w:p w14:paraId="5E25F187" w14:textId="77777777" w:rsidR="00E83996" w:rsidRDefault="00E83996" w:rsidP="00E83996">
      <w:pPr>
        <w:pStyle w:val="NORMAL12"/>
      </w:pPr>
    </w:p>
    <w:p w14:paraId="70AFB775" w14:textId="77777777" w:rsidR="00E83996" w:rsidRPr="009E1BDA" w:rsidRDefault="00E83996" w:rsidP="00E83996">
      <w:pPr>
        <w:spacing w:before="120" w:after="120" w:line="360" w:lineRule="auto"/>
        <w:ind w:firstLine="851"/>
        <w:jc w:val="both"/>
        <w:rPr>
          <w:rFonts w:ascii="Arial" w:hAnsi="Arial"/>
          <w:sz w:val="22"/>
          <w:szCs w:val="20"/>
        </w:rPr>
      </w:pPr>
    </w:p>
    <w:p w14:paraId="201E0788" w14:textId="77777777" w:rsidR="00EF1D61" w:rsidRPr="002005BA" w:rsidRDefault="00EF1D61" w:rsidP="00EF1D61">
      <w:pPr>
        <w:pStyle w:val="TITU1"/>
      </w:pPr>
      <w:bookmarkStart w:id="840" w:name="_Toc404469"/>
      <w:r w:rsidRPr="00524011">
        <w:lastRenderedPageBreak/>
        <w:t>Artículo 675. Anclaje químico</w:t>
      </w:r>
      <w:bookmarkEnd w:id="840"/>
      <w:r w:rsidRPr="002005BA">
        <w:t xml:space="preserve"> </w:t>
      </w:r>
    </w:p>
    <w:p w14:paraId="3B13A1FB" w14:textId="77777777" w:rsidR="00EF1D61" w:rsidRPr="002005BA" w:rsidRDefault="007B6F62" w:rsidP="000313DD">
      <w:pPr>
        <w:pStyle w:val="TITU2"/>
      </w:pPr>
      <w:bookmarkStart w:id="841" w:name="_Toc404093693"/>
      <w:bookmarkStart w:id="842" w:name="_Toc407722973"/>
      <w:bookmarkStart w:id="843" w:name="_Toc409167300"/>
      <w:bookmarkStart w:id="844" w:name="_Toc524094408"/>
      <w:bookmarkStart w:id="845" w:name="_Toc528601294"/>
      <w:bookmarkStart w:id="846" w:name="_Toc404470"/>
      <w:r>
        <w:t xml:space="preserve">675.1. </w:t>
      </w:r>
      <w:r w:rsidR="00EF1D61" w:rsidRPr="002005BA">
        <w:tab/>
        <w:t>Aplicación</w:t>
      </w:r>
      <w:bookmarkEnd w:id="841"/>
      <w:bookmarkEnd w:id="842"/>
      <w:bookmarkEnd w:id="843"/>
      <w:bookmarkEnd w:id="844"/>
      <w:bookmarkEnd w:id="845"/>
      <w:bookmarkEnd w:id="846"/>
    </w:p>
    <w:p w14:paraId="7B39EF26" w14:textId="77777777" w:rsidR="00EF1D61" w:rsidRPr="002005BA" w:rsidRDefault="00EF1D61" w:rsidP="00EF1D61">
      <w:pPr>
        <w:pStyle w:val="NORMAL12"/>
      </w:pPr>
      <w:r w:rsidRPr="002005BA">
        <w:t xml:space="preserve">El presente artículo </w:t>
      </w:r>
      <w:proofErr w:type="gramStart"/>
      <w:r w:rsidRPr="002005BA">
        <w:t>es de aplicación</w:t>
      </w:r>
      <w:proofErr w:type="gramEnd"/>
      <w:r w:rsidRPr="002005BA">
        <w:t xml:space="preserve"> a los anclajes químicos que se ejecutan en la unión de la armadura transversal del zócalo del pretil a la losa del tablero y en la unión de la armadura vertical del recrecido de aleta a la aleta existente.</w:t>
      </w:r>
    </w:p>
    <w:p w14:paraId="78988441" w14:textId="77777777" w:rsidR="00EF1D61" w:rsidRPr="002005BA" w:rsidRDefault="00EF1D61" w:rsidP="00EF1D61">
      <w:pPr>
        <w:pStyle w:val="NORMAL12"/>
      </w:pPr>
      <w:r w:rsidRPr="002005BA">
        <w:t xml:space="preserve">Las prescripciones contenidas en esta cláusula </w:t>
      </w:r>
      <w:proofErr w:type="gramStart"/>
      <w:r w:rsidRPr="002005BA">
        <w:t>son de aplicación</w:t>
      </w:r>
      <w:proofErr w:type="gramEnd"/>
      <w:r w:rsidRPr="002005BA">
        <w:t xml:space="preserve"> a la unidad de obra</w:t>
      </w:r>
      <w:r w:rsidR="000E5832">
        <w:t xml:space="preserve"> siguiente</w:t>
      </w:r>
      <w:r w:rsidRPr="002005BA">
        <w:t>:</w:t>
      </w:r>
    </w:p>
    <w:tbl>
      <w:tblPr>
        <w:tblW w:w="0" w:type="auto"/>
        <w:tblLook w:val="04A0" w:firstRow="1" w:lastRow="0" w:firstColumn="1" w:lastColumn="0" w:noHBand="0" w:noVBand="1"/>
      </w:tblPr>
      <w:tblGrid>
        <w:gridCol w:w="1474"/>
        <w:gridCol w:w="962"/>
        <w:gridCol w:w="6352"/>
      </w:tblGrid>
      <w:tr w:rsidR="00EF1D61" w:rsidRPr="002005BA" w14:paraId="72E703BB" w14:textId="77777777" w:rsidTr="000E5832">
        <w:trPr>
          <w:trHeight w:val="2354"/>
        </w:trPr>
        <w:tc>
          <w:tcPr>
            <w:tcW w:w="1474" w:type="dxa"/>
          </w:tcPr>
          <w:p w14:paraId="0E16B0C5" w14:textId="77777777" w:rsidR="00EF1D61" w:rsidRPr="00804F8D" w:rsidRDefault="00EF1D61" w:rsidP="00EF1D61">
            <w:pPr>
              <w:rPr>
                <w:rFonts w:ascii="Calibri" w:hAnsi="Calibri" w:cs="Calibri"/>
              </w:rPr>
            </w:pPr>
            <w:r w:rsidRPr="00804F8D">
              <w:rPr>
                <w:rFonts w:ascii="Calibri" w:hAnsi="Calibri" w:cs="Calibri"/>
              </w:rPr>
              <w:t>675.0060N</w:t>
            </w:r>
          </w:p>
        </w:tc>
        <w:tc>
          <w:tcPr>
            <w:tcW w:w="962" w:type="dxa"/>
          </w:tcPr>
          <w:p w14:paraId="1788327C" w14:textId="77777777" w:rsidR="00EF1D61" w:rsidRPr="00804F8D" w:rsidRDefault="00EF1D61" w:rsidP="00EF1D61">
            <w:pPr>
              <w:rPr>
                <w:rFonts w:ascii="Calibri" w:hAnsi="Calibri" w:cs="Calibri"/>
              </w:rPr>
            </w:pPr>
            <w:proofErr w:type="spellStart"/>
            <w:r w:rsidRPr="00804F8D">
              <w:rPr>
                <w:rFonts w:ascii="Calibri" w:hAnsi="Calibri" w:cs="Calibri"/>
              </w:rPr>
              <w:t>ud</w:t>
            </w:r>
            <w:proofErr w:type="spellEnd"/>
          </w:p>
        </w:tc>
        <w:tc>
          <w:tcPr>
            <w:tcW w:w="6352" w:type="dxa"/>
          </w:tcPr>
          <w:p w14:paraId="5F058C5F" w14:textId="77777777" w:rsidR="00EF1D61" w:rsidRPr="00804F8D" w:rsidRDefault="002D7885" w:rsidP="00666B72">
            <w:pPr>
              <w:spacing w:after="240"/>
              <w:jc w:val="both"/>
              <w:rPr>
                <w:rFonts w:ascii="Calibri" w:hAnsi="Calibri" w:cs="Calibri"/>
              </w:rPr>
            </w:pPr>
            <w:r w:rsidRPr="002D7885">
              <w:rPr>
                <w:rFonts w:ascii="Calibri" w:hAnsi="Calibri" w:cs="Calibri"/>
                <w:color w:val="000000"/>
              </w:rPr>
              <w:t>ANCLAJE QUÍMICO COMPUESTO POR BARRA DE ACERO DE 12 mm DE DIÁMETRO INTRODUCIDA EN EL TALADRO PREVIAMENTE EJECUTADO DE HASTA 205 mm DE PROFUNDIDAD Y 14 mm DE DIÁMETRO EN EL ELEMENTO DE HORMIGÓN DE ESPESOR MÍNIMO 230 mm E INYECTADO CON RESINA EPOXI PURA PARA GRANDES CARGAS HASTA LOS 2/3 DE LA PROFUNDIDAD DEL TALADRO.</w:t>
            </w:r>
          </w:p>
        </w:tc>
      </w:tr>
    </w:tbl>
    <w:p w14:paraId="23871A5E" w14:textId="77777777" w:rsidR="00915CF6" w:rsidRPr="00D921B6" w:rsidRDefault="00915CF6" w:rsidP="00915CF6">
      <w:pPr>
        <w:pStyle w:val="NORMAL12"/>
      </w:pPr>
      <w:r w:rsidRPr="00D921B6">
        <w:t xml:space="preserve">Asimismo, el presente Artículo </w:t>
      </w:r>
      <w:proofErr w:type="gramStart"/>
      <w:r w:rsidRPr="00D921B6">
        <w:t>es de aplicación</w:t>
      </w:r>
      <w:proofErr w:type="gramEnd"/>
      <w:r w:rsidRPr="00D921B6">
        <w:t xml:space="preserve"> a los anclajes químicos requeridos para la instalación del pretil anclado al recrecido en la estructura P.I. 0+820 (ver Artículo 706.-Pretiles metálicos), y para la instalación de los recrecidos de las aletas de la estructura P.I. 1+860.</w:t>
      </w:r>
    </w:p>
    <w:p w14:paraId="110B3E53" w14:textId="77777777" w:rsidR="00915CF6" w:rsidRPr="00D921B6" w:rsidRDefault="00915CF6" w:rsidP="00915CF6">
      <w:pPr>
        <w:pStyle w:val="NORMAL12"/>
      </w:pPr>
      <w:r w:rsidRPr="00D921B6">
        <w:t>Los trabajos que se incluyen en la Unidad son:</w:t>
      </w:r>
    </w:p>
    <w:p w14:paraId="7762B623" w14:textId="77777777" w:rsidR="00915CF6" w:rsidRPr="00D921B6" w:rsidRDefault="00915CF6" w:rsidP="00661A5F">
      <w:pPr>
        <w:pStyle w:val="Prrafodelista"/>
        <w:numPr>
          <w:ilvl w:val="0"/>
          <w:numId w:val="217"/>
        </w:numPr>
        <w:spacing w:before="120" w:after="120" w:line="360" w:lineRule="auto"/>
        <w:jc w:val="both"/>
        <w:rPr>
          <w:rFonts w:ascii="Arial" w:hAnsi="Arial"/>
          <w:sz w:val="24"/>
          <w:szCs w:val="24"/>
        </w:rPr>
      </w:pPr>
      <w:r w:rsidRPr="00D921B6">
        <w:rPr>
          <w:rFonts w:ascii="Arial" w:hAnsi="Arial"/>
          <w:sz w:val="24"/>
          <w:szCs w:val="24"/>
        </w:rPr>
        <w:t>Replanteo de la posición de pernos/barras de anclaje para asegurar su correcto posicionamiento, según planos de proyecto. En el caso de la estructura P.I. 0+820, no se permite, en ningún caso, que la placa de anclaje coincida con las juntas de dilatación de la estructura.</w:t>
      </w:r>
    </w:p>
    <w:p w14:paraId="20F26191" w14:textId="77777777" w:rsidR="00915CF6" w:rsidRPr="00D921B6" w:rsidRDefault="00915CF6" w:rsidP="00661A5F">
      <w:pPr>
        <w:pStyle w:val="Prrafodelista"/>
        <w:numPr>
          <w:ilvl w:val="0"/>
          <w:numId w:val="217"/>
        </w:numPr>
        <w:spacing w:before="120" w:after="120" w:line="360" w:lineRule="auto"/>
        <w:jc w:val="both"/>
        <w:rPr>
          <w:rFonts w:ascii="Arial" w:hAnsi="Arial"/>
          <w:sz w:val="24"/>
          <w:szCs w:val="24"/>
        </w:rPr>
      </w:pPr>
      <w:r w:rsidRPr="00D921B6">
        <w:rPr>
          <w:rFonts w:ascii="Arial" w:hAnsi="Arial"/>
          <w:sz w:val="24"/>
          <w:szCs w:val="24"/>
        </w:rPr>
        <w:t>Ejecución de los taladros en el soporte de hormigón.</w:t>
      </w:r>
    </w:p>
    <w:p w14:paraId="0D95AD1A" w14:textId="77777777" w:rsidR="00915CF6" w:rsidRPr="00D921B6" w:rsidRDefault="00915CF6" w:rsidP="00661A5F">
      <w:pPr>
        <w:pStyle w:val="Prrafodelista"/>
        <w:numPr>
          <w:ilvl w:val="0"/>
          <w:numId w:val="217"/>
        </w:numPr>
        <w:spacing w:before="120" w:after="120" w:line="360" w:lineRule="auto"/>
        <w:jc w:val="both"/>
        <w:rPr>
          <w:rFonts w:ascii="Arial" w:hAnsi="Arial"/>
          <w:sz w:val="24"/>
          <w:szCs w:val="24"/>
        </w:rPr>
      </w:pPr>
      <w:r w:rsidRPr="00D921B6">
        <w:rPr>
          <w:rFonts w:ascii="Arial" w:hAnsi="Arial"/>
          <w:sz w:val="24"/>
          <w:szCs w:val="24"/>
        </w:rPr>
        <w:t>Limpieza de la zona tras la ejecución de los taladros.</w:t>
      </w:r>
    </w:p>
    <w:p w14:paraId="421E857A" w14:textId="77777777" w:rsidR="00915CF6" w:rsidRPr="00D921B6" w:rsidRDefault="00915CF6" w:rsidP="00661A5F">
      <w:pPr>
        <w:pStyle w:val="Prrafodelista"/>
        <w:numPr>
          <w:ilvl w:val="0"/>
          <w:numId w:val="217"/>
        </w:numPr>
        <w:spacing w:before="120" w:after="120" w:line="360" w:lineRule="auto"/>
        <w:jc w:val="both"/>
        <w:rPr>
          <w:rFonts w:ascii="Arial" w:hAnsi="Arial"/>
          <w:sz w:val="24"/>
          <w:szCs w:val="24"/>
        </w:rPr>
      </w:pPr>
      <w:r w:rsidRPr="00D921B6">
        <w:rPr>
          <w:rFonts w:ascii="Arial" w:hAnsi="Arial"/>
          <w:sz w:val="24"/>
          <w:szCs w:val="24"/>
        </w:rPr>
        <w:t>Replanteo y fijación temporal mediante elementos mecánicos de los pernos de anclaje para asegurar su correcto posicionamiento.</w:t>
      </w:r>
    </w:p>
    <w:p w14:paraId="27F37AA7" w14:textId="77777777" w:rsidR="00915CF6" w:rsidRPr="00D921B6" w:rsidRDefault="00915CF6" w:rsidP="00661A5F">
      <w:pPr>
        <w:pStyle w:val="Prrafodelista"/>
        <w:numPr>
          <w:ilvl w:val="0"/>
          <w:numId w:val="217"/>
        </w:numPr>
        <w:spacing w:before="120" w:after="120" w:line="360" w:lineRule="auto"/>
        <w:jc w:val="both"/>
        <w:rPr>
          <w:rFonts w:ascii="Arial" w:hAnsi="Arial"/>
          <w:sz w:val="24"/>
          <w:szCs w:val="24"/>
        </w:rPr>
      </w:pPr>
      <w:r w:rsidRPr="00D921B6">
        <w:rPr>
          <w:rFonts w:ascii="Arial" w:hAnsi="Arial"/>
          <w:sz w:val="24"/>
          <w:szCs w:val="24"/>
        </w:rPr>
        <w:t>Colocación de la resina en los taladros pasantes para fijar definitivamente el anclaje antes de proceder al hormigonado.</w:t>
      </w:r>
    </w:p>
    <w:p w14:paraId="42B530A2" w14:textId="77777777" w:rsidR="00915CF6" w:rsidRPr="00D921B6" w:rsidRDefault="00915CF6" w:rsidP="00661A5F">
      <w:pPr>
        <w:pStyle w:val="Prrafodelista"/>
        <w:numPr>
          <w:ilvl w:val="0"/>
          <w:numId w:val="217"/>
        </w:numPr>
        <w:spacing w:before="120" w:after="120" w:line="360" w:lineRule="auto"/>
        <w:jc w:val="both"/>
        <w:rPr>
          <w:rFonts w:ascii="Arial" w:hAnsi="Arial"/>
          <w:sz w:val="24"/>
          <w:szCs w:val="24"/>
        </w:rPr>
      </w:pPr>
      <w:r w:rsidRPr="00D921B6">
        <w:rPr>
          <w:rFonts w:ascii="Arial" w:hAnsi="Arial"/>
          <w:sz w:val="24"/>
          <w:szCs w:val="24"/>
        </w:rPr>
        <w:t>Retirada de los elementos mecánicos de fijación una vez que la resina ha adquirido la resistencia suficiente para que el anclaje quede completamente sujeto.</w:t>
      </w:r>
    </w:p>
    <w:p w14:paraId="3C179A22" w14:textId="77777777" w:rsidR="00915CF6" w:rsidRPr="00D921B6" w:rsidRDefault="00915CF6" w:rsidP="00661A5F">
      <w:pPr>
        <w:pStyle w:val="Prrafodelista"/>
        <w:numPr>
          <w:ilvl w:val="0"/>
          <w:numId w:val="217"/>
        </w:numPr>
        <w:spacing w:before="120" w:after="120" w:line="360" w:lineRule="auto"/>
        <w:jc w:val="both"/>
      </w:pPr>
      <w:r w:rsidRPr="00D921B6">
        <w:rPr>
          <w:rFonts w:ascii="Arial" w:hAnsi="Arial"/>
          <w:sz w:val="24"/>
          <w:szCs w:val="24"/>
        </w:rPr>
        <w:t>Todas las operaciones previstas en el Plan de Control de Calidad definido en el Pliego.</w:t>
      </w:r>
    </w:p>
    <w:p w14:paraId="7080D7AD" w14:textId="77777777" w:rsidR="00EF1D61" w:rsidRPr="00D921B6" w:rsidRDefault="008B7069" w:rsidP="000313DD">
      <w:pPr>
        <w:pStyle w:val="TITU2"/>
      </w:pPr>
      <w:bookmarkStart w:id="847" w:name="_Toc404093694"/>
      <w:bookmarkStart w:id="848" w:name="_Toc407722975"/>
      <w:bookmarkStart w:id="849" w:name="_Toc409167302"/>
      <w:bookmarkStart w:id="850" w:name="_Toc524094410"/>
      <w:bookmarkStart w:id="851" w:name="_Toc528601296"/>
      <w:bookmarkStart w:id="852" w:name="_Toc404471"/>
      <w:r w:rsidRPr="00D921B6">
        <w:t xml:space="preserve">675.2. </w:t>
      </w:r>
      <w:r w:rsidR="00103474" w:rsidRPr="00D921B6">
        <w:t xml:space="preserve"> </w:t>
      </w:r>
      <w:r w:rsidR="00EF1D61" w:rsidRPr="00D921B6">
        <w:t>Materiales</w:t>
      </w:r>
      <w:bookmarkEnd w:id="847"/>
      <w:bookmarkEnd w:id="848"/>
      <w:bookmarkEnd w:id="849"/>
      <w:bookmarkEnd w:id="850"/>
      <w:bookmarkEnd w:id="851"/>
      <w:bookmarkEnd w:id="852"/>
    </w:p>
    <w:p w14:paraId="19DEF313" w14:textId="77777777" w:rsidR="00EF1D61" w:rsidRPr="00D921B6" w:rsidRDefault="00EF1D61" w:rsidP="00EF1D61">
      <w:pPr>
        <w:pStyle w:val="NORMAL12"/>
      </w:pPr>
      <w:r w:rsidRPr="00D921B6">
        <w:t>La empresa fabricante de los productos empleados en los trabajos descritos en la presente especificación, demostrará por escrito que su sistema de Aseguramiento de la Calidad es conforme a las exigencias de la Norma Española UNE-ISO 9001 (Modelo para el Aseguramiento de la Calidad en el Diseño, Desarrollo, Producción, Instalación y Servicio Post- venta). Además, posee la certificación de Gestión Medioambiental UNE-EN –ISO-14.001.</w:t>
      </w:r>
    </w:p>
    <w:p w14:paraId="191FD0AF" w14:textId="77777777" w:rsidR="00EF1D61" w:rsidRPr="00D921B6" w:rsidRDefault="00EF1D61" w:rsidP="00EF1D61">
      <w:pPr>
        <w:pStyle w:val="NORMAL12"/>
      </w:pPr>
      <w:r w:rsidRPr="00D921B6">
        <w:t xml:space="preserve">Todos los materiales se deberán ajustar a los requisitos de la norma europea EN-1504 parte 3, 4, 9 y 10, la cual define los principios, productos y sistemas recomendados para la reparación de estructuras de hormigón, adhesión estructural, sistemas generales de protección y reparación del hormigón y aplicación de </w:t>
      </w:r>
      <w:proofErr w:type="gramStart"/>
      <w:r w:rsidRPr="00D921B6">
        <w:t>los mismos</w:t>
      </w:r>
      <w:proofErr w:type="gramEnd"/>
      <w:r w:rsidRPr="00D921B6">
        <w:t>.</w:t>
      </w:r>
    </w:p>
    <w:p w14:paraId="74958690" w14:textId="77777777" w:rsidR="00EF1D61" w:rsidRPr="00D921B6" w:rsidRDefault="00EF1D61" w:rsidP="00EF1D61">
      <w:pPr>
        <w:pStyle w:val="NORMAL12"/>
      </w:pPr>
      <w:r w:rsidRPr="00D921B6">
        <w:t xml:space="preserve">La empresa </w:t>
      </w:r>
      <w:proofErr w:type="spellStart"/>
      <w:r w:rsidRPr="00D921B6">
        <w:t>aplicadora</w:t>
      </w:r>
      <w:proofErr w:type="spellEnd"/>
      <w:r w:rsidRPr="00D921B6">
        <w:t xml:space="preserve"> de los sistemas y productos especificados en la presente, debe de haber completado satisfactoriamente un programa de instrucción sobre su instalación/aplicación, conocer los métodos adecuados para la preparación del soporte y disponer de una autorización escrita del fabricante. </w:t>
      </w:r>
    </w:p>
    <w:p w14:paraId="27583CF9" w14:textId="77777777" w:rsidR="00EF1D61" w:rsidRPr="00D921B6" w:rsidRDefault="00EF1D61" w:rsidP="00EF1D61">
      <w:pPr>
        <w:pStyle w:val="NORMAL12"/>
      </w:pPr>
      <w:r w:rsidRPr="00D921B6">
        <w:t xml:space="preserve">Por otra parte, los operarios que intervengan en la reparación deberán disponer de </w:t>
      </w:r>
      <w:proofErr w:type="gramStart"/>
      <w:r w:rsidRPr="00D921B6">
        <w:t>carnet</w:t>
      </w:r>
      <w:proofErr w:type="gramEnd"/>
      <w:r w:rsidRPr="00D921B6">
        <w:t xml:space="preserve"> de aplicador homologado en sistemas de reparación estructural, vigente y expedida por una empresa externa al aplicador.</w:t>
      </w:r>
    </w:p>
    <w:p w14:paraId="7F27DD44" w14:textId="77777777" w:rsidR="00EF1D61" w:rsidRPr="00D921B6" w:rsidRDefault="00EF1D61" w:rsidP="00EF1D61">
      <w:pPr>
        <w:pStyle w:val="NORMAL12"/>
      </w:pPr>
      <w:r w:rsidRPr="00D921B6">
        <w:t>Los materiales deberán cumplir lo estipulado en la instrucción de acero estructural EA-E.</w:t>
      </w:r>
    </w:p>
    <w:p w14:paraId="37607E7A" w14:textId="77777777" w:rsidR="00915CF6" w:rsidRDefault="00915CF6" w:rsidP="00915CF6">
      <w:pPr>
        <w:pStyle w:val="NORMAL12"/>
      </w:pPr>
      <w:r w:rsidRPr="00D921B6">
        <w:t xml:space="preserve">La armadura transversal del recrecido estructural del pretil y la armadura vertical del recrecido de las aletas se anclará a la </w:t>
      </w:r>
      <w:proofErr w:type="gramStart"/>
      <w:r w:rsidRPr="00D921B6">
        <w:t>losa  y</w:t>
      </w:r>
      <w:proofErr w:type="gramEnd"/>
      <w:r w:rsidRPr="00D921B6">
        <w:t xml:space="preserve"> a las aletas existentes respectivamente, mediante resina HIT-</w:t>
      </w:r>
      <w:proofErr w:type="gramStart"/>
      <w:r w:rsidRPr="00D921B6">
        <w:t>RE 500</w:t>
      </w:r>
      <w:proofErr w:type="gramEnd"/>
      <w:r w:rsidRPr="00D921B6">
        <w:t xml:space="preserve"> o similar, en los casos en los que la longitud de anclaje </w:t>
      </w:r>
      <w:r w:rsidRPr="00D921B6">
        <w:lastRenderedPageBreak/>
        <w:t xml:space="preserve">sea como máximo de 200 </w:t>
      </w:r>
      <w:proofErr w:type="spellStart"/>
      <w:r w:rsidRPr="00D921B6">
        <w:t>mm.</w:t>
      </w:r>
      <w:proofErr w:type="spellEnd"/>
      <w:r w:rsidRPr="00D921B6">
        <w:t xml:space="preserve"> Para longitudes de anclaje superiores, la armadura </w:t>
      </w:r>
      <w:r w:rsidR="00217216" w:rsidRPr="00D921B6">
        <w:t>se</w:t>
      </w:r>
      <w:r w:rsidRPr="00D921B6">
        <w:t xml:space="preserve"> anclará a la losa del tablero mediante lechada de cemento.</w:t>
      </w:r>
    </w:p>
    <w:p w14:paraId="0BE0E311" w14:textId="77777777" w:rsidR="00F40D05" w:rsidRPr="00F40D05" w:rsidRDefault="00F40D05" w:rsidP="00EF1D61">
      <w:pPr>
        <w:pStyle w:val="NORMAL12"/>
        <w:rPr>
          <w:i/>
          <w:u w:val="single"/>
        </w:rPr>
      </w:pPr>
      <w:r w:rsidRPr="00F40D05">
        <w:rPr>
          <w:i/>
          <w:u w:val="single"/>
        </w:rPr>
        <w:t>Tipos de acero</w:t>
      </w:r>
    </w:p>
    <w:p w14:paraId="4D73C75C" w14:textId="77777777" w:rsidR="00EF1D61" w:rsidRPr="002005BA" w:rsidRDefault="00EF1D61" w:rsidP="00EF1D61">
      <w:pPr>
        <w:pStyle w:val="NORMAL12"/>
      </w:pPr>
      <w:r w:rsidRPr="002005BA">
        <w:t>Los tipos de aceros a emplear son los siguientes: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1"/>
        <w:gridCol w:w="3280"/>
      </w:tblGrid>
      <w:tr w:rsidR="00EF1D61" w:rsidRPr="002005BA" w14:paraId="7F412213" w14:textId="77777777" w:rsidTr="003234D0">
        <w:trPr>
          <w:trHeight w:val="348"/>
          <w:jc w:val="center"/>
        </w:trPr>
        <w:tc>
          <w:tcPr>
            <w:tcW w:w="2971" w:type="dxa"/>
            <w:shd w:val="clear" w:color="auto" w:fill="D9D9D9" w:themeFill="background1" w:themeFillShade="D9"/>
            <w:vAlign w:val="center"/>
          </w:tcPr>
          <w:p w14:paraId="6DB3F97F" w14:textId="77777777" w:rsidR="00EF1D61" w:rsidRPr="003234D0" w:rsidRDefault="00EF1D61" w:rsidP="008B7069">
            <w:pPr>
              <w:jc w:val="center"/>
              <w:rPr>
                <w:rFonts w:ascii="Arial" w:hAnsi="Arial" w:cs="Arial"/>
                <w:b/>
                <w:sz w:val="20"/>
                <w:szCs w:val="20"/>
              </w:rPr>
            </w:pPr>
            <w:r w:rsidRPr="003234D0">
              <w:rPr>
                <w:rFonts w:ascii="Arial" w:hAnsi="Arial" w:cs="Arial"/>
                <w:b/>
                <w:sz w:val="20"/>
                <w:szCs w:val="20"/>
              </w:rPr>
              <w:t>Tipo</w:t>
            </w:r>
          </w:p>
        </w:tc>
        <w:tc>
          <w:tcPr>
            <w:tcW w:w="3280" w:type="dxa"/>
            <w:shd w:val="clear" w:color="auto" w:fill="D9D9D9" w:themeFill="background1" w:themeFillShade="D9"/>
            <w:vAlign w:val="center"/>
          </w:tcPr>
          <w:p w14:paraId="2C777E9D" w14:textId="77777777" w:rsidR="00EF1D61" w:rsidRPr="003234D0" w:rsidRDefault="00EF1D61" w:rsidP="008B7069">
            <w:pPr>
              <w:jc w:val="center"/>
              <w:rPr>
                <w:rFonts w:ascii="Arial" w:hAnsi="Arial" w:cs="Arial"/>
                <w:b/>
                <w:sz w:val="20"/>
                <w:szCs w:val="20"/>
              </w:rPr>
            </w:pPr>
            <w:r w:rsidRPr="003234D0">
              <w:rPr>
                <w:rFonts w:ascii="Arial" w:hAnsi="Arial" w:cs="Arial"/>
                <w:b/>
                <w:sz w:val="20"/>
                <w:szCs w:val="20"/>
              </w:rPr>
              <w:t>Empleo</w:t>
            </w:r>
          </w:p>
        </w:tc>
      </w:tr>
      <w:tr w:rsidR="00EF1D61" w:rsidRPr="002005BA" w14:paraId="7063B0BD" w14:textId="77777777" w:rsidTr="008B7069">
        <w:trPr>
          <w:trHeight w:val="348"/>
          <w:jc w:val="center"/>
        </w:trPr>
        <w:tc>
          <w:tcPr>
            <w:tcW w:w="2971" w:type="dxa"/>
            <w:vAlign w:val="center"/>
          </w:tcPr>
          <w:p w14:paraId="00C53954" w14:textId="77777777" w:rsidR="00EF1D61" w:rsidRPr="008B7069" w:rsidRDefault="00EF1D61" w:rsidP="008B7069">
            <w:pPr>
              <w:jc w:val="center"/>
              <w:rPr>
                <w:rFonts w:ascii="Arial" w:hAnsi="Arial" w:cs="Arial"/>
                <w:sz w:val="20"/>
                <w:szCs w:val="20"/>
              </w:rPr>
            </w:pPr>
            <w:r w:rsidRPr="008B7069">
              <w:rPr>
                <w:rFonts w:ascii="Arial" w:hAnsi="Arial" w:cs="Arial"/>
                <w:sz w:val="20"/>
                <w:szCs w:val="20"/>
              </w:rPr>
              <w:t>Grado 8.8</w:t>
            </w:r>
          </w:p>
        </w:tc>
        <w:tc>
          <w:tcPr>
            <w:tcW w:w="3280" w:type="dxa"/>
            <w:vAlign w:val="center"/>
          </w:tcPr>
          <w:p w14:paraId="2934F9E6" w14:textId="77777777" w:rsidR="00EF1D61" w:rsidRPr="008B7069" w:rsidRDefault="00EF1D61" w:rsidP="008B7069">
            <w:pPr>
              <w:jc w:val="center"/>
              <w:rPr>
                <w:rFonts w:ascii="Arial" w:hAnsi="Arial" w:cs="Arial"/>
                <w:sz w:val="20"/>
                <w:szCs w:val="20"/>
              </w:rPr>
            </w:pPr>
            <w:r w:rsidRPr="008B7069">
              <w:rPr>
                <w:rFonts w:ascii="Arial" w:hAnsi="Arial" w:cs="Arial"/>
                <w:sz w:val="20"/>
                <w:szCs w:val="20"/>
              </w:rPr>
              <w:t>Pernos</w:t>
            </w:r>
          </w:p>
        </w:tc>
      </w:tr>
      <w:tr w:rsidR="00EF1D61" w:rsidRPr="002005BA" w14:paraId="22744700" w14:textId="77777777" w:rsidTr="008B7069">
        <w:trPr>
          <w:trHeight w:val="380"/>
          <w:jc w:val="center"/>
        </w:trPr>
        <w:tc>
          <w:tcPr>
            <w:tcW w:w="2971" w:type="dxa"/>
            <w:vAlign w:val="center"/>
          </w:tcPr>
          <w:p w14:paraId="3B80333E" w14:textId="77777777" w:rsidR="00EF1D61" w:rsidRPr="008B7069" w:rsidRDefault="00EF1D61" w:rsidP="008B7069">
            <w:pPr>
              <w:jc w:val="center"/>
              <w:rPr>
                <w:rFonts w:ascii="Arial" w:hAnsi="Arial" w:cs="Arial"/>
                <w:sz w:val="20"/>
                <w:szCs w:val="20"/>
              </w:rPr>
            </w:pPr>
            <w:r w:rsidRPr="008B7069">
              <w:rPr>
                <w:rFonts w:ascii="Arial" w:hAnsi="Arial" w:cs="Arial"/>
                <w:sz w:val="20"/>
                <w:szCs w:val="20"/>
              </w:rPr>
              <w:t>B 500 S</w:t>
            </w:r>
          </w:p>
        </w:tc>
        <w:tc>
          <w:tcPr>
            <w:tcW w:w="3280" w:type="dxa"/>
            <w:vAlign w:val="center"/>
          </w:tcPr>
          <w:p w14:paraId="403A9509" w14:textId="77777777" w:rsidR="00EF1D61" w:rsidRPr="008B7069" w:rsidRDefault="00EF1D61" w:rsidP="008B7069">
            <w:pPr>
              <w:jc w:val="center"/>
              <w:rPr>
                <w:rFonts w:ascii="Arial" w:hAnsi="Arial" w:cs="Arial"/>
                <w:sz w:val="20"/>
                <w:szCs w:val="20"/>
              </w:rPr>
            </w:pPr>
            <w:r w:rsidRPr="008B7069">
              <w:rPr>
                <w:rFonts w:ascii="Arial" w:hAnsi="Arial" w:cs="Arial"/>
                <w:sz w:val="20"/>
                <w:szCs w:val="20"/>
              </w:rPr>
              <w:t>Barras de anclaje</w:t>
            </w:r>
          </w:p>
        </w:tc>
      </w:tr>
    </w:tbl>
    <w:p w14:paraId="61D47E79" w14:textId="77777777" w:rsidR="00F40D05" w:rsidRPr="00F40D05" w:rsidRDefault="00F40D05" w:rsidP="00EF1D61">
      <w:pPr>
        <w:pStyle w:val="NORMAL12"/>
        <w:rPr>
          <w:i/>
          <w:u w:val="single"/>
        </w:rPr>
      </w:pPr>
      <w:r w:rsidRPr="00F40D05">
        <w:rPr>
          <w:i/>
          <w:u w:val="single"/>
        </w:rPr>
        <w:t>Resina de anclaje</w:t>
      </w:r>
    </w:p>
    <w:p w14:paraId="3004DFFE" w14:textId="77777777" w:rsidR="00EF1D61" w:rsidRPr="002005BA" w:rsidRDefault="00EF1D61" w:rsidP="00EF1D61">
      <w:pPr>
        <w:pStyle w:val="NORMAL12"/>
      </w:pPr>
      <w:r w:rsidRPr="002005BA">
        <w:t>La adherencia entre acero y hormigón es necesaria para la interacción entre ambos materiales. Sin esta propiedad, el hormigón armado es inconcebible en sus aplicaciones, dado que la barra transmite tensiones al hormigón que le rodea por medio de la adherencia.</w:t>
      </w:r>
    </w:p>
    <w:p w14:paraId="4611ECAA" w14:textId="77777777" w:rsidR="00EF1D61" w:rsidRPr="002005BA" w:rsidRDefault="00EF1D61" w:rsidP="00EF1D61">
      <w:pPr>
        <w:pStyle w:val="NORMAL12"/>
      </w:pPr>
      <w:r w:rsidRPr="002005BA">
        <w:t xml:space="preserve">Además, la adherencia acero-hormigón influye sobre la rigidez de las piezas, </w:t>
      </w:r>
      <w:proofErr w:type="gramStart"/>
      <w:r w:rsidRPr="002005BA">
        <w:t>y</w:t>
      </w:r>
      <w:proofErr w:type="gramEnd"/>
      <w:r w:rsidRPr="002005BA">
        <w:t xml:space="preserve"> por tanto, sobre su deformabilidad.</w:t>
      </w:r>
    </w:p>
    <w:p w14:paraId="38B103FC" w14:textId="77777777" w:rsidR="00EF1D61" w:rsidRPr="002005BA" w:rsidRDefault="00EF1D61" w:rsidP="00EF1D61">
      <w:pPr>
        <w:pStyle w:val="NORMAL12"/>
      </w:pPr>
      <w:r w:rsidRPr="002005BA">
        <w:t>El fenómeno de la adherencia tiene su origen en dos tipos de fenómenos: uno de naturaleza física (</w:t>
      </w:r>
      <w:proofErr w:type="gramStart"/>
      <w:r w:rsidRPr="002005BA">
        <w:t>físico-química</w:t>
      </w:r>
      <w:proofErr w:type="gramEnd"/>
      <w:r w:rsidRPr="002005BA">
        <w:t>) y otro de naturaleza mecánica.</w:t>
      </w:r>
    </w:p>
    <w:p w14:paraId="79F2A64C" w14:textId="77777777" w:rsidR="00EF1D61" w:rsidRPr="002005BA" w:rsidRDefault="00EF1D61" w:rsidP="00EF1D61">
      <w:pPr>
        <w:pStyle w:val="NORMAL12"/>
      </w:pPr>
      <w:r w:rsidRPr="002005BA">
        <w:t xml:space="preserve">De los mecanismos </w:t>
      </w:r>
      <w:proofErr w:type="gramStart"/>
      <w:r w:rsidRPr="002005BA">
        <w:t>físico-químicos</w:t>
      </w:r>
      <w:proofErr w:type="gramEnd"/>
      <w:r w:rsidRPr="002005BA">
        <w:t xml:space="preserve"> se define la adhesión, fundamentada a partir de las fuerzas moleculares desarrolladas en las interfaces de contacto.</w:t>
      </w:r>
    </w:p>
    <w:p w14:paraId="6CE2A3F3" w14:textId="77777777" w:rsidR="00EF1D61" w:rsidRPr="002005BA" w:rsidRDefault="00EF1D61" w:rsidP="00EF1D61">
      <w:pPr>
        <w:pStyle w:val="NORMAL12"/>
      </w:pPr>
      <w:r w:rsidRPr="002005BA">
        <w:t>De los mecanismos de adherencia de naturaleza mecánica, más importantes en valor absoluto, se encuentran los fenómenos de rozamiento y acuñamiento. El rozamiento se origina por la irregularidad de las superficies cuando se inicia un deslizamiento relativo entre ellas, y se generan unas tensiones tangenciales en la superficie de contacto.</w:t>
      </w:r>
    </w:p>
    <w:p w14:paraId="4DB8824F" w14:textId="77777777" w:rsidR="00EF1D61" w:rsidRPr="002005BA" w:rsidRDefault="00EF1D61" w:rsidP="00EF1D61">
      <w:pPr>
        <w:pStyle w:val="NORMAL12"/>
        <w:rPr>
          <w:rFonts w:eastAsia="SimSun"/>
          <w:lang w:eastAsia="zh-CN"/>
        </w:rPr>
      </w:pPr>
      <w:r w:rsidRPr="002005BA">
        <w:t>La suma de adhesión y rozamiento confiere a las barras lisas la totalidad de la adherencia, resultando en cambio una parte relativamente baja de la capacidad total en el</w:t>
      </w:r>
      <w:r w:rsidRPr="002005BA">
        <w:rPr>
          <w:rFonts w:eastAsia="SimSun"/>
          <w:lang w:eastAsia="zh-CN"/>
        </w:rPr>
        <w:t xml:space="preserve"> caso de los pernos o tornillos.</w:t>
      </w:r>
    </w:p>
    <w:p w14:paraId="3A6BF33B" w14:textId="77777777" w:rsidR="00EF1D61" w:rsidRPr="002005BA" w:rsidRDefault="00EF1D61" w:rsidP="00EF1D61">
      <w:pPr>
        <w:pStyle w:val="NORMAL12"/>
      </w:pPr>
      <w:r w:rsidRPr="002005BA">
        <w:t xml:space="preserve">El fenómeno importante de adherencia cuando se trata de </w:t>
      </w:r>
      <w:proofErr w:type="gramStart"/>
      <w:r w:rsidRPr="002005BA">
        <w:t>pernos,</w:t>
      </w:r>
      <w:proofErr w:type="gramEnd"/>
      <w:r w:rsidRPr="002005BA">
        <w:t xml:space="preserve"> es el acuñamiento que sufre el hormigón al actuar contra él los frentes de la rosca.</w:t>
      </w:r>
    </w:p>
    <w:p w14:paraId="5A5EF2CD" w14:textId="77777777" w:rsidR="00EF1D61" w:rsidRPr="002005BA" w:rsidRDefault="00EF1D61" w:rsidP="00EF1D61">
      <w:pPr>
        <w:pStyle w:val="NORMAL12"/>
      </w:pPr>
      <w:r w:rsidRPr="002005BA">
        <w:t>En los pernos puede llegar a ser del 70% al 90% de la tensión última de adherencia. Ello significa que en los tornillos puede, simplificadamente, considerarse que la totalidad de tracción del perno se transfiere al hormigón a través de la rosca, ignorando la influencia de la adhesión y rozamiento.</w:t>
      </w:r>
    </w:p>
    <w:p w14:paraId="0795908C" w14:textId="77777777" w:rsidR="00EF1D61" w:rsidRPr="002005BA" w:rsidRDefault="00EF1D61" w:rsidP="00EF1D61">
      <w:pPr>
        <w:pStyle w:val="NORMAL12"/>
      </w:pPr>
      <w:r w:rsidRPr="002005BA">
        <w:t>Como norma general, resulta recomendable diseñar los anclajes de modo que su capacidad resistente se corresponda con la del acero y no con la del hormigón. Es decir, conviene garantizar que el acero sea capaz de alcanzar, ante solicitaciones imprevistas, una tensión equivalente a su límite elástico sin que, previamente se agote su capacidad adherente, recomendación que aún es de mayor interés si la solicitación es de naturaleza dinámica, pues es el modo de alcanzar un comportamiento más dúctil.</w:t>
      </w:r>
    </w:p>
    <w:p w14:paraId="0FD6F7D2" w14:textId="77777777" w:rsidR="00EF1D61" w:rsidRPr="002005BA" w:rsidRDefault="00EF1D61" w:rsidP="00EF1D61">
      <w:pPr>
        <w:pStyle w:val="NORMAL12"/>
      </w:pPr>
      <w:r w:rsidRPr="002005BA">
        <w:t xml:space="preserve">Para el dimensionamiento de anclajes pasivos en hormigón endurecido, se recomienda la formulación para anclaje de armadura longitudinal, descritos en la normativa EHE Apartado 66.5.2 así como </w:t>
      </w:r>
      <w:proofErr w:type="spellStart"/>
      <w:r w:rsidRPr="002005BA">
        <w:t>Eurocódigo</w:t>
      </w:r>
      <w:proofErr w:type="spellEnd"/>
      <w:r w:rsidRPr="002005BA">
        <w:t xml:space="preserve"> 2 </w:t>
      </w:r>
      <w:proofErr w:type="spellStart"/>
      <w:r w:rsidRPr="002005BA">
        <w:t>Env</w:t>
      </w:r>
      <w:proofErr w:type="spellEnd"/>
      <w:r w:rsidRPr="002005BA">
        <w:t xml:space="preserve"> 1992-1-1Apdo 5.2.3.2.</w:t>
      </w:r>
    </w:p>
    <w:p w14:paraId="44EDE62A" w14:textId="77777777" w:rsidR="00EF1D61" w:rsidRPr="002005BA" w:rsidRDefault="00EF1D61" w:rsidP="00EF1D61">
      <w:pPr>
        <w:pStyle w:val="NORMAL12"/>
      </w:pPr>
      <w:r w:rsidRPr="002005BA">
        <w:t>Las características técnicas fundamentales de la resina de anclaje serán:</w:t>
      </w:r>
    </w:p>
    <w:p w14:paraId="75A3BFE8" w14:textId="77777777" w:rsidR="00EF1D61" w:rsidRPr="0083474F" w:rsidRDefault="00EF1D61" w:rsidP="00221E1A">
      <w:pPr>
        <w:pStyle w:val="NORMAL12"/>
        <w:numPr>
          <w:ilvl w:val="0"/>
          <w:numId w:val="169"/>
        </w:numPr>
      </w:pPr>
      <w:r w:rsidRPr="0083474F">
        <w:t xml:space="preserve">Excelente fluidez y poder de relleno. </w:t>
      </w:r>
    </w:p>
    <w:p w14:paraId="260621A4" w14:textId="77777777" w:rsidR="00EF1D61" w:rsidRPr="0083474F" w:rsidRDefault="00EF1D61" w:rsidP="00221E1A">
      <w:pPr>
        <w:pStyle w:val="NORMAL12"/>
        <w:numPr>
          <w:ilvl w:val="0"/>
          <w:numId w:val="169"/>
        </w:numPr>
      </w:pPr>
      <w:r w:rsidRPr="0083474F">
        <w:t xml:space="preserve">Endurecimiento sin retracción. </w:t>
      </w:r>
    </w:p>
    <w:p w14:paraId="54455BE1" w14:textId="77777777" w:rsidR="00EF1D61" w:rsidRPr="0083474F" w:rsidRDefault="00EF1D61" w:rsidP="00221E1A">
      <w:pPr>
        <w:pStyle w:val="NORMAL12"/>
        <w:numPr>
          <w:ilvl w:val="0"/>
          <w:numId w:val="169"/>
        </w:numPr>
      </w:pPr>
      <w:r w:rsidRPr="0083474F">
        <w:t xml:space="preserve">Una vez endurecido es resistente e impermeable al agua. </w:t>
      </w:r>
    </w:p>
    <w:p w14:paraId="03E2B5A3" w14:textId="77777777" w:rsidR="00EF1D61" w:rsidRPr="0083474F" w:rsidRDefault="00EF1D61" w:rsidP="00221E1A">
      <w:pPr>
        <w:pStyle w:val="NORMAL12"/>
        <w:numPr>
          <w:ilvl w:val="0"/>
          <w:numId w:val="169"/>
        </w:numPr>
      </w:pPr>
      <w:r w:rsidRPr="0083474F">
        <w:t xml:space="preserve">Endurecimiento rápido. </w:t>
      </w:r>
    </w:p>
    <w:p w14:paraId="2B5EDB19" w14:textId="77777777" w:rsidR="00EF1D61" w:rsidRPr="0083474F" w:rsidRDefault="00EF1D61" w:rsidP="00221E1A">
      <w:pPr>
        <w:pStyle w:val="NORMAL12"/>
        <w:numPr>
          <w:ilvl w:val="0"/>
          <w:numId w:val="169"/>
        </w:numPr>
      </w:pPr>
      <w:r w:rsidRPr="0083474F">
        <w:t>Excelente resistencia química.</w:t>
      </w:r>
    </w:p>
    <w:p w14:paraId="7108205A" w14:textId="77777777" w:rsidR="00EF1D61" w:rsidRPr="002005BA" w:rsidRDefault="00EF1D61" w:rsidP="00EF1D61">
      <w:pPr>
        <w:pStyle w:val="NORMAL12"/>
      </w:pPr>
      <w:r w:rsidRPr="002005BA">
        <w:t>Los datos técnicos de la resina de anclaje serán:</w:t>
      </w:r>
    </w:p>
    <w:p w14:paraId="5FCE0777" w14:textId="77777777" w:rsidR="00EF1D61" w:rsidRPr="0083474F" w:rsidRDefault="00EF1D61" w:rsidP="00221E1A">
      <w:pPr>
        <w:pStyle w:val="NORMAL12"/>
        <w:numPr>
          <w:ilvl w:val="0"/>
          <w:numId w:val="169"/>
        </w:numPr>
      </w:pPr>
      <w:proofErr w:type="gramStart"/>
      <w:r w:rsidRPr="0083474F">
        <w:t>Densidad amasado</w:t>
      </w:r>
      <w:proofErr w:type="gramEnd"/>
      <w:r w:rsidRPr="0083474F">
        <w:t>: Aprox. 1,7 g/cm</w:t>
      </w:r>
      <w:r w:rsidRPr="00241CBC">
        <w:rPr>
          <w:vertAlign w:val="superscript"/>
        </w:rPr>
        <w:t>3</w:t>
      </w:r>
    </w:p>
    <w:p w14:paraId="7E015A49" w14:textId="77777777" w:rsidR="00EF1D61" w:rsidRPr="0083474F" w:rsidRDefault="00EF1D61" w:rsidP="00221E1A">
      <w:pPr>
        <w:pStyle w:val="NORMAL12"/>
        <w:numPr>
          <w:ilvl w:val="0"/>
          <w:numId w:val="169"/>
        </w:numPr>
      </w:pPr>
      <w:r w:rsidRPr="0083474F">
        <w:t xml:space="preserve">Temperatura de aplicación (soporte y material):    De + 5 a +30 </w:t>
      </w:r>
      <w:proofErr w:type="spellStart"/>
      <w:r w:rsidRPr="0083474F">
        <w:t>ºC</w:t>
      </w:r>
      <w:proofErr w:type="spellEnd"/>
    </w:p>
    <w:p w14:paraId="14F19E9B" w14:textId="77777777" w:rsidR="00EF1D61" w:rsidRPr="0083474F" w:rsidRDefault="00EF1D61" w:rsidP="00221E1A">
      <w:pPr>
        <w:pStyle w:val="NORMAL12"/>
        <w:numPr>
          <w:ilvl w:val="0"/>
          <w:numId w:val="169"/>
        </w:numPr>
      </w:pPr>
      <w:proofErr w:type="spellStart"/>
      <w:r w:rsidRPr="0083474F">
        <w:t>Pot-life</w:t>
      </w:r>
      <w:proofErr w:type="spellEnd"/>
      <w:r w:rsidRPr="0083474F">
        <w:t>: Aprox. 30 minutos</w:t>
      </w:r>
    </w:p>
    <w:p w14:paraId="145E4BFF" w14:textId="77777777" w:rsidR="00EF1D61" w:rsidRPr="0083474F" w:rsidRDefault="00EF1D61" w:rsidP="00221E1A">
      <w:pPr>
        <w:pStyle w:val="NORMAL12"/>
        <w:numPr>
          <w:ilvl w:val="0"/>
          <w:numId w:val="169"/>
        </w:numPr>
      </w:pPr>
      <w:r w:rsidRPr="0083474F">
        <w:t>Tiempo de trabajabilidad: Aprox. 90 minutos</w:t>
      </w:r>
    </w:p>
    <w:p w14:paraId="00962525" w14:textId="77777777" w:rsidR="00EF1D61" w:rsidRPr="0083474F" w:rsidRDefault="00EF1D61" w:rsidP="00221E1A">
      <w:pPr>
        <w:pStyle w:val="NORMAL12"/>
        <w:numPr>
          <w:ilvl w:val="0"/>
          <w:numId w:val="169"/>
        </w:numPr>
      </w:pPr>
      <w:r w:rsidRPr="0083474F">
        <w:t>Espesores aplicables: 3 cm Máximo</w:t>
      </w:r>
    </w:p>
    <w:p w14:paraId="1B1BB610" w14:textId="77777777" w:rsidR="00EF1D61" w:rsidRPr="0083474F" w:rsidRDefault="00EF1D61" w:rsidP="00221E1A">
      <w:pPr>
        <w:pStyle w:val="NORMAL12"/>
        <w:numPr>
          <w:ilvl w:val="0"/>
          <w:numId w:val="169"/>
        </w:numPr>
      </w:pPr>
      <w:r w:rsidRPr="0083474F">
        <w:t xml:space="preserve">Resistencia a la temperatura:    Entre -20 a + 80 </w:t>
      </w:r>
      <w:proofErr w:type="spellStart"/>
      <w:r w:rsidRPr="0083474F">
        <w:t>ºC</w:t>
      </w:r>
      <w:proofErr w:type="spellEnd"/>
      <w:r w:rsidRPr="0083474F">
        <w:t xml:space="preserve"> </w:t>
      </w:r>
    </w:p>
    <w:p w14:paraId="11245171" w14:textId="77777777" w:rsidR="00EF1D61" w:rsidRPr="0083474F" w:rsidRDefault="00EF1D61" w:rsidP="00221E1A">
      <w:pPr>
        <w:pStyle w:val="NORMAL12"/>
        <w:numPr>
          <w:ilvl w:val="0"/>
          <w:numId w:val="169"/>
        </w:numPr>
      </w:pPr>
      <w:r w:rsidRPr="0083474F">
        <w:t xml:space="preserve">Endurecido tras a +20ºC:    Aprox. 12 horas </w:t>
      </w:r>
    </w:p>
    <w:p w14:paraId="395521EC" w14:textId="77777777" w:rsidR="00EF1D61" w:rsidRPr="0083474F" w:rsidRDefault="00EF1D61" w:rsidP="00221E1A">
      <w:pPr>
        <w:pStyle w:val="NORMAL12"/>
        <w:numPr>
          <w:ilvl w:val="0"/>
          <w:numId w:val="169"/>
        </w:numPr>
      </w:pPr>
      <w:r w:rsidRPr="0083474F">
        <w:lastRenderedPageBreak/>
        <w:t>Totalmente cargable tras:    Aprox. 1 día</w:t>
      </w:r>
    </w:p>
    <w:p w14:paraId="12032FF8" w14:textId="77777777" w:rsidR="00EF1D61" w:rsidRPr="0083474F" w:rsidRDefault="00EF1D61" w:rsidP="00221E1A">
      <w:pPr>
        <w:pStyle w:val="NORMAL12"/>
        <w:numPr>
          <w:ilvl w:val="0"/>
          <w:numId w:val="169"/>
        </w:numPr>
      </w:pPr>
      <w:r w:rsidRPr="0083474F">
        <w:t xml:space="preserve">Resistencia a compresión tras: </w:t>
      </w:r>
    </w:p>
    <w:p w14:paraId="1F53F4FE" w14:textId="77777777" w:rsidR="00EF1D61" w:rsidRPr="0083474F" w:rsidRDefault="00EF1D61" w:rsidP="00221E1A">
      <w:pPr>
        <w:pStyle w:val="NORMAL12"/>
        <w:numPr>
          <w:ilvl w:val="1"/>
          <w:numId w:val="169"/>
        </w:numPr>
      </w:pPr>
      <w:r w:rsidRPr="0083474F">
        <w:t>1 hora:    Aprox. 19 N/mm</w:t>
      </w:r>
      <w:r w:rsidRPr="00E34DE7">
        <w:rPr>
          <w:vertAlign w:val="superscript"/>
        </w:rPr>
        <w:t>2</w:t>
      </w:r>
    </w:p>
    <w:p w14:paraId="72EA7B14" w14:textId="77777777" w:rsidR="00EF1D61" w:rsidRPr="0083474F" w:rsidRDefault="00EF1D61" w:rsidP="00221E1A">
      <w:pPr>
        <w:pStyle w:val="NORMAL12"/>
        <w:numPr>
          <w:ilvl w:val="1"/>
          <w:numId w:val="169"/>
        </w:numPr>
      </w:pPr>
      <w:r w:rsidRPr="0083474F">
        <w:t>2 horas:   Aprox. 64 N/mm</w:t>
      </w:r>
      <w:r w:rsidRPr="00E34DE7">
        <w:rPr>
          <w:vertAlign w:val="superscript"/>
        </w:rPr>
        <w:t>2</w:t>
      </w:r>
    </w:p>
    <w:p w14:paraId="2880A10F" w14:textId="77777777" w:rsidR="00EF1D61" w:rsidRPr="0083474F" w:rsidRDefault="00EF1D61" w:rsidP="00221E1A">
      <w:pPr>
        <w:pStyle w:val="NORMAL12"/>
        <w:numPr>
          <w:ilvl w:val="1"/>
          <w:numId w:val="169"/>
        </w:numPr>
      </w:pPr>
      <w:r w:rsidRPr="0083474F">
        <w:t>5 horas:   Aprox. 85 N/mm</w:t>
      </w:r>
      <w:r w:rsidRPr="00E34DE7">
        <w:rPr>
          <w:vertAlign w:val="superscript"/>
        </w:rPr>
        <w:t>2</w:t>
      </w:r>
    </w:p>
    <w:p w14:paraId="69AF7A6A" w14:textId="77777777" w:rsidR="00EF1D61" w:rsidRPr="0083474F" w:rsidRDefault="00EF1D61" w:rsidP="00221E1A">
      <w:pPr>
        <w:pStyle w:val="NORMAL12"/>
        <w:numPr>
          <w:ilvl w:val="1"/>
          <w:numId w:val="169"/>
        </w:numPr>
      </w:pPr>
      <w:r w:rsidRPr="0083474F">
        <w:t>20 horas:   Aprox. N/mm</w:t>
      </w:r>
      <w:r w:rsidRPr="00E34DE7">
        <w:rPr>
          <w:vertAlign w:val="superscript"/>
        </w:rPr>
        <w:t>2</w:t>
      </w:r>
    </w:p>
    <w:p w14:paraId="0BF816AB" w14:textId="77777777" w:rsidR="00EF1D61" w:rsidRPr="0083474F" w:rsidRDefault="00EF1D61" w:rsidP="00221E1A">
      <w:pPr>
        <w:pStyle w:val="NORMAL12"/>
        <w:numPr>
          <w:ilvl w:val="1"/>
          <w:numId w:val="169"/>
        </w:numPr>
      </w:pPr>
      <w:r w:rsidRPr="0083474F">
        <w:t>1 día:  Aprox. 100 N/mm</w:t>
      </w:r>
      <w:r w:rsidRPr="00E34DE7">
        <w:rPr>
          <w:vertAlign w:val="superscript"/>
        </w:rPr>
        <w:t>2</w:t>
      </w:r>
    </w:p>
    <w:p w14:paraId="478A4FA6" w14:textId="77777777" w:rsidR="00EF1D61" w:rsidRPr="0083474F" w:rsidRDefault="00EF1D61" w:rsidP="00221E1A">
      <w:pPr>
        <w:pStyle w:val="NORMAL12"/>
        <w:numPr>
          <w:ilvl w:val="1"/>
          <w:numId w:val="169"/>
        </w:numPr>
      </w:pPr>
      <w:r w:rsidRPr="0083474F">
        <w:t>7 días: Aprox. 113 N/mm</w:t>
      </w:r>
      <w:r w:rsidRPr="00E34DE7">
        <w:rPr>
          <w:vertAlign w:val="superscript"/>
        </w:rPr>
        <w:t>2</w:t>
      </w:r>
    </w:p>
    <w:p w14:paraId="201E6F9E" w14:textId="77777777" w:rsidR="00EF1D61" w:rsidRPr="0083474F" w:rsidRDefault="00EF1D61" w:rsidP="00221E1A">
      <w:pPr>
        <w:pStyle w:val="NORMAL12"/>
        <w:numPr>
          <w:ilvl w:val="0"/>
          <w:numId w:val="169"/>
        </w:numPr>
      </w:pPr>
      <w:r w:rsidRPr="0083474F">
        <w:t xml:space="preserve">Resistencia a </w:t>
      </w:r>
      <w:proofErr w:type="spellStart"/>
      <w:r w:rsidRPr="0083474F">
        <w:t>flexotracción</w:t>
      </w:r>
      <w:proofErr w:type="spellEnd"/>
      <w:r w:rsidRPr="0083474F">
        <w:t xml:space="preserve"> a +20ºC   tras: </w:t>
      </w:r>
    </w:p>
    <w:p w14:paraId="4AACD1D8" w14:textId="77777777" w:rsidR="00EF1D61" w:rsidRPr="0083474F" w:rsidRDefault="00EF1D61" w:rsidP="00221E1A">
      <w:pPr>
        <w:pStyle w:val="NORMAL12"/>
        <w:numPr>
          <w:ilvl w:val="1"/>
          <w:numId w:val="169"/>
        </w:numPr>
      </w:pPr>
      <w:r w:rsidRPr="0083474F">
        <w:t>2 horas:  &gt; 24 N/mm</w:t>
      </w:r>
      <w:r w:rsidRPr="00E34DE7">
        <w:rPr>
          <w:vertAlign w:val="superscript"/>
        </w:rPr>
        <w:t>2</w:t>
      </w:r>
    </w:p>
    <w:p w14:paraId="62FB3651" w14:textId="77777777" w:rsidR="00EF1D61" w:rsidRPr="0083474F" w:rsidRDefault="00EF1D61" w:rsidP="00221E1A">
      <w:pPr>
        <w:pStyle w:val="NORMAL12"/>
        <w:numPr>
          <w:ilvl w:val="1"/>
          <w:numId w:val="169"/>
        </w:numPr>
      </w:pPr>
      <w:r w:rsidRPr="0083474F">
        <w:t>5 horas:  &gt; 24 N/mm</w:t>
      </w:r>
      <w:r w:rsidRPr="00E34DE7">
        <w:rPr>
          <w:vertAlign w:val="superscript"/>
        </w:rPr>
        <w:t>2</w:t>
      </w:r>
    </w:p>
    <w:p w14:paraId="5A5F9C03" w14:textId="77777777" w:rsidR="00EF1D61" w:rsidRPr="0083474F" w:rsidRDefault="00EF1D61" w:rsidP="00221E1A">
      <w:pPr>
        <w:pStyle w:val="NORMAL12"/>
        <w:numPr>
          <w:ilvl w:val="1"/>
          <w:numId w:val="169"/>
        </w:numPr>
      </w:pPr>
      <w:r w:rsidRPr="0083474F">
        <w:t>20 horas:  &gt; 24 N/mm</w:t>
      </w:r>
      <w:r w:rsidRPr="00E34DE7">
        <w:rPr>
          <w:vertAlign w:val="superscript"/>
        </w:rPr>
        <w:t>2</w:t>
      </w:r>
    </w:p>
    <w:p w14:paraId="20F11015" w14:textId="77777777" w:rsidR="00EF1D61" w:rsidRPr="0083474F" w:rsidRDefault="00EF1D61" w:rsidP="00221E1A">
      <w:pPr>
        <w:pStyle w:val="NORMAL12"/>
        <w:numPr>
          <w:ilvl w:val="1"/>
          <w:numId w:val="169"/>
        </w:numPr>
      </w:pPr>
      <w:r w:rsidRPr="0083474F">
        <w:t>1 día:  &gt; 24 N/mm</w:t>
      </w:r>
      <w:r w:rsidRPr="00E34DE7">
        <w:rPr>
          <w:vertAlign w:val="superscript"/>
        </w:rPr>
        <w:t>2</w:t>
      </w:r>
    </w:p>
    <w:p w14:paraId="5B02CC2B" w14:textId="77777777" w:rsidR="00EF1D61" w:rsidRPr="0083474F" w:rsidRDefault="00EF1D61" w:rsidP="00221E1A">
      <w:pPr>
        <w:pStyle w:val="NORMAL12"/>
        <w:numPr>
          <w:ilvl w:val="1"/>
          <w:numId w:val="169"/>
        </w:numPr>
      </w:pPr>
      <w:r w:rsidRPr="0083474F">
        <w:t xml:space="preserve"> 7 días: &gt; 24 N/mm</w:t>
      </w:r>
      <w:r w:rsidRPr="00E34DE7">
        <w:rPr>
          <w:vertAlign w:val="superscript"/>
        </w:rPr>
        <w:t>2</w:t>
      </w:r>
    </w:p>
    <w:p w14:paraId="155F85F5" w14:textId="77777777" w:rsidR="00EF1D61" w:rsidRPr="002005BA" w:rsidRDefault="00EF1D61" w:rsidP="000313DD">
      <w:pPr>
        <w:pStyle w:val="TITU2"/>
      </w:pPr>
      <w:bookmarkStart w:id="853" w:name="_Toc404093698"/>
      <w:bookmarkStart w:id="854" w:name="_Toc407722979"/>
      <w:bookmarkStart w:id="855" w:name="_Toc409167306"/>
      <w:bookmarkStart w:id="856" w:name="_Toc524094413"/>
      <w:bookmarkStart w:id="857" w:name="_Toc528601299"/>
      <w:bookmarkStart w:id="858" w:name="_Toc404472"/>
      <w:r w:rsidRPr="002005BA">
        <w:t>6</w:t>
      </w:r>
      <w:r w:rsidR="008B7069">
        <w:t>75</w:t>
      </w:r>
      <w:r w:rsidRPr="002005BA">
        <w:t>.</w:t>
      </w:r>
      <w:r w:rsidR="008B7069">
        <w:t>3</w:t>
      </w:r>
      <w:r w:rsidRPr="002005BA">
        <w:t>.</w:t>
      </w:r>
      <w:r w:rsidR="008B7069">
        <w:t xml:space="preserve"> </w:t>
      </w:r>
      <w:r w:rsidRPr="002005BA">
        <w:tab/>
        <w:t>Ejecución</w:t>
      </w:r>
      <w:bookmarkEnd w:id="853"/>
      <w:bookmarkEnd w:id="854"/>
      <w:bookmarkEnd w:id="855"/>
      <w:bookmarkEnd w:id="856"/>
      <w:bookmarkEnd w:id="857"/>
      <w:r w:rsidR="002C0CF3">
        <w:t xml:space="preserve"> de las obras</w:t>
      </w:r>
      <w:bookmarkEnd w:id="858"/>
    </w:p>
    <w:p w14:paraId="0CA2D6E8" w14:textId="77777777" w:rsidR="00EF1D61" w:rsidRPr="008B7069" w:rsidRDefault="00EF1D61" w:rsidP="008B7069">
      <w:pPr>
        <w:pStyle w:val="NORMAL12"/>
        <w:rPr>
          <w:u w:val="single"/>
        </w:rPr>
      </w:pPr>
      <w:r w:rsidRPr="008B7069">
        <w:rPr>
          <w:u w:val="single"/>
        </w:rPr>
        <w:t>Ejecución y limpieza de los taladros</w:t>
      </w:r>
    </w:p>
    <w:p w14:paraId="5E1B4005" w14:textId="77777777" w:rsidR="00EF1D61" w:rsidRPr="002005BA" w:rsidRDefault="00EF1D61" w:rsidP="00EF1D61">
      <w:pPr>
        <w:pStyle w:val="NORMAL12"/>
      </w:pPr>
      <w:r w:rsidRPr="002005BA">
        <w:t xml:space="preserve">Una vez replanteada la posición de los taladros de anclaje, se procederá a su ejecución según las dimensiones indicadas en Planos. </w:t>
      </w:r>
    </w:p>
    <w:p w14:paraId="5673F36E" w14:textId="77777777" w:rsidR="00EF1D61" w:rsidRPr="008B7069" w:rsidRDefault="00EF1D61" w:rsidP="00EF1D61">
      <w:pPr>
        <w:pStyle w:val="NORMAL12"/>
      </w:pPr>
      <w:r w:rsidRPr="008B7069">
        <w:t>Posteriormente, y antes de introducir cualquier elemento en el taladro, resulta primordial limpiar mediante cepillo o aire a presión el interior del orificio, para garantizar la correcta adherencia de la resina al soporte.</w:t>
      </w:r>
    </w:p>
    <w:p w14:paraId="394EA737" w14:textId="77777777" w:rsidR="00EF1D61" w:rsidRPr="008B7069" w:rsidRDefault="00EF1D61" w:rsidP="008B7069">
      <w:pPr>
        <w:pStyle w:val="NORMAL12"/>
        <w:rPr>
          <w:i/>
          <w:u w:val="single"/>
        </w:rPr>
      </w:pPr>
      <w:r w:rsidRPr="008B7069">
        <w:rPr>
          <w:i/>
          <w:u w:val="single"/>
        </w:rPr>
        <w:t xml:space="preserve">Disposición de la resina de anclaje </w:t>
      </w:r>
    </w:p>
    <w:p w14:paraId="1971C42C" w14:textId="77777777" w:rsidR="00EF1D61" w:rsidRPr="008B7069" w:rsidRDefault="00EF1D61" w:rsidP="00EF1D61">
      <w:pPr>
        <w:pStyle w:val="NORMAL12"/>
      </w:pPr>
      <w:r w:rsidRPr="008B7069">
        <w:t xml:space="preserve">La resina </w:t>
      </w:r>
      <w:r w:rsidR="00A93D38">
        <w:t>se</w:t>
      </w:r>
      <w:r w:rsidRPr="008B7069">
        <w:t xml:space="preserve"> presenta en envases con las proporciones adecuadas para la mezcla de los dos componentes. Verter el Componente II sobre el Componente I y mezclar con un taladro provisto de agitador tipo M17, a bajas revoluciones (400 r.p.m.), durante un mínimo de 3 minutos.  </w:t>
      </w:r>
    </w:p>
    <w:p w14:paraId="3C7F81A2" w14:textId="77777777" w:rsidR="00EF1D61" w:rsidRPr="008B7069" w:rsidRDefault="00EF1D61" w:rsidP="00EF1D61">
      <w:pPr>
        <w:pStyle w:val="NORMAL12"/>
      </w:pPr>
      <w:r w:rsidRPr="008B7069">
        <w:t>Debe evitarse en lo posible, la oclusión de aire durante el mezclado. En ningún caso son recomendables las mezclas parciales.</w:t>
      </w:r>
    </w:p>
    <w:p w14:paraId="029CFFCB" w14:textId="77777777" w:rsidR="00EF1D61" w:rsidRPr="008B7069" w:rsidRDefault="00EF1D61" w:rsidP="00EF1D61">
      <w:pPr>
        <w:pStyle w:val="NORMAL12"/>
      </w:pPr>
      <w:r w:rsidRPr="008B7069">
        <w:t>Una vez realizados los taladros y cuando éstos estén limpios y secos, se procede al vertido del mortero epoxi fluido procurando ayudar con una varilla a que llegue a todos los rincones y, especialmente, a la parte inferior de la zona de anclaje. Se debe prever una salida de aire en anclajes profundos.</w:t>
      </w:r>
    </w:p>
    <w:p w14:paraId="5C0DBD5A" w14:textId="77777777" w:rsidR="00EF1D61" w:rsidRPr="008B7069" w:rsidRDefault="00EF1D61" w:rsidP="00EF1D61">
      <w:pPr>
        <w:pStyle w:val="NORMAL12"/>
      </w:pPr>
      <w:r w:rsidRPr="008B7069">
        <w:t>Durante la aplicación de las diferentes fases de la reparación se deberán observar las temperaturas del soporte, de los materiales y del ambiente indicadas en las fichas técnicas de cada uno de los productos a emplear. Básicamente debe entenderse una temperatura mín. de + 5 º C para su correcta aplicación.</w:t>
      </w:r>
    </w:p>
    <w:p w14:paraId="1625FECA" w14:textId="77777777" w:rsidR="00EF1D61" w:rsidRPr="008B7069" w:rsidRDefault="00EF1D61" w:rsidP="00EF1D61">
      <w:pPr>
        <w:pStyle w:val="NORMAL12"/>
      </w:pPr>
      <w:r w:rsidRPr="008B7069">
        <w:t xml:space="preserve">Las resinas no serán aplicadas en presencia de rocío superficial. La temperatura del soporte debe estar al menos 3ºC por encima del punto de rocío. </w:t>
      </w:r>
    </w:p>
    <w:p w14:paraId="4AAC54BD" w14:textId="77777777" w:rsidR="00EF1D61" w:rsidRPr="008B7069" w:rsidRDefault="00EF1D61" w:rsidP="00EF1D61">
      <w:pPr>
        <w:pStyle w:val="NORMAL12"/>
      </w:pPr>
      <w:r w:rsidRPr="008B7069">
        <w:t>La humedad relativa permisible durante la aplicación será la indicada en las fichas técnicas de cada uno de los productos. Básicamente existe una limitación en el 85%.</w:t>
      </w:r>
    </w:p>
    <w:p w14:paraId="503BA9D4" w14:textId="77777777" w:rsidR="00EF1D61" w:rsidRPr="008B7069" w:rsidRDefault="00EF1D61" w:rsidP="00EF1D61">
      <w:pPr>
        <w:pStyle w:val="NORMAL12"/>
      </w:pPr>
      <w:r w:rsidRPr="008B7069">
        <w:t>En el caso de lluvias inminentes durante la ejecución, se detendrá la aplicación de las resinas.</w:t>
      </w:r>
    </w:p>
    <w:p w14:paraId="1BEF1BAF" w14:textId="77777777" w:rsidR="00EF1D61" w:rsidRPr="008B7069" w:rsidRDefault="00EF1D61" w:rsidP="008B7069">
      <w:pPr>
        <w:pStyle w:val="NORMAL12"/>
        <w:rPr>
          <w:i/>
          <w:u w:val="single"/>
        </w:rPr>
      </w:pPr>
      <w:r w:rsidRPr="008B7069">
        <w:rPr>
          <w:i/>
          <w:u w:val="single"/>
        </w:rPr>
        <w:t>Introducción de las barras/pernos de anclaje</w:t>
      </w:r>
    </w:p>
    <w:p w14:paraId="3F05D11B" w14:textId="77777777" w:rsidR="00EF1D61" w:rsidRDefault="00EF1D61" w:rsidP="00EF1D61">
      <w:pPr>
        <w:pStyle w:val="NORMAL12"/>
      </w:pPr>
      <w:r w:rsidRPr="008B7069">
        <w:t>A continuación, se introducirán las barras de anclaje, comprobándose que su posición definitiva es la indicada en Planos.</w:t>
      </w:r>
    </w:p>
    <w:p w14:paraId="5D33CC0D" w14:textId="77777777" w:rsidR="00EF1D61" w:rsidRPr="002005BA" w:rsidRDefault="00EF1D61" w:rsidP="000313DD">
      <w:pPr>
        <w:pStyle w:val="TITU2"/>
      </w:pPr>
      <w:bookmarkStart w:id="859" w:name="_Toc404093699"/>
      <w:bookmarkStart w:id="860" w:name="_Toc407722980"/>
      <w:bookmarkStart w:id="861" w:name="_Toc409167307"/>
      <w:bookmarkStart w:id="862" w:name="_Toc524094414"/>
      <w:bookmarkStart w:id="863" w:name="_Toc528601300"/>
      <w:bookmarkStart w:id="864" w:name="_Toc404473"/>
      <w:r w:rsidRPr="002005BA">
        <w:t>6</w:t>
      </w:r>
      <w:r w:rsidR="008B7069">
        <w:t>75</w:t>
      </w:r>
      <w:r w:rsidRPr="002005BA">
        <w:t>.</w:t>
      </w:r>
      <w:r w:rsidR="008B7069">
        <w:t>4</w:t>
      </w:r>
      <w:r w:rsidRPr="002005BA">
        <w:t>.</w:t>
      </w:r>
      <w:r w:rsidR="008B7069">
        <w:t xml:space="preserve"> </w:t>
      </w:r>
      <w:r w:rsidRPr="002005BA">
        <w:tab/>
        <w:t>Control de calidad</w:t>
      </w:r>
      <w:bookmarkEnd w:id="859"/>
      <w:bookmarkEnd w:id="860"/>
      <w:bookmarkEnd w:id="861"/>
      <w:bookmarkEnd w:id="862"/>
      <w:bookmarkEnd w:id="863"/>
      <w:bookmarkEnd w:id="864"/>
    </w:p>
    <w:p w14:paraId="2728075C" w14:textId="77777777" w:rsidR="00EF1D61" w:rsidRPr="008B7069" w:rsidRDefault="00EF1D61" w:rsidP="008B7069">
      <w:pPr>
        <w:pStyle w:val="NORMAL12"/>
        <w:rPr>
          <w:i/>
          <w:u w:val="single"/>
        </w:rPr>
      </w:pPr>
      <w:r w:rsidRPr="008B7069">
        <w:rPr>
          <w:i/>
          <w:u w:val="single"/>
        </w:rPr>
        <w:t>Resina de anclaje</w:t>
      </w:r>
    </w:p>
    <w:p w14:paraId="45AF18D5" w14:textId="77777777" w:rsidR="00EF1D61" w:rsidRPr="002005BA" w:rsidRDefault="00EF1D61" w:rsidP="00EF1D61">
      <w:pPr>
        <w:pStyle w:val="NORMAL12"/>
      </w:pPr>
      <w:r w:rsidRPr="002005BA">
        <w:t xml:space="preserve">Con el objeto de establecer una adecuada ejecución de las distintas fases de la obra, se establece un procedimiento de control en el que se comprueben todos los aspectos relevantes que intervienen en la misma. </w:t>
      </w:r>
    </w:p>
    <w:p w14:paraId="695876FF" w14:textId="77777777" w:rsidR="00EF1D61" w:rsidRPr="002005BA" w:rsidRDefault="00EF1D61" w:rsidP="00EF1D61">
      <w:pPr>
        <w:pStyle w:val="NORMAL12"/>
      </w:pPr>
      <w:r w:rsidRPr="002005BA">
        <w:t xml:space="preserve">Todo el material suministrado a la obra por la empresa suministradora </w:t>
      </w:r>
      <w:proofErr w:type="gramStart"/>
      <w:r w:rsidRPr="002005BA">
        <w:t>equivalente,</w:t>
      </w:r>
      <w:proofErr w:type="gramEnd"/>
      <w:r w:rsidRPr="002005BA">
        <w:t xml:space="preserve"> deberá pasar previamente los controles de Calidad especificados en su sistema de calidad. </w:t>
      </w:r>
    </w:p>
    <w:p w14:paraId="01DA09C1" w14:textId="77777777" w:rsidR="00EF1D61" w:rsidRPr="002005BA" w:rsidRDefault="00EF1D61" w:rsidP="00EF1D61">
      <w:pPr>
        <w:pStyle w:val="NORMAL12"/>
      </w:pPr>
      <w:r w:rsidRPr="002005BA">
        <w:lastRenderedPageBreak/>
        <w:t xml:space="preserve">El responsable de la obra por parte de la empresa </w:t>
      </w:r>
      <w:proofErr w:type="spellStart"/>
      <w:r w:rsidRPr="002005BA">
        <w:t>aplicadora</w:t>
      </w:r>
      <w:proofErr w:type="spellEnd"/>
      <w:r w:rsidRPr="002005BA">
        <w:t xml:space="preserve"> deberá registrar diariamente las condiciones atmosféricas durante la aplicación, así como los trabajos que se realicen cada día.</w:t>
      </w:r>
    </w:p>
    <w:p w14:paraId="24B4E0EB" w14:textId="77777777" w:rsidR="00EF1D61" w:rsidRPr="002005BA" w:rsidRDefault="00EF1D61" w:rsidP="00EF1D61">
      <w:pPr>
        <w:pStyle w:val="NORMAL12"/>
      </w:pPr>
      <w:r w:rsidRPr="002005BA">
        <w:t xml:space="preserve">El responsable de la obra por parte de la empresa </w:t>
      </w:r>
      <w:proofErr w:type="spellStart"/>
      <w:r w:rsidRPr="002005BA">
        <w:t>aplicadora</w:t>
      </w:r>
      <w:proofErr w:type="spellEnd"/>
      <w:r w:rsidRPr="002005BA">
        <w:t xml:space="preserve"> deberá registrar diariamente los consumos de los materiales empleados indicando los tipos de productos, cantidades y número de lote.</w:t>
      </w:r>
      <w:r w:rsidR="00A93D38">
        <w:t xml:space="preserve"> </w:t>
      </w:r>
      <w:r w:rsidRPr="002005BA">
        <w:t xml:space="preserve">El responsable de la obra por parte de la empresa </w:t>
      </w:r>
      <w:proofErr w:type="spellStart"/>
      <w:r w:rsidRPr="002005BA">
        <w:t>aplicadora</w:t>
      </w:r>
      <w:proofErr w:type="spellEnd"/>
      <w:r w:rsidRPr="002005BA">
        <w:t xml:space="preserve"> deberá registrar diariamente los kg de resina consumidos. </w:t>
      </w:r>
    </w:p>
    <w:p w14:paraId="4A256CDE" w14:textId="77777777" w:rsidR="00EF1D61" w:rsidRPr="002005BA" w:rsidRDefault="00EF1D61" w:rsidP="00EF1D61">
      <w:pPr>
        <w:pStyle w:val="NORMAL12"/>
      </w:pPr>
      <w:r w:rsidRPr="002005BA">
        <w:t xml:space="preserve">El responsable de la obra por parte de la empresa </w:t>
      </w:r>
      <w:proofErr w:type="spellStart"/>
      <w:r w:rsidRPr="002005BA">
        <w:t>aplicadora</w:t>
      </w:r>
      <w:proofErr w:type="spellEnd"/>
      <w:r w:rsidRPr="002005BA">
        <w:t xml:space="preserve"> deberá inspeccionar diariamente las superficies reparadas, señalando de manera visible con rotulador posibles deficiencias. </w:t>
      </w:r>
    </w:p>
    <w:p w14:paraId="18CE54CC" w14:textId="77777777" w:rsidR="00EF1D61" w:rsidRPr="002005BA" w:rsidRDefault="00EF1D61" w:rsidP="00EF1D61">
      <w:pPr>
        <w:pStyle w:val="NORMAL12"/>
      </w:pPr>
      <w:r w:rsidRPr="002005BA">
        <w:t xml:space="preserve">Antes de continuar con la siguiente fase de proyección todos los puntos que hayan sido marcados, deberán ser repasados. </w:t>
      </w:r>
    </w:p>
    <w:p w14:paraId="3E97C8E9" w14:textId="77777777" w:rsidR="00EF1D61" w:rsidRPr="002005BA" w:rsidRDefault="00EF1D61" w:rsidP="00EF1D61">
      <w:pPr>
        <w:pStyle w:val="NORMAL12"/>
      </w:pPr>
      <w:r w:rsidRPr="002005BA">
        <w:t xml:space="preserve">Los técnicos del fabricante o la empresa </w:t>
      </w:r>
      <w:proofErr w:type="gramStart"/>
      <w:r w:rsidRPr="002005BA">
        <w:t>suministradora,</w:t>
      </w:r>
      <w:proofErr w:type="gramEnd"/>
      <w:r w:rsidRPr="002005BA">
        <w:t xml:space="preserve"> realizarán visitas de obra durante distintas fases de ejecución. En dichas visitas se comprobará el cumplimiento de las especificaciones de aplicación de los morteros de reparación por parte de la empresa </w:t>
      </w:r>
      <w:proofErr w:type="spellStart"/>
      <w:r w:rsidRPr="002005BA">
        <w:t>aplicadora</w:t>
      </w:r>
      <w:proofErr w:type="spellEnd"/>
      <w:r w:rsidRPr="002005BA">
        <w:t>.</w:t>
      </w:r>
      <w:bookmarkStart w:id="865" w:name="_Toc404093700"/>
      <w:bookmarkStart w:id="866" w:name="_Toc407722981"/>
      <w:bookmarkStart w:id="867" w:name="_Toc409167308"/>
      <w:bookmarkStart w:id="868" w:name="_Toc524094415"/>
    </w:p>
    <w:p w14:paraId="60037254" w14:textId="77777777" w:rsidR="00EF1D61" w:rsidRPr="002005BA" w:rsidRDefault="00EF1D61" w:rsidP="000313DD">
      <w:pPr>
        <w:pStyle w:val="TITU2"/>
      </w:pPr>
      <w:bookmarkStart w:id="869" w:name="_Toc528601301"/>
      <w:bookmarkStart w:id="870" w:name="_Toc404474"/>
      <w:r w:rsidRPr="002005BA">
        <w:t>6</w:t>
      </w:r>
      <w:r w:rsidR="008B7069">
        <w:t>75</w:t>
      </w:r>
      <w:r w:rsidRPr="002005BA">
        <w:t>.</w:t>
      </w:r>
      <w:r w:rsidR="008B7069">
        <w:t>5</w:t>
      </w:r>
      <w:r w:rsidRPr="002005BA">
        <w:t>.</w:t>
      </w:r>
      <w:r w:rsidR="008B7069">
        <w:t xml:space="preserve"> </w:t>
      </w:r>
      <w:r w:rsidRPr="002005BA">
        <w:tab/>
        <w:t>Medición y abono</w:t>
      </w:r>
      <w:bookmarkEnd w:id="865"/>
      <w:bookmarkEnd w:id="866"/>
      <w:bookmarkEnd w:id="867"/>
      <w:bookmarkEnd w:id="868"/>
      <w:bookmarkEnd w:id="869"/>
      <w:bookmarkEnd w:id="870"/>
    </w:p>
    <w:p w14:paraId="7F45D8A1" w14:textId="77777777" w:rsidR="00EF1D61" w:rsidRDefault="007B6F62" w:rsidP="00EF1D61">
      <w:pPr>
        <w:pStyle w:val="NORMAL12"/>
      </w:pPr>
      <w:r>
        <w:t>La medición y abono de la unidad de anclaje químico se realizará según las prescripciones siguientes: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EB75FA" w:rsidRPr="002005BA" w14:paraId="564A4295" w14:textId="77777777" w:rsidTr="003B2CD9">
        <w:trPr>
          <w:jc w:val="center"/>
        </w:trPr>
        <w:tc>
          <w:tcPr>
            <w:tcW w:w="2905" w:type="dxa"/>
            <w:vAlign w:val="center"/>
          </w:tcPr>
          <w:p w14:paraId="359489B5" w14:textId="77777777" w:rsidR="00EB75FA" w:rsidRPr="002005BA" w:rsidRDefault="00EB75FA" w:rsidP="003B2CD9">
            <w:pPr>
              <w:pStyle w:val="Tabla"/>
              <w:rPr>
                <w:b/>
              </w:rPr>
            </w:pPr>
            <w:r w:rsidRPr="002005BA">
              <w:rPr>
                <w:b/>
              </w:rPr>
              <w:t>Unidad de medida</w:t>
            </w:r>
          </w:p>
        </w:tc>
        <w:tc>
          <w:tcPr>
            <w:tcW w:w="5739" w:type="dxa"/>
            <w:vAlign w:val="center"/>
          </w:tcPr>
          <w:p w14:paraId="1E73A9EA" w14:textId="77777777" w:rsidR="00EB75FA" w:rsidRPr="002005BA" w:rsidRDefault="00EB75FA" w:rsidP="003B2CD9">
            <w:pPr>
              <w:pStyle w:val="LCATabla"/>
              <w:keepLines/>
              <w:jc w:val="both"/>
              <w:rPr>
                <w:rFonts w:ascii="Arial" w:hAnsi="Arial"/>
                <w:sz w:val="20"/>
              </w:rPr>
            </w:pPr>
            <w:r w:rsidRPr="002005BA">
              <w:rPr>
                <w:rFonts w:ascii="Arial" w:hAnsi="Arial"/>
                <w:sz w:val="20"/>
              </w:rPr>
              <w:t>Unidades (</w:t>
            </w:r>
            <w:proofErr w:type="spellStart"/>
            <w:r w:rsidRPr="002005BA">
              <w:rPr>
                <w:rFonts w:ascii="Arial" w:hAnsi="Arial"/>
                <w:sz w:val="20"/>
              </w:rPr>
              <w:t>ud</w:t>
            </w:r>
            <w:proofErr w:type="spellEnd"/>
            <w:r w:rsidRPr="002005BA">
              <w:rPr>
                <w:rFonts w:ascii="Arial" w:hAnsi="Arial"/>
                <w:sz w:val="20"/>
              </w:rPr>
              <w:t xml:space="preserve">). </w:t>
            </w:r>
          </w:p>
        </w:tc>
      </w:tr>
      <w:tr w:rsidR="00EB75FA" w:rsidRPr="002005BA" w14:paraId="4819DEF3" w14:textId="77777777" w:rsidTr="003B2CD9">
        <w:trPr>
          <w:jc w:val="center"/>
        </w:trPr>
        <w:tc>
          <w:tcPr>
            <w:tcW w:w="2905" w:type="dxa"/>
            <w:vAlign w:val="center"/>
          </w:tcPr>
          <w:p w14:paraId="79E94064" w14:textId="77777777" w:rsidR="00EB75FA" w:rsidRPr="002005BA" w:rsidRDefault="00EB75FA" w:rsidP="003B2CD9">
            <w:pPr>
              <w:pStyle w:val="Tabla"/>
              <w:rPr>
                <w:b/>
              </w:rPr>
            </w:pPr>
            <w:r w:rsidRPr="002005BA">
              <w:rPr>
                <w:b/>
              </w:rPr>
              <w:t>Grado de precisión</w:t>
            </w:r>
          </w:p>
        </w:tc>
        <w:tc>
          <w:tcPr>
            <w:tcW w:w="5739" w:type="dxa"/>
            <w:vAlign w:val="center"/>
          </w:tcPr>
          <w:p w14:paraId="04583C9C" w14:textId="77777777" w:rsidR="00EB75FA" w:rsidRPr="002005BA" w:rsidRDefault="00EB75FA" w:rsidP="003B2CD9">
            <w:pPr>
              <w:pStyle w:val="LCATabla"/>
              <w:keepLines/>
              <w:jc w:val="both"/>
              <w:rPr>
                <w:rFonts w:ascii="Arial" w:hAnsi="Arial"/>
                <w:sz w:val="20"/>
              </w:rPr>
            </w:pPr>
            <w:r w:rsidRPr="002005BA">
              <w:rPr>
                <w:rFonts w:ascii="Arial" w:hAnsi="Arial"/>
                <w:sz w:val="20"/>
              </w:rPr>
              <w:t>Unidades enteras.</w:t>
            </w:r>
          </w:p>
        </w:tc>
      </w:tr>
      <w:tr w:rsidR="00EB75FA" w:rsidRPr="002005BA" w14:paraId="48594919" w14:textId="77777777" w:rsidTr="003B2CD9">
        <w:trPr>
          <w:jc w:val="center"/>
        </w:trPr>
        <w:tc>
          <w:tcPr>
            <w:tcW w:w="2905" w:type="dxa"/>
            <w:vAlign w:val="center"/>
          </w:tcPr>
          <w:p w14:paraId="238AE58C" w14:textId="77777777" w:rsidR="00EB75FA" w:rsidRPr="002005BA" w:rsidRDefault="00EB75FA" w:rsidP="003B2CD9">
            <w:pPr>
              <w:pStyle w:val="Tabla"/>
              <w:rPr>
                <w:b/>
              </w:rPr>
            </w:pPr>
            <w:r w:rsidRPr="002005BA">
              <w:rPr>
                <w:b/>
              </w:rPr>
              <w:t>Forma de medición</w:t>
            </w:r>
          </w:p>
        </w:tc>
        <w:tc>
          <w:tcPr>
            <w:tcW w:w="5739" w:type="dxa"/>
            <w:vAlign w:val="center"/>
          </w:tcPr>
          <w:p w14:paraId="2294FA76" w14:textId="77777777" w:rsidR="00EB75FA" w:rsidRPr="002005BA" w:rsidRDefault="00EB75FA" w:rsidP="003B2CD9">
            <w:pPr>
              <w:pStyle w:val="LCATabla"/>
              <w:keepLines/>
              <w:jc w:val="both"/>
              <w:rPr>
                <w:rFonts w:ascii="Arial" w:hAnsi="Arial"/>
                <w:sz w:val="20"/>
              </w:rPr>
            </w:pPr>
            <w:r w:rsidRPr="002005BA">
              <w:rPr>
                <w:rFonts w:ascii="Arial" w:hAnsi="Arial"/>
                <w:sz w:val="20"/>
              </w:rPr>
              <w:t xml:space="preserve">Unidades exactas realmente ejecutadas. </w:t>
            </w:r>
          </w:p>
        </w:tc>
      </w:tr>
      <w:tr w:rsidR="00EB75FA" w:rsidRPr="002005BA" w14:paraId="46EAC97C" w14:textId="77777777" w:rsidTr="003B2CD9">
        <w:trPr>
          <w:jc w:val="center"/>
        </w:trPr>
        <w:tc>
          <w:tcPr>
            <w:tcW w:w="2905" w:type="dxa"/>
            <w:tcBorders>
              <w:bottom w:val="single" w:sz="4" w:space="0" w:color="auto"/>
            </w:tcBorders>
            <w:vAlign w:val="center"/>
          </w:tcPr>
          <w:p w14:paraId="245621D2" w14:textId="77777777" w:rsidR="00EB75FA" w:rsidRPr="002005BA" w:rsidRDefault="00EB75FA" w:rsidP="003B2CD9">
            <w:pPr>
              <w:pStyle w:val="Tabla"/>
              <w:rPr>
                <w:b/>
              </w:rPr>
            </w:pPr>
            <w:r w:rsidRPr="002005BA">
              <w:rPr>
                <w:b/>
              </w:rPr>
              <w:t>Abono</w:t>
            </w:r>
          </w:p>
        </w:tc>
        <w:tc>
          <w:tcPr>
            <w:tcW w:w="5739" w:type="dxa"/>
            <w:tcBorders>
              <w:bottom w:val="single" w:sz="4" w:space="0" w:color="auto"/>
            </w:tcBorders>
            <w:vAlign w:val="center"/>
          </w:tcPr>
          <w:p w14:paraId="175C31AF" w14:textId="77777777" w:rsidR="00EB75FA" w:rsidRPr="002005BA" w:rsidRDefault="00EB75FA" w:rsidP="003B2CD9">
            <w:pPr>
              <w:pStyle w:val="LCATabla"/>
              <w:keepLines/>
              <w:jc w:val="both"/>
              <w:rPr>
                <w:rFonts w:ascii="Arial" w:hAnsi="Arial"/>
                <w:sz w:val="20"/>
              </w:rPr>
            </w:pPr>
            <w:r w:rsidRPr="002005BA">
              <w:rPr>
                <w:rFonts w:ascii="Arial" w:hAnsi="Arial"/>
                <w:sz w:val="20"/>
              </w:rPr>
              <w:t>Se efectuará cuando se realice la aceptación.</w:t>
            </w:r>
          </w:p>
        </w:tc>
      </w:tr>
      <w:tr w:rsidR="00EB75FA" w:rsidRPr="001B1677" w14:paraId="363C8FA0" w14:textId="77777777" w:rsidTr="003B2CD9">
        <w:trPr>
          <w:jc w:val="center"/>
        </w:trPr>
        <w:tc>
          <w:tcPr>
            <w:tcW w:w="2905" w:type="dxa"/>
            <w:tcBorders>
              <w:bottom w:val="single" w:sz="4" w:space="0" w:color="auto"/>
            </w:tcBorders>
            <w:vAlign w:val="center"/>
          </w:tcPr>
          <w:p w14:paraId="38407BC1" w14:textId="77777777" w:rsidR="00EB75FA" w:rsidRPr="002005BA" w:rsidRDefault="00EB75FA" w:rsidP="003B2CD9">
            <w:pPr>
              <w:pStyle w:val="Tabla"/>
              <w:rPr>
                <w:b/>
              </w:rPr>
            </w:pPr>
            <w:r w:rsidRPr="002005BA">
              <w:rPr>
                <w:b/>
              </w:rPr>
              <w:t>Criterios complementarios</w:t>
            </w:r>
          </w:p>
        </w:tc>
        <w:tc>
          <w:tcPr>
            <w:tcW w:w="5739" w:type="dxa"/>
            <w:tcBorders>
              <w:bottom w:val="single" w:sz="4" w:space="0" w:color="auto"/>
            </w:tcBorders>
            <w:vAlign w:val="center"/>
          </w:tcPr>
          <w:p w14:paraId="1CD86F8F" w14:textId="77777777" w:rsidR="00EB75FA" w:rsidRPr="002005BA" w:rsidRDefault="00EB75FA" w:rsidP="003B2CD9">
            <w:pPr>
              <w:pStyle w:val="LCATabla"/>
              <w:keepLines/>
              <w:jc w:val="both"/>
              <w:rPr>
                <w:rFonts w:ascii="Arial" w:hAnsi="Arial"/>
                <w:sz w:val="20"/>
              </w:rPr>
            </w:pPr>
            <w:r w:rsidRPr="002005BA">
              <w:rPr>
                <w:rFonts w:ascii="Arial" w:hAnsi="Arial"/>
                <w:sz w:val="20"/>
              </w:rPr>
              <w:t>Los precios incluyen todos los materiales, mano de obra, maquinaria y medios auxiliares necesarios para la correcta ejecución de la unidad, incluso ensayos previos y característicos cuando proceda.</w:t>
            </w:r>
          </w:p>
        </w:tc>
      </w:tr>
    </w:tbl>
    <w:p w14:paraId="4C5EBC53" w14:textId="77777777" w:rsidR="00EB75FA" w:rsidRDefault="00EB75FA" w:rsidP="00EF1D61">
      <w:pPr>
        <w:pStyle w:val="NORMAL12"/>
      </w:pPr>
    </w:p>
    <w:p w14:paraId="696B95C4" w14:textId="77777777" w:rsidR="00EB75FA" w:rsidRDefault="00EB75FA" w:rsidP="00EF1D61">
      <w:pPr>
        <w:pStyle w:val="NORMAL12"/>
      </w:pPr>
    </w:p>
    <w:p w14:paraId="5F5D6355" w14:textId="77777777" w:rsidR="00EB75FA" w:rsidRPr="002005BA" w:rsidRDefault="00EB75FA" w:rsidP="00EF1D61">
      <w:pPr>
        <w:pStyle w:val="NORMAL12"/>
      </w:pPr>
    </w:p>
    <w:p w14:paraId="7EE0B657" w14:textId="77777777" w:rsidR="00EF1D61" w:rsidRPr="00CC4BBE" w:rsidRDefault="00EF1D61" w:rsidP="00EF1D61">
      <w:pPr>
        <w:sectPr w:rsidR="00EF1D61" w:rsidRPr="00CC4BBE" w:rsidSect="003069BA">
          <w:footerReference w:type="even" r:id="rId22"/>
          <w:type w:val="oddPage"/>
          <w:pgSz w:w="23814" w:h="16840" w:orient="landscape" w:code="8"/>
          <w:pgMar w:top="992" w:right="851" w:bottom="1418" w:left="851" w:header="1020" w:footer="567" w:gutter="1418"/>
          <w:cols w:num="2" w:space="2268"/>
          <w:docGrid w:linePitch="360"/>
        </w:sectPr>
      </w:pPr>
      <w:bookmarkStart w:id="871" w:name="_Toc398111501"/>
    </w:p>
    <w:p w14:paraId="0DC021AB" w14:textId="77777777" w:rsidR="0071280A" w:rsidRPr="00451A88" w:rsidRDefault="0071280A" w:rsidP="0071280A">
      <w:pPr>
        <w:pStyle w:val="TITU1"/>
      </w:pPr>
      <w:bookmarkStart w:id="872" w:name="_Toc404475"/>
      <w:bookmarkStart w:id="873" w:name="_Ref480355816"/>
      <w:bookmarkStart w:id="874" w:name="_Toc480903365"/>
      <w:bookmarkEnd w:id="871"/>
      <w:r w:rsidRPr="00451A88">
        <w:rPr>
          <w:lang w:val="es-ES_tradnl"/>
        </w:rPr>
        <w:lastRenderedPageBreak/>
        <w:t>Artículo 6</w:t>
      </w:r>
      <w:r>
        <w:rPr>
          <w:lang w:val="es-ES_tradnl"/>
        </w:rPr>
        <w:t>80</w:t>
      </w:r>
      <w:r w:rsidRPr="00451A88">
        <w:rPr>
          <w:lang w:val="es-ES_tradnl"/>
        </w:rPr>
        <w:t>. Encofrado</w:t>
      </w:r>
      <w:bookmarkEnd w:id="872"/>
    </w:p>
    <w:p w14:paraId="1ED84C8E" w14:textId="77777777" w:rsidR="0071280A" w:rsidRPr="00A8316A" w:rsidRDefault="0071280A" w:rsidP="000313DD">
      <w:pPr>
        <w:pStyle w:val="TITU2"/>
      </w:pPr>
      <w:bookmarkStart w:id="875" w:name="_Toc414400318"/>
      <w:bookmarkStart w:id="876" w:name="_Toc414434160"/>
      <w:bookmarkStart w:id="877" w:name="_Toc404476"/>
      <w:r w:rsidRPr="00A8316A">
        <w:t>6</w:t>
      </w:r>
      <w:r>
        <w:t>80</w:t>
      </w:r>
      <w:r w:rsidRPr="00A8316A">
        <w:t>.1.</w:t>
      </w:r>
      <w:r>
        <w:t xml:space="preserve"> </w:t>
      </w:r>
      <w:r w:rsidRPr="00A8316A">
        <w:tab/>
        <w:t>Aplicación</w:t>
      </w:r>
      <w:bookmarkEnd w:id="875"/>
      <w:bookmarkEnd w:id="876"/>
      <w:bookmarkEnd w:id="877"/>
    </w:p>
    <w:p w14:paraId="6AFD963C" w14:textId="77777777" w:rsidR="0071280A" w:rsidRPr="004F6428" w:rsidRDefault="0071280A" w:rsidP="0071280A">
      <w:pPr>
        <w:spacing w:before="120" w:after="120" w:line="360" w:lineRule="auto"/>
        <w:jc w:val="both"/>
        <w:rPr>
          <w:rFonts w:ascii="Arial" w:hAnsi="Arial"/>
        </w:rPr>
      </w:pPr>
      <w:r w:rsidRPr="004F6428">
        <w:rPr>
          <w:rFonts w:ascii="Arial" w:hAnsi="Arial"/>
        </w:rPr>
        <w:t>Las prescripciones de</w:t>
      </w:r>
      <w:r>
        <w:rPr>
          <w:rFonts w:ascii="Arial" w:hAnsi="Arial"/>
        </w:rPr>
        <w:t xml:space="preserve">l presente </w:t>
      </w:r>
      <w:r w:rsidRPr="004F6428">
        <w:rPr>
          <w:rFonts w:ascii="Arial" w:hAnsi="Arial"/>
        </w:rPr>
        <w:t xml:space="preserve">artículo </w:t>
      </w:r>
      <w:proofErr w:type="gramStart"/>
      <w:r w:rsidRPr="004F6428">
        <w:rPr>
          <w:rFonts w:ascii="Arial" w:hAnsi="Arial"/>
        </w:rPr>
        <w:t>son de aplicación</w:t>
      </w:r>
      <w:proofErr w:type="gramEnd"/>
      <w:r w:rsidRPr="004F6428">
        <w:rPr>
          <w:rFonts w:ascii="Arial" w:hAnsi="Arial"/>
        </w:rPr>
        <w:t xml:space="preserve"> a la</w:t>
      </w:r>
      <w:r>
        <w:rPr>
          <w:rFonts w:ascii="Arial" w:hAnsi="Arial"/>
        </w:rPr>
        <w:t>s</w:t>
      </w:r>
      <w:r w:rsidRPr="004F6428">
        <w:rPr>
          <w:rFonts w:ascii="Arial" w:hAnsi="Arial"/>
        </w:rPr>
        <w:t xml:space="preserve"> siguiente</w:t>
      </w:r>
      <w:r>
        <w:rPr>
          <w:rFonts w:ascii="Arial" w:hAnsi="Arial"/>
        </w:rPr>
        <w:t>s</w:t>
      </w:r>
      <w:r w:rsidRPr="004F6428">
        <w:rPr>
          <w:rFonts w:ascii="Arial" w:hAnsi="Arial"/>
        </w:rPr>
        <w:t xml:space="preserve"> unidad</w:t>
      </w:r>
      <w:r>
        <w:rPr>
          <w:rFonts w:ascii="Arial" w:hAnsi="Arial"/>
        </w:rPr>
        <w:t>es</w:t>
      </w:r>
      <w:r w:rsidRPr="004F6428">
        <w:rPr>
          <w:rFonts w:ascii="Arial" w:hAnsi="Arial"/>
        </w:rPr>
        <w:t xml:space="preserve"> de obra:</w:t>
      </w:r>
    </w:p>
    <w:tbl>
      <w:tblPr>
        <w:tblW w:w="5000" w:type="pct"/>
        <w:tblCellMar>
          <w:left w:w="70" w:type="dxa"/>
          <w:right w:w="70" w:type="dxa"/>
        </w:tblCellMar>
        <w:tblLook w:val="04A0" w:firstRow="1" w:lastRow="0" w:firstColumn="1" w:lastColumn="0" w:noHBand="0" w:noVBand="1"/>
      </w:tblPr>
      <w:tblGrid>
        <w:gridCol w:w="1330"/>
        <w:gridCol w:w="643"/>
        <w:gridCol w:w="7805"/>
      </w:tblGrid>
      <w:tr w:rsidR="0071280A" w:rsidRPr="004F6428" w14:paraId="10813B98" w14:textId="77777777" w:rsidTr="007920B4">
        <w:trPr>
          <w:trHeight w:val="300"/>
        </w:trPr>
        <w:tc>
          <w:tcPr>
            <w:tcW w:w="680" w:type="pct"/>
            <w:noWrap/>
            <w:hideMark/>
          </w:tcPr>
          <w:p w14:paraId="1D7973E9" w14:textId="77777777" w:rsidR="0071280A" w:rsidRPr="00D921B6" w:rsidRDefault="0071280A" w:rsidP="007920B4">
            <w:pPr>
              <w:rPr>
                <w:rFonts w:ascii="Calibri" w:hAnsi="Calibri"/>
                <w:color w:val="000000"/>
              </w:rPr>
            </w:pPr>
            <w:r w:rsidRPr="00D921B6">
              <w:rPr>
                <w:rFonts w:ascii="Calibri" w:hAnsi="Calibri"/>
                <w:color w:val="000000"/>
              </w:rPr>
              <w:t xml:space="preserve">680.0010          </w:t>
            </w:r>
          </w:p>
        </w:tc>
        <w:tc>
          <w:tcPr>
            <w:tcW w:w="329" w:type="pct"/>
            <w:noWrap/>
            <w:hideMark/>
          </w:tcPr>
          <w:p w14:paraId="57606BB6" w14:textId="77777777" w:rsidR="0071280A" w:rsidRPr="00D921B6" w:rsidRDefault="0071280A" w:rsidP="007920B4">
            <w:pPr>
              <w:rPr>
                <w:rFonts w:ascii="Calibri" w:hAnsi="Calibri"/>
                <w:color w:val="000000"/>
              </w:rPr>
            </w:pPr>
            <w:r w:rsidRPr="00D921B6">
              <w:rPr>
                <w:rFonts w:ascii="Calibri" w:hAnsi="Calibri"/>
                <w:color w:val="000000"/>
              </w:rPr>
              <w:t>m²</w:t>
            </w:r>
          </w:p>
        </w:tc>
        <w:tc>
          <w:tcPr>
            <w:tcW w:w="3991" w:type="pct"/>
            <w:hideMark/>
          </w:tcPr>
          <w:p w14:paraId="29111C8E" w14:textId="77777777" w:rsidR="0071280A" w:rsidRPr="00D921B6" w:rsidRDefault="0071280A" w:rsidP="007920B4">
            <w:pPr>
              <w:jc w:val="both"/>
              <w:rPr>
                <w:rFonts w:ascii="Calibri" w:hAnsi="Calibri"/>
                <w:color w:val="000000"/>
              </w:rPr>
            </w:pPr>
            <w:r w:rsidRPr="00D921B6">
              <w:rPr>
                <w:rFonts w:ascii="Calibri" w:hAnsi="Calibri"/>
                <w:color w:val="000000"/>
              </w:rPr>
              <w:t>ENCOFRADO OCULTO PLANO</w:t>
            </w:r>
          </w:p>
        </w:tc>
      </w:tr>
      <w:tr w:rsidR="0071280A" w:rsidRPr="004F6428" w14:paraId="17F07B2F" w14:textId="77777777" w:rsidTr="007920B4">
        <w:trPr>
          <w:trHeight w:val="955"/>
        </w:trPr>
        <w:tc>
          <w:tcPr>
            <w:tcW w:w="680" w:type="pct"/>
            <w:noWrap/>
            <w:hideMark/>
          </w:tcPr>
          <w:p w14:paraId="48D7FF0D" w14:textId="77777777" w:rsidR="0071280A" w:rsidRPr="00D921B6" w:rsidRDefault="0071280A" w:rsidP="007920B4">
            <w:pPr>
              <w:rPr>
                <w:rFonts w:ascii="Calibri" w:hAnsi="Calibri"/>
                <w:color w:val="000000"/>
              </w:rPr>
            </w:pPr>
          </w:p>
        </w:tc>
        <w:tc>
          <w:tcPr>
            <w:tcW w:w="329" w:type="pct"/>
            <w:noWrap/>
            <w:hideMark/>
          </w:tcPr>
          <w:p w14:paraId="21605E7B" w14:textId="77777777" w:rsidR="0071280A" w:rsidRPr="00D921B6" w:rsidRDefault="0071280A" w:rsidP="007920B4">
            <w:pPr>
              <w:rPr>
                <w:rFonts w:ascii="Calibri" w:hAnsi="Calibri"/>
                <w:color w:val="000000"/>
              </w:rPr>
            </w:pPr>
          </w:p>
        </w:tc>
        <w:tc>
          <w:tcPr>
            <w:tcW w:w="3991" w:type="pct"/>
            <w:hideMark/>
          </w:tcPr>
          <w:p w14:paraId="09155679" w14:textId="77777777" w:rsidR="0071280A" w:rsidRPr="00D921B6" w:rsidRDefault="0071280A" w:rsidP="007920B4">
            <w:pPr>
              <w:jc w:val="both"/>
              <w:rPr>
                <w:rFonts w:ascii="Calibri" w:hAnsi="Calibri"/>
                <w:color w:val="000000"/>
              </w:rPr>
            </w:pPr>
            <w:r w:rsidRPr="00D921B6">
              <w:rPr>
                <w:rFonts w:ascii="Calibri" w:hAnsi="Calibri"/>
                <w:color w:val="000000"/>
              </w:rPr>
              <w:t>ENCOFRADO PARA PARAMENTOS OCULTOS PLANOS Y POSTERIOR DESENCOFRADO i/ LIMPIEZA, HUMEDECIDO, APLICACIÓN DE DESENCOFRANTE, P.P. DE ELEMENTOS COMPLEMENTARIOS PARA SU ESTABILIDAD Y ADECUADA EJECUCIÓN.</w:t>
            </w:r>
          </w:p>
          <w:p w14:paraId="12A325DE" w14:textId="77777777" w:rsidR="0071280A" w:rsidRPr="00D921B6" w:rsidRDefault="0071280A" w:rsidP="007920B4">
            <w:pPr>
              <w:jc w:val="both"/>
              <w:rPr>
                <w:rFonts w:ascii="Calibri" w:hAnsi="Calibri"/>
                <w:color w:val="000000"/>
              </w:rPr>
            </w:pPr>
          </w:p>
        </w:tc>
      </w:tr>
      <w:tr w:rsidR="0071280A" w:rsidRPr="004F6428" w14:paraId="57568191" w14:textId="77777777" w:rsidTr="007920B4">
        <w:trPr>
          <w:trHeight w:val="298"/>
        </w:trPr>
        <w:tc>
          <w:tcPr>
            <w:tcW w:w="680" w:type="pct"/>
            <w:noWrap/>
            <w:hideMark/>
          </w:tcPr>
          <w:p w14:paraId="7FB28320" w14:textId="77777777" w:rsidR="0071280A" w:rsidRPr="00D921B6" w:rsidRDefault="0071280A" w:rsidP="007920B4">
            <w:pPr>
              <w:rPr>
                <w:rFonts w:ascii="Calibri" w:hAnsi="Calibri"/>
                <w:color w:val="000000"/>
              </w:rPr>
            </w:pPr>
            <w:r w:rsidRPr="00D921B6">
              <w:rPr>
                <w:rFonts w:ascii="Calibri" w:hAnsi="Calibri"/>
                <w:color w:val="000000"/>
              </w:rPr>
              <w:t xml:space="preserve">680.0030          </w:t>
            </w:r>
          </w:p>
        </w:tc>
        <w:tc>
          <w:tcPr>
            <w:tcW w:w="329" w:type="pct"/>
            <w:noWrap/>
            <w:hideMark/>
          </w:tcPr>
          <w:p w14:paraId="7E5D66A5" w14:textId="77777777" w:rsidR="0071280A" w:rsidRPr="00D921B6" w:rsidRDefault="0071280A" w:rsidP="007920B4">
            <w:pPr>
              <w:rPr>
                <w:rFonts w:ascii="Calibri" w:hAnsi="Calibri"/>
                <w:color w:val="000000"/>
              </w:rPr>
            </w:pPr>
            <w:r w:rsidRPr="00D921B6">
              <w:rPr>
                <w:rFonts w:ascii="Calibri" w:hAnsi="Calibri"/>
                <w:color w:val="000000"/>
              </w:rPr>
              <w:t>m²</w:t>
            </w:r>
          </w:p>
        </w:tc>
        <w:tc>
          <w:tcPr>
            <w:tcW w:w="3991" w:type="pct"/>
            <w:hideMark/>
          </w:tcPr>
          <w:p w14:paraId="6037CA3D" w14:textId="77777777" w:rsidR="0071280A" w:rsidRPr="00D921B6" w:rsidRDefault="0071280A" w:rsidP="007920B4">
            <w:pPr>
              <w:jc w:val="both"/>
              <w:rPr>
                <w:rFonts w:ascii="Calibri" w:hAnsi="Calibri"/>
                <w:color w:val="000000"/>
              </w:rPr>
            </w:pPr>
            <w:r w:rsidRPr="00D921B6">
              <w:rPr>
                <w:rFonts w:ascii="Calibri" w:hAnsi="Calibri"/>
                <w:color w:val="000000"/>
              </w:rPr>
              <w:t>ENCOFRADO VISTO PLANO</w:t>
            </w:r>
          </w:p>
        </w:tc>
      </w:tr>
      <w:tr w:rsidR="0071280A" w:rsidRPr="004F6428" w14:paraId="47F19402" w14:textId="77777777" w:rsidTr="007920B4">
        <w:trPr>
          <w:trHeight w:val="955"/>
        </w:trPr>
        <w:tc>
          <w:tcPr>
            <w:tcW w:w="680" w:type="pct"/>
            <w:noWrap/>
            <w:hideMark/>
          </w:tcPr>
          <w:p w14:paraId="2CB577BC" w14:textId="77777777" w:rsidR="0071280A" w:rsidRPr="00D921B6" w:rsidRDefault="0071280A" w:rsidP="007920B4">
            <w:pPr>
              <w:rPr>
                <w:rFonts w:ascii="Calibri" w:hAnsi="Calibri"/>
                <w:color w:val="000000"/>
              </w:rPr>
            </w:pPr>
          </w:p>
        </w:tc>
        <w:tc>
          <w:tcPr>
            <w:tcW w:w="329" w:type="pct"/>
            <w:noWrap/>
            <w:hideMark/>
          </w:tcPr>
          <w:p w14:paraId="48BF3BE4" w14:textId="77777777" w:rsidR="0071280A" w:rsidRPr="00D921B6" w:rsidRDefault="0071280A" w:rsidP="007920B4">
            <w:pPr>
              <w:rPr>
                <w:rFonts w:ascii="Calibri" w:hAnsi="Calibri"/>
                <w:color w:val="000000"/>
              </w:rPr>
            </w:pPr>
          </w:p>
        </w:tc>
        <w:tc>
          <w:tcPr>
            <w:tcW w:w="3991" w:type="pct"/>
            <w:hideMark/>
          </w:tcPr>
          <w:p w14:paraId="6B697670" w14:textId="77777777" w:rsidR="0071280A" w:rsidRPr="00D921B6" w:rsidRDefault="0071280A" w:rsidP="007920B4">
            <w:pPr>
              <w:jc w:val="both"/>
              <w:rPr>
                <w:rFonts w:ascii="Calibri" w:hAnsi="Calibri"/>
                <w:color w:val="000000"/>
              </w:rPr>
            </w:pPr>
            <w:r w:rsidRPr="00D921B6">
              <w:rPr>
                <w:rFonts w:ascii="Calibri" w:hAnsi="Calibri"/>
                <w:color w:val="000000"/>
              </w:rPr>
              <w:t>ENCOFRADO PARA PARAMENTOS VISTOS PLANOS Y POSTERIOR DESENCOFRADO, EJECUTADO CON MADERA MACHIHEMBRADA i/ LIMPIEZA, HUMEDECIDO, APLICACIÓN DE DESENCOFRANTE, P.P. DE ELEMENTOS COMPLEMENTARIOS PARA SU ESTABILIDAD Y ADECUADA EJECUCIÓN.</w:t>
            </w:r>
          </w:p>
        </w:tc>
      </w:tr>
    </w:tbl>
    <w:p w14:paraId="19C7EB2B" w14:textId="77777777" w:rsidR="0071280A" w:rsidRPr="004F6428" w:rsidRDefault="0071280A" w:rsidP="0071280A">
      <w:pPr>
        <w:spacing w:before="120" w:after="120" w:line="360" w:lineRule="auto"/>
        <w:ind w:firstLine="851"/>
        <w:jc w:val="both"/>
        <w:rPr>
          <w:rFonts w:ascii="Arial" w:hAnsi="Arial"/>
        </w:rPr>
      </w:pPr>
    </w:p>
    <w:p w14:paraId="25958D51" w14:textId="77777777" w:rsidR="0071280A" w:rsidRPr="004F6428" w:rsidRDefault="0071280A" w:rsidP="0071280A">
      <w:pPr>
        <w:spacing w:before="120" w:after="120" w:line="360" w:lineRule="auto"/>
        <w:jc w:val="both"/>
        <w:rPr>
          <w:rFonts w:ascii="Arial" w:hAnsi="Arial"/>
        </w:rPr>
      </w:pPr>
      <w:r w:rsidRPr="004F6428">
        <w:rPr>
          <w:rFonts w:ascii="Arial" w:hAnsi="Arial"/>
        </w:rPr>
        <w:t>Los encofrados constituyen unidades de obra independientes de las unidades de los hormigones a los que han de dar forma.</w:t>
      </w:r>
    </w:p>
    <w:p w14:paraId="755B14D8" w14:textId="77777777" w:rsidR="0071280A" w:rsidRPr="004F6428" w:rsidRDefault="0071280A" w:rsidP="0071280A">
      <w:pPr>
        <w:spacing w:before="120" w:after="120" w:line="360" w:lineRule="auto"/>
        <w:jc w:val="both"/>
        <w:rPr>
          <w:rFonts w:ascii="Arial" w:hAnsi="Arial"/>
        </w:rPr>
      </w:pPr>
      <w:r w:rsidRPr="004F6428">
        <w:rPr>
          <w:rFonts w:ascii="Arial" w:hAnsi="Arial"/>
        </w:rPr>
        <w:t>El uso de encofrado en paramentos ocultos se restringe sólo a las partes internas de estribos y costeros de zapatas y encepados. El resto de los paramentos se consideran como vistos.</w:t>
      </w:r>
    </w:p>
    <w:p w14:paraId="423B9A0E" w14:textId="77777777" w:rsidR="0071280A" w:rsidRPr="004F6428" w:rsidRDefault="0071280A" w:rsidP="0071280A">
      <w:pPr>
        <w:spacing w:before="120" w:after="120" w:line="360" w:lineRule="auto"/>
        <w:jc w:val="both"/>
        <w:rPr>
          <w:rFonts w:ascii="Arial" w:hAnsi="Arial"/>
        </w:rPr>
      </w:pPr>
      <w:r w:rsidRPr="004F6428">
        <w:rPr>
          <w:rFonts w:ascii="Arial" w:hAnsi="Arial"/>
        </w:rPr>
        <w:t>No son objeto de este apartado los moldes-encofrado metálicos a utilizar en elementos prefabricados, estructurales u ornamentales, cuyas especificaciones y costes se hallan incluidos en la definición de la unidad de obra prefabricada correspondiente.</w:t>
      </w:r>
    </w:p>
    <w:p w14:paraId="0391E108" w14:textId="77777777" w:rsidR="0071280A" w:rsidRPr="00A8316A" w:rsidRDefault="0071280A" w:rsidP="000313DD">
      <w:pPr>
        <w:pStyle w:val="TITU2"/>
      </w:pPr>
      <w:bookmarkStart w:id="878" w:name="_Toc414400319"/>
      <w:bookmarkStart w:id="879" w:name="_Toc414434161"/>
      <w:bookmarkStart w:id="880" w:name="_Toc404477"/>
      <w:r w:rsidRPr="00A8316A">
        <w:t>6</w:t>
      </w:r>
      <w:r>
        <w:t>80</w:t>
      </w:r>
      <w:r w:rsidRPr="00A8316A">
        <w:t>.2.-</w:t>
      </w:r>
      <w:r w:rsidRPr="00A8316A">
        <w:tab/>
        <w:t>Materiales</w:t>
      </w:r>
      <w:bookmarkEnd w:id="878"/>
      <w:bookmarkEnd w:id="879"/>
      <w:bookmarkEnd w:id="880"/>
    </w:p>
    <w:p w14:paraId="0E72B07F" w14:textId="77777777" w:rsidR="0071280A" w:rsidRPr="004F6428" w:rsidRDefault="0071280A" w:rsidP="0071280A">
      <w:pPr>
        <w:spacing w:before="120" w:after="120" w:line="360" w:lineRule="auto"/>
        <w:jc w:val="both"/>
        <w:rPr>
          <w:rFonts w:ascii="Arial" w:hAnsi="Arial"/>
        </w:rPr>
      </w:pPr>
      <w:r w:rsidRPr="004F6428">
        <w:rPr>
          <w:rFonts w:ascii="Arial" w:hAnsi="Arial"/>
        </w:rPr>
        <w:t>Se podrán emplear para los encofrados ocultos moldes de chapa de acero o de madera, que tendrán la terminación superficial y el estado de conservación adecuado para conferir a las superficies del hormigón una buena regularidad además de la forma deseada.  Los encofrados vistos serán, en general, de tipo fenólico, salvo indicación expresa, pudiéndose aceptar también soluciones de chapa de acero galvanizada o bien de tablas lisas de madera tratadas con superficie de polyester, garantizándose que las superficies de hormigón queden perfectamente uniformes sin huellas de ninguna clase ni mancha alguna de color.</w:t>
      </w:r>
    </w:p>
    <w:p w14:paraId="60E9C1A4" w14:textId="77777777" w:rsidR="0071280A" w:rsidRPr="004F6428" w:rsidRDefault="0071280A" w:rsidP="0071280A">
      <w:pPr>
        <w:spacing w:before="120" w:after="120" w:line="360" w:lineRule="auto"/>
        <w:jc w:val="both"/>
        <w:rPr>
          <w:rFonts w:ascii="Arial" w:hAnsi="Arial"/>
        </w:rPr>
      </w:pPr>
      <w:r w:rsidRPr="004F6428">
        <w:rPr>
          <w:rFonts w:ascii="Arial" w:hAnsi="Arial"/>
        </w:rPr>
        <w:t xml:space="preserve">Los encofrados curvos de piezas de impostas, barandillas, fustes de pilas, esquinas redondeadas de muros, pilas, estribos, etc. serán de tipo metálico, pudiéndose plantear cualquier otra variante que proporcione una calidad final equivalente. Deberán recibir la aceptación expresa de la Dirección </w:t>
      </w:r>
      <w:r>
        <w:rPr>
          <w:rFonts w:ascii="Arial" w:hAnsi="Arial"/>
        </w:rPr>
        <w:t>de Obra</w:t>
      </w:r>
      <w:r w:rsidRPr="004F6428">
        <w:rPr>
          <w:rFonts w:ascii="Arial" w:hAnsi="Arial"/>
        </w:rPr>
        <w:t>, tras la realización de las oportunas pruebas.</w:t>
      </w:r>
    </w:p>
    <w:p w14:paraId="02B691B0" w14:textId="77777777" w:rsidR="0071280A" w:rsidRPr="004F6428" w:rsidRDefault="0071280A" w:rsidP="0071280A">
      <w:pPr>
        <w:spacing w:before="120" w:after="120" w:line="360" w:lineRule="auto"/>
        <w:jc w:val="both"/>
        <w:rPr>
          <w:rFonts w:ascii="Arial" w:hAnsi="Arial"/>
        </w:rPr>
      </w:pPr>
      <w:r w:rsidRPr="004F6428">
        <w:rPr>
          <w:rFonts w:ascii="Arial" w:hAnsi="Arial"/>
        </w:rPr>
        <w:t xml:space="preserve">El Contratista deberá efectuar las pruebas necesarias del tipo de encofrado visto a utilizar para recibir el visto bueno de la Dirección </w:t>
      </w:r>
      <w:r>
        <w:rPr>
          <w:rFonts w:ascii="Arial" w:hAnsi="Arial"/>
        </w:rPr>
        <w:t>de Obra</w:t>
      </w:r>
      <w:r w:rsidRPr="004F6428">
        <w:rPr>
          <w:rFonts w:ascii="Arial" w:hAnsi="Arial"/>
        </w:rPr>
        <w:t>, antes de proceder al inicio de su montaje.</w:t>
      </w:r>
    </w:p>
    <w:p w14:paraId="30FFD000" w14:textId="77777777" w:rsidR="0071280A" w:rsidRPr="004F6428" w:rsidRDefault="0071280A" w:rsidP="0071280A">
      <w:pPr>
        <w:spacing w:before="120" w:after="120" w:line="360" w:lineRule="auto"/>
        <w:jc w:val="both"/>
        <w:rPr>
          <w:rFonts w:ascii="Arial" w:hAnsi="Arial"/>
        </w:rPr>
      </w:pPr>
      <w:r w:rsidRPr="004F6428">
        <w:rPr>
          <w:rFonts w:ascii="Arial" w:hAnsi="Arial"/>
        </w:rPr>
        <w:t xml:space="preserve">En caso de no aceptarse el acabado por parte de la Dirección </w:t>
      </w:r>
      <w:r>
        <w:rPr>
          <w:rFonts w:ascii="Arial" w:hAnsi="Arial"/>
        </w:rPr>
        <w:t>de Obra</w:t>
      </w:r>
      <w:r w:rsidRPr="004F6428">
        <w:rPr>
          <w:rFonts w:ascii="Arial" w:hAnsi="Arial"/>
        </w:rPr>
        <w:t>, correrán por cuenta del Constructor los gastos de las operaciones necesarias para arreglar los defectos y conseguir el correcto terminado de la superficie.</w:t>
      </w:r>
    </w:p>
    <w:p w14:paraId="60DB5948" w14:textId="77777777" w:rsidR="0071280A" w:rsidRPr="004F6428" w:rsidRDefault="0071280A" w:rsidP="0071280A">
      <w:pPr>
        <w:spacing w:before="120" w:after="120" w:line="360" w:lineRule="auto"/>
        <w:jc w:val="both"/>
        <w:rPr>
          <w:rFonts w:ascii="Arial" w:hAnsi="Arial"/>
        </w:rPr>
      </w:pPr>
      <w:r w:rsidRPr="004F6428">
        <w:rPr>
          <w:rFonts w:ascii="Arial" w:hAnsi="Arial"/>
        </w:rPr>
        <w:t>Los encofrados serán lo suficientemente rígidos para que no se produzcan deformaciones ni "aguas" en la superficie.</w:t>
      </w:r>
    </w:p>
    <w:p w14:paraId="59FD025C" w14:textId="77777777" w:rsidR="0071280A" w:rsidRPr="004F6428" w:rsidRDefault="0071280A" w:rsidP="0071280A">
      <w:pPr>
        <w:spacing w:before="120" w:after="120" w:line="360" w:lineRule="auto"/>
        <w:jc w:val="both"/>
        <w:rPr>
          <w:rFonts w:ascii="Arial" w:hAnsi="Arial"/>
        </w:rPr>
      </w:pPr>
      <w:r w:rsidRPr="004F6428">
        <w:rPr>
          <w:rFonts w:ascii="Arial" w:hAnsi="Arial"/>
        </w:rPr>
        <w:t>El despiece y posición de los puntos y taladros de anclaje de los encofrados deberá ser obligatoriam</w:t>
      </w:r>
      <w:r>
        <w:rPr>
          <w:rFonts w:ascii="Arial" w:hAnsi="Arial"/>
        </w:rPr>
        <w:t>ente aprobado por la Dirección de Obra</w:t>
      </w:r>
      <w:r w:rsidRPr="004F6428">
        <w:rPr>
          <w:rFonts w:ascii="Arial" w:hAnsi="Arial"/>
        </w:rPr>
        <w:t xml:space="preserve"> antes de proceder a su montaje, efectuándose si así se considera conveniente por la Dirección </w:t>
      </w:r>
      <w:r>
        <w:rPr>
          <w:rFonts w:ascii="Arial" w:hAnsi="Arial"/>
        </w:rPr>
        <w:t>de Obra</w:t>
      </w:r>
      <w:r w:rsidRPr="004F6428">
        <w:rPr>
          <w:rFonts w:ascii="Arial" w:hAnsi="Arial"/>
        </w:rPr>
        <w:t xml:space="preserve">, las pruebas correspondientes sobre muestras de tamaño reducido. Las pruebas se usarán con dosificaciones de hormigones, aditivos y </w:t>
      </w:r>
      <w:proofErr w:type="spellStart"/>
      <w:r w:rsidRPr="004F6428">
        <w:rPr>
          <w:rFonts w:ascii="Arial" w:hAnsi="Arial"/>
        </w:rPr>
        <w:t>desencofrantes</w:t>
      </w:r>
      <w:proofErr w:type="spellEnd"/>
      <w:r w:rsidRPr="004F6428">
        <w:rPr>
          <w:rFonts w:ascii="Arial" w:hAnsi="Arial"/>
        </w:rPr>
        <w:t xml:space="preserve"> análogos a los que se vayan a utilizar en obra, así como con análogas condiciones de vibrado, curado y edad de desencofrado de los hormigones.</w:t>
      </w:r>
    </w:p>
    <w:p w14:paraId="5A507024" w14:textId="77777777" w:rsidR="0071280A" w:rsidRPr="004F6428" w:rsidRDefault="0071280A" w:rsidP="0071280A">
      <w:pPr>
        <w:spacing w:before="120" w:after="120" w:line="360" w:lineRule="auto"/>
        <w:jc w:val="both"/>
        <w:rPr>
          <w:rFonts w:ascii="Arial" w:hAnsi="Arial"/>
        </w:rPr>
      </w:pPr>
      <w:r w:rsidRPr="004F6428">
        <w:rPr>
          <w:rFonts w:ascii="Arial" w:hAnsi="Arial"/>
        </w:rPr>
        <w:t xml:space="preserve">En los casos de paramentos vistos que, según los planos del Proyecto, incluyen estrías o </w:t>
      </w:r>
      <w:proofErr w:type="spellStart"/>
      <w:r w:rsidRPr="004F6428">
        <w:rPr>
          <w:rFonts w:ascii="Arial" w:hAnsi="Arial"/>
        </w:rPr>
        <w:t>berenjenos</w:t>
      </w:r>
      <w:proofErr w:type="spellEnd"/>
      <w:r w:rsidRPr="004F6428">
        <w:rPr>
          <w:rFonts w:ascii="Arial" w:hAnsi="Arial"/>
        </w:rPr>
        <w:t xml:space="preserve"> verticales y/o horizontales, el despiece de placas de encofrado deberá modularse y adaptarse a la secuencia y separación entre líneas de estrías, debiendo recibir la aprobación exp</w:t>
      </w:r>
      <w:r>
        <w:rPr>
          <w:rFonts w:ascii="Arial" w:hAnsi="Arial"/>
        </w:rPr>
        <w:t>resa de la Dirección de Obra</w:t>
      </w:r>
      <w:r w:rsidRPr="004F6428">
        <w:rPr>
          <w:rFonts w:ascii="Arial" w:hAnsi="Arial"/>
        </w:rPr>
        <w:t>.</w:t>
      </w:r>
    </w:p>
    <w:p w14:paraId="5AEB046C" w14:textId="77777777" w:rsidR="0071280A" w:rsidRPr="004F6428" w:rsidRDefault="0071280A" w:rsidP="0071280A">
      <w:pPr>
        <w:spacing w:before="120" w:after="120" w:line="360" w:lineRule="auto"/>
        <w:jc w:val="both"/>
        <w:rPr>
          <w:rFonts w:ascii="Arial" w:hAnsi="Arial"/>
        </w:rPr>
      </w:pPr>
      <w:r w:rsidRPr="004F6428">
        <w:rPr>
          <w:rFonts w:ascii="Arial" w:hAnsi="Arial"/>
        </w:rPr>
        <w:t xml:space="preserve">No se admiten achaflanados mediante </w:t>
      </w:r>
      <w:proofErr w:type="spellStart"/>
      <w:r w:rsidRPr="004F6428">
        <w:rPr>
          <w:rFonts w:ascii="Arial" w:hAnsi="Arial"/>
        </w:rPr>
        <w:t>berenjenos</w:t>
      </w:r>
      <w:proofErr w:type="spellEnd"/>
      <w:r w:rsidRPr="004F6428">
        <w:rPr>
          <w:rFonts w:ascii="Arial" w:hAnsi="Arial"/>
        </w:rPr>
        <w:t xml:space="preserve"> o placas laterales de encofrado que eliminen las aristas vivas o redondeadas indicadas en los planos.</w:t>
      </w:r>
    </w:p>
    <w:p w14:paraId="051579EE" w14:textId="77777777" w:rsidR="0071280A" w:rsidRPr="004F6428" w:rsidRDefault="0071280A" w:rsidP="0071280A">
      <w:pPr>
        <w:spacing w:before="120" w:after="120" w:line="360" w:lineRule="auto"/>
        <w:jc w:val="both"/>
        <w:rPr>
          <w:rFonts w:ascii="Arial" w:hAnsi="Arial"/>
        </w:rPr>
      </w:pPr>
      <w:r w:rsidRPr="004F6428">
        <w:rPr>
          <w:rFonts w:ascii="Arial" w:hAnsi="Arial"/>
        </w:rPr>
        <w:t xml:space="preserve">El uso de productos </w:t>
      </w:r>
      <w:proofErr w:type="spellStart"/>
      <w:r w:rsidRPr="004F6428">
        <w:rPr>
          <w:rFonts w:ascii="Arial" w:hAnsi="Arial"/>
        </w:rPr>
        <w:t>desencofrantes</w:t>
      </w:r>
      <w:proofErr w:type="spellEnd"/>
      <w:r w:rsidRPr="004F6428">
        <w:rPr>
          <w:rFonts w:ascii="Arial" w:hAnsi="Arial"/>
        </w:rPr>
        <w:t xml:space="preserve">, barnices antiadherentes, etc., no debe dejar ningún rastro o alteración de color en los paramentos vistos de hormigón. Su empleo deberá ser por tanto aceptado expresamente por la Dirección </w:t>
      </w:r>
      <w:r>
        <w:rPr>
          <w:rFonts w:ascii="Arial" w:hAnsi="Arial"/>
        </w:rPr>
        <w:t>de Obra</w:t>
      </w:r>
      <w:r w:rsidRPr="004F6428">
        <w:rPr>
          <w:rFonts w:ascii="Arial" w:hAnsi="Arial"/>
        </w:rPr>
        <w:t xml:space="preserve"> que podrá exigir la realización de las oportunas pruebas.</w:t>
      </w:r>
    </w:p>
    <w:p w14:paraId="23F35902" w14:textId="77777777" w:rsidR="0071280A" w:rsidRPr="004F6428" w:rsidRDefault="0071280A" w:rsidP="0071280A">
      <w:pPr>
        <w:spacing w:before="120" w:after="120" w:line="360" w:lineRule="auto"/>
        <w:jc w:val="both"/>
        <w:rPr>
          <w:rFonts w:ascii="Arial" w:hAnsi="Arial"/>
        </w:rPr>
      </w:pPr>
      <w:r w:rsidRPr="004F6428">
        <w:rPr>
          <w:rFonts w:ascii="Arial" w:hAnsi="Arial"/>
        </w:rPr>
        <w:t xml:space="preserve">En el caso de encofrados de tablero, el replanteo final de los mismos deberá incluir el esquema de </w:t>
      </w:r>
      <w:proofErr w:type="spellStart"/>
      <w:r w:rsidRPr="004F6428">
        <w:rPr>
          <w:rFonts w:ascii="Arial" w:hAnsi="Arial"/>
        </w:rPr>
        <w:t>contraflechas</w:t>
      </w:r>
      <w:proofErr w:type="spellEnd"/>
      <w:r w:rsidRPr="004F6428">
        <w:rPr>
          <w:rFonts w:ascii="Arial" w:hAnsi="Arial"/>
        </w:rPr>
        <w:t xml:space="preserve">, cuando así quede previsto en los planos del Proyecto. En este </w:t>
      </w:r>
      <w:r w:rsidRPr="004F6428">
        <w:rPr>
          <w:rFonts w:ascii="Arial" w:hAnsi="Arial"/>
        </w:rPr>
        <w:lastRenderedPageBreak/>
        <w:t xml:space="preserve">caso, los valores de las </w:t>
      </w:r>
      <w:proofErr w:type="spellStart"/>
      <w:r w:rsidRPr="004F6428">
        <w:rPr>
          <w:rFonts w:ascii="Arial" w:hAnsi="Arial"/>
        </w:rPr>
        <w:t>contraflechas</w:t>
      </w:r>
      <w:proofErr w:type="spellEnd"/>
      <w:r w:rsidRPr="004F6428">
        <w:rPr>
          <w:rFonts w:ascii="Arial" w:hAnsi="Arial"/>
        </w:rPr>
        <w:t xml:space="preserve"> establecidas en proyecto deberán ser contrastadas y confirmadas por la Dirección </w:t>
      </w:r>
      <w:r>
        <w:rPr>
          <w:rFonts w:ascii="Arial" w:hAnsi="Arial"/>
        </w:rPr>
        <w:t>de Obra</w:t>
      </w:r>
      <w:r w:rsidRPr="004F6428">
        <w:rPr>
          <w:rFonts w:ascii="Arial" w:hAnsi="Arial"/>
        </w:rPr>
        <w:t xml:space="preserve"> en función de los posibles cambios o variantes aceptados al Contratista respecto a las fases, secuencias y plazos de montaje previstos en el Proyecto.</w:t>
      </w:r>
    </w:p>
    <w:p w14:paraId="49AA6862" w14:textId="77777777" w:rsidR="0071280A" w:rsidRPr="004F6428" w:rsidRDefault="0071280A" w:rsidP="0071280A">
      <w:pPr>
        <w:spacing w:before="120" w:after="120" w:line="360" w:lineRule="auto"/>
        <w:jc w:val="both"/>
        <w:rPr>
          <w:rFonts w:ascii="Arial" w:hAnsi="Arial"/>
        </w:rPr>
      </w:pPr>
      <w:r w:rsidRPr="004F6428">
        <w:rPr>
          <w:rFonts w:ascii="Arial" w:hAnsi="Arial"/>
        </w:rPr>
        <w:t xml:space="preserve">Salvo indicación expresa en planos, la posición y número de las juntas de hormigonado de tablero y alzados de pilas y estribos, deberán ser propuestas por el Contratista y aceptadas por la Dirección </w:t>
      </w:r>
      <w:r>
        <w:rPr>
          <w:rFonts w:ascii="Arial" w:hAnsi="Arial"/>
        </w:rPr>
        <w:t>de Obra</w:t>
      </w:r>
      <w:r w:rsidRPr="004F6428">
        <w:rPr>
          <w:rFonts w:ascii="Arial" w:hAnsi="Arial"/>
        </w:rPr>
        <w:t>.</w:t>
      </w:r>
    </w:p>
    <w:p w14:paraId="29735C75" w14:textId="77777777" w:rsidR="0071280A" w:rsidRPr="00A8316A" w:rsidRDefault="0071280A" w:rsidP="000313DD">
      <w:pPr>
        <w:pStyle w:val="TITU2"/>
      </w:pPr>
      <w:bookmarkStart w:id="881" w:name="_Toc414400320"/>
      <w:bookmarkStart w:id="882" w:name="_Toc414434162"/>
      <w:bookmarkStart w:id="883" w:name="_Toc404478"/>
      <w:r w:rsidRPr="00A8316A">
        <w:t>6</w:t>
      </w:r>
      <w:r>
        <w:t>80</w:t>
      </w:r>
      <w:r w:rsidRPr="00A8316A">
        <w:t>.3.</w:t>
      </w:r>
      <w:r>
        <w:t xml:space="preserve"> </w:t>
      </w:r>
      <w:r w:rsidRPr="00A8316A">
        <w:tab/>
        <w:t>Ejecución</w:t>
      </w:r>
      <w:bookmarkEnd w:id="881"/>
      <w:bookmarkEnd w:id="882"/>
      <w:r>
        <w:t xml:space="preserve"> </w:t>
      </w:r>
      <w:proofErr w:type="gramStart"/>
      <w:r>
        <w:t>de  las</w:t>
      </w:r>
      <w:proofErr w:type="gramEnd"/>
      <w:r>
        <w:t xml:space="preserve"> obras</w:t>
      </w:r>
      <w:bookmarkEnd w:id="883"/>
    </w:p>
    <w:p w14:paraId="49AEBAB6" w14:textId="77777777" w:rsidR="0071280A" w:rsidRPr="004F6428" w:rsidRDefault="0071280A" w:rsidP="0071280A">
      <w:pPr>
        <w:spacing w:before="120" w:after="120" w:line="360" w:lineRule="auto"/>
        <w:jc w:val="both"/>
        <w:rPr>
          <w:rFonts w:ascii="Arial" w:hAnsi="Arial"/>
        </w:rPr>
      </w:pPr>
      <w:r w:rsidRPr="004F6428">
        <w:rPr>
          <w:rFonts w:ascii="Arial" w:hAnsi="Arial"/>
        </w:rPr>
        <w:t>Antes de cada puesta las planchas de los encofrados vistos deberán ser enderezadas y repasadas de forma que la calidad de la superficie resultante sea análoga a un encofrado nuevo.</w:t>
      </w:r>
    </w:p>
    <w:p w14:paraId="4F3DB986" w14:textId="77777777" w:rsidR="0071280A" w:rsidRPr="004F6428" w:rsidRDefault="0071280A" w:rsidP="0071280A">
      <w:pPr>
        <w:spacing w:before="120" w:after="120" w:line="360" w:lineRule="auto"/>
        <w:jc w:val="both"/>
        <w:rPr>
          <w:rFonts w:ascii="Arial" w:hAnsi="Arial"/>
        </w:rPr>
      </w:pPr>
      <w:r w:rsidRPr="004F6428">
        <w:rPr>
          <w:rFonts w:ascii="Arial" w:hAnsi="Arial"/>
        </w:rPr>
        <w:t>Los encofrados y moldes de madera se humedecerán previamente a procederse al hormigonado, para evitar que absorban agua del hormigón.</w:t>
      </w:r>
    </w:p>
    <w:p w14:paraId="0E03289E" w14:textId="77777777" w:rsidR="0071280A" w:rsidRPr="004F6428" w:rsidRDefault="0071280A" w:rsidP="0071280A">
      <w:pPr>
        <w:spacing w:before="120" w:after="120" w:line="360" w:lineRule="auto"/>
        <w:jc w:val="both"/>
        <w:rPr>
          <w:rFonts w:ascii="Arial" w:hAnsi="Arial"/>
        </w:rPr>
      </w:pPr>
      <w:r w:rsidRPr="004F6428">
        <w:rPr>
          <w:rFonts w:ascii="Arial" w:hAnsi="Arial"/>
        </w:rPr>
        <w:t>Es necesario prever una estanqueidad máxima al desplazar los encofrados, en el curso de la construcción. Podrá utilizarse, para asegurar esta estanqueidad, cualquier producto flexible (goma</w:t>
      </w:r>
      <w:r w:rsidRPr="004F6428">
        <w:rPr>
          <w:rFonts w:ascii="Arial" w:hAnsi="Arial"/>
        </w:rPr>
        <w:noBreakHyphen/>
        <w:t>espuma, yeso, etc.) siempre que después de desencofrar se elimine toda señal.</w:t>
      </w:r>
    </w:p>
    <w:p w14:paraId="2A39EE32" w14:textId="77777777" w:rsidR="0071280A" w:rsidRPr="004F6428" w:rsidRDefault="0071280A" w:rsidP="0071280A">
      <w:pPr>
        <w:spacing w:before="120" w:after="120" w:line="360" w:lineRule="auto"/>
        <w:jc w:val="both"/>
        <w:rPr>
          <w:rFonts w:ascii="Arial" w:hAnsi="Arial"/>
        </w:rPr>
      </w:pPr>
      <w:r w:rsidRPr="004F6428">
        <w:rPr>
          <w:rFonts w:ascii="Arial" w:hAnsi="Arial"/>
        </w:rPr>
        <w:t xml:space="preserve">Previamente a la disposición del encofrado se someterá a la aprobación de la Dirección </w:t>
      </w:r>
      <w:r>
        <w:rPr>
          <w:rFonts w:ascii="Arial" w:hAnsi="Arial"/>
        </w:rPr>
        <w:t>de Obra</w:t>
      </w:r>
      <w:r w:rsidRPr="004F6428">
        <w:rPr>
          <w:rFonts w:ascii="Arial" w:hAnsi="Arial"/>
        </w:rPr>
        <w:t xml:space="preserve"> el despiece </w:t>
      </w:r>
      <w:proofErr w:type="gramStart"/>
      <w:r w:rsidRPr="004F6428">
        <w:rPr>
          <w:rFonts w:ascii="Arial" w:hAnsi="Arial"/>
        </w:rPr>
        <w:t>del mismo</w:t>
      </w:r>
      <w:proofErr w:type="gramEnd"/>
      <w:r w:rsidRPr="004F6428">
        <w:rPr>
          <w:rFonts w:ascii="Arial" w:hAnsi="Arial"/>
        </w:rPr>
        <w:t>, la ubicación de puntos de agarre y el sistema a utilizar, con el fin de garantizar el buen acabado superficial del hormigón.</w:t>
      </w:r>
    </w:p>
    <w:p w14:paraId="0B73C1DE" w14:textId="77777777" w:rsidR="0071280A" w:rsidRPr="004F6428" w:rsidRDefault="0071280A" w:rsidP="0071280A">
      <w:pPr>
        <w:spacing w:before="120" w:after="120" w:line="360" w:lineRule="auto"/>
        <w:jc w:val="both"/>
        <w:rPr>
          <w:rFonts w:ascii="Arial" w:hAnsi="Arial"/>
        </w:rPr>
      </w:pPr>
      <w:r w:rsidRPr="004F6428">
        <w:rPr>
          <w:rFonts w:ascii="Arial" w:hAnsi="Arial"/>
        </w:rPr>
        <w:t>Todas las juntas de hormigonado deberán ser repasadas con piedra pómez u otro material análogo para que no se aprecien de ningún modo en la superficie del hormigón y ésta queden con apariencia de haber sido hormigonada de una sola vez.</w:t>
      </w:r>
    </w:p>
    <w:p w14:paraId="72E122FC" w14:textId="77777777" w:rsidR="0071280A" w:rsidRPr="004F6428" w:rsidRDefault="0071280A" w:rsidP="0071280A">
      <w:pPr>
        <w:spacing w:before="120" w:after="120" w:line="360" w:lineRule="auto"/>
        <w:jc w:val="both"/>
        <w:rPr>
          <w:rFonts w:ascii="Arial" w:hAnsi="Arial"/>
        </w:rPr>
      </w:pPr>
      <w:r w:rsidRPr="004F6428">
        <w:rPr>
          <w:rFonts w:ascii="Arial" w:hAnsi="Arial"/>
        </w:rPr>
        <w:t>Los encofrados, tanto externos como, en su caso, los correspondientes a aligeramientos internos de losas o cajones, deberán poseer la suficiente rigidez para resistir los empujes hidrostáticos del hormigón fluido con deformaciones inferiores a 1/1000 de la distancia entre aristas de los paneles, con objeto de no afectar sensiblemente a los recubrimientos ni producir combadura o bombeos apreciables.</w:t>
      </w:r>
    </w:p>
    <w:p w14:paraId="4208065F" w14:textId="77777777" w:rsidR="0071280A" w:rsidRPr="004F6428" w:rsidRDefault="0071280A" w:rsidP="0071280A">
      <w:pPr>
        <w:spacing w:before="120" w:after="120" w:line="360" w:lineRule="auto"/>
        <w:jc w:val="both"/>
        <w:rPr>
          <w:rFonts w:ascii="Arial" w:hAnsi="Arial"/>
        </w:rPr>
      </w:pPr>
      <w:r w:rsidRPr="004F6428">
        <w:rPr>
          <w:rFonts w:ascii="Arial" w:hAnsi="Arial"/>
        </w:rPr>
        <w:t xml:space="preserve">Los posibles aligeramientos internos deberán fijarse convenientemente a la ferralla y/o paredes de encofrado para hacer frente al fenómeno de flotación por empuje hidrostático del hormigón fluido, ejecutándose si fuera preciso el hormigonado por fases para reducir </w:t>
      </w:r>
      <w:r w:rsidRPr="004F6428">
        <w:rPr>
          <w:rFonts w:ascii="Arial" w:hAnsi="Arial"/>
        </w:rPr>
        <w:t xml:space="preserve">la altura libre de empuje hidrostático a valores admisibles por el procedimiento de fijación, previa aceptación por la Dirección </w:t>
      </w:r>
      <w:r>
        <w:rPr>
          <w:rFonts w:ascii="Arial" w:hAnsi="Arial"/>
        </w:rPr>
        <w:t>de Obra</w:t>
      </w:r>
      <w:r w:rsidRPr="004F6428">
        <w:rPr>
          <w:rFonts w:ascii="Arial" w:hAnsi="Arial"/>
        </w:rPr>
        <w:t>.</w:t>
      </w:r>
    </w:p>
    <w:p w14:paraId="48E948D9" w14:textId="77777777" w:rsidR="0071280A" w:rsidRPr="004F6428" w:rsidRDefault="0071280A" w:rsidP="0071280A">
      <w:pPr>
        <w:spacing w:before="120" w:after="120" w:line="360" w:lineRule="auto"/>
        <w:jc w:val="both"/>
        <w:rPr>
          <w:rFonts w:ascii="Arial" w:hAnsi="Arial"/>
        </w:rPr>
      </w:pPr>
      <w:r w:rsidRPr="004F6428">
        <w:rPr>
          <w:rFonts w:ascii="Arial" w:hAnsi="Arial"/>
        </w:rPr>
        <w:t xml:space="preserve">En el caso de tableros </w:t>
      </w:r>
      <w:proofErr w:type="spellStart"/>
      <w:r w:rsidRPr="004F6428">
        <w:rPr>
          <w:rFonts w:ascii="Arial" w:hAnsi="Arial"/>
        </w:rPr>
        <w:t>postesados</w:t>
      </w:r>
      <w:proofErr w:type="spellEnd"/>
      <w:r w:rsidRPr="004F6428">
        <w:rPr>
          <w:rFonts w:ascii="Arial" w:hAnsi="Arial"/>
        </w:rPr>
        <w:t xml:space="preserve"> deberá procederse a la eliminación o liberación de los encofrados laterales de costeros, losas de voladizo, etc., con objeto de reducir al mínimo la coacción del encofrado al libre acortamiento elástico bajo la acción de las fuerzas de tesado. Los encofrados inferiores de las losas deberán ser de primera utilización, con ausencia de resaltos y recurriéndose en su caso al empleo de barnices antiadherentes o </w:t>
      </w:r>
      <w:proofErr w:type="spellStart"/>
      <w:r w:rsidRPr="004F6428">
        <w:rPr>
          <w:rFonts w:ascii="Arial" w:hAnsi="Arial"/>
        </w:rPr>
        <w:t>desencofrantes</w:t>
      </w:r>
      <w:proofErr w:type="spellEnd"/>
      <w:r w:rsidRPr="004F6428">
        <w:rPr>
          <w:rFonts w:ascii="Arial" w:hAnsi="Arial"/>
        </w:rPr>
        <w:t xml:space="preserve"> que minimicen este efecto.</w:t>
      </w:r>
    </w:p>
    <w:p w14:paraId="389C7A9C" w14:textId="77777777" w:rsidR="0071280A" w:rsidRPr="004F6428" w:rsidRDefault="0071280A" w:rsidP="0071280A">
      <w:pPr>
        <w:spacing w:before="120" w:after="120" w:line="360" w:lineRule="auto"/>
        <w:jc w:val="both"/>
        <w:rPr>
          <w:rFonts w:ascii="Arial" w:hAnsi="Arial"/>
        </w:rPr>
      </w:pPr>
      <w:r w:rsidRPr="004F6428">
        <w:rPr>
          <w:rFonts w:ascii="Arial" w:hAnsi="Arial"/>
        </w:rPr>
        <w:t>Las cimbras deberán proyectarse para hacer frente al nuevo estado de cargas tras este desencofrado parcial.</w:t>
      </w:r>
    </w:p>
    <w:p w14:paraId="66187AFA" w14:textId="77777777" w:rsidR="0071280A" w:rsidRPr="00A8316A" w:rsidRDefault="0071280A" w:rsidP="000313DD">
      <w:pPr>
        <w:pStyle w:val="TITU2"/>
      </w:pPr>
      <w:bookmarkStart w:id="884" w:name="_Toc414400321"/>
      <w:bookmarkStart w:id="885" w:name="_Toc414434163"/>
      <w:bookmarkStart w:id="886" w:name="_Toc404479"/>
      <w:r w:rsidRPr="00A8316A">
        <w:t>6</w:t>
      </w:r>
      <w:r>
        <w:t>80</w:t>
      </w:r>
      <w:r w:rsidRPr="00A8316A">
        <w:t>.4.</w:t>
      </w:r>
      <w:r>
        <w:t xml:space="preserve"> </w:t>
      </w:r>
      <w:r w:rsidRPr="00A8316A">
        <w:tab/>
        <w:t>Medición y abono</w:t>
      </w:r>
      <w:bookmarkEnd w:id="884"/>
      <w:bookmarkEnd w:id="885"/>
      <w:bookmarkEnd w:id="886"/>
    </w:p>
    <w:p w14:paraId="5432AD86" w14:textId="77777777" w:rsidR="0071280A" w:rsidRPr="004F6428" w:rsidRDefault="0071280A" w:rsidP="0071280A">
      <w:pPr>
        <w:spacing w:before="120" w:after="120" w:line="360" w:lineRule="auto"/>
        <w:ind w:firstLine="851"/>
        <w:jc w:val="both"/>
        <w:rPr>
          <w:rFonts w:ascii="Arial" w:hAnsi="Arial"/>
        </w:rPr>
      </w:pPr>
      <w:r w:rsidRPr="004F6428">
        <w:rPr>
          <w:rFonts w:ascii="Arial" w:hAnsi="Arial"/>
        </w:rPr>
        <w:t>Para la medición y abono de los encofrados se seguirán los siguientes criterios: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71280A" w:rsidRPr="001811ED" w14:paraId="65C2DE4D" w14:textId="77777777" w:rsidTr="007920B4">
        <w:trPr>
          <w:jc w:val="center"/>
        </w:trPr>
        <w:tc>
          <w:tcPr>
            <w:tcW w:w="2905" w:type="dxa"/>
            <w:vAlign w:val="center"/>
          </w:tcPr>
          <w:p w14:paraId="3737CC51" w14:textId="77777777" w:rsidR="0071280A" w:rsidRPr="001811ED" w:rsidRDefault="0071280A" w:rsidP="007920B4">
            <w:pPr>
              <w:spacing w:before="120" w:after="40" w:line="276" w:lineRule="auto"/>
              <w:jc w:val="center"/>
              <w:rPr>
                <w:rFonts w:ascii="Arial" w:hAnsi="Arial" w:cs="Arial"/>
                <w:b/>
                <w:sz w:val="20"/>
                <w:szCs w:val="20"/>
              </w:rPr>
            </w:pPr>
            <w:r w:rsidRPr="001811ED">
              <w:rPr>
                <w:rFonts w:ascii="Arial" w:hAnsi="Arial" w:cs="Arial"/>
                <w:b/>
                <w:sz w:val="20"/>
                <w:szCs w:val="20"/>
              </w:rPr>
              <w:t>Unidad de medida</w:t>
            </w:r>
          </w:p>
        </w:tc>
        <w:tc>
          <w:tcPr>
            <w:tcW w:w="5739" w:type="dxa"/>
            <w:vAlign w:val="center"/>
          </w:tcPr>
          <w:p w14:paraId="72A602B5" w14:textId="77777777" w:rsidR="0071280A" w:rsidRPr="001811ED" w:rsidRDefault="0071280A" w:rsidP="007920B4">
            <w:pPr>
              <w:spacing w:before="120" w:after="40" w:line="276" w:lineRule="auto"/>
              <w:jc w:val="both"/>
              <w:rPr>
                <w:rFonts w:ascii="Arial" w:hAnsi="Arial" w:cs="Arial"/>
                <w:sz w:val="20"/>
                <w:szCs w:val="20"/>
              </w:rPr>
            </w:pPr>
            <w:r w:rsidRPr="001811ED">
              <w:rPr>
                <w:rFonts w:ascii="Arial" w:hAnsi="Arial" w:cs="Arial"/>
                <w:sz w:val="20"/>
                <w:szCs w:val="20"/>
              </w:rPr>
              <w:t>Metros cuadrados (m</w:t>
            </w:r>
            <w:r w:rsidRPr="001811ED">
              <w:rPr>
                <w:rFonts w:ascii="Arial" w:hAnsi="Arial" w:cs="Arial"/>
                <w:sz w:val="20"/>
                <w:szCs w:val="20"/>
                <w:vertAlign w:val="superscript"/>
              </w:rPr>
              <w:t>2</w:t>
            </w:r>
            <w:r w:rsidRPr="001811ED">
              <w:rPr>
                <w:rFonts w:ascii="Arial" w:hAnsi="Arial" w:cs="Arial"/>
                <w:sz w:val="20"/>
                <w:szCs w:val="20"/>
              </w:rPr>
              <w:t xml:space="preserve">) </w:t>
            </w:r>
          </w:p>
        </w:tc>
      </w:tr>
      <w:tr w:rsidR="0071280A" w:rsidRPr="001811ED" w14:paraId="5BC27B09" w14:textId="77777777" w:rsidTr="007920B4">
        <w:trPr>
          <w:jc w:val="center"/>
        </w:trPr>
        <w:tc>
          <w:tcPr>
            <w:tcW w:w="2905" w:type="dxa"/>
            <w:vAlign w:val="center"/>
          </w:tcPr>
          <w:p w14:paraId="7FD7163F" w14:textId="77777777" w:rsidR="0071280A" w:rsidRPr="001811ED" w:rsidRDefault="0071280A" w:rsidP="007920B4">
            <w:pPr>
              <w:spacing w:before="120" w:after="40" w:line="276" w:lineRule="auto"/>
              <w:jc w:val="center"/>
              <w:rPr>
                <w:rFonts w:ascii="Arial" w:hAnsi="Arial" w:cs="Arial"/>
                <w:b/>
                <w:sz w:val="20"/>
                <w:szCs w:val="20"/>
              </w:rPr>
            </w:pPr>
            <w:r w:rsidRPr="001811ED">
              <w:rPr>
                <w:rFonts w:ascii="Arial" w:hAnsi="Arial" w:cs="Arial"/>
                <w:b/>
                <w:sz w:val="20"/>
                <w:szCs w:val="20"/>
              </w:rPr>
              <w:t>Grado de precisión</w:t>
            </w:r>
          </w:p>
        </w:tc>
        <w:tc>
          <w:tcPr>
            <w:tcW w:w="5739" w:type="dxa"/>
            <w:vAlign w:val="center"/>
          </w:tcPr>
          <w:p w14:paraId="797D6CC3" w14:textId="77777777" w:rsidR="0071280A" w:rsidRPr="001811ED" w:rsidRDefault="0071280A" w:rsidP="007920B4">
            <w:pPr>
              <w:spacing w:before="120" w:after="40" w:line="276" w:lineRule="auto"/>
              <w:jc w:val="both"/>
              <w:rPr>
                <w:rFonts w:ascii="Arial" w:hAnsi="Arial" w:cs="Arial"/>
                <w:sz w:val="20"/>
                <w:szCs w:val="20"/>
              </w:rPr>
            </w:pPr>
            <w:r w:rsidRPr="001811ED">
              <w:rPr>
                <w:rFonts w:ascii="Arial" w:hAnsi="Arial" w:cs="Arial"/>
                <w:sz w:val="20"/>
                <w:szCs w:val="20"/>
              </w:rPr>
              <w:t>Dos decimales</w:t>
            </w:r>
          </w:p>
        </w:tc>
      </w:tr>
      <w:tr w:rsidR="0071280A" w:rsidRPr="001811ED" w14:paraId="7E9A96EC" w14:textId="77777777" w:rsidTr="007920B4">
        <w:trPr>
          <w:jc w:val="center"/>
        </w:trPr>
        <w:tc>
          <w:tcPr>
            <w:tcW w:w="2905" w:type="dxa"/>
            <w:vAlign w:val="center"/>
          </w:tcPr>
          <w:p w14:paraId="4EF6EE65" w14:textId="77777777" w:rsidR="0071280A" w:rsidRPr="001811ED" w:rsidRDefault="0071280A" w:rsidP="007920B4">
            <w:pPr>
              <w:spacing w:before="120" w:after="40" w:line="276" w:lineRule="auto"/>
              <w:jc w:val="center"/>
              <w:rPr>
                <w:rFonts w:ascii="Arial" w:hAnsi="Arial" w:cs="Arial"/>
                <w:b/>
                <w:sz w:val="20"/>
                <w:szCs w:val="20"/>
              </w:rPr>
            </w:pPr>
            <w:r w:rsidRPr="001811ED">
              <w:rPr>
                <w:rFonts w:ascii="Arial" w:hAnsi="Arial" w:cs="Arial"/>
                <w:b/>
                <w:sz w:val="20"/>
                <w:szCs w:val="20"/>
              </w:rPr>
              <w:t>Forma de medición</w:t>
            </w:r>
          </w:p>
        </w:tc>
        <w:tc>
          <w:tcPr>
            <w:tcW w:w="5739" w:type="dxa"/>
            <w:vAlign w:val="center"/>
          </w:tcPr>
          <w:p w14:paraId="722488A2" w14:textId="77777777" w:rsidR="0071280A" w:rsidRPr="001811ED" w:rsidRDefault="0071280A" w:rsidP="007920B4">
            <w:pPr>
              <w:spacing w:before="120" w:after="40" w:line="276" w:lineRule="auto"/>
              <w:jc w:val="both"/>
              <w:rPr>
                <w:rFonts w:ascii="Arial" w:hAnsi="Arial" w:cs="Arial"/>
                <w:sz w:val="20"/>
                <w:szCs w:val="20"/>
              </w:rPr>
            </w:pPr>
            <w:r w:rsidRPr="001811ED">
              <w:rPr>
                <w:rFonts w:ascii="Arial" w:hAnsi="Arial" w:cs="Arial"/>
                <w:sz w:val="20"/>
                <w:szCs w:val="20"/>
              </w:rPr>
              <w:t>Metros cuadrados (m</w:t>
            </w:r>
            <w:r w:rsidRPr="001811ED">
              <w:rPr>
                <w:rFonts w:ascii="Arial" w:hAnsi="Arial" w:cs="Arial"/>
                <w:sz w:val="20"/>
                <w:szCs w:val="20"/>
                <w:vertAlign w:val="superscript"/>
              </w:rPr>
              <w:t>2</w:t>
            </w:r>
            <w:r w:rsidRPr="001811ED">
              <w:rPr>
                <w:rFonts w:ascii="Arial" w:hAnsi="Arial" w:cs="Arial"/>
                <w:sz w:val="20"/>
                <w:szCs w:val="20"/>
              </w:rPr>
              <w:t xml:space="preserve">) de superficie de hormigón encofrada. </w:t>
            </w:r>
          </w:p>
        </w:tc>
      </w:tr>
      <w:tr w:rsidR="0071280A" w:rsidRPr="001811ED" w14:paraId="60CBFF58" w14:textId="77777777" w:rsidTr="007920B4">
        <w:trPr>
          <w:jc w:val="center"/>
        </w:trPr>
        <w:tc>
          <w:tcPr>
            <w:tcW w:w="2905" w:type="dxa"/>
            <w:vAlign w:val="center"/>
          </w:tcPr>
          <w:p w14:paraId="0B9CE77B" w14:textId="77777777" w:rsidR="0071280A" w:rsidRPr="001811ED" w:rsidRDefault="0071280A" w:rsidP="007920B4">
            <w:pPr>
              <w:spacing w:before="120" w:after="40" w:line="276" w:lineRule="auto"/>
              <w:jc w:val="center"/>
              <w:rPr>
                <w:rFonts w:ascii="Arial" w:hAnsi="Arial" w:cs="Arial"/>
                <w:b/>
                <w:sz w:val="20"/>
                <w:szCs w:val="20"/>
              </w:rPr>
            </w:pPr>
            <w:r w:rsidRPr="001811ED">
              <w:rPr>
                <w:rFonts w:ascii="Arial" w:hAnsi="Arial" w:cs="Arial"/>
                <w:b/>
                <w:sz w:val="20"/>
                <w:szCs w:val="20"/>
              </w:rPr>
              <w:t>Abono</w:t>
            </w:r>
          </w:p>
        </w:tc>
        <w:tc>
          <w:tcPr>
            <w:tcW w:w="5739" w:type="dxa"/>
            <w:vAlign w:val="center"/>
          </w:tcPr>
          <w:p w14:paraId="1D690405" w14:textId="77777777" w:rsidR="0071280A" w:rsidRPr="001811ED" w:rsidRDefault="0071280A" w:rsidP="007920B4">
            <w:pPr>
              <w:spacing w:before="120" w:after="40" w:line="276" w:lineRule="auto"/>
              <w:jc w:val="both"/>
              <w:rPr>
                <w:rFonts w:ascii="Arial" w:hAnsi="Arial" w:cs="Arial"/>
                <w:sz w:val="20"/>
                <w:szCs w:val="20"/>
              </w:rPr>
            </w:pPr>
            <w:r w:rsidRPr="001811ED">
              <w:rPr>
                <w:rFonts w:ascii="Arial" w:hAnsi="Arial" w:cs="Arial"/>
                <w:sz w:val="20"/>
                <w:szCs w:val="20"/>
              </w:rPr>
              <w:t>Se abonará según el precio establecido en el Cuadro de precios para la unidad de aplicación.</w:t>
            </w:r>
          </w:p>
        </w:tc>
      </w:tr>
      <w:tr w:rsidR="0071280A" w:rsidRPr="001811ED" w14:paraId="17695D61" w14:textId="77777777" w:rsidTr="007920B4">
        <w:trPr>
          <w:jc w:val="center"/>
        </w:trPr>
        <w:tc>
          <w:tcPr>
            <w:tcW w:w="2905" w:type="dxa"/>
            <w:vAlign w:val="center"/>
          </w:tcPr>
          <w:p w14:paraId="0D0FB068" w14:textId="77777777" w:rsidR="0071280A" w:rsidRPr="001811ED" w:rsidRDefault="0071280A" w:rsidP="007920B4">
            <w:pPr>
              <w:spacing w:before="120" w:after="40" w:line="276" w:lineRule="auto"/>
              <w:jc w:val="center"/>
              <w:rPr>
                <w:rFonts w:ascii="Arial" w:hAnsi="Arial" w:cs="Arial"/>
                <w:b/>
                <w:sz w:val="20"/>
                <w:szCs w:val="20"/>
              </w:rPr>
            </w:pPr>
            <w:r>
              <w:rPr>
                <w:rFonts w:ascii="Arial" w:hAnsi="Arial" w:cs="Arial"/>
                <w:b/>
                <w:sz w:val="20"/>
                <w:szCs w:val="20"/>
              </w:rPr>
              <w:t>Criterios complementarios</w:t>
            </w:r>
          </w:p>
        </w:tc>
        <w:tc>
          <w:tcPr>
            <w:tcW w:w="5739" w:type="dxa"/>
            <w:vAlign w:val="center"/>
          </w:tcPr>
          <w:p w14:paraId="2DEF4CAA" w14:textId="77777777" w:rsidR="0071280A" w:rsidRDefault="0071280A" w:rsidP="007920B4">
            <w:pPr>
              <w:spacing w:before="120" w:after="40" w:line="276" w:lineRule="auto"/>
              <w:jc w:val="both"/>
              <w:rPr>
                <w:rFonts w:ascii="Arial" w:hAnsi="Arial" w:cs="Arial"/>
                <w:sz w:val="20"/>
                <w:szCs w:val="20"/>
              </w:rPr>
            </w:pPr>
            <w:r>
              <w:rPr>
                <w:rFonts w:ascii="Arial" w:hAnsi="Arial" w:cs="Arial"/>
                <w:sz w:val="20"/>
                <w:szCs w:val="20"/>
              </w:rPr>
              <w:t>El precio de la unidad incluye todos los materiales y medios necesarios para la correcta ejecución de la unidad.</w:t>
            </w:r>
          </w:p>
          <w:p w14:paraId="505CE927" w14:textId="77777777" w:rsidR="0071280A" w:rsidRPr="001811ED" w:rsidRDefault="0071280A" w:rsidP="007920B4">
            <w:pPr>
              <w:spacing w:before="120" w:after="40" w:line="276" w:lineRule="auto"/>
              <w:jc w:val="both"/>
              <w:rPr>
                <w:rFonts w:ascii="Arial" w:hAnsi="Arial" w:cs="Arial"/>
                <w:sz w:val="20"/>
                <w:szCs w:val="20"/>
              </w:rPr>
            </w:pPr>
            <w:r>
              <w:rPr>
                <w:rFonts w:ascii="Arial" w:hAnsi="Arial" w:cs="Arial"/>
                <w:sz w:val="20"/>
                <w:szCs w:val="20"/>
              </w:rPr>
              <w:t xml:space="preserve">Incluye el encofrado y desencofrado y la aplicación </w:t>
            </w:r>
            <w:proofErr w:type="gramStart"/>
            <w:r>
              <w:rPr>
                <w:rFonts w:ascii="Arial" w:hAnsi="Arial" w:cs="Arial"/>
                <w:sz w:val="20"/>
                <w:szCs w:val="20"/>
              </w:rPr>
              <w:t>del productos</w:t>
            </w:r>
            <w:proofErr w:type="gramEnd"/>
            <w:r>
              <w:rPr>
                <w:rFonts w:ascii="Arial" w:hAnsi="Arial" w:cs="Arial"/>
                <w:sz w:val="20"/>
                <w:szCs w:val="20"/>
              </w:rPr>
              <w:t xml:space="preserve"> </w:t>
            </w:r>
            <w:proofErr w:type="spellStart"/>
            <w:r>
              <w:rPr>
                <w:rFonts w:ascii="Arial" w:hAnsi="Arial" w:cs="Arial"/>
                <w:sz w:val="20"/>
                <w:szCs w:val="20"/>
              </w:rPr>
              <w:t>desencofrantes</w:t>
            </w:r>
            <w:proofErr w:type="spellEnd"/>
            <w:r>
              <w:rPr>
                <w:rFonts w:ascii="Arial" w:hAnsi="Arial" w:cs="Arial"/>
                <w:sz w:val="20"/>
                <w:szCs w:val="20"/>
              </w:rPr>
              <w:t>.</w:t>
            </w:r>
          </w:p>
        </w:tc>
      </w:tr>
    </w:tbl>
    <w:p w14:paraId="40300E68" w14:textId="77777777" w:rsidR="0071280A" w:rsidRDefault="0071280A" w:rsidP="0071280A">
      <w:pPr>
        <w:pStyle w:val="NORMAL12"/>
        <w:rPr>
          <w:highlight w:val="green"/>
          <w:lang w:val="es-ES"/>
        </w:rPr>
      </w:pPr>
    </w:p>
    <w:p w14:paraId="0EA58027" w14:textId="77777777" w:rsidR="0071280A" w:rsidRPr="00016787" w:rsidRDefault="0071280A" w:rsidP="0071280A">
      <w:pPr>
        <w:pStyle w:val="NORMAL12"/>
        <w:rPr>
          <w:highlight w:val="green"/>
          <w:lang w:val="es-ES"/>
        </w:rPr>
      </w:pPr>
    </w:p>
    <w:p w14:paraId="7E321FDF" w14:textId="77777777" w:rsidR="00C21E7A" w:rsidRPr="006937C2" w:rsidRDefault="00C21E7A" w:rsidP="00C21E7A">
      <w:pPr>
        <w:pStyle w:val="TITU1"/>
      </w:pPr>
      <w:bookmarkStart w:id="887" w:name="_Toc404480"/>
      <w:r w:rsidRPr="006937C2">
        <w:lastRenderedPageBreak/>
        <w:t xml:space="preserve">Artículo </w:t>
      </w:r>
      <w:r w:rsidR="001E6CAF">
        <w:t>690</w:t>
      </w:r>
      <w:r w:rsidRPr="006937C2">
        <w:t xml:space="preserve">. Impermeabilización del </w:t>
      </w:r>
      <w:r w:rsidR="00897F0A">
        <w:t>tablero</w:t>
      </w:r>
      <w:bookmarkEnd w:id="873"/>
      <w:bookmarkEnd w:id="874"/>
      <w:bookmarkEnd w:id="887"/>
      <w:r w:rsidRPr="006937C2">
        <w:t xml:space="preserve"> </w:t>
      </w:r>
    </w:p>
    <w:p w14:paraId="63FDA7B2" w14:textId="77777777" w:rsidR="00295963" w:rsidRPr="006937C2" w:rsidRDefault="00295963" w:rsidP="00295963">
      <w:pPr>
        <w:pStyle w:val="NORMAL12"/>
      </w:pPr>
      <w:bookmarkStart w:id="888" w:name="_Toc531005921"/>
      <w:r w:rsidRPr="006937C2">
        <w:t xml:space="preserve">Excepto para lo especificado en el presente Pliego de Prescripciones Técnicas particulares se seguirá lo prescrito en el vigente </w:t>
      </w:r>
      <w:r w:rsidRPr="00D921B6">
        <w:t>artículo 690 del PG-3</w:t>
      </w:r>
      <w:r w:rsidRPr="006937C2">
        <w:t xml:space="preserve"> y la EHE 08.</w:t>
      </w:r>
    </w:p>
    <w:p w14:paraId="151730E8" w14:textId="77777777" w:rsidR="00295963" w:rsidRPr="006937C2" w:rsidRDefault="00295963" w:rsidP="000313DD">
      <w:pPr>
        <w:pStyle w:val="TITU2"/>
      </w:pPr>
      <w:bookmarkStart w:id="889" w:name="_Toc480903366"/>
      <w:bookmarkStart w:id="890" w:name="_Toc404481"/>
      <w:r>
        <w:t>690</w:t>
      </w:r>
      <w:r w:rsidRPr="006937C2">
        <w:t>.1.</w:t>
      </w:r>
      <w:r>
        <w:t xml:space="preserve"> </w:t>
      </w:r>
      <w:r w:rsidRPr="006937C2">
        <w:tab/>
        <w:t>Definición</w:t>
      </w:r>
      <w:bookmarkEnd w:id="889"/>
      <w:bookmarkEnd w:id="890"/>
      <w:r w:rsidRPr="006937C2">
        <w:t xml:space="preserve"> </w:t>
      </w:r>
    </w:p>
    <w:p w14:paraId="35BBF492" w14:textId="77777777" w:rsidR="00295963" w:rsidRDefault="00295963" w:rsidP="00295963">
      <w:pPr>
        <w:pStyle w:val="NORMAL12"/>
      </w:pPr>
      <w:r>
        <w:t xml:space="preserve">Se define como sistema de impermeabilización de paramentos enterrados al conjunto de elementos dispuestos sobre los paramentos de hormigón de una estructura enterrada o en contacto con relleno de tierras y cuyo objeto es evacuar las aguas de filtración que </w:t>
      </w:r>
      <w:r w:rsidR="00217216">
        <w:t>pueden</w:t>
      </w:r>
      <w:r>
        <w:t xml:space="preserve"> incidir sobre el trasdós de las obras de fábrica. </w:t>
      </w:r>
    </w:p>
    <w:p w14:paraId="06A2590A" w14:textId="77777777" w:rsidR="00295963" w:rsidRPr="00DF2D84" w:rsidRDefault="00295963" w:rsidP="00295963">
      <w:pPr>
        <w:pStyle w:val="NORMAL12"/>
      </w:pPr>
      <w:r w:rsidRPr="000072DC">
        <w:t>En este artículo se rigen las prescripciones a seguir en la actuación para la impermeabilización de la</w:t>
      </w:r>
      <w:r>
        <w:t xml:space="preserve"> ampliación de la</w:t>
      </w:r>
      <w:r w:rsidRPr="000072DC">
        <w:t xml:space="preserve"> estructura localizada</w:t>
      </w:r>
      <w:r>
        <w:t xml:space="preserve"> en el</w:t>
      </w:r>
      <w:r w:rsidRPr="000072DC">
        <w:t xml:space="preserve"> </w:t>
      </w:r>
      <w:r>
        <w:t>P.K</w:t>
      </w:r>
      <w:r w:rsidRPr="000072DC">
        <w:t>. de la vía 23+000.</w:t>
      </w:r>
    </w:p>
    <w:p w14:paraId="1D3E7980" w14:textId="77777777" w:rsidR="00295963" w:rsidRPr="00DF2D84" w:rsidRDefault="00295963" w:rsidP="000313DD">
      <w:pPr>
        <w:pStyle w:val="TITU2"/>
      </w:pPr>
      <w:bookmarkStart w:id="891" w:name="_Toc480903367"/>
      <w:bookmarkStart w:id="892" w:name="_Toc404482"/>
      <w:r w:rsidRPr="00DF2D84">
        <w:t xml:space="preserve">690.2. </w:t>
      </w:r>
      <w:r w:rsidRPr="00DF2D84">
        <w:tab/>
        <w:t>Aplicación</w:t>
      </w:r>
      <w:bookmarkEnd w:id="891"/>
      <w:bookmarkEnd w:id="892"/>
      <w:r w:rsidRPr="00DF2D84">
        <w:t xml:space="preserve"> </w:t>
      </w:r>
    </w:p>
    <w:p w14:paraId="00C7E511" w14:textId="77777777" w:rsidR="00295963" w:rsidRPr="008530A7" w:rsidRDefault="00295963" w:rsidP="00295963">
      <w:pPr>
        <w:pStyle w:val="NORMAL12"/>
      </w:pPr>
      <w:r w:rsidRPr="008530A7">
        <w:t xml:space="preserve">Las prescripciones del presente artículo </w:t>
      </w:r>
      <w:proofErr w:type="gramStart"/>
      <w:r w:rsidRPr="008530A7">
        <w:t>son de aplicación</w:t>
      </w:r>
      <w:proofErr w:type="gramEnd"/>
      <w:r w:rsidRPr="008530A7">
        <w:t xml:space="preserve"> a las unidades de obra siguientes:</w:t>
      </w:r>
    </w:p>
    <w:tbl>
      <w:tblPr>
        <w:tblW w:w="0" w:type="auto"/>
        <w:tblLook w:val="04A0" w:firstRow="1" w:lastRow="0" w:firstColumn="1" w:lastColumn="0" w:noHBand="0" w:noVBand="1"/>
      </w:tblPr>
      <w:tblGrid>
        <w:gridCol w:w="1437"/>
        <w:gridCol w:w="1104"/>
        <w:gridCol w:w="6247"/>
      </w:tblGrid>
      <w:tr w:rsidR="00295963" w:rsidRPr="00895FF0" w14:paraId="5710CC48" w14:textId="77777777" w:rsidTr="00700A29">
        <w:tc>
          <w:tcPr>
            <w:tcW w:w="1437" w:type="dxa"/>
          </w:tcPr>
          <w:p w14:paraId="0FAB6E2F" w14:textId="77777777" w:rsidR="00295963" w:rsidRPr="00895FF0" w:rsidRDefault="00295963" w:rsidP="00700A29">
            <w:pPr>
              <w:rPr>
                <w:rFonts w:ascii="Calibri" w:hAnsi="Calibri" w:cs="Calibri"/>
                <w:highlight w:val="cyan"/>
              </w:rPr>
            </w:pPr>
          </w:p>
        </w:tc>
        <w:tc>
          <w:tcPr>
            <w:tcW w:w="1104" w:type="dxa"/>
          </w:tcPr>
          <w:p w14:paraId="3EAEAC9C" w14:textId="77777777" w:rsidR="00295963" w:rsidRPr="00895FF0" w:rsidRDefault="00295963" w:rsidP="00700A29">
            <w:pPr>
              <w:rPr>
                <w:rFonts w:ascii="Calibri" w:hAnsi="Calibri" w:cs="Calibri"/>
                <w:highlight w:val="cyan"/>
              </w:rPr>
            </w:pPr>
          </w:p>
        </w:tc>
        <w:tc>
          <w:tcPr>
            <w:tcW w:w="6247" w:type="dxa"/>
            <w:vAlign w:val="bottom"/>
          </w:tcPr>
          <w:p w14:paraId="4E20B01B" w14:textId="77777777" w:rsidR="00295963" w:rsidRPr="00895FF0" w:rsidRDefault="00295963" w:rsidP="00700A29">
            <w:pPr>
              <w:rPr>
                <w:rFonts w:ascii="Calibri" w:hAnsi="Calibri" w:cs="Calibri"/>
                <w:highlight w:val="cyan"/>
              </w:rPr>
            </w:pPr>
          </w:p>
        </w:tc>
      </w:tr>
      <w:tr w:rsidR="00295963" w:rsidRPr="006937C2" w14:paraId="57BFDC53" w14:textId="77777777" w:rsidTr="00700A29">
        <w:tc>
          <w:tcPr>
            <w:tcW w:w="1437" w:type="dxa"/>
          </w:tcPr>
          <w:p w14:paraId="3A79C325" w14:textId="77777777" w:rsidR="00295963" w:rsidRPr="00D921B6" w:rsidRDefault="00294338" w:rsidP="00700A29">
            <w:pPr>
              <w:rPr>
                <w:rFonts w:asciiTheme="minorHAnsi" w:hAnsiTheme="minorHAnsi" w:cstheme="minorHAnsi"/>
              </w:rPr>
            </w:pPr>
            <w:r w:rsidRPr="00D921B6">
              <w:rPr>
                <w:rFonts w:asciiTheme="minorHAnsi" w:hAnsiTheme="minorHAnsi" w:cstheme="minorHAnsi"/>
                <w:color w:val="000000"/>
              </w:rPr>
              <w:t>690.0080N</w:t>
            </w:r>
            <w:r w:rsidRPr="00D921B6">
              <w:rPr>
                <w:rFonts w:asciiTheme="minorHAnsi" w:hAnsiTheme="minorHAnsi" w:cstheme="minorHAnsi"/>
              </w:rPr>
              <w:t xml:space="preserve"> </w:t>
            </w:r>
          </w:p>
        </w:tc>
        <w:tc>
          <w:tcPr>
            <w:tcW w:w="1104" w:type="dxa"/>
          </w:tcPr>
          <w:p w14:paraId="6C4025E0" w14:textId="77777777" w:rsidR="00295963" w:rsidRPr="00D921B6" w:rsidRDefault="00295963" w:rsidP="00700A29">
            <w:pPr>
              <w:rPr>
                <w:rFonts w:asciiTheme="minorHAnsi" w:hAnsiTheme="minorHAnsi" w:cstheme="minorHAnsi"/>
              </w:rPr>
            </w:pPr>
            <w:r w:rsidRPr="00D921B6">
              <w:rPr>
                <w:rFonts w:asciiTheme="minorHAnsi" w:hAnsiTheme="minorHAnsi" w:cstheme="minorHAnsi"/>
              </w:rPr>
              <w:t>m</w:t>
            </w:r>
            <w:r w:rsidRPr="00D921B6">
              <w:rPr>
                <w:rFonts w:asciiTheme="minorHAnsi" w:hAnsiTheme="minorHAnsi" w:cstheme="minorHAnsi"/>
                <w:vertAlign w:val="superscript"/>
              </w:rPr>
              <w:t>2</w:t>
            </w:r>
          </w:p>
        </w:tc>
        <w:tc>
          <w:tcPr>
            <w:tcW w:w="6247" w:type="dxa"/>
            <w:vAlign w:val="bottom"/>
          </w:tcPr>
          <w:p w14:paraId="73F9EE7E" w14:textId="77777777" w:rsidR="00294338" w:rsidRPr="00D921B6" w:rsidRDefault="00294338" w:rsidP="00294338">
            <w:pPr>
              <w:jc w:val="both"/>
              <w:rPr>
                <w:rFonts w:asciiTheme="minorHAnsi" w:hAnsiTheme="minorHAnsi" w:cstheme="minorHAnsi"/>
                <w:color w:val="000000"/>
              </w:rPr>
            </w:pPr>
            <w:r w:rsidRPr="00D921B6">
              <w:rPr>
                <w:rFonts w:asciiTheme="minorHAnsi" w:hAnsiTheme="minorHAnsi" w:cstheme="minorHAnsi"/>
                <w:color w:val="000000"/>
              </w:rPr>
              <w:t>IMPERMEABILIZACIÓN DEL TABLERO MEDIANTE LÁMINA ASFÁLTICA DE BETÚN ELASTÓMERO SBS, AUTOPROTEGIDA CON GRÁNULOS CERÁMICOS, DE 6 KG/</w:t>
            </w:r>
            <w:r w:rsidR="00241CBC">
              <w:rPr>
                <w:rFonts w:asciiTheme="minorHAnsi" w:hAnsiTheme="minorHAnsi" w:cstheme="minorHAnsi"/>
                <w:color w:val="000000"/>
              </w:rPr>
              <w:t>m</w:t>
            </w:r>
            <w:r w:rsidRPr="00241CBC">
              <w:rPr>
                <w:rFonts w:asciiTheme="minorHAnsi" w:hAnsiTheme="minorHAnsi" w:cstheme="minorHAnsi"/>
                <w:color w:val="000000"/>
                <w:vertAlign w:val="superscript"/>
              </w:rPr>
              <w:t>2</w:t>
            </w:r>
            <w:r w:rsidRPr="00D921B6">
              <w:rPr>
                <w:rFonts w:asciiTheme="minorHAnsi" w:hAnsiTheme="minorHAnsi" w:cstheme="minorHAnsi"/>
                <w:color w:val="000000"/>
              </w:rPr>
              <w:t xml:space="preserve"> DE DENSIDAD, INCLUSO OPERACIONES Y PRODUCTOS DE FIJACIÓN AL HORMIGÓN SEGÚN PLIEGO, SOLAPES Y PRUEBAS DE ESTANQUEIDAD. TOTALMENTE TERMINADA.</w:t>
            </w:r>
          </w:p>
          <w:p w14:paraId="563F5C2C" w14:textId="77777777" w:rsidR="00295963" w:rsidRPr="00D921B6" w:rsidRDefault="00295963" w:rsidP="00700A29">
            <w:pPr>
              <w:jc w:val="both"/>
              <w:rPr>
                <w:rFonts w:asciiTheme="minorHAnsi" w:hAnsiTheme="minorHAnsi" w:cstheme="minorHAnsi"/>
              </w:rPr>
            </w:pPr>
          </w:p>
        </w:tc>
      </w:tr>
    </w:tbl>
    <w:p w14:paraId="76743BE8" w14:textId="77777777" w:rsidR="00295963" w:rsidRDefault="00295963" w:rsidP="00295963">
      <w:pPr>
        <w:pStyle w:val="NORMAL12"/>
      </w:pPr>
      <w:bookmarkStart w:id="893" w:name="_Toc480903368"/>
      <w:r w:rsidRPr="000072DC">
        <w:t xml:space="preserve">El sistema consiste en la aplicación de una lámina impermeabilizante a base de betún </w:t>
      </w:r>
      <w:proofErr w:type="spellStart"/>
      <w:r w:rsidRPr="000072DC">
        <w:t>elástomero</w:t>
      </w:r>
      <w:proofErr w:type="spellEnd"/>
      <w:r w:rsidRPr="000072DC">
        <w:t>, adherida al par</w:t>
      </w:r>
      <w:r>
        <w:t>a</w:t>
      </w:r>
      <w:r w:rsidRPr="000072DC">
        <w:t xml:space="preserve">mento </w:t>
      </w:r>
      <w:r>
        <w:t>de los elementos enterrados de la obra de fábrica a ampliar</w:t>
      </w:r>
      <w:r w:rsidRPr="000072DC">
        <w:t>. Sobre dicha lámina se dispondrá una lámina drenante alveolar, fijada al trasdós horizontal y vertical de los elementos.</w:t>
      </w:r>
    </w:p>
    <w:p w14:paraId="642B38BA" w14:textId="77777777" w:rsidR="00295963" w:rsidRPr="006937C2" w:rsidRDefault="00295963" w:rsidP="000313DD">
      <w:pPr>
        <w:pStyle w:val="TITU2"/>
      </w:pPr>
      <w:bookmarkStart w:id="894" w:name="_Toc480903369"/>
      <w:bookmarkStart w:id="895" w:name="_Toc404483"/>
      <w:bookmarkEnd w:id="893"/>
      <w:r>
        <w:t>690</w:t>
      </w:r>
      <w:r w:rsidRPr="006937C2">
        <w:t>.4.</w:t>
      </w:r>
      <w:r>
        <w:t xml:space="preserve"> </w:t>
      </w:r>
      <w:r w:rsidRPr="006937C2">
        <w:tab/>
        <w:t>Materiales</w:t>
      </w:r>
      <w:bookmarkEnd w:id="894"/>
      <w:bookmarkEnd w:id="895"/>
      <w:r w:rsidRPr="006937C2">
        <w:t xml:space="preserve"> </w:t>
      </w:r>
    </w:p>
    <w:p w14:paraId="692C24BD" w14:textId="77777777" w:rsidR="00295963" w:rsidRDefault="00295963" w:rsidP="00295963">
      <w:pPr>
        <w:pStyle w:val="NORMAL12"/>
      </w:pPr>
      <w:r>
        <w:t>La lámina bituminosa de impermeabilización cumplirá las siguientes especificaciones:</w:t>
      </w:r>
    </w:p>
    <w:p w14:paraId="5D8A5973" w14:textId="77777777" w:rsidR="00295963" w:rsidRDefault="00295963" w:rsidP="00755566">
      <w:pPr>
        <w:pStyle w:val="NORMAL12"/>
        <w:numPr>
          <w:ilvl w:val="0"/>
          <w:numId w:val="169"/>
        </w:numPr>
      </w:pPr>
      <w:r>
        <w:t>Producto específico para revestimiento impermeabilizante de superficies de hormigón.</w:t>
      </w:r>
    </w:p>
    <w:p w14:paraId="1F96751C" w14:textId="77777777" w:rsidR="00295963" w:rsidRDefault="00295963" w:rsidP="00755566">
      <w:pPr>
        <w:pStyle w:val="NORMAL12"/>
        <w:numPr>
          <w:ilvl w:val="0"/>
          <w:numId w:val="169"/>
        </w:numPr>
      </w:pPr>
      <w:r>
        <w:t>Tendrá una resistencia al punzonamiento estático de clase L-3 (de 15 a 25 kg) según UNE EN 12730 B</w:t>
      </w:r>
    </w:p>
    <w:p w14:paraId="6A176EF6" w14:textId="77777777" w:rsidR="00295963" w:rsidRDefault="00295963" w:rsidP="00755566">
      <w:pPr>
        <w:pStyle w:val="NORMAL12"/>
        <w:numPr>
          <w:ilvl w:val="0"/>
          <w:numId w:val="169"/>
        </w:numPr>
      </w:pPr>
      <w:r>
        <w:t>Admitirá el extendido y compactación sobre ella tanto de tierras como de mezclas bituminosas en caliente.</w:t>
      </w:r>
    </w:p>
    <w:p w14:paraId="2008D1A0" w14:textId="77777777" w:rsidR="00295963" w:rsidRDefault="00295963" w:rsidP="00295963">
      <w:pPr>
        <w:pStyle w:val="NORMAL12"/>
      </w:pPr>
      <w:r>
        <w:t>Seguidamente se especifican valores indicativos de distintas propiedades y características de la lámina impermeabilizante. El suministrador aportará un certificado en el que se indiquen las propiedades garantizadas del producto, que deberán ajustarse razonablemente a los valores indicativos siguientes:</w:t>
      </w:r>
    </w:p>
    <w:p w14:paraId="0D5E9D14" w14:textId="77777777" w:rsidR="00755566" w:rsidRDefault="00755566" w:rsidP="00295963">
      <w:pPr>
        <w:pStyle w:val="NORMAL12"/>
      </w:pPr>
    </w:p>
    <w:tbl>
      <w:tblPr>
        <w:tblStyle w:val="Tablaconcuadrcula"/>
        <w:tblW w:w="9067" w:type="dxa"/>
        <w:tblLook w:val="04A0" w:firstRow="1" w:lastRow="0" w:firstColumn="1" w:lastColumn="0" w:noHBand="0" w:noVBand="1"/>
      </w:tblPr>
      <w:tblGrid>
        <w:gridCol w:w="3652"/>
        <w:gridCol w:w="2268"/>
        <w:gridCol w:w="3147"/>
      </w:tblGrid>
      <w:tr w:rsidR="00295963" w:rsidRPr="008530A7" w14:paraId="05C0569C" w14:textId="77777777" w:rsidTr="00700A29">
        <w:tc>
          <w:tcPr>
            <w:tcW w:w="3652" w:type="dxa"/>
            <w:shd w:val="clear" w:color="auto" w:fill="D9D9D9" w:themeFill="background1" w:themeFillShade="D9"/>
          </w:tcPr>
          <w:p w14:paraId="01BCB35B"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rStyle w:val="Textoennegrita"/>
                <w:szCs w:val="22"/>
              </w:rPr>
            </w:pPr>
            <w:r w:rsidRPr="008530A7">
              <w:rPr>
                <w:rStyle w:val="Textoennegrita"/>
                <w:szCs w:val="22"/>
              </w:rPr>
              <w:t>PROPIEDAD</w:t>
            </w:r>
          </w:p>
        </w:tc>
        <w:tc>
          <w:tcPr>
            <w:tcW w:w="2268" w:type="dxa"/>
            <w:shd w:val="clear" w:color="auto" w:fill="D9D9D9" w:themeFill="background1" w:themeFillShade="D9"/>
          </w:tcPr>
          <w:p w14:paraId="3F39482E" w14:textId="77777777" w:rsidR="00295963" w:rsidRPr="008530A7" w:rsidRDefault="00295963" w:rsidP="00700A29">
            <w:pPr>
              <w:pStyle w:val="Tabla"/>
              <w:rPr>
                <w:rStyle w:val="Textoennegrita"/>
                <w:b w:val="0"/>
                <w:szCs w:val="22"/>
              </w:rPr>
            </w:pPr>
            <w:r w:rsidRPr="008530A7">
              <w:rPr>
                <w:rStyle w:val="Textoennegrita"/>
                <w:b w:val="0"/>
                <w:szCs w:val="22"/>
              </w:rPr>
              <w:t>NORMA</w:t>
            </w:r>
          </w:p>
        </w:tc>
        <w:tc>
          <w:tcPr>
            <w:tcW w:w="3147" w:type="dxa"/>
            <w:shd w:val="clear" w:color="auto" w:fill="D9D9D9" w:themeFill="background1" w:themeFillShade="D9"/>
          </w:tcPr>
          <w:p w14:paraId="1392E74E" w14:textId="77777777" w:rsidR="00295963" w:rsidRPr="008530A7" w:rsidRDefault="00295963" w:rsidP="00700A29">
            <w:pPr>
              <w:pStyle w:val="Tabla"/>
              <w:rPr>
                <w:rStyle w:val="Textoennegrita"/>
                <w:b w:val="0"/>
                <w:szCs w:val="22"/>
              </w:rPr>
            </w:pPr>
            <w:r w:rsidRPr="008530A7">
              <w:rPr>
                <w:rStyle w:val="Textoennegrita"/>
                <w:b w:val="0"/>
                <w:szCs w:val="22"/>
              </w:rPr>
              <w:t>VALOR INDICATIVO</w:t>
            </w:r>
          </w:p>
        </w:tc>
      </w:tr>
      <w:tr w:rsidR="00295963" w:rsidRPr="008530A7" w14:paraId="2561D4E3" w14:textId="77777777" w:rsidTr="00700A29">
        <w:tc>
          <w:tcPr>
            <w:tcW w:w="3652" w:type="dxa"/>
          </w:tcPr>
          <w:p w14:paraId="3EC745C9"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 xml:space="preserve">Densidad </w:t>
            </w:r>
          </w:p>
        </w:tc>
        <w:tc>
          <w:tcPr>
            <w:tcW w:w="2268" w:type="dxa"/>
          </w:tcPr>
          <w:p w14:paraId="7DCD02D0"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p>
        </w:tc>
        <w:tc>
          <w:tcPr>
            <w:tcW w:w="3147" w:type="dxa"/>
          </w:tcPr>
          <w:p w14:paraId="3CF1DAC0"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1,5 kg/m</w:t>
            </w:r>
            <w:r w:rsidRPr="00D921B6">
              <w:rPr>
                <w:bCs/>
                <w:vertAlign w:val="superscript"/>
              </w:rPr>
              <w:t>2</w:t>
            </w:r>
          </w:p>
        </w:tc>
      </w:tr>
      <w:tr w:rsidR="00295963" w:rsidRPr="008530A7" w14:paraId="4A893036" w14:textId="77777777" w:rsidTr="00700A29">
        <w:tc>
          <w:tcPr>
            <w:tcW w:w="3652" w:type="dxa"/>
          </w:tcPr>
          <w:p w14:paraId="3530D9D7"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Espesor</w:t>
            </w:r>
          </w:p>
        </w:tc>
        <w:tc>
          <w:tcPr>
            <w:tcW w:w="2268" w:type="dxa"/>
          </w:tcPr>
          <w:p w14:paraId="2E21CA9F"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UNE EN 1849-1</w:t>
            </w:r>
          </w:p>
        </w:tc>
        <w:tc>
          <w:tcPr>
            <w:tcW w:w="3147" w:type="dxa"/>
          </w:tcPr>
          <w:p w14:paraId="61671478"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1,5 mm</w:t>
            </w:r>
          </w:p>
        </w:tc>
      </w:tr>
      <w:tr w:rsidR="00295963" w:rsidRPr="008530A7" w14:paraId="4FDD7B7E" w14:textId="77777777" w:rsidTr="00700A29">
        <w:tc>
          <w:tcPr>
            <w:tcW w:w="3652" w:type="dxa"/>
          </w:tcPr>
          <w:p w14:paraId="0C0B61AF"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proofErr w:type="spellStart"/>
            <w:r w:rsidRPr="008530A7">
              <w:rPr>
                <w:bCs/>
              </w:rPr>
              <w:t>Plegabilidad</w:t>
            </w:r>
            <w:proofErr w:type="spellEnd"/>
          </w:p>
        </w:tc>
        <w:tc>
          <w:tcPr>
            <w:tcW w:w="2268" w:type="dxa"/>
          </w:tcPr>
          <w:p w14:paraId="2BAF36CA"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UNE EN 1109</w:t>
            </w:r>
          </w:p>
        </w:tc>
        <w:tc>
          <w:tcPr>
            <w:tcW w:w="3147" w:type="dxa"/>
          </w:tcPr>
          <w:p w14:paraId="7BD5B068"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No rompe al doblar a -20ºC</w:t>
            </w:r>
          </w:p>
        </w:tc>
      </w:tr>
      <w:tr w:rsidR="00295963" w:rsidRPr="008530A7" w14:paraId="35F35DB8" w14:textId="77777777" w:rsidTr="00700A29">
        <w:tc>
          <w:tcPr>
            <w:tcW w:w="3652" w:type="dxa"/>
          </w:tcPr>
          <w:p w14:paraId="7ED77865"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Resistencia al calor</w:t>
            </w:r>
          </w:p>
        </w:tc>
        <w:tc>
          <w:tcPr>
            <w:tcW w:w="2268" w:type="dxa"/>
          </w:tcPr>
          <w:p w14:paraId="2B32C2EA"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UNE EN 1110</w:t>
            </w:r>
          </w:p>
        </w:tc>
        <w:tc>
          <w:tcPr>
            <w:tcW w:w="3147" w:type="dxa"/>
          </w:tcPr>
          <w:p w14:paraId="556C472D"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No gotea ni desliza a 90ºC</w:t>
            </w:r>
          </w:p>
        </w:tc>
      </w:tr>
      <w:tr w:rsidR="00295963" w:rsidRPr="008530A7" w14:paraId="33132EF3" w14:textId="77777777" w:rsidTr="00700A29">
        <w:tc>
          <w:tcPr>
            <w:tcW w:w="3652" w:type="dxa"/>
          </w:tcPr>
          <w:p w14:paraId="545F238D"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Adherencia a superficies imprimadas</w:t>
            </w:r>
          </w:p>
        </w:tc>
        <w:tc>
          <w:tcPr>
            <w:tcW w:w="2268" w:type="dxa"/>
          </w:tcPr>
          <w:p w14:paraId="60E3AB8B"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ASTM D-1000</w:t>
            </w:r>
          </w:p>
        </w:tc>
        <w:tc>
          <w:tcPr>
            <w:tcW w:w="3147" w:type="dxa"/>
          </w:tcPr>
          <w:p w14:paraId="1938CCBD"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4,5 N/mm</w:t>
            </w:r>
          </w:p>
        </w:tc>
      </w:tr>
      <w:tr w:rsidR="00295963" w:rsidRPr="008530A7" w14:paraId="10FF3560" w14:textId="77777777" w:rsidTr="00700A29">
        <w:tc>
          <w:tcPr>
            <w:tcW w:w="3652" w:type="dxa"/>
          </w:tcPr>
          <w:p w14:paraId="01FCF447"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Adherencia a los solapes</w:t>
            </w:r>
          </w:p>
        </w:tc>
        <w:tc>
          <w:tcPr>
            <w:tcW w:w="2268" w:type="dxa"/>
          </w:tcPr>
          <w:p w14:paraId="6033ECA8"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UNE EN 12316</w:t>
            </w:r>
          </w:p>
        </w:tc>
        <w:tc>
          <w:tcPr>
            <w:tcW w:w="3147" w:type="dxa"/>
          </w:tcPr>
          <w:p w14:paraId="430AD0F6"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4,0 N/mm</w:t>
            </w:r>
          </w:p>
        </w:tc>
      </w:tr>
      <w:tr w:rsidR="00295963" w:rsidRPr="008530A7" w14:paraId="05FB8A26" w14:textId="77777777" w:rsidTr="00700A29">
        <w:tc>
          <w:tcPr>
            <w:tcW w:w="3652" w:type="dxa"/>
            <w:tcBorders>
              <w:bottom w:val="nil"/>
            </w:tcBorders>
          </w:tcPr>
          <w:p w14:paraId="29AF6CB5"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Resistencia a tracción:</w:t>
            </w:r>
          </w:p>
        </w:tc>
        <w:tc>
          <w:tcPr>
            <w:tcW w:w="2268" w:type="dxa"/>
            <w:tcBorders>
              <w:bottom w:val="nil"/>
            </w:tcBorders>
          </w:tcPr>
          <w:p w14:paraId="49EA2482"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p>
        </w:tc>
        <w:tc>
          <w:tcPr>
            <w:tcW w:w="3147" w:type="dxa"/>
            <w:tcBorders>
              <w:bottom w:val="nil"/>
            </w:tcBorders>
          </w:tcPr>
          <w:p w14:paraId="36877761"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p>
        </w:tc>
      </w:tr>
      <w:tr w:rsidR="00295963" w:rsidRPr="008530A7" w14:paraId="08BAA0E0" w14:textId="77777777" w:rsidTr="00700A29">
        <w:tc>
          <w:tcPr>
            <w:tcW w:w="3652" w:type="dxa"/>
            <w:tcBorders>
              <w:top w:val="nil"/>
              <w:bottom w:val="nil"/>
            </w:tcBorders>
          </w:tcPr>
          <w:p w14:paraId="1DEF9957"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Longitudinal</w:t>
            </w:r>
          </w:p>
        </w:tc>
        <w:tc>
          <w:tcPr>
            <w:tcW w:w="2268" w:type="dxa"/>
            <w:tcBorders>
              <w:top w:val="nil"/>
              <w:bottom w:val="nil"/>
            </w:tcBorders>
          </w:tcPr>
          <w:p w14:paraId="0BDA67AA"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UNE EN 12311-1</w:t>
            </w:r>
          </w:p>
        </w:tc>
        <w:tc>
          <w:tcPr>
            <w:tcW w:w="3147" w:type="dxa"/>
            <w:tcBorders>
              <w:top w:val="nil"/>
              <w:bottom w:val="nil"/>
            </w:tcBorders>
          </w:tcPr>
          <w:p w14:paraId="54C79C0E"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750 N/50mm</w:t>
            </w:r>
          </w:p>
        </w:tc>
      </w:tr>
      <w:tr w:rsidR="00295963" w:rsidRPr="008530A7" w14:paraId="0F1A28A7" w14:textId="77777777" w:rsidTr="00700A29">
        <w:tc>
          <w:tcPr>
            <w:tcW w:w="3652" w:type="dxa"/>
            <w:tcBorders>
              <w:top w:val="nil"/>
              <w:bottom w:val="single" w:sz="4" w:space="0" w:color="000000" w:themeColor="text1"/>
            </w:tcBorders>
          </w:tcPr>
          <w:p w14:paraId="7ABA7867"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Transversal</w:t>
            </w:r>
          </w:p>
        </w:tc>
        <w:tc>
          <w:tcPr>
            <w:tcW w:w="2268" w:type="dxa"/>
            <w:tcBorders>
              <w:top w:val="nil"/>
              <w:bottom w:val="single" w:sz="4" w:space="0" w:color="000000" w:themeColor="text1"/>
            </w:tcBorders>
          </w:tcPr>
          <w:p w14:paraId="5EAA0F1D"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UNE EN 12311-1</w:t>
            </w:r>
          </w:p>
        </w:tc>
        <w:tc>
          <w:tcPr>
            <w:tcW w:w="3147" w:type="dxa"/>
            <w:tcBorders>
              <w:top w:val="nil"/>
              <w:bottom w:val="single" w:sz="4" w:space="0" w:color="000000" w:themeColor="text1"/>
            </w:tcBorders>
          </w:tcPr>
          <w:p w14:paraId="3D12A394"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600 N/50mm</w:t>
            </w:r>
          </w:p>
        </w:tc>
      </w:tr>
      <w:tr w:rsidR="00295963" w:rsidRPr="008530A7" w14:paraId="16BB4921" w14:textId="77777777" w:rsidTr="00700A29">
        <w:tc>
          <w:tcPr>
            <w:tcW w:w="3652" w:type="dxa"/>
            <w:tcBorders>
              <w:top w:val="single" w:sz="4" w:space="0" w:color="000000" w:themeColor="text1"/>
              <w:bottom w:val="nil"/>
            </w:tcBorders>
          </w:tcPr>
          <w:p w14:paraId="799657DF"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 xml:space="preserve">Elongación a rotura </w:t>
            </w:r>
          </w:p>
        </w:tc>
        <w:tc>
          <w:tcPr>
            <w:tcW w:w="2268" w:type="dxa"/>
            <w:tcBorders>
              <w:top w:val="single" w:sz="4" w:space="0" w:color="000000" w:themeColor="text1"/>
              <w:bottom w:val="nil"/>
            </w:tcBorders>
          </w:tcPr>
          <w:p w14:paraId="17B5F19D"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p>
        </w:tc>
        <w:tc>
          <w:tcPr>
            <w:tcW w:w="3147" w:type="dxa"/>
            <w:tcBorders>
              <w:top w:val="single" w:sz="4" w:space="0" w:color="000000" w:themeColor="text1"/>
              <w:bottom w:val="nil"/>
            </w:tcBorders>
          </w:tcPr>
          <w:p w14:paraId="3A02C138"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p>
        </w:tc>
      </w:tr>
      <w:tr w:rsidR="00295963" w:rsidRPr="008530A7" w14:paraId="38EEE924" w14:textId="77777777" w:rsidTr="00700A29">
        <w:tc>
          <w:tcPr>
            <w:tcW w:w="3652" w:type="dxa"/>
            <w:tcBorders>
              <w:top w:val="nil"/>
              <w:bottom w:val="nil"/>
            </w:tcBorders>
          </w:tcPr>
          <w:p w14:paraId="29F12AEA"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Longitudinal</w:t>
            </w:r>
          </w:p>
        </w:tc>
        <w:tc>
          <w:tcPr>
            <w:tcW w:w="2268" w:type="dxa"/>
            <w:tcBorders>
              <w:top w:val="nil"/>
              <w:bottom w:val="nil"/>
            </w:tcBorders>
          </w:tcPr>
          <w:p w14:paraId="24082821"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UNE EN 12311-1</w:t>
            </w:r>
          </w:p>
        </w:tc>
        <w:tc>
          <w:tcPr>
            <w:tcW w:w="3147" w:type="dxa"/>
            <w:tcBorders>
              <w:top w:val="nil"/>
              <w:bottom w:val="nil"/>
            </w:tcBorders>
          </w:tcPr>
          <w:p w14:paraId="67F83AA6"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25%</w:t>
            </w:r>
          </w:p>
        </w:tc>
      </w:tr>
      <w:tr w:rsidR="00295963" w:rsidRPr="008530A7" w14:paraId="43B16FB5" w14:textId="77777777" w:rsidTr="00700A29">
        <w:tc>
          <w:tcPr>
            <w:tcW w:w="3652" w:type="dxa"/>
            <w:tcBorders>
              <w:top w:val="nil"/>
              <w:bottom w:val="single" w:sz="4" w:space="0" w:color="000000" w:themeColor="text1"/>
            </w:tcBorders>
          </w:tcPr>
          <w:p w14:paraId="4072E710"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Transversal</w:t>
            </w:r>
          </w:p>
        </w:tc>
        <w:tc>
          <w:tcPr>
            <w:tcW w:w="2268" w:type="dxa"/>
            <w:tcBorders>
              <w:top w:val="nil"/>
              <w:bottom w:val="single" w:sz="4" w:space="0" w:color="000000" w:themeColor="text1"/>
            </w:tcBorders>
          </w:tcPr>
          <w:p w14:paraId="13173A9D"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UNE EN 12311-1</w:t>
            </w:r>
          </w:p>
        </w:tc>
        <w:tc>
          <w:tcPr>
            <w:tcW w:w="3147" w:type="dxa"/>
            <w:tcBorders>
              <w:top w:val="nil"/>
              <w:bottom w:val="single" w:sz="4" w:space="0" w:color="000000" w:themeColor="text1"/>
            </w:tcBorders>
          </w:tcPr>
          <w:p w14:paraId="7D305ECA"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25%</w:t>
            </w:r>
          </w:p>
        </w:tc>
      </w:tr>
      <w:tr w:rsidR="00295963" w:rsidRPr="008530A7" w14:paraId="075D63DD" w14:textId="77777777" w:rsidTr="00700A29">
        <w:tc>
          <w:tcPr>
            <w:tcW w:w="3652" w:type="dxa"/>
            <w:tcBorders>
              <w:top w:val="single" w:sz="4" w:space="0" w:color="000000" w:themeColor="text1"/>
              <w:bottom w:val="nil"/>
            </w:tcBorders>
          </w:tcPr>
          <w:p w14:paraId="09174434"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Desgarro al clavo</w:t>
            </w:r>
          </w:p>
        </w:tc>
        <w:tc>
          <w:tcPr>
            <w:tcW w:w="2268" w:type="dxa"/>
            <w:tcBorders>
              <w:top w:val="single" w:sz="4" w:space="0" w:color="000000" w:themeColor="text1"/>
              <w:bottom w:val="nil"/>
            </w:tcBorders>
          </w:tcPr>
          <w:p w14:paraId="5CA04360"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p>
        </w:tc>
        <w:tc>
          <w:tcPr>
            <w:tcW w:w="3147" w:type="dxa"/>
            <w:tcBorders>
              <w:top w:val="single" w:sz="4" w:space="0" w:color="000000" w:themeColor="text1"/>
              <w:bottom w:val="nil"/>
            </w:tcBorders>
          </w:tcPr>
          <w:p w14:paraId="0B459478"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p>
        </w:tc>
      </w:tr>
      <w:tr w:rsidR="00295963" w:rsidRPr="008530A7" w14:paraId="16A0B67D" w14:textId="77777777" w:rsidTr="00700A29">
        <w:tc>
          <w:tcPr>
            <w:tcW w:w="3652" w:type="dxa"/>
            <w:tcBorders>
              <w:top w:val="nil"/>
              <w:bottom w:val="nil"/>
            </w:tcBorders>
          </w:tcPr>
          <w:p w14:paraId="24CCC577"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Longitudinal</w:t>
            </w:r>
          </w:p>
        </w:tc>
        <w:tc>
          <w:tcPr>
            <w:tcW w:w="2268" w:type="dxa"/>
            <w:tcBorders>
              <w:top w:val="nil"/>
              <w:bottom w:val="nil"/>
            </w:tcBorders>
          </w:tcPr>
          <w:p w14:paraId="5EC03833"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UNE EN 12310-1</w:t>
            </w:r>
          </w:p>
        </w:tc>
        <w:tc>
          <w:tcPr>
            <w:tcW w:w="3147" w:type="dxa"/>
            <w:tcBorders>
              <w:top w:val="nil"/>
              <w:bottom w:val="nil"/>
            </w:tcBorders>
          </w:tcPr>
          <w:p w14:paraId="0F38F1CB"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450 N</w:t>
            </w:r>
          </w:p>
        </w:tc>
      </w:tr>
      <w:tr w:rsidR="00295963" w:rsidRPr="008530A7" w14:paraId="467F19C9" w14:textId="77777777" w:rsidTr="00700A29">
        <w:tc>
          <w:tcPr>
            <w:tcW w:w="3652" w:type="dxa"/>
            <w:tcBorders>
              <w:top w:val="nil"/>
            </w:tcBorders>
          </w:tcPr>
          <w:p w14:paraId="2E85A6AA"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Transversal</w:t>
            </w:r>
          </w:p>
        </w:tc>
        <w:tc>
          <w:tcPr>
            <w:tcW w:w="2268" w:type="dxa"/>
            <w:tcBorders>
              <w:top w:val="nil"/>
            </w:tcBorders>
          </w:tcPr>
          <w:p w14:paraId="585785A6"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UNE EN 12310-1</w:t>
            </w:r>
          </w:p>
        </w:tc>
        <w:tc>
          <w:tcPr>
            <w:tcW w:w="3147" w:type="dxa"/>
            <w:tcBorders>
              <w:top w:val="nil"/>
            </w:tcBorders>
          </w:tcPr>
          <w:p w14:paraId="30AF0C7E"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350 N</w:t>
            </w:r>
          </w:p>
        </w:tc>
      </w:tr>
      <w:tr w:rsidR="00295963" w:rsidRPr="008530A7" w14:paraId="0AEF2694" w14:textId="77777777" w:rsidTr="00700A29">
        <w:tc>
          <w:tcPr>
            <w:tcW w:w="3652" w:type="dxa"/>
          </w:tcPr>
          <w:p w14:paraId="150D0FF6"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Punzonamiento estático</w:t>
            </w:r>
          </w:p>
        </w:tc>
        <w:tc>
          <w:tcPr>
            <w:tcW w:w="2268" w:type="dxa"/>
          </w:tcPr>
          <w:p w14:paraId="3129FEF9"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UNE EN 12730 B</w:t>
            </w:r>
          </w:p>
        </w:tc>
        <w:tc>
          <w:tcPr>
            <w:tcW w:w="3147" w:type="dxa"/>
          </w:tcPr>
          <w:p w14:paraId="33276F8C" w14:textId="77777777" w:rsidR="00295963" w:rsidRPr="008530A7" w:rsidRDefault="00295963"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Clasificación L3 (de 15 a 25 kg)</w:t>
            </w:r>
          </w:p>
        </w:tc>
      </w:tr>
    </w:tbl>
    <w:p w14:paraId="13A7B1A4" w14:textId="77777777" w:rsidR="00295963" w:rsidRDefault="00295963" w:rsidP="00295963">
      <w:pPr>
        <w:pStyle w:val="NORMAL12"/>
      </w:pPr>
    </w:p>
    <w:p w14:paraId="2356AB0F" w14:textId="77777777" w:rsidR="00295963" w:rsidRPr="00534B6E" w:rsidRDefault="00295963" w:rsidP="00295963">
      <w:pPr>
        <w:pStyle w:val="NORMAL12"/>
        <w:rPr>
          <w:i/>
          <w:u w:val="single"/>
        </w:rPr>
      </w:pPr>
      <w:r w:rsidRPr="00534B6E">
        <w:rPr>
          <w:i/>
          <w:u w:val="single"/>
        </w:rPr>
        <w:t xml:space="preserve">Imprimación </w:t>
      </w:r>
    </w:p>
    <w:p w14:paraId="4EED270E" w14:textId="77777777" w:rsidR="00295963" w:rsidRDefault="00295963" w:rsidP="00295963">
      <w:pPr>
        <w:pStyle w:val="NORMAL12"/>
      </w:pPr>
      <w:r w:rsidRPr="006937C2">
        <w:t>Se utilizará una emulsión asfáltica de base acuosa para mejorar la adherencia de las láminas bituminosas con el soporte. Debe ser fácilmente aplicable, no contener disolventes y permitir su adherencia incluso sobre superficies húmedas. Las características técnicas del producto deberán ser, como mínimo:</w:t>
      </w:r>
    </w:p>
    <w:p w14:paraId="7B001E4C" w14:textId="77777777" w:rsidR="00755566" w:rsidRPr="006937C2" w:rsidRDefault="00755566" w:rsidP="00295963">
      <w:pPr>
        <w:pStyle w:val="NORMAL12"/>
      </w:pPr>
    </w:p>
    <w:p w14:paraId="4E973E1F" w14:textId="77777777" w:rsidR="00755566" w:rsidRDefault="00755566" w:rsidP="00295963">
      <w:pPr>
        <w:pStyle w:val="NORMAL12"/>
        <w:rPr>
          <w:i/>
          <w:u w:val="single"/>
        </w:rPr>
      </w:pPr>
    </w:p>
    <w:tbl>
      <w:tblPr>
        <w:tblW w:w="5000" w:type="pct"/>
        <w:tblCellMar>
          <w:left w:w="70" w:type="dxa"/>
          <w:right w:w="70" w:type="dxa"/>
        </w:tblCellMar>
        <w:tblLook w:val="04A0" w:firstRow="1" w:lastRow="0" w:firstColumn="1" w:lastColumn="0" w:noHBand="0" w:noVBand="1"/>
      </w:tblPr>
      <w:tblGrid>
        <w:gridCol w:w="4336"/>
        <w:gridCol w:w="3827"/>
        <w:gridCol w:w="1615"/>
      </w:tblGrid>
      <w:tr w:rsidR="00755566" w:rsidRPr="00755566" w14:paraId="43D35426" w14:textId="77777777" w:rsidTr="00755566">
        <w:trPr>
          <w:trHeight w:val="300"/>
        </w:trPr>
        <w:tc>
          <w:tcPr>
            <w:tcW w:w="2217" w:type="pct"/>
            <w:tcBorders>
              <w:top w:val="single" w:sz="4" w:space="0" w:color="auto"/>
              <w:left w:val="single" w:sz="4" w:space="0" w:color="auto"/>
              <w:bottom w:val="single" w:sz="4" w:space="0" w:color="auto"/>
              <w:right w:val="single" w:sz="4" w:space="0" w:color="auto"/>
            </w:tcBorders>
            <w:shd w:val="clear" w:color="000000" w:fill="D9D9D9"/>
            <w:vAlign w:val="bottom"/>
            <w:hideMark/>
          </w:tcPr>
          <w:p w14:paraId="1B37167D" w14:textId="77777777" w:rsidR="00755566" w:rsidRPr="00755566" w:rsidRDefault="00755566" w:rsidP="00755566">
            <w:pPr>
              <w:jc w:val="center"/>
              <w:rPr>
                <w:rFonts w:ascii="Arial" w:hAnsi="Arial" w:cs="Arial"/>
                <w:b/>
                <w:bCs/>
                <w:color w:val="000000"/>
                <w:sz w:val="20"/>
                <w:szCs w:val="20"/>
              </w:rPr>
            </w:pPr>
            <w:r w:rsidRPr="00755566">
              <w:rPr>
                <w:rFonts w:ascii="Arial" w:hAnsi="Arial" w:cs="Arial"/>
                <w:b/>
                <w:bCs/>
                <w:color w:val="000000"/>
                <w:sz w:val="20"/>
                <w:szCs w:val="22"/>
              </w:rPr>
              <w:lastRenderedPageBreak/>
              <w:t>Datos técnicos</w:t>
            </w:r>
          </w:p>
        </w:tc>
        <w:tc>
          <w:tcPr>
            <w:tcW w:w="1957" w:type="pct"/>
            <w:tcBorders>
              <w:top w:val="single" w:sz="4" w:space="0" w:color="auto"/>
              <w:left w:val="nil"/>
              <w:bottom w:val="single" w:sz="4" w:space="0" w:color="auto"/>
              <w:right w:val="single" w:sz="4" w:space="0" w:color="auto"/>
            </w:tcBorders>
            <w:shd w:val="clear" w:color="000000" w:fill="D9D9D9"/>
            <w:vAlign w:val="bottom"/>
            <w:hideMark/>
          </w:tcPr>
          <w:p w14:paraId="2B666A1D" w14:textId="77777777" w:rsidR="00755566" w:rsidRPr="00755566" w:rsidRDefault="00755566" w:rsidP="00755566">
            <w:pPr>
              <w:jc w:val="center"/>
              <w:rPr>
                <w:rFonts w:ascii="Arial" w:hAnsi="Arial" w:cs="Arial"/>
                <w:b/>
                <w:bCs/>
                <w:color w:val="000000"/>
                <w:sz w:val="20"/>
                <w:szCs w:val="20"/>
              </w:rPr>
            </w:pPr>
            <w:r w:rsidRPr="00755566">
              <w:rPr>
                <w:rFonts w:ascii="Arial" w:hAnsi="Arial" w:cs="Arial"/>
                <w:b/>
                <w:bCs/>
                <w:color w:val="000000"/>
                <w:sz w:val="20"/>
                <w:szCs w:val="22"/>
              </w:rPr>
              <w:t>Valor</w:t>
            </w:r>
          </w:p>
        </w:tc>
        <w:tc>
          <w:tcPr>
            <w:tcW w:w="826" w:type="pct"/>
            <w:tcBorders>
              <w:top w:val="single" w:sz="4" w:space="0" w:color="auto"/>
              <w:left w:val="nil"/>
              <w:bottom w:val="single" w:sz="4" w:space="0" w:color="auto"/>
              <w:right w:val="single" w:sz="4" w:space="0" w:color="auto"/>
            </w:tcBorders>
            <w:shd w:val="clear" w:color="000000" w:fill="D9D9D9"/>
            <w:vAlign w:val="bottom"/>
            <w:hideMark/>
          </w:tcPr>
          <w:p w14:paraId="1301B6ED" w14:textId="77777777" w:rsidR="00755566" w:rsidRPr="00755566" w:rsidRDefault="00755566" w:rsidP="00755566">
            <w:pPr>
              <w:jc w:val="center"/>
              <w:rPr>
                <w:rFonts w:ascii="Arial" w:hAnsi="Arial" w:cs="Arial"/>
                <w:b/>
                <w:bCs/>
                <w:color w:val="000000"/>
                <w:sz w:val="20"/>
                <w:szCs w:val="20"/>
              </w:rPr>
            </w:pPr>
            <w:r w:rsidRPr="00755566">
              <w:rPr>
                <w:rFonts w:ascii="Arial" w:hAnsi="Arial" w:cs="Arial"/>
                <w:b/>
                <w:bCs/>
                <w:color w:val="000000"/>
                <w:sz w:val="20"/>
                <w:szCs w:val="22"/>
              </w:rPr>
              <w:t>Unidad</w:t>
            </w:r>
          </w:p>
        </w:tc>
      </w:tr>
      <w:tr w:rsidR="00755566" w:rsidRPr="00755566" w14:paraId="4D3B54B3" w14:textId="77777777" w:rsidTr="00755566">
        <w:trPr>
          <w:trHeight w:val="300"/>
        </w:trPr>
        <w:tc>
          <w:tcPr>
            <w:tcW w:w="2217" w:type="pct"/>
            <w:tcBorders>
              <w:top w:val="nil"/>
              <w:left w:val="single" w:sz="4" w:space="0" w:color="auto"/>
              <w:bottom w:val="single" w:sz="4" w:space="0" w:color="auto"/>
              <w:right w:val="single" w:sz="4" w:space="0" w:color="auto"/>
            </w:tcBorders>
            <w:shd w:val="clear" w:color="000000" w:fill="FFFFFF"/>
            <w:vAlign w:val="center"/>
            <w:hideMark/>
          </w:tcPr>
          <w:p w14:paraId="1D501C89"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Densidad relativa a 25ºC</w:t>
            </w:r>
          </w:p>
        </w:tc>
        <w:tc>
          <w:tcPr>
            <w:tcW w:w="1957" w:type="pct"/>
            <w:tcBorders>
              <w:top w:val="nil"/>
              <w:left w:val="nil"/>
              <w:bottom w:val="single" w:sz="4" w:space="0" w:color="auto"/>
              <w:right w:val="single" w:sz="4" w:space="0" w:color="auto"/>
            </w:tcBorders>
            <w:shd w:val="clear" w:color="000000" w:fill="FFFFFF"/>
            <w:vAlign w:val="center"/>
            <w:hideMark/>
          </w:tcPr>
          <w:p w14:paraId="2563685F"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1.00 ± 0.02</w:t>
            </w:r>
          </w:p>
        </w:tc>
        <w:tc>
          <w:tcPr>
            <w:tcW w:w="826" w:type="pct"/>
            <w:tcBorders>
              <w:top w:val="nil"/>
              <w:left w:val="nil"/>
              <w:bottom w:val="single" w:sz="4" w:space="0" w:color="auto"/>
              <w:right w:val="single" w:sz="4" w:space="0" w:color="auto"/>
            </w:tcBorders>
            <w:shd w:val="clear" w:color="000000" w:fill="FFFFFF"/>
            <w:vAlign w:val="center"/>
            <w:hideMark/>
          </w:tcPr>
          <w:p w14:paraId="71A7CB9E"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g/cm</w:t>
            </w:r>
            <w:r w:rsidRPr="00755566">
              <w:rPr>
                <w:rFonts w:ascii="Arial" w:hAnsi="Arial" w:cs="Arial"/>
                <w:color w:val="000000"/>
                <w:sz w:val="20"/>
                <w:szCs w:val="20"/>
                <w:vertAlign w:val="superscript"/>
              </w:rPr>
              <w:t>3</w:t>
            </w:r>
          </w:p>
        </w:tc>
      </w:tr>
      <w:tr w:rsidR="00755566" w:rsidRPr="00755566" w14:paraId="24634F88" w14:textId="77777777" w:rsidTr="00755566">
        <w:trPr>
          <w:trHeight w:val="300"/>
        </w:trPr>
        <w:tc>
          <w:tcPr>
            <w:tcW w:w="2217" w:type="pct"/>
            <w:tcBorders>
              <w:top w:val="nil"/>
              <w:left w:val="single" w:sz="4" w:space="0" w:color="auto"/>
              <w:bottom w:val="single" w:sz="4" w:space="0" w:color="auto"/>
              <w:right w:val="single" w:sz="4" w:space="0" w:color="auto"/>
            </w:tcBorders>
            <w:shd w:val="clear" w:color="000000" w:fill="FFFFFF"/>
            <w:vAlign w:val="center"/>
            <w:hideMark/>
          </w:tcPr>
          <w:p w14:paraId="782D2ADE"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Residuo de evaporación</w:t>
            </w:r>
          </w:p>
        </w:tc>
        <w:tc>
          <w:tcPr>
            <w:tcW w:w="1957" w:type="pct"/>
            <w:tcBorders>
              <w:top w:val="nil"/>
              <w:left w:val="nil"/>
              <w:bottom w:val="single" w:sz="4" w:space="0" w:color="auto"/>
              <w:right w:val="single" w:sz="4" w:space="0" w:color="auto"/>
            </w:tcBorders>
            <w:shd w:val="clear" w:color="000000" w:fill="FFFFFF"/>
            <w:vAlign w:val="center"/>
            <w:hideMark/>
          </w:tcPr>
          <w:p w14:paraId="77D290AA"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61±2</w:t>
            </w:r>
          </w:p>
        </w:tc>
        <w:tc>
          <w:tcPr>
            <w:tcW w:w="826" w:type="pct"/>
            <w:tcBorders>
              <w:top w:val="nil"/>
              <w:left w:val="nil"/>
              <w:bottom w:val="single" w:sz="4" w:space="0" w:color="auto"/>
              <w:right w:val="single" w:sz="4" w:space="0" w:color="auto"/>
            </w:tcBorders>
            <w:shd w:val="clear" w:color="000000" w:fill="FFFFFF"/>
            <w:vAlign w:val="center"/>
            <w:hideMark/>
          </w:tcPr>
          <w:p w14:paraId="6404BA13"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w:t>
            </w:r>
          </w:p>
        </w:tc>
      </w:tr>
      <w:tr w:rsidR="00755566" w:rsidRPr="00755566" w14:paraId="474104F3" w14:textId="77777777" w:rsidTr="00755566">
        <w:trPr>
          <w:trHeight w:val="525"/>
        </w:trPr>
        <w:tc>
          <w:tcPr>
            <w:tcW w:w="2217" w:type="pct"/>
            <w:tcBorders>
              <w:top w:val="nil"/>
              <w:left w:val="single" w:sz="4" w:space="0" w:color="auto"/>
              <w:bottom w:val="single" w:sz="4" w:space="0" w:color="auto"/>
              <w:right w:val="single" w:sz="4" w:space="0" w:color="auto"/>
            </w:tcBorders>
            <w:shd w:val="clear" w:color="000000" w:fill="FFFFFF"/>
            <w:vAlign w:val="center"/>
            <w:hideMark/>
          </w:tcPr>
          <w:p w14:paraId="10EEEC13"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 xml:space="preserve">Viscosidad </w:t>
            </w:r>
            <w:proofErr w:type="spellStart"/>
            <w:r w:rsidRPr="00755566">
              <w:rPr>
                <w:rFonts w:ascii="Arial" w:hAnsi="Arial" w:cs="Arial"/>
                <w:color w:val="000000"/>
                <w:sz w:val="20"/>
                <w:szCs w:val="20"/>
              </w:rPr>
              <w:t>Sayboult.Furol</w:t>
            </w:r>
            <w:proofErr w:type="spellEnd"/>
            <w:r w:rsidRPr="00755566">
              <w:rPr>
                <w:rFonts w:ascii="Arial" w:hAnsi="Arial" w:cs="Arial"/>
                <w:color w:val="000000"/>
                <w:sz w:val="20"/>
                <w:szCs w:val="20"/>
              </w:rPr>
              <w:t xml:space="preserve"> a 25ºC segundos (ENSAYO UNE 104-281/3.3)</w:t>
            </w:r>
          </w:p>
        </w:tc>
        <w:tc>
          <w:tcPr>
            <w:tcW w:w="1957" w:type="pct"/>
            <w:tcBorders>
              <w:top w:val="nil"/>
              <w:left w:val="nil"/>
              <w:bottom w:val="single" w:sz="4" w:space="0" w:color="auto"/>
              <w:right w:val="single" w:sz="4" w:space="0" w:color="auto"/>
            </w:tcBorders>
            <w:shd w:val="clear" w:color="000000" w:fill="FFFFFF"/>
            <w:vAlign w:val="center"/>
            <w:hideMark/>
          </w:tcPr>
          <w:p w14:paraId="38E35C4F"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250-600</w:t>
            </w:r>
          </w:p>
        </w:tc>
        <w:tc>
          <w:tcPr>
            <w:tcW w:w="826" w:type="pct"/>
            <w:tcBorders>
              <w:top w:val="nil"/>
              <w:left w:val="nil"/>
              <w:bottom w:val="single" w:sz="4" w:space="0" w:color="auto"/>
              <w:right w:val="single" w:sz="4" w:space="0" w:color="auto"/>
            </w:tcBorders>
            <w:shd w:val="clear" w:color="000000" w:fill="FFFFFF"/>
            <w:vAlign w:val="center"/>
            <w:hideMark/>
          </w:tcPr>
          <w:p w14:paraId="05592083" w14:textId="77777777" w:rsidR="00755566" w:rsidRPr="00755566" w:rsidRDefault="00755566" w:rsidP="00755566">
            <w:pPr>
              <w:jc w:val="center"/>
              <w:rPr>
                <w:rFonts w:ascii="Arial" w:hAnsi="Arial" w:cs="Arial"/>
                <w:color w:val="000000"/>
                <w:sz w:val="20"/>
                <w:szCs w:val="20"/>
              </w:rPr>
            </w:pPr>
            <w:proofErr w:type="spellStart"/>
            <w:r w:rsidRPr="00755566">
              <w:rPr>
                <w:rFonts w:ascii="Arial" w:hAnsi="Arial" w:cs="Arial"/>
                <w:color w:val="000000"/>
                <w:sz w:val="20"/>
                <w:szCs w:val="20"/>
              </w:rPr>
              <w:t>Cps</w:t>
            </w:r>
            <w:proofErr w:type="spellEnd"/>
          </w:p>
        </w:tc>
      </w:tr>
      <w:tr w:rsidR="00755566" w:rsidRPr="00755566" w14:paraId="2EC892CE" w14:textId="77777777" w:rsidTr="00755566">
        <w:trPr>
          <w:trHeight w:val="780"/>
        </w:trPr>
        <w:tc>
          <w:tcPr>
            <w:tcW w:w="2217" w:type="pct"/>
            <w:tcBorders>
              <w:top w:val="nil"/>
              <w:left w:val="single" w:sz="4" w:space="0" w:color="auto"/>
              <w:bottom w:val="single" w:sz="4" w:space="0" w:color="auto"/>
              <w:right w:val="single" w:sz="4" w:space="0" w:color="auto"/>
            </w:tcBorders>
            <w:shd w:val="clear" w:color="000000" w:fill="FFFFFF"/>
            <w:vAlign w:val="center"/>
            <w:hideMark/>
          </w:tcPr>
          <w:p w14:paraId="2467C36F"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Ensayo sobre el residuo de destilación-penetración a 25ºC, con carga de 100g y durante 5 segundos (ENSAYO UNE 104-281/1.4)</w:t>
            </w:r>
          </w:p>
        </w:tc>
        <w:tc>
          <w:tcPr>
            <w:tcW w:w="1957" w:type="pct"/>
            <w:tcBorders>
              <w:top w:val="nil"/>
              <w:left w:val="nil"/>
              <w:bottom w:val="single" w:sz="4" w:space="0" w:color="auto"/>
              <w:right w:val="single" w:sz="4" w:space="0" w:color="auto"/>
            </w:tcBorders>
            <w:shd w:val="clear" w:color="000000" w:fill="FFFFFF"/>
            <w:vAlign w:val="center"/>
            <w:hideMark/>
          </w:tcPr>
          <w:p w14:paraId="3BC1350B"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129</w:t>
            </w:r>
          </w:p>
        </w:tc>
        <w:tc>
          <w:tcPr>
            <w:tcW w:w="826" w:type="pct"/>
            <w:tcBorders>
              <w:top w:val="nil"/>
              <w:left w:val="nil"/>
              <w:bottom w:val="single" w:sz="4" w:space="0" w:color="auto"/>
              <w:right w:val="single" w:sz="4" w:space="0" w:color="auto"/>
            </w:tcBorders>
            <w:shd w:val="clear" w:color="000000" w:fill="FFFFFF"/>
            <w:vAlign w:val="center"/>
            <w:hideMark/>
          </w:tcPr>
          <w:p w14:paraId="7E1CB7EA" w14:textId="77777777" w:rsidR="00755566" w:rsidRPr="00755566" w:rsidRDefault="00755566" w:rsidP="00755566">
            <w:pPr>
              <w:jc w:val="center"/>
              <w:rPr>
                <w:rFonts w:ascii="Arial" w:hAnsi="Arial" w:cs="Arial"/>
                <w:color w:val="000000"/>
                <w:sz w:val="20"/>
                <w:szCs w:val="20"/>
              </w:rPr>
            </w:pPr>
            <w:proofErr w:type="spellStart"/>
            <w:r w:rsidRPr="00755566">
              <w:rPr>
                <w:rFonts w:ascii="Arial" w:hAnsi="Arial" w:cs="Arial"/>
                <w:color w:val="000000"/>
                <w:sz w:val="20"/>
                <w:szCs w:val="20"/>
              </w:rPr>
              <w:t>Dmm</w:t>
            </w:r>
            <w:proofErr w:type="spellEnd"/>
          </w:p>
        </w:tc>
      </w:tr>
      <w:tr w:rsidR="00755566" w:rsidRPr="00755566" w14:paraId="7ECED974" w14:textId="77777777" w:rsidTr="00755566">
        <w:trPr>
          <w:trHeight w:val="525"/>
        </w:trPr>
        <w:tc>
          <w:tcPr>
            <w:tcW w:w="2217" w:type="pct"/>
            <w:tcBorders>
              <w:top w:val="nil"/>
              <w:left w:val="single" w:sz="4" w:space="0" w:color="auto"/>
              <w:bottom w:val="single" w:sz="4" w:space="0" w:color="auto"/>
              <w:right w:val="single" w:sz="4" w:space="0" w:color="auto"/>
            </w:tcBorders>
            <w:shd w:val="clear" w:color="000000" w:fill="FFFFFF"/>
            <w:vAlign w:val="center"/>
            <w:hideMark/>
          </w:tcPr>
          <w:p w14:paraId="5FB4B9FB"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Contenido en cenizas (materia no volátil) segundos (ENSAYO UNE 104-281/3.8)</w:t>
            </w:r>
          </w:p>
        </w:tc>
        <w:tc>
          <w:tcPr>
            <w:tcW w:w="1957" w:type="pct"/>
            <w:tcBorders>
              <w:top w:val="nil"/>
              <w:left w:val="nil"/>
              <w:bottom w:val="single" w:sz="4" w:space="0" w:color="auto"/>
              <w:right w:val="single" w:sz="4" w:space="0" w:color="auto"/>
            </w:tcBorders>
            <w:shd w:val="clear" w:color="000000" w:fill="FFFFFF"/>
            <w:vAlign w:val="center"/>
            <w:hideMark/>
          </w:tcPr>
          <w:p w14:paraId="334FC786"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&lt;1</w:t>
            </w:r>
          </w:p>
        </w:tc>
        <w:tc>
          <w:tcPr>
            <w:tcW w:w="826" w:type="pct"/>
            <w:tcBorders>
              <w:top w:val="nil"/>
              <w:left w:val="nil"/>
              <w:bottom w:val="single" w:sz="4" w:space="0" w:color="auto"/>
              <w:right w:val="single" w:sz="4" w:space="0" w:color="auto"/>
            </w:tcBorders>
            <w:shd w:val="clear" w:color="000000" w:fill="FFFFFF"/>
            <w:vAlign w:val="center"/>
            <w:hideMark/>
          </w:tcPr>
          <w:p w14:paraId="16A62464"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w:t>
            </w:r>
          </w:p>
        </w:tc>
      </w:tr>
      <w:tr w:rsidR="00755566" w:rsidRPr="00755566" w14:paraId="72839768" w14:textId="77777777" w:rsidTr="00755566">
        <w:trPr>
          <w:trHeight w:val="525"/>
        </w:trPr>
        <w:tc>
          <w:tcPr>
            <w:tcW w:w="2217" w:type="pct"/>
            <w:tcBorders>
              <w:top w:val="nil"/>
              <w:left w:val="single" w:sz="4" w:space="0" w:color="auto"/>
              <w:bottom w:val="single" w:sz="4" w:space="0" w:color="auto"/>
              <w:right w:val="single" w:sz="4" w:space="0" w:color="auto"/>
            </w:tcBorders>
            <w:shd w:val="clear" w:color="000000" w:fill="FFFFFF"/>
            <w:vAlign w:val="center"/>
            <w:hideMark/>
          </w:tcPr>
          <w:p w14:paraId="60794222"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Solubilidad en agua</w:t>
            </w:r>
          </w:p>
        </w:tc>
        <w:tc>
          <w:tcPr>
            <w:tcW w:w="1957" w:type="pct"/>
            <w:tcBorders>
              <w:top w:val="nil"/>
              <w:left w:val="nil"/>
              <w:bottom w:val="single" w:sz="4" w:space="0" w:color="auto"/>
              <w:right w:val="single" w:sz="4" w:space="0" w:color="auto"/>
            </w:tcBorders>
            <w:shd w:val="clear" w:color="000000" w:fill="FFFFFF"/>
            <w:vAlign w:val="center"/>
            <w:hideMark/>
          </w:tcPr>
          <w:p w14:paraId="26EAEA18" w14:textId="77777777" w:rsidR="00755566" w:rsidRPr="00755566" w:rsidRDefault="00755566" w:rsidP="00755566">
            <w:pPr>
              <w:jc w:val="center"/>
              <w:rPr>
                <w:rFonts w:ascii="Arial" w:hAnsi="Arial" w:cs="Arial"/>
                <w:color w:val="000000"/>
                <w:sz w:val="20"/>
                <w:szCs w:val="20"/>
              </w:rPr>
            </w:pPr>
            <w:proofErr w:type="gramStart"/>
            <w:r w:rsidRPr="00755566">
              <w:rPr>
                <w:rFonts w:ascii="Arial" w:hAnsi="Arial" w:cs="Arial"/>
                <w:color w:val="000000"/>
                <w:sz w:val="20"/>
                <w:szCs w:val="20"/>
              </w:rPr>
              <w:t>Total</w:t>
            </w:r>
            <w:proofErr w:type="gramEnd"/>
            <w:r w:rsidRPr="00755566">
              <w:rPr>
                <w:rFonts w:ascii="Arial" w:hAnsi="Arial" w:cs="Arial"/>
                <w:color w:val="000000"/>
                <w:sz w:val="20"/>
                <w:szCs w:val="20"/>
              </w:rPr>
              <w:t xml:space="preserve"> en estado líquido e insoluble cuando forma película seca</w:t>
            </w:r>
          </w:p>
        </w:tc>
        <w:tc>
          <w:tcPr>
            <w:tcW w:w="826" w:type="pct"/>
            <w:tcBorders>
              <w:top w:val="nil"/>
              <w:left w:val="nil"/>
              <w:bottom w:val="single" w:sz="4" w:space="0" w:color="auto"/>
              <w:right w:val="single" w:sz="4" w:space="0" w:color="auto"/>
            </w:tcBorders>
            <w:shd w:val="clear" w:color="000000" w:fill="FFFFFF"/>
            <w:vAlign w:val="center"/>
            <w:hideMark/>
          </w:tcPr>
          <w:p w14:paraId="1D236919"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w:t>
            </w:r>
          </w:p>
        </w:tc>
      </w:tr>
      <w:tr w:rsidR="00755566" w:rsidRPr="00755566" w14:paraId="23DBE4B5" w14:textId="77777777" w:rsidTr="00755566">
        <w:trPr>
          <w:trHeight w:val="300"/>
        </w:trPr>
        <w:tc>
          <w:tcPr>
            <w:tcW w:w="2217" w:type="pct"/>
            <w:tcBorders>
              <w:top w:val="nil"/>
              <w:left w:val="single" w:sz="4" w:space="0" w:color="auto"/>
              <w:bottom w:val="single" w:sz="4" w:space="0" w:color="auto"/>
              <w:right w:val="single" w:sz="4" w:space="0" w:color="auto"/>
            </w:tcBorders>
            <w:shd w:val="clear" w:color="000000" w:fill="FFFFFF"/>
            <w:vAlign w:val="center"/>
            <w:hideMark/>
          </w:tcPr>
          <w:p w14:paraId="3D545AE1"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Toxicidad</w:t>
            </w:r>
          </w:p>
        </w:tc>
        <w:tc>
          <w:tcPr>
            <w:tcW w:w="1957" w:type="pct"/>
            <w:tcBorders>
              <w:top w:val="nil"/>
              <w:left w:val="nil"/>
              <w:bottom w:val="single" w:sz="4" w:space="0" w:color="auto"/>
              <w:right w:val="single" w:sz="4" w:space="0" w:color="auto"/>
            </w:tcBorders>
            <w:shd w:val="clear" w:color="000000" w:fill="FFFFFF"/>
            <w:vAlign w:val="center"/>
            <w:hideMark/>
          </w:tcPr>
          <w:p w14:paraId="682F4B5E"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Nula</w:t>
            </w:r>
          </w:p>
        </w:tc>
        <w:tc>
          <w:tcPr>
            <w:tcW w:w="826" w:type="pct"/>
            <w:tcBorders>
              <w:top w:val="nil"/>
              <w:left w:val="nil"/>
              <w:bottom w:val="single" w:sz="4" w:space="0" w:color="auto"/>
              <w:right w:val="single" w:sz="4" w:space="0" w:color="auto"/>
            </w:tcBorders>
            <w:shd w:val="clear" w:color="000000" w:fill="FFFFFF"/>
            <w:vAlign w:val="center"/>
            <w:hideMark/>
          </w:tcPr>
          <w:p w14:paraId="796B48FC"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w:t>
            </w:r>
          </w:p>
        </w:tc>
      </w:tr>
      <w:tr w:rsidR="00755566" w:rsidRPr="00755566" w14:paraId="4EF741F7" w14:textId="77777777" w:rsidTr="00755566">
        <w:trPr>
          <w:trHeight w:val="780"/>
        </w:trPr>
        <w:tc>
          <w:tcPr>
            <w:tcW w:w="2217" w:type="pct"/>
            <w:tcBorders>
              <w:top w:val="nil"/>
              <w:left w:val="single" w:sz="4" w:space="0" w:color="auto"/>
              <w:bottom w:val="single" w:sz="4" w:space="0" w:color="auto"/>
              <w:right w:val="single" w:sz="4" w:space="0" w:color="auto"/>
            </w:tcBorders>
            <w:shd w:val="clear" w:color="000000" w:fill="FFFFFF"/>
            <w:vAlign w:val="center"/>
            <w:hideMark/>
          </w:tcPr>
          <w:p w14:paraId="45E1C2A7"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Ensayos sobre residuo seco</w:t>
            </w:r>
          </w:p>
        </w:tc>
        <w:tc>
          <w:tcPr>
            <w:tcW w:w="1957" w:type="pct"/>
            <w:tcBorders>
              <w:top w:val="nil"/>
              <w:left w:val="nil"/>
              <w:bottom w:val="single" w:sz="4" w:space="0" w:color="auto"/>
              <w:right w:val="single" w:sz="4" w:space="0" w:color="auto"/>
            </w:tcBorders>
            <w:shd w:val="clear" w:color="000000" w:fill="FFFFFF"/>
            <w:vAlign w:val="center"/>
            <w:hideMark/>
          </w:tcPr>
          <w:p w14:paraId="00F564C7"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 xml:space="preserve">No se observa la formación de apoyas ni se produce </w:t>
            </w:r>
            <w:proofErr w:type="spellStart"/>
            <w:r w:rsidRPr="00755566">
              <w:rPr>
                <w:rFonts w:ascii="Arial" w:hAnsi="Arial" w:cs="Arial"/>
                <w:color w:val="000000"/>
                <w:sz w:val="20"/>
                <w:szCs w:val="20"/>
              </w:rPr>
              <w:t>reemulsificación</w:t>
            </w:r>
            <w:proofErr w:type="spellEnd"/>
            <w:r w:rsidRPr="00755566">
              <w:rPr>
                <w:rFonts w:ascii="Arial" w:hAnsi="Arial" w:cs="Arial"/>
                <w:color w:val="000000"/>
                <w:sz w:val="20"/>
                <w:szCs w:val="20"/>
              </w:rPr>
              <w:t xml:space="preserve"> de la película asfáltica.</w:t>
            </w:r>
          </w:p>
        </w:tc>
        <w:tc>
          <w:tcPr>
            <w:tcW w:w="826" w:type="pct"/>
            <w:tcBorders>
              <w:top w:val="nil"/>
              <w:left w:val="nil"/>
              <w:bottom w:val="single" w:sz="4" w:space="0" w:color="auto"/>
              <w:right w:val="single" w:sz="4" w:space="0" w:color="auto"/>
            </w:tcBorders>
            <w:shd w:val="clear" w:color="000000" w:fill="FFFFFF"/>
            <w:vAlign w:val="center"/>
            <w:hideMark/>
          </w:tcPr>
          <w:p w14:paraId="6127CD2E"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w:t>
            </w:r>
          </w:p>
        </w:tc>
      </w:tr>
    </w:tbl>
    <w:p w14:paraId="7EAA8761" w14:textId="77777777" w:rsidR="00295963" w:rsidRPr="00534B6E" w:rsidRDefault="00295963" w:rsidP="00295963">
      <w:pPr>
        <w:pStyle w:val="NORMAL12"/>
        <w:rPr>
          <w:i/>
          <w:u w:val="single"/>
        </w:rPr>
      </w:pPr>
      <w:r w:rsidRPr="00534B6E">
        <w:rPr>
          <w:i/>
          <w:u w:val="single"/>
        </w:rPr>
        <w:t>Lámina superior LBM (SBS) 60/G-FP</w:t>
      </w:r>
    </w:p>
    <w:p w14:paraId="6F188E98" w14:textId="77777777" w:rsidR="00295963" w:rsidRPr="006937C2" w:rsidRDefault="00295963" w:rsidP="00295963">
      <w:pPr>
        <w:pStyle w:val="NORMAL12"/>
      </w:pPr>
      <w:r w:rsidRPr="006937C2">
        <w:rPr>
          <w:shd w:val="clear" w:color="auto" w:fill="FFFFFF"/>
        </w:rPr>
        <w:t xml:space="preserve">Lámina impermeabilizante autoprotegida, de betún </w:t>
      </w:r>
      <w:proofErr w:type="spellStart"/>
      <w:r w:rsidRPr="006937C2">
        <w:rPr>
          <w:shd w:val="clear" w:color="auto" w:fill="FFFFFF"/>
        </w:rPr>
        <w:t>elastomérico</w:t>
      </w:r>
      <w:proofErr w:type="spellEnd"/>
      <w:r w:rsidRPr="006937C2">
        <w:rPr>
          <w:shd w:val="clear" w:color="auto" w:fill="FFFFFF"/>
        </w:rPr>
        <w:t xml:space="preserve"> SBS, con </w:t>
      </w:r>
      <w:r w:rsidRPr="006937C2">
        <w:t xml:space="preserve">armadura de fieltro de poliéster (FP) de alto gramaje, con acabado mineral en la cara exterior y </w:t>
      </w:r>
      <w:proofErr w:type="gramStart"/>
      <w:r w:rsidRPr="006937C2">
        <w:t>film</w:t>
      </w:r>
      <w:proofErr w:type="gramEnd"/>
      <w:r w:rsidRPr="006937C2">
        <w:t xml:space="preserve"> termofusible en la cara interior.</w:t>
      </w:r>
    </w:p>
    <w:p w14:paraId="1C234EE3" w14:textId="77777777" w:rsidR="00295963" w:rsidRPr="006937C2" w:rsidRDefault="00295963" w:rsidP="00295963">
      <w:pPr>
        <w:pStyle w:val="NORMAL12"/>
      </w:pPr>
      <w:r w:rsidRPr="006937C2">
        <w:t>Deberá formarse una cubierta plana no transitable, de pendiente &gt;1%, sobre base resistente, compuesta de los siguientes elementos: una imprimación bituminosa  a razón de 350 g/m</w:t>
      </w:r>
      <w:r w:rsidRPr="00D921B6">
        <w:rPr>
          <w:vertAlign w:val="superscript"/>
        </w:rPr>
        <w:t>2</w:t>
      </w:r>
      <w:r w:rsidRPr="006937C2">
        <w:t xml:space="preserve"> y una lámina de betún elastómero SBS con armadura de poliéster de 180 g/m</w:t>
      </w:r>
      <w:r w:rsidRPr="00241CBC">
        <w:rPr>
          <w:vertAlign w:val="superscript"/>
        </w:rPr>
        <w:t>2</w:t>
      </w:r>
      <w:r w:rsidRPr="006937C2">
        <w:t>, de 6,0 kg/m</w:t>
      </w:r>
      <w:r w:rsidRPr="00D921B6">
        <w:rPr>
          <w:vertAlign w:val="superscript"/>
        </w:rPr>
        <w:t>2</w:t>
      </w:r>
      <w:r w:rsidRPr="006937C2">
        <w:t xml:space="preserve">, resistencia al arrancamiento de 0,5 </w:t>
      </w:r>
      <w:proofErr w:type="spellStart"/>
      <w:r w:rsidRPr="006937C2">
        <w:t>Mpa</w:t>
      </w:r>
      <w:proofErr w:type="spellEnd"/>
      <w:r w:rsidRPr="006937C2">
        <w:t>, acabada con gránulos cerámicos de color blanco en su cara exterior, totalmente adherida al soporte, y con una protección pesada mediante capa de rodadura de aglomerado bituminos</w:t>
      </w:r>
      <w:r>
        <w:t>o con un espesor mínimo de 7 cm</w:t>
      </w:r>
      <w:r w:rsidRPr="006937C2">
        <w:t xml:space="preserve">. Los remates, entregas, juntas de dilatación, sumideros, </w:t>
      </w:r>
      <w:proofErr w:type="spellStart"/>
      <w:r w:rsidRPr="006937C2">
        <w:t>limahoyas</w:t>
      </w:r>
      <w:proofErr w:type="spellEnd"/>
      <w:r w:rsidRPr="006937C2">
        <w:t xml:space="preserve"> y esquinas se resolverán mediante imprimación bituminosa, escuadras de refuerzo e impermeabilización vertical. </w:t>
      </w:r>
    </w:p>
    <w:p w14:paraId="11962313" w14:textId="77777777" w:rsidR="00295963" w:rsidRPr="006937C2" w:rsidRDefault="00295963" w:rsidP="00295963">
      <w:pPr>
        <w:pStyle w:val="NORMAL12"/>
      </w:pPr>
      <w:r w:rsidRPr="006937C2">
        <w:t xml:space="preserve">El material deberá disponer de excelente resistencia al punzonamiento y gran adherencia al desgarro, así como buena estabilidad dimensional. </w:t>
      </w:r>
    </w:p>
    <w:p w14:paraId="47CC43C1" w14:textId="77777777" w:rsidR="00295963" w:rsidRDefault="00295963" w:rsidP="00295963">
      <w:pPr>
        <w:pStyle w:val="NORMAL12"/>
      </w:pPr>
      <w:r w:rsidRPr="006937C2">
        <w:t>El producto deberá presentar, como mínimo, las siguientes características técnicas:</w:t>
      </w:r>
    </w:p>
    <w:p w14:paraId="02501145" w14:textId="77777777" w:rsidR="00755566" w:rsidRDefault="00755566" w:rsidP="00295963">
      <w:pPr>
        <w:pStyle w:val="NORMAL12"/>
      </w:pPr>
    </w:p>
    <w:p w14:paraId="54B3227D" w14:textId="77777777" w:rsidR="00755566" w:rsidRDefault="00755566" w:rsidP="00295963">
      <w:pPr>
        <w:pStyle w:val="NORMAL12"/>
      </w:pPr>
    </w:p>
    <w:p w14:paraId="773EE582" w14:textId="77777777" w:rsidR="00755566" w:rsidRDefault="00755566" w:rsidP="00295963">
      <w:pPr>
        <w:pStyle w:val="NORMAL12"/>
      </w:pPr>
    </w:p>
    <w:p w14:paraId="42F7A3BD" w14:textId="77777777" w:rsidR="00755566" w:rsidRDefault="00755566" w:rsidP="00295963">
      <w:pPr>
        <w:pStyle w:val="NORMAL12"/>
      </w:pPr>
    </w:p>
    <w:tbl>
      <w:tblPr>
        <w:tblW w:w="5000" w:type="pct"/>
        <w:tblCellMar>
          <w:left w:w="70" w:type="dxa"/>
          <w:right w:w="70" w:type="dxa"/>
        </w:tblCellMar>
        <w:tblLook w:val="04A0" w:firstRow="1" w:lastRow="0" w:firstColumn="1" w:lastColumn="0" w:noHBand="0" w:noVBand="1"/>
      </w:tblPr>
      <w:tblGrid>
        <w:gridCol w:w="4323"/>
        <w:gridCol w:w="1259"/>
        <w:gridCol w:w="1259"/>
        <w:gridCol w:w="2937"/>
      </w:tblGrid>
      <w:tr w:rsidR="00755566" w:rsidRPr="00755566" w14:paraId="1855E511" w14:textId="77777777" w:rsidTr="00755566">
        <w:trPr>
          <w:trHeight w:val="315"/>
        </w:trPr>
        <w:tc>
          <w:tcPr>
            <w:tcW w:w="2210" w:type="pct"/>
            <w:tcBorders>
              <w:top w:val="single" w:sz="4" w:space="0" w:color="auto"/>
              <w:left w:val="single" w:sz="4" w:space="0" w:color="auto"/>
              <w:bottom w:val="single" w:sz="4" w:space="0" w:color="auto"/>
              <w:right w:val="single" w:sz="4" w:space="0" w:color="auto"/>
            </w:tcBorders>
            <w:shd w:val="clear" w:color="000000" w:fill="D9D9D9"/>
            <w:vAlign w:val="bottom"/>
            <w:hideMark/>
          </w:tcPr>
          <w:p w14:paraId="315158B6" w14:textId="77777777" w:rsidR="00755566" w:rsidRPr="00755566" w:rsidRDefault="00755566" w:rsidP="00755566">
            <w:pPr>
              <w:jc w:val="center"/>
              <w:rPr>
                <w:rFonts w:ascii="Arial" w:hAnsi="Arial" w:cs="Arial"/>
                <w:b/>
                <w:bCs/>
                <w:color w:val="000000"/>
                <w:sz w:val="20"/>
                <w:szCs w:val="20"/>
              </w:rPr>
            </w:pPr>
            <w:r w:rsidRPr="00755566">
              <w:rPr>
                <w:rFonts w:ascii="Arial" w:hAnsi="Arial" w:cs="Arial"/>
                <w:b/>
                <w:bCs/>
                <w:color w:val="000000"/>
                <w:sz w:val="20"/>
                <w:szCs w:val="22"/>
              </w:rPr>
              <w:t>Datos técnicos</w:t>
            </w:r>
          </w:p>
        </w:tc>
        <w:tc>
          <w:tcPr>
            <w:tcW w:w="644" w:type="pct"/>
            <w:tcBorders>
              <w:top w:val="single" w:sz="4" w:space="0" w:color="auto"/>
              <w:left w:val="nil"/>
              <w:bottom w:val="single" w:sz="4" w:space="0" w:color="auto"/>
              <w:right w:val="single" w:sz="4" w:space="0" w:color="auto"/>
            </w:tcBorders>
            <w:shd w:val="clear" w:color="000000" w:fill="D9D9D9"/>
            <w:vAlign w:val="bottom"/>
            <w:hideMark/>
          </w:tcPr>
          <w:p w14:paraId="18C509CC" w14:textId="77777777" w:rsidR="00755566" w:rsidRPr="00755566" w:rsidRDefault="00755566" w:rsidP="00755566">
            <w:pPr>
              <w:jc w:val="center"/>
              <w:rPr>
                <w:rFonts w:ascii="Arial" w:hAnsi="Arial" w:cs="Arial"/>
                <w:b/>
                <w:bCs/>
                <w:color w:val="000000"/>
                <w:sz w:val="20"/>
                <w:szCs w:val="20"/>
              </w:rPr>
            </w:pPr>
            <w:r w:rsidRPr="00755566">
              <w:rPr>
                <w:rFonts w:ascii="Arial" w:hAnsi="Arial" w:cs="Arial"/>
                <w:b/>
                <w:bCs/>
                <w:color w:val="000000"/>
                <w:sz w:val="20"/>
                <w:szCs w:val="22"/>
              </w:rPr>
              <w:t>Valor</w:t>
            </w:r>
          </w:p>
        </w:tc>
        <w:tc>
          <w:tcPr>
            <w:tcW w:w="644" w:type="pct"/>
            <w:tcBorders>
              <w:top w:val="single" w:sz="4" w:space="0" w:color="auto"/>
              <w:left w:val="nil"/>
              <w:bottom w:val="single" w:sz="4" w:space="0" w:color="auto"/>
              <w:right w:val="single" w:sz="4" w:space="0" w:color="auto"/>
            </w:tcBorders>
            <w:shd w:val="clear" w:color="000000" w:fill="D9D9D9"/>
            <w:vAlign w:val="bottom"/>
            <w:hideMark/>
          </w:tcPr>
          <w:p w14:paraId="5A159C1E" w14:textId="77777777" w:rsidR="00755566" w:rsidRPr="00755566" w:rsidRDefault="00755566" w:rsidP="00755566">
            <w:pPr>
              <w:jc w:val="center"/>
              <w:rPr>
                <w:rFonts w:ascii="Arial" w:hAnsi="Arial" w:cs="Arial"/>
                <w:b/>
                <w:bCs/>
                <w:color w:val="000000"/>
                <w:sz w:val="20"/>
                <w:szCs w:val="20"/>
              </w:rPr>
            </w:pPr>
            <w:r w:rsidRPr="00755566">
              <w:rPr>
                <w:rFonts w:ascii="Arial" w:hAnsi="Arial" w:cs="Arial"/>
                <w:b/>
                <w:bCs/>
                <w:color w:val="000000"/>
                <w:sz w:val="20"/>
                <w:szCs w:val="22"/>
              </w:rPr>
              <w:t>Unidad</w:t>
            </w:r>
          </w:p>
        </w:tc>
        <w:tc>
          <w:tcPr>
            <w:tcW w:w="1502" w:type="pct"/>
            <w:tcBorders>
              <w:top w:val="single" w:sz="4" w:space="0" w:color="auto"/>
              <w:left w:val="nil"/>
              <w:bottom w:val="single" w:sz="4" w:space="0" w:color="auto"/>
              <w:right w:val="single" w:sz="4" w:space="0" w:color="auto"/>
            </w:tcBorders>
            <w:shd w:val="clear" w:color="000000" w:fill="D9D9D9"/>
            <w:vAlign w:val="bottom"/>
            <w:hideMark/>
          </w:tcPr>
          <w:p w14:paraId="0A130FE8" w14:textId="77777777" w:rsidR="00755566" w:rsidRPr="00755566" w:rsidRDefault="00755566" w:rsidP="00755566">
            <w:pPr>
              <w:jc w:val="center"/>
              <w:rPr>
                <w:rFonts w:ascii="Arial" w:hAnsi="Arial" w:cs="Arial"/>
                <w:b/>
                <w:bCs/>
                <w:color w:val="000000"/>
                <w:sz w:val="20"/>
                <w:szCs w:val="20"/>
              </w:rPr>
            </w:pPr>
            <w:r w:rsidRPr="00755566">
              <w:rPr>
                <w:rFonts w:ascii="Arial" w:hAnsi="Arial" w:cs="Arial"/>
                <w:b/>
                <w:bCs/>
                <w:color w:val="000000"/>
                <w:sz w:val="20"/>
                <w:szCs w:val="22"/>
              </w:rPr>
              <w:t>Norma</w:t>
            </w:r>
          </w:p>
        </w:tc>
      </w:tr>
      <w:tr w:rsidR="00755566" w:rsidRPr="00755566" w14:paraId="5F958974" w14:textId="77777777" w:rsidTr="00755566">
        <w:trPr>
          <w:trHeight w:val="540"/>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32416FFA"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Comportamiento frente a un fuego externo</w:t>
            </w:r>
          </w:p>
        </w:tc>
        <w:tc>
          <w:tcPr>
            <w:tcW w:w="644" w:type="pct"/>
            <w:tcBorders>
              <w:top w:val="nil"/>
              <w:left w:val="nil"/>
              <w:bottom w:val="single" w:sz="4" w:space="0" w:color="auto"/>
              <w:right w:val="single" w:sz="4" w:space="0" w:color="auto"/>
            </w:tcBorders>
            <w:shd w:val="clear" w:color="000000" w:fill="FFFFFF"/>
            <w:vAlign w:val="center"/>
            <w:hideMark/>
          </w:tcPr>
          <w:p w14:paraId="1371A982" w14:textId="77777777" w:rsidR="00755566" w:rsidRPr="00755566" w:rsidRDefault="00755566" w:rsidP="00755566">
            <w:pPr>
              <w:jc w:val="center"/>
              <w:rPr>
                <w:rFonts w:ascii="Arial" w:hAnsi="Arial" w:cs="Arial"/>
                <w:color w:val="000000"/>
                <w:sz w:val="20"/>
                <w:szCs w:val="20"/>
              </w:rPr>
            </w:pPr>
            <w:proofErr w:type="spellStart"/>
            <w:r w:rsidRPr="00755566">
              <w:rPr>
                <w:rFonts w:ascii="Arial" w:hAnsi="Arial" w:cs="Arial"/>
                <w:color w:val="000000"/>
                <w:sz w:val="20"/>
                <w:szCs w:val="20"/>
              </w:rPr>
              <w:t>Broof</w:t>
            </w:r>
            <w:proofErr w:type="spellEnd"/>
            <w:r w:rsidRPr="00755566">
              <w:rPr>
                <w:rFonts w:ascii="Arial" w:hAnsi="Arial" w:cs="Arial"/>
                <w:color w:val="000000"/>
                <w:sz w:val="20"/>
                <w:szCs w:val="20"/>
              </w:rPr>
              <w:t>(t1)</w:t>
            </w:r>
          </w:p>
        </w:tc>
        <w:tc>
          <w:tcPr>
            <w:tcW w:w="644" w:type="pct"/>
            <w:tcBorders>
              <w:top w:val="nil"/>
              <w:left w:val="nil"/>
              <w:bottom w:val="single" w:sz="4" w:space="0" w:color="auto"/>
              <w:right w:val="single" w:sz="4" w:space="0" w:color="auto"/>
            </w:tcBorders>
            <w:shd w:val="clear" w:color="000000" w:fill="FFFFFF"/>
            <w:vAlign w:val="center"/>
            <w:hideMark/>
          </w:tcPr>
          <w:p w14:paraId="0A8091FC"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w:t>
            </w:r>
          </w:p>
        </w:tc>
        <w:tc>
          <w:tcPr>
            <w:tcW w:w="1502" w:type="pct"/>
            <w:tcBorders>
              <w:top w:val="nil"/>
              <w:left w:val="nil"/>
              <w:bottom w:val="single" w:sz="4" w:space="0" w:color="auto"/>
              <w:right w:val="single" w:sz="4" w:space="0" w:color="auto"/>
            </w:tcBorders>
            <w:shd w:val="clear" w:color="000000" w:fill="FFFFFF"/>
            <w:vAlign w:val="center"/>
            <w:hideMark/>
          </w:tcPr>
          <w:p w14:paraId="016D150B" w14:textId="77777777" w:rsid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1187;</w:t>
            </w:r>
          </w:p>
          <w:p w14:paraId="50CCE5B7"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13501-5</w:t>
            </w:r>
          </w:p>
        </w:tc>
      </w:tr>
      <w:tr w:rsidR="00755566" w:rsidRPr="00755566" w14:paraId="66B3F151" w14:textId="77777777" w:rsidTr="00755566">
        <w:trPr>
          <w:trHeight w:val="540"/>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06C702A2"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Reacción al fuego</w:t>
            </w:r>
          </w:p>
        </w:tc>
        <w:tc>
          <w:tcPr>
            <w:tcW w:w="644" w:type="pct"/>
            <w:tcBorders>
              <w:top w:val="nil"/>
              <w:left w:val="nil"/>
              <w:bottom w:val="single" w:sz="4" w:space="0" w:color="auto"/>
              <w:right w:val="single" w:sz="4" w:space="0" w:color="auto"/>
            </w:tcBorders>
            <w:shd w:val="clear" w:color="000000" w:fill="FFFFFF"/>
            <w:vAlign w:val="center"/>
            <w:hideMark/>
          </w:tcPr>
          <w:p w14:paraId="1BBCAC03"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E</w:t>
            </w:r>
          </w:p>
        </w:tc>
        <w:tc>
          <w:tcPr>
            <w:tcW w:w="644" w:type="pct"/>
            <w:tcBorders>
              <w:top w:val="nil"/>
              <w:left w:val="nil"/>
              <w:bottom w:val="single" w:sz="4" w:space="0" w:color="auto"/>
              <w:right w:val="single" w:sz="4" w:space="0" w:color="auto"/>
            </w:tcBorders>
            <w:shd w:val="clear" w:color="000000" w:fill="FFFFFF"/>
            <w:vAlign w:val="center"/>
            <w:hideMark/>
          </w:tcPr>
          <w:p w14:paraId="301FBA8B"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w:t>
            </w:r>
          </w:p>
        </w:tc>
        <w:tc>
          <w:tcPr>
            <w:tcW w:w="1502" w:type="pct"/>
            <w:tcBorders>
              <w:top w:val="nil"/>
              <w:left w:val="nil"/>
              <w:bottom w:val="single" w:sz="4" w:space="0" w:color="auto"/>
              <w:right w:val="single" w:sz="4" w:space="0" w:color="auto"/>
            </w:tcBorders>
            <w:shd w:val="clear" w:color="000000" w:fill="FFFFFF"/>
            <w:vAlign w:val="center"/>
            <w:hideMark/>
          </w:tcPr>
          <w:p w14:paraId="4C443CF7" w14:textId="77777777" w:rsid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11925-2;</w:t>
            </w:r>
          </w:p>
          <w:p w14:paraId="70E39ABB"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13501-1</w:t>
            </w:r>
          </w:p>
        </w:tc>
      </w:tr>
      <w:tr w:rsidR="00755566" w:rsidRPr="00755566" w14:paraId="6AA578DD" w14:textId="77777777" w:rsidTr="00755566">
        <w:trPr>
          <w:trHeight w:val="315"/>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203D9428"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Estanquidad al agua</w:t>
            </w:r>
          </w:p>
        </w:tc>
        <w:tc>
          <w:tcPr>
            <w:tcW w:w="644" w:type="pct"/>
            <w:tcBorders>
              <w:top w:val="nil"/>
              <w:left w:val="nil"/>
              <w:bottom w:val="single" w:sz="4" w:space="0" w:color="auto"/>
              <w:right w:val="single" w:sz="4" w:space="0" w:color="auto"/>
            </w:tcBorders>
            <w:shd w:val="clear" w:color="000000" w:fill="FFFFFF"/>
            <w:vAlign w:val="center"/>
            <w:hideMark/>
          </w:tcPr>
          <w:p w14:paraId="7569934D"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Pasa</w:t>
            </w:r>
          </w:p>
        </w:tc>
        <w:tc>
          <w:tcPr>
            <w:tcW w:w="644" w:type="pct"/>
            <w:tcBorders>
              <w:top w:val="nil"/>
              <w:left w:val="nil"/>
              <w:bottom w:val="single" w:sz="4" w:space="0" w:color="auto"/>
              <w:right w:val="single" w:sz="4" w:space="0" w:color="auto"/>
            </w:tcBorders>
            <w:shd w:val="clear" w:color="000000" w:fill="FFFFFF"/>
            <w:vAlign w:val="center"/>
            <w:hideMark/>
          </w:tcPr>
          <w:p w14:paraId="6E44E9D4"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w:t>
            </w:r>
          </w:p>
        </w:tc>
        <w:tc>
          <w:tcPr>
            <w:tcW w:w="1502" w:type="pct"/>
            <w:tcBorders>
              <w:top w:val="nil"/>
              <w:left w:val="nil"/>
              <w:bottom w:val="single" w:sz="4" w:space="0" w:color="auto"/>
              <w:right w:val="single" w:sz="4" w:space="0" w:color="auto"/>
            </w:tcBorders>
            <w:shd w:val="clear" w:color="000000" w:fill="FFFFFF"/>
            <w:vAlign w:val="center"/>
            <w:hideMark/>
          </w:tcPr>
          <w:p w14:paraId="64CB69C4"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1928</w:t>
            </w:r>
          </w:p>
        </w:tc>
      </w:tr>
      <w:tr w:rsidR="00755566" w:rsidRPr="00755566" w14:paraId="7EFFA9B1" w14:textId="77777777" w:rsidTr="00755566">
        <w:trPr>
          <w:trHeight w:val="315"/>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691AAF5E"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Resistencia a la tracción longitudinal</w:t>
            </w:r>
          </w:p>
        </w:tc>
        <w:tc>
          <w:tcPr>
            <w:tcW w:w="644" w:type="pct"/>
            <w:tcBorders>
              <w:top w:val="nil"/>
              <w:left w:val="nil"/>
              <w:bottom w:val="single" w:sz="4" w:space="0" w:color="auto"/>
              <w:right w:val="single" w:sz="4" w:space="0" w:color="auto"/>
            </w:tcBorders>
            <w:shd w:val="clear" w:color="000000" w:fill="FFFFFF"/>
            <w:vAlign w:val="center"/>
            <w:hideMark/>
          </w:tcPr>
          <w:p w14:paraId="3FC6975E"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1000 ± 250</w:t>
            </w:r>
          </w:p>
        </w:tc>
        <w:tc>
          <w:tcPr>
            <w:tcW w:w="644" w:type="pct"/>
            <w:tcBorders>
              <w:top w:val="nil"/>
              <w:left w:val="nil"/>
              <w:bottom w:val="single" w:sz="4" w:space="0" w:color="auto"/>
              <w:right w:val="single" w:sz="4" w:space="0" w:color="auto"/>
            </w:tcBorders>
            <w:shd w:val="clear" w:color="000000" w:fill="FFFFFF"/>
            <w:vAlign w:val="center"/>
            <w:hideMark/>
          </w:tcPr>
          <w:p w14:paraId="40A9D268"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N/5cm</w:t>
            </w:r>
          </w:p>
        </w:tc>
        <w:tc>
          <w:tcPr>
            <w:tcW w:w="1502" w:type="pct"/>
            <w:tcBorders>
              <w:top w:val="nil"/>
              <w:left w:val="nil"/>
              <w:bottom w:val="single" w:sz="4" w:space="0" w:color="auto"/>
              <w:right w:val="single" w:sz="4" w:space="0" w:color="auto"/>
            </w:tcBorders>
            <w:shd w:val="clear" w:color="000000" w:fill="FFFFFF"/>
            <w:vAlign w:val="center"/>
            <w:hideMark/>
          </w:tcPr>
          <w:p w14:paraId="4DF9B0C7"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12311-1</w:t>
            </w:r>
          </w:p>
        </w:tc>
      </w:tr>
      <w:tr w:rsidR="00755566" w:rsidRPr="00755566" w14:paraId="1B5E16C1" w14:textId="77777777" w:rsidTr="00755566">
        <w:trPr>
          <w:trHeight w:val="315"/>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311DDE9E"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Resistencia a la tracción transversal</w:t>
            </w:r>
          </w:p>
        </w:tc>
        <w:tc>
          <w:tcPr>
            <w:tcW w:w="644" w:type="pct"/>
            <w:tcBorders>
              <w:top w:val="nil"/>
              <w:left w:val="nil"/>
              <w:bottom w:val="single" w:sz="4" w:space="0" w:color="auto"/>
              <w:right w:val="single" w:sz="4" w:space="0" w:color="auto"/>
            </w:tcBorders>
            <w:shd w:val="clear" w:color="000000" w:fill="FFFFFF"/>
            <w:vAlign w:val="center"/>
            <w:hideMark/>
          </w:tcPr>
          <w:p w14:paraId="61F21BDA"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750 ± 250</w:t>
            </w:r>
          </w:p>
        </w:tc>
        <w:tc>
          <w:tcPr>
            <w:tcW w:w="644" w:type="pct"/>
            <w:tcBorders>
              <w:top w:val="nil"/>
              <w:left w:val="nil"/>
              <w:bottom w:val="single" w:sz="4" w:space="0" w:color="auto"/>
              <w:right w:val="single" w:sz="4" w:space="0" w:color="auto"/>
            </w:tcBorders>
            <w:shd w:val="clear" w:color="000000" w:fill="FFFFFF"/>
            <w:vAlign w:val="center"/>
            <w:hideMark/>
          </w:tcPr>
          <w:p w14:paraId="20236CD6"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N/5cm</w:t>
            </w:r>
          </w:p>
        </w:tc>
        <w:tc>
          <w:tcPr>
            <w:tcW w:w="1502" w:type="pct"/>
            <w:tcBorders>
              <w:top w:val="nil"/>
              <w:left w:val="nil"/>
              <w:bottom w:val="single" w:sz="4" w:space="0" w:color="auto"/>
              <w:right w:val="single" w:sz="4" w:space="0" w:color="auto"/>
            </w:tcBorders>
            <w:shd w:val="clear" w:color="000000" w:fill="FFFFFF"/>
            <w:vAlign w:val="center"/>
            <w:hideMark/>
          </w:tcPr>
          <w:p w14:paraId="0A132423"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12311-1</w:t>
            </w:r>
          </w:p>
        </w:tc>
      </w:tr>
      <w:tr w:rsidR="00755566" w:rsidRPr="00755566" w14:paraId="66896EB0" w14:textId="77777777" w:rsidTr="00755566">
        <w:trPr>
          <w:trHeight w:val="315"/>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039B9AE5"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Elongación a la rotura longitudinal</w:t>
            </w:r>
          </w:p>
        </w:tc>
        <w:tc>
          <w:tcPr>
            <w:tcW w:w="644" w:type="pct"/>
            <w:tcBorders>
              <w:top w:val="nil"/>
              <w:left w:val="nil"/>
              <w:bottom w:val="single" w:sz="4" w:space="0" w:color="auto"/>
              <w:right w:val="single" w:sz="4" w:space="0" w:color="auto"/>
            </w:tcBorders>
            <w:shd w:val="clear" w:color="000000" w:fill="FFFFFF"/>
            <w:vAlign w:val="center"/>
            <w:hideMark/>
          </w:tcPr>
          <w:p w14:paraId="03920030"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45 ±15</w:t>
            </w:r>
          </w:p>
        </w:tc>
        <w:tc>
          <w:tcPr>
            <w:tcW w:w="644" w:type="pct"/>
            <w:tcBorders>
              <w:top w:val="nil"/>
              <w:left w:val="nil"/>
              <w:bottom w:val="single" w:sz="4" w:space="0" w:color="auto"/>
              <w:right w:val="single" w:sz="4" w:space="0" w:color="auto"/>
            </w:tcBorders>
            <w:shd w:val="clear" w:color="000000" w:fill="FFFFFF"/>
            <w:vAlign w:val="center"/>
            <w:hideMark/>
          </w:tcPr>
          <w:p w14:paraId="131DDF5F"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w:t>
            </w:r>
          </w:p>
        </w:tc>
        <w:tc>
          <w:tcPr>
            <w:tcW w:w="1502" w:type="pct"/>
            <w:tcBorders>
              <w:top w:val="nil"/>
              <w:left w:val="nil"/>
              <w:bottom w:val="single" w:sz="4" w:space="0" w:color="auto"/>
              <w:right w:val="single" w:sz="4" w:space="0" w:color="auto"/>
            </w:tcBorders>
            <w:shd w:val="clear" w:color="000000" w:fill="FFFFFF"/>
            <w:vAlign w:val="center"/>
            <w:hideMark/>
          </w:tcPr>
          <w:p w14:paraId="7C0F003F"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12311-1</w:t>
            </w:r>
          </w:p>
        </w:tc>
      </w:tr>
      <w:tr w:rsidR="00755566" w:rsidRPr="00755566" w14:paraId="682105A9" w14:textId="77777777" w:rsidTr="00755566">
        <w:trPr>
          <w:trHeight w:val="315"/>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4168553E"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Elongación a la rotura transversal</w:t>
            </w:r>
          </w:p>
        </w:tc>
        <w:tc>
          <w:tcPr>
            <w:tcW w:w="644" w:type="pct"/>
            <w:tcBorders>
              <w:top w:val="nil"/>
              <w:left w:val="nil"/>
              <w:bottom w:val="single" w:sz="4" w:space="0" w:color="auto"/>
              <w:right w:val="single" w:sz="4" w:space="0" w:color="auto"/>
            </w:tcBorders>
            <w:shd w:val="clear" w:color="000000" w:fill="FFFFFF"/>
            <w:vAlign w:val="center"/>
            <w:hideMark/>
          </w:tcPr>
          <w:p w14:paraId="5A9AF64D"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45 ±15</w:t>
            </w:r>
          </w:p>
        </w:tc>
        <w:tc>
          <w:tcPr>
            <w:tcW w:w="644" w:type="pct"/>
            <w:tcBorders>
              <w:top w:val="nil"/>
              <w:left w:val="nil"/>
              <w:bottom w:val="single" w:sz="4" w:space="0" w:color="auto"/>
              <w:right w:val="single" w:sz="4" w:space="0" w:color="auto"/>
            </w:tcBorders>
            <w:shd w:val="clear" w:color="000000" w:fill="FFFFFF"/>
            <w:vAlign w:val="center"/>
            <w:hideMark/>
          </w:tcPr>
          <w:p w14:paraId="05E7CC75"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w:t>
            </w:r>
          </w:p>
        </w:tc>
        <w:tc>
          <w:tcPr>
            <w:tcW w:w="1502" w:type="pct"/>
            <w:tcBorders>
              <w:top w:val="nil"/>
              <w:left w:val="nil"/>
              <w:bottom w:val="single" w:sz="4" w:space="0" w:color="auto"/>
              <w:right w:val="single" w:sz="4" w:space="0" w:color="auto"/>
            </w:tcBorders>
            <w:shd w:val="clear" w:color="000000" w:fill="FFFFFF"/>
            <w:vAlign w:val="center"/>
            <w:hideMark/>
          </w:tcPr>
          <w:p w14:paraId="289B47DF"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12311-1</w:t>
            </w:r>
          </w:p>
        </w:tc>
      </w:tr>
      <w:tr w:rsidR="00755566" w:rsidRPr="00755566" w14:paraId="35743A04" w14:textId="77777777" w:rsidTr="00755566">
        <w:trPr>
          <w:trHeight w:val="315"/>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55E30174"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Resistencia a la penetración de raíces</w:t>
            </w:r>
          </w:p>
        </w:tc>
        <w:tc>
          <w:tcPr>
            <w:tcW w:w="644" w:type="pct"/>
            <w:tcBorders>
              <w:top w:val="nil"/>
              <w:left w:val="nil"/>
              <w:bottom w:val="single" w:sz="4" w:space="0" w:color="auto"/>
              <w:right w:val="single" w:sz="4" w:space="0" w:color="auto"/>
            </w:tcBorders>
            <w:shd w:val="clear" w:color="000000" w:fill="FFFFFF"/>
            <w:vAlign w:val="center"/>
            <w:hideMark/>
          </w:tcPr>
          <w:p w14:paraId="00BBAFE9"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No Pasa</w:t>
            </w:r>
          </w:p>
        </w:tc>
        <w:tc>
          <w:tcPr>
            <w:tcW w:w="644" w:type="pct"/>
            <w:tcBorders>
              <w:top w:val="nil"/>
              <w:left w:val="nil"/>
              <w:bottom w:val="single" w:sz="4" w:space="0" w:color="auto"/>
              <w:right w:val="single" w:sz="4" w:space="0" w:color="auto"/>
            </w:tcBorders>
            <w:shd w:val="clear" w:color="000000" w:fill="FFFFFF"/>
            <w:vAlign w:val="center"/>
            <w:hideMark/>
          </w:tcPr>
          <w:p w14:paraId="3B583F48"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w:t>
            </w:r>
          </w:p>
        </w:tc>
        <w:tc>
          <w:tcPr>
            <w:tcW w:w="1502" w:type="pct"/>
            <w:tcBorders>
              <w:top w:val="nil"/>
              <w:left w:val="nil"/>
              <w:bottom w:val="single" w:sz="4" w:space="0" w:color="auto"/>
              <w:right w:val="single" w:sz="4" w:space="0" w:color="auto"/>
            </w:tcBorders>
            <w:shd w:val="clear" w:color="000000" w:fill="FFFFFF"/>
            <w:vAlign w:val="center"/>
            <w:hideMark/>
          </w:tcPr>
          <w:p w14:paraId="43808B7E"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13948</w:t>
            </w:r>
          </w:p>
        </w:tc>
      </w:tr>
      <w:tr w:rsidR="00755566" w:rsidRPr="00755566" w14:paraId="25856D1A" w14:textId="77777777" w:rsidTr="00755566">
        <w:trPr>
          <w:trHeight w:val="315"/>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46E26BBE"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Resistencia a la carga estática</w:t>
            </w:r>
          </w:p>
        </w:tc>
        <w:tc>
          <w:tcPr>
            <w:tcW w:w="644" w:type="pct"/>
            <w:tcBorders>
              <w:top w:val="nil"/>
              <w:left w:val="nil"/>
              <w:bottom w:val="single" w:sz="4" w:space="0" w:color="auto"/>
              <w:right w:val="single" w:sz="4" w:space="0" w:color="auto"/>
            </w:tcBorders>
            <w:shd w:val="clear" w:color="000000" w:fill="FFFFFF"/>
            <w:vAlign w:val="center"/>
            <w:hideMark/>
          </w:tcPr>
          <w:p w14:paraId="774C2C04"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&gt;20</w:t>
            </w:r>
          </w:p>
        </w:tc>
        <w:tc>
          <w:tcPr>
            <w:tcW w:w="644" w:type="pct"/>
            <w:tcBorders>
              <w:top w:val="nil"/>
              <w:left w:val="nil"/>
              <w:bottom w:val="single" w:sz="4" w:space="0" w:color="auto"/>
              <w:right w:val="single" w:sz="4" w:space="0" w:color="auto"/>
            </w:tcBorders>
            <w:shd w:val="clear" w:color="000000" w:fill="FFFFFF"/>
            <w:vAlign w:val="center"/>
            <w:hideMark/>
          </w:tcPr>
          <w:p w14:paraId="4041870B"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kg</w:t>
            </w:r>
          </w:p>
        </w:tc>
        <w:tc>
          <w:tcPr>
            <w:tcW w:w="1502" w:type="pct"/>
            <w:tcBorders>
              <w:top w:val="nil"/>
              <w:left w:val="nil"/>
              <w:bottom w:val="single" w:sz="4" w:space="0" w:color="auto"/>
              <w:right w:val="single" w:sz="4" w:space="0" w:color="auto"/>
            </w:tcBorders>
            <w:shd w:val="clear" w:color="000000" w:fill="FFFFFF"/>
            <w:vAlign w:val="center"/>
            <w:hideMark/>
          </w:tcPr>
          <w:p w14:paraId="2CE698EC"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12730</w:t>
            </w:r>
          </w:p>
        </w:tc>
      </w:tr>
      <w:tr w:rsidR="00755566" w:rsidRPr="00755566" w14:paraId="6B8F942E" w14:textId="77777777" w:rsidTr="00755566">
        <w:trPr>
          <w:trHeight w:val="315"/>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0AB75058"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Resistencia al impacto</w:t>
            </w:r>
          </w:p>
        </w:tc>
        <w:tc>
          <w:tcPr>
            <w:tcW w:w="644" w:type="pct"/>
            <w:tcBorders>
              <w:top w:val="nil"/>
              <w:left w:val="nil"/>
              <w:bottom w:val="single" w:sz="4" w:space="0" w:color="auto"/>
              <w:right w:val="single" w:sz="4" w:space="0" w:color="auto"/>
            </w:tcBorders>
            <w:shd w:val="clear" w:color="000000" w:fill="FFFFFF"/>
            <w:vAlign w:val="center"/>
            <w:hideMark/>
          </w:tcPr>
          <w:p w14:paraId="359207E7"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&gt;1500</w:t>
            </w:r>
          </w:p>
        </w:tc>
        <w:tc>
          <w:tcPr>
            <w:tcW w:w="644" w:type="pct"/>
            <w:tcBorders>
              <w:top w:val="nil"/>
              <w:left w:val="nil"/>
              <w:bottom w:val="single" w:sz="4" w:space="0" w:color="auto"/>
              <w:right w:val="single" w:sz="4" w:space="0" w:color="auto"/>
            </w:tcBorders>
            <w:shd w:val="clear" w:color="000000" w:fill="FFFFFF"/>
            <w:vAlign w:val="center"/>
            <w:hideMark/>
          </w:tcPr>
          <w:p w14:paraId="3E45EAC8"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mm</w:t>
            </w:r>
          </w:p>
        </w:tc>
        <w:tc>
          <w:tcPr>
            <w:tcW w:w="1502" w:type="pct"/>
            <w:tcBorders>
              <w:top w:val="nil"/>
              <w:left w:val="nil"/>
              <w:bottom w:val="single" w:sz="4" w:space="0" w:color="auto"/>
              <w:right w:val="single" w:sz="4" w:space="0" w:color="auto"/>
            </w:tcBorders>
            <w:shd w:val="clear" w:color="000000" w:fill="FFFFFF"/>
            <w:vAlign w:val="center"/>
            <w:hideMark/>
          </w:tcPr>
          <w:p w14:paraId="1B4CC789"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12691</w:t>
            </w:r>
          </w:p>
        </w:tc>
      </w:tr>
      <w:tr w:rsidR="00755566" w:rsidRPr="00755566" w14:paraId="1E3687D2" w14:textId="77777777" w:rsidTr="00755566">
        <w:trPr>
          <w:trHeight w:val="315"/>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7E349880"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Resistencia al desgarro longitudinal</w:t>
            </w:r>
          </w:p>
        </w:tc>
        <w:tc>
          <w:tcPr>
            <w:tcW w:w="644" w:type="pct"/>
            <w:tcBorders>
              <w:top w:val="nil"/>
              <w:left w:val="nil"/>
              <w:bottom w:val="single" w:sz="4" w:space="0" w:color="auto"/>
              <w:right w:val="single" w:sz="4" w:space="0" w:color="auto"/>
            </w:tcBorders>
            <w:shd w:val="clear" w:color="000000" w:fill="FFFFFF"/>
            <w:vAlign w:val="center"/>
            <w:hideMark/>
          </w:tcPr>
          <w:p w14:paraId="42CB6701"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350 ±50</w:t>
            </w:r>
          </w:p>
        </w:tc>
        <w:tc>
          <w:tcPr>
            <w:tcW w:w="644" w:type="pct"/>
            <w:tcBorders>
              <w:top w:val="nil"/>
              <w:left w:val="nil"/>
              <w:bottom w:val="single" w:sz="4" w:space="0" w:color="auto"/>
              <w:right w:val="single" w:sz="4" w:space="0" w:color="auto"/>
            </w:tcBorders>
            <w:shd w:val="clear" w:color="000000" w:fill="FFFFFF"/>
            <w:vAlign w:val="center"/>
            <w:hideMark/>
          </w:tcPr>
          <w:p w14:paraId="103B58A0"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N</w:t>
            </w:r>
          </w:p>
        </w:tc>
        <w:tc>
          <w:tcPr>
            <w:tcW w:w="1502" w:type="pct"/>
            <w:tcBorders>
              <w:top w:val="nil"/>
              <w:left w:val="nil"/>
              <w:bottom w:val="single" w:sz="4" w:space="0" w:color="auto"/>
              <w:right w:val="single" w:sz="4" w:space="0" w:color="auto"/>
            </w:tcBorders>
            <w:shd w:val="clear" w:color="000000" w:fill="FFFFFF"/>
            <w:vAlign w:val="center"/>
            <w:hideMark/>
          </w:tcPr>
          <w:p w14:paraId="4FC39BA2"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12310-1</w:t>
            </w:r>
          </w:p>
        </w:tc>
      </w:tr>
      <w:tr w:rsidR="00755566" w:rsidRPr="00755566" w14:paraId="3BB57FD1" w14:textId="77777777" w:rsidTr="00755566">
        <w:trPr>
          <w:trHeight w:val="315"/>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2D054155"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Resistencia al desgarro transversal</w:t>
            </w:r>
          </w:p>
        </w:tc>
        <w:tc>
          <w:tcPr>
            <w:tcW w:w="644" w:type="pct"/>
            <w:tcBorders>
              <w:top w:val="nil"/>
              <w:left w:val="nil"/>
              <w:bottom w:val="single" w:sz="4" w:space="0" w:color="auto"/>
              <w:right w:val="single" w:sz="4" w:space="0" w:color="auto"/>
            </w:tcBorders>
            <w:shd w:val="clear" w:color="000000" w:fill="FFFFFF"/>
            <w:vAlign w:val="center"/>
            <w:hideMark/>
          </w:tcPr>
          <w:p w14:paraId="3DA81CA4"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350 ±50</w:t>
            </w:r>
          </w:p>
        </w:tc>
        <w:tc>
          <w:tcPr>
            <w:tcW w:w="644" w:type="pct"/>
            <w:tcBorders>
              <w:top w:val="nil"/>
              <w:left w:val="nil"/>
              <w:bottom w:val="single" w:sz="4" w:space="0" w:color="auto"/>
              <w:right w:val="single" w:sz="4" w:space="0" w:color="auto"/>
            </w:tcBorders>
            <w:shd w:val="clear" w:color="000000" w:fill="FFFFFF"/>
            <w:vAlign w:val="center"/>
            <w:hideMark/>
          </w:tcPr>
          <w:p w14:paraId="755F9358"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N</w:t>
            </w:r>
          </w:p>
        </w:tc>
        <w:tc>
          <w:tcPr>
            <w:tcW w:w="1502" w:type="pct"/>
            <w:tcBorders>
              <w:top w:val="nil"/>
              <w:left w:val="nil"/>
              <w:bottom w:val="single" w:sz="4" w:space="0" w:color="auto"/>
              <w:right w:val="single" w:sz="4" w:space="0" w:color="auto"/>
            </w:tcBorders>
            <w:shd w:val="clear" w:color="000000" w:fill="FFFFFF"/>
            <w:vAlign w:val="center"/>
            <w:hideMark/>
          </w:tcPr>
          <w:p w14:paraId="6EA49A04"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12310-1</w:t>
            </w:r>
          </w:p>
        </w:tc>
      </w:tr>
      <w:tr w:rsidR="00755566" w:rsidRPr="00755566" w14:paraId="62B12BAF" w14:textId="77777777" w:rsidTr="00755566">
        <w:trPr>
          <w:trHeight w:val="315"/>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3CF55236"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Resistencia de juntas: pelado de juntas</w:t>
            </w:r>
          </w:p>
        </w:tc>
        <w:tc>
          <w:tcPr>
            <w:tcW w:w="644" w:type="pct"/>
            <w:tcBorders>
              <w:top w:val="nil"/>
              <w:left w:val="nil"/>
              <w:bottom w:val="single" w:sz="4" w:space="0" w:color="auto"/>
              <w:right w:val="single" w:sz="4" w:space="0" w:color="auto"/>
            </w:tcBorders>
            <w:shd w:val="clear" w:color="000000" w:fill="FFFFFF"/>
            <w:vAlign w:val="center"/>
            <w:hideMark/>
          </w:tcPr>
          <w:p w14:paraId="2A5FC0ED"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PND</w:t>
            </w:r>
          </w:p>
        </w:tc>
        <w:tc>
          <w:tcPr>
            <w:tcW w:w="644" w:type="pct"/>
            <w:tcBorders>
              <w:top w:val="nil"/>
              <w:left w:val="nil"/>
              <w:bottom w:val="single" w:sz="4" w:space="0" w:color="auto"/>
              <w:right w:val="single" w:sz="4" w:space="0" w:color="auto"/>
            </w:tcBorders>
            <w:shd w:val="clear" w:color="000000" w:fill="FFFFFF"/>
            <w:vAlign w:val="center"/>
            <w:hideMark/>
          </w:tcPr>
          <w:p w14:paraId="36791FBC"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w:t>
            </w:r>
          </w:p>
        </w:tc>
        <w:tc>
          <w:tcPr>
            <w:tcW w:w="1502" w:type="pct"/>
            <w:tcBorders>
              <w:top w:val="nil"/>
              <w:left w:val="nil"/>
              <w:bottom w:val="single" w:sz="4" w:space="0" w:color="auto"/>
              <w:right w:val="single" w:sz="4" w:space="0" w:color="auto"/>
            </w:tcBorders>
            <w:shd w:val="clear" w:color="000000" w:fill="FFFFFF"/>
            <w:vAlign w:val="center"/>
            <w:hideMark/>
          </w:tcPr>
          <w:p w14:paraId="5FC34EC1"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12316-1</w:t>
            </w:r>
          </w:p>
        </w:tc>
      </w:tr>
      <w:tr w:rsidR="00755566" w:rsidRPr="00755566" w14:paraId="2394E840" w14:textId="77777777" w:rsidTr="00755566">
        <w:trPr>
          <w:trHeight w:val="315"/>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41E5D627"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Resistencia de juntas: cizalla de la soldadura</w:t>
            </w:r>
          </w:p>
        </w:tc>
        <w:tc>
          <w:tcPr>
            <w:tcW w:w="644" w:type="pct"/>
            <w:tcBorders>
              <w:top w:val="nil"/>
              <w:left w:val="nil"/>
              <w:bottom w:val="single" w:sz="4" w:space="0" w:color="auto"/>
              <w:right w:val="single" w:sz="4" w:space="0" w:color="auto"/>
            </w:tcBorders>
            <w:shd w:val="clear" w:color="000000" w:fill="FFFFFF"/>
            <w:vAlign w:val="center"/>
            <w:hideMark/>
          </w:tcPr>
          <w:p w14:paraId="2955807E"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750 ± 250</w:t>
            </w:r>
          </w:p>
        </w:tc>
        <w:tc>
          <w:tcPr>
            <w:tcW w:w="644" w:type="pct"/>
            <w:tcBorders>
              <w:top w:val="nil"/>
              <w:left w:val="nil"/>
              <w:bottom w:val="single" w:sz="4" w:space="0" w:color="auto"/>
              <w:right w:val="single" w:sz="4" w:space="0" w:color="auto"/>
            </w:tcBorders>
            <w:shd w:val="clear" w:color="000000" w:fill="FFFFFF"/>
            <w:vAlign w:val="center"/>
            <w:hideMark/>
          </w:tcPr>
          <w:p w14:paraId="502F31F2"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w:t>
            </w:r>
          </w:p>
        </w:tc>
        <w:tc>
          <w:tcPr>
            <w:tcW w:w="1502" w:type="pct"/>
            <w:tcBorders>
              <w:top w:val="nil"/>
              <w:left w:val="nil"/>
              <w:bottom w:val="single" w:sz="4" w:space="0" w:color="auto"/>
              <w:right w:val="single" w:sz="4" w:space="0" w:color="auto"/>
            </w:tcBorders>
            <w:shd w:val="clear" w:color="000000" w:fill="FFFFFF"/>
            <w:vAlign w:val="center"/>
            <w:hideMark/>
          </w:tcPr>
          <w:p w14:paraId="3D9BF864"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12317-1</w:t>
            </w:r>
          </w:p>
        </w:tc>
      </w:tr>
      <w:tr w:rsidR="00755566" w:rsidRPr="00755566" w14:paraId="21CF6135" w14:textId="77777777" w:rsidTr="00755566">
        <w:trPr>
          <w:trHeight w:val="315"/>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229EA383"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Flexibilidad a bajas temperaturas</w:t>
            </w:r>
          </w:p>
        </w:tc>
        <w:tc>
          <w:tcPr>
            <w:tcW w:w="644" w:type="pct"/>
            <w:tcBorders>
              <w:top w:val="nil"/>
              <w:left w:val="nil"/>
              <w:bottom w:val="single" w:sz="4" w:space="0" w:color="auto"/>
              <w:right w:val="single" w:sz="4" w:space="0" w:color="auto"/>
            </w:tcBorders>
            <w:shd w:val="clear" w:color="000000" w:fill="FFFFFF"/>
            <w:vAlign w:val="center"/>
            <w:hideMark/>
          </w:tcPr>
          <w:p w14:paraId="3AF39E46"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&lt; -10</w:t>
            </w:r>
          </w:p>
        </w:tc>
        <w:tc>
          <w:tcPr>
            <w:tcW w:w="644" w:type="pct"/>
            <w:tcBorders>
              <w:top w:val="nil"/>
              <w:left w:val="nil"/>
              <w:bottom w:val="single" w:sz="4" w:space="0" w:color="auto"/>
              <w:right w:val="single" w:sz="4" w:space="0" w:color="auto"/>
            </w:tcBorders>
            <w:shd w:val="clear" w:color="000000" w:fill="FFFFFF"/>
            <w:vAlign w:val="center"/>
            <w:hideMark/>
          </w:tcPr>
          <w:p w14:paraId="2F0BBA6C" w14:textId="77777777" w:rsidR="00755566" w:rsidRPr="00755566" w:rsidRDefault="00755566" w:rsidP="00755566">
            <w:pPr>
              <w:jc w:val="center"/>
              <w:rPr>
                <w:rFonts w:ascii="Arial" w:hAnsi="Arial" w:cs="Arial"/>
                <w:color w:val="000000"/>
                <w:sz w:val="20"/>
                <w:szCs w:val="20"/>
              </w:rPr>
            </w:pPr>
            <w:proofErr w:type="spellStart"/>
            <w:r w:rsidRPr="00755566">
              <w:rPr>
                <w:rFonts w:ascii="Arial" w:hAnsi="Arial" w:cs="Arial"/>
                <w:color w:val="000000"/>
                <w:sz w:val="20"/>
                <w:szCs w:val="20"/>
              </w:rPr>
              <w:t>ºC</w:t>
            </w:r>
            <w:proofErr w:type="spellEnd"/>
          </w:p>
        </w:tc>
        <w:tc>
          <w:tcPr>
            <w:tcW w:w="1502" w:type="pct"/>
            <w:tcBorders>
              <w:top w:val="nil"/>
              <w:left w:val="nil"/>
              <w:bottom w:val="single" w:sz="4" w:space="0" w:color="auto"/>
              <w:right w:val="single" w:sz="4" w:space="0" w:color="auto"/>
            </w:tcBorders>
            <w:shd w:val="clear" w:color="000000" w:fill="FFFFFF"/>
            <w:vAlign w:val="center"/>
            <w:hideMark/>
          </w:tcPr>
          <w:p w14:paraId="6FFB96A6"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1109</w:t>
            </w:r>
          </w:p>
        </w:tc>
      </w:tr>
      <w:tr w:rsidR="00755566" w:rsidRPr="00755566" w14:paraId="671C2B5B" w14:textId="77777777" w:rsidTr="00755566">
        <w:trPr>
          <w:trHeight w:val="315"/>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2BD0EE52"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Factor de resistencia a la humedad</w:t>
            </w:r>
          </w:p>
        </w:tc>
        <w:tc>
          <w:tcPr>
            <w:tcW w:w="644" w:type="pct"/>
            <w:tcBorders>
              <w:top w:val="nil"/>
              <w:left w:val="nil"/>
              <w:bottom w:val="single" w:sz="4" w:space="0" w:color="auto"/>
              <w:right w:val="single" w:sz="4" w:space="0" w:color="auto"/>
            </w:tcBorders>
            <w:shd w:val="clear" w:color="000000" w:fill="FFFFFF"/>
            <w:vAlign w:val="center"/>
            <w:hideMark/>
          </w:tcPr>
          <w:p w14:paraId="09537EE2"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20.000</w:t>
            </w:r>
          </w:p>
        </w:tc>
        <w:tc>
          <w:tcPr>
            <w:tcW w:w="644" w:type="pct"/>
            <w:tcBorders>
              <w:top w:val="nil"/>
              <w:left w:val="nil"/>
              <w:bottom w:val="single" w:sz="4" w:space="0" w:color="auto"/>
              <w:right w:val="single" w:sz="4" w:space="0" w:color="auto"/>
            </w:tcBorders>
            <w:shd w:val="clear" w:color="000000" w:fill="FFFFFF"/>
            <w:vAlign w:val="center"/>
            <w:hideMark/>
          </w:tcPr>
          <w:p w14:paraId="63375554"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w:t>
            </w:r>
          </w:p>
        </w:tc>
        <w:tc>
          <w:tcPr>
            <w:tcW w:w="1502" w:type="pct"/>
            <w:tcBorders>
              <w:top w:val="nil"/>
              <w:left w:val="nil"/>
              <w:bottom w:val="single" w:sz="4" w:space="0" w:color="auto"/>
              <w:right w:val="single" w:sz="4" w:space="0" w:color="auto"/>
            </w:tcBorders>
            <w:shd w:val="clear" w:color="000000" w:fill="FFFFFF"/>
            <w:vAlign w:val="center"/>
            <w:hideMark/>
          </w:tcPr>
          <w:p w14:paraId="5CD15E51"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1931</w:t>
            </w:r>
          </w:p>
        </w:tc>
      </w:tr>
      <w:tr w:rsidR="00755566" w:rsidRPr="00755566" w14:paraId="43AAC4EE" w14:textId="77777777" w:rsidTr="00755566">
        <w:trPr>
          <w:trHeight w:val="315"/>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3EB82B68"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Sustancias peligrosas</w:t>
            </w:r>
          </w:p>
        </w:tc>
        <w:tc>
          <w:tcPr>
            <w:tcW w:w="644" w:type="pct"/>
            <w:tcBorders>
              <w:top w:val="nil"/>
              <w:left w:val="nil"/>
              <w:bottom w:val="single" w:sz="4" w:space="0" w:color="auto"/>
              <w:right w:val="single" w:sz="4" w:space="0" w:color="auto"/>
            </w:tcBorders>
            <w:shd w:val="clear" w:color="000000" w:fill="FFFFFF"/>
            <w:vAlign w:val="center"/>
            <w:hideMark/>
          </w:tcPr>
          <w:p w14:paraId="3A661D75"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PND</w:t>
            </w:r>
          </w:p>
        </w:tc>
        <w:tc>
          <w:tcPr>
            <w:tcW w:w="644" w:type="pct"/>
            <w:tcBorders>
              <w:top w:val="nil"/>
              <w:left w:val="nil"/>
              <w:bottom w:val="single" w:sz="4" w:space="0" w:color="auto"/>
              <w:right w:val="single" w:sz="4" w:space="0" w:color="auto"/>
            </w:tcBorders>
            <w:shd w:val="clear" w:color="000000" w:fill="FFFFFF"/>
            <w:vAlign w:val="center"/>
            <w:hideMark/>
          </w:tcPr>
          <w:p w14:paraId="7A84E1D3"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w:t>
            </w:r>
          </w:p>
        </w:tc>
        <w:tc>
          <w:tcPr>
            <w:tcW w:w="1502" w:type="pct"/>
            <w:tcBorders>
              <w:top w:val="nil"/>
              <w:left w:val="nil"/>
              <w:bottom w:val="single" w:sz="4" w:space="0" w:color="auto"/>
              <w:right w:val="single" w:sz="4" w:space="0" w:color="auto"/>
            </w:tcBorders>
            <w:shd w:val="clear" w:color="000000" w:fill="FFFFFF"/>
            <w:vAlign w:val="center"/>
            <w:hideMark/>
          </w:tcPr>
          <w:p w14:paraId="56D85110"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w:t>
            </w:r>
          </w:p>
        </w:tc>
      </w:tr>
      <w:tr w:rsidR="00755566" w:rsidRPr="00755566" w14:paraId="3B171D4C" w14:textId="77777777" w:rsidTr="00755566">
        <w:trPr>
          <w:trHeight w:val="315"/>
        </w:trPr>
        <w:tc>
          <w:tcPr>
            <w:tcW w:w="2210" w:type="pct"/>
            <w:tcBorders>
              <w:top w:val="nil"/>
              <w:left w:val="single" w:sz="4" w:space="0" w:color="auto"/>
              <w:bottom w:val="single" w:sz="4" w:space="0" w:color="auto"/>
              <w:right w:val="single" w:sz="4" w:space="0" w:color="auto"/>
            </w:tcBorders>
            <w:shd w:val="clear" w:color="000000" w:fill="FFFFFF"/>
            <w:vAlign w:val="center"/>
            <w:hideMark/>
          </w:tcPr>
          <w:p w14:paraId="0951AA71" w14:textId="77777777" w:rsidR="00755566" w:rsidRPr="00755566" w:rsidRDefault="00755566" w:rsidP="00755566">
            <w:pPr>
              <w:rPr>
                <w:rFonts w:ascii="Arial" w:hAnsi="Arial" w:cs="Arial"/>
                <w:color w:val="000000"/>
                <w:sz w:val="20"/>
                <w:szCs w:val="20"/>
              </w:rPr>
            </w:pPr>
            <w:r w:rsidRPr="00755566">
              <w:rPr>
                <w:rFonts w:ascii="Arial" w:hAnsi="Arial" w:cs="Arial"/>
                <w:color w:val="000000"/>
                <w:sz w:val="20"/>
                <w:szCs w:val="20"/>
              </w:rPr>
              <w:t>Durabilidad flexibilidad</w:t>
            </w:r>
          </w:p>
        </w:tc>
        <w:tc>
          <w:tcPr>
            <w:tcW w:w="644" w:type="pct"/>
            <w:tcBorders>
              <w:top w:val="nil"/>
              <w:left w:val="nil"/>
              <w:bottom w:val="single" w:sz="4" w:space="0" w:color="auto"/>
              <w:right w:val="single" w:sz="4" w:space="0" w:color="auto"/>
            </w:tcBorders>
            <w:shd w:val="clear" w:color="000000" w:fill="FFFFFF"/>
            <w:vAlign w:val="center"/>
            <w:hideMark/>
          </w:tcPr>
          <w:p w14:paraId="1D046B92"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-5 ± 5</w:t>
            </w:r>
          </w:p>
        </w:tc>
        <w:tc>
          <w:tcPr>
            <w:tcW w:w="644" w:type="pct"/>
            <w:tcBorders>
              <w:top w:val="nil"/>
              <w:left w:val="nil"/>
              <w:bottom w:val="single" w:sz="4" w:space="0" w:color="auto"/>
              <w:right w:val="single" w:sz="4" w:space="0" w:color="auto"/>
            </w:tcBorders>
            <w:shd w:val="clear" w:color="000000" w:fill="FFFFFF"/>
            <w:vAlign w:val="center"/>
            <w:hideMark/>
          </w:tcPr>
          <w:p w14:paraId="4D9F948F" w14:textId="77777777" w:rsidR="00755566" w:rsidRPr="00755566" w:rsidRDefault="00755566" w:rsidP="00755566">
            <w:pPr>
              <w:jc w:val="center"/>
              <w:rPr>
                <w:rFonts w:ascii="Arial" w:hAnsi="Arial" w:cs="Arial"/>
                <w:color w:val="000000"/>
                <w:sz w:val="20"/>
                <w:szCs w:val="20"/>
              </w:rPr>
            </w:pPr>
            <w:proofErr w:type="spellStart"/>
            <w:r w:rsidRPr="00755566">
              <w:rPr>
                <w:rFonts w:ascii="Arial" w:hAnsi="Arial" w:cs="Arial"/>
                <w:color w:val="000000"/>
                <w:sz w:val="20"/>
                <w:szCs w:val="20"/>
              </w:rPr>
              <w:t>ºC</w:t>
            </w:r>
            <w:proofErr w:type="spellEnd"/>
          </w:p>
        </w:tc>
        <w:tc>
          <w:tcPr>
            <w:tcW w:w="1502" w:type="pct"/>
            <w:tcBorders>
              <w:top w:val="nil"/>
              <w:left w:val="nil"/>
              <w:bottom w:val="single" w:sz="4" w:space="0" w:color="auto"/>
              <w:right w:val="single" w:sz="4" w:space="0" w:color="auto"/>
            </w:tcBorders>
            <w:shd w:val="clear" w:color="000000" w:fill="FFFFFF"/>
            <w:vAlign w:val="center"/>
            <w:hideMark/>
          </w:tcPr>
          <w:p w14:paraId="7E130797" w14:textId="77777777" w:rsidR="00755566" w:rsidRPr="00755566" w:rsidRDefault="00755566" w:rsidP="00755566">
            <w:pPr>
              <w:jc w:val="center"/>
              <w:rPr>
                <w:rFonts w:ascii="Arial" w:hAnsi="Arial" w:cs="Arial"/>
                <w:color w:val="000000"/>
                <w:sz w:val="20"/>
                <w:szCs w:val="20"/>
              </w:rPr>
            </w:pPr>
            <w:r w:rsidRPr="00755566">
              <w:rPr>
                <w:rFonts w:ascii="Arial" w:hAnsi="Arial" w:cs="Arial"/>
                <w:color w:val="000000"/>
                <w:sz w:val="20"/>
                <w:szCs w:val="20"/>
              </w:rPr>
              <w:t>UNE-EN 1109</w:t>
            </w:r>
          </w:p>
        </w:tc>
      </w:tr>
    </w:tbl>
    <w:p w14:paraId="00CBC6C1" w14:textId="77777777" w:rsidR="00295963" w:rsidRPr="006937C2" w:rsidRDefault="00295963" w:rsidP="000313DD">
      <w:pPr>
        <w:pStyle w:val="TITU2"/>
      </w:pPr>
      <w:bookmarkStart w:id="896" w:name="_Toc480903370"/>
      <w:bookmarkStart w:id="897" w:name="_Toc404484"/>
      <w:r>
        <w:t>690</w:t>
      </w:r>
      <w:r w:rsidRPr="006937C2">
        <w:t>.5.</w:t>
      </w:r>
      <w:r>
        <w:t xml:space="preserve"> </w:t>
      </w:r>
      <w:r w:rsidRPr="006937C2">
        <w:tab/>
        <w:t>Ejecución</w:t>
      </w:r>
      <w:bookmarkEnd w:id="896"/>
      <w:r w:rsidRPr="006937C2">
        <w:t xml:space="preserve"> </w:t>
      </w:r>
      <w:r>
        <w:t>de las obras</w:t>
      </w:r>
      <w:bookmarkEnd w:id="897"/>
    </w:p>
    <w:p w14:paraId="24947AEF" w14:textId="77777777" w:rsidR="00295963" w:rsidRPr="006937C2" w:rsidRDefault="00295963" w:rsidP="00295963">
      <w:pPr>
        <w:pStyle w:val="NORMAL12"/>
      </w:pPr>
      <w:r w:rsidRPr="006937C2">
        <w:t>Para garantizar la estanqueidad del tablero, se impermeabilizará mediante una solución monocapa de lámina bituminosa SBS de 6kg/m</w:t>
      </w:r>
      <w:r w:rsidRPr="00241CBC">
        <w:rPr>
          <w:vertAlign w:val="superscript"/>
        </w:rPr>
        <w:t>2</w:t>
      </w:r>
      <w:r w:rsidRPr="006937C2">
        <w:t xml:space="preserve"> de densidad, con autoprotección mineral en superficie, sobre imprimación asfáltica, para conseguir una mayor compacidad, regularidad e impermeabilización.</w:t>
      </w:r>
    </w:p>
    <w:p w14:paraId="6F3CEBBA" w14:textId="77777777" w:rsidR="00295963" w:rsidRPr="006937C2" w:rsidRDefault="00295963" w:rsidP="00295963">
      <w:pPr>
        <w:pStyle w:val="NORMAL12"/>
      </w:pPr>
      <w:r w:rsidRPr="006937C2">
        <w:t xml:space="preserve">Primeramente, se realizará una imprimación del soporte aplicando una emulsión asfáltica de base acuosa en frío, sin diluir, mediante brocha, rodillo o cepillo de pintor. </w:t>
      </w:r>
    </w:p>
    <w:p w14:paraId="0F2C4029" w14:textId="77777777" w:rsidR="00295963" w:rsidRPr="006937C2" w:rsidRDefault="00295963" w:rsidP="00295963">
      <w:pPr>
        <w:pStyle w:val="NORMAL12"/>
      </w:pPr>
      <w:r w:rsidRPr="006937C2">
        <w:t xml:space="preserve">Para garantizar una adherencia de la lámina superior a los 0,4 </w:t>
      </w:r>
      <w:proofErr w:type="spellStart"/>
      <w:r w:rsidRPr="006937C2">
        <w:t>Mpa</w:t>
      </w:r>
      <w:proofErr w:type="spellEnd"/>
      <w:r w:rsidRPr="006937C2">
        <w:t xml:space="preserve"> como se requiere en las normas, es imprescindible que el soporte este limpio y seco, libre de cualquier sustancia y que se aplique la imprimación en </w:t>
      </w:r>
      <w:r>
        <w:t xml:space="preserve">frío </w:t>
      </w:r>
      <w:r w:rsidRPr="006937C2">
        <w:t>a razón de 350 g/m</w:t>
      </w:r>
      <w:r w:rsidRPr="00D921B6">
        <w:rPr>
          <w:vertAlign w:val="superscript"/>
        </w:rPr>
        <w:t>2</w:t>
      </w:r>
      <w:r w:rsidRPr="006937C2">
        <w:t>. Además, se requiere que el hormigón tenga un mínimo de 2 semanas.</w:t>
      </w:r>
    </w:p>
    <w:p w14:paraId="2FA6313F" w14:textId="77777777" w:rsidR="00295963" w:rsidRPr="006937C2" w:rsidRDefault="00295963" w:rsidP="00295963">
      <w:pPr>
        <w:pStyle w:val="NORMAL12"/>
      </w:pPr>
      <w:r w:rsidRPr="006937C2">
        <w:t xml:space="preserve">Sobre dicha imprimación, se dispondrá una lámina impermeabilizante de betún </w:t>
      </w:r>
      <w:proofErr w:type="spellStart"/>
      <w:r w:rsidRPr="006937C2">
        <w:t>elastomérico</w:t>
      </w:r>
      <w:proofErr w:type="spellEnd"/>
      <w:r w:rsidRPr="006937C2">
        <w:t xml:space="preserve"> SBS de 6 kg/m</w:t>
      </w:r>
      <w:r w:rsidRPr="00241CBC">
        <w:rPr>
          <w:vertAlign w:val="superscript"/>
        </w:rPr>
        <w:t>2</w:t>
      </w:r>
      <w:r w:rsidRPr="006937C2">
        <w:t xml:space="preserve">. Esta última capa deberá tener un acabado mineral en la capa exterior y un </w:t>
      </w:r>
      <w:proofErr w:type="gramStart"/>
      <w:r w:rsidRPr="006937C2">
        <w:t>film</w:t>
      </w:r>
      <w:proofErr w:type="gramEnd"/>
      <w:r w:rsidRPr="006937C2">
        <w:t xml:space="preserve"> termofusible en la interior.</w:t>
      </w:r>
    </w:p>
    <w:p w14:paraId="15BC1B40" w14:textId="77777777" w:rsidR="00295963" w:rsidRPr="006937C2" w:rsidRDefault="00295963" w:rsidP="00295963">
      <w:pPr>
        <w:pStyle w:val="NORMAL12"/>
      </w:pPr>
      <w:r w:rsidRPr="006937C2">
        <w:lastRenderedPageBreak/>
        <w:t>El Contratista se asegurará de la total estanqueidad del tablero, para lo cual se realizará una prueba de estanqueidad que contará con la supervisión de la Dirección de</w:t>
      </w:r>
      <w:r>
        <w:t xml:space="preserve"> Obra</w:t>
      </w:r>
      <w:r w:rsidRPr="006937C2">
        <w:t>.</w:t>
      </w:r>
    </w:p>
    <w:p w14:paraId="6C6E2629" w14:textId="77777777" w:rsidR="00295963" w:rsidRPr="003E400D" w:rsidRDefault="00295963" w:rsidP="00295963">
      <w:pPr>
        <w:pStyle w:val="NORMAL12"/>
        <w:rPr>
          <w:i/>
          <w:u w:val="single"/>
        </w:rPr>
      </w:pPr>
      <w:r w:rsidRPr="003E400D">
        <w:rPr>
          <w:i/>
          <w:u w:val="single"/>
        </w:rPr>
        <w:t>Condiciones de aplicación</w:t>
      </w:r>
    </w:p>
    <w:p w14:paraId="58BAF0C6" w14:textId="77777777" w:rsidR="00295963" w:rsidRPr="006937C2" w:rsidRDefault="00295963" w:rsidP="00295963">
      <w:pPr>
        <w:pStyle w:val="NORMAL12"/>
      </w:pPr>
      <w:r w:rsidRPr="006937C2">
        <w:t>La aplicación de la lámina está prohibida con temperatura ambiental inferior a 0ºC. Si la temperatura ambiental en el momento de la instalación está entre 1ºC y 5ºC se deberá asegurar que la temperatura del soporte sea de mínimo 2ºC.</w:t>
      </w:r>
    </w:p>
    <w:p w14:paraId="16B3BBC4" w14:textId="77777777" w:rsidR="00295963" w:rsidRPr="006937C2" w:rsidRDefault="00295963" w:rsidP="00295963">
      <w:pPr>
        <w:pStyle w:val="NORMAL12"/>
      </w:pPr>
      <w:r w:rsidRPr="006937C2">
        <w:t xml:space="preserve">La temperatura ambiental máxima autorizada para la instalación de la lámina es de 120 </w:t>
      </w:r>
      <w:proofErr w:type="spellStart"/>
      <w:r w:rsidRPr="006937C2">
        <w:t>ºC</w:t>
      </w:r>
      <w:proofErr w:type="spellEnd"/>
      <w:r w:rsidRPr="006937C2">
        <w:t xml:space="preserve"> (+/- 8).</w:t>
      </w:r>
    </w:p>
    <w:p w14:paraId="08370DE5" w14:textId="77777777" w:rsidR="00295963" w:rsidRPr="006937C2" w:rsidRDefault="00295963" w:rsidP="00295963">
      <w:pPr>
        <w:pStyle w:val="NORMAL12"/>
      </w:pPr>
      <w:r w:rsidRPr="006937C2">
        <w:t>Queda prohibida la aplicación bajo lluvia o nieve. Estos 2 factores no afectan directamente a la lámina, pero sí al soporte que pueda absorber agua. Esto posibilitaría que quedase agua retenida en el soporte, lo cual forzaría su evaporación y crearía hinchazones en la capa de aglomerado. Una vez instalada la lámina sobre toda la superficie a impermeabilizar no hay problema si se queda a la intemperie.</w:t>
      </w:r>
    </w:p>
    <w:p w14:paraId="431CCCCE" w14:textId="77777777" w:rsidR="00295963" w:rsidRPr="006937C2" w:rsidRDefault="00295963" w:rsidP="000313DD">
      <w:pPr>
        <w:pStyle w:val="TITU2"/>
      </w:pPr>
      <w:bookmarkStart w:id="898" w:name="_Toc480903371"/>
      <w:bookmarkStart w:id="899" w:name="_Toc531005927"/>
      <w:bookmarkStart w:id="900" w:name="_Toc404485"/>
      <w:r>
        <w:t xml:space="preserve">690.6. </w:t>
      </w:r>
      <w:r w:rsidRPr="006937C2">
        <w:tab/>
        <w:t>Recepción</w:t>
      </w:r>
      <w:bookmarkEnd w:id="898"/>
      <w:bookmarkEnd w:id="899"/>
      <w:bookmarkEnd w:id="900"/>
      <w:r w:rsidRPr="006937C2">
        <w:t xml:space="preserve"> </w:t>
      </w:r>
    </w:p>
    <w:p w14:paraId="42E9C0AB" w14:textId="77777777" w:rsidR="00295963" w:rsidRPr="006937C2" w:rsidRDefault="00295963" w:rsidP="00295963">
      <w:pPr>
        <w:pStyle w:val="NORMAL12"/>
      </w:pPr>
      <w:r w:rsidRPr="006937C2">
        <w:t xml:space="preserve">La </w:t>
      </w:r>
      <w:r>
        <w:t>Dirección de Obra</w:t>
      </w:r>
      <w:r w:rsidRPr="006937C2">
        <w:t xml:space="preserve"> o persona en quien ésta delegue verificará las siguientes especificaciones de la unidad de obra terminada:</w:t>
      </w:r>
    </w:p>
    <w:p w14:paraId="1C91450D" w14:textId="77777777" w:rsidR="00295963" w:rsidRPr="006937C2" w:rsidRDefault="00295963" w:rsidP="00295963">
      <w:pPr>
        <w:pStyle w:val="NORMAL12"/>
        <w:numPr>
          <w:ilvl w:val="0"/>
          <w:numId w:val="61"/>
        </w:numPr>
      </w:pPr>
      <w:r w:rsidRPr="006937C2">
        <w:t>Prueba de estanqueidad: Se regará mediante tractor cuba o manguera a caudal constante un tramo durante un periodo de 10 minutos. En este supuesto, el tablero deberá manifestar un comportamiento estanco, no produciéndose filtraciones de agua por zonas indebidas.</w:t>
      </w:r>
    </w:p>
    <w:p w14:paraId="0C12D0E7" w14:textId="77777777" w:rsidR="00295963" w:rsidRPr="006937C2" w:rsidRDefault="00295963" w:rsidP="000313DD">
      <w:pPr>
        <w:pStyle w:val="TITU2"/>
      </w:pPr>
      <w:bookmarkStart w:id="901" w:name="_Toc480903372"/>
      <w:bookmarkStart w:id="902" w:name="_Toc531005928"/>
      <w:bookmarkStart w:id="903" w:name="_Toc404486"/>
      <w:r>
        <w:t xml:space="preserve">690.7. </w:t>
      </w:r>
      <w:r w:rsidRPr="006937C2">
        <w:tab/>
        <w:t>Control de calidad</w:t>
      </w:r>
      <w:bookmarkEnd w:id="901"/>
      <w:bookmarkEnd w:id="902"/>
      <w:bookmarkEnd w:id="903"/>
    </w:p>
    <w:p w14:paraId="48E4E4D7" w14:textId="77777777" w:rsidR="00295963" w:rsidRPr="006937C2" w:rsidRDefault="00295963" w:rsidP="00295963">
      <w:pPr>
        <w:pStyle w:val="NORMAL12"/>
      </w:pPr>
      <w:r w:rsidRPr="006937C2">
        <w:t>En el caso de que los materiales y productos dispongan de marcado CE según la directiva 89/106CEE, se comprobará su conformidad mediante la verificación documental de que los valores declarados en los documentos que acompañan al citado marcado CE son acordes a las especificaciones contempladas en el Informe Técnico de Reparación.</w:t>
      </w:r>
    </w:p>
    <w:p w14:paraId="102BEB6B" w14:textId="77777777" w:rsidR="00295963" w:rsidRPr="006937C2" w:rsidRDefault="00295963" w:rsidP="00295963">
      <w:pPr>
        <w:pStyle w:val="NORMAL12"/>
      </w:pPr>
      <w:r w:rsidRPr="006937C2">
        <w:t xml:space="preserve">La Dirección </w:t>
      </w:r>
      <w:r>
        <w:t>de Obra</w:t>
      </w:r>
      <w:r w:rsidRPr="006937C2">
        <w:t>, en el uso de sus atribuciones, podrá disponer en cualquier momento la realización de comprobaciones o ensayos sobre los materiales y productos que se empleen en la reparación.</w:t>
      </w:r>
    </w:p>
    <w:p w14:paraId="7FF31D24" w14:textId="77777777" w:rsidR="00295963" w:rsidRPr="006937C2" w:rsidRDefault="00295963" w:rsidP="00295963">
      <w:pPr>
        <w:pStyle w:val="NORMAL12"/>
      </w:pPr>
      <w:r w:rsidRPr="006937C2">
        <w:t>En el caso de productos que no dispongan de marcado CE, la comprobación de su conformidad incluirá:</w:t>
      </w:r>
    </w:p>
    <w:p w14:paraId="2CB1F3E7" w14:textId="77777777" w:rsidR="00295963" w:rsidRPr="006937C2" w:rsidRDefault="00295963" w:rsidP="00295963">
      <w:pPr>
        <w:pStyle w:val="NORMAL12"/>
        <w:numPr>
          <w:ilvl w:val="0"/>
          <w:numId w:val="61"/>
        </w:numPr>
      </w:pPr>
      <w:r w:rsidRPr="006937C2">
        <w:t>Un control documental</w:t>
      </w:r>
    </w:p>
    <w:p w14:paraId="41E6A847" w14:textId="77777777" w:rsidR="00295963" w:rsidRPr="006937C2" w:rsidRDefault="00295963" w:rsidP="00295963">
      <w:pPr>
        <w:pStyle w:val="NORMAL12"/>
        <w:numPr>
          <w:ilvl w:val="0"/>
          <w:numId w:val="61"/>
        </w:numPr>
      </w:pPr>
      <w:r w:rsidRPr="006937C2">
        <w:t>En su caso, control mediante distintivos de calidad o procedimientos que garanticen un nivel de garantía adicional equivalente</w:t>
      </w:r>
    </w:p>
    <w:p w14:paraId="48D290F2" w14:textId="77777777" w:rsidR="00295963" w:rsidRPr="006937C2" w:rsidRDefault="00295963" w:rsidP="00295963">
      <w:pPr>
        <w:pStyle w:val="NORMAL12"/>
        <w:numPr>
          <w:ilvl w:val="0"/>
          <w:numId w:val="61"/>
        </w:numPr>
      </w:pPr>
      <w:r w:rsidRPr="006937C2">
        <w:t>En su caso, un control experimental mediante la realización de ensayo definidos por las siguientes normas:</w:t>
      </w:r>
    </w:p>
    <w:p w14:paraId="510F75FF" w14:textId="77777777" w:rsidR="00295963" w:rsidRPr="006937C2" w:rsidRDefault="00295963" w:rsidP="00295963">
      <w:pPr>
        <w:pStyle w:val="NORMAL12"/>
        <w:rPr>
          <w:i/>
          <w:u w:val="single"/>
        </w:rPr>
      </w:pPr>
      <w:r w:rsidRPr="006937C2">
        <w:rPr>
          <w:i/>
          <w:u w:val="single"/>
        </w:rPr>
        <w:t xml:space="preserve">Lámina de impermeabilización </w:t>
      </w:r>
    </w:p>
    <w:p w14:paraId="592E888F" w14:textId="77777777" w:rsidR="00295963" w:rsidRPr="006937C2" w:rsidRDefault="00295963" w:rsidP="00295963">
      <w:pPr>
        <w:pStyle w:val="NORMAL12"/>
      </w:pPr>
      <w:r w:rsidRPr="006937C2">
        <w:t>Se ha previsto en el presente Proyecto la realización de los siguientes ensayos, por cada diez mil (10.000 m</w:t>
      </w:r>
      <w:r w:rsidRPr="00241CBC">
        <w:rPr>
          <w:vertAlign w:val="superscript"/>
        </w:rPr>
        <w:t>2</w:t>
      </w:r>
      <w:r w:rsidRPr="006937C2">
        <w:t>) de zona con las mismas características, o por zona si esta es menor.</w:t>
      </w: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62"/>
        <w:gridCol w:w="2580"/>
      </w:tblGrid>
      <w:tr w:rsidR="00295963" w:rsidRPr="006937C2" w14:paraId="0CD21ADB" w14:textId="77777777" w:rsidTr="00700A29">
        <w:trPr>
          <w:trHeight w:val="355"/>
          <w:tblHeader/>
        </w:trPr>
        <w:tc>
          <w:tcPr>
            <w:tcW w:w="6062" w:type="dxa"/>
            <w:shd w:val="clear" w:color="auto" w:fill="D9D9D9" w:themeFill="background1" w:themeFillShade="D9"/>
            <w:vAlign w:val="center"/>
          </w:tcPr>
          <w:p w14:paraId="6939B661" w14:textId="77777777" w:rsidR="00295963" w:rsidRPr="00534B6E" w:rsidRDefault="00295963" w:rsidP="00700A29">
            <w:pPr>
              <w:jc w:val="center"/>
              <w:rPr>
                <w:rFonts w:ascii="Arial" w:hAnsi="Arial" w:cs="Arial"/>
                <w:b/>
                <w:sz w:val="20"/>
                <w:szCs w:val="20"/>
              </w:rPr>
            </w:pPr>
            <w:r w:rsidRPr="00534B6E">
              <w:rPr>
                <w:rFonts w:ascii="Arial" w:hAnsi="Arial" w:cs="Arial"/>
                <w:b/>
                <w:sz w:val="20"/>
                <w:szCs w:val="20"/>
              </w:rPr>
              <w:t>Características</w:t>
            </w:r>
          </w:p>
        </w:tc>
        <w:tc>
          <w:tcPr>
            <w:tcW w:w="2580" w:type="dxa"/>
            <w:shd w:val="clear" w:color="auto" w:fill="D9D9D9" w:themeFill="background1" w:themeFillShade="D9"/>
            <w:vAlign w:val="center"/>
          </w:tcPr>
          <w:p w14:paraId="66169EAC" w14:textId="77777777" w:rsidR="00295963" w:rsidRPr="00534B6E" w:rsidRDefault="00295963" w:rsidP="00700A29">
            <w:pPr>
              <w:jc w:val="center"/>
              <w:rPr>
                <w:rFonts w:ascii="Arial" w:hAnsi="Arial" w:cs="Arial"/>
                <w:b/>
                <w:sz w:val="20"/>
                <w:szCs w:val="20"/>
              </w:rPr>
            </w:pPr>
            <w:r w:rsidRPr="00534B6E">
              <w:rPr>
                <w:rFonts w:ascii="Arial" w:hAnsi="Arial" w:cs="Arial"/>
                <w:b/>
                <w:sz w:val="20"/>
                <w:szCs w:val="20"/>
              </w:rPr>
              <w:t>Normas de ensayo</w:t>
            </w:r>
          </w:p>
        </w:tc>
      </w:tr>
      <w:tr w:rsidR="00295963" w:rsidRPr="006937C2" w14:paraId="4D4F0ADB" w14:textId="77777777" w:rsidTr="00700A29">
        <w:trPr>
          <w:trHeight w:val="355"/>
        </w:trPr>
        <w:tc>
          <w:tcPr>
            <w:tcW w:w="6062" w:type="dxa"/>
            <w:vAlign w:val="center"/>
          </w:tcPr>
          <w:p w14:paraId="735D0C63" w14:textId="77777777" w:rsidR="00295963" w:rsidRPr="008B7069" w:rsidRDefault="00295963" w:rsidP="00755566">
            <w:pPr>
              <w:pStyle w:val="Tabla"/>
              <w:jc w:val="left"/>
            </w:pPr>
            <w:r w:rsidRPr="008B7069">
              <w:t xml:space="preserve">Determinación de espesor y masa por unidad de superficie </w:t>
            </w:r>
          </w:p>
        </w:tc>
        <w:tc>
          <w:tcPr>
            <w:tcW w:w="2580" w:type="dxa"/>
            <w:vAlign w:val="center"/>
          </w:tcPr>
          <w:p w14:paraId="53B12115" w14:textId="77777777" w:rsidR="00295963" w:rsidRPr="008B7069" w:rsidRDefault="00295963" w:rsidP="00700A29">
            <w:pPr>
              <w:pStyle w:val="Tabla"/>
            </w:pPr>
            <w:r w:rsidRPr="008B7069">
              <w:t>UNE</w:t>
            </w:r>
            <w:r>
              <w:t>-</w:t>
            </w:r>
            <w:r w:rsidRPr="008B7069">
              <w:t>EN 1849-1</w:t>
            </w:r>
          </w:p>
        </w:tc>
      </w:tr>
      <w:tr w:rsidR="00295963" w:rsidRPr="006937C2" w14:paraId="3E1A10F3" w14:textId="77777777" w:rsidTr="00700A29">
        <w:trPr>
          <w:trHeight w:val="355"/>
        </w:trPr>
        <w:tc>
          <w:tcPr>
            <w:tcW w:w="6062" w:type="dxa"/>
            <w:vAlign w:val="center"/>
          </w:tcPr>
          <w:p w14:paraId="6C60406F" w14:textId="77777777" w:rsidR="00295963" w:rsidRPr="008B7069" w:rsidRDefault="00295963" w:rsidP="00755566">
            <w:pPr>
              <w:pStyle w:val="Tabla"/>
              <w:jc w:val="left"/>
            </w:pPr>
            <w:r w:rsidRPr="008B7069">
              <w:t>Tracción y alargamiento en rotura</w:t>
            </w:r>
          </w:p>
        </w:tc>
        <w:tc>
          <w:tcPr>
            <w:tcW w:w="2580" w:type="dxa"/>
            <w:vAlign w:val="center"/>
          </w:tcPr>
          <w:p w14:paraId="4394CA1A" w14:textId="77777777" w:rsidR="00295963" w:rsidRPr="008B7069" w:rsidRDefault="00295963" w:rsidP="00700A29">
            <w:pPr>
              <w:pStyle w:val="Tabla"/>
            </w:pPr>
            <w:r w:rsidRPr="008B7069">
              <w:t>UNE</w:t>
            </w:r>
            <w:r>
              <w:t>-</w:t>
            </w:r>
            <w:r w:rsidRPr="008B7069">
              <w:t>EN 12311-1</w:t>
            </w:r>
          </w:p>
        </w:tc>
      </w:tr>
      <w:tr w:rsidR="00295963" w:rsidRPr="006937C2" w14:paraId="02DF9DD4" w14:textId="77777777" w:rsidTr="00700A29">
        <w:trPr>
          <w:trHeight w:val="355"/>
        </w:trPr>
        <w:tc>
          <w:tcPr>
            <w:tcW w:w="6062" w:type="dxa"/>
            <w:vAlign w:val="center"/>
          </w:tcPr>
          <w:p w14:paraId="09091B63" w14:textId="77777777" w:rsidR="00295963" w:rsidRPr="008B7069" w:rsidRDefault="00295963" w:rsidP="00755566">
            <w:pPr>
              <w:pStyle w:val="Tabla"/>
              <w:jc w:val="left"/>
            </w:pPr>
            <w:r w:rsidRPr="008B7069">
              <w:t xml:space="preserve">Comprobación de la </w:t>
            </w:r>
            <w:proofErr w:type="spellStart"/>
            <w:r w:rsidRPr="008B7069">
              <w:t>plegabilidad</w:t>
            </w:r>
            <w:proofErr w:type="spellEnd"/>
            <w:r w:rsidRPr="008B7069">
              <w:t xml:space="preserve"> a diferentes temperaturas</w:t>
            </w:r>
          </w:p>
        </w:tc>
        <w:tc>
          <w:tcPr>
            <w:tcW w:w="2580" w:type="dxa"/>
            <w:vAlign w:val="center"/>
          </w:tcPr>
          <w:p w14:paraId="3D6C6807" w14:textId="77777777" w:rsidR="00295963" w:rsidRPr="008B7069" w:rsidRDefault="00295963" w:rsidP="00700A29">
            <w:pPr>
              <w:pStyle w:val="Tabla"/>
            </w:pPr>
            <w:r w:rsidRPr="008B7069">
              <w:t>UNE</w:t>
            </w:r>
            <w:r>
              <w:t>-</w:t>
            </w:r>
            <w:r w:rsidRPr="008B7069">
              <w:t>EN 104281-1</w:t>
            </w:r>
          </w:p>
        </w:tc>
      </w:tr>
      <w:tr w:rsidR="00295963" w:rsidRPr="006937C2" w14:paraId="1EAD0DB5" w14:textId="77777777" w:rsidTr="00700A29">
        <w:trPr>
          <w:trHeight w:val="355"/>
        </w:trPr>
        <w:tc>
          <w:tcPr>
            <w:tcW w:w="6062" w:type="dxa"/>
            <w:vAlign w:val="center"/>
          </w:tcPr>
          <w:p w14:paraId="57B673DA" w14:textId="77777777" w:rsidR="00295963" w:rsidRPr="008B7069" w:rsidRDefault="00295963" w:rsidP="00755566">
            <w:pPr>
              <w:pStyle w:val="Tabla"/>
              <w:jc w:val="left"/>
            </w:pPr>
            <w:r w:rsidRPr="008B7069">
              <w:t>Resistencia al calor y pérdida por calentamiento</w:t>
            </w:r>
          </w:p>
        </w:tc>
        <w:tc>
          <w:tcPr>
            <w:tcW w:w="2580" w:type="dxa"/>
            <w:vAlign w:val="center"/>
          </w:tcPr>
          <w:p w14:paraId="0D8767FD" w14:textId="77777777" w:rsidR="00295963" w:rsidRPr="008B7069" w:rsidRDefault="00295963" w:rsidP="00700A29">
            <w:pPr>
              <w:pStyle w:val="Tabla"/>
            </w:pPr>
            <w:r w:rsidRPr="008B7069">
              <w:t>UNE</w:t>
            </w:r>
            <w:r>
              <w:t>-</w:t>
            </w:r>
            <w:r w:rsidRPr="008B7069">
              <w:t>EN 104281-6-4</w:t>
            </w:r>
          </w:p>
        </w:tc>
      </w:tr>
      <w:tr w:rsidR="00295963" w:rsidRPr="006937C2" w14:paraId="15DEFBEF" w14:textId="77777777" w:rsidTr="00700A29">
        <w:trPr>
          <w:trHeight w:val="355"/>
        </w:trPr>
        <w:tc>
          <w:tcPr>
            <w:tcW w:w="6062" w:type="dxa"/>
            <w:vAlign w:val="center"/>
          </w:tcPr>
          <w:p w14:paraId="6FF3A674" w14:textId="77777777" w:rsidR="00295963" w:rsidRPr="008B7069" w:rsidRDefault="00295963" w:rsidP="00755566">
            <w:pPr>
              <w:pStyle w:val="Tabla"/>
              <w:jc w:val="left"/>
            </w:pPr>
            <w:r w:rsidRPr="008B7069">
              <w:t>Estabilidad dimensional</w:t>
            </w:r>
          </w:p>
        </w:tc>
        <w:tc>
          <w:tcPr>
            <w:tcW w:w="2580" w:type="dxa"/>
            <w:vAlign w:val="center"/>
          </w:tcPr>
          <w:p w14:paraId="714597D7" w14:textId="77777777" w:rsidR="00295963" w:rsidRPr="008B7069" w:rsidRDefault="00295963" w:rsidP="00700A29">
            <w:pPr>
              <w:pStyle w:val="Tabla"/>
            </w:pPr>
            <w:r w:rsidRPr="008B7069">
              <w:t>UNE</w:t>
            </w:r>
            <w:r>
              <w:t>-</w:t>
            </w:r>
            <w:r w:rsidRPr="008B7069">
              <w:t>EN 104281-6-3</w:t>
            </w:r>
          </w:p>
        </w:tc>
      </w:tr>
      <w:tr w:rsidR="00295963" w:rsidRPr="006937C2" w14:paraId="11FFFEC6" w14:textId="77777777" w:rsidTr="00700A29">
        <w:trPr>
          <w:trHeight w:val="355"/>
        </w:trPr>
        <w:tc>
          <w:tcPr>
            <w:tcW w:w="6062" w:type="dxa"/>
            <w:vAlign w:val="center"/>
          </w:tcPr>
          <w:p w14:paraId="2673B7CC" w14:textId="77777777" w:rsidR="00295963" w:rsidRPr="008B7069" w:rsidRDefault="00295963" w:rsidP="00755566">
            <w:pPr>
              <w:pStyle w:val="Tabla"/>
              <w:jc w:val="left"/>
            </w:pPr>
            <w:r w:rsidRPr="008B7069">
              <w:t>Grado de absorción de agua</w:t>
            </w:r>
          </w:p>
        </w:tc>
        <w:tc>
          <w:tcPr>
            <w:tcW w:w="2580" w:type="dxa"/>
            <w:vAlign w:val="center"/>
          </w:tcPr>
          <w:p w14:paraId="405EDAE3" w14:textId="77777777" w:rsidR="00295963" w:rsidRPr="008B7069" w:rsidRDefault="00295963" w:rsidP="00700A29">
            <w:pPr>
              <w:pStyle w:val="Tabla"/>
            </w:pPr>
            <w:r w:rsidRPr="008B7069">
              <w:t>UNE</w:t>
            </w:r>
            <w:r>
              <w:t>-</w:t>
            </w:r>
            <w:r w:rsidRPr="008B7069">
              <w:t>EN 104281-6-7</w:t>
            </w:r>
          </w:p>
        </w:tc>
      </w:tr>
      <w:tr w:rsidR="00295963" w:rsidRPr="006937C2" w14:paraId="51732DAD" w14:textId="77777777" w:rsidTr="00700A29">
        <w:trPr>
          <w:trHeight w:val="355"/>
        </w:trPr>
        <w:tc>
          <w:tcPr>
            <w:tcW w:w="6062" w:type="dxa"/>
            <w:vAlign w:val="center"/>
          </w:tcPr>
          <w:p w14:paraId="24DDB046" w14:textId="77777777" w:rsidR="00295963" w:rsidRPr="008B7069" w:rsidRDefault="00295963" w:rsidP="00755566">
            <w:pPr>
              <w:pStyle w:val="Tabla"/>
              <w:jc w:val="left"/>
            </w:pPr>
            <w:r w:rsidRPr="008B7069">
              <w:t>Punto de reblandecimiento</w:t>
            </w:r>
          </w:p>
        </w:tc>
        <w:tc>
          <w:tcPr>
            <w:tcW w:w="2580" w:type="dxa"/>
            <w:vAlign w:val="center"/>
          </w:tcPr>
          <w:p w14:paraId="67C025B3" w14:textId="77777777" w:rsidR="00295963" w:rsidRPr="008B7069" w:rsidRDefault="00295963" w:rsidP="00700A29">
            <w:pPr>
              <w:pStyle w:val="Tabla"/>
            </w:pPr>
            <w:r w:rsidRPr="008B7069">
              <w:t>UNE</w:t>
            </w:r>
            <w:r>
              <w:t>-</w:t>
            </w:r>
            <w:r w:rsidRPr="008B7069">
              <w:t>EN 104281-6-11</w:t>
            </w:r>
          </w:p>
        </w:tc>
      </w:tr>
      <w:tr w:rsidR="00295963" w:rsidRPr="006937C2" w14:paraId="1AA25BB9" w14:textId="77777777" w:rsidTr="00700A29">
        <w:trPr>
          <w:trHeight w:val="355"/>
        </w:trPr>
        <w:tc>
          <w:tcPr>
            <w:tcW w:w="6062" w:type="dxa"/>
            <w:vAlign w:val="center"/>
          </w:tcPr>
          <w:p w14:paraId="4AAC2408" w14:textId="77777777" w:rsidR="00295963" w:rsidRPr="008B7069" w:rsidRDefault="00295963" w:rsidP="00755566">
            <w:pPr>
              <w:pStyle w:val="Tabla"/>
              <w:jc w:val="left"/>
            </w:pPr>
            <w:r w:rsidRPr="008B7069">
              <w:t>Dureza Shore-A</w:t>
            </w:r>
          </w:p>
        </w:tc>
        <w:tc>
          <w:tcPr>
            <w:tcW w:w="2580" w:type="dxa"/>
            <w:vAlign w:val="center"/>
          </w:tcPr>
          <w:p w14:paraId="48EF2D1C" w14:textId="77777777" w:rsidR="00295963" w:rsidRPr="008B7069" w:rsidRDefault="00295963" w:rsidP="00700A29">
            <w:pPr>
              <w:pStyle w:val="Tabla"/>
            </w:pPr>
            <w:r w:rsidRPr="008B7069">
              <w:t>UNE</w:t>
            </w:r>
            <w:r>
              <w:t>-</w:t>
            </w:r>
            <w:r w:rsidRPr="008B7069">
              <w:t>EN 104281-1-3</w:t>
            </w:r>
          </w:p>
        </w:tc>
      </w:tr>
      <w:tr w:rsidR="00295963" w:rsidRPr="001B1677" w14:paraId="06C5B385" w14:textId="77777777" w:rsidTr="00700A29">
        <w:trPr>
          <w:trHeight w:val="355"/>
        </w:trPr>
        <w:tc>
          <w:tcPr>
            <w:tcW w:w="6062" w:type="dxa"/>
            <w:vAlign w:val="center"/>
          </w:tcPr>
          <w:p w14:paraId="61A585CC" w14:textId="77777777" w:rsidR="00295963" w:rsidRPr="008B7069" w:rsidRDefault="00295963" w:rsidP="00755566">
            <w:pPr>
              <w:pStyle w:val="Tabla"/>
              <w:jc w:val="left"/>
            </w:pPr>
            <w:r w:rsidRPr="008B7069">
              <w:t>Resistencia al impacto</w:t>
            </w:r>
          </w:p>
        </w:tc>
        <w:tc>
          <w:tcPr>
            <w:tcW w:w="2580" w:type="dxa"/>
            <w:vAlign w:val="center"/>
          </w:tcPr>
          <w:p w14:paraId="260AC8CA" w14:textId="77777777" w:rsidR="00295963" w:rsidRPr="008B7069" w:rsidRDefault="00295963" w:rsidP="00700A29">
            <w:pPr>
              <w:pStyle w:val="Tabla"/>
            </w:pPr>
            <w:r w:rsidRPr="008B7069">
              <w:t>UNE</w:t>
            </w:r>
            <w:r>
              <w:t>-</w:t>
            </w:r>
            <w:r w:rsidRPr="008B7069">
              <w:t>EN ISO 868</w:t>
            </w:r>
          </w:p>
        </w:tc>
      </w:tr>
    </w:tbl>
    <w:p w14:paraId="6984A964" w14:textId="77777777" w:rsidR="00295963" w:rsidRDefault="00295963" w:rsidP="00295963">
      <w:pPr>
        <w:pStyle w:val="NORMAL12"/>
        <w:rPr>
          <w:i/>
          <w:u w:val="single"/>
        </w:rPr>
      </w:pPr>
      <w:bookmarkStart w:id="904" w:name="_Toc480903373"/>
    </w:p>
    <w:p w14:paraId="21634463" w14:textId="77777777" w:rsidR="00295963" w:rsidRDefault="00295963" w:rsidP="00295963">
      <w:pPr>
        <w:pStyle w:val="NORMAL12"/>
        <w:rPr>
          <w:i/>
          <w:u w:val="single"/>
        </w:rPr>
      </w:pPr>
      <w:r w:rsidRPr="003E400D">
        <w:rPr>
          <w:i/>
          <w:u w:val="single"/>
        </w:rPr>
        <w:t>Tratamiento de no conformidades</w:t>
      </w:r>
      <w:bookmarkEnd w:id="904"/>
    </w:p>
    <w:p w14:paraId="78434262" w14:textId="77777777" w:rsidR="00755566" w:rsidRPr="003E400D" w:rsidRDefault="00755566" w:rsidP="00295963">
      <w:pPr>
        <w:pStyle w:val="NORMAL12"/>
        <w:rPr>
          <w:i/>
          <w:u w:val="single"/>
        </w:rPr>
      </w:pP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30"/>
        <w:gridCol w:w="5580"/>
      </w:tblGrid>
      <w:tr w:rsidR="00295963" w:rsidRPr="002005BA" w14:paraId="014D6432" w14:textId="77777777" w:rsidTr="00700A29">
        <w:tc>
          <w:tcPr>
            <w:tcW w:w="3130" w:type="dxa"/>
            <w:shd w:val="clear" w:color="auto" w:fill="D9D9D9" w:themeFill="background1" w:themeFillShade="D9"/>
          </w:tcPr>
          <w:p w14:paraId="4756A130" w14:textId="77777777" w:rsidR="00295963" w:rsidRPr="008B7069" w:rsidRDefault="00295963" w:rsidP="00700A29">
            <w:pPr>
              <w:pStyle w:val="GTTTtuloTabla"/>
              <w:spacing w:before="120" w:after="120" w:line="360" w:lineRule="auto"/>
              <w:rPr>
                <w:rFonts w:ascii="Arial" w:hAnsi="Arial"/>
                <w:sz w:val="20"/>
                <w:szCs w:val="20"/>
              </w:rPr>
            </w:pPr>
            <w:r w:rsidRPr="008B7069">
              <w:rPr>
                <w:rFonts w:ascii="Arial" w:hAnsi="Arial"/>
                <w:sz w:val="20"/>
                <w:szCs w:val="20"/>
              </w:rPr>
              <w:t>No Conformidades</w:t>
            </w:r>
          </w:p>
        </w:tc>
        <w:tc>
          <w:tcPr>
            <w:tcW w:w="5580" w:type="dxa"/>
            <w:shd w:val="clear" w:color="auto" w:fill="D9D9D9" w:themeFill="background1" w:themeFillShade="D9"/>
          </w:tcPr>
          <w:p w14:paraId="61728461" w14:textId="77777777" w:rsidR="00295963" w:rsidRPr="008B7069" w:rsidRDefault="00295963" w:rsidP="00700A29">
            <w:pPr>
              <w:pStyle w:val="GTTTtuloTabla"/>
              <w:spacing w:before="120" w:after="120" w:line="360" w:lineRule="auto"/>
              <w:rPr>
                <w:rFonts w:ascii="Arial" w:hAnsi="Arial"/>
                <w:sz w:val="20"/>
                <w:szCs w:val="20"/>
              </w:rPr>
            </w:pPr>
            <w:r w:rsidRPr="008B7069">
              <w:rPr>
                <w:rFonts w:ascii="Arial" w:hAnsi="Arial"/>
                <w:sz w:val="20"/>
                <w:szCs w:val="20"/>
              </w:rPr>
              <w:t>Tratamiento</w:t>
            </w:r>
            <w:r>
              <w:rPr>
                <w:rFonts w:ascii="Arial" w:hAnsi="Arial"/>
                <w:sz w:val="20"/>
                <w:szCs w:val="20"/>
              </w:rPr>
              <w:t xml:space="preserve"> de no conformidades</w:t>
            </w:r>
          </w:p>
        </w:tc>
      </w:tr>
      <w:tr w:rsidR="00295963" w:rsidRPr="006937C2" w14:paraId="3F5E6DFA" w14:textId="77777777" w:rsidTr="00700A29">
        <w:tc>
          <w:tcPr>
            <w:tcW w:w="3130" w:type="dxa"/>
          </w:tcPr>
          <w:p w14:paraId="1109754F" w14:textId="77777777" w:rsidR="00295963" w:rsidRPr="008B7069" w:rsidRDefault="00295963" w:rsidP="00700A29">
            <w:pPr>
              <w:pStyle w:val="Tabla1"/>
              <w:rPr>
                <w:sz w:val="20"/>
                <w:szCs w:val="20"/>
              </w:rPr>
            </w:pPr>
            <w:r w:rsidRPr="008B7069">
              <w:rPr>
                <w:sz w:val="20"/>
                <w:szCs w:val="20"/>
              </w:rPr>
              <w:t>Ausencia de certificados de garantía de producto</w:t>
            </w:r>
          </w:p>
        </w:tc>
        <w:tc>
          <w:tcPr>
            <w:tcW w:w="5580" w:type="dxa"/>
          </w:tcPr>
          <w:p w14:paraId="32E61272" w14:textId="77777777" w:rsidR="00295963" w:rsidRPr="008B7069" w:rsidRDefault="00295963" w:rsidP="00700A29">
            <w:pPr>
              <w:pStyle w:val="Tabla1"/>
              <w:rPr>
                <w:sz w:val="20"/>
                <w:szCs w:val="20"/>
              </w:rPr>
            </w:pPr>
            <w:r w:rsidRPr="008B7069">
              <w:rPr>
                <w:sz w:val="20"/>
                <w:szCs w:val="20"/>
              </w:rPr>
              <w:t>No se aceptará la Unidad de Obra. La empresa fabricadora aportará dichos certificados por escrito.</w:t>
            </w:r>
          </w:p>
        </w:tc>
      </w:tr>
      <w:tr w:rsidR="00295963" w:rsidRPr="006937C2" w14:paraId="2DF4CB6B" w14:textId="77777777" w:rsidTr="00700A29">
        <w:tc>
          <w:tcPr>
            <w:tcW w:w="3130" w:type="dxa"/>
          </w:tcPr>
          <w:p w14:paraId="24ADE7C0" w14:textId="77777777" w:rsidR="00295963" w:rsidRPr="008B7069" w:rsidRDefault="00295963" w:rsidP="00700A29">
            <w:pPr>
              <w:pStyle w:val="Tabla1"/>
              <w:rPr>
                <w:sz w:val="20"/>
                <w:szCs w:val="20"/>
              </w:rPr>
            </w:pPr>
            <w:r w:rsidRPr="008B7069">
              <w:rPr>
                <w:sz w:val="20"/>
                <w:szCs w:val="20"/>
              </w:rPr>
              <w:t>Ausencia de certificados de garantía de aplicación del producto</w:t>
            </w:r>
          </w:p>
        </w:tc>
        <w:tc>
          <w:tcPr>
            <w:tcW w:w="5580" w:type="dxa"/>
          </w:tcPr>
          <w:p w14:paraId="3EA07D54" w14:textId="77777777" w:rsidR="00295963" w:rsidRPr="008B7069" w:rsidRDefault="00295963" w:rsidP="00700A29">
            <w:pPr>
              <w:pStyle w:val="Tabla1"/>
              <w:rPr>
                <w:sz w:val="20"/>
                <w:szCs w:val="20"/>
              </w:rPr>
            </w:pPr>
            <w:r w:rsidRPr="008B7069">
              <w:rPr>
                <w:sz w:val="20"/>
                <w:szCs w:val="20"/>
              </w:rPr>
              <w:t xml:space="preserve">No se aceptará la Unidad de Obra. La empresa </w:t>
            </w:r>
            <w:proofErr w:type="spellStart"/>
            <w:r w:rsidRPr="008B7069">
              <w:rPr>
                <w:sz w:val="20"/>
                <w:szCs w:val="20"/>
              </w:rPr>
              <w:t>aplicadora</w:t>
            </w:r>
            <w:proofErr w:type="spellEnd"/>
            <w:r w:rsidRPr="008B7069">
              <w:rPr>
                <w:sz w:val="20"/>
                <w:szCs w:val="20"/>
              </w:rPr>
              <w:t xml:space="preserve"> aportará dicho certificado por escrito.</w:t>
            </w:r>
          </w:p>
        </w:tc>
      </w:tr>
      <w:tr w:rsidR="00295963" w:rsidRPr="006937C2" w14:paraId="0A534CAB" w14:textId="77777777" w:rsidTr="00700A29">
        <w:tc>
          <w:tcPr>
            <w:tcW w:w="3130" w:type="dxa"/>
          </w:tcPr>
          <w:p w14:paraId="232CA1CA" w14:textId="77777777" w:rsidR="00295963" w:rsidRPr="008B7069" w:rsidRDefault="00295963" w:rsidP="00700A29">
            <w:pPr>
              <w:pStyle w:val="Tabla1"/>
              <w:rPr>
                <w:sz w:val="20"/>
                <w:szCs w:val="20"/>
              </w:rPr>
            </w:pPr>
            <w:r w:rsidRPr="008B7069">
              <w:rPr>
                <w:sz w:val="20"/>
                <w:szCs w:val="20"/>
              </w:rPr>
              <w:t>Filtraciones durante la prueba de estanqueidad</w:t>
            </w:r>
          </w:p>
        </w:tc>
        <w:tc>
          <w:tcPr>
            <w:tcW w:w="5580" w:type="dxa"/>
          </w:tcPr>
          <w:p w14:paraId="024774AA" w14:textId="77777777" w:rsidR="00295963" w:rsidRPr="008B7069" w:rsidRDefault="00295963" w:rsidP="00700A29">
            <w:pPr>
              <w:pStyle w:val="Tabla1"/>
              <w:rPr>
                <w:sz w:val="20"/>
                <w:szCs w:val="20"/>
              </w:rPr>
            </w:pPr>
            <w:r w:rsidRPr="008B7069">
              <w:rPr>
                <w:sz w:val="20"/>
                <w:szCs w:val="20"/>
              </w:rPr>
              <w:t xml:space="preserve">No se aceptará la Unidad de Obra. La empresa </w:t>
            </w:r>
            <w:proofErr w:type="spellStart"/>
            <w:r w:rsidRPr="008B7069">
              <w:rPr>
                <w:sz w:val="20"/>
                <w:szCs w:val="20"/>
              </w:rPr>
              <w:t>aplicadora</w:t>
            </w:r>
            <w:proofErr w:type="spellEnd"/>
            <w:r w:rsidRPr="008B7069">
              <w:rPr>
                <w:sz w:val="20"/>
                <w:szCs w:val="20"/>
              </w:rPr>
              <w:t xml:space="preserve"> aportará dicho certificado por escrito.</w:t>
            </w:r>
          </w:p>
        </w:tc>
      </w:tr>
    </w:tbl>
    <w:p w14:paraId="0D8F4EC1" w14:textId="77777777" w:rsidR="00755566" w:rsidRDefault="00755566" w:rsidP="000313DD">
      <w:pPr>
        <w:pStyle w:val="TITU2"/>
        <w:sectPr w:rsidR="00755566" w:rsidSect="00EB75FA">
          <w:footerReference w:type="even" r:id="rId23"/>
          <w:pgSz w:w="23814" w:h="16840" w:orient="landscape" w:code="8"/>
          <w:pgMar w:top="992" w:right="851" w:bottom="1418" w:left="851" w:header="567" w:footer="1021" w:gutter="1418"/>
          <w:cols w:num="2" w:space="1418"/>
        </w:sectPr>
      </w:pPr>
      <w:bookmarkStart w:id="905" w:name="_Toc480903374"/>
    </w:p>
    <w:p w14:paraId="4DCCEA93" w14:textId="77777777" w:rsidR="00295963" w:rsidRPr="006937C2" w:rsidRDefault="00295963" w:rsidP="000313DD">
      <w:pPr>
        <w:pStyle w:val="TITU2"/>
      </w:pPr>
      <w:bookmarkStart w:id="906" w:name="_Toc404487"/>
      <w:r>
        <w:lastRenderedPageBreak/>
        <w:t>690.8.</w:t>
      </w:r>
      <w:r w:rsidRPr="006937C2">
        <w:t xml:space="preserve"> Medición y abono</w:t>
      </w:r>
      <w:bookmarkEnd w:id="905"/>
      <w:bookmarkEnd w:id="906"/>
    </w:p>
    <w:p w14:paraId="494FE68A" w14:textId="77777777" w:rsidR="00295963" w:rsidRPr="006937C2" w:rsidRDefault="00295963" w:rsidP="00295963">
      <w:pPr>
        <w:pStyle w:val="NORMAL12"/>
      </w:pPr>
      <w:r w:rsidRPr="006937C2">
        <w:t>La medición y abono de las unidades de impermeabilización del tablero con lámina asfáltica y geotextil de poliéster se realizará conforme a las siguientes especificaciones: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75"/>
        <w:gridCol w:w="6668"/>
      </w:tblGrid>
      <w:tr w:rsidR="00295963" w:rsidRPr="006937C2" w14:paraId="737CE4BB" w14:textId="77777777" w:rsidTr="00700A29">
        <w:tc>
          <w:tcPr>
            <w:tcW w:w="0" w:type="auto"/>
            <w:vAlign w:val="center"/>
          </w:tcPr>
          <w:p w14:paraId="194C0D82" w14:textId="77777777" w:rsidR="00295963" w:rsidRPr="006937C2" w:rsidRDefault="00295963" w:rsidP="00700A29">
            <w:pPr>
              <w:pStyle w:val="Tabla"/>
              <w:rPr>
                <w:b/>
              </w:rPr>
            </w:pPr>
            <w:r w:rsidRPr="006937C2">
              <w:rPr>
                <w:b/>
              </w:rPr>
              <w:t>Unidad de medida</w:t>
            </w:r>
          </w:p>
        </w:tc>
        <w:tc>
          <w:tcPr>
            <w:tcW w:w="6668" w:type="dxa"/>
            <w:vAlign w:val="center"/>
          </w:tcPr>
          <w:p w14:paraId="15AEF1BF" w14:textId="77777777" w:rsidR="00295963" w:rsidRPr="006937C2" w:rsidRDefault="00295963" w:rsidP="00666B72">
            <w:pPr>
              <w:pStyle w:val="LCATabla"/>
              <w:keepLines/>
              <w:jc w:val="both"/>
              <w:rPr>
                <w:rFonts w:ascii="Arial" w:hAnsi="Arial"/>
                <w:sz w:val="20"/>
              </w:rPr>
            </w:pPr>
            <w:r w:rsidRPr="006937C2">
              <w:rPr>
                <w:rFonts w:ascii="Arial" w:hAnsi="Arial"/>
                <w:sz w:val="20"/>
              </w:rPr>
              <w:t>Metros cuadrados (m</w:t>
            </w:r>
            <w:r w:rsidRPr="00D921B6">
              <w:rPr>
                <w:rFonts w:ascii="Arial" w:hAnsi="Arial"/>
                <w:sz w:val="20"/>
                <w:vertAlign w:val="superscript"/>
              </w:rPr>
              <w:t>2</w:t>
            </w:r>
            <w:r w:rsidRPr="006937C2">
              <w:rPr>
                <w:rFonts w:ascii="Arial" w:hAnsi="Arial"/>
                <w:sz w:val="20"/>
              </w:rPr>
              <w:t>).</w:t>
            </w:r>
          </w:p>
        </w:tc>
      </w:tr>
      <w:tr w:rsidR="00295963" w:rsidRPr="006937C2" w14:paraId="5C0C7FF7" w14:textId="77777777" w:rsidTr="00700A29">
        <w:tc>
          <w:tcPr>
            <w:tcW w:w="0" w:type="auto"/>
            <w:vAlign w:val="center"/>
          </w:tcPr>
          <w:p w14:paraId="195FCA8E" w14:textId="77777777" w:rsidR="00295963" w:rsidRPr="006937C2" w:rsidRDefault="00295963" w:rsidP="00700A29">
            <w:pPr>
              <w:pStyle w:val="Tabla"/>
              <w:rPr>
                <w:b/>
              </w:rPr>
            </w:pPr>
            <w:r w:rsidRPr="006937C2">
              <w:rPr>
                <w:b/>
              </w:rPr>
              <w:t>Grado de precisión</w:t>
            </w:r>
          </w:p>
        </w:tc>
        <w:tc>
          <w:tcPr>
            <w:tcW w:w="6668" w:type="dxa"/>
            <w:vAlign w:val="center"/>
          </w:tcPr>
          <w:p w14:paraId="0AEA5D5D" w14:textId="77777777" w:rsidR="00295963" w:rsidRPr="006937C2" w:rsidRDefault="00295963" w:rsidP="00666B72">
            <w:pPr>
              <w:pStyle w:val="LCATabla"/>
              <w:keepLines/>
              <w:jc w:val="both"/>
              <w:rPr>
                <w:rFonts w:ascii="Arial" w:hAnsi="Arial"/>
                <w:sz w:val="20"/>
              </w:rPr>
            </w:pPr>
            <w:r w:rsidRPr="006937C2">
              <w:rPr>
                <w:rFonts w:ascii="Arial" w:hAnsi="Arial"/>
                <w:sz w:val="20"/>
              </w:rPr>
              <w:t>Dos decimales.</w:t>
            </w:r>
          </w:p>
        </w:tc>
      </w:tr>
      <w:tr w:rsidR="00295963" w:rsidRPr="006937C2" w14:paraId="199F163D" w14:textId="77777777" w:rsidTr="00700A29">
        <w:tc>
          <w:tcPr>
            <w:tcW w:w="0" w:type="auto"/>
            <w:vAlign w:val="center"/>
          </w:tcPr>
          <w:p w14:paraId="669615FF" w14:textId="77777777" w:rsidR="00295963" w:rsidRPr="006937C2" w:rsidRDefault="00295963" w:rsidP="00700A29">
            <w:pPr>
              <w:pStyle w:val="Tabla"/>
              <w:rPr>
                <w:b/>
              </w:rPr>
            </w:pPr>
            <w:r w:rsidRPr="006937C2">
              <w:rPr>
                <w:b/>
              </w:rPr>
              <w:t>Forma de medición</w:t>
            </w:r>
          </w:p>
        </w:tc>
        <w:tc>
          <w:tcPr>
            <w:tcW w:w="6668" w:type="dxa"/>
            <w:vAlign w:val="center"/>
          </w:tcPr>
          <w:p w14:paraId="26D6CDBA" w14:textId="77777777" w:rsidR="00295963" w:rsidRPr="006937C2" w:rsidRDefault="00295963" w:rsidP="00666B72">
            <w:pPr>
              <w:pStyle w:val="LCATabla"/>
              <w:keepLines/>
              <w:jc w:val="both"/>
              <w:rPr>
                <w:rFonts w:ascii="Arial" w:hAnsi="Arial"/>
                <w:sz w:val="20"/>
              </w:rPr>
            </w:pPr>
            <w:r w:rsidRPr="006937C2">
              <w:rPr>
                <w:rFonts w:ascii="Arial" w:hAnsi="Arial"/>
                <w:sz w:val="20"/>
              </w:rPr>
              <w:t>Superficie de impermeabilización realmente instalada en obra.</w:t>
            </w:r>
          </w:p>
        </w:tc>
      </w:tr>
      <w:tr w:rsidR="00295963" w:rsidRPr="001B1677" w14:paraId="56207369" w14:textId="77777777" w:rsidTr="00700A29">
        <w:tc>
          <w:tcPr>
            <w:tcW w:w="0" w:type="auto"/>
            <w:vAlign w:val="center"/>
          </w:tcPr>
          <w:p w14:paraId="0724E872" w14:textId="77777777" w:rsidR="00295963" w:rsidRPr="006937C2" w:rsidRDefault="00295963" w:rsidP="00700A29">
            <w:pPr>
              <w:pStyle w:val="Tabla"/>
              <w:rPr>
                <w:b/>
              </w:rPr>
            </w:pPr>
            <w:r w:rsidRPr="006937C2">
              <w:rPr>
                <w:b/>
              </w:rPr>
              <w:t>Abono</w:t>
            </w:r>
          </w:p>
        </w:tc>
        <w:tc>
          <w:tcPr>
            <w:tcW w:w="6668" w:type="dxa"/>
            <w:vAlign w:val="center"/>
          </w:tcPr>
          <w:p w14:paraId="2DF61F6D" w14:textId="77777777" w:rsidR="00295963" w:rsidRPr="006937C2" w:rsidRDefault="00295963" w:rsidP="00666B72">
            <w:pPr>
              <w:pStyle w:val="LCATabla"/>
              <w:keepLines/>
              <w:jc w:val="both"/>
              <w:rPr>
                <w:rFonts w:ascii="Arial" w:hAnsi="Arial"/>
                <w:sz w:val="20"/>
              </w:rPr>
            </w:pPr>
            <w:r w:rsidRPr="006937C2">
              <w:rPr>
                <w:rFonts w:ascii="Arial" w:hAnsi="Arial"/>
                <w:sz w:val="20"/>
              </w:rPr>
              <w:t>Se efectuará cuando se realice la aceptación.</w:t>
            </w:r>
          </w:p>
        </w:tc>
      </w:tr>
      <w:tr w:rsidR="00295963" w:rsidRPr="001B1677" w14:paraId="1B670A6D" w14:textId="77777777" w:rsidTr="00700A29">
        <w:tc>
          <w:tcPr>
            <w:tcW w:w="0" w:type="auto"/>
            <w:vAlign w:val="center"/>
          </w:tcPr>
          <w:p w14:paraId="35F862AE" w14:textId="77777777" w:rsidR="00295963" w:rsidRPr="006937C2" w:rsidRDefault="00295963" w:rsidP="00700A29">
            <w:pPr>
              <w:pStyle w:val="Tabla"/>
              <w:rPr>
                <w:b/>
              </w:rPr>
            </w:pPr>
            <w:r>
              <w:rPr>
                <w:b/>
              </w:rPr>
              <w:t>Criterios complementarios</w:t>
            </w:r>
          </w:p>
        </w:tc>
        <w:tc>
          <w:tcPr>
            <w:tcW w:w="6668" w:type="dxa"/>
            <w:vAlign w:val="center"/>
          </w:tcPr>
          <w:p w14:paraId="14EE7765" w14:textId="77777777" w:rsidR="00295963" w:rsidRPr="006937C2" w:rsidRDefault="00295963" w:rsidP="00666B72">
            <w:pPr>
              <w:pStyle w:val="LCATabla"/>
              <w:keepLines/>
              <w:jc w:val="both"/>
              <w:rPr>
                <w:rFonts w:ascii="Arial" w:hAnsi="Arial"/>
                <w:sz w:val="20"/>
              </w:rPr>
            </w:pPr>
            <w:r>
              <w:rPr>
                <w:rFonts w:ascii="Arial" w:hAnsi="Arial"/>
                <w:sz w:val="20"/>
              </w:rPr>
              <w:t>El precio de la unidad incluye todos los materiales y medios auxiliares necesarios para la correcta ejecución de la unidad.</w:t>
            </w:r>
          </w:p>
        </w:tc>
      </w:tr>
    </w:tbl>
    <w:p w14:paraId="5B07BBEE" w14:textId="77777777" w:rsidR="00897F0A" w:rsidRPr="00D921B6" w:rsidRDefault="00897F0A" w:rsidP="00897F0A">
      <w:pPr>
        <w:pStyle w:val="TITU1"/>
      </w:pPr>
      <w:bookmarkStart w:id="907" w:name="_Toc404488"/>
      <w:r w:rsidRPr="00D921B6">
        <w:lastRenderedPageBreak/>
        <w:t xml:space="preserve">Artículo 690a. Impermeabilización </w:t>
      </w:r>
      <w:bookmarkEnd w:id="888"/>
      <w:r w:rsidRPr="00D921B6">
        <w:t>de paramentos enterrados</w:t>
      </w:r>
      <w:bookmarkEnd w:id="907"/>
      <w:r w:rsidRPr="00D921B6">
        <w:t xml:space="preserve"> </w:t>
      </w:r>
    </w:p>
    <w:p w14:paraId="52C18C7A" w14:textId="77777777" w:rsidR="00897F0A" w:rsidRPr="006937C2" w:rsidRDefault="00897F0A" w:rsidP="00897F0A">
      <w:pPr>
        <w:pStyle w:val="NORMAL12"/>
      </w:pPr>
      <w:r w:rsidRPr="00D921B6">
        <w:t>Excepto para lo especificado en el presente Pliego de Prescripciones Técnicas particulares se seguirá lo prescrito en el vigente artículo 690 del</w:t>
      </w:r>
      <w:r w:rsidRPr="006937C2">
        <w:t xml:space="preserve"> PG-3 y la EHE 08.</w:t>
      </w:r>
    </w:p>
    <w:p w14:paraId="6636F730" w14:textId="77777777" w:rsidR="00897F0A" w:rsidRPr="006937C2" w:rsidRDefault="00897F0A" w:rsidP="000313DD">
      <w:pPr>
        <w:pStyle w:val="TITU2"/>
      </w:pPr>
      <w:bookmarkStart w:id="908" w:name="_Toc531005922"/>
      <w:bookmarkStart w:id="909" w:name="_Toc404489"/>
      <w:r>
        <w:t>690a</w:t>
      </w:r>
      <w:r w:rsidRPr="006937C2">
        <w:t>.1.</w:t>
      </w:r>
      <w:r>
        <w:t xml:space="preserve"> </w:t>
      </w:r>
      <w:r w:rsidRPr="006937C2">
        <w:t>Definición</w:t>
      </w:r>
      <w:bookmarkEnd w:id="908"/>
      <w:bookmarkEnd w:id="909"/>
      <w:r w:rsidRPr="006937C2">
        <w:t xml:space="preserve"> </w:t>
      </w:r>
    </w:p>
    <w:p w14:paraId="65B5E897" w14:textId="77777777" w:rsidR="00897F0A" w:rsidRDefault="00897F0A" w:rsidP="00897F0A">
      <w:pPr>
        <w:pStyle w:val="NORMAL12"/>
      </w:pPr>
      <w:r>
        <w:t xml:space="preserve">Se define como sistema de impermeabilización de paramentos enterrados al conjunto de elementos dispuestos sobre los paramentos de hormigón de una estructura enterrada o en contacto con relleno de tierras y cuyo objeto es evacuar las aguas de filtración que </w:t>
      </w:r>
      <w:r w:rsidR="00217216">
        <w:t>pueden</w:t>
      </w:r>
      <w:r>
        <w:t xml:space="preserve"> incidir sobre el trasdós de las obras de fábrica. </w:t>
      </w:r>
    </w:p>
    <w:p w14:paraId="0EA8E83D" w14:textId="77777777" w:rsidR="00897F0A" w:rsidRPr="00DF2D84" w:rsidRDefault="00897F0A" w:rsidP="00897F0A">
      <w:pPr>
        <w:pStyle w:val="NORMAL12"/>
      </w:pPr>
      <w:r w:rsidRPr="000072DC">
        <w:t xml:space="preserve">En este artículo se rigen las prescripciones a seguir en la actuación para la impermeabilización </w:t>
      </w:r>
      <w:r>
        <w:t xml:space="preserve">de los elementos enterrados de </w:t>
      </w:r>
      <w:r w:rsidRPr="000072DC">
        <w:t>la</w:t>
      </w:r>
      <w:r>
        <w:t xml:space="preserve"> ampliación de las</w:t>
      </w:r>
      <w:r w:rsidRPr="000072DC">
        <w:t xml:space="preserve"> estructura</w:t>
      </w:r>
      <w:r>
        <w:t>s</w:t>
      </w:r>
      <w:r w:rsidRPr="000072DC">
        <w:t xml:space="preserve"> localizada</w:t>
      </w:r>
      <w:r>
        <w:t>s en los</w:t>
      </w:r>
      <w:r w:rsidRPr="000072DC">
        <w:t xml:space="preserve"> </w:t>
      </w:r>
      <w:r>
        <w:t>PP.KK</w:t>
      </w:r>
      <w:r w:rsidRPr="000072DC">
        <w:t>. de la vía 23+000</w:t>
      </w:r>
      <w:r>
        <w:t xml:space="preserve"> y 23+380</w:t>
      </w:r>
      <w:r w:rsidRPr="000072DC">
        <w:t>.</w:t>
      </w:r>
    </w:p>
    <w:p w14:paraId="00E2178C" w14:textId="77777777" w:rsidR="00897F0A" w:rsidRPr="00DF2D84" w:rsidRDefault="00897F0A" w:rsidP="000313DD">
      <w:pPr>
        <w:pStyle w:val="TITU2"/>
      </w:pPr>
      <w:bookmarkStart w:id="910" w:name="_Toc531005923"/>
      <w:bookmarkStart w:id="911" w:name="_Toc404490"/>
      <w:r w:rsidRPr="00DF2D84">
        <w:t>690</w:t>
      </w:r>
      <w:r w:rsidR="00B04240">
        <w:t>a</w:t>
      </w:r>
      <w:r w:rsidRPr="00DF2D84">
        <w:t>.2. Aplicación</w:t>
      </w:r>
      <w:bookmarkEnd w:id="910"/>
      <w:bookmarkEnd w:id="911"/>
      <w:r w:rsidRPr="00DF2D84">
        <w:t xml:space="preserve"> </w:t>
      </w:r>
    </w:p>
    <w:p w14:paraId="7CAE0FDA" w14:textId="77777777" w:rsidR="00897F0A" w:rsidRPr="008530A7" w:rsidRDefault="00897F0A" w:rsidP="00897F0A">
      <w:pPr>
        <w:pStyle w:val="NORMAL12"/>
      </w:pPr>
      <w:r w:rsidRPr="008530A7">
        <w:t xml:space="preserve">Las prescripciones del presente artículo </w:t>
      </w:r>
      <w:proofErr w:type="gramStart"/>
      <w:r w:rsidRPr="008530A7">
        <w:t>son de aplicación</w:t>
      </w:r>
      <w:proofErr w:type="gramEnd"/>
      <w:r w:rsidRPr="008530A7">
        <w:t xml:space="preserve"> a las unidades de obra siguientes:</w:t>
      </w:r>
    </w:p>
    <w:tbl>
      <w:tblPr>
        <w:tblW w:w="0" w:type="auto"/>
        <w:tblLook w:val="04A0" w:firstRow="1" w:lastRow="0" w:firstColumn="1" w:lastColumn="0" w:noHBand="0" w:noVBand="1"/>
      </w:tblPr>
      <w:tblGrid>
        <w:gridCol w:w="1437"/>
        <w:gridCol w:w="1104"/>
        <w:gridCol w:w="6247"/>
      </w:tblGrid>
      <w:tr w:rsidR="00897F0A" w:rsidRPr="00895FF0" w14:paraId="5B36D610" w14:textId="77777777" w:rsidTr="00700A29">
        <w:tc>
          <w:tcPr>
            <w:tcW w:w="1437" w:type="dxa"/>
          </w:tcPr>
          <w:p w14:paraId="3CA30EAA" w14:textId="77777777" w:rsidR="00897F0A" w:rsidRPr="00D921B6" w:rsidRDefault="00897F0A" w:rsidP="00700A29">
            <w:pPr>
              <w:rPr>
                <w:rFonts w:ascii="Calibri" w:hAnsi="Calibri" w:cs="Calibri"/>
              </w:rPr>
            </w:pPr>
          </w:p>
        </w:tc>
        <w:tc>
          <w:tcPr>
            <w:tcW w:w="1104" w:type="dxa"/>
          </w:tcPr>
          <w:p w14:paraId="5676677F" w14:textId="77777777" w:rsidR="00897F0A" w:rsidRPr="00D921B6" w:rsidRDefault="00897F0A" w:rsidP="00700A29">
            <w:pPr>
              <w:rPr>
                <w:rFonts w:ascii="Calibri" w:hAnsi="Calibri" w:cs="Calibri"/>
              </w:rPr>
            </w:pPr>
          </w:p>
        </w:tc>
        <w:tc>
          <w:tcPr>
            <w:tcW w:w="6247" w:type="dxa"/>
            <w:vAlign w:val="bottom"/>
          </w:tcPr>
          <w:p w14:paraId="176D67E1" w14:textId="77777777" w:rsidR="00897F0A" w:rsidRPr="00D921B6" w:rsidRDefault="00897F0A" w:rsidP="00700A29">
            <w:pPr>
              <w:rPr>
                <w:rFonts w:ascii="Calibri" w:hAnsi="Calibri" w:cs="Calibri"/>
              </w:rPr>
            </w:pPr>
          </w:p>
        </w:tc>
      </w:tr>
      <w:tr w:rsidR="00294338" w:rsidRPr="006937C2" w14:paraId="140BE3DB" w14:textId="77777777" w:rsidTr="00700A29">
        <w:tc>
          <w:tcPr>
            <w:tcW w:w="1437" w:type="dxa"/>
          </w:tcPr>
          <w:p w14:paraId="61BF0DE9" w14:textId="77777777" w:rsidR="00294338" w:rsidRPr="00D921B6" w:rsidRDefault="00294338" w:rsidP="00700A29">
            <w:pPr>
              <w:rPr>
                <w:rFonts w:asciiTheme="minorHAnsi" w:hAnsiTheme="minorHAnsi" w:cstheme="minorHAnsi"/>
              </w:rPr>
            </w:pPr>
            <w:r w:rsidRPr="00D921B6">
              <w:rPr>
                <w:rFonts w:asciiTheme="minorHAnsi" w:hAnsiTheme="minorHAnsi" w:cstheme="minorHAnsi"/>
                <w:color w:val="000000"/>
              </w:rPr>
              <w:t>690.0040</w:t>
            </w:r>
          </w:p>
        </w:tc>
        <w:tc>
          <w:tcPr>
            <w:tcW w:w="1104" w:type="dxa"/>
          </w:tcPr>
          <w:p w14:paraId="79858546" w14:textId="77777777" w:rsidR="00294338" w:rsidRPr="00D921B6" w:rsidRDefault="00294338" w:rsidP="00700A29">
            <w:pPr>
              <w:rPr>
                <w:rFonts w:asciiTheme="minorHAnsi" w:hAnsiTheme="minorHAnsi" w:cstheme="minorHAnsi"/>
                <w:vertAlign w:val="superscript"/>
              </w:rPr>
            </w:pPr>
            <w:r w:rsidRPr="00D921B6">
              <w:rPr>
                <w:rFonts w:asciiTheme="minorHAnsi" w:hAnsiTheme="minorHAnsi" w:cstheme="minorHAnsi"/>
              </w:rPr>
              <w:t>m</w:t>
            </w:r>
            <w:r w:rsidRPr="00D921B6">
              <w:rPr>
                <w:rFonts w:asciiTheme="minorHAnsi" w:hAnsiTheme="minorHAnsi" w:cstheme="minorHAnsi"/>
                <w:vertAlign w:val="superscript"/>
              </w:rPr>
              <w:t>2</w:t>
            </w:r>
          </w:p>
        </w:tc>
        <w:tc>
          <w:tcPr>
            <w:tcW w:w="6247" w:type="dxa"/>
            <w:vAlign w:val="bottom"/>
          </w:tcPr>
          <w:p w14:paraId="1256C246" w14:textId="77777777" w:rsidR="00294338" w:rsidRPr="00D921B6" w:rsidRDefault="00294338" w:rsidP="00294338">
            <w:pPr>
              <w:jc w:val="both"/>
              <w:rPr>
                <w:rFonts w:asciiTheme="minorHAnsi" w:hAnsiTheme="minorHAnsi" w:cstheme="minorHAnsi"/>
                <w:color w:val="000000"/>
              </w:rPr>
            </w:pPr>
            <w:r w:rsidRPr="00D921B6">
              <w:rPr>
                <w:rFonts w:asciiTheme="minorHAnsi" w:hAnsiTheme="minorHAnsi" w:cstheme="minorHAnsi"/>
                <w:color w:val="000000"/>
              </w:rPr>
              <w:t>IMPERMEABILIZACIÓN DE PARAMENTOS ENTERRADOS CON PINTURA i/ P.P. DE CHORREADO PREVIO CON ARENA Y TODOS LOS MEDIOS NECESARIOS PARA LA COMPLETA EJECUCIÓN.</w:t>
            </w:r>
          </w:p>
          <w:p w14:paraId="2567A404" w14:textId="77777777" w:rsidR="00294338" w:rsidRPr="00D921B6" w:rsidRDefault="00294338" w:rsidP="00700A29">
            <w:pPr>
              <w:jc w:val="both"/>
              <w:rPr>
                <w:rFonts w:asciiTheme="minorHAnsi" w:hAnsiTheme="minorHAnsi" w:cstheme="minorHAnsi"/>
              </w:rPr>
            </w:pPr>
          </w:p>
        </w:tc>
      </w:tr>
      <w:tr w:rsidR="00897F0A" w:rsidRPr="006937C2" w14:paraId="0B8CA584" w14:textId="77777777" w:rsidTr="00700A29">
        <w:tc>
          <w:tcPr>
            <w:tcW w:w="1437" w:type="dxa"/>
          </w:tcPr>
          <w:p w14:paraId="2730F717" w14:textId="77777777" w:rsidR="00897F0A" w:rsidRPr="00D921B6" w:rsidRDefault="00897F0A" w:rsidP="00700A29">
            <w:pPr>
              <w:rPr>
                <w:rFonts w:ascii="Calibri" w:hAnsi="Calibri" w:cs="Calibri"/>
              </w:rPr>
            </w:pPr>
            <w:r w:rsidRPr="00D921B6">
              <w:rPr>
                <w:rFonts w:ascii="Calibri" w:hAnsi="Calibri" w:cs="Calibri"/>
              </w:rPr>
              <w:t xml:space="preserve">690.0050         </w:t>
            </w:r>
          </w:p>
          <w:p w14:paraId="1C83FF7B" w14:textId="77777777" w:rsidR="00897F0A" w:rsidRPr="00D921B6" w:rsidRDefault="00897F0A" w:rsidP="00700A29">
            <w:pPr>
              <w:rPr>
                <w:rFonts w:ascii="Calibri" w:hAnsi="Calibri" w:cs="Calibri"/>
              </w:rPr>
            </w:pPr>
          </w:p>
        </w:tc>
        <w:tc>
          <w:tcPr>
            <w:tcW w:w="1104" w:type="dxa"/>
          </w:tcPr>
          <w:p w14:paraId="0EECC829" w14:textId="77777777" w:rsidR="00897F0A" w:rsidRPr="00D921B6" w:rsidRDefault="00897F0A" w:rsidP="00700A29">
            <w:pPr>
              <w:rPr>
                <w:rFonts w:ascii="Calibri" w:hAnsi="Calibri" w:cs="Calibri"/>
              </w:rPr>
            </w:pPr>
            <w:r w:rsidRPr="00D921B6">
              <w:rPr>
                <w:rFonts w:ascii="Calibri" w:hAnsi="Calibri" w:cs="Calibri"/>
              </w:rPr>
              <w:t>m</w:t>
            </w:r>
            <w:r w:rsidRPr="00D921B6">
              <w:rPr>
                <w:rFonts w:ascii="Calibri" w:hAnsi="Calibri" w:cs="Calibri"/>
                <w:vertAlign w:val="superscript"/>
              </w:rPr>
              <w:t>2</w:t>
            </w:r>
          </w:p>
        </w:tc>
        <w:tc>
          <w:tcPr>
            <w:tcW w:w="6247" w:type="dxa"/>
            <w:vAlign w:val="bottom"/>
          </w:tcPr>
          <w:p w14:paraId="2CC78265" w14:textId="77777777" w:rsidR="00897F0A" w:rsidRPr="00D921B6" w:rsidRDefault="00897F0A" w:rsidP="00700A29">
            <w:pPr>
              <w:jc w:val="both"/>
              <w:rPr>
                <w:rFonts w:ascii="Calibri" w:hAnsi="Calibri" w:cs="Calibri"/>
              </w:rPr>
            </w:pPr>
            <w:r w:rsidRPr="00D921B6">
              <w:rPr>
                <w:rFonts w:ascii="Calibri" w:hAnsi="Calibri" w:cs="Calibri"/>
              </w:rPr>
              <w:t>IMPERMEABILIZACIÓN DE PARAMENTOS ENTERRADOS (MUROS, ESTRIBOS, ALETAS…) CON LÁMINA ASFÁLTICA. CONSTITUÍDA POR: IMPRIMACIÓN ASFÁLTICA, MÍNIMO 0,5 kg/m</w:t>
            </w:r>
            <w:r w:rsidRPr="00241CBC">
              <w:rPr>
                <w:rFonts w:ascii="Calibri" w:hAnsi="Calibri" w:cs="Calibri"/>
                <w:vertAlign w:val="superscript"/>
              </w:rPr>
              <w:t>2</w:t>
            </w:r>
            <w:r w:rsidRPr="00D921B6">
              <w:rPr>
                <w:rFonts w:ascii="Calibri" w:hAnsi="Calibri" w:cs="Calibri"/>
              </w:rPr>
              <w:t>, BANDA DE REFUERZO ASFÁLTICA COLOCADA EN TODOS LOS ÁNGULOS ADHERIDA CON SOPLETE AL SOPORTE PREVIAMENTE IMPRIMADO (SOLAPES DE 8 cm MÍNIMO); LÁMINA ASFÁLTICA DE BETÚN ELASTOMÉRO ADHERIDA AL SOPORTE CON SOPLETE, LÁMINA DRENANTE FIJADA MECÁNICAMENTE AL SOPORTE (MEDIANTE DISPAROS O FIJACIONES), TUBERÍA DE DRENAJE CORRUGADA Y FLEXIBLE PERFORADA, RELLENO GRANULAR ENVUELTO EN GEOTEXTIL. LISTA PARA VERTER TIERRAS.</w:t>
            </w:r>
          </w:p>
          <w:p w14:paraId="7CE22AB0" w14:textId="77777777" w:rsidR="00897F0A" w:rsidRPr="00D921B6" w:rsidRDefault="00897F0A" w:rsidP="00700A29">
            <w:pPr>
              <w:jc w:val="both"/>
              <w:rPr>
                <w:rFonts w:ascii="Calibri" w:hAnsi="Calibri" w:cs="Calibri"/>
              </w:rPr>
            </w:pPr>
          </w:p>
        </w:tc>
      </w:tr>
    </w:tbl>
    <w:p w14:paraId="2DB66AEF" w14:textId="77777777" w:rsidR="00CF7652" w:rsidRDefault="00CF7652" w:rsidP="00897F0A">
      <w:pPr>
        <w:pStyle w:val="NORMAL12"/>
      </w:pPr>
      <w:bookmarkStart w:id="912" w:name="_Toc531005924"/>
    </w:p>
    <w:p w14:paraId="4A310C38" w14:textId="77777777" w:rsidR="00897F0A" w:rsidRDefault="00897F0A" w:rsidP="00897F0A">
      <w:pPr>
        <w:pStyle w:val="NORMAL12"/>
      </w:pPr>
      <w:r w:rsidRPr="000072DC">
        <w:t xml:space="preserve">El sistema consiste en la aplicación de una lámina impermeabilizante a base de betún </w:t>
      </w:r>
      <w:proofErr w:type="spellStart"/>
      <w:r w:rsidRPr="000072DC">
        <w:t>elástomero</w:t>
      </w:r>
      <w:proofErr w:type="spellEnd"/>
      <w:r w:rsidRPr="000072DC">
        <w:t>, adherida al par</w:t>
      </w:r>
      <w:r>
        <w:t>a</w:t>
      </w:r>
      <w:r w:rsidRPr="000072DC">
        <w:t xml:space="preserve">mento </w:t>
      </w:r>
      <w:r>
        <w:t>de los elementos enterrados de la obra de fábrica a ampliar</w:t>
      </w:r>
      <w:r w:rsidRPr="000072DC">
        <w:t>. Sobre dicha lámina se dispondrá una lámina drenante alveolar, fijada al trasdós horizontal y vertical de los elementos.</w:t>
      </w:r>
    </w:p>
    <w:p w14:paraId="56AE9F6D" w14:textId="77777777" w:rsidR="00897F0A" w:rsidRPr="006937C2" w:rsidRDefault="00897F0A" w:rsidP="000313DD">
      <w:pPr>
        <w:pStyle w:val="TITU2"/>
      </w:pPr>
      <w:bookmarkStart w:id="913" w:name="_Toc531005925"/>
      <w:bookmarkStart w:id="914" w:name="_Toc404491"/>
      <w:bookmarkEnd w:id="912"/>
      <w:r>
        <w:t>690a</w:t>
      </w:r>
      <w:r w:rsidRPr="006937C2">
        <w:t>.</w:t>
      </w:r>
      <w:r>
        <w:t>3</w:t>
      </w:r>
      <w:r w:rsidRPr="006937C2">
        <w:t>.</w:t>
      </w:r>
      <w:r>
        <w:t xml:space="preserve"> </w:t>
      </w:r>
      <w:r w:rsidRPr="006937C2">
        <w:t>Materiales</w:t>
      </w:r>
      <w:bookmarkEnd w:id="913"/>
      <w:bookmarkEnd w:id="914"/>
      <w:r w:rsidRPr="006937C2">
        <w:t xml:space="preserve"> </w:t>
      </w:r>
    </w:p>
    <w:p w14:paraId="042705B2" w14:textId="77777777" w:rsidR="00897F0A" w:rsidRDefault="00897F0A" w:rsidP="00897F0A">
      <w:pPr>
        <w:pStyle w:val="NORMAL12"/>
      </w:pPr>
      <w:r>
        <w:t>La lámina bituminosa de impermeabilización cumplirá las siguientes especificaciones:</w:t>
      </w:r>
    </w:p>
    <w:p w14:paraId="6812431F" w14:textId="77777777" w:rsidR="00897F0A" w:rsidRDefault="00897F0A" w:rsidP="00755566">
      <w:pPr>
        <w:pStyle w:val="NORMAL12"/>
        <w:numPr>
          <w:ilvl w:val="0"/>
          <w:numId w:val="61"/>
        </w:numPr>
      </w:pPr>
      <w:r>
        <w:t>Producto específico para revestimiento impermeabilizante de superficies de hormigón.</w:t>
      </w:r>
    </w:p>
    <w:p w14:paraId="1FA5E4B7" w14:textId="77777777" w:rsidR="00897F0A" w:rsidRDefault="00897F0A" w:rsidP="00755566">
      <w:pPr>
        <w:pStyle w:val="NORMAL12"/>
        <w:numPr>
          <w:ilvl w:val="0"/>
          <w:numId w:val="61"/>
        </w:numPr>
      </w:pPr>
      <w:r>
        <w:t xml:space="preserve">Tendrá una resistencia al punzonamiento estático de clase L-3 (de 15 a 25 kg) según </w:t>
      </w:r>
      <w:r w:rsidRPr="00122EA4">
        <w:t>UNE EN 12730</w:t>
      </w:r>
    </w:p>
    <w:p w14:paraId="3A43FBE6" w14:textId="77777777" w:rsidR="00897F0A" w:rsidRDefault="00897F0A" w:rsidP="00755566">
      <w:pPr>
        <w:pStyle w:val="NORMAL12"/>
        <w:numPr>
          <w:ilvl w:val="0"/>
          <w:numId w:val="61"/>
        </w:numPr>
      </w:pPr>
      <w:r>
        <w:t>Admitirá el extendido y compactación sobre ella tanto de tierras como de mezclas bituminosas en caliente.</w:t>
      </w:r>
    </w:p>
    <w:p w14:paraId="5D2381F7" w14:textId="77777777" w:rsidR="00897F0A" w:rsidRDefault="00897F0A" w:rsidP="00897F0A">
      <w:pPr>
        <w:pStyle w:val="NORMAL12"/>
      </w:pPr>
      <w:r>
        <w:t>Seguidamente se especifican valores indicativos de distintas propiedades y características de la lámina impermeabilizante. El suministrador aportará un certificado en el que se indiquen las propiedades garantizadas del producto, que deberán ajustarse razonablemente a los valores indicativos siguientes:</w:t>
      </w:r>
    </w:p>
    <w:tbl>
      <w:tblPr>
        <w:tblStyle w:val="Tablaconcuadrcula"/>
        <w:tblW w:w="9067" w:type="dxa"/>
        <w:tblLook w:val="04A0" w:firstRow="1" w:lastRow="0" w:firstColumn="1" w:lastColumn="0" w:noHBand="0" w:noVBand="1"/>
      </w:tblPr>
      <w:tblGrid>
        <w:gridCol w:w="3652"/>
        <w:gridCol w:w="2268"/>
        <w:gridCol w:w="3147"/>
      </w:tblGrid>
      <w:tr w:rsidR="00897F0A" w:rsidRPr="008530A7" w14:paraId="354A6EFB" w14:textId="77777777" w:rsidTr="00700A29">
        <w:tc>
          <w:tcPr>
            <w:tcW w:w="3652" w:type="dxa"/>
            <w:shd w:val="clear" w:color="auto" w:fill="D9D9D9" w:themeFill="background1" w:themeFillShade="D9"/>
          </w:tcPr>
          <w:p w14:paraId="363DD1A6"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rStyle w:val="Textoennegrita"/>
                <w:szCs w:val="22"/>
              </w:rPr>
            </w:pPr>
            <w:r w:rsidRPr="008530A7">
              <w:rPr>
                <w:rStyle w:val="Textoennegrita"/>
                <w:szCs w:val="22"/>
              </w:rPr>
              <w:t>PROPIEDAD</w:t>
            </w:r>
          </w:p>
        </w:tc>
        <w:tc>
          <w:tcPr>
            <w:tcW w:w="2268" w:type="dxa"/>
            <w:shd w:val="clear" w:color="auto" w:fill="D9D9D9" w:themeFill="background1" w:themeFillShade="D9"/>
          </w:tcPr>
          <w:p w14:paraId="7CA09CE0" w14:textId="77777777" w:rsidR="00897F0A" w:rsidRPr="008530A7" w:rsidRDefault="00897F0A" w:rsidP="00700A29">
            <w:pPr>
              <w:pStyle w:val="Tabla"/>
              <w:rPr>
                <w:rStyle w:val="Textoennegrita"/>
                <w:b w:val="0"/>
                <w:szCs w:val="22"/>
              </w:rPr>
            </w:pPr>
            <w:r w:rsidRPr="008530A7">
              <w:rPr>
                <w:rStyle w:val="Textoennegrita"/>
                <w:b w:val="0"/>
                <w:szCs w:val="22"/>
              </w:rPr>
              <w:t>NORMA</w:t>
            </w:r>
          </w:p>
        </w:tc>
        <w:tc>
          <w:tcPr>
            <w:tcW w:w="3147" w:type="dxa"/>
            <w:shd w:val="clear" w:color="auto" w:fill="D9D9D9" w:themeFill="background1" w:themeFillShade="D9"/>
          </w:tcPr>
          <w:p w14:paraId="38AF39D5" w14:textId="77777777" w:rsidR="00897F0A" w:rsidRPr="008530A7" w:rsidRDefault="00897F0A" w:rsidP="00700A29">
            <w:pPr>
              <w:pStyle w:val="Tabla"/>
              <w:rPr>
                <w:rStyle w:val="Textoennegrita"/>
                <w:b w:val="0"/>
                <w:szCs w:val="22"/>
              </w:rPr>
            </w:pPr>
            <w:r w:rsidRPr="008530A7">
              <w:rPr>
                <w:rStyle w:val="Textoennegrita"/>
                <w:b w:val="0"/>
                <w:szCs w:val="22"/>
              </w:rPr>
              <w:t>VALOR INDICATIVO</w:t>
            </w:r>
          </w:p>
        </w:tc>
      </w:tr>
      <w:tr w:rsidR="00897F0A" w:rsidRPr="008530A7" w14:paraId="5A106D11" w14:textId="77777777" w:rsidTr="00700A29">
        <w:tc>
          <w:tcPr>
            <w:tcW w:w="3652" w:type="dxa"/>
          </w:tcPr>
          <w:p w14:paraId="03905B6B"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 xml:space="preserve">Densidad </w:t>
            </w:r>
          </w:p>
        </w:tc>
        <w:tc>
          <w:tcPr>
            <w:tcW w:w="2268" w:type="dxa"/>
          </w:tcPr>
          <w:p w14:paraId="540FCF3E" w14:textId="77777777" w:rsidR="00897F0A" w:rsidRPr="00DC1F38" w:rsidRDefault="00897F0A" w:rsidP="00700A29">
            <w:pPr>
              <w:pStyle w:val="Tabla"/>
              <w:tabs>
                <w:tab w:val="clear" w:pos="567"/>
                <w:tab w:val="clear" w:pos="1418"/>
                <w:tab w:val="clear" w:pos="1985"/>
                <w:tab w:val="clear" w:pos="9072"/>
              </w:tabs>
              <w:overflowPunct/>
              <w:autoSpaceDE/>
              <w:autoSpaceDN/>
              <w:adjustRightInd/>
              <w:textAlignment w:val="auto"/>
              <w:rPr>
                <w:bCs/>
                <w:highlight w:val="yellow"/>
              </w:rPr>
            </w:pPr>
          </w:p>
        </w:tc>
        <w:tc>
          <w:tcPr>
            <w:tcW w:w="3147" w:type="dxa"/>
          </w:tcPr>
          <w:p w14:paraId="7D8E6047"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1,5 kg/m</w:t>
            </w:r>
            <w:r w:rsidRPr="00D921B6">
              <w:rPr>
                <w:bCs/>
                <w:vertAlign w:val="superscript"/>
              </w:rPr>
              <w:t>2</w:t>
            </w:r>
          </w:p>
        </w:tc>
      </w:tr>
      <w:tr w:rsidR="00897F0A" w:rsidRPr="008530A7" w14:paraId="4B568C2C" w14:textId="77777777" w:rsidTr="00700A29">
        <w:tc>
          <w:tcPr>
            <w:tcW w:w="3652" w:type="dxa"/>
          </w:tcPr>
          <w:p w14:paraId="433506F5"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Espesor</w:t>
            </w:r>
          </w:p>
        </w:tc>
        <w:tc>
          <w:tcPr>
            <w:tcW w:w="2268" w:type="dxa"/>
          </w:tcPr>
          <w:p w14:paraId="6458C06A" w14:textId="77777777" w:rsidR="00897F0A" w:rsidRPr="00DC1F38" w:rsidRDefault="00897F0A" w:rsidP="00700A29">
            <w:pPr>
              <w:pStyle w:val="Tabla"/>
              <w:tabs>
                <w:tab w:val="clear" w:pos="567"/>
                <w:tab w:val="clear" w:pos="1418"/>
                <w:tab w:val="clear" w:pos="1985"/>
                <w:tab w:val="clear" w:pos="9072"/>
              </w:tabs>
              <w:overflowPunct/>
              <w:autoSpaceDE/>
              <w:autoSpaceDN/>
              <w:adjustRightInd/>
              <w:textAlignment w:val="auto"/>
              <w:rPr>
                <w:bCs/>
                <w:highlight w:val="yellow"/>
              </w:rPr>
            </w:pPr>
            <w:r w:rsidRPr="00122EA4">
              <w:rPr>
                <w:bCs/>
              </w:rPr>
              <w:t>UNE EN 1849-1</w:t>
            </w:r>
          </w:p>
        </w:tc>
        <w:tc>
          <w:tcPr>
            <w:tcW w:w="3147" w:type="dxa"/>
          </w:tcPr>
          <w:p w14:paraId="3BDA936D"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1,5 mm</w:t>
            </w:r>
          </w:p>
        </w:tc>
      </w:tr>
      <w:tr w:rsidR="00897F0A" w:rsidRPr="008530A7" w14:paraId="7278EE95" w14:textId="77777777" w:rsidTr="00700A29">
        <w:tc>
          <w:tcPr>
            <w:tcW w:w="3652" w:type="dxa"/>
          </w:tcPr>
          <w:p w14:paraId="524C4A14"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proofErr w:type="spellStart"/>
            <w:r w:rsidRPr="008530A7">
              <w:rPr>
                <w:bCs/>
              </w:rPr>
              <w:t>Plegabilidad</w:t>
            </w:r>
            <w:proofErr w:type="spellEnd"/>
          </w:p>
        </w:tc>
        <w:tc>
          <w:tcPr>
            <w:tcW w:w="2268" w:type="dxa"/>
          </w:tcPr>
          <w:p w14:paraId="53C2AFCA" w14:textId="77777777" w:rsidR="00897F0A" w:rsidRPr="00DC1F38" w:rsidRDefault="00897F0A" w:rsidP="00700A29">
            <w:pPr>
              <w:pStyle w:val="Tabla"/>
              <w:tabs>
                <w:tab w:val="clear" w:pos="567"/>
                <w:tab w:val="clear" w:pos="1418"/>
                <w:tab w:val="clear" w:pos="1985"/>
                <w:tab w:val="clear" w:pos="9072"/>
              </w:tabs>
              <w:overflowPunct/>
              <w:autoSpaceDE/>
              <w:autoSpaceDN/>
              <w:adjustRightInd/>
              <w:textAlignment w:val="auto"/>
              <w:rPr>
                <w:bCs/>
                <w:highlight w:val="yellow"/>
              </w:rPr>
            </w:pPr>
            <w:r w:rsidRPr="00AA5158">
              <w:rPr>
                <w:bCs/>
              </w:rPr>
              <w:t>UNE EN 1109</w:t>
            </w:r>
          </w:p>
        </w:tc>
        <w:tc>
          <w:tcPr>
            <w:tcW w:w="3147" w:type="dxa"/>
          </w:tcPr>
          <w:p w14:paraId="6EDEC002"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No rompe al doblar a -20ºC</w:t>
            </w:r>
          </w:p>
        </w:tc>
      </w:tr>
      <w:tr w:rsidR="00897F0A" w:rsidRPr="008530A7" w14:paraId="2685F102" w14:textId="77777777" w:rsidTr="00700A29">
        <w:tc>
          <w:tcPr>
            <w:tcW w:w="3652" w:type="dxa"/>
          </w:tcPr>
          <w:p w14:paraId="2465ACA9"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Resistencia al calor</w:t>
            </w:r>
          </w:p>
        </w:tc>
        <w:tc>
          <w:tcPr>
            <w:tcW w:w="2268" w:type="dxa"/>
          </w:tcPr>
          <w:p w14:paraId="6B9DA3D6" w14:textId="77777777" w:rsidR="00897F0A" w:rsidRPr="00DC1F38" w:rsidRDefault="00897F0A" w:rsidP="00700A29">
            <w:pPr>
              <w:pStyle w:val="Tabla"/>
              <w:tabs>
                <w:tab w:val="clear" w:pos="567"/>
                <w:tab w:val="clear" w:pos="1418"/>
                <w:tab w:val="clear" w:pos="1985"/>
                <w:tab w:val="clear" w:pos="9072"/>
              </w:tabs>
              <w:overflowPunct/>
              <w:autoSpaceDE/>
              <w:autoSpaceDN/>
              <w:adjustRightInd/>
              <w:textAlignment w:val="auto"/>
              <w:rPr>
                <w:bCs/>
                <w:highlight w:val="yellow"/>
              </w:rPr>
            </w:pPr>
            <w:r w:rsidRPr="004C7B20">
              <w:rPr>
                <w:bCs/>
              </w:rPr>
              <w:t>UNE EN 1110</w:t>
            </w:r>
          </w:p>
        </w:tc>
        <w:tc>
          <w:tcPr>
            <w:tcW w:w="3147" w:type="dxa"/>
          </w:tcPr>
          <w:p w14:paraId="19A33DC8"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No gotea ni desliza a 90ºC</w:t>
            </w:r>
          </w:p>
        </w:tc>
      </w:tr>
      <w:tr w:rsidR="00897F0A" w:rsidRPr="008530A7" w14:paraId="7353D297" w14:textId="77777777" w:rsidTr="00700A29">
        <w:tc>
          <w:tcPr>
            <w:tcW w:w="3652" w:type="dxa"/>
          </w:tcPr>
          <w:p w14:paraId="7B7B9AE9"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Adherencia a superficies imprimadas</w:t>
            </w:r>
          </w:p>
        </w:tc>
        <w:tc>
          <w:tcPr>
            <w:tcW w:w="2268" w:type="dxa"/>
          </w:tcPr>
          <w:p w14:paraId="4FF2DDE5" w14:textId="77777777" w:rsidR="00897F0A" w:rsidRPr="00DC1F38" w:rsidRDefault="00897F0A" w:rsidP="00700A29">
            <w:pPr>
              <w:pStyle w:val="Tabla"/>
              <w:tabs>
                <w:tab w:val="clear" w:pos="567"/>
                <w:tab w:val="clear" w:pos="1418"/>
                <w:tab w:val="clear" w:pos="1985"/>
                <w:tab w:val="clear" w:pos="9072"/>
              </w:tabs>
              <w:overflowPunct/>
              <w:autoSpaceDE/>
              <w:autoSpaceDN/>
              <w:adjustRightInd/>
              <w:textAlignment w:val="auto"/>
              <w:rPr>
                <w:bCs/>
                <w:highlight w:val="yellow"/>
              </w:rPr>
            </w:pPr>
            <w:r w:rsidRPr="00103215">
              <w:rPr>
                <w:bCs/>
              </w:rPr>
              <w:t>ASTM D-1000</w:t>
            </w:r>
          </w:p>
        </w:tc>
        <w:tc>
          <w:tcPr>
            <w:tcW w:w="3147" w:type="dxa"/>
          </w:tcPr>
          <w:p w14:paraId="333780C5"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4,5 N/mm</w:t>
            </w:r>
          </w:p>
        </w:tc>
      </w:tr>
      <w:tr w:rsidR="00897F0A" w:rsidRPr="008530A7" w14:paraId="6889F844" w14:textId="77777777" w:rsidTr="00700A29">
        <w:tc>
          <w:tcPr>
            <w:tcW w:w="3652" w:type="dxa"/>
          </w:tcPr>
          <w:p w14:paraId="71C2E091"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Adherencia a los solapes</w:t>
            </w:r>
          </w:p>
        </w:tc>
        <w:tc>
          <w:tcPr>
            <w:tcW w:w="2268" w:type="dxa"/>
          </w:tcPr>
          <w:p w14:paraId="5C2E024D" w14:textId="77777777" w:rsidR="00897F0A" w:rsidRPr="00DC1F38" w:rsidRDefault="00897F0A" w:rsidP="00700A29">
            <w:pPr>
              <w:pStyle w:val="Tabla"/>
              <w:tabs>
                <w:tab w:val="clear" w:pos="567"/>
                <w:tab w:val="clear" w:pos="1418"/>
                <w:tab w:val="clear" w:pos="1985"/>
                <w:tab w:val="clear" w:pos="9072"/>
              </w:tabs>
              <w:overflowPunct/>
              <w:autoSpaceDE/>
              <w:autoSpaceDN/>
              <w:adjustRightInd/>
              <w:textAlignment w:val="auto"/>
              <w:rPr>
                <w:bCs/>
                <w:highlight w:val="yellow"/>
              </w:rPr>
            </w:pPr>
            <w:r w:rsidRPr="004C7B20">
              <w:rPr>
                <w:bCs/>
              </w:rPr>
              <w:t>UNE EN 12316</w:t>
            </w:r>
          </w:p>
        </w:tc>
        <w:tc>
          <w:tcPr>
            <w:tcW w:w="3147" w:type="dxa"/>
          </w:tcPr>
          <w:p w14:paraId="6C1B25E7"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4,0 N/mm</w:t>
            </w:r>
          </w:p>
        </w:tc>
      </w:tr>
      <w:tr w:rsidR="00897F0A" w:rsidRPr="008530A7" w14:paraId="017828DF" w14:textId="77777777" w:rsidTr="00700A29">
        <w:tc>
          <w:tcPr>
            <w:tcW w:w="3652" w:type="dxa"/>
            <w:tcBorders>
              <w:bottom w:val="nil"/>
            </w:tcBorders>
          </w:tcPr>
          <w:p w14:paraId="10063188"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Resistencia a tracción:</w:t>
            </w:r>
          </w:p>
        </w:tc>
        <w:tc>
          <w:tcPr>
            <w:tcW w:w="2268" w:type="dxa"/>
            <w:tcBorders>
              <w:bottom w:val="nil"/>
            </w:tcBorders>
          </w:tcPr>
          <w:p w14:paraId="58A6E64D" w14:textId="77777777" w:rsidR="00897F0A" w:rsidRPr="00DC1F38" w:rsidRDefault="00897F0A" w:rsidP="00700A29">
            <w:pPr>
              <w:pStyle w:val="Tabla"/>
              <w:tabs>
                <w:tab w:val="clear" w:pos="567"/>
                <w:tab w:val="clear" w:pos="1418"/>
                <w:tab w:val="clear" w:pos="1985"/>
                <w:tab w:val="clear" w:pos="9072"/>
              </w:tabs>
              <w:overflowPunct/>
              <w:autoSpaceDE/>
              <w:autoSpaceDN/>
              <w:adjustRightInd/>
              <w:textAlignment w:val="auto"/>
              <w:rPr>
                <w:bCs/>
                <w:highlight w:val="yellow"/>
              </w:rPr>
            </w:pPr>
          </w:p>
        </w:tc>
        <w:tc>
          <w:tcPr>
            <w:tcW w:w="3147" w:type="dxa"/>
            <w:tcBorders>
              <w:bottom w:val="nil"/>
            </w:tcBorders>
          </w:tcPr>
          <w:p w14:paraId="15DE0525"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p>
        </w:tc>
      </w:tr>
      <w:tr w:rsidR="00897F0A" w:rsidRPr="008530A7" w14:paraId="3D93AC83" w14:textId="77777777" w:rsidTr="00700A29">
        <w:tc>
          <w:tcPr>
            <w:tcW w:w="3652" w:type="dxa"/>
            <w:tcBorders>
              <w:top w:val="nil"/>
              <w:bottom w:val="nil"/>
            </w:tcBorders>
          </w:tcPr>
          <w:p w14:paraId="79C4B0F9"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Longitudinal</w:t>
            </w:r>
          </w:p>
        </w:tc>
        <w:tc>
          <w:tcPr>
            <w:tcW w:w="2268" w:type="dxa"/>
            <w:tcBorders>
              <w:top w:val="nil"/>
              <w:bottom w:val="nil"/>
            </w:tcBorders>
          </w:tcPr>
          <w:p w14:paraId="09C648FB" w14:textId="77777777" w:rsidR="00897F0A" w:rsidRPr="00AA5158"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AA5158">
              <w:rPr>
                <w:bCs/>
              </w:rPr>
              <w:t>UNE EN 12311-1</w:t>
            </w:r>
          </w:p>
        </w:tc>
        <w:tc>
          <w:tcPr>
            <w:tcW w:w="3147" w:type="dxa"/>
            <w:tcBorders>
              <w:top w:val="nil"/>
              <w:bottom w:val="nil"/>
            </w:tcBorders>
          </w:tcPr>
          <w:p w14:paraId="16EA8241"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750 N/50mm</w:t>
            </w:r>
          </w:p>
        </w:tc>
      </w:tr>
      <w:tr w:rsidR="00897F0A" w:rsidRPr="008530A7" w14:paraId="6409398F" w14:textId="77777777" w:rsidTr="00700A29">
        <w:tc>
          <w:tcPr>
            <w:tcW w:w="3652" w:type="dxa"/>
            <w:tcBorders>
              <w:top w:val="nil"/>
              <w:bottom w:val="single" w:sz="4" w:space="0" w:color="000000" w:themeColor="text1"/>
            </w:tcBorders>
          </w:tcPr>
          <w:p w14:paraId="654E0091"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Transversal</w:t>
            </w:r>
          </w:p>
        </w:tc>
        <w:tc>
          <w:tcPr>
            <w:tcW w:w="2268" w:type="dxa"/>
            <w:tcBorders>
              <w:top w:val="nil"/>
              <w:bottom w:val="single" w:sz="4" w:space="0" w:color="000000" w:themeColor="text1"/>
            </w:tcBorders>
          </w:tcPr>
          <w:p w14:paraId="7C78B8DA" w14:textId="77777777" w:rsidR="00897F0A" w:rsidRPr="00AA5158"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AA5158">
              <w:rPr>
                <w:bCs/>
              </w:rPr>
              <w:t>UNE EN 12311-1</w:t>
            </w:r>
          </w:p>
        </w:tc>
        <w:tc>
          <w:tcPr>
            <w:tcW w:w="3147" w:type="dxa"/>
            <w:tcBorders>
              <w:top w:val="nil"/>
              <w:bottom w:val="single" w:sz="4" w:space="0" w:color="000000" w:themeColor="text1"/>
            </w:tcBorders>
          </w:tcPr>
          <w:p w14:paraId="3E587EE7"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600 N/50mm</w:t>
            </w:r>
          </w:p>
        </w:tc>
      </w:tr>
      <w:tr w:rsidR="00897F0A" w:rsidRPr="008530A7" w14:paraId="59C9AB6A" w14:textId="77777777" w:rsidTr="00700A29">
        <w:tc>
          <w:tcPr>
            <w:tcW w:w="3652" w:type="dxa"/>
            <w:tcBorders>
              <w:top w:val="single" w:sz="4" w:space="0" w:color="000000" w:themeColor="text1"/>
              <w:bottom w:val="nil"/>
            </w:tcBorders>
          </w:tcPr>
          <w:p w14:paraId="50F21464"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 xml:space="preserve">Elongación a rotura </w:t>
            </w:r>
          </w:p>
        </w:tc>
        <w:tc>
          <w:tcPr>
            <w:tcW w:w="2268" w:type="dxa"/>
            <w:tcBorders>
              <w:top w:val="single" w:sz="4" w:space="0" w:color="000000" w:themeColor="text1"/>
              <w:bottom w:val="nil"/>
            </w:tcBorders>
          </w:tcPr>
          <w:p w14:paraId="72051A50" w14:textId="77777777" w:rsidR="00897F0A" w:rsidRPr="00AA5158" w:rsidRDefault="00897F0A" w:rsidP="00700A29">
            <w:pPr>
              <w:pStyle w:val="Tabla"/>
              <w:tabs>
                <w:tab w:val="clear" w:pos="567"/>
                <w:tab w:val="clear" w:pos="1418"/>
                <w:tab w:val="clear" w:pos="1985"/>
                <w:tab w:val="clear" w:pos="9072"/>
              </w:tabs>
              <w:overflowPunct/>
              <w:autoSpaceDE/>
              <w:autoSpaceDN/>
              <w:adjustRightInd/>
              <w:textAlignment w:val="auto"/>
              <w:rPr>
                <w:bCs/>
              </w:rPr>
            </w:pPr>
          </w:p>
        </w:tc>
        <w:tc>
          <w:tcPr>
            <w:tcW w:w="3147" w:type="dxa"/>
            <w:tcBorders>
              <w:top w:val="single" w:sz="4" w:space="0" w:color="000000" w:themeColor="text1"/>
              <w:bottom w:val="nil"/>
            </w:tcBorders>
          </w:tcPr>
          <w:p w14:paraId="48CF7509"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p>
        </w:tc>
      </w:tr>
      <w:tr w:rsidR="00897F0A" w:rsidRPr="008530A7" w14:paraId="461606C1" w14:textId="77777777" w:rsidTr="00700A29">
        <w:tc>
          <w:tcPr>
            <w:tcW w:w="3652" w:type="dxa"/>
            <w:tcBorders>
              <w:top w:val="nil"/>
              <w:bottom w:val="nil"/>
            </w:tcBorders>
          </w:tcPr>
          <w:p w14:paraId="28C1F6D9"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Longitudinal</w:t>
            </w:r>
          </w:p>
        </w:tc>
        <w:tc>
          <w:tcPr>
            <w:tcW w:w="2268" w:type="dxa"/>
            <w:tcBorders>
              <w:top w:val="nil"/>
              <w:bottom w:val="nil"/>
            </w:tcBorders>
          </w:tcPr>
          <w:p w14:paraId="3427A78B" w14:textId="77777777" w:rsidR="00897F0A" w:rsidRPr="00AA5158"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AA5158">
              <w:rPr>
                <w:bCs/>
              </w:rPr>
              <w:t>UNE EN 12311-1</w:t>
            </w:r>
          </w:p>
        </w:tc>
        <w:tc>
          <w:tcPr>
            <w:tcW w:w="3147" w:type="dxa"/>
            <w:tcBorders>
              <w:top w:val="nil"/>
              <w:bottom w:val="nil"/>
            </w:tcBorders>
          </w:tcPr>
          <w:p w14:paraId="705348A0"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25%</w:t>
            </w:r>
          </w:p>
        </w:tc>
      </w:tr>
      <w:tr w:rsidR="00897F0A" w:rsidRPr="008530A7" w14:paraId="10CCD9C4" w14:textId="77777777" w:rsidTr="00700A29">
        <w:tc>
          <w:tcPr>
            <w:tcW w:w="3652" w:type="dxa"/>
            <w:tcBorders>
              <w:top w:val="nil"/>
              <w:bottom w:val="single" w:sz="4" w:space="0" w:color="000000" w:themeColor="text1"/>
            </w:tcBorders>
          </w:tcPr>
          <w:p w14:paraId="560DF1DA"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Transversal</w:t>
            </w:r>
          </w:p>
        </w:tc>
        <w:tc>
          <w:tcPr>
            <w:tcW w:w="2268" w:type="dxa"/>
            <w:tcBorders>
              <w:top w:val="nil"/>
              <w:bottom w:val="single" w:sz="4" w:space="0" w:color="000000" w:themeColor="text1"/>
            </w:tcBorders>
          </w:tcPr>
          <w:p w14:paraId="70042CEE" w14:textId="77777777" w:rsidR="00897F0A" w:rsidRPr="00AA5158"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AA5158">
              <w:rPr>
                <w:bCs/>
              </w:rPr>
              <w:t>UNE EN 12311-1</w:t>
            </w:r>
          </w:p>
        </w:tc>
        <w:tc>
          <w:tcPr>
            <w:tcW w:w="3147" w:type="dxa"/>
            <w:tcBorders>
              <w:top w:val="nil"/>
              <w:bottom w:val="single" w:sz="4" w:space="0" w:color="000000" w:themeColor="text1"/>
            </w:tcBorders>
          </w:tcPr>
          <w:p w14:paraId="6B3CA683"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25%</w:t>
            </w:r>
          </w:p>
        </w:tc>
      </w:tr>
      <w:tr w:rsidR="00897F0A" w:rsidRPr="008530A7" w14:paraId="1993BA26" w14:textId="77777777" w:rsidTr="00700A29">
        <w:tc>
          <w:tcPr>
            <w:tcW w:w="3652" w:type="dxa"/>
            <w:tcBorders>
              <w:top w:val="single" w:sz="4" w:space="0" w:color="000000" w:themeColor="text1"/>
              <w:bottom w:val="nil"/>
            </w:tcBorders>
          </w:tcPr>
          <w:p w14:paraId="1DCAF684"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Desgarro al clavo</w:t>
            </w:r>
          </w:p>
        </w:tc>
        <w:tc>
          <w:tcPr>
            <w:tcW w:w="2268" w:type="dxa"/>
            <w:tcBorders>
              <w:top w:val="single" w:sz="4" w:space="0" w:color="000000" w:themeColor="text1"/>
              <w:bottom w:val="nil"/>
            </w:tcBorders>
          </w:tcPr>
          <w:p w14:paraId="0E5FF648" w14:textId="77777777" w:rsidR="00897F0A" w:rsidRPr="00AA5158" w:rsidRDefault="00897F0A" w:rsidP="00700A29">
            <w:pPr>
              <w:pStyle w:val="Tabla"/>
              <w:tabs>
                <w:tab w:val="clear" w:pos="567"/>
                <w:tab w:val="clear" w:pos="1418"/>
                <w:tab w:val="clear" w:pos="1985"/>
                <w:tab w:val="clear" w:pos="9072"/>
              </w:tabs>
              <w:overflowPunct/>
              <w:autoSpaceDE/>
              <w:autoSpaceDN/>
              <w:adjustRightInd/>
              <w:textAlignment w:val="auto"/>
              <w:rPr>
                <w:bCs/>
              </w:rPr>
            </w:pPr>
          </w:p>
        </w:tc>
        <w:tc>
          <w:tcPr>
            <w:tcW w:w="3147" w:type="dxa"/>
            <w:tcBorders>
              <w:top w:val="single" w:sz="4" w:space="0" w:color="000000" w:themeColor="text1"/>
              <w:bottom w:val="nil"/>
            </w:tcBorders>
          </w:tcPr>
          <w:p w14:paraId="1277D0D8"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p>
        </w:tc>
      </w:tr>
      <w:tr w:rsidR="00897F0A" w:rsidRPr="008530A7" w14:paraId="2C339F75" w14:textId="77777777" w:rsidTr="00700A29">
        <w:tc>
          <w:tcPr>
            <w:tcW w:w="3652" w:type="dxa"/>
            <w:tcBorders>
              <w:top w:val="nil"/>
              <w:bottom w:val="nil"/>
            </w:tcBorders>
          </w:tcPr>
          <w:p w14:paraId="535908D0"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Longitudinal</w:t>
            </w:r>
          </w:p>
        </w:tc>
        <w:tc>
          <w:tcPr>
            <w:tcW w:w="2268" w:type="dxa"/>
            <w:tcBorders>
              <w:top w:val="nil"/>
              <w:bottom w:val="nil"/>
            </w:tcBorders>
          </w:tcPr>
          <w:p w14:paraId="19B3F892" w14:textId="77777777" w:rsidR="00897F0A" w:rsidRPr="00AA5158"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AA5158">
              <w:rPr>
                <w:bCs/>
              </w:rPr>
              <w:t>UNE EN 12310-1</w:t>
            </w:r>
          </w:p>
        </w:tc>
        <w:tc>
          <w:tcPr>
            <w:tcW w:w="3147" w:type="dxa"/>
            <w:tcBorders>
              <w:top w:val="nil"/>
              <w:bottom w:val="nil"/>
            </w:tcBorders>
          </w:tcPr>
          <w:p w14:paraId="2853A6D2"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450 N</w:t>
            </w:r>
          </w:p>
        </w:tc>
      </w:tr>
      <w:tr w:rsidR="00897F0A" w:rsidRPr="008530A7" w14:paraId="6CDFBE51" w14:textId="77777777" w:rsidTr="00700A29">
        <w:tc>
          <w:tcPr>
            <w:tcW w:w="3652" w:type="dxa"/>
            <w:tcBorders>
              <w:top w:val="nil"/>
            </w:tcBorders>
          </w:tcPr>
          <w:p w14:paraId="537904D3"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Transversal</w:t>
            </w:r>
          </w:p>
        </w:tc>
        <w:tc>
          <w:tcPr>
            <w:tcW w:w="2268" w:type="dxa"/>
            <w:tcBorders>
              <w:top w:val="nil"/>
            </w:tcBorders>
          </w:tcPr>
          <w:p w14:paraId="64BAEAC4" w14:textId="77777777" w:rsidR="00897F0A" w:rsidRPr="00AA5158"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AA5158">
              <w:rPr>
                <w:bCs/>
              </w:rPr>
              <w:t>UNE EN 12310-1</w:t>
            </w:r>
          </w:p>
        </w:tc>
        <w:tc>
          <w:tcPr>
            <w:tcW w:w="3147" w:type="dxa"/>
            <w:tcBorders>
              <w:top w:val="nil"/>
            </w:tcBorders>
          </w:tcPr>
          <w:p w14:paraId="71CD526B"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350 N</w:t>
            </w:r>
          </w:p>
        </w:tc>
      </w:tr>
      <w:tr w:rsidR="00897F0A" w:rsidRPr="008530A7" w14:paraId="0DB2474C" w14:textId="77777777" w:rsidTr="00700A29">
        <w:tc>
          <w:tcPr>
            <w:tcW w:w="3652" w:type="dxa"/>
          </w:tcPr>
          <w:p w14:paraId="5E95158C"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Punzonamiento estático</w:t>
            </w:r>
          </w:p>
        </w:tc>
        <w:tc>
          <w:tcPr>
            <w:tcW w:w="2268" w:type="dxa"/>
          </w:tcPr>
          <w:p w14:paraId="186879E6" w14:textId="77777777" w:rsidR="00897F0A" w:rsidRPr="00DC1F38" w:rsidRDefault="00897F0A" w:rsidP="00700A29">
            <w:pPr>
              <w:pStyle w:val="Tabla"/>
              <w:tabs>
                <w:tab w:val="clear" w:pos="567"/>
                <w:tab w:val="clear" w:pos="1418"/>
                <w:tab w:val="clear" w:pos="1985"/>
                <w:tab w:val="clear" w:pos="9072"/>
              </w:tabs>
              <w:overflowPunct/>
              <w:autoSpaceDE/>
              <w:autoSpaceDN/>
              <w:adjustRightInd/>
              <w:textAlignment w:val="auto"/>
              <w:rPr>
                <w:bCs/>
                <w:highlight w:val="yellow"/>
              </w:rPr>
            </w:pPr>
            <w:r w:rsidRPr="00122EA4">
              <w:rPr>
                <w:bCs/>
              </w:rPr>
              <w:t>UNE EN 12730</w:t>
            </w:r>
          </w:p>
        </w:tc>
        <w:tc>
          <w:tcPr>
            <w:tcW w:w="3147" w:type="dxa"/>
          </w:tcPr>
          <w:p w14:paraId="7B191E74" w14:textId="77777777" w:rsidR="00897F0A" w:rsidRPr="008530A7" w:rsidRDefault="00897F0A" w:rsidP="00700A29">
            <w:pPr>
              <w:pStyle w:val="Tabla"/>
              <w:tabs>
                <w:tab w:val="clear" w:pos="567"/>
                <w:tab w:val="clear" w:pos="1418"/>
                <w:tab w:val="clear" w:pos="1985"/>
                <w:tab w:val="clear" w:pos="9072"/>
              </w:tabs>
              <w:overflowPunct/>
              <w:autoSpaceDE/>
              <w:autoSpaceDN/>
              <w:adjustRightInd/>
              <w:textAlignment w:val="auto"/>
              <w:rPr>
                <w:bCs/>
              </w:rPr>
            </w:pPr>
            <w:r w:rsidRPr="008530A7">
              <w:rPr>
                <w:bCs/>
              </w:rPr>
              <w:t>Clasificación L3 (de 15 a 25 kg)</w:t>
            </w:r>
          </w:p>
        </w:tc>
      </w:tr>
    </w:tbl>
    <w:p w14:paraId="0B65EB88" w14:textId="77777777" w:rsidR="00755566" w:rsidRDefault="00755566" w:rsidP="00897F0A">
      <w:pPr>
        <w:pStyle w:val="NORMAL12"/>
      </w:pPr>
    </w:p>
    <w:p w14:paraId="6009675E" w14:textId="77777777" w:rsidR="00897F0A" w:rsidRDefault="00897F0A" w:rsidP="00897F0A">
      <w:pPr>
        <w:pStyle w:val="NORMAL12"/>
      </w:pPr>
      <w:r>
        <w:lastRenderedPageBreak/>
        <w:t>La lámina drenante cumplirá las siguientes especificaciones:</w:t>
      </w:r>
    </w:p>
    <w:p w14:paraId="63CF6C5E" w14:textId="77777777" w:rsidR="00897F0A" w:rsidRDefault="00897F0A" w:rsidP="00755566">
      <w:pPr>
        <w:pStyle w:val="NORMAL12"/>
        <w:numPr>
          <w:ilvl w:val="0"/>
          <w:numId w:val="61"/>
        </w:numPr>
      </w:pPr>
      <w:proofErr w:type="spellStart"/>
      <w:r>
        <w:t>Geocompuesto</w:t>
      </w:r>
      <w:proofErr w:type="spellEnd"/>
      <w:r>
        <w:t xml:space="preserve"> formado por una lámina nodular de polietileno de alta densidad no reciclado, que incorpora un filtro geotextil no tejido de filamento continuo, 100% polipropileno, </w:t>
      </w:r>
      <w:proofErr w:type="spellStart"/>
      <w:r>
        <w:t>termosoldado</w:t>
      </w:r>
      <w:proofErr w:type="spellEnd"/>
      <w:r>
        <w:t xml:space="preserve"> a la lámina nodular.</w:t>
      </w:r>
    </w:p>
    <w:p w14:paraId="277D4F95" w14:textId="77777777" w:rsidR="00897F0A" w:rsidRDefault="00897F0A" w:rsidP="00755566">
      <w:pPr>
        <w:pStyle w:val="NORMAL12"/>
        <w:numPr>
          <w:ilvl w:val="0"/>
          <w:numId w:val="61"/>
        </w:numPr>
      </w:pPr>
      <w:r>
        <w:t xml:space="preserve">El </w:t>
      </w:r>
      <w:proofErr w:type="spellStart"/>
      <w:r>
        <w:t>geocompuesto</w:t>
      </w:r>
      <w:proofErr w:type="spellEnd"/>
      <w:r>
        <w:t xml:space="preserve"> será resistente a álcalis, ácidos, aceites, disolventes y, en general, a cualquier agente agresivo.</w:t>
      </w:r>
    </w:p>
    <w:p w14:paraId="0D62BD28" w14:textId="77777777" w:rsidR="00897F0A" w:rsidRDefault="00897F0A" w:rsidP="00755566">
      <w:pPr>
        <w:pStyle w:val="NORMAL12"/>
        <w:numPr>
          <w:ilvl w:val="0"/>
          <w:numId w:val="61"/>
        </w:numPr>
      </w:pPr>
      <w:r>
        <w:t>Será imputrescible y con alta resistencia al deterioro por envejecimiento</w:t>
      </w:r>
    </w:p>
    <w:p w14:paraId="1FFF5996" w14:textId="77777777" w:rsidR="00897F0A" w:rsidRDefault="00897F0A" w:rsidP="00755566">
      <w:pPr>
        <w:pStyle w:val="NORMAL12"/>
        <w:numPr>
          <w:ilvl w:val="0"/>
          <w:numId w:val="61"/>
        </w:numPr>
      </w:pPr>
      <w:r>
        <w:t xml:space="preserve">Tendrá una alta capacidad drenante. Como mínimo, la capacidad de drenaje del </w:t>
      </w:r>
      <w:proofErr w:type="spellStart"/>
      <w:r>
        <w:t>geocompuesto</w:t>
      </w:r>
      <w:proofErr w:type="spellEnd"/>
      <w:r>
        <w:t xml:space="preserve"> medida a 20 kPa de compresión será ≥1,9 l/m/s</w:t>
      </w:r>
    </w:p>
    <w:p w14:paraId="221C8FDC" w14:textId="77777777" w:rsidR="00897F0A" w:rsidRDefault="00897F0A" w:rsidP="00755566">
      <w:pPr>
        <w:pStyle w:val="NORMAL12"/>
        <w:numPr>
          <w:ilvl w:val="0"/>
          <w:numId w:val="61"/>
        </w:numPr>
      </w:pPr>
      <w:r>
        <w:t xml:space="preserve">Será conforme a la </w:t>
      </w:r>
      <w:r w:rsidRPr="004C7B20">
        <w:t>norma UNE EN 13252:2017 y las que, con</w:t>
      </w:r>
      <w:r>
        <w:t xml:space="preserve"> posterioridad a la redacción de este Pliego, resulten de aplicación.</w:t>
      </w:r>
    </w:p>
    <w:p w14:paraId="3CC79F86" w14:textId="77777777" w:rsidR="00897F0A" w:rsidRPr="006937C2" w:rsidRDefault="00897F0A" w:rsidP="000313DD">
      <w:pPr>
        <w:pStyle w:val="TITU2"/>
      </w:pPr>
      <w:bookmarkStart w:id="915" w:name="_Toc531005926"/>
      <w:bookmarkStart w:id="916" w:name="_Toc404492"/>
      <w:r>
        <w:t>690a</w:t>
      </w:r>
      <w:r w:rsidRPr="006937C2">
        <w:t>.5.</w:t>
      </w:r>
      <w:r>
        <w:t xml:space="preserve"> </w:t>
      </w:r>
      <w:r w:rsidR="00755566">
        <w:t xml:space="preserve"> </w:t>
      </w:r>
      <w:r w:rsidRPr="006937C2">
        <w:t xml:space="preserve">Ejecución </w:t>
      </w:r>
      <w:r>
        <w:t>de las obras</w:t>
      </w:r>
      <w:bookmarkEnd w:id="915"/>
      <w:bookmarkEnd w:id="916"/>
    </w:p>
    <w:p w14:paraId="513F9EC9" w14:textId="77777777" w:rsidR="00897F0A" w:rsidRDefault="00897F0A" w:rsidP="00897F0A">
      <w:pPr>
        <w:pStyle w:val="NORMAL12"/>
      </w:pPr>
      <w:r>
        <w:t>La ejecución del sistema de impermeabilización y drenaje del trasdós de obras de fábrica se ajustará a las especificaciones y procedimientos del fabricante del producto, pero, de forma general, se seguirán las prescripciones que seguidamente se indican.</w:t>
      </w:r>
    </w:p>
    <w:p w14:paraId="10BB6D53" w14:textId="77777777" w:rsidR="00897F0A" w:rsidRDefault="00897F0A" w:rsidP="00897F0A">
      <w:pPr>
        <w:pStyle w:val="NORMAL12"/>
      </w:pPr>
      <w:r>
        <w:t>Los paramentos horizontales y verticales estarán limpios, completamente secos y libres de partículas sueltas, lechada o películas de protección. El hormigón habrá fraguado completamente. La edad mínima para la aplicación de la lámina impermeabilizante será de 28 días.</w:t>
      </w:r>
    </w:p>
    <w:p w14:paraId="015DB6A3" w14:textId="77777777" w:rsidR="00897F0A" w:rsidRDefault="00897F0A" w:rsidP="00897F0A">
      <w:pPr>
        <w:pStyle w:val="NORMAL12"/>
      </w:pPr>
      <w:r>
        <w:t>Se eliminarán todas las irregularidades y elementos punzantes de los paramentos, hasta dejar una superficie regular, sin aristas ni elementos pronunciados que pudieran deteriorar la lámina impermeabilizante.</w:t>
      </w:r>
    </w:p>
    <w:p w14:paraId="03344883" w14:textId="77777777" w:rsidR="00897F0A" w:rsidRDefault="00897F0A" w:rsidP="00897F0A">
      <w:pPr>
        <w:pStyle w:val="NORMAL12"/>
      </w:pPr>
      <w:r>
        <w:t>Antes de la fijación de la lámina impermeabilizante se aplicará una imprimación sobre el paramento. El suministrador garantizará la idoneidad de la imprimación propuesta con la lámina impermeabilizante a instalar.</w:t>
      </w:r>
    </w:p>
    <w:p w14:paraId="07CE6D09" w14:textId="77777777" w:rsidR="00897F0A" w:rsidRDefault="00897F0A" w:rsidP="00897F0A">
      <w:pPr>
        <w:pStyle w:val="NORMAL12"/>
      </w:pPr>
      <w:r>
        <w:t>Posteriormente se instalará la lámina impermeabilizante, que deberá quedar completamente adherida al soporte, con ausencia de burbujas y zonas dañadas. Si existieran estas zonas dañadas o con burbujas de aire se repararían pinchando la lámina y presionando para evacuar el aire, y aplicando posteriormente un parche sobre la zona reparada.</w:t>
      </w:r>
    </w:p>
    <w:p w14:paraId="1539AE07" w14:textId="77777777" w:rsidR="00897F0A" w:rsidRDefault="00897F0A" w:rsidP="00897F0A">
      <w:pPr>
        <w:pStyle w:val="NORMAL12"/>
      </w:pPr>
      <w:r>
        <w:t xml:space="preserve">Sobre la lámina impermeabilizante se colocará la lámina drenante. El </w:t>
      </w:r>
      <w:proofErr w:type="spellStart"/>
      <w:r>
        <w:t>geocompuesto</w:t>
      </w:r>
      <w:proofErr w:type="spellEnd"/>
      <w:r>
        <w:t xml:space="preserve"> de drenaje se colocará con la lámina de polietileno hacia el paramento y el geotextil hacia las tierras.</w:t>
      </w:r>
    </w:p>
    <w:p w14:paraId="60D5ECC6" w14:textId="77777777" w:rsidR="00897F0A" w:rsidRDefault="00897F0A" w:rsidP="00897F0A">
      <w:pPr>
        <w:pStyle w:val="NORMAL12"/>
      </w:pPr>
      <w:r>
        <w:t>La lámina drenante se fijará en toda su superficie a razón de un mínimo de dos fijaciones por m</w:t>
      </w:r>
      <w:r w:rsidRPr="00AA5158">
        <w:rPr>
          <w:vertAlign w:val="superscript"/>
        </w:rPr>
        <w:t>2</w:t>
      </w:r>
      <w:r>
        <w:t>. Las fijaciones serán las indicadas por el fabricante, compatibles tanto con la lámina drenante como con la lámina asfáltica de impermeabilización bajo la lámina drenante. En particular, se tendrá especial precaución de que las fijaciones no supongan una reducción de la impermeabilidad del sistema debida a la perforación de las láminas de polietileno y asfáltica.</w:t>
      </w:r>
    </w:p>
    <w:p w14:paraId="09E94B70" w14:textId="77777777" w:rsidR="00897F0A" w:rsidRDefault="00897F0A" w:rsidP="00897F0A">
      <w:pPr>
        <w:pStyle w:val="NORMAL12"/>
      </w:pPr>
      <w:r>
        <w:t>El solape entre las láminas drenantes se realizará separando el geotextil de la lámina y encajando los nódulos de las láminas contiguas. La anchura de solape mínima estará indicada en las especificaciones del producto suministrado. Adicionalmente, se dispondrá una banda autoadhesiva, compatible con la lámina drenante suministrada, a lo largo de todo el solape, con objeto de mejorar la estanqueidad de la junta entre láminas drenantes.</w:t>
      </w:r>
    </w:p>
    <w:p w14:paraId="55FFC38E" w14:textId="77777777" w:rsidR="00897F0A" w:rsidRDefault="00897F0A" w:rsidP="00897F0A">
      <w:pPr>
        <w:pStyle w:val="NORMAL12"/>
      </w:pPr>
      <w:r>
        <w:t xml:space="preserve">La colocación del tubo de drenaje longitudinal, en la parte inferior de los paramentos verticales, se realizará según el detalle indicado en planos. Para ello, se separará el geotextil de la lámina nodular de polietileno. El tubo dren se envuelve por debajo por la lámina nodular y por encima por el geotextil. </w:t>
      </w:r>
    </w:p>
    <w:p w14:paraId="4FFDFD72" w14:textId="77777777" w:rsidR="00897F0A" w:rsidRDefault="00897F0A" w:rsidP="00897F0A">
      <w:pPr>
        <w:pStyle w:val="NORMAL12"/>
      </w:pPr>
      <w:r>
        <w:t xml:space="preserve">En los muros y obras de fábrica que carecen de paramentos horizontales, el </w:t>
      </w:r>
      <w:proofErr w:type="spellStart"/>
      <w:r>
        <w:t>geocompuesto</w:t>
      </w:r>
      <w:proofErr w:type="spellEnd"/>
      <w:r>
        <w:t xml:space="preserve"> drenante se remata en su parte superior con un perfil en forma de L, con objeto de impedir la filtración excesiva de agua a través del canto superior de la lámina drenante.</w:t>
      </w:r>
    </w:p>
    <w:p w14:paraId="5DF0D69A" w14:textId="77777777" w:rsidR="00897F0A" w:rsidRDefault="00897F0A" w:rsidP="00897F0A">
      <w:pPr>
        <w:pStyle w:val="NORMAL12"/>
      </w:pPr>
      <w:r>
        <w:t xml:space="preserve">Una vez concluidas las operaciones anteriores, se procederá al relleno y compactación del trasdós de los paramentos verticales y horizontales con el tipo de material indicado en el proyecto. El relleno se realizará antes de un mes de colocado el </w:t>
      </w:r>
      <w:proofErr w:type="spellStart"/>
      <w:r>
        <w:t>geocompuesto</w:t>
      </w:r>
      <w:proofErr w:type="spellEnd"/>
      <w:r>
        <w:t xml:space="preserve">, para evitar su deterioro a la intemperie. </w:t>
      </w:r>
    </w:p>
    <w:p w14:paraId="7B65CA21" w14:textId="77777777" w:rsidR="00897F0A" w:rsidRDefault="00897F0A" w:rsidP="00897F0A">
      <w:pPr>
        <w:pStyle w:val="NORMAL12"/>
      </w:pPr>
      <w:r>
        <w:t xml:space="preserve">En las losas horizontales en las que el sistema de impermeabilización y drenaje vaya a quedar a la intemperie, sin recubrimiento, se protegerán las láminas con una capa de hormigón no estructural, que sirve tanto de protección como de </w:t>
      </w:r>
      <w:proofErr w:type="spellStart"/>
      <w:r>
        <w:t>pendienteado</w:t>
      </w:r>
      <w:proofErr w:type="spellEnd"/>
      <w:r>
        <w:t xml:space="preserve"> para evacuación de aguas.</w:t>
      </w:r>
    </w:p>
    <w:p w14:paraId="0B083B51" w14:textId="77777777" w:rsidR="00897F0A" w:rsidRPr="006937C2" w:rsidRDefault="00897F0A" w:rsidP="000313DD">
      <w:pPr>
        <w:pStyle w:val="TITU2"/>
      </w:pPr>
      <w:bookmarkStart w:id="917" w:name="_Toc531005929"/>
      <w:bookmarkStart w:id="918" w:name="_Toc404493"/>
      <w:r>
        <w:lastRenderedPageBreak/>
        <w:t>690a.8.</w:t>
      </w:r>
      <w:r w:rsidRPr="006937C2">
        <w:t xml:space="preserve"> Medición y abono</w:t>
      </w:r>
      <w:bookmarkEnd w:id="917"/>
      <w:bookmarkEnd w:id="918"/>
    </w:p>
    <w:p w14:paraId="55D8587C" w14:textId="77777777" w:rsidR="00897F0A" w:rsidRPr="006937C2" w:rsidRDefault="00897F0A" w:rsidP="00897F0A">
      <w:pPr>
        <w:pStyle w:val="NORMAL12"/>
      </w:pPr>
      <w:r w:rsidRPr="006937C2">
        <w:t xml:space="preserve">La medición y abono de las unidades de impermeabilización </w:t>
      </w:r>
      <w:r>
        <w:t>paramentos enterrados</w:t>
      </w:r>
      <w:r w:rsidRPr="006937C2">
        <w:t xml:space="preserve"> se realizará conforme a las siguientes especificaciones: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75"/>
        <w:gridCol w:w="6668"/>
      </w:tblGrid>
      <w:tr w:rsidR="00897F0A" w:rsidRPr="006937C2" w14:paraId="1D55C366" w14:textId="77777777" w:rsidTr="00700A29">
        <w:tc>
          <w:tcPr>
            <w:tcW w:w="0" w:type="auto"/>
            <w:vAlign w:val="center"/>
          </w:tcPr>
          <w:p w14:paraId="67C76084" w14:textId="77777777" w:rsidR="00897F0A" w:rsidRPr="006937C2" w:rsidRDefault="00897F0A" w:rsidP="00700A29">
            <w:pPr>
              <w:pStyle w:val="Tabla"/>
              <w:rPr>
                <w:b/>
              </w:rPr>
            </w:pPr>
            <w:r w:rsidRPr="006937C2">
              <w:rPr>
                <w:b/>
              </w:rPr>
              <w:t>Unidad de medida</w:t>
            </w:r>
          </w:p>
        </w:tc>
        <w:tc>
          <w:tcPr>
            <w:tcW w:w="6668" w:type="dxa"/>
            <w:vAlign w:val="center"/>
          </w:tcPr>
          <w:p w14:paraId="66CE8F21" w14:textId="77777777" w:rsidR="00897F0A" w:rsidRPr="006937C2" w:rsidRDefault="00897F0A" w:rsidP="00666B72">
            <w:pPr>
              <w:pStyle w:val="LCATabla"/>
              <w:keepLines/>
              <w:jc w:val="both"/>
              <w:rPr>
                <w:rFonts w:ascii="Arial" w:hAnsi="Arial"/>
                <w:sz w:val="20"/>
              </w:rPr>
            </w:pPr>
            <w:r w:rsidRPr="006937C2">
              <w:rPr>
                <w:rFonts w:ascii="Arial" w:hAnsi="Arial"/>
                <w:sz w:val="20"/>
              </w:rPr>
              <w:t>Metros cuadrados (m</w:t>
            </w:r>
            <w:r w:rsidRPr="00D921B6">
              <w:rPr>
                <w:rFonts w:ascii="Arial" w:hAnsi="Arial"/>
                <w:sz w:val="20"/>
                <w:vertAlign w:val="superscript"/>
              </w:rPr>
              <w:t>2</w:t>
            </w:r>
            <w:r w:rsidRPr="006937C2">
              <w:rPr>
                <w:rFonts w:ascii="Arial" w:hAnsi="Arial"/>
                <w:sz w:val="20"/>
              </w:rPr>
              <w:t>).</w:t>
            </w:r>
          </w:p>
        </w:tc>
      </w:tr>
      <w:tr w:rsidR="00897F0A" w:rsidRPr="006937C2" w14:paraId="67DAB242" w14:textId="77777777" w:rsidTr="00700A29">
        <w:tc>
          <w:tcPr>
            <w:tcW w:w="0" w:type="auto"/>
            <w:vAlign w:val="center"/>
          </w:tcPr>
          <w:p w14:paraId="7E35F4CC" w14:textId="77777777" w:rsidR="00897F0A" w:rsidRPr="006937C2" w:rsidRDefault="00897F0A" w:rsidP="00700A29">
            <w:pPr>
              <w:pStyle w:val="Tabla"/>
              <w:rPr>
                <w:b/>
              </w:rPr>
            </w:pPr>
            <w:r w:rsidRPr="006937C2">
              <w:rPr>
                <w:b/>
              </w:rPr>
              <w:t>Grado de precisión</w:t>
            </w:r>
          </w:p>
        </w:tc>
        <w:tc>
          <w:tcPr>
            <w:tcW w:w="6668" w:type="dxa"/>
            <w:vAlign w:val="center"/>
          </w:tcPr>
          <w:p w14:paraId="76FD20A8" w14:textId="77777777" w:rsidR="00897F0A" w:rsidRPr="006937C2" w:rsidRDefault="00897F0A" w:rsidP="00666B72">
            <w:pPr>
              <w:pStyle w:val="LCATabla"/>
              <w:keepLines/>
              <w:jc w:val="both"/>
              <w:rPr>
                <w:rFonts w:ascii="Arial" w:hAnsi="Arial"/>
                <w:sz w:val="20"/>
              </w:rPr>
            </w:pPr>
            <w:r w:rsidRPr="006937C2">
              <w:rPr>
                <w:rFonts w:ascii="Arial" w:hAnsi="Arial"/>
                <w:sz w:val="20"/>
              </w:rPr>
              <w:t>Dos decimales.</w:t>
            </w:r>
          </w:p>
        </w:tc>
      </w:tr>
      <w:tr w:rsidR="00897F0A" w:rsidRPr="006937C2" w14:paraId="1133BEAC" w14:textId="77777777" w:rsidTr="00700A29">
        <w:tc>
          <w:tcPr>
            <w:tcW w:w="0" w:type="auto"/>
            <w:vAlign w:val="center"/>
          </w:tcPr>
          <w:p w14:paraId="4BF5771A" w14:textId="77777777" w:rsidR="00897F0A" w:rsidRPr="006937C2" w:rsidRDefault="00897F0A" w:rsidP="00700A29">
            <w:pPr>
              <w:pStyle w:val="Tabla"/>
              <w:rPr>
                <w:b/>
              </w:rPr>
            </w:pPr>
            <w:r w:rsidRPr="006937C2">
              <w:rPr>
                <w:b/>
              </w:rPr>
              <w:t>Forma de medición</w:t>
            </w:r>
          </w:p>
        </w:tc>
        <w:tc>
          <w:tcPr>
            <w:tcW w:w="6668" w:type="dxa"/>
            <w:vAlign w:val="center"/>
          </w:tcPr>
          <w:p w14:paraId="22E6F438" w14:textId="77777777" w:rsidR="00897F0A" w:rsidRPr="006937C2" w:rsidRDefault="00897F0A" w:rsidP="00666B72">
            <w:pPr>
              <w:pStyle w:val="LCATabla"/>
              <w:keepLines/>
              <w:jc w:val="both"/>
              <w:rPr>
                <w:rFonts w:ascii="Arial" w:hAnsi="Arial"/>
                <w:sz w:val="20"/>
              </w:rPr>
            </w:pPr>
            <w:r w:rsidRPr="00991A42">
              <w:rPr>
                <w:rFonts w:ascii="Arial" w:hAnsi="Arial"/>
                <w:sz w:val="20"/>
              </w:rPr>
              <w:t>Superficie de paramento vertical y horizontal recubierto con la lámina impermeabilizante, medida en obra. Por tanto, los solapes no son objeto de medición independiente.</w:t>
            </w:r>
          </w:p>
        </w:tc>
      </w:tr>
      <w:tr w:rsidR="00897F0A" w:rsidRPr="001B1677" w14:paraId="3A55DE68" w14:textId="77777777" w:rsidTr="00700A29">
        <w:tc>
          <w:tcPr>
            <w:tcW w:w="0" w:type="auto"/>
            <w:vAlign w:val="center"/>
          </w:tcPr>
          <w:p w14:paraId="0926740D" w14:textId="77777777" w:rsidR="00897F0A" w:rsidRPr="006937C2" w:rsidRDefault="00897F0A" w:rsidP="00700A29">
            <w:pPr>
              <w:pStyle w:val="Tabla"/>
              <w:rPr>
                <w:b/>
              </w:rPr>
            </w:pPr>
            <w:r w:rsidRPr="006937C2">
              <w:rPr>
                <w:b/>
              </w:rPr>
              <w:t>Abono</w:t>
            </w:r>
          </w:p>
        </w:tc>
        <w:tc>
          <w:tcPr>
            <w:tcW w:w="6668" w:type="dxa"/>
            <w:vAlign w:val="center"/>
          </w:tcPr>
          <w:p w14:paraId="233EC69B" w14:textId="77777777" w:rsidR="00897F0A" w:rsidRPr="006937C2" w:rsidRDefault="00897F0A" w:rsidP="00666B72">
            <w:pPr>
              <w:pStyle w:val="LCATabla"/>
              <w:keepLines/>
              <w:jc w:val="both"/>
              <w:rPr>
                <w:rFonts w:ascii="Arial" w:hAnsi="Arial"/>
                <w:sz w:val="20"/>
              </w:rPr>
            </w:pPr>
            <w:r w:rsidRPr="006937C2">
              <w:rPr>
                <w:rFonts w:ascii="Arial" w:hAnsi="Arial"/>
                <w:sz w:val="20"/>
              </w:rPr>
              <w:t>Se efectuará cuando se realice la aceptación.</w:t>
            </w:r>
          </w:p>
        </w:tc>
      </w:tr>
      <w:tr w:rsidR="00897F0A" w:rsidRPr="001B1677" w14:paraId="18942F03" w14:textId="77777777" w:rsidTr="00700A29">
        <w:tc>
          <w:tcPr>
            <w:tcW w:w="0" w:type="auto"/>
            <w:vAlign w:val="center"/>
          </w:tcPr>
          <w:p w14:paraId="0B421B2B" w14:textId="77777777" w:rsidR="00897F0A" w:rsidRPr="006937C2" w:rsidRDefault="00897F0A" w:rsidP="00700A29">
            <w:pPr>
              <w:pStyle w:val="Tabla"/>
              <w:rPr>
                <w:b/>
              </w:rPr>
            </w:pPr>
            <w:r>
              <w:rPr>
                <w:b/>
              </w:rPr>
              <w:t>Criterios complementarios</w:t>
            </w:r>
          </w:p>
        </w:tc>
        <w:tc>
          <w:tcPr>
            <w:tcW w:w="6668" w:type="dxa"/>
            <w:vAlign w:val="center"/>
          </w:tcPr>
          <w:p w14:paraId="0218FCDE" w14:textId="77777777" w:rsidR="00897F0A" w:rsidRDefault="00897F0A" w:rsidP="00666B72">
            <w:pPr>
              <w:pStyle w:val="LCATabla"/>
              <w:keepLines/>
              <w:jc w:val="both"/>
              <w:rPr>
                <w:rFonts w:ascii="Arial" w:hAnsi="Arial"/>
                <w:sz w:val="20"/>
              </w:rPr>
            </w:pPr>
            <w:r>
              <w:rPr>
                <w:rFonts w:ascii="Arial" w:hAnsi="Arial"/>
                <w:sz w:val="20"/>
              </w:rPr>
              <w:t>El precio incluye la imprimación sobre el paramento.</w:t>
            </w:r>
          </w:p>
          <w:p w14:paraId="13A985A0" w14:textId="77777777" w:rsidR="00897F0A" w:rsidRPr="00991A42" w:rsidRDefault="00897F0A" w:rsidP="00666B72">
            <w:pPr>
              <w:pStyle w:val="LCATabla"/>
              <w:keepLines/>
              <w:jc w:val="both"/>
              <w:rPr>
                <w:rFonts w:ascii="Arial" w:hAnsi="Arial"/>
                <w:sz w:val="20"/>
              </w:rPr>
            </w:pPr>
            <w:r w:rsidRPr="00991A42">
              <w:rPr>
                <w:rFonts w:ascii="Arial" w:hAnsi="Arial"/>
                <w:sz w:val="20"/>
              </w:rPr>
              <w:t>Incluye asimismo todas las operaciones necesarias para la adecuación de la superficie a impermeabilizar, tales como su limpieza, eliminación de irregularidades, e incluso vertido de un mortero de regularización si fuese necesario.</w:t>
            </w:r>
          </w:p>
          <w:p w14:paraId="69780EB6" w14:textId="77777777" w:rsidR="00897F0A" w:rsidRPr="00991A42" w:rsidRDefault="00897F0A" w:rsidP="00666B72">
            <w:pPr>
              <w:pStyle w:val="LCATabla"/>
              <w:keepLines/>
              <w:jc w:val="both"/>
              <w:rPr>
                <w:rFonts w:ascii="Arial" w:hAnsi="Arial"/>
                <w:sz w:val="20"/>
              </w:rPr>
            </w:pPr>
            <w:r w:rsidRPr="00991A42">
              <w:rPr>
                <w:rFonts w:ascii="Arial" w:hAnsi="Arial"/>
                <w:sz w:val="20"/>
              </w:rPr>
              <w:t>El precio incluye las fijaciones de la lámina drenante al paramento</w:t>
            </w:r>
            <w:r>
              <w:rPr>
                <w:rFonts w:ascii="Arial" w:hAnsi="Arial"/>
                <w:sz w:val="20"/>
              </w:rPr>
              <w:t xml:space="preserve">, </w:t>
            </w:r>
            <w:r w:rsidRPr="00991A42">
              <w:rPr>
                <w:rFonts w:ascii="Arial" w:hAnsi="Arial"/>
                <w:sz w:val="20"/>
              </w:rPr>
              <w:t xml:space="preserve">la banda </w:t>
            </w:r>
            <w:r>
              <w:rPr>
                <w:rFonts w:ascii="Arial" w:hAnsi="Arial"/>
                <w:sz w:val="20"/>
              </w:rPr>
              <w:t>de refuerzo</w:t>
            </w:r>
            <w:r w:rsidRPr="00991A42">
              <w:rPr>
                <w:rFonts w:ascii="Arial" w:hAnsi="Arial"/>
                <w:sz w:val="20"/>
              </w:rPr>
              <w:t xml:space="preserve"> para impermeabilización de solapes y el perfil de sellado del canto superior en paramentos verticales.</w:t>
            </w:r>
          </w:p>
          <w:p w14:paraId="3DD946D1" w14:textId="77777777" w:rsidR="00897F0A" w:rsidRPr="00991A42" w:rsidRDefault="00897F0A" w:rsidP="00666B72">
            <w:pPr>
              <w:pStyle w:val="LCATabla"/>
              <w:keepLines/>
              <w:jc w:val="both"/>
              <w:rPr>
                <w:rFonts w:ascii="Arial" w:hAnsi="Arial"/>
                <w:sz w:val="20"/>
              </w:rPr>
            </w:pPr>
            <w:r w:rsidRPr="00991A42">
              <w:rPr>
                <w:rFonts w:ascii="Arial" w:hAnsi="Arial"/>
                <w:sz w:val="20"/>
              </w:rPr>
              <w:t>Incluye asimismo el tubo dren longitudinal a disponer en la parte inferior de paramentos verticales.</w:t>
            </w:r>
          </w:p>
          <w:p w14:paraId="537E8C94" w14:textId="77777777" w:rsidR="00897F0A" w:rsidRDefault="00897F0A" w:rsidP="00666B72">
            <w:pPr>
              <w:pStyle w:val="LCATabla"/>
              <w:keepLines/>
              <w:jc w:val="both"/>
              <w:rPr>
                <w:rFonts w:ascii="Arial" w:hAnsi="Arial"/>
                <w:sz w:val="20"/>
              </w:rPr>
            </w:pPr>
            <w:r w:rsidRPr="00991A42">
              <w:rPr>
                <w:rFonts w:ascii="Arial" w:hAnsi="Arial"/>
                <w:sz w:val="20"/>
              </w:rPr>
              <w:t xml:space="preserve">En el caso de superficies en las que la lámina impermeable pudiera quedar a la intemperie, no recubierta ni por tierras ni pavimento, se extenderá una capa superior de protección y </w:t>
            </w:r>
            <w:proofErr w:type="spellStart"/>
            <w:r w:rsidRPr="00991A42">
              <w:rPr>
                <w:rFonts w:ascii="Arial" w:hAnsi="Arial"/>
                <w:sz w:val="20"/>
              </w:rPr>
              <w:t>pendienteado</w:t>
            </w:r>
            <w:proofErr w:type="spellEnd"/>
            <w:r w:rsidRPr="00991A42">
              <w:rPr>
                <w:rFonts w:ascii="Arial" w:hAnsi="Arial"/>
                <w:sz w:val="20"/>
              </w:rPr>
              <w:t xml:space="preserve"> con hormigón no estructural. Este hormigón es objeto de medición y abono independiente.</w:t>
            </w:r>
          </w:p>
          <w:p w14:paraId="38E3DCA3" w14:textId="77777777" w:rsidR="00897F0A" w:rsidRPr="006937C2" w:rsidRDefault="00897F0A" w:rsidP="00666B72">
            <w:pPr>
              <w:pStyle w:val="LCATabla"/>
              <w:keepLines/>
              <w:jc w:val="both"/>
              <w:rPr>
                <w:rFonts w:ascii="Arial" w:hAnsi="Arial"/>
                <w:sz w:val="20"/>
              </w:rPr>
            </w:pPr>
            <w:r w:rsidRPr="00991A42">
              <w:rPr>
                <w:rFonts w:ascii="Arial" w:hAnsi="Arial"/>
                <w:sz w:val="20"/>
              </w:rPr>
              <w:t>El precio incluye igualmente toda la maquinaria auxiliar y mano de obra hasta la completa colocación de la lámina drenante.</w:t>
            </w:r>
          </w:p>
        </w:tc>
      </w:tr>
    </w:tbl>
    <w:p w14:paraId="07DC38BF" w14:textId="77777777" w:rsidR="00897F0A" w:rsidRDefault="00897F0A" w:rsidP="00897F0A">
      <w:pPr>
        <w:pStyle w:val="NORMAL12"/>
        <w:rPr>
          <w:color w:val="FF0000"/>
          <w:lang w:val="es-ES"/>
        </w:rPr>
      </w:pPr>
    </w:p>
    <w:p w14:paraId="2679A2C6" w14:textId="77777777" w:rsidR="00C21E7A" w:rsidRPr="00EF41EE" w:rsidRDefault="00C21E7A" w:rsidP="00C21E7A">
      <w:pPr>
        <w:pStyle w:val="NORMAL12"/>
        <w:rPr>
          <w:color w:val="FF0000"/>
          <w:lang w:val="es-ES"/>
        </w:rPr>
      </w:pPr>
    </w:p>
    <w:p w14:paraId="23663FED" w14:textId="77777777" w:rsidR="00EF1D61" w:rsidRPr="00534B6E" w:rsidRDefault="00EF1D61" w:rsidP="00EF1D61">
      <w:pPr>
        <w:pStyle w:val="TITU1"/>
      </w:pPr>
      <w:bookmarkStart w:id="919" w:name="_Toc404494"/>
      <w:bookmarkStart w:id="920" w:name="_Toc448916167"/>
      <w:bookmarkEnd w:id="819"/>
      <w:bookmarkEnd w:id="820"/>
      <w:bookmarkEnd w:id="821"/>
      <w:bookmarkEnd w:id="822"/>
      <w:bookmarkEnd w:id="823"/>
      <w:bookmarkEnd w:id="824"/>
      <w:bookmarkEnd w:id="825"/>
      <w:bookmarkEnd w:id="826"/>
      <w:r w:rsidRPr="00534B6E">
        <w:rPr>
          <w:lang w:val="es-ES_tradnl"/>
        </w:rPr>
        <w:lastRenderedPageBreak/>
        <w:t xml:space="preserve">Artículo 692b.- </w:t>
      </w:r>
      <w:r w:rsidR="008B7069" w:rsidRPr="00534B6E">
        <w:rPr>
          <w:lang w:val="es-ES_tradnl"/>
        </w:rPr>
        <w:t>A</w:t>
      </w:r>
      <w:r w:rsidRPr="00534B6E">
        <w:rPr>
          <w:lang w:val="es-ES_tradnl"/>
        </w:rPr>
        <w:t xml:space="preserve">poyo de </w:t>
      </w:r>
      <w:r w:rsidR="000A4E04">
        <w:rPr>
          <w:lang w:val="es-ES_tradnl"/>
        </w:rPr>
        <w:t>material elastómero</w:t>
      </w:r>
      <w:bookmarkEnd w:id="919"/>
    </w:p>
    <w:p w14:paraId="24AF3134" w14:textId="77777777" w:rsidR="00EF1D61" w:rsidRPr="008B7069" w:rsidRDefault="00EF1D61" w:rsidP="00EF1D61">
      <w:pPr>
        <w:spacing w:before="120" w:after="120" w:line="360" w:lineRule="auto"/>
        <w:jc w:val="both"/>
        <w:rPr>
          <w:rFonts w:ascii="Arial" w:hAnsi="Arial" w:cs="Arial"/>
        </w:rPr>
      </w:pPr>
      <w:r w:rsidRPr="008B7069">
        <w:rPr>
          <w:rFonts w:ascii="Arial" w:hAnsi="Arial" w:cs="Arial"/>
        </w:rPr>
        <w:t>Excepto para lo especificado en el presente Pliego de Prescripciones Técnicas particulares se seguirá lo prescrito en el vigente artículo 692 del PG-3.</w:t>
      </w:r>
    </w:p>
    <w:p w14:paraId="6FFF6404" w14:textId="77777777" w:rsidR="00EF1D61" w:rsidRPr="004F6428" w:rsidRDefault="00EF1D61" w:rsidP="00EF1D61">
      <w:pPr>
        <w:spacing w:before="120" w:after="120" w:line="360" w:lineRule="auto"/>
        <w:jc w:val="both"/>
        <w:rPr>
          <w:rFonts w:ascii="Arial" w:hAnsi="Arial" w:cs="Arial"/>
        </w:rPr>
      </w:pPr>
      <w:bookmarkStart w:id="921" w:name="_Toc398555843"/>
      <w:bookmarkStart w:id="922" w:name="_Toc406602634"/>
      <w:bookmarkStart w:id="923" w:name="_Toc406930631"/>
      <w:r w:rsidRPr="004F6428">
        <w:rPr>
          <w:rFonts w:ascii="Arial" w:hAnsi="Arial" w:cs="Arial"/>
        </w:rPr>
        <w:t xml:space="preserve">La transmisión de las cargas del tablero se efectúa mediante apoyos </w:t>
      </w:r>
      <w:proofErr w:type="spellStart"/>
      <w:r w:rsidRPr="004F6428">
        <w:rPr>
          <w:rFonts w:ascii="Arial" w:hAnsi="Arial" w:cs="Arial"/>
        </w:rPr>
        <w:t>elastoméricos</w:t>
      </w:r>
      <w:proofErr w:type="spellEnd"/>
      <w:r w:rsidRPr="004F6428">
        <w:rPr>
          <w:rFonts w:ascii="Arial" w:hAnsi="Arial" w:cs="Arial"/>
        </w:rPr>
        <w:t xml:space="preserve"> de neopreno zunchado de las características fijadas en los planos.</w:t>
      </w:r>
    </w:p>
    <w:p w14:paraId="33ACDC46" w14:textId="77777777" w:rsidR="00EF1D61" w:rsidRPr="004F6428" w:rsidRDefault="00EF1D61" w:rsidP="00EF1D61">
      <w:pPr>
        <w:spacing w:before="120" w:after="120" w:line="360" w:lineRule="auto"/>
        <w:jc w:val="both"/>
        <w:rPr>
          <w:rFonts w:ascii="Arial" w:hAnsi="Arial" w:cs="Arial"/>
        </w:rPr>
      </w:pPr>
      <w:r w:rsidRPr="004F6428">
        <w:rPr>
          <w:rFonts w:ascii="Arial" w:hAnsi="Arial" w:cs="Arial"/>
        </w:rPr>
        <w:t>Podrán a tal fin emplearse apoyos de los tipos señalados en los planos o cualesquiera otros que cumplan las condiciones señaladas y no presenten contraindicaciones por dimensiones o cualquier otra característica opuesta a lo expresado en los planos contando en todo caso con</w:t>
      </w:r>
      <w:r w:rsidR="00A36A9E">
        <w:rPr>
          <w:rFonts w:ascii="Arial" w:hAnsi="Arial" w:cs="Arial"/>
        </w:rPr>
        <w:t xml:space="preserve"> el visto bueno de la Dirección de Obra.</w:t>
      </w:r>
      <w:r w:rsidRPr="004F6428">
        <w:rPr>
          <w:rFonts w:ascii="Arial" w:hAnsi="Arial" w:cs="Arial"/>
        </w:rPr>
        <w:t xml:space="preserve"> </w:t>
      </w:r>
    </w:p>
    <w:p w14:paraId="098B35C9" w14:textId="77777777" w:rsidR="00EF1D61" w:rsidRPr="008B7069" w:rsidRDefault="00EF1D61" w:rsidP="000313DD">
      <w:pPr>
        <w:pStyle w:val="TITU2"/>
      </w:pPr>
      <w:bookmarkStart w:id="924" w:name="_Toc448916162"/>
      <w:bookmarkStart w:id="925" w:name="_Toc404495"/>
      <w:r w:rsidRPr="008B7069">
        <w:t>692.</w:t>
      </w:r>
      <w:r w:rsidR="008B7069">
        <w:t>1</w:t>
      </w:r>
      <w:r w:rsidRPr="008B7069">
        <w:t>. Aplicación</w:t>
      </w:r>
      <w:bookmarkEnd w:id="921"/>
      <w:bookmarkEnd w:id="922"/>
      <w:bookmarkEnd w:id="923"/>
      <w:bookmarkEnd w:id="924"/>
      <w:bookmarkEnd w:id="925"/>
    </w:p>
    <w:p w14:paraId="3C9B1704" w14:textId="77777777" w:rsidR="00EF1D61" w:rsidRPr="00A36A9E" w:rsidRDefault="00EF1D61" w:rsidP="00EF1D61">
      <w:pPr>
        <w:pStyle w:val="NORMAL12"/>
        <w:rPr>
          <w:lang w:val="es-ES"/>
        </w:rPr>
      </w:pPr>
      <w:r w:rsidRPr="00A36A9E">
        <w:rPr>
          <w:lang w:val="es-ES"/>
        </w:rPr>
        <w:t xml:space="preserve">Las prescripciones del presente artículo </w:t>
      </w:r>
      <w:proofErr w:type="gramStart"/>
      <w:r w:rsidRPr="00A36A9E">
        <w:rPr>
          <w:lang w:val="es-ES"/>
        </w:rPr>
        <w:t>son de aplicación</w:t>
      </w:r>
      <w:proofErr w:type="gramEnd"/>
      <w:r w:rsidRPr="00A36A9E">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330"/>
        <w:gridCol w:w="643"/>
        <w:gridCol w:w="7805"/>
      </w:tblGrid>
      <w:tr w:rsidR="00EF1D61" w:rsidRPr="004F6428" w14:paraId="4EAEDCB9" w14:textId="77777777" w:rsidTr="00EF1D61">
        <w:trPr>
          <w:trHeight w:val="300"/>
        </w:trPr>
        <w:tc>
          <w:tcPr>
            <w:tcW w:w="680" w:type="pct"/>
            <w:noWrap/>
            <w:hideMark/>
          </w:tcPr>
          <w:p w14:paraId="24CEDABB" w14:textId="77777777" w:rsidR="00EF1D61" w:rsidRPr="00D921B6" w:rsidRDefault="00EF1D61" w:rsidP="00EF1D61">
            <w:pPr>
              <w:rPr>
                <w:rFonts w:ascii="Calibri" w:hAnsi="Calibri"/>
                <w:color w:val="000000"/>
              </w:rPr>
            </w:pPr>
            <w:r w:rsidRPr="00D921B6">
              <w:rPr>
                <w:rFonts w:ascii="Calibri" w:hAnsi="Calibri"/>
                <w:color w:val="000000"/>
              </w:rPr>
              <w:t xml:space="preserve">692.0100          </w:t>
            </w:r>
          </w:p>
        </w:tc>
        <w:tc>
          <w:tcPr>
            <w:tcW w:w="329" w:type="pct"/>
            <w:noWrap/>
            <w:hideMark/>
          </w:tcPr>
          <w:p w14:paraId="2EAA0F74" w14:textId="77777777" w:rsidR="00EF1D61" w:rsidRPr="00D921B6" w:rsidRDefault="00EF1D61" w:rsidP="00EF1D61">
            <w:pPr>
              <w:rPr>
                <w:rFonts w:ascii="Calibri" w:hAnsi="Calibri"/>
                <w:color w:val="000000"/>
              </w:rPr>
            </w:pPr>
            <w:r w:rsidRPr="00D921B6">
              <w:rPr>
                <w:rFonts w:ascii="Calibri" w:hAnsi="Calibri"/>
                <w:color w:val="000000"/>
              </w:rPr>
              <w:t>dm³</w:t>
            </w:r>
          </w:p>
        </w:tc>
        <w:tc>
          <w:tcPr>
            <w:tcW w:w="3991" w:type="pct"/>
            <w:hideMark/>
          </w:tcPr>
          <w:p w14:paraId="4D1F8E9C" w14:textId="77777777" w:rsidR="00EF1D61" w:rsidRPr="00D921B6" w:rsidRDefault="00EF1D61" w:rsidP="00666B72">
            <w:pPr>
              <w:jc w:val="both"/>
              <w:rPr>
                <w:rFonts w:ascii="Calibri" w:hAnsi="Calibri"/>
                <w:color w:val="000000"/>
              </w:rPr>
            </w:pPr>
            <w:r w:rsidRPr="00D921B6">
              <w:rPr>
                <w:rFonts w:ascii="Calibri" w:hAnsi="Calibri"/>
                <w:color w:val="000000"/>
              </w:rPr>
              <w:t>APARATO DE APOYO DE NEOPRENO ZUNCHADO (STANDARD, ANCLADO O GOFRADO) SUSTITUIBLE, TOTALMENTE COLOCADO i/ NIVELACIÓN DEL APOYO CON MORTERO ESPECIAL DE ALTA RESISTENCIA Y AUTONIVELANTE.</w:t>
            </w:r>
          </w:p>
        </w:tc>
      </w:tr>
    </w:tbl>
    <w:p w14:paraId="25568E2F" w14:textId="77777777" w:rsidR="00EF1D61" w:rsidRPr="004F6428" w:rsidRDefault="00EF1D61" w:rsidP="00EF1D61">
      <w:pPr>
        <w:spacing w:before="120" w:after="120" w:line="360" w:lineRule="auto"/>
        <w:jc w:val="both"/>
        <w:rPr>
          <w:rFonts w:ascii="Arial" w:hAnsi="Arial"/>
        </w:rPr>
      </w:pPr>
    </w:p>
    <w:p w14:paraId="049966E9" w14:textId="77777777" w:rsidR="00A36A9E" w:rsidRDefault="00A36A9E" w:rsidP="006F51D4">
      <w:pPr>
        <w:spacing w:before="120" w:after="120" w:line="360" w:lineRule="auto"/>
        <w:jc w:val="both"/>
        <w:rPr>
          <w:rFonts w:ascii="Arial" w:hAnsi="Arial"/>
          <w:lang w:val="es-ES_tradnl"/>
        </w:rPr>
      </w:pPr>
      <w:bookmarkStart w:id="926" w:name="_Toc398555844"/>
      <w:bookmarkStart w:id="927" w:name="_Toc406602635"/>
      <w:bookmarkStart w:id="928" w:name="_Toc406930633"/>
      <w:r>
        <w:rPr>
          <w:rFonts w:ascii="Arial" w:hAnsi="Arial"/>
          <w:lang w:val="es-ES_tradnl"/>
        </w:rPr>
        <w:t>La ejecución de la unidad implica la realización de las operaciones siguientes:</w:t>
      </w:r>
    </w:p>
    <w:p w14:paraId="0C0DB737" w14:textId="77777777" w:rsidR="00EF1D61" w:rsidRPr="00A36A9E" w:rsidRDefault="00A36A9E" w:rsidP="00A36A9E">
      <w:pPr>
        <w:pStyle w:val="NORMAL12"/>
        <w:numPr>
          <w:ilvl w:val="0"/>
          <w:numId w:val="61"/>
        </w:numPr>
      </w:pPr>
      <w:r>
        <w:t>C</w:t>
      </w:r>
      <w:r w:rsidR="00EF1D61" w:rsidRPr="004F6428">
        <w:t xml:space="preserve">onstrucción de las camas de apoyo. Suministro y posicionamiento de placas de apoyo sobre pernos de anclaje. </w:t>
      </w:r>
    </w:p>
    <w:p w14:paraId="053A5FCC" w14:textId="77777777" w:rsidR="00EF1D61" w:rsidRPr="004F6428" w:rsidRDefault="00EF1D61" w:rsidP="00A36A9E">
      <w:pPr>
        <w:pStyle w:val="NORMAL12"/>
        <w:numPr>
          <w:ilvl w:val="0"/>
          <w:numId w:val="61"/>
        </w:numPr>
      </w:pPr>
      <w:r w:rsidRPr="004F6428">
        <w:t>Suministro y colocación del aparato de apoyo, incluidas placas metálicas superiores e inferiores.</w:t>
      </w:r>
    </w:p>
    <w:p w14:paraId="2B79CC09" w14:textId="77777777" w:rsidR="00EF1D61" w:rsidRPr="008B7069" w:rsidRDefault="00EF1D61" w:rsidP="000313DD">
      <w:pPr>
        <w:pStyle w:val="TITU2"/>
      </w:pPr>
      <w:bookmarkStart w:id="929" w:name="_Toc448916164"/>
      <w:bookmarkStart w:id="930" w:name="_Toc404496"/>
      <w:r w:rsidRPr="008B7069">
        <w:t>692.4.</w:t>
      </w:r>
      <w:r w:rsidR="006F51D4">
        <w:t xml:space="preserve"> </w:t>
      </w:r>
      <w:r w:rsidRPr="008B7069">
        <w:tab/>
        <w:t>Materiales</w:t>
      </w:r>
      <w:bookmarkEnd w:id="926"/>
      <w:bookmarkEnd w:id="927"/>
      <w:bookmarkEnd w:id="928"/>
      <w:bookmarkEnd w:id="929"/>
      <w:bookmarkEnd w:id="930"/>
    </w:p>
    <w:p w14:paraId="7A952E36" w14:textId="77777777" w:rsidR="00EF1D61" w:rsidRPr="004F6428" w:rsidRDefault="00EF1D61" w:rsidP="00A36A9E">
      <w:pPr>
        <w:keepNext/>
        <w:spacing w:before="120" w:after="120" w:line="360" w:lineRule="auto"/>
        <w:jc w:val="both"/>
        <w:rPr>
          <w:rFonts w:ascii="Arial" w:hAnsi="Arial" w:cs="Arial"/>
          <w:b/>
          <w:i/>
          <w:u w:val="single"/>
        </w:rPr>
      </w:pPr>
      <w:r w:rsidRPr="004F6428">
        <w:rPr>
          <w:rFonts w:ascii="Arial" w:hAnsi="Arial" w:cs="Arial"/>
          <w:b/>
          <w:i/>
          <w:u w:val="single"/>
        </w:rPr>
        <w:t>Apoyos de neopreno</w:t>
      </w:r>
    </w:p>
    <w:p w14:paraId="481ACF9E" w14:textId="77777777" w:rsidR="00EF1D61" w:rsidRPr="004F6428" w:rsidRDefault="00EF1D61" w:rsidP="00A36A9E">
      <w:pPr>
        <w:spacing w:before="120" w:after="120" w:line="360" w:lineRule="auto"/>
        <w:jc w:val="both"/>
        <w:rPr>
          <w:rFonts w:ascii="Arial" w:hAnsi="Arial"/>
        </w:rPr>
      </w:pPr>
      <w:r w:rsidRPr="004F6428">
        <w:rPr>
          <w:rFonts w:ascii="Arial" w:hAnsi="Arial"/>
        </w:rPr>
        <w:t xml:space="preserve">Todos los apoyos contarán con el </w:t>
      </w:r>
      <w:r w:rsidR="00D93E76" w:rsidRPr="004F6428">
        <w:rPr>
          <w:rFonts w:ascii="Arial" w:hAnsi="Arial"/>
        </w:rPr>
        <w:t>marcado</w:t>
      </w:r>
      <w:r w:rsidRPr="004F6428">
        <w:rPr>
          <w:rFonts w:ascii="Arial" w:hAnsi="Arial"/>
          <w:noProof/>
        </w:rPr>
        <w:drawing>
          <wp:inline distT="0" distB="0" distL="0" distR="0" wp14:anchorId="27677893" wp14:editId="4789604A">
            <wp:extent cx="189865" cy="142240"/>
            <wp:effectExtent l="19050" t="0" r="635" b="0"/>
            <wp:docPr id="1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srcRect/>
                    <a:stretch>
                      <a:fillRect/>
                    </a:stretch>
                  </pic:blipFill>
                  <pic:spPr bwMode="auto">
                    <a:xfrm>
                      <a:off x="0" y="0"/>
                      <a:ext cx="189865" cy="142240"/>
                    </a:xfrm>
                    <a:prstGeom prst="rect">
                      <a:avLst/>
                    </a:prstGeom>
                    <a:noFill/>
                    <a:ln w="9525">
                      <a:noFill/>
                      <a:miter lim="800000"/>
                      <a:headEnd/>
                      <a:tailEnd/>
                    </a:ln>
                  </pic:spPr>
                </pic:pic>
              </a:graphicData>
            </a:graphic>
          </wp:inline>
        </w:drawing>
      </w:r>
      <w:r w:rsidRPr="004F6428">
        <w:rPr>
          <w:rFonts w:ascii="Arial" w:hAnsi="Arial"/>
        </w:rPr>
        <w:t xml:space="preserve">. Este marcado cumplirá las especificaciones de la Directiva 93/68/EC y el etiquetado estará impreso en el apoyo </w:t>
      </w:r>
      <w:proofErr w:type="spellStart"/>
      <w:r w:rsidRPr="004F6428">
        <w:rPr>
          <w:rFonts w:ascii="Arial" w:hAnsi="Arial"/>
        </w:rPr>
        <w:t>elastomérico</w:t>
      </w:r>
      <w:proofErr w:type="spellEnd"/>
      <w:r w:rsidRPr="004F6428">
        <w:rPr>
          <w:rFonts w:ascii="Arial" w:hAnsi="Arial"/>
        </w:rPr>
        <w:t xml:space="preserve"> o, cuando esto no sea posible, impreso en el etiquetado del producto, el empaquetado o los documentos comerciales adjuntos a los dispositivos.</w:t>
      </w:r>
    </w:p>
    <w:p w14:paraId="479BBFEF" w14:textId="77777777" w:rsidR="00EF1D61" w:rsidRPr="004F6428" w:rsidRDefault="00E70D17" w:rsidP="00A36A9E">
      <w:pPr>
        <w:spacing w:before="120" w:after="120" w:line="360" w:lineRule="auto"/>
        <w:jc w:val="both"/>
        <w:rPr>
          <w:rFonts w:ascii="Arial" w:hAnsi="Arial"/>
        </w:rPr>
      </w:pPr>
      <w:r>
        <w:rPr>
          <w:rFonts w:ascii="Arial" w:hAnsi="Arial"/>
        </w:rPr>
        <w:br w:type="column"/>
      </w:r>
      <w:r w:rsidR="00EF1D61" w:rsidRPr="004F6428">
        <w:rPr>
          <w:rFonts w:ascii="Arial" w:hAnsi="Arial"/>
        </w:rPr>
        <w:t xml:space="preserve">El etiquetado  </w:t>
      </w:r>
      <w:r w:rsidR="00EF1D61" w:rsidRPr="004F6428">
        <w:rPr>
          <w:rFonts w:ascii="Arial" w:hAnsi="Arial"/>
          <w:noProof/>
        </w:rPr>
        <w:drawing>
          <wp:inline distT="0" distB="0" distL="0" distR="0" wp14:anchorId="7C3FDC42" wp14:editId="38F1C6F7">
            <wp:extent cx="189865" cy="142240"/>
            <wp:effectExtent l="19050" t="0" r="635" b="0"/>
            <wp:docPr id="1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cstate="print"/>
                    <a:srcRect/>
                    <a:stretch>
                      <a:fillRect/>
                    </a:stretch>
                  </pic:blipFill>
                  <pic:spPr bwMode="auto">
                    <a:xfrm>
                      <a:off x="0" y="0"/>
                      <a:ext cx="189865" cy="142240"/>
                    </a:xfrm>
                    <a:prstGeom prst="rect">
                      <a:avLst/>
                    </a:prstGeom>
                    <a:noFill/>
                    <a:ln w="9525">
                      <a:noFill/>
                      <a:miter lim="800000"/>
                      <a:headEnd/>
                      <a:tailEnd/>
                    </a:ln>
                  </pic:spPr>
                </pic:pic>
              </a:graphicData>
            </a:graphic>
          </wp:inline>
        </w:drawing>
      </w:r>
      <w:r w:rsidR="00EF1D61" w:rsidRPr="004F6428">
        <w:rPr>
          <w:rFonts w:ascii="Arial" w:hAnsi="Arial"/>
        </w:rPr>
        <w:t xml:space="preserve">  incluirá las siguientes características y especificaciones:</w:t>
      </w:r>
    </w:p>
    <w:p w14:paraId="3D1EFE01" w14:textId="77777777" w:rsidR="00EF1D61" w:rsidRPr="004F6428" w:rsidRDefault="00EF1D61" w:rsidP="00A36A9E">
      <w:pPr>
        <w:pStyle w:val="NORMAL12"/>
        <w:numPr>
          <w:ilvl w:val="0"/>
          <w:numId w:val="61"/>
        </w:numPr>
      </w:pPr>
      <w:r w:rsidRPr="004F6428">
        <w:t>Número de identificación del organismo de certificación</w:t>
      </w:r>
    </w:p>
    <w:p w14:paraId="69033F75" w14:textId="77777777" w:rsidR="00EF1D61" w:rsidRPr="004F6428" w:rsidRDefault="00EF1D61" w:rsidP="00A36A9E">
      <w:pPr>
        <w:pStyle w:val="NORMAL12"/>
        <w:numPr>
          <w:ilvl w:val="0"/>
          <w:numId w:val="61"/>
        </w:numPr>
      </w:pPr>
      <w:r w:rsidRPr="004F6428">
        <w:t>Nombre y dirección del fabricante</w:t>
      </w:r>
    </w:p>
    <w:p w14:paraId="3CA65634" w14:textId="77777777" w:rsidR="00EF1D61" w:rsidRPr="004F6428" w:rsidRDefault="00EF1D61" w:rsidP="00A36A9E">
      <w:pPr>
        <w:pStyle w:val="NORMAL12"/>
        <w:numPr>
          <w:ilvl w:val="0"/>
          <w:numId w:val="61"/>
        </w:numPr>
      </w:pPr>
      <w:r w:rsidRPr="004F6428">
        <w:t xml:space="preserve">Dos últimos dígitos del año de inclusión del marcado </w:t>
      </w:r>
      <w:r w:rsidRPr="004F6428">
        <w:rPr>
          <w:noProof/>
          <w:lang w:val="es-ES" w:eastAsia="es-ES"/>
        </w:rPr>
        <w:drawing>
          <wp:inline distT="0" distB="0" distL="0" distR="0" wp14:anchorId="2E6AB64B" wp14:editId="4EE01670">
            <wp:extent cx="189865" cy="142240"/>
            <wp:effectExtent l="19050" t="0" r="635" b="0"/>
            <wp:docPr id="1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srcRect/>
                    <a:stretch>
                      <a:fillRect/>
                    </a:stretch>
                  </pic:blipFill>
                  <pic:spPr bwMode="auto">
                    <a:xfrm>
                      <a:off x="0" y="0"/>
                      <a:ext cx="189865" cy="142240"/>
                    </a:xfrm>
                    <a:prstGeom prst="rect">
                      <a:avLst/>
                    </a:prstGeom>
                    <a:noFill/>
                    <a:ln w="9525">
                      <a:noFill/>
                      <a:miter lim="800000"/>
                      <a:headEnd/>
                      <a:tailEnd/>
                    </a:ln>
                  </pic:spPr>
                </pic:pic>
              </a:graphicData>
            </a:graphic>
          </wp:inline>
        </w:drawing>
      </w:r>
      <w:r w:rsidRPr="004F6428">
        <w:t xml:space="preserve">  en el producto</w:t>
      </w:r>
    </w:p>
    <w:p w14:paraId="5445D58B" w14:textId="77777777" w:rsidR="00EF1D61" w:rsidRPr="004F6428" w:rsidRDefault="00EF1D61" w:rsidP="00A36A9E">
      <w:pPr>
        <w:pStyle w:val="NORMAL12"/>
        <w:numPr>
          <w:ilvl w:val="0"/>
          <w:numId w:val="61"/>
        </w:numPr>
      </w:pPr>
      <w:r w:rsidRPr="004F6428">
        <w:t>Número del certificado de conformidad (en caso de ser relevante)</w:t>
      </w:r>
    </w:p>
    <w:p w14:paraId="161E085F" w14:textId="77777777" w:rsidR="00EF1D61" w:rsidRPr="004F6428" w:rsidRDefault="00EF1D61" w:rsidP="00A36A9E">
      <w:pPr>
        <w:pStyle w:val="NORMAL12"/>
        <w:numPr>
          <w:ilvl w:val="0"/>
          <w:numId w:val="61"/>
        </w:numPr>
      </w:pPr>
      <w:r w:rsidRPr="004F6428">
        <w:t xml:space="preserve">La identificación de la </w:t>
      </w:r>
      <w:proofErr w:type="spellStart"/>
      <w:r w:rsidRPr="004F6428">
        <w:t>euronorma</w:t>
      </w:r>
      <w:proofErr w:type="spellEnd"/>
      <w:r w:rsidRPr="004F6428">
        <w:t xml:space="preserve"> EN 1337-3</w:t>
      </w:r>
    </w:p>
    <w:p w14:paraId="1933D3F2" w14:textId="77777777" w:rsidR="00EF1D61" w:rsidRPr="004F6428" w:rsidRDefault="00EF1D61" w:rsidP="00A36A9E">
      <w:pPr>
        <w:pStyle w:val="NORMAL12"/>
        <w:numPr>
          <w:ilvl w:val="0"/>
          <w:numId w:val="61"/>
        </w:numPr>
      </w:pPr>
      <w:r w:rsidRPr="004F6428">
        <w:t>El nombre y tipo del producto</w:t>
      </w:r>
    </w:p>
    <w:p w14:paraId="74569D90" w14:textId="77777777" w:rsidR="00EF1D61" w:rsidRPr="004F6428" w:rsidRDefault="00EF1D61" w:rsidP="00A36A9E">
      <w:pPr>
        <w:spacing w:before="120" w:after="120" w:line="360" w:lineRule="auto"/>
        <w:jc w:val="both"/>
        <w:rPr>
          <w:rFonts w:ascii="Arial" w:hAnsi="Arial"/>
        </w:rPr>
      </w:pPr>
      <w:r w:rsidRPr="004F6428">
        <w:rPr>
          <w:rFonts w:ascii="Arial" w:hAnsi="Arial"/>
        </w:rPr>
        <w:t xml:space="preserve">El fabricante o su representante autorizado en el ámbito de la Unión Europea serán responsables de la inclusión del marcado </w:t>
      </w:r>
      <w:r w:rsidRPr="004F6428">
        <w:rPr>
          <w:rFonts w:ascii="Arial" w:hAnsi="Arial"/>
          <w:noProof/>
        </w:rPr>
        <w:drawing>
          <wp:inline distT="0" distB="0" distL="0" distR="0" wp14:anchorId="05C9B390" wp14:editId="25FA4BDE">
            <wp:extent cx="189865" cy="142240"/>
            <wp:effectExtent l="19050" t="0" r="635" b="0"/>
            <wp:docPr id="2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srcRect/>
                    <a:stretch>
                      <a:fillRect/>
                    </a:stretch>
                  </pic:blipFill>
                  <pic:spPr bwMode="auto">
                    <a:xfrm>
                      <a:off x="0" y="0"/>
                      <a:ext cx="189865" cy="142240"/>
                    </a:xfrm>
                    <a:prstGeom prst="rect">
                      <a:avLst/>
                    </a:prstGeom>
                    <a:noFill/>
                    <a:ln w="9525">
                      <a:noFill/>
                      <a:miter lim="800000"/>
                      <a:headEnd/>
                      <a:tailEnd/>
                    </a:ln>
                  </pic:spPr>
                </pic:pic>
              </a:graphicData>
            </a:graphic>
          </wp:inline>
        </w:drawing>
      </w:r>
      <w:r w:rsidRPr="004F6428">
        <w:rPr>
          <w:rFonts w:ascii="Arial" w:hAnsi="Arial"/>
        </w:rPr>
        <w:t xml:space="preserve"> en los dispositivos.</w:t>
      </w:r>
    </w:p>
    <w:p w14:paraId="39E7956C" w14:textId="77777777" w:rsidR="00EF1D61" w:rsidRPr="004F6428" w:rsidRDefault="00EF1D61" w:rsidP="00A36A9E">
      <w:pPr>
        <w:spacing w:before="120" w:after="120" w:line="360" w:lineRule="auto"/>
        <w:jc w:val="both"/>
        <w:rPr>
          <w:rFonts w:ascii="Arial" w:hAnsi="Arial" w:cs="Arial"/>
        </w:rPr>
      </w:pPr>
      <w:r w:rsidRPr="004F6428">
        <w:rPr>
          <w:rFonts w:ascii="Arial" w:hAnsi="Arial" w:cs="Arial"/>
        </w:rPr>
        <w:t xml:space="preserve">El material </w:t>
      </w:r>
      <w:proofErr w:type="spellStart"/>
      <w:r w:rsidRPr="004F6428">
        <w:rPr>
          <w:rFonts w:ascii="Arial" w:hAnsi="Arial" w:cs="Arial"/>
        </w:rPr>
        <w:t>elastomérico</w:t>
      </w:r>
      <w:proofErr w:type="spellEnd"/>
      <w:r w:rsidRPr="004F6428">
        <w:rPr>
          <w:rFonts w:ascii="Arial" w:hAnsi="Arial" w:cs="Arial"/>
        </w:rPr>
        <w:t xml:space="preserve"> estará constituido por </w:t>
      </w:r>
      <w:proofErr w:type="spellStart"/>
      <w:r w:rsidRPr="004F6428">
        <w:rPr>
          <w:rFonts w:ascii="Arial" w:hAnsi="Arial" w:cs="Arial"/>
        </w:rPr>
        <w:t>clorocaucho</w:t>
      </w:r>
      <w:proofErr w:type="spellEnd"/>
      <w:r w:rsidRPr="004F6428">
        <w:rPr>
          <w:rFonts w:ascii="Arial" w:hAnsi="Arial" w:cs="Arial"/>
        </w:rPr>
        <w:t xml:space="preserve"> clorado completamente sintético (cloropreno, neopreno). No se admite el uso de caucho natural. Sus características deberán cumplir las especificaciones siguientes:</w:t>
      </w:r>
    </w:p>
    <w:p w14:paraId="045C30AC" w14:textId="77777777" w:rsidR="00EF1D61" w:rsidRPr="004F6428" w:rsidRDefault="00EF1D61" w:rsidP="00EF1D61">
      <w:pPr>
        <w:spacing w:before="120" w:after="120" w:line="360" w:lineRule="auto"/>
        <w:ind w:left="1286" w:hanging="360"/>
        <w:jc w:val="both"/>
        <w:rPr>
          <w:rFonts w:ascii="Arial" w:hAnsi="Arial"/>
        </w:rPr>
      </w:pPr>
      <w:r w:rsidRPr="004F6428">
        <w:rPr>
          <w:rFonts w:ascii="Arial" w:hAnsi="Arial"/>
        </w:rPr>
        <w:t>Dureza SHORE A (UNE 53548)</w:t>
      </w:r>
      <w:r w:rsidRPr="004F6428">
        <w:rPr>
          <w:rFonts w:ascii="Arial" w:hAnsi="Arial"/>
        </w:rPr>
        <w:tab/>
        <w:t>65 +/– 5</w:t>
      </w:r>
    </w:p>
    <w:p w14:paraId="5FC3E131" w14:textId="77777777" w:rsidR="00EF1D61" w:rsidRPr="004F6428" w:rsidRDefault="00EF1D61" w:rsidP="00EF1D61">
      <w:pPr>
        <w:spacing w:before="120" w:after="120" w:line="360" w:lineRule="auto"/>
        <w:ind w:left="1286" w:hanging="360"/>
        <w:jc w:val="both"/>
        <w:rPr>
          <w:rFonts w:ascii="Arial" w:hAnsi="Arial"/>
        </w:rPr>
      </w:pPr>
      <w:r w:rsidRPr="004F6428">
        <w:rPr>
          <w:rFonts w:ascii="Arial" w:hAnsi="Arial"/>
        </w:rPr>
        <w:t>Módulo de deformación G frente a cargas lentas:</w:t>
      </w:r>
    </w:p>
    <w:p w14:paraId="78A3032B" w14:textId="77777777" w:rsidR="00EF1D61" w:rsidRPr="004F6428" w:rsidRDefault="00EF1D61" w:rsidP="00EF1D61">
      <w:pPr>
        <w:spacing w:before="120" w:after="120" w:line="360" w:lineRule="auto"/>
        <w:ind w:left="926"/>
        <w:jc w:val="both"/>
        <w:rPr>
          <w:rFonts w:ascii="Arial" w:hAnsi="Arial"/>
        </w:rPr>
      </w:pPr>
      <w:r w:rsidRPr="004F6428">
        <w:rPr>
          <w:rFonts w:ascii="Arial" w:hAnsi="Arial"/>
        </w:rPr>
        <w:tab/>
      </w:r>
      <w:r w:rsidRPr="004F6428">
        <w:rPr>
          <w:rFonts w:ascii="Arial" w:hAnsi="Arial"/>
        </w:rPr>
        <w:tab/>
      </w:r>
      <w:r w:rsidRPr="004F6428">
        <w:rPr>
          <w:rFonts w:ascii="Arial" w:hAnsi="Arial"/>
        </w:rPr>
        <w:tab/>
      </w:r>
      <w:r w:rsidRPr="004F6428">
        <w:rPr>
          <w:rFonts w:ascii="Arial" w:hAnsi="Arial"/>
        </w:rPr>
        <w:tab/>
      </w:r>
      <w:r w:rsidRPr="004F6428">
        <w:rPr>
          <w:rFonts w:ascii="Arial" w:hAnsi="Arial"/>
        </w:rPr>
        <w:tab/>
      </w:r>
      <w:r w:rsidRPr="004F6428">
        <w:rPr>
          <w:rFonts w:ascii="Arial" w:hAnsi="Arial"/>
        </w:rPr>
        <w:tab/>
        <w:t>0,8 a 1,1 MPa</w:t>
      </w:r>
    </w:p>
    <w:p w14:paraId="20BD77D1" w14:textId="77777777" w:rsidR="00EF1D61" w:rsidRPr="004F6428" w:rsidRDefault="00EF1D61" w:rsidP="00EF1D61">
      <w:pPr>
        <w:spacing w:before="120" w:after="120" w:line="360" w:lineRule="auto"/>
        <w:ind w:left="1286" w:hanging="360"/>
        <w:jc w:val="both"/>
        <w:rPr>
          <w:rFonts w:ascii="Arial" w:hAnsi="Arial"/>
        </w:rPr>
      </w:pPr>
      <w:r w:rsidRPr="004F6428">
        <w:rPr>
          <w:rFonts w:ascii="Arial" w:hAnsi="Arial"/>
        </w:rPr>
        <w:t>Resistencia mínima a tracción</w:t>
      </w:r>
      <w:r w:rsidRPr="004F6428">
        <w:rPr>
          <w:rFonts w:ascii="Arial" w:hAnsi="Arial"/>
        </w:rPr>
        <w:tab/>
      </w:r>
      <w:r w:rsidRPr="004F6428">
        <w:rPr>
          <w:rFonts w:ascii="Arial" w:hAnsi="Arial"/>
        </w:rPr>
        <w:tab/>
        <w:t xml:space="preserve">16 </w:t>
      </w:r>
      <w:proofErr w:type="spellStart"/>
      <w:r w:rsidRPr="004F6428">
        <w:rPr>
          <w:rFonts w:ascii="Arial" w:hAnsi="Arial"/>
        </w:rPr>
        <w:t>Mpa</w:t>
      </w:r>
      <w:proofErr w:type="spellEnd"/>
    </w:p>
    <w:p w14:paraId="1FAA55AF" w14:textId="77777777" w:rsidR="00EF1D61" w:rsidRPr="004F6428" w:rsidRDefault="00EF1D61" w:rsidP="00A36A9E">
      <w:pPr>
        <w:spacing w:before="120" w:after="120" w:line="360" w:lineRule="auto"/>
        <w:jc w:val="both"/>
        <w:rPr>
          <w:rFonts w:ascii="Arial" w:hAnsi="Arial"/>
        </w:rPr>
      </w:pPr>
      <w:r w:rsidRPr="004F6428">
        <w:rPr>
          <w:rFonts w:ascii="Arial" w:hAnsi="Arial"/>
        </w:rPr>
        <w:t>La resistencia a tracción será igual o superior a 16 MPa para piezas moldeadas para ensayo, e igual o superior a 14 MPa para testigos extraídos de los apoyos fabricados, todo ello conforme al método de ensayo ISO 37-Tipo 2.</w:t>
      </w:r>
    </w:p>
    <w:p w14:paraId="64A5DC5C" w14:textId="77777777" w:rsidR="00EF1D61" w:rsidRPr="004F6428" w:rsidRDefault="00EF1D61" w:rsidP="00A36A9E">
      <w:pPr>
        <w:spacing w:before="120" w:after="120" w:line="360" w:lineRule="auto"/>
        <w:jc w:val="both"/>
        <w:rPr>
          <w:rFonts w:ascii="Arial" w:hAnsi="Arial"/>
        </w:rPr>
      </w:pPr>
      <w:r w:rsidRPr="004F6428">
        <w:rPr>
          <w:rFonts w:ascii="Arial" w:hAnsi="Arial"/>
        </w:rPr>
        <w:t>Alargamiento mínimo en rotura</w:t>
      </w:r>
      <w:r w:rsidRPr="004F6428">
        <w:rPr>
          <w:rFonts w:ascii="Arial" w:hAnsi="Arial"/>
        </w:rPr>
        <w:tab/>
        <w:t>450%</w:t>
      </w:r>
    </w:p>
    <w:p w14:paraId="4A03A1B1" w14:textId="77777777" w:rsidR="00EF1D61" w:rsidRPr="004F6428" w:rsidRDefault="00EF1D61" w:rsidP="00A36A9E">
      <w:pPr>
        <w:spacing w:before="120" w:after="120" w:line="360" w:lineRule="auto"/>
        <w:jc w:val="both"/>
        <w:rPr>
          <w:rFonts w:ascii="Arial" w:hAnsi="Arial"/>
        </w:rPr>
      </w:pPr>
      <w:r w:rsidRPr="004F6428">
        <w:rPr>
          <w:rFonts w:ascii="Arial" w:hAnsi="Arial"/>
        </w:rPr>
        <w:t>La deformación última de rotura a tracción será igual o superior al 450% para piezas moldeadas para ensayo e igual o superior al 375% para testigos extraídos de los apoyos fabricados, todo ello conforme al método de ensayo ISO 37-Tipo 2.</w:t>
      </w:r>
    </w:p>
    <w:p w14:paraId="085EEF34" w14:textId="77777777" w:rsidR="00EF1D61" w:rsidRPr="004F6428" w:rsidRDefault="00EF1D61" w:rsidP="00A36A9E">
      <w:pPr>
        <w:spacing w:before="120" w:after="120" w:line="360" w:lineRule="auto"/>
        <w:jc w:val="both"/>
        <w:rPr>
          <w:rFonts w:ascii="Arial" w:hAnsi="Arial"/>
        </w:rPr>
      </w:pPr>
      <w:r w:rsidRPr="004F6428">
        <w:rPr>
          <w:rFonts w:ascii="Arial" w:hAnsi="Arial"/>
        </w:rPr>
        <w:t>El “</w:t>
      </w:r>
      <w:proofErr w:type="spellStart"/>
      <w:r w:rsidRPr="004F6428">
        <w:rPr>
          <w:rFonts w:ascii="Arial" w:hAnsi="Arial"/>
        </w:rPr>
        <w:t>compression</w:t>
      </w:r>
      <w:proofErr w:type="spellEnd"/>
      <w:r w:rsidRPr="004F6428">
        <w:rPr>
          <w:rFonts w:ascii="Arial" w:hAnsi="Arial"/>
        </w:rPr>
        <w:t xml:space="preserve"> set” será inferior a 30 conforme al método de ensayo ISO 815-Tipo A, realizado a </w:t>
      </w:r>
      <w:smartTag w:uri="urn:schemas-microsoft-com:office:smarttags" w:element="metricconverter">
        <w:smartTagPr>
          <w:attr w:name="ProductID" w:val="70ﾺC"/>
        </w:smartTagPr>
        <w:r w:rsidRPr="004F6428">
          <w:rPr>
            <w:rFonts w:ascii="Arial" w:hAnsi="Arial"/>
          </w:rPr>
          <w:t>70ºC</w:t>
        </w:r>
      </w:smartTag>
      <w:r w:rsidRPr="004F6428">
        <w:rPr>
          <w:rFonts w:ascii="Arial" w:hAnsi="Arial"/>
        </w:rPr>
        <w:t>, durante 24h y al 25% de compresión.</w:t>
      </w:r>
    </w:p>
    <w:p w14:paraId="3D0B4095" w14:textId="77777777" w:rsidR="00EF1D61" w:rsidRPr="004F6428" w:rsidRDefault="00EF1D61" w:rsidP="00A36A9E">
      <w:pPr>
        <w:spacing w:before="120" w:after="120" w:line="360" w:lineRule="auto"/>
        <w:jc w:val="both"/>
        <w:rPr>
          <w:rFonts w:ascii="Arial" w:hAnsi="Arial"/>
        </w:rPr>
      </w:pPr>
      <w:r w:rsidRPr="004F6428">
        <w:rPr>
          <w:rFonts w:ascii="Arial" w:hAnsi="Arial"/>
        </w:rPr>
        <w:t>La resistencia al desgarro será igual o superior a 10 kN/m conforme al método de ensayo ISO 34-Método A.</w:t>
      </w:r>
    </w:p>
    <w:p w14:paraId="73B971C9" w14:textId="77777777" w:rsidR="00EF1D61" w:rsidRPr="004F6428" w:rsidRDefault="00E70D17" w:rsidP="00A36A9E">
      <w:pPr>
        <w:spacing w:before="120" w:after="120" w:line="360" w:lineRule="auto"/>
        <w:jc w:val="both"/>
        <w:rPr>
          <w:rFonts w:ascii="Arial" w:hAnsi="Arial" w:cs="Arial"/>
        </w:rPr>
      </w:pPr>
      <w:r>
        <w:rPr>
          <w:rFonts w:ascii="Arial" w:hAnsi="Arial" w:cs="Arial"/>
        </w:rPr>
        <w:br w:type="column"/>
      </w:r>
      <w:r w:rsidR="00EF1D61" w:rsidRPr="004F6428">
        <w:rPr>
          <w:rFonts w:ascii="Arial" w:hAnsi="Arial" w:cs="Arial"/>
        </w:rPr>
        <w:lastRenderedPageBreak/>
        <w:t>La variación máxima de estas características al ser sometido a un proceso de envejecimiento artificial en estufa a 100ºC durante 70 horas, será la siguiente:</w:t>
      </w:r>
    </w:p>
    <w:p w14:paraId="2C4F2E2C" w14:textId="77777777" w:rsidR="00EF1D61" w:rsidRPr="004F6428" w:rsidRDefault="00EF1D61" w:rsidP="00EF1D61">
      <w:pPr>
        <w:spacing w:before="120" w:after="120" w:line="360" w:lineRule="auto"/>
        <w:ind w:left="1286" w:hanging="360"/>
        <w:jc w:val="both"/>
        <w:rPr>
          <w:rFonts w:ascii="Arial" w:hAnsi="Arial"/>
        </w:rPr>
      </w:pPr>
      <w:r w:rsidRPr="004F6428">
        <w:rPr>
          <w:rFonts w:ascii="Arial" w:hAnsi="Arial"/>
        </w:rPr>
        <w:t>Cambio en dureza SHORE (UNE 53548)</w:t>
      </w:r>
      <w:r w:rsidRPr="004F6428">
        <w:rPr>
          <w:rFonts w:ascii="Arial" w:hAnsi="Arial"/>
        </w:rPr>
        <w:tab/>
        <w:t>+ 5º</w:t>
      </w:r>
    </w:p>
    <w:p w14:paraId="74AB1517" w14:textId="77777777" w:rsidR="00EF1D61" w:rsidRPr="004F6428" w:rsidRDefault="00EF1D61" w:rsidP="00EF1D61">
      <w:pPr>
        <w:spacing w:before="120" w:after="120" w:line="360" w:lineRule="auto"/>
        <w:ind w:left="1286" w:hanging="360"/>
        <w:jc w:val="both"/>
        <w:rPr>
          <w:rFonts w:ascii="Arial" w:hAnsi="Arial"/>
        </w:rPr>
      </w:pPr>
      <w:r w:rsidRPr="004F6428">
        <w:rPr>
          <w:rFonts w:ascii="Arial" w:hAnsi="Arial"/>
        </w:rPr>
        <w:t>Cambio en resistencia a tracción</w:t>
      </w:r>
      <w:r w:rsidRPr="004F6428">
        <w:rPr>
          <w:rFonts w:ascii="Arial" w:hAnsi="Arial"/>
        </w:rPr>
        <w:tab/>
      </w:r>
      <w:r w:rsidRPr="004F6428">
        <w:rPr>
          <w:rFonts w:ascii="Arial" w:hAnsi="Arial"/>
        </w:rPr>
        <w:tab/>
        <w:t>15%</w:t>
      </w:r>
    </w:p>
    <w:p w14:paraId="6254FBA7" w14:textId="77777777" w:rsidR="00EF1D61" w:rsidRPr="004F6428" w:rsidRDefault="00EF1D61" w:rsidP="00EF1D61">
      <w:pPr>
        <w:spacing w:before="120" w:after="120" w:line="360" w:lineRule="auto"/>
        <w:ind w:left="1286" w:hanging="360"/>
        <w:jc w:val="both"/>
        <w:rPr>
          <w:rFonts w:ascii="Arial" w:hAnsi="Arial"/>
        </w:rPr>
      </w:pPr>
      <w:r w:rsidRPr="004F6428">
        <w:rPr>
          <w:rFonts w:ascii="Arial" w:hAnsi="Arial"/>
        </w:rPr>
        <w:t>Reducción en alargamiento máximo</w:t>
      </w:r>
      <w:r w:rsidRPr="004F6428">
        <w:rPr>
          <w:rFonts w:ascii="Arial" w:hAnsi="Arial"/>
        </w:rPr>
        <w:tab/>
      </w:r>
      <w:r w:rsidRPr="004F6428">
        <w:rPr>
          <w:rFonts w:ascii="Arial" w:hAnsi="Arial"/>
        </w:rPr>
        <w:tab/>
        <w:t>- 25%</w:t>
      </w:r>
    </w:p>
    <w:p w14:paraId="71472FE0" w14:textId="77777777" w:rsidR="00EF1D61" w:rsidRPr="004F6428" w:rsidRDefault="00EF1D61" w:rsidP="00A36A9E">
      <w:pPr>
        <w:spacing w:before="120" w:after="120" w:line="360" w:lineRule="auto"/>
        <w:jc w:val="both"/>
        <w:rPr>
          <w:rFonts w:ascii="Arial" w:hAnsi="Arial"/>
          <w:noProof/>
        </w:rPr>
      </w:pPr>
      <w:bookmarkStart w:id="931" w:name="_Toc398555846"/>
      <w:bookmarkStart w:id="932" w:name="_Toc406602637"/>
      <w:bookmarkStart w:id="933" w:name="_Toc406930635"/>
      <w:r w:rsidRPr="004F6428">
        <w:rPr>
          <w:rFonts w:ascii="Arial" w:hAnsi="Arial"/>
          <w:noProof/>
        </w:rPr>
        <w:t>Las láminas de zunchado y las placas exteriores del apoyo se fabricarán con acero S-235 conforme a EN 10025, o bien de otro acero con deformación última de rotura superior.</w:t>
      </w:r>
    </w:p>
    <w:p w14:paraId="53048807" w14:textId="77777777" w:rsidR="00EF1D61" w:rsidRPr="004F6428" w:rsidRDefault="00EF1D61" w:rsidP="00A36A9E">
      <w:pPr>
        <w:spacing w:before="120" w:after="120" w:line="360" w:lineRule="auto"/>
        <w:jc w:val="both"/>
        <w:rPr>
          <w:rFonts w:ascii="Arial" w:hAnsi="Arial"/>
          <w:noProof/>
        </w:rPr>
      </w:pPr>
      <w:r w:rsidRPr="004F6428">
        <w:rPr>
          <w:rFonts w:ascii="Arial" w:hAnsi="Arial"/>
          <w:noProof/>
        </w:rPr>
        <w:t>La carga tangencial mínima capaz de resistir la unión al material elastomérico será en servicio de (8 N/mm</w:t>
      </w:r>
      <w:r w:rsidRPr="004F6428">
        <w:rPr>
          <w:rFonts w:ascii="Arial" w:hAnsi="Arial"/>
          <w:noProof/>
          <w:vertAlign w:val="superscript"/>
        </w:rPr>
        <w:t>2</w:t>
      </w:r>
      <w:r w:rsidRPr="004F6428">
        <w:rPr>
          <w:rFonts w:ascii="Arial" w:hAnsi="Arial"/>
          <w:noProof/>
        </w:rPr>
        <w:t>), siendo la deformación tangencial correspondiente de siete décimas (0,7).</w:t>
      </w:r>
    </w:p>
    <w:p w14:paraId="6FE364DC" w14:textId="77777777" w:rsidR="00EF1D61" w:rsidRPr="004F6428" w:rsidRDefault="00EF1D61" w:rsidP="00A36A9E">
      <w:pPr>
        <w:spacing w:before="120" w:after="120" w:line="360" w:lineRule="auto"/>
        <w:jc w:val="both"/>
        <w:rPr>
          <w:rFonts w:ascii="Arial" w:hAnsi="Arial"/>
          <w:noProof/>
        </w:rPr>
      </w:pPr>
      <w:r w:rsidRPr="004F6428">
        <w:rPr>
          <w:rFonts w:ascii="Arial" w:hAnsi="Arial"/>
          <w:noProof/>
        </w:rPr>
        <w:t>Las dimensiones de los neoprenos zunchados a disponer son las indicadas en planos del proyecto.</w:t>
      </w:r>
    </w:p>
    <w:p w14:paraId="01A1307B" w14:textId="77777777" w:rsidR="00EF1D61" w:rsidRPr="004F6428" w:rsidRDefault="00EF1D61" w:rsidP="00A36A9E">
      <w:pPr>
        <w:spacing w:before="120" w:after="120" w:line="360" w:lineRule="auto"/>
        <w:jc w:val="both"/>
        <w:rPr>
          <w:rFonts w:ascii="Arial" w:hAnsi="Arial"/>
          <w:noProof/>
        </w:rPr>
      </w:pPr>
      <w:r w:rsidRPr="004F6428">
        <w:rPr>
          <w:rFonts w:ascii="Arial" w:hAnsi="Arial"/>
          <w:noProof/>
        </w:rPr>
        <w:t>Mortero fluido de alta resistencia</w:t>
      </w:r>
    </w:p>
    <w:p w14:paraId="1FCD892C" w14:textId="77777777" w:rsidR="00EF1D61" w:rsidRDefault="00EF1D61" w:rsidP="000313DD">
      <w:pPr>
        <w:pStyle w:val="TITU2"/>
      </w:pPr>
      <w:bookmarkStart w:id="934" w:name="_Toc406602636"/>
      <w:bookmarkStart w:id="935" w:name="_Toc406930634"/>
      <w:bookmarkStart w:id="936" w:name="_Toc411506062"/>
      <w:bookmarkStart w:id="937" w:name="_Toc433280495"/>
      <w:bookmarkStart w:id="938" w:name="_Toc448916165"/>
      <w:bookmarkStart w:id="939" w:name="_Toc404497"/>
      <w:r w:rsidRPr="008B7069">
        <w:t>692.5. Ejecución</w:t>
      </w:r>
      <w:bookmarkEnd w:id="934"/>
      <w:bookmarkEnd w:id="935"/>
      <w:bookmarkEnd w:id="936"/>
      <w:bookmarkEnd w:id="937"/>
      <w:bookmarkEnd w:id="938"/>
      <w:r w:rsidR="002C0CF3">
        <w:t xml:space="preserve"> de las obras</w:t>
      </w:r>
      <w:bookmarkEnd w:id="939"/>
    </w:p>
    <w:p w14:paraId="2B141017" w14:textId="77777777" w:rsidR="00A36A9E" w:rsidRPr="00A36A9E" w:rsidRDefault="00A36A9E" w:rsidP="00A36A9E">
      <w:pPr>
        <w:pStyle w:val="NORMAL12"/>
        <w:rPr>
          <w:lang w:val="es-ES"/>
        </w:rPr>
      </w:pPr>
      <w:r>
        <w:rPr>
          <w:lang w:val="es-ES"/>
        </w:rPr>
        <w:t>En la ejecución se realizarán las siguientes fases:</w:t>
      </w:r>
    </w:p>
    <w:p w14:paraId="3BB9FCB0" w14:textId="77777777" w:rsidR="00A36A9E" w:rsidRPr="00A36A9E" w:rsidRDefault="00A36A9E" w:rsidP="00A36A9E">
      <w:pPr>
        <w:spacing w:before="120" w:after="120" w:line="360" w:lineRule="auto"/>
        <w:jc w:val="both"/>
        <w:rPr>
          <w:rFonts w:ascii="Arial" w:hAnsi="Arial"/>
          <w:noProof/>
        </w:rPr>
      </w:pPr>
      <w:r>
        <w:rPr>
          <w:rFonts w:ascii="Arial" w:hAnsi="Arial"/>
          <w:noProof/>
        </w:rPr>
        <w:t>C</w:t>
      </w:r>
      <w:r w:rsidR="00EF1D61" w:rsidRPr="004F6428">
        <w:rPr>
          <w:rFonts w:ascii="Arial" w:hAnsi="Arial"/>
          <w:noProof/>
        </w:rPr>
        <w:t>onstrucción de camas de nivelación con mortero estructural de alta resistencia autonivelante</w:t>
      </w:r>
      <w:r>
        <w:rPr>
          <w:rFonts w:ascii="Arial" w:hAnsi="Arial"/>
          <w:noProof/>
        </w:rPr>
        <w:t xml:space="preserve"> </w:t>
      </w:r>
      <w:r w:rsidRPr="00A36A9E">
        <w:rPr>
          <w:rFonts w:ascii="Arial" w:hAnsi="Arial"/>
          <w:noProof/>
        </w:rPr>
        <w:t xml:space="preserve"> y fraguado rápido. La aplicación del mortero se realizará con paleta, paletín o llana respetando los espesores indicados en la ficha técnica correspondiente. El acabado superficial se conseguirá con fratás de madera, poliestireno expandido, con llana o esponja en el momento en que haya endurecido suficientemente. </w:t>
      </w:r>
    </w:p>
    <w:p w14:paraId="691FC237" w14:textId="77777777" w:rsidR="00A36A9E" w:rsidRDefault="00A36A9E" w:rsidP="00A36A9E">
      <w:pPr>
        <w:spacing w:before="120" w:after="120" w:line="360" w:lineRule="auto"/>
        <w:jc w:val="both"/>
        <w:rPr>
          <w:rFonts w:ascii="Arial" w:hAnsi="Arial"/>
          <w:noProof/>
        </w:rPr>
      </w:pPr>
      <w:r w:rsidRPr="00A36A9E">
        <w:rPr>
          <w:rFonts w:ascii="Arial" w:hAnsi="Arial"/>
          <w:noProof/>
        </w:rPr>
        <w:t xml:space="preserve">Se respetarán las temperaturas de aplicación indicadas en las fichas técnicas de cada uno de los productos a emplear. Asimismo se respetarán también los márgenes de humedad relativa del aire si los hubiese. En general se suspenderá la aplicación cuando la temperatura del soporte sea inferior a 5ºC o superior a 40ºC. </w:t>
      </w:r>
    </w:p>
    <w:p w14:paraId="026AAB13" w14:textId="77777777" w:rsidR="00A36A9E" w:rsidRPr="002D0D3E" w:rsidRDefault="002D0D3E" w:rsidP="00A36A9E">
      <w:pPr>
        <w:spacing w:before="120" w:after="120" w:line="360" w:lineRule="auto"/>
        <w:jc w:val="both"/>
        <w:rPr>
          <w:rFonts w:ascii="Arial" w:hAnsi="Arial"/>
          <w:noProof/>
        </w:rPr>
      </w:pPr>
      <w:r w:rsidRPr="004F6428">
        <w:rPr>
          <w:rFonts w:ascii="Arial" w:hAnsi="Arial" w:cs="Arial"/>
        </w:rPr>
        <w:t xml:space="preserve">Se extremará el cuidado de las tolerancias geométricas en el proceso de colocación de los aparatos de apoyo. A este efecto se seguirán con todo detalle las especificaciones indicadas en los planos. En su defecto, se tomarán las medidas de buena ejecución indicadas en las "Recomendaciones para el proyecto y puesta en obra de los apoyos </w:t>
      </w:r>
      <w:proofErr w:type="spellStart"/>
      <w:r w:rsidRPr="004F6428">
        <w:rPr>
          <w:rFonts w:ascii="Arial" w:hAnsi="Arial" w:cs="Arial"/>
        </w:rPr>
        <w:t>elastoméricos</w:t>
      </w:r>
      <w:proofErr w:type="spellEnd"/>
      <w:r w:rsidRPr="004F6428">
        <w:rPr>
          <w:rFonts w:ascii="Arial" w:hAnsi="Arial" w:cs="Arial"/>
        </w:rPr>
        <w:t xml:space="preserve"> para puentes de carretera" del MOPU (1982), así como en la “Nota Técnica sobre aparatos de apoyo en puentes de carretera” de la Dirección General de Carreteras </w:t>
      </w:r>
      <w:r w:rsidRPr="004F6428">
        <w:rPr>
          <w:rFonts w:ascii="Arial" w:hAnsi="Arial" w:cs="Arial"/>
        </w:rPr>
        <w:t xml:space="preserve">del Ministerio de Obras Públicas, Transportes y Medio Ambiente (1995). El Contratista deberá someter a la aprobación de la Dirección </w:t>
      </w:r>
      <w:r>
        <w:rPr>
          <w:rFonts w:ascii="Arial" w:hAnsi="Arial" w:cs="Arial"/>
        </w:rPr>
        <w:t>de Obra</w:t>
      </w:r>
      <w:r w:rsidRPr="004F6428">
        <w:rPr>
          <w:rFonts w:ascii="Arial" w:hAnsi="Arial" w:cs="Arial"/>
        </w:rPr>
        <w:t xml:space="preserve"> el proceso previsto para la nivelación y ejecución de los aparatos de apoyo. Asimismo, deberá poner en conocimiento de </w:t>
      </w:r>
      <w:proofErr w:type="gramStart"/>
      <w:r w:rsidRPr="004F6428">
        <w:rPr>
          <w:rFonts w:ascii="Arial" w:hAnsi="Arial" w:cs="Arial"/>
        </w:rPr>
        <w:t>la misma</w:t>
      </w:r>
      <w:proofErr w:type="gramEnd"/>
      <w:r w:rsidRPr="004F6428">
        <w:rPr>
          <w:rFonts w:ascii="Arial" w:hAnsi="Arial" w:cs="Arial"/>
        </w:rPr>
        <w:t xml:space="preserve"> los controles geométricos efectuados durante el proceso de colocación. Dichos controles serán realizados a primera hora de la mañana o por la noche, antes de que los efectos térmicos en el puente sean de cierta entidad. En cuyo </w:t>
      </w:r>
      <w:r w:rsidRPr="002D0D3E">
        <w:rPr>
          <w:rFonts w:ascii="Arial" w:hAnsi="Arial"/>
          <w:noProof/>
        </w:rPr>
        <w:t>caso la instalación de dichos.</w:t>
      </w:r>
    </w:p>
    <w:p w14:paraId="5131AB61" w14:textId="77777777" w:rsidR="002D0D3E" w:rsidRPr="002D0D3E" w:rsidRDefault="002D0D3E" w:rsidP="002D0D3E">
      <w:pPr>
        <w:spacing w:before="120" w:after="120" w:line="360" w:lineRule="auto"/>
        <w:jc w:val="both"/>
        <w:rPr>
          <w:rFonts w:ascii="Arial" w:hAnsi="Arial"/>
          <w:noProof/>
        </w:rPr>
      </w:pPr>
      <w:r w:rsidRPr="002D0D3E">
        <w:rPr>
          <w:rFonts w:ascii="Arial" w:hAnsi="Arial"/>
          <w:noProof/>
        </w:rPr>
        <w:t>Se vigilará que la placa esté libre en toda su altura, con objeto de que no quede coartada su libertad de movimiento horizontal.</w:t>
      </w:r>
    </w:p>
    <w:p w14:paraId="798879E9" w14:textId="77777777" w:rsidR="00EF1D61" w:rsidRPr="008B7069" w:rsidRDefault="00EF1D61" w:rsidP="000313DD">
      <w:pPr>
        <w:pStyle w:val="TITU2"/>
      </w:pPr>
      <w:bookmarkStart w:id="940" w:name="_Toc448916166"/>
      <w:bookmarkStart w:id="941" w:name="_Toc404498"/>
      <w:r w:rsidRPr="008B7069">
        <w:t>692.6. Medición y abono</w:t>
      </w:r>
      <w:bookmarkEnd w:id="931"/>
      <w:bookmarkEnd w:id="932"/>
      <w:bookmarkEnd w:id="933"/>
      <w:bookmarkEnd w:id="940"/>
      <w:bookmarkEnd w:id="941"/>
    </w:p>
    <w:p w14:paraId="03B9D00A" w14:textId="77777777" w:rsidR="00EF1D61" w:rsidRPr="004F6428" w:rsidRDefault="00EF1D61" w:rsidP="00EF1D61">
      <w:pPr>
        <w:spacing w:before="120" w:after="120" w:line="360" w:lineRule="auto"/>
        <w:ind w:firstLine="851"/>
        <w:jc w:val="both"/>
        <w:rPr>
          <w:rFonts w:ascii="Arial" w:hAnsi="Arial" w:cs="Arial"/>
        </w:rPr>
      </w:pPr>
      <w:r w:rsidRPr="004F6428">
        <w:rPr>
          <w:rFonts w:ascii="Arial" w:hAnsi="Arial" w:cs="Arial"/>
        </w:rPr>
        <w:t>La medición y abono de la</w:t>
      </w:r>
      <w:r w:rsidR="002D0D3E">
        <w:rPr>
          <w:rFonts w:ascii="Arial" w:hAnsi="Arial" w:cs="Arial"/>
        </w:rPr>
        <w:t xml:space="preserve"> unidad de apoyo de </w:t>
      </w:r>
      <w:r w:rsidR="00D93E76">
        <w:rPr>
          <w:rFonts w:ascii="Arial" w:hAnsi="Arial" w:cs="Arial"/>
        </w:rPr>
        <w:t>neopreno</w:t>
      </w:r>
      <w:r w:rsidR="002D0D3E">
        <w:rPr>
          <w:rFonts w:ascii="Arial" w:hAnsi="Arial" w:cs="Arial"/>
        </w:rPr>
        <w:t xml:space="preserve"> zunchado se realizará según las prescripciones siguientes: </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9"/>
        <w:gridCol w:w="5812"/>
      </w:tblGrid>
      <w:tr w:rsidR="00EF1D61" w:rsidRPr="002D0D3E" w14:paraId="13A5080F" w14:textId="77777777" w:rsidTr="00EF1D61">
        <w:tc>
          <w:tcPr>
            <w:tcW w:w="3189" w:type="dxa"/>
            <w:vAlign w:val="center"/>
          </w:tcPr>
          <w:p w14:paraId="0A6ED4CC" w14:textId="77777777" w:rsidR="00EF1D61" w:rsidRPr="002D0D3E" w:rsidRDefault="00EF1D61" w:rsidP="002D0D3E">
            <w:pPr>
              <w:tabs>
                <w:tab w:val="left" w:pos="0"/>
                <w:tab w:val="left" w:pos="283"/>
                <w:tab w:val="left" w:pos="567"/>
                <w:tab w:val="left" w:pos="849"/>
                <w:tab w:val="left" w:pos="1134"/>
                <w:tab w:val="left" w:pos="1644"/>
              </w:tabs>
              <w:spacing w:before="60" w:after="120" w:line="360" w:lineRule="auto"/>
              <w:ind w:left="568" w:hanging="568"/>
              <w:jc w:val="center"/>
              <w:rPr>
                <w:rFonts w:ascii="Arial" w:hAnsi="Arial" w:cs="Arial"/>
                <w:b/>
                <w:bCs/>
                <w:iCs/>
                <w:sz w:val="20"/>
                <w:szCs w:val="20"/>
              </w:rPr>
            </w:pPr>
            <w:r w:rsidRPr="002D0D3E">
              <w:rPr>
                <w:rFonts w:ascii="Arial" w:hAnsi="Arial" w:cs="Arial"/>
                <w:b/>
                <w:bCs/>
                <w:iCs/>
                <w:sz w:val="20"/>
                <w:szCs w:val="20"/>
              </w:rPr>
              <w:t>Unidad de medida</w:t>
            </w:r>
          </w:p>
        </w:tc>
        <w:tc>
          <w:tcPr>
            <w:tcW w:w="5812" w:type="dxa"/>
            <w:vAlign w:val="center"/>
          </w:tcPr>
          <w:p w14:paraId="58E63C52" w14:textId="77777777" w:rsidR="00EF1D61" w:rsidRPr="002D0D3E" w:rsidRDefault="00EF1D61" w:rsidP="00666B72">
            <w:pPr>
              <w:spacing w:before="120" w:after="120" w:line="288" w:lineRule="auto"/>
              <w:jc w:val="both"/>
              <w:rPr>
                <w:rFonts w:cs="Arial"/>
                <w:bCs/>
                <w:iCs/>
                <w:sz w:val="20"/>
                <w:szCs w:val="20"/>
              </w:rPr>
            </w:pPr>
            <w:r w:rsidRPr="002D0D3E">
              <w:rPr>
                <w:rFonts w:ascii="Arial" w:hAnsi="Arial" w:cs="Arial"/>
                <w:sz w:val="20"/>
                <w:szCs w:val="20"/>
              </w:rPr>
              <w:t>Decímetros cúbicos (dm</w:t>
            </w:r>
            <w:r w:rsidRPr="002D0D3E">
              <w:rPr>
                <w:rFonts w:ascii="Arial" w:hAnsi="Arial" w:cs="Arial"/>
                <w:sz w:val="20"/>
                <w:szCs w:val="20"/>
                <w:vertAlign w:val="superscript"/>
              </w:rPr>
              <w:t>3</w:t>
            </w:r>
            <w:r w:rsidRPr="002D0D3E">
              <w:rPr>
                <w:rFonts w:ascii="Arial" w:hAnsi="Arial" w:cs="Arial"/>
                <w:sz w:val="20"/>
                <w:szCs w:val="20"/>
              </w:rPr>
              <w:t>).</w:t>
            </w:r>
          </w:p>
        </w:tc>
      </w:tr>
      <w:tr w:rsidR="00EF1D61" w:rsidRPr="002D0D3E" w14:paraId="547CD3D8" w14:textId="77777777" w:rsidTr="00EF1D61">
        <w:trPr>
          <w:trHeight w:val="425"/>
        </w:trPr>
        <w:tc>
          <w:tcPr>
            <w:tcW w:w="3189" w:type="dxa"/>
            <w:vAlign w:val="center"/>
          </w:tcPr>
          <w:p w14:paraId="3D32DB00" w14:textId="77777777" w:rsidR="00EF1D61" w:rsidRPr="002D0D3E" w:rsidRDefault="00EF1D61" w:rsidP="002D0D3E">
            <w:pPr>
              <w:tabs>
                <w:tab w:val="left" w:pos="0"/>
                <w:tab w:val="left" w:pos="283"/>
                <w:tab w:val="left" w:pos="567"/>
                <w:tab w:val="left" w:pos="849"/>
                <w:tab w:val="left" w:pos="1134"/>
                <w:tab w:val="left" w:pos="1644"/>
              </w:tabs>
              <w:spacing w:before="60" w:after="120" w:line="360" w:lineRule="auto"/>
              <w:ind w:left="568" w:hanging="568"/>
              <w:jc w:val="center"/>
              <w:rPr>
                <w:rFonts w:ascii="Arial" w:hAnsi="Arial" w:cs="Arial"/>
                <w:b/>
                <w:bCs/>
                <w:iCs/>
                <w:sz w:val="20"/>
                <w:szCs w:val="20"/>
              </w:rPr>
            </w:pPr>
            <w:r w:rsidRPr="002D0D3E">
              <w:rPr>
                <w:rFonts w:ascii="Arial" w:hAnsi="Arial" w:cs="Arial"/>
                <w:b/>
                <w:bCs/>
                <w:iCs/>
                <w:sz w:val="20"/>
                <w:szCs w:val="20"/>
              </w:rPr>
              <w:t>Grado de precisión</w:t>
            </w:r>
          </w:p>
        </w:tc>
        <w:tc>
          <w:tcPr>
            <w:tcW w:w="5812" w:type="dxa"/>
            <w:vAlign w:val="center"/>
          </w:tcPr>
          <w:p w14:paraId="630867A3" w14:textId="77777777" w:rsidR="00EF1D61" w:rsidRPr="002D0D3E" w:rsidRDefault="00EF1D61" w:rsidP="00666B72">
            <w:pPr>
              <w:tabs>
                <w:tab w:val="left" w:pos="0"/>
                <w:tab w:val="left" w:pos="283"/>
                <w:tab w:val="left" w:pos="567"/>
                <w:tab w:val="left" w:pos="849"/>
                <w:tab w:val="left" w:pos="1134"/>
                <w:tab w:val="left" w:pos="1644"/>
              </w:tabs>
              <w:spacing w:before="60" w:after="120" w:line="360" w:lineRule="auto"/>
              <w:jc w:val="both"/>
              <w:rPr>
                <w:rFonts w:ascii="Arial" w:hAnsi="Arial" w:cs="Arial"/>
                <w:bCs/>
                <w:iCs/>
                <w:sz w:val="20"/>
                <w:szCs w:val="20"/>
              </w:rPr>
            </w:pPr>
            <w:r w:rsidRPr="002D0D3E">
              <w:rPr>
                <w:rFonts w:ascii="Arial" w:hAnsi="Arial" w:cs="Arial"/>
                <w:bCs/>
                <w:iCs/>
                <w:sz w:val="20"/>
                <w:szCs w:val="20"/>
              </w:rPr>
              <w:t>Dos decimales.</w:t>
            </w:r>
          </w:p>
        </w:tc>
      </w:tr>
      <w:tr w:rsidR="00EF1D61" w:rsidRPr="002D0D3E" w14:paraId="20B2F153" w14:textId="77777777" w:rsidTr="00EF1D61">
        <w:tc>
          <w:tcPr>
            <w:tcW w:w="3189" w:type="dxa"/>
            <w:vAlign w:val="center"/>
          </w:tcPr>
          <w:p w14:paraId="53D7FA6E" w14:textId="77777777" w:rsidR="00EF1D61" w:rsidRPr="002D0D3E" w:rsidRDefault="00EF1D61" w:rsidP="002D0D3E">
            <w:pPr>
              <w:tabs>
                <w:tab w:val="left" w:pos="0"/>
                <w:tab w:val="left" w:pos="283"/>
                <w:tab w:val="left" w:pos="567"/>
                <w:tab w:val="left" w:pos="849"/>
                <w:tab w:val="left" w:pos="1134"/>
                <w:tab w:val="left" w:pos="1644"/>
              </w:tabs>
              <w:spacing w:before="60" w:after="120" w:line="360" w:lineRule="auto"/>
              <w:ind w:left="568" w:hanging="568"/>
              <w:jc w:val="center"/>
              <w:rPr>
                <w:rFonts w:ascii="Arial" w:hAnsi="Arial" w:cs="Arial"/>
                <w:b/>
                <w:bCs/>
                <w:iCs/>
                <w:sz w:val="20"/>
                <w:szCs w:val="20"/>
              </w:rPr>
            </w:pPr>
            <w:r w:rsidRPr="002D0D3E">
              <w:rPr>
                <w:rFonts w:ascii="Arial" w:hAnsi="Arial" w:cs="Arial"/>
                <w:b/>
                <w:bCs/>
                <w:iCs/>
                <w:sz w:val="20"/>
                <w:szCs w:val="20"/>
              </w:rPr>
              <w:t>Forma de medición</w:t>
            </w:r>
          </w:p>
        </w:tc>
        <w:tc>
          <w:tcPr>
            <w:tcW w:w="5812" w:type="dxa"/>
            <w:vAlign w:val="center"/>
          </w:tcPr>
          <w:p w14:paraId="1FAF3C8F" w14:textId="77777777" w:rsidR="00EF1D61" w:rsidRPr="002D0D3E" w:rsidRDefault="00EF1D61" w:rsidP="00666B72">
            <w:pPr>
              <w:keepNext/>
              <w:keepLines/>
              <w:spacing w:before="120" w:after="120"/>
              <w:jc w:val="both"/>
              <w:rPr>
                <w:rFonts w:ascii="Calibri" w:hAnsi="Calibri" w:cs="Arial"/>
                <w:bCs/>
                <w:iCs/>
                <w:sz w:val="20"/>
                <w:szCs w:val="20"/>
              </w:rPr>
            </w:pPr>
            <w:r w:rsidRPr="002D0D3E">
              <w:rPr>
                <w:rFonts w:ascii="Arial" w:hAnsi="Arial" w:cs="Arial"/>
                <w:sz w:val="20"/>
                <w:szCs w:val="20"/>
              </w:rPr>
              <w:t>Unidades realmente ejecutadas.</w:t>
            </w:r>
          </w:p>
        </w:tc>
      </w:tr>
      <w:tr w:rsidR="00EF1D61" w:rsidRPr="002D0D3E" w14:paraId="3B805146" w14:textId="77777777" w:rsidTr="00EF1D61">
        <w:trPr>
          <w:trHeight w:val="328"/>
        </w:trPr>
        <w:tc>
          <w:tcPr>
            <w:tcW w:w="3189" w:type="dxa"/>
            <w:vAlign w:val="center"/>
          </w:tcPr>
          <w:p w14:paraId="0BE0B98C" w14:textId="77777777" w:rsidR="00EF1D61" w:rsidRPr="002D0D3E" w:rsidRDefault="00EF1D61" w:rsidP="002D0D3E">
            <w:pPr>
              <w:tabs>
                <w:tab w:val="left" w:pos="0"/>
                <w:tab w:val="left" w:pos="283"/>
                <w:tab w:val="left" w:pos="567"/>
                <w:tab w:val="left" w:pos="849"/>
                <w:tab w:val="left" w:pos="1134"/>
                <w:tab w:val="left" w:pos="1644"/>
              </w:tabs>
              <w:spacing w:before="60" w:after="120" w:line="360" w:lineRule="auto"/>
              <w:ind w:left="568" w:hanging="568"/>
              <w:jc w:val="center"/>
              <w:rPr>
                <w:rFonts w:ascii="Arial" w:hAnsi="Arial" w:cs="Arial"/>
                <w:b/>
                <w:bCs/>
                <w:iCs/>
                <w:sz w:val="20"/>
                <w:szCs w:val="20"/>
              </w:rPr>
            </w:pPr>
            <w:r w:rsidRPr="002D0D3E">
              <w:rPr>
                <w:rFonts w:ascii="Arial" w:hAnsi="Arial" w:cs="Arial"/>
                <w:b/>
                <w:bCs/>
                <w:iCs/>
                <w:sz w:val="20"/>
                <w:szCs w:val="20"/>
              </w:rPr>
              <w:t>Abono</w:t>
            </w:r>
          </w:p>
        </w:tc>
        <w:tc>
          <w:tcPr>
            <w:tcW w:w="5812" w:type="dxa"/>
            <w:vAlign w:val="center"/>
          </w:tcPr>
          <w:p w14:paraId="473AF2C5" w14:textId="77777777" w:rsidR="00EF1D61" w:rsidRPr="002D0D3E" w:rsidRDefault="00EF1D61" w:rsidP="00666B72">
            <w:pPr>
              <w:tabs>
                <w:tab w:val="left" w:pos="0"/>
                <w:tab w:val="left" w:pos="283"/>
                <w:tab w:val="left" w:pos="567"/>
                <w:tab w:val="left" w:pos="849"/>
                <w:tab w:val="left" w:pos="1134"/>
                <w:tab w:val="left" w:pos="1644"/>
              </w:tabs>
              <w:spacing w:before="60" w:after="120" w:line="360" w:lineRule="auto"/>
              <w:ind w:left="568" w:hanging="568"/>
              <w:jc w:val="both"/>
              <w:rPr>
                <w:rFonts w:ascii="Arial" w:hAnsi="Arial" w:cs="Arial"/>
                <w:bCs/>
                <w:iCs/>
                <w:sz w:val="20"/>
                <w:szCs w:val="20"/>
              </w:rPr>
            </w:pPr>
            <w:r w:rsidRPr="002D0D3E">
              <w:rPr>
                <w:rFonts w:ascii="Arial" w:hAnsi="Arial" w:cs="Arial"/>
                <w:bCs/>
                <w:iCs/>
                <w:sz w:val="20"/>
                <w:szCs w:val="20"/>
              </w:rPr>
              <w:t>Se efectuará cuando se realice la aceptación.</w:t>
            </w:r>
          </w:p>
        </w:tc>
      </w:tr>
      <w:tr w:rsidR="00EF1D61" w:rsidRPr="002D0D3E" w14:paraId="740CCFEB" w14:textId="77777777" w:rsidTr="00EF1D61">
        <w:trPr>
          <w:cantSplit/>
          <w:trHeight w:val="661"/>
        </w:trPr>
        <w:tc>
          <w:tcPr>
            <w:tcW w:w="3189" w:type="dxa"/>
            <w:vAlign w:val="center"/>
          </w:tcPr>
          <w:p w14:paraId="44BABEE0" w14:textId="77777777" w:rsidR="00EF1D61" w:rsidRPr="002D0D3E" w:rsidRDefault="00EF1D61" w:rsidP="002D0D3E">
            <w:pPr>
              <w:tabs>
                <w:tab w:val="left" w:pos="0"/>
                <w:tab w:val="left" w:pos="283"/>
                <w:tab w:val="left" w:pos="567"/>
                <w:tab w:val="left" w:pos="849"/>
                <w:tab w:val="left" w:pos="1134"/>
                <w:tab w:val="left" w:pos="1644"/>
              </w:tabs>
              <w:spacing w:before="60" w:after="120" w:line="360" w:lineRule="auto"/>
              <w:ind w:left="568" w:hanging="568"/>
              <w:jc w:val="center"/>
              <w:rPr>
                <w:rFonts w:ascii="Arial" w:hAnsi="Arial" w:cs="Arial"/>
                <w:b/>
                <w:bCs/>
                <w:iCs/>
                <w:sz w:val="20"/>
                <w:szCs w:val="20"/>
              </w:rPr>
            </w:pPr>
            <w:r w:rsidRPr="002D0D3E">
              <w:rPr>
                <w:rFonts w:ascii="Arial" w:hAnsi="Arial" w:cs="Arial"/>
                <w:b/>
                <w:bCs/>
                <w:iCs/>
                <w:sz w:val="20"/>
                <w:szCs w:val="20"/>
              </w:rPr>
              <w:t>Criterios complementarios</w:t>
            </w:r>
          </w:p>
        </w:tc>
        <w:tc>
          <w:tcPr>
            <w:tcW w:w="5812" w:type="dxa"/>
            <w:vAlign w:val="center"/>
          </w:tcPr>
          <w:p w14:paraId="4B39660D" w14:textId="77777777" w:rsidR="00EF1D61" w:rsidRPr="002D0D3E" w:rsidRDefault="00EF1D61" w:rsidP="00666B72">
            <w:pPr>
              <w:spacing w:before="120" w:after="120" w:line="288" w:lineRule="auto"/>
              <w:jc w:val="both"/>
              <w:rPr>
                <w:rFonts w:cs="Arial"/>
                <w:bCs/>
                <w:iCs/>
                <w:sz w:val="20"/>
                <w:szCs w:val="20"/>
              </w:rPr>
            </w:pPr>
            <w:r w:rsidRPr="002D0D3E">
              <w:rPr>
                <w:rFonts w:ascii="Arial" w:hAnsi="Arial" w:cs="Arial"/>
                <w:sz w:val="20"/>
                <w:szCs w:val="20"/>
              </w:rPr>
              <w:t xml:space="preserve">Los precios incluyen todos los materiales, mano de obra, maquinaria y medios auxiliares necesarios para la correcta ejecución de la unidad, definidos en planos, incluso placas metálicas superior e inferior y placa de acero embebida </w:t>
            </w:r>
            <w:r w:rsidR="002D0D3E">
              <w:rPr>
                <w:rFonts w:ascii="Arial" w:hAnsi="Arial" w:cs="Arial"/>
                <w:sz w:val="20"/>
                <w:szCs w:val="20"/>
              </w:rPr>
              <w:t xml:space="preserve">con pernos sobre las ménsulas. </w:t>
            </w:r>
          </w:p>
        </w:tc>
      </w:tr>
      <w:bookmarkEnd w:id="920"/>
    </w:tbl>
    <w:p w14:paraId="2A916A5A" w14:textId="77777777" w:rsidR="00AB0476" w:rsidRDefault="00AB0476" w:rsidP="00076E49">
      <w:pPr>
        <w:pStyle w:val="NORMAL12"/>
        <w:rPr>
          <w:lang w:val="es-ES"/>
        </w:rPr>
      </w:pPr>
    </w:p>
    <w:p w14:paraId="27A9BB77" w14:textId="77777777" w:rsidR="00AB0476" w:rsidRDefault="00AB0476" w:rsidP="00076E49">
      <w:pPr>
        <w:pStyle w:val="NORMAL12"/>
        <w:rPr>
          <w:lang w:val="es-ES"/>
        </w:rPr>
      </w:pPr>
    </w:p>
    <w:p w14:paraId="3589839F" w14:textId="77777777" w:rsidR="001E6CAF" w:rsidRPr="004F6428" w:rsidRDefault="001E6CAF" w:rsidP="001E6CAF">
      <w:pPr>
        <w:pStyle w:val="NORMAL12"/>
        <w:rPr>
          <w:highlight w:val="green"/>
          <w:lang w:val="es-ES"/>
        </w:rPr>
      </w:pPr>
    </w:p>
    <w:p w14:paraId="778B37DC" w14:textId="77777777" w:rsidR="0040355B" w:rsidRPr="00DD2C71" w:rsidRDefault="0040355B" w:rsidP="0040355B">
      <w:pPr>
        <w:pStyle w:val="TITU1"/>
        <w:rPr>
          <w:lang w:val="es-ES_tradnl"/>
        </w:rPr>
      </w:pPr>
      <w:bookmarkStart w:id="942" w:name="_Toc404499"/>
      <w:r w:rsidRPr="00DD2C71">
        <w:rPr>
          <w:lang w:val="es-ES_tradnl"/>
        </w:rPr>
        <w:lastRenderedPageBreak/>
        <w:t xml:space="preserve">Artículo </w:t>
      </w:r>
      <w:r w:rsidR="00876E39" w:rsidRPr="00DD2C71">
        <w:rPr>
          <w:lang w:val="es-ES_tradnl"/>
        </w:rPr>
        <w:t>694</w:t>
      </w:r>
      <w:r w:rsidRPr="00DD2C71">
        <w:rPr>
          <w:lang w:val="es-ES_tradnl"/>
        </w:rPr>
        <w:t xml:space="preserve">. </w:t>
      </w:r>
      <w:r w:rsidR="00A8316A" w:rsidRPr="00DD2C71">
        <w:rPr>
          <w:lang w:val="es-ES_tradnl"/>
        </w:rPr>
        <w:t>Junta elastomérica de calzada</w:t>
      </w:r>
      <w:bookmarkEnd w:id="942"/>
    </w:p>
    <w:p w14:paraId="32EAEF9B" w14:textId="77777777" w:rsidR="00FB7B13" w:rsidRPr="00A8316A" w:rsidRDefault="00FB7B13" w:rsidP="00A8316A">
      <w:pPr>
        <w:pStyle w:val="NORMAL12"/>
      </w:pPr>
      <w:bookmarkStart w:id="943" w:name="_Toc399509129"/>
      <w:r w:rsidRPr="00A8316A">
        <w:t>Excepto para lo especificado en el presente Pliego de Prescripciones Técnicas particulares se seguirá lo prescrito en el vigente artículo 694 del PG-3.</w:t>
      </w:r>
    </w:p>
    <w:p w14:paraId="79F6CA5F" w14:textId="77777777" w:rsidR="00FB7B13" w:rsidRPr="00A8316A" w:rsidRDefault="00036C21" w:rsidP="000313DD">
      <w:pPr>
        <w:pStyle w:val="TITU2"/>
      </w:pPr>
      <w:bookmarkStart w:id="944" w:name="_Toc414434155"/>
      <w:bookmarkStart w:id="945" w:name="_Toc404500"/>
      <w:r>
        <w:t>694</w:t>
      </w:r>
      <w:r w:rsidR="00FB7B13" w:rsidRPr="00A8316A">
        <w:t>.1.</w:t>
      </w:r>
      <w:r w:rsidR="00A8316A">
        <w:t xml:space="preserve"> </w:t>
      </w:r>
      <w:r w:rsidR="00FB7B13" w:rsidRPr="00A8316A">
        <w:t>Definición</w:t>
      </w:r>
      <w:bookmarkEnd w:id="943"/>
      <w:bookmarkEnd w:id="944"/>
      <w:bookmarkEnd w:id="945"/>
    </w:p>
    <w:p w14:paraId="0BBEA024" w14:textId="77777777" w:rsidR="00FB7B13" w:rsidRPr="00DD2C71" w:rsidRDefault="00FB7B13" w:rsidP="00DD2C71">
      <w:pPr>
        <w:pStyle w:val="NORMAL12"/>
      </w:pPr>
      <w:r w:rsidRPr="00DD2C71">
        <w:t>Como separación entre tablero de puente y los estribos se dispondrán juntas de calzada capaces de admitir los movimientos requeridos en dichos puntos, y que corresponden a los valores máximos de los movimientos indicados en los planos a partir de su colocación supuesta idealmente a 20ºC.</w:t>
      </w:r>
    </w:p>
    <w:p w14:paraId="2B1241D9" w14:textId="77777777" w:rsidR="00FB7B13" w:rsidRPr="00DD2C71" w:rsidRDefault="00FB7B13" w:rsidP="00DD2C71">
      <w:pPr>
        <w:pStyle w:val="NORMAL12"/>
      </w:pPr>
      <w:r w:rsidRPr="00DD2C71">
        <w:t xml:space="preserve">Las juntas </w:t>
      </w:r>
      <w:proofErr w:type="spellStart"/>
      <w:r w:rsidRPr="00DD2C71">
        <w:t>elastoméricas</w:t>
      </w:r>
      <w:proofErr w:type="spellEnd"/>
      <w:r w:rsidRPr="00DD2C71">
        <w:t xml:space="preserve"> son dispositivos diseñados para absorber los movimientos de estructura. Sus funciones principales son las siguientes:</w:t>
      </w:r>
    </w:p>
    <w:p w14:paraId="7674E138" w14:textId="77777777" w:rsidR="00FB7B13" w:rsidRPr="00DD2C71" w:rsidRDefault="00FB7B13" w:rsidP="000313DD">
      <w:pPr>
        <w:pStyle w:val="NORMAL12"/>
        <w:numPr>
          <w:ilvl w:val="0"/>
          <w:numId w:val="224"/>
        </w:numPr>
      </w:pPr>
      <w:proofErr w:type="gramStart"/>
      <w:r w:rsidRPr="00DD2C71">
        <w:t>Asegurar</w:t>
      </w:r>
      <w:proofErr w:type="gramEnd"/>
      <w:r w:rsidRPr="00DD2C71">
        <w:t xml:space="preserve"> que los movimientos totales del puente sean proyectados sobre las juntas sin deteriorar los elementos estructurales.</w:t>
      </w:r>
    </w:p>
    <w:p w14:paraId="7CF114CE" w14:textId="77777777" w:rsidR="00FB7B13" w:rsidRPr="00DD2C71" w:rsidRDefault="00FB7B13" w:rsidP="000313DD">
      <w:pPr>
        <w:pStyle w:val="NORMAL12"/>
        <w:numPr>
          <w:ilvl w:val="0"/>
          <w:numId w:val="224"/>
        </w:numPr>
      </w:pPr>
      <w:r w:rsidRPr="00DD2C71">
        <w:t>Ser impermeables y evacuar el agua del tablero de forma rápida y segura.</w:t>
      </w:r>
    </w:p>
    <w:p w14:paraId="47B81F97" w14:textId="77777777" w:rsidR="00FB7B13" w:rsidRPr="00DD2C71" w:rsidRDefault="00FB7B13" w:rsidP="000313DD">
      <w:pPr>
        <w:pStyle w:val="NORMAL12"/>
        <w:numPr>
          <w:ilvl w:val="0"/>
          <w:numId w:val="224"/>
        </w:numPr>
      </w:pPr>
      <w:r w:rsidRPr="00DD2C71">
        <w:t>No deben ser fuentes de ruidos, impactos y vibraciones al soportar el tráfico.</w:t>
      </w:r>
    </w:p>
    <w:p w14:paraId="7DA0CE53" w14:textId="77777777" w:rsidR="00FB7B13" w:rsidRPr="00DD2C71" w:rsidRDefault="00FB7B13" w:rsidP="00DD2C71">
      <w:pPr>
        <w:pStyle w:val="NORMAL12"/>
      </w:pPr>
      <w:r w:rsidRPr="00DD2C71">
        <w:t xml:space="preserve">Las juntas de dilatación para puentes están fabricadas con elastómero reforzado. El material </w:t>
      </w:r>
      <w:proofErr w:type="spellStart"/>
      <w:r w:rsidRPr="00DD2C71">
        <w:t>elastomérico</w:t>
      </w:r>
      <w:proofErr w:type="spellEnd"/>
      <w:r w:rsidRPr="00DD2C71">
        <w:t xml:space="preserve"> utilizado </w:t>
      </w:r>
      <w:proofErr w:type="gramStart"/>
      <w:r w:rsidRPr="00DD2C71">
        <w:t>le</w:t>
      </w:r>
      <w:proofErr w:type="gramEnd"/>
      <w:r w:rsidRPr="00DD2C71">
        <w:t xml:space="preserve"> confiere una gran resistencia a los agentes externos, manteniendo su capacidad elástica y de absorción, resistiendo al desgaste, abrasión, temperatura, intemperie, etc.</w:t>
      </w:r>
    </w:p>
    <w:p w14:paraId="1D184AA1" w14:textId="77777777" w:rsidR="00FB7B13" w:rsidRPr="00DD2C71" w:rsidRDefault="00FB7B13" w:rsidP="00DD2C71">
      <w:pPr>
        <w:pStyle w:val="NORMAL12"/>
      </w:pPr>
      <w:r w:rsidRPr="00DD2C71">
        <w:t xml:space="preserve">Disponen de una armadura interior de acero, diseñada para evitar la deformación del plano de rodadura, dándole la rigidez adecuada. El conjunto se ancla a la estructura por medio de pernos, que se aprietan con arandelas </w:t>
      </w:r>
      <w:proofErr w:type="spellStart"/>
      <w:r w:rsidRPr="00DD2C71">
        <w:t>zincadas</w:t>
      </w:r>
      <w:proofErr w:type="spellEnd"/>
      <w:r w:rsidRPr="00DD2C71">
        <w:t xml:space="preserve"> y tuercas autoblocantes. Una vez montadas las fijaciones mecánicas, se sellan adecuadamente para </w:t>
      </w:r>
      <w:proofErr w:type="gramStart"/>
      <w:r w:rsidRPr="00DD2C71">
        <w:t>proporcionar  continuidad</w:t>
      </w:r>
      <w:proofErr w:type="gramEnd"/>
      <w:r w:rsidRPr="00DD2C71">
        <w:t xml:space="preserve"> a la banda de rodadura.</w:t>
      </w:r>
    </w:p>
    <w:p w14:paraId="47F3BB5C" w14:textId="77777777" w:rsidR="00FB7B13" w:rsidRDefault="00FB7B13" w:rsidP="00DD2C71">
      <w:pPr>
        <w:pStyle w:val="NORMAL12"/>
      </w:pPr>
      <w:r w:rsidRPr="00DD2C71">
        <w:t xml:space="preserve">Podrán a tal fin emplearse las juntas indicadas en los planos o cualesquiera otras que cumplan los requisitos anteriormente indicados y las condiciones señaladas seguidamente, siempre que cuenten con la aceptación de la Dirección </w:t>
      </w:r>
      <w:r w:rsidR="00DD2C71">
        <w:t>de Obra</w:t>
      </w:r>
      <w:r w:rsidRPr="00DD2C71">
        <w:t>.</w:t>
      </w:r>
    </w:p>
    <w:p w14:paraId="6C678D17" w14:textId="77777777" w:rsidR="00DD2C71" w:rsidRPr="00DD2C71" w:rsidRDefault="00DD2C71" w:rsidP="00DD2C71">
      <w:pPr>
        <w:pStyle w:val="NORMAL12"/>
      </w:pPr>
    </w:p>
    <w:p w14:paraId="5B9C8EEF" w14:textId="77777777" w:rsidR="00FB7B13" w:rsidRPr="00A8316A" w:rsidRDefault="00FB7B13" w:rsidP="000313DD">
      <w:pPr>
        <w:pStyle w:val="TITU2"/>
      </w:pPr>
      <w:bookmarkStart w:id="946" w:name="_Toc399509130"/>
      <w:bookmarkStart w:id="947" w:name="_Toc414434156"/>
      <w:bookmarkStart w:id="948" w:name="_Toc404501"/>
      <w:r w:rsidRPr="00A8316A">
        <w:t>694.2.</w:t>
      </w:r>
      <w:r w:rsidR="00DD2C71">
        <w:t xml:space="preserve"> </w:t>
      </w:r>
      <w:r w:rsidRPr="00A8316A">
        <w:tab/>
        <w:t>A</w:t>
      </w:r>
      <w:bookmarkEnd w:id="946"/>
      <w:r w:rsidRPr="00A8316A">
        <w:t>plicación</w:t>
      </w:r>
      <w:bookmarkEnd w:id="947"/>
      <w:bookmarkEnd w:id="948"/>
    </w:p>
    <w:p w14:paraId="2024501A" w14:textId="77777777" w:rsidR="004F6428" w:rsidRPr="00DD2C71" w:rsidRDefault="004F6428" w:rsidP="004F6428">
      <w:pPr>
        <w:pStyle w:val="NORMAL12"/>
        <w:rPr>
          <w:lang w:val="es-ES"/>
        </w:rPr>
      </w:pPr>
      <w:bookmarkStart w:id="949" w:name="_Toc399509131"/>
      <w:r w:rsidRPr="00DD2C71">
        <w:rPr>
          <w:lang w:val="es-ES"/>
        </w:rPr>
        <w:t xml:space="preserve">Las prescripciones del presente artículo </w:t>
      </w:r>
      <w:proofErr w:type="gramStart"/>
      <w:r w:rsidRPr="00DD2C71">
        <w:rPr>
          <w:lang w:val="es-ES"/>
        </w:rPr>
        <w:t>son de aplicación</w:t>
      </w:r>
      <w:proofErr w:type="gramEnd"/>
      <w:r w:rsidRPr="00DD2C71">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330"/>
        <w:gridCol w:w="643"/>
        <w:gridCol w:w="7805"/>
      </w:tblGrid>
      <w:tr w:rsidR="004F6428" w:rsidRPr="00016787" w14:paraId="239ECD81" w14:textId="77777777" w:rsidTr="005A3268">
        <w:trPr>
          <w:trHeight w:val="300"/>
        </w:trPr>
        <w:tc>
          <w:tcPr>
            <w:tcW w:w="680" w:type="pct"/>
            <w:noWrap/>
            <w:hideMark/>
          </w:tcPr>
          <w:p w14:paraId="2C21B0CA" w14:textId="77777777" w:rsidR="004F6428" w:rsidRPr="00D921B6" w:rsidRDefault="004F6428" w:rsidP="005A3268">
            <w:pPr>
              <w:rPr>
                <w:rFonts w:ascii="Calibri" w:hAnsi="Calibri"/>
                <w:color w:val="000000"/>
              </w:rPr>
            </w:pPr>
            <w:r w:rsidRPr="00D921B6">
              <w:rPr>
                <w:rFonts w:ascii="Calibri" w:hAnsi="Calibri"/>
                <w:color w:val="000000"/>
              </w:rPr>
              <w:t xml:space="preserve">694.0020          </w:t>
            </w:r>
          </w:p>
        </w:tc>
        <w:tc>
          <w:tcPr>
            <w:tcW w:w="329" w:type="pct"/>
            <w:noWrap/>
            <w:hideMark/>
          </w:tcPr>
          <w:p w14:paraId="238809D4" w14:textId="77777777" w:rsidR="004F6428" w:rsidRPr="00D921B6" w:rsidRDefault="004F6428" w:rsidP="005A3268">
            <w:pPr>
              <w:rPr>
                <w:rFonts w:ascii="Calibri" w:hAnsi="Calibri"/>
                <w:color w:val="000000"/>
              </w:rPr>
            </w:pPr>
            <w:r w:rsidRPr="00D921B6">
              <w:rPr>
                <w:rFonts w:ascii="Calibri" w:hAnsi="Calibri"/>
                <w:color w:val="000000"/>
              </w:rPr>
              <w:t>m</w:t>
            </w:r>
          </w:p>
        </w:tc>
        <w:tc>
          <w:tcPr>
            <w:tcW w:w="3991" w:type="pct"/>
            <w:hideMark/>
          </w:tcPr>
          <w:p w14:paraId="34EDD8B1" w14:textId="77777777" w:rsidR="004F6428" w:rsidRPr="00D921B6" w:rsidRDefault="00294338" w:rsidP="00666B72">
            <w:pPr>
              <w:jc w:val="both"/>
              <w:rPr>
                <w:rFonts w:ascii="Calibri" w:hAnsi="Calibri"/>
                <w:color w:val="000000"/>
              </w:rPr>
            </w:pPr>
            <w:r w:rsidRPr="00D921B6">
              <w:rPr>
                <w:rFonts w:ascii="Calibri" w:hAnsi="Calibri"/>
                <w:color w:val="000000"/>
              </w:rPr>
              <w:t>JUNTA DE DILATACIÓN PARA TABLERO DE 70 mm DE MOVIMIENTO MÁXIMO, TIPO JNA O SIMILAR, TOTALMENTE COLOCADA i/ P.P. DE OPERACIONES DE CORTE Y DEMOLICIÓN, PERFORACIONES, RESINA EPOXI, PERNOS, ANCLAJES QUÍMICOS Y SELLADORES.</w:t>
            </w:r>
          </w:p>
        </w:tc>
      </w:tr>
    </w:tbl>
    <w:p w14:paraId="1E3E811E" w14:textId="77777777" w:rsidR="00FB7B13" w:rsidRPr="00A8316A" w:rsidRDefault="00FB7B13" w:rsidP="000313DD">
      <w:pPr>
        <w:pStyle w:val="TITU2"/>
      </w:pPr>
      <w:bookmarkStart w:id="950" w:name="_Toc414434157"/>
      <w:bookmarkStart w:id="951" w:name="_Toc404502"/>
      <w:r w:rsidRPr="00A8316A">
        <w:t>694.3</w:t>
      </w:r>
      <w:r w:rsidR="00DD2C71">
        <w:t xml:space="preserve">. </w:t>
      </w:r>
      <w:r w:rsidRPr="00A8316A">
        <w:t>Materiales</w:t>
      </w:r>
      <w:bookmarkEnd w:id="949"/>
      <w:bookmarkEnd w:id="950"/>
      <w:bookmarkEnd w:id="951"/>
    </w:p>
    <w:p w14:paraId="5EEC18AA" w14:textId="77777777" w:rsidR="00FB7B13" w:rsidRPr="00DD2C71" w:rsidRDefault="00FB7B13" w:rsidP="00DD2C71">
      <w:pPr>
        <w:pStyle w:val="NORMAL12"/>
      </w:pPr>
      <w:r w:rsidRPr="00DD2C71">
        <w:t xml:space="preserve">Las juntas de calzada móviles estarán constituidas por material </w:t>
      </w:r>
      <w:proofErr w:type="spellStart"/>
      <w:r w:rsidRPr="00DD2C71">
        <w:t>elastomérico</w:t>
      </w:r>
      <w:proofErr w:type="spellEnd"/>
      <w:r w:rsidRPr="00DD2C71">
        <w:t xml:space="preserve"> reforzado con acero, y siendo admisibles, asimismo, blindajes y/o refuerzos consistentes en aluminio o aleaciones ligeras de alta resistencia.</w:t>
      </w:r>
    </w:p>
    <w:p w14:paraId="227B1783" w14:textId="77777777" w:rsidR="00FB7B13" w:rsidRPr="00DD2C71" w:rsidRDefault="00FB7B13" w:rsidP="00DD2C71">
      <w:pPr>
        <w:pStyle w:val="NORMAL12"/>
      </w:pPr>
      <w:r w:rsidRPr="00DD2C71">
        <w:t xml:space="preserve">En los casos de juntas de calzada fija y juntas de acera, se emplearán perfiles en panel constituidos por material </w:t>
      </w:r>
      <w:proofErr w:type="spellStart"/>
      <w:r w:rsidRPr="00DD2C71">
        <w:t>elastomérico</w:t>
      </w:r>
      <w:proofErr w:type="spellEnd"/>
      <w:r w:rsidRPr="00DD2C71">
        <w:t>, de características debidamente contrastadas.</w:t>
      </w:r>
    </w:p>
    <w:p w14:paraId="6741C9B0" w14:textId="77777777" w:rsidR="00FB7B13" w:rsidRPr="00DD2C71" w:rsidRDefault="00FB7B13" w:rsidP="00DD2C71">
      <w:pPr>
        <w:pStyle w:val="NORMAL12"/>
      </w:pPr>
      <w:r w:rsidRPr="00DD2C71">
        <w:t>A igualdad de características se estimará su elección en base al grado de impermeabilidad ofrecidos por las juntas.</w:t>
      </w:r>
    </w:p>
    <w:p w14:paraId="61E3619E" w14:textId="77777777" w:rsidR="00FB7B13" w:rsidRPr="00DD2C71" w:rsidRDefault="00FB7B13" w:rsidP="00DD2C71">
      <w:pPr>
        <w:pStyle w:val="NORMAL12"/>
      </w:pPr>
      <w:r w:rsidRPr="00DD2C71">
        <w:t>En esta unidad también se incluye el</w:t>
      </w:r>
      <w:r w:rsidR="00DD2C71">
        <w:t xml:space="preserve"> uso de una banda elástica TPE</w:t>
      </w:r>
      <w:r w:rsidRPr="00DD2C71">
        <w:t xml:space="preserve">. Estas son las siglas de Poliolefinas </w:t>
      </w:r>
      <w:proofErr w:type="spellStart"/>
      <w:r w:rsidRPr="00DD2C71">
        <w:t>Elastoméricas</w:t>
      </w:r>
      <w:proofErr w:type="spellEnd"/>
      <w:r w:rsidRPr="00DD2C71">
        <w:t xml:space="preserve"> Termoplásticas, que es la denominación de un grupo específico de poliolefinas que combinan las propiedades de la tecnología de los polímeros termoplásticos y los sintéticos. </w:t>
      </w:r>
    </w:p>
    <w:p w14:paraId="6B24CDD3" w14:textId="77777777" w:rsidR="00FB7B13" w:rsidRPr="00DD2C71" w:rsidRDefault="00FB7B13" w:rsidP="00DD2C71">
      <w:pPr>
        <w:pStyle w:val="NORMAL12"/>
      </w:pPr>
      <w:r w:rsidRPr="00DD2C71">
        <w:t xml:space="preserve">Entre dichas propiedades se encuentra la capacidad de ser “soldado en frío” </w:t>
      </w:r>
      <w:r w:rsidR="00DD2C71">
        <w:t>mediante adhesivos de contacto</w:t>
      </w:r>
      <w:r w:rsidRPr="00DD2C71">
        <w:t>, que permiten la realización de solapes de forma ágil entre bandas o en las uniones con piezas especiales.</w:t>
      </w:r>
    </w:p>
    <w:p w14:paraId="7DF91946" w14:textId="77777777" w:rsidR="00FB7B13" w:rsidRPr="00DD2C71" w:rsidRDefault="00FB7B13" w:rsidP="00DD2C71">
      <w:pPr>
        <w:pStyle w:val="NORMAL12"/>
      </w:pPr>
      <w:r w:rsidRPr="00DD2C71">
        <w:t>Además, proporciona las siguientes capacidades:</w:t>
      </w:r>
    </w:p>
    <w:p w14:paraId="584B9BEC" w14:textId="77777777" w:rsidR="00FB7B13" w:rsidRPr="00DD2C71" w:rsidRDefault="00FB7B13" w:rsidP="000313DD">
      <w:pPr>
        <w:pStyle w:val="NORMAL12"/>
        <w:numPr>
          <w:ilvl w:val="0"/>
          <w:numId w:val="224"/>
        </w:numPr>
      </w:pPr>
      <w:r w:rsidRPr="00DD2C71">
        <w:t>Permanece flexible en todo momento aún a bajas temperaturas.</w:t>
      </w:r>
    </w:p>
    <w:p w14:paraId="67A9928F" w14:textId="77777777" w:rsidR="00FB7B13" w:rsidRPr="00DD2C71" w:rsidRDefault="00FB7B13" w:rsidP="000313DD">
      <w:pPr>
        <w:pStyle w:val="NORMAL12"/>
        <w:numPr>
          <w:ilvl w:val="0"/>
          <w:numId w:val="224"/>
        </w:numPr>
      </w:pPr>
      <w:r w:rsidRPr="00DD2C71">
        <w:t>Proporciona una gran durabilidad bajo exposición a rayos UV.</w:t>
      </w:r>
    </w:p>
    <w:p w14:paraId="6F687261" w14:textId="77777777" w:rsidR="00FB7B13" w:rsidRPr="00DD2C71" w:rsidRDefault="00FB7B13" w:rsidP="000313DD">
      <w:pPr>
        <w:pStyle w:val="NORMAL12"/>
        <w:numPr>
          <w:ilvl w:val="0"/>
          <w:numId w:val="224"/>
        </w:numPr>
      </w:pPr>
      <w:r w:rsidRPr="00DD2C71">
        <w:t>Excelente resistencia a los álcalis, al alquitrán, a la lavandina diluida y a las soluciones medianamente ácidas y salinas.</w:t>
      </w:r>
    </w:p>
    <w:p w14:paraId="14F8EBCD" w14:textId="77777777" w:rsidR="00FB7B13" w:rsidRPr="00DD2C71" w:rsidRDefault="00FB7B13" w:rsidP="000313DD">
      <w:pPr>
        <w:pStyle w:val="NORMAL12"/>
        <w:numPr>
          <w:ilvl w:val="0"/>
          <w:numId w:val="224"/>
        </w:numPr>
      </w:pPr>
      <w:r w:rsidRPr="00DD2C71">
        <w:t>Es excelente ya que asegura la impermeabilización sobre juntas y grietas que puedan mostrar movimiento de hasta 5,5 mm (7/32").</w:t>
      </w:r>
    </w:p>
    <w:p w14:paraId="2C7AD4FE" w14:textId="77777777" w:rsidR="00FB7B13" w:rsidRPr="00DD2C71" w:rsidRDefault="00FB7B13" w:rsidP="000313DD">
      <w:pPr>
        <w:pStyle w:val="NORMAL12"/>
        <w:numPr>
          <w:ilvl w:val="0"/>
          <w:numId w:val="224"/>
        </w:numPr>
      </w:pPr>
      <w:r w:rsidRPr="00DD2C71">
        <w:t xml:space="preserve">De fácil instalación y compatible con </w:t>
      </w:r>
      <w:proofErr w:type="spellStart"/>
      <w:r w:rsidRPr="00DD2C71">
        <w:t>Mapelastic</w:t>
      </w:r>
      <w:proofErr w:type="spellEnd"/>
      <w:r w:rsidRPr="00DD2C71">
        <w:t>™ así como también con sistemas de membranas impermeabilizantes a base de epoxi.</w:t>
      </w:r>
    </w:p>
    <w:p w14:paraId="7F49CC9E" w14:textId="77777777" w:rsidR="00FB7B13" w:rsidRPr="0064544D" w:rsidRDefault="00FB7B13" w:rsidP="00FB7B13">
      <w:pPr>
        <w:spacing w:before="120" w:after="120" w:line="360" w:lineRule="auto"/>
        <w:ind w:firstLine="851"/>
        <w:jc w:val="both"/>
        <w:rPr>
          <w:rFonts w:ascii="Arial" w:hAnsi="Arial"/>
          <w:sz w:val="22"/>
          <w:szCs w:val="20"/>
        </w:rPr>
      </w:pPr>
      <w:r w:rsidRPr="0064544D">
        <w:rPr>
          <w:rFonts w:ascii="Arial" w:hAnsi="Arial"/>
          <w:sz w:val="22"/>
          <w:szCs w:val="20"/>
        </w:rPr>
        <w:lastRenderedPageBreak/>
        <w:t>Propiedades de rendimiento del producto:</w:t>
      </w:r>
    </w:p>
    <w:p w14:paraId="4D3BBA04" w14:textId="77777777" w:rsidR="00FB7B13" w:rsidRPr="0064544D" w:rsidRDefault="00FB7B13" w:rsidP="00FB7B13">
      <w:pPr>
        <w:spacing w:before="120" w:after="120" w:line="360" w:lineRule="auto"/>
        <w:ind w:firstLine="851"/>
        <w:jc w:val="both"/>
        <w:rPr>
          <w:rFonts w:ascii="Arial" w:hAnsi="Arial"/>
          <w:sz w:val="22"/>
          <w:szCs w:val="20"/>
        </w:rPr>
      </w:pPr>
      <w:r w:rsidRPr="0064544D">
        <w:rPr>
          <w:rFonts w:ascii="Arial" w:hAnsi="Arial"/>
          <w:noProof/>
          <w:sz w:val="22"/>
          <w:szCs w:val="20"/>
        </w:rPr>
        <w:drawing>
          <wp:inline distT="0" distB="0" distL="0" distR="0" wp14:anchorId="0E3D521A" wp14:editId="618369BD">
            <wp:extent cx="4544638" cy="2839028"/>
            <wp:effectExtent l="19050" t="0" r="8312" b="0"/>
            <wp:docPr id="22"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srcRect/>
                    <a:stretch>
                      <a:fillRect/>
                    </a:stretch>
                  </pic:blipFill>
                  <pic:spPr bwMode="auto">
                    <a:xfrm>
                      <a:off x="0" y="0"/>
                      <a:ext cx="4545526" cy="2839583"/>
                    </a:xfrm>
                    <a:prstGeom prst="rect">
                      <a:avLst/>
                    </a:prstGeom>
                    <a:noFill/>
                    <a:ln w="9525">
                      <a:noFill/>
                      <a:miter lim="800000"/>
                      <a:headEnd/>
                      <a:tailEnd/>
                    </a:ln>
                  </pic:spPr>
                </pic:pic>
              </a:graphicData>
            </a:graphic>
          </wp:inline>
        </w:drawing>
      </w:r>
    </w:p>
    <w:p w14:paraId="075C0598" w14:textId="77777777" w:rsidR="00FB7B13" w:rsidRPr="00DD2C71" w:rsidRDefault="00FB7B13" w:rsidP="00DD2C71">
      <w:pPr>
        <w:pStyle w:val="NORMAL12"/>
        <w:rPr>
          <w:i/>
          <w:u w:val="single"/>
        </w:rPr>
      </w:pPr>
      <w:r w:rsidRPr="00DD2C71">
        <w:rPr>
          <w:i/>
          <w:u w:val="single"/>
        </w:rPr>
        <w:t>Colocación</w:t>
      </w:r>
    </w:p>
    <w:p w14:paraId="704F5F66" w14:textId="77777777" w:rsidR="00FB7B13" w:rsidRPr="00DD2C71" w:rsidRDefault="00FB7B13" w:rsidP="00DD2C71">
      <w:pPr>
        <w:pStyle w:val="NORMAL12"/>
      </w:pPr>
      <w:r w:rsidRPr="00DD2C71">
        <w:t>La colocación de las juntas móviles de calzada se llevará a cabo una vez extendido el pavimento, efectuándose el corte y levantando del mismo en la zona de dicha junta, y la colocación y fijación mediante la preparación y vertido de mortero de epoxi para unión con los bordes del corte, en la zona señalada en los planos. Finalmente se procederá a su fijación al tablero del puente y a los estribos mediante los tornillos apropiados.</w:t>
      </w:r>
    </w:p>
    <w:p w14:paraId="300BBB53" w14:textId="77777777" w:rsidR="00FB7B13" w:rsidRPr="00DD2C71" w:rsidRDefault="00FB7B13" w:rsidP="00DD2C71">
      <w:pPr>
        <w:pStyle w:val="NORMAL12"/>
      </w:pPr>
      <w:r w:rsidRPr="00DD2C71">
        <w:t xml:space="preserve">Las juntas fijas de calzada y las juntas de </w:t>
      </w:r>
      <w:proofErr w:type="gramStart"/>
      <w:r w:rsidRPr="00DD2C71">
        <w:t>acera,</w:t>
      </w:r>
      <w:proofErr w:type="gramEnd"/>
      <w:r w:rsidRPr="00DD2C71">
        <w:t xml:space="preserve"> se llevarán a cabo efectuando los oportunos cajeados durante la ejecución de la losa del tablero y de los estribos, de manera que se puedan utilizar posteriormente los perfiles </w:t>
      </w:r>
      <w:proofErr w:type="spellStart"/>
      <w:r w:rsidRPr="00DD2C71">
        <w:t>elastoméricos</w:t>
      </w:r>
      <w:proofErr w:type="spellEnd"/>
      <w:r w:rsidRPr="00DD2C71">
        <w:t xml:space="preserve"> con sus oportunos materiales de pegado.</w:t>
      </w:r>
    </w:p>
    <w:p w14:paraId="4D1E2EF3" w14:textId="77777777" w:rsidR="00FB7B13" w:rsidRPr="00DD2C71" w:rsidRDefault="00FB7B13" w:rsidP="00DD2C71">
      <w:pPr>
        <w:pStyle w:val="NORMAL12"/>
      </w:pPr>
      <w:r w:rsidRPr="00DD2C71">
        <w:t xml:space="preserve">Encima de estos elementos se dispondrá una lámina </w:t>
      </w:r>
      <w:proofErr w:type="spellStart"/>
      <w:r w:rsidRPr="00DD2C71">
        <w:t>impermeabilizadora</w:t>
      </w:r>
      <w:proofErr w:type="spellEnd"/>
      <w:r w:rsidRPr="00DD2C71">
        <w:t xml:space="preserve"> debidamente sellada a la losa, como protección adicional al paso del agua.  Posteriormente, en el caso de aceras se ubicarán los tubos y elementos de fijación de las aceras, bordillos, etc.  definitivos de estas zonas.</w:t>
      </w:r>
    </w:p>
    <w:p w14:paraId="19FC0B47" w14:textId="77777777" w:rsidR="00FB7B13" w:rsidRPr="00DD2C71" w:rsidRDefault="00FB7B13" w:rsidP="00DD2C71">
      <w:pPr>
        <w:pStyle w:val="NORMAL12"/>
      </w:pPr>
      <w:r w:rsidRPr="00DD2C71">
        <w:t>La empresa suministradora de las juntas deberá obligatoriamente efectuar la corrección necesaria para corregir los desvíos debidos a las dilataciones térmicas correspondientes al momento de la instalación respecto a los valores medios que han servido para su dimensionamiento en este proyecto (+20º C, en estado neutro), debiendo previamente aprobarse la propuesta correctora por la</w:t>
      </w:r>
      <w:r w:rsidR="00D50357">
        <w:t xml:space="preserve"> Dirección de Obra</w:t>
      </w:r>
      <w:r w:rsidRPr="00DD2C71">
        <w:t>.</w:t>
      </w:r>
    </w:p>
    <w:p w14:paraId="754964F4" w14:textId="77777777" w:rsidR="00FB7B13" w:rsidRPr="00DD2C71" w:rsidRDefault="00DD2C71" w:rsidP="00DD2C71">
      <w:pPr>
        <w:pStyle w:val="NORMAL12"/>
        <w:rPr>
          <w:i/>
          <w:u w:val="single"/>
        </w:rPr>
      </w:pPr>
      <w:r>
        <w:rPr>
          <w:i/>
          <w:u w:val="single"/>
        </w:rPr>
        <w:t>S</w:t>
      </w:r>
      <w:r w:rsidRPr="00DD2C71">
        <w:rPr>
          <w:i/>
          <w:u w:val="single"/>
        </w:rPr>
        <w:t>istema de drenaje de junta</w:t>
      </w:r>
    </w:p>
    <w:p w14:paraId="1BB2CD65" w14:textId="77777777" w:rsidR="00FB7B13" w:rsidRPr="00DD2C71" w:rsidRDefault="00FB7B13" w:rsidP="00DD2C71">
      <w:pPr>
        <w:pStyle w:val="NORMAL12"/>
      </w:pPr>
      <w:r w:rsidRPr="00DD2C71">
        <w:t xml:space="preserve">Para garantizar la impermeabilidad se dispondrá de un babero de recogida de aguas que las canalice y evite su paso por la superficie de la estructura. El fuelle deberá ejecutarse de forma que permita adaptarse a los movimientos de la junta, y resistir las acciones correspondientes, incluso la fatiga y las generadas por cuerpos extraños que puedan introducirse (suciedad, roedores, aves, </w:t>
      </w:r>
      <w:proofErr w:type="spellStart"/>
      <w:r w:rsidRPr="00DD2C71">
        <w:t>etc</w:t>
      </w:r>
      <w:proofErr w:type="spellEnd"/>
      <w:r w:rsidRPr="00DD2C71">
        <w:t>), así como presentar accesibilidad y facilidad de limpieza y mantenimiento. Su instalación se realizará correctamente para garantizar una durabilidad similar a la prevista para la propia junta.</w:t>
      </w:r>
    </w:p>
    <w:p w14:paraId="357E4CC5" w14:textId="77777777" w:rsidR="00FB7B13" w:rsidRPr="00DD2C71" w:rsidRDefault="00FB7B13" w:rsidP="00DD2C71">
      <w:pPr>
        <w:pStyle w:val="NORMAL12"/>
      </w:pPr>
      <w:r w:rsidRPr="00DD2C71">
        <w:t xml:space="preserve">Se utilizarán bandas elásticas TPE, tipo </w:t>
      </w:r>
      <w:proofErr w:type="spellStart"/>
      <w:r w:rsidRPr="00DD2C71">
        <w:t>Mapeband</w:t>
      </w:r>
      <w:proofErr w:type="spellEnd"/>
      <w:r w:rsidRPr="00DD2C71">
        <w:t xml:space="preserve"> TPE o similar. Estas son las siglas de Poliolefinas </w:t>
      </w:r>
      <w:proofErr w:type="spellStart"/>
      <w:r w:rsidRPr="00DD2C71">
        <w:t>Elastoméricas</w:t>
      </w:r>
      <w:proofErr w:type="spellEnd"/>
      <w:r w:rsidRPr="00DD2C71">
        <w:t xml:space="preserve"> Termoplásticas, que es la denominación de un grupo específico de poliolefinas que combinan las propiedades de la tecnología de los polímeros termoplásticos y los sintéticos. </w:t>
      </w:r>
    </w:p>
    <w:p w14:paraId="4953FA6E" w14:textId="77777777" w:rsidR="00FB7B13" w:rsidRPr="00DD2C71" w:rsidRDefault="00FB7B13" w:rsidP="00DD2C71">
      <w:pPr>
        <w:pStyle w:val="NORMAL12"/>
      </w:pPr>
      <w:r w:rsidRPr="00DD2C71">
        <w:t>El procedimiento de colocación de este elemento es el siguiente:</w:t>
      </w:r>
    </w:p>
    <w:p w14:paraId="35BB3823" w14:textId="77777777" w:rsidR="00FB7B13" w:rsidRPr="00DD2C71" w:rsidRDefault="00DD2C71" w:rsidP="00DD2C71">
      <w:pPr>
        <w:pStyle w:val="NORMAL12"/>
        <w:rPr>
          <w:i/>
          <w:u w:val="single"/>
        </w:rPr>
      </w:pPr>
      <w:r>
        <w:rPr>
          <w:i/>
          <w:u w:val="single"/>
        </w:rPr>
        <w:t>P</w:t>
      </w:r>
      <w:r w:rsidRPr="00DD2C71">
        <w:rPr>
          <w:i/>
          <w:u w:val="single"/>
        </w:rPr>
        <w:t>reparación de superficies:</w:t>
      </w:r>
    </w:p>
    <w:p w14:paraId="6A6558F3" w14:textId="77777777" w:rsidR="00FB7B13" w:rsidRPr="00DD2C71" w:rsidRDefault="00FB7B13" w:rsidP="000313DD">
      <w:pPr>
        <w:pStyle w:val="NORMAL12"/>
        <w:numPr>
          <w:ilvl w:val="0"/>
          <w:numId w:val="224"/>
        </w:numPr>
      </w:pPr>
      <w:r w:rsidRPr="00DD2C71">
        <w:t>Las superficies deben estar libres de aceite, grasa, pintura, polvo, escamas y materiales friables, y deben estar en plano.</w:t>
      </w:r>
    </w:p>
    <w:p w14:paraId="4D1251FF" w14:textId="77777777" w:rsidR="00FB7B13" w:rsidRPr="00DD2C71" w:rsidRDefault="00FB7B13" w:rsidP="000313DD">
      <w:pPr>
        <w:pStyle w:val="NORMAL12"/>
        <w:numPr>
          <w:ilvl w:val="0"/>
          <w:numId w:val="224"/>
        </w:numPr>
      </w:pPr>
      <w:r w:rsidRPr="00DD2C71">
        <w:t>Se deben retirar todas las pinturas y capas finales mediante limpieza abrasiva o amolado. Esta operación es crítica para superficies que previamente han sido tratadas con resinas poliéster, epoxi o poliuretano o que están conformadas por material vidriado.</w:t>
      </w:r>
    </w:p>
    <w:p w14:paraId="52E076CE" w14:textId="77777777" w:rsidR="00FB7B13" w:rsidRPr="00DD2C71" w:rsidRDefault="00FB7B13" w:rsidP="000313DD">
      <w:pPr>
        <w:pStyle w:val="NORMAL12"/>
        <w:numPr>
          <w:ilvl w:val="0"/>
          <w:numId w:val="224"/>
        </w:numPr>
      </w:pPr>
      <w:r w:rsidRPr="00DD2C71">
        <w:t>Se deben retirar todos los rastros de óxido, pintura, grasa, etc., mediante una limpieza abrasiva hasta obtener metal base.</w:t>
      </w:r>
    </w:p>
    <w:p w14:paraId="083AAE82" w14:textId="77777777" w:rsidR="00FB7B13" w:rsidRPr="00DD2C71" w:rsidRDefault="00FB7B13" w:rsidP="000313DD">
      <w:pPr>
        <w:pStyle w:val="NORMAL12"/>
        <w:numPr>
          <w:ilvl w:val="0"/>
          <w:numId w:val="224"/>
        </w:numPr>
      </w:pPr>
      <w:r w:rsidRPr="00DD2C71">
        <w:t xml:space="preserve">Al momento de aplicarse </w:t>
      </w:r>
      <w:r w:rsidR="00DD2C71">
        <w:t xml:space="preserve">la banda </w:t>
      </w:r>
      <w:r w:rsidRPr="00DD2C71">
        <w:t>TPE la superficie debe estar perfectamente seca.</w:t>
      </w:r>
    </w:p>
    <w:p w14:paraId="4E455365" w14:textId="77777777" w:rsidR="00FB7B13" w:rsidRPr="00DD2C71" w:rsidRDefault="00DD2C71" w:rsidP="00DD2C71">
      <w:pPr>
        <w:pStyle w:val="NORMAL12"/>
        <w:rPr>
          <w:i/>
          <w:u w:val="single"/>
        </w:rPr>
      </w:pPr>
      <w:r>
        <w:rPr>
          <w:i/>
          <w:u w:val="single"/>
        </w:rPr>
        <w:t>A</w:t>
      </w:r>
      <w:r w:rsidRPr="00DD2C71">
        <w:rPr>
          <w:i/>
          <w:u w:val="single"/>
        </w:rPr>
        <w:t>plicación del producto</w:t>
      </w:r>
    </w:p>
    <w:p w14:paraId="549D1CF0" w14:textId="77777777" w:rsidR="00FB7B13" w:rsidRPr="00DD2C71" w:rsidRDefault="00FB7B13" w:rsidP="00DD2C71">
      <w:pPr>
        <w:pStyle w:val="NORMAL12"/>
        <w:rPr>
          <w:i/>
          <w:u w:val="single"/>
        </w:rPr>
      </w:pPr>
      <w:r w:rsidRPr="00DD2C71">
        <w:rPr>
          <w:i/>
          <w:u w:val="single"/>
        </w:rPr>
        <w:t>Uso general</w:t>
      </w:r>
    </w:p>
    <w:p w14:paraId="2A6BF576" w14:textId="77777777" w:rsidR="00FB7B13" w:rsidRPr="00DD2C71" w:rsidRDefault="00FB7B13" w:rsidP="000313DD">
      <w:pPr>
        <w:pStyle w:val="NORMAL12"/>
        <w:numPr>
          <w:ilvl w:val="0"/>
          <w:numId w:val="224"/>
        </w:numPr>
      </w:pPr>
      <w:r w:rsidRPr="00DD2C71">
        <w:t xml:space="preserve">Aplicar la cinta de enmascarar a lo largo del perímetro exterior de la junta o grieta para obtener un área de 1cm (0.4") más ancha que el ancho de la banda TPE. </w:t>
      </w:r>
    </w:p>
    <w:p w14:paraId="0AB47448" w14:textId="77777777" w:rsidR="00FB7B13" w:rsidRPr="00DD2C71" w:rsidRDefault="00FB7B13" w:rsidP="000313DD">
      <w:pPr>
        <w:pStyle w:val="NORMAL12"/>
        <w:numPr>
          <w:ilvl w:val="0"/>
          <w:numId w:val="224"/>
        </w:numPr>
      </w:pPr>
      <w:r w:rsidRPr="00DD2C71">
        <w:t xml:space="preserve">Extender el adhesivo usado como agente de pegado dentro del área enmascarada. Aplicar uniformemente el adhesivo en un espesor de entre 1 y 2 mm sobre el </w:t>
      </w:r>
      <w:r w:rsidRPr="00DD2C71">
        <w:lastRenderedPageBreak/>
        <w:t>sustrato donde la porción de “fieltro” tomará contacto con dicho sustrato. Evite aplicar el adhesivo dentro de la junta.</w:t>
      </w:r>
    </w:p>
    <w:p w14:paraId="47DD9B6A" w14:textId="77777777" w:rsidR="00FB7B13" w:rsidRPr="00DD2C71" w:rsidRDefault="00DD2C71" w:rsidP="000313DD">
      <w:pPr>
        <w:pStyle w:val="NORMAL12"/>
        <w:numPr>
          <w:ilvl w:val="0"/>
          <w:numId w:val="224"/>
        </w:numPr>
      </w:pPr>
      <w:r>
        <w:t xml:space="preserve">Colocar la banda </w:t>
      </w:r>
      <w:r w:rsidR="00FB7B13" w:rsidRPr="00DD2C71">
        <w:t>TPE sobre el adhesivo. Presione y suavice con llana para asegurar una adherencia adecuada. Use un rodillo o herramienta de acabado para retirar todas las arrugas, dobleces o burbujas de aire y asegure que haya un contacto uniforme con el sustrato.</w:t>
      </w:r>
    </w:p>
    <w:p w14:paraId="1BA00043" w14:textId="77777777" w:rsidR="00FB7B13" w:rsidRPr="00DD2C71" w:rsidRDefault="00FB7B13" w:rsidP="000313DD">
      <w:pPr>
        <w:pStyle w:val="NORMAL12"/>
        <w:numPr>
          <w:ilvl w:val="0"/>
          <w:numId w:val="224"/>
        </w:numPr>
      </w:pPr>
      <w:r w:rsidRPr="00DD2C71">
        <w:t>Solap</w:t>
      </w:r>
      <w:r w:rsidR="00DD2C71">
        <w:t>ar el borde de la banda mi</w:t>
      </w:r>
      <w:r w:rsidRPr="00DD2C71">
        <w:t xml:space="preserve">entras que la primera aplicación está aún húmeda, cubriendo completamente la banda de tela con una nueva capa de adhesivo. Suavice el producto con una llana lisa. </w:t>
      </w:r>
    </w:p>
    <w:p w14:paraId="6436BA24" w14:textId="77777777" w:rsidR="00FB7B13" w:rsidRPr="00DD2C71" w:rsidRDefault="00FB7B13" w:rsidP="000313DD">
      <w:pPr>
        <w:pStyle w:val="NORMAL12"/>
        <w:numPr>
          <w:ilvl w:val="0"/>
          <w:numId w:val="224"/>
        </w:numPr>
      </w:pPr>
      <w:r w:rsidRPr="00DD2C71">
        <w:t xml:space="preserve">Una vez que se haya aplicado una segunda capa retire lentamente la cinta de enmascarar. </w:t>
      </w:r>
      <w:r w:rsidR="00DD2C71">
        <w:t xml:space="preserve">La banda </w:t>
      </w:r>
      <w:r w:rsidRPr="00DD2C71">
        <w:t>debe protegerse de cualquier daño que pueda sufrir (como por ejemplo perforaciones) durante el proceso de aplicación.</w:t>
      </w:r>
    </w:p>
    <w:p w14:paraId="228FF2F0" w14:textId="77777777" w:rsidR="00FB7B13" w:rsidRPr="00DD2C71" w:rsidRDefault="00FB7B13" w:rsidP="00DD2C71">
      <w:pPr>
        <w:pStyle w:val="NORMAL12"/>
        <w:rPr>
          <w:i/>
          <w:u w:val="single"/>
        </w:rPr>
      </w:pPr>
      <w:r w:rsidRPr="00DD2C71">
        <w:rPr>
          <w:i/>
          <w:u w:val="single"/>
        </w:rPr>
        <w:t>Tratamiento de juntas de movimiento</w:t>
      </w:r>
    </w:p>
    <w:p w14:paraId="07679E55" w14:textId="77777777" w:rsidR="00FB7B13" w:rsidRPr="00DD2C71" w:rsidRDefault="00FB7B13" w:rsidP="00DD2C71">
      <w:pPr>
        <w:pStyle w:val="NORMAL12"/>
      </w:pPr>
      <w:r w:rsidRPr="00DD2C71">
        <w:t xml:space="preserve">Si se prevén altos niveles de movimiento, se debe colocar </w:t>
      </w:r>
      <w:proofErr w:type="spellStart"/>
      <w:r w:rsidRPr="00DD2C71">
        <w:t>Mapeband</w:t>
      </w:r>
      <w:proofErr w:type="spellEnd"/>
      <w:r w:rsidRPr="00DD2C71">
        <w:t xml:space="preserve"> TPE en forma de “Ω” (omega) desde arriba hacia abajo dentro de la junta.</w:t>
      </w:r>
    </w:p>
    <w:p w14:paraId="2D31DEC0" w14:textId="77777777" w:rsidR="00FB7B13" w:rsidRPr="00DD2C71" w:rsidRDefault="00FB7B13" w:rsidP="00DD2C71">
      <w:pPr>
        <w:pStyle w:val="NORMAL12"/>
      </w:pPr>
      <w:r w:rsidRPr="00DD2C71">
        <w:t xml:space="preserve">Entre dichas propiedades se encuentra la capacidad de ser “soldado en frío” mediante adhesivos de contacto, tipo </w:t>
      </w:r>
      <w:proofErr w:type="spellStart"/>
      <w:r w:rsidRPr="00DD2C71">
        <w:t>Adesilex</w:t>
      </w:r>
      <w:proofErr w:type="spellEnd"/>
      <w:r w:rsidRPr="00DD2C71">
        <w:t xml:space="preserve"> o similar, que permiten la realización de solapes de forma ágil entre bandas o en las uniones con piezas especiales.</w:t>
      </w:r>
    </w:p>
    <w:p w14:paraId="6D3B243E" w14:textId="77777777" w:rsidR="00FB7B13" w:rsidRPr="00A8316A" w:rsidRDefault="00FB7B13" w:rsidP="000313DD">
      <w:pPr>
        <w:pStyle w:val="TITU2"/>
      </w:pPr>
      <w:bookmarkStart w:id="952" w:name="_Toc399509132"/>
      <w:bookmarkStart w:id="953" w:name="_Toc414434158"/>
      <w:bookmarkStart w:id="954" w:name="_Toc404503"/>
      <w:r w:rsidRPr="00A8316A">
        <w:t>694.4.</w:t>
      </w:r>
      <w:r w:rsidR="002C0CF3">
        <w:t xml:space="preserve">  </w:t>
      </w:r>
      <w:r w:rsidRPr="00A8316A">
        <w:tab/>
        <w:t>Medición y abono</w:t>
      </w:r>
      <w:bookmarkEnd w:id="952"/>
      <w:bookmarkEnd w:id="953"/>
      <w:bookmarkEnd w:id="954"/>
    </w:p>
    <w:p w14:paraId="10EA5D15" w14:textId="77777777" w:rsidR="00FB7B13" w:rsidRPr="00DD2C71" w:rsidRDefault="00FB7B13" w:rsidP="00DD2C71">
      <w:pPr>
        <w:pStyle w:val="NORMAL12"/>
      </w:pPr>
      <w:r w:rsidRPr="00DD2C71">
        <w:t xml:space="preserve">Las unidades de obra de ejecución de junta se medirán y abonarán </w:t>
      </w:r>
      <w:proofErr w:type="gramStart"/>
      <w:r w:rsidRPr="00DD2C71">
        <w:t>de acuerdo a</w:t>
      </w:r>
      <w:proofErr w:type="gramEnd"/>
      <w:r w:rsidRPr="00DD2C71">
        <w:t xml:space="preserve"> las siguientes prescripciones: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FB7B13" w:rsidRPr="0064544D" w14:paraId="35C7EAAA" w14:textId="77777777" w:rsidTr="00927CC1">
        <w:trPr>
          <w:jc w:val="center"/>
        </w:trPr>
        <w:tc>
          <w:tcPr>
            <w:tcW w:w="2905" w:type="dxa"/>
            <w:vAlign w:val="center"/>
          </w:tcPr>
          <w:p w14:paraId="0A019A2A" w14:textId="77777777" w:rsidR="00FB7B13" w:rsidRPr="0064544D" w:rsidRDefault="00FB7B13" w:rsidP="00DD2C71">
            <w:pPr>
              <w:spacing w:before="120" w:after="40" w:line="276" w:lineRule="auto"/>
              <w:jc w:val="center"/>
              <w:rPr>
                <w:rFonts w:ascii="Arial" w:hAnsi="Arial" w:cs="Arial"/>
                <w:b/>
                <w:sz w:val="20"/>
              </w:rPr>
            </w:pPr>
            <w:r w:rsidRPr="0064544D">
              <w:rPr>
                <w:rFonts w:ascii="Arial" w:hAnsi="Arial" w:cs="Arial"/>
                <w:b/>
                <w:sz w:val="20"/>
              </w:rPr>
              <w:t>Unidad de medida</w:t>
            </w:r>
          </w:p>
        </w:tc>
        <w:tc>
          <w:tcPr>
            <w:tcW w:w="5739" w:type="dxa"/>
            <w:vAlign w:val="center"/>
          </w:tcPr>
          <w:p w14:paraId="7A840530" w14:textId="77777777" w:rsidR="00FB7B13" w:rsidRPr="0064544D" w:rsidRDefault="00FB7B13" w:rsidP="00927CC1">
            <w:pPr>
              <w:spacing w:before="120" w:after="40" w:line="276" w:lineRule="auto"/>
              <w:jc w:val="both"/>
              <w:rPr>
                <w:rFonts w:ascii="Arial" w:hAnsi="Arial" w:cs="Arial"/>
                <w:sz w:val="20"/>
              </w:rPr>
            </w:pPr>
            <w:r w:rsidRPr="0064544D">
              <w:rPr>
                <w:rFonts w:ascii="Arial" w:hAnsi="Arial" w:cs="Arial"/>
                <w:sz w:val="20"/>
              </w:rPr>
              <w:t xml:space="preserve">Metros (m) </w:t>
            </w:r>
          </w:p>
        </w:tc>
      </w:tr>
      <w:tr w:rsidR="00FB7B13" w:rsidRPr="0064544D" w14:paraId="513391CF" w14:textId="77777777" w:rsidTr="00927CC1">
        <w:trPr>
          <w:jc w:val="center"/>
        </w:trPr>
        <w:tc>
          <w:tcPr>
            <w:tcW w:w="2905" w:type="dxa"/>
            <w:vAlign w:val="center"/>
          </w:tcPr>
          <w:p w14:paraId="518248B5" w14:textId="77777777" w:rsidR="00FB7B13" w:rsidRPr="0064544D" w:rsidRDefault="00FB7B13" w:rsidP="00DD2C71">
            <w:pPr>
              <w:spacing w:before="120" w:after="40" w:line="276" w:lineRule="auto"/>
              <w:jc w:val="center"/>
              <w:rPr>
                <w:rFonts w:ascii="Arial" w:hAnsi="Arial" w:cs="Arial"/>
                <w:b/>
                <w:sz w:val="20"/>
              </w:rPr>
            </w:pPr>
            <w:r w:rsidRPr="0064544D">
              <w:rPr>
                <w:rFonts w:ascii="Arial" w:hAnsi="Arial" w:cs="Arial"/>
                <w:b/>
                <w:sz w:val="20"/>
              </w:rPr>
              <w:t>Grado de precisión</w:t>
            </w:r>
          </w:p>
        </w:tc>
        <w:tc>
          <w:tcPr>
            <w:tcW w:w="5739" w:type="dxa"/>
            <w:vAlign w:val="center"/>
          </w:tcPr>
          <w:p w14:paraId="0E2C3680" w14:textId="77777777" w:rsidR="00FB7B13" w:rsidRPr="0064544D" w:rsidRDefault="00FB7B13" w:rsidP="00927CC1">
            <w:pPr>
              <w:spacing w:before="120" w:after="40" w:line="276" w:lineRule="auto"/>
              <w:jc w:val="both"/>
              <w:rPr>
                <w:rFonts w:ascii="Arial" w:hAnsi="Arial" w:cs="Arial"/>
                <w:sz w:val="20"/>
              </w:rPr>
            </w:pPr>
            <w:r w:rsidRPr="0064544D">
              <w:rPr>
                <w:rFonts w:ascii="Arial" w:hAnsi="Arial" w:cs="Arial"/>
                <w:sz w:val="20"/>
              </w:rPr>
              <w:t>Dos decimales</w:t>
            </w:r>
          </w:p>
        </w:tc>
      </w:tr>
      <w:tr w:rsidR="00FB7B13" w:rsidRPr="0064544D" w14:paraId="6C2A9BBD" w14:textId="77777777" w:rsidTr="00927CC1">
        <w:trPr>
          <w:jc w:val="center"/>
        </w:trPr>
        <w:tc>
          <w:tcPr>
            <w:tcW w:w="2905" w:type="dxa"/>
            <w:vAlign w:val="center"/>
          </w:tcPr>
          <w:p w14:paraId="426D8CB6" w14:textId="77777777" w:rsidR="00FB7B13" w:rsidRPr="0064544D" w:rsidRDefault="00FB7B13" w:rsidP="00DD2C71">
            <w:pPr>
              <w:spacing w:before="120" w:after="40" w:line="276" w:lineRule="auto"/>
              <w:jc w:val="center"/>
              <w:rPr>
                <w:rFonts w:ascii="Arial" w:hAnsi="Arial" w:cs="Arial"/>
                <w:b/>
                <w:sz w:val="20"/>
              </w:rPr>
            </w:pPr>
            <w:r w:rsidRPr="0064544D">
              <w:rPr>
                <w:rFonts w:ascii="Arial" w:hAnsi="Arial" w:cs="Arial"/>
                <w:b/>
                <w:sz w:val="20"/>
              </w:rPr>
              <w:t>Forma de medición</w:t>
            </w:r>
          </w:p>
        </w:tc>
        <w:tc>
          <w:tcPr>
            <w:tcW w:w="5739" w:type="dxa"/>
            <w:vAlign w:val="center"/>
          </w:tcPr>
          <w:p w14:paraId="7FBC0C23" w14:textId="77777777" w:rsidR="00FB7B13" w:rsidRPr="0064544D" w:rsidRDefault="00FB7B13" w:rsidP="00927CC1">
            <w:pPr>
              <w:spacing w:before="120" w:after="40" w:line="276" w:lineRule="auto"/>
              <w:jc w:val="both"/>
              <w:rPr>
                <w:rFonts w:ascii="Arial" w:hAnsi="Arial" w:cs="Arial"/>
                <w:sz w:val="20"/>
              </w:rPr>
            </w:pPr>
            <w:r w:rsidRPr="0064544D">
              <w:rPr>
                <w:rFonts w:ascii="Arial" w:hAnsi="Arial" w:cs="Arial"/>
                <w:sz w:val="20"/>
              </w:rPr>
              <w:t xml:space="preserve">Metros (m) de junta realmente ejecutados </w:t>
            </w:r>
          </w:p>
        </w:tc>
      </w:tr>
      <w:tr w:rsidR="00FB7B13" w:rsidRPr="0064544D" w14:paraId="70920012" w14:textId="77777777" w:rsidTr="00927CC1">
        <w:trPr>
          <w:jc w:val="center"/>
        </w:trPr>
        <w:tc>
          <w:tcPr>
            <w:tcW w:w="2905" w:type="dxa"/>
            <w:tcBorders>
              <w:bottom w:val="single" w:sz="4" w:space="0" w:color="auto"/>
            </w:tcBorders>
            <w:vAlign w:val="center"/>
          </w:tcPr>
          <w:p w14:paraId="39A599C5" w14:textId="77777777" w:rsidR="00FB7B13" w:rsidRPr="0064544D" w:rsidRDefault="00FB7B13" w:rsidP="00DD2C71">
            <w:pPr>
              <w:spacing w:before="120" w:after="40" w:line="276" w:lineRule="auto"/>
              <w:jc w:val="center"/>
              <w:rPr>
                <w:rFonts w:ascii="Arial" w:hAnsi="Arial" w:cs="Arial"/>
                <w:b/>
                <w:sz w:val="20"/>
              </w:rPr>
            </w:pPr>
            <w:r w:rsidRPr="0064544D">
              <w:rPr>
                <w:rFonts w:ascii="Arial" w:hAnsi="Arial" w:cs="Arial"/>
                <w:b/>
                <w:sz w:val="20"/>
              </w:rPr>
              <w:t>Abono</w:t>
            </w:r>
          </w:p>
        </w:tc>
        <w:tc>
          <w:tcPr>
            <w:tcW w:w="5739" w:type="dxa"/>
            <w:tcBorders>
              <w:bottom w:val="single" w:sz="4" w:space="0" w:color="auto"/>
            </w:tcBorders>
            <w:vAlign w:val="center"/>
          </w:tcPr>
          <w:p w14:paraId="2108FB00" w14:textId="77777777" w:rsidR="00FB7B13" w:rsidRPr="0064544D" w:rsidRDefault="00FB7B13" w:rsidP="00927CC1">
            <w:pPr>
              <w:spacing w:before="120" w:after="40" w:line="276" w:lineRule="auto"/>
              <w:jc w:val="both"/>
              <w:rPr>
                <w:rFonts w:ascii="Arial" w:hAnsi="Arial" w:cs="Arial"/>
                <w:sz w:val="20"/>
              </w:rPr>
            </w:pPr>
            <w:r w:rsidRPr="0064544D">
              <w:rPr>
                <w:rFonts w:ascii="Arial" w:hAnsi="Arial" w:cs="Arial"/>
                <w:sz w:val="20"/>
              </w:rPr>
              <w:t>Se efectuará cuando se realice la aceptación</w:t>
            </w:r>
          </w:p>
        </w:tc>
      </w:tr>
      <w:tr w:rsidR="00FB7B13" w:rsidRPr="0064544D" w14:paraId="5E4002F1" w14:textId="77777777" w:rsidTr="00927CC1">
        <w:trPr>
          <w:jc w:val="center"/>
        </w:trPr>
        <w:tc>
          <w:tcPr>
            <w:tcW w:w="2905" w:type="dxa"/>
            <w:tcBorders>
              <w:bottom w:val="single" w:sz="4" w:space="0" w:color="auto"/>
            </w:tcBorders>
            <w:vAlign w:val="center"/>
          </w:tcPr>
          <w:p w14:paraId="2C19A0E9" w14:textId="77777777" w:rsidR="00FB7B13" w:rsidRPr="0064544D" w:rsidRDefault="00FB7B13" w:rsidP="00DD2C71">
            <w:pPr>
              <w:spacing w:before="120" w:after="40" w:line="276" w:lineRule="auto"/>
              <w:jc w:val="center"/>
              <w:rPr>
                <w:rFonts w:ascii="Arial" w:hAnsi="Arial" w:cs="Arial"/>
                <w:b/>
                <w:sz w:val="20"/>
              </w:rPr>
            </w:pPr>
            <w:r w:rsidRPr="0064544D">
              <w:rPr>
                <w:rFonts w:ascii="Arial" w:hAnsi="Arial" w:cs="Arial"/>
                <w:b/>
                <w:sz w:val="20"/>
              </w:rPr>
              <w:t>Criterios complementarios</w:t>
            </w:r>
          </w:p>
        </w:tc>
        <w:tc>
          <w:tcPr>
            <w:tcW w:w="5739" w:type="dxa"/>
            <w:tcBorders>
              <w:bottom w:val="single" w:sz="4" w:space="0" w:color="auto"/>
            </w:tcBorders>
            <w:vAlign w:val="center"/>
          </w:tcPr>
          <w:p w14:paraId="6E3ED38C" w14:textId="77777777" w:rsidR="00FB7B13" w:rsidRPr="0064544D" w:rsidRDefault="00FB7B13" w:rsidP="00927CC1">
            <w:pPr>
              <w:spacing w:before="120" w:after="40" w:line="276" w:lineRule="auto"/>
              <w:jc w:val="both"/>
              <w:rPr>
                <w:rFonts w:ascii="Arial" w:hAnsi="Arial" w:cs="Arial"/>
                <w:sz w:val="20"/>
              </w:rPr>
            </w:pPr>
            <w:r w:rsidRPr="0064544D">
              <w:rPr>
                <w:rFonts w:ascii="Arial" w:hAnsi="Arial" w:cs="Arial"/>
                <w:sz w:val="20"/>
              </w:rPr>
              <w:t>Los precios incluyen todos los materiales, mano de obra, maquinaria y medios auxiliares necesarios para la correcta ejecución de la unidad, incluso ensayos previos y característicos cuando proceda.</w:t>
            </w:r>
          </w:p>
          <w:p w14:paraId="7B4697F1" w14:textId="77777777" w:rsidR="00FB7B13" w:rsidRPr="0064544D" w:rsidRDefault="00FB7B13" w:rsidP="00927CC1">
            <w:pPr>
              <w:spacing w:before="120" w:after="40" w:line="276" w:lineRule="auto"/>
              <w:jc w:val="both"/>
              <w:rPr>
                <w:rFonts w:ascii="Arial" w:hAnsi="Arial" w:cs="Arial"/>
                <w:sz w:val="20"/>
              </w:rPr>
            </w:pPr>
            <w:r w:rsidRPr="0064544D">
              <w:rPr>
                <w:rFonts w:ascii="Arial" w:hAnsi="Arial" w:cs="Arial"/>
                <w:sz w:val="20"/>
              </w:rPr>
              <w:t>Incluye también todas las operaciones de preparación y levantado de junta existente.</w:t>
            </w:r>
          </w:p>
        </w:tc>
      </w:tr>
    </w:tbl>
    <w:p w14:paraId="58BDC445" w14:textId="77777777" w:rsidR="00FB7B13" w:rsidRDefault="00FB7B13" w:rsidP="00FB7B13">
      <w:pPr>
        <w:pStyle w:val="NORMAL12"/>
        <w:rPr>
          <w:highlight w:val="red"/>
        </w:rPr>
      </w:pPr>
    </w:p>
    <w:p w14:paraId="031F7A6A" w14:textId="77777777" w:rsidR="0064544D" w:rsidRPr="0064544D" w:rsidRDefault="0064544D" w:rsidP="0064544D">
      <w:pPr>
        <w:pStyle w:val="NORMAL12"/>
        <w:rPr>
          <w:highlight w:val="red"/>
        </w:rPr>
      </w:pPr>
    </w:p>
    <w:p w14:paraId="69A7E4D6" w14:textId="77777777" w:rsidR="00DD2C71" w:rsidRPr="002005BA" w:rsidRDefault="00DD2C71" w:rsidP="00DD2C71">
      <w:pPr>
        <w:pStyle w:val="TITU1"/>
      </w:pPr>
      <w:bookmarkStart w:id="955" w:name="_Toc404504"/>
      <w:r w:rsidRPr="002D0D3E">
        <w:lastRenderedPageBreak/>
        <w:t>Artículo 694b. Reposición o sustitución de juntas de calzada de betún modificado.</w:t>
      </w:r>
      <w:bookmarkEnd w:id="955"/>
    </w:p>
    <w:p w14:paraId="6902C5A7" w14:textId="77777777" w:rsidR="00DD2C71" w:rsidRPr="003B1816" w:rsidRDefault="00DD2C71" w:rsidP="00DD2C71">
      <w:pPr>
        <w:pStyle w:val="NORMAL12"/>
      </w:pPr>
      <w:r w:rsidRPr="003B1816">
        <w:t>Excepto para lo especificado en el presente Pliego de Prescripciones Técnicas particulares se seguirá lo prescrito en el vigente artículo 694 del PG-3.</w:t>
      </w:r>
    </w:p>
    <w:p w14:paraId="2A657554" w14:textId="77777777" w:rsidR="00DD2C71" w:rsidRPr="002005BA" w:rsidRDefault="00DD2C71" w:rsidP="000313DD">
      <w:pPr>
        <w:pStyle w:val="TITU2"/>
      </w:pPr>
      <w:bookmarkStart w:id="956" w:name="_Toc448916168"/>
      <w:bookmarkStart w:id="957" w:name="_Toc404505"/>
      <w:r w:rsidRPr="002005BA">
        <w:t>694b.1.</w:t>
      </w:r>
      <w:r>
        <w:t xml:space="preserve"> </w:t>
      </w:r>
      <w:r w:rsidRPr="002005BA">
        <w:t>Definición</w:t>
      </w:r>
      <w:bookmarkEnd w:id="956"/>
      <w:bookmarkEnd w:id="957"/>
    </w:p>
    <w:p w14:paraId="1152F34E" w14:textId="77777777" w:rsidR="00DD2C71" w:rsidRPr="008527EE" w:rsidRDefault="00DD2C71" w:rsidP="00DD2C71">
      <w:pPr>
        <w:pStyle w:val="NORMAL12"/>
      </w:pPr>
      <w:r w:rsidRPr="002005BA">
        <w:t xml:space="preserve">Las juntas de betún modificado, “junta chicle”, son juntas </w:t>
      </w:r>
      <w:proofErr w:type="spellStart"/>
      <w:r w:rsidRPr="002005BA">
        <w:t>plastoelásticas</w:t>
      </w:r>
      <w:proofErr w:type="spellEnd"/>
      <w:r w:rsidRPr="002005BA">
        <w:t xml:space="preserve">, constituidas por una mezcla en caliente de betún modificado con elastómeros y </w:t>
      </w:r>
      <w:r w:rsidRPr="008527EE">
        <w:t xml:space="preserve">árido silíceo o basáltico. </w:t>
      </w:r>
    </w:p>
    <w:p w14:paraId="364CBE5E" w14:textId="77777777" w:rsidR="00DD2C71" w:rsidRPr="008527EE" w:rsidRDefault="00DD2C71" w:rsidP="00DD2C71">
      <w:pPr>
        <w:pStyle w:val="NORMAL12"/>
      </w:pPr>
      <w:r w:rsidRPr="008527EE">
        <w:t xml:space="preserve">La operación que recoge este artículo consiste en la restitución de las condiciones operativas de la junta de dilatación de calzadas degradadas por aflojamiento, por roturas parciales o por cualquier otra circunstancia que afecte al normal discurrir del tráfico, incluidas aquellas que se hallen en condiciones que puedan hacer esperar próximas averías, aunque por el momento no representen deterioro alguno. </w:t>
      </w:r>
    </w:p>
    <w:p w14:paraId="392FFD7B" w14:textId="77777777" w:rsidR="00DD2C71" w:rsidRPr="008527EE" w:rsidRDefault="00DD2C71" w:rsidP="00DD2C71">
      <w:pPr>
        <w:pStyle w:val="NORMAL12"/>
      </w:pPr>
      <w:r w:rsidRPr="008527EE">
        <w:t>Asimismo, se busca conseguir nuevamente estanqueidad e impermeabilidad en estos puntos conflictivos del tablero.</w:t>
      </w:r>
    </w:p>
    <w:p w14:paraId="011C2FA7" w14:textId="77777777" w:rsidR="00DD2C71" w:rsidRPr="008527EE" w:rsidRDefault="00DD2C71" w:rsidP="000313DD">
      <w:pPr>
        <w:pStyle w:val="TITU2"/>
      </w:pPr>
      <w:bookmarkStart w:id="958" w:name="_Toc448916169"/>
      <w:bookmarkStart w:id="959" w:name="_Toc404506"/>
      <w:r w:rsidRPr="008527EE">
        <w:t>694b.2.</w:t>
      </w:r>
      <w:r>
        <w:t xml:space="preserve"> </w:t>
      </w:r>
      <w:r w:rsidRPr="008527EE">
        <w:t>Aplicación</w:t>
      </w:r>
      <w:bookmarkEnd w:id="958"/>
      <w:bookmarkEnd w:id="959"/>
    </w:p>
    <w:p w14:paraId="315CD696" w14:textId="77777777" w:rsidR="00DD2C71" w:rsidRPr="008527EE" w:rsidRDefault="00DD2C71" w:rsidP="00DD2C71">
      <w:pPr>
        <w:pStyle w:val="NORMAL12"/>
      </w:pPr>
      <w:r w:rsidRPr="008527EE">
        <w:t xml:space="preserve">El presente artículo </w:t>
      </w:r>
      <w:proofErr w:type="gramStart"/>
      <w:r w:rsidRPr="008527EE">
        <w:t>será de aplicación</w:t>
      </w:r>
      <w:proofErr w:type="gramEnd"/>
      <w:r w:rsidRPr="008527EE">
        <w:t xml:space="preserve"> a las siguientes unidades de obra: </w:t>
      </w:r>
    </w:p>
    <w:tbl>
      <w:tblPr>
        <w:tblW w:w="0" w:type="auto"/>
        <w:tblLook w:val="04A0" w:firstRow="1" w:lastRow="0" w:firstColumn="1" w:lastColumn="0" w:noHBand="0" w:noVBand="1"/>
      </w:tblPr>
      <w:tblGrid>
        <w:gridCol w:w="1366"/>
        <w:gridCol w:w="945"/>
        <w:gridCol w:w="6693"/>
      </w:tblGrid>
      <w:tr w:rsidR="00DD2C71" w:rsidRPr="00D921B6" w14:paraId="4417FF90" w14:textId="77777777" w:rsidTr="00174ED1">
        <w:tc>
          <w:tcPr>
            <w:tcW w:w="1366" w:type="dxa"/>
          </w:tcPr>
          <w:p w14:paraId="51A105D2" w14:textId="77777777" w:rsidR="00DD2C71" w:rsidRPr="00D921B6" w:rsidRDefault="00DD2C71" w:rsidP="00174ED1">
            <w:pPr>
              <w:rPr>
                <w:rFonts w:ascii="Calibri" w:hAnsi="Calibri" w:cs="Calibri"/>
              </w:rPr>
            </w:pPr>
            <w:r w:rsidRPr="00D921B6">
              <w:rPr>
                <w:rFonts w:ascii="Calibri" w:hAnsi="Calibri" w:cs="Calibri"/>
              </w:rPr>
              <w:t xml:space="preserve">694.0070N         </w:t>
            </w:r>
          </w:p>
          <w:p w14:paraId="296919A7" w14:textId="77777777" w:rsidR="00DD2C71" w:rsidRPr="00D921B6" w:rsidRDefault="00DD2C71" w:rsidP="00174ED1">
            <w:pPr>
              <w:rPr>
                <w:rFonts w:ascii="Calibri" w:hAnsi="Calibri" w:cs="Calibri"/>
              </w:rPr>
            </w:pPr>
          </w:p>
        </w:tc>
        <w:tc>
          <w:tcPr>
            <w:tcW w:w="945" w:type="dxa"/>
          </w:tcPr>
          <w:p w14:paraId="4009DB0F" w14:textId="77777777" w:rsidR="00DD2C71" w:rsidRPr="00D921B6" w:rsidRDefault="00DD2C71" w:rsidP="00174ED1">
            <w:pPr>
              <w:rPr>
                <w:rFonts w:ascii="Calibri" w:hAnsi="Calibri" w:cs="Calibri"/>
              </w:rPr>
            </w:pPr>
            <w:r w:rsidRPr="00D921B6">
              <w:rPr>
                <w:rFonts w:ascii="Calibri" w:hAnsi="Calibri" w:cs="Calibri"/>
              </w:rPr>
              <w:t>m</w:t>
            </w:r>
          </w:p>
        </w:tc>
        <w:tc>
          <w:tcPr>
            <w:tcW w:w="6693" w:type="dxa"/>
          </w:tcPr>
          <w:p w14:paraId="55259B8D" w14:textId="77777777" w:rsidR="00DD2C71" w:rsidRPr="00D921B6" w:rsidRDefault="00DD2C71" w:rsidP="00793E16">
            <w:pPr>
              <w:jc w:val="both"/>
              <w:rPr>
                <w:rFonts w:ascii="Calibri" w:hAnsi="Calibri" w:cs="Calibri"/>
              </w:rPr>
            </w:pPr>
            <w:r w:rsidRPr="00D921B6">
              <w:rPr>
                <w:rFonts w:ascii="Calibri" w:hAnsi="Calibri" w:cs="Calibri"/>
              </w:rPr>
              <w:t>JUNTA DE BETÚN MODIFICADO, CON BANDA ESTANCA ELÁSTICA DE RECOGIDA DE AGUA, INCLUSO IMPERMEABILIZACIÓN DE SUPERFICIE DE TABLERO EN BANDA DE POSICIONADO DE JUNTA, MEDIOS AUXILIARES NECESARIOS, TOTALMENTE EJECUTADA. INCLUSO DEMOLICIÓN DE MEZCLA BITUMINOSA Y PICADO DE TABLERO DE HORMIGÓN Y PREPARACIÓN DE SUPERFICIE Y PARTE PROPORCIONAL DE MEDIOS AUXILIARES PARA SU COMPLETA EJECUCIÓN.</w:t>
            </w:r>
          </w:p>
          <w:p w14:paraId="1ECD468B" w14:textId="77777777" w:rsidR="00DD2C71" w:rsidRPr="00D921B6" w:rsidRDefault="00DD2C71" w:rsidP="00793E16">
            <w:pPr>
              <w:jc w:val="both"/>
              <w:rPr>
                <w:rFonts w:ascii="Calibri" w:hAnsi="Calibri" w:cs="Calibri"/>
              </w:rPr>
            </w:pPr>
          </w:p>
        </w:tc>
      </w:tr>
      <w:tr w:rsidR="00DD2C71" w:rsidRPr="00D921B6" w14:paraId="3FE6FD38" w14:textId="77777777" w:rsidTr="00174ED1">
        <w:tc>
          <w:tcPr>
            <w:tcW w:w="1366" w:type="dxa"/>
          </w:tcPr>
          <w:p w14:paraId="67B41293" w14:textId="77777777" w:rsidR="00DD2C71" w:rsidRPr="00D921B6" w:rsidRDefault="00DD2C71" w:rsidP="00174ED1">
            <w:pPr>
              <w:rPr>
                <w:rFonts w:ascii="Calibri" w:hAnsi="Calibri" w:cs="Calibri"/>
              </w:rPr>
            </w:pPr>
            <w:r w:rsidRPr="00D921B6">
              <w:rPr>
                <w:rFonts w:ascii="Calibri" w:hAnsi="Calibri" w:cs="Calibri"/>
              </w:rPr>
              <w:t>694.0080N</w:t>
            </w:r>
          </w:p>
        </w:tc>
        <w:tc>
          <w:tcPr>
            <w:tcW w:w="945" w:type="dxa"/>
          </w:tcPr>
          <w:p w14:paraId="02397463" w14:textId="77777777" w:rsidR="00DD2C71" w:rsidRPr="00D921B6" w:rsidRDefault="00DD2C71" w:rsidP="00174ED1">
            <w:pPr>
              <w:rPr>
                <w:rFonts w:ascii="Calibri" w:hAnsi="Calibri" w:cs="Calibri"/>
              </w:rPr>
            </w:pPr>
            <w:r w:rsidRPr="00D921B6">
              <w:rPr>
                <w:rFonts w:ascii="Calibri" w:hAnsi="Calibri" w:cs="Calibri"/>
              </w:rPr>
              <w:t>m</w:t>
            </w:r>
          </w:p>
        </w:tc>
        <w:tc>
          <w:tcPr>
            <w:tcW w:w="6693" w:type="dxa"/>
          </w:tcPr>
          <w:p w14:paraId="7132AB6A" w14:textId="77777777" w:rsidR="00DD2C71" w:rsidRPr="00D921B6" w:rsidRDefault="00DD2C71" w:rsidP="00793E16">
            <w:pPr>
              <w:jc w:val="both"/>
              <w:rPr>
                <w:rFonts w:ascii="Calibri" w:hAnsi="Calibri" w:cs="Calibri"/>
              </w:rPr>
            </w:pPr>
            <w:r w:rsidRPr="00D921B6">
              <w:rPr>
                <w:rFonts w:ascii="Calibri" w:hAnsi="Calibri" w:cs="Calibri"/>
              </w:rPr>
              <w:t>JUNTA DE ACERA CON BANDA ESTANCA ELÁSTICA DE RECOGIDA DE AGUA, INCLUSO IMPERMEABILIZACIÓN DE SUPERFICIE DE TABLERO EN BANDA DE POSICIONADO DE JUNTA, MEDIOS AUXILIARES NECESARIOS, TOTALMENTE EJECUTADA, INCLUSO DEMOLICIONES EN ACERADO PARA PREPARACIÓN DE LA SUPREFICIE Y PARTE PROPORCIONAL DE MEDIOS AUXILIARES PARA SU COMPLETA EJECUCIÓN.</w:t>
            </w:r>
          </w:p>
        </w:tc>
      </w:tr>
    </w:tbl>
    <w:p w14:paraId="1B8D138E" w14:textId="77777777" w:rsidR="00DD2C71" w:rsidRPr="00D921B6" w:rsidRDefault="00DD2C71" w:rsidP="00DD2C71">
      <w:pPr>
        <w:pStyle w:val="NORMAL12"/>
      </w:pPr>
      <w:r w:rsidRPr="00D921B6">
        <w:t xml:space="preserve">La unidad de junta de acera con banda elástica </w:t>
      </w:r>
      <w:proofErr w:type="gramStart"/>
      <w:r w:rsidRPr="00D921B6">
        <w:t>es de aplicación</w:t>
      </w:r>
      <w:proofErr w:type="gramEnd"/>
      <w:r w:rsidRPr="00D921B6">
        <w:t xml:space="preserve"> en la materialización de la prolongación de la junta de betún de la calzada en la zona del recrecido del pretil. Está </w:t>
      </w:r>
      <w:r w:rsidRPr="00D921B6">
        <w:t>constituida por un perfil de caucho comprimido que permite el movimiento de la junta, pero no las filtraciones de agua.</w:t>
      </w:r>
    </w:p>
    <w:p w14:paraId="0E33E9A2" w14:textId="77777777" w:rsidR="008965B8" w:rsidRPr="00D921B6" w:rsidRDefault="008965B8" w:rsidP="008965B8">
      <w:pPr>
        <w:pStyle w:val="NORMAL12"/>
      </w:pPr>
      <w:bookmarkStart w:id="960" w:name="_Toc448916171"/>
      <w:r w:rsidRPr="00D921B6">
        <w:t>Este artículo hace referencia a las siguientes operaciones.</w:t>
      </w:r>
    </w:p>
    <w:p w14:paraId="7896A46B" w14:textId="77777777" w:rsidR="008965B8" w:rsidRPr="00CF7652" w:rsidRDefault="008965B8" w:rsidP="000313DD">
      <w:pPr>
        <w:pStyle w:val="NORMAL12"/>
        <w:numPr>
          <w:ilvl w:val="0"/>
          <w:numId w:val="241"/>
        </w:numPr>
        <w:rPr>
          <w:i/>
          <w:u w:val="single"/>
        </w:rPr>
      </w:pPr>
      <w:r w:rsidRPr="00CF7652">
        <w:rPr>
          <w:i/>
          <w:u w:val="single"/>
        </w:rPr>
        <w:t xml:space="preserve">Ejecución de juntas de </w:t>
      </w:r>
      <w:proofErr w:type="spellStart"/>
      <w:r w:rsidRPr="00CF7652">
        <w:rPr>
          <w:i/>
          <w:u w:val="single"/>
        </w:rPr>
        <w:t>mástico</w:t>
      </w:r>
      <w:proofErr w:type="spellEnd"/>
      <w:r w:rsidRPr="00CF7652">
        <w:rPr>
          <w:i/>
          <w:u w:val="single"/>
        </w:rPr>
        <w:t xml:space="preserve"> bituminoso en calzada.</w:t>
      </w:r>
    </w:p>
    <w:p w14:paraId="462EA265" w14:textId="77777777" w:rsidR="008965B8" w:rsidRPr="00D921B6" w:rsidRDefault="008965B8" w:rsidP="008965B8">
      <w:pPr>
        <w:pStyle w:val="NORMAL12"/>
        <w:numPr>
          <w:ilvl w:val="0"/>
          <w:numId w:val="61"/>
        </w:numPr>
      </w:pPr>
      <w:r w:rsidRPr="00D921B6">
        <w:t>Demolición del firme a ambos lados de la junta.</w:t>
      </w:r>
    </w:p>
    <w:p w14:paraId="0618CA8C" w14:textId="77777777" w:rsidR="008965B8" w:rsidRPr="00D921B6" w:rsidRDefault="008965B8" w:rsidP="008965B8">
      <w:pPr>
        <w:pStyle w:val="NORMAL12"/>
        <w:numPr>
          <w:ilvl w:val="0"/>
          <w:numId w:val="61"/>
        </w:numPr>
      </w:pPr>
      <w:r w:rsidRPr="00D921B6">
        <w:t>Saneo y limpieza de la zona mediante chorreado con arena.</w:t>
      </w:r>
    </w:p>
    <w:p w14:paraId="001F05C6" w14:textId="77777777" w:rsidR="008965B8" w:rsidRPr="00D921B6" w:rsidRDefault="008965B8" w:rsidP="008965B8">
      <w:pPr>
        <w:pStyle w:val="NORMAL12"/>
        <w:numPr>
          <w:ilvl w:val="0"/>
          <w:numId w:val="61"/>
        </w:numPr>
      </w:pPr>
      <w:r w:rsidRPr="00D921B6">
        <w:t>Regularización de la superficie con mortero.</w:t>
      </w:r>
    </w:p>
    <w:p w14:paraId="412D3726" w14:textId="77777777" w:rsidR="008965B8" w:rsidRPr="00D921B6" w:rsidRDefault="008965B8" w:rsidP="008965B8">
      <w:pPr>
        <w:pStyle w:val="NORMAL12"/>
        <w:numPr>
          <w:ilvl w:val="0"/>
          <w:numId w:val="61"/>
        </w:numPr>
      </w:pPr>
      <w:r w:rsidRPr="00D921B6">
        <w:t xml:space="preserve">Colocación de la banda TPE y sellado con adhesivo. </w:t>
      </w:r>
    </w:p>
    <w:p w14:paraId="7EA98BD0" w14:textId="77777777" w:rsidR="008965B8" w:rsidRPr="00D921B6" w:rsidRDefault="008965B8" w:rsidP="008965B8">
      <w:pPr>
        <w:pStyle w:val="NORMAL12"/>
        <w:numPr>
          <w:ilvl w:val="0"/>
          <w:numId w:val="61"/>
        </w:numPr>
      </w:pPr>
      <w:r w:rsidRPr="00D921B6">
        <w:t>Protección de las altas temperaturas de la banda TPE y su adhesivo mediante mortero de altas resistencias.</w:t>
      </w:r>
    </w:p>
    <w:p w14:paraId="49659F13" w14:textId="77777777" w:rsidR="008965B8" w:rsidRPr="00D921B6" w:rsidRDefault="008965B8" w:rsidP="008965B8">
      <w:pPr>
        <w:pStyle w:val="NORMAL12"/>
        <w:numPr>
          <w:ilvl w:val="0"/>
          <w:numId w:val="61"/>
        </w:numPr>
      </w:pPr>
      <w:r w:rsidRPr="00D921B6">
        <w:t>Calentamiento del firme mediante lanza térmica.</w:t>
      </w:r>
    </w:p>
    <w:p w14:paraId="5A948720" w14:textId="77777777" w:rsidR="008965B8" w:rsidRPr="00D921B6" w:rsidRDefault="008965B8" w:rsidP="008965B8">
      <w:pPr>
        <w:pStyle w:val="NORMAL12"/>
        <w:numPr>
          <w:ilvl w:val="0"/>
          <w:numId w:val="61"/>
        </w:numPr>
      </w:pPr>
      <w:r w:rsidRPr="00D921B6">
        <w:t>Colocación y recubrimiento de la chapa metálica de distribución sobre mortero de distribución de la banda TPE.</w:t>
      </w:r>
    </w:p>
    <w:p w14:paraId="0F10ADB2" w14:textId="77777777" w:rsidR="008965B8" w:rsidRPr="00D921B6" w:rsidRDefault="008965B8" w:rsidP="008965B8">
      <w:pPr>
        <w:pStyle w:val="NORMAL12"/>
        <w:numPr>
          <w:ilvl w:val="0"/>
          <w:numId w:val="61"/>
        </w:numPr>
      </w:pPr>
      <w:r w:rsidRPr="00D921B6">
        <w:t xml:space="preserve">Extendido de </w:t>
      </w:r>
      <w:proofErr w:type="spellStart"/>
      <w:r w:rsidRPr="00D921B6">
        <w:t>mástico</w:t>
      </w:r>
      <w:proofErr w:type="spellEnd"/>
      <w:r w:rsidRPr="00D921B6">
        <w:t xml:space="preserve"> bituminoso en capas de 4-5 cm.</w:t>
      </w:r>
    </w:p>
    <w:p w14:paraId="0DE43BB1" w14:textId="77777777" w:rsidR="008965B8" w:rsidRPr="00D921B6" w:rsidRDefault="008965B8" w:rsidP="008965B8">
      <w:pPr>
        <w:pStyle w:val="NORMAL12"/>
        <w:numPr>
          <w:ilvl w:val="0"/>
          <w:numId w:val="61"/>
        </w:numPr>
      </w:pPr>
      <w:r w:rsidRPr="00D921B6">
        <w:t xml:space="preserve">Compactación de la junta. </w:t>
      </w:r>
    </w:p>
    <w:p w14:paraId="07D2A75B" w14:textId="77777777" w:rsidR="008965B8" w:rsidRPr="00CF7652" w:rsidRDefault="008965B8" w:rsidP="000313DD">
      <w:pPr>
        <w:pStyle w:val="NORMAL12"/>
        <w:numPr>
          <w:ilvl w:val="0"/>
          <w:numId w:val="241"/>
        </w:numPr>
        <w:rPr>
          <w:i/>
          <w:u w:val="single"/>
        </w:rPr>
      </w:pPr>
      <w:r w:rsidRPr="00CF7652">
        <w:rPr>
          <w:i/>
          <w:u w:val="single"/>
        </w:rPr>
        <w:t xml:space="preserve">Ejecución de juntas de </w:t>
      </w:r>
      <w:proofErr w:type="spellStart"/>
      <w:r w:rsidRPr="00CF7652">
        <w:rPr>
          <w:i/>
          <w:u w:val="single"/>
        </w:rPr>
        <w:t>mástico</w:t>
      </w:r>
      <w:proofErr w:type="spellEnd"/>
      <w:r w:rsidRPr="00CF7652">
        <w:rPr>
          <w:i/>
          <w:u w:val="single"/>
        </w:rPr>
        <w:t xml:space="preserve"> bituminoso en calzada.</w:t>
      </w:r>
    </w:p>
    <w:p w14:paraId="376B0E6C" w14:textId="77777777" w:rsidR="008965B8" w:rsidRPr="00D921B6" w:rsidRDefault="008965B8" w:rsidP="008965B8">
      <w:pPr>
        <w:pStyle w:val="NORMAL12"/>
        <w:numPr>
          <w:ilvl w:val="0"/>
          <w:numId w:val="61"/>
        </w:numPr>
      </w:pPr>
      <w:r w:rsidRPr="00D921B6">
        <w:t>Saneo y limpieza de la zona mediante chorreado con arena.</w:t>
      </w:r>
    </w:p>
    <w:p w14:paraId="21152033" w14:textId="77777777" w:rsidR="008965B8" w:rsidRPr="00D921B6" w:rsidRDefault="008965B8" w:rsidP="008965B8">
      <w:pPr>
        <w:pStyle w:val="NORMAL12"/>
        <w:numPr>
          <w:ilvl w:val="0"/>
          <w:numId w:val="61"/>
        </w:numPr>
      </w:pPr>
      <w:r w:rsidRPr="00D921B6">
        <w:t>Regularización de la superficie con mortero.</w:t>
      </w:r>
    </w:p>
    <w:p w14:paraId="42810BA2" w14:textId="77777777" w:rsidR="008965B8" w:rsidRPr="00D921B6" w:rsidRDefault="008965B8" w:rsidP="008965B8">
      <w:pPr>
        <w:pStyle w:val="NORMAL12"/>
        <w:numPr>
          <w:ilvl w:val="0"/>
          <w:numId w:val="61"/>
        </w:numPr>
      </w:pPr>
      <w:r w:rsidRPr="00D921B6">
        <w:t>Colocación de la banda TPE y sellado con adhesivo.</w:t>
      </w:r>
    </w:p>
    <w:p w14:paraId="6BA82E26" w14:textId="77777777" w:rsidR="008965B8" w:rsidRPr="00D921B6" w:rsidRDefault="008965B8" w:rsidP="008965B8">
      <w:pPr>
        <w:pStyle w:val="NORMAL12"/>
        <w:numPr>
          <w:ilvl w:val="0"/>
          <w:numId w:val="61"/>
        </w:numPr>
      </w:pPr>
      <w:r w:rsidRPr="00D921B6">
        <w:t xml:space="preserve">Colocación del perfil </w:t>
      </w:r>
      <w:proofErr w:type="spellStart"/>
      <w:r w:rsidRPr="00D921B6">
        <w:t>elástomérico</w:t>
      </w:r>
      <w:proofErr w:type="spellEnd"/>
      <w:r w:rsidRPr="00D921B6">
        <w:t>.</w:t>
      </w:r>
    </w:p>
    <w:p w14:paraId="2DFF6204" w14:textId="77777777" w:rsidR="008965B8" w:rsidRPr="00D921B6" w:rsidRDefault="008965B8" w:rsidP="008965B8">
      <w:pPr>
        <w:pStyle w:val="NORMAL12"/>
        <w:numPr>
          <w:ilvl w:val="0"/>
          <w:numId w:val="61"/>
        </w:numPr>
      </w:pPr>
      <w:r w:rsidRPr="00D921B6">
        <w:t xml:space="preserve">Sellado con masilla de poliuretano. </w:t>
      </w:r>
    </w:p>
    <w:p w14:paraId="395FF0D2" w14:textId="77777777" w:rsidR="00DD2C71" w:rsidRPr="00D921B6" w:rsidRDefault="00DD2C71" w:rsidP="000313DD">
      <w:pPr>
        <w:pStyle w:val="TITU2"/>
      </w:pPr>
      <w:bookmarkStart w:id="961" w:name="_Toc404507"/>
      <w:r w:rsidRPr="00D921B6">
        <w:t>694b.3. Materiales</w:t>
      </w:r>
      <w:bookmarkEnd w:id="960"/>
      <w:bookmarkEnd w:id="961"/>
    </w:p>
    <w:p w14:paraId="30A67910" w14:textId="77777777" w:rsidR="00DD2C71" w:rsidRPr="008527EE" w:rsidRDefault="00DD2C71" w:rsidP="00DD2C71">
      <w:pPr>
        <w:pStyle w:val="NORMAL12"/>
      </w:pPr>
      <w:r w:rsidRPr="00D921B6">
        <w:t>El material utilizado en la unidad</w:t>
      </w:r>
      <w:r w:rsidRPr="008527EE">
        <w:t xml:space="preserve"> de obra objeto de este artículo consiste en una masilla asfáltica, de aplicación en caliente, a base de betunes modificados con elastómeros. A </w:t>
      </w:r>
      <w:proofErr w:type="gramStart"/>
      <w:r w:rsidRPr="008527EE">
        <w:t>continuación</w:t>
      </w:r>
      <w:proofErr w:type="gramEnd"/>
      <w:r w:rsidRPr="008527EE">
        <w:t xml:space="preserve"> se describen las características prestacionales del material: </w:t>
      </w:r>
    </w:p>
    <w:p w14:paraId="7D7F2D4E" w14:textId="77777777" w:rsidR="00DD2C71" w:rsidRPr="002005BA" w:rsidRDefault="00DD2C71" w:rsidP="00DD2C71">
      <w:pPr>
        <w:pStyle w:val="NORMAL12"/>
        <w:numPr>
          <w:ilvl w:val="0"/>
          <w:numId w:val="61"/>
        </w:numPr>
      </w:pPr>
      <w:r w:rsidRPr="002005BA">
        <w:t xml:space="preserve">Aspecto: Pastoso. </w:t>
      </w:r>
    </w:p>
    <w:p w14:paraId="12FA0904" w14:textId="77777777" w:rsidR="00DD2C71" w:rsidRPr="002005BA" w:rsidRDefault="00DD2C71" w:rsidP="00DD2C71">
      <w:pPr>
        <w:pStyle w:val="NORMAL12"/>
        <w:numPr>
          <w:ilvl w:val="0"/>
          <w:numId w:val="61"/>
        </w:numPr>
      </w:pPr>
      <w:r w:rsidRPr="002005BA">
        <w:lastRenderedPageBreak/>
        <w:t xml:space="preserve">Color: Negro. </w:t>
      </w:r>
    </w:p>
    <w:p w14:paraId="1D38A5B6" w14:textId="77777777" w:rsidR="00DD2C71" w:rsidRPr="002005BA" w:rsidRDefault="00DD2C71" w:rsidP="00DD2C71">
      <w:pPr>
        <w:pStyle w:val="NORMAL12"/>
        <w:numPr>
          <w:ilvl w:val="0"/>
          <w:numId w:val="61"/>
        </w:numPr>
      </w:pPr>
      <w:r w:rsidRPr="002005BA">
        <w:t xml:space="preserve">Olor: Débil. </w:t>
      </w:r>
    </w:p>
    <w:p w14:paraId="213A06FE" w14:textId="77777777" w:rsidR="00DD2C71" w:rsidRPr="002005BA" w:rsidRDefault="00DD2C71" w:rsidP="00DD2C71">
      <w:pPr>
        <w:pStyle w:val="NORMAL12"/>
        <w:numPr>
          <w:ilvl w:val="0"/>
          <w:numId w:val="61"/>
        </w:numPr>
      </w:pPr>
      <w:r w:rsidRPr="002005BA">
        <w:t xml:space="preserve">Punto de ebullición: 100º C (agua). </w:t>
      </w:r>
    </w:p>
    <w:p w14:paraId="4A2B09E0" w14:textId="77777777" w:rsidR="00DD2C71" w:rsidRPr="002005BA" w:rsidRDefault="00DD2C71" w:rsidP="00DD2C71">
      <w:pPr>
        <w:pStyle w:val="NORMAL12"/>
        <w:numPr>
          <w:ilvl w:val="0"/>
          <w:numId w:val="61"/>
        </w:numPr>
      </w:pPr>
      <w:r w:rsidRPr="002005BA">
        <w:t xml:space="preserve">Punto de inflamación: Superior a 250º C. </w:t>
      </w:r>
    </w:p>
    <w:p w14:paraId="7026BAC7" w14:textId="77777777" w:rsidR="00DD2C71" w:rsidRPr="002005BA" w:rsidRDefault="00DD2C71" w:rsidP="00DD2C71">
      <w:pPr>
        <w:pStyle w:val="NORMAL12"/>
        <w:numPr>
          <w:ilvl w:val="0"/>
          <w:numId w:val="61"/>
        </w:numPr>
      </w:pPr>
      <w:r w:rsidRPr="002005BA">
        <w:t xml:space="preserve">Solubilidad en agua: Insoluble. </w:t>
      </w:r>
    </w:p>
    <w:p w14:paraId="18D84D6C" w14:textId="77777777" w:rsidR="00DD2C71" w:rsidRPr="002005BA" w:rsidRDefault="00DD2C71" w:rsidP="00DD2C71">
      <w:pPr>
        <w:pStyle w:val="NORMAL12"/>
        <w:numPr>
          <w:ilvl w:val="0"/>
          <w:numId w:val="61"/>
        </w:numPr>
      </w:pPr>
      <w:r w:rsidRPr="002005BA">
        <w:t>Densidad: Aprox. 1.4 g/cm</w:t>
      </w:r>
      <w:r w:rsidRPr="00241CBC">
        <w:rPr>
          <w:vertAlign w:val="superscript"/>
        </w:rPr>
        <w:t>3</w:t>
      </w:r>
      <w:r w:rsidRPr="002005BA">
        <w:t xml:space="preserve">. </w:t>
      </w:r>
    </w:p>
    <w:p w14:paraId="3D1ED5B7" w14:textId="77777777" w:rsidR="00DD2C71" w:rsidRPr="002005BA" w:rsidRDefault="00DD2C71" w:rsidP="00DD2C71">
      <w:pPr>
        <w:pStyle w:val="NORMAL12"/>
        <w:numPr>
          <w:ilvl w:val="0"/>
          <w:numId w:val="61"/>
        </w:numPr>
      </w:pPr>
      <w:r w:rsidRPr="002005BA">
        <w:t xml:space="preserve">Estabilidad: Estable a temperatura ambiente. Evitar temperaturas superiores a 210 </w:t>
      </w:r>
      <w:proofErr w:type="spellStart"/>
      <w:r w:rsidRPr="002005BA">
        <w:t>ºC</w:t>
      </w:r>
      <w:proofErr w:type="spellEnd"/>
      <w:r w:rsidRPr="002005BA">
        <w:t xml:space="preserve">. </w:t>
      </w:r>
    </w:p>
    <w:p w14:paraId="62F9B122" w14:textId="77777777" w:rsidR="00DD2C71" w:rsidRPr="002005BA" w:rsidRDefault="00DD2C71" w:rsidP="00DD2C71">
      <w:pPr>
        <w:pStyle w:val="NORMAL12"/>
        <w:numPr>
          <w:ilvl w:val="0"/>
          <w:numId w:val="61"/>
        </w:numPr>
      </w:pPr>
      <w:r w:rsidRPr="002005BA">
        <w:t xml:space="preserve">Productos de descomposición peligrosos: Humos, vapores irritantes. </w:t>
      </w:r>
    </w:p>
    <w:p w14:paraId="200D5586" w14:textId="77777777" w:rsidR="00DD2C71" w:rsidRPr="002005BA" w:rsidRDefault="00DD2C71" w:rsidP="00DD2C71">
      <w:pPr>
        <w:pStyle w:val="NORMAL12"/>
        <w:numPr>
          <w:ilvl w:val="0"/>
          <w:numId w:val="61"/>
        </w:numPr>
      </w:pPr>
      <w:r w:rsidRPr="002005BA">
        <w:t>Capacidad estructural y cinemática, para soportar los esfuerzos y absorber sin fisurarse los movimientos horizontales de ±25mm y verticales de ±3mm, en respuesta a cargas de tráfico pesado y las acciones especificadas en las Instrucciones de Puentes.</w:t>
      </w:r>
    </w:p>
    <w:p w14:paraId="3A96A5EF" w14:textId="77777777" w:rsidR="00DD2C71" w:rsidRPr="002005BA" w:rsidRDefault="00DD2C71" w:rsidP="00DD2C71">
      <w:pPr>
        <w:pStyle w:val="NORMAL12"/>
        <w:numPr>
          <w:ilvl w:val="0"/>
          <w:numId w:val="61"/>
        </w:numPr>
      </w:pPr>
      <w:r w:rsidRPr="002005BA">
        <w:t xml:space="preserve">Adaptables a esviajes ≤45º. </w:t>
      </w:r>
    </w:p>
    <w:p w14:paraId="40689AC4" w14:textId="77777777" w:rsidR="00DD2C71" w:rsidRPr="002005BA" w:rsidRDefault="00DD2C71" w:rsidP="00DD2C71">
      <w:pPr>
        <w:pStyle w:val="NORMAL12"/>
        <w:numPr>
          <w:ilvl w:val="0"/>
          <w:numId w:val="61"/>
        </w:numPr>
      </w:pPr>
      <w:r w:rsidRPr="002005BA">
        <w:t>Se valora que, en condiciones normales de servicio, las partes que forman la junta no sean alteradas por la corrosión, el envejecimiento, la luz o las sales de deshielo, garantizando una vida útil de 5 años.</w:t>
      </w:r>
    </w:p>
    <w:p w14:paraId="08061BFC" w14:textId="77777777" w:rsidR="00DD2C71" w:rsidRPr="002005BA" w:rsidRDefault="00DD2C71" w:rsidP="00DD2C71">
      <w:pPr>
        <w:pStyle w:val="NORMAL12"/>
        <w:numPr>
          <w:ilvl w:val="0"/>
          <w:numId w:val="61"/>
        </w:numPr>
      </w:pPr>
      <w:r w:rsidRPr="002005BA">
        <w:t>Notable elongación elástica, alto coeficiente de dilatación y de ductilidad mecánica.</w:t>
      </w:r>
    </w:p>
    <w:p w14:paraId="6D6C50A9" w14:textId="77777777" w:rsidR="00DD2C71" w:rsidRPr="002005BA" w:rsidRDefault="00DD2C71" w:rsidP="00DD2C71">
      <w:pPr>
        <w:pStyle w:val="NORMAL12"/>
        <w:numPr>
          <w:ilvl w:val="0"/>
          <w:numId w:val="61"/>
        </w:numPr>
      </w:pPr>
      <w:r w:rsidRPr="002005BA">
        <w:t xml:space="preserve">Resistencia suficiente para evitar roturas locales con grandes huecos o levantamientos parciales. </w:t>
      </w:r>
    </w:p>
    <w:p w14:paraId="6F5F537C" w14:textId="77777777" w:rsidR="00DD2C71" w:rsidRPr="002005BA" w:rsidRDefault="00DD2C71" w:rsidP="00DD2C71">
      <w:pPr>
        <w:pStyle w:val="NORMAL12"/>
        <w:numPr>
          <w:ilvl w:val="0"/>
          <w:numId w:val="61"/>
        </w:numPr>
      </w:pPr>
      <w:r w:rsidRPr="002005BA">
        <w:t>Resistencia a la fatiga, el desgaste y al envejecimiento</w:t>
      </w:r>
    </w:p>
    <w:p w14:paraId="3712B20F" w14:textId="77777777" w:rsidR="00DD2C71" w:rsidRPr="002005BA" w:rsidRDefault="00DD2C71" w:rsidP="00DD2C71">
      <w:pPr>
        <w:pStyle w:val="NORMAL12"/>
        <w:numPr>
          <w:ilvl w:val="0"/>
          <w:numId w:val="61"/>
        </w:numPr>
      </w:pPr>
      <w:r w:rsidRPr="002005BA">
        <w:t xml:space="preserve">Calidad y continuidad de la rodadura en la superficie del tablero, sin necesidad de tratamientos antideslizantes adicionales. </w:t>
      </w:r>
    </w:p>
    <w:p w14:paraId="6345C695" w14:textId="77777777" w:rsidR="00DD2C71" w:rsidRPr="002005BA" w:rsidRDefault="00DD2C71" w:rsidP="00DD2C71">
      <w:pPr>
        <w:pStyle w:val="NORMAL12"/>
        <w:numPr>
          <w:ilvl w:val="0"/>
          <w:numId w:val="61"/>
        </w:numPr>
      </w:pPr>
      <w:r w:rsidRPr="002005BA">
        <w:t xml:space="preserve">Estanqueidad total en toda la anchura de la junta incluidas aceras, barreras y el encuentro con el tablero, permitiendo garantizar un alto grado de impermeabilidad. </w:t>
      </w:r>
    </w:p>
    <w:p w14:paraId="06E039DE" w14:textId="77777777" w:rsidR="00DD2C71" w:rsidRPr="002005BA" w:rsidRDefault="00DD2C71" w:rsidP="00DD2C71">
      <w:pPr>
        <w:pStyle w:val="NORMAL12"/>
        <w:numPr>
          <w:ilvl w:val="0"/>
          <w:numId w:val="61"/>
        </w:numPr>
      </w:pPr>
      <w:r w:rsidRPr="002005BA">
        <w:t xml:space="preserve">Elementos no metálicos deben resistir los ataques atmosféricos y productos químicos habituales en la calzada. </w:t>
      </w:r>
    </w:p>
    <w:p w14:paraId="6318B72A" w14:textId="77777777" w:rsidR="00DD2C71" w:rsidRPr="002005BA" w:rsidRDefault="00DD2C71" w:rsidP="00DD2C71">
      <w:pPr>
        <w:pStyle w:val="NORMAL12"/>
        <w:numPr>
          <w:ilvl w:val="0"/>
          <w:numId w:val="61"/>
        </w:numPr>
      </w:pPr>
      <w:r w:rsidRPr="002005BA">
        <w:t xml:space="preserve">Elementos metálicos insensibles a la oxidación o con la protección adecuada para evitarla (galvanización en caliente o en frío, imprimación con resinas epoxi apropiadas, disposición de láminas de material </w:t>
      </w:r>
      <w:proofErr w:type="spellStart"/>
      <w:r w:rsidRPr="002005BA">
        <w:t>elastomérico</w:t>
      </w:r>
      <w:proofErr w:type="spellEnd"/>
      <w:r w:rsidRPr="002005BA">
        <w:t>…).</w:t>
      </w:r>
    </w:p>
    <w:p w14:paraId="4637A4F8" w14:textId="77777777" w:rsidR="00DD2C71" w:rsidRPr="002005BA" w:rsidRDefault="00DD2C71" w:rsidP="00DD2C71">
      <w:pPr>
        <w:pStyle w:val="NORMAL12"/>
        <w:numPr>
          <w:ilvl w:val="0"/>
          <w:numId w:val="61"/>
        </w:numPr>
      </w:pPr>
      <w:r w:rsidRPr="002005BA">
        <w:t>Facilidad de inspección y mantenimiento.</w:t>
      </w:r>
    </w:p>
    <w:p w14:paraId="5FC08859" w14:textId="77777777" w:rsidR="00DD2C71" w:rsidRPr="002005BA" w:rsidRDefault="00DD2C71" w:rsidP="00DD2C71">
      <w:pPr>
        <w:pStyle w:val="NORMAL12"/>
        <w:numPr>
          <w:ilvl w:val="0"/>
          <w:numId w:val="61"/>
        </w:numPr>
      </w:pPr>
      <w:r w:rsidRPr="002005BA">
        <w:t xml:space="preserve">Anchura de la junta comprendida entre 350 y 550 </w:t>
      </w:r>
      <w:proofErr w:type="spellStart"/>
      <w:r w:rsidRPr="002005BA">
        <w:t>mm.</w:t>
      </w:r>
      <w:proofErr w:type="spellEnd"/>
    </w:p>
    <w:p w14:paraId="783B9865" w14:textId="77777777" w:rsidR="00DD2C71" w:rsidRPr="002005BA" w:rsidRDefault="00DD2C71" w:rsidP="00DD2C71">
      <w:pPr>
        <w:pStyle w:val="NORMAL12"/>
        <w:numPr>
          <w:ilvl w:val="0"/>
          <w:numId w:val="61"/>
        </w:numPr>
      </w:pPr>
      <w:r w:rsidRPr="002005BA">
        <w:t>El espesor, entre 6 y 10 cm, debe ser aproximadamente igual al 1/5 del ancho del cajeado.</w:t>
      </w:r>
    </w:p>
    <w:p w14:paraId="21524145" w14:textId="77777777" w:rsidR="00DD2C71" w:rsidRPr="008527EE" w:rsidRDefault="00DD2C71" w:rsidP="00DD2C71">
      <w:pPr>
        <w:pStyle w:val="NORMAL12"/>
      </w:pPr>
      <w:r w:rsidRPr="008527EE">
        <w:t>En esta unidad también se incluye el</w:t>
      </w:r>
      <w:r>
        <w:t xml:space="preserve"> uso de una banda elástica TPE</w:t>
      </w:r>
      <w:r w:rsidRPr="008527EE">
        <w:t xml:space="preserve">. Estas son las siglas de Poliolefinas </w:t>
      </w:r>
      <w:proofErr w:type="spellStart"/>
      <w:r w:rsidRPr="008527EE">
        <w:t>Elastoméricas</w:t>
      </w:r>
      <w:proofErr w:type="spellEnd"/>
      <w:r w:rsidRPr="008527EE">
        <w:t xml:space="preserve"> Termoplásticas, que es la denominación de un grupo específico de poliolefinas que combinan las propiedades de la tecnología de los polímeros termoplásticos y los sintéticos. </w:t>
      </w:r>
    </w:p>
    <w:p w14:paraId="6B9EC12A" w14:textId="77777777" w:rsidR="00DD2C71" w:rsidRPr="008527EE" w:rsidRDefault="00DD2C71" w:rsidP="00DD2C71">
      <w:pPr>
        <w:pStyle w:val="NORMAL12"/>
      </w:pPr>
      <w:r w:rsidRPr="008527EE">
        <w:t>Entre dichas propiedades se encuentra la capacidad de ser “soldado en frío”</w:t>
      </w:r>
      <w:r>
        <w:t xml:space="preserve"> mediante adhesivos de contacto</w:t>
      </w:r>
      <w:r w:rsidRPr="008527EE">
        <w:t xml:space="preserve"> que permiten la realización de solapes de forma ágil entre bandas o en las uniones con piezas especiales.</w:t>
      </w:r>
    </w:p>
    <w:p w14:paraId="446564F0" w14:textId="77777777" w:rsidR="00DD2C71" w:rsidRPr="008527EE" w:rsidRDefault="00DD2C71" w:rsidP="00DD2C71">
      <w:pPr>
        <w:pStyle w:val="NORMAL12"/>
      </w:pPr>
      <w:r w:rsidRPr="008527EE">
        <w:t>Además, proporciona las siguientes capacidades:</w:t>
      </w:r>
    </w:p>
    <w:p w14:paraId="00DE2E9F" w14:textId="77777777" w:rsidR="00DD2C71" w:rsidRPr="008527EE" w:rsidRDefault="00DD2C71" w:rsidP="00DD2C71">
      <w:pPr>
        <w:pStyle w:val="NORMAL12"/>
        <w:numPr>
          <w:ilvl w:val="0"/>
          <w:numId w:val="61"/>
        </w:numPr>
      </w:pPr>
      <w:r w:rsidRPr="008527EE">
        <w:t>Permanece flexible en todo momento aún a bajas temperaturas.</w:t>
      </w:r>
    </w:p>
    <w:p w14:paraId="66AF3EA9" w14:textId="77777777" w:rsidR="00DD2C71" w:rsidRPr="008527EE" w:rsidRDefault="00DD2C71" w:rsidP="00DD2C71">
      <w:pPr>
        <w:pStyle w:val="NORMAL12"/>
        <w:numPr>
          <w:ilvl w:val="0"/>
          <w:numId w:val="61"/>
        </w:numPr>
      </w:pPr>
      <w:r w:rsidRPr="008527EE">
        <w:t>Proporciona una gran durabilidad bajo exposición a rayos UV.</w:t>
      </w:r>
    </w:p>
    <w:p w14:paraId="6C03BC60" w14:textId="77777777" w:rsidR="00DD2C71" w:rsidRPr="008527EE" w:rsidRDefault="00DD2C71" w:rsidP="00DD2C71">
      <w:pPr>
        <w:pStyle w:val="NORMAL12"/>
        <w:numPr>
          <w:ilvl w:val="0"/>
          <w:numId w:val="61"/>
        </w:numPr>
      </w:pPr>
      <w:r w:rsidRPr="008527EE">
        <w:t>Excelente resistencia a los álcalis, al alquitrán, a la lavandina diluida y a las soluciones medianamente ácidas y salinas.</w:t>
      </w:r>
    </w:p>
    <w:p w14:paraId="665E9227" w14:textId="77777777" w:rsidR="00DD2C71" w:rsidRPr="008527EE" w:rsidRDefault="00DD2C71" w:rsidP="00DD2C71">
      <w:pPr>
        <w:pStyle w:val="NORMAL12"/>
        <w:numPr>
          <w:ilvl w:val="0"/>
          <w:numId w:val="61"/>
        </w:numPr>
      </w:pPr>
      <w:r w:rsidRPr="008527EE">
        <w:t>Es excelente ya que asegura la impermeabilización sobre juntas y grietas que puedan mostrar movimiento de hasta 5,5 mm (7/32").</w:t>
      </w:r>
    </w:p>
    <w:p w14:paraId="5519D5EE" w14:textId="77777777" w:rsidR="00DD2C71" w:rsidRPr="008527EE" w:rsidRDefault="00DD2C71" w:rsidP="00DD2C71">
      <w:pPr>
        <w:pStyle w:val="NORMAL12"/>
        <w:numPr>
          <w:ilvl w:val="0"/>
          <w:numId w:val="61"/>
        </w:numPr>
      </w:pPr>
      <w:r w:rsidRPr="008527EE">
        <w:t>De fácil instalación y compatible con sistemas de membranas impermeabilizantes a base de epoxi.</w:t>
      </w:r>
    </w:p>
    <w:p w14:paraId="5B30FDA6" w14:textId="77777777" w:rsidR="000A4E04" w:rsidRDefault="000A4E04" w:rsidP="00DD2C71">
      <w:pPr>
        <w:pStyle w:val="NORMAL12"/>
      </w:pPr>
    </w:p>
    <w:p w14:paraId="017FC29E" w14:textId="77777777" w:rsidR="000A4E04" w:rsidRDefault="000A4E04" w:rsidP="00DD2C71">
      <w:pPr>
        <w:pStyle w:val="NORMAL12"/>
      </w:pPr>
    </w:p>
    <w:p w14:paraId="1D59DDCC" w14:textId="77777777" w:rsidR="000A4E04" w:rsidRDefault="000A4E04" w:rsidP="00DD2C71">
      <w:pPr>
        <w:pStyle w:val="NORMAL12"/>
      </w:pPr>
    </w:p>
    <w:p w14:paraId="1B9EB002" w14:textId="77777777" w:rsidR="000A4E04" w:rsidRDefault="000A4E04" w:rsidP="00DD2C71">
      <w:pPr>
        <w:pStyle w:val="NORMAL12"/>
      </w:pPr>
    </w:p>
    <w:p w14:paraId="31D2F3FD" w14:textId="77777777" w:rsidR="000A4E04" w:rsidRDefault="000A4E04" w:rsidP="00DD2C71">
      <w:pPr>
        <w:pStyle w:val="NORMAL12"/>
      </w:pPr>
    </w:p>
    <w:p w14:paraId="04E6F609" w14:textId="77777777" w:rsidR="00DD2C71" w:rsidRDefault="00DD2C71" w:rsidP="00DD2C71">
      <w:pPr>
        <w:pStyle w:val="NORMAL12"/>
      </w:pPr>
      <w:r w:rsidRPr="008527EE">
        <w:lastRenderedPageBreak/>
        <w:t>Propiedades de rendimiento del producto:</w:t>
      </w:r>
    </w:p>
    <w:p w14:paraId="2B796D2F" w14:textId="77777777" w:rsidR="00DD2C71" w:rsidRPr="007D3B76" w:rsidRDefault="00DD2C71" w:rsidP="00DD2C71">
      <w:pPr>
        <w:pStyle w:val="NORMAL12"/>
        <w:jc w:val="center"/>
      </w:pPr>
      <w:r w:rsidRPr="007D3B76">
        <w:rPr>
          <w:noProof/>
          <w:lang w:val="es-ES" w:eastAsia="es-ES"/>
        </w:rPr>
        <w:drawing>
          <wp:inline distT="0" distB="0" distL="0" distR="0" wp14:anchorId="097C5DA4" wp14:editId="0321183A">
            <wp:extent cx="5309408" cy="3316778"/>
            <wp:effectExtent l="19050" t="0" r="5542" b="0"/>
            <wp:docPr id="39"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cstate="print"/>
                    <a:srcRect/>
                    <a:stretch>
                      <a:fillRect/>
                    </a:stretch>
                  </pic:blipFill>
                  <pic:spPr bwMode="auto">
                    <a:xfrm>
                      <a:off x="0" y="0"/>
                      <a:ext cx="5310445" cy="3317426"/>
                    </a:xfrm>
                    <a:prstGeom prst="rect">
                      <a:avLst/>
                    </a:prstGeom>
                    <a:noFill/>
                    <a:ln w="9525">
                      <a:noFill/>
                      <a:miter lim="800000"/>
                      <a:headEnd/>
                      <a:tailEnd/>
                    </a:ln>
                  </pic:spPr>
                </pic:pic>
              </a:graphicData>
            </a:graphic>
          </wp:inline>
        </w:drawing>
      </w:r>
    </w:p>
    <w:p w14:paraId="6C5E5EDA" w14:textId="77777777" w:rsidR="00DD2C71" w:rsidRPr="00D921B6" w:rsidRDefault="00DD2C71" w:rsidP="000313DD">
      <w:pPr>
        <w:pStyle w:val="TITU2"/>
      </w:pPr>
      <w:bookmarkStart w:id="962" w:name="_Toc448916172"/>
      <w:bookmarkStart w:id="963" w:name="_Toc404508"/>
      <w:r w:rsidRPr="008527EE">
        <w:t>694b.5.</w:t>
      </w:r>
      <w:r>
        <w:t xml:space="preserve"> </w:t>
      </w:r>
      <w:r w:rsidRPr="00D921B6">
        <w:t>Ejecución</w:t>
      </w:r>
      <w:bookmarkEnd w:id="962"/>
      <w:r w:rsidRPr="00D921B6">
        <w:t xml:space="preserve"> de las obras</w:t>
      </w:r>
      <w:bookmarkEnd w:id="963"/>
    </w:p>
    <w:p w14:paraId="7B69D148" w14:textId="77777777" w:rsidR="002F141E" w:rsidRPr="00CF7652" w:rsidRDefault="002F141E" w:rsidP="000313DD">
      <w:pPr>
        <w:pStyle w:val="NORMAL12"/>
        <w:numPr>
          <w:ilvl w:val="0"/>
          <w:numId w:val="242"/>
        </w:numPr>
        <w:rPr>
          <w:i/>
          <w:u w:val="single"/>
        </w:rPr>
      </w:pPr>
      <w:r w:rsidRPr="00CF7652">
        <w:rPr>
          <w:i/>
          <w:u w:val="single"/>
        </w:rPr>
        <w:t>Junta de calzada.</w:t>
      </w:r>
    </w:p>
    <w:p w14:paraId="258EB7F6" w14:textId="77777777" w:rsidR="002F141E" w:rsidRPr="00D921B6" w:rsidRDefault="002F141E" w:rsidP="002F141E">
      <w:pPr>
        <w:pStyle w:val="NORMAL12"/>
      </w:pPr>
      <w:r w:rsidRPr="00D921B6">
        <w:t>El método de trabajo para la retirada y sustitución de las juntas de calzas incluirá las siguientes operaciones:</w:t>
      </w:r>
    </w:p>
    <w:p w14:paraId="6F341522" w14:textId="77777777" w:rsidR="002F141E" w:rsidRPr="00D921B6" w:rsidRDefault="002F141E" w:rsidP="00221E1A">
      <w:pPr>
        <w:pStyle w:val="NORMAL12"/>
        <w:numPr>
          <w:ilvl w:val="0"/>
          <w:numId w:val="170"/>
        </w:numPr>
      </w:pPr>
      <w:r w:rsidRPr="00D921B6">
        <w:t>Señalización de las obras, ocupación de los carriles.</w:t>
      </w:r>
    </w:p>
    <w:p w14:paraId="3C1B9F1B" w14:textId="77777777" w:rsidR="002F141E" w:rsidRPr="00D921B6" w:rsidRDefault="002F141E" w:rsidP="00221E1A">
      <w:pPr>
        <w:pStyle w:val="NORMAL12"/>
        <w:numPr>
          <w:ilvl w:val="0"/>
          <w:numId w:val="170"/>
        </w:numPr>
      </w:pPr>
      <w:r w:rsidRPr="00D921B6">
        <w:t>Estudio del rango de movimientos admisibles: Verificación de la idoneidad de la tipología de la junta.</w:t>
      </w:r>
    </w:p>
    <w:p w14:paraId="0AB39C10" w14:textId="77777777" w:rsidR="002F141E" w:rsidRPr="00D921B6" w:rsidRDefault="002F141E" w:rsidP="00221E1A">
      <w:pPr>
        <w:pStyle w:val="NORMAL12"/>
        <w:numPr>
          <w:ilvl w:val="0"/>
          <w:numId w:val="170"/>
        </w:numPr>
      </w:pPr>
      <w:r w:rsidRPr="00D921B6">
        <w:t xml:space="preserve">Fresado del aglomerado en la zona de junta, </w:t>
      </w:r>
      <w:proofErr w:type="spellStart"/>
      <w:r w:rsidRPr="00D921B6">
        <w:t>aburjardado</w:t>
      </w:r>
      <w:proofErr w:type="spellEnd"/>
      <w:r w:rsidRPr="00D921B6">
        <w:t xml:space="preserve"> de la losa.</w:t>
      </w:r>
    </w:p>
    <w:p w14:paraId="2776CFB5" w14:textId="77777777" w:rsidR="002F141E" w:rsidRPr="00D921B6" w:rsidRDefault="002F141E" w:rsidP="00221E1A">
      <w:pPr>
        <w:pStyle w:val="NORMAL12"/>
        <w:numPr>
          <w:ilvl w:val="0"/>
          <w:numId w:val="170"/>
        </w:numPr>
      </w:pPr>
      <w:r w:rsidRPr="00D921B6">
        <w:t>Eliminación de la junta deteriorada.</w:t>
      </w:r>
    </w:p>
    <w:p w14:paraId="140B0795" w14:textId="77777777" w:rsidR="002F141E" w:rsidRPr="00D921B6" w:rsidRDefault="002F141E" w:rsidP="002F141E">
      <w:pPr>
        <w:pStyle w:val="NORMAL12"/>
      </w:pPr>
      <w:r w:rsidRPr="00D921B6">
        <w:t xml:space="preserve">En esta etapa se procede a la extracción de la junta existente y del aglomerado necesario para llegar a una anchura de 35 a 55c m centrados sobre la junta. Esta operación se realiza en tramos sucesivos de forma que se permita el tráfico durante las obras. </w:t>
      </w:r>
    </w:p>
    <w:p w14:paraId="062E94C8" w14:textId="77777777" w:rsidR="002F141E" w:rsidRPr="00D921B6" w:rsidRDefault="002F141E" w:rsidP="002F141E">
      <w:pPr>
        <w:pStyle w:val="NORMAL12"/>
      </w:pPr>
      <w:r w:rsidRPr="00D921B6">
        <w:t xml:space="preserve">La profundidad del cajeado será igual al espesor del pavimento y no menor de 6-7 cm. Una vez realizado el cajetín, se limpia el tablero y se regulariza su superficie si es necesario. </w:t>
      </w:r>
    </w:p>
    <w:p w14:paraId="440E723B" w14:textId="77777777" w:rsidR="002F141E" w:rsidRPr="00D921B6" w:rsidRDefault="002F141E" w:rsidP="002F141E">
      <w:pPr>
        <w:pStyle w:val="NORMAL12"/>
      </w:pPr>
      <w:r w:rsidRPr="00D921B6">
        <w:t xml:space="preserve">Si la junta preexistente fuera también de betún modificado, esta etapa consistiría en el corte y picado de la junta original. Se procederá a cortar con máquina de disco de diamante, a la profundidad adecuada, y a continuación se retiraría el aglomerado entre cortes y se procedería a preparar adecuadamente la superficie de fondo de la caja, mediante repicado mecánico. </w:t>
      </w:r>
    </w:p>
    <w:p w14:paraId="79411666" w14:textId="77777777" w:rsidR="002F141E" w:rsidRPr="00D921B6" w:rsidRDefault="002F141E" w:rsidP="00221E1A">
      <w:pPr>
        <w:pStyle w:val="NORMAL12"/>
        <w:numPr>
          <w:ilvl w:val="0"/>
          <w:numId w:val="170"/>
        </w:numPr>
      </w:pPr>
      <w:r w:rsidRPr="00D921B6">
        <w:t xml:space="preserve">Limpieza de la zona de trabajos, con aire a presión, utilizando picos, palas, etc. </w:t>
      </w:r>
    </w:p>
    <w:p w14:paraId="51054682" w14:textId="77777777" w:rsidR="002F141E" w:rsidRPr="00D921B6" w:rsidRDefault="002F141E" w:rsidP="00221E1A">
      <w:pPr>
        <w:pStyle w:val="NORMAL12"/>
        <w:numPr>
          <w:ilvl w:val="0"/>
          <w:numId w:val="170"/>
        </w:numPr>
      </w:pPr>
      <w:r w:rsidRPr="00D921B6">
        <w:t xml:space="preserve">Montaje de la nueva junta de dilatación. </w:t>
      </w:r>
    </w:p>
    <w:p w14:paraId="526EC204" w14:textId="77777777" w:rsidR="002F141E" w:rsidRPr="00D921B6" w:rsidRDefault="002F141E" w:rsidP="002F141E">
      <w:pPr>
        <w:pStyle w:val="NORMAL12"/>
      </w:pPr>
      <w:r w:rsidRPr="00D921B6">
        <w:t>No debe utilizarse con temperaturas inferiores a 8°C, ni con pavimento húmedo.</w:t>
      </w:r>
    </w:p>
    <w:p w14:paraId="7E15F6A8" w14:textId="77777777" w:rsidR="002F141E" w:rsidRPr="00D921B6" w:rsidRDefault="002F141E" w:rsidP="002F141E">
      <w:pPr>
        <w:pStyle w:val="NORMAL12"/>
      </w:pPr>
      <w:r w:rsidRPr="00D921B6">
        <w:rPr>
          <w:i/>
        </w:rPr>
        <w:t>Preparación del cajeado.</w:t>
      </w:r>
      <w:r w:rsidRPr="00D921B6">
        <w:t xml:space="preserve"> Con mortero especial de alta resistencia y previo tratamiento de la superficie del fondo de la caja con resinas de unión, se colocará una capa de recrecido o nivelación hasta alcanzar la cota adecuada. </w:t>
      </w:r>
    </w:p>
    <w:p w14:paraId="2BA477C1" w14:textId="77777777" w:rsidR="002F141E" w:rsidRPr="00D921B6" w:rsidRDefault="002F141E" w:rsidP="002F141E">
      <w:pPr>
        <w:pStyle w:val="NORMAL12"/>
      </w:pPr>
      <w:r w:rsidRPr="00D921B6">
        <w:t>Cuando el cajetín se realiza por serrado del pavimento debe asegurarse que su geometría es la correcta para recibir la junta proyectada.</w:t>
      </w:r>
    </w:p>
    <w:p w14:paraId="5F92F02B" w14:textId="77777777" w:rsidR="002F141E" w:rsidRPr="00D921B6" w:rsidRDefault="002F141E" w:rsidP="002F141E">
      <w:pPr>
        <w:pStyle w:val="NORMAL12"/>
      </w:pPr>
      <w:r w:rsidRPr="00D921B6">
        <w:t>Terminar el cajetín con una limpieza absoluta, sin restos de imprimación asfáltica, lechada, manchas o material suelto.</w:t>
      </w:r>
    </w:p>
    <w:p w14:paraId="23147F49" w14:textId="77777777" w:rsidR="002F141E" w:rsidRPr="00D921B6" w:rsidRDefault="002F141E" w:rsidP="002F141E">
      <w:pPr>
        <w:pStyle w:val="NORMAL12"/>
      </w:pPr>
      <w:r w:rsidRPr="00D921B6">
        <w:rPr>
          <w:i/>
        </w:rPr>
        <w:t>Instalación en la abertura de la junta un cordón de caucho compresible y colocación de una chapa de acero galvanizado anclada en un lado, centrada sobre la junta</w:t>
      </w:r>
      <w:r w:rsidRPr="00D921B6">
        <w:t xml:space="preserve">. Es posible que antes de esta tarea deba realizarse una preparación de bordes para que el cordón quede correctamente alojado. </w:t>
      </w:r>
    </w:p>
    <w:p w14:paraId="6463C8F1" w14:textId="77777777" w:rsidR="002F141E" w:rsidRPr="00D921B6" w:rsidRDefault="002F141E" w:rsidP="002F141E">
      <w:pPr>
        <w:pStyle w:val="NORMAL12"/>
      </w:pPr>
      <w:r w:rsidRPr="00D921B6">
        <w:t xml:space="preserve">Si no se coloca el cordón anterior, se puede preparar la junta mediante una lanza térmica que proyecta un chorro de aire caliente sobre la fisura y sus labios, el cuál producirá, un calentamiento de la superficie interna de los mismos a una temperatura entre 80° y 100°C favoreciendo sin aplicar llama directa, la perfecta unión con el producto de sellado. </w:t>
      </w:r>
    </w:p>
    <w:p w14:paraId="6320B2F2" w14:textId="77777777" w:rsidR="002F141E" w:rsidRPr="00D921B6" w:rsidRDefault="002F141E" w:rsidP="002F141E">
      <w:pPr>
        <w:pStyle w:val="NORMAL12"/>
      </w:pPr>
      <w:r w:rsidRPr="00D921B6">
        <w:t>Asimismo, para el correcto drenaje de la junta, como se explica con mayor detalle más abajo, se colocará por debajo de la chapa metálica una banda elástica de sellado e impermeabilización, a modo de babero, para evacuar adecuadamente el agua que se pudiese filtrar hasta ella.</w:t>
      </w:r>
    </w:p>
    <w:p w14:paraId="787DCF3E" w14:textId="77777777" w:rsidR="002F141E" w:rsidRPr="00D921B6" w:rsidRDefault="002F141E" w:rsidP="002F141E">
      <w:pPr>
        <w:pStyle w:val="NORMAL12"/>
      </w:pPr>
      <w:r w:rsidRPr="00D921B6">
        <w:rPr>
          <w:i/>
        </w:rPr>
        <w:t>Relleno con el ligante y el árido por tongadas</w:t>
      </w:r>
      <w:r w:rsidRPr="00D921B6">
        <w:t xml:space="preserve">, seguir vertiendo hasta rellenar todos los huecos existentes. La temperatura del ligante deberá ser de 165° aproximadamente. Los áridos deben estar precalentados para no enfriar la mezcla en la puesta en obra. Una vez que está rellena la caja y se ha enfriado hasta la temperatura adecuada, se compactará. </w:t>
      </w:r>
    </w:p>
    <w:p w14:paraId="0D847BDB" w14:textId="77777777" w:rsidR="002F141E" w:rsidRPr="00D921B6" w:rsidRDefault="002F141E" w:rsidP="002F141E">
      <w:pPr>
        <w:pStyle w:val="NORMAL12"/>
      </w:pPr>
      <w:r w:rsidRPr="00D921B6">
        <w:rPr>
          <w:i/>
        </w:rPr>
        <w:lastRenderedPageBreak/>
        <w:t>Sellado superficial y extensión de una fina capa de árido silíceo de 3mm</w:t>
      </w:r>
      <w:r w:rsidRPr="00D921B6">
        <w:t xml:space="preserve"> de tamaño máximo.</w:t>
      </w:r>
    </w:p>
    <w:p w14:paraId="2E903DA0" w14:textId="77777777" w:rsidR="002F141E" w:rsidRPr="00D921B6" w:rsidRDefault="002F141E" w:rsidP="00221E1A">
      <w:pPr>
        <w:pStyle w:val="NORMAL12"/>
        <w:numPr>
          <w:ilvl w:val="0"/>
          <w:numId w:val="170"/>
        </w:numPr>
      </w:pPr>
      <w:r w:rsidRPr="00D921B6">
        <w:t xml:space="preserve">Repavimentación, incluyendo la zona de la junta. </w:t>
      </w:r>
    </w:p>
    <w:p w14:paraId="6E98FE63" w14:textId="77777777" w:rsidR="002F141E" w:rsidRPr="00CF7652" w:rsidRDefault="002F141E" w:rsidP="000313DD">
      <w:pPr>
        <w:pStyle w:val="NORMAL12"/>
        <w:numPr>
          <w:ilvl w:val="0"/>
          <w:numId w:val="242"/>
        </w:numPr>
        <w:rPr>
          <w:i/>
          <w:u w:val="single"/>
        </w:rPr>
      </w:pPr>
      <w:r w:rsidRPr="00CF7652">
        <w:rPr>
          <w:i/>
          <w:u w:val="single"/>
        </w:rPr>
        <w:t>Junta de acera.</w:t>
      </w:r>
    </w:p>
    <w:p w14:paraId="7E63FEF1" w14:textId="77777777" w:rsidR="002F141E" w:rsidRPr="00D921B6" w:rsidRDefault="002F141E" w:rsidP="002F141E">
      <w:pPr>
        <w:pStyle w:val="NORMAL12"/>
      </w:pPr>
      <w:r w:rsidRPr="00D921B6">
        <w:t>El método de trabajo de sustitución de las juntas de acera incluirá las siguientes operaciones:</w:t>
      </w:r>
    </w:p>
    <w:p w14:paraId="5D3861CE" w14:textId="77777777" w:rsidR="002F141E" w:rsidRPr="00D921B6" w:rsidRDefault="002F141E" w:rsidP="00221E1A">
      <w:pPr>
        <w:pStyle w:val="NORMAL12"/>
        <w:numPr>
          <w:ilvl w:val="0"/>
          <w:numId w:val="170"/>
        </w:numPr>
      </w:pPr>
      <w:r w:rsidRPr="00D921B6">
        <w:t>Señalización de las obras.</w:t>
      </w:r>
    </w:p>
    <w:p w14:paraId="570CF839" w14:textId="77777777" w:rsidR="002F141E" w:rsidRPr="00D921B6" w:rsidRDefault="002F141E" w:rsidP="00221E1A">
      <w:pPr>
        <w:pStyle w:val="NORMAL12"/>
        <w:numPr>
          <w:ilvl w:val="0"/>
          <w:numId w:val="170"/>
        </w:numPr>
      </w:pPr>
      <w:r w:rsidRPr="00D921B6">
        <w:t xml:space="preserve">Estudio del rango de movimientos admisibles: Verificación de la </w:t>
      </w:r>
      <w:r w:rsidR="00217216" w:rsidRPr="00D921B6">
        <w:t>idoneidad</w:t>
      </w:r>
      <w:r w:rsidRPr="00D921B6">
        <w:t xml:space="preserve"> de la tipología de junta.</w:t>
      </w:r>
    </w:p>
    <w:p w14:paraId="279B7B20" w14:textId="77777777" w:rsidR="002F141E" w:rsidRPr="00D921B6" w:rsidRDefault="002F141E" w:rsidP="00221E1A">
      <w:pPr>
        <w:pStyle w:val="NORMAL12"/>
        <w:numPr>
          <w:ilvl w:val="0"/>
          <w:numId w:val="170"/>
        </w:numPr>
      </w:pPr>
      <w:r w:rsidRPr="00D921B6">
        <w:t>Cajeado del zócalo de hormigón presenta sobre la junta estructural.</w:t>
      </w:r>
    </w:p>
    <w:p w14:paraId="12CF3AFE" w14:textId="77777777" w:rsidR="002F141E" w:rsidRPr="00D921B6" w:rsidRDefault="002F141E" w:rsidP="002F141E">
      <w:pPr>
        <w:pStyle w:val="NORMAL12"/>
      </w:pPr>
      <w:r w:rsidRPr="00D921B6">
        <w:t>Las dimensiones de este cajeado se estudiarán en relación de las características y especificaciones concretas que indique el fabricante del perfil.</w:t>
      </w:r>
    </w:p>
    <w:p w14:paraId="3316D6E0" w14:textId="77777777" w:rsidR="002F141E" w:rsidRPr="00D921B6" w:rsidRDefault="002F141E" w:rsidP="002F141E">
      <w:pPr>
        <w:pStyle w:val="NORMAL12"/>
      </w:pPr>
      <w:r w:rsidRPr="00D921B6">
        <w:t xml:space="preserve">En principio, cuando se ejecuten en periodo de elevadas temperaturas, en las que el puente se encontrará dilatado, el cajeado se realizará de ancho ligeramente inferior al ancho del perfil, de modo que el perfil se coloque </w:t>
      </w:r>
      <w:proofErr w:type="spellStart"/>
      <w:r w:rsidRPr="00D921B6">
        <w:t>precomprimido</w:t>
      </w:r>
      <w:proofErr w:type="spellEnd"/>
      <w:r w:rsidRPr="00D921B6">
        <w:t xml:space="preserve"> y que cuando el puente se contraiga al bajar las temperaturas la junta funcione correctamente y no quede abierta rápidamente.</w:t>
      </w:r>
    </w:p>
    <w:p w14:paraId="0E3E167C" w14:textId="77777777" w:rsidR="002F141E" w:rsidRPr="00D921B6" w:rsidRDefault="002F141E" w:rsidP="002F141E">
      <w:pPr>
        <w:pStyle w:val="NORMAL12"/>
      </w:pPr>
      <w:r w:rsidRPr="00D921B6">
        <w:t>Sin embargo, en época de bajas temperaturas, el cajeado se realizará de un ancho ligeramente superior al ancho del perfil, se colocará el perfil en el eje del cajeado y se rellenarán los bordes del cajeado con fondos de junta, de modo que cuando las temperaturas se incrementen y el puente se dilate el perfil no quede excesivamente comprimido.</w:t>
      </w:r>
    </w:p>
    <w:p w14:paraId="7EF154FB" w14:textId="77777777" w:rsidR="002F141E" w:rsidRPr="00D921B6" w:rsidRDefault="002F141E" w:rsidP="00221E1A">
      <w:pPr>
        <w:pStyle w:val="NORMAL12"/>
        <w:numPr>
          <w:ilvl w:val="0"/>
          <w:numId w:val="170"/>
        </w:numPr>
      </w:pPr>
      <w:r w:rsidRPr="00D921B6">
        <w:t>Ubicación de la banda TPE</w:t>
      </w:r>
    </w:p>
    <w:p w14:paraId="0B561B65" w14:textId="77777777" w:rsidR="002F141E" w:rsidRPr="00D921B6" w:rsidRDefault="002F141E" w:rsidP="002F141E">
      <w:pPr>
        <w:pStyle w:val="NORMAL12"/>
      </w:pPr>
      <w:r w:rsidRPr="00D921B6">
        <w:t>La banda TPE a disponer bajo la junta de acera será la continuación de la banda TPE que se ha colocado en la junta de calzada.</w:t>
      </w:r>
    </w:p>
    <w:p w14:paraId="0165AF10" w14:textId="77777777" w:rsidR="002F141E" w:rsidRPr="00D921B6" w:rsidRDefault="002F141E" w:rsidP="002F141E">
      <w:pPr>
        <w:pStyle w:val="NORMAL12"/>
      </w:pPr>
      <w:r w:rsidRPr="00D921B6">
        <w:t>Se debe garantizar que la pendiente es la adecuada para facilitar la escorrentía del agua recogida por esta banda y que llegue hasta la caldereta de desagüe prevista.</w:t>
      </w:r>
    </w:p>
    <w:p w14:paraId="34F9A339" w14:textId="77777777" w:rsidR="002F141E" w:rsidRPr="00D921B6" w:rsidRDefault="002F141E" w:rsidP="00221E1A">
      <w:pPr>
        <w:pStyle w:val="NORMAL12"/>
        <w:numPr>
          <w:ilvl w:val="0"/>
          <w:numId w:val="170"/>
        </w:numPr>
      </w:pPr>
      <w:r w:rsidRPr="00D921B6">
        <w:t xml:space="preserve"> Colocación del perfil de neopreno.</w:t>
      </w:r>
    </w:p>
    <w:p w14:paraId="67F79434" w14:textId="77777777" w:rsidR="002F141E" w:rsidRPr="00D921B6" w:rsidRDefault="002F141E" w:rsidP="002F141E">
      <w:pPr>
        <w:pStyle w:val="NORMAL12"/>
      </w:pPr>
      <w:r w:rsidRPr="00D921B6">
        <w:t xml:space="preserve">En función de lo anteriormente indicado </w:t>
      </w:r>
      <w:proofErr w:type="gramStart"/>
      <w:r w:rsidRPr="00D921B6">
        <w:t>en relación a</w:t>
      </w:r>
      <w:proofErr w:type="gramEnd"/>
      <w:r w:rsidRPr="00D921B6">
        <w:t xml:space="preserve"> las temperaturas en el momento de la aplicación, el perfil se colocará </w:t>
      </w:r>
      <w:proofErr w:type="spellStart"/>
      <w:r w:rsidRPr="00D921B6">
        <w:t>precomprimido</w:t>
      </w:r>
      <w:proofErr w:type="spellEnd"/>
      <w:r w:rsidRPr="00D921B6">
        <w:t xml:space="preserve"> o sin </w:t>
      </w:r>
      <w:proofErr w:type="spellStart"/>
      <w:r w:rsidRPr="00D921B6">
        <w:t>precomprimir</w:t>
      </w:r>
      <w:proofErr w:type="spellEnd"/>
      <w:r w:rsidRPr="00D921B6">
        <w:t xml:space="preserve"> en el cajeado para garantizar el correcto funcionamiento del perfil en las contracciones o dilataciones esperadas.</w:t>
      </w:r>
    </w:p>
    <w:p w14:paraId="1FFD73B5" w14:textId="77777777" w:rsidR="002F141E" w:rsidRPr="00D921B6" w:rsidRDefault="002F141E" w:rsidP="00221E1A">
      <w:pPr>
        <w:pStyle w:val="NORMAL12"/>
        <w:numPr>
          <w:ilvl w:val="0"/>
          <w:numId w:val="170"/>
        </w:numPr>
      </w:pPr>
      <w:r w:rsidRPr="00D921B6">
        <w:t>Sellado de la junta con masilla de poliuretano.</w:t>
      </w:r>
    </w:p>
    <w:p w14:paraId="594CBC9F" w14:textId="77777777" w:rsidR="002F141E" w:rsidRPr="00D921B6" w:rsidRDefault="002F141E" w:rsidP="002F141E">
      <w:pPr>
        <w:pStyle w:val="NORMAL12"/>
      </w:pPr>
      <w:r w:rsidRPr="00D921B6">
        <w:t>Se garantizará la estanqueidad de la junta mediante el sellado con masilla de poliuretano en el entorno del perfil de caucho.</w:t>
      </w:r>
    </w:p>
    <w:p w14:paraId="6FECFFBE" w14:textId="77777777" w:rsidR="00DD2C71" w:rsidRPr="00D921B6" w:rsidRDefault="00DD2C71" w:rsidP="00DD2C71">
      <w:pPr>
        <w:pStyle w:val="NORMAL12"/>
        <w:rPr>
          <w:i/>
          <w:u w:val="single"/>
        </w:rPr>
      </w:pPr>
      <w:r w:rsidRPr="00D921B6">
        <w:rPr>
          <w:i/>
          <w:u w:val="single"/>
        </w:rPr>
        <w:t>Sistema de drenaje de junta</w:t>
      </w:r>
    </w:p>
    <w:p w14:paraId="721C1002" w14:textId="77777777" w:rsidR="00DD2C71" w:rsidRPr="00D921B6" w:rsidRDefault="00DD2C71" w:rsidP="00DD2C71">
      <w:pPr>
        <w:pStyle w:val="NORMAL12"/>
      </w:pPr>
      <w:r w:rsidRPr="00D921B6">
        <w:t xml:space="preserve">Para garantizar la impermeabilidad se dispondrá de un babero de recogida de aguas que las canalice y evite su paso por la superficie de la estructura. El fuelle deberá ejecutarse de forma que permita adaptarse a los movimientos de la junta, y resistir las acciones correspondientes, incluso la fatiga y las generadas por cuerpos extraños que puedan introducirse (suciedad, roedores, aves, </w:t>
      </w:r>
      <w:proofErr w:type="spellStart"/>
      <w:r w:rsidRPr="00D921B6">
        <w:t>etc</w:t>
      </w:r>
      <w:proofErr w:type="spellEnd"/>
      <w:r w:rsidRPr="00D921B6">
        <w:t>), así como presentar accesibilidad y facilidad de limpieza y mantenimiento. Su instalación se realizará correctamente para garantizar una durabilidad similar a la prevista para la propia junta.</w:t>
      </w:r>
    </w:p>
    <w:p w14:paraId="399F23D3" w14:textId="77777777" w:rsidR="00DD2C71" w:rsidRPr="00D921B6" w:rsidRDefault="00DD2C71" w:rsidP="00DD2C71">
      <w:pPr>
        <w:pStyle w:val="NORMAL12"/>
      </w:pPr>
      <w:r w:rsidRPr="00D921B6">
        <w:t xml:space="preserve">Se utilizarán bandas elásticas TPE. Estas son las siglas de Poliolefinas </w:t>
      </w:r>
      <w:proofErr w:type="spellStart"/>
      <w:r w:rsidRPr="00D921B6">
        <w:t>Elastoméricas</w:t>
      </w:r>
      <w:proofErr w:type="spellEnd"/>
      <w:r w:rsidRPr="00D921B6">
        <w:t xml:space="preserve"> Termoplásticas, que es la denominación de un grupo específico de poliolefinas que combinan las propiedades de la tecnología de los polímeros termoplásticos y los sintéticos. </w:t>
      </w:r>
    </w:p>
    <w:p w14:paraId="292E1C50" w14:textId="77777777" w:rsidR="00DD2C71" w:rsidRPr="00D921B6" w:rsidRDefault="00DD2C71" w:rsidP="00DD2C71">
      <w:pPr>
        <w:pStyle w:val="NORMAL12"/>
      </w:pPr>
      <w:r w:rsidRPr="00D921B6">
        <w:t>El procedimiento de aplicación de este elemento es el siguiente:</w:t>
      </w:r>
    </w:p>
    <w:p w14:paraId="6900E78D" w14:textId="77777777" w:rsidR="00DD2C71" w:rsidRPr="00D921B6" w:rsidRDefault="00DD2C71" w:rsidP="00DD2C71">
      <w:pPr>
        <w:pStyle w:val="NORMAL12"/>
        <w:rPr>
          <w:i/>
          <w:u w:val="single"/>
        </w:rPr>
      </w:pPr>
      <w:r w:rsidRPr="00D921B6">
        <w:rPr>
          <w:i/>
          <w:u w:val="single"/>
        </w:rPr>
        <w:t>Preparación de superficies:</w:t>
      </w:r>
    </w:p>
    <w:p w14:paraId="62BFF8CB" w14:textId="77777777" w:rsidR="00DD2C71" w:rsidRPr="00D921B6" w:rsidRDefault="00DD2C71" w:rsidP="00221E1A">
      <w:pPr>
        <w:pStyle w:val="NORMAL12"/>
        <w:numPr>
          <w:ilvl w:val="0"/>
          <w:numId w:val="170"/>
        </w:numPr>
      </w:pPr>
      <w:r w:rsidRPr="00D921B6">
        <w:t>Las superficies deben estar libres de aceite, grasa, pintura, polvo, escamas y materiales friables, y deben estar en plano.</w:t>
      </w:r>
    </w:p>
    <w:p w14:paraId="79B86526" w14:textId="77777777" w:rsidR="00DD2C71" w:rsidRPr="008527EE" w:rsidRDefault="00DD2C71" w:rsidP="00221E1A">
      <w:pPr>
        <w:pStyle w:val="NORMAL12"/>
        <w:numPr>
          <w:ilvl w:val="0"/>
          <w:numId w:val="170"/>
        </w:numPr>
      </w:pPr>
      <w:r w:rsidRPr="00D921B6">
        <w:t>Se deben retirar todas las pinturas y capas finales mediante limpieza abrasiva o amolado. Esta operación es crítica para s</w:t>
      </w:r>
      <w:r w:rsidRPr="008527EE">
        <w:t>uperficies que previamente han sido tratadas con resinas poliéster, epoxi o poliuretano o que están conformadas por material vidriado.</w:t>
      </w:r>
    </w:p>
    <w:p w14:paraId="320D681A" w14:textId="77777777" w:rsidR="00DD2C71" w:rsidRPr="008527EE" w:rsidRDefault="00DD2C71" w:rsidP="00221E1A">
      <w:pPr>
        <w:pStyle w:val="NORMAL12"/>
        <w:numPr>
          <w:ilvl w:val="0"/>
          <w:numId w:val="170"/>
        </w:numPr>
      </w:pPr>
      <w:r w:rsidRPr="008527EE">
        <w:t>Si se aplica sobre superficies metálicas, se deben retirar todos los rastros de óxido, pintura, grasa, etc., mediante una limpieza abrasiva hasta obtener metal base.</w:t>
      </w:r>
    </w:p>
    <w:p w14:paraId="475F8CAE" w14:textId="77777777" w:rsidR="00DD2C71" w:rsidRPr="008527EE" w:rsidRDefault="00DD2C71" w:rsidP="00221E1A">
      <w:pPr>
        <w:pStyle w:val="NORMAL12"/>
        <w:numPr>
          <w:ilvl w:val="0"/>
          <w:numId w:val="170"/>
        </w:numPr>
      </w:pPr>
      <w:r w:rsidRPr="008527EE">
        <w:t>Al momento de aplicarse la superficie debe estar perfectamente seca.</w:t>
      </w:r>
    </w:p>
    <w:p w14:paraId="37A4C3E1" w14:textId="77777777" w:rsidR="00DD2C71" w:rsidRPr="008527EE" w:rsidRDefault="00DD2C71" w:rsidP="00DD2C71">
      <w:pPr>
        <w:pStyle w:val="NORMAL12"/>
        <w:rPr>
          <w:i/>
          <w:u w:val="single"/>
        </w:rPr>
      </w:pPr>
      <w:r>
        <w:rPr>
          <w:i/>
          <w:u w:val="single"/>
        </w:rPr>
        <w:lastRenderedPageBreak/>
        <w:t>A</w:t>
      </w:r>
      <w:r w:rsidRPr="008527EE">
        <w:rPr>
          <w:i/>
          <w:u w:val="single"/>
        </w:rPr>
        <w:t>plicación del producto</w:t>
      </w:r>
    </w:p>
    <w:p w14:paraId="46FB7251" w14:textId="77777777" w:rsidR="00DD2C71" w:rsidRPr="008527EE" w:rsidRDefault="00DD2C71" w:rsidP="00DD2C71">
      <w:pPr>
        <w:pStyle w:val="NORMAL12"/>
      </w:pPr>
      <w:r w:rsidRPr="008527EE">
        <w:t>Uso general</w:t>
      </w:r>
    </w:p>
    <w:p w14:paraId="375D76A0" w14:textId="77777777" w:rsidR="00DD2C71" w:rsidRPr="008527EE" w:rsidRDefault="00DD2C71" w:rsidP="00221E1A">
      <w:pPr>
        <w:pStyle w:val="NORMAL12"/>
        <w:numPr>
          <w:ilvl w:val="0"/>
          <w:numId w:val="171"/>
        </w:numPr>
      </w:pPr>
      <w:r w:rsidRPr="008527EE">
        <w:t xml:space="preserve">Aplicar la cinta de enmascarar a lo largo del perímetro exterior de la junta o grieta para obtener un área de 1cm (0.4") más ancha que el ancho de la banda TPE. </w:t>
      </w:r>
    </w:p>
    <w:p w14:paraId="179CB2DE" w14:textId="77777777" w:rsidR="00DD2C71" w:rsidRPr="008527EE" w:rsidRDefault="00DD2C71" w:rsidP="00221E1A">
      <w:pPr>
        <w:pStyle w:val="NORMAL12"/>
        <w:numPr>
          <w:ilvl w:val="0"/>
          <w:numId w:val="171"/>
        </w:numPr>
      </w:pPr>
      <w:r w:rsidRPr="008527EE">
        <w:t>Extender el adhesivo usado como agente de pegado dentro del área enmascarada. Aplicar uniformemente el adhesivo en un espesor de entre 1 y 2 mm sobre el sustrato donde la porción de “fieltro” tomará contacto con dicho sustrato. Evite aplicar el adhesivo dentro de la junta.</w:t>
      </w:r>
    </w:p>
    <w:p w14:paraId="7186A0D9" w14:textId="77777777" w:rsidR="00DD2C71" w:rsidRPr="008527EE" w:rsidRDefault="00DD2C71" w:rsidP="00221E1A">
      <w:pPr>
        <w:pStyle w:val="NORMAL12"/>
        <w:numPr>
          <w:ilvl w:val="0"/>
          <w:numId w:val="171"/>
        </w:numPr>
      </w:pPr>
      <w:r w:rsidRPr="008527EE">
        <w:t xml:space="preserve">Coloque </w:t>
      </w:r>
      <w:r>
        <w:t>T</w:t>
      </w:r>
      <w:r w:rsidRPr="008527EE">
        <w:t>PE sobre el adhesivo. Presione y suavice con llana para asegurar una adherencia adecuada. Use un rodillo o herramienta de acabado para retirar todas las arrugas, dobleces o burbujas de aire y asegure que haya un contacto uniforme con el sustrato.</w:t>
      </w:r>
    </w:p>
    <w:p w14:paraId="54D5997F" w14:textId="77777777" w:rsidR="00DD2C71" w:rsidRPr="008527EE" w:rsidRDefault="00DD2C71" w:rsidP="00221E1A">
      <w:pPr>
        <w:pStyle w:val="NORMAL12"/>
        <w:numPr>
          <w:ilvl w:val="0"/>
          <w:numId w:val="171"/>
        </w:numPr>
      </w:pPr>
      <w:r w:rsidRPr="008527EE">
        <w:t>Solap</w:t>
      </w:r>
      <w:r>
        <w:t>ar</w:t>
      </w:r>
      <w:r w:rsidRPr="008527EE">
        <w:t xml:space="preserve"> el borde TPE mientras que la primera aplicación está aún húmeda, cubriendo completamente la banda de tela con una nueva capa de adhesivo. Suavice el producto con una llana lisa. </w:t>
      </w:r>
    </w:p>
    <w:p w14:paraId="216E6FEF" w14:textId="77777777" w:rsidR="00DD2C71" w:rsidRPr="008527EE" w:rsidRDefault="00DD2C71" w:rsidP="00221E1A">
      <w:pPr>
        <w:pStyle w:val="NORMAL12"/>
        <w:numPr>
          <w:ilvl w:val="0"/>
          <w:numId w:val="171"/>
        </w:numPr>
      </w:pPr>
      <w:r w:rsidRPr="008527EE">
        <w:t xml:space="preserve">Una vez que se haya aplicado una segunda capa </w:t>
      </w:r>
      <w:r>
        <w:t xml:space="preserve">se </w:t>
      </w:r>
      <w:r w:rsidR="00D93E76" w:rsidRPr="008527EE">
        <w:t>retir</w:t>
      </w:r>
      <w:r w:rsidR="00D93E76">
        <w:t>a</w:t>
      </w:r>
      <w:r w:rsidRPr="008527EE">
        <w:t xml:space="preserve"> lentamente la cinta de enmascarar. </w:t>
      </w:r>
      <w:r>
        <w:t>De</w:t>
      </w:r>
      <w:r w:rsidRPr="008527EE">
        <w:t>be protegerse de cualquier daño que pueda sufrir (como por ejemplo perforaciones) durante el proceso de aplicación.</w:t>
      </w:r>
    </w:p>
    <w:p w14:paraId="24C8F2A7" w14:textId="77777777" w:rsidR="00DD2C71" w:rsidRPr="008527EE" w:rsidRDefault="00DD2C71" w:rsidP="00DD2C71">
      <w:pPr>
        <w:pStyle w:val="NORMAL12"/>
        <w:rPr>
          <w:i/>
          <w:u w:val="single"/>
        </w:rPr>
      </w:pPr>
      <w:r w:rsidRPr="008527EE">
        <w:rPr>
          <w:i/>
          <w:u w:val="single"/>
        </w:rPr>
        <w:t>Tratamiento de juntas de movimiento</w:t>
      </w:r>
    </w:p>
    <w:p w14:paraId="4C11A771" w14:textId="77777777" w:rsidR="00DD2C71" w:rsidRPr="008527EE" w:rsidRDefault="00DD2C71" w:rsidP="00DD2C71">
      <w:pPr>
        <w:pStyle w:val="NORMAL12"/>
      </w:pPr>
      <w:r w:rsidRPr="008527EE">
        <w:t xml:space="preserve">Si se prevén altos niveles de movimiento, se debe colocar </w:t>
      </w:r>
      <w:r>
        <w:t xml:space="preserve">banda </w:t>
      </w:r>
      <w:r w:rsidRPr="008527EE">
        <w:t>TPE en forma de “Ω” (omega) desde arriba hacia abajo dentro de la junta.</w:t>
      </w:r>
    </w:p>
    <w:p w14:paraId="5C516B6C" w14:textId="77777777" w:rsidR="00DD2C71" w:rsidRPr="00D921B6" w:rsidRDefault="00DD2C71" w:rsidP="00DD2C71">
      <w:pPr>
        <w:pStyle w:val="NORMAL12"/>
      </w:pPr>
      <w:r w:rsidRPr="008527EE">
        <w:t xml:space="preserve">Entre dichas propiedades se encuentra la capacidad de ser “soldado en frío” mediante </w:t>
      </w:r>
      <w:r w:rsidRPr="00D921B6">
        <w:t>adhesivos de contacto que permiten la realización de solapes de forma ágil entre bandas o en las uniones con piezas especiales.</w:t>
      </w:r>
    </w:p>
    <w:p w14:paraId="3A92F21D" w14:textId="77777777" w:rsidR="002F141E" w:rsidRDefault="002F141E" w:rsidP="002F141E">
      <w:pPr>
        <w:pStyle w:val="NORMAL12"/>
      </w:pPr>
      <w:bookmarkStart w:id="964" w:name="_Toc448916173"/>
      <w:r w:rsidRPr="00D921B6">
        <w:t xml:space="preserve">El desagüe del agua recogida por estas bandas se realizará a través de </w:t>
      </w:r>
      <w:proofErr w:type="spellStart"/>
      <w:r w:rsidRPr="00D921B6">
        <w:t>cazueletas</w:t>
      </w:r>
      <w:proofErr w:type="spellEnd"/>
      <w:r w:rsidRPr="00D921B6">
        <w:t xml:space="preserve"> con bajantes que </w:t>
      </w:r>
      <w:proofErr w:type="spellStart"/>
      <w:r w:rsidRPr="00D921B6">
        <w:t>redijirán</w:t>
      </w:r>
      <w:proofErr w:type="spellEnd"/>
      <w:r w:rsidRPr="00D921B6">
        <w:t xml:space="preserve"> el agua a una zona fuera de la calzada inferior para que no interfiera en la circulación de los vehículos bajo la estructura.</w:t>
      </w:r>
    </w:p>
    <w:p w14:paraId="325F213F" w14:textId="77777777" w:rsidR="00CF7652" w:rsidRPr="008527EE" w:rsidRDefault="00CF7652" w:rsidP="002F141E">
      <w:pPr>
        <w:pStyle w:val="NORMAL12"/>
      </w:pPr>
    </w:p>
    <w:p w14:paraId="068B3825" w14:textId="77777777" w:rsidR="00DD2C71" w:rsidRPr="008527EE" w:rsidRDefault="00DD2C71" w:rsidP="000313DD">
      <w:pPr>
        <w:pStyle w:val="TITU2"/>
      </w:pPr>
      <w:bookmarkStart w:id="965" w:name="_Toc404509"/>
      <w:r>
        <w:t xml:space="preserve">694b.6. </w:t>
      </w:r>
      <w:r w:rsidRPr="008527EE">
        <w:t>Recepción</w:t>
      </w:r>
      <w:bookmarkEnd w:id="964"/>
      <w:bookmarkEnd w:id="965"/>
    </w:p>
    <w:p w14:paraId="25F59725" w14:textId="77777777" w:rsidR="00DD2C71" w:rsidRPr="008527EE" w:rsidRDefault="00DD2C71" w:rsidP="00DD2C71">
      <w:pPr>
        <w:pStyle w:val="NORMAL12"/>
      </w:pPr>
      <w:r w:rsidRPr="008527EE">
        <w:t xml:space="preserve">La recepción de las unidades a las que aplica el presente artículo queda vinculada a la comprobación de las siguientes premisas: </w:t>
      </w:r>
    </w:p>
    <w:p w14:paraId="59B426A7" w14:textId="77777777" w:rsidR="00DD2C71" w:rsidRPr="008527EE" w:rsidRDefault="00DD2C71" w:rsidP="00221E1A">
      <w:pPr>
        <w:pStyle w:val="NORMAL12"/>
        <w:numPr>
          <w:ilvl w:val="0"/>
          <w:numId w:val="170"/>
        </w:numPr>
      </w:pPr>
      <w:r w:rsidRPr="008527EE">
        <w:t xml:space="preserve">Defectos de fabricación o inadecuada ejecución de la junta. </w:t>
      </w:r>
    </w:p>
    <w:p w14:paraId="6F3BC80E" w14:textId="77777777" w:rsidR="00DD2C71" w:rsidRPr="008527EE" w:rsidRDefault="00DD2C71" w:rsidP="00221E1A">
      <w:pPr>
        <w:pStyle w:val="NORMAL12"/>
        <w:numPr>
          <w:ilvl w:val="0"/>
          <w:numId w:val="170"/>
        </w:numPr>
      </w:pPr>
      <w:r w:rsidRPr="008527EE">
        <w:t xml:space="preserve">Fisuras que evidencien problemas confort en la rodadura o de falta de estanqueidad en la propia junta o en las entregas. </w:t>
      </w:r>
    </w:p>
    <w:p w14:paraId="6376B6CC" w14:textId="77777777" w:rsidR="00DD2C71" w:rsidRPr="008527EE" w:rsidRDefault="00DD2C71" w:rsidP="00221E1A">
      <w:pPr>
        <w:pStyle w:val="NORMAL12"/>
        <w:numPr>
          <w:ilvl w:val="0"/>
          <w:numId w:val="170"/>
        </w:numPr>
      </w:pPr>
      <w:r w:rsidRPr="008527EE">
        <w:t xml:space="preserve">Falta de material en tramos del aparato de junta o módulos enteros. </w:t>
      </w:r>
    </w:p>
    <w:p w14:paraId="5C4F97BC" w14:textId="77777777" w:rsidR="00DD2C71" w:rsidRPr="008527EE" w:rsidRDefault="00DD2C71" w:rsidP="00221E1A">
      <w:pPr>
        <w:pStyle w:val="NORMAL12"/>
        <w:numPr>
          <w:ilvl w:val="0"/>
          <w:numId w:val="170"/>
        </w:numPr>
      </w:pPr>
      <w:r w:rsidRPr="008527EE">
        <w:t>Degradación del material aglomerado de los alrededores de la junta (cajeado): fisuras, grietas o cuarteamientos.</w:t>
      </w:r>
    </w:p>
    <w:p w14:paraId="747CE926" w14:textId="77777777" w:rsidR="00DD2C71" w:rsidRPr="008527EE" w:rsidRDefault="00DD2C71" w:rsidP="00221E1A">
      <w:pPr>
        <w:pStyle w:val="NORMAL12"/>
        <w:numPr>
          <w:ilvl w:val="0"/>
          <w:numId w:val="170"/>
        </w:numPr>
      </w:pPr>
      <w:r w:rsidRPr="008527EE">
        <w:t xml:space="preserve">Alineación deficiente entre placas o chapas constituyentes de la junta que produce discontinuidad en la rodadura.  </w:t>
      </w:r>
    </w:p>
    <w:p w14:paraId="77095F8C" w14:textId="77777777" w:rsidR="00DD2C71" w:rsidRPr="008527EE" w:rsidRDefault="00DD2C71" w:rsidP="00221E1A">
      <w:pPr>
        <w:pStyle w:val="NORMAL12"/>
        <w:numPr>
          <w:ilvl w:val="0"/>
          <w:numId w:val="170"/>
        </w:numPr>
      </w:pPr>
      <w:r w:rsidRPr="008527EE">
        <w:t xml:space="preserve">Se han retirado todos los residuos y ha quedado limpia la zona de actuación. </w:t>
      </w:r>
    </w:p>
    <w:p w14:paraId="3DA36ABB" w14:textId="77777777" w:rsidR="00DD2C71" w:rsidRPr="008527EE" w:rsidRDefault="00DD2C71" w:rsidP="00DD2C71">
      <w:pPr>
        <w:pStyle w:val="NORMAL12"/>
      </w:pPr>
      <w:r w:rsidRPr="008527EE">
        <w:t xml:space="preserve">Se valora que, en condiciones normales de servicio, las partes que forman la junta no sean alteradas por la corrosión, el envejecimiento, la luz o las sales de deshielo. </w:t>
      </w:r>
    </w:p>
    <w:p w14:paraId="41425EED" w14:textId="77777777" w:rsidR="00DD2C71" w:rsidRPr="008527EE" w:rsidRDefault="00DD2C71" w:rsidP="000313DD">
      <w:pPr>
        <w:pStyle w:val="TITU2"/>
      </w:pPr>
      <w:bookmarkStart w:id="966" w:name="_Toc448916174"/>
      <w:bookmarkStart w:id="967" w:name="_Toc404510"/>
      <w:r w:rsidRPr="008527EE">
        <w:t>694b.7.</w:t>
      </w:r>
      <w:r>
        <w:t xml:space="preserve"> </w:t>
      </w:r>
      <w:r w:rsidRPr="008527EE">
        <w:t>Control De Calidad</w:t>
      </w:r>
      <w:bookmarkEnd w:id="966"/>
      <w:bookmarkEnd w:id="967"/>
    </w:p>
    <w:p w14:paraId="2A407F84" w14:textId="77777777" w:rsidR="00DD2C71" w:rsidRPr="008527EE" w:rsidRDefault="00DD2C71" w:rsidP="00DD2C71">
      <w:pPr>
        <w:pStyle w:val="NORMAL12"/>
      </w:pPr>
      <w:r w:rsidRPr="008527EE">
        <w:t xml:space="preserve">El contratista deberá llevar a cabo la siguiente verificación de los materiales y procedimientos. </w:t>
      </w:r>
    </w:p>
    <w:p w14:paraId="0768C77E" w14:textId="77777777" w:rsidR="00DD2C71" w:rsidRPr="00EB5DEF" w:rsidRDefault="00DD2C71" w:rsidP="00DD2C71">
      <w:pPr>
        <w:pStyle w:val="Descripcin"/>
        <w:rPr>
          <w:rFonts w:ascii="Arial" w:hAnsi="Arial" w:cs="Arial"/>
          <w:b w:val="0"/>
          <w:i/>
          <w:noProof w:val="0"/>
          <w:szCs w:val="24"/>
          <w:u w:val="single"/>
          <w:lang w:val="es-ES_tradnl"/>
        </w:rPr>
      </w:pPr>
      <w:proofErr w:type="gramStart"/>
      <w:r w:rsidRPr="00EB5DEF">
        <w:rPr>
          <w:rFonts w:ascii="Arial" w:hAnsi="Arial" w:cs="Arial"/>
          <w:b w:val="0"/>
          <w:i/>
          <w:noProof w:val="0"/>
          <w:szCs w:val="24"/>
          <w:u w:val="single"/>
          <w:lang w:val="es-ES_tradnl"/>
        </w:rPr>
        <w:t>Puntos a comprobar antes</w:t>
      </w:r>
      <w:proofErr w:type="gramEnd"/>
      <w:r w:rsidRPr="00EB5DEF">
        <w:rPr>
          <w:rFonts w:ascii="Arial" w:hAnsi="Arial" w:cs="Arial"/>
          <w:b w:val="0"/>
          <w:i/>
          <w:noProof w:val="0"/>
          <w:szCs w:val="24"/>
          <w:u w:val="single"/>
          <w:lang w:val="es-ES_tradnl"/>
        </w:rPr>
        <w:t xml:space="preserve"> del comienzo de los trabajos. </w:t>
      </w:r>
    </w:p>
    <w:p w14:paraId="59B9ECC3" w14:textId="77777777" w:rsidR="00DD2C71" w:rsidRPr="008527EE" w:rsidRDefault="00DD2C71" w:rsidP="00221E1A">
      <w:pPr>
        <w:pStyle w:val="NORMAL12"/>
        <w:numPr>
          <w:ilvl w:val="0"/>
          <w:numId w:val="170"/>
        </w:numPr>
      </w:pPr>
      <w:r w:rsidRPr="008527EE">
        <w:t xml:space="preserve">Comprobación de la existencia y cumplimiento de las advertencias de las fichas de seguridad de los productos empleado. </w:t>
      </w:r>
    </w:p>
    <w:p w14:paraId="4CBCD353" w14:textId="77777777" w:rsidR="00DD2C71" w:rsidRPr="008527EE" w:rsidRDefault="00DD2C71" w:rsidP="00221E1A">
      <w:pPr>
        <w:pStyle w:val="NORMAL12"/>
        <w:numPr>
          <w:ilvl w:val="0"/>
          <w:numId w:val="170"/>
        </w:numPr>
      </w:pPr>
      <w:r w:rsidRPr="008527EE">
        <w:t>Se cuenta con todos los materiales y herramientas para la realización del trabajo</w:t>
      </w:r>
    </w:p>
    <w:p w14:paraId="0303F2DE" w14:textId="77777777" w:rsidR="00DD2C71" w:rsidRPr="008527EE" w:rsidRDefault="00DD2C71" w:rsidP="00221E1A">
      <w:pPr>
        <w:pStyle w:val="NORMAL12"/>
        <w:numPr>
          <w:ilvl w:val="0"/>
          <w:numId w:val="170"/>
        </w:numPr>
      </w:pPr>
      <w:r w:rsidRPr="008527EE">
        <w:t xml:space="preserve">Condiciones de almacenamiento: es conveniente mantenerlo en lugares secos y evitar la exposición prolongada al sol. No debe utilizarse con temperaturas inferiores a 8°C, ni con pavimento húmedo. </w:t>
      </w:r>
    </w:p>
    <w:p w14:paraId="4988EEB6" w14:textId="77777777" w:rsidR="00DD2C71" w:rsidRPr="00DD2C71" w:rsidRDefault="00E86B5F" w:rsidP="00DD2C71">
      <w:pPr>
        <w:pStyle w:val="Descripcin"/>
        <w:rPr>
          <w:rFonts w:ascii="Arial" w:hAnsi="Arial" w:cs="Arial"/>
          <w:b w:val="0"/>
          <w:i/>
          <w:u w:val="single"/>
        </w:rPr>
      </w:pPr>
      <w:r>
        <w:rPr>
          <w:rFonts w:ascii="Arial" w:hAnsi="Arial" w:cs="Arial"/>
          <w:b w:val="0"/>
          <w:i/>
          <w:u w:val="single"/>
        </w:rPr>
        <w:br w:type="column"/>
      </w:r>
      <w:r w:rsidR="00DD2C71" w:rsidRPr="00DD2C71">
        <w:rPr>
          <w:rFonts w:ascii="Arial" w:hAnsi="Arial" w:cs="Arial"/>
          <w:b w:val="0"/>
          <w:i/>
          <w:u w:val="single"/>
        </w:rPr>
        <w:lastRenderedPageBreak/>
        <w:t xml:space="preserve">Puntos a comprobar durante la ejecución </w:t>
      </w:r>
    </w:p>
    <w:p w14:paraId="253AA193" w14:textId="77777777" w:rsidR="00DD2C71" w:rsidRPr="002B0441" w:rsidRDefault="00DD2C71" w:rsidP="00DD2C71">
      <w:pPr>
        <w:rPr>
          <w:lang w:eastAsia="en-US"/>
        </w:rPr>
      </w:pPr>
    </w:p>
    <w:p w14:paraId="55554CA2" w14:textId="77777777" w:rsidR="00DD2C71" w:rsidRPr="008527EE" w:rsidRDefault="00DD2C71" w:rsidP="00221E1A">
      <w:pPr>
        <w:pStyle w:val="NORMAL12"/>
        <w:numPr>
          <w:ilvl w:val="0"/>
          <w:numId w:val="170"/>
        </w:numPr>
      </w:pPr>
      <w:r w:rsidRPr="002B0441">
        <w:t>Señalización está dispuesta de acuerdo</w:t>
      </w:r>
      <w:r w:rsidRPr="008527EE">
        <w:t xml:space="preserve"> con los supuestos previstos en la Norma de Señalización de obras. Instrucción 8.3.I.C. y manual de ejemplos de señalización de obras fijas del Ministerio de Fomento</w:t>
      </w:r>
    </w:p>
    <w:p w14:paraId="4469C096" w14:textId="77777777" w:rsidR="00DD2C71" w:rsidRPr="008527EE" w:rsidRDefault="00DD2C71" w:rsidP="00221E1A">
      <w:pPr>
        <w:pStyle w:val="NORMAL12"/>
        <w:numPr>
          <w:ilvl w:val="0"/>
          <w:numId w:val="170"/>
        </w:numPr>
      </w:pPr>
      <w:r w:rsidRPr="008527EE">
        <w:t xml:space="preserve">En el montaje de la junta se siguen las instrucciones del fabricante. </w:t>
      </w:r>
    </w:p>
    <w:p w14:paraId="280E1D40" w14:textId="77777777" w:rsidR="00DD2C71" w:rsidRPr="008527EE" w:rsidRDefault="00DD2C71" w:rsidP="00221E1A">
      <w:pPr>
        <w:pStyle w:val="NORMAL12"/>
        <w:numPr>
          <w:ilvl w:val="1"/>
          <w:numId w:val="170"/>
        </w:numPr>
      </w:pPr>
      <w:r w:rsidRPr="008527EE">
        <w:t xml:space="preserve">Control de los ligantes bituminosos usados </w:t>
      </w:r>
      <w:proofErr w:type="gramStart"/>
      <w:r w:rsidRPr="008527EE">
        <w:t>de acuerdo al</w:t>
      </w:r>
      <w:proofErr w:type="gramEnd"/>
      <w:r w:rsidRPr="008527EE">
        <w:t xml:space="preserve"> tipo de mezcla, temperatura, aplicación, </w:t>
      </w:r>
      <w:proofErr w:type="spellStart"/>
      <w:r w:rsidRPr="008527EE">
        <w:t>etc</w:t>
      </w:r>
      <w:proofErr w:type="spellEnd"/>
    </w:p>
    <w:p w14:paraId="4084E329" w14:textId="77777777" w:rsidR="00DD2C71" w:rsidRPr="008527EE" w:rsidRDefault="00DD2C71" w:rsidP="00221E1A">
      <w:pPr>
        <w:pStyle w:val="NORMAL12"/>
        <w:numPr>
          <w:ilvl w:val="1"/>
          <w:numId w:val="170"/>
        </w:numPr>
      </w:pPr>
      <w:r w:rsidRPr="008527EE">
        <w:t>Medición del ancho y profundidad de juntas</w:t>
      </w:r>
    </w:p>
    <w:p w14:paraId="450B7D9A" w14:textId="77777777" w:rsidR="00DD2C71" w:rsidRPr="008527EE" w:rsidRDefault="00DD2C71" w:rsidP="00221E1A">
      <w:pPr>
        <w:pStyle w:val="NORMAL12"/>
        <w:numPr>
          <w:ilvl w:val="1"/>
          <w:numId w:val="170"/>
        </w:numPr>
      </w:pPr>
      <w:r w:rsidRPr="008527EE">
        <w:t>Notable elongación elástica, alto coeficiente de dilatación y de ductilidad mecánica.</w:t>
      </w:r>
    </w:p>
    <w:p w14:paraId="64DE5163" w14:textId="77777777" w:rsidR="00DD2C71" w:rsidRPr="008527EE" w:rsidRDefault="00DD2C71" w:rsidP="00221E1A">
      <w:pPr>
        <w:pStyle w:val="NORMAL12"/>
        <w:numPr>
          <w:ilvl w:val="1"/>
          <w:numId w:val="170"/>
        </w:numPr>
      </w:pPr>
      <w:r w:rsidRPr="008527EE">
        <w:t xml:space="preserve">Temperatura ambiental y de aplicación. </w:t>
      </w:r>
    </w:p>
    <w:p w14:paraId="3FE53801" w14:textId="77777777" w:rsidR="00DD2C71" w:rsidRPr="008527EE" w:rsidRDefault="00DD2C71" w:rsidP="00221E1A">
      <w:pPr>
        <w:pStyle w:val="NORMAL12"/>
        <w:numPr>
          <w:ilvl w:val="0"/>
          <w:numId w:val="170"/>
        </w:numPr>
      </w:pPr>
      <w:r w:rsidRPr="008527EE">
        <w:t xml:space="preserve">Para la resistencia a fatiga se valora: la concepción de los componentes, las uniones, las formas materiales y modo de fabricación de la junta. </w:t>
      </w:r>
    </w:p>
    <w:p w14:paraId="57A24D90" w14:textId="77777777" w:rsidR="00DD2C71" w:rsidRPr="008527EE" w:rsidRDefault="00DD2C71" w:rsidP="00221E1A">
      <w:pPr>
        <w:pStyle w:val="NORMAL12"/>
        <w:numPr>
          <w:ilvl w:val="0"/>
          <w:numId w:val="170"/>
        </w:numPr>
      </w:pPr>
      <w:r w:rsidRPr="008527EE">
        <w:t xml:space="preserve">En el enrase de la superficie de la junta con el pavimento menor de 1cm. </w:t>
      </w:r>
    </w:p>
    <w:p w14:paraId="088666EE" w14:textId="77777777" w:rsidR="00DD2C71" w:rsidRPr="008527EE" w:rsidRDefault="00DD2C71" w:rsidP="00221E1A">
      <w:pPr>
        <w:pStyle w:val="NORMAL12"/>
        <w:numPr>
          <w:ilvl w:val="0"/>
          <w:numId w:val="170"/>
        </w:numPr>
      </w:pPr>
      <w:r w:rsidRPr="008527EE">
        <w:t xml:space="preserve">No ejecutar pendientes longitudinales en la zona de juntas ya que distorsiona el enrase como consecuencia de los movimientos horizontales del borde de los tableros. </w:t>
      </w:r>
    </w:p>
    <w:p w14:paraId="2727753B" w14:textId="77777777" w:rsidR="00DD2C71" w:rsidRPr="008527EE" w:rsidRDefault="00DD2C71" w:rsidP="00221E1A">
      <w:pPr>
        <w:pStyle w:val="NORMAL12"/>
        <w:numPr>
          <w:ilvl w:val="0"/>
          <w:numId w:val="170"/>
        </w:numPr>
      </w:pPr>
      <w:r w:rsidRPr="008527EE">
        <w:t xml:space="preserve">Evitar elementos sueltos o con articulaciones mecánicas. </w:t>
      </w:r>
    </w:p>
    <w:p w14:paraId="2FC917D3" w14:textId="77777777" w:rsidR="00DD2C71" w:rsidRDefault="00DD2C71" w:rsidP="000313DD">
      <w:pPr>
        <w:pStyle w:val="TITU2"/>
      </w:pPr>
      <w:bookmarkStart w:id="968" w:name="_Toc448916175"/>
      <w:bookmarkStart w:id="969" w:name="_Toc404511"/>
      <w:r w:rsidRPr="00BF1789">
        <w:t>694b.8.</w:t>
      </w:r>
      <w:r>
        <w:t xml:space="preserve"> </w:t>
      </w:r>
      <w:r w:rsidRPr="00BF1789">
        <w:t>Tratamiento De No Conformidades</w:t>
      </w:r>
      <w:bookmarkEnd w:id="968"/>
      <w:bookmarkEnd w:id="969"/>
    </w:p>
    <w:tbl>
      <w:tblPr>
        <w:tblW w:w="5000" w:type="pct"/>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4300"/>
        <w:gridCol w:w="5478"/>
      </w:tblGrid>
      <w:tr w:rsidR="002F141E" w:rsidRPr="002005BA" w14:paraId="1FD94F65" w14:textId="77777777" w:rsidTr="002F141E">
        <w:trPr>
          <w:trHeight w:val="272"/>
          <w:tblHeader/>
        </w:trPr>
        <w:tc>
          <w:tcPr>
            <w:tcW w:w="2199" w:type="pct"/>
            <w:tcBorders>
              <w:top w:val="single" w:sz="4" w:space="0" w:color="auto"/>
              <w:bottom w:val="single" w:sz="4" w:space="0" w:color="auto"/>
            </w:tcBorders>
            <w:shd w:val="clear" w:color="auto" w:fill="D9D9D9" w:themeFill="background1" w:themeFillShade="D9"/>
            <w:noWrap/>
            <w:vAlign w:val="center"/>
          </w:tcPr>
          <w:p w14:paraId="50A3C6C1" w14:textId="77777777" w:rsidR="002F141E" w:rsidRPr="006F51D4" w:rsidRDefault="002F141E" w:rsidP="0042506C">
            <w:pPr>
              <w:pStyle w:val="GTTTtuloTabla"/>
              <w:spacing w:before="120" w:after="120" w:line="360" w:lineRule="auto"/>
              <w:rPr>
                <w:rFonts w:ascii="Arial" w:hAnsi="Arial"/>
                <w:sz w:val="20"/>
                <w:szCs w:val="20"/>
              </w:rPr>
            </w:pPr>
            <w:r w:rsidRPr="006F51D4">
              <w:rPr>
                <w:rFonts w:ascii="Arial" w:hAnsi="Arial"/>
                <w:sz w:val="20"/>
                <w:szCs w:val="20"/>
              </w:rPr>
              <w:t>No Conformidades</w:t>
            </w:r>
          </w:p>
        </w:tc>
        <w:tc>
          <w:tcPr>
            <w:tcW w:w="2801" w:type="pct"/>
            <w:tcBorders>
              <w:top w:val="single" w:sz="4" w:space="0" w:color="auto"/>
              <w:bottom w:val="single" w:sz="4" w:space="0" w:color="auto"/>
            </w:tcBorders>
            <w:shd w:val="clear" w:color="auto" w:fill="D9D9D9" w:themeFill="background1" w:themeFillShade="D9"/>
            <w:noWrap/>
            <w:vAlign w:val="center"/>
          </w:tcPr>
          <w:p w14:paraId="360CB06E" w14:textId="77777777" w:rsidR="002F141E" w:rsidRPr="006F51D4" w:rsidRDefault="002F141E" w:rsidP="0042506C">
            <w:pPr>
              <w:pStyle w:val="GTTTtuloTabla"/>
              <w:spacing w:before="120" w:after="120" w:line="360" w:lineRule="auto"/>
              <w:rPr>
                <w:rFonts w:ascii="Arial" w:hAnsi="Arial"/>
                <w:sz w:val="20"/>
                <w:szCs w:val="20"/>
              </w:rPr>
            </w:pPr>
            <w:r w:rsidRPr="006F51D4">
              <w:rPr>
                <w:rFonts w:ascii="Arial" w:hAnsi="Arial"/>
                <w:sz w:val="20"/>
                <w:szCs w:val="20"/>
              </w:rPr>
              <w:t>Tratamiento</w:t>
            </w:r>
            <w:r>
              <w:rPr>
                <w:rFonts w:ascii="Arial" w:hAnsi="Arial"/>
                <w:sz w:val="20"/>
                <w:szCs w:val="20"/>
              </w:rPr>
              <w:t xml:space="preserve"> de no conformidades</w:t>
            </w:r>
          </w:p>
        </w:tc>
      </w:tr>
      <w:tr w:rsidR="002F141E" w:rsidRPr="00AE4720" w14:paraId="345A553D" w14:textId="77777777" w:rsidTr="002F141E">
        <w:trPr>
          <w:trHeight w:val="2013"/>
        </w:trPr>
        <w:tc>
          <w:tcPr>
            <w:tcW w:w="2199" w:type="pct"/>
            <w:tcBorders>
              <w:top w:val="single" w:sz="4" w:space="0" w:color="auto"/>
              <w:bottom w:val="single" w:sz="4" w:space="0" w:color="auto"/>
            </w:tcBorders>
            <w:noWrap/>
          </w:tcPr>
          <w:p w14:paraId="6EC78A97" w14:textId="77777777" w:rsidR="002F141E" w:rsidRPr="00D921B6" w:rsidRDefault="002F141E" w:rsidP="0042506C">
            <w:pPr>
              <w:pStyle w:val="Tabla1"/>
              <w:rPr>
                <w:sz w:val="20"/>
                <w:szCs w:val="20"/>
              </w:rPr>
            </w:pPr>
            <w:r w:rsidRPr="00D921B6">
              <w:rPr>
                <w:sz w:val="20"/>
                <w:szCs w:val="20"/>
              </w:rPr>
              <w:t>Defectos superficiales</w:t>
            </w:r>
          </w:p>
        </w:tc>
        <w:tc>
          <w:tcPr>
            <w:tcW w:w="2801" w:type="pct"/>
            <w:tcBorders>
              <w:top w:val="single" w:sz="4" w:space="0" w:color="auto"/>
              <w:bottom w:val="single" w:sz="4" w:space="0" w:color="auto"/>
            </w:tcBorders>
            <w:noWrap/>
          </w:tcPr>
          <w:p w14:paraId="781CA5D5" w14:textId="77777777" w:rsidR="002F141E" w:rsidRPr="00D921B6" w:rsidRDefault="002F141E" w:rsidP="0042506C">
            <w:pPr>
              <w:pStyle w:val="Tabla1"/>
              <w:rPr>
                <w:sz w:val="20"/>
                <w:szCs w:val="20"/>
              </w:rPr>
            </w:pPr>
            <w:r w:rsidRPr="00D921B6">
              <w:rPr>
                <w:sz w:val="20"/>
                <w:szCs w:val="20"/>
              </w:rPr>
              <w:t xml:space="preserve">Serán admisibles oquedades o protuberancias cuyas dimensiones máximas sean inferiores a seis milímetros (6mm) de extensión y un milímetro y medio de profundidad. </w:t>
            </w:r>
          </w:p>
          <w:p w14:paraId="7E12DAA1" w14:textId="77777777" w:rsidR="002F141E" w:rsidRPr="00D921B6" w:rsidRDefault="002F141E" w:rsidP="0042506C">
            <w:pPr>
              <w:pStyle w:val="Tabla1"/>
              <w:rPr>
                <w:sz w:val="20"/>
                <w:szCs w:val="20"/>
              </w:rPr>
            </w:pPr>
            <w:r w:rsidRPr="00D921B6">
              <w:rPr>
                <w:sz w:val="20"/>
                <w:szCs w:val="20"/>
              </w:rPr>
              <w:t xml:space="preserve">Se admitirán rebabas en las líneas producidas por los trónqueles de menos de seis milímetros (6mm) de ancho, un milímetro y medio (1.5mm) de profundidad y cincuenta centímetros (50cm) de longitud. </w:t>
            </w:r>
          </w:p>
        </w:tc>
      </w:tr>
      <w:tr w:rsidR="002F141E" w:rsidRPr="00AE4720" w14:paraId="3ED731D8" w14:textId="77777777" w:rsidTr="002F141E">
        <w:trPr>
          <w:trHeight w:val="399"/>
        </w:trPr>
        <w:tc>
          <w:tcPr>
            <w:tcW w:w="2199" w:type="pct"/>
            <w:tcBorders>
              <w:top w:val="single" w:sz="4" w:space="0" w:color="auto"/>
              <w:bottom w:val="single" w:sz="4" w:space="0" w:color="auto"/>
            </w:tcBorders>
            <w:noWrap/>
          </w:tcPr>
          <w:p w14:paraId="0884DDA7" w14:textId="77777777" w:rsidR="002F141E" w:rsidRPr="00D921B6" w:rsidRDefault="002F141E" w:rsidP="0042506C">
            <w:pPr>
              <w:pStyle w:val="Tabla1"/>
              <w:rPr>
                <w:sz w:val="20"/>
                <w:szCs w:val="20"/>
              </w:rPr>
            </w:pPr>
            <w:r w:rsidRPr="00D921B6">
              <w:rPr>
                <w:sz w:val="20"/>
                <w:szCs w:val="20"/>
              </w:rPr>
              <w:t>Deterioro del sistema de drenaje</w:t>
            </w:r>
          </w:p>
        </w:tc>
        <w:tc>
          <w:tcPr>
            <w:tcW w:w="2801" w:type="pct"/>
            <w:tcBorders>
              <w:top w:val="single" w:sz="4" w:space="0" w:color="auto"/>
              <w:bottom w:val="single" w:sz="4" w:space="0" w:color="auto"/>
            </w:tcBorders>
            <w:noWrap/>
          </w:tcPr>
          <w:p w14:paraId="6C3816FF" w14:textId="77777777" w:rsidR="002F141E" w:rsidRPr="00D921B6" w:rsidRDefault="002F141E" w:rsidP="0042506C">
            <w:pPr>
              <w:pStyle w:val="Tabla1"/>
              <w:rPr>
                <w:sz w:val="20"/>
                <w:szCs w:val="20"/>
              </w:rPr>
            </w:pPr>
            <w:r w:rsidRPr="00D921B6">
              <w:rPr>
                <w:sz w:val="20"/>
                <w:szCs w:val="20"/>
              </w:rPr>
              <w:t xml:space="preserve">Será inadmisible por lo que </w:t>
            </w:r>
            <w:proofErr w:type="gramStart"/>
            <w:r w:rsidRPr="00D921B6">
              <w:rPr>
                <w:sz w:val="20"/>
                <w:szCs w:val="20"/>
              </w:rPr>
              <w:t>el contratista junto con el director de obra deberán</w:t>
            </w:r>
            <w:proofErr w:type="gramEnd"/>
            <w:r w:rsidRPr="00D921B6">
              <w:rPr>
                <w:sz w:val="20"/>
                <w:szCs w:val="20"/>
              </w:rPr>
              <w:t xml:space="preserve"> adoptar una solución adecuada que permita remedirá dicho problema. </w:t>
            </w:r>
          </w:p>
        </w:tc>
      </w:tr>
      <w:tr w:rsidR="002F141E" w:rsidRPr="00AE4720" w14:paraId="3D381D94" w14:textId="77777777" w:rsidTr="00E86B5F">
        <w:trPr>
          <w:cantSplit/>
        </w:trPr>
        <w:tc>
          <w:tcPr>
            <w:tcW w:w="2199" w:type="pct"/>
            <w:tcBorders>
              <w:top w:val="single" w:sz="4" w:space="0" w:color="auto"/>
              <w:bottom w:val="single" w:sz="4" w:space="0" w:color="auto"/>
            </w:tcBorders>
            <w:noWrap/>
          </w:tcPr>
          <w:p w14:paraId="609FF306" w14:textId="77777777" w:rsidR="002F141E" w:rsidRPr="00D921B6" w:rsidRDefault="002F141E" w:rsidP="0042506C">
            <w:pPr>
              <w:pStyle w:val="Tabla1"/>
              <w:rPr>
                <w:sz w:val="20"/>
                <w:szCs w:val="20"/>
              </w:rPr>
            </w:pPr>
            <w:r w:rsidRPr="00D921B6">
              <w:rPr>
                <w:sz w:val="20"/>
                <w:szCs w:val="20"/>
              </w:rPr>
              <w:t>Separación insuficiente entre los anclajes y el borde del tablero o el muro estribo</w:t>
            </w:r>
          </w:p>
        </w:tc>
        <w:tc>
          <w:tcPr>
            <w:tcW w:w="2801" w:type="pct"/>
            <w:tcBorders>
              <w:top w:val="single" w:sz="4" w:space="0" w:color="auto"/>
              <w:bottom w:val="single" w:sz="4" w:space="0" w:color="auto"/>
            </w:tcBorders>
            <w:noWrap/>
          </w:tcPr>
          <w:p w14:paraId="733B18EC" w14:textId="77777777" w:rsidR="002F141E" w:rsidRPr="00D921B6" w:rsidRDefault="002F141E" w:rsidP="0042506C">
            <w:pPr>
              <w:pStyle w:val="Tabla1"/>
              <w:rPr>
                <w:sz w:val="20"/>
                <w:szCs w:val="20"/>
              </w:rPr>
            </w:pPr>
            <w:r w:rsidRPr="00D921B6">
              <w:rPr>
                <w:sz w:val="20"/>
                <w:szCs w:val="20"/>
              </w:rPr>
              <w:t xml:space="preserve">Será inadmisible por lo que </w:t>
            </w:r>
            <w:proofErr w:type="gramStart"/>
            <w:r w:rsidRPr="00D921B6">
              <w:rPr>
                <w:sz w:val="20"/>
                <w:szCs w:val="20"/>
              </w:rPr>
              <w:t>el contratista junto con el director de obra deberán</w:t>
            </w:r>
            <w:proofErr w:type="gramEnd"/>
            <w:r w:rsidRPr="00D921B6">
              <w:rPr>
                <w:sz w:val="20"/>
                <w:szCs w:val="20"/>
              </w:rPr>
              <w:t xml:space="preserve"> adoptar una solución adecuada que permita remedirá dicho problema.</w:t>
            </w:r>
          </w:p>
        </w:tc>
      </w:tr>
      <w:tr w:rsidR="002F141E" w:rsidRPr="00AE4720" w14:paraId="6CE787DC" w14:textId="77777777" w:rsidTr="002F141E">
        <w:tc>
          <w:tcPr>
            <w:tcW w:w="2199" w:type="pct"/>
            <w:tcBorders>
              <w:top w:val="single" w:sz="4" w:space="0" w:color="auto"/>
              <w:bottom w:val="single" w:sz="4" w:space="0" w:color="auto"/>
            </w:tcBorders>
            <w:noWrap/>
          </w:tcPr>
          <w:p w14:paraId="2CD39CBF" w14:textId="77777777" w:rsidR="002F141E" w:rsidRPr="00D921B6" w:rsidRDefault="002F141E" w:rsidP="0042506C">
            <w:pPr>
              <w:pStyle w:val="Tabla1"/>
              <w:rPr>
                <w:sz w:val="20"/>
                <w:szCs w:val="20"/>
              </w:rPr>
            </w:pPr>
            <w:r w:rsidRPr="00D921B6">
              <w:rPr>
                <w:sz w:val="20"/>
                <w:szCs w:val="20"/>
              </w:rPr>
              <w:t>Desnivelación entre el firme y la propia junta o entre ambos lados de la junta</w:t>
            </w:r>
          </w:p>
        </w:tc>
        <w:tc>
          <w:tcPr>
            <w:tcW w:w="2801" w:type="pct"/>
            <w:tcBorders>
              <w:top w:val="single" w:sz="4" w:space="0" w:color="auto"/>
              <w:bottom w:val="single" w:sz="4" w:space="0" w:color="auto"/>
            </w:tcBorders>
            <w:noWrap/>
          </w:tcPr>
          <w:p w14:paraId="4D310707" w14:textId="77777777" w:rsidR="002F141E" w:rsidRPr="00D921B6" w:rsidRDefault="002F141E" w:rsidP="0042506C">
            <w:pPr>
              <w:pStyle w:val="Tabla1"/>
              <w:rPr>
                <w:sz w:val="20"/>
                <w:szCs w:val="20"/>
              </w:rPr>
            </w:pPr>
            <w:r w:rsidRPr="00D921B6">
              <w:rPr>
                <w:sz w:val="20"/>
                <w:szCs w:val="20"/>
              </w:rPr>
              <w:t xml:space="preserve">Será inadmisible por lo que </w:t>
            </w:r>
            <w:proofErr w:type="gramStart"/>
            <w:r w:rsidRPr="00D921B6">
              <w:rPr>
                <w:sz w:val="20"/>
                <w:szCs w:val="20"/>
              </w:rPr>
              <w:t>el contratista junto con el director de obra deberán</w:t>
            </w:r>
            <w:proofErr w:type="gramEnd"/>
            <w:r w:rsidRPr="00D921B6">
              <w:rPr>
                <w:sz w:val="20"/>
                <w:szCs w:val="20"/>
              </w:rPr>
              <w:t xml:space="preserve"> adoptar una solución adecuada que permita remedirá dicho problema.</w:t>
            </w:r>
          </w:p>
        </w:tc>
      </w:tr>
      <w:tr w:rsidR="002F141E" w:rsidRPr="00AE4720" w14:paraId="562F8456" w14:textId="77777777" w:rsidTr="002F141E">
        <w:tc>
          <w:tcPr>
            <w:tcW w:w="2199" w:type="pct"/>
            <w:tcBorders>
              <w:top w:val="single" w:sz="4" w:space="0" w:color="auto"/>
              <w:bottom w:val="single" w:sz="4" w:space="0" w:color="auto"/>
            </w:tcBorders>
            <w:noWrap/>
          </w:tcPr>
          <w:p w14:paraId="0953E77B" w14:textId="77777777" w:rsidR="002F141E" w:rsidRPr="00D921B6" w:rsidRDefault="002F141E" w:rsidP="0042506C">
            <w:pPr>
              <w:pStyle w:val="Tabla1"/>
              <w:rPr>
                <w:sz w:val="20"/>
                <w:szCs w:val="20"/>
              </w:rPr>
            </w:pPr>
            <w:r w:rsidRPr="00D921B6">
              <w:rPr>
                <w:sz w:val="20"/>
                <w:szCs w:val="20"/>
              </w:rPr>
              <w:t xml:space="preserve">Incorrecto </w:t>
            </w:r>
            <w:proofErr w:type="gramStart"/>
            <w:r w:rsidRPr="00D921B6">
              <w:rPr>
                <w:sz w:val="20"/>
                <w:szCs w:val="20"/>
              </w:rPr>
              <w:t>espesor  y</w:t>
            </w:r>
            <w:proofErr w:type="gramEnd"/>
            <w:r w:rsidRPr="00D921B6">
              <w:rPr>
                <w:sz w:val="20"/>
                <w:szCs w:val="20"/>
              </w:rPr>
              <w:t xml:space="preserve"> anchura del relleno elástico que ocasiona excesivo hundimiento y abultamiento en los movimientos de apertura y cierre afectando al nivel de comodidad del tráfico</w:t>
            </w:r>
          </w:p>
          <w:p w14:paraId="72E4042A" w14:textId="77777777" w:rsidR="0071280A" w:rsidRPr="00D921B6" w:rsidRDefault="0071280A" w:rsidP="0042506C">
            <w:pPr>
              <w:pStyle w:val="Tabla1"/>
              <w:rPr>
                <w:sz w:val="20"/>
                <w:szCs w:val="20"/>
              </w:rPr>
            </w:pPr>
          </w:p>
        </w:tc>
        <w:tc>
          <w:tcPr>
            <w:tcW w:w="2801" w:type="pct"/>
            <w:tcBorders>
              <w:top w:val="single" w:sz="4" w:space="0" w:color="auto"/>
              <w:bottom w:val="single" w:sz="4" w:space="0" w:color="auto"/>
            </w:tcBorders>
            <w:noWrap/>
          </w:tcPr>
          <w:p w14:paraId="3080BF16" w14:textId="77777777" w:rsidR="002F141E" w:rsidRPr="00D921B6" w:rsidRDefault="002F141E" w:rsidP="0042506C">
            <w:pPr>
              <w:pStyle w:val="Tabla1"/>
              <w:rPr>
                <w:sz w:val="20"/>
                <w:szCs w:val="20"/>
              </w:rPr>
            </w:pPr>
            <w:r w:rsidRPr="00D921B6">
              <w:rPr>
                <w:sz w:val="20"/>
                <w:szCs w:val="20"/>
              </w:rPr>
              <w:t xml:space="preserve">Será inadmisible por lo que </w:t>
            </w:r>
            <w:proofErr w:type="gramStart"/>
            <w:r w:rsidRPr="00D921B6">
              <w:rPr>
                <w:sz w:val="20"/>
                <w:szCs w:val="20"/>
              </w:rPr>
              <w:t>el contratista junto con el director de obra deberán</w:t>
            </w:r>
            <w:proofErr w:type="gramEnd"/>
            <w:r w:rsidRPr="00D921B6">
              <w:rPr>
                <w:sz w:val="20"/>
                <w:szCs w:val="20"/>
              </w:rPr>
              <w:t xml:space="preserve"> adoptar una solución adecuada que permita remedirá dicho problema.</w:t>
            </w:r>
          </w:p>
        </w:tc>
      </w:tr>
      <w:tr w:rsidR="002F141E" w:rsidRPr="00AE4720" w14:paraId="25AD83AC" w14:textId="77777777" w:rsidTr="002F141E">
        <w:tc>
          <w:tcPr>
            <w:tcW w:w="2199" w:type="pct"/>
            <w:tcBorders>
              <w:top w:val="single" w:sz="4" w:space="0" w:color="auto"/>
              <w:bottom w:val="single" w:sz="4" w:space="0" w:color="auto"/>
            </w:tcBorders>
            <w:noWrap/>
          </w:tcPr>
          <w:p w14:paraId="77F4ACCF" w14:textId="77777777" w:rsidR="002F141E" w:rsidRPr="00D921B6" w:rsidRDefault="002F141E" w:rsidP="0042506C">
            <w:pPr>
              <w:pStyle w:val="Tabla1"/>
              <w:rPr>
                <w:sz w:val="20"/>
                <w:szCs w:val="20"/>
              </w:rPr>
            </w:pPr>
            <w:r w:rsidRPr="00D921B6">
              <w:rPr>
                <w:sz w:val="20"/>
                <w:szCs w:val="20"/>
              </w:rPr>
              <w:t>Degradación con expulsión de material en las bandas de transición o en pavimento</w:t>
            </w:r>
          </w:p>
        </w:tc>
        <w:tc>
          <w:tcPr>
            <w:tcW w:w="2801" w:type="pct"/>
            <w:tcBorders>
              <w:top w:val="single" w:sz="4" w:space="0" w:color="auto"/>
              <w:bottom w:val="single" w:sz="4" w:space="0" w:color="auto"/>
            </w:tcBorders>
            <w:noWrap/>
          </w:tcPr>
          <w:p w14:paraId="00966BAD" w14:textId="77777777" w:rsidR="002F141E" w:rsidRPr="00D921B6" w:rsidRDefault="002F141E" w:rsidP="0042506C">
            <w:pPr>
              <w:pStyle w:val="Tabla1"/>
              <w:rPr>
                <w:sz w:val="20"/>
                <w:szCs w:val="20"/>
              </w:rPr>
            </w:pPr>
            <w:r w:rsidRPr="00D921B6">
              <w:rPr>
                <w:sz w:val="20"/>
                <w:szCs w:val="20"/>
              </w:rPr>
              <w:t xml:space="preserve">Será inadmisible por lo que </w:t>
            </w:r>
            <w:proofErr w:type="gramStart"/>
            <w:r w:rsidRPr="00D921B6">
              <w:rPr>
                <w:sz w:val="20"/>
                <w:szCs w:val="20"/>
              </w:rPr>
              <w:t>el contratista junto con el director de obra deberán</w:t>
            </w:r>
            <w:proofErr w:type="gramEnd"/>
            <w:r w:rsidRPr="00D921B6">
              <w:rPr>
                <w:sz w:val="20"/>
                <w:szCs w:val="20"/>
              </w:rPr>
              <w:t xml:space="preserve"> adoptar una solución adecuada que permita remedirá dicho problema.</w:t>
            </w:r>
          </w:p>
        </w:tc>
      </w:tr>
      <w:tr w:rsidR="002F141E" w:rsidRPr="00AE4720" w14:paraId="3475F822" w14:textId="77777777" w:rsidTr="002F141E">
        <w:trPr>
          <w:trHeight w:val="1156"/>
        </w:trPr>
        <w:tc>
          <w:tcPr>
            <w:tcW w:w="2199" w:type="pct"/>
            <w:noWrap/>
          </w:tcPr>
          <w:p w14:paraId="0CA11D54" w14:textId="77777777" w:rsidR="002F141E" w:rsidRPr="00D921B6" w:rsidRDefault="002F141E" w:rsidP="0042506C">
            <w:pPr>
              <w:pStyle w:val="Tabla1"/>
              <w:rPr>
                <w:sz w:val="20"/>
                <w:szCs w:val="20"/>
              </w:rPr>
            </w:pPr>
            <w:r w:rsidRPr="00D921B6">
              <w:rPr>
                <w:sz w:val="20"/>
                <w:szCs w:val="20"/>
              </w:rPr>
              <w:t>Colocación de un tipo de junta diferente al definido en el informe.</w:t>
            </w:r>
          </w:p>
        </w:tc>
        <w:tc>
          <w:tcPr>
            <w:tcW w:w="2801" w:type="pct"/>
            <w:noWrap/>
          </w:tcPr>
          <w:p w14:paraId="1BEED534" w14:textId="77777777" w:rsidR="002F141E" w:rsidRPr="00D921B6" w:rsidRDefault="002F141E" w:rsidP="0042506C">
            <w:pPr>
              <w:pStyle w:val="Tabla1"/>
              <w:rPr>
                <w:sz w:val="20"/>
                <w:szCs w:val="20"/>
              </w:rPr>
            </w:pPr>
            <w:r w:rsidRPr="00D921B6">
              <w:rPr>
                <w:sz w:val="20"/>
                <w:szCs w:val="20"/>
              </w:rPr>
              <w:t xml:space="preserve">El </w:t>
            </w:r>
            <w:proofErr w:type="gramStart"/>
            <w:r w:rsidRPr="00D921B6">
              <w:rPr>
                <w:sz w:val="20"/>
                <w:szCs w:val="20"/>
              </w:rPr>
              <w:t>Director</w:t>
            </w:r>
            <w:proofErr w:type="gramEnd"/>
            <w:r w:rsidRPr="00D921B6">
              <w:rPr>
                <w:sz w:val="20"/>
                <w:szCs w:val="20"/>
              </w:rPr>
              <w:t xml:space="preserve"> de Obra exigirá la realización del plano correspondiente a la junta a colocar, recogiendo todos los detalles de colocación y reglaje expuesto </w:t>
            </w:r>
            <w:proofErr w:type="gramStart"/>
            <w:r w:rsidRPr="00D921B6">
              <w:rPr>
                <w:sz w:val="20"/>
                <w:szCs w:val="20"/>
              </w:rPr>
              <w:t>anteriormente</w:t>
            </w:r>
            <w:proofErr w:type="gramEnd"/>
            <w:r w:rsidRPr="00D921B6">
              <w:rPr>
                <w:sz w:val="20"/>
                <w:szCs w:val="20"/>
              </w:rPr>
              <w:t xml:space="preserve">, revisando </w:t>
            </w:r>
            <w:proofErr w:type="gramStart"/>
            <w:r w:rsidRPr="00D921B6">
              <w:rPr>
                <w:sz w:val="20"/>
                <w:szCs w:val="20"/>
              </w:rPr>
              <w:t>especialmente</w:t>
            </w:r>
            <w:proofErr w:type="gramEnd"/>
            <w:r w:rsidRPr="00D921B6">
              <w:rPr>
                <w:sz w:val="20"/>
                <w:szCs w:val="20"/>
              </w:rPr>
              <w:t xml:space="preserve"> la estanqueidad, cuando ésta sea necesaria.</w:t>
            </w:r>
          </w:p>
        </w:tc>
      </w:tr>
    </w:tbl>
    <w:p w14:paraId="2CBCF014" w14:textId="77777777" w:rsidR="00DD2C71" w:rsidRPr="00BF1789" w:rsidRDefault="00DD2C71" w:rsidP="000313DD">
      <w:pPr>
        <w:pStyle w:val="TITU2"/>
      </w:pPr>
      <w:bookmarkStart w:id="970" w:name="_Toc448916176"/>
      <w:bookmarkStart w:id="971" w:name="_Toc404512"/>
      <w:r>
        <w:t xml:space="preserve">694b.9. </w:t>
      </w:r>
      <w:r w:rsidR="00036C21">
        <w:t xml:space="preserve"> </w:t>
      </w:r>
      <w:r w:rsidRPr="00BF1789">
        <w:t xml:space="preserve">Medición </w:t>
      </w:r>
      <w:r>
        <w:t>y</w:t>
      </w:r>
      <w:r w:rsidRPr="00BF1789">
        <w:t xml:space="preserve"> Abono</w:t>
      </w:r>
      <w:bookmarkEnd w:id="970"/>
      <w:bookmarkEnd w:id="971"/>
    </w:p>
    <w:p w14:paraId="6753088A" w14:textId="77777777" w:rsidR="00DD2C71" w:rsidRPr="00BF1789" w:rsidRDefault="00DD2C71" w:rsidP="00DD2C71">
      <w:pPr>
        <w:pStyle w:val="NORMAL12"/>
      </w:pPr>
      <w:r>
        <w:t>La medición y el abono de la</w:t>
      </w:r>
      <w:r w:rsidRPr="00BF1789">
        <w:t xml:space="preserve"> unidad de junta de betún modificado </w:t>
      </w:r>
      <w:r w:rsidR="00D93E76">
        <w:t xml:space="preserve">se </w:t>
      </w:r>
      <w:r w:rsidR="00D93E76" w:rsidRPr="00BF1789">
        <w:t>realizarán</w:t>
      </w:r>
      <w:r w:rsidRPr="00BF1789">
        <w:t xml:space="preserve"> conforme a las siguientes prescripciones: </w:t>
      </w: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8"/>
        <w:gridCol w:w="6073"/>
      </w:tblGrid>
      <w:tr w:rsidR="00DD2C71" w:rsidRPr="00AE4720" w14:paraId="266F97B2" w14:textId="77777777" w:rsidTr="00174ED1">
        <w:trPr>
          <w:jc w:val="center"/>
        </w:trPr>
        <w:tc>
          <w:tcPr>
            <w:tcW w:w="0" w:type="auto"/>
            <w:vAlign w:val="center"/>
          </w:tcPr>
          <w:p w14:paraId="777B9373" w14:textId="77777777" w:rsidR="00DD2C71" w:rsidRPr="00BF1789" w:rsidRDefault="00DD2C71" w:rsidP="00174ED1">
            <w:pPr>
              <w:pStyle w:val="Tabla"/>
              <w:rPr>
                <w:b/>
              </w:rPr>
            </w:pPr>
            <w:r w:rsidRPr="00BF1789">
              <w:rPr>
                <w:b/>
              </w:rPr>
              <w:t>Unidad de medida</w:t>
            </w:r>
          </w:p>
        </w:tc>
        <w:tc>
          <w:tcPr>
            <w:tcW w:w="6073" w:type="dxa"/>
            <w:vAlign w:val="center"/>
          </w:tcPr>
          <w:p w14:paraId="5AD487EE" w14:textId="77777777" w:rsidR="00DD2C71" w:rsidRPr="002005BA" w:rsidRDefault="00DD2C71" w:rsidP="00666B72">
            <w:pPr>
              <w:pStyle w:val="LCATabla"/>
              <w:keepLines/>
              <w:jc w:val="both"/>
              <w:rPr>
                <w:rFonts w:ascii="Arial" w:hAnsi="Arial"/>
                <w:sz w:val="20"/>
              </w:rPr>
            </w:pPr>
            <w:r w:rsidRPr="002005BA">
              <w:rPr>
                <w:rFonts w:ascii="Arial" w:hAnsi="Arial"/>
                <w:sz w:val="20"/>
              </w:rPr>
              <w:t>Metro (m).</w:t>
            </w:r>
          </w:p>
        </w:tc>
      </w:tr>
      <w:tr w:rsidR="00DD2C71" w:rsidRPr="00AE4720" w14:paraId="682946D0" w14:textId="77777777" w:rsidTr="00174ED1">
        <w:trPr>
          <w:jc w:val="center"/>
        </w:trPr>
        <w:tc>
          <w:tcPr>
            <w:tcW w:w="0" w:type="auto"/>
            <w:vAlign w:val="center"/>
          </w:tcPr>
          <w:p w14:paraId="221B402A" w14:textId="77777777" w:rsidR="00DD2C71" w:rsidRPr="00BF1789" w:rsidRDefault="00DD2C71" w:rsidP="00174ED1">
            <w:pPr>
              <w:pStyle w:val="Tabla"/>
              <w:rPr>
                <w:b/>
              </w:rPr>
            </w:pPr>
            <w:r w:rsidRPr="00BF1789">
              <w:rPr>
                <w:b/>
              </w:rPr>
              <w:t>Grado de precisión</w:t>
            </w:r>
          </w:p>
        </w:tc>
        <w:tc>
          <w:tcPr>
            <w:tcW w:w="6073" w:type="dxa"/>
            <w:vAlign w:val="center"/>
          </w:tcPr>
          <w:p w14:paraId="0A793D17" w14:textId="77777777" w:rsidR="00DD2C71" w:rsidRPr="002005BA" w:rsidRDefault="00DD2C71" w:rsidP="00666B72">
            <w:pPr>
              <w:pStyle w:val="LCATabla"/>
              <w:keepLines/>
              <w:jc w:val="both"/>
              <w:rPr>
                <w:rFonts w:ascii="Arial" w:hAnsi="Arial"/>
                <w:sz w:val="20"/>
              </w:rPr>
            </w:pPr>
            <w:r w:rsidRPr="002005BA">
              <w:rPr>
                <w:rFonts w:ascii="Arial" w:hAnsi="Arial"/>
                <w:sz w:val="20"/>
              </w:rPr>
              <w:t>Dos decimales</w:t>
            </w:r>
          </w:p>
        </w:tc>
      </w:tr>
      <w:tr w:rsidR="00DD2C71" w:rsidRPr="00AE4720" w14:paraId="393BA811" w14:textId="77777777" w:rsidTr="00174ED1">
        <w:trPr>
          <w:jc w:val="center"/>
        </w:trPr>
        <w:tc>
          <w:tcPr>
            <w:tcW w:w="0" w:type="auto"/>
            <w:vAlign w:val="center"/>
          </w:tcPr>
          <w:p w14:paraId="128E80E4" w14:textId="77777777" w:rsidR="00DD2C71" w:rsidRPr="00BF1789" w:rsidRDefault="00DD2C71" w:rsidP="00174ED1">
            <w:pPr>
              <w:pStyle w:val="Tabla"/>
              <w:rPr>
                <w:b/>
              </w:rPr>
            </w:pPr>
            <w:r w:rsidRPr="00BF1789">
              <w:rPr>
                <w:b/>
              </w:rPr>
              <w:t>Forma de medición</w:t>
            </w:r>
          </w:p>
        </w:tc>
        <w:tc>
          <w:tcPr>
            <w:tcW w:w="6073" w:type="dxa"/>
            <w:vAlign w:val="center"/>
          </w:tcPr>
          <w:p w14:paraId="7FF370CF" w14:textId="77777777" w:rsidR="00DD2C71" w:rsidRPr="002005BA" w:rsidRDefault="00DD2C71" w:rsidP="00666B72">
            <w:pPr>
              <w:pStyle w:val="LCATabla"/>
              <w:keepLines/>
              <w:jc w:val="both"/>
              <w:rPr>
                <w:rFonts w:ascii="Arial" w:hAnsi="Arial"/>
                <w:sz w:val="20"/>
              </w:rPr>
            </w:pPr>
            <w:r w:rsidRPr="002005BA">
              <w:rPr>
                <w:rFonts w:ascii="Arial" w:hAnsi="Arial"/>
                <w:sz w:val="20"/>
              </w:rPr>
              <w:t>Medición de longitud realmente colocada en obra.</w:t>
            </w:r>
          </w:p>
        </w:tc>
      </w:tr>
      <w:tr w:rsidR="00DD2C71" w:rsidRPr="00AE4720" w14:paraId="152BE46A" w14:textId="77777777" w:rsidTr="00174ED1">
        <w:trPr>
          <w:jc w:val="center"/>
        </w:trPr>
        <w:tc>
          <w:tcPr>
            <w:tcW w:w="0" w:type="auto"/>
            <w:vAlign w:val="center"/>
          </w:tcPr>
          <w:p w14:paraId="40AB592F" w14:textId="77777777" w:rsidR="00DD2C71" w:rsidRPr="00BF1789" w:rsidRDefault="00DD2C71" w:rsidP="00174ED1">
            <w:pPr>
              <w:pStyle w:val="Tabla"/>
              <w:rPr>
                <w:b/>
              </w:rPr>
            </w:pPr>
            <w:r w:rsidRPr="00BF1789">
              <w:rPr>
                <w:b/>
              </w:rPr>
              <w:t>Abono</w:t>
            </w:r>
          </w:p>
        </w:tc>
        <w:tc>
          <w:tcPr>
            <w:tcW w:w="6073" w:type="dxa"/>
            <w:vAlign w:val="center"/>
          </w:tcPr>
          <w:p w14:paraId="08894515" w14:textId="77777777" w:rsidR="00DD2C71" w:rsidRPr="002005BA" w:rsidRDefault="00DD2C71" w:rsidP="00666B72">
            <w:pPr>
              <w:pStyle w:val="LCATabla"/>
              <w:keepLines/>
              <w:jc w:val="both"/>
              <w:rPr>
                <w:rFonts w:ascii="Arial" w:hAnsi="Arial"/>
                <w:sz w:val="20"/>
              </w:rPr>
            </w:pPr>
            <w:r w:rsidRPr="002005BA">
              <w:rPr>
                <w:rFonts w:ascii="Arial" w:hAnsi="Arial"/>
                <w:sz w:val="20"/>
              </w:rPr>
              <w:t>Se efectuará cuando se realice la aceptación.</w:t>
            </w:r>
          </w:p>
        </w:tc>
      </w:tr>
      <w:tr w:rsidR="00DD2C71" w:rsidRPr="00AE4720" w14:paraId="4C8716B7" w14:textId="77777777" w:rsidTr="00174ED1">
        <w:trPr>
          <w:jc w:val="center"/>
        </w:trPr>
        <w:tc>
          <w:tcPr>
            <w:tcW w:w="0" w:type="auto"/>
            <w:vAlign w:val="center"/>
          </w:tcPr>
          <w:p w14:paraId="4FE6694F" w14:textId="77777777" w:rsidR="00DD2C71" w:rsidRPr="00BF1789" w:rsidRDefault="00DD2C71" w:rsidP="00174ED1">
            <w:pPr>
              <w:pStyle w:val="Tabla"/>
              <w:rPr>
                <w:b/>
              </w:rPr>
            </w:pPr>
            <w:r w:rsidRPr="00BF1789">
              <w:rPr>
                <w:b/>
              </w:rPr>
              <w:t>Criterios complementarios</w:t>
            </w:r>
          </w:p>
        </w:tc>
        <w:tc>
          <w:tcPr>
            <w:tcW w:w="6073" w:type="dxa"/>
            <w:vAlign w:val="center"/>
          </w:tcPr>
          <w:p w14:paraId="5562DB62" w14:textId="77777777" w:rsidR="00DD2C71" w:rsidRPr="002005BA" w:rsidRDefault="00DD2C71" w:rsidP="00666B72">
            <w:pPr>
              <w:pStyle w:val="LCATabla"/>
              <w:keepLines/>
              <w:jc w:val="both"/>
              <w:rPr>
                <w:rFonts w:ascii="Arial" w:hAnsi="Arial"/>
                <w:sz w:val="20"/>
              </w:rPr>
            </w:pPr>
            <w:r w:rsidRPr="002005BA">
              <w:rPr>
                <w:rFonts w:ascii="Arial" w:hAnsi="Arial"/>
                <w:sz w:val="20"/>
              </w:rPr>
              <w:t>El precio incluye materiales, transporte y colocación además de todas las operaciones y medios auxiliares necesarios para la correcta ejecución, incluso corte de pavimento y limpieza previa a la reposición.</w:t>
            </w:r>
          </w:p>
        </w:tc>
      </w:tr>
    </w:tbl>
    <w:p w14:paraId="757F5BB2" w14:textId="77777777" w:rsidR="00DD2C71" w:rsidRPr="00793E16" w:rsidRDefault="00DD2C71" w:rsidP="00DD2C71">
      <w:pPr>
        <w:pStyle w:val="NORMAL12"/>
        <w:rPr>
          <w:sz w:val="10"/>
          <w:szCs w:val="10"/>
          <w:lang w:val="es-ES"/>
        </w:rPr>
      </w:pPr>
    </w:p>
    <w:p w14:paraId="31EDA71D" w14:textId="77777777" w:rsidR="001E6CAF" w:rsidRDefault="001E6CAF" w:rsidP="001E6CAF">
      <w:pPr>
        <w:pStyle w:val="TITU1"/>
        <w:rPr>
          <w:lang w:val="es-ES_tradnl"/>
        </w:rPr>
      </w:pPr>
      <w:bookmarkStart w:id="972" w:name="_Toc404513"/>
      <w:r w:rsidRPr="00103474">
        <w:rPr>
          <w:lang w:val="es-ES_tradnl"/>
        </w:rPr>
        <w:lastRenderedPageBreak/>
        <w:t>Artículo 695. Prueba de carga</w:t>
      </w:r>
      <w:bookmarkEnd w:id="972"/>
    </w:p>
    <w:p w14:paraId="0530C94C" w14:textId="77777777" w:rsidR="0087576F" w:rsidRPr="0087576F" w:rsidRDefault="0087576F" w:rsidP="0087576F">
      <w:pPr>
        <w:pStyle w:val="NORMAL12"/>
      </w:pPr>
      <w:r w:rsidRPr="003B1816">
        <w:t>Excepto para lo especificado en el presente Pliego de Prescripciones Técnicas particulares se seguirá lo prescrito en el vigente artículo 69</w:t>
      </w:r>
      <w:r>
        <w:t>5</w:t>
      </w:r>
      <w:r w:rsidRPr="003B1816">
        <w:t xml:space="preserve"> del PG-3.</w:t>
      </w:r>
    </w:p>
    <w:p w14:paraId="3BA72035" w14:textId="77777777" w:rsidR="001E6CAF" w:rsidRPr="00A8316A" w:rsidRDefault="001E6CAF" w:rsidP="000313DD">
      <w:pPr>
        <w:pStyle w:val="TITU2"/>
      </w:pPr>
      <w:bookmarkStart w:id="973" w:name="_Toc404514"/>
      <w:r w:rsidRPr="00A8316A">
        <w:t xml:space="preserve">695.1. </w:t>
      </w:r>
      <w:r w:rsidR="00036C21">
        <w:t xml:space="preserve"> </w:t>
      </w:r>
      <w:r w:rsidRPr="00A8316A">
        <w:t>Definición</w:t>
      </w:r>
      <w:r w:rsidR="00E15D87">
        <w:t xml:space="preserve"> y aplicación</w:t>
      </w:r>
      <w:bookmarkEnd w:id="973"/>
    </w:p>
    <w:p w14:paraId="158B628E" w14:textId="77777777" w:rsidR="001E6CAF" w:rsidRPr="00451A88" w:rsidRDefault="001E6CAF" w:rsidP="00451A88">
      <w:pPr>
        <w:pStyle w:val="NORMAL12"/>
      </w:pPr>
      <w:r w:rsidRPr="00451A88">
        <w:t xml:space="preserve">Con el fin de controlar la adecuada concepción y la buena ejecución del nuevo vano central </w:t>
      </w:r>
      <w:proofErr w:type="gramStart"/>
      <w:r w:rsidRPr="00451A88">
        <w:t>de los tablero</w:t>
      </w:r>
      <w:proofErr w:type="gramEnd"/>
      <w:r w:rsidRPr="00451A88">
        <w:t xml:space="preserve"> de la estructura mediante el examen de su comportamiento bajo las cargas de explotación, se llevará a cabo una prueba de carga de cada vano nuevo del proyecto y control de mediciones, de acuerdo con las directrices generales incluidas en las "Recomendaciones para la Realización de Pruebas de Carga de Recepción en Puentes de Carretera", del Ministerio de Fomento (D.G.C.), de 1999.</w:t>
      </w:r>
    </w:p>
    <w:p w14:paraId="1F509823" w14:textId="77777777" w:rsidR="001E6CAF" w:rsidRPr="00451A88" w:rsidRDefault="001E6CAF" w:rsidP="00451A88">
      <w:pPr>
        <w:pStyle w:val="NORMAL12"/>
      </w:pPr>
      <w:r w:rsidRPr="00451A88">
        <w:t>El Contratista Adjudicatario deberá presentar un proyecto de prueba de carga conforme a la citada Normativa una vez defina con precisión los vehículos que va a utilizar para la realización de dicha prueba.</w:t>
      </w:r>
    </w:p>
    <w:p w14:paraId="71E9332E" w14:textId="77777777" w:rsidR="001E6CAF" w:rsidRPr="00103474" w:rsidRDefault="001E6CAF" w:rsidP="001E6CAF">
      <w:pPr>
        <w:pStyle w:val="NORMAL12"/>
        <w:rPr>
          <w:lang w:val="es-ES"/>
        </w:rPr>
      </w:pPr>
      <w:r w:rsidRPr="00103474">
        <w:rPr>
          <w:lang w:val="es-ES"/>
        </w:rPr>
        <w:t xml:space="preserve">Las prescripciones del presente artículo </w:t>
      </w:r>
      <w:proofErr w:type="gramStart"/>
      <w:r w:rsidRPr="00103474">
        <w:rPr>
          <w:lang w:val="es-ES"/>
        </w:rPr>
        <w:t>son de aplicación</w:t>
      </w:r>
      <w:proofErr w:type="gramEnd"/>
      <w:r w:rsidRPr="00103474">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330"/>
        <w:gridCol w:w="643"/>
        <w:gridCol w:w="7805"/>
      </w:tblGrid>
      <w:tr w:rsidR="001E6CAF" w:rsidRPr="005864C2" w14:paraId="2209FD8C" w14:textId="77777777" w:rsidTr="001E6CAF">
        <w:trPr>
          <w:trHeight w:val="955"/>
        </w:trPr>
        <w:tc>
          <w:tcPr>
            <w:tcW w:w="680" w:type="pct"/>
            <w:noWrap/>
          </w:tcPr>
          <w:p w14:paraId="1A5D5BF5" w14:textId="77777777" w:rsidR="001E6CAF" w:rsidRPr="00D921B6" w:rsidRDefault="001E6CAF" w:rsidP="001E6CAF">
            <w:pPr>
              <w:rPr>
                <w:rFonts w:ascii="Calibri" w:hAnsi="Calibri" w:cs="Calibri"/>
                <w:color w:val="000000"/>
              </w:rPr>
            </w:pPr>
            <w:r w:rsidRPr="00D921B6">
              <w:rPr>
                <w:rFonts w:ascii="Calibri" w:hAnsi="Calibri" w:cs="Calibri"/>
                <w:color w:val="000000"/>
              </w:rPr>
              <w:t xml:space="preserve">695.0010          </w:t>
            </w:r>
          </w:p>
        </w:tc>
        <w:tc>
          <w:tcPr>
            <w:tcW w:w="329" w:type="pct"/>
            <w:noWrap/>
          </w:tcPr>
          <w:p w14:paraId="0A9D7D61" w14:textId="77777777" w:rsidR="001E6CAF" w:rsidRPr="00D921B6" w:rsidRDefault="001E6CAF" w:rsidP="001E6CAF">
            <w:pPr>
              <w:rPr>
                <w:rFonts w:ascii="Calibri" w:hAnsi="Calibri" w:cs="Calibri"/>
                <w:color w:val="000000"/>
              </w:rPr>
            </w:pPr>
            <w:proofErr w:type="spellStart"/>
            <w:r w:rsidRPr="00D921B6">
              <w:rPr>
                <w:rFonts w:ascii="Calibri" w:hAnsi="Calibri" w:cs="Calibri"/>
                <w:color w:val="000000"/>
              </w:rPr>
              <w:t>ud</w:t>
            </w:r>
            <w:proofErr w:type="spellEnd"/>
          </w:p>
        </w:tc>
        <w:tc>
          <w:tcPr>
            <w:tcW w:w="3991" w:type="pct"/>
          </w:tcPr>
          <w:p w14:paraId="56DFAEA1" w14:textId="77777777" w:rsidR="001E6CAF" w:rsidRPr="00D921B6" w:rsidRDefault="00451A88" w:rsidP="00793E16">
            <w:pPr>
              <w:jc w:val="both"/>
              <w:rPr>
                <w:rFonts w:ascii="Calibri" w:hAnsi="Calibri" w:cs="Calibri"/>
                <w:color w:val="000000"/>
              </w:rPr>
            </w:pPr>
            <w:r w:rsidRPr="00D921B6">
              <w:rPr>
                <w:rFonts w:ascii="Calibri" w:hAnsi="Calibri" w:cs="Calibri"/>
                <w:color w:val="000000"/>
              </w:rPr>
              <w:t>REDACCIÓN DE "PROYECTO E INFORME DE PRUEBA DE CARGA" DESCRIBIENDO LOS MEDIOS EMPLEADOS Y LOS RESULTADOS OBTENIDOS i/ LA REALIZACIÓN DE LOS CÁLCULOS Y LA DEFINICIÓN DE LOS PLANOS QUE SE CONSIDERE NECESARIO, EN PUENTES ISOSTÁTICOS.</w:t>
            </w:r>
          </w:p>
          <w:p w14:paraId="5E3B3FC3" w14:textId="77777777" w:rsidR="00451A88" w:rsidRPr="00D921B6" w:rsidRDefault="00451A88" w:rsidP="00793E16">
            <w:pPr>
              <w:jc w:val="both"/>
              <w:rPr>
                <w:rFonts w:ascii="Calibri" w:hAnsi="Calibri" w:cs="Calibri"/>
                <w:color w:val="000000"/>
              </w:rPr>
            </w:pPr>
          </w:p>
        </w:tc>
      </w:tr>
      <w:tr w:rsidR="00294338" w:rsidRPr="005864C2" w14:paraId="69C2740C" w14:textId="77777777" w:rsidTr="001E6CAF">
        <w:trPr>
          <w:trHeight w:val="955"/>
        </w:trPr>
        <w:tc>
          <w:tcPr>
            <w:tcW w:w="680" w:type="pct"/>
            <w:noWrap/>
          </w:tcPr>
          <w:p w14:paraId="7450B84D" w14:textId="77777777" w:rsidR="00294338" w:rsidRPr="00D921B6" w:rsidRDefault="00294338" w:rsidP="00A5751E">
            <w:pPr>
              <w:rPr>
                <w:rFonts w:ascii="Calibri" w:hAnsi="Calibri" w:cs="Calibri"/>
                <w:color w:val="000000"/>
              </w:rPr>
            </w:pPr>
            <w:r w:rsidRPr="00D921B6">
              <w:rPr>
                <w:rFonts w:ascii="Calibri" w:hAnsi="Calibri" w:cs="Calibri"/>
                <w:color w:val="000000"/>
              </w:rPr>
              <w:t xml:space="preserve">695.0040          </w:t>
            </w:r>
          </w:p>
        </w:tc>
        <w:tc>
          <w:tcPr>
            <w:tcW w:w="329" w:type="pct"/>
            <w:noWrap/>
          </w:tcPr>
          <w:p w14:paraId="57BB5702" w14:textId="77777777" w:rsidR="00294338" w:rsidRPr="00D921B6" w:rsidRDefault="00294338" w:rsidP="00A5751E">
            <w:pPr>
              <w:rPr>
                <w:rFonts w:ascii="Calibri" w:hAnsi="Calibri" w:cs="Calibri"/>
                <w:color w:val="000000"/>
              </w:rPr>
            </w:pPr>
            <w:proofErr w:type="spellStart"/>
            <w:r w:rsidRPr="00D921B6">
              <w:rPr>
                <w:rFonts w:ascii="Calibri" w:hAnsi="Calibri" w:cs="Calibri"/>
                <w:color w:val="000000"/>
              </w:rPr>
              <w:t>ud</w:t>
            </w:r>
            <w:proofErr w:type="spellEnd"/>
          </w:p>
        </w:tc>
        <w:tc>
          <w:tcPr>
            <w:tcW w:w="3991" w:type="pct"/>
          </w:tcPr>
          <w:p w14:paraId="4905DD70" w14:textId="77777777" w:rsidR="00294338" w:rsidRPr="00D921B6" w:rsidRDefault="00294338" w:rsidP="00A5751E">
            <w:pPr>
              <w:jc w:val="both"/>
              <w:rPr>
                <w:rFonts w:ascii="Calibri" w:hAnsi="Calibri" w:cs="Calibri"/>
                <w:color w:val="000000"/>
              </w:rPr>
            </w:pPr>
            <w:r w:rsidRPr="00D921B6">
              <w:rPr>
                <w:rFonts w:ascii="Calibri" w:hAnsi="Calibri" w:cs="Calibri"/>
                <w:color w:val="000000"/>
              </w:rPr>
              <w:t xml:space="preserve">REALIZACIÓN DE PRUEBA DE CARGA EN PUENTE ISOSTÁTICO DE UN VANO </w:t>
            </w:r>
            <w:r w:rsidR="00666B72">
              <w:rPr>
                <w:rFonts w:ascii="Calibri" w:hAnsi="Calibri" w:cs="Calibri"/>
                <w:color w:val="000000"/>
              </w:rPr>
              <w:t>≤</w:t>
            </w:r>
            <w:r w:rsidRPr="00D921B6">
              <w:rPr>
                <w:rFonts w:ascii="Calibri" w:hAnsi="Calibri" w:cs="Calibri"/>
                <w:color w:val="000000"/>
              </w:rPr>
              <w:t xml:space="preserve"> 20 m O EN EL 1ER VANO DE UN PUENTE DE VARIOS VANOS ISOSTÁTICOS DE LUCES &lt;= 20 m</w:t>
            </w:r>
          </w:p>
          <w:p w14:paraId="010CF93E" w14:textId="77777777" w:rsidR="00294338" w:rsidRPr="00D921B6" w:rsidRDefault="00294338" w:rsidP="00A5751E">
            <w:pPr>
              <w:jc w:val="both"/>
              <w:rPr>
                <w:rFonts w:ascii="Calibri" w:hAnsi="Calibri" w:cs="Calibri"/>
                <w:color w:val="000000"/>
              </w:rPr>
            </w:pPr>
          </w:p>
        </w:tc>
      </w:tr>
      <w:tr w:rsidR="00294338" w:rsidRPr="005864C2" w14:paraId="593A4222" w14:textId="77777777" w:rsidTr="001E6CAF">
        <w:trPr>
          <w:trHeight w:val="955"/>
        </w:trPr>
        <w:tc>
          <w:tcPr>
            <w:tcW w:w="680" w:type="pct"/>
            <w:noWrap/>
          </w:tcPr>
          <w:p w14:paraId="63EAD6DC" w14:textId="77777777" w:rsidR="00294338" w:rsidRPr="00D921B6" w:rsidRDefault="00294338" w:rsidP="001E6CAF">
            <w:pPr>
              <w:rPr>
                <w:rFonts w:ascii="Calibri" w:hAnsi="Calibri" w:cs="Calibri"/>
                <w:color w:val="000000"/>
              </w:rPr>
            </w:pPr>
            <w:r w:rsidRPr="00D921B6">
              <w:rPr>
                <w:rFonts w:ascii="Calibri" w:hAnsi="Calibri" w:cs="Calibri"/>
                <w:color w:val="000000"/>
              </w:rPr>
              <w:t xml:space="preserve">695.0120          </w:t>
            </w:r>
          </w:p>
        </w:tc>
        <w:tc>
          <w:tcPr>
            <w:tcW w:w="329" w:type="pct"/>
            <w:noWrap/>
          </w:tcPr>
          <w:p w14:paraId="4341ADCF" w14:textId="77777777" w:rsidR="00294338" w:rsidRPr="00D921B6" w:rsidRDefault="00294338" w:rsidP="001E6CAF">
            <w:pPr>
              <w:rPr>
                <w:rFonts w:ascii="Calibri" w:hAnsi="Calibri" w:cs="Calibri"/>
                <w:color w:val="000000"/>
              </w:rPr>
            </w:pPr>
            <w:proofErr w:type="spellStart"/>
            <w:r w:rsidRPr="00D921B6">
              <w:rPr>
                <w:rFonts w:ascii="Calibri" w:hAnsi="Calibri" w:cs="Calibri"/>
                <w:color w:val="000000"/>
              </w:rPr>
              <w:t>ud</w:t>
            </w:r>
            <w:proofErr w:type="spellEnd"/>
          </w:p>
        </w:tc>
        <w:tc>
          <w:tcPr>
            <w:tcW w:w="3991" w:type="pct"/>
          </w:tcPr>
          <w:p w14:paraId="49B5A9A7" w14:textId="77777777" w:rsidR="00294338" w:rsidRPr="00D921B6" w:rsidRDefault="00294338" w:rsidP="00793E16">
            <w:pPr>
              <w:jc w:val="both"/>
              <w:rPr>
                <w:rFonts w:ascii="Calibri" w:hAnsi="Calibri" w:cs="Calibri"/>
                <w:color w:val="000000"/>
              </w:rPr>
            </w:pPr>
            <w:r w:rsidRPr="00D921B6">
              <w:rPr>
                <w:rFonts w:ascii="Calibri" w:hAnsi="Calibri" w:cs="Calibri"/>
                <w:color w:val="000000"/>
              </w:rPr>
              <w:t>PUESTA A DISPOSICIÓN Y PRESTACIÓN DE SERVICIO DE VEHÍCULO DE SUMINISTRO DE CARGA</w:t>
            </w:r>
          </w:p>
        </w:tc>
      </w:tr>
    </w:tbl>
    <w:p w14:paraId="2B0803B8" w14:textId="77777777" w:rsidR="001E6CAF" w:rsidRPr="00451A88" w:rsidRDefault="001E6CAF" w:rsidP="000313DD">
      <w:pPr>
        <w:pStyle w:val="TITU2"/>
      </w:pPr>
      <w:bookmarkStart w:id="974" w:name="_Toc404515"/>
      <w:r w:rsidRPr="00451A88">
        <w:t xml:space="preserve">695.2. </w:t>
      </w:r>
      <w:r w:rsidRPr="00451A88">
        <w:tab/>
        <w:t>Materiales</w:t>
      </w:r>
      <w:bookmarkEnd w:id="974"/>
    </w:p>
    <w:p w14:paraId="6D837CDD" w14:textId="77777777" w:rsidR="001E6CAF" w:rsidRPr="00451A88" w:rsidRDefault="001E6CAF" w:rsidP="00451A88">
      <w:pPr>
        <w:pStyle w:val="NORMAL12"/>
      </w:pPr>
      <w:proofErr w:type="gramStart"/>
      <w:r w:rsidRPr="00451A88">
        <w:t>Los camiones a utilizar</w:t>
      </w:r>
      <w:proofErr w:type="gramEnd"/>
      <w:r w:rsidRPr="00451A88">
        <w:t xml:space="preserve"> en la prueba de carga cumplirán los requisitos establecidos en las citadas Recomendaciones, de forma que las solicitaciones teóricas elegidas sean prácticamente idénticas a las producidas por los vehículos previstos.</w:t>
      </w:r>
    </w:p>
    <w:p w14:paraId="685A0E03" w14:textId="77777777" w:rsidR="001E6CAF" w:rsidRPr="00451A88" w:rsidRDefault="001E6CAF" w:rsidP="00451A88">
      <w:pPr>
        <w:pStyle w:val="NORMAL12"/>
      </w:pPr>
      <w:r w:rsidRPr="00451A88">
        <w:t xml:space="preserve">Los equipos de medida cumplirán lo especificado en dicha Recomendación, y serán manipulados por personal adecuadamente formado, de manera que los datos y resultados </w:t>
      </w:r>
      <w:r w:rsidRPr="00451A88">
        <w:t>respondan fehacientemente a la respuesta de la estructura en las diferentes fases de carga.</w:t>
      </w:r>
    </w:p>
    <w:p w14:paraId="61D8804D" w14:textId="77777777" w:rsidR="001E6CAF" w:rsidRPr="00103474" w:rsidRDefault="001E6CAF" w:rsidP="000313DD">
      <w:pPr>
        <w:pStyle w:val="TITU2"/>
      </w:pPr>
      <w:bookmarkStart w:id="975" w:name="_Toc404516"/>
      <w:r w:rsidRPr="00103474">
        <w:t xml:space="preserve">695.3. </w:t>
      </w:r>
      <w:r w:rsidRPr="00103474">
        <w:tab/>
        <w:t>Ejecución de la prueba</w:t>
      </w:r>
      <w:bookmarkEnd w:id="975"/>
    </w:p>
    <w:p w14:paraId="49BEE370" w14:textId="77777777" w:rsidR="001E6CAF" w:rsidRPr="00451A88" w:rsidRDefault="001E6CAF" w:rsidP="00451A88">
      <w:pPr>
        <w:pStyle w:val="NORMAL12"/>
      </w:pPr>
      <w:r w:rsidRPr="00451A88">
        <w:t>La obra se someterá a las pruebas de carga antes de abrirse al tráfico.</w:t>
      </w:r>
    </w:p>
    <w:p w14:paraId="3B2814E2" w14:textId="77777777" w:rsidR="001E6CAF" w:rsidRPr="00451A88" w:rsidRDefault="001E6CAF" w:rsidP="00451A88">
      <w:pPr>
        <w:pStyle w:val="NORMAL12"/>
      </w:pPr>
      <w:r w:rsidRPr="00451A88">
        <w:t xml:space="preserve">En el momento de iniciarse las pruebas, el hormigón de cualquier elemento resistente de la obra deberá haber presentado una resistencia superior a </w:t>
      </w:r>
      <w:proofErr w:type="spellStart"/>
      <w:r w:rsidRPr="00451A88">
        <w:t>fck</w:t>
      </w:r>
      <w:proofErr w:type="spellEnd"/>
      <w:r w:rsidRPr="00451A88">
        <w:t xml:space="preserve"> en los ensayos de rotura de probetas.</w:t>
      </w:r>
    </w:p>
    <w:p w14:paraId="0BB5E9BD" w14:textId="77777777" w:rsidR="001E6CAF" w:rsidRPr="00451A88" w:rsidRDefault="001E6CAF" w:rsidP="00451A88">
      <w:pPr>
        <w:pStyle w:val="NORMAL12"/>
      </w:pPr>
      <w:r w:rsidRPr="00451A88">
        <w:t>Antes de comenzar las pruebas se dispondrá de las características de los vehículos: dimensiones, cargas por eje y distancias entre vehículos con el fin de comprobar la adecuación con el proyecto previsto.</w:t>
      </w:r>
    </w:p>
    <w:p w14:paraId="5CD49DA6" w14:textId="77777777" w:rsidR="001E6CAF" w:rsidRPr="00451A88" w:rsidRDefault="001E6CAF" w:rsidP="00451A88">
      <w:pPr>
        <w:pStyle w:val="NORMAL12"/>
      </w:pPr>
      <w:r w:rsidRPr="00451A88">
        <w:t>Antes de comenzar las pruebas se realizará una inspección general de la estructura, incluyendo aparatos de apoyo, juntas y elementos singulares: diafragmas, mamparas, celosías internas, etc.</w:t>
      </w:r>
    </w:p>
    <w:p w14:paraId="63B0C6AA" w14:textId="77777777" w:rsidR="001E6CAF" w:rsidRPr="00451A88" w:rsidRDefault="001E6CAF" w:rsidP="00451A88">
      <w:pPr>
        <w:pStyle w:val="NORMAL12"/>
      </w:pPr>
      <w:r w:rsidRPr="00451A88">
        <w:t>Se comprobará, asimismo, que los elementos auxiliares de acceso a las zonas de control y trabajo estén correctamente adaptados con el fin de no retrasar o entorpecer el proceso de ensayo.</w:t>
      </w:r>
    </w:p>
    <w:p w14:paraId="0FC24E0A" w14:textId="77777777" w:rsidR="001E6CAF" w:rsidRPr="00451A88" w:rsidRDefault="001E6CAF" w:rsidP="00451A88">
      <w:pPr>
        <w:pStyle w:val="NORMAL12"/>
      </w:pPr>
      <w:r w:rsidRPr="00451A88">
        <w:t>Se controlarán especialmente las condiciones generales del ambiente, especialmente los cambios climatológicos y de las situaciones de soleamiento, previo y durante el proceso de ensayo, determinando claramente los aspectos específicos de estos cambios.</w:t>
      </w:r>
    </w:p>
    <w:p w14:paraId="2C3886CA" w14:textId="77777777" w:rsidR="001E6CAF" w:rsidRPr="00451A88" w:rsidRDefault="001E6CAF" w:rsidP="00451A88">
      <w:pPr>
        <w:pStyle w:val="NORMAL12"/>
      </w:pPr>
      <w:r w:rsidRPr="00451A88">
        <w:t xml:space="preserve">La medición de flechas se realizará mediante </w:t>
      </w:r>
      <w:proofErr w:type="spellStart"/>
      <w:r w:rsidRPr="00451A88">
        <w:t>flexímetros</w:t>
      </w:r>
      <w:proofErr w:type="spellEnd"/>
      <w:r w:rsidRPr="00451A88">
        <w:t xml:space="preserve">, colocados en los puntos de medida indicados en la Memoria de la Prueba de Carga, y </w:t>
      </w:r>
      <w:proofErr w:type="spellStart"/>
      <w:r w:rsidRPr="00451A88">
        <w:t>flexímetros</w:t>
      </w:r>
      <w:proofErr w:type="spellEnd"/>
      <w:r w:rsidRPr="00451A88">
        <w:t xml:space="preserve"> de contraste en los puntos de apoyo.</w:t>
      </w:r>
    </w:p>
    <w:p w14:paraId="0F97ACDB" w14:textId="77777777" w:rsidR="001E6CAF" w:rsidRPr="00451A88" w:rsidRDefault="001E6CAF" w:rsidP="00451A88">
      <w:pPr>
        <w:pStyle w:val="NORMAL12"/>
      </w:pPr>
      <w:r w:rsidRPr="00451A88">
        <w:t xml:space="preserve">Al finalizar las pruebas se redactará un Acta en la que, además de las observaciones que pueda estimar oportunas el </w:t>
      </w:r>
      <w:proofErr w:type="gramStart"/>
      <w:r w:rsidRPr="00451A88">
        <w:t>Director</w:t>
      </w:r>
      <w:proofErr w:type="gramEnd"/>
      <w:r w:rsidRPr="00451A88">
        <w:t xml:space="preserve"> de la obra, se incluirá:</w:t>
      </w:r>
    </w:p>
    <w:p w14:paraId="48CF0D3F" w14:textId="77777777" w:rsidR="001E6CAF" w:rsidRPr="00451A88" w:rsidRDefault="001E6CAF" w:rsidP="00221E1A">
      <w:pPr>
        <w:pStyle w:val="NORMAL12"/>
        <w:numPr>
          <w:ilvl w:val="0"/>
          <w:numId w:val="170"/>
        </w:numPr>
      </w:pPr>
      <w:r w:rsidRPr="00451A88">
        <w:t>Datos Generales.</w:t>
      </w:r>
    </w:p>
    <w:p w14:paraId="4A3C12DC" w14:textId="77777777" w:rsidR="001E6CAF" w:rsidRPr="00451A88" w:rsidRDefault="001E6CAF" w:rsidP="00221E1A">
      <w:pPr>
        <w:pStyle w:val="NORMAL12"/>
        <w:numPr>
          <w:ilvl w:val="0"/>
          <w:numId w:val="170"/>
        </w:numPr>
      </w:pPr>
      <w:r w:rsidRPr="00451A88">
        <w:t>Personas asistentes, organismos y/o empresas a quienes representan, fechas.</w:t>
      </w:r>
    </w:p>
    <w:p w14:paraId="7DAC6E1D" w14:textId="77777777" w:rsidR="001E6CAF" w:rsidRPr="00451A88" w:rsidRDefault="001E6CAF" w:rsidP="00221E1A">
      <w:pPr>
        <w:pStyle w:val="NORMAL12"/>
        <w:numPr>
          <w:ilvl w:val="0"/>
          <w:numId w:val="170"/>
        </w:numPr>
      </w:pPr>
      <w:r w:rsidRPr="00451A88">
        <w:t>Descripción de la prueba.</w:t>
      </w:r>
    </w:p>
    <w:p w14:paraId="5B0959D3" w14:textId="77777777" w:rsidR="001E6CAF" w:rsidRPr="00451A88" w:rsidRDefault="001E6CAF" w:rsidP="00221E1A">
      <w:pPr>
        <w:pStyle w:val="NORMAL12"/>
        <w:numPr>
          <w:ilvl w:val="0"/>
          <w:numId w:val="170"/>
        </w:numPr>
      </w:pPr>
      <w:r w:rsidRPr="00451A88">
        <w:t>Estado de la obra previo a la realización.</w:t>
      </w:r>
    </w:p>
    <w:p w14:paraId="10C7E745" w14:textId="77777777" w:rsidR="001E6CAF" w:rsidRPr="00451A88" w:rsidRDefault="001E6CAF" w:rsidP="00221E1A">
      <w:pPr>
        <w:pStyle w:val="NORMAL12"/>
        <w:numPr>
          <w:ilvl w:val="0"/>
          <w:numId w:val="170"/>
        </w:numPr>
      </w:pPr>
      <w:r w:rsidRPr="00451A88">
        <w:t>Movimientos medidos.</w:t>
      </w:r>
    </w:p>
    <w:p w14:paraId="5FFFFFF5" w14:textId="77777777" w:rsidR="001E6CAF" w:rsidRPr="00451A88" w:rsidRDefault="001E6CAF" w:rsidP="00451A88">
      <w:pPr>
        <w:pStyle w:val="NORMAL12"/>
      </w:pPr>
      <w:r w:rsidRPr="00451A88">
        <w:lastRenderedPageBreak/>
        <w:t>Se indicarán todos los detalles de interés que hayan sido observados en la inspección descrita.</w:t>
      </w:r>
    </w:p>
    <w:p w14:paraId="7B0B3530" w14:textId="77777777" w:rsidR="001E6CAF" w:rsidRPr="00A8316A" w:rsidRDefault="001E6CAF" w:rsidP="000313DD">
      <w:pPr>
        <w:pStyle w:val="TITU2"/>
      </w:pPr>
      <w:bookmarkStart w:id="976" w:name="_Toc404517"/>
      <w:r w:rsidRPr="00A8316A">
        <w:t>695.4.</w:t>
      </w:r>
      <w:r w:rsidRPr="00A8316A">
        <w:tab/>
      </w:r>
      <w:r w:rsidR="00451A88">
        <w:t xml:space="preserve"> </w:t>
      </w:r>
      <w:r w:rsidRPr="00A8316A">
        <w:t>Medición y abono</w:t>
      </w:r>
      <w:bookmarkEnd w:id="976"/>
    </w:p>
    <w:p w14:paraId="780474CF" w14:textId="77777777" w:rsidR="00E62DDC" w:rsidRPr="00451A88" w:rsidRDefault="00E62DDC" w:rsidP="00E62DDC">
      <w:pPr>
        <w:pStyle w:val="NORMAL12"/>
      </w:pPr>
      <w:r>
        <w:t xml:space="preserve">La </w:t>
      </w:r>
      <w:r w:rsidRPr="00451A88">
        <w:t xml:space="preserve">medición y abono de la </w:t>
      </w:r>
      <w:r>
        <w:t xml:space="preserve">redacción proyecto de la </w:t>
      </w:r>
      <w:r w:rsidRPr="00451A88">
        <w:t xml:space="preserve">prueba de carga se </w:t>
      </w:r>
      <w:r>
        <w:t>realizará según las prescripciones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61"/>
        <w:gridCol w:w="7617"/>
      </w:tblGrid>
      <w:tr w:rsidR="00E62DDC" w:rsidRPr="00451A88" w14:paraId="34A78E8E" w14:textId="77777777" w:rsidTr="007920B4">
        <w:tc>
          <w:tcPr>
            <w:tcW w:w="0" w:type="auto"/>
            <w:vAlign w:val="center"/>
          </w:tcPr>
          <w:p w14:paraId="5E022B7F" w14:textId="77777777" w:rsidR="00E62DDC" w:rsidRPr="00451A88" w:rsidRDefault="00E62DDC" w:rsidP="007920B4">
            <w:pPr>
              <w:spacing w:before="120" w:after="120"/>
              <w:jc w:val="center"/>
              <w:rPr>
                <w:rFonts w:ascii="Arial" w:hAnsi="Arial" w:cs="Arial"/>
                <w:b/>
                <w:bCs/>
                <w:sz w:val="20"/>
                <w:szCs w:val="20"/>
              </w:rPr>
            </w:pPr>
            <w:r w:rsidRPr="00451A88">
              <w:rPr>
                <w:rFonts w:ascii="Arial" w:hAnsi="Arial" w:cs="Arial"/>
                <w:b/>
                <w:bCs/>
                <w:sz w:val="20"/>
                <w:szCs w:val="20"/>
              </w:rPr>
              <w:t>Unidad de Medida</w:t>
            </w:r>
          </w:p>
        </w:tc>
        <w:tc>
          <w:tcPr>
            <w:tcW w:w="0" w:type="auto"/>
            <w:vAlign w:val="center"/>
          </w:tcPr>
          <w:p w14:paraId="144BA28C" w14:textId="77777777" w:rsidR="00E62DDC" w:rsidRPr="00451A88" w:rsidRDefault="00E62DDC" w:rsidP="00666B72">
            <w:pPr>
              <w:spacing w:before="120" w:after="120"/>
              <w:jc w:val="both"/>
              <w:rPr>
                <w:rFonts w:ascii="Arial" w:hAnsi="Arial" w:cs="Arial"/>
                <w:sz w:val="20"/>
                <w:szCs w:val="20"/>
              </w:rPr>
            </w:pPr>
            <w:r w:rsidRPr="00451A88">
              <w:rPr>
                <w:rFonts w:ascii="Arial" w:hAnsi="Arial" w:cs="Arial"/>
                <w:sz w:val="20"/>
                <w:szCs w:val="20"/>
              </w:rPr>
              <w:t>Unidad (</w:t>
            </w:r>
            <w:proofErr w:type="spellStart"/>
            <w:r w:rsidRPr="00451A88">
              <w:rPr>
                <w:rFonts w:ascii="Arial" w:hAnsi="Arial" w:cs="Arial"/>
                <w:sz w:val="20"/>
                <w:szCs w:val="20"/>
              </w:rPr>
              <w:t>ud</w:t>
            </w:r>
            <w:proofErr w:type="spellEnd"/>
            <w:r w:rsidRPr="00451A88">
              <w:rPr>
                <w:rFonts w:ascii="Arial" w:hAnsi="Arial" w:cs="Arial"/>
                <w:sz w:val="20"/>
                <w:szCs w:val="20"/>
              </w:rPr>
              <w:t>)</w:t>
            </w:r>
          </w:p>
        </w:tc>
      </w:tr>
      <w:tr w:rsidR="00E62DDC" w:rsidRPr="00451A88" w14:paraId="3896161C" w14:textId="77777777" w:rsidTr="007920B4">
        <w:tc>
          <w:tcPr>
            <w:tcW w:w="0" w:type="auto"/>
            <w:vAlign w:val="center"/>
          </w:tcPr>
          <w:p w14:paraId="1B14B22F" w14:textId="77777777" w:rsidR="00E62DDC" w:rsidRPr="00451A88" w:rsidRDefault="00E62DDC" w:rsidP="007920B4">
            <w:pPr>
              <w:spacing w:before="120" w:after="120"/>
              <w:jc w:val="center"/>
              <w:rPr>
                <w:rFonts w:ascii="Arial" w:hAnsi="Arial" w:cs="Arial"/>
                <w:b/>
                <w:bCs/>
                <w:sz w:val="20"/>
                <w:szCs w:val="20"/>
              </w:rPr>
            </w:pPr>
            <w:r w:rsidRPr="00451A88">
              <w:rPr>
                <w:rFonts w:ascii="Arial" w:hAnsi="Arial" w:cs="Arial"/>
                <w:b/>
                <w:bCs/>
                <w:sz w:val="20"/>
                <w:szCs w:val="20"/>
              </w:rPr>
              <w:t>Grado de precisión</w:t>
            </w:r>
          </w:p>
        </w:tc>
        <w:tc>
          <w:tcPr>
            <w:tcW w:w="0" w:type="auto"/>
            <w:vAlign w:val="center"/>
          </w:tcPr>
          <w:p w14:paraId="04046B54" w14:textId="77777777" w:rsidR="00E62DDC" w:rsidRPr="00451A88" w:rsidRDefault="00E62DDC" w:rsidP="00666B72">
            <w:pPr>
              <w:spacing w:before="120" w:after="120"/>
              <w:jc w:val="both"/>
              <w:rPr>
                <w:rFonts w:ascii="Arial" w:hAnsi="Arial" w:cs="Arial"/>
                <w:sz w:val="20"/>
                <w:szCs w:val="20"/>
              </w:rPr>
            </w:pPr>
            <w:r w:rsidRPr="00451A88">
              <w:rPr>
                <w:rFonts w:ascii="Arial" w:hAnsi="Arial" w:cs="Arial"/>
                <w:sz w:val="20"/>
                <w:szCs w:val="20"/>
              </w:rPr>
              <w:t xml:space="preserve">Unidades enteras </w:t>
            </w:r>
          </w:p>
        </w:tc>
      </w:tr>
      <w:tr w:rsidR="00E62DDC" w:rsidRPr="00451A88" w14:paraId="335D858A" w14:textId="77777777" w:rsidTr="007920B4">
        <w:tc>
          <w:tcPr>
            <w:tcW w:w="0" w:type="auto"/>
            <w:vAlign w:val="center"/>
          </w:tcPr>
          <w:p w14:paraId="70DB0A88" w14:textId="77777777" w:rsidR="00E62DDC" w:rsidRPr="00451A88" w:rsidRDefault="00E62DDC" w:rsidP="007920B4">
            <w:pPr>
              <w:spacing w:before="120" w:after="120"/>
              <w:jc w:val="center"/>
              <w:rPr>
                <w:rFonts w:ascii="Arial" w:hAnsi="Arial" w:cs="Arial"/>
                <w:b/>
                <w:bCs/>
                <w:sz w:val="20"/>
                <w:szCs w:val="20"/>
              </w:rPr>
            </w:pPr>
            <w:r w:rsidRPr="00451A88">
              <w:rPr>
                <w:rFonts w:ascii="Arial" w:hAnsi="Arial" w:cs="Arial"/>
                <w:b/>
                <w:bCs/>
                <w:sz w:val="20"/>
                <w:szCs w:val="20"/>
              </w:rPr>
              <w:t>Forma de medición</w:t>
            </w:r>
          </w:p>
        </w:tc>
        <w:tc>
          <w:tcPr>
            <w:tcW w:w="0" w:type="auto"/>
            <w:vAlign w:val="center"/>
          </w:tcPr>
          <w:p w14:paraId="1E3005DC" w14:textId="77777777" w:rsidR="00E62DDC" w:rsidRPr="00451A88" w:rsidRDefault="00E62DDC" w:rsidP="00666B72">
            <w:pPr>
              <w:spacing w:before="120" w:after="120"/>
              <w:jc w:val="both"/>
              <w:rPr>
                <w:rFonts w:ascii="Arial" w:hAnsi="Arial" w:cs="Arial"/>
                <w:sz w:val="20"/>
                <w:szCs w:val="20"/>
              </w:rPr>
            </w:pPr>
            <w:r>
              <w:rPr>
                <w:rFonts w:ascii="Arial" w:hAnsi="Arial" w:cs="Arial"/>
                <w:sz w:val="20"/>
                <w:szCs w:val="20"/>
              </w:rPr>
              <w:t>Proyecto e informe de prueba de carga</w:t>
            </w:r>
          </w:p>
        </w:tc>
      </w:tr>
      <w:tr w:rsidR="00E62DDC" w:rsidRPr="00451A88" w14:paraId="42A09254" w14:textId="77777777" w:rsidTr="007920B4">
        <w:tc>
          <w:tcPr>
            <w:tcW w:w="0" w:type="auto"/>
            <w:vAlign w:val="center"/>
          </w:tcPr>
          <w:p w14:paraId="25D8D6F3" w14:textId="77777777" w:rsidR="00E62DDC" w:rsidRPr="00451A88" w:rsidRDefault="00E62DDC" w:rsidP="007920B4">
            <w:pPr>
              <w:spacing w:before="120" w:after="120"/>
              <w:jc w:val="center"/>
              <w:rPr>
                <w:rFonts w:ascii="Arial" w:hAnsi="Arial" w:cs="Arial"/>
                <w:b/>
                <w:bCs/>
                <w:sz w:val="20"/>
                <w:szCs w:val="20"/>
              </w:rPr>
            </w:pPr>
            <w:r w:rsidRPr="00451A88">
              <w:rPr>
                <w:rFonts w:ascii="Arial" w:hAnsi="Arial" w:cs="Arial"/>
                <w:b/>
                <w:bCs/>
                <w:sz w:val="20"/>
                <w:szCs w:val="20"/>
              </w:rPr>
              <w:t>Abono</w:t>
            </w:r>
          </w:p>
        </w:tc>
        <w:tc>
          <w:tcPr>
            <w:tcW w:w="0" w:type="auto"/>
            <w:vAlign w:val="center"/>
          </w:tcPr>
          <w:p w14:paraId="0ABAFDA0" w14:textId="77777777" w:rsidR="00E62DDC" w:rsidRPr="00451A88" w:rsidRDefault="00E62DDC" w:rsidP="00666B72">
            <w:pPr>
              <w:spacing w:before="120" w:after="120"/>
              <w:jc w:val="both"/>
              <w:rPr>
                <w:rFonts w:ascii="Arial" w:hAnsi="Arial" w:cs="Arial"/>
                <w:sz w:val="20"/>
                <w:szCs w:val="20"/>
              </w:rPr>
            </w:pPr>
            <w:r w:rsidRPr="00451A88">
              <w:rPr>
                <w:rFonts w:ascii="Arial" w:hAnsi="Arial" w:cs="Arial"/>
                <w:sz w:val="20"/>
                <w:szCs w:val="20"/>
              </w:rPr>
              <w:t>Se efectuará cuando se realice la aceptación.</w:t>
            </w:r>
          </w:p>
        </w:tc>
      </w:tr>
      <w:tr w:rsidR="00E62DDC" w:rsidRPr="00451A88" w14:paraId="38774464" w14:textId="77777777" w:rsidTr="007920B4">
        <w:tc>
          <w:tcPr>
            <w:tcW w:w="0" w:type="auto"/>
            <w:vAlign w:val="center"/>
          </w:tcPr>
          <w:p w14:paraId="251A8AFE" w14:textId="77777777" w:rsidR="00E62DDC" w:rsidRPr="00451A88" w:rsidRDefault="00E62DDC" w:rsidP="007920B4">
            <w:pPr>
              <w:spacing w:before="120" w:after="120"/>
              <w:jc w:val="center"/>
              <w:rPr>
                <w:rFonts w:ascii="Arial" w:hAnsi="Arial" w:cs="Arial"/>
                <w:b/>
                <w:bCs/>
                <w:sz w:val="20"/>
                <w:szCs w:val="20"/>
              </w:rPr>
            </w:pPr>
            <w:r w:rsidRPr="00451A88">
              <w:rPr>
                <w:rFonts w:ascii="Arial" w:hAnsi="Arial" w:cs="Arial"/>
                <w:b/>
                <w:bCs/>
                <w:sz w:val="20"/>
                <w:szCs w:val="20"/>
              </w:rPr>
              <w:t>Criterios complementarios</w:t>
            </w:r>
          </w:p>
        </w:tc>
        <w:tc>
          <w:tcPr>
            <w:tcW w:w="0" w:type="auto"/>
            <w:vAlign w:val="center"/>
          </w:tcPr>
          <w:p w14:paraId="0652EA06" w14:textId="77777777" w:rsidR="00E62DDC" w:rsidRPr="00451A88" w:rsidRDefault="00E62DDC" w:rsidP="00666B72">
            <w:pPr>
              <w:spacing w:before="120" w:after="120"/>
              <w:jc w:val="both"/>
              <w:rPr>
                <w:rFonts w:ascii="Arial" w:hAnsi="Arial" w:cs="Arial"/>
                <w:sz w:val="20"/>
                <w:szCs w:val="20"/>
              </w:rPr>
            </w:pPr>
            <w:r w:rsidRPr="00451A88">
              <w:rPr>
                <w:rFonts w:ascii="Arial" w:hAnsi="Arial" w:cs="Arial"/>
                <w:sz w:val="20"/>
                <w:szCs w:val="20"/>
              </w:rPr>
              <w:t>El precio comprende todos los conceptos que se incluyen en la definición de la unidad de obra.</w:t>
            </w:r>
          </w:p>
          <w:p w14:paraId="35E8A10D" w14:textId="77777777" w:rsidR="00E62DDC" w:rsidRPr="00451A88" w:rsidRDefault="00E62DDC" w:rsidP="00666B72">
            <w:pPr>
              <w:spacing w:before="120" w:after="120"/>
              <w:jc w:val="both"/>
              <w:rPr>
                <w:rFonts w:ascii="Arial" w:hAnsi="Arial" w:cs="Arial"/>
                <w:sz w:val="20"/>
                <w:szCs w:val="20"/>
              </w:rPr>
            </w:pPr>
            <w:r w:rsidRPr="00451A88">
              <w:rPr>
                <w:rFonts w:ascii="Arial" w:hAnsi="Arial" w:cs="Arial"/>
                <w:sz w:val="20"/>
                <w:szCs w:val="20"/>
              </w:rPr>
              <w:t xml:space="preserve">Se incluye la redacción del proyecto con la definición </w:t>
            </w:r>
            <w:r>
              <w:rPr>
                <w:rFonts w:ascii="Arial" w:hAnsi="Arial" w:cs="Arial"/>
                <w:sz w:val="20"/>
                <w:szCs w:val="20"/>
              </w:rPr>
              <w:t xml:space="preserve">de los medios necesarios para la realización de la prueba de carga, cálculos y planos para la correcta definición de la </w:t>
            </w:r>
            <w:r w:rsidR="00217216">
              <w:rPr>
                <w:rFonts w:ascii="Arial" w:hAnsi="Arial" w:cs="Arial"/>
                <w:sz w:val="20"/>
                <w:szCs w:val="20"/>
              </w:rPr>
              <w:t>prueba</w:t>
            </w:r>
            <w:r>
              <w:rPr>
                <w:rFonts w:ascii="Arial" w:hAnsi="Arial" w:cs="Arial"/>
                <w:sz w:val="20"/>
                <w:szCs w:val="20"/>
              </w:rPr>
              <w:t xml:space="preserve"> y carga</w:t>
            </w:r>
            <w:r w:rsidRPr="00451A88">
              <w:rPr>
                <w:rFonts w:ascii="Arial" w:hAnsi="Arial" w:cs="Arial"/>
                <w:sz w:val="20"/>
                <w:szCs w:val="20"/>
              </w:rPr>
              <w:t xml:space="preserve">. </w:t>
            </w:r>
          </w:p>
        </w:tc>
      </w:tr>
    </w:tbl>
    <w:p w14:paraId="528793E8" w14:textId="77777777" w:rsidR="00E62DDC" w:rsidRDefault="00E62DDC" w:rsidP="00451A88">
      <w:pPr>
        <w:pStyle w:val="NORMAL12"/>
        <w:rPr>
          <w:lang w:val="es-ES"/>
        </w:rPr>
      </w:pPr>
    </w:p>
    <w:p w14:paraId="3642147B" w14:textId="77777777" w:rsidR="00E62DDC" w:rsidRPr="00451A88" w:rsidRDefault="00E62DDC" w:rsidP="00E62DDC">
      <w:pPr>
        <w:pStyle w:val="NORMAL12"/>
      </w:pPr>
      <w:r>
        <w:t>La medición y abono de la puesta a disposición de equipos de carga se realizará según las prescripciones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46"/>
        <w:gridCol w:w="7632"/>
      </w:tblGrid>
      <w:tr w:rsidR="00E62DDC" w:rsidRPr="00451A88" w14:paraId="4A20C6C6" w14:textId="77777777" w:rsidTr="007920B4">
        <w:tc>
          <w:tcPr>
            <w:tcW w:w="0" w:type="auto"/>
            <w:vAlign w:val="center"/>
          </w:tcPr>
          <w:p w14:paraId="20188D6D" w14:textId="77777777" w:rsidR="00E62DDC" w:rsidRPr="00451A88" w:rsidRDefault="00E62DDC" w:rsidP="007920B4">
            <w:pPr>
              <w:spacing w:before="120" w:after="120"/>
              <w:jc w:val="center"/>
              <w:rPr>
                <w:rFonts w:ascii="Arial" w:hAnsi="Arial" w:cs="Arial"/>
                <w:b/>
                <w:bCs/>
                <w:sz w:val="20"/>
                <w:szCs w:val="20"/>
              </w:rPr>
            </w:pPr>
            <w:r w:rsidRPr="00451A88">
              <w:rPr>
                <w:rFonts w:ascii="Arial" w:hAnsi="Arial" w:cs="Arial"/>
                <w:b/>
                <w:bCs/>
                <w:sz w:val="20"/>
                <w:szCs w:val="20"/>
              </w:rPr>
              <w:t>Unidad de Medida</w:t>
            </w:r>
          </w:p>
        </w:tc>
        <w:tc>
          <w:tcPr>
            <w:tcW w:w="0" w:type="auto"/>
            <w:vAlign w:val="center"/>
          </w:tcPr>
          <w:p w14:paraId="68F640CC" w14:textId="77777777" w:rsidR="00E62DDC" w:rsidRPr="00451A88" w:rsidRDefault="00E62DDC" w:rsidP="00666B72">
            <w:pPr>
              <w:spacing w:before="120" w:after="120"/>
              <w:jc w:val="both"/>
              <w:rPr>
                <w:rFonts w:ascii="Arial" w:hAnsi="Arial" w:cs="Arial"/>
                <w:sz w:val="20"/>
                <w:szCs w:val="20"/>
              </w:rPr>
            </w:pPr>
            <w:r w:rsidRPr="00451A88">
              <w:rPr>
                <w:rFonts w:ascii="Arial" w:hAnsi="Arial" w:cs="Arial"/>
                <w:sz w:val="20"/>
                <w:szCs w:val="20"/>
              </w:rPr>
              <w:t>Unidad (</w:t>
            </w:r>
            <w:proofErr w:type="spellStart"/>
            <w:r w:rsidRPr="00451A88">
              <w:rPr>
                <w:rFonts w:ascii="Arial" w:hAnsi="Arial" w:cs="Arial"/>
                <w:sz w:val="20"/>
                <w:szCs w:val="20"/>
              </w:rPr>
              <w:t>ud</w:t>
            </w:r>
            <w:proofErr w:type="spellEnd"/>
            <w:r w:rsidRPr="00451A88">
              <w:rPr>
                <w:rFonts w:ascii="Arial" w:hAnsi="Arial" w:cs="Arial"/>
                <w:sz w:val="20"/>
                <w:szCs w:val="20"/>
              </w:rPr>
              <w:t>)</w:t>
            </w:r>
          </w:p>
        </w:tc>
      </w:tr>
      <w:tr w:rsidR="00E62DDC" w:rsidRPr="00451A88" w14:paraId="092797F1" w14:textId="77777777" w:rsidTr="007920B4">
        <w:tc>
          <w:tcPr>
            <w:tcW w:w="0" w:type="auto"/>
            <w:vAlign w:val="center"/>
          </w:tcPr>
          <w:p w14:paraId="66766CA6" w14:textId="77777777" w:rsidR="00E62DDC" w:rsidRPr="00451A88" w:rsidRDefault="00E62DDC" w:rsidP="007920B4">
            <w:pPr>
              <w:spacing w:before="120" w:after="120"/>
              <w:jc w:val="center"/>
              <w:rPr>
                <w:rFonts w:ascii="Arial" w:hAnsi="Arial" w:cs="Arial"/>
                <w:b/>
                <w:bCs/>
                <w:sz w:val="20"/>
                <w:szCs w:val="20"/>
              </w:rPr>
            </w:pPr>
            <w:r w:rsidRPr="00451A88">
              <w:rPr>
                <w:rFonts w:ascii="Arial" w:hAnsi="Arial" w:cs="Arial"/>
                <w:b/>
                <w:bCs/>
                <w:sz w:val="20"/>
                <w:szCs w:val="20"/>
              </w:rPr>
              <w:t>Grado de precisión</w:t>
            </w:r>
          </w:p>
        </w:tc>
        <w:tc>
          <w:tcPr>
            <w:tcW w:w="0" w:type="auto"/>
            <w:vAlign w:val="center"/>
          </w:tcPr>
          <w:p w14:paraId="68330A86" w14:textId="77777777" w:rsidR="00E62DDC" w:rsidRPr="00451A88" w:rsidRDefault="00E62DDC" w:rsidP="00666B72">
            <w:pPr>
              <w:spacing w:before="120" w:after="120"/>
              <w:jc w:val="both"/>
              <w:rPr>
                <w:rFonts w:ascii="Arial" w:hAnsi="Arial" w:cs="Arial"/>
                <w:sz w:val="20"/>
                <w:szCs w:val="20"/>
              </w:rPr>
            </w:pPr>
            <w:r w:rsidRPr="00451A88">
              <w:rPr>
                <w:rFonts w:ascii="Arial" w:hAnsi="Arial" w:cs="Arial"/>
                <w:sz w:val="20"/>
                <w:szCs w:val="20"/>
              </w:rPr>
              <w:t xml:space="preserve">Unidades enteras </w:t>
            </w:r>
          </w:p>
        </w:tc>
      </w:tr>
      <w:tr w:rsidR="00E62DDC" w:rsidRPr="00451A88" w14:paraId="0CFCFA46" w14:textId="77777777" w:rsidTr="007920B4">
        <w:tc>
          <w:tcPr>
            <w:tcW w:w="0" w:type="auto"/>
            <w:vAlign w:val="center"/>
          </w:tcPr>
          <w:p w14:paraId="4EFCA32F" w14:textId="77777777" w:rsidR="00E62DDC" w:rsidRPr="00451A88" w:rsidRDefault="00E62DDC" w:rsidP="007920B4">
            <w:pPr>
              <w:spacing w:before="120" w:after="120"/>
              <w:jc w:val="center"/>
              <w:rPr>
                <w:rFonts w:ascii="Arial" w:hAnsi="Arial" w:cs="Arial"/>
                <w:b/>
                <w:bCs/>
                <w:sz w:val="20"/>
                <w:szCs w:val="20"/>
              </w:rPr>
            </w:pPr>
            <w:r w:rsidRPr="00451A88">
              <w:rPr>
                <w:rFonts w:ascii="Arial" w:hAnsi="Arial" w:cs="Arial"/>
                <w:b/>
                <w:bCs/>
                <w:sz w:val="20"/>
                <w:szCs w:val="20"/>
              </w:rPr>
              <w:t>Forma de medición</w:t>
            </w:r>
          </w:p>
        </w:tc>
        <w:tc>
          <w:tcPr>
            <w:tcW w:w="0" w:type="auto"/>
            <w:vAlign w:val="center"/>
          </w:tcPr>
          <w:p w14:paraId="4D0D297A" w14:textId="77777777" w:rsidR="00E62DDC" w:rsidRPr="00451A88" w:rsidRDefault="00E62DDC" w:rsidP="00666B72">
            <w:pPr>
              <w:spacing w:before="120" w:after="120"/>
              <w:jc w:val="both"/>
              <w:rPr>
                <w:rFonts w:ascii="Arial" w:hAnsi="Arial" w:cs="Arial"/>
                <w:sz w:val="20"/>
                <w:szCs w:val="20"/>
              </w:rPr>
            </w:pPr>
            <w:r w:rsidRPr="00451A88">
              <w:rPr>
                <w:rFonts w:ascii="Arial" w:hAnsi="Arial" w:cs="Arial"/>
                <w:sz w:val="20"/>
                <w:szCs w:val="20"/>
              </w:rPr>
              <w:t xml:space="preserve">Unidades de </w:t>
            </w:r>
            <w:r>
              <w:rPr>
                <w:rFonts w:ascii="Arial" w:hAnsi="Arial" w:cs="Arial"/>
                <w:sz w:val="20"/>
                <w:szCs w:val="20"/>
              </w:rPr>
              <w:t>puesta a disposición de equipos para la prueba de carga</w:t>
            </w:r>
          </w:p>
        </w:tc>
      </w:tr>
      <w:tr w:rsidR="00E62DDC" w:rsidRPr="00451A88" w14:paraId="603B8486" w14:textId="77777777" w:rsidTr="007920B4">
        <w:tc>
          <w:tcPr>
            <w:tcW w:w="0" w:type="auto"/>
            <w:vAlign w:val="center"/>
          </w:tcPr>
          <w:p w14:paraId="601A17CF" w14:textId="77777777" w:rsidR="00E62DDC" w:rsidRPr="00451A88" w:rsidRDefault="00E62DDC" w:rsidP="007920B4">
            <w:pPr>
              <w:spacing w:before="120" w:after="120"/>
              <w:jc w:val="center"/>
              <w:rPr>
                <w:rFonts w:ascii="Arial" w:hAnsi="Arial" w:cs="Arial"/>
                <w:b/>
                <w:bCs/>
                <w:sz w:val="20"/>
                <w:szCs w:val="20"/>
              </w:rPr>
            </w:pPr>
            <w:r w:rsidRPr="00451A88">
              <w:rPr>
                <w:rFonts w:ascii="Arial" w:hAnsi="Arial" w:cs="Arial"/>
                <w:b/>
                <w:bCs/>
                <w:sz w:val="20"/>
                <w:szCs w:val="20"/>
              </w:rPr>
              <w:t>Abono</w:t>
            </w:r>
          </w:p>
        </w:tc>
        <w:tc>
          <w:tcPr>
            <w:tcW w:w="0" w:type="auto"/>
            <w:vAlign w:val="center"/>
          </w:tcPr>
          <w:p w14:paraId="64104BDF" w14:textId="77777777" w:rsidR="00E62DDC" w:rsidRPr="00451A88" w:rsidRDefault="00E62DDC" w:rsidP="00666B72">
            <w:pPr>
              <w:spacing w:before="120" w:after="120"/>
              <w:jc w:val="both"/>
              <w:rPr>
                <w:rFonts w:ascii="Arial" w:hAnsi="Arial" w:cs="Arial"/>
                <w:sz w:val="20"/>
                <w:szCs w:val="20"/>
              </w:rPr>
            </w:pPr>
            <w:r w:rsidRPr="00451A88">
              <w:rPr>
                <w:rFonts w:ascii="Arial" w:hAnsi="Arial" w:cs="Arial"/>
                <w:sz w:val="20"/>
                <w:szCs w:val="20"/>
              </w:rPr>
              <w:t>Se efectuará cuando se realice la aceptación.</w:t>
            </w:r>
          </w:p>
        </w:tc>
      </w:tr>
      <w:tr w:rsidR="00E62DDC" w:rsidRPr="00451A88" w14:paraId="38B5F0AF" w14:textId="77777777" w:rsidTr="007920B4">
        <w:tc>
          <w:tcPr>
            <w:tcW w:w="0" w:type="auto"/>
            <w:vAlign w:val="center"/>
          </w:tcPr>
          <w:p w14:paraId="6657F2B4" w14:textId="77777777" w:rsidR="00E62DDC" w:rsidRPr="00451A88" w:rsidRDefault="00E62DDC" w:rsidP="007920B4">
            <w:pPr>
              <w:spacing w:before="120" w:after="120"/>
              <w:jc w:val="center"/>
              <w:rPr>
                <w:rFonts w:ascii="Arial" w:hAnsi="Arial" w:cs="Arial"/>
                <w:b/>
                <w:bCs/>
                <w:sz w:val="20"/>
                <w:szCs w:val="20"/>
              </w:rPr>
            </w:pPr>
            <w:r w:rsidRPr="00451A88">
              <w:rPr>
                <w:rFonts w:ascii="Arial" w:hAnsi="Arial" w:cs="Arial"/>
                <w:b/>
                <w:bCs/>
                <w:sz w:val="20"/>
                <w:szCs w:val="20"/>
              </w:rPr>
              <w:t>Criterios complementarios</w:t>
            </w:r>
          </w:p>
        </w:tc>
        <w:tc>
          <w:tcPr>
            <w:tcW w:w="0" w:type="auto"/>
            <w:vAlign w:val="center"/>
          </w:tcPr>
          <w:p w14:paraId="5706BE0E" w14:textId="77777777" w:rsidR="00E62DDC" w:rsidRPr="00451A88" w:rsidRDefault="00E62DDC" w:rsidP="00666B72">
            <w:pPr>
              <w:spacing w:before="120" w:after="120"/>
              <w:jc w:val="both"/>
              <w:rPr>
                <w:rFonts w:ascii="Arial" w:hAnsi="Arial" w:cs="Arial"/>
                <w:sz w:val="20"/>
                <w:szCs w:val="20"/>
              </w:rPr>
            </w:pPr>
            <w:r>
              <w:rPr>
                <w:rFonts w:ascii="Arial" w:hAnsi="Arial" w:cs="Arial"/>
                <w:sz w:val="20"/>
                <w:szCs w:val="20"/>
              </w:rPr>
              <w:t>El precio incluye la puesta a disposición de los equipos para la prueba de carga y su disponibilidad durante el tiempo total que dure la misma, así como la retirada una vez terminada la prueba.</w:t>
            </w:r>
          </w:p>
        </w:tc>
      </w:tr>
    </w:tbl>
    <w:p w14:paraId="36DF3BFF" w14:textId="77777777" w:rsidR="00E62DDC" w:rsidRDefault="00E62DDC" w:rsidP="00451A88">
      <w:pPr>
        <w:pStyle w:val="NORMAL12"/>
        <w:rPr>
          <w:lang w:val="es-ES"/>
        </w:rPr>
      </w:pPr>
    </w:p>
    <w:p w14:paraId="2D0D77FC" w14:textId="77777777" w:rsidR="00E62DDC" w:rsidRDefault="00E62DDC" w:rsidP="00451A88">
      <w:pPr>
        <w:pStyle w:val="NORMAL12"/>
        <w:rPr>
          <w:lang w:val="es-ES"/>
        </w:rPr>
      </w:pPr>
    </w:p>
    <w:p w14:paraId="78C0C9EC" w14:textId="77777777" w:rsidR="00E62DDC" w:rsidRDefault="00E62DDC" w:rsidP="00451A88">
      <w:pPr>
        <w:pStyle w:val="NORMAL12"/>
        <w:rPr>
          <w:lang w:val="es-ES"/>
        </w:rPr>
      </w:pPr>
    </w:p>
    <w:p w14:paraId="170F5899" w14:textId="77777777" w:rsidR="00E62DDC" w:rsidRDefault="00E62DDC" w:rsidP="00451A88">
      <w:pPr>
        <w:pStyle w:val="NORMAL12"/>
        <w:rPr>
          <w:lang w:val="es-ES"/>
        </w:rPr>
      </w:pPr>
    </w:p>
    <w:p w14:paraId="42C6B4C8" w14:textId="77777777" w:rsidR="00E62DDC" w:rsidRDefault="00E62DDC" w:rsidP="00451A88">
      <w:pPr>
        <w:pStyle w:val="NORMAL12"/>
        <w:rPr>
          <w:lang w:val="es-ES"/>
        </w:rPr>
      </w:pPr>
    </w:p>
    <w:p w14:paraId="5C123645" w14:textId="77777777" w:rsidR="00E62DDC" w:rsidRDefault="00E62DDC" w:rsidP="00451A88">
      <w:pPr>
        <w:pStyle w:val="NORMAL12"/>
        <w:rPr>
          <w:lang w:val="es-ES"/>
        </w:rPr>
      </w:pPr>
    </w:p>
    <w:p w14:paraId="41B8D832" w14:textId="77777777" w:rsidR="001E6CAF" w:rsidRPr="00451A88" w:rsidRDefault="00451A88" w:rsidP="00451A88">
      <w:pPr>
        <w:pStyle w:val="NORMAL12"/>
      </w:pPr>
      <w:r>
        <w:t xml:space="preserve">La </w:t>
      </w:r>
      <w:r w:rsidR="001E6CAF" w:rsidRPr="00451A88">
        <w:t xml:space="preserve">medición y abono de la prueba de carga se </w:t>
      </w:r>
      <w:r w:rsidR="00103474">
        <w:t>realizará según las prescripciones siguientes: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0"/>
        <w:gridCol w:w="7598"/>
      </w:tblGrid>
      <w:tr w:rsidR="00E62DDC" w:rsidRPr="00451A88" w14:paraId="029D5F5A" w14:textId="77777777" w:rsidTr="001E6CAF">
        <w:tc>
          <w:tcPr>
            <w:tcW w:w="0" w:type="auto"/>
            <w:vAlign w:val="center"/>
          </w:tcPr>
          <w:p w14:paraId="6B4ADBEA" w14:textId="77777777" w:rsidR="001E6CAF" w:rsidRPr="00451A88" w:rsidRDefault="001E6CAF" w:rsidP="001E6CAF">
            <w:pPr>
              <w:spacing w:before="120" w:after="120"/>
              <w:jc w:val="center"/>
              <w:rPr>
                <w:rFonts w:ascii="Arial" w:hAnsi="Arial" w:cs="Arial"/>
                <w:b/>
                <w:bCs/>
                <w:sz w:val="20"/>
                <w:szCs w:val="20"/>
              </w:rPr>
            </w:pPr>
            <w:r w:rsidRPr="00451A88">
              <w:rPr>
                <w:rFonts w:ascii="Arial" w:hAnsi="Arial" w:cs="Arial"/>
                <w:b/>
                <w:bCs/>
                <w:sz w:val="20"/>
                <w:szCs w:val="20"/>
              </w:rPr>
              <w:t>Unidad de Medida</w:t>
            </w:r>
          </w:p>
        </w:tc>
        <w:tc>
          <w:tcPr>
            <w:tcW w:w="0" w:type="auto"/>
            <w:vAlign w:val="center"/>
          </w:tcPr>
          <w:p w14:paraId="31E39379" w14:textId="77777777" w:rsidR="001E6CAF" w:rsidRPr="00451A88" w:rsidRDefault="001E6CAF" w:rsidP="00666B72">
            <w:pPr>
              <w:spacing w:before="120" w:after="120"/>
              <w:jc w:val="both"/>
              <w:rPr>
                <w:rFonts w:ascii="Arial" w:hAnsi="Arial" w:cs="Arial"/>
                <w:sz w:val="20"/>
                <w:szCs w:val="20"/>
              </w:rPr>
            </w:pPr>
            <w:r w:rsidRPr="00451A88">
              <w:rPr>
                <w:rFonts w:ascii="Arial" w:hAnsi="Arial" w:cs="Arial"/>
                <w:sz w:val="20"/>
                <w:szCs w:val="20"/>
              </w:rPr>
              <w:t>Unidad (</w:t>
            </w:r>
            <w:proofErr w:type="spellStart"/>
            <w:r w:rsidRPr="00451A88">
              <w:rPr>
                <w:rFonts w:ascii="Arial" w:hAnsi="Arial" w:cs="Arial"/>
                <w:sz w:val="20"/>
                <w:szCs w:val="20"/>
              </w:rPr>
              <w:t>ud</w:t>
            </w:r>
            <w:proofErr w:type="spellEnd"/>
            <w:r w:rsidRPr="00451A88">
              <w:rPr>
                <w:rFonts w:ascii="Arial" w:hAnsi="Arial" w:cs="Arial"/>
                <w:sz w:val="20"/>
                <w:szCs w:val="20"/>
              </w:rPr>
              <w:t>)</w:t>
            </w:r>
          </w:p>
        </w:tc>
      </w:tr>
      <w:tr w:rsidR="00E62DDC" w:rsidRPr="00451A88" w14:paraId="3EDD3743" w14:textId="77777777" w:rsidTr="001E6CAF">
        <w:tc>
          <w:tcPr>
            <w:tcW w:w="0" w:type="auto"/>
            <w:vAlign w:val="center"/>
          </w:tcPr>
          <w:p w14:paraId="6A5FC3BA" w14:textId="77777777" w:rsidR="001E6CAF" w:rsidRPr="00451A88" w:rsidRDefault="001E6CAF" w:rsidP="001E6CAF">
            <w:pPr>
              <w:spacing w:before="120" w:after="120"/>
              <w:jc w:val="center"/>
              <w:rPr>
                <w:rFonts w:ascii="Arial" w:hAnsi="Arial" w:cs="Arial"/>
                <w:b/>
                <w:bCs/>
                <w:sz w:val="20"/>
                <w:szCs w:val="20"/>
              </w:rPr>
            </w:pPr>
            <w:r w:rsidRPr="00451A88">
              <w:rPr>
                <w:rFonts w:ascii="Arial" w:hAnsi="Arial" w:cs="Arial"/>
                <w:b/>
                <w:bCs/>
                <w:sz w:val="20"/>
                <w:szCs w:val="20"/>
              </w:rPr>
              <w:t>Grado de precisión</w:t>
            </w:r>
          </w:p>
        </w:tc>
        <w:tc>
          <w:tcPr>
            <w:tcW w:w="0" w:type="auto"/>
            <w:vAlign w:val="center"/>
          </w:tcPr>
          <w:p w14:paraId="76E4B413" w14:textId="77777777" w:rsidR="001E6CAF" w:rsidRPr="00451A88" w:rsidRDefault="001E6CAF" w:rsidP="00666B72">
            <w:pPr>
              <w:spacing w:before="120" w:after="120"/>
              <w:jc w:val="both"/>
              <w:rPr>
                <w:rFonts w:ascii="Arial" w:hAnsi="Arial" w:cs="Arial"/>
                <w:sz w:val="20"/>
                <w:szCs w:val="20"/>
              </w:rPr>
            </w:pPr>
            <w:r w:rsidRPr="00451A88">
              <w:rPr>
                <w:rFonts w:ascii="Arial" w:hAnsi="Arial" w:cs="Arial"/>
                <w:sz w:val="20"/>
                <w:szCs w:val="20"/>
              </w:rPr>
              <w:t xml:space="preserve">Unidades enteras </w:t>
            </w:r>
          </w:p>
        </w:tc>
      </w:tr>
      <w:tr w:rsidR="00E62DDC" w:rsidRPr="00451A88" w14:paraId="76837F33" w14:textId="77777777" w:rsidTr="001E6CAF">
        <w:tc>
          <w:tcPr>
            <w:tcW w:w="0" w:type="auto"/>
            <w:vAlign w:val="center"/>
          </w:tcPr>
          <w:p w14:paraId="479DD0A5" w14:textId="77777777" w:rsidR="001E6CAF" w:rsidRPr="00451A88" w:rsidRDefault="001E6CAF" w:rsidP="001E6CAF">
            <w:pPr>
              <w:spacing w:before="120" w:after="120"/>
              <w:jc w:val="center"/>
              <w:rPr>
                <w:rFonts w:ascii="Arial" w:hAnsi="Arial" w:cs="Arial"/>
                <w:b/>
                <w:bCs/>
                <w:sz w:val="20"/>
                <w:szCs w:val="20"/>
              </w:rPr>
            </w:pPr>
            <w:r w:rsidRPr="00451A88">
              <w:rPr>
                <w:rFonts w:ascii="Arial" w:hAnsi="Arial" w:cs="Arial"/>
                <w:b/>
                <w:bCs/>
                <w:sz w:val="20"/>
                <w:szCs w:val="20"/>
              </w:rPr>
              <w:t>Forma de medición</w:t>
            </w:r>
          </w:p>
        </w:tc>
        <w:tc>
          <w:tcPr>
            <w:tcW w:w="0" w:type="auto"/>
            <w:vAlign w:val="center"/>
          </w:tcPr>
          <w:p w14:paraId="0C5A127A" w14:textId="77777777" w:rsidR="001E6CAF" w:rsidRPr="00451A88" w:rsidRDefault="001E6CAF" w:rsidP="00666B72">
            <w:pPr>
              <w:spacing w:before="120" w:after="120"/>
              <w:jc w:val="both"/>
              <w:rPr>
                <w:rFonts w:ascii="Arial" w:hAnsi="Arial" w:cs="Arial"/>
                <w:sz w:val="20"/>
                <w:szCs w:val="20"/>
              </w:rPr>
            </w:pPr>
            <w:r w:rsidRPr="00451A88">
              <w:rPr>
                <w:rFonts w:ascii="Arial" w:hAnsi="Arial" w:cs="Arial"/>
                <w:sz w:val="20"/>
                <w:szCs w:val="20"/>
              </w:rPr>
              <w:t>Unidades de prueba de carga realizadas en obra</w:t>
            </w:r>
          </w:p>
        </w:tc>
      </w:tr>
      <w:tr w:rsidR="00E62DDC" w:rsidRPr="00451A88" w14:paraId="1C34667C" w14:textId="77777777" w:rsidTr="001E6CAF">
        <w:tc>
          <w:tcPr>
            <w:tcW w:w="0" w:type="auto"/>
            <w:vAlign w:val="center"/>
          </w:tcPr>
          <w:p w14:paraId="2DB3C02A" w14:textId="77777777" w:rsidR="001E6CAF" w:rsidRPr="00451A88" w:rsidRDefault="001E6CAF" w:rsidP="001E6CAF">
            <w:pPr>
              <w:spacing w:before="120" w:after="120"/>
              <w:jc w:val="center"/>
              <w:rPr>
                <w:rFonts w:ascii="Arial" w:hAnsi="Arial" w:cs="Arial"/>
                <w:b/>
                <w:bCs/>
                <w:sz w:val="20"/>
                <w:szCs w:val="20"/>
              </w:rPr>
            </w:pPr>
            <w:r w:rsidRPr="00451A88">
              <w:rPr>
                <w:rFonts w:ascii="Arial" w:hAnsi="Arial" w:cs="Arial"/>
                <w:b/>
                <w:bCs/>
                <w:sz w:val="20"/>
                <w:szCs w:val="20"/>
              </w:rPr>
              <w:t>Abono</w:t>
            </w:r>
          </w:p>
        </w:tc>
        <w:tc>
          <w:tcPr>
            <w:tcW w:w="0" w:type="auto"/>
            <w:vAlign w:val="center"/>
          </w:tcPr>
          <w:p w14:paraId="63DFCFD1" w14:textId="77777777" w:rsidR="001E6CAF" w:rsidRPr="00451A88" w:rsidRDefault="001E6CAF" w:rsidP="00666B72">
            <w:pPr>
              <w:spacing w:before="120" w:after="120"/>
              <w:jc w:val="both"/>
              <w:rPr>
                <w:rFonts w:ascii="Arial" w:hAnsi="Arial" w:cs="Arial"/>
                <w:sz w:val="20"/>
                <w:szCs w:val="20"/>
              </w:rPr>
            </w:pPr>
            <w:r w:rsidRPr="00451A88">
              <w:rPr>
                <w:rFonts w:ascii="Arial" w:hAnsi="Arial" w:cs="Arial"/>
                <w:sz w:val="20"/>
                <w:szCs w:val="20"/>
              </w:rPr>
              <w:t>Se efectuará cuando se realice la aceptación.</w:t>
            </w:r>
          </w:p>
        </w:tc>
      </w:tr>
      <w:tr w:rsidR="00E62DDC" w:rsidRPr="00451A88" w14:paraId="7E6D2FB7" w14:textId="77777777" w:rsidTr="001E6CAF">
        <w:tc>
          <w:tcPr>
            <w:tcW w:w="0" w:type="auto"/>
            <w:vAlign w:val="center"/>
          </w:tcPr>
          <w:p w14:paraId="214C698E" w14:textId="77777777" w:rsidR="001E6CAF" w:rsidRPr="00451A88" w:rsidRDefault="001E6CAF" w:rsidP="001E6CAF">
            <w:pPr>
              <w:spacing w:before="120" w:after="120"/>
              <w:jc w:val="center"/>
              <w:rPr>
                <w:rFonts w:ascii="Arial" w:hAnsi="Arial" w:cs="Arial"/>
                <w:b/>
                <w:bCs/>
                <w:sz w:val="20"/>
                <w:szCs w:val="20"/>
              </w:rPr>
            </w:pPr>
            <w:r w:rsidRPr="00451A88">
              <w:rPr>
                <w:rFonts w:ascii="Arial" w:hAnsi="Arial" w:cs="Arial"/>
                <w:b/>
                <w:bCs/>
                <w:sz w:val="20"/>
                <w:szCs w:val="20"/>
              </w:rPr>
              <w:t>Criterios complementarios</w:t>
            </w:r>
          </w:p>
        </w:tc>
        <w:tc>
          <w:tcPr>
            <w:tcW w:w="0" w:type="auto"/>
            <w:vAlign w:val="center"/>
          </w:tcPr>
          <w:p w14:paraId="0B7A4382" w14:textId="77777777" w:rsidR="001E6CAF" w:rsidRPr="00451A88" w:rsidRDefault="001E6CAF" w:rsidP="00666B72">
            <w:pPr>
              <w:spacing w:before="120" w:after="120"/>
              <w:jc w:val="both"/>
              <w:rPr>
                <w:rFonts w:ascii="Arial" w:hAnsi="Arial" w:cs="Arial"/>
                <w:sz w:val="20"/>
                <w:szCs w:val="20"/>
              </w:rPr>
            </w:pPr>
            <w:r w:rsidRPr="00451A88">
              <w:rPr>
                <w:rFonts w:ascii="Arial" w:hAnsi="Arial" w:cs="Arial"/>
                <w:sz w:val="20"/>
                <w:szCs w:val="20"/>
              </w:rPr>
              <w:t>El precio comprende todos los conceptos que se incluyen en la definición de la unidad de obra.</w:t>
            </w:r>
          </w:p>
          <w:p w14:paraId="6C7C7A50" w14:textId="77777777" w:rsidR="00103474" w:rsidRPr="00451A88" w:rsidRDefault="001E6CAF" w:rsidP="00666B72">
            <w:pPr>
              <w:spacing w:before="120" w:after="120"/>
              <w:jc w:val="both"/>
              <w:rPr>
                <w:rFonts w:ascii="Arial" w:hAnsi="Arial" w:cs="Arial"/>
                <w:sz w:val="20"/>
                <w:szCs w:val="20"/>
              </w:rPr>
            </w:pPr>
            <w:r w:rsidRPr="00451A88">
              <w:rPr>
                <w:rFonts w:ascii="Arial" w:hAnsi="Arial" w:cs="Arial"/>
                <w:sz w:val="20"/>
                <w:szCs w:val="20"/>
              </w:rPr>
              <w:t>Se incluye por tanto en el precio la realización de la prueba de carga con todos los elementos y medios necesarios</w:t>
            </w:r>
            <w:r w:rsidR="00E62DDC">
              <w:rPr>
                <w:rFonts w:ascii="Arial" w:hAnsi="Arial" w:cs="Arial"/>
                <w:sz w:val="20"/>
                <w:szCs w:val="20"/>
              </w:rPr>
              <w:t xml:space="preserve"> para la realización de </w:t>
            </w:r>
            <w:proofErr w:type="gramStart"/>
            <w:r w:rsidR="00E62DDC">
              <w:rPr>
                <w:rFonts w:ascii="Arial" w:hAnsi="Arial" w:cs="Arial"/>
                <w:sz w:val="20"/>
                <w:szCs w:val="20"/>
              </w:rPr>
              <w:t>la misma</w:t>
            </w:r>
            <w:proofErr w:type="gramEnd"/>
            <w:r w:rsidR="00E62DDC">
              <w:rPr>
                <w:rFonts w:ascii="Arial" w:hAnsi="Arial" w:cs="Arial"/>
                <w:sz w:val="20"/>
                <w:szCs w:val="20"/>
              </w:rPr>
              <w:t xml:space="preserve"> según el proyecto presentado</w:t>
            </w:r>
            <w:r w:rsidR="00217216">
              <w:rPr>
                <w:rFonts w:ascii="Arial" w:hAnsi="Arial" w:cs="Arial"/>
                <w:sz w:val="20"/>
                <w:szCs w:val="20"/>
              </w:rPr>
              <w:t>.</w:t>
            </w:r>
            <w:r w:rsidRPr="00451A88">
              <w:rPr>
                <w:rFonts w:ascii="Arial" w:hAnsi="Arial" w:cs="Arial"/>
                <w:sz w:val="20"/>
                <w:szCs w:val="20"/>
              </w:rPr>
              <w:t xml:space="preserve"> </w:t>
            </w:r>
          </w:p>
        </w:tc>
      </w:tr>
    </w:tbl>
    <w:p w14:paraId="3DCC8BF9" w14:textId="77777777" w:rsidR="00793E16" w:rsidRDefault="00793E16" w:rsidP="00103474">
      <w:pPr>
        <w:pStyle w:val="NORMAL12"/>
      </w:pPr>
    </w:p>
    <w:p w14:paraId="6B22991C" w14:textId="77777777" w:rsidR="00E62DDC" w:rsidRDefault="00E62DDC" w:rsidP="00103474">
      <w:pPr>
        <w:pStyle w:val="NORMAL12"/>
      </w:pPr>
    </w:p>
    <w:p w14:paraId="2958B638" w14:textId="77777777" w:rsidR="00E62DDC" w:rsidRDefault="00E62DDC" w:rsidP="00103474">
      <w:pPr>
        <w:pStyle w:val="NORMAL12"/>
      </w:pPr>
    </w:p>
    <w:p w14:paraId="4B533D50" w14:textId="77777777" w:rsidR="00E62DDC" w:rsidRDefault="00E62DDC" w:rsidP="00103474">
      <w:pPr>
        <w:pStyle w:val="NORMAL12"/>
      </w:pPr>
    </w:p>
    <w:p w14:paraId="5363FE07" w14:textId="77777777" w:rsidR="001E6CAF" w:rsidRPr="008F7D89" w:rsidRDefault="001E6CAF" w:rsidP="001E6CAF">
      <w:pPr>
        <w:pStyle w:val="NORMAL12"/>
        <w:rPr>
          <w:highlight w:val="red"/>
          <w:lang w:val="es-ES"/>
        </w:rPr>
      </w:pPr>
    </w:p>
    <w:p w14:paraId="3E1535D3" w14:textId="77777777" w:rsidR="00852829" w:rsidRPr="00D921B6" w:rsidRDefault="00852829" w:rsidP="00852829">
      <w:pPr>
        <w:pStyle w:val="TITU1"/>
      </w:pPr>
      <w:bookmarkStart w:id="977" w:name="_Toc404518"/>
      <w:bookmarkStart w:id="978" w:name="_Toc352932712"/>
      <w:bookmarkStart w:id="979" w:name="_Toc448916191"/>
      <w:bookmarkStart w:id="980" w:name="_Toc399509150"/>
      <w:bookmarkStart w:id="981" w:name="_Toc400741644"/>
      <w:bookmarkStart w:id="982" w:name="_Toc406696847"/>
      <w:r w:rsidRPr="00D921B6">
        <w:lastRenderedPageBreak/>
        <w:t xml:space="preserve">Artículo </w:t>
      </w:r>
      <w:r w:rsidR="00B944D6" w:rsidRPr="00D921B6">
        <w:t>696</w:t>
      </w:r>
      <w:r w:rsidRPr="00D921B6">
        <w:t>. Picado de superficies deterioradas del hormigón</w:t>
      </w:r>
      <w:bookmarkEnd w:id="977"/>
      <w:r w:rsidRPr="00D921B6">
        <w:t xml:space="preserve"> </w:t>
      </w:r>
    </w:p>
    <w:p w14:paraId="4EBEACFA" w14:textId="77777777" w:rsidR="00852829" w:rsidRPr="006937C2" w:rsidRDefault="00852829" w:rsidP="000313DD">
      <w:pPr>
        <w:pStyle w:val="TITU2"/>
      </w:pPr>
      <w:bookmarkStart w:id="983" w:name="_Toc404519"/>
      <w:r w:rsidRPr="00D921B6">
        <w:t>69</w:t>
      </w:r>
      <w:r w:rsidR="00B944D6" w:rsidRPr="00D921B6">
        <w:t>6</w:t>
      </w:r>
      <w:r w:rsidRPr="00D921B6">
        <w:t xml:space="preserve">.1. </w:t>
      </w:r>
      <w:r w:rsidRPr="00D921B6">
        <w:tab/>
        <w:t>Definición</w:t>
      </w:r>
      <w:bookmarkEnd w:id="983"/>
      <w:r w:rsidRPr="006937C2">
        <w:t xml:space="preserve"> </w:t>
      </w:r>
    </w:p>
    <w:p w14:paraId="03FEDE0C" w14:textId="77777777" w:rsidR="00852829" w:rsidRDefault="00852829" w:rsidP="00852829">
      <w:pPr>
        <w:pStyle w:val="NORMAL12"/>
      </w:pPr>
      <w:r w:rsidRPr="00D01B48">
        <w:t>El picado y saneado del hormigón en superficies deterioradas se realizará hasta descubrir las armaduras si existen indicios de corrosión, o hasta la obtención de material sano y competente en caso contrario, eliminando siempre los recubrimientos mal adheridos.</w:t>
      </w:r>
    </w:p>
    <w:p w14:paraId="63992310" w14:textId="77777777" w:rsidR="00852829" w:rsidRPr="00DF2D84" w:rsidRDefault="00852829" w:rsidP="00852829">
      <w:pPr>
        <w:pStyle w:val="NORMAL12"/>
      </w:pPr>
      <w:r w:rsidRPr="000072DC">
        <w:t xml:space="preserve">En este artículo se rigen las prescripciones a </w:t>
      </w:r>
      <w:r>
        <w:t xml:space="preserve">seguir en la actuación para el picado y saneo de la losa </w:t>
      </w:r>
      <w:proofErr w:type="spellStart"/>
      <w:r>
        <w:t>postesada</w:t>
      </w:r>
      <w:proofErr w:type="spellEnd"/>
      <w:r>
        <w:t xml:space="preserve"> de la estructura existente localizada en el P.I. 2+275 de la actuación.</w:t>
      </w:r>
    </w:p>
    <w:p w14:paraId="04E2F934" w14:textId="77777777" w:rsidR="00852829" w:rsidRPr="00DF2D84" w:rsidRDefault="00852829" w:rsidP="000313DD">
      <w:pPr>
        <w:pStyle w:val="TITU2"/>
      </w:pPr>
      <w:bookmarkStart w:id="984" w:name="_Toc404520"/>
      <w:r w:rsidRPr="00DF2D84">
        <w:t>69</w:t>
      </w:r>
      <w:r w:rsidR="00B944D6">
        <w:t>6</w:t>
      </w:r>
      <w:r w:rsidRPr="00DF2D84">
        <w:t xml:space="preserve">.2. </w:t>
      </w:r>
      <w:r w:rsidRPr="00DF2D84">
        <w:tab/>
        <w:t>Aplicación</w:t>
      </w:r>
      <w:bookmarkEnd w:id="984"/>
      <w:r w:rsidRPr="00DF2D84">
        <w:t xml:space="preserve"> </w:t>
      </w:r>
    </w:p>
    <w:p w14:paraId="127EF1F2" w14:textId="77777777" w:rsidR="00852829" w:rsidRPr="008530A7" w:rsidRDefault="00852829" w:rsidP="00852829">
      <w:pPr>
        <w:pStyle w:val="NORMAL12"/>
      </w:pPr>
      <w:r w:rsidRPr="008530A7">
        <w:t xml:space="preserve">Las prescripciones del presente artículo </w:t>
      </w:r>
      <w:proofErr w:type="gramStart"/>
      <w:r w:rsidRPr="008530A7">
        <w:t>son de aplicación</w:t>
      </w:r>
      <w:proofErr w:type="gramEnd"/>
      <w:r w:rsidRPr="008530A7">
        <w:t xml:space="preserve"> a la</w:t>
      </w:r>
      <w:r>
        <w:t xml:space="preserve"> siguiente unidad</w:t>
      </w:r>
      <w:r w:rsidRPr="008530A7">
        <w:t xml:space="preserve"> de obra:</w:t>
      </w:r>
    </w:p>
    <w:tbl>
      <w:tblPr>
        <w:tblW w:w="0" w:type="auto"/>
        <w:tblLook w:val="04A0" w:firstRow="1" w:lastRow="0" w:firstColumn="1" w:lastColumn="0" w:noHBand="0" w:noVBand="1"/>
      </w:tblPr>
      <w:tblGrid>
        <w:gridCol w:w="1437"/>
        <w:gridCol w:w="1104"/>
        <w:gridCol w:w="6247"/>
      </w:tblGrid>
      <w:tr w:rsidR="00852829" w:rsidRPr="00895FF0" w14:paraId="3AB3D46E" w14:textId="77777777" w:rsidTr="007920B4">
        <w:tc>
          <w:tcPr>
            <w:tcW w:w="1437" w:type="dxa"/>
          </w:tcPr>
          <w:p w14:paraId="2B149147" w14:textId="77777777" w:rsidR="00852829" w:rsidRPr="00895FF0" w:rsidRDefault="00852829" w:rsidP="007920B4">
            <w:pPr>
              <w:rPr>
                <w:rFonts w:ascii="Calibri" w:hAnsi="Calibri" w:cs="Calibri"/>
                <w:highlight w:val="cyan"/>
              </w:rPr>
            </w:pPr>
          </w:p>
        </w:tc>
        <w:tc>
          <w:tcPr>
            <w:tcW w:w="1104" w:type="dxa"/>
          </w:tcPr>
          <w:p w14:paraId="4F162BC1" w14:textId="77777777" w:rsidR="00852829" w:rsidRPr="00895FF0" w:rsidRDefault="00852829" w:rsidP="007920B4">
            <w:pPr>
              <w:rPr>
                <w:rFonts w:ascii="Calibri" w:hAnsi="Calibri" w:cs="Calibri"/>
                <w:highlight w:val="cyan"/>
              </w:rPr>
            </w:pPr>
          </w:p>
        </w:tc>
        <w:tc>
          <w:tcPr>
            <w:tcW w:w="6247" w:type="dxa"/>
            <w:vAlign w:val="bottom"/>
          </w:tcPr>
          <w:p w14:paraId="20997896" w14:textId="77777777" w:rsidR="00852829" w:rsidRPr="00895FF0" w:rsidRDefault="00852829" w:rsidP="007920B4">
            <w:pPr>
              <w:rPr>
                <w:rFonts w:ascii="Calibri" w:hAnsi="Calibri" w:cs="Calibri"/>
                <w:highlight w:val="cyan"/>
              </w:rPr>
            </w:pPr>
          </w:p>
        </w:tc>
      </w:tr>
      <w:tr w:rsidR="00852829" w:rsidRPr="006937C2" w14:paraId="3CB7BB46" w14:textId="77777777" w:rsidTr="007920B4">
        <w:tc>
          <w:tcPr>
            <w:tcW w:w="1437" w:type="dxa"/>
          </w:tcPr>
          <w:p w14:paraId="1FE953CF" w14:textId="77777777" w:rsidR="00852829" w:rsidRPr="00515E0F" w:rsidRDefault="00852829" w:rsidP="007920B4">
            <w:pPr>
              <w:rPr>
                <w:rFonts w:ascii="Calibri" w:hAnsi="Calibri" w:cs="Calibri"/>
              </w:rPr>
            </w:pPr>
            <w:r>
              <w:rPr>
                <w:rFonts w:ascii="Calibri" w:hAnsi="Calibri" w:cs="Calibri"/>
              </w:rPr>
              <w:t>690.0110N</w:t>
            </w:r>
          </w:p>
          <w:p w14:paraId="5540E97D" w14:textId="77777777" w:rsidR="00852829" w:rsidRPr="00515E0F" w:rsidRDefault="00852829" w:rsidP="007920B4">
            <w:pPr>
              <w:rPr>
                <w:rFonts w:ascii="Calibri" w:hAnsi="Calibri" w:cs="Calibri"/>
              </w:rPr>
            </w:pPr>
          </w:p>
        </w:tc>
        <w:tc>
          <w:tcPr>
            <w:tcW w:w="1104" w:type="dxa"/>
          </w:tcPr>
          <w:p w14:paraId="364A5094" w14:textId="77777777" w:rsidR="00852829" w:rsidRPr="00515E0F" w:rsidRDefault="00852829" w:rsidP="007920B4">
            <w:pPr>
              <w:rPr>
                <w:rFonts w:ascii="Calibri" w:hAnsi="Calibri" w:cs="Calibri"/>
              </w:rPr>
            </w:pPr>
            <w:r w:rsidRPr="00515E0F">
              <w:rPr>
                <w:rFonts w:ascii="Calibri" w:hAnsi="Calibri" w:cs="Calibri"/>
              </w:rPr>
              <w:t>m</w:t>
            </w:r>
            <w:r w:rsidRPr="00D01B48">
              <w:rPr>
                <w:rFonts w:ascii="Calibri" w:hAnsi="Calibri" w:cs="Calibri"/>
                <w:vertAlign w:val="superscript"/>
              </w:rPr>
              <w:t>2</w:t>
            </w:r>
          </w:p>
        </w:tc>
        <w:tc>
          <w:tcPr>
            <w:tcW w:w="6247" w:type="dxa"/>
            <w:vAlign w:val="bottom"/>
          </w:tcPr>
          <w:p w14:paraId="5C021462" w14:textId="77777777" w:rsidR="00852829" w:rsidRPr="00DF2D84" w:rsidRDefault="00852829" w:rsidP="007920B4">
            <w:pPr>
              <w:jc w:val="both"/>
              <w:rPr>
                <w:rFonts w:ascii="Calibri" w:hAnsi="Calibri" w:cs="Calibri"/>
              </w:rPr>
            </w:pPr>
            <w:r w:rsidRPr="00D01B48">
              <w:rPr>
                <w:rFonts w:ascii="Calibri" w:hAnsi="Calibri" w:cs="Calibri"/>
              </w:rPr>
              <w:t>PICADO Y SANEADO DE HORMIGÓN EN SUPERFICIES DETERIORADAS, EN ESTRUCTURAS SINGULARES O REHABILITACIÓN DE ESTRUCTURAS, ELIMINANDO RECUBRIMIENTOS MAL ADHERIDOS, INCLUIDO EL CEPILLADO Y LIMPIEZA DE ARMADURAS, P.P. DE PASIVACIÓN DE ARMADURAS VISTAS MEDIANTE PINTURA ESPECÍFICA A BASE DE CEMENTO Y RESINA EPOXI Y LA CARGA Y TRANSPORTE A LUGAR AUTORIZADO DEL PRODUCTO PICADO.</w:t>
            </w:r>
          </w:p>
          <w:p w14:paraId="56D4CC8A" w14:textId="77777777" w:rsidR="00852829" w:rsidRPr="00DF2D84" w:rsidRDefault="00852829" w:rsidP="007920B4">
            <w:pPr>
              <w:jc w:val="both"/>
              <w:rPr>
                <w:rFonts w:ascii="Calibri" w:hAnsi="Calibri" w:cs="Calibri"/>
              </w:rPr>
            </w:pPr>
          </w:p>
        </w:tc>
      </w:tr>
    </w:tbl>
    <w:p w14:paraId="6F9850E8" w14:textId="77777777" w:rsidR="00852829" w:rsidRDefault="00852829" w:rsidP="00852829">
      <w:pPr>
        <w:pStyle w:val="NORMAL12"/>
      </w:pPr>
      <w:r>
        <w:t xml:space="preserve">Las operaciones incluidas en este artículo son las siguientes: </w:t>
      </w:r>
    </w:p>
    <w:p w14:paraId="4164C460" w14:textId="77777777" w:rsidR="00852829" w:rsidRDefault="00852829" w:rsidP="00B944D6">
      <w:pPr>
        <w:pStyle w:val="NORMAL12"/>
        <w:numPr>
          <w:ilvl w:val="0"/>
          <w:numId w:val="170"/>
        </w:numPr>
      </w:pPr>
      <w:r>
        <w:t xml:space="preserve">Montaje de los equipos y medios auxiliares para la correcta ejecución de los trabajos. </w:t>
      </w:r>
    </w:p>
    <w:p w14:paraId="51CE6686" w14:textId="77777777" w:rsidR="00852829" w:rsidRDefault="00852829" w:rsidP="00B944D6">
      <w:pPr>
        <w:pStyle w:val="NORMAL12"/>
        <w:numPr>
          <w:ilvl w:val="0"/>
          <w:numId w:val="170"/>
        </w:numPr>
      </w:pPr>
      <w:r>
        <w:t>Ejecución del picado mediante métodos mecánicos o manuales.</w:t>
      </w:r>
    </w:p>
    <w:p w14:paraId="763FFFBD" w14:textId="77777777" w:rsidR="00852829" w:rsidRDefault="00852829" w:rsidP="00B944D6">
      <w:pPr>
        <w:pStyle w:val="NORMAL12"/>
        <w:numPr>
          <w:ilvl w:val="0"/>
          <w:numId w:val="170"/>
        </w:numPr>
      </w:pPr>
      <w:r>
        <w:t>Limpieza completa y cepillado de la superficie preparada.</w:t>
      </w:r>
    </w:p>
    <w:p w14:paraId="1042E66E" w14:textId="77777777" w:rsidR="00852829" w:rsidRDefault="00852829" w:rsidP="00B944D6">
      <w:pPr>
        <w:pStyle w:val="NORMAL12"/>
        <w:numPr>
          <w:ilvl w:val="0"/>
          <w:numId w:val="170"/>
        </w:numPr>
      </w:pPr>
      <w:r>
        <w:t>Pasivación de las armaduras mediante pintura específica a base de cemento y resina epoxi.</w:t>
      </w:r>
    </w:p>
    <w:p w14:paraId="718ECBAC" w14:textId="77777777" w:rsidR="00852829" w:rsidRDefault="00852829" w:rsidP="00B944D6">
      <w:pPr>
        <w:pStyle w:val="NORMAL12"/>
        <w:numPr>
          <w:ilvl w:val="0"/>
          <w:numId w:val="170"/>
        </w:numPr>
      </w:pPr>
      <w:r>
        <w:t>Retirada de los restos generados hasta el punto de gestión de residuos.</w:t>
      </w:r>
    </w:p>
    <w:p w14:paraId="0E286ACA" w14:textId="77777777" w:rsidR="00852829" w:rsidRPr="006937C2" w:rsidRDefault="00852829" w:rsidP="000313DD">
      <w:pPr>
        <w:pStyle w:val="TITU2"/>
      </w:pPr>
      <w:bookmarkStart w:id="985" w:name="_Toc404521"/>
      <w:r>
        <w:t>69</w:t>
      </w:r>
      <w:r w:rsidR="00B944D6">
        <w:t>6</w:t>
      </w:r>
      <w:r w:rsidRPr="006937C2">
        <w:t>.</w:t>
      </w:r>
      <w:r>
        <w:t>3</w:t>
      </w:r>
      <w:r w:rsidRPr="006937C2">
        <w:t>.</w:t>
      </w:r>
      <w:r>
        <w:t xml:space="preserve"> </w:t>
      </w:r>
      <w:r w:rsidRPr="006937C2">
        <w:tab/>
        <w:t>Materiales</w:t>
      </w:r>
      <w:bookmarkEnd w:id="985"/>
      <w:r w:rsidRPr="006937C2">
        <w:t xml:space="preserve"> </w:t>
      </w:r>
    </w:p>
    <w:p w14:paraId="3F95910A" w14:textId="77777777" w:rsidR="00852829" w:rsidRDefault="00852829" w:rsidP="00852829">
      <w:pPr>
        <w:pStyle w:val="NORMAL12"/>
      </w:pPr>
      <w:r w:rsidRPr="00D01B48">
        <w:t>Se aportarán los elementos necesarios para la pasivación de armaduras vistas, cuando proceda.</w:t>
      </w:r>
    </w:p>
    <w:p w14:paraId="67E9F550" w14:textId="77777777" w:rsidR="00852829" w:rsidRPr="006937C2" w:rsidRDefault="00852829" w:rsidP="000313DD">
      <w:pPr>
        <w:pStyle w:val="TITU2"/>
      </w:pPr>
      <w:bookmarkStart w:id="986" w:name="_Toc404522"/>
      <w:r>
        <w:t>69</w:t>
      </w:r>
      <w:r w:rsidR="00B944D6">
        <w:t>6</w:t>
      </w:r>
      <w:r w:rsidRPr="006937C2">
        <w:t>.</w:t>
      </w:r>
      <w:r>
        <w:t>4</w:t>
      </w:r>
      <w:r w:rsidRPr="006937C2">
        <w:t>.</w:t>
      </w:r>
      <w:r>
        <w:t xml:space="preserve"> </w:t>
      </w:r>
      <w:r w:rsidRPr="006937C2">
        <w:tab/>
        <w:t xml:space="preserve">Ejecución </w:t>
      </w:r>
      <w:r>
        <w:t>de las obras</w:t>
      </w:r>
      <w:bookmarkEnd w:id="986"/>
    </w:p>
    <w:p w14:paraId="1574DF3F" w14:textId="77777777" w:rsidR="00852829" w:rsidRDefault="00852829" w:rsidP="00852829">
      <w:pPr>
        <w:pStyle w:val="NORMAL12"/>
      </w:pPr>
      <w:r>
        <w:t>Las obras se ejecutarán por métodos mecánicos como martillos picadores de baja potencia, con apoyo de medios manuales tradicionales, como punteros, cinceles y macetas complementando todo ello, si se estima conveniente, con el empleo de amoladoras o fresadoras.</w:t>
      </w:r>
    </w:p>
    <w:p w14:paraId="3FA53DEB" w14:textId="77777777" w:rsidR="00852829" w:rsidRDefault="00852829" w:rsidP="00852829">
      <w:pPr>
        <w:pStyle w:val="NORMAL12"/>
      </w:pPr>
      <w:r>
        <w:t xml:space="preserve">El picado podría realizarse en ocasiones en zonas pequeñas y/o de difícil maniobra en cuanto a espacios libres para su ejecución y transporte o empleo de maquinaria. Por ello en estas zonas se utilizarán únicamente herramientas manuales, que permitan un acabado más perfilado. </w:t>
      </w:r>
    </w:p>
    <w:p w14:paraId="41452588" w14:textId="77777777" w:rsidR="00852829" w:rsidRDefault="00852829" w:rsidP="00852829">
      <w:pPr>
        <w:pStyle w:val="NORMAL12"/>
      </w:pPr>
      <w:r>
        <w:t>Para garantizar la aplicabilidad de la reparación, las zonas deberán poseer formas geométricas sencillas tras el picado, para lo cual, se tenderá a la formación de ángulos rectos en los huecos obtenidos, tanto en ángulos interiores como exteriores.</w:t>
      </w:r>
    </w:p>
    <w:p w14:paraId="14BD9EFC" w14:textId="77777777" w:rsidR="00852829" w:rsidRDefault="00852829" w:rsidP="00852829">
      <w:pPr>
        <w:pStyle w:val="NORMAL12"/>
      </w:pPr>
      <w:r>
        <w:t>Según el grado de deterioro, el picado y saneo se realizará hasta descubrir completamente las armaduras, en caso de existir indicios de corrosión, o hasta la obtención de material sano y competente. Con este picado se eliminará:</w:t>
      </w:r>
    </w:p>
    <w:p w14:paraId="4988F573" w14:textId="77777777" w:rsidR="00852829" w:rsidRDefault="00852829" w:rsidP="00B944D6">
      <w:pPr>
        <w:pStyle w:val="NORMAL12"/>
        <w:numPr>
          <w:ilvl w:val="0"/>
          <w:numId w:val="170"/>
        </w:numPr>
      </w:pPr>
      <w:r>
        <w:t xml:space="preserve">El hormigón </w:t>
      </w:r>
      <w:proofErr w:type="spellStart"/>
      <w:r>
        <w:t>delaminado</w:t>
      </w:r>
      <w:proofErr w:type="spellEnd"/>
      <w:r>
        <w:t xml:space="preserve"> o </w:t>
      </w:r>
      <w:proofErr w:type="spellStart"/>
      <w:r>
        <w:t>microfisurado</w:t>
      </w:r>
      <w:proofErr w:type="spellEnd"/>
      <w:r>
        <w:t xml:space="preserve"> y visiblemente en mal estado o con indicios de carbonatación</w:t>
      </w:r>
    </w:p>
    <w:p w14:paraId="263D16B1" w14:textId="77777777" w:rsidR="00852829" w:rsidRDefault="00852829" w:rsidP="00B944D6">
      <w:pPr>
        <w:pStyle w:val="NORMAL12"/>
        <w:numPr>
          <w:ilvl w:val="0"/>
          <w:numId w:val="170"/>
        </w:numPr>
      </w:pPr>
      <w:r>
        <w:t>El hormigón de la parte posterior de las armaduras hasta una profundidad equivalente a su diámetro (en los casos que se requiera llegar hasta las armaduras) descubriendo toda la longitud oxidada de armaduras hasta encontrar la parte no afectada de las mismas. Si se descubriesen armaduras no oxidadas, deberá garantizarse su adherencia posterior al material de reparación mediante la aplicación del puente de unión correspondiente</w:t>
      </w:r>
    </w:p>
    <w:p w14:paraId="109C5CF2" w14:textId="77777777" w:rsidR="00852829" w:rsidRDefault="00852829" w:rsidP="00852829">
      <w:pPr>
        <w:pStyle w:val="NORMAL12"/>
      </w:pPr>
      <w:r>
        <w:t>Durante la acción de retirada mecánica del hormigón, se producirá siempre polvo en el plano de fractura. Al término de los trabajos, la superficie debe quedar completamente libre de polvo. Este efecto se puede lograr mediante aspiración o proyectando aire comprimido exento de aceite. También se pueden usar pulverizadores con agua a presión, cuando la humedad del hormigón no sea un problema para las acciones posteriores, o cuando haya tiempo para que la superficie quede completamente seca.</w:t>
      </w:r>
    </w:p>
    <w:p w14:paraId="59A65ED1" w14:textId="77777777" w:rsidR="00852829" w:rsidRDefault="00852829" w:rsidP="00852829">
      <w:pPr>
        <w:pStyle w:val="NORMAL12"/>
      </w:pPr>
      <w:r>
        <w:lastRenderedPageBreak/>
        <w:t>La preparación de superficies y barras de acero para la posterior reparación estructural se realizará conforme a las especificaciones recogidas en el presente Pliego, cumpliendo en todo momento la normativa europea EN ISO 8501.</w:t>
      </w:r>
    </w:p>
    <w:p w14:paraId="5E906CE3" w14:textId="77777777" w:rsidR="00852829" w:rsidRDefault="00852829" w:rsidP="00852829">
      <w:pPr>
        <w:pStyle w:val="NORMAL12"/>
      </w:pPr>
      <w:r>
        <w:t xml:space="preserve">En virtud de la norma, se describen cuatro grados de oxidación que se encuentran normalmente en las superficies de acero no revestido y que se recogen a continuación: </w:t>
      </w:r>
    </w:p>
    <w:p w14:paraId="65AE2F0F" w14:textId="77777777" w:rsidR="00852829" w:rsidRDefault="00852829" w:rsidP="00852829">
      <w:pPr>
        <w:pStyle w:val="NORMAL12"/>
        <w:spacing w:line="240" w:lineRule="auto"/>
        <w:jc w:val="center"/>
      </w:pPr>
      <w:r w:rsidRPr="009B23E5">
        <w:rPr>
          <w:noProof/>
          <w:lang w:val="es-ES" w:eastAsia="es-ES"/>
        </w:rPr>
        <w:drawing>
          <wp:inline distT="0" distB="0" distL="0" distR="0" wp14:anchorId="27AB0CAA" wp14:editId="681193F3">
            <wp:extent cx="5569585" cy="2683510"/>
            <wp:effectExtent l="19050" t="0" r="0" b="0"/>
            <wp:docPr id="8"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26" cstate="print"/>
                    <a:srcRect/>
                    <a:stretch>
                      <a:fillRect/>
                    </a:stretch>
                  </pic:blipFill>
                  <pic:spPr bwMode="auto">
                    <a:xfrm>
                      <a:off x="0" y="0"/>
                      <a:ext cx="5569585" cy="2683510"/>
                    </a:xfrm>
                    <a:prstGeom prst="rect">
                      <a:avLst/>
                    </a:prstGeom>
                    <a:noFill/>
                    <a:ln w="9525">
                      <a:noFill/>
                      <a:miter lim="800000"/>
                      <a:headEnd/>
                      <a:tailEnd/>
                    </a:ln>
                  </pic:spPr>
                </pic:pic>
              </a:graphicData>
            </a:graphic>
          </wp:inline>
        </w:drawing>
      </w:r>
    </w:p>
    <w:p w14:paraId="6650302F" w14:textId="77777777" w:rsidR="00852829" w:rsidRPr="00B944D6" w:rsidRDefault="00852829" w:rsidP="00852829">
      <w:pPr>
        <w:pStyle w:val="NORMAL12"/>
        <w:spacing w:line="240" w:lineRule="auto"/>
        <w:jc w:val="center"/>
        <w:rPr>
          <w:b/>
          <w:i/>
          <w:sz w:val="18"/>
          <w:szCs w:val="18"/>
        </w:rPr>
      </w:pPr>
      <w:r w:rsidRPr="00B944D6">
        <w:rPr>
          <w:b/>
          <w:i/>
          <w:sz w:val="18"/>
          <w:szCs w:val="18"/>
        </w:rPr>
        <w:t>Patrones foto</w:t>
      </w:r>
      <w:r w:rsidR="00B944D6">
        <w:rPr>
          <w:b/>
          <w:i/>
          <w:sz w:val="18"/>
          <w:szCs w:val="18"/>
        </w:rPr>
        <w:t>gráficos del grado de oxidación</w:t>
      </w:r>
    </w:p>
    <w:p w14:paraId="2D555DD5" w14:textId="77777777" w:rsidR="00852829" w:rsidRDefault="00852829" w:rsidP="00852829">
      <w:pPr>
        <w:pStyle w:val="NORMAL12"/>
      </w:pPr>
      <w:r>
        <w:t>La norma ISO 8501-1 identifica también ciertos grados de limpieza visual (denominados grados de preparación) tras la actuación sobre la superficie de acero no revestido y de las superficies de acero después de eliminar totalmente cualquier revestimiento anterior. En el ámbito del informe, existen dos grados de preparación según el método de limpieza utilizado: limpieza con chorro de arena “Sa” o limpieza manual mecánica “</w:t>
      </w:r>
      <w:proofErr w:type="spellStart"/>
      <w:r>
        <w:t>St</w:t>
      </w:r>
      <w:proofErr w:type="spellEnd"/>
      <w: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
        <w:gridCol w:w="7498"/>
      </w:tblGrid>
      <w:tr w:rsidR="00852829" w:rsidRPr="00130A11" w14:paraId="1CD63397" w14:textId="77777777" w:rsidTr="007920B4">
        <w:trPr>
          <w:jc w:val="center"/>
        </w:trPr>
        <w:tc>
          <w:tcPr>
            <w:tcW w:w="0" w:type="auto"/>
            <w:gridSpan w:val="2"/>
            <w:shd w:val="clear" w:color="auto" w:fill="D9D9D9" w:themeFill="background1" w:themeFillShade="D9"/>
            <w:vAlign w:val="center"/>
          </w:tcPr>
          <w:p w14:paraId="3EFD774A" w14:textId="77777777" w:rsidR="00852829" w:rsidRPr="00130A11" w:rsidRDefault="00852829" w:rsidP="00B944D6">
            <w:pPr>
              <w:suppressAutoHyphens/>
              <w:spacing w:before="60" w:after="60"/>
              <w:jc w:val="center"/>
              <w:rPr>
                <w:rFonts w:ascii="Arial" w:hAnsi="Arial" w:cs="Arial"/>
                <w:b/>
                <w:bCs/>
                <w:color w:val="000000"/>
                <w:sz w:val="20"/>
                <w:lang w:eastAsia="ar-SA"/>
              </w:rPr>
            </w:pPr>
            <w:r w:rsidRPr="00130A11">
              <w:rPr>
                <w:rFonts w:ascii="Arial" w:hAnsi="Arial" w:cs="Arial"/>
                <w:b/>
                <w:bCs/>
                <w:color w:val="000000"/>
                <w:sz w:val="20"/>
                <w:lang w:eastAsia="ar-SA"/>
              </w:rPr>
              <w:t>L</w:t>
            </w:r>
            <w:r w:rsidR="00B944D6">
              <w:rPr>
                <w:rFonts w:ascii="Arial" w:hAnsi="Arial" w:cs="Arial"/>
                <w:b/>
                <w:bCs/>
                <w:color w:val="000000"/>
                <w:sz w:val="20"/>
                <w:lang w:eastAsia="ar-SA"/>
              </w:rPr>
              <w:t>impieza por chorro abrasivo</w:t>
            </w:r>
          </w:p>
        </w:tc>
      </w:tr>
      <w:tr w:rsidR="00852829" w:rsidRPr="00130A11" w14:paraId="484C8381" w14:textId="77777777" w:rsidTr="007920B4">
        <w:trPr>
          <w:jc w:val="center"/>
        </w:trPr>
        <w:tc>
          <w:tcPr>
            <w:tcW w:w="0" w:type="auto"/>
            <w:vAlign w:val="center"/>
          </w:tcPr>
          <w:p w14:paraId="6085FC4C" w14:textId="77777777" w:rsidR="00852829" w:rsidRPr="00130A11" w:rsidRDefault="00852829" w:rsidP="007920B4">
            <w:pPr>
              <w:suppressAutoHyphens/>
              <w:spacing w:before="60" w:after="60"/>
              <w:rPr>
                <w:rFonts w:ascii="Arial" w:hAnsi="Arial" w:cs="Arial"/>
                <w:bCs/>
                <w:lang w:eastAsia="ar-SA"/>
              </w:rPr>
            </w:pPr>
            <w:r w:rsidRPr="00130A11">
              <w:rPr>
                <w:rFonts w:ascii="Arial" w:hAnsi="Arial" w:cs="Arial"/>
                <w:b/>
                <w:bCs/>
                <w:color w:val="000000"/>
                <w:sz w:val="20"/>
                <w:lang w:eastAsia="ar-SA"/>
              </w:rPr>
              <w:t>Sa 1</w:t>
            </w:r>
          </w:p>
        </w:tc>
        <w:tc>
          <w:tcPr>
            <w:tcW w:w="0" w:type="auto"/>
            <w:vAlign w:val="center"/>
          </w:tcPr>
          <w:p w14:paraId="0F2CE4A7" w14:textId="77777777" w:rsidR="00852829" w:rsidRPr="00130A11" w:rsidRDefault="00852829" w:rsidP="007920B4">
            <w:pPr>
              <w:suppressAutoHyphens/>
              <w:spacing w:before="60" w:after="60"/>
              <w:rPr>
                <w:rFonts w:ascii="Arial" w:hAnsi="Arial" w:cs="Arial"/>
                <w:color w:val="000000"/>
                <w:sz w:val="20"/>
                <w:lang w:eastAsia="ar-SA"/>
              </w:rPr>
            </w:pPr>
            <w:r w:rsidRPr="00130A11">
              <w:rPr>
                <w:rFonts w:ascii="Arial" w:hAnsi="Arial" w:cs="Arial"/>
                <w:color w:val="000000"/>
                <w:sz w:val="20"/>
                <w:lang w:eastAsia="ar-SA"/>
              </w:rPr>
              <w:t>Limpieza por chorro abrasivo ligero</w:t>
            </w:r>
          </w:p>
        </w:tc>
      </w:tr>
      <w:tr w:rsidR="00852829" w:rsidRPr="00130A11" w14:paraId="1EE36D88" w14:textId="77777777" w:rsidTr="007920B4">
        <w:trPr>
          <w:jc w:val="center"/>
        </w:trPr>
        <w:tc>
          <w:tcPr>
            <w:tcW w:w="0" w:type="auto"/>
            <w:vAlign w:val="center"/>
          </w:tcPr>
          <w:p w14:paraId="3A5DC57A" w14:textId="77777777" w:rsidR="00852829" w:rsidRPr="00130A11" w:rsidRDefault="00852829" w:rsidP="007920B4">
            <w:pPr>
              <w:suppressAutoHyphens/>
              <w:spacing w:before="60" w:after="60"/>
              <w:rPr>
                <w:rFonts w:ascii="Arial" w:hAnsi="Arial" w:cs="Arial"/>
                <w:b/>
                <w:bCs/>
                <w:color w:val="000000"/>
                <w:sz w:val="20"/>
                <w:lang w:eastAsia="ar-SA"/>
              </w:rPr>
            </w:pPr>
            <w:r w:rsidRPr="00130A11">
              <w:rPr>
                <w:rFonts w:ascii="Arial" w:hAnsi="Arial" w:cs="Arial"/>
                <w:b/>
                <w:bCs/>
                <w:color w:val="000000"/>
                <w:sz w:val="20"/>
                <w:lang w:eastAsia="ar-SA"/>
              </w:rPr>
              <w:t>Sa 2</w:t>
            </w:r>
          </w:p>
        </w:tc>
        <w:tc>
          <w:tcPr>
            <w:tcW w:w="0" w:type="auto"/>
            <w:vAlign w:val="center"/>
          </w:tcPr>
          <w:p w14:paraId="3A6DBC73" w14:textId="77777777" w:rsidR="00852829" w:rsidRPr="00130A11" w:rsidRDefault="00852829" w:rsidP="007920B4">
            <w:pPr>
              <w:suppressAutoHyphens/>
              <w:spacing w:before="60" w:after="60"/>
              <w:rPr>
                <w:rFonts w:ascii="Arial" w:hAnsi="Arial" w:cs="Arial"/>
                <w:color w:val="000000"/>
                <w:sz w:val="20"/>
                <w:lang w:eastAsia="ar-SA"/>
              </w:rPr>
            </w:pPr>
            <w:r w:rsidRPr="00130A11">
              <w:rPr>
                <w:rFonts w:ascii="Arial" w:hAnsi="Arial" w:cs="Arial"/>
                <w:color w:val="000000"/>
                <w:sz w:val="20"/>
                <w:lang w:eastAsia="ar-SA"/>
              </w:rPr>
              <w:t>Limpieza por chorro abrasivo intenso</w:t>
            </w:r>
          </w:p>
        </w:tc>
      </w:tr>
      <w:tr w:rsidR="00852829" w:rsidRPr="00130A11" w14:paraId="2E2A8B8A" w14:textId="77777777" w:rsidTr="007920B4">
        <w:trPr>
          <w:jc w:val="center"/>
        </w:trPr>
        <w:tc>
          <w:tcPr>
            <w:tcW w:w="0" w:type="auto"/>
            <w:vAlign w:val="center"/>
          </w:tcPr>
          <w:p w14:paraId="15EDC783" w14:textId="77777777" w:rsidR="00852829" w:rsidRPr="00130A11" w:rsidRDefault="00852829" w:rsidP="007920B4">
            <w:pPr>
              <w:suppressAutoHyphens/>
              <w:spacing w:before="60" w:after="60"/>
              <w:rPr>
                <w:rFonts w:ascii="Arial" w:hAnsi="Arial" w:cs="Arial"/>
                <w:b/>
                <w:bCs/>
                <w:color w:val="000000"/>
                <w:sz w:val="20"/>
                <w:lang w:eastAsia="ar-SA"/>
              </w:rPr>
            </w:pPr>
            <w:r w:rsidRPr="00130A11">
              <w:rPr>
                <w:rFonts w:ascii="Arial" w:hAnsi="Arial" w:cs="Arial"/>
                <w:b/>
                <w:bCs/>
                <w:color w:val="000000"/>
                <w:sz w:val="20"/>
                <w:lang w:eastAsia="ar-SA"/>
              </w:rPr>
              <w:t xml:space="preserve">Sa 2 </w:t>
            </w:r>
            <w:r w:rsidRPr="00130A11">
              <w:rPr>
                <w:rFonts w:ascii="Arial" w:hAnsi="Arial" w:cs="Arial"/>
                <w:b/>
                <w:bCs/>
                <w:color w:val="000000"/>
                <w:position w:val="-18"/>
                <w:sz w:val="20"/>
                <w:lang w:eastAsia="ar-SA"/>
              </w:rPr>
              <w:object w:dxaOrig="360" w:dyaOrig="480" w14:anchorId="005708FB">
                <v:shape id="_x0000_i1027" type="#_x0000_t75" style="width:13.5pt;height:16.5pt" o:ole="">
                  <v:imagedata r:id="rId27" o:title=""/>
                </v:shape>
                <o:OLEObject Type="Embed" ProgID="Equation.DSMT4" ShapeID="_x0000_i1027" DrawAspect="Content" ObjectID="_1824991068" r:id="rId28"/>
              </w:object>
            </w:r>
          </w:p>
        </w:tc>
        <w:tc>
          <w:tcPr>
            <w:tcW w:w="0" w:type="auto"/>
            <w:vAlign w:val="center"/>
          </w:tcPr>
          <w:p w14:paraId="6FA1D30D" w14:textId="77777777" w:rsidR="00852829" w:rsidRPr="00130A11" w:rsidRDefault="00852829" w:rsidP="007920B4">
            <w:pPr>
              <w:suppressAutoHyphens/>
              <w:spacing w:before="60" w:after="60"/>
              <w:rPr>
                <w:rFonts w:ascii="Arial" w:hAnsi="Arial" w:cs="Arial"/>
                <w:color w:val="000000"/>
                <w:sz w:val="20"/>
                <w:lang w:eastAsia="ar-SA"/>
              </w:rPr>
            </w:pPr>
            <w:r w:rsidRPr="00130A11">
              <w:rPr>
                <w:rFonts w:ascii="Arial" w:hAnsi="Arial" w:cs="Arial"/>
                <w:color w:val="000000"/>
                <w:sz w:val="20"/>
                <w:lang w:eastAsia="ar-SA"/>
              </w:rPr>
              <w:t>Limpieza por chorro abrasivo a fondo</w:t>
            </w:r>
          </w:p>
        </w:tc>
      </w:tr>
      <w:tr w:rsidR="00852829" w:rsidRPr="00130A11" w14:paraId="74A4A830" w14:textId="77777777" w:rsidTr="007920B4">
        <w:trPr>
          <w:jc w:val="center"/>
        </w:trPr>
        <w:tc>
          <w:tcPr>
            <w:tcW w:w="0" w:type="auto"/>
            <w:vAlign w:val="center"/>
          </w:tcPr>
          <w:p w14:paraId="313803AD" w14:textId="77777777" w:rsidR="00852829" w:rsidRPr="00130A11" w:rsidRDefault="00852829" w:rsidP="007920B4">
            <w:pPr>
              <w:suppressAutoHyphens/>
              <w:spacing w:before="60" w:after="60"/>
              <w:rPr>
                <w:rFonts w:ascii="Arial" w:hAnsi="Arial" w:cs="Arial"/>
                <w:b/>
                <w:bCs/>
                <w:color w:val="000000"/>
                <w:sz w:val="20"/>
                <w:lang w:eastAsia="ar-SA"/>
              </w:rPr>
            </w:pPr>
            <w:r w:rsidRPr="00130A11">
              <w:rPr>
                <w:rFonts w:ascii="Arial" w:hAnsi="Arial" w:cs="Arial"/>
                <w:b/>
                <w:bCs/>
                <w:color w:val="000000"/>
                <w:sz w:val="20"/>
                <w:lang w:eastAsia="ar-SA"/>
              </w:rPr>
              <w:t>Sa 3</w:t>
            </w:r>
          </w:p>
        </w:tc>
        <w:tc>
          <w:tcPr>
            <w:tcW w:w="0" w:type="auto"/>
            <w:vAlign w:val="center"/>
          </w:tcPr>
          <w:p w14:paraId="4CF1D5D2" w14:textId="77777777" w:rsidR="00852829" w:rsidRPr="00130A11" w:rsidRDefault="00852829" w:rsidP="007920B4">
            <w:pPr>
              <w:suppressAutoHyphens/>
              <w:spacing w:before="60" w:after="60"/>
              <w:rPr>
                <w:rFonts w:ascii="Arial" w:hAnsi="Arial" w:cs="Arial"/>
                <w:color w:val="000000"/>
                <w:sz w:val="20"/>
                <w:lang w:eastAsia="ar-SA"/>
              </w:rPr>
            </w:pPr>
            <w:r w:rsidRPr="00130A11">
              <w:rPr>
                <w:rFonts w:ascii="Arial" w:hAnsi="Arial" w:cs="Arial"/>
                <w:color w:val="000000"/>
                <w:sz w:val="20"/>
                <w:lang w:eastAsia="ar-SA"/>
              </w:rPr>
              <w:t>Limpieza por chorro hasta que el acero quede visiblemente limpio (“metal blanco”)</w:t>
            </w:r>
          </w:p>
        </w:tc>
      </w:tr>
      <w:tr w:rsidR="00852829" w:rsidRPr="00130A11" w14:paraId="69DB2ABF" w14:textId="77777777" w:rsidTr="007920B4">
        <w:trPr>
          <w:jc w:val="center"/>
        </w:trPr>
        <w:tc>
          <w:tcPr>
            <w:tcW w:w="0" w:type="auto"/>
            <w:gridSpan w:val="2"/>
            <w:shd w:val="clear" w:color="auto" w:fill="D9D9D9" w:themeFill="background1" w:themeFillShade="D9"/>
            <w:vAlign w:val="center"/>
          </w:tcPr>
          <w:p w14:paraId="6BD51D8A" w14:textId="77777777" w:rsidR="00852829" w:rsidRPr="00130A11" w:rsidRDefault="00852829" w:rsidP="00B944D6">
            <w:pPr>
              <w:suppressAutoHyphens/>
              <w:spacing w:before="60" w:after="60"/>
              <w:jc w:val="center"/>
              <w:rPr>
                <w:rFonts w:ascii="Arial" w:hAnsi="Arial" w:cs="Arial"/>
                <w:b/>
                <w:bCs/>
                <w:color w:val="000000"/>
                <w:sz w:val="20"/>
                <w:lang w:eastAsia="ar-SA"/>
              </w:rPr>
            </w:pPr>
            <w:r w:rsidRPr="00130A11">
              <w:rPr>
                <w:rFonts w:ascii="Arial" w:hAnsi="Arial" w:cs="Arial"/>
                <w:b/>
                <w:bCs/>
                <w:color w:val="000000"/>
                <w:sz w:val="20"/>
                <w:lang w:eastAsia="ar-SA"/>
              </w:rPr>
              <w:t>L</w:t>
            </w:r>
            <w:r w:rsidR="00B944D6">
              <w:rPr>
                <w:rFonts w:ascii="Arial" w:hAnsi="Arial" w:cs="Arial"/>
                <w:b/>
                <w:bCs/>
                <w:color w:val="000000"/>
                <w:sz w:val="20"/>
                <w:lang w:eastAsia="ar-SA"/>
              </w:rPr>
              <w:t>impieza manual mecánica</w:t>
            </w:r>
          </w:p>
        </w:tc>
      </w:tr>
      <w:tr w:rsidR="00852829" w:rsidRPr="00130A11" w14:paraId="12C4481C" w14:textId="77777777" w:rsidTr="007920B4">
        <w:trPr>
          <w:jc w:val="center"/>
        </w:trPr>
        <w:tc>
          <w:tcPr>
            <w:tcW w:w="0" w:type="auto"/>
            <w:vAlign w:val="center"/>
          </w:tcPr>
          <w:p w14:paraId="1803C5B8" w14:textId="77777777" w:rsidR="00852829" w:rsidRPr="00130A11" w:rsidRDefault="00852829" w:rsidP="007920B4">
            <w:pPr>
              <w:suppressAutoHyphens/>
              <w:spacing w:before="60" w:after="60"/>
              <w:rPr>
                <w:rFonts w:ascii="Arial" w:hAnsi="Arial" w:cs="Arial"/>
                <w:bCs/>
                <w:lang w:eastAsia="ar-SA"/>
              </w:rPr>
            </w:pPr>
            <w:proofErr w:type="spellStart"/>
            <w:r w:rsidRPr="00130A11">
              <w:rPr>
                <w:rFonts w:ascii="Arial" w:hAnsi="Arial" w:cs="Arial"/>
                <w:b/>
                <w:bCs/>
                <w:color w:val="000000"/>
                <w:sz w:val="20"/>
                <w:lang w:eastAsia="ar-SA"/>
              </w:rPr>
              <w:t>St</w:t>
            </w:r>
            <w:proofErr w:type="spellEnd"/>
            <w:r w:rsidRPr="00130A11">
              <w:rPr>
                <w:rFonts w:ascii="Arial" w:hAnsi="Arial" w:cs="Arial"/>
                <w:b/>
                <w:bCs/>
                <w:color w:val="000000"/>
                <w:sz w:val="20"/>
                <w:lang w:eastAsia="ar-SA"/>
              </w:rPr>
              <w:t xml:space="preserve"> 2</w:t>
            </w:r>
          </w:p>
        </w:tc>
        <w:tc>
          <w:tcPr>
            <w:tcW w:w="0" w:type="auto"/>
            <w:vAlign w:val="center"/>
          </w:tcPr>
          <w:p w14:paraId="63C4DFA2" w14:textId="77777777" w:rsidR="00852829" w:rsidRPr="00130A11" w:rsidRDefault="00852829" w:rsidP="007920B4">
            <w:pPr>
              <w:suppressAutoHyphens/>
              <w:spacing w:before="60" w:after="60"/>
              <w:rPr>
                <w:rFonts w:ascii="Arial" w:hAnsi="Arial" w:cs="Arial"/>
                <w:color w:val="000000"/>
                <w:sz w:val="20"/>
                <w:lang w:eastAsia="ar-SA"/>
              </w:rPr>
            </w:pPr>
            <w:r w:rsidRPr="00130A11">
              <w:rPr>
                <w:rFonts w:ascii="Arial" w:hAnsi="Arial" w:cs="Arial"/>
                <w:color w:val="000000"/>
                <w:sz w:val="20"/>
                <w:lang w:eastAsia="ar-SA"/>
              </w:rPr>
              <w:t>Limpieza manual y mecánica intensa</w:t>
            </w:r>
          </w:p>
        </w:tc>
      </w:tr>
      <w:tr w:rsidR="00852829" w:rsidRPr="00130A11" w14:paraId="69A77899" w14:textId="77777777" w:rsidTr="007920B4">
        <w:trPr>
          <w:jc w:val="center"/>
        </w:trPr>
        <w:tc>
          <w:tcPr>
            <w:tcW w:w="0" w:type="auto"/>
            <w:vAlign w:val="center"/>
          </w:tcPr>
          <w:p w14:paraId="0F0F1020" w14:textId="77777777" w:rsidR="00852829" w:rsidRPr="00130A11" w:rsidRDefault="00852829" w:rsidP="007920B4">
            <w:pPr>
              <w:suppressAutoHyphens/>
              <w:spacing w:before="60" w:after="60"/>
              <w:rPr>
                <w:rFonts w:ascii="Arial" w:hAnsi="Arial" w:cs="Arial"/>
                <w:b/>
                <w:bCs/>
                <w:color w:val="000000"/>
                <w:sz w:val="20"/>
                <w:lang w:eastAsia="ar-SA"/>
              </w:rPr>
            </w:pPr>
            <w:proofErr w:type="spellStart"/>
            <w:r w:rsidRPr="00130A11">
              <w:rPr>
                <w:rFonts w:ascii="Arial" w:hAnsi="Arial" w:cs="Arial"/>
                <w:b/>
                <w:bCs/>
                <w:color w:val="000000"/>
                <w:sz w:val="20"/>
                <w:lang w:eastAsia="ar-SA"/>
              </w:rPr>
              <w:t>St</w:t>
            </w:r>
            <w:proofErr w:type="spellEnd"/>
            <w:r w:rsidRPr="00130A11">
              <w:rPr>
                <w:rFonts w:ascii="Arial" w:hAnsi="Arial" w:cs="Arial"/>
                <w:b/>
                <w:bCs/>
                <w:color w:val="000000"/>
                <w:sz w:val="20"/>
                <w:lang w:eastAsia="ar-SA"/>
              </w:rPr>
              <w:t xml:space="preserve"> 3</w:t>
            </w:r>
          </w:p>
        </w:tc>
        <w:tc>
          <w:tcPr>
            <w:tcW w:w="0" w:type="auto"/>
            <w:vAlign w:val="center"/>
          </w:tcPr>
          <w:p w14:paraId="4FEA46B5" w14:textId="77777777" w:rsidR="00852829" w:rsidRPr="00130A11" w:rsidRDefault="00852829" w:rsidP="007920B4">
            <w:pPr>
              <w:suppressAutoHyphens/>
              <w:spacing w:before="60" w:after="60"/>
              <w:rPr>
                <w:rFonts w:ascii="Arial" w:hAnsi="Arial" w:cs="Arial"/>
                <w:color w:val="000000"/>
                <w:sz w:val="20"/>
                <w:lang w:eastAsia="ar-SA"/>
              </w:rPr>
            </w:pPr>
            <w:r w:rsidRPr="00130A11">
              <w:rPr>
                <w:rFonts w:ascii="Arial" w:hAnsi="Arial" w:cs="Arial"/>
                <w:color w:val="000000"/>
                <w:sz w:val="20"/>
                <w:lang w:eastAsia="ar-SA"/>
              </w:rPr>
              <w:t>Limpieza manual y mecánica fondo</w:t>
            </w:r>
          </w:p>
        </w:tc>
      </w:tr>
    </w:tbl>
    <w:p w14:paraId="58CA8688" w14:textId="77777777" w:rsidR="00852829" w:rsidRDefault="00852829" w:rsidP="00852829">
      <w:pPr>
        <w:pStyle w:val="NORMAL12"/>
        <w:spacing w:line="240" w:lineRule="auto"/>
        <w:jc w:val="center"/>
        <w:rPr>
          <w:b/>
          <w:i/>
          <w:sz w:val="18"/>
          <w:szCs w:val="18"/>
        </w:rPr>
      </w:pPr>
      <w:r w:rsidRPr="00B944D6">
        <w:rPr>
          <w:b/>
          <w:i/>
          <w:sz w:val="18"/>
          <w:szCs w:val="18"/>
        </w:rPr>
        <w:t>Grados de preparación</w:t>
      </w:r>
    </w:p>
    <w:p w14:paraId="6C980065" w14:textId="77777777" w:rsidR="00B944D6" w:rsidRPr="00B944D6" w:rsidRDefault="00B944D6" w:rsidP="00852829">
      <w:pPr>
        <w:pStyle w:val="NORMAL12"/>
        <w:spacing w:line="240" w:lineRule="auto"/>
        <w:jc w:val="center"/>
        <w:rPr>
          <w:b/>
          <w:i/>
          <w:sz w:val="18"/>
          <w:szCs w:val="18"/>
        </w:rPr>
      </w:pPr>
    </w:p>
    <w:p w14:paraId="1E541F99" w14:textId="77777777" w:rsidR="00B944D6" w:rsidRPr="00130A11" w:rsidRDefault="00B944D6" w:rsidP="00852829">
      <w:pPr>
        <w:pStyle w:val="NORMAL12"/>
        <w:spacing w:line="240" w:lineRule="auto"/>
        <w:jc w:val="center"/>
        <w:rPr>
          <w:b/>
          <w:i/>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0"/>
        <w:gridCol w:w="4520"/>
        <w:gridCol w:w="3856"/>
      </w:tblGrid>
      <w:tr w:rsidR="00852829" w:rsidRPr="00130A11" w14:paraId="63D63A9F" w14:textId="77777777" w:rsidTr="007920B4">
        <w:trPr>
          <w:trHeight w:val="549"/>
          <w:tblHeader/>
        </w:trPr>
        <w:tc>
          <w:tcPr>
            <w:tcW w:w="1150" w:type="dxa"/>
            <w:shd w:val="clear" w:color="auto" w:fill="D9D9D9" w:themeFill="background1" w:themeFillShade="D9"/>
            <w:vAlign w:val="center"/>
          </w:tcPr>
          <w:p w14:paraId="1C4D02A2" w14:textId="77777777" w:rsidR="00852829" w:rsidRPr="00130A11" w:rsidRDefault="00852829" w:rsidP="007920B4">
            <w:pPr>
              <w:suppressAutoHyphens/>
              <w:spacing w:before="60" w:after="60"/>
              <w:jc w:val="center"/>
              <w:rPr>
                <w:rFonts w:ascii="Arial" w:hAnsi="Arial" w:cs="Arial"/>
                <w:b/>
                <w:bCs/>
                <w:color w:val="000000"/>
                <w:sz w:val="20"/>
                <w:lang w:eastAsia="ar-SA"/>
              </w:rPr>
            </w:pPr>
            <w:r w:rsidRPr="00130A11">
              <w:rPr>
                <w:rFonts w:ascii="Arial" w:hAnsi="Arial" w:cs="Arial"/>
                <w:b/>
                <w:bCs/>
                <w:color w:val="000000"/>
                <w:sz w:val="20"/>
                <w:lang w:eastAsia="ar-SA"/>
              </w:rPr>
              <w:t>Grado de oxidación</w:t>
            </w:r>
          </w:p>
        </w:tc>
        <w:tc>
          <w:tcPr>
            <w:tcW w:w="4520" w:type="dxa"/>
            <w:shd w:val="clear" w:color="auto" w:fill="D9D9D9" w:themeFill="background1" w:themeFillShade="D9"/>
            <w:vAlign w:val="center"/>
          </w:tcPr>
          <w:p w14:paraId="516AB05B" w14:textId="77777777" w:rsidR="00852829" w:rsidRPr="00130A11" w:rsidRDefault="00852829" w:rsidP="007920B4">
            <w:pPr>
              <w:suppressAutoHyphens/>
              <w:spacing w:before="60" w:after="60"/>
              <w:jc w:val="center"/>
              <w:rPr>
                <w:rFonts w:ascii="Arial" w:hAnsi="Arial" w:cs="Arial"/>
                <w:b/>
                <w:bCs/>
                <w:color w:val="000000"/>
                <w:sz w:val="20"/>
                <w:lang w:eastAsia="ar-SA"/>
              </w:rPr>
            </w:pPr>
            <w:r w:rsidRPr="00130A11">
              <w:rPr>
                <w:rFonts w:ascii="Arial" w:hAnsi="Arial" w:cs="Arial"/>
                <w:b/>
                <w:bCs/>
                <w:color w:val="000000"/>
                <w:sz w:val="20"/>
                <w:lang w:eastAsia="ar-SA"/>
              </w:rPr>
              <w:t>Patrones fotográficos de grados de preparación de superficie</w:t>
            </w:r>
          </w:p>
        </w:tc>
        <w:tc>
          <w:tcPr>
            <w:tcW w:w="3856" w:type="dxa"/>
            <w:shd w:val="clear" w:color="auto" w:fill="D9D9D9" w:themeFill="background1" w:themeFillShade="D9"/>
            <w:vAlign w:val="center"/>
          </w:tcPr>
          <w:p w14:paraId="04FC730C" w14:textId="77777777" w:rsidR="00852829" w:rsidRPr="00130A11" w:rsidRDefault="00852829" w:rsidP="007920B4">
            <w:pPr>
              <w:suppressAutoHyphens/>
              <w:spacing w:before="60" w:after="60"/>
              <w:jc w:val="center"/>
              <w:rPr>
                <w:rFonts w:ascii="Arial" w:hAnsi="Arial" w:cs="Arial"/>
                <w:b/>
                <w:bCs/>
                <w:color w:val="000000"/>
                <w:sz w:val="20"/>
                <w:lang w:eastAsia="ar-SA"/>
              </w:rPr>
            </w:pPr>
            <w:r w:rsidRPr="00130A11">
              <w:rPr>
                <w:rFonts w:ascii="Arial" w:hAnsi="Arial" w:cs="Arial"/>
                <w:b/>
                <w:bCs/>
                <w:color w:val="000000"/>
                <w:sz w:val="20"/>
                <w:lang w:eastAsia="ar-SA"/>
              </w:rPr>
              <w:t>Descripción</w:t>
            </w:r>
          </w:p>
        </w:tc>
      </w:tr>
      <w:tr w:rsidR="00852829" w:rsidRPr="00130A11" w14:paraId="761B1C42" w14:textId="77777777" w:rsidTr="007920B4">
        <w:trPr>
          <w:trHeight w:val="2401"/>
        </w:trPr>
        <w:tc>
          <w:tcPr>
            <w:tcW w:w="1150" w:type="dxa"/>
            <w:vAlign w:val="center"/>
          </w:tcPr>
          <w:p w14:paraId="2C93C67F" w14:textId="77777777" w:rsidR="00852829" w:rsidRPr="00130A11" w:rsidRDefault="00852829" w:rsidP="007920B4">
            <w:pPr>
              <w:suppressAutoHyphens/>
              <w:spacing w:before="240"/>
              <w:jc w:val="center"/>
              <w:rPr>
                <w:rFonts w:ascii="Arial" w:hAnsi="Arial" w:cs="Arial"/>
                <w:b/>
                <w:bCs/>
                <w:i/>
                <w:lang w:eastAsia="ar-SA"/>
              </w:rPr>
            </w:pPr>
            <w:r w:rsidRPr="00130A11">
              <w:rPr>
                <w:rFonts w:ascii="Arial" w:hAnsi="Arial" w:cs="Arial"/>
                <w:b/>
                <w:bCs/>
                <w:i/>
                <w:lang w:eastAsia="ar-SA"/>
              </w:rPr>
              <w:t>A</w:t>
            </w:r>
          </w:p>
        </w:tc>
        <w:tc>
          <w:tcPr>
            <w:tcW w:w="4520" w:type="dxa"/>
            <w:vAlign w:val="center"/>
          </w:tcPr>
          <w:p w14:paraId="3C32BCB8" w14:textId="77777777" w:rsidR="00852829" w:rsidRPr="00130A11" w:rsidRDefault="00852829" w:rsidP="007920B4">
            <w:pPr>
              <w:suppressAutoHyphens/>
              <w:spacing w:before="240"/>
              <w:rPr>
                <w:rFonts w:ascii="Arial" w:hAnsi="Arial" w:cs="Arial"/>
                <w:b/>
                <w:bCs/>
                <w:i/>
                <w:lang w:eastAsia="ar-SA"/>
              </w:rPr>
            </w:pPr>
            <w:r w:rsidRPr="00130A11">
              <w:rPr>
                <w:rFonts w:ascii="Arial" w:hAnsi="Arial" w:cs="Arial"/>
                <w:b/>
                <w:bCs/>
                <w:i/>
                <w:noProof/>
              </w:rPr>
              <w:drawing>
                <wp:inline distT="0" distB="0" distL="0" distR="0" wp14:anchorId="0565B8FB" wp14:editId="2A7637A6">
                  <wp:extent cx="1591310" cy="926465"/>
                  <wp:effectExtent l="19050" t="0" r="8890" b="0"/>
                  <wp:docPr id="24"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9" cstate="print"/>
                          <a:srcRect t="1476" r="50150" b="74724"/>
                          <a:stretch>
                            <a:fillRect/>
                          </a:stretch>
                        </pic:blipFill>
                        <pic:spPr bwMode="auto">
                          <a:xfrm>
                            <a:off x="0" y="0"/>
                            <a:ext cx="1591310" cy="926465"/>
                          </a:xfrm>
                          <a:prstGeom prst="rect">
                            <a:avLst/>
                          </a:prstGeom>
                          <a:noFill/>
                          <a:ln w="9525">
                            <a:noFill/>
                            <a:miter lim="800000"/>
                            <a:headEnd/>
                            <a:tailEnd/>
                          </a:ln>
                        </pic:spPr>
                      </pic:pic>
                    </a:graphicData>
                  </a:graphic>
                </wp:inline>
              </w:drawing>
            </w:r>
          </w:p>
        </w:tc>
        <w:tc>
          <w:tcPr>
            <w:tcW w:w="3856" w:type="dxa"/>
            <w:vAlign w:val="center"/>
          </w:tcPr>
          <w:p w14:paraId="017EBCBC" w14:textId="77777777" w:rsidR="00852829" w:rsidRPr="00130A11" w:rsidRDefault="00852829" w:rsidP="007920B4">
            <w:pPr>
              <w:spacing w:before="20" w:after="20" w:line="264" w:lineRule="auto"/>
              <w:rPr>
                <w:rFonts w:ascii="Arial" w:hAnsi="Arial" w:cs="Arial"/>
                <w:sz w:val="20"/>
              </w:rPr>
            </w:pPr>
            <w:r w:rsidRPr="00130A11">
              <w:rPr>
                <w:rFonts w:ascii="Arial" w:hAnsi="Arial" w:cs="Arial"/>
                <w:sz w:val="20"/>
              </w:rPr>
              <w:t xml:space="preserve">Superficie de acero completamente recubierta con las </w:t>
            </w:r>
            <w:proofErr w:type="spellStart"/>
            <w:r w:rsidRPr="00130A11">
              <w:rPr>
                <w:rFonts w:ascii="Arial" w:hAnsi="Arial" w:cs="Arial"/>
                <w:sz w:val="20"/>
              </w:rPr>
              <w:t>costras</w:t>
            </w:r>
            <w:proofErr w:type="spellEnd"/>
            <w:r w:rsidRPr="00130A11">
              <w:rPr>
                <w:rFonts w:ascii="Arial" w:hAnsi="Arial" w:cs="Arial"/>
                <w:sz w:val="20"/>
              </w:rPr>
              <w:t xml:space="preserve"> de fábrica o laminilla, firmemente adheridas, y en la mayoría de los casos con poco o nada de oxidación. Este grado es el que normalmente presenta el acero recién manufacturado o poco tiempo después de su salida del tren de laminación en caliente.</w:t>
            </w:r>
          </w:p>
        </w:tc>
      </w:tr>
      <w:tr w:rsidR="00852829" w:rsidRPr="00130A11" w14:paraId="4F73AD04" w14:textId="77777777" w:rsidTr="007920B4">
        <w:trPr>
          <w:trHeight w:val="2939"/>
        </w:trPr>
        <w:tc>
          <w:tcPr>
            <w:tcW w:w="1150" w:type="dxa"/>
            <w:vAlign w:val="center"/>
          </w:tcPr>
          <w:p w14:paraId="09181760" w14:textId="77777777" w:rsidR="00852829" w:rsidRPr="00130A11" w:rsidRDefault="00852829" w:rsidP="007920B4">
            <w:pPr>
              <w:suppressAutoHyphens/>
              <w:jc w:val="center"/>
              <w:rPr>
                <w:rFonts w:ascii="Arial" w:hAnsi="Arial" w:cs="Arial"/>
                <w:b/>
                <w:bCs/>
                <w:i/>
                <w:lang w:eastAsia="ar-SA"/>
              </w:rPr>
            </w:pPr>
            <w:r w:rsidRPr="00130A11">
              <w:rPr>
                <w:rFonts w:ascii="Arial" w:hAnsi="Arial" w:cs="Arial"/>
                <w:b/>
                <w:bCs/>
                <w:i/>
                <w:lang w:eastAsia="ar-SA"/>
              </w:rPr>
              <w:t>B</w:t>
            </w:r>
          </w:p>
        </w:tc>
        <w:tc>
          <w:tcPr>
            <w:tcW w:w="4520" w:type="dxa"/>
            <w:vAlign w:val="center"/>
          </w:tcPr>
          <w:p w14:paraId="7C458594" w14:textId="77777777" w:rsidR="00852829" w:rsidRPr="00130A11" w:rsidRDefault="00852829" w:rsidP="007920B4">
            <w:pPr>
              <w:suppressAutoHyphens/>
              <w:ind w:left="-157"/>
              <w:rPr>
                <w:rFonts w:ascii="Arial" w:hAnsi="Arial" w:cs="Arial"/>
                <w:b/>
                <w:bCs/>
                <w:i/>
                <w:lang w:eastAsia="ar-SA"/>
              </w:rPr>
            </w:pPr>
            <w:r w:rsidRPr="00130A11">
              <w:rPr>
                <w:rFonts w:ascii="Arial" w:hAnsi="Arial" w:cs="Arial"/>
                <w:b/>
                <w:bCs/>
                <w:i/>
                <w:noProof/>
              </w:rPr>
              <w:drawing>
                <wp:inline distT="0" distB="0" distL="0" distR="0" wp14:anchorId="14419334" wp14:editId="32B8F8B3">
                  <wp:extent cx="1579245" cy="902335"/>
                  <wp:effectExtent l="19050" t="0" r="1905" b="0"/>
                  <wp:docPr id="25"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9" cstate="print"/>
                          <a:srcRect l="50449" t="1476" b="75215"/>
                          <a:stretch>
                            <a:fillRect/>
                          </a:stretch>
                        </pic:blipFill>
                        <pic:spPr bwMode="auto">
                          <a:xfrm>
                            <a:off x="0" y="0"/>
                            <a:ext cx="1579245" cy="902335"/>
                          </a:xfrm>
                          <a:prstGeom prst="rect">
                            <a:avLst/>
                          </a:prstGeom>
                          <a:noFill/>
                          <a:ln w="9525">
                            <a:noFill/>
                            <a:miter lim="800000"/>
                            <a:headEnd/>
                            <a:tailEnd/>
                          </a:ln>
                        </pic:spPr>
                      </pic:pic>
                    </a:graphicData>
                  </a:graphic>
                </wp:inline>
              </w:drawing>
            </w:r>
            <w:r w:rsidRPr="00130A11">
              <w:rPr>
                <w:rFonts w:ascii="Arial" w:hAnsi="Arial" w:cs="Arial"/>
                <w:b/>
                <w:bCs/>
                <w:i/>
                <w:noProof/>
              </w:rPr>
              <w:drawing>
                <wp:inline distT="0" distB="0" distL="0" distR="0" wp14:anchorId="7D29B773" wp14:editId="446FC178">
                  <wp:extent cx="2719705" cy="831215"/>
                  <wp:effectExtent l="19050" t="0" r="4445" b="0"/>
                  <wp:docPr id="26"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9" cstate="print"/>
                          <a:srcRect t="24785" b="51169"/>
                          <a:stretch>
                            <a:fillRect/>
                          </a:stretch>
                        </pic:blipFill>
                        <pic:spPr bwMode="auto">
                          <a:xfrm>
                            <a:off x="0" y="0"/>
                            <a:ext cx="2719705" cy="831215"/>
                          </a:xfrm>
                          <a:prstGeom prst="rect">
                            <a:avLst/>
                          </a:prstGeom>
                          <a:noFill/>
                          <a:ln w="9525">
                            <a:noFill/>
                            <a:miter lim="800000"/>
                            <a:headEnd/>
                            <a:tailEnd/>
                          </a:ln>
                        </pic:spPr>
                      </pic:pic>
                    </a:graphicData>
                  </a:graphic>
                </wp:inline>
              </w:drawing>
            </w:r>
          </w:p>
        </w:tc>
        <w:tc>
          <w:tcPr>
            <w:tcW w:w="3856" w:type="dxa"/>
            <w:vAlign w:val="center"/>
          </w:tcPr>
          <w:p w14:paraId="12227874" w14:textId="77777777" w:rsidR="00852829" w:rsidRPr="00130A11" w:rsidRDefault="00852829" w:rsidP="007920B4">
            <w:pPr>
              <w:spacing w:line="264" w:lineRule="auto"/>
              <w:rPr>
                <w:rFonts w:ascii="Arial" w:hAnsi="Arial" w:cs="Arial"/>
                <w:sz w:val="20"/>
              </w:rPr>
            </w:pPr>
            <w:r w:rsidRPr="00130A11">
              <w:rPr>
                <w:rFonts w:ascii="Arial" w:hAnsi="Arial" w:cs="Arial"/>
                <w:sz w:val="20"/>
              </w:rPr>
              <w:t xml:space="preserve">Superficie de acero que ha iniciado su corrosión y de la que ha comenzado a desprenderse poco a poco la laminilla. Este grado es el que normalmente presenta la superficie del acero después de haber permanecido expuesta a la intemperie, sin protección, en una atmósfera medianamente corrosiva durante 2 </w:t>
            </w:r>
            <w:proofErr w:type="spellStart"/>
            <w:r w:rsidRPr="00130A11">
              <w:rPr>
                <w:rFonts w:ascii="Arial" w:hAnsi="Arial" w:cs="Arial"/>
                <w:sz w:val="20"/>
              </w:rPr>
              <w:t>ó</w:t>
            </w:r>
            <w:proofErr w:type="spellEnd"/>
            <w:r w:rsidRPr="00130A11">
              <w:rPr>
                <w:rFonts w:ascii="Arial" w:hAnsi="Arial" w:cs="Arial"/>
                <w:sz w:val="20"/>
              </w:rPr>
              <w:t xml:space="preserve"> 3 meses.</w:t>
            </w:r>
          </w:p>
        </w:tc>
      </w:tr>
      <w:tr w:rsidR="00852829" w:rsidRPr="00130A11" w14:paraId="2658E3BD" w14:textId="77777777" w:rsidTr="007920B4">
        <w:trPr>
          <w:trHeight w:val="2871"/>
        </w:trPr>
        <w:tc>
          <w:tcPr>
            <w:tcW w:w="1150" w:type="dxa"/>
            <w:vAlign w:val="center"/>
          </w:tcPr>
          <w:p w14:paraId="23C1591B" w14:textId="77777777" w:rsidR="00852829" w:rsidRPr="00130A11" w:rsidRDefault="00852829" w:rsidP="007920B4">
            <w:pPr>
              <w:suppressAutoHyphens/>
              <w:jc w:val="center"/>
              <w:rPr>
                <w:rFonts w:ascii="Arial" w:hAnsi="Arial" w:cs="Arial"/>
                <w:b/>
                <w:bCs/>
                <w:i/>
                <w:lang w:eastAsia="ar-SA"/>
              </w:rPr>
            </w:pPr>
            <w:r w:rsidRPr="00130A11">
              <w:rPr>
                <w:rFonts w:ascii="Arial" w:hAnsi="Arial" w:cs="Arial"/>
                <w:b/>
                <w:bCs/>
                <w:i/>
                <w:lang w:eastAsia="ar-SA"/>
              </w:rPr>
              <w:t>C</w:t>
            </w:r>
          </w:p>
        </w:tc>
        <w:tc>
          <w:tcPr>
            <w:tcW w:w="4520" w:type="dxa"/>
            <w:vAlign w:val="center"/>
          </w:tcPr>
          <w:p w14:paraId="4B8434CE" w14:textId="77777777" w:rsidR="00852829" w:rsidRPr="00130A11" w:rsidRDefault="00852829" w:rsidP="007920B4">
            <w:pPr>
              <w:suppressAutoHyphens/>
              <w:spacing w:before="240"/>
              <w:ind w:left="-157"/>
              <w:jc w:val="center"/>
              <w:rPr>
                <w:rFonts w:ascii="Arial" w:hAnsi="Arial" w:cs="Arial"/>
                <w:b/>
                <w:bCs/>
                <w:i/>
                <w:lang w:eastAsia="ar-SA"/>
              </w:rPr>
            </w:pPr>
            <w:r w:rsidRPr="00130A11">
              <w:rPr>
                <w:rFonts w:ascii="Arial" w:hAnsi="Arial" w:cs="Arial"/>
                <w:b/>
                <w:bCs/>
                <w:i/>
                <w:noProof/>
              </w:rPr>
              <w:drawing>
                <wp:inline distT="0" distB="0" distL="0" distR="0" wp14:anchorId="0E5DFAD4" wp14:editId="466C4F83">
                  <wp:extent cx="2731135" cy="890905"/>
                  <wp:effectExtent l="19050" t="0" r="0" b="0"/>
                  <wp:docPr id="27"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9" cstate="print"/>
                          <a:srcRect t="49323" b="24915"/>
                          <a:stretch>
                            <a:fillRect/>
                          </a:stretch>
                        </pic:blipFill>
                        <pic:spPr bwMode="auto">
                          <a:xfrm>
                            <a:off x="0" y="0"/>
                            <a:ext cx="2731135" cy="890905"/>
                          </a:xfrm>
                          <a:prstGeom prst="rect">
                            <a:avLst/>
                          </a:prstGeom>
                          <a:noFill/>
                          <a:ln w="9525">
                            <a:noFill/>
                            <a:miter lim="800000"/>
                            <a:headEnd/>
                            <a:tailEnd/>
                          </a:ln>
                        </pic:spPr>
                      </pic:pic>
                    </a:graphicData>
                  </a:graphic>
                </wp:inline>
              </w:drawing>
            </w:r>
          </w:p>
        </w:tc>
        <w:tc>
          <w:tcPr>
            <w:tcW w:w="3856" w:type="dxa"/>
            <w:vAlign w:val="center"/>
          </w:tcPr>
          <w:p w14:paraId="29EA8E11" w14:textId="77777777" w:rsidR="00852829" w:rsidRPr="00130A11" w:rsidRDefault="00852829" w:rsidP="007920B4">
            <w:pPr>
              <w:spacing w:before="20" w:after="20" w:line="264" w:lineRule="auto"/>
              <w:rPr>
                <w:rFonts w:ascii="Arial" w:hAnsi="Arial" w:cs="Arial"/>
                <w:sz w:val="20"/>
              </w:rPr>
            </w:pPr>
            <w:r w:rsidRPr="00130A11">
              <w:rPr>
                <w:rFonts w:ascii="Arial" w:hAnsi="Arial" w:cs="Arial"/>
                <w:sz w:val="20"/>
              </w:rPr>
              <w:t>Superficies de acero en la que la corrosión ha hecho desprender casi la totalidad de la laminilla, pero que todavía no presenta picaduras detectables a simple vista, pero sí se aprecia claramente corrosión por oxidación. Este grado es el que normalmente presenta la superficie del acero que ha sido expuesta a la intemperie, sin protección, en una atmósfera medianamente corrosiva durante 1 año aproximadamente</w:t>
            </w:r>
          </w:p>
        </w:tc>
      </w:tr>
      <w:tr w:rsidR="00852829" w:rsidRPr="00130A11" w14:paraId="3B4F1669" w14:textId="77777777" w:rsidTr="007920B4">
        <w:trPr>
          <w:trHeight w:val="2652"/>
        </w:trPr>
        <w:tc>
          <w:tcPr>
            <w:tcW w:w="1150" w:type="dxa"/>
            <w:vAlign w:val="center"/>
          </w:tcPr>
          <w:p w14:paraId="3B25A107" w14:textId="77777777" w:rsidR="00852829" w:rsidRPr="00130A11" w:rsidRDefault="00852829" w:rsidP="007920B4">
            <w:pPr>
              <w:suppressAutoHyphens/>
              <w:spacing w:before="240"/>
              <w:jc w:val="center"/>
              <w:rPr>
                <w:rFonts w:ascii="Arial" w:hAnsi="Arial" w:cs="Arial"/>
                <w:b/>
                <w:bCs/>
                <w:i/>
                <w:lang w:eastAsia="ar-SA"/>
              </w:rPr>
            </w:pPr>
            <w:r w:rsidRPr="00130A11">
              <w:rPr>
                <w:rFonts w:ascii="Arial" w:hAnsi="Arial" w:cs="Arial"/>
                <w:b/>
                <w:bCs/>
                <w:i/>
                <w:lang w:eastAsia="ar-SA"/>
              </w:rPr>
              <w:t>D</w:t>
            </w:r>
          </w:p>
        </w:tc>
        <w:tc>
          <w:tcPr>
            <w:tcW w:w="4520" w:type="dxa"/>
            <w:vAlign w:val="center"/>
          </w:tcPr>
          <w:p w14:paraId="2D9F5B71" w14:textId="77777777" w:rsidR="00852829" w:rsidRPr="00130A11" w:rsidRDefault="00852829" w:rsidP="007920B4">
            <w:pPr>
              <w:suppressAutoHyphens/>
              <w:spacing w:before="240"/>
              <w:ind w:left="-157"/>
              <w:jc w:val="center"/>
              <w:rPr>
                <w:rFonts w:ascii="Arial" w:hAnsi="Arial" w:cs="Arial"/>
                <w:b/>
                <w:bCs/>
                <w:i/>
                <w:lang w:eastAsia="ar-SA"/>
              </w:rPr>
            </w:pPr>
            <w:r w:rsidRPr="00130A11">
              <w:rPr>
                <w:rFonts w:ascii="Arial" w:hAnsi="Arial" w:cs="Arial"/>
                <w:b/>
                <w:bCs/>
                <w:i/>
                <w:noProof/>
              </w:rPr>
              <w:drawing>
                <wp:inline distT="0" distB="0" distL="0" distR="0" wp14:anchorId="44332CC8" wp14:editId="7A49C67A">
                  <wp:extent cx="2766695" cy="854710"/>
                  <wp:effectExtent l="19050" t="0" r="0" b="0"/>
                  <wp:docPr id="2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9" cstate="print"/>
                          <a:srcRect t="74348" b="1851"/>
                          <a:stretch>
                            <a:fillRect/>
                          </a:stretch>
                        </pic:blipFill>
                        <pic:spPr bwMode="auto">
                          <a:xfrm>
                            <a:off x="0" y="0"/>
                            <a:ext cx="2766695" cy="854710"/>
                          </a:xfrm>
                          <a:prstGeom prst="rect">
                            <a:avLst/>
                          </a:prstGeom>
                          <a:noFill/>
                          <a:ln w="9525">
                            <a:noFill/>
                            <a:miter lim="800000"/>
                            <a:headEnd/>
                            <a:tailEnd/>
                          </a:ln>
                        </pic:spPr>
                      </pic:pic>
                    </a:graphicData>
                  </a:graphic>
                </wp:inline>
              </w:drawing>
            </w:r>
          </w:p>
        </w:tc>
        <w:tc>
          <w:tcPr>
            <w:tcW w:w="3856" w:type="dxa"/>
            <w:vAlign w:val="center"/>
          </w:tcPr>
          <w:p w14:paraId="5583C5FB" w14:textId="77777777" w:rsidR="00852829" w:rsidRPr="00130A11" w:rsidRDefault="00852829" w:rsidP="007920B4">
            <w:pPr>
              <w:spacing w:before="20" w:after="20"/>
              <w:rPr>
                <w:rFonts w:ascii="Arial" w:hAnsi="Arial" w:cs="Arial"/>
                <w:sz w:val="20"/>
              </w:rPr>
            </w:pPr>
            <w:r w:rsidRPr="00130A11">
              <w:rPr>
                <w:rFonts w:ascii="Arial" w:hAnsi="Arial" w:cs="Arial"/>
                <w:sz w:val="20"/>
              </w:rPr>
              <w:t>Superficies de acero de la que se ha desprendido la totalidad de la laminilla y en la que se observa a simple vista bastante óxido y picaduras (puntos de corrosión). Este grado corresponde al estado de una superficie de acero después de una exposición a la intemperie, sin protección, en una atmósfera medianamente corrosiva durante unos 3 años aproximadamente.</w:t>
            </w:r>
          </w:p>
        </w:tc>
      </w:tr>
    </w:tbl>
    <w:p w14:paraId="641B8705" w14:textId="77777777" w:rsidR="00852829" w:rsidRPr="00B944D6" w:rsidRDefault="00852829" w:rsidP="00852829">
      <w:pPr>
        <w:pStyle w:val="NORMAL12"/>
        <w:spacing w:line="240" w:lineRule="auto"/>
        <w:jc w:val="center"/>
        <w:rPr>
          <w:b/>
          <w:i/>
          <w:sz w:val="18"/>
          <w:szCs w:val="18"/>
        </w:rPr>
      </w:pPr>
      <w:r w:rsidRPr="00B944D6">
        <w:rPr>
          <w:b/>
          <w:i/>
          <w:sz w:val="18"/>
          <w:szCs w:val="18"/>
        </w:rPr>
        <w:t>Grados de oxidación y preparación</w:t>
      </w:r>
    </w:p>
    <w:p w14:paraId="0F17B298" w14:textId="77777777" w:rsidR="00852829" w:rsidRDefault="00852829" w:rsidP="00852829">
      <w:pPr>
        <w:pStyle w:val="NORMAL12"/>
      </w:pPr>
    </w:p>
    <w:p w14:paraId="1B2B3AA7" w14:textId="77777777" w:rsidR="00B944D6" w:rsidRDefault="00B944D6" w:rsidP="00852829">
      <w:pPr>
        <w:pStyle w:val="NORMAL12"/>
      </w:pPr>
    </w:p>
    <w:p w14:paraId="6475CC71" w14:textId="77777777" w:rsidR="00852829" w:rsidRDefault="00852829" w:rsidP="00852829">
      <w:pPr>
        <w:pStyle w:val="NORMAL12"/>
      </w:pPr>
      <w:r>
        <w:lastRenderedPageBreak/>
        <w:t xml:space="preserve">En caso de existir armaduras a la vista, deberán desoxidarse por medios mecánicos hasta grado Sa2 ½, según ISO 8501-1/ISO 12944-4, en la totalidad de la circunferencia del armado o de las barras metálicas a tratar. Para ello, como se ha comentado anteriormente, la eliminación del óxido se realizará mediante chorreado con arena a presión de forma generalizada y mediante cepillado en las zonas de difícil acceso o las caras de armadura que queden entre el hormigón central y la armadura. </w:t>
      </w:r>
    </w:p>
    <w:p w14:paraId="1630F899" w14:textId="77777777" w:rsidR="00852829" w:rsidRDefault="00852829" w:rsidP="00852829">
      <w:pPr>
        <w:pStyle w:val="NORMAL12"/>
        <w:spacing w:line="240" w:lineRule="auto"/>
        <w:jc w:val="center"/>
      </w:pPr>
      <w:r w:rsidRPr="009B23E5">
        <w:rPr>
          <w:noProof/>
          <w:szCs w:val="22"/>
          <w:lang w:val="es-ES" w:eastAsia="es-ES"/>
        </w:rPr>
        <w:drawing>
          <wp:inline distT="0" distB="0" distL="0" distR="0" wp14:anchorId="7B501DA5" wp14:editId="4B8E2F5D">
            <wp:extent cx="3028315" cy="2268220"/>
            <wp:effectExtent l="19050" t="19050" r="19685" b="17780"/>
            <wp:docPr id="31" name="Imagen 8" descr="ehk_040_armadu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ehk_040_armaduras"/>
                    <pic:cNvPicPr>
                      <a:picLocks noChangeAspect="1" noChangeArrowheads="1"/>
                    </pic:cNvPicPr>
                  </pic:nvPicPr>
                  <pic:blipFill>
                    <a:blip r:embed="rId30" cstate="print"/>
                    <a:srcRect/>
                    <a:stretch>
                      <a:fillRect/>
                    </a:stretch>
                  </pic:blipFill>
                  <pic:spPr bwMode="auto">
                    <a:xfrm>
                      <a:off x="0" y="0"/>
                      <a:ext cx="3028315" cy="2268220"/>
                    </a:xfrm>
                    <a:prstGeom prst="rect">
                      <a:avLst/>
                    </a:prstGeom>
                    <a:noFill/>
                    <a:ln w="9525" cmpd="sng">
                      <a:solidFill>
                        <a:srgbClr val="000000"/>
                      </a:solidFill>
                      <a:miter lim="800000"/>
                      <a:headEnd/>
                      <a:tailEnd/>
                    </a:ln>
                    <a:effectLst/>
                  </pic:spPr>
                </pic:pic>
              </a:graphicData>
            </a:graphic>
          </wp:inline>
        </w:drawing>
      </w:r>
    </w:p>
    <w:p w14:paraId="6FBDCE7C" w14:textId="77777777" w:rsidR="00852829" w:rsidRDefault="00852829" w:rsidP="00852829">
      <w:pPr>
        <w:pStyle w:val="NORMAL12"/>
        <w:spacing w:line="240" w:lineRule="auto"/>
        <w:jc w:val="center"/>
        <w:rPr>
          <w:b/>
          <w:i/>
          <w:sz w:val="18"/>
          <w:szCs w:val="18"/>
        </w:rPr>
      </w:pPr>
      <w:r w:rsidRPr="00B944D6">
        <w:rPr>
          <w:b/>
          <w:i/>
          <w:sz w:val="18"/>
          <w:szCs w:val="18"/>
        </w:rPr>
        <w:t>Preparación de superficies d</w:t>
      </w:r>
      <w:r w:rsidR="00B944D6">
        <w:rPr>
          <w:b/>
          <w:i/>
          <w:sz w:val="18"/>
          <w:szCs w:val="18"/>
        </w:rPr>
        <w:t>e armaduras con chorro de arena</w:t>
      </w:r>
    </w:p>
    <w:p w14:paraId="5FA76122" w14:textId="77777777" w:rsidR="00B944D6" w:rsidRPr="00B944D6" w:rsidRDefault="00B944D6" w:rsidP="00852829">
      <w:pPr>
        <w:pStyle w:val="NORMAL12"/>
        <w:spacing w:line="240" w:lineRule="auto"/>
        <w:jc w:val="center"/>
        <w:rPr>
          <w:b/>
          <w:i/>
          <w:sz w:val="18"/>
          <w:szCs w:val="18"/>
        </w:rPr>
      </w:pPr>
    </w:p>
    <w:p w14:paraId="33463962" w14:textId="77777777" w:rsidR="00852829" w:rsidRDefault="00852829" w:rsidP="00852829">
      <w:pPr>
        <w:pStyle w:val="NORMAL12"/>
      </w:pPr>
      <w:r>
        <w:t>Una vez eliminados todos los restos de óxido de la armadura, se procederá a la comprobación de la cuantía geométrica de acero restante, para proceder a la reposición de las armaduras dañadas o con cuantía insuficiente. Esto se llevará a cabo mediante su sustitución y correcto solape con armadura sana y en cuantía suficiente.</w:t>
      </w:r>
    </w:p>
    <w:p w14:paraId="28142AE3" w14:textId="77777777" w:rsidR="00852829" w:rsidRDefault="00852829" w:rsidP="00852829">
      <w:pPr>
        <w:pStyle w:val="NORMAL12"/>
      </w:pPr>
      <w:r>
        <w:t>Una vez preparadas las barras de acero, se procederá a su pasivado.</w:t>
      </w:r>
    </w:p>
    <w:p w14:paraId="28BE087A" w14:textId="77777777" w:rsidR="00852829" w:rsidRDefault="00852829" w:rsidP="000313DD">
      <w:pPr>
        <w:pStyle w:val="TITU2"/>
      </w:pPr>
      <w:bookmarkStart w:id="987" w:name="_Toc404523"/>
      <w:r>
        <w:t>69</w:t>
      </w:r>
      <w:r w:rsidR="00B944D6">
        <w:t>6</w:t>
      </w:r>
      <w:r>
        <w:t>.5 Recepción</w:t>
      </w:r>
      <w:bookmarkEnd w:id="987"/>
    </w:p>
    <w:p w14:paraId="1D580B23" w14:textId="77777777" w:rsidR="00852829" w:rsidRDefault="00852829" w:rsidP="00852829">
      <w:pPr>
        <w:pStyle w:val="NORMAL12"/>
      </w:pPr>
      <w:r>
        <w:t xml:space="preserve">La superficie resultante del picado deberá estar sana, con irregularidades de al menos 3 mm manteniendo formas geométricas sencillas para garantizar la aplicabilidad de la reparación. </w:t>
      </w:r>
    </w:p>
    <w:p w14:paraId="55AFF6E2" w14:textId="77777777" w:rsidR="00852829" w:rsidRDefault="00852829" w:rsidP="00852829">
      <w:pPr>
        <w:pStyle w:val="NORMAL12"/>
      </w:pPr>
      <w:r>
        <w:t>La superficie al término de los trabajos estará completamente libre de polvo.</w:t>
      </w:r>
    </w:p>
    <w:p w14:paraId="5A9F2CA4" w14:textId="77777777" w:rsidR="00852829" w:rsidRDefault="00852829" w:rsidP="00852829">
      <w:pPr>
        <w:pStyle w:val="NORMAL12"/>
      </w:pPr>
    </w:p>
    <w:p w14:paraId="2780890A" w14:textId="77777777" w:rsidR="00B944D6" w:rsidRDefault="00B944D6" w:rsidP="00852829">
      <w:pPr>
        <w:pStyle w:val="NORMAL12"/>
      </w:pPr>
    </w:p>
    <w:p w14:paraId="091608F9" w14:textId="77777777" w:rsidR="00B944D6" w:rsidRDefault="00B944D6" w:rsidP="00852829">
      <w:pPr>
        <w:pStyle w:val="NORMAL12"/>
      </w:pPr>
    </w:p>
    <w:p w14:paraId="2D62DEBF" w14:textId="77777777" w:rsidR="00852829" w:rsidRDefault="00852829" w:rsidP="000313DD">
      <w:pPr>
        <w:pStyle w:val="TITU2"/>
      </w:pPr>
      <w:bookmarkStart w:id="988" w:name="_Toc404524"/>
      <w:r>
        <w:t>69</w:t>
      </w:r>
      <w:r w:rsidR="00B944D6">
        <w:t>6</w:t>
      </w:r>
      <w:r>
        <w:t>.</w:t>
      </w:r>
      <w:r w:rsidR="0006561B">
        <w:t>7</w:t>
      </w:r>
      <w:r>
        <w:t xml:space="preserve"> </w:t>
      </w:r>
      <w:r w:rsidR="0006561B">
        <w:t>Control de calidad</w:t>
      </w:r>
      <w:bookmarkEnd w:id="988"/>
    </w:p>
    <w:p w14:paraId="45081842" w14:textId="77777777" w:rsidR="00852829" w:rsidRPr="00130A11" w:rsidRDefault="00852829" w:rsidP="00852829">
      <w:pPr>
        <w:pStyle w:val="NORMAL12"/>
        <w:rPr>
          <w:i/>
          <w:u w:val="single"/>
        </w:rPr>
      </w:pPr>
      <w:r w:rsidRPr="00130A11">
        <w:rPr>
          <w:i/>
          <w:u w:val="single"/>
        </w:rPr>
        <w:t>Generalidades</w:t>
      </w:r>
    </w:p>
    <w:p w14:paraId="629771C5" w14:textId="77777777" w:rsidR="00852829" w:rsidRDefault="00852829" w:rsidP="00852829">
      <w:pPr>
        <w:pStyle w:val="NORMAL12"/>
      </w:pPr>
      <w:r>
        <w:t>Los parámetros de análisis, así como la frecuencia de observación o de ensayo deben estar de acuerdo con las siguientes especificaciones:</w:t>
      </w:r>
    </w:p>
    <w:tbl>
      <w:tblPr>
        <w:tblW w:w="93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0"/>
        <w:gridCol w:w="2835"/>
        <w:gridCol w:w="2126"/>
        <w:gridCol w:w="2392"/>
      </w:tblGrid>
      <w:tr w:rsidR="00852829" w:rsidRPr="00130A11" w14:paraId="3D95668C" w14:textId="77777777" w:rsidTr="00B944D6">
        <w:trPr>
          <w:trHeight w:val="645"/>
          <w:tblHeader/>
          <w:jc w:val="center"/>
        </w:trPr>
        <w:tc>
          <w:tcPr>
            <w:tcW w:w="1970" w:type="dxa"/>
            <w:shd w:val="clear" w:color="auto" w:fill="D9D9D9" w:themeFill="background1" w:themeFillShade="D9"/>
            <w:vAlign w:val="center"/>
          </w:tcPr>
          <w:p w14:paraId="66F46B94" w14:textId="77777777" w:rsidR="00852829" w:rsidRPr="00B944D6" w:rsidRDefault="00852829" w:rsidP="00B944D6">
            <w:pPr>
              <w:jc w:val="center"/>
              <w:rPr>
                <w:rFonts w:ascii="Arial" w:hAnsi="Arial" w:cs="Arial"/>
                <w:b/>
                <w:sz w:val="20"/>
                <w:szCs w:val="20"/>
              </w:rPr>
            </w:pPr>
            <w:r w:rsidRPr="00B944D6">
              <w:rPr>
                <w:rFonts w:ascii="Arial" w:hAnsi="Arial" w:cs="Arial"/>
                <w:b/>
                <w:sz w:val="20"/>
                <w:szCs w:val="20"/>
              </w:rPr>
              <w:t>C</w:t>
            </w:r>
            <w:r w:rsidR="00B944D6" w:rsidRPr="00B944D6">
              <w:rPr>
                <w:rFonts w:ascii="Arial" w:hAnsi="Arial" w:cs="Arial"/>
                <w:b/>
                <w:sz w:val="20"/>
                <w:szCs w:val="20"/>
              </w:rPr>
              <w:t>aracterística</w:t>
            </w:r>
          </w:p>
        </w:tc>
        <w:tc>
          <w:tcPr>
            <w:tcW w:w="2835" w:type="dxa"/>
            <w:shd w:val="clear" w:color="auto" w:fill="D9D9D9" w:themeFill="background1" w:themeFillShade="D9"/>
            <w:vAlign w:val="center"/>
          </w:tcPr>
          <w:p w14:paraId="49D004E0" w14:textId="77777777" w:rsidR="00852829" w:rsidRPr="00B944D6" w:rsidRDefault="00852829" w:rsidP="00B944D6">
            <w:pPr>
              <w:jc w:val="center"/>
              <w:rPr>
                <w:rFonts w:ascii="Arial" w:hAnsi="Arial" w:cs="Arial"/>
                <w:b/>
                <w:sz w:val="20"/>
                <w:szCs w:val="20"/>
              </w:rPr>
            </w:pPr>
            <w:r w:rsidRPr="00B944D6">
              <w:rPr>
                <w:rFonts w:ascii="Arial" w:hAnsi="Arial" w:cs="Arial"/>
                <w:b/>
                <w:sz w:val="20"/>
                <w:szCs w:val="20"/>
              </w:rPr>
              <w:t>M</w:t>
            </w:r>
            <w:r w:rsidR="00B944D6" w:rsidRPr="00B944D6">
              <w:rPr>
                <w:rFonts w:ascii="Arial" w:hAnsi="Arial" w:cs="Arial"/>
                <w:b/>
                <w:sz w:val="20"/>
                <w:szCs w:val="20"/>
              </w:rPr>
              <w:t>étodo de ensayo</w:t>
            </w:r>
          </w:p>
        </w:tc>
        <w:tc>
          <w:tcPr>
            <w:tcW w:w="2126" w:type="dxa"/>
            <w:shd w:val="clear" w:color="auto" w:fill="D9D9D9" w:themeFill="background1" w:themeFillShade="D9"/>
            <w:vAlign w:val="center"/>
          </w:tcPr>
          <w:p w14:paraId="4C57E5BB" w14:textId="77777777" w:rsidR="00852829" w:rsidRPr="00B944D6" w:rsidRDefault="00852829" w:rsidP="00B944D6">
            <w:pPr>
              <w:jc w:val="center"/>
              <w:rPr>
                <w:rFonts w:ascii="Arial" w:hAnsi="Arial" w:cs="Arial"/>
                <w:b/>
                <w:sz w:val="20"/>
                <w:szCs w:val="20"/>
              </w:rPr>
            </w:pPr>
            <w:r w:rsidRPr="00B944D6">
              <w:rPr>
                <w:rFonts w:ascii="Arial" w:hAnsi="Arial" w:cs="Arial"/>
                <w:b/>
                <w:sz w:val="20"/>
                <w:szCs w:val="20"/>
              </w:rPr>
              <w:t>R</w:t>
            </w:r>
            <w:r w:rsidR="00B944D6" w:rsidRPr="00B944D6">
              <w:rPr>
                <w:rFonts w:ascii="Arial" w:hAnsi="Arial" w:cs="Arial"/>
                <w:b/>
                <w:sz w:val="20"/>
                <w:szCs w:val="20"/>
              </w:rPr>
              <w:t>eferencia de ensayo</w:t>
            </w:r>
          </w:p>
        </w:tc>
        <w:tc>
          <w:tcPr>
            <w:tcW w:w="2392" w:type="dxa"/>
            <w:shd w:val="clear" w:color="auto" w:fill="D9D9D9" w:themeFill="background1" w:themeFillShade="D9"/>
            <w:vAlign w:val="center"/>
          </w:tcPr>
          <w:p w14:paraId="63152766" w14:textId="77777777" w:rsidR="00852829" w:rsidRPr="00B944D6" w:rsidRDefault="00852829" w:rsidP="00B944D6">
            <w:pPr>
              <w:jc w:val="center"/>
              <w:rPr>
                <w:rFonts w:ascii="Arial" w:hAnsi="Arial" w:cs="Arial"/>
                <w:b/>
                <w:sz w:val="20"/>
                <w:szCs w:val="20"/>
              </w:rPr>
            </w:pPr>
            <w:r w:rsidRPr="00B944D6">
              <w:rPr>
                <w:rFonts w:ascii="Arial" w:hAnsi="Arial" w:cs="Arial"/>
                <w:b/>
                <w:sz w:val="20"/>
                <w:szCs w:val="20"/>
              </w:rPr>
              <w:t>F</w:t>
            </w:r>
            <w:r w:rsidR="00B944D6" w:rsidRPr="00B944D6">
              <w:rPr>
                <w:rFonts w:ascii="Arial" w:hAnsi="Arial" w:cs="Arial"/>
                <w:b/>
                <w:sz w:val="20"/>
                <w:szCs w:val="20"/>
              </w:rPr>
              <w:t>recuencia de ensayo</w:t>
            </w:r>
          </w:p>
        </w:tc>
      </w:tr>
      <w:tr w:rsidR="00852829" w:rsidRPr="00130A11" w14:paraId="2055A66D" w14:textId="77777777" w:rsidTr="00B944D6">
        <w:trPr>
          <w:trHeight w:val="364"/>
          <w:jc w:val="center"/>
        </w:trPr>
        <w:tc>
          <w:tcPr>
            <w:tcW w:w="1970" w:type="dxa"/>
            <w:vAlign w:val="center"/>
          </w:tcPr>
          <w:p w14:paraId="278BD151" w14:textId="77777777" w:rsidR="00852829" w:rsidRPr="00B944D6" w:rsidRDefault="00852829" w:rsidP="007920B4">
            <w:pPr>
              <w:jc w:val="center"/>
              <w:rPr>
                <w:rFonts w:ascii="Arial" w:hAnsi="Arial" w:cs="Arial"/>
                <w:sz w:val="20"/>
                <w:szCs w:val="20"/>
              </w:rPr>
            </w:pPr>
            <w:r w:rsidRPr="00B944D6">
              <w:rPr>
                <w:rFonts w:ascii="Arial" w:hAnsi="Arial" w:cs="Arial"/>
                <w:sz w:val="20"/>
                <w:szCs w:val="20"/>
              </w:rPr>
              <w:t>Limpieza</w:t>
            </w:r>
          </w:p>
        </w:tc>
        <w:tc>
          <w:tcPr>
            <w:tcW w:w="2835" w:type="dxa"/>
            <w:vAlign w:val="center"/>
          </w:tcPr>
          <w:p w14:paraId="39E9DCB4" w14:textId="77777777" w:rsidR="00852829" w:rsidRPr="00B944D6" w:rsidRDefault="00852829" w:rsidP="007920B4">
            <w:pPr>
              <w:rPr>
                <w:rFonts w:ascii="Arial" w:hAnsi="Arial" w:cs="Arial"/>
                <w:sz w:val="20"/>
                <w:szCs w:val="20"/>
              </w:rPr>
            </w:pPr>
            <w:r w:rsidRPr="00B944D6">
              <w:rPr>
                <w:rFonts w:ascii="Arial" w:hAnsi="Arial" w:cs="Arial"/>
                <w:sz w:val="20"/>
                <w:szCs w:val="20"/>
              </w:rPr>
              <w:t>Examen visual</w:t>
            </w:r>
          </w:p>
          <w:p w14:paraId="5BC4BBC8" w14:textId="77777777" w:rsidR="00852829" w:rsidRPr="00B944D6" w:rsidRDefault="00852829" w:rsidP="007920B4">
            <w:pPr>
              <w:rPr>
                <w:rFonts w:ascii="Arial" w:hAnsi="Arial" w:cs="Arial"/>
                <w:sz w:val="20"/>
                <w:szCs w:val="20"/>
              </w:rPr>
            </w:pPr>
            <w:r w:rsidRPr="00B944D6">
              <w:rPr>
                <w:rFonts w:ascii="Arial" w:hAnsi="Arial" w:cs="Arial"/>
                <w:sz w:val="20"/>
                <w:szCs w:val="20"/>
              </w:rPr>
              <w:t xml:space="preserve">Ensayo de </w:t>
            </w:r>
            <w:proofErr w:type="gramStart"/>
            <w:r w:rsidRPr="00B944D6">
              <w:rPr>
                <w:rFonts w:ascii="Arial" w:hAnsi="Arial" w:cs="Arial"/>
                <w:sz w:val="20"/>
                <w:szCs w:val="20"/>
              </w:rPr>
              <w:t>secado(</w:t>
            </w:r>
            <w:proofErr w:type="gramEnd"/>
            <w:r w:rsidRPr="00B944D6">
              <w:rPr>
                <w:rFonts w:ascii="Arial" w:hAnsi="Arial" w:cs="Arial"/>
                <w:sz w:val="20"/>
                <w:szCs w:val="20"/>
              </w:rPr>
              <w:t>con trapo húmedo)</w:t>
            </w:r>
          </w:p>
        </w:tc>
        <w:tc>
          <w:tcPr>
            <w:tcW w:w="2126" w:type="dxa"/>
            <w:vAlign w:val="center"/>
          </w:tcPr>
          <w:p w14:paraId="2564D20E" w14:textId="77777777" w:rsidR="00852829" w:rsidRPr="00B944D6" w:rsidRDefault="00852829" w:rsidP="007920B4">
            <w:pPr>
              <w:jc w:val="center"/>
              <w:rPr>
                <w:rFonts w:ascii="Arial" w:hAnsi="Arial" w:cs="Arial"/>
                <w:sz w:val="20"/>
                <w:szCs w:val="20"/>
              </w:rPr>
            </w:pPr>
            <w:r w:rsidRPr="00B944D6">
              <w:rPr>
                <w:rFonts w:ascii="Arial" w:hAnsi="Arial" w:cs="Arial"/>
                <w:sz w:val="20"/>
                <w:szCs w:val="20"/>
              </w:rPr>
              <w:t>-</w:t>
            </w:r>
          </w:p>
        </w:tc>
        <w:tc>
          <w:tcPr>
            <w:tcW w:w="2392" w:type="dxa"/>
            <w:vAlign w:val="center"/>
          </w:tcPr>
          <w:p w14:paraId="27DB3A3B" w14:textId="77777777" w:rsidR="00852829" w:rsidRPr="00B944D6" w:rsidRDefault="00852829" w:rsidP="007920B4">
            <w:pPr>
              <w:rPr>
                <w:rFonts w:ascii="Arial" w:hAnsi="Arial" w:cs="Arial"/>
                <w:sz w:val="20"/>
                <w:szCs w:val="20"/>
              </w:rPr>
            </w:pPr>
            <w:r w:rsidRPr="00B944D6">
              <w:rPr>
                <w:rFonts w:ascii="Arial" w:hAnsi="Arial" w:cs="Arial"/>
                <w:sz w:val="20"/>
                <w:szCs w:val="20"/>
              </w:rPr>
              <w:t>Después de la preparación e inmediatamente antes de la aplicación de los productos de reparación</w:t>
            </w:r>
          </w:p>
        </w:tc>
      </w:tr>
      <w:tr w:rsidR="00852829" w:rsidRPr="00130A11" w14:paraId="5A5E0B48" w14:textId="77777777" w:rsidTr="00B944D6">
        <w:trPr>
          <w:trHeight w:val="1155"/>
          <w:jc w:val="center"/>
        </w:trPr>
        <w:tc>
          <w:tcPr>
            <w:tcW w:w="1970" w:type="dxa"/>
            <w:vAlign w:val="center"/>
          </w:tcPr>
          <w:p w14:paraId="10DE77E5" w14:textId="77777777" w:rsidR="00852829" w:rsidRPr="00B944D6" w:rsidRDefault="00852829" w:rsidP="007920B4">
            <w:pPr>
              <w:jc w:val="center"/>
              <w:rPr>
                <w:rFonts w:ascii="Arial" w:hAnsi="Arial" w:cs="Arial"/>
                <w:sz w:val="20"/>
                <w:szCs w:val="20"/>
              </w:rPr>
            </w:pPr>
            <w:r w:rsidRPr="00B944D6">
              <w:rPr>
                <w:rFonts w:ascii="Arial" w:hAnsi="Arial" w:cs="Arial"/>
                <w:sz w:val="20"/>
                <w:szCs w:val="20"/>
              </w:rPr>
              <w:t>Regularidad del sustrato</w:t>
            </w:r>
          </w:p>
        </w:tc>
        <w:tc>
          <w:tcPr>
            <w:tcW w:w="2835" w:type="dxa"/>
            <w:vAlign w:val="center"/>
          </w:tcPr>
          <w:p w14:paraId="41AA4CEE" w14:textId="77777777" w:rsidR="00852829" w:rsidRPr="00B944D6" w:rsidRDefault="00852829" w:rsidP="007920B4">
            <w:pPr>
              <w:rPr>
                <w:rFonts w:ascii="Arial" w:hAnsi="Arial" w:cs="Arial"/>
                <w:sz w:val="20"/>
                <w:szCs w:val="20"/>
              </w:rPr>
            </w:pPr>
            <w:r w:rsidRPr="00B944D6">
              <w:rPr>
                <w:rFonts w:ascii="Arial" w:hAnsi="Arial" w:cs="Arial"/>
                <w:sz w:val="20"/>
                <w:szCs w:val="20"/>
              </w:rPr>
              <w:t>Examen visual</w:t>
            </w:r>
          </w:p>
          <w:p w14:paraId="3D561DE7" w14:textId="77777777" w:rsidR="00852829" w:rsidRPr="00B944D6" w:rsidRDefault="00852829" w:rsidP="007920B4">
            <w:pPr>
              <w:rPr>
                <w:rFonts w:ascii="Arial" w:hAnsi="Arial" w:cs="Arial"/>
                <w:sz w:val="20"/>
                <w:szCs w:val="20"/>
              </w:rPr>
            </w:pPr>
            <w:r w:rsidRPr="00B944D6">
              <w:rPr>
                <w:rFonts w:ascii="Arial" w:hAnsi="Arial" w:cs="Arial"/>
                <w:sz w:val="20"/>
                <w:szCs w:val="20"/>
              </w:rPr>
              <w:t>Ensayos de dirección de irregularidades</w:t>
            </w:r>
          </w:p>
        </w:tc>
        <w:tc>
          <w:tcPr>
            <w:tcW w:w="2126" w:type="dxa"/>
            <w:vAlign w:val="center"/>
          </w:tcPr>
          <w:p w14:paraId="2BC5FFC9" w14:textId="77777777" w:rsidR="00852829" w:rsidRPr="00B944D6" w:rsidRDefault="00852829" w:rsidP="007920B4">
            <w:pPr>
              <w:jc w:val="center"/>
              <w:rPr>
                <w:rFonts w:ascii="Arial" w:hAnsi="Arial" w:cs="Arial"/>
                <w:sz w:val="20"/>
                <w:szCs w:val="20"/>
              </w:rPr>
            </w:pPr>
          </w:p>
          <w:p w14:paraId="65F285D4" w14:textId="77777777" w:rsidR="00B944D6" w:rsidRDefault="00852829" w:rsidP="007920B4">
            <w:pPr>
              <w:jc w:val="center"/>
              <w:rPr>
                <w:rFonts w:ascii="Arial" w:hAnsi="Arial" w:cs="Arial"/>
                <w:sz w:val="20"/>
                <w:szCs w:val="20"/>
              </w:rPr>
            </w:pPr>
            <w:r w:rsidRPr="00B944D6">
              <w:rPr>
                <w:rFonts w:ascii="Arial" w:hAnsi="Arial" w:cs="Arial"/>
                <w:sz w:val="20"/>
                <w:szCs w:val="20"/>
              </w:rPr>
              <w:t xml:space="preserve">UNE 82-301-86 </w:t>
            </w:r>
          </w:p>
          <w:p w14:paraId="2404FE9E" w14:textId="77777777" w:rsidR="00852829" w:rsidRPr="00B944D6" w:rsidRDefault="00852829" w:rsidP="007920B4">
            <w:pPr>
              <w:jc w:val="center"/>
              <w:rPr>
                <w:rFonts w:ascii="Arial" w:hAnsi="Arial" w:cs="Arial"/>
                <w:sz w:val="20"/>
                <w:szCs w:val="20"/>
              </w:rPr>
            </w:pPr>
            <w:r w:rsidRPr="00B944D6">
              <w:rPr>
                <w:rFonts w:ascii="Arial" w:hAnsi="Arial" w:cs="Arial"/>
                <w:sz w:val="20"/>
                <w:szCs w:val="20"/>
              </w:rPr>
              <w:t>(ISO 468-1982</w:t>
            </w:r>
          </w:p>
        </w:tc>
        <w:tc>
          <w:tcPr>
            <w:tcW w:w="2392" w:type="dxa"/>
            <w:vAlign w:val="center"/>
          </w:tcPr>
          <w:p w14:paraId="6EA8BCC0" w14:textId="77777777" w:rsidR="00852829" w:rsidRPr="00B944D6" w:rsidRDefault="00852829" w:rsidP="007920B4">
            <w:pPr>
              <w:rPr>
                <w:rFonts w:ascii="Arial" w:hAnsi="Arial" w:cs="Arial"/>
                <w:sz w:val="20"/>
                <w:szCs w:val="20"/>
              </w:rPr>
            </w:pPr>
            <w:r w:rsidRPr="00B944D6">
              <w:rPr>
                <w:rFonts w:ascii="Arial" w:hAnsi="Arial" w:cs="Arial"/>
                <w:sz w:val="20"/>
                <w:szCs w:val="20"/>
              </w:rPr>
              <w:t>Antes de la aplicación de los productos de reparación</w:t>
            </w:r>
          </w:p>
        </w:tc>
      </w:tr>
      <w:tr w:rsidR="00852829" w:rsidRPr="00130A11" w14:paraId="72848DF8" w14:textId="77777777" w:rsidTr="00B944D6">
        <w:trPr>
          <w:trHeight w:val="1273"/>
          <w:jc w:val="center"/>
        </w:trPr>
        <w:tc>
          <w:tcPr>
            <w:tcW w:w="1970" w:type="dxa"/>
            <w:vAlign w:val="center"/>
          </w:tcPr>
          <w:p w14:paraId="64E3BAF8" w14:textId="77777777" w:rsidR="00852829" w:rsidRPr="00B944D6" w:rsidRDefault="00852829" w:rsidP="007920B4">
            <w:pPr>
              <w:jc w:val="center"/>
              <w:rPr>
                <w:rFonts w:ascii="Arial" w:hAnsi="Arial" w:cs="Arial"/>
                <w:sz w:val="20"/>
                <w:szCs w:val="20"/>
              </w:rPr>
            </w:pPr>
            <w:r w:rsidRPr="00B944D6">
              <w:rPr>
                <w:rFonts w:ascii="Arial" w:hAnsi="Arial" w:cs="Arial"/>
                <w:sz w:val="20"/>
                <w:szCs w:val="20"/>
              </w:rPr>
              <w:t>Rugosidad</w:t>
            </w:r>
          </w:p>
        </w:tc>
        <w:tc>
          <w:tcPr>
            <w:tcW w:w="2835" w:type="dxa"/>
            <w:vAlign w:val="center"/>
          </w:tcPr>
          <w:p w14:paraId="0F88B8ED" w14:textId="77777777" w:rsidR="00852829" w:rsidRPr="00B944D6" w:rsidRDefault="00852829" w:rsidP="007920B4">
            <w:pPr>
              <w:rPr>
                <w:rFonts w:ascii="Arial" w:hAnsi="Arial" w:cs="Arial"/>
                <w:sz w:val="20"/>
                <w:szCs w:val="20"/>
              </w:rPr>
            </w:pPr>
            <w:r w:rsidRPr="00B944D6">
              <w:rPr>
                <w:rFonts w:ascii="Arial" w:hAnsi="Arial" w:cs="Arial"/>
                <w:sz w:val="20"/>
                <w:szCs w:val="20"/>
              </w:rPr>
              <w:t>Examen visual</w:t>
            </w:r>
          </w:p>
          <w:p w14:paraId="0B2B271B" w14:textId="77777777" w:rsidR="00852829" w:rsidRPr="00B944D6" w:rsidRDefault="00852829" w:rsidP="007920B4">
            <w:pPr>
              <w:rPr>
                <w:rFonts w:ascii="Arial" w:hAnsi="Arial" w:cs="Arial"/>
                <w:sz w:val="20"/>
                <w:szCs w:val="20"/>
              </w:rPr>
            </w:pPr>
            <w:r w:rsidRPr="00B944D6">
              <w:rPr>
                <w:rFonts w:ascii="Arial" w:hAnsi="Arial" w:cs="Arial"/>
                <w:sz w:val="20"/>
                <w:szCs w:val="20"/>
              </w:rPr>
              <w:t>Método de la superficie de arena o</w:t>
            </w:r>
          </w:p>
          <w:p w14:paraId="1187E378" w14:textId="77777777" w:rsidR="00852829" w:rsidRPr="00B944D6" w:rsidRDefault="00852829" w:rsidP="007920B4">
            <w:pPr>
              <w:rPr>
                <w:rFonts w:ascii="Arial" w:hAnsi="Arial" w:cs="Arial"/>
                <w:sz w:val="20"/>
                <w:szCs w:val="20"/>
              </w:rPr>
            </w:pPr>
            <w:r w:rsidRPr="00B944D6">
              <w:rPr>
                <w:rFonts w:ascii="Arial" w:hAnsi="Arial" w:cs="Arial"/>
                <w:sz w:val="20"/>
                <w:szCs w:val="20"/>
              </w:rPr>
              <w:t>Perfilómetro</w:t>
            </w:r>
          </w:p>
        </w:tc>
        <w:tc>
          <w:tcPr>
            <w:tcW w:w="2126" w:type="dxa"/>
            <w:vAlign w:val="center"/>
          </w:tcPr>
          <w:p w14:paraId="252E2FF6" w14:textId="77777777" w:rsidR="00852829" w:rsidRPr="00B944D6" w:rsidRDefault="00852829" w:rsidP="007920B4">
            <w:pPr>
              <w:jc w:val="center"/>
              <w:rPr>
                <w:rFonts w:ascii="Arial" w:hAnsi="Arial" w:cs="Arial"/>
                <w:sz w:val="20"/>
                <w:szCs w:val="20"/>
              </w:rPr>
            </w:pPr>
            <w:r w:rsidRPr="00B944D6">
              <w:rPr>
                <w:rFonts w:ascii="Arial" w:hAnsi="Arial" w:cs="Arial"/>
                <w:sz w:val="20"/>
                <w:szCs w:val="20"/>
              </w:rPr>
              <w:t>EN 1766</w:t>
            </w:r>
          </w:p>
          <w:p w14:paraId="77F2C123" w14:textId="77777777" w:rsidR="00852829" w:rsidRPr="00B944D6" w:rsidRDefault="00852829" w:rsidP="007920B4">
            <w:pPr>
              <w:jc w:val="center"/>
              <w:rPr>
                <w:rFonts w:ascii="Arial" w:hAnsi="Arial" w:cs="Arial"/>
                <w:sz w:val="20"/>
                <w:szCs w:val="20"/>
              </w:rPr>
            </w:pPr>
            <w:r w:rsidRPr="00B944D6">
              <w:rPr>
                <w:rFonts w:ascii="Arial" w:hAnsi="Arial" w:cs="Arial"/>
                <w:sz w:val="20"/>
                <w:szCs w:val="20"/>
              </w:rPr>
              <w:t>EN ISO 3274</w:t>
            </w:r>
          </w:p>
          <w:p w14:paraId="36E85493" w14:textId="77777777" w:rsidR="00852829" w:rsidRPr="00B944D6" w:rsidRDefault="00852829" w:rsidP="007920B4">
            <w:pPr>
              <w:jc w:val="center"/>
              <w:rPr>
                <w:rFonts w:ascii="Arial" w:hAnsi="Arial" w:cs="Arial"/>
                <w:sz w:val="20"/>
                <w:szCs w:val="20"/>
              </w:rPr>
            </w:pPr>
            <w:r w:rsidRPr="00B944D6">
              <w:rPr>
                <w:rFonts w:ascii="Arial" w:hAnsi="Arial" w:cs="Arial"/>
                <w:sz w:val="20"/>
                <w:szCs w:val="20"/>
              </w:rPr>
              <w:t>ISO 4287/1-1984</w:t>
            </w:r>
          </w:p>
        </w:tc>
        <w:tc>
          <w:tcPr>
            <w:tcW w:w="2392" w:type="dxa"/>
            <w:vAlign w:val="center"/>
          </w:tcPr>
          <w:p w14:paraId="0A0164CC" w14:textId="77777777" w:rsidR="00852829" w:rsidRPr="00B944D6" w:rsidRDefault="00852829" w:rsidP="007920B4">
            <w:pPr>
              <w:rPr>
                <w:rFonts w:ascii="Arial" w:hAnsi="Arial" w:cs="Arial"/>
                <w:sz w:val="20"/>
                <w:szCs w:val="20"/>
              </w:rPr>
            </w:pPr>
            <w:r w:rsidRPr="00B944D6">
              <w:rPr>
                <w:rFonts w:ascii="Arial" w:hAnsi="Arial" w:cs="Arial"/>
                <w:sz w:val="20"/>
                <w:szCs w:val="20"/>
              </w:rPr>
              <w:t>Antes de la aplicación de los productos de reparación</w:t>
            </w:r>
          </w:p>
        </w:tc>
      </w:tr>
    </w:tbl>
    <w:p w14:paraId="62475535" w14:textId="77777777" w:rsidR="00852829" w:rsidRPr="006937C2" w:rsidRDefault="00B944D6" w:rsidP="000313DD">
      <w:pPr>
        <w:pStyle w:val="TITU2"/>
      </w:pPr>
      <w:bookmarkStart w:id="989" w:name="_Toc404525"/>
      <w:r>
        <w:t>696</w:t>
      </w:r>
      <w:r w:rsidR="00852829">
        <w:t>.7.</w:t>
      </w:r>
      <w:r w:rsidR="00852829" w:rsidRPr="006937C2">
        <w:t xml:space="preserve"> </w:t>
      </w:r>
      <w:r w:rsidR="00852829">
        <w:t>Tratamiento de no conformidades</w:t>
      </w:r>
      <w:bookmarkEnd w:id="98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0"/>
        <w:gridCol w:w="7128"/>
      </w:tblGrid>
      <w:tr w:rsidR="00852829" w:rsidRPr="00130A11" w14:paraId="71050FDA" w14:textId="77777777" w:rsidTr="007920B4">
        <w:tc>
          <w:tcPr>
            <w:tcW w:w="0" w:type="auto"/>
            <w:shd w:val="clear" w:color="auto" w:fill="D9D9D9" w:themeFill="background1" w:themeFillShade="D9"/>
          </w:tcPr>
          <w:p w14:paraId="659CC4AB" w14:textId="77777777" w:rsidR="00852829" w:rsidRPr="007920B4" w:rsidRDefault="00852829" w:rsidP="007920B4">
            <w:pPr>
              <w:pStyle w:val="Tabla1"/>
              <w:jc w:val="center"/>
              <w:rPr>
                <w:b/>
                <w:sz w:val="20"/>
                <w:szCs w:val="20"/>
              </w:rPr>
            </w:pPr>
            <w:r w:rsidRPr="007920B4">
              <w:rPr>
                <w:b/>
                <w:sz w:val="20"/>
                <w:szCs w:val="20"/>
              </w:rPr>
              <w:t>No Conformidades</w:t>
            </w:r>
          </w:p>
        </w:tc>
        <w:tc>
          <w:tcPr>
            <w:tcW w:w="0" w:type="auto"/>
            <w:shd w:val="clear" w:color="auto" w:fill="D9D9D9" w:themeFill="background1" w:themeFillShade="D9"/>
          </w:tcPr>
          <w:p w14:paraId="4A31BBF9" w14:textId="77777777" w:rsidR="00852829" w:rsidRPr="007920B4" w:rsidRDefault="00852829" w:rsidP="007920B4">
            <w:pPr>
              <w:pStyle w:val="Tabla1"/>
              <w:jc w:val="center"/>
              <w:rPr>
                <w:b/>
                <w:sz w:val="20"/>
                <w:szCs w:val="20"/>
              </w:rPr>
            </w:pPr>
            <w:r w:rsidRPr="007920B4">
              <w:rPr>
                <w:b/>
                <w:sz w:val="20"/>
                <w:szCs w:val="20"/>
              </w:rPr>
              <w:t>Tratamiento</w:t>
            </w:r>
          </w:p>
        </w:tc>
      </w:tr>
      <w:tr w:rsidR="00852829" w:rsidRPr="00130A11" w14:paraId="1F018967" w14:textId="77777777" w:rsidTr="007920B4">
        <w:tc>
          <w:tcPr>
            <w:tcW w:w="0" w:type="auto"/>
            <w:vAlign w:val="center"/>
          </w:tcPr>
          <w:p w14:paraId="6A3E1A93" w14:textId="77777777" w:rsidR="00852829" w:rsidRPr="007920B4" w:rsidRDefault="00852829" w:rsidP="007920B4">
            <w:pPr>
              <w:pStyle w:val="Tabla1"/>
              <w:jc w:val="left"/>
              <w:rPr>
                <w:sz w:val="20"/>
                <w:szCs w:val="20"/>
              </w:rPr>
            </w:pPr>
            <w:r w:rsidRPr="007920B4">
              <w:rPr>
                <w:sz w:val="20"/>
                <w:szCs w:val="20"/>
              </w:rPr>
              <w:t>Profundidad de picado insuficiente.</w:t>
            </w:r>
          </w:p>
        </w:tc>
        <w:tc>
          <w:tcPr>
            <w:tcW w:w="0" w:type="auto"/>
          </w:tcPr>
          <w:p w14:paraId="6B8E6752" w14:textId="77777777" w:rsidR="00852829" w:rsidRPr="007920B4" w:rsidRDefault="00852829" w:rsidP="007920B4">
            <w:pPr>
              <w:pStyle w:val="Tabla1"/>
              <w:rPr>
                <w:sz w:val="20"/>
                <w:szCs w:val="20"/>
              </w:rPr>
            </w:pPr>
            <w:r w:rsidRPr="007920B4">
              <w:rPr>
                <w:sz w:val="20"/>
                <w:szCs w:val="20"/>
              </w:rPr>
              <w:t xml:space="preserve">No se acepta, se corregirá y los gastos serán por cuenta del Contratista. </w:t>
            </w:r>
          </w:p>
          <w:p w14:paraId="511EA089" w14:textId="77777777" w:rsidR="00852829" w:rsidRPr="007920B4" w:rsidRDefault="00852829" w:rsidP="007920B4">
            <w:pPr>
              <w:pStyle w:val="Tabla1"/>
              <w:rPr>
                <w:sz w:val="20"/>
                <w:szCs w:val="20"/>
              </w:rPr>
            </w:pPr>
            <w:r w:rsidRPr="007920B4">
              <w:rPr>
                <w:sz w:val="20"/>
                <w:szCs w:val="20"/>
              </w:rPr>
              <w:t xml:space="preserve">El picado de los hormigones se seguirá hasta descubrir un hormigón sano, exento de zonas mal adheridas o sueltas. </w:t>
            </w:r>
          </w:p>
        </w:tc>
      </w:tr>
    </w:tbl>
    <w:p w14:paraId="190101E6" w14:textId="77777777" w:rsidR="00852829" w:rsidRPr="006937C2" w:rsidRDefault="00852829" w:rsidP="000313DD">
      <w:pPr>
        <w:pStyle w:val="TITU2"/>
      </w:pPr>
      <w:bookmarkStart w:id="990" w:name="_Toc404526"/>
      <w:r>
        <w:t>69</w:t>
      </w:r>
      <w:r w:rsidR="00B944D6">
        <w:t>6</w:t>
      </w:r>
      <w:r>
        <w:t>.8.</w:t>
      </w:r>
      <w:r w:rsidRPr="006937C2">
        <w:t xml:space="preserve"> Medición y abono</w:t>
      </w:r>
      <w:bookmarkEnd w:id="990"/>
    </w:p>
    <w:p w14:paraId="56B280FC" w14:textId="77777777" w:rsidR="00852829" w:rsidRPr="006937C2" w:rsidRDefault="00852829" w:rsidP="00852829">
      <w:pPr>
        <w:pStyle w:val="NORMAL12"/>
      </w:pPr>
      <w:r w:rsidRPr="006937C2">
        <w:t xml:space="preserve">La medición y abono de las unidades de impermeabilización </w:t>
      </w:r>
      <w:r>
        <w:t>paramentos enterrados</w:t>
      </w:r>
      <w:r w:rsidRPr="006937C2">
        <w:t xml:space="preserve"> se realizará conforme a las siguientes especificaciones: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75"/>
        <w:gridCol w:w="6668"/>
      </w:tblGrid>
      <w:tr w:rsidR="00852829" w:rsidRPr="006937C2" w14:paraId="4A82B0B2" w14:textId="77777777" w:rsidTr="007920B4">
        <w:tc>
          <w:tcPr>
            <w:tcW w:w="0" w:type="auto"/>
            <w:vAlign w:val="center"/>
          </w:tcPr>
          <w:p w14:paraId="190B38BD" w14:textId="77777777" w:rsidR="00852829" w:rsidRPr="006937C2" w:rsidRDefault="00852829" w:rsidP="007920B4">
            <w:pPr>
              <w:pStyle w:val="Tabla"/>
              <w:rPr>
                <w:b/>
              </w:rPr>
            </w:pPr>
            <w:r w:rsidRPr="006937C2">
              <w:rPr>
                <w:b/>
              </w:rPr>
              <w:t>Unidad de medida</w:t>
            </w:r>
          </w:p>
        </w:tc>
        <w:tc>
          <w:tcPr>
            <w:tcW w:w="6668" w:type="dxa"/>
            <w:vAlign w:val="center"/>
          </w:tcPr>
          <w:p w14:paraId="5E8C616E" w14:textId="77777777" w:rsidR="00852829" w:rsidRPr="006937C2" w:rsidRDefault="00852829" w:rsidP="00666B72">
            <w:pPr>
              <w:pStyle w:val="LCATabla"/>
              <w:keepLines/>
              <w:jc w:val="both"/>
              <w:rPr>
                <w:rFonts w:ascii="Arial" w:hAnsi="Arial"/>
                <w:sz w:val="20"/>
              </w:rPr>
            </w:pPr>
            <w:r w:rsidRPr="006937C2">
              <w:rPr>
                <w:rFonts w:ascii="Arial" w:hAnsi="Arial"/>
                <w:sz w:val="20"/>
              </w:rPr>
              <w:t>Metros cuadrados (m</w:t>
            </w:r>
            <w:r w:rsidRPr="006B5C2B">
              <w:rPr>
                <w:rFonts w:ascii="Arial" w:hAnsi="Arial"/>
                <w:sz w:val="20"/>
                <w:vertAlign w:val="superscript"/>
              </w:rPr>
              <w:t>2</w:t>
            </w:r>
            <w:r w:rsidRPr="006937C2">
              <w:rPr>
                <w:rFonts w:ascii="Arial" w:hAnsi="Arial"/>
                <w:sz w:val="20"/>
              </w:rPr>
              <w:t>).</w:t>
            </w:r>
          </w:p>
        </w:tc>
      </w:tr>
      <w:tr w:rsidR="00852829" w:rsidRPr="006937C2" w14:paraId="0C524283" w14:textId="77777777" w:rsidTr="007920B4">
        <w:tc>
          <w:tcPr>
            <w:tcW w:w="0" w:type="auto"/>
            <w:vAlign w:val="center"/>
          </w:tcPr>
          <w:p w14:paraId="12C1808C" w14:textId="77777777" w:rsidR="00852829" w:rsidRPr="006937C2" w:rsidRDefault="00852829" w:rsidP="007920B4">
            <w:pPr>
              <w:pStyle w:val="Tabla"/>
              <w:rPr>
                <w:b/>
              </w:rPr>
            </w:pPr>
            <w:r w:rsidRPr="006937C2">
              <w:rPr>
                <w:b/>
              </w:rPr>
              <w:t>Grado de precisión</w:t>
            </w:r>
          </w:p>
        </w:tc>
        <w:tc>
          <w:tcPr>
            <w:tcW w:w="6668" w:type="dxa"/>
            <w:vAlign w:val="center"/>
          </w:tcPr>
          <w:p w14:paraId="246D3335" w14:textId="77777777" w:rsidR="00852829" w:rsidRPr="006937C2" w:rsidRDefault="00852829" w:rsidP="00666B72">
            <w:pPr>
              <w:pStyle w:val="LCATabla"/>
              <w:keepLines/>
              <w:jc w:val="both"/>
              <w:rPr>
                <w:rFonts w:ascii="Arial" w:hAnsi="Arial"/>
                <w:sz w:val="20"/>
              </w:rPr>
            </w:pPr>
            <w:r w:rsidRPr="006937C2">
              <w:rPr>
                <w:rFonts w:ascii="Arial" w:hAnsi="Arial"/>
                <w:sz w:val="20"/>
              </w:rPr>
              <w:t>Dos decimales.</w:t>
            </w:r>
          </w:p>
        </w:tc>
      </w:tr>
      <w:tr w:rsidR="00852829" w:rsidRPr="006937C2" w14:paraId="7FB26BE4" w14:textId="77777777" w:rsidTr="007920B4">
        <w:tc>
          <w:tcPr>
            <w:tcW w:w="0" w:type="auto"/>
            <w:vAlign w:val="center"/>
          </w:tcPr>
          <w:p w14:paraId="4ACE4F4A" w14:textId="77777777" w:rsidR="00852829" w:rsidRPr="006937C2" w:rsidRDefault="00852829" w:rsidP="007920B4">
            <w:pPr>
              <w:pStyle w:val="Tabla"/>
              <w:rPr>
                <w:b/>
              </w:rPr>
            </w:pPr>
            <w:r w:rsidRPr="006937C2">
              <w:rPr>
                <w:b/>
              </w:rPr>
              <w:t>Forma de medición</w:t>
            </w:r>
          </w:p>
        </w:tc>
        <w:tc>
          <w:tcPr>
            <w:tcW w:w="6668" w:type="dxa"/>
            <w:vAlign w:val="center"/>
          </w:tcPr>
          <w:p w14:paraId="67C4B075" w14:textId="77777777" w:rsidR="00852829" w:rsidRPr="006937C2" w:rsidRDefault="00852829" w:rsidP="00666B72">
            <w:pPr>
              <w:pStyle w:val="LCATabla"/>
              <w:keepLines/>
              <w:jc w:val="both"/>
              <w:rPr>
                <w:rFonts w:ascii="Arial" w:hAnsi="Arial"/>
                <w:sz w:val="20"/>
              </w:rPr>
            </w:pPr>
            <w:r w:rsidRPr="006B5C2B">
              <w:rPr>
                <w:rFonts w:ascii="Arial" w:hAnsi="Arial"/>
                <w:sz w:val="20"/>
              </w:rPr>
              <w:t>Metros cuadrados (m</w:t>
            </w:r>
            <w:r w:rsidRPr="006B5C2B">
              <w:rPr>
                <w:rFonts w:ascii="Arial" w:hAnsi="Arial"/>
                <w:sz w:val="20"/>
                <w:vertAlign w:val="superscript"/>
              </w:rPr>
              <w:t>2</w:t>
            </w:r>
            <w:r w:rsidRPr="006B5C2B">
              <w:rPr>
                <w:rFonts w:ascii="Arial" w:hAnsi="Arial"/>
                <w:sz w:val="20"/>
              </w:rPr>
              <w:t>) realmente ejecutados en obra.</w:t>
            </w:r>
          </w:p>
        </w:tc>
      </w:tr>
      <w:tr w:rsidR="00852829" w:rsidRPr="001B1677" w14:paraId="082F4C69" w14:textId="77777777" w:rsidTr="007920B4">
        <w:tc>
          <w:tcPr>
            <w:tcW w:w="0" w:type="auto"/>
            <w:vAlign w:val="center"/>
          </w:tcPr>
          <w:p w14:paraId="7AE1FF8A" w14:textId="77777777" w:rsidR="00852829" w:rsidRPr="006937C2" w:rsidRDefault="00852829" w:rsidP="007920B4">
            <w:pPr>
              <w:pStyle w:val="Tabla"/>
              <w:rPr>
                <w:b/>
              </w:rPr>
            </w:pPr>
            <w:r w:rsidRPr="006937C2">
              <w:rPr>
                <w:b/>
              </w:rPr>
              <w:t>Abono</w:t>
            </w:r>
          </w:p>
        </w:tc>
        <w:tc>
          <w:tcPr>
            <w:tcW w:w="6668" w:type="dxa"/>
            <w:vAlign w:val="center"/>
          </w:tcPr>
          <w:p w14:paraId="4B1538C2" w14:textId="77777777" w:rsidR="00852829" w:rsidRPr="006937C2" w:rsidRDefault="00852829" w:rsidP="00666B72">
            <w:pPr>
              <w:pStyle w:val="LCATabla"/>
              <w:keepLines/>
              <w:jc w:val="both"/>
              <w:rPr>
                <w:rFonts w:ascii="Arial" w:hAnsi="Arial"/>
                <w:sz w:val="20"/>
              </w:rPr>
            </w:pPr>
            <w:r w:rsidRPr="006937C2">
              <w:rPr>
                <w:rFonts w:ascii="Arial" w:hAnsi="Arial"/>
                <w:sz w:val="20"/>
              </w:rPr>
              <w:t>Se efectuará cuando se realice la aceptación.</w:t>
            </w:r>
          </w:p>
        </w:tc>
      </w:tr>
      <w:tr w:rsidR="00852829" w:rsidRPr="001B1677" w14:paraId="6B6DAF14" w14:textId="77777777" w:rsidTr="007920B4">
        <w:tc>
          <w:tcPr>
            <w:tcW w:w="0" w:type="auto"/>
            <w:vAlign w:val="center"/>
          </w:tcPr>
          <w:p w14:paraId="19931B22" w14:textId="77777777" w:rsidR="00852829" w:rsidRPr="006937C2" w:rsidRDefault="00852829" w:rsidP="007920B4">
            <w:pPr>
              <w:pStyle w:val="Tabla"/>
              <w:rPr>
                <w:b/>
              </w:rPr>
            </w:pPr>
            <w:r>
              <w:rPr>
                <w:b/>
              </w:rPr>
              <w:t>Criterios complementarios</w:t>
            </w:r>
          </w:p>
        </w:tc>
        <w:tc>
          <w:tcPr>
            <w:tcW w:w="6668" w:type="dxa"/>
            <w:vAlign w:val="center"/>
          </w:tcPr>
          <w:p w14:paraId="3B84A9AA" w14:textId="77777777" w:rsidR="00852829" w:rsidRPr="006937C2" w:rsidRDefault="00852829" w:rsidP="00666B72">
            <w:pPr>
              <w:pStyle w:val="LCATabla"/>
              <w:keepLines/>
              <w:jc w:val="both"/>
              <w:rPr>
                <w:rFonts w:ascii="Arial" w:hAnsi="Arial"/>
                <w:sz w:val="20"/>
              </w:rPr>
            </w:pPr>
            <w:r w:rsidRPr="006B5C2B">
              <w:rPr>
                <w:rFonts w:ascii="Arial" w:hAnsi="Arial"/>
                <w:sz w:val="20"/>
              </w:rPr>
              <w:t>Los precios incluyen todos los materiales, mano de obra, maquinaria y medios auxiliares necesarios para la correcta ejecución de la unidad, incluso la completa limpieza de la superficie picada y la pasivación de las armaduras implicadas.</w:t>
            </w:r>
          </w:p>
        </w:tc>
      </w:tr>
    </w:tbl>
    <w:p w14:paraId="69E287AD" w14:textId="77777777" w:rsidR="001E6CAF" w:rsidRPr="002005BA" w:rsidRDefault="00451A88" w:rsidP="001E6CAF">
      <w:pPr>
        <w:pStyle w:val="TITU1"/>
      </w:pPr>
      <w:bookmarkStart w:id="991" w:name="_Toc404527"/>
      <w:r>
        <w:lastRenderedPageBreak/>
        <w:t xml:space="preserve">Artículo 697. </w:t>
      </w:r>
      <w:r w:rsidR="001E6CAF" w:rsidRPr="002005BA">
        <w:t>Imposta metálica</w:t>
      </w:r>
      <w:bookmarkEnd w:id="978"/>
      <w:bookmarkEnd w:id="979"/>
      <w:bookmarkEnd w:id="991"/>
    </w:p>
    <w:p w14:paraId="327BE9F7" w14:textId="77777777" w:rsidR="001E6CAF" w:rsidRPr="002005BA" w:rsidRDefault="001E6CAF" w:rsidP="000313DD">
      <w:pPr>
        <w:pStyle w:val="TITU2"/>
      </w:pPr>
      <w:bookmarkStart w:id="992" w:name="_Toc352932713"/>
      <w:bookmarkStart w:id="993" w:name="_Toc410036203"/>
      <w:bookmarkStart w:id="994" w:name="_Toc448916192"/>
      <w:bookmarkStart w:id="995" w:name="_Toc404528"/>
      <w:r w:rsidRPr="002005BA">
        <w:t>697.1.</w:t>
      </w:r>
      <w:r w:rsidR="00451A88">
        <w:t xml:space="preserve"> </w:t>
      </w:r>
      <w:r w:rsidRPr="002005BA">
        <w:tab/>
        <w:t>Definición</w:t>
      </w:r>
      <w:bookmarkEnd w:id="992"/>
      <w:bookmarkEnd w:id="993"/>
      <w:bookmarkEnd w:id="994"/>
      <w:bookmarkEnd w:id="995"/>
    </w:p>
    <w:p w14:paraId="56CB74B5" w14:textId="77777777" w:rsidR="001E6CAF" w:rsidRPr="002005BA" w:rsidRDefault="001E6CAF" w:rsidP="001E6CAF">
      <w:pPr>
        <w:pStyle w:val="NORMAL12"/>
      </w:pPr>
      <w:r w:rsidRPr="002005BA">
        <w:t xml:space="preserve">Se refiere este capítulo a las piezas metálicas laminadas que se colocan en el extremo lateral de los tableros de las estructuras localizadas en los P.I. 0+820 y P.I. 2+275 del presente proyecto. </w:t>
      </w:r>
    </w:p>
    <w:p w14:paraId="564924A3" w14:textId="77777777" w:rsidR="001E6CAF" w:rsidRPr="00D921B6" w:rsidRDefault="001E6CAF" w:rsidP="001E6CAF">
      <w:pPr>
        <w:pStyle w:val="NORMAL12"/>
      </w:pPr>
      <w:r w:rsidRPr="002005BA">
        <w:t xml:space="preserve">La ejecución de la unidad de </w:t>
      </w:r>
      <w:r w:rsidRPr="00D921B6">
        <w:t>obra incluye las operaciones siguientes:</w:t>
      </w:r>
    </w:p>
    <w:p w14:paraId="4F0F55BC" w14:textId="77777777" w:rsidR="001E6CAF" w:rsidRPr="00D921B6" w:rsidRDefault="001E6CAF" w:rsidP="001E6CAF">
      <w:pPr>
        <w:pStyle w:val="NORMAL12"/>
        <w:numPr>
          <w:ilvl w:val="0"/>
          <w:numId w:val="61"/>
        </w:numPr>
      </w:pPr>
      <w:r w:rsidRPr="00D921B6">
        <w:t>Replanteo previo.</w:t>
      </w:r>
    </w:p>
    <w:p w14:paraId="1A58E2F1" w14:textId="77777777" w:rsidR="001E6CAF" w:rsidRPr="00D921B6" w:rsidRDefault="001E6CAF" w:rsidP="001E6CAF">
      <w:pPr>
        <w:pStyle w:val="NORMAL12"/>
        <w:numPr>
          <w:ilvl w:val="0"/>
          <w:numId w:val="61"/>
        </w:numPr>
      </w:pPr>
      <w:r w:rsidRPr="00D921B6">
        <w:t>Ejecución de anclajes mecánicos a la losa de hormigón.</w:t>
      </w:r>
    </w:p>
    <w:p w14:paraId="5F0702A1" w14:textId="77777777" w:rsidR="001E6CAF" w:rsidRPr="00D921B6" w:rsidRDefault="001E6CAF" w:rsidP="001E6CAF">
      <w:pPr>
        <w:pStyle w:val="NORMAL12"/>
        <w:numPr>
          <w:ilvl w:val="0"/>
          <w:numId w:val="61"/>
        </w:numPr>
      </w:pPr>
      <w:r w:rsidRPr="00D921B6">
        <w:t>Colocación de la imposta metálica. La nueva imposta será de acero galvanizado e irá atornillada a los tacos de anclaje.</w:t>
      </w:r>
    </w:p>
    <w:p w14:paraId="2AFCB47B" w14:textId="77777777" w:rsidR="001E6CAF" w:rsidRPr="00D921B6" w:rsidRDefault="001E6CAF" w:rsidP="001E6CAF">
      <w:pPr>
        <w:pStyle w:val="NORMAL12"/>
        <w:numPr>
          <w:ilvl w:val="0"/>
          <w:numId w:val="61"/>
        </w:numPr>
      </w:pPr>
      <w:r w:rsidRPr="00D921B6">
        <w:t>Rejuntado de piezas si es necesario.</w:t>
      </w:r>
    </w:p>
    <w:p w14:paraId="3BA48BEE" w14:textId="77777777" w:rsidR="001E6CAF" w:rsidRPr="00D921B6" w:rsidRDefault="001E6CAF" w:rsidP="001E6CAF">
      <w:pPr>
        <w:pStyle w:val="NORMAL12"/>
        <w:numPr>
          <w:ilvl w:val="0"/>
          <w:numId w:val="61"/>
        </w:numPr>
      </w:pPr>
      <w:r w:rsidRPr="00D921B6">
        <w:t>Retirada de elementos auxiliares, apuntalamientos.</w:t>
      </w:r>
    </w:p>
    <w:p w14:paraId="3298FA9C" w14:textId="77777777" w:rsidR="001E6CAF" w:rsidRPr="00D921B6" w:rsidRDefault="00451A88" w:rsidP="000313DD">
      <w:pPr>
        <w:pStyle w:val="TITU2"/>
      </w:pPr>
      <w:bookmarkStart w:id="996" w:name="_Toc410036204"/>
      <w:bookmarkStart w:id="997" w:name="_Toc448916193"/>
      <w:bookmarkStart w:id="998" w:name="_Toc404529"/>
      <w:r w:rsidRPr="00D921B6">
        <w:t xml:space="preserve">697.2. </w:t>
      </w:r>
      <w:r w:rsidR="001E6CAF" w:rsidRPr="00D921B6">
        <w:tab/>
        <w:t>Aplicación</w:t>
      </w:r>
      <w:bookmarkEnd w:id="996"/>
      <w:bookmarkEnd w:id="997"/>
      <w:bookmarkEnd w:id="998"/>
      <w:r w:rsidR="001E6CAF" w:rsidRPr="00D921B6">
        <w:t xml:space="preserve"> </w:t>
      </w:r>
    </w:p>
    <w:p w14:paraId="31D301A6" w14:textId="77777777" w:rsidR="001E6CAF" w:rsidRPr="00D921B6" w:rsidRDefault="001E6CAF" w:rsidP="001E6CAF">
      <w:pPr>
        <w:pStyle w:val="NORMAL12"/>
      </w:pPr>
      <w:r w:rsidRPr="00D921B6">
        <w:t>Las prescripciones de</w:t>
      </w:r>
      <w:r w:rsidR="008A1401" w:rsidRPr="00D921B6">
        <w:t xml:space="preserve">l presente artículo </w:t>
      </w:r>
      <w:proofErr w:type="gramStart"/>
      <w:r w:rsidR="008A1401" w:rsidRPr="00D921B6">
        <w:t xml:space="preserve">son de </w:t>
      </w:r>
      <w:r w:rsidRPr="00D921B6">
        <w:t>aplicación</w:t>
      </w:r>
      <w:proofErr w:type="gramEnd"/>
      <w:r w:rsidRPr="00D921B6">
        <w:t xml:space="preserve"> </w:t>
      </w:r>
      <w:r w:rsidR="008A1401" w:rsidRPr="00D921B6">
        <w:t>a</w:t>
      </w:r>
      <w:r w:rsidRPr="00D921B6">
        <w:t xml:space="preserve"> la</w:t>
      </w:r>
      <w:r w:rsidR="008A1401" w:rsidRPr="00D921B6">
        <w:t xml:space="preserve"> unidad de obra siguiente:</w:t>
      </w:r>
    </w:p>
    <w:tbl>
      <w:tblPr>
        <w:tblW w:w="9039" w:type="dxa"/>
        <w:tblLook w:val="04A0" w:firstRow="1" w:lastRow="0" w:firstColumn="1" w:lastColumn="0" w:noHBand="0" w:noVBand="1"/>
      </w:tblPr>
      <w:tblGrid>
        <w:gridCol w:w="1415"/>
        <w:gridCol w:w="1084"/>
        <w:gridCol w:w="6540"/>
      </w:tblGrid>
      <w:tr w:rsidR="001E6CAF" w:rsidRPr="00D921B6" w14:paraId="10703E25" w14:textId="77777777" w:rsidTr="00451A88">
        <w:tc>
          <w:tcPr>
            <w:tcW w:w="1415" w:type="dxa"/>
          </w:tcPr>
          <w:p w14:paraId="06F30205" w14:textId="77777777" w:rsidR="001E6CAF" w:rsidRPr="00D921B6" w:rsidRDefault="001E6CAF" w:rsidP="001E6CAF">
            <w:pPr>
              <w:rPr>
                <w:rFonts w:ascii="Calibri" w:hAnsi="Calibri" w:cs="Calibri"/>
              </w:rPr>
            </w:pPr>
            <w:r w:rsidRPr="00D921B6">
              <w:rPr>
                <w:rFonts w:ascii="Calibri" w:hAnsi="Calibri" w:cs="Calibri"/>
              </w:rPr>
              <w:t>690.0090N</w:t>
            </w:r>
          </w:p>
        </w:tc>
        <w:tc>
          <w:tcPr>
            <w:tcW w:w="1084" w:type="dxa"/>
          </w:tcPr>
          <w:p w14:paraId="33A11C96" w14:textId="77777777" w:rsidR="001E6CAF" w:rsidRPr="00D921B6" w:rsidRDefault="001E6CAF" w:rsidP="001E6CAF">
            <w:pPr>
              <w:rPr>
                <w:rFonts w:ascii="Calibri" w:hAnsi="Calibri" w:cs="Calibri"/>
              </w:rPr>
            </w:pPr>
            <w:r w:rsidRPr="00D921B6">
              <w:rPr>
                <w:rFonts w:ascii="Calibri" w:hAnsi="Calibri" w:cs="Calibri"/>
              </w:rPr>
              <w:t>m</w:t>
            </w:r>
          </w:p>
        </w:tc>
        <w:tc>
          <w:tcPr>
            <w:tcW w:w="6540" w:type="dxa"/>
          </w:tcPr>
          <w:p w14:paraId="46D264C2" w14:textId="77777777" w:rsidR="001E6CAF" w:rsidRPr="00D921B6" w:rsidRDefault="001E6CAF" w:rsidP="00666B72">
            <w:pPr>
              <w:jc w:val="both"/>
              <w:rPr>
                <w:rFonts w:ascii="Calibri" w:hAnsi="Calibri" w:cs="Calibri"/>
              </w:rPr>
            </w:pPr>
            <w:r w:rsidRPr="00D921B6">
              <w:rPr>
                <w:rFonts w:ascii="Calibri" w:hAnsi="Calibri" w:cs="Calibri"/>
              </w:rPr>
              <w:t>IMPOSTA Y COLOCACIÓN DE IMPOSTA METÁLICA GALVANIZADA, INCLUSO ELEMENTOS DE ANCLAJE Y MATERIAL AUXILIAR. TOTALMENTE TERMINADA</w:t>
            </w:r>
          </w:p>
        </w:tc>
      </w:tr>
    </w:tbl>
    <w:p w14:paraId="3D0CD8D9" w14:textId="77777777" w:rsidR="001E6CAF" w:rsidRPr="00D921B6" w:rsidRDefault="001E6CAF" w:rsidP="000313DD">
      <w:pPr>
        <w:pStyle w:val="TITU2"/>
      </w:pPr>
      <w:bookmarkStart w:id="999" w:name="_Toc352932714"/>
      <w:bookmarkStart w:id="1000" w:name="_Toc410036205"/>
      <w:bookmarkStart w:id="1001" w:name="_Toc448916194"/>
      <w:bookmarkStart w:id="1002" w:name="_Toc404530"/>
      <w:r w:rsidRPr="00D921B6">
        <w:t>697.3.</w:t>
      </w:r>
      <w:r w:rsidR="00451A88" w:rsidRPr="00D921B6">
        <w:t xml:space="preserve"> </w:t>
      </w:r>
      <w:r w:rsidRPr="00D921B6">
        <w:tab/>
        <w:t>Materiales</w:t>
      </w:r>
      <w:bookmarkEnd w:id="999"/>
      <w:bookmarkEnd w:id="1000"/>
      <w:bookmarkEnd w:id="1001"/>
      <w:bookmarkEnd w:id="1002"/>
    </w:p>
    <w:p w14:paraId="30E7DAA5" w14:textId="77777777" w:rsidR="001E6CAF" w:rsidRPr="00D921B6" w:rsidRDefault="001E6CAF" w:rsidP="001E6CAF">
      <w:pPr>
        <w:pStyle w:val="NORMAL12"/>
      </w:pPr>
      <w:r w:rsidRPr="00D921B6">
        <w:t>Las impostas metálicas se realizarán con chapas de acero galvanizado en caliente de 5 mm de espesor y pintadas en taller; los pernos serán de acero grado 4.6 y de 12 mm de diámetro.</w:t>
      </w:r>
    </w:p>
    <w:p w14:paraId="49BBAF4D" w14:textId="77777777" w:rsidR="001E6CAF" w:rsidRPr="00D921B6" w:rsidRDefault="001E6CAF" w:rsidP="001E6CAF">
      <w:pPr>
        <w:pStyle w:val="NORMAL12"/>
      </w:pPr>
      <w:r w:rsidRPr="00D921B6">
        <w:t>Las piezas tendrán los taladros definidos en los Planos para su propio anclaje al tablero, con tolerancias suficientes para solventar posibles desviaciones durante la ejecución de las obras.</w:t>
      </w:r>
    </w:p>
    <w:p w14:paraId="40410220" w14:textId="77777777" w:rsidR="001E6CAF" w:rsidRPr="00D921B6" w:rsidRDefault="001E6CAF" w:rsidP="001E6CAF">
      <w:pPr>
        <w:pStyle w:val="NORMAL12"/>
      </w:pPr>
      <w:r w:rsidRPr="00D921B6">
        <w:t xml:space="preserve">Los elementos de anclaje de la imposta al tablero serán tacos de anclaje mecánico. Cada anclaje deberá soportar una tracción mínima de diseño igual o superior a </w:t>
      </w:r>
      <w:proofErr w:type="spellStart"/>
      <w:r w:rsidRPr="00D921B6">
        <w:t>Fd</w:t>
      </w:r>
      <w:proofErr w:type="spellEnd"/>
      <w:r w:rsidRPr="00D921B6">
        <w:t>=1,4 kN en todas las direcciones. Los anclajes mecánicos podrán ser desatornillados para permitir el desmontaje de la imposta.</w:t>
      </w:r>
    </w:p>
    <w:p w14:paraId="18FB67B5" w14:textId="77777777" w:rsidR="001E6CAF" w:rsidRPr="00D921B6" w:rsidRDefault="008A1401" w:rsidP="000313DD">
      <w:pPr>
        <w:pStyle w:val="TITU2"/>
      </w:pPr>
      <w:bookmarkStart w:id="1003" w:name="_Toc352932715"/>
      <w:bookmarkStart w:id="1004" w:name="_Toc410036206"/>
      <w:bookmarkStart w:id="1005" w:name="_Toc448916195"/>
      <w:bookmarkStart w:id="1006" w:name="_Toc404531"/>
      <w:r w:rsidRPr="00D921B6">
        <w:t xml:space="preserve">697.4. </w:t>
      </w:r>
      <w:r w:rsidR="001E6CAF" w:rsidRPr="00D921B6">
        <w:tab/>
        <w:t>Ejecución</w:t>
      </w:r>
      <w:bookmarkEnd w:id="1003"/>
      <w:bookmarkEnd w:id="1004"/>
      <w:bookmarkEnd w:id="1005"/>
      <w:r w:rsidR="002C0CF3" w:rsidRPr="00D921B6">
        <w:t xml:space="preserve"> de las obras</w:t>
      </w:r>
      <w:bookmarkEnd w:id="1006"/>
    </w:p>
    <w:p w14:paraId="7FC65BAC" w14:textId="77777777" w:rsidR="001E6CAF" w:rsidRPr="00D921B6" w:rsidRDefault="001E6CAF" w:rsidP="001E6CAF">
      <w:pPr>
        <w:pStyle w:val="NORMAL12"/>
      </w:pPr>
      <w:bookmarkStart w:id="1007" w:name="_Toc352932716"/>
      <w:r w:rsidRPr="00D921B6">
        <w:t>Las impostas se ejecutarán según la geometría y características representadas en los Planos del presente Proyecto.</w:t>
      </w:r>
      <w:r w:rsidR="008A1401" w:rsidRPr="00D921B6">
        <w:t xml:space="preserve"> </w:t>
      </w:r>
      <w:r w:rsidRPr="00D921B6">
        <w:t>Las impostas metálicas se suministrarán desde taller debidamente mecanizadas según indicación de la Dirección de las Obras.</w:t>
      </w:r>
    </w:p>
    <w:p w14:paraId="77B7DC47" w14:textId="77777777" w:rsidR="001E6CAF" w:rsidRPr="00D921B6" w:rsidRDefault="001E6CAF" w:rsidP="001E6CAF">
      <w:pPr>
        <w:pStyle w:val="NORMAL12"/>
      </w:pPr>
      <w:r w:rsidRPr="00D921B6">
        <w:t>Los tacos de anclaje se dispondrán tras la ejecución del zócalo de hormigón, una vez ha fraguado éste, y correctamente ubicados mediante replanteo. Una vez finalizado el proceso de hormigonado los tacos de anclaje deberán de fijarse mecánicamente con el fin de evitar movimientos y encajar correctamente con las piezas ejecutadas en taller.</w:t>
      </w:r>
    </w:p>
    <w:p w14:paraId="638A874D" w14:textId="77777777" w:rsidR="002F141E" w:rsidRPr="00D921B6" w:rsidRDefault="002F141E" w:rsidP="002F141E">
      <w:pPr>
        <w:pStyle w:val="NORMAL12"/>
      </w:pPr>
      <w:r w:rsidRPr="00D921B6">
        <w:t>La disposición y el tipo de anclaje previsto en planos deberá, en todo caso, adaptarse a las especificaciones particulares del sistema de anclaje que defina el proveedor el elemento.</w:t>
      </w:r>
    </w:p>
    <w:p w14:paraId="54758A62" w14:textId="77777777" w:rsidR="001E6CAF" w:rsidRPr="002005BA" w:rsidRDefault="001E6CAF" w:rsidP="001E6CAF">
      <w:pPr>
        <w:pStyle w:val="NORMAL12"/>
      </w:pPr>
      <w:r w:rsidRPr="00D921B6">
        <w:t>Se comprobará sobre la imposta</w:t>
      </w:r>
      <w:r w:rsidRPr="002005BA">
        <w:t xml:space="preserve"> colocada y antes del enroscado final de los tacos definitivos que las aristas y elementos rectos no presentan curvaturas ni flechas superiores a un (1,0) cm medido con regla de cuatro (4,0) m. Las superficies no presentarán ralladuras ni desconchones de la pintura, debiendo presentar un tono uniforme todos los módulos de imposta. Se rechazarán aquellas piezas sobre las que se aprecien abolladura y las que no encajen correctamente con las piezas contiguas.</w:t>
      </w:r>
    </w:p>
    <w:p w14:paraId="3C4AC3A5" w14:textId="77777777" w:rsidR="001E6CAF" w:rsidRPr="002005BA" w:rsidRDefault="001E6CAF" w:rsidP="001E6CAF">
      <w:pPr>
        <w:pStyle w:val="NORMAL12"/>
      </w:pPr>
      <w:r w:rsidRPr="002005BA">
        <w:t>Cualquier daño que pueda producirse como consecuencia de la realización de las obras posteriores en la estructura, será reparado a su costa por el Contratista.</w:t>
      </w:r>
    </w:p>
    <w:p w14:paraId="1B4055F4" w14:textId="77777777" w:rsidR="001E6CAF" w:rsidRPr="002005BA" w:rsidRDefault="008A1401" w:rsidP="000313DD">
      <w:pPr>
        <w:pStyle w:val="TITU2"/>
      </w:pPr>
      <w:bookmarkStart w:id="1008" w:name="_Toc410036207"/>
      <w:bookmarkStart w:id="1009" w:name="_Toc448916196"/>
      <w:bookmarkStart w:id="1010" w:name="_Toc404532"/>
      <w:r>
        <w:t xml:space="preserve">697.5. </w:t>
      </w:r>
      <w:r w:rsidR="001E6CAF" w:rsidRPr="002005BA">
        <w:t>Medición y abono</w:t>
      </w:r>
      <w:bookmarkEnd w:id="1007"/>
      <w:bookmarkEnd w:id="1008"/>
      <w:bookmarkEnd w:id="1009"/>
      <w:bookmarkEnd w:id="1010"/>
    </w:p>
    <w:p w14:paraId="0E2E3049" w14:textId="77777777" w:rsidR="001E6CAF" w:rsidRPr="002005BA" w:rsidRDefault="001E6CAF" w:rsidP="001E6CAF">
      <w:pPr>
        <w:pStyle w:val="NORMAL12"/>
      </w:pPr>
      <w:r w:rsidRPr="002005BA">
        <w:t xml:space="preserve">La medición y abono de la unidad se llevará a cabo </w:t>
      </w:r>
      <w:r w:rsidR="008A1401">
        <w:t xml:space="preserve">según </w:t>
      </w:r>
      <w:r w:rsidRPr="002005BA">
        <w:t>las siguientes prescripciones:</w:t>
      </w:r>
    </w:p>
    <w:tbl>
      <w:tblPr>
        <w:tblW w:w="89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3"/>
        <w:gridCol w:w="6681"/>
      </w:tblGrid>
      <w:tr w:rsidR="001E6CAF" w:rsidRPr="00F441ED" w14:paraId="15381367" w14:textId="77777777" w:rsidTr="001E6CAF">
        <w:trPr>
          <w:trHeight w:val="409"/>
          <w:jc w:val="center"/>
        </w:trPr>
        <w:tc>
          <w:tcPr>
            <w:tcW w:w="2263" w:type="dxa"/>
            <w:vAlign w:val="center"/>
          </w:tcPr>
          <w:p w14:paraId="1CFF0E4E" w14:textId="77777777" w:rsidR="001E6CAF" w:rsidRPr="002005BA" w:rsidRDefault="001E6CAF" w:rsidP="00174ED1">
            <w:pPr>
              <w:pStyle w:val="Tabla"/>
              <w:rPr>
                <w:b/>
              </w:rPr>
            </w:pPr>
            <w:r w:rsidRPr="002005BA">
              <w:rPr>
                <w:b/>
              </w:rPr>
              <w:t>Unidad de medida</w:t>
            </w:r>
          </w:p>
        </w:tc>
        <w:tc>
          <w:tcPr>
            <w:tcW w:w="6681" w:type="dxa"/>
            <w:vAlign w:val="center"/>
          </w:tcPr>
          <w:p w14:paraId="7FD47922" w14:textId="77777777" w:rsidR="001E6CAF" w:rsidRPr="002005BA" w:rsidRDefault="001E6CAF" w:rsidP="00666B72">
            <w:pPr>
              <w:pStyle w:val="LCATabla"/>
              <w:keepLines/>
              <w:jc w:val="both"/>
              <w:rPr>
                <w:rFonts w:ascii="Arial" w:hAnsi="Arial"/>
                <w:sz w:val="20"/>
              </w:rPr>
            </w:pPr>
            <w:r w:rsidRPr="002005BA">
              <w:rPr>
                <w:rFonts w:ascii="Arial" w:hAnsi="Arial"/>
                <w:sz w:val="20"/>
              </w:rPr>
              <w:t>Metros (m).</w:t>
            </w:r>
          </w:p>
        </w:tc>
      </w:tr>
      <w:tr w:rsidR="001E6CAF" w:rsidRPr="00F441ED" w14:paraId="4E6D4914" w14:textId="77777777" w:rsidTr="001E6CAF">
        <w:trPr>
          <w:jc w:val="center"/>
        </w:trPr>
        <w:tc>
          <w:tcPr>
            <w:tcW w:w="2263" w:type="dxa"/>
            <w:vAlign w:val="center"/>
          </w:tcPr>
          <w:p w14:paraId="234D083F" w14:textId="77777777" w:rsidR="001E6CAF" w:rsidRPr="002005BA" w:rsidRDefault="001E6CAF" w:rsidP="00174ED1">
            <w:pPr>
              <w:pStyle w:val="Tabla"/>
              <w:rPr>
                <w:b/>
              </w:rPr>
            </w:pPr>
            <w:r w:rsidRPr="002005BA">
              <w:rPr>
                <w:b/>
              </w:rPr>
              <w:t>Grado de precisión</w:t>
            </w:r>
          </w:p>
        </w:tc>
        <w:tc>
          <w:tcPr>
            <w:tcW w:w="6681" w:type="dxa"/>
            <w:vAlign w:val="center"/>
          </w:tcPr>
          <w:p w14:paraId="5D422AB5" w14:textId="77777777" w:rsidR="001E6CAF" w:rsidRPr="002005BA" w:rsidRDefault="001E6CAF" w:rsidP="00666B72">
            <w:pPr>
              <w:pStyle w:val="LCATabla"/>
              <w:keepLines/>
              <w:jc w:val="both"/>
              <w:rPr>
                <w:rFonts w:ascii="Arial" w:hAnsi="Arial"/>
                <w:sz w:val="20"/>
              </w:rPr>
            </w:pPr>
            <w:r w:rsidRPr="002005BA">
              <w:rPr>
                <w:rFonts w:ascii="Arial" w:hAnsi="Arial"/>
                <w:sz w:val="20"/>
              </w:rPr>
              <w:t>Dos decimales.</w:t>
            </w:r>
          </w:p>
        </w:tc>
      </w:tr>
      <w:tr w:rsidR="001E6CAF" w:rsidRPr="00F441ED" w14:paraId="44CE8A11" w14:textId="77777777" w:rsidTr="001E6CAF">
        <w:trPr>
          <w:jc w:val="center"/>
        </w:trPr>
        <w:tc>
          <w:tcPr>
            <w:tcW w:w="2263" w:type="dxa"/>
            <w:vAlign w:val="center"/>
          </w:tcPr>
          <w:p w14:paraId="5199709C" w14:textId="77777777" w:rsidR="001E6CAF" w:rsidRPr="002005BA" w:rsidRDefault="001E6CAF" w:rsidP="00174ED1">
            <w:pPr>
              <w:pStyle w:val="Tabla"/>
              <w:rPr>
                <w:b/>
              </w:rPr>
            </w:pPr>
            <w:r w:rsidRPr="002005BA">
              <w:rPr>
                <w:b/>
              </w:rPr>
              <w:t>Forma de medición</w:t>
            </w:r>
          </w:p>
        </w:tc>
        <w:tc>
          <w:tcPr>
            <w:tcW w:w="6681" w:type="dxa"/>
            <w:vAlign w:val="center"/>
          </w:tcPr>
          <w:p w14:paraId="0682038A" w14:textId="77777777" w:rsidR="001E6CAF" w:rsidRPr="002005BA" w:rsidRDefault="001E6CAF" w:rsidP="00666B72">
            <w:pPr>
              <w:pStyle w:val="LCATabla"/>
              <w:keepLines/>
              <w:jc w:val="both"/>
              <w:rPr>
                <w:rFonts w:ascii="Arial" w:hAnsi="Arial"/>
                <w:sz w:val="20"/>
              </w:rPr>
            </w:pPr>
            <w:r w:rsidRPr="002005BA">
              <w:rPr>
                <w:rFonts w:ascii="Arial" w:hAnsi="Arial"/>
                <w:sz w:val="20"/>
              </w:rPr>
              <w:t>Longitud de imposta realmente colocada en obra.</w:t>
            </w:r>
          </w:p>
        </w:tc>
      </w:tr>
      <w:tr w:rsidR="001E6CAF" w:rsidRPr="00F441ED" w14:paraId="357875E4" w14:textId="77777777" w:rsidTr="001E6CAF">
        <w:trPr>
          <w:jc w:val="center"/>
        </w:trPr>
        <w:tc>
          <w:tcPr>
            <w:tcW w:w="2263" w:type="dxa"/>
            <w:tcBorders>
              <w:bottom w:val="single" w:sz="4" w:space="0" w:color="auto"/>
            </w:tcBorders>
            <w:vAlign w:val="center"/>
          </w:tcPr>
          <w:p w14:paraId="42938C36" w14:textId="77777777" w:rsidR="001E6CAF" w:rsidRPr="002005BA" w:rsidRDefault="001E6CAF" w:rsidP="00174ED1">
            <w:pPr>
              <w:pStyle w:val="Tabla"/>
              <w:rPr>
                <w:b/>
              </w:rPr>
            </w:pPr>
            <w:r w:rsidRPr="002005BA">
              <w:rPr>
                <w:b/>
              </w:rPr>
              <w:t>Abono</w:t>
            </w:r>
          </w:p>
        </w:tc>
        <w:tc>
          <w:tcPr>
            <w:tcW w:w="6681" w:type="dxa"/>
            <w:tcBorders>
              <w:bottom w:val="single" w:sz="4" w:space="0" w:color="auto"/>
            </w:tcBorders>
            <w:vAlign w:val="center"/>
          </w:tcPr>
          <w:p w14:paraId="3176CBE2" w14:textId="77777777" w:rsidR="001E6CAF" w:rsidRPr="002005BA" w:rsidRDefault="001E6CAF" w:rsidP="00666B72">
            <w:pPr>
              <w:pStyle w:val="LCATabla"/>
              <w:keepLines/>
              <w:jc w:val="both"/>
              <w:rPr>
                <w:rFonts w:ascii="Arial" w:hAnsi="Arial"/>
                <w:sz w:val="20"/>
              </w:rPr>
            </w:pPr>
            <w:r w:rsidRPr="002005BA">
              <w:rPr>
                <w:rFonts w:ascii="Arial" w:hAnsi="Arial"/>
                <w:sz w:val="20"/>
              </w:rPr>
              <w:t>Se efectuará cuando se realice la aceptación.</w:t>
            </w:r>
          </w:p>
        </w:tc>
      </w:tr>
      <w:tr w:rsidR="001E6CAF" w:rsidRPr="00F441ED" w14:paraId="24EA7378" w14:textId="77777777" w:rsidTr="001E6CAF">
        <w:trPr>
          <w:trHeight w:val="914"/>
          <w:jc w:val="center"/>
        </w:trPr>
        <w:tc>
          <w:tcPr>
            <w:tcW w:w="2263" w:type="dxa"/>
            <w:tcBorders>
              <w:bottom w:val="single" w:sz="4" w:space="0" w:color="auto"/>
            </w:tcBorders>
            <w:vAlign w:val="center"/>
          </w:tcPr>
          <w:p w14:paraId="694F8F08" w14:textId="77777777" w:rsidR="001E6CAF" w:rsidRPr="002005BA" w:rsidRDefault="001E6CAF" w:rsidP="00174ED1">
            <w:pPr>
              <w:pStyle w:val="Tabla"/>
              <w:rPr>
                <w:b/>
              </w:rPr>
            </w:pPr>
            <w:r w:rsidRPr="002005BA">
              <w:rPr>
                <w:b/>
              </w:rPr>
              <w:t>Criterios complementarios</w:t>
            </w:r>
          </w:p>
        </w:tc>
        <w:tc>
          <w:tcPr>
            <w:tcW w:w="6681" w:type="dxa"/>
            <w:tcBorders>
              <w:bottom w:val="single" w:sz="4" w:space="0" w:color="auto"/>
            </w:tcBorders>
            <w:vAlign w:val="center"/>
          </w:tcPr>
          <w:p w14:paraId="2C2F12A1" w14:textId="77777777" w:rsidR="001E6CAF" w:rsidRPr="002005BA" w:rsidRDefault="001E6CAF" w:rsidP="00666B72">
            <w:pPr>
              <w:pStyle w:val="LCATabla"/>
              <w:keepLines/>
              <w:jc w:val="both"/>
              <w:rPr>
                <w:rFonts w:ascii="Arial" w:hAnsi="Arial"/>
                <w:sz w:val="20"/>
              </w:rPr>
            </w:pPr>
            <w:r w:rsidRPr="002005BA">
              <w:rPr>
                <w:rFonts w:ascii="Arial" w:hAnsi="Arial"/>
                <w:sz w:val="20"/>
              </w:rPr>
              <w:t xml:space="preserve">El precio incluye todos los materiales, incluso tratamiento de pintura, mano de obra, maquinaria y medios auxiliares necesarios para la correcta ejecución de la unidad, incluso ensayos previos y característicos cuando proceda. Así como su fabricación, suministro, transporte, colocación, nivelación y anclajes. </w:t>
            </w:r>
          </w:p>
        </w:tc>
      </w:tr>
    </w:tbl>
    <w:p w14:paraId="515C9949" w14:textId="77777777" w:rsidR="00852829" w:rsidRPr="00D921B6" w:rsidRDefault="00852829" w:rsidP="00852829">
      <w:pPr>
        <w:pStyle w:val="TITU1"/>
      </w:pPr>
      <w:bookmarkStart w:id="1011" w:name="_Toc404533"/>
      <w:bookmarkEnd w:id="980"/>
      <w:bookmarkEnd w:id="981"/>
      <w:bookmarkEnd w:id="982"/>
      <w:r w:rsidRPr="00D921B6">
        <w:lastRenderedPageBreak/>
        <w:t>Artículo 698. Aplicación manual de mortero para reparación estructural del hormigón</w:t>
      </w:r>
      <w:bookmarkEnd w:id="1011"/>
    </w:p>
    <w:p w14:paraId="6871656D" w14:textId="77777777" w:rsidR="00852829" w:rsidRPr="00D921B6" w:rsidRDefault="00852829" w:rsidP="000313DD">
      <w:pPr>
        <w:pStyle w:val="TITU2"/>
      </w:pPr>
      <w:bookmarkStart w:id="1012" w:name="_Toc404534"/>
      <w:r w:rsidRPr="00D921B6">
        <w:t xml:space="preserve">698.1. </w:t>
      </w:r>
      <w:r w:rsidRPr="00D921B6">
        <w:tab/>
        <w:t>Definición</w:t>
      </w:r>
      <w:bookmarkEnd w:id="1012"/>
      <w:r w:rsidRPr="00D921B6">
        <w:t xml:space="preserve"> </w:t>
      </w:r>
    </w:p>
    <w:p w14:paraId="614CF39E" w14:textId="77777777" w:rsidR="00852829" w:rsidRDefault="00852829" w:rsidP="00852829">
      <w:pPr>
        <w:pStyle w:val="NORMAL12"/>
      </w:pPr>
      <w:r w:rsidRPr="00D921B6">
        <w:t xml:space="preserve">Se consideran productos y/o sistemas de reparación estructural del hormigón a aquellos que remplazan hormigón deteriorado, recuperando la integridad estructural y la durabilidad del elemento reparado. </w:t>
      </w:r>
      <w:proofErr w:type="gramStart"/>
      <w:r w:rsidRPr="00D921B6">
        <w:t>Asimismo</w:t>
      </w:r>
      <w:proofErr w:type="gramEnd"/>
      <w:r w:rsidRPr="00D921B6">
        <w:t xml:space="preserve"> será aplicable a elementos de hormigón en masa degradado por agentes químicos de tipo </w:t>
      </w:r>
      <w:proofErr w:type="gramStart"/>
      <w:r w:rsidRPr="00D921B6">
        <w:t>ácido</w:t>
      </w:r>
      <w:proofErr w:type="gramEnd"/>
      <w:r w:rsidRPr="00D921B6">
        <w:t xml:space="preserve"> así como a elementos con defectos de hormigonado que hayan provocado</w:t>
      </w:r>
      <w:r>
        <w:t xml:space="preserve"> la ausencia del hormigón en alguna de sus partes.</w:t>
      </w:r>
    </w:p>
    <w:p w14:paraId="602AD940" w14:textId="77777777" w:rsidR="00852829" w:rsidRDefault="00852829" w:rsidP="00852829">
      <w:pPr>
        <w:pStyle w:val="NORMAL12"/>
      </w:pPr>
      <w:r>
        <w:t>Este objetivo se consigue mediante la eliminación del hormigón degradado, y la aplicación de puente de unión y mortero de reparación seguido de la aplicación eventual de un revestimiento protector según las necesidades de aislamiento químico, en caso de que los recubrimientos de las armaduras del hormigón estén por debajo de lo especificado en el artículo 37.2.4 de la EHE o la estructura en general y la reparación efectuada en particular estén expuestos a ambientes con agresividad especial (</w:t>
      </w:r>
      <w:proofErr w:type="spellStart"/>
      <w:r>
        <w:t>p.e</w:t>
      </w:r>
      <w:proofErr w:type="spellEnd"/>
      <w:r>
        <w:t>. Q, H, F, E).</w:t>
      </w:r>
    </w:p>
    <w:p w14:paraId="66DD58D2" w14:textId="77777777" w:rsidR="00852829" w:rsidRPr="00DF2D84" w:rsidRDefault="00852829" w:rsidP="000313DD">
      <w:pPr>
        <w:pStyle w:val="TITU2"/>
      </w:pPr>
      <w:bookmarkStart w:id="1013" w:name="_Toc404535"/>
      <w:r w:rsidRPr="00DF2D84">
        <w:t>69</w:t>
      </w:r>
      <w:r>
        <w:t>8</w:t>
      </w:r>
      <w:r w:rsidRPr="00DF2D84">
        <w:t xml:space="preserve">.2. </w:t>
      </w:r>
      <w:r w:rsidRPr="00DF2D84">
        <w:tab/>
        <w:t>Aplicación</w:t>
      </w:r>
      <w:bookmarkEnd w:id="1013"/>
      <w:r w:rsidRPr="00DF2D84">
        <w:t xml:space="preserve"> </w:t>
      </w:r>
    </w:p>
    <w:p w14:paraId="54A551B2" w14:textId="77777777" w:rsidR="00852829" w:rsidRPr="008530A7" w:rsidRDefault="00852829" w:rsidP="00852829">
      <w:pPr>
        <w:pStyle w:val="NORMAL12"/>
      </w:pPr>
      <w:r w:rsidRPr="008530A7">
        <w:t xml:space="preserve">Las prescripciones del presente artículo </w:t>
      </w:r>
      <w:proofErr w:type="gramStart"/>
      <w:r w:rsidRPr="008530A7">
        <w:t>son de aplicación</w:t>
      </w:r>
      <w:proofErr w:type="gramEnd"/>
      <w:r w:rsidRPr="008530A7">
        <w:t xml:space="preserve"> a la</w:t>
      </w:r>
      <w:r>
        <w:t xml:space="preserve"> siguiente unidad</w:t>
      </w:r>
      <w:r w:rsidRPr="008530A7">
        <w:t xml:space="preserve"> de obra:</w:t>
      </w:r>
    </w:p>
    <w:tbl>
      <w:tblPr>
        <w:tblW w:w="0" w:type="auto"/>
        <w:tblLook w:val="04A0" w:firstRow="1" w:lastRow="0" w:firstColumn="1" w:lastColumn="0" w:noHBand="0" w:noVBand="1"/>
      </w:tblPr>
      <w:tblGrid>
        <w:gridCol w:w="1437"/>
        <w:gridCol w:w="1104"/>
        <w:gridCol w:w="6247"/>
      </w:tblGrid>
      <w:tr w:rsidR="00852829" w:rsidRPr="00895FF0" w14:paraId="462E12E8" w14:textId="77777777" w:rsidTr="007920B4">
        <w:tc>
          <w:tcPr>
            <w:tcW w:w="1437" w:type="dxa"/>
          </w:tcPr>
          <w:p w14:paraId="653BF899" w14:textId="77777777" w:rsidR="00852829" w:rsidRPr="00895FF0" w:rsidRDefault="00852829" w:rsidP="007920B4">
            <w:pPr>
              <w:rPr>
                <w:rFonts w:ascii="Calibri" w:hAnsi="Calibri" w:cs="Calibri"/>
                <w:highlight w:val="cyan"/>
              </w:rPr>
            </w:pPr>
          </w:p>
        </w:tc>
        <w:tc>
          <w:tcPr>
            <w:tcW w:w="1104" w:type="dxa"/>
          </w:tcPr>
          <w:p w14:paraId="48BCE4BE" w14:textId="77777777" w:rsidR="00852829" w:rsidRPr="00895FF0" w:rsidRDefault="00852829" w:rsidP="007920B4">
            <w:pPr>
              <w:rPr>
                <w:rFonts w:ascii="Calibri" w:hAnsi="Calibri" w:cs="Calibri"/>
                <w:highlight w:val="cyan"/>
              </w:rPr>
            </w:pPr>
          </w:p>
        </w:tc>
        <w:tc>
          <w:tcPr>
            <w:tcW w:w="6247" w:type="dxa"/>
            <w:vAlign w:val="bottom"/>
          </w:tcPr>
          <w:p w14:paraId="11A01ABA" w14:textId="77777777" w:rsidR="00852829" w:rsidRPr="00895FF0" w:rsidRDefault="00852829" w:rsidP="007920B4">
            <w:pPr>
              <w:rPr>
                <w:rFonts w:ascii="Calibri" w:hAnsi="Calibri" w:cs="Calibri"/>
                <w:highlight w:val="cyan"/>
              </w:rPr>
            </w:pPr>
          </w:p>
        </w:tc>
      </w:tr>
      <w:tr w:rsidR="00852829" w:rsidRPr="006937C2" w14:paraId="4A469E96" w14:textId="77777777" w:rsidTr="007920B4">
        <w:tc>
          <w:tcPr>
            <w:tcW w:w="1437" w:type="dxa"/>
          </w:tcPr>
          <w:p w14:paraId="7098371A" w14:textId="77777777" w:rsidR="00852829" w:rsidRPr="00515E0F" w:rsidRDefault="00852829" w:rsidP="007920B4">
            <w:pPr>
              <w:rPr>
                <w:rFonts w:ascii="Calibri" w:hAnsi="Calibri" w:cs="Calibri"/>
              </w:rPr>
            </w:pPr>
            <w:r>
              <w:rPr>
                <w:rFonts w:ascii="Calibri" w:hAnsi="Calibri" w:cs="Calibri"/>
              </w:rPr>
              <w:t>610.0230N</w:t>
            </w:r>
          </w:p>
          <w:p w14:paraId="1A86E512" w14:textId="77777777" w:rsidR="00852829" w:rsidRPr="00515E0F" w:rsidRDefault="00852829" w:rsidP="007920B4">
            <w:pPr>
              <w:rPr>
                <w:rFonts w:ascii="Calibri" w:hAnsi="Calibri" w:cs="Calibri"/>
              </w:rPr>
            </w:pPr>
          </w:p>
        </w:tc>
        <w:tc>
          <w:tcPr>
            <w:tcW w:w="1104" w:type="dxa"/>
          </w:tcPr>
          <w:p w14:paraId="440EAA7F" w14:textId="77777777" w:rsidR="00852829" w:rsidRPr="00515E0F" w:rsidRDefault="00852829" w:rsidP="007920B4">
            <w:pPr>
              <w:rPr>
                <w:rFonts w:ascii="Calibri" w:hAnsi="Calibri" w:cs="Calibri"/>
              </w:rPr>
            </w:pPr>
            <w:r w:rsidRPr="00515E0F">
              <w:rPr>
                <w:rFonts w:ascii="Calibri" w:hAnsi="Calibri" w:cs="Calibri"/>
              </w:rPr>
              <w:t>m</w:t>
            </w:r>
            <w:r w:rsidRPr="00D01B48">
              <w:rPr>
                <w:rFonts w:ascii="Calibri" w:hAnsi="Calibri" w:cs="Calibri"/>
                <w:vertAlign w:val="superscript"/>
              </w:rPr>
              <w:t>2</w:t>
            </w:r>
          </w:p>
        </w:tc>
        <w:tc>
          <w:tcPr>
            <w:tcW w:w="6247" w:type="dxa"/>
            <w:vAlign w:val="bottom"/>
          </w:tcPr>
          <w:p w14:paraId="01AFA481" w14:textId="77777777" w:rsidR="00852829" w:rsidRPr="00DF2D84" w:rsidRDefault="00852829" w:rsidP="007920B4">
            <w:pPr>
              <w:jc w:val="both"/>
              <w:rPr>
                <w:rFonts w:ascii="Calibri" w:hAnsi="Calibri" w:cs="Calibri"/>
              </w:rPr>
            </w:pPr>
            <w:r w:rsidRPr="006D4E80">
              <w:rPr>
                <w:rFonts w:ascii="Calibri" w:hAnsi="Calibri" w:cs="Calibri"/>
              </w:rPr>
              <w:t xml:space="preserve">RECONSTRUCCIÓN GEOMÉTRICA DE PARAMENTOS DE HORMIGÓN CON MORTERO ESTRUCTURAL </w:t>
            </w:r>
            <w:r w:rsidRPr="00294D0B">
              <w:rPr>
                <w:rFonts w:ascii="Calibri" w:hAnsi="Calibri" w:cs="Calibri"/>
              </w:rPr>
              <w:t>R4</w:t>
            </w:r>
            <w:r w:rsidRPr="006D4E80">
              <w:rPr>
                <w:rFonts w:ascii="Calibri" w:hAnsi="Calibri" w:cs="Calibri"/>
              </w:rPr>
              <w:t xml:space="preserve"> TIXOTRÓPICO DE ALTA COMPATIBILIDAD CON EL HORMIGÓN, PARA REPARACIÓN S</w:t>
            </w:r>
            <w:r>
              <w:rPr>
                <w:rFonts w:ascii="Calibri" w:hAnsi="Calibri" w:cs="Calibri"/>
              </w:rPr>
              <w:t>UPERFICIAL ESTRUCTURAL HASTA 5 cm</w:t>
            </w:r>
            <w:r w:rsidRPr="006D4E80">
              <w:rPr>
                <w:rFonts w:ascii="Calibri" w:hAnsi="Calibri" w:cs="Calibri"/>
              </w:rPr>
              <w:t>, A BASE DE CEMENTO, ÁRIDOS SELECCIONADOS, ADICIONES Y FIBRAS SINTÉTICAS DE POLIACRILONITRILO, TIPO TIXOTRÓPICO, INCLUSO PERFILADO DE ARISTAS Y ACABADO FRATASADO MANUAL, MEDIDA LA SUPERFICIE TOTALMENTE EJECUTADA</w:t>
            </w:r>
            <w:r>
              <w:rPr>
                <w:rFonts w:ascii="Calibri" w:hAnsi="Calibri" w:cs="Calibri"/>
              </w:rPr>
              <w:t>.</w:t>
            </w:r>
          </w:p>
        </w:tc>
      </w:tr>
    </w:tbl>
    <w:p w14:paraId="123EC367" w14:textId="77777777" w:rsidR="00852829" w:rsidRPr="006D4E80" w:rsidRDefault="00852829" w:rsidP="007920B4">
      <w:pPr>
        <w:pStyle w:val="NORMAL12"/>
        <w:numPr>
          <w:ilvl w:val="0"/>
          <w:numId w:val="61"/>
        </w:numPr>
      </w:pPr>
      <w:r w:rsidRPr="006D4E80">
        <w:t xml:space="preserve">Diagnóstico del estado del hormigón. </w:t>
      </w:r>
    </w:p>
    <w:p w14:paraId="0CDB07E9" w14:textId="77777777" w:rsidR="00852829" w:rsidRPr="006D4E80" w:rsidRDefault="00852829" w:rsidP="007920B4">
      <w:pPr>
        <w:pStyle w:val="NORMAL12"/>
        <w:numPr>
          <w:ilvl w:val="1"/>
          <w:numId w:val="61"/>
        </w:numPr>
      </w:pPr>
      <w:r w:rsidRPr="006D4E80">
        <w:t xml:space="preserve">Inspección visual del deterioro para cotejar el diagnóstico de la reparación y los productos a emplear definidos en proyecto. </w:t>
      </w:r>
    </w:p>
    <w:p w14:paraId="49CB1FAE" w14:textId="77777777" w:rsidR="00852829" w:rsidRPr="006D4E80" w:rsidRDefault="00852829" w:rsidP="007920B4">
      <w:pPr>
        <w:pStyle w:val="NORMAL12"/>
        <w:numPr>
          <w:ilvl w:val="1"/>
          <w:numId w:val="61"/>
        </w:numPr>
      </w:pPr>
      <w:r w:rsidRPr="006D4E80">
        <w:t xml:space="preserve">Resistencia a tracción superficial </w:t>
      </w:r>
    </w:p>
    <w:p w14:paraId="108B2C3B" w14:textId="77777777" w:rsidR="00852829" w:rsidRPr="006D4E80" w:rsidRDefault="00852829" w:rsidP="007920B4">
      <w:pPr>
        <w:pStyle w:val="NORMAL12"/>
        <w:numPr>
          <w:ilvl w:val="1"/>
          <w:numId w:val="61"/>
        </w:numPr>
      </w:pPr>
      <w:r w:rsidRPr="006D4E80">
        <w:t xml:space="preserve">Medida de la profundidad de carbonatación </w:t>
      </w:r>
    </w:p>
    <w:p w14:paraId="462C9AFD" w14:textId="77777777" w:rsidR="00852829" w:rsidRPr="006D4E80" w:rsidRDefault="00852829" w:rsidP="007920B4">
      <w:pPr>
        <w:pStyle w:val="NORMAL12"/>
        <w:numPr>
          <w:ilvl w:val="1"/>
          <w:numId w:val="61"/>
        </w:numPr>
      </w:pPr>
      <w:r w:rsidRPr="006D4E80">
        <w:t>Contenido en cloruros y sulfatos</w:t>
      </w:r>
    </w:p>
    <w:p w14:paraId="3842C7A8" w14:textId="77777777" w:rsidR="00852829" w:rsidRPr="006D4E80" w:rsidRDefault="00852829" w:rsidP="007920B4">
      <w:pPr>
        <w:pStyle w:val="NORMAL12"/>
        <w:numPr>
          <w:ilvl w:val="1"/>
          <w:numId w:val="61"/>
        </w:numPr>
      </w:pPr>
      <w:r w:rsidRPr="006D4E80">
        <w:t xml:space="preserve">Medida de la humedad </w:t>
      </w:r>
      <w:r w:rsidR="00217216" w:rsidRPr="006D4E80">
        <w:t>superficial</w:t>
      </w:r>
      <w:r w:rsidRPr="006D4E80">
        <w:t xml:space="preserve">. </w:t>
      </w:r>
    </w:p>
    <w:p w14:paraId="74F25983" w14:textId="77777777" w:rsidR="00852829" w:rsidRPr="006D4E80" w:rsidRDefault="00852829" w:rsidP="007920B4">
      <w:pPr>
        <w:pStyle w:val="NORMAL12"/>
        <w:numPr>
          <w:ilvl w:val="0"/>
          <w:numId w:val="61"/>
        </w:numPr>
      </w:pPr>
      <w:r w:rsidRPr="006D4E80">
        <w:t xml:space="preserve">Preparación del material mediante su amasado con agua, manualmente o con un batidor eléctrico para conseguir la consistencia requerida. </w:t>
      </w:r>
    </w:p>
    <w:p w14:paraId="1060DC7F" w14:textId="77777777" w:rsidR="00852829" w:rsidRPr="006D4E80" w:rsidRDefault="00852829" w:rsidP="007920B4">
      <w:pPr>
        <w:pStyle w:val="NORMAL12"/>
        <w:numPr>
          <w:ilvl w:val="0"/>
          <w:numId w:val="61"/>
        </w:numPr>
      </w:pPr>
      <w:r w:rsidRPr="006D4E80">
        <w:t xml:space="preserve">Aplicación del mortero por métodos manuales tradicionales o mediante la utilización de equipos de proyección por vía húmeda. </w:t>
      </w:r>
    </w:p>
    <w:p w14:paraId="6EF7A8CF" w14:textId="77777777" w:rsidR="00852829" w:rsidRPr="006D4E80" w:rsidRDefault="00852829" w:rsidP="007920B4">
      <w:pPr>
        <w:pStyle w:val="NORMAL12"/>
        <w:numPr>
          <w:ilvl w:val="0"/>
          <w:numId w:val="61"/>
        </w:numPr>
      </w:pPr>
      <w:r w:rsidRPr="006D4E80">
        <w:t>Moldeado del volumen utilizando espátulas, llanas o largueros.</w:t>
      </w:r>
    </w:p>
    <w:p w14:paraId="2E1401A4" w14:textId="77777777" w:rsidR="00852829" w:rsidRDefault="00852829" w:rsidP="007920B4">
      <w:pPr>
        <w:pStyle w:val="NORMAL12"/>
        <w:numPr>
          <w:ilvl w:val="0"/>
          <w:numId w:val="61"/>
        </w:numPr>
      </w:pPr>
      <w:r w:rsidRPr="006D4E80">
        <w:t>Acabado superficial: una vez endurecido: lijado y esculpido de las partes deseadas, y pigmentación con tintes orgánicos para conseguir el efecto deseado, en caso de especificar tales requerimientos.</w:t>
      </w:r>
    </w:p>
    <w:p w14:paraId="508FAE8B" w14:textId="77777777" w:rsidR="00852829" w:rsidRPr="006937C2" w:rsidRDefault="00852829" w:rsidP="000313DD">
      <w:pPr>
        <w:pStyle w:val="TITU2"/>
      </w:pPr>
      <w:bookmarkStart w:id="1014" w:name="_Toc404536"/>
      <w:r>
        <w:t>698</w:t>
      </w:r>
      <w:r w:rsidRPr="006937C2">
        <w:t>.</w:t>
      </w:r>
      <w:r>
        <w:t>3</w:t>
      </w:r>
      <w:r w:rsidRPr="006937C2">
        <w:t>.</w:t>
      </w:r>
      <w:r>
        <w:t xml:space="preserve"> </w:t>
      </w:r>
      <w:r w:rsidRPr="006937C2">
        <w:t>Materiales</w:t>
      </w:r>
      <w:bookmarkEnd w:id="1014"/>
      <w:r w:rsidRPr="006937C2">
        <w:t xml:space="preserve"> </w:t>
      </w:r>
    </w:p>
    <w:p w14:paraId="3327ECA7" w14:textId="77777777" w:rsidR="00852829" w:rsidRDefault="00852829" w:rsidP="00852829">
      <w:pPr>
        <w:pStyle w:val="NORMAL12"/>
      </w:pPr>
      <w:r w:rsidRPr="006D4E80">
        <w:t>Los parámetros generales de los productos de reparación estructural serán los correspondientes a morteros de reparación de tipo R4 según la nomenclatura recogida en la norma EN-1504-3 (Reparación estructural y no estructural) y presentarán, como mínimo, las siguientes prestaciones:</w:t>
      </w:r>
    </w:p>
    <w:tbl>
      <w:tblPr>
        <w:tblStyle w:val="Tablaconcuadrcula"/>
        <w:tblW w:w="0" w:type="auto"/>
        <w:tblLook w:val="04A0" w:firstRow="1" w:lastRow="0" w:firstColumn="1" w:lastColumn="0" w:noHBand="0" w:noVBand="1"/>
      </w:tblPr>
      <w:tblGrid>
        <w:gridCol w:w="3411"/>
        <w:gridCol w:w="1194"/>
        <w:gridCol w:w="2449"/>
        <w:gridCol w:w="1971"/>
      </w:tblGrid>
      <w:tr w:rsidR="00852829" w:rsidRPr="007920B4" w14:paraId="71C4833C" w14:textId="77777777" w:rsidTr="007920B4">
        <w:trPr>
          <w:trHeight w:val="364"/>
          <w:tblHeader/>
        </w:trPr>
        <w:tc>
          <w:tcPr>
            <w:tcW w:w="3411" w:type="dxa"/>
            <w:shd w:val="clear" w:color="auto" w:fill="D9D9D9" w:themeFill="background1" w:themeFillShade="D9"/>
            <w:vAlign w:val="center"/>
          </w:tcPr>
          <w:p w14:paraId="1DAE9A90" w14:textId="77777777" w:rsidR="00852829" w:rsidRPr="007920B4" w:rsidRDefault="00852829" w:rsidP="007920B4">
            <w:pPr>
              <w:spacing w:line="240" w:lineRule="auto"/>
              <w:jc w:val="center"/>
              <w:rPr>
                <w:rFonts w:ascii="Arial" w:hAnsi="Arial" w:cs="Arial"/>
                <w:b/>
                <w:sz w:val="20"/>
                <w:szCs w:val="20"/>
              </w:rPr>
            </w:pPr>
            <w:r w:rsidRPr="007920B4">
              <w:rPr>
                <w:rFonts w:ascii="Arial" w:hAnsi="Arial" w:cs="Arial"/>
                <w:b/>
                <w:sz w:val="20"/>
                <w:szCs w:val="20"/>
              </w:rPr>
              <w:t>M</w:t>
            </w:r>
            <w:r w:rsidR="007920B4" w:rsidRPr="007920B4">
              <w:rPr>
                <w:rFonts w:ascii="Arial" w:hAnsi="Arial" w:cs="Arial"/>
                <w:b/>
                <w:sz w:val="20"/>
                <w:szCs w:val="20"/>
              </w:rPr>
              <w:t>ortero de reparación R4</w:t>
            </w:r>
          </w:p>
        </w:tc>
        <w:tc>
          <w:tcPr>
            <w:tcW w:w="1194" w:type="dxa"/>
            <w:shd w:val="clear" w:color="auto" w:fill="D9D9D9" w:themeFill="background1" w:themeFillShade="D9"/>
            <w:vAlign w:val="center"/>
          </w:tcPr>
          <w:p w14:paraId="4E6C3C43" w14:textId="77777777" w:rsidR="00852829" w:rsidRPr="007920B4" w:rsidRDefault="00852829" w:rsidP="007920B4">
            <w:pPr>
              <w:spacing w:line="240" w:lineRule="auto"/>
              <w:jc w:val="center"/>
              <w:rPr>
                <w:rFonts w:ascii="Arial" w:hAnsi="Arial" w:cs="Arial"/>
                <w:b/>
                <w:sz w:val="20"/>
                <w:szCs w:val="20"/>
              </w:rPr>
            </w:pPr>
            <w:r w:rsidRPr="007920B4">
              <w:rPr>
                <w:rFonts w:ascii="Arial" w:hAnsi="Arial" w:cs="Arial"/>
                <w:b/>
                <w:sz w:val="20"/>
                <w:szCs w:val="20"/>
              </w:rPr>
              <w:t>Unidad</w:t>
            </w:r>
          </w:p>
        </w:tc>
        <w:tc>
          <w:tcPr>
            <w:tcW w:w="2449" w:type="dxa"/>
            <w:shd w:val="clear" w:color="auto" w:fill="D9D9D9" w:themeFill="background1" w:themeFillShade="D9"/>
            <w:vAlign w:val="center"/>
          </w:tcPr>
          <w:p w14:paraId="2950A7CA" w14:textId="77777777" w:rsidR="00852829" w:rsidRPr="007920B4" w:rsidRDefault="00852829" w:rsidP="007920B4">
            <w:pPr>
              <w:spacing w:line="240" w:lineRule="auto"/>
              <w:jc w:val="center"/>
              <w:rPr>
                <w:rFonts w:ascii="Arial" w:hAnsi="Arial" w:cs="Arial"/>
                <w:b/>
                <w:sz w:val="20"/>
                <w:szCs w:val="20"/>
              </w:rPr>
            </w:pPr>
            <w:r w:rsidRPr="007920B4">
              <w:rPr>
                <w:rFonts w:ascii="Arial" w:hAnsi="Arial" w:cs="Arial"/>
                <w:b/>
                <w:sz w:val="20"/>
                <w:szCs w:val="20"/>
              </w:rPr>
              <w:t>Requerimiento</w:t>
            </w:r>
          </w:p>
        </w:tc>
        <w:tc>
          <w:tcPr>
            <w:tcW w:w="1971" w:type="dxa"/>
            <w:shd w:val="clear" w:color="auto" w:fill="D9D9D9" w:themeFill="background1" w:themeFillShade="D9"/>
            <w:vAlign w:val="center"/>
          </w:tcPr>
          <w:p w14:paraId="1641B4DF" w14:textId="77777777" w:rsidR="00852829" w:rsidRPr="007920B4" w:rsidRDefault="00852829" w:rsidP="007920B4">
            <w:pPr>
              <w:spacing w:line="240" w:lineRule="auto"/>
              <w:jc w:val="center"/>
              <w:rPr>
                <w:rFonts w:ascii="Arial" w:hAnsi="Arial" w:cs="Arial"/>
                <w:b/>
                <w:sz w:val="20"/>
                <w:szCs w:val="20"/>
              </w:rPr>
            </w:pPr>
            <w:r w:rsidRPr="007920B4">
              <w:rPr>
                <w:rFonts w:ascii="Arial" w:hAnsi="Arial" w:cs="Arial"/>
                <w:b/>
                <w:sz w:val="20"/>
                <w:szCs w:val="20"/>
              </w:rPr>
              <w:t>Método de ensayo</w:t>
            </w:r>
          </w:p>
        </w:tc>
      </w:tr>
      <w:tr w:rsidR="00852829" w:rsidRPr="007920B4" w14:paraId="42112BCB" w14:textId="77777777" w:rsidTr="00D921B6">
        <w:trPr>
          <w:trHeight w:val="364"/>
        </w:trPr>
        <w:tc>
          <w:tcPr>
            <w:tcW w:w="3411" w:type="dxa"/>
            <w:vAlign w:val="center"/>
          </w:tcPr>
          <w:p w14:paraId="1AEB85CB" w14:textId="77777777" w:rsidR="00852829" w:rsidRPr="00D921B6" w:rsidRDefault="00852829" w:rsidP="00D921B6">
            <w:pPr>
              <w:spacing w:line="240" w:lineRule="auto"/>
              <w:jc w:val="left"/>
              <w:rPr>
                <w:rFonts w:ascii="Arial" w:hAnsi="Arial" w:cs="Arial"/>
                <w:sz w:val="20"/>
                <w:szCs w:val="20"/>
              </w:rPr>
            </w:pPr>
            <w:r w:rsidRPr="00D921B6">
              <w:rPr>
                <w:rFonts w:ascii="Arial" w:hAnsi="Arial" w:cs="Arial"/>
                <w:sz w:val="20"/>
                <w:szCs w:val="20"/>
              </w:rPr>
              <w:t>Granulometría</w:t>
            </w:r>
          </w:p>
        </w:tc>
        <w:tc>
          <w:tcPr>
            <w:tcW w:w="1194" w:type="dxa"/>
            <w:vAlign w:val="center"/>
          </w:tcPr>
          <w:p w14:paraId="58786CEC"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mm</w:t>
            </w:r>
          </w:p>
        </w:tc>
        <w:tc>
          <w:tcPr>
            <w:tcW w:w="2449" w:type="dxa"/>
            <w:vAlign w:val="center"/>
          </w:tcPr>
          <w:p w14:paraId="1EF79212"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Máximo 1,5</w:t>
            </w:r>
          </w:p>
        </w:tc>
        <w:tc>
          <w:tcPr>
            <w:tcW w:w="1971" w:type="dxa"/>
            <w:vAlign w:val="center"/>
          </w:tcPr>
          <w:p w14:paraId="1AAB8B71"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EN 12192-1</w:t>
            </w:r>
          </w:p>
        </w:tc>
      </w:tr>
      <w:tr w:rsidR="00852829" w:rsidRPr="007920B4" w14:paraId="6B52F12A" w14:textId="77777777" w:rsidTr="00D921B6">
        <w:trPr>
          <w:trHeight w:val="364"/>
        </w:trPr>
        <w:tc>
          <w:tcPr>
            <w:tcW w:w="3411" w:type="dxa"/>
            <w:vAlign w:val="center"/>
          </w:tcPr>
          <w:p w14:paraId="27C9D800" w14:textId="77777777" w:rsidR="00852829" w:rsidRPr="00D921B6" w:rsidRDefault="00852829" w:rsidP="00D921B6">
            <w:pPr>
              <w:spacing w:line="240" w:lineRule="auto"/>
              <w:jc w:val="left"/>
              <w:rPr>
                <w:rFonts w:ascii="Arial" w:hAnsi="Arial" w:cs="Arial"/>
                <w:sz w:val="20"/>
                <w:szCs w:val="20"/>
              </w:rPr>
            </w:pPr>
            <w:r w:rsidRPr="00D921B6">
              <w:rPr>
                <w:rFonts w:ascii="Arial" w:hAnsi="Arial" w:cs="Arial"/>
                <w:sz w:val="20"/>
                <w:szCs w:val="20"/>
              </w:rPr>
              <w:t>Espesores aplicables</w:t>
            </w:r>
          </w:p>
        </w:tc>
        <w:tc>
          <w:tcPr>
            <w:tcW w:w="1194" w:type="dxa"/>
            <w:vAlign w:val="center"/>
          </w:tcPr>
          <w:p w14:paraId="057035E5"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mm</w:t>
            </w:r>
          </w:p>
        </w:tc>
        <w:tc>
          <w:tcPr>
            <w:tcW w:w="2449" w:type="dxa"/>
            <w:vAlign w:val="center"/>
          </w:tcPr>
          <w:p w14:paraId="3CD04704"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5-50</w:t>
            </w:r>
          </w:p>
        </w:tc>
        <w:tc>
          <w:tcPr>
            <w:tcW w:w="1971" w:type="dxa"/>
            <w:vAlign w:val="center"/>
          </w:tcPr>
          <w:p w14:paraId="1D414078"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w:t>
            </w:r>
          </w:p>
        </w:tc>
      </w:tr>
      <w:tr w:rsidR="00852829" w:rsidRPr="007920B4" w14:paraId="22B87288" w14:textId="77777777" w:rsidTr="00D921B6">
        <w:trPr>
          <w:trHeight w:val="364"/>
        </w:trPr>
        <w:tc>
          <w:tcPr>
            <w:tcW w:w="3411" w:type="dxa"/>
            <w:vAlign w:val="center"/>
          </w:tcPr>
          <w:p w14:paraId="67FAD396" w14:textId="77777777" w:rsidR="00852829" w:rsidRPr="00D921B6" w:rsidRDefault="00852829" w:rsidP="00D921B6">
            <w:pPr>
              <w:spacing w:line="240" w:lineRule="auto"/>
              <w:jc w:val="left"/>
              <w:rPr>
                <w:rFonts w:ascii="Arial" w:hAnsi="Arial" w:cs="Arial"/>
                <w:sz w:val="20"/>
                <w:szCs w:val="20"/>
              </w:rPr>
            </w:pPr>
            <w:r w:rsidRPr="00D921B6">
              <w:rPr>
                <w:rFonts w:ascii="Arial" w:hAnsi="Arial" w:cs="Arial"/>
                <w:sz w:val="20"/>
                <w:szCs w:val="20"/>
              </w:rPr>
              <w:t>Agua de amasado</w:t>
            </w:r>
          </w:p>
        </w:tc>
        <w:tc>
          <w:tcPr>
            <w:tcW w:w="1194" w:type="dxa"/>
            <w:vAlign w:val="center"/>
          </w:tcPr>
          <w:p w14:paraId="1C942119"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l/saco de 25 kg</w:t>
            </w:r>
          </w:p>
        </w:tc>
        <w:tc>
          <w:tcPr>
            <w:tcW w:w="2449" w:type="dxa"/>
            <w:vAlign w:val="center"/>
          </w:tcPr>
          <w:p w14:paraId="79C67C5E" w14:textId="77777777" w:rsidR="00852829" w:rsidRPr="007920B4" w:rsidRDefault="00852829" w:rsidP="007920B4">
            <w:pPr>
              <w:spacing w:line="240" w:lineRule="auto"/>
              <w:jc w:val="center"/>
              <w:rPr>
                <w:rFonts w:ascii="Arial" w:hAnsi="Arial" w:cs="Arial"/>
                <w:sz w:val="20"/>
                <w:szCs w:val="20"/>
              </w:rPr>
            </w:pPr>
            <w:proofErr w:type="spellStart"/>
            <w:r w:rsidRPr="007920B4">
              <w:rPr>
                <w:rFonts w:ascii="Arial" w:hAnsi="Arial" w:cs="Arial"/>
                <w:sz w:val="20"/>
                <w:szCs w:val="20"/>
              </w:rPr>
              <w:t>Aprox</w:t>
            </w:r>
            <w:proofErr w:type="spellEnd"/>
            <w:r w:rsidRPr="007920B4">
              <w:rPr>
                <w:rFonts w:ascii="Arial" w:hAnsi="Arial" w:cs="Arial"/>
                <w:sz w:val="20"/>
                <w:szCs w:val="20"/>
              </w:rPr>
              <w:t xml:space="preserve"> 3,8 – 4,2</w:t>
            </w:r>
          </w:p>
        </w:tc>
        <w:tc>
          <w:tcPr>
            <w:tcW w:w="1971" w:type="dxa"/>
            <w:vAlign w:val="center"/>
          </w:tcPr>
          <w:p w14:paraId="4E9E1C81"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w:t>
            </w:r>
          </w:p>
        </w:tc>
      </w:tr>
      <w:tr w:rsidR="00852829" w:rsidRPr="007920B4" w14:paraId="2E0339E5" w14:textId="77777777" w:rsidTr="00D921B6">
        <w:trPr>
          <w:trHeight w:val="364"/>
        </w:trPr>
        <w:tc>
          <w:tcPr>
            <w:tcW w:w="3411" w:type="dxa"/>
            <w:vAlign w:val="center"/>
          </w:tcPr>
          <w:p w14:paraId="190E93F1" w14:textId="77777777" w:rsidR="00852829" w:rsidRPr="00D921B6" w:rsidRDefault="00852829" w:rsidP="00D921B6">
            <w:pPr>
              <w:spacing w:line="240" w:lineRule="auto"/>
              <w:jc w:val="left"/>
              <w:rPr>
                <w:rFonts w:ascii="Arial" w:hAnsi="Arial" w:cs="Arial"/>
                <w:sz w:val="20"/>
                <w:szCs w:val="20"/>
              </w:rPr>
            </w:pPr>
            <w:r w:rsidRPr="00D921B6">
              <w:rPr>
                <w:rFonts w:ascii="Arial" w:hAnsi="Arial" w:cs="Arial"/>
                <w:sz w:val="20"/>
                <w:szCs w:val="20"/>
              </w:rPr>
              <w:t>Tiempo de trabajabilidad</w:t>
            </w:r>
          </w:p>
        </w:tc>
        <w:tc>
          <w:tcPr>
            <w:tcW w:w="1194" w:type="dxa"/>
            <w:vAlign w:val="center"/>
          </w:tcPr>
          <w:p w14:paraId="5F4E316E"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Minutos</w:t>
            </w:r>
          </w:p>
        </w:tc>
        <w:tc>
          <w:tcPr>
            <w:tcW w:w="2449" w:type="dxa"/>
            <w:vAlign w:val="center"/>
          </w:tcPr>
          <w:p w14:paraId="55CB4198"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45 - 60</w:t>
            </w:r>
          </w:p>
        </w:tc>
        <w:tc>
          <w:tcPr>
            <w:tcW w:w="1971" w:type="dxa"/>
            <w:vAlign w:val="center"/>
          </w:tcPr>
          <w:p w14:paraId="71A04EFD"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EN 13294</w:t>
            </w:r>
          </w:p>
        </w:tc>
      </w:tr>
      <w:tr w:rsidR="00852829" w:rsidRPr="007920B4" w14:paraId="5102019F" w14:textId="77777777" w:rsidTr="00D921B6">
        <w:trPr>
          <w:trHeight w:val="364"/>
        </w:trPr>
        <w:tc>
          <w:tcPr>
            <w:tcW w:w="3411" w:type="dxa"/>
            <w:vAlign w:val="center"/>
          </w:tcPr>
          <w:p w14:paraId="4CD0D4F1" w14:textId="77777777" w:rsidR="00852829" w:rsidRPr="00D921B6" w:rsidRDefault="00852829" w:rsidP="00D921B6">
            <w:pPr>
              <w:spacing w:line="240" w:lineRule="auto"/>
              <w:jc w:val="left"/>
              <w:rPr>
                <w:rFonts w:ascii="Arial" w:hAnsi="Arial" w:cs="Arial"/>
                <w:sz w:val="20"/>
                <w:szCs w:val="20"/>
              </w:rPr>
            </w:pPr>
            <w:r w:rsidRPr="00D921B6">
              <w:rPr>
                <w:rFonts w:ascii="Arial" w:hAnsi="Arial" w:cs="Arial"/>
                <w:sz w:val="20"/>
                <w:szCs w:val="20"/>
              </w:rPr>
              <w:t>Resistencia compresión a 1 día.</w:t>
            </w:r>
          </w:p>
        </w:tc>
        <w:tc>
          <w:tcPr>
            <w:tcW w:w="1194" w:type="dxa"/>
            <w:vAlign w:val="center"/>
          </w:tcPr>
          <w:p w14:paraId="0285F7B9"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N/mm</w:t>
            </w:r>
            <w:r w:rsidRPr="007920B4">
              <w:rPr>
                <w:rFonts w:ascii="Arial" w:hAnsi="Arial" w:cs="Arial"/>
                <w:sz w:val="20"/>
                <w:szCs w:val="20"/>
                <w:vertAlign w:val="superscript"/>
              </w:rPr>
              <w:t>2</w:t>
            </w:r>
          </w:p>
        </w:tc>
        <w:tc>
          <w:tcPr>
            <w:tcW w:w="2449" w:type="dxa"/>
            <w:vAlign w:val="center"/>
          </w:tcPr>
          <w:p w14:paraId="687D2356"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 18</w:t>
            </w:r>
          </w:p>
        </w:tc>
        <w:tc>
          <w:tcPr>
            <w:tcW w:w="1971" w:type="dxa"/>
            <w:vAlign w:val="center"/>
          </w:tcPr>
          <w:p w14:paraId="23C17DC0"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EN 12190</w:t>
            </w:r>
          </w:p>
        </w:tc>
      </w:tr>
      <w:tr w:rsidR="00852829" w:rsidRPr="007920B4" w14:paraId="3B087EA6" w14:textId="77777777" w:rsidTr="00D921B6">
        <w:trPr>
          <w:trHeight w:val="626"/>
        </w:trPr>
        <w:tc>
          <w:tcPr>
            <w:tcW w:w="3411" w:type="dxa"/>
            <w:vAlign w:val="center"/>
          </w:tcPr>
          <w:p w14:paraId="5505068E" w14:textId="77777777" w:rsidR="00852829" w:rsidRPr="00D921B6" w:rsidRDefault="00852829" w:rsidP="00D921B6">
            <w:pPr>
              <w:spacing w:line="240" w:lineRule="auto"/>
              <w:jc w:val="left"/>
              <w:rPr>
                <w:rFonts w:ascii="Arial" w:hAnsi="Arial" w:cs="Arial"/>
                <w:sz w:val="20"/>
                <w:szCs w:val="20"/>
              </w:rPr>
            </w:pPr>
            <w:r w:rsidRPr="00D921B6">
              <w:rPr>
                <w:rFonts w:ascii="Arial" w:hAnsi="Arial" w:cs="Arial"/>
                <w:sz w:val="20"/>
                <w:szCs w:val="20"/>
              </w:rPr>
              <w:t>Resistencia compresión a 7 día.</w:t>
            </w:r>
          </w:p>
        </w:tc>
        <w:tc>
          <w:tcPr>
            <w:tcW w:w="1194" w:type="dxa"/>
            <w:vAlign w:val="center"/>
          </w:tcPr>
          <w:p w14:paraId="3CD94E9A"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N/mm</w:t>
            </w:r>
            <w:r w:rsidRPr="007920B4">
              <w:rPr>
                <w:rFonts w:ascii="Arial" w:hAnsi="Arial" w:cs="Arial"/>
                <w:sz w:val="20"/>
                <w:szCs w:val="20"/>
                <w:vertAlign w:val="superscript"/>
              </w:rPr>
              <w:t>2</w:t>
            </w:r>
          </w:p>
        </w:tc>
        <w:tc>
          <w:tcPr>
            <w:tcW w:w="2449" w:type="dxa"/>
            <w:vAlign w:val="center"/>
          </w:tcPr>
          <w:p w14:paraId="77A93BB0"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 40</w:t>
            </w:r>
          </w:p>
        </w:tc>
        <w:tc>
          <w:tcPr>
            <w:tcW w:w="1971" w:type="dxa"/>
            <w:vAlign w:val="center"/>
          </w:tcPr>
          <w:p w14:paraId="3263D5A9"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EN 12190</w:t>
            </w:r>
          </w:p>
        </w:tc>
      </w:tr>
      <w:tr w:rsidR="00852829" w:rsidRPr="007920B4" w14:paraId="626D5603" w14:textId="77777777" w:rsidTr="00D921B6">
        <w:trPr>
          <w:trHeight w:val="364"/>
        </w:trPr>
        <w:tc>
          <w:tcPr>
            <w:tcW w:w="3411" w:type="dxa"/>
            <w:vAlign w:val="center"/>
          </w:tcPr>
          <w:p w14:paraId="4FEF805E" w14:textId="77777777" w:rsidR="00852829" w:rsidRPr="00D921B6" w:rsidRDefault="00852829" w:rsidP="00D921B6">
            <w:pPr>
              <w:spacing w:line="240" w:lineRule="auto"/>
              <w:jc w:val="left"/>
              <w:rPr>
                <w:rFonts w:ascii="Arial" w:hAnsi="Arial" w:cs="Arial"/>
                <w:sz w:val="20"/>
                <w:szCs w:val="20"/>
              </w:rPr>
            </w:pPr>
            <w:r w:rsidRPr="00D921B6">
              <w:rPr>
                <w:rFonts w:ascii="Arial" w:hAnsi="Arial" w:cs="Arial"/>
                <w:sz w:val="20"/>
                <w:szCs w:val="20"/>
              </w:rPr>
              <w:t>Resistencia compresión 28 días.</w:t>
            </w:r>
          </w:p>
        </w:tc>
        <w:tc>
          <w:tcPr>
            <w:tcW w:w="1194" w:type="dxa"/>
            <w:vAlign w:val="center"/>
          </w:tcPr>
          <w:p w14:paraId="321C7CBA"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N/mm</w:t>
            </w:r>
            <w:r w:rsidRPr="007920B4">
              <w:rPr>
                <w:rFonts w:ascii="Arial" w:hAnsi="Arial" w:cs="Arial"/>
                <w:sz w:val="20"/>
                <w:szCs w:val="20"/>
                <w:vertAlign w:val="superscript"/>
              </w:rPr>
              <w:t>2</w:t>
            </w:r>
          </w:p>
        </w:tc>
        <w:tc>
          <w:tcPr>
            <w:tcW w:w="2449" w:type="dxa"/>
            <w:vAlign w:val="center"/>
          </w:tcPr>
          <w:p w14:paraId="09E9B89A"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 60</w:t>
            </w:r>
          </w:p>
        </w:tc>
        <w:tc>
          <w:tcPr>
            <w:tcW w:w="1971" w:type="dxa"/>
            <w:vAlign w:val="center"/>
          </w:tcPr>
          <w:p w14:paraId="665B94EE"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EN 12190</w:t>
            </w:r>
          </w:p>
        </w:tc>
      </w:tr>
      <w:tr w:rsidR="00852829" w:rsidRPr="007920B4" w14:paraId="3010442B" w14:textId="77777777" w:rsidTr="00D921B6">
        <w:trPr>
          <w:trHeight w:val="364"/>
        </w:trPr>
        <w:tc>
          <w:tcPr>
            <w:tcW w:w="3411" w:type="dxa"/>
            <w:vAlign w:val="center"/>
          </w:tcPr>
          <w:p w14:paraId="17898BFB" w14:textId="77777777" w:rsidR="00852829" w:rsidRPr="00D921B6" w:rsidRDefault="00852829" w:rsidP="00D921B6">
            <w:pPr>
              <w:spacing w:line="240" w:lineRule="auto"/>
              <w:jc w:val="left"/>
              <w:rPr>
                <w:rFonts w:ascii="Arial" w:hAnsi="Arial" w:cs="Arial"/>
                <w:sz w:val="20"/>
                <w:szCs w:val="20"/>
              </w:rPr>
            </w:pPr>
            <w:r w:rsidRPr="00D921B6">
              <w:rPr>
                <w:rFonts w:ascii="Arial" w:hAnsi="Arial" w:cs="Arial"/>
                <w:sz w:val="20"/>
                <w:szCs w:val="20"/>
              </w:rPr>
              <w:t>Módulo E</w:t>
            </w:r>
          </w:p>
        </w:tc>
        <w:tc>
          <w:tcPr>
            <w:tcW w:w="1194" w:type="dxa"/>
            <w:vAlign w:val="center"/>
          </w:tcPr>
          <w:p w14:paraId="12CBDC53"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MPa</w:t>
            </w:r>
          </w:p>
        </w:tc>
        <w:tc>
          <w:tcPr>
            <w:tcW w:w="2449" w:type="dxa"/>
            <w:vAlign w:val="center"/>
          </w:tcPr>
          <w:p w14:paraId="31D02236"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 20.000</w:t>
            </w:r>
          </w:p>
        </w:tc>
        <w:tc>
          <w:tcPr>
            <w:tcW w:w="1971" w:type="dxa"/>
            <w:vAlign w:val="center"/>
          </w:tcPr>
          <w:p w14:paraId="18BD4517"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EN 13412</w:t>
            </w:r>
          </w:p>
        </w:tc>
      </w:tr>
      <w:tr w:rsidR="00852829" w:rsidRPr="007920B4" w14:paraId="63CA136E" w14:textId="77777777" w:rsidTr="00D921B6">
        <w:trPr>
          <w:trHeight w:val="384"/>
        </w:trPr>
        <w:tc>
          <w:tcPr>
            <w:tcW w:w="3411" w:type="dxa"/>
            <w:vAlign w:val="center"/>
          </w:tcPr>
          <w:p w14:paraId="7B140407" w14:textId="77777777" w:rsidR="00852829" w:rsidRPr="00D921B6" w:rsidRDefault="00852829" w:rsidP="00D921B6">
            <w:pPr>
              <w:spacing w:line="240" w:lineRule="auto"/>
              <w:jc w:val="left"/>
              <w:rPr>
                <w:rFonts w:ascii="Arial" w:hAnsi="Arial" w:cs="Arial"/>
                <w:sz w:val="20"/>
                <w:szCs w:val="20"/>
              </w:rPr>
            </w:pPr>
            <w:r w:rsidRPr="00D921B6">
              <w:rPr>
                <w:rFonts w:ascii="Arial" w:hAnsi="Arial" w:cs="Arial"/>
                <w:sz w:val="20"/>
                <w:szCs w:val="20"/>
              </w:rPr>
              <w:t>Adherencia (28 días)</w:t>
            </w:r>
          </w:p>
        </w:tc>
        <w:tc>
          <w:tcPr>
            <w:tcW w:w="1194" w:type="dxa"/>
            <w:vAlign w:val="center"/>
          </w:tcPr>
          <w:p w14:paraId="49EB7BA6"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MPa</w:t>
            </w:r>
          </w:p>
        </w:tc>
        <w:tc>
          <w:tcPr>
            <w:tcW w:w="2449" w:type="dxa"/>
            <w:vAlign w:val="center"/>
          </w:tcPr>
          <w:p w14:paraId="69F379ED"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 2</w:t>
            </w:r>
          </w:p>
        </w:tc>
        <w:tc>
          <w:tcPr>
            <w:tcW w:w="1971" w:type="dxa"/>
            <w:vAlign w:val="center"/>
          </w:tcPr>
          <w:p w14:paraId="3C996525"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EN 1542</w:t>
            </w:r>
          </w:p>
        </w:tc>
      </w:tr>
      <w:tr w:rsidR="00852829" w:rsidRPr="007920B4" w14:paraId="55918737" w14:textId="77777777" w:rsidTr="00D921B6">
        <w:trPr>
          <w:trHeight w:val="364"/>
        </w:trPr>
        <w:tc>
          <w:tcPr>
            <w:tcW w:w="3411" w:type="dxa"/>
            <w:vAlign w:val="center"/>
          </w:tcPr>
          <w:p w14:paraId="5A585EBE" w14:textId="77777777" w:rsidR="00852829" w:rsidRPr="00D921B6" w:rsidRDefault="00852829" w:rsidP="00D921B6">
            <w:pPr>
              <w:spacing w:line="240" w:lineRule="auto"/>
              <w:jc w:val="left"/>
              <w:rPr>
                <w:rFonts w:ascii="Arial" w:hAnsi="Arial" w:cs="Arial"/>
                <w:sz w:val="20"/>
                <w:szCs w:val="20"/>
              </w:rPr>
            </w:pPr>
            <w:r w:rsidRPr="00D921B6">
              <w:rPr>
                <w:rFonts w:ascii="Arial" w:hAnsi="Arial" w:cs="Arial"/>
                <w:sz w:val="20"/>
                <w:szCs w:val="20"/>
              </w:rPr>
              <w:t>Adherencia ciclos hielo-deshielo</w:t>
            </w:r>
          </w:p>
        </w:tc>
        <w:tc>
          <w:tcPr>
            <w:tcW w:w="1194" w:type="dxa"/>
            <w:vAlign w:val="center"/>
          </w:tcPr>
          <w:p w14:paraId="0B377B90"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MPa</w:t>
            </w:r>
          </w:p>
        </w:tc>
        <w:tc>
          <w:tcPr>
            <w:tcW w:w="2449" w:type="dxa"/>
            <w:vAlign w:val="center"/>
          </w:tcPr>
          <w:p w14:paraId="6A8C034D"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 2</w:t>
            </w:r>
          </w:p>
        </w:tc>
        <w:tc>
          <w:tcPr>
            <w:tcW w:w="1971" w:type="dxa"/>
            <w:vAlign w:val="center"/>
          </w:tcPr>
          <w:p w14:paraId="18677F76"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EN 13687-1</w:t>
            </w:r>
          </w:p>
        </w:tc>
      </w:tr>
      <w:tr w:rsidR="00852829" w:rsidRPr="007920B4" w14:paraId="7ED07000" w14:textId="77777777" w:rsidTr="00D921B6">
        <w:trPr>
          <w:trHeight w:val="364"/>
        </w:trPr>
        <w:tc>
          <w:tcPr>
            <w:tcW w:w="3411" w:type="dxa"/>
            <w:vAlign w:val="center"/>
          </w:tcPr>
          <w:p w14:paraId="4AFD2F68" w14:textId="77777777" w:rsidR="00852829" w:rsidRPr="00D921B6" w:rsidRDefault="00852829" w:rsidP="00D921B6">
            <w:pPr>
              <w:spacing w:line="240" w:lineRule="auto"/>
              <w:jc w:val="left"/>
              <w:rPr>
                <w:rFonts w:ascii="Arial" w:hAnsi="Arial" w:cs="Arial"/>
                <w:sz w:val="20"/>
                <w:szCs w:val="20"/>
              </w:rPr>
            </w:pPr>
            <w:r w:rsidRPr="00D921B6">
              <w:rPr>
                <w:rFonts w:ascii="Arial" w:hAnsi="Arial" w:cs="Arial"/>
                <w:sz w:val="20"/>
                <w:szCs w:val="20"/>
              </w:rPr>
              <w:t>Resistencia carbonatación</w:t>
            </w:r>
          </w:p>
        </w:tc>
        <w:tc>
          <w:tcPr>
            <w:tcW w:w="1194" w:type="dxa"/>
            <w:vAlign w:val="center"/>
          </w:tcPr>
          <w:p w14:paraId="6E108E3B"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mm</w:t>
            </w:r>
          </w:p>
        </w:tc>
        <w:tc>
          <w:tcPr>
            <w:tcW w:w="2449" w:type="dxa"/>
            <w:vAlign w:val="center"/>
          </w:tcPr>
          <w:p w14:paraId="0C2D6B64"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D ≤ hormigón de referencia</w:t>
            </w:r>
          </w:p>
        </w:tc>
        <w:tc>
          <w:tcPr>
            <w:tcW w:w="1971" w:type="dxa"/>
            <w:vAlign w:val="center"/>
          </w:tcPr>
          <w:p w14:paraId="457D9BD7"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EN 13295</w:t>
            </w:r>
          </w:p>
        </w:tc>
      </w:tr>
      <w:tr w:rsidR="00852829" w:rsidRPr="007920B4" w14:paraId="7D8A4583" w14:textId="77777777" w:rsidTr="00D921B6">
        <w:trPr>
          <w:trHeight w:val="384"/>
        </w:trPr>
        <w:tc>
          <w:tcPr>
            <w:tcW w:w="3411" w:type="dxa"/>
            <w:vAlign w:val="center"/>
          </w:tcPr>
          <w:p w14:paraId="1D65BB98" w14:textId="77777777" w:rsidR="00852829" w:rsidRPr="00D921B6" w:rsidRDefault="00852829" w:rsidP="00D921B6">
            <w:pPr>
              <w:spacing w:line="240" w:lineRule="auto"/>
              <w:jc w:val="left"/>
              <w:rPr>
                <w:rFonts w:ascii="Arial" w:hAnsi="Arial" w:cs="Arial"/>
                <w:sz w:val="20"/>
                <w:szCs w:val="20"/>
              </w:rPr>
            </w:pPr>
            <w:r w:rsidRPr="00D921B6">
              <w:rPr>
                <w:rFonts w:ascii="Arial" w:hAnsi="Arial" w:cs="Arial"/>
                <w:sz w:val="20"/>
                <w:szCs w:val="20"/>
              </w:rPr>
              <w:t>Absorción capilar</w:t>
            </w:r>
          </w:p>
        </w:tc>
        <w:tc>
          <w:tcPr>
            <w:tcW w:w="1194" w:type="dxa"/>
            <w:vAlign w:val="center"/>
          </w:tcPr>
          <w:p w14:paraId="62DA78FA"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Kg/m</w:t>
            </w:r>
            <w:r w:rsidRPr="007920B4">
              <w:rPr>
                <w:rFonts w:ascii="Arial" w:hAnsi="Arial" w:cs="Arial"/>
                <w:sz w:val="20"/>
                <w:szCs w:val="20"/>
                <w:vertAlign w:val="superscript"/>
              </w:rPr>
              <w:t>2</w:t>
            </w:r>
            <w:r w:rsidRPr="007920B4">
              <w:rPr>
                <w:rFonts w:ascii="Arial" w:hAnsi="Arial" w:cs="Arial"/>
                <w:sz w:val="20"/>
                <w:szCs w:val="20"/>
              </w:rPr>
              <w:t>h</w:t>
            </w:r>
            <w:r w:rsidRPr="007920B4">
              <w:rPr>
                <w:rFonts w:ascii="Arial" w:hAnsi="Arial" w:cs="Arial"/>
                <w:sz w:val="20"/>
                <w:szCs w:val="20"/>
                <w:vertAlign w:val="superscript"/>
              </w:rPr>
              <w:t>-0.5</w:t>
            </w:r>
          </w:p>
        </w:tc>
        <w:tc>
          <w:tcPr>
            <w:tcW w:w="2449" w:type="dxa"/>
            <w:vAlign w:val="center"/>
          </w:tcPr>
          <w:p w14:paraId="726008F3"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 0,5</w:t>
            </w:r>
          </w:p>
        </w:tc>
        <w:tc>
          <w:tcPr>
            <w:tcW w:w="1971" w:type="dxa"/>
            <w:vAlign w:val="center"/>
          </w:tcPr>
          <w:p w14:paraId="69445553"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EN 13057</w:t>
            </w:r>
          </w:p>
        </w:tc>
      </w:tr>
      <w:tr w:rsidR="00852829" w:rsidRPr="007920B4" w14:paraId="61EA8EC6" w14:textId="77777777" w:rsidTr="00D921B6">
        <w:trPr>
          <w:trHeight w:val="384"/>
        </w:trPr>
        <w:tc>
          <w:tcPr>
            <w:tcW w:w="3411" w:type="dxa"/>
            <w:vAlign w:val="center"/>
          </w:tcPr>
          <w:p w14:paraId="3C99B62A" w14:textId="77777777" w:rsidR="00852829" w:rsidRPr="00D921B6" w:rsidRDefault="00852829" w:rsidP="00D921B6">
            <w:pPr>
              <w:spacing w:line="240" w:lineRule="auto"/>
              <w:jc w:val="left"/>
              <w:rPr>
                <w:rFonts w:ascii="Arial" w:hAnsi="Arial" w:cs="Arial"/>
                <w:sz w:val="20"/>
                <w:szCs w:val="20"/>
              </w:rPr>
            </w:pPr>
            <w:r w:rsidRPr="00D921B6">
              <w:rPr>
                <w:rFonts w:ascii="Arial" w:hAnsi="Arial" w:cs="Arial"/>
                <w:sz w:val="20"/>
                <w:szCs w:val="20"/>
              </w:rPr>
              <w:t>Contenido en cloruros</w:t>
            </w:r>
          </w:p>
        </w:tc>
        <w:tc>
          <w:tcPr>
            <w:tcW w:w="1194" w:type="dxa"/>
            <w:vAlign w:val="center"/>
          </w:tcPr>
          <w:p w14:paraId="6FEE4198"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w:t>
            </w:r>
          </w:p>
        </w:tc>
        <w:tc>
          <w:tcPr>
            <w:tcW w:w="2449" w:type="dxa"/>
            <w:vAlign w:val="center"/>
          </w:tcPr>
          <w:p w14:paraId="22576A58"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 0,05</w:t>
            </w:r>
          </w:p>
        </w:tc>
        <w:tc>
          <w:tcPr>
            <w:tcW w:w="1971" w:type="dxa"/>
            <w:vAlign w:val="center"/>
          </w:tcPr>
          <w:p w14:paraId="0E976AD8"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EN- 1015-17</w:t>
            </w:r>
          </w:p>
        </w:tc>
      </w:tr>
      <w:tr w:rsidR="00852829" w:rsidRPr="007920B4" w14:paraId="45189B80" w14:textId="77777777" w:rsidTr="00D921B6">
        <w:trPr>
          <w:trHeight w:val="384"/>
        </w:trPr>
        <w:tc>
          <w:tcPr>
            <w:tcW w:w="3411" w:type="dxa"/>
            <w:vAlign w:val="center"/>
          </w:tcPr>
          <w:p w14:paraId="7E742582" w14:textId="77777777" w:rsidR="00852829" w:rsidRPr="00D921B6" w:rsidRDefault="00852829" w:rsidP="00D921B6">
            <w:pPr>
              <w:spacing w:line="240" w:lineRule="auto"/>
              <w:jc w:val="left"/>
              <w:rPr>
                <w:rFonts w:ascii="Arial" w:hAnsi="Arial" w:cs="Arial"/>
                <w:sz w:val="20"/>
                <w:szCs w:val="20"/>
              </w:rPr>
            </w:pPr>
            <w:r w:rsidRPr="00D921B6">
              <w:rPr>
                <w:rFonts w:ascii="Arial" w:hAnsi="Arial" w:cs="Arial"/>
                <w:sz w:val="20"/>
                <w:szCs w:val="20"/>
              </w:rPr>
              <w:t>Reacción al fuego</w:t>
            </w:r>
          </w:p>
        </w:tc>
        <w:tc>
          <w:tcPr>
            <w:tcW w:w="1194" w:type="dxa"/>
            <w:vAlign w:val="center"/>
          </w:tcPr>
          <w:p w14:paraId="48CFD56D"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w:t>
            </w:r>
          </w:p>
        </w:tc>
        <w:tc>
          <w:tcPr>
            <w:tcW w:w="2449" w:type="dxa"/>
            <w:vAlign w:val="center"/>
          </w:tcPr>
          <w:p w14:paraId="683B9155"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Clase A1</w:t>
            </w:r>
          </w:p>
        </w:tc>
        <w:tc>
          <w:tcPr>
            <w:tcW w:w="1971" w:type="dxa"/>
            <w:vAlign w:val="center"/>
          </w:tcPr>
          <w:p w14:paraId="504368CF" w14:textId="77777777" w:rsidR="00852829" w:rsidRPr="007920B4" w:rsidRDefault="00852829" w:rsidP="007920B4">
            <w:pPr>
              <w:spacing w:line="240" w:lineRule="auto"/>
              <w:jc w:val="center"/>
              <w:rPr>
                <w:rFonts w:ascii="Arial" w:hAnsi="Arial" w:cs="Arial"/>
                <w:sz w:val="20"/>
                <w:szCs w:val="20"/>
              </w:rPr>
            </w:pPr>
          </w:p>
        </w:tc>
      </w:tr>
      <w:tr w:rsidR="00852829" w:rsidRPr="007920B4" w14:paraId="7521B1AB" w14:textId="77777777" w:rsidTr="00D921B6">
        <w:trPr>
          <w:trHeight w:val="384"/>
        </w:trPr>
        <w:tc>
          <w:tcPr>
            <w:tcW w:w="3411" w:type="dxa"/>
            <w:vAlign w:val="center"/>
          </w:tcPr>
          <w:p w14:paraId="5C125038" w14:textId="77777777" w:rsidR="00852829" w:rsidRPr="00D921B6" w:rsidRDefault="00852829" w:rsidP="00D921B6">
            <w:pPr>
              <w:spacing w:line="240" w:lineRule="auto"/>
              <w:jc w:val="left"/>
              <w:rPr>
                <w:rFonts w:ascii="Arial" w:hAnsi="Arial" w:cs="Arial"/>
                <w:sz w:val="20"/>
                <w:szCs w:val="20"/>
              </w:rPr>
            </w:pPr>
            <w:r w:rsidRPr="00D921B6">
              <w:rPr>
                <w:rFonts w:ascii="Arial" w:hAnsi="Arial" w:cs="Arial"/>
                <w:sz w:val="20"/>
                <w:szCs w:val="20"/>
              </w:rPr>
              <w:t>Sustancias peligrosas</w:t>
            </w:r>
          </w:p>
        </w:tc>
        <w:tc>
          <w:tcPr>
            <w:tcW w:w="1194" w:type="dxa"/>
            <w:vAlign w:val="center"/>
          </w:tcPr>
          <w:p w14:paraId="459C6290"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w:t>
            </w:r>
          </w:p>
        </w:tc>
        <w:tc>
          <w:tcPr>
            <w:tcW w:w="2449" w:type="dxa"/>
            <w:vAlign w:val="center"/>
          </w:tcPr>
          <w:p w14:paraId="1B7E0F92"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Cumplir con 5.4</w:t>
            </w:r>
          </w:p>
        </w:tc>
        <w:tc>
          <w:tcPr>
            <w:tcW w:w="1971" w:type="dxa"/>
            <w:vAlign w:val="center"/>
          </w:tcPr>
          <w:p w14:paraId="4E282509" w14:textId="77777777" w:rsidR="00852829" w:rsidRPr="007920B4" w:rsidRDefault="00852829" w:rsidP="007920B4">
            <w:pPr>
              <w:spacing w:line="240" w:lineRule="auto"/>
              <w:jc w:val="center"/>
              <w:rPr>
                <w:rFonts w:ascii="Arial" w:hAnsi="Arial" w:cs="Arial"/>
                <w:sz w:val="20"/>
                <w:szCs w:val="20"/>
              </w:rPr>
            </w:pPr>
          </w:p>
        </w:tc>
      </w:tr>
    </w:tbl>
    <w:p w14:paraId="28A9E070" w14:textId="77777777" w:rsidR="00852829" w:rsidRDefault="00852829" w:rsidP="00852829">
      <w:pPr>
        <w:pStyle w:val="NORMAL12"/>
      </w:pPr>
      <w:r>
        <w:lastRenderedPageBreak/>
        <w:t xml:space="preserve">En cualquier caso, deberá analizarse con detenimiento la compatibilidad entre el hormigón soporte y el mortero de reparación. Esta cualidad es un criterio de vital importancia ya que el mortero de reparación sustituye a una parte de hormigón dañado y debe realizar su función original. Por ello esta cualidad debe ser analizada con detenimiento. Según las directrices de la norma europea EN 1504-3 para la reparación estructural del </w:t>
      </w:r>
      <w:proofErr w:type="gramStart"/>
      <w:r>
        <w:t>hormigón,  cuatro</w:t>
      </w:r>
      <w:proofErr w:type="gramEnd"/>
      <w:r>
        <w:t xml:space="preserve"> puntos de vista: </w:t>
      </w:r>
    </w:p>
    <w:p w14:paraId="1813F125" w14:textId="77777777" w:rsidR="00852829" w:rsidRDefault="00852829" w:rsidP="007920B4">
      <w:pPr>
        <w:pStyle w:val="NORMAL12"/>
        <w:numPr>
          <w:ilvl w:val="0"/>
          <w:numId w:val="61"/>
        </w:numPr>
      </w:pPr>
      <w:r>
        <w:t xml:space="preserve">Compatibilidad química. </w:t>
      </w:r>
    </w:p>
    <w:p w14:paraId="5016E4B8" w14:textId="77777777" w:rsidR="00852829" w:rsidRDefault="00852829" w:rsidP="007920B4">
      <w:pPr>
        <w:pStyle w:val="NORMAL12"/>
        <w:numPr>
          <w:ilvl w:val="0"/>
          <w:numId w:val="61"/>
        </w:numPr>
      </w:pPr>
      <w:r>
        <w:t xml:space="preserve">Compatibilidad electroquímica. </w:t>
      </w:r>
    </w:p>
    <w:p w14:paraId="19513D3D" w14:textId="77777777" w:rsidR="00852829" w:rsidRDefault="00852829" w:rsidP="007920B4">
      <w:pPr>
        <w:pStyle w:val="NORMAL12"/>
        <w:numPr>
          <w:ilvl w:val="0"/>
          <w:numId w:val="61"/>
        </w:numPr>
      </w:pPr>
      <w:r>
        <w:t xml:space="preserve">Compatibilidad dimensional. </w:t>
      </w:r>
    </w:p>
    <w:p w14:paraId="5CA71132" w14:textId="77777777" w:rsidR="00852829" w:rsidRDefault="00852829" w:rsidP="007920B4">
      <w:pPr>
        <w:pStyle w:val="NORMAL12"/>
        <w:numPr>
          <w:ilvl w:val="0"/>
          <w:numId w:val="61"/>
        </w:numPr>
      </w:pPr>
      <w:r>
        <w:t>Compatibilidad constructiva.</w:t>
      </w:r>
    </w:p>
    <w:p w14:paraId="104B824F" w14:textId="77777777" w:rsidR="00852829" w:rsidRPr="006937C2" w:rsidRDefault="00852829" w:rsidP="000313DD">
      <w:pPr>
        <w:pStyle w:val="TITU2"/>
      </w:pPr>
      <w:bookmarkStart w:id="1015" w:name="_Toc404537"/>
      <w:r>
        <w:t>698</w:t>
      </w:r>
      <w:r w:rsidRPr="006937C2">
        <w:t>.</w:t>
      </w:r>
      <w:r>
        <w:t>4</w:t>
      </w:r>
      <w:r w:rsidRPr="006937C2">
        <w:t>.</w:t>
      </w:r>
      <w:r>
        <w:t xml:space="preserve"> </w:t>
      </w:r>
      <w:r w:rsidRPr="006937C2">
        <w:tab/>
        <w:t xml:space="preserve">Ejecución </w:t>
      </w:r>
      <w:r>
        <w:t>de las obras</w:t>
      </w:r>
      <w:bookmarkEnd w:id="1015"/>
    </w:p>
    <w:p w14:paraId="3BD2CDB1" w14:textId="77777777" w:rsidR="00852829" w:rsidRDefault="00852829" w:rsidP="00852829">
      <w:pPr>
        <w:pStyle w:val="NORMAL12"/>
      </w:pPr>
      <w:r>
        <w:t xml:space="preserve">La aplicación del mortero se realizará con paleta, paletín o llana respetando los espesores indicados en la ficha técnica correspondiente. El acabado superficial se conseguirá con fratás de madera, poliestireno expandido, con llana o esponja en el momento en que haya endurecido suficientemente. </w:t>
      </w:r>
    </w:p>
    <w:p w14:paraId="2129D399" w14:textId="77777777" w:rsidR="00852829" w:rsidRDefault="00852829" w:rsidP="00852829">
      <w:pPr>
        <w:pStyle w:val="NORMAL12"/>
      </w:pPr>
      <w:r>
        <w:t xml:space="preserve">Se </w:t>
      </w:r>
      <w:proofErr w:type="gramStart"/>
      <w:r>
        <w:t>respetaran</w:t>
      </w:r>
      <w:proofErr w:type="gramEnd"/>
      <w:r>
        <w:t xml:space="preserve"> las temperaturas de aplicación indicadas en las fichas técnicas de cada uno de los productos a emplear. </w:t>
      </w:r>
      <w:proofErr w:type="gramStart"/>
      <w:r>
        <w:t>Asimismo</w:t>
      </w:r>
      <w:proofErr w:type="gramEnd"/>
      <w:r>
        <w:t xml:space="preserve"> se respetarán también los márgenes de humedad relativa del aire si los hubiese. En general se suspenderá la aplicación cuando la temperatura del soporte sea inferior a 5ºC o superior a 40ºC. </w:t>
      </w:r>
    </w:p>
    <w:p w14:paraId="5CA75552" w14:textId="77777777" w:rsidR="00852829" w:rsidRDefault="00852829" w:rsidP="00852829">
      <w:pPr>
        <w:pStyle w:val="NORMAL12"/>
      </w:pPr>
      <w:r>
        <w:t xml:space="preserve">Cuando el mortero aplicado empiece a perder brillo superficial se iniciará un proceso de curado. El curado podrá realizarse mediante un regado continuo con agua, en la disposición de plásticos o arpilleras húmedas o con líquidos </w:t>
      </w:r>
      <w:proofErr w:type="spellStart"/>
      <w:r>
        <w:t>filmógenos</w:t>
      </w:r>
      <w:proofErr w:type="spellEnd"/>
      <w:r>
        <w:t>.</w:t>
      </w:r>
    </w:p>
    <w:p w14:paraId="1A81023C" w14:textId="77777777" w:rsidR="00852829" w:rsidRDefault="00852829" w:rsidP="000313DD">
      <w:pPr>
        <w:pStyle w:val="TITU2"/>
      </w:pPr>
      <w:bookmarkStart w:id="1016" w:name="_Toc404538"/>
      <w:r>
        <w:t>698.5 Recepción</w:t>
      </w:r>
      <w:bookmarkEnd w:id="1016"/>
    </w:p>
    <w:p w14:paraId="623F6A4C" w14:textId="77777777" w:rsidR="00852829" w:rsidRDefault="00852829" w:rsidP="00852829">
      <w:pPr>
        <w:pStyle w:val="NORMAL12"/>
      </w:pPr>
      <w:r w:rsidRPr="003561E1">
        <w:t>Para la recepción de la actuación se comprobará la ausencia de zonas huecas mediante leve golpeo con elemento metálico y detección de sonido diferencial, localizando zonas huecas mal compactadas o no adheridas.</w:t>
      </w:r>
    </w:p>
    <w:tbl>
      <w:tblPr>
        <w:tblStyle w:val="Tablaconcuadrcula"/>
        <w:tblW w:w="0" w:type="auto"/>
        <w:jc w:val="center"/>
        <w:tblLook w:val="04A0" w:firstRow="1" w:lastRow="0" w:firstColumn="1" w:lastColumn="0" w:noHBand="0" w:noVBand="1"/>
      </w:tblPr>
      <w:tblGrid>
        <w:gridCol w:w="3107"/>
        <w:gridCol w:w="2540"/>
        <w:gridCol w:w="2306"/>
      </w:tblGrid>
      <w:tr w:rsidR="007920B4" w:rsidRPr="007920B4" w14:paraId="1FD91D0D" w14:textId="77777777" w:rsidTr="007920B4">
        <w:trPr>
          <w:trHeight w:val="364"/>
          <w:tblHeader/>
          <w:jc w:val="center"/>
        </w:trPr>
        <w:tc>
          <w:tcPr>
            <w:tcW w:w="0" w:type="auto"/>
            <w:shd w:val="clear" w:color="auto" w:fill="D9D9D9" w:themeFill="background1" w:themeFillShade="D9"/>
            <w:vAlign w:val="center"/>
          </w:tcPr>
          <w:p w14:paraId="35DDCFC9" w14:textId="77777777" w:rsidR="00852829" w:rsidRPr="007920B4" w:rsidRDefault="00852829" w:rsidP="007920B4">
            <w:pPr>
              <w:spacing w:line="240" w:lineRule="auto"/>
              <w:jc w:val="center"/>
              <w:rPr>
                <w:rFonts w:ascii="Arial" w:hAnsi="Arial" w:cs="Arial"/>
                <w:b/>
                <w:sz w:val="20"/>
                <w:szCs w:val="20"/>
              </w:rPr>
            </w:pPr>
            <w:r w:rsidRPr="007920B4">
              <w:rPr>
                <w:rFonts w:ascii="Arial" w:hAnsi="Arial" w:cs="Arial"/>
                <w:b/>
                <w:sz w:val="20"/>
                <w:szCs w:val="20"/>
              </w:rPr>
              <w:t>C</w:t>
            </w:r>
            <w:r w:rsidR="007920B4" w:rsidRPr="007920B4">
              <w:rPr>
                <w:rFonts w:ascii="Arial" w:hAnsi="Arial" w:cs="Arial"/>
                <w:b/>
                <w:sz w:val="20"/>
                <w:szCs w:val="20"/>
              </w:rPr>
              <w:t>aracterística</w:t>
            </w:r>
          </w:p>
        </w:tc>
        <w:tc>
          <w:tcPr>
            <w:tcW w:w="0" w:type="auto"/>
            <w:shd w:val="clear" w:color="auto" w:fill="D9D9D9" w:themeFill="background1" w:themeFillShade="D9"/>
            <w:vAlign w:val="center"/>
          </w:tcPr>
          <w:p w14:paraId="19791442" w14:textId="77777777" w:rsidR="00852829" w:rsidRPr="007920B4" w:rsidRDefault="00852829" w:rsidP="007920B4">
            <w:pPr>
              <w:spacing w:line="240" w:lineRule="auto"/>
              <w:jc w:val="center"/>
              <w:rPr>
                <w:rFonts w:ascii="Arial" w:hAnsi="Arial" w:cs="Arial"/>
                <w:b/>
                <w:sz w:val="20"/>
                <w:szCs w:val="20"/>
              </w:rPr>
            </w:pPr>
            <w:r w:rsidRPr="007920B4">
              <w:rPr>
                <w:rFonts w:ascii="Arial" w:hAnsi="Arial" w:cs="Arial"/>
                <w:b/>
                <w:sz w:val="20"/>
                <w:szCs w:val="20"/>
              </w:rPr>
              <w:t>M</w:t>
            </w:r>
            <w:r w:rsidR="007920B4" w:rsidRPr="007920B4">
              <w:rPr>
                <w:rFonts w:ascii="Arial" w:hAnsi="Arial" w:cs="Arial"/>
                <w:b/>
                <w:sz w:val="20"/>
                <w:szCs w:val="20"/>
              </w:rPr>
              <w:t>étodo de ensayo</w:t>
            </w:r>
          </w:p>
        </w:tc>
        <w:tc>
          <w:tcPr>
            <w:tcW w:w="0" w:type="auto"/>
            <w:shd w:val="clear" w:color="auto" w:fill="D9D9D9" w:themeFill="background1" w:themeFillShade="D9"/>
            <w:vAlign w:val="center"/>
          </w:tcPr>
          <w:p w14:paraId="550AF155" w14:textId="77777777" w:rsidR="00852829" w:rsidRPr="007920B4" w:rsidRDefault="00852829" w:rsidP="007920B4">
            <w:pPr>
              <w:spacing w:line="240" w:lineRule="auto"/>
              <w:jc w:val="center"/>
              <w:rPr>
                <w:rFonts w:ascii="Arial" w:hAnsi="Arial" w:cs="Arial"/>
                <w:b/>
                <w:sz w:val="20"/>
                <w:szCs w:val="20"/>
              </w:rPr>
            </w:pPr>
            <w:r w:rsidRPr="007920B4">
              <w:rPr>
                <w:rFonts w:ascii="Arial" w:hAnsi="Arial" w:cs="Arial"/>
                <w:b/>
                <w:sz w:val="20"/>
                <w:szCs w:val="20"/>
              </w:rPr>
              <w:t>F</w:t>
            </w:r>
            <w:r w:rsidR="007920B4" w:rsidRPr="007920B4">
              <w:rPr>
                <w:rFonts w:ascii="Arial" w:hAnsi="Arial" w:cs="Arial"/>
                <w:b/>
                <w:sz w:val="20"/>
                <w:szCs w:val="20"/>
              </w:rPr>
              <w:t>recuencia de ensayo</w:t>
            </w:r>
          </w:p>
        </w:tc>
      </w:tr>
      <w:tr w:rsidR="007920B4" w:rsidRPr="007920B4" w14:paraId="430EA013" w14:textId="77777777" w:rsidTr="007920B4">
        <w:trPr>
          <w:trHeight w:val="364"/>
          <w:jc w:val="center"/>
        </w:trPr>
        <w:tc>
          <w:tcPr>
            <w:tcW w:w="0" w:type="auto"/>
            <w:vAlign w:val="center"/>
          </w:tcPr>
          <w:p w14:paraId="673C4706"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Idoneidad de producto y sistema</w:t>
            </w:r>
          </w:p>
        </w:tc>
        <w:tc>
          <w:tcPr>
            <w:tcW w:w="0" w:type="auto"/>
            <w:vAlign w:val="center"/>
          </w:tcPr>
          <w:p w14:paraId="0E7DA014"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Visual o certificado escrito</w:t>
            </w:r>
          </w:p>
        </w:tc>
        <w:tc>
          <w:tcPr>
            <w:tcW w:w="0" w:type="auto"/>
            <w:vAlign w:val="center"/>
          </w:tcPr>
          <w:p w14:paraId="0472CC27"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Antes de la aplicación</w:t>
            </w:r>
          </w:p>
        </w:tc>
      </w:tr>
      <w:tr w:rsidR="007920B4" w:rsidRPr="007920B4" w14:paraId="66699722" w14:textId="77777777" w:rsidTr="007920B4">
        <w:trPr>
          <w:trHeight w:val="364"/>
          <w:jc w:val="center"/>
        </w:trPr>
        <w:tc>
          <w:tcPr>
            <w:tcW w:w="0" w:type="auto"/>
            <w:vAlign w:val="center"/>
          </w:tcPr>
          <w:p w14:paraId="231FE3AD"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Idoneidad del cemento</w:t>
            </w:r>
          </w:p>
        </w:tc>
        <w:tc>
          <w:tcPr>
            <w:tcW w:w="0" w:type="auto"/>
            <w:vAlign w:val="center"/>
          </w:tcPr>
          <w:p w14:paraId="196E3778"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Visual o certificado escrito</w:t>
            </w:r>
          </w:p>
        </w:tc>
        <w:tc>
          <w:tcPr>
            <w:tcW w:w="0" w:type="auto"/>
            <w:vAlign w:val="center"/>
          </w:tcPr>
          <w:p w14:paraId="3452C558"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Antes de uso</w:t>
            </w:r>
          </w:p>
        </w:tc>
      </w:tr>
      <w:tr w:rsidR="007920B4" w:rsidRPr="007920B4" w14:paraId="1E6BC19E" w14:textId="77777777" w:rsidTr="007920B4">
        <w:trPr>
          <w:trHeight w:val="364"/>
          <w:jc w:val="center"/>
        </w:trPr>
        <w:tc>
          <w:tcPr>
            <w:tcW w:w="0" w:type="auto"/>
            <w:vAlign w:val="center"/>
          </w:tcPr>
          <w:p w14:paraId="7BD7EF34"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Idoneidad del árido</w:t>
            </w:r>
          </w:p>
        </w:tc>
        <w:tc>
          <w:tcPr>
            <w:tcW w:w="0" w:type="auto"/>
            <w:vAlign w:val="center"/>
          </w:tcPr>
          <w:p w14:paraId="2600A7C3"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Visual o certificado escrito</w:t>
            </w:r>
          </w:p>
        </w:tc>
        <w:tc>
          <w:tcPr>
            <w:tcW w:w="0" w:type="auto"/>
            <w:vAlign w:val="center"/>
          </w:tcPr>
          <w:p w14:paraId="02309FB6"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Antes de uso</w:t>
            </w:r>
          </w:p>
        </w:tc>
      </w:tr>
      <w:tr w:rsidR="007920B4" w:rsidRPr="007920B4" w14:paraId="68B3C8F2" w14:textId="77777777" w:rsidTr="007920B4">
        <w:trPr>
          <w:trHeight w:val="364"/>
          <w:jc w:val="center"/>
        </w:trPr>
        <w:tc>
          <w:tcPr>
            <w:tcW w:w="0" w:type="auto"/>
            <w:vAlign w:val="center"/>
          </w:tcPr>
          <w:p w14:paraId="26EF7C3B"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Idoneidad del Agua</w:t>
            </w:r>
          </w:p>
        </w:tc>
        <w:tc>
          <w:tcPr>
            <w:tcW w:w="0" w:type="auto"/>
            <w:vAlign w:val="center"/>
          </w:tcPr>
          <w:p w14:paraId="4C7DA5E5"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Visual o certificado escrito</w:t>
            </w:r>
          </w:p>
        </w:tc>
        <w:tc>
          <w:tcPr>
            <w:tcW w:w="0" w:type="auto"/>
            <w:vAlign w:val="center"/>
          </w:tcPr>
          <w:p w14:paraId="0B522074"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EN206</w:t>
            </w:r>
          </w:p>
        </w:tc>
      </w:tr>
      <w:tr w:rsidR="007920B4" w:rsidRPr="007920B4" w14:paraId="69F7340A" w14:textId="77777777" w:rsidTr="007920B4">
        <w:trPr>
          <w:trHeight w:val="364"/>
          <w:jc w:val="center"/>
        </w:trPr>
        <w:tc>
          <w:tcPr>
            <w:tcW w:w="0" w:type="auto"/>
            <w:vAlign w:val="center"/>
          </w:tcPr>
          <w:p w14:paraId="5430DEB4"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Idoneidad del aditivo</w:t>
            </w:r>
          </w:p>
        </w:tc>
        <w:tc>
          <w:tcPr>
            <w:tcW w:w="0" w:type="auto"/>
            <w:vAlign w:val="center"/>
          </w:tcPr>
          <w:p w14:paraId="71DC83B8"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Visual o certificado escrito</w:t>
            </w:r>
          </w:p>
        </w:tc>
        <w:tc>
          <w:tcPr>
            <w:tcW w:w="0" w:type="auto"/>
            <w:vAlign w:val="center"/>
          </w:tcPr>
          <w:p w14:paraId="33B60C00"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Antes de uso</w:t>
            </w:r>
          </w:p>
        </w:tc>
      </w:tr>
      <w:tr w:rsidR="007920B4" w:rsidRPr="007920B4" w14:paraId="491C935E" w14:textId="77777777" w:rsidTr="007920B4">
        <w:trPr>
          <w:trHeight w:val="364"/>
          <w:jc w:val="center"/>
        </w:trPr>
        <w:tc>
          <w:tcPr>
            <w:tcW w:w="0" w:type="auto"/>
            <w:vAlign w:val="center"/>
          </w:tcPr>
          <w:p w14:paraId="4B944DE1"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Idoneidad del polímero</w:t>
            </w:r>
          </w:p>
        </w:tc>
        <w:tc>
          <w:tcPr>
            <w:tcW w:w="0" w:type="auto"/>
            <w:vAlign w:val="center"/>
          </w:tcPr>
          <w:p w14:paraId="137CA04F"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Visual o certificado escrito</w:t>
            </w:r>
          </w:p>
        </w:tc>
        <w:tc>
          <w:tcPr>
            <w:tcW w:w="0" w:type="auto"/>
            <w:vAlign w:val="center"/>
          </w:tcPr>
          <w:p w14:paraId="2F1EBBEF"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Antes de uso</w:t>
            </w:r>
          </w:p>
        </w:tc>
      </w:tr>
    </w:tbl>
    <w:p w14:paraId="684E6B4A" w14:textId="77777777" w:rsidR="00852829" w:rsidRPr="006937C2" w:rsidRDefault="00852829" w:rsidP="000313DD">
      <w:pPr>
        <w:pStyle w:val="TITU2"/>
      </w:pPr>
      <w:bookmarkStart w:id="1017" w:name="_Toc404539"/>
      <w:r>
        <w:t>698.6.</w:t>
      </w:r>
      <w:r w:rsidRPr="006937C2">
        <w:t xml:space="preserve"> </w:t>
      </w:r>
      <w:r>
        <w:t>Control de calidad</w:t>
      </w:r>
      <w:bookmarkEnd w:id="1017"/>
    </w:p>
    <w:p w14:paraId="2376F689" w14:textId="77777777" w:rsidR="00852829" w:rsidRPr="003561E1" w:rsidRDefault="00852829" w:rsidP="00852829">
      <w:pPr>
        <w:pStyle w:val="NORMAL12"/>
      </w:pPr>
      <w:r w:rsidRPr="003561E1">
        <w:t xml:space="preserve">El control de calidad de la obra se entenderá enmarcado dentro del concepto de calidad total que consiste en el establecimiento de control en cada uno de los procesos realizados en obra, según las especificaciones dadas en la EN:1504 – 10 Aplicación en la obra y calidad. </w:t>
      </w:r>
    </w:p>
    <w:p w14:paraId="25DCBAE4" w14:textId="77777777" w:rsidR="00852829" w:rsidRPr="003561E1" w:rsidRDefault="00852829" w:rsidP="00852829">
      <w:pPr>
        <w:pStyle w:val="NORMAL12"/>
      </w:pPr>
      <w:r w:rsidRPr="003561E1">
        <w:t>En el caso de que los materiales y productos dispongan de marcado CE según la directiva 89/106CEE, se comprobará su conformidad mediante la verificación documental de que los valores declarados en los documentos que acompañan al citado marcado CE son acordes a las especificaciones contempladas en el Proyecto.</w:t>
      </w:r>
    </w:p>
    <w:p w14:paraId="1FFA7D7E" w14:textId="77777777" w:rsidR="00852829" w:rsidRPr="003561E1" w:rsidRDefault="00852829" w:rsidP="00852829">
      <w:pPr>
        <w:pStyle w:val="NORMAL12"/>
      </w:pPr>
      <w:r w:rsidRPr="003561E1">
        <w:t>La dirección facultativa, en el uso de sus atribuciones, podrá disponer en cualquier momento la realización de comprobaciones o ensayos sobre los materiales y productos que se empleen en la reparación.</w:t>
      </w:r>
    </w:p>
    <w:p w14:paraId="67AD1B3F" w14:textId="77777777" w:rsidR="00852829" w:rsidRPr="003561E1" w:rsidRDefault="00852829" w:rsidP="00852829">
      <w:pPr>
        <w:pStyle w:val="NORMAL12"/>
      </w:pPr>
      <w:r w:rsidRPr="003561E1">
        <w:t>En el caso de productos que no dispongan de marcado CE, la comprobación de su conformidad corresponderá:</w:t>
      </w:r>
    </w:p>
    <w:p w14:paraId="76FB1CDF" w14:textId="77777777" w:rsidR="00852829" w:rsidRPr="003561E1" w:rsidRDefault="00852829" w:rsidP="007920B4">
      <w:pPr>
        <w:pStyle w:val="NORMAL12"/>
        <w:numPr>
          <w:ilvl w:val="0"/>
          <w:numId w:val="61"/>
        </w:numPr>
      </w:pPr>
      <w:r w:rsidRPr="003561E1">
        <w:t>Un control documental</w:t>
      </w:r>
    </w:p>
    <w:p w14:paraId="1A8F80D0" w14:textId="77777777" w:rsidR="00852829" w:rsidRPr="003561E1" w:rsidRDefault="00852829" w:rsidP="007920B4">
      <w:pPr>
        <w:pStyle w:val="NORMAL12"/>
        <w:numPr>
          <w:ilvl w:val="0"/>
          <w:numId w:val="61"/>
        </w:numPr>
      </w:pPr>
      <w:r w:rsidRPr="003561E1">
        <w:t>En su caso, control mediante distintivos de calidad o procedimientos que garanticen un nivel de garantía adicional equivalente</w:t>
      </w:r>
    </w:p>
    <w:p w14:paraId="0E4D7153" w14:textId="77777777" w:rsidR="00852829" w:rsidRPr="003561E1" w:rsidRDefault="00852829" w:rsidP="007920B4">
      <w:pPr>
        <w:pStyle w:val="NORMAL12"/>
        <w:numPr>
          <w:ilvl w:val="0"/>
          <w:numId w:val="61"/>
        </w:numPr>
      </w:pPr>
      <w:r w:rsidRPr="003561E1">
        <w:t xml:space="preserve">En su caso, un control experimental mediante la realización de ensayos que estime </w:t>
      </w:r>
      <w:r w:rsidR="007920B4">
        <w:t xml:space="preserve">el </w:t>
      </w:r>
      <w:proofErr w:type="gramStart"/>
      <w:r w:rsidR="007920B4">
        <w:t>Director</w:t>
      </w:r>
      <w:proofErr w:type="gramEnd"/>
      <w:r w:rsidR="007920B4">
        <w:t xml:space="preserve"> de Obra</w:t>
      </w:r>
      <w:r w:rsidRPr="003561E1">
        <w:t>.</w:t>
      </w:r>
    </w:p>
    <w:p w14:paraId="4C0134C0" w14:textId="77777777" w:rsidR="00852829" w:rsidRPr="003561E1" w:rsidRDefault="00852829" w:rsidP="00852829">
      <w:pPr>
        <w:pStyle w:val="NORMAL12"/>
      </w:pPr>
      <w:r w:rsidRPr="003561E1">
        <w:t>Para ello se refieren a continuación un conjunto de ensayos y comprobaciones que podrán aplicarse en parte o en su totalidad en las obras realizadas dentro del ámbito del presente Pliego de Condiciones.</w:t>
      </w:r>
    </w:p>
    <w:p w14:paraId="65517B0C" w14:textId="77777777" w:rsidR="00852829" w:rsidRPr="007920B4" w:rsidRDefault="00852829" w:rsidP="00852829">
      <w:pPr>
        <w:pStyle w:val="NORMAL12"/>
        <w:rPr>
          <w:bCs/>
          <w:i/>
          <w:u w:val="single"/>
        </w:rPr>
      </w:pPr>
      <w:r w:rsidRPr="007920B4">
        <w:rPr>
          <w:bCs/>
          <w:i/>
          <w:u w:val="single"/>
        </w:rPr>
        <w:t>Control de recepción de materiales.</w:t>
      </w:r>
    </w:p>
    <w:p w14:paraId="01EA5846" w14:textId="77777777" w:rsidR="00852829" w:rsidRDefault="00852829" w:rsidP="00852829">
      <w:pPr>
        <w:pStyle w:val="NORMAL12"/>
      </w:pPr>
      <w:r w:rsidRPr="003561E1">
        <w:t xml:space="preserve">Los materiales deberán cumplir los requisitos establecidos en la norma EN 1504-9. Concretamente se comprobarán los siguientes parámetros: </w:t>
      </w:r>
    </w:p>
    <w:p w14:paraId="164931E6" w14:textId="77777777" w:rsidR="00D921B6" w:rsidRPr="003561E1" w:rsidRDefault="00D921B6" w:rsidP="00852829">
      <w:pPr>
        <w:pStyle w:val="NORMAL12"/>
      </w:pPr>
    </w:p>
    <w:p w14:paraId="110C0E71" w14:textId="77777777" w:rsidR="00852829" w:rsidRPr="003561E1" w:rsidRDefault="00852829" w:rsidP="00852829">
      <w:pPr>
        <w:pStyle w:val="NORMAL12"/>
        <w:rPr>
          <w:i/>
          <w:u w:val="single"/>
        </w:rPr>
      </w:pPr>
      <w:r w:rsidRPr="003561E1">
        <w:rPr>
          <w:i/>
          <w:u w:val="single"/>
        </w:rPr>
        <w:lastRenderedPageBreak/>
        <w:t>Controles adicionales</w:t>
      </w:r>
    </w:p>
    <w:p w14:paraId="1692ACEA" w14:textId="77777777" w:rsidR="00852829" w:rsidRPr="003561E1" w:rsidRDefault="00852829" w:rsidP="00852829">
      <w:pPr>
        <w:pStyle w:val="NORMAL12"/>
      </w:pPr>
      <w:r w:rsidRPr="003561E1">
        <w:t xml:space="preserve">En cualquier caso, a la llegada del material a la obra se comprobarán y anotarán los siguientes aspectos: </w:t>
      </w:r>
    </w:p>
    <w:p w14:paraId="140058C3" w14:textId="77777777" w:rsidR="00852829" w:rsidRPr="003561E1" w:rsidRDefault="00852829" w:rsidP="007920B4">
      <w:pPr>
        <w:pStyle w:val="NORMAL12"/>
        <w:numPr>
          <w:ilvl w:val="0"/>
          <w:numId w:val="61"/>
        </w:numPr>
      </w:pPr>
      <w:r w:rsidRPr="003561E1">
        <w:t xml:space="preserve">Cómputo de las cantidades recibidas. </w:t>
      </w:r>
    </w:p>
    <w:p w14:paraId="6C59FCD1" w14:textId="77777777" w:rsidR="00852829" w:rsidRPr="003561E1" w:rsidRDefault="00852829" w:rsidP="007920B4">
      <w:pPr>
        <w:pStyle w:val="NORMAL12"/>
        <w:numPr>
          <w:ilvl w:val="0"/>
          <w:numId w:val="61"/>
        </w:numPr>
      </w:pPr>
      <w:r w:rsidRPr="003561E1">
        <w:t xml:space="preserve">Comprobación de la denominación de </w:t>
      </w:r>
      <w:proofErr w:type="gramStart"/>
      <w:r w:rsidRPr="003561E1">
        <w:t>los mismos</w:t>
      </w:r>
      <w:proofErr w:type="gramEnd"/>
      <w:r w:rsidRPr="003561E1">
        <w:t xml:space="preserve"> y de la correcta identificación de la totalidad de envases. </w:t>
      </w:r>
    </w:p>
    <w:p w14:paraId="5344BECF" w14:textId="77777777" w:rsidR="00852829" w:rsidRPr="003561E1" w:rsidRDefault="00852829" w:rsidP="007920B4">
      <w:pPr>
        <w:pStyle w:val="NORMAL12"/>
        <w:numPr>
          <w:ilvl w:val="0"/>
          <w:numId w:val="61"/>
        </w:numPr>
      </w:pPr>
      <w:r w:rsidRPr="003561E1">
        <w:t xml:space="preserve">Inspección visual del estado de los envases descartando aquellos que presenten roturas con pérdida de material. </w:t>
      </w:r>
    </w:p>
    <w:p w14:paraId="0F58DFCC" w14:textId="77777777" w:rsidR="00852829" w:rsidRPr="003561E1" w:rsidRDefault="00852829" w:rsidP="007920B4">
      <w:pPr>
        <w:pStyle w:val="NORMAL12"/>
        <w:numPr>
          <w:ilvl w:val="0"/>
          <w:numId w:val="61"/>
        </w:numPr>
      </w:pPr>
      <w:r w:rsidRPr="003561E1">
        <w:t>Comprobación de la fecha límite de uso de los materiales que deberá estar claramente indicada en cada uno de los envases.</w:t>
      </w:r>
    </w:p>
    <w:p w14:paraId="5F8E4B5B" w14:textId="77777777" w:rsidR="00852829" w:rsidRPr="007920B4" w:rsidRDefault="00852829" w:rsidP="00852829">
      <w:pPr>
        <w:pStyle w:val="NORMAL12"/>
        <w:rPr>
          <w:bCs/>
          <w:i/>
          <w:u w:val="single"/>
        </w:rPr>
      </w:pPr>
      <w:r w:rsidRPr="007920B4">
        <w:rPr>
          <w:bCs/>
          <w:i/>
          <w:u w:val="single"/>
        </w:rPr>
        <w:t xml:space="preserve">Control de los acopios. </w:t>
      </w:r>
    </w:p>
    <w:p w14:paraId="70EDCF60" w14:textId="77777777" w:rsidR="00852829" w:rsidRPr="003561E1" w:rsidRDefault="00852829" w:rsidP="00852829">
      <w:pPr>
        <w:pStyle w:val="NORMAL12"/>
      </w:pPr>
      <w:r w:rsidRPr="003561E1">
        <w:t xml:space="preserve">Se comprobará que los materiales se almacenan a cubierto (protegidos del sol y de fuentes de calor) en lugar fresco y seco y en sus envases originales cerrados. Los materiales hidráulicos se acopiarán separados del terreno mediante listones de madera y protegidos de la lluvia y el rocío. </w:t>
      </w:r>
    </w:p>
    <w:p w14:paraId="6E399699" w14:textId="77777777" w:rsidR="00852829" w:rsidRPr="003561E1" w:rsidRDefault="00852829" w:rsidP="00852829">
      <w:pPr>
        <w:pStyle w:val="NORMAL12"/>
      </w:pPr>
      <w:r w:rsidRPr="003561E1">
        <w:t>Los acopios se realizarán agrupando los materiales según su identificación.</w:t>
      </w:r>
    </w:p>
    <w:p w14:paraId="32536E2F" w14:textId="77777777" w:rsidR="00852829" w:rsidRPr="003561E1" w:rsidRDefault="00852829" w:rsidP="00852829">
      <w:pPr>
        <w:pStyle w:val="NORMAL12"/>
      </w:pPr>
      <w:r w:rsidRPr="003561E1">
        <w:t xml:space="preserve">Al final de la jornada se realizará un cómputo del material acopiado, a fin de comprobar los materiales consumidos durante la jornada. </w:t>
      </w:r>
    </w:p>
    <w:p w14:paraId="45B6CBA1" w14:textId="77777777" w:rsidR="00852829" w:rsidRPr="007920B4" w:rsidRDefault="00852829" w:rsidP="00852829">
      <w:pPr>
        <w:pStyle w:val="NORMAL12"/>
        <w:rPr>
          <w:bCs/>
          <w:i/>
          <w:u w:val="single"/>
        </w:rPr>
      </w:pPr>
      <w:r w:rsidRPr="007920B4">
        <w:rPr>
          <w:bCs/>
          <w:i/>
          <w:u w:val="single"/>
        </w:rPr>
        <w:t>Control de la preparación del soporte</w:t>
      </w:r>
    </w:p>
    <w:tbl>
      <w:tblPr>
        <w:tblStyle w:val="Tablaconcuadrcula"/>
        <w:tblW w:w="0" w:type="auto"/>
        <w:tblLayout w:type="fixed"/>
        <w:tblLook w:val="04A0" w:firstRow="1" w:lastRow="0" w:firstColumn="1" w:lastColumn="0" w:noHBand="0" w:noVBand="1"/>
      </w:tblPr>
      <w:tblGrid>
        <w:gridCol w:w="2405"/>
        <w:gridCol w:w="2693"/>
        <w:gridCol w:w="1956"/>
        <w:gridCol w:w="1996"/>
      </w:tblGrid>
      <w:tr w:rsidR="00852829" w:rsidRPr="007920B4" w14:paraId="33F726B9" w14:textId="77777777" w:rsidTr="007920B4">
        <w:trPr>
          <w:trHeight w:val="364"/>
          <w:tblHeader/>
        </w:trPr>
        <w:tc>
          <w:tcPr>
            <w:tcW w:w="2405" w:type="dxa"/>
            <w:shd w:val="clear" w:color="auto" w:fill="D9D9D9" w:themeFill="background1" w:themeFillShade="D9"/>
            <w:vAlign w:val="center"/>
          </w:tcPr>
          <w:p w14:paraId="10AEAF11" w14:textId="77777777" w:rsidR="00852829" w:rsidRPr="007920B4" w:rsidRDefault="00852829" w:rsidP="007920B4">
            <w:pPr>
              <w:keepNext/>
              <w:spacing w:line="240" w:lineRule="auto"/>
              <w:jc w:val="center"/>
              <w:rPr>
                <w:rFonts w:ascii="Arial" w:hAnsi="Arial" w:cs="Arial"/>
                <w:b/>
                <w:sz w:val="20"/>
                <w:szCs w:val="20"/>
              </w:rPr>
            </w:pPr>
            <w:r w:rsidRPr="007920B4">
              <w:rPr>
                <w:rFonts w:ascii="Arial" w:hAnsi="Arial" w:cs="Arial"/>
                <w:b/>
                <w:sz w:val="20"/>
                <w:szCs w:val="20"/>
              </w:rPr>
              <w:t>C</w:t>
            </w:r>
            <w:r w:rsidR="007920B4" w:rsidRPr="007920B4">
              <w:rPr>
                <w:rFonts w:ascii="Arial" w:hAnsi="Arial" w:cs="Arial"/>
                <w:b/>
                <w:sz w:val="20"/>
                <w:szCs w:val="20"/>
              </w:rPr>
              <w:t>aracterística</w:t>
            </w:r>
          </w:p>
        </w:tc>
        <w:tc>
          <w:tcPr>
            <w:tcW w:w="2693" w:type="dxa"/>
            <w:shd w:val="clear" w:color="auto" w:fill="D9D9D9" w:themeFill="background1" w:themeFillShade="D9"/>
            <w:vAlign w:val="center"/>
          </w:tcPr>
          <w:p w14:paraId="187ECEE8" w14:textId="77777777" w:rsidR="00852829" w:rsidRPr="007920B4" w:rsidRDefault="00852829" w:rsidP="007920B4">
            <w:pPr>
              <w:keepNext/>
              <w:spacing w:line="240" w:lineRule="auto"/>
              <w:jc w:val="center"/>
              <w:rPr>
                <w:rFonts w:ascii="Arial" w:hAnsi="Arial" w:cs="Arial"/>
                <w:b/>
                <w:sz w:val="20"/>
                <w:szCs w:val="20"/>
              </w:rPr>
            </w:pPr>
            <w:r w:rsidRPr="007920B4">
              <w:rPr>
                <w:rFonts w:ascii="Arial" w:hAnsi="Arial" w:cs="Arial"/>
                <w:b/>
                <w:sz w:val="20"/>
                <w:szCs w:val="20"/>
              </w:rPr>
              <w:t>M</w:t>
            </w:r>
            <w:r w:rsidR="007920B4" w:rsidRPr="007920B4">
              <w:rPr>
                <w:rFonts w:ascii="Arial" w:hAnsi="Arial" w:cs="Arial"/>
                <w:b/>
                <w:sz w:val="20"/>
                <w:szCs w:val="20"/>
              </w:rPr>
              <w:t>étodo de ensayo</w:t>
            </w:r>
          </w:p>
        </w:tc>
        <w:tc>
          <w:tcPr>
            <w:tcW w:w="1956" w:type="dxa"/>
            <w:shd w:val="clear" w:color="auto" w:fill="D9D9D9" w:themeFill="background1" w:themeFillShade="D9"/>
            <w:vAlign w:val="center"/>
          </w:tcPr>
          <w:p w14:paraId="53D468CE" w14:textId="77777777" w:rsidR="00852829" w:rsidRPr="007920B4" w:rsidRDefault="00852829" w:rsidP="007920B4">
            <w:pPr>
              <w:keepNext/>
              <w:spacing w:line="240" w:lineRule="auto"/>
              <w:jc w:val="center"/>
              <w:rPr>
                <w:rFonts w:ascii="Arial" w:hAnsi="Arial" w:cs="Arial"/>
                <w:b/>
                <w:sz w:val="20"/>
                <w:szCs w:val="20"/>
              </w:rPr>
            </w:pPr>
            <w:r w:rsidRPr="007920B4">
              <w:rPr>
                <w:rFonts w:ascii="Arial" w:hAnsi="Arial" w:cs="Arial"/>
                <w:b/>
                <w:sz w:val="20"/>
                <w:szCs w:val="20"/>
              </w:rPr>
              <w:t>R</w:t>
            </w:r>
            <w:r w:rsidR="007920B4" w:rsidRPr="007920B4">
              <w:rPr>
                <w:rFonts w:ascii="Arial" w:hAnsi="Arial" w:cs="Arial"/>
                <w:b/>
                <w:sz w:val="20"/>
                <w:szCs w:val="20"/>
              </w:rPr>
              <w:t>eferencia de ensayo</w:t>
            </w:r>
          </w:p>
        </w:tc>
        <w:tc>
          <w:tcPr>
            <w:tcW w:w="1996" w:type="dxa"/>
            <w:shd w:val="clear" w:color="auto" w:fill="D9D9D9" w:themeFill="background1" w:themeFillShade="D9"/>
            <w:vAlign w:val="center"/>
          </w:tcPr>
          <w:p w14:paraId="16C58E77" w14:textId="77777777" w:rsidR="00852829" w:rsidRPr="007920B4" w:rsidRDefault="00852829" w:rsidP="007920B4">
            <w:pPr>
              <w:keepNext/>
              <w:spacing w:line="240" w:lineRule="auto"/>
              <w:jc w:val="center"/>
              <w:rPr>
                <w:rFonts w:ascii="Arial" w:hAnsi="Arial" w:cs="Arial"/>
                <w:b/>
                <w:sz w:val="20"/>
                <w:szCs w:val="20"/>
              </w:rPr>
            </w:pPr>
            <w:r w:rsidRPr="007920B4">
              <w:rPr>
                <w:rFonts w:ascii="Arial" w:hAnsi="Arial" w:cs="Arial"/>
                <w:b/>
                <w:sz w:val="20"/>
                <w:szCs w:val="20"/>
              </w:rPr>
              <w:t>F</w:t>
            </w:r>
            <w:r w:rsidR="007920B4" w:rsidRPr="007920B4">
              <w:rPr>
                <w:rFonts w:ascii="Arial" w:hAnsi="Arial" w:cs="Arial"/>
                <w:b/>
                <w:sz w:val="20"/>
                <w:szCs w:val="20"/>
              </w:rPr>
              <w:t>recuencia de ensayo</w:t>
            </w:r>
          </w:p>
        </w:tc>
      </w:tr>
      <w:tr w:rsidR="00852829" w:rsidRPr="007920B4" w14:paraId="0A744590" w14:textId="77777777" w:rsidTr="007920B4">
        <w:trPr>
          <w:trHeight w:val="364"/>
        </w:trPr>
        <w:tc>
          <w:tcPr>
            <w:tcW w:w="2405" w:type="dxa"/>
          </w:tcPr>
          <w:p w14:paraId="2B956997" w14:textId="77777777" w:rsidR="00852829" w:rsidRPr="007920B4" w:rsidRDefault="00852829" w:rsidP="007920B4">
            <w:pPr>
              <w:spacing w:line="240" w:lineRule="auto"/>
              <w:rPr>
                <w:rFonts w:ascii="Arial" w:hAnsi="Arial" w:cs="Arial"/>
                <w:sz w:val="20"/>
                <w:szCs w:val="20"/>
              </w:rPr>
            </w:pPr>
            <w:r w:rsidRPr="007920B4">
              <w:rPr>
                <w:rFonts w:ascii="Arial" w:hAnsi="Arial" w:cs="Arial"/>
                <w:sz w:val="20"/>
                <w:szCs w:val="20"/>
              </w:rPr>
              <w:t>Idoneidad de producto y sistema</w:t>
            </w:r>
          </w:p>
        </w:tc>
        <w:tc>
          <w:tcPr>
            <w:tcW w:w="2693" w:type="dxa"/>
          </w:tcPr>
          <w:p w14:paraId="1E008C4A"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Golpeteo con martillo</w:t>
            </w:r>
          </w:p>
        </w:tc>
        <w:tc>
          <w:tcPr>
            <w:tcW w:w="1956" w:type="dxa"/>
          </w:tcPr>
          <w:p w14:paraId="1612C2D6"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w:t>
            </w:r>
          </w:p>
        </w:tc>
        <w:tc>
          <w:tcPr>
            <w:tcW w:w="1996" w:type="dxa"/>
          </w:tcPr>
          <w:p w14:paraId="68C937F3"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Primera vez antes de aplicación</w:t>
            </w:r>
          </w:p>
        </w:tc>
      </w:tr>
      <w:tr w:rsidR="00852829" w:rsidRPr="007920B4" w14:paraId="4012E5BB" w14:textId="77777777" w:rsidTr="007920B4">
        <w:trPr>
          <w:trHeight w:val="364"/>
        </w:trPr>
        <w:tc>
          <w:tcPr>
            <w:tcW w:w="2405" w:type="dxa"/>
          </w:tcPr>
          <w:p w14:paraId="299D6873" w14:textId="77777777" w:rsidR="00852829" w:rsidRPr="007920B4" w:rsidRDefault="00852829" w:rsidP="007920B4">
            <w:pPr>
              <w:spacing w:line="240" w:lineRule="auto"/>
              <w:rPr>
                <w:rFonts w:ascii="Arial" w:hAnsi="Arial" w:cs="Arial"/>
                <w:sz w:val="20"/>
                <w:szCs w:val="20"/>
              </w:rPr>
            </w:pPr>
            <w:r w:rsidRPr="007920B4">
              <w:rPr>
                <w:rFonts w:ascii="Arial" w:hAnsi="Arial" w:cs="Arial"/>
                <w:sz w:val="20"/>
                <w:szCs w:val="20"/>
              </w:rPr>
              <w:t>Limpieza</w:t>
            </w:r>
          </w:p>
        </w:tc>
        <w:tc>
          <w:tcPr>
            <w:tcW w:w="2693" w:type="dxa"/>
          </w:tcPr>
          <w:p w14:paraId="16BCD407"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Visual</w:t>
            </w:r>
          </w:p>
        </w:tc>
        <w:tc>
          <w:tcPr>
            <w:tcW w:w="1956" w:type="dxa"/>
          </w:tcPr>
          <w:p w14:paraId="651ED89F"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w:t>
            </w:r>
          </w:p>
        </w:tc>
        <w:tc>
          <w:tcPr>
            <w:tcW w:w="1996" w:type="dxa"/>
          </w:tcPr>
          <w:p w14:paraId="6B6941EC"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Antes de aplicación</w:t>
            </w:r>
          </w:p>
        </w:tc>
      </w:tr>
      <w:tr w:rsidR="00852829" w:rsidRPr="007920B4" w14:paraId="154A8EAC" w14:textId="77777777" w:rsidTr="007920B4">
        <w:trPr>
          <w:trHeight w:val="364"/>
        </w:trPr>
        <w:tc>
          <w:tcPr>
            <w:tcW w:w="2405" w:type="dxa"/>
          </w:tcPr>
          <w:p w14:paraId="30041F76" w14:textId="77777777" w:rsidR="00852829" w:rsidRPr="007920B4" w:rsidRDefault="00852829" w:rsidP="007920B4">
            <w:pPr>
              <w:spacing w:line="240" w:lineRule="auto"/>
              <w:rPr>
                <w:rFonts w:ascii="Arial" w:hAnsi="Arial" w:cs="Arial"/>
                <w:sz w:val="20"/>
                <w:szCs w:val="20"/>
              </w:rPr>
            </w:pPr>
            <w:r w:rsidRPr="007920B4">
              <w:rPr>
                <w:rFonts w:ascii="Arial" w:hAnsi="Arial" w:cs="Arial"/>
                <w:sz w:val="20"/>
                <w:szCs w:val="20"/>
              </w:rPr>
              <w:t>Rugosidad</w:t>
            </w:r>
          </w:p>
        </w:tc>
        <w:tc>
          <w:tcPr>
            <w:tcW w:w="2693" w:type="dxa"/>
          </w:tcPr>
          <w:p w14:paraId="2937B441"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Visual</w:t>
            </w:r>
          </w:p>
        </w:tc>
        <w:tc>
          <w:tcPr>
            <w:tcW w:w="1956" w:type="dxa"/>
          </w:tcPr>
          <w:p w14:paraId="590AF8E7" w14:textId="77777777" w:rsidR="00852829" w:rsidRPr="007920B4" w:rsidRDefault="00852829" w:rsidP="007920B4">
            <w:pPr>
              <w:spacing w:line="240" w:lineRule="auto"/>
              <w:jc w:val="center"/>
              <w:rPr>
                <w:rFonts w:ascii="Arial" w:hAnsi="Arial" w:cs="Arial"/>
                <w:sz w:val="20"/>
                <w:szCs w:val="20"/>
              </w:rPr>
            </w:pPr>
          </w:p>
        </w:tc>
        <w:tc>
          <w:tcPr>
            <w:tcW w:w="1996" w:type="dxa"/>
          </w:tcPr>
          <w:p w14:paraId="14FBA736"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Antes de aplicación</w:t>
            </w:r>
          </w:p>
        </w:tc>
      </w:tr>
      <w:tr w:rsidR="00852829" w:rsidRPr="007920B4" w14:paraId="615AA289" w14:textId="77777777" w:rsidTr="007920B4">
        <w:trPr>
          <w:trHeight w:val="364"/>
        </w:trPr>
        <w:tc>
          <w:tcPr>
            <w:tcW w:w="2405" w:type="dxa"/>
          </w:tcPr>
          <w:p w14:paraId="68501DF8" w14:textId="77777777" w:rsidR="00852829" w:rsidRPr="007920B4" w:rsidRDefault="00852829" w:rsidP="007920B4">
            <w:pPr>
              <w:spacing w:line="240" w:lineRule="auto"/>
              <w:rPr>
                <w:rFonts w:ascii="Arial" w:hAnsi="Arial" w:cs="Arial"/>
                <w:sz w:val="20"/>
                <w:szCs w:val="20"/>
              </w:rPr>
            </w:pPr>
            <w:r w:rsidRPr="007920B4">
              <w:rPr>
                <w:rFonts w:ascii="Arial" w:hAnsi="Arial" w:cs="Arial"/>
                <w:sz w:val="20"/>
                <w:szCs w:val="20"/>
              </w:rPr>
              <w:t>Temperatura soporte</w:t>
            </w:r>
          </w:p>
        </w:tc>
        <w:tc>
          <w:tcPr>
            <w:tcW w:w="2693" w:type="dxa"/>
          </w:tcPr>
          <w:p w14:paraId="649AA9DA"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Termómetro</w:t>
            </w:r>
          </w:p>
        </w:tc>
        <w:tc>
          <w:tcPr>
            <w:tcW w:w="1956" w:type="dxa"/>
          </w:tcPr>
          <w:p w14:paraId="1C730C94"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+5-+30ºC</w:t>
            </w:r>
          </w:p>
        </w:tc>
        <w:tc>
          <w:tcPr>
            <w:tcW w:w="1996" w:type="dxa"/>
          </w:tcPr>
          <w:p w14:paraId="04B65153"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Antes aplicación</w:t>
            </w:r>
          </w:p>
        </w:tc>
      </w:tr>
      <w:tr w:rsidR="00852829" w:rsidRPr="007920B4" w14:paraId="46508CB2" w14:textId="77777777" w:rsidTr="007920B4">
        <w:trPr>
          <w:trHeight w:val="364"/>
        </w:trPr>
        <w:tc>
          <w:tcPr>
            <w:tcW w:w="2405" w:type="dxa"/>
          </w:tcPr>
          <w:p w14:paraId="6D1A4340" w14:textId="77777777" w:rsidR="00852829" w:rsidRPr="007920B4" w:rsidRDefault="00852829" w:rsidP="007920B4">
            <w:pPr>
              <w:spacing w:line="240" w:lineRule="auto"/>
              <w:rPr>
                <w:rFonts w:ascii="Arial" w:hAnsi="Arial" w:cs="Arial"/>
                <w:sz w:val="20"/>
                <w:szCs w:val="20"/>
              </w:rPr>
            </w:pPr>
            <w:r w:rsidRPr="007920B4">
              <w:rPr>
                <w:rFonts w:ascii="Arial" w:hAnsi="Arial" w:cs="Arial"/>
                <w:sz w:val="20"/>
                <w:szCs w:val="20"/>
              </w:rPr>
              <w:t>Resistencia tracción soporte</w:t>
            </w:r>
          </w:p>
        </w:tc>
        <w:tc>
          <w:tcPr>
            <w:tcW w:w="2693" w:type="dxa"/>
          </w:tcPr>
          <w:p w14:paraId="2392D428"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 xml:space="preserve">Ensayo </w:t>
            </w:r>
            <w:proofErr w:type="spellStart"/>
            <w:r w:rsidRPr="007920B4">
              <w:rPr>
                <w:rFonts w:ascii="Arial" w:hAnsi="Arial" w:cs="Arial"/>
                <w:sz w:val="20"/>
                <w:szCs w:val="20"/>
              </w:rPr>
              <w:t>Pull</w:t>
            </w:r>
            <w:proofErr w:type="spellEnd"/>
            <w:r w:rsidRPr="007920B4">
              <w:rPr>
                <w:rFonts w:ascii="Arial" w:hAnsi="Arial" w:cs="Arial"/>
                <w:sz w:val="20"/>
                <w:szCs w:val="20"/>
              </w:rPr>
              <w:t>-off</w:t>
            </w:r>
          </w:p>
        </w:tc>
        <w:tc>
          <w:tcPr>
            <w:tcW w:w="1956" w:type="dxa"/>
          </w:tcPr>
          <w:p w14:paraId="52E1B734"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&gt;1.5 MPa</w:t>
            </w:r>
          </w:p>
        </w:tc>
        <w:tc>
          <w:tcPr>
            <w:tcW w:w="1996" w:type="dxa"/>
          </w:tcPr>
          <w:p w14:paraId="383E3A54"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Antes aplicación</w:t>
            </w:r>
          </w:p>
        </w:tc>
      </w:tr>
      <w:tr w:rsidR="00852829" w:rsidRPr="007920B4" w14:paraId="669D1C3A" w14:textId="77777777" w:rsidTr="007920B4">
        <w:trPr>
          <w:trHeight w:val="364"/>
        </w:trPr>
        <w:tc>
          <w:tcPr>
            <w:tcW w:w="2405" w:type="dxa"/>
          </w:tcPr>
          <w:p w14:paraId="1B325CE3" w14:textId="77777777" w:rsidR="00852829" w:rsidRPr="007920B4" w:rsidRDefault="00852829" w:rsidP="007920B4">
            <w:pPr>
              <w:keepNext/>
              <w:spacing w:line="240" w:lineRule="auto"/>
              <w:jc w:val="left"/>
              <w:rPr>
                <w:rFonts w:ascii="Arial" w:hAnsi="Arial" w:cs="Arial"/>
                <w:sz w:val="20"/>
                <w:szCs w:val="20"/>
              </w:rPr>
            </w:pPr>
            <w:r w:rsidRPr="007920B4">
              <w:rPr>
                <w:rFonts w:ascii="Arial" w:hAnsi="Arial" w:cs="Arial"/>
                <w:sz w:val="20"/>
                <w:szCs w:val="20"/>
              </w:rPr>
              <w:t xml:space="preserve">Resistencia a compresión </w:t>
            </w:r>
          </w:p>
        </w:tc>
        <w:tc>
          <w:tcPr>
            <w:tcW w:w="2693" w:type="dxa"/>
          </w:tcPr>
          <w:p w14:paraId="76222A3B" w14:textId="77777777" w:rsidR="00852829" w:rsidRPr="007920B4" w:rsidRDefault="00852829" w:rsidP="007920B4">
            <w:pPr>
              <w:keepNext/>
              <w:spacing w:line="240" w:lineRule="auto"/>
              <w:jc w:val="center"/>
              <w:rPr>
                <w:rFonts w:ascii="Arial" w:hAnsi="Arial" w:cs="Arial"/>
                <w:sz w:val="20"/>
                <w:szCs w:val="20"/>
              </w:rPr>
            </w:pPr>
            <w:r w:rsidRPr="007920B4">
              <w:rPr>
                <w:rFonts w:ascii="Arial" w:hAnsi="Arial" w:cs="Arial"/>
                <w:sz w:val="20"/>
                <w:szCs w:val="20"/>
              </w:rPr>
              <w:t>Esclerómetro, extracción y rotura de testigos</w:t>
            </w:r>
          </w:p>
        </w:tc>
        <w:tc>
          <w:tcPr>
            <w:tcW w:w="1956" w:type="dxa"/>
          </w:tcPr>
          <w:p w14:paraId="17BB1B5D" w14:textId="77777777" w:rsidR="00852829" w:rsidRPr="007920B4" w:rsidRDefault="00852829" w:rsidP="007920B4">
            <w:pPr>
              <w:keepNext/>
              <w:spacing w:line="240" w:lineRule="auto"/>
              <w:jc w:val="center"/>
              <w:rPr>
                <w:rFonts w:ascii="Arial" w:hAnsi="Arial" w:cs="Arial"/>
                <w:sz w:val="20"/>
                <w:szCs w:val="20"/>
              </w:rPr>
            </w:pPr>
            <w:r w:rsidRPr="007920B4">
              <w:rPr>
                <w:rFonts w:ascii="Arial" w:hAnsi="Arial" w:cs="Arial"/>
                <w:sz w:val="20"/>
                <w:szCs w:val="20"/>
              </w:rPr>
              <w:t>Pr EN 12504</w:t>
            </w:r>
          </w:p>
          <w:p w14:paraId="00157111" w14:textId="77777777" w:rsidR="00852829" w:rsidRPr="007920B4" w:rsidRDefault="00852829" w:rsidP="007920B4">
            <w:pPr>
              <w:keepNext/>
              <w:spacing w:line="240" w:lineRule="auto"/>
              <w:jc w:val="center"/>
              <w:rPr>
                <w:rFonts w:ascii="Arial" w:hAnsi="Arial" w:cs="Arial"/>
                <w:sz w:val="20"/>
                <w:szCs w:val="20"/>
              </w:rPr>
            </w:pPr>
            <w:r w:rsidRPr="007920B4">
              <w:rPr>
                <w:rFonts w:ascii="Arial" w:hAnsi="Arial" w:cs="Arial"/>
                <w:sz w:val="20"/>
                <w:szCs w:val="20"/>
              </w:rPr>
              <w:t>Pr EN 12398</w:t>
            </w:r>
          </w:p>
        </w:tc>
        <w:tc>
          <w:tcPr>
            <w:tcW w:w="1996" w:type="dxa"/>
          </w:tcPr>
          <w:p w14:paraId="519F4815" w14:textId="77777777" w:rsidR="00852829" w:rsidRPr="007920B4" w:rsidRDefault="00852829" w:rsidP="007920B4">
            <w:pPr>
              <w:keepNext/>
              <w:spacing w:line="240" w:lineRule="auto"/>
              <w:jc w:val="center"/>
              <w:rPr>
                <w:rFonts w:ascii="Arial" w:hAnsi="Arial" w:cs="Arial"/>
                <w:sz w:val="20"/>
                <w:szCs w:val="20"/>
              </w:rPr>
            </w:pPr>
          </w:p>
        </w:tc>
      </w:tr>
      <w:tr w:rsidR="00852829" w:rsidRPr="007920B4" w14:paraId="5BD3884A" w14:textId="77777777" w:rsidTr="007920B4">
        <w:trPr>
          <w:trHeight w:val="364"/>
        </w:trPr>
        <w:tc>
          <w:tcPr>
            <w:tcW w:w="2405" w:type="dxa"/>
          </w:tcPr>
          <w:p w14:paraId="3450D94D"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Carbonatación</w:t>
            </w:r>
          </w:p>
        </w:tc>
        <w:tc>
          <w:tcPr>
            <w:tcW w:w="2693" w:type="dxa"/>
          </w:tcPr>
          <w:p w14:paraId="1CAD3EF5"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 xml:space="preserve">Ensayo </w:t>
            </w:r>
            <w:proofErr w:type="spellStart"/>
            <w:r w:rsidRPr="007920B4">
              <w:rPr>
                <w:rFonts w:ascii="Arial" w:hAnsi="Arial" w:cs="Arial"/>
                <w:sz w:val="20"/>
                <w:szCs w:val="20"/>
              </w:rPr>
              <w:t>Fenoftaleína</w:t>
            </w:r>
            <w:proofErr w:type="spellEnd"/>
          </w:p>
        </w:tc>
        <w:tc>
          <w:tcPr>
            <w:tcW w:w="1956" w:type="dxa"/>
          </w:tcPr>
          <w:p w14:paraId="3D550AA1"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Pr EN 104865</w:t>
            </w:r>
          </w:p>
        </w:tc>
        <w:tc>
          <w:tcPr>
            <w:tcW w:w="1996" w:type="dxa"/>
          </w:tcPr>
          <w:p w14:paraId="0285A33A"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Antes aplicación</w:t>
            </w:r>
          </w:p>
        </w:tc>
      </w:tr>
      <w:tr w:rsidR="00852829" w:rsidRPr="007920B4" w14:paraId="5180C8FB" w14:textId="77777777" w:rsidTr="007920B4">
        <w:trPr>
          <w:trHeight w:val="364"/>
        </w:trPr>
        <w:tc>
          <w:tcPr>
            <w:tcW w:w="2405" w:type="dxa"/>
          </w:tcPr>
          <w:p w14:paraId="5D205CC5"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Contenido cloruros</w:t>
            </w:r>
          </w:p>
        </w:tc>
        <w:tc>
          <w:tcPr>
            <w:tcW w:w="2693" w:type="dxa"/>
          </w:tcPr>
          <w:p w14:paraId="3D93D2E6"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Análisis químico</w:t>
            </w:r>
          </w:p>
        </w:tc>
        <w:tc>
          <w:tcPr>
            <w:tcW w:w="1956" w:type="dxa"/>
          </w:tcPr>
          <w:p w14:paraId="6B0E9985"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EN 1504</w:t>
            </w:r>
          </w:p>
        </w:tc>
        <w:tc>
          <w:tcPr>
            <w:tcW w:w="1996" w:type="dxa"/>
          </w:tcPr>
          <w:p w14:paraId="2A246699"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Antes aplicación</w:t>
            </w:r>
          </w:p>
        </w:tc>
      </w:tr>
      <w:tr w:rsidR="00852829" w:rsidRPr="007920B4" w14:paraId="77757784" w14:textId="77777777" w:rsidTr="007920B4">
        <w:trPr>
          <w:trHeight w:val="364"/>
        </w:trPr>
        <w:tc>
          <w:tcPr>
            <w:tcW w:w="2405" w:type="dxa"/>
          </w:tcPr>
          <w:p w14:paraId="54AB3760"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Penetración de otros contaminantes</w:t>
            </w:r>
          </w:p>
        </w:tc>
        <w:tc>
          <w:tcPr>
            <w:tcW w:w="2693" w:type="dxa"/>
          </w:tcPr>
          <w:p w14:paraId="477830D2"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Análisis químico y extracción de muestras</w:t>
            </w:r>
          </w:p>
        </w:tc>
        <w:tc>
          <w:tcPr>
            <w:tcW w:w="1956" w:type="dxa"/>
          </w:tcPr>
          <w:p w14:paraId="68F5C50C" w14:textId="77777777" w:rsidR="00852829" w:rsidRPr="007920B4" w:rsidRDefault="00852829" w:rsidP="007920B4">
            <w:pPr>
              <w:spacing w:line="240" w:lineRule="auto"/>
              <w:jc w:val="center"/>
              <w:rPr>
                <w:rFonts w:ascii="Arial" w:hAnsi="Arial" w:cs="Arial"/>
                <w:sz w:val="20"/>
                <w:szCs w:val="20"/>
              </w:rPr>
            </w:pPr>
          </w:p>
        </w:tc>
        <w:tc>
          <w:tcPr>
            <w:tcW w:w="1996" w:type="dxa"/>
          </w:tcPr>
          <w:p w14:paraId="3795589E" w14:textId="77777777" w:rsidR="00852829" w:rsidRPr="007920B4" w:rsidRDefault="00852829" w:rsidP="007920B4">
            <w:pPr>
              <w:spacing w:line="240" w:lineRule="auto"/>
              <w:jc w:val="center"/>
              <w:rPr>
                <w:rFonts w:ascii="Arial" w:hAnsi="Arial" w:cs="Arial"/>
                <w:sz w:val="20"/>
                <w:szCs w:val="20"/>
              </w:rPr>
            </w:pPr>
          </w:p>
        </w:tc>
      </w:tr>
      <w:tr w:rsidR="00852829" w:rsidRPr="007920B4" w14:paraId="07775B36" w14:textId="77777777" w:rsidTr="007920B4">
        <w:trPr>
          <w:trHeight w:val="364"/>
        </w:trPr>
        <w:tc>
          <w:tcPr>
            <w:tcW w:w="2405" w:type="dxa"/>
          </w:tcPr>
          <w:p w14:paraId="70770626"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Fisuración excesiva</w:t>
            </w:r>
          </w:p>
        </w:tc>
        <w:tc>
          <w:tcPr>
            <w:tcW w:w="2693" w:type="dxa"/>
          </w:tcPr>
          <w:p w14:paraId="2133E21B"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Fisurómetro</w:t>
            </w:r>
          </w:p>
        </w:tc>
        <w:tc>
          <w:tcPr>
            <w:tcW w:w="1956" w:type="dxa"/>
          </w:tcPr>
          <w:p w14:paraId="5E75FADA" w14:textId="77777777" w:rsidR="00852829" w:rsidRPr="007920B4" w:rsidRDefault="00852829" w:rsidP="007920B4">
            <w:pPr>
              <w:spacing w:line="240" w:lineRule="auto"/>
              <w:jc w:val="center"/>
              <w:rPr>
                <w:rFonts w:ascii="Arial" w:hAnsi="Arial" w:cs="Arial"/>
                <w:sz w:val="20"/>
                <w:szCs w:val="20"/>
              </w:rPr>
            </w:pPr>
          </w:p>
        </w:tc>
        <w:tc>
          <w:tcPr>
            <w:tcW w:w="1996" w:type="dxa"/>
          </w:tcPr>
          <w:p w14:paraId="6F255D40" w14:textId="77777777" w:rsidR="00852829" w:rsidRPr="007920B4" w:rsidRDefault="00852829" w:rsidP="007920B4">
            <w:pPr>
              <w:spacing w:line="240" w:lineRule="auto"/>
              <w:jc w:val="center"/>
              <w:rPr>
                <w:rFonts w:ascii="Arial" w:hAnsi="Arial" w:cs="Arial"/>
                <w:sz w:val="20"/>
                <w:szCs w:val="20"/>
              </w:rPr>
            </w:pPr>
          </w:p>
        </w:tc>
      </w:tr>
    </w:tbl>
    <w:p w14:paraId="08F2DCF2" w14:textId="77777777" w:rsidR="00852829" w:rsidRDefault="00852829" w:rsidP="00852829">
      <w:pPr>
        <w:pStyle w:val="NORMAL12"/>
        <w:rPr>
          <w:lang w:val="es-ES"/>
        </w:rPr>
      </w:pPr>
      <w:proofErr w:type="gramStart"/>
      <w:r w:rsidRPr="003561E1">
        <w:rPr>
          <w:lang w:val="es-ES"/>
        </w:rPr>
        <w:t>Además</w:t>
      </w:r>
      <w:proofErr w:type="gramEnd"/>
      <w:r w:rsidRPr="003561E1">
        <w:rPr>
          <w:lang w:val="es-ES"/>
        </w:rPr>
        <w:t xml:space="preserve"> se controlará que la humedad residual del soporte que sea inferior al 4%</w:t>
      </w:r>
    </w:p>
    <w:p w14:paraId="6812D779" w14:textId="77777777" w:rsidR="00852829" w:rsidRPr="007920B4" w:rsidRDefault="00852829" w:rsidP="00852829">
      <w:pPr>
        <w:pStyle w:val="NORMAL12"/>
        <w:rPr>
          <w:bCs/>
          <w:i/>
          <w:u w:val="single"/>
        </w:rPr>
      </w:pPr>
      <w:r w:rsidRPr="007920B4">
        <w:rPr>
          <w:bCs/>
          <w:i/>
          <w:u w:val="single"/>
        </w:rPr>
        <w:t xml:space="preserve">Control de aplicación del mortero de reparación. </w:t>
      </w:r>
    </w:p>
    <w:p w14:paraId="35E13990" w14:textId="77777777" w:rsidR="00852829" w:rsidRPr="003561E1" w:rsidRDefault="00852829" w:rsidP="00852829">
      <w:pPr>
        <w:pStyle w:val="NORMAL12"/>
        <w:rPr>
          <w:lang w:val="es-ES"/>
        </w:rPr>
      </w:pPr>
      <w:r w:rsidRPr="003561E1">
        <w:rPr>
          <w:lang w:val="es-ES"/>
        </w:rPr>
        <w:t xml:space="preserve">Durante la aplicación del mortero de reparación se comprobará: </w:t>
      </w:r>
    </w:p>
    <w:p w14:paraId="1C6A25C7" w14:textId="77777777" w:rsidR="00852829" w:rsidRPr="007920B4" w:rsidRDefault="00852829" w:rsidP="007920B4">
      <w:pPr>
        <w:pStyle w:val="NORMAL12"/>
        <w:numPr>
          <w:ilvl w:val="0"/>
          <w:numId w:val="61"/>
        </w:numPr>
      </w:pPr>
      <w:r w:rsidRPr="007920B4">
        <w:t xml:space="preserve">Que se emplea una cantidad de agua de amasado que no supera en más de un 10% la indicada por la ficha técnica del producto en caso de morteros hidráulicos. </w:t>
      </w:r>
    </w:p>
    <w:p w14:paraId="2F37FC51" w14:textId="77777777" w:rsidR="00852829" w:rsidRPr="007920B4" w:rsidRDefault="00852829" w:rsidP="007920B4">
      <w:pPr>
        <w:pStyle w:val="NORMAL12"/>
        <w:numPr>
          <w:ilvl w:val="0"/>
          <w:numId w:val="61"/>
        </w:numPr>
      </w:pPr>
      <w:r w:rsidRPr="007920B4">
        <w:t>Que se permite el tiempo de maduración necesario durante la mezcla según lo especificado en la ficha técnica de cada producto.</w:t>
      </w:r>
    </w:p>
    <w:p w14:paraId="11D76BAC" w14:textId="77777777" w:rsidR="00852829" w:rsidRPr="007920B4" w:rsidRDefault="00852829" w:rsidP="007920B4">
      <w:pPr>
        <w:pStyle w:val="NORMAL12"/>
        <w:numPr>
          <w:ilvl w:val="0"/>
          <w:numId w:val="61"/>
        </w:numPr>
      </w:pPr>
      <w:r w:rsidRPr="007920B4">
        <w:t>La concordancia entre espesor aplicado y el especificado para el material.</w:t>
      </w:r>
    </w:p>
    <w:tbl>
      <w:tblPr>
        <w:tblStyle w:val="Tablaconcuadrcula"/>
        <w:tblW w:w="0" w:type="auto"/>
        <w:tblLayout w:type="fixed"/>
        <w:tblLook w:val="04A0" w:firstRow="1" w:lastRow="0" w:firstColumn="1" w:lastColumn="0" w:noHBand="0" w:noVBand="1"/>
      </w:tblPr>
      <w:tblGrid>
        <w:gridCol w:w="3411"/>
        <w:gridCol w:w="2084"/>
        <w:gridCol w:w="1701"/>
        <w:gridCol w:w="1854"/>
      </w:tblGrid>
      <w:tr w:rsidR="007920B4" w:rsidRPr="007920B4" w14:paraId="0522BCEB" w14:textId="77777777" w:rsidTr="007920B4">
        <w:trPr>
          <w:trHeight w:val="364"/>
          <w:tblHeader/>
        </w:trPr>
        <w:tc>
          <w:tcPr>
            <w:tcW w:w="3411" w:type="dxa"/>
            <w:shd w:val="clear" w:color="auto" w:fill="D9D9D9" w:themeFill="background1" w:themeFillShade="D9"/>
            <w:vAlign w:val="center"/>
          </w:tcPr>
          <w:p w14:paraId="104A5A76" w14:textId="77777777" w:rsidR="007920B4" w:rsidRPr="007920B4" w:rsidRDefault="007920B4" w:rsidP="007920B4">
            <w:pPr>
              <w:keepNext/>
              <w:spacing w:line="240" w:lineRule="auto"/>
              <w:jc w:val="center"/>
              <w:rPr>
                <w:rFonts w:ascii="Arial" w:hAnsi="Arial" w:cs="Arial"/>
                <w:b/>
                <w:sz w:val="20"/>
                <w:szCs w:val="20"/>
              </w:rPr>
            </w:pPr>
            <w:r w:rsidRPr="007920B4">
              <w:rPr>
                <w:rFonts w:ascii="Arial" w:hAnsi="Arial" w:cs="Arial"/>
                <w:b/>
                <w:sz w:val="20"/>
                <w:szCs w:val="20"/>
              </w:rPr>
              <w:t>Característica</w:t>
            </w:r>
          </w:p>
        </w:tc>
        <w:tc>
          <w:tcPr>
            <w:tcW w:w="2084" w:type="dxa"/>
            <w:shd w:val="clear" w:color="auto" w:fill="D9D9D9" w:themeFill="background1" w:themeFillShade="D9"/>
            <w:vAlign w:val="center"/>
          </w:tcPr>
          <w:p w14:paraId="0F7D2475" w14:textId="77777777" w:rsidR="007920B4" w:rsidRPr="007920B4" w:rsidRDefault="007920B4" w:rsidP="007920B4">
            <w:pPr>
              <w:keepNext/>
              <w:spacing w:line="240" w:lineRule="auto"/>
              <w:jc w:val="center"/>
              <w:rPr>
                <w:rFonts w:ascii="Arial" w:hAnsi="Arial" w:cs="Arial"/>
                <w:b/>
                <w:sz w:val="20"/>
                <w:szCs w:val="20"/>
              </w:rPr>
            </w:pPr>
            <w:r w:rsidRPr="007920B4">
              <w:rPr>
                <w:rFonts w:ascii="Arial" w:hAnsi="Arial" w:cs="Arial"/>
                <w:b/>
                <w:sz w:val="20"/>
                <w:szCs w:val="20"/>
              </w:rPr>
              <w:t>Método de ensayo</w:t>
            </w:r>
          </w:p>
        </w:tc>
        <w:tc>
          <w:tcPr>
            <w:tcW w:w="1701" w:type="dxa"/>
            <w:shd w:val="clear" w:color="auto" w:fill="D9D9D9" w:themeFill="background1" w:themeFillShade="D9"/>
            <w:vAlign w:val="center"/>
          </w:tcPr>
          <w:p w14:paraId="4EEC49D6" w14:textId="77777777" w:rsidR="007920B4" w:rsidRPr="007920B4" w:rsidRDefault="007920B4" w:rsidP="007920B4">
            <w:pPr>
              <w:keepNext/>
              <w:spacing w:line="240" w:lineRule="auto"/>
              <w:jc w:val="center"/>
              <w:rPr>
                <w:rFonts w:ascii="Arial" w:hAnsi="Arial" w:cs="Arial"/>
                <w:b/>
                <w:sz w:val="20"/>
                <w:szCs w:val="20"/>
              </w:rPr>
            </w:pPr>
            <w:r w:rsidRPr="007920B4">
              <w:rPr>
                <w:rFonts w:ascii="Arial" w:hAnsi="Arial" w:cs="Arial"/>
                <w:b/>
                <w:sz w:val="20"/>
                <w:szCs w:val="20"/>
              </w:rPr>
              <w:t>Referencia de ensayo</w:t>
            </w:r>
          </w:p>
        </w:tc>
        <w:tc>
          <w:tcPr>
            <w:tcW w:w="1854" w:type="dxa"/>
            <w:shd w:val="clear" w:color="auto" w:fill="D9D9D9" w:themeFill="background1" w:themeFillShade="D9"/>
            <w:vAlign w:val="center"/>
          </w:tcPr>
          <w:p w14:paraId="59D96C75" w14:textId="77777777" w:rsidR="007920B4" w:rsidRPr="007920B4" w:rsidRDefault="007920B4" w:rsidP="007920B4">
            <w:pPr>
              <w:keepNext/>
              <w:spacing w:line="240" w:lineRule="auto"/>
              <w:jc w:val="center"/>
              <w:rPr>
                <w:rFonts w:ascii="Arial" w:hAnsi="Arial" w:cs="Arial"/>
                <w:b/>
                <w:sz w:val="20"/>
                <w:szCs w:val="20"/>
              </w:rPr>
            </w:pPr>
            <w:r w:rsidRPr="007920B4">
              <w:rPr>
                <w:rFonts w:ascii="Arial" w:hAnsi="Arial" w:cs="Arial"/>
                <w:b/>
                <w:sz w:val="20"/>
                <w:szCs w:val="20"/>
              </w:rPr>
              <w:t>Frecuencia de ensayo</w:t>
            </w:r>
          </w:p>
        </w:tc>
      </w:tr>
      <w:tr w:rsidR="00852829" w:rsidRPr="007920B4" w14:paraId="657BCE4D" w14:textId="77777777" w:rsidTr="007920B4">
        <w:trPr>
          <w:trHeight w:val="364"/>
        </w:trPr>
        <w:tc>
          <w:tcPr>
            <w:tcW w:w="3411" w:type="dxa"/>
            <w:vAlign w:val="center"/>
          </w:tcPr>
          <w:p w14:paraId="20B632E1"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Temperatura ambiente</w:t>
            </w:r>
          </w:p>
        </w:tc>
        <w:tc>
          <w:tcPr>
            <w:tcW w:w="2084" w:type="dxa"/>
          </w:tcPr>
          <w:p w14:paraId="08CA9B5D"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Termómetro</w:t>
            </w:r>
          </w:p>
        </w:tc>
        <w:tc>
          <w:tcPr>
            <w:tcW w:w="1701" w:type="dxa"/>
          </w:tcPr>
          <w:p w14:paraId="5FB6E60C"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w:t>
            </w:r>
          </w:p>
        </w:tc>
        <w:tc>
          <w:tcPr>
            <w:tcW w:w="1854" w:type="dxa"/>
          </w:tcPr>
          <w:p w14:paraId="06A43B18"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Diariamente</w:t>
            </w:r>
          </w:p>
        </w:tc>
      </w:tr>
      <w:tr w:rsidR="00852829" w:rsidRPr="007920B4" w14:paraId="3A399F70" w14:textId="77777777" w:rsidTr="007920B4">
        <w:trPr>
          <w:trHeight w:val="364"/>
        </w:trPr>
        <w:tc>
          <w:tcPr>
            <w:tcW w:w="3411" w:type="dxa"/>
            <w:vAlign w:val="center"/>
          </w:tcPr>
          <w:p w14:paraId="59A63DDB"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Precipitaciones</w:t>
            </w:r>
          </w:p>
        </w:tc>
        <w:tc>
          <w:tcPr>
            <w:tcW w:w="2084" w:type="dxa"/>
          </w:tcPr>
          <w:p w14:paraId="599FEB40"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Visual</w:t>
            </w:r>
          </w:p>
        </w:tc>
        <w:tc>
          <w:tcPr>
            <w:tcW w:w="1701" w:type="dxa"/>
          </w:tcPr>
          <w:p w14:paraId="6710D748"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w:t>
            </w:r>
          </w:p>
        </w:tc>
        <w:tc>
          <w:tcPr>
            <w:tcW w:w="1854" w:type="dxa"/>
          </w:tcPr>
          <w:p w14:paraId="0C1FC79E"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Diariamente</w:t>
            </w:r>
          </w:p>
        </w:tc>
      </w:tr>
      <w:tr w:rsidR="00852829" w:rsidRPr="007920B4" w14:paraId="3306377B" w14:textId="77777777" w:rsidTr="007920B4">
        <w:trPr>
          <w:trHeight w:val="364"/>
        </w:trPr>
        <w:tc>
          <w:tcPr>
            <w:tcW w:w="3411" w:type="dxa"/>
            <w:vAlign w:val="center"/>
          </w:tcPr>
          <w:p w14:paraId="4FA65784"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Consistencia</w:t>
            </w:r>
          </w:p>
        </w:tc>
        <w:tc>
          <w:tcPr>
            <w:tcW w:w="2084" w:type="dxa"/>
          </w:tcPr>
          <w:p w14:paraId="3B7835E6"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 xml:space="preserve">Mesa de sacudidas / </w:t>
            </w:r>
            <w:proofErr w:type="spellStart"/>
            <w:r w:rsidRPr="007920B4">
              <w:rPr>
                <w:rFonts w:ascii="Arial" w:hAnsi="Arial" w:cs="Arial"/>
                <w:sz w:val="20"/>
                <w:szCs w:val="20"/>
              </w:rPr>
              <w:t>Consistómetro</w:t>
            </w:r>
            <w:proofErr w:type="spellEnd"/>
          </w:p>
        </w:tc>
        <w:tc>
          <w:tcPr>
            <w:tcW w:w="1701" w:type="dxa"/>
          </w:tcPr>
          <w:p w14:paraId="0DB89552"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Pr EN 12378, 12382</w:t>
            </w:r>
          </w:p>
          <w:p w14:paraId="7D451951"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EN12350,12358, 132357</w:t>
            </w:r>
          </w:p>
        </w:tc>
        <w:tc>
          <w:tcPr>
            <w:tcW w:w="1854" w:type="dxa"/>
          </w:tcPr>
          <w:p w14:paraId="5EE930E9"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Diariamente</w:t>
            </w:r>
          </w:p>
        </w:tc>
      </w:tr>
    </w:tbl>
    <w:p w14:paraId="108B458D" w14:textId="77777777" w:rsidR="007920B4" w:rsidRDefault="007920B4" w:rsidP="00852829">
      <w:pPr>
        <w:pStyle w:val="NORMAL12"/>
        <w:rPr>
          <w:b/>
          <w:bCs/>
          <w:i/>
          <w:u w:val="single"/>
        </w:rPr>
      </w:pPr>
    </w:p>
    <w:p w14:paraId="49F7D9DC" w14:textId="77777777" w:rsidR="00852829" w:rsidRPr="007920B4" w:rsidRDefault="00852829" w:rsidP="00852829">
      <w:pPr>
        <w:pStyle w:val="NORMAL12"/>
        <w:rPr>
          <w:bCs/>
          <w:i/>
          <w:u w:val="single"/>
        </w:rPr>
      </w:pPr>
      <w:r w:rsidRPr="007920B4">
        <w:rPr>
          <w:bCs/>
          <w:i/>
          <w:u w:val="single"/>
        </w:rPr>
        <w:t xml:space="preserve">Control final de obra. </w:t>
      </w:r>
    </w:p>
    <w:tbl>
      <w:tblPr>
        <w:tblStyle w:val="Tablaconcuadrcula"/>
        <w:tblW w:w="9082" w:type="dxa"/>
        <w:tblLayout w:type="fixed"/>
        <w:tblLook w:val="04A0" w:firstRow="1" w:lastRow="0" w:firstColumn="1" w:lastColumn="0" w:noHBand="0" w:noVBand="1"/>
      </w:tblPr>
      <w:tblGrid>
        <w:gridCol w:w="2846"/>
        <w:gridCol w:w="1920"/>
        <w:gridCol w:w="2056"/>
        <w:gridCol w:w="2260"/>
      </w:tblGrid>
      <w:tr w:rsidR="007920B4" w:rsidRPr="007920B4" w14:paraId="4817C480" w14:textId="77777777" w:rsidTr="007920B4">
        <w:trPr>
          <w:trHeight w:val="355"/>
          <w:tblHeader/>
        </w:trPr>
        <w:tc>
          <w:tcPr>
            <w:tcW w:w="2846" w:type="dxa"/>
            <w:shd w:val="clear" w:color="auto" w:fill="D9D9D9" w:themeFill="background1" w:themeFillShade="D9"/>
            <w:vAlign w:val="center"/>
          </w:tcPr>
          <w:p w14:paraId="446DAA22" w14:textId="77777777" w:rsidR="007920B4" w:rsidRPr="007920B4" w:rsidRDefault="007920B4" w:rsidP="007920B4">
            <w:pPr>
              <w:keepNext/>
              <w:spacing w:line="240" w:lineRule="auto"/>
              <w:jc w:val="center"/>
              <w:rPr>
                <w:rFonts w:ascii="Arial" w:hAnsi="Arial" w:cs="Arial"/>
                <w:b/>
                <w:sz w:val="20"/>
                <w:szCs w:val="20"/>
              </w:rPr>
            </w:pPr>
            <w:r w:rsidRPr="007920B4">
              <w:rPr>
                <w:rFonts w:ascii="Arial" w:hAnsi="Arial" w:cs="Arial"/>
                <w:b/>
                <w:sz w:val="20"/>
                <w:szCs w:val="20"/>
              </w:rPr>
              <w:t>Característica</w:t>
            </w:r>
          </w:p>
        </w:tc>
        <w:tc>
          <w:tcPr>
            <w:tcW w:w="1920" w:type="dxa"/>
            <w:shd w:val="clear" w:color="auto" w:fill="D9D9D9" w:themeFill="background1" w:themeFillShade="D9"/>
            <w:vAlign w:val="center"/>
          </w:tcPr>
          <w:p w14:paraId="3E24B2B1" w14:textId="77777777" w:rsidR="007920B4" w:rsidRPr="007920B4" w:rsidRDefault="007920B4" w:rsidP="007920B4">
            <w:pPr>
              <w:keepNext/>
              <w:spacing w:line="240" w:lineRule="auto"/>
              <w:jc w:val="center"/>
              <w:rPr>
                <w:rFonts w:ascii="Arial" w:hAnsi="Arial" w:cs="Arial"/>
                <w:b/>
                <w:sz w:val="20"/>
                <w:szCs w:val="20"/>
              </w:rPr>
            </w:pPr>
            <w:r w:rsidRPr="007920B4">
              <w:rPr>
                <w:rFonts w:ascii="Arial" w:hAnsi="Arial" w:cs="Arial"/>
                <w:b/>
                <w:sz w:val="20"/>
                <w:szCs w:val="20"/>
              </w:rPr>
              <w:t>Método de ensayo</w:t>
            </w:r>
          </w:p>
        </w:tc>
        <w:tc>
          <w:tcPr>
            <w:tcW w:w="2056" w:type="dxa"/>
            <w:shd w:val="clear" w:color="auto" w:fill="D9D9D9" w:themeFill="background1" w:themeFillShade="D9"/>
            <w:vAlign w:val="center"/>
          </w:tcPr>
          <w:p w14:paraId="20E81010" w14:textId="77777777" w:rsidR="007920B4" w:rsidRPr="007920B4" w:rsidRDefault="007920B4" w:rsidP="007920B4">
            <w:pPr>
              <w:keepNext/>
              <w:spacing w:line="240" w:lineRule="auto"/>
              <w:jc w:val="center"/>
              <w:rPr>
                <w:rFonts w:ascii="Arial" w:hAnsi="Arial" w:cs="Arial"/>
                <w:b/>
                <w:sz w:val="20"/>
                <w:szCs w:val="20"/>
              </w:rPr>
            </w:pPr>
            <w:r w:rsidRPr="007920B4">
              <w:rPr>
                <w:rFonts w:ascii="Arial" w:hAnsi="Arial" w:cs="Arial"/>
                <w:b/>
                <w:sz w:val="20"/>
                <w:szCs w:val="20"/>
              </w:rPr>
              <w:t>Referencia de ensayo</w:t>
            </w:r>
          </w:p>
        </w:tc>
        <w:tc>
          <w:tcPr>
            <w:tcW w:w="2260" w:type="dxa"/>
            <w:shd w:val="clear" w:color="auto" w:fill="D9D9D9" w:themeFill="background1" w:themeFillShade="D9"/>
            <w:vAlign w:val="center"/>
          </w:tcPr>
          <w:p w14:paraId="01BCEE8A" w14:textId="77777777" w:rsidR="007920B4" w:rsidRPr="007920B4" w:rsidRDefault="007920B4" w:rsidP="007920B4">
            <w:pPr>
              <w:keepNext/>
              <w:spacing w:line="240" w:lineRule="auto"/>
              <w:jc w:val="center"/>
              <w:rPr>
                <w:rFonts w:ascii="Arial" w:hAnsi="Arial" w:cs="Arial"/>
                <w:b/>
                <w:sz w:val="20"/>
                <w:szCs w:val="20"/>
              </w:rPr>
            </w:pPr>
            <w:r w:rsidRPr="007920B4">
              <w:rPr>
                <w:rFonts w:ascii="Arial" w:hAnsi="Arial" w:cs="Arial"/>
                <w:b/>
                <w:sz w:val="20"/>
                <w:szCs w:val="20"/>
              </w:rPr>
              <w:t>Frecuencia de ensayo</w:t>
            </w:r>
          </w:p>
        </w:tc>
      </w:tr>
      <w:tr w:rsidR="00852829" w:rsidRPr="007920B4" w14:paraId="1C74A989" w14:textId="77777777" w:rsidTr="007920B4">
        <w:trPr>
          <w:trHeight w:val="355"/>
        </w:trPr>
        <w:tc>
          <w:tcPr>
            <w:tcW w:w="2846" w:type="dxa"/>
          </w:tcPr>
          <w:p w14:paraId="52DA4E53"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Resistencia compresión</w:t>
            </w:r>
          </w:p>
        </w:tc>
        <w:tc>
          <w:tcPr>
            <w:tcW w:w="1920" w:type="dxa"/>
          </w:tcPr>
          <w:p w14:paraId="1BFB9F3F"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Confección probetas o esclerómetro</w:t>
            </w:r>
          </w:p>
        </w:tc>
        <w:tc>
          <w:tcPr>
            <w:tcW w:w="2056" w:type="dxa"/>
          </w:tcPr>
          <w:p w14:paraId="1F18E63E" w14:textId="77777777" w:rsidR="00852829" w:rsidRPr="007920B4" w:rsidRDefault="00852829" w:rsidP="007920B4">
            <w:pPr>
              <w:spacing w:line="240" w:lineRule="auto"/>
              <w:jc w:val="center"/>
              <w:rPr>
                <w:rFonts w:ascii="Arial" w:hAnsi="Arial" w:cs="Arial"/>
                <w:sz w:val="20"/>
                <w:szCs w:val="20"/>
              </w:rPr>
            </w:pPr>
            <w:proofErr w:type="spellStart"/>
            <w:r w:rsidRPr="007920B4">
              <w:rPr>
                <w:rFonts w:ascii="Arial" w:hAnsi="Arial" w:cs="Arial"/>
                <w:sz w:val="20"/>
                <w:szCs w:val="20"/>
              </w:rPr>
              <w:t>PrEN</w:t>
            </w:r>
            <w:proofErr w:type="spellEnd"/>
            <w:r w:rsidRPr="007920B4">
              <w:rPr>
                <w:rFonts w:ascii="Arial" w:hAnsi="Arial" w:cs="Arial"/>
                <w:sz w:val="20"/>
                <w:szCs w:val="20"/>
              </w:rPr>
              <w:t xml:space="preserve"> 12394, 12504, 12378, 12379, 12396</w:t>
            </w:r>
          </w:p>
        </w:tc>
        <w:tc>
          <w:tcPr>
            <w:tcW w:w="2260" w:type="dxa"/>
          </w:tcPr>
          <w:p w14:paraId="19458E66"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Una vez para juzgar efectividad</w:t>
            </w:r>
          </w:p>
        </w:tc>
      </w:tr>
      <w:tr w:rsidR="00852829" w:rsidRPr="007920B4" w14:paraId="43F8990F" w14:textId="77777777" w:rsidTr="007920B4">
        <w:trPr>
          <w:trHeight w:val="355"/>
        </w:trPr>
        <w:tc>
          <w:tcPr>
            <w:tcW w:w="2846" w:type="dxa"/>
          </w:tcPr>
          <w:p w14:paraId="4298B560"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Adherencia</w:t>
            </w:r>
          </w:p>
        </w:tc>
        <w:tc>
          <w:tcPr>
            <w:tcW w:w="1920" w:type="dxa"/>
          </w:tcPr>
          <w:p w14:paraId="7772FE16" w14:textId="77777777" w:rsidR="00852829" w:rsidRPr="007920B4" w:rsidRDefault="00852829" w:rsidP="007920B4">
            <w:pPr>
              <w:spacing w:line="240" w:lineRule="auto"/>
              <w:jc w:val="center"/>
              <w:rPr>
                <w:rFonts w:ascii="Arial" w:hAnsi="Arial" w:cs="Arial"/>
                <w:sz w:val="20"/>
                <w:szCs w:val="20"/>
              </w:rPr>
            </w:pPr>
            <w:proofErr w:type="spellStart"/>
            <w:r w:rsidRPr="007920B4">
              <w:rPr>
                <w:rFonts w:ascii="Arial" w:hAnsi="Arial" w:cs="Arial"/>
                <w:sz w:val="20"/>
                <w:szCs w:val="20"/>
              </w:rPr>
              <w:t>Pull</w:t>
            </w:r>
            <w:proofErr w:type="spellEnd"/>
            <w:r w:rsidRPr="007920B4">
              <w:rPr>
                <w:rFonts w:ascii="Arial" w:hAnsi="Arial" w:cs="Arial"/>
                <w:sz w:val="20"/>
                <w:szCs w:val="20"/>
              </w:rPr>
              <w:t>-Off</w:t>
            </w:r>
          </w:p>
        </w:tc>
        <w:tc>
          <w:tcPr>
            <w:tcW w:w="2056" w:type="dxa"/>
          </w:tcPr>
          <w:p w14:paraId="118A8682"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 xml:space="preserve">Dinamómetro </w:t>
            </w:r>
          </w:p>
        </w:tc>
        <w:tc>
          <w:tcPr>
            <w:tcW w:w="2260" w:type="dxa"/>
          </w:tcPr>
          <w:p w14:paraId="0A56EE17"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Una vez para juzgar efectividad</w:t>
            </w:r>
          </w:p>
        </w:tc>
      </w:tr>
      <w:tr w:rsidR="00852829" w:rsidRPr="007920B4" w14:paraId="65F2F9A8" w14:textId="77777777" w:rsidTr="007920B4">
        <w:trPr>
          <w:trHeight w:val="355"/>
        </w:trPr>
        <w:tc>
          <w:tcPr>
            <w:tcW w:w="2846" w:type="dxa"/>
            <w:vAlign w:val="center"/>
          </w:tcPr>
          <w:p w14:paraId="3314B0D6"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 xml:space="preserve">Retracción </w:t>
            </w:r>
          </w:p>
        </w:tc>
        <w:tc>
          <w:tcPr>
            <w:tcW w:w="1920" w:type="dxa"/>
            <w:vAlign w:val="center"/>
          </w:tcPr>
          <w:p w14:paraId="3BD0DA28"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Visual</w:t>
            </w:r>
          </w:p>
        </w:tc>
        <w:tc>
          <w:tcPr>
            <w:tcW w:w="2056" w:type="dxa"/>
            <w:vAlign w:val="center"/>
          </w:tcPr>
          <w:p w14:paraId="564E1742" w14:textId="77777777" w:rsidR="00852829" w:rsidRPr="007920B4" w:rsidRDefault="00852829" w:rsidP="007920B4">
            <w:pPr>
              <w:spacing w:line="240" w:lineRule="auto"/>
              <w:jc w:val="center"/>
              <w:rPr>
                <w:rFonts w:ascii="Arial" w:hAnsi="Arial" w:cs="Arial"/>
                <w:sz w:val="20"/>
                <w:szCs w:val="20"/>
              </w:rPr>
            </w:pPr>
          </w:p>
        </w:tc>
        <w:tc>
          <w:tcPr>
            <w:tcW w:w="2260" w:type="dxa"/>
            <w:vAlign w:val="center"/>
          </w:tcPr>
          <w:p w14:paraId="0CDF19F1"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Una vez para juzgar efectividad</w:t>
            </w:r>
          </w:p>
        </w:tc>
      </w:tr>
      <w:tr w:rsidR="00852829" w:rsidRPr="007920B4" w14:paraId="589286F9" w14:textId="77777777" w:rsidTr="007920B4">
        <w:trPr>
          <w:trHeight w:val="355"/>
        </w:trPr>
        <w:tc>
          <w:tcPr>
            <w:tcW w:w="2846" w:type="dxa"/>
          </w:tcPr>
          <w:p w14:paraId="35608A55"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Delaminación</w:t>
            </w:r>
          </w:p>
        </w:tc>
        <w:tc>
          <w:tcPr>
            <w:tcW w:w="1920" w:type="dxa"/>
          </w:tcPr>
          <w:p w14:paraId="53A7B2B9"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Ensayo Martillo</w:t>
            </w:r>
          </w:p>
        </w:tc>
        <w:tc>
          <w:tcPr>
            <w:tcW w:w="2056" w:type="dxa"/>
          </w:tcPr>
          <w:p w14:paraId="638046DC" w14:textId="77777777" w:rsidR="00852829" w:rsidRPr="007920B4" w:rsidRDefault="00852829" w:rsidP="007920B4">
            <w:pPr>
              <w:spacing w:line="240" w:lineRule="auto"/>
              <w:jc w:val="center"/>
              <w:rPr>
                <w:rFonts w:ascii="Arial" w:hAnsi="Arial" w:cs="Arial"/>
                <w:sz w:val="20"/>
                <w:szCs w:val="20"/>
              </w:rPr>
            </w:pPr>
          </w:p>
        </w:tc>
        <w:tc>
          <w:tcPr>
            <w:tcW w:w="2260" w:type="dxa"/>
          </w:tcPr>
          <w:p w14:paraId="4B2B5617"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Una vez para juzgar efectividad</w:t>
            </w:r>
          </w:p>
        </w:tc>
      </w:tr>
      <w:tr w:rsidR="00852829" w:rsidRPr="007920B4" w14:paraId="71516050" w14:textId="77777777" w:rsidTr="007920B4">
        <w:trPr>
          <w:trHeight w:val="355"/>
        </w:trPr>
        <w:tc>
          <w:tcPr>
            <w:tcW w:w="2846" w:type="dxa"/>
            <w:vAlign w:val="center"/>
          </w:tcPr>
          <w:p w14:paraId="0850D767"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Resistividad</w:t>
            </w:r>
          </w:p>
        </w:tc>
        <w:tc>
          <w:tcPr>
            <w:tcW w:w="1920" w:type="dxa"/>
            <w:vAlign w:val="center"/>
          </w:tcPr>
          <w:p w14:paraId="20642ED6"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Test Wenner</w:t>
            </w:r>
          </w:p>
        </w:tc>
        <w:tc>
          <w:tcPr>
            <w:tcW w:w="2056" w:type="dxa"/>
            <w:vAlign w:val="center"/>
          </w:tcPr>
          <w:p w14:paraId="3E6585DC" w14:textId="77777777" w:rsidR="00852829" w:rsidRPr="007920B4" w:rsidRDefault="00852829" w:rsidP="007920B4">
            <w:pPr>
              <w:spacing w:line="240" w:lineRule="auto"/>
              <w:jc w:val="left"/>
              <w:rPr>
                <w:rFonts w:ascii="Arial" w:hAnsi="Arial" w:cs="Arial"/>
                <w:sz w:val="20"/>
                <w:szCs w:val="20"/>
              </w:rPr>
            </w:pPr>
          </w:p>
        </w:tc>
        <w:tc>
          <w:tcPr>
            <w:tcW w:w="2260" w:type="dxa"/>
            <w:vAlign w:val="center"/>
          </w:tcPr>
          <w:p w14:paraId="57CD12A6" w14:textId="77777777" w:rsidR="00852829" w:rsidRPr="007920B4" w:rsidRDefault="00852829" w:rsidP="007920B4">
            <w:pPr>
              <w:spacing w:line="240" w:lineRule="auto"/>
              <w:jc w:val="left"/>
              <w:rPr>
                <w:rFonts w:ascii="Arial" w:hAnsi="Arial" w:cs="Arial"/>
                <w:sz w:val="20"/>
                <w:szCs w:val="20"/>
              </w:rPr>
            </w:pPr>
          </w:p>
        </w:tc>
      </w:tr>
      <w:tr w:rsidR="00852829" w:rsidRPr="007920B4" w14:paraId="06941C7D" w14:textId="77777777" w:rsidTr="007920B4">
        <w:trPr>
          <w:trHeight w:val="355"/>
        </w:trPr>
        <w:tc>
          <w:tcPr>
            <w:tcW w:w="2846" w:type="dxa"/>
            <w:vAlign w:val="center"/>
          </w:tcPr>
          <w:p w14:paraId="59E8E07C" w14:textId="77777777" w:rsidR="00852829" w:rsidRPr="007920B4" w:rsidRDefault="00852829" w:rsidP="007920B4">
            <w:pPr>
              <w:spacing w:line="240" w:lineRule="auto"/>
              <w:jc w:val="left"/>
              <w:rPr>
                <w:rFonts w:ascii="Arial" w:hAnsi="Arial" w:cs="Arial"/>
                <w:sz w:val="20"/>
                <w:szCs w:val="20"/>
              </w:rPr>
            </w:pPr>
            <w:r w:rsidRPr="007920B4">
              <w:rPr>
                <w:rFonts w:ascii="Arial" w:hAnsi="Arial" w:cs="Arial"/>
                <w:sz w:val="20"/>
                <w:szCs w:val="20"/>
              </w:rPr>
              <w:t>Densidad</w:t>
            </w:r>
          </w:p>
        </w:tc>
        <w:tc>
          <w:tcPr>
            <w:tcW w:w="1920" w:type="dxa"/>
            <w:vAlign w:val="center"/>
          </w:tcPr>
          <w:p w14:paraId="55F8E5F6"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w:t>
            </w:r>
          </w:p>
        </w:tc>
        <w:tc>
          <w:tcPr>
            <w:tcW w:w="2056" w:type="dxa"/>
            <w:vAlign w:val="center"/>
          </w:tcPr>
          <w:p w14:paraId="489B044E" w14:textId="77777777" w:rsidR="00852829" w:rsidRPr="007920B4" w:rsidRDefault="00852829" w:rsidP="007920B4">
            <w:pPr>
              <w:spacing w:line="240" w:lineRule="auto"/>
              <w:jc w:val="center"/>
              <w:rPr>
                <w:rFonts w:ascii="Arial" w:hAnsi="Arial" w:cs="Arial"/>
                <w:sz w:val="20"/>
                <w:szCs w:val="20"/>
              </w:rPr>
            </w:pPr>
            <w:proofErr w:type="spellStart"/>
            <w:r w:rsidRPr="007920B4">
              <w:rPr>
                <w:rFonts w:ascii="Arial" w:hAnsi="Arial" w:cs="Arial"/>
                <w:sz w:val="20"/>
                <w:szCs w:val="20"/>
              </w:rPr>
              <w:t>PrEN</w:t>
            </w:r>
            <w:proofErr w:type="spellEnd"/>
            <w:r w:rsidRPr="007920B4">
              <w:rPr>
                <w:rFonts w:ascii="Arial" w:hAnsi="Arial" w:cs="Arial"/>
                <w:sz w:val="20"/>
                <w:szCs w:val="20"/>
              </w:rPr>
              <w:t xml:space="preserve"> 12363</w:t>
            </w:r>
          </w:p>
        </w:tc>
        <w:tc>
          <w:tcPr>
            <w:tcW w:w="2260" w:type="dxa"/>
            <w:vAlign w:val="center"/>
          </w:tcPr>
          <w:p w14:paraId="7E00FA6D"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Una vez para juzgar efectividad</w:t>
            </w:r>
          </w:p>
        </w:tc>
      </w:tr>
      <w:tr w:rsidR="00852829" w:rsidRPr="007920B4" w14:paraId="0450B6B4" w14:textId="77777777" w:rsidTr="007920B4">
        <w:trPr>
          <w:trHeight w:val="355"/>
        </w:trPr>
        <w:tc>
          <w:tcPr>
            <w:tcW w:w="2846" w:type="dxa"/>
          </w:tcPr>
          <w:p w14:paraId="7B15A8AB" w14:textId="77777777" w:rsidR="00852829" w:rsidRPr="007920B4" w:rsidRDefault="00852829" w:rsidP="007920B4">
            <w:pPr>
              <w:spacing w:line="240" w:lineRule="auto"/>
              <w:rPr>
                <w:rFonts w:ascii="Arial" w:hAnsi="Arial" w:cs="Arial"/>
                <w:sz w:val="20"/>
                <w:szCs w:val="20"/>
              </w:rPr>
            </w:pPr>
            <w:r w:rsidRPr="007920B4">
              <w:rPr>
                <w:rFonts w:ascii="Arial" w:hAnsi="Arial" w:cs="Arial"/>
                <w:sz w:val="20"/>
                <w:szCs w:val="20"/>
              </w:rPr>
              <w:t>Espesor</w:t>
            </w:r>
          </w:p>
        </w:tc>
        <w:tc>
          <w:tcPr>
            <w:tcW w:w="1920" w:type="dxa"/>
          </w:tcPr>
          <w:p w14:paraId="08F4B058" w14:textId="77777777" w:rsidR="00852829" w:rsidRPr="007920B4" w:rsidRDefault="00852829" w:rsidP="007920B4">
            <w:pPr>
              <w:spacing w:line="240" w:lineRule="auto"/>
              <w:jc w:val="center"/>
              <w:rPr>
                <w:rFonts w:ascii="Arial" w:hAnsi="Arial" w:cs="Arial"/>
                <w:sz w:val="20"/>
                <w:szCs w:val="20"/>
              </w:rPr>
            </w:pPr>
            <w:proofErr w:type="spellStart"/>
            <w:r w:rsidRPr="007920B4">
              <w:rPr>
                <w:rFonts w:ascii="Arial" w:hAnsi="Arial" w:cs="Arial"/>
                <w:sz w:val="20"/>
                <w:szCs w:val="20"/>
              </w:rPr>
              <w:t>Pachómetro</w:t>
            </w:r>
            <w:proofErr w:type="spellEnd"/>
          </w:p>
        </w:tc>
        <w:tc>
          <w:tcPr>
            <w:tcW w:w="2056" w:type="dxa"/>
          </w:tcPr>
          <w:p w14:paraId="2E1DDC23" w14:textId="77777777" w:rsidR="00852829" w:rsidRPr="007920B4" w:rsidRDefault="00852829" w:rsidP="007920B4">
            <w:pPr>
              <w:spacing w:line="240" w:lineRule="auto"/>
              <w:jc w:val="center"/>
              <w:rPr>
                <w:rFonts w:ascii="Arial" w:hAnsi="Arial" w:cs="Arial"/>
                <w:sz w:val="20"/>
                <w:szCs w:val="20"/>
              </w:rPr>
            </w:pPr>
          </w:p>
        </w:tc>
        <w:tc>
          <w:tcPr>
            <w:tcW w:w="2260" w:type="dxa"/>
          </w:tcPr>
          <w:p w14:paraId="4A92FF15"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Una vez para juzgar efectividad</w:t>
            </w:r>
          </w:p>
        </w:tc>
      </w:tr>
      <w:tr w:rsidR="00852829" w:rsidRPr="007920B4" w14:paraId="54BD0EE9" w14:textId="77777777" w:rsidTr="007920B4">
        <w:trPr>
          <w:trHeight w:val="355"/>
        </w:trPr>
        <w:tc>
          <w:tcPr>
            <w:tcW w:w="2846" w:type="dxa"/>
          </w:tcPr>
          <w:p w14:paraId="277DC459" w14:textId="77777777" w:rsidR="00852829" w:rsidRPr="007920B4" w:rsidRDefault="00852829" w:rsidP="007920B4">
            <w:pPr>
              <w:spacing w:line="240" w:lineRule="auto"/>
              <w:rPr>
                <w:rFonts w:ascii="Arial" w:hAnsi="Arial" w:cs="Arial"/>
                <w:sz w:val="20"/>
                <w:szCs w:val="20"/>
              </w:rPr>
            </w:pPr>
            <w:r w:rsidRPr="007920B4">
              <w:rPr>
                <w:rFonts w:ascii="Arial" w:hAnsi="Arial" w:cs="Arial"/>
                <w:sz w:val="20"/>
                <w:szCs w:val="20"/>
              </w:rPr>
              <w:t>Permeabilidad al agua</w:t>
            </w:r>
          </w:p>
        </w:tc>
        <w:tc>
          <w:tcPr>
            <w:tcW w:w="1920" w:type="dxa"/>
          </w:tcPr>
          <w:p w14:paraId="1EE26393"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 xml:space="preserve">Ensayo </w:t>
            </w:r>
            <w:proofErr w:type="gramStart"/>
            <w:r w:rsidRPr="007920B4">
              <w:rPr>
                <w:rFonts w:ascii="Arial" w:hAnsi="Arial" w:cs="Arial"/>
                <w:sz w:val="20"/>
                <w:szCs w:val="20"/>
              </w:rPr>
              <w:t>de .penetración</w:t>
            </w:r>
            <w:proofErr w:type="gramEnd"/>
          </w:p>
        </w:tc>
        <w:tc>
          <w:tcPr>
            <w:tcW w:w="2056" w:type="dxa"/>
          </w:tcPr>
          <w:p w14:paraId="6E12BEB0" w14:textId="77777777" w:rsidR="00852829" w:rsidRPr="007920B4" w:rsidRDefault="00852829" w:rsidP="007920B4">
            <w:pPr>
              <w:spacing w:line="240" w:lineRule="auto"/>
              <w:jc w:val="center"/>
              <w:rPr>
                <w:rFonts w:ascii="Arial" w:hAnsi="Arial" w:cs="Arial"/>
                <w:sz w:val="20"/>
                <w:szCs w:val="20"/>
              </w:rPr>
            </w:pPr>
            <w:proofErr w:type="spellStart"/>
            <w:r w:rsidRPr="007920B4">
              <w:rPr>
                <w:rFonts w:ascii="Arial" w:hAnsi="Arial" w:cs="Arial"/>
                <w:sz w:val="20"/>
                <w:szCs w:val="20"/>
              </w:rPr>
              <w:t>PrEN</w:t>
            </w:r>
            <w:proofErr w:type="spellEnd"/>
            <w:r w:rsidRPr="007920B4">
              <w:rPr>
                <w:rFonts w:ascii="Arial" w:hAnsi="Arial" w:cs="Arial"/>
                <w:sz w:val="20"/>
                <w:szCs w:val="20"/>
              </w:rPr>
              <w:t xml:space="preserve"> 12364</w:t>
            </w:r>
          </w:p>
        </w:tc>
        <w:tc>
          <w:tcPr>
            <w:tcW w:w="2260" w:type="dxa"/>
          </w:tcPr>
          <w:p w14:paraId="602A604B"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Una vez al final</w:t>
            </w:r>
          </w:p>
        </w:tc>
      </w:tr>
      <w:tr w:rsidR="00852829" w:rsidRPr="007920B4" w14:paraId="7A026282" w14:textId="77777777" w:rsidTr="007920B4">
        <w:trPr>
          <w:trHeight w:val="355"/>
        </w:trPr>
        <w:tc>
          <w:tcPr>
            <w:tcW w:w="2846" w:type="dxa"/>
          </w:tcPr>
          <w:p w14:paraId="73F1EF89" w14:textId="77777777" w:rsidR="00852829" w:rsidRPr="007920B4" w:rsidRDefault="00852829" w:rsidP="007920B4">
            <w:pPr>
              <w:spacing w:line="240" w:lineRule="auto"/>
              <w:rPr>
                <w:rFonts w:ascii="Arial" w:hAnsi="Arial" w:cs="Arial"/>
                <w:sz w:val="20"/>
                <w:szCs w:val="20"/>
              </w:rPr>
            </w:pPr>
            <w:r w:rsidRPr="007920B4">
              <w:rPr>
                <w:rFonts w:ascii="Arial" w:hAnsi="Arial" w:cs="Arial"/>
                <w:sz w:val="20"/>
                <w:szCs w:val="20"/>
              </w:rPr>
              <w:t>Presencia de coqueras</w:t>
            </w:r>
          </w:p>
        </w:tc>
        <w:tc>
          <w:tcPr>
            <w:tcW w:w="1920" w:type="dxa"/>
          </w:tcPr>
          <w:p w14:paraId="237F5461"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Ensayo ultrasonidos o visual</w:t>
            </w:r>
          </w:p>
        </w:tc>
        <w:tc>
          <w:tcPr>
            <w:tcW w:w="2056" w:type="dxa"/>
          </w:tcPr>
          <w:p w14:paraId="66D4DF95"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ISO 8047</w:t>
            </w:r>
          </w:p>
        </w:tc>
        <w:tc>
          <w:tcPr>
            <w:tcW w:w="2260" w:type="dxa"/>
          </w:tcPr>
          <w:p w14:paraId="0F9248E0" w14:textId="77777777" w:rsidR="00852829" w:rsidRPr="007920B4" w:rsidRDefault="00852829" w:rsidP="007920B4">
            <w:pPr>
              <w:spacing w:line="240" w:lineRule="auto"/>
              <w:jc w:val="center"/>
              <w:rPr>
                <w:rFonts w:ascii="Arial" w:hAnsi="Arial" w:cs="Arial"/>
                <w:sz w:val="20"/>
                <w:szCs w:val="20"/>
              </w:rPr>
            </w:pPr>
            <w:r w:rsidRPr="007920B4">
              <w:rPr>
                <w:rFonts w:ascii="Arial" w:hAnsi="Arial" w:cs="Arial"/>
                <w:sz w:val="20"/>
                <w:szCs w:val="20"/>
              </w:rPr>
              <w:t>Una vez al final</w:t>
            </w:r>
          </w:p>
        </w:tc>
      </w:tr>
    </w:tbl>
    <w:p w14:paraId="488A0AB7" w14:textId="77777777" w:rsidR="001246F1" w:rsidRDefault="001246F1" w:rsidP="00852829">
      <w:pPr>
        <w:pStyle w:val="NORMAL12"/>
        <w:rPr>
          <w:i/>
          <w:u w:val="single"/>
        </w:rPr>
      </w:pPr>
    </w:p>
    <w:p w14:paraId="72C9E120" w14:textId="77777777" w:rsidR="001246F1" w:rsidRDefault="001246F1" w:rsidP="00852829">
      <w:pPr>
        <w:pStyle w:val="NORMAL12"/>
        <w:rPr>
          <w:i/>
          <w:u w:val="single"/>
        </w:rPr>
      </w:pPr>
    </w:p>
    <w:p w14:paraId="45CE6FE0" w14:textId="77777777" w:rsidR="00852829" w:rsidRPr="005E7A3B" w:rsidRDefault="00852829" w:rsidP="00852829">
      <w:pPr>
        <w:pStyle w:val="NORMAL12"/>
        <w:rPr>
          <w:i/>
          <w:u w:val="single"/>
        </w:rPr>
      </w:pPr>
      <w:r w:rsidRPr="005E7A3B">
        <w:rPr>
          <w:i/>
          <w:u w:val="single"/>
        </w:rPr>
        <w:lastRenderedPageBreak/>
        <w:t xml:space="preserve">Adherencia por tracción del sistema aplicado. </w:t>
      </w:r>
    </w:p>
    <w:p w14:paraId="1BA6C9E8" w14:textId="77777777" w:rsidR="00852829" w:rsidRPr="005E7A3B" w:rsidRDefault="00852829" w:rsidP="00852829">
      <w:pPr>
        <w:pStyle w:val="NORMAL12"/>
        <w:rPr>
          <w:lang w:val="es-ES"/>
        </w:rPr>
      </w:pPr>
      <w:r w:rsidRPr="005E7A3B">
        <w:rPr>
          <w:lang w:val="es-ES"/>
        </w:rPr>
        <w:t xml:space="preserve">Para lo cual se realizará un ensayo de arrancamiento por tracción del conjunto del sistema aplicado con hormigón. Se realizarán determinaciones para cada mortero o puente de unión aplicado, así como para cada tipo de soporte. </w:t>
      </w:r>
    </w:p>
    <w:p w14:paraId="689C817A" w14:textId="77777777" w:rsidR="00852829" w:rsidRPr="005E7A3B" w:rsidRDefault="00852829" w:rsidP="00852829">
      <w:pPr>
        <w:pStyle w:val="NORMAL12"/>
        <w:rPr>
          <w:lang w:val="es-ES"/>
        </w:rPr>
      </w:pPr>
      <w:r w:rsidRPr="005E7A3B">
        <w:rPr>
          <w:lang w:val="es-ES"/>
        </w:rPr>
        <w:t>Deberá obtenerse un valor de rotura de al menos 0,8 N/mm</w:t>
      </w:r>
      <w:r w:rsidRPr="00D921B6">
        <w:rPr>
          <w:vertAlign w:val="superscript"/>
          <w:lang w:val="es-ES"/>
        </w:rPr>
        <w:t>2</w:t>
      </w:r>
      <w:r w:rsidRPr="005E7A3B">
        <w:rPr>
          <w:lang w:val="es-ES"/>
        </w:rPr>
        <w:t xml:space="preserve"> y el punto de rotura estará en el interior del hormigón. Eventualmente podrán aceptarse otros puntos de rotura siempre que el valor de </w:t>
      </w:r>
      <w:proofErr w:type="gramStart"/>
      <w:r w:rsidRPr="005E7A3B">
        <w:rPr>
          <w:lang w:val="es-ES"/>
        </w:rPr>
        <w:t>la misma</w:t>
      </w:r>
      <w:proofErr w:type="gramEnd"/>
      <w:r w:rsidRPr="005E7A3B">
        <w:rPr>
          <w:lang w:val="es-ES"/>
        </w:rPr>
        <w:t xml:space="preserve"> sea de al menos 0,8 N/mm</w:t>
      </w:r>
      <w:r w:rsidRPr="00D921B6">
        <w:rPr>
          <w:vertAlign w:val="superscript"/>
          <w:lang w:val="es-ES"/>
        </w:rPr>
        <w:t>2</w:t>
      </w:r>
      <w:r w:rsidRPr="005E7A3B">
        <w:rPr>
          <w:lang w:val="es-ES"/>
        </w:rPr>
        <w:t xml:space="preserve">. </w:t>
      </w:r>
    </w:p>
    <w:p w14:paraId="57200800" w14:textId="77777777" w:rsidR="00852829" w:rsidRPr="005E7A3B" w:rsidRDefault="00852829" w:rsidP="00852829">
      <w:pPr>
        <w:pStyle w:val="NORMAL12"/>
        <w:rPr>
          <w:i/>
          <w:u w:val="single"/>
        </w:rPr>
      </w:pPr>
      <w:r w:rsidRPr="005E7A3B">
        <w:rPr>
          <w:i/>
          <w:u w:val="single"/>
        </w:rPr>
        <w:t xml:space="preserve">Ejecución de probetas. </w:t>
      </w:r>
    </w:p>
    <w:p w14:paraId="02DFCA4F" w14:textId="77777777" w:rsidR="00852829" w:rsidRPr="005E7A3B" w:rsidRDefault="00852829" w:rsidP="00852829">
      <w:pPr>
        <w:pStyle w:val="NORMAL12"/>
        <w:rPr>
          <w:lang w:val="es-ES"/>
        </w:rPr>
      </w:pPr>
      <w:r w:rsidRPr="005E7A3B">
        <w:rPr>
          <w:lang w:val="es-ES"/>
        </w:rPr>
        <w:t xml:space="preserve">Para medida de resistencias mecánicas del mortero según UNE EN 12190. Deberá obtenerse un valor superior al mínimo especificado previamente. En caso de ausencia de especificación la resistencia a compresión mínima requerida será de un mínimo de 10 </w:t>
      </w:r>
      <w:proofErr w:type="spellStart"/>
      <w:r w:rsidRPr="005E7A3B">
        <w:rPr>
          <w:lang w:val="es-ES"/>
        </w:rPr>
        <w:t>ó</w:t>
      </w:r>
      <w:proofErr w:type="spellEnd"/>
      <w:r w:rsidRPr="005E7A3B">
        <w:rPr>
          <w:lang w:val="es-ES"/>
        </w:rPr>
        <w:t xml:space="preserve"> 15 MPa según la categoría del mortero. </w:t>
      </w:r>
    </w:p>
    <w:p w14:paraId="5E60F829" w14:textId="77777777" w:rsidR="00852829" w:rsidRPr="005E7A3B" w:rsidRDefault="00852829" w:rsidP="00852829">
      <w:pPr>
        <w:pStyle w:val="NORMAL12"/>
        <w:rPr>
          <w:i/>
          <w:u w:val="single"/>
        </w:rPr>
      </w:pPr>
      <w:r w:rsidRPr="005E7A3B">
        <w:rPr>
          <w:i/>
          <w:u w:val="single"/>
        </w:rPr>
        <w:t>Comprobación de la conformidad de morteros diseñados frescos</w:t>
      </w:r>
    </w:p>
    <w:tbl>
      <w:tblPr>
        <w:tblW w:w="8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07"/>
        <w:gridCol w:w="2410"/>
      </w:tblGrid>
      <w:tr w:rsidR="00852829" w:rsidRPr="007920B4" w14:paraId="3ED09938" w14:textId="77777777" w:rsidTr="007920B4">
        <w:trPr>
          <w:jc w:val="center"/>
        </w:trPr>
        <w:tc>
          <w:tcPr>
            <w:tcW w:w="6307" w:type="dxa"/>
            <w:shd w:val="clear" w:color="auto" w:fill="D9D9D9" w:themeFill="background1" w:themeFillShade="D9"/>
            <w:vAlign w:val="center"/>
          </w:tcPr>
          <w:p w14:paraId="491D3754" w14:textId="77777777" w:rsidR="00852829" w:rsidRPr="007920B4" w:rsidRDefault="00852829" w:rsidP="007920B4">
            <w:pPr>
              <w:pStyle w:val="Tabla1"/>
              <w:jc w:val="center"/>
              <w:rPr>
                <w:b/>
                <w:sz w:val="20"/>
                <w:szCs w:val="20"/>
              </w:rPr>
            </w:pPr>
            <w:r w:rsidRPr="007920B4">
              <w:rPr>
                <w:b/>
                <w:sz w:val="20"/>
                <w:szCs w:val="20"/>
              </w:rPr>
              <w:t>Ensayo</w:t>
            </w:r>
          </w:p>
        </w:tc>
        <w:tc>
          <w:tcPr>
            <w:tcW w:w="2410" w:type="dxa"/>
            <w:shd w:val="clear" w:color="auto" w:fill="D9D9D9" w:themeFill="background1" w:themeFillShade="D9"/>
            <w:vAlign w:val="center"/>
          </w:tcPr>
          <w:p w14:paraId="00E07AB8" w14:textId="77777777" w:rsidR="00852829" w:rsidRPr="007920B4" w:rsidRDefault="00852829" w:rsidP="007920B4">
            <w:pPr>
              <w:pStyle w:val="Tabla1"/>
              <w:jc w:val="center"/>
              <w:rPr>
                <w:b/>
                <w:sz w:val="20"/>
                <w:szCs w:val="20"/>
              </w:rPr>
            </w:pPr>
            <w:r w:rsidRPr="007920B4">
              <w:rPr>
                <w:b/>
                <w:sz w:val="20"/>
                <w:szCs w:val="20"/>
              </w:rPr>
              <w:t>Norma</w:t>
            </w:r>
          </w:p>
        </w:tc>
      </w:tr>
      <w:tr w:rsidR="00852829" w:rsidRPr="007920B4" w14:paraId="1421D3DA" w14:textId="77777777" w:rsidTr="007920B4">
        <w:trPr>
          <w:jc w:val="center"/>
        </w:trPr>
        <w:tc>
          <w:tcPr>
            <w:tcW w:w="6307" w:type="dxa"/>
          </w:tcPr>
          <w:p w14:paraId="6392D1E9" w14:textId="77777777" w:rsidR="00852829" w:rsidRPr="007920B4" w:rsidRDefault="00852829" w:rsidP="007920B4">
            <w:pPr>
              <w:pStyle w:val="Tabla1"/>
              <w:rPr>
                <w:sz w:val="20"/>
                <w:szCs w:val="20"/>
              </w:rPr>
            </w:pPr>
            <w:r w:rsidRPr="007920B4">
              <w:rPr>
                <w:sz w:val="20"/>
                <w:szCs w:val="20"/>
              </w:rPr>
              <w:t>Determinación del periodo de trabajabilidad</w:t>
            </w:r>
          </w:p>
        </w:tc>
        <w:tc>
          <w:tcPr>
            <w:tcW w:w="2410" w:type="dxa"/>
          </w:tcPr>
          <w:p w14:paraId="128BB169" w14:textId="77777777" w:rsidR="00852829" w:rsidRPr="007920B4" w:rsidRDefault="00852829" w:rsidP="007920B4">
            <w:pPr>
              <w:pStyle w:val="Tabla1"/>
              <w:rPr>
                <w:sz w:val="20"/>
                <w:szCs w:val="20"/>
              </w:rPr>
            </w:pPr>
            <w:r w:rsidRPr="007920B4">
              <w:rPr>
                <w:sz w:val="20"/>
                <w:szCs w:val="20"/>
              </w:rPr>
              <w:t>UNE EN 1015-9</w:t>
            </w:r>
          </w:p>
        </w:tc>
      </w:tr>
      <w:tr w:rsidR="00852829" w:rsidRPr="007920B4" w14:paraId="7FA841A2" w14:textId="77777777" w:rsidTr="007920B4">
        <w:trPr>
          <w:jc w:val="center"/>
        </w:trPr>
        <w:tc>
          <w:tcPr>
            <w:tcW w:w="6307" w:type="dxa"/>
          </w:tcPr>
          <w:p w14:paraId="70C90957" w14:textId="77777777" w:rsidR="00852829" w:rsidRPr="007920B4" w:rsidRDefault="00852829" w:rsidP="007920B4">
            <w:pPr>
              <w:pStyle w:val="Tabla1"/>
              <w:rPr>
                <w:sz w:val="20"/>
                <w:szCs w:val="20"/>
              </w:rPr>
            </w:pPr>
            <w:r w:rsidRPr="007920B4">
              <w:rPr>
                <w:sz w:val="20"/>
                <w:szCs w:val="20"/>
              </w:rPr>
              <w:t>Determinación de la consistencia</w:t>
            </w:r>
          </w:p>
        </w:tc>
        <w:tc>
          <w:tcPr>
            <w:tcW w:w="2410" w:type="dxa"/>
          </w:tcPr>
          <w:p w14:paraId="6B7842D1" w14:textId="77777777" w:rsidR="00852829" w:rsidRPr="007920B4" w:rsidRDefault="00852829" w:rsidP="007920B4">
            <w:pPr>
              <w:pStyle w:val="Tabla1"/>
              <w:rPr>
                <w:sz w:val="20"/>
                <w:szCs w:val="20"/>
              </w:rPr>
            </w:pPr>
            <w:r w:rsidRPr="007920B4">
              <w:rPr>
                <w:sz w:val="20"/>
                <w:szCs w:val="20"/>
              </w:rPr>
              <w:t>UNE EN 1015-4</w:t>
            </w:r>
          </w:p>
        </w:tc>
      </w:tr>
      <w:tr w:rsidR="00852829" w:rsidRPr="007920B4" w14:paraId="3BB0EDB2" w14:textId="77777777" w:rsidTr="007920B4">
        <w:trPr>
          <w:jc w:val="center"/>
        </w:trPr>
        <w:tc>
          <w:tcPr>
            <w:tcW w:w="6307" w:type="dxa"/>
          </w:tcPr>
          <w:p w14:paraId="74EAF1D6" w14:textId="77777777" w:rsidR="00852829" w:rsidRPr="007920B4" w:rsidRDefault="00852829" w:rsidP="007920B4">
            <w:pPr>
              <w:pStyle w:val="Tabla1"/>
              <w:rPr>
                <w:sz w:val="20"/>
                <w:szCs w:val="20"/>
                <w:highlight w:val="yellow"/>
              </w:rPr>
            </w:pPr>
            <w:r w:rsidRPr="007920B4">
              <w:rPr>
                <w:sz w:val="20"/>
                <w:szCs w:val="20"/>
              </w:rPr>
              <w:t>Determinación del contenido en cloruros</w:t>
            </w:r>
          </w:p>
        </w:tc>
        <w:tc>
          <w:tcPr>
            <w:tcW w:w="2410" w:type="dxa"/>
          </w:tcPr>
          <w:p w14:paraId="744CA709" w14:textId="77777777" w:rsidR="00852829" w:rsidRPr="007920B4" w:rsidRDefault="00852829" w:rsidP="007920B4">
            <w:pPr>
              <w:pStyle w:val="Tabla1"/>
              <w:rPr>
                <w:sz w:val="20"/>
                <w:szCs w:val="20"/>
                <w:highlight w:val="yellow"/>
              </w:rPr>
            </w:pPr>
            <w:r w:rsidRPr="007920B4">
              <w:rPr>
                <w:sz w:val="20"/>
                <w:szCs w:val="20"/>
              </w:rPr>
              <w:t>UNE EN 1015-17</w:t>
            </w:r>
          </w:p>
        </w:tc>
      </w:tr>
      <w:tr w:rsidR="00852829" w:rsidRPr="007920B4" w14:paraId="2B830637" w14:textId="77777777" w:rsidTr="007920B4">
        <w:trPr>
          <w:jc w:val="center"/>
        </w:trPr>
        <w:tc>
          <w:tcPr>
            <w:tcW w:w="6307" w:type="dxa"/>
          </w:tcPr>
          <w:p w14:paraId="0D9B8F06" w14:textId="77777777" w:rsidR="00852829" w:rsidRPr="007920B4" w:rsidRDefault="00852829" w:rsidP="007920B4">
            <w:pPr>
              <w:pStyle w:val="Tabla1"/>
              <w:rPr>
                <w:sz w:val="20"/>
                <w:szCs w:val="20"/>
              </w:rPr>
            </w:pPr>
            <w:r w:rsidRPr="007920B4">
              <w:rPr>
                <w:sz w:val="20"/>
                <w:szCs w:val="20"/>
              </w:rPr>
              <w:t>Determinación del contenido de aire</w:t>
            </w:r>
          </w:p>
        </w:tc>
        <w:tc>
          <w:tcPr>
            <w:tcW w:w="2410" w:type="dxa"/>
          </w:tcPr>
          <w:p w14:paraId="23CA85FD" w14:textId="77777777" w:rsidR="00852829" w:rsidRPr="007920B4" w:rsidRDefault="00852829" w:rsidP="007920B4">
            <w:pPr>
              <w:pStyle w:val="Tabla1"/>
              <w:rPr>
                <w:sz w:val="20"/>
                <w:szCs w:val="20"/>
              </w:rPr>
            </w:pPr>
            <w:r w:rsidRPr="007920B4">
              <w:rPr>
                <w:sz w:val="20"/>
                <w:szCs w:val="20"/>
              </w:rPr>
              <w:t>UNE EN 1015-7</w:t>
            </w:r>
          </w:p>
        </w:tc>
      </w:tr>
      <w:tr w:rsidR="00852829" w:rsidRPr="007920B4" w14:paraId="325DDC04" w14:textId="77777777" w:rsidTr="007920B4">
        <w:trPr>
          <w:jc w:val="center"/>
        </w:trPr>
        <w:tc>
          <w:tcPr>
            <w:tcW w:w="6307" w:type="dxa"/>
          </w:tcPr>
          <w:p w14:paraId="5C923482" w14:textId="77777777" w:rsidR="00852829" w:rsidRPr="007920B4" w:rsidRDefault="00852829" w:rsidP="007920B4">
            <w:pPr>
              <w:pStyle w:val="Tabla1"/>
              <w:rPr>
                <w:sz w:val="20"/>
                <w:szCs w:val="20"/>
              </w:rPr>
            </w:pPr>
            <w:r w:rsidRPr="007920B4">
              <w:rPr>
                <w:sz w:val="20"/>
                <w:szCs w:val="20"/>
              </w:rPr>
              <w:t>Resistencia a compresión</w:t>
            </w:r>
          </w:p>
        </w:tc>
        <w:tc>
          <w:tcPr>
            <w:tcW w:w="2410" w:type="dxa"/>
          </w:tcPr>
          <w:p w14:paraId="6FF558D5" w14:textId="77777777" w:rsidR="00852829" w:rsidRPr="007920B4" w:rsidRDefault="00852829" w:rsidP="007920B4">
            <w:pPr>
              <w:pStyle w:val="Tabla1"/>
              <w:rPr>
                <w:sz w:val="20"/>
                <w:szCs w:val="20"/>
              </w:rPr>
            </w:pPr>
            <w:r w:rsidRPr="007920B4">
              <w:rPr>
                <w:sz w:val="20"/>
                <w:szCs w:val="20"/>
              </w:rPr>
              <w:t>UNE EN 1015-11</w:t>
            </w:r>
          </w:p>
        </w:tc>
      </w:tr>
    </w:tbl>
    <w:p w14:paraId="55CE4A03" w14:textId="77777777" w:rsidR="00852829" w:rsidRPr="003561E1" w:rsidRDefault="00852829" w:rsidP="00852829">
      <w:pPr>
        <w:pStyle w:val="NORMAL12"/>
        <w:rPr>
          <w:lang w:val="es-ES"/>
        </w:rPr>
      </w:pPr>
    </w:p>
    <w:p w14:paraId="65FA36A5" w14:textId="77777777" w:rsidR="00852829" w:rsidRPr="006937C2" w:rsidRDefault="00852829" w:rsidP="000313DD">
      <w:pPr>
        <w:pStyle w:val="TITU2"/>
      </w:pPr>
      <w:bookmarkStart w:id="1018" w:name="_Toc404540"/>
      <w:r>
        <w:t>698.7.</w:t>
      </w:r>
      <w:r w:rsidRPr="006937C2">
        <w:t xml:space="preserve"> </w:t>
      </w:r>
      <w:r>
        <w:t>Tratamiento de no conformidades</w:t>
      </w:r>
      <w:bookmarkEnd w:id="10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73"/>
        <w:gridCol w:w="4955"/>
      </w:tblGrid>
      <w:tr w:rsidR="00852829" w:rsidRPr="007920B4" w14:paraId="72985B21" w14:textId="77777777" w:rsidTr="007920B4">
        <w:tc>
          <w:tcPr>
            <w:tcW w:w="4673" w:type="dxa"/>
            <w:shd w:val="clear" w:color="auto" w:fill="D9D9D9" w:themeFill="background1" w:themeFillShade="D9"/>
          </w:tcPr>
          <w:p w14:paraId="4B0F44D0" w14:textId="77777777" w:rsidR="00852829" w:rsidRPr="007920B4" w:rsidRDefault="00852829" w:rsidP="007920B4">
            <w:pPr>
              <w:pStyle w:val="Tabla1"/>
              <w:jc w:val="center"/>
              <w:rPr>
                <w:b/>
                <w:sz w:val="20"/>
                <w:szCs w:val="20"/>
              </w:rPr>
            </w:pPr>
            <w:r w:rsidRPr="007920B4">
              <w:rPr>
                <w:b/>
                <w:sz w:val="20"/>
                <w:szCs w:val="20"/>
              </w:rPr>
              <w:t>No Conformidades</w:t>
            </w:r>
          </w:p>
        </w:tc>
        <w:tc>
          <w:tcPr>
            <w:tcW w:w="4955" w:type="dxa"/>
            <w:shd w:val="clear" w:color="auto" w:fill="D9D9D9" w:themeFill="background1" w:themeFillShade="D9"/>
          </w:tcPr>
          <w:p w14:paraId="23CFB67B" w14:textId="77777777" w:rsidR="00852829" w:rsidRPr="007920B4" w:rsidRDefault="00852829" w:rsidP="007920B4">
            <w:pPr>
              <w:pStyle w:val="Tabla1"/>
              <w:jc w:val="center"/>
              <w:rPr>
                <w:b/>
                <w:sz w:val="20"/>
                <w:szCs w:val="20"/>
              </w:rPr>
            </w:pPr>
            <w:r w:rsidRPr="007920B4">
              <w:rPr>
                <w:b/>
                <w:sz w:val="20"/>
                <w:szCs w:val="20"/>
              </w:rPr>
              <w:t>Tratamiento</w:t>
            </w:r>
          </w:p>
        </w:tc>
      </w:tr>
      <w:tr w:rsidR="00852829" w:rsidRPr="007920B4" w14:paraId="76680D23" w14:textId="77777777" w:rsidTr="007920B4">
        <w:tc>
          <w:tcPr>
            <w:tcW w:w="4673" w:type="dxa"/>
          </w:tcPr>
          <w:p w14:paraId="59ED0802" w14:textId="77777777" w:rsidR="00852829" w:rsidRPr="007920B4" w:rsidRDefault="00852829" w:rsidP="007920B4">
            <w:pPr>
              <w:pStyle w:val="Tabla1"/>
              <w:keepNext/>
              <w:rPr>
                <w:sz w:val="20"/>
                <w:szCs w:val="20"/>
              </w:rPr>
            </w:pPr>
            <w:r w:rsidRPr="007920B4">
              <w:rPr>
                <w:sz w:val="20"/>
                <w:szCs w:val="20"/>
              </w:rPr>
              <w:t>Existencia de coqueras o defectos superficiales</w:t>
            </w:r>
          </w:p>
        </w:tc>
        <w:tc>
          <w:tcPr>
            <w:tcW w:w="4955" w:type="dxa"/>
          </w:tcPr>
          <w:p w14:paraId="75591ADA" w14:textId="77777777" w:rsidR="00852829" w:rsidRPr="007920B4" w:rsidRDefault="00852829" w:rsidP="007920B4">
            <w:pPr>
              <w:pStyle w:val="Tabla1"/>
              <w:keepNext/>
              <w:rPr>
                <w:sz w:val="20"/>
                <w:szCs w:val="20"/>
              </w:rPr>
            </w:pPr>
            <w:r w:rsidRPr="007920B4">
              <w:rPr>
                <w:sz w:val="20"/>
                <w:szCs w:val="20"/>
              </w:rPr>
              <w:t>No se acepta, se corregirá y los gastos serán por cuenta del Contratista</w:t>
            </w:r>
          </w:p>
        </w:tc>
      </w:tr>
      <w:tr w:rsidR="00852829" w:rsidRPr="007920B4" w14:paraId="111F363F" w14:textId="77777777" w:rsidTr="007920B4">
        <w:tc>
          <w:tcPr>
            <w:tcW w:w="4673" w:type="dxa"/>
          </w:tcPr>
          <w:p w14:paraId="10CCDFF1" w14:textId="77777777" w:rsidR="00852829" w:rsidRPr="007920B4" w:rsidRDefault="00852829" w:rsidP="007920B4">
            <w:pPr>
              <w:pStyle w:val="Tabla1"/>
              <w:rPr>
                <w:sz w:val="20"/>
                <w:szCs w:val="20"/>
              </w:rPr>
            </w:pPr>
            <w:r w:rsidRPr="007920B4">
              <w:rPr>
                <w:sz w:val="20"/>
                <w:szCs w:val="20"/>
              </w:rPr>
              <w:t>Disminución de resistencia característica</w:t>
            </w:r>
          </w:p>
        </w:tc>
        <w:tc>
          <w:tcPr>
            <w:tcW w:w="4955" w:type="dxa"/>
          </w:tcPr>
          <w:p w14:paraId="1EB7ED81" w14:textId="77777777" w:rsidR="00852829" w:rsidRPr="007920B4" w:rsidRDefault="00852829" w:rsidP="007920B4">
            <w:pPr>
              <w:pStyle w:val="Tabla1"/>
              <w:rPr>
                <w:sz w:val="20"/>
                <w:szCs w:val="20"/>
              </w:rPr>
            </w:pPr>
            <w:r w:rsidRPr="007920B4">
              <w:rPr>
                <w:sz w:val="20"/>
                <w:szCs w:val="20"/>
              </w:rPr>
              <w:t>Condiciones de aceptación según UNE EN 1504</w:t>
            </w:r>
          </w:p>
        </w:tc>
      </w:tr>
      <w:tr w:rsidR="00852829" w:rsidRPr="007920B4" w14:paraId="24B542E0" w14:textId="77777777" w:rsidTr="007920B4">
        <w:tc>
          <w:tcPr>
            <w:tcW w:w="4673" w:type="dxa"/>
          </w:tcPr>
          <w:p w14:paraId="7570D431" w14:textId="77777777" w:rsidR="00852829" w:rsidRPr="007920B4" w:rsidRDefault="00852829" w:rsidP="007920B4">
            <w:pPr>
              <w:pStyle w:val="Tabla1"/>
              <w:rPr>
                <w:sz w:val="20"/>
                <w:szCs w:val="20"/>
              </w:rPr>
            </w:pPr>
            <w:r w:rsidRPr="007920B4">
              <w:rPr>
                <w:sz w:val="20"/>
                <w:szCs w:val="20"/>
              </w:rPr>
              <w:t>Espesores inferiores a los requeridos</w:t>
            </w:r>
          </w:p>
        </w:tc>
        <w:tc>
          <w:tcPr>
            <w:tcW w:w="4955" w:type="dxa"/>
          </w:tcPr>
          <w:p w14:paraId="04895CAE" w14:textId="77777777" w:rsidR="00852829" w:rsidRPr="007920B4" w:rsidRDefault="00852829" w:rsidP="007920B4">
            <w:pPr>
              <w:pStyle w:val="Tabla1"/>
              <w:rPr>
                <w:sz w:val="20"/>
                <w:szCs w:val="20"/>
              </w:rPr>
            </w:pPr>
            <w:r w:rsidRPr="007920B4">
              <w:rPr>
                <w:sz w:val="20"/>
                <w:szCs w:val="20"/>
              </w:rPr>
              <w:t xml:space="preserve">No se acepta, se corregirá y los gastos serán por cuenta del Contratista. </w:t>
            </w:r>
          </w:p>
        </w:tc>
      </w:tr>
    </w:tbl>
    <w:p w14:paraId="58D33FAC" w14:textId="77777777" w:rsidR="00852829" w:rsidRPr="006937C2" w:rsidRDefault="00852829" w:rsidP="000313DD">
      <w:pPr>
        <w:pStyle w:val="TITU2"/>
      </w:pPr>
      <w:bookmarkStart w:id="1019" w:name="_Toc404541"/>
      <w:r>
        <w:t>698.8.</w:t>
      </w:r>
      <w:r w:rsidRPr="006937C2">
        <w:t xml:space="preserve"> Medición y abono</w:t>
      </w:r>
      <w:bookmarkEnd w:id="1019"/>
    </w:p>
    <w:p w14:paraId="3B3EA172" w14:textId="77777777" w:rsidR="00852829" w:rsidRPr="005E7A3B" w:rsidRDefault="00852829" w:rsidP="00852829">
      <w:pPr>
        <w:pStyle w:val="NORMAL12"/>
        <w:rPr>
          <w:lang w:val="es-ES"/>
        </w:rPr>
      </w:pPr>
      <w:r w:rsidRPr="005E7A3B">
        <w:rPr>
          <w:lang w:val="es-ES"/>
        </w:rPr>
        <w:t xml:space="preserve">La medición y el abono de la unidad de reconstrucción de paramentos de hormigón con mortero de reparación estructural </w:t>
      </w:r>
      <w:r w:rsidRPr="00294D0B">
        <w:rPr>
          <w:lang w:val="es-ES"/>
        </w:rPr>
        <w:t>R4 se</w:t>
      </w:r>
      <w:r w:rsidRPr="005E7A3B">
        <w:rPr>
          <w:lang w:val="es-ES"/>
        </w:rPr>
        <w:t xml:space="preserve"> realizará conforme a las siguientes especificaciones</w:t>
      </w:r>
      <w:r w:rsidR="00217216" w:rsidRPr="005E7A3B">
        <w:rPr>
          <w:lang w:val="es-E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75"/>
        <w:gridCol w:w="6668"/>
      </w:tblGrid>
      <w:tr w:rsidR="00852829" w:rsidRPr="006937C2" w14:paraId="243D95CF" w14:textId="77777777" w:rsidTr="007920B4">
        <w:tc>
          <w:tcPr>
            <w:tcW w:w="0" w:type="auto"/>
            <w:vAlign w:val="center"/>
          </w:tcPr>
          <w:p w14:paraId="6CC464D5" w14:textId="77777777" w:rsidR="00852829" w:rsidRPr="006937C2" w:rsidRDefault="00852829" w:rsidP="007920B4">
            <w:pPr>
              <w:pStyle w:val="Tabla"/>
              <w:rPr>
                <w:b/>
              </w:rPr>
            </w:pPr>
            <w:r w:rsidRPr="006937C2">
              <w:rPr>
                <w:b/>
              </w:rPr>
              <w:t>Unidad de medida</w:t>
            </w:r>
          </w:p>
        </w:tc>
        <w:tc>
          <w:tcPr>
            <w:tcW w:w="6668" w:type="dxa"/>
            <w:vAlign w:val="center"/>
          </w:tcPr>
          <w:p w14:paraId="455D3817" w14:textId="77777777" w:rsidR="00852829" w:rsidRPr="006937C2" w:rsidRDefault="00852829" w:rsidP="00666B72">
            <w:pPr>
              <w:pStyle w:val="LCATabla"/>
              <w:keepLines/>
              <w:jc w:val="both"/>
              <w:rPr>
                <w:rFonts w:ascii="Arial" w:hAnsi="Arial"/>
                <w:sz w:val="20"/>
              </w:rPr>
            </w:pPr>
            <w:r w:rsidRPr="006937C2">
              <w:rPr>
                <w:rFonts w:ascii="Arial" w:hAnsi="Arial"/>
                <w:sz w:val="20"/>
              </w:rPr>
              <w:t>Metros cuadrados (m</w:t>
            </w:r>
            <w:r w:rsidRPr="006B5C2B">
              <w:rPr>
                <w:rFonts w:ascii="Arial" w:hAnsi="Arial"/>
                <w:sz w:val="20"/>
                <w:vertAlign w:val="superscript"/>
              </w:rPr>
              <w:t>2</w:t>
            </w:r>
            <w:r w:rsidRPr="006937C2">
              <w:rPr>
                <w:rFonts w:ascii="Arial" w:hAnsi="Arial"/>
                <w:sz w:val="20"/>
              </w:rPr>
              <w:t>).</w:t>
            </w:r>
          </w:p>
        </w:tc>
      </w:tr>
      <w:tr w:rsidR="00852829" w:rsidRPr="006937C2" w14:paraId="67A259A5" w14:textId="77777777" w:rsidTr="007920B4">
        <w:tc>
          <w:tcPr>
            <w:tcW w:w="0" w:type="auto"/>
            <w:vAlign w:val="center"/>
          </w:tcPr>
          <w:p w14:paraId="69A8FCAA" w14:textId="77777777" w:rsidR="00852829" w:rsidRPr="006937C2" w:rsidRDefault="00852829" w:rsidP="007920B4">
            <w:pPr>
              <w:pStyle w:val="Tabla"/>
              <w:rPr>
                <w:b/>
              </w:rPr>
            </w:pPr>
            <w:r w:rsidRPr="006937C2">
              <w:rPr>
                <w:b/>
              </w:rPr>
              <w:t>Grado de precisión</w:t>
            </w:r>
          </w:p>
        </w:tc>
        <w:tc>
          <w:tcPr>
            <w:tcW w:w="6668" w:type="dxa"/>
            <w:vAlign w:val="center"/>
          </w:tcPr>
          <w:p w14:paraId="12F1F721" w14:textId="77777777" w:rsidR="00852829" w:rsidRPr="006937C2" w:rsidRDefault="00852829" w:rsidP="00666B72">
            <w:pPr>
              <w:pStyle w:val="LCATabla"/>
              <w:keepLines/>
              <w:jc w:val="both"/>
              <w:rPr>
                <w:rFonts w:ascii="Arial" w:hAnsi="Arial"/>
                <w:sz w:val="20"/>
              </w:rPr>
            </w:pPr>
            <w:r w:rsidRPr="006937C2">
              <w:rPr>
                <w:rFonts w:ascii="Arial" w:hAnsi="Arial"/>
                <w:sz w:val="20"/>
              </w:rPr>
              <w:t>Dos decimales.</w:t>
            </w:r>
          </w:p>
        </w:tc>
      </w:tr>
      <w:tr w:rsidR="00852829" w:rsidRPr="006937C2" w14:paraId="21AA937A" w14:textId="77777777" w:rsidTr="007920B4">
        <w:tc>
          <w:tcPr>
            <w:tcW w:w="0" w:type="auto"/>
            <w:vAlign w:val="center"/>
          </w:tcPr>
          <w:p w14:paraId="5A55F2AB" w14:textId="77777777" w:rsidR="00852829" w:rsidRPr="006937C2" w:rsidRDefault="00852829" w:rsidP="007920B4">
            <w:pPr>
              <w:pStyle w:val="Tabla"/>
              <w:rPr>
                <w:b/>
              </w:rPr>
            </w:pPr>
            <w:r w:rsidRPr="006937C2">
              <w:rPr>
                <w:b/>
              </w:rPr>
              <w:t>Forma de medición</w:t>
            </w:r>
          </w:p>
        </w:tc>
        <w:tc>
          <w:tcPr>
            <w:tcW w:w="6668" w:type="dxa"/>
            <w:vAlign w:val="center"/>
          </w:tcPr>
          <w:p w14:paraId="2E4B8142" w14:textId="77777777" w:rsidR="00852829" w:rsidRPr="006937C2" w:rsidRDefault="00852829" w:rsidP="00666B72">
            <w:pPr>
              <w:pStyle w:val="LCATabla"/>
              <w:keepLines/>
              <w:jc w:val="both"/>
              <w:rPr>
                <w:rFonts w:ascii="Arial" w:hAnsi="Arial"/>
                <w:sz w:val="20"/>
              </w:rPr>
            </w:pPr>
            <w:r w:rsidRPr="006B5C2B">
              <w:rPr>
                <w:rFonts w:ascii="Arial" w:hAnsi="Arial"/>
                <w:sz w:val="20"/>
              </w:rPr>
              <w:t>Metros cuadrados (m</w:t>
            </w:r>
            <w:r w:rsidRPr="006B5C2B">
              <w:rPr>
                <w:rFonts w:ascii="Arial" w:hAnsi="Arial"/>
                <w:sz w:val="20"/>
                <w:vertAlign w:val="superscript"/>
              </w:rPr>
              <w:t>2</w:t>
            </w:r>
            <w:r w:rsidRPr="006B5C2B">
              <w:rPr>
                <w:rFonts w:ascii="Arial" w:hAnsi="Arial"/>
                <w:sz w:val="20"/>
              </w:rPr>
              <w:t>) realmente ejecutados en obra.</w:t>
            </w:r>
          </w:p>
        </w:tc>
      </w:tr>
      <w:tr w:rsidR="00852829" w:rsidRPr="001B1677" w14:paraId="6A81D5CF" w14:textId="77777777" w:rsidTr="007920B4">
        <w:tc>
          <w:tcPr>
            <w:tcW w:w="0" w:type="auto"/>
            <w:vAlign w:val="center"/>
          </w:tcPr>
          <w:p w14:paraId="27E86246" w14:textId="77777777" w:rsidR="00852829" w:rsidRPr="006937C2" w:rsidRDefault="00852829" w:rsidP="007920B4">
            <w:pPr>
              <w:pStyle w:val="Tabla"/>
              <w:rPr>
                <w:b/>
              </w:rPr>
            </w:pPr>
            <w:r w:rsidRPr="006937C2">
              <w:rPr>
                <w:b/>
              </w:rPr>
              <w:t>Abono</w:t>
            </w:r>
          </w:p>
        </w:tc>
        <w:tc>
          <w:tcPr>
            <w:tcW w:w="6668" w:type="dxa"/>
            <w:vAlign w:val="center"/>
          </w:tcPr>
          <w:p w14:paraId="190EDEB0" w14:textId="77777777" w:rsidR="00852829" w:rsidRPr="006937C2" w:rsidRDefault="00852829" w:rsidP="00666B72">
            <w:pPr>
              <w:pStyle w:val="LCATabla"/>
              <w:keepLines/>
              <w:jc w:val="both"/>
              <w:rPr>
                <w:rFonts w:ascii="Arial" w:hAnsi="Arial"/>
                <w:sz w:val="20"/>
              </w:rPr>
            </w:pPr>
            <w:r w:rsidRPr="006937C2">
              <w:rPr>
                <w:rFonts w:ascii="Arial" w:hAnsi="Arial"/>
                <w:sz w:val="20"/>
              </w:rPr>
              <w:t>Se efectuará cuando se realice la aceptación.</w:t>
            </w:r>
          </w:p>
        </w:tc>
      </w:tr>
      <w:tr w:rsidR="00852829" w:rsidRPr="001B1677" w14:paraId="6FE96784" w14:textId="77777777" w:rsidTr="007920B4">
        <w:tc>
          <w:tcPr>
            <w:tcW w:w="0" w:type="auto"/>
            <w:vAlign w:val="center"/>
          </w:tcPr>
          <w:p w14:paraId="11F4582B" w14:textId="77777777" w:rsidR="00852829" w:rsidRPr="006937C2" w:rsidRDefault="00852829" w:rsidP="007920B4">
            <w:pPr>
              <w:pStyle w:val="Tabla"/>
              <w:rPr>
                <w:b/>
              </w:rPr>
            </w:pPr>
            <w:r>
              <w:rPr>
                <w:b/>
              </w:rPr>
              <w:t>Criterios complementarios</w:t>
            </w:r>
          </w:p>
        </w:tc>
        <w:tc>
          <w:tcPr>
            <w:tcW w:w="6668" w:type="dxa"/>
            <w:vAlign w:val="center"/>
          </w:tcPr>
          <w:p w14:paraId="65E727A9" w14:textId="77777777" w:rsidR="00852829" w:rsidRPr="006937C2" w:rsidRDefault="00852829" w:rsidP="00666B72">
            <w:pPr>
              <w:pStyle w:val="LCATabla"/>
              <w:keepLines/>
              <w:jc w:val="both"/>
              <w:rPr>
                <w:rFonts w:ascii="Arial" w:hAnsi="Arial"/>
                <w:sz w:val="20"/>
              </w:rPr>
            </w:pPr>
            <w:r w:rsidRPr="006B5C2B">
              <w:rPr>
                <w:rFonts w:ascii="Arial" w:hAnsi="Arial"/>
                <w:sz w:val="20"/>
              </w:rPr>
              <w:t xml:space="preserve">Los precios incluyen todos los materiales, mano de obra, maquinaria y medios auxiliares necesarios para la correcta ejecución de la unidad, incluso </w:t>
            </w:r>
            <w:r>
              <w:rPr>
                <w:rFonts w:ascii="Arial" w:hAnsi="Arial"/>
                <w:sz w:val="20"/>
              </w:rPr>
              <w:t>ensayos previos y característicos cuando proceda</w:t>
            </w:r>
            <w:r w:rsidRPr="006B5C2B">
              <w:rPr>
                <w:rFonts w:ascii="Arial" w:hAnsi="Arial"/>
                <w:sz w:val="20"/>
              </w:rPr>
              <w:t>.</w:t>
            </w:r>
          </w:p>
        </w:tc>
      </w:tr>
    </w:tbl>
    <w:p w14:paraId="68352D16" w14:textId="77777777" w:rsidR="00852829" w:rsidRDefault="00852829" w:rsidP="00852829">
      <w:pPr>
        <w:pStyle w:val="NORMAL12"/>
        <w:rPr>
          <w:color w:val="FF0000"/>
          <w:lang w:val="es-ES"/>
        </w:rPr>
      </w:pPr>
    </w:p>
    <w:p w14:paraId="5B0F81D4" w14:textId="77777777" w:rsidR="00852829" w:rsidRDefault="00852829" w:rsidP="00852829">
      <w:pPr>
        <w:pStyle w:val="NORMAL12"/>
        <w:rPr>
          <w:color w:val="FF0000"/>
          <w:lang w:val="es-ES"/>
        </w:rPr>
      </w:pPr>
    </w:p>
    <w:p w14:paraId="7CF47DE0" w14:textId="77777777" w:rsidR="00852829" w:rsidRDefault="00852829" w:rsidP="00852829">
      <w:pPr>
        <w:pStyle w:val="NORMAL12"/>
        <w:rPr>
          <w:color w:val="FF0000"/>
          <w:lang w:val="es-ES"/>
        </w:rPr>
      </w:pPr>
    </w:p>
    <w:p w14:paraId="4A8DEEBD" w14:textId="77777777" w:rsidR="00876E39" w:rsidRPr="00174ED1" w:rsidRDefault="00876E39" w:rsidP="00876E39">
      <w:pPr>
        <w:pStyle w:val="TITU1"/>
      </w:pPr>
      <w:bookmarkStart w:id="1020" w:name="_Toc404542"/>
      <w:r w:rsidRPr="00174ED1">
        <w:rPr>
          <w:lang w:val="es-ES_tradnl"/>
        </w:rPr>
        <w:lastRenderedPageBreak/>
        <w:t xml:space="preserve">Artículo </w:t>
      </w:r>
      <w:r w:rsidR="001E6CAF" w:rsidRPr="00174ED1">
        <w:rPr>
          <w:lang w:val="es-ES_tradnl"/>
        </w:rPr>
        <w:t>699</w:t>
      </w:r>
      <w:r w:rsidR="008A1401" w:rsidRPr="00174ED1">
        <w:rPr>
          <w:lang w:val="es-ES_tradnl"/>
        </w:rPr>
        <w:t>.</w:t>
      </w:r>
      <w:r w:rsidRPr="00174ED1">
        <w:rPr>
          <w:lang w:val="es-ES_tradnl"/>
        </w:rPr>
        <w:t xml:space="preserve"> S</w:t>
      </w:r>
      <w:r w:rsidR="008A1401" w:rsidRPr="00174ED1">
        <w:rPr>
          <w:lang w:val="es-ES_tradnl"/>
        </w:rPr>
        <w:t>ellado de juntas</w:t>
      </w:r>
      <w:bookmarkEnd w:id="1020"/>
    </w:p>
    <w:p w14:paraId="420CA5F2" w14:textId="77777777" w:rsidR="008A1401" w:rsidRPr="00174ED1" w:rsidRDefault="008A1401" w:rsidP="000313DD">
      <w:pPr>
        <w:pStyle w:val="TITU2"/>
      </w:pPr>
      <w:bookmarkStart w:id="1021" w:name="_Toc404543"/>
      <w:bookmarkStart w:id="1022" w:name="_Toc398111488"/>
      <w:bookmarkStart w:id="1023" w:name="_Toc398555817"/>
      <w:bookmarkStart w:id="1024" w:name="_Toc413779952"/>
      <w:r w:rsidRPr="00174ED1">
        <w:t xml:space="preserve">699.1. </w:t>
      </w:r>
      <w:r w:rsidR="00D93E76" w:rsidRPr="00174ED1">
        <w:t>Aplicación</w:t>
      </w:r>
      <w:bookmarkEnd w:id="1021"/>
      <w:r w:rsidRPr="00174ED1">
        <w:t xml:space="preserve"> </w:t>
      </w:r>
      <w:bookmarkEnd w:id="1022"/>
      <w:bookmarkEnd w:id="1023"/>
      <w:bookmarkEnd w:id="1024"/>
      <w:r w:rsidRPr="00174ED1">
        <w:t xml:space="preserve"> </w:t>
      </w:r>
    </w:p>
    <w:p w14:paraId="7A471438" w14:textId="77777777" w:rsidR="008A1401" w:rsidRPr="00174ED1" w:rsidRDefault="008A1401" w:rsidP="008A1401">
      <w:pPr>
        <w:spacing w:before="120" w:after="120" w:line="360" w:lineRule="auto"/>
        <w:jc w:val="both"/>
        <w:rPr>
          <w:rFonts w:ascii="Arial" w:hAnsi="Arial"/>
          <w:szCs w:val="20"/>
        </w:rPr>
      </w:pPr>
      <w:r w:rsidRPr="00174ED1">
        <w:rPr>
          <w:rFonts w:ascii="Arial" w:hAnsi="Arial"/>
          <w:szCs w:val="20"/>
        </w:rPr>
        <w:t>Como separación entre módulos de muros en la infraestructura, así como entre dinteles en la superestructura, existen juntas capaces de admitir los movimientos requeridos en dichos puntos. En todas ellas se debe conseguir la impermeabilidad necesaria.</w:t>
      </w:r>
    </w:p>
    <w:p w14:paraId="13DFAA59" w14:textId="77777777" w:rsidR="008A1401" w:rsidRPr="00174ED1" w:rsidRDefault="008A1401" w:rsidP="008A1401">
      <w:pPr>
        <w:spacing w:before="120" w:after="120" w:line="360" w:lineRule="auto"/>
        <w:jc w:val="both"/>
        <w:rPr>
          <w:rFonts w:ascii="Arial" w:hAnsi="Arial"/>
          <w:szCs w:val="20"/>
        </w:rPr>
      </w:pPr>
      <w:r w:rsidRPr="00174ED1">
        <w:rPr>
          <w:rFonts w:ascii="Arial" w:hAnsi="Arial"/>
          <w:szCs w:val="20"/>
        </w:rPr>
        <w:t xml:space="preserve">Podrán a tal fin emplearse las juntas indicadas en los planos o cualesquiera otras que cumplan los requisitos anteriormente indicados y las condiciones señaladas seguidamente, y siempre que cuenten con la aceptación de la Dirección </w:t>
      </w:r>
      <w:r w:rsidR="00D50357">
        <w:rPr>
          <w:rFonts w:ascii="Arial" w:hAnsi="Arial"/>
          <w:szCs w:val="20"/>
        </w:rPr>
        <w:t>de Obra</w:t>
      </w:r>
      <w:r w:rsidRPr="00174ED1">
        <w:rPr>
          <w:rFonts w:ascii="Arial" w:hAnsi="Arial"/>
          <w:szCs w:val="20"/>
        </w:rPr>
        <w:t xml:space="preserve">. </w:t>
      </w:r>
    </w:p>
    <w:p w14:paraId="0696D182" w14:textId="77777777" w:rsidR="008A1401" w:rsidRPr="00174ED1" w:rsidRDefault="008A1401" w:rsidP="008A1401">
      <w:pPr>
        <w:spacing w:before="120" w:after="120" w:line="360" w:lineRule="auto"/>
        <w:jc w:val="both"/>
        <w:rPr>
          <w:rFonts w:ascii="Arial" w:hAnsi="Arial"/>
          <w:szCs w:val="20"/>
        </w:rPr>
      </w:pPr>
      <w:r w:rsidRPr="00174ED1">
        <w:rPr>
          <w:rFonts w:ascii="Arial" w:hAnsi="Arial"/>
          <w:szCs w:val="20"/>
        </w:rPr>
        <w:t xml:space="preserve">En particular deberán presentar una estanqueidad total frente al agua, para lo que se han previsto dispositivos elásticos especiales para su sellado. </w:t>
      </w:r>
    </w:p>
    <w:p w14:paraId="62F00C0A" w14:textId="77777777" w:rsidR="00876E39" w:rsidRDefault="00876E39" w:rsidP="00876E39">
      <w:pPr>
        <w:pStyle w:val="NORMAL12"/>
        <w:rPr>
          <w:lang w:val="es-ES"/>
        </w:rPr>
      </w:pPr>
      <w:r w:rsidRPr="00174ED1">
        <w:rPr>
          <w:lang w:val="es-ES"/>
        </w:rPr>
        <w:t xml:space="preserve">Las prescripciones del presente artículo </w:t>
      </w:r>
      <w:proofErr w:type="gramStart"/>
      <w:r w:rsidRPr="00174ED1">
        <w:rPr>
          <w:lang w:val="es-ES"/>
        </w:rPr>
        <w:t>son de aplicación</w:t>
      </w:r>
      <w:proofErr w:type="gramEnd"/>
      <w:r w:rsidRPr="00174ED1">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330"/>
        <w:gridCol w:w="643"/>
        <w:gridCol w:w="7805"/>
      </w:tblGrid>
      <w:tr w:rsidR="00102CE0" w:rsidRPr="00102CE0" w14:paraId="48B0849B" w14:textId="77777777" w:rsidTr="003421DA">
        <w:trPr>
          <w:trHeight w:val="300"/>
        </w:trPr>
        <w:tc>
          <w:tcPr>
            <w:tcW w:w="680" w:type="pct"/>
            <w:noWrap/>
            <w:hideMark/>
          </w:tcPr>
          <w:p w14:paraId="2E0AD518" w14:textId="77777777" w:rsidR="00876E39" w:rsidRPr="001A5B2B" w:rsidRDefault="00876E39" w:rsidP="003421DA">
            <w:pPr>
              <w:rPr>
                <w:rFonts w:ascii="Calibri" w:hAnsi="Calibri"/>
                <w:color w:val="FF0000"/>
                <w:highlight w:val="red"/>
              </w:rPr>
            </w:pPr>
          </w:p>
        </w:tc>
        <w:tc>
          <w:tcPr>
            <w:tcW w:w="329" w:type="pct"/>
            <w:noWrap/>
            <w:hideMark/>
          </w:tcPr>
          <w:p w14:paraId="709DBE0D" w14:textId="77777777" w:rsidR="00876E39" w:rsidRPr="001A5B2B" w:rsidRDefault="00876E39" w:rsidP="003421DA">
            <w:pPr>
              <w:rPr>
                <w:rFonts w:ascii="Calibri" w:hAnsi="Calibri"/>
                <w:color w:val="FF0000"/>
                <w:highlight w:val="red"/>
              </w:rPr>
            </w:pPr>
          </w:p>
        </w:tc>
        <w:tc>
          <w:tcPr>
            <w:tcW w:w="3991" w:type="pct"/>
            <w:hideMark/>
          </w:tcPr>
          <w:p w14:paraId="6E90EBBC" w14:textId="77777777" w:rsidR="00102CE0" w:rsidRPr="001A5B2B" w:rsidRDefault="00102CE0" w:rsidP="003421DA">
            <w:pPr>
              <w:rPr>
                <w:rFonts w:ascii="Calibri" w:hAnsi="Calibri"/>
                <w:color w:val="FF0000"/>
                <w:highlight w:val="red"/>
              </w:rPr>
            </w:pPr>
          </w:p>
        </w:tc>
      </w:tr>
      <w:tr w:rsidR="00102CE0" w:rsidRPr="00102CE0" w14:paraId="221FE67C" w14:textId="77777777" w:rsidTr="003421DA">
        <w:trPr>
          <w:trHeight w:val="300"/>
        </w:trPr>
        <w:tc>
          <w:tcPr>
            <w:tcW w:w="680" w:type="pct"/>
            <w:noWrap/>
            <w:hideMark/>
          </w:tcPr>
          <w:p w14:paraId="36DC0B25" w14:textId="77777777" w:rsidR="00876E39" w:rsidRPr="00D921B6" w:rsidRDefault="00876E39" w:rsidP="003421DA">
            <w:pPr>
              <w:rPr>
                <w:rFonts w:ascii="Calibri" w:hAnsi="Calibri"/>
              </w:rPr>
            </w:pPr>
            <w:r w:rsidRPr="00D921B6">
              <w:rPr>
                <w:rFonts w:ascii="Calibri" w:hAnsi="Calibri"/>
              </w:rPr>
              <w:t xml:space="preserve">690.0100N         </w:t>
            </w:r>
          </w:p>
        </w:tc>
        <w:tc>
          <w:tcPr>
            <w:tcW w:w="329" w:type="pct"/>
            <w:noWrap/>
            <w:hideMark/>
          </w:tcPr>
          <w:p w14:paraId="32A4664E" w14:textId="77777777" w:rsidR="00876E39" w:rsidRPr="00D921B6" w:rsidRDefault="00876E39" w:rsidP="003421DA">
            <w:pPr>
              <w:rPr>
                <w:rFonts w:ascii="Calibri" w:hAnsi="Calibri"/>
              </w:rPr>
            </w:pPr>
            <w:r w:rsidRPr="00D921B6">
              <w:rPr>
                <w:rFonts w:ascii="Calibri" w:hAnsi="Calibri"/>
              </w:rPr>
              <w:t>dm³</w:t>
            </w:r>
          </w:p>
        </w:tc>
        <w:tc>
          <w:tcPr>
            <w:tcW w:w="3991" w:type="pct"/>
            <w:hideMark/>
          </w:tcPr>
          <w:p w14:paraId="67F58C56" w14:textId="77777777" w:rsidR="00294338" w:rsidRPr="00D921B6" w:rsidRDefault="00294338" w:rsidP="00666B72">
            <w:pPr>
              <w:spacing w:after="240"/>
              <w:jc w:val="both"/>
              <w:rPr>
                <w:rFonts w:ascii="Calibri" w:hAnsi="Calibri" w:cs="Calibri"/>
                <w:color w:val="000000"/>
              </w:rPr>
            </w:pPr>
            <w:r w:rsidRPr="00D921B6">
              <w:rPr>
                <w:rFonts w:ascii="Calibri" w:hAnsi="Calibri" w:cs="Calibri"/>
                <w:color w:val="000000"/>
              </w:rPr>
              <w:t>SELLADO DE JUNTAS MEDIANTE COLOCACIÓN DE FONDO DE JUNTA E INYECCIÓN DE SELLADOR A BASE POLIURETANO BICOMPONENTE ELÁSTICO AUTONIVELANTE. TOTALMENTE TERMINADO.</w:t>
            </w:r>
          </w:p>
          <w:p w14:paraId="52159C74" w14:textId="77777777" w:rsidR="00102CE0" w:rsidRPr="00D921B6" w:rsidRDefault="00102CE0" w:rsidP="00666B72">
            <w:pPr>
              <w:jc w:val="both"/>
              <w:rPr>
                <w:rFonts w:ascii="Calibri" w:hAnsi="Calibri"/>
              </w:rPr>
            </w:pPr>
          </w:p>
        </w:tc>
      </w:tr>
      <w:tr w:rsidR="00102CE0" w:rsidRPr="00102CE0" w14:paraId="5305DC3C" w14:textId="77777777" w:rsidTr="003421DA">
        <w:trPr>
          <w:trHeight w:val="300"/>
        </w:trPr>
        <w:tc>
          <w:tcPr>
            <w:tcW w:w="680" w:type="pct"/>
            <w:noWrap/>
            <w:hideMark/>
          </w:tcPr>
          <w:p w14:paraId="3CD9DC71" w14:textId="77777777" w:rsidR="00876E39" w:rsidRPr="00C61E14" w:rsidRDefault="00876E39" w:rsidP="003421DA">
            <w:pPr>
              <w:rPr>
                <w:rFonts w:ascii="Calibri" w:hAnsi="Calibri"/>
              </w:rPr>
            </w:pPr>
            <w:r w:rsidRPr="00C61E14">
              <w:rPr>
                <w:rFonts w:ascii="Calibri" w:hAnsi="Calibri"/>
              </w:rPr>
              <w:t xml:space="preserve">694.0090N         </w:t>
            </w:r>
          </w:p>
        </w:tc>
        <w:tc>
          <w:tcPr>
            <w:tcW w:w="329" w:type="pct"/>
            <w:noWrap/>
            <w:hideMark/>
          </w:tcPr>
          <w:p w14:paraId="0CEABA23" w14:textId="77777777" w:rsidR="00876E39" w:rsidRPr="00C61E14" w:rsidRDefault="00876E39" w:rsidP="003421DA">
            <w:pPr>
              <w:rPr>
                <w:rFonts w:ascii="Calibri" w:hAnsi="Calibri"/>
              </w:rPr>
            </w:pPr>
            <w:r w:rsidRPr="00C61E14">
              <w:rPr>
                <w:rFonts w:ascii="Calibri" w:hAnsi="Calibri"/>
              </w:rPr>
              <w:t>m²</w:t>
            </w:r>
          </w:p>
        </w:tc>
        <w:tc>
          <w:tcPr>
            <w:tcW w:w="3991" w:type="pct"/>
            <w:hideMark/>
          </w:tcPr>
          <w:p w14:paraId="23F39773" w14:textId="77777777" w:rsidR="00876E39" w:rsidRPr="00C61E14" w:rsidRDefault="00102CE0" w:rsidP="00666B72">
            <w:pPr>
              <w:jc w:val="both"/>
              <w:rPr>
                <w:rFonts w:ascii="Calibri" w:hAnsi="Calibri"/>
              </w:rPr>
            </w:pPr>
            <w:r w:rsidRPr="00C61E14">
              <w:rPr>
                <w:rFonts w:ascii="Calibri" w:hAnsi="Calibri"/>
              </w:rPr>
              <w:t>JUNTA DE DILATACIÓN EN MUROS MEDIANTE PLANCHAS DE POLIESTIRENO EXPANDIDO DE 25 kg/m</w:t>
            </w:r>
            <w:r w:rsidRPr="00241CBC">
              <w:rPr>
                <w:rFonts w:ascii="Calibri" w:hAnsi="Calibri"/>
                <w:vertAlign w:val="superscript"/>
              </w:rPr>
              <w:t>3</w:t>
            </w:r>
            <w:r w:rsidRPr="00C61E14">
              <w:rPr>
                <w:rFonts w:ascii="Calibri" w:hAnsi="Calibri"/>
              </w:rPr>
              <w:t xml:space="preserve"> Y 20 mm DE ESPESOR, INCLUSO SELLADO PERIMETRAL CON MASILLA CON BASE BITUMINOSA, TOTALMENTE COLOCADA Y SELLADA, PREPARACIÓN PREVIA DE LA SUPERFICIE DE HORMIGÓN EXISTENTE. TOTALMENTE TERMINADA</w:t>
            </w:r>
          </w:p>
        </w:tc>
      </w:tr>
    </w:tbl>
    <w:p w14:paraId="22DED240" w14:textId="77777777" w:rsidR="00876E39" w:rsidRPr="00102CE0" w:rsidRDefault="00876E39" w:rsidP="000313DD">
      <w:pPr>
        <w:pStyle w:val="TITU2"/>
      </w:pPr>
      <w:r w:rsidRPr="00102CE0">
        <w:rPr>
          <w:szCs w:val="20"/>
        </w:rPr>
        <w:t xml:space="preserve"> </w:t>
      </w:r>
      <w:bookmarkStart w:id="1025" w:name="_Toc398111489"/>
      <w:bookmarkStart w:id="1026" w:name="_Toc398555818"/>
      <w:bookmarkStart w:id="1027" w:name="_Toc413779953"/>
      <w:bookmarkStart w:id="1028" w:name="_Toc404544"/>
      <w:r w:rsidRPr="00102CE0">
        <w:t>699</w:t>
      </w:r>
      <w:r w:rsidR="00102CE0" w:rsidRPr="00102CE0">
        <w:t>.2. Materiales</w:t>
      </w:r>
      <w:bookmarkEnd w:id="1025"/>
      <w:bookmarkEnd w:id="1026"/>
      <w:bookmarkEnd w:id="1027"/>
      <w:bookmarkEnd w:id="1028"/>
      <w:r w:rsidRPr="00102CE0">
        <w:t xml:space="preserve"> </w:t>
      </w:r>
    </w:p>
    <w:p w14:paraId="59349CAB" w14:textId="77777777" w:rsidR="00876E39" w:rsidRPr="00102CE0" w:rsidRDefault="00876E39" w:rsidP="00876E39">
      <w:pPr>
        <w:spacing w:before="120" w:after="120" w:line="360" w:lineRule="auto"/>
        <w:jc w:val="both"/>
        <w:rPr>
          <w:rFonts w:ascii="Arial" w:hAnsi="Arial"/>
          <w:szCs w:val="20"/>
        </w:rPr>
      </w:pPr>
      <w:r w:rsidRPr="00102CE0">
        <w:rPr>
          <w:rFonts w:ascii="Arial" w:hAnsi="Arial"/>
          <w:szCs w:val="20"/>
        </w:rPr>
        <w:t xml:space="preserve">Las juntas se han proyectado mediante sellado. Los elementos constituyentes son: </w:t>
      </w:r>
    </w:p>
    <w:p w14:paraId="526B2788" w14:textId="77777777" w:rsidR="00876E39" w:rsidRPr="00102CE0" w:rsidRDefault="00876E39" w:rsidP="00102CE0">
      <w:pPr>
        <w:pStyle w:val="NORMAL12"/>
        <w:numPr>
          <w:ilvl w:val="0"/>
          <w:numId w:val="61"/>
        </w:numPr>
      </w:pPr>
      <w:r w:rsidRPr="00102CE0">
        <w:t xml:space="preserve">Fondo de junta </w:t>
      </w:r>
    </w:p>
    <w:p w14:paraId="73D87D52" w14:textId="77777777" w:rsidR="00876E39" w:rsidRPr="00102CE0" w:rsidRDefault="00876E39" w:rsidP="00102CE0">
      <w:pPr>
        <w:pStyle w:val="NORMAL12"/>
        <w:numPr>
          <w:ilvl w:val="0"/>
          <w:numId w:val="61"/>
        </w:numPr>
      </w:pPr>
      <w:r w:rsidRPr="00102CE0">
        <w:t xml:space="preserve">Imprimación del cajeado </w:t>
      </w:r>
    </w:p>
    <w:p w14:paraId="534CA8BA" w14:textId="77777777" w:rsidR="00876E39" w:rsidRPr="00102CE0" w:rsidRDefault="00876E39" w:rsidP="00102CE0">
      <w:pPr>
        <w:pStyle w:val="NORMAL12"/>
        <w:numPr>
          <w:ilvl w:val="0"/>
          <w:numId w:val="61"/>
        </w:numPr>
      </w:pPr>
      <w:r w:rsidRPr="00102CE0">
        <w:t>Masilla de poliuretano</w:t>
      </w:r>
    </w:p>
    <w:p w14:paraId="3EF1BDD0" w14:textId="77777777" w:rsidR="00876E39" w:rsidRPr="00102CE0" w:rsidRDefault="00876E39" w:rsidP="00102CE0">
      <w:pPr>
        <w:pStyle w:val="NORMAL12"/>
        <w:numPr>
          <w:ilvl w:val="0"/>
          <w:numId w:val="61"/>
        </w:numPr>
      </w:pPr>
      <w:r w:rsidRPr="00102CE0">
        <w:t xml:space="preserve">Mortero epoxi de unión con el hormigón y nivelación </w:t>
      </w:r>
    </w:p>
    <w:p w14:paraId="5B0BB106" w14:textId="77777777" w:rsidR="00876E39" w:rsidRPr="00102CE0" w:rsidRDefault="00876E39" w:rsidP="00102CE0">
      <w:pPr>
        <w:pStyle w:val="NORMAL12"/>
        <w:numPr>
          <w:ilvl w:val="0"/>
          <w:numId w:val="61"/>
        </w:numPr>
      </w:pPr>
      <w:r w:rsidRPr="00102CE0">
        <w:t>Planchas de poliestireno expandido</w:t>
      </w:r>
    </w:p>
    <w:p w14:paraId="6A931290" w14:textId="77777777" w:rsidR="00876E39" w:rsidRPr="00102CE0" w:rsidRDefault="00876E39" w:rsidP="00102CE0">
      <w:pPr>
        <w:pStyle w:val="NORMAL12"/>
        <w:numPr>
          <w:ilvl w:val="0"/>
          <w:numId w:val="61"/>
        </w:numPr>
      </w:pPr>
      <w:r w:rsidRPr="00102CE0">
        <w:t>Masilla bituminosa</w:t>
      </w:r>
    </w:p>
    <w:p w14:paraId="273C00EC" w14:textId="77777777" w:rsidR="00876E39" w:rsidRPr="00102CE0" w:rsidRDefault="00876E39" w:rsidP="00876E39">
      <w:pPr>
        <w:spacing w:before="120" w:after="120" w:line="360" w:lineRule="auto"/>
        <w:jc w:val="both"/>
        <w:rPr>
          <w:rFonts w:ascii="Arial" w:hAnsi="Arial"/>
          <w:szCs w:val="20"/>
        </w:rPr>
      </w:pPr>
      <w:r w:rsidRPr="00102CE0">
        <w:rPr>
          <w:rFonts w:ascii="Arial" w:hAnsi="Arial"/>
          <w:szCs w:val="20"/>
        </w:rPr>
        <w:t xml:space="preserve">En el caso de las juntas de estanquidad a ejecutar en el paso inferior PI 1+860 como elemento de sellado se dispondrá un cordón de espuma </w:t>
      </w:r>
      <w:proofErr w:type="spellStart"/>
      <w:r w:rsidRPr="00102CE0">
        <w:rPr>
          <w:rFonts w:ascii="Arial" w:hAnsi="Arial"/>
          <w:szCs w:val="20"/>
        </w:rPr>
        <w:t>polietilénica</w:t>
      </w:r>
      <w:proofErr w:type="spellEnd"/>
      <w:r w:rsidRPr="00102CE0">
        <w:rPr>
          <w:rFonts w:ascii="Arial" w:hAnsi="Arial"/>
          <w:szCs w:val="20"/>
        </w:rPr>
        <w:t xml:space="preserve"> extruida de célula cerrada, para soporte de selladores </w:t>
      </w:r>
      <w:proofErr w:type="spellStart"/>
      <w:r w:rsidRPr="00102CE0">
        <w:rPr>
          <w:rFonts w:ascii="Arial" w:hAnsi="Arial"/>
          <w:szCs w:val="20"/>
        </w:rPr>
        <w:t>elastoméricos</w:t>
      </w:r>
      <w:proofErr w:type="spellEnd"/>
      <w:r w:rsidRPr="00102CE0">
        <w:rPr>
          <w:rFonts w:ascii="Arial" w:hAnsi="Arial"/>
          <w:szCs w:val="20"/>
        </w:rPr>
        <w:t xml:space="preserve">. Sus características principales son que no absorbe agua, posee una gran elasticidad y conserva inalteradas sus propiedades con el paso del tiempo. Debe utilizarse un cordón de diámetro superior a la junta a sellar, colocándose mediante una ligera presión hasta la profundidad prevista. </w:t>
      </w:r>
    </w:p>
    <w:p w14:paraId="43FC12B5" w14:textId="77777777" w:rsidR="00876E39" w:rsidRPr="00102CE0" w:rsidRDefault="00876E39" w:rsidP="00876E39">
      <w:pPr>
        <w:spacing w:before="120" w:after="120" w:line="360" w:lineRule="auto"/>
        <w:jc w:val="both"/>
        <w:rPr>
          <w:rFonts w:ascii="Arial" w:hAnsi="Arial"/>
          <w:szCs w:val="20"/>
        </w:rPr>
      </w:pPr>
      <w:r w:rsidRPr="00102CE0">
        <w:rPr>
          <w:rFonts w:ascii="Arial" w:hAnsi="Arial"/>
          <w:szCs w:val="20"/>
        </w:rPr>
        <w:t>Este material tiene las siguientes características:</w:t>
      </w:r>
    </w:p>
    <w:p w14:paraId="386693B4" w14:textId="77777777" w:rsidR="00876E39" w:rsidRPr="007E5D9C" w:rsidRDefault="00876E39" w:rsidP="00876E39">
      <w:pPr>
        <w:spacing w:before="120" w:after="120" w:line="360" w:lineRule="auto"/>
        <w:ind w:left="709"/>
        <w:jc w:val="both"/>
        <w:rPr>
          <w:rFonts w:ascii="Arial" w:hAnsi="Arial"/>
          <w:color w:val="FF0000"/>
          <w:szCs w:val="20"/>
        </w:rPr>
      </w:pPr>
      <w:r w:rsidRPr="007E5D9C">
        <w:rPr>
          <w:rFonts w:ascii="Arial" w:hAnsi="Arial"/>
          <w:noProof/>
          <w:color w:val="FF0000"/>
          <w:szCs w:val="20"/>
        </w:rPr>
        <w:drawing>
          <wp:inline distT="0" distB="0" distL="0" distR="0" wp14:anchorId="28BBD655" wp14:editId="491A42A9">
            <wp:extent cx="3876675" cy="2105025"/>
            <wp:effectExtent l="1905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3876675" cy="2105025"/>
                    </a:xfrm>
                    <a:prstGeom prst="rect">
                      <a:avLst/>
                    </a:prstGeom>
                    <a:noFill/>
                    <a:ln w="9525">
                      <a:noFill/>
                      <a:miter lim="800000"/>
                      <a:headEnd/>
                      <a:tailEnd/>
                    </a:ln>
                  </pic:spPr>
                </pic:pic>
              </a:graphicData>
            </a:graphic>
          </wp:inline>
        </w:drawing>
      </w:r>
    </w:p>
    <w:p w14:paraId="523D3416" w14:textId="77777777" w:rsidR="00876E39" w:rsidRPr="00102CE0" w:rsidRDefault="00876E39" w:rsidP="00876E39">
      <w:pPr>
        <w:spacing w:before="120" w:after="120" w:line="360" w:lineRule="auto"/>
        <w:jc w:val="both"/>
        <w:rPr>
          <w:rFonts w:ascii="Arial" w:hAnsi="Arial"/>
          <w:szCs w:val="20"/>
        </w:rPr>
      </w:pPr>
      <w:r w:rsidRPr="00102CE0">
        <w:rPr>
          <w:rFonts w:ascii="Arial" w:hAnsi="Arial"/>
          <w:szCs w:val="20"/>
        </w:rPr>
        <w:t xml:space="preserve">Sobre este cordón de espuma se colocará un sellador y adhesivo </w:t>
      </w:r>
      <w:proofErr w:type="spellStart"/>
      <w:r w:rsidRPr="00102CE0">
        <w:rPr>
          <w:rFonts w:ascii="Arial" w:hAnsi="Arial"/>
          <w:szCs w:val="20"/>
        </w:rPr>
        <w:t>poliuretánico</w:t>
      </w:r>
      <w:proofErr w:type="spellEnd"/>
      <w:r w:rsidRPr="00102CE0">
        <w:rPr>
          <w:rFonts w:ascii="Arial" w:hAnsi="Arial"/>
          <w:szCs w:val="20"/>
        </w:rPr>
        <w:t xml:space="preserve">, </w:t>
      </w:r>
      <w:proofErr w:type="spellStart"/>
      <w:r w:rsidRPr="00102CE0">
        <w:rPr>
          <w:rFonts w:ascii="Arial" w:hAnsi="Arial"/>
          <w:szCs w:val="20"/>
        </w:rPr>
        <w:t>monocomponente</w:t>
      </w:r>
      <w:proofErr w:type="spellEnd"/>
      <w:r w:rsidRPr="00102CE0">
        <w:rPr>
          <w:rFonts w:ascii="Arial" w:hAnsi="Arial"/>
          <w:szCs w:val="20"/>
        </w:rPr>
        <w:t>, tixotrópico, de gran elasticidad y endurecimiento r</w:t>
      </w:r>
      <w:r w:rsidR="00D93E76">
        <w:rPr>
          <w:rFonts w:ascii="Arial" w:hAnsi="Arial"/>
          <w:szCs w:val="20"/>
        </w:rPr>
        <w:t>ápido</w:t>
      </w:r>
      <w:r w:rsidRPr="00102CE0">
        <w:rPr>
          <w:rFonts w:ascii="Arial" w:hAnsi="Arial"/>
          <w:szCs w:val="20"/>
        </w:rPr>
        <w:t xml:space="preserve">. Se trata de un sellador exento de disolventes, inodoro y con bajo impacto ambiental. Endurece a una velocidad de 3mm cada </w:t>
      </w:r>
      <w:r w:rsidR="00217216" w:rsidRPr="00102CE0">
        <w:rPr>
          <w:rFonts w:ascii="Arial" w:hAnsi="Arial"/>
          <w:szCs w:val="20"/>
        </w:rPr>
        <w:t>24 h</w:t>
      </w:r>
      <w:r w:rsidRPr="00102CE0">
        <w:rPr>
          <w:rFonts w:ascii="Arial" w:hAnsi="Arial"/>
          <w:szCs w:val="20"/>
        </w:rPr>
        <w:t xml:space="preserve"> por reacción con la humedad del aire y es apto para trabajos en superficies horizontales y verticales.</w:t>
      </w:r>
    </w:p>
    <w:p w14:paraId="110405B7" w14:textId="77777777" w:rsidR="00876E39" w:rsidRPr="00102CE0" w:rsidRDefault="00876E39" w:rsidP="00876E39">
      <w:pPr>
        <w:spacing w:before="120" w:after="120" w:line="360" w:lineRule="auto"/>
        <w:jc w:val="both"/>
        <w:rPr>
          <w:rFonts w:ascii="Arial" w:hAnsi="Arial"/>
          <w:szCs w:val="20"/>
        </w:rPr>
      </w:pPr>
      <w:r w:rsidRPr="00102CE0">
        <w:rPr>
          <w:rFonts w:ascii="Arial" w:hAnsi="Arial"/>
          <w:szCs w:val="20"/>
        </w:rPr>
        <w:t>Este material tiene las siguientes características:</w:t>
      </w:r>
    </w:p>
    <w:p w14:paraId="625BE929" w14:textId="77777777" w:rsidR="00876E39" w:rsidRPr="007E5D9C" w:rsidRDefault="00876E39" w:rsidP="00876E39">
      <w:pPr>
        <w:spacing w:before="120" w:after="120" w:line="360" w:lineRule="auto"/>
        <w:ind w:firstLine="851"/>
        <w:jc w:val="both"/>
        <w:rPr>
          <w:rFonts w:ascii="Arial" w:hAnsi="Arial"/>
          <w:color w:val="FF0000"/>
          <w:szCs w:val="20"/>
        </w:rPr>
      </w:pPr>
    </w:p>
    <w:p w14:paraId="7B0CC61F" w14:textId="77777777" w:rsidR="00876E39" w:rsidRPr="007E5D9C" w:rsidRDefault="00876E39" w:rsidP="00876E39">
      <w:pPr>
        <w:spacing w:before="120" w:after="120" w:line="360" w:lineRule="auto"/>
        <w:ind w:left="709"/>
        <w:jc w:val="both"/>
        <w:rPr>
          <w:rFonts w:ascii="Arial" w:hAnsi="Arial"/>
          <w:color w:val="FF0000"/>
          <w:szCs w:val="20"/>
        </w:rPr>
      </w:pPr>
      <w:r w:rsidRPr="007E5D9C">
        <w:rPr>
          <w:rFonts w:ascii="Arial" w:hAnsi="Arial"/>
          <w:noProof/>
          <w:color w:val="FF0000"/>
          <w:szCs w:val="20"/>
        </w:rPr>
        <w:lastRenderedPageBreak/>
        <w:drawing>
          <wp:inline distT="0" distB="0" distL="0" distR="0" wp14:anchorId="0F7C27B0" wp14:editId="290B39B2">
            <wp:extent cx="5553075" cy="6296025"/>
            <wp:effectExtent l="1905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5553075" cy="6296025"/>
                    </a:xfrm>
                    <a:prstGeom prst="rect">
                      <a:avLst/>
                    </a:prstGeom>
                    <a:noFill/>
                    <a:ln w="9525">
                      <a:noFill/>
                      <a:miter lim="800000"/>
                      <a:headEnd/>
                      <a:tailEnd/>
                    </a:ln>
                  </pic:spPr>
                </pic:pic>
              </a:graphicData>
            </a:graphic>
          </wp:inline>
        </w:drawing>
      </w:r>
    </w:p>
    <w:p w14:paraId="3419999C" w14:textId="77777777" w:rsidR="00876E39" w:rsidRPr="00102CE0" w:rsidRDefault="00876E39" w:rsidP="00102CE0">
      <w:pPr>
        <w:spacing w:before="120" w:after="120" w:line="360" w:lineRule="auto"/>
        <w:jc w:val="both"/>
        <w:rPr>
          <w:rFonts w:ascii="Arial" w:hAnsi="Arial"/>
          <w:szCs w:val="20"/>
        </w:rPr>
      </w:pPr>
      <w:r w:rsidRPr="00102CE0">
        <w:rPr>
          <w:rFonts w:ascii="Arial" w:hAnsi="Arial"/>
          <w:szCs w:val="20"/>
        </w:rPr>
        <w:t>En el caso de las juntas a ejecutar en el paso inferior PI 2+275 como elemento para materialización de la junta se dispondrán planchas de poliestireno expandido de 25 kg/m</w:t>
      </w:r>
      <w:r w:rsidRPr="00D921B6">
        <w:rPr>
          <w:rFonts w:ascii="Arial" w:hAnsi="Arial"/>
          <w:szCs w:val="20"/>
          <w:vertAlign w:val="superscript"/>
        </w:rPr>
        <w:t>3</w:t>
      </w:r>
      <w:r w:rsidRPr="00102CE0">
        <w:rPr>
          <w:rFonts w:ascii="Arial" w:hAnsi="Arial"/>
          <w:szCs w:val="20"/>
        </w:rPr>
        <w:t xml:space="preserve"> Y 20 mm de espesor. Sobre estas planchas se procederá al sellado perimetral con masilla de base bituminosa asegurando la impermeabilidad de la junta. El producto de sellado de base bituminosa cumplirá con las especificaciones requeridas en la norma UNE 104-233/90 (tipo E).</w:t>
      </w:r>
    </w:p>
    <w:p w14:paraId="5526C35F" w14:textId="77777777" w:rsidR="00876E39" w:rsidRPr="00A8316A" w:rsidRDefault="00102CE0" w:rsidP="000313DD">
      <w:pPr>
        <w:pStyle w:val="TITU2"/>
      </w:pPr>
      <w:bookmarkStart w:id="1029" w:name="_Toc398111490"/>
      <w:bookmarkStart w:id="1030" w:name="_Toc398555819"/>
      <w:bookmarkStart w:id="1031" w:name="_Toc413779954"/>
      <w:bookmarkStart w:id="1032" w:name="_Toc404545"/>
      <w:r>
        <w:t>699.3.</w:t>
      </w:r>
      <w:r w:rsidR="00876E39" w:rsidRPr="00A8316A">
        <w:t xml:space="preserve"> Colocaci</w:t>
      </w:r>
      <w:r w:rsidR="00876E39" w:rsidRPr="00A8316A">
        <w:rPr>
          <w:rFonts w:hint="eastAsia"/>
        </w:rPr>
        <w:t>ó</w:t>
      </w:r>
      <w:r w:rsidR="00876E39" w:rsidRPr="00A8316A">
        <w:t>n</w:t>
      </w:r>
      <w:bookmarkEnd w:id="1029"/>
      <w:bookmarkEnd w:id="1030"/>
      <w:bookmarkEnd w:id="1031"/>
      <w:bookmarkEnd w:id="1032"/>
      <w:r w:rsidR="00876E39" w:rsidRPr="00A8316A">
        <w:t xml:space="preserve"> </w:t>
      </w:r>
    </w:p>
    <w:p w14:paraId="4B21FB36" w14:textId="77777777" w:rsidR="00876E39" w:rsidRPr="00102CE0" w:rsidRDefault="00876E39" w:rsidP="00876E39">
      <w:pPr>
        <w:spacing w:before="120" w:after="120" w:line="360" w:lineRule="auto"/>
        <w:jc w:val="both"/>
        <w:rPr>
          <w:rFonts w:ascii="Arial" w:hAnsi="Arial"/>
          <w:szCs w:val="20"/>
        </w:rPr>
      </w:pPr>
      <w:r w:rsidRPr="00102CE0">
        <w:rPr>
          <w:rFonts w:ascii="Arial" w:hAnsi="Arial"/>
          <w:szCs w:val="20"/>
        </w:rPr>
        <w:t xml:space="preserve">La colocación de las juntas de sellado se realizará con la siguiente secuencia de operaciones: </w:t>
      </w:r>
    </w:p>
    <w:p w14:paraId="71AF2F70" w14:textId="77777777" w:rsidR="00876E39" w:rsidRPr="00102CE0" w:rsidRDefault="00876E39" w:rsidP="00102CE0">
      <w:pPr>
        <w:pStyle w:val="NORMAL12"/>
        <w:numPr>
          <w:ilvl w:val="0"/>
          <w:numId w:val="61"/>
        </w:numPr>
      </w:pPr>
      <w:r w:rsidRPr="00102CE0">
        <w:t xml:space="preserve">Saneo de los bordes de junta. </w:t>
      </w:r>
    </w:p>
    <w:p w14:paraId="68BBE04F" w14:textId="77777777" w:rsidR="00876E39" w:rsidRPr="00102CE0" w:rsidRDefault="00876E39" w:rsidP="00102CE0">
      <w:pPr>
        <w:pStyle w:val="NORMAL12"/>
        <w:numPr>
          <w:ilvl w:val="0"/>
          <w:numId w:val="61"/>
        </w:numPr>
      </w:pPr>
      <w:r w:rsidRPr="00102CE0">
        <w:t xml:space="preserve">Limpieza de las juntas y bordes de hormigón. </w:t>
      </w:r>
    </w:p>
    <w:p w14:paraId="0A992406" w14:textId="77777777" w:rsidR="00876E39" w:rsidRPr="00102CE0" w:rsidRDefault="00876E39" w:rsidP="00102CE0">
      <w:pPr>
        <w:pStyle w:val="NORMAL12"/>
        <w:numPr>
          <w:ilvl w:val="0"/>
          <w:numId w:val="61"/>
        </w:numPr>
      </w:pPr>
      <w:r w:rsidRPr="00102CE0">
        <w:t xml:space="preserve">Controles </w:t>
      </w:r>
    </w:p>
    <w:p w14:paraId="3007AE2E" w14:textId="77777777" w:rsidR="00876E39" w:rsidRPr="00102CE0" w:rsidRDefault="00876E39" w:rsidP="00102CE0">
      <w:pPr>
        <w:pStyle w:val="NORMAL12"/>
        <w:numPr>
          <w:ilvl w:val="0"/>
          <w:numId w:val="61"/>
        </w:numPr>
      </w:pPr>
      <w:r w:rsidRPr="00102CE0">
        <w:t xml:space="preserve">Regeneración de bordes </w:t>
      </w:r>
    </w:p>
    <w:p w14:paraId="31B1F6CD" w14:textId="77777777" w:rsidR="00876E39" w:rsidRPr="00102CE0" w:rsidRDefault="00876E39" w:rsidP="00102CE0">
      <w:pPr>
        <w:pStyle w:val="NORMAL12"/>
        <w:numPr>
          <w:ilvl w:val="0"/>
          <w:numId w:val="61"/>
        </w:numPr>
      </w:pPr>
      <w:r w:rsidRPr="00102CE0">
        <w:t xml:space="preserve">Protección de los bordes de junta </w:t>
      </w:r>
    </w:p>
    <w:p w14:paraId="1355D305" w14:textId="77777777" w:rsidR="00876E39" w:rsidRPr="00102CE0" w:rsidRDefault="00876E39" w:rsidP="00102CE0">
      <w:pPr>
        <w:pStyle w:val="NORMAL12"/>
        <w:numPr>
          <w:ilvl w:val="0"/>
          <w:numId w:val="61"/>
        </w:numPr>
      </w:pPr>
      <w:r w:rsidRPr="00102CE0">
        <w:t xml:space="preserve">Colocación del fondo de junta </w:t>
      </w:r>
    </w:p>
    <w:p w14:paraId="5E8D114D" w14:textId="77777777" w:rsidR="00876E39" w:rsidRPr="00102CE0" w:rsidRDefault="00876E39" w:rsidP="00102CE0">
      <w:pPr>
        <w:pStyle w:val="NORMAL12"/>
        <w:numPr>
          <w:ilvl w:val="0"/>
          <w:numId w:val="61"/>
        </w:numPr>
      </w:pPr>
      <w:r w:rsidRPr="00102CE0">
        <w:t xml:space="preserve">Imprimación </w:t>
      </w:r>
    </w:p>
    <w:p w14:paraId="64DD906F" w14:textId="77777777" w:rsidR="00876E39" w:rsidRPr="00102CE0" w:rsidRDefault="00876E39" w:rsidP="00102CE0">
      <w:pPr>
        <w:pStyle w:val="NORMAL12"/>
        <w:numPr>
          <w:ilvl w:val="0"/>
          <w:numId w:val="61"/>
        </w:numPr>
      </w:pPr>
      <w:r w:rsidRPr="00102CE0">
        <w:t>Aplicación de la masilla de poliuretano</w:t>
      </w:r>
    </w:p>
    <w:p w14:paraId="22FAEDE2" w14:textId="77777777" w:rsidR="00876E39" w:rsidRPr="00102CE0" w:rsidRDefault="00876E39" w:rsidP="00876E39">
      <w:pPr>
        <w:spacing w:before="120" w:after="120" w:line="360" w:lineRule="auto"/>
        <w:jc w:val="both"/>
        <w:rPr>
          <w:rFonts w:ascii="Arial" w:hAnsi="Arial"/>
          <w:szCs w:val="20"/>
        </w:rPr>
      </w:pPr>
      <w:r w:rsidRPr="00102CE0">
        <w:rPr>
          <w:rFonts w:ascii="Arial" w:hAnsi="Arial"/>
          <w:szCs w:val="20"/>
        </w:rPr>
        <w:t xml:space="preserve">En el caso de las juntas de </w:t>
      </w:r>
      <w:proofErr w:type="spellStart"/>
      <w:r w:rsidRPr="00102CE0">
        <w:rPr>
          <w:rFonts w:ascii="Arial" w:hAnsi="Arial"/>
          <w:szCs w:val="20"/>
        </w:rPr>
        <w:t>porexpan</w:t>
      </w:r>
      <w:proofErr w:type="spellEnd"/>
      <w:r w:rsidRPr="00102CE0">
        <w:rPr>
          <w:rFonts w:ascii="Arial" w:hAnsi="Arial"/>
          <w:szCs w:val="20"/>
        </w:rPr>
        <w:t xml:space="preserve"> a ejecutar en el PI 2+275, estas se colocarán durante el hormigonado de los elementos estructuras, en particular de la zona ampliada del muro frontal de estribos y las aletas de nueva ejecución. Así, se colocarán las planchas de poliestireno expandido durante las tareas de hormigonado y se procederá al sellado de la junta con masilla bituminosa una vez endurecido el hormigón.</w:t>
      </w:r>
    </w:p>
    <w:p w14:paraId="0F84BEBC" w14:textId="77777777" w:rsidR="00876E39" w:rsidRPr="00102CE0" w:rsidRDefault="00876E39" w:rsidP="00876E39">
      <w:pPr>
        <w:spacing w:before="120" w:after="120" w:line="360" w:lineRule="auto"/>
        <w:jc w:val="both"/>
        <w:rPr>
          <w:rFonts w:ascii="Arial" w:hAnsi="Arial"/>
          <w:szCs w:val="20"/>
        </w:rPr>
      </w:pPr>
      <w:r w:rsidRPr="00102CE0">
        <w:rPr>
          <w:rFonts w:ascii="Arial" w:hAnsi="Arial"/>
          <w:szCs w:val="20"/>
        </w:rPr>
        <w:t xml:space="preserve">El sellado de las juntas se realizará en toda la longitud de la junta a sellar. </w:t>
      </w:r>
    </w:p>
    <w:p w14:paraId="7295FEA5" w14:textId="77777777" w:rsidR="00876E39" w:rsidRPr="00102CE0" w:rsidRDefault="00876E39" w:rsidP="00876E39">
      <w:pPr>
        <w:spacing w:before="120" w:after="120" w:line="360" w:lineRule="auto"/>
        <w:jc w:val="both"/>
        <w:rPr>
          <w:rFonts w:ascii="Arial" w:hAnsi="Arial"/>
          <w:szCs w:val="20"/>
        </w:rPr>
      </w:pPr>
      <w:r w:rsidRPr="00102CE0">
        <w:rPr>
          <w:rFonts w:ascii="Arial" w:hAnsi="Arial"/>
          <w:szCs w:val="20"/>
        </w:rPr>
        <w:t xml:space="preserve">Tras la preparación de los soportes se procederá a realizar el saneo de los paramentos, de tal manera que en el momento de ejecutar el sellado de las juntas estén en </w:t>
      </w:r>
      <w:proofErr w:type="gramStart"/>
      <w:r w:rsidRPr="00102CE0">
        <w:rPr>
          <w:rFonts w:ascii="Arial" w:hAnsi="Arial"/>
          <w:szCs w:val="20"/>
        </w:rPr>
        <w:t>perfectas  condiciones</w:t>
      </w:r>
      <w:proofErr w:type="gramEnd"/>
      <w:r w:rsidRPr="00102CE0">
        <w:rPr>
          <w:rFonts w:ascii="Arial" w:hAnsi="Arial"/>
          <w:szCs w:val="20"/>
        </w:rPr>
        <w:t>, para lo cual se eliminarán completamente manchas, partículas sueltas o mal adheridas, etc. Esta operación se realizará con ayuda de medios mecánicos.</w:t>
      </w:r>
    </w:p>
    <w:p w14:paraId="7F5703A9" w14:textId="77777777" w:rsidR="00876E39" w:rsidRPr="00102CE0" w:rsidRDefault="00876E39" w:rsidP="00876E39">
      <w:pPr>
        <w:spacing w:before="120" w:after="120" w:line="360" w:lineRule="auto"/>
        <w:jc w:val="both"/>
        <w:rPr>
          <w:rFonts w:ascii="Arial" w:hAnsi="Arial"/>
          <w:sz w:val="20"/>
          <w:szCs w:val="20"/>
        </w:rPr>
      </w:pPr>
      <w:r w:rsidRPr="00102CE0">
        <w:rPr>
          <w:rFonts w:ascii="Arial" w:hAnsi="Arial"/>
          <w:szCs w:val="20"/>
        </w:rPr>
        <w:t>Con la junta vista y saneada se procederá a una limpieza de su interior, eliminando manualmente los productos de relleno como corcho o encofrados perdidos y aplicando una limpieza superficial mediante chorro de agua a presión.</w:t>
      </w:r>
    </w:p>
    <w:p w14:paraId="4834772F" w14:textId="77777777" w:rsidR="00876E39" w:rsidRPr="00102CE0" w:rsidRDefault="00876E39" w:rsidP="00876E39">
      <w:pPr>
        <w:spacing w:before="120" w:after="120" w:line="360" w:lineRule="auto"/>
        <w:jc w:val="both"/>
        <w:rPr>
          <w:rFonts w:ascii="Arial" w:hAnsi="Arial"/>
          <w:szCs w:val="20"/>
        </w:rPr>
      </w:pPr>
      <w:r w:rsidRPr="00102CE0">
        <w:rPr>
          <w:rFonts w:ascii="Arial" w:hAnsi="Arial"/>
          <w:szCs w:val="20"/>
        </w:rPr>
        <w:t>Después del saneo y limpieza se recomienda hacer sencillas pruebas (controles) que indiquen si los soportes están en condiciones óptimas para continuar el proceso de sellado. Algunas de estas pruebas pueden ser:</w:t>
      </w:r>
    </w:p>
    <w:p w14:paraId="1FCD2B9B" w14:textId="77777777" w:rsidR="00876E39" w:rsidRPr="00102CE0" w:rsidRDefault="00876E39" w:rsidP="00102CE0">
      <w:pPr>
        <w:pStyle w:val="NORMAL12"/>
        <w:numPr>
          <w:ilvl w:val="0"/>
          <w:numId w:val="61"/>
        </w:numPr>
      </w:pPr>
      <w:r w:rsidRPr="00102CE0">
        <w:t>Pasar la mano sobre la zona preparada y comprobar si hay polvo.</w:t>
      </w:r>
    </w:p>
    <w:p w14:paraId="1D0E9182" w14:textId="77777777" w:rsidR="00876E39" w:rsidRPr="00102CE0" w:rsidRDefault="00876E39" w:rsidP="00102CE0">
      <w:pPr>
        <w:pStyle w:val="NORMAL12"/>
        <w:numPr>
          <w:ilvl w:val="0"/>
          <w:numId w:val="61"/>
        </w:numPr>
      </w:pPr>
      <w:r w:rsidRPr="00102CE0">
        <w:lastRenderedPageBreak/>
        <w:t>Golpear con un martillo u otro objeto contundente para detectar zonas huecas o mal adheridas.</w:t>
      </w:r>
    </w:p>
    <w:p w14:paraId="52F0E48B" w14:textId="77777777" w:rsidR="00876E39" w:rsidRPr="00102CE0" w:rsidRDefault="00876E39" w:rsidP="00102CE0">
      <w:pPr>
        <w:pStyle w:val="NORMAL12"/>
        <w:numPr>
          <w:ilvl w:val="0"/>
          <w:numId w:val="61"/>
        </w:numPr>
      </w:pPr>
      <w:r w:rsidRPr="00102CE0">
        <w:t>Comprobar con un elemento cortante o punzante la cohesión, dureza y existencia de zonas degradadas del soporte de hormigón o mortero que se rayan fácilmente.</w:t>
      </w:r>
    </w:p>
    <w:p w14:paraId="7E7C8ACC" w14:textId="77777777" w:rsidR="00876E39" w:rsidRPr="00102CE0" w:rsidRDefault="00876E39" w:rsidP="00102CE0">
      <w:pPr>
        <w:pStyle w:val="NORMAL12"/>
        <w:numPr>
          <w:ilvl w:val="0"/>
          <w:numId w:val="61"/>
        </w:numPr>
      </w:pPr>
      <w:r w:rsidRPr="00102CE0">
        <w:t xml:space="preserve">Mojando con agua la superficie de hormigón o mortero se puede detectar la presencia de restos de </w:t>
      </w:r>
      <w:proofErr w:type="spellStart"/>
      <w:r w:rsidRPr="00102CE0">
        <w:t>desencofrante</w:t>
      </w:r>
      <w:proofErr w:type="spellEnd"/>
      <w:r w:rsidRPr="00102CE0">
        <w:t>, tratamientos con siliconas u otros productos que den lugar a la formación de gotas o «perlas», fisuras imperceptibles a simple vista, así como obtener cierta idea de la porosidad y capacidad de absorción del soporte.</w:t>
      </w:r>
    </w:p>
    <w:p w14:paraId="0AE5C04E" w14:textId="77777777" w:rsidR="00876E39" w:rsidRPr="00102CE0" w:rsidRDefault="00876E39" w:rsidP="00876E39">
      <w:pPr>
        <w:spacing w:before="120" w:after="120" w:line="360" w:lineRule="auto"/>
        <w:jc w:val="both"/>
        <w:rPr>
          <w:rFonts w:ascii="Arial" w:hAnsi="Arial"/>
          <w:szCs w:val="20"/>
        </w:rPr>
      </w:pPr>
      <w:r w:rsidRPr="00102CE0">
        <w:rPr>
          <w:rFonts w:ascii="Arial" w:hAnsi="Arial"/>
          <w:szCs w:val="20"/>
        </w:rPr>
        <w:t>En caso de que se observe degradación del hormigón en los bordes de la junta, armaduras vistas u otros defectos típicos del hormigón, será preciso realizar una reparación (regeneración de bordes) para lo que se emplearán las técnicas y productos que ya se han descrito para las reparaciones localizadas de hormigón.</w:t>
      </w:r>
    </w:p>
    <w:p w14:paraId="2B0F1E1E" w14:textId="77777777" w:rsidR="00876E39" w:rsidRPr="00102CE0" w:rsidRDefault="00876E39" w:rsidP="00876E39">
      <w:pPr>
        <w:spacing w:before="120" w:after="120" w:line="360" w:lineRule="auto"/>
        <w:jc w:val="both"/>
        <w:rPr>
          <w:rFonts w:ascii="Arial" w:hAnsi="Arial"/>
          <w:szCs w:val="20"/>
        </w:rPr>
      </w:pPr>
      <w:r w:rsidRPr="00102CE0">
        <w:rPr>
          <w:rFonts w:ascii="Arial" w:hAnsi="Arial"/>
          <w:szCs w:val="20"/>
        </w:rPr>
        <w:t>Una vez esté la junta en condiciones óptimas para su sellado se procederá a l</w:t>
      </w:r>
      <w:r w:rsidR="00D93E76">
        <w:rPr>
          <w:rFonts w:ascii="Arial" w:hAnsi="Arial"/>
          <w:szCs w:val="20"/>
        </w:rPr>
        <w:t>a colocación del fondo de junta</w:t>
      </w:r>
      <w:r w:rsidRPr="00102CE0">
        <w:rPr>
          <w:rFonts w:ascii="Arial" w:hAnsi="Arial"/>
          <w:szCs w:val="20"/>
        </w:rPr>
        <w:t>, consistente en un material separador, de sección circular tiene por objeto tres funciones determinadas:</w:t>
      </w:r>
    </w:p>
    <w:p w14:paraId="7E033E0F" w14:textId="77777777" w:rsidR="00876E39" w:rsidRPr="00102CE0" w:rsidRDefault="00876E39" w:rsidP="00102CE0">
      <w:pPr>
        <w:pStyle w:val="NORMAL12"/>
        <w:numPr>
          <w:ilvl w:val="0"/>
          <w:numId w:val="61"/>
        </w:numPr>
      </w:pPr>
      <w:r w:rsidRPr="00102CE0">
        <w:t>Establecer la sección óptima en función del factor de junta, delimitando la profundidad de sellado.</w:t>
      </w:r>
    </w:p>
    <w:p w14:paraId="5D70CB7F" w14:textId="77777777" w:rsidR="00876E39" w:rsidRPr="00102CE0" w:rsidRDefault="00876E39" w:rsidP="00102CE0">
      <w:pPr>
        <w:pStyle w:val="NORMAL12"/>
        <w:numPr>
          <w:ilvl w:val="0"/>
          <w:numId w:val="61"/>
        </w:numPr>
      </w:pPr>
      <w:r w:rsidRPr="00102CE0">
        <w:t xml:space="preserve">Impedir que el sellador y adhesivo </w:t>
      </w:r>
      <w:proofErr w:type="spellStart"/>
      <w:r w:rsidRPr="00102CE0">
        <w:t>poliuretánico</w:t>
      </w:r>
      <w:proofErr w:type="spellEnd"/>
      <w:r w:rsidRPr="00102CE0">
        <w:t xml:space="preserve"> se adhiera al fondo de la junta.</w:t>
      </w:r>
    </w:p>
    <w:p w14:paraId="4B3B9F54" w14:textId="77777777" w:rsidR="00876E39" w:rsidRPr="00102CE0" w:rsidRDefault="00876E39" w:rsidP="00102CE0">
      <w:pPr>
        <w:pStyle w:val="NORMAL12"/>
        <w:numPr>
          <w:ilvl w:val="0"/>
          <w:numId w:val="61"/>
        </w:numPr>
      </w:pPr>
      <w:r w:rsidRPr="00102CE0">
        <w:t>Servir de soporte al sellador y limitar su consumo.</w:t>
      </w:r>
    </w:p>
    <w:p w14:paraId="495C2B56" w14:textId="77777777" w:rsidR="00876E39" w:rsidRPr="00102CE0" w:rsidRDefault="00876E39" w:rsidP="00876E39">
      <w:pPr>
        <w:spacing w:before="120" w:after="120" w:line="360" w:lineRule="auto"/>
        <w:jc w:val="both"/>
        <w:rPr>
          <w:rFonts w:ascii="Arial" w:hAnsi="Arial"/>
          <w:szCs w:val="20"/>
        </w:rPr>
      </w:pPr>
      <w:r w:rsidRPr="00102CE0">
        <w:rPr>
          <w:rFonts w:ascii="Arial" w:hAnsi="Arial"/>
          <w:szCs w:val="20"/>
        </w:rPr>
        <w:t>El diámetro del fondo de junta deberá ser aproximadamente 1,25 veces el ancho de la junta.</w:t>
      </w:r>
    </w:p>
    <w:p w14:paraId="6FF76991" w14:textId="77777777" w:rsidR="00876E39" w:rsidRPr="00102CE0" w:rsidRDefault="00876E39" w:rsidP="00876E39">
      <w:pPr>
        <w:spacing w:before="120" w:after="120" w:line="360" w:lineRule="auto"/>
        <w:jc w:val="both"/>
        <w:rPr>
          <w:rFonts w:ascii="Arial" w:hAnsi="Arial" w:cs="Arial"/>
          <w:szCs w:val="20"/>
        </w:rPr>
      </w:pPr>
      <w:r w:rsidRPr="00102CE0">
        <w:rPr>
          <w:rFonts w:ascii="Arial" w:hAnsi="Arial" w:cs="Arial"/>
          <w:szCs w:val="20"/>
        </w:rPr>
        <w:t xml:space="preserve">El siguiente paso consiste en aplicar la imprimación para mejorar la adherencia del material de sellado a los labios de la junta. De acuerdo con la gama de productos de sellado elegida, se empleará imprimación apta para soportes absorbentes. </w:t>
      </w:r>
    </w:p>
    <w:p w14:paraId="0199CC07" w14:textId="77777777" w:rsidR="00876E39" w:rsidRPr="00102CE0" w:rsidRDefault="00876E39" w:rsidP="00876E39">
      <w:pPr>
        <w:spacing w:before="120" w:after="120" w:line="360" w:lineRule="auto"/>
        <w:jc w:val="both"/>
        <w:rPr>
          <w:rFonts w:ascii="Arial" w:hAnsi="Arial" w:cs="Arial"/>
          <w:szCs w:val="20"/>
        </w:rPr>
      </w:pPr>
      <w:r w:rsidRPr="00102CE0">
        <w:rPr>
          <w:rFonts w:ascii="Arial" w:hAnsi="Arial" w:cs="Arial"/>
          <w:szCs w:val="20"/>
        </w:rPr>
        <w:t xml:space="preserve">Posteriormente se aplicará la masilla de sellado elástico. Es un sellador y adhesivo </w:t>
      </w:r>
      <w:proofErr w:type="spellStart"/>
      <w:r w:rsidRPr="00102CE0">
        <w:rPr>
          <w:rFonts w:ascii="Arial" w:hAnsi="Arial" w:cs="Arial"/>
          <w:szCs w:val="20"/>
        </w:rPr>
        <w:t>poliuretánico</w:t>
      </w:r>
      <w:proofErr w:type="spellEnd"/>
      <w:r w:rsidRPr="00102CE0">
        <w:rPr>
          <w:rFonts w:ascii="Arial" w:hAnsi="Arial" w:cs="Arial"/>
          <w:szCs w:val="20"/>
        </w:rPr>
        <w:t xml:space="preserve">, tixotrópico y </w:t>
      </w:r>
      <w:proofErr w:type="spellStart"/>
      <w:r w:rsidRPr="00102CE0">
        <w:rPr>
          <w:rFonts w:ascii="Arial" w:hAnsi="Arial" w:cs="Arial"/>
          <w:szCs w:val="20"/>
        </w:rPr>
        <w:t>monocomponente</w:t>
      </w:r>
      <w:proofErr w:type="spellEnd"/>
      <w:r w:rsidRPr="00102CE0">
        <w:rPr>
          <w:rFonts w:ascii="Arial" w:hAnsi="Arial" w:cs="Arial"/>
          <w:szCs w:val="20"/>
        </w:rPr>
        <w:t>, adecuado para el sellado de juntas con movimiento y juntas de unión tanto para aplicaciones interiores como exteriores, y tanto para superficies verticales como horizontales. De acuerdo con las dimensiones estimadas de las juntas y los movimientos esperados (</w:t>
      </w:r>
      <w:r w:rsidRPr="00102CE0">
        <w:rPr>
          <w:rFonts w:ascii="Symbol" w:hAnsi="Symbol" w:cs="Symbol"/>
          <w:szCs w:val="20"/>
        </w:rPr>
        <w:t></w:t>
      </w:r>
      <w:r w:rsidRPr="00102CE0">
        <w:rPr>
          <w:rFonts w:ascii="Arial" w:hAnsi="Arial" w:cs="Arial"/>
          <w:szCs w:val="20"/>
        </w:rPr>
        <w:t xml:space="preserve">10 mm). </w:t>
      </w:r>
    </w:p>
    <w:p w14:paraId="0434CED6" w14:textId="77777777" w:rsidR="00876E39" w:rsidRPr="00102CE0" w:rsidRDefault="00876E39" w:rsidP="00876E39">
      <w:pPr>
        <w:spacing w:before="120" w:after="120" w:line="360" w:lineRule="auto"/>
        <w:jc w:val="both"/>
        <w:rPr>
          <w:rFonts w:ascii="Arial" w:hAnsi="Arial" w:cs="Arial"/>
          <w:szCs w:val="20"/>
        </w:rPr>
      </w:pPr>
      <w:r w:rsidRPr="00102CE0">
        <w:rPr>
          <w:rFonts w:ascii="Arial" w:hAnsi="Arial" w:cs="Arial"/>
          <w:szCs w:val="20"/>
        </w:rPr>
        <w:t>Se aplicará con pistola, procediendo inmediatamente a su alisado superficial aplicando una ligera presión de manera que se adhiera perfectamente al soporte y se eliminen las posibles burbujas que se hayan podido formar. Para evitar desbordamientos y obtener un acabado óptimo, se aconseja proteger la junta mediante cinta adhesiva y retirarla inmediatamente tras el alisado del sellador.</w:t>
      </w:r>
    </w:p>
    <w:p w14:paraId="78EF943F" w14:textId="77777777" w:rsidR="00876E39" w:rsidRPr="00102CE0" w:rsidRDefault="00102CE0" w:rsidP="000313DD">
      <w:pPr>
        <w:pStyle w:val="TITU2"/>
      </w:pPr>
      <w:bookmarkStart w:id="1033" w:name="_Toc398111491"/>
      <w:bookmarkStart w:id="1034" w:name="_Toc398555820"/>
      <w:bookmarkStart w:id="1035" w:name="_Toc413779955"/>
      <w:bookmarkStart w:id="1036" w:name="_Toc404546"/>
      <w:r w:rsidRPr="00102CE0">
        <w:t>699.4.</w:t>
      </w:r>
      <w:r w:rsidR="00876E39" w:rsidRPr="00102CE0">
        <w:t xml:space="preserve"> Medici</w:t>
      </w:r>
      <w:r w:rsidR="00876E39" w:rsidRPr="00102CE0">
        <w:rPr>
          <w:rFonts w:hint="eastAsia"/>
        </w:rPr>
        <w:t>ó</w:t>
      </w:r>
      <w:r w:rsidR="00876E39" w:rsidRPr="00102CE0">
        <w:t xml:space="preserve">n </w:t>
      </w:r>
      <w:r>
        <w:t>y</w:t>
      </w:r>
      <w:r w:rsidR="00876E39" w:rsidRPr="00102CE0">
        <w:t xml:space="preserve"> Abono</w:t>
      </w:r>
      <w:bookmarkEnd w:id="1033"/>
      <w:bookmarkEnd w:id="1034"/>
      <w:bookmarkEnd w:id="1035"/>
      <w:bookmarkEnd w:id="1036"/>
      <w:r w:rsidR="00876E39" w:rsidRPr="00102CE0">
        <w:t xml:space="preserve"> </w:t>
      </w:r>
    </w:p>
    <w:p w14:paraId="1A173C8B" w14:textId="77777777" w:rsidR="00876E39" w:rsidRPr="00102CE0" w:rsidRDefault="00876E39" w:rsidP="00876E39">
      <w:pPr>
        <w:spacing w:before="120" w:after="120" w:line="360" w:lineRule="auto"/>
        <w:jc w:val="both"/>
        <w:rPr>
          <w:rFonts w:ascii="Arial" w:hAnsi="Arial"/>
          <w:szCs w:val="20"/>
        </w:rPr>
      </w:pPr>
      <w:r w:rsidRPr="00102CE0">
        <w:rPr>
          <w:rFonts w:ascii="Arial" w:hAnsi="Arial"/>
          <w:szCs w:val="20"/>
        </w:rPr>
        <w:t>La medición y el abono de la unidad de sellado de juntas se realizará conforme a las siguientes prescripciones:</w:t>
      </w:r>
    </w:p>
    <w:p w14:paraId="087A5A45" w14:textId="77777777" w:rsidR="00876E39" w:rsidRPr="00102CE0" w:rsidRDefault="00876E39" w:rsidP="00876E39">
      <w:pPr>
        <w:spacing w:before="120" w:after="120" w:line="360" w:lineRule="auto"/>
        <w:jc w:val="both"/>
        <w:rPr>
          <w:rFonts w:ascii="Arial" w:hAnsi="Arial"/>
          <w:szCs w:val="20"/>
        </w:rPr>
      </w:pPr>
      <w:r w:rsidRPr="00102CE0">
        <w:rPr>
          <w:rFonts w:ascii="Arial" w:hAnsi="Arial"/>
          <w:szCs w:val="20"/>
        </w:rPr>
        <w:t>Para el sellado de juntas mediante fondo de junta y sellador elástico de poliuretano:</w:t>
      </w: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8"/>
        <w:gridCol w:w="6073"/>
      </w:tblGrid>
      <w:tr w:rsidR="00876E39" w:rsidRPr="00174ED1" w14:paraId="0970B880" w14:textId="77777777" w:rsidTr="003421DA">
        <w:trPr>
          <w:jc w:val="center"/>
        </w:trPr>
        <w:tc>
          <w:tcPr>
            <w:tcW w:w="0" w:type="auto"/>
            <w:vAlign w:val="center"/>
          </w:tcPr>
          <w:p w14:paraId="58E5BE44" w14:textId="77777777" w:rsidR="00876E39" w:rsidRPr="00174ED1" w:rsidRDefault="00876E39" w:rsidP="00174ED1">
            <w:pPr>
              <w:pStyle w:val="Tabla1"/>
              <w:jc w:val="center"/>
              <w:rPr>
                <w:b/>
                <w:sz w:val="20"/>
                <w:szCs w:val="20"/>
              </w:rPr>
            </w:pPr>
            <w:r w:rsidRPr="00174ED1">
              <w:rPr>
                <w:b/>
                <w:sz w:val="20"/>
                <w:szCs w:val="20"/>
              </w:rPr>
              <w:t>Unidad de medida</w:t>
            </w:r>
          </w:p>
        </w:tc>
        <w:tc>
          <w:tcPr>
            <w:tcW w:w="6073" w:type="dxa"/>
            <w:vAlign w:val="center"/>
          </w:tcPr>
          <w:p w14:paraId="00C10F33" w14:textId="77777777" w:rsidR="00876E39" w:rsidRPr="00174ED1" w:rsidRDefault="00876E39" w:rsidP="00666B72">
            <w:pPr>
              <w:pStyle w:val="Tabla1"/>
              <w:rPr>
                <w:sz w:val="20"/>
                <w:szCs w:val="20"/>
              </w:rPr>
            </w:pPr>
            <w:r w:rsidRPr="00174ED1">
              <w:rPr>
                <w:sz w:val="20"/>
                <w:szCs w:val="20"/>
              </w:rPr>
              <w:t>decímetro cúbico (dm</w:t>
            </w:r>
            <w:r w:rsidRPr="00174ED1">
              <w:rPr>
                <w:sz w:val="20"/>
                <w:szCs w:val="20"/>
                <w:vertAlign w:val="superscript"/>
              </w:rPr>
              <w:t>3</w:t>
            </w:r>
            <w:r w:rsidRPr="00174ED1">
              <w:rPr>
                <w:sz w:val="20"/>
                <w:szCs w:val="20"/>
              </w:rPr>
              <w:t>)</w:t>
            </w:r>
          </w:p>
        </w:tc>
      </w:tr>
      <w:tr w:rsidR="00876E39" w:rsidRPr="00174ED1" w14:paraId="54E4D4A5" w14:textId="77777777" w:rsidTr="003421DA">
        <w:trPr>
          <w:jc w:val="center"/>
        </w:trPr>
        <w:tc>
          <w:tcPr>
            <w:tcW w:w="0" w:type="auto"/>
            <w:vAlign w:val="center"/>
          </w:tcPr>
          <w:p w14:paraId="4462B6FB" w14:textId="77777777" w:rsidR="00876E39" w:rsidRPr="00174ED1" w:rsidRDefault="00876E39" w:rsidP="00174ED1">
            <w:pPr>
              <w:pStyle w:val="Tabla1"/>
              <w:jc w:val="center"/>
              <w:rPr>
                <w:b/>
                <w:sz w:val="20"/>
                <w:szCs w:val="20"/>
              </w:rPr>
            </w:pPr>
            <w:r w:rsidRPr="00174ED1">
              <w:rPr>
                <w:b/>
                <w:sz w:val="20"/>
                <w:szCs w:val="20"/>
              </w:rPr>
              <w:t>Grado de precisión</w:t>
            </w:r>
          </w:p>
        </w:tc>
        <w:tc>
          <w:tcPr>
            <w:tcW w:w="6073" w:type="dxa"/>
            <w:vAlign w:val="center"/>
          </w:tcPr>
          <w:p w14:paraId="1A128E2B" w14:textId="77777777" w:rsidR="00876E39" w:rsidRPr="00174ED1" w:rsidRDefault="00876E39" w:rsidP="00666B72">
            <w:pPr>
              <w:pStyle w:val="Tabla1"/>
              <w:rPr>
                <w:sz w:val="20"/>
                <w:szCs w:val="20"/>
              </w:rPr>
            </w:pPr>
            <w:r w:rsidRPr="00174ED1">
              <w:rPr>
                <w:sz w:val="20"/>
                <w:szCs w:val="20"/>
              </w:rPr>
              <w:t>Dos decimales</w:t>
            </w:r>
          </w:p>
        </w:tc>
      </w:tr>
      <w:tr w:rsidR="00876E39" w:rsidRPr="00174ED1" w14:paraId="7712403B" w14:textId="77777777" w:rsidTr="003421DA">
        <w:trPr>
          <w:jc w:val="center"/>
        </w:trPr>
        <w:tc>
          <w:tcPr>
            <w:tcW w:w="0" w:type="auto"/>
            <w:vAlign w:val="center"/>
          </w:tcPr>
          <w:p w14:paraId="69BEB3A7" w14:textId="77777777" w:rsidR="00876E39" w:rsidRPr="00174ED1" w:rsidRDefault="00876E39" w:rsidP="00174ED1">
            <w:pPr>
              <w:pStyle w:val="Tabla1"/>
              <w:jc w:val="center"/>
              <w:rPr>
                <w:b/>
                <w:sz w:val="20"/>
                <w:szCs w:val="20"/>
              </w:rPr>
            </w:pPr>
            <w:r w:rsidRPr="00174ED1">
              <w:rPr>
                <w:b/>
                <w:sz w:val="20"/>
                <w:szCs w:val="20"/>
              </w:rPr>
              <w:t>Forma de medición</w:t>
            </w:r>
          </w:p>
        </w:tc>
        <w:tc>
          <w:tcPr>
            <w:tcW w:w="6073" w:type="dxa"/>
            <w:vAlign w:val="center"/>
          </w:tcPr>
          <w:p w14:paraId="53FEF538" w14:textId="77777777" w:rsidR="00876E39" w:rsidRPr="00174ED1" w:rsidRDefault="00876E39" w:rsidP="00666B72">
            <w:pPr>
              <w:pStyle w:val="Tabla1"/>
              <w:rPr>
                <w:sz w:val="20"/>
                <w:szCs w:val="20"/>
              </w:rPr>
            </w:pPr>
            <w:r w:rsidRPr="00174ED1">
              <w:rPr>
                <w:sz w:val="20"/>
                <w:szCs w:val="20"/>
              </w:rPr>
              <w:t>Medición de volumen realmente colocada en obra</w:t>
            </w:r>
          </w:p>
        </w:tc>
      </w:tr>
      <w:tr w:rsidR="00876E39" w:rsidRPr="00174ED1" w14:paraId="60CE925B" w14:textId="77777777" w:rsidTr="003421DA">
        <w:trPr>
          <w:jc w:val="center"/>
        </w:trPr>
        <w:tc>
          <w:tcPr>
            <w:tcW w:w="0" w:type="auto"/>
            <w:vAlign w:val="center"/>
          </w:tcPr>
          <w:p w14:paraId="1236FDF0" w14:textId="77777777" w:rsidR="00876E39" w:rsidRPr="00174ED1" w:rsidRDefault="00876E39" w:rsidP="00174ED1">
            <w:pPr>
              <w:pStyle w:val="Tabla1"/>
              <w:jc w:val="center"/>
              <w:rPr>
                <w:b/>
                <w:sz w:val="20"/>
                <w:szCs w:val="20"/>
              </w:rPr>
            </w:pPr>
            <w:r w:rsidRPr="00174ED1">
              <w:rPr>
                <w:b/>
                <w:sz w:val="20"/>
                <w:szCs w:val="20"/>
              </w:rPr>
              <w:t>Abono</w:t>
            </w:r>
          </w:p>
        </w:tc>
        <w:tc>
          <w:tcPr>
            <w:tcW w:w="6073" w:type="dxa"/>
            <w:vAlign w:val="center"/>
          </w:tcPr>
          <w:p w14:paraId="62B8A63E" w14:textId="77777777" w:rsidR="00876E39" w:rsidRPr="00174ED1" w:rsidRDefault="00876E39" w:rsidP="00666B72">
            <w:pPr>
              <w:pStyle w:val="Tabla1"/>
              <w:rPr>
                <w:sz w:val="20"/>
                <w:szCs w:val="20"/>
              </w:rPr>
            </w:pPr>
            <w:r w:rsidRPr="00174ED1">
              <w:rPr>
                <w:sz w:val="20"/>
                <w:szCs w:val="20"/>
              </w:rPr>
              <w:t>Se efectuará cuando se realice la aceptación</w:t>
            </w:r>
          </w:p>
        </w:tc>
      </w:tr>
      <w:tr w:rsidR="00876E39" w:rsidRPr="00174ED1" w14:paraId="227EE600" w14:textId="77777777" w:rsidTr="003421DA">
        <w:trPr>
          <w:jc w:val="center"/>
        </w:trPr>
        <w:tc>
          <w:tcPr>
            <w:tcW w:w="0" w:type="auto"/>
            <w:vAlign w:val="center"/>
          </w:tcPr>
          <w:p w14:paraId="6FD1943B" w14:textId="77777777" w:rsidR="00876E39" w:rsidRPr="00174ED1" w:rsidRDefault="00876E39" w:rsidP="00174ED1">
            <w:pPr>
              <w:pStyle w:val="Tabla1"/>
              <w:jc w:val="center"/>
              <w:rPr>
                <w:b/>
                <w:sz w:val="20"/>
                <w:szCs w:val="20"/>
              </w:rPr>
            </w:pPr>
            <w:r w:rsidRPr="00174ED1">
              <w:rPr>
                <w:b/>
                <w:sz w:val="20"/>
                <w:szCs w:val="20"/>
              </w:rPr>
              <w:t>Criterios complementarios</w:t>
            </w:r>
          </w:p>
        </w:tc>
        <w:tc>
          <w:tcPr>
            <w:tcW w:w="6073" w:type="dxa"/>
            <w:vAlign w:val="center"/>
          </w:tcPr>
          <w:p w14:paraId="5630A035" w14:textId="77777777" w:rsidR="00876E39" w:rsidRPr="00174ED1" w:rsidRDefault="00876E39" w:rsidP="00666B72">
            <w:pPr>
              <w:pStyle w:val="Tabla1"/>
              <w:rPr>
                <w:sz w:val="20"/>
                <w:szCs w:val="20"/>
              </w:rPr>
            </w:pPr>
            <w:r w:rsidRPr="00174ED1">
              <w:rPr>
                <w:sz w:val="20"/>
                <w:szCs w:val="20"/>
              </w:rPr>
              <w:t>El precio incluye materiales, transporte y colocación además de todas las operaciones y medios auxiliares necesarios para la correcta ejecución, incluso reparaciones locales, colocación, ajuste.</w:t>
            </w:r>
          </w:p>
        </w:tc>
      </w:tr>
    </w:tbl>
    <w:p w14:paraId="794A522E" w14:textId="77777777" w:rsidR="00876E39" w:rsidRPr="00102CE0" w:rsidRDefault="00876E39" w:rsidP="00876E39">
      <w:pPr>
        <w:spacing w:before="120" w:after="120" w:line="360" w:lineRule="auto"/>
        <w:ind w:firstLine="851"/>
        <w:jc w:val="both"/>
        <w:rPr>
          <w:rFonts w:ascii="Arial" w:hAnsi="Arial"/>
          <w:szCs w:val="20"/>
        </w:rPr>
      </w:pPr>
    </w:p>
    <w:p w14:paraId="333FBA27" w14:textId="77777777" w:rsidR="00876E39" w:rsidRPr="00102CE0" w:rsidRDefault="00876E39" w:rsidP="00876E39">
      <w:pPr>
        <w:spacing w:before="120" w:after="120" w:line="360" w:lineRule="auto"/>
        <w:jc w:val="both"/>
        <w:rPr>
          <w:rFonts w:ascii="Arial" w:hAnsi="Arial"/>
          <w:szCs w:val="20"/>
        </w:rPr>
      </w:pPr>
      <w:r w:rsidRPr="00102CE0">
        <w:rPr>
          <w:rFonts w:ascii="Arial" w:hAnsi="Arial"/>
          <w:szCs w:val="20"/>
        </w:rPr>
        <w:t>Para la materialización y sellado de juntas mediante planchas de poliestireno expandido y masilla de base bituminosa:</w:t>
      </w: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8"/>
        <w:gridCol w:w="6073"/>
      </w:tblGrid>
      <w:tr w:rsidR="00876E39" w:rsidRPr="00174ED1" w14:paraId="16EDDE7B" w14:textId="77777777" w:rsidTr="003421DA">
        <w:trPr>
          <w:jc w:val="center"/>
        </w:trPr>
        <w:tc>
          <w:tcPr>
            <w:tcW w:w="0" w:type="auto"/>
            <w:vAlign w:val="center"/>
          </w:tcPr>
          <w:p w14:paraId="2ED5455B" w14:textId="77777777" w:rsidR="00876E39" w:rsidRPr="00174ED1" w:rsidRDefault="00876E39" w:rsidP="00174ED1">
            <w:pPr>
              <w:pStyle w:val="Tabla1"/>
              <w:jc w:val="center"/>
              <w:rPr>
                <w:b/>
                <w:sz w:val="20"/>
                <w:szCs w:val="20"/>
              </w:rPr>
            </w:pPr>
            <w:r w:rsidRPr="00174ED1">
              <w:rPr>
                <w:b/>
                <w:sz w:val="20"/>
                <w:szCs w:val="20"/>
              </w:rPr>
              <w:t>Unidad de medida</w:t>
            </w:r>
          </w:p>
        </w:tc>
        <w:tc>
          <w:tcPr>
            <w:tcW w:w="6073" w:type="dxa"/>
            <w:vAlign w:val="center"/>
          </w:tcPr>
          <w:p w14:paraId="46D29012" w14:textId="77777777" w:rsidR="00876E39" w:rsidRPr="00174ED1" w:rsidRDefault="00876E39" w:rsidP="00666B72">
            <w:pPr>
              <w:pStyle w:val="Tabla1"/>
              <w:rPr>
                <w:sz w:val="20"/>
                <w:szCs w:val="20"/>
              </w:rPr>
            </w:pPr>
            <w:r w:rsidRPr="00174ED1">
              <w:rPr>
                <w:sz w:val="20"/>
                <w:szCs w:val="20"/>
              </w:rPr>
              <w:t>metro cuadrado (m</w:t>
            </w:r>
            <w:r w:rsidRPr="00174ED1">
              <w:rPr>
                <w:sz w:val="20"/>
                <w:szCs w:val="20"/>
                <w:vertAlign w:val="superscript"/>
              </w:rPr>
              <w:t>2</w:t>
            </w:r>
            <w:r w:rsidRPr="00174ED1">
              <w:rPr>
                <w:sz w:val="20"/>
                <w:szCs w:val="20"/>
              </w:rPr>
              <w:t>)</w:t>
            </w:r>
          </w:p>
        </w:tc>
      </w:tr>
      <w:tr w:rsidR="00876E39" w:rsidRPr="00174ED1" w14:paraId="294A172D" w14:textId="77777777" w:rsidTr="003421DA">
        <w:trPr>
          <w:jc w:val="center"/>
        </w:trPr>
        <w:tc>
          <w:tcPr>
            <w:tcW w:w="0" w:type="auto"/>
            <w:vAlign w:val="center"/>
          </w:tcPr>
          <w:p w14:paraId="3E7CC34A" w14:textId="77777777" w:rsidR="00876E39" w:rsidRPr="00174ED1" w:rsidRDefault="00876E39" w:rsidP="00174ED1">
            <w:pPr>
              <w:pStyle w:val="Tabla1"/>
              <w:jc w:val="center"/>
              <w:rPr>
                <w:b/>
                <w:sz w:val="20"/>
                <w:szCs w:val="20"/>
              </w:rPr>
            </w:pPr>
            <w:r w:rsidRPr="00174ED1">
              <w:rPr>
                <w:b/>
                <w:sz w:val="20"/>
                <w:szCs w:val="20"/>
              </w:rPr>
              <w:t>Grado de precisión</w:t>
            </w:r>
          </w:p>
        </w:tc>
        <w:tc>
          <w:tcPr>
            <w:tcW w:w="6073" w:type="dxa"/>
            <w:vAlign w:val="center"/>
          </w:tcPr>
          <w:p w14:paraId="535CC6F9" w14:textId="77777777" w:rsidR="00876E39" w:rsidRPr="00174ED1" w:rsidRDefault="00876E39" w:rsidP="00666B72">
            <w:pPr>
              <w:pStyle w:val="Tabla1"/>
              <w:rPr>
                <w:sz w:val="20"/>
                <w:szCs w:val="20"/>
              </w:rPr>
            </w:pPr>
            <w:r w:rsidRPr="00174ED1">
              <w:rPr>
                <w:sz w:val="20"/>
                <w:szCs w:val="20"/>
              </w:rPr>
              <w:t>Dos decimales</w:t>
            </w:r>
          </w:p>
        </w:tc>
      </w:tr>
      <w:tr w:rsidR="00876E39" w:rsidRPr="00174ED1" w14:paraId="6CC6620A" w14:textId="77777777" w:rsidTr="003421DA">
        <w:trPr>
          <w:jc w:val="center"/>
        </w:trPr>
        <w:tc>
          <w:tcPr>
            <w:tcW w:w="0" w:type="auto"/>
            <w:vAlign w:val="center"/>
          </w:tcPr>
          <w:p w14:paraId="1A67CF39" w14:textId="77777777" w:rsidR="00876E39" w:rsidRPr="00174ED1" w:rsidRDefault="00876E39" w:rsidP="00174ED1">
            <w:pPr>
              <w:pStyle w:val="Tabla1"/>
              <w:jc w:val="center"/>
              <w:rPr>
                <w:b/>
                <w:sz w:val="20"/>
                <w:szCs w:val="20"/>
              </w:rPr>
            </w:pPr>
            <w:r w:rsidRPr="00174ED1">
              <w:rPr>
                <w:b/>
                <w:sz w:val="20"/>
                <w:szCs w:val="20"/>
              </w:rPr>
              <w:t>Forma de medición</w:t>
            </w:r>
          </w:p>
        </w:tc>
        <w:tc>
          <w:tcPr>
            <w:tcW w:w="6073" w:type="dxa"/>
            <w:vAlign w:val="center"/>
          </w:tcPr>
          <w:p w14:paraId="1B858830" w14:textId="77777777" w:rsidR="00876E39" w:rsidRPr="00174ED1" w:rsidRDefault="00876E39" w:rsidP="00666B72">
            <w:pPr>
              <w:pStyle w:val="Tabla1"/>
              <w:rPr>
                <w:sz w:val="20"/>
                <w:szCs w:val="20"/>
              </w:rPr>
            </w:pPr>
            <w:r w:rsidRPr="00174ED1">
              <w:rPr>
                <w:sz w:val="20"/>
                <w:szCs w:val="20"/>
              </w:rPr>
              <w:t>Medición de superficie realmente ejecutada en obra</w:t>
            </w:r>
          </w:p>
        </w:tc>
      </w:tr>
      <w:tr w:rsidR="00876E39" w:rsidRPr="00174ED1" w14:paraId="6111E559" w14:textId="77777777" w:rsidTr="003421DA">
        <w:trPr>
          <w:jc w:val="center"/>
        </w:trPr>
        <w:tc>
          <w:tcPr>
            <w:tcW w:w="0" w:type="auto"/>
            <w:vAlign w:val="center"/>
          </w:tcPr>
          <w:p w14:paraId="11AC1A37" w14:textId="77777777" w:rsidR="00876E39" w:rsidRPr="00174ED1" w:rsidRDefault="00876E39" w:rsidP="00174ED1">
            <w:pPr>
              <w:pStyle w:val="Tabla1"/>
              <w:jc w:val="center"/>
              <w:rPr>
                <w:b/>
                <w:sz w:val="20"/>
                <w:szCs w:val="20"/>
              </w:rPr>
            </w:pPr>
            <w:r w:rsidRPr="00174ED1">
              <w:rPr>
                <w:b/>
                <w:sz w:val="20"/>
                <w:szCs w:val="20"/>
              </w:rPr>
              <w:t>Abono</w:t>
            </w:r>
          </w:p>
        </w:tc>
        <w:tc>
          <w:tcPr>
            <w:tcW w:w="6073" w:type="dxa"/>
            <w:vAlign w:val="center"/>
          </w:tcPr>
          <w:p w14:paraId="127657C5" w14:textId="77777777" w:rsidR="00876E39" w:rsidRPr="00174ED1" w:rsidRDefault="00876E39" w:rsidP="00666B72">
            <w:pPr>
              <w:pStyle w:val="Tabla1"/>
              <w:rPr>
                <w:sz w:val="20"/>
                <w:szCs w:val="20"/>
              </w:rPr>
            </w:pPr>
            <w:r w:rsidRPr="00174ED1">
              <w:rPr>
                <w:sz w:val="20"/>
                <w:szCs w:val="20"/>
              </w:rPr>
              <w:t>Se efectuará cuando se realice la aceptación</w:t>
            </w:r>
          </w:p>
        </w:tc>
      </w:tr>
      <w:tr w:rsidR="00876E39" w:rsidRPr="00174ED1" w14:paraId="6C1C56A7" w14:textId="77777777" w:rsidTr="003421DA">
        <w:trPr>
          <w:jc w:val="center"/>
        </w:trPr>
        <w:tc>
          <w:tcPr>
            <w:tcW w:w="0" w:type="auto"/>
            <w:vAlign w:val="center"/>
          </w:tcPr>
          <w:p w14:paraId="06987DCC" w14:textId="77777777" w:rsidR="00876E39" w:rsidRPr="00174ED1" w:rsidRDefault="00876E39" w:rsidP="00174ED1">
            <w:pPr>
              <w:pStyle w:val="Tabla1"/>
              <w:jc w:val="center"/>
              <w:rPr>
                <w:b/>
                <w:sz w:val="20"/>
                <w:szCs w:val="20"/>
              </w:rPr>
            </w:pPr>
            <w:r w:rsidRPr="00174ED1">
              <w:rPr>
                <w:b/>
                <w:sz w:val="20"/>
                <w:szCs w:val="20"/>
              </w:rPr>
              <w:t>Criterios complementarios</w:t>
            </w:r>
          </w:p>
        </w:tc>
        <w:tc>
          <w:tcPr>
            <w:tcW w:w="6073" w:type="dxa"/>
            <w:vAlign w:val="center"/>
          </w:tcPr>
          <w:p w14:paraId="231EB541" w14:textId="77777777" w:rsidR="00876E39" w:rsidRPr="00174ED1" w:rsidRDefault="00876E39" w:rsidP="00666B72">
            <w:pPr>
              <w:pStyle w:val="Tabla1"/>
              <w:rPr>
                <w:sz w:val="20"/>
                <w:szCs w:val="20"/>
              </w:rPr>
            </w:pPr>
            <w:r w:rsidRPr="00174ED1">
              <w:rPr>
                <w:sz w:val="20"/>
                <w:szCs w:val="20"/>
              </w:rPr>
              <w:t>El precio incluye materiales, transporte y colocación además de todas las operaciones y medios auxiliares necesarios para la correcta ejecución, incluso reparaciones locales, colocación, ajuste.</w:t>
            </w:r>
          </w:p>
        </w:tc>
      </w:tr>
    </w:tbl>
    <w:p w14:paraId="16352EEB" w14:textId="77777777" w:rsidR="00AB0476" w:rsidRPr="00F3260E" w:rsidRDefault="00AB0476" w:rsidP="00076E49">
      <w:pPr>
        <w:pStyle w:val="NORMAL12"/>
        <w:rPr>
          <w:color w:val="FF0000"/>
          <w:lang w:val="es-ES"/>
        </w:rPr>
      </w:pPr>
    </w:p>
    <w:p w14:paraId="1155B6BB" w14:textId="77777777" w:rsidR="001A5B2B" w:rsidRPr="00004AB3" w:rsidRDefault="001A5B2B" w:rsidP="001A5B2B">
      <w:pPr>
        <w:pStyle w:val="TITU1"/>
      </w:pPr>
      <w:bookmarkStart w:id="1037" w:name="_Toc404547"/>
      <w:bookmarkStart w:id="1038" w:name="_Toc140628460"/>
      <w:bookmarkStart w:id="1039" w:name="_Toc183257661"/>
      <w:bookmarkStart w:id="1040" w:name="_Toc277523373"/>
      <w:r w:rsidRPr="00004AB3">
        <w:rPr>
          <w:lang w:val="es-ES_tradnl"/>
        </w:rPr>
        <w:lastRenderedPageBreak/>
        <w:t>Artículo 699</w:t>
      </w:r>
      <w:r w:rsidR="006C6D60" w:rsidRPr="00004AB3">
        <w:rPr>
          <w:lang w:val="es-ES_tradnl"/>
        </w:rPr>
        <w:t>b</w:t>
      </w:r>
      <w:r w:rsidRPr="00004AB3">
        <w:rPr>
          <w:lang w:val="es-ES_tradnl"/>
        </w:rPr>
        <w:t xml:space="preserve">. Sellado de juntas </w:t>
      </w:r>
      <w:r w:rsidR="006C6D60" w:rsidRPr="00004AB3">
        <w:rPr>
          <w:lang w:val="es-ES_tradnl"/>
        </w:rPr>
        <w:t>con mezcla asfáltica</w:t>
      </w:r>
      <w:bookmarkEnd w:id="1037"/>
    </w:p>
    <w:p w14:paraId="204FD0BE" w14:textId="77777777" w:rsidR="001A5B2B" w:rsidRPr="00004AB3" w:rsidRDefault="001A5B2B" w:rsidP="000313DD">
      <w:pPr>
        <w:pStyle w:val="TITU2"/>
      </w:pPr>
      <w:bookmarkStart w:id="1041" w:name="_Toc404548"/>
      <w:r w:rsidRPr="00004AB3">
        <w:t>699</w:t>
      </w:r>
      <w:r w:rsidR="006C6D60" w:rsidRPr="00004AB3">
        <w:t>b</w:t>
      </w:r>
      <w:r w:rsidRPr="00004AB3">
        <w:t>.1. Aplicación</w:t>
      </w:r>
      <w:bookmarkEnd w:id="1041"/>
      <w:r w:rsidRPr="00004AB3">
        <w:t xml:space="preserve">  </w:t>
      </w:r>
    </w:p>
    <w:p w14:paraId="3107D454" w14:textId="77777777" w:rsidR="006E5244" w:rsidRPr="00004AB3" w:rsidRDefault="006E5244" w:rsidP="006E5244">
      <w:pPr>
        <w:pStyle w:val="NORMAL12"/>
        <w:rPr>
          <w:lang w:val="es-ES"/>
        </w:rPr>
      </w:pPr>
      <w:r w:rsidRPr="00004AB3">
        <w:rPr>
          <w:lang w:val="es-ES"/>
        </w:rPr>
        <w:t>Se define la unidad como el corte y sellado con mezclas asfálticas de tuberías en la ampliación de obras de drenaje existente.</w:t>
      </w:r>
    </w:p>
    <w:p w14:paraId="1469630D" w14:textId="77777777" w:rsidR="001A5B2B" w:rsidRPr="00004AB3" w:rsidRDefault="001A5B2B" w:rsidP="001A5B2B">
      <w:pPr>
        <w:pStyle w:val="NORMAL12"/>
        <w:rPr>
          <w:lang w:val="es-ES"/>
        </w:rPr>
      </w:pPr>
      <w:r w:rsidRPr="00004AB3">
        <w:rPr>
          <w:lang w:val="es-ES"/>
        </w:rPr>
        <w:t xml:space="preserve">Las prescripciones del presente artículo </w:t>
      </w:r>
      <w:proofErr w:type="gramStart"/>
      <w:r w:rsidRPr="00004AB3">
        <w:rPr>
          <w:lang w:val="es-ES"/>
        </w:rPr>
        <w:t>son de aplicación</w:t>
      </w:r>
      <w:proofErr w:type="gramEnd"/>
      <w:r w:rsidRPr="00004AB3">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330"/>
        <w:gridCol w:w="643"/>
        <w:gridCol w:w="7805"/>
      </w:tblGrid>
      <w:tr w:rsidR="006E5244" w:rsidRPr="00004AB3" w14:paraId="7DFA93C0" w14:textId="77777777" w:rsidTr="007920B4">
        <w:trPr>
          <w:trHeight w:val="300"/>
        </w:trPr>
        <w:tc>
          <w:tcPr>
            <w:tcW w:w="680" w:type="pct"/>
            <w:noWrap/>
            <w:hideMark/>
          </w:tcPr>
          <w:p w14:paraId="2A09969B" w14:textId="77777777" w:rsidR="006E5244" w:rsidRPr="00D921B6" w:rsidRDefault="006E5244" w:rsidP="006E5244">
            <w:pPr>
              <w:rPr>
                <w:rFonts w:ascii="Calibri" w:hAnsi="Calibri"/>
              </w:rPr>
            </w:pPr>
            <w:r w:rsidRPr="00D921B6">
              <w:rPr>
                <w:rFonts w:ascii="Calibri" w:hAnsi="Calibri"/>
              </w:rPr>
              <w:t xml:space="preserve">690.0001N         </w:t>
            </w:r>
          </w:p>
        </w:tc>
        <w:tc>
          <w:tcPr>
            <w:tcW w:w="329" w:type="pct"/>
            <w:noWrap/>
            <w:hideMark/>
          </w:tcPr>
          <w:p w14:paraId="4CE38A94" w14:textId="77777777" w:rsidR="006E5244" w:rsidRPr="00D921B6" w:rsidRDefault="006E5244" w:rsidP="006E5244">
            <w:pPr>
              <w:rPr>
                <w:rFonts w:ascii="Calibri" w:hAnsi="Calibri"/>
              </w:rPr>
            </w:pPr>
            <w:r w:rsidRPr="00D921B6">
              <w:rPr>
                <w:rFonts w:ascii="Calibri" w:hAnsi="Calibri"/>
              </w:rPr>
              <w:t>m</w:t>
            </w:r>
          </w:p>
        </w:tc>
        <w:tc>
          <w:tcPr>
            <w:tcW w:w="3991" w:type="pct"/>
            <w:hideMark/>
          </w:tcPr>
          <w:p w14:paraId="50483A8A" w14:textId="77777777" w:rsidR="006E5244" w:rsidRPr="00D921B6" w:rsidRDefault="006E5244" w:rsidP="00666B72">
            <w:pPr>
              <w:jc w:val="both"/>
              <w:rPr>
                <w:rFonts w:ascii="Calibri" w:hAnsi="Calibri"/>
              </w:rPr>
            </w:pPr>
            <w:r w:rsidRPr="00D921B6">
              <w:rPr>
                <w:rFonts w:ascii="Calibri" w:hAnsi="Calibri"/>
              </w:rPr>
              <w:t>CORTE Y SELLADO CON MEZCLA ASFÁLTICA DE APLICACION EN CALIENTE, A BASE DE BETUNES MODIFICADOS CON ELASTÓMEROS, INCLUSO MATERIAL Y ELEMENTOS AUXILIARES. TOTALMENTE TERMINADO.</w:t>
            </w:r>
          </w:p>
        </w:tc>
      </w:tr>
    </w:tbl>
    <w:p w14:paraId="110321DE" w14:textId="77777777" w:rsidR="00B04240" w:rsidRPr="00B04240" w:rsidRDefault="00B04240" w:rsidP="00B04240">
      <w:pPr>
        <w:pStyle w:val="NORMAL12"/>
        <w:rPr>
          <w:lang w:val="es-ES"/>
        </w:rPr>
      </w:pPr>
      <w:r>
        <w:rPr>
          <w:lang w:val="es-ES"/>
        </w:rPr>
        <w:t>La ejecución de la unidad incluye la realización de las operaciones siguientes:</w:t>
      </w:r>
    </w:p>
    <w:p w14:paraId="4036F187" w14:textId="77777777" w:rsidR="006C6D60" w:rsidRPr="00004AB3" w:rsidRDefault="006C6D60" w:rsidP="000313DD">
      <w:pPr>
        <w:pStyle w:val="NORMAL12"/>
        <w:numPr>
          <w:ilvl w:val="0"/>
          <w:numId w:val="249"/>
        </w:numPr>
        <w:rPr>
          <w:lang w:val="es-ES"/>
        </w:rPr>
      </w:pPr>
      <w:r w:rsidRPr="00004AB3">
        <w:rPr>
          <w:lang w:val="es-ES"/>
        </w:rPr>
        <w:t xml:space="preserve">Corte con las herramientas necesarias </w:t>
      </w:r>
    </w:p>
    <w:p w14:paraId="16DCA482" w14:textId="77777777" w:rsidR="006C6D60" w:rsidRPr="00004AB3" w:rsidRDefault="006C6D60" w:rsidP="000313DD">
      <w:pPr>
        <w:pStyle w:val="NORMAL12"/>
        <w:numPr>
          <w:ilvl w:val="0"/>
          <w:numId w:val="249"/>
        </w:numPr>
        <w:rPr>
          <w:lang w:val="es-ES"/>
        </w:rPr>
      </w:pPr>
      <w:r w:rsidRPr="00004AB3">
        <w:rPr>
          <w:lang w:val="es-ES"/>
        </w:rPr>
        <w:t>Preparación de la superficie</w:t>
      </w:r>
    </w:p>
    <w:p w14:paraId="299FC840" w14:textId="77777777" w:rsidR="006C6D60" w:rsidRPr="00004AB3" w:rsidRDefault="006C6D60" w:rsidP="000313DD">
      <w:pPr>
        <w:pStyle w:val="NORMAL12"/>
        <w:numPr>
          <w:ilvl w:val="0"/>
          <w:numId w:val="249"/>
        </w:numPr>
        <w:rPr>
          <w:lang w:val="es-ES"/>
        </w:rPr>
      </w:pPr>
      <w:r w:rsidRPr="00004AB3">
        <w:rPr>
          <w:lang w:val="es-ES"/>
        </w:rPr>
        <w:t>Aplicación del producto.</w:t>
      </w:r>
    </w:p>
    <w:p w14:paraId="71D1FB7D" w14:textId="77777777" w:rsidR="006C6D60" w:rsidRPr="00004AB3" w:rsidRDefault="006C6D60" w:rsidP="000313DD">
      <w:pPr>
        <w:pStyle w:val="NORMAL12"/>
        <w:numPr>
          <w:ilvl w:val="0"/>
          <w:numId w:val="249"/>
        </w:numPr>
        <w:rPr>
          <w:lang w:val="es-ES"/>
        </w:rPr>
      </w:pPr>
      <w:r w:rsidRPr="00004AB3">
        <w:rPr>
          <w:lang w:val="es-ES"/>
        </w:rPr>
        <w:t>Limpieza</w:t>
      </w:r>
    </w:p>
    <w:p w14:paraId="1FA9EC1D" w14:textId="77777777" w:rsidR="001A5B2B" w:rsidRPr="00004AB3" w:rsidRDefault="001A5B2B" w:rsidP="000313DD">
      <w:pPr>
        <w:pStyle w:val="TITU2"/>
      </w:pPr>
      <w:r w:rsidRPr="00004AB3">
        <w:rPr>
          <w:szCs w:val="20"/>
        </w:rPr>
        <w:t xml:space="preserve"> </w:t>
      </w:r>
      <w:bookmarkStart w:id="1042" w:name="_Toc404549"/>
      <w:r w:rsidRPr="00004AB3">
        <w:t>699</w:t>
      </w:r>
      <w:r w:rsidR="006C6D60" w:rsidRPr="00004AB3">
        <w:t>b</w:t>
      </w:r>
      <w:r w:rsidRPr="00004AB3">
        <w:t>.2. Materiales</w:t>
      </w:r>
      <w:bookmarkEnd w:id="1042"/>
      <w:r w:rsidRPr="00004AB3">
        <w:t xml:space="preserve"> </w:t>
      </w:r>
    </w:p>
    <w:p w14:paraId="54D3D832" w14:textId="77777777" w:rsidR="006E5244" w:rsidRPr="00004AB3" w:rsidRDefault="006C6D60" w:rsidP="006C6D60">
      <w:pPr>
        <w:pStyle w:val="NORMAL12"/>
        <w:rPr>
          <w:lang w:val="es-ES"/>
        </w:rPr>
      </w:pPr>
      <w:r w:rsidRPr="00004AB3">
        <w:rPr>
          <w:lang w:val="es-ES"/>
        </w:rPr>
        <w:t>Se lleva a cabo el sellado con m</w:t>
      </w:r>
      <w:r w:rsidR="006E5244" w:rsidRPr="00004AB3">
        <w:rPr>
          <w:lang w:val="es-ES"/>
        </w:rPr>
        <w:t>ezcla asfáltica de aplicación en caliente, a base de betunes modificados con elastómeros, que consigue la estanqueidad</w:t>
      </w:r>
      <w:r w:rsidRPr="00004AB3">
        <w:rPr>
          <w:lang w:val="es-ES"/>
        </w:rPr>
        <w:t xml:space="preserve"> de los cortes y grietas existentes. </w:t>
      </w:r>
      <w:r w:rsidR="006E5244" w:rsidRPr="00004AB3">
        <w:rPr>
          <w:lang w:val="es-ES"/>
        </w:rPr>
        <w:t xml:space="preserve"> </w:t>
      </w:r>
    </w:p>
    <w:p w14:paraId="5E19D0D3" w14:textId="77777777" w:rsidR="006E5244" w:rsidRPr="00004AB3" w:rsidRDefault="006C6D60" w:rsidP="006E5244">
      <w:pPr>
        <w:pStyle w:val="NORMAL12"/>
        <w:rPr>
          <w:i/>
          <w:u w:val="single"/>
          <w:lang w:val="es-ES"/>
        </w:rPr>
      </w:pPr>
      <w:r w:rsidRPr="00004AB3">
        <w:rPr>
          <w:i/>
          <w:u w:val="single"/>
          <w:lang w:val="es-ES"/>
        </w:rPr>
        <w:t>Características generales</w:t>
      </w:r>
    </w:p>
    <w:p w14:paraId="1F6D269D" w14:textId="77777777" w:rsidR="006C6D60" w:rsidRPr="006C6D60" w:rsidRDefault="006C6D60" w:rsidP="000313DD">
      <w:pPr>
        <w:pStyle w:val="NORMAL12"/>
        <w:numPr>
          <w:ilvl w:val="0"/>
          <w:numId w:val="250"/>
        </w:numPr>
        <w:rPr>
          <w:lang w:val="es-ES"/>
        </w:rPr>
      </w:pPr>
      <w:r w:rsidRPr="006C6D60">
        <w:rPr>
          <w:lang w:val="es-ES"/>
        </w:rPr>
        <w:t xml:space="preserve">Buena adherencia a superficies de hormigón. </w:t>
      </w:r>
    </w:p>
    <w:p w14:paraId="396F2775" w14:textId="77777777" w:rsidR="006C6D60" w:rsidRPr="006C6D60" w:rsidRDefault="006C6D60" w:rsidP="000313DD">
      <w:pPr>
        <w:pStyle w:val="NORMAL12"/>
        <w:numPr>
          <w:ilvl w:val="0"/>
          <w:numId w:val="250"/>
        </w:numPr>
        <w:rPr>
          <w:lang w:val="es-ES"/>
        </w:rPr>
      </w:pPr>
      <w:r w:rsidRPr="006C6D60">
        <w:rPr>
          <w:lang w:val="es-ES"/>
        </w:rPr>
        <w:t xml:space="preserve">Por su carácter termoplástico, permite ser aplicada fundida por calentamiento. </w:t>
      </w:r>
    </w:p>
    <w:p w14:paraId="784985D9" w14:textId="77777777" w:rsidR="006C6D60" w:rsidRPr="006C6D60" w:rsidRDefault="006C6D60" w:rsidP="000313DD">
      <w:pPr>
        <w:pStyle w:val="NORMAL12"/>
        <w:numPr>
          <w:ilvl w:val="0"/>
          <w:numId w:val="250"/>
        </w:numPr>
        <w:rPr>
          <w:lang w:val="es-ES"/>
        </w:rPr>
      </w:pPr>
      <w:r w:rsidRPr="006C6D60">
        <w:rPr>
          <w:lang w:val="es-ES"/>
        </w:rPr>
        <w:t xml:space="preserve">Posee gran elasticidad, incluso a bajas temperaturas. </w:t>
      </w:r>
    </w:p>
    <w:p w14:paraId="37A0C793" w14:textId="77777777" w:rsidR="006C6D60" w:rsidRPr="006C6D60" w:rsidRDefault="006C6D60" w:rsidP="000313DD">
      <w:pPr>
        <w:pStyle w:val="NORMAL12"/>
        <w:numPr>
          <w:ilvl w:val="0"/>
          <w:numId w:val="250"/>
        </w:numPr>
        <w:rPr>
          <w:lang w:val="es-ES"/>
        </w:rPr>
      </w:pPr>
      <w:r w:rsidRPr="006C6D60">
        <w:rPr>
          <w:lang w:val="es-ES"/>
        </w:rPr>
        <w:t xml:space="preserve">Facilidad de vertido y extendido. </w:t>
      </w:r>
    </w:p>
    <w:p w14:paraId="2E15220D" w14:textId="77777777" w:rsidR="006E5244" w:rsidRPr="00004AB3" w:rsidRDefault="006E5244" w:rsidP="006E5244">
      <w:pPr>
        <w:pStyle w:val="NORMAL12"/>
        <w:rPr>
          <w:i/>
          <w:u w:val="single"/>
          <w:lang w:val="es-ES"/>
        </w:rPr>
      </w:pPr>
      <w:r w:rsidRPr="00004AB3">
        <w:rPr>
          <w:i/>
          <w:u w:val="single"/>
          <w:lang w:val="es-ES"/>
        </w:rPr>
        <w:t>Características técnicas</w:t>
      </w:r>
    </w:p>
    <w:p w14:paraId="7BC829C8" w14:textId="77777777" w:rsidR="00004AB3" w:rsidRPr="00004AB3" w:rsidRDefault="00004AB3" w:rsidP="000313DD">
      <w:pPr>
        <w:pStyle w:val="NORMAL12"/>
        <w:numPr>
          <w:ilvl w:val="0"/>
          <w:numId w:val="251"/>
        </w:numPr>
        <w:rPr>
          <w:lang w:val="es-ES"/>
        </w:rPr>
      </w:pPr>
      <w:r w:rsidRPr="00004AB3">
        <w:rPr>
          <w:lang w:val="es-ES"/>
        </w:rPr>
        <w:t>Cumple con la norma UNE 104-233</w:t>
      </w:r>
    </w:p>
    <w:p w14:paraId="48F7CE6C" w14:textId="77777777" w:rsidR="00004AB3" w:rsidRPr="00004AB3" w:rsidRDefault="00004AB3" w:rsidP="000313DD">
      <w:pPr>
        <w:pStyle w:val="NORMAL12"/>
        <w:numPr>
          <w:ilvl w:val="0"/>
          <w:numId w:val="251"/>
        </w:numPr>
        <w:rPr>
          <w:lang w:val="es-ES"/>
        </w:rPr>
      </w:pPr>
      <w:r w:rsidRPr="00004AB3">
        <w:rPr>
          <w:lang w:val="es-ES"/>
        </w:rPr>
        <w:t xml:space="preserve">Compatibilidad con el asfalto, no se aprecia exudación de aceites, ni pérdida de </w:t>
      </w:r>
      <w:r w:rsidR="00217216" w:rsidRPr="00004AB3">
        <w:rPr>
          <w:lang w:val="es-ES"/>
        </w:rPr>
        <w:t>adherencia</w:t>
      </w:r>
      <w:r w:rsidRPr="00004AB3">
        <w:rPr>
          <w:lang w:val="es-ES"/>
        </w:rPr>
        <w:t xml:space="preserve"> entre el material de sellado y el mortero asfáltico.</w:t>
      </w:r>
    </w:p>
    <w:p w14:paraId="65B6ED4F" w14:textId="77777777" w:rsidR="00004AB3" w:rsidRPr="00004AB3" w:rsidRDefault="00004AB3" w:rsidP="000313DD">
      <w:pPr>
        <w:pStyle w:val="NORMAL12"/>
        <w:numPr>
          <w:ilvl w:val="0"/>
          <w:numId w:val="251"/>
        </w:numPr>
        <w:rPr>
          <w:lang w:val="es-ES"/>
        </w:rPr>
      </w:pPr>
      <w:r w:rsidRPr="00004AB3">
        <w:rPr>
          <w:lang w:val="es-ES"/>
        </w:rPr>
        <w:t>Densidad entre 1,3 – 1,4 g/cm</w:t>
      </w:r>
      <w:r w:rsidRPr="00004AB3">
        <w:rPr>
          <w:vertAlign w:val="superscript"/>
          <w:lang w:val="es-ES"/>
        </w:rPr>
        <w:t>2</w:t>
      </w:r>
    </w:p>
    <w:p w14:paraId="35BAD501" w14:textId="77777777" w:rsidR="00004AB3" w:rsidRPr="00004AB3" w:rsidRDefault="00004AB3" w:rsidP="000313DD">
      <w:pPr>
        <w:pStyle w:val="NORMAL12"/>
        <w:numPr>
          <w:ilvl w:val="0"/>
          <w:numId w:val="251"/>
        </w:numPr>
        <w:rPr>
          <w:lang w:val="es-ES"/>
        </w:rPr>
      </w:pPr>
      <w:r w:rsidRPr="00004AB3">
        <w:rPr>
          <w:lang w:val="es-ES"/>
        </w:rPr>
        <w:t>Temperatura de vertido: 180ºC</w:t>
      </w:r>
    </w:p>
    <w:p w14:paraId="5B8A5104" w14:textId="77777777" w:rsidR="00004AB3" w:rsidRPr="00004AB3" w:rsidRDefault="00004AB3" w:rsidP="000313DD">
      <w:pPr>
        <w:pStyle w:val="NORMAL12"/>
        <w:numPr>
          <w:ilvl w:val="0"/>
          <w:numId w:val="251"/>
        </w:numPr>
        <w:rPr>
          <w:lang w:val="es-ES"/>
        </w:rPr>
      </w:pPr>
      <w:r w:rsidRPr="00004AB3">
        <w:rPr>
          <w:lang w:val="es-ES"/>
        </w:rPr>
        <w:t xml:space="preserve">Temperatura de seguridad: 210 </w:t>
      </w:r>
      <w:proofErr w:type="spellStart"/>
      <w:r w:rsidRPr="00004AB3">
        <w:rPr>
          <w:lang w:val="es-ES"/>
        </w:rPr>
        <w:t>ºC</w:t>
      </w:r>
      <w:proofErr w:type="spellEnd"/>
    </w:p>
    <w:p w14:paraId="6452F57F" w14:textId="77777777" w:rsidR="00004AB3" w:rsidRPr="00004AB3" w:rsidRDefault="00004AB3" w:rsidP="000313DD">
      <w:pPr>
        <w:pStyle w:val="NORMAL12"/>
        <w:numPr>
          <w:ilvl w:val="0"/>
          <w:numId w:val="251"/>
        </w:numPr>
        <w:rPr>
          <w:lang w:val="es-ES"/>
        </w:rPr>
      </w:pPr>
      <w:r w:rsidRPr="00004AB3">
        <w:rPr>
          <w:lang w:val="es-ES"/>
        </w:rPr>
        <w:t>Penetración a 25ºC 5s (0,1 mm): &lt; 90</w:t>
      </w:r>
    </w:p>
    <w:p w14:paraId="5DA0EA51" w14:textId="77777777" w:rsidR="00004AB3" w:rsidRPr="00004AB3" w:rsidRDefault="00004AB3" w:rsidP="000313DD">
      <w:pPr>
        <w:pStyle w:val="NORMAL12"/>
        <w:numPr>
          <w:ilvl w:val="0"/>
          <w:numId w:val="251"/>
        </w:numPr>
        <w:rPr>
          <w:lang w:val="es-ES"/>
        </w:rPr>
      </w:pPr>
      <w:r w:rsidRPr="00004AB3">
        <w:rPr>
          <w:lang w:val="es-ES"/>
        </w:rPr>
        <w:t>Fluencia a 60ºC 5h (mm): &lt;5</w:t>
      </w:r>
    </w:p>
    <w:p w14:paraId="014A15D3" w14:textId="77777777" w:rsidR="006E5244" w:rsidRPr="00004AB3" w:rsidRDefault="001A5B2B" w:rsidP="000313DD">
      <w:pPr>
        <w:pStyle w:val="TITU2"/>
      </w:pPr>
      <w:bookmarkStart w:id="1043" w:name="_Toc404550"/>
      <w:r w:rsidRPr="00004AB3">
        <w:t>699</w:t>
      </w:r>
      <w:r w:rsidR="006C6D60" w:rsidRPr="00004AB3">
        <w:t>b</w:t>
      </w:r>
      <w:r w:rsidRPr="00004AB3">
        <w:t xml:space="preserve">.3. </w:t>
      </w:r>
      <w:r w:rsidR="006E5244" w:rsidRPr="00004AB3">
        <w:t>Ejecución de las obras</w:t>
      </w:r>
      <w:bookmarkEnd w:id="1043"/>
    </w:p>
    <w:p w14:paraId="1233DE73" w14:textId="77777777" w:rsidR="006C6D60" w:rsidRPr="00004AB3" w:rsidRDefault="006C6D60" w:rsidP="006C6D60">
      <w:pPr>
        <w:pStyle w:val="NORMAL12"/>
        <w:rPr>
          <w:lang w:val="es-ES"/>
        </w:rPr>
      </w:pPr>
      <w:r w:rsidRPr="00004AB3">
        <w:rPr>
          <w:lang w:val="es-ES"/>
        </w:rPr>
        <w:t>El corte debe quedar homogéneo y ser recto y perpendicular a la superfi</w:t>
      </w:r>
      <w:r w:rsidR="00217216">
        <w:rPr>
          <w:lang w:val="es-ES"/>
        </w:rPr>
        <w:t>ci</w:t>
      </w:r>
      <w:r w:rsidRPr="00004AB3">
        <w:rPr>
          <w:lang w:val="es-ES"/>
        </w:rPr>
        <w:t>e.</w:t>
      </w:r>
    </w:p>
    <w:p w14:paraId="6AE9AE5A" w14:textId="77777777" w:rsidR="006C6D60" w:rsidRPr="00004AB3" w:rsidRDefault="006C6D60" w:rsidP="006C6D60">
      <w:pPr>
        <w:pStyle w:val="NORMAL12"/>
        <w:rPr>
          <w:lang w:val="es-ES"/>
        </w:rPr>
      </w:pPr>
      <w:r w:rsidRPr="00004AB3">
        <w:rPr>
          <w:lang w:val="es-ES"/>
        </w:rPr>
        <w:t>Posteriormente se aplica el sellado según las especificaciones siguientes:</w:t>
      </w:r>
    </w:p>
    <w:p w14:paraId="21D2B077" w14:textId="77777777" w:rsidR="006E5244" w:rsidRPr="00004AB3" w:rsidRDefault="006E5244" w:rsidP="006C6D60">
      <w:pPr>
        <w:pStyle w:val="NORMAL12"/>
        <w:rPr>
          <w:i/>
          <w:u w:val="single"/>
          <w:lang w:val="es-ES"/>
        </w:rPr>
      </w:pPr>
      <w:r w:rsidRPr="00004AB3">
        <w:rPr>
          <w:i/>
          <w:u w:val="single"/>
          <w:lang w:val="es-ES"/>
        </w:rPr>
        <w:t>Preparación de la superficie</w:t>
      </w:r>
    </w:p>
    <w:p w14:paraId="2AC8878B" w14:textId="77777777" w:rsidR="006E5244" w:rsidRPr="00004AB3" w:rsidRDefault="006E5244" w:rsidP="006C6D60">
      <w:pPr>
        <w:pStyle w:val="NORMAL12"/>
        <w:rPr>
          <w:lang w:val="es-ES"/>
        </w:rPr>
      </w:pPr>
      <w:r w:rsidRPr="00004AB3">
        <w:rPr>
          <w:lang w:val="es-ES"/>
        </w:rPr>
        <w:t>Se limpiará de polvo, grasa o cualquier materia extraña.</w:t>
      </w:r>
      <w:r w:rsidR="006C6D60" w:rsidRPr="00004AB3">
        <w:rPr>
          <w:lang w:val="es-ES"/>
        </w:rPr>
        <w:t xml:space="preserve"> </w:t>
      </w:r>
      <w:r w:rsidRPr="00004AB3">
        <w:rPr>
          <w:lang w:val="es-ES"/>
        </w:rPr>
        <w:t xml:space="preserve"> Para lograrlo se recomienda utilizar una lanza térmica, capaz de proyectar un chorro de aire caliente sobre </w:t>
      </w:r>
      <w:r w:rsidR="006C6D60" w:rsidRPr="00004AB3">
        <w:rPr>
          <w:lang w:val="es-ES"/>
        </w:rPr>
        <w:t xml:space="preserve">el corte o fisura y sus labios, </w:t>
      </w:r>
      <w:r w:rsidRPr="00004AB3">
        <w:rPr>
          <w:lang w:val="es-ES"/>
        </w:rPr>
        <w:t>el cual producirá, si se mantiene la dista</w:t>
      </w:r>
      <w:r w:rsidR="006C6D60" w:rsidRPr="00004AB3">
        <w:rPr>
          <w:lang w:val="es-ES"/>
        </w:rPr>
        <w:t xml:space="preserve">ncia adecuada desde la </w:t>
      </w:r>
      <w:r w:rsidR="00217216" w:rsidRPr="00004AB3">
        <w:rPr>
          <w:lang w:val="es-ES"/>
        </w:rPr>
        <w:t>boquilla</w:t>
      </w:r>
      <w:r w:rsidR="006C6D60" w:rsidRPr="00004AB3">
        <w:rPr>
          <w:lang w:val="es-ES"/>
        </w:rPr>
        <w:t xml:space="preserve">, </w:t>
      </w:r>
      <w:r w:rsidRPr="00004AB3">
        <w:rPr>
          <w:lang w:val="es-ES"/>
        </w:rPr>
        <w:t xml:space="preserve">un calentamiento de la superficie interna de los mismos a una temperatura entre 80 y 100º C favoreciendo, sin aplicar llama directa, la perfecta unión con el producto de sellado. </w:t>
      </w:r>
    </w:p>
    <w:p w14:paraId="6A04AFD1" w14:textId="77777777" w:rsidR="006E5244" w:rsidRPr="00004AB3" w:rsidRDefault="006E5244" w:rsidP="006C6D60">
      <w:pPr>
        <w:pStyle w:val="NORMAL12"/>
        <w:rPr>
          <w:lang w:val="es-ES"/>
        </w:rPr>
      </w:pPr>
      <w:r w:rsidRPr="00004AB3">
        <w:rPr>
          <w:lang w:val="es-ES"/>
        </w:rPr>
        <w:t xml:space="preserve">Con la aplicación de aire caliente se consiguen los siguientes efectos: </w:t>
      </w:r>
    </w:p>
    <w:p w14:paraId="50D9DA56" w14:textId="77777777" w:rsidR="006E5244" w:rsidRPr="00004AB3" w:rsidRDefault="006E5244" w:rsidP="000313DD">
      <w:pPr>
        <w:pStyle w:val="NORMAL12"/>
        <w:numPr>
          <w:ilvl w:val="0"/>
          <w:numId w:val="250"/>
        </w:numPr>
        <w:rPr>
          <w:lang w:val="es-ES"/>
        </w:rPr>
      </w:pPr>
      <w:r w:rsidRPr="00004AB3">
        <w:rPr>
          <w:lang w:val="es-ES"/>
        </w:rPr>
        <w:t xml:space="preserve">Eliminación de partículas débilmente adheridas. </w:t>
      </w:r>
    </w:p>
    <w:p w14:paraId="509A0748" w14:textId="77777777" w:rsidR="006E5244" w:rsidRPr="00004AB3" w:rsidRDefault="006E5244" w:rsidP="000313DD">
      <w:pPr>
        <w:pStyle w:val="NORMAL12"/>
        <w:numPr>
          <w:ilvl w:val="0"/>
          <w:numId w:val="250"/>
        </w:numPr>
        <w:rPr>
          <w:lang w:val="es-ES"/>
        </w:rPr>
      </w:pPr>
      <w:r w:rsidRPr="00004AB3">
        <w:rPr>
          <w:lang w:val="es-ES"/>
        </w:rPr>
        <w:t xml:space="preserve">Aumento de la textura superficial. </w:t>
      </w:r>
    </w:p>
    <w:p w14:paraId="40164087" w14:textId="77777777" w:rsidR="006E5244" w:rsidRPr="00004AB3" w:rsidRDefault="006E5244" w:rsidP="000313DD">
      <w:pPr>
        <w:pStyle w:val="NORMAL12"/>
        <w:numPr>
          <w:ilvl w:val="0"/>
          <w:numId w:val="250"/>
        </w:numPr>
        <w:rPr>
          <w:lang w:val="es-ES"/>
        </w:rPr>
      </w:pPr>
      <w:r w:rsidRPr="00004AB3">
        <w:rPr>
          <w:lang w:val="es-ES"/>
        </w:rPr>
        <w:t xml:space="preserve">Limpieza de partículas extrañas, polvo. </w:t>
      </w:r>
    </w:p>
    <w:p w14:paraId="30B6600C" w14:textId="77777777" w:rsidR="006E5244" w:rsidRPr="00004AB3" w:rsidRDefault="001A5B2B" w:rsidP="002F4AAF">
      <w:pPr>
        <w:pStyle w:val="NORMAL12"/>
        <w:rPr>
          <w:i/>
          <w:u w:val="single"/>
          <w:lang w:val="es-ES"/>
        </w:rPr>
      </w:pPr>
      <w:r w:rsidRPr="00004AB3">
        <w:rPr>
          <w:i/>
          <w:u w:val="single"/>
          <w:lang w:val="es-ES"/>
        </w:rPr>
        <w:t xml:space="preserve"> </w:t>
      </w:r>
      <w:r w:rsidR="002F4AAF" w:rsidRPr="00004AB3">
        <w:rPr>
          <w:i/>
          <w:u w:val="single"/>
          <w:lang w:val="es-ES"/>
        </w:rPr>
        <w:t>Colocación de la mezcla asfáltica</w:t>
      </w:r>
    </w:p>
    <w:p w14:paraId="5F8F8081" w14:textId="77777777" w:rsidR="006E5244" w:rsidRPr="00004AB3" w:rsidRDefault="006E5244" w:rsidP="002F4AAF">
      <w:pPr>
        <w:pStyle w:val="NORMAL12"/>
        <w:rPr>
          <w:lang w:val="es-ES"/>
        </w:rPr>
      </w:pPr>
      <w:r w:rsidRPr="00004AB3">
        <w:rPr>
          <w:lang w:val="es-ES"/>
        </w:rPr>
        <w:t xml:space="preserve">Se realizará el calentamiento en calderas con baño de aceite que impidan sobrecalentamientos locales. Estas calderas, al llevar incorporado un dispositivo regulador de temperaturas, garantiza el mantenimiento de la banda de temperaturas adecuadas para el producto. Simultáneamente, un agitador de eje </w:t>
      </w:r>
      <w:proofErr w:type="gramStart"/>
      <w:r w:rsidRPr="00004AB3">
        <w:rPr>
          <w:lang w:val="es-ES"/>
        </w:rPr>
        <w:t>horizontal,</w:t>
      </w:r>
      <w:proofErr w:type="gramEnd"/>
      <w:r w:rsidRPr="00004AB3">
        <w:rPr>
          <w:lang w:val="es-ES"/>
        </w:rPr>
        <w:t xml:space="preserve"> actúa homogeneizando constantemente el </w:t>
      </w:r>
      <w:proofErr w:type="spellStart"/>
      <w:r w:rsidRPr="00004AB3">
        <w:rPr>
          <w:lang w:val="es-ES"/>
        </w:rPr>
        <w:t>mástico</w:t>
      </w:r>
      <w:proofErr w:type="spellEnd"/>
      <w:r w:rsidRPr="00004AB3">
        <w:rPr>
          <w:lang w:val="es-ES"/>
        </w:rPr>
        <w:t xml:space="preserve">. La temperatura de trabajo se elevará hasta 180º C siendo la temperatura límite 210º C a partir de la cual los polímeros pueden deteriorarse. </w:t>
      </w:r>
    </w:p>
    <w:p w14:paraId="1F41AE08" w14:textId="77777777" w:rsidR="006E5244" w:rsidRPr="00004AB3" w:rsidRDefault="006E5244" w:rsidP="002F4AAF">
      <w:pPr>
        <w:pStyle w:val="NORMAL12"/>
        <w:rPr>
          <w:lang w:val="es-ES"/>
        </w:rPr>
      </w:pPr>
      <w:r w:rsidRPr="00004AB3">
        <w:rPr>
          <w:lang w:val="es-ES"/>
        </w:rPr>
        <w:t xml:space="preserve">A continuación, se procederá al vertido del producto sobre la fisura o junta a sellar, utilizando un dispositivo de reparto que permita mantener un ancho constante a caballo sobre los labios de la grieta. </w:t>
      </w:r>
    </w:p>
    <w:p w14:paraId="35BE223A" w14:textId="77777777" w:rsidR="001A5B2B" w:rsidRPr="00004AB3" w:rsidRDefault="001A5B2B" w:rsidP="000313DD">
      <w:pPr>
        <w:pStyle w:val="TITU2"/>
      </w:pPr>
      <w:bookmarkStart w:id="1044" w:name="_Toc404551"/>
      <w:r w:rsidRPr="00004AB3">
        <w:lastRenderedPageBreak/>
        <w:t>699.4. Medici</w:t>
      </w:r>
      <w:r w:rsidRPr="00004AB3">
        <w:rPr>
          <w:rFonts w:hint="eastAsia"/>
        </w:rPr>
        <w:t>ó</w:t>
      </w:r>
      <w:r w:rsidRPr="00004AB3">
        <w:t>n y Abono</w:t>
      </w:r>
      <w:bookmarkEnd w:id="1044"/>
      <w:r w:rsidRPr="00004AB3">
        <w:t xml:space="preserve"> </w:t>
      </w:r>
    </w:p>
    <w:p w14:paraId="5A33E32F" w14:textId="77777777" w:rsidR="001A5B2B" w:rsidRPr="00004AB3" w:rsidRDefault="006E5244" w:rsidP="001A5B2B">
      <w:pPr>
        <w:spacing w:before="120" w:after="120" w:line="360" w:lineRule="auto"/>
        <w:jc w:val="both"/>
        <w:rPr>
          <w:rFonts w:ascii="Arial" w:hAnsi="Arial"/>
          <w:szCs w:val="20"/>
        </w:rPr>
      </w:pPr>
      <w:r w:rsidRPr="00004AB3">
        <w:rPr>
          <w:rFonts w:ascii="Arial" w:hAnsi="Arial"/>
          <w:szCs w:val="20"/>
        </w:rPr>
        <w:t>La medición y abono del corte y sellado con mezcla asfáltica se realizará según los criterios siguientes:</w:t>
      </w: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8"/>
        <w:gridCol w:w="6073"/>
      </w:tblGrid>
      <w:tr w:rsidR="001A5B2B" w:rsidRPr="00004AB3" w14:paraId="7036877C" w14:textId="77777777" w:rsidTr="007920B4">
        <w:trPr>
          <w:jc w:val="center"/>
        </w:trPr>
        <w:tc>
          <w:tcPr>
            <w:tcW w:w="0" w:type="auto"/>
            <w:vAlign w:val="center"/>
          </w:tcPr>
          <w:p w14:paraId="139F734B" w14:textId="77777777" w:rsidR="001A5B2B" w:rsidRPr="00004AB3" w:rsidRDefault="001A5B2B" w:rsidP="007920B4">
            <w:pPr>
              <w:pStyle w:val="Tabla1"/>
              <w:jc w:val="center"/>
              <w:rPr>
                <w:b/>
                <w:sz w:val="20"/>
                <w:szCs w:val="20"/>
              </w:rPr>
            </w:pPr>
            <w:r w:rsidRPr="00004AB3">
              <w:rPr>
                <w:b/>
                <w:sz w:val="20"/>
                <w:szCs w:val="20"/>
              </w:rPr>
              <w:t>Unidad de medida</w:t>
            </w:r>
          </w:p>
        </w:tc>
        <w:tc>
          <w:tcPr>
            <w:tcW w:w="6073" w:type="dxa"/>
            <w:vAlign w:val="center"/>
          </w:tcPr>
          <w:p w14:paraId="6716C954" w14:textId="77777777" w:rsidR="001A5B2B" w:rsidRPr="00004AB3" w:rsidRDefault="001A5B2B" w:rsidP="00666B72">
            <w:pPr>
              <w:pStyle w:val="Tabla1"/>
              <w:rPr>
                <w:sz w:val="20"/>
                <w:szCs w:val="20"/>
              </w:rPr>
            </w:pPr>
            <w:r w:rsidRPr="00004AB3">
              <w:rPr>
                <w:sz w:val="20"/>
                <w:szCs w:val="20"/>
              </w:rPr>
              <w:t>metro (m)</w:t>
            </w:r>
          </w:p>
        </w:tc>
      </w:tr>
      <w:tr w:rsidR="001A5B2B" w:rsidRPr="00004AB3" w14:paraId="2F116F86" w14:textId="77777777" w:rsidTr="007920B4">
        <w:trPr>
          <w:jc w:val="center"/>
        </w:trPr>
        <w:tc>
          <w:tcPr>
            <w:tcW w:w="0" w:type="auto"/>
            <w:vAlign w:val="center"/>
          </w:tcPr>
          <w:p w14:paraId="76F8966E" w14:textId="77777777" w:rsidR="001A5B2B" w:rsidRPr="00004AB3" w:rsidRDefault="001A5B2B" w:rsidP="007920B4">
            <w:pPr>
              <w:pStyle w:val="Tabla1"/>
              <w:jc w:val="center"/>
              <w:rPr>
                <w:b/>
                <w:sz w:val="20"/>
                <w:szCs w:val="20"/>
              </w:rPr>
            </w:pPr>
            <w:r w:rsidRPr="00004AB3">
              <w:rPr>
                <w:b/>
                <w:sz w:val="20"/>
                <w:szCs w:val="20"/>
              </w:rPr>
              <w:t>Grado de precisión</w:t>
            </w:r>
          </w:p>
        </w:tc>
        <w:tc>
          <w:tcPr>
            <w:tcW w:w="6073" w:type="dxa"/>
            <w:vAlign w:val="center"/>
          </w:tcPr>
          <w:p w14:paraId="39AFF9DD" w14:textId="77777777" w:rsidR="001A5B2B" w:rsidRPr="00004AB3" w:rsidRDefault="001A5B2B" w:rsidP="00666B72">
            <w:pPr>
              <w:pStyle w:val="Tabla1"/>
              <w:rPr>
                <w:sz w:val="20"/>
                <w:szCs w:val="20"/>
              </w:rPr>
            </w:pPr>
            <w:r w:rsidRPr="00004AB3">
              <w:rPr>
                <w:sz w:val="20"/>
                <w:szCs w:val="20"/>
              </w:rPr>
              <w:t>Dos decimales</w:t>
            </w:r>
          </w:p>
        </w:tc>
      </w:tr>
      <w:tr w:rsidR="001A5B2B" w:rsidRPr="00004AB3" w14:paraId="39AF63B7" w14:textId="77777777" w:rsidTr="007920B4">
        <w:trPr>
          <w:jc w:val="center"/>
        </w:trPr>
        <w:tc>
          <w:tcPr>
            <w:tcW w:w="0" w:type="auto"/>
            <w:vAlign w:val="center"/>
          </w:tcPr>
          <w:p w14:paraId="4AF03228" w14:textId="77777777" w:rsidR="001A5B2B" w:rsidRPr="00004AB3" w:rsidRDefault="001A5B2B" w:rsidP="007920B4">
            <w:pPr>
              <w:pStyle w:val="Tabla1"/>
              <w:jc w:val="center"/>
              <w:rPr>
                <w:b/>
                <w:sz w:val="20"/>
                <w:szCs w:val="20"/>
              </w:rPr>
            </w:pPr>
            <w:r w:rsidRPr="00004AB3">
              <w:rPr>
                <w:b/>
                <w:sz w:val="20"/>
                <w:szCs w:val="20"/>
              </w:rPr>
              <w:t>Forma de medición</w:t>
            </w:r>
          </w:p>
        </w:tc>
        <w:tc>
          <w:tcPr>
            <w:tcW w:w="6073" w:type="dxa"/>
            <w:vAlign w:val="center"/>
          </w:tcPr>
          <w:p w14:paraId="7BC1177F" w14:textId="77777777" w:rsidR="001A5B2B" w:rsidRPr="00004AB3" w:rsidRDefault="001A5B2B" w:rsidP="00666B72">
            <w:pPr>
              <w:pStyle w:val="Tabla1"/>
              <w:rPr>
                <w:sz w:val="20"/>
                <w:szCs w:val="20"/>
              </w:rPr>
            </w:pPr>
            <w:r w:rsidRPr="00004AB3">
              <w:rPr>
                <w:sz w:val="20"/>
                <w:szCs w:val="20"/>
              </w:rPr>
              <w:t xml:space="preserve">Medición de </w:t>
            </w:r>
            <w:r w:rsidR="006E5244" w:rsidRPr="00004AB3">
              <w:rPr>
                <w:sz w:val="20"/>
                <w:szCs w:val="20"/>
              </w:rPr>
              <w:t>la longitud cortada y sellada.</w:t>
            </w:r>
          </w:p>
        </w:tc>
      </w:tr>
      <w:tr w:rsidR="001A5B2B" w:rsidRPr="00004AB3" w14:paraId="0168B551" w14:textId="77777777" w:rsidTr="007920B4">
        <w:trPr>
          <w:jc w:val="center"/>
        </w:trPr>
        <w:tc>
          <w:tcPr>
            <w:tcW w:w="0" w:type="auto"/>
            <w:vAlign w:val="center"/>
          </w:tcPr>
          <w:p w14:paraId="189131A2" w14:textId="77777777" w:rsidR="001A5B2B" w:rsidRPr="00004AB3" w:rsidRDefault="001A5B2B" w:rsidP="007920B4">
            <w:pPr>
              <w:pStyle w:val="Tabla1"/>
              <w:jc w:val="center"/>
              <w:rPr>
                <w:b/>
                <w:sz w:val="20"/>
                <w:szCs w:val="20"/>
              </w:rPr>
            </w:pPr>
            <w:r w:rsidRPr="00004AB3">
              <w:rPr>
                <w:b/>
                <w:sz w:val="20"/>
                <w:szCs w:val="20"/>
              </w:rPr>
              <w:t>Abono</w:t>
            </w:r>
          </w:p>
        </w:tc>
        <w:tc>
          <w:tcPr>
            <w:tcW w:w="6073" w:type="dxa"/>
            <w:vAlign w:val="center"/>
          </w:tcPr>
          <w:p w14:paraId="1529D8A4" w14:textId="77777777" w:rsidR="001A5B2B" w:rsidRPr="00004AB3" w:rsidRDefault="001A5B2B" w:rsidP="00666B72">
            <w:pPr>
              <w:pStyle w:val="Tabla1"/>
              <w:rPr>
                <w:sz w:val="20"/>
                <w:szCs w:val="20"/>
              </w:rPr>
            </w:pPr>
            <w:r w:rsidRPr="00004AB3">
              <w:rPr>
                <w:sz w:val="20"/>
                <w:szCs w:val="20"/>
              </w:rPr>
              <w:t>Se efectuará cuando se realice la aceptación</w:t>
            </w:r>
          </w:p>
        </w:tc>
      </w:tr>
      <w:tr w:rsidR="001A5B2B" w:rsidRPr="00004AB3" w14:paraId="26453804" w14:textId="77777777" w:rsidTr="007920B4">
        <w:trPr>
          <w:jc w:val="center"/>
        </w:trPr>
        <w:tc>
          <w:tcPr>
            <w:tcW w:w="0" w:type="auto"/>
            <w:vAlign w:val="center"/>
          </w:tcPr>
          <w:p w14:paraId="29009E92" w14:textId="77777777" w:rsidR="001A5B2B" w:rsidRPr="00004AB3" w:rsidRDefault="001A5B2B" w:rsidP="007920B4">
            <w:pPr>
              <w:pStyle w:val="Tabla1"/>
              <w:jc w:val="center"/>
              <w:rPr>
                <w:b/>
                <w:sz w:val="20"/>
                <w:szCs w:val="20"/>
              </w:rPr>
            </w:pPr>
            <w:r w:rsidRPr="00004AB3">
              <w:rPr>
                <w:b/>
                <w:sz w:val="20"/>
                <w:szCs w:val="20"/>
              </w:rPr>
              <w:t>Criterios complementarios</w:t>
            </w:r>
          </w:p>
        </w:tc>
        <w:tc>
          <w:tcPr>
            <w:tcW w:w="6073" w:type="dxa"/>
            <w:vAlign w:val="center"/>
          </w:tcPr>
          <w:p w14:paraId="17D01F15" w14:textId="77777777" w:rsidR="001A5B2B" w:rsidRPr="00004AB3" w:rsidRDefault="006E5244" w:rsidP="00666B72">
            <w:pPr>
              <w:pStyle w:val="Tabla1"/>
              <w:rPr>
                <w:sz w:val="20"/>
                <w:szCs w:val="20"/>
              </w:rPr>
            </w:pPr>
            <w:r w:rsidRPr="00004AB3">
              <w:rPr>
                <w:sz w:val="20"/>
                <w:szCs w:val="20"/>
              </w:rPr>
              <w:t>El precio de la unidad incluye la realización del corte, la preparación de la superficie y todos los elementos y materiales necesarios para la correcta ejecución de la unidad.</w:t>
            </w:r>
          </w:p>
        </w:tc>
      </w:tr>
    </w:tbl>
    <w:p w14:paraId="4882C94E" w14:textId="77777777" w:rsidR="005C7A38" w:rsidRPr="006E5244" w:rsidRDefault="005C7A38" w:rsidP="005C7A38">
      <w:pPr>
        <w:pStyle w:val="NORMAL12"/>
        <w:rPr>
          <w:color w:val="FF0000"/>
          <w:highlight w:val="cyan"/>
          <w:lang w:val="es-ES"/>
        </w:rPr>
      </w:pPr>
    </w:p>
    <w:bookmarkEnd w:id="1038"/>
    <w:bookmarkEnd w:id="1039"/>
    <w:bookmarkEnd w:id="1040"/>
    <w:p w14:paraId="5C71A158" w14:textId="77777777" w:rsidR="00FC7B9D" w:rsidRPr="005864C2" w:rsidRDefault="009C5CD0" w:rsidP="009C5CD0">
      <w:pPr>
        <w:pStyle w:val="TtuloPortada"/>
        <w:jc w:val="right"/>
        <w:outlineLvl w:val="0"/>
        <w:rPr>
          <w:rFonts w:ascii="Arial" w:hAnsi="Arial" w:cs="Arial"/>
          <w:color w:val="365F91" w:themeColor="accent1" w:themeShade="BF"/>
        </w:rPr>
      </w:pPr>
      <w:r>
        <w:rPr>
          <w:color w:val="365F91" w:themeColor="accent1" w:themeShade="BF"/>
        </w:rPr>
        <w:lastRenderedPageBreak/>
        <w:br w:type="column"/>
      </w:r>
      <w:bookmarkStart w:id="1045" w:name="_Toc404552"/>
      <w:r w:rsidR="00FC7B9D" w:rsidRPr="00C33819">
        <w:t>Parte 7.-  Señalización, balizamiento y sistemas de contención</w:t>
      </w:r>
      <w:bookmarkEnd w:id="1045"/>
    </w:p>
    <w:p w14:paraId="0E4793A0" w14:textId="77777777" w:rsidR="00FC7B9D" w:rsidRPr="005864C2" w:rsidRDefault="00FC7B9D" w:rsidP="004C6F1F">
      <w:pPr>
        <w:tabs>
          <w:tab w:val="left" w:pos="567"/>
          <w:tab w:val="left" w:pos="1134"/>
          <w:tab w:val="left" w:pos="1701"/>
        </w:tabs>
        <w:spacing w:line="360" w:lineRule="auto"/>
        <w:ind w:left="567" w:hanging="567"/>
        <w:jc w:val="center"/>
        <w:rPr>
          <w:rFonts w:ascii="Arial" w:hAnsi="Arial" w:cs="Arial"/>
          <w:b/>
          <w:color w:val="365F91" w:themeColor="accent1" w:themeShade="BF"/>
          <w:sz w:val="22"/>
          <w:lang w:val="es-ES_tradnl"/>
        </w:rPr>
      </w:pPr>
    </w:p>
    <w:p w14:paraId="6AF70EC1" w14:textId="77777777" w:rsidR="00E02E87" w:rsidRPr="005864C2" w:rsidRDefault="00E02E87" w:rsidP="004C6F1F">
      <w:pPr>
        <w:tabs>
          <w:tab w:val="left" w:pos="567"/>
          <w:tab w:val="left" w:pos="1134"/>
          <w:tab w:val="left" w:pos="1701"/>
        </w:tabs>
        <w:spacing w:line="360" w:lineRule="auto"/>
        <w:ind w:left="567" w:hanging="567"/>
        <w:jc w:val="center"/>
        <w:rPr>
          <w:rFonts w:ascii="Arial" w:hAnsi="Arial" w:cs="Arial"/>
          <w:b/>
          <w:color w:val="365F91" w:themeColor="accent1" w:themeShade="BF"/>
          <w:sz w:val="22"/>
          <w:lang w:val="es-ES_tradnl"/>
        </w:rPr>
      </w:pPr>
    </w:p>
    <w:p w14:paraId="22FDF3B5" w14:textId="77777777" w:rsidR="00E02E87" w:rsidRPr="005864C2" w:rsidRDefault="00E02E87" w:rsidP="004C6F1F">
      <w:pPr>
        <w:tabs>
          <w:tab w:val="left" w:pos="567"/>
          <w:tab w:val="left" w:pos="1134"/>
          <w:tab w:val="left" w:pos="1701"/>
        </w:tabs>
        <w:spacing w:line="360" w:lineRule="auto"/>
        <w:ind w:left="567" w:hanging="567"/>
        <w:jc w:val="center"/>
        <w:rPr>
          <w:rFonts w:ascii="Arial" w:hAnsi="Arial" w:cs="Arial"/>
          <w:b/>
          <w:color w:val="365F91" w:themeColor="accent1" w:themeShade="BF"/>
          <w:sz w:val="22"/>
          <w:lang w:val="es-ES_tradnl"/>
        </w:rPr>
        <w:sectPr w:rsidR="00E02E87" w:rsidRPr="005864C2" w:rsidSect="00755566">
          <w:pgSz w:w="23814" w:h="16840" w:orient="landscape" w:code="8"/>
          <w:pgMar w:top="992" w:right="851" w:bottom="1418" w:left="851" w:header="567" w:footer="1021" w:gutter="1418"/>
          <w:cols w:num="2" w:space="1418"/>
        </w:sectPr>
      </w:pPr>
    </w:p>
    <w:p w14:paraId="037B2852" w14:textId="77777777" w:rsidR="00E02E87" w:rsidRPr="003708DA" w:rsidRDefault="00EC60DF" w:rsidP="006F6223">
      <w:pPr>
        <w:pStyle w:val="TITU1"/>
      </w:pPr>
      <w:bookmarkStart w:id="1046" w:name="_Toc404553"/>
      <w:r>
        <w:lastRenderedPageBreak/>
        <w:t xml:space="preserve">Artículo 700. </w:t>
      </w:r>
      <w:r w:rsidR="00E02E87" w:rsidRPr="003708DA">
        <w:t>Marcas viales</w:t>
      </w:r>
      <w:bookmarkEnd w:id="1046"/>
    </w:p>
    <w:p w14:paraId="26C682CB" w14:textId="77777777" w:rsidR="002B430C" w:rsidRDefault="002B430C" w:rsidP="00D7794C">
      <w:pPr>
        <w:pStyle w:val="NORMAL12"/>
      </w:pPr>
      <w:r w:rsidRPr="00D7794C">
        <w:t>Excepto para lo especificado en el presente Pliego de Prescripciones Técnicas particulares se seguirá lo prescrito en el vigente artículo 700 del PG-3.</w:t>
      </w:r>
    </w:p>
    <w:p w14:paraId="289477A5" w14:textId="77777777" w:rsidR="002B430C" w:rsidRDefault="00EC60DF" w:rsidP="000313DD">
      <w:pPr>
        <w:pStyle w:val="TITU2"/>
      </w:pPr>
      <w:bookmarkStart w:id="1047" w:name="_Toc492538080"/>
      <w:bookmarkStart w:id="1048" w:name="_Toc400741629"/>
      <w:bookmarkStart w:id="1049" w:name="_Toc399509135"/>
      <w:bookmarkStart w:id="1050" w:name="_Toc404554"/>
      <w:r>
        <w:t xml:space="preserve">700.1. </w:t>
      </w:r>
      <w:r w:rsidR="002B430C">
        <w:t>Aplicación</w:t>
      </w:r>
      <w:bookmarkEnd w:id="1047"/>
      <w:bookmarkEnd w:id="1048"/>
      <w:bookmarkEnd w:id="1049"/>
      <w:bookmarkEnd w:id="1050"/>
    </w:p>
    <w:p w14:paraId="62BEBCDF" w14:textId="77777777" w:rsidR="001176DD" w:rsidRPr="003708DA" w:rsidRDefault="001176DD" w:rsidP="001176DD">
      <w:pPr>
        <w:pStyle w:val="NORMAL12"/>
      </w:pPr>
      <w:r w:rsidRPr="003708DA">
        <w:t xml:space="preserve">Las prescripciones del presente artículo </w:t>
      </w:r>
      <w:proofErr w:type="gramStart"/>
      <w:r w:rsidRPr="003708DA">
        <w:t>son de aplicación</w:t>
      </w:r>
      <w:proofErr w:type="gramEnd"/>
      <w:r w:rsidRPr="003708DA">
        <w:t xml:space="preserve"> a las unidades de obra siguientes:</w:t>
      </w:r>
    </w:p>
    <w:tbl>
      <w:tblPr>
        <w:tblW w:w="5000" w:type="pct"/>
        <w:tblCellMar>
          <w:left w:w="70" w:type="dxa"/>
          <w:right w:w="70" w:type="dxa"/>
        </w:tblCellMar>
        <w:tblLook w:val="04A0" w:firstRow="1" w:lastRow="0" w:firstColumn="1" w:lastColumn="0" w:noHBand="0" w:noVBand="1"/>
      </w:tblPr>
      <w:tblGrid>
        <w:gridCol w:w="1173"/>
        <w:gridCol w:w="724"/>
        <w:gridCol w:w="7881"/>
      </w:tblGrid>
      <w:tr w:rsidR="002B0441" w:rsidRPr="005D1070" w14:paraId="2456AD65" w14:textId="77777777" w:rsidTr="00EC60DF">
        <w:trPr>
          <w:trHeight w:val="419"/>
        </w:trPr>
        <w:tc>
          <w:tcPr>
            <w:tcW w:w="600" w:type="pct"/>
            <w:noWrap/>
          </w:tcPr>
          <w:p w14:paraId="4A609F3D" w14:textId="77777777" w:rsidR="002B0441" w:rsidRPr="00D921B6" w:rsidRDefault="002B0441">
            <w:pPr>
              <w:rPr>
                <w:rFonts w:ascii="Calibri" w:hAnsi="Calibri"/>
                <w:color w:val="000000"/>
              </w:rPr>
            </w:pPr>
            <w:r w:rsidRPr="00D921B6">
              <w:rPr>
                <w:rFonts w:ascii="Calibri" w:hAnsi="Calibri"/>
                <w:color w:val="000000"/>
              </w:rPr>
              <w:t xml:space="preserve">700.0010          </w:t>
            </w:r>
          </w:p>
        </w:tc>
        <w:tc>
          <w:tcPr>
            <w:tcW w:w="370" w:type="pct"/>
            <w:noWrap/>
          </w:tcPr>
          <w:p w14:paraId="77C9B409" w14:textId="77777777" w:rsidR="002B0441" w:rsidRPr="00D921B6" w:rsidRDefault="002B0441">
            <w:pPr>
              <w:rPr>
                <w:rFonts w:ascii="Calibri" w:hAnsi="Calibri"/>
                <w:color w:val="000000"/>
              </w:rPr>
            </w:pPr>
            <w:r w:rsidRPr="00D921B6">
              <w:rPr>
                <w:rFonts w:ascii="Calibri" w:hAnsi="Calibri"/>
                <w:color w:val="000000"/>
              </w:rPr>
              <w:t>m</w:t>
            </w:r>
          </w:p>
        </w:tc>
        <w:tc>
          <w:tcPr>
            <w:tcW w:w="4030" w:type="pct"/>
          </w:tcPr>
          <w:p w14:paraId="100CA50C" w14:textId="77777777" w:rsidR="005A3268" w:rsidRPr="00D921B6" w:rsidRDefault="005A3268" w:rsidP="00793E16">
            <w:pPr>
              <w:jc w:val="both"/>
              <w:rPr>
                <w:rFonts w:ascii="Calibri" w:hAnsi="Calibri"/>
                <w:color w:val="000000"/>
              </w:rPr>
            </w:pPr>
            <w:r w:rsidRPr="00D921B6">
              <w:rPr>
                <w:rFonts w:ascii="Calibri" w:hAnsi="Calibri"/>
                <w:color w:val="000000"/>
              </w:rPr>
              <w:t>MARCA VIAL DE TIPO II (RR), DE PINTURA BLANCA REFLECTANTE, TIPO TERMOPLÁSTICA EN CALIENTE, DE 10 cm DE ANCHO i/ PREPARACIÓN DE LA SUPERFICIE Y PREMARCAJE (MEDIDA LA LONGITUD REALMENTE PINTADA).</w:t>
            </w:r>
          </w:p>
          <w:p w14:paraId="502486DD" w14:textId="77777777" w:rsidR="002B0441" w:rsidRPr="00D921B6" w:rsidRDefault="002B0441" w:rsidP="00793E16">
            <w:pPr>
              <w:jc w:val="both"/>
              <w:rPr>
                <w:rFonts w:ascii="Calibri" w:hAnsi="Calibri"/>
                <w:color w:val="000000"/>
              </w:rPr>
            </w:pPr>
          </w:p>
        </w:tc>
      </w:tr>
      <w:tr w:rsidR="002B0441" w:rsidRPr="005D1070" w14:paraId="1C129A8F" w14:textId="77777777" w:rsidTr="00EC60DF">
        <w:trPr>
          <w:trHeight w:val="419"/>
        </w:trPr>
        <w:tc>
          <w:tcPr>
            <w:tcW w:w="600" w:type="pct"/>
            <w:noWrap/>
          </w:tcPr>
          <w:p w14:paraId="2C46BEC1" w14:textId="77777777" w:rsidR="002B0441" w:rsidRPr="00D921B6" w:rsidRDefault="002B0441">
            <w:pPr>
              <w:rPr>
                <w:rFonts w:ascii="Calibri" w:hAnsi="Calibri"/>
                <w:color w:val="000000"/>
              </w:rPr>
            </w:pPr>
            <w:r w:rsidRPr="00D921B6">
              <w:rPr>
                <w:rFonts w:ascii="Calibri" w:hAnsi="Calibri"/>
                <w:color w:val="000000"/>
              </w:rPr>
              <w:t xml:space="preserve">700.0020          </w:t>
            </w:r>
          </w:p>
        </w:tc>
        <w:tc>
          <w:tcPr>
            <w:tcW w:w="370" w:type="pct"/>
            <w:noWrap/>
          </w:tcPr>
          <w:p w14:paraId="3110BB65" w14:textId="77777777" w:rsidR="002B0441" w:rsidRPr="00D921B6" w:rsidRDefault="002B0441">
            <w:pPr>
              <w:rPr>
                <w:rFonts w:ascii="Calibri" w:hAnsi="Calibri"/>
                <w:color w:val="000000"/>
              </w:rPr>
            </w:pPr>
            <w:r w:rsidRPr="00D921B6">
              <w:rPr>
                <w:rFonts w:ascii="Calibri" w:hAnsi="Calibri"/>
                <w:color w:val="000000"/>
              </w:rPr>
              <w:t>m</w:t>
            </w:r>
          </w:p>
        </w:tc>
        <w:tc>
          <w:tcPr>
            <w:tcW w:w="4030" w:type="pct"/>
          </w:tcPr>
          <w:p w14:paraId="69F1DDE4" w14:textId="77777777" w:rsidR="005A3268" w:rsidRPr="00D921B6" w:rsidRDefault="005A3268" w:rsidP="00793E16">
            <w:pPr>
              <w:jc w:val="both"/>
              <w:rPr>
                <w:rFonts w:ascii="Calibri" w:hAnsi="Calibri"/>
                <w:color w:val="000000"/>
              </w:rPr>
            </w:pPr>
            <w:r w:rsidRPr="00D921B6">
              <w:rPr>
                <w:rFonts w:ascii="Calibri" w:hAnsi="Calibri"/>
                <w:color w:val="000000"/>
              </w:rPr>
              <w:t>MARCA VIAL DE TIPO II (RR), DE PINTURA BLANCA REFLECTANTE, TIPO TERMOPLÁSTICA EN CALIENTE, DE 15 cm DE ANCHO i/ PREPARACIÓN DE LA SUPERFICIE Y PREMARCAJE (MEDIDA LA LONGITUD REALMENTE PINTADA).</w:t>
            </w:r>
          </w:p>
          <w:p w14:paraId="7EDA699D" w14:textId="77777777" w:rsidR="002B0441" w:rsidRPr="00D921B6" w:rsidRDefault="002B0441" w:rsidP="00793E16">
            <w:pPr>
              <w:jc w:val="both"/>
              <w:rPr>
                <w:rFonts w:ascii="Calibri" w:hAnsi="Calibri"/>
                <w:color w:val="000000"/>
              </w:rPr>
            </w:pPr>
          </w:p>
        </w:tc>
      </w:tr>
      <w:tr w:rsidR="002B0441" w:rsidRPr="005D1070" w14:paraId="67F35EED" w14:textId="77777777" w:rsidTr="00EC60DF">
        <w:trPr>
          <w:trHeight w:val="419"/>
        </w:trPr>
        <w:tc>
          <w:tcPr>
            <w:tcW w:w="600" w:type="pct"/>
            <w:noWrap/>
          </w:tcPr>
          <w:p w14:paraId="10C0106E" w14:textId="77777777" w:rsidR="002B0441" w:rsidRPr="00D921B6" w:rsidRDefault="002B0441">
            <w:pPr>
              <w:rPr>
                <w:rFonts w:ascii="Calibri" w:hAnsi="Calibri"/>
                <w:color w:val="000000"/>
              </w:rPr>
            </w:pPr>
            <w:r w:rsidRPr="00D921B6">
              <w:rPr>
                <w:rFonts w:ascii="Calibri" w:hAnsi="Calibri"/>
                <w:color w:val="000000"/>
              </w:rPr>
              <w:t xml:space="preserve">700.0030          </w:t>
            </w:r>
          </w:p>
        </w:tc>
        <w:tc>
          <w:tcPr>
            <w:tcW w:w="370" w:type="pct"/>
            <w:noWrap/>
          </w:tcPr>
          <w:p w14:paraId="33431372" w14:textId="77777777" w:rsidR="002B0441" w:rsidRPr="00D921B6" w:rsidRDefault="002B0441">
            <w:pPr>
              <w:rPr>
                <w:rFonts w:ascii="Calibri" w:hAnsi="Calibri"/>
                <w:color w:val="000000"/>
              </w:rPr>
            </w:pPr>
            <w:r w:rsidRPr="00D921B6">
              <w:rPr>
                <w:rFonts w:ascii="Calibri" w:hAnsi="Calibri"/>
                <w:color w:val="000000"/>
              </w:rPr>
              <w:t>m</w:t>
            </w:r>
          </w:p>
        </w:tc>
        <w:tc>
          <w:tcPr>
            <w:tcW w:w="4030" w:type="pct"/>
          </w:tcPr>
          <w:p w14:paraId="2F4DBAD5" w14:textId="77777777" w:rsidR="005A3268" w:rsidRPr="00D921B6" w:rsidRDefault="005A3268" w:rsidP="00793E16">
            <w:pPr>
              <w:jc w:val="both"/>
              <w:rPr>
                <w:rFonts w:ascii="Calibri" w:hAnsi="Calibri"/>
                <w:color w:val="000000"/>
              </w:rPr>
            </w:pPr>
            <w:r w:rsidRPr="00D921B6">
              <w:rPr>
                <w:rFonts w:ascii="Calibri" w:hAnsi="Calibri"/>
                <w:color w:val="000000"/>
              </w:rPr>
              <w:t>MARCA VIAL DE TIPO II (RR), DE PINTURA BLANCA REFLECTANTE, TIPO TERMOPLÁSTICA EN CALIENTE, DE 20 cm DE ANCHO i/ PREPARACIÓN DE LA SUPERFICIE Y PREMARCAJE (MEDIDA LA LONGITUD REALMENTE PINTADA).</w:t>
            </w:r>
          </w:p>
          <w:p w14:paraId="54053C9E" w14:textId="77777777" w:rsidR="002B0441" w:rsidRPr="00D921B6" w:rsidRDefault="002B0441" w:rsidP="00793E16">
            <w:pPr>
              <w:jc w:val="both"/>
              <w:rPr>
                <w:rFonts w:ascii="Calibri" w:hAnsi="Calibri"/>
                <w:color w:val="000000"/>
              </w:rPr>
            </w:pPr>
          </w:p>
        </w:tc>
      </w:tr>
      <w:tr w:rsidR="002B0441" w:rsidRPr="005D1070" w14:paraId="2C9EEBEF" w14:textId="77777777" w:rsidTr="00EC60DF">
        <w:trPr>
          <w:trHeight w:val="419"/>
        </w:trPr>
        <w:tc>
          <w:tcPr>
            <w:tcW w:w="600" w:type="pct"/>
            <w:noWrap/>
          </w:tcPr>
          <w:p w14:paraId="7E8D88A7" w14:textId="77777777" w:rsidR="002B0441" w:rsidRPr="00D921B6" w:rsidRDefault="002B0441">
            <w:pPr>
              <w:rPr>
                <w:rFonts w:ascii="Calibri" w:hAnsi="Calibri"/>
                <w:color w:val="000000"/>
              </w:rPr>
            </w:pPr>
            <w:r w:rsidRPr="00D921B6">
              <w:rPr>
                <w:rFonts w:ascii="Calibri" w:hAnsi="Calibri"/>
                <w:color w:val="000000"/>
              </w:rPr>
              <w:t xml:space="preserve">700.0120          </w:t>
            </w:r>
          </w:p>
        </w:tc>
        <w:tc>
          <w:tcPr>
            <w:tcW w:w="370" w:type="pct"/>
            <w:noWrap/>
          </w:tcPr>
          <w:p w14:paraId="16C077B7" w14:textId="77777777" w:rsidR="002B0441" w:rsidRPr="00D921B6" w:rsidRDefault="002B0441">
            <w:pPr>
              <w:rPr>
                <w:rFonts w:ascii="Calibri" w:hAnsi="Calibri"/>
                <w:color w:val="000000"/>
              </w:rPr>
            </w:pPr>
            <w:r w:rsidRPr="00D921B6">
              <w:rPr>
                <w:rFonts w:ascii="Calibri" w:hAnsi="Calibri"/>
                <w:color w:val="000000"/>
              </w:rPr>
              <w:t>m</w:t>
            </w:r>
            <w:r w:rsidRPr="00D921B6">
              <w:rPr>
                <w:rFonts w:ascii="Calibri" w:hAnsi="Calibri"/>
                <w:color w:val="000000"/>
                <w:vertAlign w:val="superscript"/>
              </w:rPr>
              <w:t>2</w:t>
            </w:r>
          </w:p>
        </w:tc>
        <w:tc>
          <w:tcPr>
            <w:tcW w:w="4030" w:type="pct"/>
          </w:tcPr>
          <w:p w14:paraId="70BD637F" w14:textId="77777777" w:rsidR="002B0441" w:rsidRPr="00D921B6" w:rsidRDefault="005A3268" w:rsidP="00793E16">
            <w:pPr>
              <w:jc w:val="both"/>
              <w:rPr>
                <w:rFonts w:ascii="Calibri" w:hAnsi="Calibri"/>
                <w:color w:val="000000"/>
              </w:rPr>
            </w:pPr>
            <w:r w:rsidRPr="00D921B6">
              <w:rPr>
                <w:rFonts w:ascii="Calibri" w:hAnsi="Calibri"/>
                <w:color w:val="000000"/>
              </w:rPr>
              <w:t>MARCA VIAL DE PINTURA BLANCA REFLECTANTE, TIPO TERMOPLÁSTICA EN CALIENTE, EN SÍMBOLOS Y CEBREADOS</w:t>
            </w:r>
          </w:p>
        </w:tc>
      </w:tr>
    </w:tbl>
    <w:p w14:paraId="67CDFFC5" w14:textId="77777777" w:rsidR="002B430C" w:rsidRPr="003708DA" w:rsidRDefault="002B430C" w:rsidP="000313DD">
      <w:pPr>
        <w:pStyle w:val="TITU2"/>
      </w:pPr>
      <w:bookmarkStart w:id="1051" w:name="_Toc492538081"/>
      <w:bookmarkStart w:id="1052" w:name="_Toc400741630"/>
      <w:bookmarkStart w:id="1053" w:name="_Toc399509136"/>
      <w:bookmarkStart w:id="1054" w:name="_Toc404555"/>
      <w:r w:rsidRPr="00886F1A">
        <w:t>700.3.</w:t>
      </w:r>
      <w:r w:rsidR="00901FE5">
        <w:t xml:space="preserve">  </w:t>
      </w:r>
      <w:r w:rsidRPr="00886F1A">
        <w:tab/>
        <w:t>Materiales</w:t>
      </w:r>
      <w:bookmarkEnd w:id="1051"/>
      <w:bookmarkEnd w:id="1052"/>
      <w:bookmarkEnd w:id="1053"/>
      <w:bookmarkEnd w:id="1054"/>
    </w:p>
    <w:p w14:paraId="64DA2180" w14:textId="77777777" w:rsidR="002B430C" w:rsidRDefault="002B430C" w:rsidP="00D7794C">
      <w:pPr>
        <w:pStyle w:val="NORMAL12"/>
      </w:pPr>
      <w:r>
        <w:t>Se utilizará la clase de material más adecuado según se establece en el artículo 700.3.4. del PG-3</w:t>
      </w:r>
      <w:r w:rsidR="009C5CD0">
        <w:t xml:space="preserve"> y especificada en la unidad de obra.</w:t>
      </w:r>
    </w:p>
    <w:p w14:paraId="1F440BC9" w14:textId="77777777" w:rsidR="002B430C" w:rsidRPr="00D7794C" w:rsidRDefault="002B430C" w:rsidP="00D7794C">
      <w:pPr>
        <w:pStyle w:val="NORMAL12"/>
        <w:rPr>
          <w:i/>
          <w:u w:val="single"/>
        </w:rPr>
      </w:pPr>
      <w:r w:rsidRPr="00D7794C">
        <w:rPr>
          <w:i/>
          <w:u w:val="single"/>
        </w:rPr>
        <w:t>Especificaciones</w:t>
      </w:r>
    </w:p>
    <w:p w14:paraId="1084E129" w14:textId="77777777" w:rsidR="002B430C" w:rsidRDefault="002B430C" w:rsidP="00D7794C">
      <w:pPr>
        <w:pStyle w:val="NORMAL12"/>
      </w:pPr>
      <w:r>
        <w:t xml:space="preserve">Para los productos con marcado CE, el fabricante asume la responsabilidad sobre la conformidad de </w:t>
      </w:r>
      <w:proofErr w:type="gramStart"/>
      <w:r>
        <w:t>los mismos</w:t>
      </w:r>
      <w:proofErr w:type="gramEnd"/>
      <w:r>
        <w:t xml:space="preserve"> con las prestaciones declaradas de acuerdo con el artículo 11 del Reglamento 305/2011 de 9 de marzo de 2011, del Parlamento Europeo y del Consejo, por el que se establecen las condiciones armonizadas para la comercialización de productos de la construcción.</w:t>
      </w:r>
    </w:p>
    <w:p w14:paraId="54BE8BC7" w14:textId="77777777" w:rsidR="002B430C" w:rsidRDefault="002B430C" w:rsidP="00D7794C">
      <w:pPr>
        <w:pStyle w:val="NORMAL12"/>
      </w:pPr>
      <w:r>
        <w:t>Los productos con marcado CE deben ir acompañados de la Declaración de Prestaciones y de las instrucciones e información de seguridad del Producto.</w:t>
      </w:r>
    </w:p>
    <w:p w14:paraId="2D053FBD" w14:textId="77777777" w:rsidR="002B430C" w:rsidRDefault="002B430C" w:rsidP="00D7794C">
      <w:pPr>
        <w:pStyle w:val="NORMAL12"/>
      </w:pPr>
      <w:r>
        <w:t xml:space="preserve">El contratista debe verificar que los valores declarados en los documentos que acompañan al marcado CE permiten deducir el cumplimiento de las especificaciones </w:t>
      </w:r>
      <w:r>
        <w:t>contempladas en el Proyecto, en este Pliego, debiendo adoptar, en caso de que existan indicios de incumplimiento de las especificaciones declaradas, todas aquellas medidas que considere oportunas para garantizar la idoneidad del producto suministrado a la obra.</w:t>
      </w:r>
    </w:p>
    <w:p w14:paraId="3D6B0576" w14:textId="77777777" w:rsidR="002B430C" w:rsidRPr="00FD6931" w:rsidRDefault="002B430C" w:rsidP="00D7794C">
      <w:pPr>
        <w:pStyle w:val="NORMAL12"/>
      </w:pPr>
      <w:r>
        <w:t xml:space="preserve">En </w:t>
      </w:r>
      <w:r w:rsidRPr="00FD6931">
        <w:t xml:space="preserve">la aplicación de marcas viales se utilizarán pinturas, termoplásticos, plásticos en frío, materiales de </w:t>
      </w:r>
      <w:proofErr w:type="spellStart"/>
      <w:r w:rsidRPr="00FD6931">
        <w:t>post-mezclado</w:t>
      </w:r>
      <w:proofErr w:type="spellEnd"/>
      <w:r w:rsidRPr="00FD6931">
        <w:t xml:space="preserve">, y/o </w:t>
      </w:r>
      <w:proofErr w:type="spellStart"/>
      <w:r w:rsidRPr="00FD6931">
        <w:t>mircroesferas</w:t>
      </w:r>
      <w:proofErr w:type="spellEnd"/>
      <w:r w:rsidRPr="00FD6931">
        <w:t xml:space="preserve"> de vidrio</w:t>
      </w:r>
      <w:r w:rsidR="00231926" w:rsidRPr="00FD6931">
        <w:t xml:space="preserve">, cuyas características cumplirán con las especificaciones establecidas en los </w:t>
      </w:r>
      <w:r w:rsidRPr="00FD6931">
        <w:t>apartados del PG-3 siguientes:</w:t>
      </w:r>
    </w:p>
    <w:p w14:paraId="4DBD4480" w14:textId="77777777" w:rsidR="002B430C" w:rsidRPr="00FD6931" w:rsidRDefault="002B430C" w:rsidP="00E01981">
      <w:pPr>
        <w:pStyle w:val="NORMAL12"/>
        <w:numPr>
          <w:ilvl w:val="0"/>
          <w:numId w:val="78"/>
        </w:numPr>
      </w:pPr>
      <w:r w:rsidRPr="00FD6931">
        <w:t>Requisitos de comportamiento según apartado 700.3.2.1</w:t>
      </w:r>
    </w:p>
    <w:p w14:paraId="70F9CB06" w14:textId="77777777" w:rsidR="002B430C" w:rsidRPr="00FD6931" w:rsidRDefault="002B430C" w:rsidP="00E01981">
      <w:pPr>
        <w:pStyle w:val="NORMAL12"/>
        <w:numPr>
          <w:ilvl w:val="0"/>
          <w:numId w:val="78"/>
        </w:numPr>
      </w:pPr>
      <w:r w:rsidRPr="00FD6931">
        <w:t>Durabilidad de los requisitos según apartado 700.3.2.2</w:t>
      </w:r>
    </w:p>
    <w:p w14:paraId="39EE8DEE" w14:textId="77777777" w:rsidR="002B430C" w:rsidRDefault="002B430C" w:rsidP="00E01981">
      <w:pPr>
        <w:pStyle w:val="NORMAL12"/>
        <w:numPr>
          <w:ilvl w:val="0"/>
          <w:numId w:val="78"/>
        </w:numPr>
      </w:pPr>
      <w:r>
        <w:t>Características físicas según apartado 700.3.2.3</w:t>
      </w:r>
    </w:p>
    <w:p w14:paraId="0FC7BAE8" w14:textId="77777777" w:rsidR="002B430C" w:rsidRPr="00D7794C" w:rsidRDefault="002B430C" w:rsidP="00D7794C">
      <w:pPr>
        <w:pStyle w:val="NORMAL12"/>
        <w:rPr>
          <w:i/>
          <w:u w:val="single"/>
        </w:rPr>
      </w:pPr>
      <w:r w:rsidRPr="00D7794C">
        <w:rPr>
          <w:i/>
          <w:u w:val="single"/>
        </w:rPr>
        <w:t>Acreditación de los materiales:</w:t>
      </w:r>
    </w:p>
    <w:p w14:paraId="7C5A08C8" w14:textId="77777777" w:rsidR="002B430C" w:rsidRDefault="002B430C" w:rsidP="00D7794C">
      <w:pPr>
        <w:pStyle w:val="NORMAL12"/>
      </w:pPr>
      <w:r>
        <w:t>Se presentará la documentación que acredita el cumplimiento de las prestaciones de los materiales según se especifica en el apartado 700.3.3 del PG-3 vigente.</w:t>
      </w:r>
    </w:p>
    <w:p w14:paraId="250FCAD5" w14:textId="77777777" w:rsidR="002B430C" w:rsidRPr="00F23C7C" w:rsidRDefault="002B430C" w:rsidP="00F23C7C">
      <w:pPr>
        <w:pStyle w:val="NORMAL12"/>
      </w:pPr>
      <w:r w:rsidRPr="00F23C7C">
        <w:t>En la aplicación de las marcas viales objeto de este proyecto se utilizarán pinturas acrílicas en disolución y pinturas termoplásticas de aplicación en caliente, según los criterios de utilización indicados en las correspondientes unidades de obra y en planos.</w:t>
      </w:r>
    </w:p>
    <w:p w14:paraId="69E50FB0" w14:textId="77777777" w:rsidR="002B430C" w:rsidRPr="00593D99" w:rsidRDefault="002B430C" w:rsidP="00593D99">
      <w:pPr>
        <w:pStyle w:val="NORMAL12"/>
      </w:pPr>
      <w:r w:rsidRPr="00593D99">
        <w:t xml:space="preserve">El carácter </w:t>
      </w:r>
      <w:proofErr w:type="spellStart"/>
      <w:r w:rsidRPr="00593D99">
        <w:t>retrorreflectante</w:t>
      </w:r>
      <w:proofErr w:type="spellEnd"/>
      <w:r w:rsidRPr="00593D99">
        <w:t xml:space="preserve"> de la marca vial se conseguirá mediante la incorporación, por premezclado y/o </w:t>
      </w:r>
      <w:proofErr w:type="spellStart"/>
      <w:r w:rsidRPr="00593D99">
        <w:t>postmezclado</w:t>
      </w:r>
      <w:proofErr w:type="spellEnd"/>
      <w:r w:rsidRPr="00593D99">
        <w:t>, de microesferas de vidrio a cualquiera de los materiales anteriores.</w:t>
      </w:r>
    </w:p>
    <w:p w14:paraId="1397C9A0" w14:textId="77777777" w:rsidR="002B430C" w:rsidRPr="00593D99" w:rsidRDefault="002B430C" w:rsidP="00593D99">
      <w:pPr>
        <w:pStyle w:val="NORMAL12"/>
      </w:pPr>
      <w:r w:rsidRPr="00593D99">
        <w:t>Las proporciones de mezcla serán las utilizadas para esos materiales en el ensayo de la durabilidad, realizado según lo especificado en el método "B" de la norma UNE 135 200(3).</w:t>
      </w:r>
    </w:p>
    <w:p w14:paraId="411ECE2D" w14:textId="77777777" w:rsidR="002B430C" w:rsidRPr="00EC60DF" w:rsidRDefault="007A541E" w:rsidP="00EC60DF">
      <w:pPr>
        <w:pStyle w:val="NORMAL12"/>
        <w:rPr>
          <w:i/>
          <w:u w:val="single"/>
        </w:rPr>
      </w:pPr>
      <w:bookmarkStart w:id="1055" w:name="_Toc492538082"/>
      <w:bookmarkStart w:id="1056" w:name="_Toc400741631"/>
      <w:bookmarkStart w:id="1057" w:name="_Toc399509137"/>
      <w:r>
        <w:rPr>
          <w:i/>
          <w:u w:val="single"/>
        </w:rPr>
        <w:br w:type="column"/>
      </w:r>
      <w:r w:rsidR="002B430C" w:rsidRPr="00EC60DF">
        <w:rPr>
          <w:i/>
          <w:u w:val="single"/>
        </w:rPr>
        <w:lastRenderedPageBreak/>
        <w:t>Características</w:t>
      </w:r>
      <w:bookmarkEnd w:id="1055"/>
      <w:bookmarkEnd w:id="1056"/>
      <w:bookmarkEnd w:id="1057"/>
    </w:p>
    <w:p w14:paraId="55D86006" w14:textId="77777777" w:rsidR="002B430C" w:rsidRDefault="002B430C" w:rsidP="00D7794C">
      <w:pPr>
        <w:pStyle w:val="NORMAL12"/>
      </w:pPr>
      <w:r>
        <w:t>Todo el proceso de fabricación de las marcas viales y características de los materiales componentes cumplirán con los requisitos de la relación de normativa siguiente:</w:t>
      </w:r>
    </w:p>
    <w:tbl>
      <w:tblPr>
        <w:tblW w:w="5000" w:type="pct"/>
        <w:tblBorders>
          <w:top w:val="single" w:sz="12" w:space="0" w:color="000000"/>
          <w:left w:val="single" w:sz="6" w:space="0" w:color="000000"/>
          <w:bottom w:val="single" w:sz="12" w:space="0" w:color="000000"/>
          <w:right w:val="single" w:sz="6" w:space="0" w:color="000000"/>
        </w:tblBorders>
        <w:tblLook w:val="04A0" w:firstRow="1" w:lastRow="0" w:firstColumn="1" w:lastColumn="0" w:noHBand="0" w:noVBand="1"/>
      </w:tblPr>
      <w:tblGrid>
        <w:gridCol w:w="1941"/>
        <w:gridCol w:w="7913"/>
      </w:tblGrid>
      <w:tr w:rsidR="002B430C" w:rsidRPr="00174ED1" w14:paraId="3BB5AC37" w14:textId="77777777" w:rsidTr="00174ED1">
        <w:trPr>
          <w:tblHeader/>
        </w:trPr>
        <w:tc>
          <w:tcPr>
            <w:tcW w:w="985" w:type="pct"/>
            <w:tcBorders>
              <w:top w:val="single" w:sz="12" w:space="0" w:color="000000"/>
              <w:left w:val="single" w:sz="6" w:space="0" w:color="000000"/>
              <w:bottom w:val="single" w:sz="6" w:space="0" w:color="000000"/>
              <w:right w:val="nil"/>
            </w:tcBorders>
            <w:shd w:val="clear" w:color="auto" w:fill="D9D9D9" w:themeFill="background1" w:themeFillShade="D9"/>
            <w:hideMark/>
          </w:tcPr>
          <w:p w14:paraId="68E8B18D" w14:textId="77777777" w:rsidR="002B430C" w:rsidRPr="00174ED1" w:rsidRDefault="002B430C" w:rsidP="00E55CD8">
            <w:pPr>
              <w:pStyle w:val="LCATabla"/>
              <w:spacing w:line="360" w:lineRule="auto"/>
              <w:jc w:val="center"/>
              <w:rPr>
                <w:rFonts w:ascii="Arial" w:hAnsi="Arial" w:cs="Arial"/>
                <w:b/>
                <w:bCs/>
                <w:i/>
                <w:iCs/>
                <w:sz w:val="20"/>
              </w:rPr>
            </w:pPr>
            <w:r w:rsidRPr="00174ED1">
              <w:rPr>
                <w:rFonts w:ascii="Arial" w:hAnsi="Arial" w:cs="Arial"/>
                <w:b/>
                <w:bCs/>
                <w:i/>
                <w:iCs/>
                <w:sz w:val="20"/>
              </w:rPr>
              <w:t>C</w:t>
            </w:r>
            <w:r w:rsidR="00E55CD8">
              <w:rPr>
                <w:rFonts w:ascii="Arial" w:hAnsi="Arial" w:cs="Arial"/>
                <w:b/>
                <w:bCs/>
                <w:i/>
                <w:iCs/>
                <w:sz w:val="20"/>
              </w:rPr>
              <w:t xml:space="preserve">ódigo </w:t>
            </w:r>
          </w:p>
        </w:tc>
        <w:tc>
          <w:tcPr>
            <w:tcW w:w="4015" w:type="pct"/>
            <w:tcBorders>
              <w:top w:val="single" w:sz="12" w:space="0" w:color="000000"/>
              <w:left w:val="nil"/>
              <w:bottom w:val="single" w:sz="6" w:space="0" w:color="000000"/>
              <w:right w:val="single" w:sz="6" w:space="0" w:color="000000"/>
            </w:tcBorders>
            <w:shd w:val="clear" w:color="auto" w:fill="D9D9D9" w:themeFill="background1" w:themeFillShade="D9"/>
            <w:hideMark/>
          </w:tcPr>
          <w:p w14:paraId="41F0533A" w14:textId="77777777" w:rsidR="002B430C" w:rsidRPr="00174ED1" w:rsidRDefault="002B430C" w:rsidP="00E55CD8">
            <w:pPr>
              <w:pStyle w:val="LCATabla"/>
              <w:spacing w:line="360" w:lineRule="auto"/>
              <w:jc w:val="center"/>
              <w:rPr>
                <w:rFonts w:ascii="Arial" w:hAnsi="Arial" w:cs="Arial"/>
                <w:b/>
                <w:bCs/>
                <w:i/>
                <w:iCs/>
                <w:sz w:val="20"/>
              </w:rPr>
            </w:pPr>
            <w:r w:rsidRPr="00174ED1">
              <w:rPr>
                <w:rFonts w:ascii="Arial" w:hAnsi="Arial" w:cs="Arial"/>
                <w:b/>
                <w:bCs/>
                <w:i/>
                <w:iCs/>
                <w:sz w:val="20"/>
              </w:rPr>
              <w:t>T</w:t>
            </w:r>
            <w:r w:rsidR="00E55CD8">
              <w:rPr>
                <w:rFonts w:ascii="Arial" w:hAnsi="Arial" w:cs="Arial"/>
                <w:b/>
                <w:bCs/>
                <w:i/>
                <w:iCs/>
                <w:sz w:val="20"/>
              </w:rPr>
              <w:t>ítulo</w:t>
            </w:r>
          </w:p>
        </w:tc>
      </w:tr>
      <w:tr w:rsidR="002B430C" w:rsidRPr="00174ED1" w14:paraId="081AEDBF" w14:textId="77777777" w:rsidTr="00174ED1">
        <w:tc>
          <w:tcPr>
            <w:tcW w:w="985" w:type="pct"/>
            <w:tcBorders>
              <w:top w:val="nil"/>
              <w:left w:val="single" w:sz="6" w:space="0" w:color="000000"/>
              <w:bottom w:val="nil"/>
              <w:right w:val="nil"/>
            </w:tcBorders>
            <w:hideMark/>
          </w:tcPr>
          <w:p w14:paraId="439C9325"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 135200-2</w:t>
            </w:r>
          </w:p>
        </w:tc>
        <w:tc>
          <w:tcPr>
            <w:tcW w:w="4015" w:type="pct"/>
            <w:tcBorders>
              <w:top w:val="nil"/>
              <w:left w:val="nil"/>
              <w:bottom w:val="nil"/>
              <w:right w:val="single" w:sz="6" w:space="0" w:color="000000"/>
            </w:tcBorders>
            <w:hideMark/>
          </w:tcPr>
          <w:p w14:paraId="68C5D21F"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Equipamiento para la señalización vial. Señalización horizontal.</w:t>
            </w:r>
            <w:r w:rsidRPr="00174ED1">
              <w:rPr>
                <w:rFonts w:ascii="Arial" w:hAnsi="Arial" w:cs="Arial"/>
                <w:sz w:val="20"/>
              </w:rPr>
              <w:br/>
              <w:t>Parte 2: Materiales. Ensayos de laboratorio.</w:t>
            </w:r>
          </w:p>
        </w:tc>
      </w:tr>
      <w:tr w:rsidR="002B430C" w:rsidRPr="00174ED1" w14:paraId="3102AC43" w14:textId="77777777" w:rsidTr="00174ED1">
        <w:tc>
          <w:tcPr>
            <w:tcW w:w="985" w:type="pct"/>
            <w:tcBorders>
              <w:top w:val="nil"/>
              <w:left w:val="single" w:sz="6" w:space="0" w:color="000000"/>
              <w:bottom w:val="nil"/>
              <w:right w:val="nil"/>
            </w:tcBorders>
            <w:hideMark/>
          </w:tcPr>
          <w:p w14:paraId="0C1F5CE1"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 135200-3</w:t>
            </w:r>
          </w:p>
        </w:tc>
        <w:tc>
          <w:tcPr>
            <w:tcW w:w="4015" w:type="pct"/>
            <w:tcBorders>
              <w:top w:val="nil"/>
              <w:left w:val="nil"/>
              <w:bottom w:val="nil"/>
              <w:right w:val="single" w:sz="6" w:space="0" w:color="000000"/>
            </w:tcBorders>
            <w:hideMark/>
          </w:tcPr>
          <w:p w14:paraId="2A3AE8D3"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Equipamiento para la señalización vial. Señalización horizontal.</w:t>
            </w:r>
            <w:r w:rsidRPr="00174ED1">
              <w:rPr>
                <w:rFonts w:ascii="Arial" w:hAnsi="Arial" w:cs="Arial"/>
                <w:sz w:val="20"/>
              </w:rPr>
              <w:br/>
              <w:t>Parte 3: Materiales. Ensayos de durabilidad.</w:t>
            </w:r>
          </w:p>
        </w:tc>
      </w:tr>
      <w:tr w:rsidR="002B430C" w:rsidRPr="00174ED1" w14:paraId="06FAD751" w14:textId="77777777" w:rsidTr="00174ED1">
        <w:tc>
          <w:tcPr>
            <w:tcW w:w="985" w:type="pct"/>
            <w:tcBorders>
              <w:top w:val="nil"/>
              <w:left w:val="single" w:sz="6" w:space="0" w:color="000000"/>
              <w:bottom w:val="nil"/>
              <w:right w:val="nil"/>
            </w:tcBorders>
            <w:hideMark/>
          </w:tcPr>
          <w:p w14:paraId="4E97565D"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 xml:space="preserve">UNE 135200-3 </w:t>
            </w:r>
            <w:proofErr w:type="spellStart"/>
            <w:r w:rsidRPr="00174ED1">
              <w:rPr>
                <w:rFonts w:ascii="Arial" w:hAnsi="Arial" w:cs="Arial"/>
                <w:b/>
                <w:bCs/>
                <w:sz w:val="20"/>
              </w:rPr>
              <w:t>Erratum</w:t>
            </w:r>
            <w:proofErr w:type="spellEnd"/>
          </w:p>
        </w:tc>
        <w:tc>
          <w:tcPr>
            <w:tcW w:w="4015" w:type="pct"/>
            <w:tcBorders>
              <w:top w:val="nil"/>
              <w:left w:val="nil"/>
              <w:bottom w:val="nil"/>
              <w:right w:val="single" w:sz="6" w:space="0" w:color="000000"/>
            </w:tcBorders>
            <w:hideMark/>
          </w:tcPr>
          <w:p w14:paraId="1ED90754"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Equipamiento para la señalización vial. Señalización horizontal.</w:t>
            </w:r>
            <w:r w:rsidRPr="00174ED1">
              <w:rPr>
                <w:rFonts w:ascii="Arial" w:hAnsi="Arial" w:cs="Arial"/>
                <w:sz w:val="20"/>
              </w:rPr>
              <w:br/>
              <w:t>Parte 3: Materiales. Ensayos de durabilidad.</w:t>
            </w:r>
          </w:p>
        </w:tc>
      </w:tr>
      <w:tr w:rsidR="002B430C" w:rsidRPr="00174ED1" w14:paraId="4B118AD9" w14:textId="77777777" w:rsidTr="00174ED1">
        <w:tc>
          <w:tcPr>
            <w:tcW w:w="985" w:type="pct"/>
            <w:tcBorders>
              <w:top w:val="nil"/>
              <w:left w:val="single" w:sz="6" w:space="0" w:color="000000"/>
              <w:bottom w:val="nil"/>
              <w:right w:val="nil"/>
            </w:tcBorders>
            <w:hideMark/>
          </w:tcPr>
          <w:p w14:paraId="602301EF"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 135201</w:t>
            </w:r>
          </w:p>
        </w:tc>
        <w:tc>
          <w:tcPr>
            <w:tcW w:w="4015" w:type="pct"/>
            <w:tcBorders>
              <w:top w:val="nil"/>
              <w:left w:val="nil"/>
              <w:bottom w:val="nil"/>
              <w:right w:val="single" w:sz="6" w:space="0" w:color="000000"/>
            </w:tcBorders>
            <w:hideMark/>
          </w:tcPr>
          <w:p w14:paraId="3A0E20EA"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Equipamiento para la señalización vial. Señalización horizontal. Pinturas. Determinación de la resistencia al sangrado (Método de la probeta asfáltica)</w:t>
            </w:r>
          </w:p>
        </w:tc>
      </w:tr>
      <w:tr w:rsidR="002B430C" w:rsidRPr="00174ED1" w14:paraId="1ED979EA" w14:textId="77777777" w:rsidTr="00174ED1">
        <w:tc>
          <w:tcPr>
            <w:tcW w:w="985" w:type="pct"/>
            <w:tcBorders>
              <w:top w:val="nil"/>
              <w:left w:val="single" w:sz="6" w:space="0" w:color="000000"/>
              <w:bottom w:val="nil"/>
              <w:right w:val="nil"/>
            </w:tcBorders>
            <w:hideMark/>
          </w:tcPr>
          <w:p w14:paraId="7B087880" w14:textId="77777777" w:rsidR="002B430C" w:rsidRPr="00174ED1" w:rsidRDefault="002B430C">
            <w:pPr>
              <w:pStyle w:val="LCATabla"/>
              <w:keepNext/>
              <w:spacing w:line="360" w:lineRule="auto"/>
              <w:rPr>
                <w:rFonts w:ascii="Arial" w:hAnsi="Arial" w:cs="Arial"/>
                <w:b/>
                <w:bCs/>
                <w:sz w:val="20"/>
              </w:rPr>
            </w:pPr>
            <w:r w:rsidRPr="00174ED1">
              <w:rPr>
                <w:rFonts w:ascii="Arial" w:hAnsi="Arial" w:cs="Arial"/>
                <w:b/>
                <w:bCs/>
                <w:sz w:val="20"/>
              </w:rPr>
              <w:t>UNE 135202</w:t>
            </w:r>
          </w:p>
        </w:tc>
        <w:tc>
          <w:tcPr>
            <w:tcW w:w="4015" w:type="pct"/>
            <w:tcBorders>
              <w:top w:val="nil"/>
              <w:left w:val="nil"/>
              <w:bottom w:val="nil"/>
              <w:right w:val="single" w:sz="6" w:space="0" w:color="000000"/>
            </w:tcBorders>
            <w:hideMark/>
          </w:tcPr>
          <w:p w14:paraId="0F03C642" w14:textId="77777777" w:rsidR="002B430C" w:rsidRPr="00174ED1" w:rsidRDefault="002B430C">
            <w:pPr>
              <w:pStyle w:val="LCATabla"/>
              <w:keepNext/>
              <w:spacing w:line="360" w:lineRule="auto"/>
              <w:rPr>
                <w:rFonts w:ascii="Arial" w:hAnsi="Arial" w:cs="Arial"/>
                <w:sz w:val="20"/>
              </w:rPr>
            </w:pPr>
            <w:r w:rsidRPr="00174ED1">
              <w:rPr>
                <w:rFonts w:ascii="Arial" w:hAnsi="Arial" w:cs="Arial"/>
                <w:sz w:val="20"/>
              </w:rPr>
              <w:t>Equipamiento para la señalización vial. Señalización horizontal. Pinturas. Determinación del tiempo de secado "no pick-up".</w:t>
            </w:r>
          </w:p>
        </w:tc>
      </w:tr>
      <w:tr w:rsidR="002B430C" w:rsidRPr="00174ED1" w14:paraId="536337A4" w14:textId="77777777" w:rsidTr="00174ED1">
        <w:tc>
          <w:tcPr>
            <w:tcW w:w="985" w:type="pct"/>
            <w:tcBorders>
              <w:top w:val="nil"/>
              <w:left w:val="single" w:sz="6" w:space="0" w:color="000000"/>
              <w:bottom w:val="nil"/>
              <w:right w:val="nil"/>
            </w:tcBorders>
            <w:hideMark/>
          </w:tcPr>
          <w:p w14:paraId="1826D8BB"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 135203-1</w:t>
            </w:r>
          </w:p>
        </w:tc>
        <w:tc>
          <w:tcPr>
            <w:tcW w:w="4015" w:type="pct"/>
            <w:tcBorders>
              <w:top w:val="nil"/>
              <w:left w:val="nil"/>
              <w:bottom w:val="nil"/>
              <w:right w:val="single" w:sz="6" w:space="0" w:color="000000"/>
            </w:tcBorders>
            <w:hideMark/>
          </w:tcPr>
          <w:p w14:paraId="255545CB"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Equipamiento para la señalización vial. Señalización horizontal. Materiales. Ensayos de abrasión en laboratorio.</w:t>
            </w:r>
            <w:r w:rsidRPr="00174ED1">
              <w:rPr>
                <w:rFonts w:ascii="Arial" w:hAnsi="Arial" w:cs="Arial"/>
                <w:sz w:val="20"/>
              </w:rPr>
              <w:br/>
              <w:t xml:space="preserve">Parte 1: Resistencia a la abrasión. Método </w:t>
            </w:r>
            <w:proofErr w:type="spellStart"/>
            <w:r w:rsidRPr="00174ED1">
              <w:rPr>
                <w:rFonts w:ascii="Arial" w:hAnsi="Arial" w:cs="Arial"/>
                <w:sz w:val="20"/>
              </w:rPr>
              <w:t>Taber</w:t>
            </w:r>
            <w:proofErr w:type="spellEnd"/>
            <w:r w:rsidRPr="00174ED1">
              <w:rPr>
                <w:rFonts w:ascii="Arial" w:hAnsi="Arial" w:cs="Arial"/>
                <w:sz w:val="20"/>
              </w:rPr>
              <w:t>.</w:t>
            </w:r>
          </w:p>
        </w:tc>
      </w:tr>
      <w:tr w:rsidR="002B430C" w:rsidRPr="00174ED1" w14:paraId="2647B8CA" w14:textId="77777777" w:rsidTr="00174ED1">
        <w:tc>
          <w:tcPr>
            <w:tcW w:w="985" w:type="pct"/>
            <w:tcBorders>
              <w:top w:val="nil"/>
              <w:left w:val="single" w:sz="6" w:space="0" w:color="000000"/>
              <w:bottom w:val="nil"/>
              <w:right w:val="nil"/>
            </w:tcBorders>
            <w:hideMark/>
          </w:tcPr>
          <w:p w14:paraId="205A5F94"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 135203-2</w:t>
            </w:r>
          </w:p>
        </w:tc>
        <w:tc>
          <w:tcPr>
            <w:tcW w:w="4015" w:type="pct"/>
            <w:tcBorders>
              <w:top w:val="nil"/>
              <w:left w:val="nil"/>
              <w:bottom w:val="nil"/>
              <w:right w:val="single" w:sz="6" w:space="0" w:color="000000"/>
            </w:tcBorders>
            <w:hideMark/>
          </w:tcPr>
          <w:p w14:paraId="461171CE"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 xml:space="preserve">Equipamiento para la señalización vial. Señalización horizontal. Materiales. Ensayos de abrasión en laboratorio. </w:t>
            </w:r>
            <w:r w:rsidRPr="00174ED1">
              <w:rPr>
                <w:rFonts w:ascii="Arial" w:hAnsi="Arial" w:cs="Arial"/>
                <w:sz w:val="20"/>
              </w:rPr>
              <w:br/>
              <w:t>Parte 2: Resistencia a la abrasión. Método de caída de un abrasivo.</w:t>
            </w:r>
          </w:p>
        </w:tc>
      </w:tr>
      <w:tr w:rsidR="002B430C" w:rsidRPr="00174ED1" w14:paraId="7A545D1A" w14:textId="77777777" w:rsidTr="00174ED1">
        <w:tc>
          <w:tcPr>
            <w:tcW w:w="985" w:type="pct"/>
            <w:tcBorders>
              <w:top w:val="nil"/>
              <w:left w:val="single" w:sz="6" w:space="0" w:color="000000"/>
              <w:bottom w:val="nil"/>
              <w:right w:val="nil"/>
            </w:tcBorders>
            <w:hideMark/>
          </w:tcPr>
          <w:p w14:paraId="2888E5C4"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 135212</w:t>
            </w:r>
          </w:p>
        </w:tc>
        <w:tc>
          <w:tcPr>
            <w:tcW w:w="4015" w:type="pct"/>
            <w:tcBorders>
              <w:top w:val="nil"/>
              <w:left w:val="nil"/>
              <w:bottom w:val="nil"/>
              <w:right w:val="single" w:sz="6" w:space="0" w:color="000000"/>
            </w:tcBorders>
            <w:hideMark/>
          </w:tcPr>
          <w:p w14:paraId="26E35583"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Equipamiento para la señalización vial. Señalización horizontal. Pinturas. Métodos de ensayo. Determinación de la materia fija. Método instrumental.</w:t>
            </w:r>
          </w:p>
        </w:tc>
      </w:tr>
      <w:tr w:rsidR="002B430C" w:rsidRPr="00174ED1" w14:paraId="1664AB72" w14:textId="77777777" w:rsidTr="00174ED1">
        <w:tc>
          <w:tcPr>
            <w:tcW w:w="985" w:type="pct"/>
            <w:tcBorders>
              <w:top w:val="nil"/>
              <w:left w:val="single" w:sz="6" w:space="0" w:color="000000"/>
              <w:bottom w:val="nil"/>
              <w:right w:val="nil"/>
            </w:tcBorders>
            <w:hideMark/>
          </w:tcPr>
          <w:p w14:paraId="11849879"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 135214-1</w:t>
            </w:r>
          </w:p>
        </w:tc>
        <w:tc>
          <w:tcPr>
            <w:tcW w:w="4015" w:type="pct"/>
            <w:tcBorders>
              <w:top w:val="nil"/>
              <w:left w:val="nil"/>
              <w:bottom w:val="nil"/>
              <w:right w:val="single" w:sz="6" w:space="0" w:color="000000"/>
            </w:tcBorders>
            <w:hideMark/>
          </w:tcPr>
          <w:p w14:paraId="26DA0E55"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Equipamiento para la señalización vial. Señalización horizontal. Marcas viales. Visibilidad diurna de las marcas viales en relación con el pavimento que las soporta. Parte 1: Determinación puntual de la relación de contraste (</w:t>
            </w:r>
            <w:proofErr w:type="spellStart"/>
            <w:r w:rsidRPr="00174ED1">
              <w:rPr>
                <w:rFonts w:ascii="Arial" w:hAnsi="Arial" w:cs="Arial"/>
                <w:sz w:val="20"/>
              </w:rPr>
              <w:t>Rc</w:t>
            </w:r>
            <w:proofErr w:type="spellEnd"/>
            <w:r w:rsidRPr="00174ED1">
              <w:rPr>
                <w:rFonts w:ascii="Arial" w:hAnsi="Arial" w:cs="Arial"/>
                <w:sz w:val="20"/>
              </w:rPr>
              <w:t>) mediante el factor de luminancia de las marcas viales con el pavimento.</w:t>
            </w:r>
          </w:p>
        </w:tc>
      </w:tr>
      <w:tr w:rsidR="002B430C" w:rsidRPr="00174ED1" w14:paraId="30AB07C0" w14:textId="77777777" w:rsidTr="00174ED1">
        <w:tc>
          <w:tcPr>
            <w:tcW w:w="985" w:type="pct"/>
            <w:tcBorders>
              <w:top w:val="nil"/>
              <w:left w:val="single" w:sz="6" w:space="0" w:color="000000"/>
              <w:bottom w:val="nil"/>
              <w:right w:val="nil"/>
            </w:tcBorders>
            <w:hideMark/>
          </w:tcPr>
          <w:p w14:paraId="2F1202B7"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 135214-2</w:t>
            </w:r>
          </w:p>
        </w:tc>
        <w:tc>
          <w:tcPr>
            <w:tcW w:w="4015" w:type="pct"/>
            <w:tcBorders>
              <w:top w:val="nil"/>
              <w:left w:val="nil"/>
              <w:bottom w:val="nil"/>
              <w:right w:val="single" w:sz="6" w:space="0" w:color="000000"/>
            </w:tcBorders>
            <w:hideMark/>
          </w:tcPr>
          <w:p w14:paraId="60FEF933"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Equipamiento para la señalización vial. Señalización horizontal. Marcas viales. Visibilidad diurna de las marcas viales en relación con el pavimento que las soporta. Parte 2: Determinación del contraste diurno (Cd) mediante las luminancias de las marcas viales y el pavimento.</w:t>
            </w:r>
          </w:p>
        </w:tc>
      </w:tr>
      <w:tr w:rsidR="002B430C" w:rsidRPr="00174ED1" w14:paraId="5734A396" w14:textId="77777777" w:rsidTr="00174ED1">
        <w:tc>
          <w:tcPr>
            <w:tcW w:w="985" w:type="pct"/>
            <w:tcBorders>
              <w:top w:val="nil"/>
              <w:left w:val="single" w:sz="6" w:space="0" w:color="000000"/>
              <w:bottom w:val="nil"/>
              <w:right w:val="nil"/>
            </w:tcBorders>
            <w:hideMark/>
          </w:tcPr>
          <w:p w14:paraId="2C550BA5"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 135221</w:t>
            </w:r>
          </w:p>
        </w:tc>
        <w:tc>
          <w:tcPr>
            <w:tcW w:w="4015" w:type="pct"/>
            <w:tcBorders>
              <w:top w:val="nil"/>
              <w:left w:val="nil"/>
              <w:bottom w:val="nil"/>
              <w:right w:val="single" w:sz="6" w:space="0" w:color="000000"/>
            </w:tcBorders>
            <w:hideMark/>
          </w:tcPr>
          <w:p w14:paraId="55AC89F0"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Equipamiento para la señalización vial. Señalización horizontal. Termoplásticos de aplicación en caliente. Determinación de la estabilidad al calor.</w:t>
            </w:r>
          </w:p>
        </w:tc>
      </w:tr>
      <w:tr w:rsidR="002B430C" w:rsidRPr="00174ED1" w14:paraId="7023566F" w14:textId="77777777" w:rsidTr="00174ED1">
        <w:tc>
          <w:tcPr>
            <w:tcW w:w="985" w:type="pct"/>
            <w:tcBorders>
              <w:top w:val="nil"/>
              <w:left w:val="single" w:sz="6" w:space="0" w:color="000000"/>
              <w:bottom w:val="nil"/>
              <w:right w:val="nil"/>
            </w:tcBorders>
            <w:hideMark/>
          </w:tcPr>
          <w:p w14:paraId="1974A4CF"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 135222</w:t>
            </w:r>
          </w:p>
        </w:tc>
        <w:tc>
          <w:tcPr>
            <w:tcW w:w="4015" w:type="pct"/>
            <w:tcBorders>
              <w:top w:val="nil"/>
              <w:left w:val="nil"/>
              <w:bottom w:val="nil"/>
              <w:right w:val="single" w:sz="6" w:space="0" w:color="000000"/>
            </w:tcBorders>
            <w:hideMark/>
          </w:tcPr>
          <w:p w14:paraId="2AE36195"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Equipamiento para la señalización vial. Señalización horizontal. Termoplásticos de aplicación en caliente. Determinación del punto de reblandecimiento (método anillo y bola)</w:t>
            </w:r>
          </w:p>
        </w:tc>
      </w:tr>
      <w:tr w:rsidR="002B430C" w:rsidRPr="00174ED1" w14:paraId="752A3AE2" w14:textId="77777777" w:rsidTr="00174ED1">
        <w:tc>
          <w:tcPr>
            <w:tcW w:w="985" w:type="pct"/>
            <w:tcBorders>
              <w:top w:val="nil"/>
              <w:left w:val="single" w:sz="6" w:space="0" w:color="000000"/>
              <w:bottom w:val="nil"/>
              <w:right w:val="nil"/>
            </w:tcBorders>
            <w:hideMark/>
          </w:tcPr>
          <w:p w14:paraId="16B7E134"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 135223</w:t>
            </w:r>
          </w:p>
        </w:tc>
        <w:tc>
          <w:tcPr>
            <w:tcW w:w="4015" w:type="pct"/>
            <w:tcBorders>
              <w:top w:val="nil"/>
              <w:left w:val="nil"/>
              <w:bottom w:val="nil"/>
              <w:right w:val="single" w:sz="6" w:space="0" w:color="000000"/>
            </w:tcBorders>
            <w:hideMark/>
          </w:tcPr>
          <w:p w14:paraId="27474B8D"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Equipamiento para la señalización vial. Señalización horizontal. Termoplásticos de aplicación en caliente. Determinación de la resistencia al flujo.</w:t>
            </w:r>
          </w:p>
        </w:tc>
      </w:tr>
      <w:tr w:rsidR="002B430C" w:rsidRPr="00174ED1" w14:paraId="5CD73016" w14:textId="77777777" w:rsidTr="00174ED1">
        <w:tc>
          <w:tcPr>
            <w:tcW w:w="985" w:type="pct"/>
            <w:tcBorders>
              <w:top w:val="nil"/>
              <w:left w:val="single" w:sz="6" w:space="0" w:color="000000"/>
              <w:bottom w:val="nil"/>
              <w:right w:val="nil"/>
            </w:tcBorders>
            <w:hideMark/>
          </w:tcPr>
          <w:p w14:paraId="7021E80F"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 135274</w:t>
            </w:r>
          </w:p>
        </w:tc>
        <w:tc>
          <w:tcPr>
            <w:tcW w:w="4015" w:type="pct"/>
            <w:tcBorders>
              <w:top w:val="nil"/>
              <w:left w:val="nil"/>
              <w:bottom w:val="nil"/>
              <w:right w:val="single" w:sz="6" w:space="0" w:color="000000"/>
            </w:tcBorders>
            <w:hideMark/>
          </w:tcPr>
          <w:p w14:paraId="5FD0804F"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Equipamiento para la señalización vial. Señalización horizontal. Marcas viales. Determinación de la dosificación.</w:t>
            </w:r>
          </w:p>
        </w:tc>
      </w:tr>
      <w:tr w:rsidR="002B430C" w:rsidRPr="00174ED1" w14:paraId="2A411D15" w14:textId="77777777" w:rsidTr="00174ED1">
        <w:tc>
          <w:tcPr>
            <w:tcW w:w="985" w:type="pct"/>
            <w:tcBorders>
              <w:top w:val="nil"/>
              <w:left w:val="single" w:sz="6" w:space="0" w:color="000000"/>
              <w:bottom w:val="nil"/>
              <w:right w:val="nil"/>
            </w:tcBorders>
            <w:hideMark/>
          </w:tcPr>
          <w:p w14:paraId="465CB095"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 135277-1</w:t>
            </w:r>
            <w:r w:rsidR="00575900" w:rsidRPr="00174ED1">
              <w:rPr>
                <w:rFonts w:ascii="Arial" w:hAnsi="Arial" w:cs="Arial"/>
                <w:b/>
                <w:bCs/>
                <w:sz w:val="20"/>
              </w:rPr>
              <w:t>:2010</w:t>
            </w:r>
          </w:p>
        </w:tc>
        <w:tc>
          <w:tcPr>
            <w:tcW w:w="4015" w:type="pct"/>
            <w:tcBorders>
              <w:top w:val="nil"/>
              <w:left w:val="nil"/>
              <w:bottom w:val="nil"/>
              <w:right w:val="single" w:sz="6" w:space="0" w:color="000000"/>
            </w:tcBorders>
            <w:hideMark/>
          </w:tcPr>
          <w:p w14:paraId="6CEF0FE1"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 xml:space="preserve">Equipamiento para la señalización vial. Señalización horizontal. Maquinaria de aplicación. </w:t>
            </w:r>
            <w:r w:rsidRPr="00174ED1">
              <w:rPr>
                <w:rFonts w:ascii="Arial" w:hAnsi="Arial" w:cs="Arial"/>
                <w:sz w:val="20"/>
              </w:rPr>
              <w:br/>
              <w:t>Parte 1: Clasificación y características.</w:t>
            </w:r>
          </w:p>
        </w:tc>
      </w:tr>
      <w:tr w:rsidR="002B430C" w:rsidRPr="00174ED1" w14:paraId="3E093894" w14:textId="77777777" w:rsidTr="00174ED1">
        <w:tc>
          <w:tcPr>
            <w:tcW w:w="985" w:type="pct"/>
            <w:tcBorders>
              <w:top w:val="nil"/>
              <w:left w:val="single" w:sz="6" w:space="0" w:color="000000"/>
              <w:bottom w:val="nil"/>
              <w:right w:val="nil"/>
            </w:tcBorders>
            <w:hideMark/>
          </w:tcPr>
          <w:p w14:paraId="1F05694D" w14:textId="77777777" w:rsidR="002B430C" w:rsidRPr="00174ED1" w:rsidRDefault="002B430C">
            <w:pPr>
              <w:pStyle w:val="LCATabla"/>
              <w:keepNext/>
              <w:spacing w:line="360" w:lineRule="auto"/>
              <w:rPr>
                <w:rFonts w:ascii="Arial" w:hAnsi="Arial" w:cs="Arial"/>
                <w:b/>
                <w:bCs/>
                <w:sz w:val="20"/>
              </w:rPr>
            </w:pPr>
            <w:r w:rsidRPr="00174ED1">
              <w:rPr>
                <w:rFonts w:ascii="Arial" w:hAnsi="Arial" w:cs="Arial"/>
                <w:b/>
                <w:bCs/>
                <w:sz w:val="20"/>
              </w:rPr>
              <w:t>UNE 135277-2</w:t>
            </w:r>
            <w:r w:rsidR="00575900" w:rsidRPr="00174ED1">
              <w:rPr>
                <w:rFonts w:ascii="Arial" w:hAnsi="Arial" w:cs="Arial"/>
                <w:b/>
                <w:bCs/>
                <w:sz w:val="20"/>
              </w:rPr>
              <w:t>:2011</w:t>
            </w:r>
          </w:p>
        </w:tc>
        <w:tc>
          <w:tcPr>
            <w:tcW w:w="4015" w:type="pct"/>
            <w:tcBorders>
              <w:top w:val="nil"/>
              <w:left w:val="nil"/>
              <w:bottom w:val="nil"/>
              <w:right w:val="single" w:sz="6" w:space="0" w:color="000000"/>
            </w:tcBorders>
            <w:hideMark/>
          </w:tcPr>
          <w:p w14:paraId="2DA56B11" w14:textId="77777777" w:rsidR="002B430C" w:rsidRPr="00174ED1" w:rsidRDefault="002B430C">
            <w:pPr>
              <w:pStyle w:val="LCATabla"/>
              <w:keepNext/>
              <w:spacing w:line="360" w:lineRule="auto"/>
              <w:rPr>
                <w:rFonts w:ascii="Arial" w:hAnsi="Arial" w:cs="Arial"/>
                <w:sz w:val="20"/>
              </w:rPr>
            </w:pPr>
            <w:r w:rsidRPr="00174ED1">
              <w:rPr>
                <w:rFonts w:ascii="Arial" w:hAnsi="Arial" w:cs="Arial"/>
                <w:sz w:val="20"/>
              </w:rPr>
              <w:t xml:space="preserve">Equipamiento para la señalización vial. Señalización horizontal. Maquinaria de aplicación. </w:t>
            </w:r>
            <w:r w:rsidRPr="00174ED1">
              <w:rPr>
                <w:rFonts w:ascii="Arial" w:hAnsi="Arial" w:cs="Arial"/>
                <w:sz w:val="20"/>
              </w:rPr>
              <w:br/>
              <w:t>Parte 2: Métodos de ensayo.</w:t>
            </w:r>
          </w:p>
        </w:tc>
      </w:tr>
      <w:tr w:rsidR="002B430C" w:rsidRPr="00174ED1" w14:paraId="3916B306" w14:textId="77777777" w:rsidTr="00174ED1">
        <w:tc>
          <w:tcPr>
            <w:tcW w:w="985" w:type="pct"/>
            <w:tcBorders>
              <w:top w:val="nil"/>
              <w:left w:val="single" w:sz="6" w:space="0" w:color="000000"/>
              <w:bottom w:val="single" w:sz="12" w:space="0" w:color="000000"/>
              <w:right w:val="nil"/>
            </w:tcBorders>
            <w:hideMark/>
          </w:tcPr>
          <w:p w14:paraId="02CC5199"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 135287</w:t>
            </w:r>
          </w:p>
        </w:tc>
        <w:tc>
          <w:tcPr>
            <w:tcW w:w="4015" w:type="pct"/>
            <w:tcBorders>
              <w:top w:val="nil"/>
              <w:left w:val="nil"/>
              <w:bottom w:val="single" w:sz="12" w:space="0" w:color="000000"/>
              <w:right w:val="single" w:sz="6" w:space="0" w:color="000000"/>
            </w:tcBorders>
            <w:hideMark/>
          </w:tcPr>
          <w:p w14:paraId="73630729"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Equipamiento para la señalización vial. Señalización horizontal. Microesferas de vidrio. Granulometría y porcentaje de defectuosas.</w:t>
            </w:r>
          </w:p>
        </w:tc>
      </w:tr>
    </w:tbl>
    <w:p w14:paraId="36DEB2CA" w14:textId="77777777" w:rsidR="002B430C" w:rsidRDefault="002B430C" w:rsidP="002B430C">
      <w:pPr>
        <w:pStyle w:val="NormalWeb"/>
        <w:rPr>
          <w:rFonts w:ascii="Arial Unicode MS" w:hAnsi="Arial Unicode MS"/>
          <w:sz w:val="22"/>
        </w:rPr>
      </w:pPr>
      <w:r>
        <w:rPr>
          <w:rFonts w:hint="eastAsia"/>
        </w:rPr>
        <w:t> </w:t>
      </w:r>
    </w:p>
    <w:tbl>
      <w:tblPr>
        <w:tblW w:w="5131" w:type="pct"/>
        <w:tblBorders>
          <w:top w:val="single" w:sz="12" w:space="0" w:color="000000"/>
          <w:left w:val="single" w:sz="6" w:space="0" w:color="000000"/>
          <w:bottom w:val="single" w:sz="12" w:space="0" w:color="000000"/>
          <w:right w:val="single" w:sz="6" w:space="0" w:color="000000"/>
        </w:tblBorders>
        <w:tblLook w:val="04A0" w:firstRow="1" w:lastRow="0" w:firstColumn="1" w:lastColumn="0" w:noHBand="0" w:noVBand="1"/>
      </w:tblPr>
      <w:tblGrid>
        <w:gridCol w:w="18"/>
        <w:gridCol w:w="2182"/>
        <w:gridCol w:w="7637"/>
        <w:gridCol w:w="275"/>
      </w:tblGrid>
      <w:tr w:rsidR="002B430C" w:rsidRPr="00174ED1" w14:paraId="3EA56FF4" w14:textId="77777777" w:rsidTr="00174ED1">
        <w:trPr>
          <w:tblHeader/>
        </w:trPr>
        <w:tc>
          <w:tcPr>
            <w:tcW w:w="1088" w:type="pct"/>
            <w:gridSpan w:val="2"/>
            <w:tcBorders>
              <w:top w:val="single" w:sz="12" w:space="0" w:color="000000"/>
              <w:left w:val="single" w:sz="6" w:space="0" w:color="000000"/>
              <w:bottom w:val="single" w:sz="6" w:space="0" w:color="000000"/>
              <w:right w:val="nil"/>
            </w:tcBorders>
            <w:shd w:val="clear" w:color="auto" w:fill="D9D9D9" w:themeFill="background1" w:themeFillShade="D9"/>
            <w:hideMark/>
          </w:tcPr>
          <w:p w14:paraId="187DBF69" w14:textId="77777777" w:rsidR="002B430C" w:rsidRPr="00174ED1" w:rsidRDefault="002B430C" w:rsidP="00E55CD8">
            <w:pPr>
              <w:pStyle w:val="LCATabla"/>
              <w:keepNext/>
              <w:spacing w:line="360" w:lineRule="auto"/>
              <w:jc w:val="center"/>
              <w:rPr>
                <w:rFonts w:ascii="Arial" w:hAnsi="Arial" w:cs="Arial"/>
                <w:b/>
                <w:bCs/>
                <w:i/>
                <w:iCs/>
                <w:sz w:val="20"/>
              </w:rPr>
            </w:pPr>
            <w:r w:rsidRPr="00174ED1">
              <w:rPr>
                <w:rFonts w:ascii="Arial" w:hAnsi="Arial" w:cs="Arial"/>
                <w:b/>
                <w:bCs/>
                <w:i/>
                <w:iCs/>
                <w:sz w:val="20"/>
              </w:rPr>
              <w:t>C</w:t>
            </w:r>
            <w:r w:rsidR="00E55CD8">
              <w:rPr>
                <w:rFonts w:ascii="Arial" w:hAnsi="Arial" w:cs="Arial"/>
                <w:b/>
                <w:bCs/>
                <w:i/>
                <w:iCs/>
                <w:sz w:val="20"/>
              </w:rPr>
              <w:t>ódigo</w:t>
            </w:r>
          </w:p>
        </w:tc>
        <w:tc>
          <w:tcPr>
            <w:tcW w:w="3912" w:type="pct"/>
            <w:gridSpan w:val="2"/>
            <w:tcBorders>
              <w:top w:val="single" w:sz="12" w:space="0" w:color="000000"/>
              <w:left w:val="nil"/>
              <w:bottom w:val="single" w:sz="6" w:space="0" w:color="000000"/>
              <w:right w:val="single" w:sz="6" w:space="0" w:color="000000"/>
            </w:tcBorders>
            <w:shd w:val="clear" w:color="auto" w:fill="D9D9D9" w:themeFill="background1" w:themeFillShade="D9"/>
            <w:hideMark/>
          </w:tcPr>
          <w:p w14:paraId="2B24D252" w14:textId="77777777" w:rsidR="002B430C" w:rsidRPr="00174ED1" w:rsidRDefault="002B430C" w:rsidP="00E55CD8">
            <w:pPr>
              <w:pStyle w:val="LCATabla"/>
              <w:keepNext/>
              <w:spacing w:line="360" w:lineRule="auto"/>
              <w:jc w:val="center"/>
              <w:rPr>
                <w:rFonts w:ascii="Arial" w:hAnsi="Arial" w:cs="Arial"/>
                <w:b/>
                <w:bCs/>
                <w:i/>
                <w:iCs/>
                <w:sz w:val="20"/>
              </w:rPr>
            </w:pPr>
            <w:r w:rsidRPr="00174ED1">
              <w:rPr>
                <w:rFonts w:ascii="Arial" w:hAnsi="Arial" w:cs="Arial"/>
                <w:b/>
                <w:bCs/>
                <w:i/>
                <w:iCs/>
                <w:sz w:val="20"/>
              </w:rPr>
              <w:t>T</w:t>
            </w:r>
            <w:r w:rsidR="00E55CD8">
              <w:rPr>
                <w:rFonts w:ascii="Arial" w:hAnsi="Arial" w:cs="Arial"/>
                <w:b/>
                <w:bCs/>
                <w:i/>
                <w:iCs/>
                <w:sz w:val="20"/>
              </w:rPr>
              <w:t>ítulo</w:t>
            </w:r>
          </w:p>
        </w:tc>
      </w:tr>
      <w:tr w:rsidR="002B430C" w:rsidRPr="00174ED1" w14:paraId="1AFEDE08" w14:textId="77777777" w:rsidTr="00174ED1">
        <w:tc>
          <w:tcPr>
            <w:tcW w:w="1088" w:type="pct"/>
            <w:gridSpan w:val="2"/>
            <w:tcBorders>
              <w:top w:val="nil"/>
              <w:left w:val="single" w:sz="6" w:space="0" w:color="000000"/>
              <w:bottom w:val="nil"/>
              <w:right w:val="nil"/>
            </w:tcBorders>
            <w:hideMark/>
          </w:tcPr>
          <w:p w14:paraId="6BC4A726"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UNE-EN 1423</w:t>
            </w:r>
          </w:p>
        </w:tc>
        <w:tc>
          <w:tcPr>
            <w:tcW w:w="3912" w:type="pct"/>
            <w:gridSpan w:val="2"/>
            <w:tcBorders>
              <w:top w:val="nil"/>
              <w:left w:val="nil"/>
              <w:bottom w:val="nil"/>
              <w:right w:val="single" w:sz="6" w:space="0" w:color="000000"/>
            </w:tcBorders>
            <w:hideMark/>
          </w:tcPr>
          <w:p w14:paraId="724D4FE4"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 xml:space="preserve">Materiales para señalización vial horizontal. Materiales de </w:t>
            </w:r>
            <w:proofErr w:type="spellStart"/>
            <w:r w:rsidRPr="00174ED1">
              <w:rPr>
                <w:rFonts w:ascii="Arial" w:hAnsi="Arial" w:cs="Arial"/>
                <w:sz w:val="20"/>
              </w:rPr>
              <w:t>postmezclado</w:t>
            </w:r>
            <w:proofErr w:type="spellEnd"/>
            <w:r w:rsidRPr="00174ED1">
              <w:rPr>
                <w:rFonts w:ascii="Arial" w:hAnsi="Arial" w:cs="Arial"/>
                <w:sz w:val="20"/>
              </w:rPr>
              <w:t>. Microesferas de vidrio, granulados antideslizantes y mezclas de ambos.</w:t>
            </w:r>
          </w:p>
        </w:tc>
      </w:tr>
      <w:tr w:rsidR="002B430C" w:rsidRPr="00174ED1" w14:paraId="497C3BA6" w14:textId="77777777" w:rsidTr="00174ED1">
        <w:tc>
          <w:tcPr>
            <w:tcW w:w="1088" w:type="pct"/>
            <w:gridSpan w:val="2"/>
            <w:tcBorders>
              <w:top w:val="nil"/>
              <w:left w:val="single" w:sz="6" w:space="0" w:color="000000"/>
              <w:bottom w:val="nil"/>
              <w:right w:val="nil"/>
            </w:tcBorders>
            <w:hideMark/>
          </w:tcPr>
          <w:p w14:paraId="3E98AAA7"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UNE-EN 1423/A 1</w:t>
            </w:r>
          </w:p>
        </w:tc>
        <w:tc>
          <w:tcPr>
            <w:tcW w:w="3912" w:type="pct"/>
            <w:gridSpan w:val="2"/>
            <w:tcBorders>
              <w:top w:val="nil"/>
              <w:left w:val="nil"/>
              <w:bottom w:val="nil"/>
              <w:right w:val="single" w:sz="6" w:space="0" w:color="000000"/>
            </w:tcBorders>
            <w:hideMark/>
          </w:tcPr>
          <w:p w14:paraId="01D7A908"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 xml:space="preserve">Productos de marcas viales. Productos de </w:t>
            </w:r>
            <w:proofErr w:type="spellStart"/>
            <w:r w:rsidRPr="00174ED1">
              <w:rPr>
                <w:rFonts w:ascii="Arial" w:hAnsi="Arial" w:cs="Arial"/>
                <w:sz w:val="20"/>
              </w:rPr>
              <w:t>postmezclado</w:t>
            </w:r>
            <w:proofErr w:type="spellEnd"/>
            <w:r w:rsidRPr="00174ED1">
              <w:rPr>
                <w:rFonts w:ascii="Arial" w:hAnsi="Arial" w:cs="Arial"/>
                <w:sz w:val="20"/>
              </w:rPr>
              <w:t>. Microesferas de vidrio, granulados antideslizantes y mezcla de ambos.</w:t>
            </w:r>
          </w:p>
        </w:tc>
      </w:tr>
      <w:tr w:rsidR="002B430C" w:rsidRPr="00174ED1" w14:paraId="691DF23A" w14:textId="77777777" w:rsidTr="00174ED1">
        <w:tc>
          <w:tcPr>
            <w:tcW w:w="1088" w:type="pct"/>
            <w:gridSpan w:val="2"/>
            <w:tcBorders>
              <w:top w:val="nil"/>
              <w:left w:val="single" w:sz="6" w:space="0" w:color="000000"/>
              <w:bottom w:val="nil"/>
              <w:right w:val="nil"/>
            </w:tcBorders>
            <w:hideMark/>
          </w:tcPr>
          <w:p w14:paraId="3E091B6F"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UNE-EN 1424</w:t>
            </w:r>
          </w:p>
        </w:tc>
        <w:tc>
          <w:tcPr>
            <w:tcW w:w="3912" w:type="pct"/>
            <w:gridSpan w:val="2"/>
            <w:tcBorders>
              <w:top w:val="nil"/>
              <w:left w:val="nil"/>
              <w:bottom w:val="nil"/>
              <w:right w:val="single" w:sz="6" w:space="0" w:color="000000"/>
            </w:tcBorders>
            <w:hideMark/>
          </w:tcPr>
          <w:p w14:paraId="7E6E50C8"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Materiales para señalización vial horizontal. Microesferas de vidrio de premezclado.</w:t>
            </w:r>
          </w:p>
        </w:tc>
      </w:tr>
      <w:tr w:rsidR="002B430C" w:rsidRPr="00174ED1" w14:paraId="0243148E" w14:textId="77777777" w:rsidTr="00174ED1">
        <w:tc>
          <w:tcPr>
            <w:tcW w:w="1088" w:type="pct"/>
            <w:gridSpan w:val="2"/>
            <w:tcBorders>
              <w:top w:val="nil"/>
              <w:left w:val="single" w:sz="6" w:space="0" w:color="000000"/>
              <w:bottom w:val="nil"/>
              <w:right w:val="nil"/>
            </w:tcBorders>
            <w:hideMark/>
          </w:tcPr>
          <w:p w14:paraId="3CE298BA"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UNE-EN 1424/A 1</w:t>
            </w:r>
          </w:p>
        </w:tc>
        <w:tc>
          <w:tcPr>
            <w:tcW w:w="3912" w:type="pct"/>
            <w:gridSpan w:val="2"/>
            <w:tcBorders>
              <w:top w:val="nil"/>
              <w:left w:val="nil"/>
              <w:bottom w:val="nil"/>
              <w:right w:val="single" w:sz="6" w:space="0" w:color="000000"/>
            </w:tcBorders>
            <w:hideMark/>
          </w:tcPr>
          <w:p w14:paraId="5C09E27F"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Materiales para señalización vial horizontal. Microesferas de vidrio de premezclado.</w:t>
            </w:r>
          </w:p>
        </w:tc>
      </w:tr>
      <w:tr w:rsidR="002B430C" w:rsidRPr="00174ED1" w14:paraId="572C50FE" w14:textId="77777777" w:rsidTr="00174ED1">
        <w:tc>
          <w:tcPr>
            <w:tcW w:w="1088" w:type="pct"/>
            <w:gridSpan w:val="2"/>
            <w:tcBorders>
              <w:top w:val="nil"/>
              <w:left w:val="single" w:sz="6" w:space="0" w:color="000000"/>
              <w:bottom w:val="nil"/>
              <w:right w:val="nil"/>
            </w:tcBorders>
            <w:hideMark/>
          </w:tcPr>
          <w:p w14:paraId="62784D12"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UNE-EN 1436:2009+A1</w:t>
            </w:r>
            <w:r w:rsidR="00245F29" w:rsidRPr="00174ED1">
              <w:rPr>
                <w:rFonts w:ascii="Arial" w:hAnsi="Arial" w:cs="Arial"/>
                <w:b/>
                <w:bCs/>
                <w:sz w:val="20"/>
              </w:rPr>
              <w:t>:2009</w:t>
            </w:r>
          </w:p>
        </w:tc>
        <w:tc>
          <w:tcPr>
            <w:tcW w:w="3912" w:type="pct"/>
            <w:gridSpan w:val="2"/>
            <w:tcBorders>
              <w:top w:val="nil"/>
              <w:left w:val="nil"/>
              <w:bottom w:val="nil"/>
              <w:right w:val="single" w:sz="6" w:space="0" w:color="000000"/>
            </w:tcBorders>
            <w:hideMark/>
          </w:tcPr>
          <w:p w14:paraId="3C31A24E"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Materiales para señalización vial horizontal Comportamiento de las marcas viales aplicadas sobre la calzada.</w:t>
            </w:r>
          </w:p>
        </w:tc>
      </w:tr>
      <w:tr w:rsidR="002B430C" w:rsidRPr="00174ED1" w14:paraId="19152493" w14:textId="77777777" w:rsidTr="00174ED1">
        <w:tc>
          <w:tcPr>
            <w:tcW w:w="1088" w:type="pct"/>
            <w:gridSpan w:val="2"/>
            <w:tcBorders>
              <w:top w:val="nil"/>
              <w:left w:val="single" w:sz="6" w:space="0" w:color="000000"/>
              <w:bottom w:val="nil"/>
              <w:right w:val="nil"/>
            </w:tcBorders>
            <w:hideMark/>
          </w:tcPr>
          <w:p w14:paraId="5A2C0520"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lastRenderedPageBreak/>
              <w:t>UNE-EN 1790</w:t>
            </w:r>
            <w:r w:rsidR="00245F29" w:rsidRPr="00174ED1">
              <w:rPr>
                <w:rFonts w:ascii="Arial" w:hAnsi="Arial" w:cs="Arial"/>
                <w:b/>
                <w:bCs/>
                <w:sz w:val="20"/>
              </w:rPr>
              <w:t>:2015</w:t>
            </w:r>
          </w:p>
        </w:tc>
        <w:tc>
          <w:tcPr>
            <w:tcW w:w="3912" w:type="pct"/>
            <w:gridSpan w:val="2"/>
            <w:tcBorders>
              <w:top w:val="nil"/>
              <w:left w:val="nil"/>
              <w:bottom w:val="nil"/>
              <w:right w:val="single" w:sz="6" w:space="0" w:color="000000"/>
            </w:tcBorders>
            <w:hideMark/>
          </w:tcPr>
          <w:p w14:paraId="65CD8932"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Materiales para señalización vial horizontal. Marcas viales prefabricadas.</w:t>
            </w:r>
          </w:p>
        </w:tc>
      </w:tr>
      <w:tr w:rsidR="002B430C" w:rsidRPr="00174ED1" w14:paraId="132E391A" w14:textId="77777777" w:rsidTr="00174ED1">
        <w:tc>
          <w:tcPr>
            <w:tcW w:w="1088" w:type="pct"/>
            <w:gridSpan w:val="2"/>
            <w:tcBorders>
              <w:top w:val="nil"/>
              <w:left w:val="single" w:sz="6" w:space="0" w:color="000000"/>
              <w:bottom w:val="nil"/>
              <w:right w:val="nil"/>
            </w:tcBorders>
            <w:hideMark/>
          </w:tcPr>
          <w:p w14:paraId="5B28D3F9"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UNE-EN 1824</w:t>
            </w:r>
          </w:p>
        </w:tc>
        <w:tc>
          <w:tcPr>
            <w:tcW w:w="3912" w:type="pct"/>
            <w:gridSpan w:val="2"/>
            <w:tcBorders>
              <w:top w:val="nil"/>
              <w:left w:val="nil"/>
              <w:bottom w:val="nil"/>
              <w:right w:val="single" w:sz="6" w:space="0" w:color="000000"/>
            </w:tcBorders>
            <w:hideMark/>
          </w:tcPr>
          <w:p w14:paraId="4858D69E"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Materiales para señalización vial horizontal. Pruebas de campo.</w:t>
            </w:r>
          </w:p>
        </w:tc>
      </w:tr>
      <w:tr w:rsidR="002B430C" w:rsidRPr="00174ED1" w14:paraId="33287D05" w14:textId="77777777" w:rsidTr="00174ED1">
        <w:tc>
          <w:tcPr>
            <w:tcW w:w="1088" w:type="pct"/>
            <w:gridSpan w:val="2"/>
            <w:tcBorders>
              <w:top w:val="nil"/>
              <w:left w:val="single" w:sz="6" w:space="0" w:color="000000"/>
              <w:bottom w:val="nil"/>
              <w:right w:val="nil"/>
            </w:tcBorders>
            <w:hideMark/>
          </w:tcPr>
          <w:p w14:paraId="6F515BC8"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UNE-EN 1871</w:t>
            </w:r>
            <w:r w:rsidR="00245F29" w:rsidRPr="00174ED1">
              <w:rPr>
                <w:rFonts w:ascii="Arial" w:hAnsi="Arial" w:cs="Arial"/>
                <w:b/>
                <w:bCs/>
                <w:sz w:val="20"/>
              </w:rPr>
              <w:t>:2000</w:t>
            </w:r>
          </w:p>
        </w:tc>
        <w:tc>
          <w:tcPr>
            <w:tcW w:w="3912" w:type="pct"/>
            <w:gridSpan w:val="2"/>
            <w:tcBorders>
              <w:top w:val="nil"/>
              <w:left w:val="nil"/>
              <w:bottom w:val="nil"/>
              <w:right w:val="single" w:sz="6" w:space="0" w:color="000000"/>
            </w:tcBorders>
            <w:hideMark/>
          </w:tcPr>
          <w:p w14:paraId="1F3AF07C"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Materiales para señalización vial horizontal. Propiedades físicas.</w:t>
            </w:r>
          </w:p>
        </w:tc>
      </w:tr>
      <w:tr w:rsidR="002B430C" w:rsidRPr="00174ED1" w14:paraId="58751262" w14:textId="77777777" w:rsidTr="00174ED1">
        <w:tc>
          <w:tcPr>
            <w:tcW w:w="1088" w:type="pct"/>
            <w:gridSpan w:val="2"/>
            <w:tcBorders>
              <w:top w:val="nil"/>
              <w:left w:val="single" w:sz="6" w:space="0" w:color="000000"/>
              <w:bottom w:val="nil"/>
              <w:right w:val="nil"/>
            </w:tcBorders>
            <w:hideMark/>
          </w:tcPr>
          <w:p w14:paraId="3350F698"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UNE-EN 12802</w:t>
            </w:r>
            <w:r w:rsidR="00245F29" w:rsidRPr="00174ED1">
              <w:rPr>
                <w:rFonts w:ascii="Arial" w:hAnsi="Arial" w:cs="Arial"/>
                <w:b/>
                <w:bCs/>
                <w:sz w:val="20"/>
              </w:rPr>
              <w:t>:2012</w:t>
            </w:r>
          </w:p>
        </w:tc>
        <w:tc>
          <w:tcPr>
            <w:tcW w:w="3912" w:type="pct"/>
            <w:gridSpan w:val="2"/>
            <w:tcBorders>
              <w:top w:val="nil"/>
              <w:left w:val="nil"/>
              <w:bottom w:val="nil"/>
              <w:right w:val="single" w:sz="6" w:space="0" w:color="000000"/>
            </w:tcBorders>
            <w:hideMark/>
          </w:tcPr>
          <w:p w14:paraId="4410ED86"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Materiales para señalización vial horizontal. Métodos de laboratorio para la identificación.</w:t>
            </w:r>
          </w:p>
        </w:tc>
      </w:tr>
      <w:tr w:rsidR="002B430C" w:rsidRPr="00174ED1" w14:paraId="4B2EB699" w14:textId="77777777" w:rsidTr="00174ED1">
        <w:tc>
          <w:tcPr>
            <w:tcW w:w="1088" w:type="pct"/>
            <w:gridSpan w:val="2"/>
            <w:tcBorders>
              <w:top w:val="nil"/>
              <w:left w:val="single" w:sz="6" w:space="0" w:color="000000"/>
              <w:bottom w:val="nil"/>
              <w:right w:val="nil"/>
            </w:tcBorders>
            <w:hideMark/>
          </w:tcPr>
          <w:p w14:paraId="1E4F183D"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UNE-EN 13197</w:t>
            </w:r>
            <w:r w:rsidR="00245F29" w:rsidRPr="00174ED1">
              <w:rPr>
                <w:rFonts w:ascii="Arial" w:hAnsi="Arial" w:cs="Arial"/>
                <w:b/>
                <w:bCs/>
                <w:sz w:val="20"/>
              </w:rPr>
              <w:t>:2012 +A1:2014</w:t>
            </w:r>
          </w:p>
        </w:tc>
        <w:tc>
          <w:tcPr>
            <w:tcW w:w="3912" w:type="pct"/>
            <w:gridSpan w:val="2"/>
            <w:tcBorders>
              <w:top w:val="nil"/>
              <w:left w:val="nil"/>
              <w:bottom w:val="nil"/>
              <w:right w:val="single" w:sz="6" w:space="0" w:color="000000"/>
            </w:tcBorders>
            <w:hideMark/>
          </w:tcPr>
          <w:p w14:paraId="5B619F72"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Materiales para señalización vial horizontal. Simuladores de desgaste.</w:t>
            </w:r>
          </w:p>
        </w:tc>
      </w:tr>
      <w:tr w:rsidR="002B430C" w:rsidRPr="00174ED1" w14:paraId="0036AAA2" w14:textId="77777777" w:rsidTr="00174ED1">
        <w:tc>
          <w:tcPr>
            <w:tcW w:w="1088" w:type="pct"/>
            <w:gridSpan w:val="2"/>
            <w:tcBorders>
              <w:top w:val="nil"/>
              <w:left w:val="single" w:sz="6" w:space="0" w:color="000000"/>
              <w:bottom w:val="nil"/>
              <w:right w:val="nil"/>
            </w:tcBorders>
            <w:hideMark/>
          </w:tcPr>
          <w:p w14:paraId="5A1FF1C8"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UNE-EN 13212</w:t>
            </w:r>
          </w:p>
        </w:tc>
        <w:tc>
          <w:tcPr>
            <w:tcW w:w="3912" w:type="pct"/>
            <w:gridSpan w:val="2"/>
            <w:tcBorders>
              <w:top w:val="nil"/>
              <w:left w:val="nil"/>
              <w:bottom w:val="nil"/>
              <w:right w:val="single" w:sz="6" w:space="0" w:color="000000"/>
            </w:tcBorders>
            <w:hideMark/>
          </w:tcPr>
          <w:p w14:paraId="168B7C92"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Materiales para señalización vial horizontal. Requisitos para el control de producción en fábrica.</w:t>
            </w:r>
          </w:p>
        </w:tc>
      </w:tr>
      <w:tr w:rsidR="002B430C" w:rsidRPr="00174ED1" w14:paraId="3EAFD7F0" w14:textId="77777777" w:rsidTr="00174ED1">
        <w:tc>
          <w:tcPr>
            <w:tcW w:w="1088" w:type="pct"/>
            <w:gridSpan w:val="2"/>
            <w:tcBorders>
              <w:top w:val="nil"/>
              <w:left w:val="single" w:sz="6" w:space="0" w:color="000000"/>
              <w:bottom w:val="nil"/>
              <w:right w:val="nil"/>
            </w:tcBorders>
            <w:hideMark/>
          </w:tcPr>
          <w:p w14:paraId="4C3CC82A"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UNE-ENV 13459-1</w:t>
            </w:r>
          </w:p>
        </w:tc>
        <w:tc>
          <w:tcPr>
            <w:tcW w:w="3912" w:type="pct"/>
            <w:gridSpan w:val="2"/>
            <w:tcBorders>
              <w:top w:val="nil"/>
              <w:left w:val="nil"/>
              <w:bottom w:val="nil"/>
              <w:right w:val="single" w:sz="6" w:space="0" w:color="000000"/>
            </w:tcBorders>
            <w:hideMark/>
          </w:tcPr>
          <w:p w14:paraId="52D7DFC1"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 xml:space="preserve">Materiales para señalización vial horizontal. Control de calidad. </w:t>
            </w:r>
            <w:r w:rsidRPr="00174ED1">
              <w:rPr>
                <w:rFonts w:ascii="Arial" w:hAnsi="Arial" w:cs="Arial"/>
                <w:sz w:val="20"/>
              </w:rPr>
              <w:br/>
              <w:t>Parte 1: Toma de muestras de los acopios y ensayos.</w:t>
            </w:r>
          </w:p>
        </w:tc>
      </w:tr>
      <w:tr w:rsidR="002B430C" w:rsidRPr="00174ED1" w14:paraId="095570FF" w14:textId="77777777" w:rsidTr="00174ED1">
        <w:tc>
          <w:tcPr>
            <w:tcW w:w="1088" w:type="pct"/>
            <w:gridSpan w:val="2"/>
            <w:tcBorders>
              <w:top w:val="nil"/>
              <w:left w:val="single" w:sz="6" w:space="0" w:color="000000"/>
              <w:bottom w:val="single" w:sz="12" w:space="0" w:color="000000"/>
              <w:right w:val="nil"/>
            </w:tcBorders>
            <w:hideMark/>
          </w:tcPr>
          <w:p w14:paraId="7AFBF072" w14:textId="77777777" w:rsidR="002B430C" w:rsidRPr="00174ED1" w:rsidRDefault="002B430C">
            <w:pPr>
              <w:pStyle w:val="LCATabla"/>
              <w:spacing w:line="360" w:lineRule="auto"/>
              <w:rPr>
                <w:rFonts w:ascii="Arial" w:hAnsi="Arial" w:cs="Arial"/>
                <w:b/>
                <w:bCs/>
                <w:sz w:val="20"/>
              </w:rPr>
            </w:pPr>
            <w:r w:rsidRPr="00174ED1">
              <w:rPr>
                <w:rFonts w:ascii="Arial" w:hAnsi="Arial" w:cs="Arial"/>
                <w:b/>
                <w:bCs/>
                <w:sz w:val="20"/>
              </w:rPr>
              <w:t>UNE-ENV 13459-3</w:t>
            </w:r>
          </w:p>
        </w:tc>
        <w:tc>
          <w:tcPr>
            <w:tcW w:w="3912" w:type="pct"/>
            <w:gridSpan w:val="2"/>
            <w:tcBorders>
              <w:top w:val="nil"/>
              <w:left w:val="nil"/>
              <w:bottom w:val="single" w:sz="12" w:space="0" w:color="000000"/>
              <w:right w:val="single" w:sz="6" w:space="0" w:color="000000"/>
            </w:tcBorders>
            <w:hideMark/>
          </w:tcPr>
          <w:p w14:paraId="2E443296" w14:textId="77777777" w:rsidR="002B430C" w:rsidRPr="00174ED1" w:rsidRDefault="002B430C">
            <w:pPr>
              <w:pStyle w:val="LCATabla"/>
              <w:spacing w:line="360" w:lineRule="auto"/>
              <w:rPr>
                <w:rFonts w:ascii="Arial" w:hAnsi="Arial" w:cs="Arial"/>
                <w:sz w:val="20"/>
              </w:rPr>
            </w:pPr>
            <w:r w:rsidRPr="00174ED1">
              <w:rPr>
                <w:rFonts w:ascii="Arial" w:hAnsi="Arial" w:cs="Arial"/>
                <w:sz w:val="20"/>
              </w:rPr>
              <w:t xml:space="preserve">Materiales para señalización vial horizontal. Control de calidad. </w:t>
            </w:r>
            <w:r w:rsidRPr="00174ED1">
              <w:rPr>
                <w:rFonts w:ascii="Arial" w:hAnsi="Arial" w:cs="Arial"/>
                <w:sz w:val="20"/>
              </w:rPr>
              <w:br/>
              <w:t>Parte 3. Comportamiento en servicio.</w:t>
            </w:r>
          </w:p>
        </w:tc>
      </w:tr>
      <w:tr w:rsidR="002B430C" w14:paraId="05AEDE14" w14:textId="77777777" w:rsidTr="00174ED1">
        <w:tblPrEx>
          <w:tblCellSpacing w:w="15" w:type="dxa"/>
          <w:tblBorders>
            <w:top w:val="single" w:sz="4" w:space="0" w:color="auto"/>
            <w:left w:val="single" w:sz="4" w:space="0" w:color="auto"/>
            <w:bottom w:val="single" w:sz="4" w:space="0" w:color="auto"/>
            <w:right w:val="single" w:sz="4" w:space="0" w:color="auto"/>
          </w:tblBorders>
          <w:tblCellMar>
            <w:top w:w="60" w:type="dxa"/>
            <w:left w:w="60" w:type="dxa"/>
            <w:bottom w:w="60" w:type="dxa"/>
            <w:right w:w="60" w:type="dxa"/>
          </w:tblCellMar>
        </w:tblPrEx>
        <w:trPr>
          <w:gridBefore w:val="1"/>
          <w:gridAfter w:val="1"/>
          <w:wBefore w:w="9" w:type="pct"/>
          <w:wAfter w:w="136" w:type="pct"/>
          <w:tblCellSpacing w:w="15" w:type="dxa"/>
        </w:trPr>
        <w:tc>
          <w:tcPr>
            <w:tcW w:w="4855" w:type="pct"/>
            <w:gridSpan w:val="2"/>
            <w:tcBorders>
              <w:top w:val="nil"/>
              <w:left w:val="nil"/>
              <w:bottom w:val="nil"/>
              <w:right w:val="nil"/>
            </w:tcBorders>
            <w:vAlign w:val="center"/>
            <w:hideMark/>
          </w:tcPr>
          <w:p w14:paraId="2DDCAB92" w14:textId="77777777" w:rsidR="002B430C" w:rsidRPr="00FD6931" w:rsidRDefault="002B430C">
            <w:pPr>
              <w:pStyle w:val="LCATabla"/>
              <w:spacing w:line="360" w:lineRule="auto"/>
              <w:rPr>
                <w:rFonts w:ascii="Arial" w:hAnsi="Arial" w:cs="Arial"/>
                <w:sz w:val="24"/>
                <w:szCs w:val="24"/>
              </w:rPr>
            </w:pPr>
            <w:r w:rsidRPr="00FD6931">
              <w:rPr>
                <w:rFonts w:ascii="Arial" w:hAnsi="Arial" w:cs="Arial"/>
                <w:sz w:val="24"/>
                <w:szCs w:val="24"/>
              </w:rPr>
              <w:t xml:space="preserve">Norma 8.2 IC. Marcas Viales, de la Instrucción de Carreteras. (Ministerio de Obras Públicas, Transportes y Medioambiente, 1987). Orden de 16 de julio de 1987. (BOE </w:t>
            </w:r>
            <w:proofErr w:type="spellStart"/>
            <w:r w:rsidRPr="00FD6931">
              <w:rPr>
                <w:rFonts w:ascii="Arial" w:hAnsi="Arial" w:cs="Arial"/>
                <w:sz w:val="24"/>
                <w:szCs w:val="24"/>
              </w:rPr>
              <w:t>num</w:t>
            </w:r>
            <w:proofErr w:type="spellEnd"/>
            <w:r w:rsidRPr="00FD6931">
              <w:rPr>
                <w:rFonts w:ascii="Arial" w:hAnsi="Arial" w:cs="Arial"/>
                <w:sz w:val="24"/>
                <w:szCs w:val="24"/>
              </w:rPr>
              <w:t xml:space="preserve">. 185 de 4/8/1987 y Corrección de errores BOE </w:t>
            </w:r>
            <w:proofErr w:type="spellStart"/>
            <w:r w:rsidRPr="00FD6931">
              <w:rPr>
                <w:rFonts w:ascii="Arial" w:hAnsi="Arial" w:cs="Arial"/>
                <w:sz w:val="24"/>
                <w:szCs w:val="24"/>
              </w:rPr>
              <w:t>num</w:t>
            </w:r>
            <w:proofErr w:type="spellEnd"/>
            <w:r w:rsidRPr="00FD6931">
              <w:rPr>
                <w:rFonts w:ascii="Arial" w:hAnsi="Arial" w:cs="Arial"/>
                <w:sz w:val="24"/>
                <w:szCs w:val="24"/>
              </w:rPr>
              <w:t>. 233 de 29/9/1987)</w:t>
            </w:r>
          </w:p>
        </w:tc>
      </w:tr>
      <w:tr w:rsidR="002B430C" w14:paraId="763EE568" w14:textId="77777777" w:rsidTr="00174ED1">
        <w:tblPrEx>
          <w:tblCellSpacing w:w="15" w:type="dxa"/>
          <w:tblBorders>
            <w:top w:val="single" w:sz="4" w:space="0" w:color="auto"/>
            <w:left w:val="single" w:sz="4" w:space="0" w:color="auto"/>
            <w:bottom w:val="single" w:sz="4" w:space="0" w:color="auto"/>
            <w:right w:val="single" w:sz="4" w:space="0" w:color="auto"/>
          </w:tblBorders>
          <w:tblCellMar>
            <w:top w:w="60" w:type="dxa"/>
            <w:left w:w="60" w:type="dxa"/>
            <w:bottom w:w="60" w:type="dxa"/>
            <w:right w:w="60" w:type="dxa"/>
          </w:tblCellMar>
        </w:tblPrEx>
        <w:trPr>
          <w:gridBefore w:val="1"/>
          <w:gridAfter w:val="1"/>
          <w:wBefore w:w="9" w:type="pct"/>
          <w:wAfter w:w="136" w:type="pct"/>
          <w:tblCellSpacing w:w="15" w:type="dxa"/>
        </w:trPr>
        <w:tc>
          <w:tcPr>
            <w:tcW w:w="4855" w:type="pct"/>
            <w:gridSpan w:val="2"/>
            <w:tcBorders>
              <w:top w:val="nil"/>
              <w:left w:val="nil"/>
              <w:bottom w:val="nil"/>
              <w:right w:val="nil"/>
            </w:tcBorders>
            <w:vAlign w:val="center"/>
            <w:hideMark/>
          </w:tcPr>
          <w:p w14:paraId="208A572C" w14:textId="77777777" w:rsidR="002B430C" w:rsidRPr="00231926" w:rsidRDefault="002B430C">
            <w:pPr>
              <w:pStyle w:val="LCATabla"/>
              <w:spacing w:line="360" w:lineRule="auto"/>
              <w:rPr>
                <w:strike/>
                <w:szCs w:val="24"/>
              </w:rPr>
            </w:pPr>
          </w:p>
        </w:tc>
      </w:tr>
    </w:tbl>
    <w:p w14:paraId="65F3D059" w14:textId="77777777" w:rsidR="002B430C" w:rsidRDefault="002B430C" w:rsidP="002B430C">
      <w:pPr>
        <w:autoSpaceDE w:val="0"/>
        <w:autoSpaceDN w:val="0"/>
        <w:adjustRightInd w:val="0"/>
        <w:rPr>
          <w:rFonts w:ascii="Arial" w:hAnsi="Arial" w:cs="Arial"/>
          <w:sz w:val="22"/>
          <w:szCs w:val="22"/>
        </w:rPr>
      </w:pPr>
    </w:p>
    <w:p w14:paraId="558CD30D" w14:textId="77777777" w:rsidR="002B430C" w:rsidRPr="00593D99" w:rsidRDefault="002B430C" w:rsidP="00593D99">
      <w:pPr>
        <w:pStyle w:val="NORMAL12"/>
        <w:rPr>
          <w:i/>
          <w:u w:val="single"/>
        </w:rPr>
      </w:pPr>
      <w:r w:rsidRPr="00593D99">
        <w:rPr>
          <w:i/>
          <w:u w:val="single"/>
        </w:rPr>
        <w:t>Criterios de selección</w:t>
      </w:r>
    </w:p>
    <w:p w14:paraId="16898912" w14:textId="77777777" w:rsidR="002B430C" w:rsidRDefault="002B430C" w:rsidP="00593D99">
      <w:pPr>
        <w:pStyle w:val="NORMAL12"/>
      </w:pPr>
      <w:r>
        <w:t>La selección del material para la aplicación se llevará a cabo determinando la durabilidad en función del factor de desgaste y la naturaleza del material de base en función de su comportamiento como soporte, según se establece en el apartado 700.3.4 del PG-3</w:t>
      </w:r>
    </w:p>
    <w:p w14:paraId="355C27DE" w14:textId="77777777" w:rsidR="007B35D6" w:rsidRDefault="007B35D6" w:rsidP="00593D99">
      <w:pPr>
        <w:pStyle w:val="NORMAL12"/>
      </w:pPr>
      <w:r>
        <w:t xml:space="preserve">La selección de la clase de </w:t>
      </w:r>
      <w:r w:rsidR="00217216">
        <w:t>durabilidad</w:t>
      </w:r>
      <w:r>
        <w:t xml:space="preserve"> se realizará en función del factor de desgaste. Este se calcula como suma de los valores asignados en la </w:t>
      </w:r>
      <w:r w:rsidR="00217216">
        <w:t>tabla</w:t>
      </w:r>
      <w:r>
        <w:t xml:space="preserve"> 700.7 para cada una de las cuatro (4) características de la carretera tal y como se expresa en la tabla siguiente:</w:t>
      </w:r>
    </w:p>
    <w:p w14:paraId="2B724F8F" w14:textId="77777777" w:rsidR="007B35D6" w:rsidRDefault="007B35D6" w:rsidP="00593D99">
      <w:pPr>
        <w:pStyle w:val="NORMAL12"/>
      </w:pPr>
    </w:p>
    <w:p w14:paraId="5B62E79B" w14:textId="77777777" w:rsidR="007B35D6" w:rsidRDefault="007B35D6" w:rsidP="00593D99">
      <w:pPr>
        <w:pStyle w:val="NORMAL12"/>
      </w:pPr>
      <w:r>
        <w:rPr>
          <w:noProof/>
          <w:lang w:val="es-ES" w:eastAsia="es-ES"/>
        </w:rPr>
        <w:drawing>
          <wp:inline distT="0" distB="0" distL="0" distR="0" wp14:anchorId="2EB12254" wp14:editId="5C7EC0FD">
            <wp:extent cx="6120130" cy="4515972"/>
            <wp:effectExtent l="19050" t="0" r="0" b="0"/>
            <wp:docPr id="32"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cstate="print"/>
                    <a:srcRect/>
                    <a:stretch>
                      <a:fillRect/>
                    </a:stretch>
                  </pic:blipFill>
                  <pic:spPr bwMode="auto">
                    <a:xfrm>
                      <a:off x="0" y="0"/>
                      <a:ext cx="6120130" cy="4515972"/>
                    </a:xfrm>
                    <a:prstGeom prst="rect">
                      <a:avLst/>
                    </a:prstGeom>
                    <a:noFill/>
                    <a:ln w="9525">
                      <a:noFill/>
                      <a:miter lim="800000"/>
                      <a:headEnd/>
                      <a:tailEnd/>
                    </a:ln>
                  </pic:spPr>
                </pic:pic>
              </a:graphicData>
            </a:graphic>
          </wp:inline>
        </w:drawing>
      </w:r>
    </w:p>
    <w:p w14:paraId="7C5C0A29" w14:textId="77777777" w:rsidR="007B35D6" w:rsidRDefault="007B35D6" w:rsidP="00593D99">
      <w:pPr>
        <w:pStyle w:val="NORMAL12"/>
      </w:pPr>
      <w:r>
        <w:t>Para aplicaciones directas sobre mezclas drenantes o discontinuas la rugosidad debe entenderse siempre RG4 b)</w:t>
      </w:r>
    </w:p>
    <w:p w14:paraId="71FEB377" w14:textId="77777777" w:rsidR="007B35D6" w:rsidRDefault="007B35D6" w:rsidP="00593D99">
      <w:pPr>
        <w:pStyle w:val="NORMAL12"/>
      </w:pPr>
      <w:r>
        <w:t xml:space="preserve">La determinación de la clase de durabilidad mínima en función del factor de desgaste se </w:t>
      </w:r>
      <w:r w:rsidR="00217216">
        <w:t>expresa</w:t>
      </w:r>
      <w:r>
        <w:t xml:space="preserve"> en la tabla siguiente:</w:t>
      </w:r>
    </w:p>
    <w:p w14:paraId="5337BDB6" w14:textId="77777777" w:rsidR="007B35D6" w:rsidRDefault="007B35D6" w:rsidP="00593D99">
      <w:pPr>
        <w:pStyle w:val="NORMAL12"/>
      </w:pPr>
      <w:r>
        <w:rPr>
          <w:noProof/>
          <w:lang w:val="es-ES" w:eastAsia="es-ES"/>
        </w:rPr>
        <w:drawing>
          <wp:inline distT="0" distB="0" distL="0" distR="0" wp14:anchorId="05BE86E6" wp14:editId="7949E8FD">
            <wp:extent cx="6120130" cy="2347341"/>
            <wp:effectExtent l="19050" t="0" r="0" b="0"/>
            <wp:docPr id="33"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cstate="print"/>
                    <a:srcRect/>
                    <a:stretch>
                      <a:fillRect/>
                    </a:stretch>
                  </pic:blipFill>
                  <pic:spPr bwMode="auto">
                    <a:xfrm>
                      <a:off x="0" y="0"/>
                      <a:ext cx="6120130" cy="2347341"/>
                    </a:xfrm>
                    <a:prstGeom prst="rect">
                      <a:avLst/>
                    </a:prstGeom>
                    <a:noFill/>
                    <a:ln w="9525">
                      <a:noFill/>
                      <a:miter lim="800000"/>
                      <a:headEnd/>
                      <a:tailEnd/>
                    </a:ln>
                  </pic:spPr>
                </pic:pic>
              </a:graphicData>
            </a:graphic>
          </wp:inline>
        </w:drawing>
      </w:r>
    </w:p>
    <w:p w14:paraId="1C75D519" w14:textId="77777777" w:rsidR="007B35D6" w:rsidRDefault="007B35D6" w:rsidP="00593D99">
      <w:pPr>
        <w:pStyle w:val="NORMAL12"/>
      </w:pPr>
    </w:p>
    <w:p w14:paraId="6F7CDBB9" w14:textId="77777777" w:rsidR="007B35D6" w:rsidRDefault="007B35D6" w:rsidP="00593D99">
      <w:pPr>
        <w:pStyle w:val="NORMAL12"/>
      </w:pPr>
      <w:r>
        <w:lastRenderedPageBreak/>
        <w:t xml:space="preserve">Los valores que deben cumplir cada </w:t>
      </w:r>
      <w:proofErr w:type="gramStart"/>
      <w:r>
        <w:t>uno</w:t>
      </w:r>
      <w:proofErr w:type="gramEnd"/>
      <w:r>
        <w:t xml:space="preserve"> de las marcas viales en función de su posición en la actuación se reflejan en la tabla siguiente:</w:t>
      </w:r>
    </w:p>
    <w:tbl>
      <w:tblPr>
        <w:tblW w:w="5000" w:type="pct"/>
        <w:tblCellMar>
          <w:left w:w="70" w:type="dxa"/>
          <w:right w:w="70" w:type="dxa"/>
        </w:tblCellMar>
        <w:tblLook w:val="04A0" w:firstRow="1" w:lastRow="0" w:firstColumn="1" w:lastColumn="0" w:noHBand="0" w:noVBand="1"/>
      </w:tblPr>
      <w:tblGrid>
        <w:gridCol w:w="1934"/>
        <w:gridCol w:w="2370"/>
        <w:gridCol w:w="823"/>
        <w:gridCol w:w="823"/>
        <w:gridCol w:w="824"/>
        <w:gridCol w:w="824"/>
        <w:gridCol w:w="826"/>
        <w:gridCol w:w="1354"/>
      </w:tblGrid>
      <w:tr w:rsidR="007B35D6" w14:paraId="3051A166" w14:textId="77777777" w:rsidTr="007B35D6">
        <w:trPr>
          <w:trHeight w:val="315"/>
        </w:trPr>
        <w:tc>
          <w:tcPr>
            <w:tcW w:w="1015"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24063887" w14:textId="77777777" w:rsidR="007B35D6" w:rsidRDefault="007B35D6">
            <w:pPr>
              <w:jc w:val="center"/>
              <w:rPr>
                <w:b/>
                <w:bCs/>
              </w:rPr>
            </w:pPr>
            <w:r>
              <w:rPr>
                <w:rFonts w:cs="Arial"/>
                <w:b/>
                <w:bCs/>
                <w:lang w:val="es-ES_tradnl"/>
              </w:rPr>
              <w:t>Tipo de eje</w:t>
            </w:r>
          </w:p>
        </w:tc>
        <w:tc>
          <w:tcPr>
            <w:tcW w:w="1238"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1DB35150" w14:textId="77777777" w:rsidR="007B35D6" w:rsidRDefault="007B35D6">
            <w:pPr>
              <w:jc w:val="center"/>
              <w:rPr>
                <w:b/>
                <w:bCs/>
              </w:rPr>
            </w:pPr>
            <w:r>
              <w:rPr>
                <w:rFonts w:cs="Arial"/>
                <w:b/>
                <w:bCs/>
                <w:lang w:val="es-ES_tradnl"/>
              </w:rPr>
              <w:t>Tipo de marca vial</w:t>
            </w:r>
          </w:p>
        </w:tc>
        <w:tc>
          <w:tcPr>
            <w:tcW w:w="2236" w:type="pct"/>
            <w:gridSpan w:val="5"/>
            <w:tcBorders>
              <w:top w:val="single" w:sz="4" w:space="0" w:color="auto"/>
              <w:left w:val="nil"/>
              <w:bottom w:val="single" w:sz="4" w:space="0" w:color="auto"/>
              <w:right w:val="single" w:sz="4" w:space="0" w:color="auto"/>
            </w:tcBorders>
            <w:shd w:val="clear" w:color="000000" w:fill="D8D8D8"/>
            <w:vAlign w:val="center"/>
            <w:hideMark/>
          </w:tcPr>
          <w:p w14:paraId="03431B5F" w14:textId="77777777" w:rsidR="007B35D6" w:rsidRDefault="007B35D6">
            <w:pPr>
              <w:jc w:val="center"/>
              <w:rPr>
                <w:b/>
                <w:bCs/>
              </w:rPr>
            </w:pPr>
            <w:r>
              <w:rPr>
                <w:rFonts w:cs="Arial"/>
                <w:b/>
                <w:bCs/>
                <w:lang w:val="es-ES_tradnl"/>
              </w:rPr>
              <w:t>Factor de desgaste</w:t>
            </w:r>
          </w:p>
        </w:tc>
        <w:tc>
          <w:tcPr>
            <w:tcW w:w="511" w:type="pct"/>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14:paraId="407DAC8E" w14:textId="77777777" w:rsidR="007B35D6" w:rsidRDefault="007B35D6">
            <w:pPr>
              <w:jc w:val="center"/>
              <w:rPr>
                <w:b/>
                <w:bCs/>
              </w:rPr>
            </w:pPr>
            <w:r>
              <w:rPr>
                <w:rFonts w:cs="Arial"/>
                <w:b/>
                <w:bCs/>
                <w:lang w:val="es-ES_tradnl"/>
              </w:rPr>
              <w:t>Clase de durabilidad</w:t>
            </w:r>
          </w:p>
        </w:tc>
      </w:tr>
      <w:tr w:rsidR="007B35D6" w14:paraId="79C8D407" w14:textId="77777777" w:rsidTr="007B35D6">
        <w:trPr>
          <w:trHeight w:val="1140"/>
        </w:trPr>
        <w:tc>
          <w:tcPr>
            <w:tcW w:w="1015" w:type="pct"/>
            <w:vMerge/>
            <w:tcBorders>
              <w:top w:val="single" w:sz="4" w:space="0" w:color="auto"/>
              <w:left w:val="single" w:sz="4" w:space="0" w:color="auto"/>
              <w:bottom w:val="single" w:sz="4" w:space="0" w:color="auto"/>
              <w:right w:val="single" w:sz="4" w:space="0" w:color="auto"/>
            </w:tcBorders>
            <w:vAlign w:val="center"/>
            <w:hideMark/>
          </w:tcPr>
          <w:p w14:paraId="46A9A06B" w14:textId="77777777" w:rsidR="007B35D6" w:rsidRDefault="007B35D6">
            <w:pPr>
              <w:rPr>
                <w:b/>
                <w:bCs/>
              </w:rPr>
            </w:pPr>
          </w:p>
        </w:tc>
        <w:tc>
          <w:tcPr>
            <w:tcW w:w="1238" w:type="pct"/>
            <w:vMerge/>
            <w:tcBorders>
              <w:top w:val="single" w:sz="4" w:space="0" w:color="auto"/>
              <w:left w:val="single" w:sz="4" w:space="0" w:color="auto"/>
              <w:bottom w:val="single" w:sz="4" w:space="0" w:color="auto"/>
              <w:right w:val="single" w:sz="4" w:space="0" w:color="auto"/>
            </w:tcBorders>
            <w:vAlign w:val="center"/>
            <w:hideMark/>
          </w:tcPr>
          <w:p w14:paraId="747C04F5" w14:textId="77777777" w:rsidR="007B35D6" w:rsidRDefault="007B35D6">
            <w:pPr>
              <w:rPr>
                <w:b/>
                <w:bCs/>
              </w:rPr>
            </w:pPr>
          </w:p>
        </w:tc>
        <w:tc>
          <w:tcPr>
            <w:tcW w:w="447" w:type="pct"/>
            <w:tcBorders>
              <w:top w:val="nil"/>
              <w:left w:val="nil"/>
              <w:bottom w:val="single" w:sz="4" w:space="0" w:color="auto"/>
              <w:right w:val="single" w:sz="4" w:space="0" w:color="auto"/>
            </w:tcBorders>
            <w:shd w:val="clear" w:color="000000" w:fill="D8D8D8"/>
            <w:textDirection w:val="btLr"/>
            <w:vAlign w:val="center"/>
            <w:hideMark/>
          </w:tcPr>
          <w:p w14:paraId="54D70DE9" w14:textId="77777777" w:rsidR="007B35D6" w:rsidRDefault="007B35D6">
            <w:pPr>
              <w:jc w:val="center"/>
              <w:rPr>
                <w:b/>
                <w:bCs/>
              </w:rPr>
            </w:pPr>
            <w:r>
              <w:rPr>
                <w:rFonts w:cs="Arial"/>
                <w:b/>
                <w:bCs/>
                <w:lang w:val="es-ES_tradnl"/>
              </w:rPr>
              <w:t>Situación</w:t>
            </w:r>
          </w:p>
        </w:tc>
        <w:tc>
          <w:tcPr>
            <w:tcW w:w="447" w:type="pct"/>
            <w:tcBorders>
              <w:top w:val="nil"/>
              <w:left w:val="nil"/>
              <w:bottom w:val="single" w:sz="4" w:space="0" w:color="auto"/>
              <w:right w:val="single" w:sz="4" w:space="0" w:color="auto"/>
            </w:tcBorders>
            <w:shd w:val="clear" w:color="000000" w:fill="D8D8D8"/>
            <w:textDirection w:val="btLr"/>
            <w:vAlign w:val="center"/>
            <w:hideMark/>
          </w:tcPr>
          <w:p w14:paraId="593D747E" w14:textId="77777777" w:rsidR="007B35D6" w:rsidRDefault="007B35D6">
            <w:pPr>
              <w:jc w:val="center"/>
              <w:rPr>
                <w:b/>
                <w:bCs/>
              </w:rPr>
            </w:pPr>
            <w:r>
              <w:rPr>
                <w:rFonts w:cs="Arial"/>
                <w:b/>
                <w:bCs/>
                <w:lang w:val="es-ES_tradnl"/>
              </w:rPr>
              <w:t>Textura del pavimento</w:t>
            </w:r>
          </w:p>
        </w:tc>
        <w:tc>
          <w:tcPr>
            <w:tcW w:w="447" w:type="pct"/>
            <w:tcBorders>
              <w:top w:val="nil"/>
              <w:left w:val="nil"/>
              <w:bottom w:val="single" w:sz="4" w:space="0" w:color="auto"/>
              <w:right w:val="single" w:sz="4" w:space="0" w:color="auto"/>
            </w:tcBorders>
            <w:shd w:val="clear" w:color="000000" w:fill="D8D8D8"/>
            <w:textDirection w:val="btLr"/>
            <w:vAlign w:val="center"/>
            <w:hideMark/>
          </w:tcPr>
          <w:p w14:paraId="25AADF3D" w14:textId="77777777" w:rsidR="007B35D6" w:rsidRDefault="007B35D6">
            <w:pPr>
              <w:jc w:val="center"/>
              <w:rPr>
                <w:b/>
                <w:bCs/>
              </w:rPr>
            </w:pPr>
            <w:r>
              <w:rPr>
                <w:rFonts w:cs="Arial"/>
                <w:b/>
                <w:bCs/>
                <w:lang w:val="es-ES_tradnl"/>
              </w:rPr>
              <w:t>Tipo de vía</w:t>
            </w:r>
          </w:p>
        </w:tc>
        <w:tc>
          <w:tcPr>
            <w:tcW w:w="447" w:type="pct"/>
            <w:tcBorders>
              <w:top w:val="nil"/>
              <w:left w:val="nil"/>
              <w:bottom w:val="single" w:sz="4" w:space="0" w:color="auto"/>
              <w:right w:val="single" w:sz="4" w:space="0" w:color="auto"/>
            </w:tcBorders>
            <w:shd w:val="clear" w:color="000000" w:fill="D8D8D8"/>
            <w:textDirection w:val="btLr"/>
            <w:vAlign w:val="center"/>
            <w:hideMark/>
          </w:tcPr>
          <w:p w14:paraId="2742FC5B" w14:textId="77777777" w:rsidR="007B35D6" w:rsidRDefault="007B35D6">
            <w:pPr>
              <w:jc w:val="center"/>
              <w:rPr>
                <w:b/>
                <w:bCs/>
              </w:rPr>
            </w:pPr>
            <w:r>
              <w:rPr>
                <w:rFonts w:cs="Arial"/>
                <w:b/>
                <w:bCs/>
                <w:lang w:val="es-ES_tradnl"/>
              </w:rPr>
              <w:t>IMD</w:t>
            </w:r>
          </w:p>
        </w:tc>
        <w:tc>
          <w:tcPr>
            <w:tcW w:w="447" w:type="pct"/>
            <w:tcBorders>
              <w:top w:val="nil"/>
              <w:left w:val="nil"/>
              <w:bottom w:val="single" w:sz="4" w:space="0" w:color="auto"/>
              <w:right w:val="single" w:sz="4" w:space="0" w:color="auto"/>
            </w:tcBorders>
            <w:shd w:val="clear" w:color="000000" w:fill="D8D8D8"/>
            <w:textDirection w:val="btLr"/>
            <w:vAlign w:val="center"/>
            <w:hideMark/>
          </w:tcPr>
          <w:p w14:paraId="4FD7F6B0" w14:textId="77777777" w:rsidR="007B35D6" w:rsidRDefault="007B35D6">
            <w:pPr>
              <w:jc w:val="center"/>
              <w:rPr>
                <w:b/>
                <w:bCs/>
              </w:rPr>
            </w:pPr>
            <w:r>
              <w:rPr>
                <w:rFonts w:cs="Arial"/>
                <w:b/>
                <w:bCs/>
                <w:lang w:val="es-ES_tradnl"/>
              </w:rPr>
              <w:t>Total</w:t>
            </w:r>
          </w:p>
        </w:tc>
        <w:tc>
          <w:tcPr>
            <w:tcW w:w="511" w:type="pct"/>
            <w:vMerge/>
            <w:tcBorders>
              <w:top w:val="single" w:sz="4" w:space="0" w:color="auto"/>
              <w:left w:val="single" w:sz="4" w:space="0" w:color="auto"/>
              <w:bottom w:val="single" w:sz="4" w:space="0" w:color="auto"/>
              <w:right w:val="single" w:sz="4" w:space="0" w:color="auto"/>
            </w:tcBorders>
            <w:vAlign w:val="center"/>
            <w:hideMark/>
          </w:tcPr>
          <w:p w14:paraId="2B1FB0A8" w14:textId="77777777" w:rsidR="007B35D6" w:rsidRDefault="007B35D6">
            <w:pPr>
              <w:rPr>
                <w:b/>
                <w:bCs/>
              </w:rPr>
            </w:pPr>
          </w:p>
        </w:tc>
      </w:tr>
      <w:tr w:rsidR="007B35D6" w14:paraId="3F48F681" w14:textId="77777777" w:rsidTr="007B35D6">
        <w:trPr>
          <w:trHeight w:val="315"/>
        </w:trPr>
        <w:tc>
          <w:tcPr>
            <w:tcW w:w="1015" w:type="pct"/>
            <w:vMerge w:val="restart"/>
            <w:tcBorders>
              <w:top w:val="nil"/>
              <w:left w:val="single" w:sz="4" w:space="0" w:color="auto"/>
              <w:bottom w:val="single" w:sz="4" w:space="0" w:color="auto"/>
              <w:right w:val="single" w:sz="4" w:space="0" w:color="auto"/>
            </w:tcBorders>
            <w:vAlign w:val="center"/>
            <w:hideMark/>
          </w:tcPr>
          <w:p w14:paraId="287AF6D2" w14:textId="77777777" w:rsidR="007B35D6" w:rsidRDefault="007B35D6">
            <w:pPr>
              <w:jc w:val="center"/>
            </w:pPr>
            <w:r>
              <w:rPr>
                <w:rFonts w:cs="Arial"/>
                <w:lang w:val="es-ES_tradnl"/>
              </w:rPr>
              <w:t>Tronco</w:t>
            </w:r>
          </w:p>
        </w:tc>
        <w:tc>
          <w:tcPr>
            <w:tcW w:w="1238" w:type="pct"/>
            <w:tcBorders>
              <w:top w:val="nil"/>
              <w:left w:val="nil"/>
              <w:bottom w:val="single" w:sz="4" w:space="0" w:color="auto"/>
              <w:right w:val="single" w:sz="4" w:space="0" w:color="auto"/>
            </w:tcBorders>
            <w:vAlign w:val="center"/>
            <w:hideMark/>
          </w:tcPr>
          <w:p w14:paraId="105BADE2" w14:textId="77777777" w:rsidR="007B35D6" w:rsidRDefault="007B35D6">
            <w:pPr>
              <w:jc w:val="center"/>
            </w:pPr>
            <w:r>
              <w:rPr>
                <w:rFonts w:cs="Arial"/>
                <w:lang w:val="es-ES_tradnl"/>
              </w:rPr>
              <w:t>Lat. Izda.</w:t>
            </w:r>
          </w:p>
        </w:tc>
        <w:tc>
          <w:tcPr>
            <w:tcW w:w="447" w:type="pct"/>
            <w:tcBorders>
              <w:top w:val="nil"/>
              <w:left w:val="nil"/>
              <w:bottom w:val="single" w:sz="4" w:space="0" w:color="auto"/>
              <w:right w:val="single" w:sz="4" w:space="0" w:color="auto"/>
            </w:tcBorders>
            <w:vAlign w:val="center"/>
            <w:hideMark/>
          </w:tcPr>
          <w:p w14:paraId="282A778B" w14:textId="77777777" w:rsidR="007B35D6" w:rsidRDefault="007B35D6">
            <w:pPr>
              <w:jc w:val="center"/>
            </w:pPr>
            <w:r>
              <w:rPr>
                <w:rFonts w:cs="Arial"/>
                <w:lang w:val="es-ES_tradnl"/>
              </w:rPr>
              <w:t>2</w:t>
            </w:r>
          </w:p>
        </w:tc>
        <w:tc>
          <w:tcPr>
            <w:tcW w:w="447" w:type="pct"/>
            <w:tcBorders>
              <w:top w:val="nil"/>
              <w:left w:val="nil"/>
              <w:bottom w:val="single" w:sz="4" w:space="0" w:color="auto"/>
              <w:right w:val="single" w:sz="4" w:space="0" w:color="auto"/>
            </w:tcBorders>
            <w:vAlign w:val="center"/>
            <w:hideMark/>
          </w:tcPr>
          <w:p w14:paraId="0038CB11"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1DD30E2A" w14:textId="77777777" w:rsidR="007B35D6" w:rsidRDefault="007B35D6">
            <w:pPr>
              <w:jc w:val="center"/>
            </w:pPr>
            <w:r>
              <w:rPr>
                <w:rFonts w:cs="Arial"/>
                <w:lang w:val="es-ES_tradnl"/>
              </w:rPr>
              <w:t>1</w:t>
            </w:r>
          </w:p>
        </w:tc>
        <w:tc>
          <w:tcPr>
            <w:tcW w:w="447" w:type="pct"/>
            <w:tcBorders>
              <w:top w:val="nil"/>
              <w:left w:val="nil"/>
              <w:bottom w:val="single" w:sz="4" w:space="0" w:color="auto"/>
              <w:right w:val="single" w:sz="4" w:space="0" w:color="auto"/>
            </w:tcBorders>
            <w:vAlign w:val="center"/>
            <w:hideMark/>
          </w:tcPr>
          <w:p w14:paraId="44D32392" w14:textId="77777777" w:rsidR="007B35D6" w:rsidRDefault="007B35D6">
            <w:pPr>
              <w:jc w:val="center"/>
            </w:pPr>
            <w:r>
              <w:rPr>
                <w:rFonts w:cs="Arial"/>
                <w:lang w:val="es-ES_tradnl"/>
              </w:rPr>
              <w:t>4</w:t>
            </w:r>
          </w:p>
        </w:tc>
        <w:tc>
          <w:tcPr>
            <w:tcW w:w="447" w:type="pct"/>
            <w:tcBorders>
              <w:top w:val="nil"/>
              <w:left w:val="nil"/>
              <w:bottom w:val="single" w:sz="4" w:space="0" w:color="auto"/>
              <w:right w:val="single" w:sz="4" w:space="0" w:color="auto"/>
            </w:tcBorders>
            <w:vAlign w:val="center"/>
            <w:hideMark/>
          </w:tcPr>
          <w:p w14:paraId="730876BF" w14:textId="77777777" w:rsidR="007B35D6" w:rsidRDefault="007B35D6">
            <w:pPr>
              <w:jc w:val="center"/>
            </w:pPr>
            <w:r>
              <w:rPr>
                <w:rFonts w:cs="Arial"/>
                <w:lang w:val="es-ES_tradnl"/>
              </w:rPr>
              <w:t>15</w:t>
            </w:r>
          </w:p>
        </w:tc>
        <w:tc>
          <w:tcPr>
            <w:tcW w:w="511" w:type="pct"/>
            <w:tcBorders>
              <w:top w:val="nil"/>
              <w:left w:val="nil"/>
              <w:bottom w:val="single" w:sz="4" w:space="0" w:color="auto"/>
              <w:right w:val="single" w:sz="4" w:space="0" w:color="auto"/>
            </w:tcBorders>
            <w:vAlign w:val="center"/>
            <w:hideMark/>
          </w:tcPr>
          <w:p w14:paraId="26C06E01" w14:textId="77777777" w:rsidR="007B35D6" w:rsidRDefault="007B35D6">
            <w:pPr>
              <w:jc w:val="center"/>
            </w:pPr>
            <w:r>
              <w:rPr>
                <w:rFonts w:cs="Arial"/>
                <w:lang w:val="es-ES_tradnl"/>
              </w:rPr>
              <w:t>P6</w:t>
            </w:r>
          </w:p>
        </w:tc>
      </w:tr>
      <w:tr w:rsidR="007B35D6" w14:paraId="5FE74C46" w14:textId="77777777" w:rsidTr="007B35D6">
        <w:trPr>
          <w:trHeight w:val="315"/>
        </w:trPr>
        <w:tc>
          <w:tcPr>
            <w:tcW w:w="1015" w:type="pct"/>
            <w:vMerge/>
            <w:tcBorders>
              <w:top w:val="nil"/>
              <w:left w:val="single" w:sz="4" w:space="0" w:color="auto"/>
              <w:bottom w:val="single" w:sz="4" w:space="0" w:color="auto"/>
              <w:right w:val="single" w:sz="4" w:space="0" w:color="auto"/>
            </w:tcBorders>
            <w:vAlign w:val="center"/>
            <w:hideMark/>
          </w:tcPr>
          <w:p w14:paraId="6D257A0B" w14:textId="77777777" w:rsidR="007B35D6" w:rsidRDefault="007B35D6"/>
        </w:tc>
        <w:tc>
          <w:tcPr>
            <w:tcW w:w="1238" w:type="pct"/>
            <w:tcBorders>
              <w:top w:val="nil"/>
              <w:left w:val="nil"/>
              <w:bottom w:val="single" w:sz="4" w:space="0" w:color="auto"/>
              <w:right w:val="single" w:sz="4" w:space="0" w:color="auto"/>
            </w:tcBorders>
            <w:vAlign w:val="center"/>
            <w:hideMark/>
          </w:tcPr>
          <w:p w14:paraId="51C7E744" w14:textId="77777777" w:rsidR="007B35D6" w:rsidRDefault="007B35D6">
            <w:pPr>
              <w:jc w:val="center"/>
            </w:pPr>
            <w:r>
              <w:rPr>
                <w:rFonts w:cs="Arial"/>
                <w:lang w:val="es-ES_tradnl"/>
              </w:rPr>
              <w:t>Lat. Dcha.</w:t>
            </w:r>
          </w:p>
        </w:tc>
        <w:tc>
          <w:tcPr>
            <w:tcW w:w="447" w:type="pct"/>
            <w:tcBorders>
              <w:top w:val="nil"/>
              <w:left w:val="nil"/>
              <w:bottom w:val="single" w:sz="4" w:space="0" w:color="auto"/>
              <w:right w:val="single" w:sz="4" w:space="0" w:color="auto"/>
            </w:tcBorders>
            <w:vAlign w:val="center"/>
            <w:hideMark/>
          </w:tcPr>
          <w:p w14:paraId="7CFFEB80"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00FA7880"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23ED88AA" w14:textId="77777777" w:rsidR="007B35D6" w:rsidRDefault="007B35D6">
            <w:pPr>
              <w:jc w:val="center"/>
            </w:pPr>
            <w:r>
              <w:rPr>
                <w:rFonts w:cs="Arial"/>
                <w:lang w:val="es-ES_tradnl"/>
              </w:rPr>
              <w:t>1</w:t>
            </w:r>
          </w:p>
        </w:tc>
        <w:tc>
          <w:tcPr>
            <w:tcW w:w="447" w:type="pct"/>
            <w:tcBorders>
              <w:top w:val="nil"/>
              <w:left w:val="nil"/>
              <w:bottom w:val="single" w:sz="4" w:space="0" w:color="auto"/>
              <w:right w:val="single" w:sz="4" w:space="0" w:color="auto"/>
            </w:tcBorders>
            <w:vAlign w:val="center"/>
            <w:hideMark/>
          </w:tcPr>
          <w:p w14:paraId="6AA0A425" w14:textId="77777777" w:rsidR="007B35D6" w:rsidRDefault="007B35D6">
            <w:pPr>
              <w:jc w:val="center"/>
            </w:pPr>
            <w:r>
              <w:rPr>
                <w:rFonts w:cs="Arial"/>
                <w:lang w:val="es-ES_tradnl"/>
              </w:rPr>
              <w:t>4</w:t>
            </w:r>
          </w:p>
        </w:tc>
        <w:tc>
          <w:tcPr>
            <w:tcW w:w="447" w:type="pct"/>
            <w:tcBorders>
              <w:top w:val="nil"/>
              <w:left w:val="nil"/>
              <w:bottom w:val="single" w:sz="4" w:space="0" w:color="auto"/>
              <w:right w:val="single" w:sz="4" w:space="0" w:color="auto"/>
            </w:tcBorders>
            <w:vAlign w:val="center"/>
            <w:hideMark/>
          </w:tcPr>
          <w:p w14:paraId="2FC6023C" w14:textId="77777777" w:rsidR="007B35D6" w:rsidRDefault="007B35D6">
            <w:pPr>
              <w:jc w:val="center"/>
            </w:pPr>
            <w:r>
              <w:rPr>
                <w:rFonts w:cs="Arial"/>
                <w:lang w:val="es-ES_tradnl"/>
              </w:rPr>
              <w:t>16</w:t>
            </w:r>
          </w:p>
        </w:tc>
        <w:tc>
          <w:tcPr>
            <w:tcW w:w="511" w:type="pct"/>
            <w:tcBorders>
              <w:top w:val="nil"/>
              <w:left w:val="nil"/>
              <w:bottom w:val="single" w:sz="4" w:space="0" w:color="auto"/>
              <w:right w:val="single" w:sz="4" w:space="0" w:color="auto"/>
            </w:tcBorders>
            <w:vAlign w:val="center"/>
            <w:hideMark/>
          </w:tcPr>
          <w:p w14:paraId="5A509169" w14:textId="77777777" w:rsidR="007B35D6" w:rsidRDefault="007B35D6">
            <w:pPr>
              <w:jc w:val="center"/>
            </w:pPr>
            <w:r>
              <w:rPr>
                <w:rFonts w:cs="Arial"/>
                <w:lang w:val="es-ES_tradnl"/>
              </w:rPr>
              <w:t>P6</w:t>
            </w:r>
          </w:p>
        </w:tc>
      </w:tr>
      <w:tr w:rsidR="007B35D6" w14:paraId="245CCBD6" w14:textId="77777777" w:rsidTr="007B35D6">
        <w:trPr>
          <w:trHeight w:val="315"/>
        </w:trPr>
        <w:tc>
          <w:tcPr>
            <w:tcW w:w="1015" w:type="pct"/>
            <w:vMerge/>
            <w:tcBorders>
              <w:top w:val="nil"/>
              <w:left w:val="single" w:sz="4" w:space="0" w:color="auto"/>
              <w:bottom w:val="single" w:sz="4" w:space="0" w:color="auto"/>
              <w:right w:val="single" w:sz="4" w:space="0" w:color="auto"/>
            </w:tcBorders>
            <w:vAlign w:val="center"/>
            <w:hideMark/>
          </w:tcPr>
          <w:p w14:paraId="4765FF2F" w14:textId="77777777" w:rsidR="007B35D6" w:rsidRDefault="007B35D6"/>
        </w:tc>
        <w:tc>
          <w:tcPr>
            <w:tcW w:w="1238" w:type="pct"/>
            <w:tcBorders>
              <w:top w:val="nil"/>
              <w:left w:val="nil"/>
              <w:bottom w:val="single" w:sz="4" w:space="0" w:color="auto"/>
              <w:right w:val="single" w:sz="4" w:space="0" w:color="auto"/>
            </w:tcBorders>
            <w:vAlign w:val="center"/>
            <w:hideMark/>
          </w:tcPr>
          <w:p w14:paraId="2EFB7B2D" w14:textId="77777777" w:rsidR="007B35D6" w:rsidRDefault="007B35D6">
            <w:pPr>
              <w:jc w:val="center"/>
            </w:pPr>
            <w:r>
              <w:rPr>
                <w:rFonts w:cs="Arial"/>
                <w:lang w:val="es-ES_tradnl"/>
              </w:rPr>
              <w:t>Sep. Carril</w:t>
            </w:r>
          </w:p>
        </w:tc>
        <w:tc>
          <w:tcPr>
            <w:tcW w:w="447" w:type="pct"/>
            <w:tcBorders>
              <w:top w:val="nil"/>
              <w:left w:val="nil"/>
              <w:bottom w:val="single" w:sz="4" w:space="0" w:color="auto"/>
              <w:right w:val="single" w:sz="4" w:space="0" w:color="auto"/>
            </w:tcBorders>
            <w:vAlign w:val="center"/>
            <w:hideMark/>
          </w:tcPr>
          <w:p w14:paraId="00B143AB" w14:textId="77777777" w:rsidR="007B35D6" w:rsidRDefault="007B35D6">
            <w:pPr>
              <w:jc w:val="center"/>
            </w:pPr>
            <w:r>
              <w:rPr>
                <w:rFonts w:cs="Arial"/>
                <w:lang w:val="es-ES_tradnl"/>
              </w:rPr>
              <w:t>4</w:t>
            </w:r>
          </w:p>
        </w:tc>
        <w:tc>
          <w:tcPr>
            <w:tcW w:w="447" w:type="pct"/>
            <w:tcBorders>
              <w:top w:val="nil"/>
              <w:left w:val="nil"/>
              <w:bottom w:val="single" w:sz="4" w:space="0" w:color="auto"/>
              <w:right w:val="single" w:sz="4" w:space="0" w:color="auto"/>
            </w:tcBorders>
            <w:vAlign w:val="center"/>
            <w:hideMark/>
          </w:tcPr>
          <w:p w14:paraId="2B7DB430"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107670B4" w14:textId="77777777" w:rsidR="007B35D6" w:rsidRDefault="007B35D6">
            <w:pPr>
              <w:jc w:val="center"/>
            </w:pPr>
            <w:r>
              <w:rPr>
                <w:rFonts w:cs="Arial"/>
                <w:lang w:val="es-ES_tradnl"/>
              </w:rPr>
              <w:t>1</w:t>
            </w:r>
          </w:p>
        </w:tc>
        <w:tc>
          <w:tcPr>
            <w:tcW w:w="447" w:type="pct"/>
            <w:tcBorders>
              <w:top w:val="nil"/>
              <w:left w:val="nil"/>
              <w:bottom w:val="single" w:sz="4" w:space="0" w:color="auto"/>
              <w:right w:val="single" w:sz="4" w:space="0" w:color="auto"/>
            </w:tcBorders>
            <w:vAlign w:val="center"/>
            <w:hideMark/>
          </w:tcPr>
          <w:p w14:paraId="2ACE7183" w14:textId="77777777" w:rsidR="007B35D6" w:rsidRDefault="007B35D6">
            <w:pPr>
              <w:jc w:val="center"/>
            </w:pPr>
            <w:r>
              <w:rPr>
                <w:rFonts w:cs="Arial"/>
                <w:lang w:val="es-ES_tradnl"/>
              </w:rPr>
              <w:t>4</w:t>
            </w:r>
          </w:p>
        </w:tc>
        <w:tc>
          <w:tcPr>
            <w:tcW w:w="447" w:type="pct"/>
            <w:tcBorders>
              <w:top w:val="nil"/>
              <w:left w:val="nil"/>
              <w:bottom w:val="single" w:sz="4" w:space="0" w:color="auto"/>
              <w:right w:val="single" w:sz="4" w:space="0" w:color="auto"/>
            </w:tcBorders>
            <w:vAlign w:val="center"/>
            <w:hideMark/>
          </w:tcPr>
          <w:p w14:paraId="4CE56EB1" w14:textId="77777777" w:rsidR="007B35D6" w:rsidRDefault="007B35D6">
            <w:pPr>
              <w:jc w:val="center"/>
            </w:pPr>
            <w:r>
              <w:rPr>
                <w:rFonts w:cs="Arial"/>
                <w:lang w:val="es-ES_tradnl"/>
              </w:rPr>
              <w:t>17</w:t>
            </w:r>
          </w:p>
        </w:tc>
        <w:tc>
          <w:tcPr>
            <w:tcW w:w="511" w:type="pct"/>
            <w:tcBorders>
              <w:top w:val="nil"/>
              <w:left w:val="nil"/>
              <w:bottom w:val="single" w:sz="4" w:space="0" w:color="auto"/>
              <w:right w:val="single" w:sz="4" w:space="0" w:color="auto"/>
            </w:tcBorders>
            <w:vAlign w:val="center"/>
            <w:hideMark/>
          </w:tcPr>
          <w:p w14:paraId="18D4520F" w14:textId="77777777" w:rsidR="007B35D6" w:rsidRDefault="007B35D6">
            <w:pPr>
              <w:jc w:val="center"/>
            </w:pPr>
            <w:r>
              <w:rPr>
                <w:rFonts w:cs="Arial"/>
                <w:lang w:val="es-ES_tradnl"/>
              </w:rPr>
              <w:t>P6</w:t>
            </w:r>
          </w:p>
        </w:tc>
      </w:tr>
      <w:tr w:rsidR="007B35D6" w14:paraId="745E3F01" w14:textId="77777777" w:rsidTr="007B35D6">
        <w:trPr>
          <w:trHeight w:val="315"/>
        </w:trPr>
        <w:tc>
          <w:tcPr>
            <w:tcW w:w="1015" w:type="pct"/>
            <w:vMerge/>
            <w:tcBorders>
              <w:top w:val="nil"/>
              <w:left w:val="single" w:sz="4" w:space="0" w:color="auto"/>
              <w:bottom w:val="single" w:sz="4" w:space="0" w:color="auto"/>
              <w:right w:val="single" w:sz="4" w:space="0" w:color="auto"/>
            </w:tcBorders>
            <w:vAlign w:val="center"/>
            <w:hideMark/>
          </w:tcPr>
          <w:p w14:paraId="1704A809" w14:textId="77777777" w:rsidR="007B35D6" w:rsidRDefault="007B35D6"/>
        </w:tc>
        <w:tc>
          <w:tcPr>
            <w:tcW w:w="1238" w:type="pct"/>
            <w:tcBorders>
              <w:top w:val="nil"/>
              <w:left w:val="nil"/>
              <w:bottom w:val="single" w:sz="4" w:space="0" w:color="auto"/>
              <w:right w:val="single" w:sz="4" w:space="0" w:color="auto"/>
            </w:tcBorders>
            <w:vAlign w:val="center"/>
            <w:hideMark/>
          </w:tcPr>
          <w:p w14:paraId="28AF2C33" w14:textId="77777777" w:rsidR="007B35D6" w:rsidRDefault="007B35D6">
            <w:pPr>
              <w:jc w:val="center"/>
            </w:pPr>
            <w:r>
              <w:rPr>
                <w:rFonts w:cs="Arial"/>
                <w:lang w:val="es-ES_tradnl"/>
              </w:rPr>
              <w:t>Símbolos</w:t>
            </w:r>
          </w:p>
        </w:tc>
        <w:tc>
          <w:tcPr>
            <w:tcW w:w="447" w:type="pct"/>
            <w:tcBorders>
              <w:top w:val="nil"/>
              <w:left w:val="nil"/>
              <w:bottom w:val="single" w:sz="4" w:space="0" w:color="auto"/>
              <w:right w:val="single" w:sz="4" w:space="0" w:color="auto"/>
            </w:tcBorders>
            <w:vAlign w:val="center"/>
            <w:hideMark/>
          </w:tcPr>
          <w:p w14:paraId="633F6C94"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1335519F"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7F88EACB" w14:textId="77777777" w:rsidR="007B35D6" w:rsidRDefault="007B35D6">
            <w:pPr>
              <w:jc w:val="center"/>
            </w:pPr>
            <w:r>
              <w:rPr>
                <w:rFonts w:cs="Arial"/>
                <w:lang w:val="es-ES_tradnl"/>
              </w:rPr>
              <w:t>1</w:t>
            </w:r>
          </w:p>
        </w:tc>
        <w:tc>
          <w:tcPr>
            <w:tcW w:w="447" w:type="pct"/>
            <w:tcBorders>
              <w:top w:val="nil"/>
              <w:left w:val="nil"/>
              <w:bottom w:val="single" w:sz="4" w:space="0" w:color="auto"/>
              <w:right w:val="single" w:sz="4" w:space="0" w:color="auto"/>
            </w:tcBorders>
            <w:vAlign w:val="center"/>
            <w:hideMark/>
          </w:tcPr>
          <w:p w14:paraId="42A46A21" w14:textId="77777777" w:rsidR="007B35D6" w:rsidRDefault="007B35D6">
            <w:pPr>
              <w:jc w:val="center"/>
            </w:pPr>
            <w:r>
              <w:rPr>
                <w:rFonts w:cs="Arial"/>
                <w:lang w:val="es-ES_tradnl"/>
              </w:rPr>
              <w:t>4</w:t>
            </w:r>
          </w:p>
        </w:tc>
        <w:tc>
          <w:tcPr>
            <w:tcW w:w="447" w:type="pct"/>
            <w:tcBorders>
              <w:top w:val="nil"/>
              <w:left w:val="nil"/>
              <w:bottom w:val="single" w:sz="4" w:space="0" w:color="auto"/>
              <w:right w:val="single" w:sz="4" w:space="0" w:color="auto"/>
            </w:tcBorders>
            <w:vAlign w:val="center"/>
            <w:hideMark/>
          </w:tcPr>
          <w:p w14:paraId="38883B8C" w14:textId="77777777" w:rsidR="007B35D6" w:rsidRDefault="007B35D6">
            <w:pPr>
              <w:jc w:val="center"/>
            </w:pPr>
            <w:r>
              <w:rPr>
                <w:rFonts w:cs="Arial"/>
                <w:lang w:val="es-ES_tradnl"/>
              </w:rPr>
              <w:t>21</w:t>
            </w:r>
          </w:p>
        </w:tc>
        <w:tc>
          <w:tcPr>
            <w:tcW w:w="511" w:type="pct"/>
            <w:tcBorders>
              <w:top w:val="nil"/>
              <w:left w:val="nil"/>
              <w:bottom w:val="single" w:sz="4" w:space="0" w:color="auto"/>
              <w:right w:val="single" w:sz="4" w:space="0" w:color="auto"/>
            </w:tcBorders>
            <w:vAlign w:val="center"/>
            <w:hideMark/>
          </w:tcPr>
          <w:p w14:paraId="5D612F3E" w14:textId="77777777" w:rsidR="007B35D6" w:rsidRDefault="007B35D6">
            <w:pPr>
              <w:jc w:val="center"/>
            </w:pPr>
            <w:r>
              <w:rPr>
                <w:rFonts w:cs="Arial"/>
                <w:lang w:val="es-ES_tradnl"/>
              </w:rPr>
              <w:t>P7</w:t>
            </w:r>
          </w:p>
        </w:tc>
      </w:tr>
      <w:tr w:rsidR="007B35D6" w14:paraId="5656CD65" w14:textId="77777777" w:rsidTr="007B35D6">
        <w:trPr>
          <w:trHeight w:val="315"/>
        </w:trPr>
        <w:tc>
          <w:tcPr>
            <w:tcW w:w="1015" w:type="pct"/>
            <w:vMerge w:val="restart"/>
            <w:tcBorders>
              <w:top w:val="nil"/>
              <w:left w:val="single" w:sz="4" w:space="0" w:color="auto"/>
              <w:bottom w:val="single" w:sz="4" w:space="0" w:color="auto"/>
              <w:right w:val="single" w:sz="4" w:space="0" w:color="auto"/>
            </w:tcBorders>
            <w:vAlign w:val="center"/>
            <w:hideMark/>
          </w:tcPr>
          <w:p w14:paraId="5EA3EF44" w14:textId="77777777" w:rsidR="007B35D6" w:rsidRDefault="007B35D6">
            <w:pPr>
              <w:jc w:val="center"/>
            </w:pPr>
            <w:r>
              <w:rPr>
                <w:rFonts w:cs="Arial"/>
                <w:lang w:val="es-ES_tradnl"/>
              </w:rPr>
              <w:t>Ramales del enlace</w:t>
            </w:r>
          </w:p>
        </w:tc>
        <w:tc>
          <w:tcPr>
            <w:tcW w:w="1238" w:type="pct"/>
            <w:tcBorders>
              <w:top w:val="nil"/>
              <w:left w:val="nil"/>
              <w:bottom w:val="single" w:sz="4" w:space="0" w:color="auto"/>
              <w:right w:val="single" w:sz="4" w:space="0" w:color="auto"/>
            </w:tcBorders>
            <w:vAlign w:val="center"/>
            <w:hideMark/>
          </w:tcPr>
          <w:p w14:paraId="521EDEBD" w14:textId="77777777" w:rsidR="007B35D6" w:rsidRDefault="007B35D6">
            <w:pPr>
              <w:jc w:val="center"/>
            </w:pPr>
            <w:r>
              <w:rPr>
                <w:rFonts w:cs="Arial"/>
                <w:lang w:val="es-ES_tradnl"/>
              </w:rPr>
              <w:t>Lat. Izda.</w:t>
            </w:r>
          </w:p>
        </w:tc>
        <w:tc>
          <w:tcPr>
            <w:tcW w:w="447" w:type="pct"/>
            <w:tcBorders>
              <w:top w:val="nil"/>
              <w:left w:val="nil"/>
              <w:bottom w:val="single" w:sz="4" w:space="0" w:color="auto"/>
              <w:right w:val="single" w:sz="4" w:space="0" w:color="auto"/>
            </w:tcBorders>
            <w:vAlign w:val="center"/>
            <w:hideMark/>
          </w:tcPr>
          <w:p w14:paraId="0553ED1A"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7FBBBC42"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60322A8F" w14:textId="77777777" w:rsidR="007B35D6" w:rsidRDefault="007B35D6">
            <w:pPr>
              <w:jc w:val="center"/>
            </w:pPr>
            <w:r>
              <w:rPr>
                <w:rFonts w:cs="Arial"/>
                <w:lang w:val="es-ES_tradnl"/>
              </w:rPr>
              <w:t>4</w:t>
            </w:r>
          </w:p>
        </w:tc>
        <w:tc>
          <w:tcPr>
            <w:tcW w:w="447" w:type="pct"/>
            <w:tcBorders>
              <w:top w:val="nil"/>
              <w:left w:val="nil"/>
              <w:bottom w:val="single" w:sz="4" w:space="0" w:color="auto"/>
              <w:right w:val="single" w:sz="4" w:space="0" w:color="auto"/>
            </w:tcBorders>
            <w:vAlign w:val="center"/>
            <w:hideMark/>
          </w:tcPr>
          <w:p w14:paraId="7F979014"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747F5130" w14:textId="77777777" w:rsidR="007B35D6" w:rsidRDefault="007B35D6">
            <w:pPr>
              <w:jc w:val="center"/>
            </w:pPr>
            <w:r>
              <w:rPr>
                <w:rFonts w:cs="Arial"/>
                <w:lang w:val="es-ES_tradnl"/>
              </w:rPr>
              <w:t>18</w:t>
            </w:r>
          </w:p>
        </w:tc>
        <w:tc>
          <w:tcPr>
            <w:tcW w:w="511" w:type="pct"/>
            <w:tcBorders>
              <w:top w:val="nil"/>
              <w:left w:val="nil"/>
              <w:bottom w:val="single" w:sz="4" w:space="0" w:color="auto"/>
              <w:right w:val="single" w:sz="4" w:space="0" w:color="auto"/>
            </w:tcBorders>
            <w:vAlign w:val="center"/>
            <w:hideMark/>
          </w:tcPr>
          <w:p w14:paraId="535A9D71" w14:textId="77777777" w:rsidR="007B35D6" w:rsidRDefault="007B35D6">
            <w:pPr>
              <w:jc w:val="center"/>
            </w:pPr>
            <w:r>
              <w:rPr>
                <w:rFonts w:cs="Arial"/>
                <w:lang w:val="es-ES_tradnl"/>
              </w:rPr>
              <w:t>P6</w:t>
            </w:r>
          </w:p>
        </w:tc>
      </w:tr>
      <w:tr w:rsidR="007B35D6" w14:paraId="2F6A447B" w14:textId="77777777" w:rsidTr="007B35D6">
        <w:trPr>
          <w:trHeight w:val="315"/>
        </w:trPr>
        <w:tc>
          <w:tcPr>
            <w:tcW w:w="1015" w:type="pct"/>
            <w:vMerge/>
            <w:tcBorders>
              <w:top w:val="nil"/>
              <w:left w:val="single" w:sz="4" w:space="0" w:color="auto"/>
              <w:bottom w:val="single" w:sz="4" w:space="0" w:color="auto"/>
              <w:right w:val="single" w:sz="4" w:space="0" w:color="auto"/>
            </w:tcBorders>
            <w:vAlign w:val="center"/>
            <w:hideMark/>
          </w:tcPr>
          <w:p w14:paraId="5B127142" w14:textId="77777777" w:rsidR="007B35D6" w:rsidRDefault="007B35D6"/>
        </w:tc>
        <w:tc>
          <w:tcPr>
            <w:tcW w:w="1238" w:type="pct"/>
            <w:tcBorders>
              <w:top w:val="nil"/>
              <w:left w:val="nil"/>
              <w:bottom w:val="single" w:sz="4" w:space="0" w:color="auto"/>
              <w:right w:val="single" w:sz="4" w:space="0" w:color="auto"/>
            </w:tcBorders>
            <w:vAlign w:val="center"/>
            <w:hideMark/>
          </w:tcPr>
          <w:p w14:paraId="6D8FDB72" w14:textId="77777777" w:rsidR="007B35D6" w:rsidRDefault="007B35D6">
            <w:pPr>
              <w:jc w:val="center"/>
            </w:pPr>
            <w:r>
              <w:rPr>
                <w:rFonts w:cs="Arial"/>
                <w:lang w:val="es-ES_tradnl"/>
              </w:rPr>
              <w:t>Lat. Dcha.</w:t>
            </w:r>
          </w:p>
        </w:tc>
        <w:tc>
          <w:tcPr>
            <w:tcW w:w="447" w:type="pct"/>
            <w:tcBorders>
              <w:top w:val="nil"/>
              <w:left w:val="nil"/>
              <w:bottom w:val="single" w:sz="4" w:space="0" w:color="auto"/>
              <w:right w:val="single" w:sz="4" w:space="0" w:color="auto"/>
            </w:tcBorders>
            <w:vAlign w:val="center"/>
            <w:hideMark/>
          </w:tcPr>
          <w:p w14:paraId="42E2A8E3"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0C75EBB4"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22E006B3" w14:textId="77777777" w:rsidR="007B35D6" w:rsidRDefault="007B35D6">
            <w:pPr>
              <w:jc w:val="center"/>
            </w:pPr>
            <w:r>
              <w:rPr>
                <w:rFonts w:cs="Arial"/>
                <w:lang w:val="es-ES_tradnl"/>
              </w:rPr>
              <w:t>4</w:t>
            </w:r>
          </w:p>
        </w:tc>
        <w:tc>
          <w:tcPr>
            <w:tcW w:w="447" w:type="pct"/>
            <w:tcBorders>
              <w:top w:val="nil"/>
              <w:left w:val="nil"/>
              <w:bottom w:val="single" w:sz="4" w:space="0" w:color="auto"/>
              <w:right w:val="single" w:sz="4" w:space="0" w:color="auto"/>
            </w:tcBorders>
            <w:vAlign w:val="center"/>
            <w:hideMark/>
          </w:tcPr>
          <w:p w14:paraId="076DBE3F"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182839BA" w14:textId="77777777" w:rsidR="007B35D6" w:rsidRDefault="007B35D6">
            <w:pPr>
              <w:jc w:val="center"/>
            </w:pPr>
            <w:r>
              <w:rPr>
                <w:rFonts w:cs="Arial"/>
                <w:lang w:val="es-ES_tradnl"/>
              </w:rPr>
              <w:t>18</w:t>
            </w:r>
          </w:p>
        </w:tc>
        <w:tc>
          <w:tcPr>
            <w:tcW w:w="511" w:type="pct"/>
            <w:tcBorders>
              <w:top w:val="nil"/>
              <w:left w:val="nil"/>
              <w:bottom w:val="single" w:sz="4" w:space="0" w:color="auto"/>
              <w:right w:val="single" w:sz="4" w:space="0" w:color="auto"/>
            </w:tcBorders>
            <w:vAlign w:val="center"/>
            <w:hideMark/>
          </w:tcPr>
          <w:p w14:paraId="5A3B48F2" w14:textId="77777777" w:rsidR="007B35D6" w:rsidRDefault="007B35D6">
            <w:pPr>
              <w:jc w:val="center"/>
            </w:pPr>
            <w:r>
              <w:rPr>
                <w:rFonts w:cs="Arial"/>
                <w:lang w:val="es-ES_tradnl"/>
              </w:rPr>
              <w:t>P6</w:t>
            </w:r>
          </w:p>
        </w:tc>
      </w:tr>
      <w:tr w:rsidR="007B35D6" w14:paraId="48C1AE1D" w14:textId="77777777" w:rsidTr="007B35D6">
        <w:trPr>
          <w:trHeight w:val="315"/>
        </w:trPr>
        <w:tc>
          <w:tcPr>
            <w:tcW w:w="1015" w:type="pct"/>
            <w:vMerge/>
            <w:tcBorders>
              <w:top w:val="nil"/>
              <w:left w:val="single" w:sz="4" w:space="0" w:color="auto"/>
              <w:bottom w:val="single" w:sz="4" w:space="0" w:color="auto"/>
              <w:right w:val="single" w:sz="4" w:space="0" w:color="auto"/>
            </w:tcBorders>
            <w:vAlign w:val="center"/>
            <w:hideMark/>
          </w:tcPr>
          <w:p w14:paraId="1AD1F0FC" w14:textId="77777777" w:rsidR="007B35D6" w:rsidRDefault="007B35D6"/>
        </w:tc>
        <w:tc>
          <w:tcPr>
            <w:tcW w:w="1238" w:type="pct"/>
            <w:tcBorders>
              <w:top w:val="nil"/>
              <w:left w:val="nil"/>
              <w:bottom w:val="single" w:sz="4" w:space="0" w:color="auto"/>
              <w:right w:val="single" w:sz="4" w:space="0" w:color="auto"/>
            </w:tcBorders>
            <w:vAlign w:val="center"/>
            <w:hideMark/>
          </w:tcPr>
          <w:p w14:paraId="0316C646" w14:textId="77777777" w:rsidR="007B35D6" w:rsidRDefault="007B35D6">
            <w:pPr>
              <w:jc w:val="center"/>
            </w:pPr>
            <w:r>
              <w:rPr>
                <w:rFonts w:cs="Arial"/>
                <w:lang w:val="es-ES_tradnl"/>
              </w:rPr>
              <w:t>Símbolos</w:t>
            </w:r>
          </w:p>
        </w:tc>
        <w:tc>
          <w:tcPr>
            <w:tcW w:w="447" w:type="pct"/>
            <w:tcBorders>
              <w:top w:val="nil"/>
              <w:left w:val="nil"/>
              <w:bottom w:val="single" w:sz="4" w:space="0" w:color="auto"/>
              <w:right w:val="single" w:sz="4" w:space="0" w:color="auto"/>
            </w:tcBorders>
            <w:vAlign w:val="center"/>
            <w:hideMark/>
          </w:tcPr>
          <w:p w14:paraId="1BC10CED"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58199AFE"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695BEA46" w14:textId="77777777" w:rsidR="007B35D6" w:rsidRDefault="007B35D6">
            <w:pPr>
              <w:jc w:val="center"/>
            </w:pPr>
            <w:r>
              <w:rPr>
                <w:rFonts w:cs="Arial"/>
                <w:lang w:val="es-ES_tradnl"/>
              </w:rPr>
              <w:t>4</w:t>
            </w:r>
          </w:p>
        </w:tc>
        <w:tc>
          <w:tcPr>
            <w:tcW w:w="447" w:type="pct"/>
            <w:tcBorders>
              <w:top w:val="nil"/>
              <w:left w:val="nil"/>
              <w:bottom w:val="single" w:sz="4" w:space="0" w:color="auto"/>
              <w:right w:val="single" w:sz="4" w:space="0" w:color="auto"/>
            </w:tcBorders>
            <w:vAlign w:val="center"/>
            <w:hideMark/>
          </w:tcPr>
          <w:p w14:paraId="06375DC5"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1514F5FB" w14:textId="77777777" w:rsidR="007B35D6" w:rsidRDefault="007B35D6">
            <w:pPr>
              <w:jc w:val="center"/>
            </w:pPr>
            <w:r>
              <w:rPr>
                <w:rFonts w:cs="Arial"/>
                <w:lang w:val="es-ES_tradnl"/>
              </w:rPr>
              <w:t>23</w:t>
            </w:r>
          </w:p>
        </w:tc>
        <w:tc>
          <w:tcPr>
            <w:tcW w:w="511" w:type="pct"/>
            <w:tcBorders>
              <w:top w:val="nil"/>
              <w:left w:val="nil"/>
              <w:bottom w:val="single" w:sz="4" w:space="0" w:color="auto"/>
              <w:right w:val="single" w:sz="4" w:space="0" w:color="auto"/>
            </w:tcBorders>
            <w:vAlign w:val="center"/>
            <w:hideMark/>
          </w:tcPr>
          <w:p w14:paraId="602D667D" w14:textId="77777777" w:rsidR="007B35D6" w:rsidRDefault="007B35D6">
            <w:pPr>
              <w:jc w:val="center"/>
            </w:pPr>
            <w:r>
              <w:rPr>
                <w:rFonts w:cs="Arial"/>
                <w:lang w:val="es-ES_tradnl"/>
              </w:rPr>
              <w:t>P7</w:t>
            </w:r>
          </w:p>
        </w:tc>
      </w:tr>
      <w:tr w:rsidR="007B35D6" w14:paraId="7FDEF622" w14:textId="77777777" w:rsidTr="007B35D6">
        <w:trPr>
          <w:trHeight w:val="315"/>
        </w:trPr>
        <w:tc>
          <w:tcPr>
            <w:tcW w:w="1015" w:type="pct"/>
            <w:vMerge w:val="restart"/>
            <w:tcBorders>
              <w:top w:val="nil"/>
              <w:left w:val="single" w:sz="4" w:space="0" w:color="auto"/>
              <w:bottom w:val="single" w:sz="4" w:space="0" w:color="auto"/>
              <w:right w:val="single" w:sz="4" w:space="0" w:color="auto"/>
            </w:tcBorders>
            <w:vAlign w:val="center"/>
            <w:hideMark/>
          </w:tcPr>
          <w:p w14:paraId="49416D2B" w14:textId="77777777" w:rsidR="007B35D6" w:rsidRDefault="00217216">
            <w:pPr>
              <w:jc w:val="center"/>
            </w:pPr>
            <w:r>
              <w:rPr>
                <w:rFonts w:cs="Arial"/>
                <w:lang w:val="es-ES_tradnl"/>
              </w:rPr>
              <w:t>Vía</w:t>
            </w:r>
            <w:r w:rsidR="007B35D6">
              <w:rPr>
                <w:rFonts w:cs="Arial"/>
                <w:lang w:val="es-ES_tradnl"/>
              </w:rPr>
              <w:t xml:space="preserve"> colectora izquierda</w:t>
            </w:r>
          </w:p>
        </w:tc>
        <w:tc>
          <w:tcPr>
            <w:tcW w:w="1238" w:type="pct"/>
            <w:tcBorders>
              <w:top w:val="nil"/>
              <w:left w:val="nil"/>
              <w:bottom w:val="single" w:sz="4" w:space="0" w:color="auto"/>
              <w:right w:val="single" w:sz="4" w:space="0" w:color="auto"/>
            </w:tcBorders>
            <w:vAlign w:val="center"/>
            <w:hideMark/>
          </w:tcPr>
          <w:p w14:paraId="6E05F444" w14:textId="77777777" w:rsidR="007B35D6" w:rsidRDefault="007B35D6">
            <w:pPr>
              <w:jc w:val="center"/>
            </w:pPr>
            <w:r>
              <w:rPr>
                <w:rFonts w:cs="Arial"/>
                <w:lang w:val="es-ES_tradnl"/>
              </w:rPr>
              <w:t>Lat. Izda.</w:t>
            </w:r>
          </w:p>
        </w:tc>
        <w:tc>
          <w:tcPr>
            <w:tcW w:w="447" w:type="pct"/>
            <w:tcBorders>
              <w:top w:val="nil"/>
              <w:left w:val="nil"/>
              <w:bottom w:val="single" w:sz="4" w:space="0" w:color="auto"/>
              <w:right w:val="single" w:sz="4" w:space="0" w:color="auto"/>
            </w:tcBorders>
            <w:vAlign w:val="center"/>
            <w:hideMark/>
          </w:tcPr>
          <w:p w14:paraId="7578D940"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38335287"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23F1DCA3" w14:textId="77777777" w:rsidR="007B35D6" w:rsidRDefault="007B35D6">
            <w:pPr>
              <w:jc w:val="center"/>
            </w:pPr>
            <w:r>
              <w:rPr>
                <w:rFonts w:cs="Arial"/>
                <w:lang w:val="es-ES_tradnl"/>
              </w:rPr>
              <w:t>4</w:t>
            </w:r>
          </w:p>
        </w:tc>
        <w:tc>
          <w:tcPr>
            <w:tcW w:w="447" w:type="pct"/>
            <w:tcBorders>
              <w:top w:val="nil"/>
              <w:left w:val="nil"/>
              <w:bottom w:val="single" w:sz="4" w:space="0" w:color="auto"/>
              <w:right w:val="single" w:sz="4" w:space="0" w:color="auto"/>
            </w:tcBorders>
            <w:vAlign w:val="center"/>
            <w:hideMark/>
          </w:tcPr>
          <w:p w14:paraId="10AA19A8"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68A6FD99" w14:textId="77777777" w:rsidR="007B35D6" w:rsidRDefault="007B35D6">
            <w:pPr>
              <w:jc w:val="center"/>
            </w:pPr>
            <w:r>
              <w:rPr>
                <w:rFonts w:cs="Arial"/>
                <w:lang w:val="es-ES_tradnl"/>
              </w:rPr>
              <w:t>18</w:t>
            </w:r>
          </w:p>
        </w:tc>
        <w:tc>
          <w:tcPr>
            <w:tcW w:w="511" w:type="pct"/>
            <w:tcBorders>
              <w:top w:val="nil"/>
              <w:left w:val="nil"/>
              <w:bottom w:val="single" w:sz="4" w:space="0" w:color="auto"/>
              <w:right w:val="single" w:sz="4" w:space="0" w:color="auto"/>
            </w:tcBorders>
            <w:vAlign w:val="center"/>
            <w:hideMark/>
          </w:tcPr>
          <w:p w14:paraId="695BBFEE" w14:textId="77777777" w:rsidR="007B35D6" w:rsidRDefault="007B35D6">
            <w:pPr>
              <w:jc w:val="center"/>
            </w:pPr>
            <w:r>
              <w:rPr>
                <w:rFonts w:cs="Arial"/>
                <w:lang w:val="es-ES_tradnl"/>
              </w:rPr>
              <w:t>P6</w:t>
            </w:r>
          </w:p>
        </w:tc>
      </w:tr>
      <w:tr w:rsidR="007B35D6" w14:paraId="425FE325" w14:textId="77777777" w:rsidTr="007B35D6">
        <w:trPr>
          <w:trHeight w:val="315"/>
        </w:trPr>
        <w:tc>
          <w:tcPr>
            <w:tcW w:w="1015" w:type="pct"/>
            <w:vMerge/>
            <w:tcBorders>
              <w:top w:val="nil"/>
              <w:left w:val="single" w:sz="4" w:space="0" w:color="auto"/>
              <w:bottom w:val="single" w:sz="4" w:space="0" w:color="auto"/>
              <w:right w:val="single" w:sz="4" w:space="0" w:color="auto"/>
            </w:tcBorders>
            <w:vAlign w:val="center"/>
            <w:hideMark/>
          </w:tcPr>
          <w:p w14:paraId="27956D0A" w14:textId="77777777" w:rsidR="007B35D6" w:rsidRDefault="007B35D6"/>
        </w:tc>
        <w:tc>
          <w:tcPr>
            <w:tcW w:w="1238" w:type="pct"/>
            <w:tcBorders>
              <w:top w:val="nil"/>
              <w:left w:val="nil"/>
              <w:bottom w:val="single" w:sz="4" w:space="0" w:color="auto"/>
              <w:right w:val="single" w:sz="4" w:space="0" w:color="auto"/>
            </w:tcBorders>
            <w:vAlign w:val="center"/>
            <w:hideMark/>
          </w:tcPr>
          <w:p w14:paraId="2A84E7AF" w14:textId="77777777" w:rsidR="007B35D6" w:rsidRDefault="007B35D6">
            <w:pPr>
              <w:jc w:val="center"/>
            </w:pPr>
            <w:r>
              <w:rPr>
                <w:rFonts w:cs="Arial"/>
                <w:lang w:val="es-ES_tradnl"/>
              </w:rPr>
              <w:t>Lat. Dcha.</w:t>
            </w:r>
          </w:p>
        </w:tc>
        <w:tc>
          <w:tcPr>
            <w:tcW w:w="447" w:type="pct"/>
            <w:tcBorders>
              <w:top w:val="nil"/>
              <w:left w:val="nil"/>
              <w:bottom w:val="single" w:sz="4" w:space="0" w:color="auto"/>
              <w:right w:val="single" w:sz="4" w:space="0" w:color="auto"/>
            </w:tcBorders>
            <w:vAlign w:val="center"/>
            <w:hideMark/>
          </w:tcPr>
          <w:p w14:paraId="47B8F040"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1CE5B2A0"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330262C4" w14:textId="77777777" w:rsidR="007B35D6" w:rsidRDefault="007B35D6">
            <w:pPr>
              <w:jc w:val="center"/>
            </w:pPr>
            <w:r>
              <w:rPr>
                <w:rFonts w:cs="Arial"/>
                <w:lang w:val="es-ES_tradnl"/>
              </w:rPr>
              <w:t>4</w:t>
            </w:r>
          </w:p>
        </w:tc>
        <w:tc>
          <w:tcPr>
            <w:tcW w:w="447" w:type="pct"/>
            <w:tcBorders>
              <w:top w:val="nil"/>
              <w:left w:val="nil"/>
              <w:bottom w:val="single" w:sz="4" w:space="0" w:color="auto"/>
              <w:right w:val="single" w:sz="4" w:space="0" w:color="auto"/>
            </w:tcBorders>
            <w:vAlign w:val="center"/>
            <w:hideMark/>
          </w:tcPr>
          <w:p w14:paraId="7D93CD58"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2A39A880" w14:textId="77777777" w:rsidR="007B35D6" w:rsidRDefault="007B35D6">
            <w:pPr>
              <w:jc w:val="center"/>
            </w:pPr>
            <w:r>
              <w:rPr>
                <w:rFonts w:cs="Arial"/>
                <w:lang w:val="es-ES_tradnl"/>
              </w:rPr>
              <w:t>18</w:t>
            </w:r>
          </w:p>
        </w:tc>
        <w:tc>
          <w:tcPr>
            <w:tcW w:w="511" w:type="pct"/>
            <w:tcBorders>
              <w:top w:val="nil"/>
              <w:left w:val="nil"/>
              <w:bottom w:val="single" w:sz="4" w:space="0" w:color="auto"/>
              <w:right w:val="single" w:sz="4" w:space="0" w:color="auto"/>
            </w:tcBorders>
            <w:vAlign w:val="center"/>
            <w:hideMark/>
          </w:tcPr>
          <w:p w14:paraId="0101EFF9" w14:textId="77777777" w:rsidR="007B35D6" w:rsidRDefault="007B35D6">
            <w:pPr>
              <w:jc w:val="center"/>
            </w:pPr>
            <w:r>
              <w:rPr>
                <w:rFonts w:cs="Arial"/>
                <w:lang w:val="es-ES_tradnl"/>
              </w:rPr>
              <w:t>P6</w:t>
            </w:r>
          </w:p>
        </w:tc>
      </w:tr>
      <w:tr w:rsidR="007B35D6" w14:paraId="207A9489" w14:textId="77777777" w:rsidTr="007B35D6">
        <w:trPr>
          <w:trHeight w:val="315"/>
        </w:trPr>
        <w:tc>
          <w:tcPr>
            <w:tcW w:w="1015" w:type="pct"/>
            <w:vMerge/>
            <w:tcBorders>
              <w:top w:val="nil"/>
              <w:left w:val="single" w:sz="4" w:space="0" w:color="auto"/>
              <w:bottom w:val="single" w:sz="4" w:space="0" w:color="auto"/>
              <w:right w:val="single" w:sz="4" w:space="0" w:color="auto"/>
            </w:tcBorders>
            <w:vAlign w:val="center"/>
            <w:hideMark/>
          </w:tcPr>
          <w:p w14:paraId="7399EB6A" w14:textId="77777777" w:rsidR="007B35D6" w:rsidRDefault="007B35D6"/>
        </w:tc>
        <w:tc>
          <w:tcPr>
            <w:tcW w:w="1238" w:type="pct"/>
            <w:tcBorders>
              <w:top w:val="nil"/>
              <w:left w:val="nil"/>
              <w:bottom w:val="single" w:sz="4" w:space="0" w:color="auto"/>
              <w:right w:val="single" w:sz="4" w:space="0" w:color="auto"/>
            </w:tcBorders>
            <w:vAlign w:val="center"/>
            <w:hideMark/>
          </w:tcPr>
          <w:p w14:paraId="72E9392A" w14:textId="77777777" w:rsidR="007B35D6" w:rsidRDefault="007B35D6">
            <w:pPr>
              <w:jc w:val="center"/>
            </w:pPr>
            <w:r>
              <w:rPr>
                <w:rFonts w:cs="Arial"/>
                <w:lang w:val="es-ES_tradnl"/>
              </w:rPr>
              <w:t>Símbolos</w:t>
            </w:r>
          </w:p>
        </w:tc>
        <w:tc>
          <w:tcPr>
            <w:tcW w:w="447" w:type="pct"/>
            <w:tcBorders>
              <w:top w:val="nil"/>
              <w:left w:val="nil"/>
              <w:bottom w:val="single" w:sz="4" w:space="0" w:color="auto"/>
              <w:right w:val="single" w:sz="4" w:space="0" w:color="auto"/>
            </w:tcBorders>
            <w:vAlign w:val="center"/>
            <w:hideMark/>
          </w:tcPr>
          <w:p w14:paraId="7843039B"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3DEE3B2F"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776146DF" w14:textId="77777777" w:rsidR="007B35D6" w:rsidRDefault="007B35D6">
            <w:pPr>
              <w:jc w:val="center"/>
            </w:pPr>
            <w:r>
              <w:rPr>
                <w:rFonts w:cs="Arial"/>
                <w:lang w:val="es-ES_tradnl"/>
              </w:rPr>
              <w:t>4</w:t>
            </w:r>
          </w:p>
        </w:tc>
        <w:tc>
          <w:tcPr>
            <w:tcW w:w="447" w:type="pct"/>
            <w:tcBorders>
              <w:top w:val="nil"/>
              <w:left w:val="nil"/>
              <w:bottom w:val="single" w:sz="4" w:space="0" w:color="auto"/>
              <w:right w:val="single" w:sz="4" w:space="0" w:color="auto"/>
            </w:tcBorders>
            <w:vAlign w:val="center"/>
            <w:hideMark/>
          </w:tcPr>
          <w:p w14:paraId="69E8E02E"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25ED38A0" w14:textId="77777777" w:rsidR="007B35D6" w:rsidRDefault="007B35D6">
            <w:pPr>
              <w:jc w:val="center"/>
            </w:pPr>
            <w:r>
              <w:rPr>
                <w:rFonts w:cs="Arial"/>
                <w:lang w:val="es-ES_tradnl"/>
              </w:rPr>
              <w:t>23</w:t>
            </w:r>
          </w:p>
        </w:tc>
        <w:tc>
          <w:tcPr>
            <w:tcW w:w="511" w:type="pct"/>
            <w:tcBorders>
              <w:top w:val="nil"/>
              <w:left w:val="nil"/>
              <w:bottom w:val="single" w:sz="4" w:space="0" w:color="auto"/>
              <w:right w:val="single" w:sz="4" w:space="0" w:color="auto"/>
            </w:tcBorders>
            <w:vAlign w:val="center"/>
            <w:hideMark/>
          </w:tcPr>
          <w:p w14:paraId="18A22BE4" w14:textId="77777777" w:rsidR="007B35D6" w:rsidRDefault="007B35D6">
            <w:pPr>
              <w:jc w:val="center"/>
            </w:pPr>
            <w:r>
              <w:rPr>
                <w:rFonts w:cs="Arial"/>
                <w:lang w:val="es-ES_tradnl"/>
              </w:rPr>
              <w:t>P7</w:t>
            </w:r>
          </w:p>
        </w:tc>
      </w:tr>
      <w:tr w:rsidR="007B35D6" w14:paraId="6B576F23" w14:textId="77777777" w:rsidTr="007B35D6">
        <w:trPr>
          <w:trHeight w:val="315"/>
        </w:trPr>
        <w:tc>
          <w:tcPr>
            <w:tcW w:w="1015" w:type="pct"/>
            <w:vMerge w:val="restart"/>
            <w:tcBorders>
              <w:top w:val="nil"/>
              <w:left w:val="single" w:sz="4" w:space="0" w:color="auto"/>
              <w:bottom w:val="single" w:sz="4" w:space="0" w:color="auto"/>
              <w:right w:val="single" w:sz="4" w:space="0" w:color="auto"/>
            </w:tcBorders>
            <w:vAlign w:val="center"/>
            <w:hideMark/>
          </w:tcPr>
          <w:p w14:paraId="19A102EB" w14:textId="77777777" w:rsidR="007B35D6" w:rsidRDefault="007B35D6">
            <w:pPr>
              <w:jc w:val="center"/>
            </w:pPr>
            <w:r>
              <w:rPr>
                <w:rFonts w:cs="Arial"/>
                <w:lang w:val="es-ES_tradnl"/>
              </w:rPr>
              <w:t>Vía colectora derecha</w:t>
            </w:r>
          </w:p>
        </w:tc>
        <w:tc>
          <w:tcPr>
            <w:tcW w:w="1238" w:type="pct"/>
            <w:tcBorders>
              <w:top w:val="nil"/>
              <w:left w:val="nil"/>
              <w:bottom w:val="single" w:sz="4" w:space="0" w:color="auto"/>
              <w:right w:val="single" w:sz="4" w:space="0" w:color="auto"/>
            </w:tcBorders>
            <w:vAlign w:val="center"/>
            <w:hideMark/>
          </w:tcPr>
          <w:p w14:paraId="50F9BF39" w14:textId="77777777" w:rsidR="007B35D6" w:rsidRDefault="007B35D6">
            <w:pPr>
              <w:jc w:val="center"/>
            </w:pPr>
            <w:r>
              <w:rPr>
                <w:rFonts w:cs="Arial"/>
                <w:lang w:val="es-ES_tradnl"/>
              </w:rPr>
              <w:t>Lat. Izda.</w:t>
            </w:r>
          </w:p>
        </w:tc>
        <w:tc>
          <w:tcPr>
            <w:tcW w:w="447" w:type="pct"/>
            <w:tcBorders>
              <w:top w:val="nil"/>
              <w:left w:val="nil"/>
              <w:bottom w:val="single" w:sz="4" w:space="0" w:color="auto"/>
              <w:right w:val="single" w:sz="4" w:space="0" w:color="auto"/>
            </w:tcBorders>
            <w:vAlign w:val="center"/>
            <w:hideMark/>
          </w:tcPr>
          <w:p w14:paraId="1829BCFC"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1443C9C5"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07A04337" w14:textId="77777777" w:rsidR="007B35D6" w:rsidRDefault="007B35D6">
            <w:pPr>
              <w:jc w:val="center"/>
            </w:pPr>
            <w:r>
              <w:rPr>
                <w:rFonts w:cs="Arial"/>
                <w:lang w:val="es-ES_tradnl"/>
              </w:rPr>
              <w:t>2</w:t>
            </w:r>
          </w:p>
        </w:tc>
        <w:tc>
          <w:tcPr>
            <w:tcW w:w="447" w:type="pct"/>
            <w:tcBorders>
              <w:top w:val="nil"/>
              <w:left w:val="nil"/>
              <w:bottom w:val="single" w:sz="4" w:space="0" w:color="auto"/>
              <w:right w:val="single" w:sz="4" w:space="0" w:color="auto"/>
            </w:tcBorders>
            <w:vAlign w:val="center"/>
            <w:hideMark/>
          </w:tcPr>
          <w:p w14:paraId="2A3F54BF"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5AA2ECF7" w14:textId="77777777" w:rsidR="007B35D6" w:rsidRDefault="007B35D6">
            <w:pPr>
              <w:jc w:val="center"/>
            </w:pPr>
            <w:r>
              <w:rPr>
                <w:rFonts w:cs="Arial"/>
                <w:lang w:val="es-ES_tradnl"/>
              </w:rPr>
              <w:t>16</w:t>
            </w:r>
          </w:p>
        </w:tc>
        <w:tc>
          <w:tcPr>
            <w:tcW w:w="511" w:type="pct"/>
            <w:tcBorders>
              <w:top w:val="nil"/>
              <w:left w:val="nil"/>
              <w:bottom w:val="single" w:sz="4" w:space="0" w:color="auto"/>
              <w:right w:val="single" w:sz="4" w:space="0" w:color="auto"/>
            </w:tcBorders>
            <w:vAlign w:val="center"/>
            <w:hideMark/>
          </w:tcPr>
          <w:p w14:paraId="3769A7CF" w14:textId="77777777" w:rsidR="007B35D6" w:rsidRDefault="007B35D6">
            <w:pPr>
              <w:jc w:val="center"/>
            </w:pPr>
            <w:r>
              <w:rPr>
                <w:rFonts w:cs="Arial"/>
                <w:lang w:val="es-ES_tradnl"/>
              </w:rPr>
              <w:t>P6</w:t>
            </w:r>
          </w:p>
        </w:tc>
      </w:tr>
      <w:tr w:rsidR="007B35D6" w14:paraId="4A35712E" w14:textId="77777777" w:rsidTr="007B35D6">
        <w:trPr>
          <w:trHeight w:val="315"/>
        </w:trPr>
        <w:tc>
          <w:tcPr>
            <w:tcW w:w="1015" w:type="pct"/>
            <w:vMerge/>
            <w:tcBorders>
              <w:top w:val="nil"/>
              <w:left w:val="single" w:sz="4" w:space="0" w:color="auto"/>
              <w:bottom w:val="single" w:sz="4" w:space="0" w:color="auto"/>
              <w:right w:val="single" w:sz="4" w:space="0" w:color="auto"/>
            </w:tcBorders>
            <w:vAlign w:val="center"/>
            <w:hideMark/>
          </w:tcPr>
          <w:p w14:paraId="144F81BC" w14:textId="77777777" w:rsidR="007B35D6" w:rsidRDefault="007B35D6"/>
        </w:tc>
        <w:tc>
          <w:tcPr>
            <w:tcW w:w="1238" w:type="pct"/>
            <w:tcBorders>
              <w:top w:val="nil"/>
              <w:left w:val="nil"/>
              <w:bottom w:val="single" w:sz="4" w:space="0" w:color="auto"/>
              <w:right w:val="single" w:sz="4" w:space="0" w:color="auto"/>
            </w:tcBorders>
            <w:vAlign w:val="center"/>
            <w:hideMark/>
          </w:tcPr>
          <w:p w14:paraId="4930D20D" w14:textId="77777777" w:rsidR="007B35D6" w:rsidRDefault="007B35D6">
            <w:pPr>
              <w:jc w:val="center"/>
            </w:pPr>
            <w:r>
              <w:rPr>
                <w:rFonts w:cs="Arial"/>
                <w:lang w:val="es-ES_tradnl"/>
              </w:rPr>
              <w:t>Lat. Dcha.</w:t>
            </w:r>
          </w:p>
        </w:tc>
        <w:tc>
          <w:tcPr>
            <w:tcW w:w="447" w:type="pct"/>
            <w:tcBorders>
              <w:top w:val="nil"/>
              <w:left w:val="nil"/>
              <w:bottom w:val="single" w:sz="4" w:space="0" w:color="auto"/>
              <w:right w:val="single" w:sz="4" w:space="0" w:color="auto"/>
            </w:tcBorders>
            <w:vAlign w:val="center"/>
            <w:hideMark/>
          </w:tcPr>
          <w:p w14:paraId="70F724DF"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544E6B48"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5F769520" w14:textId="77777777" w:rsidR="007B35D6" w:rsidRDefault="007B35D6">
            <w:pPr>
              <w:jc w:val="center"/>
            </w:pPr>
            <w:r>
              <w:rPr>
                <w:rFonts w:cs="Arial"/>
                <w:lang w:val="es-ES_tradnl"/>
              </w:rPr>
              <w:t>2</w:t>
            </w:r>
          </w:p>
        </w:tc>
        <w:tc>
          <w:tcPr>
            <w:tcW w:w="447" w:type="pct"/>
            <w:tcBorders>
              <w:top w:val="nil"/>
              <w:left w:val="nil"/>
              <w:bottom w:val="single" w:sz="4" w:space="0" w:color="auto"/>
              <w:right w:val="single" w:sz="4" w:space="0" w:color="auto"/>
            </w:tcBorders>
            <w:vAlign w:val="center"/>
            <w:hideMark/>
          </w:tcPr>
          <w:p w14:paraId="6343E303"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3E68C3A1" w14:textId="77777777" w:rsidR="007B35D6" w:rsidRDefault="007B35D6">
            <w:pPr>
              <w:jc w:val="center"/>
            </w:pPr>
            <w:r>
              <w:rPr>
                <w:rFonts w:cs="Arial"/>
                <w:lang w:val="es-ES_tradnl"/>
              </w:rPr>
              <w:t>16</w:t>
            </w:r>
          </w:p>
        </w:tc>
        <w:tc>
          <w:tcPr>
            <w:tcW w:w="511" w:type="pct"/>
            <w:tcBorders>
              <w:top w:val="nil"/>
              <w:left w:val="nil"/>
              <w:bottom w:val="single" w:sz="4" w:space="0" w:color="auto"/>
              <w:right w:val="single" w:sz="4" w:space="0" w:color="auto"/>
            </w:tcBorders>
            <w:vAlign w:val="center"/>
            <w:hideMark/>
          </w:tcPr>
          <w:p w14:paraId="5425D3A6" w14:textId="77777777" w:rsidR="007B35D6" w:rsidRDefault="007B35D6">
            <w:pPr>
              <w:jc w:val="center"/>
            </w:pPr>
            <w:r>
              <w:rPr>
                <w:rFonts w:cs="Arial"/>
                <w:lang w:val="es-ES_tradnl"/>
              </w:rPr>
              <w:t>P6</w:t>
            </w:r>
          </w:p>
        </w:tc>
      </w:tr>
      <w:tr w:rsidR="007B35D6" w14:paraId="560569A2" w14:textId="77777777" w:rsidTr="007B35D6">
        <w:trPr>
          <w:trHeight w:val="315"/>
        </w:trPr>
        <w:tc>
          <w:tcPr>
            <w:tcW w:w="1015" w:type="pct"/>
            <w:vMerge/>
            <w:tcBorders>
              <w:top w:val="nil"/>
              <w:left w:val="single" w:sz="4" w:space="0" w:color="auto"/>
              <w:bottom w:val="single" w:sz="4" w:space="0" w:color="auto"/>
              <w:right w:val="single" w:sz="4" w:space="0" w:color="auto"/>
            </w:tcBorders>
            <w:vAlign w:val="center"/>
            <w:hideMark/>
          </w:tcPr>
          <w:p w14:paraId="7F43BE6F" w14:textId="77777777" w:rsidR="007B35D6" w:rsidRDefault="007B35D6"/>
        </w:tc>
        <w:tc>
          <w:tcPr>
            <w:tcW w:w="1238" w:type="pct"/>
            <w:tcBorders>
              <w:top w:val="nil"/>
              <w:left w:val="nil"/>
              <w:bottom w:val="single" w:sz="4" w:space="0" w:color="auto"/>
              <w:right w:val="single" w:sz="4" w:space="0" w:color="auto"/>
            </w:tcBorders>
            <w:vAlign w:val="center"/>
            <w:hideMark/>
          </w:tcPr>
          <w:p w14:paraId="64EDA886" w14:textId="77777777" w:rsidR="007B35D6" w:rsidRDefault="007B35D6">
            <w:pPr>
              <w:jc w:val="center"/>
            </w:pPr>
            <w:r>
              <w:rPr>
                <w:rFonts w:cs="Arial"/>
                <w:lang w:val="es-ES_tradnl"/>
              </w:rPr>
              <w:t>Sep. Carril</w:t>
            </w:r>
          </w:p>
        </w:tc>
        <w:tc>
          <w:tcPr>
            <w:tcW w:w="447" w:type="pct"/>
            <w:tcBorders>
              <w:top w:val="nil"/>
              <w:left w:val="nil"/>
              <w:bottom w:val="single" w:sz="4" w:space="0" w:color="auto"/>
              <w:right w:val="single" w:sz="4" w:space="0" w:color="auto"/>
            </w:tcBorders>
            <w:vAlign w:val="center"/>
            <w:hideMark/>
          </w:tcPr>
          <w:p w14:paraId="0C6714CB" w14:textId="77777777" w:rsidR="007B35D6" w:rsidRDefault="007B35D6">
            <w:pPr>
              <w:jc w:val="center"/>
            </w:pPr>
            <w:r>
              <w:rPr>
                <w:rFonts w:cs="Arial"/>
                <w:lang w:val="es-ES_tradnl"/>
              </w:rPr>
              <w:t>4</w:t>
            </w:r>
          </w:p>
        </w:tc>
        <w:tc>
          <w:tcPr>
            <w:tcW w:w="447" w:type="pct"/>
            <w:tcBorders>
              <w:top w:val="nil"/>
              <w:left w:val="nil"/>
              <w:bottom w:val="single" w:sz="4" w:space="0" w:color="auto"/>
              <w:right w:val="single" w:sz="4" w:space="0" w:color="auto"/>
            </w:tcBorders>
            <w:vAlign w:val="center"/>
            <w:hideMark/>
          </w:tcPr>
          <w:p w14:paraId="699569BD"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24066821" w14:textId="77777777" w:rsidR="007B35D6" w:rsidRDefault="007B35D6">
            <w:pPr>
              <w:jc w:val="center"/>
            </w:pPr>
            <w:r>
              <w:rPr>
                <w:rFonts w:cs="Arial"/>
                <w:lang w:val="es-ES_tradnl"/>
              </w:rPr>
              <w:t>2</w:t>
            </w:r>
          </w:p>
        </w:tc>
        <w:tc>
          <w:tcPr>
            <w:tcW w:w="447" w:type="pct"/>
            <w:tcBorders>
              <w:top w:val="nil"/>
              <w:left w:val="nil"/>
              <w:bottom w:val="single" w:sz="4" w:space="0" w:color="auto"/>
              <w:right w:val="single" w:sz="4" w:space="0" w:color="auto"/>
            </w:tcBorders>
            <w:vAlign w:val="center"/>
            <w:hideMark/>
          </w:tcPr>
          <w:p w14:paraId="24D5861E"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2E86F55B" w14:textId="77777777" w:rsidR="007B35D6" w:rsidRDefault="007B35D6">
            <w:pPr>
              <w:jc w:val="center"/>
            </w:pPr>
            <w:r>
              <w:rPr>
                <w:rFonts w:cs="Arial"/>
                <w:lang w:val="es-ES_tradnl"/>
              </w:rPr>
              <w:t>17</w:t>
            </w:r>
          </w:p>
        </w:tc>
        <w:tc>
          <w:tcPr>
            <w:tcW w:w="511" w:type="pct"/>
            <w:tcBorders>
              <w:top w:val="nil"/>
              <w:left w:val="nil"/>
              <w:bottom w:val="single" w:sz="4" w:space="0" w:color="auto"/>
              <w:right w:val="single" w:sz="4" w:space="0" w:color="auto"/>
            </w:tcBorders>
            <w:vAlign w:val="center"/>
            <w:hideMark/>
          </w:tcPr>
          <w:p w14:paraId="0A7F7057" w14:textId="77777777" w:rsidR="007B35D6" w:rsidRDefault="007B35D6">
            <w:pPr>
              <w:jc w:val="center"/>
            </w:pPr>
            <w:r>
              <w:rPr>
                <w:rFonts w:cs="Arial"/>
                <w:lang w:val="es-ES_tradnl"/>
              </w:rPr>
              <w:t>P6</w:t>
            </w:r>
          </w:p>
        </w:tc>
      </w:tr>
      <w:tr w:rsidR="007B35D6" w14:paraId="10F7BC1B" w14:textId="77777777" w:rsidTr="007B35D6">
        <w:trPr>
          <w:trHeight w:val="315"/>
        </w:trPr>
        <w:tc>
          <w:tcPr>
            <w:tcW w:w="1015" w:type="pct"/>
            <w:vMerge/>
            <w:tcBorders>
              <w:top w:val="nil"/>
              <w:left w:val="single" w:sz="4" w:space="0" w:color="auto"/>
              <w:bottom w:val="single" w:sz="4" w:space="0" w:color="auto"/>
              <w:right w:val="single" w:sz="4" w:space="0" w:color="auto"/>
            </w:tcBorders>
            <w:vAlign w:val="center"/>
            <w:hideMark/>
          </w:tcPr>
          <w:p w14:paraId="28B25640" w14:textId="77777777" w:rsidR="007B35D6" w:rsidRDefault="007B35D6"/>
        </w:tc>
        <w:tc>
          <w:tcPr>
            <w:tcW w:w="1238" w:type="pct"/>
            <w:tcBorders>
              <w:top w:val="nil"/>
              <w:left w:val="nil"/>
              <w:bottom w:val="single" w:sz="4" w:space="0" w:color="auto"/>
              <w:right w:val="single" w:sz="4" w:space="0" w:color="auto"/>
            </w:tcBorders>
            <w:vAlign w:val="center"/>
            <w:hideMark/>
          </w:tcPr>
          <w:p w14:paraId="5CA3AC64" w14:textId="77777777" w:rsidR="007B35D6" w:rsidRDefault="007B35D6">
            <w:pPr>
              <w:jc w:val="center"/>
            </w:pPr>
            <w:r>
              <w:rPr>
                <w:rFonts w:cs="Arial"/>
                <w:lang w:val="es-ES_tradnl"/>
              </w:rPr>
              <w:t>Símbolos</w:t>
            </w:r>
          </w:p>
        </w:tc>
        <w:tc>
          <w:tcPr>
            <w:tcW w:w="447" w:type="pct"/>
            <w:tcBorders>
              <w:top w:val="nil"/>
              <w:left w:val="nil"/>
              <w:bottom w:val="single" w:sz="4" w:space="0" w:color="auto"/>
              <w:right w:val="single" w:sz="4" w:space="0" w:color="auto"/>
            </w:tcBorders>
            <w:vAlign w:val="center"/>
            <w:hideMark/>
          </w:tcPr>
          <w:p w14:paraId="0E195BB0"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7DDF1CDD" w14:textId="77777777" w:rsidR="007B35D6" w:rsidRDefault="007B35D6">
            <w:pPr>
              <w:jc w:val="center"/>
            </w:pPr>
            <w:r>
              <w:rPr>
                <w:rFonts w:cs="Arial"/>
                <w:lang w:val="es-ES_tradnl"/>
              </w:rPr>
              <w:t>8</w:t>
            </w:r>
          </w:p>
        </w:tc>
        <w:tc>
          <w:tcPr>
            <w:tcW w:w="447" w:type="pct"/>
            <w:tcBorders>
              <w:top w:val="nil"/>
              <w:left w:val="nil"/>
              <w:bottom w:val="single" w:sz="4" w:space="0" w:color="auto"/>
              <w:right w:val="single" w:sz="4" w:space="0" w:color="auto"/>
            </w:tcBorders>
            <w:vAlign w:val="center"/>
            <w:hideMark/>
          </w:tcPr>
          <w:p w14:paraId="736357BF" w14:textId="77777777" w:rsidR="007B35D6" w:rsidRDefault="007B35D6">
            <w:pPr>
              <w:jc w:val="center"/>
            </w:pPr>
            <w:r>
              <w:rPr>
                <w:rFonts w:cs="Arial"/>
                <w:lang w:val="es-ES_tradnl"/>
              </w:rPr>
              <w:t>2</w:t>
            </w:r>
          </w:p>
        </w:tc>
        <w:tc>
          <w:tcPr>
            <w:tcW w:w="447" w:type="pct"/>
            <w:tcBorders>
              <w:top w:val="nil"/>
              <w:left w:val="nil"/>
              <w:bottom w:val="single" w:sz="4" w:space="0" w:color="auto"/>
              <w:right w:val="single" w:sz="4" w:space="0" w:color="auto"/>
            </w:tcBorders>
            <w:vAlign w:val="center"/>
            <w:hideMark/>
          </w:tcPr>
          <w:p w14:paraId="452A3831" w14:textId="77777777" w:rsidR="007B35D6" w:rsidRDefault="007B35D6">
            <w:pPr>
              <w:jc w:val="center"/>
            </w:pPr>
            <w:r>
              <w:rPr>
                <w:rFonts w:cs="Arial"/>
                <w:lang w:val="es-ES_tradnl"/>
              </w:rPr>
              <w:t>3</w:t>
            </w:r>
          </w:p>
        </w:tc>
        <w:tc>
          <w:tcPr>
            <w:tcW w:w="447" w:type="pct"/>
            <w:tcBorders>
              <w:top w:val="nil"/>
              <w:left w:val="nil"/>
              <w:bottom w:val="single" w:sz="4" w:space="0" w:color="auto"/>
              <w:right w:val="single" w:sz="4" w:space="0" w:color="auto"/>
            </w:tcBorders>
            <w:vAlign w:val="center"/>
            <w:hideMark/>
          </w:tcPr>
          <w:p w14:paraId="7FBA88BD" w14:textId="77777777" w:rsidR="007B35D6" w:rsidRDefault="007B35D6">
            <w:pPr>
              <w:jc w:val="center"/>
            </w:pPr>
            <w:r>
              <w:rPr>
                <w:rFonts w:cs="Arial"/>
                <w:lang w:val="es-ES_tradnl"/>
              </w:rPr>
              <w:t>21</w:t>
            </w:r>
          </w:p>
        </w:tc>
        <w:tc>
          <w:tcPr>
            <w:tcW w:w="511" w:type="pct"/>
            <w:tcBorders>
              <w:top w:val="nil"/>
              <w:left w:val="nil"/>
              <w:bottom w:val="single" w:sz="4" w:space="0" w:color="auto"/>
              <w:right w:val="single" w:sz="4" w:space="0" w:color="auto"/>
            </w:tcBorders>
            <w:vAlign w:val="center"/>
            <w:hideMark/>
          </w:tcPr>
          <w:p w14:paraId="321CABCE" w14:textId="77777777" w:rsidR="007B35D6" w:rsidRDefault="007B35D6">
            <w:pPr>
              <w:jc w:val="center"/>
            </w:pPr>
            <w:r>
              <w:rPr>
                <w:rFonts w:cs="Arial"/>
                <w:lang w:val="es-ES_tradnl"/>
              </w:rPr>
              <w:t>P7</w:t>
            </w:r>
          </w:p>
        </w:tc>
      </w:tr>
    </w:tbl>
    <w:p w14:paraId="0AF8091D" w14:textId="77777777" w:rsidR="007B35D6" w:rsidRDefault="007B35D6" w:rsidP="00593D99">
      <w:pPr>
        <w:pStyle w:val="NORMAL12"/>
      </w:pPr>
    </w:p>
    <w:p w14:paraId="688264F1" w14:textId="77777777" w:rsidR="002B430C" w:rsidRDefault="002B430C" w:rsidP="00593D99">
      <w:pPr>
        <w:pStyle w:val="NORMAL12"/>
      </w:pPr>
      <w:r w:rsidRPr="00593D99">
        <w:t>La dosificación estándar de los materiales, en función del tipo de material y el método de aplicación, son las que se indican seguidamente:</w:t>
      </w:r>
    </w:p>
    <w:p w14:paraId="6D674F5C" w14:textId="77777777" w:rsidR="00F23C7C" w:rsidRPr="00F23C7C" w:rsidRDefault="00F23C7C" w:rsidP="00D9029C">
      <w:pPr>
        <w:pStyle w:val="NORMAL12"/>
        <w:keepNext/>
        <w:rPr>
          <w:i/>
          <w:u w:val="single"/>
        </w:rPr>
      </w:pPr>
      <w:r w:rsidRPr="00F23C7C">
        <w:rPr>
          <w:i/>
          <w:u w:val="single"/>
        </w:rPr>
        <w:t>Pintura acrílica en disolución, aplicada por pulverización:</w:t>
      </w:r>
    </w:p>
    <w:tbl>
      <w:tblPr>
        <w:tblW w:w="0" w:type="auto"/>
        <w:tblBorders>
          <w:top w:val="single" w:sz="4" w:space="0" w:color="auto"/>
          <w:bottom w:val="single" w:sz="4" w:space="0" w:color="auto"/>
        </w:tblBorders>
        <w:tblLook w:val="04A0" w:firstRow="1" w:lastRow="0" w:firstColumn="1" w:lastColumn="0" w:noHBand="0" w:noVBand="1"/>
      </w:tblPr>
      <w:tblGrid>
        <w:gridCol w:w="2976"/>
        <w:gridCol w:w="2976"/>
        <w:gridCol w:w="2976"/>
      </w:tblGrid>
      <w:tr w:rsidR="00F23C7C" w:rsidRPr="00F23C7C" w14:paraId="4D1117C9" w14:textId="77777777" w:rsidTr="00174ED1">
        <w:tc>
          <w:tcPr>
            <w:tcW w:w="2976" w:type="dxa"/>
            <w:tcBorders>
              <w:top w:val="single" w:sz="4" w:space="0" w:color="auto"/>
              <w:left w:val="nil"/>
              <w:bottom w:val="single" w:sz="4" w:space="0" w:color="auto"/>
              <w:right w:val="nil"/>
            </w:tcBorders>
            <w:shd w:val="clear" w:color="auto" w:fill="D9D9D9" w:themeFill="background1" w:themeFillShade="D9"/>
            <w:vAlign w:val="center"/>
          </w:tcPr>
          <w:p w14:paraId="2F5C6626" w14:textId="77777777" w:rsidR="00F23C7C" w:rsidRPr="00F23C7C" w:rsidRDefault="00F23C7C" w:rsidP="00F23C7C">
            <w:pPr>
              <w:pStyle w:val="LCATabla"/>
              <w:keepNext/>
              <w:spacing w:line="360" w:lineRule="auto"/>
              <w:jc w:val="center"/>
              <w:rPr>
                <w:b/>
                <w:bCs/>
                <w:i/>
              </w:rPr>
            </w:pPr>
          </w:p>
        </w:tc>
        <w:tc>
          <w:tcPr>
            <w:tcW w:w="2976" w:type="dxa"/>
            <w:tcBorders>
              <w:top w:val="single" w:sz="4" w:space="0" w:color="auto"/>
              <w:left w:val="nil"/>
              <w:bottom w:val="single" w:sz="4" w:space="0" w:color="auto"/>
              <w:right w:val="nil"/>
            </w:tcBorders>
            <w:shd w:val="clear" w:color="auto" w:fill="D9D9D9" w:themeFill="background1" w:themeFillShade="D9"/>
            <w:vAlign w:val="center"/>
            <w:hideMark/>
          </w:tcPr>
          <w:p w14:paraId="06C77EAC" w14:textId="77777777" w:rsidR="00F23C7C" w:rsidRPr="00F23C7C" w:rsidRDefault="00F23C7C" w:rsidP="00F23C7C">
            <w:pPr>
              <w:pStyle w:val="LCATabla"/>
              <w:keepNext/>
              <w:spacing w:line="360" w:lineRule="auto"/>
              <w:jc w:val="center"/>
            </w:pPr>
            <w:r w:rsidRPr="00F23C7C">
              <w:t>Material base (g / m</w:t>
            </w:r>
            <w:r w:rsidRPr="00D921B6">
              <w:rPr>
                <w:vertAlign w:val="superscript"/>
              </w:rPr>
              <w:t>2</w:t>
            </w:r>
            <w:r w:rsidRPr="00F23C7C">
              <w:t>)</w:t>
            </w:r>
          </w:p>
        </w:tc>
        <w:tc>
          <w:tcPr>
            <w:tcW w:w="2976" w:type="dxa"/>
            <w:tcBorders>
              <w:top w:val="single" w:sz="4" w:space="0" w:color="auto"/>
              <w:left w:val="nil"/>
              <w:bottom w:val="single" w:sz="4" w:space="0" w:color="auto"/>
              <w:right w:val="nil"/>
            </w:tcBorders>
            <w:shd w:val="clear" w:color="auto" w:fill="D9D9D9" w:themeFill="background1" w:themeFillShade="D9"/>
            <w:vAlign w:val="center"/>
            <w:hideMark/>
          </w:tcPr>
          <w:p w14:paraId="2E534F2C" w14:textId="77777777" w:rsidR="00F23C7C" w:rsidRPr="00F23C7C" w:rsidRDefault="00F23C7C" w:rsidP="00F23C7C">
            <w:pPr>
              <w:pStyle w:val="LCATabla"/>
              <w:keepNext/>
              <w:spacing w:line="360" w:lineRule="auto"/>
              <w:jc w:val="center"/>
            </w:pPr>
            <w:r w:rsidRPr="00F23C7C">
              <w:t>Microesferas de vidrio (g / m</w:t>
            </w:r>
            <w:r w:rsidRPr="00D921B6">
              <w:rPr>
                <w:vertAlign w:val="superscript"/>
              </w:rPr>
              <w:t>2</w:t>
            </w:r>
            <w:r w:rsidRPr="00F23C7C">
              <w:t>)</w:t>
            </w:r>
          </w:p>
        </w:tc>
      </w:tr>
      <w:tr w:rsidR="00F23C7C" w:rsidRPr="00F23C7C" w14:paraId="3BB1E1C1" w14:textId="77777777" w:rsidTr="00F23C7C">
        <w:tc>
          <w:tcPr>
            <w:tcW w:w="2976" w:type="dxa"/>
            <w:tcBorders>
              <w:top w:val="single" w:sz="4" w:space="0" w:color="auto"/>
              <w:left w:val="nil"/>
              <w:bottom w:val="single" w:sz="4" w:space="0" w:color="auto"/>
              <w:right w:val="nil"/>
            </w:tcBorders>
            <w:hideMark/>
          </w:tcPr>
          <w:p w14:paraId="23CA5AD4" w14:textId="77777777" w:rsidR="00F23C7C" w:rsidRPr="00F23C7C" w:rsidRDefault="00F23C7C" w:rsidP="00F23C7C">
            <w:pPr>
              <w:pStyle w:val="LCATabla"/>
              <w:spacing w:line="360" w:lineRule="auto"/>
            </w:pPr>
            <w:r w:rsidRPr="00F23C7C">
              <w:t>Pintura acrílica en disolución</w:t>
            </w:r>
          </w:p>
        </w:tc>
        <w:tc>
          <w:tcPr>
            <w:tcW w:w="2976" w:type="dxa"/>
            <w:tcBorders>
              <w:top w:val="single" w:sz="4" w:space="0" w:color="auto"/>
              <w:left w:val="nil"/>
              <w:bottom w:val="single" w:sz="4" w:space="0" w:color="auto"/>
              <w:right w:val="nil"/>
            </w:tcBorders>
            <w:vAlign w:val="center"/>
            <w:hideMark/>
          </w:tcPr>
          <w:p w14:paraId="250B4492" w14:textId="77777777" w:rsidR="00F23C7C" w:rsidRPr="00F23C7C" w:rsidRDefault="00F23C7C" w:rsidP="00F23C7C">
            <w:pPr>
              <w:pStyle w:val="LCATabla"/>
              <w:spacing w:line="360" w:lineRule="auto"/>
              <w:jc w:val="center"/>
            </w:pPr>
            <w:r w:rsidRPr="00F23C7C">
              <w:t>720</w:t>
            </w:r>
          </w:p>
        </w:tc>
        <w:tc>
          <w:tcPr>
            <w:tcW w:w="2976" w:type="dxa"/>
            <w:tcBorders>
              <w:top w:val="single" w:sz="4" w:space="0" w:color="auto"/>
              <w:left w:val="nil"/>
              <w:bottom w:val="single" w:sz="4" w:space="0" w:color="auto"/>
              <w:right w:val="nil"/>
            </w:tcBorders>
            <w:vAlign w:val="center"/>
            <w:hideMark/>
          </w:tcPr>
          <w:p w14:paraId="3C524871" w14:textId="77777777" w:rsidR="00F23C7C" w:rsidRPr="00F23C7C" w:rsidRDefault="00F23C7C" w:rsidP="00F23C7C">
            <w:pPr>
              <w:pStyle w:val="LCATabla"/>
              <w:spacing w:line="360" w:lineRule="auto"/>
              <w:jc w:val="center"/>
            </w:pPr>
            <w:r w:rsidRPr="00F23C7C">
              <w:t>480</w:t>
            </w:r>
          </w:p>
        </w:tc>
      </w:tr>
    </w:tbl>
    <w:p w14:paraId="322E86A0" w14:textId="77777777" w:rsidR="00F23C7C" w:rsidRPr="00F23C7C" w:rsidRDefault="00F23C7C" w:rsidP="00F23C7C">
      <w:pPr>
        <w:rPr>
          <w:rFonts w:ascii="Arial" w:hAnsi="Arial"/>
          <w:sz w:val="22"/>
          <w:szCs w:val="20"/>
        </w:rPr>
      </w:pPr>
    </w:p>
    <w:p w14:paraId="3DEF75FA" w14:textId="77777777" w:rsidR="00F23C7C" w:rsidRPr="00F23C7C" w:rsidRDefault="00F23C7C" w:rsidP="00F23C7C">
      <w:pPr>
        <w:pStyle w:val="NORMAL12"/>
        <w:rPr>
          <w:i/>
          <w:u w:val="single"/>
        </w:rPr>
      </w:pPr>
      <w:r w:rsidRPr="00F23C7C">
        <w:rPr>
          <w:i/>
          <w:u w:val="single"/>
        </w:rPr>
        <w:t>Pintura termoplástica (en caliente) o plástica (en frío), de dos componentes, aplicada por extrusión:</w:t>
      </w:r>
    </w:p>
    <w:tbl>
      <w:tblPr>
        <w:tblW w:w="0" w:type="auto"/>
        <w:tblBorders>
          <w:top w:val="single" w:sz="4" w:space="0" w:color="auto"/>
          <w:bottom w:val="single" w:sz="4" w:space="0" w:color="auto"/>
        </w:tblBorders>
        <w:tblLook w:val="04A0" w:firstRow="1" w:lastRow="0" w:firstColumn="1" w:lastColumn="0" w:noHBand="0" w:noVBand="1"/>
      </w:tblPr>
      <w:tblGrid>
        <w:gridCol w:w="2976"/>
        <w:gridCol w:w="2976"/>
        <w:gridCol w:w="2976"/>
      </w:tblGrid>
      <w:tr w:rsidR="00F23C7C" w:rsidRPr="00F23C7C" w14:paraId="4C012F4F" w14:textId="77777777" w:rsidTr="00174ED1">
        <w:tc>
          <w:tcPr>
            <w:tcW w:w="2976" w:type="dxa"/>
            <w:tcBorders>
              <w:top w:val="single" w:sz="4" w:space="0" w:color="auto"/>
              <w:left w:val="nil"/>
              <w:bottom w:val="single" w:sz="4" w:space="0" w:color="auto"/>
              <w:right w:val="nil"/>
            </w:tcBorders>
            <w:shd w:val="clear" w:color="auto" w:fill="D9D9D9" w:themeFill="background1" w:themeFillShade="D9"/>
            <w:vAlign w:val="center"/>
          </w:tcPr>
          <w:p w14:paraId="268DC719" w14:textId="77777777" w:rsidR="00F23C7C" w:rsidRPr="00F23C7C" w:rsidRDefault="00F23C7C" w:rsidP="00F23C7C">
            <w:pPr>
              <w:pStyle w:val="LCATabla"/>
              <w:spacing w:line="360" w:lineRule="auto"/>
              <w:jc w:val="center"/>
            </w:pPr>
          </w:p>
        </w:tc>
        <w:tc>
          <w:tcPr>
            <w:tcW w:w="2976" w:type="dxa"/>
            <w:tcBorders>
              <w:top w:val="single" w:sz="4" w:space="0" w:color="auto"/>
              <w:left w:val="nil"/>
              <w:bottom w:val="single" w:sz="4" w:space="0" w:color="auto"/>
              <w:right w:val="nil"/>
            </w:tcBorders>
            <w:shd w:val="clear" w:color="auto" w:fill="D9D9D9" w:themeFill="background1" w:themeFillShade="D9"/>
            <w:vAlign w:val="center"/>
            <w:hideMark/>
          </w:tcPr>
          <w:p w14:paraId="281BC44E" w14:textId="77777777" w:rsidR="00F23C7C" w:rsidRPr="00F23C7C" w:rsidRDefault="00F23C7C" w:rsidP="00F23C7C">
            <w:pPr>
              <w:pStyle w:val="LCATabla"/>
              <w:spacing w:line="360" w:lineRule="auto"/>
              <w:jc w:val="center"/>
            </w:pPr>
            <w:r w:rsidRPr="00F23C7C">
              <w:t>Material base (g / m</w:t>
            </w:r>
            <w:r w:rsidRPr="00D921B6">
              <w:rPr>
                <w:vertAlign w:val="superscript"/>
              </w:rPr>
              <w:t>2</w:t>
            </w:r>
            <w:r w:rsidRPr="00F23C7C">
              <w:t>)</w:t>
            </w:r>
          </w:p>
        </w:tc>
        <w:tc>
          <w:tcPr>
            <w:tcW w:w="2976" w:type="dxa"/>
            <w:tcBorders>
              <w:top w:val="single" w:sz="4" w:space="0" w:color="auto"/>
              <w:left w:val="nil"/>
              <w:bottom w:val="single" w:sz="4" w:space="0" w:color="auto"/>
              <w:right w:val="nil"/>
            </w:tcBorders>
            <w:shd w:val="clear" w:color="auto" w:fill="D9D9D9" w:themeFill="background1" w:themeFillShade="D9"/>
            <w:vAlign w:val="center"/>
            <w:hideMark/>
          </w:tcPr>
          <w:p w14:paraId="4C469CFB" w14:textId="77777777" w:rsidR="00F23C7C" w:rsidRPr="00F23C7C" w:rsidRDefault="00F23C7C" w:rsidP="00F23C7C">
            <w:pPr>
              <w:pStyle w:val="LCATabla"/>
              <w:spacing w:line="360" w:lineRule="auto"/>
              <w:jc w:val="center"/>
            </w:pPr>
            <w:r w:rsidRPr="00F23C7C">
              <w:t>Microesferas de vidrio (g / m</w:t>
            </w:r>
            <w:r w:rsidRPr="00D921B6">
              <w:rPr>
                <w:vertAlign w:val="superscript"/>
              </w:rPr>
              <w:t>2</w:t>
            </w:r>
            <w:r w:rsidRPr="00F23C7C">
              <w:t>)</w:t>
            </w:r>
          </w:p>
        </w:tc>
      </w:tr>
      <w:tr w:rsidR="00F23C7C" w:rsidRPr="00F23C7C" w14:paraId="5523491C" w14:textId="77777777" w:rsidTr="00F23C7C">
        <w:tc>
          <w:tcPr>
            <w:tcW w:w="2976" w:type="dxa"/>
            <w:tcBorders>
              <w:top w:val="single" w:sz="4" w:space="0" w:color="auto"/>
              <w:left w:val="nil"/>
              <w:bottom w:val="single" w:sz="4" w:space="0" w:color="auto"/>
              <w:right w:val="nil"/>
            </w:tcBorders>
            <w:hideMark/>
          </w:tcPr>
          <w:p w14:paraId="6480D9A4" w14:textId="77777777" w:rsidR="00F23C7C" w:rsidRPr="00F23C7C" w:rsidRDefault="00F23C7C" w:rsidP="00F23C7C">
            <w:pPr>
              <w:pStyle w:val="LCATabla"/>
              <w:spacing w:line="360" w:lineRule="auto"/>
            </w:pPr>
            <w:r w:rsidRPr="00F23C7C">
              <w:t>Pintura termoplástica o plástica</w:t>
            </w:r>
          </w:p>
        </w:tc>
        <w:tc>
          <w:tcPr>
            <w:tcW w:w="2976" w:type="dxa"/>
            <w:tcBorders>
              <w:top w:val="single" w:sz="4" w:space="0" w:color="auto"/>
              <w:left w:val="nil"/>
              <w:bottom w:val="single" w:sz="4" w:space="0" w:color="auto"/>
              <w:right w:val="nil"/>
            </w:tcBorders>
            <w:vAlign w:val="center"/>
            <w:hideMark/>
          </w:tcPr>
          <w:p w14:paraId="3E2A50A7" w14:textId="77777777" w:rsidR="00F23C7C" w:rsidRPr="00F23C7C" w:rsidRDefault="00F23C7C" w:rsidP="00F23C7C">
            <w:pPr>
              <w:pStyle w:val="LCATabla"/>
              <w:spacing w:line="360" w:lineRule="auto"/>
              <w:jc w:val="center"/>
            </w:pPr>
            <w:r w:rsidRPr="00F23C7C">
              <w:t>3000</w:t>
            </w:r>
          </w:p>
        </w:tc>
        <w:tc>
          <w:tcPr>
            <w:tcW w:w="2976" w:type="dxa"/>
            <w:tcBorders>
              <w:top w:val="single" w:sz="4" w:space="0" w:color="auto"/>
              <w:left w:val="nil"/>
              <w:bottom w:val="single" w:sz="4" w:space="0" w:color="auto"/>
              <w:right w:val="nil"/>
            </w:tcBorders>
            <w:vAlign w:val="center"/>
            <w:hideMark/>
          </w:tcPr>
          <w:p w14:paraId="7864FBF8" w14:textId="77777777" w:rsidR="00F23C7C" w:rsidRPr="00F23C7C" w:rsidRDefault="00F23C7C" w:rsidP="00F23C7C">
            <w:pPr>
              <w:pStyle w:val="LCATabla"/>
              <w:spacing w:line="360" w:lineRule="auto"/>
              <w:jc w:val="center"/>
            </w:pPr>
            <w:r w:rsidRPr="00F23C7C">
              <w:t>500</w:t>
            </w:r>
          </w:p>
        </w:tc>
      </w:tr>
    </w:tbl>
    <w:p w14:paraId="45B8A64A" w14:textId="77777777" w:rsidR="002B430C" w:rsidRDefault="002B430C" w:rsidP="002B430C">
      <w:pPr>
        <w:autoSpaceDE w:val="0"/>
        <w:autoSpaceDN w:val="0"/>
        <w:adjustRightInd w:val="0"/>
        <w:rPr>
          <w:rFonts w:ascii="Arial" w:hAnsi="Arial" w:cs="Arial"/>
          <w:sz w:val="22"/>
          <w:szCs w:val="22"/>
          <w:highlight w:val="magenta"/>
        </w:rPr>
      </w:pPr>
    </w:p>
    <w:p w14:paraId="57D04D08" w14:textId="77777777" w:rsidR="007B35D6" w:rsidRDefault="007B35D6" w:rsidP="000313DD">
      <w:pPr>
        <w:pStyle w:val="TITU2"/>
      </w:pPr>
      <w:bookmarkStart w:id="1058" w:name="_Toc492538083"/>
      <w:bookmarkStart w:id="1059" w:name="_Toc400741632"/>
      <w:bookmarkStart w:id="1060" w:name="_Toc399509138"/>
    </w:p>
    <w:p w14:paraId="6D28182D" w14:textId="77777777" w:rsidR="002B430C" w:rsidRPr="0085450C" w:rsidRDefault="00EC60DF" w:rsidP="000313DD">
      <w:pPr>
        <w:pStyle w:val="TITU2"/>
      </w:pPr>
      <w:bookmarkStart w:id="1061" w:name="_Toc404556"/>
      <w:r>
        <w:t xml:space="preserve">700.4. </w:t>
      </w:r>
      <w:r w:rsidR="002B430C" w:rsidRPr="0085450C">
        <w:t>Especificaciones de la unidad terminada</w:t>
      </w:r>
      <w:bookmarkEnd w:id="1058"/>
      <w:bookmarkEnd w:id="1059"/>
      <w:bookmarkEnd w:id="1060"/>
      <w:bookmarkEnd w:id="1061"/>
    </w:p>
    <w:p w14:paraId="3634623F" w14:textId="77777777" w:rsidR="002B430C" w:rsidRPr="0085450C" w:rsidRDefault="002B430C" w:rsidP="00F23C7C">
      <w:pPr>
        <w:pStyle w:val="NORMAL12"/>
      </w:pPr>
      <w:r w:rsidRPr="00FD6931">
        <w:t xml:space="preserve">Durante el periodo de garantía, las marcas viales objeto de este proyecto cumplirán con los valores incluidos en </w:t>
      </w:r>
      <w:r w:rsidR="009C5CD0" w:rsidRPr="00FD6931">
        <w:t xml:space="preserve">el </w:t>
      </w:r>
      <w:r w:rsidR="00CB7DA4" w:rsidRPr="00FD6931">
        <w:t xml:space="preserve">epígrafe 700.4 del </w:t>
      </w:r>
      <w:r w:rsidR="009C5CD0" w:rsidRPr="00FD6931">
        <w:t>PG3</w:t>
      </w:r>
      <w:r w:rsidRPr="00FD6931">
        <w:t>.</w:t>
      </w:r>
    </w:p>
    <w:p w14:paraId="12A9D3F2" w14:textId="77777777" w:rsidR="002B430C" w:rsidRDefault="00EC60DF" w:rsidP="000313DD">
      <w:pPr>
        <w:pStyle w:val="TITU2"/>
      </w:pPr>
      <w:bookmarkStart w:id="1062" w:name="_Toc400741633"/>
      <w:bookmarkStart w:id="1063" w:name="_Toc399509139"/>
      <w:bookmarkStart w:id="1064" w:name="_Toc492538084"/>
      <w:bookmarkStart w:id="1065" w:name="_Toc404557"/>
      <w:r>
        <w:t xml:space="preserve">700.5. </w:t>
      </w:r>
      <w:r w:rsidR="002B430C" w:rsidRPr="0085450C">
        <w:tab/>
        <w:t xml:space="preserve">Maquinaria de </w:t>
      </w:r>
      <w:bookmarkEnd w:id="1062"/>
      <w:bookmarkEnd w:id="1063"/>
      <w:r w:rsidR="002B430C" w:rsidRPr="0085450C">
        <w:t>puesta en obra</w:t>
      </w:r>
      <w:bookmarkEnd w:id="1064"/>
      <w:bookmarkEnd w:id="1065"/>
    </w:p>
    <w:p w14:paraId="1834A237" w14:textId="77777777" w:rsidR="002B430C" w:rsidRDefault="002B430C" w:rsidP="00611EE6">
      <w:pPr>
        <w:pStyle w:val="NORMAL12"/>
      </w:pPr>
      <w:r>
        <w:t>La maquinaria y equipos empleados para la aplicación de los materiales utilizados en la ejecución de las marcas viales serán específicas del material y procedimiento de aplicación elegidos y deberán ser capaces de aplicar y controlar automáticamente las dosificaciones requeridas y conferir una homogeneidad a la marca vial tal que queden garantizadas sus propiedades.</w:t>
      </w:r>
    </w:p>
    <w:p w14:paraId="363FCD68" w14:textId="77777777" w:rsidR="002B430C" w:rsidRPr="00847B90" w:rsidRDefault="002B430C" w:rsidP="00611EE6">
      <w:pPr>
        <w:pStyle w:val="NORMAL12"/>
      </w:pPr>
      <w:r>
        <w:t xml:space="preserve">El Contratista presentará al </w:t>
      </w:r>
      <w:proofErr w:type="gramStart"/>
      <w:r>
        <w:t>Director</w:t>
      </w:r>
      <w:proofErr w:type="gramEnd"/>
      <w:r>
        <w:t xml:space="preserve"> de Obra, con suficiente antelación, una relación de la maquinaria y equipos a emplear donde se especifiquen sus características y, en especial, </w:t>
      </w:r>
      <w:r w:rsidRPr="00847B90">
        <w:t>su idoneidad para el sistema de ejecución de las marcas viales previstas en este Pliego.</w:t>
      </w:r>
    </w:p>
    <w:p w14:paraId="48B7D5D0" w14:textId="77777777" w:rsidR="002B430C" w:rsidRDefault="002B430C" w:rsidP="00611EE6">
      <w:pPr>
        <w:pStyle w:val="NORMAL12"/>
        <w:rPr>
          <w:strike/>
        </w:rPr>
      </w:pPr>
      <w:r w:rsidRPr="00847B90">
        <w:t>La maquinaria de aplicación cumplirá las especificaciones de la norma UNE 135 277 (1)</w:t>
      </w:r>
      <w:r w:rsidR="00245F29" w:rsidRPr="00847B90">
        <w:t>: 2010</w:t>
      </w:r>
      <w:r w:rsidRPr="00847B90">
        <w:t>.</w:t>
      </w:r>
      <w:r>
        <w:t xml:space="preserve"> </w:t>
      </w:r>
    </w:p>
    <w:p w14:paraId="4F926DE5" w14:textId="77777777" w:rsidR="002B430C" w:rsidRDefault="00EC60DF" w:rsidP="000313DD">
      <w:pPr>
        <w:pStyle w:val="TITU2"/>
      </w:pPr>
      <w:bookmarkStart w:id="1066" w:name="_Toc492538085"/>
      <w:bookmarkStart w:id="1067" w:name="_Toc400741634"/>
      <w:bookmarkStart w:id="1068" w:name="_Toc399509140"/>
      <w:bookmarkStart w:id="1069" w:name="_Toc404558"/>
      <w:r>
        <w:t xml:space="preserve">700.6. </w:t>
      </w:r>
      <w:r w:rsidR="00901FE5">
        <w:t xml:space="preserve">  </w:t>
      </w:r>
      <w:r w:rsidR="002B430C" w:rsidRPr="0085450C">
        <w:t>Ejecución</w:t>
      </w:r>
      <w:bookmarkEnd w:id="1066"/>
      <w:bookmarkEnd w:id="1067"/>
      <w:bookmarkEnd w:id="1068"/>
      <w:r w:rsidR="00883387">
        <w:t xml:space="preserve"> de las obras</w:t>
      </w:r>
      <w:bookmarkEnd w:id="1069"/>
    </w:p>
    <w:p w14:paraId="3F8EC228" w14:textId="77777777" w:rsidR="002B430C" w:rsidRDefault="002B430C" w:rsidP="00611EE6">
      <w:pPr>
        <w:pStyle w:val="NORMAL12"/>
      </w:pPr>
      <w:proofErr w:type="gramStart"/>
      <w:r>
        <w:t>Los materiales a utilizar</w:t>
      </w:r>
      <w:proofErr w:type="gramEnd"/>
      <w:r>
        <w:t xml:space="preserve"> en la ejecución de las marcas viales previstas en este proyecto dispondrán de una marca de calidad otorgada por un organismo de certificación acreditado en España y que esté reconocida por el Ministerio de Fomento.</w:t>
      </w:r>
    </w:p>
    <w:p w14:paraId="62BB5BCF" w14:textId="77777777" w:rsidR="002B430C" w:rsidRDefault="002B430C" w:rsidP="00611EE6">
      <w:pPr>
        <w:pStyle w:val="NORMAL12"/>
      </w:pPr>
      <w:r>
        <w:t>Podrán utilizarse igualmente materiales provenientes de otros países de la Unión Europea que dispongan también de sello de calidad otorgado por un organismo acreditado en el país correspondiente. En tal caso se realizarán exclusivamente los ensayos necesarios para completar las prescripciones de calidad de este Pliego, según los procedimientos establecidos en el artículo 700.</w:t>
      </w:r>
      <w:r w:rsidRPr="00611EE6">
        <w:t>8</w:t>
      </w:r>
      <w:r>
        <w:t xml:space="preserve"> del PG-3 y que no estén certificadas por la marca de calidad aportada por el citado organismo acreditado.</w:t>
      </w:r>
    </w:p>
    <w:p w14:paraId="48BE07E3" w14:textId="77777777" w:rsidR="002B430C" w:rsidRDefault="002B430C" w:rsidP="00611EE6">
      <w:pPr>
        <w:pStyle w:val="NORMAL12"/>
      </w:pPr>
      <w:r>
        <w:t xml:space="preserve">El Contratista comunicará por escrito al </w:t>
      </w:r>
      <w:proofErr w:type="gramStart"/>
      <w:r>
        <w:t>Director</w:t>
      </w:r>
      <w:proofErr w:type="gramEnd"/>
      <w:r>
        <w:t xml:space="preserve"> de las Obras, con suficiente antelación antes del comienzo de la ejecución de las obras de señalización, la relación de las empresas suministradoras y de los productos a utilizar, con indicación de la marca comercial y referencia que las empresas suministradoras den al mismo.</w:t>
      </w:r>
    </w:p>
    <w:p w14:paraId="3D417AB0" w14:textId="77777777" w:rsidR="002B430C" w:rsidRDefault="002B430C" w:rsidP="00611EE6">
      <w:pPr>
        <w:pStyle w:val="NORMAL12"/>
      </w:pPr>
      <w:r>
        <w:lastRenderedPageBreak/>
        <w:t xml:space="preserve">Se adjuntará al comunicado las especificaciones técnicas de los productos y el certificado de calidad en posesión del suministrador, que acredita que los productos cumplen con la normativa UNE de aplicación y, en consecuencia, con las especificaciones técnicas de este Pliego. </w:t>
      </w:r>
    </w:p>
    <w:p w14:paraId="140C8902" w14:textId="77777777" w:rsidR="002B430C" w:rsidRDefault="002B430C" w:rsidP="00611EE6">
      <w:pPr>
        <w:pStyle w:val="NORMAL12"/>
      </w:pPr>
      <w:r>
        <w:t>Las marcas viales de los desvíos provisionales se repintarán tantas veces como sea necesario, en función de su desgaste, o siempre que así lo dictamine la Dirección de Obra. Los repintados sucesivos serán a costa del Contratista.</w:t>
      </w:r>
    </w:p>
    <w:p w14:paraId="3FF0C7C0" w14:textId="77777777" w:rsidR="002B430C" w:rsidRDefault="002B430C" w:rsidP="00611EE6">
      <w:pPr>
        <w:pStyle w:val="NORMAL12"/>
      </w:pPr>
      <w:r>
        <w:t xml:space="preserve">La aplicación de la marca vial debe realizarse de conformidad con las instrucciones del sistema de señalización vial horizontal que incluirán al menos: la identificación del fabricante, las dosificaciones, los tipos y proporciones de materiales de </w:t>
      </w:r>
      <w:proofErr w:type="spellStart"/>
      <w:r>
        <w:t>post-mezclado</w:t>
      </w:r>
      <w:proofErr w:type="spellEnd"/>
      <w:r>
        <w:t>, así como la necesidad o no de microesferas de vidrio.</w:t>
      </w:r>
    </w:p>
    <w:p w14:paraId="132BE92B" w14:textId="77777777" w:rsidR="002B430C" w:rsidRPr="00611EE6" w:rsidRDefault="002B430C" w:rsidP="00611EE6">
      <w:pPr>
        <w:pStyle w:val="NORMAL12"/>
        <w:rPr>
          <w:i/>
          <w:u w:val="single"/>
        </w:rPr>
      </w:pPr>
      <w:bookmarkStart w:id="1070" w:name="_Toc252870815"/>
      <w:r w:rsidRPr="00611EE6">
        <w:rPr>
          <w:i/>
          <w:u w:val="single"/>
        </w:rPr>
        <w:t>Seguridad y señalización de las obras</w:t>
      </w:r>
      <w:bookmarkEnd w:id="1070"/>
    </w:p>
    <w:p w14:paraId="169CD6FD" w14:textId="77777777" w:rsidR="002B430C" w:rsidRDefault="002B430C" w:rsidP="00611EE6">
      <w:pPr>
        <w:pStyle w:val="NORMAL12"/>
      </w:pPr>
      <w:r>
        <w:t>El Contratista adjudicatario realizará, a través de su técnico responsable en materia de seguridad y salud, un plan específico de seguridad y señalización de las obras, basado en el Estudio de Seguridad y Salud incluido en el presente proyecto.</w:t>
      </w:r>
    </w:p>
    <w:p w14:paraId="19F05C83" w14:textId="77777777" w:rsidR="002B430C" w:rsidRDefault="002B430C" w:rsidP="00611EE6">
      <w:pPr>
        <w:pStyle w:val="NORMAL12"/>
      </w:pPr>
      <w:r>
        <w:t>El plan específico concretará las medidas a adoptar en materia de seguridad y señalización de las obras, tanto para protección del personal como del tráfico, así como las medidas de protección de las marcas recién pintadas antes de su completo secado.</w:t>
      </w:r>
    </w:p>
    <w:p w14:paraId="3519D4B3" w14:textId="77777777" w:rsidR="002B430C" w:rsidRDefault="002B430C" w:rsidP="00611EE6">
      <w:pPr>
        <w:pStyle w:val="NORMAL12"/>
      </w:pPr>
      <w:r>
        <w:t xml:space="preserve">El Contratista someterá el plan a la aprobación del </w:t>
      </w:r>
      <w:proofErr w:type="gramStart"/>
      <w:r>
        <w:t>Director</w:t>
      </w:r>
      <w:proofErr w:type="gramEnd"/>
      <w:r>
        <w:t xml:space="preserve"> de Obra, con suficiente antelación al inicio de la aplicación de las marcas viales, los sistemas de señalización a utilizar para la protección del tráfico, del personal, los materiales y la maquinaria durante el periodo de ejecución de </w:t>
      </w:r>
      <w:proofErr w:type="gramStart"/>
      <w:r>
        <w:t>las mismas</w:t>
      </w:r>
      <w:proofErr w:type="gramEnd"/>
      <w:r>
        <w:t>.</w:t>
      </w:r>
    </w:p>
    <w:p w14:paraId="3B0198F7" w14:textId="77777777" w:rsidR="002B430C" w:rsidRPr="00611EE6" w:rsidRDefault="002B430C" w:rsidP="00611EE6">
      <w:pPr>
        <w:pStyle w:val="NORMAL12"/>
        <w:rPr>
          <w:i/>
          <w:u w:val="single"/>
        </w:rPr>
      </w:pPr>
      <w:r w:rsidRPr="00611EE6">
        <w:rPr>
          <w:i/>
          <w:u w:val="single"/>
        </w:rPr>
        <w:t>Preparación de la superficie existente.</w:t>
      </w:r>
    </w:p>
    <w:p w14:paraId="47560F93" w14:textId="77777777" w:rsidR="002B430C" w:rsidRDefault="002B430C" w:rsidP="00611EE6">
      <w:pPr>
        <w:pStyle w:val="NORMAL12"/>
      </w:pPr>
      <w:r>
        <w:t>Antes de la puesta en obra, se realizará una inspección del pavimento, se llevará a cabo una limpieza del pavimento para eliminar la suciedad y elementos contaminantes que puedan influir en la calidad y durabilidad de la marca vial.</w:t>
      </w:r>
    </w:p>
    <w:p w14:paraId="4BA05E0E" w14:textId="77777777" w:rsidR="002B430C" w:rsidRDefault="002B430C" w:rsidP="00611EE6">
      <w:pPr>
        <w:pStyle w:val="NORMAL12"/>
      </w:pPr>
      <w:r>
        <w:t>En los pavimentos de hormigón deberán eliminarse todos aquellos materiales utilizados en el proceso de curado que aún se encuentren adheridos a su superficie.</w:t>
      </w:r>
    </w:p>
    <w:p w14:paraId="62452F40" w14:textId="77777777" w:rsidR="002B430C" w:rsidRDefault="002B430C" w:rsidP="000313DD">
      <w:pPr>
        <w:pStyle w:val="TITU2"/>
      </w:pPr>
      <w:bookmarkStart w:id="1071" w:name="_Toc492538086"/>
      <w:bookmarkStart w:id="1072" w:name="_Toc414187874"/>
      <w:bookmarkStart w:id="1073" w:name="_Toc404559"/>
      <w:r w:rsidRPr="0085450C">
        <w:t xml:space="preserve">700.8. </w:t>
      </w:r>
      <w:r w:rsidRPr="0085450C">
        <w:tab/>
        <w:t>Control de calidad</w:t>
      </w:r>
      <w:bookmarkEnd w:id="1071"/>
      <w:bookmarkEnd w:id="1072"/>
      <w:bookmarkEnd w:id="1073"/>
    </w:p>
    <w:p w14:paraId="1332A73C" w14:textId="77777777" w:rsidR="002B430C" w:rsidRDefault="002B430C" w:rsidP="00611EE6">
      <w:pPr>
        <w:pStyle w:val="NORMAL12"/>
      </w:pPr>
      <w:proofErr w:type="gramStart"/>
      <w:r>
        <w:t>Los ensayos a realizar</w:t>
      </w:r>
      <w:proofErr w:type="gramEnd"/>
      <w:r>
        <w:t xml:space="preserve"> sobre el material y la frecuencia establecida está</w:t>
      </w:r>
      <w:r w:rsidR="00266CDB">
        <w:t>n</w:t>
      </w:r>
      <w:r>
        <w:t xml:space="preserve"> reflejad</w:t>
      </w:r>
      <w:r w:rsidR="00266CDB">
        <w:t>os</w:t>
      </w:r>
      <w:r>
        <w:t xml:space="preserve"> en la siguiente tabla; serán también de aplicación los ensayos establecidos en el artículo 700, Marcas viales del PG-3 no incluidos en el presente artículo, si la </w:t>
      </w:r>
      <w:r w:rsidR="00CA3EAB">
        <w:t>D</w:t>
      </w:r>
      <w:r>
        <w:t xml:space="preserve">irección de </w:t>
      </w:r>
      <w:r w:rsidR="00CA3EAB">
        <w:t>O</w:t>
      </w:r>
      <w:r>
        <w:t xml:space="preserve">bra lo considera oportuno; el coste de </w:t>
      </w:r>
      <w:proofErr w:type="gramStart"/>
      <w:r>
        <w:t>los mismos</w:t>
      </w:r>
      <w:proofErr w:type="gramEnd"/>
      <w:r>
        <w:t xml:space="preserve"> será sufragado según indica el artículo </w:t>
      </w:r>
      <w:r w:rsidR="00CA3EAB">
        <w:t xml:space="preserve">104.6 </w:t>
      </w:r>
      <w:r w:rsidR="00CA3EAB" w:rsidRPr="00CA3EAB">
        <w:rPr>
          <w:i/>
        </w:rPr>
        <w:t>Ensayos.</w:t>
      </w:r>
      <w:r w:rsidR="00CA3EAB">
        <w:t xml:space="preserve"> del </w:t>
      </w:r>
      <w:r>
        <w:t>presente pliego.</w:t>
      </w:r>
    </w:p>
    <w:p w14:paraId="19465B60" w14:textId="77777777" w:rsidR="002B430C" w:rsidRDefault="002B430C" w:rsidP="00611EE6">
      <w:pPr>
        <w:pStyle w:val="NORMAL12"/>
      </w:pPr>
      <w:r>
        <w:t>Se llevará a cabo el control de calidad de las siguientes fases del proceso según lo establecido en los apartados del PG-3 siguientes:</w:t>
      </w:r>
    </w:p>
    <w:p w14:paraId="3B2C3CA7" w14:textId="77777777" w:rsidR="002B430C" w:rsidRDefault="002B430C" w:rsidP="00E01981">
      <w:pPr>
        <w:pStyle w:val="NORMAL12"/>
        <w:numPr>
          <w:ilvl w:val="0"/>
          <w:numId w:val="118"/>
        </w:numPr>
      </w:pPr>
      <w:r>
        <w:t>Control de procedencia de los materiales según el apartado 700.8.2</w:t>
      </w:r>
    </w:p>
    <w:p w14:paraId="2B1FB726" w14:textId="77777777" w:rsidR="002B430C" w:rsidRDefault="002B430C" w:rsidP="00E01981">
      <w:pPr>
        <w:pStyle w:val="NORMAL12"/>
        <w:numPr>
          <w:ilvl w:val="0"/>
          <w:numId w:val="118"/>
        </w:numPr>
      </w:pPr>
      <w:r>
        <w:t>Control de la puesta en obra según el apartado 700.8.3</w:t>
      </w:r>
    </w:p>
    <w:p w14:paraId="7AC1F688" w14:textId="77777777" w:rsidR="002B430C" w:rsidRDefault="002B430C" w:rsidP="00E01981">
      <w:pPr>
        <w:pStyle w:val="NORMAL12"/>
        <w:numPr>
          <w:ilvl w:val="0"/>
          <w:numId w:val="118"/>
        </w:numPr>
      </w:pPr>
      <w:r>
        <w:t>Control de la unidad terminada según el apartado 700.8.4</w:t>
      </w:r>
    </w:p>
    <w:p w14:paraId="7E1BB56A" w14:textId="77777777" w:rsidR="002B430C" w:rsidRDefault="002B430C" w:rsidP="002B430C"/>
    <w:tbl>
      <w:tblPr>
        <w:tblW w:w="9520" w:type="dxa"/>
        <w:tblInd w:w="65" w:type="dxa"/>
        <w:tblCellMar>
          <w:left w:w="70" w:type="dxa"/>
          <w:right w:w="70" w:type="dxa"/>
        </w:tblCellMar>
        <w:tblLook w:val="00A0" w:firstRow="1" w:lastRow="0" w:firstColumn="1" w:lastColumn="0" w:noHBand="0" w:noVBand="0"/>
      </w:tblPr>
      <w:tblGrid>
        <w:gridCol w:w="9520"/>
      </w:tblGrid>
      <w:tr w:rsidR="002B430C" w:rsidRPr="00174ED1" w14:paraId="4212C92C" w14:textId="77777777" w:rsidTr="002B430C">
        <w:trPr>
          <w:trHeight w:val="510"/>
        </w:trPr>
        <w:tc>
          <w:tcPr>
            <w:tcW w:w="9520" w:type="dxa"/>
            <w:tcBorders>
              <w:top w:val="single" w:sz="4" w:space="0" w:color="auto"/>
              <w:left w:val="single" w:sz="4" w:space="0" w:color="auto"/>
              <w:bottom w:val="single" w:sz="4" w:space="0" w:color="auto"/>
              <w:right w:val="single" w:sz="4" w:space="0" w:color="auto"/>
            </w:tcBorders>
            <w:shd w:val="clear" w:color="auto" w:fill="D8D8D8"/>
            <w:noWrap/>
            <w:vAlign w:val="center"/>
            <w:hideMark/>
          </w:tcPr>
          <w:p w14:paraId="080BA703" w14:textId="77777777" w:rsidR="002B430C" w:rsidRPr="00174ED1" w:rsidRDefault="002B430C">
            <w:pPr>
              <w:keepNext/>
              <w:rPr>
                <w:rFonts w:ascii="Arial" w:hAnsi="Arial" w:cs="Arial"/>
                <w:b/>
                <w:bCs/>
              </w:rPr>
            </w:pPr>
            <w:r w:rsidRPr="00174ED1">
              <w:rPr>
                <w:rFonts w:ascii="Arial" w:hAnsi="Arial" w:cs="Arial"/>
                <w:b/>
                <w:bCs/>
              </w:rPr>
              <w:t>PINTURAS</w:t>
            </w:r>
          </w:p>
        </w:tc>
      </w:tr>
      <w:tr w:rsidR="002B430C" w:rsidRPr="00174ED1" w14:paraId="0CB3D0F8" w14:textId="77777777" w:rsidTr="0085450C">
        <w:trPr>
          <w:trHeight w:val="600"/>
        </w:trPr>
        <w:tc>
          <w:tcPr>
            <w:tcW w:w="95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5BC87D5" w14:textId="77777777" w:rsidR="002B430C" w:rsidRPr="00174ED1" w:rsidRDefault="002B430C" w:rsidP="00C61E14">
            <w:pPr>
              <w:rPr>
                <w:rFonts w:ascii="Arial" w:hAnsi="Arial" w:cs="Arial"/>
                <w:i/>
                <w:iCs/>
                <w:sz w:val="20"/>
                <w:szCs w:val="20"/>
              </w:rPr>
            </w:pPr>
            <w:r w:rsidRPr="00174ED1">
              <w:rPr>
                <w:rFonts w:ascii="Arial" w:hAnsi="Arial" w:cs="Arial"/>
                <w:i/>
                <w:iCs/>
                <w:sz w:val="20"/>
                <w:szCs w:val="20"/>
              </w:rPr>
              <w:t xml:space="preserve">Cada Cincuenta toneladas (50 </w:t>
            </w:r>
            <w:r w:rsidR="00C61E14">
              <w:rPr>
                <w:rFonts w:ascii="Arial" w:hAnsi="Arial" w:cs="Arial"/>
                <w:i/>
                <w:iCs/>
                <w:sz w:val="20"/>
                <w:szCs w:val="20"/>
              </w:rPr>
              <w:t>t</w:t>
            </w:r>
            <w:r w:rsidRPr="00174ED1">
              <w:rPr>
                <w:rFonts w:ascii="Arial" w:hAnsi="Arial" w:cs="Arial"/>
                <w:i/>
                <w:iCs/>
                <w:sz w:val="20"/>
                <w:szCs w:val="20"/>
              </w:rPr>
              <w:t xml:space="preserve">) </w:t>
            </w:r>
            <w:r w:rsidR="00EF277D" w:rsidRPr="00174ED1">
              <w:rPr>
                <w:rFonts w:ascii="Arial" w:hAnsi="Arial" w:cs="Arial"/>
                <w:i/>
                <w:iCs/>
                <w:sz w:val="20"/>
                <w:szCs w:val="20"/>
              </w:rPr>
              <w:t>o</w:t>
            </w:r>
            <w:r w:rsidRPr="00174ED1">
              <w:rPr>
                <w:rFonts w:ascii="Arial" w:hAnsi="Arial" w:cs="Arial"/>
                <w:i/>
                <w:iCs/>
                <w:sz w:val="20"/>
                <w:szCs w:val="20"/>
              </w:rPr>
              <w:t xml:space="preserve"> fracción:</w:t>
            </w:r>
          </w:p>
        </w:tc>
      </w:tr>
      <w:tr w:rsidR="002B430C" w:rsidRPr="00174ED1" w14:paraId="504483C0" w14:textId="77777777" w:rsidTr="0085450C">
        <w:trPr>
          <w:trHeight w:val="300"/>
        </w:trPr>
        <w:tc>
          <w:tcPr>
            <w:tcW w:w="9520"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96484B8" w14:textId="77777777" w:rsidR="002B430C" w:rsidRPr="00174ED1" w:rsidRDefault="002B430C">
            <w:pPr>
              <w:jc w:val="right"/>
              <w:rPr>
                <w:rFonts w:ascii="Arial" w:hAnsi="Arial" w:cs="Arial"/>
                <w:color w:val="000000"/>
                <w:sz w:val="20"/>
                <w:szCs w:val="20"/>
              </w:rPr>
            </w:pPr>
            <w:r w:rsidRPr="00174ED1">
              <w:rPr>
                <w:rFonts w:ascii="Arial" w:hAnsi="Arial" w:cs="Arial"/>
                <w:color w:val="000000"/>
                <w:sz w:val="20"/>
                <w:szCs w:val="20"/>
              </w:rPr>
              <w:t>Un (1) ensayo de Dotación de pintura/ m</w:t>
            </w:r>
            <w:r w:rsidRPr="00174ED1">
              <w:rPr>
                <w:rFonts w:ascii="Arial" w:hAnsi="Arial" w:cs="Arial"/>
                <w:color w:val="000000"/>
                <w:sz w:val="20"/>
                <w:szCs w:val="20"/>
                <w:vertAlign w:val="superscript"/>
              </w:rPr>
              <w:t>2</w:t>
            </w:r>
          </w:p>
        </w:tc>
      </w:tr>
      <w:tr w:rsidR="002B430C" w:rsidRPr="00174ED1" w14:paraId="7D303E1A" w14:textId="77777777" w:rsidTr="0085450C">
        <w:trPr>
          <w:trHeight w:val="600"/>
        </w:trPr>
        <w:tc>
          <w:tcPr>
            <w:tcW w:w="95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F7F2EB8" w14:textId="77777777" w:rsidR="002B430C" w:rsidRPr="00174ED1" w:rsidRDefault="002B430C" w:rsidP="00C61E14">
            <w:pPr>
              <w:rPr>
                <w:rFonts w:ascii="Arial" w:hAnsi="Arial" w:cs="Arial"/>
                <w:i/>
                <w:iCs/>
                <w:sz w:val="20"/>
                <w:szCs w:val="20"/>
              </w:rPr>
            </w:pPr>
            <w:r w:rsidRPr="00174ED1">
              <w:rPr>
                <w:rFonts w:ascii="Arial" w:hAnsi="Arial" w:cs="Arial"/>
                <w:i/>
                <w:iCs/>
                <w:sz w:val="20"/>
                <w:szCs w:val="20"/>
              </w:rPr>
              <w:t xml:space="preserve">Cada Veinticinco toneladas (25 </w:t>
            </w:r>
            <w:r w:rsidR="00C61E14">
              <w:rPr>
                <w:rFonts w:ascii="Arial" w:hAnsi="Arial" w:cs="Arial"/>
                <w:i/>
                <w:iCs/>
                <w:sz w:val="20"/>
                <w:szCs w:val="20"/>
              </w:rPr>
              <w:t>t</w:t>
            </w:r>
            <w:r w:rsidRPr="00174ED1">
              <w:rPr>
                <w:rFonts w:ascii="Arial" w:hAnsi="Arial" w:cs="Arial"/>
                <w:i/>
                <w:iCs/>
                <w:sz w:val="20"/>
                <w:szCs w:val="20"/>
              </w:rPr>
              <w:t xml:space="preserve">) </w:t>
            </w:r>
            <w:r w:rsidR="00EF277D" w:rsidRPr="00174ED1">
              <w:rPr>
                <w:rFonts w:ascii="Arial" w:hAnsi="Arial" w:cs="Arial"/>
                <w:i/>
                <w:iCs/>
                <w:sz w:val="20"/>
                <w:szCs w:val="20"/>
              </w:rPr>
              <w:t>o</w:t>
            </w:r>
            <w:r w:rsidRPr="00174ED1">
              <w:rPr>
                <w:rFonts w:ascii="Arial" w:hAnsi="Arial" w:cs="Arial"/>
                <w:i/>
                <w:iCs/>
                <w:sz w:val="20"/>
                <w:szCs w:val="20"/>
              </w:rPr>
              <w:t xml:space="preserve"> fracción:</w:t>
            </w:r>
          </w:p>
        </w:tc>
      </w:tr>
      <w:tr w:rsidR="002B430C" w:rsidRPr="00174ED1" w14:paraId="1E7A3F35" w14:textId="77777777" w:rsidTr="002B430C">
        <w:trPr>
          <w:trHeight w:val="300"/>
        </w:trPr>
        <w:tc>
          <w:tcPr>
            <w:tcW w:w="9520" w:type="dxa"/>
            <w:tcBorders>
              <w:top w:val="nil"/>
              <w:left w:val="single" w:sz="4" w:space="0" w:color="auto"/>
              <w:bottom w:val="single" w:sz="4" w:space="0" w:color="auto"/>
              <w:right w:val="single" w:sz="4" w:space="0" w:color="auto"/>
            </w:tcBorders>
            <w:noWrap/>
            <w:vAlign w:val="bottom"/>
            <w:hideMark/>
          </w:tcPr>
          <w:p w14:paraId="3ECB75FD" w14:textId="77777777" w:rsidR="002B430C" w:rsidRPr="00174ED1" w:rsidRDefault="002B430C">
            <w:pPr>
              <w:jc w:val="right"/>
              <w:rPr>
                <w:rFonts w:ascii="Arial" w:hAnsi="Arial" w:cs="Arial"/>
                <w:color w:val="000000"/>
                <w:sz w:val="20"/>
                <w:szCs w:val="20"/>
              </w:rPr>
            </w:pPr>
            <w:r w:rsidRPr="00174ED1">
              <w:rPr>
                <w:rFonts w:ascii="Arial" w:hAnsi="Arial" w:cs="Arial"/>
                <w:color w:val="000000"/>
                <w:sz w:val="20"/>
                <w:szCs w:val="20"/>
              </w:rPr>
              <w:t>Un (1) ensayo de Dotación de microesferas/ m</w:t>
            </w:r>
            <w:r w:rsidRPr="00174ED1">
              <w:rPr>
                <w:rFonts w:ascii="Arial" w:hAnsi="Arial" w:cs="Arial"/>
                <w:color w:val="000000"/>
                <w:sz w:val="20"/>
                <w:szCs w:val="20"/>
                <w:vertAlign w:val="superscript"/>
              </w:rPr>
              <w:t>2</w:t>
            </w:r>
          </w:p>
        </w:tc>
      </w:tr>
    </w:tbl>
    <w:p w14:paraId="52D794FE" w14:textId="77777777" w:rsidR="00DE5E65" w:rsidRDefault="00DE5E65" w:rsidP="002B430C">
      <w:pPr>
        <w:rPr>
          <w:rFonts w:ascii="Arial" w:hAnsi="Arial"/>
          <w:sz w:val="22"/>
          <w:szCs w:val="20"/>
        </w:rPr>
      </w:pPr>
    </w:p>
    <w:p w14:paraId="337BABB7" w14:textId="77777777" w:rsidR="002B430C" w:rsidRPr="00DE5E65" w:rsidRDefault="002B430C" w:rsidP="002B430C">
      <w:pPr>
        <w:rPr>
          <w:rFonts w:ascii="Arial" w:hAnsi="Arial"/>
          <w:sz w:val="2"/>
          <w:szCs w:val="2"/>
        </w:rPr>
      </w:pPr>
    </w:p>
    <w:p w14:paraId="2A776459" w14:textId="77777777" w:rsidR="00873849" w:rsidRPr="00873849" w:rsidRDefault="002B430C" w:rsidP="000313DD">
      <w:pPr>
        <w:pStyle w:val="TITU2"/>
      </w:pPr>
      <w:bookmarkStart w:id="1074" w:name="_Toc492538087"/>
      <w:bookmarkStart w:id="1075" w:name="_Toc400741636"/>
      <w:bookmarkStart w:id="1076" w:name="_Toc399509142"/>
      <w:bookmarkStart w:id="1077" w:name="_Toc404560"/>
      <w:r w:rsidRPr="0085450C">
        <w:t>700.11.</w:t>
      </w:r>
      <w:r w:rsidR="00873849">
        <w:t xml:space="preserve"> </w:t>
      </w:r>
      <w:r w:rsidRPr="0085450C">
        <w:t>Medición</w:t>
      </w:r>
      <w:r>
        <w:t xml:space="preserve"> y abono</w:t>
      </w:r>
      <w:bookmarkEnd w:id="1074"/>
      <w:bookmarkEnd w:id="1075"/>
      <w:bookmarkEnd w:id="1076"/>
      <w:bookmarkEnd w:id="1077"/>
    </w:p>
    <w:p w14:paraId="41516E24" w14:textId="77777777" w:rsidR="002B430C" w:rsidRDefault="00611EE6" w:rsidP="00611EE6">
      <w:pPr>
        <w:pStyle w:val="NORMAL12"/>
      </w:pPr>
      <w:r>
        <w:t xml:space="preserve">La medición y abono de las marcas viales </w:t>
      </w:r>
      <w:r w:rsidR="002B430C">
        <w:t xml:space="preserve">de ancho constante </w:t>
      </w:r>
      <w:r>
        <w:t>se realizará según las especificaciones siguientes:</w:t>
      </w:r>
    </w:p>
    <w:tbl>
      <w:tblPr>
        <w:tblW w:w="90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28"/>
        <w:gridCol w:w="6073"/>
      </w:tblGrid>
      <w:tr w:rsidR="002B430C" w14:paraId="02A714ED" w14:textId="77777777" w:rsidTr="002B430C">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BFB43AD" w14:textId="77777777" w:rsidR="002B430C" w:rsidRDefault="002B430C" w:rsidP="00174ED1">
            <w:pPr>
              <w:pStyle w:val="GTTTtuloTabla"/>
              <w:rPr>
                <w:rFonts w:ascii="Arial" w:hAnsi="Arial" w:cs="Arial"/>
                <w:b w:val="0"/>
                <w:bCs/>
                <w:sz w:val="20"/>
              </w:rPr>
            </w:pPr>
            <w:r w:rsidRPr="003708DA">
              <w:rPr>
                <w:rFonts w:ascii="Arial" w:hAnsi="Arial" w:cs="Arial"/>
                <w:sz w:val="20"/>
              </w:rPr>
              <w:t>Unidad de medida</w:t>
            </w:r>
          </w:p>
        </w:tc>
        <w:tc>
          <w:tcPr>
            <w:tcW w:w="6073" w:type="dxa"/>
            <w:tcBorders>
              <w:top w:val="single" w:sz="4" w:space="0" w:color="auto"/>
              <w:left w:val="single" w:sz="4" w:space="0" w:color="auto"/>
              <w:bottom w:val="single" w:sz="4" w:space="0" w:color="auto"/>
              <w:right w:val="single" w:sz="4" w:space="0" w:color="auto"/>
            </w:tcBorders>
            <w:vAlign w:val="center"/>
            <w:hideMark/>
          </w:tcPr>
          <w:p w14:paraId="21603391" w14:textId="77777777" w:rsidR="002B430C" w:rsidRDefault="002B430C" w:rsidP="003708DA">
            <w:pPr>
              <w:pStyle w:val="GTTTabla"/>
              <w:jc w:val="both"/>
              <w:rPr>
                <w:rFonts w:ascii="Arial" w:hAnsi="Arial" w:cs="Arial"/>
                <w:sz w:val="20"/>
              </w:rPr>
            </w:pPr>
            <w:r>
              <w:rPr>
                <w:rFonts w:ascii="Arial" w:hAnsi="Arial" w:cs="Arial"/>
                <w:sz w:val="20"/>
              </w:rPr>
              <w:t>Metro (m).</w:t>
            </w:r>
          </w:p>
        </w:tc>
      </w:tr>
      <w:tr w:rsidR="002B430C" w14:paraId="2C806A57" w14:textId="77777777" w:rsidTr="002B430C">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EDA7401" w14:textId="77777777" w:rsidR="002B430C" w:rsidRDefault="002B430C" w:rsidP="00174ED1">
            <w:pPr>
              <w:pStyle w:val="GTTTtuloTabla"/>
              <w:rPr>
                <w:rFonts w:ascii="Arial" w:hAnsi="Arial" w:cs="Arial"/>
                <w:b w:val="0"/>
                <w:bCs/>
                <w:sz w:val="20"/>
              </w:rPr>
            </w:pPr>
            <w:r w:rsidRPr="003708DA">
              <w:rPr>
                <w:rFonts w:ascii="Arial" w:hAnsi="Arial" w:cs="Arial"/>
                <w:sz w:val="20"/>
              </w:rPr>
              <w:t>Grado de precisión</w:t>
            </w:r>
          </w:p>
        </w:tc>
        <w:tc>
          <w:tcPr>
            <w:tcW w:w="6073" w:type="dxa"/>
            <w:tcBorders>
              <w:top w:val="single" w:sz="4" w:space="0" w:color="auto"/>
              <w:left w:val="single" w:sz="4" w:space="0" w:color="auto"/>
              <w:bottom w:val="single" w:sz="4" w:space="0" w:color="auto"/>
              <w:right w:val="single" w:sz="4" w:space="0" w:color="auto"/>
            </w:tcBorders>
            <w:vAlign w:val="center"/>
            <w:hideMark/>
          </w:tcPr>
          <w:p w14:paraId="7DA13523" w14:textId="77777777" w:rsidR="002B430C" w:rsidRDefault="002B430C" w:rsidP="003708DA">
            <w:pPr>
              <w:pStyle w:val="GTTTabla"/>
              <w:jc w:val="both"/>
              <w:rPr>
                <w:rFonts w:ascii="Arial" w:hAnsi="Arial" w:cs="Arial"/>
                <w:sz w:val="20"/>
              </w:rPr>
            </w:pPr>
            <w:r>
              <w:rPr>
                <w:rFonts w:ascii="Arial" w:hAnsi="Arial" w:cs="Arial"/>
                <w:sz w:val="20"/>
              </w:rPr>
              <w:t>Dos decimales.</w:t>
            </w:r>
          </w:p>
        </w:tc>
      </w:tr>
      <w:tr w:rsidR="002B430C" w14:paraId="43BC82AF" w14:textId="77777777" w:rsidTr="002B430C">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57C515D" w14:textId="77777777" w:rsidR="002B430C" w:rsidRDefault="002B430C" w:rsidP="00174ED1">
            <w:pPr>
              <w:pStyle w:val="GTTTtuloTabla"/>
              <w:rPr>
                <w:rFonts w:ascii="Arial" w:hAnsi="Arial" w:cs="Arial"/>
                <w:b w:val="0"/>
                <w:bCs/>
                <w:sz w:val="20"/>
              </w:rPr>
            </w:pPr>
            <w:r w:rsidRPr="003708DA">
              <w:rPr>
                <w:rFonts w:ascii="Arial" w:hAnsi="Arial" w:cs="Arial"/>
                <w:sz w:val="20"/>
              </w:rPr>
              <w:t>Forma de medición</w:t>
            </w:r>
          </w:p>
        </w:tc>
        <w:tc>
          <w:tcPr>
            <w:tcW w:w="6073" w:type="dxa"/>
            <w:tcBorders>
              <w:top w:val="single" w:sz="4" w:space="0" w:color="auto"/>
              <w:left w:val="single" w:sz="4" w:space="0" w:color="auto"/>
              <w:bottom w:val="single" w:sz="4" w:space="0" w:color="auto"/>
              <w:right w:val="single" w:sz="4" w:space="0" w:color="auto"/>
            </w:tcBorders>
            <w:vAlign w:val="center"/>
            <w:hideMark/>
          </w:tcPr>
          <w:p w14:paraId="1D4A3ABF" w14:textId="77777777" w:rsidR="002B430C" w:rsidRDefault="002B430C" w:rsidP="003708DA">
            <w:pPr>
              <w:pStyle w:val="GTTTabla"/>
              <w:jc w:val="both"/>
              <w:rPr>
                <w:rFonts w:ascii="Arial" w:hAnsi="Arial" w:cs="Arial"/>
                <w:sz w:val="20"/>
              </w:rPr>
            </w:pPr>
            <w:r>
              <w:rPr>
                <w:rFonts w:ascii="Arial" w:hAnsi="Arial" w:cs="Arial"/>
                <w:sz w:val="20"/>
              </w:rPr>
              <w:t xml:space="preserve">Medición de longitud realmente pintada en obra, por el eje de </w:t>
            </w:r>
            <w:proofErr w:type="gramStart"/>
            <w:r>
              <w:rPr>
                <w:rFonts w:ascii="Arial" w:hAnsi="Arial" w:cs="Arial"/>
                <w:sz w:val="20"/>
              </w:rPr>
              <w:t>las mismas</w:t>
            </w:r>
            <w:proofErr w:type="gramEnd"/>
            <w:r>
              <w:rPr>
                <w:rFonts w:ascii="Arial" w:hAnsi="Arial" w:cs="Arial"/>
                <w:sz w:val="20"/>
              </w:rPr>
              <w:t xml:space="preserve"> sobre el pavimento. </w:t>
            </w:r>
          </w:p>
        </w:tc>
      </w:tr>
      <w:tr w:rsidR="002B430C" w14:paraId="76738C9D" w14:textId="77777777" w:rsidTr="002B430C">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1EE507D" w14:textId="77777777" w:rsidR="002B430C" w:rsidRDefault="002B430C" w:rsidP="00174ED1">
            <w:pPr>
              <w:pStyle w:val="GTTTtuloTabla"/>
              <w:rPr>
                <w:rFonts w:ascii="Arial" w:hAnsi="Arial" w:cs="Arial"/>
                <w:b w:val="0"/>
                <w:bCs/>
                <w:sz w:val="20"/>
              </w:rPr>
            </w:pPr>
            <w:r w:rsidRPr="003708DA">
              <w:rPr>
                <w:rFonts w:ascii="Arial" w:hAnsi="Arial" w:cs="Arial"/>
                <w:sz w:val="20"/>
              </w:rPr>
              <w:t>Abono</w:t>
            </w:r>
          </w:p>
        </w:tc>
        <w:tc>
          <w:tcPr>
            <w:tcW w:w="6073" w:type="dxa"/>
            <w:tcBorders>
              <w:top w:val="single" w:sz="4" w:space="0" w:color="auto"/>
              <w:left w:val="single" w:sz="4" w:space="0" w:color="auto"/>
              <w:bottom w:val="single" w:sz="4" w:space="0" w:color="auto"/>
              <w:right w:val="single" w:sz="4" w:space="0" w:color="auto"/>
            </w:tcBorders>
            <w:vAlign w:val="center"/>
            <w:hideMark/>
          </w:tcPr>
          <w:p w14:paraId="1E9287E1" w14:textId="77777777" w:rsidR="002B430C" w:rsidRDefault="002B430C" w:rsidP="003708DA">
            <w:pPr>
              <w:pStyle w:val="GTTTabla"/>
              <w:jc w:val="both"/>
              <w:rPr>
                <w:rFonts w:ascii="Arial" w:hAnsi="Arial" w:cs="Arial"/>
                <w:sz w:val="20"/>
              </w:rPr>
            </w:pPr>
            <w:r>
              <w:rPr>
                <w:rFonts w:ascii="Arial" w:hAnsi="Arial" w:cs="Arial"/>
                <w:sz w:val="20"/>
              </w:rPr>
              <w:t>Se efectuará cuando se realice la aceptación.</w:t>
            </w:r>
          </w:p>
        </w:tc>
      </w:tr>
      <w:tr w:rsidR="002B430C" w14:paraId="38430F2C" w14:textId="77777777" w:rsidTr="002B430C">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9E666FC" w14:textId="77777777" w:rsidR="002B430C" w:rsidRDefault="002B430C" w:rsidP="00174ED1">
            <w:pPr>
              <w:pStyle w:val="GTTTtuloTabla"/>
              <w:rPr>
                <w:rFonts w:ascii="Arial" w:hAnsi="Arial" w:cs="Arial"/>
                <w:b w:val="0"/>
                <w:bCs/>
                <w:sz w:val="20"/>
              </w:rPr>
            </w:pPr>
            <w:r w:rsidRPr="003708DA">
              <w:rPr>
                <w:rFonts w:ascii="Arial" w:hAnsi="Arial" w:cs="Arial"/>
                <w:sz w:val="20"/>
              </w:rPr>
              <w:t>Criterios complementarios</w:t>
            </w:r>
          </w:p>
        </w:tc>
        <w:tc>
          <w:tcPr>
            <w:tcW w:w="6073" w:type="dxa"/>
            <w:tcBorders>
              <w:top w:val="single" w:sz="4" w:space="0" w:color="auto"/>
              <w:left w:val="single" w:sz="4" w:space="0" w:color="auto"/>
              <w:bottom w:val="single" w:sz="4" w:space="0" w:color="auto"/>
              <w:right w:val="single" w:sz="4" w:space="0" w:color="auto"/>
            </w:tcBorders>
            <w:vAlign w:val="center"/>
            <w:hideMark/>
          </w:tcPr>
          <w:p w14:paraId="2709A671" w14:textId="77777777" w:rsidR="002B430C" w:rsidRDefault="002B430C" w:rsidP="003708DA">
            <w:pPr>
              <w:pStyle w:val="GTTTabla"/>
              <w:jc w:val="both"/>
              <w:rPr>
                <w:rFonts w:ascii="Arial" w:hAnsi="Arial" w:cs="Arial"/>
                <w:sz w:val="20"/>
              </w:rPr>
            </w:pPr>
            <w:r>
              <w:rPr>
                <w:rFonts w:ascii="Arial" w:hAnsi="Arial" w:cs="Arial"/>
                <w:sz w:val="20"/>
              </w:rPr>
              <w:t xml:space="preserve">El precio incluye las operaciones necesarias para la preparación de la superficie de aplicación y </w:t>
            </w:r>
            <w:proofErr w:type="spellStart"/>
            <w:r>
              <w:rPr>
                <w:rFonts w:ascii="Arial" w:hAnsi="Arial" w:cs="Arial"/>
                <w:sz w:val="20"/>
              </w:rPr>
              <w:t>premarcado</w:t>
            </w:r>
            <w:proofErr w:type="spellEnd"/>
            <w:r>
              <w:rPr>
                <w:rFonts w:ascii="Arial" w:hAnsi="Arial" w:cs="Arial"/>
                <w:sz w:val="20"/>
              </w:rPr>
              <w:t>.</w:t>
            </w:r>
          </w:p>
        </w:tc>
      </w:tr>
    </w:tbl>
    <w:p w14:paraId="7FA9E7D1" w14:textId="77777777" w:rsidR="002B430C" w:rsidRDefault="002B430C" w:rsidP="002B430C">
      <w:pPr>
        <w:autoSpaceDE w:val="0"/>
        <w:autoSpaceDN w:val="0"/>
        <w:adjustRightInd w:val="0"/>
        <w:rPr>
          <w:rFonts w:ascii="Arial" w:hAnsi="Arial" w:cs="Arial"/>
          <w:sz w:val="22"/>
          <w:szCs w:val="22"/>
        </w:rPr>
      </w:pPr>
    </w:p>
    <w:p w14:paraId="342F3F27" w14:textId="77777777" w:rsidR="002B430C" w:rsidRPr="00611EE6" w:rsidRDefault="00611EE6" w:rsidP="00611EE6">
      <w:pPr>
        <w:pStyle w:val="NORMAL12"/>
      </w:pPr>
      <w:r>
        <w:lastRenderedPageBreak/>
        <w:t xml:space="preserve">La medición y abono de las unidades de </w:t>
      </w:r>
      <w:r w:rsidR="002B430C">
        <w:t xml:space="preserve">marcas viales de ancho variable (flechas, símbolos, rótulos, cebreados, etc.) se </w:t>
      </w:r>
      <w:r>
        <w:t>realizará según los criterios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28"/>
        <w:gridCol w:w="6073"/>
      </w:tblGrid>
      <w:tr w:rsidR="002B430C" w14:paraId="66A77E80" w14:textId="77777777" w:rsidTr="002B430C">
        <w:tc>
          <w:tcPr>
            <w:tcW w:w="0" w:type="auto"/>
            <w:tcBorders>
              <w:top w:val="single" w:sz="4" w:space="0" w:color="auto"/>
              <w:left w:val="single" w:sz="4" w:space="0" w:color="auto"/>
              <w:bottom w:val="single" w:sz="4" w:space="0" w:color="auto"/>
              <w:right w:val="single" w:sz="4" w:space="0" w:color="auto"/>
            </w:tcBorders>
            <w:vAlign w:val="center"/>
            <w:hideMark/>
          </w:tcPr>
          <w:p w14:paraId="13968952" w14:textId="77777777" w:rsidR="002B430C" w:rsidRDefault="002B430C" w:rsidP="00174ED1">
            <w:pPr>
              <w:pStyle w:val="GTTTtuloTabla"/>
              <w:rPr>
                <w:rFonts w:ascii="Arial" w:hAnsi="Arial" w:cs="Arial"/>
                <w:b w:val="0"/>
                <w:bCs/>
                <w:sz w:val="20"/>
              </w:rPr>
            </w:pPr>
            <w:r w:rsidRPr="003708DA">
              <w:rPr>
                <w:rFonts w:ascii="Arial" w:hAnsi="Arial" w:cs="Arial"/>
                <w:sz w:val="20"/>
              </w:rPr>
              <w:t>Unidad de medida</w:t>
            </w:r>
          </w:p>
        </w:tc>
        <w:tc>
          <w:tcPr>
            <w:tcW w:w="6073" w:type="dxa"/>
            <w:tcBorders>
              <w:top w:val="single" w:sz="4" w:space="0" w:color="auto"/>
              <w:left w:val="single" w:sz="4" w:space="0" w:color="auto"/>
              <w:bottom w:val="single" w:sz="4" w:space="0" w:color="auto"/>
              <w:right w:val="single" w:sz="4" w:space="0" w:color="auto"/>
            </w:tcBorders>
            <w:vAlign w:val="center"/>
            <w:hideMark/>
          </w:tcPr>
          <w:p w14:paraId="111ED394" w14:textId="77777777" w:rsidR="002B430C" w:rsidRPr="009C5CD0" w:rsidRDefault="002B430C" w:rsidP="003708DA">
            <w:pPr>
              <w:pStyle w:val="GTTTabla"/>
              <w:jc w:val="both"/>
              <w:rPr>
                <w:rFonts w:ascii="Arial" w:hAnsi="Arial" w:cs="Arial"/>
                <w:bCs/>
                <w:sz w:val="20"/>
              </w:rPr>
            </w:pPr>
            <w:r w:rsidRPr="003708DA">
              <w:rPr>
                <w:rFonts w:ascii="Arial" w:hAnsi="Arial" w:cs="Arial"/>
                <w:sz w:val="20"/>
              </w:rPr>
              <w:t>Metro cuadrado (m</w:t>
            </w:r>
            <w:r w:rsidRPr="00D921B6">
              <w:rPr>
                <w:rFonts w:ascii="Arial" w:hAnsi="Arial" w:cs="Arial"/>
                <w:sz w:val="20"/>
                <w:vertAlign w:val="superscript"/>
              </w:rPr>
              <w:t>2</w:t>
            </w:r>
            <w:r w:rsidRPr="003708DA">
              <w:rPr>
                <w:rFonts w:ascii="Arial" w:hAnsi="Arial" w:cs="Arial"/>
                <w:sz w:val="20"/>
              </w:rPr>
              <w:t>).</w:t>
            </w:r>
          </w:p>
        </w:tc>
      </w:tr>
      <w:tr w:rsidR="002B430C" w14:paraId="403C9A74" w14:textId="77777777" w:rsidTr="002B430C">
        <w:tc>
          <w:tcPr>
            <w:tcW w:w="0" w:type="auto"/>
            <w:tcBorders>
              <w:top w:val="single" w:sz="4" w:space="0" w:color="auto"/>
              <w:left w:val="single" w:sz="4" w:space="0" w:color="auto"/>
              <w:bottom w:val="single" w:sz="4" w:space="0" w:color="auto"/>
              <w:right w:val="single" w:sz="4" w:space="0" w:color="auto"/>
            </w:tcBorders>
            <w:vAlign w:val="center"/>
            <w:hideMark/>
          </w:tcPr>
          <w:p w14:paraId="42ACD502" w14:textId="77777777" w:rsidR="002B430C" w:rsidRDefault="002B430C" w:rsidP="00174ED1">
            <w:pPr>
              <w:pStyle w:val="GTTTtuloTabla"/>
              <w:rPr>
                <w:rFonts w:ascii="Arial" w:hAnsi="Arial" w:cs="Arial"/>
                <w:b w:val="0"/>
                <w:bCs/>
                <w:sz w:val="20"/>
              </w:rPr>
            </w:pPr>
            <w:r w:rsidRPr="003708DA">
              <w:rPr>
                <w:rFonts w:ascii="Arial" w:hAnsi="Arial" w:cs="Arial"/>
                <w:sz w:val="20"/>
              </w:rPr>
              <w:t>Grado de precisión</w:t>
            </w:r>
          </w:p>
        </w:tc>
        <w:tc>
          <w:tcPr>
            <w:tcW w:w="6073" w:type="dxa"/>
            <w:tcBorders>
              <w:top w:val="single" w:sz="4" w:space="0" w:color="auto"/>
              <w:left w:val="single" w:sz="4" w:space="0" w:color="auto"/>
              <w:bottom w:val="single" w:sz="4" w:space="0" w:color="auto"/>
              <w:right w:val="single" w:sz="4" w:space="0" w:color="auto"/>
            </w:tcBorders>
            <w:vAlign w:val="center"/>
            <w:hideMark/>
          </w:tcPr>
          <w:p w14:paraId="7B7485C4" w14:textId="77777777" w:rsidR="002B430C" w:rsidRPr="009C5CD0" w:rsidRDefault="002B430C" w:rsidP="003708DA">
            <w:pPr>
              <w:pStyle w:val="GTTTabla"/>
              <w:jc w:val="both"/>
              <w:rPr>
                <w:rFonts w:ascii="Arial" w:hAnsi="Arial" w:cs="Arial"/>
                <w:bCs/>
                <w:sz w:val="20"/>
              </w:rPr>
            </w:pPr>
            <w:r w:rsidRPr="003708DA">
              <w:rPr>
                <w:rFonts w:ascii="Arial" w:hAnsi="Arial" w:cs="Arial"/>
                <w:sz w:val="20"/>
              </w:rPr>
              <w:t>Dos decimales.</w:t>
            </w:r>
          </w:p>
        </w:tc>
      </w:tr>
      <w:tr w:rsidR="002B430C" w14:paraId="5D1AF627" w14:textId="77777777" w:rsidTr="002B430C">
        <w:tc>
          <w:tcPr>
            <w:tcW w:w="0" w:type="auto"/>
            <w:tcBorders>
              <w:top w:val="single" w:sz="4" w:space="0" w:color="auto"/>
              <w:left w:val="single" w:sz="4" w:space="0" w:color="auto"/>
              <w:bottom w:val="single" w:sz="4" w:space="0" w:color="auto"/>
              <w:right w:val="single" w:sz="4" w:space="0" w:color="auto"/>
            </w:tcBorders>
            <w:vAlign w:val="center"/>
            <w:hideMark/>
          </w:tcPr>
          <w:p w14:paraId="6FFE1D7E" w14:textId="77777777" w:rsidR="002B430C" w:rsidRDefault="002B430C" w:rsidP="00174ED1">
            <w:pPr>
              <w:pStyle w:val="GTTTtuloTabla"/>
              <w:rPr>
                <w:rFonts w:ascii="Arial" w:hAnsi="Arial" w:cs="Arial"/>
                <w:b w:val="0"/>
                <w:bCs/>
                <w:sz w:val="20"/>
              </w:rPr>
            </w:pPr>
            <w:r w:rsidRPr="003708DA">
              <w:rPr>
                <w:rFonts w:ascii="Arial" w:hAnsi="Arial" w:cs="Arial"/>
                <w:sz w:val="20"/>
              </w:rPr>
              <w:t>Forma de medición</w:t>
            </w:r>
          </w:p>
        </w:tc>
        <w:tc>
          <w:tcPr>
            <w:tcW w:w="6073" w:type="dxa"/>
            <w:tcBorders>
              <w:top w:val="single" w:sz="4" w:space="0" w:color="auto"/>
              <w:left w:val="single" w:sz="4" w:space="0" w:color="auto"/>
              <w:bottom w:val="single" w:sz="4" w:space="0" w:color="auto"/>
              <w:right w:val="single" w:sz="4" w:space="0" w:color="auto"/>
            </w:tcBorders>
            <w:vAlign w:val="center"/>
            <w:hideMark/>
          </w:tcPr>
          <w:p w14:paraId="02BE6450" w14:textId="77777777" w:rsidR="002B430C" w:rsidRPr="009C5CD0" w:rsidRDefault="002B430C" w:rsidP="003708DA">
            <w:pPr>
              <w:pStyle w:val="GTTTabla"/>
              <w:jc w:val="both"/>
              <w:rPr>
                <w:rFonts w:ascii="Arial" w:hAnsi="Arial" w:cs="Arial"/>
                <w:bCs/>
                <w:sz w:val="20"/>
              </w:rPr>
            </w:pPr>
            <w:r w:rsidRPr="003708DA">
              <w:rPr>
                <w:rFonts w:ascii="Arial" w:hAnsi="Arial" w:cs="Arial"/>
                <w:sz w:val="20"/>
              </w:rPr>
              <w:t>Medición de la superficie realmente pintada en obra, medida sobre el pavimento.</w:t>
            </w:r>
          </w:p>
        </w:tc>
      </w:tr>
      <w:tr w:rsidR="002B430C" w14:paraId="033473AA" w14:textId="77777777" w:rsidTr="002B430C">
        <w:tc>
          <w:tcPr>
            <w:tcW w:w="0" w:type="auto"/>
            <w:tcBorders>
              <w:top w:val="single" w:sz="4" w:space="0" w:color="auto"/>
              <w:left w:val="single" w:sz="4" w:space="0" w:color="auto"/>
              <w:bottom w:val="single" w:sz="4" w:space="0" w:color="auto"/>
              <w:right w:val="single" w:sz="4" w:space="0" w:color="auto"/>
            </w:tcBorders>
            <w:vAlign w:val="center"/>
            <w:hideMark/>
          </w:tcPr>
          <w:p w14:paraId="6E620CA3" w14:textId="77777777" w:rsidR="002B430C" w:rsidRDefault="002B430C" w:rsidP="00174ED1">
            <w:pPr>
              <w:pStyle w:val="GTTTtuloTabla"/>
              <w:rPr>
                <w:rFonts w:ascii="Arial" w:hAnsi="Arial" w:cs="Arial"/>
                <w:b w:val="0"/>
                <w:bCs/>
                <w:sz w:val="20"/>
              </w:rPr>
            </w:pPr>
            <w:r w:rsidRPr="003708DA">
              <w:rPr>
                <w:rFonts w:ascii="Arial" w:hAnsi="Arial" w:cs="Arial"/>
                <w:sz w:val="20"/>
              </w:rPr>
              <w:t>Abono</w:t>
            </w:r>
          </w:p>
        </w:tc>
        <w:tc>
          <w:tcPr>
            <w:tcW w:w="6073" w:type="dxa"/>
            <w:tcBorders>
              <w:top w:val="single" w:sz="4" w:space="0" w:color="auto"/>
              <w:left w:val="single" w:sz="4" w:space="0" w:color="auto"/>
              <w:bottom w:val="single" w:sz="4" w:space="0" w:color="auto"/>
              <w:right w:val="single" w:sz="4" w:space="0" w:color="auto"/>
            </w:tcBorders>
            <w:vAlign w:val="center"/>
            <w:hideMark/>
          </w:tcPr>
          <w:p w14:paraId="428BAB39" w14:textId="77777777" w:rsidR="002B430C" w:rsidRPr="009C5CD0" w:rsidRDefault="002B430C" w:rsidP="003708DA">
            <w:pPr>
              <w:pStyle w:val="GTTTabla"/>
              <w:jc w:val="both"/>
              <w:rPr>
                <w:rFonts w:ascii="Arial" w:hAnsi="Arial" w:cs="Arial"/>
                <w:bCs/>
                <w:sz w:val="20"/>
              </w:rPr>
            </w:pPr>
            <w:r w:rsidRPr="003708DA">
              <w:rPr>
                <w:rFonts w:ascii="Arial" w:hAnsi="Arial" w:cs="Arial"/>
                <w:sz w:val="20"/>
              </w:rPr>
              <w:t>Se efectuará cuando se realice la aceptación.</w:t>
            </w:r>
          </w:p>
        </w:tc>
      </w:tr>
      <w:tr w:rsidR="002B430C" w14:paraId="2E2AD95A" w14:textId="77777777" w:rsidTr="002B430C">
        <w:tc>
          <w:tcPr>
            <w:tcW w:w="0" w:type="auto"/>
            <w:tcBorders>
              <w:top w:val="single" w:sz="4" w:space="0" w:color="auto"/>
              <w:left w:val="single" w:sz="4" w:space="0" w:color="auto"/>
              <w:bottom w:val="single" w:sz="4" w:space="0" w:color="auto"/>
              <w:right w:val="single" w:sz="4" w:space="0" w:color="auto"/>
            </w:tcBorders>
            <w:vAlign w:val="center"/>
            <w:hideMark/>
          </w:tcPr>
          <w:p w14:paraId="0E45FEF4" w14:textId="77777777" w:rsidR="002B430C" w:rsidRDefault="002B430C" w:rsidP="00174ED1">
            <w:pPr>
              <w:pStyle w:val="GTTTtuloTabla"/>
              <w:rPr>
                <w:rFonts w:ascii="Arial" w:hAnsi="Arial" w:cs="Arial"/>
                <w:b w:val="0"/>
                <w:bCs/>
                <w:sz w:val="20"/>
              </w:rPr>
            </w:pPr>
            <w:r w:rsidRPr="003708DA">
              <w:rPr>
                <w:rFonts w:ascii="Arial" w:hAnsi="Arial" w:cs="Arial"/>
                <w:sz w:val="20"/>
              </w:rPr>
              <w:t>Criterios complementarios</w:t>
            </w:r>
          </w:p>
        </w:tc>
        <w:tc>
          <w:tcPr>
            <w:tcW w:w="6073" w:type="dxa"/>
            <w:tcBorders>
              <w:top w:val="single" w:sz="4" w:space="0" w:color="auto"/>
              <w:left w:val="single" w:sz="4" w:space="0" w:color="auto"/>
              <w:bottom w:val="single" w:sz="4" w:space="0" w:color="auto"/>
              <w:right w:val="single" w:sz="4" w:space="0" w:color="auto"/>
            </w:tcBorders>
            <w:vAlign w:val="center"/>
            <w:hideMark/>
          </w:tcPr>
          <w:p w14:paraId="2E5280FB" w14:textId="77777777" w:rsidR="002B430C" w:rsidRPr="009C5CD0" w:rsidRDefault="002B430C" w:rsidP="003708DA">
            <w:pPr>
              <w:pStyle w:val="GTTTabla"/>
              <w:jc w:val="both"/>
              <w:rPr>
                <w:rFonts w:ascii="Arial" w:hAnsi="Arial" w:cs="Arial"/>
                <w:bCs/>
                <w:sz w:val="20"/>
                <w:szCs w:val="20"/>
              </w:rPr>
            </w:pPr>
            <w:r w:rsidRPr="003708DA">
              <w:rPr>
                <w:rFonts w:ascii="Arial" w:hAnsi="Arial" w:cs="Arial"/>
                <w:sz w:val="20"/>
              </w:rPr>
              <w:t xml:space="preserve">El precio incluye las operaciones necesarias para la preparación de la superficie de aplicación y </w:t>
            </w:r>
            <w:proofErr w:type="spellStart"/>
            <w:r w:rsidRPr="003708DA">
              <w:rPr>
                <w:rFonts w:ascii="Arial" w:hAnsi="Arial" w:cs="Arial"/>
                <w:sz w:val="20"/>
              </w:rPr>
              <w:t>premarcado</w:t>
            </w:r>
            <w:proofErr w:type="spellEnd"/>
            <w:r w:rsidRPr="003708DA">
              <w:rPr>
                <w:rFonts w:ascii="Arial" w:hAnsi="Arial" w:cs="Arial"/>
                <w:sz w:val="20"/>
              </w:rPr>
              <w:t>.</w:t>
            </w:r>
          </w:p>
        </w:tc>
      </w:tr>
    </w:tbl>
    <w:p w14:paraId="3CE12611" w14:textId="77777777" w:rsidR="002B430C" w:rsidRDefault="002B430C" w:rsidP="002B430C">
      <w:pPr>
        <w:pStyle w:val="NORMAL12"/>
      </w:pPr>
    </w:p>
    <w:p w14:paraId="247E21E2" w14:textId="77777777" w:rsidR="00231926" w:rsidRDefault="00231926" w:rsidP="002B430C">
      <w:pPr>
        <w:pStyle w:val="NORMAL12"/>
      </w:pPr>
    </w:p>
    <w:p w14:paraId="15E6AE6D" w14:textId="77777777" w:rsidR="00231926" w:rsidRDefault="00231926" w:rsidP="002B430C">
      <w:pPr>
        <w:pStyle w:val="NORMAL12"/>
      </w:pPr>
    </w:p>
    <w:p w14:paraId="4DBE3E79" w14:textId="77777777" w:rsidR="00231926" w:rsidRDefault="00231926" w:rsidP="002B430C">
      <w:pPr>
        <w:pStyle w:val="NORMAL12"/>
      </w:pPr>
    </w:p>
    <w:p w14:paraId="166F8E9D" w14:textId="77777777" w:rsidR="00231926" w:rsidRDefault="00231926" w:rsidP="002B430C">
      <w:pPr>
        <w:pStyle w:val="NORMAL12"/>
      </w:pPr>
    </w:p>
    <w:p w14:paraId="50BECAAA" w14:textId="77777777" w:rsidR="00231926" w:rsidRDefault="00231926" w:rsidP="002B430C">
      <w:pPr>
        <w:pStyle w:val="NORMAL12"/>
      </w:pPr>
    </w:p>
    <w:p w14:paraId="4271CD59" w14:textId="77777777" w:rsidR="00231926" w:rsidRDefault="00231926" w:rsidP="002B430C">
      <w:pPr>
        <w:pStyle w:val="NORMAL12"/>
      </w:pPr>
    </w:p>
    <w:p w14:paraId="22DFB742" w14:textId="77777777" w:rsidR="005A3268" w:rsidRDefault="005A3268" w:rsidP="002B430C">
      <w:pPr>
        <w:pStyle w:val="NORMAL12"/>
      </w:pPr>
    </w:p>
    <w:p w14:paraId="7B863657" w14:textId="77777777" w:rsidR="005A3268" w:rsidRDefault="005A3268" w:rsidP="002B430C">
      <w:pPr>
        <w:pStyle w:val="NORMAL12"/>
      </w:pPr>
    </w:p>
    <w:p w14:paraId="66DF9FDD" w14:textId="77777777" w:rsidR="005A3268" w:rsidRDefault="005A3268" w:rsidP="002B430C">
      <w:pPr>
        <w:pStyle w:val="NORMAL12"/>
      </w:pPr>
    </w:p>
    <w:p w14:paraId="2C04CFA8" w14:textId="77777777" w:rsidR="005A3268" w:rsidRDefault="005A3268" w:rsidP="002B430C">
      <w:pPr>
        <w:pStyle w:val="NORMAL12"/>
      </w:pPr>
    </w:p>
    <w:p w14:paraId="4F9F28DC" w14:textId="77777777" w:rsidR="002B430C" w:rsidRDefault="002B430C" w:rsidP="00873849">
      <w:pPr>
        <w:pStyle w:val="TITU1"/>
      </w:pPr>
      <w:bookmarkStart w:id="1078" w:name="_Toc492538088"/>
      <w:bookmarkStart w:id="1079" w:name="_Toc402764875"/>
      <w:bookmarkStart w:id="1080" w:name="_Toc404561"/>
      <w:r w:rsidRPr="00886F1A">
        <w:lastRenderedPageBreak/>
        <w:t>Artículo 700b. Eliminación de marcas viales.</w:t>
      </w:r>
      <w:bookmarkEnd w:id="1078"/>
      <w:bookmarkEnd w:id="1079"/>
      <w:bookmarkEnd w:id="1080"/>
      <w:r>
        <w:t xml:space="preserve"> </w:t>
      </w:r>
    </w:p>
    <w:p w14:paraId="27EF6F0B" w14:textId="77777777" w:rsidR="002B430C" w:rsidRDefault="002B430C" w:rsidP="00D7794C">
      <w:pPr>
        <w:pStyle w:val="NORMAL12"/>
      </w:pPr>
      <w:r>
        <w:t xml:space="preserve">Para la eliminación de las marcas viales, ya sea para la ejecución de desvíos provisionales, para facilitar la nueva aplicación o para aquellos tramos en los que a juicio del </w:t>
      </w:r>
      <w:proofErr w:type="gramStart"/>
      <w:r>
        <w:t>Director</w:t>
      </w:r>
      <w:proofErr w:type="gramEnd"/>
      <w:r>
        <w:t xml:space="preserve"> de las Obras la nueva aplicación sea deficiente, queda expresamente </w:t>
      </w:r>
      <w:r w:rsidR="00D93E76">
        <w:t>prohibida</w:t>
      </w:r>
      <w:r>
        <w:t xml:space="preserve"> el empleo de </w:t>
      </w:r>
      <w:proofErr w:type="gramStart"/>
      <w:r>
        <w:t>decapantes</w:t>
      </w:r>
      <w:proofErr w:type="gramEnd"/>
      <w:r>
        <w:t xml:space="preserve"> así como los procedimientos térmicos. Por ello, deberá utilizarse alguno de los siguientes procedimientos de eliminación que, en cualquier </w:t>
      </w:r>
      <w:proofErr w:type="gramStart"/>
      <w:r>
        <w:t>caso</w:t>
      </w:r>
      <w:proofErr w:type="gramEnd"/>
      <w:r>
        <w:t xml:space="preserve"> deberá ser autorizado por el </w:t>
      </w:r>
      <w:proofErr w:type="gramStart"/>
      <w:r>
        <w:t>Director</w:t>
      </w:r>
      <w:proofErr w:type="gramEnd"/>
      <w:r>
        <w:t xml:space="preserve"> de las Obras:</w:t>
      </w:r>
    </w:p>
    <w:p w14:paraId="2783BAC9" w14:textId="77777777" w:rsidR="002B430C" w:rsidRDefault="002B430C" w:rsidP="00E01981">
      <w:pPr>
        <w:pStyle w:val="NORMAL12"/>
        <w:numPr>
          <w:ilvl w:val="0"/>
          <w:numId w:val="79"/>
        </w:numPr>
      </w:pPr>
      <w:r>
        <w:t>Proyección sobre las marcas viales de granalla o abrasivos.</w:t>
      </w:r>
    </w:p>
    <w:p w14:paraId="03A176EE" w14:textId="77777777" w:rsidR="002B430C" w:rsidRPr="00D7794C" w:rsidRDefault="002B430C" w:rsidP="00E01981">
      <w:pPr>
        <w:pStyle w:val="NORMAL12"/>
        <w:numPr>
          <w:ilvl w:val="0"/>
          <w:numId w:val="79"/>
        </w:numPr>
      </w:pPr>
      <w:r>
        <w:t xml:space="preserve">Fresado, mediante utilización de sistemas fijos rotatorios o flotantes horizontales.   </w:t>
      </w:r>
    </w:p>
    <w:p w14:paraId="645C4DFE" w14:textId="77777777" w:rsidR="002B430C" w:rsidRDefault="002B430C" w:rsidP="000313DD">
      <w:pPr>
        <w:pStyle w:val="TITU2"/>
      </w:pPr>
      <w:bookmarkStart w:id="1081" w:name="_Toc492538089"/>
      <w:bookmarkStart w:id="1082" w:name="_Toc402764876"/>
      <w:bookmarkStart w:id="1083" w:name="_Toc404562"/>
      <w:r w:rsidRPr="00F27B28">
        <w:t>700b.1.</w:t>
      </w:r>
      <w:r w:rsidR="00873849">
        <w:t xml:space="preserve"> </w:t>
      </w:r>
      <w:r w:rsidRPr="00F27B28">
        <w:t>Aplicación</w:t>
      </w:r>
      <w:bookmarkEnd w:id="1081"/>
      <w:bookmarkEnd w:id="1082"/>
      <w:bookmarkEnd w:id="1083"/>
    </w:p>
    <w:p w14:paraId="4428F8B1" w14:textId="77777777" w:rsidR="002B430C" w:rsidRDefault="002B430C" w:rsidP="00D7794C">
      <w:pPr>
        <w:pStyle w:val="NORMAL12"/>
      </w:pPr>
      <w:r>
        <w:t xml:space="preserve">El siguiente artículo </w:t>
      </w:r>
      <w:proofErr w:type="gramStart"/>
      <w:r>
        <w:t>es de aplicación</w:t>
      </w:r>
      <w:proofErr w:type="gramEnd"/>
      <w:r>
        <w:t xml:space="preserve"> a la eliminación de las marcas viales de ancho constante con y sin resaltes, y cebreados</w:t>
      </w:r>
      <w:r w:rsidR="00D63E39">
        <w:t>, flechas y otras inscripciones.</w:t>
      </w:r>
    </w:p>
    <w:p w14:paraId="72D97BF5" w14:textId="77777777" w:rsidR="00A5751E" w:rsidRDefault="00A5751E" w:rsidP="00D7794C">
      <w:pPr>
        <w:pStyle w:val="NORMAL12"/>
      </w:pPr>
      <w:r>
        <w:t xml:space="preserve">Las prescripciones de este artículo </w:t>
      </w:r>
      <w:proofErr w:type="gramStart"/>
      <w:r>
        <w:t>son de aplicación</w:t>
      </w:r>
      <w:proofErr w:type="gramEnd"/>
      <w:r>
        <w:t xml:space="preserve"> a la unidad de obra siguiente:</w:t>
      </w:r>
    </w:p>
    <w:p w14:paraId="1C756828" w14:textId="77777777" w:rsidR="00C61E14" w:rsidRDefault="00C61E14" w:rsidP="00D7794C">
      <w:pPr>
        <w:pStyle w:val="NORMAL12"/>
      </w:pPr>
    </w:p>
    <w:tbl>
      <w:tblPr>
        <w:tblW w:w="5000" w:type="pct"/>
        <w:tblCellMar>
          <w:left w:w="70" w:type="dxa"/>
          <w:right w:w="70" w:type="dxa"/>
        </w:tblCellMar>
        <w:tblLook w:val="04A0" w:firstRow="1" w:lastRow="0" w:firstColumn="1" w:lastColumn="0" w:noHBand="0" w:noVBand="1"/>
      </w:tblPr>
      <w:tblGrid>
        <w:gridCol w:w="1207"/>
        <w:gridCol w:w="708"/>
        <w:gridCol w:w="7863"/>
      </w:tblGrid>
      <w:tr w:rsidR="00A5751E" w:rsidRPr="005D1070" w14:paraId="3B242302" w14:textId="77777777" w:rsidTr="00E55CD8">
        <w:trPr>
          <w:trHeight w:val="419"/>
        </w:trPr>
        <w:tc>
          <w:tcPr>
            <w:tcW w:w="617" w:type="pct"/>
            <w:noWrap/>
          </w:tcPr>
          <w:p w14:paraId="5F298DA3" w14:textId="77777777" w:rsidR="00A5751E" w:rsidRPr="00D921B6" w:rsidRDefault="00A5751E" w:rsidP="00A5751E">
            <w:pPr>
              <w:rPr>
                <w:rFonts w:ascii="Calibri" w:hAnsi="Calibri" w:cs="Calibri"/>
                <w:color w:val="000000"/>
              </w:rPr>
            </w:pPr>
            <w:r w:rsidRPr="00D921B6">
              <w:rPr>
                <w:rFonts w:ascii="Calibri" w:hAnsi="Calibri" w:cs="Calibri"/>
                <w:color w:val="000000"/>
              </w:rPr>
              <w:t>700.0050N</w:t>
            </w:r>
          </w:p>
        </w:tc>
        <w:tc>
          <w:tcPr>
            <w:tcW w:w="362" w:type="pct"/>
            <w:noWrap/>
          </w:tcPr>
          <w:p w14:paraId="582B8E84" w14:textId="77777777" w:rsidR="00A5751E" w:rsidRPr="00D921B6" w:rsidRDefault="00A5751E" w:rsidP="00A5751E">
            <w:pPr>
              <w:rPr>
                <w:rFonts w:ascii="Calibri" w:hAnsi="Calibri" w:cs="Calibri"/>
                <w:color w:val="000000"/>
              </w:rPr>
            </w:pPr>
            <w:r w:rsidRPr="00D921B6">
              <w:rPr>
                <w:rFonts w:ascii="Calibri" w:hAnsi="Calibri" w:cs="Calibri"/>
                <w:color w:val="000000"/>
              </w:rPr>
              <w:t>m</w:t>
            </w:r>
          </w:p>
        </w:tc>
        <w:tc>
          <w:tcPr>
            <w:tcW w:w="4021" w:type="pct"/>
          </w:tcPr>
          <w:p w14:paraId="1A0731CD" w14:textId="77777777" w:rsidR="00A5751E" w:rsidRPr="00D921B6" w:rsidRDefault="00A5751E" w:rsidP="00A5751E">
            <w:pPr>
              <w:jc w:val="both"/>
              <w:rPr>
                <w:rFonts w:ascii="Calibri" w:hAnsi="Calibri" w:cs="Calibri"/>
                <w:color w:val="000000"/>
              </w:rPr>
            </w:pPr>
            <w:r w:rsidRPr="00D921B6">
              <w:rPr>
                <w:rFonts w:ascii="Calibri" w:hAnsi="Calibri" w:cs="Calibri"/>
                <w:color w:val="000000"/>
              </w:rPr>
              <w:t>BORRADO DE MARCAS VIALES MEDIANTE DISOLVENTE Y CHORRO DE AGUA, INCLUSO BARRIDO Y LIMPIEZA DE LA SUPERFICIE. TOTALMENTE TERMINADO.</w:t>
            </w:r>
          </w:p>
          <w:p w14:paraId="210E42C4" w14:textId="77777777" w:rsidR="00A5751E" w:rsidRPr="00D921B6" w:rsidRDefault="00A5751E" w:rsidP="00A5751E">
            <w:pPr>
              <w:jc w:val="both"/>
              <w:rPr>
                <w:rFonts w:ascii="Calibri" w:hAnsi="Calibri" w:cs="Calibri"/>
                <w:color w:val="000000"/>
              </w:rPr>
            </w:pPr>
          </w:p>
        </w:tc>
      </w:tr>
    </w:tbl>
    <w:p w14:paraId="745FDA57" w14:textId="77777777" w:rsidR="002B430C" w:rsidRPr="00D7794C" w:rsidRDefault="00873849" w:rsidP="000313DD">
      <w:pPr>
        <w:pStyle w:val="TITU2"/>
      </w:pPr>
      <w:bookmarkStart w:id="1084" w:name="_Toc492538091"/>
      <w:bookmarkStart w:id="1085" w:name="_Toc402764878"/>
      <w:bookmarkStart w:id="1086" w:name="_Toc404563"/>
      <w:r>
        <w:t xml:space="preserve">700b.2. </w:t>
      </w:r>
      <w:r w:rsidR="002B430C" w:rsidRPr="00D7794C">
        <w:t>Maquinaria</w:t>
      </w:r>
      <w:bookmarkEnd w:id="1084"/>
      <w:bookmarkEnd w:id="1085"/>
      <w:bookmarkEnd w:id="1086"/>
    </w:p>
    <w:p w14:paraId="1C483AE9" w14:textId="77777777" w:rsidR="002B430C" w:rsidRDefault="002B430C" w:rsidP="00D7794C">
      <w:pPr>
        <w:pStyle w:val="NORMAL12"/>
      </w:pPr>
      <w:r>
        <w:t>El equipo necesario para la ejecución de las obras es el indicado seguidamente:</w:t>
      </w:r>
    </w:p>
    <w:p w14:paraId="1A08C780" w14:textId="77777777" w:rsidR="002B430C" w:rsidRDefault="002B430C" w:rsidP="00E01981">
      <w:pPr>
        <w:pStyle w:val="NORMAL12"/>
        <w:numPr>
          <w:ilvl w:val="0"/>
          <w:numId w:val="80"/>
        </w:numPr>
      </w:pPr>
      <w:proofErr w:type="spellStart"/>
      <w:r>
        <w:t>Granalladora</w:t>
      </w:r>
      <w:proofErr w:type="spellEnd"/>
      <w:r>
        <w:t xml:space="preserve"> con sistema de avance eléctrico y circuito cerrado conectado a aspirador, sin polvo.</w:t>
      </w:r>
    </w:p>
    <w:p w14:paraId="5DDA3E95" w14:textId="77777777" w:rsidR="002B430C" w:rsidRDefault="002B430C" w:rsidP="00E01981">
      <w:pPr>
        <w:pStyle w:val="NORMAL12"/>
        <w:numPr>
          <w:ilvl w:val="0"/>
          <w:numId w:val="80"/>
        </w:numPr>
      </w:pPr>
      <w:r>
        <w:t xml:space="preserve">Carro magnético. </w:t>
      </w:r>
    </w:p>
    <w:p w14:paraId="189FC61A" w14:textId="77777777" w:rsidR="002B430C" w:rsidRDefault="002B430C" w:rsidP="00E01981">
      <w:pPr>
        <w:pStyle w:val="NORMAL12"/>
        <w:numPr>
          <w:ilvl w:val="0"/>
          <w:numId w:val="80"/>
        </w:numPr>
      </w:pPr>
      <w:proofErr w:type="spellStart"/>
      <w:r>
        <w:t>Microfresadora</w:t>
      </w:r>
      <w:proofErr w:type="spellEnd"/>
      <w:r>
        <w:t xml:space="preserve"> de marcas viales.</w:t>
      </w:r>
    </w:p>
    <w:p w14:paraId="447FA378" w14:textId="77777777" w:rsidR="002B430C" w:rsidRDefault="002B430C" w:rsidP="00E01981">
      <w:pPr>
        <w:pStyle w:val="NORMAL12"/>
        <w:numPr>
          <w:ilvl w:val="0"/>
          <w:numId w:val="80"/>
        </w:numPr>
      </w:pPr>
      <w:r>
        <w:t>Equipo de barrido y limpieza, consistente en barredoras mecánicas de cepillo, que preferiblemente irán dotadas de equipos de aspiración. Para la limpieza final se empleará un sistema de soplado mediante aire comprimido.</w:t>
      </w:r>
    </w:p>
    <w:p w14:paraId="6FAF0C21" w14:textId="77777777" w:rsidR="00CF7652" w:rsidRDefault="00CF7652" w:rsidP="00CF7652">
      <w:pPr>
        <w:pStyle w:val="NORMAL12"/>
        <w:ind w:left="720"/>
      </w:pPr>
    </w:p>
    <w:p w14:paraId="29715084" w14:textId="77777777" w:rsidR="002B430C" w:rsidRPr="00F27B28" w:rsidRDefault="00873849" w:rsidP="000313DD">
      <w:pPr>
        <w:pStyle w:val="TITU2"/>
      </w:pPr>
      <w:bookmarkStart w:id="1087" w:name="_Toc492538092"/>
      <w:bookmarkStart w:id="1088" w:name="_Toc402764879"/>
      <w:bookmarkStart w:id="1089" w:name="_Toc404564"/>
      <w:r>
        <w:t>700b.3.</w:t>
      </w:r>
      <w:r w:rsidR="002B430C" w:rsidRPr="00F27B28">
        <w:tab/>
      </w:r>
      <w:r>
        <w:t xml:space="preserve"> </w:t>
      </w:r>
      <w:r w:rsidR="002B430C" w:rsidRPr="00F27B28">
        <w:t>Ejecución de las obras</w:t>
      </w:r>
      <w:bookmarkEnd w:id="1087"/>
      <w:bookmarkEnd w:id="1088"/>
      <w:bookmarkEnd w:id="1089"/>
    </w:p>
    <w:p w14:paraId="7B2A9B9C" w14:textId="77777777" w:rsidR="002B430C" w:rsidRDefault="002B430C" w:rsidP="00D7794C">
      <w:pPr>
        <w:pStyle w:val="NORMAL12"/>
      </w:pPr>
      <w:r>
        <w:t>La operación de fresado se ejecutará siguiendo la siguiente secuencia:</w:t>
      </w:r>
    </w:p>
    <w:p w14:paraId="2CA0B0B3" w14:textId="77777777" w:rsidR="002B430C" w:rsidRDefault="002B430C" w:rsidP="00D7794C">
      <w:pPr>
        <w:pStyle w:val="NORMAL12"/>
      </w:pPr>
      <w:r>
        <w:t xml:space="preserve">Marcas viales eliminadas mediante granallado y </w:t>
      </w:r>
      <w:proofErr w:type="spellStart"/>
      <w:r>
        <w:t>microfresado</w:t>
      </w:r>
      <w:proofErr w:type="spellEnd"/>
      <w:r>
        <w:t>.</w:t>
      </w:r>
    </w:p>
    <w:p w14:paraId="2BA794C7" w14:textId="77777777" w:rsidR="002B430C" w:rsidRDefault="002B430C" w:rsidP="00D7794C">
      <w:pPr>
        <w:pStyle w:val="NORMAL12"/>
      </w:pPr>
      <w:r>
        <w:t xml:space="preserve">Se eliminarán mediante granallado todas las marcas viales de ancho constante o superficiales, tipo 1 o tipo 2 sin resaltes, </w:t>
      </w:r>
      <w:r w:rsidR="00A150E4">
        <w:t>existentes afectadas por la actuación</w:t>
      </w:r>
      <w:r>
        <w:t xml:space="preserve">. Las marcas viales tipo 2 con resaltes se eliminarán mediante </w:t>
      </w:r>
      <w:proofErr w:type="spellStart"/>
      <w:r>
        <w:t>microfresado</w:t>
      </w:r>
      <w:proofErr w:type="spellEnd"/>
      <w:r>
        <w:t xml:space="preserve">. </w:t>
      </w:r>
    </w:p>
    <w:p w14:paraId="57035049" w14:textId="77777777" w:rsidR="002B430C" w:rsidRDefault="002B430C" w:rsidP="00D7794C">
      <w:pPr>
        <w:pStyle w:val="NORMAL12"/>
      </w:pPr>
      <w:r>
        <w:t xml:space="preserve">En este artículo se definen las condiciones a observar durante la ejecución de la unidad para garantizar que se eliminan adecuadamente las marcas viales. </w:t>
      </w:r>
    </w:p>
    <w:p w14:paraId="352BF0FD" w14:textId="77777777" w:rsidR="002B430C" w:rsidRDefault="002B430C" w:rsidP="00D7794C">
      <w:pPr>
        <w:pStyle w:val="NORMAL12"/>
      </w:pPr>
      <w:r>
        <w:t>Antes de comenzar la eliminación de las marcas, el Contratista procederá, a su costa, al marcaje de las marcas viales que hay que eliminar. El marcaje de detalle de todas las marcas viales que deben eliminarse se realizará con marcas de pintura (</w:t>
      </w:r>
      <w:proofErr w:type="gramStart"/>
      <w:r>
        <w:t>spray</w:t>
      </w:r>
      <w:proofErr w:type="gramEnd"/>
      <w:r>
        <w:t xml:space="preserve"> de colores vivos) sobre la propia marca vial, de forma que no den lugar a error.</w:t>
      </w:r>
    </w:p>
    <w:p w14:paraId="71C8E609" w14:textId="77777777" w:rsidR="002B430C" w:rsidRDefault="002B430C" w:rsidP="00D7794C">
      <w:pPr>
        <w:pStyle w:val="NORMAL12"/>
      </w:pPr>
      <w:r>
        <w:t>Antes de iniciar las operaciones, se ajustarán los reglajes de las máquinas con pruebas sobre los distintos tipos de marcas viales en el propio tajo, de forma que la marca quede totalmente borrada con la mínima afección al firme.</w:t>
      </w:r>
    </w:p>
    <w:p w14:paraId="432DD617" w14:textId="77777777" w:rsidR="002B430C" w:rsidRDefault="002B430C" w:rsidP="00D7794C">
      <w:pPr>
        <w:pStyle w:val="NORMAL12"/>
      </w:pPr>
      <w:r>
        <w:t xml:space="preserve">La marca vial debe quedar completamente eliminada </w:t>
      </w:r>
      <w:r w:rsidRPr="00D7794C">
        <w:t>antes de pintar nuevas marcas viales en el mismo tramo de calzada para evitar confusiones de los usuarios</w:t>
      </w:r>
      <w:r>
        <w:t xml:space="preserve">, y en caso necesario, se procederá a dar una segunda pasada con la </w:t>
      </w:r>
      <w:proofErr w:type="spellStart"/>
      <w:r>
        <w:t>granalladora</w:t>
      </w:r>
      <w:proofErr w:type="spellEnd"/>
      <w:r>
        <w:t xml:space="preserve"> o fresadora.</w:t>
      </w:r>
    </w:p>
    <w:p w14:paraId="507AFCB5" w14:textId="77777777" w:rsidR="002B430C" w:rsidRDefault="002B430C" w:rsidP="00D7794C">
      <w:pPr>
        <w:pStyle w:val="NORMAL12"/>
      </w:pPr>
      <w:r>
        <w:t xml:space="preserve">Una vez eliminada la marca, la superficie debe quedar completamente limpia y preparada para una nueva aplicación de pintura y microesferas. Tras el paso de la </w:t>
      </w:r>
      <w:proofErr w:type="spellStart"/>
      <w:r>
        <w:t>granalladora</w:t>
      </w:r>
      <w:proofErr w:type="spellEnd"/>
      <w:r>
        <w:t xml:space="preserve"> el aspirador al que estará conectada deberá haber recogido todo el polvo generado en la operación y la granalla recuperada por el circuito magnético. No obstante, después de la actuación se pasará un carro magnético que recoja la granalla no recuperada por la máquina. Tras el </w:t>
      </w:r>
      <w:proofErr w:type="spellStart"/>
      <w:r>
        <w:t>microfresado</w:t>
      </w:r>
      <w:proofErr w:type="spellEnd"/>
      <w:r>
        <w:t xml:space="preserve"> se pasará </w:t>
      </w:r>
      <w:r w:rsidR="00157701">
        <w:t>la</w:t>
      </w:r>
      <w:r>
        <w:t xml:space="preserve"> barredora mecánica y en lugares de difícil accesibilidad podrán emplearse escobas de mano. Si después de estas operaciones las superficies no quedan, a juicio del </w:t>
      </w:r>
      <w:proofErr w:type="gramStart"/>
      <w:r>
        <w:t>Director</w:t>
      </w:r>
      <w:proofErr w:type="gramEnd"/>
      <w:r>
        <w:t xml:space="preserve"> de las Obras, en condiciones adecuadas para una nueva aplicación, éste podrá ordenar la limpieza mediante soplado con compresor o agua a presión.</w:t>
      </w:r>
    </w:p>
    <w:p w14:paraId="193D891E" w14:textId="77777777" w:rsidR="00CF7652" w:rsidRDefault="00CF7652" w:rsidP="00D7794C">
      <w:pPr>
        <w:pStyle w:val="NORMAL12"/>
      </w:pPr>
    </w:p>
    <w:p w14:paraId="68C203CF" w14:textId="77777777" w:rsidR="00CF7652" w:rsidRDefault="00CF7652" w:rsidP="00D7794C">
      <w:pPr>
        <w:pStyle w:val="NORMAL12"/>
      </w:pPr>
    </w:p>
    <w:p w14:paraId="76191A13" w14:textId="77777777" w:rsidR="00A150E4" w:rsidRPr="00611EE6" w:rsidRDefault="00A150E4" w:rsidP="00A150E4">
      <w:pPr>
        <w:pStyle w:val="NORMAL12"/>
        <w:rPr>
          <w:i/>
          <w:u w:val="single"/>
        </w:rPr>
      </w:pPr>
      <w:r w:rsidRPr="00611EE6">
        <w:rPr>
          <w:i/>
          <w:u w:val="single"/>
        </w:rPr>
        <w:lastRenderedPageBreak/>
        <w:t>Seguridad y señalización de las obras</w:t>
      </w:r>
    </w:p>
    <w:p w14:paraId="3C0A5119" w14:textId="77777777" w:rsidR="00A150E4" w:rsidRDefault="00A150E4" w:rsidP="00A150E4">
      <w:pPr>
        <w:pStyle w:val="NORMAL12"/>
      </w:pPr>
      <w:r>
        <w:t>El Contratista adjudicatario realizará, a través de su técnico responsable en materia de seguridad y salud, un plan específico de seguridad y señalización de las obras, basado en el Estudio de Seguridad y Salud incluido en el presente proyecto.</w:t>
      </w:r>
    </w:p>
    <w:p w14:paraId="72D61235" w14:textId="77777777" w:rsidR="00E55CD8" w:rsidRDefault="00A150E4" w:rsidP="00A150E4">
      <w:pPr>
        <w:pStyle w:val="NORMAL12"/>
      </w:pPr>
      <w:r>
        <w:t>El plan específico concretará las medidas a adoptar en materia de seguridad y señalización de las obras, tanto para protección del personal como del tráfico.</w:t>
      </w:r>
    </w:p>
    <w:p w14:paraId="19856B33" w14:textId="77777777" w:rsidR="00A150E4" w:rsidRDefault="00A150E4" w:rsidP="00A150E4">
      <w:pPr>
        <w:pStyle w:val="NORMAL12"/>
      </w:pPr>
      <w:r>
        <w:t xml:space="preserve">El Contratista someterá el plan a la aprobación del </w:t>
      </w:r>
      <w:proofErr w:type="gramStart"/>
      <w:r>
        <w:t>Director</w:t>
      </w:r>
      <w:proofErr w:type="gramEnd"/>
      <w:r>
        <w:t xml:space="preserve"> de Obra, con suficiente antelación al inicio de la aplicación de las marcas viales, los sistemas de señalización a utilizar para la protección del tráfico, del personal, los materiales y la maquinaria durante el periodo de ejecución de </w:t>
      </w:r>
      <w:proofErr w:type="gramStart"/>
      <w:r>
        <w:t>las mismas</w:t>
      </w:r>
      <w:proofErr w:type="gramEnd"/>
      <w:r>
        <w:t>.</w:t>
      </w:r>
    </w:p>
    <w:p w14:paraId="2E6E4564" w14:textId="77777777" w:rsidR="002B430C" w:rsidRPr="00F27B28" w:rsidRDefault="00873849" w:rsidP="000313DD">
      <w:pPr>
        <w:pStyle w:val="TITU2"/>
      </w:pPr>
      <w:bookmarkStart w:id="1090" w:name="_Toc492538093"/>
      <w:bookmarkStart w:id="1091" w:name="_Toc402764880"/>
      <w:bookmarkStart w:id="1092" w:name="_Toc404565"/>
      <w:r>
        <w:t xml:space="preserve">700b.4. </w:t>
      </w:r>
      <w:r w:rsidR="002B430C" w:rsidRPr="00F27B28">
        <w:t>Medición y abono</w:t>
      </w:r>
      <w:bookmarkEnd w:id="1090"/>
      <w:bookmarkEnd w:id="1091"/>
      <w:bookmarkEnd w:id="1092"/>
    </w:p>
    <w:p w14:paraId="5768DA34" w14:textId="77777777" w:rsidR="00611EE6" w:rsidRDefault="00886F1A" w:rsidP="00D7794C">
      <w:pPr>
        <w:pStyle w:val="NORMAL12"/>
      </w:pPr>
      <w:r>
        <w:t xml:space="preserve">La medición y abono </w:t>
      </w:r>
      <w:r w:rsidR="00873849">
        <w:t xml:space="preserve">de la unidad de eliminación de marcas viales se realizará </w:t>
      </w:r>
      <w:proofErr w:type="gramStart"/>
      <w:r w:rsidR="00873849">
        <w:t>conjuntamente con</w:t>
      </w:r>
      <w:proofErr w:type="gramEnd"/>
      <w:r w:rsidR="00873849">
        <w:t xml:space="preserve"> la unidad de la que forma parte, no </w:t>
      </w:r>
      <w:proofErr w:type="gramStart"/>
      <w:r w:rsidR="00873849">
        <w:t>obstante</w:t>
      </w:r>
      <w:proofErr w:type="gramEnd"/>
      <w:r w:rsidR="00873849">
        <w:t xml:space="preserve"> la medición y abono en caso de ejecutarse inde</w:t>
      </w:r>
      <w:r w:rsidR="00D93E76">
        <w:t>pend</w:t>
      </w:r>
      <w:r w:rsidR="00873849">
        <w:t xml:space="preserve">ientemente se realizará según las prescripciones siguientes: </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28"/>
        <w:gridCol w:w="6073"/>
      </w:tblGrid>
      <w:tr w:rsidR="002B430C" w14:paraId="51B2245C" w14:textId="77777777" w:rsidTr="002B430C">
        <w:tc>
          <w:tcPr>
            <w:tcW w:w="0" w:type="auto"/>
            <w:tcBorders>
              <w:top w:val="single" w:sz="4" w:space="0" w:color="auto"/>
              <w:left w:val="single" w:sz="4" w:space="0" w:color="auto"/>
              <w:bottom w:val="single" w:sz="4" w:space="0" w:color="auto"/>
              <w:right w:val="single" w:sz="4" w:space="0" w:color="auto"/>
            </w:tcBorders>
            <w:vAlign w:val="center"/>
            <w:hideMark/>
          </w:tcPr>
          <w:p w14:paraId="6C87E4AA" w14:textId="77777777" w:rsidR="002B430C" w:rsidRDefault="002B430C" w:rsidP="00174ED1">
            <w:pPr>
              <w:pStyle w:val="LCATabla"/>
              <w:keepNext/>
              <w:keepLines/>
              <w:spacing w:line="360" w:lineRule="auto"/>
              <w:jc w:val="center"/>
              <w:rPr>
                <w:rFonts w:ascii="Arial" w:hAnsi="Arial" w:cs="Arial"/>
                <w:b/>
                <w:bCs/>
                <w:sz w:val="20"/>
              </w:rPr>
            </w:pPr>
            <w:r>
              <w:rPr>
                <w:rFonts w:ascii="Arial" w:hAnsi="Arial" w:cs="Arial"/>
                <w:b/>
                <w:bCs/>
                <w:sz w:val="20"/>
              </w:rPr>
              <w:t>Unidad de medida</w:t>
            </w:r>
          </w:p>
        </w:tc>
        <w:tc>
          <w:tcPr>
            <w:tcW w:w="6073" w:type="dxa"/>
            <w:tcBorders>
              <w:top w:val="single" w:sz="4" w:space="0" w:color="auto"/>
              <w:left w:val="single" w:sz="4" w:space="0" w:color="auto"/>
              <w:bottom w:val="single" w:sz="4" w:space="0" w:color="auto"/>
              <w:right w:val="single" w:sz="4" w:space="0" w:color="auto"/>
            </w:tcBorders>
            <w:vAlign w:val="center"/>
            <w:hideMark/>
          </w:tcPr>
          <w:p w14:paraId="345C3D8D" w14:textId="77777777" w:rsidR="002B430C" w:rsidRDefault="002B430C" w:rsidP="00CC738C">
            <w:pPr>
              <w:pStyle w:val="LCATabla"/>
              <w:keepNext/>
              <w:keepLines/>
              <w:spacing w:line="360" w:lineRule="auto"/>
              <w:jc w:val="both"/>
              <w:rPr>
                <w:rFonts w:ascii="Arial" w:hAnsi="Arial" w:cs="Arial"/>
                <w:sz w:val="20"/>
              </w:rPr>
            </w:pPr>
            <w:r>
              <w:rPr>
                <w:rFonts w:ascii="Arial" w:hAnsi="Arial" w:cs="Arial"/>
                <w:sz w:val="20"/>
              </w:rPr>
              <w:t>Metro cuadrado (m</w:t>
            </w:r>
            <w:r>
              <w:rPr>
                <w:rFonts w:ascii="Arial" w:hAnsi="Arial" w:cs="Arial"/>
                <w:sz w:val="20"/>
                <w:vertAlign w:val="superscript"/>
              </w:rPr>
              <w:t>2</w:t>
            </w:r>
            <w:r>
              <w:rPr>
                <w:rFonts w:ascii="Arial" w:hAnsi="Arial" w:cs="Arial"/>
                <w:sz w:val="20"/>
              </w:rPr>
              <w:t>).</w:t>
            </w:r>
          </w:p>
        </w:tc>
      </w:tr>
      <w:tr w:rsidR="002B430C" w14:paraId="2135B0BA" w14:textId="77777777" w:rsidTr="002B430C">
        <w:tc>
          <w:tcPr>
            <w:tcW w:w="0" w:type="auto"/>
            <w:tcBorders>
              <w:top w:val="single" w:sz="4" w:space="0" w:color="auto"/>
              <w:left w:val="single" w:sz="4" w:space="0" w:color="auto"/>
              <w:bottom w:val="single" w:sz="4" w:space="0" w:color="auto"/>
              <w:right w:val="single" w:sz="4" w:space="0" w:color="auto"/>
            </w:tcBorders>
            <w:vAlign w:val="center"/>
            <w:hideMark/>
          </w:tcPr>
          <w:p w14:paraId="3A29CAF8" w14:textId="77777777" w:rsidR="002B430C" w:rsidRDefault="002B430C" w:rsidP="00174ED1">
            <w:pPr>
              <w:pStyle w:val="LCATabla"/>
              <w:keepNext/>
              <w:keepLines/>
              <w:spacing w:line="360" w:lineRule="auto"/>
              <w:jc w:val="center"/>
              <w:rPr>
                <w:rFonts w:ascii="Arial" w:hAnsi="Arial" w:cs="Arial"/>
                <w:b/>
                <w:bCs/>
                <w:sz w:val="20"/>
              </w:rPr>
            </w:pPr>
            <w:r>
              <w:rPr>
                <w:rFonts w:ascii="Arial" w:hAnsi="Arial" w:cs="Arial"/>
                <w:b/>
                <w:bCs/>
                <w:sz w:val="20"/>
              </w:rPr>
              <w:t>Grado de precisión</w:t>
            </w:r>
          </w:p>
        </w:tc>
        <w:tc>
          <w:tcPr>
            <w:tcW w:w="6073" w:type="dxa"/>
            <w:tcBorders>
              <w:top w:val="single" w:sz="4" w:space="0" w:color="auto"/>
              <w:left w:val="single" w:sz="4" w:space="0" w:color="auto"/>
              <w:bottom w:val="single" w:sz="4" w:space="0" w:color="auto"/>
              <w:right w:val="single" w:sz="4" w:space="0" w:color="auto"/>
            </w:tcBorders>
            <w:vAlign w:val="center"/>
            <w:hideMark/>
          </w:tcPr>
          <w:p w14:paraId="705C54FF" w14:textId="77777777" w:rsidR="002B430C" w:rsidRDefault="002B430C" w:rsidP="00CC738C">
            <w:pPr>
              <w:pStyle w:val="LCATabla"/>
              <w:keepNext/>
              <w:keepLines/>
              <w:spacing w:line="360" w:lineRule="auto"/>
              <w:jc w:val="both"/>
              <w:rPr>
                <w:rFonts w:ascii="Arial" w:hAnsi="Arial" w:cs="Arial"/>
                <w:sz w:val="20"/>
              </w:rPr>
            </w:pPr>
            <w:r>
              <w:rPr>
                <w:rFonts w:ascii="Arial" w:hAnsi="Arial" w:cs="Arial"/>
                <w:sz w:val="20"/>
              </w:rPr>
              <w:t>Dos decimales.</w:t>
            </w:r>
          </w:p>
        </w:tc>
      </w:tr>
      <w:tr w:rsidR="002B430C" w14:paraId="4C288E6D" w14:textId="77777777" w:rsidTr="002B430C">
        <w:tc>
          <w:tcPr>
            <w:tcW w:w="0" w:type="auto"/>
            <w:tcBorders>
              <w:top w:val="single" w:sz="4" w:space="0" w:color="auto"/>
              <w:left w:val="single" w:sz="4" w:space="0" w:color="auto"/>
              <w:bottom w:val="single" w:sz="4" w:space="0" w:color="auto"/>
              <w:right w:val="single" w:sz="4" w:space="0" w:color="auto"/>
            </w:tcBorders>
            <w:vAlign w:val="center"/>
            <w:hideMark/>
          </w:tcPr>
          <w:p w14:paraId="23C98D3D" w14:textId="77777777" w:rsidR="002B430C" w:rsidRDefault="002B430C" w:rsidP="00174ED1">
            <w:pPr>
              <w:pStyle w:val="LCATabla"/>
              <w:keepNext/>
              <w:keepLines/>
              <w:spacing w:line="360" w:lineRule="auto"/>
              <w:jc w:val="center"/>
              <w:rPr>
                <w:rFonts w:ascii="Arial" w:hAnsi="Arial" w:cs="Arial"/>
                <w:b/>
                <w:bCs/>
                <w:sz w:val="20"/>
              </w:rPr>
            </w:pPr>
            <w:r>
              <w:rPr>
                <w:rFonts w:ascii="Arial" w:hAnsi="Arial" w:cs="Arial"/>
                <w:b/>
                <w:bCs/>
                <w:sz w:val="20"/>
              </w:rPr>
              <w:t>Forma de medición</w:t>
            </w:r>
          </w:p>
        </w:tc>
        <w:tc>
          <w:tcPr>
            <w:tcW w:w="6073" w:type="dxa"/>
            <w:tcBorders>
              <w:top w:val="single" w:sz="4" w:space="0" w:color="auto"/>
              <w:left w:val="single" w:sz="4" w:space="0" w:color="auto"/>
              <w:bottom w:val="single" w:sz="4" w:space="0" w:color="auto"/>
              <w:right w:val="single" w:sz="4" w:space="0" w:color="auto"/>
            </w:tcBorders>
            <w:vAlign w:val="center"/>
            <w:hideMark/>
          </w:tcPr>
          <w:p w14:paraId="063C2372" w14:textId="77777777" w:rsidR="002B430C" w:rsidRDefault="002B430C" w:rsidP="00CC738C">
            <w:pPr>
              <w:pStyle w:val="LCATabla"/>
              <w:keepNext/>
              <w:keepLines/>
              <w:spacing w:line="360" w:lineRule="auto"/>
              <w:jc w:val="both"/>
              <w:rPr>
                <w:rFonts w:ascii="Arial" w:hAnsi="Arial" w:cs="Arial"/>
                <w:sz w:val="20"/>
              </w:rPr>
            </w:pPr>
            <w:r>
              <w:rPr>
                <w:rFonts w:ascii="Arial" w:hAnsi="Arial" w:cs="Arial"/>
                <w:sz w:val="20"/>
              </w:rPr>
              <w:t>Longitud realmente eliminada medida en el eje de la marca por el espesor.</w:t>
            </w:r>
          </w:p>
        </w:tc>
      </w:tr>
      <w:tr w:rsidR="002B430C" w14:paraId="0FA2A265" w14:textId="77777777" w:rsidTr="002B430C">
        <w:tc>
          <w:tcPr>
            <w:tcW w:w="0" w:type="auto"/>
            <w:tcBorders>
              <w:top w:val="single" w:sz="4" w:space="0" w:color="auto"/>
              <w:left w:val="single" w:sz="4" w:space="0" w:color="auto"/>
              <w:bottom w:val="single" w:sz="4" w:space="0" w:color="auto"/>
              <w:right w:val="single" w:sz="4" w:space="0" w:color="auto"/>
            </w:tcBorders>
            <w:vAlign w:val="center"/>
            <w:hideMark/>
          </w:tcPr>
          <w:p w14:paraId="4AECC669" w14:textId="77777777" w:rsidR="002B430C" w:rsidRPr="009C5CD0" w:rsidRDefault="002B430C" w:rsidP="00174ED1">
            <w:pPr>
              <w:pStyle w:val="LCATabla"/>
              <w:keepNext/>
              <w:keepLines/>
              <w:spacing w:line="360" w:lineRule="auto"/>
              <w:jc w:val="center"/>
              <w:rPr>
                <w:rFonts w:ascii="Arial" w:hAnsi="Arial" w:cs="Arial"/>
                <w:b/>
                <w:sz w:val="20"/>
              </w:rPr>
            </w:pPr>
            <w:r w:rsidRPr="009C5CD0">
              <w:rPr>
                <w:rFonts w:ascii="Arial" w:hAnsi="Arial" w:cs="Arial"/>
                <w:b/>
                <w:sz w:val="20"/>
              </w:rPr>
              <w:t>Abono</w:t>
            </w:r>
          </w:p>
        </w:tc>
        <w:tc>
          <w:tcPr>
            <w:tcW w:w="6073" w:type="dxa"/>
            <w:tcBorders>
              <w:top w:val="single" w:sz="4" w:space="0" w:color="auto"/>
              <w:left w:val="single" w:sz="4" w:space="0" w:color="auto"/>
              <w:bottom w:val="single" w:sz="4" w:space="0" w:color="auto"/>
              <w:right w:val="single" w:sz="4" w:space="0" w:color="auto"/>
            </w:tcBorders>
            <w:vAlign w:val="center"/>
            <w:hideMark/>
          </w:tcPr>
          <w:p w14:paraId="788489AD" w14:textId="77777777" w:rsidR="002B430C" w:rsidRDefault="002B430C" w:rsidP="00CC738C">
            <w:pPr>
              <w:pStyle w:val="LCATabla"/>
              <w:keepNext/>
              <w:keepLines/>
              <w:spacing w:line="360" w:lineRule="auto"/>
              <w:jc w:val="both"/>
              <w:rPr>
                <w:rFonts w:ascii="Arial" w:hAnsi="Arial" w:cs="Arial"/>
                <w:sz w:val="20"/>
              </w:rPr>
            </w:pPr>
            <w:r>
              <w:rPr>
                <w:rFonts w:ascii="Arial" w:hAnsi="Arial" w:cs="Arial"/>
                <w:sz w:val="20"/>
              </w:rPr>
              <w:t>Se efectuará cuando se realice la aceptación.</w:t>
            </w:r>
          </w:p>
        </w:tc>
      </w:tr>
      <w:tr w:rsidR="002B430C" w14:paraId="77397256" w14:textId="77777777" w:rsidTr="002B430C">
        <w:tc>
          <w:tcPr>
            <w:tcW w:w="0" w:type="auto"/>
            <w:tcBorders>
              <w:top w:val="single" w:sz="4" w:space="0" w:color="auto"/>
              <w:left w:val="single" w:sz="4" w:space="0" w:color="auto"/>
              <w:bottom w:val="single" w:sz="4" w:space="0" w:color="auto"/>
              <w:right w:val="single" w:sz="4" w:space="0" w:color="auto"/>
            </w:tcBorders>
            <w:vAlign w:val="center"/>
            <w:hideMark/>
          </w:tcPr>
          <w:p w14:paraId="6D3CA992" w14:textId="77777777" w:rsidR="002B430C" w:rsidRPr="009C5CD0" w:rsidRDefault="002B430C" w:rsidP="00174ED1">
            <w:pPr>
              <w:pStyle w:val="LCATabla"/>
              <w:keepNext/>
              <w:keepLines/>
              <w:spacing w:line="360" w:lineRule="auto"/>
              <w:jc w:val="center"/>
              <w:rPr>
                <w:rFonts w:ascii="Arial" w:hAnsi="Arial" w:cs="Arial"/>
                <w:b/>
                <w:sz w:val="20"/>
              </w:rPr>
            </w:pPr>
            <w:r w:rsidRPr="009C5CD0">
              <w:rPr>
                <w:rFonts w:ascii="Arial" w:hAnsi="Arial" w:cs="Arial"/>
                <w:b/>
                <w:sz w:val="20"/>
              </w:rPr>
              <w:t>Criterios complementarios</w:t>
            </w:r>
          </w:p>
        </w:tc>
        <w:tc>
          <w:tcPr>
            <w:tcW w:w="6073" w:type="dxa"/>
            <w:tcBorders>
              <w:top w:val="single" w:sz="4" w:space="0" w:color="auto"/>
              <w:left w:val="single" w:sz="4" w:space="0" w:color="auto"/>
              <w:bottom w:val="single" w:sz="4" w:space="0" w:color="auto"/>
              <w:right w:val="single" w:sz="4" w:space="0" w:color="auto"/>
            </w:tcBorders>
            <w:vAlign w:val="center"/>
            <w:hideMark/>
          </w:tcPr>
          <w:p w14:paraId="4B423EAC" w14:textId="77777777" w:rsidR="002B430C" w:rsidRPr="009C5CD0" w:rsidRDefault="002B430C" w:rsidP="00CC738C">
            <w:pPr>
              <w:jc w:val="both"/>
              <w:rPr>
                <w:rFonts w:ascii="Arial" w:hAnsi="Arial" w:cs="Arial"/>
                <w:sz w:val="20"/>
                <w:szCs w:val="20"/>
              </w:rPr>
            </w:pPr>
            <w:r w:rsidRPr="009C5CD0">
              <w:rPr>
                <w:rFonts w:ascii="Arial" w:hAnsi="Arial" w:cs="Arial"/>
                <w:sz w:val="20"/>
                <w:szCs w:val="20"/>
              </w:rPr>
              <w:t>En caso de ser necesaria una segunda pasada para la completa eliminación de la marca vial, ésta no será de abono.</w:t>
            </w:r>
          </w:p>
          <w:p w14:paraId="476B3768" w14:textId="77777777" w:rsidR="002B430C" w:rsidRPr="009C5CD0" w:rsidRDefault="002B430C" w:rsidP="00CC738C">
            <w:pPr>
              <w:autoSpaceDE w:val="0"/>
              <w:autoSpaceDN w:val="0"/>
              <w:adjustRightInd w:val="0"/>
              <w:spacing w:after="120"/>
              <w:jc w:val="both"/>
              <w:rPr>
                <w:rFonts w:ascii="Arial" w:hAnsi="Arial" w:cs="Arial"/>
                <w:sz w:val="20"/>
                <w:szCs w:val="20"/>
              </w:rPr>
            </w:pPr>
            <w:r w:rsidRPr="009C5CD0">
              <w:rPr>
                <w:rFonts w:ascii="Arial" w:hAnsi="Arial" w:cs="Arial"/>
                <w:sz w:val="20"/>
                <w:szCs w:val="20"/>
              </w:rPr>
              <w:t>El abono comprende todas las operaciones descritas en el artículo (marcaje, reglaje de las máquinas, limpieza final de la superficie).</w:t>
            </w:r>
          </w:p>
        </w:tc>
      </w:tr>
    </w:tbl>
    <w:p w14:paraId="71E43A1C" w14:textId="77777777" w:rsidR="005C7A38" w:rsidRDefault="005C7A38" w:rsidP="005C7A38">
      <w:pPr>
        <w:pStyle w:val="NORMAL12"/>
        <w:rPr>
          <w:highlight w:val="cyan"/>
        </w:rPr>
      </w:pPr>
    </w:p>
    <w:p w14:paraId="5B964187" w14:textId="77777777" w:rsidR="005C7A38" w:rsidRDefault="005C7A38" w:rsidP="005C7A38">
      <w:pPr>
        <w:pStyle w:val="NORMAL12"/>
        <w:rPr>
          <w:highlight w:val="cyan"/>
        </w:rPr>
      </w:pPr>
    </w:p>
    <w:p w14:paraId="2E5CAD8A" w14:textId="77777777" w:rsidR="005C7A38" w:rsidRDefault="005C7A38" w:rsidP="005C7A38">
      <w:pPr>
        <w:pStyle w:val="NORMAL12"/>
        <w:rPr>
          <w:highlight w:val="cyan"/>
        </w:rPr>
      </w:pPr>
    </w:p>
    <w:p w14:paraId="347A4446" w14:textId="77777777" w:rsidR="00A14076" w:rsidRPr="00886F1A" w:rsidRDefault="00A14076" w:rsidP="006F6223">
      <w:pPr>
        <w:pStyle w:val="TITU1"/>
        <w:rPr>
          <w:lang w:val="es-ES_tradnl"/>
        </w:rPr>
      </w:pPr>
      <w:bookmarkStart w:id="1093" w:name="_Toc404566"/>
      <w:r w:rsidRPr="00886F1A">
        <w:rPr>
          <w:lang w:val="es-ES_tradnl"/>
        </w:rPr>
        <w:lastRenderedPageBreak/>
        <w:t>Artículo 70</w:t>
      </w:r>
      <w:r w:rsidR="00CD7DD0" w:rsidRPr="00886F1A">
        <w:rPr>
          <w:lang w:val="es-ES_tradnl"/>
        </w:rPr>
        <w:t>1</w:t>
      </w:r>
      <w:r w:rsidRPr="00886F1A">
        <w:rPr>
          <w:lang w:val="es-ES_tradnl"/>
        </w:rPr>
        <w:t>.</w:t>
      </w:r>
      <w:r w:rsidR="00883387">
        <w:rPr>
          <w:lang w:val="es-ES_tradnl"/>
        </w:rPr>
        <w:t xml:space="preserve"> </w:t>
      </w:r>
      <w:r w:rsidRPr="00886F1A">
        <w:rPr>
          <w:lang w:val="es-ES_tradnl"/>
        </w:rPr>
        <w:t>Señales y carteles verticales de circulación retrorreflectantes</w:t>
      </w:r>
      <w:bookmarkEnd w:id="1093"/>
    </w:p>
    <w:p w14:paraId="519A13A9" w14:textId="77777777" w:rsidR="002B430C" w:rsidRPr="00886F1A" w:rsidRDefault="002B430C" w:rsidP="00D7794C">
      <w:pPr>
        <w:pStyle w:val="NORMAL12"/>
      </w:pPr>
      <w:r w:rsidRPr="00886F1A">
        <w:t>Excepto para lo especificado en el presente Pliego de Prescripciones Técnicas particulares se seguirá lo prescrito en el vigente artículo 701 del PG-3.</w:t>
      </w:r>
    </w:p>
    <w:p w14:paraId="1EF11942" w14:textId="77777777" w:rsidR="002B430C" w:rsidRPr="00886F1A" w:rsidRDefault="002B430C" w:rsidP="00D7794C">
      <w:pPr>
        <w:pStyle w:val="NORMAL12"/>
      </w:pPr>
      <w:r w:rsidRPr="00886F1A">
        <w:t xml:space="preserve">Se estará también a lo dispuesto en la vigente Norma 8.1 IC de Señalización Vertical de la Instrucción de Carreteras, aprobada por Orden FOM/534/2014 de 20 de </w:t>
      </w:r>
      <w:proofErr w:type="gramStart"/>
      <w:r w:rsidRPr="00886F1A">
        <w:t>Marzo</w:t>
      </w:r>
      <w:proofErr w:type="gramEnd"/>
      <w:r w:rsidRPr="00886F1A">
        <w:t>.</w:t>
      </w:r>
    </w:p>
    <w:p w14:paraId="2262AACE" w14:textId="77777777" w:rsidR="002B430C" w:rsidRPr="00886F1A" w:rsidRDefault="00883387" w:rsidP="000313DD">
      <w:pPr>
        <w:pStyle w:val="TITU2"/>
      </w:pPr>
      <w:bookmarkStart w:id="1094" w:name="_Toc492538095"/>
      <w:bookmarkStart w:id="1095" w:name="_Toc406696828"/>
      <w:bookmarkStart w:id="1096" w:name="_Toc404567"/>
      <w:r>
        <w:t xml:space="preserve">701.1. </w:t>
      </w:r>
      <w:r w:rsidR="002B430C" w:rsidRPr="00EB5DEF">
        <w:tab/>
        <w:t>Definición</w:t>
      </w:r>
      <w:bookmarkEnd w:id="1094"/>
      <w:bookmarkEnd w:id="1095"/>
      <w:r w:rsidR="00EB60BB" w:rsidRPr="00EB5DEF">
        <w:t>. Aplicación</w:t>
      </w:r>
      <w:bookmarkEnd w:id="1096"/>
    </w:p>
    <w:p w14:paraId="3E3F72A8" w14:textId="77777777" w:rsidR="002B430C" w:rsidRPr="00886F1A" w:rsidRDefault="002B430C" w:rsidP="00D7794C">
      <w:pPr>
        <w:pStyle w:val="NORMAL12"/>
      </w:pPr>
      <w:r w:rsidRPr="00886F1A">
        <w:t xml:space="preserve">Se definen como señales y carteles verticales de circulación </w:t>
      </w:r>
      <w:proofErr w:type="spellStart"/>
      <w:r w:rsidRPr="00886F1A">
        <w:t>retrorreflectantes</w:t>
      </w:r>
      <w:proofErr w:type="spellEnd"/>
      <w:r w:rsidRPr="00886F1A">
        <w:t xml:space="preserve">, el conjunto de elementos destinados a informar, ordenar o regular la circulación del tráfico por carretera y en los que se encuentran </w:t>
      </w:r>
      <w:proofErr w:type="gramStart"/>
      <w:r w:rsidRPr="00886F1A">
        <w:t>inscritos leyendas</w:t>
      </w:r>
      <w:proofErr w:type="gramEnd"/>
      <w:r w:rsidRPr="00886F1A">
        <w:t xml:space="preserve"> y/o pictogramas.</w:t>
      </w:r>
    </w:p>
    <w:p w14:paraId="231E7E5C" w14:textId="77777777" w:rsidR="002B430C" w:rsidRPr="00886F1A" w:rsidRDefault="002B430C" w:rsidP="00D7794C">
      <w:pPr>
        <w:pStyle w:val="NORMAL12"/>
      </w:pPr>
      <w:r w:rsidRPr="00886F1A">
        <w:t xml:space="preserve">Una vez instalados deberán ofrecer la máxima visibilidad tanto en condiciones diurnas como nocturnas; y para ello deberán ser capaces de reflejar la mayor pone de la luz incidente (generalmente, procedente de los faros de los vehículos) en la misma dirección que </w:t>
      </w:r>
      <w:proofErr w:type="gramStart"/>
      <w:r w:rsidRPr="00886F1A">
        <w:t>ésta</w:t>
      </w:r>
      <w:proofErr w:type="gramEnd"/>
      <w:r w:rsidRPr="00886F1A">
        <w:t xml:space="preserve"> pero en sentido contrario.</w:t>
      </w:r>
    </w:p>
    <w:p w14:paraId="63E25567" w14:textId="77777777" w:rsidR="001176DD" w:rsidRPr="00886F1A" w:rsidRDefault="001176DD" w:rsidP="001176DD">
      <w:pPr>
        <w:pStyle w:val="NORMAL12"/>
        <w:rPr>
          <w:lang w:val="es-ES"/>
        </w:rPr>
      </w:pPr>
      <w:r w:rsidRPr="00886F1A">
        <w:rPr>
          <w:lang w:val="es-ES"/>
        </w:rPr>
        <w:t xml:space="preserve">Las prescripciones del presente artículo </w:t>
      </w:r>
      <w:proofErr w:type="gramStart"/>
      <w:r w:rsidRPr="00886F1A">
        <w:rPr>
          <w:lang w:val="es-ES"/>
        </w:rPr>
        <w:t>son de aplicación</w:t>
      </w:r>
      <w:proofErr w:type="gramEnd"/>
      <w:r w:rsidRPr="00886F1A">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207"/>
        <w:gridCol w:w="706"/>
        <w:gridCol w:w="7865"/>
      </w:tblGrid>
      <w:tr w:rsidR="00E55CD8" w:rsidRPr="00174ED1" w14:paraId="37F359D3" w14:textId="77777777" w:rsidTr="00174ED1">
        <w:trPr>
          <w:trHeight w:val="300"/>
        </w:trPr>
        <w:tc>
          <w:tcPr>
            <w:tcW w:w="617" w:type="pct"/>
            <w:noWrap/>
          </w:tcPr>
          <w:p w14:paraId="7CF34348" w14:textId="77777777" w:rsidR="00E55CD8" w:rsidRPr="00D921B6" w:rsidRDefault="00E55CD8" w:rsidP="003B4E71">
            <w:pPr>
              <w:rPr>
                <w:rFonts w:ascii="Calibri" w:hAnsi="Calibri"/>
                <w:color w:val="000000"/>
              </w:rPr>
            </w:pPr>
            <w:r w:rsidRPr="00D921B6">
              <w:rPr>
                <w:rFonts w:ascii="Calibri" w:hAnsi="Calibri"/>
                <w:color w:val="000000"/>
              </w:rPr>
              <w:t xml:space="preserve">701.0020          </w:t>
            </w:r>
          </w:p>
        </w:tc>
        <w:tc>
          <w:tcPr>
            <w:tcW w:w="361" w:type="pct"/>
            <w:noWrap/>
          </w:tcPr>
          <w:p w14:paraId="1B690C75" w14:textId="77777777" w:rsidR="00E55CD8" w:rsidRPr="00D921B6" w:rsidRDefault="00E55CD8" w:rsidP="003B4E71">
            <w:pPr>
              <w:rPr>
                <w:rFonts w:ascii="Calibri" w:hAnsi="Calibri"/>
                <w:color w:val="000000"/>
              </w:rPr>
            </w:pPr>
            <w:proofErr w:type="spellStart"/>
            <w:r w:rsidRPr="00D921B6">
              <w:rPr>
                <w:rFonts w:ascii="Calibri" w:hAnsi="Calibri"/>
                <w:color w:val="000000"/>
              </w:rPr>
              <w:t>ud</w:t>
            </w:r>
            <w:proofErr w:type="spellEnd"/>
          </w:p>
        </w:tc>
        <w:tc>
          <w:tcPr>
            <w:tcW w:w="4022" w:type="pct"/>
          </w:tcPr>
          <w:p w14:paraId="280F9C2D" w14:textId="77777777" w:rsidR="00E55CD8" w:rsidRPr="00D921B6" w:rsidRDefault="00E55CD8" w:rsidP="003B4E71">
            <w:pPr>
              <w:jc w:val="both"/>
              <w:rPr>
                <w:rFonts w:ascii="Calibri" w:hAnsi="Calibri"/>
                <w:color w:val="000000"/>
              </w:rPr>
            </w:pPr>
            <w:r w:rsidRPr="00D921B6">
              <w:rPr>
                <w:rFonts w:ascii="Calibri" w:hAnsi="Calibri"/>
                <w:color w:val="000000"/>
              </w:rPr>
              <w:t>SEÑAL TRIANGULAR DE 175 CM DE LADO, RETRORREFLECTANTE DE CLASE RA2, COLOCADA SOBRE POSTE GALVANIZADO, FIJADO A TIERRA MEDIANTE HORMIGONADO i/ TORNILLERÍA Y ELEMENTOS DE FIJACIÓN Y TRANSPORTE A LUGAR DE EMPLEO.</w:t>
            </w:r>
          </w:p>
          <w:p w14:paraId="79E7429C" w14:textId="77777777" w:rsidR="00E55CD8" w:rsidRPr="00D921B6" w:rsidRDefault="00E55CD8" w:rsidP="003B4E71">
            <w:pPr>
              <w:jc w:val="both"/>
              <w:rPr>
                <w:rFonts w:ascii="Calibri" w:hAnsi="Calibri"/>
                <w:color w:val="000000"/>
              </w:rPr>
            </w:pPr>
          </w:p>
        </w:tc>
      </w:tr>
      <w:tr w:rsidR="00E55CD8" w:rsidRPr="00174ED1" w14:paraId="15ACC510" w14:textId="77777777" w:rsidTr="00174ED1">
        <w:trPr>
          <w:trHeight w:val="300"/>
        </w:trPr>
        <w:tc>
          <w:tcPr>
            <w:tcW w:w="617" w:type="pct"/>
            <w:noWrap/>
          </w:tcPr>
          <w:p w14:paraId="0DC9D6F0" w14:textId="77777777" w:rsidR="00E55CD8" w:rsidRPr="00D921B6" w:rsidRDefault="00E55CD8" w:rsidP="003B4E71">
            <w:pPr>
              <w:rPr>
                <w:rFonts w:ascii="Calibri" w:hAnsi="Calibri"/>
                <w:color w:val="000000"/>
              </w:rPr>
            </w:pPr>
            <w:r w:rsidRPr="00D921B6">
              <w:rPr>
                <w:rFonts w:ascii="Calibri" w:hAnsi="Calibri"/>
                <w:color w:val="000000"/>
              </w:rPr>
              <w:t xml:space="preserve">701.0040          </w:t>
            </w:r>
          </w:p>
        </w:tc>
        <w:tc>
          <w:tcPr>
            <w:tcW w:w="361" w:type="pct"/>
            <w:noWrap/>
          </w:tcPr>
          <w:p w14:paraId="13475C27" w14:textId="77777777" w:rsidR="00E55CD8" w:rsidRPr="00D921B6" w:rsidRDefault="00E55CD8" w:rsidP="003B4E71">
            <w:pPr>
              <w:rPr>
                <w:rFonts w:ascii="Calibri" w:hAnsi="Calibri"/>
                <w:color w:val="000000"/>
              </w:rPr>
            </w:pPr>
            <w:proofErr w:type="spellStart"/>
            <w:r w:rsidRPr="00D921B6">
              <w:rPr>
                <w:rFonts w:ascii="Calibri" w:hAnsi="Calibri"/>
                <w:color w:val="000000"/>
              </w:rPr>
              <w:t>ud</w:t>
            </w:r>
            <w:proofErr w:type="spellEnd"/>
          </w:p>
        </w:tc>
        <w:tc>
          <w:tcPr>
            <w:tcW w:w="4022" w:type="pct"/>
          </w:tcPr>
          <w:p w14:paraId="33A70907" w14:textId="77777777" w:rsidR="00E55CD8" w:rsidRPr="00D921B6" w:rsidRDefault="00E55CD8" w:rsidP="003B4E71">
            <w:pPr>
              <w:jc w:val="both"/>
              <w:rPr>
                <w:rFonts w:ascii="Calibri" w:hAnsi="Calibri"/>
                <w:color w:val="000000"/>
              </w:rPr>
            </w:pPr>
            <w:r w:rsidRPr="00D921B6">
              <w:rPr>
                <w:rFonts w:ascii="Calibri" w:hAnsi="Calibri"/>
                <w:color w:val="000000"/>
              </w:rPr>
              <w:t>SEÑAL TRIANGULAR DE 135 CM DE LADO, RETRORREFLECTANTE DE CLASE RA2, COLOCADA SOBRE POSTE GALVANIZADO, FIJADO A TIERRA MEDIANTE HORMIGONADO i/ TORNILLERÍA Y ELEMENTOS DE FIJACIÓN Y TRANSPORTE A LUGAR DE EMPLEO.</w:t>
            </w:r>
          </w:p>
          <w:p w14:paraId="2A12289C" w14:textId="77777777" w:rsidR="00E55CD8" w:rsidRPr="00D921B6" w:rsidRDefault="00E55CD8" w:rsidP="003B4E71">
            <w:pPr>
              <w:jc w:val="both"/>
              <w:rPr>
                <w:rFonts w:ascii="Calibri" w:hAnsi="Calibri"/>
                <w:color w:val="000000"/>
              </w:rPr>
            </w:pPr>
          </w:p>
        </w:tc>
      </w:tr>
      <w:tr w:rsidR="00E55CD8" w:rsidRPr="00174ED1" w14:paraId="62C31F19" w14:textId="77777777" w:rsidTr="00174ED1">
        <w:trPr>
          <w:trHeight w:val="300"/>
        </w:trPr>
        <w:tc>
          <w:tcPr>
            <w:tcW w:w="617" w:type="pct"/>
            <w:noWrap/>
          </w:tcPr>
          <w:p w14:paraId="2010A8DE" w14:textId="77777777" w:rsidR="00E55CD8" w:rsidRPr="00D921B6" w:rsidRDefault="00E55CD8" w:rsidP="003B4E71">
            <w:pPr>
              <w:rPr>
                <w:rFonts w:ascii="Calibri" w:hAnsi="Calibri"/>
                <w:color w:val="000000"/>
              </w:rPr>
            </w:pPr>
            <w:r w:rsidRPr="00D921B6">
              <w:rPr>
                <w:rFonts w:ascii="Calibri" w:hAnsi="Calibri"/>
                <w:color w:val="000000"/>
              </w:rPr>
              <w:t xml:space="preserve">701.0060          </w:t>
            </w:r>
          </w:p>
        </w:tc>
        <w:tc>
          <w:tcPr>
            <w:tcW w:w="361" w:type="pct"/>
            <w:noWrap/>
          </w:tcPr>
          <w:p w14:paraId="3A2B0D03" w14:textId="77777777" w:rsidR="00E55CD8" w:rsidRPr="00D921B6" w:rsidRDefault="00E55CD8" w:rsidP="003B4E71">
            <w:pPr>
              <w:rPr>
                <w:rFonts w:ascii="Calibri" w:hAnsi="Calibri"/>
                <w:color w:val="000000"/>
              </w:rPr>
            </w:pPr>
            <w:proofErr w:type="spellStart"/>
            <w:r w:rsidRPr="00D921B6">
              <w:rPr>
                <w:rFonts w:ascii="Calibri" w:hAnsi="Calibri"/>
                <w:color w:val="000000"/>
              </w:rPr>
              <w:t>ud</w:t>
            </w:r>
            <w:proofErr w:type="spellEnd"/>
          </w:p>
        </w:tc>
        <w:tc>
          <w:tcPr>
            <w:tcW w:w="4022" w:type="pct"/>
          </w:tcPr>
          <w:p w14:paraId="209F070E" w14:textId="77777777" w:rsidR="00E55CD8" w:rsidRPr="00D921B6" w:rsidRDefault="00E55CD8" w:rsidP="003B4E71">
            <w:pPr>
              <w:jc w:val="both"/>
              <w:rPr>
                <w:rFonts w:ascii="Calibri" w:hAnsi="Calibri"/>
                <w:color w:val="000000"/>
              </w:rPr>
            </w:pPr>
            <w:r w:rsidRPr="00D921B6">
              <w:rPr>
                <w:rFonts w:ascii="Calibri" w:hAnsi="Calibri"/>
                <w:color w:val="000000"/>
              </w:rPr>
              <w:t>SEÑAL CIRCULAR DE 120 CM DE DIÁMETRO, RETRORREFLECTANTE DE CLASE RA2, COLOCADA SOBRE POSTE GALVANIZADO, FIJADO A TIERRA MEDIANTE HORMIGONADO i/ TORNILLERÍA Y ELEMENTOS DE FIJACIÓN Y TRANSPORTE A LUGAR DE EMPLEO.</w:t>
            </w:r>
          </w:p>
          <w:p w14:paraId="0FDE6B32" w14:textId="77777777" w:rsidR="00E55CD8" w:rsidRPr="00D921B6" w:rsidRDefault="00E55CD8" w:rsidP="003B4E71">
            <w:pPr>
              <w:jc w:val="both"/>
              <w:rPr>
                <w:rFonts w:ascii="Calibri" w:hAnsi="Calibri"/>
                <w:color w:val="000000"/>
              </w:rPr>
            </w:pPr>
          </w:p>
        </w:tc>
      </w:tr>
      <w:tr w:rsidR="00E55CD8" w:rsidRPr="00174ED1" w14:paraId="74D6667A" w14:textId="77777777" w:rsidTr="00174ED1">
        <w:trPr>
          <w:trHeight w:val="300"/>
        </w:trPr>
        <w:tc>
          <w:tcPr>
            <w:tcW w:w="617" w:type="pct"/>
            <w:noWrap/>
          </w:tcPr>
          <w:p w14:paraId="728CFC4A" w14:textId="77777777" w:rsidR="00E55CD8" w:rsidRPr="00D921B6" w:rsidRDefault="00E55CD8" w:rsidP="003B4E71">
            <w:pPr>
              <w:rPr>
                <w:rFonts w:ascii="Calibri" w:hAnsi="Calibri"/>
                <w:color w:val="000000"/>
              </w:rPr>
            </w:pPr>
            <w:r w:rsidRPr="00D921B6">
              <w:rPr>
                <w:rFonts w:ascii="Calibri" w:hAnsi="Calibri"/>
                <w:color w:val="000000"/>
              </w:rPr>
              <w:t xml:space="preserve">701.0080          </w:t>
            </w:r>
          </w:p>
        </w:tc>
        <w:tc>
          <w:tcPr>
            <w:tcW w:w="361" w:type="pct"/>
            <w:noWrap/>
          </w:tcPr>
          <w:p w14:paraId="25B7868A" w14:textId="77777777" w:rsidR="00E55CD8" w:rsidRPr="00D921B6" w:rsidRDefault="00E55CD8" w:rsidP="003B4E71">
            <w:pPr>
              <w:rPr>
                <w:rFonts w:ascii="Calibri" w:hAnsi="Calibri"/>
                <w:color w:val="000000"/>
              </w:rPr>
            </w:pPr>
            <w:proofErr w:type="spellStart"/>
            <w:r w:rsidRPr="00D921B6">
              <w:rPr>
                <w:rFonts w:ascii="Calibri" w:hAnsi="Calibri"/>
                <w:color w:val="000000"/>
              </w:rPr>
              <w:t>ud</w:t>
            </w:r>
            <w:proofErr w:type="spellEnd"/>
          </w:p>
        </w:tc>
        <w:tc>
          <w:tcPr>
            <w:tcW w:w="4022" w:type="pct"/>
          </w:tcPr>
          <w:p w14:paraId="0CB12617" w14:textId="77777777" w:rsidR="00E55CD8" w:rsidRDefault="00E55CD8" w:rsidP="003B4E71">
            <w:pPr>
              <w:jc w:val="both"/>
              <w:rPr>
                <w:rFonts w:ascii="Calibri" w:hAnsi="Calibri"/>
                <w:color w:val="000000"/>
              </w:rPr>
            </w:pPr>
            <w:r w:rsidRPr="00D921B6">
              <w:rPr>
                <w:rFonts w:ascii="Calibri" w:hAnsi="Calibri"/>
                <w:color w:val="000000"/>
              </w:rPr>
              <w:t>SEÑAL CIRCULAR DE 90 CM DE DIÁMETRO, RETRORREFLECTANTE DE CLASE RA2, COLOCADA SOBRE POSTE GALVANIZADO, FIJADO A TIERRA MEDIANTE HORMIGONADO i/ TORNILLERÍA Y ELEMENTOS DE FIJACIÓN Y TRANSPORTE A LUGAR DE EMPLEO.</w:t>
            </w:r>
          </w:p>
          <w:p w14:paraId="030EFE8D" w14:textId="77777777" w:rsidR="00CF7652" w:rsidRPr="00D921B6" w:rsidRDefault="00CF7652" w:rsidP="003B4E71">
            <w:pPr>
              <w:jc w:val="both"/>
              <w:rPr>
                <w:rFonts w:ascii="Calibri" w:hAnsi="Calibri"/>
                <w:color w:val="000000"/>
              </w:rPr>
            </w:pPr>
          </w:p>
          <w:p w14:paraId="7148118E" w14:textId="77777777" w:rsidR="00E55CD8" w:rsidRPr="00D921B6" w:rsidRDefault="00E55CD8" w:rsidP="003B4E71">
            <w:pPr>
              <w:jc w:val="both"/>
              <w:rPr>
                <w:rFonts w:ascii="Calibri" w:hAnsi="Calibri"/>
                <w:color w:val="000000"/>
              </w:rPr>
            </w:pPr>
          </w:p>
        </w:tc>
      </w:tr>
      <w:tr w:rsidR="00E55CD8" w:rsidRPr="00174ED1" w14:paraId="2979EEBD" w14:textId="77777777" w:rsidTr="00174ED1">
        <w:trPr>
          <w:trHeight w:val="300"/>
        </w:trPr>
        <w:tc>
          <w:tcPr>
            <w:tcW w:w="617" w:type="pct"/>
            <w:noWrap/>
          </w:tcPr>
          <w:p w14:paraId="60264AD5" w14:textId="77777777" w:rsidR="00E55CD8" w:rsidRPr="00D921B6" w:rsidRDefault="00E55CD8" w:rsidP="003B4E71">
            <w:pPr>
              <w:rPr>
                <w:rFonts w:ascii="Calibri" w:hAnsi="Calibri"/>
                <w:color w:val="000000"/>
              </w:rPr>
            </w:pPr>
            <w:r w:rsidRPr="00D921B6">
              <w:rPr>
                <w:rFonts w:ascii="Calibri" w:hAnsi="Calibri"/>
                <w:color w:val="000000"/>
              </w:rPr>
              <w:t xml:space="preserve">701.0150         </w:t>
            </w:r>
          </w:p>
        </w:tc>
        <w:tc>
          <w:tcPr>
            <w:tcW w:w="361" w:type="pct"/>
            <w:noWrap/>
          </w:tcPr>
          <w:p w14:paraId="3811B89A" w14:textId="77777777" w:rsidR="00E55CD8" w:rsidRPr="00D921B6" w:rsidRDefault="00E55CD8" w:rsidP="003B4E71">
            <w:pPr>
              <w:rPr>
                <w:rFonts w:ascii="Calibri" w:hAnsi="Calibri"/>
                <w:color w:val="000000"/>
              </w:rPr>
            </w:pPr>
            <w:proofErr w:type="spellStart"/>
            <w:r w:rsidRPr="00D921B6">
              <w:rPr>
                <w:rFonts w:ascii="Calibri" w:hAnsi="Calibri"/>
                <w:color w:val="000000"/>
              </w:rPr>
              <w:t>ud</w:t>
            </w:r>
            <w:proofErr w:type="spellEnd"/>
          </w:p>
        </w:tc>
        <w:tc>
          <w:tcPr>
            <w:tcW w:w="4022" w:type="pct"/>
          </w:tcPr>
          <w:p w14:paraId="1AE3C304" w14:textId="77777777" w:rsidR="00E55CD8" w:rsidRPr="00D921B6" w:rsidRDefault="00E55CD8" w:rsidP="003B4E71">
            <w:pPr>
              <w:jc w:val="both"/>
              <w:rPr>
                <w:rFonts w:ascii="Calibri" w:hAnsi="Calibri"/>
                <w:color w:val="000000"/>
              </w:rPr>
            </w:pPr>
            <w:r w:rsidRPr="00D921B6">
              <w:rPr>
                <w:rFonts w:ascii="Calibri" w:hAnsi="Calibri"/>
                <w:color w:val="000000"/>
              </w:rPr>
              <w:t>SEÑAL CUADRADA DE 90 CM DE LADO, RETRORREFLECTANTE DE CLASE RA2, COLOCADA SOBRE POSTE GALVANIZADO, FIJADO A TIERRA MEDIANTE HORMIGONADO i/ TORNILLERÍA Y ELEMENTOS DE FIJACIÓN Y TRANSPORTE A LUGAR DE EMPLEO.</w:t>
            </w:r>
          </w:p>
          <w:p w14:paraId="2EBD267A" w14:textId="77777777" w:rsidR="00E55CD8" w:rsidRPr="00D921B6" w:rsidRDefault="00E55CD8" w:rsidP="003B4E71">
            <w:pPr>
              <w:jc w:val="both"/>
              <w:rPr>
                <w:rFonts w:ascii="Calibri" w:hAnsi="Calibri"/>
                <w:color w:val="000000"/>
              </w:rPr>
            </w:pPr>
          </w:p>
        </w:tc>
      </w:tr>
      <w:tr w:rsidR="00E55CD8" w:rsidRPr="00174ED1" w14:paraId="14E46FBE" w14:textId="77777777" w:rsidTr="00174ED1">
        <w:trPr>
          <w:trHeight w:val="300"/>
        </w:trPr>
        <w:tc>
          <w:tcPr>
            <w:tcW w:w="617" w:type="pct"/>
            <w:noWrap/>
          </w:tcPr>
          <w:p w14:paraId="45C88906" w14:textId="77777777" w:rsidR="00E55CD8" w:rsidRPr="00D921B6" w:rsidRDefault="00E55CD8" w:rsidP="003B4E71">
            <w:pPr>
              <w:rPr>
                <w:rFonts w:ascii="Calibri" w:hAnsi="Calibri"/>
                <w:color w:val="000000"/>
              </w:rPr>
            </w:pPr>
            <w:r w:rsidRPr="00D921B6">
              <w:rPr>
                <w:rFonts w:ascii="Calibri" w:hAnsi="Calibri"/>
                <w:color w:val="000000"/>
              </w:rPr>
              <w:t xml:space="preserve">701.0170N         </w:t>
            </w:r>
          </w:p>
        </w:tc>
        <w:tc>
          <w:tcPr>
            <w:tcW w:w="361" w:type="pct"/>
            <w:noWrap/>
          </w:tcPr>
          <w:p w14:paraId="393D8625" w14:textId="77777777" w:rsidR="00E55CD8" w:rsidRPr="00D921B6" w:rsidRDefault="00E55CD8" w:rsidP="003B4E71">
            <w:pPr>
              <w:rPr>
                <w:rFonts w:ascii="Calibri" w:hAnsi="Calibri"/>
                <w:color w:val="000000"/>
              </w:rPr>
            </w:pPr>
            <w:proofErr w:type="spellStart"/>
            <w:r w:rsidRPr="00D921B6">
              <w:rPr>
                <w:rFonts w:ascii="Calibri" w:hAnsi="Calibri"/>
                <w:color w:val="000000"/>
              </w:rPr>
              <w:t>ud</w:t>
            </w:r>
            <w:proofErr w:type="spellEnd"/>
          </w:p>
        </w:tc>
        <w:tc>
          <w:tcPr>
            <w:tcW w:w="4022" w:type="pct"/>
          </w:tcPr>
          <w:p w14:paraId="0850008D" w14:textId="77777777" w:rsidR="00E55CD8" w:rsidRPr="00D921B6" w:rsidRDefault="00E55CD8" w:rsidP="003B4E71">
            <w:pPr>
              <w:jc w:val="both"/>
              <w:rPr>
                <w:rFonts w:ascii="Calibri" w:hAnsi="Calibri"/>
                <w:color w:val="000000"/>
              </w:rPr>
            </w:pPr>
            <w:r w:rsidRPr="00D921B6">
              <w:rPr>
                <w:rFonts w:ascii="Calibri" w:hAnsi="Calibri"/>
                <w:color w:val="000000"/>
              </w:rPr>
              <w:t>SEÑAL RECTANGULAR DE 180X210 CM DE LADO, RETRORREFLECTANTE DE CLASE RA2, COLOCADA SOBRE POSTES GALVANIZADOS, FIJADOS A TIERRA MEDIANTE HORMIGONADO i/ TORNILLERÍA Y ELEMENTOS DE FIJACIÓN Y TRANSPORTE A LUGAR DE EMPLEO.</w:t>
            </w:r>
          </w:p>
          <w:p w14:paraId="0031E32A" w14:textId="77777777" w:rsidR="00E55CD8" w:rsidRPr="00D921B6" w:rsidRDefault="00E55CD8" w:rsidP="003B4E71">
            <w:pPr>
              <w:jc w:val="both"/>
              <w:rPr>
                <w:rFonts w:ascii="Calibri" w:hAnsi="Calibri"/>
                <w:color w:val="000000"/>
              </w:rPr>
            </w:pPr>
          </w:p>
        </w:tc>
      </w:tr>
      <w:tr w:rsidR="00E55CD8" w:rsidRPr="00174ED1" w14:paraId="758FE662" w14:textId="77777777" w:rsidTr="00174ED1">
        <w:trPr>
          <w:trHeight w:val="300"/>
        </w:trPr>
        <w:tc>
          <w:tcPr>
            <w:tcW w:w="617" w:type="pct"/>
            <w:noWrap/>
          </w:tcPr>
          <w:p w14:paraId="1A9F8952" w14:textId="77777777" w:rsidR="00E55CD8" w:rsidRPr="00D921B6" w:rsidRDefault="00E55CD8" w:rsidP="003B4E71">
            <w:pPr>
              <w:rPr>
                <w:rFonts w:ascii="Calibri" w:hAnsi="Calibri"/>
                <w:color w:val="000000"/>
              </w:rPr>
            </w:pPr>
            <w:r w:rsidRPr="00D921B6">
              <w:rPr>
                <w:rFonts w:ascii="Calibri" w:hAnsi="Calibri"/>
                <w:color w:val="000000"/>
              </w:rPr>
              <w:t xml:space="preserve">701.0171N         </w:t>
            </w:r>
          </w:p>
        </w:tc>
        <w:tc>
          <w:tcPr>
            <w:tcW w:w="361" w:type="pct"/>
            <w:noWrap/>
          </w:tcPr>
          <w:p w14:paraId="7563C098" w14:textId="77777777" w:rsidR="00E55CD8" w:rsidRPr="00D921B6" w:rsidRDefault="00E55CD8" w:rsidP="003B4E71">
            <w:pPr>
              <w:rPr>
                <w:rFonts w:ascii="Calibri" w:hAnsi="Calibri"/>
                <w:color w:val="000000"/>
              </w:rPr>
            </w:pPr>
            <w:proofErr w:type="spellStart"/>
            <w:r w:rsidRPr="00D921B6">
              <w:rPr>
                <w:rFonts w:ascii="Calibri" w:hAnsi="Calibri"/>
                <w:color w:val="000000"/>
              </w:rPr>
              <w:t>ud</w:t>
            </w:r>
            <w:proofErr w:type="spellEnd"/>
          </w:p>
        </w:tc>
        <w:tc>
          <w:tcPr>
            <w:tcW w:w="4022" w:type="pct"/>
          </w:tcPr>
          <w:p w14:paraId="0EE08741" w14:textId="77777777" w:rsidR="00E55CD8" w:rsidRPr="00D921B6" w:rsidRDefault="00E55CD8" w:rsidP="003B4E71">
            <w:pPr>
              <w:jc w:val="both"/>
              <w:rPr>
                <w:rFonts w:ascii="Calibri" w:hAnsi="Calibri"/>
                <w:color w:val="000000"/>
              </w:rPr>
            </w:pPr>
            <w:r w:rsidRPr="00D921B6">
              <w:rPr>
                <w:rFonts w:ascii="Calibri" w:hAnsi="Calibri"/>
                <w:color w:val="000000"/>
              </w:rPr>
              <w:t>SEÑAL RECTANGULAR DE 240X210 CM DE LADO, RETRORREFLECTANTE DE CLASE RA2, COLOCADA SOBRE POSTES GALVANIZADOS, FIJADOS A TIERRA MEDIANTE HORMIGONADO i/ TORNILLERÍA Y ELEMENTOS DE FIJACIÓN Y TRANSPORTE A LUGAR DE EMPLEO.</w:t>
            </w:r>
          </w:p>
          <w:p w14:paraId="56B19437" w14:textId="77777777" w:rsidR="00E55CD8" w:rsidRPr="00D921B6" w:rsidRDefault="00E55CD8" w:rsidP="003B4E71">
            <w:pPr>
              <w:jc w:val="both"/>
              <w:rPr>
                <w:rFonts w:ascii="Calibri" w:hAnsi="Calibri"/>
                <w:color w:val="000000"/>
              </w:rPr>
            </w:pPr>
          </w:p>
        </w:tc>
      </w:tr>
      <w:tr w:rsidR="00E55CD8" w:rsidRPr="00174ED1" w14:paraId="7753D86D" w14:textId="77777777" w:rsidTr="00174ED1">
        <w:trPr>
          <w:trHeight w:val="300"/>
        </w:trPr>
        <w:tc>
          <w:tcPr>
            <w:tcW w:w="617" w:type="pct"/>
            <w:noWrap/>
          </w:tcPr>
          <w:p w14:paraId="2C8626BA" w14:textId="77777777" w:rsidR="00E55CD8" w:rsidRPr="00D921B6" w:rsidRDefault="00E55CD8" w:rsidP="003B4E71">
            <w:pPr>
              <w:rPr>
                <w:rFonts w:ascii="Calibri" w:hAnsi="Calibri"/>
                <w:color w:val="000000"/>
              </w:rPr>
            </w:pPr>
            <w:r w:rsidRPr="00D921B6">
              <w:rPr>
                <w:rFonts w:ascii="Calibri" w:hAnsi="Calibri"/>
                <w:color w:val="000000"/>
              </w:rPr>
              <w:t xml:space="preserve">701.0190          </w:t>
            </w:r>
          </w:p>
        </w:tc>
        <w:tc>
          <w:tcPr>
            <w:tcW w:w="361" w:type="pct"/>
            <w:noWrap/>
          </w:tcPr>
          <w:p w14:paraId="3188816B" w14:textId="77777777" w:rsidR="00E55CD8" w:rsidRPr="00D921B6" w:rsidRDefault="00E55CD8" w:rsidP="003B4E71">
            <w:pPr>
              <w:rPr>
                <w:rFonts w:asciiTheme="minorHAnsi" w:hAnsiTheme="minorHAnsi" w:cstheme="minorHAnsi"/>
                <w:color w:val="000000"/>
              </w:rPr>
            </w:pPr>
            <w:proofErr w:type="spellStart"/>
            <w:r w:rsidRPr="00D921B6">
              <w:rPr>
                <w:rFonts w:asciiTheme="minorHAnsi" w:hAnsiTheme="minorHAnsi" w:cstheme="minorHAnsi"/>
                <w:color w:val="000000"/>
              </w:rPr>
              <w:t>ud</w:t>
            </w:r>
            <w:proofErr w:type="spellEnd"/>
          </w:p>
        </w:tc>
        <w:tc>
          <w:tcPr>
            <w:tcW w:w="4022" w:type="pct"/>
          </w:tcPr>
          <w:p w14:paraId="5CD9A329" w14:textId="77777777" w:rsidR="00E55CD8" w:rsidRPr="00D921B6" w:rsidRDefault="00E55CD8" w:rsidP="003B4E71">
            <w:pPr>
              <w:jc w:val="both"/>
              <w:rPr>
                <w:rFonts w:asciiTheme="minorHAnsi" w:hAnsiTheme="minorHAnsi" w:cstheme="minorHAnsi"/>
                <w:color w:val="000000"/>
                <w:lang w:eastAsia="en-US"/>
              </w:rPr>
            </w:pPr>
            <w:r w:rsidRPr="00D921B6">
              <w:rPr>
                <w:rFonts w:asciiTheme="minorHAnsi" w:hAnsiTheme="minorHAnsi" w:cstheme="minorHAnsi"/>
                <w:color w:val="000000"/>
                <w:lang w:eastAsia="en-US"/>
              </w:rPr>
              <w:t>SEÑAL RECTANGULAR DE 90X135 CM DE LADO, RETRORREFLECTANTE DE CLASE RA2, COLOCADA SOBRE POSTES GALVANIZADOS, FIJADOS A TIERRA MEDIANTE HORMIGONADO i/ TORNILLERÍA Y ELEMENTOS DE FIJACIÓN Y TRANSPORTE A LUGAR DE EMPLEO.</w:t>
            </w:r>
          </w:p>
          <w:p w14:paraId="24554C10" w14:textId="77777777" w:rsidR="00E55CD8" w:rsidRPr="00D921B6" w:rsidRDefault="00E55CD8" w:rsidP="003B4E71">
            <w:pPr>
              <w:jc w:val="both"/>
              <w:rPr>
                <w:rFonts w:asciiTheme="minorHAnsi" w:hAnsiTheme="minorHAnsi" w:cstheme="minorHAnsi"/>
                <w:color w:val="000000"/>
              </w:rPr>
            </w:pPr>
          </w:p>
        </w:tc>
      </w:tr>
      <w:tr w:rsidR="00E55CD8" w:rsidRPr="00174ED1" w14:paraId="77EE05E8" w14:textId="77777777" w:rsidTr="00174ED1">
        <w:trPr>
          <w:trHeight w:val="300"/>
        </w:trPr>
        <w:tc>
          <w:tcPr>
            <w:tcW w:w="617" w:type="pct"/>
            <w:noWrap/>
          </w:tcPr>
          <w:p w14:paraId="66A2CCE6" w14:textId="77777777" w:rsidR="00E55CD8" w:rsidRPr="00D921B6" w:rsidRDefault="00E55CD8" w:rsidP="003B4E71">
            <w:pPr>
              <w:rPr>
                <w:rFonts w:ascii="Calibri" w:hAnsi="Calibri"/>
                <w:color w:val="000000"/>
              </w:rPr>
            </w:pPr>
            <w:r w:rsidRPr="00D921B6">
              <w:rPr>
                <w:rFonts w:ascii="Calibri" w:hAnsi="Calibri"/>
                <w:color w:val="000000"/>
              </w:rPr>
              <w:t xml:space="preserve">701.0191N         </w:t>
            </w:r>
          </w:p>
        </w:tc>
        <w:tc>
          <w:tcPr>
            <w:tcW w:w="361" w:type="pct"/>
            <w:noWrap/>
          </w:tcPr>
          <w:p w14:paraId="0E9B84C6" w14:textId="77777777" w:rsidR="00E55CD8" w:rsidRPr="00D921B6" w:rsidRDefault="00E55CD8" w:rsidP="003B4E71">
            <w:pPr>
              <w:rPr>
                <w:rFonts w:ascii="Calibri" w:hAnsi="Calibri"/>
                <w:color w:val="000000"/>
              </w:rPr>
            </w:pPr>
            <w:proofErr w:type="spellStart"/>
            <w:r w:rsidRPr="00D921B6">
              <w:rPr>
                <w:rFonts w:ascii="Calibri" w:hAnsi="Calibri"/>
                <w:color w:val="000000"/>
              </w:rPr>
              <w:t>ud</w:t>
            </w:r>
            <w:proofErr w:type="spellEnd"/>
          </w:p>
        </w:tc>
        <w:tc>
          <w:tcPr>
            <w:tcW w:w="4022" w:type="pct"/>
          </w:tcPr>
          <w:p w14:paraId="7F416503" w14:textId="77777777" w:rsidR="00E55CD8" w:rsidRPr="00D921B6" w:rsidRDefault="00E55CD8" w:rsidP="003B4E71">
            <w:pPr>
              <w:jc w:val="both"/>
              <w:rPr>
                <w:rFonts w:ascii="Calibri" w:hAnsi="Calibri"/>
                <w:color w:val="000000"/>
              </w:rPr>
            </w:pPr>
            <w:r w:rsidRPr="00D921B6">
              <w:rPr>
                <w:rFonts w:ascii="Calibri" w:hAnsi="Calibri"/>
                <w:color w:val="000000"/>
              </w:rPr>
              <w:t>SUMINISTRO Y COLOCACION DE CARTEL COMPLEMENTARIO SOBRE SEÑAL EXISTENTE, DE LA MISMA RETRORREFLECTANCIA QUE LA SEÑAL QUE ACOMPAÑA, INCLUSO MATERIAL AUXILIAR. TOTALMENTE TERMINADO.</w:t>
            </w:r>
          </w:p>
          <w:p w14:paraId="0ACD1011" w14:textId="77777777" w:rsidR="00E55CD8" w:rsidRPr="00D921B6" w:rsidRDefault="00E55CD8" w:rsidP="003B4E71">
            <w:pPr>
              <w:jc w:val="both"/>
              <w:rPr>
                <w:rFonts w:ascii="Calibri" w:hAnsi="Calibri"/>
                <w:color w:val="000000"/>
              </w:rPr>
            </w:pPr>
          </w:p>
        </w:tc>
      </w:tr>
      <w:tr w:rsidR="00E55CD8" w:rsidRPr="00174ED1" w14:paraId="008C58F7" w14:textId="77777777" w:rsidTr="00174ED1">
        <w:trPr>
          <w:trHeight w:val="300"/>
        </w:trPr>
        <w:tc>
          <w:tcPr>
            <w:tcW w:w="617" w:type="pct"/>
            <w:noWrap/>
          </w:tcPr>
          <w:p w14:paraId="01659C28" w14:textId="77777777" w:rsidR="00E55CD8" w:rsidRPr="00D921B6" w:rsidRDefault="00E55CD8" w:rsidP="003B4E71">
            <w:pPr>
              <w:rPr>
                <w:rFonts w:ascii="Calibri" w:hAnsi="Calibri"/>
                <w:color w:val="000000"/>
              </w:rPr>
            </w:pPr>
            <w:r w:rsidRPr="00D921B6">
              <w:rPr>
                <w:rFonts w:ascii="Calibri" w:hAnsi="Calibri"/>
                <w:color w:val="000000"/>
              </w:rPr>
              <w:t xml:space="preserve">701.0210          </w:t>
            </w:r>
          </w:p>
        </w:tc>
        <w:tc>
          <w:tcPr>
            <w:tcW w:w="361" w:type="pct"/>
            <w:noWrap/>
          </w:tcPr>
          <w:p w14:paraId="32245C36" w14:textId="77777777" w:rsidR="00E55CD8" w:rsidRPr="00D921B6" w:rsidRDefault="00E55CD8" w:rsidP="003B4E71">
            <w:pPr>
              <w:rPr>
                <w:rFonts w:ascii="Calibri" w:hAnsi="Calibri"/>
                <w:color w:val="000000"/>
              </w:rPr>
            </w:pPr>
            <w:proofErr w:type="spellStart"/>
            <w:r w:rsidRPr="00D921B6">
              <w:rPr>
                <w:rFonts w:ascii="Calibri" w:hAnsi="Calibri"/>
                <w:color w:val="000000"/>
              </w:rPr>
              <w:t>ud</w:t>
            </w:r>
            <w:proofErr w:type="spellEnd"/>
          </w:p>
        </w:tc>
        <w:tc>
          <w:tcPr>
            <w:tcW w:w="4022" w:type="pct"/>
          </w:tcPr>
          <w:p w14:paraId="37F24781" w14:textId="77777777" w:rsidR="00E55CD8" w:rsidRPr="00D921B6" w:rsidRDefault="00E55CD8" w:rsidP="003B4E71">
            <w:pPr>
              <w:jc w:val="both"/>
              <w:rPr>
                <w:rFonts w:ascii="Calibri" w:hAnsi="Calibri"/>
                <w:color w:val="000000"/>
              </w:rPr>
            </w:pPr>
            <w:r w:rsidRPr="00D921B6">
              <w:rPr>
                <w:rFonts w:ascii="Calibri" w:hAnsi="Calibri"/>
                <w:color w:val="000000"/>
              </w:rPr>
              <w:t>SEÑAL RECTANGULAR DE 60X120 CM DE LADO, RETRORREFLECTANTE DE CLASE RA2, COLOCADA SOBRE POSTES GALVANIZADOS, FIJADOS A TIERRA MEDIANTE HORMIGONADO i/ TORNILLERÍA Y ELEMENTOS DE FIJACIÓN Y TRANSPORTE A LUGAR DE EMPLEO.</w:t>
            </w:r>
          </w:p>
          <w:p w14:paraId="64ADF491" w14:textId="77777777" w:rsidR="00E55CD8" w:rsidRPr="00D921B6" w:rsidRDefault="00E55CD8" w:rsidP="003B4E71">
            <w:pPr>
              <w:jc w:val="both"/>
              <w:rPr>
                <w:rFonts w:ascii="Calibri" w:hAnsi="Calibri"/>
                <w:color w:val="000000"/>
              </w:rPr>
            </w:pPr>
          </w:p>
        </w:tc>
      </w:tr>
      <w:tr w:rsidR="00E55CD8" w:rsidRPr="00174ED1" w14:paraId="5A94DFE0" w14:textId="77777777" w:rsidTr="00174ED1">
        <w:trPr>
          <w:trHeight w:val="300"/>
        </w:trPr>
        <w:tc>
          <w:tcPr>
            <w:tcW w:w="617" w:type="pct"/>
            <w:noWrap/>
          </w:tcPr>
          <w:p w14:paraId="233D99A1" w14:textId="77777777" w:rsidR="00E55CD8" w:rsidRPr="00D921B6" w:rsidRDefault="00E55CD8" w:rsidP="003B4E71">
            <w:pPr>
              <w:rPr>
                <w:rFonts w:ascii="Calibri" w:hAnsi="Calibri"/>
                <w:color w:val="000000"/>
              </w:rPr>
            </w:pPr>
            <w:r w:rsidRPr="00D921B6">
              <w:rPr>
                <w:rFonts w:ascii="Calibri" w:hAnsi="Calibri"/>
                <w:color w:val="000000"/>
              </w:rPr>
              <w:t xml:space="preserve">701.0230          </w:t>
            </w:r>
          </w:p>
        </w:tc>
        <w:tc>
          <w:tcPr>
            <w:tcW w:w="361" w:type="pct"/>
            <w:noWrap/>
          </w:tcPr>
          <w:p w14:paraId="0D3B7B2D" w14:textId="77777777" w:rsidR="00E55CD8" w:rsidRPr="00D921B6" w:rsidRDefault="00E55CD8" w:rsidP="003B4E71">
            <w:pPr>
              <w:rPr>
                <w:rFonts w:ascii="Calibri" w:hAnsi="Calibri"/>
                <w:color w:val="000000"/>
              </w:rPr>
            </w:pPr>
            <w:r w:rsidRPr="00D921B6">
              <w:rPr>
                <w:rFonts w:ascii="Calibri" w:hAnsi="Calibri"/>
                <w:color w:val="000000"/>
              </w:rPr>
              <w:t>m</w:t>
            </w:r>
            <w:r w:rsidRPr="00D921B6">
              <w:rPr>
                <w:rFonts w:ascii="Calibri" w:hAnsi="Calibri"/>
                <w:color w:val="000000"/>
                <w:vertAlign w:val="superscript"/>
              </w:rPr>
              <w:t>2</w:t>
            </w:r>
          </w:p>
        </w:tc>
        <w:tc>
          <w:tcPr>
            <w:tcW w:w="4022" w:type="pct"/>
          </w:tcPr>
          <w:p w14:paraId="3DF1297A" w14:textId="77777777" w:rsidR="00E55CD8" w:rsidRPr="00D921B6" w:rsidRDefault="00E55CD8" w:rsidP="003B4E71">
            <w:pPr>
              <w:jc w:val="both"/>
              <w:rPr>
                <w:rFonts w:ascii="Calibri" w:hAnsi="Calibri"/>
                <w:color w:val="000000"/>
              </w:rPr>
            </w:pPr>
            <w:r w:rsidRPr="00D921B6">
              <w:rPr>
                <w:rFonts w:ascii="Calibri" w:hAnsi="Calibri"/>
                <w:color w:val="000000"/>
              </w:rPr>
              <w:t>CARTEL TIPO FLECHA EN CHAPA DE ACERO GALVANIZADO, RETRORREFLECTANTE CLASE RA2, i/ TORNILLERÍA, ELEMENTOS DE FIJACIÓN, POSTES Y CIMENTACIÓN Y TRANSPORTE A LUGAR DE EMPLEO.</w:t>
            </w:r>
          </w:p>
          <w:p w14:paraId="67D11163" w14:textId="77777777" w:rsidR="00E55CD8" w:rsidRPr="00D921B6" w:rsidRDefault="00E55CD8" w:rsidP="003B4E71">
            <w:pPr>
              <w:jc w:val="both"/>
              <w:rPr>
                <w:rFonts w:ascii="Calibri" w:hAnsi="Calibri"/>
                <w:color w:val="000000"/>
              </w:rPr>
            </w:pPr>
          </w:p>
        </w:tc>
      </w:tr>
      <w:tr w:rsidR="00FD6931" w:rsidRPr="00174ED1" w14:paraId="05B85EE2" w14:textId="77777777" w:rsidTr="00174ED1">
        <w:trPr>
          <w:trHeight w:val="300"/>
        </w:trPr>
        <w:tc>
          <w:tcPr>
            <w:tcW w:w="617" w:type="pct"/>
            <w:noWrap/>
          </w:tcPr>
          <w:p w14:paraId="1C5D7735" w14:textId="77777777" w:rsidR="00FD6931" w:rsidRPr="00D921B6" w:rsidRDefault="00FD6931">
            <w:pPr>
              <w:rPr>
                <w:rFonts w:ascii="Calibri" w:hAnsi="Calibri"/>
                <w:color w:val="000000"/>
              </w:rPr>
            </w:pPr>
            <w:r w:rsidRPr="00D921B6">
              <w:rPr>
                <w:rFonts w:ascii="Calibri" w:hAnsi="Calibri"/>
                <w:color w:val="000000"/>
              </w:rPr>
              <w:t xml:space="preserve">701.0240          </w:t>
            </w:r>
          </w:p>
        </w:tc>
        <w:tc>
          <w:tcPr>
            <w:tcW w:w="361" w:type="pct"/>
            <w:noWrap/>
          </w:tcPr>
          <w:p w14:paraId="48B2F622" w14:textId="77777777" w:rsidR="00FD6931" w:rsidRPr="00D921B6" w:rsidRDefault="00D921B6">
            <w:pPr>
              <w:rPr>
                <w:rFonts w:ascii="Calibri" w:hAnsi="Calibri"/>
                <w:color w:val="000000"/>
              </w:rPr>
            </w:pPr>
            <w:r w:rsidRPr="00D921B6">
              <w:rPr>
                <w:rFonts w:ascii="Calibri" w:hAnsi="Calibri"/>
                <w:color w:val="000000"/>
              </w:rPr>
              <w:t>m</w:t>
            </w:r>
            <w:r w:rsidRPr="00D921B6">
              <w:rPr>
                <w:rFonts w:ascii="Calibri" w:hAnsi="Calibri"/>
                <w:color w:val="000000"/>
                <w:vertAlign w:val="superscript"/>
              </w:rPr>
              <w:t>2</w:t>
            </w:r>
          </w:p>
        </w:tc>
        <w:tc>
          <w:tcPr>
            <w:tcW w:w="4022" w:type="pct"/>
          </w:tcPr>
          <w:p w14:paraId="149953F1" w14:textId="77777777" w:rsidR="005A3268" w:rsidRPr="00D921B6" w:rsidRDefault="005A3268" w:rsidP="00DE5E65">
            <w:pPr>
              <w:jc w:val="both"/>
              <w:rPr>
                <w:rFonts w:ascii="Calibri" w:hAnsi="Calibri"/>
                <w:color w:val="000000"/>
              </w:rPr>
            </w:pPr>
            <w:r w:rsidRPr="00D921B6">
              <w:rPr>
                <w:rFonts w:ascii="Calibri" w:hAnsi="Calibri"/>
                <w:color w:val="000000"/>
              </w:rPr>
              <w:t>CARTEL DE CHAPA DE ACERO GALVANIZADO, RETRORREFLECTANTE DE CLASE RA3, i/ TORNILLERÍA, ELEMENTOS DE FIJACIÓN, POSTES Y CIMENTACIÓN Y TRANSPORTE A LUGAR DE EMPLEO.</w:t>
            </w:r>
          </w:p>
          <w:p w14:paraId="5935F301" w14:textId="77777777" w:rsidR="00FD6931" w:rsidRPr="00D921B6" w:rsidRDefault="00FD6931" w:rsidP="00DE5E65">
            <w:pPr>
              <w:jc w:val="both"/>
              <w:rPr>
                <w:rFonts w:ascii="Calibri" w:hAnsi="Calibri"/>
                <w:color w:val="000000"/>
              </w:rPr>
            </w:pPr>
          </w:p>
        </w:tc>
      </w:tr>
      <w:tr w:rsidR="00FD6931" w:rsidRPr="00174ED1" w14:paraId="74D2A694" w14:textId="77777777" w:rsidTr="00174ED1">
        <w:trPr>
          <w:trHeight w:val="419"/>
        </w:trPr>
        <w:tc>
          <w:tcPr>
            <w:tcW w:w="617" w:type="pct"/>
            <w:noWrap/>
          </w:tcPr>
          <w:p w14:paraId="0D1CBEB3" w14:textId="77777777" w:rsidR="00FD6931" w:rsidRPr="00D921B6" w:rsidRDefault="00FD6931">
            <w:pPr>
              <w:rPr>
                <w:rFonts w:ascii="Calibri" w:hAnsi="Calibri"/>
                <w:color w:val="000000"/>
              </w:rPr>
            </w:pPr>
            <w:r w:rsidRPr="00D921B6">
              <w:rPr>
                <w:rFonts w:ascii="Calibri" w:hAnsi="Calibri"/>
                <w:color w:val="000000"/>
              </w:rPr>
              <w:t xml:space="preserve">701.0250          </w:t>
            </w:r>
          </w:p>
        </w:tc>
        <w:tc>
          <w:tcPr>
            <w:tcW w:w="361" w:type="pct"/>
            <w:noWrap/>
          </w:tcPr>
          <w:p w14:paraId="22CC8E27" w14:textId="77777777" w:rsidR="00FD6931" w:rsidRPr="00D921B6" w:rsidRDefault="00D921B6">
            <w:pPr>
              <w:rPr>
                <w:rFonts w:ascii="Calibri" w:hAnsi="Calibri"/>
                <w:color w:val="000000"/>
              </w:rPr>
            </w:pPr>
            <w:r w:rsidRPr="00D921B6">
              <w:rPr>
                <w:rFonts w:ascii="Calibri" w:hAnsi="Calibri"/>
                <w:color w:val="000000"/>
              </w:rPr>
              <w:t>m</w:t>
            </w:r>
            <w:r w:rsidRPr="00D921B6">
              <w:rPr>
                <w:rFonts w:ascii="Calibri" w:hAnsi="Calibri"/>
                <w:color w:val="000000"/>
                <w:vertAlign w:val="superscript"/>
              </w:rPr>
              <w:t>2</w:t>
            </w:r>
          </w:p>
        </w:tc>
        <w:tc>
          <w:tcPr>
            <w:tcW w:w="4022" w:type="pct"/>
          </w:tcPr>
          <w:p w14:paraId="1C763FB1" w14:textId="77777777" w:rsidR="005A3268" w:rsidRPr="00D921B6" w:rsidRDefault="005A3268" w:rsidP="00DE5E65">
            <w:pPr>
              <w:jc w:val="both"/>
              <w:rPr>
                <w:rFonts w:ascii="Calibri" w:hAnsi="Calibri"/>
                <w:color w:val="000000"/>
              </w:rPr>
            </w:pPr>
            <w:r w:rsidRPr="00D921B6">
              <w:rPr>
                <w:rFonts w:ascii="Calibri" w:hAnsi="Calibri"/>
                <w:color w:val="000000"/>
              </w:rPr>
              <w:t>CARTEL DE CHAPA DE ACERO GALVANIZADO, RETRORREFLECTANTE DE CLASE RA2, i/ TORNILLERÍA, ELEMENTOS DE FIJACIÓN, POSTES Y CIMENTACIÓN Y TRANSPORTE A LUGAR DE EMPLEO.</w:t>
            </w:r>
          </w:p>
          <w:p w14:paraId="7F7634C0" w14:textId="77777777" w:rsidR="00FD6931" w:rsidRPr="00D921B6" w:rsidRDefault="00FD6931" w:rsidP="00DE5E65">
            <w:pPr>
              <w:jc w:val="both"/>
              <w:rPr>
                <w:rFonts w:ascii="Calibri" w:hAnsi="Calibri"/>
                <w:color w:val="000000"/>
              </w:rPr>
            </w:pPr>
          </w:p>
        </w:tc>
      </w:tr>
      <w:tr w:rsidR="00FD6931" w:rsidRPr="00174ED1" w14:paraId="7ABF31FC" w14:textId="77777777" w:rsidTr="00174ED1">
        <w:trPr>
          <w:trHeight w:val="419"/>
        </w:trPr>
        <w:tc>
          <w:tcPr>
            <w:tcW w:w="617" w:type="pct"/>
            <w:noWrap/>
          </w:tcPr>
          <w:p w14:paraId="504D6D48" w14:textId="77777777" w:rsidR="00FD6931" w:rsidRPr="00D921B6" w:rsidRDefault="00FD6931">
            <w:pPr>
              <w:rPr>
                <w:rFonts w:ascii="Calibri" w:hAnsi="Calibri"/>
                <w:color w:val="000000"/>
              </w:rPr>
            </w:pPr>
            <w:r w:rsidRPr="00D921B6">
              <w:rPr>
                <w:rFonts w:ascii="Calibri" w:hAnsi="Calibri"/>
                <w:color w:val="000000"/>
              </w:rPr>
              <w:t xml:space="preserve">701.0280          </w:t>
            </w:r>
          </w:p>
        </w:tc>
        <w:tc>
          <w:tcPr>
            <w:tcW w:w="361" w:type="pct"/>
            <w:noWrap/>
          </w:tcPr>
          <w:p w14:paraId="45664430" w14:textId="77777777" w:rsidR="00FD6931" w:rsidRPr="00D921B6" w:rsidRDefault="00D921B6">
            <w:pPr>
              <w:rPr>
                <w:rFonts w:ascii="Calibri" w:hAnsi="Calibri"/>
                <w:color w:val="000000"/>
              </w:rPr>
            </w:pPr>
            <w:r w:rsidRPr="00D921B6">
              <w:rPr>
                <w:rFonts w:ascii="Calibri" w:hAnsi="Calibri"/>
                <w:color w:val="000000"/>
              </w:rPr>
              <w:t>m</w:t>
            </w:r>
            <w:r w:rsidRPr="00D921B6">
              <w:rPr>
                <w:rFonts w:ascii="Calibri" w:hAnsi="Calibri"/>
                <w:color w:val="000000"/>
                <w:vertAlign w:val="superscript"/>
              </w:rPr>
              <w:t>2</w:t>
            </w:r>
          </w:p>
        </w:tc>
        <w:tc>
          <w:tcPr>
            <w:tcW w:w="4022" w:type="pct"/>
          </w:tcPr>
          <w:p w14:paraId="7F52C7E4" w14:textId="77777777" w:rsidR="005A3268" w:rsidRDefault="005A3268" w:rsidP="00DE5E65">
            <w:pPr>
              <w:jc w:val="both"/>
              <w:rPr>
                <w:rFonts w:ascii="Calibri" w:hAnsi="Calibri"/>
                <w:color w:val="000000"/>
              </w:rPr>
            </w:pPr>
            <w:r w:rsidRPr="00D921B6">
              <w:rPr>
                <w:rFonts w:ascii="Calibri" w:hAnsi="Calibri"/>
                <w:color w:val="000000"/>
              </w:rPr>
              <w:t>PANEL EN LAMAS DE ALUMINIO EXTRUSIONADO RETRORREFLECTANTE DE CLASE 3, COLOCADO EN PÓRTICOS O BANDEROLAS i/ TRANSPORTE A LUGAR DE EMPLEO (SIN INCLUIR PÓRTICO O BANDEROLA).</w:t>
            </w:r>
          </w:p>
          <w:p w14:paraId="25CB6998" w14:textId="77777777" w:rsidR="00CF7652" w:rsidRDefault="00CF7652" w:rsidP="00DE5E65">
            <w:pPr>
              <w:jc w:val="both"/>
              <w:rPr>
                <w:rFonts w:ascii="Calibri" w:hAnsi="Calibri"/>
                <w:color w:val="000000"/>
              </w:rPr>
            </w:pPr>
          </w:p>
          <w:p w14:paraId="079EB820" w14:textId="77777777" w:rsidR="00CF7652" w:rsidRPr="00D921B6" w:rsidRDefault="00CF7652" w:rsidP="00DE5E65">
            <w:pPr>
              <w:jc w:val="both"/>
              <w:rPr>
                <w:rFonts w:ascii="Calibri" w:hAnsi="Calibri"/>
                <w:color w:val="000000"/>
              </w:rPr>
            </w:pPr>
          </w:p>
          <w:p w14:paraId="6F0A572C" w14:textId="77777777" w:rsidR="00FD6931" w:rsidRPr="00D921B6" w:rsidRDefault="00FD6931" w:rsidP="00DE5E65">
            <w:pPr>
              <w:jc w:val="both"/>
              <w:rPr>
                <w:rFonts w:ascii="Calibri" w:hAnsi="Calibri"/>
                <w:color w:val="000000"/>
              </w:rPr>
            </w:pPr>
          </w:p>
        </w:tc>
      </w:tr>
      <w:tr w:rsidR="00C55AC2" w:rsidRPr="00174ED1" w14:paraId="681E9182" w14:textId="77777777" w:rsidTr="00174ED1">
        <w:trPr>
          <w:trHeight w:val="287"/>
        </w:trPr>
        <w:tc>
          <w:tcPr>
            <w:tcW w:w="617" w:type="pct"/>
            <w:noWrap/>
          </w:tcPr>
          <w:p w14:paraId="13ED8C42" w14:textId="77777777" w:rsidR="00C55AC2" w:rsidRPr="00D921B6" w:rsidRDefault="00C55AC2">
            <w:pPr>
              <w:rPr>
                <w:rFonts w:ascii="Calibri" w:hAnsi="Calibri" w:cs="Calibri"/>
                <w:color w:val="000000"/>
              </w:rPr>
            </w:pPr>
            <w:r w:rsidRPr="00D921B6">
              <w:rPr>
                <w:rFonts w:ascii="Calibri" w:hAnsi="Calibri" w:cs="Calibri"/>
                <w:color w:val="000000"/>
              </w:rPr>
              <w:lastRenderedPageBreak/>
              <w:t xml:space="preserve">703.0080          </w:t>
            </w:r>
          </w:p>
        </w:tc>
        <w:tc>
          <w:tcPr>
            <w:tcW w:w="361" w:type="pct"/>
            <w:noWrap/>
          </w:tcPr>
          <w:p w14:paraId="1B2A6F42" w14:textId="77777777" w:rsidR="00C55AC2" w:rsidRPr="00D921B6" w:rsidRDefault="00C55AC2">
            <w:pPr>
              <w:rPr>
                <w:rFonts w:ascii="Calibri" w:hAnsi="Calibri" w:cs="Calibri"/>
                <w:color w:val="000000"/>
              </w:rPr>
            </w:pPr>
            <w:proofErr w:type="spellStart"/>
            <w:r w:rsidRPr="00D921B6">
              <w:rPr>
                <w:rFonts w:ascii="Calibri" w:hAnsi="Calibri" w:cs="Calibri"/>
                <w:color w:val="000000"/>
              </w:rPr>
              <w:t>ud</w:t>
            </w:r>
            <w:proofErr w:type="spellEnd"/>
          </w:p>
        </w:tc>
        <w:tc>
          <w:tcPr>
            <w:tcW w:w="4022" w:type="pct"/>
          </w:tcPr>
          <w:p w14:paraId="45FB020E" w14:textId="77777777" w:rsidR="00395DF9" w:rsidRPr="00D921B6" w:rsidRDefault="00395DF9" w:rsidP="00DE5E65">
            <w:pPr>
              <w:jc w:val="both"/>
              <w:rPr>
                <w:rFonts w:ascii="Calibri" w:hAnsi="Calibri" w:cs="Calibri"/>
                <w:color w:val="000000"/>
              </w:rPr>
            </w:pPr>
            <w:r w:rsidRPr="00D921B6">
              <w:rPr>
                <w:rFonts w:ascii="Calibri" w:hAnsi="Calibri" w:cs="Calibri"/>
                <w:color w:val="000000"/>
              </w:rPr>
              <w:t>PANEL DIRECCIONAL DE 160x40 cm Y RETRORREFLACTANCIA CLASE RA2 i/ TORNILLERÍA, ELEMENTOS DE FIJACIÓN, POSTES Y CIMENTACIÓN Y TRANSPORTE A LUGAR DE EMPLEO.</w:t>
            </w:r>
          </w:p>
          <w:p w14:paraId="498AAD13" w14:textId="77777777" w:rsidR="00C55AC2" w:rsidRPr="00D921B6" w:rsidRDefault="00C55AC2" w:rsidP="00DE5E65">
            <w:pPr>
              <w:jc w:val="both"/>
              <w:rPr>
                <w:rFonts w:ascii="Calibri" w:hAnsi="Calibri" w:cs="Calibri"/>
                <w:color w:val="000000"/>
              </w:rPr>
            </w:pPr>
          </w:p>
        </w:tc>
      </w:tr>
      <w:tr w:rsidR="00C55AC2" w:rsidRPr="005864C2" w14:paraId="10A45DF9" w14:textId="77777777" w:rsidTr="00174ED1">
        <w:trPr>
          <w:trHeight w:val="253"/>
        </w:trPr>
        <w:tc>
          <w:tcPr>
            <w:tcW w:w="617" w:type="pct"/>
            <w:noWrap/>
          </w:tcPr>
          <w:p w14:paraId="77C11FBC" w14:textId="77777777" w:rsidR="00C55AC2" w:rsidRPr="00D921B6" w:rsidRDefault="00C55AC2">
            <w:pPr>
              <w:rPr>
                <w:rFonts w:ascii="Calibri" w:hAnsi="Calibri" w:cs="Calibri"/>
                <w:color w:val="000000"/>
              </w:rPr>
            </w:pPr>
            <w:r w:rsidRPr="00D921B6">
              <w:rPr>
                <w:rFonts w:ascii="Calibri" w:hAnsi="Calibri" w:cs="Calibri"/>
                <w:color w:val="000000"/>
              </w:rPr>
              <w:t xml:space="preserve">703.0100          </w:t>
            </w:r>
          </w:p>
        </w:tc>
        <w:tc>
          <w:tcPr>
            <w:tcW w:w="361" w:type="pct"/>
            <w:noWrap/>
          </w:tcPr>
          <w:p w14:paraId="46EB64A2" w14:textId="77777777" w:rsidR="00C55AC2" w:rsidRPr="00D921B6" w:rsidRDefault="00C55AC2">
            <w:pPr>
              <w:rPr>
                <w:rFonts w:ascii="Calibri" w:hAnsi="Calibri" w:cs="Calibri"/>
                <w:color w:val="000000"/>
              </w:rPr>
            </w:pPr>
            <w:proofErr w:type="spellStart"/>
            <w:r w:rsidRPr="00D921B6">
              <w:rPr>
                <w:rFonts w:ascii="Calibri" w:hAnsi="Calibri" w:cs="Calibri"/>
                <w:color w:val="000000"/>
              </w:rPr>
              <w:t>ud</w:t>
            </w:r>
            <w:proofErr w:type="spellEnd"/>
          </w:p>
        </w:tc>
        <w:tc>
          <w:tcPr>
            <w:tcW w:w="4022" w:type="pct"/>
          </w:tcPr>
          <w:p w14:paraId="4F808613" w14:textId="77777777" w:rsidR="00C55AC2" w:rsidRPr="00D921B6" w:rsidRDefault="00395DF9" w:rsidP="00DE5E65">
            <w:pPr>
              <w:jc w:val="both"/>
              <w:rPr>
                <w:rFonts w:ascii="Calibri" w:hAnsi="Calibri" w:cs="Calibri"/>
                <w:color w:val="000000"/>
              </w:rPr>
            </w:pPr>
            <w:r w:rsidRPr="00D921B6">
              <w:rPr>
                <w:rFonts w:ascii="Calibri" w:hAnsi="Calibri" w:cs="Calibri"/>
                <w:color w:val="000000"/>
              </w:rPr>
              <w:t>PANEL DIRECCIONAL TRIPLE DE 160x40 cm Y CLASE RA2 i/ TORNILLERÍA, ELEMENTOS DE FIJACIÓN, POSTES Y CIMENTACIÓN Y TRANSPORTE A LUGAR DE EMPLEO.</w:t>
            </w:r>
          </w:p>
        </w:tc>
      </w:tr>
    </w:tbl>
    <w:p w14:paraId="0CB5CF7C" w14:textId="77777777" w:rsidR="002B430C" w:rsidRDefault="002B430C" w:rsidP="00D7794C">
      <w:pPr>
        <w:pStyle w:val="NORMAL12"/>
      </w:pPr>
      <w:r>
        <w:t>Los trabajos incluidos e</w:t>
      </w:r>
      <w:r w:rsidR="00883387">
        <w:t>n las unidades de obra de este a</w:t>
      </w:r>
      <w:r>
        <w:t>rtículo son:</w:t>
      </w:r>
    </w:p>
    <w:p w14:paraId="35E57A1A" w14:textId="77777777" w:rsidR="00883387" w:rsidRDefault="002B430C" w:rsidP="00E01981">
      <w:pPr>
        <w:pStyle w:val="NORMAL12"/>
        <w:numPr>
          <w:ilvl w:val="0"/>
          <w:numId w:val="81"/>
        </w:numPr>
      </w:pPr>
      <w:r>
        <w:t>Ejecución de la cimentación</w:t>
      </w:r>
      <w:r w:rsidR="00883387">
        <w:t xml:space="preserve"> y estructura de sustentación</w:t>
      </w:r>
    </w:p>
    <w:p w14:paraId="3F89F7CF" w14:textId="77777777" w:rsidR="00883387" w:rsidRDefault="00883387" w:rsidP="00E01981">
      <w:pPr>
        <w:pStyle w:val="NORMAL12"/>
        <w:numPr>
          <w:ilvl w:val="0"/>
          <w:numId w:val="81"/>
        </w:numPr>
      </w:pPr>
      <w:r>
        <w:t>Colocación de señal vertical, carteles y paneles tipo flecha</w:t>
      </w:r>
    </w:p>
    <w:p w14:paraId="2AF49B2A" w14:textId="77777777" w:rsidR="0037404A" w:rsidRDefault="0037404A" w:rsidP="000313DD">
      <w:pPr>
        <w:pStyle w:val="TITU2"/>
      </w:pPr>
      <w:bookmarkStart w:id="1097" w:name="_Toc404568"/>
      <w:r>
        <w:t>701.2. Tipos</w:t>
      </w:r>
      <w:bookmarkEnd w:id="1097"/>
    </w:p>
    <w:p w14:paraId="04F1615E" w14:textId="77777777" w:rsidR="000110B4" w:rsidRDefault="000110B4" w:rsidP="000110B4">
      <w:pPr>
        <w:pStyle w:val="NORMAL12"/>
        <w:rPr>
          <w:lang w:val="es-ES"/>
        </w:rPr>
      </w:pPr>
      <w:r>
        <w:rPr>
          <w:lang w:val="es-ES"/>
        </w:rPr>
        <w:t>El nivel de retrorreflexión mínima en señales y carteles es el siguiente:</w:t>
      </w:r>
    </w:p>
    <w:tbl>
      <w:tblPr>
        <w:tblW w:w="9000" w:type="dxa"/>
        <w:tblInd w:w="55" w:type="dxa"/>
        <w:tblCellMar>
          <w:left w:w="70" w:type="dxa"/>
          <w:right w:w="70" w:type="dxa"/>
        </w:tblCellMar>
        <w:tblLook w:val="04A0" w:firstRow="1" w:lastRow="0" w:firstColumn="1" w:lastColumn="0" w:noHBand="0" w:noVBand="1"/>
      </w:tblPr>
      <w:tblGrid>
        <w:gridCol w:w="2500"/>
        <w:gridCol w:w="1763"/>
        <w:gridCol w:w="2274"/>
        <w:gridCol w:w="2463"/>
      </w:tblGrid>
      <w:tr w:rsidR="000110B4" w14:paraId="35ACB566" w14:textId="77777777" w:rsidTr="000110B4">
        <w:trPr>
          <w:trHeight w:val="300"/>
        </w:trPr>
        <w:tc>
          <w:tcPr>
            <w:tcW w:w="2500" w:type="dxa"/>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3B311516" w14:textId="77777777" w:rsidR="000110B4" w:rsidRDefault="000110B4">
            <w:pPr>
              <w:jc w:val="center"/>
              <w:rPr>
                <w:rFonts w:ascii="Calibri" w:hAnsi="Calibri"/>
                <w:b/>
                <w:bCs/>
                <w:color w:val="000000"/>
                <w:sz w:val="22"/>
                <w:szCs w:val="22"/>
              </w:rPr>
            </w:pPr>
            <w:r>
              <w:rPr>
                <w:rFonts w:ascii="Calibri" w:hAnsi="Calibri"/>
                <w:b/>
                <w:bCs/>
                <w:color w:val="000000"/>
                <w:sz w:val="22"/>
                <w:szCs w:val="22"/>
              </w:rPr>
              <w:t>Tipo de señal o cartel</w:t>
            </w:r>
          </w:p>
        </w:tc>
        <w:tc>
          <w:tcPr>
            <w:tcW w:w="6500" w:type="dxa"/>
            <w:gridSpan w:val="3"/>
            <w:tcBorders>
              <w:top w:val="single" w:sz="4" w:space="0" w:color="auto"/>
              <w:left w:val="nil"/>
              <w:bottom w:val="single" w:sz="4" w:space="0" w:color="auto"/>
              <w:right w:val="single" w:sz="4" w:space="0" w:color="auto"/>
            </w:tcBorders>
            <w:shd w:val="clear" w:color="000000" w:fill="D8D8D8"/>
            <w:noWrap/>
            <w:vAlign w:val="center"/>
            <w:hideMark/>
          </w:tcPr>
          <w:p w14:paraId="6502C0D6" w14:textId="77777777" w:rsidR="000110B4" w:rsidRDefault="000110B4">
            <w:pPr>
              <w:jc w:val="center"/>
              <w:rPr>
                <w:rFonts w:ascii="Calibri" w:hAnsi="Calibri"/>
                <w:b/>
                <w:bCs/>
                <w:color w:val="000000"/>
                <w:sz w:val="22"/>
                <w:szCs w:val="22"/>
              </w:rPr>
            </w:pPr>
            <w:r>
              <w:rPr>
                <w:rFonts w:ascii="Calibri" w:hAnsi="Calibri"/>
                <w:b/>
                <w:bCs/>
                <w:color w:val="000000"/>
                <w:sz w:val="22"/>
                <w:szCs w:val="22"/>
              </w:rPr>
              <w:t>Entorno de ubicación</w:t>
            </w:r>
          </w:p>
        </w:tc>
      </w:tr>
      <w:tr w:rsidR="000110B4" w14:paraId="5CD276B0" w14:textId="77777777" w:rsidTr="000110B4">
        <w:trPr>
          <w:trHeight w:val="300"/>
        </w:trPr>
        <w:tc>
          <w:tcPr>
            <w:tcW w:w="2500" w:type="dxa"/>
            <w:vMerge/>
            <w:tcBorders>
              <w:top w:val="single" w:sz="4" w:space="0" w:color="auto"/>
              <w:left w:val="single" w:sz="4" w:space="0" w:color="auto"/>
              <w:bottom w:val="single" w:sz="4" w:space="0" w:color="auto"/>
              <w:right w:val="single" w:sz="4" w:space="0" w:color="auto"/>
            </w:tcBorders>
            <w:vAlign w:val="center"/>
            <w:hideMark/>
          </w:tcPr>
          <w:p w14:paraId="3DB7D3DC" w14:textId="77777777" w:rsidR="000110B4" w:rsidRDefault="000110B4">
            <w:pPr>
              <w:rPr>
                <w:rFonts w:ascii="Calibri" w:hAnsi="Calibri"/>
                <w:b/>
                <w:bCs/>
                <w:color w:val="000000"/>
                <w:sz w:val="22"/>
                <w:szCs w:val="22"/>
              </w:rPr>
            </w:pPr>
          </w:p>
        </w:tc>
        <w:tc>
          <w:tcPr>
            <w:tcW w:w="1763" w:type="dxa"/>
            <w:tcBorders>
              <w:top w:val="nil"/>
              <w:left w:val="nil"/>
              <w:bottom w:val="single" w:sz="4" w:space="0" w:color="auto"/>
              <w:right w:val="single" w:sz="4" w:space="0" w:color="auto"/>
            </w:tcBorders>
            <w:shd w:val="clear" w:color="000000" w:fill="D8D8D8"/>
            <w:noWrap/>
            <w:vAlign w:val="center"/>
            <w:hideMark/>
          </w:tcPr>
          <w:p w14:paraId="5047758A" w14:textId="77777777" w:rsidR="000110B4" w:rsidRDefault="000110B4">
            <w:pPr>
              <w:jc w:val="center"/>
              <w:rPr>
                <w:rFonts w:ascii="Calibri" w:hAnsi="Calibri"/>
                <w:b/>
                <w:bCs/>
                <w:color w:val="000000"/>
                <w:sz w:val="22"/>
                <w:szCs w:val="22"/>
              </w:rPr>
            </w:pPr>
            <w:r>
              <w:rPr>
                <w:rFonts w:ascii="Calibri" w:hAnsi="Calibri"/>
                <w:b/>
                <w:bCs/>
                <w:color w:val="000000"/>
                <w:sz w:val="22"/>
                <w:szCs w:val="22"/>
              </w:rPr>
              <w:t>Zona periurbana</w:t>
            </w:r>
          </w:p>
        </w:tc>
        <w:tc>
          <w:tcPr>
            <w:tcW w:w="2274" w:type="dxa"/>
            <w:tcBorders>
              <w:top w:val="nil"/>
              <w:left w:val="nil"/>
              <w:bottom w:val="single" w:sz="4" w:space="0" w:color="auto"/>
              <w:right w:val="single" w:sz="4" w:space="0" w:color="auto"/>
            </w:tcBorders>
            <w:shd w:val="clear" w:color="000000" w:fill="D8D8D8"/>
            <w:noWrap/>
            <w:vAlign w:val="center"/>
            <w:hideMark/>
          </w:tcPr>
          <w:p w14:paraId="60750812" w14:textId="77777777" w:rsidR="000110B4" w:rsidRDefault="000110B4">
            <w:pPr>
              <w:jc w:val="center"/>
              <w:rPr>
                <w:rFonts w:ascii="Calibri" w:hAnsi="Calibri"/>
                <w:b/>
                <w:bCs/>
                <w:color w:val="000000"/>
                <w:sz w:val="22"/>
                <w:szCs w:val="22"/>
              </w:rPr>
            </w:pPr>
            <w:r>
              <w:rPr>
                <w:rFonts w:ascii="Calibri" w:hAnsi="Calibri"/>
                <w:b/>
                <w:bCs/>
                <w:color w:val="000000"/>
                <w:sz w:val="22"/>
                <w:szCs w:val="22"/>
              </w:rPr>
              <w:t>Autopistas y autovías</w:t>
            </w:r>
          </w:p>
        </w:tc>
        <w:tc>
          <w:tcPr>
            <w:tcW w:w="2463" w:type="dxa"/>
            <w:tcBorders>
              <w:top w:val="nil"/>
              <w:left w:val="nil"/>
              <w:bottom w:val="single" w:sz="4" w:space="0" w:color="auto"/>
              <w:right w:val="single" w:sz="4" w:space="0" w:color="auto"/>
            </w:tcBorders>
            <w:shd w:val="clear" w:color="000000" w:fill="D8D8D8"/>
            <w:noWrap/>
            <w:vAlign w:val="center"/>
            <w:hideMark/>
          </w:tcPr>
          <w:p w14:paraId="04C38BAF" w14:textId="77777777" w:rsidR="000110B4" w:rsidRDefault="000110B4">
            <w:pPr>
              <w:jc w:val="center"/>
              <w:rPr>
                <w:rFonts w:ascii="Calibri" w:hAnsi="Calibri"/>
                <w:b/>
                <w:bCs/>
                <w:color w:val="000000"/>
                <w:sz w:val="22"/>
                <w:szCs w:val="22"/>
              </w:rPr>
            </w:pPr>
            <w:r>
              <w:rPr>
                <w:rFonts w:ascii="Calibri" w:hAnsi="Calibri"/>
                <w:b/>
                <w:bCs/>
                <w:color w:val="000000"/>
                <w:sz w:val="22"/>
                <w:szCs w:val="22"/>
              </w:rPr>
              <w:t>Carretera convencional</w:t>
            </w:r>
          </w:p>
        </w:tc>
      </w:tr>
      <w:tr w:rsidR="000110B4" w14:paraId="3A12A5C1" w14:textId="77777777" w:rsidTr="000110B4">
        <w:trPr>
          <w:trHeight w:val="300"/>
        </w:trPr>
        <w:tc>
          <w:tcPr>
            <w:tcW w:w="2500" w:type="dxa"/>
            <w:tcBorders>
              <w:top w:val="nil"/>
              <w:left w:val="single" w:sz="4" w:space="0" w:color="auto"/>
              <w:bottom w:val="single" w:sz="4" w:space="0" w:color="auto"/>
              <w:right w:val="single" w:sz="4" w:space="0" w:color="auto"/>
            </w:tcBorders>
            <w:noWrap/>
            <w:vAlign w:val="center"/>
            <w:hideMark/>
          </w:tcPr>
          <w:p w14:paraId="11202E09" w14:textId="77777777" w:rsidR="000110B4" w:rsidRDefault="000110B4">
            <w:pPr>
              <w:rPr>
                <w:rFonts w:ascii="Calibri" w:hAnsi="Calibri"/>
                <w:color w:val="000000"/>
                <w:sz w:val="22"/>
                <w:szCs w:val="22"/>
              </w:rPr>
            </w:pPr>
            <w:r>
              <w:rPr>
                <w:rFonts w:ascii="Calibri" w:hAnsi="Calibri"/>
                <w:color w:val="000000"/>
                <w:sz w:val="22"/>
                <w:szCs w:val="22"/>
              </w:rPr>
              <w:t>Señales de contenido fijo</w:t>
            </w:r>
          </w:p>
        </w:tc>
        <w:tc>
          <w:tcPr>
            <w:tcW w:w="1763" w:type="dxa"/>
            <w:tcBorders>
              <w:top w:val="nil"/>
              <w:left w:val="nil"/>
              <w:bottom w:val="single" w:sz="4" w:space="0" w:color="auto"/>
              <w:right w:val="single" w:sz="4" w:space="0" w:color="auto"/>
            </w:tcBorders>
            <w:noWrap/>
            <w:vAlign w:val="center"/>
            <w:hideMark/>
          </w:tcPr>
          <w:p w14:paraId="1A92B88F" w14:textId="77777777" w:rsidR="000110B4" w:rsidRDefault="000110B4">
            <w:pPr>
              <w:jc w:val="center"/>
              <w:rPr>
                <w:rFonts w:ascii="Calibri" w:hAnsi="Calibri"/>
                <w:color w:val="000000"/>
                <w:sz w:val="22"/>
                <w:szCs w:val="22"/>
              </w:rPr>
            </w:pPr>
            <w:r>
              <w:rPr>
                <w:rFonts w:ascii="Calibri" w:hAnsi="Calibri"/>
                <w:color w:val="000000"/>
                <w:sz w:val="22"/>
                <w:szCs w:val="22"/>
              </w:rPr>
              <w:t>Clase RA2</w:t>
            </w:r>
          </w:p>
        </w:tc>
        <w:tc>
          <w:tcPr>
            <w:tcW w:w="2274" w:type="dxa"/>
            <w:tcBorders>
              <w:top w:val="nil"/>
              <w:left w:val="nil"/>
              <w:bottom w:val="single" w:sz="4" w:space="0" w:color="auto"/>
              <w:right w:val="single" w:sz="4" w:space="0" w:color="auto"/>
            </w:tcBorders>
            <w:noWrap/>
            <w:vAlign w:val="center"/>
            <w:hideMark/>
          </w:tcPr>
          <w:p w14:paraId="09BEFCA7" w14:textId="77777777" w:rsidR="000110B4" w:rsidRDefault="000110B4">
            <w:pPr>
              <w:jc w:val="center"/>
              <w:rPr>
                <w:rFonts w:ascii="Calibri" w:hAnsi="Calibri"/>
                <w:color w:val="000000"/>
                <w:sz w:val="22"/>
                <w:szCs w:val="22"/>
              </w:rPr>
            </w:pPr>
            <w:r>
              <w:rPr>
                <w:rFonts w:ascii="Calibri" w:hAnsi="Calibri"/>
                <w:color w:val="000000"/>
                <w:sz w:val="22"/>
                <w:szCs w:val="22"/>
              </w:rPr>
              <w:t>Clase RA2</w:t>
            </w:r>
          </w:p>
        </w:tc>
        <w:tc>
          <w:tcPr>
            <w:tcW w:w="2463" w:type="dxa"/>
            <w:tcBorders>
              <w:top w:val="nil"/>
              <w:left w:val="nil"/>
              <w:bottom w:val="single" w:sz="4" w:space="0" w:color="auto"/>
              <w:right w:val="single" w:sz="4" w:space="0" w:color="auto"/>
            </w:tcBorders>
            <w:noWrap/>
            <w:vAlign w:val="center"/>
            <w:hideMark/>
          </w:tcPr>
          <w:p w14:paraId="7EEF36B4" w14:textId="77777777" w:rsidR="000110B4" w:rsidRDefault="000110B4">
            <w:pPr>
              <w:jc w:val="center"/>
              <w:rPr>
                <w:rFonts w:ascii="Calibri" w:hAnsi="Calibri"/>
                <w:color w:val="000000"/>
                <w:sz w:val="22"/>
                <w:szCs w:val="22"/>
              </w:rPr>
            </w:pPr>
            <w:r>
              <w:rPr>
                <w:rFonts w:ascii="Calibri" w:hAnsi="Calibri"/>
                <w:color w:val="000000"/>
                <w:sz w:val="22"/>
                <w:szCs w:val="22"/>
              </w:rPr>
              <w:t>Clase RA2</w:t>
            </w:r>
          </w:p>
        </w:tc>
      </w:tr>
      <w:tr w:rsidR="000110B4" w14:paraId="394225D3" w14:textId="77777777" w:rsidTr="000110B4">
        <w:trPr>
          <w:trHeight w:val="300"/>
        </w:trPr>
        <w:tc>
          <w:tcPr>
            <w:tcW w:w="2500" w:type="dxa"/>
            <w:tcBorders>
              <w:top w:val="nil"/>
              <w:left w:val="single" w:sz="4" w:space="0" w:color="auto"/>
              <w:bottom w:val="single" w:sz="4" w:space="0" w:color="auto"/>
              <w:right w:val="single" w:sz="4" w:space="0" w:color="auto"/>
            </w:tcBorders>
            <w:noWrap/>
            <w:vAlign w:val="center"/>
            <w:hideMark/>
          </w:tcPr>
          <w:p w14:paraId="786DBB72" w14:textId="77777777" w:rsidR="000110B4" w:rsidRDefault="000110B4">
            <w:pPr>
              <w:rPr>
                <w:rFonts w:ascii="Calibri" w:hAnsi="Calibri"/>
                <w:color w:val="000000"/>
                <w:sz w:val="22"/>
                <w:szCs w:val="22"/>
              </w:rPr>
            </w:pPr>
            <w:r>
              <w:rPr>
                <w:rFonts w:ascii="Calibri" w:hAnsi="Calibri"/>
                <w:color w:val="000000"/>
                <w:sz w:val="22"/>
                <w:szCs w:val="22"/>
              </w:rPr>
              <w:t>Carteles</w:t>
            </w:r>
          </w:p>
        </w:tc>
        <w:tc>
          <w:tcPr>
            <w:tcW w:w="1763" w:type="dxa"/>
            <w:tcBorders>
              <w:top w:val="nil"/>
              <w:left w:val="nil"/>
              <w:bottom w:val="single" w:sz="4" w:space="0" w:color="auto"/>
              <w:right w:val="single" w:sz="4" w:space="0" w:color="auto"/>
            </w:tcBorders>
            <w:noWrap/>
            <w:vAlign w:val="center"/>
            <w:hideMark/>
          </w:tcPr>
          <w:p w14:paraId="24BCF88E" w14:textId="77777777" w:rsidR="000110B4" w:rsidRDefault="000110B4">
            <w:pPr>
              <w:jc w:val="center"/>
              <w:rPr>
                <w:rFonts w:ascii="Calibri" w:hAnsi="Calibri"/>
                <w:color w:val="000000"/>
                <w:sz w:val="22"/>
                <w:szCs w:val="22"/>
              </w:rPr>
            </w:pPr>
            <w:r>
              <w:rPr>
                <w:rFonts w:ascii="Calibri" w:hAnsi="Calibri"/>
                <w:color w:val="000000"/>
                <w:sz w:val="22"/>
                <w:szCs w:val="22"/>
              </w:rPr>
              <w:t>Clase RA3</w:t>
            </w:r>
          </w:p>
        </w:tc>
        <w:tc>
          <w:tcPr>
            <w:tcW w:w="2274" w:type="dxa"/>
            <w:tcBorders>
              <w:top w:val="nil"/>
              <w:left w:val="nil"/>
              <w:bottom w:val="single" w:sz="4" w:space="0" w:color="auto"/>
              <w:right w:val="single" w:sz="4" w:space="0" w:color="auto"/>
            </w:tcBorders>
            <w:noWrap/>
            <w:vAlign w:val="center"/>
            <w:hideMark/>
          </w:tcPr>
          <w:p w14:paraId="0098280C" w14:textId="77777777" w:rsidR="000110B4" w:rsidRDefault="000110B4">
            <w:pPr>
              <w:jc w:val="center"/>
              <w:rPr>
                <w:rFonts w:ascii="Calibri" w:hAnsi="Calibri"/>
                <w:color w:val="000000"/>
                <w:sz w:val="22"/>
                <w:szCs w:val="22"/>
              </w:rPr>
            </w:pPr>
            <w:r>
              <w:rPr>
                <w:rFonts w:ascii="Calibri" w:hAnsi="Calibri"/>
                <w:color w:val="000000"/>
                <w:sz w:val="22"/>
                <w:szCs w:val="22"/>
              </w:rPr>
              <w:t>Clase RA3</w:t>
            </w:r>
          </w:p>
        </w:tc>
        <w:tc>
          <w:tcPr>
            <w:tcW w:w="2463" w:type="dxa"/>
            <w:tcBorders>
              <w:top w:val="nil"/>
              <w:left w:val="nil"/>
              <w:bottom w:val="single" w:sz="4" w:space="0" w:color="auto"/>
              <w:right w:val="single" w:sz="4" w:space="0" w:color="auto"/>
            </w:tcBorders>
            <w:noWrap/>
            <w:vAlign w:val="center"/>
            <w:hideMark/>
          </w:tcPr>
          <w:p w14:paraId="6844FA45" w14:textId="77777777" w:rsidR="000110B4" w:rsidRDefault="000110B4">
            <w:pPr>
              <w:jc w:val="center"/>
              <w:rPr>
                <w:rFonts w:ascii="Calibri" w:hAnsi="Calibri"/>
                <w:color w:val="000000"/>
                <w:sz w:val="22"/>
                <w:szCs w:val="22"/>
              </w:rPr>
            </w:pPr>
            <w:r>
              <w:rPr>
                <w:rFonts w:ascii="Calibri" w:hAnsi="Calibri"/>
                <w:color w:val="000000"/>
                <w:sz w:val="22"/>
                <w:szCs w:val="22"/>
              </w:rPr>
              <w:t>Clase RA2</w:t>
            </w:r>
          </w:p>
        </w:tc>
      </w:tr>
    </w:tbl>
    <w:p w14:paraId="39B1DF27" w14:textId="77777777" w:rsidR="000110B4" w:rsidRPr="000110B4" w:rsidRDefault="000110B4" w:rsidP="000110B4">
      <w:pPr>
        <w:pStyle w:val="NORMAL12"/>
        <w:rPr>
          <w:lang w:val="es-ES"/>
        </w:rPr>
      </w:pPr>
    </w:p>
    <w:p w14:paraId="77CAAA4A" w14:textId="77777777" w:rsidR="000110B4" w:rsidRPr="000110B4" w:rsidRDefault="000110B4" w:rsidP="000110B4">
      <w:pPr>
        <w:pStyle w:val="NORMAL12"/>
        <w:rPr>
          <w:lang w:val="es-ES"/>
        </w:rPr>
      </w:pPr>
      <w:r>
        <w:rPr>
          <w:lang w:val="es-ES"/>
        </w:rPr>
        <w:t>En la actuación se emplear nivel de retrorreflexión Clase RA2 para señales de contenido fijo, Clase RA3 para carteles y Clase RA2 para carteles situados en la carretera SI-2</w:t>
      </w:r>
    </w:p>
    <w:p w14:paraId="34F3D1E5" w14:textId="77777777" w:rsidR="002B430C" w:rsidRPr="00883387" w:rsidRDefault="00883387" w:rsidP="000313DD">
      <w:pPr>
        <w:pStyle w:val="TITU2"/>
      </w:pPr>
      <w:bookmarkStart w:id="1098" w:name="_Toc492538098"/>
      <w:bookmarkStart w:id="1099" w:name="_Toc406696831"/>
      <w:bookmarkStart w:id="1100" w:name="_Toc404569"/>
      <w:r>
        <w:t xml:space="preserve">701.3. </w:t>
      </w:r>
      <w:r w:rsidR="002B430C" w:rsidRPr="00883387">
        <w:t>Materiales</w:t>
      </w:r>
      <w:bookmarkEnd w:id="1098"/>
      <w:bookmarkEnd w:id="1099"/>
      <w:bookmarkEnd w:id="1100"/>
    </w:p>
    <w:p w14:paraId="08C7FF28" w14:textId="77777777" w:rsidR="002B430C" w:rsidRDefault="002B430C" w:rsidP="00D7794C">
      <w:pPr>
        <w:pStyle w:val="NORMAL12"/>
      </w:pPr>
      <w:r>
        <w:t xml:space="preserve">Como componentes de señales y carteles verticales de circulación </w:t>
      </w:r>
      <w:proofErr w:type="spellStart"/>
      <w:r>
        <w:t>retrorreflectantes</w:t>
      </w:r>
      <w:proofErr w:type="spellEnd"/>
      <w:r>
        <w:t xml:space="preserve"> se utilizará cualquier sustrato, además de la pintura o lámina no </w:t>
      </w:r>
      <w:proofErr w:type="spellStart"/>
      <w:r>
        <w:t>retrorreflectante</w:t>
      </w:r>
      <w:proofErr w:type="spellEnd"/>
      <w:r>
        <w:t xml:space="preserve"> (caso de ser necesarias) y material </w:t>
      </w:r>
      <w:proofErr w:type="spellStart"/>
      <w:r>
        <w:t>retrorreflectante</w:t>
      </w:r>
      <w:proofErr w:type="spellEnd"/>
      <w:r>
        <w:t xml:space="preserve"> que cumplan las prescripciones referentes a características, durabilidad, calidad y servicio especificadas en el presente artículo.</w:t>
      </w:r>
    </w:p>
    <w:p w14:paraId="7B946783" w14:textId="77777777" w:rsidR="002B430C" w:rsidRDefault="002B430C" w:rsidP="00D7794C">
      <w:pPr>
        <w:pStyle w:val="NORMAL12"/>
      </w:pPr>
      <w:r>
        <w:t xml:space="preserve">La propiedad </w:t>
      </w:r>
      <w:proofErr w:type="spellStart"/>
      <w:r>
        <w:t>retrorreflectante</w:t>
      </w:r>
      <w:proofErr w:type="spellEnd"/>
      <w:r>
        <w:t xml:space="preserve"> de la señal o cartel se conseguirá mediante la incorporación de materiales </w:t>
      </w:r>
      <w:proofErr w:type="spellStart"/>
      <w:r>
        <w:t>retrorreflectantes</w:t>
      </w:r>
      <w:proofErr w:type="spellEnd"/>
      <w:r>
        <w:t xml:space="preserve"> cuya calidad y criterios de selección cumplirán con lo especificado en el presente artículo.</w:t>
      </w:r>
    </w:p>
    <w:p w14:paraId="0753FF75" w14:textId="77777777" w:rsidR="002B430C" w:rsidRDefault="002B430C" w:rsidP="00D7794C">
      <w:pPr>
        <w:pStyle w:val="NORMAL12"/>
      </w:pPr>
      <w:r>
        <w:t xml:space="preserve">Por su parte, la característica no </w:t>
      </w:r>
      <w:proofErr w:type="spellStart"/>
      <w:r>
        <w:t>retrorreflectante</w:t>
      </w:r>
      <w:proofErr w:type="spellEnd"/>
      <w:r>
        <w:t xml:space="preserve"> de las señales y carteles en las zonas específicas de las mismas, se conseguirá mediante el empleo de pinturas y/o láminas no </w:t>
      </w:r>
      <w:proofErr w:type="spellStart"/>
      <w:r>
        <w:t>retrorreflectantes</w:t>
      </w:r>
      <w:proofErr w:type="spellEnd"/>
      <w:r>
        <w:t xml:space="preserve"> cuya calidad, asimismo, se corresponderá con lo especificado en el presente artículo.</w:t>
      </w:r>
    </w:p>
    <w:p w14:paraId="3C7BF083" w14:textId="77777777" w:rsidR="00CF7652" w:rsidRDefault="00CF7652" w:rsidP="00D7794C">
      <w:pPr>
        <w:pStyle w:val="NORMAL12"/>
      </w:pPr>
    </w:p>
    <w:p w14:paraId="79C6B697" w14:textId="77777777" w:rsidR="002B430C" w:rsidRPr="00D7794C" w:rsidRDefault="002B430C" w:rsidP="00D7794C">
      <w:pPr>
        <w:pStyle w:val="NORMAL12"/>
        <w:rPr>
          <w:i/>
          <w:u w:val="single"/>
        </w:rPr>
      </w:pPr>
      <w:r w:rsidRPr="00D7794C">
        <w:rPr>
          <w:i/>
          <w:u w:val="single"/>
        </w:rPr>
        <w:t>Normativa de aplicación del producto</w:t>
      </w:r>
    </w:p>
    <w:p w14:paraId="5757B95D" w14:textId="77777777" w:rsidR="002B430C" w:rsidRDefault="002B430C" w:rsidP="00D7794C">
      <w:pPr>
        <w:pStyle w:val="NORMAL12"/>
      </w:pPr>
      <w:r>
        <w:t xml:space="preserve">Los carteles </w:t>
      </w:r>
      <w:proofErr w:type="spellStart"/>
      <w:r>
        <w:t>retrorreflectantes</w:t>
      </w:r>
      <w:proofErr w:type="spellEnd"/>
      <w:r>
        <w:t xml:space="preserve"> disponen de marcado CE, que acredita la conformidad del producto con las prestaciones exigidas en la normativa armonizada de ámbito europeo.</w:t>
      </w:r>
    </w:p>
    <w:p w14:paraId="5B6EFE06" w14:textId="77777777" w:rsidR="002B430C" w:rsidRDefault="002B430C" w:rsidP="00D7794C">
      <w:pPr>
        <w:pStyle w:val="NORMAL12"/>
      </w:pPr>
      <w:r>
        <w:t>Dicha normativa, que especifica las condiciones de fabricación y los requisitos del producto terminado, es l</w:t>
      </w:r>
      <w:r w:rsidR="00883387">
        <w:t>a que seguidamente se relaciona:</w:t>
      </w:r>
    </w:p>
    <w:tbl>
      <w:tblPr>
        <w:tblW w:w="5000" w:type="pct"/>
        <w:tblLook w:val="04A0" w:firstRow="1" w:lastRow="0" w:firstColumn="1" w:lastColumn="0" w:noHBand="0" w:noVBand="1"/>
      </w:tblPr>
      <w:tblGrid>
        <w:gridCol w:w="2056"/>
        <w:gridCol w:w="7798"/>
      </w:tblGrid>
      <w:tr w:rsidR="002B430C" w:rsidRPr="00174ED1" w14:paraId="19C2B31B" w14:textId="77777777" w:rsidTr="00174ED1">
        <w:trPr>
          <w:tblHeader/>
        </w:trPr>
        <w:tc>
          <w:tcPr>
            <w:tcW w:w="1043" w:type="pct"/>
            <w:tcBorders>
              <w:top w:val="single" w:sz="12" w:space="0" w:color="000000"/>
              <w:left w:val="single" w:sz="6" w:space="0" w:color="000000"/>
              <w:right w:val="nil"/>
            </w:tcBorders>
            <w:shd w:val="clear" w:color="auto" w:fill="D9D9D9" w:themeFill="background1" w:themeFillShade="D9"/>
            <w:hideMark/>
          </w:tcPr>
          <w:p w14:paraId="4C1412D5" w14:textId="77777777" w:rsidR="002B430C" w:rsidRPr="00174ED1" w:rsidRDefault="002B430C" w:rsidP="00E55CD8">
            <w:pPr>
              <w:pStyle w:val="LCATabla"/>
              <w:jc w:val="center"/>
              <w:rPr>
                <w:rFonts w:ascii="Arial" w:hAnsi="Arial" w:cs="Arial"/>
                <w:b/>
                <w:sz w:val="20"/>
              </w:rPr>
            </w:pPr>
            <w:r w:rsidRPr="00174ED1">
              <w:rPr>
                <w:rFonts w:ascii="Arial" w:hAnsi="Arial" w:cs="Arial"/>
                <w:b/>
                <w:sz w:val="20"/>
              </w:rPr>
              <w:t>C</w:t>
            </w:r>
            <w:r w:rsidR="00E55CD8">
              <w:rPr>
                <w:rFonts w:ascii="Arial" w:hAnsi="Arial" w:cs="Arial"/>
                <w:b/>
                <w:sz w:val="20"/>
              </w:rPr>
              <w:t>ódigo</w:t>
            </w:r>
          </w:p>
        </w:tc>
        <w:tc>
          <w:tcPr>
            <w:tcW w:w="3957" w:type="pct"/>
            <w:tcBorders>
              <w:top w:val="single" w:sz="12" w:space="0" w:color="000000"/>
              <w:left w:val="nil"/>
              <w:right w:val="single" w:sz="6" w:space="0" w:color="000000"/>
            </w:tcBorders>
            <w:shd w:val="clear" w:color="auto" w:fill="D9D9D9" w:themeFill="background1" w:themeFillShade="D9"/>
            <w:hideMark/>
          </w:tcPr>
          <w:p w14:paraId="39234960" w14:textId="77777777" w:rsidR="002B430C" w:rsidRPr="00174ED1" w:rsidRDefault="002B430C" w:rsidP="00E55CD8">
            <w:pPr>
              <w:pStyle w:val="LCATabla"/>
              <w:jc w:val="center"/>
              <w:rPr>
                <w:rFonts w:ascii="Arial" w:hAnsi="Arial" w:cs="Arial"/>
                <w:b/>
                <w:sz w:val="20"/>
              </w:rPr>
            </w:pPr>
            <w:r w:rsidRPr="00174ED1">
              <w:rPr>
                <w:rFonts w:ascii="Arial" w:hAnsi="Arial" w:cs="Arial"/>
                <w:b/>
                <w:sz w:val="20"/>
              </w:rPr>
              <w:t>T</w:t>
            </w:r>
            <w:r w:rsidR="00E55CD8">
              <w:rPr>
                <w:rFonts w:ascii="Arial" w:hAnsi="Arial" w:cs="Arial"/>
                <w:b/>
                <w:sz w:val="20"/>
              </w:rPr>
              <w:t>ítulo</w:t>
            </w:r>
          </w:p>
        </w:tc>
      </w:tr>
      <w:tr w:rsidR="002B430C" w:rsidRPr="00174ED1" w14:paraId="3905E4A3" w14:textId="77777777" w:rsidTr="00174ED1">
        <w:tc>
          <w:tcPr>
            <w:tcW w:w="1043" w:type="pct"/>
            <w:tcBorders>
              <w:top w:val="nil"/>
              <w:left w:val="single" w:sz="6" w:space="0" w:color="000000"/>
              <w:bottom w:val="nil"/>
              <w:right w:val="nil"/>
            </w:tcBorders>
            <w:hideMark/>
          </w:tcPr>
          <w:p w14:paraId="5D5DD45F"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135 310</w:t>
            </w:r>
          </w:p>
        </w:tc>
        <w:tc>
          <w:tcPr>
            <w:tcW w:w="3957" w:type="pct"/>
            <w:tcBorders>
              <w:top w:val="nil"/>
              <w:left w:val="nil"/>
              <w:bottom w:val="nil"/>
              <w:right w:val="single" w:sz="6" w:space="0" w:color="000000"/>
            </w:tcBorders>
            <w:hideMark/>
          </w:tcPr>
          <w:p w14:paraId="73A917E0" w14:textId="77777777" w:rsidR="002B430C" w:rsidRPr="00174ED1" w:rsidRDefault="002B430C" w:rsidP="00D7794C">
            <w:pPr>
              <w:pStyle w:val="LCATabla"/>
              <w:rPr>
                <w:rFonts w:ascii="Arial" w:hAnsi="Arial" w:cs="Arial"/>
                <w:sz w:val="20"/>
              </w:rPr>
            </w:pPr>
            <w:r w:rsidRPr="00174ED1">
              <w:rPr>
                <w:rFonts w:ascii="Arial" w:hAnsi="Arial" w:cs="Arial"/>
                <w:sz w:val="20"/>
              </w:rPr>
              <w:t>Señalización vertical. Placas embutidas y estampadas de chapa de acero galvanizada. Características y métodos de ensayo.</w:t>
            </w:r>
          </w:p>
        </w:tc>
      </w:tr>
      <w:tr w:rsidR="002B430C" w:rsidRPr="00174ED1" w14:paraId="12C7AEE4" w14:textId="77777777" w:rsidTr="00174ED1">
        <w:tc>
          <w:tcPr>
            <w:tcW w:w="1043" w:type="pct"/>
            <w:tcBorders>
              <w:top w:val="nil"/>
              <w:left w:val="single" w:sz="6" w:space="0" w:color="000000"/>
              <w:bottom w:val="nil"/>
              <w:right w:val="nil"/>
            </w:tcBorders>
            <w:hideMark/>
          </w:tcPr>
          <w:p w14:paraId="32210939"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135 311</w:t>
            </w:r>
            <w:r w:rsidR="00555266" w:rsidRPr="00174ED1">
              <w:rPr>
                <w:rFonts w:ascii="Arial" w:hAnsi="Arial" w:cs="Arial"/>
                <w:sz w:val="20"/>
              </w:rPr>
              <w:t>: 2013</w:t>
            </w:r>
          </w:p>
        </w:tc>
        <w:tc>
          <w:tcPr>
            <w:tcW w:w="3957" w:type="pct"/>
            <w:tcBorders>
              <w:top w:val="nil"/>
              <w:left w:val="nil"/>
              <w:bottom w:val="nil"/>
              <w:right w:val="single" w:sz="6" w:space="0" w:color="000000"/>
            </w:tcBorders>
            <w:hideMark/>
          </w:tcPr>
          <w:p w14:paraId="386B988A" w14:textId="77777777" w:rsidR="002B430C" w:rsidRPr="00174ED1" w:rsidRDefault="002B430C" w:rsidP="00D7794C">
            <w:pPr>
              <w:pStyle w:val="LCATabla"/>
              <w:rPr>
                <w:rFonts w:ascii="Arial" w:hAnsi="Arial" w:cs="Arial"/>
                <w:sz w:val="20"/>
              </w:rPr>
            </w:pPr>
            <w:r w:rsidRPr="00174ED1">
              <w:rPr>
                <w:rFonts w:ascii="Arial" w:hAnsi="Arial" w:cs="Arial"/>
                <w:sz w:val="20"/>
              </w:rPr>
              <w:t>Señalización vertical. Elementos de sustentación y anclaje. Hipótesis de cálculo.</w:t>
            </w:r>
          </w:p>
        </w:tc>
      </w:tr>
      <w:tr w:rsidR="002B430C" w:rsidRPr="00174ED1" w14:paraId="3852153C" w14:textId="77777777" w:rsidTr="00174ED1">
        <w:tc>
          <w:tcPr>
            <w:tcW w:w="1043" w:type="pct"/>
            <w:tcBorders>
              <w:top w:val="nil"/>
              <w:left w:val="single" w:sz="6" w:space="0" w:color="000000"/>
              <w:bottom w:val="nil"/>
              <w:right w:val="nil"/>
            </w:tcBorders>
            <w:hideMark/>
          </w:tcPr>
          <w:p w14:paraId="118D229E"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135 312</w:t>
            </w:r>
          </w:p>
        </w:tc>
        <w:tc>
          <w:tcPr>
            <w:tcW w:w="3957" w:type="pct"/>
            <w:tcBorders>
              <w:top w:val="nil"/>
              <w:left w:val="nil"/>
              <w:bottom w:val="nil"/>
              <w:right w:val="single" w:sz="6" w:space="0" w:color="000000"/>
            </w:tcBorders>
            <w:hideMark/>
          </w:tcPr>
          <w:p w14:paraId="6E75CD4E" w14:textId="77777777" w:rsidR="002B430C" w:rsidRPr="00174ED1" w:rsidRDefault="002B430C" w:rsidP="00D7794C">
            <w:pPr>
              <w:pStyle w:val="LCATabla"/>
              <w:rPr>
                <w:rFonts w:ascii="Arial" w:hAnsi="Arial" w:cs="Arial"/>
                <w:sz w:val="20"/>
              </w:rPr>
            </w:pPr>
            <w:r w:rsidRPr="00174ED1">
              <w:rPr>
                <w:rFonts w:ascii="Arial" w:hAnsi="Arial" w:cs="Arial"/>
                <w:sz w:val="20"/>
              </w:rPr>
              <w:t>Señalización vertical. Anclajes para placas y lamas utilizadas en las señales, carteles y paneles direccionales metálicos. Características y métodos de ensayo.</w:t>
            </w:r>
          </w:p>
        </w:tc>
      </w:tr>
      <w:tr w:rsidR="002B430C" w:rsidRPr="00174ED1" w14:paraId="5730F458" w14:textId="77777777" w:rsidTr="00174ED1">
        <w:tc>
          <w:tcPr>
            <w:tcW w:w="1043" w:type="pct"/>
            <w:tcBorders>
              <w:top w:val="nil"/>
              <w:left w:val="single" w:sz="6" w:space="0" w:color="000000"/>
              <w:bottom w:val="nil"/>
              <w:right w:val="nil"/>
            </w:tcBorders>
            <w:hideMark/>
          </w:tcPr>
          <w:p w14:paraId="400567DA"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135 313</w:t>
            </w:r>
          </w:p>
        </w:tc>
        <w:tc>
          <w:tcPr>
            <w:tcW w:w="3957" w:type="pct"/>
            <w:tcBorders>
              <w:top w:val="nil"/>
              <w:left w:val="nil"/>
              <w:bottom w:val="nil"/>
              <w:right w:val="single" w:sz="6" w:space="0" w:color="000000"/>
            </w:tcBorders>
            <w:hideMark/>
          </w:tcPr>
          <w:p w14:paraId="2A6DF3DB" w14:textId="77777777" w:rsidR="002B430C" w:rsidRPr="00174ED1" w:rsidRDefault="002B430C" w:rsidP="00D7794C">
            <w:pPr>
              <w:pStyle w:val="LCATabla"/>
              <w:rPr>
                <w:rFonts w:ascii="Arial" w:hAnsi="Arial" w:cs="Arial"/>
                <w:sz w:val="20"/>
              </w:rPr>
            </w:pPr>
            <w:r w:rsidRPr="00174ED1">
              <w:rPr>
                <w:rFonts w:ascii="Arial" w:hAnsi="Arial" w:cs="Arial"/>
                <w:sz w:val="20"/>
              </w:rPr>
              <w:t>Señalización vertical. Placas de chapa de acero galvanizada. Características y métodos de ensayo.</w:t>
            </w:r>
          </w:p>
        </w:tc>
      </w:tr>
      <w:tr w:rsidR="002B430C" w:rsidRPr="00174ED1" w14:paraId="2F53CCDE" w14:textId="77777777" w:rsidTr="00174ED1">
        <w:tc>
          <w:tcPr>
            <w:tcW w:w="1043" w:type="pct"/>
            <w:tcBorders>
              <w:top w:val="nil"/>
              <w:left w:val="single" w:sz="6" w:space="0" w:color="000000"/>
              <w:bottom w:val="nil"/>
              <w:right w:val="nil"/>
            </w:tcBorders>
            <w:hideMark/>
          </w:tcPr>
          <w:p w14:paraId="0C1AC15E"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135 314</w:t>
            </w:r>
          </w:p>
        </w:tc>
        <w:tc>
          <w:tcPr>
            <w:tcW w:w="3957" w:type="pct"/>
            <w:tcBorders>
              <w:top w:val="nil"/>
              <w:left w:val="nil"/>
              <w:bottom w:val="nil"/>
              <w:right w:val="single" w:sz="6" w:space="0" w:color="000000"/>
            </w:tcBorders>
            <w:hideMark/>
          </w:tcPr>
          <w:p w14:paraId="7978EE1D" w14:textId="77777777" w:rsidR="002B430C" w:rsidRPr="00174ED1" w:rsidRDefault="002B430C" w:rsidP="00D7794C">
            <w:pPr>
              <w:pStyle w:val="LCATabla"/>
              <w:rPr>
                <w:rFonts w:ascii="Arial" w:hAnsi="Arial" w:cs="Arial"/>
                <w:sz w:val="20"/>
              </w:rPr>
            </w:pPr>
            <w:r w:rsidRPr="00174ED1">
              <w:rPr>
                <w:rFonts w:ascii="Arial" w:hAnsi="Arial" w:cs="Arial"/>
                <w:sz w:val="20"/>
              </w:rPr>
              <w:t>Señalización vertical. Perfiles de acero galvanizado empleados como postes de sustentación de señales, carteles laterales y paneles direccionales. Elementos móviles de sustentación. Tornillería. Características y métodos de ensayo.</w:t>
            </w:r>
          </w:p>
        </w:tc>
      </w:tr>
      <w:tr w:rsidR="002B430C" w:rsidRPr="00174ED1" w14:paraId="0833EC02" w14:textId="77777777" w:rsidTr="00174ED1">
        <w:tc>
          <w:tcPr>
            <w:tcW w:w="1043" w:type="pct"/>
            <w:tcBorders>
              <w:top w:val="nil"/>
              <w:left w:val="single" w:sz="6" w:space="0" w:color="000000"/>
              <w:bottom w:val="nil"/>
              <w:right w:val="nil"/>
            </w:tcBorders>
            <w:hideMark/>
          </w:tcPr>
          <w:p w14:paraId="3CE71DB7"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135 315</w:t>
            </w:r>
          </w:p>
        </w:tc>
        <w:tc>
          <w:tcPr>
            <w:tcW w:w="3957" w:type="pct"/>
            <w:tcBorders>
              <w:top w:val="nil"/>
              <w:left w:val="nil"/>
              <w:bottom w:val="nil"/>
              <w:right w:val="single" w:sz="6" w:space="0" w:color="000000"/>
            </w:tcBorders>
            <w:hideMark/>
          </w:tcPr>
          <w:p w14:paraId="096BD0BF" w14:textId="77777777" w:rsidR="002B430C" w:rsidRPr="00174ED1" w:rsidRDefault="002B430C" w:rsidP="00D7794C">
            <w:pPr>
              <w:pStyle w:val="LCATabla"/>
              <w:rPr>
                <w:rFonts w:ascii="Arial" w:hAnsi="Arial" w:cs="Arial"/>
                <w:sz w:val="20"/>
              </w:rPr>
            </w:pPr>
            <w:r w:rsidRPr="00174ED1">
              <w:rPr>
                <w:rFonts w:ascii="Arial" w:hAnsi="Arial" w:cs="Arial"/>
                <w:sz w:val="20"/>
              </w:rPr>
              <w:t>Señalización vertical. Perfiles y chapas de acero, tornillería y anclajes empleados para pórticos y banderolas.</w:t>
            </w:r>
          </w:p>
        </w:tc>
      </w:tr>
      <w:tr w:rsidR="002B430C" w:rsidRPr="00174ED1" w14:paraId="72F28AA7" w14:textId="77777777" w:rsidTr="00174ED1">
        <w:tc>
          <w:tcPr>
            <w:tcW w:w="1043" w:type="pct"/>
            <w:tcBorders>
              <w:top w:val="nil"/>
              <w:left w:val="single" w:sz="6" w:space="0" w:color="000000"/>
              <w:bottom w:val="nil"/>
              <w:right w:val="nil"/>
            </w:tcBorders>
            <w:hideMark/>
          </w:tcPr>
          <w:p w14:paraId="4AF1BA2E"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135 316</w:t>
            </w:r>
          </w:p>
        </w:tc>
        <w:tc>
          <w:tcPr>
            <w:tcW w:w="3957" w:type="pct"/>
            <w:tcBorders>
              <w:top w:val="nil"/>
              <w:left w:val="nil"/>
              <w:bottom w:val="nil"/>
              <w:right w:val="single" w:sz="6" w:space="0" w:color="000000"/>
            </w:tcBorders>
            <w:hideMark/>
          </w:tcPr>
          <w:p w14:paraId="36804C0E" w14:textId="77777777" w:rsidR="002B430C" w:rsidRPr="00174ED1" w:rsidRDefault="002B430C" w:rsidP="00D7794C">
            <w:pPr>
              <w:pStyle w:val="LCATabla"/>
              <w:rPr>
                <w:rFonts w:ascii="Arial" w:hAnsi="Arial" w:cs="Arial"/>
                <w:sz w:val="20"/>
              </w:rPr>
            </w:pPr>
            <w:r w:rsidRPr="00174ED1">
              <w:rPr>
                <w:rFonts w:ascii="Arial" w:hAnsi="Arial" w:cs="Arial"/>
                <w:sz w:val="20"/>
              </w:rPr>
              <w:t>Señalización vertical. Perfiles y chapas de aluminio, tornillería y anclajes empleados para pórticos y banderolas.</w:t>
            </w:r>
          </w:p>
        </w:tc>
      </w:tr>
      <w:tr w:rsidR="002B430C" w:rsidRPr="00174ED1" w14:paraId="41EF328B" w14:textId="77777777" w:rsidTr="00174ED1">
        <w:tc>
          <w:tcPr>
            <w:tcW w:w="1043" w:type="pct"/>
            <w:tcBorders>
              <w:top w:val="nil"/>
              <w:left w:val="single" w:sz="6" w:space="0" w:color="000000"/>
              <w:bottom w:val="nil"/>
              <w:right w:val="nil"/>
            </w:tcBorders>
            <w:hideMark/>
          </w:tcPr>
          <w:p w14:paraId="5DBE1324"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135 320</w:t>
            </w:r>
          </w:p>
        </w:tc>
        <w:tc>
          <w:tcPr>
            <w:tcW w:w="3957" w:type="pct"/>
            <w:tcBorders>
              <w:top w:val="nil"/>
              <w:left w:val="nil"/>
              <w:bottom w:val="nil"/>
              <w:right w:val="single" w:sz="6" w:space="0" w:color="000000"/>
            </w:tcBorders>
            <w:hideMark/>
          </w:tcPr>
          <w:p w14:paraId="5FF12A43" w14:textId="77777777" w:rsidR="002B430C" w:rsidRPr="00174ED1" w:rsidRDefault="002B430C" w:rsidP="00D7794C">
            <w:pPr>
              <w:pStyle w:val="LCATabla"/>
              <w:rPr>
                <w:rFonts w:ascii="Arial" w:hAnsi="Arial" w:cs="Arial"/>
                <w:sz w:val="20"/>
              </w:rPr>
            </w:pPr>
            <w:r w:rsidRPr="00174ED1">
              <w:rPr>
                <w:rFonts w:ascii="Arial" w:hAnsi="Arial" w:cs="Arial"/>
                <w:sz w:val="20"/>
              </w:rPr>
              <w:t>Señalización vertical. Lama de chapa de acero galvanizada. Tipos A y B. Características y métodos de ensayo.</w:t>
            </w:r>
          </w:p>
        </w:tc>
      </w:tr>
      <w:tr w:rsidR="002B430C" w:rsidRPr="00174ED1" w14:paraId="35C69BF5" w14:textId="77777777" w:rsidTr="00174ED1">
        <w:tc>
          <w:tcPr>
            <w:tcW w:w="1043" w:type="pct"/>
            <w:tcBorders>
              <w:top w:val="nil"/>
              <w:left w:val="single" w:sz="6" w:space="0" w:color="000000"/>
              <w:bottom w:val="nil"/>
              <w:right w:val="nil"/>
            </w:tcBorders>
            <w:hideMark/>
          </w:tcPr>
          <w:p w14:paraId="1072CF0C"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135 321</w:t>
            </w:r>
          </w:p>
        </w:tc>
        <w:tc>
          <w:tcPr>
            <w:tcW w:w="3957" w:type="pct"/>
            <w:tcBorders>
              <w:top w:val="nil"/>
              <w:left w:val="nil"/>
              <w:bottom w:val="nil"/>
              <w:right w:val="single" w:sz="6" w:space="0" w:color="000000"/>
            </w:tcBorders>
            <w:hideMark/>
          </w:tcPr>
          <w:p w14:paraId="1F7DBCF4" w14:textId="77777777" w:rsidR="002B430C" w:rsidRPr="00174ED1" w:rsidRDefault="002B430C" w:rsidP="00D7794C">
            <w:pPr>
              <w:pStyle w:val="LCATabla"/>
              <w:rPr>
                <w:rFonts w:ascii="Arial" w:hAnsi="Arial" w:cs="Arial"/>
                <w:sz w:val="20"/>
              </w:rPr>
            </w:pPr>
            <w:r w:rsidRPr="00174ED1">
              <w:rPr>
                <w:rFonts w:ascii="Arial" w:hAnsi="Arial" w:cs="Arial"/>
                <w:sz w:val="20"/>
              </w:rPr>
              <w:t>Señalización vertical. Lamas de perfil de aluminio obtenido por extrusión. Características y métodos de ensayo.</w:t>
            </w:r>
          </w:p>
        </w:tc>
      </w:tr>
      <w:tr w:rsidR="002B430C" w:rsidRPr="00174ED1" w14:paraId="3D78FC39" w14:textId="77777777" w:rsidTr="00174ED1">
        <w:tc>
          <w:tcPr>
            <w:tcW w:w="1043" w:type="pct"/>
            <w:tcBorders>
              <w:top w:val="nil"/>
              <w:left w:val="single" w:sz="6" w:space="0" w:color="000000"/>
              <w:bottom w:val="nil"/>
              <w:right w:val="nil"/>
            </w:tcBorders>
            <w:hideMark/>
          </w:tcPr>
          <w:p w14:paraId="1F59CC24" w14:textId="77777777" w:rsidR="002B430C" w:rsidRPr="00174ED1" w:rsidRDefault="002B430C" w:rsidP="00D7794C">
            <w:pPr>
              <w:pStyle w:val="LCATabla"/>
              <w:rPr>
                <w:rFonts w:ascii="Arial" w:hAnsi="Arial" w:cs="Arial"/>
                <w:b/>
                <w:bCs/>
                <w:sz w:val="20"/>
              </w:rPr>
            </w:pPr>
            <w:r w:rsidRPr="00174ED1">
              <w:rPr>
                <w:rFonts w:ascii="Arial" w:hAnsi="Arial" w:cs="Arial"/>
                <w:sz w:val="20"/>
              </w:rPr>
              <w:t xml:space="preserve">UNE 135 321 </w:t>
            </w:r>
            <w:proofErr w:type="spellStart"/>
            <w:r w:rsidRPr="00174ED1">
              <w:rPr>
                <w:rFonts w:ascii="Arial" w:hAnsi="Arial" w:cs="Arial"/>
                <w:sz w:val="20"/>
              </w:rPr>
              <w:t>Erratum</w:t>
            </w:r>
            <w:proofErr w:type="spellEnd"/>
          </w:p>
        </w:tc>
        <w:tc>
          <w:tcPr>
            <w:tcW w:w="3957" w:type="pct"/>
            <w:tcBorders>
              <w:top w:val="nil"/>
              <w:left w:val="nil"/>
              <w:bottom w:val="nil"/>
              <w:right w:val="single" w:sz="6" w:space="0" w:color="000000"/>
            </w:tcBorders>
            <w:hideMark/>
          </w:tcPr>
          <w:p w14:paraId="52F93527" w14:textId="77777777" w:rsidR="002B430C" w:rsidRPr="00174ED1" w:rsidRDefault="002B430C" w:rsidP="00D7794C">
            <w:pPr>
              <w:pStyle w:val="LCATabla"/>
              <w:rPr>
                <w:rFonts w:ascii="Arial" w:hAnsi="Arial" w:cs="Arial"/>
                <w:sz w:val="20"/>
              </w:rPr>
            </w:pPr>
            <w:r w:rsidRPr="00174ED1">
              <w:rPr>
                <w:rFonts w:ascii="Arial" w:hAnsi="Arial" w:cs="Arial"/>
                <w:sz w:val="20"/>
              </w:rPr>
              <w:t>Señalización vertical. Lamas de perfil de aluminio obtenido por extrusión. Características y métodos de ensayo.</w:t>
            </w:r>
          </w:p>
        </w:tc>
      </w:tr>
      <w:tr w:rsidR="002B430C" w:rsidRPr="00174ED1" w14:paraId="7FB41393" w14:textId="77777777" w:rsidTr="00174ED1">
        <w:tc>
          <w:tcPr>
            <w:tcW w:w="1043" w:type="pct"/>
            <w:tcBorders>
              <w:top w:val="nil"/>
              <w:left w:val="single" w:sz="6" w:space="0" w:color="000000"/>
              <w:bottom w:val="nil"/>
              <w:right w:val="nil"/>
            </w:tcBorders>
            <w:hideMark/>
          </w:tcPr>
          <w:p w14:paraId="6570F57D"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135 330</w:t>
            </w:r>
          </w:p>
        </w:tc>
        <w:tc>
          <w:tcPr>
            <w:tcW w:w="3957" w:type="pct"/>
            <w:tcBorders>
              <w:top w:val="nil"/>
              <w:left w:val="nil"/>
              <w:bottom w:val="nil"/>
              <w:right w:val="single" w:sz="6" w:space="0" w:color="000000"/>
            </w:tcBorders>
            <w:hideMark/>
          </w:tcPr>
          <w:p w14:paraId="3986B3FF" w14:textId="77777777" w:rsidR="002B430C" w:rsidRPr="00174ED1" w:rsidRDefault="002B430C" w:rsidP="00D7794C">
            <w:pPr>
              <w:pStyle w:val="LCATabla"/>
              <w:rPr>
                <w:rFonts w:ascii="Arial" w:hAnsi="Arial" w:cs="Arial"/>
                <w:sz w:val="20"/>
              </w:rPr>
            </w:pPr>
            <w:r w:rsidRPr="00174ED1">
              <w:rPr>
                <w:rFonts w:ascii="Arial" w:hAnsi="Arial" w:cs="Arial"/>
                <w:sz w:val="20"/>
              </w:rPr>
              <w:t xml:space="preserve">Señalización vertical. Señales, carteles y paneles direccionales metálicos utilizados en señalización vertical permanente. Zona </w:t>
            </w:r>
            <w:proofErr w:type="spellStart"/>
            <w:r w:rsidRPr="00174ED1">
              <w:rPr>
                <w:rFonts w:ascii="Arial" w:hAnsi="Arial" w:cs="Arial"/>
                <w:sz w:val="20"/>
              </w:rPr>
              <w:t>retrorreflectante</w:t>
            </w:r>
            <w:proofErr w:type="spellEnd"/>
            <w:r w:rsidRPr="00174ED1">
              <w:rPr>
                <w:rFonts w:ascii="Arial" w:hAnsi="Arial" w:cs="Arial"/>
                <w:sz w:val="20"/>
              </w:rPr>
              <w:t>. Características y métodos de ensayo.</w:t>
            </w:r>
          </w:p>
        </w:tc>
      </w:tr>
      <w:tr w:rsidR="002B430C" w:rsidRPr="00174ED1" w14:paraId="6D1C762E" w14:textId="77777777" w:rsidTr="00174ED1">
        <w:tc>
          <w:tcPr>
            <w:tcW w:w="1043" w:type="pct"/>
            <w:tcBorders>
              <w:top w:val="nil"/>
              <w:left w:val="single" w:sz="6" w:space="0" w:color="000000"/>
              <w:bottom w:val="nil"/>
              <w:right w:val="nil"/>
            </w:tcBorders>
            <w:hideMark/>
          </w:tcPr>
          <w:p w14:paraId="3A5FFBB8"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135 331</w:t>
            </w:r>
          </w:p>
        </w:tc>
        <w:tc>
          <w:tcPr>
            <w:tcW w:w="3957" w:type="pct"/>
            <w:tcBorders>
              <w:top w:val="nil"/>
              <w:left w:val="nil"/>
              <w:bottom w:val="nil"/>
              <w:right w:val="single" w:sz="6" w:space="0" w:color="000000"/>
            </w:tcBorders>
            <w:hideMark/>
          </w:tcPr>
          <w:p w14:paraId="0F488B80" w14:textId="77777777" w:rsidR="002B430C" w:rsidRPr="00174ED1" w:rsidRDefault="002B430C" w:rsidP="00D7794C">
            <w:pPr>
              <w:pStyle w:val="LCATabla"/>
              <w:rPr>
                <w:rFonts w:ascii="Arial" w:hAnsi="Arial" w:cs="Arial"/>
                <w:sz w:val="20"/>
              </w:rPr>
            </w:pPr>
            <w:r w:rsidRPr="00174ED1">
              <w:rPr>
                <w:rFonts w:ascii="Arial" w:hAnsi="Arial" w:cs="Arial"/>
                <w:sz w:val="20"/>
              </w:rPr>
              <w:t xml:space="preserve">Señalización vertical. Señales metálicas permanentes. Zona no </w:t>
            </w:r>
            <w:proofErr w:type="spellStart"/>
            <w:r w:rsidRPr="00174ED1">
              <w:rPr>
                <w:rFonts w:ascii="Arial" w:hAnsi="Arial" w:cs="Arial"/>
                <w:sz w:val="20"/>
              </w:rPr>
              <w:t>retrorreflectante</w:t>
            </w:r>
            <w:proofErr w:type="spellEnd"/>
            <w:r w:rsidRPr="00174ED1">
              <w:rPr>
                <w:rFonts w:ascii="Arial" w:hAnsi="Arial" w:cs="Arial"/>
                <w:sz w:val="20"/>
              </w:rPr>
              <w:t>. Pinturas. Características y métodos de ensayo.</w:t>
            </w:r>
          </w:p>
        </w:tc>
      </w:tr>
      <w:tr w:rsidR="002B430C" w:rsidRPr="00174ED1" w14:paraId="6EEBF9CF" w14:textId="77777777" w:rsidTr="00174ED1">
        <w:tc>
          <w:tcPr>
            <w:tcW w:w="1043" w:type="pct"/>
            <w:tcBorders>
              <w:top w:val="nil"/>
              <w:left w:val="single" w:sz="6" w:space="0" w:color="000000"/>
              <w:bottom w:val="nil"/>
              <w:right w:val="nil"/>
            </w:tcBorders>
            <w:hideMark/>
          </w:tcPr>
          <w:p w14:paraId="77EEA3E4" w14:textId="77777777" w:rsidR="002B430C" w:rsidRPr="00174ED1" w:rsidRDefault="002B430C" w:rsidP="00D7794C">
            <w:pPr>
              <w:pStyle w:val="LCATabla"/>
              <w:rPr>
                <w:rFonts w:ascii="Arial" w:hAnsi="Arial" w:cs="Arial"/>
                <w:b/>
                <w:bCs/>
                <w:sz w:val="20"/>
              </w:rPr>
            </w:pPr>
            <w:r w:rsidRPr="00174ED1">
              <w:rPr>
                <w:rFonts w:ascii="Arial" w:hAnsi="Arial" w:cs="Arial"/>
                <w:sz w:val="20"/>
              </w:rPr>
              <w:t xml:space="preserve">UNE 135 331 </w:t>
            </w:r>
            <w:proofErr w:type="spellStart"/>
            <w:r w:rsidRPr="00174ED1">
              <w:rPr>
                <w:rFonts w:ascii="Arial" w:hAnsi="Arial" w:cs="Arial"/>
                <w:sz w:val="20"/>
              </w:rPr>
              <w:t>Erratum</w:t>
            </w:r>
            <w:proofErr w:type="spellEnd"/>
          </w:p>
        </w:tc>
        <w:tc>
          <w:tcPr>
            <w:tcW w:w="3957" w:type="pct"/>
            <w:tcBorders>
              <w:top w:val="nil"/>
              <w:left w:val="nil"/>
              <w:bottom w:val="nil"/>
              <w:right w:val="single" w:sz="6" w:space="0" w:color="000000"/>
            </w:tcBorders>
            <w:hideMark/>
          </w:tcPr>
          <w:p w14:paraId="1912524C" w14:textId="77777777" w:rsidR="002B430C" w:rsidRPr="00174ED1" w:rsidRDefault="002B430C" w:rsidP="00D7794C">
            <w:pPr>
              <w:pStyle w:val="LCATabla"/>
              <w:rPr>
                <w:rFonts w:ascii="Arial" w:hAnsi="Arial" w:cs="Arial"/>
                <w:sz w:val="20"/>
              </w:rPr>
            </w:pPr>
            <w:r w:rsidRPr="00174ED1">
              <w:rPr>
                <w:rFonts w:ascii="Arial" w:hAnsi="Arial" w:cs="Arial"/>
                <w:sz w:val="20"/>
              </w:rPr>
              <w:t xml:space="preserve">Señalización vertical. Señales metálicas permanentes. Zona no </w:t>
            </w:r>
            <w:proofErr w:type="spellStart"/>
            <w:r w:rsidRPr="00174ED1">
              <w:rPr>
                <w:rFonts w:ascii="Arial" w:hAnsi="Arial" w:cs="Arial"/>
                <w:sz w:val="20"/>
              </w:rPr>
              <w:t>retrorreflectante</w:t>
            </w:r>
            <w:proofErr w:type="spellEnd"/>
            <w:r w:rsidRPr="00174ED1">
              <w:rPr>
                <w:rFonts w:ascii="Arial" w:hAnsi="Arial" w:cs="Arial"/>
                <w:sz w:val="20"/>
              </w:rPr>
              <w:t>. Pinturas. Características y métodos de ensayo.</w:t>
            </w:r>
          </w:p>
        </w:tc>
      </w:tr>
      <w:tr w:rsidR="002B430C" w:rsidRPr="00174ED1" w14:paraId="16233405" w14:textId="77777777" w:rsidTr="00174ED1">
        <w:tc>
          <w:tcPr>
            <w:tcW w:w="1043" w:type="pct"/>
            <w:tcBorders>
              <w:top w:val="nil"/>
              <w:left w:val="single" w:sz="6" w:space="0" w:color="000000"/>
              <w:bottom w:val="nil"/>
              <w:right w:val="nil"/>
            </w:tcBorders>
            <w:hideMark/>
          </w:tcPr>
          <w:p w14:paraId="6DDB6FFC" w14:textId="77777777" w:rsidR="002B430C" w:rsidRPr="00174ED1" w:rsidRDefault="002B430C" w:rsidP="00D7794C">
            <w:pPr>
              <w:pStyle w:val="LCATabla"/>
              <w:keepNext/>
              <w:rPr>
                <w:rFonts w:ascii="Arial" w:hAnsi="Arial" w:cs="Arial"/>
                <w:b/>
                <w:bCs/>
                <w:sz w:val="20"/>
              </w:rPr>
            </w:pPr>
            <w:r w:rsidRPr="00174ED1">
              <w:rPr>
                <w:rFonts w:ascii="Arial" w:hAnsi="Arial" w:cs="Arial"/>
                <w:sz w:val="20"/>
              </w:rPr>
              <w:lastRenderedPageBreak/>
              <w:t>UNE 135 332</w:t>
            </w:r>
          </w:p>
        </w:tc>
        <w:tc>
          <w:tcPr>
            <w:tcW w:w="3957" w:type="pct"/>
            <w:tcBorders>
              <w:top w:val="nil"/>
              <w:left w:val="nil"/>
              <w:bottom w:val="nil"/>
              <w:right w:val="single" w:sz="6" w:space="0" w:color="000000"/>
            </w:tcBorders>
            <w:hideMark/>
          </w:tcPr>
          <w:p w14:paraId="16640512" w14:textId="77777777" w:rsidR="002B430C" w:rsidRPr="00174ED1" w:rsidRDefault="002B430C" w:rsidP="00D7794C">
            <w:pPr>
              <w:pStyle w:val="LCATabla"/>
              <w:keepNext/>
              <w:rPr>
                <w:rFonts w:ascii="Arial" w:hAnsi="Arial" w:cs="Arial"/>
                <w:sz w:val="20"/>
              </w:rPr>
            </w:pPr>
            <w:r w:rsidRPr="00174ED1">
              <w:rPr>
                <w:rFonts w:ascii="Arial" w:hAnsi="Arial" w:cs="Arial"/>
                <w:sz w:val="20"/>
              </w:rPr>
              <w:t>Señalización vertical. Placas y lamas de las señales, carteles y paneles direccionales metálicos utilizados en la señalización vertical permanente. Materiales. Características y métodos de ensayo.</w:t>
            </w:r>
          </w:p>
        </w:tc>
      </w:tr>
      <w:tr w:rsidR="002B430C" w:rsidRPr="00174ED1" w14:paraId="4C37E691" w14:textId="77777777" w:rsidTr="0053403E">
        <w:trPr>
          <w:cantSplit/>
        </w:trPr>
        <w:tc>
          <w:tcPr>
            <w:tcW w:w="1043" w:type="pct"/>
            <w:tcBorders>
              <w:top w:val="nil"/>
              <w:left w:val="single" w:sz="6" w:space="0" w:color="000000"/>
              <w:bottom w:val="nil"/>
              <w:right w:val="nil"/>
            </w:tcBorders>
            <w:hideMark/>
          </w:tcPr>
          <w:p w14:paraId="5F8F6B4C"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135 333</w:t>
            </w:r>
          </w:p>
        </w:tc>
        <w:tc>
          <w:tcPr>
            <w:tcW w:w="3957" w:type="pct"/>
            <w:tcBorders>
              <w:top w:val="nil"/>
              <w:left w:val="nil"/>
              <w:bottom w:val="nil"/>
              <w:right w:val="single" w:sz="6" w:space="0" w:color="000000"/>
            </w:tcBorders>
            <w:hideMark/>
          </w:tcPr>
          <w:p w14:paraId="1C142764" w14:textId="77777777" w:rsidR="002B430C" w:rsidRPr="00174ED1" w:rsidRDefault="002B430C" w:rsidP="00D7794C">
            <w:pPr>
              <w:pStyle w:val="LCATabla"/>
              <w:rPr>
                <w:rFonts w:ascii="Arial" w:hAnsi="Arial" w:cs="Arial"/>
                <w:sz w:val="20"/>
              </w:rPr>
            </w:pPr>
            <w:r w:rsidRPr="00174ED1">
              <w:rPr>
                <w:rFonts w:ascii="Arial" w:hAnsi="Arial" w:cs="Arial"/>
                <w:sz w:val="20"/>
              </w:rPr>
              <w:t>Señalización vertical. Placas y lamas de las señales, carteles y paneles direccionales metálicos utilizados en la señalización vertical permanente. Materiales. Ensayos de comprobación.</w:t>
            </w:r>
          </w:p>
        </w:tc>
      </w:tr>
      <w:tr w:rsidR="002B430C" w:rsidRPr="00174ED1" w14:paraId="7BCCA174" w14:textId="77777777" w:rsidTr="00174ED1">
        <w:tc>
          <w:tcPr>
            <w:tcW w:w="1043" w:type="pct"/>
            <w:tcBorders>
              <w:top w:val="nil"/>
              <w:left w:val="single" w:sz="6" w:space="0" w:color="000000"/>
              <w:bottom w:val="nil"/>
              <w:right w:val="nil"/>
            </w:tcBorders>
            <w:hideMark/>
          </w:tcPr>
          <w:p w14:paraId="17952E35"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135 334</w:t>
            </w:r>
          </w:p>
        </w:tc>
        <w:tc>
          <w:tcPr>
            <w:tcW w:w="3957" w:type="pct"/>
            <w:tcBorders>
              <w:top w:val="nil"/>
              <w:left w:val="nil"/>
              <w:bottom w:val="nil"/>
              <w:right w:val="single" w:sz="6" w:space="0" w:color="000000"/>
            </w:tcBorders>
            <w:hideMark/>
          </w:tcPr>
          <w:p w14:paraId="511A5F73" w14:textId="77777777" w:rsidR="002B430C" w:rsidRPr="00174ED1" w:rsidRDefault="002B430C" w:rsidP="00D7794C">
            <w:pPr>
              <w:pStyle w:val="LCATabla"/>
              <w:rPr>
                <w:rFonts w:ascii="Arial" w:hAnsi="Arial" w:cs="Arial"/>
                <w:sz w:val="20"/>
              </w:rPr>
            </w:pPr>
            <w:r w:rsidRPr="00174ED1">
              <w:rPr>
                <w:rFonts w:ascii="Arial" w:hAnsi="Arial" w:cs="Arial"/>
                <w:sz w:val="20"/>
              </w:rPr>
              <w:t xml:space="preserve">Señalización vertical. Láminas </w:t>
            </w:r>
            <w:proofErr w:type="spellStart"/>
            <w:r w:rsidRPr="00174ED1">
              <w:rPr>
                <w:rFonts w:ascii="Arial" w:hAnsi="Arial" w:cs="Arial"/>
                <w:sz w:val="20"/>
              </w:rPr>
              <w:t>retrorreflectantes</w:t>
            </w:r>
            <w:proofErr w:type="spellEnd"/>
            <w:r w:rsidRPr="00174ED1">
              <w:rPr>
                <w:rFonts w:ascii="Arial" w:hAnsi="Arial" w:cs="Arial"/>
                <w:sz w:val="20"/>
              </w:rPr>
              <w:t xml:space="preserve"> con microesferas de vidrio. Características y métodos de ensayo.</w:t>
            </w:r>
          </w:p>
        </w:tc>
      </w:tr>
      <w:tr w:rsidR="002B430C" w:rsidRPr="00174ED1" w14:paraId="4FCE9EB0" w14:textId="77777777" w:rsidTr="00174ED1">
        <w:tc>
          <w:tcPr>
            <w:tcW w:w="1043" w:type="pct"/>
            <w:tcBorders>
              <w:top w:val="nil"/>
              <w:left w:val="single" w:sz="6" w:space="0" w:color="000000"/>
              <w:bottom w:val="nil"/>
              <w:right w:val="nil"/>
            </w:tcBorders>
            <w:hideMark/>
          </w:tcPr>
          <w:p w14:paraId="745AE7CF"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135 335</w:t>
            </w:r>
          </w:p>
        </w:tc>
        <w:tc>
          <w:tcPr>
            <w:tcW w:w="3957" w:type="pct"/>
            <w:tcBorders>
              <w:top w:val="nil"/>
              <w:left w:val="nil"/>
              <w:bottom w:val="nil"/>
              <w:right w:val="single" w:sz="6" w:space="0" w:color="000000"/>
            </w:tcBorders>
            <w:hideMark/>
          </w:tcPr>
          <w:p w14:paraId="5E7BD606" w14:textId="77777777" w:rsidR="002B430C" w:rsidRPr="00174ED1" w:rsidRDefault="002B430C" w:rsidP="00D7794C">
            <w:pPr>
              <w:pStyle w:val="LCATabla"/>
              <w:rPr>
                <w:rFonts w:ascii="Arial" w:hAnsi="Arial" w:cs="Arial"/>
                <w:sz w:val="20"/>
              </w:rPr>
            </w:pPr>
            <w:r w:rsidRPr="00174ED1">
              <w:rPr>
                <w:rFonts w:ascii="Arial" w:hAnsi="Arial" w:cs="Arial"/>
                <w:sz w:val="20"/>
              </w:rPr>
              <w:t>Señalización vertical. Ensayo de envejecimiento natural. Método de exposición directa. Características y métodos de ensayo</w:t>
            </w:r>
          </w:p>
        </w:tc>
      </w:tr>
      <w:tr w:rsidR="002B430C" w:rsidRPr="00174ED1" w14:paraId="6FC1321A" w14:textId="77777777" w:rsidTr="00174ED1">
        <w:tc>
          <w:tcPr>
            <w:tcW w:w="1043" w:type="pct"/>
            <w:tcBorders>
              <w:top w:val="nil"/>
              <w:left w:val="single" w:sz="6" w:space="0" w:color="000000"/>
              <w:bottom w:val="nil"/>
              <w:right w:val="nil"/>
            </w:tcBorders>
            <w:hideMark/>
          </w:tcPr>
          <w:p w14:paraId="44AA9F1A"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135 336</w:t>
            </w:r>
          </w:p>
        </w:tc>
        <w:tc>
          <w:tcPr>
            <w:tcW w:w="3957" w:type="pct"/>
            <w:tcBorders>
              <w:top w:val="nil"/>
              <w:left w:val="nil"/>
              <w:bottom w:val="nil"/>
              <w:right w:val="single" w:sz="6" w:space="0" w:color="000000"/>
            </w:tcBorders>
            <w:hideMark/>
          </w:tcPr>
          <w:p w14:paraId="60A68821" w14:textId="77777777" w:rsidR="002B430C" w:rsidRPr="00174ED1" w:rsidRDefault="002B430C" w:rsidP="00D7794C">
            <w:pPr>
              <w:pStyle w:val="LCATabla"/>
              <w:rPr>
                <w:rFonts w:ascii="Arial" w:hAnsi="Arial" w:cs="Arial"/>
                <w:sz w:val="20"/>
              </w:rPr>
            </w:pPr>
            <w:r w:rsidRPr="00174ED1">
              <w:rPr>
                <w:rFonts w:ascii="Arial" w:hAnsi="Arial" w:cs="Arial"/>
                <w:sz w:val="20"/>
              </w:rPr>
              <w:t>Señalización vertical. Placas y lamas de las señales, carteles y paneles direccionales metálicos utilizados en la señalización vertical temporal. Materiales. Características y métodos de ensayo.</w:t>
            </w:r>
          </w:p>
        </w:tc>
      </w:tr>
      <w:tr w:rsidR="002B430C" w:rsidRPr="00174ED1" w14:paraId="515489F2" w14:textId="77777777" w:rsidTr="00174ED1">
        <w:tc>
          <w:tcPr>
            <w:tcW w:w="1043" w:type="pct"/>
            <w:tcBorders>
              <w:top w:val="nil"/>
              <w:left w:val="single" w:sz="6" w:space="0" w:color="000000"/>
              <w:bottom w:val="nil"/>
              <w:right w:val="nil"/>
            </w:tcBorders>
            <w:hideMark/>
          </w:tcPr>
          <w:p w14:paraId="61AC00A9"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135 337</w:t>
            </w:r>
          </w:p>
        </w:tc>
        <w:tc>
          <w:tcPr>
            <w:tcW w:w="3957" w:type="pct"/>
            <w:tcBorders>
              <w:top w:val="nil"/>
              <w:left w:val="nil"/>
              <w:bottom w:val="nil"/>
              <w:right w:val="single" w:sz="6" w:space="0" w:color="000000"/>
            </w:tcBorders>
            <w:hideMark/>
          </w:tcPr>
          <w:p w14:paraId="1EA23EEB" w14:textId="77777777" w:rsidR="002B430C" w:rsidRPr="00174ED1" w:rsidRDefault="002B430C" w:rsidP="00D7794C">
            <w:pPr>
              <w:pStyle w:val="LCATabla"/>
              <w:rPr>
                <w:rFonts w:ascii="Arial" w:hAnsi="Arial" w:cs="Arial"/>
                <w:sz w:val="20"/>
              </w:rPr>
            </w:pPr>
            <w:r w:rsidRPr="00174ED1">
              <w:rPr>
                <w:rFonts w:ascii="Arial" w:hAnsi="Arial" w:cs="Arial"/>
                <w:sz w:val="20"/>
              </w:rPr>
              <w:t>Señalización vertical. Señales, carteles y paneles direccionales metálicos. Embalaje, almacenamiento, manipulación, transporte e instalación. Materiales. Características y métodos de ensayo.</w:t>
            </w:r>
          </w:p>
        </w:tc>
      </w:tr>
      <w:tr w:rsidR="002B430C" w:rsidRPr="00174ED1" w14:paraId="64B4EBC3" w14:textId="77777777" w:rsidTr="00174ED1">
        <w:tc>
          <w:tcPr>
            <w:tcW w:w="1043" w:type="pct"/>
            <w:tcBorders>
              <w:top w:val="nil"/>
              <w:left w:val="single" w:sz="6" w:space="0" w:color="000000"/>
              <w:bottom w:val="nil"/>
              <w:right w:val="nil"/>
            </w:tcBorders>
            <w:hideMark/>
          </w:tcPr>
          <w:p w14:paraId="333CFB2E"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135 340</w:t>
            </w:r>
            <w:r w:rsidR="00555266" w:rsidRPr="00174ED1">
              <w:rPr>
                <w:rFonts w:ascii="Arial" w:hAnsi="Arial" w:cs="Arial"/>
                <w:sz w:val="20"/>
              </w:rPr>
              <w:t>: 2017</w:t>
            </w:r>
          </w:p>
        </w:tc>
        <w:tc>
          <w:tcPr>
            <w:tcW w:w="3957" w:type="pct"/>
            <w:tcBorders>
              <w:top w:val="nil"/>
              <w:left w:val="nil"/>
              <w:bottom w:val="nil"/>
              <w:right w:val="single" w:sz="6" w:space="0" w:color="000000"/>
            </w:tcBorders>
            <w:hideMark/>
          </w:tcPr>
          <w:p w14:paraId="457CEDA0" w14:textId="77777777" w:rsidR="002B430C" w:rsidRPr="00174ED1" w:rsidRDefault="002B430C" w:rsidP="00D7794C">
            <w:pPr>
              <w:pStyle w:val="LCATabla"/>
              <w:rPr>
                <w:rFonts w:ascii="Arial" w:hAnsi="Arial" w:cs="Arial"/>
                <w:sz w:val="20"/>
              </w:rPr>
            </w:pPr>
            <w:r w:rsidRPr="00174ED1">
              <w:rPr>
                <w:rFonts w:ascii="Arial" w:hAnsi="Arial" w:cs="Arial"/>
                <w:sz w:val="20"/>
              </w:rPr>
              <w:t xml:space="preserve">Señalización vertical. Láminas </w:t>
            </w:r>
            <w:proofErr w:type="spellStart"/>
            <w:r w:rsidRPr="00174ED1">
              <w:rPr>
                <w:rFonts w:ascii="Arial" w:hAnsi="Arial" w:cs="Arial"/>
                <w:sz w:val="20"/>
              </w:rPr>
              <w:t>retrorreflectantes</w:t>
            </w:r>
            <w:proofErr w:type="spellEnd"/>
            <w:r w:rsidRPr="00174ED1">
              <w:rPr>
                <w:rFonts w:ascii="Arial" w:hAnsi="Arial" w:cs="Arial"/>
                <w:sz w:val="20"/>
              </w:rPr>
              <w:t xml:space="preserve"> </w:t>
            </w:r>
            <w:proofErr w:type="spellStart"/>
            <w:r w:rsidRPr="00174ED1">
              <w:rPr>
                <w:rFonts w:ascii="Arial" w:hAnsi="Arial" w:cs="Arial"/>
                <w:sz w:val="20"/>
              </w:rPr>
              <w:t>microprismáticas</w:t>
            </w:r>
            <w:proofErr w:type="spellEnd"/>
            <w:r w:rsidRPr="00174ED1">
              <w:rPr>
                <w:rFonts w:ascii="Arial" w:hAnsi="Arial" w:cs="Arial"/>
                <w:sz w:val="20"/>
              </w:rPr>
              <w:t xml:space="preserve"> poliméricas de clase o nivel 3. Características y métodos de ensayo.</w:t>
            </w:r>
          </w:p>
        </w:tc>
      </w:tr>
      <w:tr w:rsidR="002B430C" w:rsidRPr="00174ED1" w14:paraId="55A6D12E" w14:textId="77777777" w:rsidTr="00174ED1">
        <w:tc>
          <w:tcPr>
            <w:tcW w:w="1043" w:type="pct"/>
            <w:tcBorders>
              <w:top w:val="nil"/>
              <w:left w:val="single" w:sz="6" w:space="0" w:color="000000"/>
              <w:bottom w:val="nil"/>
              <w:right w:val="nil"/>
            </w:tcBorders>
            <w:hideMark/>
          </w:tcPr>
          <w:p w14:paraId="0BC5937A" w14:textId="77777777" w:rsidR="002B430C" w:rsidRPr="00174ED1" w:rsidRDefault="002B430C" w:rsidP="00D9029C">
            <w:pPr>
              <w:pStyle w:val="LCATabla"/>
              <w:keepNext/>
              <w:rPr>
                <w:rFonts w:ascii="Arial" w:hAnsi="Arial" w:cs="Arial"/>
                <w:b/>
                <w:bCs/>
                <w:sz w:val="20"/>
              </w:rPr>
            </w:pPr>
            <w:r w:rsidRPr="00174ED1">
              <w:rPr>
                <w:rFonts w:ascii="Arial" w:hAnsi="Arial" w:cs="Arial"/>
                <w:sz w:val="20"/>
              </w:rPr>
              <w:t>UNE 135 341 IN</w:t>
            </w:r>
          </w:p>
        </w:tc>
        <w:tc>
          <w:tcPr>
            <w:tcW w:w="3957" w:type="pct"/>
            <w:tcBorders>
              <w:top w:val="nil"/>
              <w:left w:val="nil"/>
              <w:bottom w:val="nil"/>
              <w:right w:val="single" w:sz="6" w:space="0" w:color="000000"/>
            </w:tcBorders>
            <w:hideMark/>
          </w:tcPr>
          <w:p w14:paraId="35B7578F" w14:textId="77777777" w:rsidR="002B430C" w:rsidRPr="00174ED1" w:rsidRDefault="002B430C" w:rsidP="00D9029C">
            <w:pPr>
              <w:pStyle w:val="LCATabla"/>
              <w:keepNext/>
              <w:rPr>
                <w:rFonts w:ascii="Arial" w:hAnsi="Arial" w:cs="Arial"/>
                <w:sz w:val="20"/>
              </w:rPr>
            </w:pPr>
            <w:r w:rsidRPr="00174ED1">
              <w:rPr>
                <w:rFonts w:ascii="Arial" w:hAnsi="Arial" w:cs="Arial"/>
                <w:sz w:val="20"/>
              </w:rPr>
              <w:t xml:space="preserve">Señalización vertical. Guía de utilización de materiales </w:t>
            </w:r>
            <w:proofErr w:type="spellStart"/>
            <w:r w:rsidRPr="00174ED1">
              <w:rPr>
                <w:rFonts w:ascii="Arial" w:hAnsi="Arial" w:cs="Arial"/>
                <w:sz w:val="20"/>
              </w:rPr>
              <w:t>retrorreflectantes</w:t>
            </w:r>
            <w:proofErr w:type="spellEnd"/>
            <w:r w:rsidRPr="00174ED1">
              <w:rPr>
                <w:rFonts w:ascii="Arial" w:hAnsi="Arial" w:cs="Arial"/>
                <w:sz w:val="20"/>
              </w:rPr>
              <w:t xml:space="preserve"> de clase o nivel 3 (UNE 135340)</w:t>
            </w:r>
          </w:p>
        </w:tc>
      </w:tr>
      <w:tr w:rsidR="002B430C" w:rsidRPr="00174ED1" w14:paraId="410DDA0C" w14:textId="77777777" w:rsidTr="00174ED1">
        <w:tc>
          <w:tcPr>
            <w:tcW w:w="1043" w:type="pct"/>
            <w:tcBorders>
              <w:top w:val="nil"/>
              <w:left w:val="single" w:sz="6" w:space="0" w:color="000000"/>
              <w:bottom w:val="nil"/>
              <w:right w:val="nil"/>
            </w:tcBorders>
            <w:hideMark/>
          </w:tcPr>
          <w:p w14:paraId="7BB3AF71"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135 350</w:t>
            </w:r>
          </w:p>
        </w:tc>
        <w:tc>
          <w:tcPr>
            <w:tcW w:w="3957" w:type="pct"/>
            <w:tcBorders>
              <w:top w:val="nil"/>
              <w:left w:val="nil"/>
              <w:bottom w:val="nil"/>
              <w:right w:val="single" w:sz="6" w:space="0" w:color="000000"/>
            </w:tcBorders>
            <w:hideMark/>
          </w:tcPr>
          <w:p w14:paraId="375E8B2C" w14:textId="77777777" w:rsidR="002B430C" w:rsidRPr="00174ED1" w:rsidRDefault="002B430C" w:rsidP="00D7794C">
            <w:pPr>
              <w:pStyle w:val="LCATabla"/>
              <w:rPr>
                <w:rFonts w:ascii="Arial" w:hAnsi="Arial" w:cs="Arial"/>
                <w:sz w:val="20"/>
              </w:rPr>
            </w:pPr>
            <w:r w:rsidRPr="00174ED1">
              <w:rPr>
                <w:rFonts w:ascii="Arial" w:hAnsi="Arial" w:cs="Arial"/>
                <w:sz w:val="20"/>
              </w:rPr>
              <w:t xml:space="preserve">Señalización vertical. Determinación de características fotométricas, coeficiente de retrorreflexión de los materiales </w:t>
            </w:r>
            <w:proofErr w:type="spellStart"/>
            <w:r w:rsidRPr="00174ED1">
              <w:rPr>
                <w:rFonts w:ascii="Arial" w:hAnsi="Arial" w:cs="Arial"/>
                <w:sz w:val="20"/>
              </w:rPr>
              <w:t>retrorreflectantes</w:t>
            </w:r>
            <w:proofErr w:type="spellEnd"/>
            <w:r w:rsidRPr="00174ED1">
              <w:rPr>
                <w:rFonts w:ascii="Arial" w:hAnsi="Arial" w:cs="Arial"/>
                <w:sz w:val="20"/>
              </w:rPr>
              <w:t>.</w:t>
            </w:r>
          </w:p>
        </w:tc>
      </w:tr>
      <w:tr w:rsidR="002B430C" w:rsidRPr="00174ED1" w14:paraId="76E18A14" w14:textId="77777777" w:rsidTr="00174ED1">
        <w:tc>
          <w:tcPr>
            <w:tcW w:w="1043" w:type="pct"/>
            <w:tcBorders>
              <w:top w:val="nil"/>
              <w:left w:val="single" w:sz="6" w:space="0" w:color="000000"/>
              <w:bottom w:val="single" w:sz="12" w:space="0" w:color="000000"/>
              <w:right w:val="nil"/>
            </w:tcBorders>
            <w:hideMark/>
          </w:tcPr>
          <w:p w14:paraId="4B72C7A4" w14:textId="77777777" w:rsidR="002B430C" w:rsidRPr="00174ED1" w:rsidRDefault="002B430C" w:rsidP="00D7794C">
            <w:pPr>
              <w:pStyle w:val="LCATabla"/>
              <w:rPr>
                <w:rFonts w:ascii="Arial" w:hAnsi="Arial" w:cs="Arial"/>
                <w:b/>
                <w:bCs/>
                <w:sz w:val="20"/>
              </w:rPr>
            </w:pPr>
            <w:r w:rsidRPr="00174ED1">
              <w:rPr>
                <w:rFonts w:ascii="Arial" w:hAnsi="Arial" w:cs="Arial"/>
                <w:sz w:val="20"/>
              </w:rPr>
              <w:t>UNE 135 352</w:t>
            </w:r>
            <w:r w:rsidR="00555266" w:rsidRPr="00174ED1">
              <w:rPr>
                <w:rFonts w:ascii="Arial" w:hAnsi="Arial" w:cs="Arial"/>
                <w:sz w:val="20"/>
              </w:rPr>
              <w:t>: 2006</w:t>
            </w:r>
          </w:p>
        </w:tc>
        <w:tc>
          <w:tcPr>
            <w:tcW w:w="3957" w:type="pct"/>
            <w:tcBorders>
              <w:top w:val="nil"/>
              <w:left w:val="nil"/>
              <w:bottom w:val="single" w:sz="12" w:space="0" w:color="000000"/>
              <w:right w:val="single" w:sz="6" w:space="0" w:color="000000"/>
            </w:tcBorders>
            <w:hideMark/>
          </w:tcPr>
          <w:p w14:paraId="0D61AAC9" w14:textId="77777777" w:rsidR="002B430C" w:rsidRPr="00174ED1" w:rsidRDefault="002B430C" w:rsidP="00D7794C">
            <w:pPr>
              <w:pStyle w:val="LCATabla"/>
              <w:rPr>
                <w:rFonts w:ascii="Arial" w:hAnsi="Arial" w:cs="Arial"/>
                <w:sz w:val="20"/>
              </w:rPr>
            </w:pPr>
            <w:r w:rsidRPr="00174ED1">
              <w:rPr>
                <w:rFonts w:ascii="Arial" w:hAnsi="Arial" w:cs="Arial"/>
                <w:sz w:val="20"/>
              </w:rPr>
              <w:t>Señalización vertical y balizamiento. Control de calidad "in situ" de elementos en servicio. Características y métodos de ensayo.</w:t>
            </w:r>
          </w:p>
        </w:tc>
      </w:tr>
    </w:tbl>
    <w:p w14:paraId="457B0FC9" w14:textId="77777777" w:rsidR="002B430C" w:rsidRPr="00FD6931" w:rsidRDefault="002B430C" w:rsidP="002B430C">
      <w:pPr>
        <w:pStyle w:val="NormalWeb"/>
        <w:rPr>
          <w:rFonts w:ascii="Arial Unicode MS" w:hAnsi="Arial Unicode MS"/>
          <w:sz w:val="22"/>
        </w:rPr>
      </w:pPr>
      <w:r w:rsidRPr="00FD6931">
        <w:rPr>
          <w:rFonts w:hint="eastAsia"/>
        </w:rPr>
        <w:t> </w:t>
      </w:r>
    </w:p>
    <w:tbl>
      <w:tblPr>
        <w:tblW w:w="5000" w:type="pct"/>
        <w:tblLook w:val="04A0" w:firstRow="1" w:lastRow="0" w:firstColumn="1" w:lastColumn="0" w:noHBand="0" w:noVBand="1"/>
      </w:tblPr>
      <w:tblGrid>
        <w:gridCol w:w="2661"/>
        <w:gridCol w:w="7193"/>
      </w:tblGrid>
      <w:tr w:rsidR="002B430C" w:rsidRPr="0093731C" w14:paraId="7D8F1CFA" w14:textId="77777777" w:rsidTr="0093731C">
        <w:trPr>
          <w:tblHeader/>
        </w:trPr>
        <w:tc>
          <w:tcPr>
            <w:tcW w:w="1350" w:type="pct"/>
            <w:tcBorders>
              <w:top w:val="single" w:sz="12" w:space="0" w:color="000000"/>
              <w:left w:val="single" w:sz="6" w:space="0" w:color="000000"/>
              <w:right w:val="nil"/>
            </w:tcBorders>
            <w:shd w:val="clear" w:color="auto" w:fill="D9D9D9" w:themeFill="background1" w:themeFillShade="D9"/>
            <w:hideMark/>
          </w:tcPr>
          <w:p w14:paraId="1D1968DD" w14:textId="77777777" w:rsidR="002B430C" w:rsidRPr="0093731C" w:rsidRDefault="002B430C" w:rsidP="00E55CD8">
            <w:pPr>
              <w:pStyle w:val="LCATabla"/>
              <w:jc w:val="center"/>
              <w:rPr>
                <w:rFonts w:ascii="Arial" w:hAnsi="Arial" w:cs="Arial"/>
                <w:b/>
                <w:bCs/>
                <w:i/>
                <w:iCs/>
                <w:sz w:val="20"/>
              </w:rPr>
            </w:pPr>
            <w:r w:rsidRPr="0093731C">
              <w:rPr>
                <w:rFonts w:ascii="Arial" w:hAnsi="Arial" w:cs="Arial"/>
                <w:b/>
                <w:sz w:val="20"/>
              </w:rPr>
              <w:t>C</w:t>
            </w:r>
            <w:r w:rsidR="00E55CD8">
              <w:rPr>
                <w:rFonts w:ascii="Arial" w:hAnsi="Arial" w:cs="Arial"/>
                <w:b/>
                <w:sz w:val="20"/>
              </w:rPr>
              <w:t>ódigo</w:t>
            </w:r>
          </w:p>
        </w:tc>
        <w:tc>
          <w:tcPr>
            <w:tcW w:w="3650" w:type="pct"/>
            <w:tcBorders>
              <w:top w:val="single" w:sz="12" w:space="0" w:color="000000"/>
              <w:left w:val="nil"/>
              <w:right w:val="single" w:sz="6" w:space="0" w:color="000000"/>
            </w:tcBorders>
            <w:shd w:val="clear" w:color="auto" w:fill="D9D9D9" w:themeFill="background1" w:themeFillShade="D9"/>
            <w:hideMark/>
          </w:tcPr>
          <w:p w14:paraId="72D8ADC4" w14:textId="77777777" w:rsidR="002B430C" w:rsidRPr="0093731C" w:rsidRDefault="002B430C" w:rsidP="00E55CD8">
            <w:pPr>
              <w:pStyle w:val="LCATabla"/>
              <w:jc w:val="center"/>
              <w:rPr>
                <w:rFonts w:ascii="Arial" w:hAnsi="Arial" w:cs="Arial"/>
                <w:b/>
                <w:bCs/>
                <w:i/>
                <w:iCs/>
                <w:sz w:val="20"/>
              </w:rPr>
            </w:pPr>
            <w:r w:rsidRPr="0093731C">
              <w:rPr>
                <w:rFonts w:ascii="Arial" w:hAnsi="Arial" w:cs="Arial"/>
                <w:b/>
                <w:sz w:val="20"/>
              </w:rPr>
              <w:t>T</w:t>
            </w:r>
            <w:r w:rsidR="00E55CD8">
              <w:rPr>
                <w:rFonts w:ascii="Arial" w:hAnsi="Arial" w:cs="Arial"/>
                <w:b/>
                <w:sz w:val="20"/>
              </w:rPr>
              <w:t>ítulo</w:t>
            </w:r>
          </w:p>
        </w:tc>
      </w:tr>
      <w:tr w:rsidR="002B430C" w:rsidRPr="0093731C" w14:paraId="42F13541" w14:textId="77777777" w:rsidTr="0093731C">
        <w:tc>
          <w:tcPr>
            <w:tcW w:w="1350" w:type="pct"/>
            <w:tcBorders>
              <w:top w:val="nil"/>
              <w:left w:val="single" w:sz="6" w:space="0" w:color="000000"/>
              <w:bottom w:val="nil"/>
              <w:right w:val="nil"/>
            </w:tcBorders>
            <w:hideMark/>
          </w:tcPr>
          <w:p w14:paraId="7657AEDC" w14:textId="77777777" w:rsidR="002B430C" w:rsidRPr="0093731C" w:rsidRDefault="002B430C" w:rsidP="00D7794C">
            <w:pPr>
              <w:pStyle w:val="LCATabla"/>
              <w:rPr>
                <w:rFonts w:ascii="Arial" w:hAnsi="Arial" w:cs="Arial"/>
                <w:b/>
                <w:bCs/>
                <w:sz w:val="20"/>
              </w:rPr>
            </w:pPr>
            <w:r w:rsidRPr="0093731C">
              <w:rPr>
                <w:rFonts w:ascii="Arial" w:hAnsi="Arial" w:cs="Arial"/>
                <w:sz w:val="20"/>
              </w:rPr>
              <w:t>UNE-EN 12899-1</w:t>
            </w:r>
            <w:r w:rsidR="00555266" w:rsidRPr="0093731C">
              <w:rPr>
                <w:rFonts w:ascii="Arial" w:hAnsi="Arial" w:cs="Arial"/>
                <w:sz w:val="20"/>
              </w:rPr>
              <w:t>: 2009</w:t>
            </w:r>
          </w:p>
        </w:tc>
        <w:tc>
          <w:tcPr>
            <w:tcW w:w="3650" w:type="pct"/>
            <w:tcBorders>
              <w:top w:val="nil"/>
              <w:left w:val="nil"/>
              <w:bottom w:val="nil"/>
              <w:right w:val="single" w:sz="6" w:space="0" w:color="000000"/>
            </w:tcBorders>
            <w:hideMark/>
          </w:tcPr>
          <w:p w14:paraId="1CDC1A7F" w14:textId="77777777" w:rsidR="002B430C" w:rsidRPr="0093731C" w:rsidRDefault="002B430C" w:rsidP="00D7794C">
            <w:pPr>
              <w:pStyle w:val="LCATabla"/>
              <w:rPr>
                <w:rFonts w:ascii="Arial" w:hAnsi="Arial" w:cs="Arial"/>
                <w:sz w:val="20"/>
              </w:rPr>
            </w:pPr>
            <w:r w:rsidRPr="0093731C">
              <w:rPr>
                <w:rFonts w:ascii="Arial" w:hAnsi="Arial" w:cs="Arial"/>
                <w:sz w:val="20"/>
              </w:rPr>
              <w:t xml:space="preserve">Señales verticales fijas de circulación. </w:t>
            </w:r>
            <w:r w:rsidRPr="0093731C">
              <w:rPr>
                <w:rFonts w:ascii="Arial" w:hAnsi="Arial" w:cs="Arial"/>
                <w:sz w:val="20"/>
              </w:rPr>
              <w:br/>
              <w:t>Parte 1: Señales fijas.</w:t>
            </w:r>
          </w:p>
        </w:tc>
      </w:tr>
      <w:tr w:rsidR="002B430C" w:rsidRPr="0093731C" w14:paraId="5554BC59" w14:textId="77777777" w:rsidTr="0093731C">
        <w:tc>
          <w:tcPr>
            <w:tcW w:w="1350" w:type="pct"/>
            <w:tcBorders>
              <w:top w:val="nil"/>
              <w:left w:val="single" w:sz="6" w:space="0" w:color="000000"/>
              <w:bottom w:val="nil"/>
              <w:right w:val="nil"/>
            </w:tcBorders>
            <w:hideMark/>
          </w:tcPr>
          <w:p w14:paraId="3A94E484" w14:textId="77777777" w:rsidR="002B430C" w:rsidRPr="0093731C" w:rsidRDefault="002B430C" w:rsidP="00D7794C">
            <w:pPr>
              <w:pStyle w:val="LCATabla"/>
              <w:rPr>
                <w:rFonts w:ascii="Arial" w:hAnsi="Arial" w:cs="Arial"/>
                <w:b/>
                <w:bCs/>
                <w:sz w:val="20"/>
              </w:rPr>
            </w:pPr>
            <w:r w:rsidRPr="0093731C">
              <w:rPr>
                <w:rFonts w:ascii="Arial" w:hAnsi="Arial" w:cs="Arial"/>
                <w:sz w:val="20"/>
              </w:rPr>
              <w:t>UNE-EN 12899-4</w:t>
            </w:r>
          </w:p>
        </w:tc>
        <w:tc>
          <w:tcPr>
            <w:tcW w:w="3650" w:type="pct"/>
            <w:tcBorders>
              <w:top w:val="nil"/>
              <w:left w:val="nil"/>
              <w:bottom w:val="nil"/>
              <w:right w:val="single" w:sz="6" w:space="0" w:color="000000"/>
            </w:tcBorders>
            <w:hideMark/>
          </w:tcPr>
          <w:p w14:paraId="7D0F76FD" w14:textId="77777777" w:rsidR="002B430C" w:rsidRPr="0093731C" w:rsidRDefault="002B430C" w:rsidP="00D7794C">
            <w:pPr>
              <w:pStyle w:val="LCATabla"/>
              <w:rPr>
                <w:rFonts w:ascii="Arial" w:hAnsi="Arial" w:cs="Arial"/>
                <w:sz w:val="20"/>
              </w:rPr>
            </w:pPr>
            <w:r w:rsidRPr="0093731C">
              <w:rPr>
                <w:rFonts w:ascii="Arial" w:hAnsi="Arial" w:cs="Arial"/>
                <w:sz w:val="20"/>
              </w:rPr>
              <w:t xml:space="preserve">Señales verticales fijas de circulación. </w:t>
            </w:r>
            <w:r w:rsidRPr="0093731C">
              <w:rPr>
                <w:rFonts w:ascii="Arial" w:hAnsi="Arial" w:cs="Arial"/>
                <w:sz w:val="20"/>
              </w:rPr>
              <w:br/>
              <w:t>Parte 4: Control de producción en fábrica.</w:t>
            </w:r>
          </w:p>
        </w:tc>
      </w:tr>
      <w:tr w:rsidR="002B430C" w:rsidRPr="0093731C" w14:paraId="5FD2701D" w14:textId="77777777" w:rsidTr="0093731C">
        <w:tc>
          <w:tcPr>
            <w:tcW w:w="1350" w:type="pct"/>
            <w:tcBorders>
              <w:top w:val="nil"/>
              <w:left w:val="single" w:sz="6" w:space="0" w:color="000000"/>
              <w:bottom w:val="nil"/>
              <w:right w:val="nil"/>
            </w:tcBorders>
            <w:hideMark/>
          </w:tcPr>
          <w:p w14:paraId="2ECA86AA" w14:textId="77777777" w:rsidR="002B430C" w:rsidRPr="0093731C" w:rsidRDefault="002B430C" w:rsidP="00D7794C">
            <w:pPr>
              <w:pStyle w:val="LCATabla"/>
              <w:rPr>
                <w:rFonts w:ascii="Arial" w:hAnsi="Arial" w:cs="Arial"/>
                <w:b/>
                <w:bCs/>
                <w:sz w:val="20"/>
              </w:rPr>
            </w:pPr>
            <w:r w:rsidRPr="0093731C">
              <w:rPr>
                <w:rFonts w:ascii="Arial" w:hAnsi="Arial" w:cs="Arial"/>
                <w:sz w:val="20"/>
              </w:rPr>
              <w:t>UNE-EN 12899-5</w:t>
            </w:r>
          </w:p>
        </w:tc>
        <w:tc>
          <w:tcPr>
            <w:tcW w:w="3650" w:type="pct"/>
            <w:tcBorders>
              <w:top w:val="nil"/>
              <w:left w:val="nil"/>
              <w:bottom w:val="nil"/>
              <w:right w:val="single" w:sz="6" w:space="0" w:color="000000"/>
            </w:tcBorders>
            <w:hideMark/>
          </w:tcPr>
          <w:p w14:paraId="2A9CE38D" w14:textId="77777777" w:rsidR="002B430C" w:rsidRPr="0093731C" w:rsidRDefault="002B430C" w:rsidP="00D7794C">
            <w:pPr>
              <w:pStyle w:val="LCATabla"/>
              <w:rPr>
                <w:rFonts w:ascii="Arial" w:hAnsi="Arial" w:cs="Arial"/>
                <w:sz w:val="20"/>
              </w:rPr>
            </w:pPr>
            <w:r w:rsidRPr="0093731C">
              <w:rPr>
                <w:rFonts w:ascii="Arial" w:hAnsi="Arial" w:cs="Arial"/>
                <w:sz w:val="20"/>
              </w:rPr>
              <w:t xml:space="preserve">Señales verticales fijas de circulación. </w:t>
            </w:r>
            <w:r w:rsidRPr="0093731C">
              <w:rPr>
                <w:rFonts w:ascii="Arial" w:hAnsi="Arial" w:cs="Arial"/>
                <w:sz w:val="20"/>
              </w:rPr>
              <w:br/>
              <w:t>Parte 5: Ensayos de tipo iniciales.</w:t>
            </w:r>
          </w:p>
        </w:tc>
      </w:tr>
      <w:tr w:rsidR="002B430C" w:rsidRPr="0093731C" w14:paraId="0BD5D0A5" w14:textId="77777777" w:rsidTr="0093731C">
        <w:tc>
          <w:tcPr>
            <w:tcW w:w="1350" w:type="pct"/>
            <w:tcBorders>
              <w:top w:val="nil"/>
              <w:left w:val="single" w:sz="6" w:space="0" w:color="000000"/>
              <w:bottom w:val="single" w:sz="12" w:space="0" w:color="000000"/>
              <w:right w:val="nil"/>
            </w:tcBorders>
            <w:hideMark/>
          </w:tcPr>
          <w:p w14:paraId="2723E4D9" w14:textId="77777777" w:rsidR="002B430C" w:rsidRPr="0093731C" w:rsidRDefault="002B430C" w:rsidP="00D7794C">
            <w:pPr>
              <w:pStyle w:val="LCATabla"/>
              <w:rPr>
                <w:rFonts w:ascii="Arial" w:hAnsi="Arial" w:cs="Arial"/>
                <w:b/>
                <w:bCs/>
                <w:sz w:val="20"/>
              </w:rPr>
            </w:pPr>
            <w:r w:rsidRPr="0093731C">
              <w:rPr>
                <w:rFonts w:ascii="Arial" w:hAnsi="Arial" w:cs="Arial"/>
                <w:sz w:val="20"/>
              </w:rPr>
              <w:t>UNE-EN 13422:2007 + A1:2009</w:t>
            </w:r>
          </w:p>
        </w:tc>
        <w:tc>
          <w:tcPr>
            <w:tcW w:w="3650" w:type="pct"/>
            <w:tcBorders>
              <w:top w:val="nil"/>
              <w:left w:val="nil"/>
              <w:bottom w:val="single" w:sz="12" w:space="0" w:color="000000"/>
              <w:right w:val="single" w:sz="6" w:space="0" w:color="000000"/>
            </w:tcBorders>
            <w:hideMark/>
          </w:tcPr>
          <w:p w14:paraId="270F2A48" w14:textId="77777777" w:rsidR="002B430C" w:rsidRPr="0093731C" w:rsidRDefault="002B430C" w:rsidP="00D7794C">
            <w:pPr>
              <w:pStyle w:val="LCATabla"/>
              <w:rPr>
                <w:rFonts w:ascii="Arial" w:hAnsi="Arial" w:cs="Arial"/>
                <w:sz w:val="20"/>
              </w:rPr>
            </w:pPr>
            <w:r w:rsidRPr="0093731C">
              <w:rPr>
                <w:rFonts w:ascii="Arial" w:hAnsi="Arial" w:cs="Arial"/>
                <w:sz w:val="20"/>
              </w:rPr>
              <w:t>Señalización vertical de carreteras. Dispositivos de advertencia portátiles deformables y delineadores. Señalización de tráfico portátil para carreteras. Conos y cilindros.</w:t>
            </w:r>
          </w:p>
        </w:tc>
      </w:tr>
    </w:tbl>
    <w:p w14:paraId="24B1FE2B" w14:textId="77777777" w:rsidR="002B430C" w:rsidRPr="00FD6931" w:rsidRDefault="002B430C" w:rsidP="002B430C">
      <w:pPr>
        <w:autoSpaceDE w:val="0"/>
        <w:autoSpaceDN w:val="0"/>
        <w:adjustRightInd w:val="0"/>
        <w:rPr>
          <w:rFonts w:ascii="Arial" w:hAnsi="Arial" w:cs="Arial"/>
          <w:sz w:val="22"/>
          <w:szCs w:val="22"/>
        </w:rPr>
      </w:pPr>
    </w:p>
    <w:p w14:paraId="5B708240" w14:textId="77777777" w:rsidR="002B430C" w:rsidRPr="0037404A" w:rsidRDefault="0053403E" w:rsidP="002B430C">
      <w:pPr>
        <w:pStyle w:val="Descripcin"/>
        <w:rPr>
          <w:rFonts w:ascii="Arial" w:hAnsi="Arial" w:cs="Arial"/>
          <w:b w:val="0"/>
          <w:i/>
          <w:noProof w:val="0"/>
          <w:szCs w:val="24"/>
          <w:u w:val="single"/>
          <w:lang w:val="es-ES_tradnl"/>
        </w:rPr>
      </w:pPr>
      <w:r>
        <w:rPr>
          <w:rFonts w:ascii="Arial" w:hAnsi="Arial" w:cs="Arial"/>
          <w:b w:val="0"/>
          <w:i/>
          <w:noProof w:val="0"/>
          <w:szCs w:val="24"/>
          <w:u w:val="single"/>
          <w:lang w:val="es-ES_tradnl"/>
        </w:rPr>
        <w:br w:type="column"/>
      </w:r>
      <w:r w:rsidR="002B430C" w:rsidRPr="0037404A">
        <w:rPr>
          <w:rFonts w:ascii="Arial" w:hAnsi="Arial" w:cs="Arial"/>
          <w:b w:val="0"/>
          <w:i/>
          <w:noProof w:val="0"/>
          <w:szCs w:val="24"/>
          <w:u w:val="single"/>
          <w:lang w:val="es-ES_tradnl"/>
        </w:rPr>
        <w:t>Características del sustrato</w:t>
      </w:r>
    </w:p>
    <w:p w14:paraId="0641A7CC" w14:textId="77777777" w:rsidR="002B430C" w:rsidRPr="00FD6931" w:rsidRDefault="002B430C" w:rsidP="00611EE6">
      <w:pPr>
        <w:pStyle w:val="NORMAL12"/>
      </w:pPr>
      <w:r w:rsidRPr="00FD6931">
        <w:t>Los materiales utilizados como sustrato en las señales y carteles verticales, tanto de empleo permanente como temporal, serán de acero galvanizado, excepto en pórticos y banderolas que será de aluminio extrusionado, de acuerdo con las características definidas, para cada uno de ellos, en el presente artículo:</w:t>
      </w:r>
    </w:p>
    <w:p w14:paraId="1FCEE8B8" w14:textId="77777777" w:rsidR="002B430C" w:rsidRPr="00FD6931" w:rsidRDefault="002B430C" w:rsidP="00611EE6">
      <w:pPr>
        <w:pStyle w:val="NORMAL12"/>
        <w:rPr>
          <w:i/>
          <w:u w:val="single"/>
        </w:rPr>
      </w:pPr>
      <w:r w:rsidRPr="00FD6931">
        <w:rPr>
          <w:i/>
          <w:u w:val="single"/>
        </w:rPr>
        <w:t>Carteles de lamas de aluminio</w:t>
      </w:r>
    </w:p>
    <w:p w14:paraId="5FC2A9BE" w14:textId="77777777" w:rsidR="002B430C" w:rsidRPr="00FD6931" w:rsidRDefault="002B430C" w:rsidP="00611EE6">
      <w:pPr>
        <w:pStyle w:val="NORMAL12"/>
      </w:pPr>
      <w:r w:rsidRPr="00FD6931">
        <w:t>Aluminio y aleaciones de aluminio: la aleación de aluminio utilizada para la fabricación de las lamas es la definida como aleación EN AW-6063 (EN-AW-AlMg0,7Si) UNE 38337.</w:t>
      </w:r>
    </w:p>
    <w:p w14:paraId="49F6C221" w14:textId="77777777" w:rsidR="002B430C" w:rsidRPr="00FD6931" w:rsidRDefault="002B430C" w:rsidP="00611EE6">
      <w:pPr>
        <w:pStyle w:val="NORMAL12"/>
      </w:pPr>
      <w:r w:rsidRPr="00FD6931">
        <w:t>El tratamiento de esta aleación ligera de aluminio es el definido con el símbolo T5 “de maduración artificial solamente” UNE 38002.</w:t>
      </w:r>
    </w:p>
    <w:p w14:paraId="1A82393E" w14:textId="77777777" w:rsidR="002B430C" w:rsidRPr="00FD6931" w:rsidRDefault="002B430C" w:rsidP="00611EE6">
      <w:pPr>
        <w:pStyle w:val="NORMAL12"/>
      </w:pPr>
      <w:r w:rsidRPr="00FD6931">
        <w:t>Lamas de aluminio: perfiles de aluminio fabricados mediante extrusión en caliente.</w:t>
      </w:r>
    </w:p>
    <w:p w14:paraId="10DABD6B" w14:textId="77777777" w:rsidR="002B430C" w:rsidRPr="00FD6931" w:rsidRDefault="002B430C" w:rsidP="00611EE6">
      <w:pPr>
        <w:pStyle w:val="NORMAL12"/>
      </w:pPr>
      <w:r w:rsidRPr="00FD6931">
        <w:t>Medidas nominales y tolerancias dimensionales: la lama de aluminio tiene en toda su configuración un espesor uniforme de 2,5 ± 0,2 mm y la altura de la cara vista plana y frontal, será de 175 ± 1 mm, UNE-EN 755-9.</w:t>
      </w:r>
    </w:p>
    <w:p w14:paraId="32A166B2" w14:textId="77777777" w:rsidR="002B430C" w:rsidRPr="00FD6931" w:rsidRDefault="002B430C" w:rsidP="00611EE6">
      <w:pPr>
        <w:pStyle w:val="NORMAL12"/>
      </w:pPr>
      <w:r w:rsidRPr="00FD6931">
        <w:t xml:space="preserve">Zona </w:t>
      </w:r>
      <w:proofErr w:type="spellStart"/>
      <w:r w:rsidRPr="00FD6931">
        <w:t>retrorreflectante</w:t>
      </w:r>
      <w:proofErr w:type="spellEnd"/>
      <w:r w:rsidRPr="00FD6931">
        <w:t xml:space="preserve">: cara frontal de la lama cuya superficie está constituida por una lámina adhesiva </w:t>
      </w:r>
      <w:proofErr w:type="spellStart"/>
      <w:r w:rsidRPr="00FD6931">
        <w:t>retrorreflectante</w:t>
      </w:r>
      <w:proofErr w:type="spellEnd"/>
      <w:r w:rsidRPr="00FD6931">
        <w:t xml:space="preserve"> y cumple la norma UNE-EN 12899-1</w:t>
      </w:r>
      <w:r w:rsidR="00555266" w:rsidRPr="00FD6931">
        <w:t>: 2009</w:t>
      </w:r>
      <w:r w:rsidRPr="00FD6931">
        <w:t>.</w:t>
      </w:r>
    </w:p>
    <w:p w14:paraId="74ED96AC" w14:textId="77777777" w:rsidR="002B430C" w:rsidRPr="00FD6931" w:rsidRDefault="002B430C" w:rsidP="00611EE6">
      <w:pPr>
        <w:pStyle w:val="NORMAL12"/>
      </w:pPr>
      <w:r w:rsidRPr="00FD6931">
        <w:t xml:space="preserve">Anclajes: alojados en una de las alas del perfil y apretados mediante tornillo sobre los postes de sustentación. Cumple lo especificado en la norma </w:t>
      </w:r>
      <w:r w:rsidR="00555266" w:rsidRPr="00FD6931">
        <w:t>UNE-EN 12899-1: 2009</w:t>
      </w:r>
      <w:r w:rsidRPr="00FD6931">
        <w:t>.</w:t>
      </w:r>
    </w:p>
    <w:p w14:paraId="59BA46C9" w14:textId="77777777" w:rsidR="002B430C" w:rsidRPr="00FD6931" w:rsidRDefault="002B430C" w:rsidP="00611EE6">
      <w:pPr>
        <w:pStyle w:val="NORMAL12"/>
        <w:rPr>
          <w:i/>
          <w:u w:val="single"/>
        </w:rPr>
      </w:pPr>
      <w:r w:rsidRPr="00FD6931">
        <w:rPr>
          <w:i/>
          <w:u w:val="single"/>
        </w:rPr>
        <w:t>Carteles de lamas de acero galvanizado</w:t>
      </w:r>
    </w:p>
    <w:p w14:paraId="5A3A6210" w14:textId="77777777" w:rsidR="002B430C" w:rsidRPr="00611EE6" w:rsidRDefault="002B430C" w:rsidP="00611EE6">
      <w:pPr>
        <w:pStyle w:val="NORMAL12"/>
      </w:pPr>
      <w:r w:rsidRPr="00FD6931">
        <w:t xml:space="preserve">Acero: el acero base utilizado en la fabricación de las lamas es de los tipos designados como DX51D </w:t>
      </w:r>
      <w:r w:rsidR="00EF277D" w:rsidRPr="00FD6931">
        <w:t>o</w:t>
      </w:r>
      <w:r w:rsidRPr="00FD6931">
        <w:t xml:space="preserve"> DX52D UNE-EN 10346.</w:t>
      </w:r>
    </w:p>
    <w:p w14:paraId="0CD0DFE0" w14:textId="77777777" w:rsidR="002B430C" w:rsidRPr="00611EE6" w:rsidRDefault="002B430C" w:rsidP="00611EE6">
      <w:pPr>
        <w:pStyle w:val="NORMAL12"/>
      </w:pPr>
      <w:r w:rsidRPr="00611EE6">
        <w:t>Baño de cinc: el baño utilizado en la galvanización tiene un contenido en cinc &gt;= al 99%.</w:t>
      </w:r>
    </w:p>
    <w:p w14:paraId="4429429B" w14:textId="77777777" w:rsidR="002B430C" w:rsidRPr="00611EE6" w:rsidRDefault="002B430C" w:rsidP="00611EE6">
      <w:pPr>
        <w:pStyle w:val="NORMAL12"/>
      </w:pPr>
      <w:r w:rsidRPr="00611EE6">
        <w:t xml:space="preserve">Espesor de la lama de acero: 1,20 mm ± 0,20 </w:t>
      </w:r>
      <w:proofErr w:type="spellStart"/>
      <w:r w:rsidRPr="00611EE6">
        <w:t>mm.</w:t>
      </w:r>
      <w:proofErr w:type="spellEnd"/>
    </w:p>
    <w:p w14:paraId="7DED10EB" w14:textId="77777777" w:rsidR="002B430C" w:rsidRPr="00611EE6" w:rsidRDefault="002B430C" w:rsidP="00611EE6">
      <w:pPr>
        <w:pStyle w:val="NORMAL12"/>
      </w:pPr>
      <w:r w:rsidRPr="00611EE6">
        <w:t>Masa y espesor del recubrimiento de cinc: la masa mínima del recubrimiento del galvanizado será, contadas ambas caras de la chapa, de 235 g/m</w:t>
      </w:r>
      <w:r w:rsidRPr="00241CBC">
        <w:rPr>
          <w:vertAlign w:val="superscript"/>
        </w:rPr>
        <w:t>2</w:t>
      </w:r>
      <w:r w:rsidRPr="00611EE6">
        <w:t>, lo que equivale a un espesor del recubrimiento de 16,5 µm UNE-EN 10346.</w:t>
      </w:r>
    </w:p>
    <w:p w14:paraId="0AAEF4B2" w14:textId="77777777" w:rsidR="002B430C" w:rsidRPr="00FD6931" w:rsidRDefault="002B430C" w:rsidP="00611EE6">
      <w:pPr>
        <w:pStyle w:val="NORMAL12"/>
      </w:pPr>
      <w:r w:rsidRPr="00611EE6">
        <w:t xml:space="preserve">Zona </w:t>
      </w:r>
      <w:proofErr w:type="spellStart"/>
      <w:r w:rsidRPr="00611EE6">
        <w:t>retrorreflectante</w:t>
      </w:r>
      <w:proofErr w:type="spellEnd"/>
      <w:r w:rsidRPr="00611EE6">
        <w:t xml:space="preserve">: cara frontal de la lama cuya superficie está constituida por una lámina adhesiva </w:t>
      </w:r>
      <w:proofErr w:type="spellStart"/>
      <w:r w:rsidRPr="00611EE6">
        <w:t>retrorreflectante</w:t>
      </w:r>
      <w:proofErr w:type="spellEnd"/>
      <w:r w:rsidRPr="00611EE6">
        <w:t xml:space="preserve"> y </w:t>
      </w:r>
      <w:r w:rsidRPr="00FD6931">
        <w:t xml:space="preserve">cumple la norma </w:t>
      </w:r>
      <w:r w:rsidR="00555266" w:rsidRPr="00FD6931">
        <w:t>UNE-EN 12899-1: 2009</w:t>
      </w:r>
      <w:r w:rsidRPr="00FD6931">
        <w:t>.</w:t>
      </w:r>
    </w:p>
    <w:p w14:paraId="74EE04BC" w14:textId="77777777" w:rsidR="002B430C" w:rsidRPr="00FD6931" w:rsidRDefault="002B430C" w:rsidP="00611EE6">
      <w:pPr>
        <w:pStyle w:val="NORMAL12"/>
      </w:pPr>
      <w:r w:rsidRPr="00FD6931">
        <w:lastRenderedPageBreak/>
        <w:t xml:space="preserve">Anclajes: alojados en una de las alas del perfil y apretados mediante tornillo sobre los postes de sustentación según la norma </w:t>
      </w:r>
      <w:r w:rsidR="00555266" w:rsidRPr="00FD6931">
        <w:t>UNE-EN 12899-1: 2009</w:t>
      </w:r>
      <w:r w:rsidRPr="00FD6931">
        <w:t>.</w:t>
      </w:r>
    </w:p>
    <w:p w14:paraId="6A38A9B7" w14:textId="77777777" w:rsidR="002B430C" w:rsidRPr="00FD6931" w:rsidRDefault="002B430C" w:rsidP="0085450C">
      <w:pPr>
        <w:pStyle w:val="NORMAL12"/>
      </w:pPr>
      <w:r w:rsidRPr="00FD6931">
        <w:t xml:space="preserve">El empleo de sustratos de naturaleza diferente, así como la utilización de chapa de aluminio distinta a lo especificado en el presente artículo, quedará sometida a la aprobación del </w:t>
      </w:r>
      <w:proofErr w:type="gramStart"/>
      <w:r w:rsidRPr="00FD6931">
        <w:t>Director</w:t>
      </w:r>
      <w:proofErr w:type="gramEnd"/>
      <w:r w:rsidRPr="00FD6931">
        <w:t xml:space="preserve"> de las Obras previa presentación, por parte del Contratista, del certificado acreditativo del cumplimiento de las especificaciones técnicas obligatorias y/o del documento acreditativo del reconocimiento de la marca, sello o distintivo de calidad (702.11).</w:t>
      </w:r>
    </w:p>
    <w:p w14:paraId="1AD3B06B" w14:textId="77777777" w:rsidR="002B430C" w:rsidRPr="00FD6931" w:rsidRDefault="002B430C" w:rsidP="0085450C">
      <w:pPr>
        <w:pStyle w:val="NORMAL12"/>
      </w:pPr>
      <w:r w:rsidRPr="00FD6931">
        <w:t>Las placas de chapa de acero galvanizado, las lamas de acero galvanizado y las lamas de aluminio, utilizadas como sustratos en las señales y carteles verticales metálicos de circulación, cumplirán los requisitos especificados en las UNE 135 313, UNE 135 320</w:t>
      </w:r>
      <w:r w:rsidR="00611EE6" w:rsidRPr="00FD6931">
        <w:t xml:space="preserve"> y</w:t>
      </w:r>
      <w:r w:rsidRPr="00FD6931">
        <w:t xml:space="preserve"> UNE 135 321, que les sean de aplicación.</w:t>
      </w:r>
    </w:p>
    <w:p w14:paraId="4623B1AB" w14:textId="77777777" w:rsidR="00555266" w:rsidRPr="00FD6931" w:rsidRDefault="002B430C" w:rsidP="0085450C">
      <w:pPr>
        <w:pStyle w:val="NORMAL12"/>
      </w:pPr>
      <w:r w:rsidRPr="00FD6931">
        <w:t xml:space="preserve">El sustrato de las señales y carteles verticales de circulación cumplirán con lo indicado en la norma </w:t>
      </w:r>
      <w:r w:rsidR="00555266" w:rsidRPr="00FD6931">
        <w:t>UNE-EN 12899-1: 2009.</w:t>
      </w:r>
    </w:p>
    <w:p w14:paraId="6263BAD2" w14:textId="77777777" w:rsidR="002B430C" w:rsidRPr="00FD6931" w:rsidRDefault="002B430C" w:rsidP="0085450C">
      <w:pPr>
        <w:pStyle w:val="NORMAL12"/>
        <w:rPr>
          <w:i/>
          <w:u w:val="single"/>
        </w:rPr>
      </w:pPr>
      <w:r w:rsidRPr="00FD6931">
        <w:t xml:space="preserve"> </w:t>
      </w:r>
      <w:r w:rsidRPr="00FD6931">
        <w:rPr>
          <w:i/>
          <w:u w:val="single"/>
        </w:rPr>
        <w:t xml:space="preserve">Zona </w:t>
      </w:r>
      <w:proofErr w:type="spellStart"/>
      <w:r w:rsidRPr="00FD6931">
        <w:rPr>
          <w:i/>
          <w:u w:val="single"/>
        </w:rPr>
        <w:t>retrorreflectante</w:t>
      </w:r>
      <w:proofErr w:type="spellEnd"/>
    </w:p>
    <w:p w14:paraId="2702F1FE" w14:textId="77777777" w:rsidR="002B430C" w:rsidRPr="00FD6931" w:rsidRDefault="002B430C" w:rsidP="0085450C">
      <w:pPr>
        <w:pStyle w:val="NORMAL12"/>
      </w:pPr>
      <w:r w:rsidRPr="00FD6931">
        <w:t xml:space="preserve">En señales y carteles verticales de circulación </w:t>
      </w:r>
      <w:proofErr w:type="spellStart"/>
      <w:r w:rsidRPr="00FD6931">
        <w:t>retrorreflectantes</w:t>
      </w:r>
      <w:proofErr w:type="spellEnd"/>
      <w:r w:rsidRPr="00FD6931">
        <w:t xml:space="preserve"> las características iniciales que cumplirán sus zonas </w:t>
      </w:r>
      <w:proofErr w:type="spellStart"/>
      <w:r w:rsidRPr="00FD6931">
        <w:t>retrorreflectantes</w:t>
      </w:r>
      <w:proofErr w:type="spellEnd"/>
      <w:r w:rsidRPr="00FD6931">
        <w:t xml:space="preserve"> serán las indicadas en </w:t>
      </w:r>
      <w:r w:rsidR="00611EE6" w:rsidRPr="00FD6931">
        <w:t xml:space="preserve">la norma </w:t>
      </w:r>
      <w:r w:rsidRPr="00FD6931">
        <w:t>UNE-EN 12899-1. Las características de las señales y carteles serán las especificadas en la Tabla 701.1. Cuando la señal o cartel de circulación sea de clase de retrorreflexión RA3, se aplicará se aplicará lo indicado en la norma UNE 135340</w:t>
      </w:r>
      <w:r w:rsidR="00555266" w:rsidRPr="00FD6931">
        <w:t>: 2017</w:t>
      </w:r>
      <w:r w:rsidRPr="00FD6931">
        <w:t>.</w:t>
      </w:r>
    </w:p>
    <w:p w14:paraId="370A5FBC" w14:textId="77777777" w:rsidR="002B430C" w:rsidRPr="00FD6931" w:rsidRDefault="002B430C" w:rsidP="0085450C">
      <w:pPr>
        <w:pStyle w:val="NORMAL12"/>
      </w:pPr>
      <w:r w:rsidRPr="00FD6931">
        <w:t>Los niveles de retrorreflexión exigidos a los carteles son los indicados en la definición de las unidades de obra correspondientes, atendiendo a la nomenclatura de la vigente instrucción 8.1 IC aprobada por orden FOM/534/2014.</w:t>
      </w:r>
      <w:r w:rsidR="00AE4107" w:rsidRPr="00FD6931">
        <w:t xml:space="preserve"> Se emplean </w:t>
      </w:r>
    </w:p>
    <w:p w14:paraId="24078D8F" w14:textId="77777777" w:rsidR="002B430C" w:rsidRPr="00FD6931" w:rsidRDefault="002B430C" w:rsidP="0085450C">
      <w:pPr>
        <w:pStyle w:val="NORMAL12"/>
      </w:pPr>
      <w:r w:rsidRPr="00FD6931">
        <w:t xml:space="preserve">Las características fotométricas y colorimétricas iniciales correspondientes a las zonas </w:t>
      </w:r>
      <w:proofErr w:type="spellStart"/>
      <w:r w:rsidRPr="00FD6931">
        <w:t>retrorreflectantes</w:t>
      </w:r>
      <w:proofErr w:type="spellEnd"/>
      <w:r w:rsidRPr="00FD6931">
        <w:t xml:space="preserve"> son las indicadas en el apartado de parámetros de aceptación final de este Artículo.</w:t>
      </w:r>
    </w:p>
    <w:p w14:paraId="50CE6DC1" w14:textId="77777777" w:rsidR="00AE4107" w:rsidRPr="00FD6931" w:rsidRDefault="00AE4107" w:rsidP="00AE4107">
      <w:pPr>
        <w:pStyle w:val="NORMAL12"/>
      </w:pPr>
      <w:r w:rsidRPr="00FD6931">
        <w:t xml:space="preserve">El nivel de </w:t>
      </w:r>
      <w:proofErr w:type="spellStart"/>
      <w:r w:rsidRPr="00FD6931">
        <w:t>retrorreflectancia</w:t>
      </w:r>
      <w:proofErr w:type="spellEnd"/>
      <w:r w:rsidRPr="00FD6931">
        <w:t xml:space="preserve"> exigido para el proyecto es RA3 ZB recomendada para especificar materiales </w:t>
      </w:r>
      <w:proofErr w:type="spellStart"/>
      <w:r w:rsidRPr="00FD6931">
        <w:t>retrorreflectantes</w:t>
      </w:r>
      <w:proofErr w:type="spellEnd"/>
      <w:r w:rsidRPr="00FD6931">
        <w:t xml:space="preserve"> a utilizar en entornos complejos (glorietas, intersecciones, etc.), tramos periurbanos y en carteles y paneles complementarios en tramos interurbanos de carreteras convencionales.</w:t>
      </w:r>
    </w:p>
    <w:p w14:paraId="1A5577E8" w14:textId="77777777" w:rsidR="002B430C" w:rsidRPr="00FD6931" w:rsidRDefault="002B430C" w:rsidP="0085450C">
      <w:pPr>
        <w:pStyle w:val="NORMAL12"/>
        <w:rPr>
          <w:i/>
          <w:u w:val="single"/>
        </w:rPr>
      </w:pPr>
      <w:r w:rsidRPr="00FD6931">
        <w:rPr>
          <w:i/>
          <w:u w:val="single"/>
        </w:rPr>
        <w:t xml:space="preserve">Zona no </w:t>
      </w:r>
      <w:proofErr w:type="spellStart"/>
      <w:r w:rsidRPr="00FD6931">
        <w:rPr>
          <w:i/>
          <w:u w:val="single"/>
        </w:rPr>
        <w:t>retrorreflectante</w:t>
      </w:r>
      <w:proofErr w:type="spellEnd"/>
    </w:p>
    <w:p w14:paraId="5BE5BD3F" w14:textId="77777777" w:rsidR="002B430C" w:rsidRPr="00FD6931" w:rsidRDefault="002B430C" w:rsidP="0085450C">
      <w:pPr>
        <w:pStyle w:val="NORMAL12"/>
      </w:pPr>
      <w:r w:rsidRPr="00FD6931">
        <w:t xml:space="preserve">Los materiales no </w:t>
      </w:r>
      <w:proofErr w:type="spellStart"/>
      <w:r w:rsidRPr="00FD6931">
        <w:t>retrorreflectantes</w:t>
      </w:r>
      <w:proofErr w:type="spellEnd"/>
      <w:r w:rsidRPr="00FD6931">
        <w:t xml:space="preserve"> de las señales y carteles verticales de circulación podrán ser, indistintamente, pinturas o láminas no </w:t>
      </w:r>
      <w:proofErr w:type="spellStart"/>
      <w:r w:rsidRPr="00FD6931">
        <w:t>retrorreflectantes</w:t>
      </w:r>
      <w:proofErr w:type="spellEnd"/>
      <w:r w:rsidRPr="00FD6931">
        <w:t>.</w:t>
      </w:r>
    </w:p>
    <w:p w14:paraId="1799FC0C" w14:textId="77777777" w:rsidR="002B430C" w:rsidRDefault="002B430C" w:rsidP="0085450C">
      <w:pPr>
        <w:pStyle w:val="NORMAL12"/>
      </w:pPr>
      <w:r w:rsidRPr="00FD6931">
        <w:t xml:space="preserve">La citada zona no </w:t>
      </w:r>
      <w:proofErr w:type="spellStart"/>
      <w:r w:rsidRPr="00FD6931">
        <w:t>retrorreflectante</w:t>
      </w:r>
      <w:proofErr w:type="spellEnd"/>
      <w:r w:rsidRPr="00FD6931">
        <w:t xml:space="preserve"> cumplirá, inicialmente y con independencia del material empleado, las características indicadas en la UNE 135 332.</w:t>
      </w:r>
    </w:p>
    <w:p w14:paraId="096709E4" w14:textId="77777777" w:rsidR="002B430C" w:rsidRPr="00FD6931" w:rsidRDefault="002B430C" w:rsidP="0085450C">
      <w:pPr>
        <w:pStyle w:val="NORMAL12"/>
        <w:rPr>
          <w:i/>
          <w:u w:val="single"/>
        </w:rPr>
      </w:pPr>
      <w:r w:rsidRPr="00FD6931">
        <w:rPr>
          <w:i/>
          <w:u w:val="single"/>
        </w:rPr>
        <w:t>Elementos de sustentación y anclajes</w:t>
      </w:r>
    </w:p>
    <w:p w14:paraId="50F325C7" w14:textId="77777777" w:rsidR="002B430C" w:rsidRPr="00FD6931" w:rsidRDefault="002B430C" w:rsidP="0085450C">
      <w:pPr>
        <w:pStyle w:val="NORMAL12"/>
      </w:pPr>
      <w:r w:rsidRPr="00FD6931">
        <w:t>El comportamiento estructural de las señales y carteles verticales de circulación (excepto pórticos y banderolas) cumplirá lo indicado por la norma UNE-EN 12899-1</w:t>
      </w:r>
      <w:r w:rsidR="00555266" w:rsidRPr="00FD6931">
        <w:t>: 2009</w:t>
      </w:r>
      <w:r w:rsidRPr="00FD6931">
        <w:t>.</w:t>
      </w:r>
    </w:p>
    <w:p w14:paraId="1AFD14BE" w14:textId="77777777" w:rsidR="002B430C" w:rsidRPr="00FD6931" w:rsidRDefault="002B430C" w:rsidP="0085450C">
      <w:pPr>
        <w:pStyle w:val="NORMAL12"/>
      </w:pPr>
      <w:r w:rsidRPr="00FD6931">
        <w:t xml:space="preserve"> Los coeficientes parciales de seguridad empleados para las cargas serán los correspondientes a la clase PAF 2. </w:t>
      </w:r>
    </w:p>
    <w:p w14:paraId="7A118181" w14:textId="77777777" w:rsidR="002B430C" w:rsidRPr="00FD6931" w:rsidRDefault="002B430C" w:rsidP="0085450C">
      <w:pPr>
        <w:pStyle w:val="NORMAL12"/>
      </w:pPr>
      <w:r w:rsidRPr="00FD6931">
        <w:t>Las estructuras de pórticos y banderolas cumplirán lo especificado en la norma UNE</w:t>
      </w:r>
      <w:r w:rsidR="00555266" w:rsidRPr="00FD6931">
        <w:t>-</w:t>
      </w:r>
      <w:r w:rsidRPr="00FD6931">
        <w:t>EN 1090-1</w:t>
      </w:r>
      <w:r w:rsidR="00555266" w:rsidRPr="00FD6931">
        <w:t>: 2011+A1: 2012</w:t>
      </w:r>
      <w:r w:rsidRPr="00FD6931">
        <w:t xml:space="preserve"> y serán conformes a lo indicado en la norma UNE 135311</w:t>
      </w:r>
      <w:r w:rsidR="00555266" w:rsidRPr="00FD6931">
        <w:t>: 2013</w:t>
      </w:r>
      <w:r w:rsidRPr="00FD6931">
        <w:t xml:space="preserve">. </w:t>
      </w:r>
    </w:p>
    <w:p w14:paraId="0CA232D1" w14:textId="77777777" w:rsidR="002B430C" w:rsidRPr="00FD6931" w:rsidRDefault="002B430C" w:rsidP="0085450C">
      <w:pPr>
        <w:pStyle w:val="NORMAL12"/>
      </w:pPr>
      <w:r w:rsidRPr="00FD6931">
        <w:t xml:space="preserve">Los soportes y anclajes tanto de señales y carteles como de los pórticos y </w:t>
      </w:r>
      <w:proofErr w:type="gramStart"/>
      <w:r w:rsidRPr="00FD6931">
        <w:t>banderolas,</w:t>
      </w:r>
      <w:proofErr w:type="gramEnd"/>
      <w:r w:rsidRPr="00FD6931">
        <w:t xml:space="preserve"> estarán de acuerdo con los criterios de implantación y las dimensiones de la vigente Norma 8.1-IC "Señalización vertical".</w:t>
      </w:r>
    </w:p>
    <w:p w14:paraId="458446A1" w14:textId="77777777" w:rsidR="002B430C" w:rsidRPr="00FD6931" w:rsidRDefault="002B430C" w:rsidP="00E01981">
      <w:pPr>
        <w:pStyle w:val="NORMAL12"/>
        <w:numPr>
          <w:ilvl w:val="0"/>
          <w:numId w:val="120"/>
        </w:numPr>
      </w:pPr>
      <w:r w:rsidRPr="00FD6931">
        <w:t>Carteles construidos en lamas de perfil de acero galvanizado</w:t>
      </w:r>
    </w:p>
    <w:p w14:paraId="7E966BFF" w14:textId="77777777" w:rsidR="002B430C" w:rsidRPr="0085450C" w:rsidRDefault="002B430C" w:rsidP="00E01981">
      <w:pPr>
        <w:pStyle w:val="NORMAL12"/>
        <w:numPr>
          <w:ilvl w:val="1"/>
          <w:numId w:val="120"/>
        </w:numPr>
      </w:pPr>
      <w:r w:rsidRPr="0085450C">
        <w:t>Los elementos de anclaje deberán tener las dimensiones, características y formas de los tipos 1 y 2 especificadas en la norma UNE 135312</w:t>
      </w:r>
    </w:p>
    <w:p w14:paraId="6BBA09D9" w14:textId="77777777" w:rsidR="002B430C" w:rsidRPr="0085450C" w:rsidRDefault="002B430C" w:rsidP="00E01981">
      <w:pPr>
        <w:pStyle w:val="NORMAL12"/>
        <w:numPr>
          <w:ilvl w:val="1"/>
          <w:numId w:val="120"/>
        </w:numPr>
      </w:pPr>
      <w:r w:rsidRPr="0085450C">
        <w:t>El espesor mínimo del acero empleado para su construcción será de 4 mm, galvanizado en caliente</w:t>
      </w:r>
    </w:p>
    <w:p w14:paraId="5B18BF8B" w14:textId="77777777" w:rsidR="002B430C" w:rsidRPr="0085450C" w:rsidRDefault="002B430C" w:rsidP="00E01981">
      <w:pPr>
        <w:pStyle w:val="NORMAL12"/>
        <w:numPr>
          <w:ilvl w:val="1"/>
          <w:numId w:val="120"/>
        </w:numPr>
      </w:pPr>
      <w:r w:rsidRPr="0085450C">
        <w:t>La sujeción de los elementos de anclaje al poste se verificará con tornillería y arandelas inoxidables calidad AISI 304 (tornillo de M8x30 con tuerca y arandela M8 en los anclajes centrales de unión entre lamas al poste y tornillo M8x40 con tuerca y arandela M8 en los anclajes para la sujeción de las lamas extremas del cartel al poste).</w:t>
      </w:r>
    </w:p>
    <w:p w14:paraId="5F791F1F" w14:textId="77777777" w:rsidR="002B430C" w:rsidRPr="0085450C" w:rsidRDefault="002B430C" w:rsidP="00E01981">
      <w:pPr>
        <w:pStyle w:val="NORMAL12"/>
        <w:numPr>
          <w:ilvl w:val="0"/>
          <w:numId w:val="120"/>
        </w:numPr>
      </w:pPr>
      <w:r w:rsidRPr="0085450C">
        <w:t>Carteles construidos en lamas de perfil de aluminio obtenido por extrusión</w:t>
      </w:r>
    </w:p>
    <w:p w14:paraId="44ABCA1E" w14:textId="77777777" w:rsidR="002B430C" w:rsidRPr="0085450C" w:rsidRDefault="002B430C" w:rsidP="00E01981">
      <w:pPr>
        <w:pStyle w:val="NORMAL12"/>
        <w:numPr>
          <w:ilvl w:val="1"/>
          <w:numId w:val="120"/>
        </w:numPr>
      </w:pPr>
      <w:r w:rsidRPr="0085450C">
        <w:t>Los elementos de anclaje deberán tener la calidad, dimensiones y formas especificadas en la norma UNE 135321. La longitud del anclaje será de 25 mm ± 5. Irán provistos de un taladro de 9 mm de diámetro en el centro de su cara plana.</w:t>
      </w:r>
    </w:p>
    <w:p w14:paraId="0D75C348" w14:textId="77777777" w:rsidR="002B430C" w:rsidRPr="0085450C" w:rsidRDefault="002B430C" w:rsidP="00E01981">
      <w:pPr>
        <w:pStyle w:val="NORMAL12"/>
        <w:numPr>
          <w:ilvl w:val="1"/>
          <w:numId w:val="120"/>
        </w:numPr>
      </w:pPr>
      <w:r w:rsidRPr="0085450C">
        <w:lastRenderedPageBreak/>
        <w:t>La sujeción de los elementos de anclaje al poste se verificará con tornillería y arandelas de acero galvanizado (tornillo de M8x40, cabeza redonda y cuello cuadrado, con tuerca y arandela M8).</w:t>
      </w:r>
    </w:p>
    <w:p w14:paraId="79D16796" w14:textId="77777777" w:rsidR="002B430C" w:rsidRPr="0085450C" w:rsidRDefault="002B430C" w:rsidP="00E01981">
      <w:pPr>
        <w:pStyle w:val="NORMAL12"/>
        <w:numPr>
          <w:ilvl w:val="0"/>
          <w:numId w:val="120"/>
        </w:numPr>
      </w:pPr>
      <w:r w:rsidRPr="0085450C">
        <w:t>Postes para sustentación de carteles laterales de lamas de acero galvanizado o lamas de aluminio extrusionado</w:t>
      </w:r>
    </w:p>
    <w:p w14:paraId="717FDBCD" w14:textId="77777777" w:rsidR="002B430C" w:rsidRDefault="002B430C" w:rsidP="00E01981">
      <w:pPr>
        <w:pStyle w:val="NORMAL12"/>
        <w:numPr>
          <w:ilvl w:val="0"/>
          <w:numId w:val="120"/>
        </w:numPr>
      </w:pPr>
      <w:r w:rsidRPr="0085450C">
        <w:t>Los postes deberán estar galvanizados por inmersión en baño de cinc fundido, en operación posterior a su mecanizado.</w:t>
      </w:r>
    </w:p>
    <w:p w14:paraId="5120407B" w14:textId="77777777" w:rsidR="002B430C" w:rsidRDefault="002B430C" w:rsidP="000313DD">
      <w:pPr>
        <w:pStyle w:val="TITU2"/>
      </w:pPr>
      <w:bookmarkStart w:id="1101" w:name="_Toc492538100"/>
      <w:bookmarkStart w:id="1102" w:name="_Toc406696833"/>
      <w:bookmarkStart w:id="1103" w:name="_Toc405484972"/>
      <w:bookmarkStart w:id="1104" w:name="_Toc404570"/>
      <w:r w:rsidRPr="00883387">
        <w:t>701.</w:t>
      </w:r>
      <w:r w:rsidR="0037404A">
        <w:t>4</w:t>
      </w:r>
      <w:r w:rsidRPr="00883387">
        <w:t xml:space="preserve">. Especificaciones de la </w:t>
      </w:r>
      <w:r w:rsidR="00A8316A">
        <w:t>unidad t</w:t>
      </w:r>
      <w:r w:rsidRPr="00883387">
        <w:t>erminada</w:t>
      </w:r>
      <w:bookmarkEnd w:id="1101"/>
      <w:bookmarkEnd w:id="1102"/>
      <w:bookmarkEnd w:id="1103"/>
      <w:bookmarkEnd w:id="1104"/>
    </w:p>
    <w:p w14:paraId="5D569602" w14:textId="77777777" w:rsidR="0037404A" w:rsidRPr="0037404A" w:rsidRDefault="0037404A" w:rsidP="0037404A">
      <w:pPr>
        <w:pStyle w:val="NORMAL12"/>
        <w:rPr>
          <w:lang w:val="es-ES"/>
        </w:rPr>
      </w:pPr>
      <w:r>
        <w:rPr>
          <w:lang w:val="es-ES"/>
        </w:rPr>
        <w:t>Se cumplirá en todo caso lo establecido en el apartado 701.4 del PG-3 salvo prescripción en contra de este apartado.</w:t>
      </w:r>
    </w:p>
    <w:p w14:paraId="5DC5B712" w14:textId="77777777" w:rsidR="002B430C" w:rsidRPr="00A8316A" w:rsidRDefault="002B430C" w:rsidP="006F44FD">
      <w:pPr>
        <w:pStyle w:val="Ttulo3"/>
        <w:rPr>
          <w:sz w:val="24"/>
          <w:szCs w:val="24"/>
        </w:rPr>
      </w:pPr>
      <w:bookmarkStart w:id="1105" w:name="_Toc492538101"/>
      <w:bookmarkStart w:id="1106" w:name="_Toc406696834"/>
      <w:bookmarkStart w:id="1107" w:name="_Toc405484973"/>
      <w:r w:rsidRPr="00A8316A">
        <w:rPr>
          <w:sz w:val="24"/>
          <w:szCs w:val="24"/>
        </w:rPr>
        <w:t>701.</w:t>
      </w:r>
      <w:r w:rsidR="0037404A">
        <w:rPr>
          <w:sz w:val="24"/>
          <w:szCs w:val="24"/>
        </w:rPr>
        <w:t>4</w:t>
      </w:r>
      <w:r w:rsidRPr="00A8316A">
        <w:rPr>
          <w:sz w:val="24"/>
          <w:szCs w:val="24"/>
        </w:rPr>
        <w:t>.1.</w:t>
      </w:r>
      <w:r w:rsidR="00883387" w:rsidRPr="00A8316A">
        <w:rPr>
          <w:sz w:val="24"/>
          <w:szCs w:val="24"/>
        </w:rPr>
        <w:t xml:space="preserve"> </w:t>
      </w:r>
      <w:r w:rsidRPr="00A8316A">
        <w:rPr>
          <w:sz w:val="24"/>
          <w:szCs w:val="24"/>
        </w:rPr>
        <w:t xml:space="preserve">Zona </w:t>
      </w:r>
      <w:proofErr w:type="spellStart"/>
      <w:r w:rsidRPr="00A8316A">
        <w:rPr>
          <w:sz w:val="24"/>
          <w:szCs w:val="24"/>
        </w:rPr>
        <w:t>retrorreflectante</w:t>
      </w:r>
      <w:bookmarkEnd w:id="1105"/>
      <w:bookmarkEnd w:id="1106"/>
      <w:bookmarkEnd w:id="1107"/>
      <w:proofErr w:type="spellEnd"/>
    </w:p>
    <w:p w14:paraId="050D2068" w14:textId="77777777" w:rsidR="002B430C" w:rsidRPr="006F44FD" w:rsidRDefault="002B430C" w:rsidP="001622F9">
      <w:pPr>
        <w:rPr>
          <w:rFonts w:ascii="Arial" w:hAnsi="Arial" w:cs="Arial"/>
          <w:i/>
          <w:u w:val="single"/>
        </w:rPr>
      </w:pPr>
      <w:r w:rsidRPr="006F44FD">
        <w:rPr>
          <w:rFonts w:ascii="Arial" w:hAnsi="Arial" w:cs="Arial"/>
          <w:i/>
          <w:u w:val="single"/>
        </w:rPr>
        <w:t>701.</w:t>
      </w:r>
      <w:r w:rsidR="0037404A">
        <w:rPr>
          <w:rFonts w:ascii="Arial" w:hAnsi="Arial" w:cs="Arial"/>
          <w:i/>
          <w:u w:val="single"/>
        </w:rPr>
        <w:t>4</w:t>
      </w:r>
      <w:r w:rsidRPr="006F44FD">
        <w:rPr>
          <w:rFonts w:ascii="Arial" w:hAnsi="Arial" w:cs="Arial"/>
          <w:i/>
          <w:u w:val="single"/>
        </w:rPr>
        <w:t>.1.1</w:t>
      </w:r>
      <w:r w:rsidR="00D93E76" w:rsidRPr="006F44FD">
        <w:rPr>
          <w:rFonts w:ascii="Arial" w:hAnsi="Arial" w:cs="Arial"/>
          <w:i/>
          <w:u w:val="single"/>
        </w:rPr>
        <w:t>. Características</w:t>
      </w:r>
      <w:r w:rsidRPr="006F44FD">
        <w:rPr>
          <w:rFonts w:ascii="Arial" w:hAnsi="Arial" w:cs="Arial"/>
          <w:i/>
          <w:u w:val="single"/>
        </w:rPr>
        <w:t xml:space="preserve"> fotométricas</w:t>
      </w:r>
    </w:p>
    <w:p w14:paraId="63A0FAB7" w14:textId="77777777" w:rsidR="002B430C" w:rsidRPr="00A8316A" w:rsidRDefault="002B430C" w:rsidP="0040317B">
      <w:pPr>
        <w:pStyle w:val="NORMAL12"/>
      </w:pPr>
      <w:r w:rsidRPr="00A8316A">
        <w:t xml:space="preserve">Durante el periodo de garantía de las señales y carteles verticales, el coeficiente de retrorreflexión para los elementos </w:t>
      </w:r>
      <w:proofErr w:type="spellStart"/>
      <w:r w:rsidRPr="00A8316A">
        <w:t>retrorreflectantes</w:t>
      </w:r>
      <w:proofErr w:type="spellEnd"/>
      <w:r w:rsidRPr="00A8316A">
        <w:t xml:space="preserve"> de niveles 1 y 2 serán los indicados en la tabla 701.4. del PG-3.</w:t>
      </w:r>
    </w:p>
    <w:p w14:paraId="31BF1C84" w14:textId="77777777" w:rsidR="002B430C" w:rsidRPr="00A8316A" w:rsidRDefault="0040317B" w:rsidP="0040317B">
      <w:pPr>
        <w:pStyle w:val="NORMAL12"/>
      </w:pPr>
      <w:r w:rsidRPr="00A8316A">
        <w:t>Durante el periodo de garantía de las señales y carteles verticales e</w:t>
      </w:r>
      <w:r w:rsidR="002B430C" w:rsidRPr="00A8316A">
        <w:t xml:space="preserve">n el caso de elementos </w:t>
      </w:r>
      <w:proofErr w:type="spellStart"/>
      <w:r w:rsidR="002B430C" w:rsidRPr="00A8316A">
        <w:t>retrorreflectantes</w:t>
      </w:r>
      <w:proofErr w:type="spellEnd"/>
      <w:r w:rsidR="002B430C" w:rsidRPr="00A8316A">
        <w:t xml:space="preserve"> de nivel 3 (RA3), se exigirá que el coeficiente de retrorreflexión durante el periodo de garantía sea superior al 50% de los valores iniciales, conforme al procedimiento establecido en el artículo 701.5.1.1. del PG-3</w:t>
      </w:r>
    </w:p>
    <w:p w14:paraId="0BB5CC39" w14:textId="77777777" w:rsidR="002B430C" w:rsidRPr="006F44FD" w:rsidRDefault="002B430C" w:rsidP="001622F9">
      <w:pPr>
        <w:rPr>
          <w:rFonts w:ascii="Arial" w:hAnsi="Arial" w:cs="Arial"/>
          <w:i/>
          <w:u w:val="single"/>
        </w:rPr>
      </w:pPr>
      <w:r w:rsidRPr="006F44FD">
        <w:rPr>
          <w:rFonts w:ascii="Arial" w:hAnsi="Arial" w:cs="Arial"/>
          <w:i/>
          <w:u w:val="single"/>
        </w:rPr>
        <w:t>701.</w:t>
      </w:r>
      <w:r w:rsidR="0037404A">
        <w:rPr>
          <w:rFonts w:ascii="Arial" w:hAnsi="Arial" w:cs="Arial"/>
          <w:i/>
          <w:u w:val="single"/>
        </w:rPr>
        <w:t>4</w:t>
      </w:r>
      <w:r w:rsidRPr="006F44FD">
        <w:rPr>
          <w:rFonts w:ascii="Arial" w:hAnsi="Arial" w:cs="Arial"/>
          <w:i/>
          <w:u w:val="single"/>
        </w:rPr>
        <w:t>.1.2</w:t>
      </w:r>
      <w:r w:rsidR="00D93E76" w:rsidRPr="006F44FD">
        <w:rPr>
          <w:rFonts w:ascii="Arial" w:hAnsi="Arial" w:cs="Arial"/>
          <w:i/>
          <w:u w:val="single"/>
        </w:rPr>
        <w:t>. Características</w:t>
      </w:r>
      <w:r w:rsidRPr="006F44FD">
        <w:rPr>
          <w:rFonts w:ascii="Arial" w:hAnsi="Arial" w:cs="Arial"/>
          <w:i/>
          <w:u w:val="single"/>
        </w:rPr>
        <w:t xml:space="preserve"> colorimétricas</w:t>
      </w:r>
    </w:p>
    <w:p w14:paraId="58685922" w14:textId="77777777" w:rsidR="002B430C" w:rsidRPr="00A8316A" w:rsidRDefault="002B430C" w:rsidP="0040317B">
      <w:pPr>
        <w:pStyle w:val="NORMAL12"/>
      </w:pPr>
      <w:r w:rsidRPr="00A8316A">
        <w:t xml:space="preserve">En el caso de elementos </w:t>
      </w:r>
      <w:proofErr w:type="spellStart"/>
      <w:r w:rsidRPr="00A8316A">
        <w:t>retrorreflectantes</w:t>
      </w:r>
      <w:proofErr w:type="spellEnd"/>
      <w:r w:rsidRPr="00A8316A">
        <w:t xml:space="preserve"> de nivel 3 (RA3) y durante el periodo de garantía, el factor de luminancia (β) y las coordenadas cromáticas (x</w:t>
      </w:r>
      <w:r w:rsidR="00157701" w:rsidRPr="00A8316A">
        <w:t>, y</w:t>
      </w:r>
      <w:r w:rsidRPr="00A8316A">
        <w:t>) cumplirán las especificaciones de UNE 135 340</w:t>
      </w:r>
      <w:r w:rsidR="00555266" w:rsidRPr="00A8316A">
        <w:t>:2017</w:t>
      </w:r>
      <w:r w:rsidRPr="00A8316A">
        <w:t xml:space="preserve"> y los valores mínimos de la tabla 701.1 del PG-3 </w:t>
      </w:r>
    </w:p>
    <w:p w14:paraId="3630508F" w14:textId="77777777" w:rsidR="002B430C" w:rsidRPr="00883387" w:rsidRDefault="00883387" w:rsidP="000313DD">
      <w:pPr>
        <w:pStyle w:val="TITU2"/>
      </w:pPr>
      <w:bookmarkStart w:id="1108" w:name="_Toc492538103"/>
      <w:bookmarkStart w:id="1109" w:name="_Toc406696836"/>
      <w:bookmarkStart w:id="1110" w:name="_Toc404571"/>
      <w:r>
        <w:t>701.</w:t>
      </w:r>
      <w:r w:rsidR="007D1CB8">
        <w:t>5</w:t>
      </w:r>
      <w:r>
        <w:t xml:space="preserve">. </w:t>
      </w:r>
      <w:r w:rsidR="002B430C" w:rsidRPr="00883387">
        <w:t>Ejecución</w:t>
      </w:r>
      <w:bookmarkEnd w:id="1108"/>
      <w:bookmarkEnd w:id="1109"/>
      <w:r w:rsidR="00036C21">
        <w:t xml:space="preserve"> de las obras</w:t>
      </w:r>
      <w:bookmarkEnd w:id="1110"/>
    </w:p>
    <w:p w14:paraId="768F444E" w14:textId="77777777" w:rsidR="002B430C" w:rsidRPr="00886F1A" w:rsidRDefault="002B430C" w:rsidP="0085450C">
      <w:pPr>
        <w:pStyle w:val="NORMAL12"/>
      </w:pPr>
      <w:r w:rsidRPr="00FD6931">
        <w:t xml:space="preserve">Las señales y carteles verticales </w:t>
      </w:r>
      <w:proofErr w:type="spellStart"/>
      <w:r w:rsidRPr="00FD6931">
        <w:t>retrorreflectantes</w:t>
      </w:r>
      <w:proofErr w:type="spellEnd"/>
      <w:r w:rsidRPr="00FD6931">
        <w:t xml:space="preserve"> a emplear en este proyecto dispondrán de una marca de calidad otorgada por un organismo</w:t>
      </w:r>
      <w:r w:rsidRPr="00886F1A">
        <w:t xml:space="preserve"> de certificación acreditado en España y que esté reconocida por el Ministerio de Fomento.</w:t>
      </w:r>
    </w:p>
    <w:p w14:paraId="713C53AD" w14:textId="77777777" w:rsidR="002B430C" w:rsidRDefault="002B430C" w:rsidP="0085450C">
      <w:pPr>
        <w:pStyle w:val="NORMAL12"/>
      </w:pPr>
      <w:r w:rsidRPr="00886F1A">
        <w:t>Podrán utilizarse igualmente</w:t>
      </w:r>
      <w:r>
        <w:t xml:space="preserve"> señales provenientes de otros países de la Unión Europea que dispongan también de sello de calidad otorgado por un organismo acreditado en el </w:t>
      </w:r>
      <w:r>
        <w:t>país correspondiente. En tal caso se realizarán exclusivamente los ensayos necesarios para completar las prescripciones de calidad de este Pliego, según los procedimientos establecidos en el vigente artículo 701.7 del PG-3 y que no estén certificadas por la marca de calidad aportada por el citado organismo acreditado.</w:t>
      </w:r>
    </w:p>
    <w:p w14:paraId="3263110E" w14:textId="77777777" w:rsidR="002B430C" w:rsidRDefault="002B430C" w:rsidP="0085450C">
      <w:pPr>
        <w:pStyle w:val="NORMAL12"/>
      </w:pPr>
      <w:r>
        <w:t xml:space="preserve">El Contratista comunicará por escrito al </w:t>
      </w:r>
      <w:proofErr w:type="gramStart"/>
      <w:r>
        <w:t>Director</w:t>
      </w:r>
      <w:proofErr w:type="gramEnd"/>
      <w:r>
        <w:t xml:space="preserve"> de Obra, con suficiente antelación antes del comienzo de la ejecución de las obras de señalización, la relación de las empresas suministradoras y de las señales y carteles a utilizar, con indicación de la marca comercial y referencia que las empresas suministradoras den a esa señal.</w:t>
      </w:r>
    </w:p>
    <w:p w14:paraId="1D920DA5" w14:textId="77777777" w:rsidR="002B430C" w:rsidRDefault="002B430C" w:rsidP="00847B90">
      <w:pPr>
        <w:pStyle w:val="NORMAL12"/>
      </w:pPr>
      <w:r>
        <w:t>Se adjuntará al comunicado las especificaciones técnicas de las señales y carteles verticales a emplear. Se adjuntará asimismo el certificado de calidad en posesión del suministrador</w:t>
      </w:r>
      <w:r w:rsidR="00D11AB9">
        <w:t>.</w:t>
      </w:r>
    </w:p>
    <w:p w14:paraId="07223854" w14:textId="77777777" w:rsidR="002B430C" w:rsidRPr="0085450C" w:rsidRDefault="002B430C" w:rsidP="0085450C">
      <w:pPr>
        <w:pStyle w:val="NORMAL12"/>
        <w:rPr>
          <w:i/>
          <w:u w:val="single"/>
        </w:rPr>
      </w:pPr>
      <w:r w:rsidRPr="0085450C">
        <w:rPr>
          <w:i/>
          <w:u w:val="single"/>
        </w:rPr>
        <w:t>Replanteo</w:t>
      </w:r>
    </w:p>
    <w:p w14:paraId="46D7A9A2" w14:textId="77777777" w:rsidR="002B430C" w:rsidRDefault="002B430C" w:rsidP="0085450C">
      <w:pPr>
        <w:pStyle w:val="NORMAL12"/>
      </w:pPr>
      <w:r>
        <w:t>Previamente al inicio de la obra, se llevará a cabo un cuidadoso replanteo que garantice una terminación de los trabajos acorde con las especificaciones del proyecto.</w:t>
      </w:r>
    </w:p>
    <w:p w14:paraId="5A9391C1" w14:textId="77777777" w:rsidR="007D1CB8" w:rsidRDefault="007D1CB8" w:rsidP="007D1CB8">
      <w:pPr>
        <w:pStyle w:val="NORMAL12"/>
      </w:pPr>
      <w:r>
        <w:t>Para la colocación de carteles en nuevas estructuras de tipo pórtico o banderola, cuyo cálculo estructural y elaboración de planos corresponde al Contratista adjudicatario, se respetarán los siguientes criterios de implantación en altura.</w:t>
      </w:r>
    </w:p>
    <w:p w14:paraId="6A4B7426" w14:textId="77777777" w:rsidR="007D1CB8" w:rsidRDefault="007D1CB8" w:rsidP="007D1CB8">
      <w:pPr>
        <w:pStyle w:val="NORMAL12"/>
      </w:pPr>
      <w:r>
        <w:t>Las señales o carteles situados en las márgenes de la plataforma (excepto carteles flecha) seguirán las siguientes indicaciones:</w:t>
      </w:r>
    </w:p>
    <w:p w14:paraId="6BB3CA3E" w14:textId="77777777" w:rsidR="007D1CB8" w:rsidRDefault="007D1CB8" w:rsidP="00661A5F">
      <w:pPr>
        <w:pStyle w:val="NORMAL12"/>
        <w:numPr>
          <w:ilvl w:val="0"/>
          <w:numId w:val="208"/>
        </w:numPr>
      </w:pPr>
      <w:r>
        <w:t>La diferencia de cota entre el borde inferior de la señal o cartel y el borde de la calzada situado en correspondencia con aquéllos será la siguiente:</w:t>
      </w:r>
    </w:p>
    <w:p w14:paraId="6B6290B3" w14:textId="77777777" w:rsidR="007D1CB8" w:rsidRDefault="007D1CB8" w:rsidP="00661A5F">
      <w:pPr>
        <w:pStyle w:val="NORMAL12"/>
        <w:numPr>
          <w:ilvl w:val="1"/>
          <w:numId w:val="208"/>
        </w:numPr>
      </w:pPr>
      <w:r>
        <w:t>Autopistas, autovías y vías rápidas: 2,0 m.</w:t>
      </w:r>
    </w:p>
    <w:p w14:paraId="3F561DAF" w14:textId="77777777" w:rsidR="007D1CB8" w:rsidRDefault="007D1CB8" w:rsidP="00661A5F">
      <w:pPr>
        <w:pStyle w:val="NORMAL12"/>
        <w:numPr>
          <w:ilvl w:val="1"/>
          <w:numId w:val="208"/>
        </w:numPr>
      </w:pPr>
      <w:r>
        <w:t>Carreteras convencionales con arcén &gt; 1,5 m: 1,8 m</w:t>
      </w:r>
    </w:p>
    <w:p w14:paraId="65BDA9C0" w14:textId="77777777" w:rsidR="007D1CB8" w:rsidRDefault="007D1CB8" w:rsidP="00661A5F">
      <w:pPr>
        <w:pStyle w:val="NORMAL12"/>
        <w:numPr>
          <w:ilvl w:val="1"/>
          <w:numId w:val="208"/>
        </w:numPr>
      </w:pPr>
      <w:r>
        <w:t>Carreteras convencionales con arcén &lt; 1,5 m: 1,5 m</w:t>
      </w:r>
    </w:p>
    <w:p w14:paraId="38260929" w14:textId="77777777" w:rsidR="007D1CB8" w:rsidRDefault="007D1CB8" w:rsidP="00661A5F">
      <w:pPr>
        <w:pStyle w:val="NORMAL12"/>
        <w:numPr>
          <w:ilvl w:val="0"/>
          <w:numId w:val="208"/>
        </w:numPr>
      </w:pPr>
      <w:r>
        <w:t>En los carteles situados sobre la calzada el borde inferior del cartel no estará a menos de 5,5 m del pavimento de la calzada.</w:t>
      </w:r>
    </w:p>
    <w:p w14:paraId="263A3EA4" w14:textId="77777777" w:rsidR="00D11AB9" w:rsidRPr="00611EE6" w:rsidRDefault="0053403E" w:rsidP="00D11AB9">
      <w:pPr>
        <w:pStyle w:val="NORMAL12"/>
        <w:rPr>
          <w:i/>
          <w:u w:val="single"/>
        </w:rPr>
      </w:pPr>
      <w:r>
        <w:rPr>
          <w:i/>
          <w:u w:val="single"/>
        </w:rPr>
        <w:br w:type="column"/>
      </w:r>
      <w:r w:rsidR="00D11AB9" w:rsidRPr="00611EE6">
        <w:rPr>
          <w:i/>
          <w:u w:val="single"/>
        </w:rPr>
        <w:lastRenderedPageBreak/>
        <w:t>Seguridad y señalización de las obras</w:t>
      </w:r>
    </w:p>
    <w:p w14:paraId="2381DDC4" w14:textId="77777777" w:rsidR="00D11AB9" w:rsidRDefault="00D11AB9" w:rsidP="00D11AB9">
      <w:pPr>
        <w:pStyle w:val="NORMAL12"/>
      </w:pPr>
      <w:r>
        <w:t>El Contratista adjudicatario realizará, a través de su técnico responsable en materia de seguridad y salud, un plan específico de seguridad y señalización de las obras, basado en el Estudio de Seguridad y Salud incluido en el presente proyecto.</w:t>
      </w:r>
    </w:p>
    <w:p w14:paraId="482566EB" w14:textId="77777777" w:rsidR="00D11AB9" w:rsidRDefault="00D11AB9" w:rsidP="00D11AB9">
      <w:pPr>
        <w:pStyle w:val="NORMAL12"/>
      </w:pPr>
      <w:r>
        <w:t>El plan específico concretará las medidas a adoptar en materia de seguridad y señalización de las obras, tanto para protección del personal como del tráfico.</w:t>
      </w:r>
    </w:p>
    <w:p w14:paraId="5DEA207B" w14:textId="77777777" w:rsidR="00D11AB9" w:rsidRDefault="00D11AB9" w:rsidP="00D11AB9">
      <w:pPr>
        <w:pStyle w:val="NORMAL12"/>
      </w:pPr>
      <w:r>
        <w:t xml:space="preserve">El Contratista someterá el plan a la aprobación del </w:t>
      </w:r>
      <w:proofErr w:type="gramStart"/>
      <w:r>
        <w:t>Director</w:t>
      </w:r>
      <w:proofErr w:type="gramEnd"/>
      <w:r>
        <w:t xml:space="preserve"> de Obra, con suficiente antelación al inicio de la </w:t>
      </w:r>
      <w:r w:rsidR="00AE0F78">
        <w:t>colocación de la señalización vertical</w:t>
      </w:r>
      <w:r>
        <w:t xml:space="preserve">, los sistemas de señalización a utilizar para la protección del tráfico, del personal, los materiales y la maquinaria durante el periodo de ejecución de </w:t>
      </w:r>
      <w:proofErr w:type="gramStart"/>
      <w:r>
        <w:t>las mismas</w:t>
      </w:r>
      <w:proofErr w:type="gramEnd"/>
      <w:r>
        <w:t>.</w:t>
      </w:r>
    </w:p>
    <w:p w14:paraId="79ED0A16" w14:textId="77777777" w:rsidR="007D1CB8" w:rsidRDefault="007D1CB8" w:rsidP="000313DD">
      <w:pPr>
        <w:pStyle w:val="TITU2"/>
      </w:pPr>
      <w:bookmarkStart w:id="1111" w:name="_Toc404572"/>
      <w:bookmarkStart w:id="1112" w:name="_Toc492538104"/>
      <w:bookmarkStart w:id="1113" w:name="_Toc406696837"/>
      <w:bookmarkStart w:id="1114" w:name="_Toc405484976"/>
      <w:r>
        <w:t>701.6</w:t>
      </w:r>
      <w:r w:rsidR="002B430C" w:rsidRPr="00883387">
        <w:t xml:space="preserve">. </w:t>
      </w:r>
      <w:r>
        <w:t>Limitaciones de la ejecución</w:t>
      </w:r>
      <w:bookmarkEnd w:id="1111"/>
    </w:p>
    <w:p w14:paraId="15A8F46B" w14:textId="77777777" w:rsidR="007D1CB8" w:rsidRDefault="007D1CB8" w:rsidP="007D1CB8">
      <w:pPr>
        <w:pStyle w:val="NORMAL12"/>
        <w:rPr>
          <w:lang w:val="es-ES"/>
        </w:rPr>
      </w:pPr>
      <w:r>
        <w:rPr>
          <w:lang w:val="es-ES"/>
        </w:rPr>
        <w:t>En todo momento la vía debe estar señalizada según la normativa vigente.</w:t>
      </w:r>
    </w:p>
    <w:p w14:paraId="0DB55B41" w14:textId="77777777" w:rsidR="007D1CB8" w:rsidRPr="007D1CB8" w:rsidRDefault="007D1CB8" w:rsidP="007D1CB8">
      <w:pPr>
        <w:pStyle w:val="NORMAL12"/>
        <w:rPr>
          <w:lang w:val="es-ES"/>
        </w:rPr>
      </w:pPr>
      <w:r>
        <w:rPr>
          <w:lang w:val="es-ES"/>
        </w:rPr>
        <w:t xml:space="preserve">No se abrirá al tráfico ningún tramo de la actuación sin la autorización del </w:t>
      </w:r>
      <w:proofErr w:type="gramStart"/>
      <w:r w:rsidR="00217216">
        <w:rPr>
          <w:lang w:val="es-ES"/>
        </w:rPr>
        <w:t>Director</w:t>
      </w:r>
      <w:proofErr w:type="gramEnd"/>
      <w:r>
        <w:rPr>
          <w:lang w:val="es-ES"/>
        </w:rPr>
        <w:t xml:space="preserve"> de Obra, una vez comprobada la colocación de la señalización requerida.</w:t>
      </w:r>
    </w:p>
    <w:p w14:paraId="017A90CD" w14:textId="77777777" w:rsidR="002B430C" w:rsidRPr="00883387" w:rsidRDefault="007D1CB8" w:rsidP="000313DD">
      <w:pPr>
        <w:pStyle w:val="TITU2"/>
      </w:pPr>
      <w:bookmarkStart w:id="1115" w:name="_Toc404573"/>
      <w:r>
        <w:t xml:space="preserve">701.7. </w:t>
      </w:r>
      <w:r w:rsidR="002B430C" w:rsidRPr="00883387">
        <w:t>Control de Calidad</w:t>
      </w:r>
      <w:bookmarkEnd w:id="1112"/>
      <w:bookmarkEnd w:id="1113"/>
      <w:bookmarkEnd w:id="1114"/>
      <w:bookmarkEnd w:id="1115"/>
    </w:p>
    <w:p w14:paraId="5611C730" w14:textId="77777777" w:rsidR="002B430C" w:rsidRDefault="002B430C" w:rsidP="0085450C">
      <w:pPr>
        <w:pStyle w:val="NORMAL12"/>
      </w:pPr>
      <w:r w:rsidRPr="00E008E1">
        <w:t>La posesión de la marca de calidad que acredita la conformidad de las señales y carteles verticales con la normativa</w:t>
      </w:r>
      <w:r>
        <w:t xml:space="preserve"> UNE de aplicación, exime de la necesidad de realizar los controles de recepción previstos en el artículo 701.7 del PG-3. Bastará con que cada suministro de señales y carteles se acompañe del certificado acreditativo de la posesión de la marca de calidad.</w:t>
      </w:r>
    </w:p>
    <w:p w14:paraId="0313578E" w14:textId="77777777" w:rsidR="002B430C" w:rsidRDefault="002B430C" w:rsidP="0085450C">
      <w:pPr>
        <w:pStyle w:val="NORMAL12"/>
      </w:pPr>
      <w:r>
        <w:t>En el caso de empleo de señales con marca de calidad acreditada por algún organismo extranjero que no incluya la totalidad de prescripciones de la normativa UNE, a cada suministro se adjuntará el certificado acreditativo del sello de calidad más un certificado acreditativo del cumplimiento de las especificaciones técnicas obligatorias no incluidas en la marca de calidad.</w:t>
      </w:r>
    </w:p>
    <w:p w14:paraId="18129CBC" w14:textId="77777777" w:rsidR="0053403E" w:rsidRDefault="002B430C" w:rsidP="0085450C">
      <w:pPr>
        <w:pStyle w:val="NORMAL12"/>
      </w:pPr>
      <w:r>
        <w:t xml:space="preserve">En cualquier caso, el </w:t>
      </w:r>
      <w:proofErr w:type="gramStart"/>
      <w:r>
        <w:t>Director</w:t>
      </w:r>
      <w:proofErr w:type="gramEnd"/>
      <w:r>
        <w:t xml:space="preserve"> de Obra podrá realizar, a su juicio, los controles de calidad que estime oportunos, según los criterios del apartado 701.7 del PG-3.</w:t>
      </w:r>
    </w:p>
    <w:p w14:paraId="1D1389FB" w14:textId="77777777" w:rsidR="002B430C" w:rsidRPr="0053403E" w:rsidRDefault="0053403E" w:rsidP="0085450C">
      <w:pPr>
        <w:pStyle w:val="NORMAL12"/>
        <w:rPr>
          <w:sz w:val="2"/>
          <w:szCs w:val="2"/>
        </w:rPr>
      </w:pPr>
      <w:r>
        <w:br w:type="column"/>
      </w:r>
    </w:p>
    <w:p w14:paraId="11A116B6" w14:textId="77777777" w:rsidR="002B430C" w:rsidRPr="00883387" w:rsidRDefault="002B430C" w:rsidP="000313DD">
      <w:pPr>
        <w:pStyle w:val="TITU2"/>
      </w:pPr>
      <w:bookmarkStart w:id="1116" w:name="_Toc492538105"/>
      <w:bookmarkStart w:id="1117" w:name="_Toc406696838"/>
      <w:bookmarkStart w:id="1118" w:name="_Toc404574"/>
      <w:r w:rsidRPr="00883387">
        <w:t>701.10.</w:t>
      </w:r>
      <w:r w:rsidR="00883387">
        <w:t xml:space="preserve"> </w:t>
      </w:r>
      <w:r w:rsidRPr="00883387">
        <w:t>Medición y Abono</w:t>
      </w:r>
      <w:bookmarkEnd w:id="1116"/>
      <w:bookmarkEnd w:id="1117"/>
      <w:bookmarkEnd w:id="1118"/>
    </w:p>
    <w:p w14:paraId="6BF10441" w14:textId="77777777" w:rsidR="00FA26C5" w:rsidRDefault="00FA26C5" w:rsidP="00FA26C5">
      <w:pPr>
        <w:pStyle w:val="NORMAL12"/>
      </w:pPr>
      <w:r>
        <w:t xml:space="preserve">La medición y abono de los </w:t>
      </w:r>
      <w:r w:rsidR="002B430C">
        <w:t xml:space="preserve">carteles laterales y carteles flecha se </w:t>
      </w:r>
      <w:r>
        <w:t xml:space="preserve">realizará </w:t>
      </w:r>
      <w:proofErr w:type="gramStart"/>
      <w:r>
        <w:t>según</w:t>
      </w:r>
      <w:r w:rsidR="0053403E">
        <w:t>:</w:t>
      </w:r>
      <w:r>
        <w:t>:</w:t>
      </w:r>
      <w:proofErr w:type="gramEnd"/>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9"/>
        <w:gridCol w:w="5812"/>
      </w:tblGrid>
      <w:tr w:rsidR="002B430C" w:rsidRPr="00A8316A" w14:paraId="12FCA3B6" w14:textId="77777777" w:rsidTr="002B430C">
        <w:tc>
          <w:tcPr>
            <w:tcW w:w="3189" w:type="dxa"/>
            <w:tcBorders>
              <w:top w:val="single" w:sz="4" w:space="0" w:color="auto"/>
              <w:left w:val="single" w:sz="4" w:space="0" w:color="auto"/>
              <w:bottom w:val="single" w:sz="4" w:space="0" w:color="auto"/>
              <w:right w:val="single" w:sz="4" w:space="0" w:color="auto"/>
            </w:tcBorders>
            <w:vAlign w:val="center"/>
            <w:hideMark/>
          </w:tcPr>
          <w:p w14:paraId="183D1E0A" w14:textId="77777777" w:rsidR="002B430C" w:rsidRPr="00A8316A" w:rsidRDefault="002B430C" w:rsidP="006F44FD">
            <w:pPr>
              <w:tabs>
                <w:tab w:val="left" w:pos="0"/>
                <w:tab w:val="left" w:pos="283"/>
                <w:tab w:val="left" w:pos="567"/>
                <w:tab w:val="left" w:pos="849"/>
                <w:tab w:val="left" w:pos="1134"/>
                <w:tab w:val="left" w:pos="1644"/>
              </w:tabs>
              <w:spacing w:before="60" w:after="120" w:line="360" w:lineRule="auto"/>
              <w:ind w:left="568" w:hanging="568"/>
              <w:jc w:val="center"/>
              <w:rPr>
                <w:rFonts w:ascii="Arial" w:hAnsi="Arial" w:cs="Arial"/>
                <w:b/>
                <w:bCs/>
                <w:iCs/>
                <w:sz w:val="20"/>
              </w:rPr>
            </w:pPr>
            <w:r w:rsidRPr="00A8316A">
              <w:rPr>
                <w:rFonts w:ascii="Arial" w:hAnsi="Arial" w:cs="Arial"/>
                <w:b/>
                <w:bCs/>
                <w:iCs/>
                <w:sz w:val="20"/>
              </w:rPr>
              <w:t>Unidad de medida</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BB612D0" w14:textId="77777777" w:rsidR="002B430C" w:rsidRPr="00A8316A" w:rsidRDefault="002B430C">
            <w:pPr>
              <w:tabs>
                <w:tab w:val="left" w:pos="0"/>
                <w:tab w:val="left" w:pos="283"/>
                <w:tab w:val="left" w:pos="567"/>
                <w:tab w:val="left" w:pos="849"/>
                <w:tab w:val="left" w:pos="1134"/>
                <w:tab w:val="left" w:pos="1644"/>
              </w:tabs>
              <w:spacing w:before="60" w:after="120" w:line="360" w:lineRule="auto"/>
              <w:ind w:left="568" w:hanging="568"/>
              <w:jc w:val="both"/>
              <w:rPr>
                <w:rFonts w:ascii="Arial" w:hAnsi="Arial" w:cs="Arial"/>
                <w:bCs/>
                <w:iCs/>
                <w:sz w:val="20"/>
              </w:rPr>
            </w:pPr>
            <w:r w:rsidRPr="00A8316A">
              <w:rPr>
                <w:rFonts w:ascii="Arial" w:hAnsi="Arial" w:cs="Arial"/>
                <w:bCs/>
                <w:iCs/>
                <w:sz w:val="20"/>
              </w:rPr>
              <w:t>Metro cuadrado (m</w:t>
            </w:r>
            <w:r w:rsidRPr="00A8316A">
              <w:rPr>
                <w:rFonts w:ascii="Arial" w:hAnsi="Arial" w:cs="Arial"/>
                <w:bCs/>
                <w:iCs/>
                <w:sz w:val="20"/>
                <w:vertAlign w:val="superscript"/>
              </w:rPr>
              <w:t>2</w:t>
            </w:r>
            <w:r w:rsidRPr="00A8316A">
              <w:rPr>
                <w:rFonts w:ascii="Arial" w:hAnsi="Arial" w:cs="Arial"/>
                <w:bCs/>
                <w:iCs/>
                <w:sz w:val="20"/>
              </w:rPr>
              <w:t>).</w:t>
            </w:r>
          </w:p>
        </w:tc>
      </w:tr>
      <w:tr w:rsidR="002B430C" w:rsidRPr="00A8316A" w14:paraId="655F3B58" w14:textId="77777777" w:rsidTr="002B430C">
        <w:tc>
          <w:tcPr>
            <w:tcW w:w="3189" w:type="dxa"/>
            <w:tcBorders>
              <w:top w:val="single" w:sz="4" w:space="0" w:color="auto"/>
              <w:left w:val="single" w:sz="4" w:space="0" w:color="auto"/>
              <w:bottom w:val="single" w:sz="4" w:space="0" w:color="auto"/>
              <w:right w:val="single" w:sz="4" w:space="0" w:color="auto"/>
            </w:tcBorders>
            <w:vAlign w:val="center"/>
            <w:hideMark/>
          </w:tcPr>
          <w:p w14:paraId="01213132" w14:textId="77777777" w:rsidR="002B430C" w:rsidRPr="00A8316A" w:rsidRDefault="002B430C" w:rsidP="006F44FD">
            <w:pPr>
              <w:tabs>
                <w:tab w:val="left" w:pos="0"/>
                <w:tab w:val="left" w:pos="283"/>
                <w:tab w:val="left" w:pos="567"/>
                <w:tab w:val="left" w:pos="849"/>
                <w:tab w:val="left" w:pos="1134"/>
                <w:tab w:val="left" w:pos="1644"/>
              </w:tabs>
              <w:spacing w:before="60" w:after="120" w:line="360" w:lineRule="auto"/>
              <w:ind w:left="568" w:hanging="568"/>
              <w:jc w:val="center"/>
              <w:rPr>
                <w:rFonts w:ascii="Arial" w:hAnsi="Arial" w:cs="Arial"/>
                <w:b/>
                <w:bCs/>
                <w:iCs/>
                <w:sz w:val="20"/>
              </w:rPr>
            </w:pPr>
            <w:r w:rsidRPr="00A8316A">
              <w:rPr>
                <w:rFonts w:ascii="Arial" w:hAnsi="Arial" w:cs="Arial"/>
                <w:b/>
                <w:bCs/>
                <w:iCs/>
                <w:sz w:val="20"/>
              </w:rPr>
              <w:t>Grado de precisión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16907DA" w14:textId="77777777" w:rsidR="002B430C" w:rsidRPr="00A8316A" w:rsidRDefault="002B430C">
            <w:pPr>
              <w:tabs>
                <w:tab w:val="left" w:pos="0"/>
                <w:tab w:val="left" w:pos="283"/>
                <w:tab w:val="left" w:pos="567"/>
                <w:tab w:val="left" w:pos="849"/>
                <w:tab w:val="left" w:pos="1134"/>
                <w:tab w:val="left" w:pos="1644"/>
              </w:tabs>
              <w:spacing w:before="60" w:after="120" w:line="360" w:lineRule="auto"/>
              <w:ind w:left="568" w:hanging="568"/>
              <w:jc w:val="both"/>
              <w:rPr>
                <w:rFonts w:ascii="Arial" w:hAnsi="Arial" w:cs="Arial"/>
                <w:bCs/>
                <w:iCs/>
                <w:sz w:val="20"/>
              </w:rPr>
            </w:pPr>
            <w:r w:rsidRPr="00A8316A">
              <w:rPr>
                <w:rFonts w:ascii="Arial" w:hAnsi="Arial" w:cs="Arial"/>
                <w:bCs/>
                <w:iCs/>
                <w:sz w:val="20"/>
              </w:rPr>
              <w:t>Dos decimales.</w:t>
            </w:r>
          </w:p>
        </w:tc>
      </w:tr>
      <w:tr w:rsidR="002B430C" w:rsidRPr="00A8316A" w14:paraId="6FE9C606" w14:textId="77777777" w:rsidTr="002B430C">
        <w:tc>
          <w:tcPr>
            <w:tcW w:w="3189" w:type="dxa"/>
            <w:tcBorders>
              <w:top w:val="single" w:sz="4" w:space="0" w:color="auto"/>
              <w:left w:val="single" w:sz="4" w:space="0" w:color="auto"/>
              <w:bottom w:val="single" w:sz="4" w:space="0" w:color="auto"/>
              <w:right w:val="single" w:sz="4" w:space="0" w:color="auto"/>
            </w:tcBorders>
            <w:vAlign w:val="center"/>
            <w:hideMark/>
          </w:tcPr>
          <w:p w14:paraId="11747BCF" w14:textId="77777777" w:rsidR="002B430C" w:rsidRPr="00A8316A" w:rsidRDefault="002B430C" w:rsidP="006F44FD">
            <w:pPr>
              <w:tabs>
                <w:tab w:val="left" w:pos="0"/>
                <w:tab w:val="left" w:pos="283"/>
                <w:tab w:val="left" w:pos="567"/>
                <w:tab w:val="left" w:pos="849"/>
                <w:tab w:val="left" w:pos="1134"/>
                <w:tab w:val="left" w:pos="1644"/>
              </w:tabs>
              <w:spacing w:before="60" w:after="120" w:line="360" w:lineRule="auto"/>
              <w:ind w:left="568" w:hanging="568"/>
              <w:jc w:val="center"/>
              <w:rPr>
                <w:rFonts w:ascii="Arial" w:hAnsi="Arial" w:cs="Arial"/>
                <w:b/>
                <w:bCs/>
                <w:iCs/>
                <w:sz w:val="20"/>
              </w:rPr>
            </w:pPr>
            <w:r w:rsidRPr="00A8316A">
              <w:rPr>
                <w:rFonts w:ascii="Arial" w:hAnsi="Arial" w:cs="Arial"/>
                <w:b/>
                <w:bCs/>
                <w:iCs/>
                <w:sz w:val="20"/>
              </w:rPr>
              <w:t>Forma de medición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CBE69B3" w14:textId="77777777" w:rsidR="002B430C" w:rsidRPr="00A8316A" w:rsidRDefault="002B430C">
            <w:pPr>
              <w:pStyle w:val="GTTTabla"/>
              <w:jc w:val="both"/>
              <w:rPr>
                <w:rFonts w:ascii="Arial" w:hAnsi="Arial" w:cs="Arial"/>
                <w:bCs/>
                <w:iCs/>
                <w:sz w:val="20"/>
                <w:szCs w:val="24"/>
              </w:rPr>
            </w:pPr>
            <w:r w:rsidRPr="00A8316A">
              <w:rPr>
                <w:rFonts w:ascii="Arial" w:hAnsi="Arial" w:cs="Arial"/>
                <w:sz w:val="20"/>
              </w:rPr>
              <w:t xml:space="preserve">Recuento de carteles realmente colocados en obra y medición sobre plano de su superficie. </w:t>
            </w:r>
          </w:p>
        </w:tc>
      </w:tr>
      <w:tr w:rsidR="002B430C" w:rsidRPr="00A8316A" w14:paraId="0A9444FA" w14:textId="77777777" w:rsidTr="002B430C">
        <w:tc>
          <w:tcPr>
            <w:tcW w:w="3189" w:type="dxa"/>
            <w:tcBorders>
              <w:top w:val="single" w:sz="4" w:space="0" w:color="auto"/>
              <w:left w:val="single" w:sz="4" w:space="0" w:color="auto"/>
              <w:bottom w:val="single" w:sz="4" w:space="0" w:color="auto"/>
              <w:right w:val="single" w:sz="4" w:space="0" w:color="auto"/>
            </w:tcBorders>
            <w:vAlign w:val="center"/>
            <w:hideMark/>
          </w:tcPr>
          <w:p w14:paraId="765ED7C0" w14:textId="77777777" w:rsidR="002B430C" w:rsidRPr="00A8316A" w:rsidRDefault="002B430C" w:rsidP="006F44FD">
            <w:pPr>
              <w:tabs>
                <w:tab w:val="left" w:pos="0"/>
                <w:tab w:val="left" w:pos="283"/>
                <w:tab w:val="left" w:pos="567"/>
                <w:tab w:val="left" w:pos="849"/>
                <w:tab w:val="left" w:pos="1134"/>
                <w:tab w:val="left" w:pos="1644"/>
              </w:tabs>
              <w:spacing w:before="60" w:after="120" w:line="360" w:lineRule="auto"/>
              <w:ind w:left="568" w:hanging="568"/>
              <w:jc w:val="center"/>
              <w:rPr>
                <w:rFonts w:ascii="Arial" w:hAnsi="Arial" w:cs="Arial"/>
                <w:b/>
                <w:bCs/>
                <w:iCs/>
                <w:sz w:val="20"/>
              </w:rPr>
            </w:pPr>
            <w:r w:rsidRPr="00A8316A">
              <w:rPr>
                <w:rFonts w:ascii="Arial" w:hAnsi="Arial" w:cs="Arial"/>
                <w:b/>
                <w:bCs/>
                <w:iCs/>
                <w:sz w:val="20"/>
              </w:rPr>
              <w:t>Abono</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F87DF74" w14:textId="77777777" w:rsidR="002B430C" w:rsidRPr="00A8316A" w:rsidRDefault="002B430C">
            <w:pPr>
              <w:tabs>
                <w:tab w:val="left" w:pos="0"/>
                <w:tab w:val="left" w:pos="283"/>
                <w:tab w:val="left" w:pos="567"/>
                <w:tab w:val="left" w:pos="849"/>
                <w:tab w:val="left" w:pos="1134"/>
                <w:tab w:val="left" w:pos="1644"/>
              </w:tabs>
              <w:spacing w:before="60" w:after="120" w:line="360" w:lineRule="auto"/>
              <w:ind w:left="568" w:hanging="568"/>
              <w:jc w:val="both"/>
              <w:rPr>
                <w:rFonts w:ascii="Arial" w:hAnsi="Arial" w:cs="Arial"/>
                <w:bCs/>
                <w:iCs/>
                <w:sz w:val="20"/>
              </w:rPr>
            </w:pPr>
            <w:r w:rsidRPr="00A8316A">
              <w:rPr>
                <w:rFonts w:ascii="Arial" w:hAnsi="Arial" w:cs="Arial"/>
                <w:bCs/>
                <w:iCs/>
                <w:sz w:val="20"/>
              </w:rPr>
              <w:t>Se efectuará cuando se realice la aceptación.</w:t>
            </w:r>
          </w:p>
        </w:tc>
      </w:tr>
      <w:tr w:rsidR="002B430C" w:rsidRPr="00A8316A" w14:paraId="1EB2C9A8" w14:textId="77777777" w:rsidTr="002B430C">
        <w:trPr>
          <w:cantSplit/>
        </w:trPr>
        <w:tc>
          <w:tcPr>
            <w:tcW w:w="3189" w:type="dxa"/>
            <w:tcBorders>
              <w:top w:val="single" w:sz="4" w:space="0" w:color="auto"/>
              <w:left w:val="single" w:sz="4" w:space="0" w:color="auto"/>
              <w:bottom w:val="single" w:sz="4" w:space="0" w:color="auto"/>
              <w:right w:val="single" w:sz="4" w:space="0" w:color="auto"/>
            </w:tcBorders>
            <w:vAlign w:val="center"/>
            <w:hideMark/>
          </w:tcPr>
          <w:p w14:paraId="7526EA82" w14:textId="77777777" w:rsidR="002B430C" w:rsidRPr="00A8316A" w:rsidRDefault="002B430C" w:rsidP="006F44FD">
            <w:pPr>
              <w:tabs>
                <w:tab w:val="left" w:pos="0"/>
                <w:tab w:val="left" w:pos="283"/>
                <w:tab w:val="left" w:pos="567"/>
                <w:tab w:val="left" w:pos="849"/>
                <w:tab w:val="left" w:pos="1134"/>
                <w:tab w:val="left" w:pos="1644"/>
              </w:tabs>
              <w:spacing w:before="60" w:after="120" w:line="360" w:lineRule="auto"/>
              <w:ind w:left="568" w:hanging="568"/>
              <w:jc w:val="center"/>
              <w:rPr>
                <w:rFonts w:ascii="Arial" w:hAnsi="Arial" w:cs="Arial"/>
                <w:b/>
                <w:bCs/>
                <w:iCs/>
                <w:sz w:val="20"/>
              </w:rPr>
            </w:pPr>
            <w:r w:rsidRPr="00A8316A">
              <w:rPr>
                <w:rFonts w:ascii="Arial" w:hAnsi="Arial" w:cs="Arial"/>
                <w:b/>
                <w:bCs/>
                <w:iCs/>
                <w:sz w:val="20"/>
              </w:rPr>
              <w:t>Criterios complementarios</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0FF6633" w14:textId="77777777" w:rsidR="002B430C" w:rsidRPr="00A8316A" w:rsidRDefault="002B430C">
            <w:pPr>
              <w:pStyle w:val="GTTTabla"/>
              <w:jc w:val="both"/>
              <w:rPr>
                <w:rFonts w:ascii="Arial" w:hAnsi="Arial" w:cs="Arial"/>
                <w:sz w:val="20"/>
              </w:rPr>
            </w:pPr>
            <w:r w:rsidRPr="00A8316A">
              <w:rPr>
                <w:rFonts w:ascii="Arial" w:hAnsi="Arial" w:cs="Arial"/>
                <w:sz w:val="20"/>
              </w:rPr>
              <w:t>El precio incluye la ejecución de la estructura de sustentación, formada por una cimentación y un bastidor de perfiles metálicos.</w:t>
            </w:r>
          </w:p>
          <w:p w14:paraId="11009ECD" w14:textId="77777777" w:rsidR="002B430C" w:rsidRPr="00A8316A" w:rsidRDefault="002B430C">
            <w:pPr>
              <w:pStyle w:val="GTTTabla"/>
              <w:jc w:val="both"/>
              <w:rPr>
                <w:rFonts w:ascii="Arial" w:hAnsi="Arial" w:cs="Arial"/>
                <w:sz w:val="20"/>
              </w:rPr>
            </w:pPr>
            <w:r w:rsidRPr="00A8316A">
              <w:rPr>
                <w:rFonts w:ascii="Arial" w:hAnsi="Arial" w:cs="Arial"/>
                <w:sz w:val="20"/>
              </w:rPr>
              <w:t>Incluye también la adquisición y colocación en obra, incluyendo los elementos de sujeción a la estructura de sustentación, así como todas las operaciones necesarias para la colocación definitiva del cartel.</w:t>
            </w:r>
          </w:p>
          <w:p w14:paraId="5FD8E414" w14:textId="77777777" w:rsidR="002B430C" w:rsidRPr="00A8316A" w:rsidRDefault="002B430C">
            <w:pPr>
              <w:pStyle w:val="GTTTabla"/>
              <w:jc w:val="both"/>
              <w:rPr>
                <w:rFonts w:ascii="Arial" w:hAnsi="Arial" w:cs="Arial"/>
                <w:bCs/>
                <w:iCs/>
                <w:sz w:val="20"/>
                <w:szCs w:val="24"/>
              </w:rPr>
            </w:pPr>
            <w:r w:rsidRPr="00A8316A">
              <w:rPr>
                <w:rFonts w:ascii="Arial" w:hAnsi="Arial" w:cs="Arial"/>
                <w:sz w:val="20"/>
              </w:rPr>
              <w:t>Durante el período de garantía especificado en este artículo o, en su defecto, en el artículo 701 del PG-3, el Contratista repondrá, a su costa, de los carteles que no cumplan las especificaciones del presente artículo de este Pliego, siempre y cuando el deterioro sea imputable a una calidad inadecuada del cartel</w:t>
            </w:r>
            <w:r w:rsidR="003E1715" w:rsidRPr="00A8316A">
              <w:rPr>
                <w:rFonts w:ascii="Arial" w:hAnsi="Arial" w:cs="Arial"/>
                <w:sz w:val="20"/>
              </w:rPr>
              <w:t>.</w:t>
            </w:r>
          </w:p>
        </w:tc>
      </w:tr>
    </w:tbl>
    <w:p w14:paraId="4BEEE535" w14:textId="77777777" w:rsidR="002B430C" w:rsidRPr="0053403E" w:rsidRDefault="002B430C" w:rsidP="002B430C">
      <w:pPr>
        <w:tabs>
          <w:tab w:val="left" w:pos="0"/>
          <w:tab w:val="left" w:pos="283"/>
          <w:tab w:val="left" w:pos="567"/>
          <w:tab w:val="left" w:pos="849"/>
          <w:tab w:val="left" w:pos="1134"/>
          <w:tab w:val="left" w:pos="1644"/>
        </w:tabs>
        <w:spacing w:before="60"/>
        <w:ind w:left="568" w:hanging="568"/>
        <w:rPr>
          <w:rFonts w:ascii="Arial" w:hAnsi="Arial" w:cs="Arial"/>
          <w:bCs/>
          <w:iCs/>
          <w:sz w:val="2"/>
          <w:szCs w:val="2"/>
        </w:rPr>
      </w:pPr>
    </w:p>
    <w:p w14:paraId="26DBFE6B" w14:textId="77777777" w:rsidR="00D921B6" w:rsidRDefault="00D921B6" w:rsidP="00D921B6">
      <w:pPr>
        <w:pStyle w:val="NORMAL12"/>
      </w:pPr>
      <w:r>
        <w:t>La medición y abono de las señales verticales se realizará según las especificaciones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9"/>
        <w:gridCol w:w="5812"/>
      </w:tblGrid>
      <w:tr w:rsidR="00D921B6" w:rsidRPr="00A8316A" w14:paraId="43719E5B" w14:textId="77777777" w:rsidTr="00866FC4">
        <w:tc>
          <w:tcPr>
            <w:tcW w:w="3189" w:type="dxa"/>
            <w:tcBorders>
              <w:top w:val="single" w:sz="4" w:space="0" w:color="auto"/>
              <w:left w:val="single" w:sz="4" w:space="0" w:color="auto"/>
              <w:bottom w:val="single" w:sz="4" w:space="0" w:color="auto"/>
              <w:right w:val="single" w:sz="4" w:space="0" w:color="auto"/>
            </w:tcBorders>
            <w:vAlign w:val="center"/>
            <w:hideMark/>
          </w:tcPr>
          <w:p w14:paraId="60BC1261" w14:textId="77777777" w:rsidR="00D921B6" w:rsidRPr="00A8316A" w:rsidRDefault="00D921B6" w:rsidP="00866FC4">
            <w:pPr>
              <w:tabs>
                <w:tab w:val="left" w:pos="0"/>
                <w:tab w:val="left" w:pos="283"/>
                <w:tab w:val="left" w:pos="567"/>
                <w:tab w:val="left" w:pos="849"/>
                <w:tab w:val="left" w:pos="1134"/>
                <w:tab w:val="left" w:pos="1644"/>
              </w:tabs>
              <w:spacing w:before="60" w:after="120" w:line="360" w:lineRule="auto"/>
              <w:ind w:left="568" w:hanging="568"/>
              <w:jc w:val="center"/>
              <w:rPr>
                <w:rFonts w:ascii="Arial" w:hAnsi="Arial" w:cs="Arial"/>
                <w:b/>
                <w:bCs/>
                <w:iCs/>
                <w:sz w:val="20"/>
              </w:rPr>
            </w:pPr>
            <w:r w:rsidRPr="00A8316A">
              <w:rPr>
                <w:rFonts w:ascii="Arial" w:hAnsi="Arial" w:cs="Arial"/>
                <w:b/>
                <w:bCs/>
                <w:iCs/>
                <w:sz w:val="20"/>
              </w:rPr>
              <w:t>Unidad de medida</w:t>
            </w:r>
          </w:p>
        </w:tc>
        <w:tc>
          <w:tcPr>
            <w:tcW w:w="5812" w:type="dxa"/>
            <w:tcBorders>
              <w:top w:val="single" w:sz="4" w:space="0" w:color="auto"/>
              <w:left w:val="single" w:sz="4" w:space="0" w:color="auto"/>
              <w:bottom w:val="single" w:sz="4" w:space="0" w:color="auto"/>
              <w:right w:val="single" w:sz="4" w:space="0" w:color="auto"/>
            </w:tcBorders>
            <w:vAlign w:val="center"/>
            <w:hideMark/>
          </w:tcPr>
          <w:p w14:paraId="2A1A0654" w14:textId="77777777" w:rsidR="00D921B6" w:rsidRPr="00A8316A" w:rsidRDefault="00D921B6" w:rsidP="00D921B6">
            <w:pPr>
              <w:tabs>
                <w:tab w:val="left" w:pos="0"/>
                <w:tab w:val="left" w:pos="283"/>
                <w:tab w:val="left" w:pos="567"/>
                <w:tab w:val="left" w:pos="849"/>
                <w:tab w:val="left" w:pos="1134"/>
                <w:tab w:val="left" w:pos="1644"/>
              </w:tabs>
              <w:spacing w:before="60" w:after="120" w:line="360" w:lineRule="auto"/>
              <w:ind w:left="568" w:hanging="568"/>
              <w:jc w:val="both"/>
              <w:rPr>
                <w:rFonts w:ascii="Arial" w:hAnsi="Arial" w:cs="Arial"/>
                <w:bCs/>
                <w:iCs/>
                <w:sz w:val="20"/>
              </w:rPr>
            </w:pPr>
            <w:r>
              <w:rPr>
                <w:rFonts w:ascii="Arial" w:hAnsi="Arial" w:cs="Arial"/>
                <w:bCs/>
                <w:iCs/>
                <w:sz w:val="20"/>
              </w:rPr>
              <w:t xml:space="preserve">Unidad </w:t>
            </w:r>
            <w:r w:rsidRPr="00A8316A">
              <w:rPr>
                <w:rFonts w:ascii="Arial" w:hAnsi="Arial" w:cs="Arial"/>
                <w:bCs/>
                <w:iCs/>
                <w:sz w:val="20"/>
              </w:rPr>
              <w:t>(</w:t>
            </w:r>
            <w:proofErr w:type="spellStart"/>
            <w:r>
              <w:rPr>
                <w:rFonts w:ascii="Arial" w:hAnsi="Arial" w:cs="Arial"/>
                <w:bCs/>
                <w:iCs/>
                <w:sz w:val="20"/>
              </w:rPr>
              <w:t>ud</w:t>
            </w:r>
            <w:proofErr w:type="spellEnd"/>
            <w:r w:rsidRPr="00A8316A">
              <w:rPr>
                <w:rFonts w:ascii="Arial" w:hAnsi="Arial" w:cs="Arial"/>
                <w:bCs/>
                <w:iCs/>
                <w:sz w:val="20"/>
              </w:rPr>
              <w:t>).</w:t>
            </w:r>
          </w:p>
        </w:tc>
      </w:tr>
      <w:tr w:rsidR="00D921B6" w:rsidRPr="00A8316A" w14:paraId="341D6B74" w14:textId="77777777" w:rsidTr="00866FC4">
        <w:tc>
          <w:tcPr>
            <w:tcW w:w="3189" w:type="dxa"/>
            <w:tcBorders>
              <w:top w:val="single" w:sz="4" w:space="0" w:color="auto"/>
              <w:left w:val="single" w:sz="4" w:space="0" w:color="auto"/>
              <w:bottom w:val="single" w:sz="4" w:space="0" w:color="auto"/>
              <w:right w:val="single" w:sz="4" w:space="0" w:color="auto"/>
            </w:tcBorders>
            <w:vAlign w:val="center"/>
            <w:hideMark/>
          </w:tcPr>
          <w:p w14:paraId="78D4DABA" w14:textId="77777777" w:rsidR="00D921B6" w:rsidRPr="00A8316A" w:rsidRDefault="00D921B6" w:rsidP="00866FC4">
            <w:pPr>
              <w:tabs>
                <w:tab w:val="left" w:pos="0"/>
                <w:tab w:val="left" w:pos="283"/>
                <w:tab w:val="left" w:pos="567"/>
                <w:tab w:val="left" w:pos="849"/>
                <w:tab w:val="left" w:pos="1134"/>
                <w:tab w:val="left" w:pos="1644"/>
              </w:tabs>
              <w:spacing w:before="60" w:after="120" w:line="360" w:lineRule="auto"/>
              <w:ind w:left="568" w:hanging="568"/>
              <w:jc w:val="center"/>
              <w:rPr>
                <w:rFonts w:ascii="Arial" w:hAnsi="Arial" w:cs="Arial"/>
                <w:b/>
                <w:bCs/>
                <w:iCs/>
                <w:sz w:val="20"/>
              </w:rPr>
            </w:pPr>
            <w:r w:rsidRPr="00A8316A">
              <w:rPr>
                <w:rFonts w:ascii="Arial" w:hAnsi="Arial" w:cs="Arial"/>
                <w:b/>
                <w:bCs/>
                <w:iCs/>
                <w:sz w:val="20"/>
              </w:rPr>
              <w:t>Grado de precisión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8D81153" w14:textId="77777777" w:rsidR="00D921B6" w:rsidRPr="00A8316A" w:rsidRDefault="00D921B6" w:rsidP="00D921B6">
            <w:pPr>
              <w:tabs>
                <w:tab w:val="left" w:pos="0"/>
                <w:tab w:val="left" w:pos="283"/>
                <w:tab w:val="left" w:pos="567"/>
                <w:tab w:val="left" w:pos="849"/>
                <w:tab w:val="left" w:pos="1134"/>
                <w:tab w:val="left" w:pos="1644"/>
              </w:tabs>
              <w:spacing w:before="60" w:after="120" w:line="360" w:lineRule="auto"/>
              <w:jc w:val="both"/>
              <w:rPr>
                <w:rFonts w:ascii="Arial" w:hAnsi="Arial" w:cs="Arial"/>
                <w:bCs/>
                <w:iCs/>
                <w:sz w:val="20"/>
              </w:rPr>
            </w:pPr>
            <w:r>
              <w:rPr>
                <w:rFonts w:ascii="Arial" w:hAnsi="Arial" w:cs="Arial"/>
                <w:bCs/>
                <w:iCs/>
                <w:sz w:val="20"/>
              </w:rPr>
              <w:t>Numero entero</w:t>
            </w:r>
            <w:r w:rsidRPr="00A8316A">
              <w:rPr>
                <w:rFonts w:ascii="Arial" w:hAnsi="Arial" w:cs="Arial"/>
                <w:bCs/>
                <w:iCs/>
                <w:sz w:val="20"/>
              </w:rPr>
              <w:t>.</w:t>
            </w:r>
          </w:p>
        </w:tc>
      </w:tr>
      <w:tr w:rsidR="00D921B6" w:rsidRPr="00A8316A" w14:paraId="5F28BF55" w14:textId="77777777" w:rsidTr="00866FC4">
        <w:tc>
          <w:tcPr>
            <w:tcW w:w="3189" w:type="dxa"/>
            <w:tcBorders>
              <w:top w:val="single" w:sz="4" w:space="0" w:color="auto"/>
              <w:left w:val="single" w:sz="4" w:space="0" w:color="auto"/>
              <w:bottom w:val="single" w:sz="4" w:space="0" w:color="auto"/>
              <w:right w:val="single" w:sz="4" w:space="0" w:color="auto"/>
            </w:tcBorders>
            <w:vAlign w:val="center"/>
            <w:hideMark/>
          </w:tcPr>
          <w:p w14:paraId="67B013DC" w14:textId="77777777" w:rsidR="00D921B6" w:rsidRPr="00A8316A" w:rsidRDefault="00D921B6" w:rsidP="00866FC4">
            <w:pPr>
              <w:tabs>
                <w:tab w:val="left" w:pos="0"/>
                <w:tab w:val="left" w:pos="283"/>
                <w:tab w:val="left" w:pos="567"/>
                <w:tab w:val="left" w:pos="849"/>
                <w:tab w:val="left" w:pos="1134"/>
                <w:tab w:val="left" w:pos="1644"/>
              </w:tabs>
              <w:spacing w:before="60" w:after="120" w:line="360" w:lineRule="auto"/>
              <w:ind w:left="568" w:hanging="568"/>
              <w:jc w:val="center"/>
              <w:rPr>
                <w:rFonts w:ascii="Arial" w:hAnsi="Arial" w:cs="Arial"/>
                <w:b/>
                <w:bCs/>
                <w:iCs/>
                <w:sz w:val="20"/>
              </w:rPr>
            </w:pPr>
            <w:r w:rsidRPr="00A8316A">
              <w:rPr>
                <w:rFonts w:ascii="Arial" w:hAnsi="Arial" w:cs="Arial"/>
                <w:b/>
                <w:bCs/>
                <w:iCs/>
                <w:sz w:val="20"/>
              </w:rPr>
              <w:t>Forma de medición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8F6CD24" w14:textId="77777777" w:rsidR="00D921B6" w:rsidRPr="00A8316A" w:rsidRDefault="00D921B6" w:rsidP="00D921B6">
            <w:pPr>
              <w:pStyle w:val="GTTTabla"/>
              <w:jc w:val="both"/>
              <w:rPr>
                <w:rFonts w:ascii="Arial" w:hAnsi="Arial" w:cs="Arial"/>
                <w:bCs/>
                <w:iCs/>
                <w:sz w:val="20"/>
                <w:szCs w:val="24"/>
              </w:rPr>
            </w:pPr>
            <w:r w:rsidRPr="00A8316A">
              <w:rPr>
                <w:rFonts w:ascii="Arial" w:hAnsi="Arial" w:cs="Arial"/>
                <w:sz w:val="20"/>
              </w:rPr>
              <w:t xml:space="preserve">Recuento de </w:t>
            </w:r>
            <w:r w:rsidR="00217216">
              <w:rPr>
                <w:rFonts w:ascii="Arial" w:hAnsi="Arial" w:cs="Arial"/>
                <w:sz w:val="20"/>
              </w:rPr>
              <w:t>señales</w:t>
            </w:r>
            <w:r w:rsidRPr="00A8316A">
              <w:rPr>
                <w:rFonts w:ascii="Arial" w:hAnsi="Arial" w:cs="Arial"/>
                <w:sz w:val="20"/>
              </w:rPr>
              <w:t xml:space="preserve"> realmente colocados en obra. </w:t>
            </w:r>
          </w:p>
        </w:tc>
      </w:tr>
      <w:tr w:rsidR="00D921B6" w:rsidRPr="00A8316A" w14:paraId="62DC6F43" w14:textId="77777777" w:rsidTr="00866FC4">
        <w:tc>
          <w:tcPr>
            <w:tcW w:w="3189" w:type="dxa"/>
            <w:tcBorders>
              <w:top w:val="single" w:sz="4" w:space="0" w:color="auto"/>
              <w:left w:val="single" w:sz="4" w:space="0" w:color="auto"/>
              <w:bottom w:val="single" w:sz="4" w:space="0" w:color="auto"/>
              <w:right w:val="single" w:sz="4" w:space="0" w:color="auto"/>
            </w:tcBorders>
            <w:vAlign w:val="center"/>
            <w:hideMark/>
          </w:tcPr>
          <w:p w14:paraId="3941173E" w14:textId="77777777" w:rsidR="00D921B6" w:rsidRPr="00A8316A" w:rsidRDefault="00D921B6" w:rsidP="00866FC4">
            <w:pPr>
              <w:tabs>
                <w:tab w:val="left" w:pos="0"/>
                <w:tab w:val="left" w:pos="283"/>
                <w:tab w:val="left" w:pos="567"/>
                <w:tab w:val="left" w:pos="849"/>
                <w:tab w:val="left" w:pos="1134"/>
                <w:tab w:val="left" w:pos="1644"/>
              </w:tabs>
              <w:spacing w:before="60" w:after="120" w:line="360" w:lineRule="auto"/>
              <w:ind w:left="568" w:hanging="568"/>
              <w:jc w:val="center"/>
              <w:rPr>
                <w:rFonts w:ascii="Arial" w:hAnsi="Arial" w:cs="Arial"/>
                <w:b/>
                <w:bCs/>
                <w:iCs/>
                <w:sz w:val="20"/>
              </w:rPr>
            </w:pPr>
            <w:r w:rsidRPr="00A8316A">
              <w:rPr>
                <w:rFonts w:ascii="Arial" w:hAnsi="Arial" w:cs="Arial"/>
                <w:b/>
                <w:bCs/>
                <w:iCs/>
                <w:sz w:val="20"/>
              </w:rPr>
              <w:t>Abono</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1256690" w14:textId="77777777" w:rsidR="00D921B6" w:rsidRPr="00A8316A" w:rsidRDefault="00D921B6" w:rsidP="00866FC4">
            <w:pPr>
              <w:tabs>
                <w:tab w:val="left" w:pos="0"/>
                <w:tab w:val="left" w:pos="283"/>
                <w:tab w:val="left" w:pos="567"/>
                <w:tab w:val="left" w:pos="849"/>
                <w:tab w:val="left" w:pos="1134"/>
                <w:tab w:val="left" w:pos="1644"/>
              </w:tabs>
              <w:spacing w:before="60" w:after="120" w:line="360" w:lineRule="auto"/>
              <w:ind w:left="568" w:hanging="568"/>
              <w:jc w:val="both"/>
              <w:rPr>
                <w:rFonts w:ascii="Arial" w:hAnsi="Arial" w:cs="Arial"/>
                <w:bCs/>
                <w:iCs/>
                <w:sz w:val="20"/>
              </w:rPr>
            </w:pPr>
            <w:r w:rsidRPr="00A8316A">
              <w:rPr>
                <w:rFonts w:ascii="Arial" w:hAnsi="Arial" w:cs="Arial"/>
                <w:bCs/>
                <w:iCs/>
                <w:sz w:val="20"/>
              </w:rPr>
              <w:t>Se efectuará cuando se realice la aceptación.</w:t>
            </w:r>
          </w:p>
        </w:tc>
      </w:tr>
      <w:tr w:rsidR="00D921B6" w:rsidRPr="00A8316A" w14:paraId="5898A812" w14:textId="77777777" w:rsidTr="00866FC4">
        <w:trPr>
          <w:cantSplit/>
        </w:trPr>
        <w:tc>
          <w:tcPr>
            <w:tcW w:w="3189" w:type="dxa"/>
            <w:tcBorders>
              <w:top w:val="single" w:sz="4" w:space="0" w:color="auto"/>
              <w:left w:val="single" w:sz="4" w:space="0" w:color="auto"/>
              <w:bottom w:val="single" w:sz="4" w:space="0" w:color="auto"/>
              <w:right w:val="single" w:sz="4" w:space="0" w:color="auto"/>
            </w:tcBorders>
            <w:vAlign w:val="center"/>
            <w:hideMark/>
          </w:tcPr>
          <w:p w14:paraId="3DA54C16" w14:textId="77777777" w:rsidR="00D921B6" w:rsidRPr="00A8316A" w:rsidRDefault="00D921B6" w:rsidP="00866FC4">
            <w:pPr>
              <w:tabs>
                <w:tab w:val="left" w:pos="0"/>
                <w:tab w:val="left" w:pos="283"/>
                <w:tab w:val="left" w:pos="567"/>
                <w:tab w:val="left" w:pos="849"/>
                <w:tab w:val="left" w:pos="1134"/>
                <w:tab w:val="left" w:pos="1644"/>
              </w:tabs>
              <w:spacing w:before="60" w:after="120" w:line="360" w:lineRule="auto"/>
              <w:ind w:left="568" w:hanging="568"/>
              <w:jc w:val="center"/>
              <w:rPr>
                <w:rFonts w:ascii="Arial" w:hAnsi="Arial" w:cs="Arial"/>
                <w:b/>
                <w:bCs/>
                <w:iCs/>
                <w:sz w:val="20"/>
              </w:rPr>
            </w:pPr>
            <w:r w:rsidRPr="00A8316A">
              <w:rPr>
                <w:rFonts w:ascii="Arial" w:hAnsi="Arial" w:cs="Arial"/>
                <w:b/>
                <w:bCs/>
                <w:iCs/>
                <w:sz w:val="20"/>
              </w:rPr>
              <w:t>Criterios complementarios</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964AD4E" w14:textId="77777777" w:rsidR="00D921B6" w:rsidRPr="00A8316A" w:rsidRDefault="00D921B6" w:rsidP="00866FC4">
            <w:pPr>
              <w:pStyle w:val="GTTTabla"/>
              <w:jc w:val="both"/>
              <w:rPr>
                <w:rFonts w:ascii="Arial" w:hAnsi="Arial" w:cs="Arial"/>
                <w:sz w:val="20"/>
              </w:rPr>
            </w:pPr>
            <w:r w:rsidRPr="00A8316A">
              <w:rPr>
                <w:rFonts w:ascii="Arial" w:hAnsi="Arial" w:cs="Arial"/>
                <w:sz w:val="20"/>
              </w:rPr>
              <w:t xml:space="preserve">El precio incluye la ejecución </w:t>
            </w:r>
            <w:r>
              <w:rPr>
                <w:rFonts w:ascii="Arial" w:hAnsi="Arial" w:cs="Arial"/>
                <w:sz w:val="20"/>
              </w:rPr>
              <w:t xml:space="preserve">de la </w:t>
            </w:r>
            <w:r w:rsidR="00217216">
              <w:rPr>
                <w:rFonts w:ascii="Arial" w:hAnsi="Arial" w:cs="Arial"/>
                <w:sz w:val="20"/>
              </w:rPr>
              <w:t>cimentación</w:t>
            </w:r>
            <w:r>
              <w:rPr>
                <w:rFonts w:ascii="Arial" w:hAnsi="Arial" w:cs="Arial"/>
                <w:sz w:val="20"/>
              </w:rPr>
              <w:t>, el poste y todos los elementos de anclaje.</w:t>
            </w:r>
          </w:p>
          <w:p w14:paraId="76593D7C" w14:textId="77777777" w:rsidR="00D921B6" w:rsidRPr="00A8316A" w:rsidRDefault="00D921B6" w:rsidP="00D921B6">
            <w:pPr>
              <w:pStyle w:val="GTTTabla"/>
              <w:jc w:val="both"/>
              <w:rPr>
                <w:rFonts w:ascii="Arial" w:hAnsi="Arial" w:cs="Arial"/>
                <w:bCs/>
                <w:iCs/>
                <w:sz w:val="20"/>
                <w:szCs w:val="24"/>
              </w:rPr>
            </w:pPr>
            <w:r w:rsidRPr="00A8316A">
              <w:rPr>
                <w:rFonts w:ascii="Arial" w:hAnsi="Arial" w:cs="Arial"/>
                <w:sz w:val="20"/>
              </w:rPr>
              <w:t>Durante el período de garantía especificado en este artículo o, en su defecto, en el artículo 701 del PG-3, el Contratista repondrá, a su costa, de los carteles que no cumplan las especificaciones del presente artículo de este Pliego, siempre y cuando el deterioro sea imputable a una calidad inadecuada de</w:t>
            </w:r>
            <w:r>
              <w:rPr>
                <w:rFonts w:ascii="Arial" w:hAnsi="Arial" w:cs="Arial"/>
                <w:sz w:val="20"/>
              </w:rPr>
              <w:t xml:space="preserve"> la señal</w:t>
            </w:r>
            <w:r w:rsidRPr="00A8316A">
              <w:rPr>
                <w:rFonts w:ascii="Arial" w:hAnsi="Arial" w:cs="Arial"/>
                <w:sz w:val="20"/>
              </w:rPr>
              <w:t>.</w:t>
            </w:r>
          </w:p>
        </w:tc>
      </w:tr>
    </w:tbl>
    <w:p w14:paraId="73749546" w14:textId="77777777" w:rsidR="002B430C" w:rsidRPr="0053403E" w:rsidRDefault="002B430C" w:rsidP="002B430C">
      <w:pPr>
        <w:pStyle w:val="GTTTabla"/>
        <w:jc w:val="both"/>
        <w:rPr>
          <w:rFonts w:ascii="Arial" w:hAnsi="Arial" w:cs="Arial"/>
          <w:sz w:val="2"/>
          <w:szCs w:val="2"/>
        </w:rPr>
      </w:pPr>
    </w:p>
    <w:p w14:paraId="5A8F9D5B" w14:textId="77777777" w:rsidR="00036C21" w:rsidRPr="005669AF" w:rsidRDefault="00036C21" w:rsidP="00036C21">
      <w:pPr>
        <w:pStyle w:val="TITU1"/>
        <w:rPr>
          <w:lang w:val="es-ES_tradnl"/>
        </w:rPr>
      </w:pPr>
      <w:bookmarkStart w:id="1119" w:name="_Toc404575"/>
      <w:bookmarkStart w:id="1120" w:name="_Toc492538125"/>
      <w:bookmarkStart w:id="1121" w:name="_Toc462759343"/>
      <w:bookmarkStart w:id="1122" w:name="_Ref462126570"/>
      <w:r w:rsidRPr="005669AF">
        <w:rPr>
          <w:lang w:val="es-ES_tradnl"/>
        </w:rPr>
        <w:lastRenderedPageBreak/>
        <w:t>Artículo 70</w:t>
      </w:r>
      <w:r w:rsidR="005669AF" w:rsidRPr="005669AF">
        <w:rPr>
          <w:lang w:val="es-ES_tradnl"/>
        </w:rPr>
        <w:t>2</w:t>
      </w:r>
      <w:r w:rsidRPr="005669AF">
        <w:rPr>
          <w:lang w:val="es-ES_tradnl"/>
        </w:rPr>
        <w:t xml:space="preserve">. </w:t>
      </w:r>
      <w:r w:rsidR="005669AF" w:rsidRPr="005669AF">
        <w:rPr>
          <w:lang w:val="es-ES_tradnl"/>
        </w:rPr>
        <w:t>Captafaros retrorreflectantes de utilización en señalizacion horizontal</w:t>
      </w:r>
      <w:bookmarkEnd w:id="1119"/>
    </w:p>
    <w:p w14:paraId="5294A0DF" w14:textId="77777777" w:rsidR="000E0236" w:rsidRPr="00E52DCB" w:rsidRDefault="000E0236" w:rsidP="000E0236">
      <w:pPr>
        <w:pStyle w:val="NORMAL12"/>
      </w:pPr>
      <w:r w:rsidRPr="00E52DCB">
        <w:t>Excepto para lo especificado en el presente Pliego de Prescripciones Técnicas particulares se seguirá lo prescrito en el vigente artículo 70</w:t>
      </w:r>
      <w:r w:rsidR="005669AF" w:rsidRPr="00E52DCB">
        <w:t>2</w:t>
      </w:r>
      <w:r w:rsidRPr="00E52DCB">
        <w:t xml:space="preserve"> del PG-3.</w:t>
      </w:r>
    </w:p>
    <w:p w14:paraId="2AEC6BAC" w14:textId="77777777" w:rsidR="00036C21" w:rsidRPr="00E52DCB" w:rsidRDefault="00036C21" w:rsidP="000313DD">
      <w:pPr>
        <w:pStyle w:val="TITU2"/>
      </w:pPr>
      <w:bookmarkStart w:id="1123" w:name="_Toc404576"/>
      <w:r w:rsidRPr="00E52DCB">
        <w:t>70</w:t>
      </w:r>
      <w:r w:rsidR="00E21AE7">
        <w:t>2</w:t>
      </w:r>
      <w:r w:rsidRPr="00E52DCB">
        <w:t>.1. Definición y aplicación</w:t>
      </w:r>
      <w:bookmarkEnd w:id="1123"/>
    </w:p>
    <w:p w14:paraId="4AEB6519" w14:textId="77777777" w:rsidR="005669AF" w:rsidRPr="00E52DCB" w:rsidRDefault="005669AF" w:rsidP="005669AF">
      <w:pPr>
        <w:pStyle w:val="NORMAL12"/>
      </w:pPr>
      <w:r w:rsidRPr="00E52DCB">
        <w:t xml:space="preserve">Se define como </w:t>
      </w:r>
      <w:proofErr w:type="spellStart"/>
      <w:r w:rsidRPr="00E52DCB">
        <w:t>captafaro</w:t>
      </w:r>
      <w:proofErr w:type="spellEnd"/>
      <w:r w:rsidRPr="00E52DCB">
        <w:t xml:space="preserve"> </w:t>
      </w:r>
      <w:proofErr w:type="spellStart"/>
      <w:r w:rsidRPr="00E52DCB">
        <w:t>retrorreflectante</w:t>
      </w:r>
      <w:proofErr w:type="spellEnd"/>
      <w:r w:rsidRPr="00E52DCB">
        <w:t xml:space="preserve"> aquel elemento de guía horizontal </w:t>
      </w:r>
      <w:r w:rsidR="00217216" w:rsidRPr="00E52DCB">
        <w:t>que refleja</w:t>
      </w:r>
      <w:r w:rsidRPr="00E52DCB">
        <w:t xml:space="preserve"> la luz incidente por medio de retrorreflectores para advertir, guiar o informar a</w:t>
      </w:r>
      <w:r w:rsidR="00E52DCB" w:rsidRPr="00E52DCB">
        <w:t xml:space="preserve"> </w:t>
      </w:r>
      <w:r w:rsidRPr="00E52DCB">
        <w:t>los usuarios de la carretera.</w:t>
      </w:r>
    </w:p>
    <w:p w14:paraId="43925217" w14:textId="77777777" w:rsidR="005669AF" w:rsidRPr="00E52DCB" w:rsidRDefault="005669AF" w:rsidP="005669AF">
      <w:pPr>
        <w:pStyle w:val="NORMAL12"/>
      </w:pPr>
      <w:r w:rsidRPr="00E52DCB">
        <w:t>Se adopta los términos y definiciones incluidas en las normas UNE-EN 1463-1 y UNE-EN 1463-2</w:t>
      </w:r>
    </w:p>
    <w:p w14:paraId="5F64064F" w14:textId="77777777" w:rsidR="00036C21" w:rsidRPr="00E52DCB" w:rsidRDefault="00036C21" w:rsidP="00036C21">
      <w:pPr>
        <w:pStyle w:val="NORMAL12"/>
      </w:pPr>
      <w:r w:rsidRPr="00E52DCB">
        <w:t xml:space="preserve">Las prescripciones del presente artículo </w:t>
      </w:r>
      <w:proofErr w:type="gramStart"/>
      <w:r w:rsidRPr="00E52DCB">
        <w:t>son de aplicación</w:t>
      </w:r>
      <w:proofErr w:type="gramEnd"/>
      <w:r w:rsidRPr="00E52DCB">
        <w:t xml:space="preserve"> a las unidades de obra siguientes:</w:t>
      </w:r>
    </w:p>
    <w:tbl>
      <w:tblPr>
        <w:tblW w:w="5000" w:type="pct"/>
        <w:tblCellMar>
          <w:left w:w="70" w:type="dxa"/>
          <w:right w:w="70" w:type="dxa"/>
        </w:tblCellMar>
        <w:tblLook w:val="04A0" w:firstRow="1" w:lastRow="0" w:firstColumn="1" w:lastColumn="0" w:noHBand="0" w:noVBand="1"/>
      </w:tblPr>
      <w:tblGrid>
        <w:gridCol w:w="1207"/>
        <w:gridCol w:w="696"/>
        <w:gridCol w:w="7875"/>
      </w:tblGrid>
      <w:tr w:rsidR="00E52DCB" w:rsidRPr="00E52DCB" w14:paraId="009DD122" w14:textId="77777777" w:rsidTr="00A5751E">
        <w:trPr>
          <w:trHeight w:val="378"/>
        </w:trPr>
        <w:tc>
          <w:tcPr>
            <w:tcW w:w="617" w:type="pct"/>
            <w:noWrap/>
          </w:tcPr>
          <w:p w14:paraId="1B52E941" w14:textId="77777777" w:rsidR="00273192" w:rsidRPr="00E52DCB" w:rsidRDefault="00273192" w:rsidP="00A5751E">
            <w:pPr>
              <w:rPr>
                <w:rFonts w:ascii="Calibri" w:hAnsi="Calibri" w:cs="Calibri"/>
              </w:rPr>
            </w:pPr>
            <w:r w:rsidRPr="00E52DCB">
              <w:rPr>
                <w:rFonts w:ascii="Calibri" w:hAnsi="Calibri" w:cs="Calibri"/>
              </w:rPr>
              <w:t>702.0010</w:t>
            </w:r>
          </w:p>
        </w:tc>
        <w:tc>
          <w:tcPr>
            <w:tcW w:w="356" w:type="pct"/>
            <w:noWrap/>
          </w:tcPr>
          <w:p w14:paraId="56CB334F" w14:textId="77777777" w:rsidR="00273192" w:rsidRPr="00E52DCB" w:rsidRDefault="00273192" w:rsidP="00A5751E">
            <w:pPr>
              <w:rPr>
                <w:rFonts w:ascii="Calibri" w:hAnsi="Calibri" w:cs="Calibri"/>
              </w:rPr>
            </w:pPr>
            <w:proofErr w:type="spellStart"/>
            <w:r w:rsidRPr="00E52DCB">
              <w:rPr>
                <w:rFonts w:ascii="Calibri" w:hAnsi="Calibri" w:cs="Calibri"/>
              </w:rPr>
              <w:t>ud</w:t>
            </w:r>
            <w:proofErr w:type="spellEnd"/>
          </w:p>
        </w:tc>
        <w:tc>
          <w:tcPr>
            <w:tcW w:w="4027" w:type="pct"/>
          </w:tcPr>
          <w:p w14:paraId="4C7C4F97" w14:textId="77777777" w:rsidR="00273192" w:rsidRPr="00E52DCB" w:rsidRDefault="00273192" w:rsidP="00273192">
            <w:pPr>
              <w:jc w:val="both"/>
              <w:rPr>
                <w:rFonts w:ascii="Calibri" w:hAnsi="Calibri" w:cs="Calibri"/>
              </w:rPr>
            </w:pPr>
            <w:r w:rsidRPr="00E52DCB">
              <w:rPr>
                <w:rFonts w:ascii="Calibri" w:hAnsi="Calibri" w:cs="Calibri"/>
              </w:rPr>
              <w:t>CAPTAFAROS HORIZONTAL "OJO DE GATO", CON REFLECTANCIA A UNA CARA.</w:t>
            </w:r>
          </w:p>
          <w:p w14:paraId="5806314A" w14:textId="77777777" w:rsidR="00273192" w:rsidRPr="00E52DCB" w:rsidRDefault="00273192" w:rsidP="00A5751E">
            <w:pPr>
              <w:jc w:val="both"/>
              <w:rPr>
                <w:rFonts w:ascii="Calibri" w:hAnsi="Calibri" w:cs="Calibri"/>
              </w:rPr>
            </w:pPr>
          </w:p>
        </w:tc>
      </w:tr>
    </w:tbl>
    <w:p w14:paraId="416CB262" w14:textId="77777777" w:rsidR="00036C21" w:rsidRPr="00E52DCB" w:rsidRDefault="00036C21" w:rsidP="00036C21">
      <w:pPr>
        <w:tabs>
          <w:tab w:val="left" w:pos="567"/>
          <w:tab w:val="left" w:pos="1134"/>
          <w:tab w:val="left" w:pos="1701"/>
        </w:tabs>
        <w:spacing w:line="360" w:lineRule="auto"/>
        <w:rPr>
          <w:rFonts w:ascii="Arial" w:hAnsi="Arial" w:cs="Arial"/>
          <w:lang w:val="es-ES_tradnl"/>
        </w:rPr>
      </w:pPr>
      <w:r w:rsidRPr="00E52DCB">
        <w:rPr>
          <w:rFonts w:ascii="Arial" w:hAnsi="Arial" w:cs="Arial"/>
          <w:lang w:val="es-ES_tradnl"/>
        </w:rPr>
        <w:t xml:space="preserve">La </w:t>
      </w:r>
      <w:r w:rsidR="00F83B62" w:rsidRPr="00E52DCB">
        <w:rPr>
          <w:rFonts w:ascii="Arial" w:hAnsi="Arial" w:cs="Arial"/>
          <w:lang w:val="es-ES_tradnl"/>
        </w:rPr>
        <w:t>ejecución</w:t>
      </w:r>
      <w:r w:rsidRPr="00E52DCB">
        <w:rPr>
          <w:rFonts w:ascii="Arial" w:hAnsi="Arial" w:cs="Arial"/>
          <w:lang w:val="es-ES_tradnl"/>
        </w:rPr>
        <w:t xml:space="preserve"> de la unidad incluye la realización de las operaciones siguientes:</w:t>
      </w:r>
    </w:p>
    <w:p w14:paraId="020439D1" w14:textId="77777777" w:rsidR="00036C21" w:rsidRPr="00E52DCB" w:rsidRDefault="00036C21" w:rsidP="000313DD">
      <w:pPr>
        <w:pStyle w:val="NORMAL12"/>
        <w:numPr>
          <w:ilvl w:val="0"/>
          <w:numId w:val="226"/>
        </w:numPr>
      </w:pPr>
      <w:r w:rsidRPr="00E52DCB">
        <w:t>Replanteo de la posición del elemento</w:t>
      </w:r>
    </w:p>
    <w:p w14:paraId="772AA831" w14:textId="77777777" w:rsidR="00036C21" w:rsidRPr="00E52DCB" w:rsidRDefault="00F83B62" w:rsidP="000313DD">
      <w:pPr>
        <w:pStyle w:val="NORMAL12"/>
        <w:numPr>
          <w:ilvl w:val="0"/>
          <w:numId w:val="226"/>
        </w:numPr>
      </w:pPr>
      <w:r w:rsidRPr="00E52DCB">
        <w:t>Preparación</w:t>
      </w:r>
      <w:r w:rsidR="00036C21" w:rsidRPr="00E52DCB">
        <w:t xml:space="preserve"> de la superficie de asiento</w:t>
      </w:r>
    </w:p>
    <w:p w14:paraId="3A835285" w14:textId="77777777" w:rsidR="00036C21" w:rsidRPr="00E52DCB" w:rsidRDefault="00036C21" w:rsidP="000313DD">
      <w:pPr>
        <w:pStyle w:val="NORMAL12"/>
        <w:numPr>
          <w:ilvl w:val="0"/>
          <w:numId w:val="226"/>
        </w:numPr>
      </w:pPr>
      <w:r w:rsidRPr="00E52DCB">
        <w:t>Colocación de los elementos de anclaje</w:t>
      </w:r>
    </w:p>
    <w:p w14:paraId="5B018651" w14:textId="77777777" w:rsidR="00036C21" w:rsidRPr="00E52DCB" w:rsidRDefault="00036C21" w:rsidP="000313DD">
      <w:pPr>
        <w:pStyle w:val="NORMAL12"/>
        <w:numPr>
          <w:ilvl w:val="0"/>
          <w:numId w:val="226"/>
        </w:numPr>
      </w:pPr>
      <w:r w:rsidRPr="00E52DCB">
        <w:t>Colocación del elemento de balizamiento</w:t>
      </w:r>
    </w:p>
    <w:p w14:paraId="648AAEA2" w14:textId="77777777" w:rsidR="00036C21" w:rsidRPr="00E52DCB" w:rsidRDefault="00036C21" w:rsidP="000313DD">
      <w:pPr>
        <w:pStyle w:val="TITU2"/>
      </w:pPr>
      <w:bookmarkStart w:id="1124" w:name="_Toc404577"/>
      <w:r w:rsidRPr="00E52DCB">
        <w:t>70</w:t>
      </w:r>
      <w:r w:rsidR="00E21AE7">
        <w:t>2</w:t>
      </w:r>
      <w:r w:rsidRPr="00E52DCB">
        <w:t>.2. Tipos</w:t>
      </w:r>
      <w:bookmarkEnd w:id="1124"/>
    </w:p>
    <w:p w14:paraId="375A7B8E" w14:textId="77777777" w:rsidR="00E52DCB" w:rsidRPr="00E52DCB" w:rsidRDefault="00E52DCB" w:rsidP="00E52DCB">
      <w:pPr>
        <w:pStyle w:val="NORMAL12"/>
        <w:rPr>
          <w:lang w:val="es-ES"/>
        </w:rPr>
      </w:pPr>
      <w:r w:rsidRPr="00E52DCB">
        <w:rPr>
          <w:lang w:val="es-ES"/>
        </w:rPr>
        <w:t xml:space="preserve">En todo caso se emplearán </w:t>
      </w:r>
      <w:proofErr w:type="spellStart"/>
      <w:r w:rsidRPr="00E52DCB">
        <w:rPr>
          <w:lang w:val="es-ES"/>
        </w:rPr>
        <w:t>captafaros</w:t>
      </w:r>
      <w:proofErr w:type="spellEnd"/>
      <w:r w:rsidRPr="00E52DCB">
        <w:rPr>
          <w:lang w:val="es-ES"/>
        </w:rPr>
        <w:t xml:space="preserve"> reflectantes de carácter permanente</w:t>
      </w:r>
      <w:r w:rsidR="004C457F">
        <w:rPr>
          <w:lang w:val="es-ES"/>
        </w:rPr>
        <w:t>.</w:t>
      </w:r>
    </w:p>
    <w:p w14:paraId="2542D659" w14:textId="77777777" w:rsidR="004C457F" w:rsidRDefault="00E52DCB" w:rsidP="004C457F">
      <w:pPr>
        <w:pStyle w:val="NORMAL12"/>
        <w:rPr>
          <w:lang w:val="es-ES"/>
        </w:rPr>
      </w:pPr>
      <w:r w:rsidRPr="00E52DCB">
        <w:rPr>
          <w:lang w:val="es-ES"/>
        </w:rPr>
        <w:t>En función del tipo de retrorreflector</w:t>
      </w:r>
      <w:r w:rsidR="001F1CA7">
        <w:rPr>
          <w:lang w:val="es-ES"/>
        </w:rPr>
        <w:t xml:space="preserve"> son tipo (3) plástico con superficie resistente a la abrasión.</w:t>
      </w:r>
      <w:r w:rsidRPr="00E52DCB">
        <w:rPr>
          <w:lang w:val="es-ES"/>
        </w:rPr>
        <w:t xml:space="preserve"> </w:t>
      </w:r>
      <w:r w:rsidR="001F1CA7">
        <w:rPr>
          <w:lang w:val="es-ES"/>
        </w:rPr>
        <w:t>Por su diseño son tipo (A) No deformable.</w:t>
      </w:r>
    </w:p>
    <w:p w14:paraId="1025CD0E" w14:textId="77777777" w:rsidR="00E52DCB" w:rsidRDefault="00E52DCB" w:rsidP="000313DD">
      <w:pPr>
        <w:pStyle w:val="TITU2"/>
      </w:pPr>
      <w:bookmarkStart w:id="1125" w:name="_Toc404578"/>
      <w:r w:rsidRPr="00E52DCB">
        <w:t>70</w:t>
      </w:r>
      <w:r w:rsidR="00E21AE7">
        <w:t>2</w:t>
      </w:r>
      <w:r w:rsidRPr="00E52DCB">
        <w:t>.</w:t>
      </w:r>
      <w:r>
        <w:t>3</w:t>
      </w:r>
      <w:r w:rsidRPr="00E52DCB">
        <w:t xml:space="preserve">. </w:t>
      </w:r>
      <w:r>
        <w:t>Materiales</w:t>
      </w:r>
      <w:bookmarkEnd w:id="1125"/>
    </w:p>
    <w:p w14:paraId="153858D2" w14:textId="77777777" w:rsidR="00E52DCB" w:rsidRPr="005B53D9" w:rsidRDefault="00E52DCB" w:rsidP="00E52DCB">
      <w:pPr>
        <w:pStyle w:val="NORMAL12"/>
      </w:pPr>
      <w:r w:rsidRPr="005B53D9">
        <w:t xml:space="preserve">Los </w:t>
      </w:r>
      <w:proofErr w:type="spellStart"/>
      <w:r w:rsidRPr="005B53D9">
        <w:t>captafaros</w:t>
      </w:r>
      <w:proofErr w:type="spellEnd"/>
      <w:r w:rsidRPr="005B53D9">
        <w:t xml:space="preserve"> diseñados para permanecer sobre la superficie de la carretera sobresaldrán una altura perteneciente </w:t>
      </w:r>
      <w:r w:rsidR="001F1CA7">
        <w:t xml:space="preserve">Clase H2 según </w:t>
      </w:r>
      <w:r w:rsidRPr="005B53D9">
        <w:t>norma</w:t>
      </w:r>
      <w:r w:rsidR="005B53D9">
        <w:t xml:space="preserve"> </w:t>
      </w:r>
      <w:r w:rsidRPr="005B53D9">
        <w:t>UNE-EN 1463-1</w:t>
      </w:r>
      <w:r w:rsidR="001F1CA7">
        <w:t>.</w:t>
      </w:r>
    </w:p>
    <w:p w14:paraId="2DB435C0" w14:textId="77777777" w:rsidR="00E52DCB" w:rsidRPr="005B53D9" w:rsidRDefault="00E52DCB" w:rsidP="00E52DCB">
      <w:pPr>
        <w:pStyle w:val="NORMAL12"/>
      </w:pPr>
      <w:r w:rsidRPr="005B53D9">
        <w:t xml:space="preserve">Las dimensiones en planta de la parte expuesta al </w:t>
      </w:r>
      <w:proofErr w:type="gramStart"/>
      <w:r w:rsidRPr="005B53D9">
        <w:t>tráfico,</w:t>
      </w:r>
      <w:proofErr w:type="gramEnd"/>
      <w:r w:rsidRPr="005B53D9">
        <w:t xml:space="preserve"> deben ser del tipo HD1 según la norma UNE-EN 1463-1</w:t>
      </w:r>
    </w:p>
    <w:p w14:paraId="757EC8D5" w14:textId="77777777" w:rsidR="00E52DCB" w:rsidRPr="005B53D9" w:rsidRDefault="00E52DCB" w:rsidP="00E52DCB">
      <w:pPr>
        <w:pStyle w:val="NORMAL12"/>
      </w:pPr>
      <w:r w:rsidRPr="005B53D9">
        <w:t xml:space="preserve">Se emplearán </w:t>
      </w:r>
      <w:proofErr w:type="spellStart"/>
      <w:r w:rsidRPr="005B53D9">
        <w:t>captafaros</w:t>
      </w:r>
      <w:proofErr w:type="spellEnd"/>
      <w:r w:rsidRPr="005B53D9">
        <w:t xml:space="preserve"> que garanticen su visibilidad nocturna según la norma UNE-EN-1463-1. Serán de clase PRP 1n en cuanto a los requisitos fotométricos y de clase NCR 1 respecto a los colorimétricos.</w:t>
      </w:r>
    </w:p>
    <w:p w14:paraId="1BEB9B87" w14:textId="77777777" w:rsidR="00E52DCB" w:rsidRPr="005B53D9" w:rsidRDefault="00E52DCB" w:rsidP="00E52DCB">
      <w:pPr>
        <w:pStyle w:val="NORMAL12"/>
      </w:pPr>
      <w:r w:rsidRPr="005B53D9">
        <w:t>Tendrán una durabilidad de clase S1 para la evaluación primaria y de clase R1 para la visibilidad nocturna según norma UNE-EN 1463-2</w:t>
      </w:r>
      <w:r w:rsidR="004C457F">
        <w:t>.</w:t>
      </w:r>
    </w:p>
    <w:p w14:paraId="38BA3F2B" w14:textId="77777777" w:rsidR="00E52DCB" w:rsidRPr="00D63504" w:rsidRDefault="00E52DCB" w:rsidP="00E52DCB">
      <w:pPr>
        <w:pStyle w:val="NORMAL12"/>
      </w:pPr>
      <w:r w:rsidRPr="005B53D9">
        <w:t xml:space="preserve">En la fabricación de </w:t>
      </w:r>
      <w:proofErr w:type="spellStart"/>
      <w:r w:rsidRPr="005B53D9">
        <w:t>captafaros</w:t>
      </w:r>
      <w:proofErr w:type="spellEnd"/>
      <w:r w:rsidRPr="005B53D9">
        <w:t xml:space="preserve"> </w:t>
      </w:r>
      <w:proofErr w:type="spellStart"/>
      <w:r w:rsidRPr="005B53D9">
        <w:t>retrorreflectantes</w:t>
      </w:r>
      <w:proofErr w:type="spellEnd"/>
      <w:r w:rsidRPr="005B53D9">
        <w:t xml:space="preserve"> se podrá utilizar (excepto para el</w:t>
      </w:r>
      <w:r w:rsidR="005B53D9">
        <w:t xml:space="preserve"> </w:t>
      </w:r>
      <w:r w:rsidRPr="005B53D9">
        <w:t>retrorreflector) cualquier material (</w:t>
      </w:r>
      <w:proofErr w:type="spellStart"/>
      <w:r w:rsidRPr="005B53D9">
        <w:t>elastomérico</w:t>
      </w:r>
      <w:proofErr w:type="spellEnd"/>
      <w:r w:rsidRPr="005B53D9">
        <w:t>, cerámico o metálico), siempre que</w:t>
      </w:r>
      <w:r w:rsidR="005B53D9">
        <w:t xml:space="preserve"> </w:t>
      </w:r>
      <w:r w:rsidRPr="005B53D9">
        <w:t>cumpla con lo especificado en este artículo y disponga del correspondiente marcado</w:t>
      </w:r>
      <w:r w:rsidR="005B53D9">
        <w:t xml:space="preserve"> </w:t>
      </w:r>
      <w:r w:rsidRPr="005B53D9">
        <w:t>CE según la norma UNE-EN 1463-1.</w:t>
      </w:r>
    </w:p>
    <w:p w14:paraId="5C162624" w14:textId="77777777" w:rsidR="00036C21" w:rsidRPr="00D63504" w:rsidRDefault="00036C21" w:rsidP="000313DD">
      <w:pPr>
        <w:pStyle w:val="TITU2"/>
      </w:pPr>
      <w:bookmarkStart w:id="1126" w:name="_Toc404579"/>
      <w:r w:rsidRPr="00D63504">
        <w:t>70</w:t>
      </w:r>
      <w:r w:rsidR="00E21AE7" w:rsidRPr="00D63504">
        <w:t>2</w:t>
      </w:r>
      <w:r w:rsidRPr="00D63504">
        <w:t>.</w:t>
      </w:r>
      <w:r w:rsidR="00E21AE7" w:rsidRPr="00D63504">
        <w:t>4</w:t>
      </w:r>
      <w:r w:rsidRPr="00D63504">
        <w:t>. Ejecución de las obras</w:t>
      </w:r>
      <w:bookmarkEnd w:id="1126"/>
    </w:p>
    <w:p w14:paraId="58C224E5" w14:textId="77777777" w:rsidR="00E52DCB" w:rsidRPr="00D63504" w:rsidRDefault="00217216" w:rsidP="00E52DCB">
      <w:pPr>
        <w:pStyle w:val="NORMAL12"/>
      </w:pPr>
      <w:r w:rsidRPr="00D63504">
        <w:t>Preparación</w:t>
      </w:r>
      <w:r w:rsidR="00E52DCB" w:rsidRPr="00D63504">
        <w:t xml:space="preserve"> de la superficie de aplicación</w:t>
      </w:r>
    </w:p>
    <w:p w14:paraId="2B0E3BA9" w14:textId="77777777" w:rsidR="00E52DCB" w:rsidRPr="00D63504" w:rsidRDefault="00E21AE7" w:rsidP="00E21AE7">
      <w:pPr>
        <w:pStyle w:val="NORMAL12"/>
      </w:pPr>
      <w:r w:rsidRPr="00D63504">
        <w:t xml:space="preserve">Antes de proceder a la instalación de los </w:t>
      </w:r>
      <w:proofErr w:type="spellStart"/>
      <w:r w:rsidRPr="00D63504">
        <w:t>captafaros</w:t>
      </w:r>
      <w:proofErr w:type="spellEnd"/>
      <w:r w:rsidRPr="00D63504">
        <w:t xml:space="preserve"> </w:t>
      </w:r>
      <w:proofErr w:type="spellStart"/>
      <w:r w:rsidRPr="00D63504">
        <w:t>retrorreflectantes</w:t>
      </w:r>
      <w:proofErr w:type="spellEnd"/>
      <w:r w:rsidRPr="00D63504">
        <w:t xml:space="preserve"> se realizará una</w:t>
      </w:r>
      <w:r w:rsidR="005B53D9" w:rsidRPr="00D63504">
        <w:t xml:space="preserve"> </w:t>
      </w:r>
      <w:r w:rsidRPr="00D63504">
        <w:t>inspección de la superficie del pavimento a fin de comprobar su estado y la existencia</w:t>
      </w:r>
      <w:r w:rsidR="005B53D9" w:rsidRPr="00D63504">
        <w:t xml:space="preserve"> </w:t>
      </w:r>
      <w:r w:rsidRPr="00D63504">
        <w:t xml:space="preserve">de posibles defectos, efectuándose en caso necesario una limpieza de </w:t>
      </w:r>
      <w:proofErr w:type="gramStart"/>
      <w:r w:rsidRPr="00D63504">
        <w:t>la misma</w:t>
      </w:r>
      <w:proofErr w:type="gramEnd"/>
      <w:r w:rsidRPr="00D63504">
        <w:t>, para</w:t>
      </w:r>
      <w:r w:rsidR="005B53D9" w:rsidRPr="00D63504">
        <w:t xml:space="preserve"> </w:t>
      </w:r>
      <w:r w:rsidRPr="00D63504">
        <w:t>eliminar la suciedad u otros elementos contaminantes que pudieran influir</w:t>
      </w:r>
      <w:r w:rsidR="005B53D9" w:rsidRPr="00D63504">
        <w:t xml:space="preserve"> </w:t>
      </w:r>
      <w:r w:rsidRPr="00D63504">
        <w:t xml:space="preserve">negativamente en la fijación de </w:t>
      </w:r>
      <w:proofErr w:type="gramStart"/>
      <w:r w:rsidRPr="00D63504">
        <w:t>los mismos</w:t>
      </w:r>
      <w:proofErr w:type="gramEnd"/>
      <w:r w:rsidRPr="00D63504">
        <w:t>.</w:t>
      </w:r>
    </w:p>
    <w:p w14:paraId="5C138D65" w14:textId="77777777" w:rsidR="00E21AE7" w:rsidRPr="00D63504" w:rsidRDefault="00E21AE7" w:rsidP="00E21AE7">
      <w:pPr>
        <w:pStyle w:val="NORMAL12"/>
      </w:pPr>
      <w:r w:rsidRPr="00D63504">
        <w:t>Si la superficie presentara defectos o desnivelaciones apreciables, se corregirán los</w:t>
      </w:r>
      <w:r w:rsidR="005B53D9" w:rsidRPr="00D63504">
        <w:t xml:space="preserve"> </w:t>
      </w:r>
      <w:r w:rsidRPr="00D63504">
        <w:t>primeros y se rellenarán los últimos con materiales de análoga naturaleza a los</w:t>
      </w:r>
      <w:r w:rsidR="005B53D9" w:rsidRPr="00D63504">
        <w:t xml:space="preserve"> </w:t>
      </w:r>
      <w:r w:rsidRPr="00D63504">
        <w:t>existentes.</w:t>
      </w:r>
    </w:p>
    <w:p w14:paraId="75245513" w14:textId="77777777" w:rsidR="00E21AE7" w:rsidRPr="00D63504" w:rsidRDefault="00E21AE7" w:rsidP="00E21AE7">
      <w:pPr>
        <w:pStyle w:val="NORMAL12"/>
      </w:pPr>
      <w:r w:rsidRPr="00D63504">
        <w:t>Se llevará a cabo el replanteo de la posición para una correcta ejecución</w:t>
      </w:r>
    </w:p>
    <w:p w14:paraId="0DE09DA3" w14:textId="77777777" w:rsidR="00E21AE7" w:rsidRPr="00D63504" w:rsidRDefault="00E21AE7" w:rsidP="000313DD">
      <w:pPr>
        <w:pStyle w:val="TITU2"/>
      </w:pPr>
      <w:bookmarkStart w:id="1127" w:name="_Toc404580"/>
      <w:r w:rsidRPr="00D63504">
        <w:t>702.5. Limitaciones de la ejecución</w:t>
      </w:r>
      <w:bookmarkEnd w:id="1127"/>
    </w:p>
    <w:p w14:paraId="7D0C20B2" w14:textId="77777777" w:rsidR="00E21AE7" w:rsidRPr="005B53D9" w:rsidRDefault="00E21AE7" w:rsidP="00E21AE7">
      <w:pPr>
        <w:pStyle w:val="NORMAL12"/>
      </w:pPr>
      <w:r w:rsidRPr="00D63504">
        <w:t xml:space="preserve">El contratista someterá a la aprobación del </w:t>
      </w:r>
      <w:proofErr w:type="gramStart"/>
      <w:r w:rsidRPr="00D63504">
        <w:t>Director</w:t>
      </w:r>
      <w:proofErr w:type="gramEnd"/>
      <w:r w:rsidRPr="005B53D9">
        <w:t xml:space="preserve"> de Obra el tipo de </w:t>
      </w:r>
      <w:proofErr w:type="spellStart"/>
      <w:r w:rsidRPr="005B53D9">
        <w:t>captafaro</w:t>
      </w:r>
      <w:proofErr w:type="spellEnd"/>
      <w:r w:rsidRPr="005B53D9">
        <w:t xml:space="preserve"> a instalar.</w:t>
      </w:r>
    </w:p>
    <w:p w14:paraId="554F4C7E" w14:textId="77777777" w:rsidR="00E21AE7" w:rsidRPr="005B53D9" w:rsidRDefault="00E21AE7" w:rsidP="00E21AE7">
      <w:pPr>
        <w:pStyle w:val="NORMAL12"/>
      </w:pPr>
      <w:r w:rsidRPr="005B53D9">
        <w:t xml:space="preserve">No se instalará ningún </w:t>
      </w:r>
      <w:proofErr w:type="spellStart"/>
      <w:r w:rsidRPr="005B53D9">
        <w:t>captafaro</w:t>
      </w:r>
      <w:proofErr w:type="spellEnd"/>
      <w:r w:rsidRPr="005B53D9">
        <w:t xml:space="preserve"> sin la aprobación previa del </w:t>
      </w:r>
      <w:proofErr w:type="gramStart"/>
      <w:r w:rsidRPr="005B53D9">
        <w:t>Director</w:t>
      </w:r>
      <w:proofErr w:type="gramEnd"/>
      <w:r w:rsidRPr="005B53D9">
        <w:t xml:space="preserve"> de Obra.</w:t>
      </w:r>
    </w:p>
    <w:p w14:paraId="5E36531E" w14:textId="77777777" w:rsidR="00E21AE7" w:rsidRPr="005B53D9" w:rsidRDefault="00E21AE7" w:rsidP="00E21AE7">
      <w:pPr>
        <w:pStyle w:val="NORMAL12"/>
      </w:pPr>
      <w:r w:rsidRPr="005B53D9">
        <w:t>La apertura al tráfico se llevará a cabo en condiciones de seguridad una vez finalizada la instalación de los elementos de balizamiento.</w:t>
      </w:r>
    </w:p>
    <w:p w14:paraId="651F7B77" w14:textId="77777777" w:rsidR="00E21AE7" w:rsidRPr="004C457F" w:rsidRDefault="00E21AE7" w:rsidP="00E21AE7">
      <w:pPr>
        <w:pStyle w:val="NORMAL12"/>
      </w:pPr>
      <w:r w:rsidRPr="005B53D9">
        <w:t xml:space="preserve">No </w:t>
      </w:r>
      <w:proofErr w:type="gramStart"/>
      <w:r w:rsidRPr="005B53D9">
        <w:t>obstante</w:t>
      </w:r>
      <w:proofErr w:type="gramEnd"/>
      <w:r w:rsidRPr="005B53D9">
        <w:t xml:space="preserve"> antes de proceder a la instalación se llevará a cabo la señalización de las </w:t>
      </w:r>
      <w:r w:rsidRPr="004C457F">
        <w:t xml:space="preserve">obras según lo establecido en el proyecto. </w:t>
      </w:r>
    </w:p>
    <w:p w14:paraId="03D06EB5" w14:textId="77777777" w:rsidR="00036C21" w:rsidRPr="004C457F" w:rsidRDefault="00036C21" w:rsidP="000313DD">
      <w:pPr>
        <w:pStyle w:val="TITU2"/>
      </w:pPr>
      <w:bookmarkStart w:id="1128" w:name="_Toc404581"/>
      <w:r w:rsidRPr="004C457F">
        <w:lastRenderedPageBreak/>
        <w:t>70</w:t>
      </w:r>
      <w:r w:rsidR="00E21AE7" w:rsidRPr="004C457F">
        <w:t>2</w:t>
      </w:r>
      <w:r w:rsidRPr="004C457F">
        <w:t>.</w:t>
      </w:r>
      <w:r w:rsidR="00E21AE7" w:rsidRPr="004C457F">
        <w:t>6</w:t>
      </w:r>
      <w:r w:rsidRPr="004C457F">
        <w:t>. Control de calidad</w:t>
      </w:r>
      <w:bookmarkEnd w:id="1128"/>
    </w:p>
    <w:p w14:paraId="6E33CD80" w14:textId="77777777" w:rsidR="00E21AE7" w:rsidRPr="005B53D9" w:rsidRDefault="00E21AE7" w:rsidP="00E21AE7">
      <w:pPr>
        <w:pStyle w:val="NORMAL12"/>
      </w:pPr>
      <w:r w:rsidRPr="005B53D9">
        <w:t xml:space="preserve">En todo caso se cumplirá lo prescrito para el control de calidad en el artículo 702 del lPG-3. </w:t>
      </w:r>
      <w:r w:rsidR="00217216" w:rsidRPr="005B53D9">
        <w:t>Distinguiéndose</w:t>
      </w:r>
      <w:r w:rsidRPr="005B53D9">
        <w:t xml:space="preserve"> el control de calidad según las siguientes fases:</w:t>
      </w:r>
    </w:p>
    <w:p w14:paraId="545F86BC" w14:textId="77777777" w:rsidR="00E21AE7" w:rsidRPr="00CF7652" w:rsidRDefault="00E21AE7" w:rsidP="00E21AE7">
      <w:pPr>
        <w:pStyle w:val="NORMAL12"/>
        <w:rPr>
          <w:i/>
          <w:u w:val="single"/>
        </w:rPr>
      </w:pPr>
      <w:r w:rsidRPr="00CF7652">
        <w:rPr>
          <w:i/>
          <w:u w:val="single"/>
        </w:rPr>
        <w:t>De los materiales</w:t>
      </w:r>
    </w:p>
    <w:p w14:paraId="6FC0AF0A" w14:textId="77777777" w:rsidR="00E21AE7" w:rsidRPr="005B53D9" w:rsidRDefault="00E21AE7" w:rsidP="00E21AE7">
      <w:pPr>
        <w:pStyle w:val="NORMAL12"/>
      </w:pPr>
      <w:r w:rsidRPr="005B53D9">
        <w:t xml:space="preserve">El contratista facilitará al </w:t>
      </w:r>
      <w:proofErr w:type="gramStart"/>
      <w:r w:rsidRPr="005B53D9">
        <w:t>Director</w:t>
      </w:r>
      <w:proofErr w:type="gramEnd"/>
      <w:r w:rsidRPr="005B53D9">
        <w:t xml:space="preserve"> de Obra las instrucciones para la </w:t>
      </w:r>
      <w:r w:rsidR="00217216" w:rsidRPr="005B53D9">
        <w:t>conservación</w:t>
      </w:r>
      <w:r w:rsidRPr="005B53D9">
        <w:t xml:space="preserve"> de los </w:t>
      </w:r>
      <w:proofErr w:type="spellStart"/>
      <w:r w:rsidRPr="005B53D9">
        <w:t>captafaros</w:t>
      </w:r>
      <w:proofErr w:type="spellEnd"/>
      <w:r w:rsidRPr="005B53D9">
        <w:t xml:space="preserve"> una vez instalados.</w:t>
      </w:r>
    </w:p>
    <w:p w14:paraId="4E07FD2E" w14:textId="77777777" w:rsidR="00E21AE7" w:rsidRPr="005B53D9" w:rsidRDefault="00E21AE7" w:rsidP="00E21AE7">
      <w:pPr>
        <w:pStyle w:val="NORMAL12"/>
      </w:pPr>
      <w:r w:rsidRPr="005B53D9">
        <w:t xml:space="preserve">El </w:t>
      </w:r>
      <w:proofErr w:type="gramStart"/>
      <w:r w:rsidRPr="005B53D9">
        <w:t>Director</w:t>
      </w:r>
      <w:proofErr w:type="gramEnd"/>
      <w:r w:rsidRPr="005B53D9">
        <w:t xml:space="preserve"> de las Obras, en el uso de sus atribuciones, podrá comprobar sobre una</w:t>
      </w:r>
      <w:r w:rsidR="005B53D9">
        <w:t xml:space="preserve"> </w:t>
      </w:r>
      <w:r w:rsidRPr="005B53D9">
        <w:t xml:space="preserve">muestra representativa de los </w:t>
      </w:r>
      <w:proofErr w:type="spellStart"/>
      <w:r w:rsidRPr="005B53D9">
        <w:t>captafaros</w:t>
      </w:r>
      <w:proofErr w:type="spellEnd"/>
      <w:r w:rsidRPr="005B53D9">
        <w:t xml:space="preserve"> </w:t>
      </w:r>
      <w:proofErr w:type="spellStart"/>
      <w:r w:rsidRPr="005B53D9">
        <w:t>retrorreflectantes</w:t>
      </w:r>
      <w:proofErr w:type="spellEnd"/>
      <w:r w:rsidRPr="005B53D9">
        <w:t xml:space="preserve"> suministrados a la obra,</w:t>
      </w:r>
      <w:r w:rsidR="005B53D9">
        <w:t xml:space="preserve"> </w:t>
      </w:r>
      <w:r w:rsidRPr="005B53D9">
        <w:t xml:space="preserve">que la marca, referencia y características de </w:t>
      </w:r>
      <w:proofErr w:type="gramStart"/>
      <w:r w:rsidRPr="005B53D9">
        <w:t>los mismos</w:t>
      </w:r>
      <w:proofErr w:type="gramEnd"/>
      <w:r w:rsidRPr="005B53D9">
        <w:t xml:space="preserve"> se corresponde con la</w:t>
      </w:r>
      <w:r w:rsidR="005B53D9">
        <w:t xml:space="preserve"> </w:t>
      </w:r>
      <w:r w:rsidRPr="005B53D9">
        <w:t xml:space="preserve">declarada en la documentación que </w:t>
      </w:r>
      <w:proofErr w:type="gramStart"/>
      <w:r w:rsidRPr="005B53D9">
        <w:t>les</w:t>
      </w:r>
      <w:proofErr w:type="gramEnd"/>
      <w:r w:rsidRPr="005B53D9">
        <w:t xml:space="preserve"> acompaña.</w:t>
      </w:r>
    </w:p>
    <w:p w14:paraId="2388B2F1" w14:textId="77777777" w:rsidR="00E21AE7" w:rsidRPr="005B53D9" w:rsidRDefault="00E21AE7" w:rsidP="00E21AE7">
      <w:pPr>
        <w:pStyle w:val="NORMAL12"/>
      </w:pPr>
      <w:r w:rsidRPr="005B53D9">
        <w:t>Se tomarán dos (2) muestras con los criterios anteriores dedicándose una de ellas a</w:t>
      </w:r>
      <w:r w:rsidR="005B53D9">
        <w:t xml:space="preserve"> </w:t>
      </w:r>
      <w:r w:rsidRPr="005B53D9">
        <w:t xml:space="preserve">la realización de ensayos y quedando la otra bajo la custodia del </w:t>
      </w:r>
      <w:proofErr w:type="gramStart"/>
      <w:r w:rsidRPr="005B53D9">
        <w:t>Director</w:t>
      </w:r>
      <w:proofErr w:type="gramEnd"/>
      <w:r w:rsidRPr="005B53D9">
        <w:t xml:space="preserve"> de las</w:t>
      </w:r>
      <w:r w:rsidR="005B53D9">
        <w:t xml:space="preserve"> </w:t>
      </w:r>
      <w:r w:rsidRPr="005B53D9">
        <w:t>Obras, con el fin de poder efectuar ensayos de contraste si fueran necesarios.</w:t>
      </w:r>
    </w:p>
    <w:p w14:paraId="4E458A3D" w14:textId="77777777" w:rsidR="00E21AE7" w:rsidRPr="005B53D9" w:rsidRDefault="00E21AE7" w:rsidP="00E21AE7">
      <w:pPr>
        <w:pStyle w:val="NORMAL12"/>
      </w:pPr>
      <w:r w:rsidRPr="005B53D9">
        <w:t xml:space="preserve">Antes de iniciar la instalación de los </w:t>
      </w:r>
      <w:proofErr w:type="spellStart"/>
      <w:r w:rsidRPr="005B53D9">
        <w:t>captafaros</w:t>
      </w:r>
      <w:proofErr w:type="spellEnd"/>
      <w:r w:rsidRPr="005B53D9">
        <w:t>, se llevarán a cabo los ensayos de</w:t>
      </w:r>
      <w:r w:rsidR="005B53D9">
        <w:t xml:space="preserve"> </w:t>
      </w:r>
      <w:r w:rsidRPr="005B53D9">
        <w:t>comprobación especificados en el apartado 5.3 de la norma UNE-EN 1463-1</w:t>
      </w:r>
      <w:r w:rsidR="005B53D9">
        <w:t xml:space="preserve"> </w:t>
      </w:r>
      <w:r w:rsidRPr="005B53D9">
        <w:t>(Visibilidad nocturna), tanto sobre requisitos fotométricos, como sobre requisitos</w:t>
      </w:r>
      <w:r w:rsidR="005B53D9">
        <w:t xml:space="preserve"> </w:t>
      </w:r>
      <w:r w:rsidRPr="005B53D9">
        <w:t xml:space="preserve">colorimétricos. Independientemente de lo anterior, el </w:t>
      </w:r>
      <w:proofErr w:type="gramStart"/>
      <w:r w:rsidRPr="005B53D9">
        <w:t>Director</w:t>
      </w:r>
      <w:proofErr w:type="gramEnd"/>
      <w:r w:rsidRPr="005B53D9">
        <w:t xml:space="preserve"> de las Obras, podrá</w:t>
      </w:r>
      <w:r w:rsidR="005B53D9">
        <w:t xml:space="preserve"> </w:t>
      </w:r>
      <w:r w:rsidRPr="005B53D9">
        <w:t>llevar a cabo, en todo momento, los ensayos de comprobación que considere</w:t>
      </w:r>
      <w:r w:rsidR="005B53D9">
        <w:t xml:space="preserve"> </w:t>
      </w:r>
      <w:r w:rsidRPr="005B53D9">
        <w:t>oportunos.</w:t>
      </w:r>
    </w:p>
    <w:p w14:paraId="5CD512F6" w14:textId="77777777" w:rsidR="00E21AE7" w:rsidRPr="005B53D9" w:rsidRDefault="00E21AE7" w:rsidP="00E21AE7">
      <w:pPr>
        <w:pStyle w:val="NORMAL12"/>
        <w:rPr>
          <w:i/>
          <w:u w:val="single"/>
        </w:rPr>
      </w:pPr>
      <w:r w:rsidRPr="005B53D9">
        <w:rPr>
          <w:i/>
          <w:u w:val="single"/>
        </w:rPr>
        <w:t>De la instalación:</w:t>
      </w:r>
    </w:p>
    <w:p w14:paraId="7545482C" w14:textId="77777777" w:rsidR="00E21AE7" w:rsidRPr="005B53D9" w:rsidRDefault="00E21AE7" w:rsidP="00E21AE7">
      <w:pPr>
        <w:pStyle w:val="NORMAL12"/>
      </w:pPr>
      <w:r w:rsidRPr="005B53D9">
        <w:t>No se utilizarán materiales que presenten cualquier tipo de alteración o deterioro, que</w:t>
      </w:r>
      <w:r w:rsidR="005B53D9">
        <w:t xml:space="preserve"> </w:t>
      </w:r>
      <w:r w:rsidRPr="005B53D9">
        <w:t>no hayan sido almacenados y conservados en condiciones adecuadas de acuerdo</w:t>
      </w:r>
      <w:r w:rsidR="005B53D9">
        <w:t xml:space="preserve"> </w:t>
      </w:r>
      <w:r w:rsidRPr="005B53D9">
        <w:t>con las instrucciones del fabricante, o cuya fecha de fabricación sea anterior en más</w:t>
      </w:r>
      <w:r w:rsidR="005B53D9">
        <w:t xml:space="preserve"> </w:t>
      </w:r>
      <w:r w:rsidRPr="005B53D9">
        <w:t>de doce (12) meses a la de su puesta en obra.</w:t>
      </w:r>
    </w:p>
    <w:p w14:paraId="7DEEB3E5" w14:textId="77777777" w:rsidR="00E21AE7" w:rsidRPr="005B53D9" w:rsidRDefault="00E21AE7" w:rsidP="005B53D9">
      <w:pPr>
        <w:pStyle w:val="NORMAL12"/>
      </w:pPr>
      <w:r w:rsidRPr="005B53D9">
        <w:t xml:space="preserve">Diariamente, el Contratista facilitará al </w:t>
      </w:r>
      <w:proofErr w:type="gramStart"/>
      <w:r w:rsidRPr="005B53D9">
        <w:t>Director</w:t>
      </w:r>
      <w:proofErr w:type="gramEnd"/>
      <w:r w:rsidRPr="005B53D9">
        <w:t xml:space="preserve"> de las Obras un parte de obra en el</w:t>
      </w:r>
      <w:r w:rsidR="005B53D9">
        <w:t xml:space="preserve"> </w:t>
      </w:r>
      <w:r w:rsidRPr="005B53D9">
        <w:t>que deberá figurar, al menos, la siguiente información:</w:t>
      </w:r>
    </w:p>
    <w:p w14:paraId="49785865" w14:textId="77777777" w:rsidR="00E21AE7" w:rsidRPr="005B53D9" w:rsidRDefault="00E21AE7" w:rsidP="000313DD">
      <w:pPr>
        <w:pStyle w:val="NORMAL12"/>
        <w:numPr>
          <w:ilvl w:val="0"/>
          <w:numId w:val="226"/>
        </w:numPr>
      </w:pPr>
      <w:r w:rsidRPr="005B53D9">
        <w:t xml:space="preserve">Fabricante y designación de la marca comercial del </w:t>
      </w:r>
      <w:proofErr w:type="spellStart"/>
      <w:r w:rsidRPr="005B53D9">
        <w:t>captafaro</w:t>
      </w:r>
      <w:proofErr w:type="spellEnd"/>
      <w:r w:rsidRPr="005B53D9">
        <w:t>.</w:t>
      </w:r>
    </w:p>
    <w:p w14:paraId="28E3EC71" w14:textId="77777777" w:rsidR="00E21AE7" w:rsidRPr="005B53D9" w:rsidRDefault="00E21AE7" w:rsidP="000313DD">
      <w:pPr>
        <w:pStyle w:val="NORMAL12"/>
        <w:numPr>
          <w:ilvl w:val="0"/>
          <w:numId w:val="226"/>
        </w:numPr>
      </w:pPr>
      <w:r w:rsidRPr="005B53D9">
        <w:t xml:space="preserve">Referencia de los lotes de los </w:t>
      </w:r>
      <w:proofErr w:type="spellStart"/>
      <w:r w:rsidRPr="005B53D9">
        <w:t>captafaros</w:t>
      </w:r>
      <w:proofErr w:type="spellEnd"/>
      <w:r w:rsidRPr="005B53D9">
        <w:t xml:space="preserve"> instalados.</w:t>
      </w:r>
    </w:p>
    <w:p w14:paraId="4AF2650C" w14:textId="77777777" w:rsidR="00E21AE7" w:rsidRPr="005B53D9" w:rsidRDefault="00E21AE7" w:rsidP="000313DD">
      <w:pPr>
        <w:pStyle w:val="NORMAL12"/>
        <w:numPr>
          <w:ilvl w:val="0"/>
          <w:numId w:val="226"/>
        </w:numPr>
      </w:pPr>
      <w:r w:rsidRPr="005B53D9">
        <w:t>Fecha de instalación.</w:t>
      </w:r>
    </w:p>
    <w:p w14:paraId="501B4776" w14:textId="77777777" w:rsidR="00E21AE7" w:rsidRPr="005B53D9" w:rsidRDefault="00E21AE7" w:rsidP="000313DD">
      <w:pPr>
        <w:pStyle w:val="NORMAL12"/>
        <w:numPr>
          <w:ilvl w:val="0"/>
          <w:numId w:val="226"/>
        </w:numPr>
      </w:pPr>
      <w:r w:rsidRPr="005B53D9">
        <w:t>Localización de la obra y estado de la superficie.</w:t>
      </w:r>
    </w:p>
    <w:p w14:paraId="41916C5C" w14:textId="77777777" w:rsidR="00E21AE7" w:rsidRPr="005B53D9" w:rsidRDefault="00E21AE7" w:rsidP="000313DD">
      <w:pPr>
        <w:pStyle w:val="NORMAL12"/>
        <w:numPr>
          <w:ilvl w:val="0"/>
          <w:numId w:val="226"/>
        </w:numPr>
      </w:pPr>
      <w:r w:rsidRPr="005B53D9">
        <w:t xml:space="preserve">Número y características, de los </w:t>
      </w:r>
      <w:proofErr w:type="spellStart"/>
      <w:r w:rsidRPr="005B53D9">
        <w:t>captafaros</w:t>
      </w:r>
      <w:proofErr w:type="spellEnd"/>
      <w:r w:rsidRPr="005B53D9">
        <w:t xml:space="preserve"> instalados.</w:t>
      </w:r>
    </w:p>
    <w:p w14:paraId="02F6CDE2" w14:textId="77777777" w:rsidR="00E21AE7" w:rsidRPr="005B53D9" w:rsidRDefault="005B53D9" w:rsidP="000313DD">
      <w:pPr>
        <w:pStyle w:val="NORMAL12"/>
        <w:numPr>
          <w:ilvl w:val="0"/>
          <w:numId w:val="226"/>
        </w:numPr>
      </w:pPr>
      <w:r>
        <w:t>T</w:t>
      </w:r>
      <w:r w:rsidR="00E21AE7" w:rsidRPr="005B53D9">
        <w:t xml:space="preserve">ipos de </w:t>
      </w:r>
      <w:proofErr w:type="spellStart"/>
      <w:r w:rsidR="00E21AE7" w:rsidRPr="005B53D9">
        <w:t>captafaros</w:t>
      </w:r>
      <w:proofErr w:type="spellEnd"/>
      <w:r w:rsidR="00E21AE7" w:rsidRPr="005B53D9">
        <w:t xml:space="preserve"> y de los sistemas de fijación utilizados.</w:t>
      </w:r>
    </w:p>
    <w:p w14:paraId="5144FD04" w14:textId="77777777" w:rsidR="00E21AE7" w:rsidRPr="005B53D9" w:rsidRDefault="00E21AE7" w:rsidP="000313DD">
      <w:pPr>
        <w:pStyle w:val="NORMAL12"/>
        <w:numPr>
          <w:ilvl w:val="0"/>
          <w:numId w:val="226"/>
        </w:numPr>
        <w:rPr>
          <w:lang w:val="es-ES"/>
        </w:rPr>
      </w:pPr>
      <w:r w:rsidRPr="005B53D9">
        <w:t>Observaciones e incidencias durante la instalación que, a juicio del</w:t>
      </w:r>
      <w:r w:rsidR="005B53D9">
        <w:t xml:space="preserve"> </w:t>
      </w:r>
      <w:r w:rsidRPr="005B53D9">
        <w:rPr>
          <w:rFonts w:ascii="ArialMT" w:hAnsi="ArialMT" w:cs="ArialMT"/>
        </w:rPr>
        <w:t xml:space="preserve">Contratista, </w:t>
      </w:r>
      <w:r w:rsidR="00217216" w:rsidRPr="005B53D9">
        <w:rPr>
          <w:rFonts w:ascii="ArialMT" w:hAnsi="ArialMT" w:cs="ArialMT"/>
        </w:rPr>
        <w:t>pudieran</w:t>
      </w:r>
      <w:r w:rsidRPr="005B53D9">
        <w:rPr>
          <w:rFonts w:ascii="ArialMT" w:hAnsi="ArialMT" w:cs="ArialMT"/>
        </w:rPr>
        <w:t xml:space="preserve"> incidir en las características y durabilidad de los </w:t>
      </w:r>
      <w:proofErr w:type="spellStart"/>
      <w:r w:rsidRPr="005B53D9">
        <w:rPr>
          <w:rFonts w:ascii="ArialMT" w:hAnsi="ArialMT" w:cs="ArialMT"/>
        </w:rPr>
        <w:t>captafaros</w:t>
      </w:r>
      <w:proofErr w:type="spellEnd"/>
    </w:p>
    <w:p w14:paraId="5EAB58D9" w14:textId="77777777" w:rsidR="00E21AE7" w:rsidRPr="00CF7652" w:rsidRDefault="00E21AE7" w:rsidP="00E21AE7">
      <w:pPr>
        <w:autoSpaceDE w:val="0"/>
        <w:autoSpaceDN w:val="0"/>
        <w:adjustRightInd w:val="0"/>
        <w:rPr>
          <w:rFonts w:ascii="ArialMT" w:hAnsi="ArialMT" w:cs="ArialMT"/>
          <w:i/>
          <w:u w:val="single"/>
          <w:lang w:eastAsia="en-US"/>
        </w:rPr>
      </w:pPr>
      <w:r w:rsidRPr="00CF7652">
        <w:rPr>
          <w:rFonts w:ascii="ArialMT" w:hAnsi="ArialMT" w:cs="ArialMT"/>
          <w:i/>
          <w:u w:val="single"/>
          <w:lang w:eastAsia="en-US"/>
        </w:rPr>
        <w:t>De la unidad terminada</w:t>
      </w:r>
    </w:p>
    <w:p w14:paraId="6E7C57DE" w14:textId="77777777" w:rsidR="00E21AE7" w:rsidRPr="005B53D9" w:rsidRDefault="00E21AE7" w:rsidP="00E21AE7">
      <w:pPr>
        <w:autoSpaceDE w:val="0"/>
        <w:autoSpaceDN w:val="0"/>
        <w:adjustRightInd w:val="0"/>
        <w:rPr>
          <w:rFonts w:ascii="ArialMT" w:hAnsi="ArialMT" w:cs="ArialMT"/>
          <w:u w:val="single"/>
          <w:lang w:eastAsia="en-US"/>
        </w:rPr>
      </w:pPr>
    </w:p>
    <w:p w14:paraId="3343D417" w14:textId="77777777" w:rsidR="00E21AE7" w:rsidRPr="005B53D9" w:rsidRDefault="00E21AE7" w:rsidP="005B53D9">
      <w:pPr>
        <w:pStyle w:val="NORMAL12"/>
      </w:pPr>
      <w:r w:rsidRPr="005B53D9">
        <w:t>Finalizadas las obras de instalación, y antes de cumplirse el período de garantía, se</w:t>
      </w:r>
      <w:r w:rsidR="005B53D9">
        <w:t xml:space="preserve"> </w:t>
      </w:r>
      <w:r w:rsidRPr="005B53D9">
        <w:t xml:space="preserve">llevarán a cabo controles periódicos para determinar el número de </w:t>
      </w:r>
      <w:proofErr w:type="spellStart"/>
      <w:r w:rsidRPr="005B53D9">
        <w:t>captafaros</w:t>
      </w:r>
      <w:proofErr w:type="spellEnd"/>
      <w:r w:rsidR="005B53D9">
        <w:t xml:space="preserve"> </w:t>
      </w:r>
      <w:proofErr w:type="spellStart"/>
      <w:r w:rsidRPr="005B53D9">
        <w:t>retrorreflectantes</w:t>
      </w:r>
      <w:proofErr w:type="spellEnd"/>
      <w:r w:rsidRPr="005B53D9">
        <w:t xml:space="preserve"> que permanecen fijados a la superficie del pavimento o que hayan</w:t>
      </w:r>
      <w:r w:rsidR="005B53D9">
        <w:t xml:space="preserve"> </w:t>
      </w:r>
      <w:r w:rsidRPr="005B53D9">
        <w:t>perdido su posición original con respecto a la dirección del tráfico.</w:t>
      </w:r>
    </w:p>
    <w:p w14:paraId="4C2C3452" w14:textId="77777777" w:rsidR="00E21AE7" w:rsidRPr="005B53D9" w:rsidRDefault="00E21AE7" w:rsidP="005B53D9">
      <w:pPr>
        <w:pStyle w:val="NORMAL12"/>
      </w:pPr>
      <w:r w:rsidRPr="005B53D9">
        <w:t>A tal fin, la obra será dividida en tramos de control cuyo número será función del</w:t>
      </w:r>
      <w:r w:rsidR="005B53D9">
        <w:t xml:space="preserve"> </w:t>
      </w:r>
      <w:r w:rsidRPr="005B53D9">
        <w:t xml:space="preserve">tamaño de </w:t>
      </w:r>
      <w:proofErr w:type="gramStart"/>
      <w:r w:rsidRPr="005B53D9">
        <w:t>la misma</w:t>
      </w:r>
      <w:proofErr w:type="gramEnd"/>
      <w:r w:rsidRPr="005B53D9">
        <w:t xml:space="preserve"> y del número de </w:t>
      </w:r>
      <w:proofErr w:type="spellStart"/>
      <w:r w:rsidRPr="005B53D9">
        <w:t>captafaros</w:t>
      </w:r>
      <w:proofErr w:type="spellEnd"/>
      <w:r w:rsidRPr="005B53D9">
        <w:t xml:space="preserve"> </w:t>
      </w:r>
      <w:proofErr w:type="spellStart"/>
      <w:r w:rsidRPr="005B53D9">
        <w:t>retrorreflectantes</w:t>
      </w:r>
      <w:proofErr w:type="spellEnd"/>
      <w:r w:rsidRPr="005B53D9">
        <w:t xml:space="preserve"> utilizados de un</w:t>
      </w:r>
      <w:r w:rsidR="005B53D9">
        <w:t xml:space="preserve"> </w:t>
      </w:r>
      <w:r w:rsidRPr="005B53D9">
        <w:t>mismo tipo.</w:t>
      </w:r>
    </w:p>
    <w:p w14:paraId="56E00FF2" w14:textId="77777777" w:rsidR="00E21AE7" w:rsidRPr="005B53D9" w:rsidRDefault="00E21AE7" w:rsidP="00E21AE7">
      <w:pPr>
        <w:pStyle w:val="NORMAL12"/>
      </w:pPr>
      <w:r w:rsidRPr="005B53D9">
        <w:t xml:space="preserve">El </w:t>
      </w:r>
      <w:proofErr w:type="gramStart"/>
      <w:r w:rsidRPr="005B53D9">
        <w:t>Director</w:t>
      </w:r>
      <w:proofErr w:type="gramEnd"/>
      <w:r w:rsidRPr="005B53D9">
        <w:t xml:space="preserve"> de las Obras, en el uso de sus atribuciones, podrá comprobar, tantas</w:t>
      </w:r>
      <w:r w:rsidR="005B53D9">
        <w:t xml:space="preserve"> </w:t>
      </w:r>
      <w:r w:rsidRPr="005B53D9">
        <w:t>veces como considere oportuno durante el período de garantía de las obras, que los</w:t>
      </w:r>
      <w:r w:rsidR="005B53D9">
        <w:t xml:space="preserve"> </w:t>
      </w:r>
      <w:proofErr w:type="spellStart"/>
      <w:r w:rsidRPr="005B53D9">
        <w:t>captafaros</w:t>
      </w:r>
      <w:proofErr w:type="spellEnd"/>
      <w:r w:rsidRPr="005B53D9">
        <w:t xml:space="preserve"> </w:t>
      </w:r>
      <w:proofErr w:type="spellStart"/>
      <w:r w:rsidRPr="005B53D9">
        <w:t>retrorreflectantes</w:t>
      </w:r>
      <w:proofErr w:type="spellEnd"/>
      <w:r w:rsidRPr="005B53D9">
        <w:t xml:space="preserve"> instalados cumplen las características y las</w:t>
      </w:r>
      <w:r w:rsidR="005B53D9">
        <w:t xml:space="preserve"> </w:t>
      </w:r>
      <w:r w:rsidRPr="005B53D9">
        <w:t>especificaciones que figuren en el Pliego de Prescripciones Técnicas Particulares.</w:t>
      </w:r>
    </w:p>
    <w:p w14:paraId="6CD08ECD" w14:textId="77777777" w:rsidR="00036C21" w:rsidRPr="00D63504" w:rsidRDefault="005B53D9" w:rsidP="000313DD">
      <w:pPr>
        <w:pStyle w:val="TITU2"/>
      </w:pPr>
      <w:bookmarkStart w:id="1129" w:name="_Toc404582"/>
      <w:r w:rsidRPr="00D63504">
        <w:t>70</w:t>
      </w:r>
      <w:r w:rsidR="00D63504">
        <w:t>2</w:t>
      </w:r>
      <w:r w:rsidRPr="00D63504">
        <w:t>.7</w:t>
      </w:r>
      <w:r w:rsidR="00036C21" w:rsidRPr="00D63504">
        <w:t>.  Condiciones de aceptación o rechazo</w:t>
      </w:r>
      <w:bookmarkEnd w:id="1129"/>
    </w:p>
    <w:p w14:paraId="18035126" w14:textId="77777777" w:rsidR="005B53D9" w:rsidRPr="00D63504" w:rsidRDefault="005B53D9" w:rsidP="005B53D9">
      <w:pPr>
        <w:pStyle w:val="NORMAL12"/>
      </w:pPr>
      <w:r w:rsidRPr="00D63504">
        <w:t>Se rechazarán todos los materiales de un mismo tipo acopiados cuyas muestras representativas, una vez efectuados los correspondientes ensayos, no cumplan con los requisitos exigidos.</w:t>
      </w:r>
    </w:p>
    <w:p w14:paraId="524CF040" w14:textId="77777777" w:rsidR="005B53D9" w:rsidRPr="005B53D9" w:rsidRDefault="005B53D9" w:rsidP="005B53D9">
      <w:pPr>
        <w:pStyle w:val="NORMAL12"/>
      </w:pPr>
      <w:r w:rsidRPr="005B53D9">
        <w:t xml:space="preserve">Se rechazarán todos los </w:t>
      </w:r>
      <w:proofErr w:type="spellStart"/>
      <w:r w:rsidRPr="005B53D9">
        <w:t>captafaros</w:t>
      </w:r>
      <w:proofErr w:type="spellEnd"/>
      <w:r w:rsidRPr="005B53D9">
        <w:t xml:space="preserve"> instalados de un mismo tipo, si en las</w:t>
      </w:r>
      <w:r>
        <w:t xml:space="preserve"> </w:t>
      </w:r>
      <w:r w:rsidRPr="005B53D9">
        <w:t>correspondientes inspecciones no se cumplen los requisitos de comprobación</w:t>
      </w:r>
      <w:r>
        <w:t xml:space="preserve"> </w:t>
      </w:r>
      <w:r w:rsidRPr="005B53D9">
        <w:t>especificados en el epígrafe 702.6.2.3 del PG-3, debiendo ser retirados y repuestos por otros</w:t>
      </w:r>
      <w:r>
        <w:t xml:space="preserve"> </w:t>
      </w:r>
      <w:r w:rsidRPr="005B53D9">
        <w:t>nuevos por parte del Contratista a su costa.</w:t>
      </w:r>
    </w:p>
    <w:p w14:paraId="6CA9B218" w14:textId="77777777" w:rsidR="005B53D9" w:rsidRPr="005B53D9" w:rsidRDefault="005B53D9" w:rsidP="005B53D9">
      <w:pPr>
        <w:pStyle w:val="NORMAL12"/>
        <w:rPr>
          <w:i/>
          <w:u w:val="single"/>
        </w:rPr>
      </w:pPr>
      <w:r w:rsidRPr="005B53D9">
        <w:rPr>
          <w:i/>
          <w:u w:val="single"/>
        </w:rPr>
        <w:t>Unidad terminada</w:t>
      </w:r>
    </w:p>
    <w:p w14:paraId="452243AC" w14:textId="77777777" w:rsidR="005B53D9" w:rsidRDefault="005B53D9" w:rsidP="005B53D9">
      <w:pPr>
        <w:pStyle w:val="NORMAL12"/>
        <w:rPr>
          <w:rFonts w:ascii="ArialMT" w:hAnsi="ArialMT" w:cs="ArialMT"/>
        </w:rPr>
      </w:pPr>
      <w:r w:rsidRPr="005B53D9">
        <w:t xml:space="preserve">Se rechazarán todos los </w:t>
      </w:r>
      <w:proofErr w:type="spellStart"/>
      <w:r w:rsidRPr="005B53D9">
        <w:t>captafaros</w:t>
      </w:r>
      <w:proofErr w:type="spellEnd"/>
      <w:r w:rsidRPr="005B53D9">
        <w:t xml:space="preserve"> </w:t>
      </w:r>
      <w:proofErr w:type="spellStart"/>
      <w:r w:rsidRPr="005B53D9">
        <w:t>retrorreflectantes</w:t>
      </w:r>
      <w:proofErr w:type="spellEnd"/>
      <w:r w:rsidRPr="005B53D9">
        <w:t xml:space="preserve"> instalados dentro de un mismo</w:t>
      </w:r>
      <w:r w:rsidR="004D1ADC">
        <w:t xml:space="preserve"> </w:t>
      </w:r>
      <w:r w:rsidRPr="005B53D9">
        <w:t>tramo de control, si en las correspondientes inspecciones se da alguno de los</w:t>
      </w:r>
      <w:r w:rsidR="004D1ADC">
        <w:t xml:space="preserve"> </w:t>
      </w:r>
      <w:r w:rsidRPr="005B53D9">
        <w:t>siguientes supuestos:</w:t>
      </w:r>
    </w:p>
    <w:p w14:paraId="4E8AE830" w14:textId="77777777" w:rsidR="005B53D9" w:rsidRPr="004D1ADC" w:rsidRDefault="005B53D9" w:rsidP="000313DD">
      <w:pPr>
        <w:pStyle w:val="NORMAL12"/>
        <w:numPr>
          <w:ilvl w:val="0"/>
          <w:numId w:val="259"/>
        </w:numPr>
      </w:pPr>
      <w:r w:rsidRPr="004D1ADC">
        <w:t xml:space="preserve">El número de </w:t>
      </w:r>
      <w:proofErr w:type="spellStart"/>
      <w:r w:rsidRPr="004D1ADC">
        <w:t>captafaros</w:t>
      </w:r>
      <w:proofErr w:type="spellEnd"/>
      <w:r w:rsidRPr="004D1ADC">
        <w:t xml:space="preserve"> </w:t>
      </w:r>
      <w:proofErr w:type="spellStart"/>
      <w:r w:rsidRPr="004D1ADC">
        <w:t>retrorreflectantes</w:t>
      </w:r>
      <w:proofErr w:type="spellEnd"/>
      <w:r w:rsidRPr="004D1ADC">
        <w:t xml:space="preserve"> no adheridos a la superficie del</w:t>
      </w:r>
      <w:r w:rsidR="004D1ADC">
        <w:t xml:space="preserve"> </w:t>
      </w:r>
      <w:r w:rsidRPr="004D1ADC">
        <w:t>pavimento supera el dos por ciento (2%) del total de los instalados.</w:t>
      </w:r>
    </w:p>
    <w:p w14:paraId="41FA56F3" w14:textId="77777777" w:rsidR="005B53D9" w:rsidRPr="004D1ADC" w:rsidRDefault="005B53D9" w:rsidP="000313DD">
      <w:pPr>
        <w:pStyle w:val="NORMAL12"/>
        <w:numPr>
          <w:ilvl w:val="0"/>
          <w:numId w:val="259"/>
        </w:numPr>
      </w:pPr>
      <w:r w:rsidRPr="004D1ADC">
        <w:lastRenderedPageBreak/>
        <w:t xml:space="preserve">Más de cinco (5) </w:t>
      </w:r>
      <w:proofErr w:type="spellStart"/>
      <w:r w:rsidRPr="004D1ADC">
        <w:t>captafaros</w:t>
      </w:r>
      <w:proofErr w:type="spellEnd"/>
      <w:r w:rsidRPr="004D1ADC">
        <w:t xml:space="preserve"> </w:t>
      </w:r>
      <w:proofErr w:type="spellStart"/>
      <w:r w:rsidRPr="004D1ADC">
        <w:t>retrorreflectantes</w:t>
      </w:r>
      <w:proofErr w:type="spellEnd"/>
      <w:r w:rsidRPr="004D1ADC">
        <w:t xml:space="preserve"> consecutivos en tramo recto, o</w:t>
      </w:r>
      <w:r w:rsidR="004D1ADC">
        <w:t xml:space="preserve"> </w:t>
      </w:r>
      <w:r w:rsidRPr="004D1ADC">
        <w:t>más de tres (3) consecutivos en curva, han perdido su posición original con</w:t>
      </w:r>
      <w:r w:rsidR="004D1ADC">
        <w:t xml:space="preserve"> </w:t>
      </w:r>
      <w:r w:rsidRPr="004D1ADC">
        <w:t>respecto a la dirección del tráfico o han sido eliminados por éste.</w:t>
      </w:r>
    </w:p>
    <w:p w14:paraId="3BE67621" w14:textId="77777777" w:rsidR="005B53D9" w:rsidRPr="004D1ADC" w:rsidRDefault="005B53D9" w:rsidP="004D1ADC">
      <w:pPr>
        <w:pStyle w:val="NORMAL12"/>
      </w:pPr>
      <w:r w:rsidRPr="004D1ADC">
        <w:t>No se aplicarán estos criterios en los tramos de carretera durante el período en que</w:t>
      </w:r>
      <w:r w:rsidR="004D1ADC" w:rsidRPr="004D1ADC">
        <w:t xml:space="preserve"> </w:t>
      </w:r>
      <w:r w:rsidRPr="004D1ADC">
        <w:t>estén sometidos a vialidad invernal.</w:t>
      </w:r>
    </w:p>
    <w:p w14:paraId="134E9F44" w14:textId="77777777" w:rsidR="005B53D9" w:rsidRPr="004D1ADC" w:rsidRDefault="005B53D9" w:rsidP="005B53D9">
      <w:pPr>
        <w:pStyle w:val="NORMAL12"/>
      </w:pPr>
      <w:r w:rsidRPr="004D1ADC">
        <w:t xml:space="preserve">Los </w:t>
      </w:r>
      <w:proofErr w:type="spellStart"/>
      <w:r w:rsidRPr="004D1ADC">
        <w:t>captafaros</w:t>
      </w:r>
      <w:proofErr w:type="spellEnd"/>
      <w:r w:rsidRPr="004D1ADC">
        <w:t xml:space="preserve"> </w:t>
      </w:r>
      <w:proofErr w:type="spellStart"/>
      <w:r w:rsidRPr="004D1ADC">
        <w:t>retrorreflectantes</w:t>
      </w:r>
      <w:proofErr w:type="spellEnd"/>
      <w:r w:rsidRPr="004D1ADC">
        <w:t xml:space="preserve"> de un mismo tramo de control que hayan sido</w:t>
      </w:r>
      <w:r w:rsidR="004D1ADC">
        <w:t xml:space="preserve"> </w:t>
      </w:r>
      <w:r w:rsidRPr="004D1ADC">
        <w:t>rechazados, una vez eliminados de la carretera, serán sustituidos por otros nuevos</w:t>
      </w:r>
      <w:r w:rsidR="004D1ADC">
        <w:t xml:space="preserve"> </w:t>
      </w:r>
      <w:r w:rsidRPr="004D1ADC">
        <w:t>por el Contratista a su costa.</w:t>
      </w:r>
    </w:p>
    <w:p w14:paraId="4A40ADEC" w14:textId="77777777" w:rsidR="00036C21" w:rsidRPr="004D1ADC" w:rsidRDefault="00036C21" w:rsidP="000313DD">
      <w:pPr>
        <w:pStyle w:val="TITU2"/>
      </w:pPr>
      <w:bookmarkStart w:id="1130" w:name="_Toc404583"/>
      <w:r w:rsidRPr="004D1ADC">
        <w:t>70</w:t>
      </w:r>
      <w:r w:rsidR="005B53D9" w:rsidRPr="004D1ADC">
        <w:t>2</w:t>
      </w:r>
      <w:r w:rsidRPr="004D1ADC">
        <w:t>.</w:t>
      </w:r>
      <w:r w:rsidR="005B53D9" w:rsidRPr="004D1ADC">
        <w:t>8</w:t>
      </w:r>
      <w:r w:rsidRPr="004D1ADC">
        <w:t>. Periodo de garantía</w:t>
      </w:r>
      <w:bookmarkEnd w:id="1130"/>
    </w:p>
    <w:p w14:paraId="2E5D15BF" w14:textId="77777777" w:rsidR="00036C21" w:rsidRPr="004D1ADC" w:rsidRDefault="00036C21" w:rsidP="00036C21">
      <w:pPr>
        <w:pStyle w:val="NORMAL12"/>
        <w:rPr>
          <w:rFonts w:ascii="ArialMT" w:hAnsi="ArialMT" w:cs="ArialMT"/>
        </w:rPr>
      </w:pPr>
      <w:r w:rsidRPr="004D1ADC">
        <w:rPr>
          <w:rFonts w:ascii="ArialMT" w:hAnsi="ArialMT" w:cs="ArialMT"/>
        </w:rPr>
        <w:t xml:space="preserve">El periodo de garantía de los </w:t>
      </w:r>
      <w:proofErr w:type="spellStart"/>
      <w:r w:rsidR="005B53D9" w:rsidRPr="004D1ADC">
        <w:rPr>
          <w:rFonts w:ascii="ArialMT" w:hAnsi="ArialMT" w:cs="ArialMT"/>
        </w:rPr>
        <w:t>captafaros</w:t>
      </w:r>
      <w:proofErr w:type="spellEnd"/>
      <w:r w:rsidR="005B53D9" w:rsidRPr="004D1ADC">
        <w:rPr>
          <w:rFonts w:ascii="ArialMT" w:hAnsi="ArialMT" w:cs="ArialMT"/>
        </w:rPr>
        <w:t xml:space="preserve"> </w:t>
      </w:r>
      <w:proofErr w:type="spellStart"/>
      <w:r w:rsidR="005B53D9" w:rsidRPr="004D1ADC">
        <w:rPr>
          <w:rFonts w:ascii="ArialMT" w:hAnsi="ArialMT" w:cs="ArialMT"/>
        </w:rPr>
        <w:t>retrorreflectantes</w:t>
      </w:r>
      <w:proofErr w:type="spellEnd"/>
      <w:r w:rsidR="005B53D9" w:rsidRPr="004D1ADC">
        <w:rPr>
          <w:rFonts w:ascii="ArialMT" w:hAnsi="ArialMT" w:cs="ArialMT"/>
        </w:rPr>
        <w:t xml:space="preserve"> </w:t>
      </w:r>
      <w:r w:rsidRPr="004D1ADC">
        <w:rPr>
          <w:rFonts w:ascii="ArialMT" w:hAnsi="ArialMT" w:cs="ArialMT"/>
        </w:rPr>
        <w:t>instalados</w:t>
      </w:r>
      <w:r w:rsidR="005B53D9" w:rsidRPr="004D1ADC">
        <w:rPr>
          <w:rFonts w:ascii="ArialMT" w:hAnsi="ArialMT" w:cs="ArialMT"/>
        </w:rPr>
        <w:t xml:space="preserve"> de acuerdo con las especificaciones del </w:t>
      </w:r>
      <w:proofErr w:type="gramStart"/>
      <w:r w:rsidR="005B53D9" w:rsidRPr="004D1ADC">
        <w:rPr>
          <w:rFonts w:ascii="ArialMT" w:hAnsi="ArialMT" w:cs="ArialMT"/>
        </w:rPr>
        <w:t xml:space="preserve">proyecto </w:t>
      </w:r>
      <w:r w:rsidRPr="004D1ADC">
        <w:rPr>
          <w:rFonts w:ascii="ArialMT" w:hAnsi="ArialMT" w:cs="ArialMT"/>
        </w:rPr>
        <w:t xml:space="preserve"> será</w:t>
      </w:r>
      <w:proofErr w:type="gramEnd"/>
      <w:r w:rsidRPr="004D1ADC">
        <w:rPr>
          <w:rFonts w:ascii="ArialMT" w:hAnsi="ArialMT" w:cs="ArialMT"/>
        </w:rPr>
        <w:t xml:space="preserve"> de </w:t>
      </w:r>
      <w:r w:rsidR="005B53D9" w:rsidRPr="004D1ADC">
        <w:rPr>
          <w:rFonts w:ascii="ArialMT" w:hAnsi="ArialMT" w:cs="ArialMT"/>
        </w:rPr>
        <w:t xml:space="preserve">dos años desde </w:t>
      </w:r>
      <w:r w:rsidRPr="004D1ADC">
        <w:rPr>
          <w:rFonts w:ascii="ArialMT" w:hAnsi="ArialMT" w:cs="ArialMT"/>
        </w:rPr>
        <w:t>la fecha de su instalación.</w:t>
      </w:r>
    </w:p>
    <w:p w14:paraId="44180027" w14:textId="77777777" w:rsidR="00036C21" w:rsidRPr="004D1ADC" w:rsidRDefault="00036C21" w:rsidP="000313DD">
      <w:pPr>
        <w:pStyle w:val="TITU2"/>
      </w:pPr>
      <w:bookmarkStart w:id="1131" w:name="_Toc404584"/>
      <w:r w:rsidRPr="004D1ADC">
        <w:t>70</w:t>
      </w:r>
      <w:r w:rsidR="005B53D9" w:rsidRPr="004D1ADC">
        <w:t>2</w:t>
      </w:r>
      <w:r w:rsidRPr="004D1ADC">
        <w:t>.</w:t>
      </w:r>
      <w:r w:rsidR="005B53D9" w:rsidRPr="004D1ADC">
        <w:t>9</w:t>
      </w:r>
      <w:r w:rsidRPr="004D1ADC">
        <w:t xml:space="preserve">. </w:t>
      </w:r>
      <w:r w:rsidR="00F83B62" w:rsidRPr="004D1ADC">
        <w:t>Medición</w:t>
      </w:r>
      <w:r w:rsidRPr="004D1ADC">
        <w:t xml:space="preserve"> y abono</w:t>
      </w:r>
      <w:bookmarkEnd w:id="1131"/>
    </w:p>
    <w:p w14:paraId="67CAA1BF" w14:textId="77777777" w:rsidR="00036C21" w:rsidRPr="004D1ADC" w:rsidRDefault="00036C21" w:rsidP="00036C21">
      <w:pPr>
        <w:pStyle w:val="NORMAL12"/>
        <w:rPr>
          <w:rFonts w:ascii="ArialMT" w:hAnsi="ArialMT" w:cs="ArialMT"/>
        </w:rPr>
      </w:pPr>
      <w:r w:rsidRPr="004D1ADC">
        <w:rPr>
          <w:rFonts w:ascii="ArialMT" w:hAnsi="ArialMT" w:cs="ArialMT"/>
        </w:rPr>
        <w:t>La medición y abono de la unidad</w:t>
      </w:r>
      <w:r w:rsidR="004D1ADC">
        <w:rPr>
          <w:rFonts w:ascii="ArialMT" w:hAnsi="ArialMT" w:cs="ArialMT"/>
        </w:rPr>
        <w:t xml:space="preserve"> de </w:t>
      </w:r>
      <w:proofErr w:type="spellStart"/>
      <w:r w:rsidR="004D1ADC">
        <w:rPr>
          <w:rFonts w:ascii="ArialMT" w:hAnsi="ArialMT" w:cs="ArialMT"/>
        </w:rPr>
        <w:t>captafaros</w:t>
      </w:r>
      <w:proofErr w:type="spellEnd"/>
      <w:r w:rsidR="004D1ADC">
        <w:rPr>
          <w:rFonts w:ascii="ArialMT" w:hAnsi="ArialMT" w:cs="ArialMT"/>
        </w:rPr>
        <w:t xml:space="preserve"> se </w:t>
      </w:r>
      <w:r w:rsidRPr="004D1ADC">
        <w:rPr>
          <w:rFonts w:ascii="ArialMT" w:hAnsi="ArialMT" w:cs="ArialMT"/>
        </w:rPr>
        <w:t>realizará según las prescripciones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9"/>
        <w:gridCol w:w="5812"/>
      </w:tblGrid>
      <w:tr w:rsidR="00036C21" w:rsidRPr="005669AF" w14:paraId="3C2A49A4" w14:textId="77777777" w:rsidTr="00036C21">
        <w:tc>
          <w:tcPr>
            <w:tcW w:w="3189" w:type="dxa"/>
            <w:tcBorders>
              <w:top w:val="single" w:sz="4" w:space="0" w:color="auto"/>
              <w:left w:val="single" w:sz="4" w:space="0" w:color="auto"/>
              <w:bottom w:val="single" w:sz="4" w:space="0" w:color="auto"/>
              <w:right w:val="single" w:sz="4" w:space="0" w:color="auto"/>
            </w:tcBorders>
            <w:vAlign w:val="center"/>
            <w:hideMark/>
          </w:tcPr>
          <w:p w14:paraId="63AC0476" w14:textId="77777777" w:rsidR="00036C21" w:rsidRPr="004D1ADC" w:rsidRDefault="00036C21" w:rsidP="00036C21">
            <w:pPr>
              <w:pStyle w:val="LCATabla"/>
              <w:keepNext/>
              <w:keepLines/>
              <w:spacing w:line="360" w:lineRule="auto"/>
              <w:jc w:val="center"/>
              <w:rPr>
                <w:rFonts w:ascii="Arial" w:hAnsi="Arial" w:cs="Arial"/>
                <w:b/>
                <w:bCs/>
                <w:sz w:val="20"/>
              </w:rPr>
            </w:pPr>
            <w:r w:rsidRPr="004D1ADC">
              <w:rPr>
                <w:rFonts w:ascii="Arial" w:hAnsi="Arial" w:cs="Arial"/>
                <w:b/>
                <w:bCs/>
                <w:sz w:val="20"/>
              </w:rPr>
              <w:t>Unidad de medida</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934082B" w14:textId="77777777" w:rsidR="00036C21" w:rsidRPr="004D1ADC" w:rsidRDefault="00036C21" w:rsidP="00DE5E65">
            <w:pPr>
              <w:pStyle w:val="LCATabla"/>
              <w:keepNext/>
              <w:keepLines/>
              <w:spacing w:line="360" w:lineRule="auto"/>
              <w:jc w:val="both"/>
              <w:rPr>
                <w:rFonts w:ascii="Arial" w:hAnsi="Arial" w:cs="Arial"/>
                <w:sz w:val="20"/>
              </w:rPr>
            </w:pPr>
            <w:proofErr w:type="gramStart"/>
            <w:r w:rsidRPr="004D1ADC">
              <w:rPr>
                <w:rFonts w:ascii="Arial" w:hAnsi="Arial" w:cs="Arial"/>
                <w:sz w:val="20"/>
              </w:rPr>
              <w:t>Unidad  (</w:t>
            </w:r>
            <w:proofErr w:type="spellStart"/>
            <w:proofErr w:type="gramEnd"/>
            <w:r w:rsidRPr="004D1ADC">
              <w:rPr>
                <w:rFonts w:ascii="Arial" w:hAnsi="Arial" w:cs="Arial"/>
                <w:sz w:val="20"/>
              </w:rPr>
              <w:t>ud</w:t>
            </w:r>
            <w:proofErr w:type="spellEnd"/>
            <w:r w:rsidRPr="004D1ADC">
              <w:rPr>
                <w:rFonts w:ascii="Arial" w:hAnsi="Arial" w:cs="Arial"/>
                <w:sz w:val="20"/>
              </w:rPr>
              <w:t>).</w:t>
            </w:r>
          </w:p>
        </w:tc>
      </w:tr>
      <w:tr w:rsidR="00036C21" w:rsidRPr="005669AF" w14:paraId="3DB328ED" w14:textId="77777777" w:rsidTr="00036C21">
        <w:tc>
          <w:tcPr>
            <w:tcW w:w="3189" w:type="dxa"/>
            <w:tcBorders>
              <w:top w:val="single" w:sz="4" w:space="0" w:color="auto"/>
              <w:left w:val="single" w:sz="4" w:space="0" w:color="auto"/>
              <w:bottom w:val="single" w:sz="4" w:space="0" w:color="auto"/>
              <w:right w:val="single" w:sz="4" w:space="0" w:color="auto"/>
            </w:tcBorders>
            <w:vAlign w:val="center"/>
            <w:hideMark/>
          </w:tcPr>
          <w:p w14:paraId="3D57E142" w14:textId="77777777" w:rsidR="00036C21" w:rsidRPr="004D1ADC" w:rsidRDefault="00036C21" w:rsidP="00036C21">
            <w:pPr>
              <w:pStyle w:val="LCATabla"/>
              <w:keepNext/>
              <w:keepLines/>
              <w:spacing w:line="360" w:lineRule="auto"/>
              <w:jc w:val="center"/>
              <w:rPr>
                <w:rFonts w:ascii="Arial" w:hAnsi="Arial" w:cs="Arial"/>
                <w:b/>
                <w:bCs/>
                <w:sz w:val="20"/>
              </w:rPr>
            </w:pPr>
            <w:r w:rsidRPr="004D1ADC">
              <w:rPr>
                <w:rFonts w:ascii="Arial" w:hAnsi="Arial" w:cs="Arial"/>
                <w:b/>
                <w:bCs/>
                <w:sz w:val="20"/>
              </w:rPr>
              <w:t>Grado de precisión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F698228" w14:textId="77777777" w:rsidR="00036C21" w:rsidRPr="004D1ADC" w:rsidRDefault="004D1ADC" w:rsidP="00DE5E65">
            <w:pPr>
              <w:pStyle w:val="LCATabla"/>
              <w:keepNext/>
              <w:keepLines/>
              <w:spacing w:line="360" w:lineRule="auto"/>
              <w:jc w:val="both"/>
              <w:rPr>
                <w:rFonts w:ascii="Arial" w:hAnsi="Arial" w:cs="Arial"/>
                <w:sz w:val="20"/>
              </w:rPr>
            </w:pPr>
            <w:r w:rsidRPr="004D1ADC">
              <w:rPr>
                <w:rFonts w:ascii="Arial" w:hAnsi="Arial" w:cs="Arial"/>
                <w:sz w:val="20"/>
              </w:rPr>
              <w:t>Número entero</w:t>
            </w:r>
          </w:p>
        </w:tc>
      </w:tr>
      <w:tr w:rsidR="00036C21" w:rsidRPr="005669AF" w14:paraId="6A0E1C7C" w14:textId="77777777" w:rsidTr="00036C21">
        <w:tc>
          <w:tcPr>
            <w:tcW w:w="3189" w:type="dxa"/>
            <w:tcBorders>
              <w:top w:val="single" w:sz="4" w:space="0" w:color="auto"/>
              <w:left w:val="single" w:sz="4" w:space="0" w:color="auto"/>
              <w:bottom w:val="single" w:sz="4" w:space="0" w:color="auto"/>
              <w:right w:val="single" w:sz="4" w:space="0" w:color="auto"/>
            </w:tcBorders>
            <w:vAlign w:val="center"/>
            <w:hideMark/>
          </w:tcPr>
          <w:p w14:paraId="1D35D142" w14:textId="77777777" w:rsidR="00036C21" w:rsidRPr="004D1ADC" w:rsidRDefault="00036C21" w:rsidP="00036C21">
            <w:pPr>
              <w:pStyle w:val="LCATabla"/>
              <w:keepNext/>
              <w:keepLines/>
              <w:spacing w:line="360" w:lineRule="auto"/>
              <w:jc w:val="center"/>
              <w:rPr>
                <w:rFonts w:ascii="Arial" w:hAnsi="Arial" w:cs="Arial"/>
                <w:b/>
                <w:bCs/>
                <w:sz w:val="20"/>
              </w:rPr>
            </w:pPr>
            <w:r w:rsidRPr="004D1ADC">
              <w:rPr>
                <w:rFonts w:ascii="Arial" w:hAnsi="Arial" w:cs="Arial"/>
                <w:b/>
                <w:bCs/>
                <w:sz w:val="20"/>
              </w:rPr>
              <w:t>Forma de medición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4A99D8E" w14:textId="77777777" w:rsidR="00036C21" w:rsidRPr="004D1ADC" w:rsidRDefault="00036C21" w:rsidP="005B53D9">
            <w:pPr>
              <w:pStyle w:val="LCATabla"/>
              <w:keepNext/>
              <w:keepLines/>
              <w:spacing w:line="360" w:lineRule="auto"/>
              <w:jc w:val="both"/>
              <w:rPr>
                <w:rFonts w:ascii="Arial" w:hAnsi="Arial" w:cs="Arial"/>
                <w:sz w:val="20"/>
              </w:rPr>
            </w:pPr>
            <w:r w:rsidRPr="004D1ADC">
              <w:rPr>
                <w:rFonts w:ascii="Arial" w:hAnsi="Arial" w:cs="Arial"/>
                <w:sz w:val="20"/>
              </w:rPr>
              <w:t xml:space="preserve">Unidad de </w:t>
            </w:r>
            <w:proofErr w:type="spellStart"/>
            <w:r w:rsidR="005B53D9" w:rsidRPr="004D1ADC">
              <w:rPr>
                <w:rFonts w:ascii="Arial" w:hAnsi="Arial" w:cs="Arial"/>
                <w:sz w:val="20"/>
              </w:rPr>
              <w:t>captafaro</w:t>
            </w:r>
            <w:proofErr w:type="spellEnd"/>
          </w:p>
        </w:tc>
      </w:tr>
      <w:tr w:rsidR="00036C21" w:rsidRPr="005669AF" w14:paraId="27FDF204" w14:textId="77777777" w:rsidTr="00036C21">
        <w:tc>
          <w:tcPr>
            <w:tcW w:w="3189" w:type="dxa"/>
            <w:tcBorders>
              <w:top w:val="single" w:sz="4" w:space="0" w:color="auto"/>
              <w:left w:val="single" w:sz="4" w:space="0" w:color="auto"/>
              <w:bottom w:val="single" w:sz="4" w:space="0" w:color="auto"/>
              <w:right w:val="single" w:sz="4" w:space="0" w:color="auto"/>
            </w:tcBorders>
            <w:vAlign w:val="center"/>
            <w:hideMark/>
          </w:tcPr>
          <w:p w14:paraId="3A67C153" w14:textId="77777777" w:rsidR="00036C21" w:rsidRPr="004D1ADC" w:rsidRDefault="00036C21" w:rsidP="00036C21">
            <w:pPr>
              <w:pStyle w:val="LCATabla"/>
              <w:keepNext/>
              <w:keepLines/>
              <w:spacing w:line="360" w:lineRule="auto"/>
              <w:jc w:val="center"/>
              <w:rPr>
                <w:rFonts w:ascii="Arial" w:hAnsi="Arial" w:cs="Arial"/>
                <w:b/>
                <w:bCs/>
                <w:sz w:val="20"/>
              </w:rPr>
            </w:pPr>
            <w:r w:rsidRPr="004D1ADC">
              <w:rPr>
                <w:rFonts w:ascii="Arial" w:hAnsi="Arial" w:cs="Arial"/>
                <w:b/>
                <w:bCs/>
                <w:sz w:val="20"/>
              </w:rPr>
              <w:t>Abono</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97065CB" w14:textId="77777777" w:rsidR="00036C21" w:rsidRPr="004D1ADC" w:rsidRDefault="00036C21" w:rsidP="00DE5E65">
            <w:pPr>
              <w:pStyle w:val="LCATabla"/>
              <w:keepNext/>
              <w:keepLines/>
              <w:spacing w:line="360" w:lineRule="auto"/>
              <w:jc w:val="both"/>
              <w:rPr>
                <w:rFonts w:ascii="Arial" w:hAnsi="Arial" w:cs="Arial"/>
                <w:sz w:val="20"/>
              </w:rPr>
            </w:pPr>
            <w:r w:rsidRPr="004D1ADC">
              <w:rPr>
                <w:rFonts w:ascii="Arial" w:hAnsi="Arial" w:cs="Arial"/>
                <w:sz w:val="20"/>
              </w:rPr>
              <w:t>Se efectuará cuando se realice la aceptación.</w:t>
            </w:r>
          </w:p>
        </w:tc>
      </w:tr>
      <w:tr w:rsidR="00036C21" w:rsidRPr="005669AF" w14:paraId="033B202A" w14:textId="77777777" w:rsidTr="00036C21">
        <w:tc>
          <w:tcPr>
            <w:tcW w:w="3189" w:type="dxa"/>
            <w:tcBorders>
              <w:top w:val="single" w:sz="4" w:space="0" w:color="auto"/>
              <w:left w:val="single" w:sz="4" w:space="0" w:color="auto"/>
              <w:bottom w:val="single" w:sz="4" w:space="0" w:color="auto"/>
              <w:right w:val="single" w:sz="4" w:space="0" w:color="auto"/>
            </w:tcBorders>
            <w:vAlign w:val="center"/>
            <w:hideMark/>
          </w:tcPr>
          <w:p w14:paraId="543A520D" w14:textId="77777777" w:rsidR="00036C21" w:rsidRPr="004D1ADC" w:rsidRDefault="00036C21" w:rsidP="00036C21">
            <w:pPr>
              <w:pStyle w:val="LCATabla"/>
              <w:keepNext/>
              <w:keepLines/>
              <w:spacing w:line="360" w:lineRule="auto"/>
              <w:jc w:val="center"/>
              <w:rPr>
                <w:rFonts w:ascii="Arial" w:hAnsi="Arial" w:cs="Arial"/>
                <w:b/>
                <w:bCs/>
                <w:sz w:val="20"/>
              </w:rPr>
            </w:pPr>
            <w:r w:rsidRPr="004D1ADC">
              <w:rPr>
                <w:rFonts w:ascii="Arial" w:hAnsi="Arial" w:cs="Arial"/>
                <w:b/>
                <w:bCs/>
                <w:sz w:val="20"/>
              </w:rPr>
              <w:t>Criterios complementarios</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C6AAB51" w14:textId="77777777" w:rsidR="00036C21" w:rsidRPr="004D1ADC" w:rsidRDefault="00036C21" w:rsidP="005B53D9">
            <w:pPr>
              <w:pStyle w:val="LCATabla"/>
              <w:keepNext/>
              <w:keepLines/>
              <w:spacing w:line="360" w:lineRule="auto"/>
              <w:jc w:val="both"/>
              <w:rPr>
                <w:rFonts w:ascii="Arial" w:hAnsi="Arial" w:cs="Arial"/>
                <w:sz w:val="20"/>
              </w:rPr>
            </w:pPr>
            <w:r w:rsidRPr="004D1ADC">
              <w:rPr>
                <w:rFonts w:ascii="Arial" w:hAnsi="Arial" w:cs="Arial"/>
                <w:sz w:val="20"/>
              </w:rPr>
              <w:t xml:space="preserve">El precio incluye todos los medios y materiales necesarios para su instalación. </w:t>
            </w:r>
          </w:p>
        </w:tc>
      </w:tr>
    </w:tbl>
    <w:p w14:paraId="0E4DA7A7" w14:textId="77777777" w:rsidR="00036C21" w:rsidRPr="00FC0957" w:rsidRDefault="00036C21" w:rsidP="00036C21">
      <w:pPr>
        <w:pStyle w:val="NORMAL12"/>
        <w:rPr>
          <w:lang w:val="es-ES"/>
        </w:rPr>
      </w:pPr>
    </w:p>
    <w:p w14:paraId="54257495" w14:textId="77777777" w:rsidR="00036C21" w:rsidRPr="00E226EF" w:rsidRDefault="00036C21" w:rsidP="00036C21">
      <w:pPr>
        <w:pStyle w:val="NORMAL12"/>
        <w:rPr>
          <w:lang w:val="es-ES"/>
        </w:rPr>
      </w:pPr>
    </w:p>
    <w:p w14:paraId="3BF64A7A" w14:textId="77777777" w:rsidR="00036C21" w:rsidRPr="00E226EF" w:rsidRDefault="00036C21" w:rsidP="00036C21">
      <w:pPr>
        <w:pStyle w:val="NORMAL12"/>
        <w:rPr>
          <w:lang w:val="es-ES"/>
        </w:rPr>
      </w:pPr>
    </w:p>
    <w:p w14:paraId="7293F5B2" w14:textId="77777777" w:rsidR="005669AF" w:rsidRDefault="005669AF" w:rsidP="005669AF">
      <w:pPr>
        <w:pStyle w:val="TITU1"/>
        <w:rPr>
          <w:lang w:val="es-ES_tradnl"/>
        </w:rPr>
      </w:pPr>
      <w:bookmarkStart w:id="1132" w:name="_Toc404585"/>
      <w:r w:rsidRPr="003C4B7C">
        <w:rPr>
          <w:lang w:val="es-ES_tradnl"/>
        </w:rPr>
        <w:lastRenderedPageBreak/>
        <w:t xml:space="preserve">Artículo 703. </w:t>
      </w:r>
      <w:r>
        <w:rPr>
          <w:lang w:val="es-ES_tradnl"/>
        </w:rPr>
        <w:t>Elementos de balizamiento retrorreflectantes</w:t>
      </w:r>
      <w:bookmarkEnd w:id="1132"/>
    </w:p>
    <w:p w14:paraId="3145A387" w14:textId="77777777" w:rsidR="005669AF" w:rsidRPr="00886F1A" w:rsidRDefault="005669AF" w:rsidP="005669AF">
      <w:pPr>
        <w:pStyle w:val="NORMAL12"/>
      </w:pPr>
      <w:r w:rsidRPr="00886F1A">
        <w:t>Excepto para lo especificado en el presente Pliego de Prescripciones Técnicas particulares se seguirá lo prescrito en el vigente artículo 70</w:t>
      </w:r>
      <w:r>
        <w:t>3</w:t>
      </w:r>
      <w:r w:rsidRPr="00886F1A">
        <w:t xml:space="preserve"> del PG-3.</w:t>
      </w:r>
    </w:p>
    <w:p w14:paraId="579F413E" w14:textId="77777777" w:rsidR="005669AF" w:rsidRDefault="005669AF" w:rsidP="000313DD">
      <w:pPr>
        <w:pStyle w:val="TITU2"/>
      </w:pPr>
      <w:bookmarkStart w:id="1133" w:name="_Toc404586"/>
      <w:r w:rsidRPr="00F27B28">
        <w:t>7</w:t>
      </w:r>
      <w:r>
        <w:t>03</w:t>
      </w:r>
      <w:r w:rsidRPr="00F27B28">
        <w:t>.</w:t>
      </w:r>
      <w:r>
        <w:t>1</w:t>
      </w:r>
      <w:r w:rsidRPr="00F27B28">
        <w:t>.</w:t>
      </w:r>
      <w:r>
        <w:t xml:space="preserve"> Definición y aplicación</w:t>
      </w:r>
      <w:bookmarkEnd w:id="1133"/>
    </w:p>
    <w:p w14:paraId="1396C124" w14:textId="77777777" w:rsidR="005669AF" w:rsidRPr="00E226EF" w:rsidRDefault="005669AF" w:rsidP="005669AF">
      <w:pPr>
        <w:pStyle w:val="NORMAL12"/>
      </w:pPr>
      <w:r>
        <w:t xml:space="preserve">Los </w:t>
      </w:r>
      <w:r w:rsidRPr="00E226EF">
        <w:t xml:space="preserve">elementos de balizamiento </w:t>
      </w:r>
      <w:proofErr w:type="spellStart"/>
      <w:r w:rsidRPr="00E226EF">
        <w:t>retrorreflectantes</w:t>
      </w:r>
      <w:proofErr w:type="spellEnd"/>
      <w:r w:rsidRPr="00E226EF">
        <w:t xml:space="preserve"> son los dispositivos de guía óptica</w:t>
      </w:r>
      <w:r>
        <w:t xml:space="preserve"> </w:t>
      </w:r>
      <w:r w:rsidRPr="00E226EF">
        <w:t>para los usuarios de las carreteras, capaces de reflejar por medio de reflectores, la</w:t>
      </w:r>
      <w:r>
        <w:t xml:space="preserve"> </w:t>
      </w:r>
      <w:r w:rsidRPr="00E226EF">
        <w:t>mayor parte de la luz incidente, procedente generalmente de los faros de los</w:t>
      </w:r>
      <w:r>
        <w:t xml:space="preserve"> </w:t>
      </w:r>
      <w:r w:rsidRPr="00E226EF">
        <w:t>vehículos.</w:t>
      </w:r>
    </w:p>
    <w:p w14:paraId="197C3ED9" w14:textId="77777777" w:rsidR="005669AF" w:rsidRPr="00E226EF" w:rsidRDefault="005669AF" w:rsidP="005669AF">
      <w:pPr>
        <w:pStyle w:val="NORMAL12"/>
      </w:pPr>
      <w:r w:rsidRPr="00E226EF">
        <w:t>Dichos elementos, que pueden tener distinta forma, color y tamaño, se instalan con</w:t>
      </w:r>
      <w:r>
        <w:t xml:space="preserve"> </w:t>
      </w:r>
      <w:r w:rsidRPr="00E226EF">
        <w:t>carácter permanente sobre la calzada o fuera de la plataforma, sobre otros elementos</w:t>
      </w:r>
      <w:r>
        <w:t xml:space="preserve"> </w:t>
      </w:r>
      <w:r w:rsidRPr="00E226EF">
        <w:t>adyacentes a la misma, como muros o paramentos de túneles, así como sobre otros</w:t>
      </w:r>
      <w:r>
        <w:t xml:space="preserve"> </w:t>
      </w:r>
      <w:r w:rsidRPr="00E226EF">
        <w:t>equipamientos viales, como pretiles y barreras de seguridad.</w:t>
      </w:r>
    </w:p>
    <w:p w14:paraId="4E83CA39" w14:textId="77777777" w:rsidR="005669AF" w:rsidRPr="00E226EF" w:rsidRDefault="005669AF" w:rsidP="005669AF">
      <w:pPr>
        <w:pStyle w:val="NORMAL12"/>
      </w:pPr>
      <w:r w:rsidRPr="00E226EF">
        <w:t>Tienen la finalidad de reforzar la capacidad de guía óptica que proporcionan los</w:t>
      </w:r>
      <w:r>
        <w:t xml:space="preserve"> </w:t>
      </w:r>
      <w:r w:rsidRPr="00E226EF">
        <w:t>elementos de señalización tradicionales (marcas viales, señales y carteles verticales</w:t>
      </w:r>
      <w:r>
        <w:t xml:space="preserve"> </w:t>
      </w:r>
      <w:r w:rsidRPr="00E226EF">
        <w:t>de circulación) o advertir sobre los posibles sentidos de circulación.</w:t>
      </w:r>
    </w:p>
    <w:p w14:paraId="30F1B9CF" w14:textId="77777777" w:rsidR="005669AF" w:rsidRDefault="005669AF" w:rsidP="005669AF">
      <w:pPr>
        <w:pStyle w:val="NORMAL12"/>
      </w:pPr>
      <w:r w:rsidRPr="00E226EF">
        <w:t xml:space="preserve">Los elementos de balizamiento </w:t>
      </w:r>
      <w:proofErr w:type="spellStart"/>
      <w:r w:rsidRPr="00E226EF">
        <w:t>retrorreflectantes</w:t>
      </w:r>
      <w:proofErr w:type="spellEnd"/>
      <w:r w:rsidRPr="00E226EF">
        <w:t xml:space="preserve"> habitualmente empleados en</w:t>
      </w:r>
      <w:r>
        <w:t xml:space="preserve"> </w:t>
      </w:r>
      <w:r w:rsidRPr="00E226EF">
        <w:t>carreteras son:</w:t>
      </w:r>
    </w:p>
    <w:p w14:paraId="44721084" w14:textId="77777777" w:rsidR="005669AF" w:rsidRPr="00FC0957" w:rsidRDefault="005669AF" w:rsidP="000313DD">
      <w:pPr>
        <w:pStyle w:val="NORMAL12"/>
        <w:numPr>
          <w:ilvl w:val="0"/>
          <w:numId w:val="226"/>
        </w:numPr>
      </w:pPr>
      <w:r w:rsidRPr="00FC0957">
        <w:t>Panel direccional: colocado en curvas para poner de manifiesto el nivel de</w:t>
      </w:r>
      <w:r>
        <w:t xml:space="preserve"> </w:t>
      </w:r>
      <w:r w:rsidRPr="00FC0957">
        <w:t xml:space="preserve">peligrosidad de </w:t>
      </w:r>
      <w:proofErr w:type="gramStart"/>
      <w:r w:rsidRPr="00FC0957">
        <w:t>la misma</w:t>
      </w:r>
      <w:proofErr w:type="gramEnd"/>
      <w:r w:rsidRPr="00FC0957">
        <w:t xml:space="preserve"> en función de la reducción de velocidad que se tenga</w:t>
      </w:r>
      <w:r>
        <w:t xml:space="preserve"> </w:t>
      </w:r>
      <w:r w:rsidRPr="00FC0957">
        <w:t>que efectuar. Podrán tener entre una y cuatro franjas blancas sobre fondo azul</w:t>
      </w:r>
      <w:r>
        <w:t xml:space="preserve"> </w:t>
      </w:r>
      <w:r w:rsidRPr="00FC0957">
        <w:t>para indicar el grado de peligrosidad de la curva.</w:t>
      </w:r>
    </w:p>
    <w:p w14:paraId="66F07B62" w14:textId="77777777" w:rsidR="005669AF" w:rsidRPr="00FC0957" w:rsidRDefault="005669AF" w:rsidP="000313DD">
      <w:pPr>
        <w:pStyle w:val="NORMAL12"/>
        <w:numPr>
          <w:ilvl w:val="0"/>
          <w:numId w:val="226"/>
        </w:numPr>
      </w:pPr>
      <w:r w:rsidRPr="00FC0957">
        <w:t>Hito de arista: instalado verticalmente fuera de la plataforma de la carretera.</w:t>
      </w:r>
      <w:r>
        <w:t xml:space="preserve"> </w:t>
      </w:r>
      <w:r w:rsidRPr="00FC0957">
        <w:t>Está formado por un poste blanco, una franja negra inclinada hacia el eje de la</w:t>
      </w:r>
      <w:r>
        <w:t xml:space="preserve"> </w:t>
      </w:r>
      <w:r w:rsidRPr="00FC0957">
        <w:t xml:space="preserve">carretera, y una o varias piezas de dispositivos </w:t>
      </w:r>
      <w:proofErr w:type="spellStart"/>
      <w:r w:rsidRPr="00FC0957">
        <w:t>retrorreflectantes</w:t>
      </w:r>
      <w:proofErr w:type="spellEnd"/>
      <w:r w:rsidRPr="00FC0957">
        <w:t xml:space="preserve"> colocados</w:t>
      </w:r>
      <w:r>
        <w:t xml:space="preserve"> </w:t>
      </w:r>
      <w:r w:rsidRPr="00FC0957">
        <w:t>sobre la franja negra.</w:t>
      </w:r>
    </w:p>
    <w:p w14:paraId="32BA39DE" w14:textId="77777777" w:rsidR="005669AF" w:rsidRPr="00FC0957" w:rsidRDefault="005669AF" w:rsidP="000313DD">
      <w:pPr>
        <w:pStyle w:val="NORMAL12"/>
        <w:numPr>
          <w:ilvl w:val="0"/>
          <w:numId w:val="226"/>
        </w:numPr>
      </w:pPr>
      <w:r w:rsidRPr="00FC0957">
        <w:t xml:space="preserve">Hito de vértice: en forma semicilíndrica en su cara frontal, </w:t>
      </w:r>
      <w:r w:rsidR="00217216" w:rsidRPr="00FC0957">
        <w:t>provista</w:t>
      </w:r>
      <w:r w:rsidRPr="00FC0957">
        <w:t xml:space="preserve"> de triángulos</w:t>
      </w:r>
      <w:r>
        <w:t xml:space="preserve"> </w:t>
      </w:r>
      <w:r w:rsidRPr="00FC0957">
        <w:t xml:space="preserve">simétricamente opuestos de material </w:t>
      </w:r>
      <w:proofErr w:type="spellStart"/>
      <w:r w:rsidRPr="00FC0957">
        <w:t>retrorreflectante</w:t>
      </w:r>
      <w:proofErr w:type="spellEnd"/>
      <w:r w:rsidRPr="00FC0957">
        <w:t xml:space="preserve"> indicando una</w:t>
      </w:r>
      <w:r>
        <w:t xml:space="preserve"> </w:t>
      </w:r>
      <w:r w:rsidRPr="00FC0957">
        <w:t>divergencia.</w:t>
      </w:r>
    </w:p>
    <w:p w14:paraId="2D4AB644" w14:textId="77777777" w:rsidR="005669AF" w:rsidRPr="00FC0957" w:rsidRDefault="005669AF" w:rsidP="000313DD">
      <w:pPr>
        <w:pStyle w:val="NORMAL12"/>
        <w:numPr>
          <w:ilvl w:val="0"/>
          <w:numId w:val="226"/>
        </w:numPr>
      </w:pPr>
      <w:r w:rsidRPr="00FC0957">
        <w:t>Baliza cilíndrica: de geometría generalmente cilíndrica, fijada por su base y</w:t>
      </w:r>
      <w:r>
        <w:t xml:space="preserve"> </w:t>
      </w:r>
      <w:r w:rsidRPr="00FC0957">
        <w:t>fabricada en material flexible con capacidad para recuperar su forma inicial</w:t>
      </w:r>
      <w:r>
        <w:t xml:space="preserve"> </w:t>
      </w:r>
      <w:r w:rsidRPr="00FC0957">
        <w:t>cuando es sometida a esfuerzos. Sus características de masa total y</w:t>
      </w:r>
      <w:r>
        <w:t xml:space="preserve"> </w:t>
      </w:r>
      <w:r w:rsidRPr="00FC0957">
        <w:t xml:space="preserve">flexibilidad son tales </w:t>
      </w:r>
      <w:r w:rsidRPr="00FC0957">
        <w:t>que puede ser franqueada por un vehículo, sin daño</w:t>
      </w:r>
      <w:r>
        <w:t xml:space="preserve"> </w:t>
      </w:r>
      <w:r w:rsidRPr="00FC0957">
        <w:t xml:space="preserve">notable para éste, permaneciendo en su lugar original tras el paso </w:t>
      </w:r>
      <w:proofErr w:type="gramStart"/>
      <w:r w:rsidRPr="00FC0957">
        <w:t>del mismo</w:t>
      </w:r>
      <w:proofErr w:type="gramEnd"/>
      <w:r w:rsidRPr="00FC0957">
        <w:t>.</w:t>
      </w:r>
    </w:p>
    <w:p w14:paraId="263F2685" w14:textId="77777777" w:rsidR="005669AF" w:rsidRDefault="005669AF" w:rsidP="000313DD">
      <w:pPr>
        <w:pStyle w:val="NORMAL12"/>
        <w:numPr>
          <w:ilvl w:val="0"/>
          <w:numId w:val="226"/>
        </w:numPr>
        <w:autoSpaceDE w:val="0"/>
        <w:autoSpaceDN w:val="0"/>
        <w:adjustRightInd w:val="0"/>
        <w:rPr>
          <w:rFonts w:ascii="ArialMT" w:hAnsi="ArialMT" w:cs="ArialMT"/>
        </w:rPr>
      </w:pPr>
      <w:proofErr w:type="spellStart"/>
      <w:r w:rsidRPr="00FC0957">
        <w:t>Captafaro</w:t>
      </w:r>
      <w:proofErr w:type="spellEnd"/>
      <w:r w:rsidRPr="00FC0957">
        <w:t xml:space="preserve"> vertical: utilizado como dispositivo de guía y delineación,</w:t>
      </w:r>
      <w:r>
        <w:t xml:space="preserve"> </w:t>
      </w:r>
      <w:r w:rsidRPr="00FC0957">
        <w:t>preferentemente de los bordes de la carretera, aunque también puede</w:t>
      </w:r>
      <w:r>
        <w:t xml:space="preserve"> </w:t>
      </w:r>
      <w:r w:rsidRPr="00FC0957">
        <w:t>emplearse en la mediana. Está compuesto por un cuerpo o soporte, y un</w:t>
      </w:r>
      <w:r>
        <w:t xml:space="preserve"> </w:t>
      </w:r>
      <w:r w:rsidRPr="00FC0957">
        <w:t xml:space="preserve">dispositivo </w:t>
      </w:r>
      <w:proofErr w:type="spellStart"/>
      <w:r w:rsidRPr="00FC0957">
        <w:t>retrorreflectante</w:t>
      </w:r>
      <w:proofErr w:type="spellEnd"/>
      <w:r w:rsidRPr="00FC0957">
        <w:t>, instalándose generalmente sobre sistemas de</w:t>
      </w:r>
      <w:r>
        <w:t xml:space="preserve"> </w:t>
      </w:r>
      <w:r w:rsidRPr="00FC0957">
        <w:t>contención de vehículos o en paramentos verticales, tales como muros o</w:t>
      </w:r>
      <w:r>
        <w:t xml:space="preserve"> </w:t>
      </w:r>
      <w:r w:rsidRPr="00FC0957">
        <w:rPr>
          <w:rFonts w:ascii="ArialMT" w:hAnsi="ArialMT" w:cs="ArialMT"/>
        </w:rPr>
        <w:t>paramentos de túneles. Entre estos dispositivos de balizamiento, a los efectos de este artículo, se incluyen los hitos de arista instalados sobre barreras de</w:t>
      </w:r>
      <w:r>
        <w:rPr>
          <w:rFonts w:ascii="ArialMT" w:hAnsi="ArialMT" w:cs="ArialMT"/>
        </w:rPr>
        <w:t xml:space="preserve"> </w:t>
      </w:r>
      <w:r w:rsidRPr="00FC0957">
        <w:rPr>
          <w:rFonts w:ascii="ArialMT" w:hAnsi="ArialMT" w:cs="ArialMT"/>
        </w:rPr>
        <w:t>seguridad.</w:t>
      </w:r>
    </w:p>
    <w:p w14:paraId="5FB591A8" w14:textId="77777777" w:rsidR="005669AF" w:rsidRPr="00FC0957" w:rsidRDefault="005669AF" w:rsidP="005669AF">
      <w:pPr>
        <w:pStyle w:val="NORMAL12"/>
      </w:pPr>
      <w:r w:rsidRPr="00FC0957">
        <w:t xml:space="preserve">Las prescripciones del presente artículo </w:t>
      </w:r>
      <w:proofErr w:type="gramStart"/>
      <w:r w:rsidRPr="00FC0957">
        <w:t>son de aplicación</w:t>
      </w:r>
      <w:proofErr w:type="gramEnd"/>
      <w:r w:rsidRPr="00FC0957">
        <w:t xml:space="preserve"> a las unidades de obra siguientes:</w:t>
      </w:r>
    </w:p>
    <w:tbl>
      <w:tblPr>
        <w:tblW w:w="5000" w:type="pct"/>
        <w:tblCellMar>
          <w:left w:w="70" w:type="dxa"/>
          <w:right w:w="70" w:type="dxa"/>
        </w:tblCellMar>
        <w:tblLook w:val="04A0" w:firstRow="1" w:lastRow="0" w:firstColumn="1" w:lastColumn="0" w:noHBand="0" w:noVBand="1"/>
      </w:tblPr>
      <w:tblGrid>
        <w:gridCol w:w="1207"/>
        <w:gridCol w:w="696"/>
        <w:gridCol w:w="7875"/>
      </w:tblGrid>
      <w:tr w:rsidR="005669AF" w:rsidRPr="00016787" w14:paraId="11F5C0A8" w14:textId="77777777" w:rsidTr="00E363B8">
        <w:trPr>
          <w:trHeight w:val="300"/>
        </w:trPr>
        <w:tc>
          <w:tcPr>
            <w:tcW w:w="617" w:type="pct"/>
            <w:noWrap/>
            <w:hideMark/>
          </w:tcPr>
          <w:p w14:paraId="53A1D5F6" w14:textId="77777777" w:rsidR="005669AF" w:rsidRPr="00D921B6" w:rsidRDefault="005669AF" w:rsidP="00E363B8">
            <w:pPr>
              <w:rPr>
                <w:rFonts w:ascii="Calibri" w:hAnsi="Calibri" w:cs="Calibri"/>
                <w:color w:val="000000"/>
              </w:rPr>
            </w:pPr>
            <w:r w:rsidRPr="00D921B6">
              <w:rPr>
                <w:rFonts w:ascii="Calibri" w:hAnsi="Calibri" w:cs="Calibri"/>
                <w:color w:val="000000"/>
              </w:rPr>
              <w:t xml:space="preserve">701.0425          </w:t>
            </w:r>
          </w:p>
        </w:tc>
        <w:tc>
          <w:tcPr>
            <w:tcW w:w="356" w:type="pct"/>
            <w:noWrap/>
            <w:hideMark/>
          </w:tcPr>
          <w:p w14:paraId="029A28D8" w14:textId="77777777" w:rsidR="005669AF" w:rsidRPr="00D921B6" w:rsidRDefault="005669AF" w:rsidP="00E363B8">
            <w:pPr>
              <w:rPr>
                <w:rFonts w:ascii="Calibri" w:hAnsi="Calibri" w:cs="Calibri"/>
                <w:color w:val="000000"/>
              </w:rPr>
            </w:pPr>
            <w:proofErr w:type="spellStart"/>
            <w:r w:rsidRPr="00D921B6">
              <w:rPr>
                <w:rFonts w:ascii="Calibri" w:hAnsi="Calibri" w:cs="Calibri"/>
                <w:color w:val="000000"/>
              </w:rPr>
              <w:t>ud</w:t>
            </w:r>
            <w:proofErr w:type="spellEnd"/>
          </w:p>
        </w:tc>
        <w:tc>
          <w:tcPr>
            <w:tcW w:w="4027" w:type="pct"/>
            <w:hideMark/>
          </w:tcPr>
          <w:p w14:paraId="6F1D9E36" w14:textId="77777777" w:rsidR="005669AF" w:rsidRPr="00D921B6" w:rsidRDefault="005669AF" w:rsidP="00E363B8">
            <w:pPr>
              <w:jc w:val="both"/>
              <w:rPr>
                <w:rFonts w:ascii="Calibri" w:hAnsi="Calibri" w:cs="Calibri"/>
                <w:color w:val="000000"/>
              </w:rPr>
            </w:pPr>
            <w:r w:rsidRPr="00D921B6">
              <w:rPr>
                <w:rFonts w:ascii="Calibri" w:hAnsi="Calibri" w:cs="Calibri"/>
                <w:color w:val="000000"/>
              </w:rPr>
              <w:t>HITO KILOMÉTRICO S-571 DE 60x80 cm DE LADO, CON MATERIAL REFLECTANTE DE CLASE RA2 i/ POSTE, TORNILLERÍA Y CIMENTACIÓN, TOTALMENTE COLOCADO.</w:t>
            </w:r>
          </w:p>
          <w:p w14:paraId="5E4B8337" w14:textId="77777777" w:rsidR="005669AF" w:rsidRPr="00D921B6" w:rsidRDefault="005669AF" w:rsidP="00E363B8">
            <w:pPr>
              <w:jc w:val="both"/>
              <w:rPr>
                <w:rFonts w:ascii="Calibri" w:hAnsi="Calibri" w:cs="Calibri"/>
                <w:color w:val="000000"/>
              </w:rPr>
            </w:pPr>
          </w:p>
        </w:tc>
      </w:tr>
      <w:tr w:rsidR="005669AF" w:rsidRPr="005864C2" w14:paraId="5DFF3926" w14:textId="77777777" w:rsidTr="00E363B8">
        <w:trPr>
          <w:trHeight w:val="421"/>
        </w:trPr>
        <w:tc>
          <w:tcPr>
            <w:tcW w:w="617" w:type="pct"/>
            <w:noWrap/>
          </w:tcPr>
          <w:p w14:paraId="1BECA12F" w14:textId="77777777" w:rsidR="005669AF" w:rsidRPr="00D921B6" w:rsidRDefault="005669AF" w:rsidP="00E363B8">
            <w:pPr>
              <w:rPr>
                <w:rFonts w:ascii="Calibri" w:hAnsi="Calibri" w:cs="Calibri"/>
                <w:color w:val="000000"/>
              </w:rPr>
            </w:pPr>
            <w:r w:rsidRPr="00D921B6">
              <w:rPr>
                <w:rFonts w:ascii="Calibri" w:hAnsi="Calibri" w:cs="Calibri"/>
                <w:color w:val="000000"/>
              </w:rPr>
              <w:t xml:space="preserve">703.0010          </w:t>
            </w:r>
          </w:p>
        </w:tc>
        <w:tc>
          <w:tcPr>
            <w:tcW w:w="356" w:type="pct"/>
            <w:noWrap/>
          </w:tcPr>
          <w:p w14:paraId="5FF04BBC" w14:textId="77777777" w:rsidR="005669AF" w:rsidRPr="00D921B6" w:rsidRDefault="005669AF" w:rsidP="00E363B8">
            <w:pPr>
              <w:rPr>
                <w:rFonts w:ascii="Calibri" w:hAnsi="Calibri" w:cs="Calibri"/>
                <w:color w:val="000000"/>
              </w:rPr>
            </w:pPr>
            <w:proofErr w:type="spellStart"/>
            <w:r w:rsidRPr="00D921B6">
              <w:rPr>
                <w:rFonts w:ascii="Calibri" w:hAnsi="Calibri" w:cs="Calibri"/>
                <w:color w:val="000000"/>
              </w:rPr>
              <w:t>ud</w:t>
            </w:r>
            <w:proofErr w:type="spellEnd"/>
          </w:p>
        </w:tc>
        <w:tc>
          <w:tcPr>
            <w:tcW w:w="4027" w:type="pct"/>
          </w:tcPr>
          <w:p w14:paraId="209645F6" w14:textId="77777777" w:rsidR="005669AF" w:rsidRPr="00D921B6" w:rsidRDefault="005669AF" w:rsidP="00E363B8">
            <w:pPr>
              <w:jc w:val="both"/>
              <w:rPr>
                <w:rFonts w:ascii="Calibri" w:hAnsi="Calibri" w:cs="Calibri"/>
                <w:color w:val="000000"/>
              </w:rPr>
            </w:pPr>
            <w:r w:rsidRPr="00D921B6">
              <w:rPr>
                <w:rFonts w:ascii="Calibri" w:hAnsi="Calibri" w:cs="Calibri"/>
                <w:color w:val="000000"/>
              </w:rPr>
              <w:t>BALIZA CILÍNDRICA CH-75 CON MATERIAL REFLECTANTE CLASE RA2, TOTALMENTE COLOCADA.</w:t>
            </w:r>
          </w:p>
          <w:p w14:paraId="4006BFF7" w14:textId="77777777" w:rsidR="005669AF" w:rsidRPr="00D921B6" w:rsidRDefault="005669AF" w:rsidP="00E363B8">
            <w:pPr>
              <w:jc w:val="both"/>
              <w:rPr>
                <w:rFonts w:ascii="Calibri" w:hAnsi="Calibri" w:cs="Calibri"/>
                <w:color w:val="000000"/>
              </w:rPr>
            </w:pPr>
          </w:p>
        </w:tc>
      </w:tr>
      <w:tr w:rsidR="005669AF" w:rsidRPr="005864C2" w14:paraId="0BBF7A71" w14:textId="77777777" w:rsidTr="00E363B8">
        <w:trPr>
          <w:trHeight w:val="378"/>
        </w:trPr>
        <w:tc>
          <w:tcPr>
            <w:tcW w:w="617" w:type="pct"/>
            <w:noWrap/>
          </w:tcPr>
          <w:p w14:paraId="23405F84" w14:textId="77777777" w:rsidR="005669AF" w:rsidRPr="00D921B6" w:rsidRDefault="005669AF" w:rsidP="00E363B8">
            <w:pPr>
              <w:rPr>
                <w:rFonts w:ascii="Calibri" w:hAnsi="Calibri" w:cs="Calibri"/>
                <w:color w:val="000000"/>
              </w:rPr>
            </w:pPr>
            <w:r w:rsidRPr="00D921B6">
              <w:rPr>
                <w:rFonts w:ascii="Calibri" w:hAnsi="Calibri" w:cs="Calibri"/>
                <w:color w:val="000000"/>
              </w:rPr>
              <w:t xml:space="preserve">703.0020          </w:t>
            </w:r>
          </w:p>
        </w:tc>
        <w:tc>
          <w:tcPr>
            <w:tcW w:w="356" w:type="pct"/>
            <w:noWrap/>
          </w:tcPr>
          <w:p w14:paraId="779D1654" w14:textId="77777777" w:rsidR="005669AF" w:rsidRPr="00D921B6" w:rsidRDefault="005669AF" w:rsidP="00E363B8">
            <w:pPr>
              <w:rPr>
                <w:rFonts w:ascii="Calibri" w:hAnsi="Calibri" w:cs="Calibri"/>
                <w:color w:val="000000"/>
              </w:rPr>
            </w:pPr>
            <w:proofErr w:type="spellStart"/>
            <w:r w:rsidRPr="00D921B6">
              <w:rPr>
                <w:rFonts w:ascii="Calibri" w:hAnsi="Calibri" w:cs="Calibri"/>
                <w:color w:val="000000"/>
              </w:rPr>
              <w:t>ud</w:t>
            </w:r>
            <w:proofErr w:type="spellEnd"/>
          </w:p>
        </w:tc>
        <w:tc>
          <w:tcPr>
            <w:tcW w:w="4027" w:type="pct"/>
          </w:tcPr>
          <w:p w14:paraId="606E8A60" w14:textId="77777777" w:rsidR="005669AF" w:rsidRPr="00D921B6" w:rsidRDefault="005669AF" w:rsidP="00E363B8">
            <w:pPr>
              <w:jc w:val="both"/>
              <w:rPr>
                <w:rFonts w:ascii="Calibri" w:hAnsi="Calibri" w:cs="Calibri"/>
                <w:color w:val="000000"/>
              </w:rPr>
            </w:pPr>
            <w:r w:rsidRPr="00D921B6">
              <w:rPr>
                <w:rFonts w:ascii="Calibri" w:hAnsi="Calibri" w:cs="Calibri"/>
                <w:color w:val="000000"/>
              </w:rPr>
              <w:t>HITO DE VÉRTICE N-120 CON MATERIAL REFLECTANTE CLASE RA2, LASTRADO CON GRAVA O GRAVILLA, TOTALMENTE COLOCADO.</w:t>
            </w:r>
          </w:p>
        </w:tc>
      </w:tr>
      <w:tr w:rsidR="005669AF" w:rsidRPr="005864C2" w14:paraId="258389C8" w14:textId="77777777" w:rsidTr="00E363B8">
        <w:trPr>
          <w:trHeight w:val="378"/>
        </w:trPr>
        <w:tc>
          <w:tcPr>
            <w:tcW w:w="617" w:type="pct"/>
            <w:noWrap/>
          </w:tcPr>
          <w:p w14:paraId="4BC8F44D" w14:textId="77777777" w:rsidR="005669AF" w:rsidRPr="00D921B6" w:rsidRDefault="005669AF" w:rsidP="00E363B8">
            <w:pPr>
              <w:rPr>
                <w:rFonts w:ascii="Calibri" w:hAnsi="Calibri" w:cs="Calibri"/>
                <w:color w:val="000000"/>
              </w:rPr>
            </w:pPr>
          </w:p>
        </w:tc>
        <w:tc>
          <w:tcPr>
            <w:tcW w:w="356" w:type="pct"/>
            <w:noWrap/>
          </w:tcPr>
          <w:p w14:paraId="7751111A" w14:textId="77777777" w:rsidR="005669AF" w:rsidRPr="00D921B6" w:rsidRDefault="005669AF" w:rsidP="00E363B8">
            <w:pPr>
              <w:rPr>
                <w:rFonts w:ascii="Calibri" w:hAnsi="Calibri" w:cs="Calibri"/>
                <w:color w:val="000000"/>
              </w:rPr>
            </w:pPr>
          </w:p>
        </w:tc>
        <w:tc>
          <w:tcPr>
            <w:tcW w:w="4027" w:type="pct"/>
          </w:tcPr>
          <w:p w14:paraId="7C09F832" w14:textId="77777777" w:rsidR="005669AF" w:rsidRPr="00D921B6" w:rsidRDefault="005669AF" w:rsidP="00E363B8">
            <w:pPr>
              <w:jc w:val="both"/>
              <w:rPr>
                <w:rFonts w:ascii="Calibri" w:hAnsi="Calibri" w:cs="Calibri"/>
                <w:color w:val="000000"/>
              </w:rPr>
            </w:pPr>
          </w:p>
        </w:tc>
      </w:tr>
      <w:tr w:rsidR="005669AF" w:rsidRPr="00563428" w14:paraId="5004211D" w14:textId="77777777" w:rsidTr="00E363B8">
        <w:trPr>
          <w:trHeight w:val="378"/>
        </w:trPr>
        <w:tc>
          <w:tcPr>
            <w:tcW w:w="617" w:type="pct"/>
            <w:noWrap/>
          </w:tcPr>
          <w:p w14:paraId="42497B9F" w14:textId="77777777" w:rsidR="005669AF" w:rsidRPr="00D921B6" w:rsidRDefault="005669AF" w:rsidP="00E363B8">
            <w:pPr>
              <w:rPr>
                <w:rFonts w:ascii="Calibri" w:hAnsi="Calibri" w:cs="Calibri"/>
                <w:color w:val="000000"/>
              </w:rPr>
            </w:pPr>
            <w:r w:rsidRPr="00D921B6">
              <w:rPr>
                <w:rFonts w:ascii="Calibri" w:hAnsi="Calibri" w:cs="Calibri"/>
                <w:color w:val="000000"/>
              </w:rPr>
              <w:t xml:space="preserve">703.0065          </w:t>
            </w:r>
          </w:p>
        </w:tc>
        <w:tc>
          <w:tcPr>
            <w:tcW w:w="356" w:type="pct"/>
            <w:noWrap/>
          </w:tcPr>
          <w:p w14:paraId="181864EC" w14:textId="77777777" w:rsidR="005669AF" w:rsidRPr="00D921B6" w:rsidRDefault="005669AF" w:rsidP="00E363B8">
            <w:pPr>
              <w:rPr>
                <w:rFonts w:ascii="Calibri" w:hAnsi="Calibri" w:cs="Calibri"/>
                <w:color w:val="000000"/>
              </w:rPr>
            </w:pPr>
            <w:proofErr w:type="spellStart"/>
            <w:r w:rsidRPr="00D921B6">
              <w:rPr>
                <w:rFonts w:ascii="Calibri" w:hAnsi="Calibri" w:cs="Calibri"/>
                <w:color w:val="000000"/>
              </w:rPr>
              <w:t>ud</w:t>
            </w:r>
            <w:proofErr w:type="spellEnd"/>
          </w:p>
        </w:tc>
        <w:tc>
          <w:tcPr>
            <w:tcW w:w="4027" w:type="pct"/>
          </w:tcPr>
          <w:p w14:paraId="7AE46342" w14:textId="77777777" w:rsidR="005669AF" w:rsidRPr="00D921B6" w:rsidRDefault="005669AF" w:rsidP="00E363B8">
            <w:pPr>
              <w:jc w:val="both"/>
              <w:rPr>
                <w:rFonts w:ascii="Calibri" w:hAnsi="Calibri" w:cs="Calibri"/>
                <w:color w:val="000000"/>
              </w:rPr>
            </w:pPr>
            <w:r w:rsidRPr="00D921B6">
              <w:rPr>
                <w:rFonts w:ascii="Calibri" w:hAnsi="Calibri" w:cs="Calibri"/>
                <w:color w:val="000000"/>
              </w:rPr>
              <w:t>HITO DE ARISTA (DE 45 cm) TIPO I (PARA CARRETERA CONVENCIONAL), DE RETRORREFLECTANCIA CLASE RA2, SOBRE BARRERA, TOTALMENTE COLOCADO.</w:t>
            </w:r>
          </w:p>
          <w:p w14:paraId="26C0DDA7" w14:textId="77777777" w:rsidR="005669AF" w:rsidRPr="00D921B6" w:rsidRDefault="005669AF" w:rsidP="00E363B8">
            <w:pPr>
              <w:jc w:val="both"/>
              <w:rPr>
                <w:rFonts w:ascii="Calibri" w:hAnsi="Calibri" w:cs="Calibri"/>
                <w:color w:val="000000"/>
              </w:rPr>
            </w:pPr>
          </w:p>
        </w:tc>
      </w:tr>
      <w:tr w:rsidR="005669AF" w:rsidRPr="00563428" w14:paraId="0B5094D7" w14:textId="77777777" w:rsidTr="00E363B8">
        <w:trPr>
          <w:trHeight w:val="378"/>
        </w:trPr>
        <w:tc>
          <w:tcPr>
            <w:tcW w:w="617" w:type="pct"/>
            <w:noWrap/>
          </w:tcPr>
          <w:p w14:paraId="49774062" w14:textId="77777777" w:rsidR="005669AF" w:rsidRPr="00D921B6" w:rsidRDefault="005669AF" w:rsidP="00E363B8">
            <w:pPr>
              <w:rPr>
                <w:rFonts w:ascii="Calibri" w:hAnsi="Calibri" w:cs="Calibri"/>
                <w:color w:val="000000"/>
              </w:rPr>
            </w:pPr>
            <w:r>
              <w:rPr>
                <w:rFonts w:ascii="Calibri" w:hAnsi="Calibri" w:cs="Calibri"/>
                <w:color w:val="000000"/>
              </w:rPr>
              <w:t>702.0010</w:t>
            </w:r>
          </w:p>
        </w:tc>
        <w:tc>
          <w:tcPr>
            <w:tcW w:w="356" w:type="pct"/>
            <w:noWrap/>
          </w:tcPr>
          <w:p w14:paraId="7EEDCA30" w14:textId="77777777" w:rsidR="005669AF" w:rsidRPr="00D921B6" w:rsidRDefault="005669AF" w:rsidP="00E363B8">
            <w:pPr>
              <w:rPr>
                <w:rFonts w:ascii="Calibri" w:hAnsi="Calibri" w:cs="Calibri"/>
                <w:color w:val="000000"/>
              </w:rPr>
            </w:pPr>
            <w:proofErr w:type="spellStart"/>
            <w:r>
              <w:rPr>
                <w:rFonts w:ascii="Calibri" w:hAnsi="Calibri" w:cs="Calibri"/>
                <w:color w:val="000000"/>
              </w:rPr>
              <w:t>ud</w:t>
            </w:r>
            <w:proofErr w:type="spellEnd"/>
          </w:p>
        </w:tc>
        <w:tc>
          <w:tcPr>
            <w:tcW w:w="4027" w:type="pct"/>
          </w:tcPr>
          <w:p w14:paraId="0372846F" w14:textId="77777777" w:rsidR="005669AF" w:rsidRPr="00273192" w:rsidRDefault="005669AF" w:rsidP="00E363B8">
            <w:pPr>
              <w:jc w:val="both"/>
              <w:rPr>
                <w:rFonts w:ascii="Calibri" w:hAnsi="Calibri" w:cs="Calibri"/>
                <w:color w:val="000000"/>
              </w:rPr>
            </w:pPr>
            <w:r w:rsidRPr="00273192">
              <w:rPr>
                <w:rFonts w:ascii="Calibri" w:hAnsi="Calibri" w:cs="Calibri"/>
                <w:color w:val="000000"/>
              </w:rPr>
              <w:t>CAPTAFAROS HORIZONTAL "OJO DE GATO", CON REFLECTANCIA A UNA CARA.</w:t>
            </w:r>
          </w:p>
          <w:p w14:paraId="5B4F4680" w14:textId="77777777" w:rsidR="005669AF" w:rsidRPr="00D921B6" w:rsidRDefault="005669AF" w:rsidP="00E363B8">
            <w:pPr>
              <w:jc w:val="both"/>
              <w:rPr>
                <w:rFonts w:ascii="Calibri" w:hAnsi="Calibri" w:cs="Calibri"/>
                <w:color w:val="000000"/>
              </w:rPr>
            </w:pPr>
          </w:p>
        </w:tc>
      </w:tr>
    </w:tbl>
    <w:p w14:paraId="2D6AA4A5" w14:textId="77777777" w:rsidR="005669AF" w:rsidRDefault="005669AF" w:rsidP="005669AF">
      <w:pPr>
        <w:tabs>
          <w:tab w:val="left" w:pos="567"/>
          <w:tab w:val="left" w:pos="1134"/>
          <w:tab w:val="left" w:pos="1701"/>
        </w:tabs>
        <w:spacing w:line="360" w:lineRule="auto"/>
        <w:rPr>
          <w:rFonts w:ascii="Arial" w:hAnsi="Arial" w:cs="Arial"/>
          <w:lang w:val="es-ES_tradnl"/>
        </w:rPr>
      </w:pPr>
      <w:r w:rsidRPr="00FC0957">
        <w:rPr>
          <w:rFonts w:ascii="Arial" w:hAnsi="Arial" w:cs="Arial"/>
          <w:lang w:val="es-ES_tradnl"/>
        </w:rPr>
        <w:t>La ej</w:t>
      </w:r>
      <w:r>
        <w:rPr>
          <w:rFonts w:ascii="Arial" w:hAnsi="Arial" w:cs="Arial"/>
          <w:lang w:val="es-ES_tradnl"/>
        </w:rPr>
        <w:t>ecución de la unidad incluye la realización de las operaciones siguientes:</w:t>
      </w:r>
    </w:p>
    <w:p w14:paraId="6F3B0BAE" w14:textId="77777777" w:rsidR="005669AF" w:rsidRDefault="005669AF" w:rsidP="000313DD">
      <w:pPr>
        <w:pStyle w:val="NORMAL12"/>
        <w:numPr>
          <w:ilvl w:val="0"/>
          <w:numId w:val="226"/>
        </w:numPr>
      </w:pPr>
      <w:r>
        <w:t>Replanteo de la posición del elemento</w:t>
      </w:r>
    </w:p>
    <w:p w14:paraId="473C05D3" w14:textId="77777777" w:rsidR="005669AF" w:rsidRDefault="005669AF" w:rsidP="000313DD">
      <w:pPr>
        <w:pStyle w:val="NORMAL12"/>
        <w:numPr>
          <w:ilvl w:val="0"/>
          <w:numId w:val="226"/>
        </w:numPr>
      </w:pPr>
      <w:r>
        <w:t>Preparación de la superficie de asiento</w:t>
      </w:r>
    </w:p>
    <w:p w14:paraId="64B853FB" w14:textId="77777777" w:rsidR="005669AF" w:rsidRDefault="005669AF" w:rsidP="000313DD">
      <w:pPr>
        <w:pStyle w:val="NORMAL12"/>
        <w:numPr>
          <w:ilvl w:val="0"/>
          <w:numId w:val="226"/>
        </w:numPr>
      </w:pPr>
      <w:r>
        <w:t>Colocación de los elementos de anclaje</w:t>
      </w:r>
    </w:p>
    <w:p w14:paraId="0E7AA658" w14:textId="77777777" w:rsidR="005669AF" w:rsidRDefault="005669AF" w:rsidP="000313DD">
      <w:pPr>
        <w:pStyle w:val="NORMAL12"/>
        <w:numPr>
          <w:ilvl w:val="0"/>
          <w:numId w:val="226"/>
        </w:numPr>
      </w:pPr>
      <w:r>
        <w:t>Colocación del elemento de balizamiento</w:t>
      </w:r>
    </w:p>
    <w:p w14:paraId="124C2F80" w14:textId="77777777" w:rsidR="00C61E14" w:rsidRDefault="00C61E14" w:rsidP="00C61E14">
      <w:pPr>
        <w:pStyle w:val="NORMAL12"/>
        <w:ind w:left="720"/>
      </w:pPr>
    </w:p>
    <w:p w14:paraId="0FC6F774" w14:textId="77777777" w:rsidR="00C61E14" w:rsidRPr="00FC0957" w:rsidRDefault="00C61E14" w:rsidP="00C61E14">
      <w:pPr>
        <w:pStyle w:val="NORMAL12"/>
        <w:ind w:left="720"/>
      </w:pPr>
    </w:p>
    <w:p w14:paraId="5F0FC839" w14:textId="77777777" w:rsidR="005669AF" w:rsidRDefault="005669AF" w:rsidP="000313DD">
      <w:pPr>
        <w:pStyle w:val="TITU2"/>
      </w:pPr>
      <w:bookmarkStart w:id="1134" w:name="_Toc404587"/>
      <w:r w:rsidRPr="00F27B28">
        <w:lastRenderedPageBreak/>
        <w:t>7</w:t>
      </w:r>
      <w:r>
        <w:t>03</w:t>
      </w:r>
      <w:r w:rsidRPr="00F27B28">
        <w:t>.</w:t>
      </w:r>
      <w:r>
        <w:t>2</w:t>
      </w:r>
      <w:r w:rsidRPr="00F27B28">
        <w:t>.</w:t>
      </w:r>
      <w:r>
        <w:t xml:space="preserve"> Tipos</w:t>
      </w:r>
      <w:bookmarkEnd w:id="1134"/>
    </w:p>
    <w:p w14:paraId="7B811D8D" w14:textId="77777777" w:rsidR="005669AF" w:rsidRDefault="005669AF" w:rsidP="005669AF">
      <w:pPr>
        <w:pStyle w:val="NORMAL12"/>
        <w:rPr>
          <w:rFonts w:ascii="ArialMT" w:hAnsi="ArialMT" w:cs="ArialMT"/>
        </w:rPr>
      </w:pPr>
      <w:r>
        <w:rPr>
          <w:rFonts w:ascii="ArialMT" w:hAnsi="ArialMT" w:cs="ArialMT"/>
        </w:rPr>
        <w:t>Los tipos de los elementos de balizamiento permanentes son:</w:t>
      </w:r>
    </w:p>
    <w:tbl>
      <w:tblPr>
        <w:tblW w:w="7220" w:type="dxa"/>
        <w:jc w:val="center"/>
        <w:tblCellMar>
          <w:left w:w="70" w:type="dxa"/>
          <w:right w:w="70" w:type="dxa"/>
        </w:tblCellMar>
        <w:tblLook w:val="04A0" w:firstRow="1" w:lastRow="0" w:firstColumn="1" w:lastColumn="0" w:noHBand="0" w:noVBand="1"/>
      </w:tblPr>
      <w:tblGrid>
        <w:gridCol w:w="2060"/>
        <w:gridCol w:w="1880"/>
        <w:gridCol w:w="3280"/>
      </w:tblGrid>
      <w:tr w:rsidR="005669AF" w14:paraId="272143A6" w14:textId="77777777" w:rsidTr="00E363B8">
        <w:trPr>
          <w:trHeight w:val="300"/>
          <w:jc w:val="center"/>
        </w:trPr>
        <w:tc>
          <w:tcPr>
            <w:tcW w:w="2060"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2357AB2D" w14:textId="77777777" w:rsidR="005669AF" w:rsidRDefault="005669AF" w:rsidP="00E363B8">
            <w:pPr>
              <w:jc w:val="center"/>
              <w:rPr>
                <w:rFonts w:ascii="Calibri" w:hAnsi="Calibri" w:cs="Calibri"/>
                <w:b/>
                <w:bCs/>
                <w:color w:val="000000"/>
                <w:sz w:val="22"/>
                <w:szCs w:val="22"/>
              </w:rPr>
            </w:pPr>
            <w:r>
              <w:rPr>
                <w:rFonts w:ascii="Calibri" w:hAnsi="Calibri" w:cs="Calibri"/>
                <w:b/>
                <w:bCs/>
                <w:color w:val="000000"/>
                <w:sz w:val="22"/>
                <w:szCs w:val="22"/>
              </w:rPr>
              <w:t>Elemento</w:t>
            </w:r>
          </w:p>
        </w:tc>
        <w:tc>
          <w:tcPr>
            <w:tcW w:w="1880" w:type="dxa"/>
            <w:tcBorders>
              <w:top w:val="single" w:sz="4" w:space="0" w:color="auto"/>
              <w:left w:val="nil"/>
              <w:bottom w:val="single" w:sz="4" w:space="0" w:color="auto"/>
              <w:right w:val="single" w:sz="4" w:space="0" w:color="auto"/>
            </w:tcBorders>
            <w:shd w:val="clear" w:color="000000" w:fill="D9D9D9"/>
            <w:noWrap/>
            <w:vAlign w:val="bottom"/>
            <w:hideMark/>
          </w:tcPr>
          <w:p w14:paraId="754EA80C" w14:textId="77777777" w:rsidR="005669AF" w:rsidRDefault="005669AF" w:rsidP="00E363B8">
            <w:pPr>
              <w:jc w:val="center"/>
              <w:rPr>
                <w:rFonts w:ascii="Calibri" w:hAnsi="Calibri" w:cs="Calibri"/>
                <w:b/>
                <w:bCs/>
                <w:color w:val="000000"/>
                <w:sz w:val="22"/>
                <w:szCs w:val="22"/>
              </w:rPr>
            </w:pPr>
            <w:r>
              <w:rPr>
                <w:rFonts w:ascii="Calibri" w:hAnsi="Calibri" w:cs="Calibri"/>
                <w:b/>
                <w:bCs/>
                <w:color w:val="000000"/>
                <w:sz w:val="22"/>
                <w:szCs w:val="22"/>
              </w:rPr>
              <w:t>Tipo de delineador</w:t>
            </w:r>
          </w:p>
        </w:tc>
        <w:tc>
          <w:tcPr>
            <w:tcW w:w="3280" w:type="dxa"/>
            <w:tcBorders>
              <w:top w:val="single" w:sz="4" w:space="0" w:color="auto"/>
              <w:left w:val="nil"/>
              <w:bottom w:val="single" w:sz="4" w:space="0" w:color="auto"/>
              <w:right w:val="single" w:sz="4" w:space="0" w:color="auto"/>
            </w:tcBorders>
            <w:shd w:val="clear" w:color="000000" w:fill="D9D9D9"/>
            <w:noWrap/>
            <w:vAlign w:val="bottom"/>
            <w:hideMark/>
          </w:tcPr>
          <w:p w14:paraId="6591D83B" w14:textId="77777777" w:rsidR="005669AF" w:rsidRDefault="005669AF" w:rsidP="00E363B8">
            <w:pPr>
              <w:jc w:val="center"/>
              <w:rPr>
                <w:rFonts w:ascii="Calibri" w:hAnsi="Calibri" w:cs="Calibri"/>
                <w:b/>
                <w:bCs/>
                <w:color w:val="000000"/>
                <w:sz w:val="22"/>
                <w:szCs w:val="22"/>
              </w:rPr>
            </w:pPr>
            <w:r>
              <w:rPr>
                <w:rFonts w:ascii="Calibri" w:hAnsi="Calibri" w:cs="Calibri"/>
                <w:b/>
                <w:bCs/>
                <w:color w:val="000000"/>
                <w:sz w:val="22"/>
                <w:szCs w:val="22"/>
              </w:rPr>
              <w:t xml:space="preserve">Tipo dispositivo </w:t>
            </w:r>
            <w:proofErr w:type="spellStart"/>
            <w:r>
              <w:rPr>
                <w:rFonts w:ascii="Calibri" w:hAnsi="Calibri" w:cs="Calibri"/>
                <w:b/>
                <w:bCs/>
                <w:color w:val="000000"/>
                <w:sz w:val="22"/>
                <w:szCs w:val="22"/>
              </w:rPr>
              <w:t>Retrorreflectante</w:t>
            </w:r>
            <w:proofErr w:type="spellEnd"/>
          </w:p>
        </w:tc>
      </w:tr>
      <w:tr w:rsidR="005669AF" w14:paraId="62EA4CBB" w14:textId="77777777" w:rsidTr="00E363B8">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422D0694" w14:textId="77777777" w:rsidR="005669AF" w:rsidRDefault="005669AF" w:rsidP="00E363B8">
            <w:pPr>
              <w:rPr>
                <w:rFonts w:ascii="Calibri" w:hAnsi="Calibri" w:cs="Calibri"/>
                <w:color w:val="000000"/>
                <w:sz w:val="22"/>
                <w:szCs w:val="22"/>
              </w:rPr>
            </w:pPr>
            <w:r>
              <w:rPr>
                <w:rFonts w:ascii="Calibri" w:hAnsi="Calibri" w:cs="Calibri"/>
                <w:color w:val="000000"/>
                <w:sz w:val="22"/>
                <w:szCs w:val="22"/>
              </w:rPr>
              <w:t>Hitos de arista</w:t>
            </w:r>
          </w:p>
        </w:tc>
        <w:tc>
          <w:tcPr>
            <w:tcW w:w="1880" w:type="dxa"/>
            <w:tcBorders>
              <w:top w:val="nil"/>
              <w:left w:val="nil"/>
              <w:bottom w:val="single" w:sz="4" w:space="0" w:color="auto"/>
              <w:right w:val="single" w:sz="4" w:space="0" w:color="auto"/>
            </w:tcBorders>
            <w:noWrap/>
            <w:vAlign w:val="bottom"/>
            <w:hideMark/>
          </w:tcPr>
          <w:p w14:paraId="54623C59" w14:textId="77777777" w:rsidR="005669AF" w:rsidRDefault="005669AF" w:rsidP="00E363B8">
            <w:pPr>
              <w:jc w:val="center"/>
              <w:rPr>
                <w:rFonts w:ascii="Calibri" w:hAnsi="Calibri" w:cs="Calibri"/>
                <w:color w:val="000000"/>
                <w:sz w:val="22"/>
                <w:szCs w:val="22"/>
              </w:rPr>
            </w:pPr>
            <w:r>
              <w:rPr>
                <w:rFonts w:ascii="Calibri" w:hAnsi="Calibri" w:cs="Calibri"/>
                <w:color w:val="000000"/>
                <w:sz w:val="22"/>
                <w:szCs w:val="22"/>
              </w:rPr>
              <w:t>D1, D2, D3 o D4</w:t>
            </w:r>
          </w:p>
        </w:tc>
        <w:tc>
          <w:tcPr>
            <w:tcW w:w="3280" w:type="dxa"/>
            <w:tcBorders>
              <w:top w:val="nil"/>
              <w:left w:val="nil"/>
              <w:bottom w:val="single" w:sz="4" w:space="0" w:color="auto"/>
              <w:right w:val="single" w:sz="4" w:space="0" w:color="auto"/>
            </w:tcBorders>
            <w:noWrap/>
            <w:vAlign w:val="bottom"/>
            <w:hideMark/>
          </w:tcPr>
          <w:p w14:paraId="57B20157" w14:textId="77777777" w:rsidR="005669AF" w:rsidRDefault="005669AF" w:rsidP="00E363B8">
            <w:pPr>
              <w:jc w:val="center"/>
              <w:rPr>
                <w:rFonts w:ascii="Calibri" w:hAnsi="Calibri" w:cs="Calibri"/>
                <w:color w:val="000000"/>
                <w:sz w:val="22"/>
                <w:szCs w:val="22"/>
              </w:rPr>
            </w:pPr>
            <w:r>
              <w:rPr>
                <w:rFonts w:ascii="Calibri" w:hAnsi="Calibri" w:cs="Calibri"/>
                <w:color w:val="000000"/>
                <w:sz w:val="22"/>
                <w:szCs w:val="22"/>
              </w:rPr>
              <w:t>R1 o R2</w:t>
            </w:r>
          </w:p>
        </w:tc>
      </w:tr>
      <w:tr w:rsidR="005669AF" w14:paraId="57CAC248" w14:textId="77777777" w:rsidTr="00E363B8">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518E91E0" w14:textId="77777777" w:rsidR="005669AF" w:rsidRDefault="005669AF" w:rsidP="00E363B8">
            <w:pPr>
              <w:rPr>
                <w:rFonts w:ascii="Calibri" w:hAnsi="Calibri" w:cs="Calibri"/>
                <w:color w:val="000000"/>
                <w:sz w:val="22"/>
                <w:szCs w:val="22"/>
              </w:rPr>
            </w:pPr>
            <w:r>
              <w:rPr>
                <w:rFonts w:ascii="Calibri" w:hAnsi="Calibri" w:cs="Calibri"/>
                <w:color w:val="000000"/>
                <w:sz w:val="22"/>
                <w:szCs w:val="22"/>
              </w:rPr>
              <w:t>Hitos de vértice</w:t>
            </w:r>
          </w:p>
        </w:tc>
        <w:tc>
          <w:tcPr>
            <w:tcW w:w="1880" w:type="dxa"/>
            <w:tcBorders>
              <w:top w:val="nil"/>
              <w:left w:val="nil"/>
              <w:bottom w:val="single" w:sz="4" w:space="0" w:color="auto"/>
              <w:right w:val="single" w:sz="4" w:space="0" w:color="auto"/>
            </w:tcBorders>
            <w:noWrap/>
            <w:vAlign w:val="bottom"/>
            <w:hideMark/>
          </w:tcPr>
          <w:p w14:paraId="657F2673" w14:textId="77777777" w:rsidR="005669AF" w:rsidRDefault="005669AF" w:rsidP="00E363B8">
            <w:pPr>
              <w:jc w:val="center"/>
              <w:rPr>
                <w:rFonts w:ascii="Calibri" w:hAnsi="Calibri" w:cs="Calibri"/>
                <w:color w:val="000000"/>
                <w:sz w:val="22"/>
                <w:szCs w:val="22"/>
              </w:rPr>
            </w:pPr>
            <w:r>
              <w:rPr>
                <w:rFonts w:ascii="Calibri" w:hAnsi="Calibri" w:cs="Calibri"/>
                <w:color w:val="000000"/>
                <w:sz w:val="22"/>
                <w:szCs w:val="22"/>
              </w:rPr>
              <w:t>D1 o D2</w:t>
            </w:r>
          </w:p>
        </w:tc>
        <w:tc>
          <w:tcPr>
            <w:tcW w:w="3280" w:type="dxa"/>
            <w:tcBorders>
              <w:top w:val="nil"/>
              <w:left w:val="nil"/>
              <w:bottom w:val="single" w:sz="4" w:space="0" w:color="auto"/>
              <w:right w:val="single" w:sz="4" w:space="0" w:color="auto"/>
            </w:tcBorders>
            <w:noWrap/>
            <w:vAlign w:val="bottom"/>
            <w:hideMark/>
          </w:tcPr>
          <w:p w14:paraId="59F2EF14" w14:textId="77777777" w:rsidR="005669AF" w:rsidRDefault="005669AF" w:rsidP="00E363B8">
            <w:pPr>
              <w:jc w:val="center"/>
              <w:rPr>
                <w:rFonts w:ascii="Calibri" w:hAnsi="Calibri" w:cs="Calibri"/>
                <w:color w:val="000000"/>
                <w:sz w:val="22"/>
                <w:szCs w:val="22"/>
              </w:rPr>
            </w:pPr>
            <w:r>
              <w:rPr>
                <w:rFonts w:ascii="Calibri" w:hAnsi="Calibri" w:cs="Calibri"/>
                <w:color w:val="000000"/>
                <w:sz w:val="22"/>
                <w:szCs w:val="22"/>
              </w:rPr>
              <w:t xml:space="preserve">R1  </w:t>
            </w:r>
          </w:p>
        </w:tc>
      </w:tr>
      <w:tr w:rsidR="005669AF" w14:paraId="1AE2B2F7" w14:textId="77777777" w:rsidTr="00E363B8">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188C3334" w14:textId="77777777" w:rsidR="005669AF" w:rsidRDefault="005669AF" w:rsidP="00E363B8">
            <w:pPr>
              <w:rPr>
                <w:rFonts w:ascii="Calibri" w:hAnsi="Calibri" w:cs="Calibri"/>
                <w:color w:val="000000"/>
                <w:sz w:val="22"/>
                <w:szCs w:val="22"/>
              </w:rPr>
            </w:pPr>
            <w:r>
              <w:rPr>
                <w:rFonts w:ascii="Calibri" w:hAnsi="Calibri" w:cs="Calibri"/>
                <w:color w:val="000000"/>
                <w:sz w:val="22"/>
                <w:szCs w:val="22"/>
              </w:rPr>
              <w:t>Balizas cilíndricas</w:t>
            </w:r>
          </w:p>
        </w:tc>
        <w:tc>
          <w:tcPr>
            <w:tcW w:w="1880" w:type="dxa"/>
            <w:tcBorders>
              <w:top w:val="nil"/>
              <w:left w:val="nil"/>
              <w:bottom w:val="single" w:sz="4" w:space="0" w:color="auto"/>
              <w:right w:val="single" w:sz="4" w:space="0" w:color="auto"/>
            </w:tcBorders>
            <w:noWrap/>
            <w:vAlign w:val="bottom"/>
            <w:hideMark/>
          </w:tcPr>
          <w:p w14:paraId="55950CB5" w14:textId="77777777" w:rsidR="005669AF" w:rsidRDefault="005669AF" w:rsidP="00E363B8">
            <w:pPr>
              <w:jc w:val="center"/>
              <w:rPr>
                <w:rFonts w:ascii="Calibri" w:hAnsi="Calibri" w:cs="Calibri"/>
                <w:color w:val="000000"/>
                <w:sz w:val="22"/>
                <w:szCs w:val="22"/>
              </w:rPr>
            </w:pPr>
            <w:r>
              <w:rPr>
                <w:rFonts w:ascii="Calibri" w:hAnsi="Calibri" w:cs="Calibri"/>
                <w:color w:val="000000"/>
                <w:sz w:val="22"/>
                <w:szCs w:val="22"/>
              </w:rPr>
              <w:t>D1 o D3</w:t>
            </w:r>
          </w:p>
        </w:tc>
        <w:tc>
          <w:tcPr>
            <w:tcW w:w="3280" w:type="dxa"/>
            <w:tcBorders>
              <w:top w:val="nil"/>
              <w:left w:val="nil"/>
              <w:bottom w:val="single" w:sz="4" w:space="0" w:color="auto"/>
              <w:right w:val="single" w:sz="4" w:space="0" w:color="auto"/>
            </w:tcBorders>
            <w:noWrap/>
            <w:vAlign w:val="bottom"/>
            <w:hideMark/>
          </w:tcPr>
          <w:p w14:paraId="52156C25" w14:textId="77777777" w:rsidR="005669AF" w:rsidRDefault="005669AF" w:rsidP="00E363B8">
            <w:pPr>
              <w:jc w:val="center"/>
              <w:rPr>
                <w:rFonts w:ascii="Calibri" w:hAnsi="Calibri" w:cs="Calibri"/>
                <w:color w:val="000000"/>
                <w:sz w:val="22"/>
                <w:szCs w:val="22"/>
              </w:rPr>
            </w:pPr>
            <w:r>
              <w:rPr>
                <w:rFonts w:ascii="Calibri" w:hAnsi="Calibri" w:cs="Calibri"/>
                <w:color w:val="000000"/>
                <w:sz w:val="22"/>
                <w:szCs w:val="22"/>
              </w:rPr>
              <w:t xml:space="preserve">R1  </w:t>
            </w:r>
          </w:p>
        </w:tc>
      </w:tr>
      <w:tr w:rsidR="005669AF" w14:paraId="6B847D8F" w14:textId="77777777" w:rsidTr="00E363B8">
        <w:trPr>
          <w:trHeight w:val="300"/>
          <w:jc w:val="center"/>
        </w:trPr>
        <w:tc>
          <w:tcPr>
            <w:tcW w:w="2060" w:type="dxa"/>
            <w:tcBorders>
              <w:top w:val="nil"/>
              <w:left w:val="single" w:sz="4" w:space="0" w:color="auto"/>
              <w:bottom w:val="single" w:sz="4" w:space="0" w:color="auto"/>
              <w:right w:val="single" w:sz="4" w:space="0" w:color="auto"/>
            </w:tcBorders>
            <w:noWrap/>
            <w:vAlign w:val="bottom"/>
            <w:hideMark/>
          </w:tcPr>
          <w:p w14:paraId="05F87A50" w14:textId="77777777" w:rsidR="005669AF" w:rsidRDefault="005669AF" w:rsidP="00E363B8">
            <w:pPr>
              <w:rPr>
                <w:rFonts w:ascii="Calibri" w:hAnsi="Calibri" w:cs="Calibri"/>
                <w:color w:val="000000"/>
                <w:sz w:val="22"/>
                <w:szCs w:val="22"/>
              </w:rPr>
            </w:pPr>
            <w:proofErr w:type="spellStart"/>
            <w:r>
              <w:rPr>
                <w:rFonts w:ascii="Calibri" w:hAnsi="Calibri" w:cs="Calibri"/>
                <w:color w:val="000000"/>
                <w:sz w:val="22"/>
                <w:szCs w:val="22"/>
              </w:rPr>
              <w:t>Captafaros</w:t>
            </w:r>
            <w:proofErr w:type="spellEnd"/>
            <w:r>
              <w:rPr>
                <w:rFonts w:ascii="Calibri" w:hAnsi="Calibri" w:cs="Calibri"/>
                <w:color w:val="000000"/>
                <w:sz w:val="22"/>
                <w:szCs w:val="22"/>
              </w:rPr>
              <w:t xml:space="preserve"> verticales</w:t>
            </w:r>
          </w:p>
        </w:tc>
        <w:tc>
          <w:tcPr>
            <w:tcW w:w="1880" w:type="dxa"/>
            <w:tcBorders>
              <w:top w:val="nil"/>
              <w:left w:val="nil"/>
              <w:bottom w:val="single" w:sz="4" w:space="0" w:color="auto"/>
              <w:right w:val="single" w:sz="4" w:space="0" w:color="auto"/>
            </w:tcBorders>
            <w:noWrap/>
            <w:vAlign w:val="bottom"/>
            <w:hideMark/>
          </w:tcPr>
          <w:p w14:paraId="2878F49A" w14:textId="77777777" w:rsidR="005669AF" w:rsidRDefault="005669AF" w:rsidP="00E363B8">
            <w:pPr>
              <w:jc w:val="center"/>
              <w:rPr>
                <w:rFonts w:ascii="Calibri" w:hAnsi="Calibri" w:cs="Calibri"/>
                <w:color w:val="000000"/>
                <w:sz w:val="22"/>
                <w:szCs w:val="22"/>
              </w:rPr>
            </w:pPr>
            <w:r>
              <w:rPr>
                <w:rFonts w:ascii="Calibri" w:hAnsi="Calibri" w:cs="Calibri"/>
                <w:color w:val="000000"/>
                <w:sz w:val="22"/>
                <w:szCs w:val="22"/>
              </w:rPr>
              <w:t>D4</w:t>
            </w:r>
          </w:p>
        </w:tc>
        <w:tc>
          <w:tcPr>
            <w:tcW w:w="3280" w:type="dxa"/>
            <w:tcBorders>
              <w:top w:val="nil"/>
              <w:left w:val="nil"/>
              <w:bottom w:val="single" w:sz="4" w:space="0" w:color="auto"/>
              <w:right w:val="single" w:sz="4" w:space="0" w:color="auto"/>
            </w:tcBorders>
            <w:noWrap/>
            <w:vAlign w:val="bottom"/>
            <w:hideMark/>
          </w:tcPr>
          <w:p w14:paraId="434C91DC" w14:textId="77777777" w:rsidR="005669AF" w:rsidRDefault="005669AF" w:rsidP="00E363B8">
            <w:pPr>
              <w:jc w:val="center"/>
              <w:rPr>
                <w:rFonts w:ascii="Calibri" w:hAnsi="Calibri" w:cs="Calibri"/>
                <w:color w:val="000000"/>
                <w:sz w:val="22"/>
                <w:szCs w:val="22"/>
              </w:rPr>
            </w:pPr>
            <w:r>
              <w:rPr>
                <w:rFonts w:ascii="Calibri" w:hAnsi="Calibri" w:cs="Calibri"/>
                <w:color w:val="000000"/>
                <w:sz w:val="22"/>
                <w:szCs w:val="22"/>
              </w:rPr>
              <w:t>R1 o R2</w:t>
            </w:r>
          </w:p>
        </w:tc>
      </w:tr>
    </w:tbl>
    <w:p w14:paraId="54D1D294" w14:textId="77777777" w:rsidR="005669AF" w:rsidRDefault="005669AF" w:rsidP="005669AF">
      <w:pPr>
        <w:pStyle w:val="NORMAL12"/>
      </w:pPr>
      <w:r>
        <w:t>Las características de cada uno de los tipos son:</w:t>
      </w:r>
    </w:p>
    <w:p w14:paraId="10886CE2" w14:textId="77777777" w:rsidR="005669AF" w:rsidRPr="00FC0957" w:rsidRDefault="005669AF" w:rsidP="000313DD">
      <w:pPr>
        <w:pStyle w:val="NORMAL12"/>
        <w:numPr>
          <w:ilvl w:val="0"/>
          <w:numId w:val="226"/>
        </w:numPr>
        <w:ind w:left="714" w:hanging="357"/>
        <w:contextualSpacing/>
      </w:pPr>
      <w:r w:rsidRPr="00FC0957">
        <w:t>D1: para ser instalado en la calzada, no se diseña para poder ser reutilizado tras ser</w:t>
      </w:r>
      <w:r>
        <w:t xml:space="preserve"> </w:t>
      </w:r>
      <w:r w:rsidRPr="00FC0957">
        <w:t>sometido a un impacto.</w:t>
      </w:r>
    </w:p>
    <w:p w14:paraId="5CC5C9E8" w14:textId="77777777" w:rsidR="005669AF" w:rsidRPr="00FC0957" w:rsidRDefault="005669AF" w:rsidP="000313DD">
      <w:pPr>
        <w:pStyle w:val="NORMAL12"/>
        <w:numPr>
          <w:ilvl w:val="0"/>
          <w:numId w:val="226"/>
        </w:numPr>
        <w:ind w:left="714" w:hanging="357"/>
        <w:contextualSpacing/>
      </w:pPr>
      <w:r w:rsidRPr="00FC0957">
        <w:t>D2: para ser instalado en la calzada, se diseña para poder ser reutilizado tras ser</w:t>
      </w:r>
      <w:r>
        <w:t xml:space="preserve"> </w:t>
      </w:r>
      <w:r w:rsidRPr="00FC0957">
        <w:t>sometido a un impacto.</w:t>
      </w:r>
    </w:p>
    <w:p w14:paraId="2ADF9EC7" w14:textId="77777777" w:rsidR="005669AF" w:rsidRPr="00FC0957" w:rsidRDefault="005669AF" w:rsidP="000313DD">
      <w:pPr>
        <w:pStyle w:val="NORMAL12"/>
        <w:numPr>
          <w:ilvl w:val="0"/>
          <w:numId w:val="226"/>
        </w:numPr>
        <w:ind w:left="714" w:hanging="357"/>
        <w:contextualSpacing/>
      </w:pPr>
      <w:r w:rsidRPr="00FC0957">
        <w:t>D3: para ser instalado en la calzada, se diseña para soportar un cierto grado de</w:t>
      </w:r>
      <w:r>
        <w:t xml:space="preserve"> </w:t>
      </w:r>
      <w:r w:rsidRPr="00FC0957">
        <w:t>deformación y volver a la posición vertical tras ser sometido a un impacto.</w:t>
      </w:r>
    </w:p>
    <w:p w14:paraId="5FDAF56F" w14:textId="77777777" w:rsidR="005669AF" w:rsidRPr="00FC0957" w:rsidRDefault="005669AF" w:rsidP="000313DD">
      <w:pPr>
        <w:pStyle w:val="NORMAL12"/>
        <w:numPr>
          <w:ilvl w:val="0"/>
          <w:numId w:val="226"/>
        </w:numPr>
        <w:ind w:left="714" w:hanging="357"/>
        <w:contextualSpacing/>
      </w:pPr>
      <w:r w:rsidRPr="00FC0957">
        <w:t xml:space="preserve">D4: para ser instalado sobre estructuras fijas: muros, paramentos de </w:t>
      </w:r>
      <w:proofErr w:type="gramStart"/>
      <w:r w:rsidRPr="00FC0957">
        <w:t xml:space="preserve">túneles, </w:t>
      </w:r>
      <w:r>
        <w:t xml:space="preserve"> p</w:t>
      </w:r>
      <w:r w:rsidRPr="00FC0957">
        <w:t>retiles</w:t>
      </w:r>
      <w:proofErr w:type="gramEnd"/>
      <w:r>
        <w:t xml:space="preserve"> </w:t>
      </w:r>
      <w:r w:rsidRPr="00FC0957">
        <w:t>y barreras de seguridad.</w:t>
      </w:r>
    </w:p>
    <w:p w14:paraId="6E06858D" w14:textId="77777777" w:rsidR="005669AF" w:rsidRPr="00FC0957" w:rsidRDefault="005669AF" w:rsidP="000313DD">
      <w:pPr>
        <w:pStyle w:val="NORMAL12"/>
        <w:numPr>
          <w:ilvl w:val="0"/>
          <w:numId w:val="226"/>
        </w:numPr>
        <w:ind w:left="714" w:hanging="357"/>
        <w:contextualSpacing/>
      </w:pPr>
      <w:r w:rsidRPr="00FC0957">
        <w:t>R1: láminas (material).</w:t>
      </w:r>
    </w:p>
    <w:p w14:paraId="0B3E7773" w14:textId="77777777" w:rsidR="005669AF" w:rsidRPr="00FC0957" w:rsidRDefault="005669AF" w:rsidP="000313DD">
      <w:pPr>
        <w:pStyle w:val="NORMAL12"/>
        <w:numPr>
          <w:ilvl w:val="0"/>
          <w:numId w:val="226"/>
        </w:numPr>
        <w:ind w:left="714" w:hanging="357"/>
        <w:contextualSpacing/>
      </w:pPr>
      <w:r w:rsidRPr="00FC0957">
        <w:t>R2: dispositivos plásticos de esquina de cubo.</w:t>
      </w:r>
    </w:p>
    <w:p w14:paraId="767928C0" w14:textId="77777777" w:rsidR="005669AF" w:rsidRDefault="005669AF" w:rsidP="000313DD">
      <w:pPr>
        <w:pStyle w:val="NORMAL12"/>
        <w:numPr>
          <w:ilvl w:val="0"/>
          <w:numId w:val="226"/>
        </w:numPr>
        <w:ind w:left="714" w:hanging="357"/>
        <w:contextualSpacing/>
      </w:pPr>
      <w:r w:rsidRPr="00FC0957">
        <w:t>R3: dispositivos de cristal biconvexo</w:t>
      </w:r>
    </w:p>
    <w:p w14:paraId="211D53E0" w14:textId="77777777" w:rsidR="005669AF" w:rsidRPr="00D921B6" w:rsidRDefault="005669AF" w:rsidP="005669AF">
      <w:pPr>
        <w:pStyle w:val="NORMAL12"/>
      </w:pPr>
      <w:r w:rsidRPr="00D921B6">
        <w:t xml:space="preserve">En la actuación se proyectan elementos de balizamiento con nivel de </w:t>
      </w:r>
      <w:proofErr w:type="spellStart"/>
      <w:r w:rsidRPr="00D921B6">
        <w:t>retrorreflectancia</w:t>
      </w:r>
      <w:proofErr w:type="spellEnd"/>
      <w:r w:rsidRPr="00D921B6">
        <w:t xml:space="preserve"> RA2.</w:t>
      </w:r>
    </w:p>
    <w:p w14:paraId="7D27713E" w14:textId="77777777" w:rsidR="005669AF" w:rsidRDefault="005669AF" w:rsidP="005669AF">
      <w:pPr>
        <w:pStyle w:val="NORMAL12"/>
      </w:pPr>
      <w:r w:rsidRPr="00D921B6">
        <w:t>El tipo de delineador exigido en D1.</w:t>
      </w:r>
    </w:p>
    <w:p w14:paraId="6D30528E" w14:textId="77777777" w:rsidR="00C61E14" w:rsidRDefault="00F74B11" w:rsidP="005669AF">
      <w:pPr>
        <w:pStyle w:val="NORMAL12"/>
      </w:pPr>
      <w:r>
        <w:t xml:space="preserve">Los </w:t>
      </w:r>
      <w:proofErr w:type="spellStart"/>
      <w:r>
        <w:t>captafaros</w:t>
      </w:r>
      <w:proofErr w:type="spellEnd"/>
      <w:r>
        <w:t xml:space="preserve"> verticales tienen un nivel re </w:t>
      </w:r>
      <w:proofErr w:type="spellStart"/>
      <w:r>
        <w:t>retrorreflectancia</w:t>
      </w:r>
      <w:proofErr w:type="spellEnd"/>
      <w:r>
        <w:t xml:space="preserve"> Clase RA3-ZA</w:t>
      </w:r>
    </w:p>
    <w:p w14:paraId="71DBF550" w14:textId="77777777" w:rsidR="005669AF" w:rsidRDefault="005669AF" w:rsidP="000313DD">
      <w:pPr>
        <w:pStyle w:val="TITU2"/>
      </w:pPr>
      <w:bookmarkStart w:id="1135" w:name="_Toc404588"/>
      <w:r w:rsidRPr="00F27B28">
        <w:t>7</w:t>
      </w:r>
      <w:r>
        <w:t>03.3</w:t>
      </w:r>
      <w:r w:rsidRPr="00F27B28">
        <w:t>.</w:t>
      </w:r>
      <w:r>
        <w:t xml:space="preserve"> Materiales</w:t>
      </w:r>
      <w:bookmarkEnd w:id="1135"/>
    </w:p>
    <w:p w14:paraId="1E5EF547" w14:textId="77777777" w:rsidR="005669AF" w:rsidRPr="00061AC3" w:rsidRDefault="005669AF" w:rsidP="005669AF">
      <w:pPr>
        <w:tabs>
          <w:tab w:val="left" w:pos="567"/>
          <w:tab w:val="left" w:pos="1134"/>
          <w:tab w:val="left" w:pos="1701"/>
        </w:tabs>
        <w:spacing w:line="360" w:lineRule="auto"/>
        <w:rPr>
          <w:rFonts w:ascii="Arial" w:hAnsi="Arial" w:cs="Arial"/>
          <w:b/>
          <w:i/>
          <w:lang w:val="es-ES_tradnl"/>
        </w:rPr>
      </w:pPr>
      <w:r w:rsidRPr="00061AC3">
        <w:rPr>
          <w:rFonts w:ascii="Arial" w:hAnsi="Arial" w:cs="Arial"/>
          <w:b/>
          <w:i/>
          <w:lang w:val="es-ES_tradnl"/>
        </w:rPr>
        <w:t>703.3.1. Consideraciones generales</w:t>
      </w:r>
    </w:p>
    <w:p w14:paraId="3BF457F8" w14:textId="77777777" w:rsidR="005669AF" w:rsidRPr="00FC0957" w:rsidRDefault="005669AF" w:rsidP="005669AF">
      <w:pPr>
        <w:pStyle w:val="NORMAL12"/>
      </w:pPr>
      <w:r w:rsidRPr="00FC0957">
        <w:t>Lo dispuesto en este artículo se entenderá sin perjuicio de lo establecido en el</w:t>
      </w:r>
      <w:r>
        <w:t xml:space="preserve"> </w:t>
      </w:r>
      <w:r w:rsidRPr="00FC0957">
        <w:t>Reglamento 305/2011 de 9 de marzo de 2011, del Parlamento Europeo y del Consejo,</w:t>
      </w:r>
      <w:r>
        <w:t xml:space="preserve"> </w:t>
      </w:r>
      <w:r w:rsidRPr="00FC0957">
        <w:t>por el que se establecen las condiciones armonizadas para la comercialización de</w:t>
      </w:r>
      <w:r>
        <w:t xml:space="preserve"> </w:t>
      </w:r>
      <w:r w:rsidRPr="00FC0957">
        <w:t>productos de construcción. Para los productos con marcado CE, el fabricante asumirá</w:t>
      </w:r>
      <w:r>
        <w:t xml:space="preserve"> </w:t>
      </w:r>
      <w:r w:rsidRPr="00FC0957">
        <w:t xml:space="preserve">la responsabilidad sobre la conformidad de </w:t>
      </w:r>
      <w:proofErr w:type="gramStart"/>
      <w:r w:rsidRPr="00FC0957">
        <w:t>los mismos</w:t>
      </w:r>
      <w:proofErr w:type="gramEnd"/>
      <w:r w:rsidRPr="00FC0957">
        <w:t xml:space="preserve"> con las prestaciones</w:t>
      </w:r>
      <w:r>
        <w:t xml:space="preserve"> </w:t>
      </w:r>
      <w:r w:rsidRPr="00FC0957">
        <w:t>declaradas, de acuerdo con el artículo 11 del mencionado Reglamento. Los productos</w:t>
      </w:r>
      <w:r>
        <w:t xml:space="preserve"> </w:t>
      </w:r>
      <w:r w:rsidRPr="00FC0957">
        <w:t xml:space="preserve">que tengan el </w:t>
      </w:r>
      <w:r w:rsidRPr="00FC0957">
        <w:t>marcado CE deberán ir acompañados, además de dicho marcado, de</w:t>
      </w:r>
      <w:r>
        <w:t xml:space="preserve"> </w:t>
      </w:r>
      <w:r w:rsidRPr="00FC0957">
        <w:t>la Declaración de Prestaciones, y de las instrucciones e información de seguridad del</w:t>
      </w:r>
      <w:r>
        <w:t xml:space="preserve"> </w:t>
      </w:r>
      <w:r w:rsidRPr="00FC0957">
        <w:t>producto. Por su parte, el Contratista deberá verificar que los valores declarados en</w:t>
      </w:r>
      <w:r>
        <w:t xml:space="preserve"> </w:t>
      </w:r>
      <w:r w:rsidRPr="00FC0957">
        <w:t>los documentos que acompañan al marcado CE permitan deducir el cumplimiento de</w:t>
      </w:r>
      <w:r>
        <w:t xml:space="preserve"> </w:t>
      </w:r>
      <w:r w:rsidRPr="00FC0957">
        <w:t>las especificaciones contempladas en el Proyecto o, en su defecto, en este Pliego,</w:t>
      </w:r>
      <w:r>
        <w:t xml:space="preserve"> </w:t>
      </w:r>
      <w:r w:rsidRPr="00FC0957">
        <w:t>debiendo adoptar, en el caso de que existan indicios de incumplimiento de las</w:t>
      </w:r>
      <w:r>
        <w:t xml:space="preserve"> </w:t>
      </w:r>
      <w:r w:rsidRPr="00FC0957">
        <w:t>especificaciones declaradas, todas aquellas medidas que considere oportunas para</w:t>
      </w:r>
      <w:r>
        <w:t xml:space="preserve"> </w:t>
      </w:r>
      <w:r w:rsidRPr="00FC0957">
        <w:t>garantizar la idoneidad del producto suministrado a la obra.</w:t>
      </w:r>
    </w:p>
    <w:p w14:paraId="27DFA142" w14:textId="77777777" w:rsidR="005669AF" w:rsidRPr="00FC0957" w:rsidRDefault="005669AF" w:rsidP="005669AF">
      <w:pPr>
        <w:pStyle w:val="NORMAL12"/>
      </w:pPr>
      <w:r w:rsidRPr="00FC0957">
        <w:t>Independientemente de lo anterior, se estará además en todo caso a lo dispuesto en</w:t>
      </w:r>
      <w:r>
        <w:t xml:space="preserve"> </w:t>
      </w:r>
      <w:r w:rsidRPr="00FC0957">
        <w:t>la legislación vigente en materia ambiental, de seguridad y salud, de producción,</w:t>
      </w:r>
      <w:r>
        <w:t xml:space="preserve"> </w:t>
      </w:r>
      <w:r w:rsidRPr="00FC0957">
        <w:t>almacenamiento, gestión y transporte de productos de la construcción, de residuos de</w:t>
      </w:r>
      <w:r>
        <w:t xml:space="preserve"> </w:t>
      </w:r>
      <w:r w:rsidRPr="00FC0957">
        <w:t>construcción y demolición, y de suelos contaminados.</w:t>
      </w:r>
    </w:p>
    <w:p w14:paraId="493A247D" w14:textId="77777777" w:rsidR="005669AF" w:rsidRPr="00FC0957" w:rsidRDefault="005669AF" w:rsidP="005669AF">
      <w:pPr>
        <w:pStyle w:val="NORMAL12"/>
      </w:pPr>
      <w:r w:rsidRPr="00FC0957">
        <w:t xml:space="preserve">En la fabricación de los elementos de balizamiento </w:t>
      </w:r>
      <w:proofErr w:type="spellStart"/>
      <w:r w:rsidRPr="00FC0957">
        <w:t>retrorreflectantes</w:t>
      </w:r>
      <w:proofErr w:type="spellEnd"/>
      <w:r w:rsidRPr="00FC0957">
        <w:t xml:space="preserve"> se utilizará</w:t>
      </w:r>
      <w:r>
        <w:t xml:space="preserve"> </w:t>
      </w:r>
      <w:r w:rsidRPr="00FC0957">
        <w:t>cualquier material convencional sancionado por la experiencia, siempre que cumpla lo</w:t>
      </w:r>
      <w:r>
        <w:t xml:space="preserve"> </w:t>
      </w:r>
      <w:r w:rsidRPr="00FC0957">
        <w:t>especificado en este artículo y disponga del correspondiente marcado CE, conforme</w:t>
      </w:r>
      <w:r>
        <w:t xml:space="preserve"> </w:t>
      </w:r>
      <w:r w:rsidRPr="00FC0957">
        <w:t>a lo establecido en la norma UNE-EN 12899-3.</w:t>
      </w:r>
    </w:p>
    <w:p w14:paraId="56969C23" w14:textId="77777777" w:rsidR="005669AF" w:rsidRPr="00FC0957" w:rsidRDefault="005669AF" w:rsidP="005669AF">
      <w:pPr>
        <w:pStyle w:val="NORMAL12"/>
      </w:pPr>
      <w:r>
        <w:t xml:space="preserve">Cada tipo de elemento de balizamiento llevará el sistema de fijación y la clase de </w:t>
      </w:r>
      <w:proofErr w:type="spellStart"/>
      <w:r>
        <w:t>retrorreflectancia</w:t>
      </w:r>
      <w:proofErr w:type="spellEnd"/>
      <w:r>
        <w:t xml:space="preserve"> incluida en la definición de la unidad. </w:t>
      </w:r>
    </w:p>
    <w:p w14:paraId="6AF0C48D" w14:textId="77777777" w:rsidR="005669AF" w:rsidRPr="00061AC3" w:rsidRDefault="005669AF" w:rsidP="005669AF">
      <w:pPr>
        <w:tabs>
          <w:tab w:val="left" w:pos="567"/>
          <w:tab w:val="left" w:pos="1134"/>
          <w:tab w:val="left" w:pos="1701"/>
        </w:tabs>
        <w:spacing w:line="360" w:lineRule="auto"/>
        <w:rPr>
          <w:rFonts w:ascii="Arial" w:hAnsi="Arial" w:cs="Arial"/>
          <w:b/>
          <w:i/>
          <w:lang w:val="es-ES_tradnl"/>
        </w:rPr>
      </w:pPr>
      <w:r w:rsidRPr="00061AC3">
        <w:rPr>
          <w:rFonts w:ascii="Arial" w:hAnsi="Arial" w:cs="Arial"/>
          <w:b/>
          <w:i/>
          <w:lang w:val="es-ES_tradnl"/>
        </w:rPr>
        <w:t>703.3.2. Sustrato</w:t>
      </w:r>
    </w:p>
    <w:p w14:paraId="31B14D42" w14:textId="77777777" w:rsidR="005669AF" w:rsidRPr="00FC0957" w:rsidRDefault="005669AF" w:rsidP="005669AF">
      <w:pPr>
        <w:pStyle w:val="NORMAL12"/>
      </w:pPr>
      <w:r w:rsidRPr="000A4040">
        <w:t>El sustrato cumplirá las características de visibilidad (coordenadas cromáticas y factor</w:t>
      </w:r>
      <w:r>
        <w:t xml:space="preserve"> </w:t>
      </w:r>
      <w:r w:rsidRPr="000A4040">
        <w:t>de luminancia) indicadas en el epígrafe 6.3.1 de la norma a U N E - E N 12899-3.</w:t>
      </w:r>
      <w:r>
        <w:t xml:space="preserve"> </w:t>
      </w:r>
      <w:proofErr w:type="gramStart"/>
      <w:r w:rsidRPr="000A4040">
        <w:t>Además</w:t>
      </w:r>
      <w:proofErr w:type="gramEnd"/>
      <w:r w:rsidRPr="000A4040">
        <w:t xml:space="preserve"> las características físicas y resistentes del sustrato de los hitos serán las</w:t>
      </w:r>
      <w:r>
        <w:t xml:space="preserve"> </w:t>
      </w:r>
      <w:r w:rsidRPr="00FC0957">
        <w:t>especificadas en el epígrafe 6.4.1 de la norma UNE-EN 12899-3.</w:t>
      </w:r>
    </w:p>
    <w:p w14:paraId="79EDB683" w14:textId="77777777" w:rsidR="005669AF" w:rsidRPr="00061AC3" w:rsidRDefault="005669AF" w:rsidP="005669AF">
      <w:pPr>
        <w:tabs>
          <w:tab w:val="left" w:pos="567"/>
          <w:tab w:val="left" w:pos="1134"/>
          <w:tab w:val="left" w:pos="1701"/>
        </w:tabs>
        <w:spacing w:line="360" w:lineRule="auto"/>
        <w:rPr>
          <w:rFonts w:ascii="Arial" w:hAnsi="Arial" w:cs="Arial"/>
          <w:b/>
          <w:i/>
          <w:lang w:val="es-ES_tradnl"/>
        </w:rPr>
      </w:pPr>
      <w:r w:rsidRPr="00061AC3">
        <w:rPr>
          <w:rFonts w:ascii="Arial" w:hAnsi="Arial" w:cs="Arial"/>
          <w:b/>
          <w:i/>
          <w:lang w:val="es-ES_tradnl"/>
        </w:rPr>
        <w:t xml:space="preserve">703.3.3. Dispositivos </w:t>
      </w:r>
      <w:proofErr w:type="spellStart"/>
      <w:r w:rsidRPr="00061AC3">
        <w:rPr>
          <w:rFonts w:ascii="Arial" w:hAnsi="Arial" w:cs="Arial"/>
          <w:b/>
          <w:i/>
          <w:lang w:val="es-ES_tradnl"/>
        </w:rPr>
        <w:t>retrorreflectantes</w:t>
      </w:r>
      <w:proofErr w:type="spellEnd"/>
    </w:p>
    <w:p w14:paraId="2F7FC21E" w14:textId="77777777" w:rsidR="005669AF" w:rsidRPr="00FC0957" w:rsidRDefault="005669AF" w:rsidP="005669AF">
      <w:pPr>
        <w:pStyle w:val="NORMAL12"/>
      </w:pPr>
      <w:r w:rsidRPr="00FC0957">
        <w:t xml:space="preserve">Los dispositivos </w:t>
      </w:r>
      <w:proofErr w:type="spellStart"/>
      <w:r w:rsidRPr="00FC0957">
        <w:t>retrorreflectantes</w:t>
      </w:r>
      <w:proofErr w:type="spellEnd"/>
      <w:r w:rsidRPr="00FC0957">
        <w:t xml:space="preserve"> cumplirán las características sobre coordenadas</w:t>
      </w:r>
      <w:r>
        <w:t xml:space="preserve"> </w:t>
      </w:r>
      <w:r w:rsidRPr="00FC0957">
        <w:t>cromáticas (visibilidad diurna y visibilidad nocturna), factor de luminancia, coeficiente</w:t>
      </w:r>
      <w:r>
        <w:t xml:space="preserve"> </w:t>
      </w:r>
      <w:r w:rsidRPr="00FC0957">
        <w:t>de retrorreflexión y características de visibilidad, indicadas en el epígrafe 6.3.2 de la</w:t>
      </w:r>
      <w:r>
        <w:t xml:space="preserve"> </w:t>
      </w:r>
      <w:r w:rsidRPr="00FC0957">
        <w:t>norma UNE-EN 12899-3.</w:t>
      </w:r>
    </w:p>
    <w:p w14:paraId="5346BC8F" w14:textId="77777777" w:rsidR="005669AF" w:rsidRDefault="005669AF" w:rsidP="005669AF">
      <w:pPr>
        <w:pStyle w:val="NORMAL12"/>
      </w:pPr>
      <w:r w:rsidRPr="00FC0957">
        <w:t xml:space="preserve">Las características físicas y resistentes de los dispositivos </w:t>
      </w:r>
      <w:proofErr w:type="spellStart"/>
      <w:r w:rsidRPr="00FC0957">
        <w:t>retrorreflectantes</w:t>
      </w:r>
      <w:proofErr w:type="spellEnd"/>
      <w:r w:rsidRPr="00FC0957">
        <w:t>, serán las</w:t>
      </w:r>
      <w:r>
        <w:t xml:space="preserve"> </w:t>
      </w:r>
      <w:r w:rsidRPr="00FC0957">
        <w:t>indicadas en el epígrafe 6.4.2 de la norma UNE-EN 12899-3.</w:t>
      </w:r>
    </w:p>
    <w:p w14:paraId="5BBC949C" w14:textId="77777777" w:rsidR="005669AF" w:rsidRPr="00061AC3" w:rsidRDefault="00CC738C" w:rsidP="005669AF">
      <w:pPr>
        <w:tabs>
          <w:tab w:val="left" w:pos="567"/>
          <w:tab w:val="left" w:pos="1134"/>
          <w:tab w:val="left" w:pos="1701"/>
        </w:tabs>
        <w:spacing w:line="360" w:lineRule="auto"/>
        <w:rPr>
          <w:rFonts w:ascii="Arial" w:hAnsi="Arial" w:cs="Arial"/>
          <w:b/>
          <w:i/>
          <w:lang w:val="es-ES_tradnl"/>
        </w:rPr>
      </w:pPr>
      <w:r>
        <w:rPr>
          <w:rFonts w:ascii="Arial" w:hAnsi="Arial" w:cs="Arial"/>
          <w:b/>
          <w:i/>
          <w:lang w:val="es-ES_tradnl"/>
        </w:rPr>
        <w:br w:type="column"/>
      </w:r>
      <w:r w:rsidR="005669AF" w:rsidRPr="00061AC3">
        <w:rPr>
          <w:rFonts w:ascii="Arial" w:hAnsi="Arial" w:cs="Arial"/>
          <w:b/>
          <w:i/>
          <w:lang w:val="es-ES_tradnl"/>
        </w:rPr>
        <w:lastRenderedPageBreak/>
        <w:t>703.3.4. Sistemas de anclaje</w:t>
      </w:r>
    </w:p>
    <w:p w14:paraId="6C9E1CA1" w14:textId="77777777" w:rsidR="005669AF" w:rsidRPr="00FC0957" w:rsidRDefault="005669AF" w:rsidP="005669AF">
      <w:pPr>
        <w:pStyle w:val="NORMAL12"/>
      </w:pPr>
      <w:r w:rsidRPr="00FC0957">
        <w:t>Los sistemas de anclaje de los hitos de arista, balizas cilíndricas y, en su caso, hitos</w:t>
      </w:r>
      <w:r>
        <w:t xml:space="preserve"> </w:t>
      </w:r>
      <w:r w:rsidRPr="00FC0957">
        <w:t>de vértice, serán tales que aseguren la fijación permanente de los citados elementos</w:t>
      </w:r>
      <w:r>
        <w:t xml:space="preserve"> </w:t>
      </w:r>
      <w:r w:rsidRPr="00FC0957">
        <w:t>de balizamiento por su base y que, en caso de arrancamiento, rotura o deformación,</w:t>
      </w:r>
      <w:r>
        <w:t xml:space="preserve"> </w:t>
      </w:r>
      <w:r w:rsidRPr="00FC0957">
        <w:t>no produzcan peligro alguno para el tráfico rodado, ni por causa del elemento de</w:t>
      </w:r>
      <w:r>
        <w:t xml:space="preserve"> </w:t>
      </w:r>
      <w:r w:rsidRPr="00FC0957">
        <w:t>balizamiento arrancado, ni por los elementos de anclaje que puedan permanecer</w:t>
      </w:r>
      <w:r>
        <w:t xml:space="preserve"> </w:t>
      </w:r>
      <w:r w:rsidRPr="00FC0957">
        <w:t>sobre la calzada.</w:t>
      </w:r>
    </w:p>
    <w:p w14:paraId="08BD4547" w14:textId="77777777" w:rsidR="005669AF" w:rsidRPr="00FC0957" w:rsidRDefault="005669AF" w:rsidP="005669AF">
      <w:pPr>
        <w:pStyle w:val="NORMAL12"/>
      </w:pPr>
      <w:r w:rsidRPr="00FC0957">
        <w:t>Por su parte, el citado sistema de fijación será tal que permita la apertura al tráfico de</w:t>
      </w:r>
      <w:r>
        <w:t xml:space="preserve"> </w:t>
      </w:r>
      <w:r w:rsidRPr="00FC0957">
        <w:t>la zona recién balizada en el menor tiempo posible.</w:t>
      </w:r>
    </w:p>
    <w:p w14:paraId="601760C6" w14:textId="77777777" w:rsidR="005669AF" w:rsidRPr="00061AC3" w:rsidRDefault="005669AF" w:rsidP="005669AF">
      <w:pPr>
        <w:tabs>
          <w:tab w:val="left" w:pos="567"/>
          <w:tab w:val="left" w:pos="1134"/>
          <w:tab w:val="left" w:pos="1701"/>
        </w:tabs>
        <w:spacing w:line="360" w:lineRule="auto"/>
        <w:rPr>
          <w:rFonts w:ascii="Arial" w:hAnsi="Arial" w:cs="Arial"/>
          <w:b/>
          <w:i/>
          <w:lang w:val="es-ES_tradnl"/>
        </w:rPr>
      </w:pPr>
      <w:r w:rsidRPr="00061AC3">
        <w:rPr>
          <w:rFonts w:ascii="Arial" w:hAnsi="Arial" w:cs="Arial"/>
          <w:b/>
          <w:i/>
          <w:lang w:val="es-ES_tradnl"/>
        </w:rPr>
        <w:t>7</w:t>
      </w:r>
      <w:r>
        <w:rPr>
          <w:rFonts w:ascii="Arial" w:hAnsi="Arial" w:cs="Arial"/>
          <w:b/>
          <w:i/>
          <w:lang w:val="es-ES_tradnl"/>
        </w:rPr>
        <w:t>03</w:t>
      </w:r>
      <w:r w:rsidRPr="00061AC3">
        <w:rPr>
          <w:rFonts w:ascii="Arial" w:hAnsi="Arial" w:cs="Arial"/>
          <w:b/>
          <w:i/>
          <w:lang w:val="es-ES_tradnl"/>
        </w:rPr>
        <w:t>.3.5 Acreditación de los materiales</w:t>
      </w:r>
    </w:p>
    <w:p w14:paraId="7BE87DAB" w14:textId="77777777" w:rsidR="005669AF" w:rsidRPr="00061AC3" w:rsidRDefault="005669AF" w:rsidP="005669AF">
      <w:pPr>
        <w:pStyle w:val="NORMAL12"/>
      </w:pPr>
      <w:r w:rsidRPr="00061AC3">
        <w:t>El cumplimiento de los requisitos exigidos a los materiales se acreditará mediante la</w:t>
      </w:r>
      <w:r>
        <w:t xml:space="preserve"> </w:t>
      </w:r>
      <w:r w:rsidRPr="00061AC3">
        <w:t>presentación del marcado CE que corresponda a cada uno de los productos utilizados</w:t>
      </w:r>
      <w:r>
        <w:t xml:space="preserve"> </w:t>
      </w:r>
      <w:r w:rsidRPr="00061AC3">
        <w:t>en su fabricación e instalación. En el caso del sustrato y los dispositivos</w:t>
      </w:r>
      <w:r>
        <w:t xml:space="preserve"> </w:t>
      </w:r>
      <w:proofErr w:type="spellStart"/>
      <w:r w:rsidRPr="00061AC3">
        <w:t>retrorreflectantes</w:t>
      </w:r>
      <w:proofErr w:type="spellEnd"/>
      <w:r w:rsidRPr="00061AC3">
        <w:t xml:space="preserve">, el mencionado certificado se hará </w:t>
      </w:r>
      <w:proofErr w:type="gramStart"/>
      <w:r w:rsidRPr="00061AC3">
        <w:t>de acuerdo a</w:t>
      </w:r>
      <w:proofErr w:type="gramEnd"/>
      <w:r w:rsidRPr="00061AC3">
        <w:t xml:space="preserve"> lo especificado en</w:t>
      </w:r>
      <w:r>
        <w:t xml:space="preserve"> </w:t>
      </w:r>
      <w:r w:rsidRPr="00061AC3">
        <w:t>la norma UNE-EN 12899-3. Según el Reglamento 305/2011, los productos</w:t>
      </w:r>
      <w:r>
        <w:t xml:space="preserve"> </w:t>
      </w:r>
      <w:r w:rsidRPr="00061AC3">
        <w:t>también podrán tener el marcado CE con una Evaluación Técnica Europea emitida</w:t>
      </w:r>
      <w:r>
        <w:t xml:space="preserve"> </w:t>
      </w:r>
      <w:r w:rsidRPr="00061AC3">
        <w:t>por un Organismo de Evaluación Técnica autorizado.</w:t>
      </w:r>
    </w:p>
    <w:p w14:paraId="2129FEFC" w14:textId="77777777" w:rsidR="005669AF" w:rsidRPr="00061AC3" w:rsidRDefault="005669AF" w:rsidP="005669AF">
      <w:pPr>
        <w:pStyle w:val="NORMAL12"/>
      </w:pPr>
      <w:r w:rsidRPr="00061AC3">
        <w:t>Para aquellos elementos incluidos en este artículo que queden excluidos del objeto y</w:t>
      </w:r>
      <w:r>
        <w:t xml:space="preserve"> </w:t>
      </w:r>
      <w:r w:rsidRPr="00061AC3">
        <w:t>campo de aplicación de la norma UNE-EN 12899-3 y por tanto no dispongan de</w:t>
      </w:r>
      <w:r>
        <w:t xml:space="preserve"> m</w:t>
      </w:r>
      <w:r w:rsidRPr="00061AC3">
        <w:t>arcado CE, salvo que el Pliego de Prescripciones Técnicas Particulares exija el cumplimiento de otras especificaciones técnicas, cumplirán con las especificaciones</w:t>
      </w:r>
      <w:r>
        <w:t xml:space="preserve"> </w:t>
      </w:r>
      <w:r w:rsidRPr="00061AC3">
        <w:t>de la norma UNE-EN 12899-3, acreditadas por medio del correspondiente certificado de constancia de las prestaciones otorgado por un organismo de certificación.</w:t>
      </w:r>
    </w:p>
    <w:p w14:paraId="6327D8BF" w14:textId="77777777" w:rsidR="005669AF" w:rsidRDefault="005669AF" w:rsidP="005669AF">
      <w:pPr>
        <w:pStyle w:val="NORMAL12"/>
        <w:rPr>
          <w:rFonts w:ascii="ArialMT" w:hAnsi="ArialMT" w:cs="ArialMT"/>
        </w:rPr>
      </w:pPr>
      <w:r w:rsidRPr="00061AC3">
        <w:t>Por su parte, la garantía de calidad de los materiales utilizados en la fabricación e</w:t>
      </w:r>
      <w:r>
        <w:t xml:space="preserve"> </w:t>
      </w:r>
      <w:r w:rsidRPr="00061AC3">
        <w:t>instalación de los elementos de balizamiento será exigible, en cualquier circunstancia,</w:t>
      </w:r>
      <w:r>
        <w:t xml:space="preserve"> </w:t>
      </w:r>
      <w:r w:rsidRPr="00061AC3">
        <w:t>al Contratista adjudicatario de las obras.</w:t>
      </w:r>
    </w:p>
    <w:p w14:paraId="0AB2F101" w14:textId="77777777" w:rsidR="005669AF" w:rsidRDefault="005669AF" w:rsidP="000313DD">
      <w:pPr>
        <w:pStyle w:val="TITU2"/>
      </w:pPr>
      <w:bookmarkStart w:id="1136" w:name="_Toc404589"/>
      <w:r w:rsidRPr="00F27B28">
        <w:t>7</w:t>
      </w:r>
      <w:r>
        <w:t>03.4</w:t>
      </w:r>
      <w:r w:rsidRPr="00F27B28">
        <w:t>.</w:t>
      </w:r>
      <w:r>
        <w:t xml:space="preserve"> Especificaciones de la unidad terminada.</w:t>
      </w:r>
      <w:bookmarkEnd w:id="1136"/>
    </w:p>
    <w:p w14:paraId="0DD47022" w14:textId="77777777" w:rsidR="005669AF" w:rsidRPr="000A4040" w:rsidRDefault="005669AF" w:rsidP="005669AF">
      <w:pPr>
        <w:pStyle w:val="NORMAL12"/>
      </w:pPr>
      <w:r w:rsidRPr="000A4040">
        <w:t xml:space="preserve">Los elementos de balizamiento </w:t>
      </w:r>
      <w:proofErr w:type="spellStart"/>
      <w:r w:rsidRPr="000A4040">
        <w:t>retrorreflectantes</w:t>
      </w:r>
      <w:proofErr w:type="spellEnd"/>
      <w:r w:rsidRPr="000A4040">
        <w:t xml:space="preserve"> cumplirán con los requisitos de</w:t>
      </w:r>
      <w:r>
        <w:t xml:space="preserve"> </w:t>
      </w:r>
      <w:r w:rsidRPr="000A4040">
        <w:t>comportamiento que figuran en el marcado CE, tal como se indica en el Anexo ZA</w:t>
      </w:r>
      <w:r>
        <w:t xml:space="preserve"> </w:t>
      </w:r>
      <w:r w:rsidRPr="000A4040">
        <w:t>(tabla ZA.3) de la norma UNE-EN 12899-3.</w:t>
      </w:r>
    </w:p>
    <w:p w14:paraId="29DE87BE" w14:textId="77777777" w:rsidR="005669AF" w:rsidRPr="000A4040" w:rsidRDefault="005669AF" w:rsidP="005669AF">
      <w:pPr>
        <w:pStyle w:val="NORMAL12"/>
      </w:pPr>
      <w:r w:rsidRPr="000A4040">
        <w:t>Las características de los elementos instalados serán las especificadas en la Tabla</w:t>
      </w:r>
    </w:p>
    <w:p w14:paraId="590A5120" w14:textId="77777777" w:rsidR="005669AF" w:rsidRDefault="005669AF" w:rsidP="005B1C42">
      <w:pPr>
        <w:pStyle w:val="TITU2"/>
        <w:jc w:val="center"/>
        <w:outlineLvl w:val="9"/>
      </w:pPr>
      <w:r>
        <w:rPr>
          <w:noProof/>
          <w:lang w:eastAsia="es-ES"/>
        </w:rPr>
        <w:drawing>
          <wp:inline distT="0" distB="0" distL="0" distR="0" wp14:anchorId="237C1E09" wp14:editId="6B98F6F0">
            <wp:extent cx="5612130" cy="4032250"/>
            <wp:effectExtent l="0" t="0" r="7620" b="635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stretch>
                      <a:fillRect/>
                    </a:stretch>
                  </pic:blipFill>
                  <pic:spPr>
                    <a:xfrm>
                      <a:off x="0" y="0"/>
                      <a:ext cx="5612130" cy="4032250"/>
                    </a:xfrm>
                    <a:prstGeom prst="rect">
                      <a:avLst/>
                    </a:prstGeom>
                  </pic:spPr>
                </pic:pic>
              </a:graphicData>
            </a:graphic>
          </wp:inline>
        </w:drawing>
      </w:r>
    </w:p>
    <w:p w14:paraId="7BD70EF0" w14:textId="77777777" w:rsidR="005669AF" w:rsidRDefault="005669AF" w:rsidP="005B1C42">
      <w:pPr>
        <w:pStyle w:val="NORMAL12"/>
        <w:jc w:val="center"/>
        <w:rPr>
          <w:lang w:val="es-ES"/>
        </w:rPr>
      </w:pPr>
      <w:r>
        <w:rPr>
          <w:noProof/>
          <w:lang w:val="es-ES" w:eastAsia="es-ES"/>
        </w:rPr>
        <w:drawing>
          <wp:inline distT="0" distB="0" distL="0" distR="0" wp14:anchorId="664653D0" wp14:editId="330A51DE">
            <wp:extent cx="5612130" cy="3613785"/>
            <wp:effectExtent l="0" t="0" r="7620" b="571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stretch>
                      <a:fillRect/>
                    </a:stretch>
                  </pic:blipFill>
                  <pic:spPr>
                    <a:xfrm>
                      <a:off x="0" y="0"/>
                      <a:ext cx="5612130" cy="3613785"/>
                    </a:xfrm>
                    <a:prstGeom prst="rect">
                      <a:avLst/>
                    </a:prstGeom>
                  </pic:spPr>
                </pic:pic>
              </a:graphicData>
            </a:graphic>
          </wp:inline>
        </w:drawing>
      </w:r>
    </w:p>
    <w:p w14:paraId="046516FC" w14:textId="77777777" w:rsidR="005669AF" w:rsidRPr="00061AC3" w:rsidRDefault="005669AF" w:rsidP="005669AF">
      <w:pPr>
        <w:pStyle w:val="NORMAL12"/>
      </w:pPr>
      <w:r>
        <w:br w:type="column"/>
      </w:r>
      <w:r>
        <w:lastRenderedPageBreak/>
        <w:t xml:space="preserve">No se admitirán las siguientes clases: </w:t>
      </w:r>
    </w:p>
    <w:p w14:paraId="352F7686" w14:textId="77777777" w:rsidR="005669AF" w:rsidRPr="00061AC3" w:rsidRDefault="005669AF" w:rsidP="000313DD">
      <w:pPr>
        <w:pStyle w:val="NORMAL12"/>
        <w:numPr>
          <w:ilvl w:val="0"/>
          <w:numId w:val="227"/>
        </w:numPr>
      </w:pPr>
      <w:r w:rsidRPr="00061AC3">
        <w:t>Clase WL0 para la presión de viento.</w:t>
      </w:r>
    </w:p>
    <w:p w14:paraId="78E2B643" w14:textId="77777777" w:rsidR="005669AF" w:rsidRPr="00061AC3" w:rsidRDefault="005669AF" w:rsidP="000313DD">
      <w:pPr>
        <w:pStyle w:val="NORMAL12"/>
        <w:numPr>
          <w:ilvl w:val="0"/>
          <w:numId w:val="227"/>
        </w:numPr>
      </w:pPr>
      <w:r w:rsidRPr="00061AC3">
        <w:t>Clase DH0 para la resistencia al impacto.</w:t>
      </w:r>
    </w:p>
    <w:p w14:paraId="2C772266" w14:textId="77777777" w:rsidR="005669AF" w:rsidRPr="00195653" w:rsidRDefault="005669AF" w:rsidP="005669AF">
      <w:pPr>
        <w:pStyle w:val="NORMAL12"/>
      </w:pPr>
      <w:r>
        <w:t xml:space="preserve">El </w:t>
      </w:r>
      <w:r w:rsidRPr="00195653">
        <w:t xml:space="preserve">nivel de retrorreflexión y la clase de comportamiento de los dispositivos </w:t>
      </w:r>
      <w:proofErr w:type="spellStart"/>
      <w:r w:rsidRPr="00195653">
        <w:t>retrorreflectantes</w:t>
      </w:r>
      <w:proofErr w:type="spellEnd"/>
      <w:r w:rsidRPr="00195653">
        <w:t xml:space="preserve"> de cualquier tipo de</w:t>
      </w:r>
      <w:r>
        <w:t xml:space="preserve"> elemento de balizamiento es el que está incluido en la definición de la unidad. </w:t>
      </w:r>
    </w:p>
    <w:p w14:paraId="716F78D8" w14:textId="77777777" w:rsidR="005669AF" w:rsidRDefault="005669AF" w:rsidP="000313DD">
      <w:pPr>
        <w:pStyle w:val="TITU2"/>
      </w:pPr>
      <w:bookmarkStart w:id="1137" w:name="_Toc404590"/>
      <w:r w:rsidRPr="00F27B28">
        <w:t>7</w:t>
      </w:r>
      <w:r>
        <w:t>03</w:t>
      </w:r>
      <w:r w:rsidRPr="00F27B28">
        <w:t>.</w:t>
      </w:r>
      <w:r>
        <w:t>5. Ejecución de las obras</w:t>
      </w:r>
      <w:bookmarkEnd w:id="1137"/>
    </w:p>
    <w:p w14:paraId="5C7BF5D8" w14:textId="77777777" w:rsidR="005669AF" w:rsidRPr="00061AC3" w:rsidRDefault="005669AF" w:rsidP="005669AF">
      <w:pPr>
        <w:tabs>
          <w:tab w:val="left" w:pos="567"/>
          <w:tab w:val="left" w:pos="1134"/>
          <w:tab w:val="left" w:pos="1701"/>
        </w:tabs>
        <w:spacing w:line="360" w:lineRule="auto"/>
        <w:rPr>
          <w:rFonts w:ascii="Arial" w:hAnsi="Arial" w:cs="Arial"/>
          <w:b/>
          <w:i/>
          <w:lang w:val="es-ES_tradnl"/>
        </w:rPr>
      </w:pPr>
      <w:r w:rsidRPr="00061AC3">
        <w:rPr>
          <w:rFonts w:ascii="Arial" w:hAnsi="Arial" w:cs="Arial"/>
          <w:b/>
          <w:i/>
          <w:lang w:val="es-ES_tradnl"/>
        </w:rPr>
        <w:t>703.5.1. Señalización de las obras</w:t>
      </w:r>
    </w:p>
    <w:p w14:paraId="1A935795" w14:textId="77777777" w:rsidR="005669AF" w:rsidRPr="00061AC3" w:rsidRDefault="005669AF" w:rsidP="005669AF">
      <w:pPr>
        <w:pStyle w:val="NORMAL12"/>
      </w:pPr>
      <w:r w:rsidRPr="00061AC3">
        <w:t xml:space="preserve">Antes de iniciarse la instalación de los elementos de balizamiento </w:t>
      </w:r>
      <w:proofErr w:type="spellStart"/>
      <w:r w:rsidRPr="00061AC3">
        <w:t>retrorreflectantes</w:t>
      </w:r>
      <w:proofErr w:type="spellEnd"/>
      <w:r w:rsidRPr="00061AC3">
        <w:t>, el</w:t>
      </w:r>
      <w:r>
        <w:t xml:space="preserve"> </w:t>
      </w:r>
      <w:r w:rsidRPr="00061AC3">
        <w:t xml:space="preserve">Contratista someterá a la aprobación del </w:t>
      </w:r>
      <w:proofErr w:type="gramStart"/>
      <w:r w:rsidRPr="00061AC3">
        <w:t>Director</w:t>
      </w:r>
      <w:proofErr w:type="gramEnd"/>
      <w:r w:rsidRPr="00061AC3">
        <w:t xml:space="preserve"> de las Obras, los sistemas de</w:t>
      </w:r>
      <w:r>
        <w:t xml:space="preserve"> </w:t>
      </w:r>
      <w:r w:rsidRPr="00061AC3">
        <w:t>señalización para protección del tráfico, del personal, los materiales y la maquinaria</w:t>
      </w:r>
      <w:r>
        <w:t xml:space="preserve"> </w:t>
      </w:r>
      <w:r w:rsidRPr="00061AC3">
        <w:t xml:space="preserve">durante el período de ejecución de </w:t>
      </w:r>
      <w:proofErr w:type="gramStart"/>
      <w:r w:rsidRPr="00061AC3">
        <w:t>las mismas</w:t>
      </w:r>
      <w:proofErr w:type="gramEnd"/>
      <w:r w:rsidRPr="00061AC3">
        <w:t>, así como de los elementos recién fijados al sustrato, durante el período de tiempo necesario antes de abrir la zona</w:t>
      </w:r>
      <w:r>
        <w:t xml:space="preserve"> </w:t>
      </w:r>
      <w:r w:rsidRPr="00061AC3">
        <w:t>balizada al tráfico.</w:t>
      </w:r>
    </w:p>
    <w:p w14:paraId="2193A920" w14:textId="77777777" w:rsidR="005669AF" w:rsidRDefault="005669AF" w:rsidP="005669AF">
      <w:pPr>
        <w:pStyle w:val="NORMAL12"/>
        <w:rPr>
          <w:rFonts w:ascii="ArialMT" w:hAnsi="ArialMT" w:cs="ArialMT"/>
        </w:rPr>
      </w:pPr>
      <w:r>
        <w:t xml:space="preserve">Se llevará a cabo la señalización de las obras según lo establecido en el Plan de Seguridad y Salud de </w:t>
      </w:r>
      <w:proofErr w:type="gramStart"/>
      <w:r>
        <w:t>la obras</w:t>
      </w:r>
      <w:proofErr w:type="gramEnd"/>
      <w:r>
        <w:t xml:space="preserve">. </w:t>
      </w:r>
    </w:p>
    <w:p w14:paraId="38CBFABB" w14:textId="77777777" w:rsidR="005669AF" w:rsidRPr="00061AC3" w:rsidRDefault="005669AF" w:rsidP="005669AF">
      <w:pPr>
        <w:tabs>
          <w:tab w:val="left" w:pos="567"/>
          <w:tab w:val="left" w:pos="1134"/>
          <w:tab w:val="left" w:pos="1701"/>
        </w:tabs>
        <w:spacing w:line="360" w:lineRule="auto"/>
        <w:rPr>
          <w:rFonts w:ascii="Arial" w:hAnsi="Arial" w:cs="Arial"/>
          <w:b/>
          <w:i/>
          <w:lang w:val="es-ES_tradnl"/>
        </w:rPr>
      </w:pPr>
      <w:r w:rsidRPr="00061AC3">
        <w:rPr>
          <w:rFonts w:ascii="Arial" w:hAnsi="Arial" w:cs="Arial"/>
          <w:b/>
          <w:i/>
          <w:lang w:val="es-ES_tradnl"/>
        </w:rPr>
        <w:t>703.5.2. Preparación de la superficie</w:t>
      </w:r>
    </w:p>
    <w:p w14:paraId="045EA411" w14:textId="77777777" w:rsidR="005669AF" w:rsidRPr="00061AC3" w:rsidRDefault="005669AF" w:rsidP="005669AF">
      <w:pPr>
        <w:pStyle w:val="NORMAL12"/>
      </w:pPr>
      <w:r w:rsidRPr="00061AC3">
        <w:t xml:space="preserve">Antes de proceder a la instalación de los elementos de balizamiento </w:t>
      </w:r>
      <w:proofErr w:type="spellStart"/>
      <w:r w:rsidRPr="00061AC3">
        <w:t>retrorreflectantes</w:t>
      </w:r>
      <w:proofErr w:type="spellEnd"/>
      <w:r>
        <w:t xml:space="preserve"> </w:t>
      </w:r>
      <w:r w:rsidRPr="00061AC3">
        <w:t>se realizará una inspección de la superficie donde se van a ubicar, a fin de comprobar</w:t>
      </w:r>
      <w:r>
        <w:t xml:space="preserve"> </w:t>
      </w:r>
      <w:r w:rsidRPr="00061AC3">
        <w:t>su estado y la existencia de posibles defectos. Cuando sea necesario, se llevará a</w:t>
      </w:r>
      <w:r>
        <w:t xml:space="preserve"> </w:t>
      </w:r>
      <w:r w:rsidRPr="00061AC3">
        <w:t>cabo una limpieza de la superficie para eliminar la suciedad u otros elementos</w:t>
      </w:r>
      <w:r>
        <w:t xml:space="preserve"> </w:t>
      </w:r>
      <w:r w:rsidRPr="00061AC3">
        <w:t>contaminantes que pudieran influir negativamente en la fijación de los dispositivos de</w:t>
      </w:r>
      <w:r>
        <w:t xml:space="preserve"> </w:t>
      </w:r>
      <w:r w:rsidRPr="00061AC3">
        <w:t>balizamiento. Si la superficie presentara deterioros apreciables, se corregirán con</w:t>
      </w:r>
      <w:r>
        <w:t xml:space="preserve"> </w:t>
      </w:r>
      <w:r w:rsidRPr="00061AC3">
        <w:t>materiales de naturaleza análoga a la existente.</w:t>
      </w:r>
    </w:p>
    <w:p w14:paraId="3DC8C245" w14:textId="77777777" w:rsidR="005669AF" w:rsidRPr="00061AC3" w:rsidRDefault="005669AF" w:rsidP="005669AF">
      <w:pPr>
        <w:pStyle w:val="NORMAL12"/>
      </w:pPr>
      <w:r w:rsidRPr="00061AC3">
        <w:t>En pavimentos de hormigón, en el caso específico de sistemas de fijación basados en</w:t>
      </w:r>
      <w:r>
        <w:t xml:space="preserve"> </w:t>
      </w:r>
      <w:r w:rsidRPr="00061AC3">
        <w:t>adhesivos, antes de proceder a la instalación de los elementos de balizamiento</w:t>
      </w:r>
      <w:r>
        <w:t xml:space="preserve"> </w:t>
      </w:r>
      <w:r w:rsidRPr="00061AC3">
        <w:t>deberán eliminarse, de su zona de fijación, todos aquellos materiales utilizados en el</w:t>
      </w:r>
      <w:r>
        <w:t xml:space="preserve"> </w:t>
      </w:r>
      <w:r w:rsidRPr="00061AC3">
        <w:t>proceso de curado del hormigón que aún se encontrasen adheridos a su superficie.</w:t>
      </w:r>
    </w:p>
    <w:p w14:paraId="59D19D58" w14:textId="77777777" w:rsidR="005669AF" w:rsidRPr="00061AC3" w:rsidRDefault="005669AF" w:rsidP="005669AF">
      <w:pPr>
        <w:tabs>
          <w:tab w:val="left" w:pos="567"/>
          <w:tab w:val="left" w:pos="1134"/>
          <w:tab w:val="left" w:pos="1701"/>
        </w:tabs>
        <w:spacing w:line="360" w:lineRule="auto"/>
        <w:rPr>
          <w:rFonts w:ascii="Arial" w:hAnsi="Arial" w:cs="Arial"/>
          <w:b/>
          <w:i/>
          <w:lang w:val="es-ES_tradnl"/>
        </w:rPr>
      </w:pPr>
      <w:r>
        <w:rPr>
          <w:rFonts w:ascii="Arial" w:hAnsi="Arial" w:cs="Arial"/>
          <w:b/>
          <w:i/>
          <w:lang w:val="es-ES_tradnl"/>
        </w:rPr>
        <w:br w:type="column"/>
      </w:r>
      <w:r w:rsidRPr="00061AC3">
        <w:rPr>
          <w:rFonts w:ascii="Arial" w:hAnsi="Arial" w:cs="Arial"/>
          <w:b/>
          <w:i/>
          <w:lang w:val="es-ES_tradnl"/>
        </w:rPr>
        <w:t>703.5.3. Replanteo</w:t>
      </w:r>
    </w:p>
    <w:p w14:paraId="598E0F5C" w14:textId="77777777" w:rsidR="005669AF" w:rsidRPr="000A4040" w:rsidRDefault="005669AF" w:rsidP="005669AF">
      <w:pPr>
        <w:pStyle w:val="NORMAL12"/>
      </w:pPr>
      <w:r w:rsidRPr="000A4040">
        <w:t>Previamente al inicio de las obras, se llevará a cabo un cuidadoso replanteo que</w:t>
      </w:r>
      <w:r>
        <w:t xml:space="preserve"> </w:t>
      </w:r>
      <w:r w:rsidRPr="000A4040">
        <w:t>garantice la correcta terminación de los trabajos, acorde con las especificaciones del</w:t>
      </w:r>
      <w:r>
        <w:t xml:space="preserve"> </w:t>
      </w:r>
      <w:r w:rsidRPr="000A4040">
        <w:t>Proyecto.</w:t>
      </w:r>
    </w:p>
    <w:p w14:paraId="39F026D2" w14:textId="77777777" w:rsidR="005669AF" w:rsidRDefault="005669AF" w:rsidP="000313DD">
      <w:pPr>
        <w:pStyle w:val="TITU2"/>
      </w:pPr>
      <w:bookmarkStart w:id="1138" w:name="_Toc404591"/>
      <w:r w:rsidRPr="00F27B28">
        <w:t>7</w:t>
      </w:r>
      <w:r>
        <w:t>03</w:t>
      </w:r>
      <w:r w:rsidRPr="00F27B28">
        <w:t>.</w:t>
      </w:r>
      <w:r>
        <w:t>6. Limitaciones de la ejecución</w:t>
      </w:r>
      <w:bookmarkEnd w:id="1138"/>
    </w:p>
    <w:p w14:paraId="4D0E1D6E" w14:textId="77777777" w:rsidR="005669AF" w:rsidRDefault="005669AF" w:rsidP="005669AF">
      <w:pPr>
        <w:pStyle w:val="NORMAL12"/>
      </w:pPr>
      <w:r>
        <w:t>La apertura al tráfico se llevará a cabo en condiciones de seguridad una vez finalizada la instalación de los elementos de balizamiento.</w:t>
      </w:r>
    </w:p>
    <w:p w14:paraId="318BE851" w14:textId="77777777" w:rsidR="005669AF" w:rsidRDefault="005669AF" w:rsidP="005669AF">
      <w:pPr>
        <w:pStyle w:val="NORMAL12"/>
        <w:rPr>
          <w:rFonts w:ascii="ArialMT" w:hAnsi="ArialMT" w:cs="ArialMT"/>
        </w:rPr>
      </w:pPr>
      <w:r>
        <w:t xml:space="preserve">No </w:t>
      </w:r>
      <w:proofErr w:type="gramStart"/>
      <w:r>
        <w:t>obstante</w:t>
      </w:r>
      <w:proofErr w:type="gramEnd"/>
      <w:r>
        <w:t xml:space="preserve"> antes de proceder a la instalación se llevará a cabo la señalización de las obras según lo establecido en el proyecto. </w:t>
      </w:r>
    </w:p>
    <w:p w14:paraId="5F5C3FB8" w14:textId="77777777" w:rsidR="005669AF" w:rsidRDefault="005669AF" w:rsidP="000313DD">
      <w:pPr>
        <w:pStyle w:val="TITU2"/>
      </w:pPr>
      <w:bookmarkStart w:id="1139" w:name="_Toc404592"/>
      <w:r>
        <w:t>703.7. Control de calidad</w:t>
      </w:r>
      <w:bookmarkEnd w:id="1139"/>
    </w:p>
    <w:p w14:paraId="71055CF1" w14:textId="77777777" w:rsidR="005669AF" w:rsidRDefault="005669AF" w:rsidP="005669AF">
      <w:pPr>
        <w:tabs>
          <w:tab w:val="left" w:pos="567"/>
          <w:tab w:val="left" w:pos="1134"/>
          <w:tab w:val="left" w:pos="1701"/>
        </w:tabs>
        <w:spacing w:line="360" w:lineRule="auto"/>
        <w:rPr>
          <w:rFonts w:ascii="Arial" w:hAnsi="Arial" w:cs="Arial"/>
          <w:b/>
          <w:i/>
          <w:lang w:val="es-ES_tradnl"/>
        </w:rPr>
      </w:pPr>
      <w:r w:rsidRPr="00061AC3">
        <w:rPr>
          <w:rFonts w:ascii="Arial" w:hAnsi="Arial" w:cs="Arial"/>
          <w:b/>
          <w:i/>
          <w:lang w:val="es-ES_tradnl"/>
        </w:rPr>
        <w:t>703.7.1.  Condiciones generales</w:t>
      </w:r>
    </w:p>
    <w:p w14:paraId="75CB875A" w14:textId="77777777" w:rsidR="005669AF" w:rsidRPr="00195653" w:rsidRDefault="005669AF" w:rsidP="005669AF">
      <w:pPr>
        <w:tabs>
          <w:tab w:val="left" w:pos="567"/>
          <w:tab w:val="left" w:pos="1134"/>
          <w:tab w:val="left" w:pos="1701"/>
        </w:tabs>
        <w:spacing w:line="360" w:lineRule="auto"/>
        <w:rPr>
          <w:rFonts w:ascii="Arial" w:hAnsi="Arial" w:cs="Arial"/>
          <w:lang w:val="es-ES_tradnl" w:eastAsia="en-US"/>
        </w:rPr>
      </w:pPr>
      <w:r w:rsidRPr="00195653">
        <w:rPr>
          <w:rFonts w:ascii="Arial" w:hAnsi="Arial" w:cs="Arial"/>
          <w:lang w:val="es-ES_tradnl" w:eastAsia="en-US"/>
        </w:rPr>
        <w:t>Se lle</w:t>
      </w:r>
      <w:r>
        <w:rPr>
          <w:rFonts w:ascii="Arial" w:hAnsi="Arial" w:cs="Arial"/>
          <w:lang w:val="es-ES_tradnl" w:eastAsia="en-US"/>
        </w:rPr>
        <w:t xml:space="preserve">vará a cabo el control de los materiales </w:t>
      </w:r>
      <w:proofErr w:type="gramStart"/>
      <w:r>
        <w:rPr>
          <w:rFonts w:ascii="Arial" w:hAnsi="Arial" w:cs="Arial"/>
          <w:lang w:val="es-ES_tradnl" w:eastAsia="en-US"/>
        </w:rPr>
        <w:t>suministrados</w:t>
      </w:r>
      <w:proofErr w:type="gramEnd"/>
      <w:r>
        <w:rPr>
          <w:rFonts w:ascii="Arial" w:hAnsi="Arial" w:cs="Arial"/>
          <w:lang w:val="es-ES_tradnl" w:eastAsia="en-US"/>
        </w:rPr>
        <w:t xml:space="preserve"> así como de la unidad terminada durante su periodo de garantía</w:t>
      </w:r>
    </w:p>
    <w:p w14:paraId="1C148700" w14:textId="77777777" w:rsidR="005669AF" w:rsidRDefault="005669AF" w:rsidP="005669AF">
      <w:pPr>
        <w:tabs>
          <w:tab w:val="left" w:pos="567"/>
          <w:tab w:val="left" w:pos="1134"/>
          <w:tab w:val="left" w:pos="1701"/>
        </w:tabs>
        <w:spacing w:line="360" w:lineRule="auto"/>
        <w:rPr>
          <w:rFonts w:ascii="Arial" w:hAnsi="Arial" w:cs="Arial"/>
          <w:b/>
          <w:i/>
          <w:lang w:val="es-ES_tradnl"/>
        </w:rPr>
      </w:pPr>
    </w:p>
    <w:p w14:paraId="5A8BD5DA" w14:textId="77777777" w:rsidR="005669AF" w:rsidRDefault="005669AF" w:rsidP="005669AF">
      <w:pPr>
        <w:tabs>
          <w:tab w:val="left" w:pos="567"/>
          <w:tab w:val="left" w:pos="1134"/>
          <w:tab w:val="left" w:pos="1701"/>
        </w:tabs>
        <w:spacing w:line="360" w:lineRule="auto"/>
        <w:rPr>
          <w:rFonts w:ascii="Arial" w:hAnsi="Arial" w:cs="Arial"/>
          <w:b/>
          <w:i/>
          <w:lang w:val="es-ES_tradnl"/>
        </w:rPr>
      </w:pPr>
      <w:r w:rsidRPr="00061AC3">
        <w:rPr>
          <w:rFonts w:ascii="Arial" w:hAnsi="Arial" w:cs="Arial"/>
          <w:b/>
          <w:i/>
          <w:lang w:val="es-ES_tradnl"/>
        </w:rPr>
        <w:t xml:space="preserve">703.7.2. </w:t>
      </w:r>
      <w:r>
        <w:rPr>
          <w:rFonts w:ascii="Arial" w:hAnsi="Arial" w:cs="Arial"/>
          <w:b/>
          <w:i/>
          <w:lang w:val="es-ES_tradnl"/>
        </w:rPr>
        <w:t>Control de p</w:t>
      </w:r>
      <w:r w:rsidRPr="00061AC3">
        <w:rPr>
          <w:rFonts w:ascii="Arial" w:hAnsi="Arial" w:cs="Arial"/>
          <w:b/>
          <w:i/>
          <w:lang w:val="es-ES_tradnl"/>
        </w:rPr>
        <w:t>rocedencia de los materiales</w:t>
      </w:r>
    </w:p>
    <w:p w14:paraId="4197F7A5" w14:textId="77777777" w:rsidR="005669AF" w:rsidRPr="00195653" w:rsidRDefault="005669AF" w:rsidP="005669AF">
      <w:pPr>
        <w:tabs>
          <w:tab w:val="left" w:pos="567"/>
          <w:tab w:val="left" w:pos="1134"/>
          <w:tab w:val="left" w:pos="1701"/>
        </w:tabs>
        <w:spacing w:line="360" w:lineRule="auto"/>
        <w:rPr>
          <w:rFonts w:ascii="Arial" w:hAnsi="Arial" w:cs="Arial"/>
          <w:lang w:val="es-ES_tradnl" w:eastAsia="en-US"/>
        </w:rPr>
      </w:pPr>
      <w:r w:rsidRPr="00195653">
        <w:rPr>
          <w:rFonts w:ascii="Arial" w:hAnsi="Arial" w:cs="Arial"/>
          <w:lang w:val="es-ES_tradnl" w:eastAsia="en-US"/>
        </w:rPr>
        <w:t>Se llevará a cabo el control documental de los valores declarados en la información que acompaña al marcado CE</w:t>
      </w:r>
      <w:r>
        <w:rPr>
          <w:rFonts w:ascii="Arial" w:hAnsi="Arial" w:cs="Arial"/>
          <w:lang w:val="es-ES_tradnl" w:eastAsia="en-US"/>
        </w:rPr>
        <w:t xml:space="preserve">. El </w:t>
      </w:r>
      <w:proofErr w:type="gramStart"/>
      <w:r>
        <w:rPr>
          <w:rFonts w:ascii="Arial" w:hAnsi="Arial" w:cs="Arial"/>
          <w:lang w:val="es-ES_tradnl" w:eastAsia="en-US"/>
        </w:rPr>
        <w:t>Director</w:t>
      </w:r>
      <w:proofErr w:type="gramEnd"/>
      <w:r>
        <w:rPr>
          <w:rFonts w:ascii="Arial" w:hAnsi="Arial" w:cs="Arial"/>
          <w:lang w:val="es-ES_tradnl" w:eastAsia="en-US"/>
        </w:rPr>
        <w:t xml:space="preserve"> de Obra podrá disponer en cualquier momento la realización de las comprobaciones sobre los materiales que considere oportunas.</w:t>
      </w:r>
    </w:p>
    <w:p w14:paraId="7E043A8C" w14:textId="77777777" w:rsidR="005669AF" w:rsidRDefault="005669AF" w:rsidP="005669AF">
      <w:pPr>
        <w:tabs>
          <w:tab w:val="left" w:pos="567"/>
          <w:tab w:val="left" w:pos="1134"/>
          <w:tab w:val="left" w:pos="1701"/>
        </w:tabs>
        <w:spacing w:line="360" w:lineRule="auto"/>
        <w:rPr>
          <w:rFonts w:ascii="Arial" w:hAnsi="Arial" w:cs="Arial"/>
          <w:i/>
          <w:u w:val="single"/>
          <w:lang w:val="es-ES_tradnl"/>
        </w:rPr>
      </w:pPr>
      <w:r w:rsidRPr="008C5D8E">
        <w:rPr>
          <w:rFonts w:ascii="Arial" w:hAnsi="Arial" w:cs="Arial"/>
          <w:i/>
          <w:u w:val="single"/>
          <w:lang w:val="es-ES_tradnl"/>
        </w:rPr>
        <w:t>Identificaci</w:t>
      </w:r>
      <w:r>
        <w:rPr>
          <w:rFonts w:ascii="Arial" w:hAnsi="Arial" w:cs="Arial"/>
          <w:i/>
          <w:u w:val="single"/>
          <w:lang w:val="es-ES_tradnl"/>
        </w:rPr>
        <w:t>ón</w:t>
      </w:r>
    </w:p>
    <w:p w14:paraId="03470340" w14:textId="77777777" w:rsidR="005669AF" w:rsidRPr="008C5D8E" w:rsidRDefault="005669AF" w:rsidP="005669AF">
      <w:pPr>
        <w:tabs>
          <w:tab w:val="left" w:pos="567"/>
          <w:tab w:val="left" w:pos="1134"/>
          <w:tab w:val="left" w:pos="1701"/>
        </w:tabs>
        <w:spacing w:line="360" w:lineRule="auto"/>
        <w:rPr>
          <w:rFonts w:ascii="Arial" w:hAnsi="Arial" w:cs="Arial"/>
          <w:lang w:val="es-ES_tradnl" w:eastAsia="en-US"/>
        </w:rPr>
      </w:pPr>
      <w:r w:rsidRPr="008C5D8E">
        <w:rPr>
          <w:rFonts w:ascii="Arial" w:hAnsi="Arial" w:cs="Arial"/>
          <w:lang w:val="es-ES_tradnl" w:eastAsia="en-US"/>
        </w:rPr>
        <w:t>Junto a la documentación establecida en el PG3 para el suministro del material y la que corresponde a productos que ostentan el marcado CE, se debe incluir las instrucciones de aplicación definidas en el certificado resultante del correspondiente ensayo de durabilidad.</w:t>
      </w:r>
    </w:p>
    <w:p w14:paraId="5654616D" w14:textId="77777777" w:rsidR="005669AF" w:rsidRDefault="005669AF" w:rsidP="005669AF">
      <w:pPr>
        <w:tabs>
          <w:tab w:val="left" w:pos="567"/>
          <w:tab w:val="left" w:pos="1134"/>
          <w:tab w:val="left" w:pos="1701"/>
        </w:tabs>
        <w:spacing w:line="360" w:lineRule="auto"/>
        <w:rPr>
          <w:rFonts w:ascii="Arial" w:hAnsi="Arial" w:cs="Arial"/>
          <w:lang w:val="es-ES_tradnl" w:eastAsia="en-US"/>
        </w:rPr>
      </w:pPr>
      <w:r w:rsidRPr="008C5D8E">
        <w:rPr>
          <w:rFonts w:ascii="Arial" w:hAnsi="Arial" w:cs="Arial"/>
          <w:lang w:val="es-ES_tradnl" w:eastAsia="en-US"/>
        </w:rPr>
        <w:t>Deberá incluir las instrucciones para la conservación de los elementos de balizamiento instalados.</w:t>
      </w:r>
    </w:p>
    <w:p w14:paraId="7E2A6EC2" w14:textId="77777777" w:rsidR="005669AF" w:rsidRDefault="005669AF" w:rsidP="005669AF">
      <w:pPr>
        <w:tabs>
          <w:tab w:val="left" w:pos="567"/>
          <w:tab w:val="left" w:pos="1134"/>
          <w:tab w:val="left" w:pos="1701"/>
        </w:tabs>
        <w:spacing w:line="360" w:lineRule="auto"/>
        <w:rPr>
          <w:rFonts w:ascii="Arial" w:hAnsi="Arial" w:cs="Arial"/>
          <w:lang w:val="es-ES_tradnl" w:eastAsia="en-US"/>
        </w:rPr>
      </w:pPr>
      <w:r>
        <w:rPr>
          <w:rFonts w:ascii="Arial" w:hAnsi="Arial" w:cs="Arial"/>
          <w:lang w:val="es-ES_tradnl" w:eastAsia="en-US"/>
        </w:rPr>
        <w:t>Ensayos de comprobación</w:t>
      </w:r>
    </w:p>
    <w:p w14:paraId="3CE8095B" w14:textId="77777777" w:rsidR="005669AF" w:rsidRPr="008C5D8E" w:rsidRDefault="005669AF" w:rsidP="005669AF">
      <w:pPr>
        <w:tabs>
          <w:tab w:val="left" w:pos="567"/>
          <w:tab w:val="left" w:pos="1134"/>
          <w:tab w:val="left" w:pos="1701"/>
        </w:tabs>
        <w:spacing w:line="360" w:lineRule="auto"/>
        <w:rPr>
          <w:rFonts w:ascii="Arial" w:hAnsi="Arial" w:cs="Arial"/>
          <w:lang w:val="es-ES_tradnl" w:eastAsia="en-US"/>
        </w:rPr>
      </w:pPr>
      <w:r>
        <w:rPr>
          <w:rFonts w:ascii="Arial" w:hAnsi="Arial" w:cs="Arial"/>
          <w:lang w:val="es-ES_tradnl" w:eastAsia="en-US"/>
        </w:rPr>
        <w:t xml:space="preserve">Antes de la instalación de los elementos de balizamiento </w:t>
      </w:r>
      <w:proofErr w:type="spellStart"/>
      <w:r>
        <w:rPr>
          <w:rFonts w:ascii="Arial" w:hAnsi="Arial" w:cs="Arial"/>
          <w:lang w:val="es-ES_tradnl" w:eastAsia="en-US"/>
        </w:rPr>
        <w:t>retrorreflectantes</w:t>
      </w:r>
      <w:proofErr w:type="spellEnd"/>
      <w:r>
        <w:rPr>
          <w:rFonts w:ascii="Arial" w:hAnsi="Arial" w:cs="Arial"/>
          <w:lang w:val="es-ES_tradnl" w:eastAsia="en-US"/>
        </w:rPr>
        <w:t xml:space="preserve"> se llevará a cabo los ensayos de comprobación especificados en la norma UNE-EN 12899- 3 </w:t>
      </w:r>
    </w:p>
    <w:p w14:paraId="2CBBABB8" w14:textId="77777777" w:rsidR="005669AF" w:rsidRPr="008C5D8E" w:rsidRDefault="005669AF" w:rsidP="005669AF">
      <w:pPr>
        <w:tabs>
          <w:tab w:val="left" w:pos="567"/>
          <w:tab w:val="left" w:pos="1134"/>
          <w:tab w:val="left" w:pos="1701"/>
        </w:tabs>
        <w:spacing w:line="360" w:lineRule="auto"/>
        <w:rPr>
          <w:rFonts w:ascii="Arial" w:hAnsi="Arial" w:cs="Arial"/>
          <w:i/>
          <w:u w:val="single"/>
          <w:lang w:val="es-ES_tradnl"/>
        </w:rPr>
      </w:pPr>
    </w:p>
    <w:p w14:paraId="36B78C82" w14:textId="77777777" w:rsidR="005669AF" w:rsidRDefault="005669AF" w:rsidP="005669AF">
      <w:pPr>
        <w:tabs>
          <w:tab w:val="left" w:pos="567"/>
          <w:tab w:val="left" w:pos="1134"/>
          <w:tab w:val="left" w:pos="1701"/>
        </w:tabs>
        <w:spacing w:line="360" w:lineRule="auto"/>
        <w:rPr>
          <w:rFonts w:ascii="Arial" w:hAnsi="Arial" w:cs="Arial"/>
          <w:b/>
          <w:i/>
          <w:lang w:val="es-ES_tradnl"/>
        </w:rPr>
      </w:pPr>
      <w:r w:rsidRPr="00061AC3">
        <w:rPr>
          <w:rFonts w:ascii="Arial" w:hAnsi="Arial" w:cs="Arial"/>
          <w:b/>
          <w:i/>
          <w:lang w:val="es-ES_tradnl"/>
        </w:rPr>
        <w:t xml:space="preserve">703.7.3. </w:t>
      </w:r>
      <w:r>
        <w:rPr>
          <w:rFonts w:ascii="Arial" w:hAnsi="Arial" w:cs="Arial"/>
          <w:b/>
          <w:i/>
          <w:lang w:val="es-ES_tradnl"/>
        </w:rPr>
        <w:t>C</w:t>
      </w:r>
      <w:r w:rsidRPr="00061AC3">
        <w:rPr>
          <w:rFonts w:ascii="Arial" w:hAnsi="Arial" w:cs="Arial"/>
          <w:b/>
          <w:i/>
          <w:lang w:val="es-ES_tradnl"/>
        </w:rPr>
        <w:t>ontrol de la puesta en obra</w:t>
      </w:r>
    </w:p>
    <w:p w14:paraId="3A9628D3" w14:textId="77777777" w:rsidR="005669AF" w:rsidRPr="008C5D8E" w:rsidRDefault="005669AF" w:rsidP="005669AF">
      <w:pPr>
        <w:tabs>
          <w:tab w:val="left" w:pos="567"/>
          <w:tab w:val="left" w:pos="1134"/>
          <w:tab w:val="left" w:pos="1701"/>
        </w:tabs>
        <w:spacing w:line="360" w:lineRule="auto"/>
        <w:jc w:val="both"/>
        <w:rPr>
          <w:rFonts w:ascii="Arial" w:hAnsi="Arial" w:cs="Arial"/>
          <w:lang w:val="es-ES_tradnl" w:eastAsia="en-US"/>
        </w:rPr>
      </w:pPr>
      <w:r w:rsidRPr="008C5D8E">
        <w:rPr>
          <w:rFonts w:ascii="Arial" w:hAnsi="Arial" w:cs="Arial"/>
          <w:lang w:val="es-ES_tradnl" w:eastAsia="en-US"/>
        </w:rPr>
        <w:t xml:space="preserve">No se permitirá la instalación de elementos que presente algún tipo de alteración </w:t>
      </w:r>
      <w:proofErr w:type="gramStart"/>
      <w:r w:rsidRPr="008C5D8E">
        <w:rPr>
          <w:rFonts w:ascii="Arial" w:hAnsi="Arial" w:cs="Arial"/>
          <w:lang w:val="es-ES_tradnl" w:eastAsia="en-US"/>
        </w:rPr>
        <w:t xml:space="preserve">o </w:t>
      </w:r>
      <w:r>
        <w:rPr>
          <w:rFonts w:ascii="Arial" w:hAnsi="Arial" w:cs="Arial"/>
          <w:lang w:val="es-ES_tradnl" w:eastAsia="en-US"/>
        </w:rPr>
        <w:t xml:space="preserve"> d</w:t>
      </w:r>
      <w:r w:rsidRPr="008C5D8E">
        <w:rPr>
          <w:rFonts w:ascii="Arial" w:hAnsi="Arial" w:cs="Arial"/>
          <w:lang w:val="es-ES_tradnl" w:eastAsia="en-US"/>
        </w:rPr>
        <w:t>eterioro</w:t>
      </w:r>
      <w:proofErr w:type="gramEnd"/>
      <w:r w:rsidRPr="008C5D8E">
        <w:rPr>
          <w:rFonts w:ascii="Arial" w:hAnsi="Arial" w:cs="Arial"/>
          <w:lang w:val="es-ES_tradnl" w:eastAsia="en-US"/>
        </w:rPr>
        <w:t>, o que no hayan sido almacenados en las condiciones adecuadas y cuya fecha de fabricación sea anterior en más de doce (12) meses a la puesta en obra</w:t>
      </w:r>
    </w:p>
    <w:p w14:paraId="2DA8F913" w14:textId="77777777" w:rsidR="005669AF" w:rsidRDefault="005669AF" w:rsidP="005669AF">
      <w:pPr>
        <w:tabs>
          <w:tab w:val="left" w:pos="567"/>
          <w:tab w:val="left" w:pos="1134"/>
          <w:tab w:val="left" w:pos="1701"/>
        </w:tabs>
        <w:spacing w:line="360" w:lineRule="auto"/>
        <w:rPr>
          <w:rFonts w:ascii="Arial" w:hAnsi="Arial" w:cs="Arial"/>
          <w:b/>
          <w:i/>
          <w:lang w:val="es-ES_tradnl"/>
        </w:rPr>
      </w:pPr>
      <w:r>
        <w:rPr>
          <w:rFonts w:ascii="Arial" w:hAnsi="Arial" w:cs="Arial"/>
          <w:b/>
          <w:i/>
          <w:lang w:val="es-ES_tradnl"/>
        </w:rPr>
        <w:br w:type="column"/>
      </w:r>
      <w:r w:rsidRPr="00061AC3">
        <w:rPr>
          <w:rFonts w:ascii="Arial" w:hAnsi="Arial" w:cs="Arial"/>
          <w:b/>
          <w:i/>
          <w:lang w:val="es-ES_tradnl"/>
        </w:rPr>
        <w:lastRenderedPageBreak/>
        <w:t>703.7.4. Control de la unidad terminada</w:t>
      </w:r>
    </w:p>
    <w:p w14:paraId="46682040" w14:textId="77777777" w:rsidR="005669AF" w:rsidRPr="003C4B7C" w:rsidRDefault="005669AF" w:rsidP="005669AF">
      <w:pPr>
        <w:pStyle w:val="NORMAL12"/>
        <w:rPr>
          <w:lang w:val="es-ES"/>
        </w:rPr>
      </w:pPr>
      <w:r w:rsidRPr="003C4B7C">
        <w:rPr>
          <w:lang w:val="es-ES"/>
        </w:rPr>
        <w:t>Antes de cumplirse el periodo de garantía se llevarán a cabo los controles periódicos de los elementos de balizamiento para comprobar, in situ, que cumplen con las especificaciones mínimas.</w:t>
      </w:r>
    </w:p>
    <w:p w14:paraId="23AA02A1" w14:textId="77777777" w:rsidR="005669AF" w:rsidRPr="003C4B7C" w:rsidRDefault="005669AF" w:rsidP="005669AF">
      <w:pPr>
        <w:pStyle w:val="NORMAL12"/>
        <w:rPr>
          <w:lang w:val="es-ES"/>
        </w:rPr>
      </w:pPr>
      <w:r w:rsidRPr="003C4B7C">
        <w:rPr>
          <w:lang w:val="es-ES"/>
        </w:rPr>
        <w:t>Se llevará a cabo sobre un número representativo de elementos según la tabla 703.3 del PG-3</w:t>
      </w:r>
      <w:r>
        <w:rPr>
          <w:lang w:val="es-ES"/>
        </w:rPr>
        <w:t>.</w:t>
      </w:r>
    </w:p>
    <w:p w14:paraId="4C33A9FD" w14:textId="77777777" w:rsidR="005669AF" w:rsidRDefault="005669AF" w:rsidP="000313DD">
      <w:pPr>
        <w:pStyle w:val="TITU2"/>
      </w:pPr>
      <w:bookmarkStart w:id="1140" w:name="_Toc404593"/>
      <w:r w:rsidRPr="000A4040">
        <w:t>703.8.  Condiciones de aceptación o rechazo</w:t>
      </w:r>
      <w:bookmarkEnd w:id="1140"/>
    </w:p>
    <w:p w14:paraId="750D1E08" w14:textId="77777777" w:rsidR="005669AF" w:rsidRDefault="005669AF" w:rsidP="005669AF">
      <w:pPr>
        <w:tabs>
          <w:tab w:val="left" w:pos="567"/>
          <w:tab w:val="left" w:pos="1134"/>
          <w:tab w:val="left" w:pos="1701"/>
        </w:tabs>
        <w:spacing w:line="360" w:lineRule="auto"/>
        <w:rPr>
          <w:rFonts w:ascii="Arial" w:hAnsi="Arial" w:cs="Arial"/>
          <w:b/>
          <w:i/>
          <w:lang w:val="es-ES_tradnl"/>
        </w:rPr>
      </w:pPr>
      <w:r w:rsidRPr="00195653">
        <w:rPr>
          <w:rFonts w:ascii="Arial" w:hAnsi="Arial" w:cs="Arial"/>
          <w:b/>
          <w:i/>
          <w:lang w:val="es-ES_tradnl"/>
        </w:rPr>
        <w:t>703.8.1. Materiales suministrados a la obra</w:t>
      </w:r>
    </w:p>
    <w:p w14:paraId="134611EB" w14:textId="77777777" w:rsidR="005669AF" w:rsidRDefault="005669AF" w:rsidP="005669AF">
      <w:pPr>
        <w:pStyle w:val="NORMAL12"/>
        <w:rPr>
          <w:lang w:val="es-ES"/>
        </w:rPr>
      </w:pPr>
      <w:r>
        <w:rPr>
          <w:lang w:val="es-ES"/>
        </w:rPr>
        <w:t>Se rechazarán todos los elementos que no cumplan con los requisitos establecidos.</w:t>
      </w:r>
    </w:p>
    <w:p w14:paraId="022A2557" w14:textId="77777777" w:rsidR="005669AF" w:rsidRPr="00195653" w:rsidRDefault="005669AF" w:rsidP="005669AF">
      <w:pPr>
        <w:tabs>
          <w:tab w:val="left" w:pos="567"/>
          <w:tab w:val="left" w:pos="1134"/>
          <w:tab w:val="left" w:pos="1701"/>
        </w:tabs>
        <w:spacing w:line="360" w:lineRule="auto"/>
        <w:rPr>
          <w:rFonts w:ascii="Arial" w:hAnsi="Arial" w:cs="Arial"/>
          <w:b/>
          <w:i/>
          <w:lang w:val="es-ES_tradnl"/>
        </w:rPr>
      </w:pPr>
      <w:r w:rsidRPr="00195653">
        <w:rPr>
          <w:rFonts w:ascii="Arial" w:hAnsi="Arial" w:cs="Arial"/>
          <w:b/>
          <w:i/>
          <w:lang w:val="es-ES_tradnl"/>
        </w:rPr>
        <w:t>703.8.2. Unidad terminada</w:t>
      </w:r>
    </w:p>
    <w:p w14:paraId="25E71A3A" w14:textId="77777777" w:rsidR="005669AF" w:rsidRDefault="005669AF" w:rsidP="005669AF">
      <w:pPr>
        <w:pStyle w:val="NORMAL12"/>
        <w:rPr>
          <w:rFonts w:ascii="ArialMT" w:hAnsi="ArialMT" w:cs="ArialMT"/>
        </w:rPr>
      </w:pPr>
      <w:r>
        <w:rPr>
          <w:rFonts w:ascii="ArialMT" w:hAnsi="ArialMT" w:cs="ArialMT"/>
        </w:rPr>
        <w:t>Se rechazarán todos los elementos de balizamiento del mismo tipo si se cumple:</w:t>
      </w:r>
    </w:p>
    <w:p w14:paraId="2DE5EF93" w14:textId="77777777" w:rsidR="005669AF" w:rsidRDefault="005669AF" w:rsidP="000313DD">
      <w:pPr>
        <w:pStyle w:val="NORMAL12"/>
        <w:numPr>
          <w:ilvl w:val="0"/>
          <w:numId w:val="228"/>
        </w:numPr>
        <w:rPr>
          <w:rFonts w:ascii="ArialMT" w:hAnsi="ArialMT" w:cs="ArialMT"/>
        </w:rPr>
      </w:pPr>
      <w:r>
        <w:rPr>
          <w:rFonts w:ascii="ArialMT" w:hAnsi="ArialMT" w:cs="ArialMT"/>
        </w:rPr>
        <w:t xml:space="preserve">Más </w:t>
      </w:r>
      <w:proofErr w:type="spellStart"/>
      <w:r>
        <w:rPr>
          <w:rFonts w:ascii="ArialMT" w:hAnsi="ArialMT" w:cs="ArialMT"/>
        </w:rPr>
        <w:t>del</w:t>
      </w:r>
      <w:proofErr w:type="spellEnd"/>
      <w:r>
        <w:rPr>
          <w:rFonts w:ascii="ArialMT" w:hAnsi="ArialMT" w:cs="ArialMT"/>
        </w:rPr>
        <w:t xml:space="preserve"> veinte por ciento (&gt;20</w:t>
      </w:r>
      <w:proofErr w:type="gramStart"/>
      <w:r>
        <w:rPr>
          <w:rFonts w:ascii="ArialMT" w:hAnsi="ArialMT" w:cs="ArialMT"/>
        </w:rPr>
        <w:t>%)  de</w:t>
      </w:r>
      <w:proofErr w:type="gramEnd"/>
      <w:r>
        <w:rPr>
          <w:rFonts w:ascii="ArialMT" w:hAnsi="ArialMT" w:cs="ArialMT"/>
        </w:rPr>
        <w:t xml:space="preserve"> los elementos poseen dimensiones fuera de las tolerancias admitidas.</w:t>
      </w:r>
    </w:p>
    <w:p w14:paraId="6924B656" w14:textId="77777777" w:rsidR="005669AF" w:rsidRDefault="005669AF" w:rsidP="000313DD">
      <w:pPr>
        <w:pStyle w:val="NORMAL12"/>
        <w:numPr>
          <w:ilvl w:val="0"/>
          <w:numId w:val="228"/>
        </w:numPr>
        <w:rPr>
          <w:rFonts w:ascii="ArialMT" w:hAnsi="ArialMT" w:cs="ArialMT"/>
        </w:rPr>
      </w:pPr>
      <w:r>
        <w:rPr>
          <w:rFonts w:ascii="ArialMT" w:hAnsi="ArialMT" w:cs="ArialMT"/>
        </w:rPr>
        <w:t>Más de un diez por ciento (&gt;10%) de los elementos no cumplen con los requisitos de comportamiento especificados en la norma UNE 135352</w:t>
      </w:r>
    </w:p>
    <w:p w14:paraId="4073FC93" w14:textId="77777777" w:rsidR="005669AF" w:rsidRDefault="005669AF" w:rsidP="000313DD">
      <w:pPr>
        <w:pStyle w:val="TITU2"/>
      </w:pPr>
      <w:bookmarkStart w:id="1141" w:name="_Toc404594"/>
      <w:r>
        <w:t>703.9. Periodo de garantía</w:t>
      </w:r>
      <w:bookmarkEnd w:id="1141"/>
    </w:p>
    <w:p w14:paraId="3CAD6C7E" w14:textId="77777777" w:rsidR="005669AF" w:rsidRPr="00195653" w:rsidRDefault="005669AF" w:rsidP="005669AF">
      <w:pPr>
        <w:pStyle w:val="NORMAL12"/>
        <w:rPr>
          <w:rFonts w:ascii="ArialMT" w:hAnsi="ArialMT" w:cs="ArialMT"/>
        </w:rPr>
      </w:pPr>
      <w:r>
        <w:rPr>
          <w:rFonts w:ascii="ArialMT" w:hAnsi="ArialMT" w:cs="ArialMT"/>
        </w:rPr>
        <w:t xml:space="preserve">El periodo de garantía de los hitos de arista, hitos de vértice y balizas cilíndricas </w:t>
      </w:r>
      <w:proofErr w:type="spellStart"/>
      <w:r>
        <w:rPr>
          <w:rFonts w:ascii="ArialMT" w:hAnsi="ArialMT" w:cs="ArialMT"/>
        </w:rPr>
        <w:t>retrorreflectantes</w:t>
      </w:r>
      <w:proofErr w:type="spellEnd"/>
      <w:r>
        <w:rPr>
          <w:rFonts w:ascii="ArialMT" w:hAnsi="ArialMT" w:cs="ArialMT"/>
        </w:rPr>
        <w:t>, fabricados e instalados con carácter permanente, así como conservados regularmente de acuerdo con las instrucciones facilitadas por el fabricante, será de treinta (30) meses desde la fecha de su instalación.</w:t>
      </w:r>
    </w:p>
    <w:p w14:paraId="6427F67D" w14:textId="77777777" w:rsidR="005669AF" w:rsidRDefault="005669AF" w:rsidP="000313DD">
      <w:pPr>
        <w:pStyle w:val="TITU2"/>
      </w:pPr>
      <w:r>
        <w:br w:type="column"/>
      </w:r>
      <w:bookmarkStart w:id="1142" w:name="_Toc404595"/>
      <w:r>
        <w:t>703.10. Medición y abono</w:t>
      </w:r>
      <w:bookmarkEnd w:id="1142"/>
    </w:p>
    <w:p w14:paraId="6C27F5A5" w14:textId="77777777" w:rsidR="005669AF" w:rsidRDefault="005669AF" w:rsidP="005669AF">
      <w:pPr>
        <w:pStyle w:val="NORMAL12"/>
        <w:rPr>
          <w:rFonts w:ascii="ArialMT" w:hAnsi="ArialMT" w:cs="ArialMT"/>
        </w:rPr>
      </w:pPr>
      <w:r>
        <w:rPr>
          <w:rFonts w:ascii="ArialMT" w:hAnsi="ArialMT" w:cs="ArialMT"/>
        </w:rPr>
        <w:t>La medición y abono de las unidades incluidas en el presente artículo se realizará según las prescripciones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9"/>
        <w:gridCol w:w="5812"/>
      </w:tblGrid>
      <w:tr w:rsidR="005669AF" w14:paraId="104EC215" w14:textId="77777777" w:rsidTr="00E363B8">
        <w:tc>
          <w:tcPr>
            <w:tcW w:w="3189" w:type="dxa"/>
            <w:tcBorders>
              <w:top w:val="single" w:sz="4" w:space="0" w:color="auto"/>
              <w:left w:val="single" w:sz="4" w:space="0" w:color="auto"/>
              <w:bottom w:val="single" w:sz="4" w:space="0" w:color="auto"/>
              <w:right w:val="single" w:sz="4" w:space="0" w:color="auto"/>
            </w:tcBorders>
            <w:vAlign w:val="center"/>
            <w:hideMark/>
          </w:tcPr>
          <w:p w14:paraId="5407ABC8" w14:textId="77777777" w:rsidR="005669AF" w:rsidRDefault="005669AF" w:rsidP="00E363B8">
            <w:pPr>
              <w:pStyle w:val="LCATabla"/>
              <w:keepNext/>
              <w:keepLines/>
              <w:spacing w:line="360" w:lineRule="auto"/>
              <w:jc w:val="center"/>
              <w:rPr>
                <w:rFonts w:ascii="Arial" w:hAnsi="Arial" w:cs="Arial"/>
                <w:b/>
                <w:bCs/>
                <w:sz w:val="20"/>
              </w:rPr>
            </w:pPr>
            <w:r>
              <w:rPr>
                <w:rFonts w:ascii="Arial" w:hAnsi="Arial" w:cs="Arial"/>
                <w:b/>
                <w:bCs/>
                <w:sz w:val="20"/>
              </w:rPr>
              <w:t>Unidad de medida</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55606C6" w14:textId="77777777" w:rsidR="005669AF" w:rsidRDefault="005669AF" w:rsidP="00E363B8">
            <w:pPr>
              <w:pStyle w:val="LCATabla"/>
              <w:keepNext/>
              <w:keepLines/>
              <w:spacing w:line="360" w:lineRule="auto"/>
              <w:jc w:val="both"/>
              <w:rPr>
                <w:rFonts w:ascii="Arial" w:hAnsi="Arial" w:cs="Arial"/>
                <w:sz w:val="20"/>
              </w:rPr>
            </w:pPr>
            <w:proofErr w:type="gramStart"/>
            <w:r>
              <w:rPr>
                <w:rFonts w:ascii="Arial" w:hAnsi="Arial" w:cs="Arial"/>
                <w:sz w:val="20"/>
              </w:rPr>
              <w:t>Unidad  (</w:t>
            </w:r>
            <w:proofErr w:type="spellStart"/>
            <w:proofErr w:type="gramEnd"/>
            <w:r>
              <w:rPr>
                <w:rFonts w:ascii="Arial" w:hAnsi="Arial" w:cs="Arial"/>
                <w:sz w:val="20"/>
              </w:rPr>
              <w:t>ud</w:t>
            </w:r>
            <w:proofErr w:type="spellEnd"/>
            <w:r>
              <w:rPr>
                <w:rFonts w:ascii="Arial" w:hAnsi="Arial" w:cs="Arial"/>
                <w:sz w:val="20"/>
              </w:rPr>
              <w:t>).</w:t>
            </w:r>
          </w:p>
        </w:tc>
      </w:tr>
      <w:tr w:rsidR="005669AF" w14:paraId="01777D2E" w14:textId="77777777" w:rsidTr="00E363B8">
        <w:tc>
          <w:tcPr>
            <w:tcW w:w="3189" w:type="dxa"/>
            <w:tcBorders>
              <w:top w:val="single" w:sz="4" w:space="0" w:color="auto"/>
              <w:left w:val="single" w:sz="4" w:space="0" w:color="auto"/>
              <w:bottom w:val="single" w:sz="4" w:space="0" w:color="auto"/>
              <w:right w:val="single" w:sz="4" w:space="0" w:color="auto"/>
            </w:tcBorders>
            <w:vAlign w:val="center"/>
            <w:hideMark/>
          </w:tcPr>
          <w:p w14:paraId="3878658A" w14:textId="77777777" w:rsidR="005669AF" w:rsidRDefault="005669AF" w:rsidP="00E363B8">
            <w:pPr>
              <w:pStyle w:val="LCATabla"/>
              <w:keepNext/>
              <w:keepLines/>
              <w:spacing w:line="360" w:lineRule="auto"/>
              <w:jc w:val="center"/>
              <w:rPr>
                <w:rFonts w:ascii="Arial" w:hAnsi="Arial" w:cs="Arial"/>
                <w:b/>
                <w:bCs/>
                <w:sz w:val="20"/>
              </w:rPr>
            </w:pPr>
            <w:r>
              <w:rPr>
                <w:rFonts w:ascii="Arial" w:hAnsi="Arial" w:cs="Arial"/>
                <w:b/>
                <w:bCs/>
                <w:sz w:val="20"/>
              </w:rPr>
              <w:t>Grado de precisión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DDC24AA" w14:textId="77777777" w:rsidR="005669AF" w:rsidRDefault="005669AF" w:rsidP="00E363B8">
            <w:pPr>
              <w:pStyle w:val="LCATabla"/>
              <w:keepNext/>
              <w:keepLines/>
              <w:spacing w:line="360" w:lineRule="auto"/>
              <w:jc w:val="both"/>
              <w:rPr>
                <w:rFonts w:ascii="Arial" w:hAnsi="Arial" w:cs="Arial"/>
                <w:sz w:val="20"/>
              </w:rPr>
            </w:pPr>
            <w:r>
              <w:rPr>
                <w:rFonts w:ascii="Arial" w:hAnsi="Arial" w:cs="Arial"/>
                <w:sz w:val="20"/>
              </w:rPr>
              <w:t>Dos decimales.</w:t>
            </w:r>
          </w:p>
        </w:tc>
      </w:tr>
      <w:tr w:rsidR="005669AF" w14:paraId="59AD7957" w14:textId="77777777" w:rsidTr="00E363B8">
        <w:tc>
          <w:tcPr>
            <w:tcW w:w="3189" w:type="dxa"/>
            <w:tcBorders>
              <w:top w:val="single" w:sz="4" w:space="0" w:color="auto"/>
              <w:left w:val="single" w:sz="4" w:space="0" w:color="auto"/>
              <w:bottom w:val="single" w:sz="4" w:space="0" w:color="auto"/>
              <w:right w:val="single" w:sz="4" w:space="0" w:color="auto"/>
            </w:tcBorders>
            <w:vAlign w:val="center"/>
            <w:hideMark/>
          </w:tcPr>
          <w:p w14:paraId="600A0515" w14:textId="77777777" w:rsidR="005669AF" w:rsidRDefault="005669AF" w:rsidP="00E363B8">
            <w:pPr>
              <w:pStyle w:val="LCATabla"/>
              <w:keepNext/>
              <w:keepLines/>
              <w:spacing w:line="360" w:lineRule="auto"/>
              <w:jc w:val="center"/>
              <w:rPr>
                <w:rFonts w:ascii="Arial" w:hAnsi="Arial" w:cs="Arial"/>
                <w:b/>
                <w:bCs/>
                <w:sz w:val="20"/>
              </w:rPr>
            </w:pPr>
            <w:r>
              <w:rPr>
                <w:rFonts w:ascii="Arial" w:hAnsi="Arial" w:cs="Arial"/>
                <w:b/>
                <w:bCs/>
                <w:sz w:val="20"/>
              </w:rPr>
              <w:t>Forma de medición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B71D962" w14:textId="77777777" w:rsidR="005669AF" w:rsidRDefault="005669AF" w:rsidP="00E363B8">
            <w:pPr>
              <w:pStyle w:val="LCATabla"/>
              <w:keepNext/>
              <w:keepLines/>
              <w:spacing w:line="360" w:lineRule="auto"/>
              <w:jc w:val="both"/>
              <w:rPr>
                <w:rFonts w:ascii="Arial" w:hAnsi="Arial" w:cs="Arial"/>
                <w:sz w:val="20"/>
              </w:rPr>
            </w:pPr>
            <w:r>
              <w:rPr>
                <w:rFonts w:ascii="Arial" w:hAnsi="Arial" w:cs="Arial"/>
                <w:sz w:val="20"/>
              </w:rPr>
              <w:t>Unidad de elemento de balizamiento</w:t>
            </w:r>
          </w:p>
        </w:tc>
      </w:tr>
      <w:tr w:rsidR="005669AF" w14:paraId="280CA889" w14:textId="77777777" w:rsidTr="00E363B8">
        <w:tc>
          <w:tcPr>
            <w:tcW w:w="3189" w:type="dxa"/>
            <w:tcBorders>
              <w:top w:val="single" w:sz="4" w:space="0" w:color="auto"/>
              <w:left w:val="single" w:sz="4" w:space="0" w:color="auto"/>
              <w:bottom w:val="single" w:sz="4" w:space="0" w:color="auto"/>
              <w:right w:val="single" w:sz="4" w:space="0" w:color="auto"/>
            </w:tcBorders>
            <w:vAlign w:val="center"/>
            <w:hideMark/>
          </w:tcPr>
          <w:p w14:paraId="6F14D871" w14:textId="77777777" w:rsidR="005669AF" w:rsidRDefault="005669AF" w:rsidP="00E363B8">
            <w:pPr>
              <w:pStyle w:val="LCATabla"/>
              <w:keepNext/>
              <w:keepLines/>
              <w:spacing w:line="360" w:lineRule="auto"/>
              <w:jc w:val="center"/>
              <w:rPr>
                <w:rFonts w:ascii="Arial" w:hAnsi="Arial" w:cs="Arial"/>
                <w:b/>
                <w:bCs/>
                <w:sz w:val="20"/>
              </w:rPr>
            </w:pPr>
            <w:r>
              <w:rPr>
                <w:rFonts w:ascii="Arial" w:hAnsi="Arial" w:cs="Arial"/>
                <w:b/>
                <w:bCs/>
                <w:sz w:val="20"/>
              </w:rPr>
              <w:t>Abono</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DC05F17" w14:textId="77777777" w:rsidR="005669AF" w:rsidRDefault="005669AF" w:rsidP="00E363B8">
            <w:pPr>
              <w:pStyle w:val="LCATabla"/>
              <w:keepNext/>
              <w:keepLines/>
              <w:spacing w:line="360" w:lineRule="auto"/>
              <w:jc w:val="both"/>
              <w:rPr>
                <w:rFonts w:ascii="Arial" w:hAnsi="Arial" w:cs="Arial"/>
                <w:sz w:val="20"/>
              </w:rPr>
            </w:pPr>
            <w:r>
              <w:rPr>
                <w:rFonts w:ascii="Arial" w:hAnsi="Arial" w:cs="Arial"/>
                <w:sz w:val="20"/>
              </w:rPr>
              <w:t>Se efectuará cuando se realice la aceptación.</w:t>
            </w:r>
          </w:p>
        </w:tc>
      </w:tr>
      <w:tr w:rsidR="005669AF" w14:paraId="18B0AEF4" w14:textId="77777777" w:rsidTr="00E363B8">
        <w:tc>
          <w:tcPr>
            <w:tcW w:w="3189" w:type="dxa"/>
            <w:tcBorders>
              <w:top w:val="single" w:sz="4" w:space="0" w:color="auto"/>
              <w:left w:val="single" w:sz="4" w:space="0" w:color="auto"/>
              <w:bottom w:val="single" w:sz="4" w:space="0" w:color="auto"/>
              <w:right w:val="single" w:sz="4" w:space="0" w:color="auto"/>
            </w:tcBorders>
            <w:vAlign w:val="center"/>
            <w:hideMark/>
          </w:tcPr>
          <w:p w14:paraId="08AA4592" w14:textId="77777777" w:rsidR="005669AF" w:rsidRDefault="005669AF" w:rsidP="00E363B8">
            <w:pPr>
              <w:pStyle w:val="LCATabla"/>
              <w:keepNext/>
              <w:keepLines/>
              <w:spacing w:line="360" w:lineRule="auto"/>
              <w:jc w:val="center"/>
              <w:rPr>
                <w:rFonts w:ascii="Arial" w:hAnsi="Arial" w:cs="Arial"/>
                <w:b/>
                <w:bCs/>
                <w:sz w:val="20"/>
              </w:rPr>
            </w:pPr>
            <w:r>
              <w:rPr>
                <w:rFonts w:ascii="Arial" w:hAnsi="Arial" w:cs="Arial"/>
                <w:b/>
                <w:bCs/>
                <w:sz w:val="20"/>
              </w:rPr>
              <w:t>Criterios complementarios</w:t>
            </w:r>
          </w:p>
        </w:tc>
        <w:tc>
          <w:tcPr>
            <w:tcW w:w="5812" w:type="dxa"/>
            <w:tcBorders>
              <w:top w:val="single" w:sz="4" w:space="0" w:color="auto"/>
              <w:left w:val="single" w:sz="4" w:space="0" w:color="auto"/>
              <w:bottom w:val="single" w:sz="4" w:space="0" w:color="auto"/>
              <w:right w:val="single" w:sz="4" w:space="0" w:color="auto"/>
            </w:tcBorders>
            <w:vAlign w:val="center"/>
            <w:hideMark/>
          </w:tcPr>
          <w:p w14:paraId="073BB58E" w14:textId="77777777" w:rsidR="005669AF" w:rsidRDefault="005669AF" w:rsidP="005B53D9">
            <w:pPr>
              <w:pStyle w:val="LCATabla"/>
              <w:keepNext/>
              <w:keepLines/>
              <w:spacing w:line="360" w:lineRule="auto"/>
              <w:jc w:val="both"/>
              <w:rPr>
                <w:rFonts w:ascii="Arial" w:hAnsi="Arial" w:cs="Arial"/>
                <w:sz w:val="20"/>
              </w:rPr>
            </w:pPr>
            <w:r>
              <w:rPr>
                <w:rFonts w:ascii="Arial" w:hAnsi="Arial" w:cs="Arial"/>
                <w:sz w:val="20"/>
              </w:rPr>
              <w:t xml:space="preserve">El precio incluye todos los medios y materiales necesarios para su instalación. </w:t>
            </w:r>
          </w:p>
        </w:tc>
      </w:tr>
    </w:tbl>
    <w:p w14:paraId="4D347A1E" w14:textId="77777777" w:rsidR="005669AF" w:rsidRPr="00FC0957" w:rsidRDefault="005669AF" w:rsidP="005669AF">
      <w:pPr>
        <w:pStyle w:val="NORMAL12"/>
        <w:rPr>
          <w:lang w:val="es-ES"/>
        </w:rPr>
      </w:pPr>
    </w:p>
    <w:p w14:paraId="713DA291" w14:textId="77777777" w:rsidR="005669AF" w:rsidRPr="00E226EF" w:rsidRDefault="005669AF" w:rsidP="005669AF">
      <w:pPr>
        <w:pStyle w:val="NORMAL12"/>
        <w:rPr>
          <w:lang w:val="es-ES"/>
        </w:rPr>
      </w:pPr>
    </w:p>
    <w:p w14:paraId="6492946D" w14:textId="77777777" w:rsidR="005669AF" w:rsidRPr="00E226EF" w:rsidRDefault="005669AF" w:rsidP="005669AF">
      <w:pPr>
        <w:pStyle w:val="NORMAL12"/>
        <w:rPr>
          <w:lang w:val="es-ES"/>
        </w:rPr>
      </w:pPr>
    </w:p>
    <w:p w14:paraId="66550E42" w14:textId="77777777" w:rsidR="001622F9" w:rsidRPr="00F141F6" w:rsidRDefault="001622F9" w:rsidP="001622F9">
      <w:pPr>
        <w:pStyle w:val="TITU1"/>
        <w:rPr>
          <w:lang w:val="es-ES_tradnl"/>
        </w:rPr>
      </w:pPr>
      <w:bookmarkStart w:id="1143" w:name="_Toc404596"/>
      <w:r w:rsidRPr="00F141F6">
        <w:rPr>
          <w:lang w:val="es-ES_tradnl"/>
        </w:rPr>
        <w:lastRenderedPageBreak/>
        <w:t>Artículo 704. Barreras de seguridad metálicas</w:t>
      </w:r>
      <w:bookmarkEnd w:id="1143"/>
    </w:p>
    <w:p w14:paraId="6810F30F" w14:textId="77777777" w:rsidR="001622F9" w:rsidRPr="00F141F6" w:rsidRDefault="001622F9" w:rsidP="001622F9">
      <w:pPr>
        <w:pStyle w:val="NORMAL12"/>
      </w:pPr>
      <w:r w:rsidRPr="00F141F6">
        <w:t>Excepto para lo especificado en el presente Pliego de Prescripciones Técnicas particulares se seguirá lo prescrito en el vigente artículo 704 del PG-3, en lo que resulte de aplicación a barreras metálicas.</w:t>
      </w:r>
    </w:p>
    <w:p w14:paraId="6D4974AB" w14:textId="77777777" w:rsidR="001622F9" w:rsidRPr="00F141F6" w:rsidRDefault="001622F9" w:rsidP="000313DD">
      <w:pPr>
        <w:pStyle w:val="TITU2"/>
      </w:pPr>
      <w:bookmarkStart w:id="1144" w:name="_Toc404597"/>
      <w:r w:rsidRPr="00F141F6">
        <w:t>704.1. Aplicación</w:t>
      </w:r>
      <w:bookmarkEnd w:id="1144"/>
    </w:p>
    <w:p w14:paraId="360DA561" w14:textId="77777777" w:rsidR="001622F9" w:rsidRPr="00F141F6" w:rsidRDefault="001622F9" w:rsidP="001622F9">
      <w:pPr>
        <w:pStyle w:val="NORMAL12"/>
      </w:pPr>
      <w:r w:rsidRPr="00F141F6">
        <w:t xml:space="preserve">Las prescripciones de este artículo </w:t>
      </w:r>
      <w:proofErr w:type="gramStart"/>
      <w:r w:rsidRPr="00F141F6">
        <w:t>son de aplicación</w:t>
      </w:r>
      <w:proofErr w:type="gramEnd"/>
      <w:r w:rsidRPr="00F141F6">
        <w:t xml:space="preserve"> a la</w:t>
      </w:r>
      <w:r w:rsidR="00F141F6" w:rsidRPr="00F141F6">
        <w:t xml:space="preserve">s unidades </w:t>
      </w:r>
      <w:r w:rsidRPr="00F141F6">
        <w:t>de obra siguiente</w:t>
      </w:r>
      <w:r w:rsidR="00F141F6" w:rsidRPr="00F141F6">
        <w:t>s</w:t>
      </w:r>
      <w:r w:rsidRPr="00F141F6">
        <w:t>:</w:t>
      </w:r>
    </w:p>
    <w:tbl>
      <w:tblPr>
        <w:tblW w:w="5000" w:type="pct"/>
        <w:tblCellMar>
          <w:left w:w="70" w:type="dxa"/>
          <w:right w:w="70" w:type="dxa"/>
        </w:tblCellMar>
        <w:tblLook w:val="04A0" w:firstRow="1" w:lastRow="0" w:firstColumn="1" w:lastColumn="0" w:noHBand="0" w:noVBand="1"/>
      </w:tblPr>
      <w:tblGrid>
        <w:gridCol w:w="1207"/>
        <w:gridCol w:w="704"/>
        <w:gridCol w:w="7867"/>
      </w:tblGrid>
      <w:tr w:rsidR="00F141F6" w:rsidRPr="00F141F6" w14:paraId="1C8C2879" w14:textId="77777777" w:rsidTr="00F141F6">
        <w:trPr>
          <w:trHeight w:val="419"/>
        </w:trPr>
        <w:tc>
          <w:tcPr>
            <w:tcW w:w="617" w:type="pct"/>
            <w:noWrap/>
          </w:tcPr>
          <w:p w14:paraId="448E4B63" w14:textId="77777777" w:rsidR="001622F9" w:rsidRPr="00D921B6" w:rsidRDefault="001622F9" w:rsidP="001622F9">
            <w:pPr>
              <w:rPr>
                <w:rFonts w:ascii="Calibri" w:hAnsi="Calibri"/>
              </w:rPr>
            </w:pPr>
            <w:r w:rsidRPr="00D921B6">
              <w:rPr>
                <w:rFonts w:ascii="Calibri" w:hAnsi="Calibri"/>
              </w:rPr>
              <w:t xml:space="preserve">704.0010          </w:t>
            </w:r>
          </w:p>
        </w:tc>
        <w:tc>
          <w:tcPr>
            <w:tcW w:w="360" w:type="pct"/>
            <w:noWrap/>
          </w:tcPr>
          <w:p w14:paraId="21EEE3F1" w14:textId="77777777" w:rsidR="001622F9" w:rsidRPr="00D921B6" w:rsidRDefault="001622F9" w:rsidP="001622F9">
            <w:pPr>
              <w:rPr>
                <w:rFonts w:ascii="Calibri" w:hAnsi="Calibri"/>
              </w:rPr>
            </w:pPr>
            <w:r w:rsidRPr="00D921B6">
              <w:rPr>
                <w:rFonts w:ascii="Calibri" w:hAnsi="Calibri"/>
              </w:rPr>
              <w:t>m</w:t>
            </w:r>
          </w:p>
        </w:tc>
        <w:tc>
          <w:tcPr>
            <w:tcW w:w="4023" w:type="pct"/>
          </w:tcPr>
          <w:p w14:paraId="64AB5942" w14:textId="77777777" w:rsidR="001622F9" w:rsidRPr="00D921B6" w:rsidRDefault="001622F9" w:rsidP="00D921B6">
            <w:pPr>
              <w:jc w:val="both"/>
              <w:rPr>
                <w:rFonts w:ascii="Calibri" w:hAnsi="Calibri"/>
              </w:rPr>
            </w:pPr>
            <w:r w:rsidRPr="00D921B6">
              <w:rPr>
                <w:rFonts w:ascii="Calibri" w:hAnsi="Calibri"/>
              </w:rPr>
              <w:t xml:space="preserve">BARRERA DE SEGURIDAD SIMPLE, CON NIVEL DE CONTENCIÓN N2, ANCHURA DE TRABAJO W5 O INFERIOR, DEFLEXIÓN DINÁMICA 1,50 m O INFERIOR, ÍNDICE DE SEVERIDAD A i/ CAPTAFAROS, POSTES, P.P. DE UNIONES, TORNILLERÍA Y ANCLAJES, TOTALMENTE INSTALADA. </w:t>
            </w:r>
            <w:r w:rsidRPr="00D921B6">
              <w:rPr>
                <w:rFonts w:ascii="Calibri" w:hAnsi="Calibri"/>
              </w:rPr>
              <w:br/>
            </w:r>
          </w:p>
        </w:tc>
      </w:tr>
      <w:tr w:rsidR="00F141F6" w:rsidRPr="00F141F6" w14:paraId="2074E3F8" w14:textId="77777777" w:rsidTr="00F141F6">
        <w:trPr>
          <w:trHeight w:val="419"/>
        </w:trPr>
        <w:tc>
          <w:tcPr>
            <w:tcW w:w="617" w:type="pct"/>
            <w:noWrap/>
          </w:tcPr>
          <w:p w14:paraId="47F96839" w14:textId="77777777" w:rsidR="001622F9" w:rsidRPr="00D921B6" w:rsidRDefault="001622F9" w:rsidP="001622F9">
            <w:pPr>
              <w:rPr>
                <w:rFonts w:ascii="Calibri" w:hAnsi="Calibri"/>
              </w:rPr>
            </w:pPr>
            <w:r w:rsidRPr="00D921B6">
              <w:rPr>
                <w:rFonts w:ascii="Calibri" w:hAnsi="Calibri"/>
              </w:rPr>
              <w:t xml:space="preserve">704.0020          </w:t>
            </w:r>
          </w:p>
        </w:tc>
        <w:tc>
          <w:tcPr>
            <w:tcW w:w="360" w:type="pct"/>
            <w:noWrap/>
          </w:tcPr>
          <w:p w14:paraId="46202A60" w14:textId="77777777" w:rsidR="001622F9" w:rsidRPr="00D921B6" w:rsidRDefault="001622F9" w:rsidP="001622F9">
            <w:pPr>
              <w:rPr>
                <w:rFonts w:ascii="Calibri" w:hAnsi="Calibri"/>
              </w:rPr>
            </w:pPr>
            <w:r w:rsidRPr="00D921B6">
              <w:rPr>
                <w:rFonts w:ascii="Calibri" w:hAnsi="Calibri"/>
              </w:rPr>
              <w:t>m</w:t>
            </w:r>
          </w:p>
        </w:tc>
        <w:tc>
          <w:tcPr>
            <w:tcW w:w="4023" w:type="pct"/>
          </w:tcPr>
          <w:p w14:paraId="5B066C48" w14:textId="77777777" w:rsidR="001622F9" w:rsidRPr="00D921B6" w:rsidRDefault="001622F9" w:rsidP="00D921B6">
            <w:pPr>
              <w:jc w:val="both"/>
              <w:rPr>
                <w:rFonts w:ascii="Calibri" w:hAnsi="Calibri"/>
              </w:rPr>
            </w:pPr>
            <w:r w:rsidRPr="00D921B6">
              <w:rPr>
                <w:rFonts w:ascii="Calibri" w:hAnsi="Calibri"/>
              </w:rPr>
              <w:t xml:space="preserve">BARRERA DE SEGURIDAD SIMPLE, CON NIVEL DE CONTENCIÓN N2, ANCHURA DE TRABAJO W4 O INFERIOR, DEFLEXIÓN DINÁMICA 1,10 m O INFERIOR, ÍNDICE DE SEVERIDAD A i/ CAPTAFAROS, POSTES, P.P. DE UNIONES, TORNILLERÍA Y ANCLAJES, TOTALMENTE INSTALADA. </w:t>
            </w:r>
            <w:r w:rsidRPr="00D921B6">
              <w:rPr>
                <w:rFonts w:ascii="Calibri" w:hAnsi="Calibri"/>
              </w:rPr>
              <w:br/>
            </w:r>
          </w:p>
        </w:tc>
      </w:tr>
      <w:tr w:rsidR="00F141F6" w:rsidRPr="00F141F6" w14:paraId="6C8B5D70" w14:textId="77777777" w:rsidTr="00F141F6">
        <w:trPr>
          <w:trHeight w:val="419"/>
        </w:trPr>
        <w:tc>
          <w:tcPr>
            <w:tcW w:w="617" w:type="pct"/>
            <w:noWrap/>
          </w:tcPr>
          <w:p w14:paraId="3F5A6474" w14:textId="77777777" w:rsidR="001622F9" w:rsidRPr="00D921B6" w:rsidRDefault="001622F9" w:rsidP="001622F9">
            <w:pPr>
              <w:rPr>
                <w:rFonts w:ascii="Calibri" w:hAnsi="Calibri"/>
              </w:rPr>
            </w:pPr>
            <w:r w:rsidRPr="00D921B6">
              <w:rPr>
                <w:rFonts w:ascii="Calibri" w:hAnsi="Calibri"/>
              </w:rPr>
              <w:t xml:space="preserve">704.0030          </w:t>
            </w:r>
          </w:p>
        </w:tc>
        <w:tc>
          <w:tcPr>
            <w:tcW w:w="360" w:type="pct"/>
            <w:noWrap/>
          </w:tcPr>
          <w:p w14:paraId="09CC9B4C" w14:textId="77777777" w:rsidR="001622F9" w:rsidRPr="00D921B6" w:rsidRDefault="001622F9" w:rsidP="001622F9">
            <w:pPr>
              <w:rPr>
                <w:rFonts w:ascii="Calibri" w:hAnsi="Calibri"/>
              </w:rPr>
            </w:pPr>
            <w:r w:rsidRPr="00D921B6">
              <w:rPr>
                <w:rFonts w:ascii="Calibri" w:hAnsi="Calibri"/>
              </w:rPr>
              <w:t>m</w:t>
            </w:r>
          </w:p>
        </w:tc>
        <w:tc>
          <w:tcPr>
            <w:tcW w:w="4023" w:type="pct"/>
          </w:tcPr>
          <w:p w14:paraId="096E6E55" w14:textId="77777777" w:rsidR="001622F9" w:rsidRPr="00D921B6" w:rsidRDefault="001622F9" w:rsidP="00D921B6">
            <w:pPr>
              <w:jc w:val="both"/>
              <w:rPr>
                <w:rFonts w:ascii="Calibri" w:hAnsi="Calibri"/>
              </w:rPr>
            </w:pPr>
            <w:r w:rsidRPr="00D921B6">
              <w:rPr>
                <w:rFonts w:ascii="Calibri" w:hAnsi="Calibri"/>
              </w:rPr>
              <w:t xml:space="preserve">BARRERA DE SEGURIDAD SIMPLE, CON NIVEL DE CONTENCIÓN N2, ANCHURA DE TRABAJO W3 O INFERIOR, DEFLEXIÓN DINÁMICA 0,70 m O INFERIOR, ÍNDICE DE SEVERIDAD A i/ CAPTAFAROS, POSTES, P.P. DE UNIONES, TORNILLERÍA Y ANCLAJES, TOTALMENTE INSTALADA. </w:t>
            </w:r>
            <w:r w:rsidRPr="00D921B6">
              <w:rPr>
                <w:rFonts w:ascii="Calibri" w:hAnsi="Calibri"/>
              </w:rPr>
              <w:br/>
            </w:r>
          </w:p>
        </w:tc>
      </w:tr>
      <w:tr w:rsidR="00F141F6" w:rsidRPr="00F141F6" w14:paraId="2EB3C8F9" w14:textId="77777777" w:rsidTr="00F141F6">
        <w:trPr>
          <w:trHeight w:val="419"/>
        </w:trPr>
        <w:tc>
          <w:tcPr>
            <w:tcW w:w="617" w:type="pct"/>
            <w:noWrap/>
          </w:tcPr>
          <w:p w14:paraId="398C721F" w14:textId="77777777" w:rsidR="001622F9" w:rsidRPr="00D921B6" w:rsidRDefault="001622F9" w:rsidP="001622F9">
            <w:pPr>
              <w:rPr>
                <w:rFonts w:ascii="Calibri" w:hAnsi="Calibri"/>
              </w:rPr>
            </w:pPr>
            <w:r w:rsidRPr="00D921B6">
              <w:rPr>
                <w:rFonts w:ascii="Calibri" w:hAnsi="Calibri"/>
              </w:rPr>
              <w:t xml:space="preserve">704.0040          </w:t>
            </w:r>
          </w:p>
        </w:tc>
        <w:tc>
          <w:tcPr>
            <w:tcW w:w="360" w:type="pct"/>
            <w:noWrap/>
          </w:tcPr>
          <w:p w14:paraId="5C02E068" w14:textId="77777777" w:rsidR="001622F9" w:rsidRPr="00D921B6" w:rsidRDefault="001622F9" w:rsidP="001622F9">
            <w:pPr>
              <w:rPr>
                <w:rFonts w:ascii="Calibri" w:hAnsi="Calibri"/>
              </w:rPr>
            </w:pPr>
            <w:r w:rsidRPr="00D921B6">
              <w:rPr>
                <w:rFonts w:ascii="Calibri" w:hAnsi="Calibri"/>
              </w:rPr>
              <w:t>m</w:t>
            </w:r>
          </w:p>
        </w:tc>
        <w:tc>
          <w:tcPr>
            <w:tcW w:w="4023" w:type="pct"/>
          </w:tcPr>
          <w:p w14:paraId="7567EB1E" w14:textId="77777777" w:rsidR="001622F9" w:rsidRPr="00D921B6" w:rsidRDefault="001622F9" w:rsidP="00D921B6">
            <w:pPr>
              <w:jc w:val="both"/>
              <w:rPr>
                <w:rFonts w:ascii="Calibri" w:hAnsi="Calibri"/>
              </w:rPr>
            </w:pPr>
            <w:r w:rsidRPr="00D921B6">
              <w:rPr>
                <w:rFonts w:ascii="Calibri" w:hAnsi="Calibri"/>
              </w:rPr>
              <w:t>BARRERA DE SEGURIDAD SIMPLE, CON NIVEL DE CONTENCIÓN H1, ANCHURA DE TRABAJO W5 O INFERIOR, DEFLEXIÓN DINÁMICA 1,20 m O INFERIOR, ÍNDICE DE SEVERIDAD A i/ CAPTAFAROS, POSTES, P.P. DE UNIONES, TORNILLERÍA Y ANCLAJES, TOTALMENTE INSTALADA.</w:t>
            </w:r>
            <w:r w:rsidRPr="00D921B6">
              <w:rPr>
                <w:rFonts w:ascii="Calibri" w:hAnsi="Calibri"/>
              </w:rPr>
              <w:br/>
            </w:r>
          </w:p>
        </w:tc>
      </w:tr>
      <w:tr w:rsidR="00F141F6" w:rsidRPr="00F141F6" w14:paraId="15E82A13" w14:textId="77777777" w:rsidTr="00F141F6">
        <w:trPr>
          <w:trHeight w:val="419"/>
        </w:trPr>
        <w:tc>
          <w:tcPr>
            <w:tcW w:w="617" w:type="pct"/>
            <w:noWrap/>
          </w:tcPr>
          <w:p w14:paraId="4231C1AA" w14:textId="77777777" w:rsidR="001622F9" w:rsidRPr="00D921B6" w:rsidRDefault="001622F9" w:rsidP="001622F9">
            <w:pPr>
              <w:rPr>
                <w:rFonts w:ascii="Calibri" w:hAnsi="Calibri"/>
              </w:rPr>
            </w:pPr>
            <w:r w:rsidRPr="00D921B6">
              <w:rPr>
                <w:rFonts w:ascii="Calibri" w:hAnsi="Calibri"/>
              </w:rPr>
              <w:t xml:space="preserve">704.0050N         </w:t>
            </w:r>
          </w:p>
        </w:tc>
        <w:tc>
          <w:tcPr>
            <w:tcW w:w="360" w:type="pct"/>
            <w:noWrap/>
          </w:tcPr>
          <w:p w14:paraId="09DF5BFF" w14:textId="77777777" w:rsidR="001622F9" w:rsidRPr="00D921B6" w:rsidRDefault="001622F9" w:rsidP="001622F9">
            <w:pPr>
              <w:rPr>
                <w:rFonts w:ascii="Calibri" w:hAnsi="Calibri"/>
              </w:rPr>
            </w:pPr>
            <w:r w:rsidRPr="00D921B6">
              <w:rPr>
                <w:rFonts w:ascii="Calibri" w:hAnsi="Calibri"/>
              </w:rPr>
              <w:t>m</w:t>
            </w:r>
          </w:p>
        </w:tc>
        <w:tc>
          <w:tcPr>
            <w:tcW w:w="4023" w:type="pct"/>
          </w:tcPr>
          <w:p w14:paraId="58D8F2D1" w14:textId="77777777" w:rsidR="001622F9" w:rsidRPr="00D921B6" w:rsidRDefault="001622F9" w:rsidP="00D921B6">
            <w:pPr>
              <w:jc w:val="both"/>
              <w:rPr>
                <w:rFonts w:ascii="Calibri" w:hAnsi="Calibri"/>
              </w:rPr>
            </w:pPr>
            <w:r w:rsidRPr="00D921B6">
              <w:rPr>
                <w:rFonts w:ascii="Calibri" w:hAnsi="Calibri"/>
              </w:rPr>
              <w:t xml:space="preserve">BARRERA DE SEGURIDAD SIMPLE, CON NIVEL DE CONTENCIÓN H1, ANCHURA DE TRABAJO W4 O INFERIOR, DEFLEXIÓN DINÁMICA 0,70 m O INFERIOR, ÍNDICE DE SEVERIDAD A i/ CAPTAFAROS, POSTES, P.P. DE UNIONES, TORNILLERÍA Y ANCLAJES, TOTALMENTE INSTALADA. </w:t>
            </w:r>
            <w:r w:rsidRPr="00D921B6">
              <w:rPr>
                <w:rFonts w:ascii="Calibri" w:hAnsi="Calibri"/>
              </w:rPr>
              <w:br/>
            </w:r>
          </w:p>
        </w:tc>
      </w:tr>
      <w:tr w:rsidR="00F141F6" w:rsidRPr="00F141F6" w14:paraId="6253ECB6" w14:textId="77777777" w:rsidTr="00F141F6">
        <w:trPr>
          <w:trHeight w:val="419"/>
        </w:trPr>
        <w:tc>
          <w:tcPr>
            <w:tcW w:w="617" w:type="pct"/>
            <w:noWrap/>
          </w:tcPr>
          <w:p w14:paraId="06A2CED5" w14:textId="77777777" w:rsidR="001622F9" w:rsidRPr="00D921B6" w:rsidRDefault="001622F9" w:rsidP="001622F9">
            <w:pPr>
              <w:rPr>
                <w:rFonts w:ascii="Calibri" w:hAnsi="Calibri"/>
              </w:rPr>
            </w:pPr>
            <w:r w:rsidRPr="00D921B6">
              <w:rPr>
                <w:rFonts w:ascii="Calibri" w:hAnsi="Calibri"/>
              </w:rPr>
              <w:t xml:space="preserve">704.0060N         </w:t>
            </w:r>
          </w:p>
        </w:tc>
        <w:tc>
          <w:tcPr>
            <w:tcW w:w="360" w:type="pct"/>
            <w:noWrap/>
          </w:tcPr>
          <w:p w14:paraId="2EE57023" w14:textId="77777777" w:rsidR="001622F9" w:rsidRPr="00D921B6" w:rsidRDefault="001622F9" w:rsidP="001622F9">
            <w:pPr>
              <w:rPr>
                <w:rFonts w:ascii="Calibri" w:hAnsi="Calibri"/>
              </w:rPr>
            </w:pPr>
            <w:r w:rsidRPr="00D921B6">
              <w:rPr>
                <w:rFonts w:ascii="Calibri" w:hAnsi="Calibri"/>
              </w:rPr>
              <w:t>m</w:t>
            </w:r>
          </w:p>
        </w:tc>
        <w:tc>
          <w:tcPr>
            <w:tcW w:w="4023" w:type="pct"/>
          </w:tcPr>
          <w:p w14:paraId="330BAF61" w14:textId="77777777" w:rsidR="001622F9" w:rsidRPr="00D921B6" w:rsidRDefault="001622F9" w:rsidP="00D921B6">
            <w:pPr>
              <w:jc w:val="both"/>
              <w:rPr>
                <w:rFonts w:ascii="Calibri" w:hAnsi="Calibri"/>
              </w:rPr>
            </w:pPr>
            <w:r w:rsidRPr="00D921B6">
              <w:rPr>
                <w:rFonts w:ascii="Calibri" w:hAnsi="Calibri"/>
              </w:rPr>
              <w:t>BARRERA DE SEGURIDAD SIMPLE, CON NIVEL DE CONTENCIÓN H2, ANCHURA DE TRABAJO W4 O INFERIOR, DEFLEXIÓN DINÁMICA 1,10 m O INFERIOR, ÍNDICE DE SEVERIDAD A i/ CAPTAFAROS, POSTES, P.P. DE UNIONES, TORNILLERÍA Y ANCLAJES, TOTALMENTE INSTALADA.</w:t>
            </w:r>
            <w:r w:rsidRPr="00D921B6">
              <w:rPr>
                <w:rFonts w:ascii="Calibri" w:hAnsi="Calibri"/>
              </w:rPr>
              <w:br/>
            </w:r>
          </w:p>
        </w:tc>
      </w:tr>
      <w:tr w:rsidR="00F141F6" w:rsidRPr="00F141F6" w14:paraId="1ED917E7" w14:textId="77777777" w:rsidTr="00F141F6">
        <w:trPr>
          <w:trHeight w:val="419"/>
        </w:trPr>
        <w:tc>
          <w:tcPr>
            <w:tcW w:w="617" w:type="pct"/>
            <w:noWrap/>
          </w:tcPr>
          <w:p w14:paraId="48ACDF1A" w14:textId="77777777" w:rsidR="001622F9" w:rsidRPr="00D921B6" w:rsidRDefault="001622F9" w:rsidP="001622F9">
            <w:pPr>
              <w:rPr>
                <w:rFonts w:ascii="Calibri" w:hAnsi="Calibri"/>
              </w:rPr>
            </w:pPr>
            <w:r w:rsidRPr="00D921B6">
              <w:rPr>
                <w:rFonts w:ascii="Calibri" w:hAnsi="Calibri"/>
              </w:rPr>
              <w:t xml:space="preserve">704.0070N         </w:t>
            </w:r>
          </w:p>
        </w:tc>
        <w:tc>
          <w:tcPr>
            <w:tcW w:w="360" w:type="pct"/>
            <w:noWrap/>
          </w:tcPr>
          <w:p w14:paraId="2AF7D23F" w14:textId="77777777" w:rsidR="001622F9" w:rsidRPr="00D921B6" w:rsidRDefault="001622F9" w:rsidP="001622F9">
            <w:pPr>
              <w:rPr>
                <w:rFonts w:ascii="Calibri" w:hAnsi="Calibri"/>
              </w:rPr>
            </w:pPr>
            <w:r w:rsidRPr="00D921B6">
              <w:rPr>
                <w:rFonts w:ascii="Calibri" w:hAnsi="Calibri"/>
              </w:rPr>
              <w:t>m</w:t>
            </w:r>
          </w:p>
        </w:tc>
        <w:tc>
          <w:tcPr>
            <w:tcW w:w="4023" w:type="pct"/>
          </w:tcPr>
          <w:p w14:paraId="004980A6" w14:textId="77777777" w:rsidR="001622F9" w:rsidRPr="00D921B6" w:rsidRDefault="00482F3D" w:rsidP="00D921B6">
            <w:pPr>
              <w:jc w:val="both"/>
              <w:rPr>
                <w:rFonts w:ascii="Calibri" w:hAnsi="Calibri"/>
              </w:rPr>
            </w:pPr>
            <w:r w:rsidRPr="00D921B6">
              <w:rPr>
                <w:rFonts w:ascii="Calibri" w:hAnsi="Calibri" w:cs="Calibri"/>
                <w:color w:val="000000"/>
              </w:rPr>
              <w:t>BARRERA DE SEGURIDAD SIMPLE CON SISTEMA PARA PROTECCIÓN DE MOTOCICLISTAS (SPM), CON NIVEL DE CONTENCIÓN N2, ANCHURA DE TRABAJO W5 O INFERIOR, DEFLEXIÓN DINÁMICA 1,40 m O INFERIOR, ÍNDICE DE SEVERIDAD A Y NIVEL DE SEVERIDAD I i/ CAPTAFAROS, POSTES, P.P. DE UNIONES, TORNILLERÍA Y ANCLAJES, TOTALMENTE INSTALADA.</w:t>
            </w:r>
            <w:r w:rsidRPr="00D921B6">
              <w:rPr>
                <w:rFonts w:ascii="Calibri" w:hAnsi="Calibri" w:cs="Calibri"/>
                <w:color w:val="000000"/>
              </w:rPr>
              <w:br/>
            </w:r>
          </w:p>
        </w:tc>
      </w:tr>
      <w:tr w:rsidR="00F141F6" w:rsidRPr="00F141F6" w14:paraId="64E09D47" w14:textId="77777777" w:rsidTr="00F141F6">
        <w:trPr>
          <w:trHeight w:val="419"/>
        </w:trPr>
        <w:tc>
          <w:tcPr>
            <w:tcW w:w="617" w:type="pct"/>
            <w:noWrap/>
          </w:tcPr>
          <w:p w14:paraId="0976CA38" w14:textId="77777777" w:rsidR="001622F9" w:rsidRPr="00D921B6" w:rsidRDefault="001622F9" w:rsidP="001622F9">
            <w:pPr>
              <w:rPr>
                <w:rFonts w:ascii="Calibri" w:hAnsi="Calibri"/>
              </w:rPr>
            </w:pPr>
            <w:r w:rsidRPr="00D921B6">
              <w:rPr>
                <w:rFonts w:ascii="Calibri" w:hAnsi="Calibri"/>
              </w:rPr>
              <w:t xml:space="preserve">704.0080          </w:t>
            </w:r>
          </w:p>
        </w:tc>
        <w:tc>
          <w:tcPr>
            <w:tcW w:w="360" w:type="pct"/>
            <w:noWrap/>
          </w:tcPr>
          <w:p w14:paraId="2D388B47" w14:textId="77777777" w:rsidR="001622F9" w:rsidRPr="00D921B6" w:rsidRDefault="001622F9" w:rsidP="001622F9">
            <w:pPr>
              <w:rPr>
                <w:rFonts w:ascii="Calibri" w:hAnsi="Calibri"/>
              </w:rPr>
            </w:pPr>
            <w:r w:rsidRPr="00D921B6">
              <w:rPr>
                <w:rFonts w:ascii="Calibri" w:hAnsi="Calibri"/>
              </w:rPr>
              <w:t>m</w:t>
            </w:r>
          </w:p>
        </w:tc>
        <w:tc>
          <w:tcPr>
            <w:tcW w:w="4023" w:type="pct"/>
          </w:tcPr>
          <w:p w14:paraId="6D4400D3" w14:textId="77777777" w:rsidR="001622F9" w:rsidRPr="00D921B6" w:rsidRDefault="001622F9" w:rsidP="00D921B6">
            <w:pPr>
              <w:jc w:val="both"/>
              <w:rPr>
                <w:rFonts w:ascii="Calibri" w:hAnsi="Calibri"/>
              </w:rPr>
            </w:pPr>
            <w:r w:rsidRPr="00D921B6">
              <w:rPr>
                <w:rFonts w:ascii="Calibri" w:hAnsi="Calibri"/>
              </w:rPr>
              <w:t>BARRERA DE SEGURIDAD SIMPLE CON SISTEMA PARA PROTECCIÓN DE MOTOCICLISTAS (SPM), CON NIVEL DE CONTENCIÓN N2, ANCHURA DE TRABAJO W4 O INFERIOR, DEFLEXIÓN DINÁMICA 1,20 m O INFERIOR, ÍNDICE DE SEVERIDAD A Y NIVEL DE SEVERIDAD I i/ CAPTAFAROS, POSTES, P.P. DE UNIONES, TORNILLERÍA Y ANCLAJES, TOTALMENTE INSTALADA.</w:t>
            </w:r>
            <w:r w:rsidRPr="00D921B6">
              <w:rPr>
                <w:rFonts w:ascii="Calibri" w:hAnsi="Calibri"/>
              </w:rPr>
              <w:br/>
            </w:r>
          </w:p>
        </w:tc>
      </w:tr>
      <w:tr w:rsidR="00F141F6" w:rsidRPr="00F141F6" w14:paraId="66B00B74" w14:textId="77777777" w:rsidTr="00F141F6">
        <w:trPr>
          <w:trHeight w:val="419"/>
        </w:trPr>
        <w:tc>
          <w:tcPr>
            <w:tcW w:w="617" w:type="pct"/>
            <w:noWrap/>
          </w:tcPr>
          <w:p w14:paraId="17FEAC19" w14:textId="77777777" w:rsidR="001622F9" w:rsidRPr="00D921B6" w:rsidRDefault="001622F9" w:rsidP="001622F9">
            <w:pPr>
              <w:rPr>
                <w:rFonts w:ascii="Calibri" w:hAnsi="Calibri"/>
              </w:rPr>
            </w:pPr>
            <w:r w:rsidRPr="00D921B6">
              <w:rPr>
                <w:rFonts w:ascii="Calibri" w:hAnsi="Calibri"/>
              </w:rPr>
              <w:t xml:space="preserve">704.0090N         </w:t>
            </w:r>
          </w:p>
        </w:tc>
        <w:tc>
          <w:tcPr>
            <w:tcW w:w="360" w:type="pct"/>
            <w:noWrap/>
          </w:tcPr>
          <w:p w14:paraId="201D05DD" w14:textId="77777777" w:rsidR="001622F9" w:rsidRPr="00D921B6" w:rsidRDefault="001622F9" w:rsidP="001622F9">
            <w:pPr>
              <w:rPr>
                <w:rFonts w:ascii="Calibri" w:hAnsi="Calibri"/>
              </w:rPr>
            </w:pPr>
            <w:r w:rsidRPr="00D921B6">
              <w:rPr>
                <w:rFonts w:ascii="Calibri" w:hAnsi="Calibri"/>
              </w:rPr>
              <w:t>m</w:t>
            </w:r>
          </w:p>
        </w:tc>
        <w:tc>
          <w:tcPr>
            <w:tcW w:w="4023" w:type="pct"/>
          </w:tcPr>
          <w:p w14:paraId="1476AD67" w14:textId="77777777" w:rsidR="001622F9" w:rsidRPr="00D921B6" w:rsidRDefault="001622F9" w:rsidP="00DE5E65">
            <w:pPr>
              <w:jc w:val="both"/>
              <w:rPr>
                <w:rFonts w:ascii="Calibri" w:hAnsi="Calibri"/>
              </w:rPr>
            </w:pPr>
            <w:r w:rsidRPr="00D921B6">
              <w:rPr>
                <w:rFonts w:ascii="Calibri" w:hAnsi="Calibri"/>
              </w:rPr>
              <w:t>BARRERA METALICA SIMPLE MOVIL DESMONTABLE PARA PASOS DE MEDIANA CON NIVEL DE CONTENCIÓN H2 ANCHURA DE TRABAJO W7, INCLUSO MATERIALES Y MEDIOS AUXILIARES NECESARIOS. TOTALMENTE TERMINADA</w:t>
            </w:r>
          </w:p>
          <w:p w14:paraId="27E71226" w14:textId="77777777" w:rsidR="001622F9" w:rsidRPr="00D921B6" w:rsidRDefault="001622F9" w:rsidP="00DE5E65">
            <w:pPr>
              <w:jc w:val="both"/>
              <w:rPr>
                <w:rFonts w:ascii="Calibri" w:hAnsi="Calibri"/>
              </w:rPr>
            </w:pPr>
          </w:p>
        </w:tc>
      </w:tr>
      <w:tr w:rsidR="00F141F6" w:rsidRPr="00F141F6" w14:paraId="63179F7B" w14:textId="77777777" w:rsidTr="00F141F6">
        <w:trPr>
          <w:trHeight w:val="419"/>
        </w:trPr>
        <w:tc>
          <w:tcPr>
            <w:tcW w:w="617" w:type="pct"/>
            <w:noWrap/>
          </w:tcPr>
          <w:p w14:paraId="0AB43E35" w14:textId="77777777" w:rsidR="001622F9" w:rsidRPr="00D921B6" w:rsidRDefault="001622F9" w:rsidP="001622F9">
            <w:pPr>
              <w:rPr>
                <w:rFonts w:ascii="Calibri" w:hAnsi="Calibri" w:cs="Calibri"/>
              </w:rPr>
            </w:pPr>
            <w:r w:rsidRPr="00D921B6">
              <w:rPr>
                <w:rFonts w:ascii="Calibri" w:hAnsi="Calibri" w:cs="Calibri"/>
              </w:rPr>
              <w:t xml:space="preserve">704.0140N         </w:t>
            </w:r>
          </w:p>
        </w:tc>
        <w:tc>
          <w:tcPr>
            <w:tcW w:w="360" w:type="pct"/>
            <w:noWrap/>
          </w:tcPr>
          <w:p w14:paraId="3FC31B4B" w14:textId="77777777" w:rsidR="001622F9" w:rsidRPr="00D921B6" w:rsidRDefault="001622F9" w:rsidP="001622F9">
            <w:pPr>
              <w:rPr>
                <w:rFonts w:ascii="Calibri" w:hAnsi="Calibri" w:cs="Calibri"/>
              </w:rPr>
            </w:pPr>
            <w:r w:rsidRPr="00D921B6">
              <w:rPr>
                <w:rFonts w:ascii="Calibri" w:hAnsi="Calibri" w:cs="Calibri"/>
              </w:rPr>
              <w:t>m</w:t>
            </w:r>
          </w:p>
        </w:tc>
        <w:tc>
          <w:tcPr>
            <w:tcW w:w="4023" w:type="pct"/>
          </w:tcPr>
          <w:p w14:paraId="3AFAF43F" w14:textId="77777777" w:rsidR="001622F9" w:rsidRDefault="001622F9" w:rsidP="00DE5E65">
            <w:pPr>
              <w:jc w:val="both"/>
              <w:rPr>
                <w:rFonts w:ascii="Calibri" w:hAnsi="Calibri" w:cs="Calibri"/>
              </w:rPr>
            </w:pPr>
            <w:r w:rsidRPr="00D921B6">
              <w:rPr>
                <w:rFonts w:ascii="Calibri" w:hAnsi="Calibri" w:cs="Calibri"/>
              </w:rPr>
              <w:t>SUMINISTRO Y COLOCACIÓN DE TERMINAL "COLA DE PEZ" PARA BARRERA BIONDA, INCLUSO TORNILLERÍA Y ACCESORIOS DE FIJACIÓN.</w:t>
            </w:r>
          </w:p>
          <w:p w14:paraId="4878F339" w14:textId="77777777" w:rsidR="00D921B6" w:rsidRPr="00D921B6" w:rsidRDefault="00D921B6" w:rsidP="00DE5E65">
            <w:pPr>
              <w:jc w:val="both"/>
              <w:rPr>
                <w:rFonts w:ascii="Calibri" w:hAnsi="Calibri" w:cs="Calibri"/>
              </w:rPr>
            </w:pPr>
          </w:p>
        </w:tc>
      </w:tr>
    </w:tbl>
    <w:p w14:paraId="1C4E205B" w14:textId="77777777" w:rsidR="001622F9" w:rsidRPr="00F141F6" w:rsidRDefault="001622F9" w:rsidP="001622F9">
      <w:pPr>
        <w:pStyle w:val="NORMAL12"/>
      </w:pPr>
      <w:r w:rsidRPr="00F141F6">
        <w:t>Los materiales, proceso de fabricación y control de calidad seguirá las prescripciones de las normas UNE y UNE-EN siguientes:</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07"/>
        <w:gridCol w:w="6847"/>
      </w:tblGrid>
      <w:tr w:rsidR="0026100C" w:rsidRPr="00F141F6" w14:paraId="250E84B1" w14:textId="77777777" w:rsidTr="0026100C">
        <w:tc>
          <w:tcPr>
            <w:tcW w:w="5000" w:type="pct"/>
            <w:gridSpan w:val="2"/>
            <w:tcBorders>
              <w:top w:val="single" w:sz="4" w:space="0" w:color="auto"/>
              <w:bottom w:val="single" w:sz="4" w:space="0" w:color="auto"/>
            </w:tcBorders>
            <w:shd w:val="clear" w:color="auto" w:fill="D9D9D9" w:themeFill="background1" w:themeFillShade="D9"/>
          </w:tcPr>
          <w:p w14:paraId="7C3C0165" w14:textId="77777777" w:rsidR="0026100C" w:rsidRPr="0026100C" w:rsidRDefault="0026100C" w:rsidP="007B5873">
            <w:pPr>
              <w:pStyle w:val="LCATabla"/>
              <w:jc w:val="center"/>
              <w:rPr>
                <w:rFonts w:ascii="Arial" w:hAnsi="Arial" w:cs="Arial"/>
                <w:b/>
                <w:sz w:val="20"/>
                <w:lang w:val="es-ES_tradnl" w:eastAsia="en-US"/>
              </w:rPr>
            </w:pPr>
            <w:r w:rsidRPr="0026100C">
              <w:rPr>
                <w:rFonts w:ascii="Arial" w:hAnsi="Arial" w:cs="Arial"/>
                <w:b/>
              </w:rPr>
              <w:t>N</w:t>
            </w:r>
            <w:r w:rsidR="007B5873">
              <w:rPr>
                <w:rFonts w:ascii="Arial" w:hAnsi="Arial" w:cs="Arial"/>
                <w:b/>
              </w:rPr>
              <w:t>ormas</w:t>
            </w:r>
            <w:r w:rsidRPr="0026100C">
              <w:rPr>
                <w:rFonts w:ascii="Arial" w:hAnsi="Arial" w:cs="Arial"/>
                <w:b/>
              </w:rPr>
              <w:t xml:space="preserve"> UNE-EN</w:t>
            </w:r>
          </w:p>
        </w:tc>
      </w:tr>
      <w:tr w:rsidR="00F141F6" w:rsidRPr="00F141F6" w14:paraId="4A7A19F1" w14:textId="77777777" w:rsidTr="0026100C">
        <w:tc>
          <w:tcPr>
            <w:tcW w:w="1526" w:type="pct"/>
            <w:tcBorders>
              <w:top w:val="single" w:sz="4" w:space="0" w:color="auto"/>
            </w:tcBorders>
            <w:hideMark/>
          </w:tcPr>
          <w:p w14:paraId="39053DA9" w14:textId="77777777" w:rsidR="001622F9" w:rsidRPr="00F141F6" w:rsidRDefault="001622F9" w:rsidP="001622F9">
            <w:pPr>
              <w:pStyle w:val="LCATabla"/>
              <w:rPr>
                <w:rFonts w:ascii="Arial" w:hAnsi="Arial" w:cs="Arial"/>
                <w:b/>
                <w:bCs/>
                <w:sz w:val="20"/>
              </w:rPr>
            </w:pPr>
            <w:r w:rsidRPr="00F141F6">
              <w:rPr>
                <w:rFonts w:ascii="Arial" w:hAnsi="Arial" w:cs="Arial"/>
                <w:b/>
                <w:bCs/>
                <w:sz w:val="20"/>
              </w:rPr>
              <w:t>UNE-EN 1317-1: 2011</w:t>
            </w:r>
          </w:p>
        </w:tc>
        <w:tc>
          <w:tcPr>
            <w:tcW w:w="3474" w:type="pct"/>
            <w:tcBorders>
              <w:top w:val="single" w:sz="4" w:space="0" w:color="auto"/>
            </w:tcBorders>
            <w:hideMark/>
          </w:tcPr>
          <w:p w14:paraId="191B618D" w14:textId="77777777" w:rsidR="001622F9" w:rsidRPr="00F141F6" w:rsidRDefault="001622F9" w:rsidP="001622F9">
            <w:pPr>
              <w:pStyle w:val="LCATabla"/>
              <w:jc w:val="both"/>
              <w:rPr>
                <w:rFonts w:ascii="Arial" w:hAnsi="Arial" w:cs="Arial"/>
                <w:sz w:val="20"/>
              </w:rPr>
            </w:pPr>
            <w:r w:rsidRPr="00F141F6">
              <w:rPr>
                <w:rFonts w:ascii="Arial" w:hAnsi="Arial" w:cs="Arial"/>
                <w:sz w:val="20"/>
                <w:lang w:val="es-ES_tradnl" w:eastAsia="en-US"/>
              </w:rPr>
              <w:t>Sistemas de contención para carreteras.</w:t>
            </w:r>
            <w:r w:rsidRPr="00F141F6">
              <w:rPr>
                <w:rFonts w:ascii="Arial" w:hAnsi="Arial" w:cs="Arial"/>
                <w:sz w:val="20"/>
                <w:lang w:val="es-ES_tradnl" w:eastAsia="en-US"/>
              </w:rPr>
              <w:br/>
              <w:t>Parte 1: Terminología y criterios generales para los métodos de ensayo</w:t>
            </w:r>
          </w:p>
        </w:tc>
      </w:tr>
      <w:tr w:rsidR="00F141F6" w:rsidRPr="00F141F6" w14:paraId="0DB6E267" w14:textId="77777777" w:rsidTr="0026100C">
        <w:tc>
          <w:tcPr>
            <w:tcW w:w="1526" w:type="pct"/>
            <w:hideMark/>
          </w:tcPr>
          <w:p w14:paraId="49420379" w14:textId="77777777" w:rsidR="001622F9" w:rsidRPr="00F141F6" w:rsidRDefault="001622F9" w:rsidP="001622F9">
            <w:pPr>
              <w:pStyle w:val="LCATabla"/>
              <w:rPr>
                <w:rFonts w:ascii="Arial" w:hAnsi="Arial" w:cs="Arial"/>
                <w:b/>
                <w:bCs/>
                <w:sz w:val="20"/>
              </w:rPr>
            </w:pPr>
            <w:r w:rsidRPr="00F141F6">
              <w:rPr>
                <w:rFonts w:ascii="Arial" w:hAnsi="Arial" w:cs="Arial"/>
                <w:b/>
                <w:bCs/>
                <w:sz w:val="20"/>
              </w:rPr>
              <w:t xml:space="preserve">UNE-EN 1317-2: 2011 </w:t>
            </w:r>
          </w:p>
        </w:tc>
        <w:tc>
          <w:tcPr>
            <w:tcW w:w="3474" w:type="pct"/>
            <w:hideMark/>
          </w:tcPr>
          <w:p w14:paraId="048C1965" w14:textId="77777777" w:rsidR="001622F9" w:rsidRPr="00F141F6" w:rsidRDefault="001622F9" w:rsidP="001622F9">
            <w:pPr>
              <w:pStyle w:val="LCATabla"/>
              <w:jc w:val="both"/>
              <w:rPr>
                <w:rFonts w:ascii="Arial" w:hAnsi="Arial" w:cs="Arial"/>
                <w:sz w:val="20"/>
              </w:rPr>
            </w:pPr>
            <w:r w:rsidRPr="00F141F6">
              <w:rPr>
                <w:rFonts w:ascii="Arial" w:hAnsi="Arial" w:cs="Arial"/>
                <w:sz w:val="20"/>
              </w:rPr>
              <w:t>Sistemas de contención para carreteras.</w:t>
            </w:r>
            <w:r w:rsidRPr="00F141F6">
              <w:rPr>
                <w:rFonts w:ascii="Arial" w:hAnsi="Arial" w:cs="Arial"/>
                <w:sz w:val="20"/>
              </w:rPr>
              <w:br/>
              <w:t>Parte 2: Clases de comportamiento, criterios de aceptación para el ensayo de choque y métodos de ensayo para barreras de seguridad.</w:t>
            </w:r>
          </w:p>
        </w:tc>
      </w:tr>
      <w:tr w:rsidR="00F141F6" w:rsidRPr="00F141F6" w14:paraId="5909C3B7" w14:textId="77777777" w:rsidTr="0026100C">
        <w:tc>
          <w:tcPr>
            <w:tcW w:w="1526" w:type="pct"/>
            <w:hideMark/>
          </w:tcPr>
          <w:p w14:paraId="3C18516D" w14:textId="77777777" w:rsidR="001622F9" w:rsidRPr="00F141F6" w:rsidRDefault="001622F9" w:rsidP="001622F9">
            <w:pPr>
              <w:pStyle w:val="LCATabla"/>
              <w:rPr>
                <w:rFonts w:ascii="Arial" w:hAnsi="Arial" w:cs="Arial"/>
                <w:b/>
                <w:bCs/>
                <w:sz w:val="20"/>
              </w:rPr>
            </w:pPr>
            <w:r w:rsidRPr="00F141F6">
              <w:rPr>
                <w:rFonts w:ascii="Arial" w:hAnsi="Arial" w:cs="Arial"/>
                <w:b/>
                <w:bCs/>
                <w:sz w:val="20"/>
              </w:rPr>
              <w:t>UNE-EN 1317-3: 2011</w:t>
            </w:r>
          </w:p>
        </w:tc>
        <w:tc>
          <w:tcPr>
            <w:tcW w:w="3474" w:type="pct"/>
            <w:hideMark/>
          </w:tcPr>
          <w:p w14:paraId="0BF88B6E" w14:textId="77777777" w:rsidR="001622F9" w:rsidRPr="00F141F6" w:rsidRDefault="001622F9" w:rsidP="001622F9">
            <w:pPr>
              <w:pStyle w:val="LCATabla"/>
              <w:rPr>
                <w:rFonts w:ascii="Arial" w:hAnsi="Arial" w:cs="Arial"/>
                <w:sz w:val="20"/>
              </w:rPr>
            </w:pPr>
            <w:r w:rsidRPr="00F141F6">
              <w:rPr>
                <w:rFonts w:ascii="Arial" w:hAnsi="Arial" w:cs="Arial"/>
                <w:sz w:val="20"/>
              </w:rPr>
              <w:t>Sistemas de contención para carreteras.</w:t>
            </w:r>
            <w:r w:rsidRPr="00F141F6">
              <w:rPr>
                <w:rFonts w:ascii="Arial" w:hAnsi="Arial" w:cs="Arial"/>
                <w:sz w:val="20"/>
              </w:rPr>
              <w:br/>
              <w:t>Parte 3: Clases de comportamiento, criterios de aceptación para el ensayo de choque y métodos de ensayo para atenuadores de impactos.</w:t>
            </w:r>
          </w:p>
        </w:tc>
      </w:tr>
      <w:tr w:rsidR="00F141F6" w:rsidRPr="00F141F6" w14:paraId="529E1D5F" w14:textId="77777777" w:rsidTr="0026100C">
        <w:tc>
          <w:tcPr>
            <w:tcW w:w="1526" w:type="pct"/>
            <w:hideMark/>
          </w:tcPr>
          <w:p w14:paraId="66A62BA1" w14:textId="77777777" w:rsidR="001622F9" w:rsidRPr="00F141F6" w:rsidRDefault="001622F9" w:rsidP="001622F9">
            <w:pPr>
              <w:pStyle w:val="LCATabla"/>
              <w:rPr>
                <w:rFonts w:ascii="Arial" w:hAnsi="Arial" w:cs="Arial"/>
                <w:b/>
                <w:bCs/>
                <w:sz w:val="20"/>
              </w:rPr>
            </w:pPr>
            <w:r w:rsidRPr="00F141F6">
              <w:rPr>
                <w:rFonts w:ascii="Arial" w:hAnsi="Arial" w:cs="Arial"/>
                <w:b/>
                <w:bCs/>
                <w:sz w:val="20"/>
              </w:rPr>
              <w:t>UNE-ENV 1317-4: 2002</w:t>
            </w:r>
          </w:p>
        </w:tc>
        <w:tc>
          <w:tcPr>
            <w:tcW w:w="3474" w:type="pct"/>
            <w:hideMark/>
          </w:tcPr>
          <w:p w14:paraId="0FE4ABC3" w14:textId="77777777" w:rsidR="001622F9" w:rsidRPr="00F141F6" w:rsidRDefault="001622F9" w:rsidP="001622F9">
            <w:pPr>
              <w:pStyle w:val="LCATabla"/>
              <w:rPr>
                <w:rFonts w:ascii="Arial" w:hAnsi="Arial" w:cs="Arial"/>
                <w:sz w:val="20"/>
              </w:rPr>
            </w:pPr>
            <w:r w:rsidRPr="00F141F6">
              <w:rPr>
                <w:rFonts w:ascii="Arial" w:hAnsi="Arial" w:cs="Arial"/>
                <w:sz w:val="20"/>
              </w:rPr>
              <w:t>Sistemas de contención para carreteras.</w:t>
            </w:r>
            <w:r w:rsidRPr="00F141F6">
              <w:rPr>
                <w:rFonts w:ascii="Arial" w:hAnsi="Arial" w:cs="Arial"/>
                <w:sz w:val="20"/>
              </w:rPr>
              <w:br/>
              <w:t>Parte 4: Clases de comportamiento, criterios de aceptación para el ensayo de choque y métodos de ensayo para terminales y transiciones de barreras de seguridad.</w:t>
            </w:r>
          </w:p>
        </w:tc>
      </w:tr>
      <w:tr w:rsidR="00F141F6" w:rsidRPr="00F141F6" w14:paraId="26B53D0D" w14:textId="77777777" w:rsidTr="0026100C">
        <w:tc>
          <w:tcPr>
            <w:tcW w:w="1526" w:type="pct"/>
            <w:hideMark/>
          </w:tcPr>
          <w:p w14:paraId="16D9B4EF" w14:textId="77777777" w:rsidR="001622F9" w:rsidRPr="00F141F6" w:rsidRDefault="001622F9" w:rsidP="001622F9">
            <w:pPr>
              <w:pStyle w:val="LCATabla"/>
              <w:rPr>
                <w:rFonts w:ascii="Arial" w:hAnsi="Arial" w:cs="Arial"/>
                <w:b/>
                <w:bCs/>
                <w:sz w:val="20"/>
              </w:rPr>
            </w:pPr>
            <w:r w:rsidRPr="00F141F6">
              <w:rPr>
                <w:rFonts w:ascii="Arial" w:hAnsi="Arial" w:cs="Arial"/>
                <w:b/>
                <w:bCs/>
                <w:sz w:val="20"/>
              </w:rPr>
              <w:t>UNE-EN 1317-5: 2008+A2: 2012</w:t>
            </w:r>
          </w:p>
        </w:tc>
        <w:tc>
          <w:tcPr>
            <w:tcW w:w="3474" w:type="pct"/>
            <w:hideMark/>
          </w:tcPr>
          <w:p w14:paraId="38FEEC1F" w14:textId="77777777" w:rsidR="001622F9" w:rsidRPr="00F141F6" w:rsidRDefault="001622F9" w:rsidP="001622F9">
            <w:pPr>
              <w:pStyle w:val="LCATabla"/>
              <w:rPr>
                <w:rFonts w:ascii="Arial" w:hAnsi="Arial" w:cs="Arial"/>
                <w:sz w:val="20"/>
              </w:rPr>
            </w:pPr>
            <w:r w:rsidRPr="00F141F6">
              <w:rPr>
                <w:rFonts w:ascii="Arial" w:hAnsi="Arial" w:cs="Arial"/>
                <w:sz w:val="20"/>
              </w:rPr>
              <w:t>Sistemas de contención para carreteras.</w:t>
            </w:r>
            <w:r w:rsidRPr="00F141F6">
              <w:rPr>
                <w:rFonts w:ascii="Arial" w:hAnsi="Arial" w:cs="Arial"/>
                <w:sz w:val="20"/>
              </w:rPr>
              <w:br/>
              <w:t>Parte 5: Requisitos de producto y evaluación de la conformidad para sistemas de contención de vehículos.</w:t>
            </w:r>
          </w:p>
        </w:tc>
      </w:tr>
    </w:tbl>
    <w:p w14:paraId="11F3E2C2" w14:textId="77777777" w:rsidR="001622F9" w:rsidRPr="00F141F6" w:rsidRDefault="001622F9" w:rsidP="000313DD">
      <w:pPr>
        <w:pStyle w:val="TITU2"/>
      </w:pPr>
      <w:r w:rsidRPr="00F141F6">
        <w:t> </w:t>
      </w:r>
      <w:bookmarkStart w:id="1145" w:name="_Toc404598"/>
      <w:r w:rsidRPr="00F141F6">
        <w:t>704.2. Tipos</w:t>
      </w:r>
      <w:bookmarkEnd w:id="1145"/>
    </w:p>
    <w:p w14:paraId="544EE772" w14:textId="77777777" w:rsidR="001622F9" w:rsidRPr="00F141F6" w:rsidRDefault="001622F9" w:rsidP="001622F9">
      <w:pPr>
        <w:pStyle w:val="NORMAL12"/>
      </w:pPr>
      <w:r w:rsidRPr="00F141F6">
        <w:t>Al ya haber entrado en vigor la obligatoriedad del marcado CE para las barreras de seguridad, sólo podrán disponerse barreras que cuenten con el marcado, al ser éste un requisito obligatorio para la comercialización del producto en el ámbito de la Unión Europea.</w:t>
      </w:r>
    </w:p>
    <w:p w14:paraId="7211D861" w14:textId="77777777" w:rsidR="001622F9" w:rsidRDefault="001622F9" w:rsidP="001622F9">
      <w:pPr>
        <w:pStyle w:val="NORMAL12"/>
      </w:pPr>
      <w:r w:rsidRPr="00F141F6">
        <w:t>El marcado CE es un certificado de conformidad prestacional, y no es sustitutivo, por ello, de los sellos de calidad.</w:t>
      </w:r>
    </w:p>
    <w:p w14:paraId="31A6E485" w14:textId="77777777" w:rsidR="00C240C4" w:rsidRDefault="00C240C4" w:rsidP="001622F9">
      <w:pPr>
        <w:pStyle w:val="NORMAL12"/>
      </w:pPr>
      <w:r>
        <w:lastRenderedPageBreak/>
        <w:t xml:space="preserve">El tipo de barrera empleado en cada caso debe cumplir las condiciones especificadas en la </w:t>
      </w:r>
      <w:r w:rsidR="00B81363">
        <w:t xml:space="preserve">definición de la </w:t>
      </w:r>
      <w:r>
        <w:t>unidad.</w:t>
      </w:r>
    </w:p>
    <w:p w14:paraId="6A998FB7" w14:textId="77777777" w:rsidR="00B81363" w:rsidRPr="00B81363" w:rsidRDefault="00B81363" w:rsidP="00B81363">
      <w:pPr>
        <w:pStyle w:val="NORMAL12"/>
      </w:pPr>
      <w:r w:rsidRPr="00B81363">
        <w:t xml:space="preserve">Las barreras de seguridad y pretiles se clasifican, según el comportamiento del sistema, de acuerdo con los criterios, parámetros y clases definidos en las normas UNE-EN 1317-1 y UNE-EN 1317-2. </w:t>
      </w:r>
    </w:p>
    <w:p w14:paraId="202B51AC" w14:textId="77777777" w:rsidR="00B81363" w:rsidRDefault="00B81363" w:rsidP="00B81363">
      <w:pPr>
        <w:pStyle w:val="NORMAL12"/>
      </w:pPr>
      <w:r w:rsidRPr="00B81363">
        <w:t xml:space="preserve">Según su geometría y funcionalidad las barreras se clasifican en simples y dobles, en función de que sean aptas para el choque por uno o por ambos de sus lados. </w:t>
      </w:r>
    </w:p>
    <w:p w14:paraId="38E9066E" w14:textId="77777777" w:rsidR="00B81363" w:rsidRPr="00B81363" w:rsidRDefault="00B81363" w:rsidP="00B81363">
      <w:pPr>
        <w:pStyle w:val="NORMAL12"/>
      </w:pPr>
      <w:r w:rsidRPr="00B81363">
        <w:t>Los sistemas para protección de moto</w:t>
      </w:r>
      <w:r>
        <w:t xml:space="preserve"> </w:t>
      </w:r>
      <w:r w:rsidRPr="00B81363">
        <w:t xml:space="preserve">ciclistas se clasifican, según </w:t>
      </w:r>
      <w:proofErr w:type="gramStart"/>
      <w:r w:rsidRPr="00B81363">
        <w:t xml:space="preserve">su </w:t>
      </w:r>
      <w:r>
        <w:t xml:space="preserve"> </w:t>
      </w:r>
      <w:r w:rsidRPr="00B81363">
        <w:t>comportamiento</w:t>
      </w:r>
      <w:proofErr w:type="gramEnd"/>
      <w:r w:rsidRPr="00B81363">
        <w:t xml:space="preserve">, de acuerdo con los criterios, parámetros y clases definidos en la norma UNE 135900. </w:t>
      </w:r>
    </w:p>
    <w:p w14:paraId="5EA886B8" w14:textId="77777777" w:rsidR="001622F9" w:rsidRPr="00F141F6" w:rsidRDefault="001622F9" w:rsidP="000313DD">
      <w:pPr>
        <w:pStyle w:val="TITU2"/>
      </w:pPr>
      <w:bookmarkStart w:id="1146" w:name="_Toc404599"/>
      <w:r w:rsidRPr="00F141F6">
        <w:t>704.3. Materiales y componentes</w:t>
      </w:r>
      <w:bookmarkEnd w:id="1146"/>
    </w:p>
    <w:p w14:paraId="02453C1B" w14:textId="77777777" w:rsidR="001622F9" w:rsidRPr="00F141F6" w:rsidRDefault="001622F9" w:rsidP="001622F9">
      <w:pPr>
        <w:pStyle w:val="NORMAL12"/>
      </w:pPr>
      <w:r w:rsidRPr="00F141F6">
        <w:t>Los materiales cumplirán las especificaciones del artículo 704 del PG-3 y de la relación anterior de normas UNE y UNE-EN que resulten de aplicación.</w:t>
      </w:r>
    </w:p>
    <w:p w14:paraId="351F8391" w14:textId="77777777" w:rsidR="00F141F6" w:rsidRPr="00F141F6" w:rsidRDefault="00F141F6" w:rsidP="001622F9">
      <w:pPr>
        <w:pStyle w:val="NORMAL12"/>
      </w:pPr>
      <w:r w:rsidRPr="00F141F6">
        <w:t>Cada barrera de seguridad metálica cumplirá con los parámetros establecidos en la definición de la unidad en cuando a los parámetros siguientes:</w:t>
      </w:r>
    </w:p>
    <w:p w14:paraId="15072E84" w14:textId="77777777" w:rsidR="00F141F6" w:rsidRPr="00F141F6" w:rsidRDefault="00F141F6" w:rsidP="000313DD">
      <w:pPr>
        <w:pStyle w:val="NORMAL12"/>
        <w:numPr>
          <w:ilvl w:val="0"/>
          <w:numId w:val="229"/>
        </w:numPr>
      </w:pPr>
      <w:r w:rsidRPr="00F141F6">
        <w:t>El nivel de contención</w:t>
      </w:r>
    </w:p>
    <w:p w14:paraId="4F904A74" w14:textId="77777777" w:rsidR="00F141F6" w:rsidRPr="00F141F6" w:rsidRDefault="00F141F6" w:rsidP="000313DD">
      <w:pPr>
        <w:pStyle w:val="NORMAL12"/>
        <w:numPr>
          <w:ilvl w:val="0"/>
          <w:numId w:val="229"/>
        </w:numPr>
      </w:pPr>
      <w:r w:rsidRPr="00F141F6">
        <w:t>Anchura de trabajo</w:t>
      </w:r>
    </w:p>
    <w:p w14:paraId="6D852F6F" w14:textId="77777777" w:rsidR="00F141F6" w:rsidRPr="00F141F6" w:rsidRDefault="00F141F6" w:rsidP="000313DD">
      <w:pPr>
        <w:pStyle w:val="NORMAL12"/>
        <w:numPr>
          <w:ilvl w:val="0"/>
          <w:numId w:val="229"/>
        </w:numPr>
      </w:pPr>
      <w:r w:rsidRPr="00F141F6">
        <w:t>Deflexión dinámica</w:t>
      </w:r>
    </w:p>
    <w:p w14:paraId="2979B9B9" w14:textId="77777777" w:rsidR="00F141F6" w:rsidRPr="00F141F6" w:rsidRDefault="00F141F6" w:rsidP="000313DD">
      <w:pPr>
        <w:pStyle w:val="NORMAL12"/>
        <w:numPr>
          <w:ilvl w:val="0"/>
          <w:numId w:val="229"/>
        </w:numPr>
      </w:pPr>
      <w:proofErr w:type="spellStart"/>
      <w:r w:rsidRPr="00F141F6">
        <w:t>Indice</w:t>
      </w:r>
      <w:proofErr w:type="spellEnd"/>
      <w:r w:rsidRPr="00F141F6">
        <w:t xml:space="preserve"> de severidad</w:t>
      </w:r>
    </w:p>
    <w:p w14:paraId="3DD6C68C" w14:textId="77777777" w:rsidR="001622F9" w:rsidRPr="00F141F6" w:rsidRDefault="001622F9" w:rsidP="000313DD">
      <w:pPr>
        <w:pStyle w:val="TITU2"/>
      </w:pPr>
      <w:bookmarkStart w:id="1147" w:name="_Toc404600"/>
      <w:r w:rsidRPr="00F141F6">
        <w:t>704.4. Ejecución</w:t>
      </w:r>
      <w:r w:rsidR="00036C21">
        <w:t xml:space="preserve"> de las obras</w:t>
      </w:r>
      <w:bookmarkEnd w:id="1147"/>
    </w:p>
    <w:p w14:paraId="738BC89D" w14:textId="77777777" w:rsidR="001622F9" w:rsidRPr="00F141F6" w:rsidRDefault="001622F9" w:rsidP="001622F9">
      <w:pPr>
        <w:pStyle w:val="NORMAL12"/>
      </w:pPr>
      <w:proofErr w:type="gramStart"/>
      <w:r w:rsidRPr="00F141F6">
        <w:t>Las barreras metálicas a emplear</w:t>
      </w:r>
      <w:proofErr w:type="gramEnd"/>
      <w:r w:rsidRPr="00F141F6">
        <w:t xml:space="preserve"> en este proyecto serán las dispuestas según la Orden Circular 35/2014 Sobre </w:t>
      </w:r>
      <w:r w:rsidR="00F141F6" w:rsidRPr="00F141F6">
        <w:t>c</w:t>
      </w:r>
      <w:r w:rsidRPr="00F141F6">
        <w:t xml:space="preserve">riterios </w:t>
      </w:r>
      <w:r w:rsidR="00F141F6" w:rsidRPr="00F141F6">
        <w:t>d</w:t>
      </w:r>
      <w:r w:rsidRPr="00F141F6">
        <w:t xml:space="preserve">e </w:t>
      </w:r>
      <w:r w:rsidR="00F141F6" w:rsidRPr="00F141F6">
        <w:t>a</w:t>
      </w:r>
      <w:r w:rsidRPr="00F141F6">
        <w:t xml:space="preserve">plicación </w:t>
      </w:r>
      <w:r w:rsidR="00F141F6" w:rsidRPr="00F141F6">
        <w:t>d</w:t>
      </w:r>
      <w:r w:rsidRPr="00F141F6">
        <w:t xml:space="preserve">e </w:t>
      </w:r>
      <w:r w:rsidR="00F141F6" w:rsidRPr="00F141F6">
        <w:t>s</w:t>
      </w:r>
      <w:r w:rsidRPr="00F141F6">
        <w:t xml:space="preserve">istemas </w:t>
      </w:r>
      <w:r w:rsidR="00F141F6" w:rsidRPr="00F141F6">
        <w:t>d</w:t>
      </w:r>
      <w:r w:rsidRPr="00F141F6">
        <w:t xml:space="preserve">e </w:t>
      </w:r>
      <w:r w:rsidR="00F141F6" w:rsidRPr="00F141F6">
        <w:t>c</w:t>
      </w:r>
      <w:r w:rsidRPr="00F141F6">
        <w:t xml:space="preserve">ontención </w:t>
      </w:r>
      <w:r w:rsidR="00F141F6" w:rsidRPr="00F141F6">
        <w:t>d</w:t>
      </w:r>
      <w:r w:rsidRPr="00F141F6">
        <w:t xml:space="preserve">e </w:t>
      </w:r>
      <w:r w:rsidR="00F141F6" w:rsidRPr="00F141F6">
        <w:t>v</w:t>
      </w:r>
      <w:r w:rsidRPr="00F141F6">
        <w:t>ehículos o bien dispondrán de un marcado CE otorgado por un organismo de certificación acreditado en España y que esté reconocido por el Ministerio de Fomento.</w:t>
      </w:r>
    </w:p>
    <w:p w14:paraId="549C347B" w14:textId="77777777" w:rsidR="001622F9" w:rsidRPr="00F141F6" w:rsidRDefault="001622F9" w:rsidP="001622F9">
      <w:pPr>
        <w:pStyle w:val="NORMAL12"/>
      </w:pPr>
      <w:r w:rsidRPr="00F141F6">
        <w:t xml:space="preserve">El Contratista comunicará por escrito al </w:t>
      </w:r>
      <w:proofErr w:type="gramStart"/>
      <w:r w:rsidRPr="00F141F6">
        <w:t>Director</w:t>
      </w:r>
      <w:proofErr w:type="gramEnd"/>
      <w:r w:rsidRPr="00F141F6">
        <w:t xml:space="preserve"> de Obra, con suficiente antelación antes del comienzo de la ejecución de la colocación de las barreras la relación de las empresas suministradoras y de barrera móvil a utilizar, con indicación de la marca comercial y referencia que las empresas suministradoras den a ese sistema.</w:t>
      </w:r>
    </w:p>
    <w:p w14:paraId="07963FDC" w14:textId="77777777" w:rsidR="001622F9" w:rsidRPr="00F141F6" w:rsidRDefault="001622F9" w:rsidP="001622F9">
      <w:pPr>
        <w:pStyle w:val="NORMAL12"/>
      </w:pPr>
      <w:r w:rsidRPr="00F141F6">
        <w:t xml:space="preserve">Se adjuntará al comunicado las especificaciones técnicas de la barrera a emplear. Se adjuntará asimismo el certificado de calidad en posesión del suministrador, que acredita </w:t>
      </w:r>
      <w:r w:rsidRPr="00F141F6">
        <w:t xml:space="preserve">que las barreras cumplen con la normativa UNE y UNE-EN de aplicación y, en consecuencia, con las especificaciones técnicas de este Pliego. </w:t>
      </w:r>
    </w:p>
    <w:p w14:paraId="2A1C80FD" w14:textId="77777777" w:rsidR="001622F9" w:rsidRPr="00F141F6" w:rsidRDefault="001622F9" w:rsidP="001622F9">
      <w:pPr>
        <w:pStyle w:val="NORMAL12"/>
      </w:pPr>
      <w:r w:rsidRPr="00F141F6">
        <w:t>La instalación de las barreras metálicas se realizará prestando especial atención a los requerimientos recogidos en la Orden circular 35/2014.</w:t>
      </w:r>
    </w:p>
    <w:p w14:paraId="228D27E1" w14:textId="77777777" w:rsidR="001622F9" w:rsidRPr="00F141F6" w:rsidRDefault="001622F9" w:rsidP="001622F9">
      <w:pPr>
        <w:pStyle w:val="NORMAL12"/>
      </w:pPr>
      <w:r w:rsidRPr="00F141F6">
        <w:t xml:space="preserve">Antes de comenzar la instalación de las barreras, el Contratista comprobará, tras el replanteo de las barreras, que se cumplen íntegramente todos los requisitos de disposición requeridos en la Orden Circular 35/2014 apartado 6. </w:t>
      </w:r>
    </w:p>
    <w:p w14:paraId="1C3F9E89" w14:textId="77777777" w:rsidR="001622F9" w:rsidRDefault="001622F9" w:rsidP="001622F9">
      <w:pPr>
        <w:pStyle w:val="NORMAL12"/>
      </w:pPr>
      <w:r w:rsidRPr="00F141F6">
        <w:t xml:space="preserve">Si alguno de estos requisitos no se cumpliera con la disposición prevista en los planos del proyecto, el Contratista informará al </w:t>
      </w:r>
      <w:proofErr w:type="gramStart"/>
      <w:r w:rsidRPr="00F141F6">
        <w:t>Director</w:t>
      </w:r>
      <w:proofErr w:type="gramEnd"/>
      <w:r w:rsidRPr="00F141F6">
        <w:t xml:space="preserve"> de Obra para que éste ordene las actuaciones oportunas para dar cumplimiento al requisito. Es, por tanto, responsabilidad del Contratista realizar una revisión minuciosa de las disposiciones previstas en proyecto, cotejándolas con los datos de replanteo en campo, para garantizar que las barreras instaladas satisfarán plenamente los requisitos que seguidamente se relacionan.</w:t>
      </w:r>
    </w:p>
    <w:p w14:paraId="4FB19F4C" w14:textId="77777777" w:rsidR="001622F9" w:rsidRPr="00F141F6" w:rsidRDefault="001622F9" w:rsidP="001622F9">
      <w:pPr>
        <w:pStyle w:val="NORMAL12"/>
      </w:pPr>
      <w:proofErr w:type="gramStart"/>
      <w:r w:rsidRPr="00F141F6">
        <w:t>Asimismo</w:t>
      </w:r>
      <w:proofErr w:type="gramEnd"/>
      <w:r w:rsidRPr="00F141F6">
        <w:t xml:space="preserve"> se deben cumplir los requisitos y especificaciones de longitud mínima y </w:t>
      </w:r>
      <w:proofErr w:type="spellStart"/>
      <w:r w:rsidRPr="00F141F6">
        <w:t>pendienteado</w:t>
      </w:r>
      <w:proofErr w:type="spellEnd"/>
      <w:r w:rsidRPr="00F141F6">
        <w:t xml:space="preserve"> de la superficie sobre la que se va a colocar la barrera que indique el fabricante del sistema.</w:t>
      </w:r>
    </w:p>
    <w:p w14:paraId="6C3902EB" w14:textId="77777777" w:rsidR="00B81363" w:rsidRPr="00D921B6" w:rsidRDefault="001622F9" w:rsidP="000313DD">
      <w:pPr>
        <w:pStyle w:val="TITU2"/>
      </w:pPr>
      <w:bookmarkStart w:id="1148" w:name="_Toc404601"/>
      <w:r w:rsidRPr="00D921B6">
        <w:t xml:space="preserve">704.5. </w:t>
      </w:r>
      <w:r w:rsidR="00B81363" w:rsidRPr="00D921B6">
        <w:t>Limitaciones en la ejecución</w:t>
      </w:r>
      <w:bookmarkEnd w:id="1148"/>
    </w:p>
    <w:p w14:paraId="6231E92E" w14:textId="77777777" w:rsidR="00B81363" w:rsidRPr="00D921B6" w:rsidRDefault="00B81363" w:rsidP="00B81363">
      <w:pPr>
        <w:pStyle w:val="NORMAL12"/>
        <w:rPr>
          <w:lang w:val="es-ES"/>
        </w:rPr>
      </w:pPr>
      <w:r w:rsidRPr="00D921B6">
        <w:rPr>
          <w:lang w:val="es-ES"/>
        </w:rPr>
        <w:t>No se admitirá la instalación de ninguna barrera que no cumpla como mínimo las especificaciones en cuanto a los parámetros de diseño definidas en la unida</w:t>
      </w:r>
      <w:r w:rsidR="006153D5" w:rsidRPr="00D921B6">
        <w:rPr>
          <w:lang w:val="es-ES"/>
        </w:rPr>
        <w:t>d</w:t>
      </w:r>
      <w:r w:rsidRPr="00D921B6">
        <w:rPr>
          <w:lang w:val="es-ES"/>
        </w:rPr>
        <w:t xml:space="preserve">. Todas las </w:t>
      </w:r>
      <w:r w:rsidR="00217216" w:rsidRPr="00D921B6">
        <w:rPr>
          <w:lang w:val="es-ES"/>
        </w:rPr>
        <w:t>barreras</w:t>
      </w:r>
      <w:r w:rsidRPr="00D921B6">
        <w:rPr>
          <w:lang w:val="es-ES"/>
        </w:rPr>
        <w:t xml:space="preserve"> instaladas deben contar con la aprobación del </w:t>
      </w:r>
      <w:proofErr w:type="gramStart"/>
      <w:r w:rsidRPr="00D921B6">
        <w:rPr>
          <w:lang w:val="es-ES"/>
        </w:rPr>
        <w:t>Director</w:t>
      </w:r>
      <w:proofErr w:type="gramEnd"/>
      <w:r w:rsidRPr="00D921B6">
        <w:rPr>
          <w:lang w:val="es-ES"/>
        </w:rPr>
        <w:t xml:space="preserve"> de Obra.</w:t>
      </w:r>
    </w:p>
    <w:p w14:paraId="2FCB74A3" w14:textId="77777777" w:rsidR="001622F9" w:rsidRPr="00D921B6" w:rsidRDefault="001622F9" w:rsidP="000313DD">
      <w:pPr>
        <w:pStyle w:val="TITU2"/>
      </w:pPr>
      <w:bookmarkStart w:id="1149" w:name="_Toc404602"/>
      <w:r w:rsidRPr="00D921B6">
        <w:t>704.</w:t>
      </w:r>
      <w:r w:rsidR="00B81363" w:rsidRPr="00D921B6">
        <w:t>6</w:t>
      </w:r>
      <w:r w:rsidRPr="00D921B6">
        <w:t>. Control de calidad</w:t>
      </w:r>
      <w:bookmarkEnd w:id="1149"/>
    </w:p>
    <w:p w14:paraId="2B464C69" w14:textId="77777777" w:rsidR="001622F9" w:rsidRPr="00D921B6" w:rsidRDefault="001622F9" w:rsidP="001622F9">
      <w:pPr>
        <w:pStyle w:val="NORMAL12"/>
      </w:pPr>
      <w:r w:rsidRPr="00D921B6">
        <w:t>La posesión del marcado CE que posee la barrera, exime de la necesidad de realizar los controles de recepción previstos en el artículo 704.6 del PG-3. Bastará con que cada suministro de barreras metálicas se acompañe del certificado acreditativo de la posesión del marcado CE.</w:t>
      </w:r>
    </w:p>
    <w:p w14:paraId="42EE1EA7" w14:textId="77777777" w:rsidR="00B81363" w:rsidRPr="00D921B6" w:rsidRDefault="00B81363" w:rsidP="001622F9">
      <w:pPr>
        <w:pStyle w:val="NORMAL12"/>
      </w:pPr>
      <w:r w:rsidRPr="00D921B6">
        <w:t>Se realizarán los controles de calidad establecidos en la normativa vigente y el concreto en el apartado 704.6 del PG-3</w:t>
      </w:r>
    </w:p>
    <w:p w14:paraId="441AC396" w14:textId="77777777" w:rsidR="001622F9" w:rsidRPr="00D921B6" w:rsidRDefault="001622F9" w:rsidP="001622F9">
      <w:pPr>
        <w:pStyle w:val="NORMAL12"/>
      </w:pPr>
      <w:r w:rsidRPr="00D921B6">
        <w:t xml:space="preserve">En cualquier caso, el </w:t>
      </w:r>
      <w:proofErr w:type="gramStart"/>
      <w:r w:rsidRPr="00D921B6">
        <w:t>Director</w:t>
      </w:r>
      <w:proofErr w:type="gramEnd"/>
      <w:r w:rsidRPr="00D921B6">
        <w:t xml:space="preserve"> de Obra podrá realizar, a su juicio, los controles de calidad que estime oportunos, según los criterios del apartado 704.6 del PG-3.</w:t>
      </w:r>
    </w:p>
    <w:p w14:paraId="51CE1FF1" w14:textId="77777777" w:rsidR="00B81363" w:rsidRPr="00D921B6" w:rsidRDefault="00B81363" w:rsidP="000313DD">
      <w:pPr>
        <w:pStyle w:val="TITU2"/>
      </w:pPr>
      <w:bookmarkStart w:id="1150" w:name="_Toc404603"/>
      <w:r w:rsidRPr="00D921B6">
        <w:lastRenderedPageBreak/>
        <w:t>704.7. Criterio de aceptación o rechazo</w:t>
      </w:r>
      <w:bookmarkEnd w:id="1150"/>
    </w:p>
    <w:p w14:paraId="6BAC4135" w14:textId="77777777" w:rsidR="00B81363" w:rsidRPr="00D921B6" w:rsidRDefault="00B81363" w:rsidP="00B81363">
      <w:pPr>
        <w:pStyle w:val="NORMAL12"/>
      </w:pPr>
      <w:r w:rsidRPr="00D921B6">
        <w:t xml:space="preserve">Se relacionan seguidamente las especificaciones que deberá cumplir la unidad terminada para proceder a su aceptación final. </w:t>
      </w:r>
    </w:p>
    <w:tbl>
      <w:tblPr>
        <w:tblW w:w="900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6165"/>
        <w:gridCol w:w="2835"/>
      </w:tblGrid>
      <w:tr w:rsidR="00B81363" w:rsidRPr="00D921B6" w14:paraId="7AB7E1DF" w14:textId="77777777" w:rsidTr="003B4E71">
        <w:trPr>
          <w:tblHeader/>
        </w:trPr>
        <w:tc>
          <w:tcPr>
            <w:tcW w:w="6166"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4A4E743B" w14:textId="77777777" w:rsidR="00B81363" w:rsidRPr="00D921B6" w:rsidRDefault="00B81363" w:rsidP="003B4E71">
            <w:pPr>
              <w:pStyle w:val="LCATabla"/>
              <w:keepNext/>
              <w:spacing w:line="360" w:lineRule="auto"/>
              <w:jc w:val="center"/>
              <w:rPr>
                <w:rFonts w:ascii="Arial" w:hAnsi="Arial" w:cs="Arial"/>
                <w:b/>
                <w:sz w:val="20"/>
              </w:rPr>
            </w:pPr>
            <w:r w:rsidRPr="00D921B6">
              <w:rPr>
                <w:rFonts w:ascii="Arial" w:hAnsi="Arial" w:cs="Arial"/>
                <w:b/>
                <w:sz w:val="20"/>
              </w:rPr>
              <w:t>Parámetros de aceptación final</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hideMark/>
          </w:tcPr>
          <w:p w14:paraId="3ECDDD84" w14:textId="77777777" w:rsidR="00B81363" w:rsidRPr="00D921B6" w:rsidRDefault="00B81363" w:rsidP="003B4E71">
            <w:pPr>
              <w:pStyle w:val="LCATabla"/>
              <w:keepNext/>
              <w:spacing w:line="360" w:lineRule="auto"/>
              <w:jc w:val="center"/>
              <w:rPr>
                <w:rFonts w:ascii="Arial" w:hAnsi="Arial" w:cs="Arial"/>
                <w:b/>
                <w:sz w:val="20"/>
              </w:rPr>
            </w:pPr>
            <w:r w:rsidRPr="00D921B6">
              <w:rPr>
                <w:rFonts w:ascii="Arial" w:hAnsi="Arial" w:cs="Arial"/>
                <w:b/>
                <w:sz w:val="20"/>
              </w:rPr>
              <w:t>Procedimiento de medida</w:t>
            </w:r>
          </w:p>
        </w:tc>
      </w:tr>
      <w:tr w:rsidR="00B81363" w:rsidRPr="00D921B6" w14:paraId="75110750" w14:textId="77777777" w:rsidTr="003B4E71">
        <w:trPr>
          <w:trHeight w:val="540"/>
        </w:trPr>
        <w:tc>
          <w:tcPr>
            <w:tcW w:w="6166" w:type="dxa"/>
            <w:tcBorders>
              <w:top w:val="single" w:sz="4" w:space="0" w:color="auto"/>
              <w:left w:val="single" w:sz="4" w:space="0" w:color="auto"/>
              <w:bottom w:val="single" w:sz="4" w:space="0" w:color="auto"/>
              <w:right w:val="nil"/>
            </w:tcBorders>
            <w:hideMark/>
          </w:tcPr>
          <w:p w14:paraId="7B612ECE" w14:textId="77777777" w:rsidR="00B81363" w:rsidRPr="00D921B6" w:rsidRDefault="00B81363" w:rsidP="003B4E71">
            <w:pPr>
              <w:pStyle w:val="LCATabla"/>
              <w:spacing w:line="360" w:lineRule="auto"/>
              <w:rPr>
                <w:rFonts w:ascii="Arial" w:hAnsi="Arial" w:cs="Arial"/>
                <w:sz w:val="20"/>
              </w:rPr>
            </w:pPr>
            <w:r w:rsidRPr="00D921B6">
              <w:rPr>
                <w:rFonts w:ascii="Arial" w:hAnsi="Arial" w:cs="Arial"/>
                <w:sz w:val="20"/>
              </w:rPr>
              <w:t>Posición transversal:</w:t>
            </w:r>
          </w:p>
          <w:p w14:paraId="5A4D8C58" w14:textId="77777777" w:rsidR="00B81363" w:rsidRPr="00D921B6" w:rsidRDefault="00B81363" w:rsidP="003B4E71">
            <w:pPr>
              <w:pStyle w:val="LCATabla"/>
              <w:spacing w:line="360" w:lineRule="auto"/>
              <w:rPr>
                <w:rFonts w:ascii="Arial" w:hAnsi="Arial" w:cs="Arial"/>
                <w:sz w:val="20"/>
              </w:rPr>
            </w:pPr>
            <w:r w:rsidRPr="00D921B6">
              <w:rPr>
                <w:rFonts w:ascii="Arial" w:hAnsi="Arial" w:cs="Arial"/>
                <w:sz w:val="20"/>
              </w:rPr>
              <w:t xml:space="preserve">Distancia a obstáculo o </w:t>
            </w:r>
            <w:proofErr w:type="gramStart"/>
            <w:r w:rsidRPr="00D921B6">
              <w:rPr>
                <w:rFonts w:ascii="Arial" w:hAnsi="Arial" w:cs="Arial"/>
                <w:sz w:val="20"/>
              </w:rPr>
              <w:t>desnivel  ≥</w:t>
            </w:r>
            <w:proofErr w:type="gramEnd"/>
            <w:r w:rsidRPr="00D921B6">
              <w:rPr>
                <w:rFonts w:ascii="Arial" w:hAnsi="Arial" w:cs="Arial"/>
                <w:sz w:val="20"/>
              </w:rPr>
              <w:t xml:space="preserve"> W</w:t>
            </w:r>
          </w:p>
        </w:tc>
        <w:tc>
          <w:tcPr>
            <w:tcW w:w="2835" w:type="dxa"/>
            <w:tcBorders>
              <w:top w:val="single" w:sz="4" w:space="0" w:color="auto"/>
              <w:left w:val="nil"/>
              <w:bottom w:val="single" w:sz="4" w:space="0" w:color="auto"/>
              <w:right w:val="single" w:sz="4" w:space="0" w:color="auto"/>
            </w:tcBorders>
          </w:tcPr>
          <w:p w14:paraId="6C0E0161" w14:textId="77777777" w:rsidR="00B81363" w:rsidRPr="00D921B6" w:rsidRDefault="00B81363" w:rsidP="003B4E71">
            <w:pPr>
              <w:pStyle w:val="LCATabla"/>
              <w:spacing w:line="360" w:lineRule="auto"/>
              <w:rPr>
                <w:rFonts w:ascii="Arial" w:hAnsi="Arial" w:cs="Arial"/>
                <w:sz w:val="20"/>
              </w:rPr>
            </w:pPr>
          </w:p>
          <w:p w14:paraId="7057D847" w14:textId="77777777" w:rsidR="00B81363" w:rsidRPr="00D921B6" w:rsidRDefault="00B81363" w:rsidP="003B4E71">
            <w:pPr>
              <w:pStyle w:val="LCATabla"/>
              <w:spacing w:line="360" w:lineRule="auto"/>
              <w:rPr>
                <w:rFonts w:ascii="Arial" w:hAnsi="Arial" w:cs="Arial"/>
                <w:sz w:val="20"/>
              </w:rPr>
            </w:pPr>
            <w:r w:rsidRPr="00D921B6">
              <w:rPr>
                <w:rFonts w:ascii="Arial" w:hAnsi="Arial" w:cs="Arial"/>
                <w:sz w:val="20"/>
              </w:rPr>
              <w:t>Medición con cinta</w:t>
            </w:r>
          </w:p>
        </w:tc>
      </w:tr>
      <w:tr w:rsidR="00B81363" w:rsidRPr="00D921B6" w14:paraId="6491D160" w14:textId="77777777" w:rsidTr="003B4E71">
        <w:trPr>
          <w:trHeight w:val="540"/>
        </w:trPr>
        <w:tc>
          <w:tcPr>
            <w:tcW w:w="6166" w:type="dxa"/>
            <w:tcBorders>
              <w:top w:val="single" w:sz="4" w:space="0" w:color="auto"/>
              <w:left w:val="single" w:sz="4" w:space="0" w:color="auto"/>
              <w:bottom w:val="single" w:sz="4" w:space="0" w:color="auto"/>
              <w:right w:val="nil"/>
            </w:tcBorders>
            <w:hideMark/>
          </w:tcPr>
          <w:p w14:paraId="29527B14" w14:textId="77777777" w:rsidR="00B81363" w:rsidRPr="00D921B6" w:rsidRDefault="00B81363" w:rsidP="003B4E71">
            <w:pPr>
              <w:pStyle w:val="LCATabla"/>
              <w:spacing w:line="360" w:lineRule="auto"/>
              <w:rPr>
                <w:rFonts w:ascii="Arial" w:hAnsi="Arial" w:cs="Arial"/>
                <w:sz w:val="20"/>
              </w:rPr>
            </w:pPr>
            <w:r w:rsidRPr="00D921B6">
              <w:rPr>
                <w:rFonts w:ascii="Arial" w:hAnsi="Arial" w:cs="Arial"/>
                <w:sz w:val="20"/>
              </w:rPr>
              <w:t>Desviación de la inclinación respecto de la perpendicular a la plataforma &lt; 3º</w:t>
            </w:r>
          </w:p>
        </w:tc>
        <w:tc>
          <w:tcPr>
            <w:tcW w:w="2835" w:type="dxa"/>
            <w:tcBorders>
              <w:top w:val="single" w:sz="4" w:space="0" w:color="auto"/>
              <w:left w:val="nil"/>
              <w:bottom w:val="single" w:sz="4" w:space="0" w:color="auto"/>
              <w:right w:val="single" w:sz="4" w:space="0" w:color="auto"/>
            </w:tcBorders>
            <w:vAlign w:val="center"/>
            <w:hideMark/>
          </w:tcPr>
          <w:p w14:paraId="5C488136" w14:textId="77777777" w:rsidR="00B81363" w:rsidRPr="00D921B6" w:rsidRDefault="00B81363" w:rsidP="003B4E71">
            <w:pPr>
              <w:pStyle w:val="LCATabla"/>
              <w:spacing w:line="360" w:lineRule="auto"/>
              <w:jc w:val="center"/>
              <w:rPr>
                <w:rFonts w:ascii="Arial" w:hAnsi="Arial" w:cs="Arial"/>
                <w:sz w:val="20"/>
              </w:rPr>
            </w:pPr>
            <w:r w:rsidRPr="00D921B6">
              <w:rPr>
                <w:rFonts w:ascii="Arial" w:hAnsi="Arial" w:cs="Arial"/>
                <w:sz w:val="20"/>
              </w:rPr>
              <w:t>Medición con inclinómetro y regla</w:t>
            </w:r>
          </w:p>
        </w:tc>
      </w:tr>
    </w:tbl>
    <w:p w14:paraId="491A4B22" w14:textId="77777777" w:rsidR="00B81363" w:rsidRPr="00D921B6" w:rsidRDefault="00B81363" w:rsidP="00B81363">
      <w:pPr>
        <w:pStyle w:val="NORMAL12"/>
        <w:rPr>
          <w:i/>
          <w:u w:val="single"/>
        </w:rPr>
      </w:pPr>
      <w:r w:rsidRPr="00D921B6">
        <w:rPr>
          <w:i/>
          <w:u w:val="single"/>
        </w:rPr>
        <w:t>Tratamiento de no conformidades</w:t>
      </w:r>
    </w:p>
    <w:p w14:paraId="10C1297A" w14:textId="77777777" w:rsidR="00B81363" w:rsidRPr="00D921B6" w:rsidRDefault="00B81363" w:rsidP="00B81363">
      <w:pPr>
        <w:pStyle w:val="NORMAL12"/>
      </w:pPr>
      <w:r w:rsidRPr="00D921B6">
        <w:t>Si alguno de los parámetros de aceptación final no se cumpliera</w:t>
      </w:r>
      <w:r w:rsidR="006153D5" w:rsidRPr="00D921B6">
        <w:t xml:space="preserve"> o la barrera instalada no cumple con los parámetros de diseño definidos en la unidad</w:t>
      </w:r>
      <w:r w:rsidRPr="00D921B6">
        <w:t>, no se aceptará la unidad mientras no se subsane la deficiencia. La corrección de las deficiencias correrá íntegramente por cuenta del Contratista.</w:t>
      </w:r>
    </w:p>
    <w:p w14:paraId="5D60E3CB" w14:textId="77777777" w:rsidR="00B81363" w:rsidRPr="00D921B6" w:rsidRDefault="001622F9" w:rsidP="000313DD">
      <w:pPr>
        <w:pStyle w:val="TITU2"/>
      </w:pPr>
      <w:bookmarkStart w:id="1151" w:name="_Toc404604"/>
      <w:r w:rsidRPr="00D921B6">
        <w:t>704.8.</w:t>
      </w:r>
      <w:r w:rsidR="00B81363" w:rsidRPr="00D921B6">
        <w:t xml:space="preserve"> Periodo de garantía</w:t>
      </w:r>
      <w:bookmarkEnd w:id="1151"/>
    </w:p>
    <w:p w14:paraId="690FBE9B" w14:textId="77777777" w:rsidR="00B81363" w:rsidRPr="00D921B6" w:rsidRDefault="00B81363" w:rsidP="00B81363">
      <w:pPr>
        <w:pStyle w:val="NORMAL12"/>
      </w:pPr>
      <w:r w:rsidRPr="00D921B6">
        <w:t>El período de garantía de los elementos constituyentes de los sistemas de contención que</w:t>
      </w:r>
      <w:r w:rsidR="006153D5" w:rsidRPr="00D921B6">
        <w:t xml:space="preserve"> </w:t>
      </w:r>
      <w:r w:rsidRPr="00D921B6">
        <w:t xml:space="preserve">no hayan sido objeto de arrancamiento, rotura o deformación por la acción del tráfico, </w:t>
      </w:r>
      <w:r w:rsidR="00AD4076" w:rsidRPr="00D921B6">
        <w:t>f</w:t>
      </w:r>
      <w:r w:rsidRPr="00D921B6">
        <w:t>abricados e instalados con carácter permanen</w:t>
      </w:r>
      <w:r w:rsidR="006153D5" w:rsidRPr="00D921B6">
        <w:t>t</w:t>
      </w:r>
      <w:r w:rsidRPr="00D921B6">
        <w:t xml:space="preserve">e según las normas y pliegos de prescripciones técnicas aplicables, así como conservados regularmente de acuerdo con las instrucciones facilitadas </w:t>
      </w:r>
      <w:r w:rsidR="00217216" w:rsidRPr="00D921B6">
        <w:t>por el</w:t>
      </w:r>
      <w:r w:rsidRPr="00D921B6">
        <w:t xml:space="preserve"> fabricante, será de dos (2) años, contabilizados desde la fecha de su instalación. </w:t>
      </w:r>
    </w:p>
    <w:p w14:paraId="1C1034AD" w14:textId="77777777" w:rsidR="001622F9" w:rsidRPr="00D921B6" w:rsidRDefault="001622F9" w:rsidP="000313DD">
      <w:pPr>
        <w:pStyle w:val="TITU2"/>
      </w:pPr>
      <w:bookmarkStart w:id="1152" w:name="_Toc404605"/>
      <w:r w:rsidRPr="00D921B6">
        <w:t>704.9. Medición y abono</w:t>
      </w:r>
      <w:bookmarkEnd w:id="1152"/>
    </w:p>
    <w:p w14:paraId="34C187B2" w14:textId="77777777" w:rsidR="001622F9" w:rsidRPr="00D921B6" w:rsidRDefault="00F141F6" w:rsidP="001622F9">
      <w:pPr>
        <w:pStyle w:val="NORMAL12"/>
      </w:pPr>
      <w:r w:rsidRPr="00D921B6">
        <w:t>La medición y abono de las unidades de barreras se realizará</w:t>
      </w:r>
      <w:r w:rsidR="0026100C" w:rsidRPr="00D921B6">
        <w:t>n</w:t>
      </w:r>
      <w:r w:rsidRPr="00D921B6">
        <w:t xml:space="preserve"> según las prescripciones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28"/>
        <w:gridCol w:w="6073"/>
      </w:tblGrid>
      <w:tr w:rsidR="00F141F6" w:rsidRPr="00D921B6" w14:paraId="1628C280" w14:textId="77777777" w:rsidTr="001622F9">
        <w:tc>
          <w:tcPr>
            <w:tcW w:w="0" w:type="auto"/>
            <w:tcBorders>
              <w:top w:val="single" w:sz="4" w:space="0" w:color="auto"/>
              <w:left w:val="single" w:sz="4" w:space="0" w:color="auto"/>
              <w:bottom w:val="single" w:sz="4" w:space="0" w:color="auto"/>
              <w:right w:val="single" w:sz="4" w:space="0" w:color="auto"/>
            </w:tcBorders>
            <w:vAlign w:val="center"/>
            <w:hideMark/>
          </w:tcPr>
          <w:p w14:paraId="7F7F9000" w14:textId="77777777" w:rsidR="001622F9" w:rsidRPr="00D921B6" w:rsidRDefault="001622F9" w:rsidP="00F141F6">
            <w:pPr>
              <w:pStyle w:val="LCATabla"/>
              <w:keepNext/>
              <w:keepLines/>
              <w:spacing w:line="360" w:lineRule="auto"/>
              <w:jc w:val="center"/>
              <w:rPr>
                <w:rFonts w:ascii="Arial" w:hAnsi="Arial" w:cs="Arial"/>
                <w:b/>
                <w:bCs/>
                <w:sz w:val="20"/>
              </w:rPr>
            </w:pPr>
            <w:r w:rsidRPr="00D921B6">
              <w:rPr>
                <w:rFonts w:ascii="Arial" w:hAnsi="Arial" w:cs="Arial"/>
                <w:b/>
                <w:bCs/>
                <w:sz w:val="20"/>
              </w:rPr>
              <w:t>Unidad de medida</w:t>
            </w:r>
          </w:p>
        </w:tc>
        <w:tc>
          <w:tcPr>
            <w:tcW w:w="6073" w:type="dxa"/>
            <w:tcBorders>
              <w:top w:val="single" w:sz="4" w:space="0" w:color="auto"/>
              <w:left w:val="single" w:sz="4" w:space="0" w:color="auto"/>
              <w:bottom w:val="single" w:sz="4" w:space="0" w:color="auto"/>
              <w:right w:val="single" w:sz="4" w:space="0" w:color="auto"/>
            </w:tcBorders>
            <w:vAlign w:val="center"/>
            <w:hideMark/>
          </w:tcPr>
          <w:p w14:paraId="5BC4561F" w14:textId="77777777" w:rsidR="001622F9" w:rsidRPr="00D921B6" w:rsidRDefault="00F141F6" w:rsidP="00F141F6">
            <w:pPr>
              <w:pStyle w:val="Tabla1"/>
              <w:rPr>
                <w:sz w:val="20"/>
                <w:szCs w:val="20"/>
              </w:rPr>
            </w:pPr>
            <w:r w:rsidRPr="00D921B6">
              <w:rPr>
                <w:sz w:val="20"/>
                <w:szCs w:val="20"/>
              </w:rPr>
              <w:t xml:space="preserve">Metros </w:t>
            </w:r>
            <w:r w:rsidR="001622F9" w:rsidRPr="00D921B6">
              <w:rPr>
                <w:sz w:val="20"/>
                <w:szCs w:val="20"/>
              </w:rPr>
              <w:t>(</w:t>
            </w:r>
            <w:r w:rsidRPr="00D921B6">
              <w:rPr>
                <w:sz w:val="20"/>
                <w:szCs w:val="20"/>
              </w:rPr>
              <w:t>m</w:t>
            </w:r>
            <w:r w:rsidR="001622F9" w:rsidRPr="00D921B6">
              <w:rPr>
                <w:sz w:val="20"/>
                <w:szCs w:val="20"/>
              </w:rPr>
              <w:t>).</w:t>
            </w:r>
          </w:p>
        </w:tc>
      </w:tr>
      <w:tr w:rsidR="00F141F6" w:rsidRPr="00D921B6" w14:paraId="1A99CBB6" w14:textId="77777777" w:rsidTr="001622F9">
        <w:tc>
          <w:tcPr>
            <w:tcW w:w="0" w:type="auto"/>
            <w:tcBorders>
              <w:top w:val="single" w:sz="4" w:space="0" w:color="auto"/>
              <w:left w:val="single" w:sz="4" w:space="0" w:color="auto"/>
              <w:bottom w:val="single" w:sz="4" w:space="0" w:color="auto"/>
              <w:right w:val="single" w:sz="4" w:space="0" w:color="auto"/>
            </w:tcBorders>
            <w:vAlign w:val="center"/>
            <w:hideMark/>
          </w:tcPr>
          <w:p w14:paraId="34BA56CF" w14:textId="77777777" w:rsidR="001622F9" w:rsidRPr="00D921B6" w:rsidRDefault="001622F9" w:rsidP="00F141F6">
            <w:pPr>
              <w:pStyle w:val="LCATabla"/>
              <w:keepNext/>
              <w:keepLines/>
              <w:spacing w:line="360" w:lineRule="auto"/>
              <w:jc w:val="center"/>
              <w:rPr>
                <w:rFonts w:ascii="Arial" w:hAnsi="Arial" w:cs="Arial"/>
                <w:b/>
                <w:bCs/>
                <w:sz w:val="20"/>
              </w:rPr>
            </w:pPr>
            <w:r w:rsidRPr="00D921B6">
              <w:rPr>
                <w:rFonts w:ascii="Arial" w:hAnsi="Arial" w:cs="Arial"/>
                <w:b/>
                <w:bCs/>
                <w:sz w:val="20"/>
              </w:rPr>
              <w:t>Grado de precisión</w:t>
            </w:r>
          </w:p>
        </w:tc>
        <w:tc>
          <w:tcPr>
            <w:tcW w:w="6073" w:type="dxa"/>
            <w:tcBorders>
              <w:top w:val="single" w:sz="4" w:space="0" w:color="auto"/>
              <w:left w:val="single" w:sz="4" w:space="0" w:color="auto"/>
              <w:bottom w:val="single" w:sz="4" w:space="0" w:color="auto"/>
              <w:right w:val="single" w:sz="4" w:space="0" w:color="auto"/>
            </w:tcBorders>
            <w:vAlign w:val="center"/>
            <w:hideMark/>
          </w:tcPr>
          <w:p w14:paraId="6BA1006A" w14:textId="77777777" w:rsidR="001622F9" w:rsidRPr="00D921B6" w:rsidRDefault="00F141F6" w:rsidP="00F141F6">
            <w:pPr>
              <w:pStyle w:val="Tabla1"/>
              <w:rPr>
                <w:sz w:val="20"/>
                <w:szCs w:val="20"/>
              </w:rPr>
            </w:pPr>
            <w:r w:rsidRPr="00D921B6">
              <w:rPr>
                <w:sz w:val="20"/>
                <w:szCs w:val="20"/>
              </w:rPr>
              <w:t>Dos decimales</w:t>
            </w:r>
            <w:r w:rsidR="001622F9" w:rsidRPr="00D921B6">
              <w:rPr>
                <w:sz w:val="20"/>
                <w:szCs w:val="20"/>
              </w:rPr>
              <w:t>.</w:t>
            </w:r>
          </w:p>
        </w:tc>
      </w:tr>
      <w:tr w:rsidR="00F141F6" w:rsidRPr="00D921B6" w14:paraId="03CAAAE9" w14:textId="77777777" w:rsidTr="001622F9">
        <w:tc>
          <w:tcPr>
            <w:tcW w:w="0" w:type="auto"/>
            <w:tcBorders>
              <w:top w:val="single" w:sz="4" w:space="0" w:color="auto"/>
              <w:left w:val="single" w:sz="4" w:space="0" w:color="auto"/>
              <w:bottom w:val="single" w:sz="4" w:space="0" w:color="auto"/>
              <w:right w:val="single" w:sz="4" w:space="0" w:color="auto"/>
            </w:tcBorders>
            <w:vAlign w:val="center"/>
            <w:hideMark/>
          </w:tcPr>
          <w:p w14:paraId="1928B97F" w14:textId="77777777" w:rsidR="001622F9" w:rsidRPr="00D921B6" w:rsidRDefault="001622F9" w:rsidP="00F141F6">
            <w:pPr>
              <w:pStyle w:val="LCATabla"/>
              <w:keepNext/>
              <w:keepLines/>
              <w:spacing w:line="360" w:lineRule="auto"/>
              <w:jc w:val="center"/>
              <w:rPr>
                <w:rFonts w:ascii="Arial" w:hAnsi="Arial" w:cs="Arial"/>
                <w:b/>
                <w:bCs/>
                <w:sz w:val="20"/>
              </w:rPr>
            </w:pPr>
            <w:r w:rsidRPr="00D921B6">
              <w:rPr>
                <w:rFonts w:ascii="Arial" w:hAnsi="Arial" w:cs="Arial"/>
                <w:b/>
                <w:bCs/>
                <w:sz w:val="20"/>
              </w:rPr>
              <w:t>Forma de medición</w:t>
            </w:r>
          </w:p>
        </w:tc>
        <w:tc>
          <w:tcPr>
            <w:tcW w:w="6073" w:type="dxa"/>
            <w:tcBorders>
              <w:top w:val="single" w:sz="4" w:space="0" w:color="auto"/>
              <w:left w:val="single" w:sz="4" w:space="0" w:color="auto"/>
              <w:bottom w:val="single" w:sz="4" w:space="0" w:color="auto"/>
              <w:right w:val="single" w:sz="4" w:space="0" w:color="auto"/>
            </w:tcBorders>
            <w:vAlign w:val="center"/>
            <w:hideMark/>
          </w:tcPr>
          <w:p w14:paraId="4A60EF57" w14:textId="77777777" w:rsidR="001622F9" w:rsidRPr="00D921B6" w:rsidRDefault="00F141F6" w:rsidP="001622F9">
            <w:pPr>
              <w:pStyle w:val="Tabla1"/>
              <w:rPr>
                <w:sz w:val="20"/>
                <w:szCs w:val="20"/>
              </w:rPr>
            </w:pPr>
            <w:r w:rsidRPr="00D921B6">
              <w:rPr>
                <w:sz w:val="20"/>
                <w:szCs w:val="20"/>
              </w:rPr>
              <w:t>Longitud de barrera realmente colocada</w:t>
            </w:r>
          </w:p>
        </w:tc>
      </w:tr>
      <w:tr w:rsidR="00F141F6" w:rsidRPr="00D921B6" w14:paraId="03B99C9B" w14:textId="77777777" w:rsidTr="001622F9">
        <w:tc>
          <w:tcPr>
            <w:tcW w:w="0" w:type="auto"/>
            <w:tcBorders>
              <w:top w:val="single" w:sz="4" w:space="0" w:color="auto"/>
              <w:left w:val="single" w:sz="4" w:space="0" w:color="auto"/>
              <w:bottom w:val="single" w:sz="4" w:space="0" w:color="auto"/>
              <w:right w:val="single" w:sz="4" w:space="0" w:color="auto"/>
            </w:tcBorders>
            <w:vAlign w:val="center"/>
            <w:hideMark/>
          </w:tcPr>
          <w:p w14:paraId="110B5901" w14:textId="77777777" w:rsidR="001622F9" w:rsidRPr="00D921B6" w:rsidRDefault="001622F9" w:rsidP="00F141F6">
            <w:pPr>
              <w:pStyle w:val="LCATabla"/>
              <w:keepNext/>
              <w:keepLines/>
              <w:spacing w:line="360" w:lineRule="auto"/>
              <w:jc w:val="center"/>
              <w:rPr>
                <w:rFonts w:ascii="Arial" w:hAnsi="Arial" w:cs="Arial"/>
                <w:b/>
                <w:bCs/>
                <w:sz w:val="20"/>
              </w:rPr>
            </w:pPr>
            <w:r w:rsidRPr="00D921B6">
              <w:rPr>
                <w:rFonts w:ascii="Arial" w:hAnsi="Arial" w:cs="Arial"/>
                <w:b/>
                <w:bCs/>
                <w:sz w:val="20"/>
              </w:rPr>
              <w:t>Abono</w:t>
            </w:r>
          </w:p>
        </w:tc>
        <w:tc>
          <w:tcPr>
            <w:tcW w:w="6073" w:type="dxa"/>
            <w:tcBorders>
              <w:top w:val="single" w:sz="4" w:space="0" w:color="auto"/>
              <w:left w:val="single" w:sz="4" w:space="0" w:color="auto"/>
              <w:bottom w:val="single" w:sz="4" w:space="0" w:color="auto"/>
              <w:right w:val="single" w:sz="4" w:space="0" w:color="auto"/>
            </w:tcBorders>
            <w:vAlign w:val="center"/>
            <w:hideMark/>
          </w:tcPr>
          <w:p w14:paraId="7B624337" w14:textId="77777777" w:rsidR="001622F9" w:rsidRPr="00D921B6" w:rsidRDefault="001622F9" w:rsidP="001622F9">
            <w:pPr>
              <w:pStyle w:val="Tabla1"/>
              <w:rPr>
                <w:sz w:val="20"/>
                <w:szCs w:val="20"/>
              </w:rPr>
            </w:pPr>
            <w:r w:rsidRPr="00D921B6">
              <w:rPr>
                <w:sz w:val="20"/>
                <w:szCs w:val="20"/>
              </w:rPr>
              <w:t>Se efectuará cuando se realice la aceptación.</w:t>
            </w:r>
          </w:p>
        </w:tc>
      </w:tr>
      <w:tr w:rsidR="001622F9" w:rsidRPr="00D921B6" w14:paraId="2FD79B60" w14:textId="77777777" w:rsidTr="001622F9">
        <w:tc>
          <w:tcPr>
            <w:tcW w:w="0" w:type="auto"/>
            <w:tcBorders>
              <w:top w:val="single" w:sz="4" w:space="0" w:color="auto"/>
              <w:left w:val="single" w:sz="4" w:space="0" w:color="auto"/>
              <w:bottom w:val="single" w:sz="4" w:space="0" w:color="auto"/>
              <w:right w:val="single" w:sz="4" w:space="0" w:color="auto"/>
            </w:tcBorders>
            <w:vAlign w:val="center"/>
            <w:hideMark/>
          </w:tcPr>
          <w:p w14:paraId="02B99119" w14:textId="77777777" w:rsidR="001622F9" w:rsidRPr="00D921B6" w:rsidRDefault="001622F9" w:rsidP="00F141F6">
            <w:pPr>
              <w:pStyle w:val="LCATabla"/>
              <w:keepNext/>
              <w:keepLines/>
              <w:spacing w:line="360" w:lineRule="auto"/>
              <w:jc w:val="center"/>
              <w:rPr>
                <w:rFonts w:ascii="Arial" w:hAnsi="Arial" w:cs="Arial"/>
                <w:b/>
                <w:bCs/>
                <w:sz w:val="20"/>
              </w:rPr>
            </w:pPr>
            <w:r w:rsidRPr="00D921B6">
              <w:rPr>
                <w:rFonts w:ascii="Arial" w:hAnsi="Arial" w:cs="Arial"/>
                <w:b/>
                <w:bCs/>
                <w:sz w:val="20"/>
              </w:rPr>
              <w:t>Criterios complementarios</w:t>
            </w:r>
          </w:p>
        </w:tc>
        <w:tc>
          <w:tcPr>
            <w:tcW w:w="6073" w:type="dxa"/>
            <w:tcBorders>
              <w:top w:val="single" w:sz="4" w:space="0" w:color="auto"/>
              <w:left w:val="single" w:sz="4" w:space="0" w:color="auto"/>
              <w:bottom w:val="single" w:sz="4" w:space="0" w:color="auto"/>
              <w:right w:val="single" w:sz="4" w:space="0" w:color="auto"/>
            </w:tcBorders>
            <w:vAlign w:val="center"/>
            <w:hideMark/>
          </w:tcPr>
          <w:p w14:paraId="240014B2" w14:textId="77777777" w:rsidR="001622F9" w:rsidRPr="00D921B6" w:rsidRDefault="001622F9" w:rsidP="001622F9">
            <w:pPr>
              <w:pStyle w:val="Tabla1"/>
              <w:rPr>
                <w:sz w:val="20"/>
                <w:szCs w:val="20"/>
              </w:rPr>
            </w:pPr>
            <w:r w:rsidRPr="00D921B6">
              <w:rPr>
                <w:sz w:val="20"/>
                <w:szCs w:val="20"/>
              </w:rPr>
              <w:t>Los precios incluyen todos los materiales, mano de obra, maquinaria y medios auxiliares necesarios para la correcta ejecución de la unidad, incluso ensayos previos y característicos cuando proceda.</w:t>
            </w:r>
          </w:p>
          <w:p w14:paraId="3226B560" w14:textId="77777777" w:rsidR="00F141F6" w:rsidRPr="00D921B6" w:rsidRDefault="00F141F6" w:rsidP="001622F9">
            <w:pPr>
              <w:pStyle w:val="Tabla1"/>
              <w:rPr>
                <w:sz w:val="20"/>
                <w:szCs w:val="20"/>
              </w:rPr>
            </w:pPr>
            <w:r w:rsidRPr="00D921B6">
              <w:rPr>
                <w:sz w:val="20"/>
                <w:szCs w:val="20"/>
              </w:rPr>
              <w:t>El precio de la unidad incluye los postes, anclajes, tornillería.</w:t>
            </w:r>
          </w:p>
          <w:p w14:paraId="12090403" w14:textId="77777777" w:rsidR="00F141F6" w:rsidRPr="00D921B6" w:rsidRDefault="00F141F6" w:rsidP="001622F9">
            <w:pPr>
              <w:pStyle w:val="Tabla1"/>
              <w:rPr>
                <w:sz w:val="20"/>
                <w:szCs w:val="20"/>
              </w:rPr>
            </w:pPr>
            <w:r w:rsidRPr="00D921B6">
              <w:rPr>
                <w:sz w:val="20"/>
                <w:szCs w:val="20"/>
              </w:rPr>
              <w:t>Los elementos de transición y entre tipos de barreras y los elementos terminales o de abatimiento se medirán como metros de barrera sin precio independiente.</w:t>
            </w:r>
          </w:p>
          <w:p w14:paraId="7EEB9C49" w14:textId="77777777" w:rsidR="001622F9" w:rsidRPr="00D921B6" w:rsidRDefault="001622F9" w:rsidP="008C14E8">
            <w:pPr>
              <w:pStyle w:val="Tabla1"/>
              <w:rPr>
                <w:sz w:val="20"/>
                <w:szCs w:val="20"/>
              </w:rPr>
            </w:pPr>
            <w:r w:rsidRPr="00C61E14">
              <w:rPr>
                <w:sz w:val="20"/>
                <w:szCs w:val="20"/>
              </w:rPr>
              <w:t xml:space="preserve">El precio incluye la disposición de </w:t>
            </w:r>
            <w:proofErr w:type="spellStart"/>
            <w:r w:rsidRPr="00C61E14">
              <w:rPr>
                <w:sz w:val="20"/>
                <w:szCs w:val="20"/>
              </w:rPr>
              <w:t>captafaros</w:t>
            </w:r>
            <w:proofErr w:type="spellEnd"/>
            <w:r w:rsidR="00C61E14" w:rsidRPr="00C61E14">
              <w:rPr>
                <w:sz w:val="20"/>
                <w:szCs w:val="20"/>
              </w:rPr>
              <w:t xml:space="preserve"> con las condiciones establecidas en el artículo 703 del presente pliego</w:t>
            </w:r>
          </w:p>
        </w:tc>
      </w:tr>
    </w:tbl>
    <w:p w14:paraId="7D707947" w14:textId="77777777" w:rsidR="001622F9" w:rsidRPr="00F141F6" w:rsidRDefault="001622F9" w:rsidP="001622F9">
      <w:pPr>
        <w:rPr>
          <w:rFonts w:ascii="Arial" w:hAnsi="Arial"/>
          <w:sz w:val="22"/>
          <w:szCs w:val="20"/>
        </w:rPr>
      </w:pPr>
    </w:p>
    <w:p w14:paraId="5EE99CF7" w14:textId="77777777" w:rsidR="001622F9" w:rsidRDefault="001622F9" w:rsidP="001622F9">
      <w:pPr>
        <w:tabs>
          <w:tab w:val="left" w:pos="567"/>
          <w:tab w:val="left" w:pos="1134"/>
          <w:tab w:val="left" w:pos="1701"/>
        </w:tabs>
        <w:spacing w:line="360" w:lineRule="auto"/>
        <w:rPr>
          <w:rFonts w:ascii="Arial" w:hAnsi="Arial" w:cs="Arial"/>
          <w:b/>
          <w:color w:val="365F91" w:themeColor="accent1" w:themeShade="BF"/>
          <w:sz w:val="22"/>
          <w:lang w:val="es-ES_tradnl"/>
        </w:rPr>
      </w:pPr>
    </w:p>
    <w:p w14:paraId="43379974" w14:textId="77777777" w:rsidR="001622F9" w:rsidRDefault="001622F9" w:rsidP="001622F9">
      <w:pPr>
        <w:tabs>
          <w:tab w:val="left" w:pos="567"/>
          <w:tab w:val="left" w:pos="1134"/>
          <w:tab w:val="left" w:pos="1701"/>
        </w:tabs>
        <w:spacing w:line="360" w:lineRule="auto"/>
        <w:rPr>
          <w:rFonts w:ascii="Arial" w:hAnsi="Arial" w:cs="Arial"/>
          <w:b/>
          <w:color w:val="365F91" w:themeColor="accent1" w:themeShade="BF"/>
          <w:sz w:val="22"/>
          <w:lang w:val="es-ES_tradnl"/>
        </w:rPr>
      </w:pPr>
    </w:p>
    <w:p w14:paraId="4706DC4B" w14:textId="77777777" w:rsidR="001622F9" w:rsidRDefault="001622F9" w:rsidP="001622F9">
      <w:pPr>
        <w:tabs>
          <w:tab w:val="left" w:pos="567"/>
          <w:tab w:val="left" w:pos="1134"/>
          <w:tab w:val="left" w:pos="1701"/>
        </w:tabs>
        <w:spacing w:line="360" w:lineRule="auto"/>
        <w:rPr>
          <w:rFonts w:ascii="Arial" w:hAnsi="Arial" w:cs="Arial"/>
          <w:b/>
          <w:color w:val="365F91" w:themeColor="accent1" w:themeShade="BF"/>
          <w:sz w:val="22"/>
          <w:lang w:val="es-ES_tradnl"/>
        </w:rPr>
      </w:pPr>
    </w:p>
    <w:p w14:paraId="6D3E0B53" w14:textId="77777777" w:rsidR="001622F9" w:rsidRDefault="001622F9" w:rsidP="001622F9">
      <w:pPr>
        <w:tabs>
          <w:tab w:val="left" w:pos="567"/>
          <w:tab w:val="left" w:pos="1134"/>
          <w:tab w:val="left" w:pos="1701"/>
        </w:tabs>
        <w:spacing w:line="360" w:lineRule="auto"/>
        <w:rPr>
          <w:rFonts w:ascii="Arial" w:hAnsi="Arial" w:cs="Arial"/>
          <w:b/>
          <w:color w:val="365F91" w:themeColor="accent1" w:themeShade="BF"/>
          <w:sz w:val="22"/>
          <w:lang w:val="es-ES_tradnl"/>
        </w:rPr>
      </w:pPr>
    </w:p>
    <w:p w14:paraId="00456671" w14:textId="77777777" w:rsidR="001622F9" w:rsidRDefault="001622F9" w:rsidP="001622F9">
      <w:pPr>
        <w:tabs>
          <w:tab w:val="left" w:pos="567"/>
          <w:tab w:val="left" w:pos="1134"/>
          <w:tab w:val="left" w:pos="1701"/>
        </w:tabs>
        <w:spacing w:line="360" w:lineRule="auto"/>
        <w:rPr>
          <w:rFonts w:ascii="Arial" w:hAnsi="Arial" w:cs="Arial"/>
          <w:b/>
          <w:color w:val="365F91" w:themeColor="accent1" w:themeShade="BF"/>
          <w:sz w:val="22"/>
          <w:lang w:val="es-ES_tradnl"/>
        </w:rPr>
      </w:pPr>
    </w:p>
    <w:p w14:paraId="0177B720" w14:textId="77777777" w:rsidR="002B430C" w:rsidRPr="00D921B6" w:rsidRDefault="002B430C" w:rsidP="001622F9">
      <w:pPr>
        <w:pStyle w:val="TITU1"/>
        <w:rPr>
          <w:lang w:val="es-ES_tradnl"/>
        </w:rPr>
      </w:pPr>
      <w:bookmarkStart w:id="1153" w:name="_Toc404606"/>
      <w:r w:rsidRPr="001622F9">
        <w:rPr>
          <w:lang w:val="es-ES_tradnl"/>
        </w:rPr>
        <w:lastRenderedPageBreak/>
        <w:t xml:space="preserve">Artículo 704B. </w:t>
      </w:r>
      <w:r w:rsidRPr="00D921B6">
        <w:rPr>
          <w:lang w:val="es-ES_tradnl"/>
        </w:rPr>
        <w:t>Barreras de seguridad metálicas</w:t>
      </w:r>
      <w:bookmarkEnd w:id="1120"/>
      <w:bookmarkEnd w:id="1121"/>
      <w:bookmarkEnd w:id="1122"/>
      <w:r w:rsidR="001622F9" w:rsidRPr="00D921B6">
        <w:rPr>
          <w:lang w:val="es-ES_tradnl"/>
        </w:rPr>
        <w:t xml:space="preserve"> de </w:t>
      </w:r>
      <w:r w:rsidR="00A84D98" w:rsidRPr="00D921B6">
        <w:rPr>
          <w:lang w:val="es-ES_tradnl"/>
        </w:rPr>
        <w:t xml:space="preserve">pasos de </w:t>
      </w:r>
      <w:r w:rsidR="001622F9" w:rsidRPr="00D921B6">
        <w:rPr>
          <w:lang w:val="es-ES_tradnl"/>
        </w:rPr>
        <w:t>mediana</w:t>
      </w:r>
      <w:bookmarkEnd w:id="1153"/>
    </w:p>
    <w:p w14:paraId="68B8F155" w14:textId="77777777" w:rsidR="002B430C" w:rsidRPr="00D921B6" w:rsidRDefault="002B430C" w:rsidP="00D7794C">
      <w:pPr>
        <w:pStyle w:val="NORMAL12"/>
      </w:pPr>
      <w:r w:rsidRPr="00D921B6">
        <w:t>Excepto para lo especificado en el presente Pliego de Prescripciones Técnicas particulares se seguirá lo prescrito en el vigente artículo 704 del PG-3, en lo que resulte de aplicación a barreras metálicas.</w:t>
      </w:r>
    </w:p>
    <w:p w14:paraId="1A0F46A0" w14:textId="77777777" w:rsidR="002B430C" w:rsidRPr="00D921B6" w:rsidRDefault="002B430C" w:rsidP="000313DD">
      <w:pPr>
        <w:pStyle w:val="TITU2"/>
      </w:pPr>
      <w:bookmarkStart w:id="1154" w:name="_Toc492538126"/>
      <w:bookmarkStart w:id="1155" w:name="_Toc462759344"/>
      <w:bookmarkStart w:id="1156" w:name="_Toc404607"/>
      <w:r w:rsidRPr="00D921B6">
        <w:t>704b.1.</w:t>
      </w:r>
      <w:r w:rsidR="001622F9" w:rsidRPr="00D921B6">
        <w:t xml:space="preserve"> </w:t>
      </w:r>
      <w:r w:rsidRPr="00D921B6">
        <w:t>Aplicación</w:t>
      </w:r>
      <w:bookmarkEnd w:id="1154"/>
      <w:bookmarkEnd w:id="1155"/>
      <w:bookmarkEnd w:id="1156"/>
    </w:p>
    <w:p w14:paraId="571520C5" w14:textId="77777777" w:rsidR="00FA26C5" w:rsidRPr="00D921B6" w:rsidRDefault="002B430C" w:rsidP="00D7794C">
      <w:pPr>
        <w:pStyle w:val="NORMAL12"/>
      </w:pPr>
      <w:r w:rsidRPr="00D921B6">
        <w:t xml:space="preserve">Las </w:t>
      </w:r>
      <w:r w:rsidR="00FA26C5" w:rsidRPr="00D921B6">
        <w:t xml:space="preserve">prescripciones de este artículo </w:t>
      </w:r>
      <w:proofErr w:type="gramStart"/>
      <w:r w:rsidR="00FA26C5" w:rsidRPr="00D921B6">
        <w:t>son de aplicación</w:t>
      </w:r>
      <w:proofErr w:type="gramEnd"/>
      <w:r w:rsidR="00FA26C5" w:rsidRPr="00D921B6">
        <w:t xml:space="preserve"> a la unidad de obra siguiente:</w:t>
      </w:r>
    </w:p>
    <w:tbl>
      <w:tblPr>
        <w:tblW w:w="5000" w:type="pct"/>
        <w:tblCellMar>
          <w:left w:w="70" w:type="dxa"/>
          <w:right w:w="70" w:type="dxa"/>
        </w:tblCellMar>
        <w:tblLook w:val="04A0" w:firstRow="1" w:lastRow="0" w:firstColumn="1" w:lastColumn="0" w:noHBand="0" w:noVBand="1"/>
      </w:tblPr>
      <w:tblGrid>
        <w:gridCol w:w="1207"/>
        <w:gridCol w:w="704"/>
        <w:gridCol w:w="7867"/>
      </w:tblGrid>
      <w:tr w:rsidR="00D76061" w:rsidRPr="00991D8E" w14:paraId="5C67A31E" w14:textId="77777777" w:rsidTr="0021686E">
        <w:trPr>
          <w:trHeight w:val="419"/>
        </w:trPr>
        <w:tc>
          <w:tcPr>
            <w:tcW w:w="617" w:type="pct"/>
            <w:noWrap/>
          </w:tcPr>
          <w:p w14:paraId="60970BB1" w14:textId="77777777" w:rsidR="00D76061" w:rsidRPr="00D921B6" w:rsidRDefault="00D76061">
            <w:pPr>
              <w:rPr>
                <w:rFonts w:ascii="Calibri" w:hAnsi="Calibri"/>
                <w:color w:val="000000"/>
              </w:rPr>
            </w:pPr>
            <w:r w:rsidRPr="00D921B6">
              <w:rPr>
                <w:rFonts w:ascii="Arial Narrow" w:hAnsi="Arial Narrow" w:cs="Arial Narrow"/>
                <w:color w:val="000000"/>
              </w:rPr>
              <w:t>704.0241N</w:t>
            </w:r>
          </w:p>
        </w:tc>
        <w:tc>
          <w:tcPr>
            <w:tcW w:w="360" w:type="pct"/>
            <w:noWrap/>
          </w:tcPr>
          <w:p w14:paraId="1DA8753F" w14:textId="77777777" w:rsidR="00D76061" w:rsidRPr="00D921B6" w:rsidRDefault="00D76061">
            <w:pPr>
              <w:rPr>
                <w:rFonts w:ascii="Calibri" w:hAnsi="Calibri"/>
                <w:color w:val="000000"/>
              </w:rPr>
            </w:pPr>
            <w:r w:rsidRPr="00D921B6">
              <w:rPr>
                <w:rFonts w:ascii="Calibri" w:hAnsi="Calibri"/>
                <w:color w:val="000000"/>
              </w:rPr>
              <w:t>m</w:t>
            </w:r>
          </w:p>
        </w:tc>
        <w:tc>
          <w:tcPr>
            <w:tcW w:w="4023" w:type="pct"/>
          </w:tcPr>
          <w:p w14:paraId="62A6B399" w14:textId="77777777" w:rsidR="00D76061" w:rsidRPr="00D921B6" w:rsidRDefault="00D76061" w:rsidP="00D76061">
            <w:pPr>
              <w:jc w:val="both"/>
              <w:rPr>
                <w:rFonts w:ascii="Calibri" w:hAnsi="Calibri"/>
                <w:color w:val="000000"/>
              </w:rPr>
            </w:pPr>
            <w:r w:rsidRPr="00D921B6">
              <w:rPr>
                <w:rFonts w:ascii="Calibri" w:hAnsi="Calibri"/>
                <w:color w:val="000000"/>
              </w:rPr>
              <w:t xml:space="preserve">SUMINISTRO Y COLOCACIÓN DE BARRERA METÁLICA MODULAR MOVIL, CON NIVEL DE CONTENCIÓN H2, DE 40M (12M+20M), DOTADA DE APERTURA EN SU TRAMO CENTRAL MEDIANTE RÓTULA ARTICULADA EN SUS EXTREMOS Y DISPOSICIÓN DE RUEDAS, INCLUSO CONECTOR RÁPIDO Y PIEZAS DE TRANSICIÓN A BARRERA, TOTALMENTE INSTALADA. </w:t>
            </w:r>
          </w:p>
          <w:p w14:paraId="3044D9E3" w14:textId="77777777" w:rsidR="00D76061" w:rsidRPr="00D921B6" w:rsidRDefault="00D76061" w:rsidP="0067129E">
            <w:pPr>
              <w:jc w:val="both"/>
              <w:rPr>
                <w:rFonts w:ascii="Calibri" w:hAnsi="Calibri"/>
                <w:color w:val="000000"/>
              </w:rPr>
            </w:pPr>
          </w:p>
        </w:tc>
      </w:tr>
      <w:tr w:rsidR="00493D96" w:rsidRPr="00991D8E" w14:paraId="132C5BAD" w14:textId="77777777" w:rsidTr="0021686E">
        <w:trPr>
          <w:trHeight w:val="419"/>
        </w:trPr>
        <w:tc>
          <w:tcPr>
            <w:tcW w:w="617" w:type="pct"/>
            <w:noWrap/>
          </w:tcPr>
          <w:p w14:paraId="0EE9A4F2" w14:textId="77777777" w:rsidR="00493D96" w:rsidRPr="00D76061" w:rsidRDefault="00493D96">
            <w:pPr>
              <w:rPr>
                <w:rFonts w:ascii="Calibri" w:hAnsi="Calibri"/>
                <w:color w:val="000000"/>
                <w:highlight w:val="cyan"/>
              </w:rPr>
            </w:pPr>
          </w:p>
        </w:tc>
        <w:tc>
          <w:tcPr>
            <w:tcW w:w="360" w:type="pct"/>
            <w:noWrap/>
          </w:tcPr>
          <w:p w14:paraId="346992BC" w14:textId="77777777" w:rsidR="00493D96" w:rsidRPr="00D76061" w:rsidRDefault="00493D96">
            <w:pPr>
              <w:rPr>
                <w:rFonts w:ascii="Calibri" w:hAnsi="Calibri"/>
                <w:color w:val="000000"/>
                <w:highlight w:val="cyan"/>
              </w:rPr>
            </w:pPr>
          </w:p>
        </w:tc>
        <w:tc>
          <w:tcPr>
            <w:tcW w:w="4023" w:type="pct"/>
          </w:tcPr>
          <w:p w14:paraId="512F0053" w14:textId="77777777" w:rsidR="00357E41" w:rsidRPr="00D76061" w:rsidRDefault="00357E41" w:rsidP="0067129E">
            <w:pPr>
              <w:jc w:val="both"/>
              <w:rPr>
                <w:rFonts w:ascii="Calibri" w:hAnsi="Calibri"/>
                <w:color w:val="000000"/>
                <w:highlight w:val="cyan"/>
              </w:rPr>
            </w:pPr>
          </w:p>
        </w:tc>
      </w:tr>
    </w:tbl>
    <w:p w14:paraId="27C5C86D" w14:textId="77777777" w:rsidR="002B430C" w:rsidRPr="001A25FE" w:rsidRDefault="002B430C" w:rsidP="0067129E">
      <w:pPr>
        <w:pStyle w:val="NORMAL12"/>
      </w:pPr>
      <w:r>
        <w:t>Los materiales, proceso de fabricación y control de calidad seguirá las prescripciones de las normas UNE y UNE-EN siguientes:</w:t>
      </w:r>
    </w:p>
    <w:tbl>
      <w:tblPr>
        <w:tblW w:w="918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802"/>
        <w:gridCol w:w="6378"/>
      </w:tblGrid>
      <w:tr w:rsidR="0021686E" w:rsidRPr="0021686E" w14:paraId="3E8D0D6A" w14:textId="77777777" w:rsidTr="0021686E">
        <w:tc>
          <w:tcPr>
            <w:tcW w:w="9180" w:type="dxa"/>
            <w:gridSpan w:val="2"/>
            <w:tcBorders>
              <w:top w:val="single" w:sz="4" w:space="0" w:color="auto"/>
              <w:bottom w:val="single" w:sz="4" w:space="0" w:color="auto"/>
            </w:tcBorders>
            <w:shd w:val="clear" w:color="auto" w:fill="D9D9D9" w:themeFill="background1" w:themeFillShade="D9"/>
          </w:tcPr>
          <w:p w14:paraId="69A6C97F" w14:textId="77777777" w:rsidR="0021686E" w:rsidRPr="0021686E" w:rsidRDefault="0021686E" w:rsidP="007B5873">
            <w:pPr>
              <w:pStyle w:val="LCATabla"/>
              <w:jc w:val="center"/>
              <w:rPr>
                <w:rFonts w:ascii="Arial" w:hAnsi="Arial" w:cs="Arial"/>
                <w:b/>
                <w:sz w:val="20"/>
                <w:lang w:val="es-ES_tradnl" w:eastAsia="en-US"/>
              </w:rPr>
            </w:pPr>
            <w:r w:rsidRPr="0021686E">
              <w:rPr>
                <w:rFonts w:ascii="Arial" w:hAnsi="Arial" w:cs="Arial"/>
                <w:b/>
              </w:rPr>
              <w:t>N</w:t>
            </w:r>
            <w:r w:rsidR="007B5873">
              <w:rPr>
                <w:rFonts w:ascii="Arial" w:hAnsi="Arial" w:cs="Arial"/>
                <w:b/>
              </w:rPr>
              <w:t>ormas</w:t>
            </w:r>
            <w:r w:rsidRPr="0021686E">
              <w:rPr>
                <w:rFonts w:ascii="Arial" w:hAnsi="Arial" w:cs="Arial"/>
                <w:b/>
              </w:rPr>
              <w:t xml:space="preserve"> UNE-EN</w:t>
            </w:r>
          </w:p>
        </w:tc>
      </w:tr>
      <w:tr w:rsidR="002B430C" w:rsidRPr="0021686E" w14:paraId="575BC680" w14:textId="77777777" w:rsidTr="0021686E">
        <w:tc>
          <w:tcPr>
            <w:tcW w:w="2802" w:type="dxa"/>
            <w:tcBorders>
              <w:top w:val="single" w:sz="4" w:space="0" w:color="auto"/>
            </w:tcBorders>
            <w:hideMark/>
          </w:tcPr>
          <w:p w14:paraId="44487426" w14:textId="77777777" w:rsidR="002B430C" w:rsidRPr="0021686E" w:rsidRDefault="002B430C" w:rsidP="0067129E">
            <w:pPr>
              <w:pStyle w:val="LCATabla"/>
              <w:spacing w:before="40" w:after="40"/>
              <w:rPr>
                <w:rFonts w:ascii="Arial" w:hAnsi="Arial" w:cs="Arial"/>
                <w:b/>
                <w:bCs/>
                <w:sz w:val="20"/>
              </w:rPr>
            </w:pPr>
            <w:r w:rsidRPr="0021686E">
              <w:rPr>
                <w:rFonts w:ascii="Arial" w:hAnsi="Arial" w:cs="Arial"/>
                <w:b/>
                <w:bCs/>
                <w:sz w:val="20"/>
              </w:rPr>
              <w:t>UNE-EN 1317-1</w:t>
            </w:r>
            <w:r w:rsidR="00555266" w:rsidRPr="0021686E">
              <w:rPr>
                <w:rFonts w:ascii="Arial" w:hAnsi="Arial" w:cs="Arial"/>
                <w:b/>
                <w:bCs/>
                <w:sz w:val="20"/>
              </w:rPr>
              <w:t>: 2011</w:t>
            </w:r>
          </w:p>
        </w:tc>
        <w:tc>
          <w:tcPr>
            <w:tcW w:w="6378" w:type="dxa"/>
            <w:tcBorders>
              <w:top w:val="single" w:sz="4" w:space="0" w:color="auto"/>
            </w:tcBorders>
            <w:hideMark/>
          </w:tcPr>
          <w:p w14:paraId="2A9CAB13" w14:textId="77777777" w:rsidR="002B430C" w:rsidRPr="0021686E" w:rsidRDefault="002B430C" w:rsidP="0067129E">
            <w:pPr>
              <w:pStyle w:val="LCATabla"/>
              <w:spacing w:before="40" w:after="40"/>
              <w:jc w:val="both"/>
              <w:rPr>
                <w:rFonts w:ascii="Arial" w:hAnsi="Arial" w:cs="Arial"/>
                <w:sz w:val="20"/>
              </w:rPr>
            </w:pPr>
            <w:r w:rsidRPr="0021686E">
              <w:rPr>
                <w:rFonts w:ascii="Arial" w:hAnsi="Arial" w:cs="Arial"/>
                <w:sz w:val="20"/>
                <w:lang w:val="es-ES_tradnl" w:eastAsia="en-US"/>
              </w:rPr>
              <w:t>Sistemas de contención para carreteras.</w:t>
            </w:r>
            <w:r w:rsidRPr="0021686E">
              <w:rPr>
                <w:rFonts w:ascii="Arial" w:hAnsi="Arial" w:cs="Arial"/>
                <w:sz w:val="20"/>
                <w:lang w:val="es-ES_tradnl" w:eastAsia="en-US"/>
              </w:rPr>
              <w:br/>
              <w:t>Parte 1: Terminología y criterios generales para los métodos de ensayo</w:t>
            </w:r>
          </w:p>
        </w:tc>
      </w:tr>
      <w:tr w:rsidR="002B430C" w:rsidRPr="0021686E" w14:paraId="1FB7C5F9" w14:textId="77777777" w:rsidTr="0021686E">
        <w:tc>
          <w:tcPr>
            <w:tcW w:w="2802" w:type="dxa"/>
            <w:hideMark/>
          </w:tcPr>
          <w:p w14:paraId="76DB0B17" w14:textId="77777777" w:rsidR="002B430C" w:rsidRPr="0021686E" w:rsidRDefault="002B430C" w:rsidP="0067129E">
            <w:pPr>
              <w:pStyle w:val="LCATabla"/>
              <w:spacing w:before="40" w:after="40"/>
              <w:rPr>
                <w:rFonts w:ascii="Arial" w:hAnsi="Arial" w:cs="Arial"/>
                <w:b/>
                <w:bCs/>
                <w:sz w:val="20"/>
              </w:rPr>
            </w:pPr>
            <w:r w:rsidRPr="0021686E">
              <w:rPr>
                <w:rFonts w:ascii="Arial" w:hAnsi="Arial" w:cs="Arial"/>
                <w:b/>
                <w:bCs/>
                <w:sz w:val="20"/>
              </w:rPr>
              <w:t>UNE-EN 1317-2</w:t>
            </w:r>
            <w:r w:rsidR="00555266" w:rsidRPr="0021686E">
              <w:rPr>
                <w:rFonts w:ascii="Arial" w:hAnsi="Arial" w:cs="Arial"/>
                <w:b/>
                <w:bCs/>
                <w:sz w:val="20"/>
              </w:rPr>
              <w:t>: 2011</w:t>
            </w:r>
            <w:r w:rsidRPr="0021686E">
              <w:rPr>
                <w:rFonts w:ascii="Arial" w:hAnsi="Arial" w:cs="Arial"/>
                <w:b/>
                <w:bCs/>
                <w:sz w:val="20"/>
              </w:rPr>
              <w:t xml:space="preserve"> </w:t>
            </w:r>
          </w:p>
        </w:tc>
        <w:tc>
          <w:tcPr>
            <w:tcW w:w="6378" w:type="dxa"/>
            <w:hideMark/>
          </w:tcPr>
          <w:p w14:paraId="4C457574" w14:textId="77777777" w:rsidR="002B430C" w:rsidRPr="0021686E" w:rsidRDefault="002B430C" w:rsidP="0067129E">
            <w:pPr>
              <w:pStyle w:val="LCATabla"/>
              <w:spacing w:before="40" w:after="40"/>
              <w:jc w:val="both"/>
              <w:rPr>
                <w:rFonts w:ascii="Arial" w:hAnsi="Arial" w:cs="Arial"/>
                <w:sz w:val="20"/>
              </w:rPr>
            </w:pPr>
            <w:r w:rsidRPr="0021686E">
              <w:rPr>
                <w:rFonts w:ascii="Arial" w:hAnsi="Arial" w:cs="Arial"/>
                <w:sz w:val="20"/>
              </w:rPr>
              <w:t>Sistemas de contención para carreteras.</w:t>
            </w:r>
            <w:r w:rsidRPr="0021686E">
              <w:rPr>
                <w:rFonts w:ascii="Arial" w:hAnsi="Arial" w:cs="Arial"/>
                <w:sz w:val="20"/>
              </w:rPr>
              <w:br/>
              <w:t>Parte 2: Clases de comportamiento, criterios de aceptación para el ensayo de choque y métodos de ensayo para barreras de seguridad.</w:t>
            </w:r>
          </w:p>
        </w:tc>
      </w:tr>
      <w:tr w:rsidR="002B430C" w:rsidRPr="0021686E" w14:paraId="130E9CD6" w14:textId="77777777" w:rsidTr="0021686E">
        <w:tc>
          <w:tcPr>
            <w:tcW w:w="2802" w:type="dxa"/>
            <w:hideMark/>
          </w:tcPr>
          <w:p w14:paraId="6832AB56" w14:textId="77777777" w:rsidR="002B430C" w:rsidRPr="0021686E" w:rsidRDefault="002B430C" w:rsidP="0067129E">
            <w:pPr>
              <w:pStyle w:val="LCATabla"/>
              <w:spacing w:before="40" w:after="40"/>
              <w:rPr>
                <w:rFonts w:ascii="Arial" w:hAnsi="Arial" w:cs="Arial"/>
                <w:b/>
                <w:bCs/>
                <w:sz w:val="20"/>
              </w:rPr>
            </w:pPr>
            <w:r w:rsidRPr="0021686E">
              <w:rPr>
                <w:rFonts w:ascii="Arial" w:hAnsi="Arial" w:cs="Arial"/>
                <w:b/>
                <w:bCs/>
                <w:sz w:val="20"/>
              </w:rPr>
              <w:t>UNE-EN 1317-3</w:t>
            </w:r>
            <w:r w:rsidR="00555266" w:rsidRPr="0021686E">
              <w:rPr>
                <w:rFonts w:ascii="Arial" w:hAnsi="Arial" w:cs="Arial"/>
                <w:b/>
                <w:bCs/>
                <w:sz w:val="20"/>
              </w:rPr>
              <w:t>: 2011</w:t>
            </w:r>
          </w:p>
        </w:tc>
        <w:tc>
          <w:tcPr>
            <w:tcW w:w="6378" w:type="dxa"/>
            <w:hideMark/>
          </w:tcPr>
          <w:p w14:paraId="7AE3DFD3" w14:textId="77777777" w:rsidR="002B430C" w:rsidRPr="0021686E" w:rsidRDefault="002B430C" w:rsidP="0067129E">
            <w:pPr>
              <w:pStyle w:val="LCATabla"/>
              <w:spacing w:before="40" w:after="40"/>
              <w:rPr>
                <w:rFonts w:ascii="Arial" w:hAnsi="Arial" w:cs="Arial"/>
                <w:sz w:val="20"/>
              </w:rPr>
            </w:pPr>
            <w:r w:rsidRPr="0021686E">
              <w:rPr>
                <w:rFonts w:ascii="Arial" w:hAnsi="Arial" w:cs="Arial"/>
                <w:sz w:val="20"/>
              </w:rPr>
              <w:t>Sistemas de contención para carreteras.</w:t>
            </w:r>
            <w:r w:rsidRPr="0021686E">
              <w:rPr>
                <w:rFonts w:ascii="Arial" w:hAnsi="Arial" w:cs="Arial"/>
                <w:sz w:val="20"/>
              </w:rPr>
              <w:br/>
              <w:t>Parte 3: Clases de comportamiento, criterios de aceptación para el ensayo de choque y métodos de ensayo para atenuadores de impactos.</w:t>
            </w:r>
          </w:p>
        </w:tc>
      </w:tr>
      <w:tr w:rsidR="002B430C" w:rsidRPr="0021686E" w14:paraId="72717F4A" w14:textId="77777777" w:rsidTr="0021686E">
        <w:tc>
          <w:tcPr>
            <w:tcW w:w="2802" w:type="dxa"/>
            <w:hideMark/>
          </w:tcPr>
          <w:p w14:paraId="32A388E5" w14:textId="77777777" w:rsidR="002B430C" w:rsidRPr="0021686E" w:rsidRDefault="002B430C" w:rsidP="0067129E">
            <w:pPr>
              <w:pStyle w:val="LCATabla"/>
              <w:spacing w:before="40" w:after="40"/>
              <w:rPr>
                <w:rFonts w:ascii="Arial" w:hAnsi="Arial" w:cs="Arial"/>
                <w:b/>
                <w:bCs/>
                <w:sz w:val="20"/>
              </w:rPr>
            </w:pPr>
            <w:r w:rsidRPr="0021686E">
              <w:rPr>
                <w:rFonts w:ascii="Arial" w:hAnsi="Arial" w:cs="Arial"/>
                <w:b/>
                <w:bCs/>
                <w:sz w:val="20"/>
              </w:rPr>
              <w:t>UNE-ENV 1317-4</w:t>
            </w:r>
            <w:r w:rsidR="00555266" w:rsidRPr="0021686E">
              <w:rPr>
                <w:rFonts w:ascii="Arial" w:hAnsi="Arial" w:cs="Arial"/>
                <w:b/>
                <w:bCs/>
                <w:sz w:val="20"/>
              </w:rPr>
              <w:t>: 2002</w:t>
            </w:r>
          </w:p>
        </w:tc>
        <w:tc>
          <w:tcPr>
            <w:tcW w:w="6378" w:type="dxa"/>
            <w:hideMark/>
          </w:tcPr>
          <w:p w14:paraId="46C79A26" w14:textId="77777777" w:rsidR="002B430C" w:rsidRPr="0021686E" w:rsidRDefault="002B430C" w:rsidP="0067129E">
            <w:pPr>
              <w:pStyle w:val="LCATabla"/>
              <w:spacing w:before="40" w:after="40"/>
              <w:rPr>
                <w:rFonts w:ascii="Arial" w:hAnsi="Arial" w:cs="Arial"/>
                <w:sz w:val="20"/>
              </w:rPr>
            </w:pPr>
            <w:r w:rsidRPr="0021686E">
              <w:rPr>
                <w:rFonts w:ascii="Arial" w:hAnsi="Arial" w:cs="Arial"/>
                <w:sz w:val="20"/>
              </w:rPr>
              <w:t>Sistemas de contención para carreteras.</w:t>
            </w:r>
            <w:r w:rsidRPr="0021686E">
              <w:rPr>
                <w:rFonts w:ascii="Arial" w:hAnsi="Arial" w:cs="Arial"/>
                <w:sz w:val="20"/>
              </w:rPr>
              <w:br/>
              <w:t>Parte 4: Clases de comportamiento, criterios de aceptación para el ensayo de choque y métodos de ensayo para terminales y transiciones de barreras de seguridad.</w:t>
            </w:r>
          </w:p>
        </w:tc>
      </w:tr>
      <w:tr w:rsidR="002B430C" w:rsidRPr="0021686E" w14:paraId="501B7C48" w14:textId="77777777" w:rsidTr="0021686E">
        <w:tc>
          <w:tcPr>
            <w:tcW w:w="2802" w:type="dxa"/>
            <w:hideMark/>
          </w:tcPr>
          <w:p w14:paraId="072D31C6" w14:textId="77777777" w:rsidR="002B430C" w:rsidRPr="0021686E" w:rsidRDefault="002B430C" w:rsidP="0067129E">
            <w:pPr>
              <w:pStyle w:val="LCATabla"/>
              <w:spacing w:before="40" w:after="40"/>
              <w:rPr>
                <w:rFonts w:ascii="Arial" w:hAnsi="Arial" w:cs="Arial"/>
                <w:b/>
                <w:bCs/>
                <w:sz w:val="20"/>
              </w:rPr>
            </w:pPr>
            <w:r w:rsidRPr="0021686E">
              <w:rPr>
                <w:rFonts w:ascii="Arial" w:hAnsi="Arial" w:cs="Arial"/>
                <w:b/>
                <w:bCs/>
                <w:sz w:val="20"/>
              </w:rPr>
              <w:t>UNE-EN 1317-5</w:t>
            </w:r>
            <w:r w:rsidR="00555266" w:rsidRPr="0021686E">
              <w:rPr>
                <w:rFonts w:ascii="Arial" w:hAnsi="Arial" w:cs="Arial"/>
                <w:b/>
                <w:bCs/>
                <w:sz w:val="20"/>
              </w:rPr>
              <w:t>: 2008+A2: 2012</w:t>
            </w:r>
          </w:p>
        </w:tc>
        <w:tc>
          <w:tcPr>
            <w:tcW w:w="6378" w:type="dxa"/>
            <w:hideMark/>
          </w:tcPr>
          <w:p w14:paraId="6BDB1E04" w14:textId="77777777" w:rsidR="002B430C" w:rsidRPr="0021686E" w:rsidRDefault="002B430C" w:rsidP="0067129E">
            <w:pPr>
              <w:pStyle w:val="LCATabla"/>
              <w:spacing w:before="40" w:after="40"/>
              <w:rPr>
                <w:rFonts w:ascii="Arial" w:hAnsi="Arial" w:cs="Arial"/>
                <w:sz w:val="20"/>
              </w:rPr>
            </w:pPr>
            <w:r w:rsidRPr="0021686E">
              <w:rPr>
                <w:rFonts w:ascii="Arial" w:hAnsi="Arial" w:cs="Arial"/>
                <w:sz w:val="20"/>
              </w:rPr>
              <w:t>Sistemas de contención para carreteras.</w:t>
            </w:r>
            <w:r w:rsidRPr="0021686E">
              <w:rPr>
                <w:rFonts w:ascii="Arial" w:hAnsi="Arial" w:cs="Arial"/>
                <w:sz w:val="20"/>
              </w:rPr>
              <w:br/>
              <w:t>Parte 5: Requisitos de producto y evaluación de la conformidad para sistemas de contención de vehículos.</w:t>
            </w:r>
          </w:p>
        </w:tc>
      </w:tr>
    </w:tbl>
    <w:p w14:paraId="497BC7AC" w14:textId="77777777" w:rsidR="002B430C" w:rsidRPr="001622F9" w:rsidRDefault="002B430C" w:rsidP="000313DD">
      <w:pPr>
        <w:pStyle w:val="TITU2"/>
      </w:pPr>
      <w:r w:rsidRPr="001622F9">
        <w:t> </w:t>
      </w:r>
      <w:bookmarkStart w:id="1157" w:name="_Toc492538127"/>
      <w:bookmarkStart w:id="1158" w:name="_Toc462759345"/>
      <w:bookmarkStart w:id="1159" w:name="_Toc404608"/>
      <w:r w:rsidRPr="00D7794C">
        <w:t>704b.2.</w:t>
      </w:r>
      <w:r w:rsidR="001622F9">
        <w:t xml:space="preserve"> </w:t>
      </w:r>
      <w:r w:rsidRPr="00D7794C">
        <w:t>Tipos</w:t>
      </w:r>
      <w:bookmarkEnd w:id="1157"/>
      <w:bookmarkEnd w:id="1158"/>
      <w:bookmarkEnd w:id="1159"/>
    </w:p>
    <w:p w14:paraId="2CA7F271" w14:textId="77777777" w:rsidR="002B430C" w:rsidRPr="00D7794C" w:rsidRDefault="002B430C" w:rsidP="00D7794C">
      <w:pPr>
        <w:pStyle w:val="NORMAL12"/>
      </w:pPr>
      <w:r>
        <w:t xml:space="preserve">Sólo se podrán emplear sistemas de barreras de seguridad metálicas móviles para pasos de mediana certificadas y homologadas mediante ensayos experimentales a escala real. </w:t>
      </w:r>
      <w:r>
        <w:t xml:space="preserve">El marcado CE se ha obtenido a través de ensayos acreditados conformes a la norma UNE-EN 1317, y en particular su parte 5, </w:t>
      </w:r>
      <w:r w:rsidRPr="00D7794C">
        <w:t>Durabilidad y evaluación de la conformidad.</w:t>
      </w:r>
    </w:p>
    <w:p w14:paraId="420CB48A" w14:textId="77777777" w:rsidR="002B430C" w:rsidRDefault="002B430C" w:rsidP="00D7794C">
      <w:pPr>
        <w:pStyle w:val="NORMAL12"/>
      </w:pPr>
      <w:r>
        <w:t>Al ya haber entrado en vigor la obligatoriedad del marcado CE para las barreras de seguridad, sólo podrán disponerse barreras que cuenten con el marcado, al ser éste un requisito obligatorio para la comercialización del producto en el ámbito de la Unión Europea.</w:t>
      </w:r>
    </w:p>
    <w:p w14:paraId="7C76E3A7" w14:textId="77777777" w:rsidR="002B430C" w:rsidRDefault="002B430C" w:rsidP="00D7794C">
      <w:pPr>
        <w:pStyle w:val="NORMAL12"/>
      </w:pPr>
      <w:r>
        <w:t>El marcado CE es un certificado de conformidad prestacional, y no es sustitutivo, por ello, de los sellos de calidad.</w:t>
      </w:r>
    </w:p>
    <w:p w14:paraId="78086F7B" w14:textId="77777777" w:rsidR="002B430C" w:rsidRDefault="002B430C" w:rsidP="000313DD">
      <w:pPr>
        <w:pStyle w:val="TITU2"/>
      </w:pPr>
      <w:bookmarkStart w:id="1160" w:name="_Toc492538128"/>
      <w:bookmarkStart w:id="1161" w:name="_Toc462759346"/>
      <w:bookmarkStart w:id="1162" w:name="_Toc404609"/>
      <w:r w:rsidRPr="00F27B28">
        <w:t>704b.3.</w:t>
      </w:r>
      <w:r w:rsidR="001622F9">
        <w:t xml:space="preserve"> </w:t>
      </w:r>
      <w:r w:rsidRPr="00F27B28">
        <w:t>Materiales y componentes</w:t>
      </w:r>
      <w:bookmarkEnd w:id="1160"/>
      <w:bookmarkEnd w:id="1161"/>
      <w:bookmarkEnd w:id="1162"/>
    </w:p>
    <w:p w14:paraId="76A9BE96" w14:textId="77777777" w:rsidR="002B430C" w:rsidRDefault="002B430C" w:rsidP="00D7794C">
      <w:pPr>
        <w:pStyle w:val="NORMAL12"/>
      </w:pPr>
      <w:r>
        <w:t>Los materiales cumplirán las especificaciones del artículo 704 del PG-3 y de la relación anterior de normas UNE y UNE-EN que resulten de aplicación.</w:t>
      </w:r>
    </w:p>
    <w:p w14:paraId="690178E6" w14:textId="77777777" w:rsidR="002B430C" w:rsidRDefault="002B430C" w:rsidP="00D7794C">
      <w:pPr>
        <w:pStyle w:val="NORMAL12"/>
      </w:pPr>
      <w:r>
        <w:t>Se utilizará un sistema especialmente diseñado para su instalación en pasos de mediana, dotado de apertura en su tramo central mediante rótula articulada en sus extremos y disposición de ruedas.</w:t>
      </w:r>
    </w:p>
    <w:p w14:paraId="78880BDC" w14:textId="77777777" w:rsidR="002B430C" w:rsidRDefault="002B430C" w:rsidP="00D7794C">
      <w:pPr>
        <w:pStyle w:val="NORMAL12"/>
      </w:pPr>
      <w:r>
        <w:t xml:space="preserve">Proporcionará niveles de contención H2 que puedan ir desde normal hasta muy alto. </w:t>
      </w:r>
    </w:p>
    <w:p w14:paraId="163BDDE0" w14:textId="77777777" w:rsidR="002B430C" w:rsidRDefault="002B430C" w:rsidP="00D7794C">
      <w:pPr>
        <w:pStyle w:val="NORMAL12"/>
      </w:pPr>
      <w:r>
        <w:t>La rótula sobre la que pivotan los tramos de apertura debe trabajar de manera independiente a los tramos de transición a barrera existente, lo cual aumentará considerablemente la capacidad de respuesta en situaciones de emergencia.</w:t>
      </w:r>
    </w:p>
    <w:p w14:paraId="11BBA408" w14:textId="77777777" w:rsidR="002B430C" w:rsidRDefault="002B430C" w:rsidP="00D7794C">
      <w:pPr>
        <w:pStyle w:val="NORMAL12"/>
      </w:pPr>
      <w:proofErr w:type="gramStart"/>
      <w:r>
        <w:t>El sistema a instalar</w:t>
      </w:r>
      <w:proofErr w:type="gramEnd"/>
      <w:r>
        <w:t xml:space="preserve"> será tal que basten dos personas para abrirlo hasta un ángulo de hasta 60° en ambas direcciones, sin necesidad de maquinaria especial, con tan solo aflojar dos elementos, retirar los pernos de fijación rápida y bajar las ruedas integradas, el sistema se moverá. </w:t>
      </w:r>
    </w:p>
    <w:p w14:paraId="66908F96" w14:textId="77777777" w:rsidR="002B430C" w:rsidRDefault="002B430C" w:rsidP="00D7794C">
      <w:pPr>
        <w:pStyle w:val="NORMAL12"/>
      </w:pPr>
      <w:r>
        <w:t xml:space="preserve">El sistema </w:t>
      </w:r>
      <w:r w:rsidR="00F17F04">
        <w:t xml:space="preserve">debe estar </w:t>
      </w:r>
      <w:r>
        <w:t xml:space="preserve">diseñado y fabricado para dotar adecuación estructural, mínimo riesgo para el ocupante y seguridad al vehículo, tal y como recoge la norma EN 1317- 1 y 2. </w:t>
      </w:r>
    </w:p>
    <w:p w14:paraId="52E14EAC" w14:textId="77777777" w:rsidR="002B430C" w:rsidRDefault="002B430C" w:rsidP="00D7794C">
      <w:pPr>
        <w:pStyle w:val="NORMAL12"/>
      </w:pPr>
      <w:r>
        <w:t xml:space="preserve">Será un sistema construido en acero galvanizado con una altura de 900 </w:t>
      </w:r>
      <w:proofErr w:type="spellStart"/>
      <w:r>
        <w:t>mm.</w:t>
      </w:r>
      <w:proofErr w:type="spellEnd"/>
    </w:p>
    <w:p w14:paraId="28940CE1" w14:textId="77777777" w:rsidR="002B430C" w:rsidRDefault="002B430C" w:rsidP="00D7794C">
      <w:pPr>
        <w:pStyle w:val="NORMAL12"/>
      </w:pPr>
      <w:r>
        <w:t>La parte superior se presenta como una viga cuadrada, mientras que la inferior se ensancha para dotar al conjunto de la máxima estabilidad y seguridad.</w:t>
      </w:r>
    </w:p>
    <w:p w14:paraId="52BED8E5" w14:textId="77777777" w:rsidR="002B430C" w:rsidRDefault="002B430C" w:rsidP="00D7794C">
      <w:pPr>
        <w:pStyle w:val="NORMAL12"/>
      </w:pPr>
      <w:r>
        <w:t>El sistema contiene como partes fundamentales:</w:t>
      </w:r>
    </w:p>
    <w:p w14:paraId="7E93BC21" w14:textId="77777777" w:rsidR="002B430C" w:rsidRDefault="002B430C" w:rsidP="00E01981">
      <w:pPr>
        <w:pStyle w:val="NORMAL12"/>
        <w:numPr>
          <w:ilvl w:val="0"/>
          <w:numId w:val="82"/>
        </w:numPr>
      </w:pPr>
      <w:r w:rsidRPr="006153D5">
        <w:rPr>
          <w:u w:val="single"/>
        </w:rPr>
        <w:lastRenderedPageBreak/>
        <w:t>T</w:t>
      </w:r>
      <w:r w:rsidR="006153D5" w:rsidRPr="006153D5">
        <w:rPr>
          <w:u w:val="single"/>
        </w:rPr>
        <w:t>ramo de inicio/fin</w:t>
      </w:r>
      <w:r>
        <w:t xml:space="preserve"> dotado de rótula para permitir la apertura del sistema hasta 90º en ambas direcciones. También está equipado para poder adaptarse a cualquier sistema de conexión con barrera metálica, hormigón y otras conexiones especiales.</w:t>
      </w:r>
    </w:p>
    <w:p w14:paraId="04A53042" w14:textId="77777777" w:rsidR="002B430C" w:rsidRDefault="002B430C" w:rsidP="00E01981">
      <w:pPr>
        <w:pStyle w:val="NORMAL12"/>
        <w:numPr>
          <w:ilvl w:val="0"/>
          <w:numId w:val="82"/>
        </w:numPr>
      </w:pPr>
      <w:r>
        <w:t xml:space="preserve">Elemento </w:t>
      </w:r>
      <w:r w:rsidR="006153D5" w:rsidRPr="006153D5">
        <w:rPr>
          <w:u w:val="single"/>
        </w:rPr>
        <w:t>con rótula a 45º y ruedas</w:t>
      </w:r>
      <w:r w:rsidR="006153D5">
        <w:t xml:space="preserve"> </w:t>
      </w:r>
      <w:r>
        <w:t>para conexión con los tramos de inicio/fin.</w:t>
      </w:r>
    </w:p>
    <w:p w14:paraId="5039079A" w14:textId="77777777" w:rsidR="002B430C" w:rsidRDefault="002B430C" w:rsidP="00E01981">
      <w:pPr>
        <w:pStyle w:val="NORMAL12"/>
        <w:numPr>
          <w:ilvl w:val="0"/>
          <w:numId w:val="82"/>
        </w:numPr>
      </w:pPr>
      <w:r>
        <w:t>Elemento que permite dar continuidad y adaptación al sistema a cualquier longitud de tramo gracias a su sistema de conexión machihembrado de fácil instalación. Este elemento puede presentarse con ruedas o sin ellas dependiendo de la tipología del sistema.</w:t>
      </w:r>
    </w:p>
    <w:p w14:paraId="36E57E8E" w14:textId="77777777" w:rsidR="002B430C" w:rsidRDefault="002B430C" w:rsidP="00E01981">
      <w:pPr>
        <w:pStyle w:val="NORMAL12"/>
        <w:numPr>
          <w:ilvl w:val="0"/>
          <w:numId w:val="82"/>
        </w:numPr>
      </w:pPr>
      <w:r>
        <w:t xml:space="preserve">Elemento </w:t>
      </w:r>
      <w:r w:rsidR="006153D5" w:rsidRPr="006153D5">
        <w:rPr>
          <w:u w:val="single"/>
        </w:rPr>
        <w:t>con pieza de conexión de apertura rápida</w:t>
      </w:r>
      <w:r w:rsidR="006153D5">
        <w:t xml:space="preserve"> </w:t>
      </w:r>
      <w:r>
        <w:t>o similar, dotados ellos también con ruedas que permiten la cómoda apertura del sistema</w:t>
      </w:r>
    </w:p>
    <w:p w14:paraId="1D34DEBC" w14:textId="77777777" w:rsidR="002B430C" w:rsidRDefault="002B430C" w:rsidP="00E01981">
      <w:pPr>
        <w:pStyle w:val="NORMAL12"/>
        <w:numPr>
          <w:ilvl w:val="0"/>
          <w:numId w:val="82"/>
        </w:numPr>
      </w:pPr>
      <w:proofErr w:type="gramStart"/>
      <w:r>
        <w:t>T</w:t>
      </w:r>
      <w:r w:rsidR="006153D5" w:rsidRPr="006153D5">
        <w:rPr>
          <w:u w:val="single"/>
        </w:rPr>
        <w:t>ransiciones</w:t>
      </w:r>
      <w:r>
        <w:t>.-</w:t>
      </w:r>
      <w:proofErr w:type="gramEnd"/>
      <w:r>
        <w:t xml:space="preserve"> El sistema, por su versatilidad puede acoplarse a todo tipo de elemento de contención existente, permitiendo su funcionamiento tanto en posición fija, como móvil de manera autónoma, lo que reduce tiempos de respuesta en situaciones de emergencia.</w:t>
      </w:r>
    </w:p>
    <w:p w14:paraId="1051A146" w14:textId="77777777" w:rsidR="002B430C" w:rsidRDefault="002B430C" w:rsidP="000313DD">
      <w:pPr>
        <w:pStyle w:val="TITU2"/>
      </w:pPr>
      <w:bookmarkStart w:id="1163" w:name="_Toc492538129"/>
      <w:bookmarkStart w:id="1164" w:name="_Toc462759347"/>
      <w:bookmarkStart w:id="1165" w:name="_Toc404610"/>
      <w:r w:rsidRPr="00F27B28">
        <w:t>704b.4.</w:t>
      </w:r>
      <w:r w:rsidR="001622F9">
        <w:t xml:space="preserve"> </w:t>
      </w:r>
      <w:r w:rsidRPr="00F27B28">
        <w:t>Ejecución</w:t>
      </w:r>
      <w:bookmarkEnd w:id="1163"/>
      <w:bookmarkEnd w:id="1164"/>
      <w:r w:rsidR="00036C21">
        <w:t xml:space="preserve"> de las obras</w:t>
      </w:r>
      <w:bookmarkEnd w:id="1165"/>
    </w:p>
    <w:p w14:paraId="26A4BF24" w14:textId="77777777" w:rsidR="002B430C" w:rsidRPr="005170E7" w:rsidRDefault="002B430C" w:rsidP="00D7794C">
      <w:pPr>
        <w:pStyle w:val="NORMAL12"/>
      </w:pPr>
      <w:proofErr w:type="gramStart"/>
      <w:r>
        <w:t>Las barreras metálicas a emplear</w:t>
      </w:r>
      <w:proofErr w:type="gramEnd"/>
      <w:r>
        <w:t xml:space="preserve"> en este proyecto serán las dispuestas según la Orden Circular 35/2014 Sobre Criterios De Aplicación De Sistemas De Contención De Vehículos o bien dispondrán de un marcado CE otorgado por un organismo de certificación acreditado en España y que esté reconocido por el </w:t>
      </w:r>
      <w:r w:rsidRPr="005170E7">
        <w:t>Ministerio de Fomento.</w:t>
      </w:r>
    </w:p>
    <w:p w14:paraId="19459136" w14:textId="77777777" w:rsidR="002B430C" w:rsidRDefault="002B430C" w:rsidP="00D7794C">
      <w:pPr>
        <w:pStyle w:val="NORMAL12"/>
      </w:pPr>
      <w:r w:rsidRPr="005170E7">
        <w:t xml:space="preserve">Podrán utilizarse igualmente sistemas metálicos móviles </w:t>
      </w:r>
      <w:r w:rsidR="00F17F04" w:rsidRPr="005170E7">
        <w:t xml:space="preserve">equivalentes </w:t>
      </w:r>
      <w:r w:rsidRPr="005170E7">
        <w:t>para protección en pasos de mediana provenientes de otros países de la Unión Europea siempre que dispongan del marcado CE.</w:t>
      </w:r>
    </w:p>
    <w:p w14:paraId="1CE082E3" w14:textId="77777777" w:rsidR="002B430C" w:rsidRDefault="002B430C" w:rsidP="00D7794C">
      <w:pPr>
        <w:pStyle w:val="NORMAL12"/>
      </w:pPr>
      <w:r>
        <w:t xml:space="preserve">El Contratista comunicará por escrito al </w:t>
      </w:r>
      <w:proofErr w:type="gramStart"/>
      <w:r>
        <w:t>Director</w:t>
      </w:r>
      <w:proofErr w:type="gramEnd"/>
      <w:r>
        <w:t xml:space="preserve"> de Obra, con suficiente antelación antes del comienzo de la ejecución de la colocación de las barreras la relación de las empresas suministradoras y de barrera móvil a utilizar, con indicación de la marca comercial y referencia que las empresas suministradoras den a ese sistema.</w:t>
      </w:r>
    </w:p>
    <w:p w14:paraId="6C09EFC4" w14:textId="77777777" w:rsidR="002B430C" w:rsidRDefault="002B430C" w:rsidP="00D7794C">
      <w:pPr>
        <w:pStyle w:val="NORMAL12"/>
      </w:pPr>
      <w:r>
        <w:t xml:space="preserve">Se adjuntará al comunicado las especificaciones técnicas de la barrera a emplear. Se adjuntará asimismo el certificado de calidad en posesión del suministrador, que acredita que las barreras cumplen con la normativa UNE y UNE-EN de aplicación y, en consecuencia, con las especificaciones técnicas de este Pliego. </w:t>
      </w:r>
    </w:p>
    <w:p w14:paraId="54401FF9" w14:textId="77777777" w:rsidR="002B430C" w:rsidRDefault="002B430C" w:rsidP="00D7794C">
      <w:pPr>
        <w:pStyle w:val="NORMAL12"/>
      </w:pPr>
      <w:r>
        <w:t>La instalación de las barreras metálicas se realizará prestando especial atención a los requerimientos recogidos en la Orden circular 35/2014.</w:t>
      </w:r>
    </w:p>
    <w:p w14:paraId="3B177158" w14:textId="77777777" w:rsidR="00F17F04" w:rsidRDefault="002B430C" w:rsidP="00D7794C">
      <w:pPr>
        <w:pStyle w:val="NORMAL12"/>
      </w:pPr>
      <w:r>
        <w:t xml:space="preserve">Antes de comenzar la instalación de las barreras, el Contratista comprobará, tras el replanteo de las barreras, que se cumplen íntegramente todos los requisitos de disposición requeridos en la Orden Circular 35/2014 apartado 6. </w:t>
      </w:r>
    </w:p>
    <w:p w14:paraId="0D64074D" w14:textId="77777777" w:rsidR="002B430C" w:rsidRDefault="002B430C" w:rsidP="00D7794C">
      <w:pPr>
        <w:pStyle w:val="NORMAL12"/>
      </w:pPr>
      <w:r>
        <w:t xml:space="preserve">Si alguno de estos requisitos no se cumpliera con la disposición prevista en los planos del proyecto, el Contratista informará al </w:t>
      </w:r>
      <w:proofErr w:type="gramStart"/>
      <w:r>
        <w:t>Director</w:t>
      </w:r>
      <w:proofErr w:type="gramEnd"/>
      <w:r>
        <w:t xml:space="preserve"> de Obra para que éste ordene las actuaciones oportunas para dar cumplimiento al requisito. Es, por tanto, responsabilidad del Contratista realizar una revisión minuciosa de las disposiciones previstas en proyecto, cotejándolas con los datos de replanteo en campo, para garantizar que las barreras instaladas satisfarán plenamente los requisitos que seguidamente se relacionan.</w:t>
      </w:r>
    </w:p>
    <w:p w14:paraId="5178CFA4" w14:textId="77777777" w:rsidR="002B430C" w:rsidRDefault="002B430C" w:rsidP="00D7794C">
      <w:pPr>
        <w:pStyle w:val="NORMAL12"/>
      </w:pPr>
      <w:proofErr w:type="gramStart"/>
      <w:r w:rsidRPr="00A42DBC">
        <w:t>Asimismo</w:t>
      </w:r>
      <w:proofErr w:type="gramEnd"/>
      <w:r w:rsidRPr="00A42DBC">
        <w:t xml:space="preserve"> se deben cumplir los requisitos y especificaciones de longitud mínima y </w:t>
      </w:r>
      <w:proofErr w:type="spellStart"/>
      <w:r w:rsidRPr="00A42DBC">
        <w:t>pendienteado</w:t>
      </w:r>
      <w:proofErr w:type="spellEnd"/>
      <w:r w:rsidRPr="00A42DBC">
        <w:t xml:space="preserve"> de la superficie sobre la que se va a colocar la barrera que indique el fabricante del sistema.</w:t>
      </w:r>
    </w:p>
    <w:p w14:paraId="22C2A909" w14:textId="77777777" w:rsidR="006153D5" w:rsidRDefault="006153D5" w:rsidP="000313DD">
      <w:pPr>
        <w:pStyle w:val="TITU2"/>
      </w:pPr>
      <w:bookmarkStart w:id="1166" w:name="_Toc404611"/>
      <w:bookmarkStart w:id="1167" w:name="_Toc492538134"/>
      <w:bookmarkStart w:id="1168" w:name="_Toc462759352"/>
      <w:r w:rsidRPr="00F141F6">
        <w:t>704</w:t>
      </w:r>
      <w:r>
        <w:t>b</w:t>
      </w:r>
      <w:r w:rsidRPr="00F141F6">
        <w:t xml:space="preserve">.5. </w:t>
      </w:r>
      <w:r>
        <w:t>Limitaciones en la ejecución</w:t>
      </w:r>
      <w:bookmarkEnd w:id="1166"/>
    </w:p>
    <w:p w14:paraId="20DB8BAC" w14:textId="77777777" w:rsidR="006153D5" w:rsidRPr="00B81363" w:rsidRDefault="006153D5" w:rsidP="006153D5">
      <w:pPr>
        <w:pStyle w:val="NORMAL12"/>
        <w:rPr>
          <w:lang w:val="es-ES"/>
        </w:rPr>
      </w:pPr>
      <w:r>
        <w:rPr>
          <w:lang w:val="es-ES"/>
        </w:rPr>
        <w:t xml:space="preserve">No se admitirá la instalación de ninguna barrera que no cumpla como mínimo las especificaciones en cuanto a los parámetros de diseño definidas en la unidad. Todas las </w:t>
      </w:r>
      <w:r w:rsidR="00217216">
        <w:rPr>
          <w:lang w:val="es-ES"/>
        </w:rPr>
        <w:t>barreras</w:t>
      </w:r>
      <w:r>
        <w:rPr>
          <w:lang w:val="es-ES"/>
        </w:rPr>
        <w:t xml:space="preserve"> instaladas deben contar con la aprobación del </w:t>
      </w:r>
      <w:proofErr w:type="gramStart"/>
      <w:r>
        <w:rPr>
          <w:lang w:val="es-ES"/>
        </w:rPr>
        <w:t>Director</w:t>
      </w:r>
      <w:proofErr w:type="gramEnd"/>
      <w:r>
        <w:rPr>
          <w:lang w:val="es-ES"/>
        </w:rPr>
        <w:t xml:space="preserve"> de Obra.</w:t>
      </w:r>
    </w:p>
    <w:p w14:paraId="218A1150" w14:textId="77777777" w:rsidR="006153D5" w:rsidRPr="00F141F6" w:rsidRDefault="006153D5" w:rsidP="000313DD">
      <w:pPr>
        <w:pStyle w:val="TITU2"/>
      </w:pPr>
      <w:bookmarkStart w:id="1169" w:name="_Toc404612"/>
      <w:r w:rsidRPr="00F141F6">
        <w:t>704</w:t>
      </w:r>
      <w:r>
        <w:t>b</w:t>
      </w:r>
      <w:r w:rsidRPr="00F141F6">
        <w:t>.</w:t>
      </w:r>
      <w:r>
        <w:t>6</w:t>
      </w:r>
      <w:r w:rsidRPr="00F141F6">
        <w:t>. Control de calidad</w:t>
      </w:r>
      <w:bookmarkEnd w:id="1169"/>
    </w:p>
    <w:p w14:paraId="48C6FD02" w14:textId="77777777" w:rsidR="006153D5" w:rsidRDefault="006153D5" w:rsidP="006153D5">
      <w:pPr>
        <w:pStyle w:val="NORMAL12"/>
      </w:pPr>
      <w:r w:rsidRPr="00F141F6">
        <w:t>La posesión del marcado CE que posee la barrera, exime de la necesidad de realizar los controles de recepción previstos en el artículo 704.6 del PG-3. Bastará con que cada suministro de barreras metálicas se acompañe del certificado acreditativo de la posesión del marcado CE.</w:t>
      </w:r>
    </w:p>
    <w:p w14:paraId="14E5127E" w14:textId="77777777" w:rsidR="006153D5" w:rsidRPr="00F141F6" w:rsidRDefault="006153D5" w:rsidP="006153D5">
      <w:pPr>
        <w:pStyle w:val="NORMAL12"/>
      </w:pPr>
      <w:r>
        <w:t>Se realizarán los controles de calidad establecidos en la normativa vigente y el concreto en el apartado 704.6 del PG-3</w:t>
      </w:r>
    </w:p>
    <w:p w14:paraId="33031A4E" w14:textId="77777777" w:rsidR="006153D5" w:rsidRDefault="006153D5" w:rsidP="006153D5">
      <w:pPr>
        <w:pStyle w:val="NORMAL12"/>
      </w:pPr>
      <w:r w:rsidRPr="00F141F6">
        <w:t xml:space="preserve">En cualquier caso, el </w:t>
      </w:r>
      <w:proofErr w:type="gramStart"/>
      <w:r w:rsidRPr="00F141F6">
        <w:t>Director</w:t>
      </w:r>
      <w:proofErr w:type="gramEnd"/>
      <w:r w:rsidRPr="00F141F6">
        <w:t xml:space="preserve"> de Obra podrá realizar, a su juicio, los controles de calidad que estime oportunos, según los criterios del apartado 704.6 del PG-3.</w:t>
      </w:r>
    </w:p>
    <w:p w14:paraId="1914F476" w14:textId="77777777" w:rsidR="006153D5" w:rsidRPr="00F141F6" w:rsidRDefault="006153D5" w:rsidP="000313DD">
      <w:pPr>
        <w:pStyle w:val="TITU2"/>
      </w:pPr>
      <w:bookmarkStart w:id="1170" w:name="_Toc404613"/>
      <w:r>
        <w:lastRenderedPageBreak/>
        <w:t>704b.7. Criterio de aceptación o rechazo</w:t>
      </w:r>
      <w:bookmarkEnd w:id="1170"/>
    </w:p>
    <w:p w14:paraId="53F30957" w14:textId="77777777" w:rsidR="006153D5" w:rsidRPr="00F141F6" w:rsidRDefault="006153D5" w:rsidP="006153D5">
      <w:pPr>
        <w:pStyle w:val="NORMAL12"/>
      </w:pPr>
      <w:r w:rsidRPr="00F141F6">
        <w:t xml:space="preserve">Se relacionan seguidamente las especificaciones que deberá cumplir la unidad terminada para proceder a su aceptación final. </w:t>
      </w:r>
    </w:p>
    <w:tbl>
      <w:tblPr>
        <w:tblW w:w="9000" w:type="dxa"/>
        <w:tblBorders>
          <w:top w:val="single" w:sz="4" w:space="0" w:color="auto"/>
          <w:left w:val="single" w:sz="4" w:space="0" w:color="auto"/>
          <w:bottom w:val="single" w:sz="4" w:space="0" w:color="auto"/>
          <w:right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6165"/>
        <w:gridCol w:w="2835"/>
      </w:tblGrid>
      <w:tr w:rsidR="006153D5" w:rsidRPr="00F141F6" w14:paraId="3555A36E" w14:textId="77777777" w:rsidTr="003B4E71">
        <w:trPr>
          <w:tblHeader/>
        </w:trPr>
        <w:tc>
          <w:tcPr>
            <w:tcW w:w="6166" w:type="dxa"/>
            <w:tcBorders>
              <w:top w:val="single" w:sz="4" w:space="0" w:color="auto"/>
              <w:left w:val="single" w:sz="4" w:space="0" w:color="auto"/>
              <w:bottom w:val="single" w:sz="4" w:space="0" w:color="auto"/>
              <w:right w:val="nil"/>
            </w:tcBorders>
            <w:shd w:val="clear" w:color="auto" w:fill="D9D9D9" w:themeFill="background1" w:themeFillShade="D9"/>
            <w:vAlign w:val="center"/>
            <w:hideMark/>
          </w:tcPr>
          <w:p w14:paraId="2DBA2A78" w14:textId="77777777" w:rsidR="006153D5" w:rsidRPr="00F141F6" w:rsidRDefault="006153D5" w:rsidP="003B4E71">
            <w:pPr>
              <w:pStyle w:val="LCATabla"/>
              <w:keepNext/>
              <w:spacing w:line="360" w:lineRule="auto"/>
              <w:jc w:val="center"/>
              <w:rPr>
                <w:rFonts w:ascii="Arial" w:hAnsi="Arial" w:cs="Arial"/>
                <w:b/>
                <w:sz w:val="20"/>
              </w:rPr>
            </w:pPr>
            <w:r w:rsidRPr="00F141F6">
              <w:rPr>
                <w:rFonts w:ascii="Arial" w:hAnsi="Arial" w:cs="Arial"/>
                <w:b/>
                <w:sz w:val="20"/>
              </w:rPr>
              <w:t>Parámetros de aceptación final</w:t>
            </w:r>
          </w:p>
        </w:tc>
        <w:tc>
          <w:tcPr>
            <w:tcW w:w="2835" w:type="dxa"/>
            <w:tcBorders>
              <w:top w:val="single" w:sz="4" w:space="0" w:color="auto"/>
              <w:left w:val="nil"/>
              <w:bottom w:val="single" w:sz="4" w:space="0" w:color="auto"/>
              <w:right w:val="single" w:sz="4" w:space="0" w:color="auto"/>
            </w:tcBorders>
            <w:shd w:val="clear" w:color="auto" w:fill="D9D9D9" w:themeFill="background1" w:themeFillShade="D9"/>
            <w:hideMark/>
          </w:tcPr>
          <w:p w14:paraId="59FC0B98" w14:textId="77777777" w:rsidR="006153D5" w:rsidRPr="00F141F6" w:rsidRDefault="006153D5" w:rsidP="003B4E71">
            <w:pPr>
              <w:pStyle w:val="LCATabla"/>
              <w:keepNext/>
              <w:spacing w:line="360" w:lineRule="auto"/>
              <w:jc w:val="center"/>
              <w:rPr>
                <w:rFonts w:ascii="Arial" w:hAnsi="Arial" w:cs="Arial"/>
                <w:b/>
                <w:sz w:val="20"/>
              </w:rPr>
            </w:pPr>
            <w:r w:rsidRPr="00F141F6">
              <w:rPr>
                <w:rFonts w:ascii="Arial" w:hAnsi="Arial" w:cs="Arial"/>
                <w:b/>
                <w:sz w:val="20"/>
              </w:rPr>
              <w:t>Procedimiento de medida</w:t>
            </w:r>
          </w:p>
        </w:tc>
      </w:tr>
      <w:tr w:rsidR="006153D5" w:rsidRPr="00F141F6" w14:paraId="7257E9AE" w14:textId="77777777" w:rsidTr="003B4E71">
        <w:trPr>
          <w:trHeight w:val="540"/>
        </w:trPr>
        <w:tc>
          <w:tcPr>
            <w:tcW w:w="6166" w:type="dxa"/>
            <w:tcBorders>
              <w:top w:val="single" w:sz="4" w:space="0" w:color="auto"/>
              <w:left w:val="single" w:sz="4" w:space="0" w:color="auto"/>
              <w:bottom w:val="single" w:sz="4" w:space="0" w:color="auto"/>
              <w:right w:val="nil"/>
            </w:tcBorders>
            <w:hideMark/>
          </w:tcPr>
          <w:p w14:paraId="316B8B4D" w14:textId="77777777" w:rsidR="006153D5" w:rsidRPr="00F141F6" w:rsidRDefault="006153D5" w:rsidP="003B4E71">
            <w:pPr>
              <w:pStyle w:val="LCATabla"/>
              <w:spacing w:line="360" w:lineRule="auto"/>
              <w:rPr>
                <w:rFonts w:ascii="Arial" w:hAnsi="Arial" w:cs="Arial"/>
                <w:sz w:val="20"/>
              </w:rPr>
            </w:pPr>
            <w:r w:rsidRPr="00F141F6">
              <w:rPr>
                <w:rFonts w:ascii="Arial" w:hAnsi="Arial" w:cs="Arial"/>
                <w:sz w:val="20"/>
              </w:rPr>
              <w:t>Posición transversal:</w:t>
            </w:r>
          </w:p>
          <w:p w14:paraId="05CBE8BC" w14:textId="77777777" w:rsidR="006153D5" w:rsidRPr="00F141F6" w:rsidRDefault="006153D5" w:rsidP="003B4E71">
            <w:pPr>
              <w:pStyle w:val="LCATabla"/>
              <w:spacing w:line="360" w:lineRule="auto"/>
              <w:rPr>
                <w:rFonts w:ascii="Arial" w:hAnsi="Arial" w:cs="Arial"/>
                <w:sz w:val="20"/>
              </w:rPr>
            </w:pPr>
            <w:r w:rsidRPr="00F141F6">
              <w:rPr>
                <w:rFonts w:ascii="Arial" w:hAnsi="Arial" w:cs="Arial"/>
                <w:sz w:val="20"/>
              </w:rPr>
              <w:t xml:space="preserve">Distancia a obstáculo o </w:t>
            </w:r>
            <w:proofErr w:type="gramStart"/>
            <w:r w:rsidRPr="00F141F6">
              <w:rPr>
                <w:rFonts w:ascii="Arial" w:hAnsi="Arial" w:cs="Arial"/>
                <w:sz w:val="20"/>
              </w:rPr>
              <w:t>desnivel  ≥</w:t>
            </w:r>
            <w:proofErr w:type="gramEnd"/>
            <w:r w:rsidRPr="00F141F6">
              <w:rPr>
                <w:rFonts w:ascii="Arial" w:hAnsi="Arial" w:cs="Arial"/>
                <w:sz w:val="20"/>
              </w:rPr>
              <w:t xml:space="preserve"> W</w:t>
            </w:r>
          </w:p>
        </w:tc>
        <w:tc>
          <w:tcPr>
            <w:tcW w:w="2835" w:type="dxa"/>
            <w:tcBorders>
              <w:top w:val="single" w:sz="4" w:space="0" w:color="auto"/>
              <w:left w:val="nil"/>
              <w:bottom w:val="single" w:sz="4" w:space="0" w:color="auto"/>
              <w:right w:val="single" w:sz="4" w:space="0" w:color="auto"/>
            </w:tcBorders>
          </w:tcPr>
          <w:p w14:paraId="7AAC2D04" w14:textId="77777777" w:rsidR="006153D5" w:rsidRPr="00F141F6" w:rsidRDefault="006153D5" w:rsidP="003B4E71">
            <w:pPr>
              <w:pStyle w:val="LCATabla"/>
              <w:spacing w:line="360" w:lineRule="auto"/>
              <w:rPr>
                <w:rFonts w:ascii="Arial" w:hAnsi="Arial" w:cs="Arial"/>
                <w:sz w:val="20"/>
              </w:rPr>
            </w:pPr>
          </w:p>
          <w:p w14:paraId="3A47DF8D" w14:textId="77777777" w:rsidR="006153D5" w:rsidRPr="00F141F6" w:rsidRDefault="006153D5" w:rsidP="003B4E71">
            <w:pPr>
              <w:pStyle w:val="LCATabla"/>
              <w:spacing w:line="360" w:lineRule="auto"/>
              <w:rPr>
                <w:rFonts w:ascii="Arial" w:hAnsi="Arial" w:cs="Arial"/>
                <w:sz w:val="20"/>
              </w:rPr>
            </w:pPr>
            <w:r w:rsidRPr="00F141F6">
              <w:rPr>
                <w:rFonts w:ascii="Arial" w:hAnsi="Arial" w:cs="Arial"/>
                <w:sz w:val="20"/>
              </w:rPr>
              <w:t>Medición con cinta</w:t>
            </w:r>
          </w:p>
        </w:tc>
      </w:tr>
      <w:tr w:rsidR="006153D5" w:rsidRPr="00F141F6" w14:paraId="76823A80" w14:textId="77777777" w:rsidTr="003B4E71">
        <w:trPr>
          <w:trHeight w:val="540"/>
        </w:trPr>
        <w:tc>
          <w:tcPr>
            <w:tcW w:w="6166" w:type="dxa"/>
            <w:tcBorders>
              <w:top w:val="single" w:sz="4" w:space="0" w:color="auto"/>
              <w:left w:val="single" w:sz="4" w:space="0" w:color="auto"/>
              <w:bottom w:val="single" w:sz="4" w:space="0" w:color="auto"/>
              <w:right w:val="nil"/>
            </w:tcBorders>
            <w:hideMark/>
          </w:tcPr>
          <w:p w14:paraId="31ACA0AA" w14:textId="77777777" w:rsidR="006153D5" w:rsidRPr="00F141F6" w:rsidRDefault="006153D5" w:rsidP="003B4E71">
            <w:pPr>
              <w:pStyle w:val="LCATabla"/>
              <w:spacing w:line="360" w:lineRule="auto"/>
              <w:rPr>
                <w:rFonts w:ascii="Arial" w:hAnsi="Arial" w:cs="Arial"/>
                <w:sz w:val="20"/>
              </w:rPr>
            </w:pPr>
            <w:r w:rsidRPr="00F141F6">
              <w:rPr>
                <w:rFonts w:ascii="Arial" w:hAnsi="Arial" w:cs="Arial"/>
                <w:sz w:val="20"/>
              </w:rPr>
              <w:t>Desviación de la inclinación respecto de la perpendicular a la plataforma &lt; 3º</w:t>
            </w:r>
          </w:p>
        </w:tc>
        <w:tc>
          <w:tcPr>
            <w:tcW w:w="2835" w:type="dxa"/>
            <w:tcBorders>
              <w:top w:val="single" w:sz="4" w:space="0" w:color="auto"/>
              <w:left w:val="nil"/>
              <w:bottom w:val="single" w:sz="4" w:space="0" w:color="auto"/>
              <w:right w:val="single" w:sz="4" w:space="0" w:color="auto"/>
            </w:tcBorders>
            <w:vAlign w:val="center"/>
            <w:hideMark/>
          </w:tcPr>
          <w:p w14:paraId="469C5553" w14:textId="77777777" w:rsidR="006153D5" w:rsidRPr="00F141F6" w:rsidRDefault="006153D5" w:rsidP="003B4E71">
            <w:pPr>
              <w:pStyle w:val="LCATabla"/>
              <w:spacing w:line="360" w:lineRule="auto"/>
              <w:jc w:val="center"/>
              <w:rPr>
                <w:rFonts w:ascii="Arial" w:hAnsi="Arial" w:cs="Arial"/>
                <w:sz w:val="20"/>
              </w:rPr>
            </w:pPr>
            <w:r w:rsidRPr="00F141F6">
              <w:rPr>
                <w:rFonts w:ascii="Arial" w:hAnsi="Arial" w:cs="Arial"/>
                <w:sz w:val="20"/>
              </w:rPr>
              <w:t>Medición con inclinómetro y regla</w:t>
            </w:r>
          </w:p>
        </w:tc>
      </w:tr>
    </w:tbl>
    <w:p w14:paraId="7D0B292C" w14:textId="77777777" w:rsidR="006153D5" w:rsidRPr="00B81363" w:rsidRDefault="006153D5" w:rsidP="006153D5">
      <w:pPr>
        <w:pStyle w:val="NORMAL12"/>
        <w:rPr>
          <w:i/>
          <w:u w:val="single"/>
        </w:rPr>
      </w:pPr>
      <w:r w:rsidRPr="00B81363">
        <w:rPr>
          <w:i/>
          <w:u w:val="single"/>
        </w:rPr>
        <w:t>Tratamiento de no conformidades</w:t>
      </w:r>
    </w:p>
    <w:p w14:paraId="303773BF" w14:textId="77777777" w:rsidR="006153D5" w:rsidRPr="00F141F6" w:rsidRDefault="006153D5" w:rsidP="006153D5">
      <w:pPr>
        <w:pStyle w:val="NORMAL12"/>
      </w:pPr>
      <w:r w:rsidRPr="00F141F6">
        <w:t>Si alguno de los parámetros de aceptación final no se cumpliera</w:t>
      </w:r>
      <w:r>
        <w:t xml:space="preserve"> o la barrera instalada no cumple con los parámetros de diseño definidos en la unidad</w:t>
      </w:r>
      <w:r w:rsidRPr="00F141F6">
        <w:t>, no se aceptará la unidad mientras no se subsane la deficiencia. La corrección de las deficiencias correrá íntegramente por cuenta del Contratista.</w:t>
      </w:r>
    </w:p>
    <w:p w14:paraId="5A603C7A" w14:textId="77777777" w:rsidR="006153D5" w:rsidRDefault="006153D5" w:rsidP="000313DD">
      <w:pPr>
        <w:pStyle w:val="TITU2"/>
      </w:pPr>
      <w:bookmarkStart w:id="1171" w:name="_Toc404614"/>
      <w:r w:rsidRPr="00F141F6">
        <w:t>704</w:t>
      </w:r>
      <w:r w:rsidR="00AD4076">
        <w:t>b</w:t>
      </w:r>
      <w:r w:rsidRPr="00F141F6">
        <w:t>.8.</w:t>
      </w:r>
      <w:r>
        <w:t xml:space="preserve"> Periodo de garantía</w:t>
      </w:r>
      <w:bookmarkEnd w:id="1171"/>
    </w:p>
    <w:p w14:paraId="38FD0936" w14:textId="77777777" w:rsidR="006153D5" w:rsidRPr="00B81363" w:rsidRDefault="006153D5" w:rsidP="006153D5">
      <w:pPr>
        <w:pStyle w:val="NORMAL12"/>
      </w:pPr>
      <w:r w:rsidRPr="00B81363">
        <w:t>El período de garantía de los elementos constituyentes de los sistemas de contención que</w:t>
      </w:r>
      <w:r>
        <w:t xml:space="preserve"> </w:t>
      </w:r>
      <w:r w:rsidRPr="00B81363">
        <w:t xml:space="preserve">no hayan sido objeto de arrancamiento, rotura o deformación por la acción del tráfico, </w:t>
      </w:r>
      <w:r w:rsidR="00AD4076">
        <w:t>f</w:t>
      </w:r>
      <w:r w:rsidRPr="00B81363">
        <w:t>abricados e instalados con carácter permanen</w:t>
      </w:r>
      <w:r>
        <w:t>t</w:t>
      </w:r>
      <w:r w:rsidRPr="00B81363">
        <w:t xml:space="preserve">e según las normas y pliegos de prescripciones técnicas aplicables, así como conservados regularmente de acuerdo con las instrucciones facilitadas </w:t>
      </w:r>
      <w:r w:rsidR="00217216" w:rsidRPr="00B81363">
        <w:t>por el</w:t>
      </w:r>
      <w:r w:rsidRPr="00B81363">
        <w:t xml:space="preserve"> fabricante, será de dos (2) años, contabilizados desde la fecha de su instalación. </w:t>
      </w:r>
    </w:p>
    <w:p w14:paraId="5E571DE1" w14:textId="77777777" w:rsidR="002B430C" w:rsidRDefault="002B430C" w:rsidP="000313DD">
      <w:pPr>
        <w:pStyle w:val="TITU2"/>
      </w:pPr>
      <w:bookmarkStart w:id="1172" w:name="_Toc404615"/>
      <w:r w:rsidRPr="00F27B28">
        <w:t>704b.9.</w:t>
      </w:r>
      <w:r w:rsidR="001622F9">
        <w:t xml:space="preserve"> </w:t>
      </w:r>
      <w:r w:rsidRPr="00F27B28">
        <w:t>Medición y abono</w:t>
      </w:r>
      <w:bookmarkEnd w:id="1167"/>
      <w:bookmarkEnd w:id="1168"/>
      <w:bookmarkEnd w:id="1172"/>
    </w:p>
    <w:p w14:paraId="4F222298" w14:textId="77777777" w:rsidR="002B430C" w:rsidRDefault="0085450C" w:rsidP="00D7794C">
      <w:pPr>
        <w:pStyle w:val="NORMAL12"/>
      </w:pPr>
      <w:r>
        <w:t>La medición y abono de l</w:t>
      </w:r>
      <w:r w:rsidR="002B430C">
        <w:t>a unidad de obra correspondiente a</w:t>
      </w:r>
      <w:r w:rsidR="00357E41">
        <w:t xml:space="preserve"> la formación de paso de mediana de 40 </w:t>
      </w:r>
      <w:proofErr w:type="gramStart"/>
      <w:r w:rsidR="00357E41">
        <w:t>m  y</w:t>
      </w:r>
      <w:proofErr w:type="gramEnd"/>
      <w:r w:rsidR="00357E41">
        <w:t xml:space="preserve"> colocación definitiva</w:t>
      </w:r>
      <w:r w:rsidR="002B430C">
        <w:t xml:space="preserve"> </w:t>
      </w:r>
      <w:r w:rsidR="00357E41">
        <w:t>s</w:t>
      </w:r>
      <w:r w:rsidR="002B430C">
        <w:t xml:space="preserve">e </w:t>
      </w:r>
      <w:r>
        <w:t>realizará según las especificaciones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28"/>
        <w:gridCol w:w="6073"/>
      </w:tblGrid>
      <w:tr w:rsidR="002B430C" w14:paraId="3F7CE630" w14:textId="77777777" w:rsidTr="002B430C">
        <w:tc>
          <w:tcPr>
            <w:tcW w:w="0" w:type="auto"/>
            <w:tcBorders>
              <w:top w:val="single" w:sz="4" w:space="0" w:color="auto"/>
              <w:left w:val="single" w:sz="4" w:space="0" w:color="auto"/>
              <w:bottom w:val="single" w:sz="4" w:space="0" w:color="auto"/>
              <w:right w:val="single" w:sz="4" w:space="0" w:color="auto"/>
            </w:tcBorders>
            <w:vAlign w:val="center"/>
            <w:hideMark/>
          </w:tcPr>
          <w:p w14:paraId="6B960399" w14:textId="77777777" w:rsidR="002B430C" w:rsidRDefault="002B430C" w:rsidP="00401D51">
            <w:pPr>
              <w:pStyle w:val="LCATabla"/>
              <w:keepNext/>
              <w:keepLines/>
              <w:spacing w:line="360" w:lineRule="auto"/>
              <w:jc w:val="center"/>
              <w:rPr>
                <w:rFonts w:ascii="Arial" w:hAnsi="Arial" w:cs="Arial"/>
                <w:b/>
                <w:bCs/>
                <w:sz w:val="20"/>
              </w:rPr>
            </w:pPr>
            <w:r>
              <w:rPr>
                <w:rFonts w:ascii="Arial" w:hAnsi="Arial" w:cs="Arial"/>
                <w:b/>
                <w:bCs/>
                <w:sz w:val="20"/>
              </w:rPr>
              <w:t>Unidad de medida</w:t>
            </w:r>
          </w:p>
        </w:tc>
        <w:tc>
          <w:tcPr>
            <w:tcW w:w="6073" w:type="dxa"/>
            <w:tcBorders>
              <w:top w:val="single" w:sz="4" w:space="0" w:color="auto"/>
              <w:left w:val="single" w:sz="4" w:space="0" w:color="auto"/>
              <w:bottom w:val="single" w:sz="4" w:space="0" w:color="auto"/>
              <w:right w:val="single" w:sz="4" w:space="0" w:color="auto"/>
            </w:tcBorders>
            <w:vAlign w:val="center"/>
            <w:hideMark/>
          </w:tcPr>
          <w:p w14:paraId="7514F160" w14:textId="77777777" w:rsidR="002B430C" w:rsidRDefault="002B430C">
            <w:pPr>
              <w:pStyle w:val="Tabla1"/>
              <w:rPr>
                <w:sz w:val="20"/>
                <w:szCs w:val="20"/>
              </w:rPr>
            </w:pPr>
            <w:r>
              <w:rPr>
                <w:sz w:val="20"/>
                <w:szCs w:val="20"/>
              </w:rPr>
              <w:t>Unidad (</w:t>
            </w:r>
            <w:proofErr w:type="spellStart"/>
            <w:r>
              <w:rPr>
                <w:sz w:val="20"/>
                <w:szCs w:val="20"/>
              </w:rPr>
              <w:t>ud</w:t>
            </w:r>
            <w:proofErr w:type="spellEnd"/>
            <w:r>
              <w:rPr>
                <w:sz w:val="20"/>
                <w:szCs w:val="20"/>
              </w:rPr>
              <w:t>).</w:t>
            </w:r>
          </w:p>
        </w:tc>
      </w:tr>
      <w:tr w:rsidR="002B430C" w14:paraId="3A969B1E" w14:textId="77777777" w:rsidTr="002B430C">
        <w:tc>
          <w:tcPr>
            <w:tcW w:w="0" w:type="auto"/>
            <w:tcBorders>
              <w:top w:val="single" w:sz="4" w:space="0" w:color="auto"/>
              <w:left w:val="single" w:sz="4" w:space="0" w:color="auto"/>
              <w:bottom w:val="single" w:sz="4" w:space="0" w:color="auto"/>
              <w:right w:val="single" w:sz="4" w:space="0" w:color="auto"/>
            </w:tcBorders>
            <w:vAlign w:val="center"/>
            <w:hideMark/>
          </w:tcPr>
          <w:p w14:paraId="35979216" w14:textId="77777777" w:rsidR="002B430C" w:rsidRDefault="002B430C" w:rsidP="00401D51">
            <w:pPr>
              <w:pStyle w:val="LCATabla"/>
              <w:keepNext/>
              <w:keepLines/>
              <w:spacing w:line="360" w:lineRule="auto"/>
              <w:jc w:val="center"/>
              <w:rPr>
                <w:rFonts w:ascii="Arial" w:hAnsi="Arial" w:cs="Arial"/>
                <w:b/>
                <w:bCs/>
                <w:sz w:val="20"/>
              </w:rPr>
            </w:pPr>
            <w:r>
              <w:rPr>
                <w:rFonts w:ascii="Arial" w:hAnsi="Arial" w:cs="Arial"/>
                <w:b/>
                <w:bCs/>
                <w:sz w:val="20"/>
              </w:rPr>
              <w:t>Grado de precisión</w:t>
            </w:r>
          </w:p>
        </w:tc>
        <w:tc>
          <w:tcPr>
            <w:tcW w:w="6073" w:type="dxa"/>
            <w:tcBorders>
              <w:top w:val="single" w:sz="4" w:space="0" w:color="auto"/>
              <w:left w:val="single" w:sz="4" w:space="0" w:color="auto"/>
              <w:bottom w:val="single" w:sz="4" w:space="0" w:color="auto"/>
              <w:right w:val="single" w:sz="4" w:space="0" w:color="auto"/>
            </w:tcBorders>
            <w:vAlign w:val="center"/>
            <w:hideMark/>
          </w:tcPr>
          <w:p w14:paraId="12CC16E2" w14:textId="77777777" w:rsidR="002B430C" w:rsidRDefault="002B430C">
            <w:pPr>
              <w:pStyle w:val="Tabla1"/>
              <w:rPr>
                <w:sz w:val="20"/>
                <w:szCs w:val="20"/>
              </w:rPr>
            </w:pPr>
            <w:r>
              <w:rPr>
                <w:sz w:val="20"/>
                <w:szCs w:val="20"/>
              </w:rPr>
              <w:t>Unidades exactas.</w:t>
            </w:r>
          </w:p>
        </w:tc>
      </w:tr>
      <w:tr w:rsidR="002B430C" w14:paraId="2245A15A" w14:textId="77777777" w:rsidTr="002B430C">
        <w:tc>
          <w:tcPr>
            <w:tcW w:w="0" w:type="auto"/>
            <w:tcBorders>
              <w:top w:val="single" w:sz="4" w:space="0" w:color="auto"/>
              <w:left w:val="single" w:sz="4" w:space="0" w:color="auto"/>
              <w:bottom w:val="single" w:sz="4" w:space="0" w:color="auto"/>
              <w:right w:val="single" w:sz="4" w:space="0" w:color="auto"/>
            </w:tcBorders>
            <w:vAlign w:val="center"/>
            <w:hideMark/>
          </w:tcPr>
          <w:p w14:paraId="3EC99E86" w14:textId="77777777" w:rsidR="002B430C" w:rsidRDefault="002B430C" w:rsidP="00401D51">
            <w:pPr>
              <w:pStyle w:val="LCATabla"/>
              <w:keepNext/>
              <w:keepLines/>
              <w:spacing w:line="360" w:lineRule="auto"/>
              <w:jc w:val="center"/>
              <w:rPr>
                <w:rFonts w:ascii="Arial" w:hAnsi="Arial" w:cs="Arial"/>
                <w:b/>
                <w:bCs/>
                <w:sz w:val="20"/>
              </w:rPr>
            </w:pPr>
            <w:r>
              <w:rPr>
                <w:rFonts w:ascii="Arial" w:hAnsi="Arial" w:cs="Arial"/>
                <w:b/>
                <w:bCs/>
                <w:sz w:val="20"/>
              </w:rPr>
              <w:t>Forma de medición</w:t>
            </w:r>
          </w:p>
        </w:tc>
        <w:tc>
          <w:tcPr>
            <w:tcW w:w="6073" w:type="dxa"/>
            <w:tcBorders>
              <w:top w:val="single" w:sz="4" w:space="0" w:color="auto"/>
              <w:left w:val="single" w:sz="4" w:space="0" w:color="auto"/>
              <w:bottom w:val="single" w:sz="4" w:space="0" w:color="auto"/>
              <w:right w:val="single" w:sz="4" w:space="0" w:color="auto"/>
            </w:tcBorders>
            <w:vAlign w:val="center"/>
            <w:hideMark/>
          </w:tcPr>
          <w:p w14:paraId="57D33F3D" w14:textId="77777777" w:rsidR="002B430C" w:rsidRDefault="002B430C">
            <w:pPr>
              <w:pStyle w:val="Tabla1"/>
              <w:rPr>
                <w:sz w:val="20"/>
                <w:szCs w:val="20"/>
              </w:rPr>
            </w:pPr>
            <w:r>
              <w:rPr>
                <w:sz w:val="20"/>
                <w:szCs w:val="20"/>
              </w:rPr>
              <w:t>Unidad de barrera de paso de mediana de 40m realmente ejecutadas en obra.</w:t>
            </w:r>
          </w:p>
          <w:p w14:paraId="5E2DE8B7" w14:textId="77777777" w:rsidR="00357E41" w:rsidRDefault="00357E41">
            <w:pPr>
              <w:pStyle w:val="Tabla1"/>
              <w:rPr>
                <w:sz w:val="20"/>
                <w:szCs w:val="20"/>
              </w:rPr>
            </w:pPr>
            <w:r>
              <w:rPr>
                <w:sz w:val="20"/>
                <w:szCs w:val="20"/>
              </w:rPr>
              <w:t>La colocación definitiva de pasos de mediana</w:t>
            </w:r>
          </w:p>
        </w:tc>
      </w:tr>
      <w:tr w:rsidR="002B430C" w14:paraId="4406A6B4" w14:textId="77777777" w:rsidTr="002B430C">
        <w:tc>
          <w:tcPr>
            <w:tcW w:w="0" w:type="auto"/>
            <w:tcBorders>
              <w:top w:val="single" w:sz="4" w:space="0" w:color="auto"/>
              <w:left w:val="single" w:sz="4" w:space="0" w:color="auto"/>
              <w:bottom w:val="single" w:sz="4" w:space="0" w:color="auto"/>
              <w:right w:val="single" w:sz="4" w:space="0" w:color="auto"/>
            </w:tcBorders>
            <w:vAlign w:val="center"/>
            <w:hideMark/>
          </w:tcPr>
          <w:p w14:paraId="644BD09C" w14:textId="77777777" w:rsidR="002B430C" w:rsidRDefault="002B430C" w:rsidP="00401D51">
            <w:pPr>
              <w:pStyle w:val="LCATabla"/>
              <w:keepNext/>
              <w:keepLines/>
              <w:spacing w:line="360" w:lineRule="auto"/>
              <w:jc w:val="center"/>
              <w:rPr>
                <w:rFonts w:ascii="Arial" w:hAnsi="Arial" w:cs="Arial"/>
                <w:b/>
                <w:bCs/>
                <w:sz w:val="20"/>
              </w:rPr>
            </w:pPr>
            <w:r>
              <w:rPr>
                <w:rFonts w:ascii="Arial" w:hAnsi="Arial" w:cs="Arial"/>
                <w:b/>
                <w:bCs/>
                <w:sz w:val="20"/>
              </w:rPr>
              <w:t>Abono</w:t>
            </w:r>
          </w:p>
        </w:tc>
        <w:tc>
          <w:tcPr>
            <w:tcW w:w="6073" w:type="dxa"/>
            <w:tcBorders>
              <w:top w:val="single" w:sz="4" w:space="0" w:color="auto"/>
              <w:left w:val="single" w:sz="4" w:space="0" w:color="auto"/>
              <w:bottom w:val="single" w:sz="4" w:space="0" w:color="auto"/>
              <w:right w:val="single" w:sz="4" w:space="0" w:color="auto"/>
            </w:tcBorders>
            <w:vAlign w:val="center"/>
            <w:hideMark/>
          </w:tcPr>
          <w:p w14:paraId="4B8EE57C" w14:textId="77777777" w:rsidR="002B430C" w:rsidRDefault="002B430C">
            <w:pPr>
              <w:pStyle w:val="Tabla1"/>
              <w:rPr>
                <w:sz w:val="20"/>
                <w:szCs w:val="20"/>
              </w:rPr>
            </w:pPr>
            <w:r>
              <w:rPr>
                <w:sz w:val="20"/>
                <w:szCs w:val="20"/>
              </w:rPr>
              <w:t>Se efectuará cuando se realice la aceptación.</w:t>
            </w:r>
          </w:p>
        </w:tc>
      </w:tr>
      <w:tr w:rsidR="002B430C" w14:paraId="651DBA99" w14:textId="77777777" w:rsidTr="002B430C">
        <w:tc>
          <w:tcPr>
            <w:tcW w:w="0" w:type="auto"/>
            <w:tcBorders>
              <w:top w:val="single" w:sz="4" w:space="0" w:color="auto"/>
              <w:left w:val="single" w:sz="4" w:space="0" w:color="auto"/>
              <w:bottom w:val="single" w:sz="4" w:space="0" w:color="auto"/>
              <w:right w:val="single" w:sz="4" w:space="0" w:color="auto"/>
            </w:tcBorders>
            <w:vAlign w:val="center"/>
            <w:hideMark/>
          </w:tcPr>
          <w:p w14:paraId="4E362D5E" w14:textId="77777777" w:rsidR="002B430C" w:rsidRDefault="002B430C" w:rsidP="00401D51">
            <w:pPr>
              <w:pStyle w:val="LCATabla"/>
              <w:keepNext/>
              <w:keepLines/>
              <w:spacing w:line="360" w:lineRule="auto"/>
              <w:jc w:val="center"/>
              <w:rPr>
                <w:rFonts w:ascii="Arial" w:hAnsi="Arial" w:cs="Arial"/>
                <w:b/>
                <w:bCs/>
                <w:sz w:val="20"/>
              </w:rPr>
            </w:pPr>
            <w:r>
              <w:rPr>
                <w:rFonts w:ascii="Arial" w:hAnsi="Arial" w:cs="Arial"/>
                <w:b/>
                <w:bCs/>
                <w:sz w:val="20"/>
              </w:rPr>
              <w:t>Criterios complementarios</w:t>
            </w:r>
          </w:p>
        </w:tc>
        <w:tc>
          <w:tcPr>
            <w:tcW w:w="6073" w:type="dxa"/>
            <w:tcBorders>
              <w:top w:val="single" w:sz="4" w:space="0" w:color="auto"/>
              <w:left w:val="single" w:sz="4" w:space="0" w:color="auto"/>
              <w:bottom w:val="single" w:sz="4" w:space="0" w:color="auto"/>
              <w:right w:val="single" w:sz="4" w:space="0" w:color="auto"/>
            </w:tcBorders>
            <w:vAlign w:val="center"/>
            <w:hideMark/>
          </w:tcPr>
          <w:p w14:paraId="0F775128" w14:textId="77777777" w:rsidR="002B430C" w:rsidRDefault="002B430C">
            <w:pPr>
              <w:pStyle w:val="Tabla1"/>
              <w:rPr>
                <w:sz w:val="20"/>
                <w:szCs w:val="20"/>
              </w:rPr>
            </w:pPr>
            <w:r>
              <w:rPr>
                <w:sz w:val="20"/>
                <w:szCs w:val="20"/>
              </w:rPr>
              <w:t>Los precios incluyen todos los materiales, mano de obra, maquinaria y medios auxiliares necesarios para la correcta ejecución de la unidad, incluso ensayos previos y característicos cuando proceda.</w:t>
            </w:r>
          </w:p>
          <w:p w14:paraId="6F71357C" w14:textId="77777777" w:rsidR="002B430C" w:rsidRDefault="00F74B11">
            <w:pPr>
              <w:pStyle w:val="Tabla1"/>
              <w:rPr>
                <w:sz w:val="20"/>
                <w:szCs w:val="20"/>
              </w:rPr>
            </w:pPr>
            <w:r w:rsidRPr="00C61E14">
              <w:rPr>
                <w:sz w:val="20"/>
                <w:szCs w:val="20"/>
              </w:rPr>
              <w:t xml:space="preserve">El precio incluye la disposición de </w:t>
            </w:r>
            <w:proofErr w:type="spellStart"/>
            <w:r w:rsidRPr="00C61E14">
              <w:rPr>
                <w:sz w:val="20"/>
                <w:szCs w:val="20"/>
              </w:rPr>
              <w:t>captafaros</w:t>
            </w:r>
            <w:proofErr w:type="spellEnd"/>
            <w:r w:rsidRPr="00C61E14">
              <w:rPr>
                <w:sz w:val="20"/>
                <w:szCs w:val="20"/>
              </w:rPr>
              <w:t xml:space="preserve"> con las condiciones establecidas en el artículo 703 del presente pliego</w:t>
            </w:r>
          </w:p>
        </w:tc>
      </w:tr>
    </w:tbl>
    <w:p w14:paraId="408C76CB" w14:textId="77777777" w:rsidR="002B430C" w:rsidRDefault="002B430C" w:rsidP="002B430C">
      <w:pPr>
        <w:rPr>
          <w:rFonts w:ascii="Arial" w:hAnsi="Arial"/>
          <w:sz w:val="22"/>
          <w:szCs w:val="20"/>
        </w:rPr>
      </w:pPr>
    </w:p>
    <w:p w14:paraId="67B62335" w14:textId="77777777" w:rsidR="001E5C25" w:rsidRDefault="001E5C25" w:rsidP="00E02E87">
      <w:pPr>
        <w:tabs>
          <w:tab w:val="left" w:pos="567"/>
          <w:tab w:val="left" w:pos="1134"/>
          <w:tab w:val="left" w:pos="1701"/>
        </w:tabs>
        <w:spacing w:line="360" w:lineRule="auto"/>
        <w:rPr>
          <w:rFonts w:ascii="Arial" w:hAnsi="Arial" w:cs="Arial"/>
          <w:b/>
          <w:color w:val="365F91" w:themeColor="accent1" w:themeShade="BF"/>
          <w:sz w:val="22"/>
          <w:lang w:val="es-ES_tradnl"/>
        </w:rPr>
      </w:pPr>
    </w:p>
    <w:p w14:paraId="5171A3CF" w14:textId="77777777" w:rsidR="005C7A38" w:rsidRDefault="005C7A38" w:rsidP="00E02E87">
      <w:pPr>
        <w:tabs>
          <w:tab w:val="left" w:pos="567"/>
          <w:tab w:val="left" w:pos="1134"/>
          <w:tab w:val="left" w:pos="1701"/>
        </w:tabs>
        <w:spacing w:line="360" w:lineRule="auto"/>
        <w:rPr>
          <w:rFonts w:ascii="Arial" w:hAnsi="Arial" w:cs="Arial"/>
          <w:b/>
          <w:color w:val="365F91" w:themeColor="accent1" w:themeShade="BF"/>
          <w:sz w:val="22"/>
          <w:lang w:val="es-ES_tradnl"/>
        </w:rPr>
      </w:pPr>
    </w:p>
    <w:p w14:paraId="0FA62A32" w14:textId="77777777" w:rsidR="005C7A38" w:rsidRDefault="005C7A38" w:rsidP="00E02E87">
      <w:pPr>
        <w:tabs>
          <w:tab w:val="left" w:pos="567"/>
          <w:tab w:val="left" w:pos="1134"/>
          <w:tab w:val="left" w:pos="1701"/>
        </w:tabs>
        <w:spacing w:line="360" w:lineRule="auto"/>
        <w:rPr>
          <w:rFonts w:ascii="Arial" w:hAnsi="Arial" w:cs="Arial"/>
          <w:b/>
          <w:color w:val="365F91" w:themeColor="accent1" w:themeShade="BF"/>
          <w:sz w:val="22"/>
          <w:lang w:val="es-ES_tradnl"/>
        </w:rPr>
      </w:pPr>
    </w:p>
    <w:p w14:paraId="74AD8C83" w14:textId="77777777" w:rsidR="00060353" w:rsidRDefault="00060353" w:rsidP="00E02E87">
      <w:pPr>
        <w:tabs>
          <w:tab w:val="left" w:pos="567"/>
          <w:tab w:val="left" w:pos="1134"/>
          <w:tab w:val="left" w:pos="1701"/>
        </w:tabs>
        <w:spacing w:line="360" w:lineRule="auto"/>
        <w:rPr>
          <w:rFonts w:ascii="Arial" w:hAnsi="Arial" w:cs="Arial"/>
          <w:b/>
          <w:color w:val="365F91" w:themeColor="accent1" w:themeShade="BF"/>
          <w:sz w:val="22"/>
          <w:lang w:val="es-ES_tradnl"/>
        </w:rPr>
      </w:pPr>
    </w:p>
    <w:p w14:paraId="40F48150" w14:textId="77777777" w:rsidR="00060353" w:rsidRDefault="00060353" w:rsidP="00E02E87">
      <w:pPr>
        <w:tabs>
          <w:tab w:val="left" w:pos="567"/>
          <w:tab w:val="left" w:pos="1134"/>
          <w:tab w:val="left" w:pos="1701"/>
        </w:tabs>
        <w:spacing w:line="360" w:lineRule="auto"/>
        <w:rPr>
          <w:rFonts w:ascii="Arial" w:hAnsi="Arial" w:cs="Arial"/>
          <w:b/>
          <w:color w:val="365F91" w:themeColor="accent1" w:themeShade="BF"/>
          <w:sz w:val="22"/>
          <w:lang w:val="es-ES_tradnl"/>
        </w:rPr>
      </w:pPr>
    </w:p>
    <w:p w14:paraId="7F11C07C" w14:textId="77777777" w:rsidR="007354B4" w:rsidRPr="00CE0780" w:rsidRDefault="00CE0780" w:rsidP="007354B4">
      <w:pPr>
        <w:pStyle w:val="TITU1"/>
        <w:rPr>
          <w:lang w:val="es-ES_tradnl"/>
        </w:rPr>
      </w:pPr>
      <w:bookmarkStart w:id="1173" w:name="_Toc404616"/>
      <w:bookmarkStart w:id="1174" w:name="_Toc398747502"/>
      <w:bookmarkStart w:id="1175" w:name="_Toc399509143"/>
      <w:bookmarkStart w:id="1176" w:name="_Toc400741637"/>
      <w:bookmarkStart w:id="1177" w:name="_Ref524003525"/>
      <w:bookmarkStart w:id="1178" w:name="_Toc524094431"/>
      <w:bookmarkStart w:id="1179" w:name="_Toc492538149"/>
      <w:bookmarkStart w:id="1180" w:name="_Toc398747517"/>
      <w:bookmarkStart w:id="1181" w:name="_Toc352530396"/>
      <w:r>
        <w:rPr>
          <w:lang w:val="es-ES_tradnl"/>
        </w:rPr>
        <w:lastRenderedPageBreak/>
        <w:t>Artículo 706.</w:t>
      </w:r>
      <w:r w:rsidR="007354B4" w:rsidRPr="00CE0780">
        <w:rPr>
          <w:lang w:val="es-ES_tradnl"/>
        </w:rPr>
        <w:t xml:space="preserve"> Pretiles metálicos</w:t>
      </w:r>
      <w:bookmarkEnd w:id="1173"/>
    </w:p>
    <w:p w14:paraId="671260DC" w14:textId="77777777" w:rsidR="007354B4" w:rsidRPr="002005BA" w:rsidRDefault="007354B4" w:rsidP="007354B4">
      <w:pPr>
        <w:pStyle w:val="NORMAL12"/>
      </w:pPr>
      <w:r w:rsidRPr="002005BA">
        <w:t>Excepto para lo especificado en el presente Pliego de Prescripciones Técnicas particulares se seguirá lo prescrito en el vigente artículo 704 del PG-3, en lo que resulte de aplicación a pretiles metálicos.</w:t>
      </w:r>
    </w:p>
    <w:p w14:paraId="471AD607" w14:textId="77777777" w:rsidR="007354B4" w:rsidRPr="002005BA" w:rsidRDefault="007354B4" w:rsidP="007354B4">
      <w:pPr>
        <w:pStyle w:val="NORMAL12"/>
      </w:pPr>
      <w:r w:rsidRPr="002005BA">
        <w:t>Los materiales, proceso de fabricación y control de calidad seguirá las prescripciones de las normas UNE y UNE-EN siguientes:</w:t>
      </w:r>
    </w:p>
    <w:p w14:paraId="6B9198EA" w14:textId="77777777" w:rsidR="007354B4" w:rsidRPr="002005BA" w:rsidRDefault="007354B4" w:rsidP="007354B4">
      <w:pPr>
        <w:pStyle w:val="Descripcin"/>
      </w:pPr>
      <w:r w:rsidRPr="002005BA">
        <w:t>N</w:t>
      </w:r>
      <w:r w:rsidR="00D921B6">
        <w:t xml:space="preserve">ormas </w:t>
      </w:r>
      <w:r w:rsidRPr="002005BA">
        <w:t>UNE-EN</w:t>
      </w:r>
    </w:p>
    <w:tbl>
      <w:tblPr>
        <w:tblW w:w="9180" w:type="dxa"/>
        <w:tblBorders>
          <w:top w:val="single" w:sz="12" w:space="0" w:color="000000"/>
          <w:left w:val="single" w:sz="6" w:space="0" w:color="000000"/>
          <w:bottom w:val="single" w:sz="12" w:space="0" w:color="000000"/>
          <w:right w:val="single" w:sz="6" w:space="0" w:color="000000"/>
        </w:tblBorders>
        <w:tblLook w:val="04A0" w:firstRow="1" w:lastRow="0" w:firstColumn="1" w:lastColumn="0" w:noHBand="0" w:noVBand="1"/>
      </w:tblPr>
      <w:tblGrid>
        <w:gridCol w:w="1809"/>
        <w:gridCol w:w="7371"/>
      </w:tblGrid>
      <w:tr w:rsidR="007354B4" w:rsidRPr="00A8316A" w14:paraId="549EF25C" w14:textId="77777777" w:rsidTr="00A8316A">
        <w:tc>
          <w:tcPr>
            <w:tcW w:w="1809" w:type="dxa"/>
            <w:tcBorders>
              <w:bottom w:val="single" w:sz="6" w:space="0" w:color="000000"/>
            </w:tcBorders>
            <w:shd w:val="clear" w:color="auto" w:fill="D9D9D9" w:themeFill="background1" w:themeFillShade="D9"/>
            <w:hideMark/>
          </w:tcPr>
          <w:p w14:paraId="4BA4490F" w14:textId="77777777" w:rsidR="007354B4" w:rsidRPr="00A8316A" w:rsidRDefault="007354B4" w:rsidP="007B5873">
            <w:pPr>
              <w:pStyle w:val="LCATabla"/>
              <w:rPr>
                <w:rFonts w:ascii="Arial" w:hAnsi="Arial" w:cs="Arial"/>
                <w:b/>
                <w:sz w:val="20"/>
              </w:rPr>
            </w:pPr>
            <w:r w:rsidRPr="00A8316A">
              <w:rPr>
                <w:rFonts w:ascii="Arial" w:hAnsi="Arial" w:cs="Arial"/>
                <w:b/>
                <w:sz w:val="20"/>
              </w:rPr>
              <w:t>C</w:t>
            </w:r>
            <w:r w:rsidR="007B5873">
              <w:rPr>
                <w:rFonts w:ascii="Arial" w:hAnsi="Arial" w:cs="Arial"/>
                <w:b/>
                <w:sz w:val="20"/>
              </w:rPr>
              <w:t>ódigo</w:t>
            </w:r>
          </w:p>
        </w:tc>
        <w:tc>
          <w:tcPr>
            <w:tcW w:w="7371" w:type="dxa"/>
            <w:tcBorders>
              <w:bottom w:val="single" w:sz="6" w:space="0" w:color="000000"/>
            </w:tcBorders>
            <w:shd w:val="clear" w:color="auto" w:fill="D9D9D9" w:themeFill="background1" w:themeFillShade="D9"/>
            <w:hideMark/>
          </w:tcPr>
          <w:p w14:paraId="7893AE9F" w14:textId="77777777" w:rsidR="007354B4" w:rsidRPr="00A8316A" w:rsidRDefault="007354B4" w:rsidP="007B5873">
            <w:pPr>
              <w:pStyle w:val="LCATabla"/>
              <w:rPr>
                <w:rFonts w:ascii="Arial" w:hAnsi="Arial" w:cs="Arial"/>
                <w:b/>
                <w:sz w:val="20"/>
              </w:rPr>
            </w:pPr>
            <w:r w:rsidRPr="00A8316A">
              <w:rPr>
                <w:rFonts w:ascii="Arial" w:hAnsi="Arial" w:cs="Arial"/>
                <w:b/>
                <w:sz w:val="20"/>
              </w:rPr>
              <w:t>T</w:t>
            </w:r>
            <w:r w:rsidR="007B5873">
              <w:rPr>
                <w:rFonts w:ascii="Arial" w:hAnsi="Arial" w:cs="Arial"/>
                <w:b/>
                <w:sz w:val="20"/>
              </w:rPr>
              <w:t>ítulo</w:t>
            </w:r>
          </w:p>
        </w:tc>
      </w:tr>
      <w:tr w:rsidR="007354B4" w:rsidRPr="00A8316A" w14:paraId="78BFB5B3" w14:textId="77777777" w:rsidTr="007354B4">
        <w:tc>
          <w:tcPr>
            <w:tcW w:w="1809" w:type="dxa"/>
            <w:hideMark/>
          </w:tcPr>
          <w:p w14:paraId="70C4A323" w14:textId="77777777" w:rsidR="007354B4" w:rsidRPr="00A8316A" w:rsidRDefault="007354B4" w:rsidP="007354B4">
            <w:pPr>
              <w:pStyle w:val="LCATabla"/>
              <w:rPr>
                <w:rFonts w:ascii="Arial" w:hAnsi="Arial" w:cs="Arial"/>
                <w:sz w:val="20"/>
              </w:rPr>
            </w:pPr>
            <w:r w:rsidRPr="00A8316A">
              <w:rPr>
                <w:rFonts w:ascii="Arial" w:hAnsi="Arial" w:cs="Arial"/>
                <w:sz w:val="20"/>
              </w:rPr>
              <w:t>UNE-EN 1317-1</w:t>
            </w:r>
          </w:p>
        </w:tc>
        <w:tc>
          <w:tcPr>
            <w:tcW w:w="7371" w:type="dxa"/>
            <w:hideMark/>
          </w:tcPr>
          <w:p w14:paraId="42B36F40" w14:textId="77777777" w:rsidR="007354B4" w:rsidRPr="00A8316A" w:rsidRDefault="007354B4" w:rsidP="007354B4">
            <w:pPr>
              <w:pStyle w:val="LCATabla"/>
              <w:rPr>
                <w:rFonts w:ascii="Arial" w:hAnsi="Arial" w:cs="Arial"/>
                <w:sz w:val="20"/>
              </w:rPr>
            </w:pPr>
            <w:r w:rsidRPr="00A8316A">
              <w:rPr>
                <w:rFonts w:ascii="Arial" w:hAnsi="Arial" w:cs="Arial"/>
                <w:sz w:val="20"/>
              </w:rPr>
              <w:t>Sistemas de contención para carreteras.</w:t>
            </w:r>
            <w:r w:rsidRPr="00A8316A">
              <w:rPr>
                <w:rFonts w:ascii="Arial" w:hAnsi="Arial" w:cs="Arial"/>
                <w:sz w:val="20"/>
              </w:rPr>
              <w:br/>
              <w:t>Parte 1: Terminología y criterios generales para los métodos de ensayo</w:t>
            </w:r>
          </w:p>
        </w:tc>
      </w:tr>
      <w:tr w:rsidR="007354B4" w:rsidRPr="00A8316A" w14:paraId="3CDCA0EF" w14:textId="77777777" w:rsidTr="007354B4">
        <w:tc>
          <w:tcPr>
            <w:tcW w:w="1809" w:type="dxa"/>
            <w:hideMark/>
          </w:tcPr>
          <w:p w14:paraId="6DAA90DB" w14:textId="77777777" w:rsidR="007354B4" w:rsidRPr="00A8316A" w:rsidRDefault="007354B4" w:rsidP="007354B4">
            <w:pPr>
              <w:pStyle w:val="LCATabla"/>
              <w:rPr>
                <w:rFonts w:ascii="Arial" w:hAnsi="Arial" w:cs="Arial"/>
                <w:sz w:val="20"/>
              </w:rPr>
            </w:pPr>
            <w:r w:rsidRPr="00A8316A">
              <w:rPr>
                <w:rFonts w:ascii="Arial" w:hAnsi="Arial" w:cs="Arial"/>
                <w:sz w:val="20"/>
              </w:rPr>
              <w:t>UNE-EN 1317-2</w:t>
            </w:r>
          </w:p>
        </w:tc>
        <w:tc>
          <w:tcPr>
            <w:tcW w:w="7371" w:type="dxa"/>
            <w:hideMark/>
          </w:tcPr>
          <w:p w14:paraId="43841313" w14:textId="77777777" w:rsidR="007354B4" w:rsidRPr="00A8316A" w:rsidRDefault="007354B4" w:rsidP="007354B4">
            <w:pPr>
              <w:pStyle w:val="LCATabla"/>
              <w:rPr>
                <w:rFonts w:ascii="Arial" w:hAnsi="Arial" w:cs="Arial"/>
                <w:sz w:val="20"/>
              </w:rPr>
            </w:pPr>
            <w:r w:rsidRPr="00A8316A">
              <w:rPr>
                <w:rFonts w:ascii="Arial" w:hAnsi="Arial" w:cs="Arial"/>
                <w:sz w:val="20"/>
              </w:rPr>
              <w:t>Sistemas de contención para carreteras.</w:t>
            </w:r>
            <w:r w:rsidRPr="00A8316A">
              <w:rPr>
                <w:rFonts w:ascii="Arial" w:hAnsi="Arial" w:cs="Arial"/>
                <w:sz w:val="20"/>
              </w:rPr>
              <w:br/>
              <w:t>Parte 2: Clases de comportamiento, criterios de aceptación para el ensayo de choque y métodos de ensayo para barreras de seguridad.</w:t>
            </w:r>
          </w:p>
        </w:tc>
      </w:tr>
      <w:tr w:rsidR="007354B4" w:rsidRPr="00A8316A" w14:paraId="3AD0BFDA" w14:textId="77777777" w:rsidTr="007354B4">
        <w:tc>
          <w:tcPr>
            <w:tcW w:w="1809" w:type="dxa"/>
            <w:hideMark/>
          </w:tcPr>
          <w:p w14:paraId="7716D347" w14:textId="77777777" w:rsidR="007354B4" w:rsidRPr="00A8316A" w:rsidRDefault="007354B4" w:rsidP="007354B4">
            <w:pPr>
              <w:pStyle w:val="LCATabla"/>
              <w:rPr>
                <w:rFonts w:ascii="Arial" w:hAnsi="Arial" w:cs="Arial"/>
                <w:sz w:val="20"/>
              </w:rPr>
            </w:pPr>
            <w:r w:rsidRPr="00A8316A">
              <w:rPr>
                <w:rFonts w:ascii="Arial" w:hAnsi="Arial" w:cs="Arial"/>
                <w:sz w:val="20"/>
              </w:rPr>
              <w:t>UNE-EN 1317-3</w:t>
            </w:r>
          </w:p>
        </w:tc>
        <w:tc>
          <w:tcPr>
            <w:tcW w:w="7371" w:type="dxa"/>
            <w:hideMark/>
          </w:tcPr>
          <w:p w14:paraId="41B43E8F" w14:textId="77777777" w:rsidR="007354B4" w:rsidRPr="00A8316A" w:rsidRDefault="007354B4" w:rsidP="007354B4">
            <w:pPr>
              <w:pStyle w:val="LCATabla"/>
              <w:rPr>
                <w:rFonts w:ascii="Arial" w:hAnsi="Arial" w:cs="Arial"/>
                <w:sz w:val="20"/>
              </w:rPr>
            </w:pPr>
            <w:r w:rsidRPr="00A8316A">
              <w:rPr>
                <w:rFonts w:ascii="Arial" w:hAnsi="Arial" w:cs="Arial"/>
                <w:sz w:val="20"/>
              </w:rPr>
              <w:t>Sistemas de contención para carreteras.</w:t>
            </w:r>
            <w:r w:rsidRPr="00A8316A">
              <w:rPr>
                <w:rFonts w:ascii="Arial" w:hAnsi="Arial" w:cs="Arial"/>
                <w:sz w:val="20"/>
              </w:rPr>
              <w:br/>
              <w:t>Parte 3: Clases de comportamiento, criterios de aceptación para el ensayo de choque y métodos de ensayo para atenuadores de impactos.</w:t>
            </w:r>
          </w:p>
        </w:tc>
      </w:tr>
      <w:tr w:rsidR="007354B4" w:rsidRPr="00A8316A" w14:paraId="4D12CAE8" w14:textId="77777777" w:rsidTr="007354B4">
        <w:tc>
          <w:tcPr>
            <w:tcW w:w="1809" w:type="dxa"/>
            <w:hideMark/>
          </w:tcPr>
          <w:p w14:paraId="755CE81B" w14:textId="77777777" w:rsidR="007354B4" w:rsidRPr="00A8316A" w:rsidRDefault="007354B4" w:rsidP="007354B4">
            <w:pPr>
              <w:pStyle w:val="LCATabla"/>
              <w:rPr>
                <w:rFonts w:ascii="Arial" w:hAnsi="Arial" w:cs="Arial"/>
                <w:sz w:val="20"/>
              </w:rPr>
            </w:pPr>
            <w:r w:rsidRPr="00A8316A">
              <w:rPr>
                <w:rFonts w:ascii="Arial" w:hAnsi="Arial" w:cs="Arial"/>
                <w:sz w:val="20"/>
              </w:rPr>
              <w:t>UNE-ENV 1317-4</w:t>
            </w:r>
          </w:p>
        </w:tc>
        <w:tc>
          <w:tcPr>
            <w:tcW w:w="7371" w:type="dxa"/>
            <w:hideMark/>
          </w:tcPr>
          <w:p w14:paraId="084152D1" w14:textId="77777777" w:rsidR="007354B4" w:rsidRPr="00A8316A" w:rsidRDefault="007354B4" w:rsidP="007354B4">
            <w:pPr>
              <w:pStyle w:val="LCATabla"/>
              <w:rPr>
                <w:rFonts w:ascii="Arial" w:hAnsi="Arial" w:cs="Arial"/>
                <w:sz w:val="20"/>
              </w:rPr>
            </w:pPr>
            <w:r w:rsidRPr="00A8316A">
              <w:rPr>
                <w:rFonts w:ascii="Arial" w:hAnsi="Arial" w:cs="Arial"/>
                <w:sz w:val="20"/>
              </w:rPr>
              <w:t>Sistemas de contención para carreteras.</w:t>
            </w:r>
            <w:r w:rsidRPr="00A8316A">
              <w:rPr>
                <w:rFonts w:ascii="Arial" w:hAnsi="Arial" w:cs="Arial"/>
                <w:sz w:val="20"/>
              </w:rPr>
              <w:br/>
              <w:t>Parte 4: Clases de comportamiento, criterios de aceptación para el ensayo de choque y métodos de ensayo para terminales y transiciones de barreras de seguridad.</w:t>
            </w:r>
          </w:p>
        </w:tc>
      </w:tr>
      <w:tr w:rsidR="007354B4" w:rsidRPr="00A8316A" w14:paraId="0995F473" w14:textId="77777777" w:rsidTr="007354B4">
        <w:tc>
          <w:tcPr>
            <w:tcW w:w="1809" w:type="dxa"/>
            <w:hideMark/>
          </w:tcPr>
          <w:p w14:paraId="64FEFBD9" w14:textId="77777777" w:rsidR="007354B4" w:rsidRPr="00A8316A" w:rsidRDefault="007354B4" w:rsidP="007354B4">
            <w:pPr>
              <w:pStyle w:val="LCATabla"/>
              <w:rPr>
                <w:rFonts w:ascii="Arial" w:hAnsi="Arial" w:cs="Arial"/>
                <w:sz w:val="20"/>
              </w:rPr>
            </w:pPr>
            <w:r w:rsidRPr="00A8316A">
              <w:rPr>
                <w:rFonts w:ascii="Arial" w:hAnsi="Arial" w:cs="Arial"/>
                <w:sz w:val="20"/>
              </w:rPr>
              <w:t>UNE-EN 1317-5</w:t>
            </w:r>
          </w:p>
        </w:tc>
        <w:tc>
          <w:tcPr>
            <w:tcW w:w="7371" w:type="dxa"/>
            <w:hideMark/>
          </w:tcPr>
          <w:p w14:paraId="25109E4F" w14:textId="77777777" w:rsidR="007354B4" w:rsidRPr="00A8316A" w:rsidRDefault="007354B4" w:rsidP="007354B4">
            <w:pPr>
              <w:pStyle w:val="LCATabla"/>
              <w:rPr>
                <w:rFonts w:ascii="Arial" w:hAnsi="Arial" w:cs="Arial"/>
                <w:sz w:val="20"/>
              </w:rPr>
            </w:pPr>
            <w:r w:rsidRPr="00A8316A">
              <w:rPr>
                <w:rFonts w:ascii="Arial" w:hAnsi="Arial" w:cs="Arial"/>
                <w:sz w:val="20"/>
              </w:rPr>
              <w:t>Sistemas de contención para carreteras.</w:t>
            </w:r>
            <w:r w:rsidRPr="00A8316A">
              <w:rPr>
                <w:rFonts w:ascii="Arial" w:hAnsi="Arial" w:cs="Arial"/>
                <w:sz w:val="20"/>
              </w:rPr>
              <w:br/>
              <w:t>Parte 5: Requisitos de producto y evaluación de la conformidad para sistemas de contención de vehículos.</w:t>
            </w:r>
          </w:p>
        </w:tc>
      </w:tr>
    </w:tbl>
    <w:p w14:paraId="58CF98A6" w14:textId="77777777" w:rsidR="00401D51" w:rsidRDefault="00401D51" w:rsidP="007354B4">
      <w:pPr>
        <w:pStyle w:val="Descripcin"/>
      </w:pPr>
    </w:p>
    <w:p w14:paraId="2F1FECFA" w14:textId="77777777" w:rsidR="00401D51" w:rsidRDefault="00401D51" w:rsidP="007354B4">
      <w:pPr>
        <w:pStyle w:val="Descripcin"/>
      </w:pPr>
    </w:p>
    <w:p w14:paraId="76D2F009" w14:textId="77777777" w:rsidR="00401D51" w:rsidRDefault="00401D51" w:rsidP="007354B4">
      <w:pPr>
        <w:pStyle w:val="Descripcin"/>
      </w:pPr>
    </w:p>
    <w:p w14:paraId="154F7279" w14:textId="77777777" w:rsidR="007354B4" w:rsidRPr="002005BA" w:rsidRDefault="007354B4" w:rsidP="007354B4">
      <w:pPr>
        <w:pStyle w:val="Descripcin"/>
      </w:pPr>
      <w:r w:rsidRPr="002005BA">
        <w:t>N</w:t>
      </w:r>
      <w:r w:rsidR="00D921B6">
        <w:t>ormativa española</w:t>
      </w:r>
    </w:p>
    <w:tbl>
      <w:tblPr>
        <w:tblW w:w="8787" w:type="dxa"/>
        <w:tblBorders>
          <w:top w:val="single" w:sz="12" w:space="0" w:color="000000"/>
          <w:left w:val="single" w:sz="6" w:space="0" w:color="000000"/>
          <w:bottom w:val="single" w:sz="12" w:space="0" w:color="000000"/>
          <w:right w:val="single" w:sz="6" w:space="0" w:color="000000"/>
        </w:tblBorders>
        <w:tblLook w:val="04A0" w:firstRow="1" w:lastRow="0" w:firstColumn="1" w:lastColumn="0" w:noHBand="0" w:noVBand="1"/>
      </w:tblPr>
      <w:tblGrid>
        <w:gridCol w:w="1835"/>
        <w:gridCol w:w="6952"/>
      </w:tblGrid>
      <w:tr w:rsidR="007354B4" w:rsidRPr="00401D51" w14:paraId="6A5844B6" w14:textId="77777777" w:rsidTr="00401D51">
        <w:trPr>
          <w:trHeight w:val="367"/>
        </w:trPr>
        <w:tc>
          <w:tcPr>
            <w:tcW w:w="1835" w:type="dxa"/>
            <w:tcBorders>
              <w:bottom w:val="single" w:sz="6" w:space="0" w:color="000000"/>
            </w:tcBorders>
            <w:shd w:val="clear" w:color="auto" w:fill="D9D9D9" w:themeFill="background1" w:themeFillShade="D9"/>
            <w:hideMark/>
          </w:tcPr>
          <w:p w14:paraId="23E74055" w14:textId="77777777" w:rsidR="007354B4" w:rsidRPr="00401D51" w:rsidRDefault="007354B4" w:rsidP="007B5873">
            <w:pPr>
              <w:pStyle w:val="LCATabla"/>
              <w:rPr>
                <w:rFonts w:ascii="Arial" w:hAnsi="Arial" w:cs="Arial"/>
                <w:b/>
                <w:sz w:val="20"/>
              </w:rPr>
            </w:pPr>
            <w:r w:rsidRPr="00401D51">
              <w:rPr>
                <w:rFonts w:ascii="Arial" w:hAnsi="Arial" w:cs="Arial"/>
                <w:b/>
                <w:sz w:val="20"/>
              </w:rPr>
              <w:t>C</w:t>
            </w:r>
            <w:r w:rsidR="007B5873">
              <w:rPr>
                <w:rFonts w:ascii="Arial" w:hAnsi="Arial" w:cs="Arial"/>
                <w:b/>
                <w:sz w:val="20"/>
              </w:rPr>
              <w:t>ódigo</w:t>
            </w:r>
          </w:p>
        </w:tc>
        <w:tc>
          <w:tcPr>
            <w:tcW w:w="6952" w:type="dxa"/>
            <w:tcBorders>
              <w:bottom w:val="single" w:sz="6" w:space="0" w:color="000000"/>
            </w:tcBorders>
            <w:shd w:val="clear" w:color="auto" w:fill="D9D9D9" w:themeFill="background1" w:themeFillShade="D9"/>
            <w:hideMark/>
          </w:tcPr>
          <w:p w14:paraId="799BD571" w14:textId="77777777" w:rsidR="007354B4" w:rsidRPr="00401D51" w:rsidRDefault="007354B4" w:rsidP="007B5873">
            <w:pPr>
              <w:pStyle w:val="LCATabla"/>
              <w:rPr>
                <w:rFonts w:ascii="Arial" w:hAnsi="Arial" w:cs="Arial"/>
                <w:b/>
                <w:sz w:val="20"/>
              </w:rPr>
            </w:pPr>
            <w:r w:rsidRPr="00401D51">
              <w:rPr>
                <w:rFonts w:ascii="Arial" w:hAnsi="Arial" w:cs="Arial"/>
                <w:b/>
                <w:sz w:val="20"/>
              </w:rPr>
              <w:t>T</w:t>
            </w:r>
            <w:r w:rsidR="007B5873">
              <w:rPr>
                <w:rFonts w:ascii="Arial" w:hAnsi="Arial" w:cs="Arial"/>
                <w:b/>
                <w:sz w:val="20"/>
              </w:rPr>
              <w:t>ítulo</w:t>
            </w:r>
          </w:p>
        </w:tc>
      </w:tr>
      <w:tr w:rsidR="007354B4" w:rsidRPr="00401D51" w14:paraId="0C8ABF8A" w14:textId="77777777" w:rsidTr="007354B4">
        <w:trPr>
          <w:trHeight w:val="573"/>
        </w:trPr>
        <w:tc>
          <w:tcPr>
            <w:tcW w:w="1835" w:type="dxa"/>
            <w:hideMark/>
          </w:tcPr>
          <w:p w14:paraId="5750F346" w14:textId="77777777" w:rsidR="007354B4" w:rsidRPr="00401D51" w:rsidRDefault="007354B4" w:rsidP="007354B4">
            <w:pPr>
              <w:pStyle w:val="LCATabla"/>
              <w:rPr>
                <w:rFonts w:ascii="Arial" w:hAnsi="Arial" w:cs="Arial"/>
                <w:sz w:val="20"/>
              </w:rPr>
            </w:pPr>
            <w:r w:rsidRPr="00401D51">
              <w:rPr>
                <w:rFonts w:ascii="Arial" w:hAnsi="Arial" w:cs="Arial"/>
                <w:sz w:val="20"/>
              </w:rPr>
              <w:t>Orden Circular 35/2014</w:t>
            </w:r>
          </w:p>
        </w:tc>
        <w:tc>
          <w:tcPr>
            <w:tcW w:w="6952" w:type="dxa"/>
            <w:hideMark/>
          </w:tcPr>
          <w:p w14:paraId="5791B99E" w14:textId="77777777" w:rsidR="007354B4" w:rsidRPr="00401D51" w:rsidRDefault="007354B4" w:rsidP="007354B4">
            <w:pPr>
              <w:pStyle w:val="LCATabla"/>
              <w:rPr>
                <w:rFonts w:ascii="Arial" w:hAnsi="Arial" w:cs="Arial"/>
                <w:sz w:val="20"/>
              </w:rPr>
            </w:pPr>
            <w:r w:rsidRPr="00401D51">
              <w:rPr>
                <w:rFonts w:ascii="Arial" w:hAnsi="Arial" w:cs="Arial"/>
                <w:sz w:val="20"/>
              </w:rPr>
              <w:t>Sobre Criterios De Aplicación De Sistemas De Contención De Vehículos</w:t>
            </w:r>
          </w:p>
        </w:tc>
      </w:tr>
    </w:tbl>
    <w:p w14:paraId="41E2BC24" w14:textId="77777777" w:rsidR="007354B4" w:rsidRPr="002005BA" w:rsidRDefault="007354B4" w:rsidP="000313DD">
      <w:pPr>
        <w:pStyle w:val="TITU2"/>
      </w:pPr>
      <w:r w:rsidRPr="002005BA">
        <w:br w:type="column"/>
      </w:r>
      <w:bookmarkStart w:id="1182" w:name="_Toc404617"/>
      <w:r w:rsidR="00696EE5">
        <w:t xml:space="preserve">706.1. </w:t>
      </w:r>
      <w:r w:rsidRPr="002005BA">
        <w:tab/>
        <w:t>Aplicación</w:t>
      </w:r>
      <w:bookmarkEnd w:id="1182"/>
    </w:p>
    <w:p w14:paraId="325894F5" w14:textId="77777777" w:rsidR="007354B4" w:rsidRPr="002005BA" w:rsidRDefault="007354B4" w:rsidP="007354B4">
      <w:pPr>
        <w:pStyle w:val="NORMAL12"/>
      </w:pPr>
      <w:r w:rsidRPr="002005BA">
        <w:t xml:space="preserve">Las prescripciones contenidas en esta cláusula </w:t>
      </w:r>
      <w:proofErr w:type="gramStart"/>
      <w:r w:rsidRPr="002005BA">
        <w:t>son de aplicación</w:t>
      </w:r>
      <w:proofErr w:type="gramEnd"/>
      <w:r w:rsidRPr="002005BA">
        <w:t xml:space="preserve"> a las unidades de obra siguientes:</w:t>
      </w:r>
    </w:p>
    <w:tbl>
      <w:tblPr>
        <w:tblW w:w="5000" w:type="pct"/>
        <w:tblLook w:val="04A0" w:firstRow="1" w:lastRow="0" w:firstColumn="1" w:lastColumn="0" w:noHBand="0" w:noVBand="1"/>
      </w:tblPr>
      <w:tblGrid>
        <w:gridCol w:w="1709"/>
        <w:gridCol w:w="1269"/>
        <w:gridCol w:w="6876"/>
      </w:tblGrid>
      <w:tr w:rsidR="002F141E" w:rsidRPr="002005BA" w14:paraId="7B9A2A06" w14:textId="77777777" w:rsidTr="00401D51">
        <w:trPr>
          <w:trHeight w:val="439"/>
        </w:trPr>
        <w:tc>
          <w:tcPr>
            <w:tcW w:w="867" w:type="pct"/>
          </w:tcPr>
          <w:p w14:paraId="0B5759B8" w14:textId="77777777" w:rsidR="002F141E" w:rsidRPr="00D921B6" w:rsidRDefault="002F141E" w:rsidP="0042506C">
            <w:pPr>
              <w:rPr>
                <w:rFonts w:ascii="Calibri" w:hAnsi="Calibri"/>
                <w:color w:val="000000"/>
              </w:rPr>
            </w:pPr>
            <w:r w:rsidRPr="00D921B6">
              <w:rPr>
                <w:rFonts w:ascii="Calibri" w:hAnsi="Calibri"/>
                <w:color w:val="000000"/>
              </w:rPr>
              <w:t xml:space="preserve">617.0020          </w:t>
            </w:r>
          </w:p>
        </w:tc>
        <w:tc>
          <w:tcPr>
            <w:tcW w:w="644" w:type="pct"/>
          </w:tcPr>
          <w:p w14:paraId="31198BBC" w14:textId="77777777" w:rsidR="002F141E" w:rsidRPr="00D921B6" w:rsidRDefault="002F141E" w:rsidP="0042506C">
            <w:pPr>
              <w:rPr>
                <w:rFonts w:ascii="Calibri" w:hAnsi="Calibri"/>
                <w:color w:val="000000"/>
              </w:rPr>
            </w:pPr>
            <w:r w:rsidRPr="00D921B6">
              <w:rPr>
                <w:rFonts w:ascii="Calibri" w:hAnsi="Calibri"/>
                <w:color w:val="000000"/>
              </w:rPr>
              <w:t>m</w:t>
            </w:r>
          </w:p>
        </w:tc>
        <w:tc>
          <w:tcPr>
            <w:tcW w:w="3489" w:type="pct"/>
          </w:tcPr>
          <w:p w14:paraId="3C12855C" w14:textId="77777777" w:rsidR="002F141E" w:rsidRPr="00D921B6" w:rsidRDefault="002F141E" w:rsidP="0042506C">
            <w:pPr>
              <w:jc w:val="both"/>
              <w:rPr>
                <w:rFonts w:ascii="Calibri" w:hAnsi="Calibri"/>
                <w:color w:val="000000"/>
              </w:rPr>
            </w:pPr>
            <w:r w:rsidRPr="00D921B6">
              <w:rPr>
                <w:rFonts w:ascii="Calibri" w:hAnsi="Calibri"/>
                <w:color w:val="000000"/>
              </w:rPr>
              <w:t>PRETIL CON NIVEL DE CONTENCIÓN H3, ANCHURA DE TRABAJO W2 O INFERIOR, DEFLEXIÓN DINÁMICA 0,60 m O INFERIOR, ÍNDICE DE SEVERIDAD B i/ ANCLAJES Y TODOS LOS MATERIALES Y OPERACIONES NECESARIOS PARA LA CORRECTA EJECUCIÓN DE LA UNIDAD DE OBRA.</w:t>
            </w:r>
          </w:p>
          <w:p w14:paraId="2D930100" w14:textId="77777777" w:rsidR="002F141E" w:rsidRPr="00D921B6" w:rsidRDefault="002F141E" w:rsidP="00DE6646">
            <w:pPr>
              <w:jc w:val="both"/>
              <w:rPr>
                <w:rFonts w:ascii="Calibri" w:hAnsi="Calibri"/>
                <w:color w:val="000000"/>
              </w:rPr>
            </w:pPr>
          </w:p>
        </w:tc>
      </w:tr>
      <w:tr w:rsidR="002F141E" w:rsidRPr="002005BA" w14:paraId="04822306" w14:textId="77777777" w:rsidTr="00401D51">
        <w:trPr>
          <w:trHeight w:val="439"/>
        </w:trPr>
        <w:tc>
          <w:tcPr>
            <w:tcW w:w="867" w:type="pct"/>
          </w:tcPr>
          <w:p w14:paraId="644B1DE4" w14:textId="77777777" w:rsidR="002F141E" w:rsidRPr="00D921B6" w:rsidRDefault="002F141E" w:rsidP="0042506C">
            <w:pPr>
              <w:rPr>
                <w:rFonts w:ascii="Calibri" w:hAnsi="Calibri"/>
                <w:color w:val="000000"/>
              </w:rPr>
            </w:pPr>
            <w:r w:rsidRPr="00D921B6">
              <w:rPr>
                <w:rFonts w:ascii="Calibri" w:hAnsi="Calibri"/>
                <w:color w:val="000000"/>
              </w:rPr>
              <w:t xml:space="preserve">617.0030N         </w:t>
            </w:r>
          </w:p>
        </w:tc>
        <w:tc>
          <w:tcPr>
            <w:tcW w:w="644" w:type="pct"/>
          </w:tcPr>
          <w:p w14:paraId="30C69B75" w14:textId="77777777" w:rsidR="002F141E" w:rsidRPr="00D921B6" w:rsidRDefault="002F141E" w:rsidP="0042506C">
            <w:pPr>
              <w:rPr>
                <w:rFonts w:ascii="Calibri" w:hAnsi="Calibri"/>
                <w:color w:val="000000"/>
              </w:rPr>
            </w:pPr>
            <w:r w:rsidRPr="00D921B6">
              <w:rPr>
                <w:rFonts w:ascii="Calibri" w:hAnsi="Calibri"/>
                <w:color w:val="000000"/>
              </w:rPr>
              <w:t>m</w:t>
            </w:r>
          </w:p>
        </w:tc>
        <w:tc>
          <w:tcPr>
            <w:tcW w:w="3489" w:type="pct"/>
          </w:tcPr>
          <w:p w14:paraId="4E4692FF" w14:textId="77777777" w:rsidR="002F141E" w:rsidRPr="00D921B6" w:rsidRDefault="002F141E" w:rsidP="007B5873">
            <w:pPr>
              <w:jc w:val="both"/>
              <w:rPr>
                <w:rFonts w:ascii="Calibri" w:hAnsi="Calibri"/>
                <w:color w:val="000000"/>
              </w:rPr>
            </w:pPr>
            <w:r w:rsidRPr="00D921B6">
              <w:rPr>
                <w:rFonts w:ascii="Calibri" w:hAnsi="Calibri"/>
                <w:color w:val="000000"/>
              </w:rPr>
              <w:t>PRETIL DE HORMIGÓNCON NIVEL DE CONTENCIÓN H4b, ANCHURA DE TRABAJO W4 O INFERIOR, DEFLEXIÓN DINÁMICA 0,98 m O INFERIOR, ÍNDICE DE SEVERIDAD B i/ ANCLAJES Y TODOS LOS MATERIALES Y OPERACIONES NECESARIOS PARA LA CORRECTA EJECUCIÓN DE LA UNIDAD DE OBRA.</w:t>
            </w:r>
          </w:p>
        </w:tc>
      </w:tr>
    </w:tbl>
    <w:p w14:paraId="0F863D41" w14:textId="77777777" w:rsidR="007354B4" w:rsidRPr="00F64464" w:rsidRDefault="007354B4" w:rsidP="000313DD">
      <w:pPr>
        <w:pStyle w:val="TITU2"/>
      </w:pPr>
      <w:r w:rsidRPr="002005BA">
        <w:t> </w:t>
      </w:r>
      <w:bookmarkStart w:id="1183" w:name="_Toc404618"/>
      <w:r w:rsidR="00CE0780">
        <w:t>706.2.</w:t>
      </w:r>
      <w:r w:rsidR="00F64464">
        <w:t xml:space="preserve"> </w:t>
      </w:r>
      <w:r w:rsidRPr="00F64464">
        <w:t>Tipos</w:t>
      </w:r>
      <w:bookmarkEnd w:id="1183"/>
    </w:p>
    <w:p w14:paraId="2BE89033" w14:textId="77777777" w:rsidR="007354B4" w:rsidRPr="002005BA" w:rsidRDefault="007354B4" w:rsidP="007354B4">
      <w:pPr>
        <w:pStyle w:val="NORMAL12"/>
      </w:pPr>
      <w:r w:rsidRPr="002005BA">
        <w:t xml:space="preserve">Sólo se podrán emplear sistemas de contención de vehículos o pretiles metálicos certificados y homologados mediante ensayos experimentales a escala real según la norma UNE-EN 1317. Tales sistemas certificados y homologados están recogidos en la Orden Circular 35/2014 Sobre Criterios </w:t>
      </w:r>
      <w:r w:rsidR="00401D51">
        <w:t>d</w:t>
      </w:r>
      <w:r w:rsidRPr="002005BA">
        <w:t xml:space="preserve">e </w:t>
      </w:r>
      <w:r w:rsidR="00401D51">
        <w:t>a</w:t>
      </w:r>
      <w:r w:rsidRPr="002005BA">
        <w:t xml:space="preserve">plicación </w:t>
      </w:r>
      <w:r w:rsidR="00401D51">
        <w:t>d</w:t>
      </w:r>
      <w:r w:rsidRPr="002005BA">
        <w:t xml:space="preserve">e </w:t>
      </w:r>
      <w:r w:rsidR="00401D51">
        <w:t>s</w:t>
      </w:r>
      <w:r w:rsidRPr="002005BA">
        <w:t xml:space="preserve">istemas </w:t>
      </w:r>
      <w:r w:rsidR="00401D51">
        <w:t>d</w:t>
      </w:r>
      <w:r w:rsidRPr="002005BA">
        <w:t xml:space="preserve">e </w:t>
      </w:r>
      <w:r w:rsidR="00401D51">
        <w:t>c</w:t>
      </w:r>
      <w:r w:rsidRPr="002005BA">
        <w:t xml:space="preserve">ontención </w:t>
      </w:r>
      <w:r w:rsidR="00401D51">
        <w:t>d</w:t>
      </w:r>
      <w:r w:rsidRPr="002005BA">
        <w:t xml:space="preserve">e </w:t>
      </w:r>
      <w:r w:rsidR="00401D51">
        <w:t>v</w:t>
      </w:r>
      <w:r w:rsidRPr="002005BA">
        <w:t>ehículos.</w:t>
      </w:r>
    </w:p>
    <w:p w14:paraId="13F0C71A" w14:textId="77777777" w:rsidR="007354B4" w:rsidRPr="002005BA" w:rsidRDefault="007354B4" w:rsidP="007354B4">
      <w:pPr>
        <w:pStyle w:val="NORMAL12"/>
      </w:pPr>
      <w:r w:rsidRPr="002005BA">
        <w:t xml:space="preserve"> Al ya haber entrado en vigor la obligatoriedad del marcado CE para los nuevos pretiles metálicos, sólo podrán disponerse barreras que cuenten con el marcado, al ser éste un requisito obligatorio para la comercialización del producto en el ámbito de la Unión Europea. El marcado CE se obtendrá a través de ensayos acreditados conformes a la norma UNE-EN 1317, y en particular su parte 2.</w:t>
      </w:r>
    </w:p>
    <w:p w14:paraId="1712EA5E" w14:textId="77777777" w:rsidR="007354B4" w:rsidRPr="00A8316A" w:rsidRDefault="007354B4" w:rsidP="00A8316A">
      <w:pPr>
        <w:pStyle w:val="NORMAL12"/>
        <w:rPr>
          <w:i/>
          <w:u w:val="single"/>
        </w:rPr>
      </w:pPr>
      <w:r w:rsidRPr="00A8316A">
        <w:rPr>
          <w:i/>
          <w:u w:val="single"/>
        </w:rPr>
        <w:t>Características del sistema a emplear</w:t>
      </w:r>
    </w:p>
    <w:p w14:paraId="4BB5DB49" w14:textId="77777777" w:rsidR="007354B4" w:rsidRPr="002005BA" w:rsidRDefault="007354B4" w:rsidP="007354B4">
      <w:pPr>
        <w:pStyle w:val="NORMAL12"/>
      </w:pPr>
      <w:r w:rsidRPr="002005BA">
        <w:t>Los parámetros definitorios del sistema de contención en la estructura del P.K. 0+820 son los siguientes (con el significado recogido en UNE-EN 1317):</w:t>
      </w:r>
    </w:p>
    <w:p w14:paraId="1AAA4FC5" w14:textId="77777777" w:rsidR="007354B4" w:rsidRPr="002005BA" w:rsidRDefault="007354B4" w:rsidP="00221E1A">
      <w:pPr>
        <w:pStyle w:val="NORMAL12"/>
        <w:numPr>
          <w:ilvl w:val="0"/>
          <w:numId w:val="158"/>
        </w:numPr>
      </w:pPr>
      <w:r w:rsidRPr="002005BA">
        <w:t>Nivel de contención:</w:t>
      </w:r>
      <w:r w:rsidRPr="002005BA">
        <w:tab/>
      </w:r>
      <w:r w:rsidRPr="002005BA">
        <w:tab/>
      </w:r>
      <w:r>
        <w:tab/>
      </w:r>
      <w:r w:rsidRPr="002005BA">
        <w:t>H3</w:t>
      </w:r>
    </w:p>
    <w:p w14:paraId="12C300A7" w14:textId="77777777" w:rsidR="007354B4" w:rsidRPr="002005BA" w:rsidRDefault="007354B4" w:rsidP="00221E1A">
      <w:pPr>
        <w:pStyle w:val="NORMAL12"/>
        <w:numPr>
          <w:ilvl w:val="0"/>
          <w:numId w:val="158"/>
        </w:numPr>
      </w:pPr>
      <w:r w:rsidRPr="002005BA">
        <w:t>Anchura de trabajo:</w:t>
      </w:r>
      <w:r w:rsidRPr="002005BA">
        <w:tab/>
      </w:r>
      <w:r w:rsidRPr="002005BA">
        <w:tab/>
      </w:r>
      <w:r w:rsidRPr="002005BA">
        <w:tab/>
      </w:r>
      <w:r>
        <w:tab/>
      </w:r>
      <w:r w:rsidRPr="002005BA">
        <w:t>W2</w:t>
      </w:r>
    </w:p>
    <w:p w14:paraId="5DFCB01A" w14:textId="77777777" w:rsidR="007354B4" w:rsidRPr="002005BA" w:rsidRDefault="007354B4" w:rsidP="00221E1A">
      <w:pPr>
        <w:pStyle w:val="NORMAL12"/>
        <w:numPr>
          <w:ilvl w:val="0"/>
          <w:numId w:val="158"/>
        </w:numPr>
      </w:pPr>
      <w:r w:rsidRPr="002005BA">
        <w:t>Deflexión dinámica (m):</w:t>
      </w:r>
      <w:r w:rsidRPr="002005BA">
        <w:tab/>
      </w:r>
      <w:r w:rsidRPr="002005BA">
        <w:tab/>
      </w:r>
      <w:r>
        <w:tab/>
      </w:r>
      <w:r w:rsidRPr="002005BA">
        <w:t>0,60 m.</w:t>
      </w:r>
    </w:p>
    <w:p w14:paraId="41FCC071" w14:textId="77777777" w:rsidR="007354B4" w:rsidRDefault="007354B4" w:rsidP="00221E1A">
      <w:pPr>
        <w:pStyle w:val="NORMAL12"/>
        <w:numPr>
          <w:ilvl w:val="0"/>
          <w:numId w:val="158"/>
        </w:numPr>
      </w:pPr>
      <w:r w:rsidRPr="002005BA">
        <w:t>Índice de severidad:</w:t>
      </w:r>
      <w:r w:rsidRPr="002005BA">
        <w:tab/>
      </w:r>
      <w:r w:rsidRPr="002005BA">
        <w:tab/>
      </w:r>
      <w:r w:rsidRPr="002005BA">
        <w:tab/>
        <w:t>B</w:t>
      </w:r>
    </w:p>
    <w:p w14:paraId="186F9794" w14:textId="77777777" w:rsidR="00CE0780" w:rsidRPr="002005BA" w:rsidRDefault="00CE0780" w:rsidP="00CE0780">
      <w:pPr>
        <w:pStyle w:val="NORMAL12"/>
      </w:pPr>
      <w:r w:rsidRPr="002005BA">
        <w:lastRenderedPageBreak/>
        <w:t xml:space="preserve">Los parámetros definitorios del sistema de contención en la estructura del P.K. </w:t>
      </w:r>
      <w:r w:rsidR="00EC1B02">
        <w:t>1</w:t>
      </w:r>
      <w:r w:rsidRPr="002005BA">
        <w:t>+8</w:t>
      </w:r>
      <w:r w:rsidR="00EC1B02">
        <w:t>6</w:t>
      </w:r>
      <w:r w:rsidRPr="002005BA">
        <w:t>0 son los siguientes (con el significado recogido en UNE-EN 1317):</w:t>
      </w:r>
    </w:p>
    <w:p w14:paraId="0C16CB28" w14:textId="77777777" w:rsidR="00CE0780" w:rsidRPr="002005BA" w:rsidRDefault="00CE0780" w:rsidP="00221E1A">
      <w:pPr>
        <w:pStyle w:val="NORMAL12"/>
        <w:numPr>
          <w:ilvl w:val="0"/>
          <w:numId w:val="158"/>
        </w:numPr>
      </w:pPr>
      <w:r w:rsidRPr="002005BA">
        <w:t>Nivel de contención:</w:t>
      </w:r>
      <w:r w:rsidRPr="002005BA">
        <w:tab/>
      </w:r>
      <w:r w:rsidRPr="002005BA">
        <w:tab/>
      </w:r>
      <w:r>
        <w:tab/>
      </w:r>
      <w:r w:rsidRPr="002005BA">
        <w:t>H</w:t>
      </w:r>
      <w:r>
        <w:t>4b</w:t>
      </w:r>
    </w:p>
    <w:p w14:paraId="617C6E75" w14:textId="77777777" w:rsidR="00CE0780" w:rsidRPr="002005BA" w:rsidRDefault="00CE0780" w:rsidP="00221E1A">
      <w:pPr>
        <w:pStyle w:val="NORMAL12"/>
        <w:numPr>
          <w:ilvl w:val="0"/>
          <w:numId w:val="158"/>
        </w:numPr>
      </w:pPr>
      <w:r w:rsidRPr="002005BA">
        <w:t>Anchura de trabajo:</w:t>
      </w:r>
      <w:r w:rsidRPr="002005BA">
        <w:tab/>
      </w:r>
      <w:r w:rsidRPr="002005BA">
        <w:tab/>
      </w:r>
      <w:r w:rsidRPr="002005BA">
        <w:tab/>
      </w:r>
      <w:r>
        <w:tab/>
      </w:r>
      <w:r w:rsidRPr="002005BA">
        <w:t>W</w:t>
      </w:r>
      <w:r>
        <w:t>4</w:t>
      </w:r>
    </w:p>
    <w:p w14:paraId="7DA66FCB" w14:textId="77777777" w:rsidR="00CE0780" w:rsidRPr="002005BA" w:rsidRDefault="00CE0780" w:rsidP="00221E1A">
      <w:pPr>
        <w:pStyle w:val="NORMAL12"/>
        <w:numPr>
          <w:ilvl w:val="0"/>
          <w:numId w:val="158"/>
        </w:numPr>
      </w:pPr>
      <w:r w:rsidRPr="002005BA">
        <w:t>Deflexión dinámica (m):</w:t>
      </w:r>
      <w:r w:rsidRPr="002005BA">
        <w:tab/>
      </w:r>
      <w:r w:rsidRPr="002005BA">
        <w:tab/>
      </w:r>
      <w:r>
        <w:tab/>
      </w:r>
      <w:r w:rsidRPr="002005BA">
        <w:t>0,</w:t>
      </w:r>
      <w:r>
        <w:t>98</w:t>
      </w:r>
      <w:r w:rsidRPr="002005BA">
        <w:t xml:space="preserve"> m.</w:t>
      </w:r>
    </w:p>
    <w:p w14:paraId="751BB129" w14:textId="77777777" w:rsidR="00CE0780" w:rsidRPr="002005BA" w:rsidRDefault="00CE0780" w:rsidP="00221E1A">
      <w:pPr>
        <w:pStyle w:val="NORMAL12"/>
        <w:numPr>
          <w:ilvl w:val="0"/>
          <w:numId w:val="158"/>
        </w:numPr>
      </w:pPr>
      <w:r w:rsidRPr="002005BA">
        <w:t>Índice de severidad:</w:t>
      </w:r>
      <w:r w:rsidRPr="002005BA">
        <w:tab/>
      </w:r>
      <w:r w:rsidRPr="002005BA">
        <w:tab/>
      </w:r>
      <w:r w:rsidRPr="002005BA">
        <w:tab/>
        <w:t>B</w:t>
      </w:r>
    </w:p>
    <w:p w14:paraId="426859D2" w14:textId="77777777" w:rsidR="007354B4" w:rsidRPr="002005BA" w:rsidRDefault="007354B4" w:rsidP="007354B4">
      <w:pPr>
        <w:pStyle w:val="NORMAL12"/>
      </w:pPr>
      <w:r w:rsidRPr="002005BA">
        <w:t xml:space="preserve">Estos pretiles pueden estar </w:t>
      </w:r>
      <w:r w:rsidR="00157701" w:rsidRPr="002005BA">
        <w:t>sujetos</w:t>
      </w:r>
      <w:r w:rsidRPr="002005BA">
        <w:t xml:space="preserve"> a cargas máximas transmitidas a la estructura.</w:t>
      </w:r>
    </w:p>
    <w:p w14:paraId="384AA4BB" w14:textId="77777777" w:rsidR="007354B4" w:rsidRPr="002005BA" w:rsidRDefault="007354B4" w:rsidP="007354B4">
      <w:pPr>
        <w:pStyle w:val="NORMAL12"/>
      </w:pPr>
      <w:r w:rsidRPr="002005BA">
        <w:t>La anticipación y finalización debe realizarse según lo dispuesto en los Criterios de aplicación de sistemas de contención de vehículos.</w:t>
      </w:r>
    </w:p>
    <w:p w14:paraId="229E72CD" w14:textId="77777777" w:rsidR="007354B4" w:rsidRPr="002005BA" w:rsidRDefault="007354B4" w:rsidP="007354B4">
      <w:pPr>
        <w:pStyle w:val="NORMAL12"/>
      </w:pPr>
      <w:r w:rsidRPr="002005BA">
        <w:t xml:space="preserve">El hormigón del zócalo en la zona del </w:t>
      </w:r>
      <w:r w:rsidRPr="00D921B6">
        <w:t>pretil deberá de presentar una resistencia mínima</w:t>
      </w:r>
      <w:r w:rsidR="008C14E8" w:rsidRPr="00D921B6">
        <w:t xml:space="preserve"> de HA-30 con armaduras B 500 S con las condiciones especificadas por el fabricante</w:t>
      </w:r>
    </w:p>
    <w:p w14:paraId="33A6E649" w14:textId="77777777" w:rsidR="007354B4" w:rsidRPr="002005BA" w:rsidRDefault="007354B4" w:rsidP="000313DD">
      <w:pPr>
        <w:pStyle w:val="TITU2"/>
      </w:pPr>
      <w:bookmarkStart w:id="1184" w:name="_Toc404619"/>
      <w:r w:rsidRPr="002005BA">
        <w:t>706.3.</w:t>
      </w:r>
      <w:r w:rsidR="00CE0780">
        <w:t xml:space="preserve"> </w:t>
      </w:r>
      <w:r w:rsidRPr="002005BA">
        <w:tab/>
        <w:t>Materiales y componentes</w:t>
      </w:r>
      <w:bookmarkEnd w:id="1184"/>
    </w:p>
    <w:p w14:paraId="24DD40C2" w14:textId="77777777" w:rsidR="007354B4" w:rsidRPr="002005BA" w:rsidRDefault="007354B4" w:rsidP="007354B4">
      <w:pPr>
        <w:pStyle w:val="NORMAL12"/>
      </w:pPr>
      <w:r w:rsidRPr="002005BA">
        <w:t>Los materiales cumplirán las especificaciones del artículo 704 del PG-3 y de la relación anterior de normas UNE y UNE-EN que resulten de aplicación.</w:t>
      </w:r>
    </w:p>
    <w:p w14:paraId="570A1BD5" w14:textId="77777777" w:rsidR="007354B4" w:rsidRPr="00D921B6" w:rsidRDefault="007354B4" w:rsidP="007354B4">
      <w:pPr>
        <w:pStyle w:val="NORMAL12"/>
      </w:pPr>
      <w:r w:rsidRPr="002005BA">
        <w:t>Cumplirán además las especificaciones incluidas la Orden Circular 35/2014 Sobre Criterios de aplicación de sistemas de contención de vehículos.</w:t>
      </w:r>
    </w:p>
    <w:p w14:paraId="39DA8D8D" w14:textId="77777777" w:rsidR="007354B4" w:rsidRPr="00D921B6" w:rsidRDefault="007354B4" w:rsidP="007354B4">
      <w:pPr>
        <w:pStyle w:val="NORMAL12"/>
      </w:pPr>
      <w:r w:rsidRPr="00D921B6">
        <w:t xml:space="preserve">El pretil metálico incluirá la protección de galvanizado en caliente de 80 micrómetros de espesor y estará pintado en color a definir por </w:t>
      </w:r>
      <w:r w:rsidR="00873849" w:rsidRPr="00D921B6">
        <w:t>D</w:t>
      </w:r>
      <w:r w:rsidRPr="00D921B6">
        <w:t xml:space="preserve">irección de </w:t>
      </w:r>
      <w:r w:rsidR="00873849" w:rsidRPr="00D921B6">
        <w:t>O</w:t>
      </w:r>
      <w:r w:rsidRPr="00D921B6">
        <w:t>bra.</w:t>
      </w:r>
    </w:p>
    <w:p w14:paraId="10752587" w14:textId="77777777" w:rsidR="007354B4" w:rsidRPr="00D921B6" w:rsidRDefault="007354B4" w:rsidP="000313DD">
      <w:pPr>
        <w:pStyle w:val="TITU2"/>
      </w:pPr>
      <w:bookmarkStart w:id="1185" w:name="_Toc404620"/>
      <w:r w:rsidRPr="00D921B6">
        <w:t>706.4.</w:t>
      </w:r>
      <w:r w:rsidR="00CE0780" w:rsidRPr="00D921B6">
        <w:t xml:space="preserve"> </w:t>
      </w:r>
      <w:r w:rsidRPr="00D921B6">
        <w:tab/>
        <w:t>Ejecución</w:t>
      </w:r>
      <w:r w:rsidR="00036C21" w:rsidRPr="00D921B6">
        <w:t xml:space="preserve"> de las obras</w:t>
      </w:r>
      <w:bookmarkEnd w:id="1185"/>
    </w:p>
    <w:p w14:paraId="792D7492" w14:textId="77777777" w:rsidR="007354B4" w:rsidRPr="00D921B6" w:rsidRDefault="007354B4" w:rsidP="007354B4">
      <w:pPr>
        <w:pStyle w:val="NORMAL12"/>
      </w:pPr>
      <w:proofErr w:type="gramStart"/>
      <w:r w:rsidRPr="00D921B6">
        <w:t>Los pretiles metálicos a emplear</w:t>
      </w:r>
      <w:proofErr w:type="gramEnd"/>
      <w:r w:rsidRPr="00D921B6">
        <w:t xml:space="preserve"> en este proyecto serán los dispuestos según la Orden Circular 35/2014 Sobre Criterios De Aplicación De Sistemas De Contención De Vehículos o bien dispondrán de un marcado CE otorgado por un organismo de certificación acreditado en España y que esté reconocido por el Ministerio de Fomento.</w:t>
      </w:r>
    </w:p>
    <w:p w14:paraId="5FDDFEA5" w14:textId="77777777" w:rsidR="007354B4" w:rsidRPr="00D921B6" w:rsidRDefault="007354B4" w:rsidP="007354B4">
      <w:pPr>
        <w:pStyle w:val="NORMAL12"/>
      </w:pPr>
      <w:r w:rsidRPr="00D921B6">
        <w:t>Podrán utilizarse igualmente pretiles metálicos provenientes de otros países de la Unión Europea siempre que dispongan del marcado CE.</w:t>
      </w:r>
    </w:p>
    <w:p w14:paraId="627EF8A6" w14:textId="77777777" w:rsidR="007354B4" w:rsidRPr="00D921B6" w:rsidRDefault="007354B4" w:rsidP="007354B4">
      <w:pPr>
        <w:pStyle w:val="NORMAL12"/>
      </w:pPr>
      <w:r w:rsidRPr="00D921B6">
        <w:t xml:space="preserve">El Contratista comunicará por escrito al </w:t>
      </w:r>
      <w:proofErr w:type="gramStart"/>
      <w:r w:rsidRPr="00D921B6">
        <w:t>Director</w:t>
      </w:r>
      <w:proofErr w:type="gramEnd"/>
      <w:r w:rsidRPr="00D921B6">
        <w:t xml:space="preserve"> de Obra, con suficiente antelación antes del comienzo de la ejecución de la colocación de pretiles, la relación de las empresas </w:t>
      </w:r>
      <w:r w:rsidRPr="00D921B6">
        <w:t>suministradoras y de pretiles a utilizar, con indicación de la marca comercial y referencia que las empresas suministradoras den a ese sistema.</w:t>
      </w:r>
    </w:p>
    <w:p w14:paraId="3C15EA0C" w14:textId="77777777" w:rsidR="007354B4" w:rsidRPr="00D921B6" w:rsidRDefault="007354B4" w:rsidP="007354B4">
      <w:pPr>
        <w:pStyle w:val="NORMAL12"/>
      </w:pPr>
      <w:r w:rsidRPr="00D921B6">
        <w:t xml:space="preserve">Se adjuntará al comunicado las especificaciones técnicas de los pretiles a emplear. Se adjuntará asimismo el certificado de calidad en posesión del suministrador, que acredita que las barreras cumplen con la normativa UNE y UNE-EN de aplicación y, en consecuencia, con las especificaciones técnicas de este Pliego. </w:t>
      </w:r>
    </w:p>
    <w:p w14:paraId="2FC09DDC" w14:textId="77777777" w:rsidR="007354B4" w:rsidRPr="00D921B6" w:rsidRDefault="007354B4" w:rsidP="007354B4">
      <w:pPr>
        <w:pStyle w:val="NORMAL12"/>
      </w:pPr>
      <w:r w:rsidRPr="00D921B6">
        <w:t>La instalación de los pretiles metálicos se realizará prestando especial atención a los requerimientos recogidos en la Orden circular 35/2014, apartado 6, relativo a la disposición del sistema: disposición longitudinal, transversal y en altura, inclinación, cimentación, extremos y condiciones de disposición en zonas especiales.</w:t>
      </w:r>
    </w:p>
    <w:p w14:paraId="0B74D00D" w14:textId="77777777" w:rsidR="007354B4" w:rsidRPr="00D921B6" w:rsidRDefault="007354B4" w:rsidP="007354B4">
      <w:pPr>
        <w:pStyle w:val="NORMAL12"/>
      </w:pPr>
      <w:r w:rsidRPr="00D921B6">
        <w:t xml:space="preserve">Antes de comenzar la instalación de las barreras, el Contratista comprobará, tras el replanteo de las barreras, que se cumplen íntegramente todos los requisitos de disposición requeridos en la Orden Circular 35/2014 apartado 6. Si alguno de estos requisitos no se cumpliera con la disposición prevista en los planos del proyecto, el Contratista informará al </w:t>
      </w:r>
      <w:proofErr w:type="gramStart"/>
      <w:r w:rsidRPr="00D921B6">
        <w:t>Director</w:t>
      </w:r>
      <w:proofErr w:type="gramEnd"/>
      <w:r w:rsidRPr="00D921B6">
        <w:t xml:space="preserve"> de Obra para que éste ordene las actuaciones oportunas para dar cumplimiento al requisito. Es, por tanto, responsabilidad del Contratista realizar una revisión minuciosa de las disposiciones previstas en proyecto, cotejándolas con los datos de replanteo en campo, para garantizar que las barreras instaladas satisfarán plenamente los requisitos que seguidamente se relacionan.</w:t>
      </w:r>
    </w:p>
    <w:p w14:paraId="1B5E2F02" w14:textId="77777777" w:rsidR="00AD4076" w:rsidRPr="00D921B6" w:rsidRDefault="00AD4076" w:rsidP="000313DD">
      <w:pPr>
        <w:pStyle w:val="TITU2"/>
      </w:pPr>
      <w:bookmarkStart w:id="1186" w:name="_Toc404621"/>
      <w:r w:rsidRPr="00D921B6">
        <w:t>706.5. Limitaciones en la ejecución</w:t>
      </w:r>
      <w:bookmarkEnd w:id="1186"/>
    </w:p>
    <w:p w14:paraId="073E209E" w14:textId="77777777" w:rsidR="00AD4076" w:rsidRPr="00D921B6" w:rsidRDefault="00AD4076" w:rsidP="00AD4076">
      <w:pPr>
        <w:pStyle w:val="NORMAL12"/>
        <w:rPr>
          <w:lang w:val="es-ES"/>
        </w:rPr>
      </w:pPr>
      <w:r w:rsidRPr="00D921B6">
        <w:rPr>
          <w:lang w:val="es-ES"/>
        </w:rPr>
        <w:t xml:space="preserve">No se admitirá la instalación de </w:t>
      </w:r>
      <w:r w:rsidR="00217216" w:rsidRPr="00D921B6">
        <w:rPr>
          <w:lang w:val="es-ES"/>
        </w:rPr>
        <w:t>ningún</w:t>
      </w:r>
      <w:r w:rsidRPr="00D921B6">
        <w:rPr>
          <w:lang w:val="es-ES"/>
        </w:rPr>
        <w:t xml:space="preserve"> pretil que no cumpla como mínimo las especificaciones en cuanto a los parámetros de diseño definidas en la unidad. </w:t>
      </w:r>
      <w:r w:rsidR="00217216" w:rsidRPr="00D921B6">
        <w:rPr>
          <w:lang w:val="es-ES"/>
        </w:rPr>
        <w:t>Todos</w:t>
      </w:r>
      <w:r w:rsidRPr="00D921B6">
        <w:rPr>
          <w:lang w:val="es-ES"/>
        </w:rPr>
        <w:t xml:space="preserve"> los pretiles instalados deben contar con la aprobación del </w:t>
      </w:r>
      <w:proofErr w:type="gramStart"/>
      <w:r w:rsidRPr="00D921B6">
        <w:rPr>
          <w:lang w:val="es-ES"/>
        </w:rPr>
        <w:t>Director</w:t>
      </w:r>
      <w:proofErr w:type="gramEnd"/>
      <w:r w:rsidRPr="00D921B6">
        <w:rPr>
          <w:lang w:val="es-ES"/>
        </w:rPr>
        <w:t xml:space="preserve"> de Obra.</w:t>
      </w:r>
    </w:p>
    <w:p w14:paraId="75760C69" w14:textId="77777777" w:rsidR="00AD4076" w:rsidRPr="00D921B6" w:rsidRDefault="00AD4076" w:rsidP="000313DD">
      <w:pPr>
        <w:pStyle w:val="TITU2"/>
      </w:pPr>
      <w:bookmarkStart w:id="1187" w:name="_Toc404622"/>
      <w:r w:rsidRPr="00D921B6">
        <w:t>706.6. Control de calidad</w:t>
      </w:r>
      <w:bookmarkEnd w:id="1187"/>
    </w:p>
    <w:p w14:paraId="4CC70F21" w14:textId="77777777" w:rsidR="00AD4076" w:rsidRPr="002005BA" w:rsidRDefault="00AD4076" w:rsidP="00AD4076">
      <w:pPr>
        <w:pStyle w:val="NORMAL12"/>
        <w:spacing w:line="348" w:lineRule="auto"/>
      </w:pPr>
      <w:r w:rsidRPr="00D921B6">
        <w:t>La posesión del marcado CE que acredita la conformidad de los pretiles metálicos con la normativa UNE de aplicación, exime de la necesidad de realizar los controles de recepción previstos en el artículo 704.6 del PG</w:t>
      </w:r>
      <w:r w:rsidRPr="002005BA">
        <w:t xml:space="preserve">-3. Bastará con que cada suministro de pretiles metálicos se acompañe del certificado acreditativo de </w:t>
      </w:r>
      <w:r>
        <w:t>poseer</w:t>
      </w:r>
      <w:r w:rsidRPr="002005BA">
        <w:t xml:space="preserve"> el marcado CE.</w:t>
      </w:r>
    </w:p>
    <w:p w14:paraId="0B9C4FEA" w14:textId="77777777" w:rsidR="00AD4076" w:rsidRPr="00D921B6" w:rsidRDefault="00AD4076" w:rsidP="00AD4076">
      <w:pPr>
        <w:pStyle w:val="NORMAL12"/>
        <w:spacing w:line="348" w:lineRule="auto"/>
      </w:pPr>
      <w:r w:rsidRPr="002005BA">
        <w:t xml:space="preserve">En el caso de empleo de pretiles metálicos con marca de calidad acreditada por algún organismo extranjero que no incluya la totalidad de prescripciones de la normativa UNE, a cada suministro se adjuntará el certificado acreditativo del sello de calidad más un </w:t>
      </w:r>
      <w:r w:rsidRPr="002005BA">
        <w:lastRenderedPageBreak/>
        <w:t xml:space="preserve">certificado acreditativo del cumplimiento de las especificaciones técnicas obligatorias no </w:t>
      </w:r>
      <w:r w:rsidRPr="00D921B6">
        <w:t>incluidas en la marca de calidad.</w:t>
      </w:r>
    </w:p>
    <w:p w14:paraId="06B27F34" w14:textId="77777777" w:rsidR="00AD4076" w:rsidRPr="00D921B6" w:rsidRDefault="00AD4076" w:rsidP="00AD4076">
      <w:pPr>
        <w:pStyle w:val="NORMAL12"/>
        <w:spacing w:line="348" w:lineRule="auto"/>
      </w:pPr>
      <w:r w:rsidRPr="00D921B6">
        <w:t xml:space="preserve">En cualquier caso, el </w:t>
      </w:r>
      <w:proofErr w:type="gramStart"/>
      <w:r w:rsidRPr="00D921B6">
        <w:t>Director</w:t>
      </w:r>
      <w:proofErr w:type="gramEnd"/>
      <w:r w:rsidRPr="00D921B6">
        <w:t xml:space="preserve"> de Obra podrá realizar, a su juicio, los controles de calidad que estime oportunos, según los criterios del apartado 704.6 del PG-3.</w:t>
      </w:r>
    </w:p>
    <w:p w14:paraId="08C6B467" w14:textId="77777777" w:rsidR="00AD4076" w:rsidRPr="00D921B6" w:rsidRDefault="00AD4076" w:rsidP="000313DD">
      <w:pPr>
        <w:pStyle w:val="TITU2"/>
      </w:pPr>
      <w:bookmarkStart w:id="1188" w:name="_Toc404623"/>
      <w:r w:rsidRPr="00D921B6">
        <w:t>706.7. Criterio de aceptación o rechazo</w:t>
      </w:r>
      <w:bookmarkEnd w:id="1188"/>
    </w:p>
    <w:p w14:paraId="4A0383F9" w14:textId="77777777" w:rsidR="00AD4076" w:rsidRPr="00D921B6" w:rsidRDefault="00AD4076" w:rsidP="00AD4076">
      <w:pPr>
        <w:pStyle w:val="NORMAL12"/>
      </w:pPr>
      <w:r w:rsidRPr="00D921B6">
        <w:t>Se relacionan seguidamente las especificaciones que deberá cumplir la unidad terminada para proceder a su aceptación final. La nomenclatura de los parámetros relacionados en la tabla siguiente es coincidente con la adoptada por la Orden Circular 35/2014.</w:t>
      </w:r>
    </w:p>
    <w:p w14:paraId="03EAB5E9" w14:textId="77777777" w:rsidR="00AD4076" w:rsidRPr="00D921B6" w:rsidRDefault="00AD4076" w:rsidP="00AD4076">
      <w:pPr>
        <w:pStyle w:val="NORMAL12"/>
      </w:pPr>
    </w:p>
    <w:tbl>
      <w:tblPr>
        <w:tblW w:w="5099" w:type="pct"/>
        <w:tblBorders>
          <w:top w:val="single" w:sz="4" w:space="0" w:color="auto"/>
          <w:left w:val="single" w:sz="4" w:space="0" w:color="auto"/>
          <w:bottom w:val="single" w:sz="4" w:space="0" w:color="auto"/>
          <w:right w:val="single" w:sz="4" w:space="0" w:color="auto"/>
          <w:insideH w:val="single" w:sz="4" w:space="0" w:color="auto"/>
        </w:tblBorders>
        <w:tblCellMar>
          <w:left w:w="70" w:type="dxa"/>
          <w:right w:w="70" w:type="dxa"/>
        </w:tblCellMar>
        <w:tblLook w:val="0000" w:firstRow="0" w:lastRow="0" w:firstColumn="0" w:lastColumn="0" w:noHBand="0" w:noVBand="0"/>
      </w:tblPr>
      <w:tblGrid>
        <w:gridCol w:w="5341"/>
        <w:gridCol w:w="2551"/>
        <w:gridCol w:w="2080"/>
      </w:tblGrid>
      <w:tr w:rsidR="00AD4076" w:rsidRPr="00D921B6" w14:paraId="46C1D1A8" w14:textId="77777777" w:rsidTr="003B4E71">
        <w:trPr>
          <w:tblHeader/>
        </w:trPr>
        <w:tc>
          <w:tcPr>
            <w:tcW w:w="2677" w:type="pct"/>
            <w:shd w:val="clear" w:color="auto" w:fill="D9D9D9" w:themeFill="background1" w:themeFillShade="D9"/>
            <w:vAlign w:val="center"/>
          </w:tcPr>
          <w:p w14:paraId="5E5165F0" w14:textId="77777777" w:rsidR="00AD4076" w:rsidRPr="00D921B6" w:rsidRDefault="00AD4076" w:rsidP="00AD4076">
            <w:pPr>
              <w:pStyle w:val="LCATabla"/>
              <w:rPr>
                <w:rFonts w:ascii="Arial" w:hAnsi="Arial" w:cs="Arial"/>
                <w:b/>
                <w:sz w:val="20"/>
              </w:rPr>
            </w:pPr>
            <w:r w:rsidRPr="00D921B6">
              <w:rPr>
                <w:rFonts w:ascii="Arial" w:hAnsi="Arial" w:cs="Arial"/>
                <w:b/>
                <w:sz w:val="20"/>
              </w:rPr>
              <w:t>Parámetros de aceptación final</w:t>
            </w:r>
          </w:p>
        </w:tc>
        <w:tc>
          <w:tcPr>
            <w:tcW w:w="1279" w:type="pct"/>
            <w:shd w:val="clear" w:color="auto" w:fill="D9D9D9" w:themeFill="background1" w:themeFillShade="D9"/>
            <w:vAlign w:val="center"/>
          </w:tcPr>
          <w:p w14:paraId="73C08E29" w14:textId="77777777" w:rsidR="00AD4076" w:rsidRPr="00D921B6" w:rsidRDefault="00AD4076" w:rsidP="00AD4076">
            <w:pPr>
              <w:pStyle w:val="LCATabla"/>
              <w:rPr>
                <w:rFonts w:ascii="Arial" w:hAnsi="Arial" w:cs="Arial"/>
                <w:b/>
                <w:sz w:val="20"/>
              </w:rPr>
            </w:pPr>
            <w:r w:rsidRPr="00D921B6">
              <w:rPr>
                <w:rFonts w:ascii="Arial" w:hAnsi="Arial" w:cs="Arial"/>
                <w:b/>
                <w:sz w:val="20"/>
              </w:rPr>
              <w:t>Normas de referencia</w:t>
            </w:r>
          </w:p>
        </w:tc>
        <w:tc>
          <w:tcPr>
            <w:tcW w:w="1043" w:type="pct"/>
            <w:shd w:val="clear" w:color="auto" w:fill="D9D9D9" w:themeFill="background1" w:themeFillShade="D9"/>
          </w:tcPr>
          <w:p w14:paraId="3D1AC344" w14:textId="77777777" w:rsidR="00AD4076" w:rsidRPr="00D921B6" w:rsidRDefault="00AD4076" w:rsidP="00AD4076">
            <w:pPr>
              <w:pStyle w:val="LCATabla"/>
              <w:rPr>
                <w:rFonts w:ascii="Arial" w:hAnsi="Arial" w:cs="Arial"/>
                <w:b/>
                <w:sz w:val="20"/>
              </w:rPr>
            </w:pPr>
            <w:r w:rsidRPr="00D921B6">
              <w:rPr>
                <w:rFonts w:ascii="Arial" w:hAnsi="Arial" w:cs="Arial"/>
                <w:b/>
                <w:sz w:val="20"/>
              </w:rPr>
              <w:t>Procedimiento de medida</w:t>
            </w:r>
          </w:p>
        </w:tc>
      </w:tr>
      <w:tr w:rsidR="00AD4076" w:rsidRPr="00D921B6" w14:paraId="200ADE14" w14:textId="77777777" w:rsidTr="003B4E71">
        <w:trPr>
          <w:trHeight w:val="412"/>
        </w:trPr>
        <w:tc>
          <w:tcPr>
            <w:tcW w:w="2677" w:type="pct"/>
          </w:tcPr>
          <w:p w14:paraId="1494FE97" w14:textId="77777777" w:rsidR="00AD4076" w:rsidRPr="00D921B6" w:rsidRDefault="00AD4076" w:rsidP="00AD4076">
            <w:pPr>
              <w:pStyle w:val="LCATabla"/>
              <w:rPr>
                <w:rFonts w:ascii="Arial" w:hAnsi="Arial" w:cs="Arial"/>
                <w:sz w:val="20"/>
              </w:rPr>
            </w:pPr>
            <w:r w:rsidRPr="00D921B6">
              <w:rPr>
                <w:rFonts w:ascii="Arial" w:hAnsi="Arial" w:cs="Arial"/>
                <w:sz w:val="20"/>
              </w:rPr>
              <w:t>Altura de la barrera:</w:t>
            </w:r>
          </w:p>
          <w:p w14:paraId="32F79131" w14:textId="77777777" w:rsidR="00AD4076" w:rsidRPr="00D921B6" w:rsidRDefault="00AD4076" w:rsidP="00AD4076">
            <w:pPr>
              <w:pStyle w:val="LCATabla"/>
              <w:rPr>
                <w:rFonts w:ascii="Arial" w:hAnsi="Arial" w:cs="Arial"/>
                <w:sz w:val="20"/>
              </w:rPr>
            </w:pPr>
            <w:r w:rsidRPr="00D921B6">
              <w:rPr>
                <w:rFonts w:ascii="Arial" w:hAnsi="Arial" w:cs="Arial"/>
                <w:sz w:val="20"/>
              </w:rPr>
              <w:t>Tolerancia en menos: la indicada en la ficha del Catálogo</w:t>
            </w:r>
          </w:p>
          <w:p w14:paraId="5E89D054" w14:textId="77777777" w:rsidR="00AD4076" w:rsidRPr="00D921B6" w:rsidRDefault="00AD4076" w:rsidP="00AD4076">
            <w:pPr>
              <w:pStyle w:val="LCATabla"/>
              <w:rPr>
                <w:rFonts w:ascii="Arial" w:hAnsi="Arial" w:cs="Arial"/>
                <w:sz w:val="20"/>
              </w:rPr>
            </w:pPr>
            <w:r w:rsidRPr="00D921B6">
              <w:rPr>
                <w:rFonts w:ascii="Arial" w:hAnsi="Arial" w:cs="Arial"/>
                <w:sz w:val="20"/>
              </w:rPr>
              <w:t>Tolerancia en más: la indicada en la ficha del catálogo</w:t>
            </w:r>
          </w:p>
        </w:tc>
        <w:tc>
          <w:tcPr>
            <w:tcW w:w="1279" w:type="pct"/>
          </w:tcPr>
          <w:p w14:paraId="680A03F3" w14:textId="77777777" w:rsidR="00AD4076" w:rsidRPr="00D921B6" w:rsidRDefault="00AD4076" w:rsidP="00AD4076">
            <w:pPr>
              <w:pStyle w:val="LCATabla"/>
              <w:rPr>
                <w:rFonts w:ascii="Arial" w:hAnsi="Arial" w:cs="Arial"/>
                <w:sz w:val="20"/>
              </w:rPr>
            </w:pPr>
            <w:r w:rsidRPr="00D921B6">
              <w:rPr>
                <w:rFonts w:ascii="Arial" w:hAnsi="Arial" w:cs="Arial"/>
                <w:sz w:val="20"/>
              </w:rPr>
              <w:t xml:space="preserve">OC 35/2014 </w:t>
            </w:r>
          </w:p>
        </w:tc>
        <w:tc>
          <w:tcPr>
            <w:tcW w:w="1043" w:type="pct"/>
          </w:tcPr>
          <w:p w14:paraId="63466E85" w14:textId="77777777" w:rsidR="00AD4076" w:rsidRPr="00D921B6" w:rsidRDefault="00AD4076" w:rsidP="00AD4076">
            <w:pPr>
              <w:pStyle w:val="LCATabla"/>
              <w:rPr>
                <w:rFonts w:ascii="Arial" w:hAnsi="Arial" w:cs="Arial"/>
                <w:sz w:val="20"/>
              </w:rPr>
            </w:pPr>
            <w:r w:rsidRPr="00D921B6">
              <w:rPr>
                <w:rFonts w:ascii="Arial" w:hAnsi="Arial" w:cs="Arial"/>
                <w:sz w:val="20"/>
              </w:rPr>
              <w:t xml:space="preserve">Medición topográfica. </w:t>
            </w:r>
          </w:p>
        </w:tc>
      </w:tr>
      <w:tr w:rsidR="00AD4076" w:rsidRPr="00D921B6" w14:paraId="2708D1AA" w14:textId="77777777" w:rsidTr="003B4E71">
        <w:trPr>
          <w:trHeight w:val="540"/>
        </w:trPr>
        <w:tc>
          <w:tcPr>
            <w:tcW w:w="2677" w:type="pct"/>
          </w:tcPr>
          <w:p w14:paraId="5BF65F1C" w14:textId="77777777" w:rsidR="00AD4076" w:rsidRPr="00D921B6" w:rsidRDefault="00AD4076" w:rsidP="00AD4076">
            <w:pPr>
              <w:pStyle w:val="LCATabla"/>
              <w:rPr>
                <w:rFonts w:ascii="Arial" w:hAnsi="Arial" w:cs="Arial"/>
                <w:sz w:val="20"/>
              </w:rPr>
            </w:pPr>
            <w:r w:rsidRPr="00D921B6">
              <w:rPr>
                <w:rFonts w:ascii="Arial" w:hAnsi="Arial" w:cs="Arial"/>
                <w:sz w:val="20"/>
              </w:rPr>
              <w:t>Longitud de anticipación:</w:t>
            </w:r>
          </w:p>
          <w:p w14:paraId="15AB97B5" w14:textId="77777777" w:rsidR="00AD4076" w:rsidRPr="00D921B6" w:rsidRDefault="00AD4076" w:rsidP="00AD4076">
            <w:pPr>
              <w:pStyle w:val="LCATabla"/>
              <w:rPr>
                <w:rFonts w:ascii="Arial" w:hAnsi="Arial" w:cs="Arial"/>
                <w:sz w:val="20"/>
              </w:rPr>
            </w:pPr>
            <w:r w:rsidRPr="00D921B6">
              <w:rPr>
                <w:rFonts w:ascii="Arial" w:hAnsi="Arial" w:cs="Arial"/>
                <w:sz w:val="20"/>
              </w:rPr>
              <w:t xml:space="preserve">Longitud Lr </w:t>
            </w:r>
          </w:p>
          <w:p w14:paraId="72E7A8C2" w14:textId="77777777" w:rsidR="00AD4076" w:rsidRPr="00D921B6" w:rsidRDefault="00AD4076" w:rsidP="00AD4076">
            <w:pPr>
              <w:pStyle w:val="LCATabla"/>
              <w:rPr>
                <w:rFonts w:ascii="Arial" w:hAnsi="Arial" w:cs="Arial"/>
                <w:sz w:val="20"/>
              </w:rPr>
            </w:pPr>
            <w:r w:rsidRPr="00D921B6">
              <w:rPr>
                <w:rFonts w:ascii="Arial" w:hAnsi="Arial" w:cs="Arial"/>
                <w:sz w:val="20"/>
              </w:rPr>
              <w:t>Longitud La</w:t>
            </w:r>
          </w:p>
        </w:tc>
        <w:tc>
          <w:tcPr>
            <w:tcW w:w="1279" w:type="pct"/>
          </w:tcPr>
          <w:p w14:paraId="3C42088C" w14:textId="77777777" w:rsidR="00AD4076" w:rsidRPr="00D921B6" w:rsidRDefault="00AD4076" w:rsidP="00AD4076">
            <w:pPr>
              <w:pStyle w:val="LCATabla"/>
              <w:rPr>
                <w:rFonts w:ascii="Arial" w:hAnsi="Arial" w:cs="Arial"/>
                <w:sz w:val="20"/>
              </w:rPr>
            </w:pPr>
          </w:p>
          <w:p w14:paraId="4C4EB641" w14:textId="77777777" w:rsidR="00AD4076" w:rsidRPr="00D921B6" w:rsidRDefault="00AD4076" w:rsidP="00AD4076">
            <w:pPr>
              <w:pStyle w:val="LCATabla"/>
              <w:rPr>
                <w:rFonts w:ascii="Arial" w:hAnsi="Arial" w:cs="Arial"/>
                <w:sz w:val="20"/>
              </w:rPr>
            </w:pPr>
            <w:r w:rsidRPr="00D921B6">
              <w:rPr>
                <w:rFonts w:ascii="Arial" w:hAnsi="Arial" w:cs="Arial"/>
                <w:sz w:val="20"/>
              </w:rPr>
              <w:t>Tabla 10 OC 35/2014</w:t>
            </w:r>
          </w:p>
          <w:p w14:paraId="02B2BBD3" w14:textId="77777777" w:rsidR="00AD4076" w:rsidRPr="00D921B6" w:rsidRDefault="00AD4076" w:rsidP="00AD4076">
            <w:pPr>
              <w:pStyle w:val="LCATabla"/>
              <w:rPr>
                <w:rFonts w:ascii="Arial" w:hAnsi="Arial" w:cs="Arial"/>
                <w:sz w:val="20"/>
              </w:rPr>
            </w:pPr>
            <w:r w:rsidRPr="00D921B6">
              <w:rPr>
                <w:rFonts w:ascii="Arial" w:hAnsi="Arial" w:cs="Arial"/>
                <w:sz w:val="20"/>
              </w:rPr>
              <w:t>Tabla 11 OC 35/2014</w:t>
            </w:r>
          </w:p>
        </w:tc>
        <w:tc>
          <w:tcPr>
            <w:tcW w:w="1043" w:type="pct"/>
            <w:vAlign w:val="center"/>
          </w:tcPr>
          <w:p w14:paraId="1DDC49D2" w14:textId="77777777" w:rsidR="00AD4076" w:rsidRPr="00D921B6" w:rsidRDefault="00AD4076" w:rsidP="00AD4076">
            <w:pPr>
              <w:pStyle w:val="LCATabla"/>
              <w:rPr>
                <w:rFonts w:ascii="Arial" w:hAnsi="Arial" w:cs="Arial"/>
                <w:sz w:val="20"/>
              </w:rPr>
            </w:pPr>
            <w:r w:rsidRPr="00D921B6">
              <w:rPr>
                <w:rFonts w:ascii="Arial" w:hAnsi="Arial" w:cs="Arial"/>
                <w:sz w:val="20"/>
              </w:rPr>
              <w:t>Medición con odómetro o topográfica</w:t>
            </w:r>
          </w:p>
        </w:tc>
      </w:tr>
      <w:tr w:rsidR="00AD4076" w:rsidRPr="00D921B6" w14:paraId="4AE5C07B" w14:textId="77777777" w:rsidTr="003B4E71">
        <w:trPr>
          <w:trHeight w:val="540"/>
        </w:trPr>
        <w:tc>
          <w:tcPr>
            <w:tcW w:w="2677" w:type="pct"/>
          </w:tcPr>
          <w:p w14:paraId="18601F1B" w14:textId="77777777" w:rsidR="00AD4076" w:rsidRPr="00D921B6" w:rsidRDefault="00AD4076" w:rsidP="00AD4076">
            <w:pPr>
              <w:pStyle w:val="LCATabla"/>
              <w:rPr>
                <w:rFonts w:ascii="Arial" w:hAnsi="Arial" w:cs="Arial"/>
                <w:sz w:val="20"/>
              </w:rPr>
            </w:pPr>
            <w:r w:rsidRPr="00D921B6">
              <w:rPr>
                <w:rFonts w:ascii="Arial" w:hAnsi="Arial" w:cs="Arial"/>
                <w:sz w:val="20"/>
              </w:rPr>
              <w:t>Longitud de prolongación:</w:t>
            </w:r>
          </w:p>
          <w:p w14:paraId="3A961910" w14:textId="77777777" w:rsidR="00AD4076" w:rsidRPr="00D921B6" w:rsidRDefault="00AD4076" w:rsidP="00AD4076">
            <w:pPr>
              <w:pStyle w:val="LCATabla"/>
              <w:rPr>
                <w:rFonts w:ascii="Arial" w:hAnsi="Arial" w:cs="Arial"/>
                <w:sz w:val="20"/>
              </w:rPr>
            </w:pPr>
            <w:r w:rsidRPr="00D921B6">
              <w:rPr>
                <w:rFonts w:ascii="Arial" w:hAnsi="Arial" w:cs="Arial"/>
                <w:sz w:val="20"/>
              </w:rPr>
              <w:t>Calzada única</w:t>
            </w:r>
          </w:p>
          <w:p w14:paraId="2B4C54E1" w14:textId="77777777" w:rsidR="00AD4076" w:rsidRPr="00D921B6" w:rsidRDefault="00AD4076" w:rsidP="00AD4076">
            <w:pPr>
              <w:pStyle w:val="LCATabla"/>
              <w:rPr>
                <w:rFonts w:ascii="Arial" w:hAnsi="Arial" w:cs="Arial"/>
                <w:sz w:val="20"/>
              </w:rPr>
            </w:pPr>
            <w:r w:rsidRPr="00D921B6">
              <w:rPr>
                <w:rFonts w:ascii="Arial" w:hAnsi="Arial" w:cs="Arial"/>
                <w:sz w:val="20"/>
              </w:rPr>
              <w:t>Calzadas separadas</w:t>
            </w:r>
          </w:p>
        </w:tc>
        <w:tc>
          <w:tcPr>
            <w:tcW w:w="1279" w:type="pct"/>
          </w:tcPr>
          <w:p w14:paraId="2A60FBF4" w14:textId="77777777" w:rsidR="00AD4076" w:rsidRPr="00D921B6" w:rsidRDefault="00AD4076" w:rsidP="00AD4076">
            <w:pPr>
              <w:pStyle w:val="LCATabla"/>
              <w:rPr>
                <w:rFonts w:ascii="Arial" w:hAnsi="Arial" w:cs="Arial"/>
                <w:sz w:val="20"/>
              </w:rPr>
            </w:pPr>
          </w:p>
          <w:p w14:paraId="65AE8CAA" w14:textId="77777777" w:rsidR="00AD4076" w:rsidRPr="00D921B6" w:rsidRDefault="00AD4076" w:rsidP="00AD4076">
            <w:pPr>
              <w:pStyle w:val="LCATabla"/>
              <w:rPr>
                <w:rFonts w:ascii="Arial" w:hAnsi="Arial" w:cs="Arial"/>
                <w:sz w:val="20"/>
              </w:rPr>
            </w:pPr>
            <w:r w:rsidRPr="00D921B6">
              <w:rPr>
                <w:rFonts w:ascii="Arial" w:hAnsi="Arial" w:cs="Arial"/>
                <w:sz w:val="20"/>
              </w:rPr>
              <w:t xml:space="preserve">Fig. </w:t>
            </w:r>
            <w:proofErr w:type="gramStart"/>
            <w:r w:rsidRPr="00D921B6">
              <w:rPr>
                <w:rFonts w:ascii="Arial" w:hAnsi="Arial" w:cs="Arial"/>
                <w:sz w:val="20"/>
              </w:rPr>
              <w:t>8  OC</w:t>
            </w:r>
            <w:proofErr w:type="gramEnd"/>
            <w:r w:rsidRPr="00D921B6">
              <w:rPr>
                <w:rFonts w:ascii="Arial" w:hAnsi="Arial" w:cs="Arial"/>
                <w:sz w:val="20"/>
              </w:rPr>
              <w:t xml:space="preserve"> 35/2014</w:t>
            </w:r>
          </w:p>
          <w:p w14:paraId="74574B78" w14:textId="77777777" w:rsidR="00AD4076" w:rsidRPr="00D921B6" w:rsidRDefault="00AD4076" w:rsidP="00AD4076">
            <w:pPr>
              <w:pStyle w:val="LCATabla"/>
              <w:rPr>
                <w:rFonts w:ascii="Arial" w:hAnsi="Arial" w:cs="Arial"/>
                <w:sz w:val="20"/>
              </w:rPr>
            </w:pPr>
            <w:r w:rsidRPr="00D921B6">
              <w:rPr>
                <w:rFonts w:ascii="Arial" w:hAnsi="Arial" w:cs="Arial"/>
                <w:sz w:val="20"/>
              </w:rPr>
              <w:t xml:space="preserve">Fig. </w:t>
            </w:r>
            <w:proofErr w:type="gramStart"/>
            <w:r w:rsidRPr="00D921B6">
              <w:rPr>
                <w:rFonts w:ascii="Arial" w:hAnsi="Arial" w:cs="Arial"/>
                <w:sz w:val="20"/>
              </w:rPr>
              <w:t>9  OC</w:t>
            </w:r>
            <w:proofErr w:type="gramEnd"/>
            <w:r w:rsidRPr="00D921B6">
              <w:rPr>
                <w:rFonts w:ascii="Arial" w:hAnsi="Arial" w:cs="Arial"/>
                <w:sz w:val="20"/>
              </w:rPr>
              <w:t xml:space="preserve"> 35/2014</w:t>
            </w:r>
          </w:p>
        </w:tc>
        <w:tc>
          <w:tcPr>
            <w:tcW w:w="1043" w:type="pct"/>
            <w:vAlign w:val="center"/>
          </w:tcPr>
          <w:p w14:paraId="53F72225" w14:textId="77777777" w:rsidR="00AD4076" w:rsidRPr="00D921B6" w:rsidRDefault="00AD4076" w:rsidP="00AD4076">
            <w:pPr>
              <w:pStyle w:val="LCATabla"/>
              <w:rPr>
                <w:rFonts w:ascii="Arial" w:hAnsi="Arial" w:cs="Arial"/>
                <w:sz w:val="20"/>
              </w:rPr>
            </w:pPr>
            <w:r w:rsidRPr="00D921B6">
              <w:rPr>
                <w:rFonts w:ascii="Arial" w:hAnsi="Arial" w:cs="Arial"/>
                <w:sz w:val="20"/>
              </w:rPr>
              <w:t>Medición con cinta, odómetro o topográfica</w:t>
            </w:r>
          </w:p>
        </w:tc>
      </w:tr>
      <w:tr w:rsidR="00AD4076" w:rsidRPr="00D921B6" w14:paraId="37FE0EB0" w14:textId="77777777" w:rsidTr="003B4E71">
        <w:trPr>
          <w:trHeight w:val="540"/>
        </w:trPr>
        <w:tc>
          <w:tcPr>
            <w:tcW w:w="2677" w:type="pct"/>
          </w:tcPr>
          <w:p w14:paraId="6B15FCC2" w14:textId="77777777" w:rsidR="00AD4076" w:rsidRPr="00D921B6" w:rsidRDefault="00AD4076" w:rsidP="00AD4076">
            <w:pPr>
              <w:pStyle w:val="LCATabla"/>
              <w:rPr>
                <w:rFonts w:ascii="Arial" w:hAnsi="Arial" w:cs="Arial"/>
                <w:sz w:val="20"/>
              </w:rPr>
            </w:pPr>
            <w:r w:rsidRPr="00D921B6">
              <w:rPr>
                <w:rFonts w:ascii="Arial" w:hAnsi="Arial" w:cs="Arial"/>
                <w:sz w:val="20"/>
              </w:rPr>
              <w:t>Posición transversal:</w:t>
            </w:r>
          </w:p>
          <w:p w14:paraId="458E82A8" w14:textId="77777777" w:rsidR="00AD4076" w:rsidRPr="00D921B6" w:rsidRDefault="00AD4076" w:rsidP="00AD4076">
            <w:pPr>
              <w:pStyle w:val="LCATabla"/>
              <w:rPr>
                <w:rFonts w:ascii="Arial" w:hAnsi="Arial" w:cs="Arial"/>
                <w:sz w:val="20"/>
              </w:rPr>
            </w:pPr>
            <w:r w:rsidRPr="00D921B6">
              <w:rPr>
                <w:rFonts w:ascii="Arial" w:hAnsi="Arial" w:cs="Arial"/>
                <w:sz w:val="20"/>
              </w:rPr>
              <w:t xml:space="preserve">Distancia mínima al borde de la superficie pavimentada: </w:t>
            </w:r>
          </w:p>
          <w:p w14:paraId="07373B54" w14:textId="77777777" w:rsidR="00AD4076" w:rsidRPr="00D921B6" w:rsidRDefault="00AD4076" w:rsidP="00AD4076">
            <w:pPr>
              <w:pStyle w:val="LCATabla"/>
              <w:numPr>
                <w:ilvl w:val="0"/>
                <w:numId w:val="157"/>
              </w:numPr>
              <w:suppressAutoHyphens/>
              <w:rPr>
                <w:rFonts w:ascii="Arial" w:hAnsi="Arial" w:cs="Arial"/>
                <w:sz w:val="20"/>
              </w:rPr>
            </w:pPr>
            <w:r w:rsidRPr="00D921B6">
              <w:rPr>
                <w:rFonts w:ascii="Arial" w:hAnsi="Arial" w:cs="Arial"/>
                <w:sz w:val="20"/>
              </w:rPr>
              <w:t>barrera fuera del arcén</w:t>
            </w:r>
          </w:p>
          <w:p w14:paraId="6CEBC640" w14:textId="77777777" w:rsidR="00AD4076" w:rsidRPr="00D921B6" w:rsidRDefault="00AD4076" w:rsidP="00AD4076">
            <w:pPr>
              <w:pStyle w:val="LCATabla"/>
              <w:numPr>
                <w:ilvl w:val="0"/>
                <w:numId w:val="157"/>
              </w:numPr>
              <w:suppressAutoHyphens/>
              <w:rPr>
                <w:rFonts w:ascii="Arial" w:hAnsi="Arial" w:cs="Arial"/>
                <w:sz w:val="20"/>
              </w:rPr>
            </w:pPr>
            <w:r w:rsidRPr="00D921B6">
              <w:rPr>
                <w:rFonts w:ascii="Arial" w:hAnsi="Arial" w:cs="Arial"/>
                <w:sz w:val="20"/>
              </w:rPr>
              <w:t>si no hay arcén, distancia mínima de 0,5 m. respecto a borde de calzada</w:t>
            </w:r>
          </w:p>
        </w:tc>
        <w:tc>
          <w:tcPr>
            <w:tcW w:w="1279" w:type="pct"/>
          </w:tcPr>
          <w:p w14:paraId="2C21830E" w14:textId="77777777" w:rsidR="00AD4076" w:rsidRPr="00D921B6" w:rsidRDefault="00AD4076" w:rsidP="00AD4076">
            <w:pPr>
              <w:pStyle w:val="LCATabla"/>
              <w:rPr>
                <w:rFonts w:ascii="Arial" w:hAnsi="Arial" w:cs="Arial"/>
                <w:sz w:val="20"/>
              </w:rPr>
            </w:pPr>
          </w:p>
          <w:p w14:paraId="1CAD8907" w14:textId="77777777" w:rsidR="00AD4076" w:rsidRPr="00D921B6" w:rsidRDefault="00AD4076" w:rsidP="00AD4076">
            <w:pPr>
              <w:pStyle w:val="LCATabla"/>
              <w:rPr>
                <w:rFonts w:ascii="Arial" w:hAnsi="Arial" w:cs="Arial"/>
                <w:sz w:val="20"/>
              </w:rPr>
            </w:pPr>
            <w:r w:rsidRPr="00D921B6">
              <w:rPr>
                <w:rFonts w:ascii="Arial" w:hAnsi="Arial" w:cs="Arial"/>
                <w:sz w:val="20"/>
              </w:rPr>
              <w:t>OC 35/2014</w:t>
            </w:r>
          </w:p>
          <w:p w14:paraId="486E9C52" w14:textId="77777777" w:rsidR="00AD4076" w:rsidRPr="00D921B6" w:rsidRDefault="00AD4076" w:rsidP="00AD4076">
            <w:pPr>
              <w:pStyle w:val="LCATabla"/>
              <w:rPr>
                <w:rFonts w:ascii="Arial" w:hAnsi="Arial" w:cs="Arial"/>
                <w:sz w:val="20"/>
              </w:rPr>
            </w:pPr>
          </w:p>
          <w:p w14:paraId="566FDA44" w14:textId="77777777" w:rsidR="00AD4076" w:rsidRPr="00D921B6" w:rsidRDefault="00AD4076" w:rsidP="00AD4076">
            <w:pPr>
              <w:pStyle w:val="LCATabla"/>
              <w:rPr>
                <w:rFonts w:ascii="Arial" w:hAnsi="Arial" w:cs="Arial"/>
                <w:sz w:val="20"/>
              </w:rPr>
            </w:pPr>
          </w:p>
          <w:p w14:paraId="1C1552CC" w14:textId="77777777" w:rsidR="00AD4076" w:rsidRPr="00D921B6" w:rsidRDefault="00AD4076" w:rsidP="00AD4076">
            <w:pPr>
              <w:pStyle w:val="LCATabla"/>
              <w:rPr>
                <w:rFonts w:ascii="Arial" w:hAnsi="Arial" w:cs="Arial"/>
                <w:sz w:val="20"/>
              </w:rPr>
            </w:pPr>
          </w:p>
        </w:tc>
        <w:tc>
          <w:tcPr>
            <w:tcW w:w="1043" w:type="pct"/>
            <w:vAlign w:val="center"/>
          </w:tcPr>
          <w:p w14:paraId="79162BC1" w14:textId="77777777" w:rsidR="00AD4076" w:rsidRPr="00D921B6" w:rsidRDefault="00AD4076" w:rsidP="00AD4076">
            <w:pPr>
              <w:pStyle w:val="LCATabla"/>
              <w:rPr>
                <w:rFonts w:ascii="Arial" w:hAnsi="Arial" w:cs="Arial"/>
                <w:sz w:val="20"/>
              </w:rPr>
            </w:pPr>
          </w:p>
          <w:p w14:paraId="62998E89" w14:textId="77777777" w:rsidR="00AD4076" w:rsidRPr="00D921B6" w:rsidRDefault="00AD4076" w:rsidP="00AD4076">
            <w:pPr>
              <w:pStyle w:val="LCATabla"/>
              <w:rPr>
                <w:rFonts w:ascii="Arial" w:hAnsi="Arial" w:cs="Arial"/>
                <w:sz w:val="20"/>
              </w:rPr>
            </w:pPr>
            <w:r w:rsidRPr="00D921B6">
              <w:rPr>
                <w:rFonts w:ascii="Arial" w:hAnsi="Arial" w:cs="Arial"/>
                <w:sz w:val="20"/>
              </w:rPr>
              <w:t>Medición con cinta</w:t>
            </w:r>
          </w:p>
        </w:tc>
      </w:tr>
      <w:tr w:rsidR="00AD4076" w:rsidRPr="00D921B6" w14:paraId="6A0AAD84" w14:textId="77777777" w:rsidTr="003B4E71">
        <w:trPr>
          <w:trHeight w:val="540"/>
        </w:trPr>
        <w:tc>
          <w:tcPr>
            <w:tcW w:w="2677" w:type="pct"/>
          </w:tcPr>
          <w:p w14:paraId="28864583" w14:textId="77777777" w:rsidR="00AD4076" w:rsidRPr="00D921B6" w:rsidRDefault="00AD4076" w:rsidP="00AD4076">
            <w:pPr>
              <w:pStyle w:val="LCATabla"/>
              <w:rPr>
                <w:rFonts w:ascii="Arial" w:hAnsi="Arial" w:cs="Arial"/>
                <w:sz w:val="20"/>
              </w:rPr>
            </w:pPr>
            <w:r w:rsidRPr="00D921B6">
              <w:rPr>
                <w:rFonts w:ascii="Arial" w:hAnsi="Arial" w:cs="Arial"/>
                <w:sz w:val="20"/>
              </w:rPr>
              <w:t>Posición transversal:</w:t>
            </w:r>
          </w:p>
          <w:p w14:paraId="422588AF" w14:textId="77777777" w:rsidR="00AD4076" w:rsidRPr="00D921B6" w:rsidRDefault="00AD4076" w:rsidP="00AD4076">
            <w:pPr>
              <w:pStyle w:val="LCATabla"/>
              <w:rPr>
                <w:rFonts w:ascii="Arial" w:hAnsi="Arial" w:cs="Arial"/>
                <w:sz w:val="20"/>
              </w:rPr>
            </w:pPr>
            <w:r w:rsidRPr="00D921B6">
              <w:rPr>
                <w:rFonts w:ascii="Arial" w:hAnsi="Arial" w:cs="Arial"/>
                <w:sz w:val="20"/>
              </w:rPr>
              <w:t xml:space="preserve">Distancia a obstáculo o </w:t>
            </w:r>
            <w:proofErr w:type="gramStart"/>
            <w:r w:rsidRPr="00D921B6">
              <w:rPr>
                <w:rFonts w:ascii="Arial" w:hAnsi="Arial" w:cs="Arial"/>
                <w:sz w:val="20"/>
              </w:rPr>
              <w:t>desnivel  ≥</w:t>
            </w:r>
            <w:proofErr w:type="gramEnd"/>
            <w:r w:rsidRPr="00D921B6">
              <w:rPr>
                <w:rFonts w:ascii="Arial" w:hAnsi="Arial" w:cs="Arial"/>
                <w:sz w:val="20"/>
              </w:rPr>
              <w:t xml:space="preserve"> W</w:t>
            </w:r>
          </w:p>
        </w:tc>
        <w:tc>
          <w:tcPr>
            <w:tcW w:w="1279" w:type="pct"/>
          </w:tcPr>
          <w:p w14:paraId="34F9701A" w14:textId="77777777" w:rsidR="00AD4076" w:rsidRPr="00D921B6" w:rsidRDefault="00AD4076" w:rsidP="00AD4076">
            <w:pPr>
              <w:pStyle w:val="LCATabla"/>
              <w:rPr>
                <w:rFonts w:ascii="Arial" w:hAnsi="Arial" w:cs="Arial"/>
                <w:sz w:val="20"/>
              </w:rPr>
            </w:pPr>
          </w:p>
          <w:p w14:paraId="604E56B5" w14:textId="77777777" w:rsidR="00AD4076" w:rsidRPr="00D921B6" w:rsidRDefault="00AD4076" w:rsidP="00AD4076">
            <w:pPr>
              <w:pStyle w:val="LCATabla"/>
              <w:rPr>
                <w:rFonts w:ascii="Arial" w:hAnsi="Arial" w:cs="Arial"/>
                <w:sz w:val="20"/>
              </w:rPr>
            </w:pPr>
            <w:r w:rsidRPr="00D921B6">
              <w:rPr>
                <w:rFonts w:ascii="Arial" w:hAnsi="Arial" w:cs="Arial"/>
                <w:sz w:val="20"/>
              </w:rPr>
              <w:t>OC 35/2014</w:t>
            </w:r>
          </w:p>
        </w:tc>
        <w:tc>
          <w:tcPr>
            <w:tcW w:w="1043" w:type="pct"/>
          </w:tcPr>
          <w:p w14:paraId="38613F9C" w14:textId="77777777" w:rsidR="00AD4076" w:rsidRPr="00D921B6" w:rsidRDefault="00AD4076" w:rsidP="00AD4076">
            <w:pPr>
              <w:pStyle w:val="LCATabla"/>
              <w:rPr>
                <w:rFonts w:ascii="Arial" w:hAnsi="Arial" w:cs="Arial"/>
                <w:sz w:val="20"/>
              </w:rPr>
            </w:pPr>
          </w:p>
          <w:p w14:paraId="05D2260E" w14:textId="77777777" w:rsidR="00AD4076" w:rsidRPr="00D921B6" w:rsidRDefault="00AD4076" w:rsidP="00AD4076">
            <w:pPr>
              <w:pStyle w:val="LCATabla"/>
              <w:rPr>
                <w:rFonts w:ascii="Arial" w:hAnsi="Arial" w:cs="Arial"/>
                <w:sz w:val="20"/>
              </w:rPr>
            </w:pPr>
            <w:r w:rsidRPr="00D921B6">
              <w:rPr>
                <w:rFonts w:ascii="Arial" w:hAnsi="Arial" w:cs="Arial"/>
                <w:sz w:val="20"/>
              </w:rPr>
              <w:t>Medición con cinta</w:t>
            </w:r>
          </w:p>
        </w:tc>
      </w:tr>
      <w:tr w:rsidR="00AD4076" w:rsidRPr="00D921B6" w14:paraId="54C30763" w14:textId="77777777" w:rsidTr="003B4E71">
        <w:trPr>
          <w:trHeight w:val="540"/>
        </w:trPr>
        <w:tc>
          <w:tcPr>
            <w:tcW w:w="2677" w:type="pct"/>
          </w:tcPr>
          <w:p w14:paraId="36AF9744" w14:textId="77777777" w:rsidR="00AD4076" w:rsidRPr="00D921B6" w:rsidRDefault="00AD4076" w:rsidP="00AD4076">
            <w:pPr>
              <w:pStyle w:val="LCATabla"/>
              <w:rPr>
                <w:rFonts w:ascii="Arial" w:hAnsi="Arial" w:cs="Arial"/>
                <w:sz w:val="20"/>
              </w:rPr>
            </w:pPr>
            <w:r w:rsidRPr="00D921B6">
              <w:rPr>
                <w:rFonts w:ascii="Arial" w:hAnsi="Arial" w:cs="Arial"/>
                <w:sz w:val="20"/>
              </w:rPr>
              <w:t>Posición en altura:</w:t>
            </w:r>
          </w:p>
          <w:p w14:paraId="094ADE47" w14:textId="77777777" w:rsidR="00AD4076" w:rsidRPr="00D921B6" w:rsidRDefault="00AD4076" w:rsidP="00AD4076">
            <w:pPr>
              <w:pStyle w:val="LCATabla"/>
              <w:rPr>
                <w:rFonts w:ascii="Arial" w:hAnsi="Arial" w:cs="Arial"/>
                <w:sz w:val="20"/>
              </w:rPr>
            </w:pPr>
          </w:p>
        </w:tc>
        <w:tc>
          <w:tcPr>
            <w:tcW w:w="1279" w:type="pct"/>
          </w:tcPr>
          <w:p w14:paraId="183E03B7" w14:textId="77777777" w:rsidR="00AD4076" w:rsidRPr="00D921B6" w:rsidRDefault="00AD4076" w:rsidP="00AD4076">
            <w:pPr>
              <w:pStyle w:val="LCATabla"/>
              <w:rPr>
                <w:rFonts w:ascii="Arial" w:hAnsi="Arial" w:cs="Arial"/>
                <w:sz w:val="20"/>
              </w:rPr>
            </w:pPr>
            <w:r w:rsidRPr="00D921B6">
              <w:rPr>
                <w:rFonts w:ascii="Arial" w:hAnsi="Arial" w:cs="Arial"/>
                <w:sz w:val="20"/>
              </w:rPr>
              <w:t xml:space="preserve"> OC 35/2014</w:t>
            </w:r>
          </w:p>
          <w:p w14:paraId="1E21469E" w14:textId="77777777" w:rsidR="00AD4076" w:rsidRPr="00D921B6" w:rsidRDefault="00AD4076" w:rsidP="00AD4076">
            <w:pPr>
              <w:pStyle w:val="LCATabla"/>
              <w:rPr>
                <w:rFonts w:ascii="Arial" w:hAnsi="Arial" w:cs="Arial"/>
                <w:sz w:val="20"/>
              </w:rPr>
            </w:pPr>
          </w:p>
        </w:tc>
        <w:tc>
          <w:tcPr>
            <w:tcW w:w="1043" w:type="pct"/>
            <w:vAlign w:val="center"/>
          </w:tcPr>
          <w:p w14:paraId="7D9EEBA5" w14:textId="77777777" w:rsidR="00AD4076" w:rsidRPr="00D921B6" w:rsidRDefault="00AD4076" w:rsidP="00AD4076">
            <w:pPr>
              <w:pStyle w:val="LCATabla"/>
              <w:rPr>
                <w:rFonts w:ascii="Arial" w:hAnsi="Arial" w:cs="Arial"/>
                <w:sz w:val="20"/>
              </w:rPr>
            </w:pPr>
            <w:r w:rsidRPr="00D921B6">
              <w:rPr>
                <w:rFonts w:ascii="Arial" w:hAnsi="Arial" w:cs="Arial"/>
                <w:sz w:val="20"/>
              </w:rPr>
              <w:t>El bordillo no excederá de siete centímetros de altura en ningún caso.</w:t>
            </w:r>
          </w:p>
        </w:tc>
      </w:tr>
      <w:tr w:rsidR="00AD4076" w:rsidRPr="00D921B6" w14:paraId="658AF6DB" w14:textId="77777777" w:rsidTr="003B4E71">
        <w:trPr>
          <w:trHeight w:val="540"/>
        </w:trPr>
        <w:tc>
          <w:tcPr>
            <w:tcW w:w="2677" w:type="pct"/>
          </w:tcPr>
          <w:p w14:paraId="58FF30EA" w14:textId="77777777" w:rsidR="00AD4076" w:rsidRPr="00D921B6" w:rsidRDefault="00AD4076" w:rsidP="00AD4076">
            <w:pPr>
              <w:pStyle w:val="LCATabla"/>
              <w:rPr>
                <w:rFonts w:ascii="Arial" w:hAnsi="Arial" w:cs="Arial"/>
                <w:sz w:val="20"/>
              </w:rPr>
            </w:pPr>
            <w:r w:rsidRPr="00D921B6">
              <w:rPr>
                <w:rFonts w:ascii="Arial" w:hAnsi="Arial" w:cs="Arial"/>
                <w:sz w:val="20"/>
              </w:rPr>
              <w:t>Desviación de la inclinación respecto de la perpendicular a la plataforma &lt; 1º</w:t>
            </w:r>
          </w:p>
        </w:tc>
        <w:tc>
          <w:tcPr>
            <w:tcW w:w="1279" w:type="pct"/>
          </w:tcPr>
          <w:p w14:paraId="51045394" w14:textId="77777777" w:rsidR="00AD4076" w:rsidRPr="00D921B6" w:rsidRDefault="00AD4076" w:rsidP="00AD4076">
            <w:pPr>
              <w:pStyle w:val="LCATabla"/>
              <w:rPr>
                <w:rFonts w:ascii="Arial" w:hAnsi="Arial" w:cs="Arial"/>
                <w:sz w:val="20"/>
              </w:rPr>
            </w:pPr>
            <w:r w:rsidRPr="00D921B6">
              <w:rPr>
                <w:rFonts w:ascii="Arial" w:hAnsi="Arial" w:cs="Arial"/>
                <w:sz w:val="20"/>
              </w:rPr>
              <w:t>OC 35/2014</w:t>
            </w:r>
          </w:p>
        </w:tc>
        <w:tc>
          <w:tcPr>
            <w:tcW w:w="1043" w:type="pct"/>
            <w:vAlign w:val="center"/>
          </w:tcPr>
          <w:p w14:paraId="2E07350D" w14:textId="77777777" w:rsidR="00AD4076" w:rsidRPr="00D921B6" w:rsidRDefault="00AD4076" w:rsidP="00AD4076">
            <w:pPr>
              <w:pStyle w:val="LCATabla"/>
              <w:rPr>
                <w:rFonts w:ascii="Arial" w:hAnsi="Arial" w:cs="Arial"/>
                <w:sz w:val="20"/>
              </w:rPr>
            </w:pPr>
            <w:r w:rsidRPr="00D921B6">
              <w:rPr>
                <w:rFonts w:ascii="Arial" w:hAnsi="Arial" w:cs="Arial"/>
                <w:sz w:val="20"/>
              </w:rPr>
              <w:t>Medición con inclinómetro y regla</w:t>
            </w:r>
          </w:p>
        </w:tc>
      </w:tr>
    </w:tbl>
    <w:p w14:paraId="1F2D262C" w14:textId="77777777" w:rsidR="00AD4076" w:rsidRPr="00D921B6" w:rsidRDefault="00AD4076" w:rsidP="00AD4076">
      <w:pPr>
        <w:pStyle w:val="NORMAL12"/>
        <w:spacing w:line="348" w:lineRule="auto"/>
      </w:pPr>
    </w:p>
    <w:p w14:paraId="221E2E11" w14:textId="77777777" w:rsidR="00AD4076" w:rsidRPr="00D921B6" w:rsidRDefault="00AD4076" w:rsidP="00AD4076">
      <w:pPr>
        <w:pStyle w:val="NORMAL12"/>
        <w:spacing w:line="348" w:lineRule="auto"/>
        <w:rPr>
          <w:i/>
          <w:u w:val="single"/>
        </w:rPr>
      </w:pPr>
      <w:r w:rsidRPr="00D921B6">
        <w:rPr>
          <w:i/>
          <w:u w:val="single"/>
        </w:rPr>
        <w:t>Tratamiento de no conformidades</w:t>
      </w:r>
    </w:p>
    <w:p w14:paraId="7ADA11F9" w14:textId="77777777" w:rsidR="00AD4076" w:rsidRPr="00D921B6" w:rsidRDefault="00AD4076" w:rsidP="00AD4076">
      <w:pPr>
        <w:pStyle w:val="NORMAL12"/>
        <w:spacing w:line="348" w:lineRule="auto"/>
      </w:pPr>
      <w:r w:rsidRPr="00D921B6">
        <w:t>Si alguno de los parámetros de aceptación final no se cumpliera, no se aceptará la unidad mientras no se subsane la deficiencia, bien añadiendo longitud de pretil o bien desmontando módulos y eventualmente postes, para posteriormente reponer los pretiles cumpliendo todos los criterios de aceptación. La corrección de las deficiencias correrá íntegramente por cuenta del Contratista.</w:t>
      </w:r>
    </w:p>
    <w:p w14:paraId="1AF06875" w14:textId="77777777" w:rsidR="00AD4076" w:rsidRPr="00D921B6" w:rsidRDefault="00AD4076" w:rsidP="000313DD">
      <w:pPr>
        <w:pStyle w:val="TITU2"/>
      </w:pPr>
      <w:bookmarkStart w:id="1189" w:name="_Toc404624"/>
      <w:r w:rsidRPr="00D921B6">
        <w:t>706.8. Periodo de garantía</w:t>
      </w:r>
      <w:bookmarkEnd w:id="1189"/>
    </w:p>
    <w:p w14:paraId="13E412AB" w14:textId="77777777" w:rsidR="00AD4076" w:rsidRPr="00D921B6" w:rsidRDefault="00AD4076" w:rsidP="00AD4076">
      <w:pPr>
        <w:pStyle w:val="NORMAL12"/>
      </w:pPr>
      <w:r w:rsidRPr="00D921B6">
        <w:t xml:space="preserve">El período de garantía de los elementos constituyentes de los sistemas de contención que no hayan sido objeto de arrancamiento, rotura o deformación por la acción del tráfico, fabricados e instalados con carácter permanente según las normas y pliegos de prescripciones técnicas aplicables, así como conservados regularmente de acuerdo con las instrucciones facilitadas </w:t>
      </w:r>
      <w:r w:rsidR="00217216" w:rsidRPr="00D921B6">
        <w:t>por el</w:t>
      </w:r>
      <w:r w:rsidRPr="00D921B6">
        <w:t xml:space="preserve"> fabricante, será de dos (2) años, contabilizados desde la fecha de su instalación. </w:t>
      </w:r>
    </w:p>
    <w:p w14:paraId="2FACEC82" w14:textId="77777777" w:rsidR="007354B4" w:rsidRPr="002005BA" w:rsidRDefault="00CE0780" w:rsidP="000313DD">
      <w:pPr>
        <w:pStyle w:val="TITU2"/>
      </w:pPr>
      <w:bookmarkStart w:id="1190" w:name="_Toc404625"/>
      <w:r>
        <w:t xml:space="preserve">706.9. </w:t>
      </w:r>
      <w:r w:rsidR="007354B4" w:rsidRPr="002005BA">
        <w:t>Medición y abono</w:t>
      </w:r>
      <w:bookmarkEnd w:id="1190"/>
    </w:p>
    <w:p w14:paraId="17FA0E85" w14:textId="77777777" w:rsidR="007354B4" w:rsidRPr="002005BA" w:rsidRDefault="007354B4" w:rsidP="0067129E">
      <w:pPr>
        <w:pStyle w:val="NORMAL12"/>
        <w:spacing w:line="348" w:lineRule="auto"/>
      </w:pPr>
      <w:r w:rsidRPr="002005BA">
        <w:t>Las unidades de obra correspondientes a pretiles metálicos se medirán conforme a los criterios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8"/>
        <w:gridCol w:w="6073"/>
      </w:tblGrid>
      <w:tr w:rsidR="007354B4" w:rsidRPr="001B1677" w14:paraId="1845321E" w14:textId="77777777" w:rsidTr="007354B4">
        <w:tc>
          <w:tcPr>
            <w:tcW w:w="0" w:type="auto"/>
            <w:vAlign w:val="center"/>
          </w:tcPr>
          <w:p w14:paraId="6F0BCF3E" w14:textId="77777777" w:rsidR="007354B4" w:rsidRPr="002005BA" w:rsidRDefault="007354B4" w:rsidP="00401D51">
            <w:pPr>
              <w:pStyle w:val="Tabla"/>
              <w:rPr>
                <w:b/>
              </w:rPr>
            </w:pPr>
            <w:r w:rsidRPr="002005BA">
              <w:rPr>
                <w:b/>
              </w:rPr>
              <w:t>Unidad de medida</w:t>
            </w:r>
          </w:p>
        </w:tc>
        <w:tc>
          <w:tcPr>
            <w:tcW w:w="6073" w:type="dxa"/>
            <w:vAlign w:val="center"/>
          </w:tcPr>
          <w:p w14:paraId="331A6FF1" w14:textId="77777777" w:rsidR="007354B4" w:rsidRPr="00CC738C" w:rsidRDefault="007354B4" w:rsidP="00CC738C">
            <w:pPr>
              <w:pStyle w:val="LCATabla"/>
              <w:keepLines/>
              <w:jc w:val="both"/>
              <w:rPr>
                <w:rFonts w:ascii="Arial" w:hAnsi="Arial" w:cs="Arial"/>
                <w:sz w:val="20"/>
              </w:rPr>
            </w:pPr>
            <w:r w:rsidRPr="00CC738C">
              <w:rPr>
                <w:rFonts w:ascii="Arial" w:hAnsi="Arial" w:cs="Arial"/>
                <w:sz w:val="20"/>
              </w:rPr>
              <w:t>Metros (m).</w:t>
            </w:r>
          </w:p>
        </w:tc>
      </w:tr>
      <w:tr w:rsidR="007354B4" w:rsidRPr="001B1677" w14:paraId="457C4DDB" w14:textId="77777777" w:rsidTr="007354B4">
        <w:tc>
          <w:tcPr>
            <w:tcW w:w="0" w:type="auto"/>
            <w:vAlign w:val="center"/>
          </w:tcPr>
          <w:p w14:paraId="31A059E7" w14:textId="77777777" w:rsidR="007354B4" w:rsidRPr="002005BA" w:rsidRDefault="007354B4" w:rsidP="00401D51">
            <w:pPr>
              <w:pStyle w:val="Tabla"/>
              <w:rPr>
                <w:b/>
              </w:rPr>
            </w:pPr>
            <w:r w:rsidRPr="002005BA">
              <w:rPr>
                <w:b/>
              </w:rPr>
              <w:t>Grado de precisión</w:t>
            </w:r>
          </w:p>
        </w:tc>
        <w:tc>
          <w:tcPr>
            <w:tcW w:w="6073" w:type="dxa"/>
            <w:vAlign w:val="center"/>
          </w:tcPr>
          <w:p w14:paraId="6FA5C4D0" w14:textId="77777777" w:rsidR="007354B4" w:rsidRPr="00CC738C" w:rsidRDefault="007354B4" w:rsidP="00CC738C">
            <w:pPr>
              <w:pStyle w:val="LCATabla"/>
              <w:keepLines/>
              <w:jc w:val="both"/>
              <w:rPr>
                <w:rFonts w:ascii="Arial" w:hAnsi="Arial" w:cs="Arial"/>
                <w:sz w:val="20"/>
              </w:rPr>
            </w:pPr>
            <w:r w:rsidRPr="00CC738C">
              <w:rPr>
                <w:rFonts w:ascii="Arial" w:hAnsi="Arial" w:cs="Arial"/>
                <w:sz w:val="20"/>
              </w:rPr>
              <w:t>Dos decimales.</w:t>
            </w:r>
          </w:p>
        </w:tc>
      </w:tr>
      <w:tr w:rsidR="007354B4" w:rsidRPr="001B1677" w14:paraId="66B959F7" w14:textId="77777777" w:rsidTr="007354B4">
        <w:tc>
          <w:tcPr>
            <w:tcW w:w="0" w:type="auto"/>
            <w:vAlign w:val="center"/>
          </w:tcPr>
          <w:p w14:paraId="4CC3B2C9" w14:textId="77777777" w:rsidR="007354B4" w:rsidRPr="002005BA" w:rsidRDefault="007354B4" w:rsidP="00401D51">
            <w:pPr>
              <w:pStyle w:val="Tabla"/>
              <w:rPr>
                <w:b/>
              </w:rPr>
            </w:pPr>
            <w:r w:rsidRPr="002005BA">
              <w:rPr>
                <w:b/>
              </w:rPr>
              <w:t>Forma de medición</w:t>
            </w:r>
          </w:p>
        </w:tc>
        <w:tc>
          <w:tcPr>
            <w:tcW w:w="6073" w:type="dxa"/>
            <w:vAlign w:val="center"/>
          </w:tcPr>
          <w:p w14:paraId="0AAE95E6" w14:textId="77777777" w:rsidR="007354B4" w:rsidRPr="00CC738C" w:rsidRDefault="007354B4" w:rsidP="00CC738C">
            <w:pPr>
              <w:pStyle w:val="LCATabla"/>
              <w:keepLines/>
              <w:jc w:val="both"/>
              <w:rPr>
                <w:rFonts w:ascii="Arial" w:hAnsi="Arial" w:cs="Arial"/>
                <w:sz w:val="20"/>
              </w:rPr>
            </w:pPr>
            <w:r w:rsidRPr="00CC738C">
              <w:rPr>
                <w:rFonts w:ascii="Arial" w:hAnsi="Arial" w:cs="Arial"/>
                <w:sz w:val="20"/>
              </w:rPr>
              <w:t>Longitud de pretil realmente ejecutada en obra.</w:t>
            </w:r>
          </w:p>
        </w:tc>
      </w:tr>
      <w:tr w:rsidR="007354B4" w:rsidRPr="001B1677" w14:paraId="0B3C3D8D" w14:textId="77777777" w:rsidTr="007354B4">
        <w:tc>
          <w:tcPr>
            <w:tcW w:w="0" w:type="auto"/>
            <w:vAlign w:val="center"/>
          </w:tcPr>
          <w:p w14:paraId="6FBD4885" w14:textId="77777777" w:rsidR="007354B4" w:rsidRPr="002005BA" w:rsidRDefault="007354B4" w:rsidP="00401D51">
            <w:pPr>
              <w:pStyle w:val="Tabla"/>
              <w:rPr>
                <w:b/>
              </w:rPr>
            </w:pPr>
            <w:r w:rsidRPr="002005BA">
              <w:rPr>
                <w:b/>
              </w:rPr>
              <w:t>Abono</w:t>
            </w:r>
          </w:p>
        </w:tc>
        <w:tc>
          <w:tcPr>
            <w:tcW w:w="6073" w:type="dxa"/>
            <w:vAlign w:val="center"/>
          </w:tcPr>
          <w:p w14:paraId="4B9416D1" w14:textId="77777777" w:rsidR="007354B4" w:rsidRPr="00CC738C" w:rsidRDefault="007354B4" w:rsidP="00CC738C">
            <w:pPr>
              <w:pStyle w:val="LCATabla"/>
              <w:keepLines/>
              <w:jc w:val="both"/>
              <w:rPr>
                <w:rFonts w:ascii="Arial" w:hAnsi="Arial" w:cs="Arial"/>
                <w:sz w:val="20"/>
              </w:rPr>
            </w:pPr>
            <w:r w:rsidRPr="00CC738C">
              <w:rPr>
                <w:rFonts w:ascii="Arial" w:hAnsi="Arial" w:cs="Arial"/>
                <w:sz w:val="20"/>
              </w:rPr>
              <w:t>Se efectuará cuando se realice la aceptación.</w:t>
            </w:r>
          </w:p>
        </w:tc>
      </w:tr>
      <w:tr w:rsidR="007354B4" w:rsidRPr="001B1677" w14:paraId="43678EC2" w14:textId="77777777" w:rsidTr="007354B4">
        <w:tc>
          <w:tcPr>
            <w:tcW w:w="0" w:type="auto"/>
            <w:vAlign w:val="center"/>
          </w:tcPr>
          <w:p w14:paraId="2111F3BC" w14:textId="77777777" w:rsidR="007354B4" w:rsidRPr="002005BA" w:rsidRDefault="007354B4" w:rsidP="00401D51">
            <w:pPr>
              <w:pStyle w:val="Tabla"/>
              <w:rPr>
                <w:b/>
              </w:rPr>
            </w:pPr>
            <w:r w:rsidRPr="002005BA">
              <w:rPr>
                <w:b/>
              </w:rPr>
              <w:t>Criterios complementarios</w:t>
            </w:r>
          </w:p>
        </w:tc>
        <w:tc>
          <w:tcPr>
            <w:tcW w:w="6073" w:type="dxa"/>
            <w:vAlign w:val="center"/>
          </w:tcPr>
          <w:p w14:paraId="48C03EE6" w14:textId="77777777" w:rsidR="007354B4" w:rsidRPr="00CC738C" w:rsidRDefault="007354B4" w:rsidP="00CC738C">
            <w:pPr>
              <w:pStyle w:val="LCATabla"/>
              <w:keepLines/>
              <w:jc w:val="both"/>
              <w:rPr>
                <w:rFonts w:ascii="Arial" w:hAnsi="Arial" w:cs="Arial"/>
                <w:sz w:val="20"/>
              </w:rPr>
            </w:pPr>
            <w:r w:rsidRPr="00CC738C">
              <w:rPr>
                <w:rFonts w:ascii="Arial" w:hAnsi="Arial" w:cs="Arial"/>
                <w:sz w:val="20"/>
              </w:rPr>
              <w:t>Los precios incluyen todos los materiales, mano de obra, maquinaria y medios auxiliares necesarios para la correcta ejecución de la unidad, incluso ensayos previos y característicos cuando proceda.</w:t>
            </w:r>
          </w:p>
          <w:p w14:paraId="1239E1F6" w14:textId="77777777" w:rsidR="007354B4" w:rsidRPr="00CC738C" w:rsidRDefault="007354B4" w:rsidP="00CC738C">
            <w:pPr>
              <w:pStyle w:val="LCATabla"/>
              <w:keepLines/>
              <w:jc w:val="both"/>
              <w:rPr>
                <w:rFonts w:ascii="Arial" w:hAnsi="Arial" w:cs="Arial"/>
                <w:sz w:val="20"/>
              </w:rPr>
            </w:pPr>
            <w:r w:rsidRPr="00CC738C">
              <w:rPr>
                <w:rFonts w:ascii="Arial" w:hAnsi="Arial" w:cs="Arial"/>
                <w:sz w:val="20"/>
              </w:rPr>
              <w:t>En el precio se incluye también la parte proporcional del anclaje químico indicado por el fabricante como necesario para el correcto funcionamiento del sistema de contención.</w:t>
            </w:r>
          </w:p>
          <w:p w14:paraId="519E5D21" w14:textId="77777777" w:rsidR="00F74B11" w:rsidRPr="00CC738C" w:rsidRDefault="00F74B11" w:rsidP="00CC738C">
            <w:pPr>
              <w:pStyle w:val="LCATabla"/>
              <w:keepLines/>
              <w:jc w:val="both"/>
              <w:rPr>
                <w:rFonts w:ascii="Arial" w:hAnsi="Arial" w:cs="Arial"/>
                <w:sz w:val="20"/>
              </w:rPr>
            </w:pPr>
            <w:r w:rsidRPr="00CC738C">
              <w:rPr>
                <w:rFonts w:ascii="Arial" w:hAnsi="Arial" w:cs="Arial"/>
                <w:sz w:val="20"/>
              </w:rPr>
              <w:t xml:space="preserve">El precio incluye la disposición de </w:t>
            </w:r>
            <w:proofErr w:type="spellStart"/>
            <w:r w:rsidRPr="00CC738C">
              <w:rPr>
                <w:rFonts w:ascii="Arial" w:hAnsi="Arial" w:cs="Arial"/>
                <w:sz w:val="20"/>
              </w:rPr>
              <w:t>captafaros</w:t>
            </w:r>
            <w:proofErr w:type="spellEnd"/>
            <w:r w:rsidRPr="00CC738C">
              <w:rPr>
                <w:rFonts w:ascii="Arial" w:hAnsi="Arial" w:cs="Arial"/>
                <w:sz w:val="20"/>
              </w:rPr>
              <w:t xml:space="preserve"> con las condiciones establecidas en el artículo 703 del presente pliego</w:t>
            </w:r>
          </w:p>
        </w:tc>
      </w:tr>
    </w:tbl>
    <w:p w14:paraId="76DC8529" w14:textId="77777777" w:rsidR="002B430C" w:rsidRDefault="002B430C" w:rsidP="00F64464">
      <w:pPr>
        <w:pStyle w:val="TITU1"/>
      </w:pPr>
      <w:bookmarkStart w:id="1191" w:name="_Toc404626"/>
      <w:bookmarkEnd w:id="1174"/>
      <w:bookmarkEnd w:id="1175"/>
      <w:bookmarkEnd w:id="1176"/>
      <w:bookmarkEnd w:id="1177"/>
      <w:bookmarkEnd w:id="1178"/>
      <w:r w:rsidRPr="002C0CF3">
        <w:lastRenderedPageBreak/>
        <w:t>Artículo 707.- Barreras de hormigón</w:t>
      </w:r>
      <w:bookmarkEnd w:id="1179"/>
      <w:bookmarkEnd w:id="1180"/>
      <w:bookmarkEnd w:id="1181"/>
      <w:bookmarkEnd w:id="1191"/>
      <w:r w:rsidR="00060353" w:rsidRPr="00696EE5">
        <w:rPr>
          <w:lang w:val="es-ES_tradnl"/>
        </w:rPr>
        <w:t xml:space="preserve"> </w:t>
      </w:r>
    </w:p>
    <w:p w14:paraId="04ED6A30" w14:textId="77777777" w:rsidR="002B430C" w:rsidRDefault="002B430C" w:rsidP="00D7794C">
      <w:pPr>
        <w:pStyle w:val="NORMAL12"/>
      </w:pPr>
      <w:r w:rsidRPr="00D7794C">
        <w:t>Excepto para lo especificado en el presente Pliego de Prescripciones Técnicas particulares se seguirá lo prescrito en el vigente artículo 704 del PG-3</w:t>
      </w:r>
      <w:r>
        <w:t>, en lo que resulte de aplicación a barreras de hormigón.</w:t>
      </w:r>
    </w:p>
    <w:p w14:paraId="230F6352" w14:textId="77777777" w:rsidR="002B430C" w:rsidRDefault="002B430C" w:rsidP="00D7794C">
      <w:pPr>
        <w:pStyle w:val="NORMAL12"/>
      </w:pPr>
      <w:r>
        <w:t>Los materiales, proceso de fabricación y control de calidad seguirá las prescripciones de las normas UNE y UNE-EN siguientes:</w:t>
      </w:r>
    </w:p>
    <w:p w14:paraId="2061F6E4" w14:textId="77777777" w:rsidR="002B430C" w:rsidRDefault="002B430C" w:rsidP="002B430C">
      <w:pPr>
        <w:pStyle w:val="Descripcin"/>
      </w:pPr>
      <w:r>
        <w:t>N</w:t>
      </w:r>
      <w:r w:rsidR="00D921B6">
        <w:t>ormas</w:t>
      </w:r>
      <w:r>
        <w:t xml:space="preserve"> UNE-EN</w:t>
      </w:r>
    </w:p>
    <w:tbl>
      <w:tblPr>
        <w:tblW w:w="5000" w:type="pct"/>
        <w:tblLook w:val="04A0" w:firstRow="1" w:lastRow="0" w:firstColumn="1" w:lastColumn="0" w:noHBand="0" w:noVBand="1"/>
      </w:tblPr>
      <w:tblGrid>
        <w:gridCol w:w="2802"/>
        <w:gridCol w:w="7052"/>
      </w:tblGrid>
      <w:tr w:rsidR="002B430C" w:rsidRPr="00A8316A" w14:paraId="76671806" w14:textId="77777777" w:rsidTr="00401D51">
        <w:tc>
          <w:tcPr>
            <w:tcW w:w="1422" w:type="pct"/>
            <w:tcBorders>
              <w:top w:val="single" w:sz="4" w:space="0" w:color="auto"/>
              <w:left w:val="single" w:sz="4" w:space="0" w:color="auto"/>
              <w:bottom w:val="single" w:sz="4" w:space="0" w:color="auto"/>
            </w:tcBorders>
            <w:shd w:val="clear" w:color="auto" w:fill="D9D9D9" w:themeFill="background1" w:themeFillShade="D9"/>
            <w:hideMark/>
          </w:tcPr>
          <w:p w14:paraId="694941D9" w14:textId="77777777" w:rsidR="002B430C" w:rsidRPr="00051823" w:rsidRDefault="002B430C" w:rsidP="00D20338">
            <w:pPr>
              <w:pStyle w:val="LCATabla"/>
              <w:suppressAutoHyphens/>
              <w:spacing w:after="60" w:line="360" w:lineRule="auto"/>
              <w:jc w:val="center"/>
              <w:rPr>
                <w:rFonts w:ascii="Arial" w:hAnsi="Arial" w:cs="Arial"/>
                <w:b/>
                <w:sz w:val="20"/>
              </w:rPr>
            </w:pPr>
            <w:r w:rsidRPr="00051823">
              <w:rPr>
                <w:rFonts w:ascii="Arial" w:hAnsi="Arial" w:cs="Arial"/>
                <w:b/>
                <w:sz w:val="20"/>
              </w:rPr>
              <w:t>C</w:t>
            </w:r>
            <w:r w:rsidR="00D20338">
              <w:rPr>
                <w:rFonts w:ascii="Arial" w:hAnsi="Arial" w:cs="Arial"/>
                <w:b/>
                <w:sz w:val="20"/>
              </w:rPr>
              <w:t xml:space="preserve">ódigo </w:t>
            </w:r>
          </w:p>
        </w:tc>
        <w:tc>
          <w:tcPr>
            <w:tcW w:w="3578" w:type="pct"/>
            <w:tcBorders>
              <w:top w:val="single" w:sz="4" w:space="0" w:color="auto"/>
              <w:bottom w:val="single" w:sz="4" w:space="0" w:color="auto"/>
              <w:right w:val="single" w:sz="4" w:space="0" w:color="auto"/>
            </w:tcBorders>
            <w:shd w:val="clear" w:color="auto" w:fill="D9D9D9" w:themeFill="background1" w:themeFillShade="D9"/>
            <w:hideMark/>
          </w:tcPr>
          <w:p w14:paraId="3A700470" w14:textId="77777777" w:rsidR="002B430C" w:rsidRPr="00051823" w:rsidRDefault="002B430C" w:rsidP="00AD4076">
            <w:pPr>
              <w:pStyle w:val="LCATabla"/>
              <w:suppressAutoHyphens/>
              <w:spacing w:after="60" w:line="360" w:lineRule="auto"/>
              <w:jc w:val="center"/>
              <w:rPr>
                <w:rFonts w:ascii="Arial" w:hAnsi="Arial" w:cs="Arial"/>
                <w:b/>
                <w:sz w:val="20"/>
              </w:rPr>
            </w:pPr>
            <w:r w:rsidRPr="00051823">
              <w:rPr>
                <w:rFonts w:ascii="Arial" w:hAnsi="Arial" w:cs="Arial"/>
                <w:b/>
                <w:sz w:val="20"/>
              </w:rPr>
              <w:t>T</w:t>
            </w:r>
            <w:r w:rsidR="00AD4076">
              <w:rPr>
                <w:rFonts w:ascii="Arial" w:hAnsi="Arial" w:cs="Arial"/>
                <w:b/>
                <w:sz w:val="20"/>
              </w:rPr>
              <w:t>ítulo</w:t>
            </w:r>
          </w:p>
        </w:tc>
      </w:tr>
      <w:tr w:rsidR="002B430C" w:rsidRPr="00A8316A" w14:paraId="570B281B" w14:textId="77777777" w:rsidTr="00401D51">
        <w:tc>
          <w:tcPr>
            <w:tcW w:w="1422" w:type="pct"/>
            <w:tcBorders>
              <w:top w:val="single" w:sz="4" w:space="0" w:color="auto"/>
              <w:left w:val="single" w:sz="4" w:space="0" w:color="auto"/>
            </w:tcBorders>
            <w:hideMark/>
          </w:tcPr>
          <w:p w14:paraId="6C118820" w14:textId="77777777" w:rsidR="002B430C" w:rsidRPr="00A8316A" w:rsidRDefault="002B430C" w:rsidP="005609C2">
            <w:pPr>
              <w:pStyle w:val="LCATabla"/>
              <w:suppressAutoHyphens/>
              <w:spacing w:after="60" w:line="360" w:lineRule="auto"/>
              <w:rPr>
                <w:rFonts w:ascii="Arial" w:hAnsi="Arial" w:cs="Arial"/>
                <w:sz w:val="20"/>
              </w:rPr>
            </w:pPr>
            <w:r w:rsidRPr="00A8316A">
              <w:rPr>
                <w:rFonts w:ascii="Arial" w:hAnsi="Arial" w:cs="Arial"/>
                <w:b/>
                <w:bCs/>
                <w:sz w:val="20"/>
              </w:rPr>
              <w:t>UNE</w:t>
            </w:r>
            <w:r w:rsidR="005609C2">
              <w:rPr>
                <w:rFonts w:ascii="Arial" w:hAnsi="Arial" w:cs="Arial"/>
                <w:b/>
                <w:bCs/>
                <w:sz w:val="20"/>
              </w:rPr>
              <w:t>-</w:t>
            </w:r>
            <w:r w:rsidRPr="00A8316A">
              <w:rPr>
                <w:rFonts w:ascii="Arial" w:hAnsi="Arial" w:cs="Arial"/>
                <w:b/>
                <w:bCs/>
                <w:sz w:val="20"/>
              </w:rPr>
              <w:t>EN 1317-1</w:t>
            </w:r>
            <w:r w:rsidR="00855E0D" w:rsidRPr="00A8316A">
              <w:rPr>
                <w:rFonts w:ascii="Arial" w:hAnsi="Arial" w:cs="Arial"/>
                <w:b/>
                <w:bCs/>
                <w:sz w:val="20"/>
              </w:rPr>
              <w:t>: 2011</w:t>
            </w:r>
          </w:p>
        </w:tc>
        <w:tc>
          <w:tcPr>
            <w:tcW w:w="3578" w:type="pct"/>
            <w:tcBorders>
              <w:top w:val="single" w:sz="4" w:space="0" w:color="auto"/>
              <w:right w:val="single" w:sz="4" w:space="0" w:color="auto"/>
            </w:tcBorders>
            <w:hideMark/>
          </w:tcPr>
          <w:p w14:paraId="77A02DD4" w14:textId="77777777" w:rsidR="002B430C" w:rsidRPr="00A8316A" w:rsidRDefault="002B430C">
            <w:pPr>
              <w:pStyle w:val="LCATabla"/>
              <w:suppressAutoHyphens/>
              <w:spacing w:after="60" w:line="360" w:lineRule="auto"/>
              <w:rPr>
                <w:rFonts w:ascii="Arial" w:hAnsi="Arial" w:cs="Arial"/>
                <w:sz w:val="20"/>
              </w:rPr>
            </w:pPr>
            <w:r w:rsidRPr="00A8316A">
              <w:rPr>
                <w:rFonts w:ascii="Arial" w:hAnsi="Arial" w:cs="Arial"/>
                <w:bCs/>
                <w:sz w:val="20"/>
              </w:rPr>
              <w:t>"Sistemas de contención para carreteras. Terminología y criterios generales para los métodos de ensayo".</w:t>
            </w:r>
          </w:p>
        </w:tc>
      </w:tr>
      <w:tr w:rsidR="002B430C" w:rsidRPr="00A8316A" w14:paraId="62C85759" w14:textId="77777777" w:rsidTr="00401D51">
        <w:tc>
          <w:tcPr>
            <w:tcW w:w="1422" w:type="pct"/>
            <w:tcBorders>
              <w:left w:val="single" w:sz="4" w:space="0" w:color="auto"/>
            </w:tcBorders>
            <w:hideMark/>
          </w:tcPr>
          <w:p w14:paraId="620E8B05" w14:textId="77777777" w:rsidR="002B430C" w:rsidRPr="00A8316A" w:rsidRDefault="002B430C" w:rsidP="005609C2">
            <w:pPr>
              <w:pStyle w:val="LCATabla"/>
              <w:suppressAutoHyphens/>
              <w:spacing w:after="60" w:line="360" w:lineRule="auto"/>
              <w:rPr>
                <w:rFonts w:ascii="Arial" w:hAnsi="Arial" w:cs="Arial"/>
                <w:sz w:val="20"/>
              </w:rPr>
            </w:pPr>
            <w:r w:rsidRPr="00A8316A">
              <w:rPr>
                <w:rFonts w:ascii="Arial" w:hAnsi="Arial" w:cs="Arial"/>
                <w:b/>
                <w:bCs/>
                <w:sz w:val="20"/>
              </w:rPr>
              <w:t>UNE</w:t>
            </w:r>
            <w:r w:rsidR="005609C2">
              <w:rPr>
                <w:rFonts w:ascii="Arial" w:hAnsi="Arial" w:cs="Arial"/>
                <w:b/>
                <w:bCs/>
                <w:sz w:val="20"/>
              </w:rPr>
              <w:t>-</w:t>
            </w:r>
            <w:r w:rsidRPr="00A8316A">
              <w:rPr>
                <w:rFonts w:ascii="Arial" w:hAnsi="Arial" w:cs="Arial"/>
                <w:b/>
                <w:bCs/>
                <w:sz w:val="20"/>
              </w:rPr>
              <w:t>EN 1317-2</w:t>
            </w:r>
            <w:r w:rsidR="00855E0D" w:rsidRPr="00A8316A">
              <w:rPr>
                <w:rFonts w:ascii="Arial" w:hAnsi="Arial" w:cs="Arial"/>
                <w:b/>
                <w:bCs/>
                <w:sz w:val="20"/>
              </w:rPr>
              <w:t>: 2011</w:t>
            </w:r>
          </w:p>
        </w:tc>
        <w:tc>
          <w:tcPr>
            <w:tcW w:w="3578" w:type="pct"/>
            <w:tcBorders>
              <w:right w:val="single" w:sz="4" w:space="0" w:color="auto"/>
            </w:tcBorders>
            <w:hideMark/>
          </w:tcPr>
          <w:p w14:paraId="62F81847" w14:textId="77777777" w:rsidR="002B430C" w:rsidRPr="00A8316A" w:rsidRDefault="002B430C">
            <w:pPr>
              <w:pStyle w:val="LCATabla"/>
              <w:suppressAutoHyphens/>
              <w:spacing w:after="60" w:line="360" w:lineRule="auto"/>
              <w:rPr>
                <w:rFonts w:ascii="Arial" w:hAnsi="Arial" w:cs="Arial"/>
                <w:sz w:val="20"/>
              </w:rPr>
            </w:pPr>
            <w:r w:rsidRPr="00A8316A">
              <w:rPr>
                <w:rFonts w:ascii="Arial" w:hAnsi="Arial" w:cs="Arial"/>
                <w:b/>
                <w:bCs/>
                <w:sz w:val="20"/>
              </w:rPr>
              <w:t>"</w:t>
            </w:r>
            <w:r w:rsidRPr="00A8316A">
              <w:rPr>
                <w:rFonts w:ascii="Arial" w:hAnsi="Arial" w:cs="Arial"/>
                <w:iCs/>
                <w:sz w:val="20"/>
              </w:rPr>
              <w:t>Sistemas de contención para carreteras. Clases de comportamiento, criterios de aceptación para el ensayo de choque y métodos de ensayo para barreras de seguridad</w:t>
            </w:r>
            <w:r w:rsidRPr="00A8316A">
              <w:rPr>
                <w:rFonts w:ascii="Arial" w:hAnsi="Arial" w:cs="Arial"/>
                <w:b/>
                <w:bCs/>
                <w:sz w:val="20"/>
              </w:rPr>
              <w:t>".</w:t>
            </w:r>
          </w:p>
        </w:tc>
      </w:tr>
      <w:tr w:rsidR="002B430C" w:rsidRPr="00A8316A" w14:paraId="46A7D302" w14:textId="77777777" w:rsidTr="00401D51">
        <w:tc>
          <w:tcPr>
            <w:tcW w:w="1422" w:type="pct"/>
            <w:tcBorders>
              <w:left w:val="single" w:sz="4" w:space="0" w:color="auto"/>
            </w:tcBorders>
            <w:hideMark/>
          </w:tcPr>
          <w:p w14:paraId="3ACBDF54" w14:textId="77777777" w:rsidR="002B430C" w:rsidRPr="00A8316A" w:rsidRDefault="002B430C" w:rsidP="005609C2">
            <w:pPr>
              <w:pStyle w:val="LCATabla"/>
              <w:suppressAutoHyphens/>
              <w:spacing w:after="60" w:line="360" w:lineRule="auto"/>
              <w:rPr>
                <w:rFonts w:ascii="Arial" w:hAnsi="Arial" w:cs="Arial"/>
                <w:sz w:val="20"/>
              </w:rPr>
            </w:pPr>
            <w:r w:rsidRPr="00A8316A">
              <w:rPr>
                <w:rFonts w:ascii="Arial" w:hAnsi="Arial" w:cs="Arial"/>
                <w:b/>
                <w:bCs/>
                <w:sz w:val="20"/>
              </w:rPr>
              <w:t>UNE</w:t>
            </w:r>
            <w:r w:rsidR="005609C2">
              <w:rPr>
                <w:rFonts w:ascii="Arial" w:hAnsi="Arial" w:cs="Arial"/>
                <w:b/>
                <w:bCs/>
                <w:sz w:val="20"/>
              </w:rPr>
              <w:t>-</w:t>
            </w:r>
            <w:r w:rsidRPr="00A8316A">
              <w:rPr>
                <w:rFonts w:ascii="Arial" w:hAnsi="Arial" w:cs="Arial"/>
                <w:b/>
                <w:bCs/>
                <w:sz w:val="20"/>
              </w:rPr>
              <w:t>EN 1317-3</w:t>
            </w:r>
            <w:r w:rsidR="00855E0D" w:rsidRPr="00A8316A">
              <w:rPr>
                <w:rFonts w:ascii="Arial" w:hAnsi="Arial" w:cs="Arial"/>
                <w:b/>
                <w:bCs/>
                <w:sz w:val="20"/>
              </w:rPr>
              <w:t>: 2011</w:t>
            </w:r>
          </w:p>
        </w:tc>
        <w:tc>
          <w:tcPr>
            <w:tcW w:w="3578" w:type="pct"/>
            <w:tcBorders>
              <w:right w:val="single" w:sz="4" w:space="0" w:color="auto"/>
            </w:tcBorders>
            <w:hideMark/>
          </w:tcPr>
          <w:p w14:paraId="3A4365DE" w14:textId="77777777" w:rsidR="002B430C" w:rsidRPr="00A8316A" w:rsidRDefault="002B430C">
            <w:pPr>
              <w:pStyle w:val="LCATabla"/>
              <w:suppressAutoHyphens/>
              <w:spacing w:after="60" w:line="360" w:lineRule="auto"/>
              <w:rPr>
                <w:rFonts w:ascii="Arial" w:hAnsi="Arial" w:cs="Arial"/>
                <w:sz w:val="20"/>
              </w:rPr>
            </w:pPr>
            <w:r w:rsidRPr="00A8316A">
              <w:rPr>
                <w:rFonts w:ascii="Arial" w:hAnsi="Arial" w:cs="Arial"/>
                <w:b/>
                <w:bCs/>
                <w:sz w:val="20"/>
              </w:rPr>
              <w:t>"</w:t>
            </w:r>
            <w:r w:rsidRPr="00A8316A">
              <w:rPr>
                <w:rFonts w:ascii="Arial" w:hAnsi="Arial" w:cs="Arial"/>
                <w:iCs/>
                <w:sz w:val="20"/>
              </w:rPr>
              <w:t>Sistemas de contención para carreteras. Clases de comportamiento, criterios de aceptación para el ensayo de choque y métodos de ensayo para atenuadores de impactos</w:t>
            </w:r>
            <w:r w:rsidRPr="00A8316A">
              <w:rPr>
                <w:rFonts w:ascii="Arial" w:hAnsi="Arial" w:cs="Arial"/>
                <w:b/>
                <w:bCs/>
                <w:sz w:val="20"/>
              </w:rPr>
              <w:t>".</w:t>
            </w:r>
          </w:p>
        </w:tc>
      </w:tr>
      <w:tr w:rsidR="002B430C" w:rsidRPr="00A8316A" w14:paraId="4C97AA92" w14:textId="77777777" w:rsidTr="00401D51">
        <w:tc>
          <w:tcPr>
            <w:tcW w:w="1422" w:type="pct"/>
            <w:tcBorders>
              <w:left w:val="single" w:sz="4" w:space="0" w:color="auto"/>
            </w:tcBorders>
            <w:hideMark/>
          </w:tcPr>
          <w:p w14:paraId="2F56DA01" w14:textId="77777777" w:rsidR="002B430C" w:rsidRPr="00A8316A" w:rsidRDefault="002B430C" w:rsidP="005609C2">
            <w:pPr>
              <w:pStyle w:val="LCATabla"/>
              <w:suppressAutoHyphens/>
              <w:spacing w:after="60" w:line="360" w:lineRule="auto"/>
              <w:rPr>
                <w:rFonts w:ascii="Arial" w:hAnsi="Arial" w:cs="Arial"/>
                <w:sz w:val="20"/>
              </w:rPr>
            </w:pPr>
            <w:r w:rsidRPr="00A8316A">
              <w:rPr>
                <w:rFonts w:ascii="Arial" w:hAnsi="Arial" w:cs="Arial"/>
                <w:b/>
                <w:bCs/>
                <w:sz w:val="20"/>
              </w:rPr>
              <w:t>UNE</w:t>
            </w:r>
            <w:r w:rsidR="005609C2">
              <w:rPr>
                <w:rFonts w:ascii="Arial" w:hAnsi="Arial" w:cs="Arial"/>
                <w:b/>
                <w:bCs/>
                <w:sz w:val="20"/>
              </w:rPr>
              <w:t>-</w:t>
            </w:r>
            <w:r w:rsidRPr="00A8316A">
              <w:rPr>
                <w:rFonts w:ascii="Arial" w:hAnsi="Arial" w:cs="Arial"/>
                <w:b/>
                <w:bCs/>
                <w:sz w:val="20"/>
              </w:rPr>
              <w:t>ENV 1317-4</w:t>
            </w:r>
            <w:r w:rsidR="00855E0D" w:rsidRPr="00A8316A">
              <w:rPr>
                <w:rFonts w:ascii="Arial" w:hAnsi="Arial" w:cs="Arial"/>
                <w:b/>
                <w:bCs/>
                <w:sz w:val="20"/>
              </w:rPr>
              <w:t>: 2002</w:t>
            </w:r>
          </w:p>
        </w:tc>
        <w:tc>
          <w:tcPr>
            <w:tcW w:w="3578" w:type="pct"/>
            <w:tcBorders>
              <w:right w:val="single" w:sz="4" w:space="0" w:color="auto"/>
            </w:tcBorders>
            <w:hideMark/>
          </w:tcPr>
          <w:p w14:paraId="31F62FE1" w14:textId="77777777" w:rsidR="002B430C" w:rsidRPr="00A8316A" w:rsidRDefault="002B430C">
            <w:pPr>
              <w:pStyle w:val="LCATabla"/>
              <w:suppressAutoHyphens/>
              <w:spacing w:after="60" w:line="360" w:lineRule="auto"/>
              <w:rPr>
                <w:rFonts w:ascii="Arial" w:hAnsi="Arial" w:cs="Arial"/>
                <w:sz w:val="20"/>
              </w:rPr>
            </w:pPr>
            <w:r w:rsidRPr="00A8316A">
              <w:rPr>
                <w:rFonts w:ascii="Arial" w:hAnsi="Arial" w:cs="Arial"/>
                <w:b/>
                <w:bCs/>
                <w:sz w:val="20"/>
              </w:rPr>
              <w:t>"</w:t>
            </w:r>
            <w:r w:rsidRPr="00A8316A">
              <w:rPr>
                <w:rFonts w:ascii="Arial" w:hAnsi="Arial" w:cs="Arial"/>
                <w:iCs/>
                <w:sz w:val="20"/>
              </w:rPr>
              <w:t>Sistemas de contención para carreteras. Clases de comportamiento, criterios de aceptación para el ensayo de choque y métodos de ensayo para terminales y transiciones de barreras de seguridad</w:t>
            </w:r>
            <w:r w:rsidRPr="00A8316A">
              <w:rPr>
                <w:rFonts w:ascii="Arial" w:hAnsi="Arial" w:cs="Arial"/>
                <w:b/>
                <w:bCs/>
                <w:sz w:val="20"/>
              </w:rPr>
              <w:t>".</w:t>
            </w:r>
          </w:p>
        </w:tc>
      </w:tr>
      <w:tr w:rsidR="002B430C" w:rsidRPr="00A8316A" w14:paraId="6B8C22C9" w14:textId="77777777" w:rsidTr="00401D51">
        <w:tc>
          <w:tcPr>
            <w:tcW w:w="1422" w:type="pct"/>
            <w:tcBorders>
              <w:left w:val="single" w:sz="4" w:space="0" w:color="auto"/>
              <w:bottom w:val="single" w:sz="4" w:space="0" w:color="auto"/>
            </w:tcBorders>
            <w:hideMark/>
          </w:tcPr>
          <w:p w14:paraId="71778917" w14:textId="77777777" w:rsidR="002B430C" w:rsidRPr="00A8316A" w:rsidRDefault="002B430C" w:rsidP="005609C2">
            <w:pPr>
              <w:pStyle w:val="LCATabla"/>
              <w:suppressAutoHyphens/>
              <w:spacing w:after="60" w:line="360" w:lineRule="auto"/>
              <w:rPr>
                <w:rFonts w:ascii="Arial" w:hAnsi="Arial" w:cs="Arial"/>
                <w:sz w:val="20"/>
              </w:rPr>
            </w:pPr>
            <w:r w:rsidRPr="00A8316A">
              <w:rPr>
                <w:rFonts w:ascii="Arial" w:hAnsi="Arial" w:cs="Arial"/>
                <w:b/>
                <w:bCs/>
                <w:sz w:val="20"/>
              </w:rPr>
              <w:t>UNE</w:t>
            </w:r>
            <w:r w:rsidR="005609C2">
              <w:rPr>
                <w:rFonts w:ascii="Arial" w:hAnsi="Arial" w:cs="Arial"/>
                <w:b/>
                <w:bCs/>
                <w:sz w:val="20"/>
              </w:rPr>
              <w:t>-</w:t>
            </w:r>
            <w:r w:rsidRPr="00A8316A">
              <w:rPr>
                <w:rFonts w:ascii="Arial" w:hAnsi="Arial" w:cs="Arial"/>
                <w:b/>
                <w:bCs/>
                <w:sz w:val="20"/>
              </w:rPr>
              <w:t>EN 1317-5:2008+A</w:t>
            </w:r>
            <w:r w:rsidR="00660C85" w:rsidRPr="00A8316A">
              <w:rPr>
                <w:rFonts w:ascii="Arial" w:hAnsi="Arial" w:cs="Arial"/>
                <w:b/>
                <w:bCs/>
                <w:sz w:val="20"/>
              </w:rPr>
              <w:t>2:2012</w:t>
            </w:r>
          </w:p>
        </w:tc>
        <w:tc>
          <w:tcPr>
            <w:tcW w:w="3578" w:type="pct"/>
            <w:tcBorders>
              <w:bottom w:val="single" w:sz="4" w:space="0" w:color="auto"/>
              <w:right w:val="single" w:sz="4" w:space="0" w:color="auto"/>
            </w:tcBorders>
            <w:hideMark/>
          </w:tcPr>
          <w:p w14:paraId="11D32055" w14:textId="77777777" w:rsidR="002B430C" w:rsidRPr="00A8316A" w:rsidRDefault="002B430C">
            <w:pPr>
              <w:pStyle w:val="LCATabla"/>
              <w:suppressAutoHyphens/>
              <w:spacing w:after="60" w:line="360" w:lineRule="auto"/>
              <w:rPr>
                <w:rFonts w:ascii="Arial" w:hAnsi="Arial" w:cs="Arial"/>
                <w:sz w:val="20"/>
              </w:rPr>
            </w:pPr>
            <w:r w:rsidRPr="00A8316A">
              <w:rPr>
                <w:rFonts w:ascii="Arial" w:hAnsi="Arial" w:cs="Arial"/>
                <w:b/>
                <w:bCs/>
                <w:sz w:val="20"/>
              </w:rPr>
              <w:t>"</w:t>
            </w:r>
            <w:r w:rsidRPr="00A8316A">
              <w:rPr>
                <w:rFonts w:ascii="Arial" w:hAnsi="Arial" w:cs="Arial"/>
                <w:iCs/>
                <w:sz w:val="20"/>
              </w:rPr>
              <w:t>Sistemas de contención para carreteras. Requisitos de producto y evaluación de la conformidad para sistemas de contención de vehículos</w:t>
            </w:r>
            <w:r w:rsidRPr="00A8316A">
              <w:rPr>
                <w:rFonts w:ascii="Arial" w:hAnsi="Arial" w:cs="Arial"/>
                <w:b/>
                <w:bCs/>
                <w:sz w:val="20"/>
              </w:rPr>
              <w:t>".</w:t>
            </w:r>
          </w:p>
        </w:tc>
      </w:tr>
    </w:tbl>
    <w:p w14:paraId="7A1F64EA" w14:textId="77777777" w:rsidR="00401D51" w:rsidRDefault="00401D51" w:rsidP="002B430C">
      <w:pPr>
        <w:pStyle w:val="Descripcin"/>
      </w:pPr>
    </w:p>
    <w:p w14:paraId="216F546E" w14:textId="77777777" w:rsidR="002B430C" w:rsidRDefault="002B430C" w:rsidP="002B430C">
      <w:pPr>
        <w:pStyle w:val="Descripcin"/>
        <w:rPr>
          <w:rFonts w:ascii="Arial" w:hAnsi="Arial"/>
          <w:sz w:val="22"/>
        </w:rPr>
      </w:pPr>
      <w:r>
        <w:t>N</w:t>
      </w:r>
      <w:r w:rsidR="00F476CB">
        <w:t>ormativa española</w:t>
      </w:r>
    </w:p>
    <w:tbl>
      <w:tblPr>
        <w:tblW w:w="87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5812"/>
      </w:tblGrid>
      <w:tr w:rsidR="002B430C" w:rsidRPr="00A8316A" w14:paraId="036EA221" w14:textId="77777777" w:rsidTr="00401D51">
        <w:tc>
          <w:tcPr>
            <w:tcW w:w="2943" w:type="dxa"/>
            <w:tcBorders>
              <w:top w:val="single" w:sz="4" w:space="0" w:color="auto"/>
              <w:left w:val="single" w:sz="4" w:space="0" w:color="auto"/>
              <w:bottom w:val="single" w:sz="4" w:space="0" w:color="auto"/>
              <w:right w:val="nil"/>
            </w:tcBorders>
            <w:shd w:val="clear" w:color="auto" w:fill="D9D9D9" w:themeFill="background1" w:themeFillShade="D9"/>
            <w:hideMark/>
          </w:tcPr>
          <w:p w14:paraId="4706B755" w14:textId="77777777" w:rsidR="002B430C" w:rsidRPr="00A8316A" w:rsidRDefault="002B430C" w:rsidP="00AD4076">
            <w:pPr>
              <w:pStyle w:val="LCATabla"/>
              <w:suppressAutoHyphens/>
              <w:spacing w:after="60" w:line="360" w:lineRule="auto"/>
              <w:jc w:val="center"/>
              <w:rPr>
                <w:rFonts w:ascii="Arial" w:hAnsi="Arial" w:cs="Arial"/>
                <w:b/>
                <w:sz w:val="20"/>
              </w:rPr>
            </w:pPr>
            <w:r w:rsidRPr="00A8316A">
              <w:rPr>
                <w:rFonts w:ascii="Arial" w:hAnsi="Arial" w:cs="Arial"/>
                <w:b/>
                <w:sz w:val="20"/>
              </w:rPr>
              <w:t>C</w:t>
            </w:r>
            <w:r w:rsidR="00AD4076">
              <w:rPr>
                <w:rFonts w:ascii="Arial" w:hAnsi="Arial" w:cs="Arial"/>
                <w:b/>
                <w:sz w:val="20"/>
              </w:rPr>
              <w:t>ódigo</w:t>
            </w:r>
          </w:p>
        </w:tc>
        <w:tc>
          <w:tcPr>
            <w:tcW w:w="5812" w:type="dxa"/>
            <w:tcBorders>
              <w:top w:val="single" w:sz="4" w:space="0" w:color="auto"/>
              <w:left w:val="nil"/>
              <w:bottom w:val="single" w:sz="4" w:space="0" w:color="auto"/>
              <w:right w:val="single" w:sz="4" w:space="0" w:color="auto"/>
            </w:tcBorders>
            <w:shd w:val="clear" w:color="auto" w:fill="D9D9D9" w:themeFill="background1" w:themeFillShade="D9"/>
            <w:hideMark/>
          </w:tcPr>
          <w:p w14:paraId="67B41AA2" w14:textId="77777777" w:rsidR="002B430C" w:rsidRPr="00A8316A" w:rsidRDefault="002B430C" w:rsidP="00AD4076">
            <w:pPr>
              <w:pStyle w:val="LCATabla"/>
              <w:suppressAutoHyphens/>
              <w:spacing w:after="60" w:line="360" w:lineRule="auto"/>
              <w:jc w:val="center"/>
              <w:rPr>
                <w:rFonts w:ascii="Arial" w:hAnsi="Arial" w:cs="Arial"/>
                <w:b/>
                <w:sz w:val="20"/>
              </w:rPr>
            </w:pPr>
            <w:r w:rsidRPr="00A8316A">
              <w:rPr>
                <w:rFonts w:ascii="Arial" w:hAnsi="Arial" w:cs="Arial"/>
                <w:b/>
                <w:sz w:val="20"/>
              </w:rPr>
              <w:t>T</w:t>
            </w:r>
            <w:r w:rsidR="00AD4076">
              <w:rPr>
                <w:rFonts w:ascii="Arial" w:hAnsi="Arial" w:cs="Arial"/>
                <w:b/>
                <w:sz w:val="20"/>
              </w:rPr>
              <w:t>ítulo</w:t>
            </w:r>
          </w:p>
        </w:tc>
      </w:tr>
      <w:tr w:rsidR="002B430C" w:rsidRPr="00A8316A" w14:paraId="253BEAD4" w14:textId="77777777" w:rsidTr="00401D51">
        <w:tc>
          <w:tcPr>
            <w:tcW w:w="2943" w:type="dxa"/>
            <w:tcBorders>
              <w:top w:val="single" w:sz="4" w:space="0" w:color="auto"/>
              <w:left w:val="single" w:sz="4" w:space="0" w:color="auto"/>
              <w:bottom w:val="single" w:sz="4" w:space="0" w:color="auto"/>
              <w:right w:val="nil"/>
            </w:tcBorders>
            <w:hideMark/>
          </w:tcPr>
          <w:p w14:paraId="464E8755" w14:textId="77777777" w:rsidR="002B430C" w:rsidRPr="00A8316A" w:rsidRDefault="002B430C">
            <w:pPr>
              <w:pStyle w:val="LCATabla"/>
              <w:spacing w:line="360" w:lineRule="auto"/>
              <w:rPr>
                <w:rFonts w:ascii="Arial" w:hAnsi="Arial" w:cs="Arial"/>
                <w:b/>
                <w:bCs/>
                <w:sz w:val="20"/>
              </w:rPr>
            </w:pPr>
            <w:r w:rsidRPr="00A8316A">
              <w:rPr>
                <w:rFonts w:ascii="Arial" w:hAnsi="Arial" w:cs="Arial"/>
                <w:b/>
                <w:bCs/>
                <w:sz w:val="20"/>
              </w:rPr>
              <w:t>Orden Circular 35/2014</w:t>
            </w:r>
          </w:p>
        </w:tc>
        <w:tc>
          <w:tcPr>
            <w:tcW w:w="5812" w:type="dxa"/>
            <w:tcBorders>
              <w:top w:val="single" w:sz="4" w:space="0" w:color="auto"/>
              <w:left w:val="nil"/>
              <w:bottom w:val="single" w:sz="4" w:space="0" w:color="auto"/>
              <w:right w:val="single" w:sz="4" w:space="0" w:color="auto"/>
            </w:tcBorders>
            <w:hideMark/>
          </w:tcPr>
          <w:p w14:paraId="4DAA9C53" w14:textId="77777777" w:rsidR="002B430C" w:rsidRPr="00A8316A" w:rsidRDefault="002B430C">
            <w:pPr>
              <w:pStyle w:val="LCATabla"/>
              <w:spacing w:line="360" w:lineRule="auto"/>
              <w:rPr>
                <w:rFonts w:ascii="Arial" w:hAnsi="Arial" w:cs="Arial"/>
                <w:sz w:val="20"/>
              </w:rPr>
            </w:pPr>
            <w:r w:rsidRPr="00A8316A">
              <w:rPr>
                <w:rFonts w:ascii="Arial" w:hAnsi="Arial" w:cs="Arial"/>
                <w:sz w:val="20"/>
              </w:rPr>
              <w:t>Sobre criterios de aplicación de sistemas de contención de vehículos.</w:t>
            </w:r>
          </w:p>
        </w:tc>
      </w:tr>
    </w:tbl>
    <w:p w14:paraId="06AC9638" w14:textId="77777777" w:rsidR="00F476CB" w:rsidRPr="00B67DB1" w:rsidRDefault="00F476CB" w:rsidP="00B67DB1">
      <w:pPr>
        <w:pStyle w:val="NORMAL12"/>
        <w:rPr>
          <w:lang w:val="es-ES"/>
        </w:rPr>
      </w:pPr>
      <w:bookmarkStart w:id="1192" w:name="_Toc492538150"/>
      <w:bookmarkStart w:id="1193" w:name="_Toc352530397"/>
      <w:bookmarkStart w:id="1194" w:name="_Toc351922193"/>
      <w:bookmarkStart w:id="1195" w:name="_Toc351921630"/>
      <w:bookmarkStart w:id="1196" w:name="_Toc351921349"/>
      <w:bookmarkStart w:id="1197" w:name="_Toc351921068"/>
    </w:p>
    <w:p w14:paraId="260B9599" w14:textId="77777777" w:rsidR="00F74B11" w:rsidRPr="00F74B11" w:rsidRDefault="00F74B11" w:rsidP="00F74B11">
      <w:pPr>
        <w:pStyle w:val="NORMAL12"/>
        <w:rPr>
          <w:lang w:val="es-ES"/>
        </w:rPr>
      </w:pPr>
    </w:p>
    <w:p w14:paraId="2576CB5A" w14:textId="77777777" w:rsidR="002B430C" w:rsidRPr="00F27B28" w:rsidRDefault="002B430C" w:rsidP="000313DD">
      <w:pPr>
        <w:pStyle w:val="TITU2"/>
      </w:pPr>
      <w:bookmarkStart w:id="1198" w:name="_Toc404627"/>
      <w:r w:rsidRPr="00F27B28">
        <w:t>707.1.</w:t>
      </w:r>
      <w:r w:rsidR="00696EE5">
        <w:t xml:space="preserve"> </w:t>
      </w:r>
      <w:r w:rsidRPr="00F27B28">
        <w:tab/>
        <w:t>Aplicación</w:t>
      </w:r>
      <w:bookmarkEnd w:id="1192"/>
      <w:bookmarkEnd w:id="1193"/>
      <w:bookmarkEnd w:id="1194"/>
      <w:bookmarkEnd w:id="1195"/>
      <w:bookmarkEnd w:id="1196"/>
      <w:bookmarkEnd w:id="1197"/>
      <w:bookmarkEnd w:id="1198"/>
    </w:p>
    <w:p w14:paraId="5963FB15" w14:textId="77777777" w:rsidR="00401D51" w:rsidRDefault="002B430C" w:rsidP="00FA26C5">
      <w:pPr>
        <w:pStyle w:val="NORMAL12"/>
      </w:pPr>
      <w:r>
        <w:t>Las prescripciones</w:t>
      </w:r>
      <w:r w:rsidR="00401D51">
        <w:t xml:space="preserve"> contenidas en el presente artículo </w:t>
      </w:r>
      <w:proofErr w:type="gramStart"/>
      <w:r w:rsidR="00401D51">
        <w:t>son de aplicación</w:t>
      </w:r>
      <w:proofErr w:type="gramEnd"/>
      <w:r w:rsidR="00401D51">
        <w:t xml:space="preserve"> a las unidades de obra siguientes:</w:t>
      </w:r>
    </w:p>
    <w:tbl>
      <w:tblPr>
        <w:tblW w:w="5000" w:type="pct"/>
        <w:tblCellMar>
          <w:left w:w="70" w:type="dxa"/>
          <w:right w:w="70" w:type="dxa"/>
        </w:tblCellMar>
        <w:tblLook w:val="04A0" w:firstRow="1" w:lastRow="0" w:firstColumn="1" w:lastColumn="0" w:noHBand="0" w:noVBand="1"/>
      </w:tblPr>
      <w:tblGrid>
        <w:gridCol w:w="1207"/>
        <w:gridCol w:w="708"/>
        <w:gridCol w:w="7863"/>
      </w:tblGrid>
      <w:tr w:rsidR="004D5E16" w:rsidRPr="00401D51" w14:paraId="35F03EDD" w14:textId="77777777" w:rsidTr="00401D51">
        <w:trPr>
          <w:trHeight w:val="419"/>
        </w:trPr>
        <w:tc>
          <w:tcPr>
            <w:tcW w:w="617" w:type="pct"/>
            <w:noWrap/>
          </w:tcPr>
          <w:p w14:paraId="6BA44817" w14:textId="77777777" w:rsidR="004D5E16" w:rsidRPr="00F476CB" w:rsidRDefault="004D5E16">
            <w:pPr>
              <w:rPr>
                <w:rFonts w:ascii="Calibri" w:hAnsi="Calibri"/>
                <w:color w:val="000000"/>
              </w:rPr>
            </w:pPr>
            <w:r w:rsidRPr="00F476CB">
              <w:rPr>
                <w:rFonts w:ascii="Calibri" w:hAnsi="Calibri"/>
                <w:color w:val="000000"/>
              </w:rPr>
              <w:t xml:space="preserve">704.0001N         </w:t>
            </w:r>
          </w:p>
        </w:tc>
        <w:tc>
          <w:tcPr>
            <w:tcW w:w="362" w:type="pct"/>
            <w:noWrap/>
          </w:tcPr>
          <w:p w14:paraId="186E970A" w14:textId="77777777" w:rsidR="004D5E16" w:rsidRPr="00F476CB" w:rsidRDefault="004D5E16">
            <w:pPr>
              <w:rPr>
                <w:rFonts w:ascii="Calibri" w:hAnsi="Calibri"/>
                <w:color w:val="000000"/>
              </w:rPr>
            </w:pPr>
            <w:r w:rsidRPr="00F476CB">
              <w:rPr>
                <w:rFonts w:ascii="Calibri" w:hAnsi="Calibri"/>
                <w:color w:val="000000"/>
              </w:rPr>
              <w:t>m</w:t>
            </w:r>
          </w:p>
        </w:tc>
        <w:tc>
          <w:tcPr>
            <w:tcW w:w="4021" w:type="pct"/>
          </w:tcPr>
          <w:p w14:paraId="65A517B3" w14:textId="77777777" w:rsidR="004D5E16" w:rsidRPr="00F476CB" w:rsidRDefault="00395DF9" w:rsidP="00CC738C">
            <w:pPr>
              <w:jc w:val="both"/>
              <w:rPr>
                <w:rFonts w:ascii="Calibri" w:hAnsi="Calibri"/>
                <w:color w:val="000000"/>
              </w:rPr>
            </w:pPr>
            <w:r w:rsidRPr="00F476CB">
              <w:rPr>
                <w:rFonts w:ascii="Calibri" w:hAnsi="Calibri"/>
                <w:color w:val="000000"/>
              </w:rPr>
              <w:t>BARRERA DE SEGURIDAD SIMPLE DE HORMIGÓN CON NIVEL DE CONTECIÓN H1, ANCHURA DE TRABAJO W2&lt;0,7, DEFLEXIÓN DINÁMICA D&lt;0,22; ÍNDICE DE SEVERIDAD B; vi&lt;1.53,   I i/ CAPTAFAROS, P.P. DE UNIONES, TRAMOS DE TRANSICIÓN O ABTIMIENTO, TORNILLERÍA Y ANCLAJES, TOTALMENTE INSTALADA.</w:t>
            </w:r>
          </w:p>
          <w:p w14:paraId="098B094B" w14:textId="77777777" w:rsidR="00401D51" w:rsidRPr="00F476CB" w:rsidRDefault="00401D51" w:rsidP="00CC738C">
            <w:pPr>
              <w:jc w:val="both"/>
              <w:rPr>
                <w:rFonts w:ascii="Calibri" w:hAnsi="Calibri"/>
                <w:color w:val="000000"/>
              </w:rPr>
            </w:pPr>
          </w:p>
        </w:tc>
      </w:tr>
      <w:tr w:rsidR="004D5E16" w:rsidRPr="00401D51" w14:paraId="31AB6FDC" w14:textId="77777777" w:rsidTr="00401D51">
        <w:trPr>
          <w:trHeight w:val="419"/>
        </w:trPr>
        <w:tc>
          <w:tcPr>
            <w:tcW w:w="617" w:type="pct"/>
            <w:noWrap/>
          </w:tcPr>
          <w:p w14:paraId="5CA87C1A" w14:textId="77777777" w:rsidR="004D5E16" w:rsidRPr="00F476CB" w:rsidRDefault="004D5E16">
            <w:pPr>
              <w:rPr>
                <w:rFonts w:ascii="Calibri" w:hAnsi="Calibri"/>
                <w:color w:val="000000"/>
              </w:rPr>
            </w:pPr>
            <w:r w:rsidRPr="00F476CB">
              <w:rPr>
                <w:rFonts w:ascii="Calibri" w:hAnsi="Calibri"/>
                <w:color w:val="000000"/>
              </w:rPr>
              <w:t xml:space="preserve">704.0002N         </w:t>
            </w:r>
          </w:p>
        </w:tc>
        <w:tc>
          <w:tcPr>
            <w:tcW w:w="362" w:type="pct"/>
            <w:noWrap/>
          </w:tcPr>
          <w:p w14:paraId="46ADC6CA" w14:textId="77777777" w:rsidR="004D5E16" w:rsidRPr="00F476CB" w:rsidRDefault="004D5E16">
            <w:pPr>
              <w:rPr>
                <w:rFonts w:ascii="Calibri" w:hAnsi="Calibri"/>
                <w:color w:val="000000"/>
              </w:rPr>
            </w:pPr>
            <w:r w:rsidRPr="00F476CB">
              <w:rPr>
                <w:rFonts w:ascii="Calibri" w:hAnsi="Calibri"/>
                <w:color w:val="000000"/>
              </w:rPr>
              <w:t>m</w:t>
            </w:r>
          </w:p>
        </w:tc>
        <w:tc>
          <w:tcPr>
            <w:tcW w:w="4021" w:type="pct"/>
          </w:tcPr>
          <w:p w14:paraId="13B008F4" w14:textId="77777777" w:rsidR="004D5E16" w:rsidRPr="00F476CB" w:rsidRDefault="00395DF9" w:rsidP="00CC738C">
            <w:pPr>
              <w:jc w:val="both"/>
              <w:rPr>
                <w:rFonts w:ascii="Calibri" w:hAnsi="Calibri"/>
                <w:color w:val="000000"/>
              </w:rPr>
            </w:pPr>
            <w:r w:rsidRPr="00F476CB">
              <w:rPr>
                <w:rFonts w:ascii="Calibri" w:hAnsi="Calibri"/>
                <w:color w:val="000000"/>
              </w:rPr>
              <w:t>BARRERA DE SEGURIDAD SIMPLE DE HORMIGÓN CON NIVEL DE CONTECIÓN H2, ANCHURA DE TRABAJO W2&lt;0,6, DEFLEXIÓN DINÁMICA D&lt;0,00; ÍNDICE DE SEVERIDAD B; vi&lt;0,70   I i/ CAPTAFAROS, P.P. DE UNIONES, TRAMOS DE TRANSICIÓN O ABTIMIENTO, TORNILLERÍA Y ANCLAJES, TOTALMENTE INSTALADA.</w:t>
            </w:r>
          </w:p>
          <w:p w14:paraId="63543CC0" w14:textId="77777777" w:rsidR="00401D51" w:rsidRPr="00F476CB" w:rsidRDefault="00401D51" w:rsidP="00CC738C">
            <w:pPr>
              <w:jc w:val="both"/>
              <w:rPr>
                <w:rFonts w:ascii="Calibri" w:hAnsi="Calibri"/>
                <w:color w:val="000000"/>
              </w:rPr>
            </w:pPr>
          </w:p>
        </w:tc>
      </w:tr>
      <w:tr w:rsidR="00750EA8" w:rsidRPr="00991D8E" w14:paraId="05C0DA03" w14:textId="77777777" w:rsidTr="00401D51">
        <w:trPr>
          <w:trHeight w:val="419"/>
        </w:trPr>
        <w:tc>
          <w:tcPr>
            <w:tcW w:w="617" w:type="pct"/>
            <w:noWrap/>
          </w:tcPr>
          <w:p w14:paraId="18EF2A29" w14:textId="77777777" w:rsidR="00750EA8" w:rsidRPr="00F476CB" w:rsidRDefault="00750EA8" w:rsidP="003068D0">
            <w:pPr>
              <w:rPr>
                <w:rFonts w:ascii="Calibri" w:hAnsi="Calibri" w:cs="Calibri"/>
                <w:color w:val="000000"/>
              </w:rPr>
            </w:pPr>
            <w:r w:rsidRPr="00F476CB">
              <w:rPr>
                <w:rFonts w:ascii="Calibri" w:hAnsi="Calibri" w:cs="Calibri"/>
                <w:color w:val="000000"/>
              </w:rPr>
              <w:t xml:space="preserve">704.0110N         </w:t>
            </w:r>
          </w:p>
        </w:tc>
        <w:tc>
          <w:tcPr>
            <w:tcW w:w="362" w:type="pct"/>
            <w:noWrap/>
          </w:tcPr>
          <w:p w14:paraId="2A311534" w14:textId="77777777" w:rsidR="00750EA8" w:rsidRPr="00F476CB" w:rsidRDefault="00750EA8" w:rsidP="003068D0">
            <w:pPr>
              <w:rPr>
                <w:rFonts w:ascii="Calibri" w:hAnsi="Calibri" w:cs="Calibri"/>
                <w:color w:val="000000"/>
              </w:rPr>
            </w:pPr>
            <w:r w:rsidRPr="00F476CB">
              <w:rPr>
                <w:rFonts w:ascii="Calibri" w:hAnsi="Calibri" w:cs="Calibri"/>
                <w:color w:val="000000"/>
              </w:rPr>
              <w:t>m</w:t>
            </w:r>
          </w:p>
        </w:tc>
        <w:tc>
          <w:tcPr>
            <w:tcW w:w="4021" w:type="pct"/>
          </w:tcPr>
          <w:p w14:paraId="3807291C" w14:textId="77777777" w:rsidR="00750EA8" w:rsidRPr="00F476CB" w:rsidRDefault="00395DF9" w:rsidP="00CC738C">
            <w:pPr>
              <w:jc w:val="both"/>
              <w:rPr>
                <w:rFonts w:ascii="Calibri" w:hAnsi="Calibri" w:cs="Calibri"/>
                <w:color w:val="000000"/>
              </w:rPr>
            </w:pPr>
            <w:r w:rsidRPr="00F476CB">
              <w:rPr>
                <w:rFonts w:ascii="Calibri" w:hAnsi="Calibri" w:cs="Calibri"/>
                <w:color w:val="000000"/>
              </w:rPr>
              <w:t xml:space="preserve">SUMINISTRO Y COLOCACIÓN DE BARRERA DE HORMIGÓN PREFABRICADA </w:t>
            </w:r>
            <w:r w:rsidR="00796D7C">
              <w:rPr>
                <w:rFonts w:ascii="Calibri" w:hAnsi="Calibri" w:cs="Calibri"/>
                <w:color w:val="000000"/>
              </w:rPr>
              <w:t xml:space="preserve">CON NIVEL DE CONTENCION H1 </w:t>
            </w:r>
            <w:r w:rsidRPr="00F476CB">
              <w:rPr>
                <w:rFonts w:ascii="Calibri" w:hAnsi="Calibri" w:cs="Calibri"/>
                <w:color w:val="000000"/>
              </w:rPr>
              <w:t>Y POSTERIOR RETIRADA A ACOPIO O LUGAR DE EMPLEO, UTILIZADO EN DESVÍOS DE TRÁFICO PARA 5 USOS. TOTALMENTE TERMINADO.</w:t>
            </w:r>
          </w:p>
        </w:tc>
      </w:tr>
    </w:tbl>
    <w:p w14:paraId="52785977" w14:textId="77777777" w:rsidR="002B430C" w:rsidRPr="0009501F" w:rsidRDefault="002B430C" w:rsidP="0009501F">
      <w:pPr>
        <w:pStyle w:val="NORMAL12"/>
      </w:pPr>
      <w:r>
        <w:t>Los trabajos que se incluyen en la unidad son:</w:t>
      </w:r>
    </w:p>
    <w:p w14:paraId="6E0D02CB" w14:textId="77777777" w:rsidR="002B430C" w:rsidRDefault="002B430C" w:rsidP="00E01981">
      <w:pPr>
        <w:pStyle w:val="NORMAL12"/>
        <w:numPr>
          <w:ilvl w:val="0"/>
          <w:numId w:val="119"/>
        </w:numPr>
      </w:pPr>
      <w:r>
        <w:t>Suministro a obra de las barreras de hormigón</w:t>
      </w:r>
      <w:r w:rsidR="00401D51">
        <w:t>, o fabricación in situ</w:t>
      </w:r>
      <w:r>
        <w:t xml:space="preserve"> y piezas especiales de paso de juntas de dilatación y conexión entre barreras de horm</w:t>
      </w:r>
      <w:r w:rsidR="00051823">
        <w:t xml:space="preserve">igón y barrera metálica bionda. </w:t>
      </w:r>
      <w:r>
        <w:t>Suministro de los materiales necesarios en caso de barrera ejecutada “in situ”.</w:t>
      </w:r>
    </w:p>
    <w:p w14:paraId="04311A6A" w14:textId="77777777" w:rsidR="002B430C" w:rsidRDefault="002B430C" w:rsidP="00E01981">
      <w:pPr>
        <w:pStyle w:val="NORMAL12"/>
        <w:numPr>
          <w:ilvl w:val="0"/>
          <w:numId w:val="119"/>
        </w:numPr>
      </w:pPr>
      <w:r>
        <w:t>Replanteo de la posición de la barrera.</w:t>
      </w:r>
    </w:p>
    <w:p w14:paraId="6ACF00F0" w14:textId="77777777" w:rsidR="002B430C" w:rsidRDefault="002B430C" w:rsidP="00E01981">
      <w:pPr>
        <w:pStyle w:val="NORMAL12"/>
        <w:numPr>
          <w:ilvl w:val="0"/>
          <w:numId w:val="119"/>
        </w:numPr>
      </w:pPr>
      <w:r>
        <w:t xml:space="preserve">Colocación/ejecución de la barrera, incluyendo todas las operaciones y medios auxiliares para su instalación definitiva, incluyendo la creación de juntas de dilatación en los lugares indicados o manteniendo las de la obra de fábrica en la que se instala. </w:t>
      </w:r>
    </w:p>
    <w:p w14:paraId="2263EC61" w14:textId="77777777" w:rsidR="002B430C" w:rsidRDefault="002B430C" w:rsidP="00E01981">
      <w:pPr>
        <w:pStyle w:val="NORMAL12"/>
        <w:numPr>
          <w:ilvl w:val="0"/>
          <w:numId w:val="119"/>
        </w:numPr>
      </w:pPr>
      <w:r>
        <w:t>Todas las operaciones necesarias para revisar y comprobar la calidad y la perfección del montaje y de las alineaciones resultantes.</w:t>
      </w:r>
    </w:p>
    <w:p w14:paraId="6E6FFC02" w14:textId="77777777" w:rsidR="002B430C" w:rsidRDefault="002B430C" w:rsidP="00E01981">
      <w:pPr>
        <w:pStyle w:val="NORMAL12"/>
        <w:numPr>
          <w:ilvl w:val="0"/>
          <w:numId w:val="119"/>
        </w:numPr>
      </w:pPr>
      <w:r>
        <w:t>Todas las operaciones previstas en el Plan de Control de Calidad definido en el Pliego.</w:t>
      </w:r>
    </w:p>
    <w:p w14:paraId="5923D076" w14:textId="77777777" w:rsidR="00CF7652" w:rsidRDefault="00CF7652" w:rsidP="00CF7652">
      <w:pPr>
        <w:pStyle w:val="NORMAL12"/>
        <w:ind w:left="720"/>
      </w:pPr>
    </w:p>
    <w:p w14:paraId="4E0122E5" w14:textId="77777777" w:rsidR="002B430C" w:rsidRDefault="002B430C" w:rsidP="000313DD">
      <w:pPr>
        <w:pStyle w:val="TITU2"/>
      </w:pPr>
      <w:r w:rsidRPr="00F27B28">
        <w:lastRenderedPageBreak/>
        <w:t> </w:t>
      </w:r>
      <w:bookmarkStart w:id="1199" w:name="_Toc492538151"/>
      <w:bookmarkStart w:id="1200" w:name="_Toc352530398"/>
      <w:bookmarkStart w:id="1201" w:name="_Toc351922194"/>
      <w:bookmarkStart w:id="1202" w:name="_Toc351921631"/>
      <w:bookmarkStart w:id="1203" w:name="_Toc351921350"/>
      <w:bookmarkStart w:id="1204" w:name="_Toc351921069"/>
      <w:bookmarkStart w:id="1205" w:name="_Toc404628"/>
      <w:r w:rsidRPr="00F27B28">
        <w:t>707.2.</w:t>
      </w:r>
      <w:r w:rsidR="00696EE5">
        <w:t xml:space="preserve"> </w:t>
      </w:r>
      <w:r w:rsidRPr="00F27B28">
        <w:tab/>
        <w:t>Tipos</w:t>
      </w:r>
      <w:bookmarkEnd w:id="1199"/>
      <w:bookmarkEnd w:id="1200"/>
      <w:bookmarkEnd w:id="1201"/>
      <w:bookmarkEnd w:id="1202"/>
      <w:bookmarkEnd w:id="1203"/>
      <w:bookmarkEnd w:id="1204"/>
      <w:bookmarkEnd w:id="1205"/>
    </w:p>
    <w:p w14:paraId="1CA497D7" w14:textId="77777777" w:rsidR="002B430C" w:rsidRPr="004D5E16" w:rsidRDefault="002B430C" w:rsidP="0009501F">
      <w:pPr>
        <w:pStyle w:val="NORMAL12"/>
      </w:pPr>
      <w:r w:rsidRPr="004D5E16">
        <w:t xml:space="preserve">Sólo se podrán emplear sistemas de contención de vehículos certificados y homologados mediante ensayos experimentales a escala real según la norma UNE-EN 1317. </w:t>
      </w:r>
    </w:p>
    <w:p w14:paraId="7161D51D" w14:textId="77777777" w:rsidR="002B430C" w:rsidRDefault="002B430C" w:rsidP="0009501F">
      <w:pPr>
        <w:pStyle w:val="NORMAL12"/>
      </w:pPr>
      <w:r w:rsidRPr="004D5E16">
        <w:t>Al ya haber entrado en vigor la obligatoriedad del marcado CE, sólo podrán disponerse barreras que cuenten con el marcado, al ser éste un requisito obligatorio para la comercialización del producto en el ámbito de la Unión Europea.</w:t>
      </w:r>
    </w:p>
    <w:p w14:paraId="5139BAB6" w14:textId="77777777" w:rsidR="00696EE5" w:rsidRDefault="00696EE5" w:rsidP="00696EE5">
      <w:pPr>
        <w:pStyle w:val="NORMAL12"/>
      </w:pPr>
      <w:r w:rsidRPr="002005BA">
        <w:t>Los parámetros definitorios de</w:t>
      </w:r>
      <w:r>
        <w:t xml:space="preserve"> los tipo</w:t>
      </w:r>
      <w:r w:rsidR="00051823">
        <w:t>s de barrera son los siguientes (2 tipologías)</w:t>
      </w:r>
    </w:p>
    <w:p w14:paraId="2EBCB7A7" w14:textId="77777777" w:rsidR="00696EE5" w:rsidRDefault="00696EE5" w:rsidP="00696EE5">
      <w:pPr>
        <w:pStyle w:val="NORMAL12"/>
      </w:pPr>
      <w:r>
        <w:t>Barrera de hormigón simple</w:t>
      </w:r>
    </w:p>
    <w:p w14:paraId="18DE4BDA" w14:textId="77777777" w:rsidR="00696EE5" w:rsidRPr="002005BA" w:rsidRDefault="00696EE5" w:rsidP="00221E1A">
      <w:pPr>
        <w:pStyle w:val="NORMAL12"/>
        <w:numPr>
          <w:ilvl w:val="0"/>
          <w:numId w:val="158"/>
        </w:numPr>
      </w:pPr>
      <w:r w:rsidRPr="002005BA">
        <w:t>Nivel de contención:</w:t>
      </w:r>
      <w:r w:rsidRPr="002005BA">
        <w:tab/>
      </w:r>
      <w:r w:rsidRPr="002005BA">
        <w:tab/>
      </w:r>
      <w:r>
        <w:tab/>
      </w:r>
      <w:r w:rsidRPr="002005BA">
        <w:t>H</w:t>
      </w:r>
      <w:r>
        <w:t>1</w:t>
      </w:r>
    </w:p>
    <w:p w14:paraId="231096EE" w14:textId="77777777" w:rsidR="00696EE5" w:rsidRPr="002005BA" w:rsidRDefault="00696EE5" w:rsidP="00221E1A">
      <w:pPr>
        <w:pStyle w:val="NORMAL12"/>
        <w:numPr>
          <w:ilvl w:val="0"/>
          <w:numId w:val="158"/>
        </w:numPr>
      </w:pPr>
      <w:r w:rsidRPr="002005BA">
        <w:t>Anchura de trabajo:</w:t>
      </w:r>
      <w:r w:rsidRPr="002005BA">
        <w:tab/>
      </w:r>
      <w:r w:rsidRPr="002005BA">
        <w:tab/>
      </w:r>
      <w:r w:rsidRPr="002005BA">
        <w:tab/>
      </w:r>
      <w:r>
        <w:tab/>
      </w:r>
      <w:r w:rsidRPr="002005BA">
        <w:t>W2</w:t>
      </w:r>
    </w:p>
    <w:p w14:paraId="4E7AECCC" w14:textId="77777777" w:rsidR="00696EE5" w:rsidRPr="002005BA" w:rsidRDefault="00696EE5" w:rsidP="00221E1A">
      <w:pPr>
        <w:pStyle w:val="NORMAL12"/>
        <w:numPr>
          <w:ilvl w:val="0"/>
          <w:numId w:val="158"/>
        </w:numPr>
      </w:pPr>
      <w:r w:rsidRPr="002005BA">
        <w:t>Deflexión dinámica (m):</w:t>
      </w:r>
      <w:r w:rsidRPr="002005BA">
        <w:tab/>
      </w:r>
      <w:r w:rsidRPr="002005BA">
        <w:tab/>
      </w:r>
      <w:r>
        <w:tab/>
      </w:r>
      <w:r w:rsidRPr="002005BA">
        <w:t>0,</w:t>
      </w:r>
      <w:r>
        <w:t>22</w:t>
      </w:r>
      <w:r w:rsidRPr="002005BA">
        <w:t xml:space="preserve"> m.</w:t>
      </w:r>
    </w:p>
    <w:p w14:paraId="5CDB1AC2" w14:textId="77777777" w:rsidR="00696EE5" w:rsidRDefault="00696EE5" w:rsidP="00221E1A">
      <w:pPr>
        <w:pStyle w:val="NORMAL12"/>
        <w:numPr>
          <w:ilvl w:val="0"/>
          <w:numId w:val="158"/>
        </w:numPr>
      </w:pPr>
      <w:r w:rsidRPr="002005BA">
        <w:t>Índice de severidad:</w:t>
      </w:r>
      <w:r w:rsidRPr="002005BA">
        <w:tab/>
      </w:r>
      <w:r w:rsidRPr="002005BA">
        <w:tab/>
      </w:r>
      <w:r w:rsidRPr="002005BA">
        <w:tab/>
        <w:t>B</w:t>
      </w:r>
    </w:p>
    <w:p w14:paraId="5C9E7DB6" w14:textId="77777777" w:rsidR="00696EE5" w:rsidRDefault="00696EE5" w:rsidP="00696EE5">
      <w:pPr>
        <w:pStyle w:val="NORMAL12"/>
      </w:pPr>
      <w:r>
        <w:t>Barrera de hormigón simple</w:t>
      </w:r>
    </w:p>
    <w:p w14:paraId="474984E9" w14:textId="77777777" w:rsidR="00696EE5" w:rsidRPr="002005BA" w:rsidRDefault="00696EE5" w:rsidP="00221E1A">
      <w:pPr>
        <w:pStyle w:val="NORMAL12"/>
        <w:numPr>
          <w:ilvl w:val="0"/>
          <w:numId w:val="158"/>
        </w:numPr>
      </w:pPr>
      <w:r w:rsidRPr="002005BA">
        <w:t>Nivel de contención:</w:t>
      </w:r>
      <w:r w:rsidRPr="002005BA">
        <w:tab/>
      </w:r>
      <w:r w:rsidRPr="002005BA">
        <w:tab/>
      </w:r>
      <w:r>
        <w:tab/>
      </w:r>
      <w:r w:rsidRPr="002005BA">
        <w:t>H</w:t>
      </w:r>
      <w:r>
        <w:t>1</w:t>
      </w:r>
    </w:p>
    <w:p w14:paraId="6A7CB7A8" w14:textId="77777777" w:rsidR="00696EE5" w:rsidRPr="002005BA" w:rsidRDefault="00696EE5" w:rsidP="00221E1A">
      <w:pPr>
        <w:pStyle w:val="NORMAL12"/>
        <w:numPr>
          <w:ilvl w:val="0"/>
          <w:numId w:val="158"/>
        </w:numPr>
      </w:pPr>
      <w:r w:rsidRPr="002005BA">
        <w:t>Anchura de trabajo:</w:t>
      </w:r>
      <w:r w:rsidRPr="002005BA">
        <w:tab/>
      </w:r>
      <w:r w:rsidRPr="002005BA">
        <w:tab/>
      </w:r>
      <w:r w:rsidRPr="002005BA">
        <w:tab/>
      </w:r>
      <w:r>
        <w:tab/>
      </w:r>
      <w:r w:rsidRPr="002005BA">
        <w:t>W2</w:t>
      </w:r>
    </w:p>
    <w:p w14:paraId="4D9EA024" w14:textId="77777777" w:rsidR="00696EE5" w:rsidRPr="002005BA" w:rsidRDefault="00696EE5" w:rsidP="00221E1A">
      <w:pPr>
        <w:pStyle w:val="NORMAL12"/>
        <w:numPr>
          <w:ilvl w:val="0"/>
          <w:numId w:val="158"/>
        </w:numPr>
      </w:pPr>
      <w:r w:rsidRPr="002005BA">
        <w:t>Deflexión dinámica (m):</w:t>
      </w:r>
      <w:r w:rsidRPr="002005BA">
        <w:tab/>
      </w:r>
      <w:r w:rsidRPr="002005BA">
        <w:tab/>
      </w:r>
      <w:r>
        <w:tab/>
      </w:r>
      <w:r w:rsidRPr="002005BA">
        <w:t>0,</w:t>
      </w:r>
      <w:r>
        <w:t>00</w:t>
      </w:r>
      <w:r w:rsidRPr="002005BA">
        <w:t xml:space="preserve"> m.</w:t>
      </w:r>
    </w:p>
    <w:p w14:paraId="5972656F" w14:textId="77777777" w:rsidR="00696EE5" w:rsidRDefault="00696EE5" w:rsidP="00221E1A">
      <w:pPr>
        <w:pStyle w:val="NORMAL12"/>
        <w:numPr>
          <w:ilvl w:val="0"/>
          <w:numId w:val="158"/>
        </w:numPr>
      </w:pPr>
      <w:r w:rsidRPr="002005BA">
        <w:t>Índice de severidad:</w:t>
      </w:r>
      <w:r w:rsidRPr="002005BA">
        <w:tab/>
      </w:r>
      <w:r w:rsidRPr="002005BA">
        <w:tab/>
      </w:r>
      <w:r w:rsidRPr="002005BA">
        <w:tab/>
        <w:t>B</w:t>
      </w:r>
    </w:p>
    <w:p w14:paraId="14AA43CB" w14:textId="77777777" w:rsidR="00844538" w:rsidRDefault="00844538" w:rsidP="00844538">
      <w:pPr>
        <w:pStyle w:val="NORMAL12"/>
      </w:pPr>
      <w:r>
        <w:t>La barrera empleada en los desvíos de tráfico debe tener al menos un nivel de contención H1.</w:t>
      </w:r>
    </w:p>
    <w:p w14:paraId="62F78EDF" w14:textId="77777777" w:rsidR="002B430C" w:rsidRDefault="002B430C" w:rsidP="000313DD">
      <w:pPr>
        <w:pStyle w:val="TITU2"/>
      </w:pPr>
      <w:bookmarkStart w:id="1206" w:name="_Toc492538152"/>
      <w:bookmarkStart w:id="1207" w:name="_Toc352530399"/>
      <w:bookmarkStart w:id="1208" w:name="_Toc404629"/>
      <w:r w:rsidRPr="00F27B28">
        <w:t>707.3.</w:t>
      </w:r>
      <w:r w:rsidR="00696EE5">
        <w:t xml:space="preserve"> </w:t>
      </w:r>
      <w:r w:rsidRPr="00F27B28">
        <w:tab/>
        <w:t>Materiales</w:t>
      </w:r>
      <w:bookmarkEnd w:id="1206"/>
      <w:bookmarkEnd w:id="1207"/>
      <w:bookmarkEnd w:id="1208"/>
    </w:p>
    <w:p w14:paraId="4E30EFD5" w14:textId="77777777" w:rsidR="002B430C" w:rsidRDefault="002B430C" w:rsidP="0009501F">
      <w:pPr>
        <w:pStyle w:val="NORMAL12"/>
      </w:pPr>
      <w:r>
        <w:t>La barrera es un sistema de contención integrado por varios componentes y todos ellos deben ser suministrados de forma integral por el fabricante del sistema. El sistema integral así compuesto estará en posesión de un certificado de conformidad CE con la norma UNE-EN 1317, que garantiza el cumplimiento de las especificaciones de la citada norma.</w:t>
      </w:r>
    </w:p>
    <w:p w14:paraId="466D8AA8" w14:textId="77777777" w:rsidR="00051823" w:rsidRDefault="00051823" w:rsidP="0009501F">
      <w:pPr>
        <w:pStyle w:val="NORMAL12"/>
      </w:pPr>
      <w:r>
        <w:t>El hormigón y armadura empleados en la fabricación cumplirán con lo establecido en la Instrucción EHE</w:t>
      </w:r>
      <w:r w:rsidR="00CF7652">
        <w:t>.</w:t>
      </w:r>
    </w:p>
    <w:p w14:paraId="736D256C" w14:textId="77777777" w:rsidR="00CF7652" w:rsidRDefault="00CF7652" w:rsidP="0009501F">
      <w:pPr>
        <w:pStyle w:val="NORMAL12"/>
      </w:pPr>
    </w:p>
    <w:p w14:paraId="3D418AA2" w14:textId="77777777" w:rsidR="002B430C" w:rsidRDefault="00696EE5" w:rsidP="000313DD">
      <w:pPr>
        <w:pStyle w:val="TITU2"/>
      </w:pPr>
      <w:bookmarkStart w:id="1209" w:name="_Toc492538153"/>
      <w:bookmarkStart w:id="1210" w:name="_Toc352530400"/>
      <w:bookmarkStart w:id="1211" w:name="_Toc351922195"/>
      <w:bookmarkStart w:id="1212" w:name="_Toc351921632"/>
      <w:bookmarkStart w:id="1213" w:name="_Toc351921351"/>
      <w:bookmarkStart w:id="1214" w:name="_Toc351921070"/>
      <w:bookmarkStart w:id="1215" w:name="_Toc404630"/>
      <w:r>
        <w:t xml:space="preserve">707.4. </w:t>
      </w:r>
      <w:r w:rsidR="002B430C" w:rsidRPr="00F27B28">
        <w:tab/>
        <w:t>Ejecución</w:t>
      </w:r>
      <w:bookmarkEnd w:id="1209"/>
      <w:bookmarkEnd w:id="1210"/>
      <w:bookmarkEnd w:id="1211"/>
      <w:bookmarkEnd w:id="1212"/>
      <w:bookmarkEnd w:id="1213"/>
      <w:bookmarkEnd w:id="1214"/>
      <w:r w:rsidR="00036C21">
        <w:t xml:space="preserve"> de las obras</w:t>
      </w:r>
      <w:bookmarkEnd w:id="1215"/>
    </w:p>
    <w:p w14:paraId="16703FFF" w14:textId="77777777" w:rsidR="002B430C" w:rsidRPr="0009501F" w:rsidRDefault="002B430C" w:rsidP="0009501F">
      <w:pPr>
        <w:pStyle w:val="NORMAL12"/>
        <w:rPr>
          <w:i/>
          <w:u w:val="single"/>
        </w:rPr>
      </w:pPr>
      <w:r w:rsidRPr="0009501F">
        <w:rPr>
          <w:i/>
          <w:u w:val="single"/>
        </w:rPr>
        <w:t>Suministro</w:t>
      </w:r>
    </w:p>
    <w:p w14:paraId="6B53D6A0" w14:textId="77777777" w:rsidR="002B430C" w:rsidRDefault="002B430C" w:rsidP="0009501F">
      <w:pPr>
        <w:pStyle w:val="NORMAL12"/>
      </w:pPr>
      <w:r>
        <w:t xml:space="preserve">El Contratista comunicará por escrito al </w:t>
      </w:r>
      <w:proofErr w:type="gramStart"/>
      <w:r>
        <w:t>Director</w:t>
      </w:r>
      <w:proofErr w:type="gramEnd"/>
      <w:r>
        <w:t xml:space="preserve"> de Obra, con suficiente antelación antes de las obras la marca comercial y el certificado de conformidad CE del sistema a emplear, conforme al modelo indicado en el apartado 707.2. Materiales y componentes.</w:t>
      </w:r>
    </w:p>
    <w:p w14:paraId="0A5DB2C9" w14:textId="77777777" w:rsidR="002B430C" w:rsidRPr="0009501F" w:rsidRDefault="002B430C" w:rsidP="0009501F">
      <w:pPr>
        <w:pStyle w:val="NORMAL12"/>
        <w:rPr>
          <w:i/>
          <w:u w:val="single"/>
        </w:rPr>
      </w:pPr>
      <w:r w:rsidRPr="0009501F">
        <w:rPr>
          <w:i/>
          <w:u w:val="single"/>
        </w:rPr>
        <w:t>Replanteo de la barrera</w:t>
      </w:r>
    </w:p>
    <w:p w14:paraId="47A089D5" w14:textId="77777777" w:rsidR="002B430C" w:rsidRDefault="002B430C" w:rsidP="0009501F">
      <w:pPr>
        <w:pStyle w:val="NORMAL12"/>
      </w:pPr>
      <w:r>
        <w:t xml:space="preserve">Primero se replantearán todos los puntos singulares de la estructura tales como juntas de dilatación y se garantizará que los módulos de barrera para el paso de junta coincidan la misma, previéndose módulos especiales de menor longitud si fuese necesario.  </w:t>
      </w:r>
    </w:p>
    <w:p w14:paraId="74D48EC9" w14:textId="77777777" w:rsidR="002B430C" w:rsidRDefault="002B430C" w:rsidP="0009501F">
      <w:pPr>
        <w:pStyle w:val="NORMAL12"/>
      </w:pPr>
      <w:r>
        <w:t xml:space="preserve">La modificación de la longitud de los módulos habrá de ser inferior a un 5 % de la longitud tipo indicada en la ficha de especificaciones del sistema, tal y como queda reflejado en los planos de proyecto. </w:t>
      </w:r>
    </w:p>
    <w:p w14:paraId="1976B021" w14:textId="77777777" w:rsidR="002B430C" w:rsidRPr="00F476CB" w:rsidRDefault="002B430C" w:rsidP="0009501F">
      <w:pPr>
        <w:pStyle w:val="NORMAL12"/>
      </w:pPr>
      <w:r>
        <w:t xml:space="preserve">Adicionalmente se cumplirán todas las tolerancias exigidas por el fabricante del sistema </w:t>
      </w:r>
      <w:r w:rsidRPr="00F476CB">
        <w:t xml:space="preserve">para la correcta instalación de su barrera. </w:t>
      </w:r>
    </w:p>
    <w:p w14:paraId="794FA63F" w14:textId="77777777" w:rsidR="002B430C" w:rsidRPr="00F476CB" w:rsidRDefault="002B430C" w:rsidP="0009501F">
      <w:pPr>
        <w:pStyle w:val="NORMAL12"/>
        <w:rPr>
          <w:i/>
          <w:u w:val="single"/>
        </w:rPr>
      </w:pPr>
      <w:r w:rsidRPr="00F476CB">
        <w:rPr>
          <w:i/>
          <w:u w:val="single"/>
        </w:rPr>
        <w:t>Instalación de la barrera</w:t>
      </w:r>
    </w:p>
    <w:p w14:paraId="7FA9AAEE" w14:textId="77777777" w:rsidR="002B430C" w:rsidRPr="00F476CB" w:rsidRDefault="002B430C" w:rsidP="0009501F">
      <w:pPr>
        <w:pStyle w:val="NORMAL12"/>
      </w:pPr>
      <w:r w:rsidRPr="00F476CB">
        <w:t xml:space="preserve">Antes de comenzar la instalación de las barreras, el Contratista comprobará, tras el replanteo de las barreras, que se cumplen íntegramente todos los requisitos de disposición requeridos en la OC 35/2014. Si alguno de estos requisitos no se cumpliera con la disposición prevista en los planos del proyecto, el Contratista informará al </w:t>
      </w:r>
      <w:proofErr w:type="gramStart"/>
      <w:r w:rsidRPr="00F476CB">
        <w:t>Director</w:t>
      </w:r>
      <w:proofErr w:type="gramEnd"/>
      <w:r w:rsidRPr="00F476CB">
        <w:t xml:space="preserve"> de Obra para que éste ordene las actuaciones oportunas para dar cumplimiento al requisito. Es, por tanto, responsabilidad del Contratista realizar una revisión minuciosa de las disposiciones previstas en proyecto, cotejándolas con los datos de replanteo en campo, para garantizar que las barreras instaladas satisfarán plenamente los requisitos que seguidamente se relacionan.</w:t>
      </w:r>
    </w:p>
    <w:p w14:paraId="2B0F69F8" w14:textId="77777777" w:rsidR="003B4E71" w:rsidRPr="00F476CB" w:rsidRDefault="003B4E71" w:rsidP="000313DD">
      <w:pPr>
        <w:pStyle w:val="TITU2"/>
      </w:pPr>
      <w:bookmarkStart w:id="1216" w:name="_Toc404631"/>
      <w:r w:rsidRPr="00F476CB">
        <w:t>707.5. Limitaciones en la ejecución</w:t>
      </w:r>
      <w:bookmarkEnd w:id="1216"/>
    </w:p>
    <w:p w14:paraId="09610C2A" w14:textId="77777777" w:rsidR="003B4E71" w:rsidRPr="00F476CB" w:rsidRDefault="003B4E71" w:rsidP="003B4E71">
      <w:pPr>
        <w:pStyle w:val="NORMAL12"/>
        <w:rPr>
          <w:lang w:val="es-ES"/>
        </w:rPr>
      </w:pPr>
      <w:r w:rsidRPr="00F476CB">
        <w:rPr>
          <w:lang w:val="es-ES"/>
        </w:rPr>
        <w:t xml:space="preserve">No se admitirá la instalación de ninguna barrera que no cumpla como mínimo las especificaciones en cuanto a los parámetros de diseño definidas en la unidad. Todas las </w:t>
      </w:r>
      <w:r w:rsidR="00217216" w:rsidRPr="00F476CB">
        <w:rPr>
          <w:lang w:val="es-ES"/>
        </w:rPr>
        <w:t>barreras</w:t>
      </w:r>
      <w:r w:rsidRPr="00F476CB">
        <w:rPr>
          <w:lang w:val="es-ES"/>
        </w:rPr>
        <w:t xml:space="preserve"> instaladas deben contar con la aprobación del </w:t>
      </w:r>
      <w:proofErr w:type="gramStart"/>
      <w:r w:rsidRPr="00F476CB">
        <w:rPr>
          <w:lang w:val="es-ES"/>
        </w:rPr>
        <w:t>Director</w:t>
      </w:r>
      <w:proofErr w:type="gramEnd"/>
      <w:r w:rsidRPr="00F476CB">
        <w:rPr>
          <w:lang w:val="es-ES"/>
        </w:rPr>
        <w:t xml:space="preserve"> de Obra.</w:t>
      </w:r>
    </w:p>
    <w:p w14:paraId="6B1C5C28" w14:textId="77777777" w:rsidR="003B4E71" w:rsidRPr="00F476CB" w:rsidRDefault="003B4E71" w:rsidP="000313DD">
      <w:pPr>
        <w:pStyle w:val="TITU2"/>
      </w:pPr>
      <w:bookmarkStart w:id="1217" w:name="_Toc404632"/>
      <w:r w:rsidRPr="00F476CB">
        <w:lastRenderedPageBreak/>
        <w:t>707.6. Control de calidad</w:t>
      </w:r>
      <w:bookmarkEnd w:id="1217"/>
    </w:p>
    <w:p w14:paraId="3A084D83" w14:textId="77777777" w:rsidR="003B4E71" w:rsidRPr="00F476CB" w:rsidRDefault="003B4E71" w:rsidP="003B4E71">
      <w:pPr>
        <w:pStyle w:val="NORMAL12"/>
      </w:pPr>
      <w:r w:rsidRPr="00F476CB">
        <w:t>La posesión del marcado CE que posee la barrera, exime de la necesidad de realizar los controles de recepción previstos en el artículo 704.6 del PG-3. Bastará con que cada suministro de barreras metálicas se acompañe del certificado acreditativo de la posesión del marcado CE.</w:t>
      </w:r>
    </w:p>
    <w:p w14:paraId="6B92727A" w14:textId="77777777" w:rsidR="003B4E71" w:rsidRPr="00F476CB" w:rsidRDefault="003B4E71" w:rsidP="003B4E71">
      <w:pPr>
        <w:pStyle w:val="NORMAL12"/>
      </w:pPr>
      <w:r w:rsidRPr="00F476CB">
        <w:t>Se realizarán los controles de calidad establecidos en la normativa vigente y el concreto en el apartado 704.6 del PG-3</w:t>
      </w:r>
    </w:p>
    <w:p w14:paraId="6C3EB4FE" w14:textId="77777777" w:rsidR="003B4E71" w:rsidRPr="00F476CB" w:rsidRDefault="003B4E71" w:rsidP="003B4E71">
      <w:pPr>
        <w:pStyle w:val="NORMAL12"/>
      </w:pPr>
      <w:r w:rsidRPr="00F476CB">
        <w:t xml:space="preserve">En cualquier caso, el </w:t>
      </w:r>
      <w:proofErr w:type="gramStart"/>
      <w:r w:rsidRPr="00F476CB">
        <w:t>Director</w:t>
      </w:r>
      <w:proofErr w:type="gramEnd"/>
      <w:r w:rsidRPr="00F476CB">
        <w:t xml:space="preserve"> de Obra podrá realizar, a su juicio, los controles de calidad que estime oportunos, según los criterios del apartado 704.6 del PG-3.</w:t>
      </w:r>
    </w:p>
    <w:p w14:paraId="3CB26C16" w14:textId="77777777" w:rsidR="003B4E71" w:rsidRPr="00F476CB" w:rsidRDefault="003B4E71" w:rsidP="000313DD">
      <w:pPr>
        <w:pStyle w:val="TITU2"/>
      </w:pPr>
      <w:bookmarkStart w:id="1218" w:name="_Toc404633"/>
      <w:r w:rsidRPr="00F476CB">
        <w:t>707.7. Criterio de aceptación o rechazo</w:t>
      </w:r>
      <w:bookmarkEnd w:id="1218"/>
    </w:p>
    <w:p w14:paraId="23E94C8E" w14:textId="77777777" w:rsidR="003B4E71" w:rsidRDefault="003B4E71" w:rsidP="003B4E71">
      <w:pPr>
        <w:pStyle w:val="NORMAL12"/>
      </w:pPr>
      <w:r>
        <w:t>Se relacionan seguidamente las especificaciones que deberá cumplir la unidad terminada para proceder a su aceptación final. La nomenclatura de los parámetros relacionados en la tabla siguiente es coincidente con la adoptada por la OC 35/2014.</w:t>
      </w:r>
    </w:p>
    <w:p w14:paraId="482A9EC7" w14:textId="77777777" w:rsidR="00CF7652" w:rsidRDefault="00CF7652" w:rsidP="003B4E71">
      <w:pPr>
        <w:pStyle w:val="NORMAL12"/>
      </w:pPr>
    </w:p>
    <w:tbl>
      <w:tblPr>
        <w:tblW w:w="9705" w:type="dxa"/>
        <w:tblBorders>
          <w:top w:val="single" w:sz="12" w:space="0" w:color="auto"/>
          <w:left w:val="single" w:sz="12" w:space="0" w:color="auto"/>
          <w:bottom w:val="single" w:sz="12" w:space="0" w:color="auto"/>
          <w:right w:val="single" w:sz="12" w:space="0" w:color="auto"/>
          <w:insideH w:val="single" w:sz="4" w:space="0" w:color="auto"/>
        </w:tblBorders>
        <w:tblLayout w:type="fixed"/>
        <w:tblCellMar>
          <w:left w:w="70" w:type="dxa"/>
          <w:right w:w="70" w:type="dxa"/>
        </w:tblCellMar>
        <w:tblLook w:val="04A0" w:firstRow="1" w:lastRow="0" w:firstColumn="1" w:lastColumn="0" w:noHBand="0" w:noVBand="1"/>
      </w:tblPr>
      <w:tblGrid>
        <w:gridCol w:w="5455"/>
        <w:gridCol w:w="2409"/>
        <w:gridCol w:w="1841"/>
      </w:tblGrid>
      <w:tr w:rsidR="003B4E71" w:rsidRPr="00A8316A" w14:paraId="4297B9C4" w14:textId="77777777" w:rsidTr="003B4E71">
        <w:trPr>
          <w:tblHeader/>
        </w:trPr>
        <w:tc>
          <w:tcPr>
            <w:tcW w:w="5457" w:type="dxa"/>
            <w:tcBorders>
              <w:top w:val="single" w:sz="12" w:space="0" w:color="auto"/>
              <w:left w:val="single" w:sz="12" w:space="0" w:color="auto"/>
              <w:bottom w:val="single" w:sz="4" w:space="0" w:color="auto"/>
              <w:right w:val="nil"/>
            </w:tcBorders>
            <w:shd w:val="clear" w:color="auto" w:fill="D9D9D9" w:themeFill="background1" w:themeFillShade="D9"/>
            <w:vAlign w:val="center"/>
            <w:hideMark/>
          </w:tcPr>
          <w:p w14:paraId="261A252A" w14:textId="77777777" w:rsidR="003B4E71" w:rsidRPr="00A8316A" w:rsidRDefault="003B4E71" w:rsidP="003B4E71">
            <w:pPr>
              <w:pStyle w:val="LCATabla"/>
              <w:spacing w:line="360" w:lineRule="auto"/>
              <w:rPr>
                <w:rFonts w:ascii="Arial" w:hAnsi="Arial" w:cs="Arial"/>
                <w:b/>
                <w:sz w:val="20"/>
              </w:rPr>
            </w:pPr>
            <w:r w:rsidRPr="00A8316A">
              <w:rPr>
                <w:rFonts w:ascii="Arial" w:hAnsi="Arial" w:cs="Arial"/>
                <w:b/>
                <w:sz w:val="20"/>
              </w:rPr>
              <w:t>Parámetros de aceptación final</w:t>
            </w:r>
          </w:p>
        </w:tc>
        <w:tc>
          <w:tcPr>
            <w:tcW w:w="2410" w:type="dxa"/>
            <w:tcBorders>
              <w:top w:val="single" w:sz="12" w:space="0" w:color="auto"/>
              <w:left w:val="nil"/>
              <w:bottom w:val="single" w:sz="4" w:space="0" w:color="auto"/>
              <w:right w:val="nil"/>
            </w:tcBorders>
            <w:shd w:val="clear" w:color="auto" w:fill="D9D9D9" w:themeFill="background1" w:themeFillShade="D9"/>
            <w:vAlign w:val="center"/>
            <w:hideMark/>
          </w:tcPr>
          <w:p w14:paraId="5410932C" w14:textId="77777777" w:rsidR="003B4E71" w:rsidRPr="00A8316A" w:rsidRDefault="003B4E71" w:rsidP="003B4E71">
            <w:pPr>
              <w:pStyle w:val="LCATabla"/>
              <w:spacing w:line="360" w:lineRule="auto"/>
              <w:rPr>
                <w:rFonts w:ascii="Arial" w:hAnsi="Arial" w:cs="Arial"/>
                <w:b/>
                <w:sz w:val="20"/>
              </w:rPr>
            </w:pPr>
            <w:r w:rsidRPr="00A8316A">
              <w:rPr>
                <w:rFonts w:ascii="Arial" w:hAnsi="Arial" w:cs="Arial"/>
                <w:b/>
                <w:sz w:val="20"/>
              </w:rPr>
              <w:t>Normas de referencia</w:t>
            </w:r>
          </w:p>
        </w:tc>
        <w:tc>
          <w:tcPr>
            <w:tcW w:w="1842" w:type="dxa"/>
            <w:tcBorders>
              <w:top w:val="single" w:sz="12" w:space="0" w:color="auto"/>
              <w:left w:val="nil"/>
              <w:bottom w:val="single" w:sz="4" w:space="0" w:color="auto"/>
              <w:right w:val="single" w:sz="12" w:space="0" w:color="auto"/>
            </w:tcBorders>
            <w:shd w:val="clear" w:color="auto" w:fill="D9D9D9" w:themeFill="background1" w:themeFillShade="D9"/>
            <w:hideMark/>
          </w:tcPr>
          <w:p w14:paraId="1AEAF3CD" w14:textId="77777777" w:rsidR="003B4E71" w:rsidRPr="00A8316A" w:rsidRDefault="003B4E71" w:rsidP="003B4E71">
            <w:pPr>
              <w:pStyle w:val="LCATabla"/>
              <w:spacing w:line="360" w:lineRule="auto"/>
              <w:rPr>
                <w:rFonts w:ascii="Arial" w:hAnsi="Arial" w:cs="Arial"/>
                <w:b/>
                <w:sz w:val="20"/>
              </w:rPr>
            </w:pPr>
            <w:r w:rsidRPr="00A8316A">
              <w:rPr>
                <w:rFonts w:ascii="Arial" w:hAnsi="Arial" w:cs="Arial"/>
                <w:b/>
                <w:sz w:val="20"/>
              </w:rPr>
              <w:t>Procedimiento de medida</w:t>
            </w:r>
          </w:p>
        </w:tc>
      </w:tr>
      <w:tr w:rsidR="003B4E71" w:rsidRPr="00A8316A" w14:paraId="0239BAAB" w14:textId="77777777" w:rsidTr="003B4E71">
        <w:trPr>
          <w:trHeight w:val="540"/>
        </w:trPr>
        <w:tc>
          <w:tcPr>
            <w:tcW w:w="5457" w:type="dxa"/>
            <w:tcBorders>
              <w:top w:val="single" w:sz="4" w:space="0" w:color="auto"/>
              <w:left w:val="single" w:sz="12" w:space="0" w:color="auto"/>
              <w:bottom w:val="single" w:sz="4" w:space="0" w:color="auto"/>
              <w:right w:val="nil"/>
            </w:tcBorders>
            <w:vAlign w:val="center"/>
            <w:hideMark/>
          </w:tcPr>
          <w:p w14:paraId="51BE7A2E" w14:textId="77777777" w:rsidR="003B4E71" w:rsidRPr="00A8316A" w:rsidRDefault="003B4E71" w:rsidP="003B4E71">
            <w:pPr>
              <w:pStyle w:val="LCATabla"/>
              <w:spacing w:line="360" w:lineRule="auto"/>
              <w:rPr>
                <w:rFonts w:ascii="Arial" w:hAnsi="Arial" w:cs="Arial"/>
                <w:b/>
                <w:sz w:val="20"/>
              </w:rPr>
            </w:pPr>
            <w:r w:rsidRPr="00A8316A">
              <w:rPr>
                <w:rFonts w:ascii="Arial" w:hAnsi="Arial" w:cs="Arial"/>
                <w:sz w:val="20"/>
              </w:rPr>
              <w:t>Ausencia de golpes y defectos en la barrera.</w:t>
            </w:r>
          </w:p>
        </w:tc>
        <w:tc>
          <w:tcPr>
            <w:tcW w:w="2410" w:type="dxa"/>
            <w:tcBorders>
              <w:top w:val="single" w:sz="4" w:space="0" w:color="auto"/>
              <w:left w:val="nil"/>
              <w:bottom w:val="single" w:sz="4" w:space="0" w:color="auto"/>
              <w:right w:val="nil"/>
            </w:tcBorders>
          </w:tcPr>
          <w:p w14:paraId="136218B8" w14:textId="77777777" w:rsidR="003B4E71" w:rsidRPr="00A8316A" w:rsidRDefault="003B4E71" w:rsidP="003B4E71">
            <w:pPr>
              <w:pStyle w:val="LCATabla"/>
              <w:spacing w:line="360" w:lineRule="auto"/>
              <w:rPr>
                <w:rFonts w:ascii="Arial" w:hAnsi="Arial" w:cs="Arial"/>
                <w:sz w:val="20"/>
              </w:rPr>
            </w:pPr>
          </w:p>
        </w:tc>
        <w:tc>
          <w:tcPr>
            <w:tcW w:w="1842" w:type="dxa"/>
            <w:tcBorders>
              <w:top w:val="single" w:sz="4" w:space="0" w:color="auto"/>
              <w:left w:val="nil"/>
              <w:bottom w:val="single" w:sz="4" w:space="0" w:color="auto"/>
              <w:right w:val="single" w:sz="12" w:space="0" w:color="auto"/>
            </w:tcBorders>
            <w:hideMark/>
          </w:tcPr>
          <w:p w14:paraId="355B14CD"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Inspección visual</w:t>
            </w:r>
          </w:p>
        </w:tc>
      </w:tr>
      <w:tr w:rsidR="003B4E71" w:rsidRPr="00A8316A" w14:paraId="21BC4EFF" w14:textId="77777777" w:rsidTr="003B4E71">
        <w:trPr>
          <w:trHeight w:val="540"/>
        </w:trPr>
        <w:tc>
          <w:tcPr>
            <w:tcW w:w="5457" w:type="dxa"/>
            <w:tcBorders>
              <w:top w:val="single" w:sz="4" w:space="0" w:color="auto"/>
              <w:left w:val="single" w:sz="12" w:space="0" w:color="auto"/>
              <w:bottom w:val="single" w:sz="4" w:space="0" w:color="auto"/>
              <w:right w:val="nil"/>
            </w:tcBorders>
            <w:vAlign w:val="center"/>
            <w:hideMark/>
          </w:tcPr>
          <w:p w14:paraId="7BBADC74" w14:textId="77777777" w:rsidR="003B4E71" w:rsidRPr="00A8316A" w:rsidRDefault="003B4E71" w:rsidP="003B4E71">
            <w:pPr>
              <w:pStyle w:val="LCATabla"/>
              <w:spacing w:line="360" w:lineRule="auto"/>
              <w:rPr>
                <w:rFonts w:ascii="Arial" w:hAnsi="Arial" w:cs="Arial"/>
                <w:b/>
                <w:sz w:val="20"/>
              </w:rPr>
            </w:pPr>
            <w:r w:rsidRPr="00A8316A">
              <w:rPr>
                <w:rFonts w:ascii="Arial" w:hAnsi="Arial" w:cs="Arial"/>
                <w:b/>
                <w:sz w:val="20"/>
              </w:rPr>
              <w:t>Longitud de módulos</w:t>
            </w:r>
          </w:p>
          <w:p w14:paraId="4AA84009"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 xml:space="preserve">La longitud de los módulos componentes cumplirá la longitud tipo con una tolerancia: </w:t>
            </w:r>
          </w:p>
          <w:p w14:paraId="33AD676C" w14:textId="77777777" w:rsidR="003B4E71" w:rsidRPr="00A8316A" w:rsidRDefault="003B4E71" w:rsidP="003B4E71">
            <w:pPr>
              <w:pStyle w:val="LCATabla"/>
              <w:numPr>
                <w:ilvl w:val="0"/>
                <w:numId w:val="68"/>
              </w:numPr>
              <w:spacing w:line="360" w:lineRule="auto"/>
              <w:ind w:left="426" w:hanging="219"/>
              <w:rPr>
                <w:rFonts w:ascii="Arial" w:hAnsi="Arial" w:cs="Arial"/>
                <w:sz w:val="20"/>
              </w:rPr>
            </w:pPr>
            <w:r w:rsidRPr="00A8316A">
              <w:rPr>
                <w:rFonts w:ascii="Arial" w:hAnsi="Arial" w:cs="Arial"/>
                <w:sz w:val="20"/>
              </w:rPr>
              <w:t>± 5 %</w:t>
            </w:r>
          </w:p>
        </w:tc>
        <w:tc>
          <w:tcPr>
            <w:tcW w:w="2410" w:type="dxa"/>
            <w:tcBorders>
              <w:top w:val="single" w:sz="4" w:space="0" w:color="auto"/>
              <w:left w:val="nil"/>
              <w:bottom w:val="single" w:sz="4" w:space="0" w:color="auto"/>
              <w:right w:val="nil"/>
            </w:tcBorders>
          </w:tcPr>
          <w:p w14:paraId="1E655F05" w14:textId="77777777" w:rsidR="003B4E71" w:rsidRPr="00A8316A" w:rsidRDefault="003B4E71" w:rsidP="003B4E71">
            <w:pPr>
              <w:pStyle w:val="LCATabla"/>
              <w:spacing w:line="360" w:lineRule="auto"/>
              <w:rPr>
                <w:rFonts w:ascii="Arial" w:hAnsi="Arial" w:cs="Arial"/>
                <w:sz w:val="20"/>
              </w:rPr>
            </w:pPr>
          </w:p>
        </w:tc>
        <w:tc>
          <w:tcPr>
            <w:tcW w:w="1842" w:type="dxa"/>
            <w:tcBorders>
              <w:top w:val="single" w:sz="4" w:space="0" w:color="auto"/>
              <w:left w:val="nil"/>
              <w:bottom w:val="single" w:sz="4" w:space="0" w:color="auto"/>
              <w:right w:val="single" w:sz="12" w:space="0" w:color="auto"/>
            </w:tcBorders>
          </w:tcPr>
          <w:p w14:paraId="31FB12EA"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Medición con cinta.</w:t>
            </w:r>
          </w:p>
          <w:p w14:paraId="08117B85" w14:textId="77777777" w:rsidR="003B4E71" w:rsidRPr="00A8316A" w:rsidRDefault="003B4E71" w:rsidP="003B4E71">
            <w:pPr>
              <w:pStyle w:val="LCATabla"/>
              <w:spacing w:line="360" w:lineRule="auto"/>
              <w:rPr>
                <w:rFonts w:ascii="Arial" w:hAnsi="Arial" w:cs="Arial"/>
                <w:sz w:val="20"/>
              </w:rPr>
            </w:pPr>
          </w:p>
        </w:tc>
      </w:tr>
      <w:tr w:rsidR="003B4E71" w:rsidRPr="00A8316A" w14:paraId="12EBEFFD" w14:textId="77777777" w:rsidTr="003B4E71">
        <w:trPr>
          <w:trHeight w:val="540"/>
        </w:trPr>
        <w:tc>
          <w:tcPr>
            <w:tcW w:w="5457" w:type="dxa"/>
            <w:tcBorders>
              <w:top w:val="single" w:sz="4" w:space="0" w:color="auto"/>
              <w:left w:val="single" w:sz="12" w:space="0" w:color="auto"/>
              <w:bottom w:val="single" w:sz="4" w:space="0" w:color="auto"/>
              <w:right w:val="nil"/>
            </w:tcBorders>
            <w:hideMark/>
          </w:tcPr>
          <w:p w14:paraId="502F5085" w14:textId="77777777" w:rsidR="003B4E71" w:rsidRPr="00A8316A" w:rsidRDefault="003B4E71" w:rsidP="003B4E71">
            <w:pPr>
              <w:pStyle w:val="LCATabla"/>
              <w:spacing w:line="360" w:lineRule="auto"/>
              <w:rPr>
                <w:rFonts w:ascii="Arial" w:hAnsi="Arial" w:cs="Arial"/>
                <w:b/>
                <w:sz w:val="20"/>
              </w:rPr>
            </w:pPr>
            <w:r w:rsidRPr="00A8316A">
              <w:rPr>
                <w:rFonts w:ascii="Arial" w:hAnsi="Arial" w:cs="Arial"/>
                <w:b/>
                <w:sz w:val="20"/>
              </w:rPr>
              <w:t>Posición transversal:</w:t>
            </w:r>
          </w:p>
          <w:p w14:paraId="4230EDE3"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 xml:space="preserve">Distancia mínima al borde de la superficie pavimentada: </w:t>
            </w:r>
          </w:p>
          <w:p w14:paraId="6A22E2B2" w14:textId="77777777" w:rsidR="003B4E71" w:rsidRPr="00A8316A" w:rsidRDefault="003B4E71" w:rsidP="003B4E71">
            <w:pPr>
              <w:pStyle w:val="LCATabla"/>
              <w:numPr>
                <w:ilvl w:val="0"/>
                <w:numId w:val="68"/>
              </w:numPr>
              <w:spacing w:before="60" w:after="60" w:line="360" w:lineRule="auto"/>
              <w:ind w:left="426" w:hanging="219"/>
              <w:rPr>
                <w:rFonts w:ascii="Arial" w:hAnsi="Arial" w:cs="Arial"/>
                <w:sz w:val="20"/>
              </w:rPr>
            </w:pPr>
            <w:r w:rsidRPr="00A8316A">
              <w:rPr>
                <w:rFonts w:ascii="Arial" w:hAnsi="Arial" w:cs="Arial"/>
                <w:sz w:val="20"/>
              </w:rPr>
              <w:t>barrera fuera del arcén</w:t>
            </w:r>
          </w:p>
          <w:p w14:paraId="575FC092" w14:textId="77777777" w:rsidR="003B4E71" w:rsidRPr="00A8316A" w:rsidRDefault="003B4E71" w:rsidP="003B4E71">
            <w:pPr>
              <w:pStyle w:val="LCATabla"/>
              <w:numPr>
                <w:ilvl w:val="0"/>
                <w:numId w:val="68"/>
              </w:numPr>
              <w:spacing w:before="60" w:after="60" w:line="360" w:lineRule="auto"/>
              <w:ind w:left="426" w:hanging="219"/>
              <w:rPr>
                <w:rFonts w:ascii="Arial" w:hAnsi="Arial" w:cs="Arial"/>
                <w:sz w:val="20"/>
              </w:rPr>
            </w:pPr>
            <w:r w:rsidRPr="00A8316A">
              <w:rPr>
                <w:rFonts w:ascii="Arial" w:hAnsi="Arial" w:cs="Arial"/>
                <w:sz w:val="20"/>
              </w:rPr>
              <w:t>si no hay arcén, distancia mínima de 0,5 m. respecto a borde de calzada</w:t>
            </w:r>
          </w:p>
          <w:p w14:paraId="0F6B8F30"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Distancia máxima al borde de la superficie pavimentada:</w:t>
            </w:r>
          </w:p>
        </w:tc>
        <w:tc>
          <w:tcPr>
            <w:tcW w:w="2410" w:type="dxa"/>
            <w:tcBorders>
              <w:top w:val="single" w:sz="4" w:space="0" w:color="auto"/>
              <w:left w:val="nil"/>
              <w:bottom w:val="single" w:sz="4" w:space="0" w:color="auto"/>
              <w:right w:val="nil"/>
            </w:tcBorders>
          </w:tcPr>
          <w:p w14:paraId="2C60D85D" w14:textId="77777777" w:rsidR="003B4E71" w:rsidRPr="00A8316A" w:rsidRDefault="003B4E71" w:rsidP="003B4E71">
            <w:pPr>
              <w:pStyle w:val="LCATabla"/>
              <w:spacing w:line="360" w:lineRule="auto"/>
              <w:rPr>
                <w:rFonts w:ascii="Arial" w:hAnsi="Arial" w:cs="Arial"/>
                <w:sz w:val="20"/>
              </w:rPr>
            </w:pPr>
          </w:p>
          <w:p w14:paraId="1A593CE8"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OC 35/2014</w:t>
            </w:r>
          </w:p>
          <w:p w14:paraId="6C8250F1" w14:textId="77777777" w:rsidR="003B4E71" w:rsidRPr="00A8316A" w:rsidRDefault="003B4E71" w:rsidP="003B4E71">
            <w:pPr>
              <w:pStyle w:val="LCATabla"/>
              <w:spacing w:line="360" w:lineRule="auto"/>
              <w:rPr>
                <w:rFonts w:ascii="Arial" w:hAnsi="Arial" w:cs="Arial"/>
                <w:sz w:val="20"/>
              </w:rPr>
            </w:pPr>
          </w:p>
          <w:p w14:paraId="5E682463" w14:textId="77777777" w:rsidR="003B4E71" w:rsidRPr="00A8316A" w:rsidRDefault="003B4E71" w:rsidP="003B4E71">
            <w:pPr>
              <w:pStyle w:val="LCATabla"/>
              <w:spacing w:line="360" w:lineRule="auto"/>
              <w:rPr>
                <w:rFonts w:ascii="Arial" w:hAnsi="Arial" w:cs="Arial"/>
                <w:sz w:val="20"/>
              </w:rPr>
            </w:pPr>
          </w:p>
          <w:p w14:paraId="5C48C719" w14:textId="77777777" w:rsidR="003B4E71" w:rsidRPr="00A8316A" w:rsidRDefault="003B4E71" w:rsidP="003B4E71">
            <w:pPr>
              <w:pStyle w:val="LCATabla"/>
              <w:spacing w:line="360" w:lineRule="auto"/>
              <w:rPr>
                <w:rFonts w:ascii="Arial" w:hAnsi="Arial" w:cs="Arial"/>
                <w:sz w:val="20"/>
              </w:rPr>
            </w:pPr>
          </w:p>
          <w:p w14:paraId="6F0B01D1" w14:textId="77777777" w:rsidR="003B4E71" w:rsidRPr="00A8316A" w:rsidRDefault="003B4E71" w:rsidP="003B4E71">
            <w:pPr>
              <w:pStyle w:val="LCATabla"/>
              <w:spacing w:line="360" w:lineRule="auto"/>
              <w:rPr>
                <w:rFonts w:ascii="Arial" w:hAnsi="Arial" w:cs="Arial"/>
                <w:sz w:val="20"/>
              </w:rPr>
            </w:pPr>
          </w:p>
          <w:p w14:paraId="145192CF"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Tabla 4 OC 35/2014</w:t>
            </w:r>
          </w:p>
        </w:tc>
        <w:tc>
          <w:tcPr>
            <w:tcW w:w="1842" w:type="dxa"/>
            <w:tcBorders>
              <w:top w:val="single" w:sz="4" w:space="0" w:color="auto"/>
              <w:left w:val="nil"/>
              <w:bottom w:val="single" w:sz="4" w:space="0" w:color="auto"/>
              <w:right w:val="single" w:sz="12" w:space="0" w:color="auto"/>
            </w:tcBorders>
            <w:hideMark/>
          </w:tcPr>
          <w:p w14:paraId="1879C79F"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Medición con cinta</w:t>
            </w:r>
          </w:p>
        </w:tc>
      </w:tr>
      <w:tr w:rsidR="003B4E71" w:rsidRPr="00A8316A" w14:paraId="095A8888" w14:textId="77777777" w:rsidTr="003B4E71">
        <w:trPr>
          <w:trHeight w:val="540"/>
        </w:trPr>
        <w:tc>
          <w:tcPr>
            <w:tcW w:w="5457" w:type="dxa"/>
            <w:tcBorders>
              <w:top w:val="single" w:sz="4" w:space="0" w:color="auto"/>
              <w:left w:val="single" w:sz="12" w:space="0" w:color="auto"/>
              <w:bottom w:val="single" w:sz="4" w:space="0" w:color="auto"/>
              <w:right w:val="nil"/>
            </w:tcBorders>
            <w:hideMark/>
          </w:tcPr>
          <w:p w14:paraId="00626C7E" w14:textId="77777777" w:rsidR="003B4E71" w:rsidRPr="00A8316A" w:rsidRDefault="003B4E71" w:rsidP="003B4E71">
            <w:pPr>
              <w:pStyle w:val="LCATabla"/>
              <w:spacing w:line="360" w:lineRule="auto"/>
              <w:rPr>
                <w:rFonts w:ascii="Arial" w:hAnsi="Arial" w:cs="Arial"/>
                <w:b/>
                <w:sz w:val="20"/>
              </w:rPr>
            </w:pPr>
            <w:r w:rsidRPr="00A8316A">
              <w:rPr>
                <w:rFonts w:ascii="Arial" w:hAnsi="Arial" w:cs="Arial"/>
                <w:b/>
                <w:sz w:val="20"/>
              </w:rPr>
              <w:t>Posición transversal:</w:t>
            </w:r>
          </w:p>
          <w:p w14:paraId="5AE8DE5C"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 xml:space="preserve">Distancia a obstáculo o </w:t>
            </w:r>
            <w:proofErr w:type="gramStart"/>
            <w:r w:rsidRPr="00A8316A">
              <w:rPr>
                <w:rFonts w:ascii="Arial" w:hAnsi="Arial" w:cs="Arial"/>
                <w:sz w:val="20"/>
              </w:rPr>
              <w:t>desnivel  ≥</w:t>
            </w:r>
            <w:proofErr w:type="gramEnd"/>
            <w:r w:rsidRPr="00A8316A">
              <w:rPr>
                <w:rFonts w:ascii="Arial" w:hAnsi="Arial" w:cs="Arial"/>
                <w:sz w:val="20"/>
              </w:rPr>
              <w:t xml:space="preserve"> W, con una tolerancia de -5 cm.</w:t>
            </w:r>
          </w:p>
        </w:tc>
        <w:tc>
          <w:tcPr>
            <w:tcW w:w="2410" w:type="dxa"/>
            <w:tcBorders>
              <w:top w:val="single" w:sz="4" w:space="0" w:color="auto"/>
              <w:left w:val="nil"/>
              <w:bottom w:val="single" w:sz="4" w:space="0" w:color="auto"/>
              <w:right w:val="nil"/>
            </w:tcBorders>
          </w:tcPr>
          <w:p w14:paraId="32A75F4B"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OC 35/2014</w:t>
            </w:r>
          </w:p>
          <w:p w14:paraId="59FF8960" w14:textId="77777777" w:rsidR="003B4E71" w:rsidRPr="00A8316A" w:rsidRDefault="003B4E71" w:rsidP="003B4E71">
            <w:pPr>
              <w:pStyle w:val="LCATabla"/>
              <w:spacing w:line="360" w:lineRule="auto"/>
              <w:rPr>
                <w:rFonts w:ascii="Arial" w:hAnsi="Arial" w:cs="Arial"/>
                <w:sz w:val="20"/>
              </w:rPr>
            </w:pPr>
          </w:p>
        </w:tc>
        <w:tc>
          <w:tcPr>
            <w:tcW w:w="1842" w:type="dxa"/>
            <w:tcBorders>
              <w:top w:val="single" w:sz="4" w:space="0" w:color="auto"/>
              <w:left w:val="nil"/>
              <w:bottom w:val="single" w:sz="4" w:space="0" w:color="auto"/>
              <w:right w:val="single" w:sz="12" w:space="0" w:color="auto"/>
            </w:tcBorders>
            <w:hideMark/>
          </w:tcPr>
          <w:p w14:paraId="3B460C81"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Medición con cinta</w:t>
            </w:r>
          </w:p>
        </w:tc>
      </w:tr>
      <w:tr w:rsidR="003B4E71" w:rsidRPr="00A8316A" w14:paraId="4ACCF95C" w14:textId="77777777" w:rsidTr="003B4E71">
        <w:trPr>
          <w:trHeight w:val="540"/>
        </w:trPr>
        <w:tc>
          <w:tcPr>
            <w:tcW w:w="5457" w:type="dxa"/>
            <w:tcBorders>
              <w:top w:val="single" w:sz="4" w:space="0" w:color="auto"/>
              <w:left w:val="single" w:sz="12" w:space="0" w:color="auto"/>
              <w:bottom w:val="single" w:sz="4" w:space="0" w:color="auto"/>
              <w:right w:val="nil"/>
            </w:tcBorders>
            <w:hideMark/>
          </w:tcPr>
          <w:p w14:paraId="713490CF" w14:textId="77777777" w:rsidR="003B4E71" w:rsidRPr="00A8316A" w:rsidRDefault="003B4E71" w:rsidP="003B4E71">
            <w:pPr>
              <w:pStyle w:val="LCATabla"/>
              <w:spacing w:line="360" w:lineRule="auto"/>
              <w:rPr>
                <w:rFonts w:ascii="Arial" w:hAnsi="Arial" w:cs="Arial"/>
                <w:b/>
                <w:sz w:val="20"/>
              </w:rPr>
            </w:pPr>
            <w:r w:rsidRPr="00A8316A">
              <w:rPr>
                <w:rFonts w:ascii="Arial" w:hAnsi="Arial" w:cs="Arial"/>
                <w:b/>
                <w:sz w:val="20"/>
              </w:rPr>
              <w:t>Posición en altura:</w:t>
            </w:r>
          </w:p>
          <w:p w14:paraId="08A45960" w14:textId="77777777" w:rsidR="003B4E71" w:rsidRPr="00A8316A" w:rsidRDefault="003B4E71" w:rsidP="003B4E71">
            <w:pPr>
              <w:pStyle w:val="LCATabla"/>
              <w:spacing w:line="360" w:lineRule="auto"/>
              <w:rPr>
                <w:rFonts w:ascii="Arial" w:hAnsi="Arial" w:cs="Arial"/>
                <w:b/>
                <w:sz w:val="20"/>
              </w:rPr>
            </w:pPr>
            <w:r w:rsidRPr="00A8316A">
              <w:rPr>
                <w:rFonts w:ascii="Arial" w:hAnsi="Arial" w:cs="Arial"/>
                <w:sz w:val="20"/>
              </w:rPr>
              <w:t>La distancia entre base de la barrera y el pavimento no excederá de 7 cm. en ningún caso.</w:t>
            </w:r>
          </w:p>
        </w:tc>
        <w:tc>
          <w:tcPr>
            <w:tcW w:w="2410" w:type="dxa"/>
            <w:tcBorders>
              <w:top w:val="single" w:sz="4" w:space="0" w:color="auto"/>
              <w:left w:val="nil"/>
              <w:bottom w:val="single" w:sz="4" w:space="0" w:color="auto"/>
              <w:right w:val="nil"/>
            </w:tcBorders>
          </w:tcPr>
          <w:p w14:paraId="24057B3D" w14:textId="77777777" w:rsidR="003B4E71" w:rsidRPr="00A8316A" w:rsidRDefault="003B4E71" w:rsidP="003B4E71">
            <w:pPr>
              <w:pStyle w:val="LCATabla"/>
              <w:spacing w:line="360" w:lineRule="auto"/>
              <w:rPr>
                <w:rFonts w:ascii="Arial" w:hAnsi="Arial" w:cs="Arial"/>
                <w:sz w:val="20"/>
              </w:rPr>
            </w:pPr>
          </w:p>
        </w:tc>
        <w:tc>
          <w:tcPr>
            <w:tcW w:w="1842" w:type="dxa"/>
            <w:tcBorders>
              <w:top w:val="single" w:sz="4" w:space="0" w:color="auto"/>
              <w:left w:val="nil"/>
              <w:bottom w:val="single" w:sz="4" w:space="0" w:color="auto"/>
              <w:right w:val="single" w:sz="12" w:space="0" w:color="auto"/>
            </w:tcBorders>
            <w:hideMark/>
          </w:tcPr>
          <w:p w14:paraId="015591F4"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Medición con cinta</w:t>
            </w:r>
          </w:p>
        </w:tc>
      </w:tr>
      <w:tr w:rsidR="003B4E71" w:rsidRPr="00A8316A" w14:paraId="0365FC5E" w14:textId="77777777" w:rsidTr="003B4E71">
        <w:trPr>
          <w:trHeight w:val="540"/>
        </w:trPr>
        <w:tc>
          <w:tcPr>
            <w:tcW w:w="5457" w:type="dxa"/>
            <w:tcBorders>
              <w:top w:val="single" w:sz="4" w:space="0" w:color="auto"/>
              <w:left w:val="single" w:sz="12" w:space="0" w:color="auto"/>
              <w:bottom w:val="single" w:sz="4" w:space="0" w:color="auto"/>
              <w:right w:val="nil"/>
            </w:tcBorders>
            <w:hideMark/>
          </w:tcPr>
          <w:p w14:paraId="34870F59" w14:textId="77777777" w:rsidR="003B4E71" w:rsidRPr="00A8316A" w:rsidRDefault="003B4E71" w:rsidP="003B4E71">
            <w:pPr>
              <w:pStyle w:val="LCATabla"/>
              <w:spacing w:line="360" w:lineRule="auto"/>
              <w:rPr>
                <w:rFonts w:ascii="Arial" w:hAnsi="Arial" w:cs="Arial"/>
                <w:b/>
                <w:sz w:val="20"/>
              </w:rPr>
            </w:pPr>
            <w:r w:rsidRPr="00A8316A">
              <w:rPr>
                <w:rFonts w:ascii="Arial" w:hAnsi="Arial" w:cs="Arial"/>
                <w:b/>
                <w:sz w:val="20"/>
              </w:rPr>
              <w:t>Altura de la barrera:</w:t>
            </w:r>
          </w:p>
          <w:p w14:paraId="3C648EDE"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Tolerancia en menos: la indicada en la ficha de especificaciones técnicas del suministrador</w:t>
            </w:r>
          </w:p>
          <w:p w14:paraId="78C9A3B3"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Tolerancia en más: la indicada en la ficha de especificaciones técnicas del suministrador</w:t>
            </w:r>
          </w:p>
        </w:tc>
        <w:tc>
          <w:tcPr>
            <w:tcW w:w="2410" w:type="dxa"/>
            <w:tcBorders>
              <w:top w:val="single" w:sz="4" w:space="0" w:color="auto"/>
              <w:left w:val="nil"/>
              <w:bottom w:val="single" w:sz="4" w:space="0" w:color="auto"/>
              <w:right w:val="nil"/>
            </w:tcBorders>
          </w:tcPr>
          <w:p w14:paraId="6A9A0E0C" w14:textId="77777777" w:rsidR="003B4E71" w:rsidRPr="00A8316A" w:rsidRDefault="003B4E71" w:rsidP="003B4E71">
            <w:pPr>
              <w:pStyle w:val="LCATabla"/>
              <w:spacing w:line="360" w:lineRule="auto"/>
              <w:rPr>
                <w:rFonts w:ascii="Arial" w:hAnsi="Arial" w:cs="Arial"/>
                <w:sz w:val="20"/>
              </w:rPr>
            </w:pPr>
          </w:p>
        </w:tc>
        <w:tc>
          <w:tcPr>
            <w:tcW w:w="1842" w:type="dxa"/>
            <w:tcBorders>
              <w:top w:val="single" w:sz="4" w:space="0" w:color="auto"/>
              <w:left w:val="nil"/>
              <w:bottom w:val="single" w:sz="4" w:space="0" w:color="auto"/>
              <w:right w:val="single" w:sz="12" w:space="0" w:color="auto"/>
            </w:tcBorders>
            <w:hideMark/>
          </w:tcPr>
          <w:p w14:paraId="3319E4A9"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Medición con cinta</w:t>
            </w:r>
          </w:p>
        </w:tc>
      </w:tr>
      <w:tr w:rsidR="003B4E71" w:rsidRPr="00A8316A" w14:paraId="1C842CA3" w14:textId="77777777" w:rsidTr="003B4E71">
        <w:trPr>
          <w:trHeight w:val="540"/>
        </w:trPr>
        <w:tc>
          <w:tcPr>
            <w:tcW w:w="5457" w:type="dxa"/>
            <w:tcBorders>
              <w:top w:val="single" w:sz="4" w:space="0" w:color="auto"/>
              <w:left w:val="single" w:sz="12" w:space="0" w:color="auto"/>
              <w:bottom w:val="single" w:sz="4" w:space="0" w:color="auto"/>
              <w:right w:val="nil"/>
            </w:tcBorders>
            <w:hideMark/>
          </w:tcPr>
          <w:p w14:paraId="7A8F54DF" w14:textId="77777777" w:rsidR="003B4E71" w:rsidRPr="00A8316A" w:rsidRDefault="003B4E71" w:rsidP="003B4E71">
            <w:pPr>
              <w:pStyle w:val="LCATabla"/>
              <w:spacing w:line="360" w:lineRule="auto"/>
              <w:rPr>
                <w:rFonts w:ascii="Arial" w:hAnsi="Arial" w:cs="Arial"/>
                <w:b/>
                <w:sz w:val="20"/>
              </w:rPr>
            </w:pPr>
            <w:r w:rsidRPr="00A8316A">
              <w:rPr>
                <w:rFonts w:ascii="Arial" w:hAnsi="Arial" w:cs="Arial"/>
                <w:b/>
                <w:sz w:val="20"/>
              </w:rPr>
              <w:t>Longitud de barrera:</w:t>
            </w:r>
          </w:p>
          <w:p w14:paraId="67B7EE17" w14:textId="77777777" w:rsidR="003B4E71" w:rsidRPr="00A8316A" w:rsidRDefault="003B4E71" w:rsidP="003B4E71">
            <w:pPr>
              <w:pStyle w:val="LCATabla"/>
              <w:spacing w:line="360" w:lineRule="auto"/>
              <w:rPr>
                <w:rFonts w:ascii="Arial" w:hAnsi="Arial" w:cs="Arial"/>
                <w:b/>
                <w:sz w:val="20"/>
              </w:rPr>
            </w:pPr>
            <w:r w:rsidRPr="00A8316A">
              <w:rPr>
                <w:rFonts w:ascii="Arial" w:hAnsi="Arial" w:cs="Arial"/>
                <w:sz w:val="20"/>
              </w:rPr>
              <w:t>Longitud mínima de barrera: la indicada en la ficha de especificaciones técnicas del suministrado.</w:t>
            </w:r>
          </w:p>
        </w:tc>
        <w:tc>
          <w:tcPr>
            <w:tcW w:w="2410" w:type="dxa"/>
            <w:tcBorders>
              <w:top w:val="single" w:sz="4" w:space="0" w:color="auto"/>
              <w:left w:val="nil"/>
              <w:bottom w:val="single" w:sz="4" w:space="0" w:color="auto"/>
              <w:right w:val="nil"/>
            </w:tcBorders>
          </w:tcPr>
          <w:p w14:paraId="1635C498" w14:textId="77777777" w:rsidR="003B4E71" w:rsidRPr="00A8316A" w:rsidRDefault="003B4E71" w:rsidP="003B4E71">
            <w:pPr>
              <w:pStyle w:val="LCATabla"/>
              <w:spacing w:line="360" w:lineRule="auto"/>
              <w:rPr>
                <w:rFonts w:ascii="Arial" w:hAnsi="Arial" w:cs="Arial"/>
                <w:sz w:val="20"/>
              </w:rPr>
            </w:pPr>
          </w:p>
        </w:tc>
        <w:tc>
          <w:tcPr>
            <w:tcW w:w="1842" w:type="dxa"/>
            <w:tcBorders>
              <w:top w:val="single" w:sz="4" w:space="0" w:color="auto"/>
              <w:left w:val="nil"/>
              <w:bottom w:val="single" w:sz="4" w:space="0" w:color="auto"/>
              <w:right w:val="single" w:sz="12" w:space="0" w:color="auto"/>
            </w:tcBorders>
            <w:vAlign w:val="center"/>
            <w:hideMark/>
          </w:tcPr>
          <w:p w14:paraId="27C3C5B3"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Medición con odómetro o topográfica.</w:t>
            </w:r>
          </w:p>
        </w:tc>
      </w:tr>
      <w:tr w:rsidR="003B4E71" w:rsidRPr="00A8316A" w14:paraId="5EB2CF66" w14:textId="77777777" w:rsidTr="003B4E71">
        <w:trPr>
          <w:trHeight w:val="540"/>
        </w:trPr>
        <w:tc>
          <w:tcPr>
            <w:tcW w:w="5457" w:type="dxa"/>
            <w:tcBorders>
              <w:top w:val="single" w:sz="4" w:space="0" w:color="auto"/>
              <w:left w:val="single" w:sz="12" w:space="0" w:color="auto"/>
              <w:bottom w:val="single" w:sz="4" w:space="0" w:color="auto"/>
              <w:right w:val="nil"/>
            </w:tcBorders>
            <w:hideMark/>
          </w:tcPr>
          <w:p w14:paraId="15B11D11" w14:textId="77777777" w:rsidR="003B4E71" w:rsidRPr="00A8316A" w:rsidRDefault="003B4E71" w:rsidP="003B4E71">
            <w:pPr>
              <w:pStyle w:val="LCATabla"/>
              <w:spacing w:line="360" w:lineRule="auto"/>
              <w:jc w:val="both"/>
              <w:rPr>
                <w:rFonts w:ascii="Arial" w:hAnsi="Arial" w:cs="Arial"/>
                <w:b/>
                <w:sz w:val="20"/>
              </w:rPr>
            </w:pPr>
            <w:r w:rsidRPr="00A8316A">
              <w:rPr>
                <w:rFonts w:ascii="Arial" w:hAnsi="Arial" w:cs="Arial"/>
                <w:b/>
                <w:sz w:val="20"/>
              </w:rPr>
              <w:t xml:space="preserve">Anticipación y prolongación de la barrera: </w:t>
            </w:r>
          </w:p>
          <w:p w14:paraId="46B4E353" w14:textId="77777777" w:rsidR="003B4E71" w:rsidRPr="00A8316A" w:rsidRDefault="003B4E71" w:rsidP="003B4E71">
            <w:pPr>
              <w:pStyle w:val="LCATabla"/>
              <w:spacing w:line="360" w:lineRule="auto"/>
              <w:rPr>
                <w:rFonts w:ascii="Arial" w:hAnsi="Arial" w:cs="Arial"/>
                <w:b/>
                <w:sz w:val="20"/>
              </w:rPr>
            </w:pPr>
            <w:r w:rsidRPr="00A8316A">
              <w:rPr>
                <w:rFonts w:ascii="Arial" w:hAnsi="Arial" w:cs="Arial"/>
                <w:sz w:val="20"/>
              </w:rPr>
              <w:t>Clase, nivel de contención y longitudes mínimas indicadas en planos de proyecto.</w:t>
            </w:r>
          </w:p>
        </w:tc>
        <w:tc>
          <w:tcPr>
            <w:tcW w:w="2410" w:type="dxa"/>
            <w:tcBorders>
              <w:top w:val="single" w:sz="4" w:space="0" w:color="auto"/>
              <w:left w:val="nil"/>
              <w:bottom w:val="single" w:sz="4" w:space="0" w:color="auto"/>
              <w:right w:val="nil"/>
            </w:tcBorders>
          </w:tcPr>
          <w:p w14:paraId="2481D24D" w14:textId="77777777" w:rsidR="003B4E71" w:rsidRPr="00A8316A" w:rsidRDefault="003B4E71" w:rsidP="003B4E71">
            <w:pPr>
              <w:pStyle w:val="LCATabla"/>
              <w:spacing w:line="360" w:lineRule="auto"/>
              <w:rPr>
                <w:rFonts w:ascii="Arial" w:hAnsi="Arial" w:cs="Arial"/>
                <w:sz w:val="20"/>
              </w:rPr>
            </w:pPr>
          </w:p>
          <w:p w14:paraId="236DA413" w14:textId="77777777" w:rsidR="003B4E71" w:rsidRPr="00A8316A" w:rsidRDefault="003B4E71" w:rsidP="003B4E71">
            <w:pPr>
              <w:pStyle w:val="LCATabla"/>
              <w:spacing w:line="360" w:lineRule="auto"/>
              <w:rPr>
                <w:rFonts w:ascii="Arial" w:hAnsi="Arial" w:cs="Arial"/>
                <w:sz w:val="20"/>
              </w:rPr>
            </w:pPr>
          </w:p>
        </w:tc>
        <w:tc>
          <w:tcPr>
            <w:tcW w:w="1842" w:type="dxa"/>
            <w:tcBorders>
              <w:top w:val="single" w:sz="4" w:space="0" w:color="auto"/>
              <w:left w:val="nil"/>
              <w:bottom w:val="single" w:sz="4" w:space="0" w:color="auto"/>
              <w:right w:val="single" w:sz="12" w:space="0" w:color="auto"/>
            </w:tcBorders>
            <w:vAlign w:val="center"/>
            <w:hideMark/>
          </w:tcPr>
          <w:p w14:paraId="403C270C"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Medición con odómetro o topográfica</w:t>
            </w:r>
          </w:p>
        </w:tc>
      </w:tr>
      <w:tr w:rsidR="003B4E71" w:rsidRPr="00A8316A" w14:paraId="349CCF77" w14:textId="77777777" w:rsidTr="003B4E71">
        <w:trPr>
          <w:trHeight w:val="540"/>
        </w:trPr>
        <w:tc>
          <w:tcPr>
            <w:tcW w:w="5457" w:type="dxa"/>
            <w:tcBorders>
              <w:top w:val="single" w:sz="4" w:space="0" w:color="auto"/>
              <w:left w:val="single" w:sz="12" w:space="0" w:color="auto"/>
              <w:bottom w:val="single" w:sz="12" w:space="0" w:color="auto"/>
              <w:right w:val="nil"/>
            </w:tcBorders>
            <w:hideMark/>
          </w:tcPr>
          <w:p w14:paraId="0CCB664E"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Desviación de la inclinación respecto de la perpendicular a la plataforma &lt; 1º</w:t>
            </w:r>
          </w:p>
        </w:tc>
        <w:tc>
          <w:tcPr>
            <w:tcW w:w="2410" w:type="dxa"/>
            <w:tcBorders>
              <w:top w:val="single" w:sz="4" w:space="0" w:color="auto"/>
              <w:left w:val="nil"/>
              <w:bottom w:val="single" w:sz="12" w:space="0" w:color="auto"/>
              <w:right w:val="nil"/>
            </w:tcBorders>
          </w:tcPr>
          <w:p w14:paraId="7220878A"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OC 35/2014</w:t>
            </w:r>
          </w:p>
          <w:p w14:paraId="64FCA4BA" w14:textId="77777777" w:rsidR="003B4E71" w:rsidRPr="00A8316A" w:rsidRDefault="003B4E71" w:rsidP="003B4E71">
            <w:pPr>
              <w:pStyle w:val="LCATabla"/>
              <w:spacing w:line="360" w:lineRule="auto"/>
              <w:rPr>
                <w:rFonts w:ascii="Arial" w:hAnsi="Arial" w:cs="Arial"/>
                <w:sz w:val="20"/>
              </w:rPr>
            </w:pPr>
          </w:p>
        </w:tc>
        <w:tc>
          <w:tcPr>
            <w:tcW w:w="1842" w:type="dxa"/>
            <w:tcBorders>
              <w:top w:val="single" w:sz="4" w:space="0" w:color="auto"/>
              <w:left w:val="nil"/>
              <w:bottom w:val="single" w:sz="12" w:space="0" w:color="auto"/>
              <w:right w:val="single" w:sz="12" w:space="0" w:color="auto"/>
            </w:tcBorders>
            <w:vAlign w:val="center"/>
            <w:hideMark/>
          </w:tcPr>
          <w:p w14:paraId="4B486D7A" w14:textId="77777777" w:rsidR="003B4E71" w:rsidRPr="00A8316A" w:rsidRDefault="003B4E71" w:rsidP="003B4E71">
            <w:pPr>
              <w:pStyle w:val="LCATabla"/>
              <w:spacing w:line="360" w:lineRule="auto"/>
              <w:rPr>
                <w:rFonts w:ascii="Arial" w:hAnsi="Arial" w:cs="Arial"/>
                <w:sz w:val="20"/>
              </w:rPr>
            </w:pPr>
            <w:r w:rsidRPr="00A8316A">
              <w:rPr>
                <w:rFonts w:ascii="Arial" w:hAnsi="Arial" w:cs="Arial"/>
                <w:sz w:val="20"/>
              </w:rPr>
              <w:t>Medición con inclinómetro y regla</w:t>
            </w:r>
          </w:p>
        </w:tc>
      </w:tr>
    </w:tbl>
    <w:p w14:paraId="7ECFE284" w14:textId="77777777" w:rsidR="003B4E71" w:rsidRDefault="003B4E71" w:rsidP="003B4E71">
      <w:pPr>
        <w:pStyle w:val="Descripcin"/>
      </w:pPr>
    </w:p>
    <w:p w14:paraId="0831DD70" w14:textId="77777777" w:rsidR="003B4E71" w:rsidRPr="00F476CB" w:rsidRDefault="003B4E71" w:rsidP="003B4E71">
      <w:pPr>
        <w:pStyle w:val="NORMAL12"/>
        <w:rPr>
          <w:lang w:val="es-ES"/>
        </w:rPr>
      </w:pPr>
      <w:r w:rsidRPr="00F476CB">
        <w:rPr>
          <w:i/>
          <w:u w:val="single"/>
        </w:rPr>
        <w:t>Tratamiento de No Conformidades</w:t>
      </w:r>
    </w:p>
    <w:p w14:paraId="7C08D259" w14:textId="77777777" w:rsidR="003B4E71" w:rsidRPr="00F476CB" w:rsidRDefault="003B4E71" w:rsidP="003B4E71">
      <w:pPr>
        <w:pStyle w:val="NORMAL12"/>
      </w:pPr>
      <w:r w:rsidRPr="00F476CB">
        <w:t>Si alguno de los parámetros de aceptación final no se cumpliera o la barrera instalada no cumple con los parámetros de diseño definidos en la unidad, no se aceptará la unidad mientras no se subsane la deficiencia. La corrección de las deficiencias correrá íntegramente por cuenta del Contratista.</w:t>
      </w:r>
    </w:p>
    <w:p w14:paraId="797A972A" w14:textId="77777777" w:rsidR="003B4E71" w:rsidRPr="00F476CB" w:rsidRDefault="003B4E71" w:rsidP="000313DD">
      <w:pPr>
        <w:pStyle w:val="TITU2"/>
      </w:pPr>
      <w:bookmarkStart w:id="1219" w:name="_Toc404634"/>
      <w:r w:rsidRPr="00F476CB">
        <w:lastRenderedPageBreak/>
        <w:t>707.8. Periodo de garantía</w:t>
      </w:r>
      <w:bookmarkEnd w:id="1219"/>
    </w:p>
    <w:p w14:paraId="6F0629C1" w14:textId="77777777" w:rsidR="00AD4076" w:rsidRPr="00F476CB" w:rsidRDefault="003B4E71" w:rsidP="003B4E71">
      <w:pPr>
        <w:pStyle w:val="NORMAL12"/>
      </w:pPr>
      <w:r w:rsidRPr="00F476CB">
        <w:t xml:space="preserve">El período de garantía de los elementos constituyentes de los sistemas de contención que no hayan sido objeto de arrancamiento, rotura o deformación por la acción del tráfico, fabricados e instalados con carácter permanente según las normas y pliegos de prescripciones técnicas aplicables, así como conservados regularmente de acuerdo con las instrucciones facilitadas </w:t>
      </w:r>
      <w:r w:rsidR="00217216" w:rsidRPr="00F476CB">
        <w:t>por el</w:t>
      </w:r>
      <w:r w:rsidRPr="00F476CB">
        <w:t xml:space="preserve"> fabricante, será de dos (2) años, contabilizados desde la fecha de su instalación.</w:t>
      </w:r>
    </w:p>
    <w:p w14:paraId="5A7CC8EC" w14:textId="77777777" w:rsidR="002B430C" w:rsidRDefault="002B430C" w:rsidP="000313DD">
      <w:pPr>
        <w:pStyle w:val="TITU2"/>
      </w:pPr>
      <w:bookmarkStart w:id="1220" w:name="_Toc492538156"/>
      <w:bookmarkStart w:id="1221" w:name="_Toc352530403"/>
      <w:bookmarkStart w:id="1222" w:name="_Toc351922198"/>
      <w:bookmarkStart w:id="1223" w:name="_Toc351921635"/>
      <w:bookmarkStart w:id="1224" w:name="_Toc351921354"/>
      <w:bookmarkStart w:id="1225" w:name="_Toc351921073"/>
      <w:bookmarkStart w:id="1226" w:name="_Toc404635"/>
      <w:r w:rsidRPr="00F27B28">
        <w:t>707.</w:t>
      </w:r>
      <w:r w:rsidR="00F476CB">
        <w:t>9</w:t>
      </w:r>
      <w:r w:rsidRPr="00F27B28">
        <w:t>.</w:t>
      </w:r>
      <w:r w:rsidR="00696EE5">
        <w:t xml:space="preserve"> </w:t>
      </w:r>
      <w:r w:rsidRPr="00F27B28">
        <w:tab/>
        <w:t>Medición y abono</w:t>
      </w:r>
      <w:bookmarkEnd w:id="1220"/>
      <w:bookmarkEnd w:id="1221"/>
      <w:bookmarkEnd w:id="1222"/>
      <w:bookmarkEnd w:id="1223"/>
      <w:bookmarkEnd w:id="1224"/>
      <w:bookmarkEnd w:id="1225"/>
      <w:bookmarkEnd w:id="1226"/>
    </w:p>
    <w:p w14:paraId="0034F0A9" w14:textId="77777777" w:rsidR="002B430C" w:rsidRDefault="0009501F" w:rsidP="0009501F">
      <w:pPr>
        <w:pStyle w:val="NORMAL12"/>
      </w:pPr>
      <w:r>
        <w:t xml:space="preserve">La medición y abono de la </w:t>
      </w:r>
      <w:r w:rsidR="002B430C">
        <w:t>unida</w:t>
      </w:r>
      <w:r w:rsidR="00FF166B">
        <w:t xml:space="preserve">d de </w:t>
      </w:r>
      <w:r w:rsidR="00157701">
        <w:t>obra correspondiente</w:t>
      </w:r>
      <w:r w:rsidR="00FF166B">
        <w:t xml:space="preserve"> a </w:t>
      </w:r>
      <w:r w:rsidR="002B430C">
        <w:t xml:space="preserve">barreras de hormigón se </w:t>
      </w:r>
      <w:r>
        <w:t>realizará según las especificaciones s</w:t>
      </w:r>
      <w:r w:rsidR="002B430C">
        <w:t>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9"/>
        <w:gridCol w:w="5812"/>
      </w:tblGrid>
      <w:tr w:rsidR="002B430C" w14:paraId="4000EE14" w14:textId="77777777" w:rsidTr="002B430C">
        <w:tc>
          <w:tcPr>
            <w:tcW w:w="3189" w:type="dxa"/>
            <w:tcBorders>
              <w:top w:val="single" w:sz="4" w:space="0" w:color="auto"/>
              <w:left w:val="single" w:sz="4" w:space="0" w:color="auto"/>
              <w:bottom w:val="single" w:sz="4" w:space="0" w:color="auto"/>
              <w:right w:val="single" w:sz="4" w:space="0" w:color="auto"/>
            </w:tcBorders>
            <w:vAlign w:val="center"/>
            <w:hideMark/>
          </w:tcPr>
          <w:p w14:paraId="0A013E97" w14:textId="77777777" w:rsidR="002B430C" w:rsidRDefault="002B430C" w:rsidP="00401D51">
            <w:pPr>
              <w:pStyle w:val="LCATabla"/>
              <w:keepNext/>
              <w:keepLines/>
              <w:spacing w:line="360" w:lineRule="auto"/>
              <w:jc w:val="center"/>
              <w:rPr>
                <w:rFonts w:ascii="Arial" w:hAnsi="Arial" w:cs="Arial"/>
                <w:b/>
                <w:bCs/>
                <w:sz w:val="20"/>
              </w:rPr>
            </w:pPr>
            <w:r>
              <w:rPr>
                <w:rFonts w:ascii="Arial" w:hAnsi="Arial" w:cs="Arial"/>
                <w:b/>
                <w:bCs/>
                <w:sz w:val="20"/>
              </w:rPr>
              <w:t>Unidad de medida</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CCAED5D" w14:textId="77777777" w:rsidR="002B430C" w:rsidRPr="00CC738C" w:rsidRDefault="002B430C" w:rsidP="00CC738C">
            <w:pPr>
              <w:pStyle w:val="LCATabla"/>
              <w:keepNext/>
              <w:keepLines/>
              <w:spacing w:line="360" w:lineRule="auto"/>
              <w:jc w:val="both"/>
              <w:rPr>
                <w:rFonts w:ascii="Arial" w:hAnsi="Arial" w:cs="Arial"/>
                <w:sz w:val="20"/>
              </w:rPr>
            </w:pPr>
            <w:r w:rsidRPr="00CC738C">
              <w:rPr>
                <w:rFonts w:ascii="Arial" w:hAnsi="Arial" w:cs="Arial"/>
                <w:sz w:val="20"/>
              </w:rPr>
              <w:t>Metro (m).</w:t>
            </w:r>
          </w:p>
        </w:tc>
      </w:tr>
      <w:tr w:rsidR="002B430C" w14:paraId="6C8379CB" w14:textId="77777777" w:rsidTr="002B430C">
        <w:tc>
          <w:tcPr>
            <w:tcW w:w="3189" w:type="dxa"/>
            <w:tcBorders>
              <w:top w:val="single" w:sz="4" w:space="0" w:color="auto"/>
              <w:left w:val="single" w:sz="4" w:space="0" w:color="auto"/>
              <w:bottom w:val="single" w:sz="4" w:space="0" w:color="auto"/>
              <w:right w:val="single" w:sz="4" w:space="0" w:color="auto"/>
            </w:tcBorders>
            <w:vAlign w:val="center"/>
            <w:hideMark/>
          </w:tcPr>
          <w:p w14:paraId="7EBA5625" w14:textId="77777777" w:rsidR="002B430C" w:rsidRDefault="002B430C" w:rsidP="00401D51">
            <w:pPr>
              <w:pStyle w:val="LCATabla"/>
              <w:keepNext/>
              <w:keepLines/>
              <w:spacing w:line="360" w:lineRule="auto"/>
              <w:jc w:val="center"/>
              <w:rPr>
                <w:rFonts w:ascii="Arial" w:hAnsi="Arial" w:cs="Arial"/>
                <w:b/>
                <w:bCs/>
                <w:sz w:val="20"/>
              </w:rPr>
            </w:pPr>
            <w:r>
              <w:rPr>
                <w:rFonts w:ascii="Arial" w:hAnsi="Arial" w:cs="Arial"/>
                <w:b/>
                <w:bCs/>
                <w:sz w:val="20"/>
              </w:rPr>
              <w:t>Grado de precisión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D87C453" w14:textId="77777777" w:rsidR="002B430C" w:rsidRPr="00CC738C" w:rsidRDefault="002B430C" w:rsidP="00CC738C">
            <w:pPr>
              <w:pStyle w:val="LCATabla"/>
              <w:keepNext/>
              <w:keepLines/>
              <w:spacing w:line="360" w:lineRule="auto"/>
              <w:jc w:val="both"/>
              <w:rPr>
                <w:rFonts w:ascii="Arial" w:hAnsi="Arial" w:cs="Arial"/>
                <w:sz w:val="20"/>
              </w:rPr>
            </w:pPr>
            <w:r w:rsidRPr="00CC738C">
              <w:rPr>
                <w:rFonts w:ascii="Arial" w:hAnsi="Arial" w:cs="Arial"/>
                <w:sz w:val="20"/>
              </w:rPr>
              <w:t>Dos decimales.</w:t>
            </w:r>
          </w:p>
        </w:tc>
      </w:tr>
      <w:tr w:rsidR="002B430C" w14:paraId="36DB55F3" w14:textId="77777777" w:rsidTr="002B430C">
        <w:tc>
          <w:tcPr>
            <w:tcW w:w="3189" w:type="dxa"/>
            <w:tcBorders>
              <w:top w:val="single" w:sz="4" w:space="0" w:color="auto"/>
              <w:left w:val="single" w:sz="4" w:space="0" w:color="auto"/>
              <w:bottom w:val="single" w:sz="4" w:space="0" w:color="auto"/>
              <w:right w:val="single" w:sz="4" w:space="0" w:color="auto"/>
            </w:tcBorders>
            <w:vAlign w:val="center"/>
            <w:hideMark/>
          </w:tcPr>
          <w:p w14:paraId="0AE45231" w14:textId="77777777" w:rsidR="002B430C" w:rsidRDefault="002B430C" w:rsidP="00401D51">
            <w:pPr>
              <w:pStyle w:val="LCATabla"/>
              <w:keepNext/>
              <w:keepLines/>
              <w:spacing w:line="360" w:lineRule="auto"/>
              <w:jc w:val="center"/>
              <w:rPr>
                <w:rFonts w:ascii="Arial" w:hAnsi="Arial" w:cs="Arial"/>
                <w:b/>
                <w:bCs/>
                <w:sz w:val="20"/>
              </w:rPr>
            </w:pPr>
            <w:r>
              <w:rPr>
                <w:rFonts w:ascii="Arial" w:hAnsi="Arial" w:cs="Arial"/>
                <w:b/>
                <w:bCs/>
                <w:sz w:val="20"/>
              </w:rPr>
              <w:t>Forma de medición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431D593" w14:textId="77777777" w:rsidR="002B430C" w:rsidRPr="00CC738C" w:rsidRDefault="002B430C" w:rsidP="00CC738C">
            <w:pPr>
              <w:pStyle w:val="LCATabla"/>
              <w:keepNext/>
              <w:keepLines/>
              <w:spacing w:line="360" w:lineRule="auto"/>
              <w:jc w:val="both"/>
              <w:rPr>
                <w:rFonts w:ascii="Arial" w:hAnsi="Arial" w:cs="Arial"/>
                <w:sz w:val="20"/>
              </w:rPr>
            </w:pPr>
            <w:r w:rsidRPr="00CC738C">
              <w:rPr>
                <w:rFonts w:ascii="Arial" w:hAnsi="Arial" w:cs="Arial"/>
                <w:sz w:val="20"/>
              </w:rPr>
              <w:t>Longitud de barrera realmente colocada en obra.</w:t>
            </w:r>
          </w:p>
        </w:tc>
      </w:tr>
      <w:tr w:rsidR="002B430C" w14:paraId="75432FEB" w14:textId="77777777" w:rsidTr="002B430C">
        <w:tc>
          <w:tcPr>
            <w:tcW w:w="3189" w:type="dxa"/>
            <w:tcBorders>
              <w:top w:val="single" w:sz="4" w:space="0" w:color="auto"/>
              <w:left w:val="single" w:sz="4" w:space="0" w:color="auto"/>
              <w:bottom w:val="single" w:sz="4" w:space="0" w:color="auto"/>
              <w:right w:val="single" w:sz="4" w:space="0" w:color="auto"/>
            </w:tcBorders>
            <w:vAlign w:val="center"/>
            <w:hideMark/>
          </w:tcPr>
          <w:p w14:paraId="177D1456" w14:textId="77777777" w:rsidR="002B430C" w:rsidRDefault="002B430C" w:rsidP="00401D51">
            <w:pPr>
              <w:pStyle w:val="LCATabla"/>
              <w:keepNext/>
              <w:keepLines/>
              <w:spacing w:line="360" w:lineRule="auto"/>
              <w:jc w:val="center"/>
              <w:rPr>
                <w:rFonts w:ascii="Arial" w:hAnsi="Arial" w:cs="Arial"/>
                <w:b/>
                <w:bCs/>
                <w:sz w:val="20"/>
              </w:rPr>
            </w:pPr>
            <w:r>
              <w:rPr>
                <w:rFonts w:ascii="Arial" w:hAnsi="Arial" w:cs="Arial"/>
                <w:b/>
                <w:bCs/>
                <w:sz w:val="20"/>
              </w:rPr>
              <w:t>Abono</w:t>
            </w:r>
          </w:p>
        </w:tc>
        <w:tc>
          <w:tcPr>
            <w:tcW w:w="5812" w:type="dxa"/>
            <w:tcBorders>
              <w:top w:val="single" w:sz="4" w:space="0" w:color="auto"/>
              <w:left w:val="single" w:sz="4" w:space="0" w:color="auto"/>
              <w:bottom w:val="single" w:sz="4" w:space="0" w:color="auto"/>
              <w:right w:val="single" w:sz="4" w:space="0" w:color="auto"/>
            </w:tcBorders>
            <w:vAlign w:val="center"/>
            <w:hideMark/>
          </w:tcPr>
          <w:p w14:paraId="3481DE8A" w14:textId="77777777" w:rsidR="002B430C" w:rsidRPr="00CC738C" w:rsidRDefault="002B430C" w:rsidP="00CC738C">
            <w:pPr>
              <w:pStyle w:val="LCATabla"/>
              <w:keepNext/>
              <w:keepLines/>
              <w:spacing w:line="360" w:lineRule="auto"/>
              <w:jc w:val="both"/>
              <w:rPr>
                <w:rFonts w:ascii="Arial" w:hAnsi="Arial" w:cs="Arial"/>
                <w:sz w:val="20"/>
              </w:rPr>
            </w:pPr>
            <w:r w:rsidRPr="00CC738C">
              <w:rPr>
                <w:rFonts w:ascii="Arial" w:hAnsi="Arial" w:cs="Arial"/>
                <w:sz w:val="20"/>
              </w:rPr>
              <w:t>Se efectuará cuando se realice la aceptación.</w:t>
            </w:r>
          </w:p>
        </w:tc>
      </w:tr>
      <w:tr w:rsidR="002B430C" w14:paraId="14F12C19" w14:textId="77777777" w:rsidTr="002B430C">
        <w:tc>
          <w:tcPr>
            <w:tcW w:w="3189" w:type="dxa"/>
            <w:tcBorders>
              <w:top w:val="single" w:sz="4" w:space="0" w:color="auto"/>
              <w:left w:val="single" w:sz="4" w:space="0" w:color="auto"/>
              <w:bottom w:val="single" w:sz="4" w:space="0" w:color="auto"/>
              <w:right w:val="single" w:sz="4" w:space="0" w:color="auto"/>
            </w:tcBorders>
            <w:vAlign w:val="center"/>
            <w:hideMark/>
          </w:tcPr>
          <w:p w14:paraId="2D9237C5" w14:textId="77777777" w:rsidR="002B430C" w:rsidRDefault="002B430C" w:rsidP="00401D51">
            <w:pPr>
              <w:pStyle w:val="LCATabla"/>
              <w:keepNext/>
              <w:keepLines/>
              <w:spacing w:line="360" w:lineRule="auto"/>
              <w:jc w:val="center"/>
              <w:rPr>
                <w:rFonts w:ascii="Arial" w:hAnsi="Arial" w:cs="Arial"/>
                <w:b/>
                <w:bCs/>
                <w:sz w:val="20"/>
              </w:rPr>
            </w:pPr>
            <w:r>
              <w:rPr>
                <w:rFonts w:ascii="Arial" w:hAnsi="Arial" w:cs="Arial"/>
                <w:b/>
                <w:bCs/>
                <w:sz w:val="20"/>
              </w:rPr>
              <w:t>Criterios complementarios</w:t>
            </w:r>
          </w:p>
        </w:tc>
        <w:tc>
          <w:tcPr>
            <w:tcW w:w="5812" w:type="dxa"/>
            <w:tcBorders>
              <w:top w:val="single" w:sz="4" w:space="0" w:color="auto"/>
              <w:left w:val="single" w:sz="4" w:space="0" w:color="auto"/>
              <w:bottom w:val="single" w:sz="4" w:space="0" w:color="auto"/>
              <w:right w:val="single" w:sz="4" w:space="0" w:color="auto"/>
            </w:tcBorders>
            <w:vAlign w:val="center"/>
            <w:hideMark/>
          </w:tcPr>
          <w:p w14:paraId="5D723B89" w14:textId="77777777" w:rsidR="002B430C" w:rsidRPr="00CC738C" w:rsidRDefault="002B430C" w:rsidP="00CC738C">
            <w:pPr>
              <w:pStyle w:val="LCATabla"/>
              <w:keepNext/>
              <w:keepLines/>
              <w:spacing w:line="360" w:lineRule="auto"/>
              <w:jc w:val="both"/>
              <w:rPr>
                <w:rFonts w:ascii="Arial" w:hAnsi="Arial" w:cs="Arial"/>
                <w:sz w:val="20"/>
              </w:rPr>
            </w:pPr>
            <w:r w:rsidRPr="00CC738C">
              <w:rPr>
                <w:rFonts w:ascii="Arial" w:hAnsi="Arial" w:cs="Arial"/>
                <w:sz w:val="20"/>
              </w:rPr>
              <w:t>El precio incluye todos los medios y materiales necesarios para su instalación. Incluye también el precio de piezas especiales para el paso de juntas de dilatación.</w:t>
            </w:r>
          </w:p>
          <w:p w14:paraId="0262CEBD" w14:textId="77777777" w:rsidR="00991D8E" w:rsidRPr="00CC738C" w:rsidRDefault="00051823" w:rsidP="00CC738C">
            <w:pPr>
              <w:pStyle w:val="LCATabla"/>
              <w:keepNext/>
              <w:keepLines/>
              <w:spacing w:line="360" w:lineRule="auto"/>
              <w:jc w:val="both"/>
              <w:rPr>
                <w:rFonts w:ascii="Arial" w:hAnsi="Arial" w:cs="Arial"/>
                <w:sz w:val="20"/>
              </w:rPr>
            </w:pPr>
            <w:r w:rsidRPr="00CC738C">
              <w:rPr>
                <w:rFonts w:ascii="Arial" w:hAnsi="Arial" w:cs="Arial"/>
                <w:sz w:val="20"/>
              </w:rPr>
              <w:t>El precio de la unidad incluye todos los materiales y medios necesarios en el caso de realizarse la barrera in situ y que deben ser aprobados por el director de obra.</w:t>
            </w:r>
          </w:p>
          <w:p w14:paraId="23A1E594" w14:textId="77777777" w:rsidR="00F74B11" w:rsidRPr="00CC738C" w:rsidRDefault="00F74B11" w:rsidP="00CC738C">
            <w:pPr>
              <w:pStyle w:val="LCATabla"/>
              <w:keepNext/>
              <w:keepLines/>
              <w:spacing w:line="360" w:lineRule="auto"/>
              <w:jc w:val="both"/>
              <w:rPr>
                <w:rFonts w:ascii="Arial" w:hAnsi="Arial" w:cs="Arial"/>
                <w:sz w:val="20"/>
              </w:rPr>
            </w:pPr>
            <w:r w:rsidRPr="00CC738C">
              <w:rPr>
                <w:rFonts w:ascii="Arial" w:hAnsi="Arial" w:cs="Arial"/>
                <w:sz w:val="20"/>
              </w:rPr>
              <w:t xml:space="preserve">El precio incluye la disposición de </w:t>
            </w:r>
            <w:proofErr w:type="spellStart"/>
            <w:r w:rsidRPr="00CC738C">
              <w:rPr>
                <w:rFonts w:ascii="Arial" w:hAnsi="Arial" w:cs="Arial"/>
                <w:sz w:val="20"/>
              </w:rPr>
              <w:t>captafaros</w:t>
            </w:r>
            <w:proofErr w:type="spellEnd"/>
            <w:r w:rsidRPr="00CC738C">
              <w:rPr>
                <w:rFonts w:ascii="Arial" w:hAnsi="Arial" w:cs="Arial"/>
                <w:sz w:val="20"/>
              </w:rPr>
              <w:t xml:space="preserve"> con las condiciones establecidas en el artículo 703 del presente pliego</w:t>
            </w:r>
          </w:p>
        </w:tc>
      </w:tr>
    </w:tbl>
    <w:p w14:paraId="03357096" w14:textId="77777777" w:rsidR="002B430C" w:rsidRDefault="002B430C" w:rsidP="002B430C">
      <w:pPr>
        <w:rPr>
          <w:rFonts w:ascii="Arial" w:hAnsi="Arial"/>
          <w:sz w:val="22"/>
          <w:szCs w:val="20"/>
        </w:rPr>
      </w:pPr>
    </w:p>
    <w:p w14:paraId="342CD221" w14:textId="77777777" w:rsidR="002B430C" w:rsidRDefault="002B430C" w:rsidP="00E02E87">
      <w:pPr>
        <w:tabs>
          <w:tab w:val="left" w:pos="567"/>
          <w:tab w:val="left" w:pos="1134"/>
          <w:tab w:val="left" w:pos="1701"/>
        </w:tabs>
        <w:spacing w:line="360" w:lineRule="auto"/>
        <w:rPr>
          <w:rFonts w:ascii="Arial" w:hAnsi="Arial" w:cs="Arial"/>
          <w:b/>
          <w:color w:val="365F91" w:themeColor="accent1" w:themeShade="BF"/>
          <w:sz w:val="22"/>
          <w:lang w:val="es-ES_tradnl"/>
        </w:rPr>
      </w:pPr>
    </w:p>
    <w:p w14:paraId="36861934" w14:textId="77777777" w:rsidR="00BC0C1D" w:rsidRDefault="00BC0C1D" w:rsidP="00E02E87">
      <w:pPr>
        <w:tabs>
          <w:tab w:val="left" w:pos="567"/>
          <w:tab w:val="left" w:pos="1134"/>
          <w:tab w:val="left" w:pos="1701"/>
        </w:tabs>
        <w:spacing w:line="360" w:lineRule="auto"/>
        <w:rPr>
          <w:rFonts w:ascii="Arial" w:hAnsi="Arial" w:cs="Arial"/>
          <w:b/>
          <w:color w:val="365F91" w:themeColor="accent1" w:themeShade="BF"/>
          <w:sz w:val="22"/>
          <w:lang w:val="es-ES_tradnl"/>
        </w:rPr>
      </w:pPr>
    </w:p>
    <w:p w14:paraId="5181A8DF" w14:textId="77777777" w:rsidR="00180F67" w:rsidRPr="00180F67" w:rsidRDefault="00180F67" w:rsidP="00180F67">
      <w:pPr>
        <w:pStyle w:val="NORMAL12"/>
        <w:rPr>
          <w:highlight w:val="red"/>
        </w:rPr>
      </w:pPr>
    </w:p>
    <w:p w14:paraId="763849B3" w14:textId="77777777" w:rsidR="00E226EF" w:rsidRPr="005864C2" w:rsidRDefault="00E226EF" w:rsidP="00E226EF">
      <w:pPr>
        <w:tabs>
          <w:tab w:val="left" w:pos="567"/>
          <w:tab w:val="left" w:pos="1134"/>
          <w:tab w:val="left" w:pos="1701"/>
        </w:tabs>
        <w:spacing w:line="360" w:lineRule="auto"/>
        <w:rPr>
          <w:rFonts w:ascii="Arial" w:hAnsi="Arial" w:cs="Arial"/>
          <w:b/>
          <w:color w:val="365F91" w:themeColor="accent1" w:themeShade="BF"/>
          <w:sz w:val="22"/>
          <w:lang w:val="es-ES_tradnl"/>
        </w:rPr>
        <w:sectPr w:rsidR="00E226EF" w:rsidRPr="005864C2" w:rsidSect="003069BA">
          <w:type w:val="oddPage"/>
          <w:pgSz w:w="23814" w:h="16840" w:orient="landscape" w:code="8"/>
          <w:pgMar w:top="992" w:right="851" w:bottom="1418" w:left="851" w:header="567" w:footer="1021" w:gutter="1418"/>
          <w:cols w:num="2" w:space="1418"/>
        </w:sectPr>
      </w:pPr>
    </w:p>
    <w:p w14:paraId="68705E4C" w14:textId="77777777" w:rsidR="00667297" w:rsidRPr="005864C2" w:rsidRDefault="0065187F" w:rsidP="00667297">
      <w:pPr>
        <w:pStyle w:val="TtuloPortada"/>
        <w:jc w:val="right"/>
        <w:outlineLvl w:val="0"/>
        <w:rPr>
          <w:rFonts w:ascii="Arial" w:hAnsi="Arial" w:cs="Arial"/>
          <w:color w:val="365F91" w:themeColor="accent1" w:themeShade="BF"/>
        </w:rPr>
        <w:sectPr w:rsidR="00667297" w:rsidRPr="005864C2" w:rsidSect="003069BA">
          <w:type w:val="oddPage"/>
          <w:pgSz w:w="23814" w:h="16840" w:orient="landscape" w:code="8"/>
          <w:pgMar w:top="992" w:right="851" w:bottom="1418" w:left="851" w:header="567" w:footer="1021" w:gutter="1418"/>
          <w:cols w:num="2" w:space="1418"/>
        </w:sectPr>
      </w:pPr>
      <w:r w:rsidRPr="005864C2">
        <w:rPr>
          <w:color w:val="365F91" w:themeColor="accent1" w:themeShade="BF"/>
          <w:highlight w:val="green"/>
        </w:rPr>
        <w:lastRenderedPageBreak/>
        <w:br w:type="column"/>
      </w:r>
      <w:bookmarkStart w:id="1227" w:name="_Toc404636"/>
      <w:r w:rsidR="00667297" w:rsidRPr="00991D8E">
        <w:rPr>
          <w:rFonts w:ascii="Arial" w:hAnsi="Arial" w:cs="Arial"/>
        </w:rPr>
        <w:t>Parte 8.-  Varios</w:t>
      </w:r>
      <w:bookmarkEnd w:id="1227"/>
    </w:p>
    <w:p w14:paraId="39DE76A1" w14:textId="77777777" w:rsidR="00CA7035" w:rsidRPr="00991D8E" w:rsidRDefault="007E08F5" w:rsidP="006F6223">
      <w:pPr>
        <w:pStyle w:val="TITU1"/>
      </w:pPr>
      <w:bookmarkStart w:id="1228" w:name="_Toc404637"/>
      <w:bookmarkEnd w:id="0"/>
      <w:r>
        <w:lastRenderedPageBreak/>
        <w:t>Artículo 800.</w:t>
      </w:r>
      <w:r w:rsidR="00E1754B" w:rsidRPr="00991D8E">
        <w:t xml:space="preserve"> Transporte adicional</w:t>
      </w:r>
      <w:bookmarkEnd w:id="1228"/>
    </w:p>
    <w:p w14:paraId="2679E358" w14:textId="77777777" w:rsidR="008B20D6" w:rsidRPr="00991D8E" w:rsidRDefault="008B20D6" w:rsidP="000313DD">
      <w:pPr>
        <w:pStyle w:val="TITU2"/>
      </w:pPr>
      <w:bookmarkStart w:id="1229" w:name="_Toc404638"/>
      <w:r w:rsidRPr="00991D8E">
        <w:t>800.1. Definición</w:t>
      </w:r>
      <w:bookmarkEnd w:id="1229"/>
    </w:p>
    <w:p w14:paraId="2D136D2E" w14:textId="77777777" w:rsidR="00FA26C5" w:rsidRPr="00991D8E" w:rsidRDefault="00FA26C5" w:rsidP="00FA26C5">
      <w:pPr>
        <w:pStyle w:val="NORMAL12"/>
        <w:rPr>
          <w:lang w:val="es-ES"/>
        </w:rPr>
      </w:pPr>
      <w:r w:rsidRPr="00991D8E">
        <w:rPr>
          <w:lang w:val="es-ES"/>
        </w:rPr>
        <w:t>Se define como transporte adicional el correspondiente a recorridos adicionales a los máximos fijados en el Pliego de Prescripciones Técnicas Particulares. Por lo tanto, para que el transporte adicional sea considerado como unidad de obra, deberá estar expresamente indicado en dicho Pliego, así como los recorridos máximos antedichos. En caso contrario, se considerará que todo transporte está incluido en la unidad correspondiente, sea cual fuere el recorrido a realizar.</w:t>
      </w:r>
    </w:p>
    <w:p w14:paraId="5D5038C1" w14:textId="77777777" w:rsidR="00C36ABC" w:rsidRPr="00991D8E" w:rsidRDefault="00C36ABC" w:rsidP="00C36ABC">
      <w:pPr>
        <w:pStyle w:val="NORMAL12"/>
        <w:rPr>
          <w:lang w:val="es-ES"/>
        </w:rPr>
      </w:pPr>
      <w:r w:rsidRPr="00991D8E">
        <w:rPr>
          <w:lang w:val="es-ES"/>
        </w:rPr>
        <w:t xml:space="preserve">Las prescripciones del presente artículo </w:t>
      </w:r>
      <w:proofErr w:type="gramStart"/>
      <w:r w:rsidRPr="00991D8E">
        <w:rPr>
          <w:lang w:val="es-ES"/>
        </w:rPr>
        <w:t>son de aplicación</w:t>
      </w:r>
      <w:proofErr w:type="gramEnd"/>
      <w:r w:rsidRPr="00991D8E">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053"/>
        <w:gridCol w:w="804"/>
        <w:gridCol w:w="8063"/>
      </w:tblGrid>
      <w:tr w:rsidR="005864C2" w:rsidRPr="00991D8E" w14:paraId="53B403DD" w14:textId="77777777" w:rsidTr="001E5C25">
        <w:trPr>
          <w:trHeight w:val="300"/>
        </w:trPr>
        <w:tc>
          <w:tcPr>
            <w:tcW w:w="531" w:type="pct"/>
            <w:noWrap/>
          </w:tcPr>
          <w:p w14:paraId="699E230C" w14:textId="77777777" w:rsidR="00B16D76" w:rsidRPr="00F476CB" w:rsidRDefault="00B16D76">
            <w:pPr>
              <w:rPr>
                <w:rFonts w:ascii="Calibri" w:hAnsi="Calibri"/>
              </w:rPr>
            </w:pPr>
            <w:r w:rsidRPr="00F476CB">
              <w:rPr>
                <w:rFonts w:ascii="Calibri" w:hAnsi="Calibri"/>
              </w:rPr>
              <w:t xml:space="preserve">800.0010          </w:t>
            </w:r>
          </w:p>
        </w:tc>
        <w:tc>
          <w:tcPr>
            <w:tcW w:w="405" w:type="pct"/>
            <w:noWrap/>
          </w:tcPr>
          <w:p w14:paraId="72B36284" w14:textId="77777777" w:rsidR="00B16D76" w:rsidRPr="00F476CB" w:rsidRDefault="00B16D76">
            <w:pPr>
              <w:rPr>
                <w:rFonts w:ascii="Calibri" w:hAnsi="Calibri"/>
              </w:rPr>
            </w:pPr>
            <w:r w:rsidRPr="00F476CB">
              <w:rPr>
                <w:rFonts w:ascii="Calibri" w:hAnsi="Calibri"/>
              </w:rPr>
              <w:t>m³km</w:t>
            </w:r>
          </w:p>
        </w:tc>
        <w:tc>
          <w:tcPr>
            <w:tcW w:w="4064" w:type="pct"/>
          </w:tcPr>
          <w:p w14:paraId="66D75604" w14:textId="77777777" w:rsidR="00EA514B" w:rsidRPr="00F476CB" w:rsidRDefault="00EA514B" w:rsidP="00F95C5C">
            <w:pPr>
              <w:jc w:val="both"/>
              <w:rPr>
                <w:rFonts w:ascii="Calibri" w:hAnsi="Calibri"/>
              </w:rPr>
            </w:pPr>
            <w:r w:rsidRPr="00F476CB">
              <w:rPr>
                <w:rFonts w:ascii="Calibri" w:hAnsi="Calibri"/>
              </w:rPr>
              <w:t>TRANSPORTE SUPLEMENTARIO DE CUALQUIER TIPO DE MATERIAL PROVENIENTE DE LA EJECUCIÓN DE EXCAVACIONES O PARA LA CONSTRUCCIÓN DE RELLENOS (TERRAPLENES, PEDRAPLENES, TODO-UNO Y LOCALIZADOS), MEDIDO SOBRE PLANOS DE PROYECTO Y AUTORIZADO EXPRESAMENTE POR LA DIRECCIÓN DE OBRA, POR EL EXCESO SOBRE UNA DISTANCIA DE TRANSPORTE DE 10 km EN EL CASO DE PRÉSTAMOS O VERTEDEROS Y DE 30 km EN EL CASO DE CANTERAS.</w:t>
            </w:r>
          </w:p>
          <w:p w14:paraId="6E0BBF3A" w14:textId="77777777" w:rsidR="00B16D76" w:rsidRPr="00F476CB" w:rsidRDefault="00B16D76">
            <w:pPr>
              <w:rPr>
                <w:rFonts w:ascii="Calibri" w:hAnsi="Calibri"/>
              </w:rPr>
            </w:pPr>
          </w:p>
        </w:tc>
      </w:tr>
    </w:tbl>
    <w:p w14:paraId="3C050F6D" w14:textId="77777777" w:rsidR="008B20D6" w:rsidRPr="00FF166B" w:rsidRDefault="008B20D6" w:rsidP="004E59E3">
      <w:pPr>
        <w:pStyle w:val="NORMAL12"/>
        <w:rPr>
          <w:lang w:val="es-ES"/>
        </w:rPr>
      </w:pPr>
      <w:r w:rsidRPr="00FF166B">
        <w:rPr>
          <w:lang w:val="es-ES"/>
        </w:rPr>
        <w:t xml:space="preserve">En ningún caso se aplicará este concepto a los transportes que realice el Contratista como consecuencia de haber escogido voluntariamente procedencias de materiales, o zonas de depósito o vertedero, distintas de las que figuran en el Pliego de Prescripciones Técnicas Particulares o, en su defecto, de las que hayan sido señaladas por el </w:t>
      </w:r>
      <w:proofErr w:type="gramStart"/>
      <w:r w:rsidRPr="00FF166B">
        <w:rPr>
          <w:lang w:val="es-ES"/>
        </w:rPr>
        <w:t>Director</w:t>
      </w:r>
      <w:proofErr w:type="gramEnd"/>
      <w:r w:rsidRPr="00FF166B">
        <w:rPr>
          <w:lang w:val="es-ES"/>
        </w:rPr>
        <w:t xml:space="preserve"> de las obras.</w:t>
      </w:r>
    </w:p>
    <w:p w14:paraId="292D8FC8" w14:textId="77777777" w:rsidR="008B20D6" w:rsidRPr="00FF166B" w:rsidRDefault="008B20D6" w:rsidP="000313DD">
      <w:pPr>
        <w:pStyle w:val="TITU2"/>
      </w:pPr>
      <w:bookmarkStart w:id="1230" w:name="_Toc404639"/>
      <w:r w:rsidRPr="00FF166B">
        <w:t>800.2. Ejecución del transporte</w:t>
      </w:r>
      <w:bookmarkEnd w:id="1230"/>
    </w:p>
    <w:p w14:paraId="53F1B490" w14:textId="77777777" w:rsidR="008B20D6" w:rsidRDefault="008B20D6" w:rsidP="004E59E3">
      <w:pPr>
        <w:pStyle w:val="NORMAL12"/>
        <w:rPr>
          <w:lang w:val="es-ES"/>
        </w:rPr>
      </w:pPr>
      <w:r w:rsidRPr="00FF166B">
        <w:rPr>
          <w:lang w:val="es-ES"/>
        </w:rPr>
        <w:t>Los transportes adicionales se efectuarán en vehículos adecuados para el material que se desee transportar, provistos de los elementos que se precisen para evitar cualquier alteración perjudicial del material transportado. y su posible vertido sobre las rutas empleadas.</w:t>
      </w:r>
    </w:p>
    <w:p w14:paraId="7AA8C808" w14:textId="77777777" w:rsidR="0034024B" w:rsidRDefault="0034024B" w:rsidP="004E59E3">
      <w:pPr>
        <w:pStyle w:val="NORMAL12"/>
        <w:rPr>
          <w:lang w:val="es-ES"/>
        </w:rPr>
      </w:pPr>
      <w:r w:rsidRPr="00E40C54">
        <w:rPr>
          <w:lang w:val="es-ES"/>
        </w:rPr>
        <w:t>Se realizará en las mismas condiciones que el transporte realizado</w:t>
      </w:r>
      <w:r w:rsidR="00EA559F">
        <w:rPr>
          <w:lang w:val="es-ES"/>
        </w:rPr>
        <w:t xml:space="preserve"> </w:t>
      </w:r>
      <w:r w:rsidR="00D449F2">
        <w:rPr>
          <w:lang w:val="es-ES"/>
        </w:rPr>
        <w:t xml:space="preserve">para la unidad objeto de abono. </w:t>
      </w:r>
      <w:proofErr w:type="gramStart"/>
      <w:r w:rsidR="00D449F2">
        <w:rPr>
          <w:lang w:val="es-ES"/>
        </w:rPr>
        <w:t>Será de aplicación</w:t>
      </w:r>
      <w:proofErr w:type="gramEnd"/>
      <w:r w:rsidR="00D449F2">
        <w:rPr>
          <w:lang w:val="es-ES"/>
        </w:rPr>
        <w:t xml:space="preserve"> a la unidad 320.0030.-E</w:t>
      </w:r>
      <w:r w:rsidR="00D449F2" w:rsidRPr="00D449F2">
        <w:rPr>
          <w:lang w:val="es-ES"/>
        </w:rPr>
        <w:t>xcavación en desmonte en tránsito con medios mecánicos sin explosivos</w:t>
      </w:r>
      <w:r w:rsidR="00D449F2">
        <w:rPr>
          <w:lang w:val="es-ES"/>
        </w:rPr>
        <w:t>.</w:t>
      </w:r>
    </w:p>
    <w:p w14:paraId="380EE54D" w14:textId="77777777" w:rsidR="0034024B" w:rsidRDefault="0034024B" w:rsidP="004E59E3">
      <w:pPr>
        <w:pStyle w:val="NORMAL12"/>
        <w:rPr>
          <w:lang w:val="es-ES"/>
        </w:rPr>
      </w:pPr>
    </w:p>
    <w:p w14:paraId="2E7F8155" w14:textId="77777777" w:rsidR="008B20D6" w:rsidRPr="00FF166B" w:rsidRDefault="008B20D6" w:rsidP="000313DD">
      <w:pPr>
        <w:pStyle w:val="TITU2"/>
      </w:pPr>
      <w:bookmarkStart w:id="1231" w:name="_Toc404640"/>
      <w:r w:rsidRPr="00FF166B">
        <w:t>800.3. Medición y abono</w:t>
      </w:r>
      <w:bookmarkEnd w:id="1231"/>
    </w:p>
    <w:p w14:paraId="6C9162DB" w14:textId="77777777" w:rsidR="00FA26C5" w:rsidRPr="00FF166B" w:rsidRDefault="00FA26C5" w:rsidP="00FA26C5">
      <w:pPr>
        <w:pStyle w:val="NORMAL12"/>
        <w:rPr>
          <w:lang w:val="es-ES"/>
        </w:rPr>
      </w:pPr>
      <w:r w:rsidRPr="00FF166B">
        <w:rPr>
          <w:lang w:val="es-ES"/>
        </w:rPr>
        <w:t>La medición y abono de las unidades referidas al transporte adiciona se realizará según las especificaciones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89"/>
        <w:gridCol w:w="5812"/>
      </w:tblGrid>
      <w:tr w:rsidR="00FA26C5" w:rsidRPr="00FF166B" w14:paraId="3204A071" w14:textId="77777777" w:rsidTr="00BE1547">
        <w:tc>
          <w:tcPr>
            <w:tcW w:w="3189" w:type="dxa"/>
            <w:tcBorders>
              <w:top w:val="single" w:sz="4" w:space="0" w:color="auto"/>
              <w:left w:val="single" w:sz="4" w:space="0" w:color="auto"/>
              <w:bottom w:val="single" w:sz="4" w:space="0" w:color="auto"/>
              <w:right w:val="single" w:sz="4" w:space="0" w:color="auto"/>
            </w:tcBorders>
            <w:vAlign w:val="center"/>
            <w:hideMark/>
          </w:tcPr>
          <w:p w14:paraId="208A689E" w14:textId="77777777" w:rsidR="00FA26C5" w:rsidRPr="00FF166B" w:rsidRDefault="00FA26C5" w:rsidP="00357E41">
            <w:pPr>
              <w:pStyle w:val="LCATabla"/>
              <w:keepNext/>
              <w:keepLines/>
              <w:spacing w:line="360" w:lineRule="auto"/>
              <w:jc w:val="center"/>
              <w:rPr>
                <w:rFonts w:ascii="Arial" w:hAnsi="Arial" w:cs="Arial"/>
                <w:b/>
                <w:bCs/>
                <w:sz w:val="20"/>
              </w:rPr>
            </w:pPr>
            <w:r w:rsidRPr="00FF166B">
              <w:rPr>
                <w:rFonts w:ascii="Arial" w:hAnsi="Arial" w:cs="Arial"/>
                <w:b/>
                <w:bCs/>
                <w:sz w:val="20"/>
              </w:rPr>
              <w:t>Unidad de medida</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8DC2F04" w14:textId="77777777" w:rsidR="00FA26C5" w:rsidRPr="00FF166B" w:rsidRDefault="00F95C5C" w:rsidP="00CC738C">
            <w:pPr>
              <w:pStyle w:val="LCATabla"/>
              <w:keepNext/>
              <w:keepLines/>
              <w:spacing w:line="360" w:lineRule="auto"/>
              <w:jc w:val="both"/>
              <w:rPr>
                <w:rFonts w:ascii="Arial" w:hAnsi="Arial" w:cs="Arial"/>
                <w:sz w:val="20"/>
              </w:rPr>
            </w:pPr>
            <w:r>
              <w:rPr>
                <w:rFonts w:ascii="Arial" w:hAnsi="Arial" w:cs="Arial"/>
                <w:sz w:val="20"/>
              </w:rPr>
              <w:t>Metros cúbicos</w:t>
            </w:r>
            <w:r w:rsidR="00FA26C5" w:rsidRPr="00FF166B">
              <w:rPr>
                <w:rFonts w:ascii="Arial" w:hAnsi="Arial" w:cs="Arial"/>
                <w:sz w:val="20"/>
              </w:rPr>
              <w:t xml:space="preserve"> por </w:t>
            </w:r>
            <w:proofErr w:type="gramStart"/>
            <w:r w:rsidR="00FA26C5" w:rsidRPr="00FF166B">
              <w:rPr>
                <w:rFonts w:ascii="Arial" w:hAnsi="Arial" w:cs="Arial"/>
                <w:sz w:val="20"/>
              </w:rPr>
              <w:t>kilómetro(</w:t>
            </w:r>
            <w:proofErr w:type="gramEnd"/>
            <w:r w:rsidR="00CA1C22">
              <w:rPr>
                <w:rFonts w:ascii="Arial" w:hAnsi="Arial" w:cs="Arial"/>
                <w:sz w:val="20"/>
              </w:rPr>
              <w:t>m</w:t>
            </w:r>
            <w:r w:rsidR="00CA1C22">
              <w:rPr>
                <w:rFonts w:ascii="Arial" w:hAnsi="Arial" w:cs="Arial"/>
                <w:sz w:val="20"/>
                <w:vertAlign w:val="superscript"/>
              </w:rPr>
              <w:t>3</w:t>
            </w:r>
            <w:r w:rsidR="00FA26C5" w:rsidRPr="00FF166B">
              <w:rPr>
                <w:rFonts w:ascii="Arial" w:hAnsi="Arial" w:cs="Arial"/>
                <w:sz w:val="20"/>
              </w:rPr>
              <w:t xml:space="preserve"> x km)</w:t>
            </w:r>
          </w:p>
        </w:tc>
      </w:tr>
      <w:tr w:rsidR="00FA26C5" w:rsidRPr="00FF166B" w14:paraId="0C08C9FC" w14:textId="77777777" w:rsidTr="00BE1547">
        <w:tc>
          <w:tcPr>
            <w:tcW w:w="3189" w:type="dxa"/>
            <w:tcBorders>
              <w:top w:val="single" w:sz="4" w:space="0" w:color="auto"/>
              <w:left w:val="single" w:sz="4" w:space="0" w:color="auto"/>
              <w:bottom w:val="single" w:sz="4" w:space="0" w:color="auto"/>
              <w:right w:val="single" w:sz="4" w:space="0" w:color="auto"/>
            </w:tcBorders>
            <w:vAlign w:val="center"/>
            <w:hideMark/>
          </w:tcPr>
          <w:p w14:paraId="768BEFC8" w14:textId="77777777" w:rsidR="00FA26C5" w:rsidRPr="00FF166B" w:rsidRDefault="00FA26C5" w:rsidP="00357E41">
            <w:pPr>
              <w:pStyle w:val="LCATabla"/>
              <w:keepNext/>
              <w:keepLines/>
              <w:spacing w:line="360" w:lineRule="auto"/>
              <w:jc w:val="center"/>
              <w:rPr>
                <w:rFonts w:ascii="Arial" w:hAnsi="Arial" w:cs="Arial"/>
                <w:b/>
                <w:bCs/>
                <w:sz w:val="20"/>
              </w:rPr>
            </w:pPr>
            <w:r w:rsidRPr="00FF166B">
              <w:rPr>
                <w:rFonts w:ascii="Arial" w:hAnsi="Arial" w:cs="Arial"/>
                <w:b/>
                <w:bCs/>
                <w:sz w:val="20"/>
              </w:rPr>
              <w:t>Grado de precisión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717AB899" w14:textId="77777777" w:rsidR="00FA26C5" w:rsidRPr="00FF166B" w:rsidRDefault="00FA26C5" w:rsidP="00CC738C">
            <w:pPr>
              <w:pStyle w:val="LCATabla"/>
              <w:keepNext/>
              <w:keepLines/>
              <w:spacing w:line="360" w:lineRule="auto"/>
              <w:jc w:val="both"/>
              <w:rPr>
                <w:rFonts w:ascii="Arial" w:hAnsi="Arial" w:cs="Arial"/>
                <w:sz w:val="20"/>
              </w:rPr>
            </w:pPr>
            <w:r w:rsidRPr="00FF166B">
              <w:rPr>
                <w:rFonts w:ascii="Arial" w:hAnsi="Arial" w:cs="Arial"/>
                <w:sz w:val="20"/>
              </w:rPr>
              <w:t>Dos decimales.</w:t>
            </w:r>
          </w:p>
        </w:tc>
      </w:tr>
      <w:tr w:rsidR="00FA26C5" w:rsidRPr="00FF166B" w14:paraId="048115C7" w14:textId="77777777" w:rsidTr="00BE1547">
        <w:tc>
          <w:tcPr>
            <w:tcW w:w="3189" w:type="dxa"/>
            <w:tcBorders>
              <w:top w:val="single" w:sz="4" w:space="0" w:color="auto"/>
              <w:left w:val="single" w:sz="4" w:space="0" w:color="auto"/>
              <w:bottom w:val="single" w:sz="4" w:space="0" w:color="auto"/>
              <w:right w:val="single" w:sz="4" w:space="0" w:color="auto"/>
            </w:tcBorders>
            <w:vAlign w:val="center"/>
            <w:hideMark/>
          </w:tcPr>
          <w:p w14:paraId="48397A86" w14:textId="77777777" w:rsidR="00FA26C5" w:rsidRPr="00FF166B" w:rsidRDefault="00FA26C5" w:rsidP="00357E41">
            <w:pPr>
              <w:pStyle w:val="LCATabla"/>
              <w:keepNext/>
              <w:keepLines/>
              <w:spacing w:line="360" w:lineRule="auto"/>
              <w:jc w:val="center"/>
              <w:rPr>
                <w:rFonts w:ascii="Arial" w:hAnsi="Arial" w:cs="Arial"/>
                <w:b/>
                <w:bCs/>
                <w:sz w:val="20"/>
              </w:rPr>
            </w:pPr>
            <w:r w:rsidRPr="00FF166B">
              <w:rPr>
                <w:rFonts w:ascii="Arial" w:hAnsi="Arial" w:cs="Arial"/>
                <w:b/>
                <w:bCs/>
                <w:sz w:val="20"/>
              </w:rPr>
              <w:t>Forma de medición</w:t>
            </w:r>
          </w:p>
        </w:tc>
        <w:tc>
          <w:tcPr>
            <w:tcW w:w="5812" w:type="dxa"/>
            <w:tcBorders>
              <w:top w:val="single" w:sz="4" w:space="0" w:color="auto"/>
              <w:left w:val="single" w:sz="4" w:space="0" w:color="auto"/>
              <w:bottom w:val="single" w:sz="4" w:space="0" w:color="auto"/>
              <w:right w:val="single" w:sz="4" w:space="0" w:color="auto"/>
            </w:tcBorders>
            <w:vAlign w:val="center"/>
            <w:hideMark/>
          </w:tcPr>
          <w:p w14:paraId="601E4670" w14:textId="77777777" w:rsidR="00FA26C5" w:rsidRPr="00FF166B" w:rsidRDefault="00F95C5C" w:rsidP="00CC738C">
            <w:pPr>
              <w:pStyle w:val="LCATabla"/>
              <w:keepNext/>
              <w:keepLines/>
              <w:spacing w:line="360" w:lineRule="auto"/>
              <w:jc w:val="both"/>
              <w:rPr>
                <w:rFonts w:ascii="Arial" w:hAnsi="Arial" w:cs="Arial"/>
                <w:sz w:val="20"/>
              </w:rPr>
            </w:pPr>
            <w:r>
              <w:rPr>
                <w:rFonts w:ascii="Arial" w:hAnsi="Arial" w:cs="Arial"/>
                <w:sz w:val="20"/>
              </w:rPr>
              <w:t>Volumen</w:t>
            </w:r>
            <w:r w:rsidR="00FA26C5" w:rsidRPr="00FF166B">
              <w:rPr>
                <w:rFonts w:ascii="Arial" w:hAnsi="Arial" w:cs="Arial"/>
                <w:sz w:val="20"/>
              </w:rPr>
              <w:t xml:space="preserve"> de material transportad</w:t>
            </w:r>
            <w:r>
              <w:rPr>
                <w:rFonts w:ascii="Arial" w:hAnsi="Arial" w:cs="Arial"/>
                <w:sz w:val="20"/>
              </w:rPr>
              <w:t>o (m</w:t>
            </w:r>
            <w:r w:rsidRPr="00F95C5C">
              <w:rPr>
                <w:rFonts w:ascii="Arial" w:hAnsi="Arial" w:cs="Arial"/>
                <w:sz w:val="20"/>
                <w:vertAlign w:val="superscript"/>
              </w:rPr>
              <w:t>3</w:t>
            </w:r>
            <w:r>
              <w:rPr>
                <w:rFonts w:ascii="Arial" w:hAnsi="Arial" w:cs="Arial"/>
                <w:sz w:val="20"/>
              </w:rPr>
              <w:t>)</w:t>
            </w:r>
            <w:r w:rsidR="00FA26C5" w:rsidRPr="00FF166B">
              <w:rPr>
                <w:rFonts w:ascii="Arial" w:hAnsi="Arial" w:cs="Arial"/>
                <w:sz w:val="20"/>
              </w:rPr>
              <w:t xml:space="preserve"> por longitud del recorrido adicional. </w:t>
            </w:r>
          </w:p>
        </w:tc>
      </w:tr>
      <w:tr w:rsidR="00FA26C5" w:rsidRPr="00FF166B" w14:paraId="1BBEF46F" w14:textId="77777777" w:rsidTr="00BE1547">
        <w:tc>
          <w:tcPr>
            <w:tcW w:w="3189" w:type="dxa"/>
            <w:tcBorders>
              <w:top w:val="single" w:sz="4" w:space="0" w:color="auto"/>
              <w:left w:val="single" w:sz="4" w:space="0" w:color="auto"/>
              <w:bottom w:val="single" w:sz="4" w:space="0" w:color="auto"/>
              <w:right w:val="single" w:sz="4" w:space="0" w:color="auto"/>
            </w:tcBorders>
            <w:vAlign w:val="center"/>
            <w:hideMark/>
          </w:tcPr>
          <w:p w14:paraId="672D13A9" w14:textId="77777777" w:rsidR="00FA26C5" w:rsidRPr="00FF166B" w:rsidRDefault="00FA26C5" w:rsidP="00357E41">
            <w:pPr>
              <w:pStyle w:val="LCATabla"/>
              <w:keepNext/>
              <w:keepLines/>
              <w:spacing w:line="360" w:lineRule="auto"/>
              <w:jc w:val="center"/>
              <w:rPr>
                <w:rFonts w:ascii="Arial" w:hAnsi="Arial" w:cs="Arial"/>
                <w:b/>
                <w:bCs/>
                <w:sz w:val="20"/>
              </w:rPr>
            </w:pPr>
            <w:r w:rsidRPr="00FF166B">
              <w:rPr>
                <w:rFonts w:ascii="Arial" w:hAnsi="Arial" w:cs="Arial"/>
                <w:b/>
                <w:bCs/>
                <w:sz w:val="20"/>
              </w:rPr>
              <w:t>Abono</w:t>
            </w:r>
          </w:p>
        </w:tc>
        <w:tc>
          <w:tcPr>
            <w:tcW w:w="5812" w:type="dxa"/>
            <w:tcBorders>
              <w:top w:val="single" w:sz="4" w:space="0" w:color="auto"/>
              <w:left w:val="single" w:sz="4" w:space="0" w:color="auto"/>
              <w:bottom w:val="single" w:sz="4" w:space="0" w:color="auto"/>
              <w:right w:val="single" w:sz="4" w:space="0" w:color="auto"/>
            </w:tcBorders>
            <w:vAlign w:val="center"/>
            <w:hideMark/>
          </w:tcPr>
          <w:p w14:paraId="47582637" w14:textId="77777777" w:rsidR="00FA26C5" w:rsidRPr="00FF166B" w:rsidRDefault="00FA26C5" w:rsidP="00CC738C">
            <w:pPr>
              <w:pStyle w:val="LCATabla"/>
              <w:keepNext/>
              <w:keepLines/>
              <w:spacing w:line="360" w:lineRule="auto"/>
              <w:jc w:val="both"/>
              <w:rPr>
                <w:rFonts w:ascii="Arial" w:hAnsi="Arial" w:cs="Arial"/>
                <w:sz w:val="20"/>
              </w:rPr>
            </w:pPr>
            <w:r w:rsidRPr="00FF166B">
              <w:rPr>
                <w:rFonts w:ascii="Arial" w:hAnsi="Arial" w:cs="Arial"/>
                <w:sz w:val="20"/>
              </w:rPr>
              <w:t>Se efectuará cuando se realice la aceptación.</w:t>
            </w:r>
          </w:p>
        </w:tc>
      </w:tr>
      <w:tr w:rsidR="00FA26C5" w:rsidRPr="00FF166B" w14:paraId="4BAAE03E" w14:textId="77777777" w:rsidTr="00BE1547">
        <w:tc>
          <w:tcPr>
            <w:tcW w:w="3189" w:type="dxa"/>
            <w:tcBorders>
              <w:top w:val="single" w:sz="4" w:space="0" w:color="auto"/>
              <w:left w:val="single" w:sz="4" w:space="0" w:color="auto"/>
              <w:bottom w:val="single" w:sz="4" w:space="0" w:color="auto"/>
              <w:right w:val="single" w:sz="4" w:space="0" w:color="auto"/>
            </w:tcBorders>
            <w:vAlign w:val="center"/>
            <w:hideMark/>
          </w:tcPr>
          <w:p w14:paraId="07B401BF" w14:textId="77777777" w:rsidR="00FA26C5" w:rsidRPr="00FF166B" w:rsidRDefault="00FA26C5" w:rsidP="00357E41">
            <w:pPr>
              <w:pStyle w:val="LCATabla"/>
              <w:keepNext/>
              <w:keepLines/>
              <w:spacing w:line="360" w:lineRule="auto"/>
              <w:jc w:val="center"/>
              <w:rPr>
                <w:rFonts w:ascii="Arial" w:hAnsi="Arial" w:cs="Arial"/>
                <w:b/>
                <w:bCs/>
                <w:sz w:val="20"/>
              </w:rPr>
            </w:pPr>
            <w:r w:rsidRPr="00FF166B">
              <w:rPr>
                <w:rFonts w:ascii="Arial" w:hAnsi="Arial" w:cs="Arial"/>
                <w:b/>
                <w:bCs/>
                <w:sz w:val="20"/>
              </w:rPr>
              <w:t>Criterios complementarios</w:t>
            </w:r>
          </w:p>
        </w:tc>
        <w:tc>
          <w:tcPr>
            <w:tcW w:w="5812" w:type="dxa"/>
            <w:tcBorders>
              <w:top w:val="single" w:sz="4" w:space="0" w:color="auto"/>
              <w:left w:val="single" w:sz="4" w:space="0" w:color="auto"/>
              <w:bottom w:val="single" w:sz="4" w:space="0" w:color="auto"/>
              <w:right w:val="single" w:sz="4" w:space="0" w:color="auto"/>
            </w:tcBorders>
            <w:vAlign w:val="center"/>
            <w:hideMark/>
          </w:tcPr>
          <w:p w14:paraId="1FB3B170" w14:textId="77777777" w:rsidR="00FA26C5" w:rsidRPr="00FF166B" w:rsidRDefault="00FA26C5" w:rsidP="00CC738C">
            <w:pPr>
              <w:pStyle w:val="LCATabla"/>
              <w:keepNext/>
              <w:keepLines/>
              <w:spacing w:line="360" w:lineRule="auto"/>
              <w:jc w:val="both"/>
              <w:rPr>
                <w:rFonts w:ascii="Arial" w:hAnsi="Arial" w:cs="Arial"/>
                <w:sz w:val="20"/>
              </w:rPr>
            </w:pPr>
            <w:r w:rsidRPr="00FF166B">
              <w:rPr>
                <w:rFonts w:ascii="Arial" w:hAnsi="Arial" w:cs="Arial"/>
                <w:sz w:val="20"/>
              </w:rPr>
              <w:t xml:space="preserve">Esta distancia se medirá por el </w:t>
            </w:r>
            <w:proofErr w:type="gramStart"/>
            <w:r w:rsidRPr="00FF166B">
              <w:rPr>
                <w:rFonts w:ascii="Arial" w:hAnsi="Arial" w:cs="Arial"/>
                <w:sz w:val="20"/>
              </w:rPr>
              <w:t>Director</w:t>
            </w:r>
            <w:proofErr w:type="gramEnd"/>
            <w:r w:rsidRPr="00FF166B">
              <w:rPr>
                <w:rFonts w:ascii="Arial" w:hAnsi="Arial" w:cs="Arial"/>
                <w:sz w:val="20"/>
              </w:rPr>
              <w:t xml:space="preserve"> a lo largo de la ruta transitable más corta de las existentes, incluyendo entre ellas los caminos provisionales que sea necesario habilitar para la realización de la obra; y sea cual fuere la ruta que utilice el Contratista.</w:t>
            </w:r>
          </w:p>
        </w:tc>
      </w:tr>
    </w:tbl>
    <w:p w14:paraId="75697A18" w14:textId="77777777" w:rsidR="00FA26C5" w:rsidRPr="00FA26C5" w:rsidRDefault="00FA26C5" w:rsidP="00FA26C5">
      <w:pPr>
        <w:pStyle w:val="NORMAL12"/>
        <w:rPr>
          <w:lang w:val="es-ES"/>
        </w:rPr>
      </w:pPr>
    </w:p>
    <w:p w14:paraId="6A7DE72C" w14:textId="77777777" w:rsidR="008B3531" w:rsidRPr="00B67DB1" w:rsidRDefault="008B3531" w:rsidP="00B67DB1">
      <w:pPr>
        <w:pStyle w:val="NORMAL12"/>
        <w:rPr>
          <w:lang w:val="es-ES"/>
        </w:rPr>
      </w:pPr>
      <w:bookmarkStart w:id="1232" w:name="_Toc407723044"/>
      <w:bookmarkStart w:id="1233" w:name="_Toc492538282"/>
      <w:bookmarkStart w:id="1234" w:name="_Toc409167381"/>
      <w:bookmarkStart w:id="1235" w:name="_Toc206382261"/>
      <w:bookmarkStart w:id="1236" w:name="_Toc277523446"/>
    </w:p>
    <w:p w14:paraId="7B1A77F2" w14:textId="77777777" w:rsidR="00826231" w:rsidRPr="00B67DB1" w:rsidRDefault="00826231" w:rsidP="00B67DB1">
      <w:pPr>
        <w:pStyle w:val="NORMAL12"/>
        <w:rPr>
          <w:lang w:val="es-ES"/>
        </w:rPr>
      </w:pPr>
    </w:p>
    <w:p w14:paraId="41786D82" w14:textId="77777777" w:rsidR="00826231" w:rsidRPr="00B67DB1" w:rsidRDefault="00826231" w:rsidP="00B67DB1">
      <w:pPr>
        <w:pStyle w:val="NORMAL12"/>
        <w:rPr>
          <w:lang w:val="es-ES"/>
        </w:rPr>
      </w:pPr>
    </w:p>
    <w:p w14:paraId="440DF1F6" w14:textId="77777777" w:rsidR="00C23001" w:rsidRPr="00AC551D" w:rsidRDefault="00C23001" w:rsidP="00C23001">
      <w:pPr>
        <w:pStyle w:val="TITU1"/>
      </w:pPr>
      <w:bookmarkStart w:id="1237" w:name="_Toc399509020"/>
      <w:bookmarkStart w:id="1238" w:name="_Toc400741558"/>
      <w:bookmarkStart w:id="1239" w:name="_Ref504735192"/>
      <w:bookmarkStart w:id="1240" w:name="_Ref504735439"/>
      <w:bookmarkStart w:id="1241" w:name="_Ref504735495"/>
      <w:bookmarkStart w:id="1242" w:name="_Ref508812023"/>
      <w:bookmarkStart w:id="1243" w:name="_Toc513146322"/>
      <w:bookmarkStart w:id="1244" w:name="_Toc404641"/>
      <w:bookmarkStart w:id="1245" w:name="_Toc399509001"/>
      <w:bookmarkStart w:id="1246" w:name="_Toc399509010"/>
      <w:bookmarkStart w:id="1247" w:name="_Toc400741548"/>
      <w:r w:rsidRPr="00AC551D">
        <w:lastRenderedPageBreak/>
        <w:t>Artículo 801.- Reposición de servicios de la DGT</w:t>
      </w:r>
      <w:bookmarkEnd w:id="1237"/>
      <w:bookmarkEnd w:id="1238"/>
      <w:bookmarkEnd w:id="1239"/>
      <w:bookmarkEnd w:id="1240"/>
      <w:bookmarkEnd w:id="1241"/>
      <w:bookmarkEnd w:id="1242"/>
      <w:bookmarkEnd w:id="1243"/>
      <w:bookmarkEnd w:id="1244"/>
    </w:p>
    <w:p w14:paraId="66084D1F" w14:textId="77777777" w:rsidR="00C23001" w:rsidRPr="00AC551D" w:rsidRDefault="00C23001" w:rsidP="000313DD">
      <w:pPr>
        <w:pStyle w:val="TITU2"/>
      </w:pPr>
      <w:bookmarkStart w:id="1248" w:name="_Toc399509021"/>
      <w:bookmarkStart w:id="1249" w:name="_Toc400741559"/>
      <w:bookmarkStart w:id="1250" w:name="_Toc513146323"/>
      <w:bookmarkStart w:id="1251" w:name="_Toc404642"/>
      <w:r w:rsidRPr="00AC551D">
        <w:t>801.1.</w:t>
      </w:r>
      <w:r w:rsidR="007E08F5">
        <w:t xml:space="preserve"> </w:t>
      </w:r>
      <w:r w:rsidRPr="00AC551D">
        <w:tab/>
        <w:t>Definición</w:t>
      </w:r>
      <w:bookmarkEnd w:id="1248"/>
      <w:bookmarkEnd w:id="1249"/>
      <w:bookmarkEnd w:id="1250"/>
      <w:bookmarkEnd w:id="1251"/>
    </w:p>
    <w:p w14:paraId="67838789" w14:textId="77777777" w:rsidR="00C23001" w:rsidRPr="00AC551D" w:rsidRDefault="00C23001" w:rsidP="00C23001">
      <w:pPr>
        <w:pStyle w:val="NORMAL12"/>
        <w:rPr>
          <w:lang w:val="es-ES"/>
        </w:rPr>
      </w:pPr>
      <w:r w:rsidRPr="00AC551D">
        <w:rPr>
          <w:lang w:val="es-ES"/>
        </w:rPr>
        <w:t>Consiste en la reposición de los servicios existentes de la Dirección General de Tráfico (D.G.T.) que se ven afectados por la ampliación de la autovía A-66.</w:t>
      </w:r>
    </w:p>
    <w:p w14:paraId="3BF3747A" w14:textId="77777777" w:rsidR="00C23001" w:rsidRPr="00AC551D" w:rsidRDefault="007E08F5" w:rsidP="000313DD">
      <w:pPr>
        <w:pStyle w:val="TITU2"/>
      </w:pPr>
      <w:bookmarkStart w:id="1252" w:name="_Toc399509022"/>
      <w:bookmarkStart w:id="1253" w:name="_Toc400741560"/>
      <w:bookmarkStart w:id="1254" w:name="_Toc513146324"/>
      <w:bookmarkStart w:id="1255" w:name="_Toc404643"/>
      <w:r>
        <w:t xml:space="preserve">801.2. </w:t>
      </w:r>
      <w:r w:rsidR="00C23001" w:rsidRPr="00AC551D">
        <w:t>Aplicación</w:t>
      </w:r>
      <w:bookmarkEnd w:id="1252"/>
      <w:bookmarkEnd w:id="1253"/>
      <w:bookmarkEnd w:id="1254"/>
      <w:bookmarkEnd w:id="1255"/>
      <w:r w:rsidR="00C23001" w:rsidRPr="00AC551D">
        <w:t xml:space="preserve"> </w:t>
      </w:r>
    </w:p>
    <w:p w14:paraId="05C840C5" w14:textId="77777777" w:rsidR="00C23001" w:rsidRDefault="00C23001" w:rsidP="00C23001">
      <w:pPr>
        <w:pStyle w:val="NORMAL12"/>
        <w:rPr>
          <w:lang w:val="es-ES"/>
        </w:rPr>
      </w:pPr>
      <w:r w:rsidRPr="00AC551D">
        <w:rPr>
          <w:lang w:val="es-ES"/>
        </w:rPr>
        <w:t xml:space="preserve">El presente artículo </w:t>
      </w:r>
      <w:proofErr w:type="gramStart"/>
      <w:r w:rsidRPr="00AC551D">
        <w:rPr>
          <w:lang w:val="es-ES"/>
        </w:rPr>
        <w:t>es de aplicación</w:t>
      </w:r>
      <w:proofErr w:type="gramEnd"/>
      <w:r w:rsidRPr="00AC551D">
        <w:rPr>
          <w:lang w:val="es-ES"/>
        </w:rPr>
        <w:t xml:space="preserve"> a la siguiente unidad de obra: </w:t>
      </w:r>
    </w:p>
    <w:tbl>
      <w:tblPr>
        <w:tblW w:w="5000" w:type="pct"/>
        <w:tblCellMar>
          <w:left w:w="70" w:type="dxa"/>
          <w:right w:w="70" w:type="dxa"/>
        </w:tblCellMar>
        <w:tblLook w:val="04A0" w:firstRow="1" w:lastRow="0" w:firstColumn="1" w:lastColumn="0" w:noHBand="0" w:noVBand="1"/>
      </w:tblPr>
      <w:tblGrid>
        <w:gridCol w:w="1207"/>
        <w:gridCol w:w="723"/>
        <w:gridCol w:w="7990"/>
      </w:tblGrid>
      <w:tr w:rsidR="00C23001" w:rsidRPr="00A76B28" w14:paraId="41766279" w14:textId="77777777" w:rsidTr="00F95C5C">
        <w:trPr>
          <w:trHeight w:val="300"/>
        </w:trPr>
        <w:tc>
          <w:tcPr>
            <w:tcW w:w="608" w:type="pct"/>
            <w:noWrap/>
          </w:tcPr>
          <w:p w14:paraId="6E696DE0" w14:textId="77777777" w:rsidR="00C23001" w:rsidRPr="00F476CB" w:rsidRDefault="007E08F5" w:rsidP="007E08F5">
            <w:pPr>
              <w:rPr>
                <w:rFonts w:ascii="Calibri" w:hAnsi="Calibri"/>
              </w:rPr>
            </w:pPr>
            <w:r w:rsidRPr="00F476CB">
              <w:rPr>
                <w:rFonts w:ascii="Calibri" w:hAnsi="Calibri"/>
              </w:rPr>
              <w:t>9</w:t>
            </w:r>
            <w:r w:rsidR="00C23001" w:rsidRPr="00F476CB">
              <w:rPr>
                <w:rFonts w:ascii="Calibri" w:hAnsi="Calibri"/>
              </w:rPr>
              <w:t>00.000</w:t>
            </w:r>
            <w:r w:rsidRPr="00F476CB">
              <w:rPr>
                <w:rFonts w:ascii="Calibri" w:hAnsi="Calibri"/>
              </w:rPr>
              <w:t>5</w:t>
            </w:r>
            <w:r w:rsidR="00C23001" w:rsidRPr="00F476CB">
              <w:rPr>
                <w:rFonts w:ascii="Calibri" w:hAnsi="Calibri"/>
              </w:rPr>
              <w:t xml:space="preserve">N          </w:t>
            </w:r>
          </w:p>
        </w:tc>
        <w:tc>
          <w:tcPr>
            <w:tcW w:w="365" w:type="pct"/>
            <w:noWrap/>
          </w:tcPr>
          <w:p w14:paraId="5DA91FF0" w14:textId="77777777" w:rsidR="00C23001" w:rsidRPr="00F476CB" w:rsidRDefault="00C23001" w:rsidP="00C23001">
            <w:pPr>
              <w:rPr>
                <w:rFonts w:ascii="Calibri" w:hAnsi="Calibri"/>
              </w:rPr>
            </w:pPr>
            <w:proofErr w:type="spellStart"/>
            <w:r w:rsidRPr="00F476CB">
              <w:rPr>
                <w:rFonts w:ascii="Calibri" w:hAnsi="Calibri"/>
              </w:rPr>
              <w:t>ud</w:t>
            </w:r>
            <w:proofErr w:type="spellEnd"/>
          </w:p>
        </w:tc>
        <w:tc>
          <w:tcPr>
            <w:tcW w:w="4026" w:type="pct"/>
          </w:tcPr>
          <w:p w14:paraId="3C3B13E1" w14:textId="77777777" w:rsidR="00C23001" w:rsidRPr="00F476CB" w:rsidRDefault="00875782" w:rsidP="00D424A3">
            <w:pPr>
              <w:spacing w:after="240"/>
              <w:jc w:val="both"/>
              <w:rPr>
                <w:rFonts w:ascii="Calibri" w:hAnsi="Calibri"/>
              </w:rPr>
            </w:pPr>
            <w:r w:rsidRPr="00F476CB">
              <w:rPr>
                <w:rFonts w:ascii="Calibri" w:hAnsi="Calibri"/>
                <w:color w:val="000000"/>
              </w:rPr>
              <w:t xml:space="preserve">REPOSICIÓN DE LOS SERVICIOS AFECTADOS SE-401 A SE-450 </w:t>
            </w:r>
            <w:proofErr w:type="gramStart"/>
            <w:r w:rsidRPr="00F476CB">
              <w:rPr>
                <w:rFonts w:ascii="Calibri" w:hAnsi="Calibri"/>
                <w:color w:val="000000"/>
              </w:rPr>
              <w:t>-  DE</w:t>
            </w:r>
            <w:proofErr w:type="gramEnd"/>
            <w:r w:rsidRPr="00F476CB">
              <w:rPr>
                <w:rFonts w:ascii="Calibri" w:hAnsi="Calibri"/>
                <w:color w:val="000000"/>
              </w:rPr>
              <w:t xml:space="preserve"> TITULARIDAD DE LA DGT QUE COMPRENDE EL DESMONTAJE Y DEMOLICIÓN DE LAS CANALIZACIONES Y ARQUETAS AFECTADAS Y LA POSTERIOR REPOSICIÓN DE LAS CANALIZACIONES Y ARQUETAS EN SU NUEVA UBICACIÓN, REPOSICIÓN DE ESPIRAS, DESMONTAJE Y MONTAJE EN NUEVA UBICACIÓN DE ERU-ETD, AD, AC, MET, CAJ, BANDEROLA, PMV O CUALQUIER OTRO SERVICIO EXISTENTE, SEGÚN LO REFLEJADO EN EL DOCUMENTO Nº2.- PLANOS Y EN EL ANEJO Nº24.- REPOSICIÓN DE SERVICIOS.</w:t>
            </w:r>
          </w:p>
        </w:tc>
      </w:tr>
    </w:tbl>
    <w:p w14:paraId="75AC9D96" w14:textId="77777777" w:rsidR="00C23001" w:rsidRPr="00AC551D" w:rsidRDefault="007E08F5" w:rsidP="000313DD">
      <w:pPr>
        <w:pStyle w:val="TITU2"/>
      </w:pPr>
      <w:bookmarkStart w:id="1256" w:name="_Toc399509023"/>
      <w:bookmarkStart w:id="1257" w:name="_Toc400741561"/>
      <w:bookmarkStart w:id="1258" w:name="_Toc513146325"/>
      <w:bookmarkStart w:id="1259" w:name="_Toc404644"/>
      <w:r>
        <w:t xml:space="preserve">801.3. </w:t>
      </w:r>
      <w:r w:rsidR="00C23001" w:rsidRPr="00AC551D">
        <w:tab/>
        <w:t>Descripción</w:t>
      </w:r>
      <w:bookmarkEnd w:id="1256"/>
      <w:bookmarkEnd w:id="1257"/>
      <w:r w:rsidR="00C23001" w:rsidRPr="00AC551D">
        <w:t xml:space="preserve"> de los trabajos</w:t>
      </w:r>
      <w:bookmarkEnd w:id="1258"/>
      <w:bookmarkEnd w:id="1259"/>
    </w:p>
    <w:p w14:paraId="7A267754" w14:textId="77777777" w:rsidR="00C23001" w:rsidRPr="00603E1F" w:rsidRDefault="00C23001" w:rsidP="00C23001">
      <w:pPr>
        <w:pStyle w:val="NORMAL12"/>
        <w:rPr>
          <w:lang w:val="es-ES"/>
        </w:rPr>
      </w:pPr>
      <w:bookmarkStart w:id="1260" w:name="_Hlk504684164"/>
      <w:r w:rsidRPr="00AC551D">
        <w:rPr>
          <w:lang w:val="es-ES"/>
        </w:rPr>
        <w:t>Las operaciones incluidas en este artículo</w:t>
      </w:r>
      <w:r w:rsidRPr="00603E1F">
        <w:rPr>
          <w:lang w:val="es-ES"/>
        </w:rPr>
        <w:t xml:space="preserve"> son las siguientes:</w:t>
      </w:r>
    </w:p>
    <w:bookmarkEnd w:id="1260"/>
    <w:p w14:paraId="30BCCAD3" w14:textId="77777777" w:rsidR="00C23001" w:rsidRDefault="00C23001" w:rsidP="00221E1A">
      <w:pPr>
        <w:pStyle w:val="NORMAL12"/>
        <w:numPr>
          <w:ilvl w:val="0"/>
          <w:numId w:val="151"/>
        </w:numPr>
        <w:rPr>
          <w:lang w:val="es-ES"/>
        </w:rPr>
      </w:pPr>
      <w:r>
        <w:rPr>
          <w:lang w:val="es-ES"/>
        </w:rPr>
        <w:t>Ejecución de nuevas canalizaciones en los bordes exteriores de la plataforma y colocación del cableado.</w:t>
      </w:r>
    </w:p>
    <w:p w14:paraId="55BDDD7D" w14:textId="77777777" w:rsidR="00C23001" w:rsidRDefault="00C23001" w:rsidP="00221E1A">
      <w:pPr>
        <w:pStyle w:val="NORMAL12"/>
        <w:numPr>
          <w:ilvl w:val="0"/>
          <w:numId w:val="151"/>
        </w:numPr>
      </w:pPr>
      <w:r>
        <w:rPr>
          <w:lang w:val="es-ES"/>
        </w:rPr>
        <w:t xml:space="preserve">Ejecución de arquetas según lo reflejado en el </w:t>
      </w:r>
      <w:r>
        <w:t>Artículo 803</w:t>
      </w:r>
      <w:r w:rsidRPr="002D298E">
        <w:t>.-</w:t>
      </w:r>
      <w:r>
        <w:t xml:space="preserve"> Arquetas de la reposición de servicios</w:t>
      </w:r>
      <w:r w:rsidRPr="002D298E">
        <w:t xml:space="preserve"> </w:t>
      </w:r>
    </w:p>
    <w:p w14:paraId="6FE6E045" w14:textId="77777777" w:rsidR="00C23001" w:rsidRPr="00A55164" w:rsidRDefault="00C23001" w:rsidP="00221E1A">
      <w:pPr>
        <w:pStyle w:val="NORMAL12"/>
        <w:numPr>
          <w:ilvl w:val="0"/>
          <w:numId w:val="151"/>
        </w:numPr>
        <w:rPr>
          <w:lang w:val="es-ES"/>
        </w:rPr>
      </w:pPr>
      <w:r>
        <w:rPr>
          <w:lang w:val="es-ES"/>
        </w:rPr>
        <w:t xml:space="preserve">Desmontaje y montaje de elementos de equipamiento, tales como Pórticos, Banderolas, Armario de Contadores (AC), Armario de Distribución (AD) Estación Remota </w:t>
      </w:r>
      <w:r w:rsidRPr="00813871">
        <w:rPr>
          <w:lang w:val="es-ES"/>
        </w:rPr>
        <w:t>Universal – Estación de Tomas de Datos (ERU-ETD), Cinemómetro RADAR (CAJ</w:t>
      </w:r>
      <w:proofErr w:type="gramStart"/>
      <w:r w:rsidRPr="00813871">
        <w:rPr>
          <w:lang w:val="es-ES"/>
        </w:rPr>
        <w:t>),  Estación</w:t>
      </w:r>
      <w:proofErr w:type="gramEnd"/>
      <w:r w:rsidRPr="00813871">
        <w:rPr>
          <w:lang w:val="es-ES"/>
        </w:rPr>
        <w:t xml:space="preserve"> </w:t>
      </w:r>
      <w:r w:rsidR="00157701" w:rsidRPr="00813871">
        <w:rPr>
          <w:lang w:val="es-ES"/>
        </w:rPr>
        <w:t>Meteorológica</w:t>
      </w:r>
      <w:r w:rsidRPr="00813871">
        <w:rPr>
          <w:lang w:val="es-ES"/>
        </w:rPr>
        <w:t xml:space="preserve"> (MET), Lector Automático de Matrículas, según lo reflejado en el Artículo </w:t>
      </w:r>
      <w:r w:rsidRPr="00813871">
        <w:t>802.- Desmontaje y montaje de elementos de equipamiento de la Dirección General de Tráfico (D.G.T.).</w:t>
      </w:r>
    </w:p>
    <w:p w14:paraId="0736AB6F" w14:textId="77777777" w:rsidR="00C23001" w:rsidRPr="00A55164" w:rsidRDefault="00C23001" w:rsidP="00221E1A">
      <w:pPr>
        <w:pStyle w:val="NORMAL12"/>
        <w:numPr>
          <w:ilvl w:val="0"/>
          <w:numId w:val="151"/>
        </w:numPr>
        <w:rPr>
          <w:lang w:val="es-ES"/>
        </w:rPr>
      </w:pPr>
      <w:r>
        <w:rPr>
          <w:lang w:val="es-ES"/>
        </w:rPr>
        <w:t xml:space="preserve">Excavación (según </w:t>
      </w:r>
      <w:r w:rsidRPr="00AC00F8">
        <w:rPr>
          <w:lang w:val="es-ES"/>
        </w:rPr>
        <w:t>Artículo 321.- Excavaciones en zanjas y pozos</w:t>
      </w:r>
      <w:r>
        <w:rPr>
          <w:lang w:val="es-ES"/>
        </w:rPr>
        <w:t>) para retirada de canalizaciones existentes que vayan a quedar en desuso y relleno de excavación (</w:t>
      </w:r>
      <w:r w:rsidRPr="005F4478">
        <w:rPr>
          <w:lang w:val="es-ES"/>
        </w:rPr>
        <w:t>según lo reflejado en el Artículo 332.- Rellenos localizados).</w:t>
      </w:r>
    </w:p>
    <w:p w14:paraId="575B783F" w14:textId="77777777" w:rsidR="00C23001" w:rsidRPr="0057758D" w:rsidRDefault="00C23001" w:rsidP="00221E1A">
      <w:pPr>
        <w:pStyle w:val="NORMAL12"/>
        <w:numPr>
          <w:ilvl w:val="0"/>
          <w:numId w:val="151"/>
        </w:numPr>
        <w:rPr>
          <w:lang w:val="es-ES"/>
        </w:rPr>
      </w:pPr>
      <w:r>
        <w:rPr>
          <w:lang w:val="es-ES"/>
        </w:rPr>
        <w:t xml:space="preserve">Demolición de </w:t>
      </w:r>
      <w:r w:rsidR="00157701">
        <w:rPr>
          <w:lang w:val="es-ES"/>
        </w:rPr>
        <w:t>arquetas y</w:t>
      </w:r>
      <w:r>
        <w:rPr>
          <w:lang w:val="es-ES"/>
        </w:rPr>
        <w:t xml:space="preserve"> cimentaciones y retirada de cableado existentes que </w:t>
      </w:r>
      <w:r w:rsidRPr="0057758D">
        <w:rPr>
          <w:lang w:val="es-ES"/>
        </w:rPr>
        <w:t>vayan a quedar en desuso según lo reflejado en el Artículo 301. Demoliciones.</w:t>
      </w:r>
    </w:p>
    <w:p w14:paraId="6B20E831" w14:textId="77777777" w:rsidR="00C23001" w:rsidRPr="0057758D" w:rsidRDefault="00C23001" w:rsidP="00221E1A">
      <w:pPr>
        <w:pStyle w:val="NORMAL12"/>
        <w:numPr>
          <w:ilvl w:val="0"/>
          <w:numId w:val="151"/>
        </w:numPr>
        <w:rPr>
          <w:lang w:val="es-ES"/>
        </w:rPr>
      </w:pPr>
      <w:r w:rsidRPr="0057758D">
        <w:rPr>
          <w:lang w:val="es-ES"/>
        </w:rPr>
        <w:t>Retirada de los residuos generados a un lugar de acopio habilitado en obra hasta su posterior traslado al punto de gestión de residuos.</w:t>
      </w:r>
    </w:p>
    <w:p w14:paraId="6878A1CD" w14:textId="77777777" w:rsidR="00C23001" w:rsidRPr="0057758D" w:rsidRDefault="00C23001" w:rsidP="00C23001">
      <w:pPr>
        <w:pStyle w:val="NORMAL12"/>
      </w:pPr>
      <w:r w:rsidRPr="0057758D">
        <w:t>Tras el chorreado de los paramentos metálicos se procederá a la aplicación de la capa de imprimación epoxi-cinc prevista para el sistema de protección con pintura de la estructura), para asegurar que no se produce la oxidación de la superficie chorreada.</w:t>
      </w:r>
    </w:p>
    <w:p w14:paraId="76E41501" w14:textId="77777777" w:rsidR="00C23001" w:rsidRPr="0057758D" w:rsidRDefault="007E08F5" w:rsidP="00C23001">
      <w:pPr>
        <w:pStyle w:val="NORMAL12"/>
      </w:pPr>
      <w:r w:rsidRPr="0057758D">
        <w:t>T</w:t>
      </w:r>
      <w:r w:rsidR="00C23001" w:rsidRPr="0057758D">
        <w:t>ras las tareas de limpieza de los paramentos metálicos con chorro de arena y aplicación de la imprimación se llevará a cabo una inspección especial de la estructura.</w:t>
      </w:r>
    </w:p>
    <w:p w14:paraId="2706B7E8" w14:textId="77777777" w:rsidR="00C23001" w:rsidRPr="0057758D" w:rsidRDefault="007E08F5" w:rsidP="000313DD">
      <w:pPr>
        <w:pStyle w:val="TITU2"/>
      </w:pPr>
      <w:bookmarkStart w:id="1261" w:name="_Toc399509024"/>
      <w:bookmarkStart w:id="1262" w:name="_Toc400741562"/>
      <w:bookmarkStart w:id="1263" w:name="_Toc513146326"/>
      <w:bookmarkStart w:id="1264" w:name="_Toc404645"/>
      <w:r w:rsidRPr="0057758D">
        <w:t xml:space="preserve">801.4. </w:t>
      </w:r>
      <w:r w:rsidR="00C23001" w:rsidRPr="0057758D">
        <w:t>Materiales</w:t>
      </w:r>
      <w:bookmarkEnd w:id="1261"/>
      <w:bookmarkEnd w:id="1262"/>
      <w:bookmarkEnd w:id="1263"/>
      <w:bookmarkEnd w:id="1264"/>
    </w:p>
    <w:p w14:paraId="47CA1287" w14:textId="77777777" w:rsidR="00C23001" w:rsidRPr="00F74B11" w:rsidRDefault="000161B8" w:rsidP="00C23001">
      <w:pPr>
        <w:pStyle w:val="NORMAL12"/>
        <w:rPr>
          <w:i/>
          <w:u w:val="single"/>
        </w:rPr>
      </w:pPr>
      <w:bookmarkStart w:id="1265" w:name="_Toc399509025"/>
      <w:bookmarkStart w:id="1266" w:name="_Toc400741563"/>
      <w:bookmarkStart w:id="1267" w:name="_Toc513146327"/>
      <w:r w:rsidRPr="00F74B11">
        <w:rPr>
          <w:i/>
          <w:u w:val="single"/>
        </w:rPr>
        <w:t xml:space="preserve">Material de </w:t>
      </w:r>
      <w:r w:rsidR="00157701" w:rsidRPr="00F74B11">
        <w:rPr>
          <w:i/>
          <w:u w:val="single"/>
        </w:rPr>
        <w:t>relleno</w:t>
      </w:r>
    </w:p>
    <w:p w14:paraId="2E359751" w14:textId="77777777" w:rsidR="00C23001" w:rsidRPr="0057758D" w:rsidRDefault="00C23001" w:rsidP="00C23001">
      <w:pPr>
        <w:pStyle w:val="NORMAL12"/>
      </w:pPr>
      <w:r w:rsidRPr="0057758D">
        <w:t>El material de relleno de las zanjas ejecutadas para las canalizaciones será el material de la propia excavación.</w:t>
      </w:r>
    </w:p>
    <w:p w14:paraId="58FAC2D6" w14:textId="77777777" w:rsidR="00C23001" w:rsidRPr="0057758D" w:rsidRDefault="00C23001" w:rsidP="00C23001">
      <w:pPr>
        <w:pStyle w:val="NORMAL12"/>
      </w:pPr>
      <w:r w:rsidRPr="0057758D">
        <w:t xml:space="preserve">En la zona baja el relleno será de material no plástico, preferentemente granular, y sin materia orgánica. El tamaño máximo admisible de las partículas será de cinco centímetros (5 cm), y se dispondrán en capas de quince a veinte centímetros (15 a 20 cm) de espesor, compactadas mecánicamente hasta alcanzar un grado de compactación no menor 95 % del </w:t>
      </w:r>
      <w:proofErr w:type="spellStart"/>
      <w:r w:rsidRPr="0057758D">
        <w:t>Próctor</w:t>
      </w:r>
      <w:proofErr w:type="spellEnd"/>
      <w:r w:rsidRPr="0057758D">
        <w:t xml:space="preserve"> modificado según UNE 103501.</w:t>
      </w:r>
    </w:p>
    <w:p w14:paraId="27115F5D" w14:textId="77777777" w:rsidR="00C23001" w:rsidRPr="0057758D" w:rsidRDefault="00C23001" w:rsidP="00C23001">
      <w:pPr>
        <w:pStyle w:val="NORMAL12"/>
      </w:pPr>
      <w:r w:rsidRPr="0057758D">
        <w:t xml:space="preserve">En la zona alta de la zanja el relleno se realizará con un material que no produzca daños en la tubería. El tamaño máximo admisible de las partículas será de diez centímetros (10 cm) y se colocará en tongadas </w:t>
      </w:r>
      <w:proofErr w:type="spellStart"/>
      <w:r w:rsidRPr="0057758D">
        <w:t>pseudoparalelas</w:t>
      </w:r>
      <w:proofErr w:type="spellEnd"/>
      <w:r w:rsidRPr="0057758D">
        <w:t xml:space="preserve"> a la explanada, hasta alcanzar un grado de compactación no menor del 100 % del </w:t>
      </w:r>
      <w:proofErr w:type="spellStart"/>
      <w:r w:rsidRPr="0057758D">
        <w:t>Próctor</w:t>
      </w:r>
      <w:proofErr w:type="spellEnd"/>
      <w:r w:rsidRPr="0057758D">
        <w:t xml:space="preserve"> modificado, según UNE 103501.</w:t>
      </w:r>
    </w:p>
    <w:p w14:paraId="60844188" w14:textId="77777777" w:rsidR="00C23001" w:rsidRPr="0057758D" w:rsidRDefault="00C23001" w:rsidP="00C23001">
      <w:pPr>
        <w:pStyle w:val="NORMAL12"/>
      </w:pPr>
      <w:r w:rsidRPr="0057758D">
        <w:t>En los aquellos casos en los que la canalización cruce una carretera, se protegerá la misma con la extensión de una capa de protección de hormigón de 20 cm de espesor</w:t>
      </w:r>
    </w:p>
    <w:p w14:paraId="4CD2FAF0" w14:textId="77777777" w:rsidR="00C23001" w:rsidRPr="00F476CB" w:rsidRDefault="00C23001" w:rsidP="00C23001">
      <w:pPr>
        <w:pStyle w:val="NORMAL12"/>
      </w:pPr>
      <w:r w:rsidRPr="0057758D">
        <w:t xml:space="preserve">En aquellos casos en los que sea necesario la protección de la canalización (cruces de carretera), ésta se ejecutará mediante la extensión de una capa de 20 cm de Hormigón </w:t>
      </w:r>
      <w:r w:rsidRPr="00F476CB">
        <w:t>HM-20/P/20/</w:t>
      </w:r>
      <w:proofErr w:type="spellStart"/>
      <w:r w:rsidRPr="00F476CB">
        <w:t>IIa</w:t>
      </w:r>
      <w:proofErr w:type="spellEnd"/>
      <w:r w:rsidRPr="00F476CB">
        <w:t>, que cumplirá lo reflejado en el Artículo 610. Hormigones.</w:t>
      </w:r>
    </w:p>
    <w:p w14:paraId="54F19EAE" w14:textId="77777777" w:rsidR="00C23001" w:rsidRPr="0057758D" w:rsidRDefault="00C23001" w:rsidP="00C23001">
      <w:pPr>
        <w:pStyle w:val="NORMAL12"/>
        <w:rPr>
          <w:u w:val="single"/>
        </w:rPr>
      </w:pPr>
      <w:r w:rsidRPr="00F476CB">
        <w:rPr>
          <w:u w:val="single"/>
        </w:rPr>
        <w:t xml:space="preserve"> </w:t>
      </w:r>
      <w:r w:rsidR="000161B8" w:rsidRPr="00F476CB">
        <w:rPr>
          <w:u w:val="single"/>
        </w:rPr>
        <w:t xml:space="preserve">Tubos de </w:t>
      </w:r>
      <w:r w:rsidR="003A570E" w:rsidRPr="00F476CB">
        <w:rPr>
          <w:u w:val="single"/>
        </w:rPr>
        <w:t>P</w:t>
      </w:r>
      <w:r w:rsidR="000161B8" w:rsidRPr="00F476CB">
        <w:rPr>
          <w:u w:val="single"/>
        </w:rPr>
        <w:t>.</w:t>
      </w:r>
      <w:r w:rsidR="003A570E" w:rsidRPr="00F476CB">
        <w:rPr>
          <w:u w:val="single"/>
        </w:rPr>
        <w:t>V</w:t>
      </w:r>
      <w:r w:rsidR="000161B8" w:rsidRPr="00F476CB">
        <w:rPr>
          <w:u w:val="single"/>
        </w:rPr>
        <w:t>.</w:t>
      </w:r>
      <w:r w:rsidR="003A570E" w:rsidRPr="00F476CB">
        <w:rPr>
          <w:u w:val="single"/>
        </w:rPr>
        <w:t>C</w:t>
      </w:r>
      <w:r w:rsidR="000161B8" w:rsidRPr="00F476CB">
        <w:rPr>
          <w:u w:val="single"/>
        </w:rPr>
        <w:t>.</w:t>
      </w:r>
    </w:p>
    <w:p w14:paraId="54615CB7" w14:textId="77777777" w:rsidR="0057758D" w:rsidRPr="0057758D" w:rsidRDefault="00C23001" w:rsidP="00C23001">
      <w:pPr>
        <w:pStyle w:val="NORMAL12"/>
      </w:pPr>
      <w:r w:rsidRPr="0057758D">
        <w:t xml:space="preserve">Los tubos de P.V.C. </w:t>
      </w:r>
      <w:proofErr w:type="gramStart"/>
      <w:r w:rsidRPr="0057758D">
        <w:t>deberán  ser</w:t>
      </w:r>
      <w:proofErr w:type="gramEnd"/>
      <w:r w:rsidRPr="0057758D">
        <w:t xml:space="preserve">  </w:t>
      </w:r>
      <w:proofErr w:type="gramStart"/>
      <w:r w:rsidRPr="0057758D">
        <w:t>de  la</w:t>
      </w:r>
      <w:proofErr w:type="gramEnd"/>
      <w:r w:rsidRPr="0057758D">
        <w:t xml:space="preserve">  </w:t>
      </w:r>
      <w:proofErr w:type="gramStart"/>
      <w:r w:rsidRPr="0057758D">
        <w:t>sección  especificada</w:t>
      </w:r>
      <w:proofErr w:type="gramEnd"/>
      <w:r w:rsidRPr="0057758D">
        <w:t xml:space="preserve">  </w:t>
      </w:r>
      <w:proofErr w:type="gramStart"/>
      <w:r w:rsidRPr="0057758D">
        <w:t>según  su</w:t>
      </w:r>
      <w:proofErr w:type="gramEnd"/>
      <w:r w:rsidRPr="0057758D">
        <w:t xml:space="preserve">  </w:t>
      </w:r>
      <w:proofErr w:type="gramStart"/>
      <w:r w:rsidRPr="0057758D">
        <w:t>uso  (</w:t>
      </w:r>
      <w:proofErr w:type="gramEnd"/>
      <w:r w:rsidRPr="0057758D">
        <w:t>110 mm) de diámetro exterior y junta elástica para conducción de cable telefónico</w:t>
      </w:r>
      <w:r w:rsidR="0057758D" w:rsidRPr="0057758D">
        <w:t>.</w:t>
      </w:r>
    </w:p>
    <w:p w14:paraId="362EBAB6" w14:textId="77777777" w:rsidR="00C23001" w:rsidRPr="003C1A00" w:rsidRDefault="00C23001" w:rsidP="00C23001">
      <w:pPr>
        <w:pStyle w:val="NORMAL12"/>
      </w:pPr>
      <w:r w:rsidRPr="0057758D">
        <w:lastRenderedPageBreak/>
        <w:t>En canalizaciones de circuito de alimentación a los equipos, los tubos serán de PVC, flexibles de doble pared, corrugados exteriormente y con un interior liso, serán de 110 mm de diámetro, color rojo, grado de protección al choque " 7 " (tipo ASAFLEX</w:t>
      </w:r>
      <w:r>
        <w:t xml:space="preserve"> </w:t>
      </w:r>
      <w:r w:rsidR="00D93E76">
        <w:t>o</w:t>
      </w:r>
      <w:r>
        <w:t xml:space="preserve"> similar) serán </w:t>
      </w:r>
      <w:r w:rsidRPr="003C1A00">
        <w:t>completamente estancos al agua y la humedad.</w:t>
      </w:r>
    </w:p>
    <w:p w14:paraId="39BDB6FA" w14:textId="77777777" w:rsidR="00C23001" w:rsidRPr="00F74B11" w:rsidRDefault="000161B8" w:rsidP="00C23001">
      <w:pPr>
        <w:pStyle w:val="NORMAL12"/>
        <w:rPr>
          <w:i/>
          <w:u w:val="single"/>
        </w:rPr>
      </w:pPr>
      <w:r w:rsidRPr="00F74B11">
        <w:rPr>
          <w:i/>
          <w:u w:val="single"/>
        </w:rPr>
        <w:t>Cableado de fibra óptica</w:t>
      </w:r>
    </w:p>
    <w:p w14:paraId="3E216D03" w14:textId="77777777" w:rsidR="00C23001" w:rsidRPr="003C1A00" w:rsidRDefault="00C23001" w:rsidP="00C23001">
      <w:pPr>
        <w:pStyle w:val="NORMAL12"/>
        <w:rPr>
          <w:sz w:val="27"/>
        </w:rPr>
      </w:pPr>
      <w:r w:rsidRPr="003C1A00">
        <w:t xml:space="preserve">Cable compuesto por fibras ópticas monomodo con cubierta PESP-R. </w:t>
      </w:r>
    </w:p>
    <w:p w14:paraId="235FDDEA" w14:textId="77777777" w:rsidR="00C23001" w:rsidRPr="003C1A00" w:rsidRDefault="00C23001" w:rsidP="00C23001">
      <w:pPr>
        <w:pStyle w:val="NORMAL12"/>
      </w:pPr>
      <w:r w:rsidRPr="003C1A00">
        <w:t>Especificaciones Características de la</w:t>
      </w:r>
      <w:r w:rsidRPr="003C1A00">
        <w:rPr>
          <w:spacing w:val="-12"/>
        </w:rPr>
        <w:t xml:space="preserve"> </w:t>
      </w:r>
      <w:r w:rsidRPr="003C1A00">
        <w:t>fibra:</w:t>
      </w:r>
    </w:p>
    <w:p w14:paraId="2FD11AF9" w14:textId="77777777" w:rsidR="00C23001" w:rsidRPr="003C1A00" w:rsidRDefault="00C23001" w:rsidP="00221E1A">
      <w:pPr>
        <w:pStyle w:val="NORMAL12"/>
        <w:numPr>
          <w:ilvl w:val="0"/>
          <w:numId w:val="155"/>
        </w:numPr>
        <w:rPr>
          <w:b/>
        </w:rPr>
      </w:pPr>
      <w:r w:rsidRPr="003C1A00">
        <w:rPr>
          <w:b/>
        </w:rPr>
        <w:t>Características</w:t>
      </w:r>
      <w:r w:rsidRPr="003C1A00">
        <w:rPr>
          <w:b/>
          <w:spacing w:val="-1"/>
        </w:rPr>
        <w:t xml:space="preserve"> </w:t>
      </w:r>
      <w:r w:rsidRPr="003C1A00">
        <w:rPr>
          <w:b/>
        </w:rPr>
        <w:t>ópticas:</w:t>
      </w:r>
    </w:p>
    <w:p w14:paraId="04048872" w14:textId="77777777" w:rsidR="00C23001" w:rsidRPr="003C1A00" w:rsidRDefault="00C23001" w:rsidP="00221E1A">
      <w:pPr>
        <w:pStyle w:val="NORMAL12"/>
        <w:numPr>
          <w:ilvl w:val="1"/>
          <w:numId w:val="155"/>
        </w:numPr>
      </w:pPr>
      <w:r w:rsidRPr="003C1A00">
        <w:t>Fibra</w:t>
      </w:r>
      <w:r w:rsidRPr="003C1A00">
        <w:rPr>
          <w:spacing w:val="-1"/>
        </w:rPr>
        <w:t xml:space="preserve"> </w:t>
      </w:r>
      <w:r w:rsidRPr="003C1A00">
        <w:t>monomodo</w:t>
      </w:r>
    </w:p>
    <w:p w14:paraId="3CF3238E" w14:textId="77777777" w:rsidR="00C23001" w:rsidRPr="003C1A00" w:rsidRDefault="00C23001" w:rsidP="00221E1A">
      <w:pPr>
        <w:pStyle w:val="NORMAL12"/>
        <w:numPr>
          <w:ilvl w:val="1"/>
          <w:numId w:val="155"/>
        </w:numPr>
      </w:pPr>
      <w:r w:rsidRPr="003C1A00">
        <w:t>Atenuación (valor</w:t>
      </w:r>
      <w:r w:rsidRPr="003C1A00">
        <w:rPr>
          <w:spacing w:val="1"/>
        </w:rPr>
        <w:t xml:space="preserve"> </w:t>
      </w:r>
      <w:r w:rsidRPr="003C1A00">
        <w:t>máximo)</w:t>
      </w:r>
    </w:p>
    <w:p w14:paraId="56A7C385" w14:textId="77777777" w:rsidR="00C23001" w:rsidRPr="003C1A00" w:rsidRDefault="00C23001" w:rsidP="00221E1A">
      <w:pPr>
        <w:pStyle w:val="NORMAL12"/>
        <w:numPr>
          <w:ilvl w:val="1"/>
          <w:numId w:val="155"/>
        </w:numPr>
      </w:pPr>
      <w:r w:rsidRPr="003C1A00">
        <w:t>1310 nm: 0,4</w:t>
      </w:r>
      <w:r w:rsidRPr="003C1A00">
        <w:rPr>
          <w:spacing w:val="63"/>
        </w:rPr>
        <w:t xml:space="preserve"> </w:t>
      </w:r>
      <w:r w:rsidRPr="003C1A00">
        <w:t>dB/Km</w:t>
      </w:r>
    </w:p>
    <w:p w14:paraId="7D04A359" w14:textId="77777777" w:rsidR="00C23001" w:rsidRPr="003C1A00" w:rsidRDefault="00C23001" w:rsidP="00221E1A">
      <w:pPr>
        <w:pStyle w:val="NORMAL12"/>
        <w:numPr>
          <w:ilvl w:val="1"/>
          <w:numId w:val="155"/>
        </w:numPr>
      </w:pPr>
      <w:r w:rsidRPr="003C1A00">
        <w:t>1550 nm: 0,3</w:t>
      </w:r>
      <w:r w:rsidRPr="003C1A00">
        <w:rPr>
          <w:spacing w:val="63"/>
        </w:rPr>
        <w:t xml:space="preserve"> </w:t>
      </w:r>
      <w:r w:rsidRPr="003C1A00">
        <w:t>dB/Km</w:t>
      </w:r>
    </w:p>
    <w:p w14:paraId="35FB8BF6" w14:textId="77777777" w:rsidR="00C23001" w:rsidRPr="003C1A00" w:rsidRDefault="00C23001" w:rsidP="00221E1A">
      <w:pPr>
        <w:pStyle w:val="NORMAL12"/>
        <w:numPr>
          <w:ilvl w:val="1"/>
          <w:numId w:val="155"/>
        </w:numPr>
      </w:pPr>
      <w:r w:rsidRPr="003C1A00">
        <w:t>Error circularidad del núcleo: &lt; 6</w:t>
      </w:r>
      <w:r w:rsidRPr="003C1A00">
        <w:rPr>
          <w:spacing w:val="2"/>
        </w:rPr>
        <w:t xml:space="preserve"> </w:t>
      </w:r>
      <w:r w:rsidRPr="003C1A00">
        <w:t>%</w:t>
      </w:r>
    </w:p>
    <w:p w14:paraId="0E35354F" w14:textId="77777777" w:rsidR="00C23001" w:rsidRPr="003C1A00" w:rsidRDefault="00C23001" w:rsidP="00221E1A">
      <w:pPr>
        <w:pStyle w:val="NORMAL12"/>
        <w:numPr>
          <w:ilvl w:val="1"/>
          <w:numId w:val="155"/>
        </w:numPr>
      </w:pPr>
      <w:r w:rsidRPr="003C1A00">
        <w:t>No discontinuidades puntuales superiores a 0.1 dB a 1310 y 1550</w:t>
      </w:r>
      <w:r w:rsidRPr="003C1A00">
        <w:rPr>
          <w:spacing w:val="-6"/>
        </w:rPr>
        <w:t xml:space="preserve"> </w:t>
      </w:r>
      <w:r w:rsidRPr="003C1A00">
        <w:t>nm.</w:t>
      </w:r>
    </w:p>
    <w:p w14:paraId="2A4AE27B" w14:textId="77777777" w:rsidR="00C23001" w:rsidRPr="003C1A00" w:rsidRDefault="00C23001" w:rsidP="00221E1A">
      <w:pPr>
        <w:pStyle w:val="NORMAL12"/>
        <w:numPr>
          <w:ilvl w:val="1"/>
          <w:numId w:val="155"/>
        </w:numPr>
      </w:pPr>
      <w:r w:rsidRPr="003C1A00">
        <w:t>Dispersión:</w:t>
      </w:r>
    </w:p>
    <w:p w14:paraId="15DF46CD" w14:textId="77777777" w:rsidR="00C23001" w:rsidRPr="003C1A00" w:rsidRDefault="00C23001" w:rsidP="00221E1A">
      <w:pPr>
        <w:pStyle w:val="NORMAL12"/>
        <w:numPr>
          <w:ilvl w:val="2"/>
          <w:numId w:val="155"/>
        </w:numPr>
      </w:pPr>
      <w:r w:rsidRPr="003C1A00">
        <w:t xml:space="preserve">1310 nm: &lt; 3.5 </w:t>
      </w:r>
      <w:proofErr w:type="spellStart"/>
      <w:r w:rsidRPr="003C1A00">
        <w:t>ps</w:t>
      </w:r>
      <w:proofErr w:type="spellEnd"/>
      <w:r w:rsidRPr="003C1A00">
        <w:t>/nm/Km</w:t>
      </w:r>
    </w:p>
    <w:p w14:paraId="31ABF034" w14:textId="77777777" w:rsidR="00C23001" w:rsidRPr="003C1A00" w:rsidRDefault="00C23001" w:rsidP="00221E1A">
      <w:pPr>
        <w:pStyle w:val="NORMAL12"/>
        <w:numPr>
          <w:ilvl w:val="2"/>
          <w:numId w:val="155"/>
        </w:numPr>
      </w:pPr>
      <w:r w:rsidRPr="003C1A00">
        <w:t>1550 nm: &lt; 18</w:t>
      </w:r>
      <w:r w:rsidRPr="003C1A00">
        <w:rPr>
          <w:spacing w:val="-1"/>
        </w:rPr>
        <w:t xml:space="preserve"> </w:t>
      </w:r>
      <w:proofErr w:type="spellStart"/>
      <w:r w:rsidRPr="003C1A00">
        <w:t>ps</w:t>
      </w:r>
      <w:proofErr w:type="spellEnd"/>
      <w:r w:rsidRPr="003C1A00">
        <w:t>/nm/Km</w:t>
      </w:r>
    </w:p>
    <w:p w14:paraId="2C2ACA8A" w14:textId="77777777" w:rsidR="00C23001" w:rsidRPr="003C1A00" w:rsidRDefault="00C23001" w:rsidP="00221E1A">
      <w:pPr>
        <w:pStyle w:val="NORMAL12"/>
        <w:numPr>
          <w:ilvl w:val="2"/>
          <w:numId w:val="155"/>
        </w:numPr>
      </w:pPr>
      <w:r w:rsidRPr="003C1A00">
        <w:t>Pendiente de dispersión cero: 0.092</w:t>
      </w:r>
      <w:r w:rsidRPr="003C1A00">
        <w:rPr>
          <w:spacing w:val="-1"/>
        </w:rPr>
        <w:t xml:space="preserve"> </w:t>
      </w:r>
      <w:proofErr w:type="spellStart"/>
      <w:r w:rsidRPr="003C1A00">
        <w:t>ps</w:t>
      </w:r>
      <w:proofErr w:type="spellEnd"/>
      <w:r w:rsidRPr="003C1A00">
        <w:t>/nm</w:t>
      </w:r>
      <w:r w:rsidRPr="00241CBC">
        <w:rPr>
          <w:vertAlign w:val="superscript"/>
        </w:rPr>
        <w:t>2</w:t>
      </w:r>
      <w:r w:rsidRPr="003C1A00">
        <w:t>.Km</w:t>
      </w:r>
    </w:p>
    <w:p w14:paraId="00A8ED33" w14:textId="77777777" w:rsidR="00C23001" w:rsidRPr="003C1A00" w:rsidRDefault="00C23001" w:rsidP="00221E1A">
      <w:pPr>
        <w:pStyle w:val="NORMAL12"/>
        <w:numPr>
          <w:ilvl w:val="2"/>
          <w:numId w:val="155"/>
        </w:numPr>
      </w:pPr>
      <w:r w:rsidRPr="003C1A00">
        <w:t>Longitud de onda de dispersión nula: 1314 nm ± 10</w:t>
      </w:r>
      <w:r w:rsidRPr="003C1A00">
        <w:rPr>
          <w:spacing w:val="-8"/>
        </w:rPr>
        <w:t xml:space="preserve"> </w:t>
      </w:r>
      <w:r w:rsidRPr="003C1A00">
        <w:t>nm</w:t>
      </w:r>
    </w:p>
    <w:p w14:paraId="6BA06191" w14:textId="77777777" w:rsidR="00C23001" w:rsidRPr="003C1A00" w:rsidRDefault="00C23001" w:rsidP="00221E1A">
      <w:pPr>
        <w:pStyle w:val="NORMAL12"/>
        <w:numPr>
          <w:ilvl w:val="2"/>
          <w:numId w:val="155"/>
        </w:numPr>
      </w:pPr>
      <w:r w:rsidRPr="003C1A00">
        <w:t xml:space="preserve">Longitud de onda de corte del cable &lt; 1260 nm </w:t>
      </w:r>
    </w:p>
    <w:p w14:paraId="02CBDFAE" w14:textId="77777777" w:rsidR="00C23001" w:rsidRPr="003C1A00" w:rsidRDefault="00C23001" w:rsidP="00221E1A">
      <w:pPr>
        <w:pStyle w:val="NORMAL12"/>
        <w:numPr>
          <w:ilvl w:val="0"/>
          <w:numId w:val="155"/>
        </w:numPr>
        <w:rPr>
          <w:b/>
        </w:rPr>
      </w:pPr>
      <w:r w:rsidRPr="003C1A00">
        <w:rPr>
          <w:b/>
        </w:rPr>
        <w:t>Características</w:t>
      </w:r>
      <w:r w:rsidRPr="003C1A00">
        <w:rPr>
          <w:b/>
          <w:spacing w:val="-1"/>
        </w:rPr>
        <w:t xml:space="preserve"> </w:t>
      </w:r>
      <w:r w:rsidRPr="003C1A00">
        <w:rPr>
          <w:b/>
        </w:rPr>
        <w:t>físicas</w:t>
      </w:r>
    </w:p>
    <w:p w14:paraId="6250D9B8" w14:textId="77777777" w:rsidR="00C23001" w:rsidRPr="003C1A00" w:rsidRDefault="00C23001" w:rsidP="00221E1A">
      <w:pPr>
        <w:pStyle w:val="NORMAL12"/>
        <w:numPr>
          <w:ilvl w:val="1"/>
          <w:numId w:val="155"/>
        </w:numPr>
      </w:pPr>
      <w:r w:rsidRPr="003C1A00">
        <w:t xml:space="preserve">Diámetro de campo modal: 8.6-9.5 </w:t>
      </w:r>
      <w:proofErr w:type="spellStart"/>
      <w:r w:rsidRPr="003C1A00">
        <w:t>um</w:t>
      </w:r>
      <w:proofErr w:type="spellEnd"/>
      <w:r w:rsidRPr="003C1A00">
        <w:t xml:space="preserve"> ± 0.6 </w:t>
      </w:r>
      <w:proofErr w:type="spellStart"/>
      <w:r w:rsidRPr="003C1A00">
        <w:t>um</w:t>
      </w:r>
      <w:proofErr w:type="spellEnd"/>
      <w:r w:rsidRPr="003C1A00">
        <w:t xml:space="preserve"> a 1310</w:t>
      </w:r>
      <w:r w:rsidRPr="003C1A00">
        <w:rPr>
          <w:spacing w:val="-9"/>
        </w:rPr>
        <w:t xml:space="preserve"> </w:t>
      </w:r>
      <w:r w:rsidRPr="003C1A00">
        <w:t>nm</w:t>
      </w:r>
    </w:p>
    <w:p w14:paraId="52BD5AEF" w14:textId="77777777" w:rsidR="00C23001" w:rsidRPr="003C1A00" w:rsidRDefault="00C23001" w:rsidP="00221E1A">
      <w:pPr>
        <w:pStyle w:val="NORMAL12"/>
        <w:numPr>
          <w:ilvl w:val="1"/>
          <w:numId w:val="155"/>
        </w:numPr>
      </w:pPr>
      <w:r w:rsidRPr="003C1A00">
        <w:t xml:space="preserve">Diámetro del revestimiento: 125 </w:t>
      </w:r>
      <w:proofErr w:type="spellStart"/>
      <w:r w:rsidRPr="003C1A00">
        <w:t>um</w:t>
      </w:r>
      <w:proofErr w:type="spellEnd"/>
      <w:r w:rsidRPr="003C1A00">
        <w:t xml:space="preserve"> ± 1</w:t>
      </w:r>
      <w:r w:rsidRPr="003C1A00">
        <w:rPr>
          <w:spacing w:val="-8"/>
        </w:rPr>
        <w:t xml:space="preserve"> </w:t>
      </w:r>
      <w:proofErr w:type="spellStart"/>
      <w:r w:rsidRPr="003C1A00">
        <w:t>um</w:t>
      </w:r>
      <w:proofErr w:type="spellEnd"/>
    </w:p>
    <w:p w14:paraId="455673AB" w14:textId="77777777" w:rsidR="00C23001" w:rsidRPr="003C1A00" w:rsidRDefault="00C23001" w:rsidP="00221E1A">
      <w:pPr>
        <w:pStyle w:val="NORMAL12"/>
        <w:numPr>
          <w:ilvl w:val="1"/>
          <w:numId w:val="155"/>
        </w:numPr>
      </w:pPr>
      <w:r w:rsidRPr="003C1A00">
        <w:t>Error circularidad del revestimiento: &lt; 1</w:t>
      </w:r>
      <w:r w:rsidRPr="003C1A00">
        <w:rPr>
          <w:spacing w:val="-1"/>
        </w:rPr>
        <w:t xml:space="preserve"> </w:t>
      </w:r>
      <w:r w:rsidRPr="003C1A00">
        <w:t>%</w:t>
      </w:r>
    </w:p>
    <w:p w14:paraId="20A02FBB" w14:textId="77777777" w:rsidR="00C23001" w:rsidRPr="003C1A00" w:rsidRDefault="00C23001" w:rsidP="00221E1A">
      <w:pPr>
        <w:pStyle w:val="NORMAL12"/>
        <w:numPr>
          <w:ilvl w:val="1"/>
          <w:numId w:val="155"/>
        </w:numPr>
      </w:pPr>
      <w:r w:rsidRPr="003C1A00">
        <w:t>Error de concentricidad: núcleo/revestimiento &lt; 0.6</w:t>
      </w:r>
      <w:r w:rsidRPr="003C1A00">
        <w:rPr>
          <w:spacing w:val="-1"/>
        </w:rPr>
        <w:t xml:space="preserve"> </w:t>
      </w:r>
      <w:proofErr w:type="spellStart"/>
      <w:r w:rsidRPr="003C1A00">
        <w:t>um</w:t>
      </w:r>
      <w:proofErr w:type="spellEnd"/>
    </w:p>
    <w:p w14:paraId="3C53CCC9" w14:textId="77777777" w:rsidR="00C23001" w:rsidRPr="003C1A00" w:rsidRDefault="00C23001" w:rsidP="00221E1A">
      <w:pPr>
        <w:pStyle w:val="NORMAL12"/>
        <w:numPr>
          <w:ilvl w:val="1"/>
          <w:numId w:val="155"/>
        </w:numPr>
      </w:pPr>
      <w:r w:rsidRPr="003C1A00">
        <w:t xml:space="preserve">Diámetro de protección primaria (nominal): 245 </w:t>
      </w:r>
      <w:proofErr w:type="spellStart"/>
      <w:r w:rsidRPr="003C1A00">
        <w:t>um</w:t>
      </w:r>
      <w:proofErr w:type="spellEnd"/>
      <w:r w:rsidRPr="003C1A00">
        <w:t xml:space="preserve"> ± 10</w:t>
      </w:r>
      <w:r w:rsidRPr="003C1A00">
        <w:rPr>
          <w:spacing w:val="-10"/>
        </w:rPr>
        <w:t xml:space="preserve"> </w:t>
      </w:r>
      <w:proofErr w:type="spellStart"/>
      <w:r w:rsidRPr="003C1A00">
        <w:t>um</w:t>
      </w:r>
      <w:proofErr w:type="spellEnd"/>
    </w:p>
    <w:p w14:paraId="75E4092B" w14:textId="77777777" w:rsidR="00C23001" w:rsidRPr="003C1A00" w:rsidRDefault="00C23001" w:rsidP="00221E1A">
      <w:pPr>
        <w:pStyle w:val="NORMAL12"/>
        <w:numPr>
          <w:ilvl w:val="1"/>
          <w:numId w:val="155"/>
        </w:numPr>
      </w:pPr>
      <w:r w:rsidRPr="003C1A00">
        <w:t>Error circularidad protección primaria: &lt; 6%</w:t>
      </w:r>
    </w:p>
    <w:p w14:paraId="4840A1C5" w14:textId="77777777" w:rsidR="00C23001" w:rsidRPr="003C1A00" w:rsidRDefault="00C23001" w:rsidP="00221E1A">
      <w:pPr>
        <w:pStyle w:val="NORMAL12"/>
        <w:numPr>
          <w:ilvl w:val="1"/>
          <w:numId w:val="155"/>
        </w:numPr>
      </w:pPr>
      <w:r w:rsidRPr="003C1A00">
        <w:t>Error concentricidad revestimiento/ protección primaria: &lt; 12</w:t>
      </w:r>
      <w:r w:rsidRPr="003C1A00">
        <w:rPr>
          <w:spacing w:val="-2"/>
        </w:rPr>
        <w:t xml:space="preserve"> </w:t>
      </w:r>
      <w:proofErr w:type="spellStart"/>
      <w:r w:rsidRPr="003C1A00">
        <w:t>um</w:t>
      </w:r>
      <w:proofErr w:type="spellEnd"/>
    </w:p>
    <w:p w14:paraId="728AD2D0" w14:textId="77777777" w:rsidR="00C23001" w:rsidRPr="003C1A00" w:rsidRDefault="00C23001" w:rsidP="00221E1A">
      <w:pPr>
        <w:pStyle w:val="NORMAL12"/>
        <w:numPr>
          <w:ilvl w:val="1"/>
          <w:numId w:val="155"/>
        </w:numPr>
      </w:pPr>
      <w:r w:rsidRPr="003C1A00">
        <w:t xml:space="preserve">PMD máximo medio: 0,2 </w:t>
      </w:r>
      <w:proofErr w:type="spellStart"/>
      <w:r w:rsidRPr="003C1A00">
        <w:t>ps</w:t>
      </w:r>
      <w:proofErr w:type="spellEnd"/>
      <w:r w:rsidRPr="003C1A00">
        <w:t xml:space="preserve">/ (km)^1/2 </w:t>
      </w:r>
    </w:p>
    <w:p w14:paraId="52C66402" w14:textId="77777777" w:rsidR="00C23001" w:rsidRPr="003C1A00" w:rsidRDefault="00C23001" w:rsidP="00221E1A">
      <w:pPr>
        <w:pStyle w:val="NORMAL12"/>
        <w:numPr>
          <w:ilvl w:val="0"/>
          <w:numId w:val="155"/>
        </w:numPr>
        <w:rPr>
          <w:b/>
        </w:rPr>
      </w:pPr>
      <w:r w:rsidRPr="003C1A00">
        <w:rPr>
          <w:b/>
        </w:rPr>
        <w:t>Características del</w:t>
      </w:r>
      <w:r w:rsidRPr="003C1A00">
        <w:rPr>
          <w:b/>
          <w:spacing w:val="-1"/>
        </w:rPr>
        <w:t xml:space="preserve"> </w:t>
      </w:r>
      <w:r w:rsidRPr="003C1A00">
        <w:rPr>
          <w:b/>
        </w:rPr>
        <w:t>cable</w:t>
      </w:r>
    </w:p>
    <w:p w14:paraId="1FF770AD" w14:textId="77777777" w:rsidR="00C23001" w:rsidRPr="003C1A00" w:rsidRDefault="00C23001" w:rsidP="00221E1A">
      <w:pPr>
        <w:pStyle w:val="NORMAL12"/>
        <w:numPr>
          <w:ilvl w:val="1"/>
          <w:numId w:val="155"/>
        </w:numPr>
      </w:pPr>
      <w:r w:rsidRPr="003C1A00">
        <w:t>Las especificaciones indicadas en este apartado deben ser consideradas como criterios mínimos de calidad y protección a cumplir, admitiéndose otro tipo de configuraciones de cable equivalentes.</w:t>
      </w:r>
    </w:p>
    <w:p w14:paraId="72AA6F6A" w14:textId="77777777" w:rsidR="00C23001" w:rsidRPr="003C1A00" w:rsidRDefault="00C23001" w:rsidP="00221E1A">
      <w:pPr>
        <w:pStyle w:val="NORMAL12"/>
        <w:numPr>
          <w:ilvl w:val="1"/>
          <w:numId w:val="155"/>
        </w:numPr>
      </w:pPr>
      <w:r w:rsidRPr="003C1A00">
        <w:t>Cubiertas</w:t>
      </w:r>
      <w:r w:rsidRPr="003C1A00">
        <w:rPr>
          <w:spacing w:val="-2"/>
        </w:rPr>
        <w:t xml:space="preserve"> </w:t>
      </w:r>
      <w:r w:rsidRPr="003C1A00">
        <w:t>PESP-R</w:t>
      </w:r>
    </w:p>
    <w:p w14:paraId="0F813C28" w14:textId="77777777" w:rsidR="00C23001" w:rsidRPr="003C1A00" w:rsidRDefault="00C23001" w:rsidP="00221E1A">
      <w:pPr>
        <w:pStyle w:val="NORMAL12"/>
        <w:numPr>
          <w:ilvl w:val="1"/>
          <w:numId w:val="155"/>
        </w:numPr>
      </w:pPr>
      <w:r w:rsidRPr="003C1A00">
        <w:t>Protección secundaria holgada y plástica de alta densidad para las</w:t>
      </w:r>
      <w:r w:rsidRPr="003C1A00">
        <w:rPr>
          <w:spacing w:val="-21"/>
        </w:rPr>
        <w:t xml:space="preserve"> </w:t>
      </w:r>
      <w:r w:rsidRPr="003C1A00">
        <w:t>fibras.</w:t>
      </w:r>
    </w:p>
    <w:p w14:paraId="6BED8DBD" w14:textId="77777777" w:rsidR="00C23001" w:rsidRPr="003C1A00" w:rsidRDefault="00C23001" w:rsidP="00221E1A">
      <w:pPr>
        <w:pStyle w:val="NORMAL12"/>
        <w:numPr>
          <w:ilvl w:val="1"/>
          <w:numId w:val="155"/>
        </w:numPr>
      </w:pPr>
      <w:r w:rsidRPr="003C1A00">
        <w:t>Elemento de tracción</w:t>
      </w:r>
      <w:r w:rsidRPr="003C1A00">
        <w:rPr>
          <w:spacing w:val="-1"/>
        </w:rPr>
        <w:t xml:space="preserve"> </w:t>
      </w:r>
      <w:r w:rsidRPr="003C1A00">
        <w:t>central</w:t>
      </w:r>
    </w:p>
    <w:p w14:paraId="1363893E" w14:textId="77777777" w:rsidR="00C23001" w:rsidRPr="003C1A00" w:rsidRDefault="00C23001" w:rsidP="00221E1A">
      <w:pPr>
        <w:pStyle w:val="NORMAL12"/>
        <w:numPr>
          <w:ilvl w:val="1"/>
          <w:numId w:val="155"/>
        </w:numPr>
      </w:pPr>
      <w:r w:rsidRPr="003C1A00">
        <w:t>Espesor de cubierta interior de polietileno (nominal) 1</w:t>
      </w:r>
      <w:r w:rsidRPr="003C1A00">
        <w:rPr>
          <w:spacing w:val="-3"/>
        </w:rPr>
        <w:t xml:space="preserve"> </w:t>
      </w:r>
      <w:proofErr w:type="spellStart"/>
      <w:r w:rsidRPr="003C1A00">
        <w:t>mm.</w:t>
      </w:r>
      <w:proofErr w:type="spellEnd"/>
    </w:p>
    <w:p w14:paraId="6C94D37B" w14:textId="77777777" w:rsidR="00C23001" w:rsidRPr="003C1A00" w:rsidRDefault="00C23001" w:rsidP="00221E1A">
      <w:pPr>
        <w:pStyle w:val="NORMAL12"/>
        <w:numPr>
          <w:ilvl w:val="1"/>
          <w:numId w:val="155"/>
        </w:numPr>
      </w:pPr>
      <w:r w:rsidRPr="003C1A00">
        <w:t>Armadura de acero-copolímero</w:t>
      </w:r>
      <w:r w:rsidRPr="003C1A00">
        <w:rPr>
          <w:spacing w:val="-2"/>
        </w:rPr>
        <w:t xml:space="preserve"> </w:t>
      </w:r>
      <w:r w:rsidRPr="003C1A00">
        <w:t>corrugado.</w:t>
      </w:r>
    </w:p>
    <w:p w14:paraId="24820C39" w14:textId="77777777" w:rsidR="00C23001" w:rsidRPr="003C1A00" w:rsidRDefault="00C23001" w:rsidP="00221E1A">
      <w:pPr>
        <w:pStyle w:val="NORMAL12"/>
        <w:numPr>
          <w:ilvl w:val="1"/>
          <w:numId w:val="155"/>
        </w:numPr>
      </w:pPr>
      <w:r w:rsidRPr="003C1A00">
        <w:t>Núcleo óptico relleno de compuesto</w:t>
      </w:r>
      <w:r w:rsidRPr="003C1A00">
        <w:rPr>
          <w:spacing w:val="-2"/>
        </w:rPr>
        <w:t xml:space="preserve"> </w:t>
      </w:r>
      <w:r w:rsidRPr="003C1A00">
        <w:t>antihumedad.</w:t>
      </w:r>
    </w:p>
    <w:p w14:paraId="2C1BA7F9" w14:textId="77777777" w:rsidR="00C23001" w:rsidRPr="003C1A00" w:rsidRDefault="00C23001" w:rsidP="00221E1A">
      <w:pPr>
        <w:pStyle w:val="NORMAL12"/>
        <w:numPr>
          <w:ilvl w:val="1"/>
          <w:numId w:val="155"/>
        </w:numPr>
      </w:pPr>
      <w:r w:rsidRPr="003C1A00">
        <w:t>Espesor de cubierta exterior de polietileno (nominal) 1.5</w:t>
      </w:r>
      <w:r w:rsidRPr="003C1A00">
        <w:rPr>
          <w:spacing w:val="-4"/>
        </w:rPr>
        <w:t xml:space="preserve"> </w:t>
      </w:r>
      <w:proofErr w:type="spellStart"/>
      <w:r w:rsidRPr="003C1A00">
        <w:t>mm.</w:t>
      </w:r>
      <w:proofErr w:type="spellEnd"/>
    </w:p>
    <w:p w14:paraId="3C07B6F3" w14:textId="77777777" w:rsidR="00C23001" w:rsidRPr="003C1A00" w:rsidRDefault="00C23001" w:rsidP="00221E1A">
      <w:pPr>
        <w:pStyle w:val="NORMAL12"/>
        <w:numPr>
          <w:ilvl w:val="1"/>
          <w:numId w:val="155"/>
        </w:numPr>
      </w:pPr>
      <w:r w:rsidRPr="003C1A00">
        <w:t>Margen de temperatura de funcionamiento sin afectar las características de transmisión óptica entre -30ºC y</w:t>
      </w:r>
      <w:r w:rsidRPr="003C1A00">
        <w:rPr>
          <w:spacing w:val="-1"/>
        </w:rPr>
        <w:t xml:space="preserve"> </w:t>
      </w:r>
      <w:r w:rsidRPr="003C1A00">
        <w:t>70ºC.</w:t>
      </w:r>
    </w:p>
    <w:p w14:paraId="0F026AA9" w14:textId="77777777" w:rsidR="00C23001" w:rsidRDefault="00C23001" w:rsidP="00C23001">
      <w:pPr>
        <w:pStyle w:val="NORMAL12"/>
      </w:pPr>
      <w:r w:rsidRPr="003C1A00">
        <w:t>Previo al suministro se deberá proporcionar a Dirección de Obra las fichas técnicas y certificados de los cables según normativa vigente.</w:t>
      </w:r>
    </w:p>
    <w:p w14:paraId="6AC29BD3" w14:textId="77777777" w:rsidR="00C23001" w:rsidRPr="004253D9" w:rsidRDefault="007E08F5" w:rsidP="000313DD">
      <w:pPr>
        <w:pStyle w:val="TITU2"/>
      </w:pPr>
      <w:bookmarkStart w:id="1268" w:name="_Toc404646"/>
      <w:r>
        <w:t xml:space="preserve">801.5. </w:t>
      </w:r>
      <w:r w:rsidR="00C23001" w:rsidRPr="004253D9">
        <w:tab/>
        <w:t>Ejecución</w:t>
      </w:r>
      <w:bookmarkEnd w:id="1265"/>
      <w:bookmarkEnd w:id="1266"/>
      <w:bookmarkEnd w:id="1267"/>
      <w:r w:rsidR="00C23001" w:rsidRPr="004253D9">
        <w:t xml:space="preserve"> </w:t>
      </w:r>
      <w:r w:rsidR="00901FE5">
        <w:t>de las obras</w:t>
      </w:r>
      <w:bookmarkEnd w:id="1268"/>
    </w:p>
    <w:p w14:paraId="46E0E3F7" w14:textId="77777777" w:rsidR="00C23001" w:rsidRDefault="00C23001" w:rsidP="00C23001">
      <w:pPr>
        <w:pStyle w:val="NORMAL12"/>
      </w:pPr>
      <w:bookmarkStart w:id="1269" w:name="_Toc399509026"/>
      <w:bookmarkStart w:id="1270" w:name="_Toc400741564"/>
      <w:bookmarkStart w:id="1271" w:name="_Toc513146328"/>
      <w:r w:rsidRPr="00AC551D">
        <w:t>La canalización incluye el corte y demolición del pavimento si es necesario, excavación y acondicionamiento de</w:t>
      </w:r>
      <w:r>
        <w:t xml:space="preserve"> cualquier clase de terreno, a mano o máquina en su caso, formación de cama de arena, la adquisición y colocación de los tubos PVC, el relleno compactado, ejecución de losa de hormigón de protección si procede, reposición de pavimento en su caso, y la carga y transporte de productos sobrantes a acopio provisional.</w:t>
      </w:r>
    </w:p>
    <w:p w14:paraId="3C964D4D" w14:textId="77777777" w:rsidR="00C23001" w:rsidRDefault="00C23001" w:rsidP="00C23001">
      <w:pPr>
        <w:pStyle w:val="NORMAL12"/>
      </w:pPr>
      <w:r>
        <w:t xml:space="preserve">La canalización constará de 1, 2 o 3 tubos de PVC de diámetro 110 mm, según planos, y será común para instalaciones eléctricas y de telecomunicaciones, hormigonada. Cualquier cambio en el número y tipo de los tubos, deberá ser autorizado por escrito por el </w:t>
      </w:r>
      <w:proofErr w:type="gramStart"/>
      <w:r>
        <w:t>Director</w:t>
      </w:r>
      <w:proofErr w:type="gramEnd"/>
      <w:r>
        <w:t xml:space="preserve"> de la</w:t>
      </w:r>
      <w:r w:rsidRPr="00DA217C">
        <w:t xml:space="preserve"> </w:t>
      </w:r>
      <w:r>
        <w:t>Obra.</w:t>
      </w:r>
    </w:p>
    <w:p w14:paraId="6D206341" w14:textId="77777777" w:rsidR="00C23001" w:rsidRDefault="00C23001" w:rsidP="00C23001">
      <w:pPr>
        <w:pStyle w:val="NORMAL12"/>
      </w:pPr>
      <w:r>
        <w:lastRenderedPageBreak/>
        <w:t>Las dimensiones de la zanja y la cama de arena serán las que establezca el titular del servicio.</w:t>
      </w:r>
    </w:p>
    <w:p w14:paraId="0E8C9E1E" w14:textId="77777777" w:rsidR="00C23001" w:rsidRDefault="00C23001" w:rsidP="00C23001">
      <w:pPr>
        <w:pStyle w:val="NORMAL12"/>
      </w:pPr>
      <w:r>
        <w:t xml:space="preserve">Por razones de seguridad, la Dirección </w:t>
      </w:r>
      <w:r w:rsidR="00D50357">
        <w:t>de Obra</w:t>
      </w:r>
      <w:r>
        <w:t>, podrá limitar la longitud de la zanja abierta (colocación de tubos y relleno), antes de continuar la excavación de zanjas.</w:t>
      </w:r>
    </w:p>
    <w:p w14:paraId="439A8EC9" w14:textId="77777777" w:rsidR="00C23001" w:rsidRDefault="00C23001" w:rsidP="00C23001">
      <w:pPr>
        <w:pStyle w:val="NORMAL12"/>
      </w:pPr>
      <w:r>
        <w:t xml:space="preserve">De forma general se realizará la canalización en tierra a máquina, únicamente se ejecutará a mano en los casos en que no sea posible el acceso de la maquinaria o existan servicios u otros elementos que imposibiliten un trabajo continuo. En todo caso la ejecución de canalizaciones a mano deberá ser aprobada por la Dirección </w:t>
      </w:r>
      <w:r w:rsidR="00D50357">
        <w:t>de Obra</w:t>
      </w:r>
      <w:r>
        <w:t>.</w:t>
      </w:r>
    </w:p>
    <w:p w14:paraId="1B647D1A" w14:textId="77777777" w:rsidR="00C23001" w:rsidRDefault="00C23001" w:rsidP="00C23001">
      <w:pPr>
        <w:pStyle w:val="NORMAL12"/>
      </w:pPr>
      <w:r>
        <w:t xml:space="preserve">La Dirección </w:t>
      </w:r>
      <w:r w:rsidR="00F42B32">
        <w:t>de Obra</w:t>
      </w:r>
      <w:r>
        <w:t xml:space="preserve"> podrá realizar cuantas pruebas y mediciones adicionales considere convenientes para asegurarse de la fiabilidad de las mediciones originales. Si dichas mediciones están dentro de los límites tolerados por este Pliego el Ingeniero </w:t>
      </w:r>
      <w:proofErr w:type="gramStart"/>
      <w:r>
        <w:t>Director</w:t>
      </w:r>
      <w:proofErr w:type="gramEnd"/>
      <w:r>
        <w:t xml:space="preserve"> autorizará la ejecución del empalme. Si las mediciones no son aceptables el Ingeniero </w:t>
      </w:r>
      <w:proofErr w:type="gramStart"/>
      <w:r>
        <w:t>Director</w:t>
      </w:r>
      <w:proofErr w:type="gramEnd"/>
      <w:r>
        <w:t xml:space="preserve"> podrá ordenar el levantamiento de los tramos de cable cuyas mediciones hayan resultado</w:t>
      </w:r>
      <w:r w:rsidRPr="00571E58">
        <w:t xml:space="preserve"> </w:t>
      </w:r>
      <w:r>
        <w:t>insatisfactorias.</w:t>
      </w:r>
    </w:p>
    <w:p w14:paraId="79201E3E" w14:textId="77777777" w:rsidR="00C23001" w:rsidRPr="00683612" w:rsidRDefault="00C23001" w:rsidP="00C23001">
      <w:pPr>
        <w:pStyle w:val="NORMAL12"/>
      </w:pPr>
      <w:r w:rsidRPr="00683612">
        <w:t>El relleno de la zanja se subdividirá en una zona inferior de unos treinta centímetros por encima de la generatriz superior del tubo, y una zona superior correspondiente con el resto del relleno de la zanja.</w:t>
      </w:r>
    </w:p>
    <w:p w14:paraId="60351B85" w14:textId="77777777" w:rsidR="00C23001" w:rsidRPr="00683612" w:rsidRDefault="00C23001" w:rsidP="00C23001">
      <w:pPr>
        <w:pStyle w:val="NORMAL12"/>
      </w:pPr>
      <w:r w:rsidRPr="00683612">
        <w:t>En el caso de zanjas excavadas en terraplenes o en rellenos todo-uno la densidad obtenida después de compactar el relleno de la zanja habrá de ser igual o mayor que la de los materiales contiguos.</w:t>
      </w:r>
    </w:p>
    <w:p w14:paraId="706DA5D7" w14:textId="77777777" w:rsidR="00C23001" w:rsidRPr="00683612" w:rsidRDefault="00C23001" w:rsidP="00C23001">
      <w:pPr>
        <w:pStyle w:val="NORMAL12"/>
      </w:pPr>
      <w:r w:rsidRPr="00683612">
        <w:t xml:space="preserve">En el caso de zanjas sobre terrenos naturales o sobre pedraplenes, este objetivo habrá de alcanzarse si es posible. En caso contrario, se estará a lo indicado por el Proyecto o, en su defecto, por el </w:t>
      </w:r>
      <w:proofErr w:type="gramStart"/>
      <w:r w:rsidRPr="00683612">
        <w:t>Director</w:t>
      </w:r>
      <w:proofErr w:type="gramEnd"/>
      <w:r w:rsidRPr="00683612">
        <w:t xml:space="preserve"> de la Obra, pero en ningún caso, por debajo de los valores mínimos de densidad indicados en los párrafos anteriores de este Pliego.</w:t>
      </w:r>
    </w:p>
    <w:p w14:paraId="398011DB" w14:textId="77777777" w:rsidR="00C23001" w:rsidRPr="00683612" w:rsidRDefault="00C23001" w:rsidP="00C23001">
      <w:pPr>
        <w:pStyle w:val="NORMAL12"/>
      </w:pPr>
      <w:r w:rsidRPr="00683612">
        <w:t>Se prestará especial cuidado durante la compactación de los rellenos, de modo que no se produzcan ni movimientos ni daños en la tubería, a cuyo efecto se reducirá, si fuese necesario, el espesor de las tongadas y la potencia de la maquinaria de compactación.</w:t>
      </w:r>
    </w:p>
    <w:p w14:paraId="0139D601" w14:textId="77777777" w:rsidR="00C23001" w:rsidRPr="00683612" w:rsidRDefault="00C23001" w:rsidP="00C23001">
      <w:pPr>
        <w:pStyle w:val="NORMAL12"/>
      </w:pPr>
      <w:r w:rsidRPr="00683612">
        <w:t xml:space="preserve">Cuando existan dificultades en la obtención de los materiales indicados o de los niveles de compactación exigidos para la realización de los rellenos, el Contratista podrá proponer al </w:t>
      </w:r>
      <w:proofErr w:type="gramStart"/>
      <w:r w:rsidRPr="00683612">
        <w:t>Director</w:t>
      </w:r>
      <w:proofErr w:type="gramEnd"/>
      <w:r w:rsidRPr="00683612">
        <w:t xml:space="preserve"> de la Obra, una solución alternativa sin sobrecoste adicional.</w:t>
      </w:r>
    </w:p>
    <w:p w14:paraId="22D396DE" w14:textId="77777777" w:rsidR="00C23001" w:rsidRPr="00683612" w:rsidRDefault="00C23001" w:rsidP="00C23001">
      <w:pPr>
        <w:pStyle w:val="NORMAL12"/>
      </w:pPr>
      <w:r w:rsidRPr="00683612">
        <w:t>Los rellenos localizados se ejecutarán cuando la temperatura ambiente, a la sombra, sea superior a dos grados Celsius (2º C); debiendo suspenderse los trabajos cuando la temperatura descienda por debajo de dicho límite.</w:t>
      </w:r>
    </w:p>
    <w:p w14:paraId="2A4F8676" w14:textId="77777777" w:rsidR="00C23001" w:rsidRPr="00683612" w:rsidRDefault="00C23001" w:rsidP="00C23001">
      <w:pPr>
        <w:pStyle w:val="NORMAL12"/>
      </w:pPr>
      <w:r w:rsidRPr="00683612">
        <w:t>Sobre las capas en ejecución debe prohibirse la acción de todo tipo de tráfico hasta que se haya completado su compactación.</w:t>
      </w:r>
    </w:p>
    <w:p w14:paraId="47E62A9B" w14:textId="77777777" w:rsidR="00C23001" w:rsidRPr="00683612" w:rsidRDefault="00C23001" w:rsidP="00C23001">
      <w:pPr>
        <w:pStyle w:val="NORMAL12"/>
      </w:pPr>
      <w:r w:rsidRPr="00683612">
        <w:t>La ejecución incluye toda la maquinaria, entibación y agotamiento para la excavación de zanja, incluso el relleno y la mano de obra u otros elementos necesarios para su total ejecución y acabado.</w:t>
      </w:r>
    </w:p>
    <w:p w14:paraId="63FD544F" w14:textId="77777777" w:rsidR="00C23001" w:rsidRPr="00683612" w:rsidRDefault="00C23001" w:rsidP="00C23001">
      <w:pPr>
        <w:pStyle w:val="NORMAL12"/>
      </w:pPr>
      <w:r w:rsidRPr="00683612">
        <w:t>Las reposiciones de las canalizaciones, tanto en calzada como en acera serán de tal forma que las mismas sean idénticas al resto de pavimentos o aceras.</w:t>
      </w:r>
    </w:p>
    <w:p w14:paraId="089854B0" w14:textId="77777777" w:rsidR="00C23001" w:rsidRPr="00683612" w:rsidRDefault="00C23001" w:rsidP="00C23001">
      <w:pPr>
        <w:pStyle w:val="NORMAL12"/>
      </w:pPr>
      <w:r w:rsidRPr="00683612">
        <w:t xml:space="preserve">Quedan incluidos en estas unidades los suministros de materiales, colocación y retirada de restos a </w:t>
      </w:r>
      <w:r>
        <w:t xml:space="preserve">acopio provisional </w:t>
      </w:r>
      <w:r w:rsidRPr="00683612">
        <w:t>y limpieza para su total acabado.</w:t>
      </w:r>
    </w:p>
    <w:p w14:paraId="56F58C53" w14:textId="77777777" w:rsidR="00C23001" w:rsidRDefault="00C23001" w:rsidP="00C23001">
      <w:pPr>
        <w:pStyle w:val="NORMAL12"/>
      </w:pPr>
      <w:r w:rsidRPr="00683612">
        <w:t>Se estará, en todo caso, a lo dispuesto en la legislación vigente en materia medioambiental, de seguridad y salud, y de almacenamiento y transporte de productos de construcción.</w:t>
      </w:r>
    </w:p>
    <w:p w14:paraId="25152252" w14:textId="77777777" w:rsidR="00C23001" w:rsidRPr="00F74B11" w:rsidRDefault="00C23001" w:rsidP="00C23001">
      <w:pPr>
        <w:pStyle w:val="NORMAL12"/>
        <w:rPr>
          <w:i/>
          <w:u w:val="single"/>
        </w:rPr>
      </w:pPr>
      <w:r w:rsidRPr="00F74B11">
        <w:rPr>
          <w:i/>
          <w:u w:val="single"/>
        </w:rPr>
        <w:t>Instalación del cable en canalización</w:t>
      </w:r>
    </w:p>
    <w:p w14:paraId="36D27948" w14:textId="77777777" w:rsidR="00C23001" w:rsidRDefault="00C23001" w:rsidP="00C23001">
      <w:pPr>
        <w:pStyle w:val="NORMAL12"/>
      </w:pPr>
      <w:r>
        <w:t>En aquellos tramos en los que exista canalización, la instalación del cable se efectuará mediante cabestrante autónomo con el apoyo de un camión-grúa.</w:t>
      </w:r>
    </w:p>
    <w:p w14:paraId="4383A2A9" w14:textId="77777777" w:rsidR="00C23001" w:rsidRDefault="00C23001" w:rsidP="00C23001">
      <w:pPr>
        <w:pStyle w:val="NORMAL12"/>
      </w:pPr>
      <w:r>
        <w:t>El personal encargado de ejecutar la obra, aparte de recibir las instrucciones necesarias para la organización del tendido de cables, deberá de conocer los siguientes datos:</w:t>
      </w:r>
    </w:p>
    <w:p w14:paraId="2C040FA1" w14:textId="77777777" w:rsidR="00C23001" w:rsidRDefault="00C23001" w:rsidP="00221E1A">
      <w:pPr>
        <w:pStyle w:val="NORMAL12"/>
        <w:numPr>
          <w:ilvl w:val="0"/>
          <w:numId w:val="154"/>
        </w:numPr>
      </w:pPr>
      <w:proofErr w:type="spellStart"/>
      <w:r>
        <w:t>Nº</w:t>
      </w:r>
      <w:proofErr w:type="spellEnd"/>
      <w:r>
        <w:t xml:space="preserve"> de las arquetas de registro y ubicación de </w:t>
      </w:r>
      <w:proofErr w:type="gramStart"/>
      <w:r>
        <w:t>las</w:t>
      </w:r>
      <w:r>
        <w:rPr>
          <w:spacing w:val="-6"/>
        </w:rPr>
        <w:t xml:space="preserve"> </w:t>
      </w:r>
      <w:r>
        <w:t>mismas</w:t>
      </w:r>
      <w:proofErr w:type="gramEnd"/>
      <w:r>
        <w:t>.</w:t>
      </w:r>
    </w:p>
    <w:p w14:paraId="32D84BFC" w14:textId="77777777" w:rsidR="00C23001" w:rsidRDefault="00C23001" w:rsidP="00221E1A">
      <w:pPr>
        <w:pStyle w:val="NORMAL12"/>
        <w:numPr>
          <w:ilvl w:val="0"/>
          <w:numId w:val="154"/>
        </w:numPr>
      </w:pPr>
      <w:proofErr w:type="spellStart"/>
      <w:r>
        <w:t>Nº</w:t>
      </w:r>
      <w:proofErr w:type="spellEnd"/>
      <w:r>
        <w:t xml:space="preserve"> del conducto </w:t>
      </w:r>
      <w:proofErr w:type="gramStart"/>
      <w:r>
        <w:t>designado.-</w:t>
      </w:r>
      <w:proofErr w:type="gramEnd"/>
      <w:r>
        <w:t xml:space="preserve"> Longitud de la sección de</w:t>
      </w:r>
      <w:r>
        <w:rPr>
          <w:spacing w:val="30"/>
        </w:rPr>
        <w:t xml:space="preserve"> </w:t>
      </w:r>
      <w:r>
        <w:t>canalización. Previamente al tendido del cable, es necesario realizar la limpieza del conducto.</w:t>
      </w:r>
    </w:p>
    <w:p w14:paraId="2EE7DABD" w14:textId="77777777" w:rsidR="00C23001" w:rsidRPr="00F74B11" w:rsidRDefault="00C23001" w:rsidP="00C23001">
      <w:pPr>
        <w:pStyle w:val="NORMAL12"/>
        <w:rPr>
          <w:i/>
          <w:u w:val="single"/>
        </w:rPr>
      </w:pPr>
      <w:r w:rsidRPr="00F74B11">
        <w:rPr>
          <w:i/>
          <w:u w:val="single"/>
        </w:rPr>
        <w:t>Tendido del cable</w:t>
      </w:r>
    </w:p>
    <w:p w14:paraId="0FBF567C" w14:textId="77777777" w:rsidR="00C23001" w:rsidRDefault="00C23001" w:rsidP="00C23001">
      <w:pPr>
        <w:pStyle w:val="NORMAL12"/>
      </w:pPr>
      <w:r>
        <w:t>La longitud de las bobinas de cable de F.O., será aproximadamente de 2.000 metros.</w:t>
      </w:r>
    </w:p>
    <w:p w14:paraId="3A659403" w14:textId="77777777" w:rsidR="00C23001" w:rsidRDefault="00C23001" w:rsidP="00C23001">
      <w:pPr>
        <w:pStyle w:val="NORMAL12"/>
      </w:pPr>
      <w:r>
        <w:t>La bobina se colocará junto a la arqueta elegida suspendida sobre gatos o grúa, de manera que pueda girar libremente y de forma que el cable salga por su parte superior.</w:t>
      </w:r>
    </w:p>
    <w:p w14:paraId="65EBFD12" w14:textId="77777777" w:rsidR="00C23001" w:rsidRDefault="00C23001" w:rsidP="00C23001">
      <w:pPr>
        <w:pStyle w:val="NORMAL12"/>
      </w:pPr>
      <w:r>
        <w:t xml:space="preserve">Cuando por circunstancias especiales no se pueden utilizar las arquetas extremas para ubicar la bobina, la operación de tendido se realizará en dos tramos; para ello se elegirá </w:t>
      </w:r>
      <w:r>
        <w:lastRenderedPageBreak/>
        <w:t>una arqueta intermedia, se realizará la operación, se desenrollará el cable restante sobre el suelo en forma de "ochos" y una vez acabada ésta se continuará tendiendo éste hacia el otro extremo cuidando de que el cable no se vea sometido a torsiones y no forme</w:t>
      </w:r>
      <w:r w:rsidRPr="00571E58">
        <w:t xml:space="preserve"> </w:t>
      </w:r>
      <w:r>
        <w:t>"cocas".</w:t>
      </w:r>
    </w:p>
    <w:p w14:paraId="29588E68" w14:textId="77777777" w:rsidR="00C23001" w:rsidRDefault="00C23001" w:rsidP="00C23001">
      <w:pPr>
        <w:pStyle w:val="NORMAL12"/>
      </w:pPr>
      <w:r>
        <w:t>Durante la operación de tendido, así como en la instalación definitiva del cable, éste no debe ser sometido a curvaturas</w:t>
      </w:r>
      <w:r w:rsidRPr="00571E58">
        <w:t xml:space="preserve"> </w:t>
      </w:r>
      <w:r>
        <w:t>excesivas.</w:t>
      </w:r>
    </w:p>
    <w:p w14:paraId="455BF0B7" w14:textId="77777777" w:rsidR="00C23001" w:rsidRDefault="00C23001" w:rsidP="00C23001">
      <w:pPr>
        <w:pStyle w:val="NORMAL12"/>
      </w:pPr>
      <w:r>
        <w:t>La tracción del cable deberá realizarse en el sentido de su generatriz. Las personas que intervengan en la operación de tendido, especialmente las situadas junto a la bobina, deberán observar atentamente el cable según salga de ella, a fin de denunciar cualquier deterioro aparente de éste, lo cual será comunicado instantáneamente a su jefe inmediato, quien decidirá si se debe continuar o no con el proceso.</w:t>
      </w:r>
    </w:p>
    <w:p w14:paraId="732E7A83" w14:textId="77777777" w:rsidR="00C23001" w:rsidRDefault="00C23001" w:rsidP="00C23001">
      <w:pPr>
        <w:pStyle w:val="NORMAL12"/>
      </w:pPr>
      <w:r>
        <w:t xml:space="preserve">Es imprescindible garantizar que el cable no sufre torsiones durante su tendido, por lo cual se empleará un nudo giratorio, especialmente diseñado para las dimensiones del </w:t>
      </w:r>
      <w:proofErr w:type="spellStart"/>
      <w:r>
        <w:t>subconducto</w:t>
      </w:r>
      <w:proofErr w:type="spellEnd"/>
      <w:r>
        <w:t xml:space="preserve"> y del cable</w:t>
      </w:r>
      <w:r w:rsidRPr="00571E58">
        <w:t xml:space="preserve"> </w:t>
      </w:r>
      <w:r>
        <w:t>óptico.</w:t>
      </w:r>
    </w:p>
    <w:p w14:paraId="591EF238" w14:textId="77777777" w:rsidR="00C23001" w:rsidRPr="00F74B11" w:rsidRDefault="00C23001" w:rsidP="00C23001">
      <w:pPr>
        <w:pStyle w:val="NORMAL12"/>
        <w:rPr>
          <w:i/>
          <w:u w:val="single"/>
        </w:rPr>
      </w:pPr>
      <w:r w:rsidRPr="00F74B11">
        <w:rPr>
          <w:i/>
          <w:u w:val="single"/>
        </w:rPr>
        <w:t>Método de tendido mediante tracción manual distribuida</w:t>
      </w:r>
    </w:p>
    <w:p w14:paraId="133F2749" w14:textId="77777777" w:rsidR="00C23001" w:rsidRDefault="00C23001" w:rsidP="00C23001">
      <w:pPr>
        <w:pStyle w:val="NORMAL12"/>
      </w:pPr>
      <w:r>
        <w:t>Debido a los constantes cambios de dirección que se dan habitualmente en las canalizaciones, los métodos de tendido mecánicos son desaconsejables. Se irá por lo tanto a un método de tendido manual.</w:t>
      </w:r>
    </w:p>
    <w:p w14:paraId="78D2E64B" w14:textId="77777777" w:rsidR="00C23001" w:rsidRDefault="00C23001" w:rsidP="00C23001">
      <w:pPr>
        <w:pStyle w:val="NORMAL12"/>
      </w:pPr>
      <w:r>
        <w:t>Para evitar el deterioro del cable y no sobrepasar las tensiones máximas de tendido aconsejadas por el fabricante, la instalación se efectuará distribuyendo el esfuerzo de tracción, a lo largo del recorrido.</w:t>
      </w:r>
    </w:p>
    <w:p w14:paraId="4DD9D616" w14:textId="77777777" w:rsidR="00C23001" w:rsidRDefault="00C23001" w:rsidP="00C23001">
      <w:pPr>
        <w:pStyle w:val="NORMAL12"/>
      </w:pPr>
      <w:r>
        <w:t>Cuando la sección a tender sea muy larga, para que el cable no sufra se habrá de extraer en una cámara intermedia, depositándolo en el suelo en forma de "ochos", para que al proseguir con el tendido no se formen cocas que puedan dañar las fibras.</w:t>
      </w:r>
    </w:p>
    <w:p w14:paraId="38F6FA29" w14:textId="77777777" w:rsidR="00C23001" w:rsidRDefault="00C23001" w:rsidP="00C23001">
      <w:pPr>
        <w:pStyle w:val="NORMAL12"/>
      </w:pPr>
      <w:r>
        <w:t xml:space="preserve">El ritmo de tendido siempre vendrá condicionado por el que establezca el operario que tira de la guía. Cuando en una arqueta, el operario no pueda mantener el ritmo, deberá dar la orden de parada al de la arqueta siguiente, con el fin de recuperar suficiente cable para proseguir el tenido. Debido a que en el proceso anterior es probable que no haya quedado justamente el cable que se necesita para su instalación definitiva, no se procederá a realizar ésta simultáneamente en todas ellas, sino que comenzará con la penúltima, de forma </w:t>
      </w:r>
      <w:proofErr w:type="gramStart"/>
      <w:r>
        <w:t>que</w:t>
      </w:r>
      <w:proofErr w:type="gramEnd"/>
      <w:r>
        <w:t xml:space="preserve"> si falta o sobra cable, éste deberá ser cogido de la arqueta anterior (o recogido </w:t>
      </w:r>
      <w:r>
        <w:t>por la arqueta anterior respectivamente). De esta forma, se va instalando el cable en las arquetas, empezando por la penúltima y terminando en la</w:t>
      </w:r>
      <w:r w:rsidRPr="00571E58">
        <w:t xml:space="preserve"> </w:t>
      </w:r>
      <w:r>
        <w:t>segunda.</w:t>
      </w:r>
    </w:p>
    <w:p w14:paraId="75E7CD82" w14:textId="77777777" w:rsidR="00C23001" w:rsidRDefault="00C23001" w:rsidP="00C23001">
      <w:pPr>
        <w:pStyle w:val="NORMAL12"/>
      </w:pPr>
      <w:r>
        <w:t xml:space="preserve">Terminada la instalación en la arqueta, final se procederá a cortar la bobina de cable de manera que queden almacenados, en forma de rollo, los 10 </w:t>
      </w:r>
      <w:proofErr w:type="spellStart"/>
      <w:r>
        <w:t>ó</w:t>
      </w:r>
      <w:proofErr w:type="spellEnd"/>
      <w:r>
        <w:t xml:space="preserve"> 12 m. necesarios para la operación de</w:t>
      </w:r>
      <w:r w:rsidRPr="00571E58">
        <w:t xml:space="preserve"> </w:t>
      </w:r>
      <w:r>
        <w:t>empalme.</w:t>
      </w:r>
    </w:p>
    <w:p w14:paraId="58C3F387" w14:textId="77777777" w:rsidR="00C23001" w:rsidRPr="00F74B11" w:rsidRDefault="00C23001" w:rsidP="00C23001">
      <w:pPr>
        <w:pStyle w:val="NORMAL12"/>
        <w:rPr>
          <w:i/>
          <w:u w:val="single"/>
        </w:rPr>
      </w:pPr>
      <w:r w:rsidRPr="00F74B11">
        <w:rPr>
          <w:i/>
          <w:u w:val="single"/>
        </w:rPr>
        <w:t>Terminación del cable en arquetas y en Centro de Control</w:t>
      </w:r>
    </w:p>
    <w:p w14:paraId="70627342" w14:textId="77777777" w:rsidR="00C23001" w:rsidRDefault="00C23001" w:rsidP="00C23001">
      <w:pPr>
        <w:pStyle w:val="NORMAL12"/>
      </w:pPr>
      <w:r>
        <w:t>La terminación del cable consiste en sujetarlo al conducto de la canalización, obturando éste y en obturar sus extremos.</w:t>
      </w:r>
    </w:p>
    <w:p w14:paraId="0BEC966D" w14:textId="77777777" w:rsidR="00C23001" w:rsidRDefault="00C23001" w:rsidP="00C23001">
      <w:pPr>
        <w:pStyle w:val="NORMAL12"/>
      </w:pPr>
      <w:r>
        <w:t>Hasta que se realice la obturación definitiva, el conducto debe tener siempre los extremos tapados para evitar que se introduzcan por ellos cualquier elemento que pudiera dificultar las operaciones de tendido del cable.</w:t>
      </w:r>
    </w:p>
    <w:p w14:paraId="0E53995C" w14:textId="77777777" w:rsidR="00C23001" w:rsidRPr="00F74B11" w:rsidRDefault="00C23001" w:rsidP="00C23001">
      <w:pPr>
        <w:pStyle w:val="NORMAL12"/>
        <w:rPr>
          <w:i/>
          <w:u w:val="single"/>
        </w:rPr>
      </w:pPr>
      <w:r w:rsidRPr="00F74B11">
        <w:rPr>
          <w:i/>
          <w:u w:val="single"/>
        </w:rPr>
        <w:t>Terminación de conducto en arquetas</w:t>
      </w:r>
    </w:p>
    <w:p w14:paraId="382F1605" w14:textId="77777777" w:rsidR="00C23001" w:rsidRDefault="00C23001" w:rsidP="00C23001">
      <w:pPr>
        <w:pStyle w:val="NORMAL12"/>
      </w:pPr>
      <w:r>
        <w:t xml:space="preserve">Inmediatamente después de haber pasado el hilo guía por el conducto por el que se va a tender el cable, aquél se anclará usando para ello masilla </w:t>
      </w:r>
      <w:proofErr w:type="spellStart"/>
      <w:r>
        <w:t>epoxídica</w:t>
      </w:r>
      <w:proofErr w:type="spellEnd"/>
      <w:r>
        <w:t>, garantizando un anclaje firme y</w:t>
      </w:r>
      <w:r w:rsidRPr="00571E58">
        <w:t xml:space="preserve"> </w:t>
      </w:r>
      <w:r>
        <w:t>estanco.</w:t>
      </w:r>
    </w:p>
    <w:p w14:paraId="016C8F1E" w14:textId="77777777" w:rsidR="00C23001" w:rsidRDefault="00C23001" w:rsidP="00C23001">
      <w:pPr>
        <w:pStyle w:val="NORMAL12"/>
      </w:pPr>
      <w:r>
        <w:t>El extremo del conducto debe quedar a 5 cm. de la pared de la arqueta.</w:t>
      </w:r>
    </w:p>
    <w:p w14:paraId="3CBB2872" w14:textId="77777777" w:rsidR="00C23001" w:rsidRDefault="00C23001" w:rsidP="00C23001">
      <w:pPr>
        <w:pStyle w:val="NORMAL12"/>
      </w:pPr>
      <w:r>
        <w:t xml:space="preserve">En aquellas arquetas o cámaras en las que no se efectúe empalme, el cable será protegido con un tubo flexible de PVC, sujeto al conducto mediante manguito </w:t>
      </w:r>
      <w:proofErr w:type="spellStart"/>
      <w:r>
        <w:t>termorretráctil</w:t>
      </w:r>
      <w:proofErr w:type="spellEnd"/>
      <w:r>
        <w:t>.</w:t>
      </w:r>
    </w:p>
    <w:p w14:paraId="730B803E" w14:textId="77777777" w:rsidR="00C23001" w:rsidRDefault="00C23001" w:rsidP="00C23001">
      <w:pPr>
        <w:pStyle w:val="NORMAL12"/>
      </w:pPr>
      <w:r>
        <w:t xml:space="preserve">En las cámaras o arquetas de empalme, la transición conducto/cable, se protegerá con un manguito </w:t>
      </w:r>
      <w:proofErr w:type="gramStart"/>
      <w:r>
        <w:t>RAYCHEM,LTEEC</w:t>
      </w:r>
      <w:proofErr w:type="gramEnd"/>
      <w:r>
        <w:t xml:space="preserve">-150, </w:t>
      </w:r>
      <w:r w:rsidR="00157701">
        <w:t>o</w:t>
      </w:r>
      <w:r>
        <w:t xml:space="preserve"> similar.</w:t>
      </w:r>
    </w:p>
    <w:p w14:paraId="1B43C63C" w14:textId="77777777" w:rsidR="00C23001" w:rsidRPr="00F74B11" w:rsidRDefault="00C23001" w:rsidP="00C23001">
      <w:pPr>
        <w:pStyle w:val="NORMAL12"/>
        <w:rPr>
          <w:i/>
          <w:u w:val="single"/>
        </w:rPr>
      </w:pPr>
      <w:r w:rsidRPr="00F74B11">
        <w:rPr>
          <w:i/>
          <w:u w:val="single"/>
        </w:rPr>
        <w:t>Terminación de cable en arquetas</w:t>
      </w:r>
    </w:p>
    <w:p w14:paraId="12189B14" w14:textId="77777777" w:rsidR="00C23001" w:rsidRDefault="00C23001" w:rsidP="00C23001">
      <w:pPr>
        <w:pStyle w:val="NORMAL12"/>
      </w:pPr>
      <w:r>
        <w:t>Terminada la operación de tendido de cable, se procederá a su terminación dentro de la cámara o arqueta. Como ya se ha comentado, el cable va protegido con un tubo flexible de PVC.</w:t>
      </w:r>
    </w:p>
    <w:p w14:paraId="55021958" w14:textId="77777777" w:rsidR="00C23001" w:rsidRDefault="00C23001" w:rsidP="00C23001">
      <w:pPr>
        <w:pStyle w:val="NORMAL12"/>
      </w:pPr>
      <w:proofErr w:type="gramStart"/>
      <w:r>
        <w:t>Las actuaciones a realizar</w:t>
      </w:r>
      <w:proofErr w:type="gramEnd"/>
      <w:r>
        <w:t xml:space="preserve"> sobre el cable protegido son las siguientes:</w:t>
      </w:r>
    </w:p>
    <w:p w14:paraId="4C931EF5" w14:textId="77777777" w:rsidR="00C23001" w:rsidRDefault="00C23001" w:rsidP="00C23001">
      <w:pPr>
        <w:pStyle w:val="NORMAL12"/>
      </w:pPr>
      <w:r>
        <w:t>En arqueta con cambio de dirección se grapará el cable a la pared mediante grapas de fijación de cable en fachada, colocadas cada 50 cm. y manteniendo el radio de curvatura mínimo especificado para el</w:t>
      </w:r>
      <w:r w:rsidRPr="00571E58">
        <w:t xml:space="preserve"> </w:t>
      </w:r>
      <w:r>
        <w:t>cable.</w:t>
      </w:r>
    </w:p>
    <w:p w14:paraId="43177C9D" w14:textId="77777777" w:rsidR="00C23001" w:rsidRDefault="00C23001" w:rsidP="00C23001">
      <w:pPr>
        <w:pStyle w:val="NORMAL12"/>
      </w:pPr>
      <w:r>
        <w:lastRenderedPageBreak/>
        <w:t>El cable de fibra óptica se identificará con una etiqueta donde venga inscrito el número de fibras, tipo y estaciones entre las que</w:t>
      </w:r>
      <w:r w:rsidRPr="00571E58">
        <w:t xml:space="preserve"> </w:t>
      </w:r>
      <w:r>
        <w:t>discurre.</w:t>
      </w:r>
    </w:p>
    <w:p w14:paraId="7714642E" w14:textId="77777777" w:rsidR="00C23001" w:rsidRPr="00F74B11" w:rsidRDefault="00C23001" w:rsidP="00C23001">
      <w:pPr>
        <w:pStyle w:val="NORMAL12"/>
        <w:rPr>
          <w:i/>
          <w:u w:val="single"/>
        </w:rPr>
      </w:pPr>
      <w:r w:rsidRPr="00F74B11">
        <w:rPr>
          <w:i/>
          <w:u w:val="single"/>
        </w:rPr>
        <w:t>Terminación en Centro de Control</w:t>
      </w:r>
    </w:p>
    <w:p w14:paraId="64542E0C" w14:textId="77777777" w:rsidR="00C23001" w:rsidRDefault="00C23001" w:rsidP="00C23001">
      <w:pPr>
        <w:pStyle w:val="NORMAL12"/>
      </w:pPr>
      <w:r>
        <w:t>Se instalará un repartidor óptico que permita la extracción e inserción de las señales de manera flexible.</w:t>
      </w:r>
    </w:p>
    <w:p w14:paraId="0C776D96" w14:textId="77777777" w:rsidR="00C23001" w:rsidRPr="00F74B11" w:rsidRDefault="00C23001" w:rsidP="00F74B11">
      <w:pPr>
        <w:pStyle w:val="NORMAL12"/>
        <w:rPr>
          <w:i/>
          <w:u w:val="single"/>
        </w:rPr>
      </w:pPr>
      <w:r w:rsidRPr="00F74B11">
        <w:rPr>
          <w:i/>
          <w:u w:val="single"/>
        </w:rPr>
        <w:t>Calas de reparación, acondicionamiento y mandrilado.</w:t>
      </w:r>
    </w:p>
    <w:p w14:paraId="5CB3C432" w14:textId="77777777" w:rsidR="00C23001" w:rsidRDefault="00C23001" w:rsidP="00C23001">
      <w:pPr>
        <w:pStyle w:val="NORMAL12"/>
      </w:pPr>
      <w:r>
        <w:t>Se incluye dentro del importe destinado al tendido de la fibra óptica un máximo de cinco calas de reparación (incluyendo el correspondiente acondicionamiento y mandrilado) por kilómetro, no pudiendo reclamar el contratista coste alguno por realización de este concepto en los términos descritos.</w:t>
      </w:r>
    </w:p>
    <w:p w14:paraId="777A8E8C" w14:textId="77777777" w:rsidR="00C23001" w:rsidRPr="00F74B11" w:rsidRDefault="00C23001" w:rsidP="00C23001">
      <w:pPr>
        <w:pStyle w:val="NORMAL12"/>
        <w:rPr>
          <w:i/>
          <w:u w:val="single"/>
        </w:rPr>
      </w:pPr>
      <w:r w:rsidRPr="00F74B11">
        <w:rPr>
          <w:i/>
          <w:u w:val="single"/>
        </w:rPr>
        <w:t>Empalmes de fibras ópticas</w:t>
      </w:r>
    </w:p>
    <w:p w14:paraId="33BB8FA4" w14:textId="77777777" w:rsidR="00C23001" w:rsidRDefault="00C23001" w:rsidP="00C23001">
      <w:pPr>
        <w:pStyle w:val="NORMAL12"/>
      </w:pPr>
      <w:r>
        <w:t>Los empalmes de las fibras ópticas se efectuarán cada 1.000 y/o 2.000 m. dependiendo de las dificultades de tendido.</w:t>
      </w:r>
    </w:p>
    <w:p w14:paraId="3D8246F1" w14:textId="77777777" w:rsidR="00C23001" w:rsidRDefault="00C23001" w:rsidP="00C23001">
      <w:pPr>
        <w:pStyle w:val="NORMAL12"/>
      </w:pPr>
      <w:r>
        <w:t>Dadas las características especiales de la fibra óptica y sus reducidas dimensiones es necesario disponer de un equipo especial para la realización del empalme. La mayor dificultad estriba en el enfrentamiento de las fibras, que debe hacerse con la suficiente precisión como para que las pérdidas sean mínimas. Por ello, se utilizarán máquinas de empalme que dispongan de un sistema de alineamiento automático, bien sea por métodos geométricos o por inyección y detección local de luz. El tipo de máquina de empalme a utilizar debe ser para fibras mono y multimodo realizado el empalme mediante fusión por arco eléctrico.</w:t>
      </w:r>
    </w:p>
    <w:p w14:paraId="49E86683" w14:textId="77777777" w:rsidR="00C23001" w:rsidRPr="00F74B11" w:rsidRDefault="00C23001" w:rsidP="00C23001">
      <w:pPr>
        <w:pStyle w:val="NORMAL12"/>
        <w:rPr>
          <w:i/>
          <w:u w:val="single"/>
        </w:rPr>
      </w:pPr>
      <w:r w:rsidRPr="00F74B11">
        <w:rPr>
          <w:i/>
          <w:u w:val="single"/>
        </w:rPr>
        <w:t>Empalme de cable óptico</w:t>
      </w:r>
    </w:p>
    <w:p w14:paraId="73B19D0F" w14:textId="77777777" w:rsidR="00C23001" w:rsidRDefault="00C23001" w:rsidP="00C23001">
      <w:pPr>
        <w:pStyle w:val="NORMAL12"/>
      </w:pPr>
      <w:r>
        <w:t>Para la realización del empalme del cable óptico es necesario dejar en los puntos de empalme una ganancia para poder realizar éste adecuadamente. Esta ganancia se fija al menos en 12 metros en cada punto de empalme (6 metros en cada extremo).</w:t>
      </w:r>
    </w:p>
    <w:p w14:paraId="7FE330BF" w14:textId="77777777" w:rsidR="00C23001" w:rsidRDefault="00C23001" w:rsidP="00C23001">
      <w:pPr>
        <w:pStyle w:val="NORMAL12"/>
      </w:pPr>
      <w:r>
        <w:t>El empalme se realizará, preferiblemente, en el interior de un vehículo debidamente acondicionado para tal fin.</w:t>
      </w:r>
    </w:p>
    <w:p w14:paraId="49D20998" w14:textId="77777777" w:rsidR="00C23001" w:rsidRDefault="00C23001" w:rsidP="00C23001">
      <w:pPr>
        <w:pStyle w:val="NORMAL12"/>
      </w:pPr>
      <w:proofErr w:type="gramStart"/>
      <w:r>
        <w:t>Las operaciones a realizar</w:t>
      </w:r>
      <w:proofErr w:type="gramEnd"/>
      <w:r>
        <w:t xml:space="preserve"> para el empalme de las fibras son las siguientes:</w:t>
      </w:r>
    </w:p>
    <w:p w14:paraId="19C6EFF3" w14:textId="77777777" w:rsidR="00C23001" w:rsidRDefault="00C23001" w:rsidP="00221E1A">
      <w:pPr>
        <w:pStyle w:val="NORMAL12"/>
        <w:numPr>
          <w:ilvl w:val="0"/>
          <w:numId w:val="152"/>
        </w:numPr>
      </w:pPr>
      <w:r>
        <w:t>Fijar los cables a la base del manguito, tal y como se explica en el apartado de cierre de</w:t>
      </w:r>
      <w:r w:rsidRPr="00571E58">
        <w:t xml:space="preserve"> </w:t>
      </w:r>
      <w:r>
        <w:t>empalmes.</w:t>
      </w:r>
    </w:p>
    <w:p w14:paraId="7FF00E0C" w14:textId="77777777" w:rsidR="00C23001" w:rsidRDefault="00C23001" w:rsidP="00221E1A">
      <w:pPr>
        <w:pStyle w:val="NORMAL12"/>
        <w:numPr>
          <w:ilvl w:val="0"/>
          <w:numId w:val="152"/>
        </w:numPr>
      </w:pPr>
      <w:r>
        <w:t>Fijar los cables a la bandeja, mediante las piezas de sujeción</w:t>
      </w:r>
      <w:r w:rsidRPr="00571E58">
        <w:t xml:space="preserve"> </w:t>
      </w:r>
      <w:r>
        <w:t>correspondiente.</w:t>
      </w:r>
    </w:p>
    <w:p w14:paraId="3757DB38" w14:textId="77777777" w:rsidR="00C23001" w:rsidRDefault="00C23001" w:rsidP="00221E1A">
      <w:pPr>
        <w:pStyle w:val="NORMAL12"/>
        <w:numPr>
          <w:ilvl w:val="0"/>
          <w:numId w:val="152"/>
        </w:numPr>
      </w:pPr>
      <w:r>
        <w:t>Cortar las cintas de poliéster y los elementos de relleno del</w:t>
      </w:r>
      <w:r w:rsidRPr="00571E58">
        <w:t xml:space="preserve"> </w:t>
      </w:r>
      <w:r>
        <w:t>cable.</w:t>
      </w:r>
    </w:p>
    <w:p w14:paraId="4081CCBC" w14:textId="77777777" w:rsidR="00C23001" w:rsidRDefault="00C23001" w:rsidP="00221E1A">
      <w:pPr>
        <w:pStyle w:val="NORMAL12"/>
        <w:numPr>
          <w:ilvl w:val="0"/>
          <w:numId w:val="152"/>
        </w:numPr>
      </w:pPr>
      <w:r>
        <w:t>Cortar el elemento central del cable y fijarlo al soporte correspondiente de la bandeja.</w:t>
      </w:r>
    </w:p>
    <w:p w14:paraId="4E981685" w14:textId="77777777" w:rsidR="00C23001" w:rsidRDefault="00C23001" w:rsidP="00221E1A">
      <w:pPr>
        <w:pStyle w:val="NORMAL12"/>
        <w:numPr>
          <w:ilvl w:val="0"/>
          <w:numId w:val="152"/>
        </w:numPr>
      </w:pPr>
      <w:r>
        <w:t>Limpiar las fibras y los pares metálicos de la sustancia de relleno de</w:t>
      </w:r>
      <w:r w:rsidRPr="00571E58">
        <w:t xml:space="preserve"> </w:t>
      </w:r>
      <w:r>
        <w:t>cable.</w:t>
      </w:r>
    </w:p>
    <w:p w14:paraId="3BA4DE6F" w14:textId="77777777" w:rsidR="00C23001" w:rsidRDefault="00C23001" w:rsidP="00C23001">
      <w:pPr>
        <w:pStyle w:val="NORMAL12"/>
      </w:pPr>
      <w:r>
        <w:t>Una vez efectuadas las operaciones anteriores se procederá al empalme de las distintas fibras de que se compone el cable, la secuencia a seguir es la siguiente:</w:t>
      </w:r>
    </w:p>
    <w:p w14:paraId="3EF6144D" w14:textId="77777777" w:rsidR="00C23001" w:rsidRDefault="00C23001" w:rsidP="00221E1A">
      <w:pPr>
        <w:pStyle w:val="NORMAL12"/>
        <w:numPr>
          <w:ilvl w:val="0"/>
          <w:numId w:val="153"/>
        </w:numPr>
      </w:pPr>
      <w:r>
        <w:t xml:space="preserve">Eliminación de la protección secundaria: La protección plástica de las fibras se elimina con un </w:t>
      </w:r>
      <w:proofErr w:type="spellStart"/>
      <w:r>
        <w:t>pelahilos</w:t>
      </w:r>
      <w:proofErr w:type="spellEnd"/>
      <w:r>
        <w:t xml:space="preserve"> graduado, que no marque ni deteriore aquella y garantice la total integridad de las</w:t>
      </w:r>
      <w:r w:rsidRPr="00571E58">
        <w:t xml:space="preserve"> </w:t>
      </w:r>
      <w:r>
        <w:t>fibras.</w:t>
      </w:r>
    </w:p>
    <w:p w14:paraId="0175AEDC" w14:textId="77777777" w:rsidR="00C23001" w:rsidRDefault="00C23001" w:rsidP="00221E1A">
      <w:pPr>
        <w:pStyle w:val="NORMAL12"/>
        <w:numPr>
          <w:ilvl w:val="0"/>
          <w:numId w:val="153"/>
        </w:numPr>
      </w:pPr>
      <w:r>
        <w:t>Eliminación de la protección primaria: La protección primaria se puede eliminar, por medios mecánicos o preferiblemente, químicos. Mecánicamente se puede eliminar con la herramienta de precisión. La tenaza Micro-</w:t>
      </w:r>
      <w:proofErr w:type="spellStart"/>
      <w:r>
        <w:t>Strip</w:t>
      </w:r>
      <w:proofErr w:type="spellEnd"/>
      <w:r>
        <w:t xml:space="preserve"> permite el pelado de fibras, con distintos espesores de protección, gracias a un juego de cuchillas intercambiables. Otro método para eliminar la protección primaria se basa, en medios químicos, mediante la utilización de cloruro de metileno o alguna sustancia afín, que ablande o elimine el acrilato de las fibras. Tras la inmersión de éstas durante algunos segundos, el acrilato desaparece o se ablanda, siendo entonces suficiente frotar la fibra con un trozo de gasa empapado en etanol.</w:t>
      </w:r>
    </w:p>
    <w:p w14:paraId="1AC1DC15" w14:textId="77777777" w:rsidR="00C23001" w:rsidRDefault="00C23001" w:rsidP="00221E1A">
      <w:pPr>
        <w:pStyle w:val="NORMAL12"/>
        <w:numPr>
          <w:ilvl w:val="0"/>
          <w:numId w:val="153"/>
        </w:numPr>
      </w:pPr>
      <w:r>
        <w:t xml:space="preserve">Corte de las Fibras Ópticas. Comprobación y Limpieza: Este apartado es muy importante ya que de él depende que el empalme sea correcto, es decir, con baja pérdida. El corte debe ser perpendicular al eje de la fibra y debe estar exento de irregularidades. Para el corte se debe utilizar un cortador de fibra óptica que garantice un ángulo de corte inferior a 1º. Mediante una cuchilla muy afilada, se hace sobre la corteza una pequeña incisión. A </w:t>
      </w:r>
      <w:proofErr w:type="gramStart"/>
      <w:r>
        <w:t>continuación</w:t>
      </w:r>
      <w:proofErr w:type="gramEnd"/>
      <w:r>
        <w:t xml:space="preserve"> se curva la fibra hasta alcanzar un cierto ángulo ya optimizado, de esta forma la tensión que se produce hace que la fibra se rompa en el punto de la</w:t>
      </w:r>
      <w:r w:rsidRPr="00571E58">
        <w:t xml:space="preserve"> </w:t>
      </w:r>
      <w:r>
        <w:t>incisión.</w:t>
      </w:r>
    </w:p>
    <w:p w14:paraId="1A24C0EA" w14:textId="77777777" w:rsidR="00C23001" w:rsidRPr="00F74B11" w:rsidRDefault="00C23001" w:rsidP="00C23001">
      <w:pPr>
        <w:pStyle w:val="NORMAL12"/>
        <w:rPr>
          <w:i/>
          <w:u w:val="single"/>
        </w:rPr>
      </w:pPr>
      <w:r w:rsidRPr="00F74B11">
        <w:rPr>
          <w:i/>
          <w:u w:val="single"/>
        </w:rPr>
        <w:t>Medidas previas en el tendido de cable</w:t>
      </w:r>
    </w:p>
    <w:p w14:paraId="0F09813A" w14:textId="77777777" w:rsidR="00C23001" w:rsidRDefault="00C23001" w:rsidP="00C23001">
      <w:pPr>
        <w:pStyle w:val="NORMAL12"/>
      </w:pPr>
      <w:r>
        <w:t>Antes del tendido en canalización del cable de comunicaciones, se medirán la continuidad y la resistencia de aislamiento de cada bobina definida en las características eléctricas.</w:t>
      </w:r>
    </w:p>
    <w:p w14:paraId="7AAF5057" w14:textId="77777777" w:rsidR="00BD72A3" w:rsidRDefault="00BD72A3" w:rsidP="00C23001">
      <w:pPr>
        <w:pStyle w:val="NORMAL12"/>
        <w:rPr>
          <w:u w:val="single"/>
        </w:rPr>
      </w:pPr>
    </w:p>
    <w:p w14:paraId="32AA1FFE" w14:textId="77777777" w:rsidR="00C23001" w:rsidRPr="00F74B11" w:rsidRDefault="00C23001" w:rsidP="00C23001">
      <w:pPr>
        <w:pStyle w:val="NORMAL12"/>
        <w:rPr>
          <w:i/>
          <w:u w:val="single"/>
        </w:rPr>
      </w:pPr>
      <w:r w:rsidRPr="00F74B11">
        <w:rPr>
          <w:i/>
          <w:u w:val="single"/>
        </w:rPr>
        <w:lastRenderedPageBreak/>
        <w:t>Limpieza de conductores y colocación del hilo guía</w:t>
      </w:r>
    </w:p>
    <w:p w14:paraId="439A113D" w14:textId="77777777" w:rsidR="00C23001" w:rsidRDefault="00C23001" w:rsidP="00C23001">
      <w:pPr>
        <w:pStyle w:val="NORMAL12"/>
      </w:pPr>
      <w:r>
        <w:t>Antes de proceder al tendido de cables subterráneos se efectuará la limpieza de conductores y la colocación del hilo guía.</w:t>
      </w:r>
    </w:p>
    <w:p w14:paraId="08943352" w14:textId="77777777" w:rsidR="00C23001" w:rsidRPr="00F74B11" w:rsidRDefault="00C23001" w:rsidP="00C23001">
      <w:pPr>
        <w:pStyle w:val="NORMAL12"/>
        <w:rPr>
          <w:i/>
          <w:u w:val="single"/>
        </w:rPr>
      </w:pPr>
      <w:r w:rsidRPr="00F74B11">
        <w:rPr>
          <w:i/>
          <w:u w:val="single"/>
        </w:rPr>
        <w:t>Tendido en conductos principales</w:t>
      </w:r>
    </w:p>
    <w:p w14:paraId="38818251" w14:textId="77777777" w:rsidR="00C23001" w:rsidRDefault="00C23001" w:rsidP="00C23001">
      <w:pPr>
        <w:pStyle w:val="NORMAL12"/>
      </w:pPr>
      <w:r>
        <w:t>En primer lugar, se comprobará el conducto que tiene preparado el alambre para tiro con el plano u hoja de tendido, a fin de asegurarse de que es el que hay que utilizar. Si hay más de un conducto preparado con alambre en la misma sección, hay que asegurarse de que el que se comprueba es el</w:t>
      </w:r>
      <w:r w:rsidRPr="00571E58">
        <w:t xml:space="preserve"> </w:t>
      </w:r>
      <w:r>
        <w:t>verdadero.</w:t>
      </w:r>
    </w:p>
    <w:p w14:paraId="5B7139BC" w14:textId="77777777" w:rsidR="00C23001" w:rsidRDefault="00C23001" w:rsidP="00C23001">
      <w:pPr>
        <w:pStyle w:val="NORMAL12"/>
      </w:pPr>
      <w:r>
        <w:t>Se colocará la bobina en el mismo lado de la arqueta en que está la sección de canalización en que se ha de tender el cable y en una posición tal que el cable pueda pasar desde la parte superior de la bobina con una ligera curva, sin torcerse.</w:t>
      </w:r>
    </w:p>
    <w:p w14:paraId="21C0D91C" w14:textId="77777777" w:rsidR="00C23001" w:rsidRDefault="00C23001" w:rsidP="00C23001">
      <w:pPr>
        <w:pStyle w:val="NORMAL12"/>
      </w:pPr>
      <w:r>
        <w:t>Antes de empezar a tender el cable se levantará la bobina y se dejará nivelada para que no toque en el</w:t>
      </w:r>
      <w:r w:rsidRPr="00571E58">
        <w:t xml:space="preserve"> </w:t>
      </w:r>
      <w:r>
        <w:t>suelo.</w:t>
      </w:r>
    </w:p>
    <w:p w14:paraId="7E55CBA7" w14:textId="77777777" w:rsidR="00C23001" w:rsidRDefault="00C23001" w:rsidP="00C23001">
      <w:pPr>
        <w:pStyle w:val="NORMAL12"/>
      </w:pPr>
      <w:r>
        <w:t>En el caso de empleo de gatos de trinquetes es conveniente poner platillos entre el carrete y los gatos para evitar que la bobina tropiece con ellos.</w:t>
      </w:r>
    </w:p>
    <w:p w14:paraId="3C72C69F" w14:textId="77777777" w:rsidR="00C23001" w:rsidRPr="00571E58" w:rsidRDefault="00C23001" w:rsidP="00C23001">
      <w:pPr>
        <w:pStyle w:val="NORMAL12"/>
      </w:pPr>
      <w:r>
        <w:t xml:space="preserve">El cable de tiro para tender el cable será de acero flexible y con un diámetro total mínimo de 10,5 </w:t>
      </w:r>
      <w:proofErr w:type="spellStart"/>
      <w:r>
        <w:t>mm.</w:t>
      </w:r>
      <w:proofErr w:type="spellEnd"/>
    </w:p>
    <w:p w14:paraId="1A3A8C78" w14:textId="77777777" w:rsidR="00C23001" w:rsidRDefault="00C23001" w:rsidP="00C23001">
      <w:pPr>
        <w:pStyle w:val="NORMAL12"/>
      </w:pPr>
      <w:r>
        <w:t>El cable de tiro se unirá al cable por cualquiera de los procedimientos siguientes:</w:t>
      </w:r>
    </w:p>
    <w:p w14:paraId="532B8EBD" w14:textId="77777777" w:rsidR="00C23001" w:rsidRDefault="00C23001" w:rsidP="00C23001">
      <w:pPr>
        <w:pStyle w:val="NORMAL12"/>
      </w:pPr>
      <w:r>
        <w:t>En las secciones rectas que no tengan más de 150 metros se empleará la manga de tiro o una manga de alambre hecha a</w:t>
      </w:r>
      <w:r w:rsidRPr="00571E58">
        <w:t xml:space="preserve"> </w:t>
      </w:r>
      <w:r>
        <w:t>mano.</w:t>
      </w:r>
    </w:p>
    <w:p w14:paraId="490FDCE0" w14:textId="77777777" w:rsidR="00C23001" w:rsidRDefault="00C23001" w:rsidP="00C23001">
      <w:pPr>
        <w:pStyle w:val="NORMAL12"/>
      </w:pPr>
      <w:r>
        <w:t>Si la sección tuviera una ligera curva o más de 150 metros de longitud, se usará la manga de alambre trenzado, reforzada con dos atados de alambre de hierro</w:t>
      </w:r>
      <w:r w:rsidRPr="00571E58">
        <w:t xml:space="preserve"> </w:t>
      </w:r>
      <w:r>
        <w:t>galvanizado.</w:t>
      </w:r>
    </w:p>
    <w:p w14:paraId="00994CA7" w14:textId="77777777" w:rsidR="00C23001" w:rsidRDefault="00C23001" w:rsidP="00C23001">
      <w:pPr>
        <w:pStyle w:val="NORMAL12"/>
      </w:pPr>
      <w:r>
        <w:t>Si la curva es muy pronunciada o si por cualquier otra razón la tensión de tiro ha de ser grande, se hará una ligadura en el alma del cable, este procedimiento se empleará únicamente cuando no sea posible hacerlo en otra forma, ya que con esto se pierde algo de cable, además de probables averías en los conductores.</w:t>
      </w:r>
    </w:p>
    <w:p w14:paraId="141E5CE4" w14:textId="77777777" w:rsidR="00C23001" w:rsidRDefault="00C23001" w:rsidP="00C23001">
      <w:pPr>
        <w:pStyle w:val="NORMAL12"/>
      </w:pPr>
      <w:r>
        <w:t>Cuando se hace el tendido en conductos de pequeño diámetro, donde el espacio no permite el paso de la manga de tiro, se hará una ligadura en el alma del</w:t>
      </w:r>
      <w:r w:rsidRPr="00571E58">
        <w:t xml:space="preserve"> </w:t>
      </w:r>
      <w:r>
        <w:t>cable.</w:t>
      </w:r>
    </w:p>
    <w:p w14:paraId="6BDE4F79" w14:textId="77777777" w:rsidR="00C23001" w:rsidRDefault="00C23001" w:rsidP="00C23001">
      <w:pPr>
        <w:pStyle w:val="NORMAL12"/>
      </w:pPr>
      <w:r>
        <w:t xml:space="preserve">Se lubricará la cubierta del cable cuando la sección subterránea sea mayor de 150 metros en recta o de 100 metros en curvas. No se lubricarán los dos primeros metros de la </w:t>
      </w:r>
      <w:r>
        <w:t>cubierta del cable, porque podría perjudicar para la soldadura. Tampoco se lubricará más de la primera mitad de la longitud del cable. Si el conducto contiene agua o arena, no se empleará lubricante alguno.</w:t>
      </w:r>
    </w:p>
    <w:p w14:paraId="4A9BC696" w14:textId="77777777" w:rsidR="00C23001" w:rsidRDefault="00C23001" w:rsidP="00C23001">
      <w:pPr>
        <w:pStyle w:val="NORMAL12"/>
      </w:pPr>
      <w:r>
        <w:t>Se introducirá el cable en el conducto a una velocidad media que no excederá de 20 metros por</w:t>
      </w:r>
      <w:r w:rsidRPr="00571E58">
        <w:t xml:space="preserve"> </w:t>
      </w:r>
      <w:r>
        <w:t>minuto.</w:t>
      </w:r>
    </w:p>
    <w:p w14:paraId="551E40D5" w14:textId="77777777" w:rsidR="00C23001" w:rsidRDefault="00C23001" w:rsidP="00C23001">
      <w:pPr>
        <w:pStyle w:val="NORMAL12"/>
      </w:pPr>
      <w:r>
        <w:t>Se tendrá cuidado que no se hagan cocas ni sufra aplastamiento el cable.</w:t>
      </w:r>
    </w:p>
    <w:p w14:paraId="04AA0B24" w14:textId="77777777" w:rsidR="00C23001" w:rsidRDefault="00C23001" w:rsidP="00C23001">
      <w:pPr>
        <w:pStyle w:val="NORMAL12"/>
      </w:pPr>
      <w:r>
        <w:t>En el extremo del conducto, y para que el cable, sea tendido no roce con la arista de aquél, se empleará una protección adecuada que pueda dejarse en el conducto.</w:t>
      </w:r>
    </w:p>
    <w:p w14:paraId="0A7A1CCD" w14:textId="77777777" w:rsidR="00C23001" w:rsidRDefault="00C23001" w:rsidP="00C23001">
      <w:pPr>
        <w:pStyle w:val="NORMAL12"/>
      </w:pPr>
      <w:r>
        <w:t xml:space="preserve">Para que el cable no roce en el borde de entrada de la cámara se colocará una almohadilla de cuerdas en el borde de </w:t>
      </w:r>
      <w:proofErr w:type="gramStart"/>
      <w:r>
        <w:t>la misma</w:t>
      </w:r>
      <w:proofErr w:type="gramEnd"/>
      <w:r>
        <w:t>.</w:t>
      </w:r>
    </w:p>
    <w:p w14:paraId="09AFAB35" w14:textId="77777777" w:rsidR="00C23001" w:rsidRDefault="00C23001" w:rsidP="00C23001">
      <w:pPr>
        <w:pStyle w:val="NORMAL12"/>
      </w:pPr>
      <w:r>
        <w:t>Al desenrollar el cable de la bobina se verá si la cubierta está bien, y si se encontrara algún defecto se dejará de tirar y se arreglará.</w:t>
      </w:r>
    </w:p>
    <w:p w14:paraId="3347D5B7" w14:textId="77777777" w:rsidR="00C23001" w:rsidRDefault="00C23001" w:rsidP="00C23001">
      <w:pPr>
        <w:pStyle w:val="NORMAL12"/>
      </w:pPr>
      <w:r>
        <w:t xml:space="preserve">Si se notaran grietas en la cubierta del cable deberán ser reparadas por un </w:t>
      </w:r>
      <w:proofErr w:type="spellStart"/>
      <w:r>
        <w:t>empalmador</w:t>
      </w:r>
      <w:proofErr w:type="spellEnd"/>
      <w:r>
        <w:t xml:space="preserve"> y si hubieran sido causadas antes de empezar el tendido se pondrá en conocimiento del capataz para que pruebe el cable antes de continuar con aquél.</w:t>
      </w:r>
    </w:p>
    <w:p w14:paraId="65DE8F91" w14:textId="77777777" w:rsidR="00C23001" w:rsidRDefault="00C23001" w:rsidP="00C23001">
      <w:pPr>
        <w:pStyle w:val="NORMAL12"/>
      </w:pPr>
      <w:r>
        <w:t>Los obreros que se encuentren en el punto donde se hace el tiro estarán muy atentos a las señales que desde el otro extremo se hagan para poder detener instantáneamente el tiro cuando sea necesario.</w:t>
      </w:r>
    </w:p>
    <w:p w14:paraId="26368F76" w14:textId="77777777" w:rsidR="00C23001" w:rsidRDefault="00C23001" w:rsidP="00C23001">
      <w:pPr>
        <w:pStyle w:val="NORMAL12"/>
      </w:pPr>
      <w:r>
        <w:t>Si se cortara el cable, se cerrarán y soldarán los extremos.</w:t>
      </w:r>
    </w:p>
    <w:p w14:paraId="162A56EB" w14:textId="77777777" w:rsidR="00C23001" w:rsidRDefault="00C23001" w:rsidP="00C23001">
      <w:pPr>
        <w:pStyle w:val="NORMAL12"/>
      </w:pPr>
      <w:r>
        <w:t>Para evitar que se estropeen los extremos del cable en los registros se atarán a los soportes correspondientes.</w:t>
      </w:r>
    </w:p>
    <w:p w14:paraId="71553FEC" w14:textId="77777777" w:rsidR="00C23001" w:rsidRDefault="00C23001" w:rsidP="00C23001">
      <w:pPr>
        <w:pStyle w:val="NORMAL12"/>
      </w:pPr>
      <w:r>
        <w:t>Colóquese alrededor del cable, en los dos extremos de la sección de canalización, una protección aprobada.</w:t>
      </w:r>
    </w:p>
    <w:p w14:paraId="6E8236AB" w14:textId="77777777" w:rsidR="00C23001" w:rsidRDefault="00C23001" w:rsidP="00C23001">
      <w:pPr>
        <w:pStyle w:val="NORMAL12"/>
      </w:pPr>
      <w:r>
        <w:t xml:space="preserve">En las arquetas se atarán los extremos del cable entre sí, y con cualquier otro cable existente, con alambre de hierro y cobre, tan pronto como esté tendido el cable. La unión definitiva la harán más adelante los </w:t>
      </w:r>
      <w:proofErr w:type="spellStart"/>
      <w:r>
        <w:t>empalmadores</w:t>
      </w:r>
      <w:proofErr w:type="spellEnd"/>
      <w:r>
        <w:t>.</w:t>
      </w:r>
    </w:p>
    <w:p w14:paraId="14783ABB" w14:textId="77777777" w:rsidR="00C23001" w:rsidRPr="00F74B11" w:rsidRDefault="00C23001" w:rsidP="00C23001">
      <w:pPr>
        <w:pStyle w:val="NORMAL12"/>
        <w:rPr>
          <w:i/>
          <w:u w:val="single"/>
        </w:rPr>
      </w:pPr>
      <w:r w:rsidRPr="00F74B11">
        <w:rPr>
          <w:i/>
          <w:u w:val="single"/>
        </w:rPr>
        <w:t>Empalme de los pares y manguitos de empalme</w:t>
      </w:r>
    </w:p>
    <w:p w14:paraId="6371CE1B" w14:textId="77777777" w:rsidR="00C23001" w:rsidRDefault="00C23001" w:rsidP="00C23001">
      <w:pPr>
        <w:pStyle w:val="NORMAL12"/>
      </w:pPr>
      <w:r>
        <w:t>Una vez tendido, en los empalmes que no coincida punto de carga, se medirán los "Desequilibrios de Capacidades" para que una vez confeccionada la carta correspondiente se ejecute dicho empalme de acuerdo con ella.</w:t>
      </w:r>
    </w:p>
    <w:p w14:paraId="1FFCC82A" w14:textId="77777777" w:rsidR="00C23001" w:rsidRDefault="00C23001" w:rsidP="00C23001">
      <w:pPr>
        <w:pStyle w:val="NORMAL12"/>
      </w:pPr>
      <w:r>
        <w:lastRenderedPageBreak/>
        <w:t>En los empalmes donde corresponda punto de carga se medirán las capacidades mutuas para posteriormente confeccionar una carta de "Equilibrado de Mutuas" y empalmar también de acuerdo con ella.</w:t>
      </w:r>
    </w:p>
    <w:p w14:paraId="3F97AB61" w14:textId="77777777" w:rsidR="00C23001" w:rsidRDefault="00C23001" w:rsidP="00C23001">
      <w:pPr>
        <w:pStyle w:val="NORMAL12"/>
      </w:pPr>
      <w:r>
        <w:t xml:space="preserve">A partir de estas medidas se confeccionarán unas cartas de </w:t>
      </w:r>
      <w:proofErr w:type="spellStart"/>
      <w:r>
        <w:t>empalem</w:t>
      </w:r>
      <w:proofErr w:type="spellEnd"/>
      <w:r>
        <w:t xml:space="preserve"> que serán entregadas con anterioridad a la ejecución de dicho empalme a la Dirección </w:t>
      </w:r>
      <w:r w:rsidR="00F42B32">
        <w:t>de Obra</w:t>
      </w:r>
      <w:r>
        <w:t xml:space="preserve"> pasa su aprobación. </w:t>
      </w:r>
    </w:p>
    <w:p w14:paraId="389683F4" w14:textId="77777777" w:rsidR="00C23001" w:rsidRDefault="00C23001" w:rsidP="00C23001">
      <w:pPr>
        <w:pStyle w:val="NORMAL12"/>
      </w:pPr>
      <w:r>
        <w:t>Los empalmes siempre se realizarán por cuadrete y por par. Los hilos de un par se empalmarán con los hilos de un par del otro cable. Estando absolutamente prohibido empalmar los hilos de un par con los hilos de 2 pares</w:t>
      </w:r>
      <w:r w:rsidRPr="00571E58">
        <w:t xml:space="preserve"> </w:t>
      </w:r>
      <w:r>
        <w:t>(Trocado).</w:t>
      </w:r>
    </w:p>
    <w:p w14:paraId="0150E7B5" w14:textId="77777777" w:rsidR="00C23001" w:rsidRDefault="00C23001" w:rsidP="00C23001">
      <w:pPr>
        <w:pStyle w:val="NORMAL12"/>
      </w:pPr>
      <w:r>
        <w:t xml:space="preserve">El empalme de los hilos de cobre se realizará mediante torsión soldada aislados con tubito SCL o similar y para el cierre se utilizará el empalme tipo RAICHEM  1650 o similar, con encapsulante exento de isocianatos tipo 3M HIGH GEL 4442 </w:t>
      </w:r>
      <w:proofErr w:type="spellStart"/>
      <w:r>
        <w:t>ó</w:t>
      </w:r>
      <w:proofErr w:type="spellEnd"/>
      <w:r>
        <w:t xml:space="preserve"> similar.</w:t>
      </w:r>
    </w:p>
    <w:p w14:paraId="17D5C9D9" w14:textId="77777777" w:rsidR="00C23001" w:rsidRPr="003C1A00" w:rsidRDefault="00C23001" w:rsidP="00C23001">
      <w:pPr>
        <w:pStyle w:val="NORMAL12"/>
      </w:pPr>
      <w:r>
        <w:t xml:space="preserve">En los empalmes cargados se insertará entre ellos una bobina PUPIN por cada par. Obligatoriamente se </w:t>
      </w:r>
      <w:proofErr w:type="spellStart"/>
      <w:r w:rsidRPr="003C1A00">
        <w:t>pupinizarán</w:t>
      </w:r>
      <w:proofErr w:type="spellEnd"/>
      <w:r w:rsidRPr="003C1A00">
        <w:t xml:space="preserve"> los cuadretes 1 y 3 en todos los empalmes de carga.</w:t>
      </w:r>
    </w:p>
    <w:p w14:paraId="7FAD3B0F" w14:textId="77777777" w:rsidR="00C23001" w:rsidRPr="003C1A00" w:rsidRDefault="00C23001" w:rsidP="00C23001">
      <w:pPr>
        <w:pStyle w:val="NORMAL12"/>
      </w:pPr>
      <w:r w:rsidRPr="003C1A00">
        <w:t>Durante la ejecución de los empalmes rectos y cargados se asegurará la continuidad eléctrica de las cubiertas de acero y de aluminio del cable troncal</w:t>
      </w:r>
    </w:p>
    <w:p w14:paraId="33BFA0C1" w14:textId="77777777" w:rsidR="00C23001" w:rsidRPr="003C1A00" w:rsidRDefault="00C23001" w:rsidP="000313DD">
      <w:pPr>
        <w:pStyle w:val="TITU2"/>
      </w:pPr>
      <w:bookmarkStart w:id="1272" w:name="_Toc399509027"/>
      <w:bookmarkStart w:id="1273" w:name="_Toc400741565"/>
      <w:bookmarkStart w:id="1274" w:name="_Toc513146329"/>
      <w:bookmarkStart w:id="1275" w:name="_Toc404647"/>
      <w:bookmarkEnd w:id="1269"/>
      <w:bookmarkEnd w:id="1270"/>
      <w:bookmarkEnd w:id="1271"/>
      <w:r w:rsidRPr="003C1A00">
        <w:t>801.6.</w:t>
      </w:r>
      <w:r w:rsidR="007E08F5">
        <w:t xml:space="preserve"> </w:t>
      </w:r>
      <w:r w:rsidRPr="003C1A00">
        <w:tab/>
        <w:t>Control de calidad</w:t>
      </w:r>
      <w:bookmarkEnd w:id="1272"/>
      <w:bookmarkEnd w:id="1273"/>
      <w:bookmarkEnd w:id="1274"/>
      <w:bookmarkEnd w:id="1275"/>
    </w:p>
    <w:p w14:paraId="5986D65E" w14:textId="77777777" w:rsidR="00C23001" w:rsidRPr="00A138E5" w:rsidRDefault="00C23001" w:rsidP="00C23001">
      <w:pPr>
        <w:pStyle w:val="NORMAL12"/>
      </w:pPr>
      <w:r w:rsidRPr="003C1A00">
        <w:t xml:space="preserve">Se </w:t>
      </w:r>
      <w:r w:rsidRPr="00A138E5">
        <w:t xml:space="preserve">comprobará el correcto funcionamiento de la instalación trasladada. No estará correctamente instalada hasta su comprobación y aprobación por el Ingeniero </w:t>
      </w:r>
      <w:proofErr w:type="gramStart"/>
      <w:r w:rsidRPr="00A138E5">
        <w:t>Director</w:t>
      </w:r>
      <w:proofErr w:type="gramEnd"/>
      <w:r w:rsidRPr="00A138E5">
        <w:t xml:space="preserve"> de la Obra y por el titular del servicio.</w:t>
      </w:r>
    </w:p>
    <w:p w14:paraId="24DAAE37" w14:textId="77777777" w:rsidR="00C23001" w:rsidRPr="00A138E5" w:rsidRDefault="00D424A3" w:rsidP="000313DD">
      <w:pPr>
        <w:pStyle w:val="TITU2"/>
      </w:pPr>
      <w:bookmarkStart w:id="1276" w:name="_Toc399509029"/>
      <w:bookmarkStart w:id="1277" w:name="_Toc400741567"/>
      <w:bookmarkStart w:id="1278" w:name="_Toc513146331"/>
      <w:r>
        <w:br w:type="column"/>
      </w:r>
      <w:bookmarkStart w:id="1279" w:name="_Toc404648"/>
      <w:r w:rsidR="007E08F5">
        <w:t>801.</w:t>
      </w:r>
      <w:r w:rsidR="00901FE5">
        <w:t>7</w:t>
      </w:r>
      <w:r w:rsidR="007E08F5">
        <w:t xml:space="preserve">. </w:t>
      </w:r>
      <w:r w:rsidR="00C23001" w:rsidRPr="00A138E5">
        <w:t>Medición y abono</w:t>
      </w:r>
      <w:bookmarkEnd w:id="1276"/>
      <w:bookmarkEnd w:id="1277"/>
      <w:bookmarkEnd w:id="1278"/>
      <w:bookmarkEnd w:id="1279"/>
    </w:p>
    <w:p w14:paraId="745A3431" w14:textId="77777777" w:rsidR="00C23001" w:rsidRPr="00A138E5" w:rsidRDefault="00C23001" w:rsidP="00C23001">
      <w:pPr>
        <w:pStyle w:val="NORMAL12"/>
      </w:pPr>
      <w:r w:rsidRPr="00A138E5">
        <w:t>La medición y abono de la reposición de los servicios de la DGT se realizará conforme a las siguientes prescripciones: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C23001" w:rsidRPr="00A138E5" w14:paraId="3CDFAB5B" w14:textId="77777777" w:rsidTr="00C23001">
        <w:tc>
          <w:tcPr>
            <w:tcW w:w="2905" w:type="dxa"/>
            <w:vAlign w:val="center"/>
          </w:tcPr>
          <w:p w14:paraId="43912F31" w14:textId="77777777" w:rsidR="00C23001" w:rsidRPr="00A138E5" w:rsidRDefault="00C23001" w:rsidP="00C23001">
            <w:pPr>
              <w:pStyle w:val="Tabla1"/>
              <w:jc w:val="center"/>
              <w:rPr>
                <w:b/>
                <w:sz w:val="20"/>
              </w:rPr>
            </w:pPr>
            <w:r w:rsidRPr="00A138E5">
              <w:rPr>
                <w:b/>
                <w:sz w:val="20"/>
              </w:rPr>
              <w:t>Unidad de medida</w:t>
            </w:r>
          </w:p>
        </w:tc>
        <w:tc>
          <w:tcPr>
            <w:tcW w:w="5739" w:type="dxa"/>
            <w:vAlign w:val="center"/>
          </w:tcPr>
          <w:p w14:paraId="33CC3A27" w14:textId="77777777" w:rsidR="00C23001" w:rsidRPr="00A138E5" w:rsidRDefault="00E40C54" w:rsidP="00C23001">
            <w:pPr>
              <w:pStyle w:val="Tabla1"/>
              <w:rPr>
                <w:sz w:val="20"/>
              </w:rPr>
            </w:pPr>
            <w:r>
              <w:rPr>
                <w:sz w:val="20"/>
              </w:rPr>
              <w:t>Unidad (</w:t>
            </w:r>
            <w:proofErr w:type="spellStart"/>
            <w:r w:rsidR="00C23001" w:rsidRPr="00A138E5">
              <w:rPr>
                <w:sz w:val="20"/>
              </w:rPr>
              <w:t>ud</w:t>
            </w:r>
            <w:proofErr w:type="spellEnd"/>
            <w:r>
              <w:rPr>
                <w:sz w:val="20"/>
              </w:rPr>
              <w:t>)</w:t>
            </w:r>
          </w:p>
        </w:tc>
      </w:tr>
      <w:tr w:rsidR="00C23001" w:rsidRPr="00A138E5" w14:paraId="40408CEE" w14:textId="77777777" w:rsidTr="00C23001">
        <w:tc>
          <w:tcPr>
            <w:tcW w:w="2905" w:type="dxa"/>
            <w:vAlign w:val="center"/>
          </w:tcPr>
          <w:p w14:paraId="6BBD9CF2" w14:textId="77777777" w:rsidR="00C23001" w:rsidRPr="00A138E5" w:rsidRDefault="00C23001" w:rsidP="00C23001">
            <w:pPr>
              <w:pStyle w:val="Tabla1"/>
              <w:jc w:val="center"/>
              <w:rPr>
                <w:b/>
                <w:sz w:val="20"/>
              </w:rPr>
            </w:pPr>
            <w:r w:rsidRPr="00A138E5">
              <w:rPr>
                <w:b/>
                <w:sz w:val="20"/>
              </w:rPr>
              <w:t>Grado de precisión</w:t>
            </w:r>
          </w:p>
        </w:tc>
        <w:tc>
          <w:tcPr>
            <w:tcW w:w="5739" w:type="dxa"/>
            <w:vAlign w:val="center"/>
          </w:tcPr>
          <w:p w14:paraId="643AD66A" w14:textId="77777777" w:rsidR="00C23001" w:rsidRPr="00A138E5" w:rsidRDefault="00C23001" w:rsidP="00C23001">
            <w:pPr>
              <w:pStyle w:val="Tabla1"/>
              <w:rPr>
                <w:sz w:val="20"/>
              </w:rPr>
            </w:pPr>
            <w:r w:rsidRPr="00A138E5">
              <w:rPr>
                <w:sz w:val="20"/>
              </w:rPr>
              <w:t>Unidades enteras</w:t>
            </w:r>
          </w:p>
        </w:tc>
      </w:tr>
      <w:tr w:rsidR="00C23001" w:rsidRPr="00A138E5" w14:paraId="2C4DD9A0" w14:textId="77777777" w:rsidTr="00C23001">
        <w:tc>
          <w:tcPr>
            <w:tcW w:w="2905" w:type="dxa"/>
            <w:vAlign w:val="center"/>
          </w:tcPr>
          <w:p w14:paraId="076B59EF" w14:textId="77777777" w:rsidR="00C23001" w:rsidRPr="00A138E5" w:rsidRDefault="00C23001" w:rsidP="00C23001">
            <w:pPr>
              <w:pStyle w:val="Tabla1"/>
              <w:jc w:val="center"/>
              <w:rPr>
                <w:b/>
                <w:sz w:val="20"/>
              </w:rPr>
            </w:pPr>
            <w:r w:rsidRPr="00A138E5">
              <w:rPr>
                <w:b/>
                <w:sz w:val="20"/>
              </w:rPr>
              <w:t>Forma de medición</w:t>
            </w:r>
          </w:p>
        </w:tc>
        <w:tc>
          <w:tcPr>
            <w:tcW w:w="5739" w:type="dxa"/>
            <w:vAlign w:val="center"/>
          </w:tcPr>
          <w:p w14:paraId="3C65E6A3" w14:textId="77777777" w:rsidR="00C23001" w:rsidRPr="00A138E5" w:rsidRDefault="00C23001" w:rsidP="00C23001">
            <w:pPr>
              <w:pStyle w:val="Tabla1"/>
              <w:rPr>
                <w:sz w:val="20"/>
              </w:rPr>
            </w:pPr>
          </w:p>
        </w:tc>
      </w:tr>
      <w:tr w:rsidR="00C23001" w:rsidRPr="00A138E5" w14:paraId="0DDE713F" w14:textId="77777777" w:rsidTr="00C23001">
        <w:tc>
          <w:tcPr>
            <w:tcW w:w="2905" w:type="dxa"/>
            <w:vAlign w:val="center"/>
          </w:tcPr>
          <w:p w14:paraId="41A2A3DE" w14:textId="77777777" w:rsidR="00C23001" w:rsidRPr="00A138E5" w:rsidRDefault="00C23001" w:rsidP="00C23001">
            <w:pPr>
              <w:pStyle w:val="Tabla1"/>
              <w:jc w:val="center"/>
              <w:rPr>
                <w:b/>
                <w:sz w:val="20"/>
              </w:rPr>
            </w:pPr>
            <w:r w:rsidRPr="00A138E5">
              <w:rPr>
                <w:b/>
                <w:sz w:val="20"/>
              </w:rPr>
              <w:t>Abono</w:t>
            </w:r>
          </w:p>
        </w:tc>
        <w:tc>
          <w:tcPr>
            <w:tcW w:w="5739" w:type="dxa"/>
            <w:vAlign w:val="center"/>
          </w:tcPr>
          <w:p w14:paraId="17756633" w14:textId="77777777" w:rsidR="00C23001" w:rsidRPr="00A138E5" w:rsidRDefault="00C23001" w:rsidP="00C23001">
            <w:pPr>
              <w:pStyle w:val="Tabla1"/>
              <w:rPr>
                <w:sz w:val="20"/>
              </w:rPr>
            </w:pPr>
            <w:r w:rsidRPr="00A138E5">
              <w:rPr>
                <w:sz w:val="20"/>
              </w:rPr>
              <w:t>Se efectuará cuando se realice la aceptación.</w:t>
            </w:r>
          </w:p>
        </w:tc>
      </w:tr>
      <w:tr w:rsidR="00C23001" w:rsidRPr="009B23E5" w14:paraId="68C00008" w14:textId="77777777" w:rsidTr="00C23001">
        <w:tc>
          <w:tcPr>
            <w:tcW w:w="2905" w:type="dxa"/>
            <w:vAlign w:val="center"/>
          </w:tcPr>
          <w:p w14:paraId="29AB32A3" w14:textId="77777777" w:rsidR="00C23001" w:rsidRPr="00A138E5" w:rsidRDefault="00C23001" w:rsidP="00C23001">
            <w:pPr>
              <w:pStyle w:val="Tabla1"/>
              <w:jc w:val="center"/>
              <w:rPr>
                <w:b/>
                <w:sz w:val="20"/>
              </w:rPr>
            </w:pPr>
            <w:r w:rsidRPr="00A138E5">
              <w:rPr>
                <w:b/>
                <w:sz w:val="20"/>
              </w:rPr>
              <w:t>Criterios complementarios</w:t>
            </w:r>
          </w:p>
        </w:tc>
        <w:tc>
          <w:tcPr>
            <w:tcW w:w="5739" w:type="dxa"/>
            <w:vAlign w:val="center"/>
          </w:tcPr>
          <w:p w14:paraId="27C26C43" w14:textId="77777777" w:rsidR="00C23001" w:rsidRPr="00697DF5" w:rsidRDefault="00C23001" w:rsidP="007E08F5">
            <w:pPr>
              <w:pStyle w:val="Tabla1"/>
              <w:rPr>
                <w:sz w:val="20"/>
              </w:rPr>
            </w:pPr>
            <w:r w:rsidRPr="00A138E5">
              <w:rPr>
                <w:sz w:val="20"/>
              </w:rPr>
              <w:t>Los precios incluyen todos los materiales, mano de obra, maquinaria y medios auxiliares necesarios para la correcta ejecución de la unidad.</w:t>
            </w:r>
          </w:p>
        </w:tc>
      </w:tr>
    </w:tbl>
    <w:p w14:paraId="28CE2DDE" w14:textId="77777777" w:rsidR="00F346B9" w:rsidRPr="00AC551D" w:rsidRDefault="00F346B9" w:rsidP="00F346B9">
      <w:pPr>
        <w:pStyle w:val="TITU1"/>
      </w:pPr>
      <w:bookmarkStart w:id="1280" w:name="_Toc404649"/>
      <w:bookmarkStart w:id="1281" w:name="_Toc352530461"/>
      <w:bookmarkStart w:id="1282" w:name="_Toc488666489"/>
      <w:bookmarkEnd w:id="1245"/>
      <w:bookmarkEnd w:id="1246"/>
      <w:bookmarkEnd w:id="1247"/>
      <w:r w:rsidRPr="00AC551D">
        <w:lastRenderedPageBreak/>
        <w:t>Artículo 802.- Desmontaje y montaje de elementos de equipamiento de la Dirección General de Tráfico (D.G.T.)</w:t>
      </w:r>
      <w:bookmarkEnd w:id="1280"/>
    </w:p>
    <w:p w14:paraId="08C253E6" w14:textId="77777777" w:rsidR="00F346B9" w:rsidRPr="00AC551D" w:rsidRDefault="00F346B9" w:rsidP="000313DD">
      <w:pPr>
        <w:pStyle w:val="TITU2"/>
      </w:pPr>
      <w:bookmarkStart w:id="1283" w:name="_Toc404650"/>
      <w:r w:rsidRPr="00AC551D">
        <w:t>802.1.</w:t>
      </w:r>
      <w:r w:rsidR="007E08F5">
        <w:t xml:space="preserve"> </w:t>
      </w:r>
      <w:r w:rsidRPr="00AC551D">
        <w:tab/>
        <w:t>Definición</w:t>
      </w:r>
      <w:bookmarkEnd w:id="1283"/>
    </w:p>
    <w:p w14:paraId="22196584" w14:textId="77777777" w:rsidR="00F346B9" w:rsidRPr="00AC551D" w:rsidRDefault="00F346B9" w:rsidP="00F346B9">
      <w:pPr>
        <w:pStyle w:val="NORMAL12"/>
        <w:rPr>
          <w:lang w:val="es-ES"/>
        </w:rPr>
      </w:pPr>
      <w:r w:rsidRPr="00AC551D">
        <w:rPr>
          <w:lang w:val="es-ES"/>
        </w:rPr>
        <w:t xml:space="preserve">Esta unidad incluye el desmontaje y montaje de aquellos elementos de equipamiento </w:t>
      </w:r>
      <w:proofErr w:type="spellStart"/>
      <w:r w:rsidRPr="00AC551D">
        <w:rPr>
          <w:lang w:val="es-ES"/>
        </w:rPr>
        <w:t>existenes</w:t>
      </w:r>
      <w:proofErr w:type="spellEnd"/>
      <w:r w:rsidRPr="00AC551D">
        <w:rPr>
          <w:lang w:val="es-ES"/>
        </w:rPr>
        <w:t xml:space="preserve"> de la D.G.T., tales como Armario de Contadores (AC), Armario de Distribución (AD) Estación Remota Universal – Estación de Tomas de Datos (ERU-ETD), Cinemómetro RADAR (CAJ), Estación </w:t>
      </w:r>
      <w:r w:rsidR="00157701" w:rsidRPr="00AC551D">
        <w:rPr>
          <w:lang w:val="es-ES"/>
        </w:rPr>
        <w:t>Meteorológica</w:t>
      </w:r>
      <w:r w:rsidRPr="00AC551D">
        <w:rPr>
          <w:lang w:val="es-ES"/>
        </w:rPr>
        <w:t xml:space="preserve"> (MET), </w:t>
      </w:r>
      <w:r w:rsidR="00157701" w:rsidRPr="00AC551D">
        <w:rPr>
          <w:lang w:val="es-ES"/>
        </w:rPr>
        <w:t>pórticos</w:t>
      </w:r>
      <w:r w:rsidRPr="00AC551D">
        <w:rPr>
          <w:lang w:val="es-ES"/>
        </w:rPr>
        <w:t>, banderolas, Paneles de Mensajería Variable (PMV), Lectores Automáticos de Matrículas</w:t>
      </w:r>
      <w:r>
        <w:rPr>
          <w:lang w:val="es-ES"/>
        </w:rPr>
        <w:t xml:space="preserve"> y </w:t>
      </w:r>
      <w:r w:rsidR="00157701">
        <w:rPr>
          <w:lang w:val="es-ES"/>
        </w:rPr>
        <w:t>Detectores</w:t>
      </w:r>
      <w:r>
        <w:rPr>
          <w:lang w:val="es-ES"/>
        </w:rPr>
        <w:t xml:space="preserve"> Electromagnéticos Dobles.</w:t>
      </w:r>
    </w:p>
    <w:p w14:paraId="43582CF4" w14:textId="77777777" w:rsidR="00F346B9" w:rsidRPr="00AC551D" w:rsidRDefault="00F346B9" w:rsidP="00F346B9">
      <w:pPr>
        <w:pStyle w:val="NORMAL12"/>
        <w:rPr>
          <w:lang w:val="es-ES"/>
        </w:rPr>
      </w:pPr>
      <w:r w:rsidRPr="00AC551D">
        <w:rPr>
          <w:lang w:val="es-ES"/>
        </w:rPr>
        <w:t>El traslado de la banderola o pórtico incluye todas las operaciones necesarias para poder desmontar y desmontar las estructuras metálicas (pórticos y banderolas) y el panel de mensaje variable. Incluye la cimentación y la conexión de todas las instalaciones en su posición final. En cualquier caso, las operaciones de desmontaje y montaje se realizarán según las indicaciones y los requisitos establecidos por el titular del servicio.</w:t>
      </w:r>
    </w:p>
    <w:p w14:paraId="28C168BB" w14:textId="77777777" w:rsidR="00F346B9" w:rsidRDefault="00F346B9" w:rsidP="000313DD">
      <w:pPr>
        <w:pStyle w:val="TITU2"/>
      </w:pPr>
      <w:bookmarkStart w:id="1284" w:name="_Toc404651"/>
      <w:r w:rsidRPr="00AC551D">
        <w:t>802.</w:t>
      </w:r>
      <w:r>
        <w:t>2</w:t>
      </w:r>
      <w:r w:rsidRPr="00AC551D">
        <w:t>.</w:t>
      </w:r>
      <w:r w:rsidR="007E08F5">
        <w:t xml:space="preserve"> </w:t>
      </w:r>
      <w:r w:rsidRPr="00AC551D">
        <w:tab/>
      </w:r>
      <w:r>
        <w:t>Materiales</w:t>
      </w:r>
      <w:bookmarkEnd w:id="1284"/>
    </w:p>
    <w:p w14:paraId="1EDB8A7A" w14:textId="77777777" w:rsidR="00F346B9" w:rsidRPr="00F74B11" w:rsidRDefault="00F346B9" w:rsidP="00F346B9">
      <w:pPr>
        <w:pStyle w:val="NORMAL12"/>
        <w:rPr>
          <w:i/>
          <w:u w:val="single"/>
        </w:rPr>
      </w:pPr>
      <w:r w:rsidRPr="00F74B11">
        <w:rPr>
          <w:i/>
          <w:u w:val="single"/>
        </w:rPr>
        <w:t>Detectores electromagnéticos</w:t>
      </w:r>
    </w:p>
    <w:p w14:paraId="675C3B2A" w14:textId="77777777" w:rsidR="00F346B9" w:rsidRPr="00C23001" w:rsidRDefault="00F346B9" w:rsidP="00221E1A">
      <w:pPr>
        <w:pStyle w:val="NORMAL12"/>
        <w:numPr>
          <w:ilvl w:val="0"/>
          <w:numId w:val="156"/>
        </w:numPr>
      </w:pPr>
      <w:r w:rsidRPr="00C23001">
        <w:t>Conductor: cobre estañado de 2.5 mm</w:t>
      </w:r>
      <w:r w:rsidRPr="00241CBC">
        <w:rPr>
          <w:vertAlign w:val="superscript"/>
        </w:rPr>
        <w:t>2</w:t>
      </w:r>
      <w:r w:rsidRPr="00C23001">
        <w:t xml:space="preserve"> de sección mínima</w:t>
      </w:r>
    </w:p>
    <w:p w14:paraId="5856BA16" w14:textId="77777777" w:rsidR="00F346B9" w:rsidRPr="00C23001" w:rsidRDefault="00F346B9" w:rsidP="00221E1A">
      <w:pPr>
        <w:pStyle w:val="NORMAL12"/>
        <w:numPr>
          <w:ilvl w:val="0"/>
          <w:numId w:val="156"/>
        </w:numPr>
      </w:pPr>
      <w:r w:rsidRPr="00C23001">
        <w:t>Cubierta: compuestos fluorados tipo PIROLID o similar</w:t>
      </w:r>
    </w:p>
    <w:p w14:paraId="122DB330" w14:textId="77777777" w:rsidR="00F346B9" w:rsidRPr="00C23001" w:rsidRDefault="00F346B9" w:rsidP="00221E1A">
      <w:pPr>
        <w:pStyle w:val="NORMAL12"/>
        <w:numPr>
          <w:ilvl w:val="0"/>
          <w:numId w:val="156"/>
        </w:numPr>
      </w:pPr>
      <w:r w:rsidRPr="00C23001">
        <w:t>Tensión máxima soportada: 1000 V.</w:t>
      </w:r>
    </w:p>
    <w:p w14:paraId="7E400011" w14:textId="77777777" w:rsidR="00F346B9" w:rsidRPr="00C23001" w:rsidRDefault="00F346B9" w:rsidP="00221E1A">
      <w:pPr>
        <w:pStyle w:val="NORMAL12"/>
        <w:numPr>
          <w:ilvl w:val="0"/>
          <w:numId w:val="156"/>
        </w:numPr>
      </w:pPr>
      <w:r w:rsidRPr="00C23001">
        <w:t xml:space="preserve">Resistencia de aislamiento &gt; 2000 </w:t>
      </w:r>
      <w:proofErr w:type="spellStart"/>
      <w:r w:rsidRPr="00C23001">
        <w:t>Mohmio.Km</w:t>
      </w:r>
      <w:proofErr w:type="spellEnd"/>
    </w:p>
    <w:p w14:paraId="784F7EE3" w14:textId="77777777" w:rsidR="00F346B9" w:rsidRPr="00C23001" w:rsidRDefault="00F346B9" w:rsidP="00221E1A">
      <w:pPr>
        <w:pStyle w:val="NORMAL12"/>
        <w:numPr>
          <w:ilvl w:val="0"/>
          <w:numId w:val="156"/>
        </w:numPr>
      </w:pPr>
      <w:r w:rsidRPr="00C23001">
        <w:t>Temperatura de utilización: entre -25ºC y 150ºC.</w:t>
      </w:r>
    </w:p>
    <w:p w14:paraId="1CC3CE44" w14:textId="77777777" w:rsidR="00F346B9" w:rsidRPr="00AC551D" w:rsidRDefault="00F346B9" w:rsidP="000313DD">
      <w:pPr>
        <w:pStyle w:val="TITU2"/>
      </w:pPr>
      <w:bookmarkStart w:id="1285" w:name="_Toc404652"/>
      <w:r w:rsidRPr="00AC551D">
        <w:t>802.</w:t>
      </w:r>
      <w:r>
        <w:t>3</w:t>
      </w:r>
      <w:r w:rsidRPr="00AC551D">
        <w:t>.</w:t>
      </w:r>
      <w:r w:rsidR="007E08F5">
        <w:t xml:space="preserve"> </w:t>
      </w:r>
      <w:r w:rsidRPr="00AC551D">
        <w:tab/>
        <w:t>Ejecución</w:t>
      </w:r>
      <w:bookmarkEnd w:id="1285"/>
    </w:p>
    <w:p w14:paraId="1ECCCDAA" w14:textId="77777777" w:rsidR="00F346B9" w:rsidRPr="00F74B11" w:rsidRDefault="00F346B9" w:rsidP="00F346B9">
      <w:pPr>
        <w:pStyle w:val="NORMAL12"/>
        <w:rPr>
          <w:i/>
          <w:u w:val="single"/>
        </w:rPr>
      </w:pPr>
      <w:r w:rsidRPr="00F74B11">
        <w:rPr>
          <w:i/>
          <w:u w:val="single"/>
        </w:rPr>
        <w:t>Desmontaje y montaje de elementos de equipamiento</w:t>
      </w:r>
    </w:p>
    <w:p w14:paraId="31FAA6C2" w14:textId="77777777" w:rsidR="00F346B9" w:rsidRDefault="00F346B9" w:rsidP="00F346B9">
      <w:pPr>
        <w:pStyle w:val="NORMAL12"/>
      </w:pPr>
      <w:r w:rsidRPr="00AC551D">
        <w:t>El Contratista será responsable de la adopción de todas las medidas de seguridad y del cumplimiento de las disposiciones vigentes al efectuar las operaciones de desmontaje y montaje, así como de evitar que se produzcan daños, molestias o perjuicios a las construcciones, bienes o personas próximas</w:t>
      </w:r>
      <w:r>
        <w:t xml:space="preserve"> y del entorno, sin perjuicio de su obligación de cumplir las instrucciones que eventualmente dicte el </w:t>
      </w:r>
      <w:proofErr w:type="gramStart"/>
      <w:r>
        <w:t>Director</w:t>
      </w:r>
      <w:proofErr w:type="gramEnd"/>
      <w:r>
        <w:t xml:space="preserve"> de las Obras.</w:t>
      </w:r>
    </w:p>
    <w:p w14:paraId="77DC3C8F" w14:textId="77777777" w:rsidR="00F346B9" w:rsidRDefault="00F346B9" w:rsidP="00F346B9">
      <w:pPr>
        <w:pStyle w:val="NORMAL12"/>
      </w:pPr>
      <w:r>
        <w:t>El desmontaje y montaje del equipamiento y de todos aquellos elementos que lo componen se realizarán según los requerimientos marcados por el titular del servicio.</w:t>
      </w:r>
    </w:p>
    <w:p w14:paraId="570C4337" w14:textId="77777777" w:rsidR="00F346B9" w:rsidRDefault="00F346B9" w:rsidP="00F346B9">
      <w:pPr>
        <w:pStyle w:val="NORMAL12"/>
      </w:pPr>
      <w:r>
        <w:t xml:space="preserve">Respecto a los detectores </w:t>
      </w:r>
      <w:r w:rsidR="00157701">
        <w:t>electromagnéticos</w:t>
      </w:r>
      <w:r>
        <w:t xml:space="preserve"> (cables de espiras), se ejecutará en primer lugar una regata en forma de rectángulo de 3 a 5 cm de profundidad en el pavimento y se colocarán los cables de espiras. Tras la colocación de </w:t>
      </w:r>
      <w:proofErr w:type="gramStart"/>
      <w:r>
        <w:t>los mismos</w:t>
      </w:r>
      <w:proofErr w:type="gramEnd"/>
      <w:r>
        <w:t xml:space="preserve"> se sellará la regata ejecutada mediante resina epoxi.</w:t>
      </w:r>
    </w:p>
    <w:p w14:paraId="0C7B8C32" w14:textId="77777777" w:rsidR="00F346B9" w:rsidRDefault="00F346B9" w:rsidP="00F346B9">
      <w:pPr>
        <w:pStyle w:val="NORMAL12"/>
      </w:pPr>
      <w:r>
        <w:t>En el caso de las estructuras (pórticos o banderolas), l</w:t>
      </w:r>
      <w:r w:rsidRPr="00ED234D">
        <w:t xml:space="preserve">os postes </w:t>
      </w:r>
      <w:r>
        <w:t xml:space="preserve">existentes </w:t>
      </w:r>
      <w:r w:rsidRPr="00ED234D">
        <w:t>se desatornillarán o cortarán</w:t>
      </w:r>
      <w:r>
        <w:t xml:space="preserve"> de modo que sea factible su posterior montaje y restitución de sus condiciones iniciales</w:t>
      </w:r>
      <w:r w:rsidRPr="00ED234D">
        <w:t>.</w:t>
      </w:r>
      <w:r>
        <w:t xml:space="preserve"> Los elementos de mayores dimensiones del pórtico o banderola a desmontar se desatornillarán o cortarán utilizando los medios de elevación adecuados para sustentar la pieza desensamblada y depositarla en el suelo.</w:t>
      </w:r>
      <w:r w:rsidRPr="00ED234D">
        <w:t xml:space="preserve"> </w:t>
      </w:r>
    </w:p>
    <w:p w14:paraId="7ABE0D43" w14:textId="77777777" w:rsidR="00F346B9" w:rsidRDefault="00F346B9" w:rsidP="00F346B9">
      <w:pPr>
        <w:pStyle w:val="NORMAL12"/>
      </w:pPr>
      <w:r w:rsidRPr="00D837F4">
        <w:t xml:space="preserve">Las vallas, placas, postes, tortillería, </w:t>
      </w:r>
      <w:proofErr w:type="gramStart"/>
      <w:r w:rsidRPr="00D837F4">
        <w:t>etc.,</w:t>
      </w:r>
      <w:proofErr w:type="gramEnd"/>
      <w:r w:rsidRPr="00D837F4">
        <w:t xml:space="preserve"> se transportarán y acopiarán en la forma y en el lugar que señale e</w:t>
      </w:r>
      <w:r>
        <w:t xml:space="preserve">l Ingeniero </w:t>
      </w:r>
      <w:proofErr w:type="gramStart"/>
      <w:r>
        <w:t>Director</w:t>
      </w:r>
      <w:proofErr w:type="gramEnd"/>
      <w:r>
        <w:t xml:space="preserve"> de la Obra.</w:t>
      </w:r>
    </w:p>
    <w:p w14:paraId="680FBEE5" w14:textId="77777777" w:rsidR="00F346B9" w:rsidRDefault="00F346B9" w:rsidP="00F346B9">
      <w:pPr>
        <w:pStyle w:val="NORMAL12"/>
      </w:pPr>
      <w:r>
        <w:t>En el caso de poder reutilizar la cimentación existente, el Contratista desmontará el equipamiento preservando los anclajes a la cimentación, de forma que la estructura pueda volver a montarse nuevamente en su posición original sobre las mismas placas de anclaje y sobre la cimentación existente.</w:t>
      </w:r>
    </w:p>
    <w:p w14:paraId="3F1B4543" w14:textId="77777777" w:rsidR="00F346B9" w:rsidRDefault="00F346B9" w:rsidP="00F346B9">
      <w:pPr>
        <w:pStyle w:val="NORMAL12"/>
      </w:pPr>
      <w:r w:rsidRPr="00D837F4">
        <w:t>Si en algún caso la sustitución se dilatase en el tiempo, se adoptarán las medidas de señalización y balizamiento necesarias para alcanzar las mayores condiciones de seguridad vial.</w:t>
      </w:r>
    </w:p>
    <w:p w14:paraId="143CEEAA" w14:textId="77777777" w:rsidR="00F346B9" w:rsidRPr="00AE0DBF" w:rsidRDefault="00F346B9" w:rsidP="00F346B9">
      <w:pPr>
        <w:pStyle w:val="NORMAL12"/>
      </w:pPr>
      <w:r w:rsidRPr="00AE0DBF">
        <w:t>No se deberá proceder a</w:t>
      </w:r>
      <w:r>
        <w:t>l</w:t>
      </w:r>
      <w:r w:rsidRPr="00AE0DBF">
        <w:t xml:space="preserve"> levantamiento hasta que se haya desviado el tráfico del correspondiente vial. Una vez levantada, se procederá inmediatamente a su traslado al punto de almacenamiento, el cual deberá estar protegido de la intemperie y de posibles robos.</w:t>
      </w:r>
    </w:p>
    <w:p w14:paraId="009CA2A3" w14:textId="77777777" w:rsidR="00F346B9" w:rsidRPr="00C45B9A" w:rsidRDefault="00F346B9" w:rsidP="00F346B9">
      <w:pPr>
        <w:pStyle w:val="NORMAL12"/>
      </w:pPr>
      <w:r w:rsidRPr="00AE0DBF">
        <w:t xml:space="preserve">Todos los retranqueos, reposiciones y nuevas implantaciones de instalaciones de regulación de </w:t>
      </w:r>
      <w:r w:rsidRPr="00C45B9A">
        <w:t xml:space="preserve">tráfico, deberán ser supervisadas y contar con la aprobación previa del </w:t>
      </w:r>
      <w:r w:rsidR="00157701" w:rsidRPr="00C45B9A">
        <w:t>titular</w:t>
      </w:r>
      <w:r w:rsidRPr="00C45B9A">
        <w:t xml:space="preserve"> del servicio.</w:t>
      </w:r>
    </w:p>
    <w:p w14:paraId="14180782" w14:textId="77777777" w:rsidR="00F346B9" w:rsidRPr="00F74B11" w:rsidRDefault="00B67DB1" w:rsidP="00F346B9">
      <w:pPr>
        <w:pStyle w:val="NORMAL12"/>
        <w:rPr>
          <w:i/>
          <w:u w:val="single"/>
          <w:lang w:val="es-ES"/>
        </w:rPr>
      </w:pPr>
      <w:r>
        <w:rPr>
          <w:i/>
          <w:u w:val="single"/>
          <w:lang w:val="es-ES"/>
        </w:rPr>
        <w:br w:type="column"/>
      </w:r>
      <w:r w:rsidR="00F346B9" w:rsidRPr="00F74B11">
        <w:rPr>
          <w:i/>
          <w:u w:val="single"/>
          <w:lang w:val="es-ES"/>
        </w:rPr>
        <w:lastRenderedPageBreak/>
        <w:t>Cimentación de elementos de equipamiento</w:t>
      </w:r>
    </w:p>
    <w:p w14:paraId="78E4B3DB" w14:textId="77777777" w:rsidR="00F346B9" w:rsidRDefault="00F346B9" w:rsidP="00F346B9">
      <w:pPr>
        <w:pStyle w:val="NORMAL12"/>
        <w:rPr>
          <w:lang w:val="es-ES"/>
        </w:rPr>
      </w:pPr>
      <w:r>
        <w:rPr>
          <w:lang w:val="es-ES"/>
        </w:rPr>
        <w:t xml:space="preserve">La cimentación de la banderola </w:t>
      </w:r>
      <w:r w:rsidR="00157701">
        <w:rPr>
          <w:lang w:val="es-ES"/>
        </w:rPr>
        <w:t>incluye</w:t>
      </w:r>
      <w:r w:rsidRPr="00E46792">
        <w:rPr>
          <w:lang w:val="es-ES"/>
        </w:rPr>
        <w:t xml:space="preserve"> </w:t>
      </w:r>
      <w:r w:rsidRPr="00031E90">
        <w:rPr>
          <w:lang w:val="es-ES"/>
        </w:rPr>
        <w:t xml:space="preserve">la excavación en cualquier clase de terreno y acondicionamiento </w:t>
      </w:r>
      <w:proofErr w:type="gramStart"/>
      <w:r w:rsidRPr="00031E90">
        <w:rPr>
          <w:lang w:val="es-ES"/>
        </w:rPr>
        <w:t>del mismo</w:t>
      </w:r>
      <w:proofErr w:type="gramEnd"/>
      <w:r w:rsidRPr="00031E90">
        <w:rPr>
          <w:lang w:val="es-ES"/>
        </w:rPr>
        <w:t>, el hormigón HA-30/B</w:t>
      </w:r>
      <w:r w:rsidRPr="00341868">
        <w:rPr>
          <w:lang w:val="es-ES"/>
        </w:rPr>
        <w:t>/20/</w:t>
      </w:r>
      <w:proofErr w:type="spellStart"/>
      <w:r w:rsidRPr="00341868">
        <w:rPr>
          <w:lang w:val="es-ES"/>
        </w:rPr>
        <w:t>IIa</w:t>
      </w:r>
      <w:proofErr w:type="spellEnd"/>
      <w:r w:rsidRPr="00341868">
        <w:rPr>
          <w:lang w:val="es-ES"/>
        </w:rPr>
        <w:t xml:space="preserve"> (véase Artículo 610. Hormigones) con armadura de acero corrugado B-500S (véase Artículo 600. </w:t>
      </w:r>
      <w:proofErr w:type="gramStart"/>
      <w:r w:rsidRPr="00341868">
        <w:rPr>
          <w:lang w:val="es-ES"/>
        </w:rPr>
        <w:t>Armaduras a emplear</w:t>
      </w:r>
      <w:proofErr w:type="gramEnd"/>
      <w:r w:rsidRPr="00341868">
        <w:rPr>
          <w:lang w:val="es-ES"/>
        </w:rPr>
        <w:t xml:space="preserve"> en hormigón armado), vertido y vibrado, incluso encofrado</w:t>
      </w:r>
      <w:r w:rsidRPr="00031E90">
        <w:rPr>
          <w:lang w:val="es-ES"/>
        </w:rPr>
        <w:t xml:space="preserve">, suministro y colocación de pernos de anclaje de acero galvanizado, codo de PVC corrugado de 110 mm de diámetro, transporte de material sobrante a acopio provisional y, en caso necesario, la reposición de la acera, calzada, cuneta o servicio afectado por la ejecución de </w:t>
      </w:r>
      <w:proofErr w:type="gramStart"/>
      <w:r w:rsidRPr="00031E90">
        <w:rPr>
          <w:lang w:val="es-ES"/>
        </w:rPr>
        <w:t>la misma</w:t>
      </w:r>
      <w:proofErr w:type="gramEnd"/>
      <w:r w:rsidRPr="00031E90">
        <w:rPr>
          <w:lang w:val="es-ES"/>
        </w:rPr>
        <w:t>.</w:t>
      </w:r>
    </w:p>
    <w:p w14:paraId="78D4D5A6" w14:textId="77777777" w:rsidR="00F346B9" w:rsidRPr="00031E90" w:rsidRDefault="00F346B9" w:rsidP="00F346B9">
      <w:pPr>
        <w:pStyle w:val="NORMAL12"/>
        <w:rPr>
          <w:lang w:val="es-ES"/>
        </w:rPr>
      </w:pPr>
      <w:r w:rsidRPr="00031E90">
        <w:rPr>
          <w:lang w:val="es-ES"/>
        </w:rPr>
        <w:t>Además, incluirán los tubos necesarios para introducir el cableado eléctrico y de telecomunicaciones en el interior de los equipos.</w:t>
      </w:r>
    </w:p>
    <w:p w14:paraId="181537EB" w14:textId="77777777" w:rsidR="00C23001" w:rsidRDefault="00C23001" w:rsidP="00C23001">
      <w:pPr>
        <w:pStyle w:val="TITU1"/>
      </w:pPr>
      <w:bookmarkStart w:id="1286" w:name="_Toc404653"/>
      <w:r>
        <w:lastRenderedPageBreak/>
        <w:t>Artículo 803</w:t>
      </w:r>
      <w:r w:rsidRPr="002D298E">
        <w:t>.</w:t>
      </w:r>
      <w:bookmarkEnd w:id="1281"/>
      <w:r>
        <w:t xml:space="preserve"> Arquetas de la reposición de servicios</w:t>
      </w:r>
      <w:bookmarkEnd w:id="1282"/>
      <w:bookmarkEnd w:id="1286"/>
      <w:r w:rsidRPr="002D298E">
        <w:t xml:space="preserve"> </w:t>
      </w:r>
    </w:p>
    <w:p w14:paraId="010EFA88" w14:textId="77777777" w:rsidR="00C23001" w:rsidRDefault="00C23001" w:rsidP="000313DD">
      <w:pPr>
        <w:pStyle w:val="TITU2"/>
      </w:pPr>
      <w:bookmarkStart w:id="1287" w:name="_Toc488666491"/>
      <w:bookmarkStart w:id="1288" w:name="_Toc404654"/>
      <w:r>
        <w:t xml:space="preserve">803.1. </w:t>
      </w:r>
      <w:r>
        <w:tab/>
        <w:t>Definición</w:t>
      </w:r>
      <w:bookmarkEnd w:id="1287"/>
      <w:bookmarkEnd w:id="1288"/>
    </w:p>
    <w:p w14:paraId="36ADE3D0" w14:textId="77777777" w:rsidR="00C23001" w:rsidRDefault="00C23001" w:rsidP="00C23001">
      <w:pPr>
        <w:pStyle w:val="NORMAL12"/>
      </w:pPr>
      <w:r>
        <w:t>Las arquetas de servicios son dispositivos registrables empleados para recibir, enlazar o distribuir canalizaciones o conductos subterráneos.</w:t>
      </w:r>
    </w:p>
    <w:p w14:paraId="48096314" w14:textId="77777777" w:rsidR="00C23001" w:rsidRDefault="00C23001" w:rsidP="000313DD">
      <w:pPr>
        <w:pStyle w:val="TITU2"/>
      </w:pPr>
      <w:bookmarkStart w:id="1289" w:name="_Toc488666492"/>
      <w:bookmarkStart w:id="1290" w:name="_Toc404655"/>
      <w:r>
        <w:t xml:space="preserve">803.2. </w:t>
      </w:r>
      <w:r>
        <w:tab/>
        <w:t>Forma y dimensiones</w:t>
      </w:r>
      <w:bookmarkEnd w:id="1289"/>
      <w:bookmarkEnd w:id="1290"/>
    </w:p>
    <w:p w14:paraId="2B2AC444" w14:textId="77777777" w:rsidR="00C23001" w:rsidRDefault="00C23001" w:rsidP="00C23001">
      <w:pPr>
        <w:pStyle w:val="NORMAL12"/>
      </w:pPr>
      <w:r>
        <w:t>Las arquetas se construirán con las formas y dimensiones indicadas en los planos, su emplazamiento y cota serán los indi</w:t>
      </w:r>
      <w:r>
        <w:softHyphen/>
        <w:t xml:space="preserve">cados en los mismos. En su defecto, se construirán según indicaciones del </w:t>
      </w:r>
      <w:proofErr w:type="gramStart"/>
      <w:r>
        <w:t>Director</w:t>
      </w:r>
      <w:proofErr w:type="gramEnd"/>
      <w:r>
        <w:t xml:space="preserve"> de Obra o la empresa propietaria del servicio correspondiente.</w:t>
      </w:r>
    </w:p>
    <w:p w14:paraId="22B841EB" w14:textId="77777777" w:rsidR="00C23001" w:rsidRPr="0094144E" w:rsidRDefault="00C23001" w:rsidP="000313DD">
      <w:pPr>
        <w:pStyle w:val="TITU2"/>
      </w:pPr>
      <w:bookmarkStart w:id="1291" w:name="_Toc488666493"/>
      <w:bookmarkStart w:id="1292" w:name="_Toc404656"/>
      <w:r>
        <w:t>803.3</w:t>
      </w:r>
      <w:r w:rsidRPr="00AB259C">
        <w:t xml:space="preserve">. </w:t>
      </w:r>
      <w:r w:rsidRPr="00AB259C">
        <w:tab/>
        <w:t>Materiales</w:t>
      </w:r>
      <w:bookmarkEnd w:id="1291"/>
      <w:bookmarkEnd w:id="1292"/>
    </w:p>
    <w:p w14:paraId="11C5865A" w14:textId="77777777" w:rsidR="00C23001" w:rsidRDefault="00C23001" w:rsidP="00C23001">
      <w:pPr>
        <w:pStyle w:val="NORMAL12"/>
      </w:pPr>
      <w:r>
        <w:t>Las características de los materiales a utilizar se ajustarán a lo previsto en los planos correspondientes y con carácter general a lo especificado, en las instrucciones y normas vigentes que les afecten.</w:t>
      </w:r>
    </w:p>
    <w:p w14:paraId="61BFE417" w14:textId="77777777" w:rsidR="00C23001" w:rsidRPr="00F476CB" w:rsidRDefault="00C23001" w:rsidP="00C23001">
      <w:pPr>
        <w:pStyle w:val="NORMAL12"/>
      </w:pPr>
      <w:proofErr w:type="gramStart"/>
      <w:r w:rsidRPr="0059742F">
        <w:t>El hormigón a utilizar</w:t>
      </w:r>
      <w:proofErr w:type="gramEnd"/>
      <w:r w:rsidRPr="0059742F">
        <w:t xml:space="preserve"> será el indicado en los planos. El hormigón de nivelación se definirá por parte del </w:t>
      </w:r>
      <w:proofErr w:type="gramStart"/>
      <w:r w:rsidRPr="0059742F">
        <w:t>Director</w:t>
      </w:r>
      <w:proofErr w:type="gramEnd"/>
      <w:r w:rsidRPr="0059742F">
        <w:t xml:space="preserve"> de Obras según el suelo presente </w:t>
      </w:r>
      <w:r w:rsidR="008C14E8">
        <w:t xml:space="preserve">y </w:t>
      </w:r>
      <w:r w:rsidR="008C14E8" w:rsidRPr="00F476CB">
        <w:t xml:space="preserve">será tipo </w:t>
      </w:r>
      <w:r w:rsidRPr="00F476CB">
        <w:t>HM-</w:t>
      </w:r>
      <w:r w:rsidR="003A570E" w:rsidRPr="00F476CB">
        <w:t>20</w:t>
      </w:r>
      <w:r w:rsidRPr="00F476CB">
        <w:t>, cuyas características y especificaciones propias son recogidas en el artículo 610.-</w:t>
      </w:r>
      <w:r w:rsidR="00BD72A3" w:rsidRPr="00F476CB">
        <w:t xml:space="preserve"> Hormigones del presente Pliego</w:t>
      </w:r>
      <w:r w:rsidRPr="00F476CB">
        <w:t>.</w:t>
      </w:r>
    </w:p>
    <w:p w14:paraId="199E2571" w14:textId="77777777" w:rsidR="00C23001" w:rsidRDefault="00C23001" w:rsidP="00C23001">
      <w:pPr>
        <w:pStyle w:val="NORMAL12"/>
      </w:pPr>
      <w:r w:rsidRPr="00F476CB">
        <w:t>La fundición para tapas, rejillas, pates, bastidores y anclajes, en general, cumplirán</w:t>
      </w:r>
      <w:r>
        <w:t xml:space="preserve"> las prescripciones específicas tanto las barras corrugadas para hormigón estructural indicadas en el apartado 31.2 de la vigente Instrucción EHE, así como las específicas para este tipo de obra en la UNE 36111 y UNE 36118.</w:t>
      </w:r>
    </w:p>
    <w:p w14:paraId="630F26C8" w14:textId="77777777" w:rsidR="00C23001" w:rsidRDefault="00C23001" w:rsidP="00C23001">
      <w:pPr>
        <w:pStyle w:val="NORMAL12"/>
      </w:pPr>
      <w:r>
        <w:t>Dichos metales o barras no presentarán defectos superficiales, grietas ni sopladuras.</w:t>
      </w:r>
    </w:p>
    <w:p w14:paraId="574FB27A" w14:textId="77777777" w:rsidR="00C23001" w:rsidRDefault="00C23001" w:rsidP="00C23001">
      <w:pPr>
        <w:pStyle w:val="NORMAL12"/>
      </w:pPr>
      <w:r>
        <w:t>La sección equivalente no será inferior al noventa y cinco con cinco por ciento (95,5%) de su sección nominal.</w:t>
      </w:r>
    </w:p>
    <w:p w14:paraId="277EDAC6" w14:textId="77777777" w:rsidR="00C23001" w:rsidRDefault="00C23001" w:rsidP="00C23001">
      <w:pPr>
        <w:pStyle w:val="NORMAL12"/>
      </w:pPr>
      <w:r>
        <w:t>La marca de identificación se realizará de acuerdo con las indicaciones del apartado 31.2 de la vigente Instrucción EHE, específicamente para las barras corrugadas utilizadas en el hormigón armado.</w:t>
      </w:r>
    </w:p>
    <w:p w14:paraId="489B9959" w14:textId="77777777" w:rsidR="00C23001" w:rsidRDefault="00C23001" w:rsidP="000313DD">
      <w:pPr>
        <w:pStyle w:val="TITU2"/>
      </w:pPr>
      <w:bookmarkStart w:id="1293" w:name="_Toc488666494"/>
      <w:bookmarkStart w:id="1294" w:name="_Toc404657"/>
      <w:r>
        <w:t>803.4</w:t>
      </w:r>
      <w:r w:rsidRPr="00AB259C">
        <w:t xml:space="preserve">. </w:t>
      </w:r>
      <w:r w:rsidRPr="00AB259C">
        <w:tab/>
        <w:t>Ejecución</w:t>
      </w:r>
      <w:bookmarkEnd w:id="1293"/>
      <w:bookmarkEnd w:id="1294"/>
    </w:p>
    <w:p w14:paraId="1456C6BF" w14:textId="77777777" w:rsidR="00C23001" w:rsidRDefault="00C23001" w:rsidP="00C23001">
      <w:pPr>
        <w:pStyle w:val="NORMAL12"/>
      </w:pPr>
      <w:r>
        <w:t xml:space="preserve">En esta unidad de obra quedarán comprendidos: </w:t>
      </w:r>
    </w:p>
    <w:p w14:paraId="601357F0" w14:textId="77777777" w:rsidR="00C23001" w:rsidRDefault="00C23001" w:rsidP="00221E1A">
      <w:pPr>
        <w:pStyle w:val="NORMAL12"/>
        <w:numPr>
          <w:ilvl w:val="0"/>
          <w:numId w:val="181"/>
        </w:numPr>
      </w:pPr>
      <w:r>
        <w:t>La excavación de la zanja necesaria para realizar las actividades constructivas propias de la estructura, rellenos y similares.</w:t>
      </w:r>
    </w:p>
    <w:p w14:paraId="6121881F" w14:textId="77777777" w:rsidR="00C23001" w:rsidRDefault="00C23001" w:rsidP="00221E1A">
      <w:pPr>
        <w:pStyle w:val="NORMAL12"/>
        <w:numPr>
          <w:ilvl w:val="0"/>
          <w:numId w:val="181"/>
        </w:numPr>
      </w:pPr>
      <w:r>
        <w:t>El hormigón, puesta en obra y nivelación de la solera de asiento</w:t>
      </w:r>
    </w:p>
    <w:p w14:paraId="5E7009B7" w14:textId="77777777" w:rsidR="00C23001" w:rsidRDefault="00C23001" w:rsidP="00221E1A">
      <w:pPr>
        <w:pStyle w:val="NORMAL12"/>
        <w:numPr>
          <w:ilvl w:val="0"/>
          <w:numId w:val="181"/>
        </w:numPr>
      </w:pPr>
      <w:r>
        <w:t>El suministro y colocación de los pates, el marco y de la tapa o rejilla de fundición dúctil</w:t>
      </w:r>
    </w:p>
    <w:p w14:paraId="0B31A65F" w14:textId="77777777" w:rsidR="00C23001" w:rsidRDefault="00C23001" w:rsidP="00221E1A">
      <w:pPr>
        <w:pStyle w:val="NORMAL12"/>
        <w:numPr>
          <w:ilvl w:val="0"/>
          <w:numId w:val="181"/>
        </w:numPr>
      </w:pPr>
      <w:r>
        <w:t>El hormigón armado, encofrado y moldes de requerirse, el desencofrado, etc.</w:t>
      </w:r>
    </w:p>
    <w:p w14:paraId="0AC84BC7" w14:textId="77777777" w:rsidR="00C23001" w:rsidRDefault="00C23001" w:rsidP="00221E1A">
      <w:pPr>
        <w:pStyle w:val="NORMAL12"/>
        <w:numPr>
          <w:ilvl w:val="0"/>
          <w:numId w:val="181"/>
        </w:numPr>
      </w:pPr>
      <w:r>
        <w:t>Rellenos localizados.</w:t>
      </w:r>
    </w:p>
    <w:p w14:paraId="410FCCC9" w14:textId="77777777" w:rsidR="00C23001" w:rsidRDefault="00C23001" w:rsidP="00221E1A">
      <w:pPr>
        <w:pStyle w:val="NORMAL12"/>
        <w:numPr>
          <w:ilvl w:val="0"/>
          <w:numId w:val="181"/>
        </w:numPr>
      </w:pPr>
      <w:r>
        <w:t>Elaboración de medidas correctoras del impacto.</w:t>
      </w:r>
    </w:p>
    <w:p w14:paraId="16301D67" w14:textId="77777777" w:rsidR="00C23001" w:rsidRPr="0059742F" w:rsidRDefault="00C23001" w:rsidP="00C23001">
      <w:pPr>
        <w:pStyle w:val="NORMAL12"/>
      </w:pPr>
      <w:r>
        <w:t>Cualquier trabajo, maquinaria, material o elemento necesario para la correcta y rápida ejecución de esta unidad de obra.</w:t>
      </w:r>
    </w:p>
    <w:p w14:paraId="4EE4BEDA" w14:textId="77777777" w:rsidR="00C23001" w:rsidRDefault="00C23001" w:rsidP="00C23001">
      <w:pPr>
        <w:pStyle w:val="NORMAL12"/>
      </w:pPr>
      <w:r>
        <w:t>Las conexiones de canalizaciones se efectuarán según las cotas indicadas en los planos.</w:t>
      </w:r>
    </w:p>
    <w:p w14:paraId="387A8125" w14:textId="77777777" w:rsidR="00C23001" w:rsidRDefault="00C23001" w:rsidP="00C23001">
      <w:pPr>
        <w:pStyle w:val="NORMAL12"/>
      </w:pPr>
      <w:r>
        <w:t>Las tapas o rejillas ajustarán al cuerpo de la obra y se colocarán de tal forma que su cara exterior quede al mismo nivel de las superficies adyacentes.</w:t>
      </w:r>
    </w:p>
    <w:p w14:paraId="4EB93B03" w14:textId="77777777" w:rsidR="00C23001" w:rsidRDefault="00C23001" w:rsidP="00C23001">
      <w:pPr>
        <w:pStyle w:val="NORMAL12"/>
      </w:pPr>
      <w:r>
        <w:t>Deberá cumplir con una adecuada estanqueidad.</w:t>
      </w:r>
    </w:p>
    <w:p w14:paraId="3319C260" w14:textId="77777777" w:rsidR="00C23001" w:rsidRDefault="00C23001" w:rsidP="00C23001">
      <w:pPr>
        <w:pStyle w:val="NORMAL12"/>
        <w:rPr>
          <w:lang w:val="es-ES"/>
        </w:rPr>
      </w:pPr>
    </w:p>
    <w:p w14:paraId="7E42A002" w14:textId="77777777" w:rsidR="00C23001" w:rsidRDefault="00C23001" w:rsidP="00C23001"/>
    <w:p w14:paraId="5D016356" w14:textId="77777777" w:rsidR="00773E1E" w:rsidRPr="007E08F5" w:rsidRDefault="00773E1E" w:rsidP="00773E1E">
      <w:pPr>
        <w:pStyle w:val="TITU1"/>
      </w:pPr>
      <w:bookmarkStart w:id="1295" w:name="_Toc530135494"/>
      <w:bookmarkStart w:id="1296" w:name="_Toc533762565"/>
      <w:bookmarkStart w:id="1297" w:name="_Toc404658"/>
      <w:bookmarkStart w:id="1298" w:name="_Toc206382273"/>
      <w:bookmarkStart w:id="1299" w:name="_Toc277523465"/>
      <w:bookmarkEnd w:id="1232"/>
      <w:bookmarkEnd w:id="1233"/>
      <w:bookmarkEnd w:id="1234"/>
      <w:bookmarkEnd w:id="1235"/>
      <w:bookmarkEnd w:id="1236"/>
      <w:r w:rsidRPr="007E08F5">
        <w:lastRenderedPageBreak/>
        <w:t>Artículo 804. Alumbrado de la autovía A-66</w:t>
      </w:r>
      <w:bookmarkEnd w:id="1295"/>
      <w:bookmarkEnd w:id="1296"/>
      <w:bookmarkEnd w:id="1297"/>
    </w:p>
    <w:p w14:paraId="194CC8C4" w14:textId="77777777" w:rsidR="00773E1E" w:rsidRPr="00901FE5" w:rsidRDefault="00773E1E" w:rsidP="000313DD">
      <w:pPr>
        <w:pStyle w:val="TITU2"/>
      </w:pPr>
      <w:bookmarkStart w:id="1300" w:name="_Toc530135495"/>
      <w:bookmarkStart w:id="1301" w:name="_Toc533762566"/>
      <w:bookmarkStart w:id="1302" w:name="_Toc404659"/>
      <w:r w:rsidRPr="00901FE5">
        <w:t xml:space="preserve">804.1. </w:t>
      </w:r>
      <w:r w:rsidRPr="00901FE5">
        <w:tab/>
        <w:t>Definición</w:t>
      </w:r>
      <w:bookmarkEnd w:id="1300"/>
      <w:bookmarkEnd w:id="1301"/>
      <w:bookmarkEnd w:id="1302"/>
    </w:p>
    <w:p w14:paraId="31BEB79C"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El presente artículo comprende la ejecución de las dos actuaciones siguientes:</w:t>
      </w:r>
    </w:p>
    <w:p w14:paraId="7C969C2F" w14:textId="77777777" w:rsidR="00773E1E" w:rsidRPr="00E62154" w:rsidRDefault="00773E1E" w:rsidP="00773E1E">
      <w:pPr>
        <w:numPr>
          <w:ilvl w:val="0"/>
          <w:numId w:val="156"/>
        </w:numPr>
        <w:suppressAutoHyphens/>
        <w:spacing w:before="120" w:after="120" w:line="360" w:lineRule="auto"/>
        <w:jc w:val="both"/>
        <w:rPr>
          <w:rFonts w:ascii="Arial" w:hAnsi="Arial" w:cs="Arial"/>
          <w:lang w:eastAsia="en-US"/>
        </w:rPr>
      </w:pPr>
      <w:r w:rsidRPr="00E62154">
        <w:rPr>
          <w:rFonts w:ascii="Arial" w:hAnsi="Arial" w:cs="Arial"/>
          <w:lang w:eastAsia="en-US"/>
        </w:rPr>
        <w:t xml:space="preserve">Reposición de servicios existentes de la red alumbrado público de la autovía A-66 entre el Enlace de Paredes y el Enlace de </w:t>
      </w:r>
      <w:proofErr w:type="spellStart"/>
      <w:r w:rsidRPr="00E62154">
        <w:rPr>
          <w:rFonts w:ascii="Arial" w:hAnsi="Arial" w:cs="Arial"/>
          <w:lang w:eastAsia="en-US"/>
        </w:rPr>
        <w:t>Matalablima</w:t>
      </w:r>
      <w:proofErr w:type="spellEnd"/>
      <w:r w:rsidRPr="00E62154">
        <w:rPr>
          <w:rFonts w:ascii="Arial" w:hAnsi="Arial" w:cs="Arial"/>
          <w:lang w:eastAsia="en-US"/>
        </w:rPr>
        <w:t>.</w:t>
      </w:r>
    </w:p>
    <w:p w14:paraId="38F29FF9" w14:textId="77777777" w:rsidR="00773E1E" w:rsidRPr="00E62154" w:rsidRDefault="00773E1E" w:rsidP="00773E1E">
      <w:pPr>
        <w:numPr>
          <w:ilvl w:val="0"/>
          <w:numId w:val="156"/>
        </w:numPr>
        <w:suppressAutoHyphens/>
        <w:spacing w:before="120" w:after="120" w:line="360" w:lineRule="auto"/>
        <w:jc w:val="both"/>
        <w:rPr>
          <w:rFonts w:ascii="Arial" w:hAnsi="Arial" w:cs="Arial"/>
          <w:lang w:eastAsia="en-US"/>
        </w:rPr>
      </w:pPr>
      <w:r w:rsidRPr="00E62154">
        <w:rPr>
          <w:rFonts w:ascii="Arial" w:hAnsi="Arial" w:cs="Arial"/>
          <w:lang w:eastAsia="en-US"/>
        </w:rPr>
        <w:t>Ejecución de nuevo alumbrado entre el inicio de la actuación y el Enlace de Paredes</w:t>
      </w:r>
    </w:p>
    <w:p w14:paraId="4EEFF8AF" w14:textId="77777777" w:rsidR="00773E1E" w:rsidRPr="00901FE5" w:rsidRDefault="00773E1E" w:rsidP="000313DD">
      <w:pPr>
        <w:pStyle w:val="TITU2"/>
      </w:pPr>
      <w:bookmarkStart w:id="1303" w:name="_Toc530135496"/>
      <w:bookmarkStart w:id="1304" w:name="_Toc533762567"/>
      <w:bookmarkStart w:id="1305" w:name="_Toc404660"/>
      <w:r w:rsidRPr="00901FE5">
        <w:t xml:space="preserve">804.2. </w:t>
      </w:r>
      <w:r w:rsidRPr="00901FE5">
        <w:tab/>
        <w:t>Aplicación</w:t>
      </w:r>
      <w:bookmarkEnd w:id="1303"/>
      <w:bookmarkEnd w:id="1304"/>
      <w:bookmarkEnd w:id="1305"/>
      <w:r w:rsidRPr="00901FE5">
        <w:t xml:space="preserve"> </w:t>
      </w:r>
    </w:p>
    <w:p w14:paraId="67243A9F" w14:textId="77777777" w:rsidR="00773E1E"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El presente artículo </w:t>
      </w:r>
      <w:proofErr w:type="gramStart"/>
      <w:r w:rsidRPr="00E62154">
        <w:rPr>
          <w:rFonts w:ascii="Arial" w:hAnsi="Arial" w:cs="Arial"/>
          <w:lang w:eastAsia="en-US"/>
        </w:rPr>
        <w:t>es de aplicación</w:t>
      </w:r>
      <w:proofErr w:type="gramEnd"/>
      <w:r w:rsidRPr="00E62154">
        <w:rPr>
          <w:rFonts w:ascii="Arial" w:hAnsi="Arial" w:cs="Arial"/>
          <w:lang w:eastAsia="en-US"/>
        </w:rPr>
        <w:t xml:space="preserve"> a la siguiente unidad de obra: </w:t>
      </w:r>
    </w:p>
    <w:p w14:paraId="73E9D8EC" w14:textId="77777777" w:rsidR="00BD72A3" w:rsidRDefault="00BD72A3" w:rsidP="00773E1E">
      <w:pPr>
        <w:suppressAutoHyphens/>
        <w:spacing w:before="120" w:after="120" w:line="360" w:lineRule="auto"/>
        <w:jc w:val="both"/>
        <w:rPr>
          <w:rFonts w:ascii="Arial" w:hAnsi="Arial" w:cs="Arial"/>
          <w:lang w:eastAsia="en-US"/>
        </w:rPr>
      </w:pPr>
    </w:p>
    <w:tbl>
      <w:tblPr>
        <w:tblW w:w="5000" w:type="pct"/>
        <w:tblCellMar>
          <w:left w:w="70" w:type="dxa"/>
          <w:right w:w="70" w:type="dxa"/>
        </w:tblCellMar>
        <w:tblLook w:val="04A0" w:firstRow="1" w:lastRow="0" w:firstColumn="1" w:lastColumn="0" w:noHBand="0" w:noVBand="1"/>
      </w:tblPr>
      <w:tblGrid>
        <w:gridCol w:w="1207"/>
        <w:gridCol w:w="717"/>
        <w:gridCol w:w="7996"/>
      </w:tblGrid>
      <w:tr w:rsidR="00773E1E" w:rsidRPr="00E62154" w14:paraId="2F710EB7" w14:textId="77777777" w:rsidTr="00FD7620">
        <w:trPr>
          <w:trHeight w:val="300"/>
        </w:trPr>
        <w:tc>
          <w:tcPr>
            <w:tcW w:w="608" w:type="pct"/>
            <w:noWrap/>
          </w:tcPr>
          <w:p w14:paraId="6D33DCE7" w14:textId="77777777" w:rsidR="00773E1E" w:rsidRPr="00FD7620" w:rsidRDefault="00773E1E" w:rsidP="00276EC8">
            <w:pPr>
              <w:rPr>
                <w:rFonts w:ascii="Calibri" w:hAnsi="Calibri"/>
              </w:rPr>
            </w:pPr>
            <w:r w:rsidRPr="00FD7620">
              <w:rPr>
                <w:rFonts w:ascii="Calibri" w:hAnsi="Calibri"/>
              </w:rPr>
              <w:t xml:space="preserve">900.0002N          </w:t>
            </w:r>
          </w:p>
        </w:tc>
        <w:tc>
          <w:tcPr>
            <w:tcW w:w="362" w:type="pct"/>
            <w:noWrap/>
          </w:tcPr>
          <w:p w14:paraId="79AE7DD4" w14:textId="77777777" w:rsidR="00773E1E" w:rsidRPr="00FD7620" w:rsidRDefault="00773E1E" w:rsidP="00276EC8">
            <w:pPr>
              <w:rPr>
                <w:rFonts w:ascii="Calibri" w:hAnsi="Calibri"/>
              </w:rPr>
            </w:pPr>
            <w:proofErr w:type="spellStart"/>
            <w:r w:rsidRPr="00FD7620">
              <w:rPr>
                <w:rFonts w:ascii="Calibri" w:hAnsi="Calibri"/>
              </w:rPr>
              <w:t>ud</w:t>
            </w:r>
            <w:proofErr w:type="spellEnd"/>
          </w:p>
        </w:tc>
        <w:tc>
          <w:tcPr>
            <w:tcW w:w="4029" w:type="pct"/>
          </w:tcPr>
          <w:p w14:paraId="361E2E38" w14:textId="77777777" w:rsidR="00BD72A3" w:rsidRPr="00FD7620" w:rsidRDefault="00BD72A3" w:rsidP="00D424A3">
            <w:pPr>
              <w:jc w:val="both"/>
              <w:rPr>
                <w:rFonts w:ascii="Calibri" w:hAnsi="Calibri"/>
                <w:color w:val="000000"/>
              </w:rPr>
            </w:pPr>
            <w:r w:rsidRPr="00FD7620">
              <w:rPr>
                <w:rFonts w:ascii="Calibri" w:hAnsi="Calibri"/>
                <w:color w:val="000000"/>
              </w:rPr>
              <w:t>REPOSICIÓN DEL SERVICIO AFECTADO SE-202 - ALUMBRADO A-66 - REFERIDO A LA REPOSICIÓN DEL SERVICIO DE ALUMBRADO DE LA A-66 ENTRE EL ENLACE DE LUGONES Y EL FINAL DEL TRAMO DE ACTUACIÓN QUE COMPRENDE EL DESMONTAJE DE BÁCULOS EXISTENTES, DEMOLICIÓN DE CIMENTACIONES, ARQUETAS Y CANALIZACIONES DEL TRAMO AFECTADO, ASÍ COMO SU POSTERIOR REPOSICIÓN MEDIANTE LA EJECUCIÓN DE NUEVAS CANALIZACIONES Y ARQUETAS, INSTALACIÓN DE BÁCULOS Y LUMINARIAS TIPO LED, NUEVA INSTALACIÓN ELÉCTRICA CON CUADRO DE MANDO Y PROTECCIÓN, SEGÚN LO REFLEJADO EN EL DOCUMENTO Nº2.- PLANOS Y EN EL ANEJO Nº24.- REPOSICIÓN DE SERVICIOS.</w:t>
            </w:r>
          </w:p>
          <w:p w14:paraId="3EDFEC17" w14:textId="77777777" w:rsidR="00773E1E" w:rsidRPr="00FD7620" w:rsidRDefault="00773E1E" w:rsidP="00D424A3">
            <w:pPr>
              <w:jc w:val="both"/>
              <w:rPr>
                <w:rFonts w:ascii="Calibri" w:hAnsi="Calibri"/>
              </w:rPr>
            </w:pPr>
          </w:p>
        </w:tc>
      </w:tr>
      <w:tr w:rsidR="00773E1E" w:rsidRPr="00E62154" w14:paraId="29C20028" w14:textId="77777777" w:rsidTr="00FD7620">
        <w:trPr>
          <w:trHeight w:val="300"/>
        </w:trPr>
        <w:tc>
          <w:tcPr>
            <w:tcW w:w="608" w:type="pct"/>
            <w:noWrap/>
          </w:tcPr>
          <w:p w14:paraId="1F4E4C96" w14:textId="77777777" w:rsidR="00773E1E" w:rsidRPr="00FD7620" w:rsidRDefault="00773E1E" w:rsidP="00276EC8">
            <w:pPr>
              <w:rPr>
                <w:rFonts w:ascii="Calibri" w:hAnsi="Calibri"/>
              </w:rPr>
            </w:pPr>
            <w:r w:rsidRPr="00FD7620">
              <w:rPr>
                <w:rFonts w:ascii="Calibri" w:hAnsi="Calibri"/>
              </w:rPr>
              <w:t>900.0004N</w:t>
            </w:r>
          </w:p>
        </w:tc>
        <w:tc>
          <w:tcPr>
            <w:tcW w:w="362" w:type="pct"/>
            <w:noWrap/>
          </w:tcPr>
          <w:p w14:paraId="19DCE29F" w14:textId="77777777" w:rsidR="00773E1E" w:rsidRPr="00FD7620" w:rsidRDefault="00773E1E" w:rsidP="00276EC8">
            <w:pPr>
              <w:rPr>
                <w:rFonts w:ascii="Calibri" w:hAnsi="Calibri"/>
              </w:rPr>
            </w:pPr>
            <w:proofErr w:type="spellStart"/>
            <w:r w:rsidRPr="00FD7620">
              <w:rPr>
                <w:rFonts w:ascii="Calibri" w:hAnsi="Calibri"/>
              </w:rPr>
              <w:t>ud</w:t>
            </w:r>
            <w:proofErr w:type="spellEnd"/>
          </w:p>
        </w:tc>
        <w:tc>
          <w:tcPr>
            <w:tcW w:w="4029" w:type="pct"/>
          </w:tcPr>
          <w:p w14:paraId="49EEB638" w14:textId="77777777" w:rsidR="00BD72A3" w:rsidRPr="00FD7620" w:rsidRDefault="00BD72A3" w:rsidP="00D424A3">
            <w:pPr>
              <w:jc w:val="both"/>
              <w:rPr>
                <w:rFonts w:ascii="Calibri" w:hAnsi="Calibri"/>
                <w:color w:val="000000"/>
              </w:rPr>
            </w:pPr>
            <w:r w:rsidRPr="00FD7620">
              <w:rPr>
                <w:rFonts w:ascii="Calibri" w:hAnsi="Calibri"/>
                <w:color w:val="000000"/>
              </w:rPr>
              <w:t>ILUMINACIÓN A-66 ENTRE EL INICIO DE LA ACTUACIÓN HASTA EL ENLACE DE PAREDES QUE COMPRENDE EL DESMONTAJE DE BÁCULOS, LA DEMOLICIÓN DE CIMENTACIONES, ARQUETAS Y CANALIZACIONES EXISTENTES EN LA TRAZA JUNTO AL ENLACE DE LUGONES, PARA LA POSTERIOR INSTALACIÓN DEL NUEVO ALUMBRADO QUE INCLUYE  LA EJECUCIÓN DE NUEVAS CANALIZACIONES, ARQUETAS, INSTALACIÓN DE BÁCULOS Y LUMINARIAS TIPO LED, NUEVA INSTALACIÓN ELÉCTRICA CON CUADRO DE MANDO Y PROTECCIÓN, Y TODOS LOS ELEMENTOS NECESARIOS EN LA NUEVA RED DE ALUMBRADO SEGÚN LO REFLEJADO EN EL DOCUMENTO Nº2.- PLANOS Y EN EL ANEJO Nº24.- REPOSICIÓN DE SERVICIOS.</w:t>
            </w:r>
          </w:p>
          <w:p w14:paraId="65D14E9E" w14:textId="77777777" w:rsidR="00773E1E" w:rsidRPr="00FD7620" w:rsidRDefault="00773E1E" w:rsidP="00D424A3">
            <w:pPr>
              <w:jc w:val="both"/>
              <w:rPr>
                <w:rFonts w:ascii="Calibri" w:hAnsi="Calibri"/>
              </w:rPr>
            </w:pPr>
          </w:p>
        </w:tc>
      </w:tr>
    </w:tbl>
    <w:p w14:paraId="128CC292" w14:textId="77777777" w:rsidR="00773E1E" w:rsidRPr="00901FE5" w:rsidRDefault="00773E1E" w:rsidP="000313DD">
      <w:pPr>
        <w:pStyle w:val="TITU2"/>
      </w:pPr>
      <w:bookmarkStart w:id="1306" w:name="_Toc530135497"/>
      <w:bookmarkStart w:id="1307" w:name="_Toc533762568"/>
      <w:bookmarkStart w:id="1308" w:name="_Toc404661"/>
      <w:r w:rsidRPr="00901FE5">
        <w:t>80</w:t>
      </w:r>
      <w:r>
        <w:t>4</w:t>
      </w:r>
      <w:r w:rsidRPr="00901FE5">
        <w:t xml:space="preserve">.3. </w:t>
      </w:r>
      <w:r w:rsidRPr="00901FE5">
        <w:tab/>
        <w:t>Descripción de los trabajos</w:t>
      </w:r>
      <w:bookmarkEnd w:id="1306"/>
      <w:bookmarkEnd w:id="1307"/>
      <w:bookmarkEnd w:id="1308"/>
    </w:p>
    <w:p w14:paraId="3D110BD1"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Las operaciones incluidas en este artículo son las siguientes:</w:t>
      </w:r>
    </w:p>
    <w:p w14:paraId="51FF3448" w14:textId="77777777" w:rsidR="00773E1E" w:rsidRPr="00E62154" w:rsidRDefault="00773E1E" w:rsidP="00661A5F">
      <w:pPr>
        <w:numPr>
          <w:ilvl w:val="0"/>
          <w:numId w:val="186"/>
        </w:numPr>
        <w:suppressAutoHyphens/>
        <w:spacing w:before="120" w:after="120" w:line="360" w:lineRule="auto"/>
        <w:jc w:val="both"/>
        <w:rPr>
          <w:rFonts w:ascii="Arial" w:hAnsi="Arial" w:cs="Arial"/>
          <w:lang w:eastAsia="en-US"/>
        </w:rPr>
      </w:pPr>
      <w:r w:rsidRPr="00E62154">
        <w:rPr>
          <w:rFonts w:ascii="Arial" w:hAnsi="Arial" w:cs="Arial"/>
          <w:lang w:eastAsia="en-US"/>
        </w:rPr>
        <w:t>Desmontaje de báculos existentes y demolición de arquetas y cimentaciones, según lo reflejado en el Artículo 301.- Demoliciones.</w:t>
      </w:r>
    </w:p>
    <w:p w14:paraId="46858273" w14:textId="77777777" w:rsidR="00773E1E" w:rsidRPr="00E62154" w:rsidRDefault="00773E1E" w:rsidP="00661A5F">
      <w:pPr>
        <w:numPr>
          <w:ilvl w:val="0"/>
          <w:numId w:val="186"/>
        </w:numPr>
        <w:suppressAutoHyphens/>
        <w:spacing w:before="120" w:after="120" w:line="360" w:lineRule="auto"/>
        <w:jc w:val="both"/>
        <w:rPr>
          <w:rFonts w:ascii="Arial" w:hAnsi="Arial" w:cs="Arial"/>
          <w:lang w:eastAsia="en-US"/>
        </w:rPr>
      </w:pPr>
      <w:r w:rsidRPr="00E62154">
        <w:rPr>
          <w:rFonts w:ascii="Arial" w:hAnsi="Arial" w:cs="Arial"/>
          <w:lang w:eastAsia="en-US"/>
        </w:rPr>
        <w:t>Excavación (según Artículo 321.- Excavaciones en zanjas y pozos) para retirada de canalizaciones existentes que vayan a quedar en desuso y relleno de excavación (según lo reflejado en el Artículo 332.- Rellenos localizados).</w:t>
      </w:r>
    </w:p>
    <w:p w14:paraId="0AEA5CE2" w14:textId="77777777" w:rsidR="00773E1E" w:rsidRPr="00E62154" w:rsidRDefault="00773E1E" w:rsidP="00661A5F">
      <w:pPr>
        <w:numPr>
          <w:ilvl w:val="0"/>
          <w:numId w:val="186"/>
        </w:numPr>
        <w:suppressAutoHyphens/>
        <w:spacing w:before="120" w:after="120" w:line="360" w:lineRule="auto"/>
        <w:jc w:val="both"/>
        <w:rPr>
          <w:rFonts w:ascii="Arial" w:hAnsi="Arial" w:cs="Arial"/>
          <w:lang w:eastAsia="en-US"/>
        </w:rPr>
      </w:pPr>
      <w:r w:rsidRPr="00E62154">
        <w:rPr>
          <w:rFonts w:ascii="Arial" w:hAnsi="Arial" w:cs="Arial"/>
          <w:lang w:eastAsia="en-US"/>
        </w:rPr>
        <w:t>Ejecución de nuevas canalizaciones en los bordes exteriores de la plataforma, según lo reflejado en el Artículo 806.- Canalizaciones subterráneas de alumbrado).</w:t>
      </w:r>
    </w:p>
    <w:p w14:paraId="5BF9FB2E" w14:textId="77777777" w:rsidR="00773E1E" w:rsidRPr="00E62154" w:rsidRDefault="00773E1E" w:rsidP="00661A5F">
      <w:pPr>
        <w:numPr>
          <w:ilvl w:val="0"/>
          <w:numId w:val="186"/>
        </w:numPr>
        <w:suppressAutoHyphens/>
        <w:spacing w:before="120" w:after="120" w:line="360" w:lineRule="auto"/>
        <w:jc w:val="both"/>
        <w:rPr>
          <w:rFonts w:ascii="Arial" w:hAnsi="Arial" w:cs="Arial"/>
          <w:lang w:eastAsia="en-US"/>
        </w:rPr>
      </w:pPr>
      <w:r w:rsidRPr="00E62154">
        <w:rPr>
          <w:rFonts w:ascii="Arial" w:hAnsi="Arial" w:cs="Arial"/>
          <w:lang w:eastAsia="en-US"/>
        </w:rPr>
        <w:t>Ejecución de nuevas canalizaciones entubadas fijadas a los paramentos de las estructuras, según lo recogido en el Artículo 807.- Canalizaciones entubadas exteriores de alumbrado.</w:t>
      </w:r>
    </w:p>
    <w:p w14:paraId="2025EC94" w14:textId="77777777" w:rsidR="00773E1E" w:rsidRPr="00E62154" w:rsidRDefault="00773E1E" w:rsidP="00661A5F">
      <w:pPr>
        <w:numPr>
          <w:ilvl w:val="0"/>
          <w:numId w:val="186"/>
        </w:numPr>
        <w:suppressAutoHyphens/>
        <w:spacing w:before="120" w:after="120" w:line="360" w:lineRule="auto"/>
        <w:jc w:val="both"/>
        <w:rPr>
          <w:rFonts w:ascii="Arial" w:hAnsi="Arial" w:cs="Arial"/>
          <w:lang w:eastAsia="en-US"/>
        </w:rPr>
      </w:pPr>
      <w:r w:rsidRPr="00E62154">
        <w:rPr>
          <w:rFonts w:ascii="Arial" w:hAnsi="Arial" w:cs="Arial"/>
          <w:lang w:eastAsia="en-US"/>
        </w:rPr>
        <w:t>Ejecución de nuevas arquetas de alumbrado, según lo especificado en el Artículo 803.- Arquetas de la reposición de servicios.</w:t>
      </w:r>
    </w:p>
    <w:p w14:paraId="69F1AD93" w14:textId="77777777" w:rsidR="00773E1E" w:rsidRPr="00E62154" w:rsidRDefault="00773E1E" w:rsidP="00661A5F">
      <w:pPr>
        <w:numPr>
          <w:ilvl w:val="0"/>
          <w:numId w:val="186"/>
        </w:numPr>
        <w:suppressAutoHyphens/>
        <w:spacing w:before="120" w:after="120" w:line="360" w:lineRule="auto"/>
        <w:jc w:val="both"/>
        <w:rPr>
          <w:rFonts w:ascii="Arial" w:hAnsi="Arial" w:cs="Arial"/>
          <w:lang w:eastAsia="en-US"/>
        </w:rPr>
      </w:pPr>
      <w:r w:rsidRPr="00E62154">
        <w:rPr>
          <w:rFonts w:ascii="Arial" w:hAnsi="Arial" w:cs="Arial"/>
          <w:lang w:eastAsia="en-US"/>
        </w:rPr>
        <w:t xml:space="preserve">Montaje de la nueva instalación eléctrica de baja tensión, según lo reflejado en el Artículo 808.- Instalación eléctrica de alumbrado. </w:t>
      </w:r>
    </w:p>
    <w:p w14:paraId="779CC900" w14:textId="77777777" w:rsidR="00773E1E" w:rsidRPr="00E62154" w:rsidRDefault="00773E1E" w:rsidP="00661A5F">
      <w:pPr>
        <w:numPr>
          <w:ilvl w:val="0"/>
          <w:numId w:val="18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Instalación de báculos, según lo reflejado en el Artículo 809.- Báculos.</w:t>
      </w:r>
    </w:p>
    <w:p w14:paraId="54D7F4B8" w14:textId="77777777" w:rsidR="00773E1E" w:rsidRPr="00E62154" w:rsidRDefault="00773E1E" w:rsidP="00661A5F">
      <w:pPr>
        <w:numPr>
          <w:ilvl w:val="0"/>
          <w:numId w:val="18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Instalación de luminarias, según lo reflejado en el Artículo 810.- Luminarias LED.</w:t>
      </w:r>
    </w:p>
    <w:p w14:paraId="7BD40A16" w14:textId="77777777" w:rsidR="00773E1E" w:rsidRDefault="00773E1E" w:rsidP="00661A5F">
      <w:pPr>
        <w:numPr>
          <w:ilvl w:val="0"/>
          <w:numId w:val="186"/>
        </w:numPr>
        <w:suppressAutoHyphens/>
        <w:spacing w:before="120" w:after="120" w:line="360" w:lineRule="auto"/>
        <w:jc w:val="both"/>
        <w:rPr>
          <w:rFonts w:ascii="Arial" w:hAnsi="Arial" w:cs="Arial"/>
          <w:lang w:eastAsia="en-US"/>
        </w:rPr>
      </w:pPr>
      <w:r w:rsidRPr="00E62154">
        <w:rPr>
          <w:rFonts w:ascii="Arial" w:hAnsi="Arial" w:cs="Arial"/>
          <w:lang w:eastAsia="en-US"/>
        </w:rPr>
        <w:t>Retirada de los residuos generados a un lugar de acopio habilitado en obra hasta su posterior traslado al punto de gestión de residuos.</w:t>
      </w:r>
    </w:p>
    <w:p w14:paraId="1093E6A1" w14:textId="77777777" w:rsidR="00773E1E" w:rsidRPr="00901FE5" w:rsidRDefault="00773E1E" w:rsidP="000313DD">
      <w:pPr>
        <w:pStyle w:val="TITU2"/>
      </w:pPr>
      <w:bookmarkStart w:id="1309" w:name="_Toc533762569"/>
      <w:bookmarkStart w:id="1310" w:name="_Toc404662"/>
      <w:r w:rsidRPr="00901FE5">
        <w:t xml:space="preserve">804.4.  </w:t>
      </w:r>
      <w:r>
        <w:t xml:space="preserve"> </w:t>
      </w:r>
      <w:r w:rsidRPr="00901FE5">
        <w:t>Medición y abono</w:t>
      </w:r>
      <w:bookmarkEnd w:id="1309"/>
      <w:bookmarkEnd w:id="1310"/>
    </w:p>
    <w:p w14:paraId="1503730D"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medición y abono de la reposición de los servicios de alumbrado de la A-66 se realizará conforme a las siguientes prescripciones: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773E1E" w:rsidRPr="00E62154" w14:paraId="26538BA8" w14:textId="77777777" w:rsidTr="00276EC8">
        <w:tc>
          <w:tcPr>
            <w:tcW w:w="2905" w:type="dxa"/>
            <w:vAlign w:val="center"/>
          </w:tcPr>
          <w:p w14:paraId="406174EB" w14:textId="77777777" w:rsidR="00773E1E" w:rsidRPr="00E62154" w:rsidRDefault="00773E1E" w:rsidP="00276EC8">
            <w:pPr>
              <w:spacing w:before="120" w:after="40" w:line="276" w:lineRule="auto"/>
              <w:rPr>
                <w:rFonts w:ascii="Arial" w:hAnsi="Arial" w:cs="Arial"/>
                <w:b/>
                <w:sz w:val="20"/>
              </w:rPr>
            </w:pPr>
            <w:r w:rsidRPr="00E62154">
              <w:rPr>
                <w:rFonts w:ascii="Arial" w:hAnsi="Arial" w:cs="Arial"/>
                <w:b/>
                <w:sz w:val="20"/>
              </w:rPr>
              <w:t>Unidad de medida</w:t>
            </w:r>
          </w:p>
        </w:tc>
        <w:tc>
          <w:tcPr>
            <w:tcW w:w="5739" w:type="dxa"/>
            <w:vAlign w:val="center"/>
          </w:tcPr>
          <w:p w14:paraId="75CF21E0"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Unidad (</w:t>
            </w:r>
            <w:proofErr w:type="spellStart"/>
            <w:r w:rsidRPr="00E62154">
              <w:rPr>
                <w:rFonts w:ascii="Arial" w:hAnsi="Arial" w:cs="Arial"/>
                <w:sz w:val="20"/>
              </w:rPr>
              <w:t>ud</w:t>
            </w:r>
            <w:proofErr w:type="spellEnd"/>
            <w:r w:rsidRPr="00E62154">
              <w:rPr>
                <w:rFonts w:ascii="Arial" w:hAnsi="Arial" w:cs="Arial"/>
                <w:sz w:val="20"/>
              </w:rPr>
              <w:t>)</w:t>
            </w:r>
          </w:p>
        </w:tc>
      </w:tr>
      <w:tr w:rsidR="00773E1E" w:rsidRPr="00E62154" w14:paraId="508E6CBB" w14:textId="77777777" w:rsidTr="00276EC8">
        <w:tc>
          <w:tcPr>
            <w:tcW w:w="2905" w:type="dxa"/>
            <w:vAlign w:val="center"/>
          </w:tcPr>
          <w:p w14:paraId="6E217A7B" w14:textId="77777777" w:rsidR="00773E1E" w:rsidRPr="00E62154" w:rsidRDefault="00773E1E" w:rsidP="00276EC8">
            <w:pPr>
              <w:spacing w:before="120" w:after="40" w:line="276" w:lineRule="auto"/>
              <w:rPr>
                <w:rFonts w:ascii="Arial" w:hAnsi="Arial" w:cs="Arial"/>
                <w:b/>
                <w:sz w:val="20"/>
              </w:rPr>
            </w:pPr>
            <w:r w:rsidRPr="00E62154">
              <w:rPr>
                <w:rFonts w:ascii="Arial" w:hAnsi="Arial" w:cs="Arial"/>
                <w:b/>
                <w:sz w:val="20"/>
              </w:rPr>
              <w:t>Grado de precisión</w:t>
            </w:r>
          </w:p>
        </w:tc>
        <w:tc>
          <w:tcPr>
            <w:tcW w:w="5739" w:type="dxa"/>
            <w:vAlign w:val="center"/>
          </w:tcPr>
          <w:p w14:paraId="1564A158"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Unidades enteras</w:t>
            </w:r>
          </w:p>
        </w:tc>
      </w:tr>
      <w:tr w:rsidR="00773E1E" w:rsidRPr="00E62154" w14:paraId="17278F16" w14:textId="77777777" w:rsidTr="00276EC8">
        <w:tc>
          <w:tcPr>
            <w:tcW w:w="2905" w:type="dxa"/>
            <w:vAlign w:val="center"/>
          </w:tcPr>
          <w:p w14:paraId="02EE31E1" w14:textId="77777777" w:rsidR="00773E1E" w:rsidRPr="00E62154" w:rsidRDefault="00773E1E" w:rsidP="00276EC8">
            <w:pPr>
              <w:spacing w:before="120" w:after="40" w:line="276" w:lineRule="auto"/>
              <w:rPr>
                <w:rFonts w:ascii="Arial" w:hAnsi="Arial" w:cs="Arial"/>
                <w:b/>
                <w:sz w:val="20"/>
              </w:rPr>
            </w:pPr>
            <w:r w:rsidRPr="00E62154">
              <w:rPr>
                <w:rFonts w:ascii="Arial" w:hAnsi="Arial" w:cs="Arial"/>
                <w:b/>
                <w:sz w:val="20"/>
              </w:rPr>
              <w:t>Forma de medición</w:t>
            </w:r>
          </w:p>
        </w:tc>
        <w:tc>
          <w:tcPr>
            <w:tcW w:w="5739" w:type="dxa"/>
            <w:vAlign w:val="center"/>
          </w:tcPr>
          <w:p w14:paraId="06FC4674" w14:textId="77777777" w:rsidR="00773E1E" w:rsidRPr="00E62154" w:rsidRDefault="00773E1E" w:rsidP="00276EC8">
            <w:pPr>
              <w:spacing w:before="120" w:after="40" w:line="276" w:lineRule="auto"/>
              <w:jc w:val="both"/>
              <w:rPr>
                <w:rFonts w:ascii="Arial" w:hAnsi="Arial" w:cs="Arial"/>
                <w:sz w:val="20"/>
              </w:rPr>
            </w:pPr>
          </w:p>
        </w:tc>
      </w:tr>
      <w:tr w:rsidR="00773E1E" w:rsidRPr="00E62154" w14:paraId="3544B7DB" w14:textId="77777777" w:rsidTr="00276EC8">
        <w:tc>
          <w:tcPr>
            <w:tcW w:w="2905" w:type="dxa"/>
            <w:tcBorders>
              <w:bottom w:val="single" w:sz="4" w:space="0" w:color="auto"/>
            </w:tcBorders>
            <w:vAlign w:val="center"/>
          </w:tcPr>
          <w:p w14:paraId="63A8F946" w14:textId="77777777" w:rsidR="00773E1E" w:rsidRPr="00E62154" w:rsidRDefault="00773E1E" w:rsidP="00276EC8">
            <w:pPr>
              <w:spacing w:before="120" w:after="40" w:line="276" w:lineRule="auto"/>
              <w:rPr>
                <w:rFonts w:ascii="Arial" w:hAnsi="Arial" w:cs="Arial"/>
                <w:b/>
                <w:sz w:val="20"/>
              </w:rPr>
            </w:pPr>
            <w:r w:rsidRPr="00E62154">
              <w:rPr>
                <w:rFonts w:ascii="Arial" w:hAnsi="Arial" w:cs="Arial"/>
                <w:b/>
                <w:sz w:val="20"/>
              </w:rPr>
              <w:t>Abono</w:t>
            </w:r>
          </w:p>
        </w:tc>
        <w:tc>
          <w:tcPr>
            <w:tcW w:w="5739" w:type="dxa"/>
            <w:tcBorders>
              <w:bottom w:val="single" w:sz="4" w:space="0" w:color="auto"/>
            </w:tcBorders>
            <w:vAlign w:val="center"/>
          </w:tcPr>
          <w:p w14:paraId="646FEF85"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Se efectuará cuando se realice la aceptación.</w:t>
            </w:r>
          </w:p>
        </w:tc>
      </w:tr>
      <w:tr w:rsidR="00773E1E" w:rsidRPr="00E62154" w14:paraId="2ADF810B" w14:textId="77777777" w:rsidTr="00276EC8">
        <w:tc>
          <w:tcPr>
            <w:tcW w:w="2905" w:type="dxa"/>
            <w:tcBorders>
              <w:bottom w:val="single" w:sz="4" w:space="0" w:color="auto"/>
            </w:tcBorders>
            <w:vAlign w:val="center"/>
          </w:tcPr>
          <w:p w14:paraId="284E0DAC" w14:textId="77777777" w:rsidR="00773E1E" w:rsidRPr="00E62154" w:rsidRDefault="00773E1E" w:rsidP="00276EC8">
            <w:pPr>
              <w:spacing w:before="120" w:after="40" w:line="276" w:lineRule="auto"/>
              <w:rPr>
                <w:rFonts w:ascii="Arial" w:hAnsi="Arial" w:cs="Arial"/>
                <w:b/>
                <w:sz w:val="20"/>
              </w:rPr>
            </w:pPr>
            <w:r w:rsidRPr="00E62154">
              <w:rPr>
                <w:rFonts w:ascii="Arial" w:hAnsi="Arial" w:cs="Arial"/>
                <w:b/>
                <w:sz w:val="20"/>
              </w:rPr>
              <w:t>Criterios complementarios</w:t>
            </w:r>
          </w:p>
        </w:tc>
        <w:tc>
          <w:tcPr>
            <w:tcW w:w="5739" w:type="dxa"/>
            <w:tcBorders>
              <w:bottom w:val="single" w:sz="4" w:space="0" w:color="auto"/>
            </w:tcBorders>
            <w:vAlign w:val="center"/>
          </w:tcPr>
          <w:p w14:paraId="556F5367"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Los precios incluyen todos los materiales, mano de obra, maquinaria y medios auxiliares necesarios para la correcta ejecución de la unidad.</w:t>
            </w:r>
          </w:p>
        </w:tc>
      </w:tr>
    </w:tbl>
    <w:p w14:paraId="5B6648AE" w14:textId="77777777" w:rsidR="00773E1E" w:rsidRPr="00E62154" w:rsidRDefault="00773E1E" w:rsidP="00773E1E">
      <w:pPr>
        <w:suppressAutoHyphens/>
        <w:spacing w:before="120" w:after="120" w:line="360" w:lineRule="auto"/>
        <w:jc w:val="both"/>
        <w:rPr>
          <w:rFonts w:ascii="Arial" w:hAnsi="Arial" w:cs="Arial"/>
          <w:lang w:val="es-ES_tradnl" w:eastAsia="en-US"/>
        </w:rPr>
      </w:pPr>
    </w:p>
    <w:p w14:paraId="7DFF1233" w14:textId="77777777" w:rsidR="00FD7620" w:rsidRDefault="00FD7620" w:rsidP="00773E1E">
      <w:pPr>
        <w:suppressAutoHyphens/>
        <w:spacing w:before="120" w:after="120" w:line="360" w:lineRule="auto"/>
        <w:jc w:val="both"/>
        <w:rPr>
          <w:rFonts w:ascii="Arial" w:hAnsi="Arial" w:cs="Arial"/>
          <w:lang w:val="es-ES_tradnl" w:eastAsia="en-US"/>
        </w:rPr>
      </w:pPr>
    </w:p>
    <w:p w14:paraId="3D6A2A4F"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lastRenderedPageBreak/>
        <w:t>La medición y abono de la ejecución del nuevo alumbrado de la A-66 entre el inicio de la actuación y el Enlace de Paredes, se realizará conforme a las siguientes prescripciones: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773E1E" w:rsidRPr="00E62154" w14:paraId="034CC14B" w14:textId="77777777" w:rsidTr="00276EC8">
        <w:tc>
          <w:tcPr>
            <w:tcW w:w="2905" w:type="dxa"/>
            <w:vAlign w:val="center"/>
          </w:tcPr>
          <w:p w14:paraId="2CE5F53D"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Unidad de medida</w:t>
            </w:r>
          </w:p>
        </w:tc>
        <w:tc>
          <w:tcPr>
            <w:tcW w:w="5739" w:type="dxa"/>
            <w:vAlign w:val="center"/>
          </w:tcPr>
          <w:p w14:paraId="0CFDE527"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Unidad (</w:t>
            </w:r>
            <w:proofErr w:type="spellStart"/>
            <w:r w:rsidRPr="00E62154">
              <w:rPr>
                <w:rFonts w:ascii="Arial" w:hAnsi="Arial" w:cs="Arial"/>
                <w:sz w:val="20"/>
              </w:rPr>
              <w:t>ud</w:t>
            </w:r>
            <w:proofErr w:type="spellEnd"/>
            <w:r w:rsidRPr="00E62154">
              <w:rPr>
                <w:rFonts w:ascii="Arial" w:hAnsi="Arial" w:cs="Arial"/>
                <w:sz w:val="20"/>
              </w:rPr>
              <w:t>)</w:t>
            </w:r>
          </w:p>
        </w:tc>
      </w:tr>
      <w:tr w:rsidR="00773E1E" w:rsidRPr="00E62154" w14:paraId="5E885665" w14:textId="77777777" w:rsidTr="00276EC8">
        <w:tc>
          <w:tcPr>
            <w:tcW w:w="2905" w:type="dxa"/>
            <w:vAlign w:val="center"/>
          </w:tcPr>
          <w:p w14:paraId="32A00F99"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Grado de precisión</w:t>
            </w:r>
          </w:p>
        </w:tc>
        <w:tc>
          <w:tcPr>
            <w:tcW w:w="5739" w:type="dxa"/>
            <w:vAlign w:val="center"/>
          </w:tcPr>
          <w:p w14:paraId="418320A6"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Unidades enteras</w:t>
            </w:r>
          </w:p>
        </w:tc>
      </w:tr>
      <w:tr w:rsidR="00773E1E" w:rsidRPr="00E62154" w14:paraId="18DB3C30" w14:textId="77777777" w:rsidTr="00276EC8">
        <w:tc>
          <w:tcPr>
            <w:tcW w:w="2905" w:type="dxa"/>
            <w:vAlign w:val="center"/>
          </w:tcPr>
          <w:p w14:paraId="2F675595"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Forma de medición</w:t>
            </w:r>
          </w:p>
        </w:tc>
        <w:tc>
          <w:tcPr>
            <w:tcW w:w="5739" w:type="dxa"/>
            <w:vAlign w:val="center"/>
          </w:tcPr>
          <w:p w14:paraId="2A4AF665" w14:textId="77777777" w:rsidR="00773E1E" w:rsidRPr="00E62154" w:rsidRDefault="00773E1E" w:rsidP="00276EC8">
            <w:pPr>
              <w:spacing w:before="120" w:after="40" w:line="276" w:lineRule="auto"/>
              <w:jc w:val="both"/>
              <w:rPr>
                <w:rFonts w:ascii="Arial" w:hAnsi="Arial" w:cs="Arial"/>
                <w:sz w:val="20"/>
              </w:rPr>
            </w:pPr>
          </w:p>
        </w:tc>
      </w:tr>
      <w:tr w:rsidR="00773E1E" w:rsidRPr="00E62154" w14:paraId="778D5E22" w14:textId="77777777" w:rsidTr="00276EC8">
        <w:tc>
          <w:tcPr>
            <w:tcW w:w="2905" w:type="dxa"/>
            <w:vAlign w:val="center"/>
          </w:tcPr>
          <w:p w14:paraId="2DA0B975"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Abono</w:t>
            </w:r>
          </w:p>
        </w:tc>
        <w:tc>
          <w:tcPr>
            <w:tcW w:w="5739" w:type="dxa"/>
            <w:vAlign w:val="center"/>
          </w:tcPr>
          <w:p w14:paraId="09F783F1"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Se efectuará cuando se realice la aceptación.</w:t>
            </w:r>
          </w:p>
        </w:tc>
      </w:tr>
      <w:tr w:rsidR="00773E1E" w:rsidRPr="00E62154" w14:paraId="03A720B8" w14:textId="77777777" w:rsidTr="00276EC8">
        <w:tc>
          <w:tcPr>
            <w:tcW w:w="2905" w:type="dxa"/>
            <w:vAlign w:val="center"/>
          </w:tcPr>
          <w:p w14:paraId="0561374A"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Criterios complementarios</w:t>
            </w:r>
          </w:p>
        </w:tc>
        <w:tc>
          <w:tcPr>
            <w:tcW w:w="5739" w:type="dxa"/>
            <w:vAlign w:val="center"/>
          </w:tcPr>
          <w:p w14:paraId="7D92CBF3"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Los precios incluyen todos los materiales, mano de obra, maquinaria y medios auxiliares necesarios para la correcta ejecución de la unidad.</w:t>
            </w:r>
          </w:p>
        </w:tc>
      </w:tr>
    </w:tbl>
    <w:p w14:paraId="3D9ED4A3" w14:textId="77777777" w:rsidR="00773E1E" w:rsidRDefault="00773E1E" w:rsidP="00773E1E">
      <w:pPr>
        <w:suppressAutoHyphens/>
        <w:spacing w:before="120" w:after="120" w:line="360" w:lineRule="auto"/>
        <w:ind w:left="360"/>
        <w:jc w:val="both"/>
        <w:rPr>
          <w:rFonts w:ascii="Arial" w:hAnsi="Arial" w:cs="Arial"/>
          <w:lang w:eastAsia="en-US"/>
        </w:rPr>
      </w:pPr>
    </w:p>
    <w:p w14:paraId="115047FC" w14:textId="77777777" w:rsidR="002E5047" w:rsidRDefault="002E5047" w:rsidP="00773E1E">
      <w:pPr>
        <w:suppressAutoHyphens/>
        <w:spacing w:before="120" w:after="120" w:line="360" w:lineRule="auto"/>
        <w:ind w:left="360"/>
        <w:jc w:val="both"/>
        <w:rPr>
          <w:rFonts w:ascii="Arial" w:hAnsi="Arial" w:cs="Arial"/>
          <w:lang w:eastAsia="en-US"/>
        </w:rPr>
      </w:pPr>
    </w:p>
    <w:p w14:paraId="4FE64F0F" w14:textId="77777777" w:rsidR="002E5047" w:rsidRDefault="002E5047" w:rsidP="00773E1E">
      <w:pPr>
        <w:suppressAutoHyphens/>
        <w:spacing w:before="120" w:after="120" w:line="360" w:lineRule="auto"/>
        <w:ind w:left="360"/>
        <w:jc w:val="both"/>
        <w:rPr>
          <w:rFonts w:ascii="Arial" w:hAnsi="Arial" w:cs="Arial"/>
          <w:lang w:eastAsia="en-US"/>
        </w:rPr>
      </w:pPr>
    </w:p>
    <w:p w14:paraId="5173DB59" w14:textId="77777777" w:rsidR="002E5047" w:rsidRDefault="002E5047" w:rsidP="00773E1E">
      <w:pPr>
        <w:suppressAutoHyphens/>
        <w:spacing w:before="120" w:after="120" w:line="360" w:lineRule="auto"/>
        <w:ind w:left="360"/>
        <w:jc w:val="both"/>
        <w:rPr>
          <w:rFonts w:ascii="Arial" w:hAnsi="Arial" w:cs="Arial"/>
          <w:lang w:eastAsia="en-US"/>
        </w:rPr>
      </w:pPr>
    </w:p>
    <w:p w14:paraId="64B2CA8F" w14:textId="77777777" w:rsidR="002E5047" w:rsidRPr="00E62154" w:rsidRDefault="002E5047" w:rsidP="00773E1E">
      <w:pPr>
        <w:suppressAutoHyphens/>
        <w:spacing w:before="120" w:after="120" w:line="360" w:lineRule="auto"/>
        <w:ind w:left="360"/>
        <w:jc w:val="both"/>
        <w:rPr>
          <w:rFonts w:ascii="Arial" w:hAnsi="Arial" w:cs="Arial"/>
          <w:lang w:eastAsia="en-US"/>
        </w:rPr>
      </w:pPr>
    </w:p>
    <w:p w14:paraId="0998F649" w14:textId="77777777" w:rsidR="00773E1E" w:rsidRPr="00E62154" w:rsidRDefault="00773E1E" w:rsidP="00773E1E">
      <w:pPr>
        <w:keepNext/>
        <w:pageBreakBefore/>
        <w:widowControl w:val="0"/>
        <w:spacing w:before="360" w:after="240" w:line="360" w:lineRule="auto"/>
        <w:jc w:val="both"/>
        <w:outlineLvl w:val="0"/>
        <w:rPr>
          <w:rFonts w:ascii="Arial" w:hAnsi="Arial" w:cs="Arial"/>
          <w:b/>
          <w:noProof/>
          <w:kern w:val="28"/>
          <w:lang w:eastAsia="en-US"/>
        </w:rPr>
        <w:sectPr w:rsidR="00773E1E" w:rsidRPr="00E62154" w:rsidSect="003069BA">
          <w:footerReference w:type="first" r:id="rId36"/>
          <w:type w:val="oddPage"/>
          <w:pgSz w:w="23814" w:h="16840" w:orient="landscape" w:code="8"/>
          <w:pgMar w:top="992" w:right="851" w:bottom="1418" w:left="851" w:header="567" w:footer="1021" w:gutter="1418"/>
          <w:cols w:num="2" w:space="1134"/>
        </w:sectPr>
      </w:pPr>
      <w:bookmarkStart w:id="1311" w:name="_Toc530135498"/>
    </w:p>
    <w:p w14:paraId="4C2CF5B5" w14:textId="77777777" w:rsidR="00773E1E" w:rsidRPr="00E62154" w:rsidRDefault="00773E1E" w:rsidP="00773E1E">
      <w:pPr>
        <w:keepNext/>
        <w:pageBreakBefore/>
        <w:widowControl w:val="0"/>
        <w:spacing w:before="360" w:after="240" w:line="360" w:lineRule="auto"/>
        <w:jc w:val="both"/>
        <w:outlineLvl w:val="0"/>
        <w:rPr>
          <w:rFonts w:ascii="Arial" w:hAnsi="Arial" w:cs="Arial"/>
          <w:b/>
          <w:noProof/>
          <w:kern w:val="28"/>
          <w:lang w:eastAsia="en-US"/>
        </w:rPr>
      </w:pPr>
      <w:bookmarkStart w:id="1312" w:name="_Toc533762570"/>
      <w:bookmarkStart w:id="1313" w:name="_Toc404663"/>
      <w:r w:rsidRPr="00E62154">
        <w:rPr>
          <w:rFonts w:ascii="Arial" w:hAnsi="Arial" w:cs="Arial"/>
          <w:b/>
          <w:noProof/>
          <w:kern w:val="28"/>
          <w:lang w:eastAsia="en-US"/>
        </w:rPr>
        <w:lastRenderedPageBreak/>
        <w:t>Artículo 805. Reposición de servicios de la red del alumbrado del Ayuntamiento de Siero</w:t>
      </w:r>
      <w:bookmarkEnd w:id="1312"/>
      <w:bookmarkEnd w:id="1313"/>
    </w:p>
    <w:p w14:paraId="73DAFA84" w14:textId="77777777" w:rsidR="00773E1E" w:rsidRPr="00901FE5" w:rsidRDefault="00773E1E" w:rsidP="000313DD">
      <w:pPr>
        <w:pStyle w:val="TITU2"/>
      </w:pPr>
      <w:bookmarkStart w:id="1314" w:name="_Toc533762571"/>
      <w:bookmarkStart w:id="1315" w:name="_Toc404664"/>
      <w:r w:rsidRPr="00901FE5">
        <w:t xml:space="preserve">805.1. </w:t>
      </w:r>
      <w:r w:rsidRPr="00901FE5">
        <w:tab/>
        <w:t>Definición</w:t>
      </w:r>
      <w:bookmarkEnd w:id="1314"/>
      <w:bookmarkEnd w:id="1315"/>
    </w:p>
    <w:p w14:paraId="32C98B05"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El presente artículo comprende la reposición de los servicios existentes de la red de alumbrado del Ayuntamiento de Siero, que se ven afectados por la ejecución de las obras.</w:t>
      </w:r>
    </w:p>
    <w:p w14:paraId="78E71C66" w14:textId="77777777" w:rsidR="00773E1E" w:rsidRPr="00901FE5" w:rsidRDefault="00773E1E" w:rsidP="000313DD">
      <w:pPr>
        <w:pStyle w:val="TITU2"/>
      </w:pPr>
      <w:bookmarkStart w:id="1316" w:name="_Toc533762572"/>
      <w:bookmarkStart w:id="1317" w:name="_Toc404665"/>
      <w:r w:rsidRPr="00901FE5">
        <w:t xml:space="preserve">805.2. </w:t>
      </w:r>
      <w:r w:rsidRPr="00901FE5">
        <w:tab/>
        <w:t>Aplicación</w:t>
      </w:r>
      <w:bookmarkEnd w:id="1316"/>
      <w:bookmarkEnd w:id="1317"/>
      <w:r w:rsidRPr="00901FE5">
        <w:t xml:space="preserve"> </w:t>
      </w:r>
    </w:p>
    <w:p w14:paraId="5539703C"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El presente artículo </w:t>
      </w:r>
      <w:proofErr w:type="gramStart"/>
      <w:r w:rsidRPr="00E62154">
        <w:rPr>
          <w:rFonts w:ascii="Arial" w:hAnsi="Arial" w:cs="Arial"/>
          <w:lang w:eastAsia="en-US"/>
        </w:rPr>
        <w:t>es de aplicación</w:t>
      </w:r>
      <w:proofErr w:type="gramEnd"/>
      <w:r w:rsidRPr="00E62154">
        <w:rPr>
          <w:rFonts w:ascii="Arial" w:hAnsi="Arial" w:cs="Arial"/>
          <w:lang w:eastAsia="en-US"/>
        </w:rPr>
        <w:t xml:space="preserve"> a la siguiente unidad de obra: </w:t>
      </w:r>
    </w:p>
    <w:tbl>
      <w:tblPr>
        <w:tblW w:w="5000" w:type="pct"/>
        <w:tblCellMar>
          <w:left w:w="70" w:type="dxa"/>
          <w:right w:w="70" w:type="dxa"/>
        </w:tblCellMar>
        <w:tblLook w:val="04A0" w:firstRow="1" w:lastRow="0" w:firstColumn="1" w:lastColumn="0" w:noHBand="0" w:noVBand="1"/>
      </w:tblPr>
      <w:tblGrid>
        <w:gridCol w:w="1207"/>
        <w:gridCol w:w="723"/>
        <w:gridCol w:w="7990"/>
      </w:tblGrid>
      <w:tr w:rsidR="00773E1E" w:rsidRPr="00E62154" w14:paraId="0F9239DC" w14:textId="77777777" w:rsidTr="00FD7620">
        <w:trPr>
          <w:trHeight w:val="300"/>
        </w:trPr>
        <w:tc>
          <w:tcPr>
            <w:tcW w:w="608" w:type="pct"/>
            <w:noWrap/>
          </w:tcPr>
          <w:p w14:paraId="17939F51" w14:textId="77777777" w:rsidR="00773E1E" w:rsidRPr="00FD7620" w:rsidRDefault="00773E1E" w:rsidP="00276EC8">
            <w:pPr>
              <w:rPr>
                <w:rFonts w:ascii="Calibri" w:hAnsi="Calibri"/>
              </w:rPr>
            </w:pPr>
            <w:r w:rsidRPr="00FD7620">
              <w:rPr>
                <w:rFonts w:ascii="Calibri" w:hAnsi="Calibri"/>
              </w:rPr>
              <w:t xml:space="preserve">900.0003N          </w:t>
            </w:r>
          </w:p>
        </w:tc>
        <w:tc>
          <w:tcPr>
            <w:tcW w:w="365" w:type="pct"/>
            <w:noWrap/>
          </w:tcPr>
          <w:p w14:paraId="1553A106" w14:textId="77777777" w:rsidR="00773E1E" w:rsidRPr="00FD7620" w:rsidRDefault="00773E1E" w:rsidP="00276EC8">
            <w:pPr>
              <w:rPr>
                <w:rFonts w:ascii="Calibri" w:hAnsi="Calibri"/>
              </w:rPr>
            </w:pPr>
            <w:proofErr w:type="spellStart"/>
            <w:r w:rsidRPr="00FD7620">
              <w:rPr>
                <w:rFonts w:ascii="Calibri" w:hAnsi="Calibri"/>
              </w:rPr>
              <w:t>ud</w:t>
            </w:r>
            <w:proofErr w:type="spellEnd"/>
          </w:p>
        </w:tc>
        <w:tc>
          <w:tcPr>
            <w:tcW w:w="4026" w:type="pct"/>
          </w:tcPr>
          <w:p w14:paraId="4455184E" w14:textId="77777777" w:rsidR="00773E1E" w:rsidRPr="00FD7620" w:rsidRDefault="004D29D5" w:rsidP="00D424A3">
            <w:pPr>
              <w:spacing w:after="240"/>
              <w:jc w:val="both"/>
              <w:rPr>
                <w:rFonts w:ascii="Calibri" w:hAnsi="Calibri"/>
              </w:rPr>
            </w:pPr>
            <w:r w:rsidRPr="00FD7620">
              <w:rPr>
                <w:rFonts w:ascii="Calibri" w:hAnsi="Calibri"/>
                <w:color w:val="000000"/>
              </w:rPr>
              <w:t>REPOSIC</w:t>
            </w:r>
            <w:r w:rsidR="00D424A3">
              <w:rPr>
                <w:rFonts w:ascii="Calibri" w:hAnsi="Calibri"/>
                <w:color w:val="000000"/>
              </w:rPr>
              <w:t>I</w:t>
            </w:r>
            <w:r w:rsidRPr="00FD7620">
              <w:rPr>
                <w:rFonts w:ascii="Calibri" w:hAnsi="Calibri"/>
                <w:color w:val="000000"/>
              </w:rPr>
              <w:t>ON DEL SERVICIO AFECTADO SE-301- ALUMBRADO (SI-2) QUE COMPRENDE EL DEMSONTAJE DE BÁCULOS PARA REUTILIZACIÓN, LA DEMOLICIÓN DE CANALIZACIONES Y ARQUETAS DEL TRAMO AFECTADO, ASÍ COMO SU REPOSICIÓN QUE INCLUYE LA REUBICACIÓN DE BÁCULOS ACOPIADOS, LA EJECUCIÓN DE NUEVAS CANALIZACIONES Y ARQUETAS, EL TENDIDO DE LA INSTALACIÓN ELÉCTRICA Y TODOS LOS ELEMENTOS NECESARIOS PARA EL RESTABLECIMIENTO DEL SERVICIO, SEGÚN LO REFLEJADO EN EL DOCUMENTO Nº2.- PLANOS Y EN EL ANEJO Nº24.- REPOSICIÓN DE SERVICIOS.</w:t>
            </w:r>
          </w:p>
        </w:tc>
      </w:tr>
    </w:tbl>
    <w:p w14:paraId="77C2785F" w14:textId="77777777" w:rsidR="00773E1E" w:rsidRPr="00901FE5" w:rsidRDefault="00773E1E" w:rsidP="000313DD">
      <w:pPr>
        <w:pStyle w:val="TITU2"/>
      </w:pPr>
      <w:bookmarkStart w:id="1318" w:name="_Toc533762573"/>
      <w:bookmarkStart w:id="1319" w:name="_Toc404666"/>
      <w:r w:rsidRPr="00901FE5">
        <w:t xml:space="preserve">805.3. </w:t>
      </w:r>
      <w:r w:rsidRPr="00901FE5">
        <w:tab/>
        <w:t>Descripción de los trabajos</w:t>
      </w:r>
      <w:bookmarkEnd w:id="1318"/>
      <w:bookmarkEnd w:id="1319"/>
    </w:p>
    <w:p w14:paraId="7A90D157"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Las operaciones incluidas en este artículo son las siguientes:</w:t>
      </w:r>
    </w:p>
    <w:p w14:paraId="20BBE820" w14:textId="77777777" w:rsidR="00773E1E" w:rsidRPr="00E62154" w:rsidRDefault="00773E1E" w:rsidP="00661A5F">
      <w:pPr>
        <w:numPr>
          <w:ilvl w:val="0"/>
          <w:numId w:val="192"/>
        </w:numPr>
        <w:suppressAutoHyphens/>
        <w:spacing w:before="120" w:after="120" w:line="360" w:lineRule="auto"/>
        <w:jc w:val="both"/>
        <w:rPr>
          <w:rFonts w:ascii="Arial" w:hAnsi="Arial" w:cs="Arial"/>
          <w:lang w:eastAsia="en-US"/>
        </w:rPr>
      </w:pPr>
      <w:r w:rsidRPr="00E62154">
        <w:rPr>
          <w:rFonts w:ascii="Arial" w:hAnsi="Arial" w:cs="Arial"/>
          <w:lang w:eastAsia="en-US"/>
        </w:rPr>
        <w:t>Desmontaje de báculos existentes, y demolición de arquetas y cimentaciones, según lo reflejado en el Artículo 301.- Demoliciones.</w:t>
      </w:r>
    </w:p>
    <w:p w14:paraId="63C4CE4B" w14:textId="77777777" w:rsidR="00773E1E" w:rsidRPr="00E62154" w:rsidRDefault="00773E1E" w:rsidP="00661A5F">
      <w:pPr>
        <w:numPr>
          <w:ilvl w:val="0"/>
          <w:numId w:val="192"/>
        </w:numPr>
        <w:suppressAutoHyphens/>
        <w:spacing w:before="120" w:after="120" w:line="360" w:lineRule="auto"/>
        <w:jc w:val="both"/>
        <w:rPr>
          <w:rFonts w:ascii="Arial" w:hAnsi="Arial" w:cs="Arial"/>
          <w:lang w:eastAsia="en-US"/>
        </w:rPr>
      </w:pPr>
      <w:r w:rsidRPr="00E62154">
        <w:rPr>
          <w:rFonts w:ascii="Arial" w:hAnsi="Arial" w:cs="Arial"/>
          <w:lang w:eastAsia="en-US"/>
        </w:rPr>
        <w:t>Excavación (según Artículo 321.- Excavaciones en zanjas y pozos) para retirada de canalizaciones existentes que vayan a quedar en desuso y relleno de excavación (según lo reflejado en el Artículo 332.- Rellenos localizados).</w:t>
      </w:r>
    </w:p>
    <w:p w14:paraId="102AF5B5" w14:textId="77777777" w:rsidR="00773E1E" w:rsidRPr="00E62154" w:rsidRDefault="00773E1E" w:rsidP="00661A5F">
      <w:pPr>
        <w:numPr>
          <w:ilvl w:val="0"/>
          <w:numId w:val="192"/>
        </w:numPr>
        <w:suppressAutoHyphens/>
        <w:spacing w:before="120" w:after="120" w:line="360" w:lineRule="auto"/>
        <w:jc w:val="both"/>
        <w:rPr>
          <w:rFonts w:ascii="Arial" w:hAnsi="Arial" w:cs="Arial"/>
          <w:lang w:eastAsia="en-US"/>
        </w:rPr>
      </w:pPr>
      <w:r w:rsidRPr="00E62154">
        <w:rPr>
          <w:rFonts w:ascii="Arial" w:hAnsi="Arial" w:cs="Arial"/>
          <w:lang w:eastAsia="en-US"/>
        </w:rPr>
        <w:t>Ejecución de nuevas canalizaciones, según lo reflejado en el Artículo 806.- Canalizaciones subterráneas de alumbrado.</w:t>
      </w:r>
    </w:p>
    <w:p w14:paraId="5B20C7CA" w14:textId="77777777" w:rsidR="00773E1E" w:rsidRPr="00E62154" w:rsidRDefault="00773E1E" w:rsidP="00661A5F">
      <w:pPr>
        <w:numPr>
          <w:ilvl w:val="0"/>
          <w:numId w:val="192"/>
        </w:numPr>
        <w:suppressAutoHyphens/>
        <w:spacing w:before="120" w:after="120" w:line="360" w:lineRule="auto"/>
        <w:jc w:val="both"/>
        <w:rPr>
          <w:rFonts w:ascii="Arial" w:hAnsi="Arial" w:cs="Arial"/>
          <w:lang w:eastAsia="en-US"/>
        </w:rPr>
      </w:pPr>
      <w:r w:rsidRPr="00E62154">
        <w:rPr>
          <w:rFonts w:ascii="Arial" w:hAnsi="Arial" w:cs="Arial"/>
          <w:lang w:eastAsia="en-US"/>
        </w:rPr>
        <w:t>Ejecución de nuevas arquetas de alumbrado, según lo especificado en el Artículo 803.- Arquetas de la reposición de servicios.</w:t>
      </w:r>
    </w:p>
    <w:p w14:paraId="139D8294" w14:textId="77777777" w:rsidR="00773E1E" w:rsidRPr="00E62154" w:rsidRDefault="00773E1E" w:rsidP="00661A5F">
      <w:pPr>
        <w:numPr>
          <w:ilvl w:val="0"/>
          <w:numId w:val="192"/>
        </w:numPr>
        <w:suppressAutoHyphens/>
        <w:spacing w:before="120" w:after="120" w:line="360" w:lineRule="auto"/>
        <w:jc w:val="both"/>
        <w:rPr>
          <w:rFonts w:ascii="Arial" w:hAnsi="Arial" w:cs="Arial"/>
          <w:lang w:eastAsia="en-US"/>
        </w:rPr>
      </w:pPr>
      <w:r w:rsidRPr="00E62154">
        <w:rPr>
          <w:rFonts w:ascii="Arial" w:hAnsi="Arial" w:cs="Arial"/>
          <w:lang w:eastAsia="en-US"/>
        </w:rPr>
        <w:t xml:space="preserve">Montaje de la nueva instalación eléctrica de baja tensión, según lo reflejado en el Artículo 808.- Instalación eléctrica de alumbrado. </w:t>
      </w:r>
    </w:p>
    <w:p w14:paraId="1CA7145A" w14:textId="77777777" w:rsidR="00773E1E" w:rsidRPr="00E62154" w:rsidRDefault="00773E1E" w:rsidP="00661A5F">
      <w:pPr>
        <w:numPr>
          <w:ilvl w:val="0"/>
          <w:numId w:val="192"/>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Ejecución de </w:t>
      </w:r>
      <w:proofErr w:type="gramStart"/>
      <w:r w:rsidRPr="00E62154">
        <w:rPr>
          <w:rFonts w:ascii="Arial" w:hAnsi="Arial" w:cs="Arial"/>
          <w:lang w:val="es-ES_tradnl" w:eastAsia="en-US"/>
        </w:rPr>
        <w:t>cimentaciones  e</w:t>
      </w:r>
      <w:proofErr w:type="gramEnd"/>
      <w:r w:rsidRPr="00E62154">
        <w:rPr>
          <w:rFonts w:ascii="Arial" w:hAnsi="Arial" w:cs="Arial"/>
          <w:lang w:val="es-ES_tradnl" w:eastAsia="en-US"/>
        </w:rPr>
        <w:t xml:space="preserve"> Instalación de báculos a reutilizar, según lo reflejado en el Artículo 809.- Báculos.</w:t>
      </w:r>
    </w:p>
    <w:p w14:paraId="50C47718" w14:textId="77777777" w:rsidR="00773E1E" w:rsidRPr="00E62154" w:rsidRDefault="00773E1E" w:rsidP="00661A5F">
      <w:pPr>
        <w:numPr>
          <w:ilvl w:val="0"/>
          <w:numId w:val="192"/>
        </w:numPr>
        <w:suppressAutoHyphens/>
        <w:spacing w:before="120" w:after="120" w:line="360" w:lineRule="auto"/>
        <w:jc w:val="both"/>
        <w:rPr>
          <w:rFonts w:ascii="Arial" w:hAnsi="Arial" w:cs="Arial"/>
          <w:lang w:eastAsia="en-US"/>
        </w:rPr>
      </w:pPr>
      <w:r w:rsidRPr="00E62154">
        <w:rPr>
          <w:rFonts w:ascii="Arial" w:hAnsi="Arial" w:cs="Arial"/>
          <w:lang w:eastAsia="en-US"/>
        </w:rPr>
        <w:t>Retirada de los residuos generados a un lugar de acopio habilitado en obra hasta su posterior traslado al punto de gestión de residuos.</w:t>
      </w:r>
    </w:p>
    <w:p w14:paraId="1C19A89D" w14:textId="77777777" w:rsidR="00773E1E" w:rsidRPr="00E62154" w:rsidRDefault="00773E1E" w:rsidP="00773E1E">
      <w:pPr>
        <w:suppressAutoHyphens/>
        <w:spacing w:before="120" w:after="120" w:line="360" w:lineRule="auto"/>
        <w:ind w:left="360"/>
        <w:jc w:val="both"/>
        <w:rPr>
          <w:rFonts w:ascii="Arial" w:hAnsi="Arial" w:cs="Arial"/>
          <w:lang w:eastAsia="en-US"/>
        </w:rPr>
      </w:pPr>
    </w:p>
    <w:p w14:paraId="1F666129" w14:textId="77777777" w:rsidR="00773E1E" w:rsidRPr="00901FE5" w:rsidRDefault="00773E1E" w:rsidP="000313DD">
      <w:pPr>
        <w:pStyle w:val="TITU2"/>
      </w:pPr>
      <w:bookmarkStart w:id="1320" w:name="_Toc533762574"/>
      <w:bookmarkStart w:id="1321" w:name="_Toc404667"/>
      <w:r w:rsidRPr="00901FE5">
        <w:t>805.4. Medición y abono</w:t>
      </w:r>
      <w:bookmarkEnd w:id="1320"/>
      <w:bookmarkEnd w:id="1321"/>
    </w:p>
    <w:p w14:paraId="35AA185E"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medición y abono de la reposición de los servicios de alumbrado del Ayuntamiento de Siero se realizará conforme a las siguientes prescripciones: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773E1E" w:rsidRPr="00E62154" w14:paraId="586B6691" w14:textId="77777777" w:rsidTr="00276EC8">
        <w:tc>
          <w:tcPr>
            <w:tcW w:w="2905" w:type="dxa"/>
            <w:vAlign w:val="center"/>
          </w:tcPr>
          <w:p w14:paraId="5975AA02"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Unidad de medida</w:t>
            </w:r>
          </w:p>
        </w:tc>
        <w:tc>
          <w:tcPr>
            <w:tcW w:w="5739" w:type="dxa"/>
            <w:vAlign w:val="center"/>
          </w:tcPr>
          <w:p w14:paraId="12080318"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Unidad (</w:t>
            </w:r>
            <w:proofErr w:type="spellStart"/>
            <w:r w:rsidRPr="00E62154">
              <w:rPr>
                <w:rFonts w:ascii="Arial" w:hAnsi="Arial" w:cs="Arial"/>
                <w:sz w:val="20"/>
              </w:rPr>
              <w:t>ud</w:t>
            </w:r>
            <w:proofErr w:type="spellEnd"/>
            <w:r w:rsidRPr="00E62154">
              <w:rPr>
                <w:rFonts w:ascii="Arial" w:hAnsi="Arial" w:cs="Arial"/>
                <w:sz w:val="20"/>
              </w:rPr>
              <w:t>)</w:t>
            </w:r>
          </w:p>
        </w:tc>
      </w:tr>
      <w:tr w:rsidR="00773E1E" w:rsidRPr="00E62154" w14:paraId="246554B4" w14:textId="77777777" w:rsidTr="00276EC8">
        <w:tc>
          <w:tcPr>
            <w:tcW w:w="2905" w:type="dxa"/>
            <w:vAlign w:val="center"/>
          </w:tcPr>
          <w:p w14:paraId="2B4AA105"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Grado de precisión</w:t>
            </w:r>
          </w:p>
        </w:tc>
        <w:tc>
          <w:tcPr>
            <w:tcW w:w="5739" w:type="dxa"/>
            <w:vAlign w:val="center"/>
          </w:tcPr>
          <w:p w14:paraId="690FF636"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Unidades enteras</w:t>
            </w:r>
          </w:p>
        </w:tc>
      </w:tr>
      <w:tr w:rsidR="00773E1E" w:rsidRPr="00E62154" w14:paraId="12881F15" w14:textId="77777777" w:rsidTr="00276EC8">
        <w:tc>
          <w:tcPr>
            <w:tcW w:w="2905" w:type="dxa"/>
            <w:vAlign w:val="center"/>
          </w:tcPr>
          <w:p w14:paraId="5E6F441F"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Forma de medición</w:t>
            </w:r>
          </w:p>
        </w:tc>
        <w:tc>
          <w:tcPr>
            <w:tcW w:w="5739" w:type="dxa"/>
            <w:vAlign w:val="center"/>
          </w:tcPr>
          <w:p w14:paraId="6D954515" w14:textId="77777777" w:rsidR="00773E1E" w:rsidRPr="00E62154" w:rsidRDefault="00773E1E" w:rsidP="00276EC8">
            <w:pPr>
              <w:spacing w:before="120" w:after="40" w:line="276" w:lineRule="auto"/>
              <w:jc w:val="both"/>
              <w:rPr>
                <w:rFonts w:ascii="Arial" w:hAnsi="Arial" w:cs="Arial"/>
                <w:sz w:val="20"/>
              </w:rPr>
            </w:pPr>
          </w:p>
        </w:tc>
      </w:tr>
      <w:tr w:rsidR="00773E1E" w:rsidRPr="00E62154" w14:paraId="12493945" w14:textId="77777777" w:rsidTr="00276EC8">
        <w:tc>
          <w:tcPr>
            <w:tcW w:w="2905" w:type="dxa"/>
            <w:vAlign w:val="center"/>
          </w:tcPr>
          <w:p w14:paraId="0B1D2433"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Abono</w:t>
            </w:r>
          </w:p>
        </w:tc>
        <w:tc>
          <w:tcPr>
            <w:tcW w:w="5739" w:type="dxa"/>
            <w:vAlign w:val="center"/>
          </w:tcPr>
          <w:p w14:paraId="78027B83"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Se efectuará cuando se realice la aceptación.</w:t>
            </w:r>
          </w:p>
        </w:tc>
      </w:tr>
      <w:tr w:rsidR="00773E1E" w:rsidRPr="00E62154" w14:paraId="76B771C9" w14:textId="77777777" w:rsidTr="00276EC8">
        <w:tc>
          <w:tcPr>
            <w:tcW w:w="2905" w:type="dxa"/>
            <w:vAlign w:val="center"/>
          </w:tcPr>
          <w:p w14:paraId="1E26B61B"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Criterios complementarios</w:t>
            </w:r>
          </w:p>
        </w:tc>
        <w:tc>
          <w:tcPr>
            <w:tcW w:w="5739" w:type="dxa"/>
            <w:vAlign w:val="center"/>
          </w:tcPr>
          <w:p w14:paraId="4E24D976"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Los precios incluyen todos los materiales, mano de obra, maquinaria y medios auxiliares necesarios para la correcta ejecución de la unidad.</w:t>
            </w:r>
          </w:p>
        </w:tc>
      </w:tr>
    </w:tbl>
    <w:p w14:paraId="769517C3" w14:textId="77777777" w:rsidR="00773E1E" w:rsidRPr="00E62154" w:rsidRDefault="00773E1E" w:rsidP="00773E1E">
      <w:pPr>
        <w:suppressAutoHyphens/>
        <w:spacing w:before="120" w:after="120" w:line="360" w:lineRule="auto"/>
        <w:jc w:val="both"/>
        <w:rPr>
          <w:rFonts w:ascii="Arial" w:hAnsi="Arial" w:cs="Arial"/>
          <w:lang w:val="es-ES_tradnl" w:eastAsia="en-US"/>
        </w:rPr>
      </w:pPr>
    </w:p>
    <w:p w14:paraId="50BD9BD6" w14:textId="77777777" w:rsidR="00773E1E" w:rsidRPr="00E62154" w:rsidRDefault="00773E1E" w:rsidP="00773E1E">
      <w:pPr>
        <w:keepNext/>
        <w:pageBreakBefore/>
        <w:widowControl w:val="0"/>
        <w:spacing w:before="360" w:after="240" w:line="360" w:lineRule="auto"/>
        <w:jc w:val="both"/>
        <w:outlineLvl w:val="0"/>
        <w:rPr>
          <w:rFonts w:ascii="Arial" w:hAnsi="Arial" w:cs="Arial"/>
          <w:b/>
          <w:noProof/>
          <w:kern w:val="28"/>
          <w:lang w:eastAsia="en-US"/>
        </w:rPr>
      </w:pPr>
      <w:bookmarkStart w:id="1322" w:name="_Toc533762575"/>
      <w:bookmarkStart w:id="1323" w:name="_Toc404668"/>
      <w:r>
        <w:rPr>
          <w:rFonts w:ascii="Arial" w:hAnsi="Arial" w:cs="Arial"/>
          <w:b/>
          <w:noProof/>
          <w:kern w:val="28"/>
          <w:lang w:eastAsia="en-US"/>
        </w:rPr>
        <w:lastRenderedPageBreak/>
        <w:t>Artículo 806.</w:t>
      </w:r>
      <w:r w:rsidRPr="00E62154">
        <w:rPr>
          <w:rFonts w:ascii="Arial" w:hAnsi="Arial" w:cs="Arial"/>
          <w:b/>
          <w:noProof/>
          <w:kern w:val="28"/>
          <w:lang w:eastAsia="en-US"/>
        </w:rPr>
        <w:t xml:space="preserve"> Canalizaciones subterráneas de alumbrado</w:t>
      </w:r>
      <w:bookmarkEnd w:id="1322"/>
      <w:bookmarkEnd w:id="1323"/>
      <w:r w:rsidRPr="00E62154">
        <w:rPr>
          <w:rFonts w:ascii="Arial" w:hAnsi="Arial" w:cs="Arial"/>
          <w:b/>
          <w:noProof/>
          <w:kern w:val="28"/>
          <w:lang w:eastAsia="en-US"/>
        </w:rPr>
        <w:t xml:space="preserve"> </w:t>
      </w:r>
    </w:p>
    <w:p w14:paraId="15102E4C" w14:textId="77777777" w:rsidR="00773E1E" w:rsidRPr="00901FE5" w:rsidRDefault="00773E1E" w:rsidP="000313DD">
      <w:pPr>
        <w:pStyle w:val="TITU2"/>
      </w:pPr>
      <w:bookmarkStart w:id="1324" w:name="_Toc533762576"/>
      <w:bookmarkStart w:id="1325" w:name="_Toc404669"/>
      <w:r w:rsidRPr="00901FE5">
        <w:t xml:space="preserve">806.1. </w:t>
      </w:r>
      <w:r w:rsidRPr="00901FE5">
        <w:tab/>
        <w:t>Definición</w:t>
      </w:r>
      <w:bookmarkEnd w:id="1324"/>
      <w:bookmarkEnd w:id="1325"/>
    </w:p>
    <w:p w14:paraId="28CCCD03"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El presente artículo comprende la ejecución de la canalización subterránea de alumbrado, en lo que se refiere al suministro y montaje de los tubos de protección para albergar en su interior las conducciones eléctricas.</w:t>
      </w:r>
    </w:p>
    <w:p w14:paraId="53E1B6CB"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La ejecución de la zanja previa seguirá lo establecido en el Artículo 321.- Excavación en zanjas y pozos. Por su parte, la ejecución del relleno </w:t>
      </w:r>
      <w:proofErr w:type="gramStart"/>
      <w:r w:rsidRPr="00E62154">
        <w:rPr>
          <w:rFonts w:ascii="Arial" w:hAnsi="Arial" w:cs="Arial"/>
          <w:lang w:val="es-ES_tradnl" w:eastAsia="en-US"/>
        </w:rPr>
        <w:t>posterior,</w:t>
      </w:r>
      <w:proofErr w:type="gramEnd"/>
      <w:r w:rsidRPr="00E62154">
        <w:rPr>
          <w:rFonts w:ascii="Arial" w:hAnsi="Arial" w:cs="Arial"/>
          <w:lang w:val="es-ES_tradnl" w:eastAsia="en-US"/>
        </w:rPr>
        <w:t xml:space="preserve"> se realizará conforme a lo establecido en el Artículo 332.- Rellenos localizados.</w:t>
      </w:r>
    </w:p>
    <w:p w14:paraId="152E6742" w14:textId="77777777" w:rsidR="00773E1E" w:rsidRPr="00901FE5" w:rsidRDefault="00773E1E" w:rsidP="000313DD">
      <w:pPr>
        <w:pStyle w:val="TITU2"/>
      </w:pPr>
      <w:bookmarkStart w:id="1326" w:name="_Toc533762577"/>
      <w:bookmarkStart w:id="1327" w:name="_Toc404670"/>
      <w:r w:rsidRPr="00901FE5">
        <w:t xml:space="preserve">806.2.  </w:t>
      </w:r>
      <w:r w:rsidRPr="00901FE5">
        <w:tab/>
        <w:t>Normativa</w:t>
      </w:r>
      <w:bookmarkEnd w:id="1326"/>
      <w:bookmarkEnd w:id="1327"/>
    </w:p>
    <w:p w14:paraId="303C1CD4"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En todo caso se cumple lo establecido en el Reglamento Electrotécnico de Baja Tensión, las Recomendaciones para la iluminación de carreteras a cielo abierto del Ministerio de Fomento y la normativa vigente de aplicación.</w:t>
      </w:r>
    </w:p>
    <w:p w14:paraId="0D2AC04B" w14:textId="77777777" w:rsidR="00773E1E" w:rsidRPr="00901FE5" w:rsidRDefault="00773E1E" w:rsidP="000313DD">
      <w:pPr>
        <w:pStyle w:val="TITU2"/>
      </w:pPr>
      <w:bookmarkStart w:id="1328" w:name="_Toc533762578"/>
      <w:bookmarkStart w:id="1329" w:name="_Toc404671"/>
      <w:r w:rsidRPr="00901FE5">
        <w:t xml:space="preserve">806.3.  </w:t>
      </w:r>
      <w:r w:rsidRPr="00901FE5">
        <w:tab/>
        <w:t>Materiales</w:t>
      </w:r>
      <w:bookmarkEnd w:id="1328"/>
      <w:bookmarkEnd w:id="1329"/>
    </w:p>
    <w:p w14:paraId="3C1FB777" w14:textId="77777777" w:rsidR="00773E1E" w:rsidRPr="00F74B11" w:rsidRDefault="00773E1E" w:rsidP="00773E1E">
      <w:pPr>
        <w:suppressAutoHyphens/>
        <w:spacing w:before="120" w:after="120" w:line="360" w:lineRule="auto"/>
        <w:jc w:val="both"/>
        <w:rPr>
          <w:rFonts w:ascii="Arial" w:hAnsi="Arial" w:cs="Arial"/>
          <w:i/>
          <w:u w:val="single"/>
          <w:lang w:eastAsia="en-US"/>
        </w:rPr>
      </w:pPr>
      <w:r w:rsidRPr="00F74B11">
        <w:rPr>
          <w:rFonts w:ascii="Arial" w:hAnsi="Arial" w:cs="Arial"/>
          <w:i/>
          <w:u w:val="single"/>
          <w:lang w:eastAsia="en-US"/>
        </w:rPr>
        <w:t>Tubos protectores</w:t>
      </w:r>
    </w:p>
    <w:p w14:paraId="27CE2F3E"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Como norma general se colocarán dos tubos de protección en toda la longitud de la actuación.</w:t>
      </w:r>
    </w:p>
    <w:p w14:paraId="2BF71D4A"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Los tubos serán de polietileno de alta densidad según norma UNE-EN 50086:1995, de diámetro exterior adecuado, de doble capa corrugada, la exterior de color rojo, y la interior lisa e incolora. </w:t>
      </w:r>
    </w:p>
    <w:p w14:paraId="422B6976"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Las características mínimas serán las indicadas a continuación:</w:t>
      </w:r>
    </w:p>
    <w:p w14:paraId="1679BBF2" w14:textId="77777777" w:rsidR="00773E1E" w:rsidRPr="00E62154" w:rsidRDefault="00773E1E" w:rsidP="00773E1E">
      <w:pPr>
        <w:numPr>
          <w:ilvl w:val="0"/>
          <w:numId w:val="15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Resistencia a la compresión: 250 N para tubos embebidos en hormigón; 450 N para tubos en suelo ligero; 750 N para tubos en suelo pesado.</w:t>
      </w:r>
    </w:p>
    <w:p w14:paraId="572BF1DA" w14:textId="77777777" w:rsidR="00773E1E" w:rsidRPr="00E62154" w:rsidRDefault="00773E1E" w:rsidP="00773E1E">
      <w:pPr>
        <w:numPr>
          <w:ilvl w:val="0"/>
          <w:numId w:val="15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Resistencia al impacto: Grado Ligero para tubos embebidos en hormigón; Grado Normal para tubos en suelo ligero o suelo pesado.</w:t>
      </w:r>
    </w:p>
    <w:p w14:paraId="4BEA2836" w14:textId="77777777" w:rsidR="00773E1E" w:rsidRPr="00E62154" w:rsidRDefault="00773E1E" w:rsidP="00773E1E">
      <w:pPr>
        <w:numPr>
          <w:ilvl w:val="0"/>
          <w:numId w:val="15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Resistencia a la penetración de objetos sólidos: protegido contra objetos D &gt; 1 </w:t>
      </w:r>
      <w:proofErr w:type="spellStart"/>
      <w:r w:rsidRPr="00E62154">
        <w:rPr>
          <w:rFonts w:ascii="Arial" w:hAnsi="Arial" w:cs="Arial"/>
          <w:lang w:val="es-ES_tradnl" w:eastAsia="en-US"/>
        </w:rPr>
        <w:t>mm.</w:t>
      </w:r>
      <w:proofErr w:type="spellEnd"/>
    </w:p>
    <w:p w14:paraId="71158EA9" w14:textId="77777777" w:rsidR="00773E1E" w:rsidRPr="00E62154" w:rsidRDefault="00773E1E" w:rsidP="00773E1E">
      <w:pPr>
        <w:numPr>
          <w:ilvl w:val="0"/>
          <w:numId w:val="15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Resistencia a la penetración del agua: protegido contra el agua en forma de lluvia.</w:t>
      </w:r>
    </w:p>
    <w:p w14:paraId="630ECA93" w14:textId="77777777" w:rsidR="00773E1E" w:rsidRPr="00E62154" w:rsidRDefault="00773E1E" w:rsidP="00773E1E">
      <w:pPr>
        <w:numPr>
          <w:ilvl w:val="0"/>
          <w:numId w:val="15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Resistencia a la corrosión de tubos metálicos y compuestos: protección interior y exterior media.</w:t>
      </w:r>
    </w:p>
    <w:p w14:paraId="497E59DF"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Los tubos deben cumplir la Norma UNE-EN relativa al uso especificado y las especificaciones complementarias exigidas por la compañía distribuidora y propietaria de la red.</w:t>
      </w:r>
    </w:p>
    <w:p w14:paraId="0F4A8C24"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El material suministrado en obra constará el siguiente marcado: nombre del fabricante, indicación del material, tipo de tubo y año de fabricación.</w:t>
      </w:r>
    </w:p>
    <w:p w14:paraId="39EF0989" w14:textId="77777777" w:rsidR="00773E1E" w:rsidRPr="00CF7652" w:rsidRDefault="00773E1E" w:rsidP="00773E1E">
      <w:pPr>
        <w:suppressAutoHyphens/>
        <w:spacing w:before="120" w:after="120" w:line="360" w:lineRule="auto"/>
        <w:jc w:val="both"/>
        <w:rPr>
          <w:rFonts w:ascii="Arial" w:hAnsi="Arial" w:cs="Arial"/>
          <w:i/>
          <w:u w:val="single"/>
          <w:lang w:eastAsia="en-US"/>
        </w:rPr>
      </w:pPr>
      <w:r w:rsidRPr="00CF7652">
        <w:rPr>
          <w:rFonts w:ascii="Arial" w:hAnsi="Arial" w:cs="Arial"/>
          <w:i/>
          <w:u w:val="single"/>
          <w:lang w:eastAsia="en-US"/>
        </w:rPr>
        <w:t>Relleno de la zanja</w:t>
      </w:r>
    </w:p>
    <w:p w14:paraId="224D990C"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El material empleado en el relleno de la zanja tendrá las características establecidas en el Artículo 332.- Rellenos localizados.</w:t>
      </w:r>
    </w:p>
    <w:p w14:paraId="15F537C1" w14:textId="77777777" w:rsidR="00773E1E" w:rsidRPr="00901FE5" w:rsidRDefault="00773E1E" w:rsidP="000313DD">
      <w:pPr>
        <w:pStyle w:val="TITU2"/>
      </w:pPr>
      <w:bookmarkStart w:id="1330" w:name="_Toc533762579"/>
      <w:bookmarkStart w:id="1331" w:name="_Toc404672"/>
      <w:r w:rsidRPr="00901FE5">
        <w:t xml:space="preserve">806.4.  </w:t>
      </w:r>
      <w:r w:rsidRPr="00901FE5">
        <w:tab/>
        <w:t>Ejecución</w:t>
      </w:r>
      <w:bookmarkEnd w:id="1330"/>
      <w:bookmarkEnd w:id="1331"/>
    </w:p>
    <w:p w14:paraId="7B68AB25"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Previamente a la ejecución de la unidad citada en este artículo se comprobarán las especificaciones de la construcción de la zanja donde irá alojado según lo marcado en el Artículo 321.- Excavación en zanjas y pozos de presente pliego.</w:t>
      </w:r>
    </w:p>
    <w:p w14:paraId="797AA7F1"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Las zanjas bajo calzada proyectadas tendrán una profundidad de 90 cm y un ancho de 40 cm y albergará tres tubos. La parte inferior de la excavación se rellenará con hormigón HM-20 hasta un espesor de 30 cm, en el que se dispondrán embebidas los tubos de protección. </w:t>
      </w:r>
      <w:r w:rsidRPr="00E62154">
        <w:rPr>
          <w:rFonts w:ascii="Arial" w:hAnsi="Arial" w:cs="Arial"/>
          <w:lang w:val="es-ES_tradnl" w:eastAsia="en-US"/>
        </w:rPr>
        <w:t xml:space="preserve">El resto de la zanja se rellenará con materiales procedentes de la traza compactados hasta alcanzar una densidad correspondiente al 95% del </w:t>
      </w:r>
      <w:proofErr w:type="spellStart"/>
      <w:r w:rsidRPr="00E62154">
        <w:rPr>
          <w:rFonts w:ascii="Arial" w:hAnsi="Arial" w:cs="Arial"/>
          <w:lang w:val="es-ES_tradnl" w:eastAsia="en-US"/>
        </w:rPr>
        <w:t>Próctor</w:t>
      </w:r>
      <w:proofErr w:type="spellEnd"/>
      <w:r w:rsidRPr="00E62154">
        <w:rPr>
          <w:rFonts w:ascii="Arial" w:hAnsi="Arial" w:cs="Arial"/>
          <w:lang w:val="es-ES_tradnl" w:eastAsia="en-US"/>
        </w:rPr>
        <w:t xml:space="preserve"> modificado. </w:t>
      </w:r>
      <w:r w:rsidRPr="00E62154">
        <w:rPr>
          <w:rFonts w:ascii="Arial" w:hAnsi="Arial" w:cs="Arial"/>
          <w:lang w:eastAsia="en-US"/>
        </w:rPr>
        <w:t>A 25 cm de la parte superior de los tubos de protección, se colocará una cinta de señalización.</w:t>
      </w:r>
    </w:p>
    <w:p w14:paraId="7189D257"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En los cruces de calzadas, la canalización, además de entubada, irá hormigonada y se instalará como mínimo un tubo de reserva.</w:t>
      </w:r>
    </w:p>
    <w:p w14:paraId="4F57554E" w14:textId="77777777" w:rsidR="00773E1E" w:rsidRPr="00E62154" w:rsidRDefault="00773E1E" w:rsidP="00773E1E">
      <w:pPr>
        <w:suppressAutoHyphens/>
        <w:spacing w:after="120" w:line="360" w:lineRule="auto"/>
        <w:jc w:val="both"/>
        <w:rPr>
          <w:rFonts w:ascii="Arial" w:hAnsi="Arial" w:cs="Arial"/>
          <w:lang w:val="es-ES_tradnl" w:eastAsia="en-US"/>
        </w:rPr>
      </w:pPr>
      <w:r w:rsidRPr="00E62154">
        <w:rPr>
          <w:rFonts w:ascii="Arial" w:hAnsi="Arial" w:cs="Arial"/>
          <w:lang w:val="es-ES_tradnl" w:eastAsia="en-US"/>
        </w:rPr>
        <w:t xml:space="preserve">Las zanjas en tierra proyectadas tendrán una profundidad de 60 cm y un ancho de 30 cm y dos tubos. La parte inferior de la excavación se rellenará con hormigón HM-20 hasta un espesor de 25 cm. El resto de la zanja se rellenará con materiales procedentes de la traza compactados hasta alcanzar una densidad correspondiente al 95% del </w:t>
      </w:r>
      <w:proofErr w:type="spellStart"/>
      <w:r w:rsidRPr="00E62154">
        <w:rPr>
          <w:rFonts w:ascii="Arial" w:hAnsi="Arial" w:cs="Arial"/>
          <w:lang w:val="es-ES_tradnl" w:eastAsia="en-US"/>
        </w:rPr>
        <w:t>Próctor</w:t>
      </w:r>
      <w:proofErr w:type="spellEnd"/>
      <w:r w:rsidRPr="00E62154">
        <w:rPr>
          <w:rFonts w:ascii="Arial" w:hAnsi="Arial" w:cs="Arial"/>
          <w:lang w:val="es-ES_tradnl" w:eastAsia="en-US"/>
        </w:rPr>
        <w:t xml:space="preserve"> modificado.</w:t>
      </w:r>
    </w:p>
    <w:p w14:paraId="64707B5C"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El tendido de los tubos se efectuará cuidadosamente, asegurándose que en la unión un tubo penetre en el otro al menos 8 cm. Se colocarán completamente limpios por dentro y durante la obra se controlará que no entren materiales extraños por lo que se deberá taponar de forma provisional las embocaduras. </w:t>
      </w:r>
    </w:p>
    <w:p w14:paraId="4A395316"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Las conexiones de tubos interiores se realizarán según el servicio al que pertenezcan, estarán completamente terminadas y comprobadas.</w:t>
      </w:r>
    </w:p>
    <w:p w14:paraId="14354498"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lastRenderedPageBreak/>
        <w:t>Las tapas o rejillas ajustarán al cuerpo de la obra y se colocarán de tal forma que su cara exterior quede al mismo nivel de las superficies adyacentes.</w:t>
      </w:r>
    </w:p>
    <w:p w14:paraId="5A952746"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Deberá cumplir con una adecuada estanqueidad.</w:t>
      </w:r>
    </w:p>
    <w:p w14:paraId="2710A124" w14:textId="77777777" w:rsidR="00773E1E" w:rsidRPr="00901FE5" w:rsidRDefault="00773E1E" w:rsidP="000313DD">
      <w:pPr>
        <w:pStyle w:val="TITU2"/>
      </w:pPr>
      <w:bookmarkStart w:id="1332" w:name="_Toc533762580"/>
      <w:bookmarkStart w:id="1333" w:name="_Toc404673"/>
      <w:r w:rsidRPr="00901FE5">
        <w:t>806.5.  Recepción</w:t>
      </w:r>
      <w:bookmarkEnd w:id="1332"/>
      <w:bookmarkEnd w:id="1333"/>
    </w:p>
    <w:p w14:paraId="4402AD75"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El fabricante especificará y garantizará los valores de todas las características físicas, y mecánicas que se especifican en las propiedades de los materiales y de la unidad completamente terminada.</w:t>
      </w:r>
    </w:p>
    <w:p w14:paraId="35C53101" w14:textId="77777777" w:rsidR="00773E1E" w:rsidRPr="00E62154" w:rsidRDefault="00773E1E" w:rsidP="00773E1E"/>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2835"/>
      </w:tblGrid>
      <w:tr w:rsidR="00773E1E" w:rsidRPr="00901FE5" w14:paraId="3BC8E856" w14:textId="77777777" w:rsidTr="00276EC8">
        <w:tc>
          <w:tcPr>
            <w:tcW w:w="5882" w:type="dxa"/>
            <w:shd w:val="clear" w:color="auto" w:fill="D9D9D9" w:themeFill="background1" w:themeFillShade="D9"/>
            <w:vAlign w:val="center"/>
          </w:tcPr>
          <w:p w14:paraId="68F5C27C" w14:textId="77777777" w:rsidR="00773E1E" w:rsidRPr="00901FE5" w:rsidRDefault="00773E1E" w:rsidP="00276EC8">
            <w:pPr>
              <w:spacing w:before="60" w:after="60" w:line="288" w:lineRule="auto"/>
              <w:jc w:val="center"/>
              <w:rPr>
                <w:rFonts w:ascii="Arial" w:hAnsi="Arial" w:cs="Arial"/>
                <w:b/>
                <w:sz w:val="20"/>
                <w:szCs w:val="20"/>
              </w:rPr>
            </w:pPr>
            <w:r w:rsidRPr="00901FE5">
              <w:rPr>
                <w:rFonts w:ascii="Arial" w:hAnsi="Arial" w:cs="Arial"/>
                <w:b/>
                <w:sz w:val="20"/>
                <w:szCs w:val="20"/>
              </w:rPr>
              <w:t>Parámetros de aceptación final</w:t>
            </w:r>
          </w:p>
        </w:tc>
        <w:tc>
          <w:tcPr>
            <w:tcW w:w="2835" w:type="dxa"/>
            <w:shd w:val="clear" w:color="auto" w:fill="D9D9D9" w:themeFill="background1" w:themeFillShade="D9"/>
            <w:vAlign w:val="center"/>
          </w:tcPr>
          <w:p w14:paraId="3733080F" w14:textId="77777777" w:rsidR="00773E1E" w:rsidRPr="00901FE5" w:rsidRDefault="00773E1E" w:rsidP="00276EC8">
            <w:pPr>
              <w:spacing w:line="288" w:lineRule="auto"/>
              <w:jc w:val="center"/>
              <w:rPr>
                <w:rFonts w:ascii="Arial" w:hAnsi="Arial" w:cs="Arial"/>
                <w:b/>
                <w:sz w:val="20"/>
                <w:szCs w:val="20"/>
              </w:rPr>
            </w:pPr>
            <w:r w:rsidRPr="00901FE5">
              <w:rPr>
                <w:rFonts w:ascii="Arial" w:hAnsi="Arial" w:cs="Arial"/>
                <w:b/>
                <w:sz w:val="20"/>
                <w:szCs w:val="20"/>
              </w:rPr>
              <w:t>Normas de Aplicación</w:t>
            </w:r>
          </w:p>
        </w:tc>
      </w:tr>
      <w:tr w:rsidR="00773E1E" w:rsidRPr="00901FE5" w14:paraId="50AB76AB" w14:textId="77777777" w:rsidTr="00276EC8">
        <w:tc>
          <w:tcPr>
            <w:tcW w:w="5882" w:type="dxa"/>
          </w:tcPr>
          <w:p w14:paraId="2586109F"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La tubería no se desviará de su correcta posición</w:t>
            </w:r>
          </w:p>
          <w:p w14:paraId="23387463" w14:textId="77777777" w:rsidR="00773E1E" w:rsidRPr="00901FE5" w:rsidRDefault="00773E1E" w:rsidP="00276EC8">
            <w:pPr>
              <w:spacing w:before="60" w:after="60" w:line="288" w:lineRule="auto"/>
              <w:rPr>
                <w:rFonts w:ascii="Arial" w:hAnsi="Arial" w:cs="Arial"/>
                <w:sz w:val="20"/>
                <w:szCs w:val="20"/>
              </w:rPr>
            </w:pPr>
            <w:r w:rsidRPr="00901FE5">
              <w:rPr>
                <w:rFonts w:ascii="Arial" w:hAnsi="Arial" w:cs="Arial"/>
                <w:sz w:val="20"/>
                <w:szCs w:val="20"/>
              </w:rPr>
              <w:t>Certificado de calidad del tubo</w:t>
            </w:r>
          </w:p>
        </w:tc>
        <w:tc>
          <w:tcPr>
            <w:tcW w:w="2835" w:type="dxa"/>
          </w:tcPr>
          <w:p w14:paraId="47D5BE86"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 xml:space="preserve">Inspección visual </w:t>
            </w:r>
          </w:p>
          <w:p w14:paraId="6DFAFC3C"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 xml:space="preserve">Normas UNE </w:t>
            </w:r>
          </w:p>
        </w:tc>
      </w:tr>
    </w:tbl>
    <w:p w14:paraId="5CF4551D" w14:textId="77777777" w:rsidR="00773E1E" w:rsidRPr="0037448F" w:rsidRDefault="00773E1E" w:rsidP="000313DD">
      <w:pPr>
        <w:pStyle w:val="TITU2"/>
      </w:pPr>
      <w:bookmarkStart w:id="1334" w:name="_Toc533762581"/>
      <w:bookmarkStart w:id="1335" w:name="_Toc404674"/>
      <w:r w:rsidRPr="0037448F">
        <w:t xml:space="preserve">806.6. </w:t>
      </w:r>
      <w:r w:rsidRPr="0037448F">
        <w:tab/>
        <w:t>Tratamiento de no conformidades</w:t>
      </w:r>
      <w:bookmarkEnd w:id="1334"/>
      <w:bookmarkEnd w:id="13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3896"/>
      </w:tblGrid>
      <w:tr w:rsidR="00773E1E" w:rsidRPr="00901FE5" w14:paraId="16193BB4" w14:textId="77777777" w:rsidTr="00276EC8">
        <w:trPr>
          <w:tblHeader/>
        </w:trPr>
        <w:tc>
          <w:tcPr>
            <w:tcW w:w="4748" w:type="dxa"/>
            <w:shd w:val="clear" w:color="auto" w:fill="D9D9D9" w:themeFill="background1" w:themeFillShade="D9"/>
            <w:vAlign w:val="center"/>
          </w:tcPr>
          <w:p w14:paraId="24720EF5" w14:textId="77777777" w:rsidR="00773E1E" w:rsidRPr="00901FE5" w:rsidRDefault="00773E1E" w:rsidP="00276EC8">
            <w:pPr>
              <w:spacing w:before="60" w:after="60" w:line="288" w:lineRule="auto"/>
              <w:jc w:val="center"/>
              <w:rPr>
                <w:rFonts w:ascii="Arial" w:hAnsi="Arial" w:cs="Arial"/>
                <w:b/>
                <w:sz w:val="20"/>
                <w:szCs w:val="20"/>
              </w:rPr>
            </w:pPr>
            <w:r w:rsidRPr="00901FE5">
              <w:rPr>
                <w:rFonts w:ascii="Arial" w:hAnsi="Arial" w:cs="Arial"/>
                <w:b/>
                <w:sz w:val="20"/>
                <w:szCs w:val="20"/>
              </w:rPr>
              <w:t>No Conformidades</w:t>
            </w:r>
          </w:p>
        </w:tc>
        <w:tc>
          <w:tcPr>
            <w:tcW w:w="3896" w:type="dxa"/>
            <w:shd w:val="clear" w:color="auto" w:fill="D9D9D9" w:themeFill="background1" w:themeFillShade="D9"/>
            <w:vAlign w:val="center"/>
          </w:tcPr>
          <w:p w14:paraId="46B4832D" w14:textId="77777777" w:rsidR="00773E1E" w:rsidRPr="00901FE5" w:rsidRDefault="00773E1E" w:rsidP="00276EC8">
            <w:pPr>
              <w:spacing w:before="60" w:after="60" w:line="288" w:lineRule="auto"/>
              <w:jc w:val="center"/>
              <w:rPr>
                <w:rFonts w:ascii="Arial" w:hAnsi="Arial" w:cs="Arial"/>
                <w:b/>
                <w:sz w:val="20"/>
                <w:szCs w:val="20"/>
              </w:rPr>
            </w:pPr>
            <w:r w:rsidRPr="00901FE5">
              <w:rPr>
                <w:rFonts w:ascii="Arial" w:hAnsi="Arial" w:cs="Arial"/>
                <w:b/>
                <w:sz w:val="20"/>
                <w:szCs w:val="20"/>
              </w:rPr>
              <w:t>Tratamiento</w:t>
            </w:r>
            <w:r>
              <w:rPr>
                <w:rFonts w:ascii="Arial" w:hAnsi="Arial" w:cs="Arial"/>
                <w:b/>
                <w:sz w:val="20"/>
                <w:szCs w:val="20"/>
              </w:rPr>
              <w:t xml:space="preserve"> de no conformidades</w:t>
            </w:r>
          </w:p>
        </w:tc>
      </w:tr>
      <w:tr w:rsidR="00773E1E" w:rsidRPr="00901FE5" w14:paraId="4EA989D1" w14:textId="77777777" w:rsidTr="00276EC8">
        <w:tc>
          <w:tcPr>
            <w:tcW w:w="4748" w:type="dxa"/>
          </w:tcPr>
          <w:p w14:paraId="61142083"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Los tubos no se desvían en + 1%</w:t>
            </w:r>
          </w:p>
          <w:p w14:paraId="5C301D4D"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Los tubos se desvían en + 2%</w:t>
            </w:r>
          </w:p>
        </w:tc>
        <w:tc>
          <w:tcPr>
            <w:tcW w:w="3896" w:type="dxa"/>
          </w:tcPr>
          <w:p w14:paraId="3CE0F966"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Se acepta</w:t>
            </w:r>
          </w:p>
          <w:p w14:paraId="1DCCA383"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No se acepta, se corregirá y los costes serán por cuenta del Contratista</w:t>
            </w:r>
          </w:p>
        </w:tc>
      </w:tr>
      <w:tr w:rsidR="00773E1E" w:rsidRPr="00901FE5" w14:paraId="3BC1458D" w14:textId="77777777" w:rsidTr="00276EC8">
        <w:tc>
          <w:tcPr>
            <w:tcW w:w="4748" w:type="dxa"/>
          </w:tcPr>
          <w:p w14:paraId="5918FDBA"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El tubo está apoyado en toda su longitud y sin poder moverse en vertical</w:t>
            </w:r>
          </w:p>
          <w:p w14:paraId="2ECAAA81" w14:textId="77777777" w:rsidR="00773E1E" w:rsidRPr="00901FE5" w:rsidRDefault="00773E1E" w:rsidP="00276EC8">
            <w:pPr>
              <w:spacing w:before="60" w:after="60" w:line="288" w:lineRule="auto"/>
              <w:rPr>
                <w:rFonts w:ascii="Arial" w:hAnsi="Arial" w:cs="Arial"/>
                <w:sz w:val="20"/>
                <w:szCs w:val="20"/>
              </w:rPr>
            </w:pPr>
            <w:r w:rsidRPr="00901FE5">
              <w:rPr>
                <w:rFonts w:ascii="Arial" w:hAnsi="Arial" w:cs="Arial"/>
                <w:sz w:val="20"/>
                <w:szCs w:val="20"/>
              </w:rPr>
              <w:t xml:space="preserve">El tubo no está apoyado en toda su longitud en tramos </w:t>
            </w:r>
            <w:proofErr w:type="gramStart"/>
            <w:r w:rsidRPr="00901FE5">
              <w:rPr>
                <w:rFonts w:ascii="Arial" w:hAnsi="Arial" w:cs="Arial"/>
                <w:sz w:val="20"/>
                <w:szCs w:val="20"/>
              </w:rPr>
              <w:t>y  puede</w:t>
            </w:r>
            <w:proofErr w:type="gramEnd"/>
            <w:r w:rsidRPr="00901FE5">
              <w:rPr>
                <w:rFonts w:ascii="Arial" w:hAnsi="Arial" w:cs="Arial"/>
                <w:sz w:val="20"/>
                <w:szCs w:val="20"/>
              </w:rPr>
              <w:t xml:space="preserve"> moverse en desplazamientos</w:t>
            </w:r>
          </w:p>
        </w:tc>
        <w:tc>
          <w:tcPr>
            <w:tcW w:w="3896" w:type="dxa"/>
          </w:tcPr>
          <w:p w14:paraId="2FFBD9DA" w14:textId="77777777" w:rsidR="00773E1E" w:rsidRPr="00901FE5" w:rsidRDefault="00773E1E" w:rsidP="00276EC8">
            <w:pPr>
              <w:spacing w:line="288" w:lineRule="auto"/>
              <w:rPr>
                <w:rFonts w:ascii="Arial" w:hAnsi="Arial" w:cs="Arial"/>
                <w:sz w:val="20"/>
                <w:szCs w:val="20"/>
              </w:rPr>
            </w:pPr>
            <w:r w:rsidRPr="00901FE5">
              <w:rPr>
                <w:rFonts w:ascii="Arial" w:hAnsi="Arial" w:cs="Arial"/>
                <w:sz w:val="20"/>
                <w:szCs w:val="20"/>
              </w:rPr>
              <w:t>Se acepta</w:t>
            </w:r>
          </w:p>
          <w:p w14:paraId="6BE14281"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No se acepta, se corregirá y los costes serán por cuenta del Contratista</w:t>
            </w:r>
          </w:p>
        </w:tc>
      </w:tr>
    </w:tbl>
    <w:p w14:paraId="00960147" w14:textId="77777777" w:rsidR="00773E1E" w:rsidRPr="00E62154" w:rsidRDefault="00773E1E" w:rsidP="00773E1E">
      <w:pPr>
        <w:suppressAutoHyphens/>
        <w:spacing w:before="120" w:after="120" w:line="360" w:lineRule="auto"/>
        <w:jc w:val="both"/>
        <w:rPr>
          <w:rFonts w:ascii="Arial" w:hAnsi="Arial" w:cs="Arial"/>
          <w:lang w:eastAsia="en-US"/>
        </w:rPr>
      </w:pPr>
    </w:p>
    <w:p w14:paraId="15BBA61C" w14:textId="77777777" w:rsidR="00773E1E" w:rsidRPr="0037448F" w:rsidRDefault="00773E1E" w:rsidP="000313DD">
      <w:pPr>
        <w:pStyle w:val="TITU2"/>
      </w:pPr>
      <w:bookmarkStart w:id="1336" w:name="_Toc533762582"/>
      <w:bookmarkStart w:id="1337" w:name="_Toc404675"/>
      <w:r w:rsidRPr="0037448F">
        <w:t>806.7. Control de calidad</w:t>
      </w:r>
      <w:bookmarkEnd w:id="1336"/>
      <w:bookmarkEnd w:id="1337"/>
    </w:p>
    <w:p w14:paraId="5AE0452E"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Los ensayos de rutina se refieren al marcado y control dimensional.</w:t>
      </w:r>
    </w:p>
    <w:p w14:paraId="68CAE637"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Se comprobará que la superficie corrugada será uniforme, sin deformaciones acusadas, ni presentará burbujas, ralladuras longitudinales profundas, quemaduras o poros.</w:t>
      </w:r>
    </w:p>
    <w:p w14:paraId="4AEEAEBC"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Deberá cumplir con las especificaciones y propiedades mecánicas relativas a resistencia a compresión, resistencia al impacto, y ensayo de curvatura según la normativa vigente.</w:t>
      </w: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7"/>
        <w:gridCol w:w="1493"/>
        <w:gridCol w:w="3600"/>
      </w:tblGrid>
      <w:tr w:rsidR="00773E1E" w:rsidRPr="00901FE5" w14:paraId="39E54A21" w14:textId="77777777" w:rsidTr="00276EC8">
        <w:tc>
          <w:tcPr>
            <w:tcW w:w="3617" w:type="dxa"/>
            <w:shd w:val="clear" w:color="auto" w:fill="D9D9D9" w:themeFill="background1" w:themeFillShade="D9"/>
          </w:tcPr>
          <w:p w14:paraId="41B24B92" w14:textId="77777777" w:rsidR="00773E1E" w:rsidRPr="00901FE5" w:rsidRDefault="00773E1E" w:rsidP="00276EC8">
            <w:pPr>
              <w:keepNext/>
              <w:spacing w:before="60" w:after="60" w:line="288" w:lineRule="auto"/>
              <w:jc w:val="center"/>
              <w:rPr>
                <w:rFonts w:ascii="Arial" w:hAnsi="Arial" w:cs="Arial"/>
                <w:b/>
                <w:sz w:val="20"/>
                <w:szCs w:val="20"/>
              </w:rPr>
            </w:pPr>
            <w:r w:rsidRPr="00901FE5">
              <w:rPr>
                <w:rFonts w:ascii="Arial" w:hAnsi="Arial" w:cs="Arial"/>
                <w:b/>
                <w:sz w:val="20"/>
                <w:szCs w:val="20"/>
              </w:rPr>
              <w:t>E</w:t>
            </w:r>
            <w:r>
              <w:rPr>
                <w:rFonts w:ascii="Arial" w:hAnsi="Arial" w:cs="Arial"/>
                <w:b/>
                <w:sz w:val="20"/>
                <w:szCs w:val="20"/>
              </w:rPr>
              <w:t>nsayo</w:t>
            </w:r>
          </w:p>
        </w:tc>
        <w:tc>
          <w:tcPr>
            <w:tcW w:w="1493" w:type="dxa"/>
            <w:shd w:val="clear" w:color="auto" w:fill="D9D9D9" w:themeFill="background1" w:themeFillShade="D9"/>
          </w:tcPr>
          <w:p w14:paraId="700A01BE" w14:textId="77777777" w:rsidR="00773E1E" w:rsidRPr="00901FE5" w:rsidRDefault="00773E1E" w:rsidP="00276EC8">
            <w:pPr>
              <w:keepNext/>
              <w:spacing w:before="60" w:after="60" w:line="288" w:lineRule="auto"/>
              <w:jc w:val="center"/>
              <w:rPr>
                <w:rFonts w:ascii="Arial" w:hAnsi="Arial" w:cs="Arial"/>
                <w:b/>
                <w:sz w:val="20"/>
                <w:szCs w:val="20"/>
              </w:rPr>
            </w:pPr>
            <w:r w:rsidRPr="00901FE5">
              <w:rPr>
                <w:rFonts w:ascii="Arial" w:hAnsi="Arial" w:cs="Arial"/>
                <w:b/>
                <w:sz w:val="20"/>
                <w:szCs w:val="20"/>
              </w:rPr>
              <w:t>N</w:t>
            </w:r>
            <w:r>
              <w:rPr>
                <w:rFonts w:ascii="Arial" w:hAnsi="Arial" w:cs="Arial"/>
                <w:b/>
                <w:sz w:val="20"/>
                <w:szCs w:val="20"/>
              </w:rPr>
              <w:t>orma</w:t>
            </w:r>
          </w:p>
        </w:tc>
        <w:tc>
          <w:tcPr>
            <w:tcW w:w="3600" w:type="dxa"/>
            <w:shd w:val="clear" w:color="auto" w:fill="D9D9D9" w:themeFill="background1" w:themeFillShade="D9"/>
          </w:tcPr>
          <w:p w14:paraId="4AF1D0D5" w14:textId="77777777" w:rsidR="00773E1E" w:rsidRPr="00901FE5" w:rsidRDefault="00773E1E" w:rsidP="00276EC8">
            <w:pPr>
              <w:keepNext/>
              <w:spacing w:before="60" w:after="60" w:line="288" w:lineRule="auto"/>
              <w:jc w:val="center"/>
              <w:rPr>
                <w:rFonts w:ascii="Arial" w:hAnsi="Arial" w:cs="Arial"/>
                <w:b/>
                <w:sz w:val="20"/>
                <w:szCs w:val="20"/>
              </w:rPr>
            </w:pPr>
            <w:r w:rsidRPr="00901FE5">
              <w:rPr>
                <w:rFonts w:ascii="Arial" w:hAnsi="Arial" w:cs="Arial"/>
                <w:b/>
                <w:sz w:val="20"/>
                <w:szCs w:val="20"/>
              </w:rPr>
              <w:t>F</w:t>
            </w:r>
            <w:r>
              <w:rPr>
                <w:rFonts w:ascii="Arial" w:hAnsi="Arial" w:cs="Arial"/>
                <w:b/>
                <w:sz w:val="20"/>
                <w:szCs w:val="20"/>
              </w:rPr>
              <w:t>recuencia</w:t>
            </w:r>
          </w:p>
        </w:tc>
      </w:tr>
      <w:tr w:rsidR="00773E1E" w:rsidRPr="00901FE5" w14:paraId="57DBE6CE" w14:textId="77777777" w:rsidTr="00276EC8">
        <w:tc>
          <w:tcPr>
            <w:tcW w:w="3617" w:type="dxa"/>
          </w:tcPr>
          <w:p w14:paraId="2C59AA28" w14:textId="77777777" w:rsidR="00773E1E" w:rsidRPr="00901FE5" w:rsidRDefault="00773E1E" w:rsidP="00276EC8">
            <w:pPr>
              <w:keepNext/>
              <w:spacing w:before="60" w:line="288" w:lineRule="auto"/>
              <w:jc w:val="center"/>
              <w:rPr>
                <w:rFonts w:ascii="Arial" w:hAnsi="Arial" w:cs="Arial"/>
                <w:sz w:val="20"/>
                <w:szCs w:val="20"/>
                <w:lang w:eastAsia="en-US"/>
              </w:rPr>
            </w:pPr>
            <w:r w:rsidRPr="00901FE5">
              <w:rPr>
                <w:rFonts w:ascii="Arial" w:hAnsi="Arial" w:cs="Arial"/>
                <w:sz w:val="20"/>
                <w:szCs w:val="20"/>
                <w:lang w:eastAsia="en-US"/>
              </w:rPr>
              <w:t>Certificado fabricante</w:t>
            </w:r>
          </w:p>
        </w:tc>
        <w:tc>
          <w:tcPr>
            <w:tcW w:w="1493" w:type="dxa"/>
          </w:tcPr>
          <w:p w14:paraId="06E19607" w14:textId="77777777" w:rsidR="00773E1E" w:rsidRPr="00901FE5" w:rsidRDefault="00773E1E" w:rsidP="00276EC8">
            <w:pPr>
              <w:keepNext/>
              <w:spacing w:before="60" w:line="288" w:lineRule="auto"/>
              <w:jc w:val="center"/>
              <w:rPr>
                <w:rFonts w:ascii="Arial" w:hAnsi="Arial" w:cs="Arial"/>
                <w:sz w:val="20"/>
                <w:szCs w:val="20"/>
                <w:lang w:eastAsia="en-US"/>
              </w:rPr>
            </w:pPr>
            <w:r w:rsidRPr="00901FE5">
              <w:rPr>
                <w:rFonts w:ascii="Arial" w:hAnsi="Arial" w:cs="Arial"/>
                <w:sz w:val="20"/>
                <w:szCs w:val="20"/>
                <w:lang w:eastAsia="en-US"/>
              </w:rPr>
              <w:t>------</w:t>
            </w:r>
          </w:p>
        </w:tc>
        <w:tc>
          <w:tcPr>
            <w:tcW w:w="3600" w:type="dxa"/>
            <w:vAlign w:val="center"/>
          </w:tcPr>
          <w:p w14:paraId="174547B0" w14:textId="77777777" w:rsidR="00773E1E" w:rsidRPr="00901FE5" w:rsidRDefault="00773E1E" w:rsidP="00276EC8">
            <w:pPr>
              <w:keepNext/>
              <w:spacing w:before="60" w:after="60" w:line="288" w:lineRule="auto"/>
              <w:jc w:val="center"/>
              <w:rPr>
                <w:rFonts w:ascii="Arial" w:hAnsi="Arial" w:cs="Arial"/>
                <w:sz w:val="20"/>
                <w:szCs w:val="20"/>
                <w:lang w:eastAsia="en-US"/>
              </w:rPr>
            </w:pPr>
            <w:r w:rsidRPr="00901FE5">
              <w:rPr>
                <w:rFonts w:ascii="Arial" w:hAnsi="Arial" w:cs="Arial"/>
                <w:sz w:val="20"/>
                <w:szCs w:val="20"/>
                <w:lang w:eastAsia="en-US"/>
              </w:rPr>
              <w:t>Por partidas</w:t>
            </w:r>
          </w:p>
        </w:tc>
      </w:tr>
      <w:tr w:rsidR="00773E1E" w:rsidRPr="00901FE5" w14:paraId="29EFC291" w14:textId="77777777" w:rsidTr="00276EC8">
        <w:tc>
          <w:tcPr>
            <w:tcW w:w="3617" w:type="dxa"/>
          </w:tcPr>
          <w:p w14:paraId="2A324BB2" w14:textId="77777777" w:rsidR="00773E1E" w:rsidRPr="00901FE5" w:rsidRDefault="00773E1E" w:rsidP="00276EC8">
            <w:pPr>
              <w:keepNext/>
              <w:spacing w:before="60" w:line="288" w:lineRule="auto"/>
              <w:jc w:val="center"/>
              <w:rPr>
                <w:rFonts w:ascii="Arial" w:hAnsi="Arial" w:cs="Arial"/>
                <w:sz w:val="20"/>
                <w:szCs w:val="20"/>
                <w:lang w:eastAsia="en-US"/>
              </w:rPr>
            </w:pPr>
            <w:r w:rsidRPr="00901FE5">
              <w:rPr>
                <w:rFonts w:ascii="Arial" w:hAnsi="Arial" w:cs="Arial"/>
                <w:sz w:val="20"/>
                <w:szCs w:val="20"/>
                <w:lang w:eastAsia="en-US"/>
              </w:rPr>
              <w:t>Muestreo geométrico y terminación</w:t>
            </w:r>
          </w:p>
        </w:tc>
        <w:tc>
          <w:tcPr>
            <w:tcW w:w="1493" w:type="dxa"/>
          </w:tcPr>
          <w:p w14:paraId="668EC3DA" w14:textId="77777777" w:rsidR="00773E1E" w:rsidRPr="00901FE5" w:rsidRDefault="00773E1E" w:rsidP="00276EC8">
            <w:pPr>
              <w:keepNext/>
              <w:spacing w:before="60" w:line="288" w:lineRule="auto"/>
              <w:jc w:val="center"/>
              <w:rPr>
                <w:rFonts w:ascii="Arial" w:hAnsi="Arial" w:cs="Arial"/>
                <w:sz w:val="20"/>
                <w:szCs w:val="20"/>
                <w:lang w:eastAsia="en-US"/>
              </w:rPr>
            </w:pPr>
            <w:r w:rsidRPr="00901FE5">
              <w:rPr>
                <w:rFonts w:ascii="Arial" w:hAnsi="Arial" w:cs="Arial"/>
                <w:sz w:val="20"/>
                <w:szCs w:val="20"/>
                <w:lang w:eastAsia="en-US"/>
              </w:rPr>
              <w:t>------</w:t>
            </w:r>
          </w:p>
        </w:tc>
        <w:tc>
          <w:tcPr>
            <w:tcW w:w="3600" w:type="dxa"/>
            <w:vAlign w:val="center"/>
          </w:tcPr>
          <w:p w14:paraId="0DFC7A62" w14:textId="77777777" w:rsidR="00773E1E" w:rsidRPr="00901FE5" w:rsidRDefault="00773E1E" w:rsidP="00276EC8">
            <w:pPr>
              <w:keepNext/>
              <w:spacing w:before="60" w:after="60" w:line="288" w:lineRule="auto"/>
              <w:jc w:val="center"/>
              <w:rPr>
                <w:rFonts w:ascii="Arial" w:hAnsi="Arial" w:cs="Arial"/>
                <w:sz w:val="20"/>
                <w:szCs w:val="20"/>
                <w:lang w:eastAsia="en-US"/>
              </w:rPr>
            </w:pPr>
            <w:r w:rsidRPr="00901FE5">
              <w:rPr>
                <w:rFonts w:ascii="Arial" w:hAnsi="Arial" w:cs="Arial"/>
                <w:sz w:val="20"/>
                <w:szCs w:val="20"/>
                <w:lang w:eastAsia="en-US"/>
              </w:rPr>
              <w:t>Diario</w:t>
            </w:r>
          </w:p>
        </w:tc>
      </w:tr>
      <w:tr w:rsidR="00773E1E" w:rsidRPr="00901FE5" w14:paraId="047C7E52" w14:textId="77777777" w:rsidTr="00276EC8">
        <w:tc>
          <w:tcPr>
            <w:tcW w:w="3617" w:type="dxa"/>
          </w:tcPr>
          <w:p w14:paraId="6E07FAA8" w14:textId="77777777" w:rsidR="00773E1E" w:rsidRPr="00901FE5" w:rsidRDefault="00773E1E" w:rsidP="00276EC8">
            <w:pPr>
              <w:keepNext/>
              <w:spacing w:before="60" w:line="288" w:lineRule="auto"/>
              <w:jc w:val="center"/>
              <w:rPr>
                <w:rFonts w:ascii="Arial" w:hAnsi="Arial" w:cs="Arial"/>
                <w:sz w:val="20"/>
                <w:szCs w:val="20"/>
                <w:lang w:eastAsia="en-US"/>
              </w:rPr>
            </w:pPr>
            <w:r w:rsidRPr="00901FE5">
              <w:rPr>
                <w:rFonts w:ascii="Arial" w:hAnsi="Arial" w:cs="Arial"/>
                <w:sz w:val="20"/>
                <w:szCs w:val="20"/>
                <w:lang w:eastAsia="en-US"/>
              </w:rPr>
              <w:t>Hormigón</w:t>
            </w:r>
          </w:p>
        </w:tc>
        <w:tc>
          <w:tcPr>
            <w:tcW w:w="1493" w:type="dxa"/>
          </w:tcPr>
          <w:p w14:paraId="4327F1E5" w14:textId="77777777" w:rsidR="00773E1E" w:rsidRPr="00901FE5" w:rsidRDefault="00773E1E" w:rsidP="00276EC8">
            <w:pPr>
              <w:keepNext/>
              <w:spacing w:before="60" w:line="288" w:lineRule="auto"/>
              <w:jc w:val="center"/>
              <w:rPr>
                <w:rFonts w:ascii="Arial" w:hAnsi="Arial" w:cs="Arial"/>
                <w:sz w:val="20"/>
                <w:szCs w:val="20"/>
                <w:lang w:eastAsia="en-US"/>
              </w:rPr>
            </w:pPr>
            <w:r w:rsidRPr="00901FE5">
              <w:rPr>
                <w:rFonts w:ascii="Arial" w:hAnsi="Arial" w:cs="Arial"/>
                <w:sz w:val="20"/>
                <w:szCs w:val="20"/>
                <w:lang w:eastAsia="en-US"/>
              </w:rPr>
              <w:t>------</w:t>
            </w:r>
          </w:p>
        </w:tc>
        <w:tc>
          <w:tcPr>
            <w:tcW w:w="3600" w:type="dxa"/>
            <w:vAlign w:val="center"/>
          </w:tcPr>
          <w:p w14:paraId="6E77C990" w14:textId="77777777" w:rsidR="00773E1E" w:rsidRPr="00901FE5" w:rsidRDefault="00773E1E" w:rsidP="00276EC8">
            <w:pPr>
              <w:keepNext/>
              <w:spacing w:before="60" w:after="60" w:line="288" w:lineRule="auto"/>
              <w:jc w:val="center"/>
              <w:rPr>
                <w:rFonts w:ascii="Arial" w:hAnsi="Arial" w:cs="Arial"/>
                <w:sz w:val="20"/>
                <w:szCs w:val="20"/>
                <w:lang w:eastAsia="en-US"/>
              </w:rPr>
            </w:pPr>
            <w:r w:rsidRPr="00901FE5">
              <w:rPr>
                <w:rFonts w:ascii="Arial" w:hAnsi="Arial" w:cs="Arial"/>
                <w:sz w:val="20"/>
                <w:szCs w:val="20"/>
                <w:lang w:eastAsia="en-US"/>
              </w:rPr>
              <w:t>Por albarán de suministro siempre</w:t>
            </w:r>
          </w:p>
        </w:tc>
      </w:tr>
    </w:tbl>
    <w:p w14:paraId="3706BD92" w14:textId="77777777" w:rsidR="00773E1E" w:rsidRPr="00E62154" w:rsidRDefault="00773E1E" w:rsidP="00773E1E"/>
    <w:p w14:paraId="18A36335"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Durante la ejecución se controlará:</w:t>
      </w:r>
    </w:p>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2693"/>
      </w:tblGrid>
      <w:tr w:rsidR="00773E1E" w:rsidRPr="00901FE5" w14:paraId="382A252C" w14:textId="77777777" w:rsidTr="00276EC8">
        <w:tc>
          <w:tcPr>
            <w:tcW w:w="6024" w:type="dxa"/>
            <w:shd w:val="clear" w:color="auto" w:fill="D9D9D9" w:themeFill="background1" w:themeFillShade="D9"/>
            <w:vAlign w:val="center"/>
          </w:tcPr>
          <w:p w14:paraId="4F21A193" w14:textId="77777777" w:rsidR="00773E1E" w:rsidRPr="00901FE5" w:rsidRDefault="00773E1E" w:rsidP="00276EC8">
            <w:pPr>
              <w:spacing w:before="60" w:after="60" w:line="288" w:lineRule="auto"/>
              <w:jc w:val="center"/>
              <w:rPr>
                <w:rFonts w:ascii="Arial" w:hAnsi="Arial" w:cs="Arial"/>
                <w:b/>
                <w:sz w:val="20"/>
                <w:szCs w:val="20"/>
              </w:rPr>
            </w:pPr>
            <w:r w:rsidRPr="00901FE5">
              <w:rPr>
                <w:rFonts w:ascii="Arial" w:hAnsi="Arial" w:cs="Arial"/>
                <w:b/>
                <w:sz w:val="20"/>
                <w:szCs w:val="20"/>
              </w:rPr>
              <w:t>Parámetros exigidos</w:t>
            </w:r>
          </w:p>
        </w:tc>
        <w:tc>
          <w:tcPr>
            <w:tcW w:w="2693" w:type="dxa"/>
            <w:shd w:val="clear" w:color="auto" w:fill="D9D9D9" w:themeFill="background1" w:themeFillShade="D9"/>
            <w:vAlign w:val="center"/>
          </w:tcPr>
          <w:p w14:paraId="58405C84" w14:textId="77777777" w:rsidR="00773E1E" w:rsidRPr="00901FE5" w:rsidRDefault="00773E1E" w:rsidP="00276EC8">
            <w:pPr>
              <w:spacing w:line="288" w:lineRule="auto"/>
              <w:jc w:val="center"/>
              <w:rPr>
                <w:rFonts w:ascii="Arial" w:hAnsi="Arial" w:cs="Arial"/>
                <w:b/>
                <w:sz w:val="20"/>
                <w:szCs w:val="20"/>
              </w:rPr>
            </w:pPr>
            <w:r w:rsidRPr="00901FE5">
              <w:rPr>
                <w:rFonts w:ascii="Arial" w:hAnsi="Arial" w:cs="Arial"/>
                <w:b/>
                <w:sz w:val="20"/>
                <w:szCs w:val="20"/>
              </w:rPr>
              <w:t>Normas de Aplicación</w:t>
            </w:r>
          </w:p>
        </w:tc>
      </w:tr>
      <w:tr w:rsidR="00773E1E" w:rsidRPr="00901FE5" w14:paraId="533FB411" w14:textId="77777777" w:rsidTr="00276EC8">
        <w:tc>
          <w:tcPr>
            <w:tcW w:w="6024" w:type="dxa"/>
            <w:tcBorders>
              <w:bottom w:val="nil"/>
            </w:tcBorders>
          </w:tcPr>
          <w:p w14:paraId="43E0CE11" w14:textId="77777777" w:rsidR="00773E1E" w:rsidRPr="00901FE5" w:rsidRDefault="00773E1E" w:rsidP="00773E1E">
            <w:pPr>
              <w:numPr>
                <w:ilvl w:val="0"/>
                <w:numId w:val="184"/>
              </w:numPr>
              <w:tabs>
                <w:tab w:val="num" w:pos="360"/>
              </w:tabs>
              <w:spacing w:before="60" w:line="288" w:lineRule="auto"/>
              <w:ind w:hanging="720"/>
              <w:jc w:val="both"/>
              <w:rPr>
                <w:rFonts w:ascii="Arial" w:hAnsi="Arial" w:cs="Arial"/>
                <w:sz w:val="20"/>
                <w:szCs w:val="20"/>
              </w:rPr>
            </w:pPr>
            <w:r w:rsidRPr="00901FE5">
              <w:rPr>
                <w:rFonts w:ascii="Arial" w:hAnsi="Arial" w:cs="Arial"/>
                <w:sz w:val="20"/>
                <w:szCs w:val="20"/>
                <w:u w:val="single"/>
              </w:rPr>
              <w:t>Tubos</w:t>
            </w:r>
          </w:p>
          <w:p w14:paraId="224E4E26" w14:textId="77777777" w:rsidR="00773E1E" w:rsidRPr="00901FE5" w:rsidRDefault="00773E1E" w:rsidP="00276EC8">
            <w:pPr>
              <w:spacing w:line="288" w:lineRule="auto"/>
              <w:rPr>
                <w:rFonts w:ascii="Arial" w:hAnsi="Arial" w:cs="Arial"/>
                <w:sz w:val="20"/>
                <w:szCs w:val="20"/>
              </w:rPr>
            </w:pPr>
            <w:r w:rsidRPr="00901FE5">
              <w:rPr>
                <w:rFonts w:ascii="Arial" w:hAnsi="Arial" w:cs="Arial"/>
                <w:sz w:val="20"/>
                <w:szCs w:val="20"/>
              </w:rPr>
              <w:t xml:space="preserve">Desvío de alineaciones </w:t>
            </w:r>
          </w:p>
          <w:p w14:paraId="3118D7D4" w14:textId="77777777" w:rsidR="00773E1E" w:rsidRPr="00901FE5" w:rsidRDefault="00773E1E" w:rsidP="00276EC8">
            <w:pPr>
              <w:spacing w:line="288" w:lineRule="auto"/>
              <w:rPr>
                <w:rFonts w:ascii="Arial" w:hAnsi="Arial" w:cs="Arial"/>
                <w:sz w:val="20"/>
                <w:szCs w:val="20"/>
              </w:rPr>
            </w:pPr>
            <w:r w:rsidRPr="00901FE5">
              <w:rPr>
                <w:rFonts w:ascii="Arial" w:hAnsi="Arial" w:cs="Arial"/>
                <w:sz w:val="20"/>
                <w:szCs w:val="20"/>
              </w:rPr>
              <w:t xml:space="preserve">Pendientes </w:t>
            </w:r>
          </w:p>
        </w:tc>
        <w:tc>
          <w:tcPr>
            <w:tcW w:w="2693" w:type="dxa"/>
            <w:tcBorders>
              <w:bottom w:val="nil"/>
            </w:tcBorders>
          </w:tcPr>
          <w:p w14:paraId="211CB98F" w14:textId="77777777" w:rsidR="00773E1E" w:rsidRPr="00901FE5" w:rsidRDefault="00773E1E" w:rsidP="00276EC8">
            <w:pPr>
              <w:spacing w:before="60" w:line="288" w:lineRule="auto"/>
              <w:jc w:val="center"/>
              <w:rPr>
                <w:rFonts w:ascii="Arial" w:hAnsi="Arial" w:cs="Arial"/>
                <w:sz w:val="20"/>
                <w:szCs w:val="20"/>
              </w:rPr>
            </w:pPr>
          </w:p>
          <w:p w14:paraId="660758BF" w14:textId="77777777" w:rsidR="00773E1E" w:rsidRPr="00901FE5" w:rsidRDefault="00773E1E" w:rsidP="00276EC8">
            <w:pPr>
              <w:spacing w:line="288" w:lineRule="auto"/>
              <w:rPr>
                <w:rFonts w:ascii="Arial" w:hAnsi="Arial" w:cs="Arial"/>
                <w:sz w:val="20"/>
                <w:szCs w:val="20"/>
              </w:rPr>
            </w:pPr>
            <w:r w:rsidRPr="00901FE5">
              <w:rPr>
                <w:rFonts w:ascii="Arial" w:hAnsi="Arial" w:cs="Arial"/>
                <w:sz w:val="20"/>
                <w:szCs w:val="20"/>
              </w:rPr>
              <w:t xml:space="preserve">Inspección topográfica </w:t>
            </w:r>
          </w:p>
          <w:p w14:paraId="42E48143" w14:textId="77777777" w:rsidR="00773E1E" w:rsidRPr="00901FE5" w:rsidRDefault="00773E1E" w:rsidP="00276EC8">
            <w:pPr>
              <w:spacing w:line="288" w:lineRule="auto"/>
              <w:rPr>
                <w:rFonts w:ascii="Arial" w:hAnsi="Arial" w:cs="Arial"/>
                <w:sz w:val="20"/>
                <w:szCs w:val="20"/>
              </w:rPr>
            </w:pPr>
            <w:r w:rsidRPr="00901FE5">
              <w:rPr>
                <w:rFonts w:ascii="Arial" w:hAnsi="Arial" w:cs="Arial"/>
                <w:sz w:val="20"/>
                <w:szCs w:val="20"/>
              </w:rPr>
              <w:t>Inspección por nivelación</w:t>
            </w:r>
          </w:p>
        </w:tc>
      </w:tr>
      <w:tr w:rsidR="00773E1E" w:rsidRPr="00901FE5" w14:paraId="65171E03" w14:textId="77777777" w:rsidTr="00276EC8">
        <w:tc>
          <w:tcPr>
            <w:tcW w:w="6024" w:type="dxa"/>
            <w:tcBorders>
              <w:top w:val="nil"/>
              <w:left w:val="single" w:sz="4" w:space="0" w:color="auto"/>
              <w:bottom w:val="nil"/>
              <w:right w:val="single" w:sz="4" w:space="0" w:color="auto"/>
            </w:tcBorders>
          </w:tcPr>
          <w:p w14:paraId="4DEBCA04" w14:textId="77777777" w:rsidR="00773E1E" w:rsidRPr="004D29D5" w:rsidRDefault="00773E1E" w:rsidP="004D29D5">
            <w:pPr>
              <w:pStyle w:val="Prrafodelista"/>
              <w:numPr>
                <w:ilvl w:val="0"/>
                <w:numId w:val="184"/>
              </w:numPr>
              <w:spacing w:before="60" w:line="288" w:lineRule="auto"/>
              <w:rPr>
                <w:rFonts w:ascii="Arial" w:hAnsi="Arial" w:cs="Arial"/>
              </w:rPr>
            </w:pPr>
            <w:r w:rsidRPr="004D29D5">
              <w:rPr>
                <w:rFonts w:ascii="Arial" w:hAnsi="Arial" w:cs="Arial"/>
              </w:rPr>
              <w:t>Se taparán todos los conductos al interrumpir el trabajo</w:t>
            </w:r>
          </w:p>
        </w:tc>
        <w:tc>
          <w:tcPr>
            <w:tcW w:w="2693" w:type="dxa"/>
            <w:tcBorders>
              <w:top w:val="nil"/>
              <w:left w:val="single" w:sz="4" w:space="0" w:color="auto"/>
              <w:bottom w:val="nil"/>
              <w:right w:val="single" w:sz="4" w:space="0" w:color="auto"/>
            </w:tcBorders>
          </w:tcPr>
          <w:p w14:paraId="69B1CD1F"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Inspección visual</w:t>
            </w:r>
          </w:p>
        </w:tc>
      </w:tr>
      <w:tr w:rsidR="00773E1E" w:rsidRPr="00901FE5" w14:paraId="192F10D1" w14:textId="77777777" w:rsidTr="00276EC8">
        <w:tc>
          <w:tcPr>
            <w:tcW w:w="6024" w:type="dxa"/>
            <w:tcBorders>
              <w:top w:val="nil"/>
              <w:left w:val="single" w:sz="4" w:space="0" w:color="auto"/>
              <w:bottom w:val="single" w:sz="4" w:space="0" w:color="auto"/>
              <w:right w:val="single" w:sz="4" w:space="0" w:color="auto"/>
            </w:tcBorders>
          </w:tcPr>
          <w:p w14:paraId="42E74DAE" w14:textId="77777777" w:rsidR="00773E1E" w:rsidRPr="004D29D5" w:rsidRDefault="00773E1E" w:rsidP="000313DD">
            <w:pPr>
              <w:pStyle w:val="Prrafodelista"/>
              <w:numPr>
                <w:ilvl w:val="0"/>
                <w:numId w:val="248"/>
              </w:numPr>
              <w:spacing w:line="288" w:lineRule="auto"/>
              <w:rPr>
                <w:rFonts w:ascii="Arial" w:hAnsi="Arial" w:cs="Arial"/>
              </w:rPr>
            </w:pPr>
            <w:r w:rsidRPr="004D29D5">
              <w:rPr>
                <w:rFonts w:ascii="Arial" w:hAnsi="Arial" w:cs="Arial"/>
              </w:rPr>
              <w:t>Todos los tubos serán protegidos de la entrada de hormigón o de cualquier suciedad, tapando sus bocas con papel o cualquier otro medio</w:t>
            </w:r>
          </w:p>
          <w:p w14:paraId="3E9BD7F7" w14:textId="77777777" w:rsidR="00773E1E" w:rsidRPr="004D29D5" w:rsidRDefault="00773E1E" w:rsidP="000313DD">
            <w:pPr>
              <w:pStyle w:val="Prrafodelista"/>
              <w:numPr>
                <w:ilvl w:val="0"/>
                <w:numId w:val="248"/>
              </w:numPr>
              <w:spacing w:line="288" w:lineRule="auto"/>
              <w:rPr>
                <w:rFonts w:ascii="Arial" w:hAnsi="Arial" w:cs="Arial"/>
              </w:rPr>
            </w:pPr>
            <w:r w:rsidRPr="004D29D5">
              <w:rPr>
                <w:rFonts w:ascii="Arial" w:hAnsi="Arial" w:cs="Arial"/>
              </w:rPr>
              <w:t>Los tubos se depositarán: rectilíneos, horizontal y verticalmente, salvo curvas proyectadas</w:t>
            </w:r>
          </w:p>
        </w:tc>
        <w:tc>
          <w:tcPr>
            <w:tcW w:w="2693" w:type="dxa"/>
            <w:tcBorders>
              <w:top w:val="nil"/>
              <w:left w:val="single" w:sz="4" w:space="0" w:color="auto"/>
              <w:bottom w:val="single" w:sz="4" w:space="0" w:color="auto"/>
              <w:right w:val="single" w:sz="4" w:space="0" w:color="auto"/>
            </w:tcBorders>
          </w:tcPr>
          <w:p w14:paraId="7BB8EAB4"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Inspección visual</w:t>
            </w:r>
          </w:p>
          <w:p w14:paraId="001102A4" w14:textId="77777777" w:rsidR="00773E1E" w:rsidRPr="00901FE5" w:rsidRDefault="00773E1E" w:rsidP="00276EC8">
            <w:pPr>
              <w:spacing w:before="60" w:line="288" w:lineRule="auto"/>
              <w:jc w:val="center"/>
              <w:rPr>
                <w:rFonts w:ascii="Arial" w:hAnsi="Arial" w:cs="Arial"/>
                <w:sz w:val="20"/>
                <w:szCs w:val="20"/>
              </w:rPr>
            </w:pPr>
          </w:p>
          <w:p w14:paraId="279EFBD0"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Inspección visual</w:t>
            </w:r>
          </w:p>
        </w:tc>
      </w:tr>
    </w:tbl>
    <w:p w14:paraId="3DA4D028" w14:textId="77777777" w:rsidR="00773E1E" w:rsidRPr="00E62154" w:rsidRDefault="00773E1E" w:rsidP="00773E1E">
      <w:pPr>
        <w:rPr>
          <w:rFonts w:ascii="Arial" w:hAnsi="Arial" w:cs="Arial"/>
        </w:rPr>
      </w:pPr>
    </w:p>
    <w:p w14:paraId="76D26B24" w14:textId="77777777" w:rsidR="00773E1E" w:rsidRPr="00E62154" w:rsidRDefault="00773E1E" w:rsidP="00773E1E">
      <w:pPr>
        <w:suppressAutoHyphens/>
        <w:spacing w:before="120" w:after="120" w:line="360" w:lineRule="auto"/>
        <w:jc w:val="both"/>
        <w:rPr>
          <w:rFonts w:ascii="Arial" w:hAnsi="Arial" w:cs="Arial"/>
          <w:lang w:val="es-ES_tradnl" w:eastAsia="en-US"/>
        </w:rPr>
      </w:pPr>
    </w:p>
    <w:p w14:paraId="01653167" w14:textId="77777777" w:rsidR="00773E1E" w:rsidRPr="00E62154" w:rsidRDefault="00773E1E" w:rsidP="00773E1E">
      <w:pPr>
        <w:keepNext/>
        <w:pageBreakBefore/>
        <w:widowControl w:val="0"/>
        <w:spacing w:before="360" w:after="240" w:line="360" w:lineRule="auto"/>
        <w:jc w:val="both"/>
        <w:outlineLvl w:val="0"/>
        <w:rPr>
          <w:rFonts w:ascii="Arial" w:hAnsi="Arial" w:cs="Arial"/>
          <w:b/>
          <w:noProof/>
          <w:kern w:val="28"/>
          <w:lang w:eastAsia="en-US"/>
        </w:rPr>
      </w:pPr>
      <w:bookmarkStart w:id="1338" w:name="_Toc533762583"/>
      <w:bookmarkStart w:id="1339" w:name="_Toc404676"/>
      <w:r>
        <w:rPr>
          <w:rFonts w:ascii="Arial" w:hAnsi="Arial" w:cs="Arial"/>
          <w:b/>
          <w:noProof/>
          <w:kern w:val="28"/>
          <w:lang w:eastAsia="en-US"/>
        </w:rPr>
        <w:lastRenderedPageBreak/>
        <w:t>Artículo 807.</w:t>
      </w:r>
      <w:r w:rsidRPr="00E62154">
        <w:rPr>
          <w:rFonts w:ascii="Arial" w:hAnsi="Arial" w:cs="Arial"/>
          <w:b/>
          <w:noProof/>
          <w:kern w:val="28"/>
          <w:lang w:eastAsia="en-US"/>
        </w:rPr>
        <w:t xml:space="preserve"> Canalizaciones entubadas exteriores de alumbrado</w:t>
      </w:r>
      <w:bookmarkEnd w:id="1338"/>
      <w:bookmarkEnd w:id="1339"/>
      <w:r w:rsidRPr="00E62154">
        <w:rPr>
          <w:rFonts w:ascii="Arial" w:hAnsi="Arial" w:cs="Arial"/>
          <w:b/>
          <w:noProof/>
          <w:kern w:val="28"/>
          <w:lang w:eastAsia="en-US"/>
        </w:rPr>
        <w:t xml:space="preserve"> </w:t>
      </w:r>
    </w:p>
    <w:p w14:paraId="2224F07F" w14:textId="77777777" w:rsidR="00773E1E" w:rsidRPr="0037448F" w:rsidRDefault="00773E1E" w:rsidP="000313DD">
      <w:pPr>
        <w:pStyle w:val="TITU2"/>
      </w:pPr>
      <w:bookmarkStart w:id="1340" w:name="_Toc533762584"/>
      <w:bookmarkStart w:id="1341" w:name="_Toc404677"/>
      <w:r w:rsidRPr="0037448F">
        <w:t xml:space="preserve">807.1. </w:t>
      </w:r>
      <w:r w:rsidRPr="0037448F">
        <w:tab/>
        <w:t>Definición</w:t>
      </w:r>
      <w:bookmarkEnd w:id="1340"/>
      <w:bookmarkEnd w:id="1341"/>
    </w:p>
    <w:p w14:paraId="7E2AF4D4"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El presente artículo comprende las actuaciones de instalación de nuevas canalizaciones de alumbrado exteriores ancladas a estructuras.</w:t>
      </w:r>
    </w:p>
    <w:p w14:paraId="50FF534D" w14:textId="77777777" w:rsidR="00773E1E" w:rsidRPr="0037448F" w:rsidRDefault="00773E1E" w:rsidP="000313DD">
      <w:pPr>
        <w:pStyle w:val="TITU2"/>
      </w:pPr>
      <w:bookmarkStart w:id="1342" w:name="_Toc533762585"/>
      <w:bookmarkStart w:id="1343" w:name="_Toc404678"/>
      <w:r w:rsidRPr="0037448F">
        <w:t>807.2. Descripción de los trabajos</w:t>
      </w:r>
      <w:bookmarkEnd w:id="1342"/>
      <w:bookmarkEnd w:id="1343"/>
    </w:p>
    <w:p w14:paraId="6E2B90F4"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Se ha previsto la colocación de tubos rígidos de acero inoxidable fijados a la estructura, según lo indicados en los planos del proyecto, en los que introducir los cables de las instalaciones adaptadas a la configuración del nuevo pretil.</w:t>
      </w:r>
    </w:p>
    <w:p w14:paraId="1864D4A2"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 instalación de los cables en los tubos metálicos se hará con sumo cuidado, con medios adecuados al tipo de cable evitando la formación de cocas y torceduras, así como los roces perjudiciales y las tracciones exageradas que pueda perjudicar el aislamiento y cubierta de los mismos.</w:t>
      </w:r>
    </w:p>
    <w:p w14:paraId="6F3E0538"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No se curvarán los cables con radios inferiores a los recomendados por el fabricante y que, en ningún caso, ni se enrollarán con diámetros más pequeños que el de la capa inferior asentada sobre bobina de fábrica.</w:t>
      </w:r>
    </w:p>
    <w:p w14:paraId="395B224A" w14:textId="77777777" w:rsidR="00773E1E" w:rsidRPr="00E62154" w:rsidRDefault="00773E1E" w:rsidP="00773E1E">
      <w:pPr>
        <w:suppressAutoHyphens/>
        <w:spacing w:before="120" w:after="120" w:line="360" w:lineRule="auto"/>
        <w:jc w:val="both"/>
        <w:rPr>
          <w:rFonts w:ascii="Arial" w:hAnsi="Arial" w:cs="Arial"/>
          <w:lang w:eastAsia="en-US"/>
        </w:rPr>
      </w:pPr>
    </w:p>
    <w:p w14:paraId="783F4EEA" w14:textId="77777777" w:rsidR="00773E1E" w:rsidRPr="00E62154" w:rsidRDefault="00773E1E" w:rsidP="00773E1E">
      <w:pPr>
        <w:suppressAutoHyphens/>
        <w:spacing w:before="120" w:after="120" w:line="360" w:lineRule="auto"/>
        <w:jc w:val="both"/>
        <w:rPr>
          <w:rFonts w:ascii="Arial" w:hAnsi="Arial" w:cs="Arial"/>
          <w:lang w:eastAsia="en-US"/>
        </w:rPr>
      </w:pPr>
    </w:p>
    <w:p w14:paraId="2FC365A3" w14:textId="77777777" w:rsidR="00773E1E" w:rsidRPr="00E62154" w:rsidRDefault="00773E1E" w:rsidP="00773E1E">
      <w:pPr>
        <w:suppressAutoHyphens/>
        <w:spacing w:before="120" w:after="120" w:line="360" w:lineRule="auto"/>
        <w:jc w:val="both"/>
        <w:rPr>
          <w:rFonts w:ascii="Arial" w:hAnsi="Arial" w:cs="Arial"/>
          <w:lang w:eastAsia="en-US"/>
        </w:rPr>
      </w:pPr>
    </w:p>
    <w:p w14:paraId="761EF727" w14:textId="77777777" w:rsidR="00773E1E" w:rsidRPr="00E62154" w:rsidRDefault="00773E1E" w:rsidP="00773E1E">
      <w:pPr>
        <w:suppressAutoHyphens/>
        <w:spacing w:before="120" w:after="120" w:line="360" w:lineRule="auto"/>
        <w:jc w:val="both"/>
        <w:rPr>
          <w:rFonts w:ascii="Arial" w:hAnsi="Arial" w:cs="Arial"/>
          <w:lang w:eastAsia="en-US"/>
        </w:rPr>
      </w:pPr>
    </w:p>
    <w:p w14:paraId="1CFC8450" w14:textId="77777777" w:rsidR="00773E1E" w:rsidRPr="00E62154" w:rsidRDefault="00773E1E" w:rsidP="00773E1E">
      <w:pPr>
        <w:keepNext/>
        <w:pageBreakBefore/>
        <w:widowControl w:val="0"/>
        <w:spacing w:before="360" w:after="240" w:line="360" w:lineRule="auto"/>
        <w:jc w:val="both"/>
        <w:outlineLvl w:val="0"/>
        <w:rPr>
          <w:rFonts w:ascii="Arial" w:hAnsi="Arial" w:cs="Arial"/>
          <w:b/>
          <w:noProof/>
          <w:kern w:val="28"/>
          <w:lang w:eastAsia="en-US"/>
        </w:rPr>
      </w:pPr>
      <w:bookmarkStart w:id="1344" w:name="_Toc533762586"/>
      <w:bookmarkStart w:id="1345" w:name="_Toc404679"/>
      <w:r w:rsidRPr="00E62154">
        <w:rPr>
          <w:rFonts w:ascii="Arial" w:hAnsi="Arial" w:cs="Arial"/>
          <w:b/>
          <w:noProof/>
          <w:kern w:val="28"/>
          <w:lang w:eastAsia="en-US"/>
        </w:rPr>
        <w:lastRenderedPageBreak/>
        <w:t>Artículo 808. Instalación eléctrica de alumbrado</w:t>
      </w:r>
      <w:bookmarkEnd w:id="1344"/>
      <w:bookmarkEnd w:id="1345"/>
      <w:r w:rsidRPr="00E62154">
        <w:rPr>
          <w:rFonts w:ascii="Arial" w:hAnsi="Arial" w:cs="Arial"/>
          <w:b/>
          <w:noProof/>
          <w:kern w:val="28"/>
          <w:lang w:eastAsia="en-US"/>
        </w:rPr>
        <w:t xml:space="preserve"> </w:t>
      </w:r>
    </w:p>
    <w:p w14:paraId="1E6CAF55" w14:textId="77777777" w:rsidR="00773E1E" w:rsidRPr="0037448F" w:rsidRDefault="00773E1E" w:rsidP="000313DD">
      <w:pPr>
        <w:pStyle w:val="TITU2"/>
      </w:pPr>
      <w:bookmarkStart w:id="1346" w:name="_Toc533762587"/>
      <w:bookmarkStart w:id="1347" w:name="_Toc404680"/>
      <w:r w:rsidRPr="0037448F">
        <w:t xml:space="preserve">808.1. </w:t>
      </w:r>
      <w:r w:rsidRPr="0037448F">
        <w:tab/>
        <w:t>Definición</w:t>
      </w:r>
      <w:bookmarkEnd w:id="1346"/>
      <w:bookmarkEnd w:id="1347"/>
    </w:p>
    <w:p w14:paraId="4A8F012E"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El presente artículo comprende el suministro y montaje de los elementos especificados, perfectamente conexionados entre sí o al resto de la red de distribución de energía eléctrica, de forma que una vez instalados todos sus componentes se encuentren en perfecto estado de funcionamiento.</w:t>
      </w:r>
    </w:p>
    <w:p w14:paraId="6B2D2F7B" w14:textId="77777777" w:rsidR="00773E1E" w:rsidRPr="0037448F" w:rsidRDefault="00773E1E" w:rsidP="000313DD">
      <w:pPr>
        <w:pStyle w:val="TITU2"/>
      </w:pPr>
      <w:bookmarkStart w:id="1348" w:name="_Toc533762588"/>
      <w:bookmarkStart w:id="1349" w:name="_Toc404681"/>
      <w:r w:rsidRPr="0037448F">
        <w:t>808.2.</w:t>
      </w:r>
      <w:r w:rsidRPr="0037448F">
        <w:tab/>
        <w:t xml:space="preserve"> Descripción de los trabajos</w:t>
      </w:r>
      <w:bookmarkEnd w:id="1348"/>
      <w:bookmarkEnd w:id="1349"/>
    </w:p>
    <w:p w14:paraId="3F835F7F"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instalación de la red eléctrica incluye:</w:t>
      </w:r>
    </w:p>
    <w:p w14:paraId="2DF34E80" w14:textId="77777777" w:rsidR="00773E1E" w:rsidRPr="00E62154" w:rsidRDefault="00773E1E" w:rsidP="00661A5F">
      <w:pPr>
        <w:numPr>
          <w:ilvl w:val="0"/>
          <w:numId w:val="187"/>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El proyecto de la nueva línea conforme a las directrices y normativa de la compañía titular del servicio. </w:t>
      </w:r>
    </w:p>
    <w:p w14:paraId="6A17434A" w14:textId="77777777" w:rsidR="00773E1E" w:rsidRPr="00E62154" w:rsidRDefault="00773E1E" w:rsidP="00661A5F">
      <w:pPr>
        <w:numPr>
          <w:ilvl w:val="0"/>
          <w:numId w:val="187"/>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visados, permisos y autorizaciones pertinentes.</w:t>
      </w:r>
    </w:p>
    <w:p w14:paraId="197D4FF7" w14:textId="77777777" w:rsidR="00773E1E" w:rsidRPr="00E62154" w:rsidRDefault="00773E1E" w:rsidP="00661A5F">
      <w:pPr>
        <w:numPr>
          <w:ilvl w:val="0"/>
          <w:numId w:val="187"/>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Suministro y tendido de las conducciones eléctricas en la canalización.</w:t>
      </w:r>
    </w:p>
    <w:p w14:paraId="777187A6" w14:textId="77777777" w:rsidR="00773E1E" w:rsidRPr="00E62154" w:rsidRDefault="00773E1E" w:rsidP="00661A5F">
      <w:pPr>
        <w:numPr>
          <w:ilvl w:val="0"/>
          <w:numId w:val="187"/>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Conexión a los nuevos báculos de iluminación según planos de proyecto.</w:t>
      </w:r>
    </w:p>
    <w:p w14:paraId="596DF219" w14:textId="77777777" w:rsidR="00773E1E" w:rsidRPr="00E62154" w:rsidRDefault="00773E1E" w:rsidP="00661A5F">
      <w:pPr>
        <w:numPr>
          <w:ilvl w:val="0"/>
          <w:numId w:val="187"/>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ejecución de los empalmes con las arquetas de suministro correspondientes.</w:t>
      </w:r>
    </w:p>
    <w:p w14:paraId="69EDA097" w14:textId="77777777" w:rsidR="00773E1E" w:rsidRPr="00E62154" w:rsidRDefault="00773E1E" w:rsidP="00661A5F">
      <w:pPr>
        <w:numPr>
          <w:ilvl w:val="0"/>
          <w:numId w:val="187"/>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Ejecución de la red de puesta a tierra, conexión a los elementos indicados y a las protecciones necesarias.</w:t>
      </w:r>
    </w:p>
    <w:p w14:paraId="5C36B631" w14:textId="77777777" w:rsidR="00773E1E" w:rsidRPr="00E62154" w:rsidRDefault="00773E1E" w:rsidP="00661A5F">
      <w:pPr>
        <w:numPr>
          <w:ilvl w:val="0"/>
          <w:numId w:val="187"/>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Instalación de cuadros de mando y su conexión a la acometida, incluyendo colocación y fijación del armario.</w:t>
      </w:r>
    </w:p>
    <w:p w14:paraId="39F860E0" w14:textId="77777777" w:rsidR="00773E1E" w:rsidRPr="0037448F" w:rsidRDefault="00773E1E" w:rsidP="000313DD">
      <w:pPr>
        <w:pStyle w:val="TITU2"/>
      </w:pPr>
      <w:bookmarkStart w:id="1350" w:name="_Toc533762589"/>
      <w:bookmarkStart w:id="1351" w:name="_Toc404682"/>
      <w:r w:rsidRPr="0037448F">
        <w:t>80</w:t>
      </w:r>
      <w:r>
        <w:t>8</w:t>
      </w:r>
      <w:r w:rsidRPr="0037448F">
        <w:t xml:space="preserve">.3. </w:t>
      </w:r>
      <w:r w:rsidRPr="0037448F">
        <w:tab/>
        <w:t>Normativa</w:t>
      </w:r>
      <w:bookmarkEnd w:id="1350"/>
      <w:bookmarkEnd w:id="1351"/>
    </w:p>
    <w:p w14:paraId="08A93A82"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Se seguirá lo establecido en el Reglamento Electrotécnico de Baja Tensión (RD 842/2002), las Recomendaciones para la iluminación de carreteras a cielo abierto del Ministerio de </w:t>
      </w:r>
      <w:r w:rsidRPr="00E62154">
        <w:rPr>
          <w:rFonts w:ascii="Arial" w:eastAsiaTheme="minorHAnsi" w:hAnsi="Arial" w:cs="Arial"/>
          <w:lang w:val="es-ES_tradnl" w:eastAsia="en-US"/>
        </w:rPr>
        <w:t>Fomento y la normativa vigente de aplicación.</w:t>
      </w:r>
    </w:p>
    <w:p w14:paraId="5F364B7E" w14:textId="77777777" w:rsidR="00773E1E" w:rsidRPr="0037448F" w:rsidRDefault="00773E1E" w:rsidP="000313DD">
      <w:pPr>
        <w:pStyle w:val="TITU2"/>
      </w:pPr>
      <w:bookmarkStart w:id="1352" w:name="_Toc533762590"/>
      <w:bookmarkStart w:id="1353" w:name="_Toc404683"/>
      <w:r w:rsidRPr="0037448F">
        <w:t xml:space="preserve">808.4. </w:t>
      </w:r>
      <w:r w:rsidRPr="0037448F">
        <w:tab/>
        <w:t>Materiales</w:t>
      </w:r>
      <w:bookmarkEnd w:id="1352"/>
      <w:bookmarkEnd w:id="1353"/>
    </w:p>
    <w:p w14:paraId="40FAF871" w14:textId="77777777" w:rsidR="00773E1E" w:rsidRPr="00F74B11" w:rsidRDefault="00773E1E" w:rsidP="00773E1E">
      <w:pPr>
        <w:suppressAutoHyphens/>
        <w:spacing w:before="120" w:after="120" w:line="360" w:lineRule="auto"/>
        <w:jc w:val="both"/>
        <w:rPr>
          <w:rFonts w:ascii="Arial" w:hAnsi="Arial" w:cs="Arial"/>
          <w:i/>
          <w:u w:val="single"/>
          <w:lang w:val="es-ES_tradnl" w:eastAsia="en-US"/>
        </w:rPr>
      </w:pPr>
      <w:r w:rsidRPr="00F74B11">
        <w:rPr>
          <w:rFonts w:ascii="Arial" w:hAnsi="Arial" w:cs="Arial"/>
          <w:i/>
          <w:u w:val="single"/>
          <w:lang w:val="es-ES_tradnl" w:eastAsia="en-US"/>
        </w:rPr>
        <w:t>Conductores</w:t>
      </w:r>
    </w:p>
    <w:p w14:paraId="7719CE74"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cables serán multipolares o unipolares con conductores de cobre y tensión asignada de 0,6/1 KV, protegidos por c/c fusibles bipolares calibrados a 6 A. Se utilizarán los colores de cubiertas normalizados.</w:t>
      </w:r>
    </w:p>
    <w:p w14:paraId="34123C51"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conductores de los cables utilizados en las líneas subterráneas serán de cobre y estarán aislados con mezclas apropiadas de compuestos poliméricos. Estarán además debidamente protegidos contra la corrosión que pueda provocar el terreno donde se instalen y tendrán la resistencia mecánica suficiente para soportar los esfuerzos a que puedan estar sometidos. Se emplearán cables armados cuando sea necesaria una resistencia mecánica adicional porque se prevean casos de vandalismo, robos de cable, etc.</w:t>
      </w:r>
    </w:p>
    <w:p w14:paraId="3AA0B2C9" w14:textId="77777777" w:rsidR="00773E1E" w:rsidRPr="00E62154" w:rsidRDefault="00773E1E" w:rsidP="00773E1E">
      <w:pPr>
        <w:suppressAutoHyphens/>
        <w:spacing w:before="120" w:after="120" w:line="360" w:lineRule="auto"/>
        <w:jc w:val="both"/>
        <w:rPr>
          <w:rFonts w:ascii="Arial" w:hAnsi="Arial" w:cs="Arial"/>
          <w:lang w:val="es-ES_tradnl" w:eastAsia="en-US"/>
        </w:rPr>
      </w:pPr>
      <w:proofErr w:type="gramStart"/>
      <w:r w:rsidRPr="00E62154">
        <w:rPr>
          <w:rFonts w:ascii="Arial" w:hAnsi="Arial" w:cs="Arial"/>
          <w:lang w:val="es-ES_tradnl" w:eastAsia="en-US"/>
        </w:rPr>
        <w:t>La sección mínima a emplear</w:t>
      </w:r>
      <w:proofErr w:type="gramEnd"/>
      <w:r w:rsidRPr="00E62154">
        <w:rPr>
          <w:rFonts w:ascii="Arial" w:hAnsi="Arial" w:cs="Arial"/>
          <w:lang w:val="es-ES_tradnl" w:eastAsia="en-US"/>
        </w:rPr>
        <w:t xml:space="preserve"> en redes subterráneas, incluido el neutro, será de 6 mm². En distribuciones trifásicas tetrapolares, para conductores de fase de sección superior a 6 mm², la sección del neutro será conforme a lo indicado en la tabla 1 de la ITC-BT-07.</w:t>
      </w:r>
    </w:p>
    <w:p w14:paraId="41F7AE2C"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densidad de corriente máxima admisible en los conductores será la que determine el Reglamento electrotécnico de baja tensión y sus instrucciones complementarias ITC-BT- 006, 007, 011, 016 y 017.</w:t>
      </w:r>
    </w:p>
    <w:p w14:paraId="55E1B011"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Las caídas de tensión máxima admisible desde el cuatro centralizado de contadores hasta las tomas del equipo consumidor son</w:t>
      </w:r>
    </w:p>
    <w:p w14:paraId="4E2C4D19" w14:textId="77777777" w:rsidR="00773E1E" w:rsidRPr="00E62154" w:rsidRDefault="00773E1E" w:rsidP="00773E1E">
      <w:pPr>
        <w:numPr>
          <w:ilvl w:val="0"/>
          <w:numId w:val="15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Alumbrado: 3% de la tensión nominal</w:t>
      </w:r>
    </w:p>
    <w:p w14:paraId="14969885" w14:textId="77777777" w:rsidR="00773E1E" w:rsidRPr="00E62154" w:rsidRDefault="00773E1E" w:rsidP="00773E1E">
      <w:pPr>
        <w:numPr>
          <w:ilvl w:val="0"/>
          <w:numId w:val="15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Fuerza: 5% de la tensión nominal.</w:t>
      </w:r>
    </w:p>
    <w:p w14:paraId="7065D106"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El circuito encargado de la alimentación al equipo reductor de flujo, compuesto por balasto especial, condensador, arrancador electrónico y unidad de conmutación, se realizará con conductores de Cu, bipolares, tensión asignada 0,6/1 kV, de 2,5 mm² de sección mínima. Asimismo, todas las luminarias se cablearán interiormente mediante conductor antitérmico y unipolar pues la temperatura interior es elevada.</w:t>
      </w:r>
    </w:p>
    <w:p w14:paraId="0D10C18D"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Las líneas de alimentación a puntos de luz con lámparas o tubos de descarga estarán previstas para transportar la carga debida a los propios receptores, a sus elementos asociados, a las corrientes armónicas, de arranque y desequilibrio de fases. Como consecuencia, la potencia aparente mínima en VA se considerará 1,8 veces la potencia en vatios de las lámparas o tubos de descarga, y en caso de otros tipos de fuentes de luz se justificará mediante el cálculo correspondiente.</w:t>
      </w:r>
    </w:p>
    <w:p w14:paraId="56DE0720" w14:textId="77777777" w:rsidR="00773E1E" w:rsidRPr="00F74B11" w:rsidRDefault="00773E1E" w:rsidP="00773E1E">
      <w:pPr>
        <w:suppressAutoHyphens/>
        <w:spacing w:before="120" w:after="120" w:line="360" w:lineRule="auto"/>
        <w:jc w:val="both"/>
        <w:rPr>
          <w:rFonts w:ascii="Arial" w:hAnsi="Arial" w:cs="Arial"/>
          <w:i/>
          <w:u w:val="single"/>
          <w:lang w:val="es-ES_tradnl" w:eastAsia="en-US"/>
        </w:rPr>
      </w:pPr>
      <w:r w:rsidRPr="00F74B11">
        <w:rPr>
          <w:rFonts w:ascii="Arial" w:hAnsi="Arial" w:cs="Arial"/>
          <w:i/>
          <w:u w:val="single"/>
          <w:lang w:val="es-ES_tradnl" w:eastAsia="en-US"/>
        </w:rPr>
        <w:t>Red de puesta a tierra</w:t>
      </w:r>
    </w:p>
    <w:p w14:paraId="1EC44CB7" w14:textId="77777777" w:rsidR="00773E1E" w:rsidRPr="00E62154" w:rsidRDefault="00773E1E" w:rsidP="00773E1E">
      <w:pPr>
        <w:suppressAutoHyphens/>
        <w:spacing w:before="120" w:after="120" w:line="360" w:lineRule="auto"/>
        <w:jc w:val="both"/>
        <w:rPr>
          <w:rFonts w:ascii="Arial" w:hAnsi="Arial" w:cs="Arial"/>
          <w:b/>
          <w:lang w:val="es-ES_tradnl" w:eastAsia="en-US"/>
        </w:rPr>
      </w:pPr>
      <w:r w:rsidRPr="00E62154">
        <w:rPr>
          <w:rFonts w:ascii="Arial" w:hAnsi="Arial" w:cs="Arial"/>
          <w:lang w:val="es-ES_tradnl" w:eastAsia="en-US"/>
        </w:rPr>
        <w:t>La red de puesta a tierra cumple especificado en las instrucciones ITC-BT-009 y ITC-BT-020 del Reglamento electrotécnico de baja tensión</w:t>
      </w:r>
      <w:r w:rsidRPr="00E62154">
        <w:rPr>
          <w:rFonts w:ascii="Arial" w:hAnsi="Arial" w:cs="Arial"/>
          <w:b/>
          <w:lang w:val="es-ES_tradnl" w:eastAsia="en-US"/>
        </w:rPr>
        <w:t>.</w:t>
      </w:r>
    </w:p>
    <w:p w14:paraId="6BBFC625" w14:textId="77777777" w:rsidR="00773E1E" w:rsidRPr="00296718" w:rsidRDefault="00773E1E" w:rsidP="00773E1E">
      <w:pPr>
        <w:suppressAutoHyphens/>
        <w:spacing w:before="120" w:after="120" w:line="360" w:lineRule="auto"/>
        <w:jc w:val="both"/>
        <w:rPr>
          <w:rFonts w:ascii="Arial" w:hAnsi="Arial" w:cs="Arial"/>
          <w:i/>
          <w:u w:val="single"/>
          <w:lang w:val="es-ES_tradnl" w:eastAsia="en-US"/>
        </w:rPr>
      </w:pPr>
      <w:r w:rsidRPr="00296718">
        <w:rPr>
          <w:rFonts w:ascii="Arial" w:hAnsi="Arial" w:cs="Arial"/>
          <w:i/>
          <w:u w:val="single"/>
          <w:lang w:val="es-ES_tradnl" w:eastAsia="en-US"/>
        </w:rPr>
        <w:lastRenderedPageBreak/>
        <w:t>Cuadro de mando y protección</w:t>
      </w:r>
    </w:p>
    <w:p w14:paraId="37216617"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Los sistemas de protección de las instalaciones de alumbrado público se ajustan a lo especificado en las instrucciones ITC-BT-009 y ITC-BT-020. </w:t>
      </w:r>
    </w:p>
    <w:p w14:paraId="17564285" w14:textId="77777777" w:rsidR="00773E1E" w:rsidRPr="0037448F" w:rsidRDefault="00773E1E" w:rsidP="000313DD">
      <w:pPr>
        <w:pStyle w:val="TITU2"/>
      </w:pPr>
      <w:bookmarkStart w:id="1354" w:name="_Toc533762591"/>
      <w:bookmarkStart w:id="1355" w:name="_Toc404684"/>
      <w:r w:rsidRPr="0037448F">
        <w:t xml:space="preserve">808.5. </w:t>
      </w:r>
      <w:r w:rsidRPr="0037448F">
        <w:tab/>
        <w:t>Ejecución de las obras</w:t>
      </w:r>
      <w:bookmarkEnd w:id="1354"/>
      <w:bookmarkEnd w:id="1355"/>
    </w:p>
    <w:p w14:paraId="6342AAB3" w14:textId="77777777" w:rsidR="00773E1E" w:rsidRPr="00296718" w:rsidRDefault="00773E1E" w:rsidP="00773E1E">
      <w:pPr>
        <w:suppressAutoHyphens/>
        <w:spacing w:before="120" w:after="120" w:line="360" w:lineRule="auto"/>
        <w:jc w:val="both"/>
        <w:rPr>
          <w:rFonts w:ascii="Arial" w:hAnsi="Arial" w:cs="Arial"/>
          <w:i/>
          <w:u w:val="single"/>
          <w:lang w:val="es-ES_tradnl" w:eastAsia="en-US"/>
        </w:rPr>
      </w:pPr>
      <w:r w:rsidRPr="00296718">
        <w:rPr>
          <w:rFonts w:ascii="Arial" w:hAnsi="Arial" w:cs="Arial"/>
          <w:i/>
          <w:u w:val="single"/>
          <w:lang w:val="es-ES_tradnl" w:eastAsia="en-US"/>
        </w:rPr>
        <w:t>Instalación de cables eléctricos en canalización</w:t>
      </w:r>
    </w:p>
    <w:p w14:paraId="0F9B92AF"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Las obras correspondientes a los tendidos </w:t>
      </w:r>
      <w:proofErr w:type="gramStart"/>
      <w:r w:rsidRPr="00E62154">
        <w:rPr>
          <w:rFonts w:ascii="Arial" w:hAnsi="Arial" w:cs="Arial"/>
          <w:lang w:val="es-ES_tradnl" w:eastAsia="en-US"/>
        </w:rPr>
        <w:t>eléctricos,</w:t>
      </w:r>
      <w:proofErr w:type="gramEnd"/>
      <w:r w:rsidRPr="00E62154">
        <w:rPr>
          <w:rFonts w:ascii="Arial" w:hAnsi="Arial" w:cs="Arial"/>
          <w:lang w:val="es-ES_tradnl" w:eastAsia="en-US"/>
        </w:rPr>
        <w:t xml:space="preserve"> se realizarán conforme a lo indicado en los planos, siguiéndose las instrucciones del fabricante de los equipos, y aquellas de buena práctica para instalaciones de este tipo.</w:t>
      </w:r>
    </w:p>
    <w:p w14:paraId="5E570E80"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Los cables estarán canalizados en tubos de polietileno corrugado (según lo establecido en el Artículo 805.- Canalizaciones subterráneas de alumbrado) </w:t>
      </w:r>
      <w:proofErr w:type="gramStart"/>
      <w:r w:rsidRPr="00E62154">
        <w:rPr>
          <w:rFonts w:ascii="Arial" w:hAnsi="Arial" w:cs="Arial"/>
          <w:lang w:val="es-ES_tradnl" w:eastAsia="en-US"/>
        </w:rPr>
        <w:t>cuyas  secciones</w:t>
      </w:r>
      <w:proofErr w:type="gramEnd"/>
      <w:r w:rsidRPr="00E62154">
        <w:rPr>
          <w:rFonts w:ascii="Arial" w:hAnsi="Arial" w:cs="Arial"/>
          <w:lang w:val="es-ES_tradnl" w:eastAsia="en-US"/>
        </w:rPr>
        <w:t xml:space="preserve"> y tipos serán los indicados en los planos. Cualquier cambio de sección o tipo de conductores deberá ser aprobado por el </w:t>
      </w:r>
      <w:proofErr w:type="gramStart"/>
      <w:r w:rsidRPr="00E62154">
        <w:rPr>
          <w:rFonts w:ascii="Arial" w:hAnsi="Arial" w:cs="Arial"/>
          <w:lang w:val="es-ES_tradnl" w:eastAsia="en-US"/>
        </w:rPr>
        <w:t>Director</w:t>
      </w:r>
      <w:proofErr w:type="gramEnd"/>
      <w:r w:rsidRPr="00E62154">
        <w:rPr>
          <w:rFonts w:ascii="Arial" w:hAnsi="Arial" w:cs="Arial"/>
          <w:lang w:val="es-ES_tradnl" w:eastAsia="en-US"/>
        </w:rPr>
        <w:t xml:space="preserve"> de las Obras.</w:t>
      </w:r>
    </w:p>
    <w:p w14:paraId="4CD436EA"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Todos los cables se enviarán a obra en bobinas normalizadas y debidamente protegidas con duelas.</w:t>
      </w:r>
    </w:p>
    <w:p w14:paraId="044B96DD"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En los cables de cobre se procurará que los cables sean suministrados, siempre que sea posible, en longitudes de utilización con el fin de evitar empalmes innecesarios.</w:t>
      </w:r>
    </w:p>
    <w:p w14:paraId="62E74651"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El tendido de los cables se hará con sumo cuidado, con medios adecuados al tipo de cable, evitando la formación de cocas y torceduras, así como los roces perjudiciales y las tracciones exageradas que puedan perjudicar el aislamiento y cubierta de los mismos.</w:t>
      </w:r>
    </w:p>
    <w:p w14:paraId="5D818DCE"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No se curvarán los cables con radios inferiores a los recomendados por el fabricante y que, en ningún caso, ni se enrollarán con diámetros más pequeños que el de la capa inferior asentada sobre bobina de fábrica.</w:t>
      </w:r>
    </w:p>
    <w:p w14:paraId="4E2A05C1"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aislamientos de la instalación deberán ser los reglamentados en función de la tensión del sistema.</w:t>
      </w:r>
    </w:p>
    <w:p w14:paraId="3D2BA8DC"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El conductor neutro de cada circuito que parte del cuadro no podrá ser utilizado por ningún otro circuito.</w:t>
      </w:r>
    </w:p>
    <w:p w14:paraId="4EF9E167"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cables para cada uno de los distintos sistemas de alimentación, Los conductores deberán ser identificados con los circuitos a los que pertenecen, disponiéndose debidamente separados en el trazado, de manera que sean fácilmente localizables.</w:t>
      </w:r>
    </w:p>
    <w:p w14:paraId="63491252"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En los conductores se registrarán los datos siguientes:</w:t>
      </w:r>
    </w:p>
    <w:p w14:paraId="0550AED5" w14:textId="77777777" w:rsidR="00773E1E" w:rsidRPr="00E62154" w:rsidRDefault="00773E1E" w:rsidP="00773E1E">
      <w:pPr>
        <w:numPr>
          <w:ilvl w:val="0"/>
          <w:numId w:val="15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Cuadro del sector al que están conectados.</w:t>
      </w:r>
    </w:p>
    <w:p w14:paraId="034FC918" w14:textId="77777777" w:rsidR="00773E1E" w:rsidRPr="00E62154" w:rsidRDefault="00773E1E" w:rsidP="00773E1E">
      <w:pPr>
        <w:numPr>
          <w:ilvl w:val="0"/>
          <w:numId w:val="15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Fecha de instalación, con indicación de la vida útil dada por el fabricante.</w:t>
      </w:r>
    </w:p>
    <w:p w14:paraId="26E25B89" w14:textId="77777777" w:rsidR="00773E1E" w:rsidRPr="00E62154" w:rsidRDefault="00773E1E" w:rsidP="00773E1E">
      <w:pPr>
        <w:numPr>
          <w:ilvl w:val="0"/>
          <w:numId w:val="15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Circuito al que pertenecen.</w:t>
      </w:r>
    </w:p>
    <w:p w14:paraId="54DE6AFE" w14:textId="77777777" w:rsidR="00773E1E" w:rsidRPr="00E62154" w:rsidRDefault="00773E1E" w:rsidP="00773E1E">
      <w:pPr>
        <w:numPr>
          <w:ilvl w:val="0"/>
          <w:numId w:val="15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Tipo de conductor y su aislamiento.</w:t>
      </w:r>
    </w:p>
    <w:p w14:paraId="73BB630B" w14:textId="77777777" w:rsidR="00773E1E" w:rsidRPr="00E62154" w:rsidRDefault="00773E1E" w:rsidP="00773E1E">
      <w:pPr>
        <w:numPr>
          <w:ilvl w:val="0"/>
          <w:numId w:val="15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Sección del conductor.</w:t>
      </w:r>
    </w:p>
    <w:p w14:paraId="76D395DA" w14:textId="77777777" w:rsidR="00773E1E" w:rsidRPr="00E62154" w:rsidRDefault="00773E1E" w:rsidP="00773E1E">
      <w:pPr>
        <w:numPr>
          <w:ilvl w:val="0"/>
          <w:numId w:val="15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Fabricante.</w:t>
      </w:r>
    </w:p>
    <w:p w14:paraId="2E28CBF3" w14:textId="77777777" w:rsidR="00773E1E" w:rsidRPr="00296718" w:rsidRDefault="00773E1E" w:rsidP="00773E1E">
      <w:pPr>
        <w:suppressAutoHyphens/>
        <w:spacing w:before="120" w:after="120" w:line="360" w:lineRule="auto"/>
        <w:jc w:val="both"/>
        <w:rPr>
          <w:rFonts w:ascii="Arial" w:hAnsi="Arial" w:cs="Arial"/>
          <w:i/>
          <w:u w:val="single"/>
          <w:lang w:val="es-ES_tradnl" w:eastAsia="en-US"/>
        </w:rPr>
      </w:pPr>
      <w:r w:rsidRPr="00296718">
        <w:rPr>
          <w:rFonts w:ascii="Arial" w:hAnsi="Arial" w:cs="Arial"/>
          <w:i/>
          <w:u w:val="single"/>
          <w:lang w:val="es-ES_tradnl" w:eastAsia="en-US"/>
        </w:rPr>
        <w:t>Empalmes</w:t>
      </w:r>
    </w:p>
    <w:p w14:paraId="6E24F793"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empalmes y derivaciones deberán realizarse en cajas de bornes adecuadas, situadas dentro de los soportes de las luminarias, y a una altura mínima de 0,3 m sobre el nivel del suelo o en una arqueta registrable, que garanticen, en ambos casos, la continuidad, el aislamiento y la estanqueidad del conductor.</w:t>
      </w:r>
    </w:p>
    <w:p w14:paraId="1B3ABB7D"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Los empalmes de cables de cobre utilizarán los útiles especiales establecidos al efecto, previa autorización y comprobación de sus características por el </w:t>
      </w:r>
      <w:proofErr w:type="gramStart"/>
      <w:r w:rsidRPr="00E62154">
        <w:rPr>
          <w:rFonts w:ascii="Arial" w:hAnsi="Arial" w:cs="Arial"/>
          <w:lang w:val="es-ES_tradnl" w:eastAsia="en-US"/>
        </w:rPr>
        <w:t>Director</w:t>
      </w:r>
      <w:proofErr w:type="gramEnd"/>
      <w:r w:rsidRPr="00E62154">
        <w:rPr>
          <w:rFonts w:ascii="Arial" w:hAnsi="Arial" w:cs="Arial"/>
          <w:lang w:val="es-ES_tradnl" w:eastAsia="en-US"/>
        </w:rPr>
        <w:t xml:space="preserve"> de Obra.</w:t>
      </w:r>
    </w:p>
    <w:p w14:paraId="37377244"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empalmes se llevarán a cabo según el Reglamento Electrotécnico de Baja Tensión y las instrucciones complementarias.</w:t>
      </w:r>
    </w:p>
    <w:p w14:paraId="65277BF5" w14:textId="77777777" w:rsidR="00773E1E" w:rsidRPr="00F74B11" w:rsidRDefault="00773E1E" w:rsidP="00773E1E">
      <w:pPr>
        <w:suppressAutoHyphens/>
        <w:spacing w:before="120" w:after="120" w:line="360" w:lineRule="auto"/>
        <w:jc w:val="both"/>
        <w:rPr>
          <w:rFonts w:ascii="Arial" w:hAnsi="Arial" w:cs="Arial"/>
          <w:i/>
          <w:u w:val="single"/>
          <w:lang w:val="es-ES_tradnl" w:eastAsia="en-US"/>
        </w:rPr>
      </w:pPr>
      <w:r w:rsidRPr="00F74B11">
        <w:rPr>
          <w:rFonts w:ascii="Arial" w:hAnsi="Arial" w:cs="Arial"/>
          <w:i/>
          <w:u w:val="single"/>
          <w:lang w:val="es-ES_tradnl" w:eastAsia="en-US"/>
        </w:rPr>
        <w:t>Puesta a tierra</w:t>
      </w:r>
    </w:p>
    <w:p w14:paraId="36CB5D5E"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Las partes metálicas accesibles de los soportes de las luminarias estarán conectadas a tierra.</w:t>
      </w:r>
    </w:p>
    <w:p w14:paraId="32C9A030"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Las partes metálicas de los elementos del mobiliario urbano que estén a una distancia inferior de 2 m de las partes metálicas de la instalación de alumbrado y que sean susceptibles de ser tocadas simultáneamente, deben estar puestas a tierra. </w:t>
      </w:r>
    </w:p>
    <w:p w14:paraId="7C131E63"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máxima resistencia de puesta a tierra será tal que, a lo largo de la vida de la instalación y en cualquier época del año no se produzcan sobretensiones de contacto mayores de 24 V, en las partes metálicas accesibles de la instalación (soportes, cuadros metálicos, etc.)</w:t>
      </w:r>
    </w:p>
    <w:p w14:paraId="0481AAB6"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puesta a tierra de los soportes se realizará por conexión a una red de tierra común para todas las líneas que partan del mismo cuadro de protección, medida y control.</w:t>
      </w:r>
    </w:p>
    <w:p w14:paraId="7D7ECD93"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En las redes de tierra se instalará como mínimo un electrodo de puesta a tierra cada 4 soportes de luminaria, y siempre en el primero y último soporte de cada línea.</w:t>
      </w:r>
    </w:p>
    <w:p w14:paraId="04A168DB"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lastRenderedPageBreak/>
        <w:t>Los conductores de la red de tierra que unen los electrodos deberán ser:</w:t>
      </w:r>
    </w:p>
    <w:p w14:paraId="3F405521" w14:textId="77777777" w:rsidR="00773E1E" w:rsidRPr="00E62154" w:rsidRDefault="00773E1E" w:rsidP="00773E1E">
      <w:pPr>
        <w:numPr>
          <w:ilvl w:val="0"/>
          <w:numId w:val="15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Desnudos, de cobre de 35 mm</w:t>
      </w:r>
      <w:r w:rsidRPr="00241CBC">
        <w:rPr>
          <w:rFonts w:ascii="Arial" w:hAnsi="Arial" w:cs="Arial"/>
          <w:vertAlign w:val="superscript"/>
          <w:lang w:val="es-ES_tradnl" w:eastAsia="en-US"/>
        </w:rPr>
        <w:t>2</w:t>
      </w:r>
      <w:r w:rsidRPr="00E62154">
        <w:rPr>
          <w:rFonts w:ascii="Arial" w:hAnsi="Arial" w:cs="Arial"/>
          <w:lang w:val="es-ES_tradnl" w:eastAsia="en-US"/>
        </w:rPr>
        <w:t xml:space="preserve"> de sección mínima, si forman parte de la propia red de tierra, en cuyo caso irán por fuera de las canalizaciones de los cables de alimentación.</w:t>
      </w:r>
    </w:p>
    <w:p w14:paraId="220E95FA" w14:textId="77777777" w:rsidR="00773E1E" w:rsidRPr="00E62154" w:rsidRDefault="00773E1E" w:rsidP="00773E1E">
      <w:pPr>
        <w:numPr>
          <w:ilvl w:val="0"/>
          <w:numId w:val="156"/>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Aislados, mediante cables de tensión asignada 450/750 V con recubrimiento de color verde amarillo, con conductores de cobre, de sección mínima 16 mm</w:t>
      </w:r>
      <w:r w:rsidRPr="00241CBC">
        <w:rPr>
          <w:rFonts w:ascii="Arial" w:hAnsi="Arial" w:cs="Arial"/>
          <w:vertAlign w:val="superscript"/>
          <w:lang w:val="es-ES_tradnl" w:eastAsia="en-US"/>
        </w:rPr>
        <w:t>2</w:t>
      </w:r>
      <w:r w:rsidRPr="00E62154">
        <w:rPr>
          <w:rFonts w:ascii="Arial" w:hAnsi="Arial" w:cs="Arial"/>
          <w:lang w:val="es-ES_tradnl" w:eastAsia="en-US"/>
        </w:rPr>
        <w:t xml:space="preserve"> para redes subterráneas y de igual sección que los conductores de fase para las redes posadas, en cuyo caso irán por el interior de las canalizaciones de los cables de alimentación.</w:t>
      </w:r>
    </w:p>
    <w:p w14:paraId="249C5A22"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El conductor de protección que une cada soporte con el electrodo o con la red de tierra, será de cable unipolar aislado, de tensión asignada 450/750V, con recubrimiento de color verde amarillo y sección mínima de 16 mm</w:t>
      </w:r>
      <w:r w:rsidRPr="00241CBC">
        <w:rPr>
          <w:rFonts w:ascii="Arial" w:hAnsi="Arial" w:cs="Arial"/>
          <w:vertAlign w:val="superscript"/>
          <w:lang w:val="es-ES_tradnl" w:eastAsia="en-US"/>
        </w:rPr>
        <w:t>2</w:t>
      </w:r>
      <w:r w:rsidRPr="00E62154">
        <w:rPr>
          <w:rFonts w:ascii="Arial" w:hAnsi="Arial" w:cs="Arial"/>
          <w:lang w:val="es-ES_tradnl" w:eastAsia="en-US"/>
        </w:rPr>
        <w:t xml:space="preserve"> de cobre.</w:t>
      </w:r>
    </w:p>
    <w:p w14:paraId="1D3A9AAD"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Todas las conexiones de los circuitos de </w:t>
      </w:r>
      <w:proofErr w:type="gramStart"/>
      <w:r w:rsidRPr="00E62154">
        <w:rPr>
          <w:rFonts w:ascii="Arial" w:hAnsi="Arial" w:cs="Arial"/>
          <w:lang w:val="es-ES_tradnl" w:eastAsia="en-US"/>
        </w:rPr>
        <w:t>tierra,</w:t>
      </w:r>
      <w:proofErr w:type="gramEnd"/>
      <w:r w:rsidRPr="00E62154">
        <w:rPr>
          <w:rFonts w:ascii="Arial" w:hAnsi="Arial" w:cs="Arial"/>
          <w:lang w:val="es-ES_tradnl" w:eastAsia="en-US"/>
        </w:rPr>
        <w:t xml:space="preserve"> se realizarán mediante terminales, grapas, soldadura o elementos apropiados que garanticen un buen contacto permanente y protegido contra la corrosión</w:t>
      </w:r>
    </w:p>
    <w:p w14:paraId="6C4CADE5" w14:textId="77777777" w:rsidR="00773E1E" w:rsidRPr="00F74B11" w:rsidRDefault="00773E1E" w:rsidP="00773E1E">
      <w:pPr>
        <w:suppressAutoHyphens/>
        <w:spacing w:before="120" w:after="120" w:line="360" w:lineRule="auto"/>
        <w:jc w:val="both"/>
        <w:rPr>
          <w:rFonts w:ascii="Arial" w:hAnsi="Arial" w:cs="Arial"/>
          <w:i/>
          <w:u w:val="single"/>
          <w:lang w:val="es-ES_tradnl" w:eastAsia="en-US"/>
        </w:rPr>
      </w:pPr>
      <w:r w:rsidRPr="00F74B11">
        <w:rPr>
          <w:rFonts w:ascii="Arial" w:hAnsi="Arial" w:cs="Arial"/>
          <w:i/>
          <w:u w:val="single"/>
          <w:lang w:val="es-ES_tradnl" w:eastAsia="en-US"/>
        </w:rPr>
        <w:t>Centro de Mando y Medida</w:t>
      </w:r>
    </w:p>
    <w:p w14:paraId="54B81C3B"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El equipo de medida necesario se instalará en el Centro de Mando y Medida según las directrices de la empresa distribuidora de energía.</w:t>
      </w:r>
    </w:p>
    <w:p w14:paraId="361FEEF5"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Las líneas de alimentación a los puntos de luz y control, que parten desde un cuadro de protección y control, estarán protegidas individualmente con corte omnipolar, tanto para sobreintensidades como contra corrientes de defecto a tierra y contra sobretensiones cuando los equipos instalados lo precisen.</w:t>
      </w:r>
    </w:p>
    <w:p w14:paraId="021EF996"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La intensidad de defecto, umbral de la desconexión de los interruptores diferenciales, que podrán ser de reenganche automático, será como máximo de 300 mA y la resistencia de puesta a tierra, medida en la puesta en servicio de la instalación será como máximo de 30 </w:t>
      </w:r>
      <w:proofErr w:type="spellStart"/>
      <w:r w:rsidRPr="00E62154">
        <w:rPr>
          <w:rFonts w:ascii="Arial" w:hAnsi="Arial" w:cs="Arial"/>
          <w:lang w:val="es-ES_tradnl" w:eastAsia="en-US"/>
        </w:rPr>
        <w:t>Ohmnios</w:t>
      </w:r>
      <w:proofErr w:type="spellEnd"/>
      <w:r w:rsidRPr="00E62154">
        <w:rPr>
          <w:rFonts w:ascii="Arial" w:hAnsi="Arial" w:cs="Arial"/>
          <w:lang w:val="es-ES_tradnl" w:eastAsia="en-US"/>
        </w:rPr>
        <w:t xml:space="preserve">. </w:t>
      </w:r>
    </w:p>
    <w:p w14:paraId="79599507"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Si el sistema de accionamiento del alumbrado se realiza con interruptores horarios o fotoeléctricos, se dispondrá además de un interruptor manual que permita el accionamiento del sistema, con independencia de los dispositivos citados.</w:t>
      </w:r>
    </w:p>
    <w:p w14:paraId="7CB72DD2"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envolvente del cuadro proporcionará un grado de protección mínima establecido en la normativa vigente, y dispone de un sistema de cierre que permite el acceso exclusivo al mismo del personal autorizado.</w:t>
      </w:r>
    </w:p>
    <w:p w14:paraId="1A65C103"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elementos de medidas estarán situados en un módulo independiente.</w:t>
      </w:r>
    </w:p>
    <w:p w14:paraId="4CAA3CF9" w14:textId="77777777" w:rsidR="00773E1E" w:rsidRPr="0037448F" w:rsidRDefault="00773E1E" w:rsidP="000313DD">
      <w:pPr>
        <w:pStyle w:val="TITU2"/>
      </w:pPr>
      <w:bookmarkStart w:id="1356" w:name="_Toc533762592"/>
      <w:bookmarkStart w:id="1357" w:name="_Toc404685"/>
      <w:r w:rsidRPr="0037448F">
        <w:t>808.6. Recepción</w:t>
      </w:r>
      <w:bookmarkEnd w:id="1356"/>
      <w:bookmarkEnd w:id="135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7"/>
        <w:gridCol w:w="3187"/>
      </w:tblGrid>
      <w:tr w:rsidR="00773E1E" w:rsidRPr="00901FE5" w14:paraId="34914397" w14:textId="77777777" w:rsidTr="00276EC8">
        <w:tc>
          <w:tcPr>
            <w:tcW w:w="5457" w:type="dxa"/>
            <w:shd w:val="clear" w:color="auto" w:fill="D9D9D9" w:themeFill="background1" w:themeFillShade="D9"/>
            <w:vAlign w:val="center"/>
          </w:tcPr>
          <w:p w14:paraId="39F1EEBB" w14:textId="77777777" w:rsidR="00773E1E" w:rsidRPr="00901FE5" w:rsidRDefault="00773E1E" w:rsidP="00276EC8">
            <w:pPr>
              <w:spacing w:before="60" w:after="60" w:line="288" w:lineRule="auto"/>
              <w:jc w:val="center"/>
              <w:rPr>
                <w:rFonts w:ascii="Arial" w:hAnsi="Arial" w:cs="Arial"/>
                <w:b/>
                <w:sz w:val="20"/>
                <w:szCs w:val="20"/>
              </w:rPr>
            </w:pPr>
            <w:r w:rsidRPr="00901FE5">
              <w:rPr>
                <w:rFonts w:ascii="Arial" w:hAnsi="Arial" w:cs="Arial"/>
                <w:b/>
                <w:sz w:val="20"/>
                <w:szCs w:val="20"/>
              </w:rPr>
              <w:t>Parámetros de aceptación final</w:t>
            </w:r>
          </w:p>
        </w:tc>
        <w:tc>
          <w:tcPr>
            <w:tcW w:w="3187" w:type="dxa"/>
            <w:shd w:val="clear" w:color="auto" w:fill="D9D9D9" w:themeFill="background1" w:themeFillShade="D9"/>
            <w:vAlign w:val="center"/>
          </w:tcPr>
          <w:p w14:paraId="11604059" w14:textId="77777777" w:rsidR="00773E1E" w:rsidRPr="00901FE5" w:rsidRDefault="00773E1E" w:rsidP="00276EC8">
            <w:pPr>
              <w:spacing w:line="288" w:lineRule="auto"/>
              <w:jc w:val="center"/>
              <w:rPr>
                <w:rFonts w:ascii="Arial" w:hAnsi="Arial" w:cs="Arial"/>
                <w:b/>
                <w:sz w:val="20"/>
                <w:szCs w:val="20"/>
              </w:rPr>
            </w:pPr>
            <w:r w:rsidRPr="00901FE5">
              <w:rPr>
                <w:rFonts w:ascii="Arial" w:hAnsi="Arial" w:cs="Arial"/>
                <w:b/>
                <w:sz w:val="20"/>
                <w:szCs w:val="20"/>
              </w:rPr>
              <w:t>Normas de Aplicación</w:t>
            </w:r>
          </w:p>
        </w:tc>
      </w:tr>
      <w:tr w:rsidR="00773E1E" w:rsidRPr="00901FE5" w14:paraId="380D0BEB" w14:textId="77777777" w:rsidTr="00276EC8">
        <w:tc>
          <w:tcPr>
            <w:tcW w:w="5457" w:type="dxa"/>
          </w:tcPr>
          <w:p w14:paraId="43DAC69B" w14:textId="77777777" w:rsidR="00773E1E" w:rsidRPr="00901FE5" w:rsidRDefault="00773E1E" w:rsidP="00276EC8">
            <w:pPr>
              <w:spacing w:before="60" w:line="276" w:lineRule="auto"/>
              <w:rPr>
                <w:rFonts w:ascii="Arial" w:hAnsi="Arial" w:cs="Arial"/>
                <w:sz w:val="20"/>
                <w:szCs w:val="20"/>
              </w:rPr>
            </w:pPr>
            <w:r w:rsidRPr="00901FE5">
              <w:rPr>
                <w:rFonts w:ascii="Arial" w:hAnsi="Arial" w:cs="Arial"/>
                <w:sz w:val="20"/>
                <w:szCs w:val="20"/>
              </w:rPr>
              <w:t>Aislamiento de la instalación = 100 %</w:t>
            </w:r>
          </w:p>
          <w:p w14:paraId="3B01FE7A" w14:textId="77777777" w:rsidR="00773E1E" w:rsidRPr="00901FE5" w:rsidRDefault="00773E1E" w:rsidP="00276EC8">
            <w:pPr>
              <w:spacing w:before="60" w:line="276" w:lineRule="auto"/>
              <w:rPr>
                <w:rFonts w:ascii="Arial" w:hAnsi="Arial" w:cs="Arial"/>
                <w:sz w:val="20"/>
                <w:szCs w:val="20"/>
              </w:rPr>
            </w:pPr>
            <w:r w:rsidRPr="00901FE5">
              <w:rPr>
                <w:rFonts w:ascii="Arial" w:hAnsi="Arial" w:cs="Arial"/>
                <w:sz w:val="20"/>
                <w:szCs w:val="20"/>
              </w:rPr>
              <w:t>Resistencia a tierra = indicada en proyecto</w:t>
            </w:r>
          </w:p>
          <w:p w14:paraId="568C63D0" w14:textId="77777777" w:rsidR="00773E1E" w:rsidRPr="00901FE5" w:rsidRDefault="00773E1E" w:rsidP="00276EC8">
            <w:pPr>
              <w:spacing w:before="60" w:line="276" w:lineRule="auto"/>
              <w:rPr>
                <w:rFonts w:ascii="Arial" w:hAnsi="Arial" w:cs="Arial"/>
                <w:sz w:val="20"/>
                <w:szCs w:val="20"/>
              </w:rPr>
            </w:pPr>
            <w:r w:rsidRPr="00901FE5">
              <w:rPr>
                <w:rFonts w:ascii="Arial" w:hAnsi="Arial" w:cs="Arial"/>
                <w:sz w:val="20"/>
                <w:szCs w:val="20"/>
              </w:rPr>
              <w:t>Resistividad de los conductores = indicada en proyecto</w:t>
            </w:r>
          </w:p>
        </w:tc>
        <w:tc>
          <w:tcPr>
            <w:tcW w:w="3187" w:type="dxa"/>
          </w:tcPr>
          <w:p w14:paraId="62DE0611" w14:textId="77777777" w:rsidR="00773E1E" w:rsidRPr="00901FE5" w:rsidRDefault="00773E1E" w:rsidP="00276EC8">
            <w:pPr>
              <w:spacing w:before="60" w:after="60" w:line="276" w:lineRule="auto"/>
              <w:rPr>
                <w:rFonts w:ascii="Arial" w:hAnsi="Arial" w:cs="Arial"/>
                <w:sz w:val="20"/>
                <w:szCs w:val="20"/>
              </w:rPr>
            </w:pPr>
            <w:r w:rsidRPr="00901FE5">
              <w:rPr>
                <w:rFonts w:ascii="Arial" w:hAnsi="Arial" w:cs="Arial"/>
                <w:sz w:val="20"/>
                <w:szCs w:val="20"/>
              </w:rPr>
              <w:t>Prueba reguladora</w:t>
            </w:r>
          </w:p>
          <w:p w14:paraId="7A9B9C67" w14:textId="77777777" w:rsidR="00773E1E" w:rsidRPr="00901FE5" w:rsidRDefault="00773E1E" w:rsidP="00276EC8">
            <w:pPr>
              <w:spacing w:before="60" w:after="60" w:line="276" w:lineRule="auto"/>
              <w:rPr>
                <w:rFonts w:ascii="Arial" w:hAnsi="Arial" w:cs="Arial"/>
                <w:sz w:val="20"/>
                <w:szCs w:val="20"/>
              </w:rPr>
            </w:pPr>
            <w:r w:rsidRPr="00901FE5">
              <w:rPr>
                <w:rFonts w:ascii="Arial" w:hAnsi="Arial" w:cs="Arial"/>
                <w:sz w:val="20"/>
                <w:szCs w:val="20"/>
              </w:rPr>
              <w:t>Prueba reguladora</w:t>
            </w:r>
          </w:p>
          <w:p w14:paraId="3ECC20A4" w14:textId="77777777" w:rsidR="00773E1E" w:rsidRPr="00901FE5" w:rsidRDefault="00773E1E" w:rsidP="00276EC8">
            <w:pPr>
              <w:spacing w:before="60" w:after="60" w:line="276" w:lineRule="auto"/>
              <w:rPr>
                <w:rFonts w:ascii="Arial" w:hAnsi="Arial" w:cs="Arial"/>
                <w:sz w:val="20"/>
                <w:szCs w:val="20"/>
              </w:rPr>
            </w:pPr>
            <w:r w:rsidRPr="00901FE5">
              <w:rPr>
                <w:rFonts w:ascii="Arial" w:hAnsi="Arial" w:cs="Arial"/>
                <w:sz w:val="20"/>
                <w:szCs w:val="20"/>
              </w:rPr>
              <w:t>Prueba reguladora</w:t>
            </w:r>
          </w:p>
        </w:tc>
      </w:tr>
    </w:tbl>
    <w:p w14:paraId="678F1621" w14:textId="77777777" w:rsidR="00773E1E" w:rsidRPr="0037448F" w:rsidRDefault="00773E1E" w:rsidP="000313DD">
      <w:pPr>
        <w:pStyle w:val="TITU2"/>
      </w:pPr>
      <w:bookmarkStart w:id="1358" w:name="_Toc533762593"/>
      <w:bookmarkStart w:id="1359" w:name="_Toc404686"/>
      <w:r w:rsidRPr="0037448F">
        <w:t>808.7. Tratamiento de no conformidades</w:t>
      </w:r>
      <w:bookmarkEnd w:id="1358"/>
      <w:bookmarkEnd w:id="135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3896"/>
      </w:tblGrid>
      <w:tr w:rsidR="00773E1E" w:rsidRPr="00901FE5" w14:paraId="09B17CAD" w14:textId="77777777" w:rsidTr="00276EC8">
        <w:trPr>
          <w:tblHeader/>
        </w:trPr>
        <w:tc>
          <w:tcPr>
            <w:tcW w:w="4748" w:type="dxa"/>
            <w:shd w:val="clear" w:color="auto" w:fill="D9D9D9" w:themeFill="background1" w:themeFillShade="D9"/>
            <w:vAlign w:val="center"/>
          </w:tcPr>
          <w:p w14:paraId="7750CF12" w14:textId="77777777" w:rsidR="00773E1E" w:rsidRPr="00901FE5" w:rsidRDefault="00773E1E" w:rsidP="00276EC8">
            <w:pPr>
              <w:spacing w:before="60" w:after="60" w:line="288" w:lineRule="auto"/>
              <w:jc w:val="center"/>
              <w:rPr>
                <w:rFonts w:ascii="Arial" w:hAnsi="Arial" w:cs="Arial"/>
                <w:b/>
                <w:sz w:val="20"/>
                <w:szCs w:val="20"/>
              </w:rPr>
            </w:pPr>
            <w:r w:rsidRPr="00901FE5">
              <w:rPr>
                <w:rFonts w:ascii="Arial" w:hAnsi="Arial" w:cs="Arial"/>
                <w:b/>
                <w:sz w:val="20"/>
                <w:szCs w:val="20"/>
              </w:rPr>
              <w:t>No Conformidades</w:t>
            </w:r>
          </w:p>
        </w:tc>
        <w:tc>
          <w:tcPr>
            <w:tcW w:w="3896" w:type="dxa"/>
            <w:shd w:val="clear" w:color="auto" w:fill="D9D9D9" w:themeFill="background1" w:themeFillShade="D9"/>
            <w:vAlign w:val="center"/>
          </w:tcPr>
          <w:p w14:paraId="7224D2A2" w14:textId="77777777" w:rsidR="00773E1E" w:rsidRPr="00901FE5" w:rsidRDefault="00773E1E" w:rsidP="00276EC8">
            <w:pPr>
              <w:spacing w:before="60" w:after="60" w:line="288" w:lineRule="auto"/>
              <w:jc w:val="center"/>
              <w:rPr>
                <w:rFonts w:ascii="Arial" w:hAnsi="Arial" w:cs="Arial"/>
                <w:b/>
                <w:sz w:val="20"/>
                <w:szCs w:val="20"/>
              </w:rPr>
            </w:pPr>
            <w:r w:rsidRPr="00901FE5">
              <w:rPr>
                <w:rFonts w:ascii="Arial" w:hAnsi="Arial" w:cs="Arial"/>
                <w:b/>
                <w:sz w:val="20"/>
                <w:szCs w:val="20"/>
              </w:rPr>
              <w:t>Tratamiento</w:t>
            </w:r>
            <w:r>
              <w:rPr>
                <w:rFonts w:ascii="Arial" w:hAnsi="Arial" w:cs="Arial"/>
                <w:b/>
                <w:sz w:val="20"/>
                <w:szCs w:val="20"/>
              </w:rPr>
              <w:t xml:space="preserve"> de no conformidades</w:t>
            </w:r>
          </w:p>
        </w:tc>
      </w:tr>
      <w:tr w:rsidR="00773E1E" w:rsidRPr="00901FE5" w14:paraId="59501B90" w14:textId="77777777" w:rsidTr="00276EC8">
        <w:tc>
          <w:tcPr>
            <w:tcW w:w="4748" w:type="dxa"/>
          </w:tcPr>
          <w:p w14:paraId="7908BB02"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Aislamiento de la instalación = 100 %</w:t>
            </w:r>
          </w:p>
          <w:p w14:paraId="5EFB247A"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 xml:space="preserve">Aislamiento de la instalación ≠ 100 % </w:t>
            </w:r>
          </w:p>
        </w:tc>
        <w:tc>
          <w:tcPr>
            <w:tcW w:w="3896" w:type="dxa"/>
          </w:tcPr>
          <w:p w14:paraId="63B333C3"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Se acepta</w:t>
            </w:r>
          </w:p>
          <w:p w14:paraId="6CD598B4"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No se acepta, Se corregirá y los costos serán por cuenta del Contratista</w:t>
            </w:r>
          </w:p>
        </w:tc>
      </w:tr>
      <w:tr w:rsidR="00773E1E" w:rsidRPr="00901FE5" w14:paraId="4C2FC13C" w14:textId="77777777" w:rsidTr="00276EC8">
        <w:tc>
          <w:tcPr>
            <w:tcW w:w="4748" w:type="dxa"/>
          </w:tcPr>
          <w:p w14:paraId="713E4BFC" w14:textId="77777777" w:rsidR="00773E1E" w:rsidRPr="00901FE5" w:rsidRDefault="00773E1E" w:rsidP="00276EC8">
            <w:pPr>
              <w:spacing w:before="60" w:after="60" w:line="288" w:lineRule="auto"/>
              <w:rPr>
                <w:rFonts w:ascii="Arial" w:hAnsi="Arial" w:cs="Arial"/>
                <w:sz w:val="20"/>
                <w:szCs w:val="20"/>
              </w:rPr>
            </w:pPr>
            <w:r w:rsidRPr="00901FE5">
              <w:rPr>
                <w:rFonts w:ascii="Arial" w:hAnsi="Arial" w:cs="Arial"/>
                <w:sz w:val="20"/>
                <w:szCs w:val="20"/>
              </w:rPr>
              <w:t>Resistencia a tierra = indicada en proyecto</w:t>
            </w:r>
          </w:p>
          <w:p w14:paraId="7DF5F93B" w14:textId="77777777" w:rsidR="00773E1E" w:rsidRPr="00901FE5" w:rsidRDefault="00773E1E" w:rsidP="00276EC8">
            <w:pPr>
              <w:spacing w:before="60" w:after="60" w:line="288" w:lineRule="auto"/>
              <w:rPr>
                <w:rFonts w:ascii="Arial" w:hAnsi="Arial" w:cs="Arial"/>
                <w:sz w:val="20"/>
                <w:szCs w:val="20"/>
              </w:rPr>
            </w:pPr>
            <w:r w:rsidRPr="00901FE5">
              <w:rPr>
                <w:rFonts w:ascii="Arial" w:hAnsi="Arial" w:cs="Arial"/>
                <w:sz w:val="20"/>
                <w:szCs w:val="20"/>
              </w:rPr>
              <w:t>Resistencia a tierra &gt; indicada en proyecto</w:t>
            </w:r>
          </w:p>
          <w:p w14:paraId="606741D8" w14:textId="77777777" w:rsidR="00773E1E" w:rsidRPr="00901FE5" w:rsidRDefault="00773E1E" w:rsidP="00276EC8">
            <w:pPr>
              <w:spacing w:before="60" w:after="60" w:line="288" w:lineRule="auto"/>
              <w:rPr>
                <w:rFonts w:ascii="Arial" w:hAnsi="Arial" w:cs="Arial"/>
                <w:sz w:val="20"/>
                <w:szCs w:val="20"/>
              </w:rPr>
            </w:pPr>
          </w:p>
          <w:p w14:paraId="7455ED95" w14:textId="77777777" w:rsidR="00773E1E" w:rsidRPr="00901FE5" w:rsidRDefault="00773E1E" w:rsidP="00276EC8">
            <w:pPr>
              <w:spacing w:before="60" w:after="60" w:line="288" w:lineRule="auto"/>
              <w:rPr>
                <w:rFonts w:ascii="Arial" w:hAnsi="Arial" w:cs="Arial"/>
                <w:sz w:val="20"/>
                <w:szCs w:val="20"/>
              </w:rPr>
            </w:pPr>
            <w:r w:rsidRPr="00901FE5">
              <w:rPr>
                <w:rFonts w:ascii="Arial" w:hAnsi="Arial" w:cs="Arial"/>
                <w:sz w:val="20"/>
                <w:szCs w:val="20"/>
              </w:rPr>
              <w:t xml:space="preserve">Resistencia a tierra &lt; indicada en proyecto </w:t>
            </w:r>
          </w:p>
        </w:tc>
        <w:tc>
          <w:tcPr>
            <w:tcW w:w="3896" w:type="dxa"/>
          </w:tcPr>
          <w:p w14:paraId="1F885F79"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Se acepta</w:t>
            </w:r>
          </w:p>
          <w:p w14:paraId="4DC35FA0" w14:textId="77777777" w:rsidR="00773E1E" w:rsidRPr="00901FE5" w:rsidRDefault="00773E1E" w:rsidP="00276EC8">
            <w:pPr>
              <w:spacing w:before="60" w:line="288" w:lineRule="auto"/>
              <w:rPr>
                <w:rFonts w:ascii="Arial" w:hAnsi="Arial" w:cs="Arial"/>
                <w:sz w:val="20"/>
                <w:szCs w:val="20"/>
              </w:rPr>
            </w:pPr>
          </w:p>
          <w:p w14:paraId="5B385F94"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Se acepta sin incrementar el precio de la Unidad de Obra</w:t>
            </w:r>
          </w:p>
          <w:p w14:paraId="1CB7A488"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No se acepta, Se corregirá y los costos serán por cuenta del Contratista</w:t>
            </w:r>
          </w:p>
        </w:tc>
      </w:tr>
      <w:tr w:rsidR="00773E1E" w:rsidRPr="00901FE5" w14:paraId="7AF036D2" w14:textId="77777777" w:rsidTr="00276EC8">
        <w:tc>
          <w:tcPr>
            <w:tcW w:w="4748" w:type="dxa"/>
          </w:tcPr>
          <w:p w14:paraId="5F14EDBE"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Instalación = Proyecto</w:t>
            </w:r>
          </w:p>
          <w:p w14:paraId="40F16EC9"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 xml:space="preserve">Instalación </w:t>
            </w:r>
            <w:r w:rsidRPr="00901FE5">
              <w:rPr>
                <w:rFonts w:ascii="Arial" w:hAnsi="Arial" w:cs="Arial"/>
                <w:sz w:val="20"/>
                <w:szCs w:val="20"/>
              </w:rPr>
              <w:sym w:font="Symbol" w:char="F0B9"/>
            </w:r>
            <w:r w:rsidRPr="00901FE5">
              <w:rPr>
                <w:rFonts w:ascii="Arial" w:hAnsi="Arial" w:cs="Arial"/>
                <w:sz w:val="20"/>
                <w:szCs w:val="20"/>
              </w:rPr>
              <w:t xml:space="preserve"> Proyecto</w:t>
            </w:r>
          </w:p>
        </w:tc>
        <w:tc>
          <w:tcPr>
            <w:tcW w:w="3896" w:type="dxa"/>
          </w:tcPr>
          <w:p w14:paraId="0933E9EB"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 xml:space="preserve">Se acepta </w:t>
            </w:r>
          </w:p>
          <w:p w14:paraId="27A18822" w14:textId="77777777" w:rsidR="00773E1E" w:rsidRPr="00901FE5" w:rsidRDefault="00773E1E" w:rsidP="00276EC8">
            <w:pPr>
              <w:spacing w:before="60" w:after="60" w:line="288" w:lineRule="auto"/>
              <w:rPr>
                <w:rFonts w:ascii="Arial" w:hAnsi="Arial" w:cs="Arial"/>
                <w:sz w:val="20"/>
                <w:szCs w:val="20"/>
              </w:rPr>
            </w:pPr>
            <w:r w:rsidRPr="00901FE5">
              <w:rPr>
                <w:rFonts w:ascii="Arial" w:hAnsi="Arial" w:cs="Arial"/>
                <w:sz w:val="20"/>
                <w:szCs w:val="20"/>
              </w:rPr>
              <w:t>No se acepta, se corregirá y los gastos serán a cargo del Contratista</w:t>
            </w:r>
          </w:p>
        </w:tc>
      </w:tr>
      <w:tr w:rsidR="00773E1E" w:rsidRPr="00901FE5" w14:paraId="4CD59E98" w14:textId="77777777" w:rsidTr="00276EC8">
        <w:tc>
          <w:tcPr>
            <w:tcW w:w="4748" w:type="dxa"/>
          </w:tcPr>
          <w:p w14:paraId="6C741883" w14:textId="77777777" w:rsidR="00773E1E" w:rsidRPr="00901FE5" w:rsidRDefault="00773E1E" w:rsidP="00276EC8">
            <w:pPr>
              <w:spacing w:before="60" w:after="60" w:line="288" w:lineRule="auto"/>
              <w:rPr>
                <w:rFonts w:ascii="Arial" w:hAnsi="Arial" w:cs="Arial"/>
                <w:sz w:val="20"/>
                <w:szCs w:val="20"/>
              </w:rPr>
            </w:pPr>
            <w:r w:rsidRPr="00901FE5">
              <w:rPr>
                <w:rFonts w:ascii="Arial" w:hAnsi="Arial" w:cs="Arial"/>
                <w:sz w:val="20"/>
                <w:szCs w:val="20"/>
              </w:rPr>
              <w:t>Conductividad de los conductores = indicada en proyecto</w:t>
            </w:r>
          </w:p>
          <w:p w14:paraId="3CDD4E1B" w14:textId="77777777" w:rsidR="00773E1E" w:rsidRPr="00901FE5" w:rsidRDefault="00773E1E" w:rsidP="00276EC8">
            <w:pPr>
              <w:spacing w:before="60" w:after="60" w:line="288" w:lineRule="auto"/>
              <w:rPr>
                <w:rFonts w:ascii="Arial" w:hAnsi="Arial" w:cs="Arial"/>
                <w:sz w:val="20"/>
                <w:szCs w:val="20"/>
              </w:rPr>
            </w:pPr>
            <w:r w:rsidRPr="00901FE5">
              <w:rPr>
                <w:rFonts w:ascii="Arial" w:hAnsi="Arial" w:cs="Arial"/>
                <w:sz w:val="20"/>
                <w:szCs w:val="20"/>
              </w:rPr>
              <w:t>Conductividad de los conductores &gt; indicada en proyecto</w:t>
            </w:r>
          </w:p>
          <w:p w14:paraId="110A26AC"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Conductividad de los conductores&lt; indicada en proyecto</w:t>
            </w:r>
          </w:p>
          <w:p w14:paraId="4D7A4530" w14:textId="77777777" w:rsidR="00773E1E" w:rsidRPr="00901FE5" w:rsidRDefault="00773E1E" w:rsidP="00276EC8">
            <w:pPr>
              <w:spacing w:before="60" w:line="288" w:lineRule="auto"/>
              <w:rPr>
                <w:rFonts w:ascii="Arial" w:hAnsi="Arial" w:cs="Arial"/>
                <w:sz w:val="20"/>
                <w:szCs w:val="20"/>
              </w:rPr>
            </w:pPr>
          </w:p>
        </w:tc>
        <w:tc>
          <w:tcPr>
            <w:tcW w:w="3896" w:type="dxa"/>
          </w:tcPr>
          <w:p w14:paraId="66BD1ED2"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Se acepta</w:t>
            </w:r>
          </w:p>
          <w:p w14:paraId="00545D12" w14:textId="77777777" w:rsidR="00773E1E" w:rsidRPr="00901FE5" w:rsidRDefault="00773E1E" w:rsidP="00276EC8">
            <w:pPr>
              <w:spacing w:before="60" w:line="288" w:lineRule="auto"/>
              <w:rPr>
                <w:rFonts w:ascii="Arial" w:hAnsi="Arial" w:cs="Arial"/>
                <w:sz w:val="20"/>
                <w:szCs w:val="20"/>
              </w:rPr>
            </w:pPr>
          </w:p>
          <w:p w14:paraId="3F833BE7"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Se acepta sin incrementar el precio de la Unidad de Obra</w:t>
            </w:r>
          </w:p>
          <w:p w14:paraId="289DE7E2" w14:textId="77777777" w:rsidR="00773E1E" w:rsidRPr="00901FE5" w:rsidRDefault="00773E1E" w:rsidP="00276EC8">
            <w:pPr>
              <w:spacing w:before="60" w:line="288" w:lineRule="auto"/>
              <w:rPr>
                <w:rFonts w:ascii="Arial" w:hAnsi="Arial" w:cs="Arial"/>
                <w:sz w:val="20"/>
                <w:szCs w:val="20"/>
              </w:rPr>
            </w:pPr>
            <w:r w:rsidRPr="00901FE5">
              <w:rPr>
                <w:rFonts w:ascii="Arial" w:hAnsi="Arial" w:cs="Arial"/>
                <w:sz w:val="20"/>
                <w:szCs w:val="20"/>
              </w:rPr>
              <w:t>No se acepta, Se corregirá y los costos serán por cuenta del Contratista</w:t>
            </w:r>
          </w:p>
        </w:tc>
      </w:tr>
    </w:tbl>
    <w:p w14:paraId="3A3210B9" w14:textId="77777777" w:rsidR="00773E1E" w:rsidRDefault="00773E1E" w:rsidP="000313DD">
      <w:pPr>
        <w:pStyle w:val="TITU2"/>
      </w:pPr>
    </w:p>
    <w:p w14:paraId="2DB86B71" w14:textId="77777777" w:rsidR="00773E1E" w:rsidRPr="0037448F" w:rsidRDefault="00773E1E" w:rsidP="000313DD">
      <w:pPr>
        <w:pStyle w:val="TITU2"/>
      </w:pPr>
      <w:r>
        <w:br w:type="column"/>
      </w:r>
      <w:bookmarkStart w:id="1360" w:name="_Toc533762594"/>
      <w:bookmarkStart w:id="1361" w:name="_Toc404687"/>
      <w:r w:rsidRPr="0037448F">
        <w:lastRenderedPageBreak/>
        <w:t>808.8. Control de calidad</w:t>
      </w:r>
      <w:bookmarkEnd w:id="1360"/>
      <w:bookmarkEnd w:id="1361"/>
    </w:p>
    <w:p w14:paraId="16FE868D" w14:textId="77777777" w:rsidR="00773E1E" w:rsidRPr="00E62154" w:rsidRDefault="00773E1E" w:rsidP="00773E1E">
      <w:pPr>
        <w:rPr>
          <w:rFonts w:ascii="Arial" w:hAnsi="Arial" w:cs="Arial"/>
        </w:rPr>
      </w:pPr>
      <w:r w:rsidRPr="00E62154">
        <w:rPr>
          <w:rFonts w:ascii="Arial" w:hAnsi="Arial" w:cs="Arial"/>
        </w:rPr>
        <w:t>Se realiza según la normativa vigente:</w:t>
      </w:r>
    </w:p>
    <w:p w14:paraId="3D7C810D" w14:textId="77777777" w:rsidR="00773E1E" w:rsidRPr="00E62154" w:rsidRDefault="00773E1E" w:rsidP="00773E1E">
      <w:pPr>
        <w:rPr>
          <w:rFonts w:ascii="Arial" w:hAnsi="Arial" w:cs="Arial"/>
        </w:rPr>
      </w:pP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2126"/>
        <w:gridCol w:w="2835"/>
      </w:tblGrid>
      <w:tr w:rsidR="00773E1E" w:rsidRPr="00901FE5" w14:paraId="51A16596" w14:textId="77777777" w:rsidTr="00276EC8">
        <w:tc>
          <w:tcPr>
            <w:tcW w:w="2835" w:type="dxa"/>
            <w:shd w:val="clear" w:color="auto" w:fill="D9D9D9" w:themeFill="background1" w:themeFillShade="D9"/>
          </w:tcPr>
          <w:p w14:paraId="6C6FA18B" w14:textId="77777777" w:rsidR="00773E1E" w:rsidRPr="00901FE5" w:rsidRDefault="00773E1E" w:rsidP="00276EC8">
            <w:pPr>
              <w:spacing w:before="60" w:after="60" w:line="288" w:lineRule="auto"/>
              <w:jc w:val="center"/>
              <w:rPr>
                <w:rFonts w:ascii="Arial" w:hAnsi="Arial" w:cs="Arial"/>
                <w:b/>
                <w:sz w:val="18"/>
                <w:szCs w:val="18"/>
              </w:rPr>
            </w:pPr>
            <w:r w:rsidRPr="00901FE5">
              <w:rPr>
                <w:rFonts w:ascii="Arial" w:hAnsi="Arial" w:cs="Arial"/>
                <w:b/>
                <w:sz w:val="18"/>
                <w:szCs w:val="18"/>
              </w:rPr>
              <w:t>E</w:t>
            </w:r>
            <w:r>
              <w:rPr>
                <w:rFonts w:ascii="Arial" w:hAnsi="Arial" w:cs="Arial"/>
                <w:b/>
                <w:sz w:val="18"/>
                <w:szCs w:val="18"/>
              </w:rPr>
              <w:t>nsayo</w:t>
            </w:r>
          </w:p>
        </w:tc>
        <w:tc>
          <w:tcPr>
            <w:tcW w:w="2126" w:type="dxa"/>
            <w:shd w:val="clear" w:color="auto" w:fill="D9D9D9" w:themeFill="background1" w:themeFillShade="D9"/>
          </w:tcPr>
          <w:p w14:paraId="119538D3" w14:textId="77777777" w:rsidR="00773E1E" w:rsidRPr="00901FE5" w:rsidRDefault="00773E1E" w:rsidP="00276EC8">
            <w:pPr>
              <w:spacing w:before="60" w:after="60" w:line="288" w:lineRule="auto"/>
              <w:jc w:val="center"/>
              <w:rPr>
                <w:rFonts w:ascii="Arial" w:hAnsi="Arial" w:cs="Arial"/>
                <w:b/>
                <w:sz w:val="18"/>
                <w:szCs w:val="18"/>
              </w:rPr>
            </w:pPr>
            <w:r w:rsidRPr="00901FE5">
              <w:rPr>
                <w:rFonts w:ascii="Arial" w:hAnsi="Arial" w:cs="Arial"/>
                <w:b/>
                <w:sz w:val="18"/>
                <w:szCs w:val="18"/>
              </w:rPr>
              <w:t>N</w:t>
            </w:r>
            <w:r>
              <w:rPr>
                <w:rFonts w:ascii="Arial" w:hAnsi="Arial" w:cs="Arial"/>
                <w:b/>
                <w:sz w:val="18"/>
                <w:szCs w:val="18"/>
              </w:rPr>
              <w:t>orma</w:t>
            </w:r>
          </w:p>
        </w:tc>
        <w:tc>
          <w:tcPr>
            <w:tcW w:w="2835" w:type="dxa"/>
            <w:shd w:val="clear" w:color="auto" w:fill="D9D9D9" w:themeFill="background1" w:themeFillShade="D9"/>
          </w:tcPr>
          <w:p w14:paraId="24B1BCB6" w14:textId="77777777" w:rsidR="00773E1E" w:rsidRPr="00901FE5" w:rsidRDefault="00773E1E" w:rsidP="00276EC8">
            <w:pPr>
              <w:spacing w:before="60" w:after="60" w:line="288" w:lineRule="auto"/>
              <w:jc w:val="center"/>
              <w:rPr>
                <w:rFonts w:ascii="Arial" w:hAnsi="Arial" w:cs="Arial"/>
                <w:b/>
                <w:sz w:val="18"/>
                <w:szCs w:val="18"/>
              </w:rPr>
            </w:pPr>
            <w:r w:rsidRPr="00901FE5">
              <w:rPr>
                <w:rFonts w:ascii="Arial" w:hAnsi="Arial" w:cs="Arial"/>
                <w:b/>
                <w:sz w:val="18"/>
                <w:szCs w:val="18"/>
              </w:rPr>
              <w:t>F</w:t>
            </w:r>
            <w:r>
              <w:rPr>
                <w:rFonts w:ascii="Arial" w:hAnsi="Arial" w:cs="Arial"/>
                <w:b/>
                <w:sz w:val="18"/>
                <w:szCs w:val="18"/>
              </w:rPr>
              <w:t>recuencia</w:t>
            </w:r>
          </w:p>
        </w:tc>
      </w:tr>
      <w:tr w:rsidR="00773E1E" w:rsidRPr="00901FE5" w14:paraId="06A69BC7" w14:textId="77777777" w:rsidTr="00276EC8">
        <w:tc>
          <w:tcPr>
            <w:tcW w:w="2835" w:type="dxa"/>
            <w:vAlign w:val="center"/>
          </w:tcPr>
          <w:p w14:paraId="37C312AB" w14:textId="77777777" w:rsidR="00773E1E" w:rsidRPr="00901FE5" w:rsidRDefault="00773E1E" w:rsidP="004D29D5">
            <w:pPr>
              <w:spacing w:before="60" w:line="288" w:lineRule="auto"/>
              <w:rPr>
                <w:rFonts w:ascii="Arial" w:hAnsi="Arial" w:cs="Arial"/>
                <w:sz w:val="18"/>
                <w:szCs w:val="18"/>
                <w:lang w:eastAsia="en-US"/>
              </w:rPr>
            </w:pPr>
            <w:r w:rsidRPr="00901FE5">
              <w:rPr>
                <w:rFonts w:ascii="Arial" w:hAnsi="Arial" w:cs="Arial"/>
                <w:sz w:val="18"/>
                <w:szCs w:val="18"/>
                <w:lang w:eastAsia="en-US"/>
              </w:rPr>
              <w:t>Certificado Fabricante</w:t>
            </w:r>
          </w:p>
          <w:p w14:paraId="51B00888" w14:textId="77777777" w:rsidR="00773E1E" w:rsidRPr="00901FE5" w:rsidRDefault="00773E1E" w:rsidP="004D29D5">
            <w:pPr>
              <w:spacing w:after="60" w:line="288" w:lineRule="auto"/>
              <w:rPr>
                <w:rFonts w:ascii="Arial" w:hAnsi="Arial" w:cs="Arial"/>
                <w:sz w:val="18"/>
                <w:szCs w:val="18"/>
                <w:lang w:eastAsia="en-US"/>
              </w:rPr>
            </w:pPr>
            <w:r w:rsidRPr="00901FE5">
              <w:rPr>
                <w:rFonts w:ascii="Arial" w:hAnsi="Arial" w:cs="Arial"/>
                <w:sz w:val="18"/>
                <w:szCs w:val="18"/>
                <w:lang w:eastAsia="en-US"/>
              </w:rPr>
              <w:t xml:space="preserve">Sello de Calidad </w:t>
            </w:r>
          </w:p>
        </w:tc>
        <w:tc>
          <w:tcPr>
            <w:tcW w:w="2126" w:type="dxa"/>
            <w:vAlign w:val="center"/>
          </w:tcPr>
          <w:p w14:paraId="69441E26" w14:textId="77777777" w:rsidR="00773E1E" w:rsidRPr="00901FE5" w:rsidRDefault="00773E1E" w:rsidP="00276EC8">
            <w:pPr>
              <w:spacing w:after="60" w:line="288" w:lineRule="auto"/>
              <w:jc w:val="center"/>
              <w:rPr>
                <w:rFonts w:ascii="Arial" w:hAnsi="Arial" w:cs="Arial"/>
                <w:sz w:val="18"/>
                <w:szCs w:val="18"/>
                <w:lang w:eastAsia="en-US"/>
              </w:rPr>
            </w:pPr>
            <w:r w:rsidRPr="00901FE5">
              <w:rPr>
                <w:rFonts w:ascii="Arial" w:hAnsi="Arial" w:cs="Arial"/>
                <w:sz w:val="18"/>
                <w:szCs w:val="18"/>
                <w:lang w:eastAsia="en-US"/>
              </w:rPr>
              <w:t>----------</w:t>
            </w:r>
          </w:p>
        </w:tc>
        <w:tc>
          <w:tcPr>
            <w:tcW w:w="2835" w:type="dxa"/>
            <w:vAlign w:val="center"/>
          </w:tcPr>
          <w:p w14:paraId="7545825A" w14:textId="77777777" w:rsidR="00773E1E" w:rsidRPr="00901FE5" w:rsidRDefault="00773E1E" w:rsidP="00276EC8">
            <w:pPr>
              <w:spacing w:before="60" w:after="60" w:line="288" w:lineRule="auto"/>
              <w:jc w:val="center"/>
              <w:rPr>
                <w:rFonts w:ascii="Arial" w:hAnsi="Arial" w:cs="Arial"/>
                <w:sz w:val="18"/>
                <w:szCs w:val="18"/>
                <w:lang w:eastAsia="en-US"/>
              </w:rPr>
            </w:pPr>
            <w:r w:rsidRPr="00901FE5">
              <w:rPr>
                <w:rFonts w:ascii="Arial" w:hAnsi="Arial" w:cs="Arial"/>
                <w:sz w:val="18"/>
                <w:szCs w:val="18"/>
                <w:lang w:eastAsia="en-US"/>
              </w:rPr>
              <w:t>Por unidad</w:t>
            </w:r>
          </w:p>
        </w:tc>
      </w:tr>
      <w:tr w:rsidR="00773E1E" w:rsidRPr="00901FE5" w14:paraId="25A1EF19" w14:textId="77777777" w:rsidTr="00276EC8">
        <w:tc>
          <w:tcPr>
            <w:tcW w:w="2835" w:type="dxa"/>
            <w:vAlign w:val="center"/>
          </w:tcPr>
          <w:p w14:paraId="40B2D61E" w14:textId="77777777" w:rsidR="00773E1E" w:rsidRPr="00901FE5" w:rsidRDefault="00773E1E" w:rsidP="004D29D5">
            <w:pPr>
              <w:spacing w:before="60" w:after="60" w:line="288" w:lineRule="auto"/>
              <w:rPr>
                <w:rFonts w:ascii="Arial" w:hAnsi="Arial" w:cs="Arial"/>
                <w:sz w:val="18"/>
                <w:szCs w:val="18"/>
                <w:lang w:eastAsia="en-US"/>
              </w:rPr>
            </w:pPr>
            <w:r w:rsidRPr="00901FE5">
              <w:rPr>
                <w:rFonts w:ascii="Arial" w:hAnsi="Arial" w:cs="Arial"/>
                <w:sz w:val="18"/>
                <w:szCs w:val="18"/>
                <w:lang w:eastAsia="en-US"/>
              </w:rPr>
              <w:t>Muestreo geométrico y terminación</w:t>
            </w:r>
          </w:p>
        </w:tc>
        <w:tc>
          <w:tcPr>
            <w:tcW w:w="2126" w:type="dxa"/>
            <w:vAlign w:val="center"/>
          </w:tcPr>
          <w:p w14:paraId="27CD18EA" w14:textId="77777777" w:rsidR="00773E1E" w:rsidRPr="00901FE5" w:rsidRDefault="00773E1E" w:rsidP="00276EC8">
            <w:pPr>
              <w:spacing w:before="60" w:after="60" w:line="288" w:lineRule="auto"/>
              <w:jc w:val="center"/>
              <w:rPr>
                <w:rFonts w:ascii="Arial" w:hAnsi="Arial" w:cs="Arial"/>
                <w:sz w:val="18"/>
                <w:szCs w:val="18"/>
                <w:lang w:eastAsia="en-US"/>
              </w:rPr>
            </w:pPr>
            <w:r w:rsidRPr="00901FE5">
              <w:rPr>
                <w:rFonts w:ascii="Arial" w:hAnsi="Arial" w:cs="Arial"/>
                <w:sz w:val="18"/>
                <w:szCs w:val="18"/>
                <w:lang w:eastAsia="en-US"/>
              </w:rPr>
              <w:t>----------</w:t>
            </w:r>
          </w:p>
        </w:tc>
        <w:tc>
          <w:tcPr>
            <w:tcW w:w="2835" w:type="dxa"/>
            <w:vAlign w:val="center"/>
          </w:tcPr>
          <w:p w14:paraId="02417E96" w14:textId="77777777" w:rsidR="00773E1E" w:rsidRPr="00901FE5" w:rsidRDefault="00773E1E" w:rsidP="00276EC8">
            <w:pPr>
              <w:spacing w:before="60" w:after="60" w:line="288" w:lineRule="auto"/>
              <w:jc w:val="center"/>
              <w:rPr>
                <w:rFonts w:ascii="Arial" w:hAnsi="Arial" w:cs="Arial"/>
                <w:sz w:val="18"/>
                <w:szCs w:val="18"/>
                <w:lang w:eastAsia="en-US"/>
              </w:rPr>
            </w:pPr>
            <w:r w:rsidRPr="00901FE5">
              <w:rPr>
                <w:rFonts w:ascii="Arial" w:hAnsi="Arial" w:cs="Arial"/>
                <w:sz w:val="18"/>
                <w:szCs w:val="18"/>
                <w:lang w:eastAsia="en-US"/>
              </w:rPr>
              <w:t>Por unidad</w:t>
            </w:r>
          </w:p>
        </w:tc>
      </w:tr>
    </w:tbl>
    <w:p w14:paraId="505E6B2C" w14:textId="77777777" w:rsidR="00773E1E" w:rsidRPr="00E62154" w:rsidRDefault="00773E1E" w:rsidP="00773E1E">
      <w:pPr>
        <w:suppressAutoHyphens/>
        <w:spacing w:before="120" w:after="120" w:line="360" w:lineRule="auto"/>
        <w:jc w:val="both"/>
        <w:rPr>
          <w:rFonts w:ascii="Arial" w:hAnsi="Arial" w:cs="Arial"/>
          <w:lang w:val="es-ES_tradnl" w:eastAsia="en-US"/>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10"/>
        <w:gridCol w:w="3060"/>
      </w:tblGrid>
      <w:tr w:rsidR="00773E1E" w:rsidRPr="00901FE5" w14:paraId="4D4F919D" w14:textId="77777777" w:rsidTr="00276EC8">
        <w:tc>
          <w:tcPr>
            <w:tcW w:w="6010" w:type="dxa"/>
            <w:shd w:val="clear" w:color="auto" w:fill="D9D9D9" w:themeFill="background1" w:themeFillShade="D9"/>
            <w:vAlign w:val="center"/>
          </w:tcPr>
          <w:p w14:paraId="514266B4" w14:textId="77777777" w:rsidR="00773E1E" w:rsidRPr="00901FE5" w:rsidRDefault="00773E1E" w:rsidP="00276EC8">
            <w:pPr>
              <w:suppressAutoHyphens/>
              <w:spacing w:before="120" w:after="120" w:line="360" w:lineRule="auto"/>
              <w:jc w:val="center"/>
              <w:rPr>
                <w:rFonts w:ascii="Arial" w:hAnsi="Arial" w:cs="Arial"/>
                <w:b/>
                <w:sz w:val="20"/>
                <w:szCs w:val="20"/>
                <w:lang w:val="es-ES_tradnl" w:eastAsia="en-US"/>
              </w:rPr>
            </w:pPr>
            <w:r w:rsidRPr="00901FE5">
              <w:rPr>
                <w:rFonts w:ascii="Arial" w:hAnsi="Arial" w:cs="Arial"/>
                <w:b/>
                <w:sz w:val="20"/>
                <w:szCs w:val="20"/>
                <w:lang w:val="es-ES_tradnl" w:eastAsia="en-US"/>
              </w:rPr>
              <w:t>Parámetros exigidos</w:t>
            </w:r>
          </w:p>
        </w:tc>
        <w:tc>
          <w:tcPr>
            <w:tcW w:w="3060" w:type="dxa"/>
            <w:shd w:val="clear" w:color="auto" w:fill="D9D9D9" w:themeFill="background1" w:themeFillShade="D9"/>
            <w:vAlign w:val="center"/>
          </w:tcPr>
          <w:p w14:paraId="7B6ADA8F" w14:textId="77777777" w:rsidR="00773E1E" w:rsidRPr="00901FE5" w:rsidRDefault="00773E1E" w:rsidP="00276EC8">
            <w:pPr>
              <w:suppressAutoHyphens/>
              <w:spacing w:before="120" w:after="120" w:line="360" w:lineRule="auto"/>
              <w:jc w:val="center"/>
              <w:rPr>
                <w:rFonts w:ascii="Arial" w:hAnsi="Arial" w:cs="Arial"/>
                <w:b/>
                <w:sz w:val="20"/>
                <w:szCs w:val="20"/>
                <w:lang w:val="es-ES_tradnl" w:eastAsia="en-US"/>
              </w:rPr>
            </w:pPr>
            <w:r w:rsidRPr="00901FE5">
              <w:rPr>
                <w:rFonts w:ascii="Arial" w:hAnsi="Arial" w:cs="Arial"/>
                <w:b/>
                <w:sz w:val="20"/>
                <w:szCs w:val="20"/>
                <w:lang w:val="es-ES_tradnl" w:eastAsia="en-US"/>
              </w:rPr>
              <w:t>Normas de Aplicación</w:t>
            </w:r>
          </w:p>
        </w:tc>
      </w:tr>
      <w:tr w:rsidR="00773E1E" w:rsidRPr="00901FE5" w14:paraId="488EE4D4" w14:textId="77777777" w:rsidTr="00276EC8">
        <w:tc>
          <w:tcPr>
            <w:tcW w:w="6010" w:type="dxa"/>
          </w:tcPr>
          <w:p w14:paraId="00922302"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Cobre, en conductores, electrolítico con doble capa de aislamiento</w:t>
            </w:r>
          </w:p>
          <w:p w14:paraId="0155B795"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Tuberías Polietileno (canalizaciones, tubos protectores …)</w:t>
            </w:r>
          </w:p>
          <w:p w14:paraId="507076EB"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Contenido en impurezas &lt; 1%</w:t>
            </w:r>
          </w:p>
          <w:p w14:paraId="058EE5A9"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Contracción longitudinal &lt; 5%</w:t>
            </w:r>
          </w:p>
          <w:p w14:paraId="560D25D0"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Resistencia a tracción &gt; 500 kg/cm</w:t>
            </w:r>
            <w:r w:rsidRPr="00901FE5">
              <w:rPr>
                <w:rFonts w:ascii="Arial" w:hAnsi="Arial" w:cs="Arial"/>
                <w:sz w:val="20"/>
                <w:szCs w:val="20"/>
                <w:vertAlign w:val="superscript"/>
                <w:lang w:val="es-ES_tradnl" w:eastAsia="en-US"/>
              </w:rPr>
              <w:t>2</w:t>
            </w:r>
          </w:p>
        </w:tc>
        <w:tc>
          <w:tcPr>
            <w:tcW w:w="3060" w:type="dxa"/>
          </w:tcPr>
          <w:p w14:paraId="517076DA"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Reglamento electrotécnico de baja tensión.</w:t>
            </w:r>
          </w:p>
          <w:p w14:paraId="628C5E50"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p>
          <w:p w14:paraId="3E0B0A17"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Normas UNE</w:t>
            </w:r>
          </w:p>
        </w:tc>
      </w:tr>
    </w:tbl>
    <w:p w14:paraId="2CED7601" w14:textId="77777777" w:rsidR="00773E1E" w:rsidRPr="00E62154" w:rsidRDefault="00773E1E" w:rsidP="00773E1E">
      <w:pPr>
        <w:suppressAutoHyphens/>
        <w:spacing w:before="120" w:after="120" w:line="360" w:lineRule="auto"/>
        <w:jc w:val="both"/>
        <w:rPr>
          <w:rFonts w:ascii="Arial" w:hAnsi="Arial" w:cs="Arial"/>
          <w:lang w:val="es-ES_tradnl" w:eastAsia="en-US"/>
        </w:rPr>
      </w:pPr>
    </w:p>
    <w:p w14:paraId="2CD4C7CD"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Para el control de calidad de ejecución, es competencia del instalador el suministro, montaje y puesta en servicio de todos los elementos de acuerdo con las características técnicas prescritas por la compañía suministradora y la normativa vigente. Realizará además los controles y verificación de parámetros que seguidamente se indican:</w:t>
      </w:r>
      <w:r w:rsidRPr="00E62154">
        <w:rPr>
          <w:rFonts w:ascii="Arial" w:hAnsi="Arial" w:cs="Arial"/>
          <w:lang w:val="es-ES_tradnl" w:eastAsia="en-US"/>
        </w:rPr>
        <w:br w:type="column"/>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72"/>
        <w:gridCol w:w="2898"/>
      </w:tblGrid>
      <w:tr w:rsidR="00773E1E" w:rsidRPr="00901FE5" w14:paraId="3EA88624" w14:textId="77777777" w:rsidTr="00276EC8">
        <w:trPr>
          <w:tblHeader/>
        </w:trPr>
        <w:tc>
          <w:tcPr>
            <w:tcW w:w="5882" w:type="dxa"/>
            <w:shd w:val="clear" w:color="auto" w:fill="D9D9D9" w:themeFill="background1" w:themeFillShade="D9"/>
            <w:vAlign w:val="center"/>
          </w:tcPr>
          <w:p w14:paraId="7A01C93A" w14:textId="77777777" w:rsidR="00773E1E" w:rsidRPr="00901FE5" w:rsidRDefault="00773E1E" w:rsidP="00276EC8">
            <w:pPr>
              <w:suppressAutoHyphens/>
              <w:spacing w:before="120" w:after="120" w:line="360" w:lineRule="auto"/>
              <w:jc w:val="center"/>
              <w:rPr>
                <w:rFonts w:ascii="Arial" w:hAnsi="Arial" w:cs="Arial"/>
                <w:b/>
                <w:sz w:val="20"/>
                <w:szCs w:val="20"/>
                <w:lang w:val="es-ES_tradnl" w:eastAsia="en-US"/>
              </w:rPr>
            </w:pPr>
            <w:r w:rsidRPr="00901FE5">
              <w:rPr>
                <w:rFonts w:ascii="Arial" w:hAnsi="Arial" w:cs="Arial"/>
                <w:b/>
                <w:sz w:val="20"/>
                <w:szCs w:val="20"/>
                <w:lang w:val="es-ES_tradnl" w:eastAsia="en-US"/>
              </w:rPr>
              <w:t>Parámetros exigidos</w:t>
            </w:r>
          </w:p>
        </w:tc>
        <w:tc>
          <w:tcPr>
            <w:tcW w:w="2762" w:type="dxa"/>
            <w:shd w:val="clear" w:color="auto" w:fill="D9D9D9" w:themeFill="background1" w:themeFillShade="D9"/>
            <w:vAlign w:val="center"/>
          </w:tcPr>
          <w:p w14:paraId="3191BA65" w14:textId="77777777" w:rsidR="00773E1E" w:rsidRPr="00901FE5" w:rsidRDefault="00773E1E" w:rsidP="00276EC8">
            <w:pPr>
              <w:suppressAutoHyphens/>
              <w:spacing w:before="120" w:after="120" w:line="360" w:lineRule="auto"/>
              <w:jc w:val="center"/>
              <w:rPr>
                <w:rFonts w:ascii="Arial" w:hAnsi="Arial" w:cs="Arial"/>
                <w:b/>
                <w:sz w:val="20"/>
                <w:szCs w:val="20"/>
                <w:lang w:val="es-ES_tradnl" w:eastAsia="en-US"/>
              </w:rPr>
            </w:pPr>
            <w:r w:rsidRPr="00901FE5">
              <w:rPr>
                <w:rFonts w:ascii="Arial" w:hAnsi="Arial" w:cs="Arial"/>
                <w:b/>
                <w:sz w:val="20"/>
                <w:szCs w:val="20"/>
                <w:lang w:val="es-ES_tradnl" w:eastAsia="en-US"/>
              </w:rPr>
              <w:t>Normas de Aplicación</w:t>
            </w:r>
          </w:p>
        </w:tc>
      </w:tr>
      <w:tr w:rsidR="00773E1E" w:rsidRPr="00901FE5" w14:paraId="0BEB7134" w14:textId="77777777" w:rsidTr="00276EC8">
        <w:tc>
          <w:tcPr>
            <w:tcW w:w="5882" w:type="dxa"/>
          </w:tcPr>
          <w:p w14:paraId="622ED790"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Conductores</w:t>
            </w:r>
          </w:p>
          <w:p w14:paraId="3A1089E7"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Cobre con tensión nominal de las líneas repartidoras = 1000 V</w:t>
            </w:r>
          </w:p>
          <w:p w14:paraId="27872D8C"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Secciones circuitos:</w:t>
            </w:r>
          </w:p>
          <w:p w14:paraId="07EB2A68"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 xml:space="preserve"> A puntos de luz ≥ 1,5 mm</w:t>
            </w:r>
            <w:r w:rsidRPr="00901FE5">
              <w:rPr>
                <w:rFonts w:ascii="Arial" w:hAnsi="Arial" w:cs="Arial"/>
                <w:sz w:val="20"/>
                <w:szCs w:val="20"/>
                <w:vertAlign w:val="superscript"/>
                <w:lang w:val="es-ES_tradnl" w:eastAsia="en-US"/>
              </w:rPr>
              <w:t>2</w:t>
            </w:r>
          </w:p>
          <w:p w14:paraId="63C68363"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 xml:space="preserve"> A tomas de corriente ≥ 2,5 mm</w:t>
            </w:r>
            <w:r w:rsidRPr="00901FE5">
              <w:rPr>
                <w:rFonts w:ascii="Arial" w:hAnsi="Arial" w:cs="Arial"/>
                <w:sz w:val="20"/>
                <w:szCs w:val="20"/>
                <w:vertAlign w:val="superscript"/>
                <w:lang w:val="es-ES_tradnl" w:eastAsia="en-US"/>
              </w:rPr>
              <w:t>2</w:t>
            </w:r>
          </w:p>
          <w:p w14:paraId="51AB623A"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 xml:space="preserve"> Conductores de protección ≥ fijada en norma</w:t>
            </w:r>
          </w:p>
          <w:p w14:paraId="36E42F2D"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Conexiones entre conductores se realizarán en cajas de material aislante</w:t>
            </w:r>
          </w:p>
          <w:p w14:paraId="6AF29E99"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Intensidad nominal en los interruptores automáticos = 10 A</w:t>
            </w:r>
          </w:p>
          <w:p w14:paraId="78BB37D5"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sym w:font="Symbol" w:char="F066"/>
            </w:r>
            <w:r w:rsidRPr="00901FE5">
              <w:rPr>
                <w:rFonts w:ascii="Arial" w:hAnsi="Arial" w:cs="Arial"/>
                <w:sz w:val="20"/>
                <w:szCs w:val="20"/>
                <w:lang w:val="es-ES_tradnl" w:eastAsia="en-US"/>
              </w:rPr>
              <w:t xml:space="preserve"> de los conductores de protección en función de los </w:t>
            </w:r>
            <w:r w:rsidRPr="00901FE5">
              <w:rPr>
                <w:rFonts w:ascii="Arial" w:hAnsi="Arial" w:cs="Arial"/>
                <w:sz w:val="20"/>
                <w:szCs w:val="20"/>
                <w:lang w:val="es-ES_tradnl" w:eastAsia="en-US"/>
              </w:rPr>
              <w:sym w:font="Symbol" w:char="F066"/>
            </w:r>
            <w:r w:rsidRPr="00901FE5">
              <w:rPr>
                <w:rFonts w:ascii="Arial" w:hAnsi="Arial" w:cs="Arial"/>
                <w:sz w:val="20"/>
                <w:szCs w:val="20"/>
                <w:lang w:val="es-ES_tradnl" w:eastAsia="en-US"/>
              </w:rPr>
              <w:t xml:space="preserve"> conductores activos según la Instrucción</w:t>
            </w:r>
          </w:p>
          <w:p w14:paraId="4159E814"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Tubos protectores de polietileno</w:t>
            </w:r>
          </w:p>
          <w:p w14:paraId="3129314A"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sym w:font="Symbol" w:char="F066"/>
            </w:r>
            <w:r w:rsidRPr="00901FE5">
              <w:rPr>
                <w:rFonts w:ascii="Arial" w:hAnsi="Arial" w:cs="Arial"/>
                <w:sz w:val="20"/>
                <w:szCs w:val="20"/>
                <w:lang w:val="es-ES_tradnl" w:eastAsia="en-US"/>
              </w:rPr>
              <w:t xml:space="preserve"> interior ≥ 3</w:t>
            </w:r>
            <w:r w:rsidRPr="00901FE5">
              <w:rPr>
                <w:rFonts w:ascii="Arial" w:hAnsi="Arial" w:cs="Arial"/>
                <w:sz w:val="20"/>
                <w:szCs w:val="20"/>
                <w:lang w:val="es-ES_tradnl" w:eastAsia="en-US"/>
              </w:rPr>
              <w:sym w:font="Symbol" w:char="F066"/>
            </w:r>
            <w:r w:rsidRPr="00901FE5">
              <w:rPr>
                <w:rFonts w:ascii="Arial" w:hAnsi="Arial" w:cs="Arial"/>
                <w:sz w:val="20"/>
                <w:szCs w:val="20"/>
                <w:lang w:val="es-ES_tradnl" w:eastAsia="en-US"/>
              </w:rPr>
              <w:t xml:space="preserve"> exterior de los conductores de protección</w:t>
            </w:r>
          </w:p>
          <w:p w14:paraId="1454BE8D"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deformación = 0% para temperatura &gt; 60º</w:t>
            </w:r>
          </w:p>
          <w:p w14:paraId="121ED276"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distancia entre registros ≤ 15 m</w:t>
            </w:r>
          </w:p>
          <w:p w14:paraId="437CA4ED"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Cajas de empalme y derivación</w:t>
            </w:r>
          </w:p>
          <w:p w14:paraId="1FCFEA72"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Material 100% aislante</w:t>
            </w:r>
          </w:p>
          <w:p w14:paraId="0661E2CC"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Profundidad caja &gt; 400 mm y 1,5</w:t>
            </w:r>
            <w:r w:rsidRPr="00901FE5">
              <w:rPr>
                <w:rFonts w:ascii="Arial" w:hAnsi="Arial" w:cs="Arial"/>
                <w:sz w:val="20"/>
                <w:szCs w:val="20"/>
                <w:lang w:val="es-ES_tradnl" w:eastAsia="en-US"/>
              </w:rPr>
              <w:sym w:font="Symbol" w:char="F066"/>
            </w:r>
            <w:r w:rsidRPr="00901FE5">
              <w:rPr>
                <w:rFonts w:ascii="Arial" w:hAnsi="Arial" w:cs="Arial"/>
                <w:sz w:val="20"/>
                <w:szCs w:val="20"/>
                <w:lang w:val="es-ES_tradnl" w:eastAsia="en-US"/>
              </w:rPr>
              <w:t xml:space="preserve"> tubo protector</w:t>
            </w:r>
          </w:p>
          <w:p w14:paraId="7446553E"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Lado caja &gt; 80 mm</w:t>
            </w:r>
          </w:p>
          <w:p w14:paraId="49412103"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Interruptores y conmutadores</w:t>
            </w:r>
          </w:p>
          <w:p w14:paraId="629C42BC"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Tipo: cerrado y de material aislante</w:t>
            </w:r>
          </w:p>
          <w:p w14:paraId="1FB90D8D"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proofErr w:type="spellStart"/>
            <w:r w:rsidRPr="00901FE5">
              <w:rPr>
                <w:rFonts w:ascii="Arial" w:hAnsi="Arial" w:cs="Arial"/>
                <w:sz w:val="20"/>
                <w:szCs w:val="20"/>
                <w:lang w:val="es-ES_tradnl" w:eastAsia="en-US"/>
              </w:rPr>
              <w:t>Nº</w:t>
            </w:r>
            <w:proofErr w:type="spellEnd"/>
            <w:r w:rsidRPr="00901FE5">
              <w:rPr>
                <w:rFonts w:ascii="Arial" w:hAnsi="Arial" w:cs="Arial"/>
                <w:sz w:val="20"/>
                <w:szCs w:val="20"/>
                <w:lang w:val="es-ES_tradnl" w:eastAsia="en-US"/>
              </w:rPr>
              <w:t xml:space="preserve"> de maniobras &gt; 10.000</w:t>
            </w:r>
          </w:p>
          <w:p w14:paraId="1949993D"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Resto de instalación eléctrica</w:t>
            </w:r>
          </w:p>
          <w:p w14:paraId="378889C9"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La toma de tierra será una red que conectará las líneas principales de bajada a tierra con el electrodo de contacto con el terreno con una resistencia eléctrica &lt; 80 ohmios</w:t>
            </w:r>
          </w:p>
          <w:p w14:paraId="0C1AA895"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 xml:space="preserve">El centro de transformación dispondrá los conductores eléctricos, aparatos de protección, celdas y puesta a tierra según </w:t>
            </w:r>
            <w:r>
              <w:rPr>
                <w:rFonts w:ascii="Arial" w:hAnsi="Arial" w:cs="Arial"/>
                <w:sz w:val="20"/>
                <w:szCs w:val="20"/>
                <w:lang w:val="es-ES_tradnl" w:eastAsia="en-US"/>
              </w:rPr>
              <w:t>el Proyecto</w:t>
            </w:r>
          </w:p>
        </w:tc>
        <w:tc>
          <w:tcPr>
            <w:tcW w:w="2762" w:type="dxa"/>
          </w:tcPr>
          <w:p w14:paraId="75C21752"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p>
          <w:p w14:paraId="320591A9" w14:textId="77777777" w:rsidR="00773E1E" w:rsidRPr="00901FE5" w:rsidRDefault="00773E1E" w:rsidP="00276EC8">
            <w:pPr>
              <w:suppressAutoHyphens/>
              <w:spacing w:before="120" w:after="120" w:line="360" w:lineRule="auto"/>
              <w:jc w:val="both"/>
              <w:rPr>
                <w:rFonts w:ascii="Arial" w:hAnsi="Arial" w:cs="Arial"/>
                <w:sz w:val="20"/>
                <w:szCs w:val="20"/>
                <w:lang w:val="en-US" w:eastAsia="en-US"/>
              </w:rPr>
            </w:pPr>
            <w:r w:rsidRPr="00901FE5">
              <w:rPr>
                <w:rFonts w:ascii="Arial" w:hAnsi="Arial" w:cs="Arial"/>
                <w:sz w:val="20"/>
                <w:szCs w:val="20"/>
                <w:lang w:val="en-US" w:eastAsia="en-US"/>
              </w:rPr>
              <w:t>ITC-BT</w:t>
            </w:r>
          </w:p>
          <w:p w14:paraId="1AB1D764" w14:textId="77777777" w:rsidR="00773E1E" w:rsidRPr="00901FE5" w:rsidRDefault="00773E1E" w:rsidP="00276EC8">
            <w:pPr>
              <w:suppressAutoHyphens/>
              <w:spacing w:before="120" w:after="120" w:line="360" w:lineRule="auto"/>
              <w:jc w:val="both"/>
              <w:rPr>
                <w:rFonts w:ascii="Arial" w:hAnsi="Arial" w:cs="Arial"/>
                <w:sz w:val="20"/>
                <w:szCs w:val="20"/>
                <w:lang w:val="en-US" w:eastAsia="en-US"/>
              </w:rPr>
            </w:pPr>
          </w:p>
          <w:p w14:paraId="33A0C662" w14:textId="77777777" w:rsidR="00773E1E" w:rsidRPr="00901FE5" w:rsidRDefault="00773E1E" w:rsidP="00276EC8">
            <w:pPr>
              <w:suppressAutoHyphens/>
              <w:spacing w:before="120" w:after="120" w:line="360" w:lineRule="auto"/>
              <w:jc w:val="both"/>
              <w:rPr>
                <w:rFonts w:ascii="Arial" w:hAnsi="Arial" w:cs="Arial"/>
                <w:sz w:val="20"/>
                <w:szCs w:val="20"/>
                <w:lang w:val="en-US" w:eastAsia="en-US"/>
              </w:rPr>
            </w:pPr>
            <w:r w:rsidRPr="00901FE5">
              <w:rPr>
                <w:rFonts w:ascii="Arial" w:hAnsi="Arial" w:cs="Arial"/>
                <w:sz w:val="20"/>
                <w:szCs w:val="20"/>
                <w:lang w:val="en-US" w:eastAsia="en-US"/>
              </w:rPr>
              <w:t>ITC-BT</w:t>
            </w:r>
          </w:p>
          <w:p w14:paraId="39E77A24" w14:textId="77777777" w:rsidR="00773E1E" w:rsidRPr="00901FE5" w:rsidRDefault="00773E1E" w:rsidP="00276EC8">
            <w:pPr>
              <w:suppressAutoHyphens/>
              <w:spacing w:before="120" w:after="120" w:line="360" w:lineRule="auto"/>
              <w:jc w:val="both"/>
              <w:rPr>
                <w:rFonts w:ascii="Arial" w:hAnsi="Arial" w:cs="Arial"/>
                <w:sz w:val="20"/>
                <w:szCs w:val="20"/>
                <w:lang w:val="en-US" w:eastAsia="en-US"/>
              </w:rPr>
            </w:pPr>
            <w:r w:rsidRPr="00901FE5">
              <w:rPr>
                <w:rFonts w:ascii="Arial" w:hAnsi="Arial" w:cs="Arial"/>
                <w:sz w:val="20"/>
                <w:szCs w:val="20"/>
                <w:lang w:val="en-US" w:eastAsia="en-US"/>
              </w:rPr>
              <w:t>ITC-BT</w:t>
            </w:r>
          </w:p>
          <w:p w14:paraId="00457712"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ITC-BT</w:t>
            </w:r>
          </w:p>
          <w:p w14:paraId="03F5A5AA"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Inspección</w:t>
            </w:r>
          </w:p>
          <w:p w14:paraId="01E1201D"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p>
          <w:p w14:paraId="3499A09C"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Inspección</w:t>
            </w:r>
          </w:p>
          <w:p w14:paraId="04B34A73"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p>
          <w:p w14:paraId="6D3BD5F9"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ITC-BT</w:t>
            </w:r>
          </w:p>
          <w:p w14:paraId="2B8C9424"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p>
          <w:p w14:paraId="4B1BE518"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p>
          <w:p w14:paraId="0830B685"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ITC-BT</w:t>
            </w:r>
          </w:p>
          <w:p w14:paraId="4FD6B5E7"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p>
          <w:p w14:paraId="7B0D317C"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ITC-BT</w:t>
            </w:r>
          </w:p>
          <w:p w14:paraId="443068B1"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Inspección</w:t>
            </w:r>
          </w:p>
          <w:p w14:paraId="102D37E1"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p>
          <w:p w14:paraId="31C56398"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Inspección</w:t>
            </w:r>
          </w:p>
          <w:p w14:paraId="7C8A822D"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Inspección</w:t>
            </w:r>
          </w:p>
          <w:p w14:paraId="68B0EEE2"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Inspección</w:t>
            </w:r>
          </w:p>
          <w:p w14:paraId="66C93BBA"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p>
          <w:p w14:paraId="5105306D"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Inspección</w:t>
            </w:r>
          </w:p>
          <w:p w14:paraId="4F1FA7FA"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Inspección</w:t>
            </w:r>
          </w:p>
          <w:p w14:paraId="0C7C0E9F"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p>
          <w:p w14:paraId="0E49935A"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r w:rsidRPr="00901FE5">
              <w:rPr>
                <w:rFonts w:ascii="Arial" w:hAnsi="Arial" w:cs="Arial"/>
                <w:sz w:val="20"/>
                <w:szCs w:val="20"/>
                <w:lang w:val="es-ES_tradnl" w:eastAsia="en-US"/>
              </w:rPr>
              <w:t>Inspección</w:t>
            </w:r>
          </w:p>
          <w:p w14:paraId="37A68FE7" w14:textId="77777777" w:rsidR="00773E1E" w:rsidRPr="00901FE5" w:rsidRDefault="00773E1E" w:rsidP="00276EC8">
            <w:pPr>
              <w:suppressAutoHyphens/>
              <w:spacing w:before="120" w:after="120" w:line="360" w:lineRule="auto"/>
              <w:jc w:val="both"/>
              <w:rPr>
                <w:rFonts w:ascii="Arial" w:hAnsi="Arial" w:cs="Arial"/>
                <w:sz w:val="20"/>
                <w:szCs w:val="20"/>
                <w:lang w:val="es-ES_tradnl" w:eastAsia="en-US"/>
              </w:rPr>
            </w:pPr>
          </w:p>
        </w:tc>
      </w:tr>
    </w:tbl>
    <w:p w14:paraId="62629B06" w14:textId="77777777" w:rsidR="00773E1E" w:rsidRPr="00E62154" w:rsidRDefault="00773E1E" w:rsidP="00773E1E">
      <w:pPr>
        <w:keepNext/>
        <w:pageBreakBefore/>
        <w:widowControl w:val="0"/>
        <w:spacing w:before="360" w:after="240" w:line="360" w:lineRule="auto"/>
        <w:jc w:val="both"/>
        <w:outlineLvl w:val="0"/>
        <w:rPr>
          <w:rFonts w:ascii="Arial" w:hAnsi="Arial" w:cs="Arial"/>
          <w:b/>
          <w:noProof/>
          <w:kern w:val="28"/>
          <w:lang w:eastAsia="en-US"/>
        </w:rPr>
      </w:pPr>
      <w:bookmarkStart w:id="1362" w:name="_Toc530135538"/>
      <w:bookmarkStart w:id="1363" w:name="_Toc533762595"/>
      <w:bookmarkStart w:id="1364" w:name="_Toc404688"/>
      <w:bookmarkEnd w:id="1311"/>
      <w:r w:rsidRPr="002C0CF3">
        <w:rPr>
          <w:rFonts w:ascii="Arial" w:hAnsi="Arial" w:cs="Arial"/>
          <w:b/>
          <w:noProof/>
          <w:kern w:val="28"/>
          <w:lang w:eastAsia="en-US"/>
        </w:rPr>
        <w:lastRenderedPageBreak/>
        <w:t>Artículo 809. Báculos</w:t>
      </w:r>
      <w:bookmarkEnd w:id="1362"/>
      <w:bookmarkEnd w:id="1363"/>
      <w:bookmarkEnd w:id="1364"/>
      <w:r w:rsidRPr="00E62154">
        <w:rPr>
          <w:rFonts w:ascii="Arial" w:hAnsi="Arial" w:cs="Arial"/>
          <w:b/>
          <w:noProof/>
          <w:kern w:val="28"/>
          <w:lang w:eastAsia="en-US"/>
        </w:rPr>
        <w:t xml:space="preserve"> </w:t>
      </w:r>
    </w:p>
    <w:p w14:paraId="7BE22BCA" w14:textId="77777777" w:rsidR="00773E1E" w:rsidRPr="0037448F" w:rsidRDefault="00773E1E" w:rsidP="000313DD">
      <w:pPr>
        <w:pStyle w:val="TITU2"/>
      </w:pPr>
      <w:bookmarkStart w:id="1365" w:name="_Toc530135539"/>
      <w:bookmarkStart w:id="1366" w:name="_Toc533762596"/>
      <w:bookmarkStart w:id="1367" w:name="_Toc404689"/>
      <w:r w:rsidRPr="0037448F">
        <w:t xml:space="preserve">809.1. </w:t>
      </w:r>
      <w:r w:rsidRPr="0037448F">
        <w:tab/>
        <w:t>Definición</w:t>
      </w:r>
      <w:bookmarkEnd w:id="1365"/>
      <w:bookmarkEnd w:id="1366"/>
      <w:bookmarkEnd w:id="1367"/>
    </w:p>
    <w:p w14:paraId="2EB6D2D4"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2C0CF3">
        <w:rPr>
          <w:rFonts w:ascii="Arial" w:hAnsi="Arial" w:cs="Arial"/>
          <w:lang w:val="es-ES_tradnl" w:eastAsia="en-US"/>
        </w:rPr>
        <w:t>La unidad incluye el báculo de uno y dos brazos, su transporte, galvanizado, pintado, izado y colocación.</w:t>
      </w:r>
    </w:p>
    <w:p w14:paraId="36C2DEF7"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Se consideran incluidos en la unidad el montaje, tornillería y elementos de anclaje necesarios para la completa instalación del elemento de soporte, así como la existencia de puerta de registro en el propio báculo con las medidas de seguridad necesarias para evitar su manipulación por personas no autorizadas.</w:t>
      </w:r>
    </w:p>
    <w:p w14:paraId="6CF07C4D" w14:textId="77777777" w:rsidR="00773E1E" w:rsidRPr="0037448F" w:rsidRDefault="00773E1E" w:rsidP="000313DD">
      <w:pPr>
        <w:pStyle w:val="TITU2"/>
      </w:pPr>
      <w:bookmarkStart w:id="1368" w:name="_Toc530135540"/>
      <w:bookmarkStart w:id="1369" w:name="_Toc533762597"/>
      <w:bookmarkStart w:id="1370" w:name="_Toc404690"/>
      <w:r w:rsidRPr="0037448F">
        <w:t xml:space="preserve">809.2. </w:t>
      </w:r>
      <w:r>
        <w:tab/>
        <w:t xml:space="preserve">  </w:t>
      </w:r>
      <w:r w:rsidRPr="0037448F">
        <w:t>Materiales</w:t>
      </w:r>
      <w:bookmarkEnd w:id="1368"/>
      <w:bookmarkEnd w:id="1369"/>
      <w:bookmarkEnd w:id="1370"/>
    </w:p>
    <w:p w14:paraId="60DD7641" w14:textId="77777777" w:rsidR="00773E1E" w:rsidRPr="004D29D5" w:rsidRDefault="00773E1E" w:rsidP="00773E1E">
      <w:pPr>
        <w:suppressAutoHyphens/>
        <w:spacing w:before="120" w:after="120" w:line="360" w:lineRule="auto"/>
        <w:jc w:val="both"/>
        <w:rPr>
          <w:rFonts w:ascii="Arial" w:hAnsi="Arial" w:cs="Arial"/>
          <w:i/>
          <w:u w:val="single"/>
          <w:lang w:val="es-ES_tradnl" w:eastAsia="en-US"/>
        </w:rPr>
      </w:pPr>
      <w:r w:rsidRPr="004D29D5">
        <w:rPr>
          <w:rFonts w:ascii="Arial" w:hAnsi="Arial" w:cs="Arial"/>
          <w:i/>
          <w:u w:val="single"/>
          <w:lang w:val="es-ES_tradnl" w:eastAsia="en-US"/>
        </w:rPr>
        <w:t>Báculos</w:t>
      </w:r>
    </w:p>
    <w:p w14:paraId="2B0E8530"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báculos serán de chapa de acero y de las dimensiones especificadas en los planos, siendo su superficie interior y exterior perfectamente lisa y homogénea sin irregularidades o defectos que indiquen mala calidad de los materiales, imperfecciones en la ejecución u ofrezcan un mal aspecto exterior.</w:t>
      </w:r>
    </w:p>
    <w:p w14:paraId="671859A7"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Llevarán una puerta de registro que permite el acceso a conexiones y conductos para su inspección, montaje e instalación.</w:t>
      </w:r>
    </w:p>
    <w:p w14:paraId="2C3445FE"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báculos estarán galvanizados; antes de ser introducidos en el baño de zinc estarán exentos de suciedad y cascarillas superficiales, para la cual se someterán a tratamiento de desengrasado y decapado al ácido. El baño de galvanizado deberá contener como mínimo un 98% de zinc en peso.</w:t>
      </w:r>
    </w:p>
    <w:p w14:paraId="6C6DF172"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Una vez galvanizado no serán sometidos a ninguna operación de conformación o repaso mecánico que afecte al espesor o las características mecánicas del recubrimiento.</w:t>
      </w:r>
    </w:p>
    <w:p w14:paraId="50D489E4"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Los materiales empleados en la preparación, imprimación y pintura de acabado de báculos satisfarán la normativa vigente. </w:t>
      </w:r>
    </w:p>
    <w:p w14:paraId="04BAC3D4" w14:textId="77777777" w:rsidR="00773E1E" w:rsidRPr="00296718" w:rsidRDefault="00773E1E" w:rsidP="00773E1E">
      <w:pPr>
        <w:suppressAutoHyphens/>
        <w:spacing w:before="120" w:after="120" w:line="360" w:lineRule="auto"/>
        <w:jc w:val="both"/>
        <w:rPr>
          <w:rFonts w:ascii="Arial" w:hAnsi="Arial" w:cs="Arial"/>
          <w:i/>
          <w:u w:val="single"/>
          <w:lang w:val="es-ES_tradnl" w:eastAsia="en-US"/>
        </w:rPr>
      </w:pPr>
      <w:r w:rsidRPr="00296718">
        <w:rPr>
          <w:rFonts w:ascii="Arial" w:hAnsi="Arial" w:cs="Arial"/>
          <w:i/>
          <w:u w:val="single"/>
          <w:lang w:val="es-ES_tradnl" w:eastAsia="en-US"/>
        </w:rPr>
        <w:t>Cimentación</w:t>
      </w:r>
    </w:p>
    <w:p w14:paraId="0BF740E2"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Siempre que sea posible, las arquetas de paso o de derivación se adosarán a la cimentación del soporte. El sistema de sustentación de la columna o soporte será siempre mediante placa de asiento.</w:t>
      </w:r>
    </w:p>
    <w:p w14:paraId="2780DFAA" w14:textId="77777777" w:rsidR="00773E1E" w:rsidRPr="00E62154" w:rsidRDefault="00773E1E" w:rsidP="00773E1E">
      <w:pPr>
        <w:suppressAutoHyphens/>
        <w:spacing w:before="120" w:after="120" w:line="360" w:lineRule="auto"/>
        <w:jc w:val="both"/>
        <w:rPr>
          <w:rFonts w:ascii="Arial" w:hAnsi="Arial" w:cs="Arial"/>
          <w:color w:val="FF0000"/>
          <w:szCs w:val="22"/>
          <w:lang w:val="es-ES_tradnl" w:eastAsia="en-US"/>
        </w:rPr>
      </w:pPr>
      <w:r w:rsidRPr="00E62154">
        <w:rPr>
          <w:rFonts w:ascii="Arial" w:hAnsi="Arial" w:cs="Arial"/>
          <w:lang w:val="es-ES_tradnl" w:eastAsia="en-US"/>
        </w:rPr>
        <w:t>Los materiales empleados en la ejecución de las cimentaciones deberán cumplir la normativa vigente, utilizándose hormigón HM-20. Las dimensiones orientativas A y B del dado de hormigón de las cimentaciones de los puntos de luz en metros serán las establecidas en la tabla siguiente, en función de la altura h del soporte en metros.</w:t>
      </w:r>
    </w:p>
    <w:p w14:paraId="16115421" w14:textId="77777777" w:rsidR="00773E1E" w:rsidRPr="00E62154" w:rsidRDefault="00773E1E" w:rsidP="00773E1E">
      <w:pPr>
        <w:rPr>
          <w:rFonts w:cs="Arial"/>
          <w:color w:val="FF0000"/>
          <w:sz w:val="20"/>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1151"/>
        <w:gridCol w:w="1151"/>
        <w:gridCol w:w="1151"/>
        <w:gridCol w:w="1152"/>
        <w:gridCol w:w="1152"/>
        <w:gridCol w:w="1152"/>
      </w:tblGrid>
      <w:tr w:rsidR="00773E1E" w:rsidRPr="00E62154" w14:paraId="74D353CC" w14:textId="77777777" w:rsidTr="00276EC8">
        <w:trPr>
          <w:jc w:val="center"/>
        </w:trPr>
        <w:tc>
          <w:tcPr>
            <w:tcW w:w="1151" w:type="dxa"/>
          </w:tcPr>
          <w:p w14:paraId="31D52186" w14:textId="77777777" w:rsidR="00773E1E" w:rsidRPr="00E62154" w:rsidRDefault="00773E1E" w:rsidP="00276EC8">
            <w:pPr>
              <w:jc w:val="center"/>
              <w:rPr>
                <w:rFonts w:cs="Arial"/>
                <w:b/>
                <w:sz w:val="20"/>
                <w:szCs w:val="22"/>
                <w:lang w:eastAsia="en-US"/>
              </w:rPr>
            </w:pPr>
            <w:r w:rsidRPr="00E62154">
              <w:rPr>
                <w:rFonts w:cs="Arial"/>
                <w:b/>
                <w:sz w:val="20"/>
                <w:szCs w:val="22"/>
                <w:lang w:eastAsia="en-US"/>
              </w:rPr>
              <w:t>H</w:t>
            </w:r>
            <w:r w:rsidRPr="00E62154">
              <w:rPr>
                <w:rFonts w:cs="Arial"/>
                <w:sz w:val="20"/>
                <w:szCs w:val="22"/>
                <w:lang w:eastAsia="en-US"/>
              </w:rPr>
              <w:t>(m)</w:t>
            </w:r>
          </w:p>
        </w:tc>
        <w:tc>
          <w:tcPr>
            <w:tcW w:w="1151" w:type="dxa"/>
          </w:tcPr>
          <w:p w14:paraId="5873D99C" w14:textId="77777777" w:rsidR="00773E1E" w:rsidRPr="00E62154" w:rsidRDefault="00773E1E" w:rsidP="00276EC8">
            <w:pPr>
              <w:jc w:val="center"/>
              <w:rPr>
                <w:rFonts w:cs="Arial"/>
                <w:b/>
                <w:sz w:val="20"/>
                <w:szCs w:val="22"/>
                <w:lang w:eastAsia="en-US"/>
              </w:rPr>
            </w:pPr>
            <w:r w:rsidRPr="00E62154">
              <w:rPr>
                <w:rFonts w:cs="Arial"/>
                <w:b/>
                <w:sz w:val="20"/>
                <w:szCs w:val="22"/>
                <w:lang w:eastAsia="en-US"/>
              </w:rPr>
              <w:t>Hasta 9</w:t>
            </w:r>
          </w:p>
        </w:tc>
        <w:tc>
          <w:tcPr>
            <w:tcW w:w="1151" w:type="dxa"/>
          </w:tcPr>
          <w:p w14:paraId="6F701DE5" w14:textId="77777777" w:rsidR="00773E1E" w:rsidRPr="00E62154" w:rsidRDefault="00773E1E" w:rsidP="00276EC8">
            <w:pPr>
              <w:jc w:val="center"/>
              <w:rPr>
                <w:rFonts w:cs="Arial"/>
                <w:b/>
                <w:sz w:val="20"/>
                <w:szCs w:val="22"/>
                <w:lang w:eastAsia="en-US"/>
              </w:rPr>
            </w:pPr>
            <w:r w:rsidRPr="00E62154">
              <w:rPr>
                <w:rFonts w:cs="Arial"/>
                <w:b/>
                <w:sz w:val="20"/>
                <w:szCs w:val="22"/>
                <w:lang w:eastAsia="en-US"/>
              </w:rPr>
              <w:t>10</w:t>
            </w:r>
          </w:p>
        </w:tc>
        <w:tc>
          <w:tcPr>
            <w:tcW w:w="1151" w:type="dxa"/>
          </w:tcPr>
          <w:p w14:paraId="3B37CD6F" w14:textId="77777777" w:rsidR="00773E1E" w:rsidRPr="00E62154" w:rsidRDefault="00773E1E" w:rsidP="00276EC8">
            <w:pPr>
              <w:jc w:val="center"/>
              <w:rPr>
                <w:rFonts w:cs="Arial"/>
                <w:b/>
                <w:sz w:val="20"/>
                <w:szCs w:val="22"/>
                <w:lang w:eastAsia="en-US"/>
              </w:rPr>
            </w:pPr>
            <w:r w:rsidRPr="00E62154">
              <w:rPr>
                <w:rFonts w:cs="Arial"/>
                <w:b/>
                <w:sz w:val="20"/>
                <w:szCs w:val="22"/>
                <w:lang w:eastAsia="en-US"/>
              </w:rPr>
              <w:t>11</w:t>
            </w:r>
          </w:p>
        </w:tc>
        <w:tc>
          <w:tcPr>
            <w:tcW w:w="1152" w:type="dxa"/>
          </w:tcPr>
          <w:p w14:paraId="66D0DCE2" w14:textId="77777777" w:rsidR="00773E1E" w:rsidRPr="00E62154" w:rsidRDefault="00773E1E" w:rsidP="00276EC8">
            <w:pPr>
              <w:jc w:val="center"/>
              <w:rPr>
                <w:rFonts w:cs="Arial"/>
                <w:b/>
                <w:sz w:val="20"/>
                <w:szCs w:val="22"/>
                <w:lang w:eastAsia="en-US"/>
              </w:rPr>
            </w:pPr>
            <w:r w:rsidRPr="00E62154">
              <w:rPr>
                <w:rFonts w:cs="Arial"/>
                <w:b/>
                <w:sz w:val="20"/>
                <w:szCs w:val="22"/>
                <w:lang w:eastAsia="en-US"/>
              </w:rPr>
              <w:t>12</w:t>
            </w:r>
          </w:p>
        </w:tc>
        <w:tc>
          <w:tcPr>
            <w:tcW w:w="1152" w:type="dxa"/>
          </w:tcPr>
          <w:p w14:paraId="75B6C7D4" w14:textId="77777777" w:rsidR="00773E1E" w:rsidRPr="00E62154" w:rsidRDefault="00773E1E" w:rsidP="00276EC8">
            <w:pPr>
              <w:jc w:val="center"/>
              <w:rPr>
                <w:rFonts w:cs="Arial"/>
                <w:b/>
                <w:sz w:val="20"/>
                <w:szCs w:val="22"/>
                <w:lang w:eastAsia="en-US"/>
              </w:rPr>
            </w:pPr>
            <w:r w:rsidRPr="00E62154">
              <w:rPr>
                <w:rFonts w:cs="Arial"/>
                <w:b/>
                <w:sz w:val="20"/>
                <w:szCs w:val="22"/>
                <w:lang w:eastAsia="en-US"/>
              </w:rPr>
              <w:t>13</w:t>
            </w:r>
          </w:p>
        </w:tc>
        <w:tc>
          <w:tcPr>
            <w:tcW w:w="1152" w:type="dxa"/>
          </w:tcPr>
          <w:p w14:paraId="001D0848" w14:textId="77777777" w:rsidR="00773E1E" w:rsidRPr="00E62154" w:rsidRDefault="00773E1E" w:rsidP="00276EC8">
            <w:pPr>
              <w:jc w:val="center"/>
              <w:rPr>
                <w:rFonts w:cs="Arial"/>
                <w:b/>
                <w:sz w:val="20"/>
                <w:szCs w:val="22"/>
                <w:lang w:eastAsia="en-US"/>
              </w:rPr>
            </w:pPr>
            <w:r w:rsidRPr="00E62154">
              <w:rPr>
                <w:rFonts w:cs="Arial"/>
                <w:b/>
                <w:sz w:val="20"/>
                <w:szCs w:val="22"/>
                <w:lang w:eastAsia="en-US"/>
              </w:rPr>
              <w:t>14</w:t>
            </w:r>
          </w:p>
        </w:tc>
      </w:tr>
      <w:tr w:rsidR="00773E1E" w:rsidRPr="00E62154" w14:paraId="6142D914" w14:textId="77777777" w:rsidTr="00276EC8">
        <w:trPr>
          <w:jc w:val="center"/>
        </w:trPr>
        <w:tc>
          <w:tcPr>
            <w:tcW w:w="1151" w:type="dxa"/>
          </w:tcPr>
          <w:p w14:paraId="6A42A84D" w14:textId="77777777" w:rsidR="00773E1E" w:rsidRPr="00E62154" w:rsidRDefault="00773E1E" w:rsidP="00276EC8">
            <w:pPr>
              <w:jc w:val="center"/>
              <w:rPr>
                <w:rFonts w:cs="Arial"/>
                <w:b/>
                <w:sz w:val="20"/>
                <w:szCs w:val="22"/>
                <w:lang w:eastAsia="en-US"/>
              </w:rPr>
            </w:pPr>
            <w:proofErr w:type="spellStart"/>
            <w:r w:rsidRPr="00E62154">
              <w:rPr>
                <w:rFonts w:cs="Arial"/>
                <w:b/>
                <w:sz w:val="20"/>
                <w:szCs w:val="22"/>
                <w:lang w:eastAsia="en-US"/>
              </w:rPr>
              <w:t>AxA</w:t>
            </w:r>
            <w:proofErr w:type="spellEnd"/>
            <w:r w:rsidRPr="00E62154">
              <w:rPr>
                <w:rFonts w:cs="Arial"/>
                <w:sz w:val="20"/>
                <w:szCs w:val="22"/>
                <w:lang w:eastAsia="en-US"/>
              </w:rPr>
              <w:t>(m)</w:t>
            </w:r>
          </w:p>
        </w:tc>
        <w:tc>
          <w:tcPr>
            <w:tcW w:w="1151" w:type="dxa"/>
          </w:tcPr>
          <w:p w14:paraId="1A3F8F7B" w14:textId="77777777" w:rsidR="00773E1E" w:rsidRPr="00E62154" w:rsidRDefault="00773E1E" w:rsidP="00276EC8">
            <w:pPr>
              <w:jc w:val="center"/>
              <w:rPr>
                <w:rFonts w:cs="Arial"/>
                <w:sz w:val="20"/>
                <w:szCs w:val="22"/>
                <w:lang w:eastAsia="en-US"/>
              </w:rPr>
            </w:pPr>
            <w:r w:rsidRPr="00E62154">
              <w:rPr>
                <w:rFonts w:cs="Arial"/>
                <w:sz w:val="20"/>
                <w:szCs w:val="22"/>
                <w:lang w:eastAsia="en-US"/>
              </w:rPr>
              <w:t>0,7x0,7</w:t>
            </w:r>
          </w:p>
        </w:tc>
        <w:tc>
          <w:tcPr>
            <w:tcW w:w="1151" w:type="dxa"/>
          </w:tcPr>
          <w:p w14:paraId="13701EAE" w14:textId="77777777" w:rsidR="00773E1E" w:rsidRPr="00E62154" w:rsidRDefault="00773E1E" w:rsidP="00276EC8">
            <w:pPr>
              <w:jc w:val="center"/>
              <w:rPr>
                <w:rFonts w:cs="Arial"/>
                <w:sz w:val="20"/>
                <w:szCs w:val="22"/>
                <w:lang w:eastAsia="en-US"/>
              </w:rPr>
            </w:pPr>
            <w:r w:rsidRPr="00E62154">
              <w:rPr>
                <w:rFonts w:cs="Arial"/>
                <w:sz w:val="20"/>
                <w:szCs w:val="22"/>
                <w:lang w:eastAsia="en-US"/>
              </w:rPr>
              <w:t>0,9x0,9</w:t>
            </w:r>
          </w:p>
        </w:tc>
        <w:tc>
          <w:tcPr>
            <w:tcW w:w="1151" w:type="dxa"/>
          </w:tcPr>
          <w:p w14:paraId="4F55A724" w14:textId="77777777" w:rsidR="00773E1E" w:rsidRPr="00E62154" w:rsidRDefault="00773E1E" w:rsidP="00276EC8">
            <w:pPr>
              <w:jc w:val="center"/>
              <w:rPr>
                <w:rFonts w:cs="Arial"/>
                <w:sz w:val="20"/>
                <w:szCs w:val="22"/>
                <w:lang w:eastAsia="en-US"/>
              </w:rPr>
            </w:pPr>
            <w:r w:rsidRPr="00E62154">
              <w:rPr>
                <w:rFonts w:cs="Arial"/>
                <w:sz w:val="20"/>
                <w:szCs w:val="22"/>
                <w:lang w:eastAsia="en-US"/>
              </w:rPr>
              <w:t>0,9x0,9</w:t>
            </w:r>
          </w:p>
        </w:tc>
        <w:tc>
          <w:tcPr>
            <w:tcW w:w="1152" w:type="dxa"/>
          </w:tcPr>
          <w:p w14:paraId="23F9F72E" w14:textId="77777777" w:rsidR="00773E1E" w:rsidRPr="00E62154" w:rsidRDefault="00773E1E" w:rsidP="00276EC8">
            <w:pPr>
              <w:jc w:val="center"/>
              <w:rPr>
                <w:rFonts w:cs="Arial"/>
                <w:sz w:val="20"/>
                <w:szCs w:val="22"/>
                <w:lang w:eastAsia="en-US"/>
              </w:rPr>
            </w:pPr>
            <w:r w:rsidRPr="00E62154">
              <w:rPr>
                <w:rFonts w:cs="Arial"/>
                <w:sz w:val="20"/>
                <w:szCs w:val="22"/>
                <w:lang w:eastAsia="en-US"/>
              </w:rPr>
              <w:t>0,9x0,9</w:t>
            </w:r>
          </w:p>
        </w:tc>
        <w:tc>
          <w:tcPr>
            <w:tcW w:w="1152" w:type="dxa"/>
          </w:tcPr>
          <w:p w14:paraId="478C7727" w14:textId="77777777" w:rsidR="00773E1E" w:rsidRPr="00E62154" w:rsidRDefault="00773E1E" w:rsidP="00276EC8">
            <w:pPr>
              <w:jc w:val="center"/>
              <w:rPr>
                <w:rFonts w:cs="Arial"/>
                <w:sz w:val="20"/>
                <w:szCs w:val="22"/>
                <w:lang w:eastAsia="en-US"/>
              </w:rPr>
            </w:pPr>
            <w:r w:rsidRPr="00E62154">
              <w:rPr>
                <w:rFonts w:cs="Arial"/>
                <w:sz w:val="20"/>
                <w:szCs w:val="22"/>
                <w:lang w:eastAsia="en-US"/>
              </w:rPr>
              <w:t>1,0x1,0</w:t>
            </w:r>
          </w:p>
        </w:tc>
        <w:tc>
          <w:tcPr>
            <w:tcW w:w="1152" w:type="dxa"/>
          </w:tcPr>
          <w:p w14:paraId="72C3EC08" w14:textId="77777777" w:rsidR="00773E1E" w:rsidRPr="00E62154" w:rsidRDefault="00773E1E" w:rsidP="00276EC8">
            <w:pPr>
              <w:jc w:val="center"/>
              <w:rPr>
                <w:rFonts w:cs="Arial"/>
                <w:sz w:val="20"/>
                <w:szCs w:val="22"/>
                <w:lang w:eastAsia="en-US"/>
              </w:rPr>
            </w:pPr>
            <w:r w:rsidRPr="00E62154">
              <w:rPr>
                <w:rFonts w:cs="Arial"/>
                <w:sz w:val="20"/>
                <w:szCs w:val="22"/>
                <w:lang w:eastAsia="en-US"/>
              </w:rPr>
              <w:t>1,0x1,0</w:t>
            </w:r>
          </w:p>
        </w:tc>
      </w:tr>
      <w:tr w:rsidR="00773E1E" w:rsidRPr="00E62154" w14:paraId="4B2C34B2" w14:textId="77777777" w:rsidTr="00276EC8">
        <w:trPr>
          <w:jc w:val="center"/>
        </w:trPr>
        <w:tc>
          <w:tcPr>
            <w:tcW w:w="1151" w:type="dxa"/>
          </w:tcPr>
          <w:p w14:paraId="5C8EBCF0" w14:textId="77777777" w:rsidR="00773E1E" w:rsidRPr="00E62154" w:rsidRDefault="00773E1E" w:rsidP="00276EC8">
            <w:pPr>
              <w:jc w:val="center"/>
              <w:rPr>
                <w:rFonts w:cs="Arial"/>
                <w:b/>
                <w:sz w:val="20"/>
                <w:szCs w:val="22"/>
                <w:lang w:eastAsia="en-US"/>
              </w:rPr>
            </w:pPr>
            <w:r w:rsidRPr="00E62154">
              <w:rPr>
                <w:rFonts w:cs="Arial"/>
                <w:b/>
                <w:sz w:val="20"/>
                <w:szCs w:val="22"/>
                <w:lang w:eastAsia="en-US"/>
              </w:rPr>
              <w:t>B</w:t>
            </w:r>
            <w:r w:rsidRPr="00E62154">
              <w:rPr>
                <w:rFonts w:cs="Arial"/>
                <w:sz w:val="20"/>
                <w:szCs w:val="22"/>
                <w:lang w:eastAsia="en-US"/>
              </w:rPr>
              <w:t>(m)</w:t>
            </w:r>
          </w:p>
        </w:tc>
        <w:tc>
          <w:tcPr>
            <w:tcW w:w="1151" w:type="dxa"/>
          </w:tcPr>
          <w:p w14:paraId="6AF339DF" w14:textId="77777777" w:rsidR="00773E1E" w:rsidRPr="00E62154" w:rsidRDefault="00773E1E" w:rsidP="00276EC8">
            <w:pPr>
              <w:jc w:val="center"/>
              <w:rPr>
                <w:rFonts w:cs="Arial"/>
                <w:sz w:val="20"/>
                <w:szCs w:val="22"/>
                <w:lang w:eastAsia="en-US"/>
              </w:rPr>
            </w:pPr>
            <w:r w:rsidRPr="00E62154">
              <w:rPr>
                <w:rFonts w:cs="Arial"/>
                <w:sz w:val="20"/>
                <w:szCs w:val="22"/>
                <w:lang w:eastAsia="en-US"/>
              </w:rPr>
              <w:t>1</w:t>
            </w:r>
          </w:p>
        </w:tc>
        <w:tc>
          <w:tcPr>
            <w:tcW w:w="1151" w:type="dxa"/>
          </w:tcPr>
          <w:p w14:paraId="1000156D" w14:textId="77777777" w:rsidR="00773E1E" w:rsidRPr="00E62154" w:rsidRDefault="00773E1E" w:rsidP="00276EC8">
            <w:pPr>
              <w:jc w:val="center"/>
              <w:rPr>
                <w:rFonts w:cs="Arial"/>
                <w:sz w:val="20"/>
                <w:szCs w:val="22"/>
                <w:lang w:eastAsia="en-US"/>
              </w:rPr>
            </w:pPr>
            <w:r w:rsidRPr="00E62154">
              <w:rPr>
                <w:rFonts w:cs="Arial"/>
                <w:sz w:val="20"/>
                <w:szCs w:val="22"/>
                <w:lang w:eastAsia="en-US"/>
              </w:rPr>
              <w:t>1,2</w:t>
            </w:r>
          </w:p>
        </w:tc>
        <w:tc>
          <w:tcPr>
            <w:tcW w:w="1151" w:type="dxa"/>
          </w:tcPr>
          <w:p w14:paraId="6E42C259" w14:textId="77777777" w:rsidR="00773E1E" w:rsidRPr="00E62154" w:rsidRDefault="00773E1E" w:rsidP="00276EC8">
            <w:pPr>
              <w:jc w:val="center"/>
              <w:rPr>
                <w:rFonts w:cs="Arial"/>
                <w:sz w:val="20"/>
                <w:szCs w:val="22"/>
                <w:lang w:eastAsia="en-US"/>
              </w:rPr>
            </w:pPr>
            <w:r w:rsidRPr="00E62154">
              <w:rPr>
                <w:rFonts w:cs="Arial"/>
                <w:sz w:val="20"/>
                <w:szCs w:val="22"/>
                <w:lang w:eastAsia="en-US"/>
              </w:rPr>
              <w:t>1,2</w:t>
            </w:r>
          </w:p>
        </w:tc>
        <w:tc>
          <w:tcPr>
            <w:tcW w:w="1152" w:type="dxa"/>
          </w:tcPr>
          <w:p w14:paraId="1226C2AD" w14:textId="77777777" w:rsidR="00773E1E" w:rsidRPr="00E62154" w:rsidRDefault="00773E1E" w:rsidP="00276EC8">
            <w:pPr>
              <w:jc w:val="center"/>
              <w:rPr>
                <w:rFonts w:cs="Arial"/>
                <w:sz w:val="20"/>
                <w:szCs w:val="22"/>
                <w:lang w:eastAsia="en-US"/>
              </w:rPr>
            </w:pPr>
            <w:r w:rsidRPr="00E62154">
              <w:rPr>
                <w:rFonts w:cs="Arial"/>
                <w:sz w:val="20"/>
                <w:szCs w:val="22"/>
                <w:lang w:eastAsia="en-US"/>
              </w:rPr>
              <w:t>1,2</w:t>
            </w:r>
          </w:p>
        </w:tc>
        <w:tc>
          <w:tcPr>
            <w:tcW w:w="1152" w:type="dxa"/>
          </w:tcPr>
          <w:p w14:paraId="74072183" w14:textId="77777777" w:rsidR="00773E1E" w:rsidRPr="00E62154" w:rsidRDefault="00773E1E" w:rsidP="00276EC8">
            <w:pPr>
              <w:jc w:val="center"/>
              <w:rPr>
                <w:rFonts w:cs="Arial"/>
                <w:sz w:val="20"/>
                <w:szCs w:val="22"/>
                <w:lang w:eastAsia="en-US"/>
              </w:rPr>
            </w:pPr>
            <w:r w:rsidRPr="00E62154">
              <w:rPr>
                <w:rFonts w:cs="Arial"/>
                <w:sz w:val="20"/>
                <w:szCs w:val="22"/>
                <w:lang w:eastAsia="en-US"/>
              </w:rPr>
              <w:t>1,4</w:t>
            </w:r>
          </w:p>
        </w:tc>
        <w:tc>
          <w:tcPr>
            <w:tcW w:w="1152" w:type="dxa"/>
          </w:tcPr>
          <w:p w14:paraId="509DA769" w14:textId="77777777" w:rsidR="00773E1E" w:rsidRPr="00E62154" w:rsidRDefault="00773E1E" w:rsidP="00276EC8">
            <w:pPr>
              <w:jc w:val="center"/>
              <w:rPr>
                <w:rFonts w:cs="Arial"/>
                <w:sz w:val="20"/>
                <w:szCs w:val="22"/>
                <w:lang w:eastAsia="en-US"/>
              </w:rPr>
            </w:pPr>
            <w:r w:rsidRPr="00E62154">
              <w:rPr>
                <w:rFonts w:cs="Arial"/>
                <w:sz w:val="20"/>
                <w:szCs w:val="22"/>
                <w:lang w:eastAsia="en-US"/>
              </w:rPr>
              <w:t>1,4</w:t>
            </w:r>
          </w:p>
        </w:tc>
      </w:tr>
    </w:tbl>
    <w:p w14:paraId="79EE6A6D" w14:textId="77777777" w:rsidR="00773E1E" w:rsidRPr="00E62154" w:rsidRDefault="00773E1E" w:rsidP="00773E1E">
      <w:pPr>
        <w:rPr>
          <w:rFonts w:cs="Arial"/>
          <w:sz w:val="20"/>
          <w:szCs w:val="22"/>
          <w:lang w:eastAsia="en-US"/>
        </w:rPr>
      </w:pPr>
    </w:p>
    <w:p w14:paraId="4A75C8AA" w14:textId="77777777" w:rsidR="00773E1E" w:rsidRPr="00E62154" w:rsidRDefault="00773E1E" w:rsidP="00773E1E">
      <w:pPr>
        <w:jc w:val="center"/>
        <w:rPr>
          <w:rFonts w:cs="Arial"/>
          <w:b/>
          <w:sz w:val="20"/>
          <w:szCs w:val="22"/>
          <w:lang w:eastAsia="en-US"/>
        </w:rPr>
      </w:pPr>
    </w:p>
    <w:p w14:paraId="239FFF58" w14:textId="77777777" w:rsidR="00773E1E" w:rsidRPr="00E62154" w:rsidRDefault="00773E1E" w:rsidP="00773E1E">
      <w:pPr>
        <w:jc w:val="center"/>
        <w:rPr>
          <w:rFonts w:cs="Arial"/>
          <w:b/>
          <w:sz w:val="20"/>
          <w:szCs w:val="22"/>
          <w:lang w:eastAsia="en-US"/>
        </w:rPr>
      </w:pPr>
      <w:r w:rsidRPr="00E62154">
        <w:rPr>
          <w:rFonts w:cs="Arial"/>
          <w:b/>
          <w:sz w:val="20"/>
          <w:szCs w:val="22"/>
          <w:lang w:eastAsia="en-US"/>
        </w:rPr>
        <w:t>Dimensiones orientativas de las cimentaciones</w:t>
      </w:r>
    </w:p>
    <w:p w14:paraId="4C13A7CA" w14:textId="77777777" w:rsidR="00773E1E" w:rsidRPr="00E62154" w:rsidRDefault="00773E1E" w:rsidP="00773E1E">
      <w:pPr>
        <w:jc w:val="center"/>
        <w:rPr>
          <w:rFonts w:cs="Arial"/>
          <w:b/>
          <w:sz w:val="20"/>
          <w:szCs w:val="22"/>
          <w:lang w:eastAsia="en-US"/>
        </w:rPr>
      </w:pPr>
      <w:r w:rsidRPr="00E62154">
        <w:rPr>
          <w:rFonts w:cs="Arial"/>
          <w:b/>
          <w:noProof/>
          <w:sz w:val="20"/>
          <w:szCs w:val="22"/>
        </w:rPr>
        <w:drawing>
          <wp:inline distT="0" distB="0" distL="0" distR="0" wp14:anchorId="2DF37C6E" wp14:editId="70F94613">
            <wp:extent cx="2171700" cy="2305050"/>
            <wp:effectExtent l="19050" t="0" r="0" b="0"/>
            <wp:docPr id="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37" cstate="print"/>
                    <a:srcRect/>
                    <a:stretch>
                      <a:fillRect/>
                    </a:stretch>
                  </pic:blipFill>
                  <pic:spPr bwMode="auto">
                    <a:xfrm>
                      <a:off x="0" y="0"/>
                      <a:ext cx="2171700" cy="2305050"/>
                    </a:xfrm>
                    <a:prstGeom prst="rect">
                      <a:avLst/>
                    </a:prstGeom>
                    <a:noFill/>
                    <a:ln w="9525">
                      <a:noFill/>
                      <a:miter lim="800000"/>
                      <a:headEnd/>
                      <a:tailEnd/>
                    </a:ln>
                  </pic:spPr>
                </pic:pic>
              </a:graphicData>
            </a:graphic>
          </wp:inline>
        </w:drawing>
      </w:r>
    </w:p>
    <w:p w14:paraId="2918BB8A" w14:textId="77777777" w:rsidR="00773E1E" w:rsidRPr="00E62154" w:rsidRDefault="00773E1E" w:rsidP="00773E1E">
      <w:pPr>
        <w:rPr>
          <w:rFonts w:cs="Arial"/>
          <w:b/>
          <w:sz w:val="20"/>
          <w:szCs w:val="22"/>
          <w:lang w:eastAsia="en-US"/>
        </w:rPr>
      </w:pPr>
    </w:p>
    <w:p w14:paraId="34DF57BA" w14:textId="77777777" w:rsidR="00773E1E" w:rsidRPr="00E62154" w:rsidRDefault="00773E1E" w:rsidP="00773E1E">
      <w:pPr>
        <w:rPr>
          <w:rFonts w:cs="Arial"/>
          <w:b/>
          <w:sz w:val="20"/>
          <w:szCs w:val="22"/>
          <w:lang w:eastAsia="en-US"/>
        </w:rPr>
      </w:pPr>
    </w:p>
    <w:p w14:paraId="7735560E" w14:textId="77777777" w:rsidR="00773E1E" w:rsidRPr="00E62154" w:rsidRDefault="00773E1E" w:rsidP="00773E1E">
      <w:pPr>
        <w:jc w:val="center"/>
        <w:rPr>
          <w:rFonts w:cs="Arial"/>
          <w:b/>
          <w:sz w:val="20"/>
          <w:szCs w:val="22"/>
          <w:lang w:eastAsia="en-US"/>
        </w:rPr>
      </w:pPr>
      <w:r w:rsidRPr="00E62154">
        <w:rPr>
          <w:rFonts w:cs="Arial"/>
          <w:b/>
          <w:sz w:val="20"/>
          <w:szCs w:val="22"/>
          <w:lang w:eastAsia="en-US"/>
        </w:rPr>
        <w:t>Dado de cimentación de punto de luz</w:t>
      </w:r>
    </w:p>
    <w:p w14:paraId="54334EF8" w14:textId="77777777" w:rsidR="00773E1E" w:rsidRPr="00E62154" w:rsidRDefault="00773E1E" w:rsidP="00773E1E">
      <w:pPr>
        <w:suppressAutoHyphens/>
        <w:spacing w:before="120" w:after="120" w:line="360" w:lineRule="auto"/>
        <w:jc w:val="both"/>
        <w:rPr>
          <w:rFonts w:ascii="Arial" w:hAnsi="Arial" w:cs="Arial"/>
          <w:szCs w:val="22"/>
          <w:lang w:val="es-ES_tradnl" w:eastAsia="en-US"/>
        </w:rPr>
      </w:pPr>
      <w:r w:rsidRPr="00E62154">
        <w:rPr>
          <w:rFonts w:ascii="Arial" w:hAnsi="Arial" w:cs="Arial"/>
          <w:lang w:val="es-ES_tradnl" w:eastAsia="en-US"/>
        </w:rPr>
        <w:t xml:space="preserve">Para las cimentaciones de los puntos de luz se dispondrán cuatro pernos de anclaje galvanizados como mínimo, doblados en forma de cachava y con doble zunchado con redondo de 8 mm de diámetro soldado a los cuatro pernos, tal y como se indica en la figura.   </w:t>
      </w:r>
    </w:p>
    <w:p w14:paraId="4F6971E9" w14:textId="77777777" w:rsidR="00773E1E" w:rsidRPr="005F02AF" w:rsidRDefault="00773E1E" w:rsidP="00661A5F">
      <w:pPr>
        <w:pStyle w:val="Prrafodelista"/>
        <w:numPr>
          <w:ilvl w:val="0"/>
          <w:numId w:val="209"/>
        </w:numPr>
        <w:suppressAutoHyphens/>
        <w:spacing w:before="120" w:after="120" w:line="360" w:lineRule="auto"/>
        <w:jc w:val="both"/>
        <w:rPr>
          <w:rFonts w:ascii="Arial" w:hAnsi="Arial" w:cs="Arial"/>
          <w:sz w:val="24"/>
          <w:szCs w:val="24"/>
          <w:lang w:val="es-ES_tradnl"/>
        </w:rPr>
      </w:pPr>
      <w:r w:rsidRPr="005F02AF">
        <w:rPr>
          <w:rFonts w:ascii="Arial" w:hAnsi="Arial" w:cs="Arial"/>
          <w:sz w:val="24"/>
          <w:szCs w:val="24"/>
          <w:lang w:val="es-ES_tradnl"/>
        </w:rPr>
        <w:t>a = longitud del perno.</w:t>
      </w:r>
    </w:p>
    <w:p w14:paraId="1B43CE1D" w14:textId="77777777" w:rsidR="00773E1E" w:rsidRPr="005F02AF" w:rsidRDefault="00773E1E" w:rsidP="00661A5F">
      <w:pPr>
        <w:pStyle w:val="Prrafodelista"/>
        <w:numPr>
          <w:ilvl w:val="0"/>
          <w:numId w:val="209"/>
        </w:numPr>
        <w:suppressAutoHyphens/>
        <w:spacing w:before="120" w:after="120" w:line="360" w:lineRule="auto"/>
        <w:jc w:val="both"/>
        <w:rPr>
          <w:rFonts w:ascii="Arial" w:hAnsi="Arial" w:cs="Arial"/>
          <w:sz w:val="24"/>
          <w:szCs w:val="24"/>
          <w:lang w:val="es-ES_tradnl"/>
        </w:rPr>
      </w:pPr>
      <w:r w:rsidRPr="005F02AF">
        <w:rPr>
          <w:rFonts w:ascii="Arial" w:hAnsi="Arial" w:cs="Arial"/>
          <w:sz w:val="24"/>
          <w:szCs w:val="24"/>
          <w:lang w:val="es-ES_tradnl"/>
        </w:rPr>
        <w:t>ɸ = diámetro del perno.</w:t>
      </w:r>
    </w:p>
    <w:p w14:paraId="1346F98B" w14:textId="77777777" w:rsidR="00773E1E" w:rsidRPr="005F02AF" w:rsidRDefault="00773E1E" w:rsidP="00661A5F">
      <w:pPr>
        <w:pStyle w:val="Prrafodelista"/>
        <w:numPr>
          <w:ilvl w:val="0"/>
          <w:numId w:val="209"/>
        </w:numPr>
        <w:suppressAutoHyphens/>
        <w:spacing w:before="120" w:after="120" w:line="360" w:lineRule="auto"/>
        <w:jc w:val="both"/>
        <w:rPr>
          <w:rFonts w:ascii="Arial" w:hAnsi="Arial" w:cs="Arial"/>
          <w:sz w:val="24"/>
          <w:szCs w:val="24"/>
          <w:lang w:val="es-ES_tradnl"/>
        </w:rPr>
      </w:pPr>
      <w:r w:rsidRPr="005F02AF">
        <w:rPr>
          <w:rFonts w:ascii="Arial" w:hAnsi="Arial" w:cs="Arial"/>
          <w:sz w:val="24"/>
          <w:szCs w:val="24"/>
          <w:lang w:val="es-ES_tradnl"/>
        </w:rPr>
        <w:t>R = longitud del perno con roscado métrico.</w:t>
      </w:r>
    </w:p>
    <w:p w14:paraId="24DFF628" w14:textId="77777777" w:rsidR="00773E1E" w:rsidRPr="005F02AF" w:rsidRDefault="00773E1E" w:rsidP="00661A5F">
      <w:pPr>
        <w:pStyle w:val="Prrafodelista"/>
        <w:numPr>
          <w:ilvl w:val="0"/>
          <w:numId w:val="209"/>
        </w:numPr>
        <w:suppressAutoHyphens/>
        <w:spacing w:before="120" w:after="120" w:line="360" w:lineRule="auto"/>
        <w:jc w:val="both"/>
        <w:rPr>
          <w:rFonts w:ascii="Arial" w:hAnsi="Arial" w:cs="Arial"/>
          <w:sz w:val="24"/>
          <w:szCs w:val="24"/>
          <w:lang w:val="es-ES_tradnl"/>
        </w:rPr>
      </w:pPr>
      <w:r w:rsidRPr="005F02AF">
        <w:rPr>
          <w:rFonts w:ascii="Arial" w:hAnsi="Arial" w:cs="Arial"/>
          <w:sz w:val="24"/>
          <w:szCs w:val="24"/>
          <w:lang w:val="es-ES_tradnl"/>
        </w:rPr>
        <w:t>b = distancia desde la parte baja del perno al zunchado inferior.</w:t>
      </w:r>
    </w:p>
    <w:p w14:paraId="3EF319E6" w14:textId="77777777" w:rsidR="00773E1E" w:rsidRPr="005F02AF" w:rsidRDefault="00773E1E" w:rsidP="00661A5F">
      <w:pPr>
        <w:pStyle w:val="Prrafodelista"/>
        <w:numPr>
          <w:ilvl w:val="0"/>
          <w:numId w:val="209"/>
        </w:numPr>
        <w:suppressAutoHyphens/>
        <w:spacing w:before="120" w:after="120" w:line="360" w:lineRule="auto"/>
        <w:jc w:val="both"/>
        <w:rPr>
          <w:rFonts w:ascii="Arial" w:hAnsi="Arial" w:cs="Arial"/>
          <w:sz w:val="24"/>
          <w:szCs w:val="24"/>
          <w:lang w:val="es-ES_tradnl"/>
        </w:rPr>
      </w:pPr>
      <w:r w:rsidRPr="005F02AF">
        <w:rPr>
          <w:rFonts w:ascii="Arial" w:hAnsi="Arial" w:cs="Arial"/>
          <w:sz w:val="24"/>
          <w:szCs w:val="24"/>
          <w:lang w:val="es-ES_tradnl"/>
        </w:rPr>
        <w:t>c = distancia del zunchado inferior al superior.</w:t>
      </w:r>
    </w:p>
    <w:p w14:paraId="0F355D55" w14:textId="77777777" w:rsidR="00773E1E" w:rsidRPr="00E62154" w:rsidRDefault="00773E1E" w:rsidP="00773E1E">
      <w:pPr>
        <w:jc w:val="center"/>
        <w:rPr>
          <w:color w:val="FF0000"/>
        </w:rPr>
      </w:pPr>
      <w:r w:rsidRPr="00E62154">
        <w:rPr>
          <w:noProof/>
          <w:color w:val="FF0000"/>
        </w:rPr>
        <w:lastRenderedPageBreak/>
        <w:drawing>
          <wp:inline distT="0" distB="0" distL="0" distR="0" wp14:anchorId="260236FF" wp14:editId="3E04A449">
            <wp:extent cx="2228215" cy="1971675"/>
            <wp:effectExtent l="19050" t="0" r="635" b="0"/>
            <wp:docPr id="1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38" cstate="print"/>
                    <a:srcRect/>
                    <a:stretch>
                      <a:fillRect/>
                    </a:stretch>
                  </pic:blipFill>
                  <pic:spPr bwMode="auto">
                    <a:xfrm>
                      <a:off x="0" y="0"/>
                      <a:ext cx="2228215" cy="1971675"/>
                    </a:xfrm>
                    <a:prstGeom prst="rect">
                      <a:avLst/>
                    </a:prstGeom>
                    <a:noFill/>
                    <a:ln w="9525">
                      <a:noFill/>
                      <a:miter lim="800000"/>
                      <a:headEnd/>
                      <a:tailEnd/>
                    </a:ln>
                  </pic:spPr>
                </pic:pic>
              </a:graphicData>
            </a:graphic>
          </wp:inline>
        </w:drawing>
      </w:r>
    </w:p>
    <w:p w14:paraId="0D4A3204" w14:textId="77777777" w:rsidR="00773E1E" w:rsidRPr="00E62154" w:rsidRDefault="00773E1E" w:rsidP="00773E1E">
      <w:pPr>
        <w:rPr>
          <w:rFonts w:cs="Arial"/>
          <w:color w:val="FF0000"/>
          <w:sz w:val="20"/>
          <w:szCs w:val="22"/>
          <w:lang w:eastAsia="en-US"/>
        </w:rPr>
      </w:pPr>
    </w:p>
    <w:p w14:paraId="726D7667" w14:textId="77777777" w:rsidR="00773E1E" w:rsidRPr="00E62154" w:rsidRDefault="00773E1E" w:rsidP="00773E1E">
      <w:pPr>
        <w:jc w:val="center"/>
        <w:rPr>
          <w:rFonts w:ascii="Arial" w:hAnsi="Arial" w:cs="Arial"/>
          <w:i/>
          <w:sz w:val="20"/>
          <w:szCs w:val="22"/>
          <w:lang w:eastAsia="en-US"/>
        </w:rPr>
      </w:pPr>
      <w:r w:rsidRPr="00E62154">
        <w:rPr>
          <w:rFonts w:ascii="Arial" w:hAnsi="Arial" w:cs="Arial"/>
          <w:b/>
          <w:i/>
          <w:sz w:val="20"/>
          <w:szCs w:val="22"/>
          <w:lang w:eastAsia="en-US"/>
        </w:rPr>
        <w:t>Conjunto de pernos con doble zunchado</w:t>
      </w:r>
      <w:r w:rsidRPr="00E62154">
        <w:rPr>
          <w:rFonts w:ascii="Arial" w:hAnsi="Arial" w:cs="Arial"/>
          <w:i/>
          <w:sz w:val="20"/>
          <w:szCs w:val="22"/>
          <w:lang w:eastAsia="en-US"/>
        </w:rPr>
        <w:t>.</w:t>
      </w:r>
    </w:p>
    <w:p w14:paraId="6C643B09"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El material de los pernos será perfectamente homogéneo y estarán exentos de sopladuras, impurezas y otros defectos de fabricación. El material empleado será acero y la rosca será realizada por el sistema de fricción de rosca triangular.</w:t>
      </w:r>
    </w:p>
    <w:p w14:paraId="5C39BE94"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Los pernos tendrán roscado métrico en </w:t>
      </w:r>
      <w:proofErr w:type="gramStart"/>
      <w:r w:rsidRPr="00E62154">
        <w:rPr>
          <w:rFonts w:ascii="Arial" w:hAnsi="Arial" w:cs="Arial"/>
          <w:lang w:val="es-ES_tradnl" w:eastAsia="en-US"/>
        </w:rPr>
        <w:t>la parte superior realizado</w:t>
      </w:r>
      <w:proofErr w:type="gramEnd"/>
      <w:r w:rsidRPr="00E62154">
        <w:rPr>
          <w:rFonts w:ascii="Arial" w:hAnsi="Arial" w:cs="Arial"/>
          <w:lang w:val="es-ES_tradnl" w:eastAsia="en-US"/>
        </w:rPr>
        <w:t xml:space="preserve"> con herramientas de tallado y no por extrusión del material, debe estar realizada por el sistema de fricción, según la norma UNE 17704, “Rosca métrica ISO de empleo general. Medidas básicas”.</w:t>
      </w:r>
    </w:p>
    <w:p w14:paraId="2E512CC7"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pernos de anclaje para los soportes indicados en la tabla siguiente serán de la forma y dimensiones indicadas en la tabla siguiente. Para situar correctamente los pernos en la cimentación, el contratista dispondrá una plantilla por cada diez (10) soportes o fracción.</w:t>
      </w:r>
    </w:p>
    <w:p w14:paraId="7B2F8F2D" w14:textId="77777777" w:rsidR="00773E1E" w:rsidRPr="00E62154" w:rsidRDefault="00773E1E" w:rsidP="00773E1E">
      <w:pPr>
        <w:rPr>
          <w:rFonts w:cs="Arial"/>
          <w:sz w:val="20"/>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1151"/>
        <w:gridCol w:w="1151"/>
        <w:gridCol w:w="1151"/>
        <w:gridCol w:w="1151"/>
        <w:gridCol w:w="1152"/>
        <w:gridCol w:w="1152"/>
        <w:gridCol w:w="1152"/>
      </w:tblGrid>
      <w:tr w:rsidR="00773E1E" w:rsidRPr="00E62154" w14:paraId="31ECF04C" w14:textId="77777777" w:rsidTr="00276EC8">
        <w:trPr>
          <w:jc w:val="center"/>
        </w:trPr>
        <w:tc>
          <w:tcPr>
            <w:tcW w:w="1151" w:type="dxa"/>
          </w:tcPr>
          <w:p w14:paraId="6A94BD16"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h</w:t>
            </w:r>
          </w:p>
        </w:tc>
        <w:tc>
          <w:tcPr>
            <w:tcW w:w="1151" w:type="dxa"/>
          </w:tcPr>
          <w:p w14:paraId="6726EC0D"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7</w:t>
            </w:r>
          </w:p>
        </w:tc>
        <w:tc>
          <w:tcPr>
            <w:tcW w:w="1151" w:type="dxa"/>
          </w:tcPr>
          <w:p w14:paraId="5B3AA09D"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8</w:t>
            </w:r>
          </w:p>
        </w:tc>
        <w:tc>
          <w:tcPr>
            <w:tcW w:w="1151" w:type="dxa"/>
          </w:tcPr>
          <w:p w14:paraId="73308478"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9</w:t>
            </w:r>
          </w:p>
        </w:tc>
        <w:tc>
          <w:tcPr>
            <w:tcW w:w="1151" w:type="dxa"/>
          </w:tcPr>
          <w:p w14:paraId="2756DCD7"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10</w:t>
            </w:r>
          </w:p>
        </w:tc>
        <w:tc>
          <w:tcPr>
            <w:tcW w:w="1152" w:type="dxa"/>
          </w:tcPr>
          <w:p w14:paraId="4A62F7A6"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11</w:t>
            </w:r>
          </w:p>
        </w:tc>
        <w:tc>
          <w:tcPr>
            <w:tcW w:w="1152" w:type="dxa"/>
          </w:tcPr>
          <w:p w14:paraId="51C38973"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12</w:t>
            </w:r>
          </w:p>
        </w:tc>
        <w:tc>
          <w:tcPr>
            <w:tcW w:w="1152" w:type="dxa"/>
          </w:tcPr>
          <w:p w14:paraId="557CDB11"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14</w:t>
            </w:r>
          </w:p>
        </w:tc>
      </w:tr>
      <w:tr w:rsidR="00773E1E" w:rsidRPr="00E62154" w14:paraId="1B6105AE" w14:textId="77777777" w:rsidTr="00276EC8">
        <w:trPr>
          <w:jc w:val="center"/>
        </w:trPr>
        <w:tc>
          <w:tcPr>
            <w:tcW w:w="1151" w:type="dxa"/>
          </w:tcPr>
          <w:p w14:paraId="69CB5445"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a</w:t>
            </w:r>
          </w:p>
        </w:tc>
        <w:tc>
          <w:tcPr>
            <w:tcW w:w="1151" w:type="dxa"/>
          </w:tcPr>
          <w:p w14:paraId="386CD1E7"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700</w:t>
            </w:r>
          </w:p>
        </w:tc>
        <w:tc>
          <w:tcPr>
            <w:tcW w:w="1151" w:type="dxa"/>
          </w:tcPr>
          <w:p w14:paraId="41BD67E7"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700</w:t>
            </w:r>
          </w:p>
        </w:tc>
        <w:tc>
          <w:tcPr>
            <w:tcW w:w="1151" w:type="dxa"/>
          </w:tcPr>
          <w:p w14:paraId="1A47F2B8"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700</w:t>
            </w:r>
          </w:p>
        </w:tc>
        <w:tc>
          <w:tcPr>
            <w:tcW w:w="1151" w:type="dxa"/>
          </w:tcPr>
          <w:p w14:paraId="5537429A"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900</w:t>
            </w:r>
          </w:p>
        </w:tc>
        <w:tc>
          <w:tcPr>
            <w:tcW w:w="1152" w:type="dxa"/>
          </w:tcPr>
          <w:p w14:paraId="4402EBE8"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900</w:t>
            </w:r>
          </w:p>
        </w:tc>
        <w:tc>
          <w:tcPr>
            <w:tcW w:w="1152" w:type="dxa"/>
          </w:tcPr>
          <w:p w14:paraId="3F20F494"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900</w:t>
            </w:r>
          </w:p>
        </w:tc>
        <w:tc>
          <w:tcPr>
            <w:tcW w:w="1152" w:type="dxa"/>
          </w:tcPr>
          <w:p w14:paraId="6E53AEAD"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1000</w:t>
            </w:r>
          </w:p>
        </w:tc>
      </w:tr>
      <w:tr w:rsidR="00773E1E" w:rsidRPr="00E62154" w14:paraId="0FA075C6" w14:textId="77777777" w:rsidTr="00276EC8">
        <w:trPr>
          <w:jc w:val="center"/>
        </w:trPr>
        <w:tc>
          <w:tcPr>
            <w:tcW w:w="1151" w:type="dxa"/>
          </w:tcPr>
          <w:p w14:paraId="7423AE2A"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ɸ</w:t>
            </w:r>
          </w:p>
        </w:tc>
        <w:tc>
          <w:tcPr>
            <w:tcW w:w="1151" w:type="dxa"/>
          </w:tcPr>
          <w:p w14:paraId="17DD65D0"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24</w:t>
            </w:r>
          </w:p>
        </w:tc>
        <w:tc>
          <w:tcPr>
            <w:tcW w:w="1151" w:type="dxa"/>
          </w:tcPr>
          <w:p w14:paraId="2397AD6A"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24</w:t>
            </w:r>
          </w:p>
        </w:tc>
        <w:tc>
          <w:tcPr>
            <w:tcW w:w="1151" w:type="dxa"/>
          </w:tcPr>
          <w:p w14:paraId="0CE46E9D"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24</w:t>
            </w:r>
          </w:p>
        </w:tc>
        <w:tc>
          <w:tcPr>
            <w:tcW w:w="1151" w:type="dxa"/>
          </w:tcPr>
          <w:p w14:paraId="32742BDE"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27</w:t>
            </w:r>
          </w:p>
        </w:tc>
        <w:tc>
          <w:tcPr>
            <w:tcW w:w="1152" w:type="dxa"/>
          </w:tcPr>
          <w:p w14:paraId="2DC3AB48"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27</w:t>
            </w:r>
          </w:p>
        </w:tc>
        <w:tc>
          <w:tcPr>
            <w:tcW w:w="1152" w:type="dxa"/>
          </w:tcPr>
          <w:p w14:paraId="468EB582"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27</w:t>
            </w:r>
          </w:p>
        </w:tc>
        <w:tc>
          <w:tcPr>
            <w:tcW w:w="1152" w:type="dxa"/>
          </w:tcPr>
          <w:p w14:paraId="6BD61996"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33</w:t>
            </w:r>
          </w:p>
        </w:tc>
      </w:tr>
      <w:tr w:rsidR="00773E1E" w:rsidRPr="00E62154" w14:paraId="5A46B7E5" w14:textId="77777777" w:rsidTr="00276EC8">
        <w:trPr>
          <w:jc w:val="center"/>
        </w:trPr>
        <w:tc>
          <w:tcPr>
            <w:tcW w:w="1151" w:type="dxa"/>
          </w:tcPr>
          <w:p w14:paraId="19D2DE29"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R</w:t>
            </w:r>
          </w:p>
        </w:tc>
        <w:tc>
          <w:tcPr>
            <w:tcW w:w="1151" w:type="dxa"/>
          </w:tcPr>
          <w:p w14:paraId="49A18B55"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110</w:t>
            </w:r>
          </w:p>
        </w:tc>
        <w:tc>
          <w:tcPr>
            <w:tcW w:w="1151" w:type="dxa"/>
          </w:tcPr>
          <w:p w14:paraId="556B1DCF"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110</w:t>
            </w:r>
          </w:p>
        </w:tc>
        <w:tc>
          <w:tcPr>
            <w:tcW w:w="1151" w:type="dxa"/>
          </w:tcPr>
          <w:p w14:paraId="0963778D"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110</w:t>
            </w:r>
          </w:p>
        </w:tc>
        <w:tc>
          <w:tcPr>
            <w:tcW w:w="1151" w:type="dxa"/>
          </w:tcPr>
          <w:p w14:paraId="47EE1E89"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130</w:t>
            </w:r>
          </w:p>
        </w:tc>
        <w:tc>
          <w:tcPr>
            <w:tcW w:w="1152" w:type="dxa"/>
          </w:tcPr>
          <w:p w14:paraId="15163E18"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130</w:t>
            </w:r>
          </w:p>
        </w:tc>
        <w:tc>
          <w:tcPr>
            <w:tcW w:w="1152" w:type="dxa"/>
          </w:tcPr>
          <w:p w14:paraId="1158EDC5"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130</w:t>
            </w:r>
          </w:p>
        </w:tc>
        <w:tc>
          <w:tcPr>
            <w:tcW w:w="1152" w:type="dxa"/>
          </w:tcPr>
          <w:p w14:paraId="1BA66A3F"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150</w:t>
            </w:r>
          </w:p>
        </w:tc>
      </w:tr>
      <w:tr w:rsidR="00773E1E" w:rsidRPr="00E62154" w14:paraId="5B808BA3" w14:textId="77777777" w:rsidTr="00276EC8">
        <w:trPr>
          <w:jc w:val="center"/>
        </w:trPr>
        <w:tc>
          <w:tcPr>
            <w:tcW w:w="1151" w:type="dxa"/>
          </w:tcPr>
          <w:p w14:paraId="6609B131"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b</w:t>
            </w:r>
          </w:p>
        </w:tc>
        <w:tc>
          <w:tcPr>
            <w:tcW w:w="1151" w:type="dxa"/>
          </w:tcPr>
          <w:p w14:paraId="1CDF9F50"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150</w:t>
            </w:r>
          </w:p>
        </w:tc>
        <w:tc>
          <w:tcPr>
            <w:tcW w:w="1151" w:type="dxa"/>
          </w:tcPr>
          <w:p w14:paraId="49EF72DD"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150</w:t>
            </w:r>
          </w:p>
        </w:tc>
        <w:tc>
          <w:tcPr>
            <w:tcW w:w="1151" w:type="dxa"/>
          </w:tcPr>
          <w:p w14:paraId="021667F9"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150</w:t>
            </w:r>
          </w:p>
        </w:tc>
        <w:tc>
          <w:tcPr>
            <w:tcW w:w="1151" w:type="dxa"/>
          </w:tcPr>
          <w:p w14:paraId="309F6D36"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200</w:t>
            </w:r>
          </w:p>
        </w:tc>
        <w:tc>
          <w:tcPr>
            <w:tcW w:w="1152" w:type="dxa"/>
          </w:tcPr>
          <w:p w14:paraId="6F2D7B78"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200</w:t>
            </w:r>
          </w:p>
        </w:tc>
        <w:tc>
          <w:tcPr>
            <w:tcW w:w="1152" w:type="dxa"/>
          </w:tcPr>
          <w:p w14:paraId="3EE6AD0B"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200</w:t>
            </w:r>
          </w:p>
        </w:tc>
        <w:tc>
          <w:tcPr>
            <w:tcW w:w="1152" w:type="dxa"/>
          </w:tcPr>
          <w:p w14:paraId="328961FA"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250</w:t>
            </w:r>
          </w:p>
        </w:tc>
      </w:tr>
      <w:tr w:rsidR="00773E1E" w:rsidRPr="00E62154" w14:paraId="1C640A94" w14:textId="77777777" w:rsidTr="00276EC8">
        <w:trPr>
          <w:jc w:val="center"/>
        </w:trPr>
        <w:tc>
          <w:tcPr>
            <w:tcW w:w="1151" w:type="dxa"/>
          </w:tcPr>
          <w:p w14:paraId="6D79C18E"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c</w:t>
            </w:r>
          </w:p>
        </w:tc>
        <w:tc>
          <w:tcPr>
            <w:tcW w:w="1151" w:type="dxa"/>
          </w:tcPr>
          <w:p w14:paraId="73036084"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350</w:t>
            </w:r>
          </w:p>
        </w:tc>
        <w:tc>
          <w:tcPr>
            <w:tcW w:w="1151" w:type="dxa"/>
          </w:tcPr>
          <w:p w14:paraId="639A9293"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350</w:t>
            </w:r>
          </w:p>
        </w:tc>
        <w:tc>
          <w:tcPr>
            <w:tcW w:w="1151" w:type="dxa"/>
          </w:tcPr>
          <w:p w14:paraId="3BF5FD86"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350</w:t>
            </w:r>
          </w:p>
        </w:tc>
        <w:tc>
          <w:tcPr>
            <w:tcW w:w="1151" w:type="dxa"/>
          </w:tcPr>
          <w:p w14:paraId="670BDBA3"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450</w:t>
            </w:r>
          </w:p>
        </w:tc>
        <w:tc>
          <w:tcPr>
            <w:tcW w:w="1152" w:type="dxa"/>
          </w:tcPr>
          <w:p w14:paraId="4CF5F3E0"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450</w:t>
            </w:r>
          </w:p>
        </w:tc>
        <w:tc>
          <w:tcPr>
            <w:tcW w:w="1152" w:type="dxa"/>
          </w:tcPr>
          <w:p w14:paraId="1299B54A"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450</w:t>
            </w:r>
          </w:p>
        </w:tc>
        <w:tc>
          <w:tcPr>
            <w:tcW w:w="1152" w:type="dxa"/>
          </w:tcPr>
          <w:p w14:paraId="2DCC945A"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450</w:t>
            </w:r>
          </w:p>
        </w:tc>
      </w:tr>
    </w:tbl>
    <w:p w14:paraId="44F686FD" w14:textId="77777777" w:rsidR="00773E1E" w:rsidRPr="00E62154" w:rsidRDefault="00773E1E" w:rsidP="00773E1E">
      <w:pPr>
        <w:jc w:val="center"/>
        <w:rPr>
          <w:rFonts w:ascii="Arial" w:hAnsi="Arial" w:cs="Arial"/>
          <w:sz w:val="18"/>
          <w:szCs w:val="18"/>
          <w:lang w:eastAsia="en-US"/>
        </w:rPr>
      </w:pPr>
      <w:r w:rsidRPr="00E62154">
        <w:rPr>
          <w:rFonts w:ascii="Arial" w:hAnsi="Arial" w:cs="Arial"/>
          <w:sz w:val="18"/>
          <w:szCs w:val="18"/>
          <w:lang w:eastAsia="en-US"/>
        </w:rPr>
        <w:t>Nota. Salvo h, que se expresa en metros, las demás magnitudes se han consignado en milímetros</w:t>
      </w:r>
    </w:p>
    <w:p w14:paraId="40A56CBB" w14:textId="77777777" w:rsidR="00773E1E" w:rsidRPr="00E62154" w:rsidRDefault="00773E1E" w:rsidP="00773E1E">
      <w:pPr>
        <w:jc w:val="center"/>
        <w:rPr>
          <w:rFonts w:cs="Arial"/>
          <w:b/>
          <w:sz w:val="20"/>
          <w:szCs w:val="22"/>
          <w:u w:val="single"/>
          <w:lang w:eastAsia="en-US"/>
        </w:rPr>
      </w:pPr>
    </w:p>
    <w:p w14:paraId="25490D17" w14:textId="77777777" w:rsidR="00773E1E" w:rsidRPr="00E62154" w:rsidRDefault="00773E1E" w:rsidP="00773E1E">
      <w:pPr>
        <w:jc w:val="center"/>
        <w:rPr>
          <w:rFonts w:cs="Arial"/>
          <w:b/>
          <w:sz w:val="20"/>
          <w:szCs w:val="22"/>
          <w:lang w:eastAsia="en-US"/>
        </w:rPr>
      </w:pPr>
      <w:r w:rsidRPr="00E62154">
        <w:rPr>
          <w:rFonts w:cs="Arial"/>
          <w:b/>
          <w:sz w:val="20"/>
          <w:szCs w:val="22"/>
          <w:lang w:eastAsia="en-US"/>
        </w:rPr>
        <w:t>Pernos de anclaje</w:t>
      </w:r>
    </w:p>
    <w:p w14:paraId="7E87E5F2" w14:textId="77777777" w:rsidR="00773E1E" w:rsidRPr="00E62154" w:rsidRDefault="00773E1E" w:rsidP="00773E1E">
      <w:pPr>
        <w:rPr>
          <w:rFonts w:cs="Arial"/>
          <w:color w:val="FF0000"/>
          <w:sz w:val="20"/>
          <w:szCs w:val="22"/>
          <w:lang w:eastAsia="en-US"/>
        </w:rPr>
      </w:pPr>
    </w:p>
    <w:p w14:paraId="3E8D76C4"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Las dimensiones mínimas que se recomiendan de las tuercas métricas cincadas o cadmiadas se establecen en función de la altura h del soporte, según se establece en la tabla y figura siguientes. El par de apriete de las tuercas sobre los pernos de anclaje cumplirá lo especificado en la Norma UNE</w:t>
      </w:r>
      <w:r>
        <w:rPr>
          <w:rFonts w:ascii="Arial" w:hAnsi="Arial" w:cs="Arial"/>
          <w:lang w:val="es-ES_tradnl" w:eastAsia="en-US"/>
        </w:rPr>
        <w:t>-</w:t>
      </w:r>
      <w:r w:rsidRPr="00E62154">
        <w:rPr>
          <w:rFonts w:ascii="Arial" w:hAnsi="Arial" w:cs="Arial"/>
          <w:lang w:val="es-ES_tradnl" w:eastAsia="en-US"/>
        </w:rPr>
        <w:t>EN 40.</w:t>
      </w:r>
    </w:p>
    <w:p w14:paraId="54120ECD"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t = distancia entre caras de la tuerca métrica.</w:t>
      </w:r>
    </w:p>
    <w:p w14:paraId="53CEA0E5"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t1 = altura de la tuerca métrica.</w:t>
      </w:r>
    </w:p>
    <w:p w14:paraId="38FF438A" w14:textId="77777777" w:rsidR="00773E1E" w:rsidRPr="00E62154" w:rsidRDefault="00773E1E" w:rsidP="00773E1E">
      <w:pPr>
        <w:suppressAutoHyphens/>
        <w:spacing w:before="120" w:after="120" w:line="360" w:lineRule="auto"/>
        <w:jc w:val="both"/>
        <w:rPr>
          <w:rFonts w:ascii="Arial" w:hAnsi="Arial" w:cs="Arial"/>
          <w:lang w:val="es-ES_tradnl" w:eastAsia="en-US"/>
        </w:rPr>
      </w:pPr>
    </w:p>
    <w:p w14:paraId="33CED083" w14:textId="77777777" w:rsidR="00773E1E" w:rsidRPr="00E62154" w:rsidRDefault="00773E1E" w:rsidP="00773E1E">
      <w:pPr>
        <w:rPr>
          <w:rFonts w:cs="Arial"/>
          <w:sz w:val="20"/>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1151"/>
        <w:gridCol w:w="1151"/>
        <w:gridCol w:w="1151"/>
        <w:gridCol w:w="1151"/>
        <w:gridCol w:w="1152"/>
        <w:gridCol w:w="1152"/>
        <w:gridCol w:w="1152"/>
      </w:tblGrid>
      <w:tr w:rsidR="00773E1E" w:rsidRPr="00E62154" w14:paraId="70116705" w14:textId="77777777" w:rsidTr="00276EC8">
        <w:tc>
          <w:tcPr>
            <w:tcW w:w="1151" w:type="dxa"/>
          </w:tcPr>
          <w:p w14:paraId="20220117" w14:textId="77777777" w:rsidR="00773E1E" w:rsidRPr="00E62154" w:rsidRDefault="00773E1E" w:rsidP="00276EC8">
            <w:pPr>
              <w:jc w:val="center"/>
              <w:rPr>
                <w:rFonts w:ascii="Arial" w:hAnsi="Arial" w:cs="Arial"/>
                <w:b/>
                <w:sz w:val="20"/>
                <w:szCs w:val="20"/>
                <w:lang w:eastAsia="en-US"/>
              </w:rPr>
            </w:pPr>
            <w:r w:rsidRPr="00E62154">
              <w:rPr>
                <w:rFonts w:ascii="Arial" w:hAnsi="Arial" w:cs="Arial"/>
                <w:b/>
                <w:sz w:val="20"/>
                <w:szCs w:val="20"/>
                <w:lang w:eastAsia="en-US"/>
              </w:rPr>
              <w:t>h</w:t>
            </w:r>
          </w:p>
        </w:tc>
        <w:tc>
          <w:tcPr>
            <w:tcW w:w="1151" w:type="dxa"/>
          </w:tcPr>
          <w:p w14:paraId="53909E7B" w14:textId="77777777" w:rsidR="00773E1E" w:rsidRPr="00E62154" w:rsidRDefault="00773E1E" w:rsidP="00276EC8">
            <w:pPr>
              <w:jc w:val="center"/>
              <w:rPr>
                <w:rFonts w:ascii="Arial" w:hAnsi="Arial" w:cs="Arial"/>
                <w:b/>
                <w:sz w:val="20"/>
                <w:szCs w:val="20"/>
                <w:lang w:eastAsia="en-US"/>
              </w:rPr>
            </w:pPr>
            <w:r w:rsidRPr="00E62154">
              <w:rPr>
                <w:rFonts w:ascii="Arial" w:hAnsi="Arial" w:cs="Arial"/>
                <w:b/>
                <w:sz w:val="20"/>
                <w:szCs w:val="20"/>
                <w:lang w:eastAsia="en-US"/>
              </w:rPr>
              <w:t>7</w:t>
            </w:r>
          </w:p>
        </w:tc>
        <w:tc>
          <w:tcPr>
            <w:tcW w:w="1151" w:type="dxa"/>
          </w:tcPr>
          <w:p w14:paraId="6E1CA754" w14:textId="77777777" w:rsidR="00773E1E" w:rsidRPr="00E62154" w:rsidRDefault="00773E1E" w:rsidP="00276EC8">
            <w:pPr>
              <w:jc w:val="center"/>
              <w:rPr>
                <w:rFonts w:ascii="Arial" w:hAnsi="Arial" w:cs="Arial"/>
                <w:b/>
                <w:sz w:val="20"/>
                <w:szCs w:val="20"/>
                <w:lang w:eastAsia="en-US"/>
              </w:rPr>
            </w:pPr>
            <w:r w:rsidRPr="00E62154">
              <w:rPr>
                <w:rFonts w:ascii="Arial" w:hAnsi="Arial" w:cs="Arial"/>
                <w:b/>
                <w:sz w:val="20"/>
                <w:szCs w:val="20"/>
                <w:lang w:eastAsia="en-US"/>
              </w:rPr>
              <w:t>8</w:t>
            </w:r>
          </w:p>
        </w:tc>
        <w:tc>
          <w:tcPr>
            <w:tcW w:w="1151" w:type="dxa"/>
          </w:tcPr>
          <w:p w14:paraId="5C4C28C4" w14:textId="77777777" w:rsidR="00773E1E" w:rsidRPr="00E62154" w:rsidRDefault="00773E1E" w:rsidP="00276EC8">
            <w:pPr>
              <w:jc w:val="center"/>
              <w:rPr>
                <w:rFonts w:ascii="Arial" w:hAnsi="Arial" w:cs="Arial"/>
                <w:b/>
                <w:sz w:val="20"/>
                <w:szCs w:val="20"/>
                <w:lang w:eastAsia="en-US"/>
              </w:rPr>
            </w:pPr>
            <w:r w:rsidRPr="00E62154">
              <w:rPr>
                <w:rFonts w:ascii="Arial" w:hAnsi="Arial" w:cs="Arial"/>
                <w:b/>
                <w:sz w:val="20"/>
                <w:szCs w:val="20"/>
                <w:lang w:eastAsia="en-US"/>
              </w:rPr>
              <w:t>9</w:t>
            </w:r>
          </w:p>
        </w:tc>
        <w:tc>
          <w:tcPr>
            <w:tcW w:w="1151" w:type="dxa"/>
          </w:tcPr>
          <w:p w14:paraId="70C4CCBA" w14:textId="77777777" w:rsidR="00773E1E" w:rsidRPr="00E62154" w:rsidRDefault="00773E1E" w:rsidP="00276EC8">
            <w:pPr>
              <w:jc w:val="center"/>
              <w:rPr>
                <w:rFonts w:ascii="Arial" w:hAnsi="Arial" w:cs="Arial"/>
                <w:b/>
                <w:sz w:val="20"/>
                <w:szCs w:val="20"/>
                <w:lang w:eastAsia="en-US"/>
              </w:rPr>
            </w:pPr>
            <w:r w:rsidRPr="00E62154">
              <w:rPr>
                <w:rFonts w:ascii="Arial" w:hAnsi="Arial" w:cs="Arial"/>
                <w:b/>
                <w:sz w:val="20"/>
                <w:szCs w:val="20"/>
                <w:lang w:eastAsia="en-US"/>
              </w:rPr>
              <w:t>10</w:t>
            </w:r>
          </w:p>
        </w:tc>
        <w:tc>
          <w:tcPr>
            <w:tcW w:w="1152" w:type="dxa"/>
          </w:tcPr>
          <w:p w14:paraId="48EF007E" w14:textId="77777777" w:rsidR="00773E1E" w:rsidRPr="00E62154" w:rsidRDefault="00773E1E" w:rsidP="00276EC8">
            <w:pPr>
              <w:jc w:val="center"/>
              <w:rPr>
                <w:rFonts w:ascii="Arial" w:hAnsi="Arial" w:cs="Arial"/>
                <w:b/>
                <w:sz w:val="20"/>
                <w:szCs w:val="20"/>
                <w:lang w:eastAsia="en-US"/>
              </w:rPr>
            </w:pPr>
            <w:r w:rsidRPr="00E62154">
              <w:rPr>
                <w:rFonts w:ascii="Arial" w:hAnsi="Arial" w:cs="Arial"/>
                <w:b/>
                <w:sz w:val="20"/>
                <w:szCs w:val="20"/>
                <w:lang w:eastAsia="en-US"/>
              </w:rPr>
              <w:t>11</w:t>
            </w:r>
          </w:p>
        </w:tc>
        <w:tc>
          <w:tcPr>
            <w:tcW w:w="1152" w:type="dxa"/>
          </w:tcPr>
          <w:p w14:paraId="13F2C49B" w14:textId="77777777" w:rsidR="00773E1E" w:rsidRPr="00E62154" w:rsidRDefault="00773E1E" w:rsidP="00276EC8">
            <w:pPr>
              <w:jc w:val="center"/>
              <w:rPr>
                <w:rFonts w:ascii="Arial" w:hAnsi="Arial" w:cs="Arial"/>
                <w:b/>
                <w:sz w:val="20"/>
                <w:szCs w:val="20"/>
                <w:lang w:eastAsia="en-US"/>
              </w:rPr>
            </w:pPr>
            <w:r w:rsidRPr="00E62154">
              <w:rPr>
                <w:rFonts w:ascii="Arial" w:hAnsi="Arial" w:cs="Arial"/>
                <w:b/>
                <w:sz w:val="20"/>
                <w:szCs w:val="20"/>
                <w:lang w:eastAsia="en-US"/>
              </w:rPr>
              <w:t>12</w:t>
            </w:r>
          </w:p>
        </w:tc>
        <w:tc>
          <w:tcPr>
            <w:tcW w:w="1152" w:type="dxa"/>
          </w:tcPr>
          <w:p w14:paraId="636D3830" w14:textId="77777777" w:rsidR="00773E1E" w:rsidRPr="00E62154" w:rsidRDefault="00773E1E" w:rsidP="00276EC8">
            <w:pPr>
              <w:jc w:val="center"/>
              <w:rPr>
                <w:rFonts w:ascii="Arial" w:hAnsi="Arial" w:cs="Arial"/>
                <w:b/>
                <w:sz w:val="20"/>
                <w:szCs w:val="20"/>
                <w:lang w:eastAsia="en-US"/>
              </w:rPr>
            </w:pPr>
            <w:r w:rsidRPr="00E62154">
              <w:rPr>
                <w:rFonts w:ascii="Arial" w:hAnsi="Arial" w:cs="Arial"/>
                <w:b/>
                <w:sz w:val="20"/>
                <w:szCs w:val="20"/>
                <w:lang w:eastAsia="en-US"/>
              </w:rPr>
              <w:t>14</w:t>
            </w:r>
          </w:p>
        </w:tc>
      </w:tr>
      <w:tr w:rsidR="00773E1E" w:rsidRPr="00E62154" w14:paraId="42CEA5DB" w14:textId="77777777" w:rsidTr="00276EC8">
        <w:tc>
          <w:tcPr>
            <w:tcW w:w="1151" w:type="dxa"/>
          </w:tcPr>
          <w:p w14:paraId="66AA25FF" w14:textId="77777777" w:rsidR="00773E1E" w:rsidRPr="00E62154" w:rsidRDefault="00773E1E" w:rsidP="00276EC8">
            <w:pPr>
              <w:jc w:val="center"/>
              <w:rPr>
                <w:rFonts w:ascii="Arial" w:hAnsi="Arial" w:cs="Arial"/>
                <w:b/>
                <w:sz w:val="20"/>
                <w:szCs w:val="20"/>
                <w:lang w:eastAsia="en-US"/>
              </w:rPr>
            </w:pPr>
            <w:r w:rsidRPr="00E62154">
              <w:rPr>
                <w:rFonts w:ascii="Arial" w:hAnsi="Arial" w:cs="Arial"/>
                <w:b/>
                <w:sz w:val="20"/>
                <w:szCs w:val="20"/>
                <w:lang w:eastAsia="en-US"/>
              </w:rPr>
              <w:t>t</w:t>
            </w:r>
          </w:p>
        </w:tc>
        <w:tc>
          <w:tcPr>
            <w:tcW w:w="1151" w:type="dxa"/>
          </w:tcPr>
          <w:p w14:paraId="28809928" w14:textId="77777777" w:rsidR="00773E1E" w:rsidRPr="00E62154" w:rsidRDefault="00773E1E" w:rsidP="00276EC8">
            <w:pPr>
              <w:jc w:val="center"/>
              <w:rPr>
                <w:rFonts w:ascii="Arial" w:hAnsi="Arial" w:cs="Arial"/>
                <w:sz w:val="20"/>
                <w:szCs w:val="20"/>
                <w:lang w:eastAsia="en-US"/>
              </w:rPr>
            </w:pPr>
            <w:r w:rsidRPr="00E62154">
              <w:rPr>
                <w:rFonts w:ascii="Arial" w:hAnsi="Arial" w:cs="Arial"/>
                <w:sz w:val="20"/>
                <w:szCs w:val="20"/>
                <w:lang w:eastAsia="en-US"/>
              </w:rPr>
              <w:t>36</w:t>
            </w:r>
          </w:p>
        </w:tc>
        <w:tc>
          <w:tcPr>
            <w:tcW w:w="1151" w:type="dxa"/>
          </w:tcPr>
          <w:p w14:paraId="68804E1F" w14:textId="77777777" w:rsidR="00773E1E" w:rsidRPr="00E62154" w:rsidRDefault="00773E1E" w:rsidP="00276EC8">
            <w:pPr>
              <w:jc w:val="center"/>
              <w:rPr>
                <w:rFonts w:ascii="Arial" w:hAnsi="Arial" w:cs="Arial"/>
                <w:sz w:val="20"/>
                <w:szCs w:val="20"/>
                <w:lang w:eastAsia="en-US"/>
              </w:rPr>
            </w:pPr>
            <w:r w:rsidRPr="00E62154">
              <w:rPr>
                <w:rFonts w:ascii="Arial" w:hAnsi="Arial" w:cs="Arial"/>
                <w:sz w:val="20"/>
                <w:szCs w:val="20"/>
                <w:lang w:eastAsia="en-US"/>
              </w:rPr>
              <w:t>36</w:t>
            </w:r>
          </w:p>
        </w:tc>
        <w:tc>
          <w:tcPr>
            <w:tcW w:w="1151" w:type="dxa"/>
          </w:tcPr>
          <w:p w14:paraId="1D41FD1D" w14:textId="77777777" w:rsidR="00773E1E" w:rsidRPr="00E62154" w:rsidRDefault="00773E1E" w:rsidP="00276EC8">
            <w:pPr>
              <w:jc w:val="center"/>
              <w:rPr>
                <w:rFonts w:ascii="Arial" w:hAnsi="Arial" w:cs="Arial"/>
                <w:sz w:val="20"/>
                <w:szCs w:val="20"/>
                <w:lang w:eastAsia="en-US"/>
              </w:rPr>
            </w:pPr>
            <w:r w:rsidRPr="00E62154">
              <w:rPr>
                <w:rFonts w:ascii="Arial" w:hAnsi="Arial" w:cs="Arial"/>
                <w:sz w:val="20"/>
                <w:szCs w:val="20"/>
                <w:lang w:eastAsia="en-US"/>
              </w:rPr>
              <w:t>36</w:t>
            </w:r>
          </w:p>
        </w:tc>
        <w:tc>
          <w:tcPr>
            <w:tcW w:w="1151" w:type="dxa"/>
          </w:tcPr>
          <w:p w14:paraId="07981310" w14:textId="77777777" w:rsidR="00773E1E" w:rsidRPr="00E62154" w:rsidRDefault="00773E1E" w:rsidP="00276EC8">
            <w:pPr>
              <w:jc w:val="center"/>
              <w:rPr>
                <w:rFonts w:ascii="Arial" w:hAnsi="Arial" w:cs="Arial"/>
                <w:sz w:val="20"/>
                <w:szCs w:val="20"/>
                <w:lang w:eastAsia="en-US"/>
              </w:rPr>
            </w:pPr>
            <w:r w:rsidRPr="00E62154">
              <w:rPr>
                <w:rFonts w:ascii="Arial" w:hAnsi="Arial" w:cs="Arial"/>
                <w:sz w:val="20"/>
                <w:szCs w:val="20"/>
                <w:lang w:eastAsia="en-US"/>
              </w:rPr>
              <w:t>40</w:t>
            </w:r>
          </w:p>
        </w:tc>
        <w:tc>
          <w:tcPr>
            <w:tcW w:w="1152" w:type="dxa"/>
          </w:tcPr>
          <w:p w14:paraId="701FF1E6" w14:textId="77777777" w:rsidR="00773E1E" w:rsidRPr="00E62154" w:rsidRDefault="00773E1E" w:rsidP="00276EC8">
            <w:pPr>
              <w:jc w:val="center"/>
              <w:rPr>
                <w:rFonts w:ascii="Arial" w:hAnsi="Arial" w:cs="Arial"/>
                <w:sz w:val="20"/>
                <w:szCs w:val="20"/>
                <w:lang w:eastAsia="en-US"/>
              </w:rPr>
            </w:pPr>
            <w:r w:rsidRPr="00E62154">
              <w:rPr>
                <w:rFonts w:ascii="Arial" w:hAnsi="Arial" w:cs="Arial"/>
                <w:sz w:val="20"/>
                <w:szCs w:val="20"/>
                <w:lang w:eastAsia="en-US"/>
              </w:rPr>
              <w:t>40</w:t>
            </w:r>
          </w:p>
        </w:tc>
        <w:tc>
          <w:tcPr>
            <w:tcW w:w="1152" w:type="dxa"/>
          </w:tcPr>
          <w:p w14:paraId="14900163" w14:textId="77777777" w:rsidR="00773E1E" w:rsidRPr="00E62154" w:rsidRDefault="00773E1E" w:rsidP="00276EC8">
            <w:pPr>
              <w:jc w:val="center"/>
              <w:rPr>
                <w:rFonts w:ascii="Arial" w:hAnsi="Arial" w:cs="Arial"/>
                <w:sz w:val="20"/>
                <w:szCs w:val="20"/>
                <w:lang w:eastAsia="en-US"/>
              </w:rPr>
            </w:pPr>
            <w:r w:rsidRPr="00E62154">
              <w:rPr>
                <w:rFonts w:ascii="Arial" w:hAnsi="Arial" w:cs="Arial"/>
                <w:sz w:val="20"/>
                <w:szCs w:val="20"/>
                <w:lang w:eastAsia="en-US"/>
              </w:rPr>
              <w:t>40</w:t>
            </w:r>
          </w:p>
        </w:tc>
        <w:tc>
          <w:tcPr>
            <w:tcW w:w="1152" w:type="dxa"/>
          </w:tcPr>
          <w:p w14:paraId="7391FE1D" w14:textId="77777777" w:rsidR="00773E1E" w:rsidRPr="00E62154" w:rsidRDefault="00773E1E" w:rsidP="00276EC8">
            <w:pPr>
              <w:jc w:val="center"/>
              <w:rPr>
                <w:rFonts w:ascii="Arial" w:hAnsi="Arial" w:cs="Arial"/>
                <w:sz w:val="20"/>
                <w:szCs w:val="20"/>
                <w:lang w:eastAsia="en-US"/>
              </w:rPr>
            </w:pPr>
            <w:r w:rsidRPr="00E62154">
              <w:rPr>
                <w:rFonts w:ascii="Arial" w:hAnsi="Arial" w:cs="Arial"/>
                <w:sz w:val="20"/>
                <w:szCs w:val="20"/>
                <w:lang w:eastAsia="en-US"/>
              </w:rPr>
              <w:t>50</w:t>
            </w:r>
          </w:p>
        </w:tc>
      </w:tr>
      <w:tr w:rsidR="00773E1E" w:rsidRPr="00E62154" w14:paraId="6F6BBBB8" w14:textId="77777777" w:rsidTr="00276EC8">
        <w:tc>
          <w:tcPr>
            <w:tcW w:w="1151" w:type="dxa"/>
          </w:tcPr>
          <w:p w14:paraId="0CBD9E33" w14:textId="77777777" w:rsidR="00773E1E" w:rsidRPr="00E62154" w:rsidRDefault="00773E1E" w:rsidP="00276EC8">
            <w:pPr>
              <w:jc w:val="center"/>
              <w:rPr>
                <w:rFonts w:ascii="Arial" w:hAnsi="Arial" w:cs="Arial"/>
                <w:b/>
                <w:sz w:val="20"/>
                <w:szCs w:val="20"/>
                <w:lang w:eastAsia="en-US"/>
              </w:rPr>
            </w:pPr>
            <w:r w:rsidRPr="00E62154">
              <w:rPr>
                <w:rFonts w:ascii="Arial" w:hAnsi="Arial" w:cs="Arial"/>
                <w:b/>
                <w:sz w:val="20"/>
                <w:szCs w:val="20"/>
                <w:lang w:eastAsia="en-US"/>
              </w:rPr>
              <w:t>t</w:t>
            </w:r>
            <w:r w:rsidRPr="00E62154">
              <w:rPr>
                <w:rFonts w:ascii="Arial" w:hAnsi="Arial" w:cs="Arial"/>
                <w:b/>
                <w:sz w:val="20"/>
                <w:szCs w:val="20"/>
                <w:vertAlign w:val="subscript"/>
                <w:lang w:eastAsia="en-US"/>
              </w:rPr>
              <w:t>1</w:t>
            </w:r>
          </w:p>
        </w:tc>
        <w:tc>
          <w:tcPr>
            <w:tcW w:w="1151" w:type="dxa"/>
          </w:tcPr>
          <w:p w14:paraId="616AC39F" w14:textId="77777777" w:rsidR="00773E1E" w:rsidRPr="00E62154" w:rsidRDefault="00773E1E" w:rsidP="00276EC8">
            <w:pPr>
              <w:jc w:val="center"/>
              <w:rPr>
                <w:rFonts w:ascii="Arial" w:hAnsi="Arial" w:cs="Arial"/>
                <w:sz w:val="20"/>
                <w:szCs w:val="20"/>
                <w:lang w:eastAsia="en-US"/>
              </w:rPr>
            </w:pPr>
            <w:r w:rsidRPr="00E62154">
              <w:rPr>
                <w:rFonts w:ascii="Arial" w:hAnsi="Arial" w:cs="Arial"/>
                <w:sz w:val="20"/>
                <w:szCs w:val="20"/>
                <w:lang w:eastAsia="en-US"/>
              </w:rPr>
              <w:t>18,5</w:t>
            </w:r>
          </w:p>
        </w:tc>
        <w:tc>
          <w:tcPr>
            <w:tcW w:w="1151" w:type="dxa"/>
          </w:tcPr>
          <w:p w14:paraId="57DF9456" w14:textId="77777777" w:rsidR="00773E1E" w:rsidRPr="00E62154" w:rsidRDefault="00773E1E" w:rsidP="00276EC8">
            <w:pPr>
              <w:jc w:val="center"/>
              <w:rPr>
                <w:rFonts w:ascii="Arial" w:hAnsi="Arial" w:cs="Arial"/>
                <w:sz w:val="20"/>
                <w:szCs w:val="20"/>
                <w:lang w:eastAsia="en-US"/>
              </w:rPr>
            </w:pPr>
            <w:r w:rsidRPr="00E62154">
              <w:rPr>
                <w:rFonts w:ascii="Arial" w:hAnsi="Arial" w:cs="Arial"/>
                <w:sz w:val="20"/>
                <w:szCs w:val="20"/>
                <w:lang w:eastAsia="en-US"/>
              </w:rPr>
              <w:t>18,5</w:t>
            </w:r>
          </w:p>
        </w:tc>
        <w:tc>
          <w:tcPr>
            <w:tcW w:w="1151" w:type="dxa"/>
          </w:tcPr>
          <w:p w14:paraId="374A7E76" w14:textId="77777777" w:rsidR="00773E1E" w:rsidRPr="00E62154" w:rsidRDefault="00773E1E" w:rsidP="00276EC8">
            <w:pPr>
              <w:jc w:val="center"/>
              <w:rPr>
                <w:rFonts w:ascii="Arial" w:hAnsi="Arial" w:cs="Arial"/>
                <w:sz w:val="20"/>
                <w:szCs w:val="20"/>
                <w:lang w:eastAsia="en-US"/>
              </w:rPr>
            </w:pPr>
            <w:r w:rsidRPr="00E62154">
              <w:rPr>
                <w:rFonts w:ascii="Arial" w:hAnsi="Arial" w:cs="Arial"/>
                <w:sz w:val="20"/>
                <w:szCs w:val="20"/>
                <w:lang w:eastAsia="en-US"/>
              </w:rPr>
              <w:t>18,5</w:t>
            </w:r>
          </w:p>
        </w:tc>
        <w:tc>
          <w:tcPr>
            <w:tcW w:w="1151" w:type="dxa"/>
          </w:tcPr>
          <w:p w14:paraId="3FE238D4" w14:textId="77777777" w:rsidR="00773E1E" w:rsidRPr="00E62154" w:rsidRDefault="00773E1E" w:rsidP="00276EC8">
            <w:pPr>
              <w:jc w:val="center"/>
              <w:rPr>
                <w:rFonts w:ascii="Arial" w:hAnsi="Arial" w:cs="Arial"/>
                <w:sz w:val="20"/>
                <w:szCs w:val="20"/>
                <w:lang w:eastAsia="en-US"/>
              </w:rPr>
            </w:pPr>
            <w:r w:rsidRPr="00E62154">
              <w:rPr>
                <w:rFonts w:ascii="Arial" w:hAnsi="Arial" w:cs="Arial"/>
                <w:sz w:val="20"/>
                <w:szCs w:val="20"/>
                <w:lang w:eastAsia="en-US"/>
              </w:rPr>
              <w:t>21,5</w:t>
            </w:r>
          </w:p>
        </w:tc>
        <w:tc>
          <w:tcPr>
            <w:tcW w:w="1152" w:type="dxa"/>
          </w:tcPr>
          <w:p w14:paraId="64AAED30" w14:textId="77777777" w:rsidR="00773E1E" w:rsidRPr="00E62154" w:rsidRDefault="00773E1E" w:rsidP="00276EC8">
            <w:pPr>
              <w:jc w:val="center"/>
              <w:rPr>
                <w:rFonts w:ascii="Arial" w:hAnsi="Arial" w:cs="Arial"/>
                <w:sz w:val="20"/>
                <w:szCs w:val="20"/>
                <w:lang w:eastAsia="en-US"/>
              </w:rPr>
            </w:pPr>
            <w:r w:rsidRPr="00E62154">
              <w:rPr>
                <w:rFonts w:ascii="Arial" w:hAnsi="Arial" w:cs="Arial"/>
                <w:sz w:val="20"/>
                <w:szCs w:val="20"/>
                <w:lang w:eastAsia="en-US"/>
              </w:rPr>
              <w:t>21,5</w:t>
            </w:r>
          </w:p>
        </w:tc>
        <w:tc>
          <w:tcPr>
            <w:tcW w:w="1152" w:type="dxa"/>
          </w:tcPr>
          <w:p w14:paraId="0C5A31EB" w14:textId="77777777" w:rsidR="00773E1E" w:rsidRPr="00E62154" w:rsidRDefault="00773E1E" w:rsidP="00276EC8">
            <w:pPr>
              <w:jc w:val="center"/>
              <w:rPr>
                <w:rFonts w:ascii="Arial" w:hAnsi="Arial" w:cs="Arial"/>
                <w:sz w:val="20"/>
                <w:szCs w:val="20"/>
                <w:lang w:eastAsia="en-US"/>
              </w:rPr>
            </w:pPr>
            <w:r w:rsidRPr="00E62154">
              <w:rPr>
                <w:rFonts w:ascii="Arial" w:hAnsi="Arial" w:cs="Arial"/>
                <w:sz w:val="20"/>
                <w:szCs w:val="20"/>
                <w:lang w:eastAsia="en-US"/>
              </w:rPr>
              <w:t>21,5</w:t>
            </w:r>
          </w:p>
        </w:tc>
        <w:tc>
          <w:tcPr>
            <w:tcW w:w="1152" w:type="dxa"/>
          </w:tcPr>
          <w:p w14:paraId="7B39B1ED" w14:textId="77777777" w:rsidR="00773E1E" w:rsidRPr="00E62154" w:rsidRDefault="00773E1E" w:rsidP="00276EC8">
            <w:pPr>
              <w:jc w:val="center"/>
              <w:rPr>
                <w:rFonts w:ascii="Arial" w:hAnsi="Arial" w:cs="Arial"/>
                <w:sz w:val="20"/>
                <w:szCs w:val="20"/>
                <w:lang w:eastAsia="en-US"/>
              </w:rPr>
            </w:pPr>
            <w:r w:rsidRPr="00E62154">
              <w:rPr>
                <w:rFonts w:ascii="Arial" w:hAnsi="Arial" w:cs="Arial"/>
                <w:sz w:val="20"/>
                <w:szCs w:val="20"/>
                <w:lang w:eastAsia="en-US"/>
              </w:rPr>
              <w:t>25</w:t>
            </w:r>
          </w:p>
        </w:tc>
      </w:tr>
    </w:tbl>
    <w:p w14:paraId="130D6DF8" w14:textId="77777777" w:rsidR="00773E1E" w:rsidRPr="00E62154" w:rsidRDefault="00773E1E" w:rsidP="00773E1E">
      <w:pPr>
        <w:jc w:val="center"/>
        <w:rPr>
          <w:rFonts w:ascii="Arial" w:hAnsi="Arial" w:cs="Arial"/>
          <w:lang w:eastAsia="en-US"/>
        </w:rPr>
      </w:pPr>
    </w:p>
    <w:p w14:paraId="05407AC5" w14:textId="77777777" w:rsidR="00773E1E" w:rsidRPr="00E62154" w:rsidRDefault="00773E1E" w:rsidP="00773E1E">
      <w:pPr>
        <w:rPr>
          <w:rFonts w:ascii="Arial" w:hAnsi="Arial" w:cs="Arial"/>
          <w:sz w:val="18"/>
          <w:lang w:eastAsia="en-US"/>
        </w:rPr>
      </w:pPr>
      <w:r w:rsidRPr="00E62154">
        <w:rPr>
          <w:rFonts w:ascii="Arial" w:hAnsi="Arial" w:cs="Arial"/>
          <w:sz w:val="18"/>
          <w:lang w:eastAsia="en-US"/>
        </w:rPr>
        <w:t>Nota. Salvo h que se expresa en metros, las demás magnitudes se han definido en milímetros</w:t>
      </w:r>
    </w:p>
    <w:p w14:paraId="15B28979" w14:textId="77777777" w:rsidR="00773E1E" w:rsidRPr="00E62154" w:rsidRDefault="00773E1E" w:rsidP="00773E1E">
      <w:pPr>
        <w:jc w:val="center"/>
        <w:rPr>
          <w:rFonts w:cs="Arial"/>
          <w:b/>
          <w:sz w:val="20"/>
          <w:szCs w:val="22"/>
          <w:u w:val="single"/>
          <w:lang w:eastAsia="en-US"/>
        </w:rPr>
      </w:pPr>
    </w:p>
    <w:p w14:paraId="7D509961" w14:textId="77777777" w:rsidR="00773E1E" w:rsidRPr="00E62154" w:rsidRDefault="00773E1E" w:rsidP="00773E1E">
      <w:pPr>
        <w:jc w:val="center"/>
        <w:rPr>
          <w:rFonts w:cs="Arial"/>
          <w:b/>
          <w:sz w:val="20"/>
          <w:szCs w:val="22"/>
          <w:lang w:eastAsia="en-US"/>
        </w:rPr>
      </w:pPr>
      <w:r w:rsidRPr="00E62154">
        <w:rPr>
          <w:rFonts w:cs="Arial"/>
          <w:b/>
          <w:sz w:val="20"/>
          <w:szCs w:val="22"/>
          <w:lang w:eastAsia="en-US"/>
        </w:rPr>
        <w:t>Tuercas Métricas.</w:t>
      </w:r>
    </w:p>
    <w:p w14:paraId="181927CF" w14:textId="77777777" w:rsidR="00773E1E" w:rsidRPr="00E62154" w:rsidRDefault="00773E1E" w:rsidP="00773E1E">
      <w:pPr>
        <w:rPr>
          <w:rFonts w:cs="Arial"/>
          <w:sz w:val="20"/>
          <w:szCs w:val="22"/>
          <w:lang w:eastAsia="en-US"/>
        </w:rPr>
      </w:pPr>
    </w:p>
    <w:p w14:paraId="1818F68F"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Las arandelas serán cuadradas, de acero y galvanizadas; sus dimensiones recomendadas se determinan en función de la altura h del soporte, según se establece en la figura y tabla siguientes</w:t>
      </w:r>
    </w:p>
    <w:p w14:paraId="10B794EF"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A1 = lado de la arandela.</w:t>
      </w:r>
    </w:p>
    <w:p w14:paraId="6DD94527"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a1 = espesor de la arandela.</w:t>
      </w:r>
    </w:p>
    <w:p w14:paraId="433EC914"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ɸ1 = diámetro agujero arandela.</w:t>
      </w:r>
    </w:p>
    <w:p w14:paraId="5AB4CAEC" w14:textId="77777777" w:rsidR="00773E1E" w:rsidRPr="00E62154" w:rsidRDefault="00773E1E" w:rsidP="00773E1E">
      <w:pPr>
        <w:rPr>
          <w:rFonts w:cs="Arial"/>
          <w:color w:val="FF0000"/>
          <w:sz w:val="20"/>
          <w:szCs w:val="22"/>
          <w:lang w:eastAsia="en-US"/>
        </w:rPr>
      </w:pPr>
    </w:p>
    <w:p w14:paraId="64D9A496" w14:textId="77777777" w:rsidR="00773E1E" w:rsidRPr="00E62154" w:rsidRDefault="00773E1E" w:rsidP="00773E1E">
      <w:pPr>
        <w:rPr>
          <w:rFonts w:cs="Arial"/>
          <w:color w:val="FF0000"/>
          <w:sz w:val="20"/>
          <w:szCs w:val="22"/>
          <w:lang w:eastAsia="en-US"/>
        </w:rPr>
      </w:pPr>
    </w:p>
    <w:p w14:paraId="0C8BFB11" w14:textId="77777777" w:rsidR="00773E1E" w:rsidRPr="00E62154" w:rsidRDefault="00773E1E" w:rsidP="00773E1E">
      <w:pPr>
        <w:rPr>
          <w:rFonts w:cs="Arial"/>
          <w:sz w:val="20"/>
          <w:szCs w:val="22"/>
          <w:lang w:eastAsia="en-US"/>
        </w:rPr>
      </w:pPr>
    </w:p>
    <w:p w14:paraId="712B7637" w14:textId="77777777" w:rsidR="00773E1E" w:rsidRPr="00E62154" w:rsidRDefault="00773E1E" w:rsidP="00773E1E">
      <w:pPr>
        <w:jc w:val="center"/>
        <w:rPr>
          <w:rFonts w:cs="Arial"/>
          <w:sz w:val="20"/>
          <w:szCs w:val="22"/>
          <w:lang w:eastAsia="en-US"/>
        </w:rPr>
      </w:pPr>
      <w:r w:rsidRPr="00E62154">
        <w:rPr>
          <w:rFonts w:cs="Arial"/>
          <w:noProof/>
          <w:sz w:val="20"/>
          <w:szCs w:val="22"/>
        </w:rPr>
        <w:drawing>
          <wp:inline distT="0" distB="0" distL="0" distR="0" wp14:anchorId="531F6194" wp14:editId="75EF5B88">
            <wp:extent cx="3124200" cy="2009775"/>
            <wp:effectExtent l="19050" t="0" r="0" b="0"/>
            <wp:docPr id="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9" cstate="print"/>
                    <a:srcRect/>
                    <a:stretch>
                      <a:fillRect/>
                    </a:stretch>
                  </pic:blipFill>
                  <pic:spPr bwMode="auto">
                    <a:xfrm>
                      <a:off x="0" y="0"/>
                      <a:ext cx="3124200" cy="2009775"/>
                    </a:xfrm>
                    <a:prstGeom prst="rect">
                      <a:avLst/>
                    </a:prstGeom>
                    <a:noFill/>
                    <a:ln w="9525">
                      <a:noFill/>
                      <a:miter lim="800000"/>
                      <a:headEnd/>
                      <a:tailEnd/>
                    </a:ln>
                  </pic:spPr>
                </pic:pic>
              </a:graphicData>
            </a:graphic>
          </wp:inline>
        </w:drawing>
      </w:r>
    </w:p>
    <w:p w14:paraId="2B632148" w14:textId="77777777" w:rsidR="00773E1E" w:rsidRPr="00E62154" w:rsidRDefault="00773E1E" w:rsidP="00773E1E">
      <w:pPr>
        <w:rPr>
          <w:rFonts w:cs="Arial"/>
          <w:sz w:val="20"/>
          <w:szCs w:val="22"/>
          <w:lang w:eastAsia="en-US"/>
        </w:rPr>
      </w:pPr>
    </w:p>
    <w:p w14:paraId="15008008" w14:textId="77777777" w:rsidR="00773E1E" w:rsidRPr="00E62154" w:rsidRDefault="00773E1E" w:rsidP="00773E1E">
      <w:pPr>
        <w:rPr>
          <w:rFonts w:cs="Arial"/>
          <w:sz w:val="20"/>
          <w:szCs w:val="22"/>
          <w:lang w:eastAsia="en-US"/>
        </w:rPr>
      </w:pPr>
    </w:p>
    <w:p w14:paraId="4F3C6136" w14:textId="77777777" w:rsidR="00773E1E" w:rsidRPr="00E62154" w:rsidRDefault="00773E1E" w:rsidP="00773E1E">
      <w:pPr>
        <w:rPr>
          <w:rFonts w:cs="Arial"/>
          <w:sz w:val="20"/>
          <w:szCs w:val="22"/>
          <w:lang w:eastAsia="en-US"/>
        </w:rPr>
      </w:pPr>
    </w:p>
    <w:p w14:paraId="5A6A3832" w14:textId="77777777" w:rsidR="00773E1E" w:rsidRPr="00E62154" w:rsidRDefault="00773E1E" w:rsidP="00773E1E">
      <w:pPr>
        <w:rPr>
          <w:rFonts w:cs="Arial"/>
          <w:sz w:val="20"/>
          <w:szCs w:val="22"/>
          <w:lang w:eastAsia="en-US"/>
        </w:rPr>
      </w:pPr>
      <w:r>
        <w:rPr>
          <w:rFonts w:cs="Arial"/>
          <w:sz w:val="20"/>
          <w:szCs w:val="22"/>
          <w:lang w:eastAsia="en-US"/>
        </w:rPr>
        <w:br w:type="column"/>
      </w:r>
    </w:p>
    <w:p w14:paraId="37FABF5D" w14:textId="77777777" w:rsidR="00773E1E" w:rsidRPr="00E62154" w:rsidRDefault="00773E1E" w:rsidP="00773E1E">
      <w:pPr>
        <w:rPr>
          <w:rFonts w:cs="Arial"/>
          <w:sz w:val="20"/>
          <w:szCs w:val="22"/>
          <w:lang w:eastAsia="en-US"/>
        </w:rPr>
      </w:pPr>
    </w:p>
    <w:p w14:paraId="298C2D86" w14:textId="77777777" w:rsidR="00773E1E" w:rsidRPr="00E62154" w:rsidRDefault="00773E1E" w:rsidP="00773E1E">
      <w:pPr>
        <w:rPr>
          <w:rFonts w:cs="Arial"/>
          <w:sz w:val="20"/>
          <w:szCs w:val="22"/>
          <w:lang w:eastAsia="en-US"/>
        </w:rPr>
      </w:pPr>
    </w:p>
    <w:p w14:paraId="01BB4640" w14:textId="77777777" w:rsidR="00773E1E" w:rsidRPr="00E62154" w:rsidRDefault="00773E1E" w:rsidP="00773E1E">
      <w:pPr>
        <w:jc w:val="center"/>
        <w:rPr>
          <w:rFonts w:cs="Arial"/>
          <w:b/>
          <w:sz w:val="20"/>
          <w:szCs w:val="22"/>
          <w:lang w:eastAsia="en-US"/>
        </w:rPr>
      </w:pPr>
      <w:r w:rsidRPr="00E62154">
        <w:rPr>
          <w:rFonts w:cs="Arial"/>
          <w:b/>
          <w:noProof/>
          <w:sz w:val="20"/>
          <w:szCs w:val="22"/>
        </w:rPr>
        <w:drawing>
          <wp:inline distT="0" distB="0" distL="0" distR="0" wp14:anchorId="7A975867" wp14:editId="1B276C1E">
            <wp:extent cx="3095625" cy="1962150"/>
            <wp:effectExtent l="19050" t="0" r="9525" b="0"/>
            <wp:docPr id="15" name="Imagen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8"/>
                    <pic:cNvPicPr>
                      <a:picLocks noChangeAspect="1" noChangeArrowheads="1"/>
                    </pic:cNvPicPr>
                  </pic:nvPicPr>
                  <pic:blipFill>
                    <a:blip r:embed="rId40" cstate="print"/>
                    <a:srcRect l="9726" t="9664" r="9227" b="3781"/>
                    <a:stretch>
                      <a:fillRect/>
                    </a:stretch>
                  </pic:blipFill>
                  <pic:spPr bwMode="auto">
                    <a:xfrm>
                      <a:off x="0" y="0"/>
                      <a:ext cx="3095625" cy="1962150"/>
                    </a:xfrm>
                    <a:prstGeom prst="rect">
                      <a:avLst/>
                    </a:prstGeom>
                    <a:noFill/>
                    <a:ln w="9525">
                      <a:noFill/>
                      <a:miter lim="800000"/>
                      <a:headEnd/>
                      <a:tailEnd/>
                    </a:ln>
                  </pic:spPr>
                </pic:pic>
              </a:graphicData>
            </a:graphic>
          </wp:inline>
        </w:drawing>
      </w:r>
    </w:p>
    <w:p w14:paraId="0882AD31" w14:textId="77777777" w:rsidR="00773E1E" w:rsidRPr="00E62154" w:rsidRDefault="00773E1E" w:rsidP="00773E1E">
      <w:pPr>
        <w:jc w:val="center"/>
        <w:rPr>
          <w:rFonts w:cs="Arial"/>
          <w:b/>
          <w:sz w:val="20"/>
          <w:szCs w:val="22"/>
          <w:lang w:eastAsia="en-US"/>
        </w:rPr>
      </w:pPr>
    </w:p>
    <w:p w14:paraId="183ADD2A" w14:textId="77777777" w:rsidR="00773E1E" w:rsidRPr="00E62154" w:rsidRDefault="00773E1E" w:rsidP="00773E1E">
      <w:pPr>
        <w:jc w:val="center"/>
        <w:rPr>
          <w:rFonts w:cs="Arial"/>
          <w:b/>
          <w:sz w:val="20"/>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1"/>
        <w:gridCol w:w="1151"/>
        <w:gridCol w:w="1151"/>
        <w:gridCol w:w="1151"/>
        <w:gridCol w:w="1151"/>
        <w:gridCol w:w="1152"/>
        <w:gridCol w:w="1152"/>
        <w:gridCol w:w="1152"/>
      </w:tblGrid>
      <w:tr w:rsidR="00773E1E" w:rsidRPr="00E62154" w14:paraId="09995310" w14:textId="77777777" w:rsidTr="00276EC8">
        <w:trPr>
          <w:jc w:val="center"/>
        </w:trPr>
        <w:tc>
          <w:tcPr>
            <w:tcW w:w="1151" w:type="dxa"/>
          </w:tcPr>
          <w:p w14:paraId="25434CBF"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h</w:t>
            </w:r>
          </w:p>
        </w:tc>
        <w:tc>
          <w:tcPr>
            <w:tcW w:w="1151" w:type="dxa"/>
          </w:tcPr>
          <w:p w14:paraId="21E40455"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7</w:t>
            </w:r>
          </w:p>
        </w:tc>
        <w:tc>
          <w:tcPr>
            <w:tcW w:w="1151" w:type="dxa"/>
          </w:tcPr>
          <w:p w14:paraId="4386F0E8"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8</w:t>
            </w:r>
          </w:p>
        </w:tc>
        <w:tc>
          <w:tcPr>
            <w:tcW w:w="1151" w:type="dxa"/>
          </w:tcPr>
          <w:p w14:paraId="2AD4C312"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9</w:t>
            </w:r>
          </w:p>
        </w:tc>
        <w:tc>
          <w:tcPr>
            <w:tcW w:w="1151" w:type="dxa"/>
          </w:tcPr>
          <w:p w14:paraId="3F4C4FF9"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10</w:t>
            </w:r>
          </w:p>
        </w:tc>
        <w:tc>
          <w:tcPr>
            <w:tcW w:w="1152" w:type="dxa"/>
          </w:tcPr>
          <w:p w14:paraId="6DA4D367"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11</w:t>
            </w:r>
          </w:p>
        </w:tc>
        <w:tc>
          <w:tcPr>
            <w:tcW w:w="1152" w:type="dxa"/>
          </w:tcPr>
          <w:p w14:paraId="674F0F5A"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12</w:t>
            </w:r>
          </w:p>
        </w:tc>
        <w:tc>
          <w:tcPr>
            <w:tcW w:w="1152" w:type="dxa"/>
          </w:tcPr>
          <w:p w14:paraId="5F0CD020"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14</w:t>
            </w:r>
          </w:p>
        </w:tc>
      </w:tr>
      <w:tr w:rsidR="00773E1E" w:rsidRPr="00E62154" w14:paraId="1B6F464F" w14:textId="77777777" w:rsidTr="00276EC8">
        <w:trPr>
          <w:jc w:val="center"/>
        </w:trPr>
        <w:tc>
          <w:tcPr>
            <w:tcW w:w="1151" w:type="dxa"/>
          </w:tcPr>
          <w:p w14:paraId="5A1454D1"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A</w:t>
            </w:r>
            <w:r w:rsidRPr="00E62154">
              <w:rPr>
                <w:rFonts w:ascii="Arial" w:hAnsi="Arial" w:cs="Arial"/>
                <w:b/>
                <w:sz w:val="20"/>
                <w:szCs w:val="22"/>
                <w:vertAlign w:val="subscript"/>
                <w:lang w:eastAsia="en-US"/>
              </w:rPr>
              <w:t>1</w:t>
            </w:r>
          </w:p>
        </w:tc>
        <w:tc>
          <w:tcPr>
            <w:tcW w:w="1151" w:type="dxa"/>
          </w:tcPr>
          <w:p w14:paraId="5906C51E"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50</w:t>
            </w:r>
          </w:p>
        </w:tc>
        <w:tc>
          <w:tcPr>
            <w:tcW w:w="1151" w:type="dxa"/>
          </w:tcPr>
          <w:p w14:paraId="73C4FF04"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50</w:t>
            </w:r>
          </w:p>
        </w:tc>
        <w:tc>
          <w:tcPr>
            <w:tcW w:w="1151" w:type="dxa"/>
          </w:tcPr>
          <w:p w14:paraId="6778249A"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50</w:t>
            </w:r>
          </w:p>
        </w:tc>
        <w:tc>
          <w:tcPr>
            <w:tcW w:w="1151" w:type="dxa"/>
          </w:tcPr>
          <w:p w14:paraId="0721145F"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60</w:t>
            </w:r>
          </w:p>
        </w:tc>
        <w:tc>
          <w:tcPr>
            <w:tcW w:w="1152" w:type="dxa"/>
          </w:tcPr>
          <w:p w14:paraId="1B172D9F"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60</w:t>
            </w:r>
          </w:p>
        </w:tc>
        <w:tc>
          <w:tcPr>
            <w:tcW w:w="1152" w:type="dxa"/>
          </w:tcPr>
          <w:p w14:paraId="633DED93"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60</w:t>
            </w:r>
          </w:p>
        </w:tc>
        <w:tc>
          <w:tcPr>
            <w:tcW w:w="1152" w:type="dxa"/>
          </w:tcPr>
          <w:p w14:paraId="59CFFED0"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70</w:t>
            </w:r>
          </w:p>
        </w:tc>
      </w:tr>
      <w:tr w:rsidR="00773E1E" w:rsidRPr="00E62154" w14:paraId="6226D502" w14:textId="77777777" w:rsidTr="00276EC8">
        <w:trPr>
          <w:jc w:val="center"/>
        </w:trPr>
        <w:tc>
          <w:tcPr>
            <w:tcW w:w="1151" w:type="dxa"/>
          </w:tcPr>
          <w:p w14:paraId="16E908E3"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a</w:t>
            </w:r>
            <w:r w:rsidRPr="00E62154">
              <w:rPr>
                <w:rFonts w:ascii="Arial" w:hAnsi="Arial" w:cs="Arial"/>
                <w:b/>
                <w:sz w:val="20"/>
                <w:szCs w:val="22"/>
                <w:vertAlign w:val="subscript"/>
                <w:lang w:eastAsia="en-US"/>
              </w:rPr>
              <w:t>1</w:t>
            </w:r>
          </w:p>
        </w:tc>
        <w:tc>
          <w:tcPr>
            <w:tcW w:w="1151" w:type="dxa"/>
          </w:tcPr>
          <w:p w14:paraId="0506AB2F"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5</w:t>
            </w:r>
          </w:p>
        </w:tc>
        <w:tc>
          <w:tcPr>
            <w:tcW w:w="1151" w:type="dxa"/>
          </w:tcPr>
          <w:p w14:paraId="6BE1DED2"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5</w:t>
            </w:r>
          </w:p>
        </w:tc>
        <w:tc>
          <w:tcPr>
            <w:tcW w:w="1151" w:type="dxa"/>
          </w:tcPr>
          <w:p w14:paraId="532E19B2"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5</w:t>
            </w:r>
          </w:p>
        </w:tc>
        <w:tc>
          <w:tcPr>
            <w:tcW w:w="1151" w:type="dxa"/>
          </w:tcPr>
          <w:p w14:paraId="2A9CA1CC"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8</w:t>
            </w:r>
          </w:p>
        </w:tc>
        <w:tc>
          <w:tcPr>
            <w:tcW w:w="1152" w:type="dxa"/>
          </w:tcPr>
          <w:p w14:paraId="55F7EAAC"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8</w:t>
            </w:r>
          </w:p>
        </w:tc>
        <w:tc>
          <w:tcPr>
            <w:tcW w:w="1152" w:type="dxa"/>
          </w:tcPr>
          <w:p w14:paraId="22F2A0FA"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8</w:t>
            </w:r>
          </w:p>
        </w:tc>
        <w:tc>
          <w:tcPr>
            <w:tcW w:w="1152" w:type="dxa"/>
          </w:tcPr>
          <w:p w14:paraId="51165E27"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8</w:t>
            </w:r>
          </w:p>
        </w:tc>
      </w:tr>
      <w:tr w:rsidR="00773E1E" w:rsidRPr="00E62154" w14:paraId="4C950AB6" w14:textId="77777777" w:rsidTr="00276EC8">
        <w:trPr>
          <w:jc w:val="center"/>
        </w:trPr>
        <w:tc>
          <w:tcPr>
            <w:tcW w:w="1151" w:type="dxa"/>
          </w:tcPr>
          <w:p w14:paraId="06C69B93" w14:textId="77777777" w:rsidR="00773E1E" w:rsidRPr="00E62154" w:rsidRDefault="00773E1E" w:rsidP="00276EC8">
            <w:pPr>
              <w:jc w:val="center"/>
              <w:rPr>
                <w:rFonts w:ascii="Arial" w:hAnsi="Arial" w:cs="Arial"/>
                <w:b/>
                <w:sz w:val="20"/>
                <w:szCs w:val="22"/>
                <w:lang w:eastAsia="en-US"/>
              </w:rPr>
            </w:pPr>
            <w:r w:rsidRPr="00E62154">
              <w:rPr>
                <w:rFonts w:ascii="Arial" w:hAnsi="Arial" w:cs="Arial"/>
                <w:b/>
                <w:sz w:val="20"/>
                <w:szCs w:val="22"/>
                <w:lang w:eastAsia="en-US"/>
              </w:rPr>
              <w:t>ɸ</w:t>
            </w:r>
            <w:r w:rsidRPr="00E62154">
              <w:rPr>
                <w:rFonts w:ascii="Arial" w:hAnsi="Arial" w:cs="Arial"/>
                <w:b/>
                <w:sz w:val="20"/>
                <w:szCs w:val="22"/>
                <w:vertAlign w:val="subscript"/>
                <w:lang w:eastAsia="en-US"/>
              </w:rPr>
              <w:t>1</w:t>
            </w:r>
          </w:p>
        </w:tc>
        <w:tc>
          <w:tcPr>
            <w:tcW w:w="1151" w:type="dxa"/>
          </w:tcPr>
          <w:p w14:paraId="0C4B14D2"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24,5</w:t>
            </w:r>
          </w:p>
        </w:tc>
        <w:tc>
          <w:tcPr>
            <w:tcW w:w="1151" w:type="dxa"/>
          </w:tcPr>
          <w:p w14:paraId="376A7B88"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24,5</w:t>
            </w:r>
          </w:p>
        </w:tc>
        <w:tc>
          <w:tcPr>
            <w:tcW w:w="1151" w:type="dxa"/>
          </w:tcPr>
          <w:p w14:paraId="0B11CF93"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24,5</w:t>
            </w:r>
          </w:p>
        </w:tc>
        <w:tc>
          <w:tcPr>
            <w:tcW w:w="1151" w:type="dxa"/>
          </w:tcPr>
          <w:p w14:paraId="4554F299"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27,5</w:t>
            </w:r>
          </w:p>
        </w:tc>
        <w:tc>
          <w:tcPr>
            <w:tcW w:w="1152" w:type="dxa"/>
          </w:tcPr>
          <w:p w14:paraId="66EBBA43"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27,5</w:t>
            </w:r>
          </w:p>
        </w:tc>
        <w:tc>
          <w:tcPr>
            <w:tcW w:w="1152" w:type="dxa"/>
          </w:tcPr>
          <w:p w14:paraId="7C557EA4"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27,5</w:t>
            </w:r>
          </w:p>
        </w:tc>
        <w:tc>
          <w:tcPr>
            <w:tcW w:w="1152" w:type="dxa"/>
          </w:tcPr>
          <w:p w14:paraId="76E865C4" w14:textId="77777777" w:rsidR="00773E1E" w:rsidRPr="00E62154" w:rsidRDefault="00773E1E" w:rsidP="00276EC8">
            <w:pPr>
              <w:jc w:val="center"/>
              <w:rPr>
                <w:rFonts w:ascii="Arial" w:hAnsi="Arial" w:cs="Arial"/>
                <w:sz w:val="20"/>
                <w:szCs w:val="22"/>
                <w:lang w:eastAsia="en-US"/>
              </w:rPr>
            </w:pPr>
            <w:r w:rsidRPr="00E62154">
              <w:rPr>
                <w:rFonts w:ascii="Arial" w:hAnsi="Arial" w:cs="Arial"/>
                <w:sz w:val="20"/>
                <w:szCs w:val="22"/>
                <w:lang w:eastAsia="en-US"/>
              </w:rPr>
              <w:t>33,5</w:t>
            </w:r>
          </w:p>
        </w:tc>
      </w:tr>
    </w:tbl>
    <w:p w14:paraId="0CC8C15C" w14:textId="77777777" w:rsidR="00773E1E" w:rsidRPr="00E62154" w:rsidRDefault="00773E1E" w:rsidP="00773E1E">
      <w:pPr>
        <w:jc w:val="center"/>
        <w:rPr>
          <w:rFonts w:ascii="Arial" w:hAnsi="Arial" w:cs="Arial"/>
          <w:sz w:val="18"/>
          <w:szCs w:val="18"/>
          <w:lang w:eastAsia="en-US"/>
        </w:rPr>
      </w:pPr>
      <w:r w:rsidRPr="00E62154">
        <w:rPr>
          <w:rFonts w:ascii="Arial" w:hAnsi="Arial" w:cs="Arial"/>
          <w:sz w:val="18"/>
          <w:szCs w:val="18"/>
          <w:lang w:eastAsia="en-US"/>
        </w:rPr>
        <w:t>Nota. Salvo h que se expresa en metros, las demás magnitudes se han definido en milímetros</w:t>
      </w:r>
    </w:p>
    <w:p w14:paraId="0CAEA6B7" w14:textId="77777777" w:rsidR="00773E1E" w:rsidRPr="00E62154" w:rsidRDefault="00773E1E" w:rsidP="00773E1E">
      <w:pPr>
        <w:rPr>
          <w:rFonts w:cs="Arial"/>
          <w:sz w:val="20"/>
          <w:szCs w:val="22"/>
          <w:lang w:eastAsia="en-US"/>
        </w:rPr>
      </w:pPr>
    </w:p>
    <w:p w14:paraId="233E681D" w14:textId="77777777" w:rsidR="00773E1E" w:rsidRPr="00E62154" w:rsidRDefault="00773E1E" w:rsidP="00773E1E">
      <w:pPr>
        <w:jc w:val="center"/>
        <w:rPr>
          <w:rFonts w:cs="Arial"/>
          <w:b/>
          <w:sz w:val="20"/>
          <w:szCs w:val="22"/>
          <w:lang w:eastAsia="en-US"/>
        </w:rPr>
      </w:pPr>
      <w:r w:rsidRPr="00E62154">
        <w:rPr>
          <w:rFonts w:cs="Arial"/>
          <w:b/>
          <w:sz w:val="20"/>
          <w:szCs w:val="22"/>
          <w:lang w:eastAsia="en-US"/>
        </w:rPr>
        <w:t>Arandelas.</w:t>
      </w:r>
    </w:p>
    <w:p w14:paraId="2C2CEBC4" w14:textId="77777777" w:rsidR="00773E1E" w:rsidRPr="00E62154" w:rsidRDefault="00773E1E" w:rsidP="00773E1E">
      <w:pPr>
        <w:rPr>
          <w:rFonts w:cs="Arial"/>
          <w:sz w:val="20"/>
          <w:szCs w:val="22"/>
          <w:lang w:eastAsia="en-US"/>
        </w:rPr>
      </w:pPr>
    </w:p>
    <w:p w14:paraId="525D7FC4" w14:textId="77777777" w:rsidR="00773E1E" w:rsidRPr="0037448F" w:rsidRDefault="00773E1E" w:rsidP="000313DD">
      <w:pPr>
        <w:pStyle w:val="TITU2"/>
      </w:pPr>
      <w:bookmarkStart w:id="1371" w:name="_Toc530135541"/>
      <w:bookmarkStart w:id="1372" w:name="_Toc533762598"/>
      <w:bookmarkStart w:id="1373" w:name="_Toc404691"/>
      <w:r w:rsidRPr="0037448F">
        <w:t xml:space="preserve">809.3. </w:t>
      </w:r>
      <w:r>
        <w:t xml:space="preserve">  </w:t>
      </w:r>
      <w:r w:rsidRPr="0037448F">
        <w:t>Ejecución</w:t>
      </w:r>
      <w:bookmarkEnd w:id="1371"/>
      <w:r w:rsidRPr="0037448F">
        <w:t xml:space="preserve"> de las obras</w:t>
      </w:r>
      <w:bookmarkEnd w:id="1372"/>
      <w:bookmarkEnd w:id="1373"/>
    </w:p>
    <w:p w14:paraId="67FB5991"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El izado y colocación de los báculos se hará de forma que queden perfectamente aplomados en todas las direcciones. No está permitida la utilización de cuñas o calzos para conseguir el montaje a plomo definitivo.</w:t>
      </w:r>
    </w:p>
    <w:p w14:paraId="30A807F0"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báculos se fijarán a la cimentación por medio de pernos de anclaje y placa de fijación soldada al fuste y dispondrán de fijación para toma de tierra.</w:t>
      </w:r>
    </w:p>
    <w:p w14:paraId="39454A1F"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El pintado de los báculos se realizará cuando la humedad relativa ambiental sea inferior al 85% y la temperatura superior a 5ºC, dejando un periodo de al menos 24 horas entre capas sucesivas.</w:t>
      </w:r>
    </w:p>
    <w:p w14:paraId="32394920"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Siempre que sea posible se adosarán al cimiento del soporte las arquetas de paso o de derivación.</w:t>
      </w:r>
    </w:p>
    <w:p w14:paraId="5AB71D80" w14:textId="77777777" w:rsidR="00773E1E" w:rsidRPr="0037448F" w:rsidRDefault="00773E1E" w:rsidP="000313DD">
      <w:pPr>
        <w:pStyle w:val="TITU2"/>
      </w:pPr>
      <w:bookmarkStart w:id="1374" w:name="_Toc530135542"/>
      <w:bookmarkStart w:id="1375" w:name="_Toc533762599"/>
      <w:bookmarkStart w:id="1376" w:name="_Toc404692"/>
      <w:r w:rsidRPr="0037448F">
        <w:t>80</w:t>
      </w:r>
      <w:r>
        <w:t>9</w:t>
      </w:r>
      <w:r w:rsidRPr="0037448F">
        <w:t>.4.</w:t>
      </w:r>
      <w:r w:rsidRPr="0037448F">
        <w:tab/>
        <w:t xml:space="preserve"> Recepción</w:t>
      </w:r>
      <w:bookmarkEnd w:id="1374"/>
      <w:bookmarkEnd w:id="1375"/>
      <w:bookmarkEnd w:id="1376"/>
    </w:p>
    <w:p w14:paraId="3DF39F47"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báculos se recibirán en obra galvanizados según las especificaciones requeridas en la ejecución.</w:t>
      </w:r>
    </w:p>
    <w:p w14:paraId="46323039"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La tolerancia permitida entre la puerta de registro y el alojamiento de </w:t>
      </w:r>
      <w:proofErr w:type="gramStart"/>
      <w:r w:rsidRPr="00E62154">
        <w:rPr>
          <w:rFonts w:ascii="Arial" w:hAnsi="Arial" w:cs="Arial"/>
          <w:lang w:val="es-ES_tradnl" w:eastAsia="en-US"/>
        </w:rPr>
        <w:t>la misma</w:t>
      </w:r>
      <w:proofErr w:type="gramEnd"/>
      <w:r w:rsidRPr="00E62154">
        <w:rPr>
          <w:rFonts w:ascii="Arial" w:hAnsi="Arial" w:cs="Arial"/>
          <w:lang w:val="es-ES_tradnl" w:eastAsia="en-US"/>
        </w:rPr>
        <w:t xml:space="preserve"> será inferior a 2 </w:t>
      </w:r>
      <w:proofErr w:type="spellStart"/>
      <w:r w:rsidRPr="00E62154">
        <w:rPr>
          <w:rFonts w:ascii="Arial" w:hAnsi="Arial" w:cs="Arial"/>
          <w:lang w:val="es-ES_tradnl" w:eastAsia="en-US"/>
        </w:rPr>
        <w:t>mm.</w:t>
      </w:r>
      <w:proofErr w:type="spellEnd"/>
    </w:p>
    <w:p w14:paraId="0E70D4D9"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Se considerará la unidad terminada cuando el báculo esté totalmente colocado, con todas las conexiones a arquetas y luminarias totalmente terminadas y en condiciones adecuadas de uso.</w:t>
      </w:r>
    </w:p>
    <w:p w14:paraId="19A25004"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Se comprobará la ejecución y prueba de la fijación, la ejecución de las conexiones y tomas de </w:t>
      </w:r>
      <w:proofErr w:type="gramStart"/>
      <w:r w:rsidRPr="00E62154">
        <w:rPr>
          <w:rFonts w:ascii="Arial" w:hAnsi="Arial" w:cs="Arial"/>
          <w:lang w:val="es-ES_tradnl" w:eastAsia="en-US"/>
        </w:rPr>
        <w:t>tierra</w:t>
      </w:r>
      <w:proofErr w:type="gramEnd"/>
      <w:r w:rsidRPr="00E62154">
        <w:rPr>
          <w:rFonts w:ascii="Arial" w:hAnsi="Arial" w:cs="Arial"/>
          <w:lang w:val="es-ES_tradnl" w:eastAsia="en-US"/>
        </w:rPr>
        <w:t xml:space="preserve"> así como el montaje total de todas las piezas.</w:t>
      </w:r>
    </w:p>
    <w:p w14:paraId="02E4725D" w14:textId="77777777" w:rsidR="00773E1E" w:rsidRPr="0037448F" w:rsidRDefault="00773E1E" w:rsidP="000313DD">
      <w:pPr>
        <w:pStyle w:val="TITU2"/>
      </w:pPr>
      <w:bookmarkStart w:id="1377" w:name="_Toc530135543"/>
      <w:bookmarkStart w:id="1378" w:name="_Toc533762600"/>
      <w:bookmarkStart w:id="1379" w:name="_Toc404693"/>
      <w:r w:rsidRPr="0037448F">
        <w:t>809.5.</w:t>
      </w:r>
      <w:r w:rsidRPr="0037448F">
        <w:tab/>
        <w:t xml:space="preserve"> Control de calidad</w:t>
      </w:r>
      <w:bookmarkEnd w:id="1377"/>
      <w:bookmarkEnd w:id="1378"/>
      <w:bookmarkEnd w:id="1379"/>
    </w:p>
    <w:p w14:paraId="11040326"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Sólo se aceptarán báculos que cuenten con la correspondiente homologación y marcado y que además sus detalles constructivos cumplan con </w:t>
      </w:r>
      <w:proofErr w:type="gramStart"/>
      <w:r w:rsidRPr="00E62154">
        <w:rPr>
          <w:rFonts w:ascii="Arial" w:hAnsi="Arial" w:cs="Arial"/>
          <w:lang w:val="es-ES_tradnl" w:eastAsia="en-US"/>
        </w:rPr>
        <w:t>la disposiciones marcadas</w:t>
      </w:r>
      <w:proofErr w:type="gramEnd"/>
      <w:r w:rsidRPr="00E62154">
        <w:rPr>
          <w:rFonts w:ascii="Arial" w:hAnsi="Arial" w:cs="Arial"/>
          <w:lang w:val="es-ES_tradnl" w:eastAsia="en-US"/>
        </w:rPr>
        <w:t xml:space="preserve"> por el fabricante.</w:t>
      </w:r>
    </w:p>
    <w:p w14:paraId="61F98679"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Se comprobarán las características de pernos, placas de anclaje y demás elementos necesarios para la correcta colocación del báculo.</w:t>
      </w:r>
    </w:p>
    <w:p w14:paraId="3CA8AD3E" w14:textId="77777777" w:rsidR="00773E1E" w:rsidRPr="00E62154" w:rsidRDefault="00773E1E" w:rsidP="00773E1E">
      <w:pPr>
        <w:suppressAutoHyphens/>
        <w:spacing w:before="120" w:after="120" w:line="360" w:lineRule="auto"/>
        <w:jc w:val="both"/>
        <w:rPr>
          <w:rFonts w:ascii="Arial" w:hAnsi="Arial" w:cs="Arial"/>
          <w:lang w:val="es-ES_tradnl" w:eastAsia="en-US"/>
        </w:rPr>
      </w:pPr>
    </w:p>
    <w:p w14:paraId="2E0B02D5" w14:textId="77777777" w:rsidR="00773E1E" w:rsidRPr="00E62154" w:rsidRDefault="00773E1E" w:rsidP="00773E1E">
      <w:pPr>
        <w:suppressAutoHyphens/>
        <w:spacing w:before="120" w:after="120" w:line="360" w:lineRule="auto"/>
        <w:jc w:val="both"/>
        <w:rPr>
          <w:rFonts w:ascii="Arial" w:hAnsi="Arial" w:cs="Arial"/>
          <w:lang w:val="es-ES_tradnl" w:eastAsia="en-US"/>
        </w:rPr>
      </w:pPr>
    </w:p>
    <w:p w14:paraId="77788103" w14:textId="77777777" w:rsidR="00773E1E" w:rsidRPr="00E62154" w:rsidRDefault="00773E1E" w:rsidP="00773E1E">
      <w:pPr>
        <w:keepNext/>
        <w:pageBreakBefore/>
        <w:widowControl w:val="0"/>
        <w:spacing w:before="360" w:after="240" w:line="360" w:lineRule="auto"/>
        <w:jc w:val="both"/>
        <w:outlineLvl w:val="0"/>
        <w:rPr>
          <w:rFonts w:ascii="Arial" w:hAnsi="Arial" w:cs="Arial"/>
          <w:b/>
          <w:noProof/>
          <w:kern w:val="28"/>
          <w:lang w:eastAsia="en-US"/>
        </w:rPr>
      </w:pPr>
      <w:bookmarkStart w:id="1380" w:name="_Toc530135544"/>
      <w:bookmarkStart w:id="1381" w:name="_Toc533762601"/>
      <w:bookmarkStart w:id="1382" w:name="_Toc404694"/>
      <w:r w:rsidRPr="00E62154">
        <w:rPr>
          <w:rFonts w:ascii="Arial" w:hAnsi="Arial" w:cs="Arial"/>
          <w:b/>
          <w:noProof/>
          <w:kern w:val="28"/>
          <w:lang w:eastAsia="en-US"/>
        </w:rPr>
        <w:lastRenderedPageBreak/>
        <w:t>Artículo 810. Luminaria tipo LED</w:t>
      </w:r>
      <w:bookmarkEnd w:id="1380"/>
      <w:bookmarkEnd w:id="1381"/>
      <w:bookmarkEnd w:id="1382"/>
      <w:r w:rsidRPr="00E62154">
        <w:rPr>
          <w:rFonts w:ascii="Arial" w:hAnsi="Arial" w:cs="Arial"/>
          <w:b/>
          <w:noProof/>
          <w:kern w:val="28"/>
          <w:lang w:eastAsia="en-US"/>
        </w:rPr>
        <w:t xml:space="preserve"> </w:t>
      </w:r>
    </w:p>
    <w:p w14:paraId="64FA55E9" w14:textId="77777777" w:rsidR="00773E1E" w:rsidRPr="0037448F" w:rsidRDefault="00773E1E" w:rsidP="000313DD">
      <w:pPr>
        <w:pStyle w:val="TITU2"/>
      </w:pPr>
      <w:bookmarkStart w:id="1383" w:name="_Toc533762602"/>
      <w:bookmarkStart w:id="1384" w:name="_Toc404695"/>
      <w:bookmarkStart w:id="1385" w:name="_Toc530135545"/>
      <w:r w:rsidRPr="0037448F">
        <w:t xml:space="preserve">810.1. </w:t>
      </w:r>
      <w:r w:rsidRPr="0037448F">
        <w:tab/>
        <w:t>Definición</w:t>
      </w:r>
      <w:bookmarkEnd w:id="1383"/>
      <w:bookmarkEnd w:id="1384"/>
    </w:p>
    <w:p w14:paraId="72BEB55E"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El presente artículo comprende el suministro y montaje de las luminarias, de forma que queden conexionadas a la red de distribución de energía eléctrica, para que una vez instalados todos sus componentes se encuentren en perfecto estado de funcionamiento.</w:t>
      </w:r>
    </w:p>
    <w:p w14:paraId="1940BC4E" w14:textId="77777777" w:rsidR="00773E1E" w:rsidRPr="0037448F" w:rsidRDefault="00773E1E" w:rsidP="000313DD">
      <w:pPr>
        <w:pStyle w:val="TITU2"/>
      </w:pPr>
      <w:bookmarkStart w:id="1386" w:name="_Toc533762603"/>
      <w:bookmarkStart w:id="1387" w:name="_Toc404696"/>
      <w:r w:rsidRPr="0037448F">
        <w:t xml:space="preserve">810.2. </w:t>
      </w:r>
      <w:r w:rsidRPr="0037448F">
        <w:tab/>
        <w:t>Materiales</w:t>
      </w:r>
      <w:bookmarkEnd w:id="1385"/>
      <w:bookmarkEnd w:id="1386"/>
      <w:bookmarkEnd w:id="1387"/>
    </w:p>
    <w:p w14:paraId="6384B834" w14:textId="77777777" w:rsidR="00773E1E" w:rsidRPr="00E62154" w:rsidRDefault="00773E1E" w:rsidP="00773E1E">
      <w:pPr>
        <w:suppressAutoHyphens/>
        <w:spacing w:before="120" w:after="120" w:line="360" w:lineRule="auto"/>
        <w:jc w:val="both"/>
        <w:rPr>
          <w:rFonts w:ascii="Arial" w:hAnsi="Arial" w:cs="Arial"/>
          <w:lang w:val="es-ES_tradnl" w:eastAsia="en-US"/>
        </w:rPr>
      </w:pPr>
      <w:bookmarkStart w:id="1388" w:name="_Toc530135546"/>
      <w:r w:rsidRPr="00E62154">
        <w:rPr>
          <w:rFonts w:ascii="Arial" w:hAnsi="Arial" w:cs="Arial"/>
          <w:lang w:val="es-ES_tradnl" w:eastAsia="en-US"/>
        </w:rPr>
        <w:t xml:space="preserve">Se entiende por LED (Light </w:t>
      </w:r>
      <w:proofErr w:type="spellStart"/>
      <w:r w:rsidRPr="00E62154">
        <w:rPr>
          <w:rFonts w:ascii="Arial" w:hAnsi="Arial" w:cs="Arial"/>
          <w:lang w:val="es-ES_tradnl" w:eastAsia="en-US"/>
        </w:rPr>
        <w:t>Emitting</w:t>
      </w:r>
      <w:proofErr w:type="spellEnd"/>
      <w:r w:rsidRPr="00E62154">
        <w:rPr>
          <w:rFonts w:ascii="Arial" w:hAnsi="Arial" w:cs="Arial"/>
          <w:lang w:val="es-ES_tradnl" w:eastAsia="en-US"/>
        </w:rPr>
        <w:t xml:space="preserve"> </w:t>
      </w:r>
      <w:proofErr w:type="spellStart"/>
      <w:r w:rsidRPr="00E62154">
        <w:rPr>
          <w:rFonts w:ascii="Arial" w:hAnsi="Arial" w:cs="Arial"/>
          <w:lang w:val="es-ES_tradnl" w:eastAsia="en-US"/>
        </w:rPr>
        <w:t>Diode</w:t>
      </w:r>
      <w:proofErr w:type="spellEnd"/>
      <w:r w:rsidRPr="00E62154">
        <w:rPr>
          <w:rFonts w:ascii="Arial" w:hAnsi="Arial" w:cs="Arial"/>
          <w:lang w:val="es-ES_tradnl" w:eastAsia="en-US"/>
        </w:rPr>
        <w:t>) un diodo compuesto por la superposición de varias capas de material semiconductor que emite luz en una o más longitudes de onda (colores) cuando es polarizado correctamente. Un diodo es un dispositivo que permite el paso de la corriente en una única dirección y su correspondiente circuito eléctrico se encapsula en una carcasa plástica, de resina epoxi o cerámica según las diferentes tecnologías.</w:t>
      </w:r>
      <w:bookmarkEnd w:id="1388"/>
    </w:p>
    <w:p w14:paraId="759B81BF" w14:textId="77777777" w:rsidR="00773E1E" w:rsidRPr="0037448F" w:rsidRDefault="00773E1E" w:rsidP="000313DD">
      <w:pPr>
        <w:pStyle w:val="TITU2"/>
      </w:pPr>
      <w:bookmarkStart w:id="1389" w:name="_Toc530135547"/>
      <w:bookmarkStart w:id="1390" w:name="_Toc533762604"/>
      <w:bookmarkStart w:id="1391" w:name="_Toc404697"/>
      <w:r w:rsidRPr="0037448F">
        <w:t xml:space="preserve">810.3. </w:t>
      </w:r>
      <w:r w:rsidRPr="0037448F">
        <w:tab/>
      </w:r>
      <w:bookmarkEnd w:id="1389"/>
      <w:r w:rsidRPr="0037448F">
        <w:t>Ejecución de las obras</w:t>
      </w:r>
      <w:bookmarkEnd w:id="1390"/>
      <w:bookmarkEnd w:id="1391"/>
    </w:p>
    <w:p w14:paraId="69CD7AF0" w14:textId="77777777" w:rsidR="00773E1E" w:rsidRPr="00E62154" w:rsidRDefault="00773E1E" w:rsidP="00773E1E">
      <w:pPr>
        <w:suppressAutoHyphens/>
        <w:spacing w:before="120" w:after="120" w:line="360" w:lineRule="auto"/>
        <w:jc w:val="both"/>
        <w:rPr>
          <w:rFonts w:ascii="Arial" w:hAnsi="Arial" w:cs="Arial"/>
          <w:lang w:val="es-ES_tradnl" w:eastAsia="en-US"/>
        </w:rPr>
      </w:pPr>
      <w:bookmarkStart w:id="1392" w:name="_Toc530135548"/>
      <w:r w:rsidRPr="00E62154">
        <w:rPr>
          <w:rFonts w:ascii="Arial" w:hAnsi="Arial" w:cs="Arial"/>
          <w:lang w:val="es-ES_tradnl" w:eastAsia="en-US"/>
        </w:rPr>
        <w:t xml:space="preserve">Las instalaciones de alumbrado exterior que incorporen sistemas o tecnología </w:t>
      </w:r>
      <w:proofErr w:type="gramStart"/>
      <w:r w:rsidRPr="00E62154">
        <w:rPr>
          <w:rFonts w:ascii="Arial" w:hAnsi="Arial" w:cs="Arial"/>
          <w:lang w:val="es-ES_tradnl" w:eastAsia="en-US"/>
        </w:rPr>
        <w:t>LED,</w:t>
      </w:r>
      <w:proofErr w:type="gramEnd"/>
      <w:r w:rsidRPr="00E62154">
        <w:rPr>
          <w:rFonts w:ascii="Arial" w:hAnsi="Arial" w:cs="Arial"/>
          <w:lang w:val="es-ES_tradnl" w:eastAsia="en-US"/>
        </w:rPr>
        <w:t xml:space="preserve"> deberán disponer de un estudio o proyecto luminotécnico que incluya un apartado fotométrico en el que se expondrán las características fotométricas de las luminarias y el estudio lumínico realizado sobre la instalación de referencia. Dicho estudio ha sido incluido en el presente proyecto.</w:t>
      </w:r>
      <w:bookmarkEnd w:id="1392"/>
      <w:r w:rsidRPr="00E62154">
        <w:rPr>
          <w:rFonts w:ascii="Arial" w:hAnsi="Arial" w:cs="Arial"/>
          <w:lang w:val="es-ES_tradnl" w:eastAsia="en-US"/>
        </w:rPr>
        <w:t xml:space="preserve"> </w:t>
      </w:r>
    </w:p>
    <w:p w14:paraId="0AF24173" w14:textId="77777777" w:rsidR="00773E1E" w:rsidRPr="00E62154" w:rsidRDefault="00773E1E" w:rsidP="00773E1E">
      <w:pPr>
        <w:suppressAutoHyphens/>
        <w:spacing w:before="120" w:after="120" w:line="360" w:lineRule="auto"/>
        <w:jc w:val="both"/>
        <w:rPr>
          <w:rFonts w:ascii="Arial" w:hAnsi="Arial" w:cs="Arial"/>
          <w:lang w:val="es-ES_tradnl" w:eastAsia="en-US"/>
        </w:rPr>
      </w:pPr>
      <w:bookmarkStart w:id="1393" w:name="_Toc530135549"/>
      <w:r w:rsidRPr="00E62154">
        <w:rPr>
          <w:rFonts w:ascii="Arial" w:hAnsi="Arial" w:cs="Arial"/>
          <w:lang w:val="es-ES_tradnl" w:eastAsia="en-US"/>
        </w:rPr>
        <w:t>Cualquier propuesta de modificación del tipo de luminaria deberá ir acompañado de un estudio luminotécnico completo con el mismo alcance que el realizado en este Proyecto.</w:t>
      </w:r>
      <w:bookmarkEnd w:id="1393"/>
    </w:p>
    <w:p w14:paraId="0AC5A0B6" w14:textId="77777777" w:rsidR="00773E1E" w:rsidRPr="00E62154" w:rsidRDefault="00773E1E" w:rsidP="00773E1E">
      <w:pPr>
        <w:suppressAutoHyphens/>
        <w:spacing w:before="120" w:after="120" w:line="360" w:lineRule="auto"/>
        <w:jc w:val="both"/>
        <w:rPr>
          <w:rFonts w:ascii="Arial" w:hAnsi="Arial" w:cs="Arial"/>
          <w:lang w:val="es-ES_tradnl" w:eastAsia="en-US"/>
        </w:rPr>
      </w:pPr>
      <w:bookmarkStart w:id="1394" w:name="_Toc530135550"/>
      <w:r w:rsidRPr="00E62154">
        <w:rPr>
          <w:rFonts w:ascii="Arial" w:hAnsi="Arial" w:cs="Arial"/>
          <w:lang w:val="es-ES_tradnl" w:eastAsia="en-US"/>
        </w:rPr>
        <w:t>Las luminarias se colocarán en la disposición determinada por el estudio luminotécnico en función de las características exigidas para cada tipo de vía e iluminación requerida y que se incorpora en el proyecto como:</w:t>
      </w:r>
      <w:bookmarkEnd w:id="1394"/>
    </w:p>
    <w:p w14:paraId="5AB327FA" w14:textId="77777777" w:rsidR="00773E1E" w:rsidRPr="00E62154" w:rsidRDefault="00773E1E" w:rsidP="00773E1E">
      <w:pPr>
        <w:numPr>
          <w:ilvl w:val="0"/>
          <w:numId w:val="183"/>
        </w:numPr>
        <w:spacing w:before="120" w:after="120" w:line="360" w:lineRule="auto"/>
        <w:jc w:val="both"/>
        <w:rPr>
          <w:rFonts w:ascii="Arial" w:hAnsi="Arial" w:cs="Arial"/>
          <w:lang w:val="es-ES_tradnl" w:eastAsia="en-US"/>
        </w:rPr>
      </w:pPr>
      <w:r w:rsidRPr="00E62154">
        <w:rPr>
          <w:rFonts w:ascii="Arial" w:hAnsi="Arial" w:cs="Arial"/>
          <w:lang w:val="es-ES_tradnl" w:eastAsia="en-US"/>
        </w:rPr>
        <w:t>Cálculo luminotécnico para cada sección de proyecto.</w:t>
      </w:r>
    </w:p>
    <w:p w14:paraId="26119510" w14:textId="77777777" w:rsidR="00773E1E" w:rsidRPr="00E62154" w:rsidRDefault="00773E1E" w:rsidP="00773E1E">
      <w:pPr>
        <w:numPr>
          <w:ilvl w:val="0"/>
          <w:numId w:val="183"/>
        </w:numPr>
        <w:spacing w:before="120" w:after="120" w:line="360" w:lineRule="auto"/>
        <w:jc w:val="both"/>
        <w:rPr>
          <w:rFonts w:ascii="Arial" w:hAnsi="Arial" w:cs="Arial"/>
          <w:lang w:val="es-ES_tradnl" w:eastAsia="en-US"/>
        </w:rPr>
      </w:pPr>
      <w:r w:rsidRPr="00E62154">
        <w:rPr>
          <w:rFonts w:ascii="Arial" w:hAnsi="Arial" w:cs="Arial"/>
          <w:lang w:val="es-ES_tradnl" w:eastAsia="en-US"/>
        </w:rPr>
        <w:t>Cálculo de la eficiencia energética para cada sección de proyecto.</w:t>
      </w:r>
    </w:p>
    <w:p w14:paraId="0B90483A" w14:textId="77777777" w:rsidR="00773E1E" w:rsidRPr="00E62154" w:rsidRDefault="00773E1E" w:rsidP="00773E1E">
      <w:pPr>
        <w:suppressAutoHyphens/>
        <w:spacing w:before="120" w:after="120" w:line="360" w:lineRule="auto"/>
        <w:jc w:val="both"/>
        <w:rPr>
          <w:rFonts w:ascii="Arial" w:hAnsi="Arial" w:cs="Arial"/>
          <w:lang w:val="es-ES_tradnl" w:eastAsia="en-US"/>
        </w:rPr>
      </w:pPr>
      <w:bookmarkStart w:id="1395" w:name="_Toc530135551"/>
      <w:r w:rsidRPr="00E62154">
        <w:rPr>
          <w:rFonts w:ascii="Arial" w:hAnsi="Arial" w:cs="Arial"/>
          <w:lang w:val="es-ES_tradnl" w:eastAsia="en-US"/>
        </w:rPr>
        <w:t>Para la realización de un estudio luminotécnico, si procediera, se tendrán en cuenta las siguientes características:</w:t>
      </w:r>
      <w:bookmarkEnd w:id="1395"/>
    </w:p>
    <w:p w14:paraId="392FA280" w14:textId="77777777" w:rsidR="00773E1E" w:rsidRPr="00E62154" w:rsidRDefault="00773E1E" w:rsidP="00661A5F">
      <w:pPr>
        <w:numPr>
          <w:ilvl w:val="0"/>
          <w:numId w:val="194"/>
        </w:numPr>
        <w:suppressAutoHyphens/>
        <w:spacing w:before="120" w:after="120" w:line="360" w:lineRule="auto"/>
        <w:ind w:left="714" w:hanging="357"/>
        <w:contextualSpacing/>
        <w:jc w:val="both"/>
        <w:rPr>
          <w:rFonts w:ascii="Arial" w:hAnsi="Arial" w:cs="Arial"/>
          <w:lang w:val="es-ES_tradnl" w:eastAsia="en-US"/>
        </w:rPr>
      </w:pPr>
      <w:r w:rsidRPr="00E62154">
        <w:rPr>
          <w:rFonts w:ascii="Arial" w:hAnsi="Arial" w:cs="Arial"/>
          <w:lang w:val="es-ES_tradnl" w:eastAsia="en-US"/>
        </w:rPr>
        <w:t>Curva fotométrica de la luminaria.</w:t>
      </w:r>
    </w:p>
    <w:p w14:paraId="7379E2A3" w14:textId="77777777" w:rsidR="00773E1E" w:rsidRPr="00E62154" w:rsidRDefault="00773E1E" w:rsidP="00661A5F">
      <w:pPr>
        <w:numPr>
          <w:ilvl w:val="0"/>
          <w:numId w:val="194"/>
        </w:numPr>
        <w:suppressAutoHyphens/>
        <w:spacing w:before="120" w:after="120" w:line="360" w:lineRule="auto"/>
        <w:ind w:left="714" w:hanging="357"/>
        <w:contextualSpacing/>
        <w:jc w:val="both"/>
        <w:rPr>
          <w:rFonts w:ascii="Arial" w:hAnsi="Arial" w:cs="Arial"/>
          <w:lang w:val="es-ES_tradnl" w:eastAsia="en-US"/>
        </w:rPr>
      </w:pPr>
      <w:r w:rsidRPr="00E62154">
        <w:rPr>
          <w:rFonts w:ascii="Arial" w:hAnsi="Arial" w:cs="Arial"/>
          <w:lang w:val="es-ES_tradnl" w:eastAsia="en-US"/>
        </w:rPr>
        <w:t>Curva del factor de utilización de la luminaria.</w:t>
      </w:r>
    </w:p>
    <w:p w14:paraId="25F874C3" w14:textId="77777777" w:rsidR="00773E1E" w:rsidRPr="00E62154" w:rsidRDefault="00773E1E" w:rsidP="00661A5F">
      <w:pPr>
        <w:numPr>
          <w:ilvl w:val="0"/>
          <w:numId w:val="194"/>
        </w:numPr>
        <w:suppressAutoHyphens/>
        <w:spacing w:before="120" w:after="120" w:line="360" w:lineRule="auto"/>
        <w:ind w:left="714" w:hanging="357"/>
        <w:contextualSpacing/>
        <w:jc w:val="both"/>
        <w:rPr>
          <w:rFonts w:ascii="Arial" w:hAnsi="Arial" w:cs="Arial"/>
          <w:lang w:val="es-ES_tradnl" w:eastAsia="en-US"/>
        </w:rPr>
      </w:pPr>
      <w:r w:rsidRPr="00E62154">
        <w:rPr>
          <w:rFonts w:ascii="Arial" w:hAnsi="Arial" w:cs="Arial"/>
          <w:lang w:val="es-ES_tradnl" w:eastAsia="en-US"/>
        </w:rPr>
        <w:t>Flujo luminoso global emitido por la luminaria.</w:t>
      </w:r>
    </w:p>
    <w:p w14:paraId="47A425E5" w14:textId="77777777" w:rsidR="00773E1E" w:rsidRPr="00E62154" w:rsidRDefault="00773E1E" w:rsidP="00661A5F">
      <w:pPr>
        <w:numPr>
          <w:ilvl w:val="0"/>
          <w:numId w:val="194"/>
        </w:numPr>
        <w:suppressAutoHyphens/>
        <w:spacing w:before="120" w:after="120" w:line="360" w:lineRule="auto"/>
        <w:ind w:left="714" w:hanging="357"/>
        <w:contextualSpacing/>
        <w:jc w:val="both"/>
        <w:rPr>
          <w:rFonts w:ascii="Arial" w:hAnsi="Arial" w:cs="Arial"/>
          <w:lang w:val="es-ES_tradnl" w:eastAsia="en-US"/>
        </w:rPr>
      </w:pPr>
      <w:r w:rsidRPr="00E62154">
        <w:rPr>
          <w:rFonts w:ascii="Arial" w:hAnsi="Arial" w:cs="Arial"/>
          <w:lang w:val="es-ES_tradnl" w:eastAsia="en-US"/>
        </w:rPr>
        <w:t>Eficacia de la luminaria en %</w:t>
      </w:r>
    </w:p>
    <w:p w14:paraId="7F4E9FD9" w14:textId="77777777" w:rsidR="00773E1E" w:rsidRPr="00E62154" w:rsidRDefault="00773E1E" w:rsidP="00661A5F">
      <w:pPr>
        <w:numPr>
          <w:ilvl w:val="0"/>
          <w:numId w:val="194"/>
        </w:numPr>
        <w:suppressAutoHyphens/>
        <w:spacing w:before="120" w:after="120" w:line="360" w:lineRule="auto"/>
        <w:ind w:left="714" w:hanging="357"/>
        <w:contextualSpacing/>
        <w:jc w:val="both"/>
        <w:rPr>
          <w:rFonts w:ascii="Arial" w:hAnsi="Arial" w:cs="Arial"/>
          <w:lang w:val="es-ES_tradnl" w:eastAsia="en-US"/>
        </w:rPr>
      </w:pPr>
      <w:r w:rsidRPr="00E62154">
        <w:rPr>
          <w:rFonts w:ascii="Arial" w:hAnsi="Arial" w:cs="Arial"/>
          <w:lang w:val="es-ES_tradnl" w:eastAsia="en-US"/>
        </w:rPr>
        <w:t>Flujo hemisférico superior instalado.</w:t>
      </w:r>
    </w:p>
    <w:p w14:paraId="065749FC" w14:textId="77777777" w:rsidR="00773E1E" w:rsidRPr="00E62154" w:rsidRDefault="00773E1E" w:rsidP="00661A5F">
      <w:pPr>
        <w:numPr>
          <w:ilvl w:val="0"/>
          <w:numId w:val="194"/>
        </w:numPr>
        <w:suppressAutoHyphens/>
        <w:spacing w:before="120" w:after="120" w:line="360" w:lineRule="auto"/>
        <w:ind w:left="714" w:hanging="357"/>
        <w:contextualSpacing/>
        <w:jc w:val="both"/>
        <w:rPr>
          <w:rFonts w:ascii="Arial" w:hAnsi="Arial" w:cs="Arial"/>
          <w:lang w:val="es-ES_tradnl" w:eastAsia="en-US"/>
        </w:rPr>
      </w:pPr>
      <w:r w:rsidRPr="00E62154">
        <w:rPr>
          <w:rFonts w:ascii="Arial" w:hAnsi="Arial" w:cs="Arial"/>
          <w:lang w:val="es-ES_tradnl" w:eastAsia="en-US"/>
        </w:rPr>
        <w:t>Temperatura de color den K de la luz emitida por la luminaria.</w:t>
      </w:r>
    </w:p>
    <w:p w14:paraId="5DBE0FA7" w14:textId="77777777" w:rsidR="00773E1E" w:rsidRPr="00E62154" w:rsidRDefault="00773E1E" w:rsidP="00773E1E">
      <w:pPr>
        <w:suppressAutoHyphens/>
        <w:spacing w:before="120" w:after="120" w:line="360" w:lineRule="auto"/>
        <w:jc w:val="both"/>
        <w:rPr>
          <w:rFonts w:ascii="Arial" w:hAnsi="Arial" w:cs="Arial"/>
          <w:lang w:val="es-ES_tradnl" w:eastAsia="en-US"/>
        </w:rPr>
      </w:pPr>
      <w:bookmarkStart w:id="1396" w:name="_Toc530135552"/>
      <w:r w:rsidRPr="00E62154">
        <w:rPr>
          <w:rFonts w:ascii="Arial" w:hAnsi="Arial" w:cs="Arial"/>
          <w:lang w:val="es-ES_tradnl" w:eastAsia="en-US"/>
        </w:rPr>
        <w:t>El diseño de la carcasa de la luminaria no permitirá la acumulación de suciedad y otros elementos que podrían perjudicar su eficiencia, de forma que garantice su funcionamiento sin requerir labores de conservación y limpieza distintas a las programadas para las luminarias normalizadas.</w:t>
      </w:r>
      <w:bookmarkEnd w:id="1396"/>
    </w:p>
    <w:p w14:paraId="5F6B61F7" w14:textId="77777777" w:rsidR="00773E1E" w:rsidRPr="00E62154" w:rsidRDefault="00773E1E" w:rsidP="00773E1E">
      <w:pPr>
        <w:suppressAutoHyphens/>
        <w:spacing w:before="120" w:after="120" w:line="360" w:lineRule="auto"/>
        <w:jc w:val="both"/>
        <w:rPr>
          <w:rFonts w:ascii="Arial" w:hAnsi="Arial" w:cs="Arial"/>
          <w:lang w:val="es-ES_tradnl" w:eastAsia="en-US"/>
        </w:rPr>
      </w:pPr>
      <w:bookmarkStart w:id="1397" w:name="_Toc530135553"/>
      <w:r w:rsidRPr="00E62154">
        <w:rPr>
          <w:rFonts w:ascii="Arial" w:hAnsi="Arial" w:cs="Arial"/>
          <w:lang w:val="es-ES_tradnl" w:eastAsia="en-US"/>
        </w:rPr>
        <w:t xml:space="preserve">El diseño de la luminaria permitirá la reposición del sistema óptico y el dispositivo de control electrónico de manera independiente, de forma que el mantenimiento de </w:t>
      </w:r>
      <w:proofErr w:type="gramStart"/>
      <w:r w:rsidRPr="00E62154">
        <w:rPr>
          <w:rFonts w:ascii="Arial" w:hAnsi="Arial" w:cs="Arial"/>
          <w:lang w:val="es-ES_tradnl" w:eastAsia="en-US"/>
        </w:rPr>
        <w:t>los mismos</w:t>
      </w:r>
      <w:proofErr w:type="gramEnd"/>
      <w:r w:rsidRPr="00E62154">
        <w:rPr>
          <w:rFonts w:ascii="Arial" w:hAnsi="Arial" w:cs="Arial"/>
          <w:lang w:val="es-ES_tradnl" w:eastAsia="en-US"/>
        </w:rPr>
        <w:t xml:space="preserve"> no implique el cambio de la luminaria completa.</w:t>
      </w:r>
      <w:bookmarkEnd w:id="1397"/>
    </w:p>
    <w:p w14:paraId="359A3AF1" w14:textId="77777777" w:rsidR="00773E1E" w:rsidRPr="0037448F" w:rsidRDefault="00773E1E" w:rsidP="000313DD">
      <w:pPr>
        <w:pStyle w:val="TITU2"/>
      </w:pPr>
      <w:bookmarkStart w:id="1398" w:name="_Toc530135554"/>
      <w:bookmarkStart w:id="1399" w:name="_Toc533762605"/>
      <w:bookmarkStart w:id="1400" w:name="_Toc404698"/>
      <w:r w:rsidRPr="0037448F">
        <w:t xml:space="preserve">810.4. </w:t>
      </w:r>
      <w:r w:rsidRPr="0037448F">
        <w:tab/>
        <w:t>Recepción</w:t>
      </w:r>
      <w:bookmarkEnd w:id="1398"/>
      <w:bookmarkEnd w:id="1399"/>
      <w:bookmarkEnd w:id="1400"/>
    </w:p>
    <w:p w14:paraId="78D3ECD7" w14:textId="77777777" w:rsidR="00773E1E" w:rsidRPr="00E62154" w:rsidRDefault="00773E1E" w:rsidP="00773E1E">
      <w:pPr>
        <w:suppressAutoHyphens/>
        <w:spacing w:before="120" w:after="120" w:line="360" w:lineRule="auto"/>
        <w:jc w:val="both"/>
        <w:rPr>
          <w:rFonts w:ascii="Arial" w:hAnsi="Arial" w:cs="Arial"/>
          <w:lang w:val="es-ES_tradnl" w:eastAsia="en-US"/>
        </w:rPr>
      </w:pPr>
      <w:bookmarkStart w:id="1401" w:name="_Toc530135555"/>
      <w:r w:rsidRPr="00E62154">
        <w:rPr>
          <w:rFonts w:ascii="Arial" w:hAnsi="Arial" w:cs="Arial"/>
          <w:lang w:val="es-ES_tradnl" w:eastAsia="en-US"/>
        </w:rPr>
        <w:t xml:space="preserve">Se aportará por el contratista, si procede o a juicio del </w:t>
      </w:r>
      <w:proofErr w:type="gramStart"/>
      <w:r w:rsidRPr="00E62154">
        <w:rPr>
          <w:rFonts w:ascii="Arial" w:hAnsi="Arial" w:cs="Arial"/>
          <w:lang w:val="es-ES_tradnl" w:eastAsia="en-US"/>
        </w:rPr>
        <w:t>Director</w:t>
      </w:r>
      <w:proofErr w:type="gramEnd"/>
      <w:r w:rsidRPr="00E62154">
        <w:rPr>
          <w:rFonts w:ascii="Arial" w:hAnsi="Arial" w:cs="Arial"/>
          <w:lang w:val="es-ES_tradnl" w:eastAsia="en-US"/>
        </w:rPr>
        <w:t xml:space="preserve"> de Obra, estudio luminotécnico detallado de:</w:t>
      </w:r>
      <w:bookmarkEnd w:id="1401"/>
    </w:p>
    <w:p w14:paraId="7531E445" w14:textId="77777777" w:rsidR="00773E1E" w:rsidRPr="00E62154" w:rsidRDefault="00773E1E" w:rsidP="00773E1E">
      <w:pPr>
        <w:numPr>
          <w:ilvl w:val="0"/>
          <w:numId w:val="183"/>
        </w:numPr>
        <w:spacing w:before="120" w:after="120" w:line="360" w:lineRule="auto"/>
        <w:ind w:left="714" w:hanging="357"/>
        <w:contextualSpacing/>
        <w:jc w:val="both"/>
        <w:rPr>
          <w:rFonts w:ascii="Arial" w:hAnsi="Arial" w:cs="Arial"/>
          <w:szCs w:val="20"/>
          <w:lang w:val="es-ES_tradnl" w:eastAsia="en-US"/>
        </w:rPr>
      </w:pPr>
      <w:r w:rsidRPr="00E62154">
        <w:rPr>
          <w:rFonts w:ascii="Arial" w:hAnsi="Arial" w:cs="Arial"/>
          <w:szCs w:val="20"/>
          <w:lang w:val="es-ES_tradnl" w:eastAsia="en-US"/>
        </w:rPr>
        <w:t>Marca y modelo de la luminaria.</w:t>
      </w:r>
    </w:p>
    <w:p w14:paraId="160F2820" w14:textId="77777777" w:rsidR="00773E1E" w:rsidRPr="00E62154" w:rsidRDefault="00773E1E" w:rsidP="00773E1E">
      <w:pPr>
        <w:numPr>
          <w:ilvl w:val="0"/>
          <w:numId w:val="183"/>
        </w:numPr>
        <w:spacing w:before="120" w:after="120" w:line="360" w:lineRule="auto"/>
        <w:ind w:left="714" w:hanging="357"/>
        <w:contextualSpacing/>
        <w:jc w:val="both"/>
        <w:rPr>
          <w:rFonts w:ascii="Arial" w:hAnsi="Arial" w:cs="Arial"/>
          <w:szCs w:val="20"/>
          <w:lang w:val="es-ES_tradnl" w:eastAsia="en-US"/>
        </w:rPr>
      </w:pPr>
      <w:r w:rsidRPr="00E62154">
        <w:rPr>
          <w:rFonts w:ascii="Arial" w:hAnsi="Arial" w:cs="Arial"/>
          <w:szCs w:val="20"/>
          <w:lang w:val="es-ES_tradnl" w:eastAsia="en-US"/>
        </w:rPr>
        <w:t>Memoria descriptiva del elemento, detalles, materiales, forma de instalación, conservación, reposición y demás especificaciones.</w:t>
      </w:r>
    </w:p>
    <w:p w14:paraId="5E830D3E" w14:textId="77777777" w:rsidR="00773E1E" w:rsidRPr="00E62154" w:rsidRDefault="00773E1E" w:rsidP="00773E1E">
      <w:pPr>
        <w:numPr>
          <w:ilvl w:val="0"/>
          <w:numId w:val="183"/>
        </w:numPr>
        <w:spacing w:before="120" w:after="120" w:line="360" w:lineRule="auto"/>
        <w:ind w:left="714" w:hanging="357"/>
        <w:contextualSpacing/>
        <w:jc w:val="both"/>
        <w:rPr>
          <w:rFonts w:ascii="Arial" w:hAnsi="Arial" w:cs="Arial"/>
          <w:szCs w:val="20"/>
          <w:lang w:val="es-ES_tradnl" w:eastAsia="en-US"/>
        </w:rPr>
      </w:pPr>
      <w:r w:rsidRPr="00E62154">
        <w:rPr>
          <w:rFonts w:ascii="Arial" w:hAnsi="Arial" w:cs="Arial"/>
          <w:szCs w:val="20"/>
          <w:lang w:val="es-ES_tradnl" w:eastAsia="en-US"/>
        </w:rPr>
        <w:t>Valores de iluminancias y luminancias.</w:t>
      </w:r>
    </w:p>
    <w:p w14:paraId="649FF783" w14:textId="77777777" w:rsidR="00773E1E" w:rsidRPr="00E62154" w:rsidRDefault="00773E1E" w:rsidP="00773E1E">
      <w:pPr>
        <w:numPr>
          <w:ilvl w:val="0"/>
          <w:numId w:val="183"/>
        </w:numPr>
        <w:spacing w:before="120" w:after="120" w:line="360" w:lineRule="auto"/>
        <w:ind w:left="714" w:hanging="357"/>
        <w:contextualSpacing/>
        <w:jc w:val="both"/>
        <w:rPr>
          <w:rFonts w:ascii="Arial" w:hAnsi="Arial" w:cs="Arial"/>
          <w:szCs w:val="20"/>
          <w:lang w:val="es-ES_tradnl" w:eastAsia="en-US"/>
        </w:rPr>
      </w:pPr>
      <w:r w:rsidRPr="00E62154">
        <w:rPr>
          <w:rFonts w:ascii="Arial" w:hAnsi="Arial" w:cs="Arial"/>
          <w:szCs w:val="20"/>
          <w:lang w:val="es-ES_tradnl" w:eastAsia="en-US"/>
        </w:rPr>
        <w:t>Uniformidad de iluminancias y luminancias.</w:t>
      </w:r>
    </w:p>
    <w:p w14:paraId="67E73D52" w14:textId="77777777" w:rsidR="00773E1E" w:rsidRPr="00E62154" w:rsidRDefault="00773E1E" w:rsidP="00773E1E">
      <w:pPr>
        <w:numPr>
          <w:ilvl w:val="0"/>
          <w:numId w:val="183"/>
        </w:numPr>
        <w:spacing w:before="120" w:after="120" w:line="360" w:lineRule="auto"/>
        <w:ind w:left="714" w:hanging="357"/>
        <w:contextualSpacing/>
        <w:jc w:val="both"/>
        <w:rPr>
          <w:rFonts w:ascii="Arial" w:hAnsi="Arial" w:cs="Arial"/>
          <w:szCs w:val="20"/>
          <w:lang w:val="es-ES_tradnl" w:eastAsia="en-US"/>
        </w:rPr>
      </w:pPr>
      <w:r w:rsidRPr="00E62154">
        <w:rPr>
          <w:rFonts w:ascii="Arial" w:hAnsi="Arial" w:cs="Arial"/>
          <w:szCs w:val="20"/>
          <w:lang w:val="es-ES_tradnl" w:eastAsia="en-US"/>
        </w:rPr>
        <w:t>Valores de deslumbramiento.</w:t>
      </w:r>
    </w:p>
    <w:p w14:paraId="2D285FBC" w14:textId="77777777" w:rsidR="00773E1E" w:rsidRPr="00E62154" w:rsidRDefault="00773E1E" w:rsidP="00773E1E">
      <w:pPr>
        <w:numPr>
          <w:ilvl w:val="0"/>
          <w:numId w:val="183"/>
        </w:numPr>
        <w:spacing w:before="120" w:after="120" w:line="360" w:lineRule="auto"/>
        <w:ind w:left="714" w:hanging="357"/>
        <w:contextualSpacing/>
        <w:jc w:val="both"/>
        <w:rPr>
          <w:rFonts w:ascii="Arial" w:hAnsi="Arial" w:cs="Arial"/>
          <w:szCs w:val="20"/>
          <w:lang w:val="es-ES_tradnl" w:eastAsia="en-US"/>
        </w:rPr>
      </w:pPr>
      <w:r w:rsidRPr="00E62154">
        <w:rPr>
          <w:rFonts w:ascii="Arial" w:hAnsi="Arial" w:cs="Arial"/>
          <w:szCs w:val="20"/>
          <w:lang w:val="es-ES_tradnl" w:eastAsia="en-US"/>
        </w:rPr>
        <w:t>Clasificación energética de la instalación.</w:t>
      </w:r>
    </w:p>
    <w:p w14:paraId="00ED8D30" w14:textId="77777777" w:rsidR="00773E1E" w:rsidRPr="00E62154" w:rsidRDefault="00773E1E" w:rsidP="00773E1E">
      <w:pPr>
        <w:suppressAutoHyphens/>
        <w:spacing w:before="120" w:after="120" w:line="360" w:lineRule="auto"/>
        <w:jc w:val="both"/>
        <w:rPr>
          <w:rFonts w:ascii="Arial" w:hAnsi="Arial" w:cs="Arial"/>
          <w:lang w:val="es-ES_tradnl" w:eastAsia="en-US"/>
        </w:rPr>
      </w:pPr>
      <w:bookmarkStart w:id="1402" w:name="_Toc530135556"/>
      <w:r w:rsidRPr="00E62154">
        <w:rPr>
          <w:rFonts w:ascii="Arial" w:hAnsi="Arial" w:cs="Arial"/>
          <w:lang w:val="es-ES_tradnl" w:eastAsia="en-US"/>
        </w:rPr>
        <w:t>El estudio incluirá el cálculo del factor de mantenimiento siguiendo los mismos criterios que se indican en el Reglamento de Eficiencia Energética en Instalaciones de Alumbrado Exterior.</w:t>
      </w:r>
      <w:bookmarkEnd w:id="1402"/>
    </w:p>
    <w:p w14:paraId="344E0E67" w14:textId="77777777" w:rsidR="00773E1E" w:rsidRPr="00E62154" w:rsidRDefault="00773E1E" w:rsidP="00773E1E">
      <w:pPr>
        <w:suppressAutoHyphens/>
        <w:spacing w:before="120" w:after="120" w:line="360" w:lineRule="auto"/>
        <w:jc w:val="both"/>
        <w:rPr>
          <w:rFonts w:ascii="Arial" w:hAnsi="Arial" w:cs="Arial"/>
          <w:lang w:val="es-ES_tradnl" w:eastAsia="en-US"/>
        </w:rPr>
      </w:pPr>
      <w:bookmarkStart w:id="1403" w:name="_Toc530135557"/>
      <w:r w:rsidRPr="00E62154">
        <w:rPr>
          <w:rFonts w:ascii="Arial" w:hAnsi="Arial" w:cs="Arial"/>
          <w:lang w:val="es-ES_tradnl" w:eastAsia="en-US"/>
        </w:rPr>
        <w:t>Además, de cada elemento deberá aportarse la documentación siguiente:</w:t>
      </w:r>
      <w:bookmarkEnd w:id="1403"/>
    </w:p>
    <w:p w14:paraId="318B6674" w14:textId="77777777" w:rsidR="00773E1E" w:rsidRPr="00E62154" w:rsidRDefault="00773E1E" w:rsidP="00773E1E">
      <w:pPr>
        <w:numPr>
          <w:ilvl w:val="0"/>
          <w:numId w:val="183"/>
        </w:numPr>
        <w:spacing w:before="120" w:after="120" w:line="360" w:lineRule="auto"/>
        <w:jc w:val="both"/>
        <w:rPr>
          <w:rFonts w:ascii="Arial" w:hAnsi="Arial" w:cs="Arial"/>
          <w:szCs w:val="20"/>
          <w:lang w:val="es-ES_tradnl" w:eastAsia="en-US"/>
        </w:rPr>
      </w:pPr>
      <w:r w:rsidRPr="00E62154">
        <w:rPr>
          <w:rFonts w:ascii="Arial" w:hAnsi="Arial" w:cs="Arial"/>
          <w:szCs w:val="20"/>
          <w:lang w:val="es-ES_tradnl" w:eastAsia="en-US"/>
        </w:rPr>
        <w:t>Deberá poseer Marcado CE (se aportará certificado).</w:t>
      </w:r>
    </w:p>
    <w:p w14:paraId="4BE637BC" w14:textId="77777777" w:rsidR="00773E1E" w:rsidRPr="00E62154" w:rsidRDefault="00773E1E" w:rsidP="00773E1E">
      <w:pPr>
        <w:numPr>
          <w:ilvl w:val="0"/>
          <w:numId w:val="183"/>
        </w:numPr>
        <w:spacing w:before="120" w:after="120" w:line="360" w:lineRule="auto"/>
        <w:jc w:val="both"/>
        <w:rPr>
          <w:rFonts w:ascii="Arial" w:hAnsi="Arial" w:cs="Arial"/>
          <w:szCs w:val="20"/>
          <w:lang w:val="es-ES_tradnl" w:eastAsia="en-US"/>
        </w:rPr>
      </w:pPr>
      <w:r w:rsidRPr="00E62154">
        <w:rPr>
          <w:rFonts w:ascii="Arial" w:hAnsi="Arial" w:cs="Arial"/>
          <w:szCs w:val="20"/>
          <w:lang w:val="es-ES_tradnl" w:eastAsia="en-US"/>
        </w:rPr>
        <w:t>En el caso de las luminarias, de los equipos estabilizadores reguladores de cabecera de línea y de los soportes, deberá presentarse Certificado Oficial del grado de protección (IP) y del grado de resistencia al impacto (IK).</w:t>
      </w:r>
    </w:p>
    <w:p w14:paraId="59F50358" w14:textId="77777777" w:rsidR="00773E1E" w:rsidRPr="00E62154" w:rsidRDefault="00773E1E" w:rsidP="00773E1E">
      <w:pPr>
        <w:numPr>
          <w:ilvl w:val="0"/>
          <w:numId w:val="183"/>
        </w:numPr>
        <w:spacing w:before="120" w:after="120" w:line="360" w:lineRule="auto"/>
        <w:jc w:val="both"/>
        <w:rPr>
          <w:rFonts w:ascii="Arial" w:hAnsi="Arial" w:cs="Arial"/>
          <w:szCs w:val="20"/>
          <w:lang w:val="es-ES_tradnl" w:eastAsia="en-US"/>
        </w:rPr>
      </w:pPr>
      <w:r w:rsidRPr="00E62154">
        <w:rPr>
          <w:rFonts w:ascii="Arial" w:hAnsi="Arial" w:cs="Arial"/>
          <w:szCs w:val="20"/>
          <w:lang w:val="es-ES_tradnl" w:eastAsia="en-US"/>
        </w:rPr>
        <w:lastRenderedPageBreak/>
        <w:t>En caso de emplear módulos de LED, deberán cumplir las especificaciones contenidas en la Norma UNE-EN 62031 (Documentación acreditada por el fabricante del LED).</w:t>
      </w:r>
    </w:p>
    <w:p w14:paraId="278E399C" w14:textId="77777777" w:rsidR="00773E1E" w:rsidRPr="00E62154" w:rsidRDefault="00773E1E" w:rsidP="00773E1E">
      <w:pPr>
        <w:numPr>
          <w:ilvl w:val="0"/>
          <w:numId w:val="183"/>
        </w:numPr>
        <w:spacing w:before="120" w:after="120" w:line="360" w:lineRule="auto"/>
        <w:jc w:val="both"/>
        <w:rPr>
          <w:rFonts w:ascii="Arial" w:hAnsi="Arial" w:cs="Arial"/>
          <w:szCs w:val="20"/>
          <w:lang w:val="es-ES_tradnl" w:eastAsia="en-US"/>
        </w:rPr>
      </w:pPr>
      <w:proofErr w:type="gramStart"/>
      <w:r w:rsidRPr="00E62154">
        <w:rPr>
          <w:rFonts w:ascii="Arial" w:hAnsi="Arial" w:cs="Arial"/>
          <w:szCs w:val="20"/>
          <w:lang w:val="es-ES_tradnl" w:eastAsia="en-US"/>
        </w:rPr>
        <w:t>Asimismo</w:t>
      </w:r>
      <w:proofErr w:type="gramEnd"/>
      <w:r w:rsidRPr="00E62154">
        <w:rPr>
          <w:rFonts w:ascii="Arial" w:hAnsi="Arial" w:cs="Arial"/>
          <w:szCs w:val="20"/>
          <w:lang w:val="es-ES_tradnl" w:eastAsia="en-US"/>
        </w:rPr>
        <w:t xml:space="preserve"> deberá cumplir las especificaciones contenidas en la Norma UNE-EN 62471 sobre seguridad fotobiológica. (Documentación acreditada por el fabricante del LED).</w:t>
      </w:r>
    </w:p>
    <w:p w14:paraId="1644EC11" w14:textId="77777777" w:rsidR="00773E1E" w:rsidRPr="00F74B11" w:rsidRDefault="00773E1E" w:rsidP="00773E1E">
      <w:pPr>
        <w:suppressAutoHyphens/>
        <w:spacing w:before="120" w:after="120" w:line="360" w:lineRule="auto"/>
        <w:jc w:val="both"/>
        <w:rPr>
          <w:rFonts w:ascii="Arial" w:hAnsi="Arial" w:cs="Arial"/>
          <w:i/>
          <w:u w:val="single"/>
          <w:lang w:val="es-ES_tradnl" w:eastAsia="en-US"/>
        </w:rPr>
      </w:pPr>
      <w:bookmarkStart w:id="1404" w:name="_Toc414216087"/>
      <w:bookmarkStart w:id="1405" w:name="_Toc530135558"/>
      <w:r w:rsidRPr="00F74B11">
        <w:rPr>
          <w:rFonts w:ascii="Arial" w:hAnsi="Arial" w:cs="Arial"/>
          <w:i/>
          <w:u w:val="single"/>
          <w:lang w:val="es-ES_tradnl" w:eastAsia="en-US"/>
        </w:rPr>
        <w:t>Recepción de la instalación</w:t>
      </w:r>
      <w:bookmarkEnd w:id="1404"/>
      <w:bookmarkEnd w:id="1405"/>
    </w:p>
    <w:p w14:paraId="6D210C35" w14:textId="77777777" w:rsidR="00773E1E" w:rsidRPr="00E62154" w:rsidRDefault="00773E1E" w:rsidP="00773E1E">
      <w:pPr>
        <w:suppressAutoHyphens/>
        <w:spacing w:before="120" w:after="120" w:line="360" w:lineRule="auto"/>
        <w:jc w:val="both"/>
        <w:rPr>
          <w:rFonts w:ascii="Arial" w:hAnsi="Arial" w:cs="Arial"/>
          <w:lang w:val="es-ES_tradnl" w:eastAsia="en-US"/>
        </w:rPr>
      </w:pPr>
      <w:bookmarkStart w:id="1406" w:name="_Toc530135559"/>
      <w:r w:rsidRPr="00E62154">
        <w:rPr>
          <w:rFonts w:ascii="Arial" w:hAnsi="Arial" w:cs="Arial"/>
          <w:lang w:val="es-ES_tradnl" w:eastAsia="en-US"/>
        </w:rPr>
        <w:t>Deben realizarse las mediciones siguientes:</w:t>
      </w:r>
      <w:bookmarkEnd w:id="1406"/>
    </w:p>
    <w:p w14:paraId="27DE4AC3" w14:textId="77777777" w:rsidR="00773E1E" w:rsidRPr="00E62154" w:rsidRDefault="00773E1E" w:rsidP="00773E1E">
      <w:pPr>
        <w:numPr>
          <w:ilvl w:val="0"/>
          <w:numId w:val="183"/>
        </w:numPr>
        <w:spacing w:before="120" w:after="120" w:line="360" w:lineRule="auto"/>
        <w:jc w:val="both"/>
        <w:rPr>
          <w:rFonts w:ascii="Arial" w:hAnsi="Arial" w:cs="Arial"/>
          <w:szCs w:val="20"/>
          <w:lang w:val="es-ES_tradnl" w:eastAsia="en-US"/>
        </w:rPr>
      </w:pPr>
      <w:r w:rsidRPr="00E62154">
        <w:rPr>
          <w:rFonts w:ascii="Arial" w:hAnsi="Arial" w:cs="Arial"/>
          <w:szCs w:val="20"/>
          <w:lang w:val="es-ES_tradnl" w:eastAsia="en-US"/>
        </w:rPr>
        <w:t>Potencia eléctrica consumida por la instalación. Dicha potencia se medirá mediante un analizador de potencia trifásico con una exactitud mayor del 5%. Durante la medición de la potencia consumida, se registrará la tensión de alimentación y se tendrá en cuenta su desviación respecto a la tensión nominal para el cálculo de la potencia de referencia utilizada en el proyecto.</w:t>
      </w:r>
    </w:p>
    <w:p w14:paraId="15E6D7E9" w14:textId="77777777" w:rsidR="00773E1E" w:rsidRPr="00E62154" w:rsidRDefault="00773E1E" w:rsidP="00773E1E">
      <w:pPr>
        <w:numPr>
          <w:ilvl w:val="0"/>
          <w:numId w:val="183"/>
        </w:numPr>
        <w:spacing w:before="120" w:after="120" w:line="360" w:lineRule="auto"/>
        <w:jc w:val="both"/>
        <w:rPr>
          <w:rFonts w:ascii="Arial" w:hAnsi="Arial" w:cs="Arial"/>
          <w:szCs w:val="20"/>
          <w:lang w:val="es-ES_tradnl" w:eastAsia="en-US"/>
        </w:rPr>
      </w:pPr>
      <w:r w:rsidRPr="00E62154">
        <w:rPr>
          <w:rFonts w:ascii="Arial" w:hAnsi="Arial" w:cs="Arial"/>
          <w:szCs w:val="20"/>
          <w:lang w:val="es-ES_tradnl" w:eastAsia="en-US"/>
        </w:rPr>
        <w:t>Iluminancia media de la instalación. El valor de dicha iluminancia será el valor medio de las iluminancias medidas en los puntos de la retícula de cálculo, de acuerdo con lo establecido en la ITC-EA-07.</w:t>
      </w:r>
    </w:p>
    <w:p w14:paraId="53F5BA8B" w14:textId="77777777" w:rsidR="00773E1E" w:rsidRPr="00E62154" w:rsidRDefault="00773E1E" w:rsidP="00773E1E">
      <w:pPr>
        <w:numPr>
          <w:ilvl w:val="0"/>
          <w:numId w:val="183"/>
        </w:numPr>
        <w:spacing w:before="120" w:after="120" w:line="360" w:lineRule="auto"/>
        <w:jc w:val="both"/>
        <w:rPr>
          <w:rFonts w:ascii="Arial" w:hAnsi="Arial" w:cs="Arial"/>
          <w:szCs w:val="20"/>
          <w:lang w:val="es-ES_tradnl" w:eastAsia="en-US"/>
        </w:rPr>
      </w:pPr>
      <w:r w:rsidRPr="00E62154">
        <w:rPr>
          <w:rFonts w:ascii="Arial" w:hAnsi="Arial" w:cs="Arial"/>
          <w:szCs w:val="20"/>
          <w:lang w:val="es-ES_tradnl" w:eastAsia="en-US"/>
        </w:rPr>
        <w:t>Uniformidad de la instalación. Para el cálculo de los valores de uniformidad media se tendrán en cuenta las mediciones individuales realizadas para el cálculo de la iluminancia media.</w:t>
      </w:r>
    </w:p>
    <w:p w14:paraId="1502497B" w14:textId="77777777" w:rsidR="00773E1E" w:rsidRPr="00E62154" w:rsidRDefault="00773E1E" w:rsidP="00773E1E">
      <w:pPr>
        <w:numPr>
          <w:ilvl w:val="0"/>
          <w:numId w:val="183"/>
        </w:numPr>
        <w:spacing w:before="120" w:after="120" w:line="360" w:lineRule="auto"/>
        <w:jc w:val="both"/>
        <w:rPr>
          <w:rFonts w:ascii="Arial" w:hAnsi="Arial" w:cs="Arial"/>
          <w:szCs w:val="20"/>
          <w:lang w:val="es-ES_tradnl" w:eastAsia="en-US"/>
        </w:rPr>
      </w:pPr>
      <w:r w:rsidRPr="00E62154">
        <w:rPr>
          <w:rFonts w:ascii="Arial" w:hAnsi="Arial" w:cs="Arial"/>
          <w:szCs w:val="20"/>
          <w:lang w:val="es-ES_tradnl" w:eastAsia="en-US"/>
        </w:rPr>
        <w:t>Luminancia media de la instalación. Esta medición se realizará cuando la situación de proyecto incluya clases de alumbrado con valores de referencia para dicha magnitud.</w:t>
      </w:r>
    </w:p>
    <w:p w14:paraId="13C9A524" w14:textId="77777777" w:rsidR="00773E1E" w:rsidRPr="00E62154" w:rsidRDefault="00773E1E" w:rsidP="00773E1E">
      <w:pPr>
        <w:numPr>
          <w:ilvl w:val="0"/>
          <w:numId w:val="183"/>
        </w:numPr>
        <w:spacing w:before="120" w:after="120" w:line="360" w:lineRule="auto"/>
        <w:jc w:val="both"/>
        <w:rPr>
          <w:rFonts w:ascii="Arial" w:hAnsi="Arial" w:cs="Arial"/>
          <w:szCs w:val="20"/>
          <w:lang w:val="es-ES_tradnl" w:eastAsia="en-US"/>
        </w:rPr>
      </w:pPr>
      <w:r w:rsidRPr="00E62154">
        <w:rPr>
          <w:rFonts w:ascii="Arial" w:hAnsi="Arial" w:cs="Arial"/>
          <w:szCs w:val="20"/>
          <w:lang w:val="es-ES_tradnl" w:eastAsia="en-US"/>
        </w:rPr>
        <w:t>Deslumbramiento perturbador y relación entorno SR.</w:t>
      </w:r>
    </w:p>
    <w:p w14:paraId="39D1050F" w14:textId="77777777" w:rsidR="00773E1E" w:rsidRPr="00E62154" w:rsidRDefault="00773E1E" w:rsidP="00773E1E">
      <w:pPr>
        <w:suppressAutoHyphens/>
        <w:spacing w:before="120" w:after="120" w:line="360" w:lineRule="auto"/>
        <w:jc w:val="both"/>
        <w:rPr>
          <w:rFonts w:ascii="Arial" w:hAnsi="Arial" w:cs="Arial"/>
          <w:lang w:val="es-ES_tradnl" w:eastAsia="en-US"/>
        </w:rPr>
      </w:pPr>
      <w:bookmarkStart w:id="1407" w:name="_Toc530135560"/>
      <w:r w:rsidRPr="00E62154">
        <w:rPr>
          <w:rFonts w:ascii="Arial" w:hAnsi="Arial" w:cs="Arial"/>
          <w:lang w:val="es-ES_tradnl" w:eastAsia="en-US"/>
        </w:rPr>
        <w:t>Estas mediciones se realizarán para el nivel máximo de iluminación y para varios niveles reducidos.</w:t>
      </w:r>
      <w:bookmarkEnd w:id="1407"/>
    </w:p>
    <w:p w14:paraId="22BBE605" w14:textId="77777777" w:rsidR="00773E1E" w:rsidRPr="00E62154" w:rsidRDefault="00773E1E" w:rsidP="00773E1E">
      <w:pPr>
        <w:suppressAutoHyphens/>
        <w:spacing w:before="120" w:after="120" w:line="360" w:lineRule="auto"/>
        <w:jc w:val="both"/>
        <w:rPr>
          <w:rFonts w:ascii="Arial" w:hAnsi="Arial" w:cs="Arial"/>
          <w:lang w:val="es-ES_tradnl" w:eastAsia="en-US"/>
        </w:rPr>
      </w:pPr>
      <w:bookmarkStart w:id="1408" w:name="_Toc530135561"/>
      <w:r w:rsidRPr="00E62154">
        <w:rPr>
          <w:rFonts w:ascii="Arial" w:hAnsi="Arial" w:cs="Arial"/>
          <w:lang w:val="es-ES_tradnl" w:eastAsia="en-US"/>
        </w:rPr>
        <w:t>A partir de las medidas anteriores, se determinarán la eficiencia energética (ɛ) y el índice de eficiencia energética (</w:t>
      </w:r>
      <w:proofErr w:type="spellStart"/>
      <w:r w:rsidRPr="00E62154">
        <w:rPr>
          <w:rFonts w:ascii="Arial" w:hAnsi="Arial" w:cs="Arial"/>
          <w:lang w:val="es-ES_tradnl" w:eastAsia="en-US"/>
        </w:rPr>
        <w:t>Iɛ</w:t>
      </w:r>
      <w:proofErr w:type="spellEnd"/>
      <w:r w:rsidRPr="00E62154">
        <w:rPr>
          <w:rFonts w:ascii="Arial" w:hAnsi="Arial" w:cs="Arial"/>
          <w:lang w:val="es-ES_tradnl" w:eastAsia="en-US"/>
        </w:rPr>
        <w:t>) reales de la instalación de alumbrado exterior. El valor de la eficiencia energética (ɛ) no deberá ser inferior en más de un 10% al del valor (ɛ) proyectado, y la calificación energética de la instalación (</w:t>
      </w:r>
      <w:proofErr w:type="spellStart"/>
      <w:r w:rsidRPr="00E62154">
        <w:rPr>
          <w:rFonts w:ascii="Arial" w:hAnsi="Arial" w:cs="Arial"/>
          <w:lang w:val="es-ES_tradnl" w:eastAsia="en-US"/>
        </w:rPr>
        <w:t>Iɛ</w:t>
      </w:r>
      <w:proofErr w:type="spellEnd"/>
      <w:r w:rsidRPr="00E62154">
        <w:rPr>
          <w:rFonts w:ascii="Arial" w:hAnsi="Arial" w:cs="Arial"/>
          <w:lang w:val="es-ES_tradnl" w:eastAsia="en-US"/>
        </w:rPr>
        <w:t>) deberá coincidir con la proyectada.</w:t>
      </w:r>
      <w:bookmarkEnd w:id="1408"/>
    </w:p>
    <w:p w14:paraId="1D7411EE" w14:textId="77777777" w:rsidR="00773E1E" w:rsidRPr="0037448F" w:rsidRDefault="00773E1E" w:rsidP="000313DD">
      <w:pPr>
        <w:pStyle w:val="TITU2"/>
      </w:pPr>
      <w:bookmarkStart w:id="1409" w:name="_Toc530135562"/>
      <w:bookmarkStart w:id="1410" w:name="_Toc533762606"/>
      <w:bookmarkStart w:id="1411" w:name="_Toc404699"/>
      <w:r w:rsidRPr="0037448F">
        <w:t>810.5.</w:t>
      </w:r>
      <w:r w:rsidRPr="0037448F">
        <w:tab/>
        <w:t xml:space="preserve"> Control de calidad</w:t>
      </w:r>
      <w:bookmarkEnd w:id="1409"/>
      <w:bookmarkEnd w:id="1410"/>
      <w:bookmarkEnd w:id="1411"/>
    </w:p>
    <w:p w14:paraId="08E08F36" w14:textId="77777777" w:rsidR="00773E1E" w:rsidRPr="00E62154" w:rsidRDefault="00773E1E" w:rsidP="00773E1E">
      <w:pPr>
        <w:spacing w:line="360" w:lineRule="auto"/>
        <w:rPr>
          <w:rFonts w:ascii="Arial" w:hAnsi="Arial" w:cs="Arial"/>
        </w:rPr>
      </w:pPr>
      <w:r w:rsidRPr="00E62154">
        <w:rPr>
          <w:rFonts w:ascii="Arial" w:hAnsi="Arial" w:cs="Arial"/>
        </w:rPr>
        <w:t>Se comprobará el Marcado CE: Declaración de Conformidad y Expediente Técnico o Documentación asociada, junto a las siguientes propiedades:</w:t>
      </w:r>
    </w:p>
    <w:p w14:paraId="29E2C37D" w14:textId="77777777" w:rsidR="00773E1E" w:rsidRPr="00E62154" w:rsidRDefault="00773E1E" w:rsidP="00773E1E">
      <w:pPr>
        <w:numPr>
          <w:ilvl w:val="0"/>
          <w:numId w:val="183"/>
        </w:numPr>
        <w:spacing w:before="120" w:after="120" w:line="360" w:lineRule="auto"/>
        <w:jc w:val="both"/>
        <w:rPr>
          <w:rFonts w:ascii="Arial" w:hAnsi="Arial" w:cs="Arial"/>
          <w:lang w:val="es-ES_tradnl" w:eastAsia="en-US"/>
        </w:rPr>
      </w:pPr>
      <w:r w:rsidRPr="00E62154">
        <w:rPr>
          <w:rFonts w:ascii="Arial" w:hAnsi="Arial" w:cs="Arial"/>
          <w:lang w:val="es-ES_tradnl" w:eastAsia="en-US"/>
        </w:rPr>
        <w:t>Marca, modelo y datos del fabricante LED / Modulo LED.</w:t>
      </w:r>
    </w:p>
    <w:p w14:paraId="7B726713" w14:textId="77777777" w:rsidR="00773E1E" w:rsidRPr="00E62154" w:rsidRDefault="00773E1E" w:rsidP="00773E1E">
      <w:pPr>
        <w:numPr>
          <w:ilvl w:val="0"/>
          <w:numId w:val="183"/>
        </w:numPr>
        <w:spacing w:before="120" w:after="120" w:line="360" w:lineRule="auto"/>
        <w:jc w:val="both"/>
        <w:rPr>
          <w:rFonts w:ascii="Arial" w:hAnsi="Arial" w:cs="Arial"/>
          <w:lang w:val="es-ES_tradnl" w:eastAsia="en-US"/>
        </w:rPr>
      </w:pPr>
      <w:r w:rsidRPr="00E62154">
        <w:rPr>
          <w:rFonts w:ascii="Arial" w:hAnsi="Arial" w:cs="Arial"/>
          <w:lang w:val="es-ES_tradnl" w:eastAsia="en-US"/>
        </w:rPr>
        <w:t>Potencia nominal individual de cada LED.</w:t>
      </w:r>
    </w:p>
    <w:p w14:paraId="6EE94DD8" w14:textId="77777777" w:rsidR="00773E1E" w:rsidRPr="005F02AF" w:rsidRDefault="00773E1E" w:rsidP="00773E1E">
      <w:pPr>
        <w:numPr>
          <w:ilvl w:val="0"/>
          <w:numId w:val="183"/>
        </w:numPr>
        <w:spacing w:before="120" w:after="120" w:line="360" w:lineRule="auto"/>
        <w:ind w:left="1434" w:hanging="357"/>
        <w:contextualSpacing/>
        <w:jc w:val="both"/>
        <w:rPr>
          <w:rFonts w:ascii="Arial" w:hAnsi="Arial" w:cs="Arial"/>
          <w:lang w:val="es-ES_tradnl" w:eastAsia="en-US"/>
        </w:rPr>
      </w:pPr>
      <w:r w:rsidRPr="005F02AF">
        <w:rPr>
          <w:rFonts w:ascii="Arial" w:hAnsi="Arial" w:cs="Arial"/>
          <w:lang w:val="es-ES_tradnl" w:eastAsia="en-US"/>
        </w:rPr>
        <w:t>Potencia nominal del módulo completo.</w:t>
      </w:r>
    </w:p>
    <w:p w14:paraId="075C40BF" w14:textId="77777777" w:rsidR="00773E1E" w:rsidRPr="005F02AF" w:rsidRDefault="00773E1E" w:rsidP="00773E1E">
      <w:pPr>
        <w:numPr>
          <w:ilvl w:val="0"/>
          <w:numId w:val="183"/>
        </w:numPr>
        <w:spacing w:before="120" w:after="120" w:line="360" w:lineRule="auto"/>
        <w:ind w:left="1434" w:hanging="357"/>
        <w:contextualSpacing/>
        <w:jc w:val="both"/>
        <w:rPr>
          <w:rFonts w:ascii="Arial" w:hAnsi="Arial" w:cs="Arial"/>
          <w:lang w:val="es-ES_tradnl" w:eastAsia="en-US"/>
        </w:rPr>
      </w:pPr>
      <w:r w:rsidRPr="005F02AF">
        <w:rPr>
          <w:rFonts w:ascii="Arial" w:hAnsi="Arial" w:cs="Arial"/>
          <w:lang w:val="es-ES_tradnl" w:eastAsia="en-US"/>
        </w:rPr>
        <w:t>Flujo luminoso emitido por cada LED individualmente y por el módulo completo.</w:t>
      </w:r>
    </w:p>
    <w:p w14:paraId="792C9ACD" w14:textId="77777777" w:rsidR="00773E1E" w:rsidRPr="005F02AF" w:rsidRDefault="00773E1E" w:rsidP="00773E1E">
      <w:pPr>
        <w:numPr>
          <w:ilvl w:val="0"/>
          <w:numId w:val="183"/>
        </w:numPr>
        <w:spacing w:before="120" w:after="120" w:line="360" w:lineRule="auto"/>
        <w:ind w:left="1434" w:hanging="357"/>
        <w:contextualSpacing/>
        <w:jc w:val="both"/>
        <w:rPr>
          <w:rFonts w:ascii="Arial" w:hAnsi="Arial" w:cs="Arial"/>
          <w:lang w:val="es-ES_tradnl" w:eastAsia="en-US"/>
        </w:rPr>
      </w:pPr>
      <w:r w:rsidRPr="005F02AF">
        <w:rPr>
          <w:rFonts w:ascii="Arial" w:hAnsi="Arial" w:cs="Arial"/>
          <w:lang w:val="es-ES_tradnl" w:eastAsia="en-US"/>
        </w:rPr>
        <w:t>Curvas de duración de vida, en horas de funcionamiento, en función de la temperatura de unión.</w:t>
      </w:r>
    </w:p>
    <w:p w14:paraId="3F3BAC40" w14:textId="77777777" w:rsidR="00773E1E" w:rsidRPr="005F02AF" w:rsidRDefault="00773E1E" w:rsidP="00773E1E">
      <w:pPr>
        <w:numPr>
          <w:ilvl w:val="0"/>
          <w:numId w:val="183"/>
        </w:numPr>
        <w:spacing w:before="120" w:after="120" w:line="360" w:lineRule="auto"/>
        <w:ind w:left="1434" w:hanging="357"/>
        <w:contextualSpacing/>
        <w:jc w:val="both"/>
        <w:rPr>
          <w:rFonts w:ascii="Arial" w:hAnsi="Arial" w:cs="Arial"/>
          <w:lang w:val="es-ES_tradnl" w:eastAsia="en-US"/>
        </w:rPr>
      </w:pPr>
      <w:r w:rsidRPr="005F02AF">
        <w:rPr>
          <w:rFonts w:ascii="Arial" w:hAnsi="Arial" w:cs="Arial"/>
          <w:lang w:val="es-ES_tradnl" w:eastAsia="en-US"/>
        </w:rPr>
        <w:t>Índice de reproducción cromática.</w:t>
      </w:r>
    </w:p>
    <w:p w14:paraId="6F4BDDCD" w14:textId="77777777" w:rsidR="00773E1E" w:rsidRPr="005F02AF" w:rsidRDefault="00773E1E" w:rsidP="00773E1E">
      <w:pPr>
        <w:numPr>
          <w:ilvl w:val="0"/>
          <w:numId w:val="183"/>
        </w:numPr>
        <w:spacing w:before="120" w:after="120" w:line="360" w:lineRule="auto"/>
        <w:ind w:left="1434" w:hanging="357"/>
        <w:contextualSpacing/>
        <w:jc w:val="both"/>
        <w:rPr>
          <w:rFonts w:ascii="Arial" w:hAnsi="Arial" w:cs="Arial"/>
          <w:lang w:val="es-ES_tradnl" w:eastAsia="en-US"/>
        </w:rPr>
      </w:pPr>
      <w:r w:rsidRPr="005F02AF">
        <w:rPr>
          <w:rFonts w:ascii="Arial" w:hAnsi="Arial" w:cs="Arial"/>
          <w:lang w:val="es-ES_tradnl" w:eastAsia="en-US"/>
        </w:rPr>
        <w:t>Temperatura de color.</w:t>
      </w:r>
    </w:p>
    <w:p w14:paraId="4C88F769" w14:textId="77777777" w:rsidR="00773E1E" w:rsidRPr="00E62154" w:rsidRDefault="00773E1E" w:rsidP="00773E1E">
      <w:pPr>
        <w:spacing w:line="360" w:lineRule="auto"/>
        <w:rPr>
          <w:rFonts w:ascii="Arial" w:hAnsi="Arial" w:cs="Arial"/>
        </w:rPr>
      </w:pPr>
      <w:r w:rsidRPr="00E62154">
        <w:rPr>
          <w:rFonts w:ascii="Arial" w:hAnsi="Arial" w:cs="Arial"/>
        </w:rPr>
        <w:t>En virtud del cumplimiento del Reglamento de Eficiencia energética en instalaciones de alumbrado exterior (R.D. 1890/2008) las luminarias tipo LED debemos obtener el factor de mantenimiento global que se calcula según los siguientes parámetros.</w:t>
      </w:r>
    </w:p>
    <w:p w14:paraId="3D884D63" w14:textId="77777777" w:rsidR="00773E1E" w:rsidRPr="00E62154" w:rsidRDefault="00773E1E" w:rsidP="00773E1E">
      <w:pPr>
        <w:numPr>
          <w:ilvl w:val="0"/>
          <w:numId w:val="183"/>
        </w:numPr>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Especificaciones respecto al porcentaje de depreciación de flujo luminoso respecto al flujo inicial hasta el periodo de reemplazo del módulo </w:t>
      </w:r>
      <w:proofErr w:type="gramStart"/>
      <w:r w:rsidRPr="00E62154">
        <w:rPr>
          <w:rFonts w:ascii="Arial" w:hAnsi="Arial" w:cs="Arial"/>
          <w:lang w:val="es-ES_tradnl" w:eastAsia="en-US"/>
        </w:rPr>
        <w:t>LED.(</w:t>
      </w:r>
      <w:proofErr w:type="gramEnd"/>
      <w:r w:rsidRPr="00E62154">
        <w:rPr>
          <w:rFonts w:ascii="Arial" w:hAnsi="Arial" w:cs="Arial"/>
          <w:lang w:val="es-ES_tradnl" w:eastAsia="en-US"/>
        </w:rPr>
        <w:t>FDFL)</w:t>
      </w:r>
    </w:p>
    <w:p w14:paraId="310DAB6D" w14:textId="77777777" w:rsidR="00773E1E" w:rsidRPr="00E62154" w:rsidRDefault="00773E1E" w:rsidP="00773E1E">
      <w:pPr>
        <w:numPr>
          <w:ilvl w:val="0"/>
          <w:numId w:val="183"/>
        </w:numPr>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El porcentaje de luminarias LED que sobreviven y alcanzan el flujo indicado en su curva de depreciación, para las horas especificadas deberá ser del 100% a las 20.000 horas. Diferencial porcentual entre el flujo lumínico a las 20000 horas y el flujo luminoso por debajo del que el fabricante está obligado a sustituir la fuente luminosa a las 20000 </w:t>
      </w:r>
      <w:proofErr w:type="gramStart"/>
      <w:r w:rsidRPr="00E62154">
        <w:rPr>
          <w:rFonts w:ascii="Arial" w:hAnsi="Arial" w:cs="Arial"/>
          <w:lang w:val="es-ES_tradnl" w:eastAsia="en-US"/>
        </w:rPr>
        <w:t>horas(</w:t>
      </w:r>
      <w:proofErr w:type="gramEnd"/>
      <w:r w:rsidRPr="00E62154">
        <w:rPr>
          <w:rFonts w:ascii="Arial" w:hAnsi="Arial" w:cs="Arial"/>
          <w:lang w:val="es-ES_tradnl" w:eastAsia="en-US"/>
        </w:rPr>
        <w:t>FSL)</w:t>
      </w:r>
    </w:p>
    <w:p w14:paraId="747653FA" w14:textId="77777777" w:rsidR="00773E1E" w:rsidRPr="00E62154" w:rsidRDefault="00773E1E" w:rsidP="00773E1E">
      <w:pPr>
        <w:numPr>
          <w:ilvl w:val="0"/>
          <w:numId w:val="183"/>
        </w:numPr>
        <w:spacing w:before="120" w:after="120" w:line="360" w:lineRule="auto"/>
        <w:jc w:val="both"/>
        <w:rPr>
          <w:rFonts w:ascii="Arial" w:hAnsi="Arial" w:cs="Arial"/>
          <w:lang w:val="es-ES_tradnl" w:eastAsia="en-US"/>
        </w:rPr>
      </w:pPr>
      <w:r w:rsidRPr="00E62154">
        <w:rPr>
          <w:rFonts w:ascii="Arial" w:hAnsi="Arial" w:cs="Arial"/>
          <w:lang w:val="es-ES_tradnl" w:eastAsia="en-US"/>
        </w:rPr>
        <w:t>Depreciación de la luminaria según su grado de IP e intervalo de limpieza cada dos años. (FDLU).</w:t>
      </w:r>
    </w:p>
    <w:p w14:paraId="7A80A6C9" w14:textId="77777777" w:rsidR="00773E1E" w:rsidRPr="00E62154" w:rsidRDefault="00773E1E" w:rsidP="00773E1E">
      <w:pPr>
        <w:numPr>
          <w:ilvl w:val="0"/>
          <w:numId w:val="183"/>
        </w:numPr>
        <w:spacing w:before="120" w:after="120" w:line="360" w:lineRule="auto"/>
        <w:jc w:val="both"/>
        <w:rPr>
          <w:rFonts w:ascii="Arial" w:hAnsi="Arial" w:cs="Arial"/>
          <w:lang w:val="es-ES_tradnl" w:eastAsia="en-US"/>
        </w:rPr>
      </w:pPr>
      <w:r w:rsidRPr="00E62154">
        <w:rPr>
          <w:rFonts w:ascii="Arial" w:hAnsi="Arial" w:cs="Arial"/>
          <w:lang w:val="es-ES_tradnl" w:eastAsia="en-US"/>
        </w:rPr>
        <w:t>Factor de depreciación de las superficies del recinto (FDSR)</w:t>
      </w:r>
    </w:p>
    <w:p w14:paraId="348B6EB9" w14:textId="77777777" w:rsidR="00773E1E" w:rsidRPr="00E62154" w:rsidRDefault="00773E1E" w:rsidP="00773E1E">
      <w:pPr>
        <w:spacing w:line="360" w:lineRule="auto"/>
        <w:jc w:val="both"/>
        <w:rPr>
          <w:rFonts w:ascii="Arial" w:hAnsi="Arial" w:cs="Arial"/>
        </w:rPr>
      </w:pPr>
      <w:r w:rsidRPr="00E62154">
        <w:rPr>
          <w:rFonts w:ascii="Arial" w:hAnsi="Arial" w:cs="Arial"/>
        </w:rPr>
        <w:t>El factor de mantenimiento global de estos conceptos no será inferior a 0,7 ni superior a 0,85 y se obtiene de Fm= FDFL x FSL x FDLU x FDSR</w:t>
      </w:r>
    </w:p>
    <w:p w14:paraId="642372DE" w14:textId="77777777" w:rsidR="00773E1E" w:rsidRPr="00E62154" w:rsidRDefault="00773E1E" w:rsidP="00773E1E">
      <w:pPr>
        <w:spacing w:line="360" w:lineRule="auto"/>
        <w:jc w:val="both"/>
        <w:rPr>
          <w:rFonts w:ascii="Arial" w:hAnsi="Arial" w:cs="Arial"/>
        </w:rPr>
      </w:pPr>
      <w:r w:rsidRPr="00E62154">
        <w:rPr>
          <w:rFonts w:ascii="Arial" w:hAnsi="Arial" w:cs="Arial"/>
        </w:rPr>
        <w:t xml:space="preserve">En el apartado de parámetros luminotécnicos, una luminaria equipada con fuentes </w:t>
      </w:r>
      <w:r>
        <w:rPr>
          <w:rFonts w:ascii="Arial" w:hAnsi="Arial" w:cs="Arial"/>
        </w:rPr>
        <w:t>l</w:t>
      </w:r>
      <w:r w:rsidRPr="00E62154">
        <w:rPr>
          <w:rFonts w:ascii="Arial" w:hAnsi="Arial" w:cs="Arial"/>
        </w:rPr>
        <w:t xml:space="preserve">uminosas tipo </w:t>
      </w:r>
      <w:proofErr w:type="gramStart"/>
      <w:r w:rsidRPr="00E62154">
        <w:rPr>
          <w:rFonts w:ascii="Arial" w:hAnsi="Arial" w:cs="Arial"/>
        </w:rPr>
        <w:t>LED,</w:t>
      </w:r>
      <w:proofErr w:type="gramEnd"/>
      <w:r w:rsidRPr="00E62154">
        <w:rPr>
          <w:rFonts w:ascii="Arial" w:hAnsi="Arial" w:cs="Arial"/>
        </w:rPr>
        <w:t xml:space="preserve"> </w:t>
      </w:r>
      <w:proofErr w:type="gramStart"/>
      <w:r w:rsidRPr="00E62154">
        <w:rPr>
          <w:rFonts w:ascii="Arial" w:hAnsi="Arial" w:cs="Arial"/>
        </w:rPr>
        <w:t>tiene que tener</w:t>
      </w:r>
      <w:proofErr w:type="gramEnd"/>
      <w:r w:rsidRPr="00E62154">
        <w:rPr>
          <w:rFonts w:ascii="Arial" w:hAnsi="Arial" w:cs="Arial"/>
        </w:rPr>
        <w:t xml:space="preserve"> una eficacia superior al 55% si es de tipo vial ambiental y superior al 65% si es de tipo vial funcional.</w:t>
      </w:r>
    </w:p>
    <w:p w14:paraId="3EFA8950" w14:textId="77777777" w:rsidR="00773E1E" w:rsidRPr="00E62154" w:rsidRDefault="00773E1E" w:rsidP="00773E1E">
      <w:pPr>
        <w:keepNext/>
        <w:pageBreakBefore/>
        <w:widowControl w:val="0"/>
        <w:spacing w:before="360" w:after="240" w:line="360" w:lineRule="auto"/>
        <w:jc w:val="both"/>
        <w:outlineLvl w:val="0"/>
        <w:rPr>
          <w:rFonts w:ascii="Arial" w:hAnsi="Arial" w:cs="Arial"/>
          <w:b/>
          <w:noProof/>
          <w:kern w:val="28"/>
          <w:lang w:eastAsia="en-US"/>
        </w:rPr>
      </w:pPr>
      <w:bookmarkStart w:id="1412" w:name="_Toc533762607"/>
      <w:bookmarkStart w:id="1413" w:name="_Toc404700"/>
      <w:r>
        <w:rPr>
          <w:rFonts w:ascii="Arial" w:hAnsi="Arial" w:cs="Arial"/>
          <w:b/>
          <w:noProof/>
          <w:kern w:val="28"/>
          <w:lang w:eastAsia="en-US"/>
        </w:rPr>
        <w:lastRenderedPageBreak/>
        <w:t>Artículo 811.</w:t>
      </w:r>
      <w:r w:rsidRPr="00E62154">
        <w:rPr>
          <w:rFonts w:ascii="Arial" w:hAnsi="Arial" w:cs="Arial"/>
          <w:b/>
          <w:noProof/>
          <w:kern w:val="28"/>
          <w:lang w:eastAsia="en-US"/>
        </w:rPr>
        <w:t xml:space="preserve"> Reposición de servicios de la red de abastecimiento</w:t>
      </w:r>
      <w:bookmarkEnd w:id="1412"/>
      <w:bookmarkEnd w:id="1413"/>
    </w:p>
    <w:p w14:paraId="2C7293A9" w14:textId="77777777" w:rsidR="00773E1E" w:rsidRPr="0037448F" w:rsidRDefault="00773E1E" w:rsidP="000313DD">
      <w:pPr>
        <w:pStyle w:val="TITU2"/>
      </w:pPr>
      <w:bookmarkStart w:id="1414" w:name="_Toc533762608"/>
      <w:bookmarkStart w:id="1415" w:name="_Toc404701"/>
      <w:r w:rsidRPr="0037448F">
        <w:t xml:space="preserve">811.1. </w:t>
      </w:r>
      <w:r w:rsidRPr="0037448F">
        <w:tab/>
        <w:t>Definición</w:t>
      </w:r>
      <w:bookmarkEnd w:id="1414"/>
      <w:bookmarkEnd w:id="1415"/>
    </w:p>
    <w:p w14:paraId="42978CD1"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El presente artículo comprende las actuaciones de reposición de los servicios existentes de la red de abastecimiento del Ayuntamiento de Siero, que se ven afectados por la ejecución de las obras.</w:t>
      </w:r>
    </w:p>
    <w:p w14:paraId="4B020046" w14:textId="77777777" w:rsidR="00773E1E" w:rsidRPr="0037448F" w:rsidRDefault="00773E1E" w:rsidP="000313DD">
      <w:pPr>
        <w:pStyle w:val="TITU2"/>
      </w:pPr>
      <w:bookmarkStart w:id="1416" w:name="_Toc533762609"/>
      <w:bookmarkStart w:id="1417" w:name="_Toc404702"/>
      <w:r w:rsidRPr="0037448F">
        <w:t>811.2. Aplicación</w:t>
      </w:r>
      <w:bookmarkEnd w:id="1416"/>
      <w:bookmarkEnd w:id="1417"/>
    </w:p>
    <w:p w14:paraId="26D148CF"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El presente artículo </w:t>
      </w:r>
      <w:proofErr w:type="gramStart"/>
      <w:r w:rsidRPr="00E62154">
        <w:rPr>
          <w:rFonts w:ascii="Arial" w:hAnsi="Arial" w:cs="Arial"/>
          <w:lang w:eastAsia="en-US"/>
        </w:rPr>
        <w:t>es de aplicación</w:t>
      </w:r>
      <w:proofErr w:type="gramEnd"/>
      <w:r w:rsidRPr="00E62154">
        <w:rPr>
          <w:rFonts w:ascii="Arial" w:hAnsi="Arial" w:cs="Arial"/>
          <w:lang w:eastAsia="en-US"/>
        </w:rPr>
        <w:t xml:space="preserve"> a la siguiente unidad de obra: </w:t>
      </w:r>
    </w:p>
    <w:tbl>
      <w:tblPr>
        <w:tblW w:w="5000" w:type="pct"/>
        <w:tblCellMar>
          <w:left w:w="70" w:type="dxa"/>
          <w:right w:w="70" w:type="dxa"/>
        </w:tblCellMar>
        <w:tblLook w:val="04A0" w:firstRow="1" w:lastRow="0" w:firstColumn="1" w:lastColumn="0" w:noHBand="0" w:noVBand="1"/>
      </w:tblPr>
      <w:tblGrid>
        <w:gridCol w:w="1207"/>
        <w:gridCol w:w="725"/>
        <w:gridCol w:w="7988"/>
      </w:tblGrid>
      <w:tr w:rsidR="00773E1E" w:rsidRPr="00E62154" w14:paraId="4A0DFAF1" w14:textId="77777777" w:rsidTr="00276EC8">
        <w:trPr>
          <w:trHeight w:val="300"/>
        </w:trPr>
        <w:tc>
          <w:tcPr>
            <w:tcW w:w="608" w:type="pct"/>
            <w:noWrap/>
          </w:tcPr>
          <w:p w14:paraId="45E2FCB3" w14:textId="77777777" w:rsidR="00773E1E" w:rsidRPr="00F476CB" w:rsidRDefault="00773E1E" w:rsidP="00276EC8">
            <w:pPr>
              <w:rPr>
                <w:rFonts w:ascii="Calibri" w:hAnsi="Calibri"/>
              </w:rPr>
            </w:pPr>
            <w:r w:rsidRPr="00F476CB">
              <w:rPr>
                <w:rFonts w:ascii="Calibri" w:hAnsi="Calibri"/>
              </w:rPr>
              <w:t xml:space="preserve">900.0006N          </w:t>
            </w:r>
          </w:p>
        </w:tc>
        <w:tc>
          <w:tcPr>
            <w:tcW w:w="366" w:type="pct"/>
            <w:noWrap/>
          </w:tcPr>
          <w:p w14:paraId="30052E27" w14:textId="77777777" w:rsidR="00773E1E" w:rsidRPr="00F476CB" w:rsidRDefault="00773E1E" w:rsidP="00276EC8">
            <w:pPr>
              <w:rPr>
                <w:rFonts w:ascii="Calibri" w:hAnsi="Calibri"/>
              </w:rPr>
            </w:pPr>
            <w:proofErr w:type="spellStart"/>
            <w:r w:rsidRPr="00F476CB">
              <w:rPr>
                <w:rFonts w:ascii="Calibri" w:hAnsi="Calibri"/>
              </w:rPr>
              <w:t>ud</w:t>
            </w:r>
            <w:proofErr w:type="spellEnd"/>
          </w:p>
        </w:tc>
        <w:tc>
          <w:tcPr>
            <w:tcW w:w="4025" w:type="pct"/>
          </w:tcPr>
          <w:p w14:paraId="51C860D0" w14:textId="77777777" w:rsidR="00DF005D" w:rsidRPr="00F476CB" w:rsidRDefault="00DF005D" w:rsidP="00D424A3">
            <w:pPr>
              <w:jc w:val="both"/>
              <w:rPr>
                <w:rFonts w:ascii="Calibri" w:hAnsi="Calibri"/>
                <w:color w:val="000000"/>
              </w:rPr>
            </w:pPr>
            <w:r w:rsidRPr="00F476CB">
              <w:rPr>
                <w:rFonts w:ascii="Calibri" w:hAnsi="Calibri"/>
                <w:color w:val="000000"/>
              </w:rPr>
              <w:t>REPOSICIÓN DEL SERVICIO AFECTADO SE - 601 - ABASTECIMIENTO AYTO SIERO (SI-2) QUE COMPRENDE LA RETIRADA DEL TRAMO DE TUBERÍA FCØ125MM AFECTADO Y POSTERIOR GESTIÓN DE RESIDUOS, ASÍ COMO SU REPOSICIÓN INCLUYENDO LA EXCAVACIÓN DE ZANJAS, SUMINISTRO Y COLOCACIÓN DE LA NUEVA TUBERÍA FDØ250MM Y POSTERIOR RELLENO, INCLUSO LA EJECUCIÓN DE ARQUETAS DE CONEXIÓN Y ARQUETAS PARA LA INSTALACIÓN DE UN PUNTO DE DESAGÜE Y UNA VENTOSA EN EL TRAMO REPUESTO, SEGÚN LO REFLEJADO EN EL DOCUMENTO Nº2.- PLANOS Y EN EL ANEJO Nº24.- REPOSICIÓN DE SERVICIOS.</w:t>
            </w:r>
          </w:p>
          <w:p w14:paraId="0F36F2D1" w14:textId="77777777" w:rsidR="00773E1E" w:rsidRPr="00F476CB" w:rsidRDefault="00773E1E" w:rsidP="00D424A3">
            <w:pPr>
              <w:jc w:val="both"/>
              <w:rPr>
                <w:rFonts w:ascii="Calibri" w:hAnsi="Calibri"/>
              </w:rPr>
            </w:pPr>
          </w:p>
        </w:tc>
      </w:tr>
      <w:tr w:rsidR="00773E1E" w:rsidRPr="00E62154" w14:paraId="7628C19C" w14:textId="77777777" w:rsidTr="00276EC8">
        <w:trPr>
          <w:trHeight w:val="300"/>
        </w:trPr>
        <w:tc>
          <w:tcPr>
            <w:tcW w:w="608" w:type="pct"/>
            <w:noWrap/>
          </w:tcPr>
          <w:p w14:paraId="1560C02D" w14:textId="77777777" w:rsidR="00773E1E" w:rsidRPr="00F476CB" w:rsidRDefault="00773E1E" w:rsidP="00276EC8">
            <w:pPr>
              <w:rPr>
                <w:rFonts w:ascii="Calibri" w:hAnsi="Calibri"/>
              </w:rPr>
            </w:pPr>
            <w:r w:rsidRPr="00F476CB">
              <w:rPr>
                <w:rFonts w:ascii="Calibri" w:hAnsi="Calibri"/>
              </w:rPr>
              <w:t>900.0007N</w:t>
            </w:r>
          </w:p>
        </w:tc>
        <w:tc>
          <w:tcPr>
            <w:tcW w:w="366" w:type="pct"/>
            <w:noWrap/>
          </w:tcPr>
          <w:p w14:paraId="3BB942E8" w14:textId="77777777" w:rsidR="00773E1E" w:rsidRPr="00F476CB" w:rsidRDefault="00773E1E" w:rsidP="00276EC8">
            <w:pPr>
              <w:rPr>
                <w:rFonts w:ascii="Calibri" w:hAnsi="Calibri"/>
              </w:rPr>
            </w:pPr>
            <w:proofErr w:type="spellStart"/>
            <w:r w:rsidRPr="00F476CB">
              <w:rPr>
                <w:rFonts w:ascii="Calibri" w:hAnsi="Calibri"/>
              </w:rPr>
              <w:t>ud</w:t>
            </w:r>
            <w:proofErr w:type="spellEnd"/>
          </w:p>
        </w:tc>
        <w:tc>
          <w:tcPr>
            <w:tcW w:w="4025" w:type="pct"/>
          </w:tcPr>
          <w:p w14:paraId="4D489FD6" w14:textId="77777777" w:rsidR="00773E1E" w:rsidRPr="00F476CB" w:rsidRDefault="00DF005D" w:rsidP="00D424A3">
            <w:pPr>
              <w:spacing w:after="240"/>
              <w:jc w:val="both"/>
              <w:rPr>
                <w:rFonts w:ascii="Calibri" w:hAnsi="Calibri"/>
              </w:rPr>
            </w:pPr>
            <w:r w:rsidRPr="00F476CB">
              <w:rPr>
                <w:rFonts w:ascii="Calibri" w:hAnsi="Calibri"/>
                <w:color w:val="000000"/>
              </w:rPr>
              <w:t>REPOSICIÓN DEL SERVICIO AFECTADO SE - 602 - ABASTECIMIENTO AYTO SIERO (SI-2) QUE COMPRENDE LA INSTALACIÓN PREVIA DE UN BY-PASS PROVISIONAL CON TUBERÍA PEØ 200MM EN EL TRAMO AFECTADO, LA RETIRADA DEL TRAMO DE TUBERÍA FCØ250MM AFECTADO Y POSTERIOR GESTIÓN DE RESIDUOS, ASÍ COMO SU REPOSICIÓN INCLUYENDO LA EXCAVACIÓN DE ZANJAS, SUMINISTRO Y COLOCACIÓN DE LA NUEVA TUBERÍA FDØ300MM Y POSTERIOR RELLENO,LA EJECUCIÓN DE ARQUETAS DE CONEXIÓN Y ARQUETAS PARA LA INSTALACIÓN DE UN PUNTO DE DESAGÜE Y UNA VENTOSA EN EL TRAMO REPUESTO, SEGÚN LO REFLEJADO EN EL DOCUMENTO Nº2.- PLANOS Y EN EL ANEJO Nº24.- REPOSICIÓN DE SERVICIOS.</w:t>
            </w:r>
          </w:p>
        </w:tc>
      </w:tr>
    </w:tbl>
    <w:p w14:paraId="14987AF4" w14:textId="77777777" w:rsidR="00773E1E" w:rsidRPr="0037448F" w:rsidRDefault="00773E1E" w:rsidP="000313DD">
      <w:pPr>
        <w:pStyle w:val="TITU2"/>
      </w:pPr>
      <w:bookmarkStart w:id="1418" w:name="_Toc533762610"/>
      <w:bookmarkStart w:id="1419" w:name="_Toc404703"/>
      <w:r w:rsidRPr="0037448F">
        <w:t>811.3. Descripción de los trabajos</w:t>
      </w:r>
      <w:bookmarkEnd w:id="1418"/>
      <w:bookmarkEnd w:id="1419"/>
      <w:r w:rsidRPr="0037448F">
        <w:t xml:space="preserve"> </w:t>
      </w:r>
    </w:p>
    <w:p w14:paraId="38B1B117"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Las operaciones incluidas en este artículo son las siguientes:</w:t>
      </w:r>
    </w:p>
    <w:p w14:paraId="13E3A004" w14:textId="77777777" w:rsidR="00773E1E" w:rsidRDefault="00773E1E" w:rsidP="00661A5F">
      <w:pPr>
        <w:numPr>
          <w:ilvl w:val="0"/>
          <w:numId w:val="193"/>
        </w:numPr>
        <w:suppressAutoHyphens/>
        <w:spacing w:before="120" w:after="120" w:line="360" w:lineRule="auto"/>
        <w:jc w:val="both"/>
        <w:rPr>
          <w:rFonts w:ascii="Arial" w:hAnsi="Arial" w:cs="Arial"/>
          <w:lang w:eastAsia="en-US"/>
        </w:rPr>
      </w:pPr>
      <w:r w:rsidRPr="00E62154">
        <w:rPr>
          <w:rFonts w:ascii="Arial" w:hAnsi="Arial" w:cs="Arial"/>
          <w:lang w:eastAsia="en-US"/>
        </w:rPr>
        <w:t>Excavación (según Artículo 321.- Excavaciones en zanjas y pozos) para retirada de las tuberías existentes que vayan a quedar en desuso</w:t>
      </w:r>
      <w:r>
        <w:rPr>
          <w:rFonts w:ascii="Arial" w:hAnsi="Arial" w:cs="Arial"/>
          <w:lang w:eastAsia="en-US"/>
        </w:rPr>
        <w:t>.</w:t>
      </w:r>
    </w:p>
    <w:p w14:paraId="1E7E7912" w14:textId="77777777" w:rsidR="00773E1E" w:rsidRPr="00E62154" w:rsidRDefault="00773E1E" w:rsidP="00661A5F">
      <w:pPr>
        <w:numPr>
          <w:ilvl w:val="0"/>
          <w:numId w:val="193"/>
        </w:numPr>
        <w:suppressAutoHyphens/>
        <w:spacing w:before="120" w:after="120" w:line="360" w:lineRule="auto"/>
        <w:jc w:val="both"/>
        <w:rPr>
          <w:rFonts w:ascii="Arial" w:hAnsi="Arial" w:cs="Arial"/>
          <w:lang w:eastAsia="en-US"/>
        </w:rPr>
      </w:pPr>
      <w:r w:rsidRPr="00E62154">
        <w:rPr>
          <w:rFonts w:ascii="Arial" w:hAnsi="Arial" w:cs="Arial"/>
          <w:lang w:eastAsia="en-US"/>
        </w:rPr>
        <w:t xml:space="preserve">Instalación de tubería provisional de polietileno a modo de </w:t>
      </w:r>
      <w:proofErr w:type="spellStart"/>
      <w:r w:rsidRPr="00E62154">
        <w:rPr>
          <w:rFonts w:ascii="Arial" w:hAnsi="Arial" w:cs="Arial"/>
          <w:lang w:eastAsia="en-US"/>
        </w:rPr>
        <w:t>by-pass</w:t>
      </w:r>
      <w:proofErr w:type="spellEnd"/>
      <w:r w:rsidRPr="00E62154">
        <w:rPr>
          <w:rFonts w:ascii="Arial" w:hAnsi="Arial" w:cs="Arial"/>
          <w:lang w:eastAsia="en-US"/>
        </w:rPr>
        <w:t>.</w:t>
      </w:r>
    </w:p>
    <w:p w14:paraId="74F7632E" w14:textId="77777777" w:rsidR="00773E1E" w:rsidRPr="00E62154" w:rsidRDefault="00773E1E" w:rsidP="00661A5F">
      <w:pPr>
        <w:numPr>
          <w:ilvl w:val="0"/>
          <w:numId w:val="193"/>
        </w:numPr>
        <w:suppressAutoHyphens/>
        <w:spacing w:before="120" w:after="120" w:line="360" w:lineRule="auto"/>
        <w:jc w:val="both"/>
        <w:rPr>
          <w:rFonts w:ascii="Arial" w:hAnsi="Arial" w:cs="Arial"/>
          <w:lang w:eastAsia="en-US"/>
        </w:rPr>
      </w:pPr>
      <w:r w:rsidRPr="00E62154">
        <w:rPr>
          <w:rFonts w:ascii="Arial" w:hAnsi="Arial" w:cs="Arial"/>
          <w:lang w:eastAsia="en-US"/>
        </w:rPr>
        <w:t>Retirada de las tuberías de fibrocemento</w:t>
      </w:r>
      <w:r>
        <w:rPr>
          <w:rFonts w:ascii="Arial" w:hAnsi="Arial" w:cs="Arial"/>
          <w:lang w:eastAsia="en-US"/>
        </w:rPr>
        <w:t xml:space="preserve"> y posterior gestión de residuos (según Artículo 310.- Desmontaje de tubería de fibrocemento)</w:t>
      </w:r>
      <w:r w:rsidRPr="00E62154">
        <w:rPr>
          <w:rFonts w:ascii="Arial" w:hAnsi="Arial" w:cs="Arial"/>
          <w:lang w:eastAsia="en-US"/>
        </w:rPr>
        <w:t>.</w:t>
      </w:r>
    </w:p>
    <w:p w14:paraId="51A4CC07" w14:textId="77777777" w:rsidR="00773E1E" w:rsidRPr="00E62154" w:rsidRDefault="00773E1E" w:rsidP="00661A5F">
      <w:pPr>
        <w:numPr>
          <w:ilvl w:val="0"/>
          <w:numId w:val="193"/>
        </w:numPr>
        <w:suppressAutoHyphens/>
        <w:spacing w:before="120" w:after="120" w:line="360" w:lineRule="auto"/>
        <w:jc w:val="both"/>
        <w:rPr>
          <w:rFonts w:ascii="Arial" w:hAnsi="Arial" w:cs="Arial"/>
          <w:lang w:eastAsia="en-US"/>
        </w:rPr>
      </w:pPr>
      <w:r w:rsidRPr="00E62154">
        <w:rPr>
          <w:rFonts w:ascii="Arial" w:hAnsi="Arial" w:cs="Arial"/>
          <w:lang w:eastAsia="en-US"/>
        </w:rPr>
        <w:t>Excavación (según Artículo 321.- Excavaciones en zanjas y pozos) para la instalación de las nuevas tuberías de fundición dúctil, y la ejecución de las nuevas arquetas.</w:t>
      </w:r>
    </w:p>
    <w:p w14:paraId="3A340D2C" w14:textId="77777777" w:rsidR="00773E1E" w:rsidRPr="00E62154" w:rsidRDefault="00773E1E" w:rsidP="00661A5F">
      <w:pPr>
        <w:numPr>
          <w:ilvl w:val="0"/>
          <w:numId w:val="193"/>
        </w:numPr>
        <w:suppressAutoHyphens/>
        <w:spacing w:before="120" w:after="120" w:line="360" w:lineRule="auto"/>
        <w:jc w:val="both"/>
        <w:rPr>
          <w:rFonts w:ascii="Arial" w:hAnsi="Arial" w:cs="Arial"/>
          <w:lang w:eastAsia="en-US"/>
        </w:rPr>
      </w:pPr>
      <w:r w:rsidRPr="00E62154">
        <w:rPr>
          <w:rFonts w:ascii="Arial" w:hAnsi="Arial" w:cs="Arial"/>
          <w:lang w:eastAsia="en-US"/>
        </w:rPr>
        <w:t>Ejecución de nuevas arquetas de conexión y nuevas arquetas para la disposición de ventosas y puntos desagüe.</w:t>
      </w:r>
    </w:p>
    <w:p w14:paraId="79EA28A6" w14:textId="77777777" w:rsidR="00773E1E" w:rsidRPr="00E62154" w:rsidRDefault="00773E1E" w:rsidP="00661A5F">
      <w:pPr>
        <w:numPr>
          <w:ilvl w:val="0"/>
          <w:numId w:val="193"/>
        </w:numPr>
        <w:suppressAutoHyphens/>
        <w:spacing w:before="120" w:after="120" w:line="360" w:lineRule="auto"/>
        <w:jc w:val="both"/>
        <w:rPr>
          <w:rFonts w:ascii="Arial" w:hAnsi="Arial" w:cs="Arial"/>
          <w:lang w:eastAsia="en-US"/>
        </w:rPr>
      </w:pPr>
      <w:r w:rsidRPr="00E62154">
        <w:rPr>
          <w:rFonts w:ascii="Arial" w:hAnsi="Arial" w:cs="Arial"/>
          <w:lang w:eastAsia="en-US"/>
        </w:rPr>
        <w:t>Ejecución de rellenos, según lo reflejado en el Artículo 332.- Rellenos localizados.</w:t>
      </w:r>
    </w:p>
    <w:p w14:paraId="27265614" w14:textId="77777777" w:rsidR="00773E1E" w:rsidRPr="00E62154" w:rsidRDefault="00773E1E" w:rsidP="00661A5F">
      <w:pPr>
        <w:numPr>
          <w:ilvl w:val="0"/>
          <w:numId w:val="193"/>
        </w:numPr>
        <w:suppressAutoHyphens/>
        <w:spacing w:before="120" w:after="120" w:line="360" w:lineRule="auto"/>
        <w:jc w:val="both"/>
        <w:rPr>
          <w:rFonts w:ascii="Arial" w:hAnsi="Arial" w:cs="Arial"/>
          <w:lang w:eastAsia="en-US"/>
        </w:rPr>
      </w:pPr>
      <w:r w:rsidRPr="00E62154">
        <w:rPr>
          <w:rFonts w:ascii="Arial" w:hAnsi="Arial" w:cs="Arial"/>
          <w:lang w:eastAsia="en-US"/>
        </w:rPr>
        <w:t>Retirada de los residuos generados a un lugar de acopio habilitado en obra hasta su posterior traslado al punto de gestión de residuos.</w:t>
      </w:r>
    </w:p>
    <w:p w14:paraId="04C0F4CB" w14:textId="77777777" w:rsidR="00773E1E" w:rsidRPr="0037448F" w:rsidRDefault="00773E1E" w:rsidP="000313DD">
      <w:pPr>
        <w:pStyle w:val="TITU2"/>
      </w:pPr>
      <w:bookmarkStart w:id="1420" w:name="_Toc533762611"/>
      <w:bookmarkStart w:id="1421" w:name="_Toc404704"/>
      <w:r w:rsidRPr="0037448F">
        <w:t xml:space="preserve">811.4. </w:t>
      </w:r>
      <w:r w:rsidRPr="0037448F">
        <w:tab/>
        <w:t>Materiales</w:t>
      </w:r>
      <w:bookmarkEnd w:id="1420"/>
      <w:bookmarkEnd w:id="1421"/>
    </w:p>
    <w:p w14:paraId="797BB3B5" w14:textId="77777777" w:rsidR="00773E1E" w:rsidRPr="00E62154" w:rsidRDefault="00773E1E" w:rsidP="00773E1E">
      <w:pPr>
        <w:suppressAutoHyphens/>
        <w:spacing w:before="120" w:after="120" w:line="360" w:lineRule="auto"/>
        <w:jc w:val="both"/>
        <w:rPr>
          <w:rFonts w:ascii="Arial" w:hAnsi="Arial" w:cs="Arial"/>
          <w:i/>
          <w:u w:val="single"/>
          <w:lang w:eastAsia="en-US"/>
        </w:rPr>
      </w:pPr>
      <w:r w:rsidRPr="00E62154">
        <w:rPr>
          <w:rFonts w:ascii="Arial" w:hAnsi="Arial" w:cs="Arial"/>
          <w:i/>
          <w:u w:val="single"/>
          <w:lang w:eastAsia="en-US"/>
        </w:rPr>
        <w:t>Arquetas de registro</w:t>
      </w:r>
    </w:p>
    <w:p w14:paraId="19AA2E27"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Tanto las arquetas de conexión como las arquetas en las que disponer los puntos de </w:t>
      </w:r>
      <w:r>
        <w:rPr>
          <w:rFonts w:ascii="Arial" w:hAnsi="Arial" w:cs="Arial"/>
          <w:lang w:eastAsia="en-US"/>
        </w:rPr>
        <w:t>de</w:t>
      </w:r>
      <w:r w:rsidRPr="00E62154">
        <w:rPr>
          <w:rFonts w:ascii="Arial" w:hAnsi="Arial" w:cs="Arial"/>
          <w:lang w:eastAsia="en-US"/>
        </w:rPr>
        <w:t xml:space="preserve">sagüe </w:t>
      </w:r>
      <w:proofErr w:type="gramStart"/>
      <w:r w:rsidRPr="00E62154">
        <w:rPr>
          <w:rFonts w:ascii="Arial" w:hAnsi="Arial" w:cs="Arial"/>
          <w:lang w:eastAsia="en-US"/>
        </w:rPr>
        <w:t>tendrán  dimensiones</w:t>
      </w:r>
      <w:proofErr w:type="gramEnd"/>
      <w:r w:rsidRPr="00E62154">
        <w:rPr>
          <w:rFonts w:ascii="Arial" w:hAnsi="Arial" w:cs="Arial"/>
          <w:lang w:eastAsia="en-US"/>
        </w:rPr>
        <w:t xml:space="preserve"> interiores de 60x60 cm. Se ejecutará con fábrica de ladrillo sobre una solera de hormigón, con marco y tapa de fundición de 60 cm de diámetro.</w:t>
      </w:r>
    </w:p>
    <w:p w14:paraId="30B94A56"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Las arquetas en las que ubicar las ventosas tendrán unas dimensiones interiores de 1,00x1,00 m. Se ejecutarán con hormigón armado, incluyendo un dado de refuerzo de la conducción con maro</w:t>
      </w:r>
      <w:r>
        <w:rPr>
          <w:rFonts w:ascii="Arial" w:hAnsi="Arial" w:cs="Arial"/>
          <w:lang w:eastAsia="en-US"/>
        </w:rPr>
        <w:t xml:space="preserve"> </w:t>
      </w:r>
      <w:r w:rsidRPr="00E62154">
        <w:rPr>
          <w:rFonts w:ascii="Arial" w:hAnsi="Arial" w:cs="Arial"/>
          <w:lang w:eastAsia="en-US"/>
        </w:rPr>
        <w:t xml:space="preserve">y tapa de fundición de 60 cm de diámetro. </w:t>
      </w:r>
    </w:p>
    <w:p w14:paraId="4F65999C" w14:textId="77777777" w:rsidR="00773E1E" w:rsidRPr="00DF005D" w:rsidRDefault="00773E1E" w:rsidP="00773E1E">
      <w:pPr>
        <w:autoSpaceDE w:val="0"/>
        <w:autoSpaceDN w:val="0"/>
        <w:adjustRightInd w:val="0"/>
        <w:spacing w:after="120" w:line="360" w:lineRule="auto"/>
        <w:jc w:val="both"/>
        <w:rPr>
          <w:rFonts w:ascii="Arial" w:hAnsi="Arial" w:cs="Arial"/>
          <w:i/>
          <w:u w:val="single"/>
          <w:lang w:eastAsia="en-US"/>
        </w:rPr>
      </w:pPr>
      <w:r w:rsidRPr="00DF005D">
        <w:rPr>
          <w:rFonts w:ascii="Arial" w:hAnsi="Arial" w:cs="Arial"/>
          <w:i/>
          <w:u w:val="single"/>
          <w:lang w:eastAsia="en-US"/>
        </w:rPr>
        <w:t>Tubería de PE</w:t>
      </w:r>
    </w:p>
    <w:p w14:paraId="07C2E3BF"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 tubería de PE se ajustará a las condiciones recogidas en las siguientes normas:</w:t>
      </w:r>
    </w:p>
    <w:p w14:paraId="5AA7C358" w14:textId="77777777" w:rsidR="00773E1E" w:rsidRPr="00E62154" w:rsidRDefault="00773E1E" w:rsidP="00661A5F">
      <w:pPr>
        <w:numPr>
          <w:ilvl w:val="0"/>
          <w:numId w:val="185"/>
        </w:numPr>
        <w:suppressAutoHyphens/>
        <w:spacing w:before="120" w:after="120" w:line="360" w:lineRule="auto"/>
        <w:jc w:val="both"/>
        <w:rPr>
          <w:rFonts w:ascii="Arial" w:hAnsi="Arial" w:cs="Arial"/>
          <w:lang w:eastAsia="en-US"/>
        </w:rPr>
      </w:pPr>
      <w:r w:rsidRPr="00E62154">
        <w:rPr>
          <w:rFonts w:ascii="Arial" w:hAnsi="Arial" w:cs="Arial"/>
          <w:lang w:eastAsia="en-US"/>
        </w:rPr>
        <w:t>UNE 53.131 "Tubos de polietileno para conducciones de agua a presión. Características y métodos de ensayo".</w:t>
      </w:r>
    </w:p>
    <w:p w14:paraId="70FDE035" w14:textId="77777777" w:rsidR="00773E1E" w:rsidRPr="00E62154" w:rsidRDefault="00773E1E" w:rsidP="00661A5F">
      <w:pPr>
        <w:numPr>
          <w:ilvl w:val="0"/>
          <w:numId w:val="185"/>
        </w:numPr>
        <w:suppressAutoHyphens/>
        <w:spacing w:before="120" w:after="120" w:line="360" w:lineRule="auto"/>
        <w:jc w:val="both"/>
        <w:rPr>
          <w:rFonts w:ascii="Arial" w:hAnsi="Arial" w:cs="Arial"/>
          <w:lang w:eastAsia="en-US"/>
        </w:rPr>
      </w:pPr>
      <w:r w:rsidRPr="00E62154">
        <w:rPr>
          <w:rFonts w:ascii="Arial" w:hAnsi="Arial" w:cs="Arial"/>
          <w:lang w:eastAsia="en-US"/>
        </w:rPr>
        <w:t>UNE 53.394 "Códigos de buena práctica para tubos de PE para conducción de agua a presión".</w:t>
      </w:r>
    </w:p>
    <w:p w14:paraId="568F37E8"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En las tuberías de PE uniones roscadas, según los diámetros que se usen, de acuerdo con las instrucciones que sobre el particular dicte la Dirección de las Obras. No se podrán utilizar, salvo autorización expresa de la Dirección de las Obras, piezas de empalme a base de PE o PVC (</w:t>
      </w:r>
      <w:proofErr w:type="spellStart"/>
      <w:r w:rsidRPr="00E62154">
        <w:rPr>
          <w:rFonts w:ascii="Arial" w:hAnsi="Arial" w:cs="Arial"/>
          <w:lang w:eastAsia="en-US"/>
        </w:rPr>
        <w:t>Fittings</w:t>
      </w:r>
      <w:proofErr w:type="spellEnd"/>
      <w:r w:rsidRPr="00E62154">
        <w:rPr>
          <w:rFonts w:ascii="Arial" w:hAnsi="Arial" w:cs="Arial"/>
          <w:lang w:eastAsia="en-US"/>
        </w:rPr>
        <w:t xml:space="preserve">). Todos los racores se exigirán en latón. En empalmes de </w:t>
      </w:r>
      <w:proofErr w:type="spellStart"/>
      <w:r w:rsidRPr="00E62154">
        <w:rPr>
          <w:rFonts w:ascii="Arial" w:hAnsi="Arial" w:cs="Arial"/>
          <w:lang w:eastAsia="en-US"/>
        </w:rPr>
        <w:t>valvulería</w:t>
      </w:r>
      <w:proofErr w:type="spellEnd"/>
      <w:r w:rsidRPr="00E62154">
        <w:rPr>
          <w:rFonts w:ascii="Arial" w:hAnsi="Arial" w:cs="Arial"/>
          <w:lang w:eastAsia="en-US"/>
        </w:rPr>
        <w:t xml:space="preserve"> con tubería de PE se utilizarán virolas y bridas de acero galvanizado.</w:t>
      </w:r>
    </w:p>
    <w:p w14:paraId="4F60936D" w14:textId="77777777" w:rsidR="00DF005D" w:rsidRDefault="00DF005D" w:rsidP="00773E1E">
      <w:pPr>
        <w:autoSpaceDE w:val="0"/>
        <w:autoSpaceDN w:val="0"/>
        <w:adjustRightInd w:val="0"/>
        <w:spacing w:after="120" w:line="360" w:lineRule="auto"/>
        <w:jc w:val="both"/>
        <w:rPr>
          <w:rFonts w:ascii="Arial" w:hAnsi="Arial" w:cs="Arial"/>
          <w:i/>
          <w:u w:val="single"/>
          <w:lang w:eastAsia="en-US"/>
        </w:rPr>
      </w:pPr>
    </w:p>
    <w:p w14:paraId="470495C3" w14:textId="77777777" w:rsidR="00DF005D" w:rsidRDefault="00DF005D" w:rsidP="00773E1E">
      <w:pPr>
        <w:autoSpaceDE w:val="0"/>
        <w:autoSpaceDN w:val="0"/>
        <w:adjustRightInd w:val="0"/>
        <w:spacing w:after="120" w:line="360" w:lineRule="auto"/>
        <w:jc w:val="both"/>
        <w:rPr>
          <w:rFonts w:ascii="Arial" w:hAnsi="Arial" w:cs="Arial"/>
          <w:i/>
          <w:u w:val="single"/>
          <w:lang w:eastAsia="en-US"/>
        </w:rPr>
      </w:pPr>
    </w:p>
    <w:p w14:paraId="15F23987" w14:textId="77777777" w:rsidR="00773E1E" w:rsidRPr="00DF005D" w:rsidRDefault="00773E1E" w:rsidP="00773E1E">
      <w:pPr>
        <w:autoSpaceDE w:val="0"/>
        <w:autoSpaceDN w:val="0"/>
        <w:adjustRightInd w:val="0"/>
        <w:spacing w:after="120" w:line="360" w:lineRule="auto"/>
        <w:jc w:val="both"/>
        <w:rPr>
          <w:rFonts w:ascii="Arial" w:hAnsi="Arial" w:cs="Arial"/>
          <w:i/>
          <w:u w:val="single"/>
          <w:lang w:eastAsia="en-US"/>
        </w:rPr>
      </w:pPr>
      <w:r w:rsidRPr="00DF005D">
        <w:rPr>
          <w:rFonts w:ascii="Arial" w:hAnsi="Arial" w:cs="Arial"/>
          <w:i/>
          <w:u w:val="single"/>
          <w:lang w:eastAsia="en-US"/>
        </w:rPr>
        <w:lastRenderedPageBreak/>
        <w:t>Tuberías de FD</w:t>
      </w:r>
    </w:p>
    <w:p w14:paraId="0895A1CD"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Las tuberías de fundición serán de fundición dúctil revestidas interiormente con mortero de cemento siderúrgico y exteriormente con zinc metálico </w:t>
      </w:r>
      <w:proofErr w:type="gramStart"/>
      <w:r w:rsidRPr="00E62154">
        <w:rPr>
          <w:rFonts w:ascii="Arial" w:hAnsi="Arial" w:cs="Arial"/>
          <w:lang w:eastAsia="en-US"/>
        </w:rPr>
        <w:t>electro depositado</w:t>
      </w:r>
      <w:proofErr w:type="gramEnd"/>
      <w:r w:rsidRPr="00E62154">
        <w:rPr>
          <w:rFonts w:ascii="Arial" w:hAnsi="Arial" w:cs="Arial"/>
          <w:lang w:eastAsia="en-US"/>
        </w:rPr>
        <w:t xml:space="preserve"> y un barniz bituminoso semipermeable.</w:t>
      </w:r>
    </w:p>
    <w:p w14:paraId="6F6CD9F6"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En todos aquellos aspectos no modificados por las presentes prescripciones, serán de aplicación las siguientes Normas en su última revisión:</w:t>
      </w:r>
    </w:p>
    <w:p w14:paraId="3DF29DD1" w14:textId="77777777" w:rsidR="00773E1E" w:rsidRPr="00E62154" w:rsidRDefault="00773E1E" w:rsidP="00661A5F">
      <w:pPr>
        <w:numPr>
          <w:ilvl w:val="0"/>
          <w:numId w:val="185"/>
        </w:numPr>
        <w:suppressAutoHyphens/>
        <w:spacing w:before="120" w:after="120" w:line="360" w:lineRule="auto"/>
        <w:jc w:val="both"/>
        <w:rPr>
          <w:rFonts w:ascii="Arial" w:hAnsi="Arial" w:cs="Arial"/>
          <w:lang w:eastAsia="en-US"/>
        </w:rPr>
      </w:pPr>
      <w:r w:rsidRPr="00E62154">
        <w:rPr>
          <w:rFonts w:ascii="Arial" w:hAnsi="Arial" w:cs="Arial"/>
          <w:lang w:eastAsia="en-US"/>
        </w:rPr>
        <w:t>UNE 19-021, equivalente a ISO 2531 y UNE</w:t>
      </w:r>
      <w:r>
        <w:rPr>
          <w:rFonts w:ascii="Arial" w:hAnsi="Arial" w:cs="Arial"/>
          <w:lang w:eastAsia="en-US"/>
        </w:rPr>
        <w:t>-</w:t>
      </w:r>
      <w:r w:rsidRPr="00E62154">
        <w:rPr>
          <w:rFonts w:ascii="Arial" w:hAnsi="Arial" w:cs="Arial"/>
          <w:lang w:eastAsia="en-US"/>
        </w:rPr>
        <w:t>EN 545</w:t>
      </w:r>
    </w:p>
    <w:p w14:paraId="1F9D20B0" w14:textId="77777777" w:rsidR="00773E1E" w:rsidRPr="00E62154" w:rsidRDefault="00773E1E" w:rsidP="00661A5F">
      <w:pPr>
        <w:numPr>
          <w:ilvl w:val="0"/>
          <w:numId w:val="185"/>
        </w:numPr>
        <w:suppressAutoHyphens/>
        <w:spacing w:before="120" w:after="120" w:line="360" w:lineRule="auto"/>
        <w:jc w:val="both"/>
        <w:rPr>
          <w:rFonts w:ascii="Arial" w:hAnsi="Arial" w:cs="Arial"/>
          <w:lang w:eastAsia="en-US"/>
        </w:rPr>
      </w:pPr>
      <w:r w:rsidRPr="00E62154">
        <w:rPr>
          <w:rFonts w:ascii="Arial" w:hAnsi="Arial" w:cs="Arial"/>
          <w:lang w:eastAsia="en-US"/>
        </w:rPr>
        <w:t>ISO 4633</w:t>
      </w:r>
    </w:p>
    <w:p w14:paraId="69FBB788" w14:textId="77777777" w:rsidR="00773E1E" w:rsidRPr="00E62154" w:rsidRDefault="00773E1E" w:rsidP="00661A5F">
      <w:pPr>
        <w:numPr>
          <w:ilvl w:val="0"/>
          <w:numId w:val="185"/>
        </w:numPr>
        <w:suppressAutoHyphens/>
        <w:spacing w:before="120" w:after="120" w:line="360" w:lineRule="auto"/>
        <w:jc w:val="both"/>
        <w:rPr>
          <w:rFonts w:ascii="Arial" w:hAnsi="Arial" w:cs="Arial"/>
          <w:lang w:eastAsia="en-US"/>
        </w:rPr>
      </w:pPr>
      <w:r w:rsidRPr="00E62154">
        <w:rPr>
          <w:rFonts w:ascii="Arial" w:hAnsi="Arial" w:cs="Arial"/>
          <w:lang w:eastAsia="en-US"/>
        </w:rPr>
        <w:t>ISO 2230</w:t>
      </w:r>
    </w:p>
    <w:p w14:paraId="78BCD410" w14:textId="77777777" w:rsidR="00773E1E" w:rsidRPr="00E62154" w:rsidRDefault="00773E1E" w:rsidP="00661A5F">
      <w:pPr>
        <w:numPr>
          <w:ilvl w:val="0"/>
          <w:numId w:val="185"/>
        </w:numPr>
        <w:suppressAutoHyphens/>
        <w:spacing w:before="120" w:after="120" w:line="360" w:lineRule="auto"/>
        <w:jc w:val="both"/>
        <w:rPr>
          <w:rFonts w:ascii="Arial" w:hAnsi="Arial" w:cs="Arial"/>
          <w:lang w:eastAsia="en-US"/>
        </w:rPr>
      </w:pPr>
      <w:r w:rsidRPr="00E62154">
        <w:rPr>
          <w:rFonts w:ascii="Arial" w:hAnsi="Arial" w:cs="Arial"/>
          <w:lang w:eastAsia="en-US"/>
        </w:rPr>
        <w:t>ISO 4179</w:t>
      </w:r>
    </w:p>
    <w:p w14:paraId="7F206D15" w14:textId="77777777" w:rsidR="00773E1E" w:rsidRPr="00E62154" w:rsidRDefault="00773E1E" w:rsidP="00661A5F">
      <w:pPr>
        <w:numPr>
          <w:ilvl w:val="0"/>
          <w:numId w:val="185"/>
        </w:numPr>
        <w:suppressAutoHyphens/>
        <w:spacing w:before="120" w:after="120" w:line="360" w:lineRule="auto"/>
        <w:jc w:val="both"/>
        <w:rPr>
          <w:rFonts w:ascii="Arial" w:hAnsi="Arial" w:cs="Arial"/>
          <w:lang w:eastAsia="en-US"/>
        </w:rPr>
      </w:pPr>
      <w:r w:rsidRPr="00E62154">
        <w:rPr>
          <w:rFonts w:ascii="Arial" w:hAnsi="Arial" w:cs="Arial"/>
          <w:lang w:eastAsia="en-US"/>
        </w:rPr>
        <w:t>ISO 8179</w:t>
      </w:r>
    </w:p>
    <w:p w14:paraId="1A05C7D3" w14:textId="77777777" w:rsidR="00773E1E" w:rsidRPr="00E62154" w:rsidRDefault="00773E1E" w:rsidP="00661A5F">
      <w:pPr>
        <w:numPr>
          <w:ilvl w:val="0"/>
          <w:numId w:val="185"/>
        </w:numPr>
        <w:suppressAutoHyphens/>
        <w:spacing w:before="120" w:after="120" w:line="360" w:lineRule="auto"/>
        <w:jc w:val="both"/>
        <w:rPr>
          <w:rFonts w:ascii="Arial" w:hAnsi="Arial" w:cs="Arial"/>
          <w:lang w:eastAsia="en-US"/>
        </w:rPr>
      </w:pPr>
      <w:r w:rsidRPr="00E62154">
        <w:rPr>
          <w:rFonts w:ascii="Arial" w:hAnsi="Arial" w:cs="Arial"/>
          <w:lang w:eastAsia="en-US"/>
        </w:rPr>
        <w:t>ISO 8180</w:t>
      </w:r>
    </w:p>
    <w:p w14:paraId="6ACFB39B"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Los procedimientos admitidos para fabricación de los tubos y piezas especiales son:</w:t>
      </w:r>
    </w:p>
    <w:p w14:paraId="3D2A25DD" w14:textId="77777777" w:rsidR="00773E1E" w:rsidRPr="00E62154" w:rsidRDefault="00773E1E" w:rsidP="00661A5F">
      <w:pPr>
        <w:numPr>
          <w:ilvl w:val="0"/>
          <w:numId w:val="185"/>
        </w:numPr>
        <w:suppressAutoHyphens/>
        <w:spacing w:before="120" w:after="120" w:line="360" w:lineRule="auto"/>
        <w:jc w:val="both"/>
        <w:rPr>
          <w:rFonts w:ascii="Arial" w:hAnsi="Arial" w:cs="Arial"/>
          <w:lang w:eastAsia="en-US"/>
        </w:rPr>
      </w:pPr>
      <w:r w:rsidRPr="00E62154">
        <w:rPr>
          <w:rFonts w:ascii="Arial" w:hAnsi="Arial" w:cs="Arial"/>
          <w:lang w:eastAsia="en-US"/>
        </w:rPr>
        <w:t>Tubos: Colada por centrifugación en molde metálico, revestido o no.</w:t>
      </w:r>
    </w:p>
    <w:p w14:paraId="14FB6023" w14:textId="77777777" w:rsidR="00773E1E" w:rsidRPr="00E62154" w:rsidRDefault="00773E1E" w:rsidP="00661A5F">
      <w:pPr>
        <w:numPr>
          <w:ilvl w:val="0"/>
          <w:numId w:val="185"/>
        </w:numPr>
        <w:suppressAutoHyphens/>
        <w:spacing w:before="120" w:after="120" w:line="360" w:lineRule="auto"/>
        <w:jc w:val="both"/>
        <w:rPr>
          <w:rFonts w:ascii="Arial" w:hAnsi="Arial" w:cs="Arial"/>
          <w:lang w:eastAsia="en-US"/>
        </w:rPr>
      </w:pPr>
      <w:r w:rsidRPr="00E62154">
        <w:rPr>
          <w:rFonts w:ascii="Arial" w:hAnsi="Arial" w:cs="Arial"/>
          <w:lang w:eastAsia="en-US"/>
        </w:rPr>
        <w:t>Piezas: Colada en molde de arena. Colada en molde metálico.</w:t>
      </w:r>
    </w:p>
    <w:p w14:paraId="0AA3D1D2"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Después de la colada, los tubos y piezas podrán ser sometidos a un tratamiento térmico apropiado para conseguir las características mecánicas exigidas.</w:t>
      </w:r>
    </w:p>
    <w:p w14:paraId="49B5141E"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 composición química queda a criterio del fabricante, con tal de que se alcancen las características metalográficas y mecánicas establecidas en este Pliego. No obstante, la Administración podrá requerir al Contratista la composición química del material con que van a fabricarse los tubos y piezas especiales (contenido en C, P, Mg, Mn, S, Si y Cr), por lo que este deberá establecer en su contrato con el fabricante o suministrador las cláusulas que permitan disponer de dicha información, o en otro caso obtenerla mediante análisis del producto terminado.</w:t>
      </w:r>
    </w:p>
    <w:p w14:paraId="42D1B0E5"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El grafito deberá aparecer en forma esferoidal, al menos en un 85% y corresponderá en el examen microscópico a la forma VI de la norma ISO EN UNE 945, admitiéndose también la forma V.</w:t>
      </w:r>
    </w:p>
    <w:p w14:paraId="017C0D8C"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Con autorización de la Dirección de Obra, podrá utilizarse como standard, ASTM A-247.</w:t>
      </w:r>
    </w:p>
    <w:p w14:paraId="0F206ADC"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Los tubos y las piezas especiales podrán ser cortados, taladrados y mecanizados. En caso de duda, serán considerados aceptables siempre que su dureza Brinell no supere los siguientes valores; determinados conforme a ISO 6506 </w:t>
      </w:r>
      <w:proofErr w:type="spellStart"/>
      <w:r w:rsidRPr="00E62154">
        <w:rPr>
          <w:rFonts w:ascii="Arial" w:hAnsi="Arial" w:cs="Arial"/>
          <w:lang w:eastAsia="en-US"/>
        </w:rPr>
        <w:t>ó</w:t>
      </w:r>
      <w:proofErr w:type="spellEnd"/>
      <w:r w:rsidRPr="00E62154">
        <w:rPr>
          <w:rFonts w:ascii="Arial" w:hAnsi="Arial" w:cs="Arial"/>
          <w:lang w:eastAsia="en-US"/>
        </w:rPr>
        <w:t xml:space="preserve"> UNE-EN 545:</w:t>
      </w:r>
    </w:p>
    <w:p w14:paraId="69B039D6" w14:textId="77777777" w:rsidR="00773E1E" w:rsidRPr="00E62154" w:rsidRDefault="00773E1E" w:rsidP="00661A5F">
      <w:pPr>
        <w:numPr>
          <w:ilvl w:val="0"/>
          <w:numId w:val="185"/>
        </w:numPr>
        <w:suppressAutoHyphens/>
        <w:spacing w:before="120" w:after="120" w:line="360" w:lineRule="auto"/>
        <w:jc w:val="both"/>
        <w:rPr>
          <w:rFonts w:ascii="Arial" w:hAnsi="Arial" w:cs="Arial"/>
          <w:lang w:eastAsia="en-US"/>
        </w:rPr>
      </w:pPr>
      <w:r w:rsidRPr="00E62154">
        <w:rPr>
          <w:rFonts w:ascii="Arial" w:hAnsi="Arial" w:cs="Arial"/>
          <w:lang w:eastAsia="en-US"/>
        </w:rPr>
        <w:t>Tubos: 230 HB</w:t>
      </w:r>
    </w:p>
    <w:p w14:paraId="28A7A9C3" w14:textId="77777777" w:rsidR="00773E1E" w:rsidRPr="00E62154" w:rsidRDefault="00773E1E" w:rsidP="00661A5F">
      <w:pPr>
        <w:numPr>
          <w:ilvl w:val="0"/>
          <w:numId w:val="185"/>
        </w:numPr>
        <w:suppressAutoHyphens/>
        <w:spacing w:before="120" w:after="120" w:line="360" w:lineRule="auto"/>
        <w:jc w:val="both"/>
        <w:rPr>
          <w:rFonts w:ascii="Arial" w:hAnsi="Arial" w:cs="Arial"/>
          <w:lang w:eastAsia="en-US"/>
        </w:rPr>
      </w:pPr>
      <w:r w:rsidRPr="00E62154">
        <w:rPr>
          <w:rFonts w:ascii="Arial" w:hAnsi="Arial" w:cs="Arial"/>
          <w:lang w:eastAsia="en-US"/>
        </w:rPr>
        <w:t>Piezas: 250 HB</w:t>
      </w:r>
    </w:p>
    <w:p w14:paraId="432865EC"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El material no presentará poros, sopladuras, burbujas, grietas ni ningún otro defecto que pueda perjudicar su resistencia, continuidad y buen aspecto. Su fractura será de grano fino y homogéneo.</w:t>
      </w:r>
    </w:p>
    <w:p w14:paraId="7FDADE88"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Las características mecánicas exigidas a la fundición y que deberán ser garantizadas por el fabricante son las establecidas en la tabla 6 de ISO 2531. El límite convencional de elasticidad Rp 0,2 será exigible, debiendo cumplirse que:</w:t>
      </w:r>
    </w:p>
    <w:p w14:paraId="0A97F268" w14:textId="77777777" w:rsidR="00773E1E" w:rsidRPr="001D60BD" w:rsidRDefault="00773E1E" w:rsidP="00661A5F">
      <w:pPr>
        <w:numPr>
          <w:ilvl w:val="0"/>
          <w:numId w:val="185"/>
        </w:numPr>
        <w:suppressAutoHyphens/>
        <w:spacing w:before="120" w:after="120" w:line="360" w:lineRule="auto"/>
        <w:jc w:val="both"/>
        <w:rPr>
          <w:rFonts w:ascii="Arial" w:hAnsi="Arial" w:cs="Arial"/>
          <w:lang w:eastAsia="en-US"/>
        </w:rPr>
      </w:pPr>
      <w:r w:rsidRPr="001D60BD">
        <w:rPr>
          <w:rFonts w:ascii="Arial" w:hAnsi="Arial" w:cs="Arial"/>
          <w:lang w:eastAsia="en-US"/>
        </w:rPr>
        <w:t>R p 0,2 &gt;= 270 N/mm</w:t>
      </w:r>
      <w:r w:rsidRPr="00241CBC">
        <w:rPr>
          <w:rFonts w:ascii="Arial" w:hAnsi="Arial" w:cs="Arial"/>
          <w:vertAlign w:val="superscript"/>
          <w:lang w:eastAsia="en-US"/>
        </w:rPr>
        <w:t>2</w:t>
      </w:r>
      <w:r w:rsidRPr="001D60BD">
        <w:rPr>
          <w:rFonts w:ascii="Arial" w:hAnsi="Arial" w:cs="Arial"/>
          <w:lang w:eastAsia="en-US"/>
        </w:rPr>
        <w:t>, para 40 &lt;= DN &lt;= 1000 cuando A &gt;= 12%</w:t>
      </w:r>
    </w:p>
    <w:p w14:paraId="023B41F2" w14:textId="77777777" w:rsidR="00773E1E" w:rsidRPr="001D60BD" w:rsidRDefault="00773E1E" w:rsidP="00661A5F">
      <w:pPr>
        <w:numPr>
          <w:ilvl w:val="0"/>
          <w:numId w:val="185"/>
        </w:numPr>
        <w:suppressAutoHyphens/>
        <w:spacing w:before="120" w:after="120" w:line="360" w:lineRule="auto"/>
        <w:jc w:val="both"/>
        <w:rPr>
          <w:rFonts w:ascii="Arial" w:hAnsi="Arial" w:cs="Arial"/>
          <w:lang w:eastAsia="en-US"/>
        </w:rPr>
      </w:pPr>
      <w:r w:rsidRPr="001D60BD">
        <w:rPr>
          <w:rFonts w:ascii="Arial" w:hAnsi="Arial" w:cs="Arial"/>
          <w:lang w:eastAsia="en-US"/>
        </w:rPr>
        <w:t>R p 0,2 &gt;= 270 N/mm</w:t>
      </w:r>
      <w:r w:rsidRPr="00241CBC">
        <w:rPr>
          <w:rFonts w:ascii="Arial" w:hAnsi="Arial" w:cs="Arial"/>
          <w:vertAlign w:val="superscript"/>
          <w:lang w:eastAsia="en-US"/>
        </w:rPr>
        <w:t>2</w:t>
      </w:r>
      <w:r w:rsidRPr="001D60BD">
        <w:rPr>
          <w:rFonts w:ascii="Arial" w:hAnsi="Arial" w:cs="Arial"/>
          <w:lang w:eastAsia="en-US"/>
        </w:rPr>
        <w:t>, para DN &gt; 1000 cuando A &gt;= 10%</w:t>
      </w:r>
    </w:p>
    <w:p w14:paraId="365DA34D" w14:textId="77777777" w:rsidR="00773E1E" w:rsidRPr="001D60BD" w:rsidRDefault="00773E1E" w:rsidP="00661A5F">
      <w:pPr>
        <w:numPr>
          <w:ilvl w:val="0"/>
          <w:numId w:val="185"/>
        </w:numPr>
        <w:suppressAutoHyphens/>
        <w:spacing w:before="120" w:after="120" w:line="360" w:lineRule="auto"/>
        <w:jc w:val="both"/>
        <w:rPr>
          <w:rFonts w:ascii="Arial" w:hAnsi="Arial" w:cs="Arial"/>
          <w:lang w:eastAsia="en-US"/>
        </w:rPr>
      </w:pPr>
      <w:r w:rsidRPr="001D60BD">
        <w:rPr>
          <w:rFonts w:ascii="Arial" w:hAnsi="Arial" w:cs="Arial"/>
          <w:lang w:eastAsia="en-US"/>
        </w:rPr>
        <w:t>R p 0,2 &gt;= 300 N/mm</w:t>
      </w:r>
      <w:r w:rsidRPr="00241CBC">
        <w:rPr>
          <w:rFonts w:ascii="Arial" w:hAnsi="Arial" w:cs="Arial"/>
          <w:vertAlign w:val="superscript"/>
          <w:lang w:eastAsia="en-US"/>
        </w:rPr>
        <w:t>2</w:t>
      </w:r>
      <w:r w:rsidRPr="001D60BD">
        <w:rPr>
          <w:rFonts w:ascii="Arial" w:hAnsi="Arial" w:cs="Arial"/>
          <w:lang w:eastAsia="en-US"/>
        </w:rPr>
        <w:t xml:space="preserve"> en los restantes casos</w:t>
      </w:r>
    </w:p>
    <w:p w14:paraId="414E9844" w14:textId="77777777" w:rsidR="00773E1E" w:rsidRPr="00E62154" w:rsidRDefault="00773E1E" w:rsidP="00773E1E">
      <w:pPr>
        <w:autoSpaceDE w:val="0"/>
        <w:autoSpaceDN w:val="0"/>
        <w:adjustRightInd w:val="0"/>
        <w:spacing w:line="360" w:lineRule="auto"/>
        <w:jc w:val="both"/>
        <w:rPr>
          <w:rFonts w:ascii="Arial" w:hAnsi="Arial" w:cs="Arial"/>
          <w:lang w:eastAsia="en-US"/>
        </w:rPr>
      </w:pPr>
      <w:r w:rsidRPr="00E62154">
        <w:rPr>
          <w:rFonts w:ascii="Arial" w:hAnsi="Arial" w:cs="Arial"/>
          <w:lang w:eastAsia="en-US"/>
        </w:rPr>
        <w:t>A= Alargamiento en rotura; DN= Diámetro nominal.</w:t>
      </w:r>
    </w:p>
    <w:p w14:paraId="7F344AA2" w14:textId="77777777" w:rsidR="00773E1E" w:rsidRPr="00E62154" w:rsidRDefault="00773E1E" w:rsidP="00773E1E">
      <w:pPr>
        <w:autoSpaceDE w:val="0"/>
        <w:autoSpaceDN w:val="0"/>
        <w:adjustRightInd w:val="0"/>
        <w:spacing w:line="360" w:lineRule="auto"/>
        <w:jc w:val="both"/>
        <w:rPr>
          <w:rFonts w:ascii="Arial" w:hAnsi="Arial" w:cs="Arial"/>
          <w:lang w:eastAsia="en-US"/>
        </w:rPr>
      </w:pPr>
      <w:r w:rsidRPr="00E62154">
        <w:rPr>
          <w:rFonts w:ascii="Arial" w:hAnsi="Arial" w:cs="Arial"/>
          <w:lang w:eastAsia="en-US"/>
        </w:rPr>
        <w:t xml:space="preserve">La determinación de R </w:t>
      </w:r>
      <w:r w:rsidRPr="00E62154">
        <w:rPr>
          <w:rFonts w:ascii="Arial" w:hAnsi="Arial" w:cs="Arial"/>
          <w:vertAlign w:val="subscript"/>
          <w:lang w:eastAsia="en-US"/>
        </w:rPr>
        <w:t>p 0,2</w:t>
      </w:r>
      <w:r w:rsidRPr="00E62154">
        <w:rPr>
          <w:rFonts w:ascii="Arial" w:hAnsi="Arial" w:cs="Arial"/>
          <w:lang w:eastAsia="en-US"/>
        </w:rPr>
        <w:t xml:space="preserve"> se realizará mediante ensayo de tracción conforme a UNE-EN 545.</w:t>
      </w:r>
    </w:p>
    <w:p w14:paraId="14201234" w14:textId="77777777" w:rsidR="00773E1E" w:rsidRPr="00E62154" w:rsidRDefault="00773E1E" w:rsidP="00773E1E">
      <w:pPr>
        <w:autoSpaceDE w:val="0"/>
        <w:autoSpaceDN w:val="0"/>
        <w:adjustRightInd w:val="0"/>
        <w:spacing w:line="360" w:lineRule="auto"/>
        <w:jc w:val="both"/>
        <w:rPr>
          <w:rFonts w:ascii="Arial" w:hAnsi="Arial" w:cs="Arial"/>
          <w:lang w:eastAsia="en-US"/>
        </w:rPr>
      </w:pPr>
      <w:r w:rsidRPr="00E62154">
        <w:rPr>
          <w:rFonts w:ascii="Arial" w:hAnsi="Arial" w:cs="Arial"/>
          <w:lang w:eastAsia="en-US"/>
        </w:rPr>
        <w:t xml:space="preserve">El espesor nominal de los tubos y </w:t>
      </w:r>
      <w:proofErr w:type="gramStart"/>
      <w:r w:rsidRPr="00E62154">
        <w:rPr>
          <w:rFonts w:ascii="Arial" w:hAnsi="Arial" w:cs="Arial"/>
          <w:lang w:eastAsia="en-US"/>
        </w:rPr>
        <w:t>piezas,</w:t>
      </w:r>
      <w:proofErr w:type="gramEnd"/>
      <w:r w:rsidRPr="00E62154">
        <w:rPr>
          <w:rFonts w:ascii="Arial" w:hAnsi="Arial" w:cs="Arial"/>
          <w:lang w:eastAsia="en-US"/>
        </w:rPr>
        <w:t xml:space="preserve"> será el correspondiente a la clase K= 9; de conformidad a los valores tabulados en ISO 2531.</w:t>
      </w:r>
    </w:p>
    <w:p w14:paraId="2D67175A" w14:textId="77777777" w:rsidR="00773E1E" w:rsidRPr="00E62154" w:rsidRDefault="00773E1E" w:rsidP="00773E1E">
      <w:pPr>
        <w:autoSpaceDE w:val="0"/>
        <w:autoSpaceDN w:val="0"/>
        <w:adjustRightInd w:val="0"/>
        <w:spacing w:line="360" w:lineRule="auto"/>
        <w:jc w:val="both"/>
        <w:rPr>
          <w:rFonts w:ascii="Arial" w:hAnsi="Arial" w:cs="Arial"/>
          <w:lang w:eastAsia="en-US"/>
        </w:rPr>
      </w:pPr>
      <w:r w:rsidRPr="00E62154">
        <w:rPr>
          <w:rFonts w:ascii="Arial" w:hAnsi="Arial" w:cs="Arial"/>
          <w:lang w:eastAsia="en-US"/>
        </w:rPr>
        <w:t>El tipo de junta a utilizar será el automático, con enchufe y extremo liso, excepto las piezas</w:t>
      </w:r>
    </w:p>
    <w:p w14:paraId="66F7B5F4" w14:textId="77777777" w:rsidR="00773E1E" w:rsidRPr="00E62154" w:rsidRDefault="00773E1E" w:rsidP="00773E1E">
      <w:pPr>
        <w:autoSpaceDE w:val="0"/>
        <w:autoSpaceDN w:val="0"/>
        <w:adjustRightInd w:val="0"/>
        <w:spacing w:line="360" w:lineRule="auto"/>
        <w:jc w:val="both"/>
        <w:rPr>
          <w:rFonts w:ascii="Arial" w:hAnsi="Arial" w:cs="Arial"/>
          <w:lang w:eastAsia="en-US"/>
        </w:rPr>
      </w:pPr>
      <w:r w:rsidRPr="00E62154">
        <w:rPr>
          <w:rFonts w:ascii="Arial" w:hAnsi="Arial" w:cs="Arial"/>
          <w:lang w:eastAsia="en-US"/>
        </w:rPr>
        <w:t xml:space="preserve">especiales que irán provistas de junta mecánica con </w:t>
      </w:r>
      <w:proofErr w:type="spellStart"/>
      <w:r w:rsidRPr="00E62154">
        <w:rPr>
          <w:rFonts w:ascii="Arial" w:hAnsi="Arial" w:cs="Arial"/>
          <w:lang w:eastAsia="en-US"/>
        </w:rPr>
        <w:t>contrabrida</w:t>
      </w:r>
      <w:proofErr w:type="spellEnd"/>
      <w:r w:rsidRPr="00E62154">
        <w:rPr>
          <w:rFonts w:ascii="Arial" w:hAnsi="Arial" w:cs="Arial"/>
          <w:lang w:eastAsia="en-US"/>
        </w:rPr>
        <w:t>. Si para el cálculo de anclajes de piezas especiales se considera la contribución del rozamiento tubo-terreno, deberán acerrojarse las juntas de la</w:t>
      </w:r>
      <w:r w:rsidRPr="00E62154">
        <w:t xml:space="preserve"> </w:t>
      </w:r>
      <w:r w:rsidRPr="00E62154">
        <w:rPr>
          <w:rFonts w:ascii="Arial" w:hAnsi="Arial" w:cs="Arial"/>
          <w:lang w:eastAsia="en-US"/>
        </w:rPr>
        <w:t xml:space="preserve">pieza y las de la tubería en la longitud necesaria. No obstante, la Dirección de obra podrá exigir el </w:t>
      </w:r>
      <w:proofErr w:type="spellStart"/>
      <w:r w:rsidRPr="00E62154">
        <w:rPr>
          <w:rFonts w:ascii="Arial" w:hAnsi="Arial" w:cs="Arial"/>
          <w:lang w:eastAsia="en-US"/>
        </w:rPr>
        <w:t>acerrojamiento</w:t>
      </w:r>
      <w:proofErr w:type="spellEnd"/>
      <w:r w:rsidRPr="00E62154">
        <w:rPr>
          <w:rFonts w:ascii="Arial" w:hAnsi="Arial" w:cs="Arial"/>
          <w:lang w:eastAsia="en-US"/>
        </w:rPr>
        <w:t xml:space="preserve"> de las juntas de las piezas especiales para asegurar la transmisión de los empujes a los macizos de anclaje y la inmovilidad de las piezas.</w:t>
      </w:r>
    </w:p>
    <w:p w14:paraId="480C3ED0"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 desviación angular admisible de las juntas no será inferior a 4º.</w:t>
      </w:r>
    </w:p>
    <w:p w14:paraId="18D27DFE" w14:textId="77777777" w:rsidR="00773E1E" w:rsidRPr="00E62154" w:rsidRDefault="00773E1E" w:rsidP="00773E1E">
      <w:pPr>
        <w:suppressAutoHyphens/>
        <w:spacing w:before="120" w:after="120" w:line="360" w:lineRule="auto"/>
        <w:jc w:val="both"/>
        <w:rPr>
          <w:rFonts w:ascii="Arial" w:hAnsi="Arial" w:cs="Arial"/>
          <w:lang w:eastAsia="en-US"/>
        </w:rPr>
      </w:pPr>
      <w:proofErr w:type="gramStart"/>
      <w:r w:rsidRPr="00E62154">
        <w:rPr>
          <w:rFonts w:ascii="Arial" w:hAnsi="Arial" w:cs="Arial"/>
          <w:lang w:eastAsia="en-US"/>
        </w:rPr>
        <w:t>Además</w:t>
      </w:r>
      <w:proofErr w:type="gramEnd"/>
      <w:r w:rsidRPr="00E62154">
        <w:rPr>
          <w:rFonts w:ascii="Arial" w:hAnsi="Arial" w:cs="Arial"/>
          <w:lang w:eastAsia="en-US"/>
        </w:rPr>
        <w:t xml:space="preserve"> las juntas flexibles no acerrojadas, deberán permitir el suficiente movimiento axial al objeto de evitar que posibles asientos o efectos térmicos, produzcan esfuerzos suplementarios.</w:t>
      </w:r>
    </w:p>
    <w:p w14:paraId="5E38373D"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lastRenderedPageBreak/>
        <w:t>El diámetro exterior nominal de los tubos será el correspondiente a la clase K=9, de conformidad a los valores tabulados en ISO 2531.</w:t>
      </w:r>
    </w:p>
    <w:p w14:paraId="2DAC0151"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Deberá cumplirse simultáneamente que:</w:t>
      </w:r>
    </w:p>
    <w:p w14:paraId="3ABB5851" w14:textId="77777777" w:rsidR="00773E1E" w:rsidRPr="00E62154" w:rsidRDefault="00773E1E" w:rsidP="00661A5F">
      <w:pPr>
        <w:numPr>
          <w:ilvl w:val="0"/>
          <w:numId w:val="188"/>
        </w:numPr>
        <w:autoSpaceDE w:val="0"/>
        <w:autoSpaceDN w:val="0"/>
        <w:adjustRightInd w:val="0"/>
        <w:spacing w:line="360" w:lineRule="auto"/>
        <w:jc w:val="both"/>
        <w:rPr>
          <w:lang w:eastAsia="en-US"/>
        </w:rPr>
      </w:pPr>
      <w:r w:rsidRPr="00E62154">
        <w:rPr>
          <w:rFonts w:ascii="Arial" w:hAnsi="Arial" w:cs="Arial"/>
          <w:lang w:eastAsia="en-US"/>
        </w:rPr>
        <w:t>La tolerancia en el espesor de la pared de los tubos será de (1,3 + 0,001 DN), en menos, siendo DN el diámetro nominal del tubo.</w:t>
      </w:r>
    </w:p>
    <w:p w14:paraId="4037F7BD" w14:textId="77777777" w:rsidR="00773E1E" w:rsidRPr="00E62154" w:rsidRDefault="00773E1E" w:rsidP="00661A5F">
      <w:pPr>
        <w:numPr>
          <w:ilvl w:val="0"/>
          <w:numId w:val="188"/>
        </w:numPr>
        <w:autoSpaceDE w:val="0"/>
        <w:autoSpaceDN w:val="0"/>
        <w:adjustRightInd w:val="0"/>
        <w:spacing w:line="360" w:lineRule="auto"/>
        <w:jc w:val="both"/>
        <w:rPr>
          <w:rFonts w:ascii="Arial" w:hAnsi="Arial" w:cs="Arial"/>
          <w:sz w:val="20"/>
          <w:szCs w:val="20"/>
          <w:lang w:eastAsia="en-US"/>
        </w:rPr>
      </w:pPr>
      <w:r w:rsidRPr="00E62154">
        <w:rPr>
          <w:rFonts w:ascii="Arial" w:hAnsi="Arial" w:cs="Arial"/>
          <w:lang w:eastAsia="en-US"/>
        </w:rPr>
        <w:t xml:space="preserve">La tolerancia admisible en milímetros para los diámetros exteriores de los </w:t>
      </w:r>
      <w:proofErr w:type="gramStart"/>
      <w:r w:rsidRPr="00E62154">
        <w:rPr>
          <w:rFonts w:ascii="Arial" w:hAnsi="Arial" w:cs="Arial"/>
          <w:lang w:eastAsia="en-US"/>
        </w:rPr>
        <w:t>tubos,</w:t>
      </w:r>
      <w:proofErr w:type="gramEnd"/>
      <w:r w:rsidRPr="00E62154">
        <w:rPr>
          <w:rFonts w:ascii="Arial" w:hAnsi="Arial" w:cs="Arial"/>
          <w:lang w:eastAsia="en-US"/>
        </w:rPr>
        <w:t xml:space="preserve"> </w:t>
      </w:r>
      <w:proofErr w:type="gramStart"/>
      <w:r w:rsidRPr="00E62154">
        <w:rPr>
          <w:rFonts w:ascii="Arial" w:hAnsi="Arial" w:cs="Arial"/>
          <w:lang w:eastAsia="en-US"/>
        </w:rPr>
        <w:t xml:space="preserve">será </w:t>
      </w:r>
      <w:r w:rsidRPr="00E62154">
        <w:rPr>
          <w:rFonts w:ascii="Arial" w:hAnsi="Arial" w:cs="Arial"/>
          <w:sz w:val="20"/>
          <w:szCs w:val="20"/>
          <w:lang w:eastAsia="en-US"/>
        </w:rPr>
        <w:t xml:space="preserve"> +</w:t>
      </w:r>
      <w:proofErr w:type="gramEnd"/>
      <w:r w:rsidRPr="00E62154">
        <w:rPr>
          <w:rFonts w:ascii="Arial" w:hAnsi="Arial" w:cs="Arial"/>
          <w:lang w:eastAsia="en-US"/>
        </w:rPr>
        <w:t>1/ - 3,0</w:t>
      </w:r>
    </w:p>
    <w:p w14:paraId="3E27DF1C" w14:textId="77777777" w:rsidR="00773E1E" w:rsidRPr="00E62154" w:rsidRDefault="00773E1E" w:rsidP="00661A5F">
      <w:pPr>
        <w:numPr>
          <w:ilvl w:val="0"/>
          <w:numId w:val="188"/>
        </w:numPr>
        <w:autoSpaceDE w:val="0"/>
        <w:autoSpaceDN w:val="0"/>
        <w:adjustRightInd w:val="0"/>
        <w:spacing w:line="360" w:lineRule="auto"/>
        <w:jc w:val="both"/>
        <w:rPr>
          <w:rFonts w:ascii="Arial" w:hAnsi="Arial" w:cs="Arial"/>
          <w:lang w:eastAsia="en-US"/>
        </w:rPr>
      </w:pPr>
      <w:r w:rsidRPr="00E62154">
        <w:rPr>
          <w:rFonts w:ascii="Arial" w:hAnsi="Arial" w:cs="Arial"/>
          <w:lang w:eastAsia="en-US"/>
        </w:rPr>
        <w:t>El diámetro exterior del tubo será tal que permita realizar las uniones en al menos los dos tercios de la longitud del tubo, medida desde el extremo liso.</w:t>
      </w:r>
    </w:p>
    <w:p w14:paraId="1AA6F9A9" w14:textId="77777777" w:rsidR="00773E1E" w:rsidRPr="00E62154" w:rsidRDefault="00773E1E" w:rsidP="00773E1E">
      <w:pPr>
        <w:autoSpaceDE w:val="0"/>
        <w:autoSpaceDN w:val="0"/>
        <w:adjustRightInd w:val="0"/>
        <w:spacing w:line="360" w:lineRule="auto"/>
        <w:rPr>
          <w:rFonts w:ascii="Arial" w:hAnsi="Arial" w:cs="Arial"/>
          <w:lang w:eastAsia="en-US"/>
        </w:rPr>
      </w:pPr>
      <w:r w:rsidRPr="00E62154">
        <w:rPr>
          <w:rFonts w:ascii="Arial" w:hAnsi="Arial" w:cs="Arial"/>
          <w:lang w:eastAsia="en-US"/>
        </w:rPr>
        <w:t xml:space="preserve">La </w:t>
      </w:r>
      <w:proofErr w:type="spellStart"/>
      <w:r w:rsidRPr="00E62154">
        <w:rPr>
          <w:rFonts w:ascii="Arial" w:hAnsi="Arial" w:cs="Arial"/>
          <w:lang w:eastAsia="en-US"/>
        </w:rPr>
        <w:t>ovalización</w:t>
      </w:r>
      <w:proofErr w:type="spellEnd"/>
      <w:r w:rsidRPr="00E62154">
        <w:rPr>
          <w:rFonts w:ascii="Arial" w:hAnsi="Arial" w:cs="Arial"/>
          <w:lang w:eastAsia="en-US"/>
        </w:rPr>
        <w:t xml:space="preserve"> del extremo liso de los tubos y de las piezas especiales, calculada mediante la expresión:</w:t>
      </w:r>
    </w:p>
    <w:p w14:paraId="12C47C9F" w14:textId="77777777" w:rsidR="00773E1E" w:rsidRPr="00E62154" w:rsidRDefault="00773E1E" w:rsidP="00773E1E">
      <w:pPr>
        <w:autoSpaceDE w:val="0"/>
        <w:autoSpaceDN w:val="0"/>
        <w:adjustRightInd w:val="0"/>
        <w:spacing w:line="360" w:lineRule="auto"/>
        <w:ind w:left="3119"/>
        <w:rPr>
          <w:rFonts w:ascii="Arial" w:hAnsi="Arial" w:cs="Arial"/>
          <w:lang w:eastAsia="en-US"/>
        </w:rPr>
      </w:pPr>
      <w:r w:rsidRPr="00E62154">
        <w:rPr>
          <w:rFonts w:ascii="Arial" w:hAnsi="Arial" w:cs="Arial"/>
          <w:lang w:eastAsia="en-US"/>
        </w:rPr>
        <w:t xml:space="preserve">100 x </w:t>
      </w:r>
      <w:proofErr w:type="gramStart"/>
      <w:r w:rsidRPr="00E62154">
        <w:rPr>
          <w:rFonts w:ascii="Arial" w:hAnsi="Arial" w:cs="Arial"/>
          <w:lang w:eastAsia="en-US"/>
        </w:rPr>
        <w:t>( D</w:t>
      </w:r>
      <w:proofErr w:type="gramEnd"/>
      <w:r w:rsidRPr="00E62154">
        <w:rPr>
          <w:rFonts w:ascii="Arial" w:hAnsi="Arial" w:cs="Arial"/>
          <w:lang w:eastAsia="en-US"/>
        </w:rPr>
        <w:t xml:space="preserve">1 - D2) / </w:t>
      </w:r>
      <w:proofErr w:type="gramStart"/>
      <w:r w:rsidRPr="00E62154">
        <w:rPr>
          <w:rFonts w:ascii="Arial" w:hAnsi="Arial" w:cs="Arial"/>
          <w:lang w:eastAsia="en-US"/>
        </w:rPr>
        <w:t>( D</w:t>
      </w:r>
      <w:proofErr w:type="gramEnd"/>
      <w:r w:rsidRPr="00E62154">
        <w:rPr>
          <w:rFonts w:ascii="Arial" w:hAnsi="Arial" w:cs="Arial"/>
          <w:lang w:eastAsia="en-US"/>
        </w:rPr>
        <w:t>1 + D</w:t>
      </w:r>
      <w:proofErr w:type="gramStart"/>
      <w:r w:rsidRPr="00E62154">
        <w:rPr>
          <w:rFonts w:ascii="Arial" w:hAnsi="Arial" w:cs="Arial"/>
          <w:lang w:eastAsia="en-US"/>
        </w:rPr>
        <w:t>2 )</w:t>
      </w:r>
      <w:proofErr w:type="gramEnd"/>
    </w:p>
    <w:p w14:paraId="16EDAA65"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Donde D1 y D2 son el diámetro mayor y menor de la sección del tubo, cumplirá las siguientes condiciones:</w:t>
      </w:r>
    </w:p>
    <w:p w14:paraId="36AE94DF"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Para 250 &lt;= DN &lt;= 600, será menor del 1%</w:t>
      </w:r>
    </w:p>
    <w:p w14:paraId="629200FB"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La longitud útil normal de los </w:t>
      </w:r>
      <w:proofErr w:type="gramStart"/>
      <w:r w:rsidRPr="00E62154">
        <w:rPr>
          <w:rFonts w:ascii="Arial" w:hAnsi="Arial" w:cs="Arial"/>
          <w:lang w:val="es-ES_tradnl" w:eastAsia="en-US"/>
        </w:rPr>
        <w:t>tubos,</w:t>
      </w:r>
      <w:proofErr w:type="gramEnd"/>
      <w:r w:rsidRPr="00E62154">
        <w:rPr>
          <w:rFonts w:ascii="Arial" w:hAnsi="Arial" w:cs="Arial"/>
          <w:lang w:val="es-ES_tradnl" w:eastAsia="en-US"/>
        </w:rPr>
        <w:t xml:space="preserve"> será la que figura en los catálogos del fabricante. Para los diámetros inferiores a 700 </w:t>
      </w:r>
      <w:proofErr w:type="spellStart"/>
      <w:r w:rsidRPr="00E62154">
        <w:rPr>
          <w:rFonts w:ascii="Arial" w:hAnsi="Arial" w:cs="Arial"/>
          <w:lang w:val="es-ES_tradnl" w:eastAsia="en-US"/>
        </w:rPr>
        <w:t>mm.</w:t>
      </w:r>
      <w:proofErr w:type="spellEnd"/>
      <w:r w:rsidRPr="00E62154">
        <w:rPr>
          <w:rFonts w:ascii="Arial" w:hAnsi="Arial" w:cs="Arial"/>
          <w:lang w:val="es-ES_tradnl" w:eastAsia="en-US"/>
        </w:rPr>
        <w:t>, la longitud nominal será de 6,00 m. Valores que no difieran de los anteriores en un +5% podrán ser aceptados en función de las características particulares del molde y la máquina de fabricación.</w:t>
      </w:r>
    </w:p>
    <w:p w14:paraId="163C9273"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Serán de aplicación además de ISO 2531, las siguientes prescripciones:</w:t>
      </w:r>
    </w:p>
    <w:p w14:paraId="2CCB0385"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Las desviaciones admisibles serán de ± 150 </w:t>
      </w:r>
      <w:proofErr w:type="spellStart"/>
      <w:r w:rsidRPr="00E62154">
        <w:rPr>
          <w:rFonts w:ascii="Arial" w:hAnsi="Arial" w:cs="Arial"/>
          <w:lang w:val="es-ES_tradnl" w:eastAsia="en-US"/>
        </w:rPr>
        <w:t>mm.</w:t>
      </w:r>
      <w:proofErr w:type="spellEnd"/>
      <w:r w:rsidRPr="00E62154">
        <w:rPr>
          <w:rFonts w:ascii="Arial" w:hAnsi="Arial" w:cs="Arial"/>
          <w:lang w:val="es-ES_tradnl" w:eastAsia="en-US"/>
        </w:rPr>
        <w:t xml:space="preserve"> para la longitud normalizada de 8,15 m. y de ± 100 </w:t>
      </w:r>
      <w:proofErr w:type="spellStart"/>
      <w:r w:rsidRPr="00E62154">
        <w:rPr>
          <w:rFonts w:ascii="Arial" w:hAnsi="Arial" w:cs="Arial"/>
          <w:lang w:val="es-ES_tradnl" w:eastAsia="en-US"/>
        </w:rPr>
        <w:t>mm.</w:t>
      </w:r>
      <w:proofErr w:type="spellEnd"/>
      <w:r w:rsidRPr="00E62154">
        <w:rPr>
          <w:rFonts w:ascii="Arial" w:hAnsi="Arial" w:cs="Arial"/>
          <w:lang w:val="es-ES_tradnl" w:eastAsia="en-US"/>
        </w:rPr>
        <w:t xml:space="preserve"> para las demás longitudes.</w:t>
      </w:r>
    </w:p>
    <w:p w14:paraId="0352D292"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La tolerancia respecto a la longitud útil de fabricación será de ± 30 </w:t>
      </w:r>
      <w:proofErr w:type="spellStart"/>
      <w:r w:rsidRPr="00E62154">
        <w:rPr>
          <w:rFonts w:ascii="Arial" w:hAnsi="Arial" w:cs="Arial"/>
          <w:lang w:val="es-ES_tradnl" w:eastAsia="en-US"/>
        </w:rPr>
        <w:t>mm.</w:t>
      </w:r>
      <w:proofErr w:type="spellEnd"/>
    </w:p>
    <w:p w14:paraId="1B64E8EF"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Todos los tubos y piezas especiales se protegerán mediante revestimiento tanto interior, como exteriormente, con pinturas de formulación </w:t>
      </w:r>
      <w:proofErr w:type="spellStart"/>
      <w:r w:rsidRPr="00E62154">
        <w:rPr>
          <w:rFonts w:ascii="Arial" w:hAnsi="Arial" w:cs="Arial"/>
          <w:lang w:val="es-ES_tradnl" w:eastAsia="en-US"/>
        </w:rPr>
        <w:t>epoxy</w:t>
      </w:r>
      <w:proofErr w:type="spellEnd"/>
      <w:r w:rsidRPr="00E62154">
        <w:rPr>
          <w:rFonts w:ascii="Arial" w:hAnsi="Arial" w:cs="Arial"/>
          <w:lang w:val="es-ES_tradnl" w:eastAsia="en-US"/>
        </w:rPr>
        <w:t>, aplicadas en fábrica. Será admisible también el empleo en el interior de las piezas de un revestimiento de mortero de cemento análogo al especificado para los tubos.</w:t>
      </w:r>
    </w:p>
    <w:p w14:paraId="0948CDA8"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Las pinturas no contendrán ningún elemento que pueda ser soluble en el agua, ni darle sabor u olor o alterar sus características. Deberán disponer de un certificado de aptitud alimentaria.</w:t>
      </w:r>
    </w:p>
    <w:p w14:paraId="49064C52"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 superficie de las piezas deberá ser preparada mediante limpieza y posterior granallado antes de la aplicación de la pintura.</w:t>
      </w:r>
    </w:p>
    <w:p w14:paraId="11AAB8AA"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 aplicación de la pintura podrá realizarse por inmersión o proyección mediante pistola o air-</w:t>
      </w:r>
      <w:proofErr w:type="spellStart"/>
      <w:r w:rsidRPr="00E62154">
        <w:rPr>
          <w:rFonts w:ascii="Arial" w:hAnsi="Arial" w:cs="Arial"/>
          <w:lang w:eastAsia="en-US"/>
        </w:rPr>
        <w:t>less</w:t>
      </w:r>
      <w:proofErr w:type="spellEnd"/>
      <w:r w:rsidRPr="00E62154">
        <w:rPr>
          <w:rFonts w:ascii="Arial" w:hAnsi="Arial" w:cs="Arial"/>
          <w:lang w:eastAsia="en-US"/>
        </w:rPr>
        <w:t>.</w:t>
      </w:r>
    </w:p>
    <w:p w14:paraId="5D7B0130"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El espesor medio de la pintura no será inferior a 150 µm ni a 120 µm en ninguna zona puntual.</w:t>
      </w:r>
    </w:p>
    <w:p w14:paraId="52E96774"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Para la superficie exterior de los tubos, se prescribe un revestimiento de zinc con una capa de acabado semipermeable de barniz bituminoso.</w:t>
      </w:r>
    </w:p>
    <w:p w14:paraId="5F329EE3"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Se especifica un espesor nominal para el revestimiento de zinc de 215 gr/m</w:t>
      </w:r>
      <w:r w:rsidRPr="007F17AA">
        <w:rPr>
          <w:rFonts w:ascii="Arial" w:hAnsi="Arial" w:cs="Arial"/>
          <w:vertAlign w:val="superscript"/>
          <w:lang w:eastAsia="en-US"/>
        </w:rPr>
        <w:t>2</w:t>
      </w:r>
      <w:r w:rsidRPr="00E62154">
        <w:rPr>
          <w:rFonts w:ascii="Arial" w:hAnsi="Arial" w:cs="Arial"/>
          <w:lang w:eastAsia="en-US"/>
        </w:rPr>
        <w:t>, sin que puntualmente y en la forma descrita en el apartado de control de calidad, sea inferior a 200 gr/ m</w:t>
      </w:r>
      <w:r w:rsidRPr="00E62154">
        <w:rPr>
          <w:rFonts w:ascii="Arial" w:hAnsi="Arial" w:cs="Arial"/>
          <w:vertAlign w:val="superscript"/>
          <w:lang w:eastAsia="en-US"/>
        </w:rPr>
        <w:t>2</w:t>
      </w:r>
      <w:r w:rsidRPr="00E62154">
        <w:rPr>
          <w:rFonts w:ascii="Arial" w:hAnsi="Arial" w:cs="Arial"/>
          <w:lang w:eastAsia="en-US"/>
        </w:rPr>
        <w:t>.</w:t>
      </w:r>
    </w:p>
    <w:p w14:paraId="34064AD3"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El zinc metálico, con un contenido en cinc no inferior al 99% se aplicará en fábrica, preferentemente mediante </w:t>
      </w:r>
      <w:proofErr w:type="gramStart"/>
      <w:r w:rsidRPr="00E62154">
        <w:rPr>
          <w:rFonts w:ascii="Arial" w:hAnsi="Arial" w:cs="Arial"/>
          <w:lang w:eastAsia="en-US"/>
        </w:rPr>
        <w:t>electro-deposición</w:t>
      </w:r>
      <w:proofErr w:type="gramEnd"/>
      <w:r w:rsidRPr="00E62154">
        <w:rPr>
          <w:rFonts w:ascii="Arial" w:hAnsi="Arial" w:cs="Arial"/>
          <w:lang w:eastAsia="en-US"/>
        </w:rPr>
        <w:t>.</w:t>
      </w:r>
    </w:p>
    <w:p w14:paraId="70714AC1"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En general está aplicación se realizará inmediatamente después del tratamiento térmico de los tubos y sin eliminar la capa superficial de óxido de éstos. No obstante, podrá ser exigido un granallado previo, y en cualquier caso los tubos estarán limpios y secos.</w:t>
      </w:r>
    </w:p>
    <w:p w14:paraId="454DC09B"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El zinc deberá cubrir toda la superficie exterior del tubo, formando una capa densa, continua y uniforme, exenta de defectos como faltas de material o pérdidas de adherencia.</w:t>
      </w:r>
    </w:p>
    <w:p w14:paraId="52E2C2C3"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Las zonas dañadas con desprendimiento de zinc en una superficie cuya dimensión menor supere los 5 </w:t>
      </w:r>
      <w:proofErr w:type="spellStart"/>
      <w:r w:rsidRPr="00E62154">
        <w:rPr>
          <w:rFonts w:ascii="Arial" w:hAnsi="Arial" w:cs="Arial"/>
          <w:lang w:eastAsia="en-US"/>
        </w:rPr>
        <w:t>mm.</w:t>
      </w:r>
      <w:proofErr w:type="spellEnd"/>
      <w:r w:rsidRPr="00E62154">
        <w:rPr>
          <w:rFonts w:ascii="Arial" w:hAnsi="Arial" w:cs="Arial"/>
          <w:lang w:eastAsia="en-US"/>
        </w:rPr>
        <w:t>, deberán ser reparadas mediante aplicación de pintura rica en zinc con contenido superior al 90% de zinc en peso medido sobre lámina seca. La cantidad de esta pintura será como mínimo de 200 gr/ m</w:t>
      </w:r>
      <w:r w:rsidRPr="007F17AA">
        <w:rPr>
          <w:rFonts w:ascii="Arial" w:hAnsi="Arial" w:cs="Arial"/>
          <w:vertAlign w:val="superscript"/>
          <w:lang w:eastAsia="en-US"/>
        </w:rPr>
        <w:t>2</w:t>
      </w:r>
      <w:r w:rsidRPr="00E62154">
        <w:rPr>
          <w:rFonts w:ascii="Arial" w:hAnsi="Arial" w:cs="Arial"/>
          <w:lang w:eastAsia="en-US"/>
        </w:rPr>
        <w:t>.</w:t>
      </w:r>
    </w:p>
    <w:p w14:paraId="6056A57A"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Después de la aplicación del zinc, el tubo se revestirá con una capa de acabado consistente en barniz bituminoso, que se aplicará mediante pistola. Esta capa, que recubrirá por completo el revestimiento de zinc, será adherente al mismo, no tendrá faltas y no será tóxica una vez seca.</w:t>
      </w:r>
    </w:p>
    <w:p w14:paraId="77173613"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Se especifica un espesor nominal para esta capa de 70 micras sin que puntualmente se admitan espesores inferiores a 50 micras.</w:t>
      </w:r>
    </w:p>
    <w:p w14:paraId="5082614D"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Todos los tubos irán revestidos interiormente con una capa de mortero de cemento aplicado mediante centrifugación.</w:t>
      </w:r>
    </w:p>
    <w:p w14:paraId="34DB9E1E" w14:textId="77777777" w:rsidR="00773E1E" w:rsidRPr="00E62154" w:rsidRDefault="00773E1E" w:rsidP="00773E1E">
      <w:pPr>
        <w:suppressAutoHyphens/>
        <w:spacing w:before="120" w:after="120" w:line="360" w:lineRule="auto"/>
        <w:jc w:val="both"/>
        <w:rPr>
          <w:rFonts w:ascii="Arial" w:hAnsi="Arial" w:cs="Arial"/>
          <w:lang w:val="es-ES_tradnl" w:eastAsia="en-US"/>
        </w:rPr>
      </w:pPr>
      <w:proofErr w:type="gramStart"/>
      <w:r w:rsidRPr="00E62154">
        <w:rPr>
          <w:rFonts w:ascii="Arial" w:hAnsi="Arial" w:cs="Arial"/>
          <w:lang w:val="es-ES_tradnl" w:eastAsia="en-US"/>
        </w:rPr>
        <w:lastRenderedPageBreak/>
        <w:t>La arena a emplear</w:t>
      </w:r>
      <w:proofErr w:type="gramEnd"/>
      <w:r w:rsidRPr="00E62154">
        <w:rPr>
          <w:rFonts w:ascii="Arial" w:hAnsi="Arial" w:cs="Arial"/>
          <w:lang w:val="es-ES_tradnl" w:eastAsia="en-US"/>
        </w:rPr>
        <w:t xml:space="preserve"> estará exenta de materia orgánica, arcilla y otras impurezas y sus granos serán inertes, duros y estables.</w:t>
      </w:r>
    </w:p>
    <w:p w14:paraId="684DA1E3"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El contenido en materias </w:t>
      </w:r>
      <w:proofErr w:type="gramStart"/>
      <w:r w:rsidRPr="00E62154">
        <w:rPr>
          <w:rFonts w:ascii="Arial" w:hAnsi="Arial" w:cs="Arial"/>
          <w:lang w:val="es-ES_tradnl" w:eastAsia="en-US"/>
        </w:rPr>
        <w:t>arcillosas,</w:t>
      </w:r>
      <w:proofErr w:type="gramEnd"/>
      <w:r w:rsidRPr="00E62154">
        <w:rPr>
          <w:rFonts w:ascii="Arial" w:hAnsi="Arial" w:cs="Arial"/>
          <w:lang w:val="es-ES_tradnl" w:eastAsia="en-US"/>
        </w:rPr>
        <w:t xml:space="preserve"> no excederá del 2% del peso total de la muestra.</w:t>
      </w:r>
    </w:p>
    <w:p w14:paraId="05487C20"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composición granulométrica de la arena cumplirá las siguientes condiciones:</w:t>
      </w:r>
    </w:p>
    <w:p w14:paraId="48CE985D"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El porcentaje en peso de partículas que pasan por el tamiz de 0,125 </w:t>
      </w:r>
      <w:proofErr w:type="spellStart"/>
      <w:r w:rsidRPr="00E62154">
        <w:rPr>
          <w:rFonts w:ascii="Arial" w:hAnsi="Arial" w:cs="Arial"/>
          <w:lang w:eastAsia="en-US"/>
        </w:rPr>
        <w:t>mm.</w:t>
      </w:r>
      <w:proofErr w:type="spellEnd"/>
      <w:r w:rsidRPr="00E62154">
        <w:rPr>
          <w:rFonts w:ascii="Arial" w:hAnsi="Arial" w:cs="Arial"/>
          <w:lang w:eastAsia="en-US"/>
        </w:rPr>
        <w:t xml:space="preserve"> de abertura, no excederá del 10%.</w:t>
      </w:r>
    </w:p>
    <w:p w14:paraId="38B7FF3A" w14:textId="77777777" w:rsidR="00773E1E" w:rsidRPr="00E62154" w:rsidRDefault="00773E1E" w:rsidP="00773E1E">
      <w:pPr>
        <w:suppressAutoHyphens/>
        <w:spacing w:before="120" w:after="120" w:line="360" w:lineRule="auto"/>
        <w:jc w:val="both"/>
        <w:rPr>
          <w:rFonts w:ascii="Arial" w:hAnsi="Arial" w:cs="Arial"/>
          <w:sz w:val="20"/>
          <w:szCs w:val="20"/>
          <w:lang w:val="es-ES_tradnl" w:eastAsia="en-US"/>
        </w:rPr>
      </w:pPr>
      <w:r w:rsidRPr="00E62154">
        <w:rPr>
          <w:rFonts w:ascii="Arial" w:hAnsi="Arial" w:cs="Arial"/>
          <w:lang w:eastAsia="en-US"/>
        </w:rPr>
        <w:t xml:space="preserve">La fracción de tamaños superiores a 1/3 del espesor del revestimiento, no será inferior al 50% en </w:t>
      </w:r>
      <w:r w:rsidRPr="00E62154">
        <w:rPr>
          <w:rFonts w:ascii="Arial" w:hAnsi="Arial" w:cs="Arial"/>
          <w:lang w:val="es-ES_tradnl" w:eastAsia="en-US"/>
        </w:rPr>
        <w:t>peso.</w:t>
      </w:r>
    </w:p>
    <w:p w14:paraId="05C72CF0"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 fracción gruesa (partículas retenidas por un tamiz de abertura igual a 1/2 del espesor del revestimiento), no será mayor del 5% en peso.</w:t>
      </w:r>
    </w:p>
    <w:p w14:paraId="4513B6FF"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Podrán utilizarse aditivos, exentos de cloruros, que mejoren la calidad del revestimiento, siempre que sean inertes en relación con la fundición y con el agua que ha de transportar la tubería.</w:t>
      </w:r>
    </w:p>
    <w:p w14:paraId="20603D3D"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 relación arena/ cemento en peso, no será superior a 3,5. La relación agua/ cemento será establecida por el fabricante.</w:t>
      </w:r>
    </w:p>
    <w:p w14:paraId="271A1684"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 resistencia a compresión del mortero a los 28 días no será inferior a 50 MPa.</w:t>
      </w:r>
    </w:p>
    <w:p w14:paraId="2EDE9920"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La aplicación del mortero a los </w:t>
      </w:r>
      <w:proofErr w:type="gramStart"/>
      <w:r w:rsidRPr="00E62154">
        <w:rPr>
          <w:rFonts w:ascii="Arial" w:hAnsi="Arial" w:cs="Arial"/>
          <w:lang w:eastAsia="en-US"/>
        </w:rPr>
        <w:t>tubos,</w:t>
      </w:r>
      <w:proofErr w:type="gramEnd"/>
      <w:r w:rsidRPr="00E62154">
        <w:rPr>
          <w:rFonts w:ascii="Arial" w:hAnsi="Arial" w:cs="Arial"/>
          <w:lang w:eastAsia="en-US"/>
        </w:rPr>
        <w:t xml:space="preserve"> tendrá lugar en fábrica y se realizará por procedimientos de centrifugado. El revestimiento estará exento de cavidades o burbujas de aire, debiendo cuidarse su aplicación para que en todos los puntos su densidad sea al menos 2,200 Kg/ m</w:t>
      </w:r>
      <w:r w:rsidRPr="007F17AA">
        <w:rPr>
          <w:rFonts w:ascii="Arial" w:hAnsi="Arial" w:cs="Arial"/>
          <w:vertAlign w:val="superscript"/>
          <w:lang w:eastAsia="en-US"/>
        </w:rPr>
        <w:t>3</w:t>
      </w:r>
      <w:r w:rsidRPr="00E62154">
        <w:rPr>
          <w:rFonts w:ascii="Arial" w:hAnsi="Arial" w:cs="Arial"/>
          <w:lang w:eastAsia="en-US"/>
        </w:rPr>
        <w:t>, así como para que la segregación de la arena sea mínima, a cuyo efecto deberán controlarse la consistencia del mortero y la velocidad de centrifugación.</w:t>
      </w:r>
    </w:p>
    <w:p w14:paraId="2CA52BEE" w14:textId="77777777" w:rsidR="00773E1E" w:rsidRPr="00E62154" w:rsidRDefault="00773E1E" w:rsidP="00773E1E">
      <w:pPr>
        <w:suppressAutoHyphens/>
        <w:spacing w:before="120" w:after="120" w:line="360" w:lineRule="auto"/>
        <w:jc w:val="both"/>
        <w:rPr>
          <w:rFonts w:ascii="Arial" w:hAnsi="Arial" w:cs="Arial"/>
          <w:sz w:val="20"/>
          <w:szCs w:val="20"/>
          <w:lang w:val="es-ES_tradnl" w:eastAsia="en-US"/>
        </w:rPr>
      </w:pPr>
      <w:r w:rsidRPr="00E62154">
        <w:rPr>
          <w:rFonts w:ascii="Arial" w:hAnsi="Arial" w:cs="Arial"/>
          <w:lang w:eastAsia="en-US"/>
        </w:rPr>
        <w:t xml:space="preserve">Los espesores nominales del revestimiento serán de 3,5 mm y una tolerancia de 1,5 </w:t>
      </w:r>
      <w:proofErr w:type="spellStart"/>
      <w:r w:rsidRPr="00E62154">
        <w:rPr>
          <w:rFonts w:ascii="Arial" w:hAnsi="Arial" w:cs="Arial"/>
          <w:lang w:eastAsia="en-US"/>
        </w:rPr>
        <w:t>mm.</w:t>
      </w:r>
      <w:proofErr w:type="spellEnd"/>
    </w:p>
    <w:p w14:paraId="579311FE"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En los extremos de los tubos, en una longitud no superior a 50 </w:t>
      </w:r>
      <w:proofErr w:type="spellStart"/>
      <w:r w:rsidRPr="00E62154">
        <w:rPr>
          <w:rFonts w:ascii="Arial" w:hAnsi="Arial" w:cs="Arial"/>
          <w:lang w:eastAsia="en-US"/>
        </w:rPr>
        <w:t>mm.</w:t>
      </w:r>
      <w:proofErr w:type="spellEnd"/>
      <w:r w:rsidRPr="00E62154">
        <w:rPr>
          <w:rFonts w:ascii="Arial" w:hAnsi="Arial" w:cs="Arial"/>
          <w:lang w:eastAsia="en-US"/>
        </w:rPr>
        <w:t xml:space="preserve">, el espesor del revestimiento podrá ser inferior al valor mínimo, pero nunca inferior a 2,0 </w:t>
      </w:r>
      <w:proofErr w:type="spellStart"/>
      <w:r w:rsidRPr="00E62154">
        <w:rPr>
          <w:rFonts w:ascii="Arial" w:hAnsi="Arial" w:cs="Arial"/>
          <w:lang w:eastAsia="en-US"/>
        </w:rPr>
        <w:t>mm.</w:t>
      </w:r>
      <w:proofErr w:type="spellEnd"/>
    </w:p>
    <w:p w14:paraId="40261085"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Los defectos de carácter puntual podrán ser reparados manualmente mediante llana, utilizando mortero de resinas sintéticas compatibles. La zona dañada deberá ser limpiada, de forma que todo el material mal adherido sea levantado, hasta alcanzar mortero sano o hasta la superficie de la fundición.</w:t>
      </w:r>
    </w:p>
    <w:p w14:paraId="0F549097"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El acabado superficial del mortero será liso y uniforme sin presentar ondulaciones, surcos ni descuelgues, que den lugar a espesores locales inferiores a los mínimos especificados.</w:t>
      </w:r>
    </w:p>
    <w:p w14:paraId="3A3BB544" w14:textId="77777777" w:rsidR="00773E1E" w:rsidRPr="00DF005D" w:rsidRDefault="00773E1E" w:rsidP="00773E1E">
      <w:pPr>
        <w:suppressAutoHyphens/>
        <w:spacing w:before="120" w:after="120" w:line="360" w:lineRule="auto"/>
        <w:jc w:val="both"/>
        <w:rPr>
          <w:rFonts w:ascii="Arial" w:hAnsi="Arial" w:cs="Arial"/>
          <w:i/>
          <w:u w:val="single"/>
          <w:lang w:val="es-ES_tradnl" w:eastAsia="en-US"/>
        </w:rPr>
      </w:pPr>
      <w:r w:rsidRPr="00DF005D">
        <w:rPr>
          <w:rFonts w:ascii="Arial" w:hAnsi="Arial" w:cs="Arial"/>
          <w:i/>
          <w:u w:val="single"/>
          <w:lang w:val="es-ES_tradnl" w:eastAsia="en-US"/>
        </w:rPr>
        <w:t>Identificación de las tuberías</w:t>
      </w:r>
    </w:p>
    <w:p w14:paraId="1FA5C553"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Todos los tubos deberán marcarse en fábrica de forma indeleble y legible durante toda la vida útil del</w:t>
      </w:r>
    </w:p>
    <w:p w14:paraId="358FCFE7" w14:textId="77777777" w:rsidR="00773E1E" w:rsidRPr="00E62154" w:rsidRDefault="00773E1E" w:rsidP="00773E1E">
      <w:pPr>
        <w:suppressAutoHyphens/>
        <w:spacing w:before="120" w:after="120" w:line="360" w:lineRule="auto"/>
        <w:jc w:val="both"/>
        <w:rPr>
          <w:rFonts w:ascii="Arial" w:hAnsi="Arial" w:cs="Arial"/>
          <w:sz w:val="20"/>
          <w:szCs w:val="20"/>
          <w:lang w:val="es-ES_tradnl" w:eastAsia="en-US"/>
        </w:rPr>
      </w:pPr>
      <w:r w:rsidRPr="00E62154">
        <w:rPr>
          <w:rFonts w:ascii="Arial" w:hAnsi="Arial" w:cs="Arial"/>
          <w:lang w:eastAsia="en-US"/>
        </w:rPr>
        <w:t>tubo. El marcado se efectuará en el fondo del enchufe y llevará las indicaciones siguientes:</w:t>
      </w:r>
    </w:p>
    <w:p w14:paraId="6927A715"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Mediante marca obtenida por el propio molde:</w:t>
      </w:r>
    </w:p>
    <w:p w14:paraId="3141CC7D" w14:textId="77777777" w:rsidR="00773E1E" w:rsidRPr="00E62154" w:rsidRDefault="00773E1E" w:rsidP="00661A5F">
      <w:pPr>
        <w:numPr>
          <w:ilvl w:val="0"/>
          <w:numId w:val="188"/>
        </w:numPr>
        <w:autoSpaceDE w:val="0"/>
        <w:autoSpaceDN w:val="0"/>
        <w:adjustRightInd w:val="0"/>
        <w:spacing w:line="360" w:lineRule="auto"/>
        <w:jc w:val="both"/>
        <w:rPr>
          <w:rFonts w:ascii="Arial" w:hAnsi="Arial" w:cs="Arial"/>
          <w:lang w:eastAsia="en-US"/>
        </w:rPr>
      </w:pPr>
      <w:r w:rsidRPr="00E62154">
        <w:rPr>
          <w:rFonts w:ascii="Arial" w:hAnsi="Arial" w:cs="Arial"/>
          <w:lang w:eastAsia="en-US"/>
        </w:rPr>
        <w:t>Diámetro nominal</w:t>
      </w:r>
    </w:p>
    <w:p w14:paraId="444E948D" w14:textId="77777777" w:rsidR="00773E1E" w:rsidRPr="00E62154" w:rsidRDefault="00773E1E" w:rsidP="00661A5F">
      <w:pPr>
        <w:numPr>
          <w:ilvl w:val="0"/>
          <w:numId w:val="188"/>
        </w:numPr>
        <w:autoSpaceDE w:val="0"/>
        <w:autoSpaceDN w:val="0"/>
        <w:adjustRightInd w:val="0"/>
        <w:spacing w:line="360" w:lineRule="auto"/>
        <w:jc w:val="both"/>
        <w:rPr>
          <w:rFonts w:ascii="Arial" w:hAnsi="Arial" w:cs="Arial"/>
          <w:lang w:eastAsia="en-US"/>
        </w:rPr>
      </w:pPr>
      <w:r w:rsidRPr="00E62154">
        <w:rPr>
          <w:rFonts w:ascii="Arial" w:hAnsi="Arial" w:cs="Arial"/>
          <w:lang w:eastAsia="en-US"/>
        </w:rPr>
        <w:t>Tipo de junta</w:t>
      </w:r>
    </w:p>
    <w:p w14:paraId="15A5C775" w14:textId="77777777" w:rsidR="00773E1E" w:rsidRPr="00E62154" w:rsidRDefault="00773E1E" w:rsidP="00661A5F">
      <w:pPr>
        <w:numPr>
          <w:ilvl w:val="0"/>
          <w:numId w:val="188"/>
        </w:numPr>
        <w:autoSpaceDE w:val="0"/>
        <w:autoSpaceDN w:val="0"/>
        <w:adjustRightInd w:val="0"/>
        <w:spacing w:line="360" w:lineRule="auto"/>
        <w:jc w:val="both"/>
        <w:rPr>
          <w:rFonts w:ascii="Arial" w:hAnsi="Arial" w:cs="Arial"/>
          <w:lang w:eastAsia="en-US"/>
        </w:rPr>
      </w:pPr>
      <w:r w:rsidRPr="00E62154">
        <w:rPr>
          <w:rFonts w:ascii="Arial" w:hAnsi="Arial" w:cs="Arial"/>
          <w:lang w:eastAsia="en-US"/>
        </w:rPr>
        <w:t>Identificación del material (fundición dúctil)</w:t>
      </w:r>
    </w:p>
    <w:p w14:paraId="13E18C01" w14:textId="77777777" w:rsidR="00773E1E" w:rsidRPr="00E62154" w:rsidRDefault="00773E1E" w:rsidP="00661A5F">
      <w:pPr>
        <w:numPr>
          <w:ilvl w:val="0"/>
          <w:numId w:val="188"/>
        </w:numPr>
        <w:autoSpaceDE w:val="0"/>
        <w:autoSpaceDN w:val="0"/>
        <w:adjustRightInd w:val="0"/>
        <w:spacing w:line="360" w:lineRule="auto"/>
        <w:jc w:val="both"/>
        <w:rPr>
          <w:rFonts w:ascii="Arial" w:hAnsi="Arial" w:cs="Arial"/>
          <w:lang w:eastAsia="en-US"/>
        </w:rPr>
      </w:pPr>
      <w:r w:rsidRPr="00E62154">
        <w:rPr>
          <w:rFonts w:ascii="Arial" w:hAnsi="Arial" w:cs="Arial"/>
          <w:lang w:eastAsia="en-US"/>
        </w:rPr>
        <w:t>Identificación del fabricante</w:t>
      </w:r>
    </w:p>
    <w:p w14:paraId="4EC4B431" w14:textId="77777777" w:rsidR="00773E1E" w:rsidRPr="00E62154" w:rsidRDefault="00773E1E" w:rsidP="00661A5F">
      <w:pPr>
        <w:numPr>
          <w:ilvl w:val="0"/>
          <w:numId w:val="188"/>
        </w:numPr>
        <w:autoSpaceDE w:val="0"/>
        <w:autoSpaceDN w:val="0"/>
        <w:adjustRightInd w:val="0"/>
        <w:spacing w:line="360" w:lineRule="auto"/>
        <w:jc w:val="both"/>
        <w:rPr>
          <w:rFonts w:ascii="Arial" w:hAnsi="Arial" w:cs="Arial"/>
          <w:lang w:eastAsia="en-US"/>
        </w:rPr>
      </w:pPr>
      <w:r w:rsidRPr="00E62154">
        <w:rPr>
          <w:rFonts w:ascii="Arial" w:hAnsi="Arial" w:cs="Arial"/>
          <w:lang w:eastAsia="en-US"/>
        </w:rPr>
        <w:t>Clase de la tubería</w:t>
      </w:r>
    </w:p>
    <w:p w14:paraId="6B418D9F"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Mediante punzonado en frío, antes de la aplicación de revestimientos:</w:t>
      </w:r>
    </w:p>
    <w:p w14:paraId="4CE2F416" w14:textId="77777777" w:rsidR="00773E1E" w:rsidRPr="00E62154" w:rsidRDefault="00773E1E" w:rsidP="00661A5F">
      <w:pPr>
        <w:numPr>
          <w:ilvl w:val="0"/>
          <w:numId w:val="188"/>
        </w:numPr>
        <w:autoSpaceDE w:val="0"/>
        <w:autoSpaceDN w:val="0"/>
        <w:adjustRightInd w:val="0"/>
        <w:spacing w:line="360" w:lineRule="auto"/>
        <w:jc w:val="both"/>
        <w:rPr>
          <w:rFonts w:ascii="Arial" w:hAnsi="Arial" w:cs="Arial"/>
          <w:lang w:eastAsia="en-US"/>
        </w:rPr>
      </w:pPr>
      <w:r w:rsidRPr="00E62154">
        <w:rPr>
          <w:rFonts w:ascii="Arial" w:hAnsi="Arial" w:cs="Arial"/>
          <w:lang w:eastAsia="en-US"/>
        </w:rPr>
        <w:t>Año de fabricación</w:t>
      </w:r>
    </w:p>
    <w:p w14:paraId="39BADC6A" w14:textId="77777777" w:rsidR="00773E1E" w:rsidRPr="00E62154" w:rsidRDefault="00773E1E" w:rsidP="00661A5F">
      <w:pPr>
        <w:numPr>
          <w:ilvl w:val="0"/>
          <w:numId w:val="188"/>
        </w:numPr>
        <w:autoSpaceDE w:val="0"/>
        <w:autoSpaceDN w:val="0"/>
        <w:adjustRightInd w:val="0"/>
        <w:spacing w:line="360" w:lineRule="auto"/>
        <w:jc w:val="both"/>
        <w:rPr>
          <w:rFonts w:ascii="Arial" w:hAnsi="Arial" w:cs="Arial"/>
          <w:lang w:eastAsia="en-US"/>
        </w:rPr>
      </w:pPr>
      <w:r w:rsidRPr="00E62154">
        <w:rPr>
          <w:rFonts w:ascii="Arial" w:hAnsi="Arial" w:cs="Arial"/>
          <w:lang w:eastAsia="en-US"/>
        </w:rPr>
        <w:t>Semana de fabricación</w:t>
      </w:r>
    </w:p>
    <w:p w14:paraId="50A6A1FA" w14:textId="77777777" w:rsidR="00773E1E" w:rsidRPr="00E62154" w:rsidRDefault="00773E1E" w:rsidP="00661A5F">
      <w:pPr>
        <w:numPr>
          <w:ilvl w:val="0"/>
          <w:numId w:val="188"/>
        </w:numPr>
        <w:autoSpaceDE w:val="0"/>
        <w:autoSpaceDN w:val="0"/>
        <w:adjustRightInd w:val="0"/>
        <w:spacing w:line="360" w:lineRule="auto"/>
        <w:jc w:val="both"/>
        <w:rPr>
          <w:rFonts w:ascii="Arial" w:hAnsi="Arial" w:cs="Arial"/>
          <w:lang w:eastAsia="en-US"/>
        </w:rPr>
      </w:pPr>
      <w:r w:rsidRPr="00E62154">
        <w:rPr>
          <w:rFonts w:ascii="Arial" w:hAnsi="Arial" w:cs="Arial"/>
          <w:lang w:eastAsia="en-US"/>
        </w:rPr>
        <w:t>Día de fabricación</w:t>
      </w:r>
    </w:p>
    <w:p w14:paraId="23A0DB00" w14:textId="77777777" w:rsidR="00773E1E" w:rsidRPr="00E62154" w:rsidRDefault="00773E1E" w:rsidP="00661A5F">
      <w:pPr>
        <w:numPr>
          <w:ilvl w:val="0"/>
          <w:numId w:val="188"/>
        </w:numPr>
        <w:autoSpaceDE w:val="0"/>
        <w:autoSpaceDN w:val="0"/>
        <w:adjustRightInd w:val="0"/>
        <w:spacing w:line="360" w:lineRule="auto"/>
        <w:jc w:val="both"/>
        <w:rPr>
          <w:rFonts w:ascii="Arial" w:hAnsi="Arial" w:cs="Arial"/>
          <w:lang w:eastAsia="en-US"/>
        </w:rPr>
      </w:pPr>
      <w:r w:rsidRPr="00E62154">
        <w:rPr>
          <w:rFonts w:ascii="Arial" w:hAnsi="Arial" w:cs="Arial"/>
          <w:lang w:eastAsia="en-US"/>
        </w:rPr>
        <w:t>Número de orden del tubo en ese día</w:t>
      </w:r>
    </w:p>
    <w:p w14:paraId="6CFE470B"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Mediante pintura indeleble, en el exterior del tubo:</w:t>
      </w:r>
    </w:p>
    <w:p w14:paraId="71F86C1A" w14:textId="77777777" w:rsidR="00773E1E" w:rsidRPr="00E62154" w:rsidRDefault="00773E1E" w:rsidP="00661A5F">
      <w:pPr>
        <w:numPr>
          <w:ilvl w:val="0"/>
          <w:numId w:val="188"/>
        </w:numPr>
        <w:autoSpaceDE w:val="0"/>
        <w:autoSpaceDN w:val="0"/>
        <w:adjustRightInd w:val="0"/>
        <w:spacing w:line="360" w:lineRule="auto"/>
        <w:jc w:val="both"/>
        <w:rPr>
          <w:rFonts w:ascii="Arial" w:hAnsi="Arial" w:cs="Arial"/>
          <w:lang w:eastAsia="en-US"/>
        </w:rPr>
      </w:pPr>
      <w:r w:rsidRPr="00E62154">
        <w:rPr>
          <w:rFonts w:ascii="Arial" w:hAnsi="Arial" w:cs="Arial"/>
          <w:lang w:eastAsia="en-US"/>
        </w:rPr>
        <w:t>Referencia del pedido</w:t>
      </w:r>
    </w:p>
    <w:p w14:paraId="62580C11" w14:textId="77777777" w:rsidR="00773E1E" w:rsidRPr="00E62154" w:rsidRDefault="00773E1E" w:rsidP="00661A5F">
      <w:pPr>
        <w:numPr>
          <w:ilvl w:val="0"/>
          <w:numId w:val="188"/>
        </w:numPr>
        <w:autoSpaceDE w:val="0"/>
        <w:autoSpaceDN w:val="0"/>
        <w:adjustRightInd w:val="0"/>
        <w:spacing w:line="360" w:lineRule="auto"/>
        <w:jc w:val="both"/>
        <w:rPr>
          <w:rFonts w:ascii="Arial" w:hAnsi="Arial" w:cs="Arial"/>
          <w:lang w:eastAsia="en-US"/>
        </w:rPr>
      </w:pPr>
      <w:r w:rsidRPr="00E62154">
        <w:rPr>
          <w:rFonts w:ascii="Arial" w:hAnsi="Arial" w:cs="Arial"/>
          <w:lang w:eastAsia="en-US"/>
        </w:rPr>
        <w:t>En su caso, marca de identificación de certificación por terceros, realizada por el inspector de la entidad de inspección designada por el Contratista.</w:t>
      </w:r>
    </w:p>
    <w:p w14:paraId="66D3D44C" w14:textId="77777777" w:rsidR="00773E1E" w:rsidRPr="00E62154" w:rsidRDefault="00773E1E" w:rsidP="00661A5F">
      <w:pPr>
        <w:numPr>
          <w:ilvl w:val="0"/>
          <w:numId w:val="188"/>
        </w:numPr>
        <w:autoSpaceDE w:val="0"/>
        <w:autoSpaceDN w:val="0"/>
        <w:adjustRightInd w:val="0"/>
        <w:spacing w:line="360" w:lineRule="auto"/>
        <w:jc w:val="both"/>
        <w:rPr>
          <w:rFonts w:ascii="Arial" w:hAnsi="Arial" w:cs="Arial"/>
          <w:lang w:eastAsia="en-US"/>
        </w:rPr>
      </w:pPr>
      <w:r w:rsidRPr="00E62154">
        <w:rPr>
          <w:rFonts w:ascii="Arial" w:hAnsi="Arial" w:cs="Arial"/>
          <w:lang w:eastAsia="en-US"/>
        </w:rPr>
        <w:t>Contraseña especifica en los tubos calibrados</w:t>
      </w:r>
    </w:p>
    <w:p w14:paraId="67844591" w14:textId="77777777" w:rsidR="00773E1E" w:rsidRPr="00F74B11" w:rsidRDefault="00773E1E" w:rsidP="00773E1E">
      <w:pPr>
        <w:suppressAutoHyphens/>
        <w:spacing w:before="120" w:after="120" w:line="360" w:lineRule="auto"/>
        <w:jc w:val="both"/>
        <w:rPr>
          <w:rFonts w:ascii="Arial" w:hAnsi="Arial" w:cs="Arial"/>
          <w:i/>
          <w:u w:val="single"/>
          <w:lang w:val="es-ES_tradnl" w:eastAsia="en-US"/>
        </w:rPr>
      </w:pPr>
      <w:r w:rsidRPr="00F74B11">
        <w:rPr>
          <w:rFonts w:ascii="Arial" w:hAnsi="Arial" w:cs="Arial"/>
          <w:i/>
          <w:u w:val="single"/>
          <w:lang w:val="es-ES_tradnl" w:eastAsia="en-US"/>
        </w:rPr>
        <w:t>Ventosas</w:t>
      </w:r>
    </w:p>
    <w:p w14:paraId="586DC356"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Todos las elementos, piezas y mecanismos que integran la </w:t>
      </w:r>
      <w:proofErr w:type="gramStart"/>
      <w:r w:rsidRPr="00E62154">
        <w:rPr>
          <w:rFonts w:ascii="Arial" w:hAnsi="Arial" w:cs="Arial"/>
          <w:lang w:val="es-ES_tradnl" w:eastAsia="en-US"/>
        </w:rPr>
        <w:t>ventosa  deberán</w:t>
      </w:r>
      <w:proofErr w:type="gramEnd"/>
      <w:r w:rsidRPr="00E62154">
        <w:rPr>
          <w:rFonts w:ascii="Arial" w:hAnsi="Arial" w:cs="Arial"/>
          <w:lang w:val="es-ES_tradnl" w:eastAsia="en-US"/>
        </w:rPr>
        <w:t xml:space="preserve"> ser sometidas a la aprobación previa y expresa del Ingeniero </w:t>
      </w:r>
      <w:proofErr w:type="gramStart"/>
      <w:r w:rsidRPr="00E62154">
        <w:rPr>
          <w:rFonts w:ascii="Arial" w:hAnsi="Arial" w:cs="Arial"/>
          <w:lang w:val="es-ES_tradnl" w:eastAsia="en-US"/>
        </w:rPr>
        <w:t>Director</w:t>
      </w:r>
      <w:proofErr w:type="gramEnd"/>
      <w:r w:rsidRPr="00E62154">
        <w:rPr>
          <w:rFonts w:ascii="Arial" w:hAnsi="Arial" w:cs="Arial"/>
          <w:lang w:val="es-ES_tradnl" w:eastAsia="en-US"/>
        </w:rPr>
        <w:t xml:space="preserve"> de las obras, para lo cual el Contratista presentará con antelación sus propuestas de marcas y tipos concretos, con la descripción de sus características y demás detalles técnicos que le sean exigidos por la Dirección de </w:t>
      </w:r>
      <w:proofErr w:type="gramStart"/>
      <w:r w:rsidRPr="00E62154">
        <w:rPr>
          <w:rFonts w:ascii="Arial" w:hAnsi="Arial" w:cs="Arial"/>
          <w:lang w:val="es-ES_tradnl" w:eastAsia="en-US"/>
        </w:rPr>
        <w:t>Obra.</w:t>
      </w:r>
      <w:r w:rsidRPr="00E62154">
        <w:rPr>
          <w:rFonts w:ascii="Arial" w:hAnsi="Arial" w:cs="Arial"/>
          <w:b/>
          <w:lang w:val="es-ES_tradnl" w:eastAsia="en-US"/>
        </w:rPr>
        <w:t>.</w:t>
      </w:r>
      <w:proofErr w:type="gramEnd"/>
    </w:p>
    <w:p w14:paraId="05EB9728"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Las ventosas serán dobles automáticas de triple función, 50 mm de </w:t>
      </w:r>
      <w:proofErr w:type="gramStart"/>
      <w:r w:rsidRPr="00E62154">
        <w:rPr>
          <w:rFonts w:ascii="Arial" w:hAnsi="Arial" w:cs="Arial"/>
          <w:lang w:val="es-ES_tradnl" w:eastAsia="en-US"/>
        </w:rPr>
        <w:t>diámetro nominal y presión nominal</w:t>
      </w:r>
      <w:proofErr w:type="gramEnd"/>
      <w:r w:rsidRPr="00E62154">
        <w:rPr>
          <w:rFonts w:ascii="Arial" w:hAnsi="Arial" w:cs="Arial"/>
          <w:lang w:val="es-ES_tradnl" w:eastAsia="en-US"/>
        </w:rPr>
        <w:t xml:space="preserve"> 16 atm.</w:t>
      </w:r>
    </w:p>
    <w:p w14:paraId="3A129600"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Estas ventosas cumplirán las siguientes especificaciones:</w:t>
      </w:r>
    </w:p>
    <w:p w14:paraId="761147E0" w14:textId="77777777" w:rsidR="00773E1E" w:rsidRPr="00E62154" w:rsidRDefault="00773E1E" w:rsidP="00661A5F">
      <w:pPr>
        <w:numPr>
          <w:ilvl w:val="0"/>
          <w:numId w:val="188"/>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Flotadores en acero cubierto de elastómero </w:t>
      </w:r>
      <w:proofErr w:type="spellStart"/>
      <w:r w:rsidRPr="00E62154">
        <w:rPr>
          <w:rFonts w:ascii="Arial" w:hAnsi="Arial" w:cs="Arial"/>
          <w:lang w:val="es-ES_tradnl" w:eastAsia="en-US"/>
        </w:rPr>
        <w:t>nitrilico</w:t>
      </w:r>
      <w:proofErr w:type="spellEnd"/>
      <w:r w:rsidRPr="00E62154">
        <w:rPr>
          <w:rFonts w:ascii="Arial" w:hAnsi="Arial" w:cs="Arial"/>
          <w:lang w:val="es-ES_tradnl" w:eastAsia="en-US"/>
        </w:rPr>
        <w:t>.</w:t>
      </w:r>
    </w:p>
    <w:p w14:paraId="0FFF6054" w14:textId="77777777" w:rsidR="00773E1E" w:rsidRPr="00E62154" w:rsidRDefault="00773E1E" w:rsidP="00661A5F">
      <w:pPr>
        <w:numPr>
          <w:ilvl w:val="0"/>
          <w:numId w:val="188"/>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lastRenderedPageBreak/>
        <w:t>Vástago de acero inoxidable.</w:t>
      </w:r>
    </w:p>
    <w:p w14:paraId="531F250C" w14:textId="77777777" w:rsidR="00773E1E" w:rsidRPr="00E62154" w:rsidRDefault="00773E1E" w:rsidP="00661A5F">
      <w:pPr>
        <w:numPr>
          <w:ilvl w:val="0"/>
          <w:numId w:val="188"/>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Purgador de control y llave de vaciado en aleación de cobre.</w:t>
      </w:r>
    </w:p>
    <w:p w14:paraId="6CDD0F7A" w14:textId="77777777" w:rsidR="00773E1E" w:rsidRPr="00E62154" w:rsidRDefault="00773E1E" w:rsidP="00661A5F">
      <w:pPr>
        <w:numPr>
          <w:ilvl w:val="0"/>
          <w:numId w:val="188"/>
        </w:num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Tornillería en acero galvanizado.</w:t>
      </w:r>
    </w:p>
    <w:p w14:paraId="77A7BE84" w14:textId="77777777" w:rsidR="00773E1E" w:rsidRPr="00E62154" w:rsidRDefault="00773E1E" w:rsidP="000313DD">
      <w:pPr>
        <w:pStyle w:val="TITU2"/>
      </w:pPr>
      <w:bookmarkStart w:id="1422" w:name="_Toc533762612"/>
      <w:bookmarkStart w:id="1423" w:name="_Toc404705"/>
      <w:r w:rsidRPr="0037448F">
        <w:t>811.5. Ejecución de las obras</w:t>
      </w:r>
      <w:bookmarkEnd w:id="1422"/>
      <w:bookmarkEnd w:id="1423"/>
    </w:p>
    <w:p w14:paraId="7944D040" w14:textId="77777777" w:rsidR="00773E1E" w:rsidRPr="00DF005D" w:rsidRDefault="00773E1E" w:rsidP="00773E1E">
      <w:pPr>
        <w:suppressAutoHyphens/>
        <w:spacing w:before="120" w:after="120" w:line="360" w:lineRule="auto"/>
        <w:jc w:val="both"/>
        <w:rPr>
          <w:rFonts w:ascii="Arial" w:hAnsi="Arial" w:cs="Arial"/>
          <w:i/>
          <w:u w:val="single"/>
          <w:lang w:val="es-ES_tradnl" w:eastAsia="en-US"/>
        </w:rPr>
      </w:pPr>
      <w:r w:rsidRPr="00DF005D">
        <w:rPr>
          <w:rFonts w:ascii="Arial" w:hAnsi="Arial" w:cs="Arial"/>
          <w:i/>
          <w:u w:val="single"/>
          <w:lang w:val="es-ES_tradnl" w:eastAsia="en-US"/>
        </w:rPr>
        <w:t>Transporte, almacenamiento y manipulación</w:t>
      </w:r>
    </w:p>
    <w:p w14:paraId="5FF622A8"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Las operaciones de transporte, almacenamiento y manipulación de todos los componentes deberán hacerse sin que ninguno de estos elementos sufra golpes o rozaduras, teniendo que depositarlos en el suelo sin brusquedades y sin dejarlos caer en ningún momento. En el caso de los tubos, debe evitarse que rueden sobre piedras. Cualquier defecto, daño o deterioro detectado en los mismos podrá ser razón suficiente para su rechazo.</w:t>
      </w:r>
    </w:p>
    <w:p w14:paraId="009C672B" w14:textId="77777777" w:rsidR="00773E1E" w:rsidRPr="00DF005D" w:rsidRDefault="00773E1E" w:rsidP="00773E1E">
      <w:pPr>
        <w:suppressAutoHyphens/>
        <w:spacing w:before="120" w:after="120" w:line="360" w:lineRule="auto"/>
        <w:jc w:val="both"/>
        <w:rPr>
          <w:rFonts w:ascii="Arial" w:hAnsi="Arial" w:cs="Arial"/>
          <w:i/>
          <w:u w:val="single"/>
          <w:lang w:val="es-ES_tradnl" w:eastAsia="en-US"/>
        </w:rPr>
      </w:pPr>
      <w:r w:rsidRPr="00DF005D">
        <w:rPr>
          <w:rFonts w:ascii="Arial" w:hAnsi="Arial" w:cs="Arial"/>
          <w:i/>
          <w:u w:val="single"/>
          <w:lang w:val="es-ES_tradnl" w:eastAsia="en-US"/>
        </w:rPr>
        <w:t>Instalaciones</w:t>
      </w:r>
      <w:r w:rsidR="00DF005D">
        <w:rPr>
          <w:rFonts w:ascii="Arial" w:hAnsi="Arial" w:cs="Arial"/>
          <w:i/>
          <w:u w:val="single"/>
          <w:lang w:val="es-ES_tradnl" w:eastAsia="en-US"/>
        </w:rPr>
        <w:t xml:space="preserve"> en zanja, colocación y uniones</w:t>
      </w:r>
    </w:p>
    <w:p w14:paraId="0B2E91D3"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Las canalizaciones se instalarán en el interior de zanjas construidas a tal efecto, según detalles de los planos de proyecto. Las unidades para la excavación y relleno de zanjas se recogen en el </w:t>
      </w:r>
      <w:r w:rsidRPr="00E62154">
        <w:rPr>
          <w:rFonts w:ascii="Arial" w:hAnsi="Arial" w:cs="Arial"/>
          <w:lang w:eastAsia="en-US"/>
        </w:rPr>
        <w:t>Artículo 321.- Excavaciones en zanjas y pozos y en el Artículo 332.- Rellenos localizados</w:t>
      </w:r>
      <w:r w:rsidRPr="00E62154">
        <w:rPr>
          <w:rFonts w:ascii="Arial" w:hAnsi="Arial" w:cs="Arial"/>
          <w:lang w:val="es-ES_tradnl" w:eastAsia="en-US"/>
        </w:rPr>
        <w:t>, respectivamente.</w:t>
      </w:r>
    </w:p>
    <w:p w14:paraId="149CFDC9"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ejecución cumplirá en todo momento el proyecto de reposición de la red, dando cumplimiento a la normativa y especificaciones del titular, según se incluye en los artículos correspondientes del presente documento.</w:t>
      </w:r>
    </w:p>
    <w:p w14:paraId="65C0B47D" w14:textId="77777777" w:rsidR="00773E1E" w:rsidRPr="0037448F" w:rsidRDefault="00773E1E" w:rsidP="000313DD">
      <w:pPr>
        <w:pStyle w:val="TITU2"/>
      </w:pPr>
      <w:bookmarkStart w:id="1424" w:name="_Toc533762613"/>
      <w:bookmarkStart w:id="1425" w:name="_Toc404706"/>
      <w:r w:rsidRPr="0037448F">
        <w:t>811.</w:t>
      </w:r>
      <w:r>
        <w:t>6</w:t>
      </w:r>
      <w:r w:rsidRPr="0037448F">
        <w:t xml:space="preserve">. </w:t>
      </w:r>
      <w:r w:rsidRPr="0037448F">
        <w:tab/>
        <w:t>Recepción</w:t>
      </w:r>
      <w:bookmarkEnd w:id="1424"/>
      <w:bookmarkEnd w:id="1425"/>
    </w:p>
    <w:p w14:paraId="2CD904E7"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Para la recepción de las unidades ejecutadas, se debe cumplir lo siguiente:</w:t>
      </w:r>
    </w:p>
    <w:p w14:paraId="1C9DD9DA" w14:textId="77777777" w:rsidR="00773E1E" w:rsidRPr="00E62154" w:rsidRDefault="00773E1E" w:rsidP="00661A5F">
      <w:pPr>
        <w:numPr>
          <w:ilvl w:val="0"/>
          <w:numId w:val="189"/>
        </w:numPr>
        <w:suppressAutoHyphens/>
        <w:spacing w:before="120" w:after="120" w:line="360" w:lineRule="auto"/>
        <w:jc w:val="both"/>
        <w:rPr>
          <w:rFonts w:ascii="Arial" w:hAnsi="Arial" w:cs="Arial"/>
          <w:lang w:eastAsia="en-US"/>
        </w:rPr>
      </w:pPr>
      <w:r w:rsidRPr="00E62154">
        <w:rPr>
          <w:rFonts w:ascii="Arial" w:hAnsi="Arial" w:cs="Arial"/>
          <w:lang w:eastAsia="en-US"/>
        </w:rPr>
        <w:t xml:space="preserve">Los materiales empleados tienen marcado CE, y que las especificaciones del fabricante cumplen con los requerimientos </w:t>
      </w:r>
      <w:proofErr w:type="gramStart"/>
      <w:r w:rsidRPr="00E62154">
        <w:rPr>
          <w:rFonts w:ascii="Arial" w:hAnsi="Arial" w:cs="Arial"/>
          <w:lang w:eastAsia="en-US"/>
        </w:rPr>
        <w:t>mínimo establecidos</w:t>
      </w:r>
      <w:proofErr w:type="gramEnd"/>
      <w:r w:rsidRPr="00E62154">
        <w:rPr>
          <w:rFonts w:ascii="Arial" w:hAnsi="Arial" w:cs="Arial"/>
          <w:lang w:eastAsia="en-US"/>
        </w:rPr>
        <w:t xml:space="preserve"> por el Ayuntamiento de Siero para tuberías de abastecimiento.</w:t>
      </w:r>
    </w:p>
    <w:p w14:paraId="6EBB420E" w14:textId="77777777" w:rsidR="00773E1E" w:rsidRPr="00E62154" w:rsidRDefault="00773E1E" w:rsidP="00661A5F">
      <w:pPr>
        <w:numPr>
          <w:ilvl w:val="0"/>
          <w:numId w:val="189"/>
        </w:numPr>
        <w:suppressAutoHyphens/>
        <w:spacing w:before="120" w:after="120" w:line="360" w:lineRule="auto"/>
        <w:jc w:val="both"/>
        <w:rPr>
          <w:rFonts w:ascii="Arial" w:hAnsi="Arial" w:cs="Arial"/>
          <w:lang w:eastAsia="en-US"/>
        </w:rPr>
      </w:pPr>
      <w:r w:rsidRPr="00E62154">
        <w:rPr>
          <w:rFonts w:ascii="Arial" w:hAnsi="Arial" w:cs="Arial"/>
          <w:lang w:eastAsia="en-US"/>
        </w:rPr>
        <w:t>La ejecución de las obras se ha realizado según lo establecido por el Ayuntamiento de Siero.</w:t>
      </w:r>
    </w:p>
    <w:p w14:paraId="20E20654" w14:textId="77777777" w:rsidR="00773E1E" w:rsidRPr="00E62154" w:rsidRDefault="00773E1E" w:rsidP="00661A5F">
      <w:pPr>
        <w:numPr>
          <w:ilvl w:val="0"/>
          <w:numId w:val="189"/>
        </w:numPr>
        <w:suppressAutoHyphens/>
        <w:spacing w:before="120" w:after="120" w:line="360" w:lineRule="auto"/>
        <w:jc w:val="both"/>
        <w:rPr>
          <w:rFonts w:ascii="Arial" w:hAnsi="Arial" w:cs="Arial"/>
          <w:lang w:eastAsia="en-US"/>
        </w:rPr>
      </w:pPr>
      <w:r w:rsidRPr="00E62154">
        <w:rPr>
          <w:rFonts w:ascii="Arial" w:hAnsi="Arial" w:cs="Arial"/>
          <w:lang w:val="es-ES_tradnl" w:eastAsia="en-US"/>
        </w:rPr>
        <w:t>Se han superado las pruebas de funcionamiento de la instalación completa según la normativa vigente.</w:t>
      </w:r>
    </w:p>
    <w:p w14:paraId="1A198615" w14:textId="77777777" w:rsidR="00773E1E" w:rsidRPr="00E62154" w:rsidRDefault="00773E1E" w:rsidP="00661A5F">
      <w:pPr>
        <w:numPr>
          <w:ilvl w:val="0"/>
          <w:numId w:val="189"/>
        </w:numPr>
        <w:suppressAutoHyphens/>
        <w:spacing w:before="120" w:after="120" w:line="360" w:lineRule="auto"/>
        <w:jc w:val="both"/>
        <w:rPr>
          <w:rFonts w:ascii="Arial" w:hAnsi="Arial" w:cs="Arial"/>
          <w:lang w:eastAsia="en-US"/>
        </w:rPr>
      </w:pPr>
      <w:r w:rsidRPr="00E62154">
        <w:rPr>
          <w:rFonts w:ascii="Arial" w:hAnsi="Arial" w:cs="Arial"/>
          <w:lang w:val="es-ES_tradnl" w:eastAsia="en-US"/>
        </w:rPr>
        <w:t>Si no se cumplen los parámetros de recepción, se subsanarán a costa del contratista.</w:t>
      </w:r>
    </w:p>
    <w:p w14:paraId="603984A1" w14:textId="77777777" w:rsidR="00773E1E" w:rsidRPr="00E62154" w:rsidRDefault="00773E1E" w:rsidP="000313DD">
      <w:pPr>
        <w:pStyle w:val="TITU2"/>
      </w:pPr>
      <w:bookmarkStart w:id="1426" w:name="_Toc533762614"/>
      <w:bookmarkStart w:id="1427" w:name="_Toc404707"/>
      <w:bookmarkStart w:id="1428" w:name="_Toc368907247"/>
      <w:bookmarkStart w:id="1429" w:name="_Toc370805167"/>
      <w:r>
        <w:t>811.7</w:t>
      </w:r>
      <w:r w:rsidRPr="0037448F">
        <w:t>. Control de calidad</w:t>
      </w:r>
      <w:bookmarkEnd w:id="1426"/>
      <w:bookmarkEnd w:id="1427"/>
    </w:p>
    <w:p w14:paraId="19A20CC0" w14:textId="77777777" w:rsidR="00773E1E" w:rsidRPr="00DF005D" w:rsidRDefault="00773E1E" w:rsidP="00773E1E">
      <w:pPr>
        <w:suppressAutoHyphens/>
        <w:spacing w:before="120" w:after="120" w:line="360" w:lineRule="auto"/>
        <w:jc w:val="both"/>
        <w:rPr>
          <w:rFonts w:ascii="Arial" w:hAnsi="Arial" w:cs="Arial"/>
          <w:i/>
          <w:u w:val="single"/>
          <w:lang w:val="es-ES_tradnl" w:eastAsia="en-US"/>
        </w:rPr>
      </w:pPr>
      <w:r w:rsidRPr="00DF005D">
        <w:rPr>
          <w:rFonts w:ascii="Arial" w:hAnsi="Arial" w:cs="Arial"/>
          <w:i/>
          <w:u w:val="single"/>
          <w:lang w:val="es-ES_tradnl" w:eastAsia="en-US"/>
        </w:rPr>
        <w:t>Control de la fabricación de los componentes</w:t>
      </w:r>
      <w:bookmarkEnd w:id="1428"/>
      <w:bookmarkEnd w:id="1429"/>
    </w:p>
    <w:p w14:paraId="78CFE9AE"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Las tuberías instaladas deberán de estar en posesión de distintivo o sello de calidad que acredite el cumplimento de la norma UNE-EN 545. Se deben aportar los certificados del fabricante correspondientes.</w:t>
      </w:r>
    </w:p>
    <w:p w14:paraId="5B44A06F" w14:textId="77777777" w:rsidR="00773E1E" w:rsidRPr="00DF005D" w:rsidRDefault="00773E1E" w:rsidP="00773E1E">
      <w:pPr>
        <w:suppressAutoHyphens/>
        <w:spacing w:before="120" w:after="120" w:line="360" w:lineRule="auto"/>
        <w:jc w:val="both"/>
        <w:rPr>
          <w:rFonts w:ascii="Arial" w:hAnsi="Arial" w:cs="Arial"/>
          <w:i/>
          <w:u w:val="single"/>
          <w:lang w:val="es-ES_tradnl" w:eastAsia="en-US"/>
        </w:rPr>
      </w:pPr>
      <w:bookmarkStart w:id="1430" w:name="_Toc368907248"/>
      <w:bookmarkStart w:id="1431" w:name="_Toc370805168"/>
      <w:r w:rsidRPr="00DF005D">
        <w:rPr>
          <w:rFonts w:ascii="Arial" w:hAnsi="Arial" w:cs="Arial"/>
          <w:i/>
          <w:u w:val="single"/>
          <w:lang w:val="es-ES_tradnl" w:eastAsia="en-US"/>
        </w:rPr>
        <w:t>Control de la ejecución de las obras</w:t>
      </w:r>
      <w:bookmarkEnd w:id="1430"/>
      <w:bookmarkEnd w:id="1431"/>
    </w:p>
    <w:p w14:paraId="72CBB5A3"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Se cumplirá lo establecido en el Pliego de Prescripciones Técnicas Generales para Tuberías de Abastecimiento de Agua.</w:t>
      </w:r>
    </w:p>
    <w:p w14:paraId="0C041CF6" w14:textId="77777777" w:rsidR="00773E1E" w:rsidRPr="00DF005D" w:rsidRDefault="00773E1E" w:rsidP="00773E1E">
      <w:pPr>
        <w:suppressAutoHyphens/>
        <w:spacing w:before="120" w:after="120" w:line="360" w:lineRule="auto"/>
        <w:jc w:val="both"/>
        <w:rPr>
          <w:rFonts w:ascii="Arial" w:hAnsi="Arial" w:cs="Arial"/>
          <w:i/>
          <w:lang w:val="es-ES_tradnl" w:eastAsia="en-US"/>
        </w:rPr>
      </w:pPr>
      <w:bookmarkStart w:id="1432" w:name="_Toc368907249"/>
      <w:bookmarkStart w:id="1433" w:name="_Toc370805169"/>
      <w:r w:rsidRPr="00DF005D">
        <w:rPr>
          <w:rFonts w:ascii="Arial" w:hAnsi="Arial" w:cs="Arial"/>
          <w:i/>
          <w:u w:val="single"/>
          <w:lang w:val="es-ES_tradnl" w:eastAsia="en-US"/>
        </w:rPr>
        <w:t>Pruebas de la tubería instalada</w:t>
      </w:r>
      <w:bookmarkEnd w:id="1432"/>
      <w:bookmarkEnd w:id="1433"/>
    </w:p>
    <w:p w14:paraId="14D7CED4" w14:textId="77777777" w:rsidR="00773E1E" w:rsidRPr="00E62154" w:rsidRDefault="00773E1E" w:rsidP="00773E1E">
      <w:pPr>
        <w:suppressAutoHyphens/>
        <w:spacing w:before="120" w:after="120" w:line="360" w:lineRule="auto"/>
        <w:jc w:val="both"/>
        <w:rPr>
          <w:rFonts w:ascii="Arial" w:hAnsi="Arial" w:cs="Arial"/>
          <w:lang w:val="es-ES_tradnl" w:eastAsia="en-US"/>
        </w:rPr>
      </w:pPr>
      <w:proofErr w:type="gramStart"/>
      <w:r w:rsidRPr="00E62154">
        <w:rPr>
          <w:rFonts w:ascii="Arial" w:hAnsi="Arial" w:cs="Arial"/>
          <w:lang w:val="es-ES_tradnl" w:eastAsia="en-US"/>
        </w:rPr>
        <w:t>Las pruebas preceptivas a realizar</w:t>
      </w:r>
      <w:proofErr w:type="gramEnd"/>
      <w:r w:rsidRPr="00E62154">
        <w:rPr>
          <w:rFonts w:ascii="Arial" w:hAnsi="Arial" w:cs="Arial"/>
          <w:lang w:val="es-ES_tradnl" w:eastAsia="en-US"/>
        </w:rPr>
        <w:t xml:space="preserve">, conforme a lo indicado en el Pliego de Prescripciones Técnicas Generales para Tuberías de Abastecimiento de Agua son de presión interior y de estanqueidad. </w:t>
      </w:r>
    </w:p>
    <w:p w14:paraId="36265D1A"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prueba de presión se realizará durante media hora y a una presión 1,4 veces la presión de trabajo, considerándose satisfactoria cuando durante este tiempo el manómetro no acuse un descenso superior a P/5, siendo P la presión de prueba en zanja, en kilogramos por centímetro cuadrado.</w:t>
      </w:r>
    </w:p>
    <w:p w14:paraId="78CE9039"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Cuando el descenso de presión sea superior a esta cantidad, el Contratista realizará las reparaciones precisas para conseguir el resultado satisfactorio de la prueba.</w:t>
      </w:r>
    </w:p>
    <w:p w14:paraId="277FDC7C"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Posteriormente a la ejecución de esta prueba y siempre que el resultado sea satisfactorio se realizará la prueba de estanqueidad.</w:t>
      </w:r>
    </w:p>
    <w:p w14:paraId="6F3A4B99"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Se medirá durante un periodo de dos horas el caudal que es necesario introducir en la tubería para mantener constante la presión, después de haber llenado la tubería y expulsado todo el aire.</w:t>
      </w:r>
    </w:p>
    <w:p w14:paraId="2A732285"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pérdida total durante el período especificado debe ser inferior a V = K x L x D, siendo:</w:t>
      </w:r>
    </w:p>
    <w:p w14:paraId="1E001E90" w14:textId="77777777" w:rsidR="00773E1E" w:rsidRPr="00E62154" w:rsidRDefault="00773E1E" w:rsidP="00773E1E">
      <w:pPr>
        <w:suppressAutoHyphens/>
        <w:spacing w:before="120" w:after="120" w:line="360" w:lineRule="auto"/>
        <w:ind w:left="567"/>
        <w:jc w:val="both"/>
        <w:rPr>
          <w:rFonts w:ascii="Arial" w:hAnsi="Arial" w:cs="Arial"/>
          <w:lang w:val="es-ES_tradnl" w:eastAsia="en-US"/>
        </w:rPr>
      </w:pPr>
      <w:r w:rsidRPr="00E62154">
        <w:rPr>
          <w:rFonts w:ascii="Arial" w:hAnsi="Arial" w:cs="Arial"/>
          <w:lang w:val="es-ES_tradnl" w:eastAsia="en-US"/>
        </w:rPr>
        <w:t>V: Pérdida en litros.</w:t>
      </w:r>
    </w:p>
    <w:p w14:paraId="05A1306A" w14:textId="77777777" w:rsidR="00773E1E" w:rsidRPr="00E62154" w:rsidRDefault="00773E1E" w:rsidP="00773E1E">
      <w:pPr>
        <w:suppressAutoHyphens/>
        <w:spacing w:before="120" w:after="120" w:line="360" w:lineRule="auto"/>
        <w:ind w:left="567"/>
        <w:jc w:val="both"/>
        <w:rPr>
          <w:rFonts w:ascii="Arial" w:hAnsi="Arial" w:cs="Arial"/>
          <w:lang w:val="es-ES_tradnl" w:eastAsia="en-US"/>
        </w:rPr>
      </w:pPr>
      <w:r w:rsidRPr="00E62154">
        <w:rPr>
          <w:rFonts w:ascii="Arial" w:hAnsi="Arial" w:cs="Arial"/>
          <w:lang w:val="es-ES_tradnl" w:eastAsia="en-US"/>
        </w:rPr>
        <w:t>K: Fundición = 0,300; amianto-cemento = 0,350</w:t>
      </w:r>
    </w:p>
    <w:p w14:paraId="13CB0B88" w14:textId="77777777" w:rsidR="00773E1E" w:rsidRPr="00E62154" w:rsidRDefault="00773E1E" w:rsidP="00773E1E">
      <w:pPr>
        <w:suppressAutoHyphens/>
        <w:spacing w:before="120" w:after="120" w:line="360" w:lineRule="auto"/>
        <w:ind w:left="567"/>
        <w:jc w:val="both"/>
        <w:rPr>
          <w:rFonts w:ascii="Arial" w:hAnsi="Arial" w:cs="Arial"/>
          <w:lang w:val="es-ES_tradnl" w:eastAsia="en-US"/>
        </w:rPr>
      </w:pPr>
      <w:r w:rsidRPr="00E62154">
        <w:rPr>
          <w:rFonts w:ascii="Arial" w:hAnsi="Arial" w:cs="Arial"/>
          <w:lang w:val="es-ES_tradnl" w:eastAsia="en-US"/>
        </w:rPr>
        <w:t>P.E.T. = 0,400</w:t>
      </w:r>
    </w:p>
    <w:p w14:paraId="6F861CA5" w14:textId="77777777" w:rsidR="00773E1E" w:rsidRPr="00E62154" w:rsidRDefault="00773E1E" w:rsidP="00773E1E">
      <w:pPr>
        <w:suppressAutoHyphens/>
        <w:spacing w:before="120" w:after="120" w:line="360" w:lineRule="auto"/>
        <w:ind w:left="567"/>
        <w:jc w:val="both"/>
        <w:rPr>
          <w:rFonts w:ascii="Arial" w:hAnsi="Arial" w:cs="Arial"/>
          <w:lang w:val="es-ES_tradnl" w:eastAsia="en-US"/>
        </w:rPr>
      </w:pPr>
      <w:r w:rsidRPr="00E62154">
        <w:rPr>
          <w:rFonts w:ascii="Arial" w:hAnsi="Arial" w:cs="Arial"/>
          <w:lang w:val="es-ES_tradnl" w:eastAsia="en-US"/>
        </w:rPr>
        <w:t>L: Longitud del tramo en metros</w:t>
      </w:r>
    </w:p>
    <w:p w14:paraId="0705E7A5" w14:textId="77777777" w:rsidR="00773E1E" w:rsidRPr="00E62154" w:rsidRDefault="00773E1E" w:rsidP="00773E1E">
      <w:pPr>
        <w:suppressAutoHyphens/>
        <w:spacing w:before="120" w:after="120" w:line="360" w:lineRule="auto"/>
        <w:ind w:left="567"/>
        <w:jc w:val="both"/>
        <w:rPr>
          <w:rFonts w:ascii="Arial" w:hAnsi="Arial" w:cs="Arial"/>
          <w:lang w:val="es-ES_tradnl" w:eastAsia="en-US"/>
        </w:rPr>
      </w:pPr>
      <w:r w:rsidRPr="00E62154">
        <w:rPr>
          <w:rFonts w:ascii="Arial" w:hAnsi="Arial" w:cs="Arial"/>
          <w:lang w:val="es-ES_tradnl" w:eastAsia="en-US"/>
        </w:rPr>
        <w:t>D: Diámetro interior en metros</w:t>
      </w:r>
    </w:p>
    <w:p w14:paraId="0894689B"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lastRenderedPageBreak/>
        <w:t>En caso de que existan pérdidas, el Contratista está obligado a reparar y repasar toda la tubería y juntas hasta que quede en las condiciones adecuadas.</w:t>
      </w:r>
    </w:p>
    <w:p w14:paraId="407DB69C"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Una vez que el resultado de las pruebas sea satisfactorio se procederá por parte del Contratista al lavado de las tuberías, antes de realizar los empalmes definitivos con la red de servicio. Dicho lavado se realizará haciendo circular un caudal abundante de agua a través de todo el tramo durante un periodo de 4 horas.</w:t>
      </w:r>
    </w:p>
    <w:p w14:paraId="31D35045" w14:textId="77777777" w:rsidR="00773E1E" w:rsidRPr="0037448F" w:rsidRDefault="00773E1E" w:rsidP="000313DD">
      <w:pPr>
        <w:pStyle w:val="TITU2"/>
      </w:pPr>
      <w:bookmarkStart w:id="1434" w:name="_Toc533762615"/>
      <w:bookmarkStart w:id="1435" w:name="_Toc404708"/>
      <w:r w:rsidRPr="0037448F">
        <w:t>811.</w:t>
      </w:r>
      <w:r>
        <w:t>8</w:t>
      </w:r>
      <w:r w:rsidRPr="0037448F">
        <w:t>.</w:t>
      </w:r>
      <w:r w:rsidRPr="0037448F">
        <w:tab/>
        <w:t xml:space="preserve"> Medición y abono</w:t>
      </w:r>
      <w:bookmarkEnd w:id="1434"/>
      <w:bookmarkEnd w:id="1435"/>
    </w:p>
    <w:p w14:paraId="12BB397E"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medición y abono de la reposición de los servicios de la red de abastecimiento del Ayuntamiento de Siero se realizará conforme a las siguientes prescripciones: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773E1E" w:rsidRPr="00E62154" w14:paraId="173FBC0F" w14:textId="77777777" w:rsidTr="00276EC8">
        <w:tc>
          <w:tcPr>
            <w:tcW w:w="2905" w:type="dxa"/>
            <w:vAlign w:val="center"/>
          </w:tcPr>
          <w:p w14:paraId="339942C2"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Unidad de medida</w:t>
            </w:r>
          </w:p>
        </w:tc>
        <w:tc>
          <w:tcPr>
            <w:tcW w:w="5739" w:type="dxa"/>
            <w:vAlign w:val="center"/>
          </w:tcPr>
          <w:p w14:paraId="19A2D7DB"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Unidad (</w:t>
            </w:r>
            <w:proofErr w:type="spellStart"/>
            <w:r w:rsidRPr="00E62154">
              <w:rPr>
                <w:rFonts w:ascii="Arial" w:hAnsi="Arial" w:cs="Arial"/>
                <w:sz w:val="20"/>
              </w:rPr>
              <w:t>ud</w:t>
            </w:r>
            <w:proofErr w:type="spellEnd"/>
            <w:r w:rsidRPr="00E62154">
              <w:rPr>
                <w:rFonts w:ascii="Arial" w:hAnsi="Arial" w:cs="Arial"/>
                <w:sz w:val="20"/>
              </w:rPr>
              <w:t>)</w:t>
            </w:r>
          </w:p>
        </w:tc>
      </w:tr>
      <w:tr w:rsidR="00773E1E" w:rsidRPr="00E62154" w14:paraId="245A8F9D" w14:textId="77777777" w:rsidTr="00276EC8">
        <w:tc>
          <w:tcPr>
            <w:tcW w:w="2905" w:type="dxa"/>
            <w:vAlign w:val="center"/>
          </w:tcPr>
          <w:p w14:paraId="031E5A94"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Grado de precisión</w:t>
            </w:r>
          </w:p>
        </w:tc>
        <w:tc>
          <w:tcPr>
            <w:tcW w:w="5739" w:type="dxa"/>
            <w:vAlign w:val="center"/>
          </w:tcPr>
          <w:p w14:paraId="3E858C0C"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Unidades enteras</w:t>
            </w:r>
          </w:p>
        </w:tc>
      </w:tr>
      <w:tr w:rsidR="00773E1E" w:rsidRPr="00E62154" w14:paraId="027FAF54" w14:textId="77777777" w:rsidTr="00276EC8">
        <w:tc>
          <w:tcPr>
            <w:tcW w:w="2905" w:type="dxa"/>
            <w:vAlign w:val="center"/>
          </w:tcPr>
          <w:p w14:paraId="4144500E"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Forma de medición</w:t>
            </w:r>
          </w:p>
        </w:tc>
        <w:tc>
          <w:tcPr>
            <w:tcW w:w="5739" w:type="dxa"/>
            <w:vAlign w:val="center"/>
          </w:tcPr>
          <w:p w14:paraId="74BFF0A4" w14:textId="77777777" w:rsidR="00773E1E" w:rsidRPr="00E62154" w:rsidRDefault="00773E1E" w:rsidP="00276EC8">
            <w:pPr>
              <w:spacing w:before="120" w:after="40" w:line="276" w:lineRule="auto"/>
              <w:jc w:val="both"/>
              <w:rPr>
                <w:rFonts w:ascii="Arial" w:hAnsi="Arial" w:cs="Arial"/>
                <w:sz w:val="20"/>
              </w:rPr>
            </w:pPr>
          </w:p>
        </w:tc>
      </w:tr>
      <w:tr w:rsidR="00773E1E" w:rsidRPr="00E62154" w14:paraId="49A3B203" w14:textId="77777777" w:rsidTr="00276EC8">
        <w:tc>
          <w:tcPr>
            <w:tcW w:w="2905" w:type="dxa"/>
            <w:tcBorders>
              <w:bottom w:val="single" w:sz="4" w:space="0" w:color="auto"/>
            </w:tcBorders>
            <w:vAlign w:val="center"/>
          </w:tcPr>
          <w:p w14:paraId="7775E4C8"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Abono</w:t>
            </w:r>
          </w:p>
        </w:tc>
        <w:tc>
          <w:tcPr>
            <w:tcW w:w="5739" w:type="dxa"/>
            <w:tcBorders>
              <w:bottom w:val="single" w:sz="4" w:space="0" w:color="auto"/>
            </w:tcBorders>
            <w:vAlign w:val="center"/>
          </w:tcPr>
          <w:p w14:paraId="00D6C080"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Se efectuará cuando se realice la aceptación.</w:t>
            </w:r>
          </w:p>
        </w:tc>
      </w:tr>
      <w:tr w:rsidR="00773E1E" w:rsidRPr="00E62154" w14:paraId="197B8D17" w14:textId="77777777" w:rsidTr="00276EC8">
        <w:tc>
          <w:tcPr>
            <w:tcW w:w="2905" w:type="dxa"/>
            <w:tcBorders>
              <w:bottom w:val="single" w:sz="4" w:space="0" w:color="auto"/>
            </w:tcBorders>
            <w:vAlign w:val="center"/>
          </w:tcPr>
          <w:p w14:paraId="27F0E9D2"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Criterios complementarios</w:t>
            </w:r>
          </w:p>
        </w:tc>
        <w:tc>
          <w:tcPr>
            <w:tcW w:w="5739" w:type="dxa"/>
            <w:tcBorders>
              <w:bottom w:val="single" w:sz="4" w:space="0" w:color="auto"/>
            </w:tcBorders>
            <w:vAlign w:val="center"/>
          </w:tcPr>
          <w:p w14:paraId="6046DC3A" w14:textId="77777777" w:rsidR="00773E1E" w:rsidRPr="00E62154" w:rsidRDefault="00773E1E" w:rsidP="00D424A3">
            <w:pPr>
              <w:spacing w:before="120" w:after="40" w:line="276" w:lineRule="auto"/>
              <w:jc w:val="both"/>
              <w:rPr>
                <w:rFonts w:ascii="Arial" w:hAnsi="Arial" w:cs="Arial"/>
                <w:sz w:val="20"/>
              </w:rPr>
            </w:pPr>
            <w:r w:rsidRPr="00E62154">
              <w:rPr>
                <w:rFonts w:ascii="Arial" w:hAnsi="Arial" w:cs="Arial"/>
                <w:sz w:val="20"/>
              </w:rPr>
              <w:t>Los precios incluyen todos los materiales, mano de obra, maquinaria y medios auxiliares necesarios para la correcta ejecución de la unidad.</w:t>
            </w:r>
          </w:p>
        </w:tc>
      </w:tr>
    </w:tbl>
    <w:p w14:paraId="33E07409" w14:textId="77777777" w:rsidR="00773E1E" w:rsidRPr="00E62154" w:rsidRDefault="00773E1E" w:rsidP="00773E1E">
      <w:pPr>
        <w:suppressAutoHyphens/>
        <w:spacing w:before="120" w:after="120" w:line="360" w:lineRule="auto"/>
        <w:jc w:val="both"/>
        <w:rPr>
          <w:rFonts w:ascii="Arial" w:hAnsi="Arial" w:cs="Arial"/>
          <w:lang w:val="es-ES_tradnl" w:eastAsia="en-US"/>
        </w:rPr>
      </w:pPr>
    </w:p>
    <w:p w14:paraId="44D05E74" w14:textId="77777777" w:rsidR="00773E1E" w:rsidRPr="00E62154" w:rsidRDefault="00773E1E" w:rsidP="00773E1E">
      <w:pPr>
        <w:keepNext/>
        <w:pageBreakBefore/>
        <w:widowControl w:val="0"/>
        <w:spacing w:before="360" w:after="240" w:line="360" w:lineRule="auto"/>
        <w:jc w:val="both"/>
        <w:outlineLvl w:val="0"/>
        <w:rPr>
          <w:rFonts w:ascii="Arial" w:hAnsi="Arial" w:cs="Arial"/>
          <w:b/>
          <w:noProof/>
          <w:kern w:val="28"/>
          <w:lang w:eastAsia="en-US"/>
        </w:rPr>
      </w:pPr>
      <w:bookmarkStart w:id="1436" w:name="_Toc533762616"/>
      <w:bookmarkStart w:id="1437" w:name="_Toc404709"/>
      <w:r>
        <w:rPr>
          <w:rFonts w:ascii="Arial" w:hAnsi="Arial" w:cs="Arial"/>
          <w:b/>
          <w:noProof/>
          <w:kern w:val="28"/>
          <w:lang w:eastAsia="en-US"/>
        </w:rPr>
        <w:lastRenderedPageBreak/>
        <w:t>Artículo 812.</w:t>
      </w:r>
      <w:r w:rsidRPr="00E62154">
        <w:rPr>
          <w:rFonts w:ascii="Arial" w:hAnsi="Arial" w:cs="Arial"/>
          <w:b/>
          <w:noProof/>
          <w:kern w:val="28"/>
          <w:lang w:eastAsia="en-US"/>
        </w:rPr>
        <w:t xml:space="preserve"> Reposición de servicios de la red de telecomunicaciones</w:t>
      </w:r>
      <w:bookmarkEnd w:id="1436"/>
      <w:bookmarkEnd w:id="1437"/>
      <w:r w:rsidRPr="00E62154">
        <w:rPr>
          <w:rFonts w:ascii="Arial" w:hAnsi="Arial" w:cs="Arial"/>
          <w:b/>
          <w:noProof/>
          <w:kern w:val="28"/>
          <w:lang w:eastAsia="en-US"/>
        </w:rPr>
        <w:t xml:space="preserve"> </w:t>
      </w:r>
    </w:p>
    <w:p w14:paraId="08C4522C" w14:textId="77777777" w:rsidR="00773E1E" w:rsidRPr="0037448F" w:rsidRDefault="00773E1E" w:rsidP="000313DD">
      <w:pPr>
        <w:pStyle w:val="TITU2"/>
      </w:pPr>
      <w:bookmarkStart w:id="1438" w:name="_Toc533762617"/>
      <w:bookmarkStart w:id="1439" w:name="_Toc404710"/>
      <w:r w:rsidRPr="0037448F">
        <w:t xml:space="preserve">812.1. </w:t>
      </w:r>
      <w:r w:rsidRPr="0037448F">
        <w:tab/>
        <w:t>Definición</w:t>
      </w:r>
      <w:bookmarkEnd w:id="1438"/>
      <w:bookmarkEnd w:id="1439"/>
    </w:p>
    <w:p w14:paraId="6E912724"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eastAsia="en-US"/>
        </w:rPr>
        <w:t>El presente artículo comprende las actuaciones de reposición de los servicios existentes de la red de telecomunicaciones de Telefónica, que se ven afectados por la ejecución de las obras.</w:t>
      </w:r>
    </w:p>
    <w:p w14:paraId="51978304" w14:textId="77777777" w:rsidR="00773E1E" w:rsidRPr="0037448F" w:rsidRDefault="00773E1E" w:rsidP="000313DD">
      <w:pPr>
        <w:pStyle w:val="TITU2"/>
      </w:pPr>
      <w:bookmarkStart w:id="1440" w:name="_Toc533762618"/>
      <w:bookmarkStart w:id="1441" w:name="_Toc404711"/>
      <w:r w:rsidRPr="0037448F">
        <w:t>812.2.</w:t>
      </w:r>
      <w:r>
        <w:t xml:space="preserve"> </w:t>
      </w:r>
      <w:r w:rsidRPr="0037448F">
        <w:tab/>
        <w:t>Aplicación</w:t>
      </w:r>
      <w:bookmarkEnd w:id="1440"/>
      <w:bookmarkEnd w:id="1441"/>
      <w:r w:rsidRPr="0037448F">
        <w:t xml:space="preserve"> </w:t>
      </w:r>
    </w:p>
    <w:p w14:paraId="3C8A22DF"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El presente artículo </w:t>
      </w:r>
      <w:proofErr w:type="gramStart"/>
      <w:r w:rsidRPr="00E62154">
        <w:rPr>
          <w:rFonts w:ascii="Arial" w:hAnsi="Arial" w:cs="Arial"/>
          <w:lang w:eastAsia="en-US"/>
        </w:rPr>
        <w:t>es de aplicación</w:t>
      </w:r>
      <w:proofErr w:type="gramEnd"/>
      <w:r w:rsidRPr="00E62154">
        <w:rPr>
          <w:rFonts w:ascii="Arial" w:hAnsi="Arial" w:cs="Arial"/>
          <w:lang w:eastAsia="en-US"/>
        </w:rPr>
        <w:t xml:space="preserve"> a la siguiente unidad de obra: </w:t>
      </w:r>
    </w:p>
    <w:tbl>
      <w:tblPr>
        <w:tblW w:w="5000" w:type="pct"/>
        <w:tblCellMar>
          <w:left w:w="70" w:type="dxa"/>
          <w:right w:w="70" w:type="dxa"/>
        </w:tblCellMar>
        <w:tblLook w:val="04A0" w:firstRow="1" w:lastRow="0" w:firstColumn="1" w:lastColumn="0" w:noHBand="0" w:noVBand="1"/>
      </w:tblPr>
      <w:tblGrid>
        <w:gridCol w:w="1207"/>
        <w:gridCol w:w="725"/>
        <w:gridCol w:w="7988"/>
      </w:tblGrid>
      <w:tr w:rsidR="00773E1E" w:rsidRPr="00E62154" w14:paraId="0C1ED3F6" w14:textId="77777777" w:rsidTr="00276EC8">
        <w:trPr>
          <w:trHeight w:val="300"/>
        </w:trPr>
        <w:tc>
          <w:tcPr>
            <w:tcW w:w="608" w:type="pct"/>
            <w:noWrap/>
          </w:tcPr>
          <w:p w14:paraId="1A688680" w14:textId="77777777" w:rsidR="00773E1E" w:rsidRPr="00F476CB" w:rsidRDefault="00773E1E" w:rsidP="00276EC8">
            <w:pPr>
              <w:rPr>
                <w:rFonts w:ascii="Calibri" w:hAnsi="Calibri"/>
              </w:rPr>
            </w:pPr>
            <w:r w:rsidRPr="00F476CB">
              <w:rPr>
                <w:rFonts w:ascii="Calibri" w:hAnsi="Calibri"/>
              </w:rPr>
              <w:t xml:space="preserve">900.0008N          </w:t>
            </w:r>
          </w:p>
        </w:tc>
        <w:tc>
          <w:tcPr>
            <w:tcW w:w="366" w:type="pct"/>
            <w:noWrap/>
          </w:tcPr>
          <w:p w14:paraId="36FCACE6" w14:textId="77777777" w:rsidR="00773E1E" w:rsidRPr="00F476CB" w:rsidRDefault="00773E1E" w:rsidP="00276EC8">
            <w:pPr>
              <w:rPr>
                <w:rFonts w:ascii="Calibri" w:hAnsi="Calibri"/>
              </w:rPr>
            </w:pPr>
            <w:proofErr w:type="spellStart"/>
            <w:r w:rsidRPr="00F476CB">
              <w:rPr>
                <w:rFonts w:ascii="Calibri" w:hAnsi="Calibri"/>
              </w:rPr>
              <w:t>ud</w:t>
            </w:r>
            <w:proofErr w:type="spellEnd"/>
          </w:p>
        </w:tc>
        <w:tc>
          <w:tcPr>
            <w:tcW w:w="4025" w:type="pct"/>
          </w:tcPr>
          <w:p w14:paraId="1681C993" w14:textId="77777777" w:rsidR="00773E1E" w:rsidRPr="00F476CB" w:rsidRDefault="00DF005D" w:rsidP="00D424A3">
            <w:pPr>
              <w:spacing w:after="240"/>
              <w:jc w:val="both"/>
              <w:rPr>
                <w:rFonts w:ascii="Calibri" w:hAnsi="Calibri"/>
              </w:rPr>
            </w:pPr>
            <w:r w:rsidRPr="00F476CB">
              <w:rPr>
                <w:rFonts w:ascii="Calibri" w:hAnsi="Calibri"/>
                <w:color w:val="000000"/>
              </w:rPr>
              <w:t>REPOSICIÓN DEL SERVICIO AFECTADO SE - 1205 - TELECOMUNICACIONES (SI-2) QUE COMPRENDE EL DESMONTAJE DE LAS LÍNEAS DE TELECOMUNICACIONES AFECTADAS, LA DEMOLICIÓN DE LOS PRISMAS AFECTADOS, CORTE DE SERVICIOS EN CÁMARA DE REGISTRO ASI COMO SU REPOSICIÓN QUE INCLUYE LA EJECUCIÓN DE UN NUEVO PRISMA DE TELECOMUNICACIONES Y DOS CÁMARAS DE REGISTRO TIPO GLR, TENDIDO DE CABLES Y CONEXIÓN, Y TODOS LOS ELEMENTOS NECESARIOS PARA EL RESTABLECIMIENTO DEL SERVICIO, SEGÚN LO REFLEJADO EN EL DOCUMENTO Nº2.- PLANOS Y EN EL ANEJO Nº24.- REPOSICIÓN DE SERVICIOS.</w:t>
            </w:r>
          </w:p>
        </w:tc>
      </w:tr>
    </w:tbl>
    <w:p w14:paraId="15B649C1" w14:textId="77777777" w:rsidR="00773E1E" w:rsidRPr="0037448F" w:rsidRDefault="00773E1E" w:rsidP="000313DD">
      <w:pPr>
        <w:pStyle w:val="TITU2"/>
      </w:pPr>
      <w:bookmarkStart w:id="1442" w:name="_Toc533762619"/>
      <w:bookmarkStart w:id="1443" w:name="_Toc404712"/>
      <w:r w:rsidRPr="0037448F">
        <w:t>812.3.</w:t>
      </w:r>
      <w:r>
        <w:t xml:space="preserve"> </w:t>
      </w:r>
      <w:r w:rsidRPr="0037448F">
        <w:t>Descripción de los trabajos</w:t>
      </w:r>
      <w:bookmarkEnd w:id="1442"/>
      <w:bookmarkEnd w:id="1443"/>
      <w:r w:rsidRPr="0037448F">
        <w:t xml:space="preserve"> </w:t>
      </w:r>
    </w:p>
    <w:p w14:paraId="0D382C3C"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Las operaciones incluidas en este artículo son las siguientes:</w:t>
      </w:r>
    </w:p>
    <w:p w14:paraId="3F05B956" w14:textId="77777777" w:rsidR="00773E1E" w:rsidRPr="00E62154" w:rsidRDefault="00773E1E" w:rsidP="00661A5F">
      <w:pPr>
        <w:numPr>
          <w:ilvl w:val="0"/>
          <w:numId w:val="191"/>
        </w:numPr>
        <w:suppressAutoHyphens/>
        <w:spacing w:before="120" w:after="120" w:line="360" w:lineRule="auto"/>
        <w:jc w:val="both"/>
        <w:rPr>
          <w:rFonts w:ascii="Arial" w:hAnsi="Arial" w:cs="Arial"/>
          <w:lang w:eastAsia="en-US"/>
        </w:rPr>
      </w:pPr>
      <w:r w:rsidRPr="00E62154">
        <w:rPr>
          <w:rFonts w:ascii="Arial" w:hAnsi="Arial" w:cs="Arial"/>
          <w:lang w:eastAsia="en-US"/>
        </w:rPr>
        <w:t>Desmontaje de líneas de telecomunicaciones existentes.</w:t>
      </w:r>
    </w:p>
    <w:p w14:paraId="59A3F347" w14:textId="77777777" w:rsidR="00773E1E" w:rsidRPr="00E62154" w:rsidRDefault="00773E1E" w:rsidP="00661A5F">
      <w:pPr>
        <w:numPr>
          <w:ilvl w:val="0"/>
          <w:numId w:val="191"/>
        </w:numPr>
        <w:suppressAutoHyphens/>
        <w:spacing w:before="120" w:after="120" w:line="360" w:lineRule="auto"/>
        <w:jc w:val="both"/>
        <w:rPr>
          <w:rFonts w:ascii="Arial" w:hAnsi="Arial" w:cs="Arial"/>
          <w:lang w:eastAsia="en-US"/>
        </w:rPr>
      </w:pPr>
      <w:r w:rsidRPr="00E62154">
        <w:rPr>
          <w:rFonts w:ascii="Arial" w:hAnsi="Arial" w:cs="Arial"/>
          <w:lang w:eastAsia="en-US"/>
        </w:rPr>
        <w:t>Excavación (según Artículo 321.- Excavaciones en zanjas y pozos) para retirada de canalizaciones existentes que vayan a quedar en desuso y relleno de excavación (según lo reflejado en el Artículo 332.- Rellenos localizados).</w:t>
      </w:r>
    </w:p>
    <w:p w14:paraId="01B8DF3C" w14:textId="77777777" w:rsidR="00773E1E" w:rsidRPr="00E62154" w:rsidRDefault="00773E1E" w:rsidP="00661A5F">
      <w:pPr>
        <w:numPr>
          <w:ilvl w:val="0"/>
          <w:numId w:val="191"/>
        </w:numPr>
        <w:suppressAutoHyphens/>
        <w:spacing w:before="120" w:after="120" w:line="360" w:lineRule="auto"/>
        <w:jc w:val="both"/>
        <w:rPr>
          <w:rFonts w:ascii="Arial" w:hAnsi="Arial" w:cs="Arial"/>
          <w:lang w:eastAsia="en-US"/>
        </w:rPr>
      </w:pPr>
      <w:r w:rsidRPr="00E62154">
        <w:rPr>
          <w:rFonts w:ascii="Arial" w:hAnsi="Arial" w:cs="Arial"/>
          <w:lang w:eastAsia="en-US"/>
        </w:rPr>
        <w:t>Excavación (según Artículo 321.- Excavaciones en zanjas y pozos) para disposición de la nueva canalización y de las nuevas cámaras de registro.</w:t>
      </w:r>
    </w:p>
    <w:p w14:paraId="2C58BE9D" w14:textId="77777777" w:rsidR="00773E1E" w:rsidRPr="00E62154" w:rsidRDefault="00773E1E" w:rsidP="00661A5F">
      <w:pPr>
        <w:numPr>
          <w:ilvl w:val="0"/>
          <w:numId w:val="191"/>
        </w:numPr>
        <w:suppressAutoHyphens/>
        <w:spacing w:before="120" w:after="120" w:line="360" w:lineRule="auto"/>
        <w:jc w:val="both"/>
        <w:rPr>
          <w:rFonts w:ascii="Arial" w:hAnsi="Arial" w:cs="Arial"/>
          <w:lang w:eastAsia="en-US"/>
        </w:rPr>
      </w:pPr>
      <w:r w:rsidRPr="00E62154">
        <w:rPr>
          <w:rFonts w:ascii="Arial" w:hAnsi="Arial" w:cs="Arial"/>
          <w:lang w:eastAsia="en-US"/>
        </w:rPr>
        <w:t>Ejecución del nuevo prisma de telecomunicaciones, incluyendo el suministro y montaje de los conductos de PVC, piezas especiales (tapones de obturación, soportes distanciadores, etc.) y refuerzo de hormigón exterior para formación del prisma.</w:t>
      </w:r>
    </w:p>
    <w:p w14:paraId="63956141" w14:textId="77777777" w:rsidR="00773E1E" w:rsidRPr="00E62154" w:rsidRDefault="00773E1E" w:rsidP="00661A5F">
      <w:pPr>
        <w:numPr>
          <w:ilvl w:val="0"/>
          <w:numId w:val="191"/>
        </w:numPr>
        <w:suppressAutoHyphens/>
        <w:spacing w:before="120" w:after="120" w:line="360" w:lineRule="auto"/>
        <w:jc w:val="both"/>
        <w:rPr>
          <w:rFonts w:ascii="Arial" w:hAnsi="Arial" w:cs="Arial"/>
          <w:lang w:eastAsia="en-US"/>
        </w:rPr>
      </w:pPr>
      <w:r w:rsidRPr="00E62154">
        <w:rPr>
          <w:rFonts w:ascii="Arial" w:hAnsi="Arial" w:cs="Arial"/>
          <w:lang w:eastAsia="en-US"/>
        </w:rPr>
        <w:t>Ejecución de nuevas cámaras de registro.</w:t>
      </w:r>
    </w:p>
    <w:p w14:paraId="74C0F1BF" w14:textId="77777777" w:rsidR="00773E1E" w:rsidRPr="00E62154" w:rsidRDefault="00773E1E" w:rsidP="00661A5F">
      <w:pPr>
        <w:numPr>
          <w:ilvl w:val="0"/>
          <w:numId w:val="191"/>
        </w:numPr>
        <w:suppressAutoHyphens/>
        <w:spacing w:before="120" w:after="120" w:line="360" w:lineRule="auto"/>
        <w:jc w:val="both"/>
        <w:rPr>
          <w:rFonts w:ascii="Arial" w:hAnsi="Arial" w:cs="Arial"/>
          <w:lang w:eastAsia="en-US"/>
        </w:rPr>
      </w:pPr>
      <w:r w:rsidRPr="00E62154">
        <w:rPr>
          <w:rFonts w:ascii="Arial" w:hAnsi="Arial" w:cs="Arial"/>
          <w:lang w:eastAsia="en-US"/>
        </w:rPr>
        <w:t>Tendido de cables en el interior de la canalización.</w:t>
      </w:r>
    </w:p>
    <w:p w14:paraId="2907253F" w14:textId="77777777" w:rsidR="00773E1E" w:rsidRPr="00E62154" w:rsidRDefault="00773E1E" w:rsidP="00661A5F">
      <w:pPr>
        <w:numPr>
          <w:ilvl w:val="0"/>
          <w:numId w:val="191"/>
        </w:numPr>
        <w:suppressAutoHyphens/>
        <w:spacing w:before="120" w:after="120" w:line="360" w:lineRule="auto"/>
        <w:jc w:val="both"/>
        <w:rPr>
          <w:rFonts w:ascii="Arial" w:hAnsi="Arial" w:cs="Arial"/>
          <w:lang w:eastAsia="en-US"/>
        </w:rPr>
      </w:pPr>
      <w:r w:rsidRPr="00E62154">
        <w:rPr>
          <w:rFonts w:ascii="Arial" w:hAnsi="Arial" w:cs="Arial"/>
          <w:lang w:eastAsia="en-US"/>
        </w:rPr>
        <w:t>Retirada de los residuos generados a un lugar de acopio habilitado en obra hasta su posterior traslado al punto de gestión de residuos.</w:t>
      </w:r>
    </w:p>
    <w:p w14:paraId="122CBB47" w14:textId="77777777" w:rsidR="00773E1E" w:rsidRPr="0037448F" w:rsidRDefault="00773E1E" w:rsidP="000313DD">
      <w:pPr>
        <w:pStyle w:val="TITU2"/>
      </w:pPr>
      <w:bookmarkStart w:id="1444" w:name="_Toc533762620"/>
      <w:bookmarkStart w:id="1445" w:name="_Toc404713"/>
      <w:r w:rsidRPr="0037448F">
        <w:t xml:space="preserve">812.4. </w:t>
      </w:r>
      <w:r w:rsidRPr="0037448F">
        <w:tab/>
        <w:t>Materiales</w:t>
      </w:r>
      <w:bookmarkEnd w:id="1444"/>
      <w:bookmarkEnd w:id="1445"/>
    </w:p>
    <w:p w14:paraId="59196104" w14:textId="77777777" w:rsidR="00773E1E" w:rsidRPr="00DF005D" w:rsidRDefault="00773E1E" w:rsidP="00773E1E">
      <w:pPr>
        <w:suppressAutoHyphens/>
        <w:spacing w:before="120" w:after="120" w:line="360" w:lineRule="auto"/>
        <w:jc w:val="both"/>
        <w:rPr>
          <w:rFonts w:ascii="Arial" w:hAnsi="Arial" w:cs="Arial"/>
          <w:i/>
          <w:u w:val="single"/>
          <w:lang w:eastAsia="en-US"/>
        </w:rPr>
      </w:pPr>
      <w:r w:rsidRPr="00DF005D">
        <w:rPr>
          <w:rFonts w:ascii="Arial" w:hAnsi="Arial" w:cs="Arial"/>
          <w:i/>
          <w:u w:val="single"/>
          <w:lang w:eastAsia="en-US"/>
        </w:rPr>
        <w:t>Tubos PVC</w:t>
      </w:r>
    </w:p>
    <w:p w14:paraId="3DABC892"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tubos serán de PVC rígido de 110 mm de diámetro exterior, para canalizaciones de telefonía enterradas.</w:t>
      </w:r>
    </w:p>
    <w:p w14:paraId="023A5505"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Los tubos de 1,2 mm de espesor están normalizados en la especificación de C.T.N.E. </w:t>
      </w:r>
      <w:proofErr w:type="spellStart"/>
      <w:r w:rsidRPr="00E62154">
        <w:rPr>
          <w:rFonts w:ascii="Arial" w:hAnsi="Arial" w:cs="Arial"/>
          <w:lang w:val="es-ES_tradnl" w:eastAsia="en-US"/>
        </w:rPr>
        <w:t>nº</w:t>
      </w:r>
      <w:proofErr w:type="spellEnd"/>
      <w:r w:rsidRPr="00E62154">
        <w:rPr>
          <w:rFonts w:ascii="Arial" w:hAnsi="Arial" w:cs="Arial"/>
          <w:lang w:val="es-ES_tradnl" w:eastAsia="en-US"/>
        </w:rPr>
        <w:t xml:space="preserve"> 634.008 "Tubos de PVC rígidos de 1,2 mm de espesor para canalizaciones telefónicas" y deben cumplir los siguientes requisitos. El tubo se obtendrá por extrusión de un compuesto a base de policloruro de vinilo (PVC) sin plastificantes y con pigmentos lubricantes o estabilizantes, cuyas características principales son:</w:t>
      </w:r>
    </w:p>
    <w:p w14:paraId="12DC5B57" w14:textId="77777777" w:rsidR="00773E1E" w:rsidRPr="004C220B" w:rsidRDefault="00773E1E" w:rsidP="00661A5F">
      <w:pPr>
        <w:pStyle w:val="Prrafodelista"/>
        <w:numPr>
          <w:ilvl w:val="0"/>
          <w:numId w:val="210"/>
        </w:numPr>
        <w:suppressAutoHyphens/>
        <w:spacing w:before="120" w:after="120" w:line="360" w:lineRule="auto"/>
        <w:jc w:val="both"/>
        <w:rPr>
          <w:rFonts w:ascii="Arial" w:hAnsi="Arial" w:cs="Arial"/>
          <w:sz w:val="24"/>
          <w:szCs w:val="24"/>
          <w:lang w:val="es-ES_tradnl"/>
        </w:rPr>
      </w:pPr>
      <w:r w:rsidRPr="004C220B">
        <w:rPr>
          <w:rFonts w:ascii="Arial" w:hAnsi="Arial" w:cs="Arial"/>
          <w:sz w:val="24"/>
          <w:szCs w:val="24"/>
          <w:lang w:val="es-ES_tradnl"/>
        </w:rPr>
        <w:t>Color: negro</w:t>
      </w:r>
    </w:p>
    <w:p w14:paraId="2AA8C6C4" w14:textId="77777777" w:rsidR="00773E1E" w:rsidRPr="004C220B" w:rsidRDefault="00773E1E" w:rsidP="00661A5F">
      <w:pPr>
        <w:pStyle w:val="Prrafodelista"/>
        <w:numPr>
          <w:ilvl w:val="0"/>
          <w:numId w:val="210"/>
        </w:numPr>
        <w:suppressAutoHyphens/>
        <w:spacing w:before="120" w:after="120" w:line="360" w:lineRule="auto"/>
        <w:jc w:val="both"/>
        <w:rPr>
          <w:rFonts w:ascii="Arial" w:hAnsi="Arial" w:cs="Arial"/>
          <w:sz w:val="24"/>
          <w:szCs w:val="24"/>
          <w:lang w:val="es-ES_tradnl"/>
        </w:rPr>
      </w:pPr>
      <w:r w:rsidRPr="004C220B">
        <w:rPr>
          <w:rFonts w:ascii="Arial" w:hAnsi="Arial" w:cs="Arial"/>
          <w:sz w:val="24"/>
          <w:szCs w:val="24"/>
          <w:lang w:val="es-ES_tradnl"/>
        </w:rPr>
        <w:t>Densidad: 1,4</w:t>
      </w:r>
    </w:p>
    <w:p w14:paraId="27DE137D" w14:textId="77777777" w:rsidR="00773E1E" w:rsidRPr="004C220B" w:rsidRDefault="00773E1E" w:rsidP="00661A5F">
      <w:pPr>
        <w:pStyle w:val="Prrafodelista"/>
        <w:numPr>
          <w:ilvl w:val="0"/>
          <w:numId w:val="210"/>
        </w:numPr>
        <w:suppressAutoHyphens/>
        <w:spacing w:before="120" w:after="120" w:line="360" w:lineRule="auto"/>
        <w:jc w:val="both"/>
        <w:rPr>
          <w:rFonts w:ascii="Arial" w:hAnsi="Arial" w:cs="Arial"/>
          <w:sz w:val="24"/>
          <w:szCs w:val="24"/>
          <w:lang w:val="es-ES_tradnl"/>
        </w:rPr>
      </w:pPr>
      <w:r w:rsidRPr="004C220B">
        <w:rPr>
          <w:rFonts w:ascii="Arial" w:hAnsi="Arial" w:cs="Arial"/>
          <w:sz w:val="24"/>
          <w:szCs w:val="24"/>
          <w:lang w:val="es-ES_tradnl"/>
        </w:rPr>
        <w:t>Resistencia a la tracción: 500 Kg/cm</w:t>
      </w:r>
      <w:r w:rsidRPr="00241CBC">
        <w:rPr>
          <w:rFonts w:ascii="Arial" w:hAnsi="Arial" w:cs="Arial"/>
          <w:sz w:val="24"/>
          <w:szCs w:val="24"/>
          <w:vertAlign w:val="superscript"/>
          <w:lang w:val="es-ES_tradnl"/>
        </w:rPr>
        <w:t>2</w:t>
      </w:r>
      <w:r w:rsidRPr="004C220B">
        <w:rPr>
          <w:rFonts w:ascii="Arial" w:hAnsi="Arial" w:cs="Arial"/>
          <w:sz w:val="24"/>
          <w:szCs w:val="24"/>
          <w:lang w:val="es-ES_tradnl"/>
        </w:rPr>
        <w:t xml:space="preserve"> </w:t>
      </w:r>
    </w:p>
    <w:p w14:paraId="0D9E646D" w14:textId="77777777" w:rsidR="00773E1E" w:rsidRPr="004C220B" w:rsidRDefault="00773E1E" w:rsidP="00661A5F">
      <w:pPr>
        <w:pStyle w:val="Prrafodelista"/>
        <w:numPr>
          <w:ilvl w:val="0"/>
          <w:numId w:val="210"/>
        </w:numPr>
        <w:suppressAutoHyphens/>
        <w:spacing w:before="120" w:after="120" w:line="360" w:lineRule="auto"/>
        <w:jc w:val="both"/>
        <w:rPr>
          <w:rFonts w:ascii="Arial" w:hAnsi="Arial" w:cs="Arial"/>
          <w:sz w:val="24"/>
          <w:szCs w:val="24"/>
          <w:lang w:val="es-ES_tradnl"/>
        </w:rPr>
      </w:pPr>
      <w:r w:rsidRPr="004C220B">
        <w:rPr>
          <w:rFonts w:ascii="Arial" w:hAnsi="Arial" w:cs="Arial"/>
          <w:sz w:val="24"/>
          <w:szCs w:val="24"/>
          <w:lang w:val="es-ES_tradnl"/>
        </w:rPr>
        <w:t>VICAT (1 Kg): 80</w:t>
      </w:r>
      <w:r w:rsidRPr="004C220B">
        <w:rPr>
          <w:rFonts w:ascii="Symbol" w:hAnsi="Symbol" w:cs="Arial"/>
          <w:sz w:val="24"/>
          <w:szCs w:val="24"/>
          <w:lang w:val="es-ES_tradnl"/>
        </w:rPr>
        <w:t></w:t>
      </w:r>
      <w:r w:rsidRPr="004C220B">
        <w:rPr>
          <w:rFonts w:ascii="Arial" w:hAnsi="Arial" w:cs="Arial"/>
          <w:sz w:val="24"/>
          <w:szCs w:val="24"/>
          <w:lang w:val="es-ES_tradnl"/>
        </w:rPr>
        <w:t xml:space="preserve">C </w:t>
      </w:r>
    </w:p>
    <w:p w14:paraId="107F5E0D" w14:textId="77777777" w:rsidR="00773E1E" w:rsidRPr="004C220B" w:rsidRDefault="00773E1E" w:rsidP="00661A5F">
      <w:pPr>
        <w:pStyle w:val="Prrafodelista"/>
        <w:numPr>
          <w:ilvl w:val="0"/>
          <w:numId w:val="210"/>
        </w:numPr>
        <w:suppressAutoHyphens/>
        <w:spacing w:before="120" w:after="120" w:line="360" w:lineRule="auto"/>
        <w:jc w:val="both"/>
        <w:rPr>
          <w:rFonts w:ascii="Arial" w:hAnsi="Arial" w:cs="Arial"/>
          <w:sz w:val="24"/>
          <w:szCs w:val="24"/>
          <w:lang w:val="es-ES_tradnl"/>
        </w:rPr>
      </w:pPr>
      <w:r w:rsidRPr="004C220B">
        <w:rPr>
          <w:rFonts w:ascii="Arial" w:hAnsi="Arial" w:cs="Arial"/>
          <w:sz w:val="24"/>
          <w:szCs w:val="24"/>
          <w:lang w:val="es-ES_tradnl"/>
        </w:rPr>
        <w:t>Coeficiente de dilatación lineal: 70 x 10 6 (</w:t>
      </w:r>
      <w:r w:rsidRPr="004C220B">
        <w:rPr>
          <w:rFonts w:ascii="Symbol" w:hAnsi="Symbol" w:cs="Arial"/>
          <w:sz w:val="24"/>
          <w:szCs w:val="24"/>
          <w:lang w:val="es-ES_tradnl"/>
        </w:rPr>
        <w:t></w:t>
      </w:r>
      <w:r w:rsidRPr="004C220B">
        <w:rPr>
          <w:rFonts w:ascii="Arial" w:hAnsi="Arial" w:cs="Arial"/>
          <w:sz w:val="24"/>
          <w:szCs w:val="24"/>
          <w:lang w:val="es-ES_tradnl"/>
        </w:rPr>
        <w:t>C).</w:t>
      </w:r>
    </w:p>
    <w:p w14:paraId="0147D1E6"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El material suministrado en obra tendrá, al menos, el siguiente marcado: nombre del fabricante, indicación del material, tipo de tubo y año de fabricación.</w:t>
      </w:r>
    </w:p>
    <w:p w14:paraId="3B4C085F" w14:textId="77777777" w:rsidR="00773E1E" w:rsidRPr="00DF005D" w:rsidRDefault="00773E1E" w:rsidP="00773E1E">
      <w:pPr>
        <w:suppressAutoHyphens/>
        <w:spacing w:before="120" w:after="120" w:line="360" w:lineRule="auto"/>
        <w:jc w:val="both"/>
        <w:rPr>
          <w:rFonts w:ascii="Arial" w:hAnsi="Arial" w:cs="Arial"/>
          <w:i/>
          <w:u w:val="single"/>
          <w:lang w:eastAsia="en-US"/>
        </w:rPr>
      </w:pPr>
      <w:r w:rsidRPr="00DF005D">
        <w:rPr>
          <w:rFonts w:ascii="Arial" w:hAnsi="Arial" w:cs="Arial"/>
          <w:i/>
          <w:u w:val="single"/>
          <w:lang w:eastAsia="en-US"/>
        </w:rPr>
        <w:t>Soportes distanciadores</w:t>
      </w:r>
    </w:p>
    <w:p w14:paraId="6EE9F79B"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Son de material plástico adecuado, suficientemente rígido y resistente al choque.</w:t>
      </w:r>
    </w:p>
    <w:p w14:paraId="20CCEB79"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Estos elementos se describen en el Pliego de Condiciones </w:t>
      </w:r>
      <w:proofErr w:type="spellStart"/>
      <w:r w:rsidRPr="00E62154">
        <w:rPr>
          <w:rFonts w:ascii="Arial" w:hAnsi="Arial" w:cs="Arial"/>
          <w:lang w:val="es-ES_tradnl" w:eastAsia="en-US"/>
        </w:rPr>
        <w:t>nº</w:t>
      </w:r>
      <w:proofErr w:type="spellEnd"/>
      <w:r w:rsidRPr="00E62154">
        <w:rPr>
          <w:rFonts w:ascii="Arial" w:hAnsi="Arial" w:cs="Arial"/>
          <w:lang w:val="es-ES_tradnl" w:eastAsia="en-US"/>
        </w:rPr>
        <w:t xml:space="preserve"> 734.003 "Soportes distanciadores para canalizaciones con tubos de PVC", de la C.T.N.E.</w:t>
      </w:r>
    </w:p>
    <w:p w14:paraId="707245AA" w14:textId="77777777" w:rsidR="00773E1E" w:rsidRPr="00DF005D" w:rsidRDefault="00773E1E" w:rsidP="00773E1E">
      <w:pPr>
        <w:suppressAutoHyphens/>
        <w:spacing w:before="120" w:after="120" w:line="360" w:lineRule="auto"/>
        <w:jc w:val="both"/>
        <w:rPr>
          <w:rFonts w:ascii="Arial" w:hAnsi="Arial" w:cs="Arial"/>
          <w:i/>
          <w:u w:val="single"/>
          <w:lang w:eastAsia="en-US"/>
        </w:rPr>
      </w:pPr>
      <w:r w:rsidRPr="00DF005D">
        <w:rPr>
          <w:rFonts w:ascii="Arial" w:hAnsi="Arial" w:cs="Arial"/>
          <w:i/>
          <w:u w:val="single"/>
          <w:lang w:eastAsia="en-US"/>
        </w:rPr>
        <w:t>Codos</w:t>
      </w:r>
    </w:p>
    <w:p w14:paraId="6AE77A40"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Serán de PVC rígido y sección circular de 110 mm de diámetro exterior y 3,2 mm de espesor, proporcionando una curvatura de 45</w:t>
      </w:r>
      <w:r w:rsidRPr="00E62154">
        <w:rPr>
          <w:rFonts w:ascii="Symbol" w:hAnsi="Symbol" w:cs="Arial"/>
          <w:lang w:val="es-ES_tradnl" w:eastAsia="en-US"/>
        </w:rPr>
        <w:t></w:t>
      </w:r>
      <w:r w:rsidRPr="00E62154">
        <w:rPr>
          <w:rFonts w:ascii="Arial" w:hAnsi="Arial" w:cs="Arial"/>
          <w:lang w:val="es-ES_tradnl" w:eastAsia="en-US"/>
        </w:rPr>
        <w:t xml:space="preserve"> y 2.500 mm de radio. </w:t>
      </w:r>
    </w:p>
    <w:p w14:paraId="4D49CDE1"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Estos elementos se describen en el Pliego de Condiciones </w:t>
      </w:r>
      <w:proofErr w:type="spellStart"/>
      <w:r w:rsidRPr="00E62154">
        <w:rPr>
          <w:rFonts w:ascii="Arial" w:hAnsi="Arial" w:cs="Arial"/>
          <w:lang w:val="es-ES_tradnl" w:eastAsia="en-US"/>
        </w:rPr>
        <w:t>nº</w:t>
      </w:r>
      <w:proofErr w:type="spellEnd"/>
      <w:r w:rsidRPr="00E62154">
        <w:rPr>
          <w:rFonts w:ascii="Arial" w:hAnsi="Arial" w:cs="Arial"/>
          <w:lang w:val="es-ES_tradnl" w:eastAsia="en-US"/>
        </w:rPr>
        <w:t xml:space="preserve"> 745.006 "Codos de PVC para canalizaciones telefónicas con tubos de PVC", de la C.T.N.E.</w:t>
      </w:r>
    </w:p>
    <w:p w14:paraId="236C087B" w14:textId="77777777" w:rsidR="00773E1E" w:rsidRPr="00E62154" w:rsidRDefault="00773E1E" w:rsidP="00773E1E">
      <w:pPr>
        <w:suppressAutoHyphens/>
        <w:spacing w:before="120" w:after="120" w:line="360" w:lineRule="auto"/>
        <w:jc w:val="both"/>
        <w:rPr>
          <w:rFonts w:ascii="Arial" w:hAnsi="Arial" w:cs="Arial"/>
          <w:i/>
          <w:u w:val="single"/>
          <w:lang w:eastAsia="en-US"/>
        </w:rPr>
      </w:pPr>
    </w:p>
    <w:p w14:paraId="028E2510" w14:textId="77777777" w:rsidR="00773E1E" w:rsidRPr="00E62154" w:rsidRDefault="00773E1E" w:rsidP="00773E1E">
      <w:pPr>
        <w:suppressAutoHyphens/>
        <w:spacing w:before="120" w:after="120" w:line="360" w:lineRule="auto"/>
        <w:jc w:val="both"/>
        <w:rPr>
          <w:rFonts w:ascii="Arial" w:hAnsi="Arial" w:cs="Arial"/>
          <w:i/>
          <w:u w:val="single"/>
          <w:lang w:eastAsia="en-US"/>
        </w:rPr>
      </w:pPr>
    </w:p>
    <w:p w14:paraId="22308A24" w14:textId="77777777" w:rsidR="00773E1E" w:rsidRPr="00DF005D" w:rsidRDefault="00773E1E" w:rsidP="00773E1E">
      <w:pPr>
        <w:suppressAutoHyphens/>
        <w:spacing w:before="120" w:after="120" w:line="360" w:lineRule="auto"/>
        <w:jc w:val="both"/>
        <w:rPr>
          <w:rFonts w:ascii="Arial" w:hAnsi="Arial" w:cs="Arial"/>
          <w:i/>
          <w:u w:val="single"/>
          <w:lang w:eastAsia="en-US"/>
        </w:rPr>
      </w:pPr>
      <w:r w:rsidRPr="00DF005D">
        <w:rPr>
          <w:rFonts w:ascii="Arial" w:hAnsi="Arial" w:cs="Arial"/>
          <w:i/>
          <w:u w:val="single"/>
          <w:lang w:eastAsia="en-US"/>
        </w:rPr>
        <w:t>Tapones de obturación</w:t>
      </w:r>
    </w:p>
    <w:p w14:paraId="3B304AD1"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Estos elementos se describen en el Pliego de Condiciones </w:t>
      </w:r>
      <w:proofErr w:type="spellStart"/>
      <w:r w:rsidRPr="00E62154">
        <w:rPr>
          <w:rFonts w:ascii="Arial" w:hAnsi="Arial" w:cs="Arial"/>
          <w:lang w:val="es-ES_tradnl" w:eastAsia="en-US"/>
        </w:rPr>
        <w:t>nº</w:t>
      </w:r>
      <w:proofErr w:type="spellEnd"/>
      <w:r w:rsidRPr="00E62154">
        <w:rPr>
          <w:rFonts w:ascii="Arial" w:hAnsi="Arial" w:cs="Arial"/>
          <w:lang w:val="es-ES_tradnl" w:eastAsia="en-US"/>
        </w:rPr>
        <w:t xml:space="preserve"> 734.000 "Tapones de obturación para canalizaciones con tubos de PVC" de la C.T.N.E. Son de polietileno flexible y forma troncocónica.</w:t>
      </w:r>
    </w:p>
    <w:p w14:paraId="46B30632" w14:textId="77777777" w:rsidR="00773E1E" w:rsidRPr="00DF005D" w:rsidRDefault="00DF005D" w:rsidP="00773E1E">
      <w:pPr>
        <w:suppressAutoHyphens/>
        <w:spacing w:before="120" w:after="120" w:line="360" w:lineRule="auto"/>
        <w:jc w:val="both"/>
        <w:rPr>
          <w:rFonts w:ascii="Arial" w:hAnsi="Arial" w:cs="Arial"/>
          <w:i/>
          <w:u w:val="single"/>
          <w:lang w:eastAsia="en-US"/>
        </w:rPr>
      </w:pPr>
      <w:r>
        <w:rPr>
          <w:rFonts w:ascii="Arial" w:hAnsi="Arial" w:cs="Arial"/>
          <w:i/>
          <w:u w:val="single"/>
          <w:lang w:eastAsia="en-US"/>
        </w:rPr>
        <w:t>Limpiador y adhesivo</w:t>
      </w:r>
    </w:p>
    <w:p w14:paraId="5D0196EF"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El limpiador es un absolvente de PVC recomendable a base de cloruro de metileno. El adhesivo es una dilución de resina de PVC en un solvente orgánico volátil.</w:t>
      </w:r>
    </w:p>
    <w:p w14:paraId="210848CF"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Estos elementos se encuentran normalizados en la Especificación </w:t>
      </w:r>
      <w:proofErr w:type="spellStart"/>
      <w:r w:rsidRPr="00E62154">
        <w:rPr>
          <w:rFonts w:ascii="Arial" w:hAnsi="Arial" w:cs="Arial"/>
          <w:lang w:val="es-ES_tradnl" w:eastAsia="en-US"/>
        </w:rPr>
        <w:t>nº</w:t>
      </w:r>
      <w:proofErr w:type="spellEnd"/>
      <w:r w:rsidRPr="00E62154">
        <w:rPr>
          <w:rFonts w:ascii="Arial" w:hAnsi="Arial" w:cs="Arial"/>
          <w:lang w:val="es-ES_tradnl" w:eastAsia="en-US"/>
        </w:rPr>
        <w:t xml:space="preserve"> 634.013 "Adhesivo y disolvente para encolar uniones de tubos de PVC" de la C.T.N.E.</w:t>
      </w:r>
    </w:p>
    <w:p w14:paraId="55DDFBF3" w14:textId="77777777" w:rsidR="00773E1E" w:rsidRPr="00DF005D" w:rsidRDefault="00773E1E" w:rsidP="00773E1E">
      <w:pPr>
        <w:suppressAutoHyphens/>
        <w:spacing w:before="120" w:after="120" w:line="360" w:lineRule="auto"/>
        <w:jc w:val="both"/>
        <w:rPr>
          <w:rFonts w:ascii="Arial" w:hAnsi="Arial" w:cs="Arial"/>
          <w:i/>
          <w:u w:val="single"/>
          <w:lang w:eastAsia="en-US"/>
        </w:rPr>
      </w:pPr>
      <w:r w:rsidRPr="00DF005D">
        <w:rPr>
          <w:rFonts w:ascii="Arial" w:hAnsi="Arial" w:cs="Arial"/>
          <w:i/>
          <w:u w:val="single"/>
          <w:lang w:eastAsia="en-US"/>
        </w:rPr>
        <w:t>Relleno de la zanja</w:t>
      </w:r>
    </w:p>
    <w:p w14:paraId="40176F72"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El material empleado en el relleno de la zanja tendrá las características establecidas en el Artículo 332.- Rellenos localizados.</w:t>
      </w:r>
    </w:p>
    <w:p w14:paraId="5E1B3DE8" w14:textId="77777777" w:rsidR="00773E1E" w:rsidRPr="0037448F" w:rsidRDefault="00773E1E" w:rsidP="000313DD">
      <w:pPr>
        <w:pStyle w:val="TITU2"/>
      </w:pPr>
      <w:bookmarkStart w:id="1446" w:name="_Toc533762621"/>
      <w:bookmarkStart w:id="1447" w:name="_Toc404714"/>
      <w:r w:rsidRPr="0037448F">
        <w:t xml:space="preserve">812.5. </w:t>
      </w:r>
      <w:r w:rsidRPr="0037448F">
        <w:tab/>
        <w:t>Ejecución</w:t>
      </w:r>
      <w:r>
        <w:t xml:space="preserve"> de las obras</w:t>
      </w:r>
      <w:bookmarkEnd w:id="1446"/>
      <w:bookmarkEnd w:id="1447"/>
    </w:p>
    <w:p w14:paraId="5622D0C9" w14:textId="77777777" w:rsidR="00773E1E" w:rsidRPr="00E62154" w:rsidRDefault="00773E1E" w:rsidP="00773E1E">
      <w:pPr>
        <w:suppressAutoHyphens/>
        <w:spacing w:before="120" w:after="120" w:line="360" w:lineRule="auto"/>
        <w:jc w:val="both"/>
        <w:rPr>
          <w:rFonts w:ascii="Arial" w:hAnsi="Arial" w:cs="Arial"/>
          <w:i/>
          <w:u w:val="single"/>
          <w:lang w:eastAsia="en-US"/>
        </w:rPr>
      </w:pPr>
      <w:r w:rsidRPr="00E62154">
        <w:rPr>
          <w:rFonts w:ascii="Arial" w:hAnsi="Arial" w:cs="Arial"/>
          <w:i/>
          <w:u w:val="single"/>
          <w:lang w:eastAsia="en-US"/>
        </w:rPr>
        <w:t>Ejecución de zanjas</w:t>
      </w:r>
    </w:p>
    <w:p w14:paraId="10B09141"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En primer </w:t>
      </w:r>
      <w:proofErr w:type="gramStart"/>
      <w:r w:rsidRPr="00E62154">
        <w:rPr>
          <w:rFonts w:ascii="Arial" w:hAnsi="Arial" w:cs="Arial"/>
          <w:lang w:val="es-ES_tradnl" w:eastAsia="en-US"/>
        </w:rPr>
        <w:t>lugar</w:t>
      </w:r>
      <w:proofErr w:type="gramEnd"/>
      <w:r w:rsidRPr="00E62154">
        <w:rPr>
          <w:rFonts w:ascii="Arial" w:hAnsi="Arial" w:cs="Arial"/>
          <w:lang w:val="es-ES_tradnl" w:eastAsia="en-US"/>
        </w:rPr>
        <w:t xml:space="preserve"> se efectuará el replanteo sobre el terreno de la canalización y situación de las cámaras de acuerdo con los planos señalándolo debidamente para evitar excavaciones innecesarias.</w:t>
      </w:r>
    </w:p>
    <w:p w14:paraId="60C1231C"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Las zanjas se excavarán con una ligera pendiente hacia las cámaras de registro que delimitan el tramo a ejecutar con objeto de dar salida a las aguas.</w:t>
      </w:r>
    </w:p>
    <w:p w14:paraId="6C6CC15C"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Una vez ejecutada la zanja y colocadas las distintas capas de tubos que forman la canalización con su protección de hormigón correspondiente, se procede al relleno de </w:t>
      </w:r>
      <w:proofErr w:type="gramStart"/>
      <w:r w:rsidRPr="00E62154">
        <w:rPr>
          <w:rFonts w:ascii="Arial" w:hAnsi="Arial" w:cs="Arial"/>
          <w:lang w:val="es-ES_tradnl" w:eastAsia="en-US"/>
        </w:rPr>
        <w:t>la misma</w:t>
      </w:r>
      <w:proofErr w:type="gramEnd"/>
      <w:r w:rsidRPr="00E62154">
        <w:rPr>
          <w:rFonts w:ascii="Arial" w:hAnsi="Arial" w:cs="Arial"/>
          <w:lang w:val="es-ES_tradnl" w:eastAsia="en-US"/>
        </w:rPr>
        <w:t>, regando y compactando de modo que el grado de consolidación sea equivalente al del terreno circundante.</w:t>
      </w:r>
    </w:p>
    <w:p w14:paraId="2342DE9C"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Las tierras que posteriormente se vayan a aprovechar para el relleno de zanjas se dejarán si es posible en la propia obra.</w:t>
      </w:r>
    </w:p>
    <w:p w14:paraId="5762C7A2"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separación entre las canalizaciones de comunicaciones y las tuberías o conductos de otros servicios que discurren paralelos deberán ser como mínimo la siguiente:</w:t>
      </w:r>
    </w:p>
    <w:p w14:paraId="03917E34"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Con instalaciones de energía eléctrica. Se observará una separación de 25 cm con líneas de A.T. y de 20 cm con líneas de B.T. Se considerará como límite entre baja y alta tensión 500 V.</w:t>
      </w:r>
    </w:p>
    <w:p w14:paraId="7FA33707"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Con otras instalaciones (agua, alcantarillado...). Se mantendrá una separación de 30 cm.</w:t>
      </w:r>
    </w:p>
    <w:p w14:paraId="3382F2D7"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En caso de cruce con otros servicios deberán mantenerse las distancias indicadas para paralelismo, procurándose que las canalizaciones de comunicaciones pasen por encima de las de agua y por debajo de las de gas, siempre que para lograrlo no sea preciso dar a la zanja demasiada profundidad.</w:t>
      </w:r>
    </w:p>
    <w:p w14:paraId="41AB0024" w14:textId="77777777" w:rsidR="00773E1E" w:rsidRPr="00E62154" w:rsidRDefault="00773E1E" w:rsidP="00773E1E">
      <w:pPr>
        <w:suppressAutoHyphens/>
        <w:spacing w:before="120" w:after="120" w:line="360" w:lineRule="auto"/>
        <w:jc w:val="both"/>
        <w:rPr>
          <w:rFonts w:ascii="Arial" w:hAnsi="Arial" w:cs="Arial"/>
          <w:i/>
          <w:u w:val="single"/>
          <w:lang w:eastAsia="en-US"/>
        </w:rPr>
      </w:pPr>
      <w:r w:rsidRPr="00E62154">
        <w:rPr>
          <w:rFonts w:ascii="Arial" w:hAnsi="Arial" w:cs="Arial"/>
          <w:i/>
          <w:u w:val="single"/>
          <w:lang w:eastAsia="en-US"/>
        </w:rPr>
        <w:t>Colocación de tubos</w:t>
      </w:r>
    </w:p>
    <w:p w14:paraId="58313D58"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Efectuada la apertura de la zanja y limpia ésta de materiales extraños, se procede a formar una solera de hormigón de ocho centímetros (8 cm) de espesor para las canalizaciones de Telefónica, sobre la cual se coloca la primera capa de tubos y sobre ellas los soportes distanciadores a intervalos de setenta centímetros (70 cm). A continuación, se rellenan los espacios libres hasta cubrir los tubos con los tres centímetros de espesor que tienen los soportes, sobre éstos se coloca la siguiente capa de tubos introduciéndolos en los citados soportes. </w:t>
      </w:r>
      <w:proofErr w:type="gramStart"/>
      <w:r w:rsidRPr="00E62154">
        <w:rPr>
          <w:rFonts w:ascii="Arial" w:hAnsi="Arial" w:cs="Arial"/>
          <w:lang w:val="es-ES_tradnl" w:eastAsia="en-US"/>
        </w:rPr>
        <w:t>Finalmente</w:t>
      </w:r>
      <w:proofErr w:type="gramEnd"/>
      <w:r w:rsidRPr="00E62154">
        <w:rPr>
          <w:rFonts w:ascii="Arial" w:hAnsi="Arial" w:cs="Arial"/>
          <w:lang w:val="es-ES_tradnl" w:eastAsia="en-US"/>
        </w:rPr>
        <w:t xml:space="preserve"> y una vez colocadas las distintas capas de tubos que forman el prisma de la canalización se continúa hormigonando hasta formar una protección superior del conjunto de ocho centímetros (8 cm) de espesor para las canalizaciones de Telefónica. Por último, y antes de proceder al relleno de la zanja, se hará la prueba de todos los conductos que se han instalado. Esta prueba consiste en pasar por cada uno de los tubos un mandril al objeto de comprobar la inexistencia de materiales extraños o deformaciones del tubo que obstaculizarían la posterior instalación del cable.</w:t>
      </w:r>
    </w:p>
    <w:p w14:paraId="740B31C2"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En las proximidades a las cámaras de registro es preciso profundizar la zanja de la canalización para que la entrada de los conductos en la cámara se realice de acuerdo con las cotas indicadas en los planos. La longitud para iniciar esta profundización de la canalización es de 8 metros contados desde la pared de la cámara en los tipos "R" y de 12 metros en el tipo "P", la entrada de los conductos se efectúa siempre en las primeras adosados a una de las paredes y en las segundas por los dos extremos de las paredes transversales.</w:t>
      </w:r>
    </w:p>
    <w:p w14:paraId="6C80C2AE"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En las canalizaciones telefónicas de servicios afectados se admitirá para los tubos de PVC un radio de curvatura en frío mínimo de 30 m y se procurará efectuar los empalmes de tubos lo más alejados posible del centro de la curva a fin de realizarlos con los tubos en </w:t>
      </w:r>
      <w:r w:rsidRPr="00E62154">
        <w:rPr>
          <w:rFonts w:ascii="Arial" w:hAnsi="Arial" w:cs="Arial"/>
          <w:lang w:val="es-ES_tradnl" w:eastAsia="en-US"/>
        </w:rPr>
        <w:lastRenderedPageBreak/>
        <w:t>posición recta, sin la presencia de tensiones en la zona de unión. Para curvas de radio inferior se emplearán codos de desviación de radio 2,5 m.</w:t>
      </w:r>
    </w:p>
    <w:p w14:paraId="22B979EF"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Para canalizaciones de comunicaciones de nueva ejecución se empleará tubo de Polietileno de 110mm de diámetro.</w:t>
      </w:r>
    </w:p>
    <w:p w14:paraId="40878EE1"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El hormigón empleado para las canalizaciones será de una resistencia RK = 150 Kg/cm</w:t>
      </w:r>
      <w:r w:rsidRPr="007F17AA">
        <w:rPr>
          <w:rFonts w:ascii="Arial" w:hAnsi="Arial" w:cs="Arial"/>
          <w:vertAlign w:val="superscript"/>
          <w:lang w:val="es-ES_tradnl" w:eastAsia="en-US"/>
        </w:rPr>
        <w:t>2</w:t>
      </w:r>
      <w:r w:rsidRPr="00E62154">
        <w:rPr>
          <w:rFonts w:ascii="Arial" w:hAnsi="Arial" w:cs="Arial"/>
          <w:lang w:val="es-ES_tradnl" w:eastAsia="en-US"/>
        </w:rPr>
        <w:t>.</w:t>
      </w:r>
    </w:p>
    <w:p w14:paraId="2B812B66"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Las canalizaciones laterales harán su entrada en las cámaras por las paredes transversales y lo más próximo posible al techo de la cámara; de no ser posible esto y tuviese que salir por una de las paredes principales se instalarán unos trozos de tubo de 110 mm de diámetro y 3,2 mm de espesor en el lugar indicado para esta canalización al construir la pared principal.</w:t>
      </w:r>
    </w:p>
    <w:p w14:paraId="156AC3D8"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entrada de las canalizaciones en los edificios deberá realizarse en un punto próximo al previsto para la instalación del armario de distribución de la red interior.</w:t>
      </w:r>
    </w:p>
    <w:p w14:paraId="3BE7FC80"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unión de los tubos entre sí se realizará por encolado e introducción del extremo recto de uno en el extremo en forma de copa del otro.</w:t>
      </w:r>
    </w:p>
    <w:p w14:paraId="4DCE9BD5" w14:textId="77777777" w:rsidR="00773E1E" w:rsidRPr="00E62154" w:rsidRDefault="00773E1E" w:rsidP="00773E1E">
      <w:pPr>
        <w:suppressAutoHyphens/>
        <w:spacing w:before="120" w:after="120" w:line="360" w:lineRule="auto"/>
        <w:jc w:val="both"/>
        <w:rPr>
          <w:rFonts w:ascii="Arial" w:hAnsi="Arial" w:cs="Arial"/>
          <w:i/>
          <w:u w:val="single"/>
          <w:lang w:eastAsia="en-US"/>
        </w:rPr>
      </w:pPr>
      <w:r w:rsidRPr="00E62154">
        <w:rPr>
          <w:rFonts w:ascii="Arial" w:hAnsi="Arial" w:cs="Arial"/>
          <w:i/>
          <w:u w:val="single"/>
          <w:lang w:eastAsia="en-US"/>
        </w:rPr>
        <w:t>Instalación de cables en canalización</w:t>
      </w:r>
    </w:p>
    <w:p w14:paraId="0A3D1259"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El tendido de los cables se hará con sumo cuidado, con medios adecuados al tipo de cable, evitando la formación de cocas y torceduras, así como los roces perjudiciales y las tracciones exageradas.</w:t>
      </w:r>
    </w:p>
    <w:p w14:paraId="63F59D3F"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No se curvarán los cables con radios inferiores a los recomendados por el fabricante y que, en ningún caso, serán inferiores a 10 veces su diámetro, ni se enrollarán con diámetros más pequeños que el de la capa inferior asentada sobre bobina de fábrica.</w:t>
      </w:r>
    </w:p>
    <w:p w14:paraId="609E6D93"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No se colocarán cables durante las heladas, ni estando éstos demasiado fríos, debiendo, por lo menos, permanecer doce horas en almacén a 20 grados centígrados antes de su colocación, sin dejarlos a la intemperie más que el tiempo preciso para su instalación.</w:t>
      </w:r>
    </w:p>
    <w:p w14:paraId="38DE8BA0"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aislamientos de la instalación deberán ser los reglamentados en función de la tensión del sistema.</w:t>
      </w:r>
    </w:p>
    <w:p w14:paraId="4C9F5031"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cables para cada uno de los distintos sistemas de alimentación estarán convenientemente identificados y separados en el trazado, de manera que sean fácilmente localizables.</w:t>
      </w:r>
    </w:p>
    <w:p w14:paraId="16D44431"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Los cables estarán canalizados en bandejas, en canales en el suelo, o en tubos, según los sistemas previstos en la instalación, y </w:t>
      </w:r>
      <w:proofErr w:type="gramStart"/>
      <w:r w:rsidRPr="00E62154">
        <w:rPr>
          <w:rFonts w:ascii="Arial" w:hAnsi="Arial" w:cs="Arial"/>
          <w:lang w:val="es-ES_tradnl" w:eastAsia="en-US"/>
        </w:rPr>
        <w:t>de acuerdo a</w:t>
      </w:r>
      <w:proofErr w:type="gramEnd"/>
      <w:r w:rsidRPr="00E62154">
        <w:rPr>
          <w:rFonts w:ascii="Arial" w:hAnsi="Arial" w:cs="Arial"/>
          <w:lang w:val="es-ES_tradnl" w:eastAsia="en-US"/>
        </w:rPr>
        <w:t xml:space="preserve"> lo indicado en los planos de planta y esquemas.</w:t>
      </w:r>
    </w:p>
    <w:p w14:paraId="6848BDDA"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Las secciones y tipos serán los indicados en los planos. Cualquier cambio de sección o tipo de conductores deberá ser aprobado por </w:t>
      </w:r>
      <w:proofErr w:type="gramStart"/>
      <w:r w:rsidRPr="00E62154">
        <w:rPr>
          <w:rFonts w:ascii="Arial" w:hAnsi="Arial" w:cs="Arial"/>
          <w:lang w:val="es-ES_tradnl" w:eastAsia="en-US"/>
        </w:rPr>
        <w:t>el  Director</w:t>
      </w:r>
      <w:proofErr w:type="gramEnd"/>
      <w:r w:rsidRPr="00E62154">
        <w:rPr>
          <w:rFonts w:ascii="Arial" w:hAnsi="Arial" w:cs="Arial"/>
          <w:lang w:val="es-ES_tradnl" w:eastAsia="en-US"/>
        </w:rPr>
        <w:t xml:space="preserve"> de Obra.</w:t>
      </w:r>
    </w:p>
    <w:p w14:paraId="49A83AEC"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Se utilizarán los colores de cubiertas normalizados. Los cables correspondientes a cada circuito se identificarán convenientemente en el inicio del circuito al que corresponde y durante su recorrido, cuando las longitudes sean largas o cuando por los cambios de trazado, sea difícil su identificación. Para ello, se utilizarán cinta aislante, etiquetas y otros elementos de identificación adecuados.</w:t>
      </w:r>
    </w:p>
    <w:p w14:paraId="55E94AB2"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cables se instalarán en los conductos utilizando guías adecuadas y no sometiendo los cables a rozaduras que puedan perjudicar el aislamiento y cubierta de los mismos.</w:t>
      </w:r>
    </w:p>
    <w:p w14:paraId="71E37C22" w14:textId="77777777" w:rsidR="00773E1E" w:rsidRPr="00E62154" w:rsidRDefault="00773E1E" w:rsidP="00773E1E">
      <w:pPr>
        <w:suppressAutoHyphens/>
        <w:spacing w:before="120" w:after="120" w:line="360" w:lineRule="auto"/>
        <w:jc w:val="both"/>
        <w:rPr>
          <w:rFonts w:ascii="Arial" w:hAnsi="Arial" w:cs="Arial"/>
          <w:i/>
          <w:u w:val="single"/>
          <w:lang w:eastAsia="en-US"/>
        </w:rPr>
      </w:pPr>
      <w:r w:rsidRPr="00E62154">
        <w:rPr>
          <w:rFonts w:ascii="Arial" w:hAnsi="Arial" w:cs="Arial"/>
          <w:i/>
          <w:u w:val="single"/>
          <w:lang w:eastAsia="en-US"/>
        </w:rPr>
        <w:t>Empalmes</w:t>
      </w:r>
    </w:p>
    <w:p w14:paraId="3F1E0CA7"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 xml:space="preserve">Los empalmes y conexiones entre conductores de cobre se realizarán en el interior de cajas apropiadas. En ningún caso se permitirá la unión de conductores, como empalmes o derivaciones, por simple retorcimiento o arrollamiento entre sí de los conductores, sino que deberá realizarse siempre utilizando bornes de conexión montados individualmente o constituyendo bloques o regletas de conexión. Los conductores de sección superior a </w:t>
      </w:r>
      <w:smartTag w:uri="urn:schemas-microsoft-com:office:smarttags" w:element="metricconverter">
        <w:smartTagPr>
          <w:attr w:name="ProductID" w:val="6 mil￭metros"/>
        </w:smartTagPr>
        <w:r w:rsidRPr="00E62154">
          <w:rPr>
            <w:rFonts w:ascii="Arial" w:hAnsi="Arial" w:cs="Arial"/>
            <w:lang w:val="es-ES_tradnl" w:eastAsia="en-US"/>
          </w:rPr>
          <w:t>6 milímetros</w:t>
        </w:r>
      </w:smartTag>
      <w:r w:rsidRPr="00E62154">
        <w:rPr>
          <w:rFonts w:ascii="Arial" w:hAnsi="Arial" w:cs="Arial"/>
          <w:lang w:val="es-ES_tradnl" w:eastAsia="en-US"/>
        </w:rPr>
        <w:t xml:space="preserve"> </w:t>
      </w:r>
      <w:proofErr w:type="gramStart"/>
      <w:r w:rsidRPr="00E62154">
        <w:rPr>
          <w:rFonts w:ascii="Arial" w:hAnsi="Arial" w:cs="Arial"/>
          <w:lang w:val="es-ES_tradnl" w:eastAsia="en-US"/>
        </w:rPr>
        <w:t>cuadrados,</w:t>
      </w:r>
      <w:proofErr w:type="gramEnd"/>
      <w:r w:rsidRPr="00E62154">
        <w:rPr>
          <w:rFonts w:ascii="Arial" w:hAnsi="Arial" w:cs="Arial"/>
          <w:lang w:val="es-ES_tradnl" w:eastAsia="en-US"/>
        </w:rPr>
        <w:t xml:space="preserve"> deberán conectarse por medio de terminales adecuados, cuidando siempre que las conexiones, de cualquier sistema que sean, no queden sometidas a esfuerzos mecánicos.</w:t>
      </w:r>
    </w:p>
    <w:p w14:paraId="7ED83682"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empalmes de cables de fibra óptica utilizarán los útiles especiales establecidos al efecto, previa autorización y comprobación de sus características por la Dirección de obra.</w:t>
      </w:r>
    </w:p>
    <w:p w14:paraId="47B0233F"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empalmes de fibra óptica se realizarán por fusión con alineamiento automático por el Sistema de Alineamiento de Perfil (PAS). No permitiéndose perdidas por empalme superiores a los 0,05 dB.</w:t>
      </w:r>
    </w:p>
    <w:p w14:paraId="4B44F1D7" w14:textId="77777777" w:rsidR="00773E1E" w:rsidRPr="00E62154" w:rsidRDefault="00773E1E" w:rsidP="00773E1E">
      <w:pPr>
        <w:suppressAutoHyphens/>
        <w:spacing w:before="120" w:after="120" w:line="360" w:lineRule="auto"/>
        <w:jc w:val="both"/>
        <w:rPr>
          <w:rFonts w:ascii="Arial" w:hAnsi="Arial" w:cs="Arial"/>
          <w:i/>
          <w:u w:val="single"/>
          <w:lang w:eastAsia="en-US"/>
        </w:rPr>
      </w:pPr>
      <w:r w:rsidRPr="00E62154">
        <w:rPr>
          <w:rFonts w:ascii="Arial" w:hAnsi="Arial" w:cs="Arial"/>
          <w:i/>
          <w:u w:val="single"/>
          <w:lang w:eastAsia="en-US"/>
        </w:rPr>
        <w:t>Desmontaje de las redes sustituidas</w:t>
      </w:r>
    </w:p>
    <w:p w14:paraId="2EFEA9A9"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Una vez realizada la instalación de la nueva red, se procederá al desmontaje de la anterior, según las normas de la compañía suministradora.</w:t>
      </w:r>
    </w:p>
    <w:p w14:paraId="7ABF8917"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Se desmontarán los cables en canalizaciones enterradas y en postes, las cajas terminales y cámaras de registro, los postes y demás elementos de la red.</w:t>
      </w:r>
    </w:p>
    <w:p w14:paraId="20FB2940"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lastRenderedPageBreak/>
        <w:t>En términos generales, la ejecución de las obras de reposición se realizará atendiendo a las condiciones que establezca Telefónica.</w:t>
      </w:r>
    </w:p>
    <w:p w14:paraId="5E6A3352" w14:textId="77777777" w:rsidR="00773E1E" w:rsidRPr="0037448F" w:rsidRDefault="00773E1E" w:rsidP="000313DD">
      <w:pPr>
        <w:pStyle w:val="TITU2"/>
      </w:pPr>
      <w:bookmarkStart w:id="1448" w:name="_Toc424293857"/>
      <w:bookmarkStart w:id="1449" w:name="_Toc533762622"/>
      <w:bookmarkStart w:id="1450" w:name="_Toc404715"/>
      <w:r w:rsidRPr="0037448F">
        <w:t xml:space="preserve">812.6. </w:t>
      </w:r>
      <w:r w:rsidRPr="0037448F">
        <w:tab/>
        <w:t>Recepción</w:t>
      </w:r>
      <w:bookmarkEnd w:id="1448"/>
      <w:bookmarkEnd w:id="1449"/>
      <w:bookmarkEnd w:id="1450"/>
    </w:p>
    <w:p w14:paraId="2B3FBE09"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El fabricante especificará y garantizará los valores de todas las características físicas, y mecánicas que se especifican en las propiedades de los materiales y de la unidad completamente terminada.</w:t>
      </w:r>
    </w:p>
    <w:p w14:paraId="476A32AA" w14:textId="77777777" w:rsidR="00773E1E" w:rsidRPr="00E62154" w:rsidRDefault="00773E1E" w:rsidP="00773E1E">
      <w:pPr>
        <w:rPr>
          <w:rFonts w:cs="Arial"/>
        </w:rPr>
      </w:pPr>
    </w:p>
    <w:tbl>
      <w:tblP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882"/>
        <w:gridCol w:w="2835"/>
      </w:tblGrid>
      <w:tr w:rsidR="00773E1E" w:rsidRPr="0037448F" w14:paraId="7E4F47B5" w14:textId="77777777" w:rsidTr="00276EC8">
        <w:tc>
          <w:tcPr>
            <w:tcW w:w="5882" w:type="dxa"/>
            <w:shd w:val="clear" w:color="auto" w:fill="D9D9D9" w:themeFill="background1" w:themeFillShade="D9"/>
            <w:vAlign w:val="center"/>
          </w:tcPr>
          <w:p w14:paraId="502683F7" w14:textId="77777777" w:rsidR="00773E1E" w:rsidRPr="0037448F" w:rsidRDefault="00773E1E" w:rsidP="00276EC8">
            <w:pPr>
              <w:spacing w:before="60" w:after="60" w:line="288" w:lineRule="auto"/>
              <w:jc w:val="center"/>
              <w:rPr>
                <w:rFonts w:ascii="Arial" w:hAnsi="Arial" w:cs="Arial"/>
                <w:b/>
                <w:sz w:val="20"/>
                <w:szCs w:val="20"/>
              </w:rPr>
            </w:pPr>
            <w:r w:rsidRPr="0037448F">
              <w:rPr>
                <w:rFonts w:ascii="Arial" w:hAnsi="Arial" w:cs="Arial"/>
                <w:b/>
                <w:sz w:val="20"/>
                <w:szCs w:val="20"/>
              </w:rPr>
              <w:t>Parámetros de aceptación final</w:t>
            </w:r>
          </w:p>
        </w:tc>
        <w:tc>
          <w:tcPr>
            <w:tcW w:w="2835" w:type="dxa"/>
            <w:shd w:val="clear" w:color="auto" w:fill="D9D9D9" w:themeFill="background1" w:themeFillShade="D9"/>
            <w:vAlign w:val="center"/>
          </w:tcPr>
          <w:p w14:paraId="70A17D42" w14:textId="77777777" w:rsidR="00773E1E" w:rsidRPr="0037448F" w:rsidRDefault="00773E1E" w:rsidP="00276EC8">
            <w:pPr>
              <w:spacing w:line="288" w:lineRule="auto"/>
              <w:jc w:val="center"/>
              <w:rPr>
                <w:rFonts w:ascii="Arial" w:hAnsi="Arial" w:cs="Arial"/>
                <w:b/>
                <w:sz w:val="20"/>
                <w:szCs w:val="20"/>
              </w:rPr>
            </w:pPr>
            <w:r w:rsidRPr="0037448F">
              <w:rPr>
                <w:rFonts w:ascii="Arial" w:hAnsi="Arial" w:cs="Arial"/>
                <w:b/>
                <w:sz w:val="20"/>
                <w:szCs w:val="20"/>
              </w:rPr>
              <w:t>Normas de Aplicación</w:t>
            </w:r>
          </w:p>
        </w:tc>
      </w:tr>
      <w:tr w:rsidR="00773E1E" w:rsidRPr="0037448F" w14:paraId="181D1B70" w14:textId="77777777" w:rsidTr="00276EC8">
        <w:tc>
          <w:tcPr>
            <w:tcW w:w="5882" w:type="dxa"/>
          </w:tcPr>
          <w:p w14:paraId="427ED8F9" w14:textId="77777777" w:rsidR="00773E1E" w:rsidRPr="0037448F" w:rsidRDefault="00773E1E" w:rsidP="00276EC8">
            <w:pPr>
              <w:spacing w:before="60" w:line="288" w:lineRule="auto"/>
              <w:rPr>
                <w:rFonts w:ascii="Arial" w:hAnsi="Arial" w:cs="Arial"/>
                <w:sz w:val="20"/>
                <w:szCs w:val="20"/>
              </w:rPr>
            </w:pPr>
            <w:r w:rsidRPr="0037448F">
              <w:rPr>
                <w:rFonts w:ascii="Arial" w:hAnsi="Arial" w:cs="Arial"/>
                <w:sz w:val="20"/>
                <w:szCs w:val="20"/>
              </w:rPr>
              <w:t>La tubería no se desviará de su correcta posición</w:t>
            </w:r>
          </w:p>
          <w:p w14:paraId="1756A9CB" w14:textId="77777777" w:rsidR="00773E1E" w:rsidRPr="0037448F" w:rsidRDefault="00773E1E" w:rsidP="00276EC8">
            <w:pPr>
              <w:spacing w:before="60" w:after="60" w:line="288" w:lineRule="auto"/>
              <w:rPr>
                <w:rFonts w:ascii="Arial" w:hAnsi="Arial" w:cs="Arial"/>
                <w:sz w:val="20"/>
                <w:szCs w:val="20"/>
              </w:rPr>
            </w:pPr>
            <w:r w:rsidRPr="0037448F">
              <w:rPr>
                <w:rFonts w:ascii="Arial" w:hAnsi="Arial" w:cs="Arial"/>
                <w:sz w:val="20"/>
                <w:szCs w:val="20"/>
              </w:rPr>
              <w:t>Certificado de calidad del tubo</w:t>
            </w:r>
          </w:p>
        </w:tc>
        <w:tc>
          <w:tcPr>
            <w:tcW w:w="2835" w:type="dxa"/>
          </w:tcPr>
          <w:p w14:paraId="72BC8259" w14:textId="77777777" w:rsidR="00773E1E" w:rsidRPr="0037448F" w:rsidRDefault="00773E1E" w:rsidP="00276EC8">
            <w:pPr>
              <w:spacing w:before="60" w:line="288" w:lineRule="auto"/>
              <w:rPr>
                <w:rFonts w:ascii="Arial" w:hAnsi="Arial" w:cs="Arial"/>
                <w:sz w:val="20"/>
                <w:szCs w:val="20"/>
              </w:rPr>
            </w:pPr>
            <w:r w:rsidRPr="0037448F">
              <w:rPr>
                <w:rFonts w:ascii="Arial" w:hAnsi="Arial" w:cs="Arial"/>
                <w:sz w:val="20"/>
                <w:szCs w:val="20"/>
              </w:rPr>
              <w:t xml:space="preserve">Inspección visual </w:t>
            </w:r>
          </w:p>
          <w:p w14:paraId="44E1739D" w14:textId="77777777" w:rsidR="00773E1E" w:rsidRPr="0037448F" w:rsidRDefault="00773E1E" w:rsidP="00276EC8">
            <w:pPr>
              <w:spacing w:before="60" w:line="288" w:lineRule="auto"/>
              <w:rPr>
                <w:rFonts w:ascii="Arial" w:hAnsi="Arial" w:cs="Arial"/>
                <w:sz w:val="20"/>
                <w:szCs w:val="20"/>
              </w:rPr>
            </w:pPr>
            <w:r w:rsidRPr="0037448F">
              <w:rPr>
                <w:rFonts w:ascii="Arial" w:hAnsi="Arial" w:cs="Arial"/>
                <w:sz w:val="20"/>
                <w:szCs w:val="20"/>
              </w:rPr>
              <w:t xml:space="preserve">Normas UNE </w:t>
            </w:r>
          </w:p>
        </w:tc>
      </w:tr>
    </w:tbl>
    <w:p w14:paraId="2FB26384" w14:textId="77777777" w:rsidR="00773E1E" w:rsidRPr="00E62154" w:rsidRDefault="00773E1E" w:rsidP="00773E1E">
      <w:pPr>
        <w:rPr>
          <w:rFonts w:ascii="Arial" w:hAnsi="Arial" w:cs="Arial"/>
        </w:rPr>
      </w:pPr>
    </w:p>
    <w:p w14:paraId="69A091E6" w14:textId="77777777" w:rsidR="00773E1E" w:rsidRPr="00E62154" w:rsidRDefault="00773E1E" w:rsidP="00773E1E">
      <w:pPr>
        <w:suppressAutoHyphens/>
        <w:spacing w:before="120" w:after="120" w:line="360" w:lineRule="auto"/>
        <w:jc w:val="both"/>
        <w:rPr>
          <w:rFonts w:ascii="Arial" w:hAnsi="Arial" w:cs="Arial"/>
          <w:i/>
          <w:u w:val="single"/>
          <w:lang w:eastAsia="en-US"/>
        </w:rPr>
      </w:pPr>
      <w:r w:rsidRPr="00E62154">
        <w:rPr>
          <w:rFonts w:ascii="Arial" w:hAnsi="Arial" w:cs="Arial"/>
          <w:i/>
          <w:u w:val="single"/>
          <w:lang w:eastAsia="en-US"/>
        </w:rPr>
        <w:t>Tratamiento de no conformidades</w:t>
      </w:r>
    </w:p>
    <w:p w14:paraId="500A0151" w14:textId="77777777" w:rsidR="00773E1E" w:rsidRPr="00E62154" w:rsidRDefault="00773E1E" w:rsidP="00773E1E">
      <w:pPr>
        <w:spacing w:after="120"/>
        <w:rPr>
          <w:rFonts w:ascii="Arial" w:hAnsi="Arial" w:cs="Arial"/>
        </w:rPr>
      </w:pPr>
      <w:r w:rsidRPr="00E62154">
        <w:rPr>
          <w:rFonts w:ascii="Arial" w:hAnsi="Arial" w:cs="Arial"/>
        </w:rPr>
        <w:t>En caso de no cumplir con lo especificado se realizarán las siguientes actuaciones: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3896"/>
      </w:tblGrid>
      <w:tr w:rsidR="00773E1E" w:rsidRPr="0037448F" w14:paraId="1EFD537C" w14:textId="77777777" w:rsidTr="00276EC8">
        <w:trPr>
          <w:tblHeader/>
        </w:trPr>
        <w:tc>
          <w:tcPr>
            <w:tcW w:w="4748" w:type="dxa"/>
            <w:shd w:val="clear" w:color="auto" w:fill="D9D9D9" w:themeFill="background1" w:themeFillShade="D9"/>
            <w:vAlign w:val="center"/>
          </w:tcPr>
          <w:p w14:paraId="2AE15552" w14:textId="77777777" w:rsidR="00773E1E" w:rsidRPr="0037448F" w:rsidRDefault="00773E1E" w:rsidP="00276EC8">
            <w:pPr>
              <w:spacing w:before="60" w:after="60" w:line="288" w:lineRule="auto"/>
              <w:jc w:val="center"/>
              <w:rPr>
                <w:rFonts w:ascii="Arial" w:hAnsi="Arial" w:cs="Arial"/>
                <w:b/>
                <w:sz w:val="20"/>
                <w:szCs w:val="20"/>
              </w:rPr>
            </w:pPr>
            <w:r w:rsidRPr="0037448F">
              <w:rPr>
                <w:rFonts w:ascii="Arial" w:hAnsi="Arial" w:cs="Arial"/>
                <w:b/>
                <w:sz w:val="20"/>
                <w:szCs w:val="20"/>
              </w:rPr>
              <w:t>No Conformidades</w:t>
            </w:r>
          </w:p>
        </w:tc>
        <w:tc>
          <w:tcPr>
            <w:tcW w:w="3896" w:type="dxa"/>
            <w:shd w:val="clear" w:color="auto" w:fill="D9D9D9" w:themeFill="background1" w:themeFillShade="D9"/>
            <w:vAlign w:val="center"/>
          </w:tcPr>
          <w:p w14:paraId="2192FCEA" w14:textId="77777777" w:rsidR="00773E1E" w:rsidRPr="0037448F" w:rsidRDefault="00773E1E" w:rsidP="00276EC8">
            <w:pPr>
              <w:spacing w:before="60" w:after="60" w:line="288" w:lineRule="auto"/>
              <w:jc w:val="center"/>
              <w:rPr>
                <w:rFonts w:ascii="Arial" w:hAnsi="Arial" w:cs="Arial"/>
                <w:b/>
                <w:sz w:val="20"/>
                <w:szCs w:val="20"/>
              </w:rPr>
            </w:pPr>
            <w:r w:rsidRPr="0037448F">
              <w:rPr>
                <w:rFonts w:ascii="Arial" w:hAnsi="Arial" w:cs="Arial"/>
                <w:b/>
                <w:sz w:val="20"/>
                <w:szCs w:val="20"/>
              </w:rPr>
              <w:t>Tratamiento</w:t>
            </w:r>
            <w:r>
              <w:rPr>
                <w:rFonts w:ascii="Arial" w:hAnsi="Arial" w:cs="Arial"/>
                <w:b/>
                <w:sz w:val="20"/>
                <w:szCs w:val="20"/>
              </w:rPr>
              <w:t xml:space="preserve"> de no conformidades</w:t>
            </w:r>
          </w:p>
        </w:tc>
      </w:tr>
      <w:tr w:rsidR="00773E1E" w:rsidRPr="0037448F" w14:paraId="038365F5" w14:textId="77777777" w:rsidTr="00276EC8">
        <w:tc>
          <w:tcPr>
            <w:tcW w:w="4748" w:type="dxa"/>
          </w:tcPr>
          <w:p w14:paraId="7778718B" w14:textId="77777777" w:rsidR="00773E1E" w:rsidRPr="0037448F" w:rsidRDefault="00773E1E" w:rsidP="00276EC8">
            <w:pPr>
              <w:spacing w:before="60" w:line="288" w:lineRule="auto"/>
              <w:rPr>
                <w:rFonts w:ascii="Arial" w:hAnsi="Arial" w:cs="Arial"/>
                <w:sz w:val="20"/>
                <w:szCs w:val="20"/>
              </w:rPr>
            </w:pPr>
            <w:r w:rsidRPr="0037448F">
              <w:rPr>
                <w:rFonts w:ascii="Arial" w:hAnsi="Arial" w:cs="Arial"/>
                <w:sz w:val="20"/>
                <w:szCs w:val="20"/>
              </w:rPr>
              <w:t>Los tubos no se desvían en + 1%</w:t>
            </w:r>
          </w:p>
          <w:p w14:paraId="62A8D5DC" w14:textId="77777777" w:rsidR="00773E1E" w:rsidRPr="0037448F" w:rsidRDefault="00773E1E" w:rsidP="00276EC8">
            <w:pPr>
              <w:spacing w:before="60" w:line="288" w:lineRule="auto"/>
              <w:rPr>
                <w:rFonts w:ascii="Arial" w:hAnsi="Arial" w:cs="Arial"/>
                <w:sz w:val="20"/>
                <w:szCs w:val="20"/>
              </w:rPr>
            </w:pPr>
            <w:r w:rsidRPr="0037448F">
              <w:rPr>
                <w:rFonts w:ascii="Arial" w:hAnsi="Arial" w:cs="Arial"/>
                <w:sz w:val="20"/>
                <w:szCs w:val="20"/>
              </w:rPr>
              <w:t>Los tubos se desvían en + 2%</w:t>
            </w:r>
          </w:p>
        </w:tc>
        <w:tc>
          <w:tcPr>
            <w:tcW w:w="3896" w:type="dxa"/>
          </w:tcPr>
          <w:p w14:paraId="02213636" w14:textId="77777777" w:rsidR="00773E1E" w:rsidRPr="0037448F" w:rsidRDefault="00773E1E" w:rsidP="00276EC8">
            <w:pPr>
              <w:spacing w:before="60" w:line="288" w:lineRule="auto"/>
              <w:rPr>
                <w:rFonts w:ascii="Arial" w:hAnsi="Arial" w:cs="Arial"/>
                <w:sz w:val="20"/>
                <w:szCs w:val="20"/>
              </w:rPr>
            </w:pPr>
            <w:r w:rsidRPr="0037448F">
              <w:rPr>
                <w:rFonts w:ascii="Arial" w:hAnsi="Arial" w:cs="Arial"/>
                <w:sz w:val="20"/>
                <w:szCs w:val="20"/>
              </w:rPr>
              <w:t>Se acepta</w:t>
            </w:r>
          </w:p>
          <w:p w14:paraId="4F296E90" w14:textId="77777777" w:rsidR="00773E1E" w:rsidRPr="0037448F" w:rsidRDefault="00773E1E" w:rsidP="00276EC8">
            <w:pPr>
              <w:spacing w:before="60" w:line="288" w:lineRule="auto"/>
              <w:rPr>
                <w:rFonts w:ascii="Arial" w:hAnsi="Arial" w:cs="Arial"/>
                <w:sz w:val="20"/>
                <w:szCs w:val="20"/>
              </w:rPr>
            </w:pPr>
            <w:r w:rsidRPr="0037448F">
              <w:rPr>
                <w:rFonts w:ascii="Arial" w:hAnsi="Arial" w:cs="Arial"/>
                <w:sz w:val="20"/>
                <w:szCs w:val="20"/>
              </w:rPr>
              <w:t>No se acepta, se corregirá y los costes serán por cuenta del Contratista</w:t>
            </w:r>
          </w:p>
        </w:tc>
      </w:tr>
      <w:tr w:rsidR="00773E1E" w:rsidRPr="0037448F" w14:paraId="5189BD17" w14:textId="77777777" w:rsidTr="00276EC8">
        <w:tc>
          <w:tcPr>
            <w:tcW w:w="4748" w:type="dxa"/>
          </w:tcPr>
          <w:p w14:paraId="62EB11BD" w14:textId="77777777" w:rsidR="00773E1E" w:rsidRPr="0037448F" w:rsidRDefault="00773E1E" w:rsidP="00276EC8">
            <w:pPr>
              <w:spacing w:before="60" w:line="288" w:lineRule="auto"/>
              <w:rPr>
                <w:rFonts w:ascii="Arial" w:hAnsi="Arial" w:cs="Arial"/>
                <w:sz w:val="20"/>
                <w:szCs w:val="20"/>
              </w:rPr>
            </w:pPr>
            <w:r w:rsidRPr="0037448F">
              <w:rPr>
                <w:rFonts w:ascii="Arial" w:hAnsi="Arial" w:cs="Arial"/>
                <w:sz w:val="20"/>
                <w:szCs w:val="20"/>
              </w:rPr>
              <w:t>El tubo está apoyado en toda su longitud y sin poder moverse en vertical</w:t>
            </w:r>
          </w:p>
          <w:p w14:paraId="6F14602A" w14:textId="77777777" w:rsidR="00773E1E" w:rsidRPr="0037448F" w:rsidRDefault="00773E1E" w:rsidP="00276EC8">
            <w:pPr>
              <w:spacing w:before="60" w:after="60" w:line="288" w:lineRule="auto"/>
              <w:rPr>
                <w:rFonts w:ascii="Arial" w:hAnsi="Arial" w:cs="Arial"/>
                <w:sz w:val="20"/>
                <w:szCs w:val="20"/>
              </w:rPr>
            </w:pPr>
            <w:r w:rsidRPr="0037448F">
              <w:rPr>
                <w:rFonts w:ascii="Arial" w:hAnsi="Arial" w:cs="Arial"/>
                <w:sz w:val="20"/>
                <w:szCs w:val="20"/>
              </w:rPr>
              <w:t>El tubo no está apoyado en toda su longitud en tramos y puede moverse en desplazamientos</w:t>
            </w:r>
          </w:p>
        </w:tc>
        <w:tc>
          <w:tcPr>
            <w:tcW w:w="3896" w:type="dxa"/>
          </w:tcPr>
          <w:p w14:paraId="7BBA29A9" w14:textId="77777777" w:rsidR="00773E1E" w:rsidRPr="0037448F" w:rsidRDefault="00773E1E" w:rsidP="00276EC8">
            <w:pPr>
              <w:spacing w:line="288" w:lineRule="auto"/>
              <w:rPr>
                <w:rFonts w:ascii="Arial" w:hAnsi="Arial" w:cs="Arial"/>
                <w:sz w:val="20"/>
                <w:szCs w:val="20"/>
              </w:rPr>
            </w:pPr>
            <w:r w:rsidRPr="0037448F">
              <w:rPr>
                <w:rFonts w:ascii="Arial" w:hAnsi="Arial" w:cs="Arial"/>
                <w:sz w:val="20"/>
                <w:szCs w:val="20"/>
              </w:rPr>
              <w:t>Se acepta</w:t>
            </w:r>
          </w:p>
          <w:p w14:paraId="2FDD22B8" w14:textId="77777777" w:rsidR="00773E1E" w:rsidRPr="0037448F" w:rsidRDefault="00773E1E" w:rsidP="00276EC8">
            <w:pPr>
              <w:spacing w:before="60" w:line="288" w:lineRule="auto"/>
              <w:rPr>
                <w:rFonts w:ascii="Arial" w:hAnsi="Arial" w:cs="Arial"/>
                <w:sz w:val="20"/>
                <w:szCs w:val="20"/>
              </w:rPr>
            </w:pPr>
            <w:r w:rsidRPr="0037448F">
              <w:rPr>
                <w:rFonts w:ascii="Arial" w:hAnsi="Arial" w:cs="Arial"/>
                <w:sz w:val="20"/>
                <w:szCs w:val="20"/>
              </w:rPr>
              <w:t>No se acepta, se corregirá y los costes serán por cuenta del Contratista</w:t>
            </w:r>
          </w:p>
        </w:tc>
      </w:tr>
    </w:tbl>
    <w:p w14:paraId="2C2809CD" w14:textId="77777777" w:rsidR="00773E1E" w:rsidRPr="00E62154" w:rsidRDefault="00773E1E" w:rsidP="00773E1E">
      <w:pPr>
        <w:rPr>
          <w:rFonts w:cs="Arial"/>
        </w:rPr>
      </w:pPr>
    </w:p>
    <w:p w14:paraId="170CCD46" w14:textId="77777777" w:rsidR="00773E1E" w:rsidRPr="0037448F" w:rsidRDefault="00773E1E" w:rsidP="000313DD">
      <w:pPr>
        <w:pStyle w:val="TITU2"/>
      </w:pPr>
      <w:bookmarkStart w:id="1451" w:name="_Toc424293859"/>
      <w:bookmarkStart w:id="1452" w:name="_Toc533762623"/>
      <w:bookmarkStart w:id="1453" w:name="_Toc404716"/>
      <w:r w:rsidRPr="0037448F">
        <w:t xml:space="preserve">812.7. </w:t>
      </w:r>
      <w:r w:rsidRPr="0037448F">
        <w:tab/>
        <w:t>Control de calidad</w:t>
      </w:r>
      <w:bookmarkEnd w:id="1451"/>
      <w:bookmarkEnd w:id="1452"/>
      <w:bookmarkEnd w:id="1453"/>
    </w:p>
    <w:p w14:paraId="612BBB10"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Los ensayos habituales se refieren al marcado y control dimensional.</w:t>
      </w:r>
    </w:p>
    <w:p w14:paraId="65B43D56"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Se comprobará que la superficie corrugada será uniforme, sin deformaciones acusadas, ni presentará burbujas, ralladuras longitudinales profundas, quemaduras o poros.</w:t>
      </w:r>
    </w:p>
    <w:p w14:paraId="4EA1F4FE" w14:textId="77777777" w:rsidR="00773E1E"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Deberá cumplir con las especificaciones y propiedades mecánicas relativas a resistencia a compresión, resistencia al impacto, y ensayo de curvatura según la normativa vigente y las normas establecidas por la compañía suministradora del servicio.</w:t>
      </w:r>
    </w:p>
    <w:p w14:paraId="36408B91" w14:textId="77777777" w:rsidR="00773E1E" w:rsidRDefault="00773E1E" w:rsidP="00773E1E">
      <w:pPr>
        <w:suppressAutoHyphens/>
        <w:spacing w:before="120" w:after="120" w:line="360" w:lineRule="auto"/>
        <w:jc w:val="both"/>
        <w:rPr>
          <w:rFonts w:ascii="Arial" w:hAnsi="Arial" w:cs="Arial"/>
          <w:lang w:val="es-ES_tradnl" w:eastAsia="en-US"/>
        </w:rPr>
      </w:pPr>
    </w:p>
    <w:p w14:paraId="6537049A" w14:textId="77777777" w:rsidR="00773E1E" w:rsidRPr="00E62154" w:rsidRDefault="00773E1E" w:rsidP="00773E1E">
      <w:pPr>
        <w:suppressAutoHyphens/>
        <w:spacing w:before="120" w:after="120" w:line="360" w:lineRule="auto"/>
        <w:jc w:val="both"/>
        <w:rPr>
          <w:rFonts w:ascii="Arial" w:hAnsi="Arial" w:cs="Arial"/>
          <w:lang w:val="es-ES_tradnl" w:eastAsia="en-US"/>
        </w:rPr>
      </w:pPr>
    </w:p>
    <w:p w14:paraId="0AB87A5D" w14:textId="77777777" w:rsidR="00773E1E" w:rsidRPr="00E62154" w:rsidRDefault="00773E1E" w:rsidP="00773E1E">
      <w:pPr>
        <w:rPr>
          <w:rFonts w:cs="Arial"/>
        </w:rPr>
      </w:pPr>
    </w:p>
    <w:tbl>
      <w:tblPr>
        <w:tblW w:w="8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17"/>
        <w:gridCol w:w="1493"/>
        <w:gridCol w:w="3600"/>
      </w:tblGrid>
      <w:tr w:rsidR="00773E1E" w:rsidRPr="00357E41" w14:paraId="03E7F3D4" w14:textId="77777777" w:rsidTr="00276EC8">
        <w:trPr>
          <w:tblHeader/>
        </w:trPr>
        <w:tc>
          <w:tcPr>
            <w:tcW w:w="3617" w:type="dxa"/>
            <w:shd w:val="clear" w:color="auto" w:fill="D9D9D9" w:themeFill="background1" w:themeFillShade="D9"/>
          </w:tcPr>
          <w:p w14:paraId="623B0345" w14:textId="77777777" w:rsidR="00773E1E" w:rsidRPr="00357E41" w:rsidRDefault="00773E1E" w:rsidP="00276EC8">
            <w:pPr>
              <w:spacing w:before="60" w:after="60" w:line="288" w:lineRule="auto"/>
              <w:jc w:val="center"/>
              <w:rPr>
                <w:rFonts w:ascii="Arial" w:hAnsi="Arial" w:cs="Arial"/>
                <w:b/>
                <w:sz w:val="20"/>
                <w:szCs w:val="20"/>
              </w:rPr>
            </w:pPr>
            <w:r w:rsidRPr="00357E41">
              <w:rPr>
                <w:rFonts w:ascii="Arial" w:hAnsi="Arial" w:cs="Arial"/>
                <w:b/>
                <w:sz w:val="20"/>
                <w:szCs w:val="20"/>
              </w:rPr>
              <w:t>Ensayo</w:t>
            </w:r>
          </w:p>
        </w:tc>
        <w:tc>
          <w:tcPr>
            <w:tcW w:w="1493" w:type="dxa"/>
            <w:shd w:val="clear" w:color="auto" w:fill="D9D9D9" w:themeFill="background1" w:themeFillShade="D9"/>
          </w:tcPr>
          <w:p w14:paraId="0CF964D5" w14:textId="77777777" w:rsidR="00773E1E" w:rsidRPr="00357E41" w:rsidRDefault="00773E1E" w:rsidP="00276EC8">
            <w:pPr>
              <w:spacing w:before="60" w:after="60" w:line="288" w:lineRule="auto"/>
              <w:jc w:val="center"/>
              <w:rPr>
                <w:rFonts w:ascii="Arial" w:hAnsi="Arial" w:cs="Arial"/>
                <w:b/>
                <w:sz w:val="20"/>
                <w:szCs w:val="20"/>
              </w:rPr>
            </w:pPr>
            <w:r w:rsidRPr="00357E41">
              <w:rPr>
                <w:rFonts w:ascii="Arial" w:hAnsi="Arial" w:cs="Arial"/>
                <w:b/>
                <w:sz w:val="20"/>
                <w:szCs w:val="20"/>
              </w:rPr>
              <w:t>Norma</w:t>
            </w:r>
          </w:p>
        </w:tc>
        <w:tc>
          <w:tcPr>
            <w:tcW w:w="3600" w:type="dxa"/>
            <w:shd w:val="clear" w:color="auto" w:fill="D9D9D9" w:themeFill="background1" w:themeFillShade="D9"/>
          </w:tcPr>
          <w:p w14:paraId="569DEF08" w14:textId="77777777" w:rsidR="00773E1E" w:rsidRPr="00357E41" w:rsidRDefault="00773E1E" w:rsidP="00276EC8">
            <w:pPr>
              <w:spacing w:before="60" w:after="60" w:line="288" w:lineRule="auto"/>
              <w:jc w:val="center"/>
              <w:rPr>
                <w:rFonts w:ascii="Arial" w:hAnsi="Arial" w:cs="Arial"/>
                <w:b/>
                <w:sz w:val="20"/>
                <w:szCs w:val="20"/>
              </w:rPr>
            </w:pPr>
            <w:r w:rsidRPr="00357E41">
              <w:rPr>
                <w:rFonts w:ascii="Arial" w:hAnsi="Arial" w:cs="Arial"/>
                <w:b/>
                <w:sz w:val="20"/>
                <w:szCs w:val="20"/>
              </w:rPr>
              <w:t>Frecuencia</w:t>
            </w:r>
          </w:p>
        </w:tc>
      </w:tr>
      <w:tr w:rsidR="00773E1E" w:rsidRPr="00357E41" w14:paraId="4B6C2964" w14:textId="77777777" w:rsidTr="00276EC8">
        <w:tc>
          <w:tcPr>
            <w:tcW w:w="3617" w:type="dxa"/>
          </w:tcPr>
          <w:p w14:paraId="7481D165" w14:textId="77777777" w:rsidR="00773E1E" w:rsidRPr="00357E41" w:rsidRDefault="00773E1E" w:rsidP="00276EC8">
            <w:pPr>
              <w:spacing w:before="60" w:line="288" w:lineRule="auto"/>
              <w:jc w:val="center"/>
              <w:rPr>
                <w:rFonts w:ascii="Arial" w:hAnsi="Arial" w:cs="Arial"/>
                <w:sz w:val="20"/>
                <w:szCs w:val="20"/>
                <w:lang w:eastAsia="en-US"/>
              </w:rPr>
            </w:pPr>
            <w:r w:rsidRPr="00357E41">
              <w:rPr>
                <w:rFonts w:ascii="Arial" w:hAnsi="Arial" w:cs="Arial"/>
                <w:sz w:val="20"/>
                <w:szCs w:val="20"/>
                <w:lang w:eastAsia="en-US"/>
              </w:rPr>
              <w:t>Certificado fabricante</w:t>
            </w:r>
          </w:p>
        </w:tc>
        <w:tc>
          <w:tcPr>
            <w:tcW w:w="1493" w:type="dxa"/>
          </w:tcPr>
          <w:p w14:paraId="334B178A" w14:textId="77777777" w:rsidR="00773E1E" w:rsidRPr="00357E41" w:rsidRDefault="00773E1E" w:rsidP="00276EC8">
            <w:pPr>
              <w:spacing w:before="60" w:line="288" w:lineRule="auto"/>
              <w:jc w:val="center"/>
              <w:rPr>
                <w:rFonts w:ascii="Arial" w:hAnsi="Arial" w:cs="Arial"/>
                <w:sz w:val="20"/>
                <w:szCs w:val="20"/>
                <w:lang w:eastAsia="en-US"/>
              </w:rPr>
            </w:pPr>
            <w:r w:rsidRPr="00357E41">
              <w:rPr>
                <w:rFonts w:ascii="Arial" w:hAnsi="Arial" w:cs="Arial"/>
                <w:sz w:val="20"/>
                <w:szCs w:val="20"/>
                <w:lang w:eastAsia="en-US"/>
              </w:rPr>
              <w:t>------</w:t>
            </w:r>
          </w:p>
        </w:tc>
        <w:tc>
          <w:tcPr>
            <w:tcW w:w="3600" w:type="dxa"/>
            <w:vAlign w:val="center"/>
          </w:tcPr>
          <w:p w14:paraId="62D2C8BF" w14:textId="77777777" w:rsidR="00773E1E" w:rsidRPr="00357E41" w:rsidRDefault="00773E1E" w:rsidP="00276EC8">
            <w:pPr>
              <w:spacing w:before="60" w:after="60" w:line="288" w:lineRule="auto"/>
              <w:jc w:val="center"/>
              <w:rPr>
                <w:rFonts w:ascii="Arial" w:hAnsi="Arial" w:cs="Arial"/>
                <w:sz w:val="20"/>
                <w:szCs w:val="20"/>
                <w:lang w:eastAsia="en-US"/>
              </w:rPr>
            </w:pPr>
            <w:r w:rsidRPr="00357E41">
              <w:rPr>
                <w:rFonts w:ascii="Arial" w:hAnsi="Arial" w:cs="Arial"/>
                <w:sz w:val="20"/>
                <w:szCs w:val="20"/>
                <w:lang w:eastAsia="en-US"/>
              </w:rPr>
              <w:t>Por partidas</w:t>
            </w:r>
          </w:p>
        </w:tc>
      </w:tr>
      <w:tr w:rsidR="00773E1E" w:rsidRPr="00357E41" w14:paraId="3BB57845" w14:textId="77777777" w:rsidTr="00276EC8">
        <w:tc>
          <w:tcPr>
            <w:tcW w:w="3617" w:type="dxa"/>
          </w:tcPr>
          <w:p w14:paraId="0F7CD1A6" w14:textId="77777777" w:rsidR="00773E1E" w:rsidRPr="00357E41" w:rsidRDefault="00773E1E" w:rsidP="00276EC8">
            <w:pPr>
              <w:spacing w:before="60" w:line="288" w:lineRule="auto"/>
              <w:jc w:val="center"/>
              <w:rPr>
                <w:rFonts w:ascii="Arial" w:hAnsi="Arial" w:cs="Arial"/>
                <w:sz w:val="20"/>
                <w:szCs w:val="20"/>
                <w:lang w:eastAsia="en-US"/>
              </w:rPr>
            </w:pPr>
            <w:r w:rsidRPr="00357E41">
              <w:rPr>
                <w:rFonts w:ascii="Arial" w:hAnsi="Arial" w:cs="Arial"/>
                <w:sz w:val="20"/>
                <w:szCs w:val="20"/>
                <w:lang w:eastAsia="en-US"/>
              </w:rPr>
              <w:t>Muestreo geométrico y terminación</w:t>
            </w:r>
          </w:p>
        </w:tc>
        <w:tc>
          <w:tcPr>
            <w:tcW w:w="1493" w:type="dxa"/>
          </w:tcPr>
          <w:p w14:paraId="42838B7F" w14:textId="77777777" w:rsidR="00773E1E" w:rsidRPr="00357E41" w:rsidRDefault="00773E1E" w:rsidP="00276EC8">
            <w:pPr>
              <w:spacing w:before="60" w:line="288" w:lineRule="auto"/>
              <w:jc w:val="center"/>
              <w:rPr>
                <w:rFonts w:ascii="Arial" w:hAnsi="Arial" w:cs="Arial"/>
                <w:sz w:val="20"/>
                <w:szCs w:val="20"/>
                <w:lang w:eastAsia="en-US"/>
              </w:rPr>
            </w:pPr>
            <w:r w:rsidRPr="00357E41">
              <w:rPr>
                <w:rFonts w:ascii="Arial" w:hAnsi="Arial" w:cs="Arial"/>
                <w:sz w:val="20"/>
                <w:szCs w:val="20"/>
                <w:lang w:eastAsia="en-US"/>
              </w:rPr>
              <w:t>------</w:t>
            </w:r>
          </w:p>
        </w:tc>
        <w:tc>
          <w:tcPr>
            <w:tcW w:w="3600" w:type="dxa"/>
            <w:vAlign w:val="center"/>
          </w:tcPr>
          <w:p w14:paraId="4B8B57D6" w14:textId="77777777" w:rsidR="00773E1E" w:rsidRPr="00357E41" w:rsidRDefault="00773E1E" w:rsidP="00276EC8">
            <w:pPr>
              <w:spacing w:before="60" w:after="60" w:line="288" w:lineRule="auto"/>
              <w:jc w:val="center"/>
              <w:rPr>
                <w:rFonts w:ascii="Arial" w:hAnsi="Arial" w:cs="Arial"/>
                <w:sz w:val="20"/>
                <w:szCs w:val="20"/>
                <w:lang w:eastAsia="en-US"/>
              </w:rPr>
            </w:pPr>
            <w:r w:rsidRPr="00357E41">
              <w:rPr>
                <w:rFonts w:ascii="Arial" w:hAnsi="Arial" w:cs="Arial"/>
                <w:sz w:val="20"/>
                <w:szCs w:val="20"/>
                <w:lang w:eastAsia="en-US"/>
              </w:rPr>
              <w:t>Diario</w:t>
            </w:r>
          </w:p>
        </w:tc>
      </w:tr>
      <w:tr w:rsidR="00773E1E" w:rsidRPr="00357E41" w14:paraId="0BCC71DE" w14:textId="77777777" w:rsidTr="00276EC8">
        <w:tc>
          <w:tcPr>
            <w:tcW w:w="3617" w:type="dxa"/>
          </w:tcPr>
          <w:p w14:paraId="3BD3CC81" w14:textId="77777777" w:rsidR="00773E1E" w:rsidRPr="00357E41" w:rsidRDefault="00773E1E" w:rsidP="00276EC8">
            <w:pPr>
              <w:spacing w:before="60" w:line="288" w:lineRule="auto"/>
              <w:jc w:val="center"/>
              <w:rPr>
                <w:rFonts w:ascii="Arial" w:hAnsi="Arial" w:cs="Arial"/>
                <w:sz w:val="20"/>
                <w:szCs w:val="20"/>
                <w:lang w:eastAsia="en-US"/>
              </w:rPr>
            </w:pPr>
            <w:r w:rsidRPr="00357E41">
              <w:rPr>
                <w:rFonts w:ascii="Arial" w:hAnsi="Arial" w:cs="Arial"/>
                <w:sz w:val="20"/>
                <w:szCs w:val="20"/>
                <w:lang w:eastAsia="en-US"/>
              </w:rPr>
              <w:t>Hormigón</w:t>
            </w:r>
          </w:p>
        </w:tc>
        <w:tc>
          <w:tcPr>
            <w:tcW w:w="1493" w:type="dxa"/>
          </w:tcPr>
          <w:p w14:paraId="475937BF" w14:textId="77777777" w:rsidR="00773E1E" w:rsidRPr="00357E41" w:rsidRDefault="00773E1E" w:rsidP="00276EC8">
            <w:pPr>
              <w:spacing w:before="60" w:line="288" w:lineRule="auto"/>
              <w:jc w:val="center"/>
              <w:rPr>
                <w:rFonts w:ascii="Arial" w:hAnsi="Arial" w:cs="Arial"/>
                <w:sz w:val="20"/>
                <w:szCs w:val="20"/>
                <w:lang w:eastAsia="en-US"/>
              </w:rPr>
            </w:pPr>
            <w:r w:rsidRPr="00357E41">
              <w:rPr>
                <w:rFonts w:ascii="Arial" w:hAnsi="Arial" w:cs="Arial"/>
                <w:sz w:val="20"/>
                <w:szCs w:val="20"/>
                <w:lang w:eastAsia="en-US"/>
              </w:rPr>
              <w:t>------</w:t>
            </w:r>
          </w:p>
        </w:tc>
        <w:tc>
          <w:tcPr>
            <w:tcW w:w="3600" w:type="dxa"/>
            <w:vAlign w:val="center"/>
          </w:tcPr>
          <w:p w14:paraId="44BC6DC8" w14:textId="77777777" w:rsidR="00773E1E" w:rsidRPr="00357E41" w:rsidRDefault="00773E1E" w:rsidP="00276EC8">
            <w:pPr>
              <w:spacing w:before="60" w:after="60" w:line="288" w:lineRule="auto"/>
              <w:jc w:val="center"/>
              <w:rPr>
                <w:rFonts w:ascii="Arial" w:hAnsi="Arial" w:cs="Arial"/>
                <w:sz w:val="20"/>
                <w:szCs w:val="20"/>
                <w:lang w:eastAsia="en-US"/>
              </w:rPr>
            </w:pPr>
            <w:r w:rsidRPr="00357E41">
              <w:rPr>
                <w:rFonts w:ascii="Arial" w:hAnsi="Arial" w:cs="Arial"/>
                <w:sz w:val="20"/>
                <w:szCs w:val="20"/>
                <w:lang w:eastAsia="en-US"/>
              </w:rPr>
              <w:t>Por albarán de suministro siempre</w:t>
            </w:r>
          </w:p>
        </w:tc>
      </w:tr>
    </w:tbl>
    <w:p w14:paraId="3D390DD1" w14:textId="77777777" w:rsidR="00773E1E" w:rsidRPr="00E62154" w:rsidRDefault="00773E1E" w:rsidP="00773E1E">
      <w:pPr>
        <w:suppressAutoHyphens/>
        <w:spacing w:before="120" w:after="120" w:line="360" w:lineRule="auto"/>
        <w:jc w:val="both"/>
        <w:rPr>
          <w:rFonts w:ascii="Arial" w:hAnsi="Arial" w:cs="Arial"/>
          <w:lang w:val="es-ES_tradnl" w:eastAsia="en-US"/>
        </w:rPr>
      </w:pPr>
    </w:p>
    <w:p w14:paraId="50D3DF4B" w14:textId="77777777" w:rsidR="00773E1E" w:rsidRPr="0037448F" w:rsidRDefault="00773E1E" w:rsidP="000313DD">
      <w:pPr>
        <w:pStyle w:val="TITU2"/>
      </w:pPr>
      <w:bookmarkStart w:id="1454" w:name="_Toc533762624"/>
      <w:bookmarkStart w:id="1455" w:name="_Toc404717"/>
      <w:r w:rsidRPr="0037448F">
        <w:t>812.8.</w:t>
      </w:r>
      <w:r w:rsidRPr="0037448F">
        <w:tab/>
        <w:t xml:space="preserve"> Medición y abono</w:t>
      </w:r>
      <w:bookmarkEnd w:id="1454"/>
      <w:bookmarkEnd w:id="1455"/>
    </w:p>
    <w:p w14:paraId="6B2A2E50"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medición y abono de la reposición de los servicios de Telefónica se realizará conforme a las siguientes prescripciones: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773E1E" w:rsidRPr="00E62154" w14:paraId="54FF84C7" w14:textId="77777777" w:rsidTr="00276EC8">
        <w:tc>
          <w:tcPr>
            <w:tcW w:w="2905" w:type="dxa"/>
            <w:vAlign w:val="center"/>
          </w:tcPr>
          <w:p w14:paraId="4C3FACBF"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Unidad de medida</w:t>
            </w:r>
          </w:p>
        </w:tc>
        <w:tc>
          <w:tcPr>
            <w:tcW w:w="5739" w:type="dxa"/>
            <w:vAlign w:val="center"/>
          </w:tcPr>
          <w:p w14:paraId="41D2F4A0"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Unidad (</w:t>
            </w:r>
            <w:proofErr w:type="spellStart"/>
            <w:r w:rsidRPr="00E62154">
              <w:rPr>
                <w:rFonts w:ascii="Arial" w:hAnsi="Arial" w:cs="Arial"/>
                <w:sz w:val="20"/>
              </w:rPr>
              <w:t>ud</w:t>
            </w:r>
            <w:proofErr w:type="spellEnd"/>
            <w:r w:rsidRPr="00E62154">
              <w:rPr>
                <w:rFonts w:ascii="Arial" w:hAnsi="Arial" w:cs="Arial"/>
                <w:sz w:val="20"/>
              </w:rPr>
              <w:t>)</w:t>
            </w:r>
          </w:p>
        </w:tc>
      </w:tr>
      <w:tr w:rsidR="00773E1E" w:rsidRPr="00E62154" w14:paraId="3D721E19" w14:textId="77777777" w:rsidTr="00276EC8">
        <w:tc>
          <w:tcPr>
            <w:tcW w:w="2905" w:type="dxa"/>
            <w:vAlign w:val="center"/>
          </w:tcPr>
          <w:p w14:paraId="69959A49"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Grado de precisión</w:t>
            </w:r>
          </w:p>
        </w:tc>
        <w:tc>
          <w:tcPr>
            <w:tcW w:w="5739" w:type="dxa"/>
            <w:vAlign w:val="center"/>
          </w:tcPr>
          <w:p w14:paraId="2B4CD41D"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Unidades enteras</w:t>
            </w:r>
          </w:p>
        </w:tc>
      </w:tr>
      <w:tr w:rsidR="00773E1E" w:rsidRPr="00E62154" w14:paraId="686DC9C7" w14:textId="77777777" w:rsidTr="00276EC8">
        <w:tc>
          <w:tcPr>
            <w:tcW w:w="2905" w:type="dxa"/>
            <w:vAlign w:val="center"/>
          </w:tcPr>
          <w:p w14:paraId="5DF97C72"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Forma de medición</w:t>
            </w:r>
          </w:p>
        </w:tc>
        <w:tc>
          <w:tcPr>
            <w:tcW w:w="5739" w:type="dxa"/>
            <w:vAlign w:val="center"/>
          </w:tcPr>
          <w:p w14:paraId="472819AD" w14:textId="77777777" w:rsidR="00773E1E" w:rsidRPr="00E62154" w:rsidRDefault="00773E1E" w:rsidP="00276EC8">
            <w:pPr>
              <w:spacing w:before="120" w:after="40" w:line="276" w:lineRule="auto"/>
              <w:jc w:val="both"/>
              <w:rPr>
                <w:rFonts w:ascii="Arial" w:hAnsi="Arial" w:cs="Arial"/>
                <w:sz w:val="20"/>
              </w:rPr>
            </w:pPr>
          </w:p>
        </w:tc>
      </w:tr>
      <w:tr w:rsidR="00773E1E" w:rsidRPr="00E62154" w14:paraId="71C52593" w14:textId="77777777" w:rsidTr="00276EC8">
        <w:tc>
          <w:tcPr>
            <w:tcW w:w="2905" w:type="dxa"/>
            <w:tcBorders>
              <w:bottom w:val="single" w:sz="4" w:space="0" w:color="auto"/>
            </w:tcBorders>
            <w:vAlign w:val="center"/>
          </w:tcPr>
          <w:p w14:paraId="56E2BF84"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Abono</w:t>
            </w:r>
          </w:p>
        </w:tc>
        <w:tc>
          <w:tcPr>
            <w:tcW w:w="5739" w:type="dxa"/>
            <w:tcBorders>
              <w:bottom w:val="single" w:sz="4" w:space="0" w:color="auto"/>
            </w:tcBorders>
            <w:vAlign w:val="center"/>
          </w:tcPr>
          <w:p w14:paraId="53DA1E31"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Se efectuará cuando se realice la aceptación.</w:t>
            </w:r>
          </w:p>
        </w:tc>
      </w:tr>
      <w:tr w:rsidR="00773E1E" w:rsidRPr="00E62154" w14:paraId="1B1D1785" w14:textId="77777777" w:rsidTr="00276EC8">
        <w:tc>
          <w:tcPr>
            <w:tcW w:w="2905" w:type="dxa"/>
            <w:tcBorders>
              <w:bottom w:val="single" w:sz="4" w:space="0" w:color="auto"/>
            </w:tcBorders>
            <w:vAlign w:val="center"/>
          </w:tcPr>
          <w:p w14:paraId="333F6832"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Criterios complementarios</w:t>
            </w:r>
          </w:p>
        </w:tc>
        <w:tc>
          <w:tcPr>
            <w:tcW w:w="5739" w:type="dxa"/>
            <w:tcBorders>
              <w:bottom w:val="single" w:sz="4" w:space="0" w:color="auto"/>
            </w:tcBorders>
            <w:vAlign w:val="center"/>
          </w:tcPr>
          <w:p w14:paraId="228D204E"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Los precios incluyen todos los materiales, mano de obra, maquinaria y medios auxiliares necesarios para la correcta ejecución de la unidad.</w:t>
            </w:r>
          </w:p>
        </w:tc>
      </w:tr>
    </w:tbl>
    <w:p w14:paraId="461C1239" w14:textId="77777777" w:rsidR="00773E1E" w:rsidRPr="00E62154" w:rsidRDefault="00773E1E" w:rsidP="00773E1E">
      <w:pPr>
        <w:suppressAutoHyphens/>
        <w:spacing w:before="120" w:after="120" w:line="360" w:lineRule="auto"/>
        <w:jc w:val="both"/>
        <w:rPr>
          <w:rFonts w:ascii="Arial" w:hAnsi="Arial" w:cs="Arial"/>
          <w:lang w:eastAsia="en-US"/>
        </w:rPr>
      </w:pPr>
    </w:p>
    <w:p w14:paraId="3DF3E46E" w14:textId="77777777" w:rsidR="00773E1E" w:rsidRPr="00E62154" w:rsidRDefault="00773E1E" w:rsidP="00773E1E">
      <w:pPr>
        <w:keepNext/>
        <w:pageBreakBefore/>
        <w:widowControl w:val="0"/>
        <w:spacing w:before="360" w:after="240" w:line="360" w:lineRule="auto"/>
        <w:jc w:val="both"/>
        <w:outlineLvl w:val="0"/>
        <w:rPr>
          <w:rFonts w:ascii="Arial" w:hAnsi="Arial" w:cs="Arial"/>
          <w:b/>
          <w:noProof/>
          <w:kern w:val="28"/>
          <w:lang w:eastAsia="en-US"/>
        </w:rPr>
      </w:pPr>
      <w:bookmarkStart w:id="1456" w:name="_Toc533762625"/>
      <w:bookmarkStart w:id="1457" w:name="_Toc404718"/>
      <w:r w:rsidRPr="00E62154">
        <w:rPr>
          <w:rFonts w:ascii="Arial" w:hAnsi="Arial" w:cs="Arial"/>
          <w:b/>
          <w:noProof/>
          <w:kern w:val="28"/>
          <w:lang w:eastAsia="en-US"/>
        </w:rPr>
        <w:lastRenderedPageBreak/>
        <w:t>Artículo 813. Reposición de servicios de la red aérea de baja tensión</w:t>
      </w:r>
      <w:bookmarkEnd w:id="1456"/>
      <w:bookmarkEnd w:id="1457"/>
    </w:p>
    <w:p w14:paraId="508F33FD" w14:textId="77777777" w:rsidR="00773E1E" w:rsidRPr="0037448F" w:rsidRDefault="00773E1E" w:rsidP="000313DD">
      <w:pPr>
        <w:pStyle w:val="TITU2"/>
      </w:pPr>
      <w:bookmarkStart w:id="1458" w:name="_Toc533762626"/>
      <w:bookmarkStart w:id="1459" w:name="_Toc404719"/>
      <w:r w:rsidRPr="0037448F">
        <w:t>813.1.</w:t>
      </w:r>
      <w:r w:rsidRPr="0037448F">
        <w:tab/>
        <w:t xml:space="preserve"> Definición</w:t>
      </w:r>
      <w:bookmarkEnd w:id="1458"/>
      <w:bookmarkEnd w:id="1459"/>
    </w:p>
    <w:p w14:paraId="20CA5D8F"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El presente artículo comprende la reposición de los servicios existentes de la red aérea de baja tensión de EDP HC Energía, que se ven afectados por la ejecución de las obras.</w:t>
      </w:r>
    </w:p>
    <w:p w14:paraId="0E73F8F7" w14:textId="77777777" w:rsidR="00773E1E" w:rsidRPr="0037448F" w:rsidRDefault="00773E1E" w:rsidP="000313DD">
      <w:pPr>
        <w:pStyle w:val="TITU2"/>
      </w:pPr>
      <w:bookmarkStart w:id="1460" w:name="_Toc533762627"/>
      <w:bookmarkStart w:id="1461" w:name="_Toc404720"/>
      <w:r w:rsidRPr="0037448F">
        <w:t xml:space="preserve">813.2. </w:t>
      </w:r>
      <w:r w:rsidRPr="0037448F">
        <w:tab/>
        <w:t>Aplicación</w:t>
      </w:r>
      <w:bookmarkEnd w:id="1460"/>
      <w:bookmarkEnd w:id="1461"/>
      <w:r w:rsidRPr="0037448F">
        <w:t xml:space="preserve"> </w:t>
      </w:r>
    </w:p>
    <w:p w14:paraId="1222D02F"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El presente artículo </w:t>
      </w:r>
      <w:proofErr w:type="gramStart"/>
      <w:r w:rsidRPr="00E62154">
        <w:rPr>
          <w:rFonts w:ascii="Arial" w:hAnsi="Arial" w:cs="Arial"/>
          <w:lang w:eastAsia="en-US"/>
        </w:rPr>
        <w:t>es de aplicación</w:t>
      </w:r>
      <w:proofErr w:type="gramEnd"/>
      <w:r w:rsidRPr="00E62154">
        <w:rPr>
          <w:rFonts w:ascii="Arial" w:hAnsi="Arial" w:cs="Arial"/>
          <w:lang w:eastAsia="en-US"/>
        </w:rPr>
        <w:t xml:space="preserve"> a la siguiente unidad de obra: </w:t>
      </w:r>
    </w:p>
    <w:tbl>
      <w:tblPr>
        <w:tblW w:w="5000" w:type="pct"/>
        <w:tblCellMar>
          <w:left w:w="70" w:type="dxa"/>
          <w:right w:w="70" w:type="dxa"/>
        </w:tblCellMar>
        <w:tblLook w:val="04A0" w:firstRow="1" w:lastRow="0" w:firstColumn="1" w:lastColumn="0" w:noHBand="0" w:noVBand="1"/>
      </w:tblPr>
      <w:tblGrid>
        <w:gridCol w:w="1207"/>
        <w:gridCol w:w="723"/>
        <w:gridCol w:w="7990"/>
      </w:tblGrid>
      <w:tr w:rsidR="00773E1E" w:rsidRPr="00E62154" w14:paraId="3F68BBC4" w14:textId="77777777" w:rsidTr="00D424A3">
        <w:trPr>
          <w:trHeight w:val="2284"/>
        </w:trPr>
        <w:tc>
          <w:tcPr>
            <w:tcW w:w="608" w:type="pct"/>
            <w:noWrap/>
          </w:tcPr>
          <w:p w14:paraId="5C99543E" w14:textId="77777777" w:rsidR="00773E1E" w:rsidRPr="00F476CB" w:rsidRDefault="00773E1E" w:rsidP="00276EC8">
            <w:pPr>
              <w:rPr>
                <w:rFonts w:ascii="Calibri" w:hAnsi="Calibri"/>
              </w:rPr>
            </w:pPr>
            <w:r w:rsidRPr="00F476CB">
              <w:rPr>
                <w:rFonts w:ascii="Calibri" w:hAnsi="Calibri"/>
              </w:rPr>
              <w:t xml:space="preserve">900.0001N          </w:t>
            </w:r>
          </w:p>
        </w:tc>
        <w:tc>
          <w:tcPr>
            <w:tcW w:w="365" w:type="pct"/>
            <w:noWrap/>
          </w:tcPr>
          <w:p w14:paraId="0141BF12" w14:textId="77777777" w:rsidR="00773E1E" w:rsidRPr="00F476CB" w:rsidRDefault="00773E1E" w:rsidP="00276EC8">
            <w:pPr>
              <w:rPr>
                <w:rFonts w:ascii="Calibri" w:hAnsi="Calibri"/>
              </w:rPr>
            </w:pPr>
            <w:proofErr w:type="spellStart"/>
            <w:r w:rsidRPr="00F476CB">
              <w:rPr>
                <w:rFonts w:ascii="Calibri" w:hAnsi="Calibri"/>
              </w:rPr>
              <w:t>ud</w:t>
            </w:r>
            <w:proofErr w:type="spellEnd"/>
          </w:p>
        </w:tc>
        <w:tc>
          <w:tcPr>
            <w:tcW w:w="4026" w:type="pct"/>
          </w:tcPr>
          <w:p w14:paraId="524BC245" w14:textId="77777777" w:rsidR="00773E1E" w:rsidRPr="00F476CB" w:rsidRDefault="00DF005D" w:rsidP="00D424A3">
            <w:pPr>
              <w:jc w:val="both"/>
              <w:rPr>
                <w:rFonts w:ascii="Calibri" w:hAnsi="Calibri"/>
              </w:rPr>
            </w:pPr>
            <w:r w:rsidRPr="00F476CB">
              <w:rPr>
                <w:rFonts w:ascii="Calibri" w:hAnsi="Calibri"/>
                <w:color w:val="000000"/>
              </w:rPr>
              <w:t>REPOSICIÓN DEL SERVICIO AFECTADO SE-110 - LÍNEA AÉREA BT.EDP (SI-2) QUE COMPRENDE EL DESMONTAJE DEL TRAMO DE LÍNEA AÉREA AFECTADA Y EL DESMONTAJE DE DOS APOYOS PARA REUTILIZACIÓN, ASÍ COMO LA REPOSICIÓN DEL TRAMO AFECTADO QUE INCLUYE LA REUBICACIÓN DE LOS DOS APOYOS, LA INSTALACIÓN DE UN NUEVO APOYO DE HORMIGÓN Y UN NUEVO TRENZADO AÉREO DE LAS MISMAS CARACTERÍSTICAS QUE EL EXISTENTE, Y TODOS LOS ELEMENTOS NECESARIOS PARA EL RESTABLECIMIENTO DEL SERVICIO, SEGÚN LO REFLEJADO EN EL DOCUMENTO Nº2.- PLANOS Y EN EL ANEJO Nº24.- REPOSICIÓN DE SERVICIOS.</w:t>
            </w:r>
          </w:p>
        </w:tc>
      </w:tr>
    </w:tbl>
    <w:p w14:paraId="2FF82652" w14:textId="77777777" w:rsidR="00773E1E" w:rsidRPr="0037448F" w:rsidRDefault="00773E1E" w:rsidP="000313DD">
      <w:pPr>
        <w:pStyle w:val="TITU2"/>
      </w:pPr>
      <w:bookmarkStart w:id="1462" w:name="_Toc533762628"/>
      <w:bookmarkStart w:id="1463" w:name="_Toc404721"/>
      <w:r w:rsidRPr="0037448F">
        <w:t xml:space="preserve">813.3. </w:t>
      </w:r>
      <w:r w:rsidRPr="0037448F">
        <w:tab/>
        <w:t>Descripción de los trabajos</w:t>
      </w:r>
      <w:bookmarkEnd w:id="1462"/>
      <w:bookmarkEnd w:id="1463"/>
    </w:p>
    <w:p w14:paraId="5DE2E2A4"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Las operaciones incluidas en este artículo son las siguientes:</w:t>
      </w:r>
    </w:p>
    <w:p w14:paraId="641D9906" w14:textId="77777777" w:rsidR="00773E1E" w:rsidRPr="00E62154" w:rsidRDefault="00773E1E" w:rsidP="00661A5F">
      <w:pPr>
        <w:numPr>
          <w:ilvl w:val="0"/>
          <w:numId w:val="190"/>
        </w:numPr>
        <w:suppressAutoHyphens/>
        <w:spacing w:before="120" w:after="120" w:line="360" w:lineRule="auto"/>
        <w:jc w:val="both"/>
        <w:rPr>
          <w:rFonts w:ascii="Arial" w:hAnsi="Arial" w:cs="Arial"/>
          <w:lang w:eastAsia="en-US"/>
        </w:rPr>
      </w:pPr>
      <w:r w:rsidRPr="00E62154">
        <w:rPr>
          <w:rFonts w:ascii="Arial" w:hAnsi="Arial" w:cs="Arial"/>
          <w:lang w:eastAsia="en-US"/>
        </w:rPr>
        <w:t>Desmontaje de la línea aérea existente.</w:t>
      </w:r>
    </w:p>
    <w:p w14:paraId="5E846726" w14:textId="77777777" w:rsidR="00773E1E" w:rsidRPr="00E62154" w:rsidRDefault="00773E1E" w:rsidP="00661A5F">
      <w:pPr>
        <w:numPr>
          <w:ilvl w:val="0"/>
          <w:numId w:val="190"/>
        </w:numPr>
        <w:suppressAutoHyphens/>
        <w:spacing w:before="120" w:after="120" w:line="360" w:lineRule="auto"/>
        <w:jc w:val="both"/>
        <w:rPr>
          <w:rFonts w:ascii="Arial" w:hAnsi="Arial" w:cs="Arial"/>
          <w:lang w:eastAsia="en-US"/>
        </w:rPr>
      </w:pPr>
      <w:r w:rsidRPr="00E62154">
        <w:rPr>
          <w:rFonts w:ascii="Arial" w:hAnsi="Arial" w:cs="Arial"/>
          <w:lang w:eastAsia="en-US"/>
        </w:rPr>
        <w:t xml:space="preserve">Desmontaje y acopio de la caja general de protección existente en uno de los apoyos de la línea, </w:t>
      </w:r>
    </w:p>
    <w:p w14:paraId="18761332" w14:textId="77777777" w:rsidR="00773E1E" w:rsidRPr="00E62154" w:rsidRDefault="00773E1E" w:rsidP="00661A5F">
      <w:pPr>
        <w:numPr>
          <w:ilvl w:val="0"/>
          <w:numId w:val="190"/>
        </w:numPr>
        <w:suppressAutoHyphens/>
        <w:spacing w:before="120" w:after="120" w:line="360" w:lineRule="auto"/>
        <w:jc w:val="both"/>
        <w:rPr>
          <w:rFonts w:ascii="Arial" w:hAnsi="Arial" w:cs="Arial"/>
          <w:lang w:eastAsia="en-US"/>
        </w:rPr>
      </w:pPr>
      <w:r w:rsidRPr="00E62154">
        <w:rPr>
          <w:rFonts w:ascii="Arial" w:hAnsi="Arial" w:cs="Arial"/>
          <w:lang w:eastAsia="en-US"/>
        </w:rPr>
        <w:t>Desmontaje de apoyos de la línea aérea, y acopio del apoyo a reutilizar.</w:t>
      </w:r>
    </w:p>
    <w:p w14:paraId="04CB1858" w14:textId="77777777" w:rsidR="00773E1E" w:rsidRPr="00E62154" w:rsidRDefault="00773E1E" w:rsidP="00661A5F">
      <w:pPr>
        <w:numPr>
          <w:ilvl w:val="0"/>
          <w:numId w:val="190"/>
        </w:numPr>
        <w:suppressAutoHyphens/>
        <w:spacing w:before="120" w:after="120" w:line="360" w:lineRule="auto"/>
        <w:jc w:val="both"/>
        <w:rPr>
          <w:rFonts w:ascii="Arial" w:hAnsi="Arial" w:cs="Arial"/>
          <w:lang w:eastAsia="en-US"/>
        </w:rPr>
      </w:pPr>
      <w:r w:rsidRPr="00E62154">
        <w:rPr>
          <w:rFonts w:ascii="Arial" w:hAnsi="Arial" w:cs="Arial"/>
          <w:lang w:eastAsia="en-US"/>
        </w:rPr>
        <w:t>Suministro y colocación de nuevo apoyo de hormigón.</w:t>
      </w:r>
    </w:p>
    <w:p w14:paraId="7E719DC4" w14:textId="77777777" w:rsidR="00773E1E" w:rsidRPr="00E62154" w:rsidRDefault="00773E1E" w:rsidP="00661A5F">
      <w:pPr>
        <w:numPr>
          <w:ilvl w:val="0"/>
          <w:numId w:val="190"/>
        </w:numPr>
        <w:suppressAutoHyphens/>
        <w:spacing w:before="120" w:after="120" w:line="360" w:lineRule="auto"/>
        <w:jc w:val="both"/>
        <w:rPr>
          <w:rFonts w:ascii="Arial" w:hAnsi="Arial" w:cs="Arial"/>
          <w:lang w:eastAsia="en-US"/>
        </w:rPr>
      </w:pPr>
      <w:r w:rsidRPr="00E62154">
        <w:rPr>
          <w:rFonts w:ascii="Arial" w:hAnsi="Arial" w:cs="Arial"/>
          <w:lang w:eastAsia="en-US"/>
        </w:rPr>
        <w:t>Instalación del apoyo a reutilizar.</w:t>
      </w:r>
    </w:p>
    <w:p w14:paraId="67BE5213" w14:textId="77777777" w:rsidR="00773E1E" w:rsidRPr="00E62154" w:rsidRDefault="00773E1E" w:rsidP="00661A5F">
      <w:pPr>
        <w:numPr>
          <w:ilvl w:val="0"/>
          <w:numId w:val="190"/>
        </w:numPr>
        <w:suppressAutoHyphens/>
        <w:spacing w:before="120" w:after="120" w:line="360" w:lineRule="auto"/>
        <w:jc w:val="both"/>
        <w:rPr>
          <w:rFonts w:ascii="Arial" w:hAnsi="Arial" w:cs="Arial"/>
          <w:lang w:eastAsia="en-US"/>
        </w:rPr>
      </w:pPr>
      <w:r w:rsidRPr="00E62154">
        <w:rPr>
          <w:rFonts w:ascii="Arial" w:hAnsi="Arial" w:cs="Arial"/>
          <w:lang w:eastAsia="en-US"/>
        </w:rPr>
        <w:t xml:space="preserve">Suministro y tendido aéreo de nuevo trenzado </w:t>
      </w:r>
      <w:proofErr w:type="gramStart"/>
      <w:r w:rsidRPr="00E62154">
        <w:rPr>
          <w:rFonts w:ascii="Arial" w:hAnsi="Arial" w:cs="Arial"/>
          <w:lang w:eastAsia="en-US"/>
        </w:rPr>
        <w:t>delas</w:t>
      </w:r>
      <w:proofErr w:type="gramEnd"/>
      <w:r w:rsidRPr="00E62154">
        <w:rPr>
          <w:rFonts w:ascii="Arial" w:hAnsi="Arial" w:cs="Arial"/>
          <w:lang w:eastAsia="en-US"/>
        </w:rPr>
        <w:t xml:space="preserve"> mismas características que el existente.</w:t>
      </w:r>
    </w:p>
    <w:p w14:paraId="0B5F9612" w14:textId="77777777" w:rsidR="00773E1E" w:rsidRPr="00E62154" w:rsidRDefault="00773E1E" w:rsidP="00661A5F">
      <w:pPr>
        <w:numPr>
          <w:ilvl w:val="0"/>
          <w:numId w:val="190"/>
        </w:numPr>
        <w:suppressAutoHyphens/>
        <w:spacing w:before="120" w:after="120" w:line="360" w:lineRule="auto"/>
        <w:jc w:val="both"/>
        <w:rPr>
          <w:rFonts w:ascii="Arial" w:hAnsi="Arial" w:cs="Arial"/>
          <w:lang w:eastAsia="en-US"/>
        </w:rPr>
      </w:pPr>
      <w:r w:rsidRPr="00E62154">
        <w:rPr>
          <w:rFonts w:ascii="Arial" w:hAnsi="Arial" w:cs="Arial"/>
          <w:lang w:eastAsia="en-US"/>
        </w:rPr>
        <w:t>Montaje de la caja de general de protección, incluso ejecución de conexiones.</w:t>
      </w:r>
    </w:p>
    <w:p w14:paraId="6D0CEAFB" w14:textId="77777777" w:rsidR="00773E1E" w:rsidRPr="00F95C5C" w:rsidRDefault="00773E1E" w:rsidP="00773E1E">
      <w:pPr>
        <w:suppressAutoHyphens/>
        <w:spacing w:before="120" w:after="120" w:line="360" w:lineRule="auto"/>
        <w:jc w:val="both"/>
        <w:rPr>
          <w:rFonts w:ascii="Arial" w:hAnsi="Arial" w:cs="Arial"/>
          <w:sz w:val="2"/>
          <w:szCs w:val="2"/>
          <w:lang w:eastAsia="en-US"/>
        </w:rPr>
      </w:pPr>
    </w:p>
    <w:p w14:paraId="239F931A" w14:textId="77777777" w:rsidR="00773E1E" w:rsidRPr="0037448F" w:rsidRDefault="00773E1E" w:rsidP="000313DD">
      <w:pPr>
        <w:pStyle w:val="TITU2"/>
      </w:pPr>
      <w:bookmarkStart w:id="1464" w:name="_Toc533762629"/>
      <w:bookmarkStart w:id="1465" w:name="_Toc404722"/>
      <w:r w:rsidRPr="0037448F">
        <w:t>813.4.</w:t>
      </w:r>
      <w:r w:rsidRPr="0037448F">
        <w:tab/>
        <w:t xml:space="preserve"> Materiales y ejecución de las obras</w:t>
      </w:r>
      <w:bookmarkEnd w:id="1464"/>
      <w:bookmarkEnd w:id="1465"/>
    </w:p>
    <w:p w14:paraId="3BDAFFEC"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Las características del poste de hormigón armado-vibrado seguirán lo establecido en la norma ET/5022: </w:t>
      </w:r>
      <w:r w:rsidRPr="00E62154">
        <w:rPr>
          <w:rFonts w:ascii="Arial" w:hAnsi="Arial" w:cs="Arial"/>
          <w:i/>
          <w:lang w:eastAsia="en-US"/>
        </w:rPr>
        <w:t>Postes de hormigón armado-vibrado</w:t>
      </w:r>
      <w:r w:rsidRPr="00E62154">
        <w:rPr>
          <w:rFonts w:ascii="Arial" w:hAnsi="Arial" w:cs="Arial"/>
          <w:lang w:eastAsia="en-US"/>
        </w:rPr>
        <w:t xml:space="preserve"> de EDP HC Energía.</w:t>
      </w:r>
    </w:p>
    <w:p w14:paraId="5B98D268"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 xml:space="preserve">El nuevo cable aéreo será del tipo RZ 3x150 AL/80AL, y cumplirá lo establecido en la norma </w:t>
      </w:r>
      <w:r w:rsidRPr="00E62154">
        <w:rPr>
          <w:rFonts w:ascii="Arial" w:hAnsi="Arial" w:cs="Arial"/>
          <w:i/>
          <w:lang w:eastAsia="en-US"/>
        </w:rPr>
        <w:t xml:space="preserve">ET/5038: Conductores Desnudos de Aluminio </w:t>
      </w:r>
      <w:proofErr w:type="spellStart"/>
      <w:r w:rsidRPr="00E62154">
        <w:rPr>
          <w:rFonts w:ascii="Arial" w:hAnsi="Arial" w:cs="Arial"/>
          <w:i/>
          <w:lang w:eastAsia="en-US"/>
        </w:rPr>
        <w:t>Avero</w:t>
      </w:r>
      <w:proofErr w:type="spellEnd"/>
      <w:r w:rsidRPr="00E62154">
        <w:rPr>
          <w:rFonts w:ascii="Arial" w:hAnsi="Arial" w:cs="Arial"/>
          <w:i/>
          <w:lang w:eastAsia="en-US"/>
        </w:rPr>
        <w:t xml:space="preserve"> para Líneas Eléctricas Aéreas</w:t>
      </w:r>
      <w:r w:rsidRPr="00E62154">
        <w:rPr>
          <w:rFonts w:ascii="Arial" w:hAnsi="Arial" w:cs="Arial"/>
          <w:lang w:eastAsia="en-US"/>
        </w:rPr>
        <w:t xml:space="preserve"> de EDP HC Energía.</w:t>
      </w:r>
    </w:p>
    <w:p w14:paraId="10CCB92D" w14:textId="77777777" w:rsidR="00773E1E" w:rsidRPr="00E62154" w:rsidRDefault="00773E1E" w:rsidP="00773E1E">
      <w:pPr>
        <w:suppressAutoHyphens/>
        <w:spacing w:before="120" w:after="120" w:line="360" w:lineRule="auto"/>
        <w:jc w:val="both"/>
        <w:rPr>
          <w:rFonts w:ascii="Arial" w:hAnsi="Arial" w:cs="Arial"/>
          <w:lang w:eastAsia="en-US"/>
        </w:rPr>
      </w:pPr>
      <w:r w:rsidRPr="00E62154">
        <w:rPr>
          <w:rFonts w:ascii="Arial" w:hAnsi="Arial" w:cs="Arial"/>
          <w:lang w:eastAsia="en-US"/>
        </w:rPr>
        <w:t>En términos generales, la ejecución de las obras de reposición se realizará atendiendo a las condiciones que establezca EDP HC Energía.</w:t>
      </w:r>
    </w:p>
    <w:p w14:paraId="18E89B36" w14:textId="77777777" w:rsidR="00773E1E" w:rsidRPr="0037448F" w:rsidRDefault="00773E1E" w:rsidP="000313DD">
      <w:pPr>
        <w:pStyle w:val="TITU2"/>
      </w:pPr>
      <w:bookmarkStart w:id="1466" w:name="_Toc533762630"/>
      <w:bookmarkStart w:id="1467" w:name="_Toc404723"/>
      <w:r w:rsidRPr="0037448F">
        <w:t>813.5.</w:t>
      </w:r>
      <w:r w:rsidRPr="0037448F">
        <w:tab/>
        <w:t xml:space="preserve"> Medición y abono</w:t>
      </w:r>
      <w:bookmarkEnd w:id="1466"/>
      <w:bookmarkEnd w:id="1467"/>
    </w:p>
    <w:p w14:paraId="2E97325F" w14:textId="77777777" w:rsidR="00773E1E" w:rsidRPr="00E62154" w:rsidRDefault="00773E1E" w:rsidP="00773E1E">
      <w:pPr>
        <w:suppressAutoHyphens/>
        <w:spacing w:before="120" w:after="120" w:line="360" w:lineRule="auto"/>
        <w:jc w:val="both"/>
        <w:rPr>
          <w:rFonts w:ascii="Arial" w:hAnsi="Arial" w:cs="Arial"/>
          <w:lang w:val="es-ES_tradnl" w:eastAsia="en-US"/>
        </w:rPr>
      </w:pPr>
      <w:r w:rsidRPr="00E62154">
        <w:rPr>
          <w:rFonts w:ascii="Arial" w:hAnsi="Arial" w:cs="Arial"/>
          <w:lang w:val="es-ES_tradnl" w:eastAsia="en-US"/>
        </w:rPr>
        <w:t>La medición y abono de la reposición de los servicios de EDP HC Energía se realizará conforme a las siguientes prescripciones: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05"/>
        <w:gridCol w:w="5739"/>
      </w:tblGrid>
      <w:tr w:rsidR="00773E1E" w:rsidRPr="00E62154" w14:paraId="19E0FFD8" w14:textId="77777777" w:rsidTr="00276EC8">
        <w:tc>
          <w:tcPr>
            <w:tcW w:w="2905" w:type="dxa"/>
            <w:vAlign w:val="center"/>
          </w:tcPr>
          <w:p w14:paraId="7974327C"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Unidad de medida</w:t>
            </w:r>
          </w:p>
        </w:tc>
        <w:tc>
          <w:tcPr>
            <w:tcW w:w="5739" w:type="dxa"/>
            <w:vAlign w:val="center"/>
          </w:tcPr>
          <w:p w14:paraId="79C1C64A"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Unidad (</w:t>
            </w:r>
            <w:proofErr w:type="spellStart"/>
            <w:r w:rsidRPr="00E62154">
              <w:rPr>
                <w:rFonts w:ascii="Arial" w:hAnsi="Arial" w:cs="Arial"/>
                <w:sz w:val="20"/>
              </w:rPr>
              <w:t>ud</w:t>
            </w:r>
            <w:proofErr w:type="spellEnd"/>
            <w:r w:rsidRPr="00E62154">
              <w:rPr>
                <w:rFonts w:ascii="Arial" w:hAnsi="Arial" w:cs="Arial"/>
                <w:sz w:val="20"/>
              </w:rPr>
              <w:t>)</w:t>
            </w:r>
          </w:p>
        </w:tc>
      </w:tr>
      <w:tr w:rsidR="00773E1E" w:rsidRPr="00E62154" w14:paraId="641600BA" w14:textId="77777777" w:rsidTr="00276EC8">
        <w:tc>
          <w:tcPr>
            <w:tcW w:w="2905" w:type="dxa"/>
            <w:vAlign w:val="center"/>
          </w:tcPr>
          <w:p w14:paraId="67C3B7CA"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Grado de precisión</w:t>
            </w:r>
          </w:p>
        </w:tc>
        <w:tc>
          <w:tcPr>
            <w:tcW w:w="5739" w:type="dxa"/>
            <w:vAlign w:val="center"/>
          </w:tcPr>
          <w:p w14:paraId="5A6EB4AC"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Unidades enteras</w:t>
            </w:r>
          </w:p>
        </w:tc>
      </w:tr>
      <w:tr w:rsidR="00773E1E" w:rsidRPr="00E62154" w14:paraId="54161F7D" w14:textId="77777777" w:rsidTr="00276EC8">
        <w:tc>
          <w:tcPr>
            <w:tcW w:w="2905" w:type="dxa"/>
            <w:vAlign w:val="center"/>
          </w:tcPr>
          <w:p w14:paraId="3B26BC08"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Forma de medición</w:t>
            </w:r>
          </w:p>
        </w:tc>
        <w:tc>
          <w:tcPr>
            <w:tcW w:w="5739" w:type="dxa"/>
            <w:vAlign w:val="center"/>
          </w:tcPr>
          <w:p w14:paraId="58085E4A" w14:textId="77777777" w:rsidR="00773E1E" w:rsidRPr="00E62154" w:rsidRDefault="00773E1E" w:rsidP="00276EC8">
            <w:pPr>
              <w:spacing w:before="120" w:after="40" w:line="276" w:lineRule="auto"/>
              <w:jc w:val="both"/>
              <w:rPr>
                <w:rFonts w:ascii="Arial" w:hAnsi="Arial" w:cs="Arial"/>
                <w:sz w:val="20"/>
              </w:rPr>
            </w:pPr>
          </w:p>
        </w:tc>
      </w:tr>
      <w:tr w:rsidR="00773E1E" w:rsidRPr="00E62154" w14:paraId="24B7DD17" w14:textId="77777777" w:rsidTr="00276EC8">
        <w:tc>
          <w:tcPr>
            <w:tcW w:w="2905" w:type="dxa"/>
            <w:tcBorders>
              <w:bottom w:val="single" w:sz="4" w:space="0" w:color="auto"/>
            </w:tcBorders>
            <w:vAlign w:val="center"/>
          </w:tcPr>
          <w:p w14:paraId="6FC2D9BF"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Abono</w:t>
            </w:r>
          </w:p>
        </w:tc>
        <w:tc>
          <w:tcPr>
            <w:tcW w:w="5739" w:type="dxa"/>
            <w:tcBorders>
              <w:bottom w:val="single" w:sz="4" w:space="0" w:color="auto"/>
            </w:tcBorders>
            <w:vAlign w:val="center"/>
          </w:tcPr>
          <w:p w14:paraId="21285E56" w14:textId="77777777" w:rsidR="00773E1E" w:rsidRPr="00E62154" w:rsidRDefault="00773E1E" w:rsidP="00276EC8">
            <w:pPr>
              <w:spacing w:before="120" w:after="40" w:line="276" w:lineRule="auto"/>
              <w:jc w:val="both"/>
              <w:rPr>
                <w:rFonts w:ascii="Arial" w:hAnsi="Arial" w:cs="Arial"/>
                <w:sz w:val="20"/>
              </w:rPr>
            </w:pPr>
            <w:r w:rsidRPr="00E62154">
              <w:rPr>
                <w:rFonts w:ascii="Arial" w:hAnsi="Arial" w:cs="Arial"/>
                <w:sz w:val="20"/>
              </w:rPr>
              <w:t>Se efectuará cuando se realice la aceptación.</w:t>
            </w:r>
          </w:p>
        </w:tc>
      </w:tr>
      <w:tr w:rsidR="00773E1E" w:rsidRPr="00E62154" w14:paraId="55A302CA" w14:textId="77777777" w:rsidTr="00276EC8">
        <w:tc>
          <w:tcPr>
            <w:tcW w:w="2905" w:type="dxa"/>
            <w:tcBorders>
              <w:bottom w:val="single" w:sz="4" w:space="0" w:color="auto"/>
            </w:tcBorders>
            <w:vAlign w:val="center"/>
          </w:tcPr>
          <w:p w14:paraId="3CA978A6" w14:textId="77777777" w:rsidR="00773E1E" w:rsidRPr="00E62154" w:rsidRDefault="00773E1E" w:rsidP="00276EC8">
            <w:pPr>
              <w:spacing w:before="120" w:after="40" w:line="276" w:lineRule="auto"/>
              <w:jc w:val="center"/>
              <w:rPr>
                <w:rFonts w:ascii="Arial" w:hAnsi="Arial" w:cs="Arial"/>
                <w:b/>
                <w:sz w:val="20"/>
              </w:rPr>
            </w:pPr>
            <w:r w:rsidRPr="00E62154">
              <w:rPr>
                <w:rFonts w:ascii="Arial" w:hAnsi="Arial" w:cs="Arial"/>
                <w:b/>
                <w:sz w:val="20"/>
              </w:rPr>
              <w:t>Criterios complementarios</w:t>
            </w:r>
          </w:p>
        </w:tc>
        <w:tc>
          <w:tcPr>
            <w:tcW w:w="5739" w:type="dxa"/>
            <w:tcBorders>
              <w:bottom w:val="single" w:sz="4" w:space="0" w:color="auto"/>
            </w:tcBorders>
            <w:vAlign w:val="center"/>
          </w:tcPr>
          <w:p w14:paraId="4C86421C" w14:textId="77777777" w:rsidR="00773E1E" w:rsidRPr="00E62154" w:rsidRDefault="00773E1E" w:rsidP="00D424A3">
            <w:pPr>
              <w:spacing w:before="120" w:after="40" w:line="276" w:lineRule="auto"/>
              <w:jc w:val="both"/>
              <w:rPr>
                <w:rFonts w:ascii="Arial" w:hAnsi="Arial" w:cs="Arial"/>
                <w:sz w:val="20"/>
              </w:rPr>
            </w:pPr>
            <w:r w:rsidRPr="00E62154">
              <w:rPr>
                <w:rFonts w:ascii="Arial" w:hAnsi="Arial" w:cs="Arial"/>
                <w:sz w:val="20"/>
              </w:rPr>
              <w:t>Los precios incluyen todos los materiales, mano de obra, maquinaria y medios auxiliares necesarios para la correcta ejecución de la unidad.</w:t>
            </w:r>
          </w:p>
        </w:tc>
      </w:tr>
    </w:tbl>
    <w:p w14:paraId="69AED852" w14:textId="77777777" w:rsidR="00773E1E" w:rsidRPr="00E62154" w:rsidRDefault="00773E1E" w:rsidP="00773E1E">
      <w:pPr>
        <w:spacing w:line="360" w:lineRule="auto"/>
        <w:rPr>
          <w:rFonts w:ascii="Arial" w:hAnsi="Arial" w:cs="Arial"/>
        </w:rPr>
      </w:pPr>
    </w:p>
    <w:p w14:paraId="73ADB2EE" w14:textId="77777777" w:rsidR="008E5353" w:rsidRPr="00E55C49" w:rsidRDefault="008E5353" w:rsidP="003708DA">
      <w:pPr>
        <w:pStyle w:val="TITU1"/>
      </w:pPr>
      <w:bookmarkStart w:id="1468" w:name="_Toc404724"/>
      <w:r w:rsidRPr="00E55C49">
        <w:lastRenderedPageBreak/>
        <w:t>Artículo 828.</w:t>
      </w:r>
      <w:r w:rsidR="00C50108" w:rsidRPr="00E55C49">
        <w:t xml:space="preserve"> </w:t>
      </w:r>
      <w:r w:rsidRPr="00E55C49">
        <w:t>Plan de vigilancia ambiental</w:t>
      </w:r>
      <w:bookmarkEnd w:id="1298"/>
      <w:bookmarkEnd w:id="1299"/>
      <w:bookmarkEnd w:id="1468"/>
    </w:p>
    <w:p w14:paraId="69B638F0" w14:textId="77777777" w:rsidR="008E5353" w:rsidRPr="00E55C49" w:rsidRDefault="008E5353" w:rsidP="000313DD">
      <w:pPr>
        <w:pStyle w:val="TITU2"/>
      </w:pPr>
      <w:bookmarkStart w:id="1469" w:name="_Toc206382274"/>
      <w:bookmarkStart w:id="1470" w:name="_Toc277523466"/>
      <w:bookmarkStart w:id="1471" w:name="_Toc404725"/>
      <w:r w:rsidRPr="00E55C49">
        <w:t>828.1.</w:t>
      </w:r>
      <w:r w:rsidRPr="00E55C49">
        <w:tab/>
      </w:r>
      <w:r w:rsidR="002C7DBC" w:rsidRPr="00E55C49">
        <w:t xml:space="preserve"> </w:t>
      </w:r>
      <w:r w:rsidRPr="00E55C49">
        <w:t>Definición</w:t>
      </w:r>
      <w:bookmarkEnd w:id="1469"/>
      <w:bookmarkEnd w:id="1470"/>
      <w:bookmarkEnd w:id="1471"/>
    </w:p>
    <w:p w14:paraId="0EB33F5C" w14:textId="77777777" w:rsidR="008E5353" w:rsidRPr="00E55C49" w:rsidRDefault="008E5353" w:rsidP="00AC3E0F">
      <w:pPr>
        <w:pStyle w:val="NORMAL12"/>
        <w:rPr>
          <w:lang w:val="es-ES"/>
        </w:rPr>
      </w:pPr>
      <w:r w:rsidRPr="00E55C49">
        <w:rPr>
          <w:lang w:val="es-ES"/>
        </w:rPr>
        <w:t>El Programa de Vigilancia Ambiental es el encargado de establecer un sistema que garantice el cumplimiento de las indicaciones y medidas protectoras y correctoras contenidas en el Proyecto.</w:t>
      </w:r>
    </w:p>
    <w:p w14:paraId="0D925CAE" w14:textId="77777777" w:rsidR="00630C73" w:rsidRPr="00E34DE7" w:rsidRDefault="00630C73" w:rsidP="000313DD">
      <w:pPr>
        <w:pStyle w:val="TITU2"/>
      </w:pPr>
      <w:bookmarkStart w:id="1472" w:name="_Toc404726"/>
      <w:r>
        <w:t>828.2. Exigencia legal</w:t>
      </w:r>
      <w:bookmarkEnd w:id="1472"/>
    </w:p>
    <w:p w14:paraId="42FA31CA" w14:textId="77777777" w:rsidR="00630C73" w:rsidRPr="00E34DE7" w:rsidRDefault="00630C73" w:rsidP="00630C73">
      <w:pPr>
        <w:spacing w:before="120" w:after="120" w:line="360" w:lineRule="auto"/>
        <w:jc w:val="both"/>
        <w:rPr>
          <w:rFonts w:ascii="Arial" w:hAnsi="Arial" w:cs="Arial"/>
        </w:rPr>
      </w:pPr>
      <w:r w:rsidRPr="00E34DE7">
        <w:rPr>
          <w:rFonts w:ascii="Arial" w:hAnsi="Arial" w:cs="Arial"/>
        </w:rPr>
        <w:t>La Ley 21/2013, de 9 de diciembre, de evaluación ambiental indica la necesidad de la realización del seguimiento y vigilancia del cumplimiento de la D.I.A.</w:t>
      </w:r>
    </w:p>
    <w:p w14:paraId="1354DD2A" w14:textId="77777777" w:rsidR="00630C73" w:rsidRPr="00E34DE7" w:rsidRDefault="00630C73" w:rsidP="00630C73">
      <w:pPr>
        <w:spacing w:before="120" w:after="120" w:line="360" w:lineRule="auto"/>
        <w:jc w:val="both"/>
        <w:rPr>
          <w:rFonts w:ascii="Arial" w:hAnsi="Arial" w:cs="Arial"/>
        </w:rPr>
      </w:pPr>
      <w:r w:rsidRPr="00E34DE7">
        <w:rPr>
          <w:rFonts w:ascii="Arial" w:hAnsi="Arial" w:cs="Arial"/>
        </w:rPr>
        <w:t>El proyecto constructivo definirá un Programa de Vigilancia Ambiental (P.V.A.) adaptado al diseño final de la actuación y a sus medidas correctoras, así como a garantizar el cumplimiento de los condicionantes de la D.I.A.</w:t>
      </w:r>
    </w:p>
    <w:p w14:paraId="39B55260" w14:textId="77777777" w:rsidR="007F17AA" w:rsidRPr="00E34DE7" w:rsidRDefault="007F17AA" w:rsidP="000313DD">
      <w:pPr>
        <w:pStyle w:val="TITU2"/>
      </w:pPr>
      <w:bookmarkStart w:id="1473" w:name="_Toc404727"/>
      <w:r w:rsidRPr="00E34DE7">
        <w:t>828.3. Objetivos del Plan</w:t>
      </w:r>
      <w:bookmarkEnd w:id="1473"/>
    </w:p>
    <w:p w14:paraId="7C25F69A" w14:textId="77777777" w:rsidR="00630C73" w:rsidRPr="00E34DE7" w:rsidRDefault="00630C73" w:rsidP="00630C73">
      <w:pPr>
        <w:pStyle w:val="NORMAL12"/>
      </w:pPr>
      <w:r w:rsidRPr="00E34DE7">
        <w:t>Una vez que se han identificado y valorado las principales afecciones generadas por el proyecto, y habiéndose definido las medidas protectoras y correctoras necesarias para evitarlos, reducirlos, o compensarlos, se establece un Programa de Vigilancia Ambiental, cuyo objeto fundamental será garantizar el cumplimiento de dichas medidas.</w:t>
      </w:r>
    </w:p>
    <w:p w14:paraId="577267F5" w14:textId="77777777" w:rsidR="00630C73" w:rsidRPr="00E34DE7" w:rsidRDefault="00630C73" w:rsidP="00630C73">
      <w:pPr>
        <w:pStyle w:val="NORMAL12"/>
      </w:pPr>
      <w:r w:rsidRPr="00E34DE7">
        <w:t>Con ello se persigue la consecución de los siguientes objetivos:</w:t>
      </w:r>
    </w:p>
    <w:p w14:paraId="5B0AFF23" w14:textId="77777777" w:rsidR="00630C73" w:rsidRPr="00E34DE7" w:rsidRDefault="00630C73" w:rsidP="000313DD">
      <w:pPr>
        <w:pStyle w:val="NORMAL12"/>
        <w:numPr>
          <w:ilvl w:val="0"/>
          <w:numId w:val="252"/>
        </w:numPr>
      </w:pPr>
      <w:r w:rsidRPr="00E34DE7">
        <w:t>Comprobar que las medidas preventivas y correctoras propuestas se han realizado.</w:t>
      </w:r>
    </w:p>
    <w:p w14:paraId="4FEAD973" w14:textId="77777777" w:rsidR="00630C73" w:rsidRPr="00E34DE7" w:rsidRDefault="00630C73" w:rsidP="000313DD">
      <w:pPr>
        <w:pStyle w:val="NORMAL12"/>
        <w:numPr>
          <w:ilvl w:val="0"/>
          <w:numId w:val="252"/>
        </w:numPr>
      </w:pPr>
      <w:r w:rsidRPr="00E34DE7">
        <w:t>Proporcionar información sobre la calidad y oportunidad de las medidas correctoras adoptadas.</w:t>
      </w:r>
    </w:p>
    <w:p w14:paraId="7FA4F4A7" w14:textId="77777777" w:rsidR="00630C73" w:rsidRPr="00E34DE7" w:rsidRDefault="00630C73" w:rsidP="000313DD">
      <w:pPr>
        <w:pStyle w:val="NORMAL12"/>
        <w:numPr>
          <w:ilvl w:val="0"/>
          <w:numId w:val="252"/>
        </w:numPr>
      </w:pPr>
      <w:r w:rsidRPr="00E34DE7">
        <w:t>Proporcionar advertencias inmediatas acerca de los valores alcanzados por los indicadores ambientales seleccionados, respecto de los niveles críticos preestablecidos.</w:t>
      </w:r>
    </w:p>
    <w:p w14:paraId="764AAFBD" w14:textId="77777777" w:rsidR="00630C73" w:rsidRPr="00E34DE7" w:rsidRDefault="00630C73" w:rsidP="000313DD">
      <w:pPr>
        <w:pStyle w:val="NORMAL12"/>
        <w:numPr>
          <w:ilvl w:val="0"/>
          <w:numId w:val="252"/>
        </w:numPr>
      </w:pPr>
      <w:r w:rsidRPr="00E34DE7">
        <w:t>Detectar alteraciones no previstas, con la consiguiente definición de nuevas medidas correctoras.</w:t>
      </w:r>
    </w:p>
    <w:p w14:paraId="2A44D647" w14:textId="77777777" w:rsidR="00630C73" w:rsidRPr="00E34DE7" w:rsidRDefault="00630C73" w:rsidP="000313DD">
      <w:pPr>
        <w:pStyle w:val="NORMAL12"/>
        <w:numPr>
          <w:ilvl w:val="0"/>
          <w:numId w:val="252"/>
        </w:numPr>
      </w:pPr>
      <w:r w:rsidRPr="00E34DE7">
        <w:t xml:space="preserve">Comprobar la cuantía de aquellos impactos cuya predicción sólo puede realizarse cualitativamente. </w:t>
      </w:r>
    </w:p>
    <w:p w14:paraId="2DDD3BEF" w14:textId="77777777" w:rsidR="00630C73" w:rsidRPr="00E34DE7" w:rsidRDefault="00630C73" w:rsidP="000313DD">
      <w:pPr>
        <w:pStyle w:val="NORMAL12"/>
        <w:numPr>
          <w:ilvl w:val="0"/>
          <w:numId w:val="252"/>
        </w:numPr>
      </w:pPr>
      <w:r w:rsidRPr="00E34DE7">
        <w:t>Aplicación de nuevas medidas correctoras en el caso de que las anteriormente definidas sean insuficientes.</w:t>
      </w:r>
    </w:p>
    <w:p w14:paraId="1B510702" w14:textId="77777777" w:rsidR="00630C73" w:rsidRPr="00E34DE7" w:rsidRDefault="00630C73" w:rsidP="00630C73">
      <w:pPr>
        <w:ind w:left="400" w:hanging="300"/>
      </w:pPr>
    </w:p>
    <w:p w14:paraId="0E86A0A3" w14:textId="77777777" w:rsidR="00630C73" w:rsidRPr="00E34DE7" w:rsidRDefault="00630C73" w:rsidP="00630C73">
      <w:pPr>
        <w:pStyle w:val="NORMAL12"/>
      </w:pPr>
      <w:r w:rsidRPr="00E34DE7">
        <w:t>Se podrán elaborar distintos tipos de informes según necesidad y/o situaciones especiales durante la ejecución de obra:</w:t>
      </w:r>
    </w:p>
    <w:p w14:paraId="5DCD3693" w14:textId="77777777" w:rsidR="00630C73" w:rsidRPr="00E34DE7" w:rsidRDefault="00630C73" w:rsidP="000313DD">
      <w:pPr>
        <w:pStyle w:val="NORMAL12"/>
        <w:numPr>
          <w:ilvl w:val="0"/>
          <w:numId w:val="253"/>
        </w:numPr>
      </w:pPr>
      <w:r w:rsidRPr="00E34DE7">
        <w:t>Informes ordinarios, que son los realizados para reflejar el desarrollo de las labores de seguimiento ambiental.</w:t>
      </w:r>
    </w:p>
    <w:p w14:paraId="24B3896F" w14:textId="77777777" w:rsidR="00630C73" w:rsidRPr="00E34DE7" w:rsidRDefault="00630C73" w:rsidP="000313DD">
      <w:pPr>
        <w:pStyle w:val="NORMAL12"/>
        <w:numPr>
          <w:ilvl w:val="0"/>
          <w:numId w:val="253"/>
        </w:numPr>
      </w:pPr>
      <w:r w:rsidRPr="00E34DE7">
        <w:t>Informes extraordinarios, que se emitirán cuando exista alguna afección no prevista o cualquier aspecto que precise una actuación inmediata, y que por su importancia merezca la emisión de un informe específico.</w:t>
      </w:r>
    </w:p>
    <w:p w14:paraId="16AC2D9C" w14:textId="77777777" w:rsidR="00630C73" w:rsidRPr="00E34DE7" w:rsidRDefault="00630C73" w:rsidP="000313DD">
      <w:pPr>
        <w:pStyle w:val="NORMAL12"/>
        <w:numPr>
          <w:ilvl w:val="0"/>
          <w:numId w:val="253"/>
        </w:numPr>
      </w:pPr>
      <w:r w:rsidRPr="00E34DE7">
        <w:t xml:space="preserve">Informes específicos, que son aquellos informes exigidos expresamente por un organismo público, referidos a alguna variable concreta y con una especificidad concreta. Según los casos puede coincidir con alguno de los anteriores tipos. </w:t>
      </w:r>
    </w:p>
    <w:p w14:paraId="665E7BAF" w14:textId="77777777" w:rsidR="00630C73" w:rsidRPr="00E34DE7" w:rsidRDefault="00630C73" w:rsidP="000313DD">
      <w:pPr>
        <w:pStyle w:val="NORMAL12"/>
        <w:numPr>
          <w:ilvl w:val="0"/>
          <w:numId w:val="253"/>
        </w:numPr>
      </w:pPr>
      <w:r w:rsidRPr="00E34DE7">
        <w:t>Informe final del PVA. El informe final contendrá el resumen y conclusiones de todas las actuaciones de vigilancia y seguimiento desarrolladas, y de los informes emitidos, tanto en la fase de ejecución, como de funcionamiento.</w:t>
      </w:r>
    </w:p>
    <w:p w14:paraId="51BBC363" w14:textId="77777777" w:rsidR="00630C73" w:rsidRPr="00E34DE7" w:rsidRDefault="00630C73" w:rsidP="00630C73">
      <w:pPr>
        <w:pStyle w:val="NORMAL12"/>
      </w:pPr>
      <w:r w:rsidRPr="00E34DE7">
        <w:t>Para la vigilancia ambiental en obra se contará con un técnico especialista en disciplinas medioambientales que será responsable de la realización del seguimiento continuo para garantizar el cumplimiento de cada una de las medidas de protección y corrección contempladas. Este especialista trabajará en colaboración con la Dirección de Obra.</w:t>
      </w:r>
    </w:p>
    <w:p w14:paraId="2B438C80" w14:textId="77777777" w:rsidR="00630C73" w:rsidRPr="00E34DE7" w:rsidRDefault="00630C73" w:rsidP="00630C73">
      <w:pPr>
        <w:pStyle w:val="NORMAL12"/>
      </w:pPr>
      <w:r w:rsidRPr="00E34DE7">
        <w:t xml:space="preserve">Durante la fase de ejecución del Plan, el técnico ambiental realizará un informe mensual que presentará a la Dirección de Obra con el fin de notificar incorrecciones en el cumplimiento de las medidas preventivas y correctoras. </w:t>
      </w:r>
    </w:p>
    <w:p w14:paraId="5971D4AE" w14:textId="77777777" w:rsidR="00630C73" w:rsidRPr="00E34DE7" w:rsidRDefault="00630C73" w:rsidP="00630C73">
      <w:pPr>
        <w:pStyle w:val="NORMAL12"/>
      </w:pPr>
      <w:r w:rsidRPr="00E34DE7">
        <w:t>Durante el funcionamiento de las infraestructuras objeto del proyecto se llevará a cabo el seguimiento del PVA, que incluye fundamentalmente las siguientes acciones:</w:t>
      </w:r>
    </w:p>
    <w:p w14:paraId="7EF8EA4E" w14:textId="77777777" w:rsidR="00630C73" w:rsidRPr="00E34DE7" w:rsidRDefault="00630C73" w:rsidP="000313DD">
      <w:pPr>
        <w:pStyle w:val="NORMAL12"/>
        <w:numPr>
          <w:ilvl w:val="0"/>
          <w:numId w:val="233"/>
        </w:numPr>
      </w:pPr>
      <w:r w:rsidRPr="00E34DE7">
        <w:t>Control de las emisiones de contaminantes atmosféricos como consecuencia del tránsito de maquinaria de transporte y movimiento de tierras. Control de las emisiones de gases y partículas.</w:t>
      </w:r>
    </w:p>
    <w:p w14:paraId="2E419D09" w14:textId="77777777" w:rsidR="00630C73" w:rsidRPr="00E34DE7" w:rsidRDefault="00630C73" w:rsidP="000313DD">
      <w:pPr>
        <w:pStyle w:val="NORMAL12"/>
        <w:numPr>
          <w:ilvl w:val="0"/>
          <w:numId w:val="233"/>
        </w:numPr>
      </w:pPr>
      <w:r w:rsidRPr="00E34DE7">
        <w:t>Control de ruidos y confort sonoro. Control del cumplimiento de las especificaciones la legislación sectorial vigente.</w:t>
      </w:r>
    </w:p>
    <w:p w14:paraId="26322EEC" w14:textId="77777777" w:rsidR="00630C73" w:rsidRPr="00E34DE7" w:rsidRDefault="00630C73" w:rsidP="000313DD">
      <w:pPr>
        <w:pStyle w:val="NORMAL12"/>
        <w:numPr>
          <w:ilvl w:val="0"/>
          <w:numId w:val="233"/>
        </w:numPr>
      </w:pPr>
      <w:r w:rsidRPr="00E34DE7">
        <w:lastRenderedPageBreak/>
        <w:t xml:space="preserve">Control exhaustivo del estado de los ejemplares arbóreos. Identificación de los ejemplares objeto de corta y, ejemplares a mantener. Eficacia de medidas protectoras y, número de ejemplares objeto de poda y/o </w:t>
      </w:r>
      <w:proofErr w:type="spellStart"/>
      <w:r w:rsidRPr="00E34DE7">
        <w:t>resalveo</w:t>
      </w:r>
      <w:proofErr w:type="spellEnd"/>
      <w:r w:rsidRPr="00E34DE7">
        <w:t xml:space="preserve"> con afecciones radiculares finalmente cortados. </w:t>
      </w:r>
    </w:p>
    <w:p w14:paraId="6E3EE69A" w14:textId="77777777" w:rsidR="00630C73" w:rsidRPr="00E34DE7" w:rsidRDefault="00630C73" w:rsidP="000313DD">
      <w:pPr>
        <w:pStyle w:val="Prrafodelista"/>
        <w:numPr>
          <w:ilvl w:val="0"/>
          <w:numId w:val="233"/>
        </w:numPr>
        <w:spacing w:before="120" w:after="120" w:line="360" w:lineRule="auto"/>
        <w:jc w:val="both"/>
        <w:rPr>
          <w:rFonts w:ascii="Arial" w:hAnsi="Arial" w:cs="Arial"/>
          <w:sz w:val="24"/>
          <w:szCs w:val="24"/>
        </w:rPr>
      </w:pPr>
      <w:r w:rsidRPr="00E34DE7">
        <w:rPr>
          <w:rFonts w:ascii="Arial" w:hAnsi="Arial" w:cs="Arial"/>
          <w:sz w:val="24"/>
          <w:szCs w:val="24"/>
        </w:rPr>
        <w:t>Detectar impactos no previstos en el Estudio de Impacto Ambiental y prever las medidas adecuadas para reducirlos, eliminarlos o compensarlos.</w:t>
      </w:r>
    </w:p>
    <w:p w14:paraId="7E219E19" w14:textId="77777777" w:rsidR="00630C73" w:rsidRPr="00E34DE7" w:rsidRDefault="00630C73" w:rsidP="000313DD">
      <w:pPr>
        <w:pStyle w:val="Prrafodelista"/>
        <w:numPr>
          <w:ilvl w:val="0"/>
          <w:numId w:val="233"/>
        </w:numPr>
        <w:spacing w:before="120" w:after="120" w:line="360" w:lineRule="auto"/>
        <w:jc w:val="both"/>
        <w:rPr>
          <w:rFonts w:ascii="Arial" w:hAnsi="Arial" w:cs="Arial"/>
          <w:sz w:val="24"/>
          <w:szCs w:val="24"/>
        </w:rPr>
      </w:pPr>
      <w:r w:rsidRPr="00E34DE7">
        <w:rPr>
          <w:rFonts w:ascii="Arial" w:hAnsi="Arial" w:cs="Arial"/>
          <w:sz w:val="24"/>
          <w:szCs w:val="24"/>
        </w:rPr>
        <w:t>Informar al Promotor sobre los aspectos objeto de vigilancia y ofrecerle un método sistemático, lo más sencillo y económico posible, para realizar la vigilancia de una forma eficaz.</w:t>
      </w:r>
    </w:p>
    <w:p w14:paraId="6ABB2488" w14:textId="77777777" w:rsidR="00630C73" w:rsidRPr="00E34DE7" w:rsidRDefault="00630C73" w:rsidP="000313DD">
      <w:pPr>
        <w:pStyle w:val="NORMAL12"/>
        <w:numPr>
          <w:ilvl w:val="0"/>
          <w:numId w:val="233"/>
        </w:numPr>
      </w:pPr>
      <w:r w:rsidRPr="00E34DE7">
        <w:t xml:space="preserve">Control de la aparición de procesos erosivos. </w:t>
      </w:r>
    </w:p>
    <w:p w14:paraId="28757490" w14:textId="77777777" w:rsidR="00630C73" w:rsidRPr="00E34DE7" w:rsidRDefault="00630C73" w:rsidP="000313DD">
      <w:pPr>
        <w:pStyle w:val="NORMAL12"/>
        <w:numPr>
          <w:ilvl w:val="0"/>
          <w:numId w:val="233"/>
        </w:numPr>
      </w:pPr>
      <w:r w:rsidRPr="00E34DE7">
        <w:t xml:space="preserve">Control de vertidos de materiales y/o acopios fuera de la zona de las obras señaladas a tal fin. </w:t>
      </w:r>
    </w:p>
    <w:p w14:paraId="3D057528" w14:textId="77777777" w:rsidR="00630C73" w:rsidRPr="00E34DE7" w:rsidRDefault="00630C73" w:rsidP="000313DD">
      <w:pPr>
        <w:pStyle w:val="NORMAL12"/>
        <w:numPr>
          <w:ilvl w:val="0"/>
          <w:numId w:val="233"/>
        </w:numPr>
      </w:pPr>
      <w:r w:rsidRPr="00E34DE7">
        <w:t>Inspección del correcto acopio de la tierra vegetal para su posterior uso.</w:t>
      </w:r>
    </w:p>
    <w:p w14:paraId="156C45E4" w14:textId="77777777" w:rsidR="00630C73" w:rsidRPr="00E34DE7" w:rsidRDefault="00630C73" w:rsidP="000313DD">
      <w:pPr>
        <w:pStyle w:val="NORMAL12"/>
        <w:numPr>
          <w:ilvl w:val="0"/>
          <w:numId w:val="233"/>
        </w:numPr>
      </w:pPr>
      <w:r w:rsidRPr="00E34DE7">
        <w:t>Control del éxito de las revegetaciones realizadas.</w:t>
      </w:r>
    </w:p>
    <w:p w14:paraId="75C204CE" w14:textId="77777777" w:rsidR="00630C73" w:rsidRPr="00E34DE7" w:rsidRDefault="00630C73" w:rsidP="000313DD">
      <w:pPr>
        <w:pStyle w:val="NORMAL12"/>
        <w:numPr>
          <w:ilvl w:val="0"/>
          <w:numId w:val="233"/>
        </w:numPr>
      </w:pPr>
      <w:r w:rsidRPr="00E34DE7">
        <w:t>Proponer sobre la marcha nuevas medidas preventivas y/o correctoras, si los parámetros analizados se desviasen de los esperados.</w:t>
      </w:r>
    </w:p>
    <w:p w14:paraId="2F3F4FE5" w14:textId="77777777" w:rsidR="00630C73" w:rsidRPr="00E34DE7" w:rsidRDefault="00630C73" w:rsidP="00630C73">
      <w:pPr>
        <w:pStyle w:val="NORMAL12"/>
      </w:pPr>
      <w:r w:rsidRPr="00E34DE7">
        <w:t xml:space="preserve">Con carácter general, los informes a generar serán: informe de adecuación a la </w:t>
      </w:r>
      <w:proofErr w:type="gramStart"/>
      <w:r w:rsidRPr="00E34DE7">
        <w:t>DIA,  Informes</w:t>
      </w:r>
      <w:proofErr w:type="gramEnd"/>
      <w:r w:rsidRPr="00E34DE7">
        <w:t xml:space="preserve"> mensuales a la Dirección de Obra, informes anuales a Medio Ambiente, informe final e informes anuales de supervisión.</w:t>
      </w:r>
    </w:p>
    <w:p w14:paraId="2AE8BDD0" w14:textId="77777777" w:rsidR="007F17AA" w:rsidRPr="00E34DE7" w:rsidRDefault="007F17AA" w:rsidP="000313DD">
      <w:pPr>
        <w:pStyle w:val="TITU2"/>
      </w:pPr>
      <w:bookmarkStart w:id="1474" w:name="_Toc404728"/>
      <w:r w:rsidRPr="00E34DE7">
        <w:t>828.4. Responsabilidad del seguimiento</w:t>
      </w:r>
      <w:bookmarkEnd w:id="1474"/>
    </w:p>
    <w:p w14:paraId="3DC6A230" w14:textId="77777777" w:rsidR="00630C73" w:rsidRPr="00E34DE7" w:rsidRDefault="00630C73" w:rsidP="00630C73">
      <w:pPr>
        <w:spacing w:before="120" w:after="120" w:line="360" w:lineRule="auto"/>
        <w:jc w:val="both"/>
        <w:rPr>
          <w:rFonts w:ascii="Arial" w:hAnsi="Arial" w:cs="Arial"/>
        </w:rPr>
      </w:pPr>
      <w:bookmarkStart w:id="1475" w:name="_Toc524508875"/>
      <w:bookmarkStart w:id="1476" w:name="_Toc524509002"/>
      <w:bookmarkStart w:id="1477" w:name="_Toc524511507"/>
      <w:bookmarkStart w:id="1478" w:name="_Toc524511635"/>
      <w:bookmarkStart w:id="1479" w:name="_Toc524511763"/>
      <w:bookmarkStart w:id="1480" w:name="_Toc524515081"/>
      <w:bookmarkStart w:id="1481" w:name="_Toc524677584"/>
      <w:bookmarkStart w:id="1482" w:name="_Toc524677936"/>
      <w:bookmarkStart w:id="1483" w:name="_Toc525112596"/>
      <w:bookmarkStart w:id="1484" w:name="_Toc524508876"/>
      <w:bookmarkStart w:id="1485" w:name="_Toc524509003"/>
      <w:bookmarkStart w:id="1486" w:name="_Toc524511508"/>
      <w:bookmarkStart w:id="1487" w:name="_Toc524511636"/>
      <w:bookmarkStart w:id="1488" w:name="_Toc524511764"/>
      <w:bookmarkStart w:id="1489" w:name="_Toc524515082"/>
      <w:bookmarkStart w:id="1490" w:name="_Toc524677585"/>
      <w:bookmarkStart w:id="1491" w:name="_Toc524677937"/>
      <w:bookmarkStart w:id="1492" w:name="_Toc525112597"/>
      <w:bookmarkStart w:id="1493" w:name="_Toc524508877"/>
      <w:bookmarkStart w:id="1494" w:name="_Toc524509004"/>
      <w:bookmarkStart w:id="1495" w:name="_Toc524511509"/>
      <w:bookmarkStart w:id="1496" w:name="_Toc524511637"/>
      <w:bookmarkStart w:id="1497" w:name="_Toc524511765"/>
      <w:bookmarkStart w:id="1498" w:name="_Toc524515083"/>
      <w:bookmarkStart w:id="1499" w:name="_Toc524677586"/>
      <w:bookmarkStart w:id="1500" w:name="_Toc524677938"/>
      <w:bookmarkStart w:id="1501" w:name="_Toc525112598"/>
      <w:bookmarkStart w:id="1502" w:name="_Toc524508878"/>
      <w:bookmarkStart w:id="1503" w:name="_Toc524509005"/>
      <w:bookmarkStart w:id="1504" w:name="_Toc524511510"/>
      <w:bookmarkStart w:id="1505" w:name="_Toc524511638"/>
      <w:bookmarkStart w:id="1506" w:name="_Toc524511766"/>
      <w:bookmarkStart w:id="1507" w:name="_Toc524515084"/>
      <w:bookmarkStart w:id="1508" w:name="_Toc524677587"/>
      <w:bookmarkStart w:id="1509" w:name="_Toc524677939"/>
      <w:bookmarkStart w:id="1510" w:name="_Toc525112599"/>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r w:rsidRPr="00E34DE7">
        <w:rPr>
          <w:rFonts w:ascii="Arial" w:hAnsi="Arial" w:cs="Arial"/>
        </w:rPr>
        <w:t>En su artículo 52 la Ley 21/2013, de 9 de diciembre, establece específicamente:</w:t>
      </w:r>
    </w:p>
    <w:p w14:paraId="0848EC2C" w14:textId="77777777" w:rsidR="00630C73" w:rsidRPr="00E34DE7" w:rsidRDefault="00630C73" w:rsidP="00630C73">
      <w:pPr>
        <w:pStyle w:val="NORMAL12"/>
        <w:spacing w:after="288"/>
        <w:ind w:left="709"/>
      </w:pPr>
      <w:r w:rsidRPr="00E34DE7">
        <w:t>1</w:t>
      </w:r>
      <w:r w:rsidRPr="00E34DE7">
        <w:rPr>
          <w:i/>
        </w:rPr>
        <w:t>. Corresponde al órgano sustantivo o a los órganos que, en su caso, designen las comunidades autónomas respecto de los proyectos que no sean de competencia estatal, el seguimiento del cumplimiento de la declaración de impacto ambiental o del informe de impacto ambiental.</w:t>
      </w:r>
    </w:p>
    <w:p w14:paraId="70991A90" w14:textId="77777777" w:rsidR="00630C73" w:rsidRPr="00E34DE7" w:rsidRDefault="00630C73" w:rsidP="00630C73">
      <w:pPr>
        <w:spacing w:before="120" w:after="120" w:line="360" w:lineRule="auto"/>
        <w:jc w:val="both"/>
        <w:rPr>
          <w:rFonts w:ascii="Arial" w:hAnsi="Arial" w:cs="Arial"/>
        </w:rPr>
      </w:pPr>
      <w:r w:rsidRPr="00E34DE7">
        <w:rPr>
          <w:rFonts w:ascii="Arial" w:hAnsi="Arial" w:cs="Arial"/>
        </w:rPr>
        <w:t>Por tanto, la vigilancia y control del cumplimiento son responsabilidad del órgano administrativo competente que aprueba definitivamente el Proyecto y lo ejecuta. Es el Órgano Competente Sustantivo el que debe llevar a cabo el contenido del Programa de Vigilancia Ambiental.</w:t>
      </w:r>
    </w:p>
    <w:p w14:paraId="3C9D0A90" w14:textId="77777777" w:rsidR="00630C73" w:rsidRPr="00E34DE7" w:rsidRDefault="00630C73" w:rsidP="00630C73">
      <w:pPr>
        <w:spacing w:before="120" w:after="120" w:line="360" w:lineRule="auto"/>
        <w:jc w:val="both"/>
        <w:rPr>
          <w:rFonts w:ascii="Arial" w:hAnsi="Arial" w:cs="Arial"/>
        </w:rPr>
      </w:pPr>
      <w:r w:rsidRPr="00E34DE7">
        <w:rPr>
          <w:rFonts w:ascii="Arial" w:hAnsi="Arial" w:cs="Arial"/>
        </w:rPr>
        <w:t xml:space="preserve">El control y el seguimiento abarcan la fase de ejecución de la obra y la fase de explotación. En la primera de ellas, por su importancia, se hace necesario que el órgano competente designe un Asesor Ambiental de la Obra, que actuará siempre bajo la supervisión del </w:t>
      </w:r>
      <w:proofErr w:type="gramStart"/>
      <w:r w:rsidRPr="00E34DE7">
        <w:rPr>
          <w:rFonts w:ascii="Arial" w:hAnsi="Arial" w:cs="Arial"/>
        </w:rPr>
        <w:t>Director</w:t>
      </w:r>
      <w:proofErr w:type="gramEnd"/>
      <w:r w:rsidRPr="00E34DE7">
        <w:rPr>
          <w:rFonts w:ascii="Arial" w:hAnsi="Arial" w:cs="Arial"/>
        </w:rPr>
        <w:t xml:space="preserve"> de la Obra y se encargará de la vigilancia ambiental </w:t>
      </w:r>
      <w:proofErr w:type="gramStart"/>
      <w:r w:rsidRPr="00E34DE7">
        <w:rPr>
          <w:rFonts w:ascii="Arial" w:hAnsi="Arial" w:cs="Arial"/>
        </w:rPr>
        <w:t>en relación a</w:t>
      </w:r>
      <w:proofErr w:type="gramEnd"/>
      <w:r w:rsidRPr="00E34DE7">
        <w:rPr>
          <w:rFonts w:ascii="Arial" w:hAnsi="Arial" w:cs="Arial"/>
        </w:rPr>
        <w:t xml:space="preserve"> lo siguiente:</w:t>
      </w:r>
    </w:p>
    <w:p w14:paraId="6FAB00B7" w14:textId="77777777" w:rsidR="00630C73" w:rsidRPr="00E34DE7" w:rsidRDefault="00630C73" w:rsidP="00630C73">
      <w:pPr>
        <w:spacing w:before="120" w:after="120" w:line="360" w:lineRule="auto"/>
        <w:jc w:val="both"/>
        <w:rPr>
          <w:rFonts w:ascii="Arial" w:hAnsi="Arial" w:cs="Arial"/>
        </w:rPr>
      </w:pPr>
      <w:r w:rsidRPr="00E34DE7">
        <w:rPr>
          <w:rFonts w:ascii="Arial" w:hAnsi="Arial" w:cs="Arial"/>
        </w:rPr>
        <w:t>a) La adopción y/o ejecución de las medidas preventivas, correctoras y compensatorias según las especificaciones del Proyecto. Adicionalmente asesorará a la Dirección de Obra en todas las decisiones que impliquen variaciones sustanciales sobre lo especificado en el Proyecto. Esta responsabilidad abarcará, a su vez, las dos fases siguientes:</w:t>
      </w:r>
    </w:p>
    <w:p w14:paraId="0E47547C" w14:textId="77777777" w:rsidR="00630C73" w:rsidRPr="00E34DE7" w:rsidRDefault="00630C73" w:rsidP="00630C73">
      <w:pPr>
        <w:spacing w:before="120" w:after="120" w:line="360" w:lineRule="auto"/>
        <w:jc w:val="both"/>
        <w:rPr>
          <w:rFonts w:ascii="Arial" w:hAnsi="Arial" w:cs="Arial"/>
        </w:rPr>
      </w:pPr>
      <w:r w:rsidRPr="00E34DE7">
        <w:rPr>
          <w:rFonts w:ascii="Arial" w:hAnsi="Arial" w:cs="Arial"/>
        </w:rPr>
        <w:t xml:space="preserve">Previa al inicio de las obras propiamente dichas, en la que se establecerá el estado preoperacional mediante una campaña de referencia y se ejecutarán las prescripciones previstas en el Proyecto para esta fase (prospecciones o </w:t>
      </w:r>
      <w:proofErr w:type="gramStart"/>
      <w:r w:rsidRPr="00E34DE7">
        <w:rPr>
          <w:rFonts w:ascii="Arial" w:hAnsi="Arial" w:cs="Arial"/>
        </w:rPr>
        <w:t>sondeos arqueológicos e informe arqueológico</w:t>
      </w:r>
      <w:proofErr w:type="gramEnd"/>
      <w:r w:rsidRPr="00E34DE7">
        <w:rPr>
          <w:rFonts w:ascii="Arial" w:hAnsi="Arial" w:cs="Arial"/>
        </w:rPr>
        <w:t xml:space="preserve">, jalonamiento, </w:t>
      </w:r>
      <w:proofErr w:type="spellStart"/>
      <w:r w:rsidRPr="00E34DE7">
        <w:rPr>
          <w:rFonts w:ascii="Arial" w:hAnsi="Arial" w:cs="Arial"/>
        </w:rPr>
        <w:t>etc</w:t>
      </w:r>
      <w:proofErr w:type="spellEnd"/>
      <w:r w:rsidRPr="00E34DE7">
        <w:rPr>
          <w:rFonts w:ascii="Arial" w:hAnsi="Arial" w:cs="Arial"/>
        </w:rPr>
        <w:t xml:space="preserve">). </w:t>
      </w:r>
    </w:p>
    <w:p w14:paraId="6180D104" w14:textId="77777777" w:rsidR="00630C73" w:rsidRPr="00E34DE7" w:rsidRDefault="00630C73" w:rsidP="00630C73">
      <w:pPr>
        <w:spacing w:before="120" w:after="120" w:line="360" w:lineRule="auto"/>
        <w:jc w:val="both"/>
        <w:rPr>
          <w:rFonts w:ascii="Arial" w:hAnsi="Arial" w:cs="Arial"/>
        </w:rPr>
      </w:pPr>
      <w:r w:rsidRPr="00E34DE7">
        <w:rPr>
          <w:rFonts w:ascii="Arial" w:hAnsi="Arial" w:cs="Arial"/>
        </w:rPr>
        <w:t>Periodo de obras: el seguimiento en esta fase requiere, por un lado, el control de una correcta ejecución de las medidas preventivas y correctoras en la obra, y por otro, en paralelo, una medición de los indicadores de evaluación de los impactos, para comprobar que esas medidas están siendo efectivas.</w:t>
      </w:r>
    </w:p>
    <w:p w14:paraId="25DF7A98" w14:textId="77777777" w:rsidR="00630C73" w:rsidRPr="00E34DE7" w:rsidRDefault="00630C73" w:rsidP="00630C73">
      <w:pPr>
        <w:spacing w:before="120" w:after="120" w:line="360" w:lineRule="auto"/>
        <w:jc w:val="both"/>
        <w:rPr>
          <w:rFonts w:ascii="Arial" w:hAnsi="Arial" w:cs="Arial"/>
        </w:rPr>
      </w:pPr>
      <w:r w:rsidRPr="00E34DE7">
        <w:rPr>
          <w:rFonts w:ascii="Arial" w:hAnsi="Arial" w:cs="Arial"/>
        </w:rPr>
        <w:t xml:space="preserve">b) La redacción de los informes periódicos exigidos por la Declaración de Impacto Ambiental y la presentación al </w:t>
      </w:r>
      <w:proofErr w:type="gramStart"/>
      <w:r w:rsidRPr="00E34DE7">
        <w:rPr>
          <w:rFonts w:ascii="Arial" w:hAnsi="Arial" w:cs="Arial"/>
        </w:rPr>
        <w:t>Director</w:t>
      </w:r>
      <w:proofErr w:type="gramEnd"/>
      <w:r w:rsidRPr="00E34DE7">
        <w:rPr>
          <w:rFonts w:ascii="Arial" w:hAnsi="Arial" w:cs="Arial"/>
        </w:rPr>
        <w:t xml:space="preserve"> de la Obra para su remisión a la Dirección General de Calidad y Evaluación Ambiental.</w:t>
      </w:r>
    </w:p>
    <w:p w14:paraId="096EE187" w14:textId="77777777" w:rsidR="00630C73" w:rsidRPr="00E34DE7" w:rsidRDefault="00630C73" w:rsidP="00630C73">
      <w:pPr>
        <w:spacing w:before="120" w:after="120" w:line="360" w:lineRule="auto"/>
        <w:jc w:val="both"/>
        <w:rPr>
          <w:rFonts w:ascii="Arial" w:hAnsi="Arial" w:cs="Arial"/>
        </w:rPr>
      </w:pPr>
      <w:r w:rsidRPr="00E34DE7">
        <w:rPr>
          <w:rFonts w:ascii="Arial" w:hAnsi="Arial" w:cs="Arial"/>
        </w:rPr>
        <w:t>c) El correcto desarrollo y ejecución del Programa de Vigilancia Ambiental durante la obra.</w:t>
      </w:r>
    </w:p>
    <w:p w14:paraId="7DCEB661" w14:textId="77777777" w:rsidR="00630C73" w:rsidRPr="00E34DE7" w:rsidRDefault="00630C73" w:rsidP="00630C73">
      <w:pPr>
        <w:spacing w:before="120" w:after="120" w:line="360" w:lineRule="auto"/>
        <w:jc w:val="both"/>
        <w:rPr>
          <w:rFonts w:ascii="Arial" w:hAnsi="Arial" w:cs="Arial"/>
        </w:rPr>
      </w:pPr>
      <w:r w:rsidRPr="00E34DE7">
        <w:rPr>
          <w:rFonts w:ascii="Arial" w:hAnsi="Arial" w:cs="Arial"/>
        </w:rPr>
        <w:t xml:space="preserve">Por todo ello, el cumplimiento, control y seguimiento de las medidas establecidas son responsabilidad de la Dirección General de Carreteras, quien lo ejecutará con personal propio o mediante asistencia técnica. Para ello, este organismo nombrará una Dirección Ambiental de Obra que se responsabilizará de la adopción de las medidas correctoras, de la ejecución del PVA, de la emisión de los informes técnicos periódicos sobre el grado de cumplimiento de la </w:t>
      </w:r>
      <w:proofErr w:type="spellStart"/>
      <w:r w:rsidRPr="00E34DE7">
        <w:rPr>
          <w:rFonts w:ascii="Arial" w:hAnsi="Arial" w:cs="Arial"/>
        </w:rPr>
        <w:t>D.l.A</w:t>
      </w:r>
      <w:proofErr w:type="spellEnd"/>
      <w:r w:rsidRPr="00E34DE7">
        <w:rPr>
          <w:rFonts w:ascii="Arial" w:hAnsi="Arial" w:cs="Arial"/>
        </w:rPr>
        <w:t>. y de su remisión a la Dirección General de Calidad y Evaluación Ambiental.</w:t>
      </w:r>
    </w:p>
    <w:p w14:paraId="7E37AC3C" w14:textId="77777777" w:rsidR="00630C73" w:rsidRPr="00E34DE7" w:rsidRDefault="00630C73" w:rsidP="00630C73">
      <w:pPr>
        <w:spacing w:before="120" w:after="120" w:line="360" w:lineRule="auto"/>
        <w:jc w:val="both"/>
        <w:rPr>
          <w:rFonts w:ascii="Arial" w:hAnsi="Arial" w:cs="Arial"/>
        </w:rPr>
      </w:pPr>
      <w:r w:rsidRPr="00E34DE7">
        <w:rPr>
          <w:rFonts w:ascii="Arial" w:hAnsi="Arial" w:cs="Arial"/>
        </w:rPr>
        <w:t xml:space="preserve">A su vez, el Adjudicatario de las obras nombrará a su cargo a un </w:t>
      </w:r>
      <w:proofErr w:type="gramStart"/>
      <w:r w:rsidRPr="00E34DE7">
        <w:rPr>
          <w:rFonts w:ascii="Arial" w:hAnsi="Arial" w:cs="Arial"/>
        </w:rPr>
        <w:t>Responsable</w:t>
      </w:r>
      <w:proofErr w:type="gramEnd"/>
      <w:r w:rsidRPr="00E34DE7">
        <w:rPr>
          <w:rFonts w:ascii="Arial" w:hAnsi="Arial" w:cs="Arial"/>
        </w:rPr>
        <w:t xml:space="preserve"> Técnico de Medio Ambiente, que deberá proporcionar a la Dirección General de Carreteras la información y los medios necesarios para el correcto cumplimiento del PVA. Con ese fin el </w:t>
      </w:r>
      <w:r w:rsidRPr="00E34DE7">
        <w:rPr>
          <w:rFonts w:ascii="Arial" w:hAnsi="Arial" w:cs="Arial"/>
        </w:rPr>
        <w:lastRenderedPageBreak/>
        <w:t>Contratista se obliga a mantener a disposición de la Dirección General de Carreteras un Diario Ambiental de Obra.</w:t>
      </w:r>
    </w:p>
    <w:p w14:paraId="38D76385" w14:textId="77777777" w:rsidR="00630C73" w:rsidRPr="00E34DE7" w:rsidRDefault="00630C73" w:rsidP="00630C73">
      <w:pPr>
        <w:spacing w:before="120" w:after="120" w:line="360" w:lineRule="auto"/>
        <w:jc w:val="both"/>
        <w:rPr>
          <w:rFonts w:ascii="Arial" w:hAnsi="Arial" w:cs="Arial"/>
        </w:rPr>
      </w:pPr>
      <w:r w:rsidRPr="00E34DE7">
        <w:rPr>
          <w:rFonts w:ascii="Arial" w:hAnsi="Arial" w:cs="Arial"/>
        </w:rPr>
        <w:t xml:space="preserve">El Contratista deberá elaborar un Manual de Buenas Prácticas Ambientales que defina las medidas a tomar para evitar impactos derivados de la gestión de las obras (control de residuos y vertidos de aceite, control del movimiento de maquinaria de obra, medidas para minimizar la afección a la vegetación y fauna del entorno de las obras, realización de un diario ambiental de las obras, </w:t>
      </w:r>
      <w:proofErr w:type="spellStart"/>
      <w:r w:rsidRPr="00E34DE7">
        <w:rPr>
          <w:rFonts w:ascii="Arial" w:hAnsi="Arial" w:cs="Arial"/>
        </w:rPr>
        <w:t>etc</w:t>
      </w:r>
      <w:proofErr w:type="spellEnd"/>
      <w:r w:rsidRPr="00E34DE7">
        <w:rPr>
          <w:rFonts w:ascii="Arial" w:hAnsi="Arial" w:cs="Arial"/>
        </w:rPr>
        <w:t>).</w:t>
      </w:r>
    </w:p>
    <w:p w14:paraId="3A11CA8C" w14:textId="77777777" w:rsidR="007F17AA" w:rsidRPr="00E34DE7" w:rsidRDefault="007F17AA" w:rsidP="000313DD">
      <w:pPr>
        <w:pStyle w:val="TITU2"/>
      </w:pPr>
      <w:bookmarkStart w:id="1511" w:name="_Toc404729"/>
      <w:r w:rsidRPr="00E34DE7">
        <w:t>828.5. Estructura y funcionamiento del PVA</w:t>
      </w:r>
      <w:bookmarkEnd w:id="1511"/>
    </w:p>
    <w:p w14:paraId="57941F8B" w14:textId="77777777" w:rsidR="00630C73" w:rsidRPr="00E34DE7" w:rsidRDefault="00630C73" w:rsidP="00630C73">
      <w:pPr>
        <w:pStyle w:val="NORMAL12"/>
        <w:rPr>
          <w:spacing w:val="-3"/>
        </w:rPr>
      </w:pPr>
      <w:bookmarkStart w:id="1512" w:name="_Toc517207150"/>
      <w:bookmarkEnd w:id="1512"/>
      <w:r w:rsidRPr="00E34DE7">
        <w:rPr>
          <w:spacing w:val="-3"/>
        </w:rPr>
        <w:t>El PVA tiene una estructura cíclica, con diferentes etapas relacionadas entre sí, que parte de la identificación de aspectos e impactos ambientales y los objetivos para evitarlos o reducirlos, continúa con el control y seguimiento de las actuaciones implicadas en los mismos y la resolución de las desviaciones encontradas, y se cierra con la revisión de los resultados de su aplicación. Incorpora las siguientes fases y actividades:</w:t>
      </w:r>
    </w:p>
    <w:p w14:paraId="688B0AA9" w14:textId="77777777" w:rsidR="00630C73" w:rsidRPr="00E34DE7" w:rsidRDefault="00630C73" w:rsidP="00630C73">
      <w:pPr>
        <w:pStyle w:val="NORMAL12"/>
        <w:rPr>
          <w:i/>
          <w:u w:val="single"/>
        </w:rPr>
      </w:pPr>
      <w:r w:rsidRPr="00E34DE7">
        <w:rPr>
          <w:i/>
          <w:u w:val="single"/>
        </w:rPr>
        <w:t>Fase de planificación</w:t>
      </w:r>
    </w:p>
    <w:p w14:paraId="3924D634" w14:textId="77777777" w:rsidR="00630C73" w:rsidRPr="00E34DE7" w:rsidRDefault="00630C73" w:rsidP="000313DD">
      <w:pPr>
        <w:pStyle w:val="NORMAL12"/>
        <w:numPr>
          <w:ilvl w:val="0"/>
          <w:numId w:val="234"/>
        </w:numPr>
      </w:pPr>
      <w:r w:rsidRPr="00E34DE7">
        <w:t>Definición de los objetivos de control, identificando los sistemas afectados, los tipos de impactos y los indicadores seleccionados. Sin embargo, según vaya avanzando la obra, se mantiene la identificación de aspectos o impactos no previstos, los cuales se irán aplicando a la planificación según vayan apareciendo.</w:t>
      </w:r>
    </w:p>
    <w:p w14:paraId="553A5671" w14:textId="77777777" w:rsidR="00630C73" w:rsidRPr="00E34DE7" w:rsidRDefault="00630C73" w:rsidP="000313DD">
      <w:pPr>
        <w:pStyle w:val="NORMAL12"/>
        <w:numPr>
          <w:ilvl w:val="0"/>
          <w:numId w:val="234"/>
        </w:numPr>
      </w:pPr>
      <w:r w:rsidRPr="00E34DE7">
        <w:t>Establecimiento de las necesidades de datos para lograr los objetivos de control.</w:t>
      </w:r>
    </w:p>
    <w:p w14:paraId="3A1306D1" w14:textId="77777777" w:rsidR="00630C73" w:rsidRPr="00E34DE7" w:rsidRDefault="00630C73" w:rsidP="000313DD">
      <w:pPr>
        <w:pStyle w:val="NORMAL12"/>
        <w:numPr>
          <w:ilvl w:val="0"/>
          <w:numId w:val="234"/>
        </w:numPr>
      </w:pPr>
      <w:r w:rsidRPr="00E34DE7">
        <w:t>Definición de las estrategias y programas de muestreo: consistirá en determinar la frecuencia y el programa de recolección de datos, las áreas a controlar y el método para la recogida de datos, formas de almacenamiento y sistemas de análisis.</w:t>
      </w:r>
    </w:p>
    <w:p w14:paraId="06F94AA2" w14:textId="77777777" w:rsidR="00630C73" w:rsidRPr="00E34DE7" w:rsidRDefault="00630C73" w:rsidP="000313DD">
      <w:pPr>
        <w:pStyle w:val="NORMAL12"/>
        <w:numPr>
          <w:ilvl w:val="0"/>
          <w:numId w:val="234"/>
        </w:numPr>
      </w:pPr>
      <w:r w:rsidRPr="00E34DE7">
        <w:t>Comprobación de la disponibilidad de datos e información sobre programas similares ya existentes, examinando los logros alcanzados en función de los objetivos propuestos.</w:t>
      </w:r>
    </w:p>
    <w:p w14:paraId="24B0E000" w14:textId="77777777" w:rsidR="00630C73" w:rsidRPr="00E34DE7" w:rsidRDefault="00630C73" w:rsidP="000313DD">
      <w:pPr>
        <w:pStyle w:val="NORMAL12"/>
        <w:numPr>
          <w:ilvl w:val="0"/>
          <w:numId w:val="234"/>
        </w:numPr>
      </w:pPr>
      <w:r w:rsidRPr="00E34DE7">
        <w:t xml:space="preserve">Establecer la metodología de resolución de posibles desviaciones que puedan ser detectadas durante </w:t>
      </w:r>
      <w:proofErr w:type="gramStart"/>
      <w:r w:rsidRPr="00E34DE7">
        <w:t>la los</w:t>
      </w:r>
      <w:proofErr w:type="gramEnd"/>
      <w:r w:rsidRPr="00E34DE7">
        <w:t xml:space="preserve"> trabajos de ejecución de obra.</w:t>
      </w:r>
    </w:p>
    <w:p w14:paraId="308E2DDA" w14:textId="77777777" w:rsidR="00630C73" w:rsidRPr="00E34DE7" w:rsidRDefault="00630C73" w:rsidP="00630C73">
      <w:pPr>
        <w:pStyle w:val="NORMAL12"/>
      </w:pPr>
    </w:p>
    <w:p w14:paraId="5981D378" w14:textId="77777777" w:rsidR="00630C73" w:rsidRPr="00E34DE7" w:rsidRDefault="00630C73" w:rsidP="00630C73">
      <w:pPr>
        <w:pStyle w:val="NORMAL12"/>
        <w:rPr>
          <w:i/>
          <w:u w:val="single"/>
        </w:rPr>
      </w:pPr>
      <w:r w:rsidRPr="00E34DE7">
        <w:rPr>
          <w:i/>
          <w:u w:val="single"/>
        </w:rPr>
        <w:t>Fase de ejecución del PVA</w:t>
      </w:r>
    </w:p>
    <w:p w14:paraId="649A832D" w14:textId="77777777" w:rsidR="00630C73" w:rsidRPr="00E34DE7" w:rsidRDefault="00630C73" w:rsidP="000313DD">
      <w:pPr>
        <w:pStyle w:val="NORMAL12"/>
        <w:numPr>
          <w:ilvl w:val="0"/>
          <w:numId w:val="235"/>
        </w:numPr>
      </w:pPr>
      <w:r w:rsidRPr="00E34DE7">
        <w:t>Recogida de datos, su almacenamiento y clasificación.</w:t>
      </w:r>
    </w:p>
    <w:p w14:paraId="16A7345C" w14:textId="77777777" w:rsidR="00630C73" w:rsidRPr="00E34DE7" w:rsidRDefault="00630C73" w:rsidP="000313DD">
      <w:pPr>
        <w:pStyle w:val="NORMAL12"/>
        <w:numPr>
          <w:ilvl w:val="0"/>
          <w:numId w:val="235"/>
        </w:numPr>
      </w:pPr>
      <w:r w:rsidRPr="00E34DE7">
        <w:t>Interpretación de la información recogida, se procede a la identificación de las tendencias del impacto, a la evaluación y comprobación de la eficacia de las medidas protectoras propuestas, así como a la definición de nuevos sistemas correctores que eviten o minoren las alteraciones detectadas.</w:t>
      </w:r>
    </w:p>
    <w:p w14:paraId="27906D30" w14:textId="77777777" w:rsidR="00630C73" w:rsidRPr="00E34DE7" w:rsidRDefault="00630C73" w:rsidP="000313DD">
      <w:pPr>
        <w:pStyle w:val="NORMAL12"/>
        <w:numPr>
          <w:ilvl w:val="0"/>
          <w:numId w:val="235"/>
        </w:numPr>
      </w:pPr>
      <w:r w:rsidRPr="00E34DE7">
        <w:t>Elaboración de informes periódicos en los que se señalen los niveles de impacto que resultan del plan y la eficacia de las medidas correctoras realizadas, tanto para la solución de desviaciones encontradas en la ejecución de las medidas ambientales como para la reducción de los nuevos impactos detectados.</w:t>
      </w:r>
    </w:p>
    <w:p w14:paraId="6AB99404" w14:textId="77777777" w:rsidR="00630C73" w:rsidRPr="00E34DE7" w:rsidRDefault="00630C73" w:rsidP="00630C73">
      <w:pPr>
        <w:tabs>
          <w:tab w:val="left" w:pos="-720"/>
        </w:tabs>
        <w:ind w:left="720"/>
        <w:rPr>
          <w:rFonts w:cs="Arial"/>
          <w:spacing w:val="-3"/>
        </w:rPr>
      </w:pPr>
    </w:p>
    <w:p w14:paraId="6C704587" w14:textId="77777777" w:rsidR="00630C73" w:rsidRPr="00E34DE7" w:rsidRDefault="00630C73" w:rsidP="00630C73">
      <w:pPr>
        <w:pStyle w:val="NORMAL12"/>
        <w:rPr>
          <w:i/>
          <w:u w:val="single"/>
        </w:rPr>
      </w:pPr>
      <w:r w:rsidRPr="00E34DE7">
        <w:rPr>
          <w:i/>
          <w:u w:val="single"/>
        </w:rPr>
        <w:t>Fase de revisión</w:t>
      </w:r>
    </w:p>
    <w:p w14:paraId="2A283159" w14:textId="77777777" w:rsidR="00630C73" w:rsidRPr="00E34DE7" w:rsidRDefault="00630C73" w:rsidP="000313DD">
      <w:pPr>
        <w:pStyle w:val="NORMAL12"/>
        <w:numPr>
          <w:ilvl w:val="0"/>
          <w:numId w:val="236"/>
        </w:numPr>
      </w:pPr>
      <w:r w:rsidRPr="00E34DE7">
        <w:t>Se realizará la revisión de forma periódica de la normativa ambiental aplicable a los trabajos de obra del presente plan, con el fin de incorporar las modificaciones o nuevas normas aparecidas durante las obras.</w:t>
      </w:r>
    </w:p>
    <w:p w14:paraId="62F9ECFC" w14:textId="77777777" w:rsidR="00630C73" w:rsidRPr="00E34DE7" w:rsidRDefault="00630C73" w:rsidP="000313DD">
      <w:pPr>
        <w:pStyle w:val="NORMAL12"/>
        <w:numPr>
          <w:ilvl w:val="0"/>
          <w:numId w:val="236"/>
        </w:numPr>
      </w:pPr>
      <w:r w:rsidRPr="00E34DE7">
        <w:t>En función de los informes periódicos realizados y las modificaciones de la normativa ambiental se procederá a la revisión, perfeccionamiento y adaptación del Programa de Vigilancia Ambiental.</w:t>
      </w:r>
    </w:p>
    <w:p w14:paraId="29056E98" w14:textId="77777777" w:rsidR="007F17AA" w:rsidRPr="00E34DE7" w:rsidRDefault="007F17AA" w:rsidP="000313DD">
      <w:pPr>
        <w:pStyle w:val="TITU2"/>
      </w:pPr>
      <w:bookmarkStart w:id="1513" w:name="_Toc404730"/>
      <w:r w:rsidRPr="00E34DE7">
        <w:t>828.6.  Control de las actividades en la fase de ejecución y fase de funcionamiento</w:t>
      </w:r>
      <w:bookmarkEnd w:id="1513"/>
    </w:p>
    <w:p w14:paraId="50707809" w14:textId="77777777" w:rsidR="00630C73" w:rsidRPr="00E34DE7" w:rsidRDefault="00630C73" w:rsidP="000313DD">
      <w:pPr>
        <w:pStyle w:val="NORMAL12"/>
        <w:numPr>
          <w:ilvl w:val="0"/>
          <w:numId w:val="237"/>
        </w:numPr>
      </w:pPr>
      <w:r w:rsidRPr="00E34DE7">
        <w:t>Todas las actividades que pueden producir impactos significativos sobre el entorno, así como la ejecución de las medidas ambientales, serán controladas. De la misma manera, se realizará un control de los factores del entorno para poder determinar la magnitud o intensidad de los impactos.</w:t>
      </w:r>
    </w:p>
    <w:p w14:paraId="05B9E1AA" w14:textId="77777777" w:rsidR="00630C73" w:rsidRPr="00E34DE7" w:rsidRDefault="00630C73" w:rsidP="000313DD">
      <w:pPr>
        <w:pStyle w:val="NORMAL12"/>
        <w:numPr>
          <w:ilvl w:val="0"/>
          <w:numId w:val="237"/>
        </w:numPr>
      </w:pPr>
      <w:r w:rsidRPr="00E34DE7">
        <w:t>A su vez, se realizará un control de la documentación generada durante el desarrollo del PVA.</w:t>
      </w:r>
    </w:p>
    <w:p w14:paraId="4712FBEB" w14:textId="77777777" w:rsidR="00630C73" w:rsidRPr="00E34DE7" w:rsidRDefault="00630C73" w:rsidP="000313DD">
      <w:pPr>
        <w:pStyle w:val="NORMAL12"/>
        <w:numPr>
          <w:ilvl w:val="0"/>
          <w:numId w:val="237"/>
        </w:numPr>
      </w:pPr>
      <w:r w:rsidRPr="00E34DE7">
        <w:t>El control de las actividades de la obra durante la fase de ejecución de las obras se realizará semanalmente con una dedicación de media jornada por un Técnico Ambiental.</w:t>
      </w:r>
    </w:p>
    <w:p w14:paraId="3E5732F3" w14:textId="77777777" w:rsidR="00630C73" w:rsidRPr="00E34DE7" w:rsidRDefault="00630C73" w:rsidP="000313DD">
      <w:pPr>
        <w:pStyle w:val="NORMAL12"/>
        <w:numPr>
          <w:ilvl w:val="0"/>
          <w:numId w:val="237"/>
        </w:numPr>
      </w:pPr>
      <w:r w:rsidRPr="00E34DE7">
        <w:t xml:space="preserve">El seguimiento y control del funcionamiento de las medidas preventivas y correctoras durante la fase de funcionamiento de las infraestructuras (que comprende los tres años siguientes a la puesta en funcionamiento de </w:t>
      </w:r>
      <w:proofErr w:type="gramStart"/>
      <w:r w:rsidRPr="00E34DE7">
        <w:t>las mismas</w:t>
      </w:r>
      <w:proofErr w:type="gramEnd"/>
      <w:r w:rsidRPr="00E34DE7">
        <w:t>) se realizará mensualmente por un Técnico Ambiental.</w:t>
      </w:r>
    </w:p>
    <w:p w14:paraId="324A602E" w14:textId="77777777" w:rsidR="007F17AA" w:rsidRPr="00E34DE7" w:rsidRDefault="007F17AA" w:rsidP="000313DD">
      <w:pPr>
        <w:pStyle w:val="TITU2"/>
      </w:pPr>
      <w:bookmarkStart w:id="1514" w:name="_Toc404731"/>
      <w:r w:rsidRPr="00E34DE7">
        <w:lastRenderedPageBreak/>
        <w:t>828.7. Control operacional</w:t>
      </w:r>
      <w:bookmarkEnd w:id="1514"/>
    </w:p>
    <w:p w14:paraId="6A589E9F" w14:textId="77777777" w:rsidR="00630C73" w:rsidRPr="00E34DE7" w:rsidRDefault="00630C73" w:rsidP="00630C73">
      <w:pPr>
        <w:spacing w:before="120" w:after="120" w:line="360" w:lineRule="auto"/>
        <w:jc w:val="both"/>
        <w:rPr>
          <w:rFonts w:ascii="Arial" w:hAnsi="Arial" w:cs="Arial"/>
        </w:rPr>
      </w:pPr>
      <w:r w:rsidRPr="00E34DE7">
        <w:rPr>
          <w:rFonts w:ascii="Arial" w:hAnsi="Arial" w:cs="Arial"/>
        </w:rPr>
        <w:t>El programa incluirá al menos el seguimiento de las medidas preventivas y correctoras definidas en el estudio de impacto ambiental, agrupando los controles por fases de proyecto (obra y explotación) y por factores ambientales.</w:t>
      </w:r>
    </w:p>
    <w:p w14:paraId="64CA38C3" w14:textId="77777777" w:rsidR="00630C73" w:rsidRPr="00E34DE7" w:rsidRDefault="00630C73" w:rsidP="00630C73">
      <w:pPr>
        <w:pStyle w:val="NORMAL12"/>
      </w:pPr>
      <w:r w:rsidRPr="00E34DE7">
        <w:t xml:space="preserve">El control operacional incluye el control de actividades referidas a las unidades de obra y a las instalaciones o actuaciones auxiliares de la obra, tanto por parte de la empresa adjudicataria de </w:t>
      </w:r>
      <w:proofErr w:type="gramStart"/>
      <w:r w:rsidRPr="00E34DE7">
        <w:t>la misma</w:t>
      </w:r>
      <w:proofErr w:type="gramEnd"/>
      <w:r w:rsidRPr="00E34DE7">
        <w:t xml:space="preserve"> como de las empresas subcontratadas.</w:t>
      </w:r>
    </w:p>
    <w:p w14:paraId="3CF08C79" w14:textId="77777777" w:rsidR="00630C73" w:rsidRPr="00E34DE7" w:rsidRDefault="00630C73" w:rsidP="00630C73">
      <w:pPr>
        <w:pStyle w:val="NORMAL12"/>
      </w:pPr>
      <w:r w:rsidRPr="00E34DE7">
        <w:t>El control operacional de estos elementos y de las disposiciones incluidas en requisitos legales, se realizará a través de programas de puntos de inspección (PPI), que incluirá:</w:t>
      </w:r>
    </w:p>
    <w:p w14:paraId="7349CC8E" w14:textId="77777777" w:rsidR="00630C73" w:rsidRPr="00E34DE7" w:rsidRDefault="00630C73" w:rsidP="000313DD">
      <w:pPr>
        <w:pStyle w:val="NORMAL12"/>
        <w:numPr>
          <w:ilvl w:val="0"/>
          <w:numId w:val="238"/>
        </w:numPr>
      </w:pPr>
      <w:r w:rsidRPr="00E34DE7">
        <w:t>El aspecto y actividad de obra controlada.</w:t>
      </w:r>
    </w:p>
    <w:p w14:paraId="7139522D" w14:textId="77777777" w:rsidR="00630C73" w:rsidRPr="00E34DE7" w:rsidRDefault="00630C73" w:rsidP="000313DD">
      <w:pPr>
        <w:pStyle w:val="NORMAL12"/>
        <w:numPr>
          <w:ilvl w:val="0"/>
          <w:numId w:val="238"/>
        </w:numPr>
      </w:pPr>
      <w:r w:rsidRPr="00E34DE7">
        <w:t>El objetivo de control.</w:t>
      </w:r>
    </w:p>
    <w:p w14:paraId="3F128C72" w14:textId="77777777" w:rsidR="00630C73" w:rsidRPr="00E34DE7" w:rsidRDefault="00630C73" w:rsidP="000313DD">
      <w:pPr>
        <w:pStyle w:val="NORMAL12"/>
        <w:numPr>
          <w:ilvl w:val="0"/>
          <w:numId w:val="238"/>
        </w:numPr>
      </w:pPr>
      <w:r w:rsidRPr="00E34DE7">
        <w:t>El tipo de control a realizar.</w:t>
      </w:r>
    </w:p>
    <w:p w14:paraId="45A2D43F" w14:textId="77777777" w:rsidR="00630C73" w:rsidRPr="00E34DE7" w:rsidRDefault="00630C73" w:rsidP="000313DD">
      <w:pPr>
        <w:pStyle w:val="NORMAL12"/>
        <w:numPr>
          <w:ilvl w:val="0"/>
          <w:numId w:val="238"/>
        </w:numPr>
      </w:pPr>
      <w:r w:rsidRPr="00E34DE7">
        <w:t>La periodicidad del control.</w:t>
      </w:r>
    </w:p>
    <w:p w14:paraId="12B53EC5" w14:textId="77777777" w:rsidR="00630C73" w:rsidRPr="00E34DE7" w:rsidRDefault="00630C73" w:rsidP="000313DD">
      <w:pPr>
        <w:pStyle w:val="Prrafodelista"/>
        <w:numPr>
          <w:ilvl w:val="0"/>
          <w:numId w:val="238"/>
        </w:numPr>
        <w:spacing w:before="120" w:after="120" w:line="360" w:lineRule="auto"/>
        <w:contextualSpacing/>
        <w:jc w:val="both"/>
        <w:rPr>
          <w:rFonts w:ascii="Arial" w:hAnsi="Arial" w:cs="Arial"/>
          <w:sz w:val="24"/>
          <w:szCs w:val="24"/>
        </w:rPr>
      </w:pPr>
      <w:r w:rsidRPr="00E34DE7">
        <w:rPr>
          <w:rFonts w:ascii="Arial" w:hAnsi="Arial" w:cs="Arial"/>
          <w:sz w:val="24"/>
          <w:szCs w:val="24"/>
        </w:rPr>
        <w:t>Material necesario, método de trabajo y necesidades de personal técnico.</w:t>
      </w:r>
    </w:p>
    <w:p w14:paraId="4E35C2CA" w14:textId="77777777" w:rsidR="00630C73" w:rsidRPr="00E34DE7" w:rsidRDefault="00630C73" w:rsidP="000313DD">
      <w:pPr>
        <w:pStyle w:val="Prrafodelista"/>
        <w:numPr>
          <w:ilvl w:val="0"/>
          <w:numId w:val="238"/>
        </w:numPr>
        <w:spacing w:before="120" w:after="120" w:line="360" w:lineRule="auto"/>
        <w:contextualSpacing/>
        <w:jc w:val="both"/>
        <w:rPr>
          <w:rFonts w:ascii="Arial" w:hAnsi="Arial" w:cs="Arial"/>
          <w:sz w:val="24"/>
          <w:szCs w:val="24"/>
        </w:rPr>
      </w:pPr>
      <w:r w:rsidRPr="00E34DE7">
        <w:rPr>
          <w:rFonts w:ascii="Arial" w:hAnsi="Arial" w:cs="Arial"/>
          <w:sz w:val="24"/>
          <w:szCs w:val="24"/>
        </w:rPr>
        <w:t>Parámetros sometidos a control.</w:t>
      </w:r>
    </w:p>
    <w:p w14:paraId="7F7E9433" w14:textId="77777777" w:rsidR="00630C73" w:rsidRPr="00E34DE7" w:rsidRDefault="00630C73" w:rsidP="000313DD">
      <w:pPr>
        <w:pStyle w:val="Prrafodelista"/>
        <w:numPr>
          <w:ilvl w:val="0"/>
          <w:numId w:val="238"/>
        </w:numPr>
        <w:spacing w:before="120" w:after="120" w:line="360" w:lineRule="auto"/>
        <w:contextualSpacing/>
        <w:jc w:val="both"/>
        <w:rPr>
          <w:rFonts w:ascii="Arial" w:hAnsi="Arial" w:cs="Arial"/>
          <w:sz w:val="24"/>
          <w:szCs w:val="24"/>
        </w:rPr>
      </w:pPr>
      <w:r w:rsidRPr="00E34DE7">
        <w:rPr>
          <w:rFonts w:ascii="Arial" w:hAnsi="Arial" w:cs="Arial"/>
          <w:sz w:val="24"/>
          <w:szCs w:val="24"/>
        </w:rPr>
        <w:t>Umbrales críticos para esos parámetros.</w:t>
      </w:r>
    </w:p>
    <w:p w14:paraId="36085A0B" w14:textId="77777777" w:rsidR="00630C73" w:rsidRPr="00E34DE7" w:rsidRDefault="00630C73" w:rsidP="000313DD">
      <w:pPr>
        <w:pStyle w:val="Prrafodelista"/>
        <w:numPr>
          <w:ilvl w:val="0"/>
          <w:numId w:val="238"/>
        </w:numPr>
        <w:spacing w:before="120" w:after="120" w:line="360" w:lineRule="auto"/>
        <w:contextualSpacing/>
        <w:jc w:val="both"/>
        <w:rPr>
          <w:rFonts w:ascii="Arial" w:hAnsi="Arial" w:cs="Arial"/>
          <w:sz w:val="24"/>
          <w:szCs w:val="24"/>
        </w:rPr>
      </w:pPr>
      <w:r w:rsidRPr="00E34DE7">
        <w:rPr>
          <w:rFonts w:ascii="Arial" w:hAnsi="Arial" w:cs="Arial"/>
          <w:sz w:val="24"/>
          <w:szCs w:val="24"/>
        </w:rPr>
        <w:t>Medidas de prevención y corrección en caso de que se alcancen los umbrales críticos.</w:t>
      </w:r>
    </w:p>
    <w:p w14:paraId="79733906" w14:textId="77777777" w:rsidR="00630C73" w:rsidRPr="00E34DE7" w:rsidRDefault="00630C73" w:rsidP="000313DD">
      <w:pPr>
        <w:pStyle w:val="NORMAL12"/>
        <w:numPr>
          <w:ilvl w:val="0"/>
          <w:numId w:val="238"/>
        </w:numPr>
      </w:pPr>
      <w:r w:rsidRPr="00E34DE7">
        <w:t>El responsable.</w:t>
      </w:r>
    </w:p>
    <w:p w14:paraId="545FA3FF" w14:textId="77777777" w:rsidR="00630C73" w:rsidRPr="00E34DE7" w:rsidRDefault="00630C73" w:rsidP="000313DD">
      <w:pPr>
        <w:pStyle w:val="NORMAL12"/>
        <w:numPr>
          <w:ilvl w:val="0"/>
          <w:numId w:val="238"/>
        </w:numPr>
      </w:pPr>
      <w:r w:rsidRPr="00E34DE7">
        <w:t>El criterio de aceptación y rechazo.</w:t>
      </w:r>
    </w:p>
    <w:p w14:paraId="7423618C" w14:textId="77777777" w:rsidR="00630C73" w:rsidRPr="00E34DE7" w:rsidRDefault="00630C73" w:rsidP="000313DD">
      <w:pPr>
        <w:pStyle w:val="NORMAL12"/>
        <w:numPr>
          <w:ilvl w:val="0"/>
          <w:numId w:val="238"/>
        </w:numPr>
      </w:pPr>
      <w:r w:rsidRPr="00E34DE7">
        <w:t>La documentación o el registro asociado al control.</w:t>
      </w:r>
    </w:p>
    <w:p w14:paraId="0C6237FE" w14:textId="77777777" w:rsidR="00630C73" w:rsidRPr="00E34DE7" w:rsidRDefault="00630C73" w:rsidP="00630C73">
      <w:pPr>
        <w:pStyle w:val="NORMAL12"/>
      </w:pPr>
      <w:r w:rsidRPr="00E34DE7">
        <w:t>Para el control de los aspectos ambientales siguientes se realizarán, además del programa de puntos de inspección correspondiente, las instrucciones de trabajo:</w:t>
      </w:r>
    </w:p>
    <w:p w14:paraId="2F0AAFC4" w14:textId="77777777" w:rsidR="00630C73" w:rsidRPr="00E34DE7" w:rsidRDefault="00630C73" w:rsidP="000313DD">
      <w:pPr>
        <w:pStyle w:val="NORMAL12"/>
        <w:numPr>
          <w:ilvl w:val="0"/>
          <w:numId w:val="239"/>
        </w:numPr>
      </w:pPr>
      <w:r w:rsidRPr="00E34DE7">
        <w:t>Gestión de residuos.</w:t>
      </w:r>
    </w:p>
    <w:p w14:paraId="4805B749" w14:textId="77777777" w:rsidR="00630C73" w:rsidRPr="00E34DE7" w:rsidRDefault="00630C73" w:rsidP="000313DD">
      <w:pPr>
        <w:pStyle w:val="NORMAL12"/>
        <w:numPr>
          <w:ilvl w:val="0"/>
          <w:numId w:val="239"/>
        </w:numPr>
      </w:pPr>
      <w:r w:rsidRPr="00E34DE7">
        <w:t>Realización de hogueras.</w:t>
      </w:r>
    </w:p>
    <w:p w14:paraId="1E55577E" w14:textId="77777777" w:rsidR="00630C73" w:rsidRPr="00E34DE7" w:rsidRDefault="00630C73" w:rsidP="000313DD">
      <w:pPr>
        <w:pStyle w:val="NORMAL12"/>
        <w:numPr>
          <w:ilvl w:val="0"/>
          <w:numId w:val="239"/>
        </w:numPr>
      </w:pPr>
      <w:r w:rsidRPr="00E34DE7">
        <w:t>Mantenimiento y lavado de la maquinaria de obra.</w:t>
      </w:r>
    </w:p>
    <w:p w14:paraId="4B0A4CCC" w14:textId="77777777" w:rsidR="00630C73" w:rsidRPr="00E34DE7" w:rsidRDefault="00630C73" w:rsidP="000313DD">
      <w:pPr>
        <w:pStyle w:val="NORMAL12"/>
        <w:numPr>
          <w:ilvl w:val="0"/>
          <w:numId w:val="239"/>
        </w:numPr>
      </w:pPr>
      <w:r w:rsidRPr="00E34DE7">
        <w:t>Trabajos de hormigón.</w:t>
      </w:r>
    </w:p>
    <w:p w14:paraId="653107A6" w14:textId="77777777" w:rsidR="00630C73" w:rsidRPr="00E34DE7" w:rsidRDefault="00630C73" w:rsidP="000313DD">
      <w:pPr>
        <w:pStyle w:val="NORMAL12"/>
        <w:numPr>
          <w:ilvl w:val="0"/>
          <w:numId w:val="239"/>
        </w:numPr>
      </w:pPr>
      <w:r w:rsidRPr="00E34DE7">
        <w:t>El control operacional incluirá el control de las autorizaciones necesarias para las actividades con incidencia ambiental.</w:t>
      </w:r>
    </w:p>
    <w:p w14:paraId="24FF4778" w14:textId="77777777" w:rsidR="00630C73" w:rsidRPr="00E34DE7" w:rsidRDefault="00630C73" w:rsidP="00630C73">
      <w:pPr>
        <w:suppressAutoHyphens/>
        <w:ind w:left="1440"/>
        <w:rPr>
          <w:rFonts w:cs="Arial"/>
        </w:rPr>
      </w:pPr>
    </w:p>
    <w:p w14:paraId="70658A1A" w14:textId="77777777" w:rsidR="00630C73" w:rsidRPr="00E34DE7" w:rsidRDefault="00630C73" w:rsidP="00630C73">
      <w:pPr>
        <w:pStyle w:val="NORMAL12"/>
      </w:pPr>
      <w:r w:rsidRPr="00E34DE7">
        <w:t>Los Programas de Puntos de Inspección que se establecerán para el presente proyecto, agrupados por los factores ambientales afectados, son los que se indica en la tabla adjunta:</w:t>
      </w:r>
    </w:p>
    <w:tbl>
      <w:tblPr>
        <w:tblW w:w="9876" w:type="dxa"/>
        <w:tblInd w:w="45" w:type="dxa"/>
        <w:tblCellMar>
          <w:left w:w="70" w:type="dxa"/>
          <w:right w:w="70" w:type="dxa"/>
        </w:tblCellMar>
        <w:tblLook w:val="04A0" w:firstRow="1" w:lastRow="0" w:firstColumn="1" w:lastColumn="0" w:noHBand="0" w:noVBand="1"/>
      </w:tblPr>
      <w:tblGrid>
        <w:gridCol w:w="938"/>
        <w:gridCol w:w="8938"/>
      </w:tblGrid>
      <w:tr w:rsidR="00630C73" w:rsidRPr="00E34DE7" w14:paraId="0627B95A" w14:textId="77777777" w:rsidTr="001F3E93">
        <w:trPr>
          <w:trHeight w:val="411"/>
        </w:trPr>
        <w:tc>
          <w:tcPr>
            <w:tcW w:w="938" w:type="dxa"/>
            <w:tcBorders>
              <w:top w:val="single" w:sz="4" w:space="0" w:color="auto"/>
              <w:left w:val="single" w:sz="4" w:space="0" w:color="auto"/>
              <w:bottom w:val="single" w:sz="4" w:space="0" w:color="auto"/>
              <w:right w:val="single" w:sz="4" w:space="0" w:color="auto"/>
            </w:tcBorders>
            <w:vAlign w:val="center"/>
            <w:hideMark/>
          </w:tcPr>
          <w:p w14:paraId="026FFA8A" w14:textId="77777777" w:rsidR="00630C73" w:rsidRPr="00E34DE7" w:rsidRDefault="00630C73" w:rsidP="001F3E93">
            <w:pPr>
              <w:jc w:val="center"/>
              <w:rPr>
                <w:rFonts w:ascii="Arial" w:hAnsi="Arial" w:cs="Arial"/>
                <w:b/>
                <w:bCs/>
              </w:rPr>
            </w:pPr>
            <w:r w:rsidRPr="00E34DE7">
              <w:rPr>
                <w:rFonts w:ascii="Arial" w:hAnsi="Arial" w:cs="Arial"/>
                <w:b/>
                <w:bCs/>
              </w:rPr>
              <w:t>PPI-1</w:t>
            </w:r>
          </w:p>
        </w:tc>
        <w:tc>
          <w:tcPr>
            <w:tcW w:w="8938" w:type="dxa"/>
            <w:tcBorders>
              <w:top w:val="single" w:sz="4" w:space="0" w:color="auto"/>
              <w:left w:val="nil"/>
              <w:bottom w:val="single" w:sz="4" w:space="0" w:color="auto"/>
              <w:right w:val="single" w:sz="4" w:space="0" w:color="auto"/>
            </w:tcBorders>
            <w:vAlign w:val="center"/>
            <w:hideMark/>
          </w:tcPr>
          <w:p w14:paraId="1CEB339C" w14:textId="77777777" w:rsidR="00630C73" w:rsidRPr="00E34DE7" w:rsidRDefault="00630C73" w:rsidP="001F3E93">
            <w:pPr>
              <w:jc w:val="center"/>
              <w:rPr>
                <w:rFonts w:ascii="Arial" w:hAnsi="Arial" w:cs="Arial"/>
                <w:bCs/>
              </w:rPr>
            </w:pPr>
            <w:r w:rsidRPr="00E34DE7">
              <w:rPr>
                <w:rFonts w:ascii="Arial" w:hAnsi="Arial" w:cs="Arial"/>
                <w:bCs/>
              </w:rPr>
              <w:t>Control de las emisiones de polvo</w:t>
            </w:r>
          </w:p>
        </w:tc>
      </w:tr>
      <w:tr w:rsidR="00630C73" w:rsidRPr="00E34DE7" w14:paraId="7E0E317D" w14:textId="77777777" w:rsidTr="001F3E93">
        <w:trPr>
          <w:trHeight w:val="411"/>
        </w:trPr>
        <w:tc>
          <w:tcPr>
            <w:tcW w:w="938" w:type="dxa"/>
            <w:tcBorders>
              <w:top w:val="nil"/>
              <w:left w:val="single" w:sz="4" w:space="0" w:color="auto"/>
              <w:bottom w:val="single" w:sz="4" w:space="0" w:color="auto"/>
              <w:right w:val="single" w:sz="4" w:space="0" w:color="auto"/>
            </w:tcBorders>
            <w:vAlign w:val="center"/>
            <w:hideMark/>
          </w:tcPr>
          <w:p w14:paraId="3CFE555D" w14:textId="77777777" w:rsidR="00630C73" w:rsidRPr="00E34DE7" w:rsidRDefault="00630C73" w:rsidP="001F3E93">
            <w:pPr>
              <w:jc w:val="center"/>
              <w:rPr>
                <w:rFonts w:ascii="Arial" w:hAnsi="Arial" w:cs="Arial"/>
                <w:b/>
                <w:bCs/>
              </w:rPr>
            </w:pPr>
            <w:r w:rsidRPr="00E34DE7">
              <w:rPr>
                <w:rFonts w:ascii="Arial" w:hAnsi="Arial" w:cs="Arial"/>
                <w:b/>
                <w:bCs/>
              </w:rPr>
              <w:t>PPI-2</w:t>
            </w:r>
          </w:p>
        </w:tc>
        <w:tc>
          <w:tcPr>
            <w:tcW w:w="8938" w:type="dxa"/>
            <w:tcBorders>
              <w:top w:val="nil"/>
              <w:left w:val="nil"/>
              <w:bottom w:val="single" w:sz="4" w:space="0" w:color="auto"/>
              <w:right w:val="single" w:sz="4" w:space="0" w:color="auto"/>
            </w:tcBorders>
            <w:vAlign w:val="center"/>
            <w:hideMark/>
          </w:tcPr>
          <w:p w14:paraId="041D95F3" w14:textId="77777777" w:rsidR="00630C73" w:rsidRPr="00E34DE7" w:rsidRDefault="00630C73" w:rsidP="001F3E93">
            <w:pPr>
              <w:jc w:val="center"/>
              <w:rPr>
                <w:rFonts w:ascii="Arial" w:hAnsi="Arial" w:cs="Arial"/>
                <w:bCs/>
              </w:rPr>
            </w:pPr>
            <w:r w:rsidRPr="00E34DE7">
              <w:rPr>
                <w:rFonts w:ascii="Arial" w:hAnsi="Arial" w:cs="Arial"/>
                <w:bCs/>
              </w:rPr>
              <w:t xml:space="preserve">Control de los niveles </w:t>
            </w:r>
            <w:proofErr w:type="gramStart"/>
            <w:r w:rsidRPr="00E34DE7">
              <w:rPr>
                <w:rFonts w:ascii="Arial" w:hAnsi="Arial" w:cs="Arial"/>
                <w:bCs/>
              </w:rPr>
              <w:t>sonoros  en</w:t>
            </w:r>
            <w:proofErr w:type="gramEnd"/>
            <w:r w:rsidRPr="00E34DE7">
              <w:rPr>
                <w:rFonts w:ascii="Arial" w:hAnsi="Arial" w:cs="Arial"/>
                <w:bCs/>
              </w:rPr>
              <w:t xml:space="preserve"> obra</w:t>
            </w:r>
          </w:p>
        </w:tc>
      </w:tr>
      <w:tr w:rsidR="00630C73" w:rsidRPr="00E34DE7" w14:paraId="6ACDA959" w14:textId="77777777" w:rsidTr="001F3E93">
        <w:trPr>
          <w:trHeight w:val="411"/>
        </w:trPr>
        <w:tc>
          <w:tcPr>
            <w:tcW w:w="938" w:type="dxa"/>
            <w:tcBorders>
              <w:top w:val="nil"/>
              <w:left w:val="single" w:sz="4" w:space="0" w:color="auto"/>
              <w:bottom w:val="single" w:sz="4" w:space="0" w:color="auto"/>
              <w:right w:val="single" w:sz="4" w:space="0" w:color="auto"/>
            </w:tcBorders>
            <w:vAlign w:val="center"/>
            <w:hideMark/>
          </w:tcPr>
          <w:p w14:paraId="018D7AAE" w14:textId="77777777" w:rsidR="00630C73" w:rsidRPr="00E34DE7" w:rsidRDefault="00630C73" w:rsidP="001F3E93">
            <w:pPr>
              <w:jc w:val="center"/>
              <w:rPr>
                <w:rFonts w:ascii="Arial" w:hAnsi="Arial" w:cs="Arial"/>
                <w:b/>
                <w:bCs/>
              </w:rPr>
            </w:pPr>
            <w:r w:rsidRPr="00E34DE7">
              <w:rPr>
                <w:rFonts w:ascii="Arial" w:hAnsi="Arial" w:cs="Arial"/>
                <w:b/>
                <w:bCs/>
              </w:rPr>
              <w:t xml:space="preserve">PPI-3 </w:t>
            </w:r>
          </w:p>
        </w:tc>
        <w:tc>
          <w:tcPr>
            <w:tcW w:w="8938" w:type="dxa"/>
            <w:tcBorders>
              <w:top w:val="nil"/>
              <w:left w:val="nil"/>
              <w:bottom w:val="single" w:sz="4" w:space="0" w:color="auto"/>
              <w:right w:val="single" w:sz="4" w:space="0" w:color="auto"/>
            </w:tcBorders>
            <w:vAlign w:val="center"/>
            <w:hideMark/>
          </w:tcPr>
          <w:p w14:paraId="2BA818D7" w14:textId="77777777" w:rsidR="00630C73" w:rsidRPr="00E34DE7" w:rsidRDefault="00630C73" w:rsidP="001F3E93">
            <w:pPr>
              <w:jc w:val="center"/>
              <w:rPr>
                <w:rFonts w:ascii="Arial" w:hAnsi="Arial" w:cs="Arial"/>
                <w:bCs/>
              </w:rPr>
            </w:pPr>
            <w:r w:rsidRPr="00E34DE7">
              <w:rPr>
                <w:rFonts w:ascii="Arial" w:hAnsi="Arial" w:cs="Arial"/>
                <w:bCs/>
              </w:rPr>
              <w:t>Contaminación del suelo</w:t>
            </w:r>
          </w:p>
        </w:tc>
      </w:tr>
      <w:tr w:rsidR="00630C73" w:rsidRPr="00E34DE7" w14:paraId="00FDC33A" w14:textId="77777777" w:rsidTr="001F3E93">
        <w:trPr>
          <w:trHeight w:val="411"/>
        </w:trPr>
        <w:tc>
          <w:tcPr>
            <w:tcW w:w="938" w:type="dxa"/>
            <w:tcBorders>
              <w:top w:val="nil"/>
              <w:left w:val="single" w:sz="4" w:space="0" w:color="auto"/>
              <w:bottom w:val="single" w:sz="4" w:space="0" w:color="auto"/>
              <w:right w:val="single" w:sz="4" w:space="0" w:color="auto"/>
            </w:tcBorders>
            <w:vAlign w:val="center"/>
            <w:hideMark/>
          </w:tcPr>
          <w:p w14:paraId="6EE6BE57" w14:textId="77777777" w:rsidR="00630C73" w:rsidRPr="00E34DE7" w:rsidRDefault="00630C73" w:rsidP="001F3E93">
            <w:pPr>
              <w:jc w:val="center"/>
              <w:rPr>
                <w:rFonts w:ascii="Arial" w:hAnsi="Arial" w:cs="Arial"/>
                <w:b/>
                <w:bCs/>
              </w:rPr>
            </w:pPr>
            <w:r w:rsidRPr="00E34DE7">
              <w:rPr>
                <w:rFonts w:ascii="Arial" w:hAnsi="Arial" w:cs="Arial"/>
                <w:b/>
                <w:bCs/>
              </w:rPr>
              <w:t>PPI-4</w:t>
            </w:r>
          </w:p>
        </w:tc>
        <w:tc>
          <w:tcPr>
            <w:tcW w:w="8938" w:type="dxa"/>
            <w:tcBorders>
              <w:top w:val="nil"/>
              <w:left w:val="nil"/>
              <w:bottom w:val="single" w:sz="4" w:space="0" w:color="auto"/>
              <w:right w:val="single" w:sz="4" w:space="0" w:color="auto"/>
            </w:tcBorders>
            <w:vAlign w:val="center"/>
            <w:hideMark/>
          </w:tcPr>
          <w:p w14:paraId="252113B5" w14:textId="77777777" w:rsidR="00630C73" w:rsidRPr="00E34DE7" w:rsidRDefault="00630C73" w:rsidP="001F3E93">
            <w:pPr>
              <w:jc w:val="center"/>
              <w:rPr>
                <w:rFonts w:ascii="Arial" w:hAnsi="Arial" w:cs="Arial"/>
                <w:bCs/>
              </w:rPr>
            </w:pPr>
            <w:r w:rsidRPr="00E34DE7">
              <w:rPr>
                <w:rFonts w:ascii="Arial" w:hAnsi="Arial" w:cs="Arial"/>
                <w:bCs/>
              </w:rPr>
              <w:t>Localización de instalaciones auxiliares de obra</w:t>
            </w:r>
          </w:p>
        </w:tc>
      </w:tr>
      <w:tr w:rsidR="00630C73" w:rsidRPr="00E34DE7" w14:paraId="63069A96" w14:textId="77777777" w:rsidTr="001F3E93">
        <w:trPr>
          <w:trHeight w:val="411"/>
        </w:trPr>
        <w:tc>
          <w:tcPr>
            <w:tcW w:w="938" w:type="dxa"/>
            <w:tcBorders>
              <w:top w:val="nil"/>
              <w:left w:val="single" w:sz="4" w:space="0" w:color="auto"/>
              <w:bottom w:val="single" w:sz="4" w:space="0" w:color="auto"/>
              <w:right w:val="single" w:sz="4" w:space="0" w:color="auto"/>
            </w:tcBorders>
            <w:vAlign w:val="center"/>
            <w:hideMark/>
          </w:tcPr>
          <w:p w14:paraId="22372B97" w14:textId="77777777" w:rsidR="00630C73" w:rsidRPr="00E34DE7" w:rsidRDefault="00630C73" w:rsidP="001F3E93">
            <w:pPr>
              <w:jc w:val="center"/>
              <w:rPr>
                <w:rFonts w:ascii="Arial" w:hAnsi="Arial" w:cs="Arial"/>
                <w:b/>
                <w:bCs/>
              </w:rPr>
            </w:pPr>
            <w:r w:rsidRPr="00E34DE7">
              <w:rPr>
                <w:rFonts w:ascii="Arial" w:hAnsi="Arial" w:cs="Arial"/>
                <w:b/>
                <w:bCs/>
              </w:rPr>
              <w:t>PPI-5</w:t>
            </w:r>
          </w:p>
        </w:tc>
        <w:tc>
          <w:tcPr>
            <w:tcW w:w="8938" w:type="dxa"/>
            <w:tcBorders>
              <w:top w:val="nil"/>
              <w:left w:val="nil"/>
              <w:bottom w:val="single" w:sz="4" w:space="0" w:color="auto"/>
              <w:right w:val="single" w:sz="4" w:space="0" w:color="auto"/>
            </w:tcBorders>
            <w:vAlign w:val="center"/>
            <w:hideMark/>
          </w:tcPr>
          <w:p w14:paraId="398FF714" w14:textId="77777777" w:rsidR="00630C73" w:rsidRPr="00E34DE7" w:rsidRDefault="00630C73" w:rsidP="001F3E93">
            <w:pPr>
              <w:jc w:val="center"/>
              <w:rPr>
                <w:rFonts w:ascii="Arial" w:hAnsi="Arial" w:cs="Arial"/>
                <w:bCs/>
              </w:rPr>
            </w:pPr>
            <w:r w:rsidRPr="00E34DE7">
              <w:rPr>
                <w:rFonts w:ascii="Arial" w:hAnsi="Arial" w:cs="Arial"/>
                <w:bCs/>
              </w:rPr>
              <w:t>Control de las áreas de movimiento de la maquinaria</w:t>
            </w:r>
          </w:p>
        </w:tc>
      </w:tr>
      <w:tr w:rsidR="00630C73" w:rsidRPr="00E34DE7" w14:paraId="656A1CB8" w14:textId="77777777" w:rsidTr="001F3E93">
        <w:trPr>
          <w:trHeight w:val="411"/>
        </w:trPr>
        <w:tc>
          <w:tcPr>
            <w:tcW w:w="938" w:type="dxa"/>
            <w:tcBorders>
              <w:top w:val="nil"/>
              <w:left w:val="single" w:sz="4" w:space="0" w:color="auto"/>
              <w:bottom w:val="single" w:sz="4" w:space="0" w:color="auto"/>
              <w:right w:val="single" w:sz="4" w:space="0" w:color="auto"/>
            </w:tcBorders>
            <w:vAlign w:val="center"/>
            <w:hideMark/>
          </w:tcPr>
          <w:p w14:paraId="0F654642" w14:textId="77777777" w:rsidR="00630C73" w:rsidRPr="00E34DE7" w:rsidRDefault="00630C73" w:rsidP="001F3E93">
            <w:pPr>
              <w:jc w:val="center"/>
              <w:rPr>
                <w:rFonts w:ascii="Arial" w:hAnsi="Arial" w:cs="Arial"/>
                <w:b/>
                <w:bCs/>
              </w:rPr>
            </w:pPr>
            <w:r w:rsidRPr="00E34DE7">
              <w:rPr>
                <w:rFonts w:ascii="Arial" w:hAnsi="Arial" w:cs="Arial"/>
                <w:b/>
                <w:bCs/>
              </w:rPr>
              <w:t>PPI-6</w:t>
            </w:r>
          </w:p>
        </w:tc>
        <w:tc>
          <w:tcPr>
            <w:tcW w:w="8938" w:type="dxa"/>
            <w:tcBorders>
              <w:top w:val="nil"/>
              <w:left w:val="nil"/>
              <w:bottom w:val="single" w:sz="4" w:space="0" w:color="auto"/>
              <w:right w:val="single" w:sz="4" w:space="0" w:color="auto"/>
            </w:tcBorders>
            <w:vAlign w:val="center"/>
            <w:hideMark/>
          </w:tcPr>
          <w:p w14:paraId="3B451CAE" w14:textId="77777777" w:rsidR="00630C73" w:rsidRPr="00E34DE7" w:rsidRDefault="00630C73" w:rsidP="001F3E93">
            <w:pPr>
              <w:jc w:val="center"/>
              <w:rPr>
                <w:rFonts w:ascii="Arial" w:hAnsi="Arial" w:cs="Arial"/>
                <w:bCs/>
              </w:rPr>
            </w:pPr>
            <w:r w:rsidRPr="00E34DE7">
              <w:rPr>
                <w:rFonts w:ascii="Arial" w:hAnsi="Arial" w:cs="Arial"/>
                <w:bCs/>
              </w:rPr>
              <w:t>Control de derrames y vertidos accidentales</w:t>
            </w:r>
          </w:p>
        </w:tc>
      </w:tr>
      <w:tr w:rsidR="00630C73" w:rsidRPr="00E34DE7" w14:paraId="18243ACB" w14:textId="77777777" w:rsidTr="001F3E93">
        <w:trPr>
          <w:trHeight w:val="411"/>
        </w:trPr>
        <w:tc>
          <w:tcPr>
            <w:tcW w:w="938" w:type="dxa"/>
            <w:tcBorders>
              <w:top w:val="nil"/>
              <w:left w:val="single" w:sz="4" w:space="0" w:color="auto"/>
              <w:bottom w:val="single" w:sz="4" w:space="0" w:color="auto"/>
              <w:right w:val="single" w:sz="4" w:space="0" w:color="auto"/>
            </w:tcBorders>
            <w:vAlign w:val="center"/>
            <w:hideMark/>
          </w:tcPr>
          <w:p w14:paraId="32DCB30F" w14:textId="77777777" w:rsidR="00630C73" w:rsidRPr="00E34DE7" w:rsidRDefault="00630C73" w:rsidP="001F3E93">
            <w:pPr>
              <w:jc w:val="center"/>
              <w:rPr>
                <w:rFonts w:ascii="Arial" w:hAnsi="Arial" w:cs="Arial"/>
                <w:b/>
                <w:bCs/>
              </w:rPr>
            </w:pPr>
            <w:r w:rsidRPr="00E34DE7">
              <w:rPr>
                <w:rFonts w:ascii="Arial" w:hAnsi="Arial" w:cs="Arial"/>
                <w:b/>
                <w:bCs/>
              </w:rPr>
              <w:t>PPI-7</w:t>
            </w:r>
          </w:p>
        </w:tc>
        <w:tc>
          <w:tcPr>
            <w:tcW w:w="8938" w:type="dxa"/>
            <w:tcBorders>
              <w:top w:val="nil"/>
              <w:left w:val="nil"/>
              <w:bottom w:val="single" w:sz="4" w:space="0" w:color="auto"/>
              <w:right w:val="single" w:sz="4" w:space="0" w:color="auto"/>
            </w:tcBorders>
            <w:vAlign w:val="center"/>
            <w:hideMark/>
          </w:tcPr>
          <w:p w14:paraId="57CE15B9" w14:textId="77777777" w:rsidR="00630C73" w:rsidRPr="00E34DE7" w:rsidRDefault="00630C73" w:rsidP="001F3E93">
            <w:pPr>
              <w:jc w:val="center"/>
              <w:rPr>
                <w:rFonts w:ascii="Arial" w:hAnsi="Arial" w:cs="Arial"/>
                <w:bCs/>
              </w:rPr>
            </w:pPr>
            <w:r w:rsidRPr="00E34DE7">
              <w:rPr>
                <w:rFonts w:ascii="Arial" w:hAnsi="Arial" w:cs="Arial"/>
                <w:bCs/>
              </w:rPr>
              <w:t>Gestión de los residuos peligrosos generados en obra</w:t>
            </w:r>
          </w:p>
        </w:tc>
      </w:tr>
      <w:tr w:rsidR="00630C73" w:rsidRPr="00E34DE7" w14:paraId="3643D216" w14:textId="77777777" w:rsidTr="001F3E93">
        <w:trPr>
          <w:trHeight w:val="411"/>
        </w:trPr>
        <w:tc>
          <w:tcPr>
            <w:tcW w:w="938" w:type="dxa"/>
            <w:tcBorders>
              <w:top w:val="nil"/>
              <w:left w:val="single" w:sz="4" w:space="0" w:color="auto"/>
              <w:bottom w:val="single" w:sz="4" w:space="0" w:color="auto"/>
              <w:right w:val="single" w:sz="4" w:space="0" w:color="auto"/>
            </w:tcBorders>
            <w:vAlign w:val="center"/>
            <w:hideMark/>
          </w:tcPr>
          <w:p w14:paraId="40F03664" w14:textId="77777777" w:rsidR="00630C73" w:rsidRPr="00E34DE7" w:rsidRDefault="00630C73" w:rsidP="001F3E93">
            <w:pPr>
              <w:jc w:val="center"/>
              <w:rPr>
                <w:rFonts w:ascii="Arial" w:hAnsi="Arial" w:cs="Arial"/>
                <w:b/>
                <w:bCs/>
              </w:rPr>
            </w:pPr>
            <w:r w:rsidRPr="00E34DE7">
              <w:rPr>
                <w:rFonts w:ascii="Arial" w:hAnsi="Arial" w:cs="Arial"/>
                <w:b/>
                <w:bCs/>
              </w:rPr>
              <w:t>PPI-8</w:t>
            </w:r>
          </w:p>
        </w:tc>
        <w:tc>
          <w:tcPr>
            <w:tcW w:w="8938" w:type="dxa"/>
            <w:tcBorders>
              <w:top w:val="nil"/>
              <w:left w:val="nil"/>
              <w:bottom w:val="single" w:sz="4" w:space="0" w:color="auto"/>
              <w:right w:val="single" w:sz="4" w:space="0" w:color="auto"/>
            </w:tcBorders>
            <w:vAlign w:val="center"/>
            <w:hideMark/>
          </w:tcPr>
          <w:p w14:paraId="5A638074" w14:textId="77777777" w:rsidR="00630C73" w:rsidRPr="00E34DE7" w:rsidRDefault="00630C73" w:rsidP="001F3E93">
            <w:pPr>
              <w:jc w:val="center"/>
              <w:rPr>
                <w:rFonts w:ascii="Arial" w:hAnsi="Arial" w:cs="Arial"/>
                <w:bCs/>
              </w:rPr>
            </w:pPr>
            <w:r w:rsidRPr="00E34DE7">
              <w:rPr>
                <w:rFonts w:ascii="Arial" w:hAnsi="Arial" w:cs="Arial"/>
                <w:bCs/>
              </w:rPr>
              <w:t>Gestión de los residuos inertes generados en obra</w:t>
            </w:r>
          </w:p>
        </w:tc>
      </w:tr>
      <w:tr w:rsidR="00630C73" w:rsidRPr="00E34DE7" w14:paraId="512D6B51" w14:textId="77777777" w:rsidTr="001F3E93">
        <w:trPr>
          <w:trHeight w:val="411"/>
        </w:trPr>
        <w:tc>
          <w:tcPr>
            <w:tcW w:w="938" w:type="dxa"/>
            <w:tcBorders>
              <w:top w:val="nil"/>
              <w:left w:val="single" w:sz="4" w:space="0" w:color="auto"/>
              <w:bottom w:val="single" w:sz="4" w:space="0" w:color="auto"/>
              <w:right w:val="single" w:sz="4" w:space="0" w:color="auto"/>
            </w:tcBorders>
            <w:vAlign w:val="center"/>
            <w:hideMark/>
          </w:tcPr>
          <w:p w14:paraId="62DF57B4" w14:textId="77777777" w:rsidR="00630C73" w:rsidRPr="00E34DE7" w:rsidRDefault="00630C73" w:rsidP="001F3E93">
            <w:pPr>
              <w:jc w:val="center"/>
              <w:rPr>
                <w:rFonts w:ascii="Arial" w:hAnsi="Arial" w:cs="Arial"/>
                <w:b/>
                <w:bCs/>
              </w:rPr>
            </w:pPr>
            <w:r w:rsidRPr="00E34DE7">
              <w:rPr>
                <w:rFonts w:ascii="Arial" w:hAnsi="Arial" w:cs="Arial"/>
                <w:b/>
                <w:bCs/>
              </w:rPr>
              <w:t>PPI-9</w:t>
            </w:r>
          </w:p>
        </w:tc>
        <w:tc>
          <w:tcPr>
            <w:tcW w:w="8938" w:type="dxa"/>
            <w:tcBorders>
              <w:top w:val="nil"/>
              <w:left w:val="nil"/>
              <w:bottom w:val="single" w:sz="4" w:space="0" w:color="auto"/>
              <w:right w:val="single" w:sz="4" w:space="0" w:color="auto"/>
            </w:tcBorders>
            <w:vAlign w:val="center"/>
            <w:hideMark/>
          </w:tcPr>
          <w:p w14:paraId="2D3479B2" w14:textId="77777777" w:rsidR="00630C73" w:rsidRPr="00E34DE7" w:rsidRDefault="00630C73" w:rsidP="001F3E93">
            <w:pPr>
              <w:jc w:val="center"/>
              <w:rPr>
                <w:rFonts w:ascii="Arial" w:hAnsi="Arial" w:cs="Arial"/>
                <w:bCs/>
              </w:rPr>
            </w:pPr>
            <w:r w:rsidRPr="00E34DE7">
              <w:rPr>
                <w:rFonts w:ascii="Arial" w:hAnsi="Arial" w:cs="Arial"/>
                <w:bCs/>
              </w:rPr>
              <w:t>Gestión de los residuos asimilables a urbanos generados en obra</w:t>
            </w:r>
          </w:p>
        </w:tc>
      </w:tr>
      <w:tr w:rsidR="00630C73" w:rsidRPr="00E34DE7" w14:paraId="037CC153" w14:textId="77777777" w:rsidTr="001F3E93">
        <w:trPr>
          <w:trHeight w:val="411"/>
        </w:trPr>
        <w:tc>
          <w:tcPr>
            <w:tcW w:w="938" w:type="dxa"/>
            <w:tcBorders>
              <w:top w:val="nil"/>
              <w:left w:val="single" w:sz="4" w:space="0" w:color="auto"/>
              <w:bottom w:val="single" w:sz="4" w:space="0" w:color="auto"/>
              <w:right w:val="single" w:sz="4" w:space="0" w:color="auto"/>
            </w:tcBorders>
            <w:vAlign w:val="center"/>
            <w:hideMark/>
          </w:tcPr>
          <w:p w14:paraId="567AF178" w14:textId="77777777" w:rsidR="00630C73" w:rsidRPr="00E34DE7" w:rsidRDefault="00630C73" w:rsidP="001F3E93">
            <w:pPr>
              <w:jc w:val="center"/>
              <w:rPr>
                <w:rFonts w:ascii="Arial" w:hAnsi="Arial" w:cs="Arial"/>
                <w:b/>
                <w:bCs/>
              </w:rPr>
            </w:pPr>
            <w:r w:rsidRPr="00E34DE7">
              <w:rPr>
                <w:rFonts w:ascii="Arial" w:hAnsi="Arial" w:cs="Arial"/>
                <w:b/>
                <w:bCs/>
              </w:rPr>
              <w:t>PPI-10</w:t>
            </w:r>
          </w:p>
        </w:tc>
        <w:tc>
          <w:tcPr>
            <w:tcW w:w="8938" w:type="dxa"/>
            <w:tcBorders>
              <w:top w:val="nil"/>
              <w:left w:val="nil"/>
              <w:bottom w:val="single" w:sz="4" w:space="0" w:color="auto"/>
              <w:right w:val="single" w:sz="4" w:space="0" w:color="auto"/>
            </w:tcBorders>
            <w:vAlign w:val="center"/>
            <w:hideMark/>
          </w:tcPr>
          <w:p w14:paraId="458E69C7" w14:textId="77777777" w:rsidR="00630C73" w:rsidRPr="00E34DE7" w:rsidRDefault="00630C73" w:rsidP="001F3E93">
            <w:pPr>
              <w:jc w:val="center"/>
              <w:rPr>
                <w:rFonts w:ascii="Arial" w:hAnsi="Arial" w:cs="Arial"/>
                <w:bCs/>
              </w:rPr>
            </w:pPr>
            <w:r w:rsidRPr="00E34DE7">
              <w:rPr>
                <w:rFonts w:ascii="Arial" w:hAnsi="Arial" w:cs="Arial"/>
                <w:bCs/>
              </w:rPr>
              <w:t>Control de la protección del arbolado</w:t>
            </w:r>
          </w:p>
        </w:tc>
      </w:tr>
      <w:tr w:rsidR="00630C73" w:rsidRPr="00E34DE7" w14:paraId="2A1FC67B" w14:textId="77777777" w:rsidTr="001F3E93">
        <w:trPr>
          <w:trHeight w:val="411"/>
        </w:trPr>
        <w:tc>
          <w:tcPr>
            <w:tcW w:w="938" w:type="dxa"/>
            <w:tcBorders>
              <w:top w:val="nil"/>
              <w:left w:val="single" w:sz="4" w:space="0" w:color="auto"/>
              <w:bottom w:val="single" w:sz="4" w:space="0" w:color="auto"/>
              <w:right w:val="single" w:sz="4" w:space="0" w:color="auto"/>
            </w:tcBorders>
            <w:vAlign w:val="center"/>
            <w:hideMark/>
          </w:tcPr>
          <w:p w14:paraId="6411524F" w14:textId="77777777" w:rsidR="00630C73" w:rsidRPr="00E34DE7" w:rsidRDefault="00630C73" w:rsidP="001F3E93">
            <w:pPr>
              <w:jc w:val="center"/>
              <w:rPr>
                <w:rFonts w:ascii="Arial" w:hAnsi="Arial" w:cs="Arial"/>
                <w:b/>
                <w:bCs/>
              </w:rPr>
            </w:pPr>
            <w:r w:rsidRPr="00E34DE7">
              <w:rPr>
                <w:rFonts w:ascii="Arial" w:hAnsi="Arial" w:cs="Arial"/>
                <w:b/>
                <w:bCs/>
              </w:rPr>
              <w:t>PP-11</w:t>
            </w:r>
          </w:p>
        </w:tc>
        <w:tc>
          <w:tcPr>
            <w:tcW w:w="8938" w:type="dxa"/>
            <w:tcBorders>
              <w:top w:val="nil"/>
              <w:left w:val="nil"/>
              <w:bottom w:val="single" w:sz="4" w:space="0" w:color="auto"/>
              <w:right w:val="single" w:sz="4" w:space="0" w:color="auto"/>
            </w:tcBorders>
            <w:vAlign w:val="center"/>
            <w:hideMark/>
          </w:tcPr>
          <w:p w14:paraId="078F93A5" w14:textId="77777777" w:rsidR="00630C73" w:rsidRPr="00E34DE7" w:rsidRDefault="00630C73" w:rsidP="001F3E93">
            <w:pPr>
              <w:jc w:val="center"/>
              <w:rPr>
                <w:rFonts w:ascii="Arial" w:hAnsi="Arial" w:cs="Arial"/>
                <w:bCs/>
              </w:rPr>
            </w:pPr>
            <w:r w:rsidRPr="00E34DE7">
              <w:rPr>
                <w:rFonts w:ascii="Arial" w:hAnsi="Arial" w:cs="Arial"/>
                <w:bCs/>
              </w:rPr>
              <w:t xml:space="preserve">Control </w:t>
            </w:r>
            <w:proofErr w:type="spellStart"/>
            <w:r w:rsidRPr="00E34DE7">
              <w:rPr>
                <w:rFonts w:ascii="Arial" w:hAnsi="Arial" w:cs="Arial"/>
                <w:bCs/>
                <w:i/>
              </w:rPr>
              <w:t>Cortaderia</w:t>
            </w:r>
            <w:proofErr w:type="spellEnd"/>
            <w:r w:rsidRPr="00E34DE7">
              <w:rPr>
                <w:rFonts w:ascii="Arial" w:hAnsi="Arial" w:cs="Arial"/>
                <w:bCs/>
                <w:i/>
              </w:rPr>
              <w:t xml:space="preserve"> </w:t>
            </w:r>
            <w:proofErr w:type="spellStart"/>
            <w:r w:rsidRPr="00E34DE7">
              <w:rPr>
                <w:rFonts w:ascii="Arial" w:hAnsi="Arial" w:cs="Arial"/>
                <w:bCs/>
                <w:i/>
              </w:rPr>
              <w:t>selloana</w:t>
            </w:r>
            <w:proofErr w:type="spellEnd"/>
          </w:p>
        </w:tc>
      </w:tr>
      <w:tr w:rsidR="00630C73" w:rsidRPr="00E34DE7" w14:paraId="397EB3FA" w14:textId="77777777" w:rsidTr="001F3E93">
        <w:trPr>
          <w:trHeight w:val="411"/>
        </w:trPr>
        <w:tc>
          <w:tcPr>
            <w:tcW w:w="938" w:type="dxa"/>
            <w:tcBorders>
              <w:top w:val="nil"/>
              <w:left w:val="single" w:sz="4" w:space="0" w:color="auto"/>
              <w:bottom w:val="nil"/>
              <w:right w:val="single" w:sz="4" w:space="0" w:color="auto"/>
            </w:tcBorders>
            <w:vAlign w:val="center"/>
            <w:hideMark/>
          </w:tcPr>
          <w:p w14:paraId="200E369A" w14:textId="77777777" w:rsidR="00630C73" w:rsidRPr="00E34DE7" w:rsidRDefault="00630C73" w:rsidP="001F3E93">
            <w:pPr>
              <w:jc w:val="center"/>
              <w:rPr>
                <w:rFonts w:ascii="Arial" w:hAnsi="Arial" w:cs="Arial"/>
                <w:b/>
                <w:bCs/>
              </w:rPr>
            </w:pPr>
            <w:r w:rsidRPr="00E34DE7">
              <w:rPr>
                <w:rFonts w:ascii="Arial" w:hAnsi="Arial" w:cs="Arial"/>
                <w:b/>
                <w:bCs/>
              </w:rPr>
              <w:t>PP-12</w:t>
            </w:r>
          </w:p>
        </w:tc>
        <w:tc>
          <w:tcPr>
            <w:tcW w:w="8938" w:type="dxa"/>
            <w:tcBorders>
              <w:top w:val="nil"/>
              <w:left w:val="nil"/>
              <w:bottom w:val="single" w:sz="4" w:space="0" w:color="auto"/>
              <w:right w:val="single" w:sz="4" w:space="0" w:color="auto"/>
            </w:tcBorders>
            <w:vAlign w:val="center"/>
            <w:hideMark/>
          </w:tcPr>
          <w:p w14:paraId="5C516439" w14:textId="77777777" w:rsidR="00630C73" w:rsidRPr="00E34DE7" w:rsidRDefault="00630C73" w:rsidP="001F3E93">
            <w:pPr>
              <w:jc w:val="center"/>
              <w:rPr>
                <w:rFonts w:ascii="Arial" w:hAnsi="Arial" w:cs="Arial"/>
                <w:bCs/>
              </w:rPr>
            </w:pPr>
            <w:r w:rsidRPr="00E34DE7">
              <w:rPr>
                <w:rFonts w:ascii="Arial" w:hAnsi="Arial" w:cs="Arial"/>
                <w:bCs/>
              </w:rPr>
              <w:t>Control y seguimiento de las aguas río Nora y Noreña</w:t>
            </w:r>
          </w:p>
        </w:tc>
      </w:tr>
      <w:tr w:rsidR="00630C73" w:rsidRPr="00E34DE7" w14:paraId="580919F7" w14:textId="77777777" w:rsidTr="001F3E93">
        <w:trPr>
          <w:trHeight w:val="411"/>
        </w:trPr>
        <w:tc>
          <w:tcPr>
            <w:tcW w:w="938" w:type="dxa"/>
            <w:tcBorders>
              <w:top w:val="nil"/>
              <w:left w:val="single" w:sz="4" w:space="0" w:color="auto"/>
              <w:bottom w:val="nil"/>
              <w:right w:val="single" w:sz="4" w:space="0" w:color="auto"/>
            </w:tcBorders>
            <w:vAlign w:val="center"/>
            <w:hideMark/>
          </w:tcPr>
          <w:p w14:paraId="4CCB4C6B" w14:textId="77777777" w:rsidR="00630C73" w:rsidRPr="00E34DE7" w:rsidRDefault="00630C73" w:rsidP="001F3E93">
            <w:pPr>
              <w:jc w:val="center"/>
              <w:rPr>
                <w:rFonts w:ascii="Arial" w:hAnsi="Arial" w:cs="Arial"/>
                <w:b/>
                <w:bCs/>
              </w:rPr>
            </w:pPr>
            <w:r w:rsidRPr="00E34DE7">
              <w:rPr>
                <w:rFonts w:ascii="Arial" w:hAnsi="Arial" w:cs="Arial"/>
                <w:b/>
                <w:bCs/>
              </w:rPr>
              <w:t>PP-13</w:t>
            </w:r>
          </w:p>
        </w:tc>
        <w:tc>
          <w:tcPr>
            <w:tcW w:w="8938" w:type="dxa"/>
            <w:tcBorders>
              <w:top w:val="nil"/>
              <w:left w:val="nil"/>
              <w:bottom w:val="single" w:sz="4" w:space="0" w:color="auto"/>
              <w:right w:val="single" w:sz="4" w:space="0" w:color="auto"/>
            </w:tcBorders>
            <w:vAlign w:val="center"/>
            <w:hideMark/>
          </w:tcPr>
          <w:p w14:paraId="2E3F9377" w14:textId="77777777" w:rsidR="00630C73" w:rsidRPr="00E34DE7" w:rsidRDefault="00630C73" w:rsidP="001F3E93">
            <w:pPr>
              <w:jc w:val="center"/>
              <w:rPr>
                <w:rFonts w:ascii="Arial" w:hAnsi="Arial" w:cs="Arial"/>
                <w:bCs/>
              </w:rPr>
            </w:pPr>
            <w:r w:rsidRPr="00E34DE7">
              <w:rPr>
                <w:rFonts w:ascii="Arial" w:hAnsi="Arial" w:cs="Arial"/>
                <w:bCs/>
              </w:rPr>
              <w:t>Control plantaciones</w:t>
            </w:r>
          </w:p>
        </w:tc>
      </w:tr>
      <w:tr w:rsidR="00630C73" w:rsidRPr="00E34DE7" w14:paraId="5BEF0492" w14:textId="77777777" w:rsidTr="001F3E93">
        <w:trPr>
          <w:trHeight w:val="411"/>
        </w:trPr>
        <w:tc>
          <w:tcPr>
            <w:tcW w:w="938" w:type="dxa"/>
            <w:tcBorders>
              <w:top w:val="nil"/>
              <w:left w:val="single" w:sz="4" w:space="0" w:color="auto"/>
              <w:bottom w:val="nil"/>
              <w:right w:val="single" w:sz="4" w:space="0" w:color="auto"/>
            </w:tcBorders>
            <w:vAlign w:val="center"/>
            <w:hideMark/>
          </w:tcPr>
          <w:p w14:paraId="7035FB7C" w14:textId="77777777" w:rsidR="00630C73" w:rsidRPr="00E34DE7" w:rsidRDefault="00630C73" w:rsidP="001F3E93">
            <w:pPr>
              <w:jc w:val="center"/>
              <w:rPr>
                <w:rFonts w:ascii="Arial" w:hAnsi="Arial" w:cs="Arial"/>
                <w:b/>
                <w:bCs/>
              </w:rPr>
            </w:pPr>
            <w:r w:rsidRPr="00E34DE7">
              <w:rPr>
                <w:rFonts w:ascii="Arial" w:hAnsi="Arial" w:cs="Arial"/>
                <w:b/>
                <w:bCs/>
              </w:rPr>
              <w:t>PP-14</w:t>
            </w:r>
          </w:p>
        </w:tc>
        <w:tc>
          <w:tcPr>
            <w:tcW w:w="8938" w:type="dxa"/>
            <w:tcBorders>
              <w:top w:val="nil"/>
              <w:left w:val="nil"/>
              <w:bottom w:val="single" w:sz="4" w:space="0" w:color="auto"/>
              <w:right w:val="single" w:sz="4" w:space="0" w:color="auto"/>
            </w:tcBorders>
            <w:vAlign w:val="center"/>
            <w:hideMark/>
          </w:tcPr>
          <w:p w14:paraId="61FDAD52" w14:textId="77777777" w:rsidR="00630C73" w:rsidRPr="00E34DE7" w:rsidRDefault="00630C73" w:rsidP="001F3E93">
            <w:pPr>
              <w:jc w:val="center"/>
              <w:rPr>
                <w:rFonts w:ascii="Arial" w:hAnsi="Arial" w:cs="Arial"/>
                <w:bCs/>
              </w:rPr>
            </w:pPr>
            <w:r w:rsidRPr="00E34DE7">
              <w:rPr>
                <w:rFonts w:ascii="Arial" w:hAnsi="Arial" w:cs="Arial"/>
                <w:bCs/>
              </w:rPr>
              <w:t>Control de afección a fauna</w:t>
            </w:r>
          </w:p>
        </w:tc>
      </w:tr>
      <w:tr w:rsidR="00630C73" w:rsidRPr="00E34DE7" w14:paraId="7982284F" w14:textId="77777777" w:rsidTr="001F3E93">
        <w:trPr>
          <w:trHeight w:val="617"/>
        </w:trPr>
        <w:tc>
          <w:tcPr>
            <w:tcW w:w="938" w:type="dxa"/>
            <w:tcBorders>
              <w:top w:val="single" w:sz="4" w:space="0" w:color="auto"/>
              <w:left w:val="single" w:sz="4" w:space="0" w:color="auto"/>
              <w:bottom w:val="single" w:sz="4" w:space="0" w:color="auto"/>
              <w:right w:val="single" w:sz="4" w:space="0" w:color="auto"/>
            </w:tcBorders>
            <w:vAlign w:val="center"/>
            <w:hideMark/>
          </w:tcPr>
          <w:p w14:paraId="7B8F3073" w14:textId="77777777" w:rsidR="00630C73" w:rsidRPr="00E34DE7" w:rsidRDefault="00630C73" w:rsidP="001F3E93">
            <w:pPr>
              <w:jc w:val="center"/>
              <w:rPr>
                <w:rFonts w:ascii="Arial" w:hAnsi="Arial" w:cs="Arial"/>
                <w:b/>
                <w:bCs/>
              </w:rPr>
            </w:pPr>
            <w:r w:rsidRPr="00E34DE7">
              <w:rPr>
                <w:rFonts w:ascii="Arial" w:hAnsi="Arial" w:cs="Arial"/>
                <w:b/>
                <w:bCs/>
              </w:rPr>
              <w:t>PP-15</w:t>
            </w:r>
          </w:p>
        </w:tc>
        <w:tc>
          <w:tcPr>
            <w:tcW w:w="8938" w:type="dxa"/>
            <w:tcBorders>
              <w:top w:val="nil"/>
              <w:left w:val="nil"/>
              <w:bottom w:val="single" w:sz="4" w:space="0" w:color="auto"/>
              <w:right w:val="single" w:sz="4" w:space="0" w:color="auto"/>
            </w:tcBorders>
            <w:vAlign w:val="center"/>
            <w:hideMark/>
          </w:tcPr>
          <w:p w14:paraId="3F429CB2" w14:textId="77777777" w:rsidR="00630C73" w:rsidRPr="00E34DE7" w:rsidRDefault="00630C73" w:rsidP="001F3E93">
            <w:pPr>
              <w:jc w:val="center"/>
              <w:rPr>
                <w:rFonts w:ascii="Arial" w:hAnsi="Arial" w:cs="Arial"/>
                <w:bCs/>
              </w:rPr>
            </w:pPr>
            <w:r w:rsidRPr="00E34DE7">
              <w:rPr>
                <w:rFonts w:ascii="Arial" w:hAnsi="Arial" w:cs="Arial"/>
                <w:bCs/>
              </w:rPr>
              <w:t xml:space="preserve">Control y seguimiento de las obras de </w:t>
            </w:r>
            <w:proofErr w:type="gramStart"/>
            <w:r w:rsidRPr="00E34DE7">
              <w:rPr>
                <w:rFonts w:ascii="Arial" w:hAnsi="Arial" w:cs="Arial"/>
                <w:bCs/>
              </w:rPr>
              <w:t>restauración  ambiental</w:t>
            </w:r>
            <w:proofErr w:type="gramEnd"/>
            <w:r w:rsidRPr="00E34DE7">
              <w:rPr>
                <w:rFonts w:ascii="Arial" w:hAnsi="Arial" w:cs="Arial"/>
                <w:bCs/>
              </w:rPr>
              <w:t xml:space="preserve"> de las zonas afectadas por las obras</w:t>
            </w:r>
          </w:p>
        </w:tc>
      </w:tr>
      <w:tr w:rsidR="00630C73" w:rsidRPr="00E34DE7" w14:paraId="58FB2449" w14:textId="77777777" w:rsidTr="001F3E93">
        <w:trPr>
          <w:trHeight w:val="411"/>
        </w:trPr>
        <w:tc>
          <w:tcPr>
            <w:tcW w:w="938" w:type="dxa"/>
            <w:tcBorders>
              <w:top w:val="nil"/>
              <w:left w:val="single" w:sz="4" w:space="0" w:color="auto"/>
              <w:bottom w:val="single" w:sz="4" w:space="0" w:color="auto"/>
              <w:right w:val="single" w:sz="4" w:space="0" w:color="auto"/>
            </w:tcBorders>
            <w:vAlign w:val="center"/>
            <w:hideMark/>
          </w:tcPr>
          <w:p w14:paraId="11516220" w14:textId="77777777" w:rsidR="00630C73" w:rsidRPr="00E34DE7" w:rsidRDefault="00630C73" w:rsidP="001F3E93">
            <w:pPr>
              <w:jc w:val="center"/>
              <w:rPr>
                <w:rFonts w:ascii="Arial" w:hAnsi="Arial" w:cs="Arial"/>
                <w:b/>
                <w:bCs/>
              </w:rPr>
            </w:pPr>
            <w:r w:rsidRPr="00E34DE7">
              <w:rPr>
                <w:rFonts w:ascii="Arial" w:hAnsi="Arial" w:cs="Arial"/>
                <w:b/>
                <w:bCs/>
              </w:rPr>
              <w:t>PP-16</w:t>
            </w:r>
          </w:p>
        </w:tc>
        <w:tc>
          <w:tcPr>
            <w:tcW w:w="8938" w:type="dxa"/>
            <w:tcBorders>
              <w:top w:val="nil"/>
              <w:left w:val="nil"/>
              <w:bottom w:val="single" w:sz="4" w:space="0" w:color="auto"/>
              <w:right w:val="single" w:sz="4" w:space="0" w:color="auto"/>
            </w:tcBorders>
            <w:vAlign w:val="center"/>
            <w:hideMark/>
          </w:tcPr>
          <w:p w14:paraId="7A2E302D" w14:textId="77777777" w:rsidR="00630C73" w:rsidRPr="00E34DE7" w:rsidRDefault="00630C73" w:rsidP="001F3E93">
            <w:pPr>
              <w:jc w:val="center"/>
              <w:rPr>
                <w:rFonts w:ascii="Arial" w:hAnsi="Arial" w:cs="Arial"/>
                <w:bCs/>
              </w:rPr>
            </w:pPr>
            <w:r w:rsidRPr="00E34DE7">
              <w:rPr>
                <w:rFonts w:ascii="Arial" w:hAnsi="Arial" w:cs="Arial"/>
                <w:bCs/>
              </w:rPr>
              <w:t>Control del patrimonio histórico-arqueológico</w:t>
            </w:r>
          </w:p>
        </w:tc>
      </w:tr>
      <w:tr w:rsidR="00630C73" w:rsidRPr="00E34DE7" w14:paraId="6260345B" w14:textId="77777777" w:rsidTr="001F3E93">
        <w:trPr>
          <w:trHeight w:val="411"/>
        </w:trPr>
        <w:tc>
          <w:tcPr>
            <w:tcW w:w="938" w:type="dxa"/>
            <w:tcBorders>
              <w:top w:val="nil"/>
              <w:left w:val="single" w:sz="4" w:space="0" w:color="auto"/>
              <w:bottom w:val="single" w:sz="4" w:space="0" w:color="auto"/>
              <w:right w:val="single" w:sz="4" w:space="0" w:color="auto"/>
            </w:tcBorders>
            <w:vAlign w:val="center"/>
            <w:hideMark/>
          </w:tcPr>
          <w:p w14:paraId="35ABDAC3" w14:textId="77777777" w:rsidR="00630C73" w:rsidRPr="00E34DE7" w:rsidRDefault="00630C73" w:rsidP="001F3E93">
            <w:pPr>
              <w:jc w:val="center"/>
              <w:rPr>
                <w:rFonts w:ascii="Arial" w:hAnsi="Arial" w:cs="Arial"/>
                <w:b/>
                <w:bCs/>
              </w:rPr>
            </w:pPr>
            <w:r w:rsidRPr="00E34DE7">
              <w:rPr>
                <w:rFonts w:ascii="Arial" w:hAnsi="Arial" w:cs="Arial"/>
                <w:b/>
                <w:bCs/>
              </w:rPr>
              <w:t>PP-17</w:t>
            </w:r>
          </w:p>
        </w:tc>
        <w:tc>
          <w:tcPr>
            <w:tcW w:w="8938" w:type="dxa"/>
            <w:tcBorders>
              <w:top w:val="nil"/>
              <w:left w:val="nil"/>
              <w:bottom w:val="single" w:sz="4" w:space="0" w:color="auto"/>
              <w:right w:val="single" w:sz="4" w:space="0" w:color="auto"/>
            </w:tcBorders>
            <w:vAlign w:val="center"/>
            <w:hideMark/>
          </w:tcPr>
          <w:p w14:paraId="1CF4474E" w14:textId="77777777" w:rsidR="00630C73" w:rsidRPr="00E34DE7" w:rsidRDefault="00630C73" w:rsidP="001F3E93">
            <w:pPr>
              <w:jc w:val="center"/>
              <w:rPr>
                <w:rFonts w:ascii="Arial" w:hAnsi="Arial" w:cs="Arial"/>
                <w:bCs/>
              </w:rPr>
            </w:pPr>
            <w:r w:rsidRPr="00E34DE7">
              <w:rPr>
                <w:rFonts w:ascii="Arial" w:hAnsi="Arial" w:cs="Arial"/>
                <w:bCs/>
              </w:rPr>
              <w:t>Control de los niveles acústicos</w:t>
            </w:r>
          </w:p>
        </w:tc>
      </w:tr>
    </w:tbl>
    <w:p w14:paraId="1FC569AB" w14:textId="77777777" w:rsidR="00630C73" w:rsidRPr="00E34DE7" w:rsidRDefault="00630C73" w:rsidP="00630C73">
      <w:pPr>
        <w:pStyle w:val="ARIALNORMAL"/>
        <w:rPr>
          <w:lang w:val="es-ES"/>
        </w:rPr>
      </w:pPr>
    </w:p>
    <w:p w14:paraId="73737A18" w14:textId="77777777" w:rsidR="00630C73" w:rsidRPr="00E34DE7" w:rsidRDefault="00630C73" w:rsidP="00630C73">
      <w:pPr>
        <w:pStyle w:val="ARIALNORMAL"/>
        <w:rPr>
          <w:lang w:val="es-ES"/>
        </w:rPr>
      </w:pPr>
    </w:p>
    <w:p w14:paraId="301FD4AB" w14:textId="77777777" w:rsidR="00630C73" w:rsidRPr="00E34DE7" w:rsidRDefault="00630C73" w:rsidP="00630C73">
      <w:pPr>
        <w:pStyle w:val="ARIALNORMAL"/>
        <w:rPr>
          <w:lang w:val="es-ES"/>
        </w:rPr>
      </w:pPr>
    </w:p>
    <w:p w14:paraId="502E77F7" w14:textId="77777777" w:rsidR="00630C73" w:rsidRPr="00E34DE7" w:rsidRDefault="00630C73" w:rsidP="00630C73">
      <w:pPr>
        <w:pStyle w:val="ARIALNORMAL"/>
        <w:rPr>
          <w:lang w:val="es-ES"/>
        </w:rPr>
      </w:pPr>
    </w:p>
    <w:p w14:paraId="21BD2263" w14:textId="77777777" w:rsidR="007F17AA" w:rsidRPr="00E34DE7" w:rsidRDefault="007F17AA" w:rsidP="00630C73">
      <w:pPr>
        <w:pStyle w:val="ARIALNORMAL"/>
        <w:rPr>
          <w:lang w:val="es-ES"/>
        </w:rPr>
      </w:pPr>
    </w:p>
    <w:p w14:paraId="6FDCF9C4" w14:textId="77777777" w:rsidR="007F17AA" w:rsidRPr="00E34DE7" w:rsidRDefault="007F17AA" w:rsidP="00630C73">
      <w:pPr>
        <w:pStyle w:val="ARIALNORMAL"/>
        <w:rPr>
          <w:lang w:val="es-ES"/>
        </w:rPr>
      </w:pPr>
    </w:p>
    <w:p w14:paraId="0B66D130" w14:textId="77777777" w:rsidR="007F17AA" w:rsidRPr="00E34DE7" w:rsidRDefault="007F17AA" w:rsidP="00630C73">
      <w:pPr>
        <w:pStyle w:val="ARIALNORMAL"/>
        <w:rPr>
          <w:lang w:val="es-ES"/>
        </w:rPr>
      </w:pPr>
    </w:p>
    <w:p w14:paraId="0273D105" w14:textId="77777777" w:rsidR="007F17AA" w:rsidRPr="00E34DE7" w:rsidRDefault="007F17AA" w:rsidP="00630C73">
      <w:pPr>
        <w:pStyle w:val="ARIALNORMAL"/>
        <w:rPr>
          <w:lang w:val="es-ES"/>
        </w:rPr>
      </w:pPr>
    </w:p>
    <w:p w14:paraId="3026513C" w14:textId="77777777" w:rsidR="007F17AA" w:rsidRPr="00E34DE7" w:rsidRDefault="007F17AA" w:rsidP="000313DD">
      <w:pPr>
        <w:pStyle w:val="TITU2"/>
      </w:pPr>
      <w:bookmarkStart w:id="1515" w:name="_Toc404732"/>
      <w:r w:rsidRPr="00E34DE7">
        <w:lastRenderedPageBreak/>
        <w:t>828.8. Programa de puntos de inspección para la vigilancia ambiental</w:t>
      </w:r>
      <w:bookmarkEnd w:id="1515"/>
    </w:p>
    <w:p w14:paraId="490728EA" w14:textId="77777777" w:rsidR="00630C73" w:rsidRPr="00E34DE7" w:rsidRDefault="00630C73" w:rsidP="00630C73">
      <w:pPr>
        <w:pStyle w:val="ARIALNORMAL"/>
        <w:rPr>
          <w:sz w:val="2"/>
          <w:szCs w:val="2"/>
          <w:lang w:val="es-ES"/>
        </w:rPr>
      </w:pPr>
    </w:p>
    <w:p w14:paraId="32B979BE" w14:textId="77777777" w:rsidR="00630C73" w:rsidRPr="00E34DE7" w:rsidRDefault="00630C73" w:rsidP="00630C73">
      <w:pPr>
        <w:pStyle w:val="NORMAL12"/>
      </w:pPr>
      <w:bookmarkStart w:id="1516" w:name="_Toc524508883"/>
      <w:bookmarkStart w:id="1517" w:name="_Toc524509010"/>
      <w:bookmarkStart w:id="1518" w:name="_Toc524511515"/>
      <w:bookmarkStart w:id="1519" w:name="_Toc524511643"/>
      <w:bookmarkStart w:id="1520" w:name="_Toc524511771"/>
      <w:bookmarkStart w:id="1521" w:name="_Toc524515089"/>
      <w:bookmarkStart w:id="1522" w:name="_Toc524677592"/>
      <w:bookmarkStart w:id="1523" w:name="_Toc524677944"/>
      <w:bookmarkStart w:id="1524" w:name="_Toc525112604"/>
      <w:bookmarkStart w:id="1525" w:name="_Toc524508884"/>
      <w:bookmarkStart w:id="1526" w:name="_Toc524509011"/>
      <w:bookmarkStart w:id="1527" w:name="_Toc524511516"/>
      <w:bookmarkStart w:id="1528" w:name="_Toc524511644"/>
      <w:bookmarkStart w:id="1529" w:name="_Toc524511772"/>
      <w:bookmarkStart w:id="1530" w:name="_Toc524515090"/>
      <w:bookmarkStart w:id="1531" w:name="_Toc524677593"/>
      <w:bookmarkStart w:id="1532" w:name="_Toc524677945"/>
      <w:bookmarkStart w:id="1533" w:name="_Toc52511260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r w:rsidRPr="00E34DE7">
        <w:t xml:space="preserve">A </w:t>
      </w:r>
      <w:proofErr w:type="gramStart"/>
      <w:r w:rsidRPr="00E34DE7">
        <w:t>continuación</w:t>
      </w:r>
      <w:proofErr w:type="gramEnd"/>
      <w:r w:rsidRPr="00E34DE7">
        <w:t xml:space="preserve"> se describe en fichas el contenido de los PPI, indicando:</w:t>
      </w:r>
    </w:p>
    <w:p w14:paraId="1080349C" w14:textId="77777777" w:rsidR="00630C73" w:rsidRPr="00E34DE7" w:rsidRDefault="00630C73" w:rsidP="000313DD">
      <w:pPr>
        <w:pStyle w:val="NORMAL12"/>
        <w:numPr>
          <w:ilvl w:val="0"/>
          <w:numId w:val="240"/>
        </w:numPr>
      </w:pPr>
      <w:r w:rsidRPr="00E34DE7">
        <w:t>Objetivos de control.</w:t>
      </w:r>
    </w:p>
    <w:p w14:paraId="216EFC32" w14:textId="77777777" w:rsidR="00630C73" w:rsidRPr="00E34DE7" w:rsidRDefault="00630C73" w:rsidP="000313DD">
      <w:pPr>
        <w:pStyle w:val="NORMAL12"/>
        <w:numPr>
          <w:ilvl w:val="0"/>
          <w:numId w:val="240"/>
        </w:numPr>
      </w:pPr>
      <w:r w:rsidRPr="00E34DE7">
        <w:t>Actuaciones derivadas del control.</w:t>
      </w:r>
    </w:p>
    <w:p w14:paraId="39CDD47E" w14:textId="77777777" w:rsidR="00630C73" w:rsidRPr="00E34DE7" w:rsidRDefault="00630C73" w:rsidP="000313DD">
      <w:pPr>
        <w:pStyle w:val="NORMAL12"/>
        <w:numPr>
          <w:ilvl w:val="0"/>
          <w:numId w:val="240"/>
        </w:numPr>
      </w:pPr>
      <w:proofErr w:type="gramStart"/>
      <w:r w:rsidRPr="00E34DE7">
        <w:t>Parámetros a medir</w:t>
      </w:r>
      <w:proofErr w:type="gramEnd"/>
      <w:r w:rsidRPr="00E34DE7">
        <w:t>.</w:t>
      </w:r>
    </w:p>
    <w:p w14:paraId="285DC6CF" w14:textId="77777777" w:rsidR="00630C73" w:rsidRPr="00E34DE7" w:rsidRDefault="00630C73" w:rsidP="000313DD">
      <w:pPr>
        <w:pStyle w:val="NORMAL12"/>
        <w:numPr>
          <w:ilvl w:val="0"/>
          <w:numId w:val="240"/>
        </w:numPr>
      </w:pPr>
      <w:r w:rsidRPr="00E34DE7">
        <w:t>Lugar de realización del control.</w:t>
      </w:r>
    </w:p>
    <w:p w14:paraId="30A0AF4B" w14:textId="77777777" w:rsidR="00630C73" w:rsidRPr="00E34DE7" w:rsidRDefault="00630C73" w:rsidP="000313DD">
      <w:pPr>
        <w:pStyle w:val="NORMAL12"/>
        <w:numPr>
          <w:ilvl w:val="0"/>
          <w:numId w:val="240"/>
        </w:numPr>
      </w:pPr>
      <w:r w:rsidRPr="00E34DE7">
        <w:t>Material necesario, método de trabajo y necesidades de personal técnico.</w:t>
      </w:r>
    </w:p>
    <w:p w14:paraId="1F719DA6" w14:textId="77777777" w:rsidR="00630C73" w:rsidRPr="00E34DE7" w:rsidRDefault="00630C73" w:rsidP="000313DD">
      <w:pPr>
        <w:pStyle w:val="NORMAL12"/>
        <w:numPr>
          <w:ilvl w:val="0"/>
          <w:numId w:val="240"/>
        </w:numPr>
      </w:pPr>
      <w:r w:rsidRPr="00E34DE7">
        <w:t>Umbrales críticos para esos parámetros.</w:t>
      </w:r>
    </w:p>
    <w:p w14:paraId="64B9B521" w14:textId="77777777" w:rsidR="00630C73" w:rsidRPr="00E34DE7" w:rsidRDefault="00630C73" w:rsidP="000313DD">
      <w:pPr>
        <w:pStyle w:val="NORMAL12"/>
        <w:numPr>
          <w:ilvl w:val="0"/>
          <w:numId w:val="240"/>
        </w:numPr>
      </w:pPr>
      <w:r w:rsidRPr="00E34DE7">
        <w:t>Medidas a tomar en caso de que se alcancen esos umbrales críticos.</w:t>
      </w:r>
    </w:p>
    <w:p w14:paraId="4366AC4C" w14:textId="77777777" w:rsidR="00630C73" w:rsidRPr="00E34DE7" w:rsidRDefault="00630C73" w:rsidP="000313DD">
      <w:pPr>
        <w:pStyle w:val="NORMAL12"/>
        <w:numPr>
          <w:ilvl w:val="0"/>
          <w:numId w:val="240"/>
        </w:numPr>
      </w:pPr>
      <w:r w:rsidRPr="00E34DE7">
        <w:t>Documentación generada por cada control.</w:t>
      </w:r>
    </w:p>
    <w:p w14:paraId="54ECBC5F" w14:textId="77777777" w:rsidR="00630C73" w:rsidRPr="00E34DE7" w:rsidRDefault="00630C73" w:rsidP="00630C73">
      <w:pPr>
        <w:pStyle w:val="NORMAL12"/>
      </w:pPr>
      <w:r w:rsidRPr="00E34DE7">
        <w:rPr>
          <w:noProof/>
          <w:lang w:val="es-ES" w:eastAsia="es-ES"/>
        </w:rPr>
        <w:drawing>
          <wp:inline distT="0" distB="0" distL="0" distR="0" wp14:anchorId="526B88C0" wp14:editId="0269FD07">
            <wp:extent cx="6120000" cy="5202000"/>
            <wp:effectExtent l="0" t="0" r="0" b="0"/>
            <wp:docPr id="586" name="585 Imagen" descr="ppi_Page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01.jpg"/>
                    <pic:cNvPicPr/>
                  </pic:nvPicPr>
                  <pic:blipFill>
                    <a:blip r:embed="rId41" cstate="print"/>
                    <a:srcRect/>
                    <a:stretch>
                      <a:fillRect/>
                    </a:stretch>
                  </pic:blipFill>
                  <pic:spPr>
                    <a:xfrm>
                      <a:off x="0" y="0"/>
                      <a:ext cx="6120000" cy="5202000"/>
                    </a:xfrm>
                    <a:prstGeom prst="rect">
                      <a:avLst/>
                    </a:prstGeom>
                  </pic:spPr>
                </pic:pic>
              </a:graphicData>
            </a:graphic>
          </wp:inline>
        </w:drawing>
      </w:r>
    </w:p>
    <w:p w14:paraId="19035D68" w14:textId="77777777" w:rsidR="00630C73" w:rsidRPr="00E34DE7" w:rsidRDefault="00630C73" w:rsidP="00630C73">
      <w:pPr>
        <w:pStyle w:val="NORMAL12"/>
      </w:pPr>
      <w:r w:rsidRPr="00E34DE7">
        <w:br w:type="column"/>
      </w:r>
      <w:r w:rsidRPr="00E34DE7">
        <w:rPr>
          <w:noProof/>
          <w:lang w:val="es-ES" w:eastAsia="es-ES"/>
        </w:rPr>
        <w:drawing>
          <wp:inline distT="0" distB="0" distL="0" distR="0" wp14:anchorId="371CAFC3" wp14:editId="628FAAD9">
            <wp:extent cx="6120000" cy="7027200"/>
            <wp:effectExtent l="0" t="0" r="0" b="2540"/>
            <wp:docPr id="587" name="586 Imagen" descr="ppi_Page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02.jpg"/>
                    <pic:cNvPicPr/>
                  </pic:nvPicPr>
                  <pic:blipFill rotWithShape="1">
                    <a:blip r:embed="rId42" cstate="print"/>
                    <a:srcRect l="7362" t="5063" r="9816" b="27693"/>
                    <a:stretch/>
                  </pic:blipFill>
                  <pic:spPr bwMode="auto">
                    <a:xfrm>
                      <a:off x="0" y="0"/>
                      <a:ext cx="6120000" cy="7027200"/>
                    </a:xfrm>
                    <a:prstGeom prst="rect">
                      <a:avLst/>
                    </a:prstGeom>
                    <a:ln>
                      <a:noFill/>
                    </a:ln>
                    <a:extLst>
                      <a:ext uri="{53640926-AAD7-44D8-BBD7-CCE9431645EC}">
                        <a14:shadowObscured xmlns:a14="http://schemas.microsoft.com/office/drawing/2010/main"/>
                      </a:ext>
                    </a:extLst>
                  </pic:spPr>
                </pic:pic>
              </a:graphicData>
            </a:graphic>
          </wp:inline>
        </w:drawing>
      </w:r>
    </w:p>
    <w:p w14:paraId="312330E7" w14:textId="77777777" w:rsidR="00630C73" w:rsidRPr="00E34DE7" w:rsidRDefault="00630C73" w:rsidP="00630C73">
      <w:pPr>
        <w:pStyle w:val="NORMAL12"/>
      </w:pPr>
      <w:r w:rsidRPr="00E34DE7">
        <w:br w:type="column"/>
      </w:r>
      <w:r w:rsidRPr="00E34DE7">
        <w:rPr>
          <w:noProof/>
          <w:lang w:val="es-ES" w:eastAsia="es-ES"/>
        </w:rPr>
        <w:lastRenderedPageBreak/>
        <w:drawing>
          <wp:inline distT="0" distB="0" distL="0" distR="0" wp14:anchorId="3C9A43F6" wp14:editId="052E1B3F">
            <wp:extent cx="6120000" cy="6454800"/>
            <wp:effectExtent l="0" t="0" r="0" b="3175"/>
            <wp:docPr id="588" name="587 Imagen" descr="ppi_Page_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03.jpg"/>
                    <pic:cNvPicPr/>
                  </pic:nvPicPr>
                  <pic:blipFill>
                    <a:blip r:embed="rId43" cstate="print"/>
                    <a:srcRect/>
                    <a:stretch>
                      <a:fillRect/>
                    </a:stretch>
                  </pic:blipFill>
                  <pic:spPr>
                    <a:xfrm>
                      <a:off x="0" y="0"/>
                      <a:ext cx="6120000" cy="6454800"/>
                    </a:xfrm>
                    <a:prstGeom prst="rect">
                      <a:avLst/>
                    </a:prstGeom>
                  </pic:spPr>
                </pic:pic>
              </a:graphicData>
            </a:graphic>
          </wp:inline>
        </w:drawing>
      </w:r>
    </w:p>
    <w:p w14:paraId="2E17EAC1" w14:textId="77777777" w:rsidR="00630C73" w:rsidRPr="00E34DE7" w:rsidRDefault="00630C73" w:rsidP="00630C73">
      <w:pPr>
        <w:pStyle w:val="NORMAL12"/>
      </w:pPr>
      <w:r w:rsidRPr="00E34DE7">
        <w:br w:type="column"/>
      </w:r>
      <w:r w:rsidRPr="00E34DE7">
        <w:rPr>
          <w:noProof/>
          <w:lang w:val="es-ES" w:eastAsia="es-ES"/>
        </w:rPr>
        <w:drawing>
          <wp:inline distT="0" distB="0" distL="0" distR="0" wp14:anchorId="54D8026C" wp14:editId="7DE1CE76">
            <wp:extent cx="6120000" cy="6901200"/>
            <wp:effectExtent l="0" t="0" r="0" b="0"/>
            <wp:docPr id="2" name="588 Imagen" descr="ppi_Page_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04.jpg"/>
                    <pic:cNvPicPr/>
                  </pic:nvPicPr>
                  <pic:blipFill>
                    <a:blip r:embed="rId44" cstate="print"/>
                    <a:srcRect/>
                    <a:stretch>
                      <a:fillRect/>
                    </a:stretch>
                  </pic:blipFill>
                  <pic:spPr>
                    <a:xfrm>
                      <a:off x="0" y="0"/>
                      <a:ext cx="6120000" cy="6901200"/>
                    </a:xfrm>
                    <a:prstGeom prst="rect">
                      <a:avLst/>
                    </a:prstGeom>
                  </pic:spPr>
                </pic:pic>
              </a:graphicData>
            </a:graphic>
          </wp:inline>
        </w:drawing>
      </w:r>
    </w:p>
    <w:p w14:paraId="6695C9F9" w14:textId="77777777" w:rsidR="00630C73" w:rsidRPr="00E34DE7" w:rsidRDefault="00630C73" w:rsidP="00630C73">
      <w:pPr>
        <w:pStyle w:val="NORMAL12"/>
      </w:pPr>
    </w:p>
    <w:p w14:paraId="1B7249D3" w14:textId="77777777" w:rsidR="00630C73" w:rsidRPr="00E34DE7" w:rsidRDefault="00630C73" w:rsidP="00630C73">
      <w:pPr>
        <w:pStyle w:val="NORMAL12"/>
      </w:pPr>
      <w:r w:rsidRPr="00E34DE7">
        <w:br w:type="column"/>
      </w:r>
      <w:r w:rsidRPr="00E34DE7">
        <w:rPr>
          <w:noProof/>
          <w:lang w:val="es-ES" w:eastAsia="es-ES"/>
        </w:rPr>
        <w:lastRenderedPageBreak/>
        <w:drawing>
          <wp:inline distT="0" distB="0" distL="0" distR="0" wp14:anchorId="5ABA6DEA" wp14:editId="3D179D53">
            <wp:extent cx="6120000" cy="4374000"/>
            <wp:effectExtent l="0" t="0" r="0" b="7620"/>
            <wp:docPr id="590" name="589 Imagen" descr="ppi_Page_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05.jpg"/>
                    <pic:cNvPicPr/>
                  </pic:nvPicPr>
                  <pic:blipFill>
                    <a:blip r:embed="rId45" cstate="print"/>
                    <a:srcRect/>
                    <a:stretch>
                      <a:fillRect/>
                    </a:stretch>
                  </pic:blipFill>
                  <pic:spPr>
                    <a:xfrm>
                      <a:off x="0" y="0"/>
                      <a:ext cx="6120000" cy="4374000"/>
                    </a:xfrm>
                    <a:prstGeom prst="rect">
                      <a:avLst/>
                    </a:prstGeom>
                  </pic:spPr>
                </pic:pic>
              </a:graphicData>
            </a:graphic>
          </wp:inline>
        </w:drawing>
      </w:r>
    </w:p>
    <w:p w14:paraId="0A86DA81" w14:textId="77777777" w:rsidR="00630C73" w:rsidRPr="00E34DE7" w:rsidRDefault="00630C73" w:rsidP="00630C73">
      <w:pPr>
        <w:pStyle w:val="NORMAL12"/>
      </w:pPr>
      <w:r w:rsidRPr="00E34DE7">
        <w:br w:type="column"/>
      </w:r>
      <w:r w:rsidRPr="00E34DE7">
        <w:rPr>
          <w:noProof/>
          <w:lang w:val="es-ES" w:eastAsia="es-ES"/>
        </w:rPr>
        <w:drawing>
          <wp:inline distT="0" distB="0" distL="0" distR="0" wp14:anchorId="4DFB4188" wp14:editId="3B0DEA14">
            <wp:extent cx="6120000" cy="8560800"/>
            <wp:effectExtent l="0" t="0" r="0" b="0"/>
            <wp:docPr id="591" name="590 Imagen" descr="ppi_Page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06.jpg"/>
                    <pic:cNvPicPr/>
                  </pic:nvPicPr>
                  <pic:blipFill>
                    <a:blip r:embed="rId46" cstate="print"/>
                    <a:srcRect/>
                    <a:stretch>
                      <a:fillRect/>
                    </a:stretch>
                  </pic:blipFill>
                  <pic:spPr>
                    <a:xfrm>
                      <a:off x="0" y="0"/>
                      <a:ext cx="6120000" cy="8560800"/>
                    </a:xfrm>
                    <a:prstGeom prst="rect">
                      <a:avLst/>
                    </a:prstGeom>
                  </pic:spPr>
                </pic:pic>
              </a:graphicData>
            </a:graphic>
          </wp:inline>
        </w:drawing>
      </w:r>
    </w:p>
    <w:p w14:paraId="727938D6" w14:textId="77777777" w:rsidR="00630C73" w:rsidRPr="00E34DE7" w:rsidRDefault="00630C73" w:rsidP="00630C73">
      <w:pPr>
        <w:pStyle w:val="NORMAL12"/>
      </w:pPr>
      <w:r w:rsidRPr="00E34DE7">
        <w:br w:type="column"/>
      </w:r>
      <w:r w:rsidRPr="00E34DE7">
        <w:rPr>
          <w:noProof/>
          <w:lang w:val="es-ES" w:eastAsia="es-ES"/>
        </w:rPr>
        <w:lastRenderedPageBreak/>
        <w:drawing>
          <wp:inline distT="0" distB="0" distL="0" distR="0" wp14:anchorId="1FD9DBC8" wp14:editId="03D14B52">
            <wp:extent cx="5940000" cy="8665200"/>
            <wp:effectExtent l="0" t="0" r="3810" b="3175"/>
            <wp:docPr id="592" name="591 Imagen" descr="ppi_Page_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07.jpg"/>
                    <pic:cNvPicPr/>
                  </pic:nvPicPr>
                  <pic:blipFill>
                    <a:blip r:embed="rId47" cstate="print"/>
                    <a:srcRect/>
                    <a:stretch>
                      <a:fillRect/>
                    </a:stretch>
                  </pic:blipFill>
                  <pic:spPr>
                    <a:xfrm>
                      <a:off x="0" y="0"/>
                      <a:ext cx="5940000" cy="8665200"/>
                    </a:xfrm>
                    <a:prstGeom prst="rect">
                      <a:avLst/>
                    </a:prstGeom>
                  </pic:spPr>
                </pic:pic>
              </a:graphicData>
            </a:graphic>
          </wp:inline>
        </w:drawing>
      </w:r>
    </w:p>
    <w:p w14:paraId="2F866FDD" w14:textId="77777777" w:rsidR="00630C73" w:rsidRPr="00E34DE7" w:rsidRDefault="00630C73" w:rsidP="00630C73">
      <w:pPr>
        <w:pStyle w:val="NORMAL12"/>
      </w:pPr>
      <w:r w:rsidRPr="00E34DE7">
        <w:br w:type="column"/>
      </w:r>
      <w:r w:rsidRPr="00E34DE7">
        <w:rPr>
          <w:noProof/>
          <w:lang w:val="es-ES" w:eastAsia="es-ES"/>
        </w:rPr>
        <w:drawing>
          <wp:inline distT="0" distB="0" distL="0" distR="0" wp14:anchorId="0F433D18" wp14:editId="218B6CF4">
            <wp:extent cx="5940000" cy="8593200"/>
            <wp:effectExtent l="0" t="0" r="3810" b="0"/>
            <wp:docPr id="593" name="592 Imagen" descr="ppi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08.jpg"/>
                    <pic:cNvPicPr/>
                  </pic:nvPicPr>
                  <pic:blipFill>
                    <a:blip r:embed="rId48" cstate="print"/>
                    <a:srcRect/>
                    <a:stretch>
                      <a:fillRect/>
                    </a:stretch>
                  </pic:blipFill>
                  <pic:spPr>
                    <a:xfrm>
                      <a:off x="0" y="0"/>
                      <a:ext cx="5940000" cy="8593200"/>
                    </a:xfrm>
                    <a:prstGeom prst="rect">
                      <a:avLst/>
                    </a:prstGeom>
                  </pic:spPr>
                </pic:pic>
              </a:graphicData>
            </a:graphic>
          </wp:inline>
        </w:drawing>
      </w:r>
    </w:p>
    <w:p w14:paraId="537E5085" w14:textId="77777777" w:rsidR="00630C73" w:rsidRPr="00E34DE7" w:rsidRDefault="00630C73" w:rsidP="00630C73">
      <w:pPr>
        <w:pStyle w:val="NORMAL12"/>
      </w:pPr>
      <w:r w:rsidRPr="00E34DE7">
        <w:br w:type="column"/>
      </w:r>
    </w:p>
    <w:p w14:paraId="2FE3D2FD" w14:textId="77777777" w:rsidR="00630C73" w:rsidRPr="00E34DE7" w:rsidRDefault="00630C73" w:rsidP="00630C73">
      <w:pPr>
        <w:pStyle w:val="NORMAL12"/>
        <w:jc w:val="center"/>
      </w:pPr>
      <w:r w:rsidRPr="00E34DE7">
        <w:rPr>
          <w:noProof/>
          <w:lang w:val="es-ES" w:eastAsia="es-ES"/>
        </w:rPr>
        <w:drawing>
          <wp:inline distT="0" distB="0" distL="0" distR="0" wp14:anchorId="7CDF9F0F" wp14:editId="29E5FB29">
            <wp:extent cx="5580000" cy="8182800"/>
            <wp:effectExtent l="0" t="0" r="1905" b="8890"/>
            <wp:docPr id="595" name="594 Imagen" descr="ppi_Page_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08.jpg"/>
                    <pic:cNvPicPr/>
                  </pic:nvPicPr>
                  <pic:blipFill>
                    <a:blip r:embed="rId49" cstate="print"/>
                    <a:srcRect/>
                    <a:stretch>
                      <a:fillRect/>
                    </a:stretch>
                  </pic:blipFill>
                  <pic:spPr>
                    <a:xfrm>
                      <a:off x="0" y="0"/>
                      <a:ext cx="5580000" cy="8182800"/>
                    </a:xfrm>
                    <a:prstGeom prst="rect">
                      <a:avLst/>
                    </a:prstGeom>
                  </pic:spPr>
                </pic:pic>
              </a:graphicData>
            </a:graphic>
          </wp:inline>
        </w:drawing>
      </w:r>
    </w:p>
    <w:p w14:paraId="5221F120" w14:textId="77777777" w:rsidR="00630C73" w:rsidRPr="00E34DE7" w:rsidRDefault="00630C73" w:rsidP="00630C73">
      <w:pPr>
        <w:pStyle w:val="NORMAL12"/>
        <w:jc w:val="center"/>
      </w:pPr>
      <w:r w:rsidRPr="00E34DE7">
        <w:br w:type="column"/>
      </w:r>
    </w:p>
    <w:p w14:paraId="7B2C41D2" w14:textId="77777777" w:rsidR="00630C73" w:rsidRPr="00E34DE7" w:rsidRDefault="00630C73" w:rsidP="00630C73">
      <w:pPr>
        <w:pStyle w:val="NORMAL12"/>
        <w:jc w:val="center"/>
      </w:pPr>
      <w:r w:rsidRPr="00E34DE7">
        <w:rPr>
          <w:noProof/>
          <w:lang w:val="es-ES" w:eastAsia="es-ES"/>
        </w:rPr>
        <w:drawing>
          <wp:inline distT="0" distB="0" distL="0" distR="0" wp14:anchorId="76E11F58" wp14:editId="357C6FCD">
            <wp:extent cx="5580000" cy="7783200"/>
            <wp:effectExtent l="0" t="0" r="1905" b="8255"/>
            <wp:docPr id="596" name="595 Imagen" descr="ppi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09.jpg"/>
                    <pic:cNvPicPr/>
                  </pic:nvPicPr>
                  <pic:blipFill>
                    <a:blip r:embed="rId50" cstate="print"/>
                    <a:srcRect/>
                    <a:stretch>
                      <a:fillRect/>
                    </a:stretch>
                  </pic:blipFill>
                  <pic:spPr>
                    <a:xfrm>
                      <a:off x="0" y="0"/>
                      <a:ext cx="5580000" cy="7783200"/>
                    </a:xfrm>
                    <a:prstGeom prst="rect">
                      <a:avLst/>
                    </a:prstGeom>
                  </pic:spPr>
                </pic:pic>
              </a:graphicData>
            </a:graphic>
          </wp:inline>
        </w:drawing>
      </w:r>
    </w:p>
    <w:p w14:paraId="6BE61663" w14:textId="77777777" w:rsidR="00630C73" w:rsidRPr="00E34DE7" w:rsidRDefault="00630C73" w:rsidP="00630C73">
      <w:pPr>
        <w:pStyle w:val="NORMAL12"/>
        <w:jc w:val="center"/>
      </w:pPr>
      <w:r w:rsidRPr="00E34DE7">
        <w:br w:type="column"/>
      </w:r>
      <w:r w:rsidRPr="00E34DE7">
        <w:rPr>
          <w:noProof/>
          <w:lang w:val="es-ES" w:eastAsia="es-ES"/>
        </w:rPr>
        <w:lastRenderedPageBreak/>
        <w:drawing>
          <wp:inline distT="0" distB="0" distL="0" distR="0" wp14:anchorId="01D9D6A1" wp14:editId="1D0B9916">
            <wp:extent cx="6120000" cy="6066000"/>
            <wp:effectExtent l="0" t="0" r="0" b="0"/>
            <wp:docPr id="597" name="596 Imagen" descr="ppi_Page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10.jpg"/>
                    <pic:cNvPicPr/>
                  </pic:nvPicPr>
                  <pic:blipFill>
                    <a:blip r:embed="rId51" cstate="print"/>
                    <a:srcRect/>
                    <a:stretch>
                      <a:fillRect/>
                    </a:stretch>
                  </pic:blipFill>
                  <pic:spPr>
                    <a:xfrm>
                      <a:off x="0" y="0"/>
                      <a:ext cx="6120000" cy="6066000"/>
                    </a:xfrm>
                    <a:prstGeom prst="rect">
                      <a:avLst/>
                    </a:prstGeom>
                  </pic:spPr>
                </pic:pic>
              </a:graphicData>
            </a:graphic>
          </wp:inline>
        </w:drawing>
      </w:r>
      <w:r w:rsidRPr="00E34DE7">
        <w:t xml:space="preserve"> </w:t>
      </w:r>
      <w:r w:rsidRPr="00E34DE7">
        <w:rPr>
          <w:noProof/>
          <w:lang w:val="es-ES" w:eastAsia="es-ES"/>
        </w:rPr>
        <w:drawing>
          <wp:inline distT="0" distB="0" distL="0" distR="0" wp14:anchorId="60FC961E" wp14:editId="5517E56C">
            <wp:extent cx="6120000" cy="4381200"/>
            <wp:effectExtent l="0" t="0" r="0" b="635"/>
            <wp:docPr id="38" name="37 Imagen" descr="ppi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1.jpg"/>
                    <pic:cNvPicPr/>
                  </pic:nvPicPr>
                  <pic:blipFill>
                    <a:blip r:embed="rId52" cstate="print"/>
                    <a:srcRect r="1313" b="37893"/>
                    <a:stretch>
                      <a:fillRect/>
                    </a:stretch>
                  </pic:blipFill>
                  <pic:spPr>
                    <a:xfrm>
                      <a:off x="0" y="0"/>
                      <a:ext cx="6120000" cy="4381200"/>
                    </a:xfrm>
                    <a:prstGeom prst="rect">
                      <a:avLst/>
                    </a:prstGeom>
                  </pic:spPr>
                </pic:pic>
              </a:graphicData>
            </a:graphic>
          </wp:inline>
        </w:drawing>
      </w:r>
    </w:p>
    <w:p w14:paraId="74F5D2F7" w14:textId="77777777" w:rsidR="00630C73" w:rsidRPr="00E34DE7" w:rsidRDefault="00630C73" w:rsidP="00630C73">
      <w:pPr>
        <w:pStyle w:val="NORMAL12"/>
        <w:jc w:val="center"/>
      </w:pPr>
      <w:r w:rsidRPr="00E34DE7">
        <w:rPr>
          <w:noProof/>
          <w:lang w:val="es-ES" w:eastAsia="es-ES"/>
        </w:rPr>
        <w:lastRenderedPageBreak/>
        <w:drawing>
          <wp:inline distT="0" distB="0" distL="0" distR="0" wp14:anchorId="10C948FD" wp14:editId="1501C2D7">
            <wp:extent cx="6120000" cy="5796000"/>
            <wp:effectExtent l="0" t="0" r="0" b="0"/>
            <wp:docPr id="44" name="43 Imagen" descr="ppi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2.jpg"/>
                    <pic:cNvPicPr/>
                  </pic:nvPicPr>
                  <pic:blipFill>
                    <a:blip r:embed="rId53" cstate="print"/>
                    <a:srcRect t="10669" r="1533" b="7273"/>
                    <a:stretch>
                      <a:fillRect/>
                    </a:stretch>
                  </pic:blipFill>
                  <pic:spPr>
                    <a:xfrm>
                      <a:off x="0" y="0"/>
                      <a:ext cx="6120000" cy="5796000"/>
                    </a:xfrm>
                    <a:prstGeom prst="rect">
                      <a:avLst/>
                    </a:prstGeom>
                  </pic:spPr>
                </pic:pic>
              </a:graphicData>
            </a:graphic>
          </wp:inline>
        </w:drawing>
      </w:r>
    </w:p>
    <w:p w14:paraId="15AB4971" w14:textId="77777777" w:rsidR="00630C73" w:rsidRPr="00E34DE7" w:rsidRDefault="00630C73" w:rsidP="00630C73">
      <w:pPr>
        <w:pStyle w:val="NORMAL12"/>
        <w:jc w:val="center"/>
      </w:pPr>
      <w:r w:rsidRPr="00E34DE7">
        <w:br w:type="column"/>
      </w:r>
      <w:r w:rsidRPr="00E34DE7">
        <w:rPr>
          <w:noProof/>
          <w:lang w:val="es-ES" w:eastAsia="es-ES"/>
        </w:rPr>
        <w:drawing>
          <wp:inline distT="0" distB="0" distL="0" distR="0" wp14:anchorId="7F9C7D08" wp14:editId="31758E53">
            <wp:extent cx="6120000" cy="5583600"/>
            <wp:effectExtent l="0" t="0" r="0" b="0"/>
            <wp:docPr id="600" name="599 Imagen" descr="ppi_Pag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13.jpg"/>
                    <pic:cNvPicPr/>
                  </pic:nvPicPr>
                  <pic:blipFill>
                    <a:blip r:embed="rId54" cstate="print"/>
                    <a:srcRect/>
                    <a:stretch>
                      <a:fillRect/>
                    </a:stretch>
                  </pic:blipFill>
                  <pic:spPr>
                    <a:xfrm>
                      <a:off x="0" y="0"/>
                      <a:ext cx="6120000" cy="5583600"/>
                    </a:xfrm>
                    <a:prstGeom prst="rect">
                      <a:avLst/>
                    </a:prstGeom>
                  </pic:spPr>
                </pic:pic>
              </a:graphicData>
            </a:graphic>
          </wp:inline>
        </w:drawing>
      </w:r>
    </w:p>
    <w:p w14:paraId="672D2354" w14:textId="77777777" w:rsidR="00630C73" w:rsidRPr="00E34DE7" w:rsidRDefault="00630C73" w:rsidP="00630C73">
      <w:pPr>
        <w:pStyle w:val="NORMAL12"/>
      </w:pPr>
      <w:r w:rsidRPr="00E34DE7">
        <w:br w:type="column"/>
      </w:r>
      <w:r w:rsidRPr="00E34DE7">
        <w:rPr>
          <w:noProof/>
          <w:lang w:val="es-ES" w:eastAsia="es-ES"/>
        </w:rPr>
        <w:lastRenderedPageBreak/>
        <w:drawing>
          <wp:inline distT="0" distB="0" distL="0" distR="0" wp14:anchorId="05E1C7B8" wp14:editId="41B78ED9">
            <wp:extent cx="6120000" cy="4982400"/>
            <wp:effectExtent l="0" t="0" r="0" b="8890"/>
            <wp:docPr id="601" name="600 Imagen" descr="ppi_Page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14.jpg"/>
                    <pic:cNvPicPr/>
                  </pic:nvPicPr>
                  <pic:blipFill>
                    <a:blip r:embed="rId55" cstate="print"/>
                    <a:srcRect/>
                    <a:stretch>
                      <a:fillRect/>
                    </a:stretch>
                  </pic:blipFill>
                  <pic:spPr>
                    <a:xfrm>
                      <a:off x="0" y="0"/>
                      <a:ext cx="6120000" cy="4982400"/>
                    </a:xfrm>
                    <a:prstGeom prst="rect">
                      <a:avLst/>
                    </a:prstGeom>
                  </pic:spPr>
                </pic:pic>
              </a:graphicData>
            </a:graphic>
          </wp:inline>
        </w:drawing>
      </w:r>
    </w:p>
    <w:p w14:paraId="49B13EF5" w14:textId="77777777" w:rsidR="00630C73" w:rsidRPr="00E34DE7" w:rsidRDefault="00630C73" w:rsidP="00630C73">
      <w:pPr>
        <w:pStyle w:val="NORMAL12"/>
      </w:pPr>
      <w:r w:rsidRPr="00E34DE7">
        <w:br w:type="column"/>
      </w:r>
      <w:r w:rsidRPr="00E34DE7">
        <w:rPr>
          <w:noProof/>
          <w:lang w:val="es-ES" w:eastAsia="es-ES"/>
        </w:rPr>
        <w:drawing>
          <wp:inline distT="0" distB="0" distL="0" distR="0" wp14:anchorId="39EFECBB" wp14:editId="445989DD">
            <wp:extent cx="6120000" cy="8143200"/>
            <wp:effectExtent l="0" t="0" r="0" b="0"/>
            <wp:docPr id="602" name="601 Imagen" descr="ppi_Page_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15.jpg"/>
                    <pic:cNvPicPr/>
                  </pic:nvPicPr>
                  <pic:blipFill>
                    <a:blip r:embed="rId56" cstate="print"/>
                    <a:srcRect/>
                    <a:stretch>
                      <a:fillRect/>
                    </a:stretch>
                  </pic:blipFill>
                  <pic:spPr>
                    <a:xfrm>
                      <a:off x="0" y="0"/>
                      <a:ext cx="6120000" cy="8143200"/>
                    </a:xfrm>
                    <a:prstGeom prst="rect">
                      <a:avLst/>
                    </a:prstGeom>
                  </pic:spPr>
                </pic:pic>
              </a:graphicData>
            </a:graphic>
          </wp:inline>
        </w:drawing>
      </w:r>
    </w:p>
    <w:p w14:paraId="2FC916FE" w14:textId="77777777" w:rsidR="00630C73" w:rsidRPr="00E34DE7" w:rsidRDefault="00630C73" w:rsidP="00630C73">
      <w:pPr>
        <w:pStyle w:val="NORMAL12"/>
      </w:pPr>
      <w:r w:rsidRPr="00E34DE7">
        <w:br w:type="column"/>
      </w:r>
      <w:r w:rsidRPr="00E34DE7">
        <w:rPr>
          <w:noProof/>
          <w:lang w:val="es-ES" w:eastAsia="es-ES"/>
        </w:rPr>
        <w:lastRenderedPageBreak/>
        <w:drawing>
          <wp:inline distT="0" distB="0" distL="0" distR="0" wp14:anchorId="3A0ACB83" wp14:editId="4B2E2D77">
            <wp:extent cx="6120000" cy="4975200"/>
            <wp:effectExtent l="0" t="0" r="0" b="0"/>
            <wp:docPr id="603" name="602 Imagen" descr="ppi_Page_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16.jpg"/>
                    <pic:cNvPicPr/>
                  </pic:nvPicPr>
                  <pic:blipFill rotWithShape="1">
                    <a:blip r:embed="rId57" cstate="print"/>
                    <a:srcRect l="5935" r="9748"/>
                    <a:stretch/>
                  </pic:blipFill>
                  <pic:spPr bwMode="auto">
                    <a:xfrm>
                      <a:off x="0" y="0"/>
                      <a:ext cx="6120000" cy="4975200"/>
                    </a:xfrm>
                    <a:prstGeom prst="rect">
                      <a:avLst/>
                    </a:prstGeom>
                    <a:ln>
                      <a:noFill/>
                    </a:ln>
                    <a:extLst>
                      <a:ext uri="{53640926-AAD7-44D8-BBD7-CCE9431645EC}">
                        <a14:shadowObscured xmlns:a14="http://schemas.microsoft.com/office/drawing/2010/main"/>
                      </a:ext>
                    </a:extLst>
                  </pic:spPr>
                </pic:pic>
              </a:graphicData>
            </a:graphic>
          </wp:inline>
        </w:drawing>
      </w:r>
    </w:p>
    <w:p w14:paraId="5083EDE2" w14:textId="77777777" w:rsidR="00630C73" w:rsidRPr="00E34DE7" w:rsidRDefault="00630C73" w:rsidP="00630C73">
      <w:pPr>
        <w:pStyle w:val="NORMAL12"/>
      </w:pPr>
      <w:r w:rsidRPr="00E34DE7">
        <w:rPr>
          <w:noProof/>
          <w:lang w:val="es-ES" w:eastAsia="es-ES"/>
        </w:rPr>
        <w:drawing>
          <wp:inline distT="0" distB="0" distL="0" distR="0" wp14:anchorId="45931602" wp14:editId="36C01428">
            <wp:extent cx="6120000" cy="3506400"/>
            <wp:effectExtent l="0" t="0" r="0" b="0"/>
            <wp:docPr id="604" name="603 Imagen" descr="ppi_Page_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i_Page_17.jpg"/>
                    <pic:cNvPicPr/>
                  </pic:nvPicPr>
                  <pic:blipFill rotWithShape="1">
                    <a:blip r:embed="rId58" cstate="print"/>
                    <a:srcRect l="6136" r="10837"/>
                    <a:stretch/>
                  </pic:blipFill>
                  <pic:spPr bwMode="auto">
                    <a:xfrm>
                      <a:off x="0" y="0"/>
                      <a:ext cx="6120000" cy="3506400"/>
                    </a:xfrm>
                    <a:prstGeom prst="rect">
                      <a:avLst/>
                    </a:prstGeom>
                    <a:ln>
                      <a:noFill/>
                    </a:ln>
                    <a:extLst>
                      <a:ext uri="{53640926-AAD7-44D8-BBD7-CCE9431645EC}">
                        <a14:shadowObscured xmlns:a14="http://schemas.microsoft.com/office/drawing/2010/main"/>
                      </a:ext>
                    </a:extLst>
                  </pic:spPr>
                </pic:pic>
              </a:graphicData>
            </a:graphic>
          </wp:inline>
        </w:drawing>
      </w:r>
    </w:p>
    <w:p w14:paraId="7049C83F" w14:textId="77777777" w:rsidR="00630C73" w:rsidRPr="00E34DE7" w:rsidRDefault="00630C73" w:rsidP="00630C73">
      <w:pPr>
        <w:pStyle w:val="NORMAL12"/>
        <w:rPr>
          <w:lang w:val="es-ES"/>
        </w:rPr>
      </w:pPr>
    </w:p>
    <w:p w14:paraId="59940E39" w14:textId="77777777" w:rsidR="008E5353" w:rsidRPr="00E34DE7" w:rsidRDefault="008E5353" w:rsidP="00AC3E0F">
      <w:pPr>
        <w:pStyle w:val="NORMAL12"/>
        <w:rPr>
          <w:lang w:val="es-ES"/>
        </w:rPr>
      </w:pPr>
      <w:r w:rsidRPr="00E34DE7">
        <w:rPr>
          <w:lang w:val="es-ES"/>
        </w:rPr>
        <w:t>El Contratista deberá cumplir, durante la ejecución de las obras y su período de garantía, el programa de seguimiento y vigilancia ambiental, conforme con el contenido de la Declaración Medio Ambiental del Proyecto, en todo aquello que le concierna.</w:t>
      </w:r>
    </w:p>
    <w:p w14:paraId="1FF28BEF" w14:textId="77777777" w:rsidR="008E5353" w:rsidRPr="00E34DE7" w:rsidRDefault="008E5353" w:rsidP="00AC3E0F">
      <w:pPr>
        <w:pStyle w:val="NORMAL12"/>
        <w:rPr>
          <w:lang w:val="es-ES"/>
        </w:rPr>
      </w:pPr>
      <w:r w:rsidRPr="00E34DE7">
        <w:rPr>
          <w:lang w:val="es-ES"/>
        </w:rPr>
        <w:t xml:space="preserve">Deberá ajustarse en la ejecución de las distintas obras a las previsiones del Proyecto a fin de reducir la incidencia ambiental que la ejecución de </w:t>
      </w:r>
      <w:proofErr w:type="gramStart"/>
      <w:r w:rsidRPr="00E34DE7">
        <w:rPr>
          <w:lang w:val="es-ES"/>
        </w:rPr>
        <w:t>las mismas</w:t>
      </w:r>
      <w:proofErr w:type="gramEnd"/>
      <w:r w:rsidRPr="00E34DE7">
        <w:rPr>
          <w:lang w:val="es-ES"/>
        </w:rPr>
        <w:t xml:space="preserve"> pueda originar. Deberá ejecutar las obras explícitamente proyectadas con tal fin, cuidando que las mismas se ajusten a los objetivos previstos.</w:t>
      </w:r>
    </w:p>
    <w:p w14:paraId="36EF0087" w14:textId="77777777" w:rsidR="008E5353" w:rsidRPr="00E34DE7" w:rsidRDefault="008E5353" w:rsidP="00AC3E0F">
      <w:pPr>
        <w:pStyle w:val="NORMAL12"/>
        <w:rPr>
          <w:lang w:val="es-ES"/>
        </w:rPr>
      </w:pPr>
      <w:r w:rsidRPr="00E34DE7">
        <w:rPr>
          <w:lang w:val="es-ES"/>
        </w:rPr>
        <w:t>En general, prestará atención al efecto que puedan tener las distintas operaciones e instalaciones que necesite realizar para la ejecución de los trabajos, sobre la estética del medio en que se desarrollen las obras.</w:t>
      </w:r>
    </w:p>
    <w:p w14:paraId="09F4176F" w14:textId="77777777" w:rsidR="008E5353" w:rsidRPr="00E34DE7" w:rsidRDefault="008E5353" w:rsidP="000313DD">
      <w:pPr>
        <w:pStyle w:val="TITU2"/>
      </w:pPr>
      <w:bookmarkStart w:id="1534" w:name="_Toc206382276"/>
      <w:bookmarkStart w:id="1535" w:name="_Toc277523468"/>
      <w:bookmarkStart w:id="1536" w:name="_Toc404733"/>
      <w:r w:rsidRPr="00E34DE7">
        <w:t>828.</w:t>
      </w:r>
      <w:r w:rsidR="00AD4B23">
        <w:t>9</w:t>
      </w:r>
      <w:r w:rsidRPr="00E34DE7">
        <w:t>.</w:t>
      </w:r>
      <w:r w:rsidR="00AD4B23">
        <w:t xml:space="preserve"> </w:t>
      </w:r>
      <w:r w:rsidRPr="00E34DE7">
        <w:t>Medición y abono</w:t>
      </w:r>
      <w:bookmarkEnd w:id="1534"/>
      <w:bookmarkEnd w:id="1535"/>
      <w:bookmarkEnd w:id="1536"/>
    </w:p>
    <w:p w14:paraId="7433AF60" w14:textId="77777777" w:rsidR="00BC75EB" w:rsidRDefault="00BC75EB" w:rsidP="00AC3E0F">
      <w:pPr>
        <w:pStyle w:val="NORMAL12"/>
        <w:rPr>
          <w:lang w:val="es-ES"/>
        </w:rPr>
      </w:pPr>
      <w:r>
        <w:rPr>
          <w:lang w:val="es-ES"/>
        </w:rPr>
        <w:t xml:space="preserve">El contratista debe contar con una asesoría cualificada o persona con titulación adecuada: </w:t>
      </w:r>
      <w:proofErr w:type="spellStart"/>
      <w:r>
        <w:rPr>
          <w:lang w:val="es-ES"/>
        </w:rPr>
        <w:t>Ingenerio</w:t>
      </w:r>
      <w:proofErr w:type="spellEnd"/>
      <w:r>
        <w:rPr>
          <w:lang w:val="es-ES"/>
        </w:rPr>
        <w:t xml:space="preserve"> de montes, ingeniero agrónomo, </w:t>
      </w:r>
      <w:r w:rsidR="00F42F2A">
        <w:rPr>
          <w:lang w:val="es-ES"/>
        </w:rPr>
        <w:t>Licenciado en C</w:t>
      </w:r>
      <w:r>
        <w:rPr>
          <w:lang w:val="es-ES"/>
        </w:rPr>
        <w:t>iencias biológicas o Licenciado en Ciencias Ambientales o similar, responsables en temas medioambientales.</w:t>
      </w:r>
    </w:p>
    <w:p w14:paraId="7DDBDC99" w14:textId="77777777" w:rsidR="00BC75EB" w:rsidRDefault="00BC75EB" w:rsidP="00AC3E0F">
      <w:pPr>
        <w:pStyle w:val="NORMAL12"/>
        <w:rPr>
          <w:lang w:val="es-ES"/>
        </w:rPr>
      </w:pPr>
      <w:r>
        <w:rPr>
          <w:lang w:val="es-ES"/>
        </w:rPr>
        <w:t>Esta persona será la encargada de asistir a la Dirección de Obra en la relación</w:t>
      </w:r>
      <w:r w:rsidR="00F42F2A">
        <w:rPr>
          <w:lang w:val="es-ES"/>
        </w:rPr>
        <w:t xml:space="preserve"> del Plan de revegetación, así como de la vigilancia sobre el entorno natural para comprobar que no se producen alteraciones no previstas y que se cumplen las indicaciones sobre normas, cuidad y operaciones establecidas en el EIA.</w:t>
      </w:r>
    </w:p>
    <w:p w14:paraId="76AADAFB" w14:textId="77777777" w:rsidR="008E5353" w:rsidRDefault="00BC75EB" w:rsidP="00AC3E0F">
      <w:pPr>
        <w:pStyle w:val="NORMAL12"/>
        <w:rPr>
          <w:lang w:val="es-ES"/>
        </w:rPr>
      </w:pPr>
      <w:r>
        <w:rPr>
          <w:lang w:val="es-ES"/>
        </w:rPr>
        <w:t xml:space="preserve">El contratista estará obligado a presentar mensualmente un informe técnico a los Servicios Técnicos de la Dirección de Obra, </w:t>
      </w:r>
      <w:proofErr w:type="gramStart"/>
      <w:r>
        <w:rPr>
          <w:lang w:val="es-ES"/>
        </w:rPr>
        <w:t>en relación a</w:t>
      </w:r>
      <w:proofErr w:type="gramEnd"/>
      <w:r>
        <w:rPr>
          <w:lang w:val="es-ES"/>
        </w:rPr>
        <w:t xml:space="preserve"> las actuaciones y posibles incidencias con repercusión a</w:t>
      </w:r>
      <w:r w:rsidR="00F42F2A">
        <w:rPr>
          <w:lang w:val="es-ES"/>
        </w:rPr>
        <w:t xml:space="preserve">mbiental que se hayan producido, </w:t>
      </w:r>
      <w:proofErr w:type="spellStart"/>
      <w:r w:rsidR="00F42F2A">
        <w:rPr>
          <w:lang w:val="es-ES"/>
        </w:rPr>
        <w:t>a</w:t>
      </w:r>
      <w:r>
        <w:rPr>
          <w:lang w:val="es-ES"/>
        </w:rPr>
        <w:t>símismo</w:t>
      </w:r>
      <w:proofErr w:type="spellEnd"/>
      <w:r>
        <w:rPr>
          <w:lang w:val="es-ES"/>
        </w:rPr>
        <w:t xml:space="preserve"> se señalará el grado de ejecución de las medidas correctoras y la efectividad de dichas medidas. </w:t>
      </w:r>
    </w:p>
    <w:p w14:paraId="139FC3B3" w14:textId="77777777" w:rsidR="0040355B" w:rsidRDefault="0040355B" w:rsidP="0040355B">
      <w:pPr>
        <w:pStyle w:val="TITU1"/>
        <w:rPr>
          <w:lang w:val="es-ES_tradnl"/>
        </w:rPr>
      </w:pPr>
      <w:bookmarkStart w:id="1537" w:name="_Toc404734"/>
      <w:r w:rsidRPr="00E15D87">
        <w:rPr>
          <w:lang w:val="es-ES_tradnl"/>
        </w:rPr>
        <w:lastRenderedPageBreak/>
        <w:t xml:space="preserve">Artículo </w:t>
      </w:r>
      <w:r w:rsidR="00D12BE4" w:rsidRPr="00E15D87">
        <w:rPr>
          <w:lang w:val="es-ES_tradnl"/>
        </w:rPr>
        <w:t>829</w:t>
      </w:r>
      <w:r w:rsidRPr="00E15D87">
        <w:rPr>
          <w:lang w:val="es-ES_tradnl"/>
        </w:rPr>
        <w:t xml:space="preserve">. </w:t>
      </w:r>
      <w:r w:rsidR="00036C21">
        <w:rPr>
          <w:lang w:val="es-ES_tradnl"/>
        </w:rPr>
        <w:t>I</w:t>
      </w:r>
      <w:r w:rsidRPr="00E15D87">
        <w:rPr>
          <w:lang w:val="es-ES_tradnl"/>
        </w:rPr>
        <w:t xml:space="preserve">nforme de auditoria </w:t>
      </w:r>
      <w:r w:rsidR="00056B5A" w:rsidRPr="00E15D87">
        <w:rPr>
          <w:lang w:val="es-ES_tradnl"/>
        </w:rPr>
        <w:t xml:space="preserve">de seguridad </w:t>
      </w:r>
      <w:r w:rsidRPr="00E15D87">
        <w:rPr>
          <w:lang w:val="es-ES_tradnl"/>
        </w:rPr>
        <w:t>viaria</w:t>
      </w:r>
      <w:bookmarkEnd w:id="1537"/>
    </w:p>
    <w:p w14:paraId="73236EE2" w14:textId="77777777" w:rsidR="00056B5A" w:rsidRPr="00E55C49" w:rsidRDefault="00056B5A" w:rsidP="000313DD">
      <w:pPr>
        <w:pStyle w:val="TITU2"/>
      </w:pPr>
      <w:bookmarkStart w:id="1538" w:name="_Toc404735"/>
      <w:r w:rsidRPr="00E55C49">
        <w:t>82</w:t>
      </w:r>
      <w:r>
        <w:t>9</w:t>
      </w:r>
      <w:r w:rsidRPr="00E55C49">
        <w:t>.1.</w:t>
      </w:r>
      <w:r w:rsidRPr="00E55C49">
        <w:tab/>
        <w:t xml:space="preserve"> Definición</w:t>
      </w:r>
      <w:bookmarkEnd w:id="1538"/>
    </w:p>
    <w:p w14:paraId="3161D188" w14:textId="77777777" w:rsidR="00056B5A" w:rsidRPr="00056B5A" w:rsidRDefault="00056B5A" w:rsidP="00056B5A">
      <w:pPr>
        <w:pStyle w:val="NORMAL12"/>
        <w:rPr>
          <w:lang w:val="es-ES"/>
        </w:rPr>
      </w:pPr>
      <w:r w:rsidRPr="00056B5A">
        <w:rPr>
          <w:lang w:val="es-ES"/>
        </w:rPr>
        <w:t xml:space="preserve">El informe de auditoría viaria se define como los trabajos llevados a </w:t>
      </w:r>
      <w:proofErr w:type="gramStart"/>
      <w:r w:rsidRPr="00056B5A">
        <w:rPr>
          <w:lang w:val="es-ES"/>
        </w:rPr>
        <w:t xml:space="preserve">cabo  </w:t>
      </w:r>
      <w:r w:rsidR="0017601C">
        <w:rPr>
          <w:lang w:val="es-ES"/>
        </w:rPr>
        <w:t>como</w:t>
      </w:r>
      <w:proofErr w:type="gramEnd"/>
      <w:r w:rsidR="0017601C">
        <w:rPr>
          <w:lang w:val="es-ES"/>
        </w:rPr>
        <w:t xml:space="preserve"> </w:t>
      </w:r>
      <w:r w:rsidR="00F83B62">
        <w:rPr>
          <w:lang w:val="es-ES"/>
        </w:rPr>
        <w:t>consecuencia</w:t>
      </w:r>
      <w:r w:rsidR="0017601C">
        <w:rPr>
          <w:lang w:val="es-ES"/>
        </w:rPr>
        <w:t xml:space="preserve"> de la auditoria en seguri</w:t>
      </w:r>
      <w:r w:rsidRPr="00056B5A">
        <w:rPr>
          <w:lang w:val="es-ES"/>
        </w:rPr>
        <w:t>dad viaria en la fase inicial en servicio de la autovía</w:t>
      </w:r>
      <w:r w:rsidR="0017601C">
        <w:rPr>
          <w:lang w:val="es-ES"/>
        </w:rPr>
        <w:t>.</w:t>
      </w:r>
    </w:p>
    <w:p w14:paraId="10B02AF2" w14:textId="77777777" w:rsidR="0040355B" w:rsidRPr="00056B5A" w:rsidRDefault="0040355B" w:rsidP="0040355B">
      <w:pPr>
        <w:pStyle w:val="NORMAL12"/>
        <w:rPr>
          <w:lang w:val="es-ES"/>
        </w:rPr>
      </w:pPr>
      <w:r w:rsidRPr="00056B5A">
        <w:rPr>
          <w:lang w:val="es-ES"/>
        </w:rPr>
        <w:t xml:space="preserve">Las prescripciones del presente artículo </w:t>
      </w:r>
      <w:proofErr w:type="gramStart"/>
      <w:r w:rsidRPr="00056B5A">
        <w:rPr>
          <w:lang w:val="es-ES"/>
        </w:rPr>
        <w:t>son de aplicación</w:t>
      </w:r>
      <w:proofErr w:type="gramEnd"/>
      <w:r w:rsidRPr="00056B5A">
        <w:rPr>
          <w:lang w:val="es-ES"/>
        </w:rPr>
        <w:t xml:space="preserve"> a la </w:t>
      </w:r>
      <w:r w:rsidR="00056B5A" w:rsidRPr="00056B5A">
        <w:rPr>
          <w:lang w:val="es-ES"/>
        </w:rPr>
        <w:t>unidad d</w:t>
      </w:r>
      <w:r w:rsidRPr="00056B5A">
        <w:rPr>
          <w:lang w:val="es-ES"/>
        </w:rPr>
        <w:t>e obra siguiente:</w:t>
      </w:r>
    </w:p>
    <w:tbl>
      <w:tblPr>
        <w:tblW w:w="5000" w:type="pct"/>
        <w:tblCellMar>
          <w:left w:w="70" w:type="dxa"/>
          <w:right w:w="70" w:type="dxa"/>
        </w:tblCellMar>
        <w:tblLook w:val="04A0" w:firstRow="1" w:lastRow="0" w:firstColumn="1" w:lastColumn="0" w:noHBand="0" w:noVBand="1"/>
      </w:tblPr>
      <w:tblGrid>
        <w:gridCol w:w="1224"/>
        <w:gridCol w:w="706"/>
        <w:gridCol w:w="7990"/>
      </w:tblGrid>
      <w:tr w:rsidR="0040355B" w:rsidRPr="00016787" w14:paraId="1E54CC6B" w14:textId="77777777" w:rsidTr="0017601C">
        <w:trPr>
          <w:trHeight w:val="300"/>
        </w:trPr>
        <w:tc>
          <w:tcPr>
            <w:tcW w:w="617" w:type="pct"/>
            <w:noWrap/>
            <w:hideMark/>
          </w:tcPr>
          <w:p w14:paraId="516C45E7" w14:textId="77777777" w:rsidR="0040355B" w:rsidRPr="00F476CB" w:rsidRDefault="0040355B" w:rsidP="00B51BA1">
            <w:pPr>
              <w:rPr>
                <w:rFonts w:ascii="Calibri" w:hAnsi="Calibri" w:cs="Calibri"/>
                <w:color w:val="000000"/>
              </w:rPr>
            </w:pPr>
            <w:r w:rsidRPr="00F476CB">
              <w:rPr>
                <w:rFonts w:ascii="Calibri" w:hAnsi="Calibri" w:cs="Calibri"/>
                <w:color w:val="000000"/>
              </w:rPr>
              <w:t xml:space="preserve">800.0002          </w:t>
            </w:r>
          </w:p>
        </w:tc>
        <w:tc>
          <w:tcPr>
            <w:tcW w:w="356" w:type="pct"/>
            <w:noWrap/>
            <w:hideMark/>
          </w:tcPr>
          <w:p w14:paraId="41C28D67" w14:textId="77777777" w:rsidR="0040355B" w:rsidRPr="00F476CB" w:rsidRDefault="0040355B" w:rsidP="00B51BA1">
            <w:pPr>
              <w:rPr>
                <w:rFonts w:ascii="Calibri" w:hAnsi="Calibri" w:cs="Calibri"/>
                <w:color w:val="000000"/>
              </w:rPr>
            </w:pPr>
            <w:proofErr w:type="gramStart"/>
            <w:r w:rsidRPr="00F476CB">
              <w:rPr>
                <w:rFonts w:ascii="Calibri" w:hAnsi="Calibri" w:cs="Calibri"/>
                <w:color w:val="000000"/>
              </w:rPr>
              <w:t>P.A</w:t>
            </w:r>
            <w:proofErr w:type="gramEnd"/>
          </w:p>
        </w:tc>
        <w:tc>
          <w:tcPr>
            <w:tcW w:w="4027" w:type="pct"/>
            <w:hideMark/>
          </w:tcPr>
          <w:p w14:paraId="5FB78421" w14:textId="77777777" w:rsidR="0040355B" w:rsidRPr="00F476CB" w:rsidRDefault="0017601C" w:rsidP="00F83B62">
            <w:pPr>
              <w:rPr>
                <w:rFonts w:ascii="Calibri" w:hAnsi="Calibri" w:cs="Calibri"/>
                <w:color w:val="000000"/>
              </w:rPr>
            </w:pPr>
            <w:r w:rsidRPr="00F476CB">
              <w:rPr>
                <w:rFonts w:ascii="Calibri" w:hAnsi="Calibri" w:cs="Calibri"/>
                <w:color w:val="000000"/>
              </w:rPr>
              <w:t>PARTIDA ALZADA DE ABONO INTEGRO COMO CONSECUENCIA DEL INFORME DE AUDITORIA DE SEGURIDAD VIARIA EN LA FASE IN</w:t>
            </w:r>
            <w:r w:rsidR="00F83B62" w:rsidRPr="00F476CB">
              <w:rPr>
                <w:rFonts w:ascii="Calibri" w:hAnsi="Calibri" w:cs="Calibri"/>
                <w:color w:val="000000"/>
              </w:rPr>
              <w:t>I</w:t>
            </w:r>
            <w:r w:rsidRPr="00F476CB">
              <w:rPr>
                <w:rFonts w:ascii="Calibri" w:hAnsi="Calibri" w:cs="Calibri"/>
                <w:color w:val="000000"/>
              </w:rPr>
              <w:t>CIAL EN SERVICIO</w:t>
            </w:r>
          </w:p>
        </w:tc>
      </w:tr>
    </w:tbl>
    <w:p w14:paraId="3632E3F6" w14:textId="77777777" w:rsidR="00056B5A" w:rsidRPr="00E55C49" w:rsidRDefault="00056B5A" w:rsidP="000313DD">
      <w:pPr>
        <w:pStyle w:val="TITU2"/>
      </w:pPr>
      <w:bookmarkStart w:id="1539" w:name="_Toc404736"/>
      <w:r w:rsidRPr="00E55C49">
        <w:t>82</w:t>
      </w:r>
      <w:r w:rsidR="0017601C">
        <w:t>9</w:t>
      </w:r>
      <w:r w:rsidRPr="00E55C49">
        <w:t>.2.</w:t>
      </w:r>
      <w:r w:rsidRPr="00E55C49">
        <w:tab/>
        <w:t xml:space="preserve"> Condiciones generales</w:t>
      </w:r>
      <w:bookmarkEnd w:id="1539"/>
    </w:p>
    <w:p w14:paraId="59602BF5" w14:textId="77777777" w:rsidR="0017601C" w:rsidRDefault="0017601C" w:rsidP="00056B5A">
      <w:pPr>
        <w:pStyle w:val="NORMAL12"/>
        <w:rPr>
          <w:lang w:val="es-ES"/>
        </w:rPr>
      </w:pPr>
      <w:r>
        <w:rPr>
          <w:lang w:val="es-ES"/>
        </w:rPr>
        <w:t>Se llevará a cabo el informe de auditoría viaria en la fase inicial en servicio según se establece en la Orden Circular 41/2017.</w:t>
      </w:r>
    </w:p>
    <w:p w14:paraId="59833CCE" w14:textId="77777777" w:rsidR="0017601C" w:rsidRDefault="0017601C" w:rsidP="00056B5A">
      <w:pPr>
        <w:pStyle w:val="NORMAL12"/>
        <w:rPr>
          <w:lang w:val="es-ES"/>
        </w:rPr>
      </w:pPr>
      <w:r>
        <w:rPr>
          <w:lang w:val="es-ES"/>
        </w:rPr>
        <w:t xml:space="preserve">Se adoptarán las medidas establecidas en el Informe de </w:t>
      </w:r>
      <w:proofErr w:type="spellStart"/>
      <w:r>
        <w:rPr>
          <w:lang w:val="es-ES"/>
        </w:rPr>
        <w:t>Auditoria</w:t>
      </w:r>
      <w:proofErr w:type="spellEnd"/>
      <w:r>
        <w:rPr>
          <w:lang w:val="es-ES"/>
        </w:rPr>
        <w:t xml:space="preserve"> de seguridad viaria en la fase inicial en servicio</w:t>
      </w:r>
    </w:p>
    <w:p w14:paraId="1AC08CC5" w14:textId="77777777" w:rsidR="0017601C" w:rsidRDefault="0017601C" w:rsidP="00056B5A">
      <w:pPr>
        <w:pStyle w:val="NORMAL12"/>
        <w:rPr>
          <w:lang w:val="es-ES"/>
        </w:rPr>
      </w:pPr>
      <w:r>
        <w:rPr>
          <w:lang w:val="es-ES"/>
        </w:rPr>
        <w:t xml:space="preserve">El contratista dispondrá de los medios y material necesario para llevar a cabo dichas medidas. Se ajustarán a lo establecido en el informe, asegurándose de que las </w:t>
      </w:r>
      <w:proofErr w:type="gramStart"/>
      <w:r>
        <w:rPr>
          <w:lang w:val="es-ES"/>
        </w:rPr>
        <w:t>mismas  cumplen</w:t>
      </w:r>
      <w:proofErr w:type="gramEnd"/>
      <w:r>
        <w:rPr>
          <w:lang w:val="es-ES"/>
        </w:rPr>
        <w:t xml:space="preserve"> con los objetivos previstos.</w:t>
      </w:r>
    </w:p>
    <w:p w14:paraId="67E5248D" w14:textId="77777777" w:rsidR="00056B5A" w:rsidRPr="00E55C49" w:rsidRDefault="00056B5A" w:rsidP="000313DD">
      <w:pPr>
        <w:pStyle w:val="TITU2"/>
      </w:pPr>
      <w:bookmarkStart w:id="1540" w:name="_Toc404737"/>
      <w:r w:rsidRPr="00E55C49">
        <w:t>82</w:t>
      </w:r>
      <w:r w:rsidR="0017601C">
        <w:t>9</w:t>
      </w:r>
      <w:r w:rsidRPr="00E55C49">
        <w:t>.3.</w:t>
      </w:r>
      <w:r w:rsidRPr="00E55C49">
        <w:tab/>
        <w:t xml:space="preserve"> Medición y abono</w:t>
      </w:r>
      <w:bookmarkEnd w:id="1540"/>
    </w:p>
    <w:p w14:paraId="5CB81DE5" w14:textId="77777777" w:rsidR="00AC4B86" w:rsidRPr="00E55C49" w:rsidRDefault="00AC4B86" w:rsidP="00AC4B86">
      <w:pPr>
        <w:pStyle w:val="NORMAL12"/>
        <w:rPr>
          <w:lang w:val="es-ES"/>
        </w:rPr>
      </w:pPr>
      <w:r w:rsidRPr="00E55C49">
        <w:rPr>
          <w:lang w:val="es-ES"/>
        </w:rPr>
        <w:t>Se medirán mediante una única partida alzada (PA) de abono íntegro de acuerdo con lo indicado en los epígrafes anteriores.</w:t>
      </w:r>
    </w:p>
    <w:p w14:paraId="1E5FD0E1" w14:textId="77777777" w:rsidR="00AC4B86" w:rsidRDefault="00AC4B86" w:rsidP="00AC4B86">
      <w:pPr>
        <w:pStyle w:val="NORMAL12"/>
        <w:rPr>
          <w:lang w:val="es-ES"/>
        </w:rPr>
      </w:pPr>
      <w:r w:rsidRPr="00E55C49">
        <w:rPr>
          <w:lang w:val="es-ES"/>
        </w:rPr>
        <w:t>Se abonará según los siguientes precios:</w:t>
      </w:r>
    </w:p>
    <w:tbl>
      <w:tblPr>
        <w:tblW w:w="5000" w:type="pct"/>
        <w:tblCellMar>
          <w:left w:w="70" w:type="dxa"/>
          <w:right w:w="70" w:type="dxa"/>
        </w:tblCellMar>
        <w:tblLook w:val="04A0" w:firstRow="1" w:lastRow="0" w:firstColumn="1" w:lastColumn="0" w:noHBand="0" w:noVBand="1"/>
      </w:tblPr>
      <w:tblGrid>
        <w:gridCol w:w="2923"/>
        <w:gridCol w:w="946"/>
        <w:gridCol w:w="6051"/>
      </w:tblGrid>
      <w:tr w:rsidR="00AC4B86" w:rsidRPr="00016787" w14:paraId="2AC9664B" w14:textId="77777777" w:rsidTr="00AC4B86">
        <w:trPr>
          <w:trHeight w:val="300"/>
        </w:trPr>
        <w:tc>
          <w:tcPr>
            <w:tcW w:w="1473" w:type="pct"/>
            <w:tcBorders>
              <w:top w:val="nil"/>
              <w:left w:val="nil"/>
              <w:bottom w:val="nil"/>
              <w:right w:val="nil"/>
            </w:tcBorders>
            <w:noWrap/>
            <w:hideMark/>
          </w:tcPr>
          <w:p w14:paraId="5CDD16C9" w14:textId="77777777" w:rsidR="00AC4B86" w:rsidRPr="00F476CB" w:rsidRDefault="00AC4B86" w:rsidP="003B2CD9">
            <w:pPr>
              <w:rPr>
                <w:rFonts w:ascii="Calibri" w:hAnsi="Calibri" w:cs="Calibri"/>
                <w:color w:val="000000"/>
              </w:rPr>
            </w:pPr>
            <w:r w:rsidRPr="00F476CB">
              <w:rPr>
                <w:rFonts w:ascii="Calibri" w:hAnsi="Calibri" w:cs="Calibri"/>
                <w:color w:val="000000"/>
              </w:rPr>
              <w:t xml:space="preserve">800.0002          </w:t>
            </w:r>
          </w:p>
        </w:tc>
        <w:tc>
          <w:tcPr>
            <w:tcW w:w="477" w:type="pct"/>
            <w:tcBorders>
              <w:top w:val="nil"/>
              <w:left w:val="nil"/>
              <w:bottom w:val="nil"/>
              <w:right w:val="nil"/>
            </w:tcBorders>
            <w:noWrap/>
            <w:hideMark/>
          </w:tcPr>
          <w:p w14:paraId="28C00F10" w14:textId="77777777" w:rsidR="00AC4B86" w:rsidRPr="00F476CB" w:rsidRDefault="00AC4B86" w:rsidP="00D424A3">
            <w:pPr>
              <w:jc w:val="both"/>
              <w:rPr>
                <w:rFonts w:ascii="Calibri" w:hAnsi="Calibri" w:cs="Calibri"/>
                <w:color w:val="000000"/>
              </w:rPr>
            </w:pPr>
            <w:proofErr w:type="gramStart"/>
            <w:r w:rsidRPr="00F476CB">
              <w:rPr>
                <w:rFonts w:ascii="Calibri" w:hAnsi="Calibri" w:cs="Calibri"/>
                <w:color w:val="000000"/>
              </w:rPr>
              <w:t>P.A</w:t>
            </w:r>
            <w:proofErr w:type="gramEnd"/>
          </w:p>
        </w:tc>
        <w:tc>
          <w:tcPr>
            <w:tcW w:w="3050" w:type="pct"/>
            <w:tcBorders>
              <w:top w:val="nil"/>
              <w:left w:val="nil"/>
              <w:bottom w:val="nil"/>
              <w:right w:val="nil"/>
            </w:tcBorders>
            <w:hideMark/>
          </w:tcPr>
          <w:p w14:paraId="6B0E9DD2" w14:textId="77777777" w:rsidR="00AC4B86" w:rsidRPr="00F476CB" w:rsidRDefault="00AC4B86" w:rsidP="00D424A3">
            <w:pPr>
              <w:jc w:val="both"/>
              <w:rPr>
                <w:rFonts w:ascii="Calibri" w:hAnsi="Calibri" w:cs="Calibri"/>
                <w:color w:val="000000"/>
              </w:rPr>
            </w:pPr>
            <w:r w:rsidRPr="00F476CB">
              <w:rPr>
                <w:rFonts w:ascii="Calibri" w:hAnsi="Calibri" w:cs="Calibri"/>
                <w:color w:val="000000"/>
              </w:rPr>
              <w:t>PARTIDA ALZADA DE ABONO INTEGRO COMO CONSECUENCIA DEL INFORME DE AUDITORIA DE SEGURIDAD VIARIA EN LA FASE INICIAL EN SERVICIO</w:t>
            </w:r>
          </w:p>
        </w:tc>
      </w:tr>
    </w:tbl>
    <w:p w14:paraId="0B661F65" w14:textId="77777777" w:rsidR="00AC4B86" w:rsidRPr="00E55C49" w:rsidRDefault="00AC4B86" w:rsidP="00AC4B86">
      <w:pPr>
        <w:pStyle w:val="NORMAL12"/>
        <w:rPr>
          <w:lang w:val="es-ES"/>
        </w:rPr>
      </w:pPr>
    </w:p>
    <w:p w14:paraId="67CF187E" w14:textId="77777777" w:rsidR="00AC4B86" w:rsidRPr="00E55C49" w:rsidRDefault="00AC4B86" w:rsidP="00AC4B86">
      <w:pPr>
        <w:pStyle w:val="NORMAL12"/>
        <w:rPr>
          <w:lang w:val="es-ES"/>
        </w:rPr>
      </w:pPr>
      <w:r w:rsidRPr="00E55C49">
        <w:rPr>
          <w:lang w:val="es-ES"/>
        </w:rPr>
        <w:t>Est</w:t>
      </w:r>
      <w:r w:rsidR="00D424A3">
        <w:rPr>
          <w:lang w:val="es-ES"/>
        </w:rPr>
        <w:t>e</w:t>
      </w:r>
      <w:r w:rsidRPr="00E55C49">
        <w:rPr>
          <w:lang w:val="es-ES"/>
        </w:rPr>
        <w:t xml:space="preserve"> precio incluye todos los trabajos, materiales y actividades necesarias para realizar correctamente</w:t>
      </w:r>
      <w:r>
        <w:rPr>
          <w:lang w:val="es-ES"/>
        </w:rPr>
        <w:t xml:space="preserve"> las tareas necesarias para atender a las indicaciones obtenidas como consecuencia del informe de </w:t>
      </w:r>
      <w:proofErr w:type="spellStart"/>
      <w:r>
        <w:rPr>
          <w:lang w:val="es-ES"/>
        </w:rPr>
        <w:t>auditoria</w:t>
      </w:r>
      <w:proofErr w:type="spellEnd"/>
      <w:r>
        <w:rPr>
          <w:lang w:val="es-ES"/>
        </w:rPr>
        <w:t xml:space="preserve"> de seguridad vial en la fase inicial en servicio.</w:t>
      </w:r>
    </w:p>
    <w:p w14:paraId="0EEB7976" w14:textId="77777777" w:rsidR="00AC4B86" w:rsidRDefault="00AC4B86" w:rsidP="00AC3E0F">
      <w:pPr>
        <w:pStyle w:val="NORMAL12"/>
        <w:rPr>
          <w:lang w:val="es-ES"/>
        </w:rPr>
      </w:pPr>
    </w:p>
    <w:p w14:paraId="7A9F559E" w14:textId="77777777" w:rsidR="00AC4B86" w:rsidRDefault="00AC4B86" w:rsidP="00AC3E0F">
      <w:pPr>
        <w:pStyle w:val="NORMAL12"/>
        <w:rPr>
          <w:lang w:val="es-ES"/>
        </w:rPr>
      </w:pPr>
    </w:p>
    <w:p w14:paraId="4DA47F9D" w14:textId="77777777" w:rsidR="00AC4B86" w:rsidRDefault="00AC4B86" w:rsidP="00AC3E0F">
      <w:pPr>
        <w:pStyle w:val="NORMAL12"/>
        <w:rPr>
          <w:lang w:val="es-ES"/>
        </w:rPr>
      </w:pPr>
    </w:p>
    <w:p w14:paraId="3AC0958F" w14:textId="77777777" w:rsidR="007A73D5" w:rsidRPr="00CF6853" w:rsidRDefault="007A73D5" w:rsidP="003708DA">
      <w:pPr>
        <w:pStyle w:val="TITU1"/>
      </w:pPr>
      <w:bookmarkStart w:id="1541" w:name="_Toc465929832"/>
      <w:bookmarkStart w:id="1542" w:name="_Toc404738"/>
      <w:bookmarkStart w:id="1543" w:name="_Toc206382297"/>
      <w:bookmarkStart w:id="1544" w:name="_Toc277523483"/>
      <w:r w:rsidRPr="00E55C49">
        <w:lastRenderedPageBreak/>
        <w:t xml:space="preserve">Artículo </w:t>
      </w:r>
      <w:r w:rsidR="00837CB3">
        <w:t>830</w:t>
      </w:r>
      <w:r w:rsidRPr="00E55C49">
        <w:t>.</w:t>
      </w:r>
      <w:r w:rsidR="00753FEC">
        <w:t xml:space="preserve"> </w:t>
      </w:r>
      <w:r w:rsidRPr="00E55C49">
        <w:t>Desvíos provisionales</w:t>
      </w:r>
      <w:bookmarkEnd w:id="1541"/>
      <w:bookmarkEnd w:id="1542"/>
    </w:p>
    <w:p w14:paraId="09365B88" w14:textId="77777777" w:rsidR="007A73D5" w:rsidRDefault="00837CB3" w:rsidP="000313DD">
      <w:pPr>
        <w:pStyle w:val="TITU2"/>
      </w:pPr>
      <w:bookmarkStart w:id="1545" w:name="_Toc206382282"/>
      <w:bookmarkStart w:id="1546" w:name="_Toc465929833"/>
      <w:bookmarkStart w:id="1547" w:name="_Toc404739"/>
      <w:r>
        <w:t>830</w:t>
      </w:r>
      <w:r w:rsidR="007A73D5" w:rsidRPr="00BD22FA">
        <w:t>.1.</w:t>
      </w:r>
      <w:r w:rsidR="007A73D5" w:rsidRPr="00BD22FA">
        <w:tab/>
      </w:r>
      <w:r w:rsidR="00BD22FA">
        <w:t xml:space="preserve"> Definición y a</w:t>
      </w:r>
      <w:r w:rsidR="007A73D5" w:rsidRPr="00BD22FA">
        <w:t>plicación</w:t>
      </w:r>
      <w:bookmarkEnd w:id="1545"/>
      <w:bookmarkEnd w:id="1546"/>
      <w:bookmarkEnd w:id="1547"/>
    </w:p>
    <w:p w14:paraId="056215F3" w14:textId="77777777" w:rsidR="00BD22FA" w:rsidRPr="00BD22FA" w:rsidRDefault="00BD22FA" w:rsidP="00BD22FA">
      <w:pPr>
        <w:pStyle w:val="NORMAL12"/>
        <w:rPr>
          <w:lang w:val="es-ES"/>
        </w:rPr>
      </w:pPr>
      <w:r>
        <w:rPr>
          <w:lang w:val="es-ES"/>
        </w:rPr>
        <w:t>Se define desvío de tráfico como el conjunto de operaciones de señalización, balizamiento, y ejecución de barreras de seguridad necesarias para mantener el tráfico en condiciones de seguridad y confort durante la realización de las obras.</w:t>
      </w:r>
    </w:p>
    <w:p w14:paraId="1EF0BED5" w14:textId="77777777" w:rsidR="007A73D5" w:rsidRDefault="00F02221" w:rsidP="007A73D5">
      <w:pPr>
        <w:rPr>
          <w:rFonts w:ascii="Arial" w:hAnsi="Arial" w:cs="Arial"/>
          <w:lang w:eastAsia="en-US"/>
        </w:rPr>
      </w:pPr>
      <w:r w:rsidRPr="00BD22FA">
        <w:rPr>
          <w:rFonts w:ascii="Arial" w:hAnsi="Arial" w:cs="Arial"/>
          <w:lang w:eastAsia="en-US"/>
        </w:rPr>
        <w:t xml:space="preserve">Las prescripciones de este artículo </w:t>
      </w:r>
      <w:proofErr w:type="gramStart"/>
      <w:r w:rsidRPr="00BD22FA">
        <w:rPr>
          <w:rFonts w:ascii="Arial" w:hAnsi="Arial" w:cs="Arial"/>
          <w:lang w:eastAsia="en-US"/>
        </w:rPr>
        <w:t>son de aplicación</w:t>
      </w:r>
      <w:proofErr w:type="gramEnd"/>
      <w:r w:rsidRPr="00BD22FA">
        <w:rPr>
          <w:rFonts w:ascii="Arial" w:hAnsi="Arial" w:cs="Arial"/>
          <w:lang w:eastAsia="en-US"/>
        </w:rPr>
        <w:t xml:space="preserve"> a las unidades de obra siguientes:</w:t>
      </w:r>
    </w:p>
    <w:p w14:paraId="14D5A3A9" w14:textId="77777777" w:rsidR="00CF6853" w:rsidRPr="0016245A" w:rsidRDefault="00CF6853" w:rsidP="0016245A">
      <w:pPr>
        <w:ind w:left="2127" w:hanging="2127"/>
        <w:rPr>
          <w:rFonts w:ascii="Calibri" w:hAnsi="Calibri"/>
          <w:color w:val="365F91" w:themeColor="accent1" w:themeShade="BF"/>
        </w:rPr>
      </w:pPr>
      <w:r w:rsidRPr="0016245A">
        <w:rPr>
          <w:rFonts w:ascii="Calibri" w:hAnsi="Calibri"/>
          <w:color w:val="365F91" w:themeColor="accent1" w:themeShade="BF"/>
        </w:rPr>
        <w:t xml:space="preserve"> </w:t>
      </w:r>
    </w:p>
    <w:tbl>
      <w:tblPr>
        <w:tblW w:w="5000" w:type="pct"/>
        <w:tblCellMar>
          <w:left w:w="70" w:type="dxa"/>
          <w:right w:w="70" w:type="dxa"/>
        </w:tblCellMar>
        <w:tblLook w:val="04A0" w:firstRow="1" w:lastRow="0" w:firstColumn="1" w:lastColumn="0" w:noHBand="0" w:noVBand="1"/>
      </w:tblPr>
      <w:tblGrid>
        <w:gridCol w:w="1207"/>
        <w:gridCol w:w="714"/>
        <w:gridCol w:w="7999"/>
      </w:tblGrid>
      <w:tr w:rsidR="00483268" w:rsidRPr="00357E41" w14:paraId="2DAC3940" w14:textId="77777777" w:rsidTr="00357E41">
        <w:trPr>
          <w:trHeight w:val="419"/>
        </w:trPr>
        <w:tc>
          <w:tcPr>
            <w:tcW w:w="608" w:type="pct"/>
            <w:noWrap/>
          </w:tcPr>
          <w:p w14:paraId="62F4394C" w14:textId="77777777" w:rsidR="00CF6853" w:rsidRPr="00F476CB" w:rsidRDefault="00CF6853" w:rsidP="00375DBE">
            <w:pPr>
              <w:rPr>
                <w:rFonts w:ascii="Calibri" w:hAnsi="Calibri"/>
              </w:rPr>
            </w:pPr>
            <w:r w:rsidRPr="00F476CB">
              <w:rPr>
                <w:rFonts w:ascii="Calibri" w:hAnsi="Calibri"/>
              </w:rPr>
              <w:t xml:space="preserve">700.0100          </w:t>
            </w:r>
          </w:p>
        </w:tc>
        <w:tc>
          <w:tcPr>
            <w:tcW w:w="360" w:type="pct"/>
            <w:noWrap/>
          </w:tcPr>
          <w:p w14:paraId="4E470D92" w14:textId="77777777" w:rsidR="00CF6853" w:rsidRPr="00F476CB" w:rsidRDefault="00CF6853" w:rsidP="00375DBE">
            <w:pPr>
              <w:rPr>
                <w:rFonts w:ascii="Calibri" w:hAnsi="Calibri"/>
              </w:rPr>
            </w:pPr>
            <w:r w:rsidRPr="00F476CB">
              <w:rPr>
                <w:rFonts w:ascii="Calibri" w:hAnsi="Calibri"/>
              </w:rPr>
              <w:t>m</w:t>
            </w:r>
          </w:p>
        </w:tc>
        <w:tc>
          <w:tcPr>
            <w:tcW w:w="4032" w:type="pct"/>
          </w:tcPr>
          <w:p w14:paraId="16E088A3" w14:textId="77777777" w:rsidR="00E9144F" w:rsidRPr="00F476CB" w:rsidRDefault="00E9144F" w:rsidP="00F95C5C">
            <w:pPr>
              <w:jc w:val="both"/>
              <w:rPr>
                <w:rFonts w:ascii="Calibri" w:hAnsi="Calibri"/>
              </w:rPr>
            </w:pPr>
            <w:r w:rsidRPr="00F476CB">
              <w:rPr>
                <w:rFonts w:ascii="Calibri" w:hAnsi="Calibri"/>
              </w:rPr>
              <w:t>MARCA VIAL DE PINTURA AMARILLA REFLECTANTE, TIPO ACRÍLICA, DE 10 cm DE ANCHO i/ PREPARACIÓN DE LA SUPERFICIE, PREMARCAJE Y ELIMINACIÓN POSTERIOR (MEDIDA LA LONGITUD REALMENTE PINTADA).</w:t>
            </w:r>
          </w:p>
          <w:p w14:paraId="3EE68C96" w14:textId="77777777" w:rsidR="00CF6853" w:rsidRPr="00F476CB" w:rsidRDefault="00CF6853" w:rsidP="00F95C5C">
            <w:pPr>
              <w:jc w:val="both"/>
              <w:rPr>
                <w:rFonts w:ascii="Calibri" w:hAnsi="Calibri"/>
              </w:rPr>
            </w:pPr>
          </w:p>
        </w:tc>
      </w:tr>
      <w:tr w:rsidR="00296718" w:rsidRPr="00357E41" w14:paraId="2F923990" w14:textId="77777777" w:rsidTr="00357E41">
        <w:trPr>
          <w:trHeight w:val="419"/>
        </w:trPr>
        <w:tc>
          <w:tcPr>
            <w:tcW w:w="608" w:type="pct"/>
            <w:noWrap/>
          </w:tcPr>
          <w:p w14:paraId="431D0F29" w14:textId="77777777" w:rsidR="00296718" w:rsidRPr="00F476CB" w:rsidRDefault="00296718" w:rsidP="00343CB4">
            <w:pPr>
              <w:rPr>
                <w:rFonts w:ascii="Calibri" w:hAnsi="Calibri"/>
                <w:color w:val="000000"/>
              </w:rPr>
            </w:pPr>
            <w:r w:rsidRPr="00F476CB">
              <w:rPr>
                <w:rFonts w:ascii="Calibri" w:hAnsi="Calibri"/>
                <w:color w:val="000000"/>
              </w:rPr>
              <w:t xml:space="preserve">701.0010N         </w:t>
            </w:r>
          </w:p>
        </w:tc>
        <w:tc>
          <w:tcPr>
            <w:tcW w:w="360" w:type="pct"/>
            <w:noWrap/>
          </w:tcPr>
          <w:p w14:paraId="4CDB799A" w14:textId="77777777" w:rsidR="00296718" w:rsidRPr="00F476CB" w:rsidRDefault="00296718" w:rsidP="00343CB4">
            <w:pPr>
              <w:rPr>
                <w:rFonts w:ascii="Calibri" w:hAnsi="Calibri"/>
                <w:color w:val="000000"/>
              </w:rPr>
            </w:pPr>
            <w:proofErr w:type="spellStart"/>
            <w:r w:rsidRPr="00F476CB">
              <w:rPr>
                <w:rFonts w:ascii="Calibri" w:hAnsi="Calibri"/>
                <w:color w:val="000000"/>
              </w:rPr>
              <w:t>ud</w:t>
            </w:r>
            <w:proofErr w:type="spellEnd"/>
          </w:p>
        </w:tc>
        <w:tc>
          <w:tcPr>
            <w:tcW w:w="4032" w:type="pct"/>
          </w:tcPr>
          <w:p w14:paraId="1AD4DD64" w14:textId="77777777" w:rsidR="00296718" w:rsidRPr="00F476CB" w:rsidRDefault="00296718" w:rsidP="00296718">
            <w:pPr>
              <w:jc w:val="both"/>
              <w:rPr>
                <w:rFonts w:ascii="Calibri" w:hAnsi="Calibri"/>
                <w:color w:val="000000"/>
              </w:rPr>
            </w:pPr>
            <w:r w:rsidRPr="00F476CB">
              <w:rPr>
                <w:rFonts w:ascii="Calibri" w:hAnsi="Calibri"/>
                <w:color w:val="000000"/>
              </w:rPr>
              <w:t>SEÑAL TRIANGULAR DE 175 CM DE LADO, RETRORREFLECTANTE DE CLASE RA3, COLOCADA SOBRE POSTE GALVANIZADO, FIJADO A TIERRA MEDIANTE HORMIGONADO i/ TORNILLERÍA Y ELEMENTOS DE FIJACIÓN Y TRANSPORTE A LUGAR DE EMPLEO Y POSTERIOR RETIRADA A ACOPIO O LUGAR DE EMPLEO, UTILIZADO EN DESVÍOS DE TRÁFICO PARA 5 USOS. TOTALMENTE TERMINADO</w:t>
            </w:r>
          </w:p>
          <w:p w14:paraId="733E1400" w14:textId="77777777" w:rsidR="00296718" w:rsidRPr="00F476CB" w:rsidRDefault="00296718" w:rsidP="00F95C5C">
            <w:pPr>
              <w:jc w:val="both"/>
              <w:rPr>
                <w:rFonts w:ascii="Calibri" w:hAnsi="Calibri"/>
                <w:color w:val="000000"/>
              </w:rPr>
            </w:pPr>
          </w:p>
        </w:tc>
      </w:tr>
      <w:tr w:rsidR="00327EC4" w:rsidRPr="00357E41" w14:paraId="3F1B03CD" w14:textId="77777777" w:rsidTr="00357E41">
        <w:trPr>
          <w:trHeight w:val="419"/>
        </w:trPr>
        <w:tc>
          <w:tcPr>
            <w:tcW w:w="608" w:type="pct"/>
            <w:noWrap/>
          </w:tcPr>
          <w:p w14:paraId="17B72301" w14:textId="77777777" w:rsidR="00327EC4" w:rsidRPr="00F476CB" w:rsidRDefault="00327EC4">
            <w:pPr>
              <w:rPr>
                <w:rFonts w:ascii="Calibri" w:hAnsi="Calibri"/>
                <w:color w:val="000000"/>
              </w:rPr>
            </w:pPr>
            <w:r w:rsidRPr="00F476CB">
              <w:rPr>
                <w:rFonts w:ascii="Calibri" w:hAnsi="Calibri"/>
                <w:color w:val="000000"/>
              </w:rPr>
              <w:t xml:space="preserve">701.0050N         </w:t>
            </w:r>
          </w:p>
        </w:tc>
        <w:tc>
          <w:tcPr>
            <w:tcW w:w="360" w:type="pct"/>
            <w:noWrap/>
          </w:tcPr>
          <w:p w14:paraId="67C6A119" w14:textId="77777777" w:rsidR="00327EC4" w:rsidRPr="00F476CB" w:rsidRDefault="00327EC4">
            <w:pPr>
              <w:rPr>
                <w:rFonts w:ascii="Calibri" w:hAnsi="Calibri"/>
                <w:color w:val="000000"/>
              </w:rPr>
            </w:pPr>
            <w:proofErr w:type="spellStart"/>
            <w:r w:rsidRPr="00F476CB">
              <w:rPr>
                <w:rFonts w:ascii="Calibri" w:hAnsi="Calibri"/>
                <w:color w:val="000000"/>
              </w:rPr>
              <w:t>ud</w:t>
            </w:r>
            <w:proofErr w:type="spellEnd"/>
          </w:p>
        </w:tc>
        <w:tc>
          <w:tcPr>
            <w:tcW w:w="4032" w:type="pct"/>
          </w:tcPr>
          <w:p w14:paraId="4A1F1DB7" w14:textId="77777777" w:rsidR="00327EC4" w:rsidRPr="00F476CB" w:rsidRDefault="00E9144F" w:rsidP="00F95C5C">
            <w:pPr>
              <w:jc w:val="both"/>
              <w:rPr>
                <w:rFonts w:ascii="Calibri" w:hAnsi="Calibri"/>
                <w:color w:val="000000"/>
              </w:rPr>
            </w:pPr>
            <w:r w:rsidRPr="00F476CB">
              <w:rPr>
                <w:rFonts w:ascii="Calibri" w:hAnsi="Calibri"/>
                <w:color w:val="000000"/>
              </w:rPr>
              <w:t>SEÑAL CIRCULAR DE 120 CM DE DIÁMETRO, RETRORREFLECTANTE DE CLASE RA3, COLOCADA SOBRE POSTE GALVANIZADO, FIJADO A TIERRA MEDIANTE HORMIGONADO i/ TORNILLERÍA Y ELEMENTOS DE FIJACIÓN Y TRANSPORTE A LUGAR DE EMPLEO Y POSTERIOR RETIRADA A ACOPIO O LUGAR DE EMPLEO, UTILIZADO EN DESVÍOS DE TRÁFICO PARA 5 USOS. TOTALMENTE TERMINADA</w:t>
            </w:r>
          </w:p>
          <w:p w14:paraId="26C3C2F5" w14:textId="77777777" w:rsidR="00357E41" w:rsidRPr="00F476CB" w:rsidRDefault="00357E41" w:rsidP="00F95C5C">
            <w:pPr>
              <w:jc w:val="both"/>
              <w:rPr>
                <w:rFonts w:ascii="Calibri" w:hAnsi="Calibri"/>
                <w:color w:val="000000"/>
              </w:rPr>
            </w:pPr>
          </w:p>
        </w:tc>
      </w:tr>
      <w:tr w:rsidR="00E9144F" w:rsidRPr="00357E41" w14:paraId="1EB5FC5C" w14:textId="77777777" w:rsidTr="00357E41">
        <w:trPr>
          <w:trHeight w:val="419"/>
        </w:trPr>
        <w:tc>
          <w:tcPr>
            <w:tcW w:w="608" w:type="pct"/>
            <w:noWrap/>
          </w:tcPr>
          <w:p w14:paraId="0A6D9E4D" w14:textId="77777777" w:rsidR="00E9144F" w:rsidRPr="00F476CB" w:rsidRDefault="00E9144F">
            <w:pPr>
              <w:rPr>
                <w:rFonts w:ascii="Calibri" w:hAnsi="Calibri"/>
                <w:color w:val="000000"/>
              </w:rPr>
            </w:pPr>
            <w:r w:rsidRPr="00F476CB">
              <w:rPr>
                <w:rFonts w:ascii="Calibri" w:hAnsi="Calibri"/>
                <w:color w:val="000000"/>
              </w:rPr>
              <w:t xml:space="preserve">701.0160N         </w:t>
            </w:r>
          </w:p>
        </w:tc>
        <w:tc>
          <w:tcPr>
            <w:tcW w:w="360" w:type="pct"/>
            <w:noWrap/>
          </w:tcPr>
          <w:p w14:paraId="2A5EA6BF" w14:textId="77777777" w:rsidR="00E9144F" w:rsidRPr="00F476CB" w:rsidRDefault="00E9144F">
            <w:pPr>
              <w:rPr>
                <w:rFonts w:ascii="Calibri" w:hAnsi="Calibri"/>
                <w:color w:val="000000"/>
              </w:rPr>
            </w:pPr>
            <w:proofErr w:type="spellStart"/>
            <w:r w:rsidRPr="00F476CB">
              <w:rPr>
                <w:rFonts w:ascii="Calibri" w:hAnsi="Calibri"/>
                <w:color w:val="000000"/>
              </w:rPr>
              <w:t>ud</w:t>
            </w:r>
            <w:proofErr w:type="spellEnd"/>
          </w:p>
        </w:tc>
        <w:tc>
          <w:tcPr>
            <w:tcW w:w="4032" w:type="pct"/>
          </w:tcPr>
          <w:p w14:paraId="0C2FBEC3" w14:textId="77777777" w:rsidR="00E9144F" w:rsidRPr="00F476CB" w:rsidRDefault="00E9144F" w:rsidP="00F95C5C">
            <w:pPr>
              <w:jc w:val="both"/>
              <w:rPr>
                <w:rFonts w:ascii="Calibri" w:hAnsi="Calibri"/>
                <w:color w:val="000000"/>
              </w:rPr>
            </w:pPr>
            <w:r w:rsidRPr="00F476CB">
              <w:rPr>
                <w:rFonts w:ascii="Calibri" w:hAnsi="Calibri"/>
                <w:color w:val="000000"/>
              </w:rPr>
              <w:t>SEÑAL RECTANGULAR DE 120X180 CM DE LADO, RETRORREFLECTANTE DE CLASE RA3, COLOCADA SOBRE POSTES GALVANIZADOS, FIJADOS A TIERRA MEDIANTE HORMIGONADO i/ TORNILLERÍA Y ELEMENTOS DE FIJACIÓN Y TRANSPORTE A LUGAR DE EMPLEO Y POSTERIOR RETIRADA A ACOPIO O LUGAR DE EMPLEO, UTILIZADO EN DESVÍOS DE TRÁFICO PARA 5 USOS. TOTALMENTE TERMINADA.</w:t>
            </w:r>
          </w:p>
        </w:tc>
      </w:tr>
      <w:tr w:rsidR="00D76061" w:rsidRPr="00357E41" w14:paraId="1355CB76" w14:textId="77777777" w:rsidTr="00357E41">
        <w:trPr>
          <w:trHeight w:val="419"/>
        </w:trPr>
        <w:tc>
          <w:tcPr>
            <w:tcW w:w="608" w:type="pct"/>
            <w:noWrap/>
          </w:tcPr>
          <w:p w14:paraId="469F0DC5" w14:textId="77777777" w:rsidR="00D76061" w:rsidRPr="00F476CB" w:rsidRDefault="00D76061" w:rsidP="00296718">
            <w:pPr>
              <w:rPr>
                <w:rFonts w:ascii="Calibri" w:hAnsi="Calibri"/>
                <w:color w:val="000000"/>
              </w:rPr>
            </w:pPr>
            <w:r w:rsidRPr="00F476CB">
              <w:rPr>
                <w:rFonts w:ascii="Arial Narrow" w:hAnsi="Arial Narrow" w:cs="Arial Narrow"/>
                <w:color w:val="000000"/>
              </w:rPr>
              <w:t>703.0080N</w:t>
            </w:r>
          </w:p>
        </w:tc>
        <w:tc>
          <w:tcPr>
            <w:tcW w:w="360" w:type="pct"/>
            <w:noWrap/>
          </w:tcPr>
          <w:p w14:paraId="5EE008D2" w14:textId="77777777" w:rsidR="00D76061" w:rsidRPr="00F476CB" w:rsidRDefault="00D76061">
            <w:pPr>
              <w:rPr>
                <w:rFonts w:ascii="Calibri" w:hAnsi="Calibri"/>
                <w:color w:val="000000"/>
              </w:rPr>
            </w:pPr>
            <w:proofErr w:type="spellStart"/>
            <w:r w:rsidRPr="00F476CB">
              <w:rPr>
                <w:rFonts w:ascii="Calibri" w:hAnsi="Calibri"/>
                <w:color w:val="000000"/>
              </w:rPr>
              <w:t>ud</w:t>
            </w:r>
            <w:proofErr w:type="spellEnd"/>
          </w:p>
        </w:tc>
        <w:tc>
          <w:tcPr>
            <w:tcW w:w="4032" w:type="pct"/>
          </w:tcPr>
          <w:p w14:paraId="53BF3A5A" w14:textId="77777777" w:rsidR="00D76061" w:rsidRPr="00F476CB" w:rsidRDefault="00D76061" w:rsidP="00D76061">
            <w:pPr>
              <w:jc w:val="both"/>
              <w:rPr>
                <w:rFonts w:ascii="Calibri" w:hAnsi="Calibri"/>
                <w:color w:val="000000"/>
              </w:rPr>
            </w:pPr>
            <w:r w:rsidRPr="00F476CB">
              <w:rPr>
                <w:rFonts w:ascii="Calibri" w:hAnsi="Calibri"/>
                <w:color w:val="000000"/>
              </w:rPr>
              <w:t>PANEL DIRECCIONAL DE TB-1 CON RETRORREFLACTANCIA CLASE RA2 i/ TORNILLERÍA, ELEMENTOS DE FIJACIÓN, POSTES Y CIMENTACIÓN Y TRANSPORTE A LUGAR DE EMPLEO, Y POSTERIOR RETIRADA A ACOPIO O LUGAR DE EMPLEO, UTILIZADO EN DESVÍOS DE TRÁFICO PARA 5 USOS. TOTALMENTE TERMINADO.</w:t>
            </w:r>
          </w:p>
          <w:p w14:paraId="6A2E7545" w14:textId="77777777" w:rsidR="00D76061" w:rsidRPr="00F476CB" w:rsidRDefault="00D76061" w:rsidP="00F95C5C">
            <w:pPr>
              <w:jc w:val="both"/>
              <w:rPr>
                <w:rFonts w:ascii="Calibri" w:hAnsi="Calibri"/>
                <w:color w:val="000000"/>
              </w:rPr>
            </w:pPr>
          </w:p>
        </w:tc>
      </w:tr>
      <w:tr w:rsidR="00D76061" w:rsidRPr="00357E41" w14:paraId="5E304676" w14:textId="77777777" w:rsidTr="00357E41">
        <w:trPr>
          <w:trHeight w:val="419"/>
        </w:trPr>
        <w:tc>
          <w:tcPr>
            <w:tcW w:w="608" w:type="pct"/>
            <w:noWrap/>
          </w:tcPr>
          <w:p w14:paraId="5D6B16DA" w14:textId="77777777" w:rsidR="00D76061" w:rsidRPr="00F476CB" w:rsidRDefault="00D76061" w:rsidP="00296718">
            <w:pPr>
              <w:rPr>
                <w:rFonts w:ascii="Calibri" w:hAnsi="Calibri"/>
                <w:color w:val="000000"/>
              </w:rPr>
            </w:pPr>
            <w:r w:rsidRPr="00F476CB">
              <w:rPr>
                <w:rFonts w:ascii="Arial Narrow" w:hAnsi="Arial Narrow" w:cs="Arial Narrow"/>
                <w:color w:val="000000"/>
              </w:rPr>
              <w:t>703.0081N</w:t>
            </w:r>
          </w:p>
        </w:tc>
        <w:tc>
          <w:tcPr>
            <w:tcW w:w="360" w:type="pct"/>
            <w:noWrap/>
          </w:tcPr>
          <w:p w14:paraId="705890BE" w14:textId="77777777" w:rsidR="00D76061" w:rsidRPr="00F476CB" w:rsidRDefault="00D76061">
            <w:pPr>
              <w:rPr>
                <w:rFonts w:ascii="Calibri" w:hAnsi="Calibri"/>
                <w:color w:val="000000"/>
              </w:rPr>
            </w:pPr>
            <w:proofErr w:type="spellStart"/>
            <w:r w:rsidRPr="00F476CB">
              <w:rPr>
                <w:rFonts w:ascii="Calibri" w:hAnsi="Calibri"/>
                <w:color w:val="000000"/>
              </w:rPr>
              <w:t>ud</w:t>
            </w:r>
            <w:proofErr w:type="spellEnd"/>
          </w:p>
        </w:tc>
        <w:tc>
          <w:tcPr>
            <w:tcW w:w="4032" w:type="pct"/>
          </w:tcPr>
          <w:p w14:paraId="10B5CA47" w14:textId="77777777" w:rsidR="00D76061" w:rsidRPr="00F476CB" w:rsidRDefault="00D76061" w:rsidP="00D76061">
            <w:pPr>
              <w:jc w:val="both"/>
              <w:rPr>
                <w:rFonts w:ascii="Calibri" w:hAnsi="Calibri"/>
                <w:color w:val="000000"/>
              </w:rPr>
            </w:pPr>
            <w:r w:rsidRPr="00F476CB">
              <w:rPr>
                <w:rFonts w:ascii="Calibri" w:hAnsi="Calibri"/>
                <w:color w:val="000000"/>
              </w:rPr>
              <w:t>PANEL DIRECCIONAL DE 160x40 cm Y RETRORREFLACTANCIA CLASE RA2 i/ TORNILLERÍA, ELEMENTOS DE FIJACIÓN, POSTES Y CIMENTACIÓN Y TRANSPORTE A LUGAR DE EMPLEO, Y POSTERIOR RETIRADA A ACOPIO O LUGAR DE EMPLEO, UTILIZADO EN DESVÍOS DE TRÁFICO PARA 5 USOS. TOTALMENTE TERMINADO.</w:t>
            </w:r>
          </w:p>
          <w:p w14:paraId="291DC602" w14:textId="77777777" w:rsidR="00D76061" w:rsidRPr="00F476CB" w:rsidRDefault="00D76061" w:rsidP="00D76061">
            <w:pPr>
              <w:jc w:val="both"/>
              <w:rPr>
                <w:rFonts w:ascii="Calibri" w:hAnsi="Calibri"/>
                <w:color w:val="000000"/>
              </w:rPr>
            </w:pPr>
          </w:p>
          <w:p w14:paraId="764207C0" w14:textId="77777777" w:rsidR="00D76061" w:rsidRPr="00F476CB" w:rsidRDefault="00D76061" w:rsidP="00F95C5C">
            <w:pPr>
              <w:jc w:val="both"/>
              <w:rPr>
                <w:rFonts w:ascii="Calibri" w:hAnsi="Calibri"/>
                <w:color w:val="000000"/>
              </w:rPr>
            </w:pPr>
          </w:p>
        </w:tc>
      </w:tr>
      <w:tr w:rsidR="00E9144F" w:rsidRPr="00357E41" w14:paraId="50A32B25" w14:textId="77777777" w:rsidTr="00357E41">
        <w:trPr>
          <w:trHeight w:val="419"/>
        </w:trPr>
        <w:tc>
          <w:tcPr>
            <w:tcW w:w="608" w:type="pct"/>
            <w:noWrap/>
          </w:tcPr>
          <w:p w14:paraId="7D0C047D" w14:textId="77777777" w:rsidR="00E9144F" w:rsidRPr="00F476CB" w:rsidRDefault="00D76061" w:rsidP="00296718">
            <w:pPr>
              <w:rPr>
                <w:rFonts w:ascii="Calibri" w:hAnsi="Calibri"/>
                <w:color w:val="000000"/>
              </w:rPr>
            </w:pPr>
            <w:r w:rsidRPr="00F476CB">
              <w:rPr>
                <w:rFonts w:ascii="Arial Narrow" w:hAnsi="Arial Narrow" w:cs="Arial Narrow"/>
                <w:color w:val="000000"/>
              </w:rPr>
              <w:t>703.0082N</w:t>
            </w:r>
          </w:p>
        </w:tc>
        <w:tc>
          <w:tcPr>
            <w:tcW w:w="360" w:type="pct"/>
            <w:noWrap/>
          </w:tcPr>
          <w:p w14:paraId="511537A1" w14:textId="77777777" w:rsidR="00E9144F" w:rsidRPr="00F476CB" w:rsidRDefault="00E9144F">
            <w:pPr>
              <w:rPr>
                <w:rFonts w:ascii="Calibri" w:hAnsi="Calibri"/>
                <w:color w:val="000000"/>
              </w:rPr>
            </w:pPr>
            <w:proofErr w:type="spellStart"/>
            <w:r w:rsidRPr="00F476CB">
              <w:rPr>
                <w:rFonts w:ascii="Calibri" w:hAnsi="Calibri"/>
                <w:color w:val="000000"/>
              </w:rPr>
              <w:t>ud</w:t>
            </w:r>
            <w:proofErr w:type="spellEnd"/>
          </w:p>
        </w:tc>
        <w:tc>
          <w:tcPr>
            <w:tcW w:w="4032" w:type="pct"/>
          </w:tcPr>
          <w:p w14:paraId="3603FE05" w14:textId="77777777" w:rsidR="00357E41" w:rsidRPr="00F476CB" w:rsidRDefault="00D76061" w:rsidP="00F95C5C">
            <w:pPr>
              <w:jc w:val="both"/>
              <w:rPr>
                <w:rFonts w:ascii="Calibri" w:hAnsi="Calibri"/>
                <w:color w:val="000000"/>
              </w:rPr>
            </w:pPr>
            <w:r w:rsidRPr="00F476CB">
              <w:rPr>
                <w:rFonts w:ascii="Calibri" w:hAnsi="Calibri"/>
                <w:color w:val="000000"/>
              </w:rPr>
              <w:t>PANEL DIRECCIONAL DE TB-3 CON RETRORREFLACTANCIA CLASE RA2 i/ TORNILLERÍA, ELEMENTOS DE FIJACIÓN, POSTES Y CIMENTACIÓN Y TRANSPORTE A LUGAR DE EMPLEO, Y POSTERIOR RETIRADA A ACOPIO O LUGAR DE EMPLEO, UTILIZADO EN DESVÍOS DE TRÁFICO PARA 5 USOS. TOTALMENTE TERMINADO</w:t>
            </w:r>
          </w:p>
          <w:p w14:paraId="5234DA2F" w14:textId="77777777" w:rsidR="00D76061" w:rsidRPr="00F476CB" w:rsidRDefault="00D76061" w:rsidP="00F95C5C">
            <w:pPr>
              <w:jc w:val="both"/>
              <w:rPr>
                <w:rFonts w:ascii="Calibri" w:hAnsi="Calibri"/>
                <w:color w:val="000000"/>
              </w:rPr>
            </w:pPr>
          </w:p>
        </w:tc>
      </w:tr>
      <w:tr w:rsidR="00296718" w:rsidRPr="005D1070" w14:paraId="22129461" w14:textId="77777777" w:rsidTr="00357E41">
        <w:trPr>
          <w:trHeight w:val="419"/>
        </w:trPr>
        <w:tc>
          <w:tcPr>
            <w:tcW w:w="608" w:type="pct"/>
            <w:noWrap/>
          </w:tcPr>
          <w:p w14:paraId="1EBAFDC4" w14:textId="77777777" w:rsidR="00296718" w:rsidRPr="00F74B11" w:rsidRDefault="00296718" w:rsidP="00343CB4">
            <w:pPr>
              <w:rPr>
                <w:rFonts w:ascii="Calibri" w:hAnsi="Calibri"/>
              </w:rPr>
            </w:pPr>
            <w:r w:rsidRPr="00F74B11">
              <w:rPr>
                <w:rFonts w:ascii="Calibri" w:hAnsi="Calibri"/>
              </w:rPr>
              <w:t>704.0200N</w:t>
            </w:r>
          </w:p>
        </w:tc>
        <w:tc>
          <w:tcPr>
            <w:tcW w:w="360" w:type="pct"/>
            <w:noWrap/>
          </w:tcPr>
          <w:p w14:paraId="06A5FB15" w14:textId="77777777" w:rsidR="00296718" w:rsidRPr="00F74B11" w:rsidRDefault="00296718" w:rsidP="00343CB4">
            <w:pPr>
              <w:rPr>
                <w:rFonts w:ascii="Calibri" w:hAnsi="Calibri"/>
              </w:rPr>
            </w:pPr>
            <w:proofErr w:type="spellStart"/>
            <w:r w:rsidRPr="00F74B11">
              <w:rPr>
                <w:rFonts w:ascii="Calibri" w:hAnsi="Calibri"/>
              </w:rPr>
              <w:t>Ud</w:t>
            </w:r>
            <w:proofErr w:type="spellEnd"/>
          </w:p>
        </w:tc>
        <w:tc>
          <w:tcPr>
            <w:tcW w:w="4032" w:type="pct"/>
          </w:tcPr>
          <w:p w14:paraId="289E14EB" w14:textId="77777777" w:rsidR="00296718" w:rsidRPr="00F74B11" w:rsidRDefault="00296718" w:rsidP="00343CB4">
            <w:pPr>
              <w:spacing w:after="240"/>
              <w:jc w:val="both"/>
              <w:rPr>
                <w:rFonts w:ascii="Calibri" w:hAnsi="Calibri"/>
              </w:rPr>
            </w:pPr>
            <w:r w:rsidRPr="00F74B11">
              <w:rPr>
                <w:rFonts w:ascii="Calibri" w:hAnsi="Calibri"/>
              </w:rPr>
              <w:t>SUMINISTRO Y COLOCACIÓN DE CONO DE BALIZAMIENTO, INCLUSO RETIRADA A ACOPIO O LUGAR DE EMPLEO, UTILIZADO EN DESVÍOS DE TRÁFICO PARA 5 USOS. TOTALMENTE TERMINADO.</w:t>
            </w:r>
          </w:p>
          <w:p w14:paraId="53954F5D" w14:textId="77777777" w:rsidR="00296718" w:rsidRPr="00F74B11" w:rsidRDefault="00296718" w:rsidP="00343CB4">
            <w:pPr>
              <w:jc w:val="both"/>
              <w:rPr>
                <w:rFonts w:ascii="Calibri" w:hAnsi="Calibri"/>
              </w:rPr>
            </w:pPr>
          </w:p>
        </w:tc>
      </w:tr>
      <w:tr w:rsidR="00296718" w:rsidRPr="005D1070" w14:paraId="775FAE78" w14:textId="77777777" w:rsidTr="00357E41">
        <w:trPr>
          <w:trHeight w:val="419"/>
        </w:trPr>
        <w:tc>
          <w:tcPr>
            <w:tcW w:w="608" w:type="pct"/>
            <w:noWrap/>
          </w:tcPr>
          <w:p w14:paraId="3DD30ECD" w14:textId="77777777" w:rsidR="00296718" w:rsidRPr="00F74B11" w:rsidRDefault="00296718" w:rsidP="00343CB4">
            <w:pPr>
              <w:rPr>
                <w:rFonts w:ascii="Calibri" w:hAnsi="Calibri"/>
              </w:rPr>
            </w:pPr>
            <w:r w:rsidRPr="00F74B11">
              <w:rPr>
                <w:rFonts w:ascii="Calibri" w:hAnsi="Calibri"/>
              </w:rPr>
              <w:t>704.0210N</w:t>
            </w:r>
          </w:p>
        </w:tc>
        <w:tc>
          <w:tcPr>
            <w:tcW w:w="360" w:type="pct"/>
            <w:noWrap/>
          </w:tcPr>
          <w:p w14:paraId="64EBA5D6" w14:textId="77777777" w:rsidR="00296718" w:rsidRPr="00F74B11" w:rsidRDefault="00296718" w:rsidP="00343CB4">
            <w:pPr>
              <w:rPr>
                <w:rFonts w:ascii="Calibri" w:hAnsi="Calibri"/>
              </w:rPr>
            </w:pPr>
            <w:proofErr w:type="spellStart"/>
            <w:r w:rsidRPr="00F74B11">
              <w:rPr>
                <w:rFonts w:ascii="Calibri" w:hAnsi="Calibri"/>
              </w:rPr>
              <w:t>ud</w:t>
            </w:r>
            <w:proofErr w:type="spellEnd"/>
          </w:p>
        </w:tc>
        <w:tc>
          <w:tcPr>
            <w:tcW w:w="4032" w:type="pct"/>
          </w:tcPr>
          <w:p w14:paraId="3F45FB01" w14:textId="77777777" w:rsidR="00296718" w:rsidRPr="00F74B11" w:rsidRDefault="00296718" w:rsidP="00343CB4">
            <w:pPr>
              <w:jc w:val="both"/>
              <w:rPr>
                <w:rFonts w:ascii="Calibri" w:hAnsi="Calibri"/>
              </w:rPr>
            </w:pPr>
            <w:r w:rsidRPr="00F74B11">
              <w:rPr>
                <w:rFonts w:ascii="Calibri" w:hAnsi="Calibri"/>
              </w:rPr>
              <w:t>SUMINISTRO Y COLOCACIÓN DE LUZ ÁMBAR INTERMITENTE PARA SEÑALIZACIÓN DE DESVÍOS, INCLUSO RETIRADA A ACOPIO O LUGAR DE EMPLEO, UTILIZADA EN DESVÍOS DE TRÁFICO PARA 5 USOS. TOTALMENTE TERMINADO.</w:t>
            </w:r>
          </w:p>
          <w:p w14:paraId="7ABB1D4B" w14:textId="77777777" w:rsidR="00296718" w:rsidRPr="00F74B11" w:rsidRDefault="00296718" w:rsidP="00343CB4">
            <w:pPr>
              <w:jc w:val="both"/>
              <w:rPr>
                <w:rFonts w:ascii="Calibri" w:hAnsi="Calibri"/>
              </w:rPr>
            </w:pPr>
          </w:p>
        </w:tc>
      </w:tr>
      <w:tr w:rsidR="00296718" w:rsidRPr="005D1070" w14:paraId="5606A6FB" w14:textId="77777777" w:rsidTr="00357E41">
        <w:trPr>
          <w:trHeight w:val="419"/>
        </w:trPr>
        <w:tc>
          <w:tcPr>
            <w:tcW w:w="608" w:type="pct"/>
            <w:noWrap/>
          </w:tcPr>
          <w:p w14:paraId="2CB524E9" w14:textId="77777777" w:rsidR="00296718" w:rsidRPr="00F476CB" w:rsidRDefault="00296718" w:rsidP="00D76061">
            <w:pPr>
              <w:rPr>
                <w:rFonts w:ascii="Calibri" w:hAnsi="Calibri"/>
              </w:rPr>
            </w:pPr>
            <w:r w:rsidRPr="00F476CB">
              <w:rPr>
                <w:rFonts w:ascii="Calibri" w:hAnsi="Calibri"/>
              </w:rPr>
              <w:t>704.</w:t>
            </w:r>
            <w:r w:rsidR="00D76061" w:rsidRPr="00F476CB">
              <w:rPr>
                <w:rFonts w:ascii="Calibri" w:hAnsi="Calibri"/>
              </w:rPr>
              <w:t>2</w:t>
            </w:r>
            <w:r w:rsidRPr="00F476CB">
              <w:rPr>
                <w:rFonts w:ascii="Calibri" w:hAnsi="Calibri"/>
              </w:rPr>
              <w:t>2</w:t>
            </w:r>
            <w:r w:rsidR="00D76061" w:rsidRPr="00F476CB">
              <w:rPr>
                <w:rFonts w:ascii="Calibri" w:hAnsi="Calibri"/>
              </w:rPr>
              <w:t>0</w:t>
            </w:r>
            <w:r w:rsidRPr="00F476CB">
              <w:rPr>
                <w:rFonts w:ascii="Calibri" w:hAnsi="Calibri"/>
              </w:rPr>
              <w:t xml:space="preserve">0N </w:t>
            </w:r>
          </w:p>
        </w:tc>
        <w:tc>
          <w:tcPr>
            <w:tcW w:w="360" w:type="pct"/>
            <w:noWrap/>
          </w:tcPr>
          <w:p w14:paraId="3C55C71A" w14:textId="77777777" w:rsidR="00296718" w:rsidRPr="00F476CB" w:rsidRDefault="00296718" w:rsidP="00343CB4">
            <w:pPr>
              <w:rPr>
                <w:rFonts w:ascii="Calibri" w:hAnsi="Calibri"/>
              </w:rPr>
            </w:pPr>
            <w:proofErr w:type="spellStart"/>
            <w:r w:rsidRPr="00F476CB">
              <w:rPr>
                <w:rFonts w:ascii="Calibri" w:hAnsi="Calibri"/>
              </w:rPr>
              <w:t>ud</w:t>
            </w:r>
            <w:proofErr w:type="spellEnd"/>
          </w:p>
        </w:tc>
        <w:tc>
          <w:tcPr>
            <w:tcW w:w="4032" w:type="pct"/>
          </w:tcPr>
          <w:p w14:paraId="41C3FCB9" w14:textId="77777777" w:rsidR="00296718" w:rsidRPr="00F476CB" w:rsidRDefault="00296718" w:rsidP="00343CB4">
            <w:pPr>
              <w:jc w:val="both"/>
              <w:rPr>
                <w:rFonts w:ascii="Calibri" w:hAnsi="Calibri"/>
              </w:rPr>
            </w:pPr>
            <w:r w:rsidRPr="00F476CB">
              <w:rPr>
                <w:rFonts w:ascii="Calibri" w:hAnsi="Calibri"/>
              </w:rPr>
              <w:t>SUMINISTRO Y COLOCACIÓN DE SEMÁFORO TELESCÓPICO PORTÁTIL DE OBRA, INCLUSO ALIMENTACIÓN CON 2 BATERÍAS DE PLOMO Y ÁCIDO 12v-22A, INCLUSO RETIRA A ACOPIO. TOTALMENTE TERMINADO.</w:t>
            </w:r>
          </w:p>
          <w:p w14:paraId="16C31B9A" w14:textId="77777777" w:rsidR="00296718" w:rsidRPr="00F476CB" w:rsidRDefault="00296718" w:rsidP="00343CB4">
            <w:pPr>
              <w:jc w:val="both"/>
              <w:rPr>
                <w:rFonts w:ascii="Calibri" w:hAnsi="Calibri"/>
              </w:rPr>
            </w:pPr>
          </w:p>
        </w:tc>
      </w:tr>
      <w:tr w:rsidR="00296718" w:rsidRPr="005D1070" w14:paraId="5E947D6B" w14:textId="77777777" w:rsidTr="00357E41">
        <w:trPr>
          <w:trHeight w:val="419"/>
        </w:trPr>
        <w:tc>
          <w:tcPr>
            <w:tcW w:w="608" w:type="pct"/>
            <w:noWrap/>
          </w:tcPr>
          <w:p w14:paraId="5840C253" w14:textId="77777777" w:rsidR="00296718" w:rsidRPr="00F476CB" w:rsidRDefault="00296718">
            <w:pPr>
              <w:rPr>
                <w:rFonts w:ascii="Calibri" w:hAnsi="Calibri" w:cs="Calibri"/>
                <w:color w:val="000000"/>
              </w:rPr>
            </w:pPr>
            <w:r w:rsidRPr="00F476CB">
              <w:rPr>
                <w:rFonts w:ascii="Calibri" w:hAnsi="Calibri" w:cs="Calibri"/>
                <w:color w:val="000000"/>
              </w:rPr>
              <w:t xml:space="preserve">704.0250N         </w:t>
            </w:r>
          </w:p>
        </w:tc>
        <w:tc>
          <w:tcPr>
            <w:tcW w:w="360" w:type="pct"/>
            <w:noWrap/>
          </w:tcPr>
          <w:p w14:paraId="476BCD82" w14:textId="77777777" w:rsidR="00296718" w:rsidRPr="00F476CB" w:rsidRDefault="00296718">
            <w:pPr>
              <w:rPr>
                <w:rFonts w:ascii="Calibri" w:hAnsi="Calibri" w:cs="Calibri"/>
                <w:color w:val="000000"/>
              </w:rPr>
            </w:pPr>
            <w:proofErr w:type="spellStart"/>
            <w:r w:rsidRPr="00F476CB">
              <w:rPr>
                <w:rFonts w:ascii="Calibri" w:hAnsi="Calibri" w:cs="Calibri"/>
                <w:color w:val="000000"/>
              </w:rPr>
              <w:t>ud</w:t>
            </w:r>
            <w:proofErr w:type="spellEnd"/>
          </w:p>
        </w:tc>
        <w:tc>
          <w:tcPr>
            <w:tcW w:w="4032" w:type="pct"/>
          </w:tcPr>
          <w:p w14:paraId="0DB7C886" w14:textId="77777777" w:rsidR="00296718" w:rsidRPr="00F476CB" w:rsidRDefault="00296718" w:rsidP="00F95C5C">
            <w:pPr>
              <w:jc w:val="both"/>
              <w:rPr>
                <w:rFonts w:ascii="Calibri" w:hAnsi="Calibri" w:cs="Calibri"/>
                <w:color w:val="000000"/>
              </w:rPr>
            </w:pPr>
            <w:r w:rsidRPr="00F476CB">
              <w:rPr>
                <w:rFonts w:ascii="Calibri" w:hAnsi="Calibri" w:cs="Calibri"/>
                <w:color w:val="000000"/>
              </w:rPr>
              <w:t>PINTADO, TAPADO O DESTAPADO DE SEÑALIZACIÓN EN CARTELERÍA DURANTE LA EJECUCIÓN DE LAS OBRAS, INCLUSO MATERIALES AUXILIARES, ADHESIVO CON LA MISMA RETROREFLECTANCIA QUE LA SEÑAL EXISTENTE. TOTALMENTE TERMINADO.</w:t>
            </w:r>
          </w:p>
        </w:tc>
      </w:tr>
    </w:tbl>
    <w:p w14:paraId="019C4951" w14:textId="77777777" w:rsidR="007A73D5" w:rsidRPr="00F0765E" w:rsidRDefault="007A73D5" w:rsidP="00F02221">
      <w:pPr>
        <w:pStyle w:val="NORMAL12"/>
        <w:rPr>
          <w:lang w:val="es-ES"/>
        </w:rPr>
      </w:pPr>
      <w:r w:rsidRPr="00F0765E">
        <w:rPr>
          <w:lang w:val="es-ES"/>
        </w:rPr>
        <w:t>La unidad de obra incluye las operaciones siguientes:</w:t>
      </w:r>
    </w:p>
    <w:p w14:paraId="63B55AED" w14:textId="77777777" w:rsidR="007A73D5" w:rsidRPr="00F0765E" w:rsidRDefault="007A73D5" w:rsidP="00E01981">
      <w:pPr>
        <w:pStyle w:val="NORMAL12"/>
        <w:numPr>
          <w:ilvl w:val="0"/>
          <w:numId w:val="113"/>
        </w:numPr>
        <w:rPr>
          <w:lang w:val="es-ES"/>
        </w:rPr>
      </w:pPr>
      <w:r w:rsidRPr="00F0765E">
        <w:rPr>
          <w:lang w:val="es-ES"/>
        </w:rPr>
        <w:t>Suministro de pinturas, señales verticales y conos de balizamiento.</w:t>
      </w:r>
    </w:p>
    <w:p w14:paraId="3F6E2046" w14:textId="77777777" w:rsidR="007A73D5" w:rsidRPr="00F0765E" w:rsidRDefault="007A73D5" w:rsidP="00E01981">
      <w:pPr>
        <w:pStyle w:val="NORMAL12"/>
        <w:numPr>
          <w:ilvl w:val="0"/>
          <w:numId w:val="113"/>
        </w:numPr>
        <w:rPr>
          <w:lang w:val="es-ES"/>
        </w:rPr>
      </w:pPr>
      <w:r w:rsidRPr="00F0765E">
        <w:rPr>
          <w:lang w:val="es-ES"/>
        </w:rPr>
        <w:t>Montaje y desmontaje de las señales verticales y conos de balizamiento, que incluye sistema de anclaje y sujeción, incluso carga, transporte y descarga en lugar de utilización, almacén o instalación de gestión de residuos si quedan fuera de uso.</w:t>
      </w:r>
    </w:p>
    <w:p w14:paraId="7ED8EB20" w14:textId="77777777" w:rsidR="001B7C1E" w:rsidRPr="00F0765E" w:rsidRDefault="001B7C1E" w:rsidP="00E01981">
      <w:pPr>
        <w:pStyle w:val="NORMAL12"/>
        <w:numPr>
          <w:ilvl w:val="0"/>
          <w:numId w:val="113"/>
        </w:numPr>
        <w:rPr>
          <w:lang w:val="es-ES"/>
        </w:rPr>
      </w:pPr>
      <w:r w:rsidRPr="00F0765E">
        <w:rPr>
          <w:lang w:val="es-ES"/>
        </w:rPr>
        <w:t xml:space="preserve">Montaje y desmontaje de barrera de seguridad tipo new jersey. </w:t>
      </w:r>
    </w:p>
    <w:p w14:paraId="62C138B0" w14:textId="77777777" w:rsidR="007A73D5" w:rsidRPr="00BD22FA" w:rsidRDefault="00837CB3" w:rsidP="000313DD">
      <w:pPr>
        <w:pStyle w:val="TITU2"/>
      </w:pPr>
      <w:bookmarkStart w:id="1548" w:name="_Toc465929834"/>
      <w:bookmarkStart w:id="1549" w:name="_Toc404740"/>
      <w:r>
        <w:t>830</w:t>
      </w:r>
      <w:r w:rsidR="00753FEC">
        <w:t>.2.</w:t>
      </w:r>
      <w:r w:rsidR="007A73D5" w:rsidRPr="00BD22FA">
        <w:tab/>
      </w:r>
      <w:r w:rsidR="00115879">
        <w:t xml:space="preserve"> </w:t>
      </w:r>
      <w:r w:rsidR="007A73D5" w:rsidRPr="00BD22FA">
        <w:t>Materiales</w:t>
      </w:r>
      <w:bookmarkEnd w:id="1548"/>
      <w:bookmarkEnd w:id="1549"/>
    </w:p>
    <w:p w14:paraId="29A8A0C4" w14:textId="77777777" w:rsidR="007A73D5" w:rsidRPr="00F0765E" w:rsidRDefault="002F2906" w:rsidP="002F2906">
      <w:pPr>
        <w:pStyle w:val="NORMAL12"/>
        <w:rPr>
          <w:lang w:val="es-ES"/>
        </w:rPr>
      </w:pPr>
      <w:r w:rsidRPr="00F476CB">
        <w:rPr>
          <w:lang w:val="es-ES"/>
        </w:rPr>
        <w:t>Los materiales empleados en la realización de los desvíos provisionales debe</w:t>
      </w:r>
      <w:r w:rsidR="00097C55" w:rsidRPr="00F476CB">
        <w:rPr>
          <w:lang w:val="es-ES"/>
        </w:rPr>
        <w:t>n</w:t>
      </w:r>
      <w:r w:rsidRPr="00F476CB">
        <w:rPr>
          <w:lang w:val="es-ES"/>
        </w:rPr>
        <w:t xml:space="preserve"> cumplir en todo caso las </w:t>
      </w:r>
      <w:r w:rsidR="007A73D5" w:rsidRPr="00F476CB">
        <w:rPr>
          <w:lang w:val="es-ES"/>
        </w:rPr>
        <w:t>prescripciones establecidas en la Instrucción 8.3.IC.</w:t>
      </w:r>
      <w:r w:rsidR="007A73D5" w:rsidRPr="00F0765E">
        <w:rPr>
          <w:lang w:val="es-ES"/>
        </w:rPr>
        <w:t xml:space="preserve"> </w:t>
      </w:r>
    </w:p>
    <w:p w14:paraId="452C371A" w14:textId="77777777" w:rsidR="007A73D5" w:rsidRPr="00F0765E" w:rsidRDefault="007A73D5" w:rsidP="00E01981">
      <w:pPr>
        <w:pStyle w:val="NORMAL12"/>
        <w:numPr>
          <w:ilvl w:val="0"/>
          <w:numId w:val="115"/>
        </w:numPr>
        <w:rPr>
          <w:lang w:val="es-ES"/>
        </w:rPr>
      </w:pPr>
      <w:r w:rsidRPr="00F0765E">
        <w:rPr>
          <w:lang w:val="es-ES"/>
        </w:rPr>
        <w:t>Las marcas viales provisionales de obra deben cumplir lo prescrito en el artículo 700. Marcas viales del presente pliego. Serán de color amarillo.</w:t>
      </w:r>
    </w:p>
    <w:p w14:paraId="4C4AA741" w14:textId="77777777" w:rsidR="007A73D5" w:rsidRDefault="007A73D5" w:rsidP="00E01981">
      <w:pPr>
        <w:pStyle w:val="NORMAL12"/>
        <w:numPr>
          <w:ilvl w:val="0"/>
          <w:numId w:val="115"/>
        </w:numPr>
        <w:rPr>
          <w:lang w:val="es-ES"/>
        </w:rPr>
      </w:pPr>
      <w:r w:rsidRPr="00F0765E">
        <w:rPr>
          <w:lang w:val="es-ES"/>
        </w:rPr>
        <w:t xml:space="preserve">Las señales verticales deben cumplir lo prescrito en el artículo 701 Señales y Carteles Verticales de Circulación </w:t>
      </w:r>
      <w:proofErr w:type="spellStart"/>
      <w:r w:rsidRPr="00F0765E">
        <w:rPr>
          <w:lang w:val="es-ES"/>
        </w:rPr>
        <w:t>Retrorreflectantes</w:t>
      </w:r>
      <w:proofErr w:type="spellEnd"/>
      <w:r w:rsidRPr="00F0765E">
        <w:rPr>
          <w:lang w:val="es-ES"/>
        </w:rPr>
        <w:t>, del presente pliego.</w:t>
      </w:r>
    </w:p>
    <w:p w14:paraId="66FF350A" w14:textId="77777777" w:rsidR="002F2906" w:rsidRPr="003263C3" w:rsidRDefault="002F2906" w:rsidP="00E01981">
      <w:pPr>
        <w:pStyle w:val="NORMAL12"/>
        <w:numPr>
          <w:ilvl w:val="0"/>
          <w:numId w:val="115"/>
        </w:numPr>
        <w:rPr>
          <w:lang w:val="es-ES"/>
        </w:rPr>
      </w:pPr>
      <w:r w:rsidRPr="00F0765E">
        <w:rPr>
          <w:lang w:val="es-ES"/>
        </w:rPr>
        <w:lastRenderedPageBreak/>
        <w:t xml:space="preserve">Los elementos de balizamiento deben cumplir lo prescrito en el artículo 703. </w:t>
      </w:r>
      <w:r w:rsidRPr="003263C3">
        <w:rPr>
          <w:lang w:val="es-ES"/>
        </w:rPr>
        <w:t xml:space="preserve">Elementos de balizamiento </w:t>
      </w:r>
      <w:proofErr w:type="spellStart"/>
      <w:r w:rsidRPr="003263C3">
        <w:rPr>
          <w:lang w:val="es-ES"/>
        </w:rPr>
        <w:t>retro</w:t>
      </w:r>
      <w:r w:rsidR="001B7C1E" w:rsidRPr="003263C3">
        <w:rPr>
          <w:lang w:val="es-ES"/>
        </w:rPr>
        <w:t>r</w:t>
      </w:r>
      <w:r w:rsidRPr="003263C3">
        <w:rPr>
          <w:lang w:val="es-ES"/>
        </w:rPr>
        <w:t>reflectante</w:t>
      </w:r>
      <w:proofErr w:type="spellEnd"/>
      <w:r w:rsidRPr="003263C3">
        <w:rPr>
          <w:lang w:val="es-ES"/>
        </w:rPr>
        <w:t xml:space="preserve"> del </w:t>
      </w:r>
      <w:r w:rsidR="0034024B" w:rsidRPr="003263C3">
        <w:rPr>
          <w:lang w:val="es-ES"/>
        </w:rPr>
        <w:t>PG3</w:t>
      </w:r>
      <w:r w:rsidRPr="003263C3">
        <w:rPr>
          <w:lang w:val="es-ES"/>
        </w:rPr>
        <w:t xml:space="preserve">.  </w:t>
      </w:r>
    </w:p>
    <w:p w14:paraId="67A2A4F6" w14:textId="77777777" w:rsidR="001B7C1E" w:rsidRPr="003263C3" w:rsidRDefault="0034024B" w:rsidP="00E01981">
      <w:pPr>
        <w:pStyle w:val="NORMAL12"/>
        <w:numPr>
          <w:ilvl w:val="0"/>
          <w:numId w:val="115"/>
        </w:numPr>
        <w:rPr>
          <w:lang w:val="es-ES"/>
        </w:rPr>
      </w:pPr>
      <w:r w:rsidRPr="003263C3">
        <w:rPr>
          <w:lang w:val="es-ES"/>
        </w:rPr>
        <w:t xml:space="preserve">Las </w:t>
      </w:r>
      <w:r w:rsidR="001B7C1E" w:rsidRPr="003263C3">
        <w:rPr>
          <w:lang w:val="es-ES"/>
        </w:rPr>
        <w:t>Barreras de seguridad</w:t>
      </w:r>
      <w:r w:rsidRPr="003263C3">
        <w:rPr>
          <w:lang w:val="es-ES"/>
        </w:rPr>
        <w:t xml:space="preserve"> deben cumplir lo prescrito en el artículo </w:t>
      </w:r>
      <w:r w:rsidR="003263C3" w:rsidRPr="003263C3">
        <w:rPr>
          <w:lang w:val="es-ES"/>
        </w:rPr>
        <w:t>de barreras del presente pliego o lo prescrito en el PG-3</w:t>
      </w:r>
      <w:r w:rsidRPr="003263C3">
        <w:rPr>
          <w:lang w:val="es-ES"/>
        </w:rPr>
        <w:t xml:space="preserve"> </w:t>
      </w:r>
    </w:p>
    <w:p w14:paraId="659F5385" w14:textId="77777777" w:rsidR="007A73D5" w:rsidRDefault="00837CB3" w:rsidP="000313DD">
      <w:pPr>
        <w:pStyle w:val="TITU2"/>
      </w:pPr>
      <w:bookmarkStart w:id="1550" w:name="_Toc465929835"/>
      <w:bookmarkStart w:id="1551" w:name="_Toc404741"/>
      <w:r>
        <w:t>830</w:t>
      </w:r>
      <w:r w:rsidR="002F2906" w:rsidRPr="002F2906">
        <w:t>.3.</w:t>
      </w:r>
      <w:r w:rsidR="002F2906" w:rsidRPr="002F2906">
        <w:tab/>
      </w:r>
      <w:r w:rsidR="00115879">
        <w:t xml:space="preserve"> </w:t>
      </w:r>
      <w:r w:rsidR="002F2906" w:rsidRPr="002F2906">
        <w:t>E</w:t>
      </w:r>
      <w:r w:rsidR="007A73D5" w:rsidRPr="002F2906">
        <w:t>jecución de las obras</w:t>
      </w:r>
      <w:bookmarkEnd w:id="1550"/>
      <w:bookmarkEnd w:id="1551"/>
    </w:p>
    <w:p w14:paraId="2C541392" w14:textId="77777777" w:rsidR="002F2906" w:rsidRPr="003263C3" w:rsidRDefault="002F2906" w:rsidP="002F2906">
      <w:pPr>
        <w:pStyle w:val="NORMAL12"/>
        <w:rPr>
          <w:lang w:val="es-ES"/>
        </w:rPr>
      </w:pPr>
      <w:r w:rsidRPr="003263C3">
        <w:rPr>
          <w:lang w:val="es-ES"/>
        </w:rPr>
        <w:t>El adjudicatario deberá mantener en todo momento las actuales carreteras o caminos abiertos al tráfico en buenas condiciones de seguridad y comodidad, ateniéndose a lo previsto en el Artículo 104.9 del Pliego de Prescripciones Técnicas Generales para obras de carreteras y puentes (en lo relativo a señalización, balizamiento y defensa.</w:t>
      </w:r>
    </w:p>
    <w:p w14:paraId="307FA45A" w14:textId="77777777" w:rsidR="007A73D5" w:rsidRPr="003263C3" w:rsidRDefault="007A73D5" w:rsidP="002F2906">
      <w:pPr>
        <w:pStyle w:val="NORMAL12"/>
        <w:rPr>
          <w:lang w:val="es-ES"/>
        </w:rPr>
      </w:pPr>
      <w:r w:rsidRPr="003263C3">
        <w:rPr>
          <w:lang w:val="es-ES"/>
        </w:rPr>
        <w:t xml:space="preserve">La ejecución de cada uno de estos desvíos deberá ser previamente aprobada por el </w:t>
      </w:r>
      <w:proofErr w:type="gramStart"/>
      <w:r w:rsidRPr="003263C3">
        <w:rPr>
          <w:lang w:val="es-ES"/>
        </w:rPr>
        <w:t>Director</w:t>
      </w:r>
      <w:proofErr w:type="gramEnd"/>
      <w:r w:rsidRPr="003263C3">
        <w:rPr>
          <w:lang w:val="es-ES"/>
        </w:rPr>
        <w:t xml:space="preserve"> de las Obras, a cuya consideración someterá el Contratista un estudio en el que, al menos, se definan los puntos siguientes:</w:t>
      </w:r>
    </w:p>
    <w:p w14:paraId="2BD0E225" w14:textId="77777777" w:rsidR="007A73D5" w:rsidRPr="003263C3" w:rsidRDefault="002F2906" w:rsidP="00E01981">
      <w:pPr>
        <w:pStyle w:val="NORMAL12"/>
        <w:numPr>
          <w:ilvl w:val="0"/>
          <w:numId w:val="114"/>
        </w:numPr>
        <w:rPr>
          <w:lang w:val="es-ES"/>
        </w:rPr>
      </w:pPr>
      <w:r w:rsidRPr="003263C3">
        <w:rPr>
          <w:lang w:val="es-ES"/>
        </w:rPr>
        <w:t xml:space="preserve">Trazado del desvío y ubicación temporal </w:t>
      </w:r>
    </w:p>
    <w:p w14:paraId="078069EE" w14:textId="77777777" w:rsidR="007A73D5" w:rsidRPr="003263C3" w:rsidRDefault="007A73D5" w:rsidP="00E01981">
      <w:pPr>
        <w:pStyle w:val="NORMAL12"/>
        <w:numPr>
          <w:ilvl w:val="0"/>
          <w:numId w:val="114"/>
        </w:numPr>
        <w:rPr>
          <w:lang w:val="es-ES"/>
        </w:rPr>
      </w:pPr>
      <w:r w:rsidRPr="003263C3">
        <w:rPr>
          <w:lang w:val="es-ES"/>
        </w:rPr>
        <w:t xml:space="preserve">Anchura y </w:t>
      </w:r>
      <w:r w:rsidR="002F2906" w:rsidRPr="003263C3">
        <w:rPr>
          <w:lang w:val="es-ES"/>
        </w:rPr>
        <w:t>afirmado de los carriles libres</w:t>
      </w:r>
    </w:p>
    <w:p w14:paraId="646C83AF" w14:textId="77777777" w:rsidR="007A73D5" w:rsidRPr="003263C3" w:rsidRDefault="007A73D5" w:rsidP="00E01981">
      <w:pPr>
        <w:pStyle w:val="NORMAL12"/>
        <w:numPr>
          <w:ilvl w:val="0"/>
          <w:numId w:val="114"/>
        </w:numPr>
        <w:rPr>
          <w:lang w:val="es-ES"/>
        </w:rPr>
      </w:pPr>
      <w:r w:rsidRPr="003263C3">
        <w:rPr>
          <w:lang w:val="es-ES"/>
        </w:rPr>
        <w:t>Duración estimada del mismo.</w:t>
      </w:r>
    </w:p>
    <w:p w14:paraId="3204C191" w14:textId="77777777" w:rsidR="007A73D5" w:rsidRPr="003263C3" w:rsidRDefault="007A73D5" w:rsidP="00E01981">
      <w:pPr>
        <w:pStyle w:val="NORMAL12"/>
        <w:numPr>
          <w:ilvl w:val="0"/>
          <w:numId w:val="114"/>
        </w:numPr>
        <w:rPr>
          <w:lang w:val="es-ES"/>
        </w:rPr>
      </w:pPr>
      <w:proofErr w:type="gramStart"/>
      <w:r w:rsidRPr="003263C3">
        <w:rPr>
          <w:lang w:val="es-ES"/>
        </w:rPr>
        <w:t>Señalización y balizamiento a disponer</w:t>
      </w:r>
      <w:proofErr w:type="gramEnd"/>
      <w:r w:rsidRPr="003263C3">
        <w:rPr>
          <w:lang w:val="es-ES"/>
        </w:rPr>
        <w:t>.</w:t>
      </w:r>
    </w:p>
    <w:p w14:paraId="7B82AE37" w14:textId="77777777" w:rsidR="007A73D5" w:rsidRPr="003263C3" w:rsidRDefault="002F2906" w:rsidP="002F2906">
      <w:pPr>
        <w:pStyle w:val="NORMAL12"/>
        <w:rPr>
          <w:lang w:val="es-ES"/>
        </w:rPr>
      </w:pPr>
      <w:r w:rsidRPr="003263C3">
        <w:rPr>
          <w:lang w:val="es-ES"/>
        </w:rPr>
        <w:t xml:space="preserve">El contratista debe garantizar el uso de las vías que puedan verse afectadas durante las obras en condiciones de seguridad y confort. </w:t>
      </w:r>
      <w:r w:rsidR="007A73D5" w:rsidRPr="003263C3">
        <w:rPr>
          <w:lang w:val="es-ES"/>
        </w:rPr>
        <w:t xml:space="preserve">En todas estas situaciones el </w:t>
      </w:r>
      <w:proofErr w:type="gramStart"/>
      <w:r w:rsidR="007A73D5" w:rsidRPr="003263C3">
        <w:rPr>
          <w:lang w:val="es-ES"/>
        </w:rPr>
        <w:t>Director</w:t>
      </w:r>
      <w:proofErr w:type="gramEnd"/>
      <w:r w:rsidR="007A73D5" w:rsidRPr="003263C3">
        <w:rPr>
          <w:lang w:val="es-ES"/>
        </w:rPr>
        <w:t xml:space="preserve"> de las Obras podrá autorizar soluciones alternativas a las propuestas por el contratista para el desvío del tráfico.</w:t>
      </w:r>
    </w:p>
    <w:p w14:paraId="5F626C50" w14:textId="77777777" w:rsidR="001B7C1E" w:rsidRDefault="001B7C1E" w:rsidP="001B7C1E">
      <w:pPr>
        <w:pStyle w:val="NORMAL12"/>
        <w:rPr>
          <w:lang w:val="es-ES"/>
        </w:rPr>
      </w:pPr>
      <w:r w:rsidRPr="003263C3">
        <w:rPr>
          <w:lang w:val="es-ES"/>
        </w:rPr>
        <w:t>Las unidades de obra que son necesarias llevar a cabo para realizar los desvíos y conexiones provisionales cumplirán las mismas condiciones de ejecución que las similares de obra nueva expuestas en los capítulos anteriores.</w:t>
      </w:r>
      <w:r w:rsidR="0034024B">
        <w:rPr>
          <w:lang w:val="es-ES"/>
        </w:rPr>
        <w:t xml:space="preserve"> </w:t>
      </w:r>
    </w:p>
    <w:p w14:paraId="5DE22E79" w14:textId="77777777" w:rsidR="007A73D5" w:rsidRPr="002F2906" w:rsidRDefault="00837CB3" w:rsidP="000313DD">
      <w:pPr>
        <w:pStyle w:val="TITU2"/>
      </w:pPr>
      <w:bookmarkStart w:id="1552" w:name="_Toc465929836"/>
      <w:bookmarkStart w:id="1553" w:name="_Toc404742"/>
      <w:r>
        <w:t>830</w:t>
      </w:r>
      <w:r w:rsidR="002F2906" w:rsidRPr="002F2906">
        <w:t>.4.</w:t>
      </w:r>
      <w:r w:rsidR="002F2906" w:rsidRPr="002F2906">
        <w:tab/>
      </w:r>
      <w:r w:rsidR="00115879">
        <w:t xml:space="preserve"> </w:t>
      </w:r>
      <w:r w:rsidR="002F2906" w:rsidRPr="002F2906">
        <w:t>R</w:t>
      </w:r>
      <w:r w:rsidR="007A73D5" w:rsidRPr="002F2906">
        <w:t>ecepción</w:t>
      </w:r>
      <w:bookmarkEnd w:id="1552"/>
      <w:bookmarkEnd w:id="1553"/>
    </w:p>
    <w:p w14:paraId="491DC9FF" w14:textId="77777777" w:rsidR="007A73D5" w:rsidRPr="002F2906" w:rsidRDefault="007A73D5" w:rsidP="002F2906">
      <w:pPr>
        <w:pStyle w:val="NORMAL12"/>
        <w:rPr>
          <w:lang w:val="es-ES"/>
        </w:rPr>
      </w:pPr>
      <w:r w:rsidRPr="002F2906">
        <w:rPr>
          <w:lang w:val="es-ES"/>
        </w:rPr>
        <w:t>Se comprobará que los desvíos provisionales se realizan conforme a las fases de obra establecidas y siguiendo las prescripciones de la normativa vigente.</w:t>
      </w:r>
    </w:p>
    <w:p w14:paraId="16DB2703" w14:textId="77777777" w:rsidR="007A73D5" w:rsidRPr="002F2906" w:rsidRDefault="007A73D5" w:rsidP="002F2906">
      <w:pPr>
        <w:pStyle w:val="NORMAL12"/>
        <w:rPr>
          <w:i/>
          <w:u w:val="single"/>
          <w:lang w:val="es-ES"/>
        </w:rPr>
      </w:pPr>
      <w:bookmarkStart w:id="1554" w:name="_Toc206382283"/>
      <w:r w:rsidRPr="002F2906">
        <w:rPr>
          <w:i/>
          <w:u w:val="single"/>
          <w:lang w:val="es-ES"/>
        </w:rPr>
        <w:t>Criterios de aceptación o rechazo</w:t>
      </w:r>
    </w:p>
    <w:p w14:paraId="70745CBA" w14:textId="77777777" w:rsidR="007A73D5" w:rsidRPr="002F2906" w:rsidRDefault="007A73D5" w:rsidP="002F2906">
      <w:pPr>
        <w:pStyle w:val="NORMAL12"/>
        <w:rPr>
          <w:lang w:val="es-ES"/>
        </w:rPr>
      </w:pPr>
      <w:r w:rsidRPr="002F2906">
        <w:rPr>
          <w:lang w:val="es-ES"/>
        </w:rPr>
        <w:t xml:space="preserve">En el caso de que las señales no dispongan de marcado CE o sello de calidad acreditado se lleva a cabo la sustitución de </w:t>
      </w:r>
      <w:proofErr w:type="gramStart"/>
      <w:r w:rsidRPr="002F2906">
        <w:rPr>
          <w:lang w:val="es-ES"/>
        </w:rPr>
        <w:t>las mismas</w:t>
      </w:r>
      <w:proofErr w:type="gramEnd"/>
      <w:r w:rsidRPr="002F2906">
        <w:rPr>
          <w:lang w:val="es-ES"/>
        </w:rPr>
        <w:t xml:space="preserve"> por cuenta del contratista.</w:t>
      </w:r>
    </w:p>
    <w:p w14:paraId="3B164614" w14:textId="77777777" w:rsidR="007A73D5" w:rsidRPr="002F2906" w:rsidRDefault="007A73D5" w:rsidP="002F2906">
      <w:pPr>
        <w:pStyle w:val="NORMAL12"/>
        <w:rPr>
          <w:lang w:val="es-ES"/>
        </w:rPr>
      </w:pPr>
      <w:r w:rsidRPr="002F2906">
        <w:rPr>
          <w:lang w:val="es-ES"/>
        </w:rPr>
        <w:t>Si los desvíos no están realizados conformes con las fases de obra establecidas y siguiendo las prescripciones de la normativa vigente, se realizarán los cambios necesarios por cuenta del contratista.</w:t>
      </w:r>
    </w:p>
    <w:p w14:paraId="608B4681" w14:textId="77777777" w:rsidR="007A73D5" w:rsidRPr="002F2906" w:rsidRDefault="005E224E" w:rsidP="000313DD">
      <w:pPr>
        <w:pStyle w:val="TITU2"/>
      </w:pPr>
      <w:bookmarkStart w:id="1555" w:name="_Toc465929837"/>
      <w:bookmarkStart w:id="1556" w:name="_Toc404743"/>
      <w:r>
        <w:t>830</w:t>
      </w:r>
      <w:r w:rsidR="007A73D5" w:rsidRPr="002F2906">
        <w:t>.5</w:t>
      </w:r>
      <w:r w:rsidR="002F2906" w:rsidRPr="002F2906">
        <w:t>.</w:t>
      </w:r>
      <w:r w:rsidR="00115879">
        <w:t xml:space="preserve"> </w:t>
      </w:r>
      <w:r w:rsidR="002F2906" w:rsidRPr="002F2906">
        <w:tab/>
        <w:t>C</w:t>
      </w:r>
      <w:r w:rsidR="007A73D5" w:rsidRPr="002F2906">
        <w:t>ontrol de calidad</w:t>
      </w:r>
      <w:bookmarkEnd w:id="1555"/>
      <w:bookmarkEnd w:id="1556"/>
    </w:p>
    <w:p w14:paraId="5A1CA984" w14:textId="77777777" w:rsidR="007A73D5" w:rsidRPr="002F2906" w:rsidRDefault="007A73D5" w:rsidP="002F2906">
      <w:pPr>
        <w:pStyle w:val="NORMAL12"/>
        <w:rPr>
          <w:lang w:val="es-ES"/>
        </w:rPr>
      </w:pPr>
      <w:r w:rsidRPr="002F2906">
        <w:rPr>
          <w:lang w:val="es-ES"/>
        </w:rPr>
        <w:t>Se comprobará que las señales utilizadas disponen de marcado CE o sello de calidad acreditado por organismo competente, así como el estado de conservación y mantenimiento.</w:t>
      </w:r>
    </w:p>
    <w:p w14:paraId="18A000F3" w14:textId="77777777" w:rsidR="007A73D5" w:rsidRPr="002F2906" w:rsidRDefault="007A73D5" w:rsidP="002F2906">
      <w:pPr>
        <w:pStyle w:val="NORMAL12"/>
        <w:rPr>
          <w:lang w:val="es-ES"/>
        </w:rPr>
      </w:pPr>
      <w:r w:rsidRPr="002F2906">
        <w:rPr>
          <w:lang w:val="es-ES"/>
        </w:rPr>
        <w:t>Se comprobará que la disposición de las señales en obra es conforme con las fases de obra establecidas y cumple las prescripciones de la normativa vigente.</w:t>
      </w:r>
    </w:p>
    <w:p w14:paraId="4D513581" w14:textId="77777777" w:rsidR="007A73D5" w:rsidRPr="001B7C1E" w:rsidRDefault="00837CB3" w:rsidP="000313DD">
      <w:pPr>
        <w:pStyle w:val="TITU2"/>
      </w:pPr>
      <w:bookmarkStart w:id="1557" w:name="_Toc465929838"/>
      <w:bookmarkStart w:id="1558" w:name="_Toc404744"/>
      <w:r>
        <w:t>830</w:t>
      </w:r>
      <w:r w:rsidR="007A73D5" w:rsidRPr="001B7C1E">
        <w:t>.6.</w:t>
      </w:r>
      <w:r w:rsidR="00115879">
        <w:t xml:space="preserve"> </w:t>
      </w:r>
      <w:r w:rsidR="007A73D5" w:rsidRPr="001B7C1E">
        <w:tab/>
        <w:t>Medición y abono</w:t>
      </w:r>
      <w:bookmarkEnd w:id="1554"/>
      <w:bookmarkEnd w:id="1557"/>
      <w:bookmarkEnd w:id="1558"/>
    </w:p>
    <w:p w14:paraId="3F7E7DCA" w14:textId="77777777" w:rsidR="007A73D5" w:rsidRPr="001B7C1E" w:rsidRDefault="007A73D5" w:rsidP="002F2906">
      <w:pPr>
        <w:pStyle w:val="NORMAL12"/>
        <w:rPr>
          <w:lang w:val="es-ES"/>
        </w:rPr>
      </w:pPr>
      <w:r w:rsidRPr="001B7C1E">
        <w:rPr>
          <w:lang w:val="es-ES"/>
        </w:rPr>
        <w:t>La medición y abono de la unidad Pintado de marcas viales, se realizará según los criterios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8"/>
        <w:gridCol w:w="6073"/>
      </w:tblGrid>
      <w:tr w:rsidR="00E97EE4" w:rsidRPr="00E97EE4" w14:paraId="4850F050" w14:textId="77777777" w:rsidTr="00994D1A">
        <w:tc>
          <w:tcPr>
            <w:tcW w:w="0" w:type="auto"/>
            <w:vAlign w:val="center"/>
          </w:tcPr>
          <w:p w14:paraId="72AC85BF" w14:textId="77777777" w:rsidR="007A73D5" w:rsidRPr="00F0765E" w:rsidRDefault="007A73D5" w:rsidP="0037448F">
            <w:pPr>
              <w:pStyle w:val="LCATabla"/>
              <w:keepNext/>
              <w:keepLines/>
              <w:spacing w:line="360" w:lineRule="auto"/>
              <w:jc w:val="center"/>
              <w:rPr>
                <w:rFonts w:ascii="Arial" w:hAnsi="Arial" w:cs="Arial"/>
                <w:b/>
                <w:bCs/>
              </w:rPr>
            </w:pPr>
            <w:r w:rsidRPr="002A6C85">
              <w:rPr>
                <w:rFonts w:ascii="Arial" w:hAnsi="Arial" w:cs="Arial"/>
                <w:b/>
                <w:bCs/>
                <w:sz w:val="20"/>
              </w:rPr>
              <w:t>Unidad de medida</w:t>
            </w:r>
          </w:p>
        </w:tc>
        <w:tc>
          <w:tcPr>
            <w:tcW w:w="6073" w:type="dxa"/>
            <w:vAlign w:val="center"/>
          </w:tcPr>
          <w:p w14:paraId="5F93E8A5" w14:textId="77777777" w:rsidR="007A73D5" w:rsidRPr="00F0765E" w:rsidRDefault="00F0765E" w:rsidP="00D424A3">
            <w:pPr>
              <w:pStyle w:val="LCATabla"/>
              <w:keepNext/>
              <w:keepLines/>
              <w:spacing w:line="360" w:lineRule="auto"/>
              <w:jc w:val="both"/>
              <w:rPr>
                <w:rFonts w:ascii="Arial" w:hAnsi="Arial" w:cs="Arial"/>
              </w:rPr>
            </w:pPr>
            <w:r w:rsidRPr="003708DA">
              <w:rPr>
                <w:rFonts w:ascii="Arial" w:hAnsi="Arial" w:cs="Arial"/>
                <w:sz w:val="20"/>
              </w:rPr>
              <w:t>M</w:t>
            </w:r>
            <w:r w:rsidR="007A73D5" w:rsidRPr="003708DA">
              <w:rPr>
                <w:rFonts w:ascii="Arial" w:hAnsi="Arial" w:cs="Arial"/>
                <w:sz w:val="20"/>
              </w:rPr>
              <w:t>etro</w:t>
            </w:r>
            <w:r w:rsidRPr="003708DA">
              <w:rPr>
                <w:rFonts w:ascii="Arial" w:hAnsi="Arial" w:cs="Arial"/>
                <w:sz w:val="20"/>
              </w:rPr>
              <w:t xml:space="preserve"> </w:t>
            </w:r>
            <w:r w:rsidR="007A73D5" w:rsidRPr="003708DA">
              <w:rPr>
                <w:rFonts w:ascii="Arial" w:hAnsi="Arial" w:cs="Arial"/>
                <w:sz w:val="20"/>
              </w:rPr>
              <w:t>(m.)</w:t>
            </w:r>
          </w:p>
        </w:tc>
      </w:tr>
      <w:tr w:rsidR="00E97EE4" w:rsidRPr="00E97EE4" w14:paraId="78FB9E10" w14:textId="77777777" w:rsidTr="00994D1A">
        <w:tc>
          <w:tcPr>
            <w:tcW w:w="0" w:type="auto"/>
            <w:vAlign w:val="center"/>
          </w:tcPr>
          <w:p w14:paraId="641FF5E4" w14:textId="77777777" w:rsidR="007A73D5" w:rsidRPr="00F0765E" w:rsidRDefault="007A73D5" w:rsidP="0037448F">
            <w:pPr>
              <w:pStyle w:val="LCATabla"/>
              <w:keepNext/>
              <w:keepLines/>
              <w:spacing w:line="360" w:lineRule="auto"/>
              <w:jc w:val="center"/>
              <w:rPr>
                <w:rFonts w:ascii="Arial" w:hAnsi="Arial" w:cs="Arial"/>
                <w:b/>
                <w:bCs/>
              </w:rPr>
            </w:pPr>
            <w:r w:rsidRPr="002A6C85">
              <w:rPr>
                <w:rFonts w:ascii="Arial" w:hAnsi="Arial" w:cs="Arial"/>
                <w:b/>
                <w:bCs/>
                <w:sz w:val="20"/>
              </w:rPr>
              <w:t>Grado de precisión</w:t>
            </w:r>
          </w:p>
        </w:tc>
        <w:tc>
          <w:tcPr>
            <w:tcW w:w="6073" w:type="dxa"/>
            <w:vAlign w:val="center"/>
          </w:tcPr>
          <w:p w14:paraId="39291AF3" w14:textId="77777777" w:rsidR="007A73D5" w:rsidRPr="00F0765E" w:rsidRDefault="007A73D5" w:rsidP="00D424A3">
            <w:pPr>
              <w:pStyle w:val="LCATabla"/>
              <w:keepNext/>
              <w:keepLines/>
              <w:spacing w:line="360" w:lineRule="auto"/>
              <w:jc w:val="both"/>
              <w:rPr>
                <w:rFonts w:ascii="Arial" w:hAnsi="Arial" w:cs="Arial"/>
              </w:rPr>
            </w:pPr>
            <w:r w:rsidRPr="003708DA">
              <w:rPr>
                <w:rFonts w:ascii="Arial" w:hAnsi="Arial" w:cs="Arial"/>
                <w:sz w:val="20"/>
              </w:rPr>
              <w:t>Dos decimales</w:t>
            </w:r>
          </w:p>
        </w:tc>
      </w:tr>
      <w:tr w:rsidR="00E97EE4" w:rsidRPr="00E97EE4" w14:paraId="396B88F8" w14:textId="77777777" w:rsidTr="00994D1A">
        <w:tc>
          <w:tcPr>
            <w:tcW w:w="0" w:type="auto"/>
            <w:vAlign w:val="center"/>
          </w:tcPr>
          <w:p w14:paraId="67EBB815" w14:textId="77777777" w:rsidR="007A73D5" w:rsidRPr="00F0765E" w:rsidRDefault="007A73D5" w:rsidP="0037448F">
            <w:pPr>
              <w:pStyle w:val="LCATabla"/>
              <w:keepNext/>
              <w:keepLines/>
              <w:spacing w:line="360" w:lineRule="auto"/>
              <w:jc w:val="center"/>
              <w:rPr>
                <w:rFonts w:ascii="Arial" w:hAnsi="Arial" w:cs="Arial"/>
                <w:b/>
                <w:bCs/>
              </w:rPr>
            </w:pPr>
            <w:r w:rsidRPr="002A6C85">
              <w:rPr>
                <w:rFonts w:ascii="Arial" w:hAnsi="Arial" w:cs="Arial"/>
                <w:b/>
                <w:bCs/>
                <w:sz w:val="20"/>
              </w:rPr>
              <w:t>Forma de medición</w:t>
            </w:r>
          </w:p>
        </w:tc>
        <w:tc>
          <w:tcPr>
            <w:tcW w:w="6073" w:type="dxa"/>
            <w:vAlign w:val="center"/>
          </w:tcPr>
          <w:p w14:paraId="5901E999" w14:textId="77777777" w:rsidR="007A73D5" w:rsidRPr="00F0765E" w:rsidRDefault="007A73D5" w:rsidP="00D424A3">
            <w:pPr>
              <w:pStyle w:val="LCATabla"/>
              <w:keepNext/>
              <w:keepLines/>
              <w:spacing w:line="360" w:lineRule="auto"/>
              <w:jc w:val="both"/>
              <w:rPr>
                <w:rFonts w:ascii="Arial" w:hAnsi="Arial" w:cs="Arial"/>
              </w:rPr>
            </w:pPr>
            <w:r w:rsidRPr="003708DA">
              <w:rPr>
                <w:rFonts w:ascii="Arial" w:hAnsi="Arial" w:cs="Arial"/>
                <w:sz w:val="20"/>
              </w:rPr>
              <w:t>Medición de la longitud realmente pintada.</w:t>
            </w:r>
          </w:p>
        </w:tc>
      </w:tr>
      <w:tr w:rsidR="00E97EE4" w:rsidRPr="00E97EE4" w14:paraId="3792171D" w14:textId="77777777" w:rsidTr="00994D1A">
        <w:tc>
          <w:tcPr>
            <w:tcW w:w="0" w:type="auto"/>
            <w:vAlign w:val="center"/>
          </w:tcPr>
          <w:p w14:paraId="6D726BA1" w14:textId="77777777" w:rsidR="007A73D5" w:rsidRPr="00F0765E" w:rsidRDefault="007A73D5" w:rsidP="0037448F">
            <w:pPr>
              <w:pStyle w:val="LCATabla"/>
              <w:keepNext/>
              <w:keepLines/>
              <w:spacing w:line="360" w:lineRule="auto"/>
              <w:jc w:val="center"/>
              <w:rPr>
                <w:rFonts w:ascii="Arial" w:hAnsi="Arial" w:cs="Arial"/>
                <w:b/>
                <w:bCs/>
              </w:rPr>
            </w:pPr>
            <w:r w:rsidRPr="002A6C85">
              <w:rPr>
                <w:rFonts w:ascii="Arial" w:hAnsi="Arial" w:cs="Arial"/>
                <w:b/>
                <w:bCs/>
                <w:sz w:val="20"/>
              </w:rPr>
              <w:t>Abono</w:t>
            </w:r>
          </w:p>
        </w:tc>
        <w:tc>
          <w:tcPr>
            <w:tcW w:w="6073" w:type="dxa"/>
            <w:vAlign w:val="center"/>
          </w:tcPr>
          <w:p w14:paraId="59980203" w14:textId="77777777" w:rsidR="007A73D5" w:rsidRPr="00F0765E" w:rsidRDefault="007A73D5" w:rsidP="00D424A3">
            <w:pPr>
              <w:pStyle w:val="LCATabla"/>
              <w:keepNext/>
              <w:keepLines/>
              <w:spacing w:line="360" w:lineRule="auto"/>
              <w:jc w:val="both"/>
              <w:rPr>
                <w:rFonts w:ascii="Arial" w:hAnsi="Arial" w:cs="Arial"/>
              </w:rPr>
            </w:pPr>
            <w:r w:rsidRPr="003708DA">
              <w:rPr>
                <w:rFonts w:ascii="Arial" w:hAnsi="Arial" w:cs="Arial"/>
                <w:sz w:val="20"/>
              </w:rPr>
              <w:t>Se efectuará cuando se realice la aceptación</w:t>
            </w:r>
          </w:p>
        </w:tc>
      </w:tr>
      <w:tr w:rsidR="00E97EE4" w:rsidRPr="00E97EE4" w14:paraId="5D2B8720" w14:textId="77777777" w:rsidTr="00994D1A">
        <w:tc>
          <w:tcPr>
            <w:tcW w:w="0" w:type="auto"/>
            <w:vAlign w:val="center"/>
          </w:tcPr>
          <w:p w14:paraId="7A8D8E32" w14:textId="77777777" w:rsidR="007A73D5" w:rsidRPr="00F0765E" w:rsidRDefault="007A73D5" w:rsidP="0037448F">
            <w:pPr>
              <w:pStyle w:val="LCATabla"/>
              <w:keepNext/>
              <w:keepLines/>
              <w:spacing w:line="360" w:lineRule="auto"/>
              <w:jc w:val="center"/>
              <w:rPr>
                <w:rFonts w:ascii="Arial" w:hAnsi="Arial" w:cs="Arial"/>
                <w:b/>
                <w:bCs/>
              </w:rPr>
            </w:pPr>
            <w:r w:rsidRPr="002A6C85">
              <w:rPr>
                <w:rFonts w:ascii="Arial" w:hAnsi="Arial" w:cs="Arial"/>
                <w:b/>
                <w:bCs/>
                <w:sz w:val="20"/>
              </w:rPr>
              <w:t>Criterios complementarios</w:t>
            </w:r>
          </w:p>
        </w:tc>
        <w:tc>
          <w:tcPr>
            <w:tcW w:w="6073" w:type="dxa"/>
            <w:vAlign w:val="center"/>
          </w:tcPr>
          <w:p w14:paraId="23950C20" w14:textId="77777777" w:rsidR="007A73D5" w:rsidRPr="003708DA" w:rsidRDefault="007A73D5" w:rsidP="00D424A3">
            <w:pPr>
              <w:pStyle w:val="LCATabla"/>
              <w:keepNext/>
              <w:keepLines/>
              <w:spacing w:line="360" w:lineRule="auto"/>
              <w:jc w:val="both"/>
              <w:rPr>
                <w:rFonts w:ascii="Arial" w:hAnsi="Arial" w:cs="Arial"/>
                <w:sz w:val="20"/>
              </w:rPr>
            </w:pPr>
            <w:r w:rsidRPr="003708DA">
              <w:rPr>
                <w:rFonts w:ascii="Arial" w:hAnsi="Arial" w:cs="Arial"/>
                <w:sz w:val="20"/>
              </w:rPr>
              <w:t>El precio incluye el replanteo</w:t>
            </w:r>
            <w:r w:rsidR="001B7C1E" w:rsidRPr="003708DA">
              <w:rPr>
                <w:rFonts w:ascii="Arial" w:hAnsi="Arial" w:cs="Arial"/>
                <w:sz w:val="20"/>
              </w:rPr>
              <w:t xml:space="preserve">, el coste de los materiales, la preparación de la superficie, el </w:t>
            </w:r>
            <w:proofErr w:type="spellStart"/>
            <w:r w:rsidR="001B7C1E" w:rsidRPr="003708DA">
              <w:rPr>
                <w:rFonts w:ascii="Arial" w:hAnsi="Arial" w:cs="Arial"/>
                <w:sz w:val="20"/>
              </w:rPr>
              <w:t>premarcaje</w:t>
            </w:r>
            <w:proofErr w:type="spellEnd"/>
            <w:r w:rsidRPr="003708DA">
              <w:rPr>
                <w:rFonts w:ascii="Arial" w:hAnsi="Arial" w:cs="Arial"/>
                <w:sz w:val="20"/>
              </w:rPr>
              <w:t xml:space="preserve"> y todos los trabajos auxiliares.</w:t>
            </w:r>
          </w:p>
          <w:p w14:paraId="27FEFA1F" w14:textId="77777777" w:rsidR="001B7C1E" w:rsidRPr="003708DA" w:rsidRDefault="001B7C1E" w:rsidP="00D424A3">
            <w:pPr>
              <w:pStyle w:val="LCATabla"/>
              <w:keepNext/>
              <w:keepLines/>
              <w:spacing w:line="360" w:lineRule="auto"/>
              <w:jc w:val="both"/>
              <w:rPr>
                <w:rFonts w:ascii="Arial" w:hAnsi="Arial" w:cs="Arial"/>
                <w:sz w:val="20"/>
              </w:rPr>
            </w:pPr>
            <w:r w:rsidRPr="003708DA">
              <w:rPr>
                <w:rFonts w:ascii="Arial" w:hAnsi="Arial" w:cs="Arial"/>
                <w:sz w:val="20"/>
              </w:rPr>
              <w:t xml:space="preserve">Incluye el importe de todos los repintados que sean necesarios en el tiempo que permanezcan abiertos los desvíos </w:t>
            </w:r>
            <w:r w:rsidR="000E6461">
              <w:rPr>
                <w:rFonts w:ascii="Arial" w:hAnsi="Arial" w:cs="Arial"/>
                <w:sz w:val="20"/>
              </w:rPr>
              <w:t>c</w:t>
            </w:r>
            <w:r w:rsidRPr="003708DA">
              <w:rPr>
                <w:rFonts w:ascii="Arial" w:hAnsi="Arial" w:cs="Arial"/>
                <w:sz w:val="20"/>
              </w:rPr>
              <w:t>orrespondientes, siendo todos los repintados por cuenta del contratista.</w:t>
            </w:r>
            <w:r w:rsidR="000E6461">
              <w:rPr>
                <w:rFonts w:ascii="Arial" w:hAnsi="Arial" w:cs="Arial"/>
                <w:sz w:val="20"/>
              </w:rPr>
              <w:t xml:space="preserve"> </w:t>
            </w:r>
          </w:p>
          <w:p w14:paraId="7BCE5093" w14:textId="77777777" w:rsidR="001B7C1E" w:rsidRPr="003708DA" w:rsidRDefault="001B7C1E" w:rsidP="00D424A3">
            <w:pPr>
              <w:pStyle w:val="LCATabla"/>
              <w:keepNext/>
              <w:keepLines/>
              <w:spacing w:line="360" w:lineRule="auto"/>
              <w:jc w:val="both"/>
              <w:rPr>
                <w:rFonts w:ascii="Arial" w:hAnsi="Arial" w:cs="Arial"/>
                <w:sz w:val="20"/>
              </w:rPr>
            </w:pPr>
            <w:r w:rsidRPr="003708DA">
              <w:rPr>
                <w:rFonts w:ascii="Arial" w:hAnsi="Arial" w:cs="Arial"/>
                <w:sz w:val="20"/>
              </w:rPr>
              <w:t xml:space="preserve">Se repintarán las marcas viales siempre que pierdan visibilidad por desgaste o siempre que así lo dictamine la dirección de obra. </w:t>
            </w:r>
          </w:p>
          <w:p w14:paraId="34F60506" w14:textId="77777777" w:rsidR="00E55C49" w:rsidRPr="00F0765E" w:rsidRDefault="00E55C49" w:rsidP="00D424A3">
            <w:pPr>
              <w:pStyle w:val="LCATabla"/>
              <w:keepNext/>
              <w:keepLines/>
              <w:spacing w:line="360" w:lineRule="auto"/>
              <w:jc w:val="both"/>
              <w:rPr>
                <w:rFonts w:cs="Arial"/>
              </w:rPr>
            </w:pPr>
            <w:r w:rsidRPr="003708DA">
              <w:rPr>
                <w:rFonts w:ascii="Arial" w:hAnsi="Arial" w:cs="Arial"/>
                <w:sz w:val="20"/>
              </w:rPr>
              <w:t xml:space="preserve">El borrado de </w:t>
            </w:r>
            <w:proofErr w:type="gramStart"/>
            <w:r w:rsidRPr="003708DA">
              <w:rPr>
                <w:rFonts w:ascii="Arial" w:hAnsi="Arial" w:cs="Arial"/>
                <w:sz w:val="20"/>
              </w:rPr>
              <w:t>las mismas</w:t>
            </w:r>
            <w:proofErr w:type="gramEnd"/>
            <w:r w:rsidRPr="003708DA">
              <w:rPr>
                <w:rFonts w:ascii="Arial" w:hAnsi="Arial" w:cs="Arial"/>
                <w:sz w:val="20"/>
              </w:rPr>
              <w:t xml:space="preserve"> una vez terminadas las obras está incluido en el precio.</w:t>
            </w:r>
          </w:p>
        </w:tc>
      </w:tr>
    </w:tbl>
    <w:p w14:paraId="69EBCF8F" w14:textId="77777777" w:rsidR="007A73D5" w:rsidRPr="00E97EE4" w:rsidRDefault="007A73D5" w:rsidP="007A73D5">
      <w:pPr>
        <w:tabs>
          <w:tab w:val="left" w:pos="993"/>
          <w:tab w:val="left" w:pos="1985"/>
          <w:tab w:val="left" w:pos="2268"/>
        </w:tabs>
        <w:suppressAutoHyphens/>
        <w:rPr>
          <w:rFonts w:cs="Arial"/>
          <w:color w:val="FF0000"/>
          <w:lang w:val="es-ES_tradnl"/>
        </w:rPr>
      </w:pPr>
    </w:p>
    <w:p w14:paraId="1686813C" w14:textId="77777777" w:rsidR="007A73D5" w:rsidRPr="002F2906" w:rsidRDefault="00F95C5C" w:rsidP="002F2906">
      <w:pPr>
        <w:pStyle w:val="NORMAL12"/>
        <w:rPr>
          <w:lang w:val="es-ES"/>
        </w:rPr>
      </w:pPr>
      <w:r>
        <w:rPr>
          <w:lang w:val="es-ES"/>
        </w:rPr>
        <w:br w:type="column"/>
      </w:r>
      <w:r w:rsidR="007A73D5" w:rsidRPr="002F2906">
        <w:rPr>
          <w:lang w:val="es-ES"/>
        </w:rPr>
        <w:lastRenderedPageBreak/>
        <w:t>La medición y abono de la unidad de conos de balizamiento, se realizará según los criterios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8"/>
        <w:gridCol w:w="6073"/>
      </w:tblGrid>
      <w:tr w:rsidR="00E97EE4" w:rsidRPr="00E97EE4" w14:paraId="1EDC62FC" w14:textId="77777777" w:rsidTr="00994D1A">
        <w:tc>
          <w:tcPr>
            <w:tcW w:w="0" w:type="auto"/>
            <w:vAlign w:val="center"/>
          </w:tcPr>
          <w:p w14:paraId="41189DEF" w14:textId="77777777" w:rsidR="007A73D5" w:rsidRPr="00F0765E" w:rsidRDefault="007A73D5" w:rsidP="0037448F">
            <w:pPr>
              <w:pStyle w:val="LCATabla"/>
              <w:keepNext/>
              <w:keepLines/>
              <w:spacing w:line="360" w:lineRule="auto"/>
              <w:jc w:val="center"/>
              <w:rPr>
                <w:rFonts w:ascii="Arial" w:hAnsi="Arial" w:cs="Arial"/>
                <w:b/>
                <w:bCs/>
              </w:rPr>
            </w:pPr>
            <w:r w:rsidRPr="002A6C85">
              <w:rPr>
                <w:rFonts w:ascii="Arial" w:hAnsi="Arial" w:cs="Arial"/>
                <w:b/>
                <w:bCs/>
                <w:sz w:val="20"/>
              </w:rPr>
              <w:t>Unidad de medida</w:t>
            </w:r>
          </w:p>
        </w:tc>
        <w:tc>
          <w:tcPr>
            <w:tcW w:w="6073" w:type="dxa"/>
            <w:vAlign w:val="center"/>
          </w:tcPr>
          <w:p w14:paraId="686FAA12" w14:textId="77777777" w:rsidR="007A73D5" w:rsidRPr="00F0765E" w:rsidRDefault="007A73D5" w:rsidP="00D424A3">
            <w:pPr>
              <w:pStyle w:val="LCATabla"/>
              <w:keepNext/>
              <w:keepLines/>
              <w:spacing w:line="360" w:lineRule="auto"/>
              <w:jc w:val="both"/>
              <w:rPr>
                <w:rFonts w:ascii="Arial" w:hAnsi="Arial" w:cs="Arial"/>
              </w:rPr>
            </w:pPr>
            <w:r w:rsidRPr="003708DA">
              <w:rPr>
                <w:rFonts w:ascii="Arial" w:hAnsi="Arial" w:cs="Arial"/>
                <w:sz w:val="20"/>
              </w:rPr>
              <w:t>Unidad (</w:t>
            </w:r>
            <w:proofErr w:type="spellStart"/>
            <w:r w:rsidRPr="003708DA">
              <w:rPr>
                <w:rFonts w:ascii="Arial" w:hAnsi="Arial" w:cs="Arial"/>
                <w:sz w:val="20"/>
              </w:rPr>
              <w:t>ud</w:t>
            </w:r>
            <w:proofErr w:type="spellEnd"/>
            <w:r w:rsidRPr="003708DA">
              <w:rPr>
                <w:rFonts w:ascii="Arial" w:hAnsi="Arial" w:cs="Arial"/>
                <w:sz w:val="20"/>
              </w:rPr>
              <w:t>)</w:t>
            </w:r>
            <w:r w:rsidRPr="00F0765E">
              <w:rPr>
                <w:rFonts w:ascii="Arial" w:hAnsi="Arial" w:cs="Arial"/>
              </w:rPr>
              <w:t xml:space="preserve"> </w:t>
            </w:r>
          </w:p>
        </w:tc>
      </w:tr>
      <w:tr w:rsidR="00E97EE4" w:rsidRPr="00E97EE4" w14:paraId="3EA3B341" w14:textId="77777777" w:rsidTr="00994D1A">
        <w:tc>
          <w:tcPr>
            <w:tcW w:w="0" w:type="auto"/>
            <w:vAlign w:val="center"/>
          </w:tcPr>
          <w:p w14:paraId="07CE2D59" w14:textId="77777777" w:rsidR="007A73D5" w:rsidRPr="00F0765E" w:rsidRDefault="007A73D5" w:rsidP="0037448F">
            <w:pPr>
              <w:pStyle w:val="LCATabla"/>
              <w:keepNext/>
              <w:keepLines/>
              <w:spacing w:line="360" w:lineRule="auto"/>
              <w:jc w:val="center"/>
              <w:rPr>
                <w:rFonts w:ascii="Arial" w:hAnsi="Arial" w:cs="Arial"/>
                <w:b/>
                <w:bCs/>
              </w:rPr>
            </w:pPr>
            <w:r w:rsidRPr="002A6C85">
              <w:rPr>
                <w:rFonts w:ascii="Arial" w:hAnsi="Arial" w:cs="Arial"/>
                <w:b/>
                <w:bCs/>
                <w:sz w:val="20"/>
              </w:rPr>
              <w:t>Grado de precisión</w:t>
            </w:r>
          </w:p>
        </w:tc>
        <w:tc>
          <w:tcPr>
            <w:tcW w:w="6073" w:type="dxa"/>
            <w:vAlign w:val="center"/>
          </w:tcPr>
          <w:p w14:paraId="0BAE73F8" w14:textId="77777777" w:rsidR="007A73D5" w:rsidRPr="00F0765E" w:rsidRDefault="007A73D5" w:rsidP="00D424A3">
            <w:pPr>
              <w:pStyle w:val="LCATabla"/>
              <w:keepNext/>
              <w:keepLines/>
              <w:spacing w:line="360" w:lineRule="auto"/>
              <w:jc w:val="both"/>
              <w:rPr>
                <w:rFonts w:ascii="Arial" w:hAnsi="Arial" w:cs="Arial"/>
              </w:rPr>
            </w:pPr>
            <w:r w:rsidRPr="003708DA">
              <w:rPr>
                <w:rFonts w:ascii="Arial" w:hAnsi="Arial" w:cs="Arial"/>
                <w:sz w:val="20"/>
              </w:rPr>
              <w:t>Número entero</w:t>
            </w:r>
          </w:p>
        </w:tc>
      </w:tr>
      <w:tr w:rsidR="00E97EE4" w:rsidRPr="00E97EE4" w14:paraId="6AB4EA31" w14:textId="77777777" w:rsidTr="00994D1A">
        <w:tc>
          <w:tcPr>
            <w:tcW w:w="0" w:type="auto"/>
            <w:vAlign w:val="center"/>
          </w:tcPr>
          <w:p w14:paraId="2920AD5D" w14:textId="77777777" w:rsidR="007A73D5" w:rsidRPr="00F0765E" w:rsidRDefault="007A73D5" w:rsidP="0037448F">
            <w:pPr>
              <w:pStyle w:val="LCATabla"/>
              <w:keepNext/>
              <w:keepLines/>
              <w:spacing w:line="360" w:lineRule="auto"/>
              <w:jc w:val="center"/>
              <w:rPr>
                <w:rFonts w:ascii="Arial" w:hAnsi="Arial" w:cs="Arial"/>
                <w:b/>
                <w:bCs/>
              </w:rPr>
            </w:pPr>
            <w:r w:rsidRPr="002A6C85">
              <w:rPr>
                <w:rFonts w:ascii="Arial" w:hAnsi="Arial" w:cs="Arial"/>
                <w:b/>
                <w:bCs/>
                <w:sz w:val="20"/>
              </w:rPr>
              <w:t>Forma de medición</w:t>
            </w:r>
          </w:p>
        </w:tc>
        <w:tc>
          <w:tcPr>
            <w:tcW w:w="6073" w:type="dxa"/>
            <w:vAlign w:val="center"/>
          </w:tcPr>
          <w:p w14:paraId="65A7A013" w14:textId="77777777" w:rsidR="007A73D5" w:rsidRPr="00F0765E" w:rsidRDefault="007A73D5" w:rsidP="00D424A3">
            <w:pPr>
              <w:pStyle w:val="LCATabla"/>
              <w:keepNext/>
              <w:keepLines/>
              <w:spacing w:line="360" w:lineRule="auto"/>
              <w:jc w:val="both"/>
              <w:rPr>
                <w:rFonts w:ascii="Arial" w:hAnsi="Arial" w:cs="Arial"/>
              </w:rPr>
            </w:pPr>
            <w:r w:rsidRPr="003708DA">
              <w:rPr>
                <w:rFonts w:ascii="Arial" w:hAnsi="Arial" w:cs="Arial"/>
                <w:sz w:val="20"/>
              </w:rPr>
              <w:t>Medición de unidades realmente ejecutadas.</w:t>
            </w:r>
          </w:p>
        </w:tc>
      </w:tr>
      <w:tr w:rsidR="00E97EE4" w:rsidRPr="00E97EE4" w14:paraId="5341D8C7" w14:textId="77777777" w:rsidTr="00994D1A">
        <w:tc>
          <w:tcPr>
            <w:tcW w:w="0" w:type="auto"/>
            <w:vAlign w:val="center"/>
          </w:tcPr>
          <w:p w14:paraId="39894C38" w14:textId="77777777" w:rsidR="007A73D5" w:rsidRPr="00F0765E" w:rsidRDefault="007A73D5" w:rsidP="0037448F">
            <w:pPr>
              <w:pStyle w:val="LCATabla"/>
              <w:keepNext/>
              <w:keepLines/>
              <w:spacing w:line="360" w:lineRule="auto"/>
              <w:jc w:val="center"/>
              <w:rPr>
                <w:rFonts w:ascii="Arial" w:hAnsi="Arial" w:cs="Arial"/>
                <w:b/>
                <w:bCs/>
              </w:rPr>
            </w:pPr>
            <w:r w:rsidRPr="002A6C85">
              <w:rPr>
                <w:rFonts w:ascii="Arial" w:hAnsi="Arial" w:cs="Arial"/>
                <w:b/>
                <w:bCs/>
                <w:sz w:val="20"/>
              </w:rPr>
              <w:t>Abono</w:t>
            </w:r>
          </w:p>
        </w:tc>
        <w:tc>
          <w:tcPr>
            <w:tcW w:w="6073" w:type="dxa"/>
            <w:vAlign w:val="center"/>
          </w:tcPr>
          <w:p w14:paraId="633DC1D4" w14:textId="77777777" w:rsidR="007A73D5" w:rsidRPr="00F0765E" w:rsidRDefault="007A73D5" w:rsidP="00D424A3">
            <w:pPr>
              <w:pStyle w:val="LCATabla"/>
              <w:keepNext/>
              <w:keepLines/>
              <w:spacing w:line="360" w:lineRule="auto"/>
              <w:jc w:val="both"/>
              <w:rPr>
                <w:rFonts w:ascii="Arial" w:hAnsi="Arial" w:cs="Arial"/>
              </w:rPr>
            </w:pPr>
            <w:r w:rsidRPr="003708DA">
              <w:rPr>
                <w:rFonts w:ascii="Arial" w:hAnsi="Arial" w:cs="Arial"/>
                <w:sz w:val="20"/>
              </w:rPr>
              <w:t>Se efectuará cuando se realice la aceptación</w:t>
            </w:r>
            <w:r w:rsidR="000E6461">
              <w:rPr>
                <w:rFonts w:ascii="Arial" w:hAnsi="Arial" w:cs="Arial"/>
                <w:sz w:val="20"/>
              </w:rPr>
              <w:t>.</w:t>
            </w:r>
          </w:p>
        </w:tc>
      </w:tr>
      <w:tr w:rsidR="00E97EE4" w:rsidRPr="00E97EE4" w14:paraId="7AF88612" w14:textId="77777777" w:rsidTr="00994D1A">
        <w:tc>
          <w:tcPr>
            <w:tcW w:w="0" w:type="auto"/>
            <w:vAlign w:val="center"/>
          </w:tcPr>
          <w:p w14:paraId="20262050" w14:textId="77777777" w:rsidR="007A73D5" w:rsidRPr="00F0765E" w:rsidRDefault="007A73D5" w:rsidP="0037448F">
            <w:pPr>
              <w:pStyle w:val="LCATabla"/>
              <w:keepNext/>
              <w:keepLines/>
              <w:spacing w:line="360" w:lineRule="auto"/>
              <w:jc w:val="center"/>
              <w:rPr>
                <w:rFonts w:ascii="Arial" w:hAnsi="Arial" w:cs="Arial"/>
                <w:b/>
                <w:bCs/>
              </w:rPr>
            </w:pPr>
            <w:r w:rsidRPr="002A6C85">
              <w:rPr>
                <w:rFonts w:ascii="Arial" w:hAnsi="Arial" w:cs="Arial"/>
                <w:b/>
                <w:bCs/>
                <w:sz w:val="20"/>
              </w:rPr>
              <w:t>Criterios complementarios</w:t>
            </w:r>
          </w:p>
        </w:tc>
        <w:tc>
          <w:tcPr>
            <w:tcW w:w="6073" w:type="dxa"/>
            <w:vAlign w:val="center"/>
          </w:tcPr>
          <w:p w14:paraId="71B2649E" w14:textId="77777777" w:rsidR="007A73D5" w:rsidRPr="003708DA" w:rsidRDefault="007A73D5" w:rsidP="00D424A3">
            <w:pPr>
              <w:pStyle w:val="LCATabla"/>
              <w:keepNext/>
              <w:keepLines/>
              <w:spacing w:line="360" w:lineRule="auto"/>
              <w:jc w:val="both"/>
              <w:rPr>
                <w:rFonts w:ascii="Arial" w:hAnsi="Arial" w:cs="Arial"/>
                <w:sz w:val="20"/>
              </w:rPr>
            </w:pPr>
            <w:r w:rsidRPr="003708DA">
              <w:rPr>
                <w:rFonts w:ascii="Arial" w:hAnsi="Arial" w:cs="Arial"/>
                <w:sz w:val="20"/>
              </w:rPr>
              <w:t>Incluye la realización de los anclajes o sistemas de fijación.</w:t>
            </w:r>
          </w:p>
          <w:p w14:paraId="63CAED25" w14:textId="77777777" w:rsidR="007A73D5" w:rsidRPr="00F0765E" w:rsidRDefault="007A73D5" w:rsidP="00D424A3">
            <w:pPr>
              <w:pStyle w:val="LCATabla"/>
              <w:keepNext/>
              <w:keepLines/>
              <w:spacing w:line="360" w:lineRule="auto"/>
              <w:jc w:val="both"/>
              <w:rPr>
                <w:rFonts w:cs="Arial"/>
              </w:rPr>
            </w:pPr>
            <w:r w:rsidRPr="003708DA">
              <w:rPr>
                <w:rFonts w:ascii="Arial" w:hAnsi="Arial" w:cs="Arial"/>
                <w:sz w:val="20"/>
              </w:rPr>
              <w:t>Incluye la carga, transporte y descarga a lugar de empleo, almacén o instalación de gestión de residuos de los elementos retirados.</w:t>
            </w:r>
          </w:p>
        </w:tc>
      </w:tr>
    </w:tbl>
    <w:p w14:paraId="2B3C5461" w14:textId="77777777" w:rsidR="007A73D5" w:rsidRPr="00AB014B" w:rsidRDefault="007A73D5" w:rsidP="007A73D5">
      <w:pPr>
        <w:tabs>
          <w:tab w:val="left" w:pos="993"/>
          <w:tab w:val="left" w:pos="1985"/>
          <w:tab w:val="left" w:pos="2268"/>
        </w:tabs>
        <w:suppressAutoHyphens/>
        <w:rPr>
          <w:rFonts w:cs="Arial"/>
          <w:lang w:val="es-ES_tradnl"/>
        </w:rPr>
      </w:pPr>
    </w:p>
    <w:p w14:paraId="447DE02F" w14:textId="77777777" w:rsidR="001B7C1E" w:rsidRPr="00E72590" w:rsidRDefault="001B7C1E" w:rsidP="00E72590">
      <w:pPr>
        <w:pStyle w:val="NORMAL12"/>
        <w:rPr>
          <w:lang w:val="es-ES"/>
        </w:rPr>
      </w:pPr>
      <w:r w:rsidRPr="00E72590">
        <w:rPr>
          <w:lang w:val="es-ES"/>
        </w:rPr>
        <w:t>La</w:t>
      </w:r>
      <w:r w:rsidR="00E72590">
        <w:rPr>
          <w:lang w:val="es-ES"/>
        </w:rPr>
        <w:t xml:space="preserve"> medición y abono de la unidad de </w:t>
      </w:r>
      <w:r w:rsidRPr="00E72590">
        <w:rPr>
          <w:lang w:val="es-ES"/>
        </w:rPr>
        <w:t>barrera</w:t>
      </w:r>
      <w:r w:rsidR="00E72590">
        <w:rPr>
          <w:lang w:val="es-ES"/>
        </w:rPr>
        <w:t xml:space="preserve"> de seguridad </w:t>
      </w:r>
      <w:r w:rsidRPr="00E72590">
        <w:rPr>
          <w:lang w:val="es-ES"/>
        </w:rPr>
        <w:t>se medirá y abonará según los criterios siguientes:</w:t>
      </w:r>
    </w:p>
    <w:p w14:paraId="2C0E47D6" w14:textId="77777777" w:rsidR="00497D79" w:rsidRDefault="00497D79" w:rsidP="001B7C1E">
      <w:pPr>
        <w:rPr>
          <w:color w:val="7030A0"/>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8"/>
        <w:gridCol w:w="6073"/>
      </w:tblGrid>
      <w:tr w:rsidR="00497D79" w:rsidRPr="00E97EE4" w14:paraId="1DC99C15" w14:textId="77777777" w:rsidTr="00375DBE">
        <w:tc>
          <w:tcPr>
            <w:tcW w:w="0" w:type="auto"/>
            <w:vAlign w:val="center"/>
          </w:tcPr>
          <w:p w14:paraId="3AE6B1A3" w14:textId="77777777" w:rsidR="00497D79" w:rsidRPr="00F0765E" w:rsidRDefault="00497D79" w:rsidP="0037448F">
            <w:pPr>
              <w:pStyle w:val="LCATabla"/>
              <w:keepNext/>
              <w:keepLines/>
              <w:spacing w:line="360" w:lineRule="auto"/>
              <w:jc w:val="center"/>
              <w:rPr>
                <w:rFonts w:ascii="Arial" w:hAnsi="Arial" w:cs="Arial"/>
                <w:b/>
                <w:bCs/>
              </w:rPr>
            </w:pPr>
            <w:r w:rsidRPr="002A6C85">
              <w:rPr>
                <w:rFonts w:ascii="Arial" w:hAnsi="Arial" w:cs="Arial"/>
                <w:b/>
                <w:bCs/>
                <w:sz w:val="20"/>
              </w:rPr>
              <w:t>Unidad de medida</w:t>
            </w:r>
          </w:p>
        </w:tc>
        <w:tc>
          <w:tcPr>
            <w:tcW w:w="6073" w:type="dxa"/>
            <w:vAlign w:val="center"/>
          </w:tcPr>
          <w:p w14:paraId="3F398C56" w14:textId="77777777" w:rsidR="00497D79" w:rsidRPr="00F0765E" w:rsidRDefault="00497D79" w:rsidP="00D424A3">
            <w:pPr>
              <w:pStyle w:val="LCATabla"/>
              <w:keepNext/>
              <w:keepLines/>
              <w:spacing w:line="360" w:lineRule="auto"/>
              <w:jc w:val="both"/>
              <w:rPr>
                <w:rFonts w:ascii="Arial" w:hAnsi="Arial" w:cs="Arial"/>
              </w:rPr>
            </w:pPr>
            <w:r w:rsidRPr="003708DA">
              <w:rPr>
                <w:rFonts w:ascii="Arial" w:hAnsi="Arial" w:cs="Arial"/>
                <w:sz w:val="20"/>
              </w:rPr>
              <w:t>Metro (m)</w:t>
            </w:r>
          </w:p>
        </w:tc>
      </w:tr>
      <w:tr w:rsidR="00497D79" w:rsidRPr="00E97EE4" w14:paraId="16F12920" w14:textId="77777777" w:rsidTr="00375DBE">
        <w:tc>
          <w:tcPr>
            <w:tcW w:w="0" w:type="auto"/>
            <w:vAlign w:val="center"/>
          </w:tcPr>
          <w:p w14:paraId="5A758720" w14:textId="77777777" w:rsidR="00497D79" w:rsidRPr="00F0765E" w:rsidRDefault="00497D79" w:rsidP="0037448F">
            <w:pPr>
              <w:pStyle w:val="LCATabla"/>
              <w:keepNext/>
              <w:keepLines/>
              <w:spacing w:line="360" w:lineRule="auto"/>
              <w:jc w:val="center"/>
              <w:rPr>
                <w:rFonts w:ascii="Arial" w:hAnsi="Arial" w:cs="Arial"/>
                <w:b/>
                <w:bCs/>
              </w:rPr>
            </w:pPr>
            <w:r w:rsidRPr="002A6C85">
              <w:rPr>
                <w:rFonts w:ascii="Arial" w:hAnsi="Arial" w:cs="Arial"/>
                <w:b/>
                <w:bCs/>
                <w:sz w:val="20"/>
              </w:rPr>
              <w:t>Grado de precisión</w:t>
            </w:r>
          </w:p>
        </w:tc>
        <w:tc>
          <w:tcPr>
            <w:tcW w:w="6073" w:type="dxa"/>
            <w:vAlign w:val="center"/>
          </w:tcPr>
          <w:p w14:paraId="69CDCAFD" w14:textId="77777777" w:rsidR="00497D79" w:rsidRPr="00F0765E" w:rsidRDefault="00497D79" w:rsidP="00D424A3">
            <w:pPr>
              <w:pStyle w:val="LCATabla"/>
              <w:keepNext/>
              <w:keepLines/>
              <w:spacing w:line="360" w:lineRule="auto"/>
              <w:jc w:val="both"/>
              <w:rPr>
                <w:rFonts w:ascii="Arial" w:hAnsi="Arial" w:cs="Arial"/>
              </w:rPr>
            </w:pPr>
            <w:r w:rsidRPr="003708DA">
              <w:rPr>
                <w:rFonts w:ascii="Arial" w:hAnsi="Arial" w:cs="Arial"/>
                <w:sz w:val="20"/>
              </w:rPr>
              <w:t>Número entero</w:t>
            </w:r>
          </w:p>
        </w:tc>
      </w:tr>
      <w:tr w:rsidR="00497D79" w:rsidRPr="00E97EE4" w14:paraId="600B1179" w14:textId="77777777" w:rsidTr="00375DBE">
        <w:tc>
          <w:tcPr>
            <w:tcW w:w="0" w:type="auto"/>
            <w:vAlign w:val="center"/>
          </w:tcPr>
          <w:p w14:paraId="3CC3629A" w14:textId="77777777" w:rsidR="00497D79" w:rsidRPr="00F0765E" w:rsidRDefault="00497D79" w:rsidP="0037448F">
            <w:pPr>
              <w:pStyle w:val="LCATabla"/>
              <w:keepNext/>
              <w:keepLines/>
              <w:spacing w:line="360" w:lineRule="auto"/>
              <w:jc w:val="center"/>
              <w:rPr>
                <w:rFonts w:ascii="Arial" w:hAnsi="Arial" w:cs="Arial"/>
                <w:b/>
                <w:bCs/>
              </w:rPr>
            </w:pPr>
            <w:r w:rsidRPr="002A6C85">
              <w:rPr>
                <w:rFonts w:ascii="Arial" w:hAnsi="Arial" w:cs="Arial"/>
                <w:b/>
                <w:bCs/>
                <w:sz w:val="20"/>
              </w:rPr>
              <w:t>Forma de medición</w:t>
            </w:r>
          </w:p>
        </w:tc>
        <w:tc>
          <w:tcPr>
            <w:tcW w:w="6073" w:type="dxa"/>
            <w:vAlign w:val="center"/>
          </w:tcPr>
          <w:p w14:paraId="2EAA8DB4" w14:textId="77777777" w:rsidR="00497D79" w:rsidRPr="00F0765E" w:rsidRDefault="00497D79" w:rsidP="00D424A3">
            <w:pPr>
              <w:pStyle w:val="LCATabla"/>
              <w:keepNext/>
              <w:keepLines/>
              <w:spacing w:line="360" w:lineRule="auto"/>
              <w:jc w:val="both"/>
              <w:rPr>
                <w:rFonts w:ascii="Arial" w:hAnsi="Arial" w:cs="Arial"/>
              </w:rPr>
            </w:pPr>
            <w:r w:rsidRPr="003708DA">
              <w:rPr>
                <w:rFonts w:ascii="Arial" w:hAnsi="Arial" w:cs="Arial"/>
                <w:sz w:val="20"/>
              </w:rPr>
              <w:t>Medición de la longitud de barrera realmente ejecutada.</w:t>
            </w:r>
            <w:r>
              <w:rPr>
                <w:rFonts w:ascii="Arial" w:hAnsi="Arial" w:cs="Arial"/>
              </w:rPr>
              <w:t xml:space="preserve"> </w:t>
            </w:r>
          </w:p>
        </w:tc>
      </w:tr>
      <w:tr w:rsidR="00497D79" w:rsidRPr="00E97EE4" w14:paraId="17717EF3" w14:textId="77777777" w:rsidTr="00375DBE">
        <w:tc>
          <w:tcPr>
            <w:tcW w:w="0" w:type="auto"/>
            <w:vAlign w:val="center"/>
          </w:tcPr>
          <w:p w14:paraId="23AA3C0E" w14:textId="77777777" w:rsidR="00497D79" w:rsidRPr="00F0765E" w:rsidRDefault="00497D79" w:rsidP="0037448F">
            <w:pPr>
              <w:pStyle w:val="LCATabla"/>
              <w:keepNext/>
              <w:keepLines/>
              <w:spacing w:line="360" w:lineRule="auto"/>
              <w:jc w:val="center"/>
              <w:rPr>
                <w:rFonts w:ascii="Arial" w:hAnsi="Arial" w:cs="Arial"/>
                <w:b/>
                <w:bCs/>
              </w:rPr>
            </w:pPr>
            <w:r w:rsidRPr="002A6C85">
              <w:rPr>
                <w:rFonts w:ascii="Arial" w:hAnsi="Arial" w:cs="Arial"/>
                <w:b/>
                <w:bCs/>
                <w:sz w:val="20"/>
              </w:rPr>
              <w:t>Abono</w:t>
            </w:r>
          </w:p>
        </w:tc>
        <w:tc>
          <w:tcPr>
            <w:tcW w:w="6073" w:type="dxa"/>
            <w:vAlign w:val="center"/>
          </w:tcPr>
          <w:p w14:paraId="54CEAA8B" w14:textId="77777777" w:rsidR="00497D79" w:rsidRPr="00F0765E" w:rsidRDefault="00497D79" w:rsidP="00D424A3">
            <w:pPr>
              <w:pStyle w:val="LCATabla"/>
              <w:keepNext/>
              <w:keepLines/>
              <w:spacing w:line="360" w:lineRule="auto"/>
              <w:jc w:val="both"/>
              <w:rPr>
                <w:rFonts w:ascii="Arial" w:hAnsi="Arial" w:cs="Arial"/>
              </w:rPr>
            </w:pPr>
            <w:r w:rsidRPr="003708DA">
              <w:rPr>
                <w:rFonts w:ascii="Arial" w:hAnsi="Arial" w:cs="Arial"/>
                <w:sz w:val="20"/>
              </w:rPr>
              <w:t>Se efectuará cuando se realice la aceptación</w:t>
            </w:r>
            <w:r w:rsidR="000E6461">
              <w:rPr>
                <w:rFonts w:ascii="Arial" w:hAnsi="Arial" w:cs="Arial"/>
                <w:sz w:val="20"/>
              </w:rPr>
              <w:t>.</w:t>
            </w:r>
          </w:p>
        </w:tc>
      </w:tr>
      <w:tr w:rsidR="00497D79" w:rsidRPr="00E97EE4" w14:paraId="3A67ABF0" w14:textId="77777777" w:rsidTr="00375DBE">
        <w:tc>
          <w:tcPr>
            <w:tcW w:w="0" w:type="auto"/>
            <w:vAlign w:val="center"/>
          </w:tcPr>
          <w:p w14:paraId="781FEBB1" w14:textId="77777777" w:rsidR="00497D79" w:rsidRPr="00F0765E" w:rsidRDefault="00497D79" w:rsidP="0037448F">
            <w:pPr>
              <w:pStyle w:val="LCATabla"/>
              <w:keepNext/>
              <w:keepLines/>
              <w:spacing w:line="360" w:lineRule="auto"/>
              <w:jc w:val="center"/>
              <w:rPr>
                <w:rFonts w:ascii="Arial" w:hAnsi="Arial" w:cs="Arial"/>
                <w:b/>
                <w:bCs/>
              </w:rPr>
            </w:pPr>
            <w:r w:rsidRPr="002A6C85">
              <w:rPr>
                <w:rFonts w:ascii="Arial" w:hAnsi="Arial" w:cs="Arial"/>
                <w:b/>
                <w:bCs/>
                <w:sz w:val="20"/>
              </w:rPr>
              <w:t>Criterios complementarios</w:t>
            </w:r>
          </w:p>
        </w:tc>
        <w:tc>
          <w:tcPr>
            <w:tcW w:w="6073" w:type="dxa"/>
            <w:vAlign w:val="center"/>
          </w:tcPr>
          <w:p w14:paraId="7BA1E713" w14:textId="77777777" w:rsidR="00497D79" w:rsidRPr="003708DA" w:rsidRDefault="00497D79" w:rsidP="00D424A3">
            <w:pPr>
              <w:pStyle w:val="LCATabla"/>
              <w:keepNext/>
              <w:keepLines/>
              <w:spacing w:line="360" w:lineRule="auto"/>
              <w:jc w:val="both"/>
              <w:rPr>
                <w:rFonts w:ascii="Arial" w:hAnsi="Arial" w:cs="Arial"/>
                <w:sz w:val="20"/>
              </w:rPr>
            </w:pPr>
            <w:r w:rsidRPr="003708DA">
              <w:rPr>
                <w:rFonts w:ascii="Arial" w:hAnsi="Arial" w:cs="Arial"/>
                <w:sz w:val="20"/>
              </w:rPr>
              <w:t xml:space="preserve">Incluye la realización de los anclajes o sistemas de </w:t>
            </w:r>
            <w:r w:rsidR="001A25FE">
              <w:rPr>
                <w:rFonts w:ascii="Arial" w:hAnsi="Arial" w:cs="Arial"/>
                <w:sz w:val="20"/>
              </w:rPr>
              <w:t>fijación que fueran necesarios.</w:t>
            </w:r>
          </w:p>
          <w:p w14:paraId="0D2AB4D3" w14:textId="77777777" w:rsidR="00497D79" w:rsidRPr="00F0765E" w:rsidRDefault="00497D79" w:rsidP="00D424A3">
            <w:pPr>
              <w:pStyle w:val="LCATabla"/>
              <w:keepNext/>
              <w:keepLines/>
              <w:spacing w:line="360" w:lineRule="auto"/>
              <w:jc w:val="both"/>
              <w:rPr>
                <w:rFonts w:cs="Arial"/>
              </w:rPr>
            </w:pPr>
            <w:r w:rsidRPr="003708DA">
              <w:rPr>
                <w:rFonts w:ascii="Arial" w:hAnsi="Arial" w:cs="Arial"/>
                <w:sz w:val="20"/>
              </w:rPr>
              <w:t>Incluye la carga, transporte y descarga a lugar de empleo, almacén o instalación de gestión de residuos de los elementos retirados.</w:t>
            </w:r>
          </w:p>
        </w:tc>
      </w:tr>
    </w:tbl>
    <w:p w14:paraId="363BF340" w14:textId="77777777" w:rsidR="00497D79" w:rsidRDefault="00497D79" w:rsidP="001B7C1E">
      <w:pPr>
        <w:rPr>
          <w:color w:val="7030A0"/>
        </w:rPr>
      </w:pPr>
    </w:p>
    <w:p w14:paraId="34EFA8A8" w14:textId="77777777" w:rsidR="006018C0" w:rsidRPr="006018C0" w:rsidRDefault="006018C0" w:rsidP="006018C0">
      <w:pPr>
        <w:rPr>
          <w:color w:val="FF0000"/>
        </w:rPr>
      </w:pPr>
    </w:p>
    <w:p w14:paraId="6925F6AB" w14:textId="77777777" w:rsidR="006018C0" w:rsidRPr="006018C0" w:rsidRDefault="006018C0" w:rsidP="006018C0">
      <w:pPr>
        <w:pStyle w:val="TITU1"/>
      </w:pPr>
      <w:bookmarkStart w:id="1559" w:name="_Toc404745"/>
      <w:r w:rsidRPr="0069682D">
        <w:lastRenderedPageBreak/>
        <w:t>Artículo 832. Colocacion de barrera de paso de mediana</w:t>
      </w:r>
      <w:bookmarkEnd w:id="1559"/>
    </w:p>
    <w:p w14:paraId="7074DC74" w14:textId="77777777" w:rsidR="006018C0" w:rsidRPr="0069682D" w:rsidRDefault="006018C0" w:rsidP="000313DD">
      <w:pPr>
        <w:pStyle w:val="TITU2"/>
      </w:pPr>
      <w:bookmarkStart w:id="1560" w:name="_Toc404746"/>
      <w:r w:rsidRPr="0069682D">
        <w:t>83</w:t>
      </w:r>
      <w:r w:rsidR="0069682D">
        <w:t>2</w:t>
      </w:r>
      <w:r w:rsidRPr="0069682D">
        <w:t>.1.</w:t>
      </w:r>
      <w:r w:rsidRPr="0069682D">
        <w:tab/>
        <w:t xml:space="preserve"> Definición y aplicación</w:t>
      </w:r>
      <w:bookmarkEnd w:id="1560"/>
    </w:p>
    <w:p w14:paraId="4E3A4247" w14:textId="77777777" w:rsidR="006018C0" w:rsidRPr="0069682D" w:rsidRDefault="006018C0" w:rsidP="006018C0">
      <w:pPr>
        <w:pStyle w:val="NORMAL12"/>
        <w:rPr>
          <w:lang w:val="es-ES"/>
        </w:rPr>
      </w:pPr>
      <w:r w:rsidRPr="0069682D">
        <w:rPr>
          <w:lang w:val="es-ES"/>
        </w:rPr>
        <w:t xml:space="preserve">Se define </w:t>
      </w:r>
      <w:r w:rsidR="007C2671" w:rsidRPr="0069682D">
        <w:rPr>
          <w:lang w:val="es-ES"/>
        </w:rPr>
        <w:t>como la colocación de los pasos de mediana definitivos una vez terminadas las actuaciones</w:t>
      </w:r>
      <w:r w:rsidRPr="0069682D">
        <w:rPr>
          <w:lang w:val="es-ES"/>
        </w:rPr>
        <w:t>.</w:t>
      </w:r>
    </w:p>
    <w:p w14:paraId="2C0D8C9D" w14:textId="77777777" w:rsidR="006018C0" w:rsidRPr="0069682D" w:rsidRDefault="006018C0" w:rsidP="006018C0">
      <w:pPr>
        <w:rPr>
          <w:rFonts w:ascii="Arial" w:hAnsi="Arial" w:cs="Arial"/>
          <w:lang w:eastAsia="en-US"/>
        </w:rPr>
      </w:pPr>
      <w:r w:rsidRPr="0069682D">
        <w:rPr>
          <w:rFonts w:ascii="Arial" w:hAnsi="Arial" w:cs="Arial"/>
          <w:lang w:eastAsia="en-US"/>
        </w:rPr>
        <w:t xml:space="preserve">Las prescripciones de este artículo </w:t>
      </w:r>
      <w:proofErr w:type="gramStart"/>
      <w:r w:rsidRPr="0069682D">
        <w:rPr>
          <w:rFonts w:ascii="Arial" w:hAnsi="Arial" w:cs="Arial"/>
          <w:lang w:eastAsia="en-US"/>
        </w:rPr>
        <w:t>son de aplicación</w:t>
      </w:r>
      <w:proofErr w:type="gramEnd"/>
      <w:r w:rsidRPr="0069682D">
        <w:rPr>
          <w:rFonts w:ascii="Arial" w:hAnsi="Arial" w:cs="Arial"/>
          <w:lang w:eastAsia="en-US"/>
        </w:rPr>
        <w:t xml:space="preserve"> a las unidades de obra siguientes:</w:t>
      </w:r>
    </w:p>
    <w:p w14:paraId="1ED82F51" w14:textId="77777777" w:rsidR="006018C0" w:rsidRPr="0069682D" w:rsidRDefault="006018C0" w:rsidP="006018C0">
      <w:pPr>
        <w:ind w:left="2127" w:hanging="2127"/>
        <w:rPr>
          <w:rFonts w:ascii="Calibri" w:hAnsi="Calibri"/>
        </w:rPr>
      </w:pPr>
      <w:r w:rsidRPr="0069682D">
        <w:rPr>
          <w:rFonts w:ascii="Calibri" w:hAnsi="Calibri"/>
        </w:rPr>
        <w:t xml:space="preserve"> </w:t>
      </w:r>
    </w:p>
    <w:tbl>
      <w:tblPr>
        <w:tblW w:w="5000" w:type="pct"/>
        <w:tblCellMar>
          <w:left w:w="70" w:type="dxa"/>
          <w:right w:w="70" w:type="dxa"/>
        </w:tblCellMar>
        <w:tblLook w:val="04A0" w:firstRow="1" w:lastRow="0" w:firstColumn="1" w:lastColumn="0" w:noHBand="0" w:noVBand="1"/>
      </w:tblPr>
      <w:tblGrid>
        <w:gridCol w:w="1207"/>
        <w:gridCol w:w="714"/>
        <w:gridCol w:w="7999"/>
      </w:tblGrid>
      <w:tr w:rsidR="007C2671" w:rsidRPr="0069682D" w14:paraId="48338250" w14:textId="77777777" w:rsidTr="00915CF6">
        <w:trPr>
          <w:trHeight w:val="419"/>
        </w:trPr>
        <w:tc>
          <w:tcPr>
            <w:tcW w:w="608" w:type="pct"/>
            <w:noWrap/>
          </w:tcPr>
          <w:p w14:paraId="669BE674" w14:textId="77777777" w:rsidR="007C2671" w:rsidRPr="00F476CB" w:rsidRDefault="007C2671" w:rsidP="007C2671">
            <w:pPr>
              <w:rPr>
                <w:rFonts w:ascii="Calibri" w:hAnsi="Calibri"/>
              </w:rPr>
            </w:pPr>
            <w:r w:rsidRPr="00F476CB">
              <w:rPr>
                <w:rFonts w:ascii="Calibri" w:hAnsi="Calibri"/>
              </w:rPr>
              <w:t xml:space="preserve">600.0003N         </w:t>
            </w:r>
          </w:p>
        </w:tc>
        <w:tc>
          <w:tcPr>
            <w:tcW w:w="360" w:type="pct"/>
            <w:noWrap/>
          </w:tcPr>
          <w:p w14:paraId="05E4DA8B" w14:textId="77777777" w:rsidR="007C2671" w:rsidRPr="00F476CB" w:rsidRDefault="007C2671" w:rsidP="007C2671">
            <w:pPr>
              <w:rPr>
                <w:rFonts w:ascii="Calibri" w:hAnsi="Calibri"/>
              </w:rPr>
            </w:pPr>
            <w:proofErr w:type="spellStart"/>
            <w:r w:rsidRPr="00F476CB">
              <w:rPr>
                <w:rFonts w:ascii="Calibri" w:hAnsi="Calibri"/>
              </w:rPr>
              <w:t>ud</w:t>
            </w:r>
            <w:proofErr w:type="spellEnd"/>
          </w:p>
        </w:tc>
        <w:tc>
          <w:tcPr>
            <w:tcW w:w="4032" w:type="pct"/>
          </w:tcPr>
          <w:p w14:paraId="37A0B746" w14:textId="77777777" w:rsidR="007C2671" w:rsidRPr="00F476CB" w:rsidRDefault="007C2671" w:rsidP="007C2671">
            <w:pPr>
              <w:jc w:val="both"/>
              <w:rPr>
                <w:rFonts w:ascii="Calibri" w:hAnsi="Calibri"/>
              </w:rPr>
            </w:pPr>
            <w:r w:rsidRPr="00F476CB">
              <w:rPr>
                <w:rFonts w:ascii="Calibri" w:hAnsi="Calibri"/>
              </w:rPr>
              <w:t>COLOCACIÓN DE BARRERA PASO DE MEDIANA DESPUES DE LOS DESVÍOS PROPUESTOS, INCLUSO RETIRADA PREVIA, CUSTODIA Y REPOSICIÓN, CARGA Y TRANSPORTE A LUGAR DE ACOPIO Y A LUGAR DE COLOCACIÓN DEFINITVA, INCLUSO MATERIALES Y MEDIOS AUXILIARES. TOTALMENTE TERMINADA.</w:t>
            </w:r>
          </w:p>
          <w:p w14:paraId="2BA3DBC9" w14:textId="77777777" w:rsidR="007C2671" w:rsidRPr="00F476CB" w:rsidRDefault="007C2671" w:rsidP="007C2671">
            <w:pPr>
              <w:jc w:val="both"/>
              <w:rPr>
                <w:rFonts w:ascii="Calibri" w:hAnsi="Calibri"/>
              </w:rPr>
            </w:pPr>
          </w:p>
        </w:tc>
      </w:tr>
    </w:tbl>
    <w:p w14:paraId="7B1B1E29" w14:textId="77777777" w:rsidR="006018C0" w:rsidRPr="0069682D" w:rsidRDefault="0069682D" w:rsidP="000313DD">
      <w:pPr>
        <w:pStyle w:val="TITU2"/>
      </w:pPr>
      <w:bookmarkStart w:id="1561" w:name="_Toc404747"/>
      <w:r>
        <w:t>832</w:t>
      </w:r>
      <w:r w:rsidR="006018C0" w:rsidRPr="0069682D">
        <w:t>.2.</w:t>
      </w:r>
      <w:r w:rsidR="006018C0" w:rsidRPr="0069682D">
        <w:tab/>
        <w:t xml:space="preserve"> Materiales</w:t>
      </w:r>
      <w:bookmarkEnd w:id="1561"/>
    </w:p>
    <w:p w14:paraId="5A6108B3" w14:textId="77777777" w:rsidR="007C2671" w:rsidRDefault="007C2671" w:rsidP="007C2671">
      <w:pPr>
        <w:pStyle w:val="NORMAL12"/>
        <w:rPr>
          <w:lang w:val="es-ES"/>
        </w:rPr>
      </w:pPr>
      <w:r w:rsidRPr="0069682D">
        <w:rPr>
          <w:lang w:val="es-ES"/>
        </w:rPr>
        <w:t>La barrera instalada es la que está definida en el proyecto como definitiva para pasos de mediana definida en el artículo correspondiente.</w:t>
      </w:r>
    </w:p>
    <w:p w14:paraId="579793F7" w14:textId="77777777" w:rsidR="0069682D" w:rsidRPr="0069682D" w:rsidRDefault="0069682D" w:rsidP="007C2671">
      <w:pPr>
        <w:pStyle w:val="NORMAL12"/>
        <w:rPr>
          <w:lang w:val="es-ES"/>
        </w:rPr>
      </w:pPr>
      <w:r>
        <w:rPr>
          <w:lang w:val="es-ES"/>
        </w:rPr>
        <w:t>No es objeto de medición y abono en este artículo.</w:t>
      </w:r>
    </w:p>
    <w:p w14:paraId="6D145BDF" w14:textId="77777777" w:rsidR="006018C0" w:rsidRPr="0069682D" w:rsidRDefault="006018C0" w:rsidP="000313DD">
      <w:pPr>
        <w:pStyle w:val="TITU2"/>
      </w:pPr>
      <w:bookmarkStart w:id="1562" w:name="_Toc404748"/>
      <w:r w:rsidRPr="0069682D">
        <w:t>83</w:t>
      </w:r>
      <w:r w:rsidR="0069682D">
        <w:t>2</w:t>
      </w:r>
      <w:r w:rsidRPr="0069682D">
        <w:t>.3.</w:t>
      </w:r>
      <w:r w:rsidRPr="0069682D">
        <w:tab/>
        <w:t xml:space="preserve"> Ejecución de las obras</w:t>
      </w:r>
      <w:bookmarkEnd w:id="1562"/>
    </w:p>
    <w:p w14:paraId="41155E7E" w14:textId="77777777" w:rsidR="007C2671" w:rsidRPr="0069682D" w:rsidRDefault="007C2671" w:rsidP="007C2671">
      <w:pPr>
        <w:pStyle w:val="NORMAL12"/>
        <w:rPr>
          <w:lang w:val="es-ES"/>
        </w:rPr>
      </w:pPr>
      <w:r w:rsidRPr="0069682D">
        <w:rPr>
          <w:lang w:val="es-ES"/>
        </w:rPr>
        <w:t xml:space="preserve">Se empleará la maquinaria necesaria para el traslado hasta y desde el lugar de acopio a su punto de </w:t>
      </w:r>
      <w:r w:rsidR="00217216" w:rsidRPr="0069682D">
        <w:rPr>
          <w:lang w:val="es-ES"/>
        </w:rPr>
        <w:t>instalación</w:t>
      </w:r>
      <w:r w:rsidRPr="0069682D">
        <w:rPr>
          <w:lang w:val="es-ES"/>
        </w:rPr>
        <w:t xml:space="preserve"> definitivo.</w:t>
      </w:r>
    </w:p>
    <w:p w14:paraId="6BD6D193" w14:textId="77777777" w:rsidR="007C2671" w:rsidRPr="0069682D" w:rsidRDefault="007C2671" w:rsidP="007C2671">
      <w:pPr>
        <w:pStyle w:val="NORMAL12"/>
        <w:rPr>
          <w:lang w:val="es-ES"/>
        </w:rPr>
      </w:pPr>
      <w:r w:rsidRPr="0069682D">
        <w:rPr>
          <w:lang w:val="es-ES"/>
        </w:rPr>
        <w:t>El contratista suministrará la maquinaria y elementos necesarios para el transporte e instalación de la barrera.</w:t>
      </w:r>
    </w:p>
    <w:p w14:paraId="2B32F162" w14:textId="77777777" w:rsidR="007C2671" w:rsidRPr="0069682D" w:rsidRDefault="007C2671" w:rsidP="007C2671">
      <w:pPr>
        <w:pStyle w:val="NORMAL12"/>
        <w:rPr>
          <w:lang w:val="es-ES"/>
        </w:rPr>
      </w:pPr>
      <w:r w:rsidRPr="0069682D">
        <w:rPr>
          <w:lang w:val="es-ES"/>
        </w:rPr>
        <w:t>En todo caso se debe se debe cumplir con las prescripciones establecidas en el artículo 704 del PG-3</w:t>
      </w:r>
    </w:p>
    <w:p w14:paraId="5C63158A" w14:textId="77777777" w:rsidR="006018C0" w:rsidRPr="0069682D" w:rsidRDefault="006018C0" w:rsidP="000313DD">
      <w:pPr>
        <w:pStyle w:val="TITU2"/>
      </w:pPr>
      <w:bookmarkStart w:id="1563" w:name="_Toc404749"/>
      <w:r w:rsidRPr="0069682D">
        <w:t>83</w:t>
      </w:r>
      <w:r w:rsidR="0069682D">
        <w:t>2</w:t>
      </w:r>
      <w:r w:rsidRPr="0069682D">
        <w:t>.4.</w:t>
      </w:r>
      <w:r w:rsidRPr="0069682D">
        <w:tab/>
        <w:t xml:space="preserve"> Recepción</w:t>
      </w:r>
      <w:bookmarkEnd w:id="1563"/>
    </w:p>
    <w:p w14:paraId="603E4046" w14:textId="77777777" w:rsidR="007C2671" w:rsidRPr="0069682D" w:rsidRDefault="007C2671" w:rsidP="007C2671">
      <w:pPr>
        <w:pStyle w:val="NORMAL12"/>
        <w:rPr>
          <w:lang w:val="es-ES"/>
        </w:rPr>
      </w:pPr>
      <w:r w:rsidRPr="0069682D">
        <w:rPr>
          <w:lang w:val="es-ES"/>
        </w:rPr>
        <w:t xml:space="preserve">La barrera instalada debe ser la indicada en el proyecto y debe cumplir </w:t>
      </w:r>
      <w:r w:rsidR="0069682D" w:rsidRPr="0069682D">
        <w:rPr>
          <w:lang w:val="es-ES"/>
        </w:rPr>
        <w:t>con las prescripciones establecidas para la misma en el artículo de pliego correspondiente y el artículo 704 del PG-3</w:t>
      </w:r>
    </w:p>
    <w:p w14:paraId="4F34A1E8" w14:textId="77777777" w:rsidR="0069682D" w:rsidRPr="0069682D" w:rsidRDefault="0069682D" w:rsidP="007C2671">
      <w:pPr>
        <w:pStyle w:val="NORMAL12"/>
        <w:rPr>
          <w:lang w:val="es-ES"/>
        </w:rPr>
      </w:pPr>
      <w:r w:rsidRPr="0069682D">
        <w:rPr>
          <w:lang w:val="es-ES"/>
        </w:rPr>
        <w:t>No se aceptará en ningún caso que la barrera no sea la indicada y que no quede instalada correctamente. Todos los gastos para la subsanación serán por cuenta del contratista</w:t>
      </w:r>
    </w:p>
    <w:p w14:paraId="31343160" w14:textId="77777777" w:rsidR="006018C0" w:rsidRDefault="006018C0" w:rsidP="000313DD">
      <w:pPr>
        <w:pStyle w:val="TITU2"/>
      </w:pPr>
      <w:r w:rsidRPr="0069682D">
        <w:br w:type="column"/>
      </w:r>
      <w:bookmarkStart w:id="1564" w:name="_Toc404750"/>
      <w:r w:rsidR="0069682D">
        <w:t>832</w:t>
      </w:r>
      <w:r w:rsidRPr="0069682D">
        <w:t xml:space="preserve">.5. </w:t>
      </w:r>
      <w:r w:rsidRPr="0069682D">
        <w:tab/>
        <w:t>Control de calidad</w:t>
      </w:r>
      <w:bookmarkEnd w:id="1564"/>
    </w:p>
    <w:p w14:paraId="3A56FF86" w14:textId="77777777" w:rsidR="0069682D" w:rsidRPr="0069682D" w:rsidRDefault="0069682D" w:rsidP="0069682D">
      <w:pPr>
        <w:pStyle w:val="NORMAL12"/>
        <w:rPr>
          <w:lang w:val="es-ES"/>
        </w:rPr>
      </w:pPr>
      <w:r>
        <w:rPr>
          <w:lang w:val="es-ES"/>
        </w:rPr>
        <w:t>Se comprobará que la barrera queda completamente instalada según las prescripciones establecidas en el artículo 704 b del presente pliego y en el artículo 704 del presente pliego y del PG-3</w:t>
      </w:r>
    </w:p>
    <w:p w14:paraId="369594BE" w14:textId="77777777" w:rsidR="006018C0" w:rsidRPr="0069682D" w:rsidRDefault="006018C0" w:rsidP="000313DD">
      <w:pPr>
        <w:pStyle w:val="TITU2"/>
      </w:pPr>
      <w:bookmarkStart w:id="1565" w:name="_Toc404751"/>
      <w:r w:rsidRPr="0069682D">
        <w:t>83</w:t>
      </w:r>
      <w:r w:rsidR="005E224E">
        <w:t>2</w:t>
      </w:r>
      <w:r w:rsidRPr="0069682D">
        <w:t xml:space="preserve">.6. </w:t>
      </w:r>
      <w:r w:rsidRPr="0069682D">
        <w:tab/>
        <w:t>Medición y abono</w:t>
      </w:r>
      <w:bookmarkEnd w:id="1565"/>
    </w:p>
    <w:p w14:paraId="2378076E" w14:textId="77777777" w:rsidR="006018C0" w:rsidRPr="0069682D" w:rsidRDefault="006018C0" w:rsidP="006018C0">
      <w:pPr>
        <w:pStyle w:val="NORMAL12"/>
        <w:rPr>
          <w:lang w:val="es-ES"/>
        </w:rPr>
      </w:pPr>
      <w:r w:rsidRPr="0069682D">
        <w:rPr>
          <w:lang w:val="es-ES"/>
        </w:rPr>
        <w:t>La medición y abono de la unidad</w:t>
      </w:r>
      <w:r w:rsidR="0069682D" w:rsidRPr="0069682D">
        <w:rPr>
          <w:lang w:val="es-ES"/>
        </w:rPr>
        <w:t xml:space="preserve"> de colocación de barrera se realizará según los </w:t>
      </w:r>
      <w:r w:rsidRPr="0069682D">
        <w:rPr>
          <w:lang w:val="es-ES"/>
        </w:rPr>
        <w:t>criterios siguientes: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8"/>
        <w:gridCol w:w="6073"/>
      </w:tblGrid>
      <w:tr w:rsidR="006018C0" w:rsidRPr="0069682D" w14:paraId="6620CC25" w14:textId="77777777" w:rsidTr="00915CF6">
        <w:tc>
          <w:tcPr>
            <w:tcW w:w="0" w:type="auto"/>
            <w:vAlign w:val="center"/>
          </w:tcPr>
          <w:p w14:paraId="4EC1C899" w14:textId="77777777" w:rsidR="006018C0" w:rsidRPr="0069682D" w:rsidRDefault="006018C0" w:rsidP="00915CF6">
            <w:pPr>
              <w:pStyle w:val="LCATabla"/>
              <w:keepNext/>
              <w:keepLines/>
              <w:spacing w:line="360" w:lineRule="auto"/>
              <w:jc w:val="center"/>
              <w:rPr>
                <w:rFonts w:ascii="Arial" w:hAnsi="Arial" w:cs="Arial"/>
                <w:b/>
                <w:bCs/>
              </w:rPr>
            </w:pPr>
            <w:r w:rsidRPr="0069682D">
              <w:rPr>
                <w:rFonts w:ascii="Arial" w:hAnsi="Arial" w:cs="Arial"/>
                <w:b/>
                <w:bCs/>
                <w:sz w:val="20"/>
              </w:rPr>
              <w:t>Unidad de medida</w:t>
            </w:r>
          </w:p>
        </w:tc>
        <w:tc>
          <w:tcPr>
            <w:tcW w:w="6073" w:type="dxa"/>
            <w:vAlign w:val="center"/>
          </w:tcPr>
          <w:p w14:paraId="7B3973EA" w14:textId="77777777" w:rsidR="006018C0" w:rsidRPr="0069682D" w:rsidRDefault="0069682D" w:rsidP="00D424A3">
            <w:pPr>
              <w:pStyle w:val="LCATabla"/>
              <w:keepNext/>
              <w:keepLines/>
              <w:spacing w:line="360" w:lineRule="auto"/>
              <w:jc w:val="both"/>
              <w:rPr>
                <w:rFonts w:ascii="Arial" w:hAnsi="Arial" w:cs="Arial"/>
              </w:rPr>
            </w:pPr>
            <w:r w:rsidRPr="0069682D">
              <w:rPr>
                <w:rFonts w:ascii="Arial" w:hAnsi="Arial" w:cs="Arial"/>
                <w:sz w:val="20"/>
              </w:rPr>
              <w:t>Unidad</w:t>
            </w:r>
            <w:r w:rsidR="006018C0" w:rsidRPr="0069682D">
              <w:rPr>
                <w:rFonts w:ascii="Arial" w:hAnsi="Arial" w:cs="Arial"/>
                <w:sz w:val="20"/>
              </w:rPr>
              <w:t xml:space="preserve"> (</w:t>
            </w:r>
            <w:proofErr w:type="spellStart"/>
            <w:r w:rsidR="00217216" w:rsidRPr="0069682D">
              <w:rPr>
                <w:rFonts w:ascii="Arial" w:hAnsi="Arial" w:cs="Arial"/>
                <w:sz w:val="20"/>
              </w:rPr>
              <w:t>ud</w:t>
            </w:r>
            <w:r w:rsidR="006018C0" w:rsidRPr="0069682D">
              <w:rPr>
                <w:rFonts w:ascii="Arial" w:hAnsi="Arial" w:cs="Arial"/>
                <w:sz w:val="20"/>
              </w:rPr>
              <w:t>.</w:t>
            </w:r>
            <w:proofErr w:type="spellEnd"/>
            <w:r w:rsidR="006018C0" w:rsidRPr="0069682D">
              <w:rPr>
                <w:rFonts w:ascii="Arial" w:hAnsi="Arial" w:cs="Arial"/>
                <w:sz w:val="20"/>
              </w:rPr>
              <w:t>)</w:t>
            </w:r>
          </w:p>
        </w:tc>
      </w:tr>
      <w:tr w:rsidR="006018C0" w:rsidRPr="0069682D" w14:paraId="03CC07CB" w14:textId="77777777" w:rsidTr="00915CF6">
        <w:tc>
          <w:tcPr>
            <w:tcW w:w="0" w:type="auto"/>
            <w:vAlign w:val="center"/>
          </w:tcPr>
          <w:p w14:paraId="13449643" w14:textId="77777777" w:rsidR="006018C0" w:rsidRPr="0069682D" w:rsidRDefault="006018C0" w:rsidP="00915CF6">
            <w:pPr>
              <w:pStyle w:val="LCATabla"/>
              <w:keepNext/>
              <w:keepLines/>
              <w:spacing w:line="360" w:lineRule="auto"/>
              <w:jc w:val="center"/>
              <w:rPr>
                <w:rFonts w:ascii="Arial" w:hAnsi="Arial" w:cs="Arial"/>
                <w:b/>
                <w:bCs/>
              </w:rPr>
            </w:pPr>
            <w:r w:rsidRPr="0069682D">
              <w:rPr>
                <w:rFonts w:ascii="Arial" w:hAnsi="Arial" w:cs="Arial"/>
                <w:b/>
                <w:bCs/>
                <w:sz w:val="20"/>
              </w:rPr>
              <w:t>Grado de precisión</w:t>
            </w:r>
          </w:p>
        </w:tc>
        <w:tc>
          <w:tcPr>
            <w:tcW w:w="6073" w:type="dxa"/>
            <w:vAlign w:val="center"/>
          </w:tcPr>
          <w:p w14:paraId="4945549E" w14:textId="77777777" w:rsidR="006018C0" w:rsidRPr="0069682D" w:rsidRDefault="0069682D" w:rsidP="00D424A3">
            <w:pPr>
              <w:pStyle w:val="LCATabla"/>
              <w:keepNext/>
              <w:keepLines/>
              <w:spacing w:line="360" w:lineRule="auto"/>
              <w:jc w:val="both"/>
              <w:rPr>
                <w:rFonts w:ascii="Arial" w:hAnsi="Arial" w:cs="Arial"/>
              </w:rPr>
            </w:pPr>
            <w:r w:rsidRPr="0069682D">
              <w:rPr>
                <w:rFonts w:ascii="Arial" w:hAnsi="Arial" w:cs="Arial"/>
                <w:sz w:val="20"/>
              </w:rPr>
              <w:t>Número entero</w:t>
            </w:r>
          </w:p>
        </w:tc>
      </w:tr>
      <w:tr w:rsidR="006018C0" w:rsidRPr="0069682D" w14:paraId="5981B277" w14:textId="77777777" w:rsidTr="00915CF6">
        <w:tc>
          <w:tcPr>
            <w:tcW w:w="0" w:type="auto"/>
            <w:vAlign w:val="center"/>
          </w:tcPr>
          <w:p w14:paraId="4553BAC8" w14:textId="77777777" w:rsidR="006018C0" w:rsidRPr="0069682D" w:rsidRDefault="006018C0" w:rsidP="00915CF6">
            <w:pPr>
              <w:pStyle w:val="LCATabla"/>
              <w:keepNext/>
              <w:keepLines/>
              <w:spacing w:line="360" w:lineRule="auto"/>
              <w:jc w:val="center"/>
              <w:rPr>
                <w:rFonts w:ascii="Arial" w:hAnsi="Arial" w:cs="Arial"/>
                <w:b/>
                <w:bCs/>
              </w:rPr>
            </w:pPr>
            <w:r w:rsidRPr="0069682D">
              <w:rPr>
                <w:rFonts w:ascii="Arial" w:hAnsi="Arial" w:cs="Arial"/>
                <w:b/>
                <w:bCs/>
                <w:sz w:val="20"/>
              </w:rPr>
              <w:t>Forma de medición</w:t>
            </w:r>
          </w:p>
        </w:tc>
        <w:tc>
          <w:tcPr>
            <w:tcW w:w="6073" w:type="dxa"/>
            <w:vAlign w:val="center"/>
          </w:tcPr>
          <w:p w14:paraId="383161CC" w14:textId="77777777" w:rsidR="006018C0" w:rsidRPr="0069682D" w:rsidRDefault="0069682D" w:rsidP="00D424A3">
            <w:pPr>
              <w:pStyle w:val="LCATabla"/>
              <w:keepNext/>
              <w:keepLines/>
              <w:spacing w:line="360" w:lineRule="auto"/>
              <w:jc w:val="both"/>
              <w:rPr>
                <w:rFonts w:ascii="Arial" w:hAnsi="Arial" w:cs="Arial"/>
              </w:rPr>
            </w:pPr>
            <w:r w:rsidRPr="0069682D">
              <w:rPr>
                <w:rFonts w:ascii="Arial" w:hAnsi="Arial" w:cs="Arial"/>
                <w:sz w:val="20"/>
              </w:rPr>
              <w:t>Unidad de paso de mediana realmente colocado</w:t>
            </w:r>
          </w:p>
        </w:tc>
      </w:tr>
      <w:tr w:rsidR="006018C0" w:rsidRPr="0069682D" w14:paraId="28D82A19" w14:textId="77777777" w:rsidTr="00915CF6">
        <w:tc>
          <w:tcPr>
            <w:tcW w:w="0" w:type="auto"/>
            <w:vAlign w:val="center"/>
          </w:tcPr>
          <w:p w14:paraId="5FA85386" w14:textId="77777777" w:rsidR="006018C0" w:rsidRPr="0069682D" w:rsidRDefault="006018C0" w:rsidP="00915CF6">
            <w:pPr>
              <w:pStyle w:val="LCATabla"/>
              <w:keepNext/>
              <w:keepLines/>
              <w:spacing w:line="360" w:lineRule="auto"/>
              <w:jc w:val="center"/>
              <w:rPr>
                <w:rFonts w:ascii="Arial" w:hAnsi="Arial" w:cs="Arial"/>
                <w:b/>
                <w:bCs/>
              </w:rPr>
            </w:pPr>
            <w:r w:rsidRPr="0069682D">
              <w:rPr>
                <w:rFonts w:ascii="Arial" w:hAnsi="Arial" w:cs="Arial"/>
                <w:b/>
                <w:bCs/>
                <w:sz w:val="20"/>
              </w:rPr>
              <w:t>Abono</w:t>
            </w:r>
          </w:p>
        </w:tc>
        <w:tc>
          <w:tcPr>
            <w:tcW w:w="6073" w:type="dxa"/>
            <w:vAlign w:val="center"/>
          </w:tcPr>
          <w:p w14:paraId="579922C8" w14:textId="77777777" w:rsidR="006018C0" w:rsidRPr="0069682D" w:rsidRDefault="006018C0" w:rsidP="00D424A3">
            <w:pPr>
              <w:pStyle w:val="LCATabla"/>
              <w:keepNext/>
              <w:keepLines/>
              <w:spacing w:line="360" w:lineRule="auto"/>
              <w:jc w:val="both"/>
              <w:rPr>
                <w:rFonts w:ascii="Arial" w:hAnsi="Arial" w:cs="Arial"/>
              </w:rPr>
            </w:pPr>
            <w:r w:rsidRPr="0069682D">
              <w:rPr>
                <w:rFonts w:ascii="Arial" w:hAnsi="Arial" w:cs="Arial"/>
                <w:sz w:val="20"/>
              </w:rPr>
              <w:t>Se efectuará cuando se realice la aceptación</w:t>
            </w:r>
          </w:p>
        </w:tc>
      </w:tr>
      <w:tr w:rsidR="006018C0" w:rsidRPr="0069682D" w14:paraId="5EB40D92" w14:textId="77777777" w:rsidTr="00915CF6">
        <w:tc>
          <w:tcPr>
            <w:tcW w:w="0" w:type="auto"/>
            <w:vAlign w:val="center"/>
          </w:tcPr>
          <w:p w14:paraId="07D3D9F3" w14:textId="77777777" w:rsidR="006018C0" w:rsidRPr="0069682D" w:rsidRDefault="006018C0" w:rsidP="00915CF6">
            <w:pPr>
              <w:pStyle w:val="LCATabla"/>
              <w:keepNext/>
              <w:keepLines/>
              <w:spacing w:line="360" w:lineRule="auto"/>
              <w:jc w:val="center"/>
              <w:rPr>
                <w:rFonts w:ascii="Arial" w:hAnsi="Arial" w:cs="Arial"/>
                <w:b/>
                <w:bCs/>
              </w:rPr>
            </w:pPr>
            <w:r w:rsidRPr="0069682D">
              <w:rPr>
                <w:rFonts w:ascii="Arial" w:hAnsi="Arial" w:cs="Arial"/>
                <w:b/>
                <w:bCs/>
                <w:sz w:val="20"/>
              </w:rPr>
              <w:t>Criterios complementarios</w:t>
            </w:r>
          </w:p>
        </w:tc>
        <w:tc>
          <w:tcPr>
            <w:tcW w:w="6073" w:type="dxa"/>
            <w:vAlign w:val="center"/>
          </w:tcPr>
          <w:p w14:paraId="655D0316" w14:textId="77777777" w:rsidR="006018C0" w:rsidRPr="0069682D" w:rsidRDefault="0069682D" w:rsidP="00D424A3">
            <w:pPr>
              <w:pStyle w:val="LCATabla"/>
              <w:keepNext/>
              <w:keepLines/>
              <w:spacing w:line="360" w:lineRule="auto"/>
              <w:jc w:val="both"/>
              <w:rPr>
                <w:rFonts w:ascii="Arial" w:hAnsi="Arial" w:cs="Arial"/>
                <w:sz w:val="20"/>
              </w:rPr>
            </w:pPr>
            <w:r w:rsidRPr="0069682D">
              <w:rPr>
                <w:rFonts w:ascii="Arial" w:hAnsi="Arial" w:cs="Arial"/>
                <w:sz w:val="20"/>
              </w:rPr>
              <w:t>El precio de la unidad incluye todos los medios y materiales necesarios para la correcta instalación de la barrera.</w:t>
            </w:r>
          </w:p>
          <w:p w14:paraId="3C4C4B98" w14:textId="77777777" w:rsidR="0069682D" w:rsidRPr="0069682D" w:rsidRDefault="00217216" w:rsidP="00D424A3">
            <w:pPr>
              <w:pStyle w:val="LCATabla"/>
              <w:keepNext/>
              <w:keepLines/>
              <w:spacing w:line="360" w:lineRule="auto"/>
              <w:jc w:val="both"/>
              <w:rPr>
                <w:rFonts w:ascii="Arial" w:hAnsi="Arial" w:cs="Arial"/>
                <w:sz w:val="20"/>
              </w:rPr>
            </w:pPr>
            <w:r w:rsidRPr="0069682D">
              <w:rPr>
                <w:rFonts w:ascii="Arial" w:hAnsi="Arial" w:cs="Arial"/>
                <w:sz w:val="20"/>
              </w:rPr>
              <w:t>Toda la maquinaria</w:t>
            </w:r>
            <w:r w:rsidR="0069682D" w:rsidRPr="0069682D">
              <w:rPr>
                <w:rFonts w:ascii="Arial" w:hAnsi="Arial" w:cs="Arial"/>
                <w:sz w:val="20"/>
              </w:rPr>
              <w:t xml:space="preserve"> y medios necesarios para el traslado e instalación de la barrera.</w:t>
            </w:r>
          </w:p>
          <w:p w14:paraId="55FCCF93" w14:textId="77777777" w:rsidR="0069682D" w:rsidRPr="0069682D" w:rsidRDefault="0069682D" w:rsidP="00D424A3">
            <w:pPr>
              <w:pStyle w:val="LCATabla"/>
              <w:keepNext/>
              <w:keepLines/>
              <w:spacing w:line="360" w:lineRule="auto"/>
              <w:jc w:val="both"/>
              <w:rPr>
                <w:rFonts w:cs="Arial"/>
              </w:rPr>
            </w:pPr>
            <w:r w:rsidRPr="0069682D">
              <w:rPr>
                <w:rFonts w:ascii="Arial" w:hAnsi="Arial" w:cs="Arial"/>
                <w:sz w:val="20"/>
              </w:rPr>
              <w:t xml:space="preserve">El coste de la barrera no está </w:t>
            </w:r>
            <w:r w:rsidR="00217216" w:rsidRPr="0069682D">
              <w:rPr>
                <w:rFonts w:ascii="Arial" w:hAnsi="Arial" w:cs="Arial"/>
                <w:sz w:val="20"/>
              </w:rPr>
              <w:t>incluido</w:t>
            </w:r>
            <w:r w:rsidRPr="0069682D">
              <w:rPr>
                <w:rFonts w:ascii="Arial" w:hAnsi="Arial" w:cs="Arial"/>
                <w:sz w:val="20"/>
              </w:rPr>
              <w:t xml:space="preserve"> en el precio. La medición y abono de la barrera se realizará según el artículo 704b del presente pliego</w:t>
            </w:r>
          </w:p>
        </w:tc>
      </w:tr>
    </w:tbl>
    <w:p w14:paraId="3C798BB5" w14:textId="77777777" w:rsidR="006018C0" w:rsidRPr="006018C0" w:rsidRDefault="006018C0" w:rsidP="006018C0">
      <w:pPr>
        <w:tabs>
          <w:tab w:val="left" w:pos="993"/>
          <w:tab w:val="left" w:pos="1985"/>
          <w:tab w:val="left" w:pos="2268"/>
        </w:tabs>
        <w:suppressAutoHyphens/>
        <w:rPr>
          <w:rFonts w:cs="Arial"/>
          <w:color w:val="FF0000"/>
          <w:lang w:val="es-ES_tradnl"/>
        </w:rPr>
      </w:pPr>
    </w:p>
    <w:p w14:paraId="1DF16749" w14:textId="77777777" w:rsidR="006018C0" w:rsidRPr="006018C0" w:rsidRDefault="00D76061" w:rsidP="00D76061">
      <w:pPr>
        <w:pStyle w:val="NORMAL12"/>
        <w:rPr>
          <w:color w:val="FF0000"/>
        </w:rPr>
      </w:pPr>
      <w:r w:rsidRPr="006018C0">
        <w:rPr>
          <w:color w:val="FF0000"/>
        </w:rPr>
        <w:t xml:space="preserve"> </w:t>
      </w:r>
    </w:p>
    <w:p w14:paraId="1D86F7BB" w14:textId="77777777" w:rsidR="002D4F98" w:rsidRDefault="002D4F98" w:rsidP="001B7C1E">
      <w:pPr>
        <w:rPr>
          <w:color w:val="7030A0"/>
        </w:rPr>
        <w:sectPr w:rsidR="002D4F98" w:rsidSect="002D4F98">
          <w:footerReference w:type="first" r:id="rId59"/>
          <w:pgSz w:w="23814" w:h="16840" w:orient="landscape" w:code="8"/>
          <w:pgMar w:top="992" w:right="851" w:bottom="1418" w:left="851" w:header="567" w:footer="1021" w:gutter="1418"/>
          <w:cols w:num="2" w:space="1134"/>
        </w:sectPr>
      </w:pPr>
    </w:p>
    <w:p w14:paraId="5DDA948D" w14:textId="77777777" w:rsidR="00583ADC" w:rsidRDefault="00583ADC" w:rsidP="00583ADC">
      <w:pPr>
        <w:pStyle w:val="TtuloPortada"/>
        <w:jc w:val="right"/>
        <w:outlineLvl w:val="0"/>
      </w:pPr>
      <w:bookmarkStart w:id="1566" w:name="_Toc530001183"/>
      <w:bookmarkStart w:id="1567" w:name="_Toc206382301"/>
      <w:bookmarkStart w:id="1568" w:name="_Toc277523487"/>
      <w:bookmarkEnd w:id="1543"/>
      <w:bookmarkEnd w:id="1544"/>
      <w:r>
        <w:rPr>
          <w:rFonts w:ascii="Arial" w:hAnsi="Arial" w:cs="Arial"/>
        </w:rPr>
        <w:lastRenderedPageBreak/>
        <w:br w:type="column"/>
      </w:r>
      <w:bookmarkStart w:id="1569" w:name="_Toc404752"/>
      <w:r w:rsidRPr="00991D8E">
        <w:rPr>
          <w:rFonts w:ascii="Arial" w:hAnsi="Arial" w:cs="Arial"/>
        </w:rPr>
        <w:t xml:space="preserve">Parte </w:t>
      </w:r>
      <w:r>
        <w:t>9</w:t>
      </w:r>
      <w:r w:rsidRPr="00991D8E">
        <w:rPr>
          <w:rFonts w:ascii="Arial" w:hAnsi="Arial" w:cs="Arial"/>
        </w:rPr>
        <w:t xml:space="preserve">.-  </w:t>
      </w:r>
      <w:r>
        <w:t>Gestión de residuos y medioambiente</w:t>
      </w:r>
      <w:bookmarkEnd w:id="1569"/>
    </w:p>
    <w:p w14:paraId="2581DA56" w14:textId="77777777" w:rsidR="00583ADC" w:rsidRDefault="00583ADC" w:rsidP="00583ADC">
      <w:pPr>
        <w:pStyle w:val="NORMAL12"/>
        <w:rPr>
          <w:lang w:val="es-ES"/>
        </w:rPr>
      </w:pPr>
    </w:p>
    <w:p w14:paraId="01A1EB6A" w14:textId="77777777" w:rsidR="00583ADC" w:rsidRDefault="00583ADC" w:rsidP="00583ADC">
      <w:pPr>
        <w:pStyle w:val="NORMAL12"/>
        <w:rPr>
          <w:lang w:val="es-ES"/>
        </w:rPr>
        <w:sectPr w:rsidR="00583ADC" w:rsidSect="002D4F98">
          <w:type w:val="oddPage"/>
          <w:pgSz w:w="23814" w:h="16840" w:orient="landscape" w:code="8"/>
          <w:pgMar w:top="992" w:right="851" w:bottom="1418" w:left="851" w:header="567" w:footer="1021" w:gutter="1418"/>
          <w:cols w:num="2" w:space="1134"/>
        </w:sectPr>
      </w:pPr>
    </w:p>
    <w:p w14:paraId="3BD0F0A3" w14:textId="77777777" w:rsidR="00C1390D" w:rsidRPr="00B82851" w:rsidRDefault="00C1390D" w:rsidP="00C1390D">
      <w:pPr>
        <w:pStyle w:val="TITU1"/>
      </w:pPr>
      <w:bookmarkStart w:id="1570" w:name="_Toc404753"/>
      <w:r>
        <w:lastRenderedPageBreak/>
        <w:t>Artículo 950</w:t>
      </w:r>
      <w:r w:rsidR="00C461AD">
        <w:t>a</w:t>
      </w:r>
      <w:r>
        <w:t xml:space="preserve">. </w:t>
      </w:r>
      <w:r w:rsidRPr="00B82851">
        <w:t>Clasificación y recogida selectiva</w:t>
      </w:r>
      <w:bookmarkEnd w:id="1566"/>
      <w:bookmarkEnd w:id="1570"/>
    </w:p>
    <w:p w14:paraId="59AC80B8" w14:textId="77777777" w:rsidR="00C1390D" w:rsidRDefault="00C1390D" w:rsidP="000313DD">
      <w:pPr>
        <w:pStyle w:val="TITU2"/>
      </w:pPr>
      <w:bookmarkStart w:id="1571" w:name="_Toc404754"/>
      <w:r w:rsidRPr="004253D9">
        <w:t>950</w:t>
      </w:r>
      <w:r w:rsidR="00EF446D">
        <w:t>a</w:t>
      </w:r>
      <w:r w:rsidRPr="004253D9">
        <w:t>.1. Definición</w:t>
      </w:r>
      <w:bookmarkEnd w:id="1571"/>
      <w:r w:rsidRPr="004253D9">
        <w:t xml:space="preserve"> </w:t>
      </w:r>
    </w:p>
    <w:p w14:paraId="49D3008A" w14:textId="77777777" w:rsidR="0046154C" w:rsidRDefault="008C7D19" w:rsidP="008C7D19">
      <w:pPr>
        <w:pStyle w:val="NORMAL12"/>
      </w:pPr>
      <w:r>
        <w:rPr>
          <w:lang w:val="es-ES"/>
        </w:rPr>
        <w:t xml:space="preserve">Las </w:t>
      </w:r>
      <w:r w:rsidR="00217216">
        <w:rPr>
          <w:lang w:val="es-ES"/>
        </w:rPr>
        <w:t>prescripciones</w:t>
      </w:r>
      <w:r>
        <w:rPr>
          <w:lang w:val="es-ES"/>
        </w:rPr>
        <w:t xml:space="preserve"> de este artículo </w:t>
      </w:r>
      <w:proofErr w:type="gramStart"/>
      <w:r>
        <w:rPr>
          <w:lang w:val="es-ES"/>
        </w:rPr>
        <w:t>son de aplicación</w:t>
      </w:r>
      <w:proofErr w:type="gramEnd"/>
      <w:r>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206"/>
        <w:gridCol w:w="720"/>
        <w:gridCol w:w="7994"/>
      </w:tblGrid>
      <w:tr w:rsidR="003469AE" w:rsidRPr="00EF1AE7" w14:paraId="74A0E35A" w14:textId="77777777" w:rsidTr="00E9144F">
        <w:trPr>
          <w:trHeight w:val="419"/>
        </w:trPr>
        <w:tc>
          <w:tcPr>
            <w:tcW w:w="608" w:type="pct"/>
            <w:noWrap/>
          </w:tcPr>
          <w:p w14:paraId="3EC884FA" w14:textId="77777777" w:rsidR="003469AE" w:rsidRPr="00F476CB" w:rsidRDefault="003469AE">
            <w:pPr>
              <w:rPr>
                <w:rFonts w:ascii="Calibri" w:hAnsi="Calibri" w:cs="Calibri"/>
                <w:color w:val="000000"/>
              </w:rPr>
            </w:pPr>
            <w:r w:rsidRPr="00F476CB">
              <w:rPr>
                <w:rFonts w:ascii="Calibri" w:hAnsi="Calibri" w:cs="Calibri"/>
                <w:color w:val="000000"/>
              </w:rPr>
              <w:t xml:space="preserve">950.0010          </w:t>
            </w:r>
          </w:p>
        </w:tc>
        <w:tc>
          <w:tcPr>
            <w:tcW w:w="363" w:type="pct"/>
            <w:noWrap/>
          </w:tcPr>
          <w:p w14:paraId="2DA2324E" w14:textId="77777777" w:rsidR="003469AE" w:rsidRPr="00F476CB" w:rsidRDefault="003469AE">
            <w:pPr>
              <w:rPr>
                <w:rFonts w:ascii="Calibri" w:hAnsi="Calibri" w:cs="Calibri"/>
                <w:color w:val="000000"/>
              </w:rPr>
            </w:pPr>
            <w:r w:rsidRPr="00F476CB">
              <w:rPr>
                <w:rFonts w:ascii="Calibri" w:hAnsi="Calibri" w:cs="Calibri"/>
                <w:color w:val="000000"/>
              </w:rPr>
              <w:t>t</w:t>
            </w:r>
          </w:p>
        </w:tc>
        <w:tc>
          <w:tcPr>
            <w:tcW w:w="4029" w:type="pct"/>
          </w:tcPr>
          <w:p w14:paraId="427098C0" w14:textId="77777777" w:rsidR="003469AE" w:rsidRPr="00F476CB" w:rsidRDefault="00E9144F" w:rsidP="00B70541">
            <w:pPr>
              <w:jc w:val="both"/>
              <w:rPr>
                <w:rFonts w:ascii="Calibri" w:hAnsi="Calibri" w:cs="Calibri"/>
                <w:color w:val="000000"/>
              </w:rPr>
            </w:pPr>
            <w:r w:rsidRPr="00F476CB">
              <w:rPr>
                <w:rFonts w:ascii="Calibri" w:hAnsi="Calibri" w:cs="Calibri"/>
                <w:color w:val="000000"/>
              </w:rPr>
              <w:t>CLASIFICACIÓN Y RECOGIDA SELECTIVA DE RESIDUOS, EXCEPTO TIERRAS Y PIEDRAS DE EXCAVACIÓN, MEDIANTE MEDIOS MANUALES Y MECÁNICOS DE LOS RESIDUOS Y SU DEPÓSITO EN LA ZONA PRINCIPAL DE ALMACENAMIENTO DE RESIDUOS DE LA OBRA.</w:t>
            </w:r>
          </w:p>
        </w:tc>
      </w:tr>
    </w:tbl>
    <w:p w14:paraId="5B3ED939" w14:textId="77777777" w:rsidR="0046154C" w:rsidRPr="0046154C" w:rsidRDefault="0046154C" w:rsidP="0046154C">
      <w:pPr>
        <w:rPr>
          <w:lang w:eastAsia="en-US"/>
        </w:rPr>
      </w:pPr>
    </w:p>
    <w:p w14:paraId="15203E58" w14:textId="77777777" w:rsidR="00C1390D" w:rsidRPr="00B82851" w:rsidRDefault="00C1390D" w:rsidP="00C1390D">
      <w:pPr>
        <w:pStyle w:val="NORMAL12"/>
      </w:pPr>
      <w:r w:rsidRPr="00B82851">
        <w:t xml:space="preserve">Consiste en la recogida, clasificación y depósito de los residuos en las zonas indicadas </w:t>
      </w:r>
      <w:proofErr w:type="gramStart"/>
      <w:r w:rsidRPr="00B82851">
        <w:t>a  tal</w:t>
      </w:r>
      <w:proofErr w:type="gramEnd"/>
      <w:r w:rsidRPr="00B82851">
        <w:t xml:space="preserve"> efecto, o la clasificación e inmediata retirada, según proceda, sin depósito intermedio.</w:t>
      </w:r>
    </w:p>
    <w:p w14:paraId="11047942" w14:textId="77777777" w:rsidR="00C1390D" w:rsidRPr="00957DB5" w:rsidRDefault="00C1390D" w:rsidP="00C1390D">
      <w:pPr>
        <w:pStyle w:val="NORMAL12"/>
        <w:rPr>
          <w:color w:val="548DD4" w:themeColor="text2" w:themeTint="99"/>
        </w:rPr>
      </w:pPr>
      <w:r w:rsidRPr="00B82851">
        <w:t>Los residuos almacenados se en las zonas indicadas estarán acopiados en las zonas asignadas para cada tipo de residuos según la Lista Europea de Residuos y en particular según lo indicado en el Estudio de Gestión de RCD del proyecto</w:t>
      </w:r>
      <w:r w:rsidRPr="00957DB5">
        <w:rPr>
          <w:color w:val="548DD4" w:themeColor="text2" w:themeTint="99"/>
        </w:rPr>
        <w:t xml:space="preserve">. </w:t>
      </w:r>
    </w:p>
    <w:p w14:paraId="73AC90CC" w14:textId="77777777" w:rsidR="00C1390D" w:rsidRPr="004253D9" w:rsidRDefault="00753FEC" w:rsidP="000313DD">
      <w:pPr>
        <w:pStyle w:val="TITU2"/>
      </w:pPr>
      <w:bookmarkStart w:id="1572" w:name="_Toc404755"/>
      <w:r>
        <w:t>950</w:t>
      </w:r>
      <w:r w:rsidR="00C461AD">
        <w:t>a</w:t>
      </w:r>
      <w:r>
        <w:t>.2.</w:t>
      </w:r>
      <w:r w:rsidR="00C1390D" w:rsidRPr="004253D9">
        <w:t xml:space="preserve"> Ejecución de las obras</w:t>
      </w:r>
      <w:bookmarkEnd w:id="1572"/>
      <w:r w:rsidR="00C1390D" w:rsidRPr="004253D9">
        <w:t xml:space="preserve"> </w:t>
      </w:r>
    </w:p>
    <w:p w14:paraId="3E3BC850" w14:textId="77777777" w:rsidR="00C1390D" w:rsidRDefault="00C1390D" w:rsidP="00C1390D">
      <w:pPr>
        <w:pStyle w:val="NORMAL12"/>
      </w:pPr>
      <w:r w:rsidRPr="00B82851">
        <w:t xml:space="preserve">Se recogerán, clasificarán y depositarán los residuos de forma separada según el listado europeo de residuos, utilizando la maquinaria y medios necesarios (contenedores, bidones, cubetas, bolsas). Se deben conservar y proteger los acopios hasta que se produzca su traslado a gestor autorizado. </w:t>
      </w:r>
    </w:p>
    <w:p w14:paraId="1680759D" w14:textId="77777777" w:rsidR="00545529" w:rsidRDefault="00C1390D" w:rsidP="00C1390D">
      <w:pPr>
        <w:pStyle w:val="NORMAL12"/>
      </w:pPr>
      <w:r>
        <w:t>Se comprobará que no hay mezcla de residuos, y</w:t>
      </w:r>
      <w:r w:rsidR="00276EC8">
        <w:t xml:space="preserve"> que </w:t>
      </w:r>
      <w:r>
        <w:t>se ha conservado hasta su traslado</w:t>
      </w:r>
    </w:p>
    <w:p w14:paraId="592CC5A0" w14:textId="77777777" w:rsidR="00C1390D" w:rsidRPr="00545529" w:rsidRDefault="00545529" w:rsidP="00C1390D">
      <w:pPr>
        <w:pStyle w:val="NORMAL12"/>
        <w:rPr>
          <w:sz w:val="2"/>
          <w:szCs w:val="2"/>
        </w:rPr>
      </w:pPr>
      <w:r>
        <w:br w:type="column"/>
      </w:r>
    </w:p>
    <w:p w14:paraId="25A670CE" w14:textId="77777777" w:rsidR="00C1390D" w:rsidRPr="004253D9" w:rsidRDefault="00C1390D" w:rsidP="000313DD">
      <w:pPr>
        <w:pStyle w:val="TITU2"/>
      </w:pPr>
      <w:bookmarkStart w:id="1573" w:name="_Toc404756"/>
      <w:r w:rsidRPr="004253D9">
        <w:t>950</w:t>
      </w:r>
      <w:r w:rsidR="00C461AD">
        <w:t>a</w:t>
      </w:r>
      <w:r w:rsidRPr="004253D9">
        <w:t>.3. Medición y abono</w:t>
      </w:r>
      <w:bookmarkEnd w:id="1573"/>
      <w:r w:rsidRPr="004253D9">
        <w:t xml:space="preserve"> </w:t>
      </w:r>
    </w:p>
    <w:p w14:paraId="7D4254F7" w14:textId="77777777" w:rsidR="00C1390D" w:rsidRPr="00B82851" w:rsidRDefault="00C1390D" w:rsidP="00C1390D">
      <w:pPr>
        <w:pStyle w:val="NORMAL12"/>
      </w:pPr>
      <w:r w:rsidRPr="00B82851">
        <w:t>La unidad de clasificación y recogida selectiva se medirá y abonará según los criterios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C1390D" w:rsidRPr="00887BEE" w14:paraId="2973E999" w14:textId="77777777" w:rsidTr="008A4616">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74C28888" w14:textId="77777777" w:rsidR="00C1390D" w:rsidRPr="00B82851" w:rsidRDefault="00C1390D" w:rsidP="00357E41">
            <w:pPr>
              <w:pStyle w:val="Tabla"/>
              <w:rPr>
                <w:b/>
              </w:rPr>
            </w:pPr>
            <w:r w:rsidRPr="00B82851">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65FCAC89" w14:textId="77777777" w:rsidR="00C1390D" w:rsidRPr="00B82851" w:rsidRDefault="00C1390D" w:rsidP="00276EC8">
            <w:pPr>
              <w:pStyle w:val="LCATabla"/>
              <w:keepLines/>
              <w:rPr>
                <w:rFonts w:ascii="Arial" w:hAnsi="Arial" w:cs="Arial"/>
                <w:sz w:val="20"/>
              </w:rPr>
            </w:pPr>
            <w:r w:rsidRPr="00B82851">
              <w:rPr>
                <w:rFonts w:ascii="Arial" w:hAnsi="Arial" w:cs="Arial"/>
                <w:sz w:val="20"/>
              </w:rPr>
              <w:t xml:space="preserve">Toneladas (t) </w:t>
            </w:r>
          </w:p>
        </w:tc>
      </w:tr>
      <w:tr w:rsidR="00C1390D" w:rsidRPr="00887BEE" w14:paraId="31D89017" w14:textId="77777777" w:rsidTr="008A4616">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5ED566A6" w14:textId="77777777" w:rsidR="00C1390D" w:rsidRPr="00B82851" w:rsidRDefault="00C1390D" w:rsidP="00357E41">
            <w:pPr>
              <w:pStyle w:val="Tabla"/>
              <w:rPr>
                <w:b/>
              </w:rPr>
            </w:pPr>
            <w:r w:rsidRPr="00B82851">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3BCFE6DD" w14:textId="77777777" w:rsidR="00C1390D" w:rsidRPr="00B82851" w:rsidRDefault="00C1390D" w:rsidP="008A4616">
            <w:pPr>
              <w:pStyle w:val="LCATabla"/>
              <w:keepLines/>
              <w:rPr>
                <w:rFonts w:ascii="Arial" w:hAnsi="Arial" w:cs="Arial"/>
                <w:sz w:val="20"/>
              </w:rPr>
            </w:pPr>
            <w:r w:rsidRPr="00B82851">
              <w:rPr>
                <w:rFonts w:ascii="Arial" w:hAnsi="Arial" w:cs="Arial"/>
                <w:sz w:val="20"/>
              </w:rPr>
              <w:t>Dos decimales.</w:t>
            </w:r>
          </w:p>
        </w:tc>
      </w:tr>
      <w:tr w:rsidR="00C1390D" w:rsidRPr="00887BEE" w14:paraId="3B368532" w14:textId="77777777" w:rsidTr="008A4616">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5C1C9A18" w14:textId="77777777" w:rsidR="00C1390D" w:rsidRPr="00B82851" w:rsidRDefault="00C1390D" w:rsidP="00357E41">
            <w:pPr>
              <w:pStyle w:val="Tabla"/>
              <w:rPr>
                <w:b/>
              </w:rPr>
            </w:pPr>
            <w:r w:rsidRPr="00B82851">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50507F75" w14:textId="77777777" w:rsidR="00C1390D" w:rsidRPr="00B82851" w:rsidRDefault="00C1390D" w:rsidP="008A4616">
            <w:pPr>
              <w:pStyle w:val="LCATabla"/>
              <w:keepLines/>
              <w:rPr>
                <w:rFonts w:ascii="Arial" w:hAnsi="Arial" w:cs="Arial"/>
                <w:sz w:val="20"/>
              </w:rPr>
            </w:pPr>
            <w:r w:rsidRPr="00B82851">
              <w:rPr>
                <w:rFonts w:ascii="Arial" w:hAnsi="Arial" w:cs="Arial"/>
                <w:sz w:val="20"/>
              </w:rPr>
              <w:t xml:space="preserve">Por peso o </w:t>
            </w:r>
            <w:proofErr w:type="gramStart"/>
            <w:r w:rsidRPr="00B82851">
              <w:rPr>
                <w:rFonts w:ascii="Arial" w:hAnsi="Arial" w:cs="Arial"/>
                <w:sz w:val="20"/>
              </w:rPr>
              <w:t xml:space="preserve">medida </w:t>
            </w:r>
            <w:r>
              <w:rPr>
                <w:rFonts w:ascii="Arial" w:hAnsi="Arial" w:cs="Arial"/>
                <w:sz w:val="20"/>
              </w:rPr>
              <w:t xml:space="preserve"> que</w:t>
            </w:r>
            <w:proofErr w:type="gramEnd"/>
            <w:r>
              <w:rPr>
                <w:rFonts w:ascii="Arial" w:hAnsi="Arial" w:cs="Arial"/>
                <w:sz w:val="20"/>
              </w:rPr>
              <w:t xml:space="preserve"> figura en los documentos oficiales de control y seguimiento de los residuos entregados a gestor autorizado</w:t>
            </w:r>
            <w:r w:rsidRPr="00B82851">
              <w:rPr>
                <w:rFonts w:ascii="Arial" w:hAnsi="Arial" w:cs="Arial"/>
                <w:sz w:val="20"/>
              </w:rPr>
              <w:t xml:space="preserve"> </w:t>
            </w:r>
          </w:p>
        </w:tc>
      </w:tr>
      <w:tr w:rsidR="00C1390D" w:rsidRPr="00887BEE" w14:paraId="1759F5EB" w14:textId="77777777" w:rsidTr="008A4616">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35A092E6" w14:textId="77777777" w:rsidR="00C1390D" w:rsidRPr="00B82851" w:rsidRDefault="00C1390D" w:rsidP="00357E41">
            <w:pPr>
              <w:pStyle w:val="Tabla"/>
              <w:rPr>
                <w:b/>
              </w:rPr>
            </w:pPr>
            <w:r w:rsidRPr="00B82851">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6C30632F" w14:textId="77777777" w:rsidR="00C1390D" w:rsidRPr="00B82851" w:rsidRDefault="00C1390D" w:rsidP="008A4616">
            <w:pPr>
              <w:pStyle w:val="LCATabla"/>
              <w:keepLines/>
              <w:rPr>
                <w:rFonts w:ascii="Arial" w:hAnsi="Arial" w:cs="Arial"/>
                <w:sz w:val="20"/>
              </w:rPr>
            </w:pPr>
            <w:r w:rsidRPr="00B82851">
              <w:rPr>
                <w:rFonts w:ascii="Arial" w:hAnsi="Arial" w:cs="Arial"/>
                <w:sz w:val="20"/>
              </w:rPr>
              <w:t>Se efectuará cuando se realice la aceptación</w:t>
            </w:r>
          </w:p>
        </w:tc>
      </w:tr>
      <w:tr w:rsidR="00C1390D" w:rsidRPr="00636667" w14:paraId="0D98E177" w14:textId="77777777" w:rsidTr="008A4616">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713BE4F3" w14:textId="77777777" w:rsidR="00C1390D" w:rsidRPr="00B82851" w:rsidRDefault="00C1390D" w:rsidP="00357E41">
            <w:pPr>
              <w:pStyle w:val="Tabla"/>
              <w:rPr>
                <w:b/>
              </w:rPr>
            </w:pPr>
            <w:r w:rsidRPr="00B82851">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21CB4167" w14:textId="77777777" w:rsidR="00C1390D" w:rsidRPr="00B82851" w:rsidRDefault="00C1390D" w:rsidP="008A4616">
            <w:pPr>
              <w:pStyle w:val="LCATabla"/>
              <w:keepLines/>
              <w:rPr>
                <w:rFonts w:ascii="Arial" w:hAnsi="Arial" w:cs="Arial"/>
                <w:sz w:val="20"/>
              </w:rPr>
            </w:pPr>
            <w:r w:rsidRPr="00B82851">
              <w:rPr>
                <w:rFonts w:ascii="Arial" w:hAnsi="Arial" w:cs="Arial"/>
                <w:sz w:val="20"/>
              </w:rPr>
              <w:t>El precio de la unidad incluye todos los materiales y medios necesarios, para la recogida, clasificación y almacenamiento de los residuos en las zonas indicadas hasta su tras</w:t>
            </w:r>
            <w:r>
              <w:rPr>
                <w:rFonts w:ascii="Arial" w:hAnsi="Arial" w:cs="Arial"/>
                <w:sz w:val="20"/>
              </w:rPr>
              <w:t>la</w:t>
            </w:r>
            <w:r w:rsidRPr="00B82851">
              <w:rPr>
                <w:rFonts w:ascii="Arial" w:hAnsi="Arial" w:cs="Arial"/>
                <w:sz w:val="20"/>
              </w:rPr>
              <w:t xml:space="preserve">do. Incluye los costes de vigilancia y mantenimiento de los acopios. </w:t>
            </w:r>
          </w:p>
        </w:tc>
      </w:tr>
    </w:tbl>
    <w:p w14:paraId="3D0E4BED" w14:textId="77777777" w:rsidR="004E38CE" w:rsidRDefault="004E38CE" w:rsidP="003263C3">
      <w:pPr>
        <w:pStyle w:val="TITU1"/>
        <w:pageBreakBefore w:val="0"/>
      </w:pPr>
      <w:bookmarkStart w:id="1574" w:name="_Toc530001184"/>
    </w:p>
    <w:p w14:paraId="688397B1" w14:textId="77777777" w:rsidR="00C1390D" w:rsidRPr="002B45E8" w:rsidRDefault="004E38CE" w:rsidP="003263C3">
      <w:pPr>
        <w:pStyle w:val="TITU1"/>
        <w:pageBreakBefore w:val="0"/>
      </w:pPr>
      <w:r>
        <w:br w:type="column"/>
      </w:r>
      <w:bookmarkStart w:id="1575" w:name="_Toc404757"/>
      <w:r w:rsidR="00C1390D">
        <w:lastRenderedPageBreak/>
        <w:t>Artículo 950</w:t>
      </w:r>
      <w:r w:rsidR="00EF446D">
        <w:t>b</w:t>
      </w:r>
      <w:r w:rsidR="00C1390D">
        <w:t xml:space="preserve">. </w:t>
      </w:r>
      <w:r w:rsidR="00C1390D" w:rsidRPr="002B45E8">
        <w:t>Gestión de residuos no peligrosos – Excepto pétreos</w:t>
      </w:r>
      <w:bookmarkEnd w:id="1574"/>
      <w:bookmarkEnd w:id="1575"/>
    </w:p>
    <w:p w14:paraId="1B5F3DEA" w14:textId="77777777" w:rsidR="00C1390D" w:rsidRDefault="00C1390D" w:rsidP="000313DD">
      <w:pPr>
        <w:pStyle w:val="TITU2"/>
      </w:pPr>
      <w:bookmarkStart w:id="1576" w:name="_Toc404758"/>
      <w:r w:rsidRPr="004253D9">
        <w:t>950</w:t>
      </w:r>
      <w:r w:rsidR="00C461AD">
        <w:t>b</w:t>
      </w:r>
      <w:r w:rsidRPr="004253D9">
        <w:t>.</w:t>
      </w:r>
      <w:r w:rsidR="00753FEC">
        <w:t xml:space="preserve">1. </w:t>
      </w:r>
      <w:r w:rsidRPr="004253D9">
        <w:t>Definición</w:t>
      </w:r>
      <w:bookmarkEnd w:id="1576"/>
    </w:p>
    <w:p w14:paraId="2FD700F7" w14:textId="77777777" w:rsidR="008C7D19" w:rsidRDefault="008C7D19" w:rsidP="008C7D19">
      <w:pPr>
        <w:pStyle w:val="NORMAL12"/>
      </w:pPr>
      <w:r>
        <w:rPr>
          <w:lang w:val="es-ES"/>
        </w:rPr>
        <w:t xml:space="preserve">Las </w:t>
      </w:r>
      <w:r w:rsidR="00217216">
        <w:rPr>
          <w:lang w:val="es-ES"/>
        </w:rPr>
        <w:t>prescripciones</w:t>
      </w:r>
      <w:r>
        <w:rPr>
          <w:lang w:val="es-ES"/>
        </w:rPr>
        <w:t xml:space="preserve"> de este artículo </w:t>
      </w:r>
      <w:proofErr w:type="gramStart"/>
      <w:r>
        <w:rPr>
          <w:lang w:val="es-ES"/>
        </w:rPr>
        <w:t>son de aplicación</w:t>
      </w:r>
      <w:proofErr w:type="gramEnd"/>
      <w:r>
        <w:rPr>
          <w:lang w:val="es-ES"/>
        </w:rPr>
        <w:t xml:space="preserve"> a la unidad de obra siguiente:</w:t>
      </w:r>
    </w:p>
    <w:p w14:paraId="664CDE18" w14:textId="77777777" w:rsidR="0046154C" w:rsidRDefault="0046154C" w:rsidP="0046154C">
      <w:pPr>
        <w:rPr>
          <w:lang w:eastAsia="en-US"/>
        </w:rPr>
      </w:pPr>
    </w:p>
    <w:tbl>
      <w:tblPr>
        <w:tblW w:w="5000" w:type="pct"/>
        <w:tblCellMar>
          <w:left w:w="70" w:type="dxa"/>
          <w:right w:w="70" w:type="dxa"/>
        </w:tblCellMar>
        <w:tblLook w:val="04A0" w:firstRow="1" w:lastRow="0" w:firstColumn="1" w:lastColumn="0" w:noHBand="0" w:noVBand="1"/>
      </w:tblPr>
      <w:tblGrid>
        <w:gridCol w:w="1206"/>
        <w:gridCol w:w="720"/>
        <w:gridCol w:w="7994"/>
      </w:tblGrid>
      <w:tr w:rsidR="003469AE" w:rsidRPr="00EF1AE7" w14:paraId="6BE0D479" w14:textId="77777777" w:rsidTr="003469AE">
        <w:trPr>
          <w:trHeight w:val="419"/>
        </w:trPr>
        <w:tc>
          <w:tcPr>
            <w:tcW w:w="608" w:type="pct"/>
            <w:noWrap/>
          </w:tcPr>
          <w:p w14:paraId="2DF11ACF" w14:textId="77777777" w:rsidR="003469AE" w:rsidRPr="00F476CB" w:rsidRDefault="003469AE">
            <w:pPr>
              <w:rPr>
                <w:rFonts w:ascii="Calibri" w:hAnsi="Calibri" w:cs="Calibri"/>
                <w:color w:val="000000"/>
              </w:rPr>
            </w:pPr>
            <w:r w:rsidRPr="00F476CB">
              <w:rPr>
                <w:rFonts w:ascii="Calibri" w:hAnsi="Calibri" w:cs="Calibri"/>
                <w:color w:val="000000"/>
              </w:rPr>
              <w:t xml:space="preserve">950.0020          </w:t>
            </w:r>
          </w:p>
        </w:tc>
        <w:tc>
          <w:tcPr>
            <w:tcW w:w="363" w:type="pct"/>
            <w:noWrap/>
          </w:tcPr>
          <w:p w14:paraId="159E33BF" w14:textId="77777777" w:rsidR="003469AE" w:rsidRPr="00F476CB" w:rsidRDefault="003469AE">
            <w:pPr>
              <w:rPr>
                <w:rFonts w:ascii="Calibri" w:hAnsi="Calibri" w:cs="Calibri"/>
                <w:color w:val="000000"/>
              </w:rPr>
            </w:pPr>
            <w:r w:rsidRPr="00F476CB">
              <w:rPr>
                <w:rFonts w:ascii="Calibri" w:hAnsi="Calibri" w:cs="Calibri"/>
                <w:color w:val="000000"/>
              </w:rPr>
              <w:t>t</w:t>
            </w:r>
          </w:p>
        </w:tc>
        <w:tc>
          <w:tcPr>
            <w:tcW w:w="4029" w:type="pct"/>
          </w:tcPr>
          <w:p w14:paraId="7133D0DE" w14:textId="77777777" w:rsidR="00E9144F" w:rsidRPr="00F476CB" w:rsidRDefault="00E9144F" w:rsidP="00B70541">
            <w:pPr>
              <w:jc w:val="both"/>
              <w:rPr>
                <w:rFonts w:ascii="Calibri" w:hAnsi="Calibri" w:cs="Calibri"/>
                <w:color w:val="000000"/>
              </w:rPr>
            </w:pPr>
            <w:r w:rsidRPr="00F476CB">
              <w:rPr>
                <w:rFonts w:ascii="Calibri" w:hAnsi="Calibri" w:cs="Calibri"/>
                <w:color w:val="000000"/>
              </w:rPr>
              <w:t>CARGA Y TRANSPORTE DE RESIDUOS DE CONSTRUCCIÓN Y DEMOLICIÓN NO PELIGROSO - RNP- DE CARÁCTER NO PÉTREO (CARTÓN-PAPEL, MADERA, VIDRIO, PLÁSTICOS Y METALES INCLUIDOS ENVASES Y EMBALAJES DE ESTOS MATERIALES ASÍ COMO BIODEGRADABLES DEL DESBROCE) A PLANTA DE VALORIZACIÓN AUTORIZADA POR TRANSPORTISTA AUTORIZADO (POR CONSEJERÍA DE MEDIO AMBIENTE), A UNA DISTANCIA DE 20 KM., CONSIDERANDO IDA Y VUELTA, EN CAMIONES DE HASTA 16 T. DE PESO, CARGADOS CON PALA CARGADORA, INCLUSO CANON DE ENTRADA A PLANTA, SIN MEDIDAS DE PROTECCIÓN COLECTIVAS.</w:t>
            </w:r>
          </w:p>
        </w:tc>
      </w:tr>
      <w:tr w:rsidR="00276EC8" w:rsidRPr="00EF1AE7" w14:paraId="7480A046" w14:textId="77777777" w:rsidTr="003469AE">
        <w:trPr>
          <w:trHeight w:val="419"/>
        </w:trPr>
        <w:tc>
          <w:tcPr>
            <w:tcW w:w="608" w:type="pct"/>
            <w:noWrap/>
          </w:tcPr>
          <w:p w14:paraId="2B4421AA" w14:textId="77777777" w:rsidR="00276EC8" w:rsidRPr="004369B3" w:rsidRDefault="00276EC8">
            <w:pPr>
              <w:rPr>
                <w:rFonts w:ascii="Calibri" w:hAnsi="Calibri" w:cs="Calibri"/>
                <w:color w:val="000000"/>
                <w:highlight w:val="darkGreen"/>
              </w:rPr>
            </w:pPr>
          </w:p>
        </w:tc>
        <w:tc>
          <w:tcPr>
            <w:tcW w:w="363" w:type="pct"/>
            <w:noWrap/>
          </w:tcPr>
          <w:p w14:paraId="6FCC4C66" w14:textId="77777777" w:rsidR="00276EC8" w:rsidRPr="004369B3" w:rsidRDefault="00276EC8">
            <w:pPr>
              <w:rPr>
                <w:rFonts w:ascii="Calibri" w:hAnsi="Calibri" w:cs="Calibri"/>
                <w:color w:val="000000"/>
                <w:highlight w:val="darkGreen"/>
              </w:rPr>
            </w:pPr>
          </w:p>
        </w:tc>
        <w:tc>
          <w:tcPr>
            <w:tcW w:w="4029" w:type="pct"/>
          </w:tcPr>
          <w:p w14:paraId="0B9BD680" w14:textId="77777777" w:rsidR="00276EC8" w:rsidRPr="004369B3" w:rsidRDefault="00276EC8">
            <w:pPr>
              <w:rPr>
                <w:rFonts w:ascii="Calibri" w:hAnsi="Calibri" w:cs="Calibri"/>
                <w:color w:val="000000"/>
                <w:highlight w:val="darkGreen"/>
              </w:rPr>
            </w:pPr>
          </w:p>
        </w:tc>
      </w:tr>
    </w:tbl>
    <w:p w14:paraId="05918AFB" w14:textId="77777777" w:rsidR="00C1390D" w:rsidRDefault="00C1390D" w:rsidP="00C1390D">
      <w:pPr>
        <w:pStyle w:val="NORMAL12"/>
      </w:pPr>
      <w:r w:rsidRPr="002B45E8">
        <w:t xml:space="preserve">Consiste en el conjunto de operaciones para la recogida y transporte de los residuos de construcción y demolición constituidos por metal, madera, papel y cartón, y plástico, desde la zona de almacenamiento de residuos hasta planta de valorización de gestor de residuos autorizado. </w:t>
      </w:r>
    </w:p>
    <w:p w14:paraId="3B8D61E0" w14:textId="77777777" w:rsidR="008C7D19" w:rsidRDefault="008C7D19" w:rsidP="008C7D19">
      <w:pPr>
        <w:pStyle w:val="NORMAL12"/>
      </w:pPr>
      <w:r>
        <w:t xml:space="preserve">Incluye el coste del canon de entrada a planta de valorización, autorizada por la Administración </w:t>
      </w:r>
      <w:r w:rsidR="00217216">
        <w:t>competente</w:t>
      </w:r>
      <w:r>
        <w:t xml:space="preserve">, así como el coste del tratamiento de </w:t>
      </w:r>
      <w:proofErr w:type="gramStart"/>
      <w:r>
        <w:t>los mismos</w:t>
      </w:r>
      <w:proofErr w:type="gramEnd"/>
      <w:r>
        <w:t>.</w:t>
      </w:r>
    </w:p>
    <w:p w14:paraId="39F0AC09" w14:textId="77777777" w:rsidR="00C1390D" w:rsidRPr="004253D9" w:rsidRDefault="00C1390D" w:rsidP="000313DD">
      <w:pPr>
        <w:pStyle w:val="TITU2"/>
      </w:pPr>
      <w:bookmarkStart w:id="1577" w:name="_Toc404759"/>
      <w:r w:rsidRPr="004253D9">
        <w:t>950</w:t>
      </w:r>
      <w:r w:rsidR="00C461AD">
        <w:t>b</w:t>
      </w:r>
      <w:r w:rsidRPr="004253D9">
        <w:t>.</w:t>
      </w:r>
      <w:r w:rsidR="00753FEC">
        <w:t>2.</w:t>
      </w:r>
      <w:r w:rsidRPr="004253D9">
        <w:t xml:space="preserve"> Ejecución de las obras</w:t>
      </w:r>
      <w:bookmarkEnd w:id="1577"/>
      <w:r w:rsidRPr="004253D9">
        <w:t xml:space="preserve"> </w:t>
      </w:r>
    </w:p>
    <w:p w14:paraId="6104B10E" w14:textId="77777777" w:rsidR="00C1390D" w:rsidRPr="002B45E8" w:rsidRDefault="00C1390D" w:rsidP="00C1390D">
      <w:pPr>
        <w:pStyle w:val="NORMAL12"/>
      </w:pPr>
      <w:r w:rsidRPr="002B45E8">
        <w:t>El transporte de los residuos se realizará siempre que sea posible inmediatamente a su generación, sin acopio intermedio, a gestor autorizado.</w:t>
      </w:r>
    </w:p>
    <w:p w14:paraId="0C09537C" w14:textId="77777777" w:rsidR="00C1390D" w:rsidRPr="002B45E8" w:rsidRDefault="00C1390D" w:rsidP="00C1390D">
      <w:pPr>
        <w:pStyle w:val="NORMAL12"/>
      </w:pPr>
      <w:r w:rsidRPr="002B45E8">
        <w:t xml:space="preserve">El contratista dispondrá de los medios necesarios para llevar a cabo la operación de almacenamiento, siempre que no sea posible el traslado en condiciones de seguridad. </w:t>
      </w:r>
    </w:p>
    <w:p w14:paraId="5CD47704" w14:textId="77777777" w:rsidR="00C1390D" w:rsidRDefault="00C1390D" w:rsidP="00C1390D">
      <w:pPr>
        <w:pStyle w:val="NORMAL12"/>
      </w:pPr>
      <w:r w:rsidRPr="002B45E8">
        <w:t xml:space="preserve">El transportista debe disponer de la autorización por parte de la comunidad autónoma para el transporte de los </w:t>
      </w:r>
      <w:proofErr w:type="gramStart"/>
      <w:r w:rsidRPr="002B45E8">
        <w:t>residuos objetos</w:t>
      </w:r>
      <w:proofErr w:type="gramEnd"/>
      <w:r w:rsidRPr="002B45E8">
        <w:t xml:space="preserve"> de este artículo. </w:t>
      </w:r>
    </w:p>
    <w:p w14:paraId="5DE6AC6B" w14:textId="77777777" w:rsidR="008C7D19" w:rsidRDefault="008C7D19" w:rsidP="008C7D19">
      <w:pPr>
        <w:pStyle w:val="NORMAL12"/>
      </w:pPr>
      <w:r>
        <w:t xml:space="preserve">La entrega se realizará a gestor autorizado en las condiciones establecidas en </w:t>
      </w:r>
      <w:r w:rsidR="00217216">
        <w:t>la normativa vigente</w:t>
      </w:r>
      <w:r>
        <w:t xml:space="preserve">. </w:t>
      </w:r>
    </w:p>
    <w:p w14:paraId="75716826" w14:textId="77777777" w:rsidR="008C7D19" w:rsidRDefault="008C7D19" w:rsidP="008C7D19">
      <w:pPr>
        <w:pStyle w:val="NORMAL12"/>
      </w:pPr>
      <w:r>
        <w:t xml:space="preserve">El gestor debe estar autorizado por la </w:t>
      </w:r>
      <w:proofErr w:type="spellStart"/>
      <w:r>
        <w:t>Administracion</w:t>
      </w:r>
      <w:proofErr w:type="spellEnd"/>
      <w:r>
        <w:t xml:space="preserve"> competente en medio ambiente.</w:t>
      </w:r>
    </w:p>
    <w:p w14:paraId="1AB56D7F" w14:textId="77777777" w:rsidR="008C7D19" w:rsidRDefault="008C7D19" w:rsidP="00C1390D">
      <w:pPr>
        <w:pStyle w:val="NORMAL12"/>
      </w:pPr>
      <w:r>
        <w:t>Una vez realizada la entrega y después de que se haya llevado a cabo el tratamiento del residuo, el gestor emitirá la documentación requerida que testifique que se ha llevado a cabo el tratamiento del residuo adecuado, de acuerdo con la normativa vigente.</w:t>
      </w:r>
    </w:p>
    <w:p w14:paraId="3D3665FF" w14:textId="77777777" w:rsidR="00C1390D" w:rsidRPr="004253D9" w:rsidRDefault="00C1390D" w:rsidP="000313DD">
      <w:pPr>
        <w:pStyle w:val="TITU2"/>
      </w:pPr>
      <w:bookmarkStart w:id="1578" w:name="_Toc404760"/>
      <w:r w:rsidRPr="004253D9">
        <w:t>950</w:t>
      </w:r>
      <w:r w:rsidR="00C461AD">
        <w:t>b</w:t>
      </w:r>
      <w:r w:rsidRPr="004253D9">
        <w:t>.</w:t>
      </w:r>
      <w:r w:rsidR="00753FEC">
        <w:t>3.</w:t>
      </w:r>
      <w:r w:rsidRPr="004253D9">
        <w:t xml:space="preserve"> Medición y abono</w:t>
      </w:r>
      <w:bookmarkEnd w:id="1578"/>
      <w:r w:rsidRPr="004253D9">
        <w:t xml:space="preserve"> </w:t>
      </w:r>
    </w:p>
    <w:p w14:paraId="6AF3BEB3" w14:textId="77777777" w:rsidR="00C1390D" w:rsidRPr="002B45E8" w:rsidRDefault="00C1390D" w:rsidP="00C1390D">
      <w:pPr>
        <w:pStyle w:val="NORMAL12"/>
      </w:pPr>
      <w:r w:rsidRPr="002B45E8">
        <w:t>La gestión de residuos no peligrosos (excepto pétreos) se medirá y abonará según los criterios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C1390D" w:rsidRPr="002B45E8" w14:paraId="11A09B5B" w14:textId="77777777" w:rsidTr="008A4616">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23E7DBC7" w14:textId="77777777" w:rsidR="00C1390D" w:rsidRPr="002B45E8" w:rsidRDefault="00C1390D" w:rsidP="00357E41">
            <w:pPr>
              <w:pStyle w:val="Tabla"/>
              <w:rPr>
                <w:b/>
              </w:rPr>
            </w:pPr>
            <w:r w:rsidRPr="002B45E8">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10E739C9" w14:textId="77777777" w:rsidR="00C1390D" w:rsidRPr="002B45E8" w:rsidRDefault="00C1390D" w:rsidP="00B70541">
            <w:pPr>
              <w:pStyle w:val="LCATabla"/>
              <w:keepLines/>
              <w:jc w:val="both"/>
              <w:rPr>
                <w:rFonts w:ascii="Arial" w:hAnsi="Arial" w:cs="Arial"/>
                <w:sz w:val="20"/>
              </w:rPr>
            </w:pPr>
            <w:r w:rsidRPr="002B45E8">
              <w:rPr>
                <w:rFonts w:ascii="Arial" w:hAnsi="Arial" w:cs="Arial"/>
                <w:sz w:val="20"/>
              </w:rPr>
              <w:t xml:space="preserve">Toneladas (t) </w:t>
            </w:r>
          </w:p>
        </w:tc>
      </w:tr>
      <w:tr w:rsidR="00C1390D" w:rsidRPr="002B45E8" w14:paraId="23D71ED1" w14:textId="77777777" w:rsidTr="008A4616">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5974A289" w14:textId="77777777" w:rsidR="00C1390D" w:rsidRPr="002B45E8" w:rsidRDefault="00C1390D" w:rsidP="00357E41">
            <w:pPr>
              <w:pStyle w:val="Tabla"/>
              <w:rPr>
                <w:b/>
              </w:rPr>
            </w:pPr>
            <w:r w:rsidRPr="002B45E8">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6A8C4F9D" w14:textId="77777777" w:rsidR="00C1390D" w:rsidRPr="002B45E8" w:rsidRDefault="00C1390D" w:rsidP="00B70541">
            <w:pPr>
              <w:pStyle w:val="LCATabla"/>
              <w:keepLines/>
              <w:jc w:val="both"/>
              <w:rPr>
                <w:rFonts w:ascii="Arial" w:hAnsi="Arial" w:cs="Arial"/>
                <w:sz w:val="20"/>
              </w:rPr>
            </w:pPr>
            <w:r w:rsidRPr="002B45E8">
              <w:rPr>
                <w:rFonts w:ascii="Arial" w:hAnsi="Arial" w:cs="Arial"/>
                <w:sz w:val="20"/>
              </w:rPr>
              <w:t>Dos decimales.</w:t>
            </w:r>
          </w:p>
        </w:tc>
      </w:tr>
      <w:tr w:rsidR="00C1390D" w:rsidRPr="002B45E8" w14:paraId="540D5C94" w14:textId="77777777" w:rsidTr="008A4616">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0EC5F72B" w14:textId="77777777" w:rsidR="00C1390D" w:rsidRPr="002B45E8" w:rsidRDefault="00C1390D" w:rsidP="00357E41">
            <w:pPr>
              <w:pStyle w:val="Tabla"/>
              <w:rPr>
                <w:b/>
              </w:rPr>
            </w:pPr>
            <w:r w:rsidRPr="002B45E8">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5BA7EBC9" w14:textId="77777777" w:rsidR="00C1390D" w:rsidRPr="002B45E8" w:rsidRDefault="00C1390D" w:rsidP="00B70541">
            <w:pPr>
              <w:pStyle w:val="LCATabla"/>
              <w:keepLines/>
              <w:jc w:val="both"/>
              <w:rPr>
                <w:rFonts w:ascii="Arial" w:hAnsi="Arial" w:cs="Arial"/>
                <w:sz w:val="20"/>
              </w:rPr>
            </w:pPr>
            <w:r w:rsidRPr="002B45E8">
              <w:rPr>
                <w:rFonts w:ascii="Arial" w:hAnsi="Arial" w:cs="Arial"/>
                <w:sz w:val="20"/>
              </w:rPr>
              <w:t xml:space="preserve">Por peso o </w:t>
            </w:r>
            <w:proofErr w:type="gramStart"/>
            <w:r w:rsidRPr="002B45E8">
              <w:rPr>
                <w:rFonts w:ascii="Arial" w:hAnsi="Arial" w:cs="Arial"/>
                <w:sz w:val="20"/>
              </w:rPr>
              <w:t>medida  que</w:t>
            </w:r>
            <w:proofErr w:type="gramEnd"/>
            <w:r w:rsidRPr="002B45E8">
              <w:rPr>
                <w:rFonts w:ascii="Arial" w:hAnsi="Arial" w:cs="Arial"/>
                <w:sz w:val="20"/>
              </w:rPr>
              <w:t xml:space="preserve"> figura en los documentos oficiales de control y seguimiento de los residuos entregados a gestor autorizado </w:t>
            </w:r>
          </w:p>
        </w:tc>
      </w:tr>
      <w:tr w:rsidR="00C1390D" w:rsidRPr="002B45E8" w14:paraId="712F8FAB" w14:textId="77777777" w:rsidTr="008A4616">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1FA57C73" w14:textId="77777777" w:rsidR="00C1390D" w:rsidRPr="002B45E8" w:rsidRDefault="00C1390D" w:rsidP="00357E41">
            <w:pPr>
              <w:pStyle w:val="Tabla"/>
              <w:rPr>
                <w:b/>
              </w:rPr>
            </w:pPr>
            <w:r w:rsidRPr="002B45E8">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2AA403B9" w14:textId="77777777" w:rsidR="00C1390D" w:rsidRPr="002B45E8" w:rsidRDefault="00C1390D" w:rsidP="00B70541">
            <w:pPr>
              <w:pStyle w:val="LCATabla"/>
              <w:keepLines/>
              <w:jc w:val="both"/>
              <w:rPr>
                <w:rFonts w:ascii="Arial" w:hAnsi="Arial" w:cs="Arial"/>
                <w:sz w:val="20"/>
              </w:rPr>
            </w:pPr>
            <w:r w:rsidRPr="002B45E8">
              <w:rPr>
                <w:rFonts w:ascii="Arial" w:hAnsi="Arial" w:cs="Arial"/>
                <w:sz w:val="20"/>
              </w:rPr>
              <w:t>Se efectuará cuando se realice la aceptación</w:t>
            </w:r>
          </w:p>
        </w:tc>
      </w:tr>
      <w:tr w:rsidR="00C1390D" w:rsidRPr="002B45E8" w14:paraId="2C9CBBA9" w14:textId="77777777" w:rsidTr="008A4616">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48A78D8E" w14:textId="77777777" w:rsidR="00C1390D" w:rsidRPr="002B45E8" w:rsidRDefault="00C1390D" w:rsidP="00357E41">
            <w:pPr>
              <w:pStyle w:val="Tabla"/>
              <w:rPr>
                <w:b/>
              </w:rPr>
            </w:pPr>
            <w:r w:rsidRPr="002B45E8">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5EEE52EE" w14:textId="77777777" w:rsidR="00C1390D" w:rsidRPr="002B45E8" w:rsidRDefault="00C1390D" w:rsidP="00B70541">
            <w:pPr>
              <w:pStyle w:val="LCATabla"/>
              <w:keepLines/>
              <w:jc w:val="both"/>
              <w:rPr>
                <w:rFonts w:ascii="Arial" w:hAnsi="Arial" w:cs="Arial"/>
                <w:sz w:val="20"/>
              </w:rPr>
            </w:pPr>
            <w:r w:rsidRPr="002B45E8">
              <w:rPr>
                <w:rFonts w:ascii="Arial" w:hAnsi="Arial" w:cs="Arial"/>
                <w:sz w:val="20"/>
              </w:rPr>
              <w:t xml:space="preserve">El precio de la unidad incluye todos los materiales y medios necesarios, para la recogida, clasificación y almacenamiento de los residuos en las zonas indicadas hasta su traslado. Incluye los costes de vigilancia y mantenimiento de los acopios. </w:t>
            </w:r>
          </w:p>
          <w:p w14:paraId="77F06633" w14:textId="77777777" w:rsidR="00C1390D" w:rsidRPr="002B45E8" w:rsidRDefault="00C1390D" w:rsidP="00B70541">
            <w:pPr>
              <w:pStyle w:val="LCATabla"/>
              <w:keepLines/>
              <w:jc w:val="both"/>
              <w:rPr>
                <w:rFonts w:ascii="Arial" w:hAnsi="Arial" w:cs="Arial"/>
                <w:sz w:val="20"/>
              </w:rPr>
            </w:pPr>
            <w:r w:rsidRPr="002B45E8">
              <w:rPr>
                <w:rFonts w:ascii="Arial" w:hAnsi="Arial" w:cs="Arial"/>
                <w:sz w:val="20"/>
              </w:rPr>
              <w:t>Están incluidos el alquiler de contenedores, la carga, transporte y entrega a gestor autorizado.</w:t>
            </w:r>
          </w:p>
          <w:p w14:paraId="5C8DA863" w14:textId="77777777" w:rsidR="00C1390D" w:rsidRPr="002B45E8" w:rsidRDefault="00C1390D" w:rsidP="00B70541">
            <w:pPr>
              <w:pStyle w:val="LCATabla"/>
              <w:keepLines/>
              <w:jc w:val="both"/>
              <w:rPr>
                <w:rFonts w:ascii="Arial" w:hAnsi="Arial" w:cs="Arial"/>
                <w:sz w:val="20"/>
              </w:rPr>
            </w:pPr>
            <w:r w:rsidRPr="002B45E8">
              <w:rPr>
                <w:rFonts w:ascii="Arial" w:hAnsi="Arial" w:cs="Arial"/>
                <w:sz w:val="20"/>
              </w:rPr>
              <w:t xml:space="preserve">El transporte a vertedero está incluido en el precio hasta una distancia máxima de </w:t>
            </w:r>
            <w:r w:rsidR="00EF446D">
              <w:rPr>
                <w:rFonts w:ascii="Arial" w:hAnsi="Arial" w:cs="Arial"/>
                <w:sz w:val="20"/>
              </w:rPr>
              <w:t>veinte</w:t>
            </w:r>
            <w:r w:rsidRPr="002B45E8">
              <w:rPr>
                <w:rFonts w:ascii="Arial" w:hAnsi="Arial" w:cs="Arial"/>
                <w:sz w:val="20"/>
              </w:rPr>
              <w:t xml:space="preserve"> kilómetros. Siendo objeto de medición y abono independiente para distancias superiores.</w:t>
            </w:r>
          </w:p>
          <w:p w14:paraId="4181D387" w14:textId="77777777" w:rsidR="00C1390D" w:rsidRPr="002B45E8" w:rsidRDefault="00C1390D" w:rsidP="00B70541">
            <w:pPr>
              <w:pStyle w:val="LCATabla"/>
              <w:keepLines/>
              <w:jc w:val="both"/>
              <w:rPr>
                <w:rFonts w:ascii="Arial" w:hAnsi="Arial" w:cs="Arial"/>
                <w:sz w:val="20"/>
              </w:rPr>
            </w:pPr>
            <w:r w:rsidRPr="002B45E8">
              <w:rPr>
                <w:rFonts w:ascii="Arial" w:hAnsi="Arial" w:cs="Arial"/>
                <w:sz w:val="20"/>
              </w:rPr>
              <w:t xml:space="preserve">El canon o coste de gestión de residuos en la planta de </w:t>
            </w:r>
            <w:proofErr w:type="gramStart"/>
            <w:r w:rsidRPr="002B45E8">
              <w:rPr>
                <w:rFonts w:ascii="Arial" w:hAnsi="Arial" w:cs="Arial"/>
                <w:sz w:val="20"/>
              </w:rPr>
              <w:t>tratamiento  está</w:t>
            </w:r>
            <w:proofErr w:type="gramEnd"/>
            <w:r w:rsidRPr="002B45E8">
              <w:rPr>
                <w:rFonts w:ascii="Arial" w:hAnsi="Arial" w:cs="Arial"/>
                <w:sz w:val="20"/>
              </w:rPr>
              <w:t xml:space="preserve"> incluido en el precio.</w:t>
            </w:r>
          </w:p>
        </w:tc>
      </w:tr>
    </w:tbl>
    <w:p w14:paraId="13D7FF2A" w14:textId="77777777" w:rsidR="00C1390D" w:rsidRPr="002B45E8" w:rsidRDefault="00C1390D" w:rsidP="00C1390D">
      <w:pPr>
        <w:pStyle w:val="NORMAL12"/>
        <w:rPr>
          <w:i/>
          <w:u w:val="single"/>
          <w:lang w:val="es-ES"/>
        </w:rPr>
      </w:pPr>
    </w:p>
    <w:p w14:paraId="6064ADA5" w14:textId="77777777" w:rsidR="00EF446D" w:rsidRPr="002B45E8" w:rsidRDefault="00EF446D" w:rsidP="00EF446D">
      <w:pPr>
        <w:pStyle w:val="TITU1"/>
      </w:pPr>
      <w:bookmarkStart w:id="1579" w:name="_Toc404761"/>
      <w:bookmarkStart w:id="1580" w:name="_Toc530001185"/>
      <w:r>
        <w:lastRenderedPageBreak/>
        <w:t xml:space="preserve">Artículo 950c. </w:t>
      </w:r>
      <w:r w:rsidRPr="002B45E8">
        <w:t>Gestión de residuos no peligrosos – pétreos</w:t>
      </w:r>
      <w:bookmarkEnd w:id="1579"/>
    </w:p>
    <w:p w14:paraId="11668669" w14:textId="77777777" w:rsidR="00EF446D" w:rsidRDefault="00EF446D" w:rsidP="000313DD">
      <w:pPr>
        <w:pStyle w:val="TITU2"/>
      </w:pPr>
      <w:bookmarkStart w:id="1581" w:name="_Toc404762"/>
      <w:r w:rsidRPr="004253D9">
        <w:t>950</w:t>
      </w:r>
      <w:r>
        <w:t>c</w:t>
      </w:r>
      <w:r w:rsidRPr="004253D9">
        <w:t>.</w:t>
      </w:r>
      <w:r>
        <w:t xml:space="preserve">1. </w:t>
      </w:r>
      <w:r w:rsidRPr="004253D9">
        <w:t>Definición</w:t>
      </w:r>
      <w:bookmarkEnd w:id="1581"/>
    </w:p>
    <w:p w14:paraId="253F1A1A" w14:textId="77777777" w:rsidR="00EF446D" w:rsidRDefault="00EF446D" w:rsidP="00EF446D">
      <w:pPr>
        <w:pStyle w:val="NORMAL12"/>
      </w:pPr>
      <w:r>
        <w:rPr>
          <w:lang w:val="es-ES"/>
        </w:rPr>
        <w:t xml:space="preserve">Las </w:t>
      </w:r>
      <w:r w:rsidR="00217216">
        <w:rPr>
          <w:lang w:val="es-ES"/>
        </w:rPr>
        <w:t>prescripciones</w:t>
      </w:r>
      <w:r>
        <w:rPr>
          <w:lang w:val="es-ES"/>
        </w:rPr>
        <w:t xml:space="preserve"> de este artículo </w:t>
      </w:r>
      <w:proofErr w:type="gramStart"/>
      <w:r>
        <w:rPr>
          <w:lang w:val="es-ES"/>
        </w:rPr>
        <w:t>son de aplicación</w:t>
      </w:r>
      <w:proofErr w:type="gramEnd"/>
      <w:r>
        <w:rPr>
          <w:lang w:val="es-ES"/>
        </w:rPr>
        <w:t xml:space="preserve"> a la unidad de obra siguiente:</w:t>
      </w:r>
    </w:p>
    <w:p w14:paraId="00D91484" w14:textId="77777777" w:rsidR="00EF446D" w:rsidRDefault="00EF446D" w:rsidP="00EF446D">
      <w:pPr>
        <w:rPr>
          <w:lang w:eastAsia="en-US"/>
        </w:rPr>
      </w:pPr>
    </w:p>
    <w:tbl>
      <w:tblPr>
        <w:tblW w:w="5000" w:type="pct"/>
        <w:tblCellMar>
          <w:left w:w="70" w:type="dxa"/>
          <w:right w:w="70" w:type="dxa"/>
        </w:tblCellMar>
        <w:tblLook w:val="04A0" w:firstRow="1" w:lastRow="0" w:firstColumn="1" w:lastColumn="0" w:noHBand="0" w:noVBand="1"/>
      </w:tblPr>
      <w:tblGrid>
        <w:gridCol w:w="1206"/>
        <w:gridCol w:w="720"/>
        <w:gridCol w:w="7994"/>
      </w:tblGrid>
      <w:tr w:rsidR="00EF446D" w:rsidRPr="00EF1AE7" w14:paraId="6A9018BF" w14:textId="77777777" w:rsidTr="00EF446D">
        <w:trPr>
          <w:trHeight w:val="419"/>
        </w:trPr>
        <w:tc>
          <w:tcPr>
            <w:tcW w:w="608" w:type="pct"/>
            <w:noWrap/>
          </w:tcPr>
          <w:p w14:paraId="22F4C0DB" w14:textId="77777777" w:rsidR="00EF446D" w:rsidRPr="00F476CB" w:rsidRDefault="00EF446D" w:rsidP="0069682D">
            <w:pPr>
              <w:rPr>
                <w:rFonts w:ascii="Calibri" w:hAnsi="Calibri" w:cs="Calibri"/>
                <w:color w:val="000000"/>
              </w:rPr>
            </w:pPr>
            <w:r w:rsidRPr="00F476CB">
              <w:rPr>
                <w:rFonts w:ascii="Calibri" w:hAnsi="Calibri" w:cs="Calibri"/>
                <w:color w:val="000000"/>
              </w:rPr>
              <w:t xml:space="preserve">950.0030          </w:t>
            </w:r>
          </w:p>
        </w:tc>
        <w:tc>
          <w:tcPr>
            <w:tcW w:w="363" w:type="pct"/>
            <w:noWrap/>
          </w:tcPr>
          <w:p w14:paraId="22974E2E" w14:textId="77777777" w:rsidR="00EF446D" w:rsidRPr="00F476CB" w:rsidRDefault="00EF446D" w:rsidP="00EF446D">
            <w:pPr>
              <w:rPr>
                <w:rFonts w:ascii="Calibri" w:hAnsi="Calibri" w:cs="Calibri"/>
                <w:color w:val="000000"/>
              </w:rPr>
            </w:pPr>
            <w:r w:rsidRPr="00F476CB">
              <w:rPr>
                <w:rFonts w:ascii="Calibri" w:hAnsi="Calibri" w:cs="Calibri"/>
                <w:color w:val="000000"/>
              </w:rPr>
              <w:t>t</w:t>
            </w:r>
          </w:p>
        </w:tc>
        <w:tc>
          <w:tcPr>
            <w:tcW w:w="4029" w:type="pct"/>
          </w:tcPr>
          <w:p w14:paraId="219EF7AB" w14:textId="77777777" w:rsidR="00EF446D" w:rsidRPr="00F476CB" w:rsidRDefault="00EF446D" w:rsidP="00B70541">
            <w:pPr>
              <w:spacing w:after="240"/>
              <w:jc w:val="both"/>
              <w:rPr>
                <w:rFonts w:ascii="Calibri" w:hAnsi="Calibri" w:cs="Calibri"/>
                <w:color w:val="000000"/>
              </w:rPr>
            </w:pPr>
            <w:r w:rsidRPr="00F476CB">
              <w:rPr>
                <w:rFonts w:ascii="Calibri" w:hAnsi="Calibri" w:cs="Calibri"/>
                <w:color w:val="000000"/>
              </w:rPr>
              <w:t>CARGA Y TRANSPORTE DE RESIDUOS DE CONSTRUCCIÓN Y DEMOLICIÓN NO PELIGROSOS -RNP- DE CARÁCTER PÉTREO  (EXCEPTO TIERRAS Y PIEDRAS) CONSTITUIDOS POR HORMIGÓN, LADRILLOS, TEJAS Y MATERIALES CERÁMICOS (O MEZCLA DE ÉSTOS), YESO Y/O MEZCLAS BITUMINOSAS A PLANTA DE VALORIZACIÓN POR TRANSPORTISTA AUTORIZADO (POR CONSEJERÍA DE MEDIO AMBIENTE), A UNA DISTANCIA DE 20 KM., CONSIDERANDO IDA Y VUELTA, EN CAMIONES BASCULANTES DE HASTA 16 T. DE PESO, CARGADOS CON PALA CARGADORA INCLUSO CANON DE ENTRADA A PLANTA, SIN MEDIDAS DE PROTECCIÓN COLECTIVAS.</w:t>
            </w:r>
          </w:p>
        </w:tc>
      </w:tr>
    </w:tbl>
    <w:p w14:paraId="351253BB" w14:textId="77777777" w:rsidR="00EF446D" w:rsidRDefault="00EF446D" w:rsidP="00EF446D">
      <w:pPr>
        <w:pStyle w:val="NORMAL12"/>
      </w:pPr>
      <w:r w:rsidRPr="002B45E8">
        <w:t xml:space="preserve">Consiste en el conjunto de operaciones para la recogida y transporte de los residuos de construcción y demolición </w:t>
      </w:r>
      <w:r>
        <w:t xml:space="preserve">de origen pétreo, excepto tierras y piedras, </w:t>
      </w:r>
      <w:r w:rsidRPr="002B45E8">
        <w:t>constituidos</w:t>
      </w:r>
      <w:r w:rsidRPr="00EF446D">
        <w:rPr>
          <w:color w:val="000000"/>
        </w:rPr>
        <w:t xml:space="preserve"> por hormigón, ladrillos, tejas y materiales cerámicos (o mezcla de éstos), yeso y/o mezclas bituminosas </w:t>
      </w:r>
      <w:r w:rsidRPr="00EF446D">
        <w:t>por metal,</w:t>
      </w:r>
      <w:r w:rsidRPr="002B45E8">
        <w:t xml:space="preserve"> madera, papel y cartón, y plástico, desde la zona de almacenamiento de residuos hasta planta de valorización de gestor de residuos autorizado. </w:t>
      </w:r>
    </w:p>
    <w:p w14:paraId="1B230427" w14:textId="77777777" w:rsidR="00EF446D" w:rsidRDefault="00EF446D" w:rsidP="00EF446D">
      <w:pPr>
        <w:pStyle w:val="NORMAL12"/>
      </w:pPr>
      <w:r>
        <w:t xml:space="preserve">Incluye el coste del canon de entrada a planta de valorización, autorizada por la Administración </w:t>
      </w:r>
      <w:r w:rsidR="00217216">
        <w:t>competente</w:t>
      </w:r>
      <w:r>
        <w:t xml:space="preserve">, así como el coste del tratamiento de </w:t>
      </w:r>
      <w:proofErr w:type="gramStart"/>
      <w:r>
        <w:t>los mismos</w:t>
      </w:r>
      <w:proofErr w:type="gramEnd"/>
      <w:r>
        <w:t>.</w:t>
      </w:r>
    </w:p>
    <w:p w14:paraId="29631021" w14:textId="77777777" w:rsidR="00EF446D" w:rsidRPr="004253D9" w:rsidRDefault="00EF446D" w:rsidP="000313DD">
      <w:pPr>
        <w:pStyle w:val="TITU2"/>
      </w:pPr>
      <w:bookmarkStart w:id="1582" w:name="_Toc404763"/>
      <w:r w:rsidRPr="004253D9">
        <w:t>950</w:t>
      </w:r>
      <w:r>
        <w:t>c</w:t>
      </w:r>
      <w:r w:rsidRPr="004253D9">
        <w:t>.</w:t>
      </w:r>
      <w:r>
        <w:t>2.</w:t>
      </w:r>
      <w:r w:rsidRPr="004253D9">
        <w:t xml:space="preserve"> Ejecución de las obras</w:t>
      </w:r>
      <w:bookmarkEnd w:id="1582"/>
      <w:r w:rsidRPr="004253D9">
        <w:t xml:space="preserve"> </w:t>
      </w:r>
    </w:p>
    <w:p w14:paraId="586E9229" w14:textId="77777777" w:rsidR="00EF446D" w:rsidRPr="002B45E8" w:rsidRDefault="00EF446D" w:rsidP="00EF446D">
      <w:pPr>
        <w:pStyle w:val="NORMAL12"/>
      </w:pPr>
      <w:r w:rsidRPr="002B45E8">
        <w:t>El transporte de los residuos se realizará siempre que sea posible inmediatamente a su generación, sin acopio intermedio, a gestor autorizado.</w:t>
      </w:r>
    </w:p>
    <w:p w14:paraId="24EA165F" w14:textId="77777777" w:rsidR="00EF446D" w:rsidRPr="002B45E8" w:rsidRDefault="00EF446D" w:rsidP="00EF446D">
      <w:pPr>
        <w:pStyle w:val="NORMAL12"/>
      </w:pPr>
      <w:r w:rsidRPr="002B45E8">
        <w:t xml:space="preserve">El contratista dispondrá de los medios necesarios para llevar a cabo la operación de almacenamiento, siempre que no sea posible el traslado en condiciones de seguridad. </w:t>
      </w:r>
    </w:p>
    <w:p w14:paraId="43690E6E" w14:textId="77777777" w:rsidR="00EF446D" w:rsidRDefault="00EF446D" w:rsidP="00EF446D">
      <w:pPr>
        <w:pStyle w:val="NORMAL12"/>
      </w:pPr>
      <w:r w:rsidRPr="002B45E8">
        <w:t xml:space="preserve">El transportista debe disponer de la autorización por parte de la comunidad autónoma para el transporte de los </w:t>
      </w:r>
      <w:proofErr w:type="gramStart"/>
      <w:r w:rsidRPr="002B45E8">
        <w:t>residuos objetos</w:t>
      </w:r>
      <w:proofErr w:type="gramEnd"/>
      <w:r w:rsidRPr="002B45E8">
        <w:t xml:space="preserve"> de este artículo. </w:t>
      </w:r>
    </w:p>
    <w:p w14:paraId="305B7C96" w14:textId="77777777" w:rsidR="00EF446D" w:rsidRDefault="00EF446D" w:rsidP="00EF446D">
      <w:pPr>
        <w:pStyle w:val="NORMAL12"/>
      </w:pPr>
      <w:r>
        <w:t xml:space="preserve">La entrega se realizará a gestor autorizado en las condiciones establecidas en </w:t>
      </w:r>
      <w:r w:rsidR="00217216">
        <w:t>la normativa vigente</w:t>
      </w:r>
      <w:r>
        <w:t xml:space="preserve">. </w:t>
      </w:r>
    </w:p>
    <w:p w14:paraId="40C74C2D" w14:textId="77777777" w:rsidR="00EF446D" w:rsidRDefault="00EF446D" w:rsidP="00EF446D">
      <w:pPr>
        <w:pStyle w:val="NORMAL12"/>
      </w:pPr>
      <w:r>
        <w:t xml:space="preserve">El gestor debe estar autorizado por la </w:t>
      </w:r>
      <w:proofErr w:type="spellStart"/>
      <w:r>
        <w:t>Administracion</w:t>
      </w:r>
      <w:proofErr w:type="spellEnd"/>
      <w:r>
        <w:t xml:space="preserve"> competente en medio ambiente.</w:t>
      </w:r>
    </w:p>
    <w:p w14:paraId="38C23157" w14:textId="77777777" w:rsidR="00EF446D" w:rsidRDefault="00EF446D" w:rsidP="00EF446D">
      <w:pPr>
        <w:pStyle w:val="NORMAL12"/>
      </w:pPr>
      <w:r>
        <w:t>Una vez realizada la entrega y después de que se haya llevado a cabo el tratamiento del residuo, el gestor emitirá la documentación requerida que testifique que se ha llevado a cabo el tratamiento del residuo adecuado, de acuerdo con la normativa vigente.</w:t>
      </w:r>
    </w:p>
    <w:p w14:paraId="0CEBAC07" w14:textId="77777777" w:rsidR="00EF446D" w:rsidRPr="004253D9" w:rsidRDefault="00EF446D" w:rsidP="000313DD">
      <w:pPr>
        <w:pStyle w:val="TITU2"/>
      </w:pPr>
      <w:bookmarkStart w:id="1583" w:name="_Toc404764"/>
      <w:r w:rsidRPr="004253D9">
        <w:t>950</w:t>
      </w:r>
      <w:r>
        <w:t>c</w:t>
      </w:r>
      <w:r w:rsidRPr="004253D9">
        <w:t>.</w:t>
      </w:r>
      <w:r>
        <w:t>3.</w:t>
      </w:r>
      <w:r w:rsidRPr="004253D9">
        <w:t xml:space="preserve"> Medición y abono</w:t>
      </w:r>
      <w:bookmarkEnd w:id="1583"/>
      <w:r w:rsidRPr="004253D9">
        <w:t xml:space="preserve"> </w:t>
      </w:r>
    </w:p>
    <w:p w14:paraId="48333EB7" w14:textId="77777777" w:rsidR="00EF446D" w:rsidRPr="002B45E8" w:rsidRDefault="00EF446D" w:rsidP="00EF446D">
      <w:pPr>
        <w:pStyle w:val="NORMAL12"/>
      </w:pPr>
      <w:r w:rsidRPr="002B45E8">
        <w:t>La gestión de residuos no peligrosos (</w:t>
      </w:r>
      <w:r>
        <w:t>de origen p</w:t>
      </w:r>
      <w:r w:rsidRPr="002B45E8">
        <w:t>étreo) se medirá y abonará según los criterios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EF446D" w:rsidRPr="002B45E8" w14:paraId="70EB9712" w14:textId="77777777" w:rsidTr="00EF446D">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70F9D8D4" w14:textId="77777777" w:rsidR="00EF446D" w:rsidRPr="002B45E8" w:rsidRDefault="00EF446D" w:rsidP="00EF446D">
            <w:pPr>
              <w:pStyle w:val="Tabla"/>
              <w:rPr>
                <w:b/>
              </w:rPr>
            </w:pPr>
            <w:r w:rsidRPr="002B45E8">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3C0041DD" w14:textId="77777777" w:rsidR="00EF446D" w:rsidRPr="002B45E8" w:rsidRDefault="00EF446D" w:rsidP="00B70541">
            <w:pPr>
              <w:pStyle w:val="LCATabla"/>
              <w:keepLines/>
              <w:jc w:val="both"/>
              <w:rPr>
                <w:rFonts w:ascii="Arial" w:hAnsi="Arial" w:cs="Arial"/>
                <w:sz w:val="20"/>
              </w:rPr>
            </w:pPr>
            <w:r w:rsidRPr="002B45E8">
              <w:rPr>
                <w:rFonts w:ascii="Arial" w:hAnsi="Arial" w:cs="Arial"/>
                <w:sz w:val="20"/>
              </w:rPr>
              <w:t>Toneladas (t)</w:t>
            </w:r>
          </w:p>
        </w:tc>
      </w:tr>
      <w:tr w:rsidR="00EF446D" w:rsidRPr="002B45E8" w14:paraId="56684A7F" w14:textId="77777777" w:rsidTr="00EF446D">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190F7AF0" w14:textId="77777777" w:rsidR="00EF446D" w:rsidRPr="002B45E8" w:rsidRDefault="00EF446D" w:rsidP="00EF446D">
            <w:pPr>
              <w:pStyle w:val="Tabla"/>
              <w:rPr>
                <w:b/>
              </w:rPr>
            </w:pPr>
            <w:r w:rsidRPr="002B45E8">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01EC0429" w14:textId="77777777" w:rsidR="00EF446D" w:rsidRPr="002B45E8" w:rsidRDefault="00EF446D" w:rsidP="00B70541">
            <w:pPr>
              <w:pStyle w:val="LCATabla"/>
              <w:keepLines/>
              <w:jc w:val="both"/>
              <w:rPr>
                <w:rFonts w:ascii="Arial" w:hAnsi="Arial" w:cs="Arial"/>
                <w:sz w:val="20"/>
              </w:rPr>
            </w:pPr>
            <w:r w:rsidRPr="002B45E8">
              <w:rPr>
                <w:rFonts w:ascii="Arial" w:hAnsi="Arial" w:cs="Arial"/>
                <w:sz w:val="20"/>
              </w:rPr>
              <w:t>Dos decimales.</w:t>
            </w:r>
          </w:p>
        </w:tc>
      </w:tr>
      <w:tr w:rsidR="00EF446D" w:rsidRPr="002B45E8" w14:paraId="192C94C3" w14:textId="77777777" w:rsidTr="00EF446D">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79FECD6A" w14:textId="77777777" w:rsidR="00EF446D" w:rsidRPr="002B45E8" w:rsidRDefault="00EF446D" w:rsidP="00EF446D">
            <w:pPr>
              <w:pStyle w:val="Tabla"/>
              <w:rPr>
                <w:b/>
              </w:rPr>
            </w:pPr>
            <w:r w:rsidRPr="002B45E8">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3F1B6633" w14:textId="77777777" w:rsidR="00EF446D" w:rsidRPr="002B45E8" w:rsidRDefault="00EF446D" w:rsidP="00B70541">
            <w:pPr>
              <w:pStyle w:val="LCATabla"/>
              <w:keepLines/>
              <w:jc w:val="both"/>
              <w:rPr>
                <w:rFonts w:ascii="Arial" w:hAnsi="Arial" w:cs="Arial"/>
                <w:sz w:val="20"/>
              </w:rPr>
            </w:pPr>
            <w:r w:rsidRPr="002B45E8">
              <w:rPr>
                <w:rFonts w:ascii="Arial" w:hAnsi="Arial" w:cs="Arial"/>
                <w:sz w:val="20"/>
              </w:rPr>
              <w:t xml:space="preserve">Por peso o </w:t>
            </w:r>
            <w:proofErr w:type="gramStart"/>
            <w:r w:rsidRPr="002B45E8">
              <w:rPr>
                <w:rFonts w:ascii="Arial" w:hAnsi="Arial" w:cs="Arial"/>
                <w:sz w:val="20"/>
              </w:rPr>
              <w:t>medida  que</w:t>
            </w:r>
            <w:proofErr w:type="gramEnd"/>
            <w:r w:rsidRPr="002B45E8">
              <w:rPr>
                <w:rFonts w:ascii="Arial" w:hAnsi="Arial" w:cs="Arial"/>
                <w:sz w:val="20"/>
              </w:rPr>
              <w:t xml:space="preserve"> figura en los documentos oficiales de control y seguimiento de los residuos entregados a gestor autorizado </w:t>
            </w:r>
          </w:p>
        </w:tc>
      </w:tr>
      <w:tr w:rsidR="00EF446D" w:rsidRPr="002B45E8" w14:paraId="2C928026" w14:textId="77777777" w:rsidTr="00EF446D">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5E53B556" w14:textId="77777777" w:rsidR="00EF446D" w:rsidRPr="002B45E8" w:rsidRDefault="00EF446D" w:rsidP="00EF446D">
            <w:pPr>
              <w:pStyle w:val="Tabla"/>
              <w:rPr>
                <w:b/>
              </w:rPr>
            </w:pPr>
            <w:r w:rsidRPr="002B45E8">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4C607C6F" w14:textId="77777777" w:rsidR="00EF446D" w:rsidRPr="002B45E8" w:rsidRDefault="00EF446D" w:rsidP="00B70541">
            <w:pPr>
              <w:pStyle w:val="LCATabla"/>
              <w:keepLines/>
              <w:jc w:val="both"/>
              <w:rPr>
                <w:rFonts w:ascii="Arial" w:hAnsi="Arial" w:cs="Arial"/>
                <w:sz w:val="20"/>
              </w:rPr>
            </w:pPr>
            <w:r w:rsidRPr="002B45E8">
              <w:rPr>
                <w:rFonts w:ascii="Arial" w:hAnsi="Arial" w:cs="Arial"/>
                <w:sz w:val="20"/>
              </w:rPr>
              <w:t>Se efectuará cuando se realice la aceptación</w:t>
            </w:r>
          </w:p>
        </w:tc>
      </w:tr>
      <w:tr w:rsidR="00EF446D" w:rsidRPr="002B45E8" w14:paraId="58EA2F48" w14:textId="77777777" w:rsidTr="00EF446D">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0B4AF2C5" w14:textId="77777777" w:rsidR="00EF446D" w:rsidRPr="002B45E8" w:rsidRDefault="00EF446D" w:rsidP="00EF446D">
            <w:pPr>
              <w:pStyle w:val="Tabla"/>
              <w:rPr>
                <w:b/>
              </w:rPr>
            </w:pPr>
            <w:r w:rsidRPr="002B45E8">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5550358C" w14:textId="77777777" w:rsidR="00EF446D" w:rsidRPr="002B45E8" w:rsidRDefault="00EF446D" w:rsidP="00B70541">
            <w:pPr>
              <w:pStyle w:val="LCATabla"/>
              <w:keepLines/>
              <w:jc w:val="both"/>
              <w:rPr>
                <w:rFonts w:ascii="Arial" w:hAnsi="Arial" w:cs="Arial"/>
                <w:sz w:val="20"/>
              </w:rPr>
            </w:pPr>
            <w:r w:rsidRPr="002B45E8">
              <w:rPr>
                <w:rFonts w:ascii="Arial" w:hAnsi="Arial" w:cs="Arial"/>
                <w:sz w:val="20"/>
              </w:rPr>
              <w:t xml:space="preserve">El precio de la unidad incluye todos los materiales y medios necesarios, para la recogida, clasificación y almacenamiento de los residuos en las zonas indicadas hasta su traslado. Incluye los costes de vigilancia y mantenimiento de los acopios. </w:t>
            </w:r>
          </w:p>
          <w:p w14:paraId="01232EBB" w14:textId="77777777" w:rsidR="00EF446D" w:rsidRPr="002B45E8" w:rsidRDefault="00EF446D" w:rsidP="00B70541">
            <w:pPr>
              <w:pStyle w:val="LCATabla"/>
              <w:keepLines/>
              <w:jc w:val="both"/>
              <w:rPr>
                <w:rFonts w:ascii="Arial" w:hAnsi="Arial" w:cs="Arial"/>
                <w:sz w:val="20"/>
              </w:rPr>
            </w:pPr>
            <w:r w:rsidRPr="002B45E8">
              <w:rPr>
                <w:rFonts w:ascii="Arial" w:hAnsi="Arial" w:cs="Arial"/>
                <w:sz w:val="20"/>
              </w:rPr>
              <w:t>Están incluidos el alquiler de contenedores, la carga, transporte y entrega a gestor autorizado.</w:t>
            </w:r>
          </w:p>
          <w:p w14:paraId="3DC45A81" w14:textId="77777777" w:rsidR="00EF446D" w:rsidRPr="002B45E8" w:rsidRDefault="00EF446D" w:rsidP="00B70541">
            <w:pPr>
              <w:pStyle w:val="LCATabla"/>
              <w:keepLines/>
              <w:jc w:val="both"/>
              <w:rPr>
                <w:rFonts w:ascii="Arial" w:hAnsi="Arial" w:cs="Arial"/>
                <w:sz w:val="20"/>
              </w:rPr>
            </w:pPr>
            <w:r w:rsidRPr="002B45E8">
              <w:rPr>
                <w:rFonts w:ascii="Arial" w:hAnsi="Arial" w:cs="Arial"/>
                <w:sz w:val="20"/>
              </w:rPr>
              <w:t xml:space="preserve">El transporte a vertedero está incluido en el precio hasta una distancia máxima de </w:t>
            </w:r>
            <w:r>
              <w:rPr>
                <w:rFonts w:ascii="Arial" w:hAnsi="Arial" w:cs="Arial"/>
                <w:sz w:val="20"/>
              </w:rPr>
              <w:t>veinte</w:t>
            </w:r>
            <w:r w:rsidRPr="002B45E8">
              <w:rPr>
                <w:rFonts w:ascii="Arial" w:hAnsi="Arial" w:cs="Arial"/>
                <w:sz w:val="20"/>
              </w:rPr>
              <w:t xml:space="preserve"> kilómetros. Siendo objeto de medición y abono independiente para distancias superiores.</w:t>
            </w:r>
          </w:p>
          <w:p w14:paraId="30D0E4E7" w14:textId="77777777" w:rsidR="00EF446D" w:rsidRPr="002B45E8" w:rsidRDefault="00217216" w:rsidP="00B70541">
            <w:pPr>
              <w:pStyle w:val="LCATabla"/>
              <w:keepLines/>
              <w:jc w:val="both"/>
              <w:rPr>
                <w:rFonts w:ascii="Arial" w:hAnsi="Arial" w:cs="Arial"/>
                <w:sz w:val="20"/>
              </w:rPr>
            </w:pPr>
            <w:r w:rsidRPr="002B45E8">
              <w:rPr>
                <w:rFonts w:ascii="Arial" w:hAnsi="Arial" w:cs="Arial"/>
                <w:sz w:val="20"/>
              </w:rPr>
              <w:t xml:space="preserve">El canon o coste </w:t>
            </w:r>
            <w:r>
              <w:rPr>
                <w:rFonts w:ascii="Arial" w:hAnsi="Arial" w:cs="Arial"/>
                <w:sz w:val="20"/>
              </w:rPr>
              <w:t xml:space="preserve">de entrada y </w:t>
            </w:r>
            <w:r w:rsidRPr="002B45E8">
              <w:rPr>
                <w:rFonts w:ascii="Arial" w:hAnsi="Arial" w:cs="Arial"/>
                <w:sz w:val="20"/>
              </w:rPr>
              <w:t>gestión de residuos en la planta de tratamiento está incluido en el precio.</w:t>
            </w:r>
          </w:p>
        </w:tc>
      </w:tr>
    </w:tbl>
    <w:p w14:paraId="2B24D44B" w14:textId="77777777" w:rsidR="002E7733" w:rsidRPr="002B45E8" w:rsidRDefault="002E7733" w:rsidP="002E7733">
      <w:pPr>
        <w:pStyle w:val="TITU1"/>
      </w:pPr>
      <w:bookmarkStart w:id="1584" w:name="_Toc404765"/>
      <w:r>
        <w:lastRenderedPageBreak/>
        <w:t>Artículo 950</w:t>
      </w:r>
      <w:r w:rsidR="00EF446D">
        <w:t>d</w:t>
      </w:r>
      <w:r>
        <w:t>. Canon de g</w:t>
      </w:r>
      <w:r w:rsidRPr="002B45E8">
        <w:t>estión de residuos no peligrosos – Excepto pétreos</w:t>
      </w:r>
      <w:bookmarkEnd w:id="1584"/>
    </w:p>
    <w:p w14:paraId="3EF113BE" w14:textId="77777777" w:rsidR="002E7733" w:rsidRDefault="002E7733" w:rsidP="000313DD">
      <w:pPr>
        <w:pStyle w:val="TITU2"/>
      </w:pPr>
      <w:bookmarkStart w:id="1585" w:name="_Toc404766"/>
      <w:r w:rsidRPr="004253D9">
        <w:t>950</w:t>
      </w:r>
      <w:r w:rsidR="00EF446D">
        <w:t>d</w:t>
      </w:r>
      <w:r w:rsidRPr="004253D9">
        <w:t>.</w:t>
      </w:r>
      <w:r>
        <w:t xml:space="preserve">1. </w:t>
      </w:r>
      <w:r w:rsidRPr="004253D9">
        <w:t>Definición</w:t>
      </w:r>
      <w:bookmarkEnd w:id="1585"/>
    </w:p>
    <w:p w14:paraId="418F3957" w14:textId="77777777" w:rsidR="008C7D19" w:rsidRDefault="008C7D19" w:rsidP="008C7D19">
      <w:pPr>
        <w:pStyle w:val="NORMAL12"/>
      </w:pPr>
      <w:r>
        <w:rPr>
          <w:lang w:val="es-ES"/>
        </w:rPr>
        <w:t xml:space="preserve">Las </w:t>
      </w:r>
      <w:r w:rsidR="00217216">
        <w:rPr>
          <w:lang w:val="es-ES"/>
        </w:rPr>
        <w:t>prescripciones</w:t>
      </w:r>
      <w:r>
        <w:rPr>
          <w:lang w:val="es-ES"/>
        </w:rPr>
        <w:t xml:space="preserve"> de este artículo </w:t>
      </w:r>
      <w:proofErr w:type="gramStart"/>
      <w:r>
        <w:rPr>
          <w:lang w:val="es-ES"/>
        </w:rPr>
        <w:t>son de aplicación</w:t>
      </w:r>
      <w:proofErr w:type="gramEnd"/>
      <w:r>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207"/>
        <w:gridCol w:w="717"/>
        <w:gridCol w:w="7996"/>
      </w:tblGrid>
      <w:tr w:rsidR="002E7733" w:rsidRPr="00EF1AE7" w14:paraId="7A44938A" w14:textId="77777777" w:rsidTr="008C7D19">
        <w:trPr>
          <w:trHeight w:val="419"/>
        </w:trPr>
        <w:tc>
          <w:tcPr>
            <w:tcW w:w="608" w:type="pct"/>
            <w:noWrap/>
          </w:tcPr>
          <w:p w14:paraId="2E9785DD" w14:textId="77777777" w:rsidR="002E7733" w:rsidRPr="00F476CB" w:rsidRDefault="002E7733" w:rsidP="00276EC8">
            <w:pPr>
              <w:rPr>
                <w:rFonts w:ascii="Calibri" w:hAnsi="Calibri" w:cs="Calibri"/>
                <w:color w:val="000000"/>
              </w:rPr>
            </w:pPr>
            <w:r w:rsidRPr="00F476CB">
              <w:rPr>
                <w:rFonts w:ascii="Calibri" w:hAnsi="Calibri" w:cs="Calibri"/>
                <w:color w:val="000000"/>
              </w:rPr>
              <w:t>950.0020</w:t>
            </w:r>
            <w:r w:rsidR="00B9186A" w:rsidRPr="00F476CB">
              <w:rPr>
                <w:rFonts w:ascii="Calibri" w:hAnsi="Calibri" w:cs="Calibri"/>
                <w:color w:val="000000"/>
              </w:rPr>
              <w:t>N</w:t>
            </w:r>
            <w:r w:rsidRPr="00F476CB">
              <w:rPr>
                <w:rFonts w:ascii="Calibri" w:hAnsi="Calibri" w:cs="Calibri"/>
                <w:color w:val="000000"/>
              </w:rPr>
              <w:t xml:space="preserve">          </w:t>
            </w:r>
          </w:p>
        </w:tc>
        <w:tc>
          <w:tcPr>
            <w:tcW w:w="362" w:type="pct"/>
            <w:noWrap/>
          </w:tcPr>
          <w:p w14:paraId="05F73F2A" w14:textId="77777777" w:rsidR="002E7733" w:rsidRPr="00F476CB" w:rsidRDefault="002E7733" w:rsidP="00276EC8">
            <w:pPr>
              <w:rPr>
                <w:rFonts w:ascii="Calibri" w:hAnsi="Calibri" w:cs="Calibri"/>
                <w:color w:val="000000"/>
              </w:rPr>
            </w:pPr>
            <w:r w:rsidRPr="00F476CB">
              <w:rPr>
                <w:rFonts w:ascii="Calibri" w:hAnsi="Calibri" w:cs="Calibri"/>
                <w:color w:val="000000"/>
              </w:rPr>
              <w:t>t</w:t>
            </w:r>
          </w:p>
        </w:tc>
        <w:tc>
          <w:tcPr>
            <w:tcW w:w="4029" w:type="pct"/>
          </w:tcPr>
          <w:p w14:paraId="793ED37E" w14:textId="77777777" w:rsidR="002E7733" w:rsidRPr="00F476CB" w:rsidRDefault="00B9186A" w:rsidP="00B70541">
            <w:pPr>
              <w:spacing w:after="240"/>
              <w:jc w:val="both"/>
              <w:rPr>
                <w:rFonts w:ascii="Calibri" w:hAnsi="Calibri" w:cs="Calibri"/>
                <w:color w:val="000000"/>
              </w:rPr>
            </w:pPr>
            <w:r w:rsidRPr="00F476CB">
              <w:rPr>
                <w:rFonts w:ascii="Calibri" w:hAnsi="Calibri" w:cs="Calibri"/>
                <w:color w:val="000000"/>
              </w:rPr>
              <w:t xml:space="preserve">CANON DE ENTRADA A PLANTA DE VALORIZACIÓN AUTORIZADA POR CONSEJERÍA DE MEDIO AMBIENTE, DE RESIDUOS DE CONSTRUCCIÓN Y DEMOLICIÓN NO PELIGROSO - RNP- DE CARÁCTER NO PÉTREO (CARTÓN-PAPEL, MADERA, VIDRIO, PLÁSTICOS Y METALES INCLUIDOS ENVASES Y EMBALAJES DE ESTOS </w:t>
            </w:r>
            <w:proofErr w:type="gramStart"/>
            <w:r w:rsidRPr="00F476CB">
              <w:rPr>
                <w:rFonts w:ascii="Calibri" w:hAnsi="Calibri" w:cs="Calibri"/>
                <w:color w:val="000000"/>
              </w:rPr>
              <w:t>MATERIALES</w:t>
            </w:r>
            <w:proofErr w:type="gramEnd"/>
            <w:r w:rsidRPr="00F476CB">
              <w:rPr>
                <w:rFonts w:ascii="Calibri" w:hAnsi="Calibri" w:cs="Calibri"/>
                <w:color w:val="000000"/>
              </w:rPr>
              <w:t xml:space="preserve"> ASÍ COMO BIODEGRADABLES DEL DESBROCE) SIN MEDIDAS DE PROTECCIÓN COLECTIVAS.</w:t>
            </w:r>
          </w:p>
        </w:tc>
      </w:tr>
    </w:tbl>
    <w:p w14:paraId="33DCFE42" w14:textId="77777777" w:rsidR="00B9186A" w:rsidRDefault="00B9186A" w:rsidP="002E7733">
      <w:pPr>
        <w:pStyle w:val="NORMAL12"/>
      </w:pPr>
      <w:r>
        <w:t>Se define la unidad como el coste del canon de entrada a planta de valorización</w:t>
      </w:r>
      <w:r w:rsidR="00DD3172">
        <w:t xml:space="preserve">, </w:t>
      </w:r>
      <w:r>
        <w:t xml:space="preserve">autorizada por la Administración </w:t>
      </w:r>
      <w:proofErr w:type="gramStart"/>
      <w:r w:rsidR="00217216">
        <w:t>competente</w:t>
      </w:r>
      <w:r w:rsidR="00DD3172">
        <w:t xml:space="preserve">, </w:t>
      </w:r>
      <w:r>
        <w:t xml:space="preserve"> de</w:t>
      </w:r>
      <w:proofErr w:type="gramEnd"/>
      <w:r>
        <w:t xml:space="preserve"> residuos de construcción y demolición no </w:t>
      </w:r>
      <w:proofErr w:type="gramStart"/>
      <w:r>
        <w:t xml:space="preserve">peligrosos </w:t>
      </w:r>
      <w:r w:rsidR="00DD3172">
        <w:t xml:space="preserve"> </w:t>
      </w:r>
      <w:r>
        <w:t>–</w:t>
      </w:r>
      <w:proofErr w:type="gramEnd"/>
      <w:r>
        <w:t xml:space="preserve"> RNP- de carácter no pétreo, así como biodegradables procedentes del desbroce, incluido el coste del tratamiento de</w:t>
      </w:r>
      <w:r w:rsidR="00FC060E">
        <w:t xml:space="preserve"> </w:t>
      </w:r>
      <w:proofErr w:type="gramStart"/>
      <w:r>
        <w:t>l</w:t>
      </w:r>
      <w:r w:rsidR="00FC060E">
        <w:t>os</w:t>
      </w:r>
      <w:r>
        <w:t xml:space="preserve"> mismo</w:t>
      </w:r>
      <w:r w:rsidR="00FC060E">
        <w:t>s</w:t>
      </w:r>
      <w:proofErr w:type="gramEnd"/>
      <w:r>
        <w:t>.</w:t>
      </w:r>
    </w:p>
    <w:p w14:paraId="4012FDD2" w14:textId="77777777" w:rsidR="002E7733" w:rsidRPr="004253D9" w:rsidRDefault="002E7733" w:rsidP="000313DD">
      <w:pPr>
        <w:pStyle w:val="TITU2"/>
      </w:pPr>
      <w:bookmarkStart w:id="1586" w:name="_Toc404767"/>
      <w:r w:rsidRPr="004253D9">
        <w:t>950</w:t>
      </w:r>
      <w:r w:rsidR="00EF446D">
        <w:t>d</w:t>
      </w:r>
      <w:r w:rsidRPr="004253D9">
        <w:t>.</w:t>
      </w:r>
      <w:r>
        <w:t>2.</w:t>
      </w:r>
      <w:r w:rsidRPr="004253D9">
        <w:t xml:space="preserve"> Ejecución de las obras</w:t>
      </w:r>
      <w:bookmarkEnd w:id="1586"/>
      <w:r w:rsidRPr="004253D9">
        <w:t xml:space="preserve"> </w:t>
      </w:r>
    </w:p>
    <w:p w14:paraId="33A044F2" w14:textId="77777777" w:rsidR="00B9186A" w:rsidRDefault="00B9186A" w:rsidP="002E7733">
      <w:pPr>
        <w:pStyle w:val="NORMAL12"/>
      </w:pPr>
      <w:r>
        <w:t xml:space="preserve">La entrega se realizará a gestor autorizado en las condiciones establecidas en </w:t>
      </w:r>
      <w:r w:rsidR="00217216">
        <w:t>la normativa vigente</w:t>
      </w:r>
      <w:r>
        <w:t xml:space="preserve">. El gestor debe estar autorizado por la </w:t>
      </w:r>
      <w:proofErr w:type="spellStart"/>
      <w:r>
        <w:t>Administracion</w:t>
      </w:r>
      <w:proofErr w:type="spellEnd"/>
      <w:r>
        <w:t xml:space="preserve"> competente en medio ambiente.</w:t>
      </w:r>
    </w:p>
    <w:p w14:paraId="2681C1B8" w14:textId="77777777" w:rsidR="00DD3172" w:rsidRDefault="00B9186A" w:rsidP="002E7733">
      <w:pPr>
        <w:pStyle w:val="NORMAL12"/>
      </w:pPr>
      <w:r>
        <w:t xml:space="preserve">Una vez realizada la entrega y </w:t>
      </w:r>
      <w:r w:rsidR="00FC060E">
        <w:t xml:space="preserve">después de </w:t>
      </w:r>
      <w:r w:rsidR="00DD3172">
        <w:t>que se ha</w:t>
      </w:r>
      <w:r w:rsidR="00FC060E">
        <w:t>ya</w:t>
      </w:r>
      <w:r w:rsidR="00DD3172">
        <w:t xml:space="preserve"> llevado a cabo </w:t>
      </w:r>
      <w:r>
        <w:t xml:space="preserve">el tratamiento del residuo, </w:t>
      </w:r>
      <w:r w:rsidR="00FC060E">
        <w:t xml:space="preserve">el gestor </w:t>
      </w:r>
      <w:r>
        <w:t xml:space="preserve">emitirá la documentación requerida </w:t>
      </w:r>
      <w:r w:rsidR="00DD3172">
        <w:t xml:space="preserve">que testifique que se ha llevado a cabo el tratamiento del residuo </w:t>
      </w:r>
      <w:r w:rsidR="00FC060E">
        <w:t xml:space="preserve">adecuado, </w:t>
      </w:r>
      <w:r w:rsidR="00DD3172">
        <w:t>de acuerdo con la normativa vigente.</w:t>
      </w:r>
    </w:p>
    <w:p w14:paraId="5AF18676" w14:textId="77777777" w:rsidR="005A475D" w:rsidRDefault="005A475D" w:rsidP="002E7733">
      <w:pPr>
        <w:pStyle w:val="NORMAL12"/>
      </w:pPr>
    </w:p>
    <w:p w14:paraId="7EC035CE" w14:textId="77777777" w:rsidR="005A475D" w:rsidRDefault="005A475D" w:rsidP="002E7733">
      <w:pPr>
        <w:pStyle w:val="NORMAL12"/>
      </w:pPr>
    </w:p>
    <w:p w14:paraId="2EDD10FB" w14:textId="77777777" w:rsidR="005A475D" w:rsidRDefault="005A475D" w:rsidP="002E7733">
      <w:pPr>
        <w:pStyle w:val="NORMAL12"/>
      </w:pPr>
    </w:p>
    <w:p w14:paraId="71E12B72" w14:textId="77777777" w:rsidR="005A475D" w:rsidRDefault="005A475D" w:rsidP="002E7733">
      <w:pPr>
        <w:pStyle w:val="NORMAL12"/>
      </w:pPr>
    </w:p>
    <w:p w14:paraId="664CB271" w14:textId="77777777" w:rsidR="005A475D" w:rsidRDefault="005A475D" w:rsidP="002E7733">
      <w:pPr>
        <w:pStyle w:val="NORMAL12"/>
      </w:pPr>
    </w:p>
    <w:p w14:paraId="276686F9" w14:textId="77777777" w:rsidR="005A475D" w:rsidRDefault="005A475D" w:rsidP="002E7733">
      <w:pPr>
        <w:pStyle w:val="NORMAL12"/>
      </w:pPr>
    </w:p>
    <w:p w14:paraId="2354C3D8" w14:textId="77777777" w:rsidR="005A475D" w:rsidRDefault="005A475D" w:rsidP="002E7733">
      <w:pPr>
        <w:pStyle w:val="NORMAL12"/>
      </w:pPr>
    </w:p>
    <w:p w14:paraId="05E9F097" w14:textId="77777777" w:rsidR="002E7733" w:rsidRPr="004253D9" w:rsidRDefault="002E7733" w:rsidP="000313DD">
      <w:pPr>
        <w:pStyle w:val="TITU2"/>
      </w:pPr>
      <w:bookmarkStart w:id="1587" w:name="_Toc404768"/>
      <w:r w:rsidRPr="004253D9">
        <w:t>950</w:t>
      </w:r>
      <w:r w:rsidR="00EF446D">
        <w:t>d</w:t>
      </w:r>
      <w:r w:rsidRPr="004253D9">
        <w:t>.</w:t>
      </w:r>
      <w:r>
        <w:t>3.</w:t>
      </w:r>
      <w:r w:rsidRPr="004253D9">
        <w:t xml:space="preserve"> Medición y abono</w:t>
      </w:r>
      <w:bookmarkEnd w:id="1587"/>
      <w:r w:rsidRPr="004253D9">
        <w:t xml:space="preserve"> </w:t>
      </w:r>
    </w:p>
    <w:p w14:paraId="7ABF9064" w14:textId="77777777" w:rsidR="002E7733" w:rsidRPr="002B45E8" w:rsidRDefault="002E7733" w:rsidP="002E7733">
      <w:pPr>
        <w:pStyle w:val="NORMAL12"/>
      </w:pPr>
      <w:r w:rsidRPr="002B45E8">
        <w:t xml:space="preserve">La </w:t>
      </w:r>
      <w:r w:rsidR="008C7D19">
        <w:t>medición y abono de la unidad se realizará según</w:t>
      </w:r>
      <w:r w:rsidRPr="002B45E8">
        <w:t xml:space="preserve"> los criterios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2E7733" w:rsidRPr="002B45E8" w14:paraId="7C5D89C6" w14:textId="77777777" w:rsidTr="00276EC8">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22134DBB" w14:textId="77777777" w:rsidR="002E7733" w:rsidRPr="002B45E8" w:rsidRDefault="002E7733" w:rsidP="00276EC8">
            <w:pPr>
              <w:pStyle w:val="Tabla"/>
              <w:rPr>
                <w:b/>
              </w:rPr>
            </w:pPr>
            <w:r w:rsidRPr="002B45E8">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5999CD15" w14:textId="77777777" w:rsidR="002E7733" w:rsidRPr="002B45E8" w:rsidRDefault="002E7733" w:rsidP="00FC060E">
            <w:pPr>
              <w:pStyle w:val="LCATabla"/>
              <w:keepLines/>
              <w:jc w:val="both"/>
              <w:rPr>
                <w:rFonts w:ascii="Arial" w:hAnsi="Arial" w:cs="Arial"/>
                <w:sz w:val="20"/>
              </w:rPr>
            </w:pPr>
            <w:r w:rsidRPr="002B45E8">
              <w:rPr>
                <w:rFonts w:ascii="Arial" w:hAnsi="Arial" w:cs="Arial"/>
                <w:sz w:val="20"/>
              </w:rPr>
              <w:t xml:space="preserve">Toneladas (t) </w:t>
            </w:r>
          </w:p>
        </w:tc>
      </w:tr>
      <w:tr w:rsidR="002E7733" w:rsidRPr="002B45E8" w14:paraId="2EE594A8" w14:textId="77777777" w:rsidTr="00276EC8">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2B7B6765" w14:textId="77777777" w:rsidR="002E7733" w:rsidRPr="002B45E8" w:rsidRDefault="002E7733" w:rsidP="00276EC8">
            <w:pPr>
              <w:pStyle w:val="Tabla"/>
              <w:rPr>
                <w:b/>
              </w:rPr>
            </w:pPr>
            <w:r w:rsidRPr="002B45E8">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383A47E9" w14:textId="77777777" w:rsidR="002E7733" w:rsidRPr="002B45E8" w:rsidRDefault="002E7733" w:rsidP="00FC060E">
            <w:pPr>
              <w:pStyle w:val="LCATabla"/>
              <w:keepLines/>
              <w:jc w:val="both"/>
              <w:rPr>
                <w:rFonts w:ascii="Arial" w:hAnsi="Arial" w:cs="Arial"/>
                <w:sz w:val="20"/>
              </w:rPr>
            </w:pPr>
            <w:r w:rsidRPr="002B45E8">
              <w:rPr>
                <w:rFonts w:ascii="Arial" w:hAnsi="Arial" w:cs="Arial"/>
                <w:sz w:val="20"/>
              </w:rPr>
              <w:t>Dos decimales.</w:t>
            </w:r>
          </w:p>
        </w:tc>
      </w:tr>
      <w:tr w:rsidR="002E7733" w:rsidRPr="002B45E8" w14:paraId="0F878704" w14:textId="77777777" w:rsidTr="00276EC8">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3884B0CC" w14:textId="77777777" w:rsidR="002E7733" w:rsidRPr="002B45E8" w:rsidRDefault="002E7733" w:rsidP="00276EC8">
            <w:pPr>
              <w:pStyle w:val="Tabla"/>
              <w:rPr>
                <w:b/>
              </w:rPr>
            </w:pPr>
            <w:r w:rsidRPr="002B45E8">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557F4BB0" w14:textId="77777777" w:rsidR="002E7733" w:rsidRPr="002B45E8" w:rsidRDefault="002E7733" w:rsidP="00FC060E">
            <w:pPr>
              <w:pStyle w:val="LCATabla"/>
              <w:keepLines/>
              <w:jc w:val="both"/>
              <w:rPr>
                <w:rFonts w:ascii="Arial" w:hAnsi="Arial" w:cs="Arial"/>
                <w:sz w:val="20"/>
              </w:rPr>
            </w:pPr>
            <w:r w:rsidRPr="002B45E8">
              <w:rPr>
                <w:rFonts w:ascii="Arial" w:hAnsi="Arial" w:cs="Arial"/>
                <w:sz w:val="20"/>
              </w:rPr>
              <w:t xml:space="preserve">Por peso </w:t>
            </w:r>
            <w:r w:rsidR="00DD3172">
              <w:rPr>
                <w:rFonts w:ascii="Arial" w:hAnsi="Arial" w:cs="Arial"/>
                <w:sz w:val="20"/>
              </w:rPr>
              <w:t>o me</w:t>
            </w:r>
            <w:r w:rsidRPr="002B45E8">
              <w:rPr>
                <w:rFonts w:ascii="Arial" w:hAnsi="Arial" w:cs="Arial"/>
                <w:sz w:val="20"/>
              </w:rPr>
              <w:t xml:space="preserve">dida que figura en los documentos oficiales de control y seguimiento de los residuos entregados a gestor autorizado </w:t>
            </w:r>
          </w:p>
        </w:tc>
      </w:tr>
      <w:tr w:rsidR="002E7733" w:rsidRPr="002B45E8" w14:paraId="4CD69603" w14:textId="77777777" w:rsidTr="00276EC8">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5D536364" w14:textId="77777777" w:rsidR="002E7733" w:rsidRPr="002B45E8" w:rsidRDefault="002E7733" w:rsidP="00276EC8">
            <w:pPr>
              <w:pStyle w:val="Tabla"/>
              <w:rPr>
                <w:b/>
              </w:rPr>
            </w:pPr>
            <w:r w:rsidRPr="002B45E8">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6318E358" w14:textId="77777777" w:rsidR="002E7733" w:rsidRPr="002B45E8" w:rsidRDefault="002E7733" w:rsidP="00FC060E">
            <w:pPr>
              <w:pStyle w:val="LCATabla"/>
              <w:keepLines/>
              <w:jc w:val="both"/>
              <w:rPr>
                <w:rFonts w:ascii="Arial" w:hAnsi="Arial" w:cs="Arial"/>
                <w:sz w:val="20"/>
              </w:rPr>
            </w:pPr>
            <w:r w:rsidRPr="002B45E8">
              <w:rPr>
                <w:rFonts w:ascii="Arial" w:hAnsi="Arial" w:cs="Arial"/>
                <w:sz w:val="20"/>
              </w:rPr>
              <w:t>Se efectuará cuando se realice la aceptación</w:t>
            </w:r>
          </w:p>
        </w:tc>
      </w:tr>
      <w:tr w:rsidR="002E7733" w:rsidRPr="002B45E8" w14:paraId="6EF92106" w14:textId="77777777" w:rsidTr="00343CB4">
        <w:trPr>
          <w:trHeight w:val="325"/>
          <w:jc w:val="center"/>
        </w:trPr>
        <w:tc>
          <w:tcPr>
            <w:tcW w:w="2682" w:type="dxa"/>
            <w:tcBorders>
              <w:top w:val="single" w:sz="4" w:space="0" w:color="auto"/>
              <w:left w:val="single" w:sz="4" w:space="0" w:color="auto"/>
              <w:bottom w:val="single" w:sz="4" w:space="0" w:color="auto"/>
              <w:right w:val="single" w:sz="4" w:space="0" w:color="auto"/>
            </w:tcBorders>
            <w:vAlign w:val="center"/>
          </w:tcPr>
          <w:p w14:paraId="5F45D245" w14:textId="77777777" w:rsidR="002E7733" w:rsidRPr="002B45E8" w:rsidRDefault="002E7733" w:rsidP="00276EC8">
            <w:pPr>
              <w:pStyle w:val="Tabla"/>
              <w:rPr>
                <w:b/>
              </w:rPr>
            </w:pPr>
            <w:r w:rsidRPr="002B45E8">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14A09176" w14:textId="77777777" w:rsidR="008C7D19" w:rsidRPr="002B45E8" w:rsidRDefault="002E7733" w:rsidP="00FC060E">
            <w:pPr>
              <w:pStyle w:val="LCATabla"/>
              <w:keepLines/>
              <w:jc w:val="both"/>
              <w:rPr>
                <w:rFonts w:ascii="Arial" w:hAnsi="Arial" w:cs="Arial"/>
                <w:sz w:val="20"/>
              </w:rPr>
            </w:pPr>
            <w:r w:rsidRPr="002B45E8">
              <w:rPr>
                <w:rFonts w:ascii="Arial" w:hAnsi="Arial" w:cs="Arial"/>
                <w:sz w:val="20"/>
              </w:rPr>
              <w:t xml:space="preserve">El precio de la unidad incluye </w:t>
            </w:r>
            <w:r w:rsidR="00B9186A">
              <w:rPr>
                <w:rFonts w:ascii="Arial" w:hAnsi="Arial" w:cs="Arial"/>
                <w:sz w:val="20"/>
              </w:rPr>
              <w:t>el coste del canon de entrega a gestor de residuos</w:t>
            </w:r>
            <w:r w:rsidR="00FC060E">
              <w:rPr>
                <w:rFonts w:ascii="Arial" w:hAnsi="Arial" w:cs="Arial"/>
                <w:sz w:val="20"/>
              </w:rPr>
              <w:t>,</w:t>
            </w:r>
            <w:r w:rsidR="00B9186A">
              <w:rPr>
                <w:rFonts w:ascii="Arial" w:hAnsi="Arial" w:cs="Arial"/>
                <w:sz w:val="20"/>
              </w:rPr>
              <w:t xml:space="preserve"> y</w:t>
            </w:r>
            <w:r w:rsidR="00FC060E">
              <w:rPr>
                <w:rFonts w:ascii="Arial" w:hAnsi="Arial" w:cs="Arial"/>
                <w:sz w:val="20"/>
              </w:rPr>
              <w:t xml:space="preserve"> los trabajos de</w:t>
            </w:r>
            <w:r w:rsidR="00B9186A">
              <w:rPr>
                <w:rFonts w:ascii="Arial" w:hAnsi="Arial" w:cs="Arial"/>
                <w:sz w:val="20"/>
              </w:rPr>
              <w:t xml:space="preserve"> gestión y tratamiento de</w:t>
            </w:r>
            <w:r w:rsidR="00DD3172">
              <w:rPr>
                <w:rFonts w:ascii="Arial" w:hAnsi="Arial" w:cs="Arial"/>
                <w:sz w:val="20"/>
              </w:rPr>
              <w:t xml:space="preserve"> </w:t>
            </w:r>
            <w:r w:rsidR="00FC060E">
              <w:rPr>
                <w:rFonts w:ascii="Arial" w:hAnsi="Arial" w:cs="Arial"/>
                <w:sz w:val="20"/>
              </w:rPr>
              <w:t xml:space="preserve">esos </w:t>
            </w:r>
            <w:r w:rsidR="00B9186A">
              <w:rPr>
                <w:rFonts w:ascii="Arial" w:hAnsi="Arial" w:cs="Arial"/>
                <w:sz w:val="20"/>
              </w:rPr>
              <w:t>residuos no peligrosos excepto pétreos.</w:t>
            </w:r>
            <w:r w:rsidR="008C7D19">
              <w:rPr>
                <w:rFonts w:ascii="Arial" w:hAnsi="Arial" w:cs="Arial"/>
                <w:sz w:val="20"/>
              </w:rPr>
              <w:t xml:space="preserve"> Incluso el coste de la generación de la documentación requerida por la normativa vigente.</w:t>
            </w:r>
          </w:p>
        </w:tc>
      </w:tr>
    </w:tbl>
    <w:p w14:paraId="6674D61E" w14:textId="77777777" w:rsidR="00C1390D" w:rsidRPr="002B45E8" w:rsidRDefault="00C1390D" w:rsidP="00EF446D">
      <w:pPr>
        <w:pStyle w:val="TITU1"/>
      </w:pPr>
      <w:bookmarkStart w:id="1588" w:name="_Toc404769"/>
      <w:r>
        <w:lastRenderedPageBreak/>
        <w:t>Artículo 950</w:t>
      </w:r>
      <w:r w:rsidR="00EF446D">
        <w:t>e</w:t>
      </w:r>
      <w:r>
        <w:t xml:space="preserve">. </w:t>
      </w:r>
      <w:r w:rsidR="002E7733">
        <w:t>Canon de g</w:t>
      </w:r>
      <w:r w:rsidRPr="002B45E8">
        <w:t xml:space="preserve">estión de residuos no peligrosos </w:t>
      </w:r>
      <w:r w:rsidR="00EF446D">
        <w:t xml:space="preserve">- </w:t>
      </w:r>
      <w:r w:rsidRPr="002B45E8">
        <w:t>pétreos</w:t>
      </w:r>
      <w:bookmarkEnd w:id="1588"/>
      <w:r w:rsidRPr="002B45E8">
        <w:t xml:space="preserve"> </w:t>
      </w:r>
      <w:bookmarkEnd w:id="1580"/>
    </w:p>
    <w:p w14:paraId="2B472F51" w14:textId="77777777" w:rsidR="00C1390D" w:rsidRDefault="00C1390D" w:rsidP="000313DD">
      <w:pPr>
        <w:pStyle w:val="TITU2"/>
      </w:pPr>
      <w:bookmarkStart w:id="1589" w:name="_Toc404770"/>
      <w:r w:rsidRPr="004253D9">
        <w:t>950</w:t>
      </w:r>
      <w:r w:rsidR="00EF446D">
        <w:t>e</w:t>
      </w:r>
      <w:r w:rsidRPr="004253D9">
        <w:t>.1. Definición</w:t>
      </w:r>
      <w:bookmarkEnd w:id="1589"/>
      <w:r w:rsidRPr="004253D9">
        <w:t xml:space="preserve"> </w:t>
      </w:r>
    </w:p>
    <w:p w14:paraId="64EEF7E9" w14:textId="77777777" w:rsidR="008C7D19" w:rsidRDefault="008C7D19" w:rsidP="008C7D19">
      <w:pPr>
        <w:pStyle w:val="NORMAL12"/>
      </w:pPr>
      <w:r>
        <w:rPr>
          <w:lang w:val="es-ES"/>
        </w:rPr>
        <w:t xml:space="preserve">Las </w:t>
      </w:r>
      <w:r w:rsidR="00217216">
        <w:rPr>
          <w:lang w:val="es-ES"/>
        </w:rPr>
        <w:t>prescripciones</w:t>
      </w:r>
      <w:r>
        <w:rPr>
          <w:lang w:val="es-ES"/>
        </w:rPr>
        <w:t xml:space="preserve"> de este artículo </w:t>
      </w:r>
      <w:proofErr w:type="gramStart"/>
      <w:r>
        <w:rPr>
          <w:lang w:val="es-ES"/>
        </w:rPr>
        <w:t>son de aplicación</w:t>
      </w:r>
      <w:proofErr w:type="gramEnd"/>
      <w:r>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207"/>
        <w:gridCol w:w="717"/>
        <w:gridCol w:w="7996"/>
      </w:tblGrid>
      <w:tr w:rsidR="003469AE" w:rsidRPr="00EF1AE7" w14:paraId="575A874A" w14:textId="77777777" w:rsidTr="008C7D19">
        <w:trPr>
          <w:trHeight w:val="1843"/>
        </w:trPr>
        <w:tc>
          <w:tcPr>
            <w:tcW w:w="608" w:type="pct"/>
            <w:noWrap/>
          </w:tcPr>
          <w:p w14:paraId="3EA99C68" w14:textId="77777777" w:rsidR="003469AE" w:rsidRPr="00F476CB" w:rsidRDefault="003469AE">
            <w:pPr>
              <w:rPr>
                <w:rFonts w:ascii="Calibri" w:hAnsi="Calibri" w:cs="Calibri"/>
                <w:color w:val="000000"/>
              </w:rPr>
            </w:pPr>
            <w:r w:rsidRPr="00F476CB">
              <w:rPr>
                <w:rFonts w:ascii="Calibri" w:hAnsi="Calibri" w:cs="Calibri"/>
                <w:color w:val="000000"/>
              </w:rPr>
              <w:t>950.0030</w:t>
            </w:r>
            <w:r w:rsidR="00DD3172" w:rsidRPr="00F476CB">
              <w:rPr>
                <w:rFonts w:ascii="Calibri" w:hAnsi="Calibri" w:cs="Calibri"/>
                <w:color w:val="000000"/>
              </w:rPr>
              <w:t>N</w:t>
            </w:r>
            <w:r w:rsidRPr="00F476CB">
              <w:rPr>
                <w:rFonts w:ascii="Calibri" w:hAnsi="Calibri" w:cs="Calibri"/>
                <w:color w:val="000000"/>
              </w:rPr>
              <w:t xml:space="preserve">          </w:t>
            </w:r>
          </w:p>
        </w:tc>
        <w:tc>
          <w:tcPr>
            <w:tcW w:w="362" w:type="pct"/>
            <w:noWrap/>
          </w:tcPr>
          <w:p w14:paraId="0BE217CD" w14:textId="77777777" w:rsidR="003469AE" w:rsidRPr="00F476CB" w:rsidRDefault="003469AE">
            <w:pPr>
              <w:rPr>
                <w:rFonts w:ascii="Calibri" w:hAnsi="Calibri" w:cs="Calibri"/>
                <w:color w:val="000000"/>
              </w:rPr>
            </w:pPr>
            <w:r w:rsidRPr="00F476CB">
              <w:rPr>
                <w:rFonts w:ascii="Calibri" w:hAnsi="Calibri" w:cs="Calibri"/>
                <w:color w:val="000000"/>
              </w:rPr>
              <w:t>t</w:t>
            </w:r>
          </w:p>
        </w:tc>
        <w:tc>
          <w:tcPr>
            <w:tcW w:w="4029" w:type="pct"/>
          </w:tcPr>
          <w:p w14:paraId="7BB7DB07" w14:textId="77777777" w:rsidR="00E9144F" w:rsidRPr="00F476CB" w:rsidRDefault="00DD3172" w:rsidP="00B70541">
            <w:pPr>
              <w:spacing w:after="240"/>
              <w:jc w:val="both"/>
              <w:rPr>
                <w:rFonts w:ascii="Calibri" w:hAnsi="Calibri" w:cs="Calibri"/>
                <w:color w:val="000000"/>
              </w:rPr>
            </w:pPr>
            <w:r w:rsidRPr="00F476CB">
              <w:rPr>
                <w:rFonts w:ascii="Calibri" w:hAnsi="Calibri" w:cs="Calibri"/>
                <w:color w:val="000000"/>
              </w:rPr>
              <w:t xml:space="preserve">CANON DE ENTRADA A PLANTA DE VALORIZACIÓN AUTORIZADA POR CONSEJERÍA DE MEDIO AMBIENTE, DE RESIDUOS DE CONSTRUCCIÓN Y DEMOLICIÓN NO PELIGROSOS -RNP- DE CARÁCTER </w:t>
            </w:r>
            <w:proofErr w:type="gramStart"/>
            <w:r w:rsidRPr="00F476CB">
              <w:rPr>
                <w:rFonts w:ascii="Calibri" w:hAnsi="Calibri" w:cs="Calibri"/>
                <w:color w:val="000000"/>
              </w:rPr>
              <w:t>PÉTREO  (</w:t>
            </w:r>
            <w:proofErr w:type="gramEnd"/>
            <w:r w:rsidRPr="00F476CB">
              <w:rPr>
                <w:rFonts w:ascii="Calibri" w:hAnsi="Calibri" w:cs="Calibri"/>
                <w:color w:val="000000"/>
              </w:rPr>
              <w:t>EXCEPTO TIERRAS Y PIEDRAS) CONSTITUIDOS POR HORMIGÓN, LADRILLOS, TEJAS Y MATERIALES CERÁMICOS (O MEZCLA DE ÉSTOS), YESO Y/O MEZCLAS BITUMINOSAS, SIN MEDIDAS DE PROTECCIÓN COLECTIVAS.</w:t>
            </w:r>
          </w:p>
        </w:tc>
      </w:tr>
    </w:tbl>
    <w:p w14:paraId="47050384" w14:textId="77777777" w:rsidR="0046154C" w:rsidRPr="005E224E" w:rsidRDefault="0046154C" w:rsidP="0046154C">
      <w:pPr>
        <w:rPr>
          <w:lang w:eastAsia="en-US"/>
        </w:rPr>
      </w:pPr>
    </w:p>
    <w:p w14:paraId="2664AC6E" w14:textId="77777777" w:rsidR="008C7D19" w:rsidRPr="005E224E" w:rsidRDefault="008C7D19" w:rsidP="008C7D19">
      <w:pPr>
        <w:pStyle w:val="NORMAL12"/>
      </w:pPr>
      <w:r w:rsidRPr="005E224E">
        <w:t xml:space="preserve">Se define la unidad como el coste del canon de entrada a planta de valorización, autorizada por la Administración </w:t>
      </w:r>
      <w:proofErr w:type="gramStart"/>
      <w:r w:rsidR="00217216" w:rsidRPr="005E224E">
        <w:t>competente</w:t>
      </w:r>
      <w:r w:rsidRPr="005E224E">
        <w:t>,  de</w:t>
      </w:r>
      <w:proofErr w:type="gramEnd"/>
      <w:r w:rsidRPr="005E224E">
        <w:t xml:space="preserve"> residuos de construcción y demolición no </w:t>
      </w:r>
      <w:proofErr w:type="gramStart"/>
      <w:r w:rsidRPr="005E224E">
        <w:t>peligrosos  –</w:t>
      </w:r>
      <w:proofErr w:type="gramEnd"/>
      <w:r w:rsidRPr="005E224E">
        <w:t xml:space="preserve"> RNP- de carácter pétreo, excepto tierras y piedras, constituidos por ho</w:t>
      </w:r>
      <w:r w:rsidR="00EF446D" w:rsidRPr="005E224E">
        <w:t>r</w:t>
      </w:r>
      <w:r w:rsidRPr="005E224E">
        <w:t>migón, ladrillos, tejas y materiales cerámicos</w:t>
      </w:r>
      <w:r w:rsidR="00EF446D" w:rsidRPr="005E224E">
        <w:t>, yesos y/o mezclas bituminosas</w:t>
      </w:r>
      <w:r w:rsidRPr="005E224E">
        <w:t xml:space="preserve">, incluido el coste de tratamiento de </w:t>
      </w:r>
      <w:proofErr w:type="gramStart"/>
      <w:r w:rsidRPr="005E224E">
        <w:t>los mismos</w:t>
      </w:r>
      <w:proofErr w:type="gramEnd"/>
      <w:r w:rsidRPr="005E224E">
        <w:t>.</w:t>
      </w:r>
    </w:p>
    <w:p w14:paraId="7F37CAC1" w14:textId="77777777" w:rsidR="00C1390D" w:rsidRPr="005E224E" w:rsidRDefault="00C1390D" w:rsidP="000313DD">
      <w:pPr>
        <w:pStyle w:val="TITU2"/>
      </w:pPr>
      <w:bookmarkStart w:id="1590" w:name="_Toc404771"/>
      <w:r w:rsidRPr="005E224E">
        <w:t>950</w:t>
      </w:r>
      <w:r w:rsidR="00EF446D" w:rsidRPr="005E224E">
        <w:t>e</w:t>
      </w:r>
      <w:r w:rsidRPr="005E224E">
        <w:t>.2. Ejecución de las obras</w:t>
      </w:r>
      <w:bookmarkEnd w:id="1590"/>
      <w:r w:rsidRPr="005E224E">
        <w:t xml:space="preserve"> </w:t>
      </w:r>
    </w:p>
    <w:p w14:paraId="1A6A434E" w14:textId="77777777" w:rsidR="008C7D19" w:rsidRPr="005E224E" w:rsidRDefault="008C7D19" w:rsidP="008C7D19">
      <w:pPr>
        <w:pStyle w:val="NORMAL12"/>
      </w:pPr>
      <w:r w:rsidRPr="005E224E">
        <w:t xml:space="preserve">La entrega se realizará a gestor autorizado en las condiciones establecidas en </w:t>
      </w:r>
      <w:r w:rsidR="00217216" w:rsidRPr="005E224E">
        <w:t>la normativa vigente</w:t>
      </w:r>
      <w:r w:rsidRPr="005E224E">
        <w:t xml:space="preserve">.  El gestor debe estar autorizado por la </w:t>
      </w:r>
      <w:proofErr w:type="spellStart"/>
      <w:r w:rsidRPr="005E224E">
        <w:t>Administracion</w:t>
      </w:r>
      <w:proofErr w:type="spellEnd"/>
      <w:r w:rsidRPr="005E224E">
        <w:t xml:space="preserve"> competente en medio ambiente.</w:t>
      </w:r>
    </w:p>
    <w:p w14:paraId="79A4BE1B" w14:textId="77777777" w:rsidR="008C7D19" w:rsidRPr="005E224E" w:rsidRDefault="008C7D19" w:rsidP="008C7D19">
      <w:pPr>
        <w:pStyle w:val="NORMAL12"/>
      </w:pPr>
      <w:r w:rsidRPr="005E224E">
        <w:t>Una vez realizada la entrega y después de que se haya llevado a cabo el tratamiento del residuo, el gestor emitirá la documentación requerida que testifique que se ha llevado a cabo el tratamiento del residuo adecuado, de acuerdo con la normativa vigente.</w:t>
      </w:r>
    </w:p>
    <w:p w14:paraId="401E098B" w14:textId="77777777" w:rsidR="00C1390D" w:rsidRPr="005E224E" w:rsidRDefault="00B70541" w:rsidP="000313DD">
      <w:pPr>
        <w:pStyle w:val="TITU2"/>
      </w:pPr>
      <w:r>
        <w:br w:type="column"/>
      </w:r>
      <w:bookmarkStart w:id="1591" w:name="_Toc404772"/>
      <w:r w:rsidR="00C1390D" w:rsidRPr="005E224E">
        <w:t>950</w:t>
      </w:r>
      <w:r w:rsidR="00EF446D" w:rsidRPr="005E224E">
        <w:t>e</w:t>
      </w:r>
      <w:r w:rsidR="00C1390D" w:rsidRPr="005E224E">
        <w:t>.3. Medición y abono</w:t>
      </w:r>
      <w:bookmarkEnd w:id="1591"/>
      <w:r w:rsidR="00C1390D" w:rsidRPr="005E224E">
        <w:t xml:space="preserve"> </w:t>
      </w:r>
    </w:p>
    <w:p w14:paraId="5B60FD86" w14:textId="77777777" w:rsidR="008C7D19" w:rsidRPr="005E224E" w:rsidRDefault="008C7D19" w:rsidP="008C7D19">
      <w:pPr>
        <w:pStyle w:val="NORMAL12"/>
      </w:pPr>
      <w:r w:rsidRPr="005E224E">
        <w:t>La medición y abono de la unidad se realizará según los criterios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C1390D" w:rsidRPr="005E224E" w14:paraId="3599C7DB" w14:textId="77777777" w:rsidTr="008A4616">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32EAEA54" w14:textId="77777777" w:rsidR="00C1390D" w:rsidRPr="005E224E" w:rsidRDefault="00C1390D" w:rsidP="00357E41">
            <w:pPr>
              <w:pStyle w:val="Tabla"/>
              <w:rPr>
                <w:b/>
              </w:rPr>
            </w:pPr>
            <w:r w:rsidRPr="005E224E">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792C5A86" w14:textId="77777777" w:rsidR="00C1390D" w:rsidRPr="005E224E" w:rsidRDefault="00C1390D" w:rsidP="00B70541">
            <w:pPr>
              <w:pStyle w:val="LCATabla"/>
              <w:keepLines/>
              <w:jc w:val="both"/>
              <w:rPr>
                <w:rFonts w:ascii="Arial" w:hAnsi="Arial" w:cs="Arial"/>
                <w:sz w:val="20"/>
              </w:rPr>
            </w:pPr>
            <w:r w:rsidRPr="005E224E">
              <w:rPr>
                <w:rFonts w:ascii="Arial" w:hAnsi="Arial" w:cs="Arial"/>
                <w:sz w:val="20"/>
              </w:rPr>
              <w:t xml:space="preserve">Toneladas (t) </w:t>
            </w:r>
          </w:p>
        </w:tc>
      </w:tr>
      <w:tr w:rsidR="00C1390D" w:rsidRPr="005E224E" w14:paraId="34B4C0A7" w14:textId="77777777" w:rsidTr="008A4616">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6794FC17" w14:textId="77777777" w:rsidR="00C1390D" w:rsidRPr="005E224E" w:rsidRDefault="00C1390D" w:rsidP="00357E41">
            <w:pPr>
              <w:pStyle w:val="Tabla"/>
              <w:rPr>
                <w:b/>
              </w:rPr>
            </w:pPr>
            <w:r w:rsidRPr="005E224E">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5997EEE6" w14:textId="77777777" w:rsidR="00C1390D" w:rsidRPr="005E224E" w:rsidRDefault="00C1390D" w:rsidP="00B70541">
            <w:pPr>
              <w:pStyle w:val="LCATabla"/>
              <w:keepLines/>
              <w:jc w:val="both"/>
              <w:rPr>
                <w:rFonts w:ascii="Arial" w:hAnsi="Arial" w:cs="Arial"/>
                <w:sz w:val="20"/>
              </w:rPr>
            </w:pPr>
            <w:r w:rsidRPr="005E224E">
              <w:rPr>
                <w:rFonts w:ascii="Arial" w:hAnsi="Arial" w:cs="Arial"/>
                <w:sz w:val="20"/>
              </w:rPr>
              <w:t>Dos decimales.</w:t>
            </w:r>
          </w:p>
        </w:tc>
      </w:tr>
      <w:tr w:rsidR="00C1390D" w:rsidRPr="005E224E" w14:paraId="04E6D654" w14:textId="77777777" w:rsidTr="008A4616">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154F8B01" w14:textId="77777777" w:rsidR="00C1390D" w:rsidRPr="005E224E" w:rsidRDefault="00C1390D" w:rsidP="00357E41">
            <w:pPr>
              <w:pStyle w:val="Tabla"/>
              <w:rPr>
                <w:b/>
              </w:rPr>
            </w:pPr>
            <w:r w:rsidRPr="005E224E">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27947204" w14:textId="77777777" w:rsidR="00C1390D" w:rsidRPr="005E224E" w:rsidRDefault="00C1390D" w:rsidP="00B70541">
            <w:pPr>
              <w:pStyle w:val="LCATabla"/>
              <w:keepLines/>
              <w:jc w:val="both"/>
              <w:rPr>
                <w:rFonts w:ascii="Arial" w:hAnsi="Arial" w:cs="Arial"/>
                <w:sz w:val="20"/>
              </w:rPr>
            </w:pPr>
            <w:r w:rsidRPr="005E224E">
              <w:rPr>
                <w:rFonts w:ascii="Arial" w:hAnsi="Arial" w:cs="Arial"/>
                <w:sz w:val="20"/>
              </w:rPr>
              <w:t xml:space="preserve">Por peso o </w:t>
            </w:r>
            <w:proofErr w:type="gramStart"/>
            <w:r w:rsidRPr="005E224E">
              <w:rPr>
                <w:rFonts w:ascii="Arial" w:hAnsi="Arial" w:cs="Arial"/>
                <w:sz w:val="20"/>
              </w:rPr>
              <w:t>medida  que</w:t>
            </w:r>
            <w:proofErr w:type="gramEnd"/>
            <w:r w:rsidRPr="005E224E">
              <w:rPr>
                <w:rFonts w:ascii="Arial" w:hAnsi="Arial" w:cs="Arial"/>
                <w:sz w:val="20"/>
              </w:rPr>
              <w:t xml:space="preserve"> figura en los documentos oficiales de control y seguimiento de los residuos entregados a gestor autorizado </w:t>
            </w:r>
          </w:p>
        </w:tc>
      </w:tr>
      <w:tr w:rsidR="00C1390D" w:rsidRPr="005E224E" w14:paraId="01AA0336" w14:textId="77777777" w:rsidTr="008A4616">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26B903F2" w14:textId="77777777" w:rsidR="00C1390D" w:rsidRPr="005E224E" w:rsidRDefault="00C1390D" w:rsidP="00357E41">
            <w:pPr>
              <w:pStyle w:val="Tabla"/>
              <w:rPr>
                <w:b/>
              </w:rPr>
            </w:pPr>
            <w:r w:rsidRPr="005E224E">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22D933EE" w14:textId="77777777" w:rsidR="00C1390D" w:rsidRPr="005E224E" w:rsidRDefault="00C1390D" w:rsidP="00B70541">
            <w:pPr>
              <w:pStyle w:val="LCATabla"/>
              <w:keepLines/>
              <w:jc w:val="both"/>
              <w:rPr>
                <w:rFonts w:ascii="Arial" w:hAnsi="Arial" w:cs="Arial"/>
                <w:sz w:val="20"/>
              </w:rPr>
            </w:pPr>
            <w:r w:rsidRPr="005E224E">
              <w:rPr>
                <w:rFonts w:ascii="Arial" w:hAnsi="Arial" w:cs="Arial"/>
                <w:sz w:val="20"/>
              </w:rPr>
              <w:t>Se efectuará cuando se realice la aceptación</w:t>
            </w:r>
          </w:p>
        </w:tc>
      </w:tr>
      <w:tr w:rsidR="00C1390D" w:rsidRPr="005E224E" w14:paraId="3F98D1D2" w14:textId="77777777" w:rsidTr="008A4616">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7249E89C" w14:textId="77777777" w:rsidR="00C1390D" w:rsidRPr="005E224E" w:rsidRDefault="00C1390D" w:rsidP="00357E41">
            <w:pPr>
              <w:pStyle w:val="Tabla"/>
              <w:rPr>
                <w:b/>
              </w:rPr>
            </w:pPr>
            <w:r w:rsidRPr="005E224E">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186D9925" w14:textId="77777777" w:rsidR="00C1390D" w:rsidRPr="005E224E" w:rsidRDefault="008C7D19" w:rsidP="00B70541">
            <w:pPr>
              <w:pStyle w:val="LCATabla"/>
              <w:keepLines/>
              <w:jc w:val="both"/>
              <w:rPr>
                <w:rFonts w:ascii="Arial" w:hAnsi="Arial" w:cs="Arial"/>
                <w:sz w:val="20"/>
              </w:rPr>
            </w:pPr>
            <w:r w:rsidRPr="005E224E">
              <w:rPr>
                <w:rFonts w:ascii="Arial" w:hAnsi="Arial" w:cs="Arial"/>
                <w:sz w:val="20"/>
              </w:rPr>
              <w:t>El precio de la unidad incluye el coste del canon de entrega a gestor de residuos, y los trabajos de gestión y tratamiento de esos residuos no peligrosos de carácter pétreo, excepto tierras y piedras. Incluso el coste de la generación de la documentación requerida por la normativa vigente.</w:t>
            </w:r>
          </w:p>
        </w:tc>
      </w:tr>
    </w:tbl>
    <w:p w14:paraId="64B633AA" w14:textId="77777777" w:rsidR="00C1390D" w:rsidRPr="002B45E8" w:rsidRDefault="00C1390D" w:rsidP="00753FEC">
      <w:pPr>
        <w:pStyle w:val="TITU1"/>
      </w:pPr>
      <w:bookmarkStart w:id="1592" w:name="_Toc530001186"/>
      <w:bookmarkStart w:id="1593" w:name="_Toc404773"/>
      <w:r>
        <w:lastRenderedPageBreak/>
        <w:t>Artículo 950</w:t>
      </w:r>
      <w:r w:rsidR="00EF446D">
        <w:t>f</w:t>
      </w:r>
      <w:r>
        <w:t xml:space="preserve">. </w:t>
      </w:r>
      <w:r w:rsidR="002E7733">
        <w:t>Canon de g</w:t>
      </w:r>
      <w:r w:rsidRPr="002B45E8">
        <w:t>estión de residuos pe</w:t>
      </w:r>
      <w:r w:rsidR="0017668C">
        <w:t>ligrosos</w:t>
      </w:r>
      <w:bookmarkEnd w:id="1592"/>
      <w:bookmarkEnd w:id="1593"/>
    </w:p>
    <w:p w14:paraId="3CE8DA73" w14:textId="77777777" w:rsidR="00C1390D" w:rsidRDefault="00C1390D" w:rsidP="000313DD">
      <w:pPr>
        <w:pStyle w:val="TITU2"/>
      </w:pPr>
      <w:bookmarkStart w:id="1594" w:name="_Toc404774"/>
      <w:r w:rsidRPr="004253D9">
        <w:t>950</w:t>
      </w:r>
      <w:r w:rsidR="00EF446D">
        <w:t>f</w:t>
      </w:r>
      <w:r w:rsidRPr="004253D9">
        <w:t>.</w:t>
      </w:r>
      <w:r w:rsidR="00EF446D">
        <w:t>1.</w:t>
      </w:r>
      <w:r w:rsidRPr="004253D9">
        <w:t xml:space="preserve"> Definición</w:t>
      </w:r>
      <w:bookmarkEnd w:id="1594"/>
      <w:r w:rsidRPr="004253D9">
        <w:t xml:space="preserve"> </w:t>
      </w:r>
    </w:p>
    <w:p w14:paraId="4C113183" w14:textId="77777777" w:rsidR="008C7D19" w:rsidRDefault="008C7D19" w:rsidP="008C7D19">
      <w:pPr>
        <w:pStyle w:val="NORMAL12"/>
      </w:pPr>
      <w:r>
        <w:rPr>
          <w:lang w:val="es-ES"/>
        </w:rPr>
        <w:t xml:space="preserve">Las </w:t>
      </w:r>
      <w:r w:rsidR="00217216">
        <w:rPr>
          <w:lang w:val="es-ES"/>
        </w:rPr>
        <w:t>prescripciones</w:t>
      </w:r>
      <w:r>
        <w:rPr>
          <w:lang w:val="es-ES"/>
        </w:rPr>
        <w:t xml:space="preserve"> de este artículo </w:t>
      </w:r>
      <w:proofErr w:type="gramStart"/>
      <w:r>
        <w:rPr>
          <w:lang w:val="es-ES"/>
        </w:rPr>
        <w:t>son de aplicación</w:t>
      </w:r>
      <w:proofErr w:type="gramEnd"/>
      <w:r>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207"/>
        <w:gridCol w:w="719"/>
        <w:gridCol w:w="7994"/>
      </w:tblGrid>
      <w:tr w:rsidR="003469AE" w:rsidRPr="00EF1AE7" w14:paraId="1DA82AD7" w14:textId="77777777" w:rsidTr="00B70541">
        <w:trPr>
          <w:trHeight w:val="222"/>
        </w:trPr>
        <w:tc>
          <w:tcPr>
            <w:tcW w:w="608" w:type="pct"/>
            <w:noWrap/>
          </w:tcPr>
          <w:p w14:paraId="4AA55039" w14:textId="77777777" w:rsidR="003469AE" w:rsidRPr="00F476CB" w:rsidRDefault="0069682D">
            <w:pPr>
              <w:rPr>
                <w:rFonts w:ascii="Calibri" w:hAnsi="Calibri" w:cs="Calibri"/>
                <w:color w:val="000000"/>
              </w:rPr>
            </w:pPr>
            <w:r w:rsidRPr="00F476CB">
              <w:rPr>
                <w:rFonts w:ascii="Calibri" w:hAnsi="Calibri" w:cs="Calibri"/>
                <w:color w:val="000000"/>
              </w:rPr>
              <w:t>950.0050N</w:t>
            </w:r>
            <w:r w:rsidR="003469AE" w:rsidRPr="00F476CB">
              <w:rPr>
                <w:rFonts w:ascii="Calibri" w:hAnsi="Calibri" w:cs="Calibri"/>
                <w:color w:val="000000"/>
              </w:rPr>
              <w:t xml:space="preserve">         </w:t>
            </w:r>
          </w:p>
        </w:tc>
        <w:tc>
          <w:tcPr>
            <w:tcW w:w="363" w:type="pct"/>
            <w:noWrap/>
          </w:tcPr>
          <w:p w14:paraId="4303682F" w14:textId="77777777" w:rsidR="003469AE" w:rsidRPr="00F476CB" w:rsidRDefault="003469AE">
            <w:pPr>
              <w:rPr>
                <w:rFonts w:ascii="Calibri" w:hAnsi="Calibri" w:cs="Calibri"/>
                <w:color w:val="000000"/>
              </w:rPr>
            </w:pPr>
            <w:r w:rsidRPr="00F476CB">
              <w:rPr>
                <w:rFonts w:ascii="Calibri" w:hAnsi="Calibri" w:cs="Calibri"/>
                <w:color w:val="000000"/>
              </w:rPr>
              <w:t>t</w:t>
            </w:r>
          </w:p>
        </w:tc>
        <w:tc>
          <w:tcPr>
            <w:tcW w:w="4029" w:type="pct"/>
          </w:tcPr>
          <w:p w14:paraId="74C0A5DE" w14:textId="77777777" w:rsidR="00E9144F" w:rsidRPr="00F476CB" w:rsidRDefault="008C7D19" w:rsidP="00B70541">
            <w:pPr>
              <w:jc w:val="both"/>
              <w:rPr>
                <w:rFonts w:ascii="Calibri" w:hAnsi="Calibri" w:cs="Calibri"/>
                <w:color w:val="000000"/>
              </w:rPr>
            </w:pPr>
            <w:r w:rsidRPr="00F476CB">
              <w:rPr>
                <w:rFonts w:ascii="Calibri" w:hAnsi="Calibri" w:cs="Calibri"/>
                <w:color w:val="000000"/>
              </w:rPr>
              <w:t>CANON DE ENTRADA A PLANTA DE VALORIZACION AUTORIZADA POR CONSEJERÍA DE MEDIO AMBIENTE, DE RESIDUOS PELIGROSOS -RP- SIN MEDIDAS DE PROTECCIÓN COLECTIVAS.</w:t>
            </w:r>
          </w:p>
        </w:tc>
      </w:tr>
    </w:tbl>
    <w:p w14:paraId="578030E0" w14:textId="77777777" w:rsidR="0046154C" w:rsidRPr="0046154C" w:rsidRDefault="0046154C" w:rsidP="0046154C">
      <w:pPr>
        <w:rPr>
          <w:lang w:eastAsia="en-US"/>
        </w:rPr>
      </w:pPr>
    </w:p>
    <w:p w14:paraId="6BDFF91C" w14:textId="77777777" w:rsidR="008C7D19" w:rsidRDefault="008C7D19" w:rsidP="008C7D19">
      <w:pPr>
        <w:pStyle w:val="NORMAL12"/>
      </w:pPr>
      <w:r>
        <w:t xml:space="preserve">Se define la unidad como el coste del canon de entrada a planta de tratamiento de residuos peligrosos, autorizada por la Administración </w:t>
      </w:r>
      <w:proofErr w:type="gramStart"/>
      <w:r w:rsidR="00217216">
        <w:t>competente</w:t>
      </w:r>
      <w:r>
        <w:t>,  de</w:t>
      </w:r>
      <w:proofErr w:type="gramEnd"/>
      <w:r>
        <w:t xml:space="preserve"> residuos de construcción y demolición considerados peligrosos, incluso el coste del tratamiento de </w:t>
      </w:r>
      <w:proofErr w:type="gramStart"/>
      <w:r>
        <w:t>los mismos</w:t>
      </w:r>
      <w:proofErr w:type="gramEnd"/>
      <w:r>
        <w:t xml:space="preserve">. </w:t>
      </w:r>
    </w:p>
    <w:p w14:paraId="0A648B0E" w14:textId="77777777" w:rsidR="00C1390D" w:rsidRPr="008C7D19" w:rsidRDefault="00C1390D" w:rsidP="000313DD">
      <w:pPr>
        <w:pStyle w:val="TITU2"/>
      </w:pPr>
      <w:bookmarkStart w:id="1595" w:name="_Toc404775"/>
      <w:r w:rsidRPr="008C7D19">
        <w:t>950</w:t>
      </w:r>
      <w:r w:rsidR="00EF446D">
        <w:t>f</w:t>
      </w:r>
      <w:r w:rsidRPr="008C7D19">
        <w:t>.</w:t>
      </w:r>
      <w:r w:rsidR="00C461AD" w:rsidRPr="008C7D19">
        <w:t>2</w:t>
      </w:r>
      <w:r w:rsidRPr="008C7D19">
        <w:t>. Ejecución de las obras</w:t>
      </w:r>
      <w:bookmarkEnd w:id="1595"/>
      <w:r w:rsidRPr="008C7D19">
        <w:t xml:space="preserve"> </w:t>
      </w:r>
    </w:p>
    <w:p w14:paraId="4E375082" w14:textId="77777777" w:rsidR="008C7D19" w:rsidRDefault="008C7D19" w:rsidP="008C7D19">
      <w:pPr>
        <w:pStyle w:val="NORMAL12"/>
      </w:pPr>
      <w:r>
        <w:t xml:space="preserve">La entrega se realizará a gestor autorizado en las condiciones establecidas en </w:t>
      </w:r>
      <w:r w:rsidR="00217216">
        <w:t>la normativa vigente</w:t>
      </w:r>
      <w:r>
        <w:t xml:space="preserve">. </w:t>
      </w:r>
    </w:p>
    <w:p w14:paraId="3B185C73" w14:textId="77777777" w:rsidR="008C7D19" w:rsidRDefault="008C7D19" w:rsidP="008C7D19">
      <w:pPr>
        <w:pStyle w:val="NORMAL12"/>
      </w:pPr>
      <w:r>
        <w:t xml:space="preserve">El gestor debe estar autorizado por la </w:t>
      </w:r>
      <w:proofErr w:type="spellStart"/>
      <w:r>
        <w:t>Administracion</w:t>
      </w:r>
      <w:proofErr w:type="spellEnd"/>
      <w:r>
        <w:t xml:space="preserve"> competente en medio ambiente, para el tratamiento de residuos peligrosos.</w:t>
      </w:r>
    </w:p>
    <w:p w14:paraId="309F7DB9" w14:textId="77777777" w:rsidR="008C7D19" w:rsidRDefault="008C7D19" w:rsidP="008C7D19">
      <w:pPr>
        <w:pStyle w:val="NORMAL12"/>
      </w:pPr>
      <w:r>
        <w:t>Una vez realizada la entrega y después de que se haya llevado a cabo el tratamiento del residuo, el gestor emitirá la documentación requerida que testifique que se ha llevado a cabo el tratamiento del residuo adecuado, de acuerdo con la normativa vigente.</w:t>
      </w:r>
    </w:p>
    <w:p w14:paraId="71A6E2CB" w14:textId="77777777" w:rsidR="00C1390D" w:rsidRPr="008C7D19" w:rsidRDefault="00B70541" w:rsidP="000313DD">
      <w:pPr>
        <w:pStyle w:val="TITU2"/>
      </w:pPr>
      <w:r>
        <w:br w:type="column"/>
      </w:r>
      <w:bookmarkStart w:id="1596" w:name="_Toc404776"/>
      <w:r w:rsidR="00C1390D" w:rsidRPr="008C7D19">
        <w:t>950</w:t>
      </w:r>
      <w:r w:rsidR="00EF446D">
        <w:t>f</w:t>
      </w:r>
      <w:r w:rsidR="00C1390D" w:rsidRPr="008C7D19">
        <w:t>.3. Medición y abono</w:t>
      </w:r>
      <w:bookmarkEnd w:id="1596"/>
      <w:r w:rsidR="00C1390D" w:rsidRPr="008C7D19">
        <w:t xml:space="preserve"> </w:t>
      </w:r>
    </w:p>
    <w:p w14:paraId="2A57759E" w14:textId="77777777" w:rsidR="008C7D19" w:rsidRPr="002B45E8" w:rsidRDefault="008C7D19" w:rsidP="008C7D19">
      <w:pPr>
        <w:pStyle w:val="NORMAL12"/>
      </w:pPr>
      <w:r w:rsidRPr="002B45E8">
        <w:t xml:space="preserve">La </w:t>
      </w:r>
      <w:r>
        <w:t>medición y abono de la unidad se realizará según</w:t>
      </w:r>
      <w:r w:rsidRPr="002B45E8">
        <w:t xml:space="preserve"> los criterios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8C7D19" w:rsidRPr="008C7D19" w14:paraId="751BCF08" w14:textId="77777777" w:rsidTr="008A4616">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7847E937" w14:textId="77777777" w:rsidR="00C1390D" w:rsidRPr="008C7D19" w:rsidRDefault="00C1390D" w:rsidP="008A4616">
            <w:pPr>
              <w:pStyle w:val="Tabla"/>
              <w:jc w:val="left"/>
              <w:rPr>
                <w:b/>
              </w:rPr>
            </w:pPr>
            <w:r w:rsidRPr="008C7D19">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79CAD35F" w14:textId="77777777" w:rsidR="00C1390D" w:rsidRPr="008C7D19" w:rsidRDefault="00C1390D" w:rsidP="00B70541">
            <w:pPr>
              <w:pStyle w:val="LCATabla"/>
              <w:keepLines/>
              <w:jc w:val="both"/>
              <w:rPr>
                <w:rFonts w:ascii="Arial" w:hAnsi="Arial" w:cs="Arial"/>
                <w:sz w:val="20"/>
              </w:rPr>
            </w:pPr>
            <w:r w:rsidRPr="008C7D19">
              <w:rPr>
                <w:rFonts w:ascii="Arial" w:hAnsi="Arial" w:cs="Arial"/>
                <w:sz w:val="20"/>
              </w:rPr>
              <w:t xml:space="preserve">Toneladas (t) </w:t>
            </w:r>
          </w:p>
        </w:tc>
      </w:tr>
      <w:tr w:rsidR="008C7D19" w:rsidRPr="008C7D19" w14:paraId="0D7777FA" w14:textId="77777777" w:rsidTr="008A4616">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46E258EC" w14:textId="77777777" w:rsidR="00C1390D" w:rsidRPr="008C7D19" w:rsidRDefault="00C1390D" w:rsidP="008A4616">
            <w:pPr>
              <w:pStyle w:val="Tabla"/>
              <w:jc w:val="left"/>
              <w:rPr>
                <w:b/>
              </w:rPr>
            </w:pPr>
            <w:r w:rsidRPr="008C7D19">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747A28AD" w14:textId="77777777" w:rsidR="00C1390D" w:rsidRPr="008C7D19" w:rsidRDefault="00C1390D" w:rsidP="00B70541">
            <w:pPr>
              <w:pStyle w:val="LCATabla"/>
              <w:keepLines/>
              <w:jc w:val="both"/>
              <w:rPr>
                <w:rFonts w:ascii="Arial" w:hAnsi="Arial" w:cs="Arial"/>
                <w:sz w:val="20"/>
              </w:rPr>
            </w:pPr>
            <w:r w:rsidRPr="008C7D19">
              <w:rPr>
                <w:rFonts w:ascii="Arial" w:hAnsi="Arial" w:cs="Arial"/>
                <w:sz w:val="20"/>
              </w:rPr>
              <w:t>Dos decimales.</w:t>
            </w:r>
          </w:p>
        </w:tc>
      </w:tr>
      <w:tr w:rsidR="008C7D19" w:rsidRPr="008C7D19" w14:paraId="5FD8B88B" w14:textId="77777777" w:rsidTr="008A4616">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3B426080" w14:textId="77777777" w:rsidR="00C1390D" w:rsidRPr="008C7D19" w:rsidRDefault="00C1390D" w:rsidP="008A4616">
            <w:pPr>
              <w:pStyle w:val="Tabla"/>
              <w:jc w:val="left"/>
              <w:rPr>
                <w:b/>
              </w:rPr>
            </w:pPr>
            <w:r w:rsidRPr="008C7D19">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7C7CEE8E" w14:textId="77777777" w:rsidR="00C1390D" w:rsidRPr="008C7D19" w:rsidRDefault="00C1390D" w:rsidP="00B70541">
            <w:pPr>
              <w:pStyle w:val="LCATabla"/>
              <w:keepLines/>
              <w:jc w:val="both"/>
              <w:rPr>
                <w:rFonts w:ascii="Arial" w:hAnsi="Arial" w:cs="Arial"/>
                <w:sz w:val="20"/>
              </w:rPr>
            </w:pPr>
            <w:r w:rsidRPr="008C7D19">
              <w:rPr>
                <w:rFonts w:ascii="Arial" w:hAnsi="Arial" w:cs="Arial"/>
                <w:sz w:val="20"/>
              </w:rPr>
              <w:t xml:space="preserve">Por peso o </w:t>
            </w:r>
            <w:proofErr w:type="gramStart"/>
            <w:r w:rsidRPr="008C7D19">
              <w:rPr>
                <w:rFonts w:ascii="Arial" w:hAnsi="Arial" w:cs="Arial"/>
                <w:sz w:val="20"/>
              </w:rPr>
              <w:t>medida  que</w:t>
            </w:r>
            <w:proofErr w:type="gramEnd"/>
            <w:r w:rsidRPr="008C7D19">
              <w:rPr>
                <w:rFonts w:ascii="Arial" w:hAnsi="Arial" w:cs="Arial"/>
                <w:sz w:val="20"/>
              </w:rPr>
              <w:t xml:space="preserve"> figura en los documentos oficiales de control y seguimiento de los residuos entregados a gestor autorizado </w:t>
            </w:r>
          </w:p>
        </w:tc>
      </w:tr>
      <w:tr w:rsidR="008C7D19" w:rsidRPr="008C7D19" w14:paraId="76953C3D" w14:textId="77777777" w:rsidTr="008A4616">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182C892F" w14:textId="77777777" w:rsidR="00C1390D" w:rsidRPr="008C7D19" w:rsidRDefault="00C1390D" w:rsidP="008A4616">
            <w:pPr>
              <w:pStyle w:val="Tabla"/>
              <w:jc w:val="left"/>
              <w:rPr>
                <w:b/>
              </w:rPr>
            </w:pPr>
            <w:r w:rsidRPr="008C7D19">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7F979DFF" w14:textId="77777777" w:rsidR="00C1390D" w:rsidRPr="008C7D19" w:rsidRDefault="00C1390D" w:rsidP="00B70541">
            <w:pPr>
              <w:pStyle w:val="LCATabla"/>
              <w:keepLines/>
              <w:jc w:val="both"/>
              <w:rPr>
                <w:rFonts w:ascii="Arial" w:hAnsi="Arial" w:cs="Arial"/>
                <w:sz w:val="20"/>
              </w:rPr>
            </w:pPr>
            <w:r w:rsidRPr="008C7D19">
              <w:rPr>
                <w:rFonts w:ascii="Arial" w:hAnsi="Arial" w:cs="Arial"/>
                <w:sz w:val="20"/>
              </w:rPr>
              <w:t>Se efectuará cuando se realice la aceptación</w:t>
            </w:r>
          </w:p>
        </w:tc>
      </w:tr>
      <w:tr w:rsidR="008C7D19" w:rsidRPr="008C7D19" w14:paraId="4326B2D4" w14:textId="77777777" w:rsidTr="008A4616">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5634F30F" w14:textId="77777777" w:rsidR="00C1390D" w:rsidRPr="008C7D19" w:rsidRDefault="00C1390D" w:rsidP="008A4616">
            <w:pPr>
              <w:pStyle w:val="Tabla"/>
              <w:jc w:val="left"/>
              <w:rPr>
                <w:b/>
              </w:rPr>
            </w:pPr>
            <w:r w:rsidRPr="008C7D19">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485D6CE0" w14:textId="77777777" w:rsidR="00C1390D" w:rsidRPr="008C7D19" w:rsidRDefault="008C7D19" w:rsidP="00B70541">
            <w:pPr>
              <w:pStyle w:val="LCATabla"/>
              <w:keepLines/>
              <w:jc w:val="both"/>
              <w:rPr>
                <w:rFonts w:ascii="Arial" w:hAnsi="Arial" w:cs="Arial"/>
                <w:sz w:val="20"/>
              </w:rPr>
            </w:pPr>
            <w:r w:rsidRPr="008C7D19">
              <w:rPr>
                <w:rFonts w:ascii="Arial" w:hAnsi="Arial" w:cs="Arial"/>
                <w:sz w:val="20"/>
              </w:rPr>
              <w:t>El precio de la unidad incluye el coste del canon de entrega a gestor de residuos, y los trabajos de gestión y tratamiento de esos residuos peligrosos. Incluso el coste de la generación de la documentación requerida por la normativa vigente.</w:t>
            </w:r>
          </w:p>
        </w:tc>
      </w:tr>
    </w:tbl>
    <w:p w14:paraId="3EA7469B" w14:textId="77777777" w:rsidR="00EF446D" w:rsidRPr="00C461AD" w:rsidRDefault="00EF446D" w:rsidP="00EF446D">
      <w:pPr>
        <w:pStyle w:val="TITU1"/>
      </w:pPr>
      <w:bookmarkStart w:id="1597" w:name="_Toc404777"/>
      <w:bookmarkStart w:id="1598" w:name="_Toc529870969"/>
      <w:r w:rsidRPr="00083D10">
        <w:lastRenderedPageBreak/>
        <w:t xml:space="preserve">Artículo 951a. </w:t>
      </w:r>
      <w:r w:rsidR="00083D10" w:rsidRPr="00083D10">
        <w:t>Gestion de residuos vegetales</w:t>
      </w:r>
      <w:bookmarkEnd w:id="1597"/>
    </w:p>
    <w:p w14:paraId="324C8F1D" w14:textId="77777777" w:rsidR="00EF446D" w:rsidRPr="00BF6A1E" w:rsidRDefault="00EF446D" w:rsidP="000313DD">
      <w:pPr>
        <w:pStyle w:val="TITU2"/>
      </w:pPr>
      <w:bookmarkStart w:id="1599" w:name="_Toc404778"/>
      <w:r w:rsidRPr="00BF6A1E">
        <w:t>9</w:t>
      </w:r>
      <w:r>
        <w:t>51a</w:t>
      </w:r>
      <w:r w:rsidRPr="00BF6A1E">
        <w:t>.1. Definición</w:t>
      </w:r>
      <w:bookmarkEnd w:id="1599"/>
    </w:p>
    <w:p w14:paraId="3E1B071B" w14:textId="77777777" w:rsidR="00EF446D" w:rsidRPr="008C7D19" w:rsidRDefault="00EF446D" w:rsidP="00EF446D">
      <w:pPr>
        <w:pStyle w:val="NORMAL12"/>
        <w:rPr>
          <w:lang w:val="es-ES"/>
        </w:rPr>
      </w:pPr>
      <w:r w:rsidRPr="008C7D19">
        <w:rPr>
          <w:lang w:val="es-ES"/>
        </w:rPr>
        <w:t xml:space="preserve">Las prescripciones de este artículo </w:t>
      </w:r>
      <w:proofErr w:type="gramStart"/>
      <w:r w:rsidRPr="008C7D19">
        <w:rPr>
          <w:lang w:val="es-ES"/>
        </w:rPr>
        <w:t>son de aplicación</w:t>
      </w:r>
      <w:proofErr w:type="gramEnd"/>
      <w:r w:rsidRPr="008C7D19">
        <w:rPr>
          <w:lang w:val="es-ES"/>
        </w:rPr>
        <w:t xml:space="preserve"> a las unidades de obra siguiente:</w:t>
      </w:r>
    </w:p>
    <w:tbl>
      <w:tblPr>
        <w:tblW w:w="5000" w:type="pct"/>
        <w:tblCellMar>
          <w:left w:w="70" w:type="dxa"/>
          <w:right w:w="70" w:type="dxa"/>
        </w:tblCellMar>
        <w:tblLook w:val="04A0" w:firstRow="1" w:lastRow="0" w:firstColumn="1" w:lastColumn="0" w:noHBand="0" w:noVBand="1"/>
      </w:tblPr>
      <w:tblGrid>
        <w:gridCol w:w="1207"/>
        <w:gridCol w:w="714"/>
        <w:gridCol w:w="7999"/>
      </w:tblGrid>
      <w:tr w:rsidR="00EF446D" w:rsidRPr="008C7D19" w14:paraId="51CE78AD" w14:textId="77777777" w:rsidTr="00EF446D">
        <w:trPr>
          <w:trHeight w:val="419"/>
        </w:trPr>
        <w:tc>
          <w:tcPr>
            <w:tcW w:w="608" w:type="pct"/>
            <w:noWrap/>
          </w:tcPr>
          <w:p w14:paraId="2DEC59CC" w14:textId="77777777" w:rsidR="00EF446D" w:rsidRPr="00F476CB" w:rsidRDefault="00EF446D" w:rsidP="00EF446D">
            <w:pPr>
              <w:rPr>
                <w:rFonts w:ascii="Calibri" w:hAnsi="Calibri" w:cs="Calibri"/>
              </w:rPr>
            </w:pPr>
            <w:r w:rsidRPr="00F476CB">
              <w:rPr>
                <w:rFonts w:ascii="Calibri" w:hAnsi="Calibri" w:cs="Calibri"/>
              </w:rPr>
              <w:t xml:space="preserve">950.0051N         </w:t>
            </w:r>
          </w:p>
        </w:tc>
        <w:tc>
          <w:tcPr>
            <w:tcW w:w="360" w:type="pct"/>
            <w:noWrap/>
          </w:tcPr>
          <w:p w14:paraId="5F3DA96B" w14:textId="77777777" w:rsidR="00EF446D" w:rsidRPr="00F476CB" w:rsidRDefault="00EF446D" w:rsidP="00EF446D">
            <w:pPr>
              <w:rPr>
                <w:rFonts w:ascii="Calibri" w:hAnsi="Calibri" w:cs="Calibri"/>
                <w:vertAlign w:val="superscript"/>
              </w:rPr>
            </w:pPr>
            <w:r w:rsidRPr="00F476CB">
              <w:rPr>
                <w:rFonts w:ascii="Calibri" w:hAnsi="Calibri" w:cs="Calibri"/>
              </w:rPr>
              <w:t>t</w:t>
            </w:r>
          </w:p>
        </w:tc>
        <w:tc>
          <w:tcPr>
            <w:tcW w:w="4032" w:type="pct"/>
          </w:tcPr>
          <w:p w14:paraId="5B99648E" w14:textId="77777777" w:rsidR="00EF446D" w:rsidRPr="00F476CB" w:rsidRDefault="00EF446D" w:rsidP="00EF446D">
            <w:pPr>
              <w:jc w:val="both"/>
              <w:rPr>
                <w:rFonts w:ascii="Calibri" w:hAnsi="Calibri" w:cs="Calibri"/>
                <w:color w:val="000000"/>
              </w:rPr>
            </w:pPr>
            <w:r w:rsidRPr="00F476CB">
              <w:rPr>
                <w:rFonts w:ascii="Calibri" w:hAnsi="Calibri" w:cs="Calibri"/>
                <w:color w:val="000000"/>
              </w:rPr>
              <w:t>CARGA Y TRANSPORTE DE RESIDUOS VEGETALES A PLANTA DE VALORIZACIÓN POR TRANSPORTISTA AUTORIZADO (POR CONSEJERÍA DE MEDIO AMBIENTE), A UNA DISTANCIA DE 20 KM., CONSIDERANDO IDA Y VUELTA, EN CAMIONES BASCULANTES DE HASTA 16 T. DE PESO, CARGADOS CON PALA CARGADORA INCLUSO CANON DE ENTRADA A PLANTA, SIN MEDIDAS DE PROTECCIÓN COLECTIVAS.</w:t>
            </w:r>
          </w:p>
          <w:p w14:paraId="26B39100" w14:textId="77777777" w:rsidR="00EF446D" w:rsidRPr="00F476CB" w:rsidRDefault="00EF446D" w:rsidP="00C35FAC">
            <w:pPr>
              <w:jc w:val="both"/>
              <w:rPr>
                <w:rFonts w:ascii="Calibri" w:hAnsi="Calibri" w:cs="Calibri"/>
              </w:rPr>
            </w:pPr>
          </w:p>
        </w:tc>
      </w:tr>
    </w:tbl>
    <w:p w14:paraId="78F87037" w14:textId="77777777" w:rsidR="00083D10" w:rsidRDefault="00083D10" w:rsidP="00083D10">
      <w:pPr>
        <w:pStyle w:val="NORMAL12"/>
      </w:pPr>
      <w:r w:rsidRPr="002B45E8">
        <w:t xml:space="preserve">Consiste en el conjunto de operaciones para la recogida y transporte de los residuos </w:t>
      </w:r>
      <w:proofErr w:type="gramStart"/>
      <w:r w:rsidRPr="002B45E8">
        <w:t xml:space="preserve">de </w:t>
      </w:r>
      <w:r>
        <w:t xml:space="preserve"> origen</w:t>
      </w:r>
      <w:proofErr w:type="gramEnd"/>
      <w:r>
        <w:t xml:space="preserve"> vegetal, con carácter residuos peligrosos, desde la zona de producción del residuo </w:t>
      </w:r>
      <w:r w:rsidRPr="002B45E8">
        <w:t xml:space="preserve">hasta planta de valorización de gestor de residuos autorizado. </w:t>
      </w:r>
    </w:p>
    <w:p w14:paraId="6DF5F958" w14:textId="77777777" w:rsidR="00083D10" w:rsidRDefault="00083D10" w:rsidP="00083D10">
      <w:pPr>
        <w:pStyle w:val="NORMAL12"/>
      </w:pPr>
      <w:r>
        <w:t xml:space="preserve">Incluye el coste del canon de entrada a planta de valorización, autorizada por la Administración </w:t>
      </w:r>
      <w:r w:rsidR="00217216">
        <w:t>competente</w:t>
      </w:r>
      <w:r>
        <w:t xml:space="preserve">, así como el coste del tratamiento de </w:t>
      </w:r>
      <w:proofErr w:type="gramStart"/>
      <w:r>
        <w:t>los mismos</w:t>
      </w:r>
      <w:proofErr w:type="gramEnd"/>
      <w:r>
        <w:t>.</w:t>
      </w:r>
    </w:p>
    <w:p w14:paraId="106B9F7B" w14:textId="77777777" w:rsidR="00EF446D" w:rsidRDefault="00EF446D" w:rsidP="000313DD">
      <w:pPr>
        <w:pStyle w:val="TITU2"/>
      </w:pPr>
      <w:bookmarkStart w:id="1600" w:name="_Toc404779"/>
      <w:r w:rsidRPr="00BF6A1E">
        <w:t>9</w:t>
      </w:r>
      <w:r>
        <w:t>51a</w:t>
      </w:r>
      <w:r w:rsidRPr="00BF6A1E">
        <w:t xml:space="preserve">.2. </w:t>
      </w:r>
      <w:r>
        <w:t>Ejecución de las obras</w:t>
      </w:r>
      <w:bookmarkEnd w:id="1600"/>
    </w:p>
    <w:p w14:paraId="0BD1E490" w14:textId="77777777" w:rsidR="00083D10" w:rsidRPr="002B45E8" w:rsidRDefault="00083D10" w:rsidP="00083D10">
      <w:pPr>
        <w:pStyle w:val="NORMAL12"/>
      </w:pPr>
      <w:r w:rsidRPr="002B45E8">
        <w:t>El transporte de los residuos se realizará siempre que sea posible inmediatamente a su generación, sin acopio intermedio, a gestor autorizado.</w:t>
      </w:r>
    </w:p>
    <w:p w14:paraId="0E3A289B" w14:textId="77777777" w:rsidR="00083D10" w:rsidRPr="002B45E8" w:rsidRDefault="00083D10" w:rsidP="00083D10">
      <w:pPr>
        <w:pStyle w:val="NORMAL12"/>
      </w:pPr>
      <w:r w:rsidRPr="002B45E8">
        <w:t xml:space="preserve">El contratista dispondrá de los medios necesarios para llevar a cabo la operación de almacenamiento, siempre que no sea posible el traslado en condiciones de seguridad. </w:t>
      </w:r>
    </w:p>
    <w:p w14:paraId="68346FF0" w14:textId="77777777" w:rsidR="00083D10" w:rsidRDefault="00083D10" w:rsidP="00083D10">
      <w:pPr>
        <w:pStyle w:val="NORMAL12"/>
      </w:pPr>
      <w:r w:rsidRPr="002B45E8">
        <w:t xml:space="preserve">El transportista debe disponer de la autorización por parte de la comunidad autónoma para el transporte de los </w:t>
      </w:r>
      <w:proofErr w:type="gramStart"/>
      <w:r w:rsidRPr="002B45E8">
        <w:t>residuos objetos</w:t>
      </w:r>
      <w:proofErr w:type="gramEnd"/>
      <w:r w:rsidRPr="002B45E8">
        <w:t xml:space="preserve"> de este artículo. </w:t>
      </w:r>
    </w:p>
    <w:p w14:paraId="3EB73BC7" w14:textId="77777777" w:rsidR="00083D10" w:rsidRDefault="00083D10" w:rsidP="00083D10">
      <w:pPr>
        <w:pStyle w:val="NORMAL12"/>
      </w:pPr>
      <w:r>
        <w:t xml:space="preserve">La entrega se realizará a gestor autorizado en las condiciones establecidas en </w:t>
      </w:r>
      <w:r w:rsidR="00217216">
        <w:t>la normativa vigente</w:t>
      </w:r>
      <w:r>
        <w:t xml:space="preserve">. </w:t>
      </w:r>
    </w:p>
    <w:p w14:paraId="167D2939" w14:textId="77777777" w:rsidR="00083D10" w:rsidRDefault="00083D10" w:rsidP="00083D10">
      <w:pPr>
        <w:pStyle w:val="NORMAL12"/>
      </w:pPr>
      <w:r>
        <w:t xml:space="preserve">El gestor debe estar autorizado por la </w:t>
      </w:r>
      <w:proofErr w:type="spellStart"/>
      <w:r>
        <w:t>Administracion</w:t>
      </w:r>
      <w:proofErr w:type="spellEnd"/>
      <w:r>
        <w:t xml:space="preserve"> competente en medio ambiente.</w:t>
      </w:r>
    </w:p>
    <w:p w14:paraId="5AA320B5" w14:textId="77777777" w:rsidR="00083D10" w:rsidRDefault="00083D10" w:rsidP="00083D10">
      <w:pPr>
        <w:pStyle w:val="NORMAL12"/>
      </w:pPr>
      <w:r>
        <w:t>Una vez realizada la entrega y después de que se haya llevado a cabo el tratamiento del residuo, el gestor emitirá la documentación requerida que testifique que se ha llevado a cabo el tratamiento del residuo adecuado, de acuerdo con la normativa vigente.</w:t>
      </w:r>
    </w:p>
    <w:p w14:paraId="3F2AB804" w14:textId="77777777" w:rsidR="00083D10" w:rsidRPr="00083D10" w:rsidRDefault="00083D10" w:rsidP="00083D10">
      <w:pPr>
        <w:pStyle w:val="NORMAL12"/>
        <w:rPr>
          <w:lang w:val="es-ES"/>
        </w:rPr>
      </w:pPr>
    </w:p>
    <w:p w14:paraId="64E23962" w14:textId="77777777" w:rsidR="00EF446D" w:rsidRPr="00083D10" w:rsidRDefault="00EF446D" w:rsidP="000313DD">
      <w:pPr>
        <w:pStyle w:val="TITU2"/>
      </w:pPr>
      <w:bookmarkStart w:id="1601" w:name="_Toc404780"/>
      <w:r w:rsidRPr="00083D10">
        <w:t>951a.3. Medición y abono</w:t>
      </w:r>
      <w:bookmarkEnd w:id="1601"/>
    </w:p>
    <w:p w14:paraId="55C04CD3" w14:textId="77777777" w:rsidR="00EF446D" w:rsidRPr="00083D10" w:rsidRDefault="00EF446D" w:rsidP="00EF446D">
      <w:pPr>
        <w:pStyle w:val="NORMAL12"/>
        <w:rPr>
          <w:lang w:val="es-ES"/>
        </w:rPr>
      </w:pPr>
      <w:r w:rsidRPr="00083D10">
        <w:rPr>
          <w:lang w:val="es-ES"/>
        </w:rPr>
        <w:t xml:space="preserve">La medición y abono de la unidad de </w:t>
      </w:r>
      <w:r w:rsidR="00083D10" w:rsidRPr="00083D10">
        <w:rPr>
          <w:lang w:val="es-ES"/>
        </w:rPr>
        <w:t>gestión de residuos de origen vegetal se r</w:t>
      </w:r>
      <w:r w:rsidRPr="00083D10">
        <w:rPr>
          <w:lang w:val="es-ES"/>
        </w:rPr>
        <w:t>ealizará según las prescripciones siguientes:</w:t>
      </w:r>
    </w:p>
    <w:p w14:paraId="4D502DE4" w14:textId="77777777" w:rsidR="00083D10" w:rsidRDefault="00083D10" w:rsidP="00EF446D">
      <w:pPr>
        <w:pStyle w:val="NORMAL12"/>
        <w:rPr>
          <w:color w:val="FF0000"/>
          <w:lang w:val="es-ES"/>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083D10" w:rsidRPr="002B45E8" w14:paraId="12A846CD" w14:textId="77777777" w:rsidTr="00C35FAC">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17FD6B9B" w14:textId="77777777" w:rsidR="00083D10" w:rsidRPr="002B45E8" w:rsidRDefault="00083D10" w:rsidP="00C35FAC">
            <w:pPr>
              <w:pStyle w:val="Tabla"/>
              <w:rPr>
                <w:b/>
              </w:rPr>
            </w:pPr>
            <w:r w:rsidRPr="002B45E8">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7015E2BC" w14:textId="77777777" w:rsidR="00083D10" w:rsidRPr="002B45E8" w:rsidRDefault="00083D10" w:rsidP="00B70541">
            <w:pPr>
              <w:pStyle w:val="LCATabla"/>
              <w:keepLines/>
              <w:jc w:val="both"/>
              <w:rPr>
                <w:rFonts w:ascii="Arial" w:hAnsi="Arial" w:cs="Arial"/>
                <w:sz w:val="20"/>
              </w:rPr>
            </w:pPr>
            <w:r w:rsidRPr="002B45E8">
              <w:rPr>
                <w:rFonts w:ascii="Arial" w:hAnsi="Arial" w:cs="Arial"/>
                <w:sz w:val="20"/>
              </w:rPr>
              <w:t xml:space="preserve">Toneladas (t) </w:t>
            </w:r>
          </w:p>
        </w:tc>
      </w:tr>
      <w:tr w:rsidR="00083D10" w:rsidRPr="002B45E8" w14:paraId="418246CD" w14:textId="77777777" w:rsidTr="00C35FAC">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5CB0EDBA" w14:textId="77777777" w:rsidR="00083D10" w:rsidRPr="002B45E8" w:rsidRDefault="00083D10" w:rsidP="00C35FAC">
            <w:pPr>
              <w:pStyle w:val="Tabla"/>
              <w:rPr>
                <w:b/>
              </w:rPr>
            </w:pPr>
            <w:r w:rsidRPr="002B45E8">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0A9CEED0" w14:textId="77777777" w:rsidR="00083D10" w:rsidRPr="002B45E8" w:rsidRDefault="00083D10" w:rsidP="00B70541">
            <w:pPr>
              <w:pStyle w:val="LCATabla"/>
              <w:keepLines/>
              <w:jc w:val="both"/>
              <w:rPr>
                <w:rFonts w:ascii="Arial" w:hAnsi="Arial" w:cs="Arial"/>
                <w:sz w:val="20"/>
              </w:rPr>
            </w:pPr>
            <w:r w:rsidRPr="002B45E8">
              <w:rPr>
                <w:rFonts w:ascii="Arial" w:hAnsi="Arial" w:cs="Arial"/>
                <w:sz w:val="20"/>
              </w:rPr>
              <w:t>Dos decimales.</w:t>
            </w:r>
          </w:p>
        </w:tc>
      </w:tr>
      <w:tr w:rsidR="00083D10" w:rsidRPr="002B45E8" w14:paraId="0CC32E46" w14:textId="77777777" w:rsidTr="00C35FAC">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3DE30AE1" w14:textId="77777777" w:rsidR="00083D10" w:rsidRPr="002B45E8" w:rsidRDefault="00083D10" w:rsidP="00C35FAC">
            <w:pPr>
              <w:pStyle w:val="Tabla"/>
              <w:rPr>
                <w:b/>
              </w:rPr>
            </w:pPr>
            <w:r w:rsidRPr="002B45E8">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4A251C80" w14:textId="77777777" w:rsidR="00083D10" w:rsidRPr="002B45E8" w:rsidRDefault="00083D10" w:rsidP="00B70541">
            <w:pPr>
              <w:pStyle w:val="LCATabla"/>
              <w:keepLines/>
              <w:jc w:val="both"/>
              <w:rPr>
                <w:rFonts w:ascii="Arial" w:hAnsi="Arial" w:cs="Arial"/>
                <w:sz w:val="20"/>
              </w:rPr>
            </w:pPr>
            <w:r w:rsidRPr="002B45E8">
              <w:rPr>
                <w:rFonts w:ascii="Arial" w:hAnsi="Arial" w:cs="Arial"/>
                <w:sz w:val="20"/>
              </w:rPr>
              <w:t xml:space="preserve">Por peso o </w:t>
            </w:r>
            <w:proofErr w:type="gramStart"/>
            <w:r w:rsidRPr="002B45E8">
              <w:rPr>
                <w:rFonts w:ascii="Arial" w:hAnsi="Arial" w:cs="Arial"/>
                <w:sz w:val="20"/>
              </w:rPr>
              <w:t>medida  que</w:t>
            </w:r>
            <w:proofErr w:type="gramEnd"/>
            <w:r w:rsidRPr="002B45E8">
              <w:rPr>
                <w:rFonts w:ascii="Arial" w:hAnsi="Arial" w:cs="Arial"/>
                <w:sz w:val="20"/>
              </w:rPr>
              <w:t xml:space="preserve"> figura en los documentos oficiales de control y seguimiento de los residuos entregados a gestor autorizado </w:t>
            </w:r>
          </w:p>
        </w:tc>
      </w:tr>
      <w:tr w:rsidR="00083D10" w:rsidRPr="002B45E8" w14:paraId="4370D8E0" w14:textId="77777777" w:rsidTr="00C35FAC">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36D2E9C1" w14:textId="77777777" w:rsidR="00083D10" w:rsidRPr="002B45E8" w:rsidRDefault="00083D10" w:rsidP="00C35FAC">
            <w:pPr>
              <w:pStyle w:val="Tabla"/>
              <w:rPr>
                <w:b/>
              </w:rPr>
            </w:pPr>
            <w:r w:rsidRPr="002B45E8">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545E5F0A" w14:textId="77777777" w:rsidR="00083D10" w:rsidRPr="002B45E8" w:rsidRDefault="00083D10" w:rsidP="00B70541">
            <w:pPr>
              <w:pStyle w:val="LCATabla"/>
              <w:keepLines/>
              <w:jc w:val="both"/>
              <w:rPr>
                <w:rFonts w:ascii="Arial" w:hAnsi="Arial" w:cs="Arial"/>
                <w:sz w:val="20"/>
              </w:rPr>
            </w:pPr>
            <w:r w:rsidRPr="002B45E8">
              <w:rPr>
                <w:rFonts w:ascii="Arial" w:hAnsi="Arial" w:cs="Arial"/>
                <w:sz w:val="20"/>
              </w:rPr>
              <w:t>Se efectuará cuando se realice la aceptación</w:t>
            </w:r>
          </w:p>
        </w:tc>
      </w:tr>
      <w:tr w:rsidR="00083D10" w:rsidRPr="002B45E8" w14:paraId="57F3D8CC" w14:textId="77777777" w:rsidTr="00C35FAC">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5B3CE5D6" w14:textId="77777777" w:rsidR="00083D10" w:rsidRPr="002B45E8" w:rsidRDefault="00083D10" w:rsidP="00C35FAC">
            <w:pPr>
              <w:pStyle w:val="Tabla"/>
              <w:rPr>
                <w:b/>
              </w:rPr>
            </w:pPr>
            <w:r w:rsidRPr="002B45E8">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4A4A2220" w14:textId="77777777" w:rsidR="00083D10" w:rsidRPr="002B45E8" w:rsidRDefault="00083D10" w:rsidP="00B70541">
            <w:pPr>
              <w:pStyle w:val="LCATabla"/>
              <w:keepLines/>
              <w:jc w:val="both"/>
              <w:rPr>
                <w:rFonts w:ascii="Arial" w:hAnsi="Arial" w:cs="Arial"/>
                <w:sz w:val="20"/>
              </w:rPr>
            </w:pPr>
            <w:r w:rsidRPr="002B45E8">
              <w:rPr>
                <w:rFonts w:ascii="Arial" w:hAnsi="Arial" w:cs="Arial"/>
                <w:sz w:val="20"/>
              </w:rPr>
              <w:t xml:space="preserve">El precio de la unidad incluye todos los materiales y medios necesarios, para la recogida, clasificación y almacenamiento de los residuos en las zonas indicadas hasta su traslado. Incluye los costes de vigilancia y mantenimiento de los acopios. </w:t>
            </w:r>
          </w:p>
          <w:p w14:paraId="190C083C" w14:textId="77777777" w:rsidR="00083D10" w:rsidRPr="002B45E8" w:rsidRDefault="00083D10" w:rsidP="00B70541">
            <w:pPr>
              <w:pStyle w:val="LCATabla"/>
              <w:keepLines/>
              <w:jc w:val="both"/>
              <w:rPr>
                <w:rFonts w:ascii="Arial" w:hAnsi="Arial" w:cs="Arial"/>
                <w:sz w:val="20"/>
              </w:rPr>
            </w:pPr>
            <w:r w:rsidRPr="002B45E8">
              <w:rPr>
                <w:rFonts w:ascii="Arial" w:hAnsi="Arial" w:cs="Arial"/>
                <w:sz w:val="20"/>
              </w:rPr>
              <w:t>Están incluidos el alquiler de contenedores, la carga, transporte y entrega a gestor autorizado.</w:t>
            </w:r>
          </w:p>
          <w:p w14:paraId="7DA49AC5" w14:textId="77777777" w:rsidR="00083D10" w:rsidRPr="002B45E8" w:rsidRDefault="00083D10" w:rsidP="00B70541">
            <w:pPr>
              <w:pStyle w:val="LCATabla"/>
              <w:keepLines/>
              <w:jc w:val="both"/>
              <w:rPr>
                <w:rFonts w:ascii="Arial" w:hAnsi="Arial" w:cs="Arial"/>
                <w:sz w:val="20"/>
              </w:rPr>
            </w:pPr>
            <w:r w:rsidRPr="002B45E8">
              <w:rPr>
                <w:rFonts w:ascii="Arial" w:hAnsi="Arial" w:cs="Arial"/>
                <w:sz w:val="20"/>
              </w:rPr>
              <w:t xml:space="preserve">El transporte a vertedero está incluido en el precio hasta una distancia máxima de </w:t>
            </w:r>
            <w:r>
              <w:rPr>
                <w:rFonts w:ascii="Arial" w:hAnsi="Arial" w:cs="Arial"/>
                <w:sz w:val="20"/>
              </w:rPr>
              <w:t>veinte</w:t>
            </w:r>
            <w:r w:rsidRPr="002B45E8">
              <w:rPr>
                <w:rFonts w:ascii="Arial" w:hAnsi="Arial" w:cs="Arial"/>
                <w:sz w:val="20"/>
              </w:rPr>
              <w:t xml:space="preserve"> kilómetros. Siendo objeto de medición y abono independiente para distancias superiores.</w:t>
            </w:r>
          </w:p>
          <w:p w14:paraId="2ED26184" w14:textId="77777777" w:rsidR="00083D10" w:rsidRPr="002B45E8" w:rsidRDefault="00217216" w:rsidP="00B70541">
            <w:pPr>
              <w:pStyle w:val="LCATabla"/>
              <w:keepLines/>
              <w:jc w:val="both"/>
              <w:rPr>
                <w:rFonts w:ascii="Arial" w:hAnsi="Arial" w:cs="Arial"/>
                <w:sz w:val="20"/>
              </w:rPr>
            </w:pPr>
            <w:r w:rsidRPr="002B45E8">
              <w:rPr>
                <w:rFonts w:ascii="Arial" w:hAnsi="Arial" w:cs="Arial"/>
                <w:sz w:val="20"/>
              </w:rPr>
              <w:t xml:space="preserve">El canon o coste de </w:t>
            </w:r>
            <w:r>
              <w:rPr>
                <w:rFonts w:ascii="Arial" w:hAnsi="Arial" w:cs="Arial"/>
                <w:sz w:val="20"/>
              </w:rPr>
              <w:t xml:space="preserve">entrada y </w:t>
            </w:r>
            <w:r w:rsidRPr="002B45E8">
              <w:rPr>
                <w:rFonts w:ascii="Arial" w:hAnsi="Arial" w:cs="Arial"/>
                <w:sz w:val="20"/>
              </w:rPr>
              <w:t>gestión de residuos en la planta de tratamiento está incluido en el precio.</w:t>
            </w:r>
          </w:p>
        </w:tc>
      </w:tr>
    </w:tbl>
    <w:p w14:paraId="40D0EDC4" w14:textId="77777777" w:rsidR="00083D10" w:rsidRDefault="00083D10" w:rsidP="00EF446D">
      <w:pPr>
        <w:pStyle w:val="NORMAL12"/>
        <w:rPr>
          <w:color w:val="FF0000"/>
          <w:lang w:val="es-ES"/>
        </w:rPr>
      </w:pPr>
    </w:p>
    <w:p w14:paraId="2A3E4202" w14:textId="77777777" w:rsidR="00083D10" w:rsidRPr="00BF6A1E" w:rsidRDefault="00083D10" w:rsidP="00EF446D">
      <w:pPr>
        <w:pStyle w:val="NORMAL12"/>
        <w:rPr>
          <w:color w:val="FF0000"/>
          <w:lang w:val="es-ES"/>
        </w:rPr>
      </w:pPr>
    </w:p>
    <w:p w14:paraId="31771D58" w14:textId="77777777" w:rsidR="00EF446D" w:rsidRPr="00BF6A1E" w:rsidRDefault="00EF446D" w:rsidP="00EF446D">
      <w:pPr>
        <w:pStyle w:val="NORMAL12"/>
        <w:rPr>
          <w:color w:val="FF0000"/>
          <w:lang w:val="es-ES"/>
        </w:rPr>
      </w:pPr>
    </w:p>
    <w:p w14:paraId="41AD91E9" w14:textId="77777777" w:rsidR="00BF6A1E" w:rsidRPr="00B02E07" w:rsidRDefault="00BF6A1E" w:rsidP="00BF6A1E">
      <w:pPr>
        <w:pStyle w:val="TITU1"/>
      </w:pPr>
      <w:bookmarkStart w:id="1602" w:name="_Toc404781"/>
      <w:r w:rsidRPr="00AA60BA">
        <w:lastRenderedPageBreak/>
        <w:t>Artículo 9</w:t>
      </w:r>
      <w:r w:rsidR="00C461AD" w:rsidRPr="00AA60BA">
        <w:t>51</w:t>
      </w:r>
      <w:r w:rsidR="00EF446D" w:rsidRPr="00AA60BA">
        <w:t>b</w:t>
      </w:r>
      <w:r w:rsidRPr="00AA60BA">
        <w:t xml:space="preserve">. Canon de vertido de excedentes </w:t>
      </w:r>
      <w:r w:rsidR="002E7733" w:rsidRPr="00AA60BA">
        <w:t>de excavación</w:t>
      </w:r>
      <w:bookmarkEnd w:id="1602"/>
    </w:p>
    <w:p w14:paraId="3AC3626C" w14:textId="77777777" w:rsidR="00BF6A1E" w:rsidRDefault="00BF6A1E" w:rsidP="000313DD">
      <w:pPr>
        <w:pStyle w:val="TITU2"/>
      </w:pPr>
      <w:bookmarkStart w:id="1603" w:name="_Toc404782"/>
      <w:r w:rsidRPr="00B02E07">
        <w:t>9</w:t>
      </w:r>
      <w:r w:rsidR="00C461AD" w:rsidRPr="00B02E07">
        <w:t>51</w:t>
      </w:r>
      <w:r w:rsidR="00EF446D" w:rsidRPr="00B02E07">
        <w:t>b</w:t>
      </w:r>
      <w:r w:rsidRPr="00B02E07">
        <w:t>.1. Definición</w:t>
      </w:r>
      <w:bookmarkEnd w:id="1603"/>
    </w:p>
    <w:p w14:paraId="74A3ADB6" w14:textId="77777777" w:rsidR="00B02E07" w:rsidRPr="00B02E07" w:rsidRDefault="00B02E07" w:rsidP="00B02E07">
      <w:pPr>
        <w:pStyle w:val="NORMAL12"/>
      </w:pPr>
      <w:r w:rsidRPr="00B02E07">
        <w:t xml:space="preserve">Se define la unidad como el coste del canon de vertido de excedentes procedentes de la excavación realizada según la unidad 320.0030. definida en el artículo 320. </w:t>
      </w:r>
      <w:r>
        <w:t>d</w:t>
      </w:r>
      <w:r w:rsidRPr="00B02E07">
        <w:t>el presente pliego</w:t>
      </w:r>
      <w:r>
        <w:t>.</w:t>
      </w:r>
    </w:p>
    <w:p w14:paraId="464C0F36" w14:textId="77777777" w:rsidR="00BF6A1E" w:rsidRPr="00B02E07" w:rsidRDefault="00BF6A1E" w:rsidP="00BF6A1E">
      <w:pPr>
        <w:pStyle w:val="NORMAL12"/>
        <w:rPr>
          <w:lang w:val="es-ES"/>
        </w:rPr>
      </w:pPr>
      <w:r w:rsidRPr="00B02E07">
        <w:rPr>
          <w:lang w:val="es-ES"/>
        </w:rPr>
        <w:t xml:space="preserve">Las prescripciones de este artículo </w:t>
      </w:r>
      <w:proofErr w:type="gramStart"/>
      <w:r w:rsidRPr="00B02E07">
        <w:rPr>
          <w:lang w:val="es-ES"/>
        </w:rPr>
        <w:t>son de aplicación</w:t>
      </w:r>
      <w:proofErr w:type="gramEnd"/>
      <w:r w:rsidRPr="00B02E07">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207"/>
        <w:gridCol w:w="714"/>
        <w:gridCol w:w="7999"/>
      </w:tblGrid>
      <w:tr w:rsidR="008C7D19" w:rsidRPr="00F476CB" w14:paraId="033BCED2" w14:textId="77777777" w:rsidTr="00915CF6">
        <w:trPr>
          <w:trHeight w:val="419"/>
        </w:trPr>
        <w:tc>
          <w:tcPr>
            <w:tcW w:w="608" w:type="pct"/>
            <w:noWrap/>
          </w:tcPr>
          <w:p w14:paraId="6EF05A43" w14:textId="77777777" w:rsidR="00BF6A1E" w:rsidRPr="00F476CB" w:rsidRDefault="00803234" w:rsidP="00803234">
            <w:pPr>
              <w:rPr>
                <w:rFonts w:ascii="Calibri" w:hAnsi="Calibri" w:cs="Calibri"/>
              </w:rPr>
            </w:pPr>
            <w:r w:rsidRPr="00F476CB">
              <w:rPr>
                <w:rFonts w:ascii="Calibri" w:hAnsi="Calibri" w:cs="Calibri"/>
              </w:rPr>
              <w:t>330</w:t>
            </w:r>
            <w:r w:rsidR="00BF6A1E" w:rsidRPr="00F476CB">
              <w:rPr>
                <w:rFonts w:ascii="Calibri" w:hAnsi="Calibri" w:cs="Calibri"/>
              </w:rPr>
              <w:t>.</w:t>
            </w:r>
            <w:r w:rsidRPr="00F476CB">
              <w:rPr>
                <w:rFonts w:ascii="Calibri" w:hAnsi="Calibri" w:cs="Calibri"/>
              </w:rPr>
              <w:t>0030</w:t>
            </w:r>
            <w:r w:rsidR="00BF6A1E" w:rsidRPr="00F476CB">
              <w:rPr>
                <w:rFonts w:ascii="Calibri" w:hAnsi="Calibri" w:cs="Calibri"/>
              </w:rPr>
              <w:t xml:space="preserve">N         </w:t>
            </w:r>
          </w:p>
        </w:tc>
        <w:tc>
          <w:tcPr>
            <w:tcW w:w="360" w:type="pct"/>
            <w:noWrap/>
          </w:tcPr>
          <w:p w14:paraId="15C3BFC4" w14:textId="77777777" w:rsidR="00BF6A1E" w:rsidRPr="00F476CB" w:rsidRDefault="00803234" w:rsidP="00803234">
            <w:pPr>
              <w:rPr>
                <w:rFonts w:ascii="Calibri" w:hAnsi="Calibri" w:cs="Calibri"/>
                <w:vertAlign w:val="superscript"/>
              </w:rPr>
            </w:pPr>
            <w:r w:rsidRPr="00F476CB">
              <w:rPr>
                <w:rFonts w:ascii="Calibri" w:hAnsi="Calibri" w:cs="Calibri"/>
              </w:rPr>
              <w:t>m</w:t>
            </w:r>
            <w:r w:rsidRPr="00F476CB">
              <w:rPr>
                <w:rFonts w:ascii="Calibri" w:hAnsi="Calibri" w:cs="Calibri"/>
                <w:vertAlign w:val="superscript"/>
              </w:rPr>
              <w:t>3</w:t>
            </w:r>
          </w:p>
        </w:tc>
        <w:tc>
          <w:tcPr>
            <w:tcW w:w="4032" w:type="pct"/>
          </w:tcPr>
          <w:p w14:paraId="11A08CC3" w14:textId="77777777" w:rsidR="00803234" w:rsidRPr="00F476CB" w:rsidRDefault="00803234" w:rsidP="00803234">
            <w:pPr>
              <w:jc w:val="both"/>
              <w:rPr>
                <w:rFonts w:ascii="Calibri" w:hAnsi="Calibri" w:cs="Calibri"/>
              </w:rPr>
            </w:pPr>
            <w:r w:rsidRPr="00F476CB">
              <w:rPr>
                <w:rFonts w:ascii="Calibri" w:hAnsi="Calibri" w:cs="Calibri"/>
              </w:rPr>
              <w:t>CANON DE VERTIDO DE EXCEDENTES PROCEDENTES DE LA EXCAVACIÓN.</w:t>
            </w:r>
          </w:p>
          <w:p w14:paraId="5744BE0D" w14:textId="77777777" w:rsidR="00BF6A1E" w:rsidRPr="00F476CB" w:rsidRDefault="00BF6A1E" w:rsidP="00915CF6">
            <w:pPr>
              <w:jc w:val="both"/>
              <w:rPr>
                <w:rFonts w:ascii="Calibri" w:hAnsi="Calibri" w:cs="Calibri"/>
              </w:rPr>
            </w:pPr>
          </w:p>
        </w:tc>
      </w:tr>
    </w:tbl>
    <w:p w14:paraId="2879F674" w14:textId="77777777" w:rsidR="00BF6A1E" w:rsidRPr="00F476CB" w:rsidRDefault="00BF6A1E" w:rsidP="000313DD">
      <w:pPr>
        <w:pStyle w:val="TITU2"/>
      </w:pPr>
      <w:bookmarkStart w:id="1604" w:name="_Toc404783"/>
      <w:r w:rsidRPr="00F476CB">
        <w:t>9</w:t>
      </w:r>
      <w:r w:rsidR="00C461AD" w:rsidRPr="00F476CB">
        <w:t>51</w:t>
      </w:r>
      <w:r w:rsidR="00EF446D" w:rsidRPr="00F476CB">
        <w:t>b</w:t>
      </w:r>
      <w:r w:rsidRPr="00F476CB">
        <w:t xml:space="preserve">.2. </w:t>
      </w:r>
      <w:r w:rsidR="008C7D19" w:rsidRPr="00F476CB">
        <w:t>Ejecución de las obras</w:t>
      </w:r>
      <w:bookmarkEnd w:id="1604"/>
    </w:p>
    <w:p w14:paraId="69F08167" w14:textId="77777777" w:rsidR="00B02E07" w:rsidRPr="00F476CB" w:rsidRDefault="00B02E07" w:rsidP="00B02E07">
      <w:pPr>
        <w:pStyle w:val="NORMAL12"/>
      </w:pPr>
      <w:r w:rsidRPr="00F476CB">
        <w:t xml:space="preserve">La entrega se realizará a gestor autorizado en las condiciones establecidas en </w:t>
      </w:r>
      <w:r w:rsidR="00217216" w:rsidRPr="00F476CB">
        <w:t>la normativa vigente</w:t>
      </w:r>
      <w:r w:rsidRPr="00F476CB">
        <w:t xml:space="preserve">.  El gestor debe estar autorizado por la </w:t>
      </w:r>
      <w:proofErr w:type="spellStart"/>
      <w:r w:rsidRPr="00F476CB">
        <w:t>Administracion</w:t>
      </w:r>
      <w:proofErr w:type="spellEnd"/>
      <w:r w:rsidRPr="00F476CB">
        <w:t xml:space="preserve"> competente en medio ambiente.</w:t>
      </w:r>
    </w:p>
    <w:p w14:paraId="4AA14547" w14:textId="77777777" w:rsidR="00B02E07" w:rsidRPr="00F476CB" w:rsidRDefault="00B02E07" w:rsidP="00B02E07">
      <w:pPr>
        <w:pStyle w:val="NORMAL12"/>
      </w:pPr>
      <w:r w:rsidRPr="00F476CB">
        <w:t>Una vez realizada la entrega y después de que se haya llevado a cabo el tratamiento del residuo, el gestor emitirá la documentación requerida que testifique que se ha llevado a cabo el tratamiento del residuo adecuado, de acuerdo con la normativa vigente.</w:t>
      </w:r>
    </w:p>
    <w:p w14:paraId="27EB8E1C" w14:textId="77777777" w:rsidR="00BF6A1E" w:rsidRPr="00F476CB" w:rsidRDefault="00BF6A1E" w:rsidP="000313DD">
      <w:pPr>
        <w:pStyle w:val="TITU2"/>
      </w:pPr>
      <w:bookmarkStart w:id="1605" w:name="_Toc404784"/>
      <w:r w:rsidRPr="00F476CB">
        <w:t>9</w:t>
      </w:r>
      <w:r w:rsidR="00C461AD" w:rsidRPr="00F476CB">
        <w:t>51</w:t>
      </w:r>
      <w:r w:rsidR="00EF446D" w:rsidRPr="00F476CB">
        <w:t>b</w:t>
      </w:r>
      <w:r w:rsidRPr="00F476CB">
        <w:t>.</w:t>
      </w:r>
      <w:r w:rsidR="00AA60BA" w:rsidRPr="00F476CB">
        <w:t>3</w:t>
      </w:r>
      <w:r w:rsidRPr="00F476CB">
        <w:t>. Medición y abono</w:t>
      </w:r>
      <w:bookmarkEnd w:id="1605"/>
    </w:p>
    <w:p w14:paraId="12B78F6F" w14:textId="77777777" w:rsidR="00BF6A1E" w:rsidRPr="00F476CB" w:rsidRDefault="00BF6A1E" w:rsidP="00BF6A1E">
      <w:pPr>
        <w:pStyle w:val="NORMAL12"/>
        <w:rPr>
          <w:lang w:val="es-ES"/>
        </w:rPr>
      </w:pPr>
      <w:r w:rsidRPr="00F476CB">
        <w:rPr>
          <w:lang w:val="es-ES"/>
        </w:rPr>
        <w:t xml:space="preserve">La medición y abono de la unidad de </w:t>
      </w:r>
      <w:r w:rsidR="00AA60BA" w:rsidRPr="00F476CB">
        <w:rPr>
          <w:lang w:val="es-ES"/>
        </w:rPr>
        <w:t>canon de vertido de excedentes de la excavación</w:t>
      </w:r>
      <w:r w:rsidRPr="00F476CB">
        <w:rPr>
          <w:lang w:val="es-ES"/>
        </w:rPr>
        <w:t xml:space="preserve"> se realizará según las prescripciones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BF6A1E" w:rsidRPr="00F476CB" w14:paraId="24E10B60" w14:textId="77777777" w:rsidTr="00915CF6">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27063ED6" w14:textId="77777777" w:rsidR="00BF6A1E" w:rsidRPr="00F476CB" w:rsidRDefault="00BF6A1E" w:rsidP="00915CF6">
            <w:pPr>
              <w:pStyle w:val="Tabla"/>
              <w:rPr>
                <w:b/>
              </w:rPr>
            </w:pPr>
            <w:r w:rsidRPr="00F476CB">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35A56359" w14:textId="77777777" w:rsidR="00BF6A1E" w:rsidRPr="00F476CB" w:rsidRDefault="00BF6A1E" w:rsidP="00B70541">
            <w:pPr>
              <w:pStyle w:val="LCATabla"/>
              <w:keepLines/>
              <w:jc w:val="both"/>
              <w:rPr>
                <w:rFonts w:ascii="Arial" w:hAnsi="Arial" w:cs="Arial"/>
                <w:sz w:val="20"/>
              </w:rPr>
            </w:pPr>
            <w:r w:rsidRPr="00F476CB">
              <w:rPr>
                <w:rFonts w:ascii="Arial" w:hAnsi="Arial" w:cs="Arial"/>
                <w:sz w:val="20"/>
              </w:rPr>
              <w:t>Metro</w:t>
            </w:r>
            <w:r w:rsidR="00B02E07" w:rsidRPr="00F476CB">
              <w:rPr>
                <w:rFonts w:ascii="Arial" w:hAnsi="Arial" w:cs="Arial"/>
                <w:sz w:val="20"/>
              </w:rPr>
              <w:t xml:space="preserve"> cúbico</w:t>
            </w:r>
            <w:r w:rsidRPr="00F476CB">
              <w:rPr>
                <w:rFonts w:ascii="Arial" w:hAnsi="Arial" w:cs="Arial"/>
                <w:sz w:val="20"/>
              </w:rPr>
              <w:t xml:space="preserve"> (m</w:t>
            </w:r>
            <w:r w:rsidR="00B02E07" w:rsidRPr="00F476CB">
              <w:rPr>
                <w:rFonts w:ascii="Arial" w:hAnsi="Arial" w:cs="Arial"/>
                <w:sz w:val="20"/>
                <w:vertAlign w:val="superscript"/>
              </w:rPr>
              <w:t>3</w:t>
            </w:r>
            <w:r w:rsidRPr="00F476CB">
              <w:rPr>
                <w:rFonts w:ascii="Arial" w:hAnsi="Arial" w:cs="Arial"/>
                <w:sz w:val="20"/>
              </w:rPr>
              <w:t>)</w:t>
            </w:r>
          </w:p>
        </w:tc>
      </w:tr>
      <w:tr w:rsidR="00BF6A1E" w:rsidRPr="00F476CB" w14:paraId="06D9243D" w14:textId="77777777" w:rsidTr="00915CF6">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687E24A2" w14:textId="77777777" w:rsidR="00BF6A1E" w:rsidRPr="00F476CB" w:rsidRDefault="00BF6A1E" w:rsidP="00915CF6">
            <w:pPr>
              <w:pStyle w:val="Tabla"/>
              <w:rPr>
                <w:b/>
              </w:rPr>
            </w:pPr>
            <w:r w:rsidRPr="00F476CB">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4A5054FC" w14:textId="77777777" w:rsidR="00BF6A1E" w:rsidRPr="00F476CB" w:rsidRDefault="00BF6A1E" w:rsidP="00B70541">
            <w:pPr>
              <w:pStyle w:val="LCATabla"/>
              <w:keepLines/>
              <w:jc w:val="both"/>
              <w:rPr>
                <w:rFonts w:ascii="Arial" w:hAnsi="Arial" w:cs="Arial"/>
                <w:sz w:val="20"/>
              </w:rPr>
            </w:pPr>
            <w:r w:rsidRPr="00F476CB">
              <w:rPr>
                <w:rFonts w:ascii="Arial" w:hAnsi="Arial" w:cs="Arial"/>
                <w:sz w:val="20"/>
              </w:rPr>
              <w:t>Dos decimales.</w:t>
            </w:r>
          </w:p>
        </w:tc>
      </w:tr>
      <w:tr w:rsidR="00BF6A1E" w:rsidRPr="00F476CB" w14:paraId="406D223D" w14:textId="77777777" w:rsidTr="00915CF6">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534FDFB9" w14:textId="77777777" w:rsidR="00BF6A1E" w:rsidRPr="00F476CB" w:rsidRDefault="00BF6A1E" w:rsidP="00915CF6">
            <w:pPr>
              <w:pStyle w:val="Tabla"/>
              <w:rPr>
                <w:b/>
              </w:rPr>
            </w:pPr>
            <w:r w:rsidRPr="00F476CB">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3A469273" w14:textId="77777777" w:rsidR="00BF6A1E" w:rsidRPr="00F476CB" w:rsidRDefault="00B02E07" w:rsidP="00B70541">
            <w:pPr>
              <w:pStyle w:val="LCATabla"/>
              <w:keepLines/>
              <w:jc w:val="both"/>
              <w:rPr>
                <w:rFonts w:ascii="Arial" w:hAnsi="Arial" w:cs="Arial"/>
                <w:sz w:val="20"/>
              </w:rPr>
            </w:pPr>
            <w:r w:rsidRPr="00F476CB">
              <w:rPr>
                <w:rFonts w:ascii="Arial" w:hAnsi="Arial" w:cs="Arial"/>
                <w:sz w:val="20"/>
              </w:rPr>
              <w:t>Metro cúbico que figura en los documentos oficiales de control y seguimiento de los residuos entregado a gestor autorizado</w:t>
            </w:r>
            <w:r w:rsidR="00BF6A1E" w:rsidRPr="00F476CB">
              <w:rPr>
                <w:rFonts w:ascii="Arial" w:hAnsi="Arial" w:cs="Arial"/>
                <w:sz w:val="20"/>
              </w:rPr>
              <w:t xml:space="preserve">  </w:t>
            </w:r>
          </w:p>
        </w:tc>
      </w:tr>
      <w:tr w:rsidR="00BF6A1E" w:rsidRPr="00F476CB" w14:paraId="43AB40C8" w14:textId="77777777" w:rsidTr="00915CF6">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35C75D8B" w14:textId="77777777" w:rsidR="00BF6A1E" w:rsidRPr="00F476CB" w:rsidRDefault="00BF6A1E" w:rsidP="00915CF6">
            <w:pPr>
              <w:pStyle w:val="Tabla"/>
              <w:rPr>
                <w:b/>
              </w:rPr>
            </w:pPr>
            <w:r w:rsidRPr="00F476CB">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3C5C801A" w14:textId="77777777" w:rsidR="00BF6A1E" w:rsidRPr="00F476CB" w:rsidRDefault="00BF6A1E" w:rsidP="00B70541">
            <w:pPr>
              <w:pStyle w:val="LCATabla"/>
              <w:keepLines/>
              <w:jc w:val="both"/>
              <w:rPr>
                <w:rFonts w:ascii="Arial" w:hAnsi="Arial" w:cs="Arial"/>
                <w:sz w:val="20"/>
              </w:rPr>
            </w:pPr>
            <w:r w:rsidRPr="00F476CB">
              <w:rPr>
                <w:rFonts w:ascii="Arial" w:hAnsi="Arial" w:cs="Arial"/>
                <w:sz w:val="20"/>
              </w:rPr>
              <w:t>Se efectuará cuando se realice la aceptación</w:t>
            </w:r>
          </w:p>
        </w:tc>
      </w:tr>
      <w:tr w:rsidR="00BF6A1E" w:rsidRPr="00F476CB" w14:paraId="2FCA2BAD" w14:textId="77777777" w:rsidTr="00915CF6">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1BE1229B" w14:textId="77777777" w:rsidR="00BF6A1E" w:rsidRPr="00F476CB" w:rsidRDefault="00BF6A1E" w:rsidP="00915CF6">
            <w:pPr>
              <w:pStyle w:val="Tabla"/>
              <w:rPr>
                <w:b/>
              </w:rPr>
            </w:pPr>
            <w:r w:rsidRPr="00F476CB">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26F96801" w14:textId="77777777" w:rsidR="00B02E07" w:rsidRPr="00F476CB" w:rsidRDefault="00B02E07" w:rsidP="00B70541">
            <w:pPr>
              <w:pStyle w:val="LCATabla"/>
              <w:keepLines/>
              <w:jc w:val="both"/>
              <w:rPr>
                <w:rFonts w:ascii="Arial" w:hAnsi="Arial" w:cs="Arial"/>
                <w:sz w:val="20"/>
              </w:rPr>
            </w:pPr>
            <w:r w:rsidRPr="00F476CB">
              <w:rPr>
                <w:rFonts w:ascii="Arial" w:hAnsi="Arial" w:cs="Arial"/>
                <w:sz w:val="20"/>
              </w:rPr>
              <w:t>El precio de la unidad incluye el coste del canon de entrega a gestor de residuos, y los trabajos de gestión y tratamiento de esos residuos.</w:t>
            </w:r>
          </w:p>
          <w:p w14:paraId="4917C415" w14:textId="77777777" w:rsidR="00BF6A1E" w:rsidRPr="00F476CB" w:rsidRDefault="00B02E07" w:rsidP="00B70541">
            <w:pPr>
              <w:pStyle w:val="LCATabla"/>
              <w:keepLines/>
              <w:jc w:val="both"/>
              <w:rPr>
                <w:rFonts w:ascii="Arial" w:hAnsi="Arial" w:cs="Arial"/>
                <w:sz w:val="20"/>
              </w:rPr>
            </w:pPr>
            <w:r w:rsidRPr="00F476CB">
              <w:rPr>
                <w:rFonts w:ascii="Arial" w:hAnsi="Arial" w:cs="Arial"/>
                <w:sz w:val="20"/>
              </w:rPr>
              <w:t>Incluso el coste de la generación de la documentación requerida por la normativa vigente.</w:t>
            </w:r>
          </w:p>
        </w:tc>
      </w:tr>
    </w:tbl>
    <w:p w14:paraId="79FA61B6" w14:textId="77777777" w:rsidR="00BF6A1E" w:rsidRPr="00F476CB" w:rsidRDefault="00BF6A1E" w:rsidP="00BF6A1E">
      <w:pPr>
        <w:pStyle w:val="NORMAL12"/>
        <w:rPr>
          <w:color w:val="FF0000"/>
          <w:lang w:val="es-ES"/>
        </w:rPr>
      </w:pPr>
    </w:p>
    <w:p w14:paraId="15838977" w14:textId="77777777" w:rsidR="00BF6A1E" w:rsidRPr="00F476CB" w:rsidRDefault="00BF6A1E" w:rsidP="00BF6A1E">
      <w:pPr>
        <w:spacing w:before="120" w:after="120"/>
        <w:rPr>
          <w:rFonts w:ascii="Arial" w:hAnsi="Arial" w:cs="Arial"/>
          <w:color w:val="FF0000"/>
        </w:rPr>
      </w:pPr>
    </w:p>
    <w:p w14:paraId="723D67EE" w14:textId="77777777" w:rsidR="00BF6A1E" w:rsidRPr="00F476CB" w:rsidRDefault="00BF6A1E" w:rsidP="00B02E07">
      <w:pPr>
        <w:pStyle w:val="TITU1"/>
        <w:pageBreakBefore w:val="0"/>
      </w:pPr>
      <w:bookmarkStart w:id="1606" w:name="_Toc404785"/>
      <w:r w:rsidRPr="00F476CB">
        <w:t>Artículo 9</w:t>
      </w:r>
      <w:r w:rsidR="00C461AD" w:rsidRPr="00F476CB">
        <w:t>5</w:t>
      </w:r>
      <w:r w:rsidRPr="00F476CB">
        <w:t>1</w:t>
      </w:r>
      <w:r w:rsidR="00EF446D" w:rsidRPr="00F476CB">
        <w:t>c</w:t>
      </w:r>
      <w:r w:rsidRPr="00F476CB">
        <w:t>. Canon de entrega a planta</w:t>
      </w:r>
      <w:bookmarkEnd w:id="1606"/>
      <w:r w:rsidRPr="00F476CB">
        <w:t xml:space="preserve"> </w:t>
      </w:r>
    </w:p>
    <w:p w14:paraId="38C8FD2A" w14:textId="77777777" w:rsidR="00BF6A1E" w:rsidRPr="00F476CB" w:rsidRDefault="00BF6A1E" w:rsidP="000313DD">
      <w:pPr>
        <w:pStyle w:val="TITU2"/>
      </w:pPr>
      <w:bookmarkStart w:id="1607" w:name="_Toc404786"/>
      <w:r w:rsidRPr="00F476CB">
        <w:t>9</w:t>
      </w:r>
      <w:r w:rsidR="00C461AD" w:rsidRPr="00F476CB">
        <w:t>51</w:t>
      </w:r>
      <w:r w:rsidR="00EF446D" w:rsidRPr="00F476CB">
        <w:t>c</w:t>
      </w:r>
      <w:r w:rsidRPr="00F476CB">
        <w:t>.1. Definición y aplicación</w:t>
      </w:r>
      <w:bookmarkEnd w:id="1607"/>
    </w:p>
    <w:p w14:paraId="11A4F6B9" w14:textId="77777777" w:rsidR="00B02E07" w:rsidRPr="00F476CB" w:rsidRDefault="00B02E07" w:rsidP="00B02E07">
      <w:pPr>
        <w:pStyle w:val="NORMAL12"/>
      </w:pPr>
      <w:r w:rsidRPr="00F476CB">
        <w:t xml:space="preserve">Se define la unidad como el coste del canon de </w:t>
      </w:r>
      <w:r w:rsidR="00AA60BA" w:rsidRPr="00F476CB">
        <w:t xml:space="preserve">entrega a planta de los materiales procedentes de la ejecución de la unidad </w:t>
      </w:r>
      <w:r w:rsidRPr="00F476CB">
        <w:t>301.0040N. definida en el artículo 301. del presente pliego.</w:t>
      </w:r>
    </w:p>
    <w:p w14:paraId="0099CF1C" w14:textId="77777777" w:rsidR="00BF6A1E" w:rsidRPr="00F476CB" w:rsidRDefault="00BF6A1E" w:rsidP="00BF6A1E">
      <w:pPr>
        <w:pStyle w:val="NORMAL12"/>
        <w:rPr>
          <w:lang w:val="es-ES"/>
        </w:rPr>
      </w:pPr>
      <w:r w:rsidRPr="00F476CB">
        <w:rPr>
          <w:lang w:val="es-ES"/>
        </w:rPr>
        <w:t xml:space="preserve">Las prescripciones de este artículo </w:t>
      </w:r>
      <w:proofErr w:type="gramStart"/>
      <w:r w:rsidRPr="00F476CB">
        <w:rPr>
          <w:lang w:val="es-ES"/>
        </w:rPr>
        <w:t>son de aplicación</w:t>
      </w:r>
      <w:proofErr w:type="gramEnd"/>
      <w:r w:rsidRPr="00F476CB">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207"/>
        <w:gridCol w:w="714"/>
        <w:gridCol w:w="7999"/>
      </w:tblGrid>
      <w:tr w:rsidR="00BF6A1E" w:rsidRPr="00BF6A1E" w14:paraId="5D5276A6" w14:textId="77777777" w:rsidTr="00915CF6">
        <w:trPr>
          <w:trHeight w:val="419"/>
        </w:trPr>
        <w:tc>
          <w:tcPr>
            <w:tcW w:w="608" w:type="pct"/>
            <w:noWrap/>
          </w:tcPr>
          <w:p w14:paraId="27AB059E" w14:textId="77777777" w:rsidR="00BF6A1E" w:rsidRPr="00F476CB" w:rsidRDefault="00803234" w:rsidP="00803234">
            <w:pPr>
              <w:rPr>
                <w:rFonts w:ascii="Calibri" w:hAnsi="Calibri" w:cs="Calibri"/>
              </w:rPr>
            </w:pPr>
            <w:r w:rsidRPr="00F476CB">
              <w:rPr>
                <w:rFonts w:ascii="Calibri" w:hAnsi="Calibri" w:cs="Calibri"/>
              </w:rPr>
              <w:t>330</w:t>
            </w:r>
            <w:r w:rsidR="00BF6A1E" w:rsidRPr="00F476CB">
              <w:rPr>
                <w:rFonts w:ascii="Calibri" w:hAnsi="Calibri" w:cs="Calibri"/>
              </w:rPr>
              <w:t>.</w:t>
            </w:r>
            <w:r w:rsidRPr="00F476CB">
              <w:rPr>
                <w:rFonts w:ascii="Calibri" w:hAnsi="Calibri" w:cs="Calibri"/>
              </w:rPr>
              <w:t>0040</w:t>
            </w:r>
            <w:r w:rsidR="00BF6A1E" w:rsidRPr="00F476CB">
              <w:rPr>
                <w:rFonts w:ascii="Calibri" w:hAnsi="Calibri" w:cs="Calibri"/>
              </w:rPr>
              <w:t xml:space="preserve">N         </w:t>
            </w:r>
          </w:p>
        </w:tc>
        <w:tc>
          <w:tcPr>
            <w:tcW w:w="360" w:type="pct"/>
            <w:noWrap/>
          </w:tcPr>
          <w:p w14:paraId="67034AD3" w14:textId="77777777" w:rsidR="00BF6A1E" w:rsidRPr="00F476CB" w:rsidRDefault="00803234" w:rsidP="00803234">
            <w:pPr>
              <w:rPr>
                <w:rFonts w:ascii="Calibri" w:hAnsi="Calibri" w:cs="Calibri"/>
              </w:rPr>
            </w:pPr>
            <w:r w:rsidRPr="00F476CB">
              <w:rPr>
                <w:rFonts w:ascii="Calibri" w:hAnsi="Calibri" w:cs="Calibri"/>
              </w:rPr>
              <w:t>t</w:t>
            </w:r>
          </w:p>
        </w:tc>
        <w:tc>
          <w:tcPr>
            <w:tcW w:w="4032" w:type="pct"/>
          </w:tcPr>
          <w:p w14:paraId="045A707D" w14:textId="77777777" w:rsidR="00803234" w:rsidRPr="00F476CB" w:rsidRDefault="00803234" w:rsidP="00803234">
            <w:pPr>
              <w:jc w:val="both"/>
              <w:rPr>
                <w:rFonts w:ascii="Calibri" w:hAnsi="Calibri" w:cs="Calibri"/>
              </w:rPr>
            </w:pPr>
            <w:r w:rsidRPr="00F476CB">
              <w:rPr>
                <w:rFonts w:ascii="Calibri" w:hAnsi="Calibri" w:cs="Calibri"/>
              </w:rPr>
              <w:t>CANÓN DE ENTREGA A PLANTA DE VALORIZACIÓN AUTORIZADA (POR CONSEJERÍA DE MEDIO AMBIENTE), DE LOS PRODUCTOS PÉTREOS DE LA DEMOLICIÓN CONSTITUIDOS POR HORMIGÓN, LADRILLOS, TEJAS Y MATERIALES CERÁMICOS (O MEZCLA DE ÉSTOS), YESO Y/O MEZCLAS BITUMINOSAS</w:t>
            </w:r>
          </w:p>
          <w:p w14:paraId="1C9A0F87" w14:textId="77777777" w:rsidR="00BF6A1E" w:rsidRPr="00F476CB" w:rsidRDefault="00BF6A1E" w:rsidP="00915CF6">
            <w:pPr>
              <w:jc w:val="both"/>
              <w:rPr>
                <w:rFonts w:ascii="Calibri" w:hAnsi="Calibri" w:cs="Calibri"/>
              </w:rPr>
            </w:pPr>
          </w:p>
        </w:tc>
      </w:tr>
    </w:tbl>
    <w:p w14:paraId="3F9E9885" w14:textId="77777777" w:rsidR="00BF6A1E" w:rsidRDefault="00BF6A1E" w:rsidP="000313DD">
      <w:pPr>
        <w:pStyle w:val="TITU2"/>
      </w:pPr>
      <w:bookmarkStart w:id="1608" w:name="_Toc404787"/>
      <w:r w:rsidRPr="00BF6A1E">
        <w:t>9</w:t>
      </w:r>
      <w:r w:rsidR="00C461AD">
        <w:t>51</w:t>
      </w:r>
      <w:r w:rsidR="00EF446D">
        <w:t>c</w:t>
      </w:r>
      <w:r w:rsidRPr="00BF6A1E">
        <w:t xml:space="preserve">.2. </w:t>
      </w:r>
      <w:r w:rsidR="008C7D19">
        <w:t>Ejecución de las obras</w:t>
      </w:r>
      <w:bookmarkEnd w:id="1608"/>
    </w:p>
    <w:p w14:paraId="424DF478" w14:textId="77777777" w:rsidR="00AA60BA" w:rsidRPr="00B02E07" w:rsidRDefault="00AA60BA" w:rsidP="00AA60BA">
      <w:pPr>
        <w:pStyle w:val="NORMAL12"/>
      </w:pPr>
      <w:r w:rsidRPr="00B02E07">
        <w:t xml:space="preserve">La entrega se realizará a gestor autorizado en las condiciones establecidas en </w:t>
      </w:r>
      <w:r w:rsidR="00217216" w:rsidRPr="00B02E07">
        <w:t>la normativa vigente</w:t>
      </w:r>
      <w:r w:rsidRPr="00B02E07">
        <w:t xml:space="preserve">.  El gestor debe estar autorizado por la </w:t>
      </w:r>
      <w:proofErr w:type="spellStart"/>
      <w:r w:rsidRPr="00B02E07">
        <w:t>Administracion</w:t>
      </w:r>
      <w:proofErr w:type="spellEnd"/>
      <w:r w:rsidRPr="00B02E07">
        <w:t xml:space="preserve"> competente en medio ambiente.</w:t>
      </w:r>
    </w:p>
    <w:p w14:paraId="43A86461" w14:textId="77777777" w:rsidR="00AA60BA" w:rsidRPr="00B02E07" w:rsidRDefault="00AA60BA" w:rsidP="00AA60BA">
      <w:pPr>
        <w:pStyle w:val="NORMAL12"/>
      </w:pPr>
      <w:r w:rsidRPr="00B02E07">
        <w:t>Una vez realizada la entrega y después de que se haya llevado a cabo el tratamiento del residuo, el gestor emitirá la documentación requerida que testifique que se ha llevado a cabo el tratamiento del residuo adecuado, de acuerdo con la normativa vigente.</w:t>
      </w:r>
    </w:p>
    <w:p w14:paraId="2E1FAD57" w14:textId="77777777" w:rsidR="00BF6A1E" w:rsidRPr="00BF6A1E" w:rsidRDefault="00BF6A1E" w:rsidP="000313DD">
      <w:pPr>
        <w:pStyle w:val="TITU2"/>
      </w:pPr>
      <w:bookmarkStart w:id="1609" w:name="_Toc404788"/>
      <w:r w:rsidRPr="00BF6A1E">
        <w:t>9</w:t>
      </w:r>
      <w:r w:rsidR="00C461AD">
        <w:t>51</w:t>
      </w:r>
      <w:r w:rsidR="00EF446D">
        <w:t>c</w:t>
      </w:r>
      <w:r w:rsidRPr="00BF6A1E">
        <w:t>.</w:t>
      </w:r>
      <w:r w:rsidR="00AA60BA">
        <w:t>3</w:t>
      </w:r>
      <w:r w:rsidRPr="00BF6A1E">
        <w:t>. Medición y abono</w:t>
      </w:r>
      <w:bookmarkEnd w:id="1609"/>
    </w:p>
    <w:p w14:paraId="10499CC1" w14:textId="77777777" w:rsidR="00AA60BA" w:rsidRPr="00B02E07" w:rsidRDefault="00AA60BA" w:rsidP="00AA60BA">
      <w:pPr>
        <w:pStyle w:val="NORMAL12"/>
        <w:rPr>
          <w:lang w:val="es-ES"/>
        </w:rPr>
      </w:pPr>
      <w:r w:rsidRPr="00B02E07">
        <w:rPr>
          <w:lang w:val="es-ES"/>
        </w:rPr>
        <w:t xml:space="preserve">La medición y abono de la unidad de </w:t>
      </w:r>
      <w:r>
        <w:rPr>
          <w:lang w:val="es-ES"/>
        </w:rPr>
        <w:t>canon de entrega a planta</w:t>
      </w:r>
      <w:r w:rsidRPr="00B02E07">
        <w:rPr>
          <w:lang w:val="es-ES"/>
        </w:rPr>
        <w:t xml:space="preserve"> se realizará según las prescripciones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AA60BA" w:rsidRPr="00B02E07" w14:paraId="79B47434" w14:textId="77777777" w:rsidTr="000B2E86">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730F49CA" w14:textId="77777777" w:rsidR="00AA60BA" w:rsidRPr="00B02E07" w:rsidRDefault="00AA60BA" w:rsidP="000B2E86">
            <w:pPr>
              <w:pStyle w:val="Tabla"/>
              <w:rPr>
                <w:b/>
              </w:rPr>
            </w:pPr>
            <w:r w:rsidRPr="00B02E07">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2C8EB4A2" w14:textId="77777777" w:rsidR="00AA60BA" w:rsidRPr="00B02E07" w:rsidRDefault="00CA461E" w:rsidP="00CA461E">
            <w:pPr>
              <w:pStyle w:val="LCATabla"/>
              <w:keepLines/>
              <w:jc w:val="both"/>
              <w:rPr>
                <w:rFonts w:ascii="Arial" w:hAnsi="Arial" w:cs="Arial"/>
                <w:sz w:val="20"/>
              </w:rPr>
            </w:pPr>
            <w:r>
              <w:rPr>
                <w:rFonts w:ascii="Arial" w:hAnsi="Arial" w:cs="Arial"/>
                <w:sz w:val="20"/>
              </w:rPr>
              <w:t>Tonelada</w:t>
            </w:r>
            <w:r w:rsidR="00AA60BA" w:rsidRPr="00B02E07">
              <w:rPr>
                <w:rFonts w:ascii="Arial" w:hAnsi="Arial" w:cs="Arial"/>
                <w:sz w:val="20"/>
              </w:rPr>
              <w:t xml:space="preserve"> (</w:t>
            </w:r>
            <w:r>
              <w:rPr>
                <w:rFonts w:ascii="Arial" w:hAnsi="Arial" w:cs="Arial"/>
                <w:sz w:val="20"/>
              </w:rPr>
              <w:t>t</w:t>
            </w:r>
            <w:r w:rsidR="00AA60BA" w:rsidRPr="00B02E07">
              <w:rPr>
                <w:rFonts w:ascii="Arial" w:hAnsi="Arial" w:cs="Arial"/>
                <w:sz w:val="20"/>
              </w:rPr>
              <w:t>)</w:t>
            </w:r>
          </w:p>
        </w:tc>
      </w:tr>
      <w:tr w:rsidR="00AA60BA" w:rsidRPr="00B02E07" w14:paraId="12B1EE31" w14:textId="77777777" w:rsidTr="000B2E86">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1ADAE86D" w14:textId="77777777" w:rsidR="00AA60BA" w:rsidRPr="00B02E07" w:rsidRDefault="00AA60BA" w:rsidP="000B2E86">
            <w:pPr>
              <w:pStyle w:val="Tabla"/>
              <w:rPr>
                <w:b/>
              </w:rPr>
            </w:pPr>
            <w:r w:rsidRPr="00B02E07">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5B13690D" w14:textId="77777777" w:rsidR="00AA60BA" w:rsidRPr="00B02E07" w:rsidRDefault="00AA60BA" w:rsidP="00B70541">
            <w:pPr>
              <w:pStyle w:val="LCATabla"/>
              <w:keepLines/>
              <w:jc w:val="both"/>
              <w:rPr>
                <w:rFonts w:ascii="Arial" w:hAnsi="Arial" w:cs="Arial"/>
                <w:sz w:val="20"/>
              </w:rPr>
            </w:pPr>
            <w:r w:rsidRPr="00B02E07">
              <w:rPr>
                <w:rFonts w:ascii="Arial" w:hAnsi="Arial" w:cs="Arial"/>
                <w:sz w:val="20"/>
              </w:rPr>
              <w:t>Dos decimales.</w:t>
            </w:r>
          </w:p>
        </w:tc>
      </w:tr>
      <w:tr w:rsidR="00AA60BA" w:rsidRPr="00B02E07" w14:paraId="7DA55A49" w14:textId="77777777" w:rsidTr="000B2E86">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4F0B98CE" w14:textId="77777777" w:rsidR="00AA60BA" w:rsidRPr="00B02E07" w:rsidRDefault="00AA60BA" w:rsidP="000B2E86">
            <w:pPr>
              <w:pStyle w:val="Tabla"/>
              <w:rPr>
                <w:b/>
              </w:rPr>
            </w:pPr>
            <w:r w:rsidRPr="00B02E07">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0AF1E9DC" w14:textId="77777777" w:rsidR="00AA60BA" w:rsidRPr="00B02E07" w:rsidRDefault="00AA60BA" w:rsidP="00B70541">
            <w:pPr>
              <w:pStyle w:val="LCATabla"/>
              <w:keepLines/>
              <w:jc w:val="both"/>
              <w:rPr>
                <w:rFonts w:ascii="Arial" w:hAnsi="Arial" w:cs="Arial"/>
                <w:sz w:val="20"/>
              </w:rPr>
            </w:pPr>
            <w:r w:rsidRPr="00B02E07">
              <w:rPr>
                <w:rFonts w:ascii="Arial" w:hAnsi="Arial" w:cs="Arial"/>
                <w:sz w:val="20"/>
              </w:rPr>
              <w:t xml:space="preserve">Metro cúbico que figura en los documentos oficiales de control y seguimiento de los residuos entregado a gestor autorizado  </w:t>
            </w:r>
          </w:p>
        </w:tc>
      </w:tr>
      <w:tr w:rsidR="00AA60BA" w:rsidRPr="00B02E07" w14:paraId="30A8981A" w14:textId="77777777" w:rsidTr="000B2E86">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4B8599A8" w14:textId="77777777" w:rsidR="00AA60BA" w:rsidRPr="00B02E07" w:rsidRDefault="00AA60BA" w:rsidP="000B2E86">
            <w:pPr>
              <w:pStyle w:val="Tabla"/>
              <w:rPr>
                <w:b/>
              </w:rPr>
            </w:pPr>
            <w:r w:rsidRPr="00B02E07">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5F6494AD" w14:textId="77777777" w:rsidR="00AA60BA" w:rsidRPr="00B02E07" w:rsidRDefault="00AA60BA" w:rsidP="00B70541">
            <w:pPr>
              <w:pStyle w:val="LCATabla"/>
              <w:keepLines/>
              <w:jc w:val="both"/>
              <w:rPr>
                <w:rFonts w:ascii="Arial" w:hAnsi="Arial" w:cs="Arial"/>
                <w:sz w:val="20"/>
              </w:rPr>
            </w:pPr>
            <w:r w:rsidRPr="00B02E07">
              <w:rPr>
                <w:rFonts w:ascii="Arial" w:hAnsi="Arial" w:cs="Arial"/>
                <w:sz w:val="20"/>
              </w:rPr>
              <w:t>Se efectuará cuando se realice la aceptación</w:t>
            </w:r>
          </w:p>
        </w:tc>
      </w:tr>
      <w:tr w:rsidR="00AA60BA" w:rsidRPr="00B02E07" w14:paraId="7A30EF82" w14:textId="77777777" w:rsidTr="000B2E86">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4EDFDC76" w14:textId="77777777" w:rsidR="00AA60BA" w:rsidRPr="00B02E07" w:rsidRDefault="00AA60BA" w:rsidP="000B2E86">
            <w:pPr>
              <w:pStyle w:val="Tabla"/>
              <w:rPr>
                <w:b/>
              </w:rPr>
            </w:pPr>
            <w:r w:rsidRPr="00B02E07">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7D196B7D" w14:textId="77777777" w:rsidR="00AA60BA" w:rsidRPr="00B02E07" w:rsidRDefault="00AA60BA" w:rsidP="00B70541">
            <w:pPr>
              <w:pStyle w:val="LCATabla"/>
              <w:keepLines/>
              <w:jc w:val="both"/>
              <w:rPr>
                <w:rFonts w:ascii="Arial" w:hAnsi="Arial" w:cs="Arial"/>
                <w:sz w:val="20"/>
              </w:rPr>
            </w:pPr>
            <w:r w:rsidRPr="00B02E07">
              <w:rPr>
                <w:rFonts w:ascii="Arial" w:hAnsi="Arial" w:cs="Arial"/>
                <w:sz w:val="20"/>
              </w:rPr>
              <w:t>El precio de la unidad incluye el coste del canon de entrega a gestor de residuos, y los trabajos de gestión y tratamiento de esos residuos.</w:t>
            </w:r>
          </w:p>
          <w:p w14:paraId="533D8555" w14:textId="77777777" w:rsidR="00AA60BA" w:rsidRPr="00B02E07" w:rsidRDefault="00AA60BA" w:rsidP="00B70541">
            <w:pPr>
              <w:pStyle w:val="LCATabla"/>
              <w:keepLines/>
              <w:jc w:val="both"/>
              <w:rPr>
                <w:rFonts w:ascii="Arial" w:hAnsi="Arial" w:cs="Arial"/>
                <w:sz w:val="20"/>
              </w:rPr>
            </w:pPr>
            <w:r w:rsidRPr="00B02E07">
              <w:rPr>
                <w:rFonts w:ascii="Arial" w:hAnsi="Arial" w:cs="Arial"/>
                <w:sz w:val="20"/>
              </w:rPr>
              <w:t>Incluso el coste de la generación de la documentación requerida por la normativa vigente.</w:t>
            </w:r>
          </w:p>
        </w:tc>
      </w:tr>
    </w:tbl>
    <w:p w14:paraId="42614211" w14:textId="77777777" w:rsidR="00BF6A1E" w:rsidRPr="00BF6A1E" w:rsidRDefault="00BF6A1E" w:rsidP="00BF6A1E">
      <w:pPr>
        <w:pStyle w:val="NORMAL12"/>
        <w:rPr>
          <w:color w:val="FF0000"/>
          <w:lang w:val="es-ES"/>
        </w:rPr>
      </w:pPr>
    </w:p>
    <w:p w14:paraId="28305920" w14:textId="77777777" w:rsidR="008A4616" w:rsidRDefault="00753FEC" w:rsidP="00BA680E">
      <w:pPr>
        <w:pStyle w:val="TITU1"/>
      </w:pPr>
      <w:bookmarkStart w:id="1610" w:name="_Toc404789"/>
      <w:r>
        <w:lastRenderedPageBreak/>
        <w:t>Artículo 952.</w:t>
      </w:r>
      <w:r w:rsidR="00BA680E">
        <w:t xml:space="preserve"> </w:t>
      </w:r>
      <w:r w:rsidR="008A4616" w:rsidRPr="00E378C6">
        <w:t>J</w:t>
      </w:r>
      <w:r w:rsidR="007739DA">
        <w:t>alonamiento</w:t>
      </w:r>
      <w:bookmarkEnd w:id="1598"/>
      <w:bookmarkEnd w:id="1610"/>
    </w:p>
    <w:p w14:paraId="61D7D705" w14:textId="77777777" w:rsidR="00BA680E" w:rsidRDefault="00BA680E" w:rsidP="000313DD">
      <w:pPr>
        <w:pStyle w:val="TITU2"/>
      </w:pPr>
      <w:bookmarkStart w:id="1611" w:name="_Toc404790"/>
      <w:r w:rsidRPr="00BA680E">
        <w:t>952.1. Definición y aplicación</w:t>
      </w:r>
      <w:bookmarkEnd w:id="1611"/>
    </w:p>
    <w:p w14:paraId="3060D613" w14:textId="77777777" w:rsidR="00357E41" w:rsidRPr="00357E41" w:rsidRDefault="00357E41" w:rsidP="00357E41">
      <w:pPr>
        <w:pStyle w:val="NORMAL12"/>
        <w:rPr>
          <w:lang w:val="es-ES"/>
        </w:rPr>
      </w:pPr>
      <w:r>
        <w:rPr>
          <w:lang w:val="es-ES"/>
        </w:rPr>
        <w:t xml:space="preserve">Las prescripciones de este artículo </w:t>
      </w:r>
      <w:proofErr w:type="gramStart"/>
      <w:r>
        <w:rPr>
          <w:lang w:val="es-ES"/>
        </w:rPr>
        <w:t>son de aplicación</w:t>
      </w:r>
      <w:proofErr w:type="gramEnd"/>
      <w:r>
        <w:rPr>
          <w:lang w:val="es-ES"/>
        </w:rPr>
        <w:t xml:space="preserve"> a las unidades de obra siguientes</w:t>
      </w:r>
    </w:p>
    <w:p w14:paraId="0E016907" w14:textId="77777777" w:rsidR="0046154C" w:rsidRDefault="0046154C" w:rsidP="0046154C">
      <w:pPr>
        <w:rPr>
          <w:lang w:eastAsia="en-US"/>
        </w:rPr>
      </w:pPr>
    </w:p>
    <w:tbl>
      <w:tblPr>
        <w:tblW w:w="5000" w:type="pct"/>
        <w:tblCellMar>
          <w:left w:w="70" w:type="dxa"/>
          <w:right w:w="70" w:type="dxa"/>
        </w:tblCellMar>
        <w:tblLook w:val="04A0" w:firstRow="1" w:lastRow="0" w:firstColumn="1" w:lastColumn="0" w:noHBand="0" w:noVBand="1"/>
      </w:tblPr>
      <w:tblGrid>
        <w:gridCol w:w="1206"/>
        <w:gridCol w:w="720"/>
        <w:gridCol w:w="7994"/>
      </w:tblGrid>
      <w:tr w:rsidR="0046154C" w:rsidRPr="00EF1AE7" w14:paraId="217BF18B" w14:textId="77777777" w:rsidTr="0046154C">
        <w:trPr>
          <w:trHeight w:val="419"/>
        </w:trPr>
        <w:tc>
          <w:tcPr>
            <w:tcW w:w="608" w:type="pct"/>
            <w:noWrap/>
          </w:tcPr>
          <w:p w14:paraId="6726E804" w14:textId="77777777" w:rsidR="0046154C" w:rsidRPr="00F476CB" w:rsidRDefault="0046154C">
            <w:pPr>
              <w:rPr>
                <w:rFonts w:ascii="Calibri" w:hAnsi="Calibri" w:cs="Calibri"/>
                <w:color w:val="000000"/>
              </w:rPr>
            </w:pPr>
            <w:r w:rsidRPr="00F476CB">
              <w:rPr>
                <w:rFonts w:ascii="Calibri" w:hAnsi="Calibri" w:cs="Calibri"/>
                <w:color w:val="000000"/>
              </w:rPr>
              <w:t xml:space="preserve">801.0010          </w:t>
            </w:r>
          </w:p>
        </w:tc>
        <w:tc>
          <w:tcPr>
            <w:tcW w:w="363" w:type="pct"/>
            <w:noWrap/>
          </w:tcPr>
          <w:p w14:paraId="5A9FBD50" w14:textId="77777777" w:rsidR="0046154C" w:rsidRPr="00F476CB" w:rsidRDefault="0046154C">
            <w:pPr>
              <w:rPr>
                <w:rFonts w:ascii="Calibri" w:hAnsi="Calibri" w:cs="Calibri"/>
                <w:color w:val="000000"/>
              </w:rPr>
            </w:pPr>
            <w:r w:rsidRPr="00F476CB">
              <w:rPr>
                <w:rFonts w:ascii="Calibri" w:hAnsi="Calibri" w:cs="Calibri"/>
                <w:color w:val="000000"/>
              </w:rPr>
              <w:t>m</w:t>
            </w:r>
          </w:p>
        </w:tc>
        <w:tc>
          <w:tcPr>
            <w:tcW w:w="4029" w:type="pct"/>
          </w:tcPr>
          <w:p w14:paraId="3D2E9A6D" w14:textId="77777777" w:rsidR="0046154C" w:rsidRPr="00F476CB" w:rsidRDefault="00E9144F" w:rsidP="00B70541">
            <w:pPr>
              <w:jc w:val="both"/>
              <w:rPr>
                <w:rFonts w:ascii="Calibri" w:hAnsi="Calibri" w:cs="Calibri"/>
                <w:color w:val="000000"/>
              </w:rPr>
            </w:pPr>
            <w:r w:rsidRPr="00F476CB">
              <w:rPr>
                <w:rFonts w:ascii="Calibri" w:hAnsi="Calibri" w:cs="Calibri"/>
                <w:color w:val="000000"/>
              </w:rPr>
              <w:t>JALONAMIENTO PARA DELIMITACIÓN DE VEGETACIÓN DE INTERÉS, REALIZADO CON CINTA PLÁSTICA Y ESTACAS DE MADERA DE 1,5 m DE ALTURA Y SEPARADAS UNOS 10 m ENTRE SÍ, TOTALMENTE TERMINADO Y DESMANTELAMIENTO FINAL.</w:t>
            </w:r>
          </w:p>
          <w:p w14:paraId="3FE724CF" w14:textId="77777777" w:rsidR="00357E41" w:rsidRPr="00F476CB" w:rsidRDefault="00357E41" w:rsidP="00B70541">
            <w:pPr>
              <w:jc w:val="both"/>
              <w:rPr>
                <w:rFonts w:ascii="Calibri" w:hAnsi="Calibri" w:cs="Calibri"/>
                <w:color w:val="000000"/>
              </w:rPr>
            </w:pPr>
          </w:p>
        </w:tc>
      </w:tr>
      <w:tr w:rsidR="0046154C" w:rsidRPr="00EF1AE7" w14:paraId="26FDEC7C" w14:textId="77777777" w:rsidTr="0046154C">
        <w:trPr>
          <w:trHeight w:val="419"/>
        </w:trPr>
        <w:tc>
          <w:tcPr>
            <w:tcW w:w="608" w:type="pct"/>
            <w:noWrap/>
          </w:tcPr>
          <w:p w14:paraId="2AEE1AE5" w14:textId="77777777" w:rsidR="0046154C" w:rsidRPr="00F476CB" w:rsidRDefault="0046154C">
            <w:pPr>
              <w:rPr>
                <w:rFonts w:ascii="Calibri" w:hAnsi="Calibri" w:cs="Calibri"/>
                <w:color w:val="000000"/>
              </w:rPr>
            </w:pPr>
            <w:r w:rsidRPr="00F476CB">
              <w:rPr>
                <w:rFonts w:ascii="Calibri" w:hAnsi="Calibri" w:cs="Calibri"/>
                <w:color w:val="000000"/>
              </w:rPr>
              <w:t xml:space="preserve">801.0030        </w:t>
            </w:r>
          </w:p>
        </w:tc>
        <w:tc>
          <w:tcPr>
            <w:tcW w:w="363" w:type="pct"/>
            <w:noWrap/>
          </w:tcPr>
          <w:p w14:paraId="0B8A7BEA" w14:textId="77777777" w:rsidR="0046154C" w:rsidRPr="00F476CB" w:rsidRDefault="0046154C">
            <w:pPr>
              <w:rPr>
                <w:rFonts w:ascii="Calibri" w:hAnsi="Calibri" w:cs="Calibri"/>
                <w:color w:val="000000"/>
              </w:rPr>
            </w:pPr>
            <w:r w:rsidRPr="00F476CB">
              <w:rPr>
                <w:rFonts w:ascii="Calibri" w:hAnsi="Calibri" w:cs="Calibri"/>
                <w:color w:val="000000"/>
              </w:rPr>
              <w:t>m</w:t>
            </w:r>
          </w:p>
        </w:tc>
        <w:tc>
          <w:tcPr>
            <w:tcW w:w="4029" w:type="pct"/>
          </w:tcPr>
          <w:p w14:paraId="5AC086BD" w14:textId="77777777" w:rsidR="0046154C" w:rsidRPr="00F476CB" w:rsidRDefault="00E9144F" w:rsidP="00B70541">
            <w:pPr>
              <w:jc w:val="both"/>
              <w:rPr>
                <w:rFonts w:ascii="Calibri" w:hAnsi="Calibri" w:cs="Calibri"/>
                <w:color w:val="000000"/>
              </w:rPr>
            </w:pPr>
            <w:r w:rsidRPr="00F476CB">
              <w:rPr>
                <w:rFonts w:ascii="Calibri" w:hAnsi="Calibri" w:cs="Calibri"/>
                <w:color w:val="000000"/>
              </w:rPr>
              <w:t>JALONAMIENTO TEMPORAL DE PROTECCIÓN FORMADO POR SOPORTES ANGULARES METÁLICOS DE 30 mm Y 1 m DE LONGITUD UNIDOS ENTRE SI MEDIANTE UNA CINTA DE SEÑALIZACIÓN DE OBRA Y COLOCADOS CADA 8 m.</w:t>
            </w:r>
          </w:p>
        </w:tc>
      </w:tr>
    </w:tbl>
    <w:p w14:paraId="76661321" w14:textId="77777777" w:rsidR="0046154C" w:rsidRDefault="0046154C" w:rsidP="0046154C">
      <w:pPr>
        <w:rPr>
          <w:lang w:eastAsia="en-US"/>
        </w:rPr>
      </w:pPr>
    </w:p>
    <w:p w14:paraId="44F8E122" w14:textId="77777777" w:rsidR="0046154C" w:rsidRPr="0046154C" w:rsidRDefault="0046154C" w:rsidP="0046154C">
      <w:pPr>
        <w:rPr>
          <w:lang w:eastAsia="en-US"/>
        </w:rPr>
      </w:pPr>
    </w:p>
    <w:p w14:paraId="1AE1B0D7" w14:textId="77777777" w:rsidR="008A4616" w:rsidRPr="00BA680E" w:rsidRDefault="008A4616" w:rsidP="00BA680E">
      <w:pPr>
        <w:pStyle w:val="NORMAL12"/>
        <w:rPr>
          <w:lang w:val="es-ES"/>
        </w:rPr>
      </w:pPr>
      <w:r w:rsidRPr="00BA680E">
        <w:rPr>
          <w:lang w:val="es-ES"/>
        </w:rPr>
        <w:t>Con el fin de que las obras, así como el tráfico de maquinaria y las instalaciones auxiliares se ciñan al interior de la superficie de ocupación de las obras, se realizará un jalonamiento temporal de protección de su perímetro (previo al inicio del movimiento de tierras)</w:t>
      </w:r>
    </w:p>
    <w:p w14:paraId="5F49F9A0" w14:textId="77777777" w:rsidR="008A4616" w:rsidRPr="00BA680E" w:rsidRDefault="008A4616" w:rsidP="008A4616">
      <w:pPr>
        <w:pStyle w:val="NORMAL12"/>
        <w:rPr>
          <w:lang w:val="es-ES"/>
        </w:rPr>
      </w:pPr>
      <w:r w:rsidRPr="00BA680E">
        <w:rPr>
          <w:lang w:val="es-ES"/>
        </w:rPr>
        <w:t>En principio el límite de ocupación será la zona de Dominio Público, con la excepción del entorno de cauces, principalmente los ríos Nora y Noreña, en la que será más restringida.</w:t>
      </w:r>
    </w:p>
    <w:p w14:paraId="33FA60F1" w14:textId="77777777" w:rsidR="008A4616" w:rsidRPr="00BA680E" w:rsidRDefault="008A4616" w:rsidP="008A4616">
      <w:pPr>
        <w:pStyle w:val="NORMAL12"/>
        <w:rPr>
          <w:lang w:val="es-ES"/>
        </w:rPr>
      </w:pPr>
      <w:r w:rsidRPr="00BA680E">
        <w:rPr>
          <w:lang w:val="es-ES"/>
        </w:rPr>
        <w:t>El jalonamiento se efectuará mediante colocación de jalones cada 8 m y de malla de cerramiento de plástico entre ellos. El jalonamiento provisional será claramente visible, consistente y de difícil desplazamiento. Será retirado una vez situado el cerramiento definitivo de la zona, y en todo caso, al final de la obra no deberán quedar rastros de la cinta o los jalones.</w:t>
      </w:r>
    </w:p>
    <w:p w14:paraId="2765D405" w14:textId="77777777" w:rsidR="008A4616" w:rsidRPr="00BA680E" w:rsidRDefault="008A4616" w:rsidP="008A4616">
      <w:pPr>
        <w:pStyle w:val="NORMAL12"/>
        <w:rPr>
          <w:lang w:val="es-ES"/>
        </w:rPr>
      </w:pPr>
      <w:r w:rsidRPr="00BA680E">
        <w:rPr>
          <w:lang w:val="es-ES"/>
        </w:rPr>
        <w:t>Se utilizarán como accesos y rutas de movimiento de las obras la propia autovía, y la red viaria y de caminos existentes, con las precauciones que sean necesarias para no interferir con el tráfico.</w:t>
      </w:r>
    </w:p>
    <w:p w14:paraId="08838ED3" w14:textId="77777777" w:rsidR="008A4616" w:rsidRPr="00BA680E" w:rsidRDefault="008A4616" w:rsidP="008A4616">
      <w:pPr>
        <w:pStyle w:val="NORMAL12"/>
        <w:rPr>
          <w:lang w:val="es-ES"/>
        </w:rPr>
      </w:pPr>
      <w:r w:rsidRPr="00BA680E">
        <w:rPr>
          <w:lang w:val="es-ES"/>
        </w:rPr>
        <w:t>Los caminos preexistentes afectados por la circulación de vehículos de las obras durante la fase de construcción, así como aquellos que deberán proyectarse para accesos a los tajos de la obra, deberán ser restaurados a sus condiciones originales.</w:t>
      </w:r>
    </w:p>
    <w:p w14:paraId="3A0AE14F" w14:textId="77777777" w:rsidR="008A4616" w:rsidRPr="00BA680E" w:rsidRDefault="008A4616" w:rsidP="00BA680E">
      <w:pPr>
        <w:pStyle w:val="NORMAL12"/>
        <w:rPr>
          <w:lang w:val="es-ES"/>
        </w:rPr>
      </w:pPr>
      <w:r w:rsidRPr="00BA680E">
        <w:rPr>
          <w:lang w:val="es-ES"/>
        </w:rPr>
        <w:t xml:space="preserve">Se prohibirá expresamente la circulación de maquinaria fuera de las zonas de </w:t>
      </w:r>
      <w:r w:rsidR="00D93E76" w:rsidRPr="00BA680E">
        <w:rPr>
          <w:lang w:val="es-ES"/>
        </w:rPr>
        <w:t>trabajo</w:t>
      </w:r>
      <w:r w:rsidR="003A570E">
        <w:rPr>
          <w:lang w:val="es-ES"/>
        </w:rPr>
        <w:t xml:space="preserve">. </w:t>
      </w:r>
      <w:r w:rsidR="00D93E76" w:rsidRPr="00BA680E">
        <w:rPr>
          <w:lang w:val="es-ES"/>
        </w:rPr>
        <w:t>Éste</w:t>
      </w:r>
      <w:r w:rsidRPr="00BA680E">
        <w:rPr>
          <w:lang w:val="es-ES"/>
        </w:rPr>
        <w:t xml:space="preserve"> vallado se revisará de forma continuada hasta el final de las obras y, si hubiera alguna incidencia, sería comunicado mediante el informe mensual. </w:t>
      </w:r>
    </w:p>
    <w:p w14:paraId="4E72776E" w14:textId="77777777" w:rsidR="00BA680E" w:rsidRPr="00E378C6" w:rsidRDefault="00753FEC" w:rsidP="000313DD">
      <w:pPr>
        <w:pStyle w:val="TITU2"/>
      </w:pPr>
      <w:bookmarkStart w:id="1612" w:name="_Toc529870972"/>
      <w:bookmarkStart w:id="1613" w:name="_Toc404791"/>
      <w:bookmarkStart w:id="1614" w:name="_Toc529870970"/>
      <w:r>
        <w:t>952.2.</w:t>
      </w:r>
      <w:r w:rsidR="00BA680E">
        <w:t xml:space="preserve"> </w:t>
      </w:r>
      <w:r w:rsidR="00BA680E" w:rsidRPr="00E378C6">
        <w:t>Recepción de las obras</w:t>
      </w:r>
      <w:bookmarkEnd w:id="1612"/>
      <w:bookmarkEnd w:id="1613"/>
    </w:p>
    <w:p w14:paraId="185C87BD" w14:textId="77777777" w:rsidR="00BA680E" w:rsidRPr="00BA680E" w:rsidRDefault="00BA680E" w:rsidP="00BA680E">
      <w:pPr>
        <w:pStyle w:val="NORMAL12"/>
        <w:rPr>
          <w:lang w:val="es-ES"/>
        </w:rPr>
      </w:pPr>
      <w:r w:rsidRPr="00BA680E">
        <w:rPr>
          <w:lang w:val="es-ES"/>
        </w:rPr>
        <w:t xml:space="preserve">La unidad se dará por totalmente ejecutada, cuando el </w:t>
      </w:r>
      <w:proofErr w:type="gramStart"/>
      <w:r w:rsidRPr="00BA680E">
        <w:rPr>
          <w:lang w:val="es-ES"/>
        </w:rPr>
        <w:t>Director</w:t>
      </w:r>
      <w:proofErr w:type="gramEnd"/>
      <w:r w:rsidRPr="00BA680E">
        <w:rPr>
          <w:lang w:val="es-ES"/>
        </w:rPr>
        <w:t xml:space="preserve"> de Obra compruebe la retirada de todas las protecciones una vez acabada la obra. </w:t>
      </w:r>
    </w:p>
    <w:p w14:paraId="30D009CB" w14:textId="77777777" w:rsidR="008A4616" w:rsidRPr="00E378C6" w:rsidRDefault="00BA680E" w:rsidP="000313DD">
      <w:pPr>
        <w:pStyle w:val="TITU2"/>
      </w:pPr>
      <w:bookmarkStart w:id="1615" w:name="_Toc404792"/>
      <w:r>
        <w:t>952.3</w:t>
      </w:r>
      <w:r w:rsidR="00753FEC">
        <w:t>.</w:t>
      </w:r>
      <w:r>
        <w:t xml:space="preserve"> </w:t>
      </w:r>
      <w:r w:rsidR="008A4616" w:rsidRPr="00E378C6">
        <w:t>Control</w:t>
      </w:r>
      <w:bookmarkEnd w:id="1614"/>
      <w:r>
        <w:t xml:space="preserve"> de calidad</w:t>
      </w:r>
      <w:bookmarkEnd w:id="1615"/>
    </w:p>
    <w:p w14:paraId="38148A10" w14:textId="77777777" w:rsidR="008A4616" w:rsidRPr="00BA680E" w:rsidRDefault="008A4616" w:rsidP="00BA680E">
      <w:pPr>
        <w:pStyle w:val="NORMAL12"/>
        <w:rPr>
          <w:lang w:val="es-ES"/>
        </w:rPr>
      </w:pPr>
      <w:r w:rsidRPr="00BA680E">
        <w:rPr>
          <w:lang w:val="es-ES"/>
        </w:rPr>
        <w:t xml:space="preserve">Se comprobará que el vallado se mantiene en buen estado desde el momento de su colocación hasta su retirada, revisándolo de forma continuada hasta el final de las obras, y si hubiera alguna incidencia, sería comunicada mediante el informe mensual. </w:t>
      </w:r>
    </w:p>
    <w:p w14:paraId="07014F13" w14:textId="77777777" w:rsidR="008A4616" w:rsidRPr="00E378C6" w:rsidRDefault="00BA680E" w:rsidP="000313DD">
      <w:pPr>
        <w:pStyle w:val="TITU2"/>
      </w:pPr>
      <w:bookmarkStart w:id="1616" w:name="_Toc529870971"/>
      <w:bookmarkStart w:id="1617" w:name="_Toc404793"/>
      <w:r>
        <w:t xml:space="preserve">952.4. </w:t>
      </w:r>
      <w:r w:rsidR="008A4616" w:rsidRPr="00E378C6">
        <w:t>Medición y abono</w:t>
      </w:r>
      <w:bookmarkEnd w:id="1616"/>
      <w:bookmarkEnd w:id="1617"/>
    </w:p>
    <w:p w14:paraId="58433569" w14:textId="77777777" w:rsidR="00753FEC" w:rsidRDefault="008A4616" w:rsidP="00BA680E">
      <w:pPr>
        <w:pStyle w:val="NORMAL12"/>
        <w:rPr>
          <w:lang w:val="es-ES"/>
        </w:rPr>
      </w:pPr>
      <w:r w:rsidRPr="00BA680E">
        <w:rPr>
          <w:lang w:val="es-ES"/>
        </w:rPr>
        <w:t xml:space="preserve">La </w:t>
      </w:r>
      <w:r w:rsidR="001526FC">
        <w:rPr>
          <w:lang w:val="es-ES"/>
        </w:rPr>
        <w:t xml:space="preserve">medición y abono de las unidades de jalonamiento se realizará según las </w:t>
      </w:r>
      <w:r w:rsidR="00D93E76">
        <w:rPr>
          <w:lang w:val="es-ES"/>
        </w:rPr>
        <w:t>prescripciones</w:t>
      </w:r>
      <w:r w:rsidR="001526FC">
        <w:rPr>
          <w:lang w:val="es-ES"/>
        </w:rPr>
        <w:t xml:space="preserve"> siguientes: </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753FEC" w:rsidRPr="00887BEE" w14:paraId="2B4E9587" w14:textId="77777777" w:rsidTr="00101DD7">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2564EF1D" w14:textId="77777777" w:rsidR="00753FEC" w:rsidRPr="00B82851" w:rsidRDefault="00753FEC" w:rsidP="00357E41">
            <w:pPr>
              <w:pStyle w:val="Tabla"/>
              <w:rPr>
                <w:b/>
              </w:rPr>
            </w:pPr>
            <w:r w:rsidRPr="00B82851">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2C35E994" w14:textId="77777777" w:rsidR="00753FEC" w:rsidRPr="00B82851" w:rsidRDefault="00753FEC" w:rsidP="00B70541">
            <w:pPr>
              <w:pStyle w:val="LCATabla"/>
              <w:keepLines/>
              <w:jc w:val="both"/>
              <w:rPr>
                <w:rFonts w:ascii="Arial" w:hAnsi="Arial" w:cs="Arial"/>
                <w:sz w:val="20"/>
              </w:rPr>
            </w:pPr>
            <w:r>
              <w:rPr>
                <w:rFonts w:ascii="Arial" w:hAnsi="Arial" w:cs="Arial"/>
                <w:sz w:val="20"/>
              </w:rPr>
              <w:t>M</w:t>
            </w:r>
            <w:r w:rsidRPr="00B82851">
              <w:rPr>
                <w:rFonts w:ascii="Arial" w:hAnsi="Arial" w:cs="Arial"/>
                <w:sz w:val="20"/>
              </w:rPr>
              <w:t>etro (m</w:t>
            </w:r>
            <w:r>
              <w:rPr>
                <w:rFonts w:ascii="Arial" w:hAnsi="Arial" w:cs="Arial"/>
                <w:sz w:val="20"/>
              </w:rPr>
              <w:t>)</w:t>
            </w:r>
          </w:p>
        </w:tc>
      </w:tr>
      <w:tr w:rsidR="00753FEC" w:rsidRPr="00887BEE" w14:paraId="3580342D" w14:textId="77777777" w:rsidTr="00101DD7">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00CB2FD1" w14:textId="77777777" w:rsidR="00753FEC" w:rsidRPr="00B82851" w:rsidRDefault="00753FEC" w:rsidP="00357E41">
            <w:pPr>
              <w:pStyle w:val="Tabla"/>
              <w:rPr>
                <w:b/>
              </w:rPr>
            </w:pPr>
            <w:r w:rsidRPr="00B82851">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0DF61B41" w14:textId="77777777" w:rsidR="00753FEC" w:rsidRPr="00B82851" w:rsidRDefault="00753FEC" w:rsidP="00B70541">
            <w:pPr>
              <w:pStyle w:val="LCATabla"/>
              <w:keepLines/>
              <w:jc w:val="both"/>
              <w:rPr>
                <w:rFonts w:ascii="Arial" w:hAnsi="Arial" w:cs="Arial"/>
                <w:sz w:val="20"/>
              </w:rPr>
            </w:pPr>
            <w:r w:rsidRPr="00B82851">
              <w:rPr>
                <w:rFonts w:ascii="Arial" w:hAnsi="Arial" w:cs="Arial"/>
                <w:sz w:val="20"/>
              </w:rPr>
              <w:t>Dos decimales.</w:t>
            </w:r>
          </w:p>
        </w:tc>
      </w:tr>
      <w:tr w:rsidR="00753FEC" w:rsidRPr="00887BEE" w14:paraId="0D8991F7" w14:textId="77777777" w:rsidTr="00101DD7">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125E8418" w14:textId="77777777" w:rsidR="00753FEC" w:rsidRPr="00B82851" w:rsidRDefault="00753FEC" w:rsidP="00357E41">
            <w:pPr>
              <w:pStyle w:val="Tabla"/>
              <w:rPr>
                <w:b/>
              </w:rPr>
            </w:pPr>
            <w:r w:rsidRPr="00B82851">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4EFE5181" w14:textId="77777777" w:rsidR="00753FEC" w:rsidRPr="00B82851" w:rsidRDefault="00753FEC" w:rsidP="00B70541">
            <w:pPr>
              <w:pStyle w:val="LCATabla"/>
              <w:keepLines/>
              <w:jc w:val="both"/>
              <w:rPr>
                <w:rFonts w:ascii="Arial" w:hAnsi="Arial" w:cs="Arial"/>
                <w:sz w:val="20"/>
              </w:rPr>
            </w:pPr>
            <w:r>
              <w:rPr>
                <w:rFonts w:ascii="Arial" w:hAnsi="Arial" w:cs="Arial"/>
                <w:sz w:val="20"/>
              </w:rPr>
              <w:t xml:space="preserve">Superficie sobre la que se ejecuta la unidad. </w:t>
            </w:r>
            <w:r w:rsidRPr="00B82851">
              <w:rPr>
                <w:rFonts w:ascii="Arial" w:hAnsi="Arial" w:cs="Arial"/>
                <w:sz w:val="20"/>
              </w:rPr>
              <w:t xml:space="preserve"> </w:t>
            </w:r>
          </w:p>
        </w:tc>
      </w:tr>
      <w:tr w:rsidR="00753FEC" w:rsidRPr="00887BEE" w14:paraId="341D2BD5" w14:textId="77777777" w:rsidTr="00101DD7">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71B16ADF" w14:textId="77777777" w:rsidR="00753FEC" w:rsidRPr="00B82851" w:rsidRDefault="00753FEC" w:rsidP="00357E41">
            <w:pPr>
              <w:pStyle w:val="Tabla"/>
              <w:rPr>
                <w:b/>
              </w:rPr>
            </w:pPr>
            <w:r w:rsidRPr="00B82851">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3E5DEB6B" w14:textId="77777777" w:rsidR="00753FEC" w:rsidRPr="00B82851" w:rsidRDefault="00753FEC" w:rsidP="00B70541">
            <w:pPr>
              <w:pStyle w:val="LCATabla"/>
              <w:keepLines/>
              <w:jc w:val="both"/>
              <w:rPr>
                <w:rFonts w:ascii="Arial" w:hAnsi="Arial" w:cs="Arial"/>
                <w:sz w:val="20"/>
              </w:rPr>
            </w:pPr>
            <w:r w:rsidRPr="00B82851">
              <w:rPr>
                <w:rFonts w:ascii="Arial" w:hAnsi="Arial" w:cs="Arial"/>
                <w:sz w:val="20"/>
              </w:rPr>
              <w:t>Se efectuará cuando se realice la aceptación</w:t>
            </w:r>
          </w:p>
        </w:tc>
      </w:tr>
      <w:tr w:rsidR="00753FEC" w:rsidRPr="00636667" w14:paraId="240C38F3" w14:textId="77777777" w:rsidTr="00101DD7">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5E275A8D" w14:textId="77777777" w:rsidR="00753FEC" w:rsidRPr="00B82851" w:rsidRDefault="00753FEC" w:rsidP="00357E41">
            <w:pPr>
              <w:pStyle w:val="Tabla"/>
              <w:rPr>
                <w:b/>
              </w:rPr>
            </w:pPr>
            <w:r w:rsidRPr="00B82851">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26C9BAB3" w14:textId="77777777" w:rsidR="00753FEC" w:rsidRPr="00B82851" w:rsidRDefault="00753FEC" w:rsidP="00B70541">
            <w:pPr>
              <w:pStyle w:val="LCATabla"/>
              <w:keepLines/>
              <w:jc w:val="both"/>
              <w:rPr>
                <w:rFonts w:ascii="Arial" w:hAnsi="Arial" w:cs="Arial"/>
                <w:sz w:val="20"/>
              </w:rPr>
            </w:pPr>
            <w:r w:rsidRPr="00B82851">
              <w:rPr>
                <w:rFonts w:ascii="Arial" w:hAnsi="Arial" w:cs="Arial"/>
                <w:sz w:val="20"/>
              </w:rPr>
              <w:t xml:space="preserve">El precio de la unidad incluye todos los </w:t>
            </w:r>
            <w:r>
              <w:rPr>
                <w:rFonts w:ascii="Arial" w:hAnsi="Arial" w:cs="Arial"/>
                <w:sz w:val="20"/>
              </w:rPr>
              <w:t xml:space="preserve">materiales y medios necesarios para la correcta ejecución de la unidad. </w:t>
            </w:r>
          </w:p>
        </w:tc>
      </w:tr>
    </w:tbl>
    <w:p w14:paraId="03F1868A" w14:textId="77777777" w:rsidR="00753FEC" w:rsidRPr="00BA680E" w:rsidRDefault="00753FEC" w:rsidP="00BA680E">
      <w:pPr>
        <w:pStyle w:val="NORMAL12"/>
        <w:rPr>
          <w:lang w:val="es-ES"/>
        </w:rPr>
      </w:pPr>
    </w:p>
    <w:p w14:paraId="63C321D0" w14:textId="77777777" w:rsidR="008A4616" w:rsidRDefault="001526FC" w:rsidP="00BA680E">
      <w:pPr>
        <w:pStyle w:val="TITU1"/>
      </w:pPr>
      <w:bookmarkStart w:id="1618" w:name="_Toc529870973"/>
      <w:bookmarkStart w:id="1619" w:name="_Toc404794"/>
      <w:r>
        <w:lastRenderedPageBreak/>
        <w:t>Artículo 953.</w:t>
      </w:r>
      <w:r w:rsidR="00BA680E">
        <w:t xml:space="preserve"> </w:t>
      </w:r>
      <w:r w:rsidR="008A4616" w:rsidRPr="00E378C6">
        <w:t>P</w:t>
      </w:r>
      <w:r w:rsidR="007739DA">
        <w:t>rotección de taludes</w:t>
      </w:r>
      <w:bookmarkEnd w:id="1618"/>
      <w:bookmarkEnd w:id="1619"/>
    </w:p>
    <w:p w14:paraId="4FF525EB" w14:textId="77777777" w:rsidR="00F6520D" w:rsidRDefault="001526FC" w:rsidP="000313DD">
      <w:pPr>
        <w:pStyle w:val="TITU2"/>
      </w:pPr>
      <w:bookmarkStart w:id="1620" w:name="_Toc404795"/>
      <w:r>
        <w:t>953.1.</w:t>
      </w:r>
      <w:r w:rsidR="00F6520D" w:rsidRPr="00F6520D">
        <w:t xml:space="preserve"> Definición y aplicación</w:t>
      </w:r>
      <w:bookmarkEnd w:id="1620"/>
    </w:p>
    <w:p w14:paraId="0ABC7DCB" w14:textId="77777777" w:rsidR="00357E41" w:rsidRPr="00357E41" w:rsidRDefault="00357E41" w:rsidP="00357E41">
      <w:pPr>
        <w:pStyle w:val="NORMAL12"/>
        <w:rPr>
          <w:lang w:val="es-ES"/>
        </w:rPr>
      </w:pPr>
      <w:r>
        <w:rPr>
          <w:lang w:val="es-ES"/>
        </w:rPr>
        <w:t xml:space="preserve">Las prescripciones de este artículo </w:t>
      </w:r>
      <w:proofErr w:type="gramStart"/>
      <w:r>
        <w:rPr>
          <w:lang w:val="es-ES"/>
        </w:rPr>
        <w:t>son de aplicación</w:t>
      </w:r>
      <w:proofErr w:type="gramEnd"/>
      <w:r>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207"/>
        <w:gridCol w:w="714"/>
        <w:gridCol w:w="7999"/>
      </w:tblGrid>
      <w:tr w:rsidR="00897E26" w:rsidRPr="00EF1AE7" w14:paraId="275273C2" w14:textId="77777777" w:rsidTr="00C71359">
        <w:trPr>
          <w:trHeight w:val="419"/>
        </w:trPr>
        <w:tc>
          <w:tcPr>
            <w:tcW w:w="608" w:type="pct"/>
            <w:noWrap/>
          </w:tcPr>
          <w:p w14:paraId="7C328AEA" w14:textId="77777777" w:rsidR="00897E26" w:rsidRPr="00F476CB" w:rsidRDefault="00897E26">
            <w:pPr>
              <w:rPr>
                <w:rFonts w:ascii="Calibri" w:hAnsi="Calibri" w:cs="Calibri"/>
                <w:color w:val="000000"/>
              </w:rPr>
            </w:pPr>
            <w:r w:rsidRPr="00F476CB">
              <w:rPr>
                <w:rFonts w:ascii="Calibri" w:hAnsi="Calibri" w:cs="Calibri"/>
                <w:color w:val="000000"/>
              </w:rPr>
              <w:t xml:space="preserve">801.1007N         </w:t>
            </w:r>
          </w:p>
        </w:tc>
        <w:tc>
          <w:tcPr>
            <w:tcW w:w="360" w:type="pct"/>
            <w:noWrap/>
          </w:tcPr>
          <w:p w14:paraId="3A083FB9" w14:textId="77777777" w:rsidR="00897E26" w:rsidRPr="00F476CB" w:rsidRDefault="00897E26">
            <w:pPr>
              <w:rPr>
                <w:rFonts w:ascii="Calibri" w:hAnsi="Calibri" w:cs="Calibri"/>
                <w:color w:val="000000"/>
              </w:rPr>
            </w:pPr>
            <w:r w:rsidRPr="00F476CB">
              <w:rPr>
                <w:rFonts w:ascii="Calibri" w:hAnsi="Calibri" w:cs="Calibri"/>
                <w:color w:val="000000"/>
              </w:rPr>
              <w:t>m²</w:t>
            </w:r>
          </w:p>
        </w:tc>
        <w:tc>
          <w:tcPr>
            <w:tcW w:w="4032" w:type="pct"/>
          </w:tcPr>
          <w:p w14:paraId="69817AD7" w14:textId="77777777" w:rsidR="00897E26" w:rsidRPr="00F476CB" w:rsidRDefault="00C71359" w:rsidP="00B70541">
            <w:pPr>
              <w:jc w:val="both"/>
              <w:rPr>
                <w:rFonts w:ascii="Calibri" w:hAnsi="Calibri" w:cs="Calibri"/>
                <w:color w:val="000000"/>
              </w:rPr>
            </w:pPr>
            <w:r w:rsidRPr="00F476CB">
              <w:rPr>
                <w:rFonts w:ascii="Calibri" w:hAnsi="Calibri" w:cs="Calibri"/>
                <w:color w:val="000000"/>
              </w:rPr>
              <w:t>CUBRICIÓN DE SUELO CON MANTA DE 100% COCO Y REDES DE FIBRAS NATURALES DE ESPARTO, UNIDAS ENTRE SÍ, ANCLADAS AL SUELO CON GRAPAS DISPUESTAS A TRESBOLILLO Y SOLAPES DE 10 CM.</w:t>
            </w:r>
          </w:p>
        </w:tc>
      </w:tr>
    </w:tbl>
    <w:p w14:paraId="212F914D" w14:textId="77777777" w:rsidR="0046154C" w:rsidRPr="0046154C" w:rsidRDefault="0046154C" w:rsidP="0046154C">
      <w:pPr>
        <w:rPr>
          <w:lang w:eastAsia="en-US"/>
        </w:rPr>
      </w:pPr>
    </w:p>
    <w:p w14:paraId="38E5F6D0" w14:textId="77777777" w:rsidR="008A4616" w:rsidRPr="00BA680E" w:rsidRDefault="008A4616" w:rsidP="00BA680E">
      <w:pPr>
        <w:pStyle w:val="NORMAL12"/>
        <w:rPr>
          <w:lang w:val="es-ES"/>
        </w:rPr>
      </w:pPr>
      <w:r w:rsidRPr="00BA680E">
        <w:rPr>
          <w:lang w:val="es-ES"/>
        </w:rPr>
        <w:t xml:space="preserve">Los taludes de desmonte, por su mayor inclinación, tienen una probabilidad mayor de erosión debido a la escorrentía, por lo que se propone que, de forma previa a la hidrosiembra, sean cubiertos con malla </w:t>
      </w:r>
      <w:proofErr w:type="spellStart"/>
      <w:r w:rsidRPr="00BA680E">
        <w:rPr>
          <w:lang w:val="es-ES"/>
        </w:rPr>
        <w:t>antierosión</w:t>
      </w:r>
      <w:proofErr w:type="spellEnd"/>
      <w:r w:rsidRPr="00BA680E">
        <w:rPr>
          <w:lang w:val="es-ES"/>
        </w:rPr>
        <w:t>.</w:t>
      </w:r>
    </w:p>
    <w:p w14:paraId="693A5A1C" w14:textId="77777777" w:rsidR="008A4616" w:rsidRPr="00BA680E" w:rsidRDefault="008A4616" w:rsidP="00BA680E">
      <w:pPr>
        <w:pStyle w:val="NORMAL12"/>
        <w:rPr>
          <w:lang w:val="es-ES"/>
        </w:rPr>
      </w:pPr>
      <w:proofErr w:type="gramStart"/>
      <w:r w:rsidRPr="00BA680E">
        <w:rPr>
          <w:lang w:val="es-ES"/>
        </w:rPr>
        <w:t>Las mallas a emplear</w:t>
      </w:r>
      <w:proofErr w:type="gramEnd"/>
      <w:r w:rsidRPr="00BA680E">
        <w:rPr>
          <w:lang w:val="es-ES"/>
        </w:rPr>
        <w:t xml:space="preserve"> serán ser capaces de retener las semillas, por lo que se propone que sean con textura tridimensional.</w:t>
      </w:r>
    </w:p>
    <w:p w14:paraId="7E9FC81F" w14:textId="77777777" w:rsidR="008A4616" w:rsidRPr="00BA680E" w:rsidRDefault="008A4616" w:rsidP="00BA680E">
      <w:pPr>
        <w:pStyle w:val="NORMAL12"/>
        <w:rPr>
          <w:lang w:val="es-ES"/>
        </w:rPr>
      </w:pPr>
      <w:r w:rsidRPr="00BA680E">
        <w:rPr>
          <w:lang w:val="es-ES"/>
        </w:rPr>
        <w:t>Así, la protección de taludes se realizará con manta de 100% coco y redes de fibras naturales de esparto, unidas entre sí, ancladas al suelo con grapas dispuestas a tresbolillo.</w:t>
      </w:r>
    </w:p>
    <w:p w14:paraId="52CD594D" w14:textId="77777777" w:rsidR="008A4616" w:rsidRPr="00E378C6" w:rsidRDefault="001526FC" w:rsidP="000313DD">
      <w:pPr>
        <w:pStyle w:val="TITU2"/>
      </w:pPr>
      <w:bookmarkStart w:id="1621" w:name="_Toc529870974"/>
      <w:bookmarkStart w:id="1622" w:name="_Toc404796"/>
      <w:r>
        <w:t>953.2.</w:t>
      </w:r>
      <w:r w:rsidR="00F6520D">
        <w:t xml:space="preserve"> </w:t>
      </w:r>
      <w:r w:rsidR="008A4616" w:rsidRPr="00E378C6">
        <w:t>Descripción de materiales</w:t>
      </w:r>
      <w:bookmarkEnd w:id="1621"/>
      <w:bookmarkEnd w:id="1622"/>
    </w:p>
    <w:p w14:paraId="2AE7CB8C" w14:textId="77777777" w:rsidR="008A4616" w:rsidRPr="00BA680E" w:rsidRDefault="008A4616" w:rsidP="00BA680E">
      <w:pPr>
        <w:pStyle w:val="NORMAL12"/>
        <w:rPr>
          <w:lang w:val="es-ES"/>
        </w:rPr>
      </w:pPr>
      <w:r w:rsidRPr="00F476CB">
        <w:rPr>
          <w:lang w:val="es-ES"/>
        </w:rPr>
        <w:t>La manta de fibra de coco se extenderá de arriba abajo, cubriendo toda la superficie del talud, y con un solape entre capas del 5%, y será anclada al terreno mediante una zanja de 1 x 1 metros en la parte superior y grapas de fijación en el talud</w:t>
      </w:r>
      <w:r w:rsidR="003A570E" w:rsidRPr="00F476CB">
        <w:rPr>
          <w:lang w:val="es-ES"/>
        </w:rPr>
        <w:t>.</w:t>
      </w:r>
      <w:r w:rsidR="003A570E">
        <w:rPr>
          <w:lang w:val="es-ES"/>
        </w:rPr>
        <w:t xml:space="preserve"> </w:t>
      </w:r>
    </w:p>
    <w:p w14:paraId="197874E8" w14:textId="77777777" w:rsidR="00BA680E" w:rsidRPr="00E378C6" w:rsidRDefault="00F6520D" w:rsidP="000313DD">
      <w:pPr>
        <w:pStyle w:val="TITU2"/>
      </w:pPr>
      <w:bookmarkStart w:id="1623" w:name="_Toc529870977"/>
      <w:bookmarkStart w:id="1624" w:name="_Toc404797"/>
      <w:bookmarkStart w:id="1625" w:name="_Toc529870975"/>
      <w:r>
        <w:t xml:space="preserve">953.3. </w:t>
      </w:r>
      <w:r w:rsidR="00BA680E" w:rsidRPr="00E378C6">
        <w:t>Recepción de las obras</w:t>
      </w:r>
      <w:bookmarkEnd w:id="1623"/>
      <w:bookmarkEnd w:id="1624"/>
    </w:p>
    <w:p w14:paraId="3D29A0DA" w14:textId="77777777" w:rsidR="00BA680E" w:rsidRPr="00BA680E" w:rsidRDefault="00BA680E" w:rsidP="00BA680E">
      <w:pPr>
        <w:pStyle w:val="NORMAL12"/>
        <w:rPr>
          <w:lang w:val="es-ES"/>
        </w:rPr>
      </w:pPr>
      <w:r w:rsidRPr="00BA680E">
        <w:rPr>
          <w:lang w:val="es-ES"/>
        </w:rPr>
        <w:t xml:space="preserve">La unidad se dará por totalmente ejecutada, cuando el </w:t>
      </w:r>
      <w:proofErr w:type="gramStart"/>
      <w:r w:rsidRPr="00BA680E">
        <w:rPr>
          <w:lang w:val="es-ES"/>
        </w:rPr>
        <w:t>Director</w:t>
      </w:r>
      <w:proofErr w:type="gramEnd"/>
      <w:r w:rsidRPr="00BA680E">
        <w:rPr>
          <w:lang w:val="es-ES"/>
        </w:rPr>
        <w:t xml:space="preserve"> de Obra compruebe que las características de la manta de fibra de </w:t>
      </w:r>
      <w:proofErr w:type="gramStart"/>
      <w:r w:rsidRPr="00BA680E">
        <w:rPr>
          <w:lang w:val="es-ES"/>
        </w:rPr>
        <w:t>coco,</w:t>
      </w:r>
      <w:proofErr w:type="gramEnd"/>
      <w:r w:rsidRPr="00BA680E">
        <w:rPr>
          <w:lang w:val="es-ES"/>
        </w:rPr>
        <w:t xml:space="preserve"> son las exigidas en el presente Pliego, que toda la superficie del talud se encuentra cubierto por la misma, y que los solapes de las capas y la sujeción de la manta al terreno son correctas y acordes a lo establecido en este Documento.</w:t>
      </w:r>
    </w:p>
    <w:p w14:paraId="010CAA5C" w14:textId="77777777" w:rsidR="008A4616" w:rsidRPr="00E378C6" w:rsidRDefault="00F6520D" w:rsidP="000313DD">
      <w:pPr>
        <w:pStyle w:val="TITU2"/>
      </w:pPr>
      <w:bookmarkStart w:id="1626" w:name="_Toc404798"/>
      <w:r>
        <w:t xml:space="preserve">953.4. </w:t>
      </w:r>
      <w:r w:rsidR="008A4616" w:rsidRPr="00E378C6">
        <w:t>Control</w:t>
      </w:r>
      <w:bookmarkEnd w:id="1625"/>
      <w:r>
        <w:t xml:space="preserve"> de calidad</w:t>
      </w:r>
      <w:bookmarkEnd w:id="1626"/>
    </w:p>
    <w:p w14:paraId="5DF032C2" w14:textId="77777777" w:rsidR="008A4616" w:rsidRPr="00BA680E" w:rsidRDefault="008A4616" w:rsidP="00BA680E">
      <w:pPr>
        <w:pStyle w:val="NORMAL12"/>
        <w:rPr>
          <w:lang w:val="es-ES"/>
        </w:rPr>
      </w:pPr>
      <w:r w:rsidRPr="00BA680E">
        <w:rPr>
          <w:lang w:val="es-ES"/>
        </w:rPr>
        <w:t xml:space="preserve">Para el control de estos trabajos, el Contratista deberá entregar al </w:t>
      </w:r>
      <w:proofErr w:type="gramStart"/>
      <w:r w:rsidRPr="00BA680E">
        <w:rPr>
          <w:lang w:val="es-ES"/>
        </w:rPr>
        <w:t>Director</w:t>
      </w:r>
      <w:proofErr w:type="gramEnd"/>
      <w:r w:rsidRPr="00BA680E">
        <w:rPr>
          <w:lang w:val="es-ES"/>
        </w:rPr>
        <w:t xml:space="preserve"> de Obra un albarán en el que se definan las características de la manta de fibra de coco que va a utilizar.</w:t>
      </w:r>
    </w:p>
    <w:p w14:paraId="62D8242D" w14:textId="77777777" w:rsidR="008A4616" w:rsidRPr="00BA680E" w:rsidRDefault="008A4616" w:rsidP="00BA680E">
      <w:pPr>
        <w:pStyle w:val="NORMAL12"/>
        <w:rPr>
          <w:lang w:val="es-ES"/>
        </w:rPr>
      </w:pPr>
      <w:r w:rsidRPr="00BA680E">
        <w:rPr>
          <w:lang w:val="es-ES"/>
        </w:rPr>
        <w:t xml:space="preserve">El </w:t>
      </w:r>
      <w:proofErr w:type="gramStart"/>
      <w:r w:rsidRPr="00BA680E">
        <w:rPr>
          <w:lang w:val="es-ES"/>
        </w:rPr>
        <w:t>Director</w:t>
      </w:r>
      <w:proofErr w:type="gramEnd"/>
      <w:r w:rsidRPr="00BA680E">
        <w:rPr>
          <w:lang w:val="es-ES"/>
        </w:rPr>
        <w:t xml:space="preserve"> de Obra acudirá la zona en la que se realice esta unidad, una vez terminada la ejecución, y comprobará que se ha realizado </w:t>
      </w:r>
      <w:proofErr w:type="gramStart"/>
      <w:r w:rsidRPr="00BA680E">
        <w:rPr>
          <w:lang w:val="es-ES"/>
        </w:rPr>
        <w:t>de acuerdo a</w:t>
      </w:r>
      <w:proofErr w:type="gramEnd"/>
      <w:r w:rsidRPr="00BA680E">
        <w:rPr>
          <w:lang w:val="es-ES"/>
        </w:rPr>
        <w:t xml:space="preserve"> lo descrito en este Pliego.</w:t>
      </w:r>
    </w:p>
    <w:p w14:paraId="18F0C6A4" w14:textId="77777777" w:rsidR="008A4616" w:rsidRPr="00E378C6" w:rsidRDefault="0037448F" w:rsidP="000313DD">
      <w:pPr>
        <w:pStyle w:val="TITU2"/>
      </w:pPr>
      <w:bookmarkStart w:id="1627" w:name="_Toc529870976"/>
      <w:bookmarkStart w:id="1628" w:name="_Toc404799"/>
      <w:r>
        <w:t>953.5.</w:t>
      </w:r>
      <w:r w:rsidR="00F6520D">
        <w:t xml:space="preserve"> </w:t>
      </w:r>
      <w:r w:rsidR="008A4616" w:rsidRPr="00E378C6">
        <w:t>Medición y abono</w:t>
      </w:r>
      <w:bookmarkEnd w:id="1627"/>
      <w:bookmarkEnd w:id="1628"/>
    </w:p>
    <w:p w14:paraId="68013175" w14:textId="77777777" w:rsidR="008A4616" w:rsidRPr="00BA680E" w:rsidRDefault="00A2323D" w:rsidP="00BA680E">
      <w:pPr>
        <w:pStyle w:val="NORMAL12"/>
        <w:rPr>
          <w:lang w:val="es-ES"/>
        </w:rPr>
      </w:pPr>
      <w:r>
        <w:rPr>
          <w:lang w:val="es-ES"/>
        </w:rPr>
        <w:t>La medición y abono de la unidad se hace según las prescripciones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A2323D" w:rsidRPr="00887BEE" w14:paraId="13E12B25" w14:textId="77777777" w:rsidTr="006D3BCE">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10D331F8" w14:textId="77777777" w:rsidR="00A2323D" w:rsidRPr="00B82851" w:rsidRDefault="00A2323D" w:rsidP="006D3BCE">
            <w:pPr>
              <w:pStyle w:val="Tabla"/>
              <w:rPr>
                <w:b/>
              </w:rPr>
            </w:pPr>
            <w:r w:rsidRPr="00B82851">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1130B01E" w14:textId="77777777" w:rsidR="00A2323D" w:rsidRPr="00B82851" w:rsidRDefault="00A2323D" w:rsidP="00B70541">
            <w:pPr>
              <w:pStyle w:val="LCATabla"/>
              <w:keepLines/>
              <w:jc w:val="both"/>
              <w:rPr>
                <w:rFonts w:ascii="Arial" w:hAnsi="Arial" w:cs="Arial"/>
                <w:sz w:val="20"/>
              </w:rPr>
            </w:pPr>
            <w:r>
              <w:rPr>
                <w:rFonts w:ascii="Arial" w:hAnsi="Arial" w:cs="Arial"/>
                <w:sz w:val="20"/>
              </w:rPr>
              <w:t>M</w:t>
            </w:r>
            <w:r w:rsidRPr="00B82851">
              <w:rPr>
                <w:rFonts w:ascii="Arial" w:hAnsi="Arial" w:cs="Arial"/>
                <w:sz w:val="20"/>
              </w:rPr>
              <w:t>etro</w:t>
            </w:r>
            <w:r>
              <w:rPr>
                <w:rFonts w:ascii="Arial" w:hAnsi="Arial" w:cs="Arial"/>
                <w:sz w:val="20"/>
              </w:rPr>
              <w:t xml:space="preserve"> cuadrado</w:t>
            </w:r>
            <w:r w:rsidRPr="00B82851">
              <w:rPr>
                <w:rFonts w:ascii="Arial" w:hAnsi="Arial" w:cs="Arial"/>
                <w:sz w:val="20"/>
              </w:rPr>
              <w:t xml:space="preserve"> (m</w:t>
            </w:r>
            <w:r>
              <w:rPr>
                <w:rFonts w:ascii="Arial" w:hAnsi="Arial" w:cs="Arial"/>
                <w:sz w:val="20"/>
                <w:vertAlign w:val="superscript"/>
              </w:rPr>
              <w:t>2</w:t>
            </w:r>
            <w:r>
              <w:rPr>
                <w:rFonts w:ascii="Arial" w:hAnsi="Arial" w:cs="Arial"/>
                <w:sz w:val="20"/>
              </w:rPr>
              <w:t>)</w:t>
            </w:r>
          </w:p>
        </w:tc>
      </w:tr>
      <w:tr w:rsidR="00A2323D" w:rsidRPr="00887BEE" w14:paraId="736E8F32" w14:textId="77777777" w:rsidTr="006D3BCE">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4040DF6B" w14:textId="77777777" w:rsidR="00A2323D" w:rsidRPr="00B82851" w:rsidRDefault="00A2323D" w:rsidP="006D3BCE">
            <w:pPr>
              <w:pStyle w:val="Tabla"/>
              <w:rPr>
                <w:b/>
              </w:rPr>
            </w:pPr>
            <w:r w:rsidRPr="00B82851">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13C7CF76" w14:textId="77777777" w:rsidR="00A2323D" w:rsidRPr="00B82851" w:rsidRDefault="00A2323D" w:rsidP="00B70541">
            <w:pPr>
              <w:pStyle w:val="LCATabla"/>
              <w:keepLines/>
              <w:jc w:val="both"/>
              <w:rPr>
                <w:rFonts w:ascii="Arial" w:hAnsi="Arial" w:cs="Arial"/>
                <w:sz w:val="20"/>
              </w:rPr>
            </w:pPr>
            <w:r w:rsidRPr="00B82851">
              <w:rPr>
                <w:rFonts w:ascii="Arial" w:hAnsi="Arial" w:cs="Arial"/>
                <w:sz w:val="20"/>
              </w:rPr>
              <w:t>Dos decimales.</w:t>
            </w:r>
          </w:p>
        </w:tc>
      </w:tr>
      <w:tr w:rsidR="00A2323D" w:rsidRPr="00887BEE" w14:paraId="251935C5" w14:textId="77777777" w:rsidTr="006D3BCE">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73786D3E" w14:textId="77777777" w:rsidR="00A2323D" w:rsidRPr="00B82851" w:rsidRDefault="00A2323D" w:rsidP="006D3BCE">
            <w:pPr>
              <w:pStyle w:val="Tabla"/>
              <w:rPr>
                <w:b/>
              </w:rPr>
            </w:pPr>
            <w:r w:rsidRPr="00B82851">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6E03DBEE" w14:textId="77777777" w:rsidR="00A2323D" w:rsidRPr="00B82851" w:rsidRDefault="00A2323D" w:rsidP="00B70541">
            <w:pPr>
              <w:pStyle w:val="LCATabla"/>
              <w:keepLines/>
              <w:jc w:val="both"/>
              <w:rPr>
                <w:rFonts w:ascii="Arial" w:hAnsi="Arial" w:cs="Arial"/>
                <w:sz w:val="20"/>
              </w:rPr>
            </w:pPr>
            <w:r>
              <w:rPr>
                <w:rFonts w:ascii="Arial" w:hAnsi="Arial" w:cs="Arial"/>
                <w:sz w:val="20"/>
              </w:rPr>
              <w:t xml:space="preserve">Superficie sobre la que se ejecuta la unidad. </w:t>
            </w:r>
            <w:r w:rsidRPr="00B82851">
              <w:rPr>
                <w:rFonts w:ascii="Arial" w:hAnsi="Arial" w:cs="Arial"/>
                <w:sz w:val="20"/>
              </w:rPr>
              <w:t xml:space="preserve"> </w:t>
            </w:r>
          </w:p>
        </w:tc>
      </w:tr>
      <w:tr w:rsidR="00A2323D" w:rsidRPr="00887BEE" w14:paraId="069C4B45" w14:textId="77777777" w:rsidTr="006D3BCE">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5330873B" w14:textId="77777777" w:rsidR="00A2323D" w:rsidRPr="00B82851" w:rsidRDefault="00A2323D" w:rsidP="006D3BCE">
            <w:pPr>
              <w:pStyle w:val="Tabla"/>
              <w:rPr>
                <w:b/>
              </w:rPr>
            </w:pPr>
            <w:r w:rsidRPr="00B82851">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07C0B2E9" w14:textId="77777777" w:rsidR="00A2323D" w:rsidRPr="00B82851" w:rsidRDefault="00A2323D" w:rsidP="00B70541">
            <w:pPr>
              <w:pStyle w:val="LCATabla"/>
              <w:keepLines/>
              <w:jc w:val="both"/>
              <w:rPr>
                <w:rFonts w:ascii="Arial" w:hAnsi="Arial" w:cs="Arial"/>
                <w:sz w:val="20"/>
              </w:rPr>
            </w:pPr>
            <w:r w:rsidRPr="00B82851">
              <w:rPr>
                <w:rFonts w:ascii="Arial" w:hAnsi="Arial" w:cs="Arial"/>
                <w:sz w:val="20"/>
              </w:rPr>
              <w:t>Se efectuará cuando se realice la aceptación</w:t>
            </w:r>
          </w:p>
        </w:tc>
      </w:tr>
      <w:tr w:rsidR="00A2323D" w:rsidRPr="00636667" w14:paraId="7FA504B8" w14:textId="77777777" w:rsidTr="006D3BCE">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35005981" w14:textId="77777777" w:rsidR="00A2323D" w:rsidRPr="00B82851" w:rsidRDefault="00A2323D" w:rsidP="006D3BCE">
            <w:pPr>
              <w:pStyle w:val="Tabla"/>
              <w:rPr>
                <w:b/>
              </w:rPr>
            </w:pPr>
            <w:r w:rsidRPr="00B82851">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69766F9F" w14:textId="77777777" w:rsidR="00A2323D" w:rsidRPr="00B82851" w:rsidRDefault="00A2323D" w:rsidP="00B70541">
            <w:pPr>
              <w:pStyle w:val="LCATabla"/>
              <w:keepLines/>
              <w:jc w:val="both"/>
              <w:rPr>
                <w:rFonts w:ascii="Arial" w:hAnsi="Arial" w:cs="Arial"/>
                <w:sz w:val="20"/>
              </w:rPr>
            </w:pPr>
            <w:r w:rsidRPr="00B82851">
              <w:rPr>
                <w:rFonts w:ascii="Arial" w:hAnsi="Arial" w:cs="Arial"/>
                <w:sz w:val="20"/>
              </w:rPr>
              <w:t xml:space="preserve">El precio de la unidad incluye todos los </w:t>
            </w:r>
            <w:r>
              <w:rPr>
                <w:rFonts w:ascii="Arial" w:hAnsi="Arial" w:cs="Arial"/>
                <w:sz w:val="20"/>
              </w:rPr>
              <w:t xml:space="preserve">materiales y medios necesarios para la correcta ejecución de la unidad. </w:t>
            </w:r>
          </w:p>
        </w:tc>
      </w:tr>
    </w:tbl>
    <w:p w14:paraId="78B2FE80" w14:textId="77777777" w:rsidR="008A4616" w:rsidRPr="00E378C6" w:rsidRDefault="008A4616" w:rsidP="008A4616">
      <w:pPr>
        <w:spacing w:before="120" w:after="120"/>
        <w:rPr>
          <w:rFonts w:ascii="Arial" w:hAnsi="Arial" w:cs="Arial"/>
        </w:rPr>
      </w:pPr>
    </w:p>
    <w:p w14:paraId="05DA77DA" w14:textId="77777777" w:rsidR="008A4616" w:rsidRDefault="00F6520D" w:rsidP="00BA680E">
      <w:pPr>
        <w:pStyle w:val="TITU1"/>
      </w:pPr>
      <w:bookmarkStart w:id="1629" w:name="_Toc529870978"/>
      <w:bookmarkStart w:id="1630" w:name="_Toc404800"/>
      <w:r>
        <w:lastRenderedPageBreak/>
        <w:t xml:space="preserve">Artículo 954. </w:t>
      </w:r>
      <w:r w:rsidR="008A4616" w:rsidRPr="00E378C6">
        <w:t>B</w:t>
      </w:r>
      <w:r w:rsidR="007739DA">
        <w:t>ancadas secas</w:t>
      </w:r>
      <w:bookmarkEnd w:id="1629"/>
      <w:bookmarkEnd w:id="1630"/>
    </w:p>
    <w:p w14:paraId="2934A9B5" w14:textId="77777777" w:rsidR="00357E41" w:rsidRDefault="00357E41" w:rsidP="000313DD">
      <w:pPr>
        <w:pStyle w:val="TITU2"/>
      </w:pPr>
      <w:bookmarkStart w:id="1631" w:name="_Toc404801"/>
      <w:r>
        <w:t>954.1. Aplicación</w:t>
      </w:r>
      <w:bookmarkEnd w:id="1631"/>
    </w:p>
    <w:p w14:paraId="645F517B" w14:textId="77777777" w:rsidR="00357E41" w:rsidRPr="00357E41" w:rsidRDefault="00357E41" w:rsidP="00357E41">
      <w:pPr>
        <w:pStyle w:val="NORMAL12"/>
        <w:rPr>
          <w:lang w:val="es-ES"/>
        </w:rPr>
      </w:pPr>
      <w:r>
        <w:rPr>
          <w:lang w:val="es-ES"/>
        </w:rPr>
        <w:t xml:space="preserve">Las prescripciones del presente artículos </w:t>
      </w:r>
      <w:proofErr w:type="gramStart"/>
      <w:r>
        <w:rPr>
          <w:lang w:val="es-ES"/>
        </w:rPr>
        <w:t>son de aplicación</w:t>
      </w:r>
      <w:proofErr w:type="gramEnd"/>
      <w:r>
        <w:rPr>
          <w:lang w:val="es-ES"/>
        </w:rPr>
        <w:t xml:space="preserve"> a </w:t>
      </w:r>
      <w:proofErr w:type="gramStart"/>
      <w:r>
        <w:rPr>
          <w:lang w:val="es-ES"/>
        </w:rPr>
        <w:t>la  unidad</w:t>
      </w:r>
      <w:proofErr w:type="gramEnd"/>
      <w:r>
        <w:rPr>
          <w:lang w:val="es-ES"/>
        </w:rPr>
        <w:t xml:space="preserve"> de obra siguiente:</w:t>
      </w:r>
    </w:p>
    <w:tbl>
      <w:tblPr>
        <w:tblW w:w="5000" w:type="pct"/>
        <w:tblCellMar>
          <w:left w:w="70" w:type="dxa"/>
          <w:right w:w="70" w:type="dxa"/>
        </w:tblCellMar>
        <w:tblLook w:val="04A0" w:firstRow="1" w:lastRow="0" w:firstColumn="1" w:lastColumn="0" w:noHBand="0" w:noVBand="1"/>
      </w:tblPr>
      <w:tblGrid>
        <w:gridCol w:w="1207"/>
        <w:gridCol w:w="719"/>
        <w:gridCol w:w="7994"/>
      </w:tblGrid>
      <w:tr w:rsidR="00357E41" w:rsidRPr="00357E41" w14:paraId="484C7738" w14:textId="77777777" w:rsidTr="006D3BCE">
        <w:trPr>
          <w:trHeight w:val="419"/>
        </w:trPr>
        <w:tc>
          <w:tcPr>
            <w:tcW w:w="608" w:type="pct"/>
            <w:noWrap/>
          </w:tcPr>
          <w:p w14:paraId="37C5B586" w14:textId="77777777" w:rsidR="00357E41" w:rsidRPr="00F476CB" w:rsidRDefault="00357E41" w:rsidP="006D3BCE">
            <w:pPr>
              <w:rPr>
                <w:rFonts w:ascii="Calibri" w:hAnsi="Calibri" w:cs="Calibri"/>
                <w:color w:val="000000"/>
              </w:rPr>
            </w:pPr>
            <w:r w:rsidRPr="00F476CB">
              <w:rPr>
                <w:rFonts w:ascii="Calibri" w:hAnsi="Calibri" w:cs="Calibri"/>
                <w:color w:val="000000"/>
              </w:rPr>
              <w:t xml:space="preserve">801.1006N         </w:t>
            </w:r>
          </w:p>
        </w:tc>
        <w:tc>
          <w:tcPr>
            <w:tcW w:w="363" w:type="pct"/>
            <w:noWrap/>
          </w:tcPr>
          <w:p w14:paraId="36D1A75A" w14:textId="77777777" w:rsidR="00357E41" w:rsidRPr="00F476CB" w:rsidRDefault="00357E41" w:rsidP="006D3BCE">
            <w:pPr>
              <w:rPr>
                <w:rFonts w:ascii="Calibri" w:hAnsi="Calibri" w:cs="Calibri"/>
                <w:color w:val="000000"/>
              </w:rPr>
            </w:pPr>
            <w:r w:rsidRPr="00F476CB">
              <w:rPr>
                <w:rFonts w:ascii="Calibri" w:hAnsi="Calibri" w:cs="Calibri"/>
                <w:color w:val="000000"/>
              </w:rPr>
              <w:t>m²</w:t>
            </w:r>
          </w:p>
        </w:tc>
        <w:tc>
          <w:tcPr>
            <w:tcW w:w="4029" w:type="pct"/>
          </w:tcPr>
          <w:p w14:paraId="240E0116" w14:textId="77777777" w:rsidR="00357E41" w:rsidRPr="00F476CB" w:rsidRDefault="00357E41" w:rsidP="00B70541">
            <w:pPr>
              <w:jc w:val="both"/>
              <w:rPr>
                <w:rFonts w:ascii="Calibri" w:hAnsi="Calibri" w:cs="Calibri"/>
                <w:color w:val="000000"/>
              </w:rPr>
            </w:pPr>
            <w:r w:rsidRPr="00F476CB">
              <w:rPr>
                <w:rFonts w:ascii="Calibri" w:hAnsi="Calibri" w:cs="Calibri"/>
                <w:color w:val="000000"/>
              </w:rPr>
              <w:t>BANQUETAS LATERALES DE 0,5 M DE ANCHURA Y LARGO EN FUNCIÓN DEL PASO. EJECUTADAS CON MADERA DE PINO SORIA DE 1ª CALIDAD (MAYOR DURABILIDAD FRENTE A ORGANISMOS XILÓFAGOS), TRATADA EN AUTOCLAVE, CON UNA LONGITUD DE 5-8 M, MEDIDO EL VOLUMEN COLOCADO EN OBRA.</w:t>
            </w:r>
            <w:r w:rsidRPr="00F476CB">
              <w:rPr>
                <w:rFonts w:ascii="Calibri" w:hAnsi="Calibri" w:cs="Calibri"/>
                <w:color w:val="000000"/>
              </w:rPr>
              <w:br/>
              <w:t>MATERIAL DE ANCLAJE FORMADO POR PLACAS ELEMENTOS DE ACERO INOXIDABLE RESISTENTES A LA CORROSIÓN</w:t>
            </w:r>
            <w:r w:rsidR="00B70541">
              <w:rPr>
                <w:rFonts w:ascii="Calibri" w:hAnsi="Calibri" w:cs="Calibri"/>
                <w:color w:val="000000"/>
              </w:rPr>
              <w:t xml:space="preserve">. </w:t>
            </w:r>
            <w:r w:rsidRPr="00F476CB">
              <w:rPr>
                <w:rFonts w:ascii="Calibri" w:hAnsi="Calibri" w:cs="Calibri"/>
                <w:color w:val="000000"/>
              </w:rPr>
              <w:t>LA PENDIENTE DE LAS RAMPAS DE ACCESO A LAS BANQUETAS LATERALES, A UBICAR EN AMBOS MÁRGENES, CONTARÁN CON UNA PENDIENTE DE 30º, PUDIÉNDOSE AMPLIAR A 45º EN CASO DE SER NECESARIO. TOTALMENTE EJECUTADO.</w:t>
            </w:r>
          </w:p>
        </w:tc>
      </w:tr>
    </w:tbl>
    <w:p w14:paraId="38866B19" w14:textId="77777777" w:rsidR="008A4616" w:rsidRDefault="00F6520D" w:rsidP="000313DD">
      <w:pPr>
        <w:pStyle w:val="TITU2"/>
      </w:pPr>
      <w:bookmarkStart w:id="1632" w:name="_Toc529870979"/>
      <w:bookmarkStart w:id="1633" w:name="_Toc404802"/>
      <w:r>
        <w:t>954.</w:t>
      </w:r>
      <w:r w:rsidR="00357E41">
        <w:t>2</w:t>
      </w:r>
      <w:r>
        <w:t>. Materiales</w:t>
      </w:r>
      <w:bookmarkEnd w:id="1632"/>
      <w:bookmarkEnd w:id="1633"/>
      <w:r w:rsidR="008A4616" w:rsidRPr="00E378C6">
        <w:t xml:space="preserve"> </w:t>
      </w:r>
    </w:p>
    <w:p w14:paraId="17C76A10" w14:textId="77777777" w:rsidR="008A4616" w:rsidRPr="00E378C6" w:rsidRDefault="008A4616" w:rsidP="008A4616">
      <w:pPr>
        <w:pStyle w:val="NORMAL12"/>
        <w:rPr>
          <w:lang w:val="es-ES"/>
        </w:rPr>
      </w:pPr>
      <w:r w:rsidRPr="00BA680E">
        <w:rPr>
          <w:lang w:val="es-ES"/>
        </w:rPr>
        <w:t xml:space="preserve">Compuesto por maderas de primera calidad tratadas con autoclave (mayor durabilidad frente a organismos xilófagos), con una longitud de 5-8 m, ancladas a las paredes de la obra de paso mediante escuadras que no entorpezcan el paso de fauna.  </w:t>
      </w:r>
      <w:r w:rsidRPr="00E378C6">
        <w:rPr>
          <w:lang w:val="es-ES"/>
        </w:rPr>
        <w:t xml:space="preserve">Anclajes y puntas de acero inoxidable. </w:t>
      </w:r>
    </w:p>
    <w:p w14:paraId="583CA255" w14:textId="77777777" w:rsidR="008A4616" w:rsidRPr="00BA680E" w:rsidRDefault="008A4616" w:rsidP="008A4616">
      <w:pPr>
        <w:pStyle w:val="NORMAL12"/>
        <w:rPr>
          <w:lang w:val="es-ES"/>
        </w:rPr>
      </w:pPr>
      <w:r w:rsidRPr="00BA680E">
        <w:rPr>
          <w:lang w:val="es-ES"/>
        </w:rPr>
        <w:t xml:space="preserve">La anchura de las banquetas laterales será de 0,5 m.  Se dejará 1 metro practicable desde la altura superior en el margen. La pendiente de las rampas de acceso a las banquetas laterales, a ubicar en ambos márgenes, contarán con una pendiente de 30º, pudiéndose ampliar a 45º en caso de ser necesario.    </w:t>
      </w:r>
    </w:p>
    <w:p w14:paraId="292C6B66" w14:textId="77777777" w:rsidR="008A4616" w:rsidRPr="00BA680E" w:rsidRDefault="008A4616" w:rsidP="008A4616">
      <w:pPr>
        <w:pStyle w:val="NORMAL12"/>
        <w:rPr>
          <w:lang w:val="es-ES"/>
        </w:rPr>
      </w:pPr>
      <w:r w:rsidRPr="00BA680E">
        <w:rPr>
          <w:lang w:val="es-ES"/>
        </w:rPr>
        <w:t>Será necesario la creación de una meseta final para la conexión de la rampa con las banquetas, permitiendo así el acople a un ángulo igual que la embocadura.</w:t>
      </w:r>
    </w:p>
    <w:p w14:paraId="2820FDB3" w14:textId="77777777" w:rsidR="008A4616" w:rsidRPr="00BA680E" w:rsidRDefault="008A4616" w:rsidP="00BA680E">
      <w:pPr>
        <w:pStyle w:val="NORMAL12"/>
        <w:rPr>
          <w:lang w:val="es-ES"/>
        </w:rPr>
      </w:pPr>
      <w:r w:rsidRPr="00BA680E">
        <w:rPr>
          <w:lang w:val="es-ES"/>
        </w:rPr>
        <w:t xml:space="preserve">Si es necesario la limpieza de la vegetación adyacente se seguirá lo descrito en el apartado de limpieza y desbroce de este pliego. </w:t>
      </w:r>
    </w:p>
    <w:p w14:paraId="14B1871C" w14:textId="77777777" w:rsidR="00BA680E" w:rsidRPr="00E378C6" w:rsidRDefault="00357E41" w:rsidP="000313DD">
      <w:pPr>
        <w:pStyle w:val="TITU2"/>
      </w:pPr>
      <w:bookmarkStart w:id="1634" w:name="_Toc529870982"/>
      <w:bookmarkStart w:id="1635" w:name="_Toc404803"/>
      <w:bookmarkStart w:id="1636" w:name="_Toc529870980"/>
      <w:r>
        <w:t>954.3</w:t>
      </w:r>
      <w:r w:rsidR="00F6520D">
        <w:t xml:space="preserve">. </w:t>
      </w:r>
      <w:r w:rsidR="00BA680E" w:rsidRPr="00E378C6">
        <w:t>Recepción de las obras</w:t>
      </w:r>
      <w:bookmarkEnd w:id="1634"/>
      <w:bookmarkEnd w:id="1635"/>
    </w:p>
    <w:p w14:paraId="7998F0CB" w14:textId="77777777" w:rsidR="00BA680E" w:rsidRPr="00BA680E" w:rsidRDefault="00BA680E" w:rsidP="00BA680E">
      <w:pPr>
        <w:pStyle w:val="NORMAL12"/>
        <w:rPr>
          <w:lang w:val="es-ES"/>
        </w:rPr>
      </w:pPr>
      <w:r w:rsidRPr="00BA680E">
        <w:rPr>
          <w:lang w:val="es-ES"/>
        </w:rPr>
        <w:t xml:space="preserve">La unidad se dará por totalmente ejecutada, cuando el </w:t>
      </w:r>
      <w:proofErr w:type="gramStart"/>
      <w:r w:rsidRPr="00BA680E">
        <w:rPr>
          <w:lang w:val="es-ES"/>
        </w:rPr>
        <w:t>Director</w:t>
      </w:r>
      <w:proofErr w:type="gramEnd"/>
      <w:r w:rsidRPr="00BA680E">
        <w:rPr>
          <w:lang w:val="es-ES"/>
        </w:rPr>
        <w:t xml:space="preserve"> de Obra compruebe que las características de las bancadas </w:t>
      </w:r>
      <w:proofErr w:type="gramStart"/>
      <w:r w:rsidRPr="00BA680E">
        <w:rPr>
          <w:lang w:val="es-ES"/>
        </w:rPr>
        <w:t>secas,</w:t>
      </w:r>
      <w:proofErr w:type="gramEnd"/>
      <w:r w:rsidRPr="00BA680E">
        <w:rPr>
          <w:lang w:val="es-ES"/>
        </w:rPr>
        <w:t xml:space="preserve"> son las exigidas en el presente Pliego, que las dimensiones mínimas de paso son correctas y acordes a lo establecido en este Documento.</w:t>
      </w:r>
    </w:p>
    <w:p w14:paraId="7B5AA1B7" w14:textId="77777777" w:rsidR="008A4616" w:rsidRPr="00E378C6" w:rsidRDefault="00357E41" w:rsidP="000313DD">
      <w:pPr>
        <w:pStyle w:val="TITU2"/>
      </w:pPr>
      <w:bookmarkStart w:id="1637" w:name="_Toc404804"/>
      <w:r>
        <w:t>954.4</w:t>
      </w:r>
      <w:r w:rsidR="00F6520D">
        <w:t xml:space="preserve">. </w:t>
      </w:r>
      <w:r w:rsidR="008A4616" w:rsidRPr="00E378C6">
        <w:t>Control</w:t>
      </w:r>
      <w:bookmarkEnd w:id="1636"/>
      <w:r w:rsidR="00F6520D">
        <w:t xml:space="preserve"> de calidad</w:t>
      </w:r>
      <w:bookmarkEnd w:id="1637"/>
    </w:p>
    <w:p w14:paraId="5EFAE0FD" w14:textId="77777777" w:rsidR="008A4616" w:rsidRPr="00BA680E" w:rsidRDefault="008A4616" w:rsidP="00BA680E">
      <w:pPr>
        <w:pStyle w:val="NORMAL12"/>
        <w:rPr>
          <w:lang w:val="es-ES"/>
        </w:rPr>
      </w:pPr>
      <w:r w:rsidRPr="00BA680E">
        <w:rPr>
          <w:lang w:val="es-ES"/>
        </w:rPr>
        <w:t xml:space="preserve">Para el control de estos trabajos, el Contratista deberá entregar al </w:t>
      </w:r>
      <w:proofErr w:type="gramStart"/>
      <w:r w:rsidRPr="00BA680E">
        <w:rPr>
          <w:lang w:val="es-ES"/>
        </w:rPr>
        <w:t>Director</w:t>
      </w:r>
      <w:proofErr w:type="gramEnd"/>
      <w:r w:rsidRPr="00BA680E">
        <w:rPr>
          <w:lang w:val="es-ES"/>
        </w:rPr>
        <w:t xml:space="preserve"> de Obra un albarán en el que se definan las características de la madera </w:t>
      </w:r>
      <w:proofErr w:type="gramStart"/>
      <w:r w:rsidRPr="00BA680E">
        <w:rPr>
          <w:lang w:val="es-ES"/>
        </w:rPr>
        <w:t>de</w:t>
      </w:r>
      <w:proofErr w:type="gramEnd"/>
      <w:r w:rsidRPr="00BA680E">
        <w:rPr>
          <w:lang w:val="es-ES"/>
        </w:rPr>
        <w:t xml:space="preserve"> así como certificación de su origen que va a utilizar.</w:t>
      </w:r>
    </w:p>
    <w:p w14:paraId="59963F52" w14:textId="77777777" w:rsidR="008A4616" w:rsidRPr="00BA680E" w:rsidRDefault="008A4616" w:rsidP="00BA680E">
      <w:pPr>
        <w:pStyle w:val="NORMAL12"/>
        <w:rPr>
          <w:lang w:val="es-ES"/>
        </w:rPr>
      </w:pPr>
      <w:r w:rsidRPr="00BA680E">
        <w:rPr>
          <w:lang w:val="es-ES"/>
        </w:rPr>
        <w:t xml:space="preserve">El </w:t>
      </w:r>
      <w:proofErr w:type="gramStart"/>
      <w:r w:rsidRPr="00BA680E">
        <w:rPr>
          <w:lang w:val="es-ES"/>
        </w:rPr>
        <w:t>Director</w:t>
      </w:r>
      <w:proofErr w:type="gramEnd"/>
      <w:r w:rsidRPr="00BA680E">
        <w:rPr>
          <w:lang w:val="es-ES"/>
        </w:rPr>
        <w:t xml:space="preserve"> de Obra acudirá la zona en la que se realice esta unidad, una vez terminada la ejecución, y comprobará que se ha realizado </w:t>
      </w:r>
      <w:proofErr w:type="gramStart"/>
      <w:r w:rsidRPr="00BA680E">
        <w:rPr>
          <w:lang w:val="es-ES"/>
        </w:rPr>
        <w:t>de acuerdo a</w:t>
      </w:r>
      <w:proofErr w:type="gramEnd"/>
      <w:r w:rsidRPr="00BA680E">
        <w:rPr>
          <w:lang w:val="es-ES"/>
        </w:rPr>
        <w:t xml:space="preserve"> lo descrito en este Pliego.</w:t>
      </w:r>
    </w:p>
    <w:p w14:paraId="74081ED4" w14:textId="77777777" w:rsidR="008A4616" w:rsidRPr="00E378C6" w:rsidRDefault="00F6520D" w:rsidP="000313DD">
      <w:pPr>
        <w:pStyle w:val="TITU2"/>
      </w:pPr>
      <w:bookmarkStart w:id="1638" w:name="_Toc529870981"/>
      <w:bookmarkStart w:id="1639" w:name="_Toc404805"/>
      <w:r>
        <w:t>954.</w:t>
      </w:r>
      <w:r w:rsidR="00357E41">
        <w:t>5</w:t>
      </w:r>
      <w:r>
        <w:t xml:space="preserve">. </w:t>
      </w:r>
      <w:r w:rsidR="008A4616" w:rsidRPr="00E378C6">
        <w:t>Medición y abono</w:t>
      </w:r>
      <w:bookmarkEnd w:id="1638"/>
      <w:bookmarkEnd w:id="1639"/>
    </w:p>
    <w:p w14:paraId="76939663" w14:textId="77777777" w:rsidR="008A4616" w:rsidRDefault="008A4616" w:rsidP="00BA680E">
      <w:pPr>
        <w:pStyle w:val="NORMAL12"/>
        <w:rPr>
          <w:lang w:val="es-ES"/>
        </w:rPr>
      </w:pPr>
      <w:r w:rsidRPr="00BA680E">
        <w:rPr>
          <w:lang w:val="es-ES"/>
        </w:rPr>
        <w:t>En este capítulo, la colocación de bancadas secas se abonará por m</w:t>
      </w:r>
      <w:r w:rsidRPr="00241CBC">
        <w:rPr>
          <w:vertAlign w:val="superscript"/>
          <w:lang w:val="es-ES"/>
        </w:rPr>
        <w:t>2</w:t>
      </w:r>
      <w:r w:rsidRPr="00BA680E">
        <w:rPr>
          <w:lang w:val="es-ES"/>
        </w:rPr>
        <w:t xml:space="preserve"> de superficie ejecutada totalmente instalada. </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1526FC" w:rsidRPr="00887BEE" w14:paraId="1D658517" w14:textId="77777777" w:rsidTr="00101DD7">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16FD390C" w14:textId="77777777" w:rsidR="001526FC" w:rsidRPr="00B82851" w:rsidRDefault="001526FC" w:rsidP="00357E41">
            <w:pPr>
              <w:pStyle w:val="Tabla"/>
              <w:rPr>
                <w:b/>
              </w:rPr>
            </w:pPr>
            <w:r w:rsidRPr="00B82851">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0B823630" w14:textId="77777777" w:rsidR="001526FC" w:rsidRPr="00B82851" w:rsidRDefault="001526FC" w:rsidP="00101DD7">
            <w:pPr>
              <w:pStyle w:val="LCATabla"/>
              <w:keepLines/>
              <w:rPr>
                <w:rFonts w:ascii="Arial" w:hAnsi="Arial" w:cs="Arial"/>
                <w:sz w:val="20"/>
              </w:rPr>
            </w:pPr>
            <w:r>
              <w:rPr>
                <w:rFonts w:ascii="Arial" w:hAnsi="Arial" w:cs="Arial"/>
                <w:sz w:val="20"/>
              </w:rPr>
              <w:t>M</w:t>
            </w:r>
            <w:r w:rsidRPr="00B82851">
              <w:rPr>
                <w:rFonts w:ascii="Arial" w:hAnsi="Arial" w:cs="Arial"/>
                <w:sz w:val="20"/>
              </w:rPr>
              <w:t>etro</w:t>
            </w:r>
            <w:r w:rsidR="00357E41">
              <w:rPr>
                <w:rFonts w:ascii="Arial" w:hAnsi="Arial" w:cs="Arial"/>
                <w:sz w:val="20"/>
              </w:rPr>
              <w:t xml:space="preserve"> cuadrado</w:t>
            </w:r>
            <w:r w:rsidRPr="00B82851">
              <w:rPr>
                <w:rFonts w:ascii="Arial" w:hAnsi="Arial" w:cs="Arial"/>
                <w:sz w:val="20"/>
              </w:rPr>
              <w:t xml:space="preserve"> (m</w:t>
            </w:r>
            <w:r w:rsidR="00357E41">
              <w:rPr>
                <w:rFonts w:ascii="Arial" w:hAnsi="Arial" w:cs="Arial"/>
                <w:sz w:val="20"/>
                <w:vertAlign w:val="superscript"/>
              </w:rPr>
              <w:t>2</w:t>
            </w:r>
            <w:r>
              <w:rPr>
                <w:rFonts w:ascii="Arial" w:hAnsi="Arial" w:cs="Arial"/>
                <w:sz w:val="20"/>
              </w:rPr>
              <w:t>)</w:t>
            </w:r>
          </w:p>
        </w:tc>
      </w:tr>
      <w:tr w:rsidR="001526FC" w:rsidRPr="00887BEE" w14:paraId="75F2B00C" w14:textId="77777777" w:rsidTr="00101DD7">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5AAF78EE" w14:textId="77777777" w:rsidR="001526FC" w:rsidRPr="00B82851" w:rsidRDefault="001526FC" w:rsidP="00357E41">
            <w:pPr>
              <w:pStyle w:val="Tabla"/>
              <w:rPr>
                <w:b/>
              </w:rPr>
            </w:pPr>
            <w:r w:rsidRPr="00B82851">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18BF176F" w14:textId="77777777" w:rsidR="001526FC" w:rsidRPr="00B82851" w:rsidRDefault="001526FC" w:rsidP="00101DD7">
            <w:pPr>
              <w:pStyle w:val="LCATabla"/>
              <w:keepLines/>
              <w:rPr>
                <w:rFonts w:ascii="Arial" w:hAnsi="Arial" w:cs="Arial"/>
                <w:sz w:val="20"/>
              </w:rPr>
            </w:pPr>
            <w:r w:rsidRPr="00B82851">
              <w:rPr>
                <w:rFonts w:ascii="Arial" w:hAnsi="Arial" w:cs="Arial"/>
                <w:sz w:val="20"/>
              </w:rPr>
              <w:t>Dos decimales.</w:t>
            </w:r>
          </w:p>
        </w:tc>
      </w:tr>
      <w:tr w:rsidR="001526FC" w:rsidRPr="00887BEE" w14:paraId="7206B5A6" w14:textId="77777777" w:rsidTr="00101DD7">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7A58BB6F" w14:textId="77777777" w:rsidR="001526FC" w:rsidRPr="00B82851" w:rsidRDefault="001526FC" w:rsidP="00357E41">
            <w:pPr>
              <w:pStyle w:val="Tabla"/>
              <w:rPr>
                <w:b/>
              </w:rPr>
            </w:pPr>
            <w:r w:rsidRPr="00B82851">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391B93ED" w14:textId="77777777" w:rsidR="001526FC" w:rsidRPr="00B82851" w:rsidRDefault="001526FC" w:rsidP="00101DD7">
            <w:pPr>
              <w:pStyle w:val="LCATabla"/>
              <w:keepLines/>
              <w:rPr>
                <w:rFonts w:ascii="Arial" w:hAnsi="Arial" w:cs="Arial"/>
                <w:sz w:val="20"/>
              </w:rPr>
            </w:pPr>
            <w:r>
              <w:rPr>
                <w:rFonts w:ascii="Arial" w:hAnsi="Arial" w:cs="Arial"/>
                <w:sz w:val="20"/>
              </w:rPr>
              <w:t xml:space="preserve">Superficie sobre la que se ejecuta la unidad. </w:t>
            </w:r>
            <w:r w:rsidRPr="00B82851">
              <w:rPr>
                <w:rFonts w:ascii="Arial" w:hAnsi="Arial" w:cs="Arial"/>
                <w:sz w:val="20"/>
              </w:rPr>
              <w:t xml:space="preserve"> </w:t>
            </w:r>
          </w:p>
        </w:tc>
      </w:tr>
      <w:tr w:rsidR="001526FC" w:rsidRPr="00887BEE" w14:paraId="4B306AAA" w14:textId="77777777" w:rsidTr="00101DD7">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0673973F" w14:textId="77777777" w:rsidR="001526FC" w:rsidRPr="00B82851" w:rsidRDefault="001526FC" w:rsidP="00357E41">
            <w:pPr>
              <w:pStyle w:val="Tabla"/>
              <w:rPr>
                <w:b/>
              </w:rPr>
            </w:pPr>
            <w:r w:rsidRPr="00B82851">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1B7DFBC5" w14:textId="77777777" w:rsidR="001526FC" w:rsidRPr="00B82851" w:rsidRDefault="001526FC" w:rsidP="00101DD7">
            <w:pPr>
              <w:pStyle w:val="LCATabla"/>
              <w:keepLines/>
              <w:rPr>
                <w:rFonts w:ascii="Arial" w:hAnsi="Arial" w:cs="Arial"/>
                <w:sz w:val="20"/>
              </w:rPr>
            </w:pPr>
            <w:r w:rsidRPr="00B82851">
              <w:rPr>
                <w:rFonts w:ascii="Arial" w:hAnsi="Arial" w:cs="Arial"/>
                <w:sz w:val="20"/>
              </w:rPr>
              <w:t>Se efectuará cuando se realice la aceptación</w:t>
            </w:r>
          </w:p>
        </w:tc>
      </w:tr>
      <w:tr w:rsidR="001526FC" w:rsidRPr="00636667" w14:paraId="57E7D2E9" w14:textId="77777777" w:rsidTr="00101DD7">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1B78DB25" w14:textId="77777777" w:rsidR="001526FC" w:rsidRPr="00B82851" w:rsidRDefault="001526FC" w:rsidP="00357E41">
            <w:pPr>
              <w:pStyle w:val="Tabla"/>
              <w:rPr>
                <w:b/>
              </w:rPr>
            </w:pPr>
            <w:r w:rsidRPr="00B82851">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067BD6B0" w14:textId="77777777" w:rsidR="001526FC" w:rsidRPr="00B82851" w:rsidRDefault="001526FC" w:rsidP="00101DD7">
            <w:pPr>
              <w:pStyle w:val="LCATabla"/>
              <w:keepLines/>
              <w:rPr>
                <w:rFonts w:ascii="Arial" w:hAnsi="Arial" w:cs="Arial"/>
                <w:sz w:val="20"/>
              </w:rPr>
            </w:pPr>
            <w:r w:rsidRPr="00B82851">
              <w:rPr>
                <w:rFonts w:ascii="Arial" w:hAnsi="Arial" w:cs="Arial"/>
                <w:sz w:val="20"/>
              </w:rPr>
              <w:t xml:space="preserve">El precio de la unidad incluye todos los </w:t>
            </w:r>
            <w:r>
              <w:rPr>
                <w:rFonts w:ascii="Arial" w:hAnsi="Arial" w:cs="Arial"/>
                <w:sz w:val="20"/>
              </w:rPr>
              <w:t xml:space="preserve">materiales y medios necesarios para la correcta ejecución de la unidad. </w:t>
            </w:r>
          </w:p>
        </w:tc>
      </w:tr>
    </w:tbl>
    <w:p w14:paraId="73931E97" w14:textId="77777777" w:rsidR="001526FC" w:rsidRPr="00BA680E" w:rsidRDefault="001526FC" w:rsidP="00BA680E">
      <w:pPr>
        <w:pStyle w:val="NORMAL12"/>
        <w:rPr>
          <w:lang w:val="es-ES"/>
        </w:rPr>
      </w:pPr>
    </w:p>
    <w:p w14:paraId="6E0980E9" w14:textId="77777777" w:rsidR="008A4616" w:rsidRPr="00E378C6" w:rsidRDefault="008A4616" w:rsidP="008A4616">
      <w:pPr>
        <w:pStyle w:val="NORMAL12"/>
        <w:rPr>
          <w:lang w:val="es-ES"/>
        </w:rPr>
      </w:pPr>
    </w:p>
    <w:p w14:paraId="7DA366CC" w14:textId="77777777" w:rsidR="00685F00" w:rsidRDefault="00685F00" w:rsidP="00685F00">
      <w:pPr>
        <w:pStyle w:val="TITU1"/>
      </w:pPr>
      <w:bookmarkStart w:id="1640" w:name="_Toc404806"/>
      <w:r w:rsidRPr="00E55C49">
        <w:lastRenderedPageBreak/>
        <w:t>Artículo 9</w:t>
      </w:r>
      <w:r w:rsidR="00C71359">
        <w:t>55</w:t>
      </w:r>
      <w:r w:rsidRPr="00E55C49">
        <w:t xml:space="preserve">. </w:t>
      </w:r>
      <w:r>
        <w:t>Hidrosiembra</w:t>
      </w:r>
      <w:bookmarkEnd w:id="1640"/>
    </w:p>
    <w:p w14:paraId="00AB9F91" w14:textId="77777777" w:rsidR="00685F00" w:rsidRPr="00753FEC" w:rsidRDefault="00685F00" w:rsidP="000313DD">
      <w:pPr>
        <w:pStyle w:val="TITU2"/>
      </w:pPr>
      <w:bookmarkStart w:id="1641" w:name="_Toc404807"/>
      <w:r>
        <w:t>9</w:t>
      </w:r>
      <w:r w:rsidR="00C71359">
        <w:t>55</w:t>
      </w:r>
      <w:r>
        <w:t>.1. Aplicación</w:t>
      </w:r>
      <w:bookmarkEnd w:id="1641"/>
    </w:p>
    <w:p w14:paraId="5315301A" w14:textId="77777777" w:rsidR="00685F00" w:rsidRPr="00753FEC" w:rsidRDefault="00685F00" w:rsidP="00685F00">
      <w:pPr>
        <w:pStyle w:val="NORMAL12"/>
        <w:rPr>
          <w:lang w:val="es-ES"/>
        </w:rPr>
      </w:pPr>
      <w:r>
        <w:rPr>
          <w:lang w:val="es-ES"/>
        </w:rPr>
        <w:t xml:space="preserve">Las </w:t>
      </w:r>
      <w:r w:rsidR="00D93E76">
        <w:rPr>
          <w:lang w:val="es-ES"/>
        </w:rPr>
        <w:t>prescripciones</w:t>
      </w:r>
      <w:r>
        <w:rPr>
          <w:lang w:val="es-ES"/>
        </w:rPr>
        <w:t xml:space="preserve"> de </w:t>
      </w:r>
      <w:r w:rsidR="00D93E76">
        <w:rPr>
          <w:lang w:val="es-ES"/>
        </w:rPr>
        <w:t>este artículo</w:t>
      </w:r>
      <w:r>
        <w:rPr>
          <w:lang w:val="es-ES"/>
        </w:rPr>
        <w:t xml:space="preserve"> </w:t>
      </w:r>
      <w:proofErr w:type="gramStart"/>
      <w:r>
        <w:rPr>
          <w:lang w:val="es-ES"/>
        </w:rPr>
        <w:t>son de aplicación</w:t>
      </w:r>
      <w:proofErr w:type="gramEnd"/>
      <w:r>
        <w:rPr>
          <w:lang w:val="es-ES"/>
        </w:rPr>
        <w:t xml:space="preserve"> a la a unidad de obra siguiente:</w:t>
      </w:r>
    </w:p>
    <w:tbl>
      <w:tblPr>
        <w:tblW w:w="5000" w:type="pct"/>
        <w:tblCellMar>
          <w:left w:w="70" w:type="dxa"/>
          <w:right w:w="70" w:type="dxa"/>
        </w:tblCellMar>
        <w:tblLook w:val="04A0" w:firstRow="1" w:lastRow="0" w:firstColumn="1" w:lastColumn="0" w:noHBand="0" w:noVBand="1"/>
      </w:tblPr>
      <w:tblGrid>
        <w:gridCol w:w="1206"/>
        <w:gridCol w:w="720"/>
        <w:gridCol w:w="7994"/>
      </w:tblGrid>
      <w:tr w:rsidR="00685F00" w:rsidRPr="00EF1AE7" w14:paraId="6711A2A4" w14:textId="77777777" w:rsidTr="00E8224C">
        <w:trPr>
          <w:trHeight w:val="419"/>
        </w:trPr>
        <w:tc>
          <w:tcPr>
            <w:tcW w:w="608" w:type="pct"/>
            <w:noWrap/>
          </w:tcPr>
          <w:p w14:paraId="6EE338A6" w14:textId="77777777" w:rsidR="00685F00" w:rsidRPr="00F476CB" w:rsidRDefault="00685F00" w:rsidP="00E8224C">
            <w:pPr>
              <w:rPr>
                <w:rFonts w:ascii="Calibri" w:hAnsi="Calibri" w:cs="Calibri"/>
                <w:color w:val="000000"/>
              </w:rPr>
            </w:pPr>
            <w:r w:rsidRPr="00F476CB">
              <w:rPr>
                <w:rFonts w:ascii="Calibri" w:hAnsi="Calibri" w:cs="Calibri"/>
                <w:color w:val="000000"/>
              </w:rPr>
              <w:t xml:space="preserve">801.0070          </w:t>
            </w:r>
          </w:p>
        </w:tc>
        <w:tc>
          <w:tcPr>
            <w:tcW w:w="363" w:type="pct"/>
            <w:noWrap/>
          </w:tcPr>
          <w:p w14:paraId="1E01307E" w14:textId="77777777" w:rsidR="00685F00" w:rsidRPr="00F476CB" w:rsidRDefault="00685F00" w:rsidP="00E8224C">
            <w:pPr>
              <w:rPr>
                <w:rFonts w:ascii="Calibri" w:hAnsi="Calibri" w:cs="Calibri"/>
                <w:color w:val="000000"/>
              </w:rPr>
            </w:pPr>
            <w:r w:rsidRPr="00F476CB">
              <w:rPr>
                <w:rFonts w:ascii="Calibri" w:hAnsi="Calibri" w:cs="Calibri"/>
                <w:color w:val="000000"/>
              </w:rPr>
              <w:t>m²</w:t>
            </w:r>
          </w:p>
        </w:tc>
        <w:tc>
          <w:tcPr>
            <w:tcW w:w="4029" w:type="pct"/>
          </w:tcPr>
          <w:p w14:paraId="2EAE12BD" w14:textId="77777777" w:rsidR="00685F00" w:rsidRPr="00F476CB" w:rsidRDefault="00685F00" w:rsidP="00E8224C">
            <w:pPr>
              <w:rPr>
                <w:rFonts w:ascii="Calibri" w:hAnsi="Calibri" w:cs="Calibri"/>
                <w:color w:val="000000"/>
              </w:rPr>
            </w:pPr>
            <w:r w:rsidRPr="00F476CB">
              <w:rPr>
                <w:rFonts w:ascii="Calibri" w:hAnsi="Calibri" w:cs="Calibri"/>
                <w:color w:val="000000"/>
              </w:rPr>
              <w:t>HIDROSIEMBRA CON MEZCLA DE SEMILLAS HERBÁCEAS i/ PREPARACIÓN DE LA SUPERFICIE, ABONADO Y MANTENIMIENTO.</w:t>
            </w:r>
          </w:p>
        </w:tc>
      </w:tr>
    </w:tbl>
    <w:p w14:paraId="2A996072" w14:textId="77777777" w:rsidR="00685F00" w:rsidRPr="00E378C6" w:rsidRDefault="00685F00" w:rsidP="00685F00">
      <w:pPr>
        <w:pStyle w:val="NORMAL12"/>
        <w:rPr>
          <w:lang w:val="es-ES"/>
        </w:rPr>
      </w:pPr>
      <w:r w:rsidRPr="00E378C6">
        <w:rPr>
          <w:lang w:val="es-ES"/>
        </w:rPr>
        <w:t xml:space="preserve">Todas las obras comprendidas en este apartado se ejecutarán de acuerdo con lo indicado en el presente pliego y en la memoria y con las indicaciones de la Dirección </w:t>
      </w:r>
      <w:r w:rsidR="00F42B32">
        <w:rPr>
          <w:lang w:val="es-ES"/>
        </w:rPr>
        <w:t>de Obra</w:t>
      </w:r>
      <w:r w:rsidRPr="00E378C6">
        <w:rPr>
          <w:lang w:val="es-ES"/>
        </w:rPr>
        <w:t xml:space="preserve"> de las Obras, quien resolverá las cuestiones que puedan plantearse en la interpretación de aquellas, y en las condiciones y detalles de la ejecución.</w:t>
      </w:r>
    </w:p>
    <w:p w14:paraId="5915BA59" w14:textId="77777777" w:rsidR="00685F00" w:rsidRPr="00E378C6" w:rsidRDefault="00685F00" w:rsidP="000313DD">
      <w:pPr>
        <w:pStyle w:val="TITU2"/>
      </w:pPr>
      <w:bookmarkStart w:id="1642" w:name="_Toc529870961"/>
      <w:bookmarkStart w:id="1643" w:name="_Toc404808"/>
      <w:r>
        <w:t>9</w:t>
      </w:r>
      <w:r w:rsidR="00C71359">
        <w:t>55</w:t>
      </w:r>
      <w:r>
        <w:t>.2. Materiales</w:t>
      </w:r>
      <w:bookmarkEnd w:id="1642"/>
      <w:bookmarkEnd w:id="1643"/>
    </w:p>
    <w:p w14:paraId="319AC65E" w14:textId="77777777" w:rsidR="00685F00" w:rsidRPr="00E378C6" w:rsidRDefault="00685F00" w:rsidP="00685F00">
      <w:pPr>
        <w:pStyle w:val="TITU3"/>
        <w:numPr>
          <w:ilvl w:val="0"/>
          <w:numId w:val="0"/>
        </w:numPr>
      </w:pPr>
      <w:bookmarkStart w:id="1644" w:name="_Toc529870962"/>
      <w:r>
        <w:t>9</w:t>
      </w:r>
      <w:r w:rsidR="00C71359">
        <w:t>55</w:t>
      </w:r>
      <w:r>
        <w:t xml:space="preserve">.2.1. </w:t>
      </w:r>
      <w:r w:rsidRPr="00E378C6">
        <w:t>Semillas</w:t>
      </w:r>
      <w:bookmarkEnd w:id="1644"/>
    </w:p>
    <w:p w14:paraId="19B8DC6B" w14:textId="77777777" w:rsidR="00685F00" w:rsidRPr="00E378C6" w:rsidRDefault="00685F00" w:rsidP="00685F00">
      <w:pPr>
        <w:pStyle w:val="NORMAL12"/>
        <w:rPr>
          <w:lang w:val="es-ES"/>
        </w:rPr>
      </w:pPr>
      <w:r w:rsidRPr="00E378C6">
        <w:rPr>
          <w:lang w:val="es-ES"/>
        </w:rPr>
        <w:t>Se define como semilla aquella parte del fruto que contiene el embrión y que es capaz de germinar y desarrollarse, dando lugar a una planta de similares características que aquella que lo originó.</w:t>
      </w:r>
    </w:p>
    <w:p w14:paraId="63ECA74C" w14:textId="77777777" w:rsidR="00685F00" w:rsidRPr="00E378C6" w:rsidRDefault="00685F00" w:rsidP="00685F00">
      <w:pPr>
        <w:pStyle w:val="NORMAL12"/>
        <w:rPr>
          <w:lang w:val="es-ES"/>
        </w:rPr>
      </w:pPr>
      <w:r w:rsidRPr="00E378C6">
        <w:rPr>
          <w:lang w:val="es-ES"/>
        </w:rPr>
        <w:t>La provisión de semillas habrá de hacerse mediante su adquisición en centros oficiales o instituciones análogas o, en todo caso, en empresas de reconocida solvencia. Un examen previo deberá mostrar que se hallan exentas de impurezas, granos rotos, defectuosos o enfermos, así como de granos de especies distintas a la elegida. En general, habrán de cumplir las especificaciones del “Reglamento Técnico de Control y Certificación de Semillas y Plantas Forrajeras”.</w:t>
      </w:r>
    </w:p>
    <w:p w14:paraId="08DAF1D1" w14:textId="77777777" w:rsidR="00685F00" w:rsidRPr="00E378C6" w:rsidRDefault="00685F00" w:rsidP="00685F00">
      <w:pPr>
        <w:pStyle w:val="NORMAL12"/>
        <w:rPr>
          <w:lang w:val="es-ES"/>
        </w:rPr>
      </w:pPr>
      <w:r w:rsidRPr="00E378C6">
        <w:rPr>
          <w:lang w:val="es-ES"/>
        </w:rPr>
        <w:t xml:space="preserve">Si existiera duda razonable acerca de tales propiedades, o bien se </w:t>
      </w:r>
      <w:proofErr w:type="gramStart"/>
      <w:r w:rsidRPr="00E378C6">
        <w:rPr>
          <w:lang w:val="es-ES"/>
        </w:rPr>
        <w:t>deseara</w:t>
      </w:r>
      <w:proofErr w:type="gramEnd"/>
      <w:r w:rsidRPr="00E378C6">
        <w:rPr>
          <w:lang w:val="es-ES"/>
        </w:rPr>
        <w:t xml:space="preserve"> comprobar su poder germinativo, habrá de acudirse a los organismos oficiales competentes.</w:t>
      </w:r>
    </w:p>
    <w:p w14:paraId="527BA548" w14:textId="77777777" w:rsidR="00685F00" w:rsidRPr="00E378C6" w:rsidRDefault="00685F00" w:rsidP="00685F00">
      <w:pPr>
        <w:pStyle w:val="NORMAL12"/>
        <w:rPr>
          <w:lang w:val="es-ES"/>
        </w:rPr>
      </w:pPr>
      <w:r w:rsidRPr="00E378C6">
        <w:rPr>
          <w:lang w:val="es-ES"/>
        </w:rPr>
        <w:t xml:space="preserve">El </w:t>
      </w:r>
      <w:proofErr w:type="gramStart"/>
      <w:r w:rsidRPr="00E378C6">
        <w:rPr>
          <w:lang w:val="es-ES"/>
        </w:rPr>
        <w:t>Director</w:t>
      </w:r>
      <w:proofErr w:type="gramEnd"/>
      <w:r w:rsidRPr="00E378C6">
        <w:rPr>
          <w:lang w:val="es-ES"/>
        </w:rPr>
        <w:t xml:space="preserve"> de Obra podrá ordenar la realización de los correspondientes ensayos para cada partida de semillas de distinta procedencia.</w:t>
      </w:r>
    </w:p>
    <w:p w14:paraId="6C80AA7F" w14:textId="77777777" w:rsidR="00685F00" w:rsidRPr="00E378C6" w:rsidRDefault="00685F00" w:rsidP="00685F00">
      <w:pPr>
        <w:pStyle w:val="NORMAL12"/>
        <w:rPr>
          <w:lang w:val="es-ES"/>
        </w:rPr>
      </w:pPr>
      <w:r w:rsidRPr="00E378C6">
        <w:rPr>
          <w:lang w:val="es-ES"/>
        </w:rPr>
        <w:t>Deberán reunir las siguientes condiciones:</w:t>
      </w:r>
    </w:p>
    <w:p w14:paraId="1F19C732" w14:textId="77777777" w:rsidR="00685F00" w:rsidRPr="00E378C6" w:rsidRDefault="00685F00" w:rsidP="00221E1A">
      <w:pPr>
        <w:pStyle w:val="NORMAL12"/>
        <w:numPr>
          <w:ilvl w:val="0"/>
          <w:numId w:val="143"/>
        </w:numPr>
        <w:rPr>
          <w:lang w:val="es-ES"/>
        </w:rPr>
      </w:pPr>
      <w:r w:rsidRPr="00E378C6">
        <w:rPr>
          <w:lang w:val="es-ES"/>
        </w:rPr>
        <w:t>El peso de la semilla pura viva (</w:t>
      </w:r>
      <w:proofErr w:type="spellStart"/>
      <w:r w:rsidRPr="00E378C6">
        <w:rPr>
          <w:lang w:val="es-ES"/>
        </w:rPr>
        <w:t>Ps</w:t>
      </w:r>
      <w:proofErr w:type="spellEnd"/>
      <w:r w:rsidRPr="00E378C6">
        <w:rPr>
          <w:lang w:val="es-ES"/>
        </w:rPr>
        <w:t>), contenida en cada lote, no será inferior al ochenta por ciento (80%) del peso del material envasado.</w:t>
      </w:r>
    </w:p>
    <w:p w14:paraId="3AFB82C9" w14:textId="77777777" w:rsidR="00685F00" w:rsidRPr="00E378C6" w:rsidRDefault="00685F00" w:rsidP="00221E1A">
      <w:pPr>
        <w:pStyle w:val="NORMAL12"/>
        <w:numPr>
          <w:ilvl w:val="0"/>
          <w:numId w:val="143"/>
        </w:numPr>
        <w:rPr>
          <w:lang w:val="es-ES"/>
        </w:rPr>
      </w:pPr>
      <w:r w:rsidRPr="00E378C6">
        <w:rPr>
          <w:lang w:val="es-ES"/>
        </w:rPr>
        <w:t>La pureza (</w:t>
      </w:r>
      <w:proofErr w:type="spellStart"/>
      <w:r w:rsidRPr="00E378C6">
        <w:rPr>
          <w:lang w:val="es-ES"/>
        </w:rPr>
        <w:t>Pp</w:t>
      </w:r>
      <w:proofErr w:type="spellEnd"/>
      <w:r w:rsidRPr="00E378C6">
        <w:rPr>
          <w:lang w:val="es-ES"/>
        </w:rPr>
        <w:t>) deberá ser superior al noventa por ciento (90%).</w:t>
      </w:r>
    </w:p>
    <w:p w14:paraId="5DD526A5" w14:textId="77777777" w:rsidR="00685F00" w:rsidRPr="00E378C6" w:rsidRDefault="00685F00" w:rsidP="00221E1A">
      <w:pPr>
        <w:pStyle w:val="NORMAL12"/>
        <w:numPr>
          <w:ilvl w:val="0"/>
          <w:numId w:val="143"/>
        </w:numPr>
        <w:rPr>
          <w:lang w:val="es-ES"/>
        </w:rPr>
      </w:pPr>
      <w:r w:rsidRPr="00E378C6">
        <w:rPr>
          <w:lang w:val="es-ES"/>
        </w:rPr>
        <w:t>La capacidad germinativa (Cg) será superior al noventa y cinco por ciento (95%) para las plantas herbáceas. En las leñosas se considerará aceptable el porcentaje admitido en la práctica forestal (80%).</w:t>
      </w:r>
    </w:p>
    <w:p w14:paraId="553868AC" w14:textId="77777777" w:rsidR="00685F00" w:rsidRPr="00E378C6" w:rsidRDefault="00685F00" w:rsidP="00221E1A">
      <w:pPr>
        <w:pStyle w:val="NORMAL12"/>
        <w:numPr>
          <w:ilvl w:val="0"/>
          <w:numId w:val="143"/>
        </w:numPr>
        <w:rPr>
          <w:lang w:val="es-ES"/>
        </w:rPr>
      </w:pPr>
      <w:r w:rsidRPr="00E378C6">
        <w:rPr>
          <w:lang w:val="es-ES"/>
        </w:rPr>
        <w:t xml:space="preserve">En general, se debe cumplir que </w:t>
      </w:r>
      <w:proofErr w:type="spellStart"/>
      <w:r w:rsidRPr="00E378C6">
        <w:rPr>
          <w:lang w:val="es-ES"/>
        </w:rPr>
        <w:t>Ps</w:t>
      </w:r>
      <w:proofErr w:type="spellEnd"/>
      <w:r w:rsidRPr="00E378C6">
        <w:rPr>
          <w:lang w:val="es-ES"/>
        </w:rPr>
        <w:t xml:space="preserve"> &gt; </w:t>
      </w:r>
      <w:proofErr w:type="spellStart"/>
      <w:r w:rsidRPr="00E378C6">
        <w:rPr>
          <w:lang w:val="es-ES"/>
        </w:rPr>
        <w:t>Pp</w:t>
      </w:r>
      <w:proofErr w:type="spellEnd"/>
      <w:r w:rsidRPr="00E378C6">
        <w:rPr>
          <w:lang w:val="es-ES"/>
        </w:rPr>
        <w:t xml:space="preserve"> x Cg.</w:t>
      </w:r>
    </w:p>
    <w:p w14:paraId="70147B6D" w14:textId="77777777" w:rsidR="00685F00" w:rsidRPr="00BA680E" w:rsidRDefault="00685F00" w:rsidP="00685F00">
      <w:pPr>
        <w:pStyle w:val="NORMAL12"/>
        <w:rPr>
          <w:lang w:val="es-ES"/>
        </w:rPr>
      </w:pPr>
      <w:r w:rsidRPr="00BA680E">
        <w:rPr>
          <w:lang w:val="es-ES"/>
        </w:rPr>
        <w:t xml:space="preserve">Las semillas no estarán contaminadas por hongos, ni presentarán signos de haber </w:t>
      </w:r>
      <w:proofErr w:type="gramStart"/>
      <w:r w:rsidRPr="00BA680E">
        <w:rPr>
          <w:lang w:val="es-ES"/>
        </w:rPr>
        <w:t>sufrido  alguna</w:t>
      </w:r>
      <w:proofErr w:type="gramEnd"/>
      <w:r w:rsidRPr="00BA680E">
        <w:rPr>
          <w:lang w:val="es-ES"/>
        </w:rPr>
        <w:t xml:space="preserve"> enfermedad micológica. No presentarán parasitismo de insectos.</w:t>
      </w:r>
    </w:p>
    <w:p w14:paraId="5CD008D8" w14:textId="77777777" w:rsidR="00685F00" w:rsidRPr="00BA680E" w:rsidRDefault="00685F00" w:rsidP="00685F00">
      <w:pPr>
        <w:pStyle w:val="NORMAL12"/>
        <w:rPr>
          <w:lang w:val="es-ES"/>
        </w:rPr>
      </w:pPr>
      <w:r w:rsidRPr="00BA680E">
        <w:rPr>
          <w:lang w:val="es-ES"/>
        </w:rPr>
        <w:t>Las semillas deberán suministrarse en envases individuales precintados, fácilmente identificables, en los que se lea de forma clara:</w:t>
      </w:r>
    </w:p>
    <w:p w14:paraId="33F0373D" w14:textId="77777777" w:rsidR="00685F00" w:rsidRPr="00BA680E" w:rsidRDefault="00685F00" w:rsidP="00221E1A">
      <w:pPr>
        <w:pStyle w:val="NORMAL12"/>
        <w:numPr>
          <w:ilvl w:val="0"/>
          <w:numId w:val="144"/>
        </w:numPr>
        <w:rPr>
          <w:lang w:val="es-ES"/>
        </w:rPr>
      </w:pPr>
      <w:r w:rsidRPr="00BA680E">
        <w:rPr>
          <w:lang w:val="es-ES"/>
        </w:rPr>
        <w:t>Identificación del productor (número y nombre).</w:t>
      </w:r>
    </w:p>
    <w:p w14:paraId="2183E0CD" w14:textId="77777777" w:rsidR="00685F00" w:rsidRPr="00BA680E" w:rsidRDefault="00685F00" w:rsidP="00221E1A">
      <w:pPr>
        <w:pStyle w:val="NORMAL12"/>
        <w:numPr>
          <w:ilvl w:val="0"/>
          <w:numId w:val="144"/>
        </w:numPr>
        <w:rPr>
          <w:lang w:val="es-ES"/>
        </w:rPr>
      </w:pPr>
      <w:r w:rsidRPr="00BA680E">
        <w:rPr>
          <w:lang w:val="es-ES"/>
        </w:rPr>
        <w:t>Composición en porcentaje de especies y variedades.</w:t>
      </w:r>
    </w:p>
    <w:p w14:paraId="5B53D071" w14:textId="77777777" w:rsidR="00685F00" w:rsidRPr="00BA680E" w:rsidRDefault="00685F00" w:rsidP="00221E1A">
      <w:pPr>
        <w:pStyle w:val="NORMAL12"/>
        <w:numPr>
          <w:ilvl w:val="0"/>
          <w:numId w:val="144"/>
        </w:numPr>
        <w:rPr>
          <w:lang w:val="es-ES"/>
        </w:rPr>
      </w:pPr>
      <w:r w:rsidRPr="00BA680E">
        <w:rPr>
          <w:lang w:val="es-ES"/>
        </w:rPr>
        <w:t>Número del lote.</w:t>
      </w:r>
    </w:p>
    <w:p w14:paraId="39707331" w14:textId="77777777" w:rsidR="00685F00" w:rsidRPr="00BA680E" w:rsidRDefault="00685F00" w:rsidP="00221E1A">
      <w:pPr>
        <w:pStyle w:val="NORMAL12"/>
        <w:numPr>
          <w:ilvl w:val="0"/>
          <w:numId w:val="144"/>
        </w:numPr>
        <w:rPr>
          <w:lang w:val="es-ES"/>
        </w:rPr>
      </w:pPr>
      <w:r w:rsidRPr="00BA680E">
        <w:rPr>
          <w:lang w:val="es-ES"/>
        </w:rPr>
        <w:t>Fecha de precintado.</w:t>
      </w:r>
    </w:p>
    <w:p w14:paraId="29FFE71C" w14:textId="77777777" w:rsidR="00685F00" w:rsidRPr="00BA680E" w:rsidRDefault="00685F00" w:rsidP="00685F00">
      <w:pPr>
        <w:pStyle w:val="NORMAL12"/>
        <w:rPr>
          <w:lang w:val="es-ES"/>
        </w:rPr>
      </w:pPr>
      <w:r w:rsidRPr="00BA680E">
        <w:rPr>
          <w:lang w:val="es-ES"/>
        </w:rPr>
        <w:t xml:space="preserve">Las semillas serán al menos material de reproducción identificado (etiqueta amarilla). </w:t>
      </w:r>
      <w:proofErr w:type="gramStart"/>
      <w:r w:rsidRPr="00BA680E">
        <w:rPr>
          <w:lang w:val="es-ES"/>
        </w:rPr>
        <w:t>Se  acompañará</w:t>
      </w:r>
      <w:proofErr w:type="gramEnd"/>
      <w:r w:rsidRPr="00BA680E">
        <w:rPr>
          <w:lang w:val="es-ES"/>
        </w:rPr>
        <w:t xml:space="preserve"> junto con cada partida el certificado de procedencia correspondiente.</w:t>
      </w:r>
    </w:p>
    <w:p w14:paraId="5951DB83" w14:textId="77777777" w:rsidR="00685F00" w:rsidRPr="00BA680E" w:rsidRDefault="00685F00" w:rsidP="00685F00">
      <w:pPr>
        <w:pStyle w:val="NORMAL12"/>
        <w:rPr>
          <w:lang w:val="es-ES"/>
        </w:rPr>
      </w:pPr>
      <w:r w:rsidRPr="00BA680E">
        <w:rPr>
          <w:lang w:val="es-ES"/>
        </w:rPr>
        <w:t>Composición específica de las mezclas de semillas y dosis de siembra:</w:t>
      </w:r>
    </w:p>
    <w:p w14:paraId="345F0F3A" w14:textId="77777777" w:rsidR="00685F00" w:rsidRPr="00BA680E" w:rsidRDefault="00685F00" w:rsidP="00685F00">
      <w:pPr>
        <w:pStyle w:val="NORMAL12"/>
        <w:rPr>
          <w:lang w:val="es-ES"/>
        </w:rPr>
      </w:pPr>
      <w:r w:rsidRPr="00BA680E">
        <w:rPr>
          <w:lang w:val="es-ES"/>
        </w:rPr>
        <w:t xml:space="preserve">  %    Gramíneas</w:t>
      </w:r>
    </w:p>
    <w:p w14:paraId="3DD7E75B" w14:textId="77777777" w:rsidR="00685F00" w:rsidRPr="00BA680E" w:rsidRDefault="00685F00" w:rsidP="00221E1A">
      <w:pPr>
        <w:pStyle w:val="NORMAL12"/>
        <w:numPr>
          <w:ilvl w:val="0"/>
          <w:numId w:val="145"/>
        </w:numPr>
        <w:ind w:left="714" w:hanging="357"/>
        <w:contextualSpacing/>
        <w:rPr>
          <w:lang w:val="es-ES"/>
        </w:rPr>
      </w:pPr>
      <w:r w:rsidRPr="00BA680E">
        <w:rPr>
          <w:lang w:val="es-ES"/>
        </w:rPr>
        <w:t>20</w:t>
      </w:r>
      <w:proofErr w:type="gramStart"/>
      <w:r w:rsidRPr="00BA680E">
        <w:rPr>
          <w:lang w:val="es-ES"/>
        </w:rPr>
        <w:t xml:space="preserve">%  </w:t>
      </w:r>
      <w:proofErr w:type="spellStart"/>
      <w:r w:rsidRPr="00BA680E">
        <w:rPr>
          <w:lang w:val="es-ES"/>
        </w:rPr>
        <w:t>Dactylis</w:t>
      </w:r>
      <w:proofErr w:type="spellEnd"/>
      <w:proofErr w:type="gramEnd"/>
      <w:r w:rsidRPr="00BA680E">
        <w:rPr>
          <w:lang w:val="es-ES"/>
        </w:rPr>
        <w:t xml:space="preserve"> </w:t>
      </w:r>
      <w:proofErr w:type="spellStart"/>
      <w:r w:rsidRPr="00BA680E">
        <w:rPr>
          <w:lang w:val="es-ES"/>
        </w:rPr>
        <w:t>glomerata</w:t>
      </w:r>
      <w:proofErr w:type="spellEnd"/>
    </w:p>
    <w:p w14:paraId="1ED36C3F" w14:textId="77777777" w:rsidR="00685F00" w:rsidRPr="00BA680E" w:rsidRDefault="00685F00" w:rsidP="00221E1A">
      <w:pPr>
        <w:pStyle w:val="NORMAL12"/>
        <w:numPr>
          <w:ilvl w:val="0"/>
          <w:numId w:val="145"/>
        </w:numPr>
        <w:ind w:left="714" w:hanging="357"/>
        <w:contextualSpacing/>
        <w:rPr>
          <w:lang w:val="es-ES"/>
        </w:rPr>
      </w:pPr>
      <w:r w:rsidRPr="00BA680E">
        <w:rPr>
          <w:lang w:val="es-ES"/>
        </w:rPr>
        <w:t>20</w:t>
      </w:r>
      <w:proofErr w:type="gramStart"/>
      <w:r w:rsidRPr="00BA680E">
        <w:rPr>
          <w:lang w:val="es-ES"/>
        </w:rPr>
        <w:t xml:space="preserve">%  </w:t>
      </w:r>
      <w:proofErr w:type="spellStart"/>
      <w:r w:rsidRPr="00BA680E">
        <w:rPr>
          <w:lang w:val="es-ES"/>
        </w:rPr>
        <w:t>Festuca</w:t>
      </w:r>
      <w:proofErr w:type="spellEnd"/>
      <w:proofErr w:type="gramEnd"/>
      <w:r w:rsidRPr="00BA680E">
        <w:rPr>
          <w:lang w:val="es-ES"/>
        </w:rPr>
        <w:t xml:space="preserve"> rubra</w:t>
      </w:r>
    </w:p>
    <w:p w14:paraId="2FEC6CBA" w14:textId="77777777" w:rsidR="00685F00" w:rsidRPr="00BA680E" w:rsidRDefault="00685F00" w:rsidP="00221E1A">
      <w:pPr>
        <w:pStyle w:val="NORMAL12"/>
        <w:numPr>
          <w:ilvl w:val="0"/>
          <w:numId w:val="145"/>
        </w:numPr>
        <w:ind w:left="714" w:hanging="357"/>
        <w:contextualSpacing/>
        <w:rPr>
          <w:lang w:val="es-ES"/>
        </w:rPr>
      </w:pPr>
      <w:r w:rsidRPr="00BA680E">
        <w:rPr>
          <w:lang w:val="es-ES"/>
        </w:rPr>
        <w:t>35</w:t>
      </w:r>
      <w:proofErr w:type="gramStart"/>
      <w:r w:rsidRPr="00BA680E">
        <w:rPr>
          <w:lang w:val="es-ES"/>
        </w:rPr>
        <w:t xml:space="preserve">%  </w:t>
      </w:r>
      <w:proofErr w:type="spellStart"/>
      <w:r w:rsidRPr="00BA680E">
        <w:rPr>
          <w:lang w:val="es-ES"/>
        </w:rPr>
        <w:t>Lolium</w:t>
      </w:r>
      <w:proofErr w:type="spellEnd"/>
      <w:proofErr w:type="gramEnd"/>
      <w:r w:rsidRPr="00BA680E">
        <w:rPr>
          <w:lang w:val="es-ES"/>
        </w:rPr>
        <w:t xml:space="preserve"> perenne</w:t>
      </w:r>
    </w:p>
    <w:p w14:paraId="1C13EC1F" w14:textId="77777777" w:rsidR="00685F00" w:rsidRPr="00BA680E" w:rsidRDefault="00685F00" w:rsidP="00221E1A">
      <w:pPr>
        <w:pStyle w:val="NORMAL12"/>
        <w:numPr>
          <w:ilvl w:val="0"/>
          <w:numId w:val="145"/>
        </w:numPr>
        <w:ind w:left="714" w:hanging="357"/>
        <w:contextualSpacing/>
        <w:rPr>
          <w:lang w:val="es-ES"/>
        </w:rPr>
      </w:pPr>
      <w:r w:rsidRPr="00BA680E">
        <w:rPr>
          <w:lang w:val="es-ES"/>
        </w:rPr>
        <w:t xml:space="preserve">10% </w:t>
      </w:r>
      <w:proofErr w:type="spellStart"/>
      <w:r w:rsidRPr="00BA680E">
        <w:rPr>
          <w:lang w:val="es-ES"/>
        </w:rPr>
        <w:t>Festuca</w:t>
      </w:r>
      <w:proofErr w:type="spellEnd"/>
      <w:r w:rsidRPr="00BA680E">
        <w:rPr>
          <w:lang w:val="es-ES"/>
        </w:rPr>
        <w:t xml:space="preserve"> </w:t>
      </w:r>
      <w:proofErr w:type="spellStart"/>
      <w:r w:rsidRPr="00BA680E">
        <w:rPr>
          <w:lang w:val="es-ES"/>
        </w:rPr>
        <w:t>arundinacea</w:t>
      </w:r>
      <w:proofErr w:type="spellEnd"/>
    </w:p>
    <w:p w14:paraId="43561EDA" w14:textId="77777777" w:rsidR="00685F00" w:rsidRPr="00BA680E" w:rsidRDefault="00685F00" w:rsidP="00685F00">
      <w:pPr>
        <w:pStyle w:val="NORMAL12"/>
        <w:rPr>
          <w:lang w:val="es-ES"/>
        </w:rPr>
      </w:pPr>
      <w:r w:rsidRPr="00BA680E">
        <w:rPr>
          <w:lang w:val="es-ES"/>
        </w:rPr>
        <w:t xml:space="preserve">  Leguminosas</w:t>
      </w:r>
    </w:p>
    <w:p w14:paraId="59EA76DF" w14:textId="77777777" w:rsidR="00685F00" w:rsidRPr="00BA680E" w:rsidRDefault="00685F00" w:rsidP="00221E1A">
      <w:pPr>
        <w:pStyle w:val="NORMAL12"/>
        <w:numPr>
          <w:ilvl w:val="0"/>
          <w:numId w:val="146"/>
        </w:numPr>
        <w:ind w:left="714" w:hanging="357"/>
        <w:contextualSpacing/>
        <w:rPr>
          <w:lang w:val="es-ES"/>
        </w:rPr>
      </w:pPr>
      <w:r w:rsidRPr="00BA680E">
        <w:rPr>
          <w:lang w:val="es-ES"/>
        </w:rPr>
        <w:t xml:space="preserve">7 % </w:t>
      </w:r>
      <w:proofErr w:type="spellStart"/>
      <w:r w:rsidRPr="00BA680E">
        <w:rPr>
          <w:lang w:val="es-ES"/>
        </w:rPr>
        <w:t>Trifolium</w:t>
      </w:r>
      <w:proofErr w:type="spellEnd"/>
      <w:r w:rsidRPr="00BA680E">
        <w:rPr>
          <w:lang w:val="es-ES"/>
        </w:rPr>
        <w:t xml:space="preserve"> </w:t>
      </w:r>
      <w:proofErr w:type="spellStart"/>
      <w:r w:rsidRPr="00BA680E">
        <w:rPr>
          <w:lang w:val="es-ES"/>
        </w:rPr>
        <w:t>repens</w:t>
      </w:r>
      <w:proofErr w:type="spellEnd"/>
    </w:p>
    <w:p w14:paraId="12DF3583" w14:textId="77777777" w:rsidR="00685F00" w:rsidRPr="00BA680E" w:rsidRDefault="00685F00" w:rsidP="00221E1A">
      <w:pPr>
        <w:pStyle w:val="NORMAL12"/>
        <w:numPr>
          <w:ilvl w:val="0"/>
          <w:numId w:val="146"/>
        </w:numPr>
        <w:ind w:left="714" w:hanging="357"/>
        <w:contextualSpacing/>
        <w:rPr>
          <w:lang w:val="es-ES"/>
        </w:rPr>
      </w:pPr>
      <w:r w:rsidRPr="00BA680E">
        <w:rPr>
          <w:lang w:val="es-ES"/>
        </w:rPr>
        <w:t xml:space="preserve">8 % </w:t>
      </w:r>
      <w:proofErr w:type="spellStart"/>
      <w:r w:rsidRPr="00BA680E">
        <w:rPr>
          <w:lang w:val="es-ES"/>
        </w:rPr>
        <w:t>Medicago</w:t>
      </w:r>
      <w:proofErr w:type="spellEnd"/>
      <w:r w:rsidRPr="00BA680E">
        <w:rPr>
          <w:lang w:val="es-ES"/>
        </w:rPr>
        <w:t xml:space="preserve"> </w:t>
      </w:r>
      <w:proofErr w:type="spellStart"/>
      <w:r w:rsidRPr="00BA680E">
        <w:rPr>
          <w:lang w:val="es-ES"/>
        </w:rPr>
        <w:t>lupulina</w:t>
      </w:r>
      <w:proofErr w:type="spellEnd"/>
    </w:p>
    <w:p w14:paraId="181496AB" w14:textId="77777777" w:rsidR="00685F00" w:rsidRPr="00BA680E" w:rsidRDefault="00685F00" w:rsidP="00685F00">
      <w:pPr>
        <w:pStyle w:val="NORMAL12"/>
        <w:rPr>
          <w:lang w:val="es-ES"/>
        </w:rPr>
      </w:pPr>
      <w:r w:rsidRPr="00BA680E">
        <w:rPr>
          <w:lang w:val="es-ES"/>
        </w:rPr>
        <w:t xml:space="preserve">  ESPECIES ARBUSTIVAS (5%)</w:t>
      </w:r>
    </w:p>
    <w:p w14:paraId="68E4DAD0" w14:textId="77777777" w:rsidR="00685F00" w:rsidRPr="00BA680E" w:rsidRDefault="00685F00" w:rsidP="00221E1A">
      <w:pPr>
        <w:pStyle w:val="NORMAL12"/>
        <w:numPr>
          <w:ilvl w:val="0"/>
          <w:numId w:val="147"/>
        </w:numPr>
        <w:ind w:left="714" w:hanging="357"/>
        <w:contextualSpacing/>
        <w:rPr>
          <w:lang w:val="es-ES"/>
        </w:rPr>
      </w:pPr>
      <w:r w:rsidRPr="00BA680E">
        <w:rPr>
          <w:lang w:val="es-ES"/>
        </w:rPr>
        <w:t>20</w:t>
      </w:r>
      <w:proofErr w:type="gramStart"/>
      <w:r w:rsidRPr="00BA680E">
        <w:rPr>
          <w:lang w:val="es-ES"/>
        </w:rPr>
        <w:t xml:space="preserve">%  </w:t>
      </w:r>
      <w:proofErr w:type="spellStart"/>
      <w:r w:rsidRPr="00BA680E">
        <w:rPr>
          <w:lang w:val="es-ES"/>
        </w:rPr>
        <w:t>Cytisus</w:t>
      </w:r>
      <w:proofErr w:type="spellEnd"/>
      <w:proofErr w:type="gramEnd"/>
      <w:r w:rsidRPr="00BA680E">
        <w:rPr>
          <w:lang w:val="es-ES"/>
        </w:rPr>
        <w:t xml:space="preserve"> </w:t>
      </w:r>
      <w:proofErr w:type="spellStart"/>
      <w:r w:rsidRPr="00BA680E">
        <w:rPr>
          <w:lang w:val="es-ES"/>
        </w:rPr>
        <w:t>scoparius</w:t>
      </w:r>
      <w:proofErr w:type="spellEnd"/>
    </w:p>
    <w:p w14:paraId="2EAB3C59" w14:textId="77777777" w:rsidR="00685F00" w:rsidRPr="00BA680E" w:rsidRDefault="00685F00" w:rsidP="00221E1A">
      <w:pPr>
        <w:pStyle w:val="NORMAL12"/>
        <w:numPr>
          <w:ilvl w:val="0"/>
          <w:numId w:val="147"/>
        </w:numPr>
        <w:ind w:left="714" w:hanging="357"/>
        <w:contextualSpacing/>
        <w:rPr>
          <w:lang w:val="es-ES"/>
        </w:rPr>
      </w:pPr>
      <w:r w:rsidRPr="00BA680E">
        <w:rPr>
          <w:lang w:val="es-ES"/>
        </w:rPr>
        <w:t xml:space="preserve">20 % </w:t>
      </w:r>
      <w:proofErr w:type="spellStart"/>
      <w:r w:rsidRPr="00BA680E">
        <w:rPr>
          <w:lang w:val="es-ES"/>
        </w:rPr>
        <w:t>Ulex</w:t>
      </w:r>
      <w:proofErr w:type="spellEnd"/>
      <w:r w:rsidRPr="00BA680E">
        <w:rPr>
          <w:lang w:val="es-ES"/>
        </w:rPr>
        <w:t xml:space="preserve"> </w:t>
      </w:r>
      <w:proofErr w:type="spellStart"/>
      <w:r w:rsidRPr="00BA680E">
        <w:rPr>
          <w:lang w:val="es-ES"/>
        </w:rPr>
        <w:t>europaeus</w:t>
      </w:r>
      <w:proofErr w:type="spellEnd"/>
    </w:p>
    <w:p w14:paraId="7A36F38D" w14:textId="77777777" w:rsidR="00685F00" w:rsidRPr="00BA680E" w:rsidRDefault="00685F00" w:rsidP="00221E1A">
      <w:pPr>
        <w:pStyle w:val="NORMAL12"/>
        <w:numPr>
          <w:ilvl w:val="0"/>
          <w:numId w:val="147"/>
        </w:numPr>
        <w:ind w:left="714" w:hanging="357"/>
        <w:contextualSpacing/>
        <w:rPr>
          <w:lang w:val="es-ES"/>
        </w:rPr>
      </w:pPr>
      <w:r w:rsidRPr="00BA680E">
        <w:rPr>
          <w:lang w:val="es-ES"/>
        </w:rPr>
        <w:t xml:space="preserve">20 % </w:t>
      </w:r>
      <w:proofErr w:type="spellStart"/>
      <w:r w:rsidRPr="00BA680E">
        <w:rPr>
          <w:lang w:val="es-ES"/>
        </w:rPr>
        <w:t>Rubus</w:t>
      </w:r>
      <w:proofErr w:type="spellEnd"/>
      <w:r w:rsidRPr="00BA680E">
        <w:rPr>
          <w:lang w:val="es-ES"/>
        </w:rPr>
        <w:t xml:space="preserve"> </w:t>
      </w:r>
      <w:proofErr w:type="spellStart"/>
      <w:r w:rsidRPr="00BA680E">
        <w:rPr>
          <w:lang w:val="es-ES"/>
        </w:rPr>
        <w:t>ulmifolius</w:t>
      </w:r>
      <w:proofErr w:type="spellEnd"/>
    </w:p>
    <w:p w14:paraId="292A6488" w14:textId="77777777" w:rsidR="00685F00" w:rsidRPr="00BA680E" w:rsidRDefault="00685F00" w:rsidP="00221E1A">
      <w:pPr>
        <w:pStyle w:val="NORMAL12"/>
        <w:numPr>
          <w:ilvl w:val="0"/>
          <w:numId w:val="147"/>
        </w:numPr>
        <w:ind w:left="714" w:hanging="357"/>
        <w:contextualSpacing/>
        <w:rPr>
          <w:lang w:val="es-ES"/>
        </w:rPr>
      </w:pPr>
      <w:r w:rsidRPr="00BA680E">
        <w:rPr>
          <w:lang w:val="es-ES"/>
        </w:rPr>
        <w:t xml:space="preserve">40 % </w:t>
      </w:r>
      <w:proofErr w:type="spellStart"/>
      <w:r w:rsidRPr="00BA680E">
        <w:rPr>
          <w:lang w:val="es-ES"/>
        </w:rPr>
        <w:t>Crataegus</w:t>
      </w:r>
      <w:proofErr w:type="spellEnd"/>
      <w:r w:rsidRPr="00BA680E">
        <w:rPr>
          <w:lang w:val="es-ES"/>
        </w:rPr>
        <w:t xml:space="preserve"> </w:t>
      </w:r>
      <w:proofErr w:type="spellStart"/>
      <w:r w:rsidRPr="00BA680E">
        <w:rPr>
          <w:lang w:val="es-ES"/>
        </w:rPr>
        <w:t>monogyna</w:t>
      </w:r>
      <w:proofErr w:type="spellEnd"/>
    </w:p>
    <w:p w14:paraId="5A5F7611" w14:textId="77777777" w:rsidR="00685F00" w:rsidRPr="00A2323D" w:rsidRDefault="00685F00" w:rsidP="00A2323D">
      <w:pPr>
        <w:pStyle w:val="TITU3"/>
        <w:numPr>
          <w:ilvl w:val="0"/>
          <w:numId w:val="0"/>
        </w:numPr>
      </w:pPr>
      <w:bookmarkStart w:id="1645" w:name="_Toc529870963"/>
      <w:r w:rsidRPr="00A2323D">
        <w:lastRenderedPageBreak/>
        <w:t>9</w:t>
      </w:r>
      <w:r w:rsidR="00C71359">
        <w:t>55</w:t>
      </w:r>
      <w:r w:rsidRPr="00A2323D">
        <w:t xml:space="preserve">.2.2. </w:t>
      </w:r>
      <w:proofErr w:type="spellStart"/>
      <w:r w:rsidRPr="00A2323D">
        <w:t>Mulch</w:t>
      </w:r>
      <w:bookmarkEnd w:id="1645"/>
      <w:proofErr w:type="spellEnd"/>
    </w:p>
    <w:p w14:paraId="1B416104" w14:textId="77777777" w:rsidR="00685F00" w:rsidRPr="00BA680E" w:rsidRDefault="00685F00" w:rsidP="00685F00">
      <w:pPr>
        <w:pStyle w:val="NORMAL12"/>
        <w:rPr>
          <w:lang w:val="es-ES"/>
        </w:rPr>
      </w:pPr>
      <w:r w:rsidRPr="00E378C6">
        <w:t>Se define como "</w:t>
      </w:r>
      <w:proofErr w:type="spellStart"/>
      <w:r w:rsidRPr="00E378C6">
        <w:t>mulch</w:t>
      </w:r>
      <w:proofErr w:type="spellEnd"/>
      <w:r w:rsidRPr="00E378C6">
        <w:t xml:space="preserve">" toda cubierta superficial del suelo, orgánica o inorgánica, </w:t>
      </w:r>
      <w:proofErr w:type="gramStart"/>
      <w:r w:rsidRPr="00E378C6">
        <w:t>que,  utilizada</w:t>
      </w:r>
      <w:proofErr w:type="gramEnd"/>
      <w:r w:rsidRPr="00E378C6">
        <w:t xml:space="preserve"> con los demás componentes de las hidrosiembras, reduce las pérdidas de agua en </w:t>
      </w:r>
      <w:r w:rsidRPr="00BA680E">
        <w:rPr>
          <w:lang w:val="es-ES"/>
        </w:rPr>
        <w:t>el suelo por evaporación, al descomponerse incorpora elementos nutritivos utilizables por las plantas, disminuye la erosión hídrica y protege y cubre las semillas para favorecer su germinación.</w:t>
      </w:r>
    </w:p>
    <w:p w14:paraId="36338D14" w14:textId="77777777" w:rsidR="00685F00" w:rsidRPr="00BA680E" w:rsidRDefault="00685F00" w:rsidP="00685F00">
      <w:pPr>
        <w:pStyle w:val="NORMAL12"/>
        <w:rPr>
          <w:lang w:val="es-ES"/>
        </w:rPr>
      </w:pPr>
      <w:r w:rsidRPr="00BA680E">
        <w:rPr>
          <w:lang w:val="es-ES"/>
        </w:rPr>
        <w:t xml:space="preserve">En este proyecto se empleará </w:t>
      </w:r>
      <w:proofErr w:type="spellStart"/>
      <w:r w:rsidRPr="00BA680E">
        <w:rPr>
          <w:lang w:val="es-ES"/>
        </w:rPr>
        <w:t>mulch</w:t>
      </w:r>
      <w:proofErr w:type="spellEnd"/>
      <w:r w:rsidRPr="00BA680E">
        <w:rPr>
          <w:lang w:val="es-ES"/>
        </w:rPr>
        <w:t xml:space="preserve"> de fibra corta procedente de una mezcla de pasta mecánica, serrín, fibra de madera y/o heno picado (10-30 mm) y deshidratado de alfalfa u otra herbácea de características similares. </w:t>
      </w:r>
      <w:proofErr w:type="gramStart"/>
      <w:r w:rsidRPr="00BA680E">
        <w:rPr>
          <w:lang w:val="es-ES"/>
        </w:rPr>
        <w:t>La cantidad a emplear no</w:t>
      </w:r>
      <w:proofErr w:type="gramEnd"/>
      <w:r w:rsidRPr="00BA680E">
        <w:rPr>
          <w:lang w:val="es-ES"/>
        </w:rPr>
        <w:t xml:space="preserve"> será inferior a 100 g/m</w:t>
      </w:r>
      <w:r w:rsidRPr="00241CBC">
        <w:rPr>
          <w:vertAlign w:val="superscript"/>
          <w:lang w:val="es-ES"/>
        </w:rPr>
        <w:t>2</w:t>
      </w:r>
      <w:r w:rsidRPr="00BA680E">
        <w:rPr>
          <w:lang w:val="es-ES"/>
        </w:rPr>
        <w:t>.</w:t>
      </w:r>
    </w:p>
    <w:p w14:paraId="72B7FBB3" w14:textId="77777777" w:rsidR="00685F00" w:rsidRPr="00BA680E" w:rsidRDefault="00685F00" w:rsidP="00685F00">
      <w:pPr>
        <w:pStyle w:val="NORMAL12"/>
        <w:rPr>
          <w:lang w:val="es-ES"/>
        </w:rPr>
      </w:pPr>
      <w:r w:rsidRPr="00BA680E">
        <w:rPr>
          <w:lang w:val="es-ES"/>
        </w:rPr>
        <w:t xml:space="preserve">Los productos a </w:t>
      </w:r>
      <w:proofErr w:type="gramStart"/>
      <w:r w:rsidRPr="00BA680E">
        <w:rPr>
          <w:lang w:val="es-ES"/>
        </w:rPr>
        <w:t>utilizar,</w:t>
      </w:r>
      <w:proofErr w:type="gramEnd"/>
      <w:r w:rsidRPr="00BA680E">
        <w:rPr>
          <w:lang w:val="es-ES"/>
        </w:rPr>
        <w:t xml:space="preserve"> ya sean manufacturados o comerciales, deberán estar libre de terpenos, resinas o productos fitotóxicos y cumplir las siguientes características, referidas al producto seco</w:t>
      </w:r>
    </w:p>
    <w:p w14:paraId="173FEE27" w14:textId="77777777" w:rsidR="00685F00" w:rsidRPr="00BA680E" w:rsidRDefault="00685F00" w:rsidP="00685F00">
      <w:pPr>
        <w:pStyle w:val="NORMAL12"/>
        <w:rPr>
          <w:lang w:val="es-ES"/>
        </w:rPr>
      </w:pPr>
      <w:r w:rsidRPr="00BA680E">
        <w:rPr>
          <w:lang w:val="es-ES"/>
        </w:rPr>
        <w:t xml:space="preserve">El tipo de </w:t>
      </w:r>
      <w:proofErr w:type="spellStart"/>
      <w:r w:rsidRPr="00BA680E">
        <w:rPr>
          <w:lang w:val="es-ES"/>
        </w:rPr>
        <w:t>mulch</w:t>
      </w:r>
      <w:proofErr w:type="spellEnd"/>
      <w:r w:rsidRPr="00BA680E">
        <w:rPr>
          <w:lang w:val="es-ES"/>
        </w:rPr>
        <w:t xml:space="preserve"> seleccionado y su dosis de aplicación es el siguiente:</w:t>
      </w:r>
    </w:p>
    <w:p w14:paraId="0AA005D8" w14:textId="77777777" w:rsidR="00685F00" w:rsidRPr="00BA680E" w:rsidRDefault="00685F00" w:rsidP="00221E1A">
      <w:pPr>
        <w:pStyle w:val="NORMAL12"/>
        <w:numPr>
          <w:ilvl w:val="0"/>
          <w:numId w:val="148"/>
        </w:numPr>
        <w:rPr>
          <w:lang w:val="es-ES"/>
        </w:rPr>
      </w:pPr>
      <w:r w:rsidRPr="00BA680E">
        <w:rPr>
          <w:lang w:val="es-ES"/>
        </w:rPr>
        <w:t>Celulosa biodegradable: 35 g/m</w:t>
      </w:r>
      <w:r w:rsidRPr="00241CBC">
        <w:rPr>
          <w:vertAlign w:val="superscript"/>
          <w:lang w:val="es-ES"/>
        </w:rPr>
        <w:t>2</w:t>
      </w:r>
    </w:p>
    <w:p w14:paraId="380CE15F" w14:textId="77777777" w:rsidR="00685F00" w:rsidRPr="00BA680E" w:rsidRDefault="00685F00" w:rsidP="00221E1A">
      <w:pPr>
        <w:pStyle w:val="NORMAL12"/>
        <w:numPr>
          <w:ilvl w:val="0"/>
          <w:numId w:val="148"/>
        </w:numPr>
        <w:rPr>
          <w:lang w:val="es-ES"/>
        </w:rPr>
      </w:pPr>
      <w:r w:rsidRPr="00BA680E">
        <w:rPr>
          <w:lang w:val="es-ES"/>
        </w:rPr>
        <w:t>Heno picado: 50 g/m</w:t>
      </w:r>
      <w:r w:rsidRPr="00241CBC">
        <w:rPr>
          <w:vertAlign w:val="superscript"/>
          <w:lang w:val="es-ES"/>
        </w:rPr>
        <w:t>2</w:t>
      </w:r>
    </w:p>
    <w:p w14:paraId="612ED24D" w14:textId="77777777" w:rsidR="00685F00" w:rsidRPr="00BA680E" w:rsidRDefault="00685F00" w:rsidP="00221E1A">
      <w:pPr>
        <w:pStyle w:val="NORMAL12"/>
        <w:numPr>
          <w:ilvl w:val="0"/>
          <w:numId w:val="148"/>
        </w:numPr>
        <w:rPr>
          <w:lang w:val="es-ES"/>
        </w:rPr>
      </w:pPr>
      <w:r w:rsidRPr="00BA680E">
        <w:rPr>
          <w:lang w:val="es-ES"/>
        </w:rPr>
        <w:t>Paja picada de cereal: 50 g/m</w:t>
      </w:r>
      <w:r w:rsidRPr="00241CBC">
        <w:rPr>
          <w:vertAlign w:val="superscript"/>
          <w:lang w:val="es-ES"/>
        </w:rPr>
        <w:t>2</w:t>
      </w:r>
    </w:p>
    <w:p w14:paraId="5C46B72D" w14:textId="77777777" w:rsidR="00685F00" w:rsidRPr="00BA680E" w:rsidRDefault="00685F00" w:rsidP="00221E1A">
      <w:pPr>
        <w:pStyle w:val="NORMAL12"/>
        <w:numPr>
          <w:ilvl w:val="0"/>
          <w:numId w:val="148"/>
        </w:numPr>
        <w:rPr>
          <w:lang w:val="es-ES"/>
        </w:rPr>
      </w:pPr>
      <w:proofErr w:type="gramStart"/>
      <w:r w:rsidRPr="00BA680E">
        <w:rPr>
          <w:lang w:val="es-ES"/>
        </w:rPr>
        <w:t>Total</w:t>
      </w:r>
      <w:proofErr w:type="gramEnd"/>
      <w:r w:rsidRPr="00BA680E">
        <w:rPr>
          <w:lang w:val="es-ES"/>
        </w:rPr>
        <w:t xml:space="preserve"> </w:t>
      </w:r>
      <w:proofErr w:type="spellStart"/>
      <w:r w:rsidRPr="00BA680E">
        <w:rPr>
          <w:lang w:val="es-ES"/>
        </w:rPr>
        <w:t>mulch</w:t>
      </w:r>
      <w:proofErr w:type="spellEnd"/>
      <w:r w:rsidRPr="00BA680E">
        <w:rPr>
          <w:lang w:val="es-ES"/>
        </w:rPr>
        <w:t>: 35 g/m</w:t>
      </w:r>
      <w:r w:rsidRPr="00241CBC">
        <w:rPr>
          <w:vertAlign w:val="superscript"/>
          <w:lang w:val="es-ES"/>
        </w:rPr>
        <w:t>2</w:t>
      </w:r>
    </w:p>
    <w:p w14:paraId="1FEE2612" w14:textId="77777777" w:rsidR="007E3623" w:rsidRPr="007E3623" w:rsidRDefault="007E3623" w:rsidP="007E3623">
      <w:pPr>
        <w:pStyle w:val="TITU3"/>
        <w:numPr>
          <w:ilvl w:val="0"/>
          <w:numId w:val="0"/>
        </w:numPr>
      </w:pPr>
      <w:r>
        <w:t>955.2.2. Estabilizador</w:t>
      </w:r>
    </w:p>
    <w:p w14:paraId="0E374986" w14:textId="77777777" w:rsidR="00685F00" w:rsidRPr="00BA680E" w:rsidRDefault="00685F00" w:rsidP="00685F00">
      <w:pPr>
        <w:pStyle w:val="NORMAL12"/>
        <w:rPr>
          <w:lang w:val="es-ES"/>
        </w:rPr>
      </w:pPr>
      <w:r w:rsidRPr="00BA680E">
        <w:rPr>
          <w:lang w:val="es-ES"/>
        </w:rPr>
        <w:t xml:space="preserve">Se entiende por estabilizador o acondicionador de suelo cualquier material, orgánico </w:t>
      </w:r>
      <w:proofErr w:type="gramStart"/>
      <w:r w:rsidRPr="00BA680E">
        <w:rPr>
          <w:lang w:val="es-ES"/>
        </w:rPr>
        <w:t>o  inorgánico</w:t>
      </w:r>
      <w:proofErr w:type="gramEnd"/>
      <w:r w:rsidRPr="00BA680E">
        <w:rPr>
          <w:lang w:val="es-ES"/>
        </w:rPr>
        <w:t xml:space="preserve">, aplicado en solución acuosa, </w:t>
      </w:r>
      <w:proofErr w:type="gramStart"/>
      <w:r w:rsidRPr="00BA680E">
        <w:rPr>
          <w:lang w:val="es-ES"/>
        </w:rPr>
        <w:t>que</w:t>
      </w:r>
      <w:proofErr w:type="gramEnd"/>
      <w:r w:rsidRPr="00BA680E">
        <w:rPr>
          <w:lang w:val="es-ES"/>
        </w:rPr>
        <w:t xml:space="preserve"> penetrando a través de la superficie del terreno, reduce la erosión por aglomeración física de las partículas, y liga las semillas y el </w:t>
      </w:r>
      <w:proofErr w:type="spellStart"/>
      <w:r w:rsidRPr="00BA680E">
        <w:rPr>
          <w:lang w:val="es-ES"/>
        </w:rPr>
        <w:t>mulch</w:t>
      </w:r>
      <w:proofErr w:type="spellEnd"/>
      <w:r w:rsidRPr="00BA680E">
        <w:rPr>
          <w:lang w:val="es-ES"/>
        </w:rPr>
        <w:t>, pero sin llegar a crear una película impermeable.</w:t>
      </w:r>
    </w:p>
    <w:p w14:paraId="7A0C4A01" w14:textId="77777777" w:rsidR="00685F00" w:rsidRPr="00BA680E" w:rsidRDefault="00685F00" w:rsidP="00685F00">
      <w:pPr>
        <w:pStyle w:val="NORMAL12"/>
        <w:rPr>
          <w:lang w:val="es-ES"/>
        </w:rPr>
      </w:pPr>
      <w:r w:rsidRPr="00BA680E">
        <w:rPr>
          <w:lang w:val="es-ES"/>
        </w:rPr>
        <w:t>Su utilización favorece la ventilación y la humedad del terreno, promueve el crecimiento de las plantas, y estabiliza el suelo haciéndolo más compacto y poroso.</w:t>
      </w:r>
    </w:p>
    <w:p w14:paraId="44800EA3" w14:textId="77777777" w:rsidR="00685F00" w:rsidRPr="00BA680E" w:rsidRDefault="00685F00" w:rsidP="00685F00">
      <w:pPr>
        <w:pStyle w:val="NORMAL12"/>
        <w:rPr>
          <w:lang w:val="es-ES"/>
        </w:rPr>
      </w:pPr>
      <w:r w:rsidRPr="00BA680E">
        <w:rPr>
          <w:lang w:val="es-ES"/>
        </w:rPr>
        <w:t>Los estabilizadores empleados deberán cumplir las siguientes condiciones genéricas:</w:t>
      </w:r>
    </w:p>
    <w:p w14:paraId="7FBE49DE" w14:textId="77777777" w:rsidR="00685F00" w:rsidRPr="00BA680E" w:rsidRDefault="00685F00" w:rsidP="00221E1A">
      <w:pPr>
        <w:pStyle w:val="NORMAL12"/>
        <w:numPr>
          <w:ilvl w:val="0"/>
          <w:numId w:val="149"/>
        </w:numPr>
        <w:rPr>
          <w:lang w:val="es-ES"/>
        </w:rPr>
      </w:pPr>
      <w:r w:rsidRPr="00BA680E">
        <w:rPr>
          <w:lang w:val="es-ES"/>
        </w:rPr>
        <w:t>Ser solubles en agua.</w:t>
      </w:r>
    </w:p>
    <w:p w14:paraId="4224D4DE" w14:textId="77777777" w:rsidR="00685F00" w:rsidRPr="00BA680E" w:rsidRDefault="00685F00" w:rsidP="00221E1A">
      <w:pPr>
        <w:pStyle w:val="NORMAL12"/>
        <w:numPr>
          <w:ilvl w:val="0"/>
          <w:numId w:val="149"/>
        </w:numPr>
        <w:rPr>
          <w:lang w:val="es-ES"/>
        </w:rPr>
      </w:pPr>
      <w:r w:rsidRPr="00BA680E">
        <w:rPr>
          <w:lang w:val="es-ES"/>
        </w:rPr>
        <w:t>Ser productos que al incorporarse al terreno formen una capa superficial resistente a la erosión y de un espesor similar al que, verosímilmente, pueda ser afectado por aquélla.</w:t>
      </w:r>
    </w:p>
    <w:p w14:paraId="1A070F02" w14:textId="77777777" w:rsidR="00685F00" w:rsidRPr="00BA680E" w:rsidRDefault="00685F00" w:rsidP="00221E1A">
      <w:pPr>
        <w:pStyle w:val="NORMAL12"/>
        <w:numPr>
          <w:ilvl w:val="0"/>
          <w:numId w:val="149"/>
        </w:numPr>
        <w:rPr>
          <w:lang w:val="es-ES"/>
        </w:rPr>
      </w:pPr>
      <w:r w:rsidRPr="00BA680E">
        <w:rPr>
          <w:lang w:val="es-ES"/>
        </w:rPr>
        <w:t>Ser utilizables por pulverización.</w:t>
      </w:r>
    </w:p>
    <w:p w14:paraId="1BD788B6" w14:textId="77777777" w:rsidR="00685F00" w:rsidRPr="00BA680E" w:rsidRDefault="00685F00" w:rsidP="00221E1A">
      <w:pPr>
        <w:pStyle w:val="NORMAL12"/>
        <w:numPr>
          <w:ilvl w:val="0"/>
          <w:numId w:val="149"/>
        </w:numPr>
        <w:rPr>
          <w:lang w:val="es-ES"/>
        </w:rPr>
      </w:pPr>
      <w:r w:rsidRPr="00BA680E">
        <w:rPr>
          <w:lang w:val="es-ES"/>
        </w:rPr>
        <w:t>No combustibles, no tóxicos ni biodegradables.</w:t>
      </w:r>
    </w:p>
    <w:p w14:paraId="36A45E72" w14:textId="77777777" w:rsidR="00685F00" w:rsidRPr="00BA680E" w:rsidRDefault="00685F00" w:rsidP="00221E1A">
      <w:pPr>
        <w:pStyle w:val="NORMAL12"/>
        <w:numPr>
          <w:ilvl w:val="0"/>
          <w:numId w:val="149"/>
        </w:numPr>
        <w:rPr>
          <w:lang w:val="es-ES"/>
        </w:rPr>
      </w:pPr>
      <w:r w:rsidRPr="00BA680E">
        <w:rPr>
          <w:lang w:val="es-ES"/>
        </w:rPr>
        <w:t>Ser compatibles con otros productos que puedan reforzar o ampliar su campo de aplicación, para que satisfagan las exigencias más amplias posibles.</w:t>
      </w:r>
    </w:p>
    <w:p w14:paraId="5AC81B52" w14:textId="77777777" w:rsidR="00685F00" w:rsidRPr="00BA680E" w:rsidRDefault="00685F00" w:rsidP="00221E1A">
      <w:pPr>
        <w:pStyle w:val="NORMAL12"/>
        <w:numPr>
          <w:ilvl w:val="0"/>
          <w:numId w:val="149"/>
        </w:numPr>
        <w:rPr>
          <w:lang w:val="es-ES"/>
        </w:rPr>
      </w:pPr>
      <w:r w:rsidRPr="00BA680E">
        <w:rPr>
          <w:lang w:val="es-ES"/>
        </w:rPr>
        <w:t>Que permitan el uso de fertilizantes minerales, reduciendo así el peligro de reacciones alcalinas y favoreciendo la formación de humus.</w:t>
      </w:r>
    </w:p>
    <w:p w14:paraId="49CD05CF" w14:textId="77777777" w:rsidR="00685F00" w:rsidRPr="00BA680E" w:rsidRDefault="00685F00" w:rsidP="00221E1A">
      <w:pPr>
        <w:pStyle w:val="NORMAL12"/>
        <w:numPr>
          <w:ilvl w:val="0"/>
          <w:numId w:val="149"/>
        </w:numPr>
        <w:rPr>
          <w:lang w:val="es-ES"/>
        </w:rPr>
      </w:pPr>
      <w:r w:rsidRPr="00BA680E">
        <w:rPr>
          <w:lang w:val="es-ES"/>
        </w:rPr>
        <w:t>Resistentes a las heladas.</w:t>
      </w:r>
    </w:p>
    <w:p w14:paraId="5964BB0D" w14:textId="77777777" w:rsidR="00685F00" w:rsidRPr="00BA680E" w:rsidRDefault="00685F00" w:rsidP="00221E1A">
      <w:pPr>
        <w:pStyle w:val="NORMAL12"/>
        <w:numPr>
          <w:ilvl w:val="0"/>
          <w:numId w:val="149"/>
        </w:numPr>
        <w:rPr>
          <w:lang w:val="es-ES"/>
        </w:rPr>
      </w:pPr>
      <w:r w:rsidRPr="00BA680E">
        <w:rPr>
          <w:lang w:val="es-ES"/>
        </w:rPr>
        <w:t>Estabilidad de almacenamiento por un mínimo de seis meses.</w:t>
      </w:r>
    </w:p>
    <w:p w14:paraId="0868CE4C" w14:textId="77777777" w:rsidR="00685F00" w:rsidRPr="00BA680E" w:rsidRDefault="00685F00" w:rsidP="00221E1A">
      <w:pPr>
        <w:pStyle w:val="NORMAL12"/>
        <w:numPr>
          <w:ilvl w:val="0"/>
          <w:numId w:val="149"/>
        </w:numPr>
        <w:rPr>
          <w:lang w:val="es-ES"/>
        </w:rPr>
      </w:pPr>
      <w:r w:rsidRPr="00BA680E">
        <w:rPr>
          <w:lang w:val="es-ES"/>
        </w:rPr>
        <w:t>No producir inhibición a la germinación de las semillas a dosis usuales.</w:t>
      </w:r>
    </w:p>
    <w:p w14:paraId="37BEF4A7" w14:textId="77777777" w:rsidR="00685F00" w:rsidRPr="00BA680E" w:rsidRDefault="00685F00" w:rsidP="00685F00">
      <w:pPr>
        <w:pStyle w:val="NORMAL12"/>
        <w:rPr>
          <w:lang w:val="es-ES"/>
        </w:rPr>
      </w:pPr>
      <w:r w:rsidRPr="00BA680E">
        <w:rPr>
          <w:lang w:val="es-ES"/>
        </w:rPr>
        <w:t>Estar debidamente avalados en sus propiedades por ensayos estandarizados.</w:t>
      </w:r>
    </w:p>
    <w:p w14:paraId="33BC899A" w14:textId="77777777" w:rsidR="00685F00" w:rsidRDefault="00685F00" w:rsidP="00685F00">
      <w:pPr>
        <w:pStyle w:val="NORMAL12"/>
        <w:rPr>
          <w:lang w:val="es-ES"/>
        </w:rPr>
      </w:pPr>
      <w:r w:rsidRPr="00BA680E">
        <w:rPr>
          <w:lang w:val="es-ES"/>
        </w:rPr>
        <w:t>Sus características técnicas específicas serán las siguientes:</w:t>
      </w:r>
    </w:p>
    <w:tbl>
      <w:tblPr>
        <w:tblW w:w="7000" w:type="dxa"/>
        <w:jc w:val="center"/>
        <w:tblCellMar>
          <w:left w:w="70" w:type="dxa"/>
          <w:right w:w="70" w:type="dxa"/>
        </w:tblCellMar>
        <w:tblLook w:val="04A0" w:firstRow="1" w:lastRow="0" w:firstColumn="1" w:lastColumn="0" w:noHBand="0" w:noVBand="1"/>
      </w:tblPr>
      <w:tblGrid>
        <w:gridCol w:w="3120"/>
        <w:gridCol w:w="3880"/>
      </w:tblGrid>
      <w:tr w:rsidR="0024770C" w14:paraId="4FCCAFED" w14:textId="77777777" w:rsidTr="0024770C">
        <w:trPr>
          <w:trHeight w:val="300"/>
          <w:jc w:val="center"/>
        </w:trPr>
        <w:tc>
          <w:tcPr>
            <w:tcW w:w="3120" w:type="dxa"/>
            <w:tcBorders>
              <w:top w:val="single" w:sz="4" w:space="0" w:color="auto"/>
              <w:left w:val="single" w:sz="4" w:space="0" w:color="auto"/>
              <w:bottom w:val="single" w:sz="4" w:space="0" w:color="auto"/>
              <w:right w:val="single" w:sz="4" w:space="0" w:color="auto"/>
            </w:tcBorders>
            <w:noWrap/>
            <w:vAlign w:val="bottom"/>
            <w:hideMark/>
          </w:tcPr>
          <w:p w14:paraId="62F7B81A" w14:textId="77777777" w:rsidR="0024770C" w:rsidRPr="0024770C" w:rsidRDefault="0024770C">
            <w:pPr>
              <w:rPr>
                <w:rFonts w:ascii="Calibri" w:hAnsi="Calibri"/>
                <w:b/>
                <w:color w:val="000000"/>
                <w:sz w:val="22"/>
                <w:szCs w:val="22"/>
              </w:rPr>
            </w:pPr>
            <w:r w:rsidRPr="0024770C">
              <w:rPr>
                <w:rFonts w:ascii="Calibri" w:hAnsi="Calibri"/>
                <w:b/>
                <w:color w:val="000000"/>
                <w:sz w:val="22"/>
                <w:szCs w:val="22"/>
              </w:rPr>
              <w:t>Apariencia</w:t>
            </w:r>
          </w:p>
        </w:tc>
        <w:tc>
          <w:tcPr>
            <w:tcW w:w="3880" w:type="dxa"/>
            <w:tcBorders>
              <w:top w:val="single" w:sz="4" w:space="0" w:color="auto"/>
              <w:left w:val="nil"/>
              <w:bottom w:val="single" w:sz="4" w:space="0" w:color="auto"/>
              <w:right w:val="single" w:sz="4" w:space="0" w:color="auto"/>
            </w:tcBorders>
            <w:noWrap/>
            <w:vAlign w:val="bottom"/>
            <w:hideMark/>
          </w:tcPr>
          <w:p w14:paraId="545EB182" w14:textId="77777777" w:rsidR="0024770C" w:rsidRDefault="0024770C">
            <w:pPr>
              <w:rPr>
                <w:rFonts w:ascii="Calibri" w:hAnsi="Calibri"/>
                <w:color w:val="000000"/>
                <w:sz w:val="22"/>
                <w:szCs w:val="22"/>
              </w:rPr>
            </w:pPr>
            <w:r>
              <w:rPr>
                <w:rFonts w:ascii="Calibri" w:hAnsi="Calibri"/>
                <w:color w:val="000000"/>
                <w:sz w:val="22"/>
                <w:szCs w:val="22"/>
              </w:rPr>
              <w:t>Líquido, transparente, inodoro y viscoso</w:t>
            </w:r>
          </w:p>
        </w:tc>
      </w:tr>
      <w:tr w:rsidR="0024770C" w14:paraId="05F2A399" w14:textId="77777777" w:rsidTr="0024770C">
        <w:trPr>
          <w:trHeight w:val="300"/>
          <w:jc w:val="center"/>
        </w:trPr>
        <w:tc>
          <w:tcPr>
            <w:tcW w:w="3120" w:type="dxa"/>
            <w:tcBorders>
              <w:top w:val="nil"/>
              <w:left w:val="single" w:sz="4" w:space="0" w:color="auto"/>
              <w:bottom w:val="single" w:sz="4" w:space="0" w:color="auto"/>
              <w:right w:val="single" w:sz="4" w:space="0" w:color="auto"/>
            </w:tcBorders>
            <w:noWrap/>
            <w:vAlign w:val="bottom"/>
            <w:hideMark/>
          </w:tcPr>
          <w:p w14:paraId="7A85FFEB" w14:textId="77777777" w:rsidR="0024770C" w:rsidRPr="0024770C" w:rsidRDefault="0024770C">
            <w:pPr>
              <w:rPr>
                <w:rFonts w:ascii="Calibri" w:hAnsi="Calibri"/>
                <w:b/>
                <w:color w:val="000000"/>
                <w:sz w:val="22"/>
                <w:szCs w:val="22"/>
              </w:rPr>
            </w:pPr>
            <w:r w:rsidRPr="0024770C">
              <w:rPr>
                <w:rFonts w:ascii="Calibri" w:hAnsi="Calibri"/>
                <w:b/>
                <w:color w:val="000000"/>
                <w:sz w:val="22"/>
                <w:szCs w:val="22"/>
              </w:rPr>
              <w:t>Viscosidad</w:t>
            </w:r>
          </w:p>
        </w:tc>
        <w:tc>
          <w:tcPr>
            <w:tcW w:w="3880" w:type="dxa"/>
            <w:tcBorders>
              <w:top w:val="nil"/>
              <w:left w:val="nil"/>
              <w:bottom w:val="single" w:sz="4" w:space="0" w:color="auto"/>
              <w:right w:val="single" w:sz="4" w:space="0" w:color="auto"/>
            </w:tcBorders>
            <w:noWrap/>
            <w:vAlign w:val="bottom"/>
            <w:hideMark/>
          </w:tcPr>
          <w:p w14:paraId="01B7DF00" w14:textId="77777777" w:rsidR="0024770C" w:rsidRDefault="0024770C">
            <w:pPr>
              <w:rPr>
                <w:rFonts w:ascii="Calibri" w:hAnsi="Calibri"/>
                <w:color w:val="000000"/>
                <w:sz w:val="22"/>
                <w:szCs w:val="22"/>
              </w:rPr>
            </w:pPr>
            <w:r>
              <w:rPr>
                <w:rFonts w:ascii="Calibri" w:hAnsi="Calibri"/>
                <w:color w:val="000000"/>
                <w:sz w:val="22"/>
                <w:szCs w:val="22"/>
              </w:rPr>
              <w:t xml:space="preserve">± 5.000 </w:t>
            </w:r>
            <w:proofErr w:type="spellStart"/>
            <w:r>
              <w:rPr>
                <w:rFonts w:ascii="Calibri" w:hAnsi="Calibri"/>
                <w:color w:val="000000"/>
                <w:sz w:val="22"/>
                <w:szCs w:val="22"/>
              </w:rPr>
              <w:t>cps</w:t>
            </w:r>
            <w:proofErr w:type="spellEnd"/>
          </w:p>
        </w:tc>
      </w:tr>
      <w:tr w:rsidR="0024770C" w14:paraId="755B452B" w14:textId="77777777" w:rsidTr="0024770C">
        <w:trPr>
          <w:trHeight w:val="300"/>
          <w:jc w:val="center"/>
        </w:trPr>
        <w:tc>
          <w:tcPr>
            <w:tcW w:w="3120" w:type="dxa"/>
            <w:tcBorders>
              <w:top w:val="nil"/>
              <w:left w:val="single" w:sz="4" w:space="0" w:color="auto"/>
              <w:bottom w:val="single" w:sz="4" w:space="0" w:color="auto"/>
              <w:right w:val="single" w:sz="4" w:space="0" w:color="auto"/>
            </w:tcBorders>
            <w:noWrap/>
            <w:vAlign w:val="bottom"/>
            <w:hideMark/>
          </w:tcPr>
          <w:p w14:paraId="487AD896" w14:textId="77777777" w:rsidR="0024770C" w:rsidRPr="0024770C" w:rsidRDefault="0024770C">
            <w:pPr>
              <w:rPr>
                <w:rFonts w:ascii="Calibri" w:hAnsi="Calibri"/>
                <w:b/>
                <w:color w:val="000000"/>
                <w:sz w:val="22"/>
                <w:szCs w:val="22"/>
              </w:rPr>
            </w:pPr>
            <w:r w:rsidRPr="0024770C">
              <w:rPr>
                <w:rFonts w:ascii="Calibri" w:hAnsi="Calibri"/>
                <w:b/>
                <w:color w:val="000000"/>
                <w:sz w:val="22"/>
                <w:szCs w:val="22"/>
              </w:rPr>
              <w:t>pH</w:t>
            </w:r>
          </w:p>
        </w:tc>
        <w:tc>
          <w:tcPr>
            <w:tcW w:w="3880" w:type="dxa"/>
            <w:tcBorders>
              <w:top w:val="nil"/>
              <w:left w:val="nil"/>
              <w:bottom w:val="single" w:sz="4" w:space="0" w:color="auto"/>
              <w:right w:val="single" w:sz="4" w:space="0" w:color="auto"/>
            </w:tcBorders>
            <w:noWrap/>
            <w:vAlign w:val="bottom"/>
            <w:hideMark/>
          </w:tcPr>
          <w:p w14:paraId="2BD3BF36" w14:textId="77777777" w:rsidR="0024770C" w:rsidRDefault="0024770C">
            <w:pPr>
              <w:rPr>
                <w:rFonts w:ascii="Calibri" w:hAnsi="Calibri"/>
                <w:color w:val="000000"/>
                <w:sz w:val="22"/>
                <w:szCs w:val="22"/>
              </w:rPr>
            </w:pPr>
            <w:r>
              <w:rPr>
                <w:rFonts w:ascii="Calibri" w:hAnsi="Calibri"/>
                <w:color w:val="000000"/>
                <w:sz w:val="22"/>
                <w:szCs w:val="22"/>
              </w:rPr>
              <w:t>6,0 ± 1</w:t>
            </w:r>
          </w:p>
        </w:tc>
      </w:tr>
      <w:tr w:rsidR="0024770C" w14:paraId="72962042" w14:textId="77777777" w:rsidTr="0024770C">
        <w:trPr>
          <w:trHeight w:val="300"/>
          <w:jc w:val="center"/>
        </w:trPr>
        <w:tc>
          <w:tcPr>
            <w:tcW w:w="3120" w:type="dxa"/>
            <w:tcBorders>
              <w:top w:val="nil"/>
              <w:left w:val="single" w:sz="4" w:space="0" w:color="auto"/>
              <w:bottom w:val="single" w:sz="4" w:space="0" w:color="auto"/>
              <w:right w:val="single" w:sz="4" w:space="0" w:color="auto"/>
            </w:tcBorders>
            <w:noWrap/>
            <w:vAlign w:val="bottom"/>
            <w:hideMark/>
          </w:tcPr>
          <w:p w14:paraId="4979788F" w14:textId="77777777" w:rsidR="0024770C" w:rsidRPr="0024770C" w:rsidRDefault="0024770C">
            <w:pPr>
              <w:rPr>
                <w:rFonts w:ascii="Calibri" w:hAnsi="Calibri"/>
                <w:b/>
                <w:color w:val="000000"/>
                <w:sz w:val="22"/>
                <w:szCs w:val="22"/>
              </w:rPr>
            </w:pPr>
            <w:r w:rsidRPr="0024770C">
              <w:rPr>
                <w:rFonts w:ascii="Calibri" w:hAnsi="Calibri"/>
                <w:b/>
                <w:color w:val="000000"/>
                <w:sz w:val="22"/>
                <w:szCs w:val="22"/>
              </w:rPr>
              <w:t>Solubilidad</w:t>
            </w:r>
          </w:p>
        </w:tc>
        <w:tc>
          <w:tcPr>
            <w:tcW w:w="3880" w:type="dxa"/>
            <w:tcBorders>
              <w:top w:val="nil"/>
              <w:left w:val="nil"/>
              <w:bottom w:val="single" w:sz="4" w:space="0" w:color="auto"/>
              <w:right w:val="single" w:sz="4" w:space="0" w:color="auto"/>
            </w:tcBorders>
            <w:noWrap/>
            <w:vAlign w:val="bottom"/>
            <w:hideMark/>
          </w:tcPr>
          <w:p w14:paraId="5412DC31" w14:textId="77777777" w:rsidR="0024770C" w:rsidRDefault="0024770C">
            <w:pPr>
              <w:rPr>
                <w:rFonts w:ascii="Calibri" w:hAnsi="Calibri"/>
                <w:color w:val="000000"/>
                <w:sz w:val="22"/>
                <w:szCs w:val="22"/>
              </w:rPr>
            </w:pPr>
            <w:r>
              <w:rPr>
                <w:rFonts w:ascii="Calibri" w:hAnsi="Calibri"/>
                <w:color w:val="000000"/>
                <w:sz w:val="22"/>
                <w:szCs w:val="22"/>
              </w:rPr>
              <w:t>Soluble a cualquier clase de agua</w:t>
            </w:r>
          </w:p>
        </w:tc>
      </w:tr>
      <w:tr w:rsidR="0024770C" w14:paraId="6BE1C6C5" w14:textId="77777777" w:rsidTr="0024770C">
        <w:trPr>
          <w:trHeight w:val="300"/>
          <w:jc w:val="center"/>
        </w:trPr>
        <w:tc>
          <w:tcPr>
            <w:tcW w:w="3120" w:type="dxa"/>
            <w:tcBorders>
              <w:top w:val="nil"/>
              <w:left w:val="single" w:sz="4" w:space="0" w:color="auto"/>
              <w:bottom w:val="single" w:sz="4" w:space="0" w:color="auto"/>
              <w:right w:val="single" w:sz="4" w:space="0" w:color="auto"/>
            </w:tcBorders>
            <w:noWrap/>
            <w:vAlign w:val="bottom"/>
            <w:hideMark/>
          </w:tcPr>
          <w:p w14:paraId="046089BA" w14:textId="77777777" w:rsidR="0024770C" w:rsidRPr="0024770C" w:rsidRDefault="0024770C">
            <w:pPr>
              <w:rPr>
                <w:rFonts w:ascii="Calibri" w:hAnsi="Calibri"/>
                <w:b/>
                <w:color w:val="000000"/>
                <w:sz w:val="22"/>
                <w:szCs w:val="22"/>
              </w:rPr>
            </w:pPr>
            <w:r w:rsidRPr="0024770C">
              <w:rPr>
                <w:rFonts w:ascii="Calibri" w:hAnsi="Calibri"/>
                <w:b/>
                <w:color w:val="000000"/>
                <w:sz w:val="22"/>
                <w:szCs w:val="22"/>
              </w:rPr>
              <w:t>Toxicidad</w:t>
            </w:r>
          </w:p>
        </w:tc>
        <w:tc>
          <w:tcPr>
            <w:tcW w:w="3880" w:type="dxa"/>
            <w:tcBorders>
              <w:top w:val="nil"/>
              <w:left w:val="nil"/>
              <w:bottom w:val="single" w:sz="4" w:space="0" w:color="auto"/>
              <w:right w:val="single" w:sz="4" w:space="0" w:color="auto"/>
            </w:tcBorders>
            <w:noWrap/>
            <w:vAlign w:val="bottom"/>
            <w:hideMark/>
          </w:tcPr>
          <w:p w14:paraId="069060E4" w14:textId="77777777" w:rsidR="0024770C" w:rsidRDefault="0024770C">
            <w:pPr>
              <w:rPr>
                <w:rFonts w:ascii="Calibri" w:hAnsi="Calibri"/>
                <w:color w:val="000000"/>
                <w:sz w:val="22"/>
                <w:szCs w:val="22"/>
              </w:rPr>
            </w:pPr>
            <w:r>
              <w:rPr>
                <w:rFonts w:ascii="Calibri" w:hAnsi="Calibri"/>
                <w:color w:val="000000"/>
                <w:sz w:val="22"/>
                <w:szCs w:val="22"/>
              </w:rPr>
              <w:t>Ninguna</w:t>
            </w:r>
          </w:p>
        </w:tc>
      </w:tr>
      <w:tr w:rsidR="0024770C" w14:paraId="453F29E8" w14:textId="77777777" w:rsidTr="0024770C">
        <w:trPr>
          <w:trHeight w:val="300"/>
          <w:jc w:val="center"/>
        </w:trPr>
        <w:tc>
          <w:tcPr>
            <w:tcW w:w="3120" w:type="dxa"/>
            <w:tcBorders>
              <w:top w:val="nil"/>
              <w:left w:val="single" w:sz="4" w:space="0" w:color="auto"/>
              <w:bottom w:val="single" w:sz="4" w:space="0" w:color="auto"/>
              <w:right w:val="single" w:sz="4" w:space="0" w:color="auto"/>
            </w:tcBorders>
            <w:noWrap/>
            <w:vAlign w:val="bottom"/>
            <w:hideMark/>
          </w:tcPr>
          <w:p w14:paraId="4F935965" w14:textId="77777777" w:rsidR="0024770C" w:rsidRPr="0024770C" w:rsidRDefault="0024770C">
            <w:pPr>
              <w:rPr>
                <w:rFonts w:ascii="Calibri" w:hAnsi="Calibri"/>
                <w:b/>
                <w:color w:val="000000"/>
                <w:sz w:val="22"/>
                <w:szCs w:val="22"/>
              </w:rPr>
            </w:pPr>
            <w:r w:rsidRPr="0024770C">
              <w:rPr>
                <w:rFonts w:ascii="Calibri" w:hAnsi="Calibri"/>
                <w:b/>
                <w:color w:val="000000"/>
                <w:sz w:val="22"/>
                <w:szCs w:val="22"/>
              </w:rPr>
              <w:t>Carga eléctrica</w:t>
            </w:r>
          </w:p>
        </w:tc>
        <w:tc>
          <w:tcPr>
            <w:tcW w:w="3880" w:type="dxa"/>
            <w:tcBorders>
              <w:top w:val="nil"/>
              <w:left w:val="nil"/>
              <w:bottom w:val="single" w:sz="4" w:space="0" w:color="auto"/>
              <w:right w:val="single" w:sz="4" w:space="0" w:color="auto"/>
            </w:tcBorders>
            <w:noWrap/>
            <w:vAlign w:val="bottom"/>
            <w:hideMark/>
          </w:tcPr>
          <w:p w14:paraId="62D94BD6" w14:textId="77777777" w:rsidR="0024770C" w:rsidRDefault="0024770C">
            <w:pPr>
              <w:rPr>
                <w:rFonts w:ascii="Calibri" w:hAnsi="Calibri"/>
                <w:color w:val="000000"/>
                <w:sz w:val="22"/>
                <w:szCs w:val="22"/>
              </w:rPr>
            </w:pPr>
            <w:r>
              <w:rPr>
                <w:rFonts w:ascii="Calibri" w:hAnsi="Calibri"/>
                <w:color w:val="000000"/>
                <w:sz w:val="22"/>
                <w:szCs w:val="22"/>
              </w:rPr>
              <w:t>Anión</w:t>
            </w:r>
          </w:p>
        </w:tc>
      </w:tr>
      <w:tr w:rsidR="0024770C" w14:paraId="00CDA6B1" w14:textId="77777777" w:rsidTr="0024770C">
        <w:trPr>
          <w:trHeight w:val="300"/>
          <w:jc w:val="center"/>
        </w:trPr>
        <w:tc>
          <w:tcPr>
            <w:tcW w:w="3120" w:type="dxa"/>
            <w:tcBorders>
              <w:top w:val="nil"/>
              <w:left w:val="single" w:sz="4" w:space="0" w:color="auto"/>
              <w:bottom w:val="single" w:sz="4" w:space="0" w:color="auto"/>
              <w:right w:val="single" w:sz="4" w:space="0" w:color="auto"/>
            </w:tcBorders>
            <w:noWrap/>
            <w:vAlign w:val="bottom"/>
            <w:hideMark/>
          </w:tcPr>
          <w:p w14:paraId="233788F7" w14:textId="77777777" w:rsidR="0024770C" w:rsidRPr="0024770C" w:rsidRDefault="0024770C">
            <w:pPr>
              <w:rPr>
                <w:rFonts w:ascii="Calibri" w:hAnsi="Calibri"/>
                <w:b/>
                <w:color w:val="000000"/>
                <w:sz w:val="22"/>
                <w:szCs w:val="22"/>
              </w:rPr>
            </w:pPr>
            <w:proofErr w:type="gramStart"/>
            <w:r w:rsidRPr="0024770C">
              <w:rPr>
                <w:rFonts w:ascii="Calibri" w:hAnsi="Calibri"/>
                <w:b/>
                <w:color w:val="000000"/>
                <w:sz w:val="22"/>
                <w:szCs w:val="22"/>
              </w:rPr>
              <w:t>Cantidades a usar</w:t>
            </w:r>
            <w:proofErr w:type="gramEnd"/>
          </w:p>
        </w:tc>
        <w:tc>
          <w:tcPr>
            <w:tcW w:w="3880" w:type="dxa"/>
            <w:tcBorders>
              <w:top w:val="nil"/>
              <w:left w:val="nil"/>
              <w:bottom w:val="single" w:sz="4" w:space="0" w:color="auto"/>
              <w:right w:val="single" w:sz="4" w:space="0" w:color="auto"/>
            </w:tcBorders>
            <w:noWrap/>
            <w:vAlign w:val="bottom"/>
            <w:hideMark/>
          </w:tcPr>
          <w:p w14:paraId="248E43D9" w14:textId="77777777" w:rsidR="0024770C" w:rsidRDefault="0024770C">
            <w:pPr>
              <w:rPr>
                <w:rFonts w:ascii="Calibri" w:hAnsi="Calibri"/>
                <w:color w:val="000000"/>
                <w:sz w:val="22"/>
                <w:szCs w:val="22"/>
              </w:rPr>
            </w:pPr>
            <w:r>
              <w:rPr>
                <w:rFonts w:ascii="Calibri" w:hAnsi="Calibri"/>
                <w:color w:val="000000"/>
                <w:sz w:val="22"/>
                <w:szCs w:val="22"/>
              </w:rPr>
              <w:t>20- 40 g/m</w:t>
            </w:r>
            <w:r w:rsidRPr="0024770C">
              <w:rPr>
                <w:rFonts w:ascii="Calibri" w:hAnsi="Calibri"/>
                <w:color w:val="000000"/>
                <w:sz w:val="22"/>
                <w:szCs w:val="22"/>
                <w:vertAlign w:val="superscript"/>
              </w:rPr>
              <w:t>2</w:t>
            </w:r>
          </w:p>
        </w:tc>
      </w:tr>
    </w:tbl>
    <w:p w14:paraId="6C807305" w14:textId="77777777" w:rsidR="00685F00" w:rsidRPr="00E378C6" w:rsidRDefault="00685F00" w:rsidP="00685F00">
      <w:pPr>
        <w:rPr>
          <w:rFonts w:ascii="Arial" w:hAnsi="Arial" w:cs="Arial"/>
        </w:rPr>
      </w:pPr>
    </w:p>
    <w:p w14:paraId="16C972CB" w14:textId="77777777" w:rsidR="00685F00" w:rsidRPr="00BA680E" w:rsidRDefault="00685F00" w:rsidP="00685F00">
      <w:pPr>
        <w:pStyle w:val="NORMAL12"/>
        <w:rPr>
          <w:lang w:val="es-ES"/>
        </w:rPr>
      </w:pPr>
      <w:r w:rsidRPr="00BA680E">
        <w:rPr>
          <w:lang w:val="es-ES"/>
        </w:rPr>
        <w:t>Se utilizará incorporado a la mezcla de hidrosiembra.</w:t>
      </w:r>
    </w:p>
    <w:p w14:paraId="49458B05" w14:textId="77777777" w:rsidR="00685F00" w:rsidRPr="00BA680E" w:rsidRDefault="00685F00" w:rsidP="00685F00">
      <w:pPr>
        <w:pStyle w:val="NORMAL12"/>
        <w:rPr>
          <w:lang w:val="es-ES"/>
        </w:rPr>
      </w:pPr>
      <w:r w:rsidRPr="00BA680E">
        <w:rPr>
          <w:lang w:val="es-ES"/>
        </w:rPr>
        <w:t>Deberá utilizarse productos comercializados y se exigirá la documentación acreditativa pertinente por cada lote suministrado.</w:t>
      </w:r>
    </w:p>
    <w:p w14:paraId="0BF31E47" w14:textId="77777777" w:rsidR="00685F00" w:rsidRDefault="00685F00" w:rsidP="00685F00">
      <w:pPr>
        <w:pStyle w:val="NORMAL12"/>
        <w:rPr>
          <w:lang w:val="es-ES"/>
        </w:rPr>
      </w:pPr>
      <w:r w:rsidRPr="00BA680E">
        <w:rPr>
          <w:lang w:val="es-ES"/>
        </w:rPr>
        <w:t xml:space="preserve">Estas comprobaciones podrán repetirse a juicio del </w:t>
      </w:r>
      <w:proofErr w:type="gramStart"/>
      <w:r w:rsidRPr="00BA680E">
        <w:rPr>
          <w:lang w:val="es-ES"/>
        </w:rPr>
        <w:t>Director</w:t>
      </w:r>
      <w:proofErr w:type="gramEnd"/>
      <w:r w:rsidRPr="00BA680E">
        <w:rPr>
          <w:lang w:val="es-ES"/>
        </w:rPr>
        <w:t xml:space="preserve"> de la Obra, durante el almacenamiento del producto, siempre que exista una duda de que, bien por el tiempo de almacenaje bien por las condiciones </w:t>
      </w:r>
      <w:proofErr w:type="gramStart"/>
      <w:r w:rsidRPr="00BA680E">
        <w:rPr>
          <w:lang w:val="es-ES"/>
        </w:rPr>
        <w:t>del mismo</w:t>
      </w:r>
      <w:proofErr w:type="gramEnd"/>
      <w:r w:rsidRPr="00BA680E">
        <w:rPr>
          <w:lang w:val="es-ES"/>
        </w:rPr>
        <w:t xml:space="preserve">, se hayan podido producir variaciones </w:t>
      </w:r>
      <w:proofErr w:type="gramStart"/>
      <w:r w:rsidRPr="00BA680E">
        <w:rPr>
          <w:lang w:val="es-ES"/>
        </w:rPr>
        <w:t>en  las</w:t>
      </w:r>
      <w:proofErr w:type="gramEnd"/>
      <w:r w:rsidRPr="00BA680E">
        <w:rPr>
          <w:lang w:val="es-ES"/>
        </w:rPr>
        <w:t xml:space="preserve"> características.</w:t>
      </w:r>
    </w:p>
    <w:p w14:paraId="08DD4D02" w14:textId="77777777" w:rsidR="00F476CB" w:rsidRPr="00BA680E" w:rsidRDefault="00F476CB" w:rsidP="00685F00">
      <w:pPr>
        <w:pStyle w:val="NORMAL12"/>
        <w:rPr>
          <w:lang w:val="es-ES"/>
        </w:rPr>
      </w:pPr>
    </w:p>
    <w:p w14:paraId="2CDFF695" w14:textId="77777777" w:rsidR="007E3623" w:rsidRPr="007E3623" w:rsidRDefault="007E3623" w:rsidP="007E3623">
      <w:pPr>
        <w:pStyle w:val="TITU3"/>
        <w:numPr>
          <w:ilvl w:val="0"/>
          <w:numId w:val="0"/>
        </w:numPr>
      </w:pPr>
      <w:r>
        <w:lastRenderedPageBreak/>
        <w:t>955.2.4. Agua</w:t>
      </w:r>
    </w:p>
    <w:p w14:paraId="27037617" w14:textId="77777777" w:rsidR="00685F00" w:rsidRPr="00BA680E" w:rsidRDefault="00685F00" w:rsidP="00685F00">
      <w:pPr>
        <w:pStyle w:val="NORMAL12"/>
        <w:rPr>
          <w:lang w:val="es-ES"/>
        </w:rPr>
      </w:pPr>
      <w:r w:rsidRPr="00BA680E">
        <w:rPr>
          <w:lang w:val="es-ES"/>
        </w:rPr>
        <w:t>El agua utilizada en los riegos cumplirá las siguientes especificaciones.</w:t>
      </w:r>
    </w:p>
    <w:p w14:paraId="4AD62087" w14:textId="77777777" w:rsidR="00685F00" w:rsidRPr="00BA680E" w:rsidRDefault="00685F00" w:rsidP="00221E1A">
      <w:pPr>
        <w:pStyle w:val="NORMAL12"/>
        <w:numPr>
          <w:ilvl w:val="0"/>
          <w:numId w:val="150"/>
        </w:numPr>
        <w:rPr>
          <w:lang w:val="es-ES"/>
        </w:rPr>
      </w:pPr>
      <w:r w:rsidRPr="00BA680E">
        <w:rPr>
          <w:lang w:val="es-ES"/>
        </w:rPr>
        <w:t>pH comprendido entre 6 y 8 unidades</w:t>
      </w:r>
    </w:p>
    <w:p w14:paraId="13AAC286" w14:textId="77777777" w:rsidR="00685F00" w:rsidRPr="00BA680E" w:rsidRDefault="00685F00" w:rsidP="00221E1A">
      <w:pPr>
        <w:pStyle w:val="NORMAL12"/>
        <w:numPr>
          <w:ilvl w:val="0"/>
          <w:numId w:val="150"/>
        </w:numPr>
        <w:rPr>
          <w:lang w:val="es-ES"/>
        </w:rPr>
      </w:pPr>
      <w:r w:rsidRPr="00BA680E">
        <w:rPr>
          <w:lang w:val="es-ES"/>
        </w:rPr>
        <w:t xml:space="preserve">Conductividad eléctrica a 25 </w:t>
      </w:r>
      <w:proofErr w:type="spellStart"/>
      <w:r w:rsidRPr="00BA680E">
        <w:rPr>
          <w:lang w:val="es-ES"/>
        </w:rPr>
        <w:t>ºC</w:t>
      </w:r>
      <w:proofErr w:type="spellEnd"/>
      <w:r w:rsidRPr="00BA680E">
        <w:rPr>
          <w:lang w:val="es-ES"/>
        </w:rPr>
        <w:t xml:space="preserve">, inferior a 2000 </w:t>
      </w:r>
      <w:proofErr w:type="spellStart"/>
      <w:r w:rsidRPr="00BA680E">
        <w:rPr>
          <w:lang w:val="es-ES"/>
        </w:rPr>
        <w:t>μS</w:t>
      </w:r>
      <w:proofErr w:type="spellEnd"/>
      <w:r w:rsidRPr="00BA680E">
        <w:rPr>
          <w:lang w:val="es-ES"/>
        </w:rPr>
        <w:t>/cm</w:t>
      </w:r>
    </w:p>
    <w:p w14:paraId="18F53C3D" w14:textId="77777777" w:rsidR="00685F00" w:rsidRPr="00BA680E" w:rsidRDefault="00685F00" w:rsidP="00221E1A">
      <w:pPr>
        <w:pStyle w:val="NORMAL12"/>
        <w:numPr>
          <w:ilvl w:val="0"/>
          <w:numId w:val="150"/>
        </w:numPr>
        <w:rPr>
          <w:lang w:val="es-ES"/>
        </w:rPr>
      </w:pPr>
      <w:r w:rsidRPr="00BA680E">
        <w:rPr>
          <w:lang w:val="es-ES"/>
        </w:rPr>
        <w:t>Contenido en sales inferior a 1g/l</w:t>
      </w:r>
    </w:p>
    <w:p w14:paraId="1314B46C" w14:textId="77777777" w:rsidR="00685F00" w:rsidRPr="00BA680E" w:rsidRDefault="00685F00" w:rsidP="00221E1A">
      <w:pPr>
        <w:pStyle w:val="NORMAL12"/>
        <w:numPr>
          <w:ilvl w:val="0"/>
          <w:numId w:val="150"/>
        </w:numPr>
        <w:rPr>
          <w:lang w:val="es-ES"/>
        </w:rPr>
      </w:pPr>
      <w:r w:rsidRPr="00BA680E">
        <w:rPr>
          <w:lang w:val="es-ES"/>
        </w:rPr>
        <w:t>Contenido en sulfatos inferior a 0,9 g/l</w:t>
      </w:r>
    </w:p>
    <w:p w14:paraId="1C5A58EC" w14:textId="77777777" w:rsidR="00685F00" w:rsidRPr="00BA680E" w:rsidRDefault="00685F00" w:rsidP="00221E1A">
      <w:pPr>
        <w:pStyle w:val="NORMAL12"/>
        <w:numPr>
          <w:ilvl w:val="0"/>
          <w:numId w:val="150"/>
        </w:numPr>
        <w:rPr>
          <w:lang w:val="es-ES"/>
        </w:rPr>
      </w:pPr>
      <w:r w:rsidRPr="00BA680E">
        <w:rPr>
          <w:lang w:val="es-ES"/>
        </w:rPr>
        <w:t>Contenido en cloruros inferior a 0,29 g/l</w:t>
      </w:r>
    </w:p>
    <w:p w14:paraId="5112065D" w14:textId="77777777" w:rsidR="00685F00" w:rsidRPr="00BA680E" w:rsidRDefault="00685F00" w:rsidP="00221E1A">
      <w:pPr>
        <w:pStyle w:val="NORMAL12"/>
        <w:numPr>
          <w:ilvl w:val="0"/>
          <w:numId w:val="150"/>
        </w:numPr>
        <w:rPr>
          <w:lang w:val="es-ES"/>
        </w:rPr>
      </w:pPr>
      <w:r w:rsidRPr="00BA680E">
        <w:rPr>
          <w:lang w:val="es-ES"/>
        </w:rPr>
        <w:t>Contenido en boro no superior a 2 mg/l</w:t>
      </w:r>
    </w:p>
    <w:p w14:paraId="3B8AF334" w14:textId="77777777" w:rsidR="00685F00" w:rsidRPr="00BA680E" w:rsidRDefault="00685F00" w:rsidP="00221E1A">
      <w:pPr>
        <w:pStyle w:val="NORMAL12"/>
        <w:numPr>
          <w:ilvl w:val="0"/>
          <w:numId w:val="150"/>
        </w:numPr>
        <w:rPr>
          <w:lang w:val="es-ES"/>
        </w:rPr>
      </w:pPr>
      <w:r w:rsidRPr="00BA680E">
        <w:rPr>
          <w:lang w:val="es-ES"/>
        </w:rPr>
        <w:t xml:space="preserve">Limite en la concentración de E. </w:t>
      </w:r>
      <w:proofErr w:type="spellStart"/>
      <w:r w:rsidRPr="00BA680E">
        <w:rPr>
          <w:lang w:val="es-ES"/>
        </w:rPr>
        <w:t>Coli</w:t>
      </w:r>
      <w:proofErr w:type="spellEnd"/>
      <w:r w:rsidRPr="00BA680E">
        <w:rPr>
          <w:lang w:val="es-ES"/>
        </w:rPr>
        <w:t xml:space="preserve"> 10 UFC/cm</w:t>
      </w:r>
      <w:r w:rsidRPr="00241CBC">
        <w:rPr>
          <w:vertAlign w:val="superscript"/>
          <w:lang w:val="es-ES"/>
        </w:rPr>
        <w:t>3</w:t>
      </w:r>
    </w:p>
    <w:p w14:paraId="5CA0EE6D" w14:textId="77777777" w:rsidR="00685F00" w:rsidRPr="00E378C6" w:rsidRDefault="00685F00" w:rsidP="000313DD">
      <w:pPr>
        <w:pStyle w:val="TITU2"/>
      </w:pPr>
      <w:bookmarkStart w:id="1646" w:name="_Toc529870968"/>
      <w:bookmarkStart w:id="1647" w:name="_Toc404809"/>
      <w:bookmarkStart w:id="1648" w:name="_Toc529870966"/>
      <w:r>
        <w:t>9</w:t>
      </w:r>
      <w:r w:rsidR="00C71359">
        <w:t>55</w:t>
      </w:r>
      <w:r>
        <w:t xml:space="preserve">.3. </w:t>
      </w:r>
      <w:r w:rsidRPr="00E378C6">
        <w:t>Recepción de las obras</w:t>
      </w:r>
      <w:bookmarkEnd w:id="1646"/>
      <w:bookmarkEnd w:id="1647"/>
    </w:p>
    <w:p w14:paraId="24E7B1F4" w14:textId="77777777" w:rsidR="00685F00" w:rsidRPr="00BA680E" w:rsidRDefault="00685F00" w:rsidP="00685F00">
      <w:pPr>
        <w:pStyle w:val="NORMAL12"/>
        <w:rPr>
          <w:lang w:val="es-ES"/>
        </w:rPr>
      </w:pPr>
      <w:r w:rsidRPr="00BA680E">
        <w:rPr>
          <w:lang w:val="es-ES"/>
        </w:rPr>
        <w:t xml:space="preserve">El contratista se compromete a resembrar aquellas zonas donde el porcentaje de la superficie de zonas desnudas </w:t>
      </w:r>
      <w:proofErr w:type="gramStart"/>
      <w:r w:rsidRPr="00BA680E">
        <w:rPr>
          <w:lang w:val="es-ES"/>
        </w:rPr>
        <w:t>en relación a</w:t>
      </w:r>
      <w:proofErr w:type="gramEnd"/>
      <w:r w:rsidRPr="00BA680E">
        <w:rPr>
          <w:lang w:val="es-ES"/>
        </w:rPr>
        <w:t xml:space="preserve"> la superficie total de siembra sea superior al 3% y, en todo caso, cualquier superficie unitaria sin vegetación superior a 3 m². El muestreo se realizará sobre parcelas de un metro de ancho y de toda la altura del talud.</w:t>
      </w:r>
    </w:p>
    <w:p w14:paraId="67A295C3" w14:textId="77777777" w:rsidR="00685F00" w:rsidRPr="00E378C6" w:rsidRDefault="00685F00" w:rsidP="000313DD">
      <w:pPr>
        <w:pStyle w:val="TITU2"/>
      </w:pPr>
      <w:bookmarkStart w:id="1649" w:name="_Toc404810"/>
      <w:r>
        <w:t>9</w:t>
      </w:r>
      <w:r w:rsidR="00C71359">
        <w:t>55</w:t>
      </w:r>
      <w:r>
        <w:t xml:space="preserve">.4. </w:t>
      </w:r>
      <w:r w:rsidRPr="00E378C6">
        <w:t>Control</w:t>
      </w:r>
      <w:bookmarkEnd w:id="1648"/>
      <w:r>
        <w:t xml:space="preserve"> de calidad</w:t>
      </w:r>
      <w:bookmarkEnd w:id="1649"/>
    </w:p>
    <w:p w14:paraId="6358358D" w14:textId="77777777" w:rsidR="00685F00" w:rsidRPr="00BA680E" w:rsidRDefault="00685F00" w:rsidP="00685F00">
      <w:pPr>
        <w:pStyle w:val="NORMAL12"/>
        <w:rPr>
          <w:lang w:val="es-ES"/>
        </w:rPr>
      </w:pPr>
      <w:r w:rsidRPr="00BA680E">
        <w:rPr>
          <w:lang w:val="es-ES"/>
        </w:rPr>
        <w:t xml:space="preserve">El </w:t>
      </w:r>
      <w:proofErr w:type="gramStart"/>
      <w:r w:rsidRPr="00BA680E">
        <w:rPr>
          <w:lang w:val="es-ES"/>
        </w:rPr>
        <w:t>Director</w:t>
      </w:r>
      <w:proofErr w:type="gramEnd"/>
      <w:r w:rsidRPr="00BA680E">
        <w:rPr>
          <w:lang w:val="es-ES"/>
        </w:rPr>
        <w:t xml:space="preserve"> de Obra comprobará que la ejecución de esta unidad se ha realizado </w:t>
      </w:r>
      <w:proofErr w:type="gramStart"/>
      <w:r w:rsidRPr="00BA680E">
        <w:rPr>
          <w:lang w:val="es-ES"/>
        </w:rPr>
        <w:t>de acuerdo a</w:t>
      </w:r>
      <w:proofErr w:type="gramEnd"/>
      <w:r w:rsidRPr="00BA680E">
        <w:rPr>
          <w:lang w:val="es-ES"/>
        </w:rPr>
        <w:t xml:space="preserve"> las características y prescripciones establecidas en los apartados anteriores, así como a las indicaciones dadas por la Dirección de Obra respecto al momento adecuado para la realización de las diferentes tareas.</w:t>
      </w:r>
    </w:p>
    <w:p w14:paraId="4A0B48A6" w14:textId="77777777" w:rsidR="00685F00" w:rsidRPr="00E378C6" w:rsidRDefault="004E38CE" w:rsidP="000313DD">
      <w:pPr>
        <w:pStyle w:val="TITU2"/>
      </w:pPr>
      <w:bookmarkStart w:id="1650" w:name="_Toc529870967"/>
      <w:r>
        <w:br w:type="column"/>
      </w:r>
      <w:bookmarkStart w:id="1651" w:name="_Toc404811"/>
      <w:r w:rsidR="00685F00">
        <w:t>9</w:t>
      </w:r>
      <w:r w:rsidR="00C71359">
        <w:t>55</w:t>
      </w:r>
      <w:r w:rsidR="00685F00">
        <w:t xml:space="preserve">.5. </w:t>
      </w:r>
      <w:r w:rsidR="00685F00" w:rsidRPr="00E378C6">
        <w:t>Medición y abono</w:t>
      </w:r>
      <w:bookmarkEnd w:id="1650"/>
      <w:bookmarkEnd w:id="1651"/>
    </w:p>
    <w:p w14:paraId="2DEEEDC2" w14:textId="77777777" w:rsidR="00685F00" w:rsidRDefault="00685F00" w:rsidP="00685F00">
      <w:pPr>
        <w:pStyle w:val="NORMAL12"/>
        <w:rPr>
          <w:lang w:val="es-ES"/>
        </w:rPr>
      </w:pPr>
      <w:r w:rsidRPr="00BA680E">
        <w:rPr>
          <w:lang w:val="es-ES"/>
        </w:rPr>
        <w:t xml:space="preserve">La </w:t>
      </w:r>
      <w:r>
        <w:rPr>
          <w:lang w:val="es-ES"/>
        </w:rPr>
        <w:t xml:space="preserve">medición y abono de la unidad de </w:t>
      </w:r>
      <w:r w:rsidR="00D93E76">
        <w:rPr>
          <w:lang w:val="es-ES"/>
        </w:rPr>
        <w:t>hidrosiembra</w:t>
      </w:r>
      <w:r>
        <w:rPr>
          <w:lang w:val="es-ES"/>
        </w:rPr>
        <w:t xml:space="preserve"> y riego se superficie se realizará según los criterios siguientes: </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685F00" w:rsidRPr="00887BEE" w14:paraId="7C381DC0" w14:textId="77777777" w:rsidTr="00E8224C">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42240311" w14:textId="77777777" w:rsidR="00685F00" w:rsidRPr="00B82851" w:rsidRDefault="00685F00" w:rsidP="00E8224C">
            <w:pPr>
              <w:pStyle w:val="Tabla"/>
              <w:jc w:val="left"/>
              <w:rPr>
                <w:b/>
              </w:rPr>
            </w:pPr>
            <w:r w:rsidRPr="00B82851">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7A9689F9" w14:textId="77777777" w:rsidR="00685F00" w:rsidRPr="00B82851" w:rsidRDefault="00685F00" w:rsidP="00E8224C">
            <w:pPr>
              <w:pStyle w:val="LCATabla"/>
              <w:keepLines/>
              <w:rPr>
                <w:rFonts w:ascii="Arial" w:hAnsi="Arial" w:cs="Arial"/>
                <w:sz w:val="20"/>
              </w:rPr>
            </w:pPr>
            <w:r>
              <w:rPr>
                <w:rFonts w:ascii="Arial" w:hAnsi="Arial" w:cs="Arial"/>
                <w:sz w:val="20"/>
              </w:rPr>
              <w:t>M</w:t>
            </w:r>
            <w:r w:rsidRPr="00B82851">
              <w:rPr>
                <w:rFonts w:ascii="Arial" w:hAnsi="Arial" w:cs="Arial"/>
                <w:sz w:val="20"/>
              </w:rPr>
              <w:t>etro c</w:t>
            </w:r>
            <w:r>
              <w:rPr>
                <w:rFonts w:ascii="Arial" w:hAnsi="Arial" w:cs="Arial"/>
                <w:sz w:val="20"/>
              </w:rPr>
              <w:t>uadrado</w:t>
            </w:r>
            <w:r w:rsidRPr="00B82851">
              <w:rPr>
                <w:rFonts w:ascii="Arial" w:hAnsi="Arial" w:cs="Arial"/>
                <w:sz w:val="20"/>
              </w:rPr>
              <w:t xml:space="preserve"> (m</w:t>
            </w:r>
            <w:r>
              <w:rPr>
                <w:rFonts w:ascii="Arial" w:hAnsi="Arial" w:cs="Arial"/>
                <w:sz w:val="20"/>
                <w:vertAlign w:val="superscript"/>
              </w:rPr>
              <w:t>2</w:t>
            </w:r>
            <w:r>
              <w:rPr>
                <w:rFonts w:ascii="Arial" w:hAnsi="Arial" w:cs="Arial"/>
                <w:sz w:val="20"/>
              </w:rPr>
              <w:t>)</w:t>
            </w:r>
          </w:p>
        </w:tc>
      </w:tr>
      <w:tr w:rsidR="00685F00" w:rsidRPr="00887BEE" w14:paraId="2CF7CF90" w14:textId="77777777" w:rsidTr="00E8224C">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0FDA382D" w14:textId="77777777" w:rsidR="00685F00" w:rsidRPr="00B82851" w:rsidRDefault="00685F00" w:rsidP="00E8224C">
            <w:pPr>
              <w:pStyle w:val="Tabla"/>
              <w:jc w:val="left"/>
              <w:rPr>
                <w:b/>
              </w:rPr>
            </w:pPr>
            <w:r w:rsidRPr="00B82851">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41A9DFB4" w14:textId="77777777" w:rsidR="00685F00" w:rsidRPr="00B82851" w:rsidRDefault="00685F00" w:rsidP="00E8224C">
            <w:pPr>
              <w:pStyle w:val="LCATabla"/>
              <w:keepLines/>
              <w:rPr>
                <w:rFonts w:ascii="Arial" w:hAnsi="Arial" w:cs="Arial"/>
                <w:sz w:val="20"/>
              </w:rPr>
            </w:pPr>
            <w:r w:rsidRPr="00B82851">
              <w:rPr>
                <w:rFonts w:ascii="Arial" w:hAnsi="Arial" w:cs="Arial"/>
                <w:sz w:val="20"/>
              </w:rPr>
              <w:t>Dos decimales.</w:t>
            </w:r>
          </w:p>
        </w:tc>
      </w:tr>
      <w:tr w:rsidR="00685F00" w:rsidRPr="00887BEE" w14:paraId="077BA0B6" w14:textId="77777777" w:rsidTr="00E8224C">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39E2929E" w14:textId="77777777" w:rsidR="00685F00" w:rsidRPr="00B82851" w:rsidRDefault="00685F00" w:rsidP="00E8224C">
            <w:pPr>
              <w:pStyle w:val="Tabla"/>
              <w:jc w:val="left"/>
              <w:rPr>
                <w:b/>
              </w:rPr>
            </w:pPr>
            <w:r w:rsidRPr="00B82851">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441F7FEE" w14:textId="77777777" w:rsidR="00685F00" w:rsidRPr="00B82851" w:rsidRDefault="00685F00" w:rsidP="00E8224C">
            <w:pPr>
              <w:pStyle w:val="LCATabla"/>
              <w:keepLines/>
              <w:rPr>
                <w:rFonts w:ascii="Arial" w:hAnsi="Arial" w:cs="Arial"/>
                <w:sz w:val="20"/>
              </w:rPr>
            </w:pPr>
            <w:r>
              <w:rPr>
                <w:rFonts w:ascii="Arial" w:hAnsi="Arial" w:cs="Arial"/>
                <w:sz w:val="20"/>
              </w:rPr>
              <w:t xml:space="preserve">Superficie sobre la que se ejecuta la unidad. </w:t>
            </w:r>
            <w:r w:rsidRPr="00B82851">
              <w:rPr>
                <w:rFonts w:ascii="Arial" w:hAnsi="Arial" w:cs="Arial"/>
                <w:sz w:val="20"/>
              </w:rPr>
              <w:t xml:space="preserve"> </w:t>
            </w:r>
          </w:p>
        </w:tc>
      </w:tr>
      <w:tr w:rsidR="00685F00" w:rsidRPr="00887BEE" w14:paraId="74871642" w14:textId="77777777" w:rsidTr="00E8224C">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2CD11207" w14:textId="77777777" w:rsidR="00685F00" w:rsidRPr="00B82851" w:rsidRDefault="00685F00" w:rsidP="00E8224C">
            <w:pPr>
              <w:pStyle w:val="Tabla"/>
              <w:jc w:val="left"/>
              <w:rPr>
                <w:b/>
              </w:rPr>
            </w:pPr>
            <w:r w:rsidRPr="00B82851">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6BAD5AF3" w14:textId="77777777" w:rsidR="00685F00" w:rsidRPr="00B82851" w:rsidRDefault="00685F00" w:rsidP="00E8224C">
            <w:pPr>
              <w:pStyle w:val="LCATabla"/>
              <w:keepLines/>
              <w:rPr>
                <w:rFonts w:ascii="Arial" w:hAnsi="Arial" w:cs="Arial"/>
                <w:sz w:val="20"/>
              </w:rPr>
            </w:pPr>
            <w:r w:rsidRPr="00B82851">
              <w:rPr>
                <w:rFonts w:ascii="Arial" w:hAnsi="Arial" w:cs="Arial"/>
                <w:sz w:val="20"/>
              </w:rPr>
              <w:t>Se efectuará cuando se realice la aceptación</w:t>
            </w:r>
          </w:p>
        </w:tc>
      </w:tr>
      <w:tr w:rsidR="00685F00" w:rsidRPr="00636667" w14:paraId="56B6C11E" w14:textId="77777777" w:rsidTr="00E8224C">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7D6DD716" w14:textId="77777777" w:rsidR="00685F00" w:rsidRPr="00B82851" w:rsidRDefault="00685F00" w:rsidP="00E8224C">
            <w:pPr>
              <w:pStyle w:val="Tabla"/>
              <w:jc w:val="left"/>
              <w:rPr>
                <w:b/>
              </w:rPr>
            </w:pPr>
            <w:r w:rsidRPr="00B82851">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79E16398" w14:textId="77777777" w:rsidR="00685F00" w:rsidRPr="00B82851" w:rsidRDefault="00685F00" w:rsidP="00E8224C">
            <w:pPr>
              <w:pStyle w:val="LCATabla"/>
              <w:keepLines/>
              <w:rPr>
                <w:rFonts w:ascii="Arial" w:hAnsi="Arial" w:cs="Arial"/>
                <w:sz w:val="20"/>
              </w:rPr>
            </w:pPr>
            <w:r w:rsidRPr="00B82851">
              <w:rPr>
                <w:rFonts w:ascii="Arial" w:hAnsi="Arial" w:cs="Arial"/>
                <w:sz w:val="20"/>
              </w:rPr>
              <w:t xml:space="preserve">El precio de la unidad incluye todos los </w:t>
            </w:r>
            <w:r>
              <w:rPr>
                <w:rFonts w:ascii="Arial" w:hAnsi="Arial" w:cs="Arial"/>
                <w:sz w:val="20"/>
              </w:rPr>
              <w:t xml:space="preserve">materiales y medios necesarios para la correcta ejecución de la unidad. </w:t>
            </w:r>
          </w:p>
        </w:tc>
      </w:tr>
    </w:tbl>
    <w:p w14:paraId="3C1B8253" w14:textId="77777777" w:rsidR="00685F00" w:rsidRPr="00BA680E" w:rsidRDefault="00685F00" w:rsidP="00685F00">
      <w:pPr>
        <w:pStyle w:val="NORMAL12"/>
        <w:rPr>
          <w:lang w:val="es-ES"/>
        </w:rPr>
      </w:pPr>
    </w:p>
    <w:p w14:paraId="06638F9C" w14:textId="77777777" w:rsidR="00C71359" w:rsidRPr="002E7C4B" w:rsidRDefault="00C71359" w:rsidP="00C71359">
      <w:pPr>
        <w:pStyle w:val="TITU1"/>
      </w:pPr>
      <w:bookmarkStart w:id="1652" w:name="_Toc404812"/>
      <w:r w:rsidRPr="002E7C4B">
        <w:lastRenderedPageBreak/>
        <w:t>Artículo 95</w:t>
      </w:r>
      <w:r w:rsidR="002E7C4B" w:rsidRPr="002E7C4B">
        <w:t>6</w:t>
      </w:r>
      <w:r w:rsidRPr="002E7C4B">
        <w:t xml:space="preserve">. </w:t>
      </w:r>
      <w:r w:rsidR="002E7C4B">
        <w:t>Trabajos arqueológicos</w:t>
      </w:r>
      <w:bookmarkEnd w:id="1652"/>
    </w:p>
    <w:p w14:paraId="348904E7" w14:textId="77777777" w:rsidR="00C71359" w:rsidRPr="002E7C4B" w:rsidRDefault="00C71359" w:rsidP="000313DD">
      <w:pPr>
        <w:pStyle w:val="TITU2"/>
      </w:pPr>
      <w:bookmarkStart w:id="1653" w:name="_Toc404813"/>
      <w:r w:rsidRPr="002E7C4B">
        <w:t>95</w:t>
      </w:r>
      <w:r w:rsidR="002E7C4B" w:rsidRPr="002E7C4B">
        <w:t>6</w:t>
      </w:r>
      <w:r w:rsidRPr="002E7C4B">
        <w:t>.1. Definición y aplicación</w:t>
      </w:r>
      <w:bookmarkEnd w:id="1653"/>
    </w:p>
    <w:p w14:paraId="078DD25C" w14:textId="77777777" w:rsidR="00C71359" w:rsidRPr="00C71359" w:rsidRDefault="00C71359" w:rsidP="00C71359">
      <w:pPr>
        <w:pStyle w:val="NORMAL12"/>
        <w:rPr>
          <w:lang w:val="es-ES"/>
        </w:rPr>
      </w:pPr>
      <w:r w:rsidRPr="00C71359">
        <w:rPr>
          <w:lang w:val="es-ES"/>
        </w:rPr>
        <w:t xml:space="preserve">Las prescripciones de este artículo </w:t>
      </w:r>
      <w:proofErr w:type="gramStart"/>
      <w:r w:rsidRPr="00C71359">
        <w:rPr>
          <w:lang w:val="es-ES"/>
        </w:rPr>
        <w:t>son de aplicación</w:t>
      </w:r>
      <w:proofErr w:type="gramEnd"/>
      <w:r w:rsidRPr="00C71359">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207"/>
        <w:gridCol w:w="714"/>
        <w:gridCol w:w="7999"/>
      </w:tblGrid>
      <w:tr w:rsidR="00C71359" w:rsidRPr="00C71359" w14:paraId="35531653" w14:textId="77777777" w:rsidTr="002E7C4B">
        <w:trPr>
          <w:trHeight w:val="419"/>
        </w:trPr>
        <w:tc>
          <w:tcPr>
            <w:tcW w:w="608" w:type="pct"/>
            <w:noWrap/>
          </w:tcPr>
          <w:p w14:paraId="66CBCEFD" w14:textId="77777777" w:rsidR="00C71359" w:rsidRPr="00F476CB" w:rsidRDefault="00C71359" w:rsidP="001B51D9">
            <w:pPr>
              <w:rPr>
                <w:rFonts w:ascii="Calibri" w:hAnsi="Calibri" w:cs="Calibri"/>
              </w:rPr>
            </w:pPr>
            <w:r w:rsidRPr="00F476CB">
              <w:rPr>
                <w:rFonts w:ascii="Calibri" w:hAnsi="Calibri" w:cs="Calibri"/>
              </w:rPr>
              <w:t xml:space="preserve">801.3001N         </w:t>
            </w:r>
          </w:p>
        </w:tc>
        <w:tc>
          <w:tcPr>
            <w:tcW w:w="360" w:type="pct"/>
            <w:noWrap/>
          </w:tcPr>
          <w:p w14:paraId="33D0A943" w14:textId="77777777" w:rsidR="00C71359" w:rsidRPr="00F476CB" w:rsidRDefault="00C71359" w:rsidP="001B51D9">
            <w:pPr>
              <w:rPr>
                <w:rFonts w:ascii="Calibri" w:hAnsi="Calibri" w:cs="Calibri"/>
              </w:rPr>
            </w:pPr>
            <w:proofErr w:type="spellStart"/>
            <w:r w:rsidRPr="00F476CB">
              <w:rPr>
                <w:rFonts w:ascii="Calibri" w:hAnsi="Calibri" w:cs="Calibri"/>
              </w:rPr>
              <w:t>ud</w:t>
            </w:r>
            <w:proofErr w:type="spellEnd"/>
          </w:p>
        </w:tc>
        <w:tc>
          <w:tcPr>
            <w:tcW w:w="4032" w:type="pct"/>
          </w:tcPr>
          <w:p w14:paraId="66FA31A6" w14:textId="77777777" w:rsidR="00C71359" w:rsidRPr="00F476CB" w:rsidRDefault="00C71359" w:rsidP="001B51D9">
            <w:pPr>
              <w:rPr>
                <w:rFonts w:ascii="Calibri" w:hAnsi="Calibri" w:cs="Calibri"/>
              </w:rPr>
            </w:pPr>
            <w:r w:rsidRPr="00F476CB">
              <w:rPr>
                <w:rFonts w:ascii="Calibri" w:hAnsi="Calibri" w:cs="Calibri"/>
              </w:rPr>
              <w:t>ELABORACIÓN DE PROYECTO DE ACTUACIÓN ARQUEOLÓGICA Y SOLICITUD DE AUTORIZACIÓN A PRESENTAR ANTE LA DIRECCIÓN GENERAL DE PATRIMONIO CULTURAL DEL PRINCIPADO DE ASTURIAS.</w:t>
            </w:r>
          </w:p>
          <w:p w14:paraId="274FA3FE" w14:textId="77777777" w:rsidR="002E7C4B" w:rsidRPr="00F476CB" w:rsidRDefault="002E7C4B" w:rsidP="001B51D9">
            <w:pPr>
              <w:rPr>
                <w:rFonts w:ascii="Calibri" w:hAnsi="Calibri" w:cs="Calibri"/>
              </w:rPr>
            </w:pPr>
          </w:p>
        </w:tc>
      </w:tr>
      <w:tr w:rsidR="00C71359" w:rsidRPr="00C71359" w14:paraId="6CD34653" w14:textId="77777777" w:rsidTr="002E7C4B">
        <w:trPr>
          <w:trHeight w:val="419"/>
        </w:trPr>
        <w:tc>
          <w:tcPr>
            <w:tcW w:w="608" w:type="pct"/>
            <w:noWrap/>
          </w:tcPr>
          <w:p w14:paraId="4F8C39D4" w14:textId="77777777" w:rsidR="00C71359" w:rsidRPr="00F476CB" w:rsidRDefault="00C71359" w:rsidP="001B51D9">
            <w:pPr>
              <w:rPr>
                <w:rFonts w:ascii="Calibri" w:hAnsi="Calibri" w:cs="Calibri"/>
              </w:rPr>
            </w:pPr>
            <w:r w:rsidRPr="00F476CB">
              <w:rPr>
                <w:rFonts w:ascii="Calibri" w:hAnsi="Calibri" w:cs="Calibri"/>
              </w:rPr>
              <w:t xml:space="preserve">801.3002N         </w:t>
            </w:r>
          </w:p>
        </w:tc>
        <w:tc>
          <w:tcPr>
            <w:tcW w:w="360" w:type="pct"/>
            <w:noWrap/>
          </w:tcPr>
          <w:p w14:paraId="51936563" w14:textId="77777777" w:rsidR="00C71359" w:rsidRPr="00F476CB" w:rsidRDefault="00C71359" w:rsidP="001B51D9">
            <w:pPr>
              <w:rPr>
                <w:rFonts w:ascii="Calibri" w:hAnsi="Calibri" w:cs="Calibri"/>
              </w:rPr>
            </w:pPr>
            <w:proofErr w:type="spellStart"/>
            <w:r w:rsidRPr="00F476CB">
              <w:rPr>
                <w:rFonts w:ascii="Calibri" w:hAnsi="Calibri" w:cs="Calibri"/>
              </w:rPr>
              <w:t>ud</w:t>
            </w:r>
            <w:proofErr w:type="spellEnd"/>
          </w:p>
        </w:tc>
        <w:tc>
          <w:tcPr>
            <w:tcW w:w="4032" w:type="pct"/>
          </w:tcPr>
          <w:p w14:paraId="1EA56BF8" w14:textId="77777777" w:rsidR="00C71359" w:rsidRPr="00F476CB" w:rsidRDefault="00C71359" w:rsidP="001B51D9">
            <w:pPr>
              <w:rPr>
                <w:rFonts w:ascii="Calibri" w:hAnsi="Calibri" w:cs="Calibri"/>
              </w:rPr>
            </w:pPr>
            <w:r w:rsidRPr="00F476CB">
              <w:rPr>
                <w:rFonts w:ascii="Calibri" w:hAnsi="Calibri" w:cs="Calibri"/>
              </w:rPr>
              <w:t>TRABAJO DE CAMPO</w:t>
            </w:r>
          </w:p>
          <w:p w14:paraId="4B2BDD3D" w14:textId="77777777" w:rsidR="002E7C4B" w:rsidRPr="00F476CB" w:rsidRDefault="002E7C4B" w:rsidP="001B51D9">
            <w:pPr>
              <w:rPr>
                <w:rFonts w:ascii="Calibri" w:hAnsi="Calibri" w:cs="Calibri"/>
              </w:rPr>
            </w:pPr>
          </w:p>
        </w:tc>
      </w:tr>
      <w:tr w:rsidR="00C71359" w:rsidRPr="00C71359" w14:paraId="00F48D4C" w14:textId="77777777" w:rsidTr="002E7C4B">
        <w:trPr>
          <w:trHeight w:val="419"/>
        </w:trPr>
        <w:tc>
          <w:tcPr>
            <w:tcW w:w="608" w:type="pct"/>
            <w:noWrap/>
          </w:tcPr>
          <w:p w14:paraId="003DBDD7" w14:textId="77777777" w:rsidR="00C71359" w:rsidRPr="00F476CB" w:rsidRDefault="00C71359" w:rsidP="001B51D9">
            <w:pPr>
              <w:rPr>
                <w:rFonts w:ascii="Calibri" w:hAnsi="Calibri" w:cs="Calibri"/>
              </w:rPr>
            </w:pPr>
            <w:r w:rsidRPr="00F476CB">
              <w:rPr>
                <w:rFonts w:ascii="Calibri" w:hAnsi="Calibri" w:cs="Calibri"/>
              </w:rPr>
              <w:t xml:space="preserve">801.3003N         </w:t>
            </w:r>
          </w:p>
        </w:tc>
        <w:tc>
          <w:tcPr>
            <w:tcW w:w="360" w:type="pct"/>
            <w:noWrap/>
          </w:tcPr>
          <w:p w14:paraId="5BA892EE" w14:textId="77777777" w:rsidR="00C71359" w:rsidRPr="00F476CB" w:rsidRDefault="00C71359" w:rsidP="001B51D9">
            <w:pPr>
              <w:rPr>
                <w:rFonts w:ascii="Calibri" w:hAnsi="Calibri" w:cs="Calibri"/>
              </w:rPr>
            </w:pPr>
            <w:proofErr w:type="spellStart"/>
            <w:r w:rsidRPr="00F476CB">
              <w:rPr>
                <w:rFonts w:ascii="Calibri" w:hAnsi="Calibri" w:cs="Calibri"/>
              </w:rPr>
              <w:t>ud</w:t>
            </w:r>
            <w:proofErr w:type="spellEnd"/>
          </w:p>
        </w:tc>
        <w:tc>
          <w:tcPr>
            <w:tcW w:w="4032" w:type="pct"/>
          </w:tcPr>
          <w:p w14:paraId="6D19ACA5" w14:textId="77777777" w:rsidR="00C71359" w:rsidRPr="00F476CB" w:rsidRDefault="00C71359" w:rsidP="001B51D9">
            <w:pPr>
              <w:rPr>
                <w:rFonts w:ascii="Calibri" w:hAnsi="Calibri" w:cs="Calibri"/>
              </w:rPr>
            </w:pPr>
            <w:r w:rsidRPr="00F476CB">
              <w:rPr>
                <w:rFonts w:ascii="Calibri" w:hAnsi="Calibri" w:cs="Calibri"/>
              </w:rPr>
              <w:t xml:space="preserve">INFORME PROSPECCIÓN </w:t>
            </w:r>
            <w:proofErr w:type="gramStart"/>
            <w:r w:rsidRPr="00F476CB">
              <w:rPr>
                <w:rFonts w:ascii="Calibri" w:hAnsi="Calibri" w:cs="Calibri"/>
              </w:rPr>
              <w:t>ARQUEOLÓGICA  APÉNDICE</w:t>
            </w:r>
            <w:proofErr w:type="gramEnd"/>
            <w:r w:rsidRPr="00F476CB">
              <w:rPr>
                <w:rFonts w:ascii="Calibri" w:hAnsi="Calibri" w:cs="Calibri"/>
              </w:rPr>
              <w:t xml:space="preserve"> 4</w:t>
            </w:r>
          </w:p>
          <w:p w14:paraId="0D012BA8" w14:textId="77777777" w:rsidR="002E7C4B" w:rsidRPr="00F476CB" w:rsidRDefault="002E7C4B" w:rsidP="001B51D9">
            <w:pPr>
              <w:rPr>
                <w:rFonts w:ascii="Calibri" w:hAnsi="Calibri" w:cs="Calibri"/>
              </w:rPr>
            </w:pPr>
          </w:p>
        </w:tc>
      </w:tr>
      <w:tr w:rsidR="00C71359" w:rsidRPr="00C71359" w14:paraId="6B4AD869" w14:textId="77777777" w:rsidTr="002E7C4B">
        <w:trPr>
          <w:trHeight w:val="419"/>
        </w:trPr>
        <w:tc>
          <w:tcPr>
            <w:tcW w:w="608" w:type="pct"/>
            <w:noWrap/>
          </w:tcPr>
          <w:p w14:paraId="40DD581A" w14:textId="77777777" w:rsidR="00C71359" w:rsidRPr="00F476CB" w:rsidRDefault="00C71359" w:rsidP="001B51D9">
            <w:pPr>
              <w:rPr>
                <w:rFonts w:ascii="Calibri" w:hAnsi="Calibri" w:cs="Calibri"/>
              </w:rPr>
            </w:pPr>
            <w:r w:rsidRPr="00F476CB">
              <w:rPr>
                <w:rFonts w:ascii="Calibri" w:hAnsi="Calibri" w:cs="Calibri"/>
              </w:rPr>
              <w:t xml:space="preserve">801.3004N         </w:t>
            </w:r>
          </w:p>
        </w:tc>
        <w:tc>
          <w:tcPr>
            <w:tcW w:w="360" w:type="pct"/>
            <w:noWrap/>
          </w:tcPr>
          <w:p w14:paraId="0689BFD5" w14:textId="77777777" w:rsidR="00C71359" w:rsidRPr="00F476CB" w:rsidRDefault="00C71359" w:rsidP="001B51D9">
            <w:pPr>
              <w:rPr>
                <w:rFonts w:ascii="Calibri" w:hAnsi="Calibri" w:cs="Calibri"/>
              </w:rPr>
            </w:pPr>
            <w:r w:rsidRPr="00F476CB">
              <w:rPr>
                <w:rFonts w:ascii="Calibri" w:hAnsi="Calibri" w:cs="Calibri"/>
              </w:rPr>
              <w:t>mes</w:t>
            </w:r>
          </w:p>
        </w:tc>
        <w:tc>
          <w:tcPr>
            <w:tcW w:w="4032" w:type="pct"/>
          </w:tcPr>
          <w:p w14:paraId="6D90F9E9" w14:textId="77777777" w:rsidR="00C71359" w:rsidRPr="00F476CB" w:rsidRDefault="00C71359" w:rsidP="001B51D9">
            <w:pPr>
              <w:rPr>
                <w:rFonts w:ascii="Calibri" w:hAnsi="Calibri" w:cs="Calibri"/>
              </w:rPr>
            </w:pPr>
            <w:r w:rsidRPr="00F476CB">
              <w:rPr>
                <w:rFonts w:ascii="Calibri" w:hAnsi="Calibri" w:cs="Calibri"/>
              </w:rPr>
              <w:t>CONTROL ARQUEOLÓGICO DE LOS MOVIMIENTOS DE TIERRA</w:t>
            </w:r>
          </w:p>
          <w:p w14:paraId="6DD04DF0" w14:textId="77777777" w:rsidR="002E7C4B" w:rsidRPr="00F476CB" w:rsidRDefault="002E7C4B" w:rsidP="001B51D9">
            <w:pPr>
              <w:rPr>
                <w:rFonts w:ascii="Calibri" w:hAnsi="Calibri" w:cs="Calibri"/>
              </w:rPr>
            </w:pPr>
          </w:p>
        </w:tc>
      </w:tr>
    </w:tbl>
    <w:p w14:paraId="315D2776" w14:textId="77777777" w:rsidR="00C71359" w:rsidRPr="00C71359" w:rsidRDefault="00C71359" w:rsidP="00C71359">
      <w:pPr>
        <w:rPr>
          <w:lang w:eastAsia="en-US"/>
        </w:rPr>
      </w:pPr>
    </w:p>
    <w:p w14:paraId="5DBFA252" w14:textId="77777777" w:rsidR="00C71359" w:rsidRDefault="00C71359" w:rsidP="00C71359">
      <w:pPr>
        <w:pStyle w:val="NORMAL12"/>
        <w:rPr>
          <w:lang w:val="es-ES"/>
        </w:rPr>
      </w:pPr>
      <w:r>
        <w:rPr>
          <w:lang w:val="es-ES"/>
        </w:rPr>
        <w:t xml:space="preserve">Estas unidades incluyen la elaboración del proyecto de actuación arqueológica y la solicitud de permisos necesarios para llevar a cabo las obras ante la Dirección General del Patrimonio cultural del Principado de Asturias, y la presencia del arqueólogo durante la fase del movimiento de tierras, o cuando sea necesaria su presencia durante la ejecución de las obras. </w:t>
      </w:r>
    </w:p>
    <w:p w14:paraId="1BC3166F" w14:textId="77777777" w:rsidR="00C71359" w:rsidRDefault="00C71359" w:rsidP="00C71359">
      <w:pPr>
        <w:pStyle w:val="NORMAL12"/>
        <w:rPr>
          <w:lang w:val="es-ES"/>
        </w:rPr>
      </w:pPr>
      <w:r>
        <w:rPr>
          <w:lang w:val="es-ES"/>
        </w:rPr>
        <w:t xml:space="preserve">La labor </w:t>
      </w:r>
      <w:proofErr w:type="gramStart"/>
      <w:r>
        <w:rPr>
          <w:lang w:val="es-ES"/>
        </w:rPr>
        <w:t>del mismo</w:t>
      </w:r>
      <w:proofErr w:type="gramEnd"/>
      <w:r>
        <w:rPr>
          <w:lang w:val="es-ES"/>
        </w:rPr>
        <w:t xml:space="preserve"> es la de identificar posibles restos durante las excavaciones no previstos en los informes previos.</w:t>
      </w:r>
    </w:p>
    <w:p w14:paraId="2640505B" w14:textId="77777777" w:rsidR="00C71359" w:rsidRDefault="002E7C4B" w:rsidP="00C71359">
      <w:pPr>
        <w:pStyle w:val="NORMAL12"/>
        <w:rPr>
          <w:lang w:val="es-ES"/>
        </w:rPr>
      </w:pPr>
      <w:r>
        <w:rPr>
          <w:lang w:val="es-ES"/>
        </w:rPr>
        <w:t xml:space="preserve">El arqueólogo encargado de los trabajos debe presentar un informe de los trabajos previstos y la duración de </w:t>
      </w:r>
      <w:proofErr w:type="gramStart"/>
      <w:r>
        <w:rPr>
          <w:lang w:val="es-ES"/>
        </w:rPr>
        <w:t>los mismos</w:t>
      </w:r>
      <w:proofErr w:type="gramEnd"/>
      <w:r>
        <w:rPr>
          <w:lang w:val="es-ES"/>
        </w:rPr>
        <w:t xml:space="preserve">, así como presentar un informe final ante la Dirección General del Patrimonio Cultural del Principado, u </w:t>
      </w:r>
      <w:r w:rsidR="00F83B62">
        <w:rPr>
          <w:lang w:val="es-ES"/>
        </w:rPr>
        <w:t>organismo</w:t>
      </w:r>
      <w:r>
        <w:rPr>
          <w:lang w:val="es-ES"/>
        </w:rPr>
        <w:t xml:space="preserve"> competente que así lo requiera.</w:t>
      </w:r>
    </w:p>
    <w:p w14:paraId="0C577719" w14:textId="77777777" w:rsidR="002E7C4B" w:rsidRPr="002E7C4B" w:rsidRDefault="002E7C4B" w:rsidP="00C71359">
      <w:pPr>
        <w:pStyle w:val="NORMAL12"/>
        <w:rPr>
          <w:lang w:val="es-ES"/>
        </w:rPr>
      </w:pPr>
      <w:r w:rsidRPr="002E7C4B">
        <w:rPr>
          <w:lang w:val="es-ES"/>
        </w:rPr>
        <w:t>Se debe obtener un informe favorable a las actuaciones propuestas para llevar a cabo su labor.</w:t>
      </w:r>
    </w:p>
    <w:p w14:paraId="1280AADD" w14:textId="77777777" w:rsidR="002E7C4B" w:rsidRPr="002E7C4B" w:rsidRDefault="002E7C4B" w:rsidP="000313DD">
      <w:pPr>
        <w:pStyle w:val="TITU2"/>
      </w:pPr>
      <w:bookmarkStart w:id="1654" w:name="_Toc404814"/>
      <w:r w:rsidRPr="002E7C4B">
        <w:t>956.2. Ejecución de las obras</w:t>
      </w:r>
      <w:bookmarkEnd w:id="1654"/>
    </w:p>
    <w:p w14:paraId="6D279D46" w14:textId="77777777" w:rsidR="002E7C4B" w:rsidRDefault="002E7C4B" w:rsidP="002E7C4B">
      <w:pPr>
        <w:pStyle w:val="NORMAL12"/>
        <w:rPr>
          <w:lang w:val="es-ES"/>
        </w:rPr>
      </w:pPr>
      <w:r w:rsidRPr="002E7C4B">
        <w:rPr>
          <w:lang w:val="es-ES"/>
        </w:rPr>
        <w:t xml:space="preserve">El trabajo </w:t>
      </w:r>
      <w:r w:rsidR="00F83B62" w:rsidRPr="002E7C4B">
        <w:rPr>
          <w:lang w:val="es-ES"/>
        </w:rPr>
        <w:t>consiste</w:t>
      </w:r>
      <w:r w:rsidRPr="002E7C4B">
        <w:rPr>
          <w:lang w:val="es-ES"/>
        </w:rPr>
        <w:t xml:space="preserve"> en </w:t>
      </w:r>
      <w:proofErr w:type="gramStart"/>
      <w:r w:rsidRPr="002E7C4B">
        <w:rPr>
          <w:lang w:val="es-ES"/>
        </w:rPr>
        <w:t>supervisar  la</w:t>
      </w:r>
      <w:proofErr w:type="gramEnd"/>
      <w:r w:rsidRPr="002E7C4B">
        <w:rPr>
          <w:lang w:val="es-ES"/>
        </w:rPr>
        <w:t xml:space="preserve"> </w:t>
      </w:r>
      <w:r>
        <w:rPr>
          <w:lang w:val="es-ES"/>
        </w:rPr>
        <w:t>fase del movimiento de tierras, así como documentar e informar de los restos arqueológicos afectados por la actuación.</w:t>
      </w:r>
    </w:p>
    <w:p w14:paraId="23C98117" w14:textId="77777777" w:rsidR="002E7C4B" w:rsidRDefault="002E7C4B" w:rsidP="002E7C4B">
      <w:pPr>
        <w:pStyle w:val="NORMAL12"/>
        <w:rPr>
          <w:lang w:val="es-ES"/>
        </w:rPr>
      </w:pPr>
      <w:r>
        <w:rPr>
          <w:lang w:val="es-ES"/>
        </w:rPr>
        <w:t>El seguimiento se realizará de forma continua en aquellas zonas indicadas en el informe arqueológico en las que se prevea la aparición de restos o la existencia de yacimientos.</w:t>
      </w:r>
    </w:p>
    <w:p w14:paraId="046A102C" w14:textId="77777777" w:rsidR="002E7C4B" w:rsidRDefault="002E7C4B" w:rsidP="002E7C4B">
      <w:pPr>
        <w:pStyle w:val="NORMAL12"/>
        <w:rPr>
          <w:lang w:val="es-ES"/>
        </w:rPr>
      </w:pPr>
      <w:r>
        <w:rPr>
          <w:lang w:val="es-ES"/>
        </w:rPr>
        <w:t xml:space="preserve">Las labores del arqueólogo y la retirada de restos se </w:t>
      </w:r>
      <w:r w:rsidR="00F83B62">
        <w:rPr>
          <w:lang w:val="es-ES"/>
        </w:rPr>
        <w:t>harán</w:t>
      </w:r>
      <w:r>
        <w:rPr>
          <w:lang w:val="es-ES"/>
        </w:rPr>
        <w:t xml:space="preserve"> lo </w:t>
      </w:r>
      <w:r w:rsidR="00F83B62">
        <w:rPr>
          <w:lang w:val="es-ES"/>
        </w:rPr>
        <w:t>más</w:t>
      </w:r>
      <w:r>
        <w:rPr>
          <w:lang w:val="es-ES"/>
        </w:rPr>
        <w:t xml:space="preserve"> rápido posible para no perjudicar los plazos y desarrollo de la obra.</w:t>
      </w:r>
    </w:p>
    <w:p w14:paraId="73FB2007" w14:textId="77777777" w:rsidR="002E7C4B" w:rsidRPr="002E7C4B" w:rsidRDefault="002E7C4B" w:rsidP="002E7C4B">
      <w:pPr>
        <w:pStyle w:val="NORMAL12"/>
        <w:rPr>
          <w:lang w:val="es-ES"/>
        </w:rPr>
      </w:pPr>
      <w:r>
        <w:rPr>
          <w:lang w:val="es-ES"/>
        </w:rPr>
        <w:t xml:space="preserve">En el caso de aparecer nuevos restos, no previstos, se informará a las autoridades competentes de la forma de proceder propuesta sobre los mismos. </w:t>
      </w:r>
    </w:p>
    <w:p w14:paraId="0408A7A7" w14:textId="77777777" w:rsidR="00C71359" w:rsidRPr="002E7C4B" w:rsidRDefault="00C71359" w:rsidP="000313DD">
      <w:pPr>
        <w:pStyle w:val="TITU2"/>
      </w:pPr>
      <w:bookmarkStart w:id="1655" w:name="_Toc404815"/>
      <w:r w:rsidRPr="002E7C4B">
        <w:t>95</w:t>
      </w:r>
      <w:r w:rsidR="002E7C4B" w:rsidRPr="002E7C4B">
        <w:t>6</w:t>
      </w:r>
      <w:r w:rsidRPr="002E7C4B">
        <w:t>.</w:t>
      </w:r>
      <w:r w:rsidR="002E7C4B" w:rsidRPr="002E7C4B">
        <w:t>3</w:t>
      </w:r>
      <w:r w:rsidRPr="002E7C4B">
        <w:t>. Medición y abono</w:t>
      </w:r>
      <w:bookmarkEnd w:id="1655"/>
    </w:p>
    <w:p w14:paraId="5B1475ED" w14:textId="77777777" w:rsidR="002E7C4B" w:rsidRPr="002E7C4B" w:rsidRDefault="00C71359" w:rsidP="00C71359">
      <w:pPr>
        <w:pStyle w:val="NORMAL12"/>
        <w:rPr>
          <w:lang w:val="es-ES"/>
        </w:rPr>
      </w:pPr>
      <w:r w:rsidRPr="002E7C4B">
        <w:rPr>
          <w:lang w:val="es-ES"/>
        </w:rPr>
        <w:t xml:space="preserve">La medición y abono de la unidad </w:t>
      </w:r>
      <w:r w:rsidR="002E7C4B" w:rsidRPr="002E7C4B">
        <w:rPr>
          <w:lang w:val="es-ES"/>
        </w:rPr>
        <w:t xml:space="preserve">se realizará según las prescripciones siguientes: </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2E7C4B" w:rsidRPr="002E7C4B" w14:paraId="08DD4ABF" w14:textId="77777777" w:rsidTr="001B51D9">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3AFCF125" w14:textId="77777777" w:rsidR="00C71359" w:rsidRPr="002E7C4B" w:rsidRDefault="00C71359" w:rsidP="001B51D9">
            <w:pPr>
              <w:pStyle w:val="Tabla"/>
              <w:rPr>
                <w:b/>
              </w:rPr>
            </w:pPr>
            <w:r w:rsidRPr="002E7C4B">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14BBEF70" w14:textId="77777777" w:rsidR="00C71359" w:rsidRPr="002E7C4B" w:rsidRDefault="002E7C4B" w:rsidP="00B70541">
            <w:pPr>
              <w:pStyle w:val="LCATabla"/>
              <w:keepLines/>
              <w:jc w:val="both"/>
              <w:rPr>
                <w:rFonts w:ascii="Arial" w:hAnsi="Arial" w:cs="Arial"/>
                <w:sz w:val="20"/>
              </w:rPr>
            </w:pPr>
            <w:r w:rsidRPr="002E7C4B">
              <w:rPr>
                <w:rFonts w:ascii="Arial" w:hAnsi="Arial" w:cs="Arial"/>
                <w:sz w:val="20"/>
              </w:rPr>
              <w:t xml:space="preserve">Unidad </w:t>
            </w:r>
            <w:r w:rsidR="00C71359" w:rsidRPr="002E7C4B">
              <w:rPr>
                <w:rFonts w:ascii="Arial" w:hAnsi="Arial" w:cs="Arial"/>
                <w:sz w:val="20"/>
              </w:rPr>
              <w:t>(</w:t>
            </w:r>
            <w:proofErr w:type="spellStart"/>
            <w:r w:rsidRPr="002E7C4B">
              <w:rPr>
                <w:rFonts w:ascii="Arial" w:hAnsi="Arial" w:cs="Arial"/>
                <w:sz w:val="20"/>
              </w:rPr>
              <w:t>ud</w:t>
            </w:r>
            <w:proofErr w:type="spellEnd"/>
            <w:r w:rsidR="00C71359" w:rsidRPr="002E7C4B">
              <w:rPr>
                <w:rFonts w:ascii="Arial" w:hAnsi="Arial" w:cs="Arial"/>
                <w:sz w:val="20"/>
              </w:rPr>
              <w:t>)</w:t>
            </w:r>
          </w:p>
        </w:tc>
      </w:tr>
      <w:tr w:rsidR="002E7C4B" w:rsidRPr="002E7C4B" w14:paraId="5D601B75" w14:textId="77777777" w:rsidTr="001B51D9">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2C893790" w14:textId="77777777" w:rsidR="00C71359" w:rsidRPr="002E7C4B" w:rsidRDefault="00C71359" w:rsidP="001B51D9">
            <w:pPr>
              <w:pStyle w:val="Tabla"/>
              <w:rPr>
                <w:b/>
              </w:rPr>
            </w:pPr>
            <w:r w:rsidRPr="002E7C4B">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27254F4E" w14:textId="77777777" w:rsidR="00C71359" w:rsidRPr="002E7C4B" w:rsidRDefault="00F83B62" w:rsidP="00B70541">
            <w:pPr>
              <w:pStyle w:val="LCATabla"/>
              <w:keepLines/>
              <w:jc w:val="both"/>
              <w:rPr>
                <w:rFonts w:ascii="Arial" w:hAnsi="Arial" w:cs="Arial"/>
                <w:sz w:val="20"/>
              </w:rPr>
            </w:pPr>
            <w:r w:rsidRPr="002E7C4B">
              <w:rPr>
                <w:rFonts w:ascii="Arial" w:hAnsi="Arial" w:cs="Arial"/>
                <w:sz w:val="20"/>
              </w:rPr>
              <w:t>Número</w:t>
            </w:r>
            <w:r w:rsidR="002E7C4B" w:rsidRPr="002E7C4B">
              <w:rPr>
                <w:rFonts w:ascii="Arial" w:hAnsi="Arial" w:cs="Arial"/>
                <w:sz w:val="20"/>
              </w:rPr>
              <w:t xml:space="preserve"> entero</w:t>
            </w:r>
          </w:p>
        </w:tc>
      </w:tr>
      <w:tr w:rsidR="002E7C4B" w:rsidRPr="002E7C4B" w14:paraId="14CB9A3D" w14:textId="77777777" w:rsidTr="001B51D9">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4B0A3337" w14:textId="77777777" w:rsidR="00C71359" w:rsidRPr="002E7C4B" w:rsidRDefault="00C71359" w:rsidP="001B51D9">
            <w:pPr>
              <w:pStyle w:val="Tabla"/>
              <w:rPr>
                <w:b/>
              </w:rPr>
            </w:pPr>
            <w:r w:rsidRPr="002E7C4B">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615BAB68" w14:textId="77777777" w:rsidR="00C71359" w:rsidRPr="002E7C4B" w:rsidRDefault="002E7C4B" w:rsidP="00B70541">
            <w:pPr>
              <w:pStyle w:val="LCATabla"/>
              <w:keepLines/>
              <w:jc w:val="both"/>
              <w:rPr>
                <w:rFonts w:ascii="Arial" w:hAnsi="Arial" w:cs="Arial"/>
                <w:sz w:val="20"/>
              </w:rPr>
            </w:pPr>
            <w:r w:rsidRPr="002E7C4B">
              <w:rPr>
                <w:rFonts w:ascii="Arial" w:hAnsi="Arial" w:cs="Arial"/>
                <w:sz w:val="20"/>
              </w:rPr>
              <w:t>Unidad de trabajos realizados</w:t>
            </w:r>
            <w:r w:rsidR="00C71359" w:rsidRPr="002E7C4B">
              <w:rPr>
                <w:rFonts w:ascii="Arial" w:hAnsi="Arial" w:cs="Arial"/>
                <w:sz w:val="20"/>
              </w:rPr>
              <w:t xml:space="preserve">  </w:t>
            </w:r>
          </w:p>
        </w:tc>
      </w:tr>
      <w:tr w:rsidR="002E7C4B" w:rsidRPr="002E7C4B" w14:paraId="45D4CC22" w14:textId="77777777" w:rsidTr="001B51D9">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61E8C763" w14:textId="77777777" w:rsidR="00C71359" w:rsidRPr="002E7C4B" w:rsidRDefault="00C71359" w:rsidP="001B51D9">
            <w:pPr>
              <w:pStyle w:val="Tabla"/>
              <w:rPr>
                <w:b/>
              </w:rPr>
            </w:pPr>
            <w:r w:rsidRPr="002E7C4B">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3A3607C4" w14:textId="77777777" w:rsidR="00C71359" w:rsidRPr="002E7C4B" w:rsidRDefault="00C71359" w:rsidP="00B70541">
            <w:pPr>
              <w:pStyle w:val="LCATabla"/>
              <w:keepLines/>
              <w:jc w:val="both"/>
              <w:rPr>
                <w:rFonts w:ascii="Arial" w:hAnsi="Arial" w:cs="Arial"/>
                <w:sz w:val="20"/>
              </w:rPr>
            </w:pPr>
          </w:p>
        </w:tc>
      </w:tr>
      <w:tr w:rsidR="002E7C4B" w:rsidRPr="002E7C4B" w14:paraId="69C07DB6" w14:textId="77777777" w:rsidTr="001B51D9">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0FA81DB4" w14:textId="77777777" w:rsidR="00C71359" w:rsidRPr="002E7C4B" w:rsidRDefault="00C71359" w:rsidP="001B51D9">
            <w:pPr>
              <w:pStyle w:val="Tabla"/>
              <w:rPr>
                <w:b/>
              </w:rPr>
            </w:pPr>
            <w:r w:rsidRPr="002E7C4B">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3F8844B4" w14:textId="77777777" w:rsidR="00C71359" w:rsidRPr="002E7C4B" w:rsidRDefault="002E7C4B" w:rsidP="00B70541">
            <w:pPr>
              <w:pStyle w:val="LCATabla"/>
              <w:keepLines/>
              <w:jc w:val="both"/>
              <w:rPr>
                <w:rFonts w:ascii="Arial" w:hAnsi="Arial" w:cs="Arial"/>
                <w:sz w:val="20"/>
              </w:rPr>
            </w:pPr>
            <w:r w:rsidRPr="002E7C4B">
              <w:rPr>
                <w:rFonts w:ascii="Arial" w:hAnsi="Arial" w:cs="Arial"/>
                <w:sz w:val="20"/>
              </w:rPr>
              <w:t xml:space="preserve">El precio de la unidad incluye todos los materiales y medios necesarios para la correcta elaboración del proyecto, trabajo de campo, y los informes de prospección descritos. </w:t>
            </w:r>
          </w:p>
        </w:tc>
      </w:tr>
    </w:tbl>
    <w:p w14:paraId="18A3A488" w14:textId="77777777" w:rsidR="00C71359" w:rsidRPr="002E7C4B" w:rsidRDefault="00C71359" w:rsidP="00C71359">
      <w:pPr>
        <w:spacing w:before="120" w:after="120"/>
        <w:rPr>
          <w:rFonts w:ascii="Arial" w:hAnsi="Arial" w:cs="Arial"/>
        </w:rPr>
      </w:pPr>
    </w:p>
    <w:p w14:paraId="58EBC115" w14:textId="77777777" w:rsidR="00C71359" w:rsidRPr="002E7C4B" w:rsidRDefault="002E7C4B" w:rsidP="002E7C4B">
      <w:pPr>
        <w:pStyle w:val="NORMAL12"/>
        <w:rPr>
          <w:lang w:val="es-ES"/>
        </w:rPr>
      </w:pPr>
      <w:r w:rsidRPr="002E7C4B">
        <w:rPr>
          <w:lang w:val="es-ES"/>
        </w:rPr>
        <w:t xml:space="preserve">La medición y abono de </w:t>
      </w:r>
      <w:r w:rsidR="00F83B62" w:rsidRPr="002E7C4B">
        <w:rPr>
          <w:lang w:val="es-ES"/>
        </w:rPr>
        <w:t>las unidades correspondientes</w:t>
      </w:r>
      <w:r w:rsidRPr="002E7C4B">
        <w:rPr>
          <w:lang w:val="es-ES"/>
        </w:rPr>
        <w:t xml:space="preserve"> al control arqueológico se realizará según las prescripciones siguientes:</w:t>
      </w:r>
    </w:p>
    <w:p w14:paraId="675B2E00" w14:textId="77777777" w:rsidR="002E7C4B" w:rsidRPr="002E7C4B" w:rsidRDefault="002E7C4B" w:rsidP="00C71359">
      <w:pPr>
        <w:spacing w:before="120" w:after="120"/>
        <w:rPr>
          <w:rFonts w:ascii="Arial" w:hAnsi="Arial" w:cs="Arial"/>
        </w:rPr>
      </w:pP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A94942" w:rsidRPr="002E7C4B" w14:paraId="23DBD965" w14:textId="77777777" w:rsidTr="001B51D9">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30009B01" w14:textId="77777777" w:rsidR="002E7C4B" w:rsidRPr="002E7C4B" w:rsidRDefault="002E7C4B" w:rsidP="001B51D9">
            <w:pPr>
              <w:pStyle w:val="Tabla"/>
              <w:rPr>
                <w:b/>
              </w:rPr>
            </w:pPr>
            <w:r w:rsidRPr="002E7C4B">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22474983" w14:textId="77777777" w:rsidR="002E7C4B" w:rsidRPr="002E7C4B" w:rsidRDefault="002E7C4B" w:rsidP="00B70541">
            <w:pPr>
              <w:pStyle w:val="LCATabla"/>
              <w:keepLines/>
              <w:jc w:val="both"/>
              <w:rPr>
                <w:rFonts w:ascii="Arial" w:hAnsi="Arial" w:cs="Arial"/>
                <w:sz w:val="20"/>
              </w:rPr>
            </w:pPr>
            <w:r w:rsidRPr="002E7C4B">
              <w:rPr>
                <w:rFonts w:ascii="Arial" w:hAnsi="Arial" w:cs="Arial"/>
                <w:sz w:val="20"/>
              </w:rPr>
              <w:t>Mes(mes)</w:t>
            </w:r>
          </w:p>
        </w:tc>
      </w:tr>
      <w:tr w:rsidR="00A94942" w:rsidRPr="002E7C4B" w14:paraId="3629F41C" w14:textId="77777777" w:rsidTr="001B51D9">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442FB103" w14:textId="77777777" w:rsidR="002E7C4B" w:rsidRPr="002E7C4B" w:rsidRDefault="002E7C4B" w:rsidP="001B51D9">
            <w:pPr>
              <w:pStyle w:val="Tabla"/>
              <w:rPr>
                <w:b/>
              </w:rPr>
            </w:pPr>
            <w:r w:rsidRPr="002E7C4B">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74A69834" w14:textId="77777777" w:rsidR="002E7C4B" w:rsidRPr="002E7C4B" w:rsidRDefault="002E7C4B" w:rsidP="00B70541">
            <w:pPr>
              <w:pStyle w:val="LCATabla"/>
              <w:keepLines/>
              <w:jc w:val="both"/>
              <w:rPr>
                <w:rFonts w:ascii="Arial" w:hAnsi="Arial" w:cs="Arial"/>
                <w:sz w:val="20"/>
              </w:rPr>
            </w:pPr>
          </w:p>
        </w:tc>
      </w:tr>
      <w:tr w:rsidR="00A94942" w:rsidRPr="002E7C4B" w14:paraId="3ED9CC69" w14:textId="77777777" w:rsidTr="001B51D9">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02869B56" w14:textId="77777777" w:rsidR="002E7C4B" w:rsidRPr="002E7C4B" w:rsidRDefault="002E7C4B" w:rsidP="001B51D9">
            <w:pPr>
              <w:pStyle w:val="Tabla"/>
              <w:rPr>
                <w:b/>
              </w:rPr>
            </w:pPr>
            <w:r w:rsidRPr="002E7C4B">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0101D876" w14:textId="77777777" w:rsidR="002E7C4B" w:rsidRPr="002E7C4B" w:rsidRDefault="002E7C4B" w:rsidP="00B70541">
            <w:pPr>
              <w:pStyle w:val="LCATabla"/>
              <w:keepLines/>
              <w:jc w:val="both"/>
              <w:rPr>
                <w:rFonts w:ascii="Arial" w:hAnsi="Arial" w:cs="Arial"/>
                <w:sz w:val="20"/>
              </w:rPr>
            </w:pPr>
            <w:r w:rsidRPr="002E7C4B">
              <w:rPr>
                <w:rFonts w:ascii="Arial" w:hAnsi="Arial" w:cs="Arial"/>
                <w:sz w:val="20"/>
              </w:rPr>
              <w:t xml:space="preserve">Meses de dedicación al control </w:t>
            </w:r>
            <w:r w:rsidR="00F83B62" w:rsidRPr="002E7C4B">
              <w:rPr>
                <w:rFonts w:ascii="Arial" w:hAnsi="Arial" w:cs="Arial"/>
                <w:sz w:val="20"/>
              </w:rPr>
              <w:t>arqueológico</w:t>
            </w:r>
            <w:r w:rsidRPr="002E7C4B">
              <w:rPr>
                <w:rFonts w:ascii="Arial" w:hAnsi="Arial" w:cs="Arial"/>
                <w:sz w:val="20"/>
              </w:rPr>
              <w:t xml:space="preserve"> de las obras. </w:t>
            </w:r>
          </w:p>
        </w:tc>
      </w:tr>
      <w:tr w:rsidR="00A94942" w:rsidRPr="002E7C4B" w14:paraId="29ED393C" w14:textId="77777777" w:rsidTr="001B51D9">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4483A2B1" w14:textId="77777777" w:rsidR="002E7C4B" w:rsidRPr="002E7C4B" w:rsidRDefault="002E7C4B" w:rsidP="001B51D9">
            <w:pPr>
              <w:pStyle w:val="Tabla"/>
              <w:rPr>
                <w:b/>
              </w:rPr>
            </w:pPr>
            <w:r w:rsidRPr="002E7C4B">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09054323" w14:textId="77777777" w:rsidR="002E7C4B" w:rsidRPr="002E7C4B" w:rsidRDefault="002E7C4B" w:rsidP="00B70541">
            <w:pPr>
              <w:pStyle w:val="LCATabla"/>
              <w:keepLines/>
              <w:jc w:val="both"/>
              <w:rPr>
                <w:rFonts w:ascii="Arial" w:hAnsi="Arial" w:cs="Arial"/>
                <w:sz w:val="20"/>
              </w:rPr>
            </w:pPr>
            <w:r w:rsidRPr="002E7C4B">
              <w:rPr>
                <w:rFonts w:ascii="Arial" w:hAnsi="Arial" w:cs="Arial"/>
                <w:sz w:val="20"/>
              </w:rPr>
              <w:t>Se efectuará cuando se realice la aceptación</w:t>
            </w:r>
          </w:p>
        </w:tc>
      </w:tr>
      <w:tr w:rsidR="002E7C4B" w:rsidRPr="002E7C4B" w14:paraId="69E2365E" w14:textId="77777777" w:rsidTr="001B51D9">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0CB96A06" w14:textId="77777777" w:rsidR="002E7C4B" w:rsidRPr="002E7C4B" w:rsidRDefault="002E7C4B" w:rsidP="001B51D9">
            <w:pPr>
              <w:pStyle w:val="Tabla"/>
              <w:rPr>
                <w:b/>
              </w:rPr>
            </w:pPr>
            <w:r w:rsidRPr="002E7C4B">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402516A3" w14:textId="77777777" w:rsidR="002E7C4B" w:rsidRPr="002E7C4B" w:rsidRDefault="002E7C4B" w:rsidP="00B70541">
            <w:pPr>
              <w:pStyle w:val="LCATabla"/>
              <w:keepLines/>
              <w:jc w:val="both"/>
              <w:rPr>
                <w:rFonts w:ascii="Arial" w:hAnsi="Arial" w:cs="Arial"/>
                <w:sz w:val="20"/>
              </w:rPr>
            </w:pPr>
            <w:r w:rsidRPr="002E7C4B">
              <w:rPr>
                <w:rFonts w:ascii="Arial" w:hAnsi="Arial" w:cs="Arial"/>
                <w:sz w:val="20"/>
              </w:rPr>
              <w:t xml:space="preserve">El precio de la unidad incluye todos los materiales y medios necesarios para la correcta ejecución de la unidad. </w:t>
            </w:r>
          </w:p>
        </w:tc>
      </w:tr>
    </w:tbl>
    <w:p w14:paraId="264C951C" w14:textId="77777777" w:rsidR="00A94942" w:rsidRPr="00AE4CF3" w:rsidRDefault="00A94942" w:rsidP="00A94942">
      <w:pPr>
        <w:pStyle w:val="TITU1"/>
      </w:pPr>
      <w:bookmarkStart w:id="1656" w:name="_Toc404816"/>
      <w:r w:rsidRPr="00AE4CF3">
        <w:lastRenderedPageBreak/>
        <w:t>Artículo 95</w:t>
      </w:r>
      <w:r w:rsidR="003A7D0F" w:rsidRPr="00AE4CF3">
        <w:t>7</w:t>
      </w:r>
      <w:r w:rsidRPr="00AE4CF3">
        <w:t xml:space="preserve">. </w:t>
      </w:r>
      <w:r w:rsidR="003A7D0F" w:rsidRPr="00AE4CF3">
        <w:t>Medidas correctoras de condiciones de la fauna</w:t>
      </w:r>
      <w:bookmarkEnd w:id="1656"/>
    </w:p>
    <w:p w14:paraId="6301084B" w14:textId="77777777" w:rsidR="00A94942" w:rsidRPr="00AE4CF3" w:rsidRDefault="00A94942" w:rsidP="000313DD">
      <w:pPr>
        <w:pStyle w:val="TITU2"/>
      </w:pPr>
      <w:bookmarkStart w:id="1657" w:name="_Toc404817"/>
      <w:r w:rsidRPr="00AE4CF3">
        <w:t>95</w:t>
      </w:r>
      <w:r w:rsidR="003A7D0F" w:rsidRPr="00AE4CF3">
        <w:t>7</w:t>
      </w:r>
      <w:r w:rsidRPr="00AE4CF3">
        <w:t>.1. Definición y aplicación</w:t>
      </w:r>
      <w:bookmarkEnd w:id="1657"/>
    </w:p>
    <w:p w14:paraId="39A81D22" w14:textId="77777777" w:rsidR="00A94942" w:rsidRPr="00AE4CF3" w:rsidRDefault="00A94942" w:rsidP="00A94942">
      <w:pPr>
        <w:pStyle w:val="NORMAL12"/>
        <w:rPr>
          <w:lang w:val="es-ES"/>
        </w:rPr>
      </w:pPr>
      <w:r w:rsidRPr="00AE4CF3">
        <w:rPr>
          <w:lang w:val="es-ES"/>
        </w:rPr>
        <w:t xml:space="preserve">Las prescripciones de este artículo </w:t>
      </w:r>
      <w:proofErr w:type="gramStart"/>
      <w:r w:rsidRPr="00AE4CF3">
        <w:rPr>
          <w:lang w:val="es-ES"/>
        </w:rPr>
        <w:t>son de aplicación</w:t>
      </w:r>
      <w:proofErr w:type="gramEnd"/>
      <w:r w:rsidRPr="00AE4CF3">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207"/>
        <w:gridCol w:w="714"/>
        <w:gridCol w:w="7999"/>
      </w:tblGrid>
      <w:tr w:rsidR="00AE4CF3" w:rsidRPr="00AE4CF3" w14:paraId="7E134E00" w14:textId="77777777" w:rsidTr="00AE4CF3">
        <w:trPr>
          <w:trHeight w:val="419"/>
        </w:trPr>
        <w:tc>
          <w:tcPr>
            <w:tcW w:w="608" w:type="pct"/>
            <w:noWrap/>
          </w:tcPr>
          <w:p w14:paraId="01726CCF" w14:textId="77777777" w:rsidR="00A94942" w:rsidRPr="0031718D" w:rsidRDefault="00A94942" w:rsidP="001B51D9">
            <w:pPr>
              <w:rPr>
                <w:rFonts w:ascii="Calibri" w:hAnsi="Calibri" w:cs="Calibri"/>
              </w:rPr>
            </w:pPr>
            <w:r w:rsidRPr="0031718D">
              <w:rPr>
                <w:rFonts w:ascii="Calibri" w:hAnsi="Calibri" w:cs="Calibri"/>
              </w:rPr>
              <w:t xml:space="preserve">801.0080          </w:t>
            </w:r>
          </w:p>
        </w:tc>
        <w:tc>
          <w:tcPr>
            <w:tcW w:w="360" w:type="pct"/>
            <w:noWrap/>
          </w:tcPr>
          <w:p w14:paraId="1DC4F14E" w14:textId="77777777" w:rsidR="00A94942" w:rsidRPr="0031718D" w:rsidRDefault="00A94942" w:rsidP="001B51D9">
            <w:pPr>
              <w:rPr>
                <w:rFonts w:ascii="Calibri" w:hAnsi="Calibri" w:cs="Calibri"/>
              </w:rPr>
            </w:pPr>
            <w:proofErr w:type="spellStart"/>
            <w:r w:rsidRPr="0031718D">
              <w:rPr>
                <w:rFonts w:ascii="Calibri" w:hAnsi="Calibri" w:cs="Calibri"/>
              </w:rPr>
              <w:t>ud</w:t>
            </w:r>
            <w:proofErr w:type="spellEnd"/>
          </w:p>
        </w:tc>
        <w:tc>
          <w:tcPr>
            <w:tcW w:w="4032" w:type="pct"/>
          </w:tcPr>
          <w:p w14:paraId="276A0858" w14:textId="77777777" w:rsidR="00A94942" w:rsidRPr="0031718D" w:rsidRDefault="00A94942" w:rsidP="00B70541">
            <w:pPr>
              <w:jc w:val="both"/>
              <w:rPr>
                <w:rFonts w:ascii="Calibri" w:hAnsi="Calibri" w:cs="Calibri"/>
              </w:rPr>
            </w:pPr>
            <w:r w:rsidRPr="0031718D">
              <w:rPr>
                <w:rFonts w:ascii="Calibri" w:hAnsi="Calibri" w:cs="Calibri"/>
              </w:rPr>
              <w:t>ESTRUCTURA DE ESCAPE DE FAUNA EN VALLADO PERIMETRAL, TOTALMENTE INSTALADA.</w:t>
            </w:r>
            <w:r w:rsidRPr="0031718D">
              <w:rPr>
                <w:rFonts w:ascii="Calibri" w:hAnsi="Calibri" w:cs="Calibri"/>
              </w:rPr>
              <w:br/>
              <w:t>HOJA BASCULANTE DE 50X50CM DE UNA ÚNICA DIRECCIÓN DE APERTURA.</w:t>
            </w:r>
          </w:p>
          <w:p w14:paraId="29CED021" w14:textId="77777777" w:rsidR="00AE4CF3" w:rsidRPr="0031718D" w:rsidRDefault="00AE4CF3" w:rsidP="00B70541">
            <w:pPr>
              <w:jc w:val="both"/>
              <w:rPr>
                <w:rFonts w:ascii="Calibri" w:hAnsi="Calibri" w:cs="Calibri"/>
              </w:rPr>
            </w:pPr>
          </w:p>
        </w:tc>
      </w:tr>
      <w:tr w:rsidR="00AE4CF3" w:rsidRPr="00AE4CF3" w14:paraId="1EC29836" w14:textId="77777777" w:rsidTr="00AE4CF3">
        <w:trPr>
          <w:trHeight w:val="419"/>
        </w:trPr>
        <w:tc>
          <w:tcPr>
            <w:tcW w:w="608" w:type="pct"/>
            <w:noWrap/>
          </w:tcPr>
          <w:p w14:paraId="45A44D8C" w14:textId="77777777" w:rsidR="00A94942" w:rsidRPr="0031718D" w:rsidRDefault="00A94942" w:rsidP="001B51D9">
            <w:pPr>
              <w:rPr>
                <w:rFonts w:ascii="Calibri" w:hAnsi="Calibri" w:cs="Calibri"/>
              </w:rPr>
            </w:pPr>
            <w:r w:rsidRPr="0031718D">
              <w:rPr>
                <w:rFonts w:ascii="Calibri" w:hAnsi="Calibri" w:cs="Calibri"/>
              </w:rPr>
              <w:t xml:space="preserve">801.1002N         </w:t>
            </w:r>
          </w:p>
        </w:tc>
        <w:tc>
          <w:tcPr>
            <w:tcW w:w="360" w:type="pct"/>
            <w:noWrap/>
          </w:tcPr>
          <w:p w14:paraId="4B3FD989" w14:textId="77777777" w:rsidR="00A94942" w:rsidRPr="0031718D" w:rsidRDefault="00A94942" w:rsidP="001B51D9">
            <w:pPr>
              <w:rPr>
                <w:rFonts w:ascii="Calibri" w:hAnsi="Calibri" w:cs="Calibri"/>
              </w:rPr>
            </w:pPr>
            <w:r w:rsidRPr="0031718D">
              <w:rPr>
                <w:rFonts w:ascii="Calibri" w:hAnsi="Calibri" w:cs="Calibri"/>
              </w:rPr>
              <w:t>m</w:t>
            </w:r>
          </w:p>
        </w:tc>
        <w:tc>
          <w:tcPr>
            <w:tcW w:w="4032" w:type="pct"/>
          </w:tcPr>
          <w:p w14:paraId="6B894943" w14:textId="77777777" w:rsidR="00A94942" w:rsidRPr="0031718D" w:rsidRDefault="00A94942" w:rsidP="00B70541">
            <w:pPr>
              <w:jc w:val="both"/>
              <w:rPr>
                <w:rFonts w:ascii="Calibri" w:hAnsi="Calibri" w:cs="Calibri"/>
              </w:rPr>
            </w:pPr>
            <w:r w:rsidRPr="0031718D">
              <w:rPr>
                <w:rFonts w:ascii="Calibri" w:hAnsi="Calibri" w:cs="Calibri"/>
              </w:rPr>
              <w:t>MALLA OCULTACIÓN, GUIADO DE ANFIBIOS</w:t>
            </w:r>
          </w:p>
          <w:p w14:paraId="0CCC9025" w14:textId="77777777" w:rsidR="00AE4CF3" w:rsidRPr="0031718D" w:rsidRDefault="00AE4CF3" w:rsidP="00B70541">
            <w:pPr>
              <w:jc w:val="both"/>
              <w:rPr>
                <w:rFonts w:ascii="Calibri" w:hAnsi="Calibri" w:cs="Calibri"/>
              </w:rPr>
            </w:pPr>
          </w:p>
        </w:tc>
      </w:tr>
      <w:tr w:rsidR="00AE4CF3" w:rsidRPr="00AE4CF3" w14:paraId="1573DB50" w14:textId="77777777" w:rsidTr="00AE4CF3">
        <w:trPr>
          <w:trHeight w:val="419"/>
        </w:trPr>
        <w:tc>
          <w:tcPr>
            <w:tcW w:w="608" w:type="pct"/>
            <w:noWrap/>
          </w:tcPr>
          <w:p w14:paraId="2A560F02" w14:textId="77777777" w:rsidR="00A94942" w:rsidRPr="00795289" w:rsidRDefault="00A94942" w:rsidP="001B51D9">
            <w:pPr>
              <w:rPr>
                <w:rFonts w:ascii="Calibri" w:hAnsi="Calibri" w:cs="Calibri"/>
              </w:rPr>
            </w:pPr>
            <w:r w:rsidRPr="00795289">
              <w:rPr>
                <w:rFonts w:ascii="Calibri" w:hAnsi="Calibri" w:cs="Calibri"/>
              </w:rPr>
              <w:t xml:space="preserve">801.1005N         </w:t>
            </w:r>
          </w:p>
        </w:tc>
        <w:tc>
          <w:tcPr>
            <w:tcW w:w="360" w:type="pct"/>
            <w:noWrap/>
          </w:tcPr>
          <w:p w14:paraId="428A8CD4" w14:textId="77777777" w:rsidR="00A94942" w:rsidRPr="00795289" w:rsidRDefault="00A94942" w:rsidP="001B51D9">
            <w:pPr>
              <w:rPr>
                <w:rFonts w:ascii="Calibri" w:hAnsi="Calibri" w:cs="Calibri"/>
              </w:rPr>
            </w:pPr>
            <w:proofErr w:type="spellStart"/>
            <w:r w:rsidRPr="00795289">
              <w:rPr>
                <w:rFonts w:ascii="Calibri" w:hAnsi="Calibri" w:cs="Calibri"/>
              </w:rPr>
              <w:t>ud</w:t>
            </w:r>
            <w:proofErr w:type="spellEnd"/>
          </w:p>
        </w:tc>
        <w:tc>
          <w:tcPr>
            <w:tcW w:w="4032" w:type="pct"/>
          </w:tcPr>
          <w:p w14:paraId="58497755" w14:textId="77777777" w:rsidR="00A94942" w:rsidRPr="00795289" w:rsidRDefault="00A94942" w:rsidP="00B70541">
            <w:pPr>
              <w:jc w:val="both"/>
              <w:rPr>
                <w:rFonts w:ascii="Calibri" w:hAnsi="Calibri" w:cs="Calibri"/>
              </w:rPr>
            </w:pPr>
            <w:r w:rsidRPr="00795289">
              <w:rPr>
                <w:rFonts w:ascii="Calibri" w:hAnsi="Calibri" w:cs="Calibri"/>
              </w:rPr>
              <w:t>RAMPA DE ESCAPE DEL VALLADO DESDE EL INTERIOR DE LA OBRA DE 1,5 M. DE ALTURA REALIZADA CON PIEDRA Y RECUBIERTA CON MALLA METÁLICA DE TRIPLE TORSIÓN DE ACERO GALVANIZADO DE 3,4 MM., SIENDO LAS MEDIDAS DE LA RAMPA DE 4 M. DE BASE, 1,5 M. DE ALTURA Y 1 M. DE ESPESOR, INCLUYENDO RELLENO DE PIEDRA, ATADO Y ATIRANTADO CON ALAMBRE GALVANIZADO. LA SUPERFICIE DE LA RAMPA SERÁ CUBIERTA CON TIERRA CON UN ESPESOR DE 10-15 CM., SOBRE UNA LÁMINA DE GEOTEXTIL NO TEJIDO.</w:t>
            </w:r>
          </w:p>
        </w:tc>
      </w:tr>
    </w:tbl>
    <w:p w14:paraId="18B140F7" w14:textId="77777777" w:rsidR="00A94942" w:rsidRPr="00AE4CF3" w:rsidRDefault="00A94942" w:rsidP="00A94942">
      <w:pPr>
        <w:rPr>
          <w:lang w:eastAsia="en-US"/>
        </w:rPr>
      </w:pPr>
    </w:p>
    <w:p w14:paraId="63160058" w14:textId="77777777" w:rsidR="00A94942" w:rsidRDefault="003A7D0F" w:rsidP="00A94942">
      <w:pPr>
        <w:pStyle w:val="NORMAL12"/>
        <w:rPr>
          <w:lang w:val="es-ES"/>
        </w:rPr>
      </w:pPr>
      <w:r w:rsidRPr="00AE4CF3">
        <w:rPr>
          <w:lang w:val="es-ES"/>
        </w:rPr>
        <w:t xml:space="preserve">Se refiere a las medidas correctoras aplicadas </w:t>
      </w:r>
      <w:proofErr w:type="gramStart"/>
      <w:r w:rsidRPr="00AE4CF3">
        <w:rPr>
          <w:lang w:val="es-ES"/>
        </w:rPr>
        <w:t>en relación a</w:t>
      </w:r>
      <w:proofErr w:type="gramEnd"/>
      <w:r w:rsidRPr="00AE4CF3">
        <w:rPr>
          <w:lang w:val="es-ES"/>
        </w:rPr>
        <w:t xml:space="preserve"> los pasos de fauna, rampas de escape y rampa de escape.</w:t>
      </w:r>
    </w:p>
    <w:p w14:paraId="5E182E25" w14:textId="77777777" w:rsidR="00AB0BA0" w:rsidRDefault="00AB0BA0" w:rsidP="000313DD">
      <w:pPr>
        <w:pStyle w:val="TITU2"/>
      </w:pPr>
      <w:bookmarkStart w:id="1658" w:name="_Toc404818"/>
      <w:r>
        <w:t>957.2. Materiales</w:t>
      </w:r>
      <w:bookmarkEnd w:id="1658"/>
    </w:p>
    <w:p w14:paraId="60AF3D25" w14:textId="77777777" w:rsidR="00AB0BA0" w:rsidRDefault="00AB0BA0" w:rsidP="00AB0BA0">
      <w:pPr>
        <w:pStyle w:val="NORMAL12"/>
        <w:rPr>
          <w:lang w:val="es-ES"/>
        </w:rPr>
      </w:pPr>
      <w:r>
        <w:rPr>
          <w:lang w:val="es-ES"/>
        </w:rPr>
        <w:t xml:space="preserve">La </w:t>
      </w:r>
      <w:r w:rsidR="000313DD">
        <w:rPr>
          <w:lang w:val="es-ES"/>
        </w:rPr>
        <w:t xml:space="preserve">hoja </w:t>
      </w:r>
      <w:r>
        <w:rPr>
          <w:lang w:val="es-ES"/>
        </w:rPr>
        <w:t xml:space="preserve">basculante será de dimensiones 50x50cm, estará compuesta por perfiles angulares de acero laminado resistente a la corrosión, tipo L40 y T80 con un espesor de las alas de seis milímetros (6 mm). Marco de aluminio que </w:t>
      </w:r>
      <w:r w:rsidR="005B1C42">
        <w:rPr>
          <w:lang w:val="es-ES"/>
        </w:rPr>
        <w:t>constituyen</w:t>
      </w:r>
      <w:r>
        <w:rPr>
          <w:lang w:val="es-ES"/>
        </w:rPr>
        <w:t xml:space="preserve"> la puerta</w:t>
      </w:r>
      <w:r w:rsidR="000313DD">
        <w:rPr>
          <w:lang w:val="es-ES"/>
        </w:rPr>
        <w:t xml:space="preserve"> que</w:t>
      </w:r>
      <w:r>
        <w:rPr>
          <w:lang w:val="es-ES"/>
        </w:rPr>
        <w:t xml:space="preserve"> dispone de malla metálica de acero recocido, de simple torsión de </w:t>
      </w:r>
      <w:r w:rsidR="005B1C42">
        <w:rPr>
          <w:lang w:val="es-ES"/>
        </w:rPr>
        <w:t>cuadrícula</w:t>
      </w:r>
      <w:r>
        <w:rPr>
          <w:lang w:val="es-ES"/>
        </w:rPr>
        <w:t xml:space="preserve"> 40x40 </w:t>
      </w:r>
      <w:r w:rsidR="005B1C42">
        <w:rPr>
          <w:lang w:val="es-ES"/>
        </w:rPr>
        <w:t>milímetros</w:t>
      </w:r>
      <w:r>
        <w:rPr>
          <w:lang w:val="es-ES"/>
        </w:rPr>
        <w:t xml:space="preserve">. El hormigón de la cimentación será tipo HM-20 y cumplirá las especificaciones del artículo 610 hormigones </w:t>
      </w:r>
      <w:r w:rsidR="0031718D">
        <w:rPr>
          <w:lang w:val="es-ES"/>
        </w:rPr>
        <w:t xml:space="preserve">del presente pliego </w:t>
      </w:r>
      <w:r>
        <w:rPr>
          <w:lang w:val="es-ES"/>
        </w:rPr>
        <w:t>y de la Instrucción EHE.</w:t>
      </w:r>
    </w:p>
    <w:p w14:paraId="3DC9B060" w14:textId="77777777" w:rsidR="00D16EF6" w:rsidRDefault="00D16EF6" w:rsidP="00AB0BA0">
      <w:pPr>
        <w:pStyle w:val="NORMAL12"/>
        <w:rPr>
          <w:lang w:val="es-ES"/>
        </w:rPr>
      </w:pPr>
      <w:r>
        <w:rPr>
          <w:lang w:val="es-ES"/>
        </w:rPr>
        <w:t>La malla de ocultación y guiado de anfibios está formada por tela metálica galvanizada, de cinco por cinco milímetros (5x5 mm) en la base del cerramiento.</w:t>
      </w:r>
    </w:p>
    <w:p w14:paraId="7D8016FB" w14:textId="77777777" w:rsidR="00AB0BA0" w:rsidRDefault="000313DD" w:rsidP="00AB0BA0">
      <w:pPr>
        <w:pStyle w:val="NORMAL12"/>
        <w:rPr>
          <w:lang w:val="es-ES"/>
        </w:rPr>
      </w:pPr>
      <w:r>
        <w:rPr>
          <w:lang w:val="es-ES"/>
        </w:rPr>
        <w:t xml:space="preserve">La rampa de escape </w:t>
      </w:r>
      <w:r w:rsidR="005B1C42">
        <w:rPr>
          <w:lang w:val="es-ES"/>
        </w:rPr>
        <w:t>estará</w:t>
      </w:r>
      <w:r>
        <w:rPr>
          <w:lang w:val="es-ES"/>
        </w:rPr>
        <w:t xml:space="preserve"> formada por piedra recubierta con malla metálica de simple torsión de acero galvani</w:t>
      </w:r>
      <w:r w:rsidR="00A17ABE">
        <w:rPr>
          <w:lang w:val="es-ES"/>
        </w:rPr>
        <w:t xml:space="preserve">zado de 3,4 </w:t>
      </w:r>
      <w:proofErr w:type="spellStart"/>
      <w:r w:rsidR="00A17ABE">
        <w:rPr>
          <w:lang w:val="es-ES"/>
        </w:rPr>
        <w:t>mm.</w:t>
      </w:r>
      <w:proofErr w:type="spellEnd"/>
      <w:r w:rsidR="00A17ABE">
        <w:rPr>
          <w:lang w:val="es-ES"/>
        </w:rPr>
        <w:t xml:space="preserve"> La superficie d</w:t>
      </w:r>
      <w:r>
        <w:rPr>
          <w:lang w:val="es-ES"/>
        </w:rPr>
        <w:t>e</w:t>
      </w:r>
      <w:r w:rsidR="00A17ABE">
        <w:rPr>
          <w:lang w:val="es-ES"/>
        </w:rPr>
        <w:t xml:space="preserve"> </w:t>
      </w:r>
      <w:r>
        <w:rPr>
          <w:lang w:val="es-ES"/>
        </w:rPr>
        <w:t>la rampa estará cubierta con tierra con un espesor de 10-15 cm sobre lámina de geotextil no tejido.</w:t>
      </w:r>
      <w:r w:rsidR="00AB0BA0">
        <w:rPr>
          <w:lang w:val="es-ES"/>
        </w:rPr>
        <w:t xml:space="preserve"> </w:t>
      </w:r>
    </w:p>
    <w:p w14:paraId="35FE9FA8" w14:textId="77777777" w:rsidR="003A7D0F" w:rsidRPr="00AE4CF3" w:rsidRDefault="00A94942" w:rsidP="000313DD">
      <w:pPr>
        <w:pStyle w:val="TITU2"/>
      </w:pPr>
      <w:bookmarkStart w:id="1659" w:name="_Toc404819"/>
      <w:r w:rsidRPr="00AE4CF3">
        <w:t>95</w:t>
      </w:r>
      <w:r w:rsidR="003A7D0F" w:rsidRPr="00AE4CF3">
        <w:t>7</w:t>
      </w:r>
      <w:r w:rsidRPr="00AE4CF3">
        <w:t>.</w:t>
      </w:r>
      <w:r w:rsidR="003A7D0F" w:rsidRPr="00AE4CF3">
        <w:t>3</w:t>
      </w:r>
      <w:r w:rsidRPr="00AE4CF3">
        <w:t xml:space="preserve">. </w:t>
      </w:r>
      <w:r w:rsidR="003A7D0F" w:rsidRPr="00AE4CF3">
        <w:t>Ejecución de los trabajos</w:t>
      </w:r>
      <w:bookmarkEnd w:id="1659"/>
    </w:p>
    <w:p w14:paraId="043FCF45" w14:textId="77777777" w:rsidR="003A7D0F" w:rsidRDefault="003A7D0F" w:rsidP="003A7D0F">
      <w:pPr>
        <w:pStyle w:val="NORMAL12"/>
        <w:rPr>
          <w:lang w:val="es-ES"/>
        </w:rPr>
      </w:pPr>
      <w:r w:rsidRPr="00AE4CF3">
        <w:rPr>
          <w:lang w:val="es-ES"/>
        </w:rPr>
        <w:t xml:space="preserve">El contratista propondrá según el anejo de medidas correctoras medioambientales los sistemas propuestos al </w:t>
      </w:r>
      <w:proofErr w:type="gramStart"/>
      <w:r w:rsidRPr="00AE4CF3">
        <w:rPr>
          <w:lang w:val="es-ES"/>
        </w:rPr>
        <w:t>Director</w:t>
      </w:r>
      <w:proofErr w:type="gramEnd"/>
      <w:r w:rsidRPr="00AE4CF3">
        <w:rPr>
          <w:lang w:val="es-ES"/>
        </w:rPr>
        <w:t xml:space="preserve"> de Obra para su aprobación</w:t>
      </w:r>
      <w:r w:rsidR="00AB0BA0">
        <w:rPr>
          <w:lang w:val="es-ES"/>
        </w:rPr>
        <w:t>.</w:t>
      </w:r>
    </w:p>
    <w:p w14:paraId="1EFF3860" w14:textId="77777777" w:rsidR="00C30FF2" w:rsidRDefault="00C30FF2" w:rsidP="003A7D0F">
      <w:pPr>
        <w:pStyle w:val="NORMAL12"/>
        <w:rPr>
          <w:lang w:val="es-ES"/>
        </w:rPr>
      </w:pPr>
      <w:r>
        <w:rPr>
          <w:lang w:val="es-ES"/>
        </w:rPr>
        <w:t>Para la ejecución de la hoja basculante se tendrá en cuenta:</w:t>
      </w:r>
    </w:p>
    <w:p w14:paraId="40227817" w14:textId="77777777" w:rsidR="00C30FF2" w:rsidRDefault="00C30FF2" w:rsidP="000313DD">
      <w:pPr>
        <w:pStyle w:val="NORMAL12"/>
        <w:numPr>
          <w:ilvl w:val="0"/>
          <w:numId w:val="264"/>
        </w:numPr>
        <w:rPr>
          <w:lang w:val="es-ES"/>
        </w:rPr>
      </w:pPr>
      <w:r>
        <w:rPr>
          <w:lang w:val="es-ES"/>
        </w:rPr>
        <w:t xml:space="preserve">Se realizará la cimentación mediante la apertura de dos hoyos de diámetro y profundidad no inferior a treinta y cinco (35) centímetros. </w:t>
      </w:r>
    </w:p>
    <w:p w14:paraId="0565F38F" w14:textId="77777777" w:rsidR="00C30FF2" w:rsidRDefault="00C30FF2" w:rsidP="000313DD">
      <w:pPr>
        <w:pStyle w:val="NORMAL12"/>
        <w:numPr>
          <w:ilvl w:val="0"/>
          <w:numId w:val="264"/>
        </w:numPr>
        <w:rPr>
          <w:lang w:val="es-ES"/>
        </w:rPr>
      </w:pPr>
      <w:r>
        <w:rPr>
          <w:lang w:val="es-ES"/>
        </w:rPr>
        <w:t xml:space="preserve">Una vez ejecutada el hormigonado con </w:t>
      </w:r>
      <w:r w:rsidR="005B1C42">
        <w:rPr>
          <w:lang w:val="es-ES"/>
        </w:rPr>
        <w:t>hormigón</w:t>
      </w:r>
      <w:r>
        <w:rPr>
          <w:lang w:val="es-ES"/>
        </w:rPr>
        <w:t xml:space="preserve"> HM-20 y a continuación se dispondrá de los perfiles L40 y el perfil transversal al que se soldarán dos pernios por cada marco a colocar.</w:t>
      </w:r>
    </w:p>
    <w:p w14:paraId="333D6953" w14:textId="77777777" w:rsidR="00C30FF2" w:rsidRDefault="00C30FF2" w:rsidP="000313DD">
      <w:pPr>
        <w:pStyle w:val="NORMAL12"/>
        <w:numPr>
          <w:ilvl w:val="0"/>
          <w:numId w:val="264"/>
        </w:numPr>
        <w:rPr>
          <w:lang w:val="es-ES"/>
        </w:rPr>
      </w:pPr>
      <w:r>
        <w:rPr>
          <w:lang w:val="es-ES"/>
        </w:rPr>
        <w:t xml:space="preserve">El marco de </w:t>
      </w:r>
      <w:r w:rsidR="005B1C42">
        <w:rPr>
          <w:lang w:val="es-ES"/>
        </w:rPr>
        <w:t>aluminio</w:t>
      </w:r>
      <w:r>
        <w:rPr>
          <w:lang w:val="es-ES"/>
        </w:rPr>
        <w:t xml:space="preserve"> con tela metálica, que actúa de puerta basculante, tendrá soldada una pletina como refuerzo, en la que se fijarán los pernios.</w:t>
      </w:r>
    </w:p>
    <w:p w14:paraId="55FE6DB7" w14:textId="77777777" w:rsidR="00C30FF2" w:rsidRDefault="00764319" w:rsidP="000313DD">
      <w:pPr>
        <w:pStyle w:val="NORMAL12"/>
        <w:numPr>
          <w:ilvl w:val="0"/>
          <w:numId w:val="264"/>
        </w:numPr>
        <w:rPr>
          <w:lang w:val="es-ES"/>
        </w:rPr>
      </w:pPr>
      <w:proofErr w:type="gramStart"/>
      <w:r>
        <w:rPr>
          <w:lang w:val="es-ES"/>
        </w:rPr>
        <w:t>Los perfiles de cada puerta basculante se fijará</w:t>
      </w:r>
      <w:proofErr w:type="gramEnd"/>
      <w:r>
        <w:rPr>
          <w:lang w:val="es-ES"/>
        </w:rPr>
        <w:t xml:space="preserve"> a la malla del </w:t>
      </w:r>
      <w:r w:rsidR="005B1C42">
        <w:rPr>
          <w:lang w:val="es-ES"/>
        </w:rPr>
        <w:t>cerramiento</w:t>
      </w:r>
      <w:r>
        <w:rPr>
          <w:lang w:val="es-ES"/>
        </w:rPr>
        <w:t xml:space="preserve">, mediante </w:t>
      </w:r>
      <w:proofErr w:type="spellStart"/>
      <w:r>
        <w:rPr>
          <w:lang w:val="es-ES"/>
        </w:rPr>
        <w:t>grupillas</w:t>
      </w:r>
      <w:proofErr w:type="spellEnd"/>
      <w:r>
        <w:rPr>
          <w:lang w:val="es-ES"/>
        </w:rPr>
        <w:t xml:space="preserve"> o sistemas similares que garanticen la resistencia de la estructura una vez tensada la malla de cerramiento.</w:t>
      </w:r>
    </w:p>
    <w:p w14:paraId="1CC3FA25" w14:textId="77777777" w:rsidR="00D16EF6" w:rsidRDefault="00D16EF6" w:rsidP="00D16EF6">
      <w:pPr>
        <w:pStyle w:val="NORMAL12"/>
        <w:rPr>
          <w:lang w:val="es-ES"/>
        </w:rPr>
      </w:pPr>
      <w:r>
        <w:rPr>
          <w:lang w:val="es-ES"/>
        </w:rPr>
        <w:t>La malla de ocultación, guiado de anfibios tendrá noventa centímetros (90 cm) de altura, situándose cincuenta centímetros (50 cm) sobre el terreno y otros cuarenta cen</w:t>
      </w:r>
      <w:r w:rsidR="00A17ABE">
        <w:rPr>
          <w:lang w:val="es-ES"/>
        </w:rPr>
        <w:t>t</w:t>
      </w:r>
      <w:r>
        <w:rPr>
          <w:lang w:val="es-ES"/>
        </w:rPr>
        <w:t xml:space="preserve">ímetros </w:t>
      </w:r>
      <w:r w:rsidR="005B1C42">
        <w:rPr>
          <w:lang w:val="es-ES"/>
        </w:rPr>
        <w:t>(40</w:t>
      </w:r>
      <w:r>
        <w:rPr>
          <w:lang w:val="es-ES"/>
        </w:rPr>
        <w:t xml:space="preserve"> </w:t>
      </w:r>
      <w:r w:rsidR="005B1C42">
        <w:rPr>
          <w:lang w:val="es-ES"/>
        </w:rPr>
        <w:t>cm)</w:t>
      </w:r>
      <w:r>
        <w:rPr>
          <w:lang w:val="es-ES"/>
        </w:rPr>
        <w:t xml:space="preserve"> enterrados.</w:t>
      </w:r>
    </w:p>
    <w:p w14:paraId="2560302A" w14:textId="77777777" w:rsidR="003A7D0F" w:rsidRDefault="003A7D0F" w:rsidP="003A7D0F">
      <w:pPr>
        <w:pStyle w:val="NORMAL12"/>
        <w:rPr>
          <w:lang w:val="es-ES"/>
        </w:rPr>
      </w:pPr>
      <w:r w:rsidRPr="00AE4CF3">
        <w:rPr>
          <w:lang w:val="es-ES"/>
        </w:rPr>
        <w:t xml:space="preserve">No se ejecutarán sin la autorización expresa del </w:t>
      </w:r>
      <w:proofErr w:type="gramStart"/>
      <w:r w:rsidRPr="00AE4CF3">
        <w:rPr>
          <w:lang w:val="es-ES"/>
        </w:rPr>
        <w:t>Director</w:t>
      </w:r>
      <w:proofErr w:type="gramEnd"/>
      <w:r w:rsidRPr="00AE4CF3">
        <w:rPr>
          <w:lang w:val="es-ES"/>
        </w:rPr>
        <w:t xml:space="preserve"> de las Obras. </w:t>
      </w:r>
    </w:p>
    <w:p w14:paraId="7624831C" w14:textId="77777777" w:rsidR="00545529" w:rsidRDefault="00AE4CF3" w:rsidP="003A7D0F">
      <w:pPr>
        <w:pStyle w:val="NORMAL12"/>
        <w:rPr>
          <w:lang w:val="es-ES"/>
        </w:rPr>
      </w:pPr>
      <w:r>
        <w:rPr>
          <w:lang w:val="es-ES"/>
        </w:rPr>
        <w:t xml:space="preserve">Los elementos instalados dispondrán de las características y dimensiones indicadas en la definición de la unidad y el anejo correspondiente. </w:t>
      </w:r>
    </w:p>
    <w:p w14:paraId="71C6D0CA" w14:textId="77777777" w:rsidR="00AE4CF3" w:rsidRPr="00545529" w:rsidRDefault="00545529" w:rsidP="003A7D0F">
      <w:pPr>
        <w:pStyle w:val="NORMAL12"/>
        <w:rPr>
          <w:sz w:val="2"/>
          <w:szCs w:val="2"/>
          <w:lang w:val="es-ES"/>
        </w:rPr>
      </w:pPr>
      <w:r>
        <w:rPr>
          <w:lang w:val="es-ES"/>
        </w:rPr>
        <w:br w:type="column"/>
      </w:r>
    </w:p>
    <w:p w14:paraId="7344CCE4" w14:textId="77777777" w:rsidR="00A94942" w:rsidRPr="00AE4CF3" w:rsidRDefault="00A94942" w:rsidP="000313DD">
      <w:pPr>
        <w:pStyle w:val="TITU2"/>
      </w:pPr>
      <w:bookmarkStart w:id="1660" w:name="_Toc404820"/>
      <w:r w:rsidRPr="00AE4CF3">
        <w:t>95</w:t>
      </w:r>
      <w:r w:rsidR="00AE4CF3" w:rsidRPr="00AE4CF3">
        <w:t>7</w:t>
      </w:r>
      <w:r w:rsidRPr="00AE4CF3">
        <w:t>.</w:t>
      </w:r>
      <w:r w:rsidR="00AE4CF3" w:rsidRPr="00AE4CF3">
        <w:t>4</w:t>
      </w:r>
      <w:r w:rsidRPr="00AE4CF3">
        <w:t>. Medición y abono</w:t>
      </w:r>
      <w:bookmarkEnd w:id="1660"/>
    </w:p>
    <w:p w14:paraId="31753C3E" w14:textId="77777777" w:rsidR="003A7D0F" w:rsidRPr="00AE4CF3" w:rsidRDefault="00A94942" w:rsidP="00A94942">
      <w:pPr>
        <w:pStyle w:val="NORMAL12"/>
        <w:rPr>
          <w:lang w:val="es-ES"/>
        </w:rPr>
      </w:pPr>
      <w:r w:rsidRPr="00AE4CF3">
        <w:rPr>
          <w:lang w:val="es-ES"/>
        </w:rPr>
        <w:t xml:space="preserve">La medición y abono de la </w:t>
      </w:r>
      <w:r w:rsidR="003A7D0F" w:rsidRPr="00AE4CF3">
        <w:rPr>
          <w:lang w:val="es-ES"/>
        </w:rPr>
        <w:t>estructura y rampa de esc</w:t>
      </w:r>
      <w:r w:rsidR="00AE4CF3" w:rsidRPr="00AE4CF3">
        <w:rPr>
          <w:lang w:val="es-ES"/>
        </w:rPr>
        <w:t>a</w:t>
      </w:r>
      <w:r w:rsidR="003A7D0F" w:rsidRPr="00AE4CF3">
        <w:rPr>
          <w:lang w:val="es-ES"/>
        </w:rPr>
        <w:t>p</w:t>
      </w:r>
      <w:r w:rsidR="00AE4CF3" w:rsidRPr="00AE4CF3">
        <w:rPr>
          <w:lang w:val="es-ES"/>
        </w:rPr>
        <w:t>e</w:t>
      </w:r>
      <w:r w:rsidR="003A7D0F" w:rsidRPr="00AE4CF3">
        <w:rPr>
          <w:lang w:val="es-ES"/>
        </w:rPr>
        <w:t xml:space="preserve"> de la fauna se </w:t>
      </w:r>
      <w:r w:rsidR="00F83B62" w:rsidRPr="00AE4CF3">
        <w:rPr>
          <w:lang w:val="es-ES"/>
        </w:rPr>
        <w:t>realizarán</w:t>
      </w:r>
      <w:r w:rsidR="003A7D0F" w:rsidRPr="00AE4CF3">
        <w:rPr>
          <w:lang w:val="es-ES"/>
        </w:rPr>
        <w:t xml:space="preserve"> según las especificaciones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AE4CF3" w:rsidRPr="00AE4CF3" w14:paraId="6BE72B99" w14:textId="77777777" w:rsidTr="001B51D9">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7994E246" w14:textId="77777777" w:rsidR="003A7D0F" w:rsidRPr="00AE4CF3" w:rsidRDefault="003A7D0F" w:rsidP="001B51D9">
            <w:pPr>
              <w:pStyle w:val="Tabla"/>
              <w:rPr>
                <w:b/>
              </w:rPr>
            </w:pPr>
            <w:r w:rsidRPr="00AE4CF3">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5FB989C5" w14:textId="77777777" w:rsidR="003A7D0F" w:rsidRPr="00AE4CF3" w:rsidRDefault="003A7D0F" w:rsidP="00B70541">
            <w:pPr>
              <w:pStyle w:val="LCATabla"/>
              <w:keepLines/>
              <w:jc w:val="both"/>
              <w:rPr>
                <w:rFonts w:ascii="Arial" w:hAnsi="Arial" w:cs="Arial"/>
                <w:sz w:val="20"/>
              </w:rPr>
            </w:pPr>
            <w:r w:rsidRPr="00AE4CF3">
              <w:rPr>
                <w:rFonts w:ascii="Arial" w:hAnsi="Arial" w:cs="Arial"/>
                <w:sz w:val="20"/>
              </w:rPr>
              <w:t>Unidad (</w:t>
            </w:r>
            <w:proofErr w:type="spellStart"/>
            <w:r w:rsidRPr="00AE4CF3">
              <w:rPr>
                <w:rFonts w:ascii="Arial" w:hAnsi="Arial" w:cs="Arial"/>
                <w:sz w:val="20"/>
              </w:rPr>
              <w:t>ud</w:t>
            </w:r>
            <w:proofErr w:type="spellEnd"/>
            <w:r w:rsidRPr="00AE4CF3">
              <w:rPr>
                <w:rFonts w:ascii="Arial" w:hAnsi="Arial" w:cs="Arial"/>
                <w:sz w:val="20"/>
              </w:rPr>
              <w:t>)</w:t>
            </w:r>
          </w:p>
        </w:tc>
      </w:tr>
      <w:tr w:rsidR="00AE4CF3" w:rsidRPr="00AE4CF3" w14:paraId="247E04D7" w14:textId="77777777" w:rsidTr="001B51D9">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1E806F0A" w14:textId="77777777" w:rsidR="003A7D0F" w:rsidRPr="00AE4CF3" w:rsidRDefault="003A7D0F" w:rsidP="001B51D9">
            <w:pPr>
              <w:pStyle w:val="Tabla"/>
              <w:rPr>
                <w:b/>
              </w:rPr>
            </w:pPr>
            <w:r w:rsidRPr="00AE4CF3">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4030A02F" w14:textId="77777777" w:rsidR="003A7D0F" w:rsidRPr="00AE4CF3" w:rsidRDefault="003A7D0F" w:rsidP="00B70541">
            <w:pPr>
              <w:pStyle w:val="LCATabla"/>
              <w:keepLines/>
              <w:jc w:val="both"/>
              <w:rPr>
                <w:rFonts w:ascii="Arial" w:hAnsi="Arial" w:cs="Arial"/>
                <w:sz w:val="20"/>
              </w:rPr>
            </w:pPr>
            <w:r w:rsidRPr="00AE4CF3">
              <w:rPr>
                <w:rFonts w:ascii="Arial" w:hAnsi="Arial" w:cs="Arial"/>
                <w:sz w:val="20"/>
              </w:rPr>
              <w:t>Número entero.</w:t>
            </w:r>
          </w:p>
        </w:tc>
      </w:tr>
      <w:tr w:rsidR="00AE4CF3" w:rsidRPr="00AE4CF3" w14:paraId="020BD3F9" w14:textId="77777777" w:rsidTr="001B51D9">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118C76D0" w14:textId="77777777" w:rsidR="003A7D0F" w:rsidRPr="00AE4CF3" w:rsidRDefault="003A7D0F" w:rsidP="001B51D9">
            <w:pPr>
              <w:pStyle w:val="Tabla"/>
              <w:rPr>
                <w:b/>
              </w:rPr>
            </w:pPr>
            <w:r w:rsidRPr="00AE4CF3">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54B6C0B5" w14:textId="77777777" w:rsidR="003A7D0F" w:rsidRPr="00AE4CF3" w:rsidRDefault="003A7D0F" w:rsidP="00B70541">
            <w:pPr>
              <w:pStyle w:val="LCATabla"/>
              <w:keepLines/>
              <w:jc w:val="both"/>
              <w:rPr>
                <w:rFonts w:ascii="Arial" w:hAnsi="Arial" w:cs="Arial"/>
                <w:sz w:val="20"/>
              </w:rPr>
            </w:pPr>
            <w:r w:rsidRPr="00AE4CF3">
              <w:rPr>
                <w:rFonts w:ascii="Arial" w:hAnsi="Arial" w:cs="Arial"/>
                <w:sz w:val="20"/>
              </w:rPr>
              <w:t>Número de estructuras o rampas de escape realmente ejecutadas</w:t>
            </w:r>
          </w:p>
        </w:tc>
      </w:tr>
      <w:tr w:rsidR="00AE4CF3" w:rsidRPr="00AE4CF3" w14:paraId="2A9CF9F3" w14:textId="77777777" w:rsidTr="001B51D9">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1ACFA05F" w14:textId="77777777" w:rsidR="003A7D0F" w:rsidRPr="00AE4CF3" w:rsidRDefault="003A7D0F" w:rsidP="001B51D9">
            <w:pPr>
              <w:pStyle w:val="Tabla"/>
              <w:rPr>
                <w:b/>
              </w:rPr>
            </w:pPr>
            <w:r w:rsidRPr="00AE4CF3">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2A4816BC" w14:textId="77777777" w:rsidR="003A7D0F" w:rsidRPr="00AE4CF3" w:rsidRDefault="003A7D0F" w:rsidP="00B70541">
            <w:pPr>
              <w:pStyle w:val="LCATabla"/>
              <w:keepLines/>
              <w:jc w:val="both"/>
              <w:rPr>
                <w:rFonts w:ascii="Arial" w:hAnsi="Arial" w:cs="Arial"/>
                <w:sz w:val="20"/>
              </w:rPr>
            </w:pPr>
            <w:r w:rsidRPr="00AE4CF3">
              <w:rPr>
                <w:rFonts w:ascii="Arial" w:hAnsi="Arial" w:cs="Arial"/>
                <w:sz w:val="20"/>
              </w:rPr>
              <w:t>Se efectuará cuando se realice la aceptación</w:t>
            </w:r>
          </w:p>
        </w:tc>
      </w:tr>
      <w:tr w:rsidR="00AE4CF3" w:rsidRPr="00AE4CF3" w14:paraId="22C80CB6" w14:textId="77777777" w:rsidTr="001B51D9">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632D95F9" w14:textId="77777777" w:rsidR="003A7D0F" w:rsidRPr="00AE4CF3" w:rsidRDefault="003A7D0F" w:rsidP="001B51D9">
            <w:pPr>
              <w:pStyle w:val="Tabla"/>
              <w:rPr>
                <w:b/>
              </w:rPr>
            </w:pPr>
            <w:r w:rsidRPr="00AE4CF3">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66DF6239" w14:textId="77777777" w:rsidR="003A7D0F" w:rsidRPr="00AE4CF3" w:rsidRDefault="003A7D0F" w:rsidP="00B70541">
            <w:pPr>
              <w:pStyle w:val="LCATabla"/>
              <w:keepLines/>
              <w:jc w:val="both"/>
              <w:rPr>
                <w:rFonts w:ascii="Arial" w:hAnsi="Arial" w:cs="Arial"/>
                <w:sz w:val="20"/>
              </w:rPr>
            </w:pPr>
            <w:r w:rsidRPr="00AE4CF3">
              <w:rPr>
                <w:rFonts w:ascii="Arial" w:hAnsi="Arial" w:cs="Arial"/>
                <w:sz w:val="20"/>
              </w:rPr>
              <w:t xml:space="preserve">El precio de la unidad incluye todos los materiales y medios necesarios para la correcta ejecución de la unidad aprobados por el </w:t>
            </w:r>
            <w:proofErr w:type="gramStart"/>
            <w:r w:rsidRPr="00AE4CF3">
              <w:rPr>
                <w:rFonts w:ascii="Arial" w:hAnsi="Arial" w:cs="Arial"/>
                <w:sz w:val="20"/>
              </w:rPr>
              <w:t>Director</w:t>
            </w:r>
            <w:proofErr w:type="gramEnd"/>
            <w:r w:rsidRPr="00AE4CF3">
              <w:rPr>
                <w:rFonts w:ascii="Arial" w:hAnsi="Arial" w:cs="Arial"/>
                <w:sz w:val="20"/>
              </w:rPr>
              <w:t xml:space="preserve"> de Obra.</w:t>
            </w:r>
          </w:p>
        </w:tc>
      </w:tr>
    </w:tbl>
    <w:p w14:paraId="6F9C5A16" w14:textId="77777777" w:rsidR="003A7D0F" w:rsidRPr="00AE4CF3" w:rsidRDefault="003A7D0F" w:rsidP="00A94942">
      <w:pPr>
        <w:pStyle w:val="NORMAL12"/>
        <w:rPr>
          <w:lang w:val="es-ES"/>
        </w:rPr>
      </w:pPr>
    </w:p>
    <w:p w14:paraId="5C38F221" w14:textId="77777777" w:rsidR="003A7D0F" w:rsidRPr="00AE4CF3" w:rsidRDefault="003A7D0F" w:rsidP="003A7D0F">
      <w:pPr>
        <w:pStyle w:val="NORMAL12"/>
        <w:rPr>
          <w:lang w:val="es-ES"/>
        </w:rPr>
      </w:pPr>
      <w:r w:rsidRPr="00AE4CF3">
        <w:rPr>
          <w:lang w:val="es-ES"/>
        </w:rPr>
        <w:t>La medición y abono de la malla de ocultación se realizará según las especificaciones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AE4CF3" w:rsidRPr="00AE4CF3" w14:paraId="4EA5A5B6" w14:textId="77777777" w:rsidTr="001B51D9">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0FADCACF" w14:textId="77777777" w:rsidR="00A94942" w:rsidRPr="00AE4CF3" w:rsidRDefault="00A94942" w:rsidP="001B51D9">
            <w:pPr>
              <w:pStyle w:val="Tabla"/>
              <w:rPr>
                <w:b/>
              </w:rPr>
            </w:pPr>
            <w:r w:rsidRPr="00AE4CF3">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194A337B" w14:textId="77777777" w:rsidR="00A94942" w:rsidRPr="00AE4CF3" w:rsidRDefault="00A94942" w:rsidP="00B70541">
            <w:pPr>
              <w:pStyle w:val="LCATabla"/>
              <w:keepLines/>
              <w:jc w:val="both"/>
              <w:rPr>
                <w:rFonts w:ascii="Arial" w:hAnsi="Arial" w:cs="Arial"/>
                <w:sz w:val="20"/>
              </w:rPr>
            </w:pPr>
            <w:r w:rsidRPr="00AE4CF3">
              <w:rPr>
                <w:rFonts w:ascii="Arial" w:hAnsi="Arial" w:cs="Arial"/>
                <w:sz w:val="20"/>
              </w:rPr>
              <w:t>Metro (m)</w:t>
            </w:r>
          </w:p>
        </w:tc>
      </w:tr>
      <w:tr w:rsidR="00AE4CF3" w:rsidRPr="00AE4CF3" w14:paraId="0CA62814" w14:textId="77777777" w:rsidTr="001B51D9">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43D32184" w14:textId="77777777" w:rsidR="00A94942" w:rsidRPr="00AE4CF3" w:rsidRDefault="00A94942" w:rsidP="001B51D9">
            <w:pPr>
              <w:pStyle w:val="Tabla"/>
              <w:rPr>
                <w:b/>
              </w:rPr>
            </w:pPr>
            <w:r w:rsidRPr="00AE4CF3">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15B99C19" w14:textId="77777777" w:rsidR="00A94942" w:rsidRPr="00AE4CF3" w:rsidRDefault="00A94942" w:rsidP="00B70541">
            <w:pPr>
              <w:pStyle w:val="LCATabla"/>
              <w:keepLines/>
              <w:jc w:val="both"/>
              <w:rPr>
                <w:rFonts w:ascii="Arial" w:hAnsi="Arial" w:cs="Arial"/>
                <w:sz w:val="20"/>
              </w:rPr>
            </w:pPr>
            <w:r w:rsidRPr="00AE4CF3">
              <w:rPr>
                <w:rFonts w:ascii="Arial" w:hAnsi="Arial" w:cs="Arial"/>
                <w:sz w:val="20"/>
              </w:rPr>
              <w:t>Dos decimales.</w:t>
            </w:r>
          </w:p>
        </w:tc>
      </w:tr>
      <w:tr w:rsidR="00AE4CF3" w:rsidRPr="00AE4CF3" w14:paraId="64045624" w14:textId="77777777" w:rsidTr="001B51D9">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5D5C3532" w14:textId="77777777" w:rsidR="00A94942" w:rsidRPr="00AE4CF3" w:rsidRDefault="00A94942" w:rsidP="001B51D9">
            <w:pPr>
              <w:pStyle w:val="Tabla"/>
              <w:rPr>
                <w:b/>
              </w:rPr>
            </w:pPr>
            <w:r w:rsidRPr="00AE4CF3">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3571A644" w14:textId="77777777" w:rsidR="00A94942" w:rsidRPr="00AE4CF3" w:rsidRDefault="003A7D0F" w:rsidP="00B70541">
            <w:pPr>
              <w:pStyle w:val="LCATabla"/>
              <w:keepLines/>
              <w:jc w:val="both"/>
              <w:rPr>
                <w:rFonts w:ascii="Arial" w:hAnsi="Arial" w:cs="Arial"/>
                <w:sz w:val="20"/>
              </w:rPr>
            </w:pPr>
            <w:r w:rsidRPr="00AE4CF3">
              <w:rPr>
                <w:rFonts w:ascii="Arial" w:hAnsi="Arial" w:cs="Arial"/>
                <w:sz w:val="20"/>
              </w:rPr>
              <w:t>Longitud de malla de ocultación realmente ejecutada</w:t>
            </w:r>
            <w:r w:rsidR="00A94942" w:rsidRPr="00AE4CF3">
              <w:rPr>
                <w:rFonts w:ascii="Arial" w:hAnsi="Arial" w:cs="Arial"/>
                <w:sz w:val="20"/>
              </w:rPr>
              <w:t xml:space="preserve">  </w:t>
            </w:r>
          </w:p>
        </w:tc>
      </w:tr>
      <w:tr w:rsidR="00AE4CF3" w:rsidRPr="00AE4CF3" w14:paraId="447687D4" w14:textId="77777777" w:rsidTr="001B51D9">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1569A24F" w14:textId="77777777" w:rsidR="00A94942" w:rsidRPr="00AE4CF3" w:rsidRDefault="00A94942" w:rsidP="001B51D9">
            <w:pPr>
              <w:pStyle w:val="Tabla"/>
              <w:rPr>
                <w:b/>
              </w:rPr>
            </w:pPr>
            <w:r w:rsidRPr="00AE4CF3">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10847483" w14:textId="77777777" w:rsidR="00A94942" w:rsidRPr="00AE4CF3" w:rsidRDefault="00A94942" w:rsidP="00B70541">
            <w:pPr>
              <w:pStyle w:val="LCATabla"/>
              <w:keepLines/>
              <w:jc w:val="both"/>
              <w:rPr>
                <w:rFonts w:ascii="Arial" w:hAnsi="Arial" w:cs="Arial"/>
                <w:sz w:val="20"/>
              </w:rPr>
            </w:pPr>
            <w:r w:rsidRPr="00AE4CF3">
              <w:rPr>
                <w:rFonts w:ascii="Arial" w:hAnsi="Arial" w:cs="Arial"/>
                <w:sz w:val="20"/>
              </w:rPr>
              <w:t>Se efectuará cuando se realice la aceptación</w:t>
            </w:r>
          </w:p>
        </w:tc>
      </w:tr>
      <w:tr w:rsidR="00AE4CF3" w:rsidRPr="00AE4CF3" w14:paraId="59CF98E0" w14:textId="77777777" w:rsidTr="001B51D9">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12459960" w14:textId="77777777" w:rsidR="00A94942" w:rsidRPr="00AE4CF3" w:rsidRDefault="00A94942" w:rsidP="001B51D9">
            <w:pPr>
              <w:pStyle w:val="Tabla"/>
              <w:rPr>
                <w:b/>
              </w:rPr>
            </w:pPr>
            <w:r w:rsidRPr="00AE4CF3">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1319A4AF" w14:textId="77777777" w:rsidR="00A94942" w:rsidRPr="00AE4CF3" w:rsidRDefault="00A94942" w:rsidP="00B70541">
            <w:pPr>
              <w:pStyle w:val="LCATabla"/>
              <w:keepLines/>
              <w:jc w:val="both"/>
              <w:rPr>
                <w:rFonts w:ascii="Arial" w:hAnsi="Arial" w:cs="Arial"/>
                <w:sz w:val="20"/>
              </w:rPr>
            </w:pPr>
            <w:r w:rsidRPr="00AE4CF3">
              <w:rPr>
                <w:rFonts w:ascii="Arial" w:hAnsi="Arial" w:cs="Arial"/>
                <w:sz w:val="20"/>
              </w:rPr>
              <w:t xml:space="preserve">El precio de la unidad incluye todos los materiales y medios necesarios para la correcta ejecución de la unidad. </w:t>
            </w:r>
          </w:p>
        </w:tc>
      </w:tr>
    </w:tbl>
    <w:p w14:paraId="0C28B846" w14:textId="77777777" w:rsidR="002E7C4B" w:rsidRPr="002D1B57" w:rsidRDefault="002E7C4B" w:rsidP="00C71359">
      <w:pPr>
        <w:spacing w:before="120" w:after="120"/>
        <w:rPr>
          <w:rFonts w:ascii="Arial" w:hAnsi="Arial" w:cs="Arial"/>
          <w:strike/>
        </w:rPr>
      </w:pPr>
    </w:p>
    <w:p w14:paraId="11320251" w14:textId="77777777" w:rsidR="00AE4CF3" w:rsidRDefault="00AE4CF3" w:rsidP="00C71359">
      <w:pPr>
        <w:spacing w:before="120" w:after="120"/>
        <w:rPr>
          <w:rFonts w:ascii="Arial" w:hAnsi="Arial" w:cs="Arial"/>
        </w:rPr>
      </w:pPr>
    </w:p>
    <w:p w14:paraId="468F8955" w14:textId="77777777" w:rsidR="00AE4CF3" w:rsidRPr="00FE583F" w:rsidRDefault="00AE4CF3" w:rsidP="00AE4CF3">
      <w:pPr>
        <w:pStyle w:val="TITU1"/>
      </w:pPr>
      <w:bookmarkStart w:id="1661" w:name="_Toc404821"/>
      <w:r w:rsidRPr="00FE583F">
        <w:lastRenderedPageBreak/>
        <w:t>Artículo 95</w:t>
      </w:r>
      <w:r w:rsidR="00C32EF3" w:rsidRPr="00FE583F">
        <w:t>9</w:t>
      </w:r>
      <w:r w:rsidRPr="00FE583F">
        <w:t xml:space="preserve">. </w:t>
      </w:r>
      <w:r w:rsidR="00C32EF3" w:rsidRPr="00FE583F">
        <w:t>Malla metálica</w:t>
      </w:r>
      <w:bookmarkEnd w:id="1661"/>
    </w:p>
    <w:p w14:paraId="0B946CA8" w14:textId="77777777" w:rsidR="00AE4CF3" w:rsidRDefault="00AE4CF3" w:rsidP="000313DD">
      <w:pPr>
        <w:pStyle w:val="TITU2"/>
      </w:pPr>
      <w:bookmarkStart w:id="1662" w:name="_Toc404822"/>
      <w:r w:rsidRPr="00C71359">
        <w:t>95</w:t>
      </w:r>
      <w:r w:rsidR="00303581">
        <w:t>9</w:t>
      </w:r>
      <w:r w:rsidRPr="00C71359">
        <w:t>.1. Definición y aplicación</w:t>
      </w:r>
      <w:bookmarkEnd w:id="1662"/>
    </w:p>
    <w:p w14:paraId="58191649" w14:textId="77777777" w:rsidR="00303581" w:rsidRPr="00303581" w:rsidRDefault="00303581" w:rsidP="00303581">
      <w:pPr>
        <w:tabs>
          <w:tab w:val="left" w:pos="993"/>
          <w:tab w:val="left" w:pos="1985"/>
          <w:tab w:val="left" w:pos="2268"/>
        </w:tabs>
        <w:suppressAutoHyphens/>
        <w:spacing w:before="120" w:after="120" w:line="360" w:lineRule="auto"/>
        <w:jc w:val="both"/>
        <w:rPr>
          <w:rFonts w:ascii="Arial" w:hAnsi="Arial" w:cs="Arial"/>
          <w:lang w:eastAsia="en-US"/>
        </w:rPr>
      </w:pPr>
      <w:r w:rsidRPr="00303581">
        <w:rPr>
          <w:rFonts w:ascii="Arial" w:hAnsi="Arial" w:cs="Arial"/>
          <w:lang w:eastAsia="en-US"/>
        </w:rPr>
        <w:t>Consiste en la construcción de los cerramientos de las fincas afectadas por la traza, debido al desplazamiento de ésta que obliga al retranqueo de aquéllas a un nuevo emplazamiento.</w:t>
      </w:r>
    </w:p>
    <w:p w14:paraId="5578E3A2" w14:textId="77777777" w:rsidR="00AE4CF3" w:rsidRDefault="00AE4CF3" w:rsidP="00AE4CF3">
      <w:pPr>
        <w:pStyle w:val="NORMAL12"/>
        <w:rPr>
          <w:lang w:val="es-ES"/>
        </w:rPr>
      </w:pPr>
      <w:r w:rsidRPr="00C71359">
        <w:rPr>
          <w:lang w:val="es-ES"/>
        </w:rPr>
        <w:t xml:space="preserve">Las prescripciones de este artículo </w:t>
      </w:r>
      <w:proofErr w:type="gramStart"/>
      <w:r w:rsidRPr="00C71359">
        <w:rPr>
          <w:lang w:val="es-ES"/>
        </w:rPr>
        <w:t>son de aplicación</w:t>
      </w:r>
      <w:proofErr w:type="gramEnd"/>
      <w:r w:rsidRPr="00C71359">
        <w:rPr>
          <w:lang w:val="es-ES"/>
        </w:rPr>
        <w:t xml:space="preserve"> a las unidades de obra siguientes:</w:t>
      </w:r>
    </w:p>
    <w:tbl>
      <w:tblPr>
        <w:tblW w:w="5000" w:type="pct"/>
        <w:tblCellMar>
          <w:left w:w="70" w:type="dxa"/>
          <w:right w:w="70" w:type="dxa"/>
        </w:tblCellMar>
        <w:tblLook w:val="04A0" w:firstRow="1" w:lastRow="0" w:firstColumn="1" w:lastColumn="0" w:noHBand="0" w:noVBand="1"/>
      </w:tblPr>
      <w:tblGrid>
        <w:gridCol w:w="1207"/>
        <w:gridCol w:w="714"/>
        <w:gridCol w:w="7999"/>
      </w:tblGrid>
      <w:tr w:rsidR="00AE4CF3" w:rsidRPr="00C71359" w14:paraId="2D402420" w14:textId="77777777" w:rsidTr="00303581">
        <w:trPr>
          <w:trHeight w:val="419"/>
        </w:trPr>
        <w:tc>
          <w:tcPr>
            <w:tcW w:w="608" w:type="pct"/>
            <w:noWrap/>
          </w:tcPr>
          <w:p w14:paraId="19C19406" w14:textId="77777777" w:rsidR="00AE4CF3" w:rsidRPr="00F476CB" w:rsidRDefault="00AE4CF3" w:rsidP="001B51D9">
            <w:pPr>
              <w:rPr>
                <w:rFonts w:ascii="Calibri" w:hAnsi="Calibri" w:cs="Calibri"/>
              </w:rPr>
            </w:pPr>
            <w:r w:rsidRPr="00F476CB">
              <w:rPr>
                <w:rFonts w:ascii="Calibri" w:hAnsi="Calibri" w:cs="Calibri"/>
              </w:rPr>
              <w:t xml:space="preserve">801.1004N         </w:t>
            </w:r>
          </w:p>
        </w:tc>
        <w:tc>
          <w:tcPr>
            <w:tcW w:w="360" w:type="pct"/>
            <w:noWrap/>
          </w:tcPr>
          <w:p w14:paraId="32585950" w14:textId="77777777" w:rsidR="00AE4CF3" w:rsidRPr="00F476CB" w:rsidRDefault="00AE4CF3" w:rsidP="001B51D9">
            <w:pPr>
              <w:rPr>
                <w:rFonts w:ascii="Calibri" w:hAnsi="Calibri" w:cs="Calibri"/>
              </w:rPr>
            </w:pPr>
            <w:r w:rsidRPr="00F476CB">
              <w:rPr>
                <w:rFonts w:ascii="Calibri" w:hAnsi="Calibri" w:cs="Calibri"/>
              </w:rPr>
              <w:t>m</w:t>
            </w:r>
          </w:p>
        </w:tc>
        <w:tc>
          <w:tcPr>
            <w:tcW w:w="4032" w:type="pct"/>
          </w:tcPr>
          <w:p w14:paraId="02670F35" w14:textId="77777777" w:rsidR="00AE4CF3" w:rsidRPr="00F476CB" w:rsidRDefault="00AE4CF3" w:rsidP="004E38CE">
            <w:pPr>
              <w:jc w:val="both"/>
              <w:rPr>
                <w:rFonts w:ascii="Calibri" w:hAnsi="Calibri" w:cs="Calibri"/>
              </w:rPr>
            </w:pPr>
            <w:r w:rsidRPr="00F476CB">
              <w:rPr>
                <w:rFonts w:ascii="Calibri" w:hAnsi="Calibri" w:cs="Calibri"/>
              </w:rPr>
              <w:t>CERCADO DE 200 CM DE ALTURA REALIZADO CON MALLA METÁLICA DE TRIPLE TORSIÓN GALVANIZADA Y POSTES DE TUBO DE DIÁMETRO 48 MM DE ACERO GALVANIZADO DISPUESTOS CADA 2 M, INCLUSO REPLANTEO, RECIBIDO DE LOS POSTES CON HORMIGÓN HM-20/P/20/I Y PARTE PROPORCIONAL DE LOS SOPORTES RIGIDIZADORES CON MORTERO DE CEMENTO, NIVELACIÓN Y APLOMADO DE LOS MISMOS, COLOCACIÓN Y TENSADO DE LA MALLA, MERMAS Y DESPUNTES. MEDIDA LA LONGITUD EJECUTADA.</w:t>
            </w:r>
          </w:p>
          <w:p w14:paraId="46BF201F" w14:textId="77777777" w:rsidR="008D655D" w:rsidRPr="00F476CB" w:rsidRDefault="008D655D" w:rsidP="004E38CE">
            <w:pPr>
              <w:jc w:val="both"/>
              <w:rPr>
                <w:rFonts w:ascii="Calibri" w:hAnsi="Calibri" w:cs="Calibri"/>
              </w:rPr>
            </w:pPr>
          </w:p>
        </w:tc>
      </w:tr>
      <w:tr w:rsidR="008D655D" w:rsidRPr="00C71359" w14:paraId="6F0DB4E5" w14:textId="77777777" w:rsidTr="00303581">
        <w:trPr>
          <w:trHeight w:val="419"/>
        </w:trPr>
        <w:tc>
          <w:tcPr>
            <w:tcW w:w="608" w:type="pct"/>
            <w:noWrap/>
          </w:tcPr>
          <w:p w14:paraId="10B6A875" w14:textId="77777777" w:rsidR="008D655D" w:rsidRPr="00F476CB" w:rsidRDefault="008D655D" w:rsidP="001B51D9">
            <w:pPr>
              <w:rPr>
                <w:rFonts w:ascii="Calibri" w:hAnsi="Calibri" w:cs="Calibri"/>
                <w:color w:val="000000"/>
              </w:rPr>
            </w:pPr>
            <w:r w:rsidRPr="00F476CB">
              <w:rPr>
                <w:rFonts w:ascii="Calibri" w:hAnsi="Calibri" w:cs="Calibri"/>
                <w:color w:val="000000"/>
              </w:rPr>
              <w:t xml:space="preserve">801.0020          </w:t>
            </w:r>
          </w:p>
        </w:tc>
        <w:tc>
          <w:tcPr>
            <w:tcW w:w="360" w:type="pct"/>
            <w:noWrap/>
          </w:tcPr>
          <w:p w14:paraId="4A695942" w14:textId="77777777" w:rsidR="008D655D" w:rsidRPr="00F476CB" w:rsidRDefault="008D655D" w:rsidP="001B51D9">
            <w:pPr>
              <w:rPr>
                <w:rFonts w:ascii="Calibri" w:hAnsi="Calibri" w:cs="Calibri"/>
                <w:color w:val="000000"/>
              </w:rPr>
            </w:pPr>
            <w:r w:rsidRPr="00F476CB">
              <w:rPr>
                <w:rFonts w:ascii="Calibri" w:hAnsi="Calibri" w:cs="Calibri"/>
                <w:color w:val="000000"/>
              </w:rPr>
              <w:t>m</w:t>
            </w:r>
          </w:p>
        </w:tc>
        <w:tc>
          <w:tcPr>
            <w:tcW w:w="4032" w:type="pct"/>
          </w:tcPr>
          <w:p w14:paraId="46922120" w14:textId="77777777" w:rsidR="008D655D" w:rsidRPr="00F476CB" w:rsidRDefault="008D655D" w:rsidP="004E38CE">
            <w:pPr>
              <w:jc w:val="both"/>
              <w:rPr>
                <w:rFonts w:ascii="Calibri" w:hAnsi="Calibri" w:cs="Calibri"/>
                <w:color w:val="000000"/>
              </w:rPr>
            </w:pPr>
            <w:r w:rsidRPr="00F476CB">
              <w:rPr>
                <w:rFonts w:ascii="Calibri" w:hAnsi="Calibri" w:cs="Calibri"/>
                <w:color w:val="000000"/>
              </w:rPr>
              <w:t xml:space="preserve">PROTECCIÓN ZONAS SENSIBLES. MÁRGENES DE LOS RÍOS NORA Y NOREÑA </w:t>
            </w:r>
            <w:r w:rsidRPr="00F476CB">
              <w:rPr>
                <w:rFonts w:ascii="Calibri" w:hAnsi="Calibri" w:cs="Calibri"/>
                <w:color w:val="000000"/>
              </w:rPr>
              <w:br/>
              <w:t>DELIMITACIÓN DEL PERÍMETRO DE OBRA CON MALLA DE 1,5 m DE ALTURA SUJETA CON REDONDOS DE ACERO CADA 2 m, TOTALMENTE COLOCADA i/ RETIRADA DE LA MISMA AL FINALIZAR LA ACTIVIDAD.</w:t>
            </w:r>
          </w:p>
        </w:tc>
      </w:tr>
    </w:tbl>
    <w:p w14:paraId="7BE1A116" w14:textId="77777777" w:rsidR="0024770C" w:rsidRDefault="0024770C" w:rsidP="00303581">
      <w:pPr>
        <w:pStyle w:val="NORMAL12"/>
        <w:rPr>
          <w:lang w:val="es-ES"/>
        </w:rPr>
      </w:pPr>
    </w:p>
    <w:p w14:paraId="19EDB86A" w14:textId="77777777" w:rsidR="00303581" w:rsidRDefault="00303581" w:rsidP="00303581">
      <w:pPr>
        <w:pStyle w:val="NORMAL12"/>
        <w:rPr>
          <w:lang w:val="es-ES"/>
        </w:rPr>
      </w:pPr>
      <w:r>
        <w:rPr>
          <w:lang w:val="es-ES"/>
        </w:rPr>
        <w:t>La ejecución de la unidad incluye la realización de las operaciones siguientes:</w:t>
      </w:r>
    </w:p>
    <w:p w14:paraId="4FC871E1" w14:textId="77777777" w:rsidR="00303581" w:rsidRDefault="00303581" w:rsidP="000313DD">
      <w:pPr>
        <w:pStyle w:val="NORMAL12"/>
        <w:numPr>
          <w:ilvl w:val="0"/>
          <w:numId w:val="230"/>
        </w:numPr>
        <w:rPr>
          <w:lang w:val="es-ES"/>
        </w:rPr>
      </w:pPr>
      <w:r>
        <w:rPr>
          <w:lang w:val="es-ES"/>
        </w:rPr>
        <w:t>Replanteo de la valla</w:t>
      </w:r>
    </w:p>
    <w:p w14:paraId="57C5A77E" w14:textId="77777777" w:rsidR="00303581" w:rsidRDefault="00303581" w:rsidP="000313DD">
      <w:pPr>
        <w:pStyle w:val="NORMAL12"/>
        <w:numPr>
          <w:ilvl w:val="0"/>
          <w:numId w:val="230"/>
        </w:numPr>
        <w:rPr>
          <w:lang w:val="es-ES"/>
        </w:rPr>
      </w:pPr>
      <w:r>
        <w:rPr>
          <w:lang w:val="es-ES"/>
        </w:rPr>
        <w:t>Construcción de la cimentación</w:t>
      </w:r>
    </w:p>
    <w:p w14:paraId="54B7760C" w14:textId="77777777" w:rsidR="00303581" w:rsidRDefault="00303581" w:rsidP="000313DD">
      <w:pPr>
        <w:pStyle w:val="NORMAL12"/>
        <w:numPr>
          <w:ilvl w:val="0"/>
          <w:numId w:val="230"/>
        </w:numPr>
        <w:rPr>
          <w:lang w:val="es-ES"/>
        </w:rPr>
      </w:pPr>
      <w:r>
        <w:rPr>
          <w:lang w:val="es-ES"/>
        </w:rPr>
        <w:t>Colocación y aplomado de los postes de postes de sustentación.</w:t>
      </w:r>
    </w:p>
    <w:p w14:paraId="1D388C11" w14:textId="77777777" w:rsidR="00303581" w:rsidRDefault="00303581" w:rsidP="000313DD">
      <w:pPr>
        <w:pStyle w:val="NORMAL12"/>
        <w:numPr>
          <w:ilvl w:val="0"/>
          <w:numId w:val="230"/>
        </w:numPr>
        <w:rPr>
          <w:lang w:val="es-ES"/>
        </w:rPr>
      </w:pPr>
      <w:r>
        <w:rPr>
          <w:lang w:val="es-ES"/>
        </w:rPr>
        <w:t>Colocación y tensado de la malla.</w:t>
      </w:r>
    </w:p>
    <w:p w14:paraId="1D623C9F" w14:textId="77777777" w:rsidR="00AE4CF3" w:rsidRDefault="00AE4CF3" w:rsidP="000313DD">
      <w:pPr>
        <w:pStyle w:val="TITU2"/>
      </w:pPr>
      <w:bookmarkStart w:id="1663" w:name="_Toc404823"/>
      <w:r w:rsidRPr="00550899">
        <w:t>95</w:t>
      </w:r>
      <w:r w:rsidR="00303581" w:rsidRPr="00550899">
        <w:t>9</w:t>
      </w:r>
      <w:r w:rsidRPr="00550899">
        <w:t xml:space="preserve">.2. </w:t>
      </w:r>
      <w:r w:rsidR="00550899" w:rsidRPr="00550899">
        <w:t>Materiales</w:t>
      </w:r>
      <w:bookmarkEnd w:id="1663"/>
    </w:p>
    <w:p w14:paraId="5CBC6E6F" w14:textId="77777777" w:rsidR="008D655D" w:rsidRPr="008D655D" w:rsidRDefault="008D655D" w:rsidP="008D655D">
      <w:pPr>
        <w:pStyle w:val="NORMAL12"/>
        <w:rPr>
          <w:i/>
          <w:u w:val="single"/>
          <w:lang w:val="es-ES"/>
        </w:rPr>
      </w:pPr>
      <w:r w:rsidRPr="008D655D">
        <w:rPr>
          <w:i/>
          <w:u w:val="single"/>
          <w:lang w:val="es-ES"/>
        </w:rPr>
        <w:t>Malla metálica de triple torsión</w:t>
      </w:r>
    </w:p>
    <w:p w14:paraId="43E58DE3" w14:textId="77777777" w:rsidR="00FC3390" w:rsidRDefault="00FC3390" w:rsidP="00550899">
      <w:pPr>
        <w:tabs>
          <w:tab w:val="left" w:pos="993"/>
          <w:tab w:val="left" w:pos="1985"/>
          <w:tab w:val="left" w:pos="2268"/>
        </w:tabs>
        <w:suppressAutoHyphens/>
        <w:spacing w:before="120" w:after="120" w:line="360" w:lineRule="auto"/>
        <w:jc w:val="both"/>
        <w:rPr>
          <w:rFonts w:ascii="Arial" w:hAnsi="Arial" w:cs="Arial"/>
        </w:rPr>
      </w:pPr>
      <w:r>
        <w:rPr>
          <w:rFonts w:ascii="Arial" w:hAnsi="Arial" w:cs="Arial"/>
        </w:rPr>
        <w:t>E</w:t>
      </w:r>
      <w:r w:rsidRPr="00D6289E">
        <w:rPr>
          <w:rFonts w:ascii="Arial" w:hAnsi="Arial" w:cs="Arial"/>
        </w:rPr>
        <w:t>l cerramiento estará formado por malla metálica consistente, de triple torsión, con 2,</w:t>
      </w:r>
      <w:r>
        <w:rPr>
          <w:rFonts w:ascii="Arial" w:hAnsi="Arial" w:cs="Arial"/>
        </w:rPr>
        <w:t>00</w:t>
      </w:r>
      <w:r w:rsidRPr="00D6289E">
        <w:rPr>
          <w:rFonts w:ascii="Arial" w:hAnsi="Arial" w:cs="Arial"/>
        </w:rPr>
        <w:t xml:space="preserve"> m</w:t>
      </w:r>
      <w:r>
        <w:rPr>
          <w:rFonts w:ascii="Arial" w:hAnsi="Arial" w:cs="Arial"/>
        </w:rPr>
        <w:t xml:space="preserve"> </w:t>
      </w:r>
      <w:r w:rsidRPr="00D6289E">
        <w:rPr>
          <w:rFonts w:ascii="Arial" w:hAnsi="Arial" w:cs="Arial"/>
        </w:rPr>
        <w:t xml:space="preserve">de altura mínima y postes tubulares de acero colocados cada </w:t>
      </w:r>
      <w:r>
        <w:rPr>
          <w:rFonts w:ascii="Arial" w:hAnsi="Arial" w:cs="Arial"/>
        </w:rPr>
        <w:t>2</w:t>
      </w:r>
      <w:r w:rsidRPr="00D6289E">
        <w:rPr>
          <w:rFonts w:ascii="Arial" w:hAnsi="Arial" w:cs="Arial"/>
        </w:rPr>
        <w:t>,</w:t>
      </w:r>
      <w:r>
        <w:rPr>
          <w:rFonts w:ascii="Arial" w:hAnsi="Arial" w:cs="Arial"/>
        </w:rPr>
        <w:t>0</w:t>
      </w:r>
      <w:r w:rsidRPr="00D6289E">
        <w:rPr>
          <w:rFonts w:ascii="Arial" w:hAnsi="Arial" w:cs="Arial"/>
        </w:rPr>
        <w:t xml:space="preserve"> m. Se enterrará la malla</w:t>
      </w:r>
      <w:r>
        <w:rPr>
          <w:rFonts w:ascii="Arial" w:hAnsi="Arial" w:cs="Arial"/>
        </w:rPr>
        <w:t xml:space="preserve"> </w:t>
      </w:r>
      <w:r w:rsidRPr="00D6289E">
        <w:rPr>
          <w:rFonts w:ascii="Arial" w:hAnsi="Arial" w:cs="Arial"/>
        </w:rPr>
        <w:t>40 cm en el terreno para impedir la excavación y el paso de animales bajo el mismo y a la</w:t>
      </w:r>
      <w:r>
        <w:rPr>
          <w:rFonts w:ascii="Arial" w:hAnsi="Arial" w:cs="Arial"/>
        </w:rPr>
        <w:t xml:space="preserve"> </w:t>
      </w:r>
      <w:r w:rsidRPr="00D6289E">
        <w:rPr>
          <w:rFonts w:ascii="Arial" w:hAnsi="Arial" w:cs="Arial"/>
        </w:rPr>
        <w:t>vez, se reforzará frente al empuje de grandes animales con varios alambres de mayor</w:t>
      </w:r>
      <w:r>
        <w:rPr>
          <w:rFonts w:ascii="Arial" w:hAnsi="Arial" w:cs="Arial"/>
        </w:rPr>
        <w:t xml:space="preserve"> </w:t>
      </w:r>
      <w:r w:rsidRPr="00D6289E">
        <w:rPr>
          <w:rFonts w:ascii="Arial" w:hAnsi="Arial" w:cs="Arial"/>
        </w:rPr>
        <w:t>grosor.</w:t>
      </w:r>
    </w:p>
    <w:p w14:paraId="58811714" w14:textId="77777777" w:rsidR="00FC3390" w:rsidRDefault="00FC3390" w:rsidP="00FC3390">
      <w:pPr>
        <w:spacing w:before="120" w:after="120" w:line="360" w:lineRule="auto"/>
        <w:jc w:val="both"/>
        <w:rPr>
          <w:rFonts w:ascii="Arial" w:hAnsi="Arial" w:cs="Arial"/>
        </w:rPr>
      </w:pPr>
      <w:r>
        <w:rPr>
          <w:rFonts w:ascii="Arial" w:hAnsi="Arial" w:cs="Arial"/>
        </w:rPr>
        <w:t>Los postes serán tubulares de 48 mm de diámetro de acero galvanizados, dispuestos cada 3 metros. Los soportes de estos postes están formados por macizos de hormigón en masa (HM-20/P/20/I), de dimensiones de 30 x 30 cm, con una profundidad de 40 cm.</w:t>
      </w:r>
    </w:p>
    <w:p w14:paraId="6B5F3D65" w14:textId="77777777" w:rsidR="008D655D" w:rsidRDefault="008D655D" w:rsidP="00FC3390">
      <w:pPr>
        <w:spacing w:before="120" w:after="120" w:line="360" w:lineRule="auto"/>
        <w:jc w:val="both"/>
        <w:rPr>
          <w:rFonts w:ascii="Arial" w:hAnsi="Arial" w:cs="Arial"/>
          <w:i/>
          <w:u w:val="single"/>
        </w:rPr>
      </w:pPr>
      <w:r w:rsidRPr="008D655D">
        <w:rPr>
          <w:rFonts w:ascii="Arial" w:hAnsi="Arial" w:cs="Arial"/>
          <w:i/>
          <w:u w:val="single"/>
        </w:rPr>
        <w:t>Malla de protección de zonas sensibles</w:t>
      </w:r>
    </w:p>
    <w:p w14:paraId="3FC33172" w14:textId="77777777" w:rsidR="008D655D" w:rsidRPr="008D655D" w:rsidRDefault="008D655D" w:rsidP="00FC3390">
      <w:pPr>
        <w:spacing w:before="120" w:after="120" w:line="360" w:lineRule="auto"/>
        <w:jc w:val="both"/>
        <w:rPr>
          <w:rFonts w:ascii="Arial" w:hAnsi="Arial" w:cs="Arial"/>
        </w:rPr>
      </w:pPr>
      <w:r w:rsidRPr="008D655D">
        <w:rPr>
          <w:rFonts w:ascii="Arial" w:hAnsi="Arial" w:cs="Arial"/>
        </w:rPr>
        <w:t xml:space="preserve">Se dispondrá de una malla de 1,5 m de </w:t>
      </w:r>
      <w:r w:rsidR="00F83B62" w:rsidRPr="008D655D">
        <w:rPr>
          <w:rFonts w:ascii="Arial" w:hAnsi="Arial" w:cs="Arial"/>
        </w:rPr>
        <w:t>altura</w:t>
      </w:r>
      <w:r w:rsidRPr="008D655D">
        <w:rPr>
          <w:rFonts w:ascii="Arial" w:hAnsi="Arial" w:cs="Arial"/>
        </w:rPr>
        <w:t xml:space="preserve"> sujeta con redondos de acero cada dos (2) metros para la protección de zonas sensibles en las proximidades del río Nora y Noreña.</w:t>
      </w:r>
    </w:p>
    <w:p w14:paraId="3E4CAFAA" w14:textId="77777777" w:rsidR="00FE583F" w:rsidRDefault="00FE583F" w:rsidP="00FC3390">
      <w:pPr>
        <w:spacing w:before="120" w:after="120" w:line="360" w:lineRule="auto"/>
        <w:jc w:val="both"/>
        <w:rPr>
          <w:rFonts w:ascii="Arial" w:hAnsi="Arial" w:cs="Arial"/>
        </w:rPr>
      </w:pPr>
      <w:r>
        <w:rPr>
          <w:rFonts w:ascii="Arial" w:hAnsi="Arial" w:cs="Arial"/>
        </w:rPr>
        <w:t xml:space="preserve">Las dimensiones y espesores de los elementos de acero empleados serán propuestos por el contratista para la aprobación del </w:t>
      </w:r>
      <w:proofErr w:type="gramStart"/>
      <w:r>
        <w:rPr>
          <w:rFonts w:ascii="Arial" w:hAnsi="Arial" w:cs="Arial"/>
        </w:rPr>
        <w:t>Director</w:t>
      </w:r>
      <w:proofErr w:type="gramEnd"/>
      <w:r>
        <w:rPr>
          <w:rFonts w:ascii="Arial" w:hAnsi="Arial" w:cs="Arial"/>
        </w:rPr>
        <w:t xml:space="preserve"> de Obra. </w:t>
      </w:r>
    </w:p>
    <w:p w14:paraId="1EFBF104" w14:textId="77777777" w:rsidR="00FC3390" w:rsidRDefault="00FE583F" w:rsidP="00550899">
      <w:pPr>
        <w:tabs>
          <w:tab w:val="left" w:pos="993"/>
          <w:tab w:val="left" w:pos="1985"/>
          <w:tab w:val="left" w:pos="2268"/>
        </w:tabs>
        <w:suppressAutoHyphens/>
        <w:spacing w:before="120" w:after="120" w:line="360" w:lineRule="auto"/>
        <w:jc w:val="both"/>
        <w:rPr>
          <w:rFonts w:ascii="Arial" w:hAnsi="Arial" w:cs="Arial"/>
          <w:lang w:eastAsia="en-US"/>
        </w:rPr>
      </w:pPr>
      <w:r>
        <w:rPr>
          <w:rFonts w:ascii="Arial" w:hAnsi="Arial" w:cs="Arial"/>
          <w:lang w:eastAsia="en-US"/>
        </w:rPr>
        <w:t>Los elementos de acero empleados cumplirán con las especificaciones establecidas en el artículo 600. Acero del presente pliego.</w:t>
      </w:r>
    </w:p>
    <w:p w14:paraId="4259DB47" w14:textId="77777777" w:rsidR="00FE583F" w:rsidRDefault="00FE583F" w:rsidP="00550899">
      <w:pPr>
        <w:tabs>
          <w:tab w:val="left" w:pos="993"/>
          <w:tab w:val="left" w:pos="1985"/>
          <w:tab w:val="left" w:pos="2268"/>
        </w:tabs>
        <w:suppressAutoHyphens/>
        <w:spacing w:before="120" w:after="120" w:line="360" w:lineRule="auto"/>
        <w:jc w:val="both"/>
        <w:rPr>
          <w:rFonts w:ascii="Arial" w:hAnsi="Arial" w:cs="Arial"/>
          <w:lang w:eastAsia="en-US"/>
        </w:rPr>
      </w:pPr>
      <w:r>
        <w:rPr>
          <w:rFonts w:ascii="Arial" w:hAnsi="Arial" w:cs="Arial"/>
          <w:lang w:eastAsia="en-US"/>
        </w:rPr>
        <w:t>El hormigón empleado en la cimentación cumplirá con las especificaciones establecidas en el artículo 610. Hormigones del presente pliego o en la instrucción EHE</w:t>
      </w:r>
    </w:p>
    <w:p w14:paraId="0C3E0ECF" w14:textId="77777777" w:rsidR="00303581" w:rsidRDefault="00AE4CF3" w:rsidP="000313DD">
      <w:pPr>
        <w:pStyle w:val="TITU2"/>
      </w:pPr>
      <w:bookmarkStart w:id="1664" w:name="_Toc404824"/>
      <w:r w:rsidRPr="00C71359">
        <w:t>95</w:t>
      </w:r>
      <w:r w:rsidR="00303581">
        <w:t>9</w:t>
      </w:r>
      <w:r w:rsidRPr="00C71359">
        <w:t xml:space="preserve">.3. </w:t>
      </w:r>
      <w:r w:rsidR="00303581">
        <w:t>Ejecución de las obras</w:t>
      </w:r>
      <w:bookmarkEnd w:id="1664"/>
    </w:p>
    <w:p w14:paraId="43CAD0C6" w14:textId="77777777" w:rsidR="00303581" w:rsidRPr="00303581" w:rsidRDefault="00303581" w:rsidP="00303581">
      <w:pPr>
        <w:tabs>
          <w:tab w:val="left" w:pos="993"/>
          <w:tab w:val="left" w:pos="1985"/>
          <w:tab w:val="left" w:pos="2268"/>
        </w:tabs>
        <w:suppressAutoHyphens/>
        <w:spacing w:before="120" w:after="120" w:line="360" w:lineRule="auto"/>
        <w:jc w:val="both"/>
        <w:rPr>
          <w:rFonts w:ascii="Arial" w:hAnsi="Arial" w:cs="Arial"/>
          <w:lang w:eastAsia="en-US"/>
        </w:rPr>
      </w:pPr>
      <w:r w:rsidRPr="00303581">
        <w:rPr>
          <w:rFonts w:ascii="Arial" w:hAnsi="Arial" w:cs="Arial"/>
          <w:lang w:eastAsia="en-US"/>
        </w:rPr>
        <w:t>El cerramiento se colocará de forma que se asegure una perfecta verticalidad y una alineación de tramos perfectamente rectos en planta, para lo que el Contratista deberá emplear los medios necesarios. El replanteo se efectuará en toda la longitud de acuerdo con los datos del proyecto, y en los casos de duda, se seguirán las especificaciones que dicte la Dirección de Obra.</w:t>
      </w:r>
    </w:p>
    <w:p w14:paraId="56B810E6" w14:textId="77777777" w:rsidR="00303581" w:rsidRPr="00303581" w:rsidRDefault="00303581" w:rsidP="00303581">
      <w:pPr>
        <w:tabs>
          <w:tab w:val="left" w:pos="993"/>
          <w:tab w:val="left" w:pos="1985"/>
          <w:tab w:val="left" w:pos="2268"/>
        </w:tabs>
        <w:suppressAutoHyphens/>
        <w:spacing w:before="120" w:after="120" w:line="360" w:lineRule="auto"/>
        <w:jc w:val="both"/>
        <w:rPr>
          <w:rFonts w:ascii="Arial" w:hAnsi="Arial" w:cs="Arial"/>
          <w:lang w:eastAsia="en-US"/>
        </w:rPr>
      </w:pPr>
      <w:r w:rsidRPr="00303581">
        <w:rPr>
          <w:rFonts w:ascii="Arial" w:hAnsi="Arial" w:cs="Arial"/>
          <w:lang w:eastAsia="en-US"/>
        </w:rPr>
        <w:t>Los puntos de replanteo se marcarán clavando estacas sólidas, tomando el Contratista la responsabilidad de la conservación de dichos puntos.</w:t>
      </w:r>
    </w:p>
    <w:p w14:paraId="6E6D20A4" w14:textId="77777777" w:rsidR="00303581" w:rsidRPr="00303581" w:rsidRDefault="00303581" w:rsidP="00303581">
      <w:pPr>
        <w:tabs>
          <w:tab w:val="left" w:pos="993"/>
          <w:tab w:val="left" w:pos="1985"/>
          <w:tab w:val="left" w:pos="2268"/>
        </w:tabs>
        <w:suppressAutoHyphens/>
        <w:spacing w:before="120" w:after="120" w:line="360" w:lineRule="auto"/>
        <w:jc w:val="both"/>
        <w:rPr>
          <w:rFonts w:ascii="Arial" w:hAnsi="Arial" w:cs="Arial"/>
          <w:lang w:eastAsia="en-US"/>
        </w:rPr>
      </w:pPr>
      <w:r w:rsidRPr="00303581">
        <w:rPr>
          <w:rFonts w:ascii="Arial" w:hAnsi="Arial" w:cs="Arial"/>
          <w:lang w:eastAsia="en-US"/>
        </w:rPr>
        <w:t xml:space="preserve">Antes de instalar los postes se deberá limpiar el terreno de arbustos, piedras, etc., que impidan la colocación de la malla, cuyo borde inferior deberá quedar en contacto con el terreno (separación máxima puntual de cinco centímetros (5 cm)) o ligeramente enterrada para impedir que pueda ser levantado por los animales. </w:t>
      </w:r>
    </w:p>
    <w:p w14:paraId="6B8A32A7" w14:textId="77777777" w:rsidR="00303581" w:rsidRPr="00303581" w:rsidRDefault="00303581" w:rsidP="00303581">
      <w:pPr>
        <w:tabs>
          <w:tab w:val="left" w:pos="993"/>
          <w:tab w:val="left" w:pos="1985"/>
          <w:tab w:val="left" w:pos="2268"/>
        </w:tabs>
        <w:suppressAutoHyphens/>
        <w:spacing w:before="120" w:after="120" w:line="360" w:lineRule="auto"/>
        <w:jc w:val="both"/>
        <w:rPr>
          <w:rFonts w:ascii="Arial" w:hAnsi="Arial" w:cs="Arial"/>
          <w:lang w:eastAsia="en-US"/>
        </w:rPr>
      </w:pPr>
      <w:r w:rsidRPr="00303581">
        <w:rPr>
          <w:rFonts w:ascii="Arial" w:hAnsi="Arial" w:cs="Arial"/>
          <w:lang w:eastAsia="en-US"/>
        </w:rPr>
        <w:t xml:space="preserve">La colocación de los postes y la malla </w:t>
      </w:r>
      <w:proofErr w:type="gramStart"/>
      <w:r w:rsidRPr="00303581">
        <w:rPr>
          <w:rFonts w:ascii="Arial" w:hAnsi="Arial" w:cs="Arial"/>
          <w:lang w:eastAsia="en-US"/>
        </w:rPr>
        <w:t>metálica,</w:t>
      </w:r>
      <w:proofErr w:type="gramEnd"/>
      <w:r w:rsidRPr="00303581">
        <w:rPr>
          <w:rFonts w:ascii="Arial" w:hAnsi="Arial" w:cs="Arial"/>
          <w:lang w:eastAsia="en-US"/>
        </w:rPr>
        <w:t xml:space="preserve"> se ha de hacer sin producir deformaciones </w:t>
      </w:r>
      <w:r>
        <w:rPr>
          <w:rFonts w:ascii="Arial" w:hAnsi="Arial" w:cs="Arial"/>
          <w:lang w:eastAsia="en-US"/>
        </w:rPr>
        <w:t>ni deterioros en los mismos</w:t>
      </w:r>
    </w:p>
    <w:p w14:paraId="2FC63345" w14:textId="77777777" w:rsidR="00303581" w:rsidRPr="00303581" w:rsidRDefault="00303581" w:rsidP="00303581">
      <w:pPr>
        <w:tabs>
          <w:tab w:val="left" w:pos="993"/>
          <w:tab w:val="left" w:pos="1985"/>
          <w:tab w:val="left" w:pos="2268"/>
        </w:tabs>
        <w:suppressAutoHyphens/>
        <w:spacing w:before="120" w:after="120" w:line="360" w:lineRule="auto"/>
        <w:jc w:val="both"/>
        <w:rPr>
          <w:rFonts w:ascii="Arial" w:hAnsi="Arial" w:cs="Arial"/>
          <w:lang w:eastAsia="en-US"/>
        </w:rPr>
      </w:pPr>
      <w:r w:rsidRPr="00303581">
        <w:rPr>
          <w:rFonts w:ascii="Arial" w:hAnsi="Arial" w:cs="Arial"/>
          <w:lang w:eastAsia="en-US"/>
        </w:rPr>
        <w:t>El cerramiento se colocará de acuerdo con lo indicado en los Planos del proyecto, o en su defecto según las instrucciones dadas al respecto por la Dirección de Obra.</w:t>
      </w:r>
    </w:p>
    <w:p w14:paraId="61A9A89E" w14:textId="77777777" w:rsidR="00303581" w:rsidRPr="00303581" w:rsidRDefault="004E38CE" w:rsidP="00303581">
      <w:pPr>
        <w:tabs>
          <w:tab w:val="left" w:pos="993"/>
          <w:tab w:val="left" w:pos="1985"/>
          <w:tab w:val="left" w:pos="2268"/>
        </w:tabs>
        <w:suppressAutoHyphens/>
        <w:spacing w:before="120" w:after="120" w:line="360" w:lineRule="auto"/>
        <w:jc w:val="both"/>
        <w:rPr>
          <w:rFonts w:ascii="Arial" w:hAnsi="Arial" w:cs="Arial"/>
          <w:i/>
          <w:u w:val="single"/>
          <w:lang w:eastAsia="en-US"/>
        </w:rPr>
      </w:pPr>
      <w:r>
        <w:rPr>
          <w:rFonts w:ascii="Arial" w:hAnsi="Arial" w:cs="Arial"/>
          <w:i/>
          <w:u w:val="single"/>
          <w:lang w:eastAsia="en-US"/>
        </w:rPr>
        <w:br w:type="column"/>
      </w:r>
      <w:r w:rsidR="00303581" w:rsidRPr="00303581">
        <w:rPr>
          <w:rFonts w:ascii="Arial" w:hAnsi="Arial" w:cs="Arial"/>
          <w:i/>
          <w:u w:val="single"/>
          <w:lang w:eastAsia="en-US"/>
        </w:rPr>
        <w:lastRenderedPageBreak/>
        <w:t>Tolerancias de ejecución:</w:t>
      </w:r>
    </w:p>
    <w:p w14:paraId="44B6AB56" w14:textId="77777777" w:rsidR="00303581" w:rsidRPr="00303581" w:rsidRDefault="00303581" w:rsidP="000313DD">
      <w:pPr>
        <w:pStyle w:val="NORMAL12"/>
        <w:numPr>
          <w:ilvl w:val="0"/>
          <w:numId w:val="230"/>
        </w:numPr>
        <w:rPr>
          <w:lang w:val="es-ES"/>
        </w:rPr>
      </w:pPr>
      <w:r w:rsidRPr="00303581">
        <w:rPr>
          <w:lang w:val="es-ES"/>
        </w:rPr>
        <w:t>Distancia entre los postes</w:t>
      </w:r>
      <w:r w:rsidRPr="00303581">
        <w:rPr>
          <w:lang w:val="es-ES"/>
        </w:rPr>
        <w:tab/>
      </w:r>
      <w:r w:rsidRPr="00303581">
        <w:rPr>
          <w:lang w:val="es-ES"/>
        </w:rPr>
        <w:tab/>
        <w:t>20 mm</w:t>
      </w:r>
    </w:p>
    <w:p w14:paraId="2ED7D856" w14:textId="77777777" w:rsidR="00303581" w:rsidRPr="00303581" w:rsidRDefault="00303581" w:rsidP="000313DD">
      <w:pPr>
        <w:pStyle w:val="NORMAL12"/>
        <w:numPr>
          <w:ilvl w:val="0"/>
          <w:numId w:val="230"/>
        </w:numPr>
        <w:rPr>
          <w:lang w:val="es-ES"/>
        </w:rPr>
      </w:pPr>
      <w:r w:rsidRPr="00303581">
        <w:rPr>
          <w:lang w:val="es-ES"/>
        </w:rPr>
        <w:t>Replanteo</w:t>
      </w:r>
      <w:r w:rsidRPr="00303581">
        <w:rPr>
          <w:lang w:val="es-ES"/>
        </w:rPr>
        <w:tab/>
      </w:r>
      <w:r w:rsidRPr="00303581">
        <w:rPr>
          <w:lang w:val="es-ES"/>
        </w:rPr>
        <w:tab/>
      </w:r>
      <w:r w:rsidRPr="00303581">
        <w:rPr>
          <w:lang w:val="es-ES"/>
        </w:rPr>
        <w:tab/>
        <w:t xml:space="preserve"> </w:t>
      </w:r>
      <w:r w:rsidRPr="00303581">
        <w:rPr>
          <w:lang w:val="es-ES"/>
        </w:rPr>
        <w:tab/>
        <w:t>10 mm</w:t>
      </w:r>
    </w:p>
    <w:p w14:paraId="299329C5" w14:textId="77777777" w:rsidR="00303581" w:rsidRPr="00303581" w:rsidRDefault="00303581" w:rsidP="000313DD">
      <w:pPr>
        <w:pStyle w:val="NORMAL12"/>
        <w:numPr>
          <w:ilvl w:val="0"/>
          <w:numId w:val="230"/>
        </w:numPr>
        <w:rPr>
          <w:lang w:val="es-ES"/>
        </w:rPr>
      </w:pPr>
      <w:r w:rsidRPr="00303581">
        <w:rPr>
          <w:lang w:val="es-ES"/>
        </w:rPr>
        <w:t>Nivelado y aplomado</w:t>
      </w:r>
      <w:r w:rsidRPr="00303581">
        <w:rPr>
          <w:lang w:val="es-ES"/>
        </w:rPr>
        <w:tab/>
      </w:r>
      <w:r w:rsidRPr="00303581">
        <w:rPr>
          <w:lang w:val="es-ES"/>
        </w:rPr>
        <w:tab/>
        <w:t>5 mm</w:t>
      </w:r>
    </w:p>
    <w:p w14:paraId="0DB62BD5" w14:textId="77777777" w:rsidR="00AE4CF3" w:rsidRPr="00D46D77" w:rsidRDefault="00AE4CF3" w:rsidP="000313DD">
      <w:pPr>
        <w:pStyle w:val="TITU2"/>
      </w:pPr>
      <w:bookmarkStart w:id="1665" w:name="_Toc404825"/>
      <w:r w:rsidRPr="00D46D77">
        <w:t>9</w:t>
      </w:r>
      <w:r w:rsidR="008C33D6">
        <w:t>59</w:t>
      </w:r>
      <w:r w:rsidRPr="00D46D77">
        <w:t>.5. Medición y abono</w:t>
      </w:r>
      <w:bookmarkEnd w:id="1665"/>
    </w:p>
    <w:p w14:paraId="20BC45E0" w14:textId="77777777" w:rsidR="00AE4CF3" w:rsidRPr="00D46D77" w:rsidRDefault="00AE4CF3" w:rsidP="00AE4CF3">
      <w:pPr>
        <w:pStyle w:val="NORMAL12"/>
        <w:rPr>
          <w:lang w:val="es-ES"/>
        </w:rPr>
      </w:pPr>
      <w:r w:rsidRPr="00D46D77">
        <w:rPr>
          <w:lang w:val="es-ES"/>
        </w:rPr>
        <w:t xml:space="preserve">La medición y abono de la unidad </w:t>
      </w:r>
      <w:r w:rsidR="00D46D77" w:rsidRPr="00D46D77">
        <w:rPr>
          <w:lang w:val="es-ES"/>
        </w:rPr>
        <w:t>de cerramiento se realizará según las prescripciones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D46D77" w:rsidRPr="00D46D77" w14:paraId="2A940E93" w14:textId="77777777" w:rsidTr="001B51D9">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71D15E64" w14:textId="77777777" w:rsidR="00303581" w:rsidRPr="00D46D77" w:rsidRDefault="00303581" w:rsidP="001B51D9">
            <w:pPr>
              <w:pStyle w:val="Tabla"/>
              <w:rPr>
                <w:b/>
              </w:rPr>
            </w:pPr>
            <w:r w:rsidRPr="00D46D77">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081F0F21" w14:textId="77777777" w:rsidR="00303581" w:rsidRPr="00D46D77" w:rsidRDefault="00303581" w:rsidP="00B70541">
            <w:pPr>
              <w:pStyle w:val="LCATabla"/>
              <w:keepLines/>
              <w:jc w:val="both"/>
              <w:rPr>
                <w:rFonts w:ascii="Arial" w:hAnsi="Arial" w:cs="Arial"/>
                <w:sz w:val="20"/>
              </w:rPr>
            </w:pPr>
            <w:r w:rsidRPr="00D46D77">
              <w:rPr>
                <w:rFonts w:ascii="Arial" w:hAnsi="Arial" w:cs="Arial"/>
                <w:sz w:val="20"/>
              </w:rPr>
              <w:t>Metro (m)</w:t>
            </w:r>
          </w:p>
        </w:tc>
      </w:tr>
      <w:tr w:rsidR="00D46D77" w:rsidRPr="00D46D77" w14:paraId="68EA5328" w14:textId="77777777" w:rsidTr="001B51D9">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0CFFEFFA" w14:textId="77777777" w:rsidR="00303581" w:rsidRPr="00D46D77" w:rsidRDefault="00303581" w:rsidP="001B51D9">
            <w:pPr>
              <w:pStyle w:val="Tabla"/>
              <w:rPr>
                <w:b/>
              </w:rPr>
            </w:pPr>
            <w:r w:rsidRPr="00D46D77">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51A603BD" w14:textId="77777777" w:rsidR="00303581" w:rsidRPr="00D46D77" w:rsidRDefault="00303581" w:rsidP="00B70541">
            <w:pPr>
              <w:pStyle w:val="LCATabla"/>
              <w:keepLines/>
              <w:jc w:val="both"/>
              <w:rPr>
                <w:rFonts w:ascii="Arial" w:hAnsi="Arial" w:cs="Arial"/>
                <w:sz w:val="20"/>
              </w:rPr>
            </w:pPr>
            <w:r w:rsidRPr="00D46D77">
              <w:rPr>
                <w:rFonts w:ascii="Arial" w:hAnsi="Arial" w:cs="Arial"/>
                <w:sz w:val="20"/>
              </w:rPr>
              <w:t>Dos decimales.</w:t>
            </w:r>
          </w:p>
        </w:tc>
      </w:tr>
      <w:tr w:rsidR="00D46D77" w:rsidRPr="00D46D77" w14:paraId="3B4A077B" w14:textId="77777777" w:rsidTr="001B51D9">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00851C26" w14:textId="77777777" w:rsidR="00303581" w:rsidRPr="00D46D77" w:rsidRDefault="00303581" w:rsidP="001B51D9">
            <w:pPr>
              <w:pStyle w:val="Tabla"/>
              <w:rPr>
                <w:b/>
              </w:rPr>
            </w:pPr>
            <w:r w:rsidRPr="00D46D77">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0D957F87" w14:textId="77777777" w:rsidR="00303581" w:rsidRPr="00D46D77" w:rsidRDefault="00303581" w:rsidP="00B70541">
            <w:pPr>
              <w:pStyle w:val="LCATabla"/>
              <w:keepLines/>
              <w:jc w:val="both"/>
              <w:rPr>
                <w:rFonts w:ascii="Arial" w:hAnsi="Arial" w:cs="Arial"/>
                <w:sz w:val="20"/>
              </w:rPr>
            </w:pPr>
            <w:r w:rsidRPr="00D46D77">
              <w:rPr>
                <w:rFonts w:ascii="Arial" w:hAnsi="Arial" w:cs="Arial"/>
                <w:sz w:val="20"/>
              </w:rPr>
              <w:t xml:space="preserve">Longitud de cerramiento con las dimensiones indicadas realmente ejecutado  </w:t>
            </w:r>
          </w:p>
        </w:tc>
      </w:tr>
      <w:tr w:rsidR="00D46D77" w:rsidRPr="00D46D77" w14:paraId="6E338E4E" w14:textId="77777777" w:rsidTr="001B51D9">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220DC9D2" w14:textId="77777777" w:rsidR="00303581" w:rsidRPr="00D46D77" w:rsidRDefault="00303581" w:rsidP="001B51D9">
            <w:pPr>
              <w:pStyle w:val="Tabla"/>
              <w:rPr>
                <w:b/>
              </w:rPr>
            </w:pPr>
            <w:r w:rsidRPr="00D46D77">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06044E11" w14:textId="77777777" w:rsidR="00303581" w:rsidRPr="00D46D77" w:rsidRDefault="00303581" w:rsidP="00B70541">
            <w:pPr>
              <w:pStyle w:val="LCATabla"/>
              <w:keepLines/>
              <w:jc w:val="both"/>
              <w:rPr>
                <w:rFonts w:ascii="Arial" w:hAnsi="Arial" w:cs="Arial"/>
                <w:sz w:val="20"/>
              </w:rPr>
            </w:pPr>
            <w:r w:rsidRPr="00D46D77">
              <w:rPr>
                <w:rFonts w:ascii="Arial" w:hAnsi="Arial" w:cs="Arial"/>
                <w:sz w:val="20"/>
              </w:rPr>
              <w:t>Se efectuará cuando se realice la aceptación</w:t>
            </w:r>
          </w:p>
        </w:tc>
      </w:tr>
      <w:tr w:rsidR="00D46D77" w:rsidRPr="00D46D77" w14:paraId="00753AE1" w14:textId="77777777" w:rsidTr="001B51D9">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4AE74603" w14:textId="77777777" w:rsidR="00303581" w:rsidRPr="00D46D77" w:rsidRDefault="00303581" w:rsidP="001B51D9">
            <w:pPr>
              <w:pStyle w:val="Tabla"/>
              <w:rPr>
                <w:b/>
              </w:rPr>
            </w:pPr>
            <w:r w:rsidRPr="00D46D77">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2575CEB6" w14:textId="77777777" w:rsidR="00303581" w:rsidRPr="00D46D77" w:rsidRDefault="00303581" w:rsidP="00B70541">
            <w:pPr>
              <w:pStyle w:val="LCATabla"/>
              <w:keepLines/>
              <w:jc w:val="both"/>
              <w:rPr>
                <w:rFonts w:ascii="Arial" w:hAnsi="Arial" w:cs="Arial"/>
                <w:sz w:val="20"/>
              </w:rPr>
            </w:pPr>
            <w:r w:rsidRPr="00D46D77">
              <w:rPr>
                <w:rFonts w:ascii="Arial" w:hAnsi="Arial" w:cs="Arial"/>
                <w:sz w:val="20"/>
              </w:rPr>
              <w:t xml:space="preserve">El precio de la unidad incluye todos los materiales y medios necesarios para la correcta ejecución de la unidad. </w:t>
            </w:r>
          </w:p>
          <w:p w14:paraId="3387EBFE" w14:textId="77777777" w:rsidR="00303581" w:rsidRPr="00D46D77" w:rsidRDefault="00303581" w:rsidP="00B70541">
            <w:pPr>
              <w:pStyle w:val="LCATabla"/>
              <w:keepLines/>
              <w:jc w:val="both"/>
              <w:rPr>
                <w:rFonts w:ascii="Arial" w:hAnsi="Arial" w:cs="Arial"/>
                <w:sz w:val="20"/>
              </w:rPr>
            </w:pPr>
            <w:r w:rsidRPr="00D46D77">
              <w:rPr>
                <w:rFonts w:ascii="Arial" w:hAnsi="Arial" w:cs="Arial"/>
                <w:sz w:val="20"/>
              </w:rPr>
              <w:t>Incluye la ejecución de la cimentación, suministro y colocación de los postes, nivelación, aplomado, tensado de la malla</w:t>
            </w:r>
            <w:r w:rsidR="00B70541">
              <w:rPr>
                <w:rFonts w:ascii="Arial" w:hAnsi="Arial" w:cs="Arial"/>
                <w:sz w:val="20"/>
              </w:rPr>
              <w:t>.</w:t>
            </w:r>
          </w:p>
        </w:tc>
      </w:tr>
    </w:tbl>
    <w:p w14:paraId="2C6087C8" w14:textId="77777777" w:rsidR="00303581" w:rsidRDefault="00303581" w:rsidP="00AE4CF3">
      <w:pPr>
        <w:pStyle w:val="NORMAL12"/>
        <w:rPr>
          <w:color w:val="FF0000"/>
          <w:lang w:val="es-ES"/>
        </w:rPr>
      </w:pPr>
    </w:p>
    <w:p w14:paraId="0E45C66C" w14:textId="77777777" w:rsidR="006018C0" w:rsidRPr="006018C0" w:rsidRDefault="006018C0" w:rsidP="006018C0">
      <w:pPr>
        <w:pStyle w:val="TITU1"/>
        <w:rPr>
          <w:color w:val="000000" w:themeColor="text1"/>
        </w:rPr>
      </w:pPr>
      <w:bookmarkStart w:id="1666" w:name="_Toc404826"/>
      <w:r w:rsidRPr="00B04240">
        <w:rPr>
          <w:color w:val="000000" w:themeColor="text1"/>
        </w:rPr>
        <w:lastRenderedPageBreak/>
        <w:t>Artículo 960. Acopio y mantenimiento de tierra vegetal</w:t>
      </w:r>
      <w:bookmarkEnd w:id="1666"/>
    </w:p>
    <w:p w14:paraId="25D9D625" w14:textId="77777777" w:rsidR="006018C0" w:rsidRDefault="006018C0" w:rsidP="000313DD">
      <w:pPr>
        <w:pStyle w:val="TITU2"/>
      </w:pPr>
      <w:bookmarkStart w:id="1667" w:name="_Toc404827"/>
      <w:r w:rsidRPr="006018C0">
        <w:t>9</w:t>
      </w:r>
      <w:r w:rsidR="00B92D11">
        <w:t>60</w:t>
      </w:r>
      <w:r w:rsidRPr="006018C0">
        <w:t>.1. Definición y aplicación</w:t>
      </w:r>
      <w:bookmarkEnd w:id="1667"/>
    </w:p>
    <w:p w14:paraId="30F90E6A" w14:textId="77777777" w:rsidR="005B58CB" w:rsidRPr="00B04240" w:rsidRDefault="005B58CB" w:rsidP="005B58CB">
      <w:pPr>
        <w:pStyle w:val="NORMAL12"/>
        <w:rPr>
          <w:lang w:val="es-ES"/>
        </w:rPr>
      </w:pPr>
      <w:r w:rsidRPr="00B04240">
        <w:rPr>
          <w:lang w:val="es-ES"/>
        </w:rPr>
        <w:t>Se define la unidad como el acopio de tierra veg</w:t>
      </w:r>
      <w:r w:rsidR="00855D02" w:rsidRPr="00B04240">
        <w:rPr>
          <w:lang w:val="es-ES"/>
        </w:rPr>
        <w:t>e</w:t>
      </w:r>
      <w:r w:rsidRPr="00B04240">
        <w:rPr>
          <w:lang w:val="es-ES"/>
        </w:rPr>
        <w:t xml:space="preserve">tal incluyendo el mantenimiento, la carga y transporte y el extendido. </w:t>
      </w:r>
    </w:p>
    <w:p w14:paraId="5DAAC6D8" w14:textId="77777777" w:rsidR="006018C0" w:rsidRPr="00B04240" w:rsidRDefault="006018C0" w:rsidP="006018C0">
      <w:pPr>
        <w:pStyle w:val="NORMAL12"/>
        <w:rPr>
          <w:lang w:val="es-ES"/>
        </w:rPr>
      </w:pPr>
      <w:r w:rsidRPr="00B04240">
        <w:rPr>
          <w:lang w:val="es-ES"/>
        </w:rPr>
        <w:t xml:space="preserve">Las prescripciones de este artículo </w:t>
      </w:r>
      <w:proofErr w:type="gramStart"/>
      <w:r w:rsidRPr="00B04240">
        <w:rPr>
          <w:lang w:val="es-ES"/>
        </w:rPr>
        <w:t>son de aplicación</w:t>
      </w:r>
      <w:proofErr w:type="gramEnd"/>
      <w:r w:rsidRPr="00B04240">
        <w:rPr>
          <w:lang w:val="es-ES"/>
        </w:rPr>
        <w:t xml:space="preserve"> a la unidad de obra siguiente:</w:t>
      </w:r>
    </w:p>
    <w:tbl>
      <w:tblPr>
        <w:tblW w:w="5000" w:type="pct"/>
        <w:tblCellMar>
          <w:left w:w="70" w:type="dxa"/>
          <w:right w:w="70" w:type="dxa"/>
        </w:tblCellMar>
        <w:tblLook w:val="04A0" w:firstRow="1" w:lastRow="0" w:firstColumn="1" w:lastColumn="0" w:noHBand="0" w:noVBand="1"/>
      </w:tblPr>
      <w:tblGrid>
        <w:gridCol w:w="1207"/>
        <w:gridCol w:w="714"/>
        <w:gridCol w:w="7999"/>
      </w:tblGrid>
      <w:tr w:rsidR="006018C0" w:rsidRPr="006018C0" w14:paraId="70CD1782" w14:textId="77777777" w:rsidTr="00915CF6">
        <w:trPr>
          <w:trHeight w:val="419"/>
        </w:trPr>
        <w:tc>
          <w:tcPr>
            <w:tcW w:w="608" w:type="pct"/>
            <w:noWrap/>
          </w:tcPr>
          <w:p w14:paraId="7B9B35DA" w14:textId="77777777" w:rsidR="006018C0" w:rsidRPr="00F74B11" w:rsidRDefault="00343CB4" w:rsidP="00343CB4">
            <w:pPr>
              <w:rPr>
                <w:rFonts w:ascii="Calibri" w:hAnsi="Calibri" w:cs="Calibri"/>
              </w:rPr>
            </w:pPr>
            <w:r w:rsidRPr="00F74B11">
              <w:rPr>
                <w:rFonts w:ascii="Calibri" w:hAnsi="Calibri" w:cs="Calibri"/>
              </w:rPr>
              <w:t>801</w:t>
            </w:r>
            <w:r w:rsidR="006018C0" w:rsidRPr="00F74B11">
              <w:rPr>
                <w:rFonts w:ascii="Calibri" w:hAnsi="Calibri" w:cs="Calibri"/>
              </w:rPr>
              <w:t>.</w:t>
            </w:r>
            <w:r w:rsidRPr="00F74B11">
              <w:rPr>
                <w:rFonts w:ascii="Calibri" w:hAnsi="Calibri" w:cs="Calibri"/>
              </w:rPr>
              <w:t>0060</w:t>
            </w:r>
            <w:r w:rsidR="006018C0" w:rsidRPr="00F74B11">
              <w:rPr>
                <w:rFonts w:ascii="Calibri" w:hAnsi="Calibri" w:cs="Calibri"/>
              </w:rPr>
              <w:t xml:space="preserve">         </w:t>
            </w:r>
          </w:p>
        </w:tc>
        <w:tc>
          <w:tcPr>
            <w:tcW w:w="360" w:type="pct"/>
            <w:noWrap/>
          </w:tcPr>
          <w:p w14:paraId="0C6DEB94" w14:textId="77777777" w:rsidR="006018C0" w:rsidRPr="00F74B11" w:rsidRDefault="00F476CB" w:rsidP="00915CF6">
            <w:pPr>
              <w:rPr>
                <w:rFonts w:ascii="Calibri" w:hAnsi="Calibri" w:cs="Calibri"/>
              </w:rPr>
            </w:pPr>
            <w:r w:rsidRPr="00F74B11">
              <w:rPr>
                <w:rFonts w:ascii="Calibri" w:hAnsi="Calibri" w:cs="Calibri"/>
              </w:rPr>
              <w:t>m</w:t>
            </w:r>
            <w:r w:rsidRPr="00F74B11">
              <w:rPr>
                <w:rFonts w:ascii="Calibri" w:hAnsi="Calibri" w:cs="Calibri"/>
                <w:vertAlign w:val="superscript"/>
              </w:rPr>
              <w:t>3</w:t>
            </w:r>
          </w:p>
        </w:tc>
        <w:tc>
          <w:tcPr>
            <w:tcW w:w="4032" w:type="pct"/>
          </w:tcPr>
          <w:p w14:paraId="6FF33826" w14:textId="77777777" w:rsidR="00343CB4" w:rsidRPr="00F74B11" w:rsidRDefault="00343CB4" w:rsidP="00343CB4">
            <w:pPr>
              <w:jc w:val="both"/>
              <w:rPr>
                <w:rFonts w:ascii="Calibri" w:hAnsi="Calibri"/>
              </w:rPr>
            </w:pPr>
            <w:r w:rsidRPr="00F74B11">
              <w:rPr>
                <w:rFonts w:ascii="Calibri" w:hAnsi="Calibri"/>
              </w:rPr>
              <w:t>ACOPIO, MANTENIMIENTO, CARGA, TRANSPORTE Y EXTENSIÓN DE TIERRA VEGETAL DE LA PROPIA OBRA EN TALUDES.</w:t>
            </w:r>
          </w:p>
          <w:p w14:paraId="60BDEA29" w14:textId="77777777" w:rsidR="006018C0" w:rsidRPr="00F74B11" w:rsidRDefault="006018C0" w:rsidP="00915CF6">
            <w:pPr>
              <w:jc w:val="both"/>
              <w:rPr>
                <w:rFonts w:ascii="Calibri" w:hAnsi="Calibri" w:cs="Calibri"/>
              </w:rPr>
            </w:pPr>
          </w:p>
        </w:tc>
      </w:tr>
    </w:tbl>
    <w:p w14:paraId="070BD6A8" w14:textId="77777777" w:rsidR="00855D02" w:rsidRDefault="00855D02" w:rsidP="00855D02">
      <w:pPr>
        <w:pStyle w:val="NORMAL12"/>
        <w:rPr>
          <w:lang w:val="es-ES"/>
        </w:rPr>
      </w:pPr>
      <w:r>
        <w:rPr>
          <w:lang w:val="es-ES"/>
        </w:rPr>
        <w:t>La ejecución de la unidad incluye las operaciones siguientes:</w:t>
      </w:r>
    </w:p>
    <w:p w14:paraId="6C36AB64" w14:textId="77777777" w:rsidR="00855D02" w:rsidRDefault="00855D02" w:rsidP="000313DD">
      <w:pPr>
        <w:pStyle w:val="NORMAL12"/>
        <w:numPr>
          <w:ilvl w:val="0"/>
          <w:numId w:val="254"/>
        </w:numPr>
        <w:rPr>
          <w:lang w:val="es-ES"/>
        </w:rPr>
      </w:pPr>
      <w:r>
        <w:rPr>
          <w:lang w:val="es-ES"/>
        </w:rPr>
        <w:t>Acopio de la tierra vegetal</w:t>
      </w:r>
    </w:p>
    <w:p w14:paraId="085A1CA8" w14:textId="77777777" w:rsidR="00855D02" w:rsidRDefault="00855D02" w:rsidP="000313DD">
      <w:pPr>
        <w:pStyle w:val="NORMAL12"/>
        <w:numPr>
          <w:ilvl w:val="0"/>
          <w:numId w:val="254"/>
        </w:numPr>
        <w:rPr>
          <w:lang w:val="es-ES"/>
        </w:rPr>
      </w:pPr>
      <w:r>
        <w:rPr>
          <w:lang w:val="es-ES"/>
        </w:rPr>
        <w:t xml:space="preserve">Extendido de la tierra vegetal </w:t>
      </w:r>
    </w:p>
    <w:p w14:paraId="040A204B" w14:textId="77777777" w:rsidR="00855D02" w:rsidRDefault="00855D02" w:rsidP="000313DD">
      <w:pPr>
        <w:pStyle w:val="NORMAL12"/>
        <w:numPr>
          <w:ilvl w:val="0"/>
          <w:numId w:val="254"/>
        </w:numPr>
        <w:rPr>
          <w:lang w:val="es-ES"/>
        </w:rPr>
      </w:pPr>
      <w:r>
        <w:rPr>
          <w:lang w:val="es-ES"/>
        </w:rPr>
        <w:t>Rastrillado</w:t>
      </w:r>
    </w:p>
    <w:p w14:paraId="138586C2" w14:textId="77777777" w:rsidR="006018C0" w:rsidRDefault="006018C0" w:rsidP="000313DD">
      <w:pPr>
        <w:pStyle w:val="TITU2"/>
      </w:pPr>
      <w:bookmarkStart w:id="1668" w:name="_Toc404828"/>
      <w:r w:rsidRPr="006018C0">
        <w:t>9</w:t>
      </w:r>
      <w:r w:rsidR="00B92D11">
        <w:t>60</w:t>
      </w:r>
      <w:r w:rsidRPr="006018C0">
        <w:t>.2. Materiales</w:t>
      </w:r>
      <w:bookmarkEnd w:id="1668"/>
    </w:p>
    <w:p w14:paraId="048F8C15" w14:textId="77777777" w:rsidR="007659C7" w:rsidRDefault="007659C7" w:rsidP="007659C7">
      <w:pPr>
        <w:pStyle w:val="NORMAL12"/>
        <w:rPr>
          <w:lang w:val="es-ES"/>
        </w:rPr>
      </w:pPr>
      <w:r>
        <w:rPr>
          <w:lang w:val="es-ES"/>
        </w:rPr>
        <w:t>Se considera tierra vegetal aquel material procedente de la excavación cuya composición permita el establecimiento de una cobertura herbácea permanente y susceptible de recolonización natural:</w:t>
      </w:r>
    </w:p>
    <w:p w14:paraId="11FDBFAC" w14:textId="77777777" w:rsidR="007659C7" w:rsidRDefault="007659C7" w:rsidP="007659C7">
      <w:pPr>
        <w:pStyle w:val="NORMAL12"/>
        <w:rPr>
          <w:lang w:val="es-ES"/>
        </w:rPr>
      </w:pPr>
      <w:r>
        <w:rPr>
          <w:lang w:val="es-ES"/>
        </w:rPr>
        <w:t>La Dirección ambiental de la obra determinará las actuaciones a realizar sobre el material extraído una vez que se comprueben las características siguientes:</w:t>
      </w:r>
    </w:p>
    <w:p w14:paraId="4EAEEC3F" w14:textId="77777777" w:rsidR="007659C7" w:rsidRDefault="007659C7" w:rsidP="000313DD">
      <w:pPr>
        <w:pStyle w:val="NORMAL12"/>
        <w:numPr>
          <w:ilvl w:val="0"/>
          <w:numId w:val="256"/>
        </w:numPr>
        <w:rPr>
          <w:lang w:val="es-ES"/>
        </w:rPr>
      </w:pPr>
      <w:proofErr w:type="spellStart"/>
      <w:r>
        <w:rPr>
          <w:lang w:val="es-ES"/>
        </w:rPr>
        <w:t>Ph</w:t>
      </w:r>
      <w:proofErr w:type="spellEnd"/>
      <w:r>
        <w:rPr>
          <w:lang w:val="es-ES"/>
        </w:rPr>
        <w:t xml:space="preserve"> &lt; 5,5 O &gt; 9,0</w:t>
      </w:r>
    </w:p>
    <w:p w14:paraId="27AA00A9" w14:textId="77777777" w:rsidR="007659C7" w:rsidRDefault="007659C7" w:rsidP="000313DD">
      <w:pPr>
        <w:pStyle w:val="NORMAL12"/>
        <w:numPr>
          <w:ilvl w:val="0"/>
          <w:numId w:val="256"/>
        </w:numPr>
        <w:rPr>
          <w:lang w:val="es-ES"/>
        </w:rPr>
      </w:pPr>
      <w:r>
        <w:rPr>
          <w:lang w:val="es-ES"/>
        </w:rPr>
        <w:t>Nivel de carbonatados &gt; 30%</w:t>
      </w:r>
    </w:p>
    <w:p w14:paraId="3FE809B8" w14:textId="77777777" w:rsidR="007659C7" w:rsidRDefault="007659C7" w:rsidP="000313DD">
      <w:pPr>
        <w:pStyle w:val="NORMAL12"/>
        <w:numPr>
          <w:ilvl w:val="0"/>
          <w:numId w:val="256"/>
        </w:numPr>
        <w:rPr>
          <w:lang w:val="es-ES"/>
        </w:rPr>
      </w:pPr>
      <w:r>
        <w:rPr>
          <w:lang w:val="es-ES"/>
        </w:rPr>
        <w:t>Sales solubles &gt; 0,6 %</w:t>
      </w:r>
    </w:p>
    <w:p w14:paraId="43C9A5C5" w14:textId="77777777" w:rsidR="007659C7" w:rsidRDefault="007659C7" w:rsidP="000313DD">
      <w:pPr>
        <w:pStyle w:val="NORMAL12"/>
        <w:numPr>
          <w:ilvl w:val="0"/>
          <w:numId w:val="256"/>
        </w:numPr>
        <w:rPr>
          <w:lang w:val="es-ES"/>
        </w:rPr>
      </w:pPr>
      <w:r>
        <w:rPr>
          <w:lang w:val="es-ES"/>
        </w:rPr>
        <w:t xml:space="preserve">Textura: </w:t>
      </w:r>
      <w:proofErr w:type="gramStart"/>
      <w:r w:rsidR="00217216">
        <w:rPr>
          <w:lang w:val="es-ES"/>
        </w:rPr>
        <w:t>arcillas</w:t>
      </w:r>
      <w:r>
        <w:rPr>
          <w:lang w:val="es-ES"/>
        </w:rPr>
        <w:t xml:space="preserve"> muy fina</w:t>
      </w:r>
      <w:proofErr w:type="gramEnd"/>
      <w:r>
        <w:rPr>
          <w:lang w:val="es-ES"/>
        </w:rPr>
        <w:t xml:space="preserve"> (&gt; 60%)</w:t>
      </w:r>
    </w:p>
    <w:p w14:paraId="29E94CCF" w14:textId="77777777" w:rsidR="007659C7" w:rsidRPr="007659C7" w:rsidRDefault="007659C7" w:rsidP="000313DD">
      <w:pPr>
        <w:pStyle w:val="NORMAL12"/>
        <w:numPr>
          <w:ilvl w:val="0"/>
          <w:numId w:val="256"/>
        </w:numPr>
        <w:rPr>
          <w:lang w:val="es-ES"/>
        </w:rPr>
      </w:pPr>
      <w:r>
        <w:rPr>
          <w:lang w:val="es-ES"/>
        </w:rPr>
        <w:t>Elementos gruesos (&gt; 2mm): &gt; 30% en volumen</w:t>
      </w:r>
    </w:p>
    <w:p w14:paraId="76347DA8" w14:textId="77777777" w:rsidR="006018C0" w:rsidRDefault="006018C0" w:rsidP="000313DD">
      <w:pPr>
        <w:pStyle w:val="TITU2"/>
      </w:pPr>
      <w:bookmarkStart w:id="1669" w:name="_Toc404829"/>
      <w:r w:rsidRPr="006018C0">
        <w:t>9</w:t>
      </w:r>
      <w:r w:rsidR="00B92D11">
        <w:t>60</w:t>
      </w:r>
      <w:r w:rsidRPr="006018C0">
        <w:t>.3. Ejecución de las obras</w:t>
      </w:r>
      <w:bookmarkEnd w:id="1669"/>
    </w:p>
    <w:p w14:paraId="56C59BC7" w14:textId="77777777" w:rsidR="00855D02" w:rsidRDefault="00855D02" w:rsidP="00855D02">
      <w:pPr>
        <w:pStyle w:val="NORMAL12"/>
        <w:rPr>
          <w:lang w:val="es-ES"/>
        </w:rPr>
      </w:pPr>
      <w:r>
        <w:rPr>
          <w:lang w:val="es-ES"/>
        </w:rPr>
        <w:t xml:space="preserve">La ejecución de </w:t>
      </w:r>
      <w:r w:rsidR="00217216">
        <w:rPr>
          <w:lang w:val="es-ES"/>
        </w:rPr>
        <w:t>la</w:t>
      </w:r>
      <w:r>
        <w:rPr>
          <w:lang w:val="es-ES"/>
        </w:rPr>
        <w:t xml:space="preserve"> obra implica las operaciones siguientes:</w:t>
      </w:r>
    </w:p>
    <w:p w14:paraId="75F603F8" w14:textId="77777777" w:rsidR="00855D02" w:rsidRDefault="00855D02" w:rsidP="000313DD">
      <w:pPr>
        <w:pStyle w:val="NORMAL12"/>
        <w:numPr>
          <w:ilvl w:val="0"/>
          <w:numId w:val="255"/>
        </w:numPr>
        <w:rPr>
          <w:lang w:val="es-ES"/>
        </w:rPr>
      </w:pPr>
      <w:r>
        <w:rPr>
          <w:lang w:val="es-ES"/>
        </w:rPr>
        <w:t xml:space="preserve">Acopio: se realizará formando caballones o artesas, la altura no excederá de dos metros con </w:t>
      </w:r>
      <w:r w:rsidR="00217216">
        <w:rPr>
          <w:lang w:val="es-ES"/>
        </w:rPr>
        <w:t>taludes</w:t>
      </w:r>
      <w:r>
        <w:rPr>
          <w:lang w:val="es-ES"/>
        </w:rPr>
        <w:t xml:space="preserve"> 1H:1V</w:t>
      </w:r>
    </w:p>
    <w:p w14:paraId="7A0349C2" w14:textId="77777777" w:rsidR="00855D02" w:rsidRDefault="00855D02" w:rsidP="000313DD">
      <w:pPr>
        <w:pStyle w:val="NORMAL12"/>
        <w:numPr>
          <w:ilvl w:val="0"/>
          <w:numId w:val="255"/>
        </w:numPr>
        <w:rPr>
          <w:lang w:val="es-ES"/>
        </w:rPr>
      </w:pPr>
      <w:r>
        <w:rPr>
          <w:lang w:val="es-ES"/>
        </w:rPr>
        <w:t xml:space="preserve">Conservación y mantenimiento: se harán ligeros ahondamientos en la cara superior de la artesa o </w:t>
      </w:r>
      <w:r w:rsidR="00217216">
        <w:rPr>
          <w:lang w:val="es-ES"/>
        </w:rPr>
        <w:t>caballón</w:t>
      </w:r>
      <w:r>
        <w:rPr>
          <w:lang w:val="es-ES"/>
        </w:rPr>
        <w:t xml:space="preserve"> para evitar el lavado del suelo por la lluvia o deformación de los laterales por erosión.</w:t>
      </w:r>
    </w:p>
    <w:p w14:paraId="6B31A3AA" w14:textId="77777777" w:rsidR="00855D02" w:rsidRDefault="00855D02" w:rsidP="000313DD">
      <w:pPr>
        <w:pStyle w:val="NORMAL12"/>
        <w:numPr>
          <w:ilvl w:val="0"/>
          <w:numId w:val="255"/>
        </w:numPr>
        <w:rPr>
          <w:lang w:val="es-ES"/>
        </w:rPr>
      </w:pPr>
      <w:r>
        <w:rPr>
          <w:lang w:val="es-ES"/>
        </w:rPr>
        <w:t>En periodos largos de acopio, superiores a tres meses, el caballón se mantendré cubierto con plantas vivas, leguminosas preferentemente.</w:t>
      </w:r>
    </w:p>
    <w:p w14:paraId="6A60AB43" w14:textId="77777777" w:rsidR="00855D02" w:rsidRPr="00855D02" w:rsidRDefault="00855D02" w:rsidP="000313DD">
      <w:pPr>
        <w:pStyle w:val="NORMAL12"/>
        <w:numPr>
          <w:ilvl w:val="0"/>
          <w:numId w:val="255"/>
        </w:numPr>
        <w:rPr>
          <w:lang w:val="es-ES"/>
        </w:rPr>
      </w:pPr>
      <w:r>
        <w:rPr>
          <w:lang w:val="es-ES"/>
        </w:rPr>
        <w:t>Se debe regar al menos una vez mensualmente a modo de lluvia con una dotación mínima de 20 l /m</w:t>
      </w:r>
      <w:r>
        <w:rPr>
          <w:vertAlign w:val="superscript"/>
          <w:lang w:val="es-ES"/>
        </w:rPr>
        <w:t>2</w:t>
      </w:r>
    </w:p>
    <w:p w14:paraId="199728F2" w14:textId="77777777" w:rsidR="00855D02" w:rsidRDefault="00855D02" w:rsidP="000313DD">
      <w:pPr>
        <w:pStyle w:val="NORMAL12"/>
        <w:numPr>
          <w:ilvl w:val="0"/>
          <w:numId w:val="255"/>
        </w:numPr>
        <w:rPr>
          <w:lang w:val="es-ES"/>
        </w:rPr>
      </w:pPr>
      <w:r>
        <w:rPr>
          <w:lang w:val="es-ES"/>
        </w:rPr>
        <w:t>Una vez extendida la tierra vegetal en el lugar definitivo, se efectuará un rastrillado para igualar la superficie y borrar las huellas de la maquinaria utilizada</w:t>
      </w:r>
    </w:p>
    <w:p w14:paraId="570A8C34" w14:textId="77777777" w:rsidR="007659C7" w:rsidRPr="00855D02" w:rsidRDefault="007659C7" w:rsidP="000313DD">
      <w:pPr>
        <w:pStyle w:val="NORMAL12"/>
        <w:numPr>
          <w:ilvl w:val="0"/>
          <w:numId w:val="255"/>
        </w:numPr>
        <w:rPr>
          <w:lang w:val="es-ES"/>
        </w:rPr>
      </w:pPr>
      <w:r>
        <w:rPr>
          <w:lang w:val="es-ES"/>
        </w:rPr>
        <w:t>Una vez retirada la tierra vegetal de los acopios estos deberán quedar perfectamente limpios y en una situación similar a la que tenían antes de realizar el acopio</w:t>
      </w:r>
    </w:p>
    <w:p w14:paraId="4AB17AE3" w14:textId="77777777" w:rsidR="006018C0" w:rsidRPr="006018C0" w:rsidRDefault="006018C0" w:rsidP="000313DD">
      <w:pPr>
        <w:pStyle w:val="TITU2"/>
      </w:pPr>
      <w:bookmarkStart w:id="1670" w:name="_Toc404830"/>
      <w:r w:rsidRPr="006018C0">
        <w:t>9</w:t>
      </w:r>
      <w:r w:rsidR="00B92D11">
        <w:t>60</w:t>
      </w:r>
      <w:r w:rsidRPr="006018C0">
        <w:t>.5. Medición y abono</w:t>
      </w:r>
      <w:bookmarkEnd w:id="1670"/>
    </w:p>
    <w:p w14:paraId="15C421B2" w14:textId="77777777" w:rsidR="006018C0" w:rsidRPr="00B92D11" w:rsidRDefault="006018C0" w:rsidP="006018C0">
      <w:pPr>
        <w:pStyle w:val="NORMAL12"/>
        <w:rPr>
          <w:lang w:val="es-ES"/>
        </w:rPr>
      </w:pPr>
      <w:r w:rsidRPr="00B92D11">
        <w:rPr>
          <w:lang w:val="es-ES"/>
        </w:rPr>
        <w:t xml:space="preserve">La medición y abono de la unidad de </w:t>
      </w:r>
      <w:r w:rsidR="00217216" w:rsidRPr="00B92D11">
        <w:rPr>
          <w:lang w:val="es-ES"/>
        </w:rPr>
        <w:t>acopio</w:t>
      </w:r>
      <w:r w:rsidR="00B92D11" w:rsidRPr="00B92D11">
        <w:rPr>
          <w:lang w:val="es-ES"/>
        </w:rPr>
        <w:t xml:space="preserve"> de tierra vegetal </w:t>
      </w:r>
      <w:r w:rsidRPr="00B92D11">
        <w:rPr>
          <w:lang w:val="es-ES"/>
        </w:rPr>
        <w:t>se realizará según las prescripciones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6018C0" w:rsidRPr="00B92D11" w14:paraId="7DE80595" w14:textId="77777777" w:rsidTr="00915CF6">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204D6B3B" w14:textId="77777777" w:rsidR="006018C0" w:rsidRPr="00B92D11" w:rsidRDefault="006018C0" w:rsidP="00915CF6">
            <w:pPr>
              <w:pStyle w:val="Tabla"/>
              <w:rPr>
                <w:b/>
              </w:rPr>
            </w:pPr>
            <w:r w:rsidRPr="00B92D11">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55176770" w14:textId="77777777" w:rsidR="006018C0" w:rsidRPr="00B92D11" w:rsidRDefault="006018C0" w:rsidP="00B70541">
            <w:pPr>
              <w:pStyle w:val="LCATabla"/>
              <w:keepLines/>
              <w:jc w:val="both"/>
              <w:rPr>
                <w:rFonts w:ascii="Arial" w:hAnsi="Arial" w:cs="Arial"/>
                <w:sz w:val="20"/>
              </w:rPr>
            </w:pPr>
            <w:r w:rsidRPr="00B92D11">
              <w:rPr>
                <w:rFonts w:ascii="Arial" w:hAnsi="Arial" w:cs="Arial"/>
                <w:sz w:val="20"/>
              </w:rPr>
              <w:t xml:space="preserve">Metro </w:t>
            </w:r>
            <w:r w:rsidR="00B92D11" w:rsidRPr="00B92D11">
              <w:rPr>
                <w:rFonts w:ascii="Arial" w:hAnsi="Arial" w:cs="Arial"/>
                <w:sz w:val="20"/>
              </w:rPr>
              <w:t>cúbico</w:t>
            </w:r>
            <w:r w:rsidRPr="00B92D11">
              <w:rPr>
                <w:rFonts w:ascii="Arial" w:hAnsi="Arial" w:cs="Arial"/>
                <w:sz w:val="20"/>
              </w:rPr>
              <w:t>(m</w:t>
            </w:r>
            <w:r w:rsidR="00B92D11" w:rsidRPr="00B92D11">
              <w:rPr>
                <w:rFonts w:ascii="Arial" w:hAnsi="Arial" w:cs="Arial"/>
                <w:sz w:val="20"/>
                <w:vertAlign w:val="superscript"/>
              </w:rPr>
              <w:t>3</w:t>
            </w:r>
            <w:r w:rsidRPr="00B92D11">
              <w:rPr>
                <w:rFonts w:ascii="Arial" w:hAnsi="Arial" w:cs="Arial"/>
                <w:sz w:val="20"/>
              </w:rPr>
              <w:t>)</w:t>
            </w:r>
          </w:p>
        </w:tc>
      </w:tr>
      <w:tr w:rsidR="006018C0" w:rsidRPr="00B92D11" w14:paraId="32F2C1BF" w14:textId="77777777" w:rsidTr="00915CF6">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492B136C" w14:textId="77777777" w:rsidR="006018C0" w:rsidRPr="00B92D11" w:rsidRDefault="006018C0" w:rsidP="00915CF6">
            <w:pPr>
              <w:pStyle w:val="Tabla"/>
              <w:rPr>
                <w:b/>
              </w:rPr>
            </w:pPr>
            <w:r w:rsidRPr="00B92D11">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1494FE76" w14:textId="77777777" w:rsidR="006018C0" w:rsidRPr="00B92D11" w:rsidRDefault="006018C0" w:rsidP="00B70541">
            <w:pPr>
              <w:pStyle w:val="LCATabla"/>
              <w:keepLines/>
              <w:jc w:val="both"/>
              <w:rPr>
                <w:rFonts w:ascii="Arial" w:hAnsi="Arial" w:cs="Arial"/>
                <w:sz w:val="20"/>
              </w:rPr>
            </w:pPr>
            <w:r w:rsidRPr="00B92D11">
              <w:rPr>
                <w:rFonts w:ascii="Arial" w:hAnsi="Arial" w:cs="Arial"/>
                <w:sz w:val="20"/>
              </w:rPr>
              <w:t>Dos decimales.</w:t>
            </w:r>
          </w:p>
        </w:tc>
      </w:tr>
      <w:tr w:rsidR="006018C0" w:rsidRPr="00B92D11" w14:paraId="27057A0F" w14:textId="77777777" w:rsidTr="00915CF6">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25FF7DCD" w14:textId="77777777" w:rsidR="006018C0" w:rsidRPr="00B92D11" w:rsidRDefault="006018C0" w:rsidP="00915CF6">
            <w:pPr>
              <w:pStyle w:val="Tabla"/>
              <w:rPr>
                <w:b/>
              </w:rPr>
            </w:pPr>
            <w:r w:rsidRPr="00B92D11">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5589EAE7" w14:textId="77777777" w:rsidR="006018C0" w:rsidRPr="00B92D11" w:rsidRDefault="00B92D11" w:rsidP="00B70541">
            <w:pPr>
              <w:pStyle w:val="LCATabla"/>
              <w:keepLines/>
              <w:jc w:val="both"/>
              <w:rPr>
                <w:rFonts w:ascii="Arial" w:hAnsi="Arial" w:cs="Arial"/>
                <w:sz w:val="20"/>
              </w:rPr>
            </w:pPr>
            <w:r w:rsidRPr="00B92D11">
              <w:rPr>
                <w:rFonts w:ascii="Arial" w:hAnsi="Arial" w:cs="Arial"/>
                <w:sz w:val="20"/>
              </w:rPr>
              <w:t xml:space="preserve">Volumen de tierra </w:t>
            </w:r>
            <w:r w:rsidR="00217216" w:rsidRPr="00B92D11">
              <w:rPr>
                <w:rFonts w:ascii="Arial" w:hAnsi="Arial" w:cs="Arial"/>
                <w:sz w:val="20"/>
              </w:rPr>
              <w:t>vegetal</w:t>
            </w:r>
            <w:r w:rsidRPr="00B92D11">
              <w:rPr>
                <w:rFonts w:ascii="Arial" w:hAnsi="Arial" w:cs="Arial"/>
                <w:sz w:val="20"/>
              </w:rPr>
              <w:t xml:space="preserve"> acopiada</w:t>
            </w:r>
            <w:r w:rsidR="006018C0" w:rsidRPr="00B92D11">
              <w:rPr>
                <w:rFonts w:ascii="Arial" w:hAnsi="Arial" w:cs="Arial"/>
                <w:sz w:val="20"/>
              </w:rPr>
              <w:t xml:space="preserve">  </w:t>
            </w:r>
          </w:p>
        </w:tc>
      </w:tr>
      <w:tr w:rsidR="006018C0" w:rsidRPr="00B92D11" w14:paraId="607F6D33" w14:textId="77777777" w:rsidTr="00915CF6">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182858A2" w14:textId="77777777" w:rsidR="006018C0" w:rsidRPr="00B92D11" w:rsidRDefault="006018C0" w:rsidP="00915CF6">
            <w:pPr>
              <w:pStyle w:val="Tabla"/>
              <w:rPr>
                <w:b/>
              </w:rPr>
            </w:pPr>
            <w:r w:rsidRPr="00B92D11">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5EDD07C1" w14:textId="77777777" w:rsidR="006018C0" w:rsidRPr="00B92D11" w:rsidRDefault="006018C0" w:rsidP="00B70541">
            <w:pPr>
              <w:pStyle w:val="LCATabla"/>
              <w:keepLines/>
              <w:jc w:val="both"/>
              <w:rPr>
                <w:rFonts w:ascii="Arial" w:hAnsi="Arial" w:cs="Arial"/>
                <w:sz w:val="20"/>
              </w:rPr>
            </w:pPr>
            <w:r w:rsidRPr="00B92D11">
              <w:rPr>
                <w:rFonts w:ascii="Arial" w:hAnsi="Arial" w:cs="Arial"/>
                <w:sz w:val="20"/>
              </w:rPr>
              <w:t>Se efectuará cuando se realice la aceptación</w:t>
            </w:r>
          </w:p>
        </w:tc>
      </w:tr>
      <w:tr w:rsidR="006018C0" w:rsidRPr="00B92D11" w14:paraId="4B1D9EA0" w14:textId="77777777" w:rsidTr="00915CF6">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138D218F" w14:textId="77777777" w:rsidR="006018C0" w:rsidRPr="00B92D11" w:rsidRDefault="006018C0" w:rsidP="00915CF6">
            <w:pPr>
              <w:pStyle w:val="Tabla"/>
              <w:rPr>
                <w:b/>
              </w:rPr>
            </w:pPr>
            <w:r w:rsidRPr="00B92D11">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284D313C" w14:textId="77777777" w:rsidR="006018C0" w:rsidRPr="00B92D11" w:rsidRDefault="006018C0" w:rsidP="00B70541">
            <w:pPr>
              <w:pStyle w:val="LCATabla"/>
              <w:keepLines/>
              <w:jc w:val="both"/>
              <w:rPr>
                <w:rFonts w:ascii="Arial" w:hAnsi="Arial" w:cs="Arial"/>
                <w:sz w:val="20"/>
              </w:rPr>
            </w:pPr>
            <w:r w:rsidRPr="00B92D11">
              <w:rPr>
                <w:rFonts w:ascii="Arial" w:hAnsi="Arial" w:cs="Arial"/>
                <w:sz w:val="20"/>
              </w:rPr>
              <w:t>El precio de la unidad incluye</w:t>
            </w:r>
            <w:r w:rsidR="00B92D11" w:rsidRPr="00B92D11">
              <w:rPr>
                <w:rFonts w:ascii="Arial" w:hAnsi="Arial" w:cs="Arial"/>
                <w:sz w:val="20"/>
              </w:rPr>
              <w:t>:</w:t>
            </w:r>
            <w:r w:rsidRPr="00B92D11">
              <w:rPr>
                <w:rFonts w:ascii="Arial" w:hAnsi="Arial" w:cs="Arial"/>
                <w:sz w:val="20"/>
              </w:rPr>
              <w:t xml:space="preserve"> todos los materiales y medios necesarios para la correcta ejecución de la unidad. </w:t>
            </w:r>
          </w:p>
          <w:p w14:paraId="34668CCF" w14:textId="77777777" w:rsidR="006018C0" w:rsidRPr="00B92D11" w:rsidRDefault="00B92D11" w:rsidP="00B70541">
            <w:pPr>
              <w:pStyle w:val="LCATabla"/>
              <w:keepLines/>
              <w:jc w:val="both"/>
              <w:rPr>
                <w:rFonts w:ascii="Arial" w:hAnsi="Arial" w:cs="Arial"/>
                <w:sz w:val="20"/>
              </w:rPr>
            </w:pPr>
            <w:r w:rsidRPr="00B92D11">
              <w:rPr>
                <w:rFonts w:ascii="Arial" w:hAnsi="Arial" w:cs="Arial"/>
                <w:sz w:val="20"/>
              </w:rPr>
              <w:t>Incluye la carga y transporte hasta el lugar de acopio o utilización</w:t>
            </w:r>
          </w:p>
          <w:p w14:paraId="5D34BC03" w14:textId="77777777" w:rsidR="00B92D11" w:rsidRPr="00B92D11" w:rsidRDefault="00B92D11" w:rsidP="00B70541">
            <w:pPr>
              <w:pStyle w:val="LCATabla"/>
              <w:keepLines/>
              <w:jc w:val="both"/>
              <w:rPr>
                <w:rFonts w:ascii="Arial" w:hAnsi="Arial" w:cs="Arial"/>
                <w:sz w:val="20"/>
              </w:rPr>
            </w:pPr>
            <w:r w:rsidRPr="00B92D11">
              <w:rPr>
                <w:rFonts w:ascii="Arial" w:hAnsi="Arial" w:cs="Arial"/>
                <w:sz w:val="20"/>
              </w:rPr>
              <w:t>Los medios y materiales necesarios para el mantenimiento y custodia del acopio durante la duración del acopio</w:t>
            </w:r>
            <w:r w:rsidR="00B70541">
              <w:rPr>
                <w:rFonts w:ascii="Arial" w:hAnsi="Arial" w:cs="Arial"/>
                <w:sz w:val="20"/>
              </w:rPr>
              <w:t>.</w:t>
            </w:r>
          </w:p>
        </w:tc>
      </w:tr>
    </w:tbl>
    <w:p w14:paraId="4A5B2A4E" w14:textId="77777777" w:rsidR="006018C0" w:rsidRDefault="006018C0" w:rsidP="006018C0">
      <w:pPr>
        <w:pStyle w:val="NORMAL12"/>
        <w:rPr>
          <w:color w:val="FF0000"/>
          <w:lang w:val="es-ES"/>
        </w:rPr>
      </w:pPr>
    </w:p>
    <w:p w14:paraId="2672C56F" w14:textId="77777777" w:rsidR="006018C0" w:rsidRPr="00F74B11" w:rsidRDefault="006018C0" w:rsidP="006018C0">
      <w:pPr>
        <w:pStyle w:val="TITU1"/>
        <w:rPr>
          <w:color w:val="000000" w:themeColor="text1"/>
        </w:rPr>
      </w:pPr>
      <w:bookmarkStart w:id="1671" w:name="_Toc404831"/>
      <w:r w:rsidRPr="00F74B11">
        <w:rPr>
          <w:color w:val="000000" w:themeColor="text1"/>
        </w:rPr>
        <w:lastRenderedPageBreak/>
        <w:t>Artículo 961. Tratamiento con herbicida</w:t>
      </w:r>
      <w:bookmarkEnd w:id="1671"/>
    </w:p>
    <w:p w14:paraId="1C0CF7A9" w14:textId="77777777" w:rsidR="006018C0" w:rsidRPr="00F74B11" w:rsidRDefault="006018C0" w:rsidP="000313DD">
      <w:pPr>
        <w:pStyle w:val="TITU2"/>
      </w:pPr>
      <w:bookmarkStart w:id="1672" w:name="_Toc404832"/>
      <w:r w:rsidRPr="00F74B11">
        <w:t>9</w:t>
      </w:r>
      <w:r w:rsidR="00AE2129">
        <w:t>61</w:t>
      </w:r>
      <w:r w:rsidRPr="00F74B11">
        <w:t>.1. Definición y aplicación</w:t>
      </w:r>
      <w:bookmarkEnd w:id="1672"/>
    </w:p>
    <w:p w14:paraId="3885DB0C" w14:textId="77777777" w:rsidR="006018C0" w:rsidRPr="00F74B11" w:rsidRDefault="00866FC4" w:rsidP="00866FC4">
      <w:pPr>
        <w:tabs>
          <w:tab w:val="left" w:pos="993"/>
          <w:tab w:val="left" w:pos="1985"/>
          <w:tab w:val="left" w:pos="2268"/>
        </w:tabs>
        <w:suppressAutoHyphens/>
        <w:spacing w:before="120" w:after="120" w:line="360" w:lineRule="auto"/>
        <w:jc w:val="both"/>
      </w:pPr>
      <w:r w:rsidRPr="00F74B11">
        <w:rPr>
          <w:rFonts w:ascii="Arial" w:hAnsi="Arial" w:cs="Arial"/>
          <w:lang w:eastAsia="en-US"/>
        </w:rPr>
        <w:t xml:space="preserve">Se define como el conjunto de operaciones para el tratamiento con herbicida </w:t>
      </w:r>
      <w:r w:rsidR="00FD757E" w:rsidRPr="00F74B11">
        <w:rPr>
          <w:rFonts w:ascii="Arial" w:hAnsi="Arial" w:cs="Arial"/>
          <w:lang w:eastAsia="en-US"/>
        </w:rPr>
        <w:t xml:space="preserve">contra monocotiledóneas </w:t>
      </w:r>
      <w:r w:rsidRPr="00F74B11">
        <w:rPr>
          <w:rFonts w:ascii="Arial" w:hAnsi="Arial" w:cs="Arial"/>
          <w:lang w:eastAsia="en-US"/>
        </w:rPr>
        <w:t>en zonas locali</w:t>
      </w:r>
      <w:r w:rsidR="00217216">
        <w:rPr>
          <w:rFonts w:ascii="Arial" w:hAnsi="Arial" w:cs="Arial"/>
          <w:lang w:eastAsia="en-US"/>
        </w:rPr>
        <w:t>za</w:t>
      </w:r>
      <w:r w:rsidRPr="00F74B11">
        <w:rPr>
          <w:rFonts w:ascii="Arial" w:hAnsi="Arial" w:cs="Arial"/>
          <w:lang w:eastAsia="en-US"/>
        </w:rPr>
        <w:t>das de la actuación</w:t>
      </w:r>
    </w:p>
    <w:tbl>
      <w:tblPr>
        <w:tblW w:w="5000" w:type="pct"/>
        <w:tblCellMar>
          <w:left w:w="70" w:type="dxa"/>
          <w:right w:w="70" w:type="dxa"/>
        </w:tblCellMar>
        <w:tblLook w:val="04A0" w:firstRow="1" w:lastRow="0" w:firstColumn="1" w:lastColumn="0" w:noHBand="0" w:noVBand="1"/>
      </w:tblPr>
      <w:tblGrid>
        <w:gridCol w:w="1207"/>
        <w:gridCol w:w="714"/>
        <w:gridCol w:w="7999"/>
      </w:tblGrid>
      <w:tr w:rsidR="00CA13DB" w:rsidRPr="006018C0" w14:paraId="5D0311BE" w14:textId="77777777" w:rsidTr="00915CF6">
        <w:trPr>
          <w:trHeight w:val="419"/>
        </w:trPr>
        <w:tc>
          <w:tcPr>
            <w:tcW w:w="608" w:type="pct"/>
            <w:noWrap/>
          </w:tcPr>
          <w:p w14:paraId="02312E3C" w14:textId="77777777" w:rsidR="00CA13DB" w:rsidRPr="00F74B11" w:rsidRDefault="00CA13DB">
            <w:pPr>
              <w:rPr>
                <w:rFonts w:asciiTheme="minorHAnsi" w:hAnsiTheme="minorHAnsi" w:cstheme="minorHAnsi"/>
                <w:color w:val="000000"/>
              </w:rPr>
            </w:pPr>
            <w:r w:rsidRPr="00F74B11">
              <w:rPr>
                <w:rFonts w:asciiTheme="minorHAnsi" w:hAnsiTheme="minorHAnsi" w:cstheme="minorHAnsi"/>
                <w:color w:val="000000"/>
              </w:rPr>
              <w:t xml:space="preserve">810.1003N         </w:t>
            </w:r>
          </w:p>
        </w:tc>
        <w:tc>
          <w:tcPr>
            <w:tcW w:w="360" w:type="pct"/>
            <w:noWrap/>
          </w:tcPr>
          <w:p w14:paraId="33C7633A" w14:textId="77777777" w:rsidR="00CA13DB" w:rsidRPr="00F74B11" w:rsidRDefault="00CA13DB">
            <w:pPr>
              <w:rPr>
                <w:rFonts w:asciiTheme="minorHAnsi" w:hAnsiTheme="minorHAnsi" w:cstheme="minorHAnsi"/>
                <w:color w:val="000000"/>
              </w:rPr>
            </w:pPr>
            <w:r w:rsidRPr="00F74B11">
              <w:rPr>
                <w:rFonts w:asciiTheme="minorHAnsi" w:hAnsiTheme="minorHAnsi" w:cstheme="minorHAnsi"/>
                <w:color w:val="000000"/>
              </w:rPr>
              <w:t>m²</w:t>
            </w:r>
          </w:p>
        </w:tc>
        <w:tc>
          <w:tcPr>
            <w:tcW w:w="4032" w:type="pct"/>
          </w:tcPr>
          <w:p w14:paraId="03368117" w14:textId="77777777" w:rsidR="00CA13DB" w:rsidRPr="00F74B11" w:rsidRDefault="00CA13DB" w:rsidP="00B70541">
            <w:pPr>
              <w:jc w:val="both"/>
              <w:rPr>
                <w:rFonts w:asciiTheme="minorHAnsi" w:hAnsiTheme="minorHAnsi" w:cstheme="minorHAnsi"/>
                <w:color w:val="000000"/>
              </w:rPr>
            </w:pPr>
            <w:r w:rsidRPr="00F74B11">
              <w:rPr>
                <w:rFonts w:asciiTheme="minorHAnsi" w:hAnsiTheme="minorHAnsi" w:cstheme="minorHAnsi"/>
                <w:color w:val="000000"/>
              </w:rPr>
              <w:t>TRATAMIENTO HERBICIDA CONTRA MONOCOTILEDÓNEAS, NO RESIDUAL, APLICADO CON INTEGRACIÓN VISUAL DEL TRATAMIENTO CON APLICACIÓN DE PIGMENTOS COLORANTES, APLICADO DISUELTO EN AGUA CON PULVERIZADOR AUTÓNOMO A MOTOR.</w:t>
            </w:r>
          </w:p>
        </w:tc>
      </w:tr>
    </w:tbl>
    <w:p w14:paraId="59CC7D51" w14:textId="77777777" w:rsidR="006018C0" w:rsidRPr="00181618" w:rsidRDefault="006018C0" w:rsidP="006018C0">
      <w:pPr>
        <w:pStyle w:val="NORMAL12"/>
        <w:rPr>
          <w:lang w:val="es-ES"/>
        </w:rPr>
      </w:pPr>
      <w:r w:rsidRPr="00181618">
        <w:rPr>
          <w:lang w:val="es-ES"/>
        </w:rPr>
        <w:t>La ejecución de la unidad incluye la realización de las operaciones siguientes:</w:t>
      </w:r>
    </w:p>
    <w:p w14:paraId="14F06E5C" w14:textId="77777777" w:rsidR="00A7782E" w:rsidRPr="00181618" w:rsidRDefault="00A7782E" w:rsidP="000313DD">
      <w:pPr>
        <w:pStyle w:val="NORMAL12"/>
        <w:numPr>
          <w:ilvl w:val="0"/>
          <w:numId w:val="230"/>
        </w:numPr>
        <w:rPr>
          <w:lang w:val="es-ES"/>
        </w:rPr>
      </w:pPr>
      <w:r w:rsidRPr="00181618">
        <w:rPr>
          <w:lang w:val="es-ES"/>
        </w:rPr>
        <w:t>Identificación de la zona e individuos a tratar.</w:t>
      </w:r>
    </w:p>
    <w:p w14:paraId="66C68268" w14:textId="77777777" w:rsidR="00A7782E" w:rsidRPr="00181618" w:rsidRDefault="00A7782E" w:rsidP="000313DD">
      <w:pPr>
        <w:pStyle w:val="NORMAL12"/>
        <w:numPr>
          <w:ilvl w:val="0"/>
          <w:numId w:val="230"/>
        </w:numPr>
        <w:rPr>
          <w:lang w:val="es-ES"/>
        </w:rPr>
      </w:pPr>
      <w:r w:rsidRPr="00181618">
        <w:rPr>
          <w:lang w:val="es-ES"/>
        </w:rPr>
        <w:t>Aplicación del producto con colorante.</w:t>
      </w:r>
    </w:p>
    <w:p w14:paraId="6885B874" w14:textId="77777777" w:rsidR="00A7782E" w:rsidRDefault="00A7782E" w:rsidP="000313DD">
      <w:pPr>
        <w:pStyle w:val="NORMAL12"/>
        <w:numPr>
          <w:ilvl w:val="0"/>
          <w:numId w:val="230"/>
        </w:numPr>
        <w:rPr>
          <w:lang w:val="es-ES"/>
        </w:rPr>
      </w:pPr>
      <w:r w:rsidRPr="00181618">
        <w:rPr>
          <w:lang w:val="es-ES"/>
        </w:rPr>
        <w:t>Observación de la evolución y efectividad del tratamiento.</w:t>
      </w:r>
    </w:p>
    <w:p w14:paraId="6D0230D3" w14:textId="77777777" w:rsidR="00181618" w:rsidRPr="00181618" w:rsidRDefault="00181618" w:rsidP="000313DD">
      <w:pPr>
        <w:pStyle w:val="NORMAL12"/>
        <w:numPr>
          <w:ilvl w:val="0"/>
          <w:numId w:val="230"/>
        </w:numPr>
        <w:rPr>
          <w:lang w:val="es-ES"/>
        </w:rPr>
      </w:pPr>
      <w:r>
        <w:rPr>
          <w:lang w:val="es-ES"/>
        </w:rPr>
        <w:t>Nueva aplicación del producto si fuera necesario.</w:t>
      </w:r>
    </w:p>
    <w:p w14:paraId="08180412" w14:textId="77777777" w:rsidR="006018C0" w:rsidRDefault="006018C0" w:rsidP="000313DD">
      <w:pPr>
        <w:pStyle w:val="TITU2"/>
      </w:pPr>
      <w:bookmarkStart w:id="1673" w:name="_Toc404833"/>
      <w:r w:rsidRPr="006018C0">
        <w:t>9</w:t>
      </w:r>
      <w:r w:rsidR="00AE2129">
        <w:t>61</w:t>
      </w:r>
      <w:r w:rsidRPr="006018C0">
        <w:t>.2. Materiales</w:t>
      </w:r>
      <w:bookmarkEnd w:id="1673"/>
    </w:p>
    <w:p w14:paraId="1C60CBEE" w14:textId="77777777" w:rsidR="00FD757E" w:rsidRDefault="00FD757E" w:rsidP="00FD757E">
      <w:pPr>
        <w:pStyle w:val="NORMAL12"/>
        <w:rPr>
          <w:lang w:val="es-ES"/>
        </w:rPr>
      </w:pPr>
      <w:r>
        <w:rPr>
          <w:lang w:val="es-ES"/>
        </w:rPr>
        <w:t>Para seleccionar el tipo de herbicida idóneo a utilizar, es conveniente tener en cuenta las siguientes cuestiones:</w:t>
      </w:r>
    </w:p>
    <w:p w14:paraId="487C3570" w14:textId="77777777" w:rsidR="00FD757E" w:rsidRDefault="00FD757E" w:rsidP="000313DD">
      <w:pPr>
        <w:pStyle w:val="NORMAL12"/>
        <w:numPr>
          <w:ilvl w:val="0"/>
          <w:numId w:val="245"/>
        </w:numPr>
        <w:rPr>
          <w:lang w:val="es-ES"/>
        </w:rPr>
      </w:pPr>
      <w:r>
        <w:rPr>
          <w:lang w:val="es-ES"/>
        </w:rPr>
        <w:t>Efectividad sobre la especie objetivo.</w:t>
      </w:r>
    </w:p>
    <w:p w14:paraId="601AEA91" w14:textId="77777777" w:rsidR="00FD757E" w:rsidRDefault="00FD757E" w:rsidP="000313DD">
      <w:pPr>
        <w:pStyle w:val="NORMAL12"/>
        <w:numPr>
          <w:ilvl w:val="0"/>
          <w:numId w:val="245"/>
        </w:numPr>
        <w:rPr>
          <w:lang w:val="es-ES"/>
        </w:rPr>
      </w:pPr>
      <w:r>
        <w:rPr>
          <w:lang w:val="es-ES"/>
        </w:rPr>
        <w:t xml:space="preserve">Mecanismos de </w:t>
      </w:r>
      <w:r w:rsidR="00217216">
        <w:rPr>
          <w:lang w:val="es-ES"/>
        </w:rPr>
        <w:t>disipación</w:t>
      </w:r>
      <w:r>
        <w:rPr>
          <w:lang w:val="es-ES"/>
        </w:rPr>
        <w:t xml:space="preserve"> (persistencia, degradación, movilidad por el aire o por el agua, hacia otros organismos.</w:t>
      </w:r>
    </w:p>
    <w:p w14:paraId="03A5B790" w14:textId="77777777" w:rsidR="00FD757E" w:rsidRDefault="00FD757E" w:rsidP="000313DD">
      <w:pPr>
        <w:pStyle w:val="NORMAL12"/>
        <w:numPr>
          <w:ilvl w:val="0"/>
          <w:numId w:val="245"/>
        </w:numPr>
        <w:rPr>
          <w:lang w:val="es-ES"/>
        </w:rPr>
      </w:pPr>
      <w:r>
        <w:rPr>
          <w:lang w:val="es-ES"/>
        </w:rPr>
        <w:t>Comportamiento en el entorno (vegetación, medio acuático, suelo).</w:t>
      </w:r>
    </w:p>
    <w:p w14:paraId="077FBE99" w14:textId="77777777" w:rsidR="00FD757E" w:rsidRDefault="00FD757E" w:rsidP="000313DD">
      <w:pPr>
        <w:pStyle w:val="NORMAL12"/>
        <w:numPr>
          <w:ilvl w:val="0"/>
          <w:numId w:val="245"/>
        </w:numPr>
        <w:rPr>
          <w:lang w:val="es-ES"/>
        </w:rPr>
      </w:pPr>
      <w:r>
        <w:rPr>
          <w:lang w:val="es-ES"/>
        </w:rPr>
        <w:t>Toxicidad sobre los organismos acuáticos, aves, mamíferos u otros organismos no diana.</w:t>
      </w:r>
    </w:p>
    <w:p w14:paraId="4ABF984C" w14:textId="77777777" w:rsidR="00FD757E" w:rsidRPr="00FD757E" w:rsidRDefault="00FD757E" w:rsidP="00FD757E">
      <w:pPr>
        <w:spacing w:before="120" w:after="120" w:line="360" w:lineRule="auto"/>
        <w:jc w:val="both"/>
        <w:rPr>
          <w:rFonts w:ascii="Arial" w:hAnsi="Arial" w:cs="Arial"/>
        </w:rPr>
      </w:pPr>
      <w:r w:rsidRPr="00FD757E">
        <w:rPr>
          <w:rFonts w:ascii="Arial" w:hAnsi="Arial" w:cs="Arial"/>
        </w:rPr>
        <w:t xml:space="preserve">Se debe comprobar y obtener los permisos establecidos en la normativa vigente para la aplicación </w:t>
      </w:r>
      <w:r>
        <w:rPr>
          <w:rFonts w:ascii="Arial" w:hAnsi="Arial" w:cs="Arial"/>
        </w:rPr>
        <w:t xml:space="preserve">del herbicida </w:t>
      </w:r>
      <w:r w:rsidRPr="00FD757E">
        <w:rPr>
          <w:rFonts w:ascii="Arial" w:hAnsi="Arial" w:cs="Arial"/>
        </w:rPr>
        <w:t xml:space="preserve">y en ningún caso se aplicarán sin la aprobación del </w:t>
      </w:r>
      <w:proofErr w:type="gramStart"/>
      <w:r w:rsidRPr="00FD757E">
        <w:rPr>
          <w:rFonts w:ascii="Arial" w:hAnsi="Arial" w:cs="Arial"/>
        </w:rPr>
        <w:t>Director</w:t>
      </w:r>
      <w:proofErr w:type="gramEnd"/>
      <w:r w:rsidRPr="00FD757E">
        <w:rPr>
          <w:rFonts w:ascii="Arial" w:hAnsi="Arial" w:cs="Arial"/>
        </w:rPr>
        <w:t xml:space="preserve"> de O</w:t>
      </w:r>
      <w:r>
        <w:rPr>
          <w:rFonts w:ascii="Arial" w:hAnsi="Arial" w:cs="Arial"/>
        </w:rPr>
        <w:t>bra. Se propone la utilización de los siguientes productos:</w:t>
      </w:r>
    </w:p>
    <w:p w14:paraId="33427599" w14:textId="77777777" w:rsidR="00866FC4" w:rsidRDefault="00866FC4" w:rsidP="000313DD">
      <w:pPr>
        <w:pStyle w:val="NORMAL12"/>
        <w:numPr>
          <w:ilvl w:val="0"/>
          <w:numId w:val="245"/>
        </w:numPr>
        <w:rPr>
          <w:lang w:val="es-ES"/>
        </w:rPr>
      </w:pPr>
      <w:r>
        <w:rPr>
          <w:lang w:val="es-ES"/>
        </w:rPr>
        <w:t xml:space="preserve">Herbicida no selectivo: glifosato entre el dos por ciento (2%) y al cuatro por ciento (4%). Se aplicará sin desbroce previo. </w:t>
      </w:r>
      <w:r w:rsidR="00FD757E">
        <w:rPr>
          <w:lang w:val="es-ES"/>
        </w:rPr>
        <w:t>La aplicación propuesta tendrá una dotación de 150 mililitros (150 ml) de glifosato en cinco litros (5l) de agua</w:t>
      </w:r>
    </w:p>
    <w:p w14:paraId="17A64E31" w14:textId="77777777" w:rsidR="00866FC4" w:rsidRDefault="00866FC4" w:rsidP="000313DD">
      <w:pPr>
        <w:pStyle w:val="NORMAL12"/>
        <w:numPr>
          <w:ilvl w:val="0"/>
          <w:numId w:val="245"/>
        </w:numPr>
        <w:rPr>
          <w:lang w:val="es-ES"/>
        </w:rPr>
      </w:pPr>
      <w:r>
        <w:rPr>
          <w:lang w:val="es-ES"/>
        </w:rPr>
        <w:t xml:space="preserve">Herbicida selectivo para monocotiledóneas: </w:t>
      </w:r>
      <w:proofErr w:type="spellStart"/>
      <w:r>
        <w:rPr>
          <w:lang w:val="es-ES"/>
        </w:rPr>
        <w:t>quizalofop</w:t>
      </w:r>
      <w:proofErr w:type="spellEnd"/>
      <w:r>
        <w:rPr>
          <w:lang w:val="es-ES"/>
        </w:rPr>
        <w:t>.</w:t>
      </w:r>
    </w:p>
    <w:p w14:paraId="62127EF2" w14:textId="77777777" w:rsidR="00866FC4" w:rsidRDefault="00217216" w:rsidP="00FD757E">
      <w:pPr>
        <w:spacing w:before="120" w:after="120" w:line="360" w:lineRule="auto"/>
        <w:jc w:val="both"/>
        <w:rPr>
          <w:rFonts w:ascii="Arial" w:hAnsi="Arial" w:cs="Arial"/>
        </w:rPr>
      </w:pPr>
      <w:r>
        <w:rPr>
          <w:rFonts w:ascii="Arial" w:hAnsi="Arial" w:cs="Arial"/>
        </w:rPr>
        <w:t>Con l</w:t>
      </w:r>
      <w:r w:rsidR="00FD757E" w:rsidRPr="00FD757E">
        <w:rPr>
          <w:rFonts w:ascii="Arial" w:hAnsi="Arial" w:cs="Arial"/>
        </w:rPr>
        <w:t xml:space="preserve">os productos empleados con formato comercial se debe tener en cuenta los </w:t>
      </w:r>
      <w:proofErr w:type="spellStart"/>
      <w:r w:rsidR="00FD757E" w:rsidRPr="00FD757E">
        <w:rPr>
          <w:rFonts w:ascii="Arial" w:hAnsi="Arial" w:cs="Arial"/>
        </w:rPr>
        <w:t>coadyugantes</w:t>
      </w:r>
      <w:proofErr w:type="spellEnd"/>
      <w:r w:rsidR="00FD757E" w:rsidRPr="00FD757E">
        <w:rPr>
          <w:rFonts w:ascii="Arial" w:hAnsi="Arial" w:cs="Arial"/>
        </w:rPr>
        <w:t xml:space="preserve">, dado que algunos pueden aumentar la toxicidad. Es el caso de la </w:t>
      </w:r>
      <w:proofErr w:type="spellStart"/>
      <w:r w:rsidR="00FD757E" w:rsidRPr="00FD757E">
        <w:rPr>
          <w:rFonts w:ascii="Arial" w:hAnsi="Arial" w:cs="Arial"/>
        </w:rPr>
        <w:t>tallowamina</w:t>
      </w:r>
      <w:proofErr w:type="spellEnd"/>
      <w:r w:rsidR="00FD757E" w:rsidRPr="00FD757E">
        <w:rPr>
          <w:rFonts w:ascii="Arial" w:hAnsi="Arial" w:cs="Arial"/>
        </w:rPr>
        <w:t xml:space="preserve"> </w:t>
      </w:r>
      <w:proofErr w:type="spellStart"/>
      <w:r w:rsidR="00FD757E" w:rsidRPr="00FD757E">
        <w:rPr>
          <w:rFonts w:ascii="Arial" w:hAnsi="Arial" w:cs="Arial"/>
        </w:rPr>
        <w:t>polietoxilada</w:t>
      </w:r>
      <w:proofErr w:type="spellEnd"/>
      <w:r w:rsidR="00FD757E" w:rsidRPr="00FD757E">
        <w:rPr>
          <w:rFonts w:ascii="Arial" w:hAnsi="Arial" w:cs="Arial"/>
        </w:rPr>
        <w:t>, por ejemplo. Según el Reglamento de Ejecución (UE) 2016/1313 de la comisión de 1 de agosto de 2016, los productos comercializados que contengan este coadyuvante no se pueden emplear.</w:t>
      </w:r>
    </w:p>
    <w:p w14:paraId="7A9CFF40" w14:textId="77777777" w:rsidR="00FD757E" w:rsidRPr="00FD757E" w:rsidRDefault="00FD757E" w:rsidP="00FD757E">
      <w:pPr>
        <w:spacing w:before="120" w:after="120" w:line="360" w:lineRule="auto"/>
        <w:jc w:val="both"/>
        <w:rPr>
          <w:rFonts w:ascii="Arial" w:hAnsi="Arial" w:cs="Arial"/>
        </w:rPr>
      </w:pPr>
      <w:r w:rsidRPr="00FD757E">
        <w:rPr>
          <w:rFonts w:ascii="Arial" w:hAnsi="Arial" w:cs="Arial"/>
        </w:rPr>
        <w:t xml:space="preserve">Tanto el glifosato como el </w:t>
      </w:r>
      <w:proofErr w:type="spellStart"/>
      <w:r w:rsidRPr="00FD757E">
        <w:rPr>
          <w:rFonts w:ascii="Arial" w:hAnsi="Arial" w:cs="Arial"/>
        </w:rPr>
        <w:t>quizalofop</w:t>
      </w:r>
      <w:proofErr w:type="spellEnd"/>
      <w:r w:rsidRPr="00FD757E">
        <w:rPr>
          <w:rFonts w:ascii="Arial" w:hAnsi="Arial" w:cs="Arial"/>
        </w:rPr>
        <w:t xml:space="preserve"> y el </w:t>
      </w:r>
      <w:proofErr w:type="spellStart"/>
      <w:r w:rsidRPr="00FD757E">
        <w:rPr>
          <w:rFonts w:ascii="Arial" w:hAnsi="Arial" w:cs="Arial"/>
        </w:rPr>
        <w:t>fluazifop</w:t>
      </w:r>
      <w:proofErr w:type="spellEnd"/>
      <w:r w:rsidRPr="00FD757E">
        <w:rPr>
          <w:rFonts w:ascii="Arial" w:hAnsi="Arial" w:cs="Arial"/>
        </w:rPr>
        <w:t xml:space="preserve"> -p butilo requieren clasificación para el medio ambiente según el Reglamento (CE) 1272/2008. En concreto, los datos de toxicidad determinan que estas dos últimas sustancias se clasifiquen con la categoría más desfavorable (para peligro agudo y peligro crónico).</w:t>
      </w:r>
    </w:p>
    <w:p w14:paraId="73F92552" w14:textId="77777777" w:rsidR="006018C0" w:rsidRDefault="006018C0" w:rsidP="000313DD">
      <w:pPr>
        <w:pStyle w:val="TITU2"/>
      </w:pPr>
      <w:bookmarkStart w:id="1674" w:name="_Toc404834"/>
      <w:r w:rsidRPr="006018C0">
        <w:t>9</w:t>
      </w:r>
      <w:r w:rsidR="00AE2129">
        <w:t>61</w:t>
      </w:r>
      <w:r w:rsidRPr="006018C0">
        <w:t>.3. Ejecución de las obras</w:t>
      </w:r>
      <w:bookmarkEnd w:id="1674"/>
    </w:p>
    <w:p w14:paraId="3819AA5C" w14:textId="77777777" w:rsidR="00FD757E" w:rsidRDefault="00FD757E" w:rsidP="00FD757E">
      <w:pPr>
        <w:pStyle w:val="NORMAL12"/>
        <w:rPr>
          <w:lang w:val="es-ES"/>
        </w:rPr>
      </w:pPr>
      <w:r>
        <w:rPr>
          <w:lang w:val="es-ES"/>
        </w:rPr>
        <w:t>Se aplicará el producto según las indicaciones del fabricante con las dotaciones previstas en cada caso.</w:t>
      </w:r>
    </w:p>
    <w:p w14:paraId="4BA950BB" w14:textId="77777777" w:rsidR="00A7782E" w:rsidRDefault="00A7782E" w:rsidP="00FD757E">
      <w:pPr>
        <w:pStyle w:val="NORMAL12"/>
        <w:rPr>
          <w:lang w:val="es-ES"/>
        </w:rPr>
      </w:pPr>
      <w:r>
        <w:rPr>
          <w:lang w:val="es-ES"/>
        </w:rPr>
        <w:t xml:space="preserve">Al herbicida se le aplicará un colorante para mejor identificación de la zona aplicada, según las condiciones </w:t>
      </w:r>
      <w:r w:rsidR="00217216">
        <w:rPr>
          <w:lang w:val="es-ES"/>
        </w:rPr>
        <w:t>establecidas</w:t>
      </w:r>
      <w:r>
        <w:rPr>
          <w:lang w:val="es-ES"/>
        </w:rPr>
        <w:t xml:space="preserve"> por el fabricante del producto.</w:t>
      </w:r>
    </w:p>
    <w:p w14:paraId="398AF073" w14:textId="77777777" w:rsidR="00FD757E" w:rsidRDefault="00FD757E" w:rsidP="00FD757E">
      <w:pPr>
        <w:pStyle w:val="NORMAL12"/>
        <w:rPr>
          <w:lang w:val="es-ES"/>
        </w:rPr>
      </w:pPr>
      <w:r>
        <w:rPr>
          <w:lang w:val="es-ES"/>
        </w:rPr>
        <w:t>Se observarán después de la aplicación los siguientes síntomas:</w:t>
      </w:r>
    </w:p>
    <w:p w14:paraId="22372F71" w14:textId="77777777" w:rsidR="00FD757E" w:rsidRDefault="00FD757E" w:rsidP="000313DD">
      <w:pPr>
        <w:pStyle w:val="NORMAL12"/>
        <w:numPr>
          <w:ilvl w:val="0"/>
          <w:numId w:val="257"/>
        </w:numPr>
        <w:rPr>
          <w:lang w:val="es-ES"/>
        </w:rPr>
      </w:pPr>
      <w:r>
        <w:rPr>
          <w:lang w:val="es-ES"/>
        </w:rPr>
        <w:t>Presencia de síntomas de clorosis</w:t>
      </w:r>
    </w:p>
    <w:p w14:paraId="3A23B65A" w14:textId="77777777" w:rsidR="00FD757E" w:rsidRDefault="00FD757E" w:rsidP="000313DD">
      <w:pPr>
        <w:pStyle w:val="NORMAL12"/>
        <w:numPr>
          <w:ilvl w:val="0"/>
          <w:numId w:val="257"/>
        </w:numPr>
        <w:rPr>
          <w:lang w:val="es-ES"/>
        </w:rPr>
      </w:pPr>
      <w:r>
        <w:rPr>
          <w:lang w:val="es-ES"/>
        </w:rPr>
        <w:t>Presencia de síntomas de marchitez.</w:t>
      </w:r>
    </w:p>
    <w:p w14:paraId="07176C4C" w14:textId="77777777" w:rsidR="00A7782E" w:rsidRDefault="00A7782E" w:rsidP="00A7782E">
      <w:pPr>
        <w:pStyle w:val="NORMAL12"/>
        <w:rPr>
          <w:lang w:val="es-ES"/>
        </w:rPr>
      </w:pPr>
      <w:r>
        <w:rPr>
          <w:lang w:val="es-ES"/>
        </w:rPr>
        <w:t xml:space="preserve">En caso de observarse que el tratamiento no ha sido efectivo en el cien por cien de los individuos o que se observan síntomas de rebrotes a los veinte días se deberá aplicar nuevamente el producto. </w:t>
      </w:r>
    </w:p>
    <w:p w14:paraId="28A24BAB" w14:textId="77777777" w:rsidR="00181618" w:rsidRDefault="00181618" w:rsidP="000313DD">
      <w:pPr>
        <w:pStyle w:val="TITU2"/>
      </w:pPr>
      <w:bookmarkStart w:id="1675" w:name="_Toc404835"/>
      <w:r w:rsidRPr="006018C0">
        <w:t xml:space="preserve">959.3. </w:t>
      </w:r>
      <w:r>
        <w:t>Recepción</w:t>
      </w:r>
      <w:bookmarkEnd w:id="1675"/>
    </w:p>
    <w:p w14:paraId="753DB177" w14:textId="77777777" w:rsidR="00085FBD" w:rsidRDefault="00085FBD" w:rsidP="00181618">
      <w:pPr>
        <w:pStyle w:val="NORMAL12"/>
        <w:rPr>
          <w:lang w:val="es-ES"/>
        </w:rPr>
      </w:pPr>
      <w:r>
        <w:rPr>
          <w:lang w:val="es-ES"/>
        </w:rPr>
        <w:t xml:space="preserve">Se aceptará la unidad si: </w:t>
      </w:r>
    </w:p>
    <w:p w14:paraId="5ACE13F8" w14:textId="77777777" w:rsidR="00181618" w:rsidRDefault="00085FBD" w:rsidP="000313DD">
      <w:pPr>
        <w:pStyle w:val="NORMAL12"/>
        <w:numPr>
          <w:ilvl w:val="0"/>
          <w:numId w:val="258"/>
        </w:numPr>
        <w:rPr>
          <w:lang w:val="es-ES"/>
        </w:rPr>
      </w:pPr>
      <w:r>
        <w:rPr>
          <w:lang w:val="es-ES"/>
        </w:rPr>
        <w:t>E</w:t>
      </w:r>
      <w:r w:rsidR="00181618">
        <w:rPr>
          <w:lang w:val="es-ES"/>
        </w:rPr>
        <w:t xml:space="preserve">l herbicida utilizado es el aprobado por el </w:t>
      </w:r>
      <w:proofErr w:type="gramStart"/>
      <w:r w:rsidR="00181618">
        <w:rPr>
          <w:lang w:val="es-ES"/>
        </w:rPr>
        <w:t>Director</w:t>
      </w:r>
      <w:proofErr w:type="gramEnd"/>
      <w:r w:rsidR="00181618">
        <w:rPr>
          <w:lang w:val="es-ES"/>
        </w:rPr>
        <w:t xml:space="preserve"> de Obra y se disponen de los permisos </w:t>
      </w:r>
      <w:r>
        <w:rPr>
          <w:lang w:val="es-ES"/>
        </w:rPr>
        <w:t xml:space="preserve">establecidos </w:t>
      </w:r>
      <w:r w:rsidR="00181618">
        <w:rPr>
          <w:lang w:val="es-ES"/>
        </w:rPr>
        <w:t xml:space="preserve">por la normativa vigente </w:t>
      </w:r>
      <w:r>
        <w:rPr>
          <w:lang w:val="es-ES"/>
        </w:rPr>
        <w:t>para su aplicación.</w:t>
      </w:r>
    </w:p>
    <w:p w14:paraId="2EE1071B" w14:textId="77777777" w:rsidR="00085FBD" w:rsidRDefault="00085FBD" w:rsidP="000313DD">
      <w:pPr>
        <w:pStyle w:val="NORMAL12"/>
        <w:numPr>
          <w:ilvl w:val="0"/>
          <w:numId w:val="258"/>
        </w:numPr>
        <w:rPr>
          <w:lang w:val="es-ES"/>
        </w:rPr>
      </w:pPr>
      <w:r>
        <w:rPr>
          <w:lang w:val="es-ES"/>
        </w:rPr>
        <w:t>Se ha aplicado según las indicaciones del fabricante.</w:t>
      </w:r>
    </w:p>
    <w:p w14:paraId="09DA73E0" w14:textId="77777777" w:rsidR="00085FBD" w:rsidRDefault="00085FBD" w:rsidP="000313DD">
      <w:pPr>
        <w:pStyle w:val="NORMAL12"/>
        <w:numPr>
          <w:ilvl w:val="0"/>
          <w:numId w:val="258"/>
        </w:numPr>
        <w:rPr>
          <w:lang w:val="es-ES"/>
        </w:rPr>
      </w:pPr>
      <w:r>
        <w:rPr>
          <w:lang w:val="es-ES"/>
        </w:rPr>
        <w:t>Ha sido efectivo en el cien por cien de la zona tratada.</w:t>
      </w:r>
    </w:p>
    <w:p w14:paraId="1C9BFC6B" w14:textId="77777777" w:rsidR="00181618" w:rsidRDefault="00181618" w:rsidP="00A7782E">
      <w:pPr>
        <w:pStyle w:val="NORMAL12"/>
        <w:rPr>
          <w:lang w:val="es-ES"/>
        </w:rPr>
      </w:pPr>
    </w:p>
    <w:p w14:paraId="272F5683" w14:textId="77777777" w:rsidR="006018C0" w:rsidRPr="006018C0" w:rsidRDefault="006018C0" w:rsidP="000313DD">
      <w:pPr>
        <w:pStyle w:val="TITU2"/>
      </w:pPr>
      <w:bookmarkStart w:id="1676" w:name="_Toc404836"/>
      <w:r w:rsidRPr="006018C0">
        <w:lastRenderedPageBreak/>
        <w:t>959.5. Medición y abono</w:t>
      </w:r>
      <w:bookmarkEnd w:id="1676"/>
    </w:p>
    <w:p w14:paraId="5E16978F" w14:textId="77777777" w:rsidR="006018C0" w:rsidRPr="00181618" w:rsidRDefault="006018C0" w:rsidP="006018C0">
      <w:pPr>
        <w:pStyle w:val="NORMAL12"/>
        <w:rPr>
          <w:lang w:val="es-ES"/>
        </w:rPr>
      </w:pPr>
      <w:r w:rsidRPr="00181618">
        <w:rPr>
          <w:lang w:val="es-ES"/>
        </w:rPr>
        <w:t xml:space="preserve">La medición y abono de la unidad de </w:t>
      </w:r>
      <w:r w:rsidR="00A7782E" w:rsidRPr="00181618">
        <w:rPr>
          <w:lang w:val="es-ES"/>
        </w:rPr>
        <w:t xml:space="preserve">tratamiento con herbicida </w:t>
      </w:r>
      <w:r w:rsidRPr="00181618">
        <w:rPr>
          <w:lang w:val="es-ES"/>
        </w:rPr>
        <w:t>se realizará según las prescripciones siguientes:</w:t>
      </w:r>
    </w:p>
    <w:tbl>
      <w:tblPr>
        <w:tblW w:w="90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82"/>
        <w:gridCol w:w="6415"/>
      </w:tblGrid>
      <w:tr w:rsidR="006018C0" w:rsidRPr="006018C0" w14:paraId="18692F1A" w14:textId="77777777" w:rsidTr="00915CF6">
        <w:trPr>
          <w:trHeight w:val="534"/>
          <w:jc w:val="center"/>
        </w:trPr>
        <w:tc>
          <w:tcPr>
            <w:tcW w:w="2682" w:type="dxa"/>
            <w:tcBorders>
              <w:top w:val="single" w:sz="4" w:space="0" w:color="auto"/>
              <w:left w:val="single" w:sz="4" w:space="0" w:color="auto"/>
              <w:bottom w:val="single" w:sz="4" w:space="0" w:color="auto"/>
              <w:right w:val="single" w:sz="4" w:space="0" w:color="auto"/>
            </w:tcBorders>
            <w:vAlign w:val="center"/>
          </w:tcPr>
          <w:p w14:paraId="23C13D17" w14:textId="77777777" w:rsidR="006018C0" w:rsidRPr="00181618" w:rsidRDefault="006018C0" w:rsidP="00915CF6">
            <w:pPr>
              <w:pStyle w:val="Tabla"/>
              <w:rPr>
                <w:b/>
              </w:rPr>
            </w:pPr>
            <w:r w:rsidRPr="00181618">
              <w:rPr>
                <w:b/>
              </w:rPr>
              <w:t>Unidad de medida</w:t>
            </w:r>
          </w:p>
        </w:tc>
        <w:tc>
          <w:tcPr>
            <w:tcW w:w="6415" w:type="dxa"/>
            <w:tcBorders>
              <w:top w:val="single" w:sz="4" w:space="0" w:color="auto"/>
              <w:left w:val="single" w:sz="4" w:space="0" w:color="auto"/>
              <w:bottom w:val="single" w:sz="4" w:space="0" w:color="auto"/>
              <w:right w:val="single" w:sz="4" w:space="0" w:color="auto"/>
            </w:tcBorders>
            <w:vAlign w:val="center"/>
          </w:tcPr>
          <w:p w14:paraId="475163A9" w14:textId="77777777" w:rsidR="006018C0" w:rsidRPr="00181618" w:rsidRDefault="006018C0" w:rsidP="00B70541">
            <w:pPr>
              <w:pStyle w:val="LCATabla"/>
              <w:keepLines/>
              <w:jc w:val="both"/>
              <w:rPr>
                <w:rFonts w:ascii="Arial" w:hAnsi="Arial" w:cs="Arial"/>
                <w:sz w:val="20"/>
              </w:rPr>
            </w:pPr>
            <w:r w:rsidRPr="00181618">
              <w:rPr>
                <w:rFonts w:ascii="Arial" w:hAnsi="Arial" w:cs="Arial"/>
                <w:sz w:val="20"/>
              </w:rPr>
              <w:t xml:space="preserve">Metro </w:t>
            </w:r>
            <w:r w:rsidR="00A7782E" w:rsidRPr="00181618">
              <w:rPr>
                <w:rFonts w:ascii="Arial" w:hAnsi="Arial" w:cs="Arial"/>
                <w:sz w:val="20"/>
              </w:rPr>
              <w:t>cuadrado</w:t>
            </w:r>
            <w:r w:rsidRPr="00181618">
              <w:rPr>
                <w:rFonts w:ascii="Arial" w:hAnsi="Arial" w:cs="Arial"/>
                <w:sz w:val="20"/>
              </w:rPr>
              <w:t>(m</w:t>
            </w:r>
            <w:r w:rsidR="00A7782E" w:rsidRPr="00181618">
              <w:rPr>
                <w:rFonts w:ascii="Arial" w:hAnsi="Arial" w:cs="Arial"/>
                <w:sz w:val="20"/>
                <w:vertAlign w:val="superscript"/>
              </w:rPr>
              <w:t>2</w:t>
            </w:r>
            <w:r w:rsidRPr="00181618">
              <w:rPr>
                <w:rFonts w:ascii="Arial" w:hAnsi="Arial" w:cs="Arial"/>
                <w:sz w:val="20"/>
              </w:rPr>
              <w:t>)</w:t>
            </w:r>
          </w:p>
        </w:tc>
      </w:tr>
      <w:tr w:rsidR="006018C0" w:rsidRPr="006018C0" w14:paraId="00373E2D" w14:textId="77777777" w:rsidTr="00915CF6">
        <w:trPr>
          <w:trHeight w:val="455"/>
          <w:jc w:val="center"/>
        </w:trPr>
        <w:tc>
          <w:tcPr>
            <w:tcW w:w="2682" w:type="dxa"/>
            <w:tcBorders>
              <w:top w:val="single" w:sz="4" w:space="0" w:color="auto"/>
              <w:left w:val="single" w:sz="4" w:space="0" w:color="auto"/>
              <w:bottom w:val="single" w:sz="4" w:space="0" w:color="auto"/>
              <w:right w:val="single" w:sz="4" w:space="0" w:color="auto"/>
            </w:tcBorders>
            <w:vAlign w:val="center"/>
          </w:tcPr>
          <w:p w14:paraId="1640B0B8" w14:textId="77777777" w:rsidR="006018C0" w:rsidRPr="00181618" w:rsidRDefault="006018C0" w:rsidP="00915CF6">
            <w:pPr>
              <w:pStyle w:val="Tabla"/>
              <w:rPr>
                <w:b/>
              </w:rPr>
            </w:pPr>
            <w:r w:rsidRPr="00181618">
              <w:rPr>
                <w:b/>
              </w:rPr>
              <w:t>Grado de precisión</w:t>
            </w:r>
          </w:p>
        </w:tc>
        <w:tc>
          <w:tcPr>
            <w:tcW w:w="6415" w:type="dxa"/>
            <w:tcBorders>
              <w:top w:val="single" w:sz="4" w:space="0" w:color="auto"/>
              <w:left w:val="single" w:sz="4" w:space="0" w:color="auto"/>
              <w:bottom w:val="single" w:sz="4" w:space="0" w:color="auto"/>
              <w:right w:val="single" w:sz="4" w:space="0" w:color="auto"/>
            </w:tcBorders>
            <w:vAlign w:val="center"/>
          </w:tcPr>
          <w:p w14:paraId="4AC84621" w14:textId="77777777" w:rsidR="006018C0" w:rsidRPr="00181618" w:rsidRDefault="006018C0" w:rsidP="00B70541">
            <w:pPr>
              <w:pStyle w:val="LCATabla"/>
              <w:keepLines/>
              <w:jc w:val="both"/>
              <w:rPr>
                <w:rFonts w:ascii="Arial" w:hAnsi="Arial" w:cs="Arial"/>
                <w:sz w:val="20"/>
              </w:rPr>
            </w:pPr>
            <w:r w:rsidRPr="00181618">
              <w:rPr>
                <w:rFonts w:ascii="Arial" w:hAnsi="Arial" w:cs="Arial"/>
                <w:sz w:val="20"/>
              </w:rPr>
              <w:t>Dos decimales.</w:t>
            </w:r>
          </w:p>
        </w:tc>
      </w:tr>
      <w:tr w:rsidR="006018C0" w:rsidRPr="006018C0" w14:paraId="557536E3" w14:textId="77777777" w:rsidTr="00915CF6">
        <w:trPr>
          <w:trHeight w:val="546"/>
          <w:jc w:val="center"/>
        </w:trPr>
        <w:tc>
          <w:tcPr>
            <w:tcW w:w="2682" w:type="dxa"/>
            <w:tcBorders>
              <w:top w:val="single" w:sz="4" w:space="0" w:color="auto"/>
              <w:left w:val="single" w:sz="4" w:space="0" w:color="auto"/>
              <w:bottom w:val="single" w:sz="4" w:space="0" w:color="auto"/>
              <w:right w:val="single" w:sz="4" w:space="0" w:color="auto"/>
            </w:tcBorders>
            <w:vAlign w:val="center"/>
          </w:tcPr>
          <w:p w14:paraId="6259042F" w14:textId="77777777" w:rsidR="006018C0" w:rsidRPr="00181618" w:rsidRDefault="006018C0" w:rsidP="00915CF6">
            <w:pPr>
              <w:pStyle w:val="Tabla"/>
              <w:rPr>
                <w:b/>
              </w:rPr>
            </w:pPr>
            <w:r w:rsidRPr="00181618">
              <w:rPr>
                <w:b/>
              </w:rPr>
              <w:t>Forma de medición</w:t>
            </w:r>
          </w:p>
        </w:tc>
        <w:tc>
          <w:tcPr>
            <w:tcW w:w="6415" w:type="dxa"/>
            <w:tcBorders>
              <w:top w:val="single" w:sz="4" w:space="0" w:color="auto"/>
              <w:left w:val="single" w:sz="4" w:space="0" w:color="auto"/>
              <w:bottom w:val="single" w:sz="4" w:space="0" w:color="auto"/>
              <w:right w:val="single" w:sz="4" w:space="0" w:color="auto"/>
            </w:tcBorders>
            <w:vAlign w:val="center"/>
          </w:tcPr>
          <w:p w14:paraId="0C0275FE" w14:textId="77777777" w:rsidR="006018C0" w:rsidRPr="00181618" w:rsidRDefault="00A7782E" w:rsidP="00B70541">
            <w:pPr>
              <w:pStyle w:val="LCATabla"/>
              <w:keepLines/>
              <w:jc w:val="both"/>
              <w:rPr>
                <w:rFonts w:ascii="Arial" w:hAnsi="Arial" w:cs="Arial"/>
                <w:sz w:val="20"/>
              </w:rPr>
            </w:pPr>
            <w:r w:rsidRPr="00181618">
              <w:rPr>
                <w:rFonts w:ascii="Arial" w:hAnsi="Arial" w:cs="Arial"/>
                <w:sz w:val="20"/>
              </w:rPr>
              <w:t>Superficie de terreno realmente tratada</w:t>
            </w:r>
            <w:r w:rsidR="006018C0" w:rsidRPr="00181618">
              <w:rPr>
                <w:rFonts w:ascii="Arial" w:hAnsi="Arial" w:cs="Arial"/>
                <w:sz w:val="20"/>
              </w:rPr>
              <w:t xml:space="preserve"> </w:t>
            </w:r>
          </w:p>
        </w:tc>
      </w:tr>
      <w:tr w:rsidR="006018C0" w:rsidRPr="006018C0" w14:paraId="67479DD6" w14:textId="77777777" w:rsidTr="00915CF6">
        <w:trPr>
          <w:trHeight w:val="413"/>
          <w:jc w:val="center"/>
        </w:trPr>
        <w:tc>
          <w:tcPr>
            <w:tcW w:w="2682" w:type="dxa"/>
            <w:tcBorders>
              <w:top w:val="single" w:sz="4" w:space="0" w:color="auto"/>
              <w:left w:val="single" w:sz="4" w:space="0" w:color="auto"/>
              <w:bottom w:val="single" w:sz="4" w:space="0" w:color="auto"/>
              <w:right w:val="single" w:sz="4" w:space="0" w:color="auto"/>
            </w:tcBorders>
            <w:vAlign w:val="center"/>
          </w:tcPr>
          <w:p w14:paraId="0CC7835A" w14:textId="77777777" w:rsidR="006018C0" w:rsidRPr="00181618" w:rsidRDefault="006018C0" w:rsidP="00915CF6">
            <w:pPr>
              <w:pStyle w:val="Tabla"/>
              <w:rPr>
                <w:b/>
              </w:rPr>
            </w:pPr>
            <w:r w:rsidRPr="00181618">
              <w:rPr>
                <w:b/>
              </w:rPr>
              <w:t>Abono</w:t>
            </w:r>
          </w:p>
        </w:tc>
        <w:tc>
          <w:tcPr>
            <w:tcW w:w="6415" w:type="dxa"/>
            <w:tcBorders>
              <w:top w:val="single" w:sz="4" w:space="0" w:color="auto"/>
              <w:left w:val="single" w:sz="4" w:space="0" w:color="auto"/>
              <w:bottom w:val="single" w:sz="4" w:space="0" w:color="auto"/>
              <w:right w:val="single" w:sz="4" w:space="0" w:color="auto"/>
            </w:tcBorders>
            <w:vAlign w:val="center"/>
          </w:tcPr>
          <w:p w14:paraId="5D06C1DA" w14:textId="77777777" w:rsidR="006018C0" w:rsidRPr="00181618" w:rsidRDefault="006018C0" w:rsidP="00B70541">
            <w:pPr>
              <w:pStyle w:val="LCATabla"/>
              <w:keepLines/>
              <w:jc w:val="both"/>
              <w:rPr>
                <w:rFonts w:ascii="Arial" w:hAnsi="Arial" w:cs="Arial"/>
                <w:sz w:val="20"/>
              </w:rPr>
            </w:pPr>
            <w:r w:rsidRPr="00181618">
              <w:rPr>
                <w:rFonts w:ascii="Arial" w:hAnsi="Arial" w:cs="Arial"/>
                <w:sz w:val="20"/>
              </w:rPr>
              <w:t>Se efectuará cuando se realice la aceptación</w:t>
            </w:r>
          </w:p>
        </w:tc>
      </w:tr>
      <w:tr w:rsidR="006018C0" w:rsidRPr="006018C0" w14:paraId="2A6AF094" w14:textId="77777777" w:rsidTr="00915CF6">
        <w:trPr>
          <w:trHeight w:val="930"/>
          <w:jc w:val="center"/>
        </w:trPr>
        <w:tc>
          <w:tcPr>
            <w:tcW w:w="2682" w:type="dxa"/>
            <w:tcBorders>
              <w:top w:val="single" w:sz="4" w:space="0" w:color="auto"/>
              <w:left w:val="single" w:sz="4" w:space="0" w:color="auto"/>
              <w:bottom w:val="single" w:sz="4" w:space="0" w:color="auto"/>
              <w:right w:val="single" w:sz="4" w:space="0" w:color="auto"/>
            </w:tcBorders>
            <w:vAlign w:val="center"/>
          </w:tcPr>
          <w:p w14:paraId="417F0C2F" w14:textId="77777777" w:rsidR="006018C0" w:rsidRPr="00181618" w:rsidRDefault="006018C0" w:rsidP="00915CF6">
            <w:pPr>
              <w:pStyle w:val="Tabla"/>
              <w:rPr>
                <w:b/>
              </w:rPr>
            </w:pPr>
            <w:r w:rsidRPr="00181618">
              <w:rPr>
                <w:b/>
              </w:rPr>
              <w:t>Criterios complementarios</w:t>
            </w:r>
          </w:p>
        </w:tc>
        <w:tc>
          <w:tcPr>
            <w:tcW w:w="6415" w:type="dxa"/>
            <w:tcBorders>
              <w:top w:val="single" w:sz="4" w:space="0" w:color="auto"/>
              <w:left w:val="single" w:sz="4" w:space="0" w:color="auto"/>
              <w:bottom w:val="single" w:sz="4" w:space="0" w:color="auto"/>
              <w:right w:val="single" w:sz="4" w:space="0" w:color="auto"/>
            </w:tcBorders>
            <w:vAlign w:val="center"/>
          </w:tcPr>
          <w:p w14:paraId="42034110" w14:textId="77777777" w:rsidR="006018C0" w:rsidRPr="00181618" w:rsidRDefault="006018C0" w:rsidP="00B70541">
            <w:pPr>
              <w:pStyle w:val="LCATabla"/>
              <w:keepLines/>
              <w:jc w:val="both"/>
              <w:rPr>
                <w:rFonts w:ascii="Arial" w:hAnsi="Arial" w:cs="Arial"/>
                <w:sz w:val="20"/>
              </w:rPr>
            </w:pPr>
            <w:r w:rsidRPr="00181618">
              <w:rPr>
                <w:rFonts w:ascii="Arial" w:hAnsi="Arial" w:cs="Arial"/>
                <w:sz w:val="20"/>
              </w:rPr>
              <w:t xml:space="preserve">El precio de la unidad incluye todos los materiales y medios necesarios para la correcta ejecución de la unidad. </w:t>
            </w:r>
          </w:p>
          <w:p w14:paraId="11E3E26D" w14:textId="77777777" w:rsidR="00A7782E" w:rsidRPr="00181618" w:rsidRDefault="00A7782E" w:rsidP="00B70541">
            <w:pPr>
              <w:pStyle w:val="LCATabla"/>
              <w:keepLines/>
              <w:jc w:val="both"/>
              <w:rPr>
                <w:rFonts w:ascii="Arial" w:hAnsi="Arial" w:cs="Arial"/>
                <w:sz w:val="20"/>
              </w:rPr>
            </w:pPr>
            <w:r w:rsidRPr="00181618">
              <w:rPr>
                <w:rFonts w:ascii="Arial" w:hAnsi="Arial" w:cs="Arial"/>
                <w:sz w:val="20"/>
              </w:rPr>
              <w:t>Incluye el precio del colorante y los trabajos de seguimiento de la evolución y efectividad del tratamiento.</w:t>
            </w:r>
          </w:p>
          <w:p w14:paraId="6E721A61" w14:textId="77777777" w:rsidR="006018C0" w:rsidRPr="00181618" w:rsidRDefault="00A7782E" w:rsidP="00B70541">
            <w:pPr>
              <w:pStyle w:val="LCATabla"/>
              <w:keepLines/>
              <w:jc w:val="both"/>
              <w:rPr>
                <w:rFonts w:ascii="Arial" w:hAnsi="Arial" w:cs="Arial"/>
                <w:sz w:val="20"/>
              </w:rPr>
            </w:pPr>
            <w:r w:rsidRPr="00181618">
              <w:rPr>
                <w:rFonts w:ascii="Arial" w:hAnsi="Arial" w:cs="Arial"/>
                <w:sz w:val="20"/>
              </w:rPr>
              <w:t>En caso de se</w:t>
            </w:r>
            <w:r w:rsidR="00181618" w:rsidRPr="00181618">
              <w:rPr>
                <w:rFonts w:ascii="Arial" w:hAnsi="Arial" w:cs="Arial"/>
                <w:sz w:val="20"/>
              </w:rPr>
              <w:t>r necesarias má</w:t>
            </w:r>
            <w:r w:rsidRPr="00181618">
              <w:rPr>
                <w:rFonts w:ascii="Arial" w:hAnsi="Arial" w:cs="Arial"/>
                <w:sz w:val="20"/>
              </w:rPr>
              <w:t>s aplicaciones para obtener los resultados esperados sobre el cien por cien de los individuos, esta será por cuenta del contratista.</w:t>
            </w:r>
          </w:p>
        </w:tc>
      </w:tr>
    </w:tbl>
    <w:p w14:paraId="639C229F" w14:textId="77777777" w:rsidR="006018C0" w:rsidRDefault="006018C0" w:rsidP="006018C0">
      <w:pPr>
        <w:pStyle w:val="NORMAL12"/>
        <w:rPr>
          <w:color w:val="FF0000"/>
          <w:lang w:val="es-ES"/>
        </w:rPr>
      </w:pPr>
    </w:p>
    <w:p w14:paraId="77E92B30" w14:textId="77777777" w:rsidR="008E5353" w:rsidRPr="00E55C49" w:rsidRDefault="008E5353" w:rsidP="006F6223">
      <w:pPr>
        <w:pStyle w:val="TITU1"/>
      </w:pPr>
      <w:bookmarkStart w:id="1677" w:name="_Toc404837"/>
      <w:r w:rsidRPr="00E55C49">
        <w:lastRenderedPageBreak/>
        <w:t>Artículo 990.</w:t>
      </w:r>
      <w:r w:rsidR="001857C7" w:rsidRPr="00E55C49">
        <w:t xml:space="preserve"> </w:t>
      </w:r>
      <w:r w:rsidRPr="00E55C49">
        <w:t>Prescripciones generales para la protección del entorno durante las obras</w:t>
      </w:r>
      <w:bookmarkEnd w:id="1567"/>
      <w:bookmarkEnd w:id="1568"/>
      <w:bookmarkEnd w:id="1677"/>
    </w:p>
    <w:p w14:paraId="472AD330" w14:textId="77777777" w:rsidR="008E5353" w:rsidRPr="00E55C49" w:rsidRDefault="00AF6096" w:rsidP="000313DD">
      <w:pPr>
        <w:pStyle w:val="TITU2"/>
      </w:pPr>
      <w:bookmarkStart w:id="1678" w:name="_Toc206382302"/>
      <w:bookmarkStart w:id="1679" w:name="_Toc277523488"/>
      <w:bookmarkStart w:id="1680" w:name="_Toc404838"/>
      <w:r w:rsidRPr="00E55C49">
        <w:t xml:space="preserve">990.1. </w:t>
      </w:r>
      <w:r w:rsidR="008E5353" w:rsidRPr="00E55C49">
        <w:tab/>
        <w:t>Prevención de daños y restauración en zonas contiguas a la obra y en otras de ocupación temporal</w:t>
      </w:r>
      <w:bookmarkEnd w:id="1678"/>
      <w:bookmarkEnd w:id="1679"/>
      <w:bookmarkEnd w:id="1680"/>
    </w:p>
    <w:p w14:paraId="50F4B0ED" w14:textId="77777777" w:rsidR="008E5353" w:rsidRPr="00E55C49" w:rsidRDefault="008E5353" w:rsidP="00AC3E0F">
      <w:pPr>
        <w:pStyle w:val="NORMAL12"/>
        <w:rPr>
          <w:lang w:val="es-ES"/>
        </w:rPr>
      </w:pPr>
      <w:r w:rsidRPr="00E55C49">
        <w:rPr>
          <w:lang w:val="es-ES"/>
        </w:rPr>
        <w:t>El Contratista queda obligado a un estricto control y vigilancia de las obras para no amplificar el impacto de la obra en sí por actuaciones auxiliares como: apertura de caminos de obra provisionales, áreas de préstamos, depósitos temporales o definitivos o vertidos indiscriminados de imposible retirada posterior. Para ello, el Contratista, acompañado a la solicitud de autorización para apertura de pistas, vertederos o para ocupación de terrenos, presentará a la Dirección de obras un plan que incluya:</w:t>
      </w:r>
    </w:p>
    <w:p w14:paraId="563461CB" w14:textId="77777777" w:rsidR="008E5353" w:rsidRPr="00E55C49" w:rsidRDefault="008E5353" w:rsidP="00E01981">
      <w:pPr>
        <w:pStyle w:val="NORMAL12"/>
        <w:numPr>
          <w:ilvl w:val="0"/>
          <w:numId w:val="56"/>
        </w:numPr>
        <w:rPr>
          <w:lang w:val="es-ES"/>
        </w:rPr>
      </w:pPr>
      <w:r w:rsidRPr="00E55C49">
        <w:rPr>
          <w:lang w:val="es-ES"/>
        </w:rPr>
        <w:t>Delimitación exacta del área afectable, previo replanteo.</w:t>
      </w:r>
    </w:p>
    <w:p w14:paraId="32987F97" w14:textId="77777777" w:rsidR="008E5353" w:rsidRPr="00E55C49" w:rsidRDefault="008E5353" w:rsidP="00E01981">
      <w:pPr>
        <w:pStyle w:val="NORMAL12"/>
        <w:numPr>
          <w:ilvl w:val="0"/>
          <w:numId w:val="56"/>
        </w:numPr>
        <w:rPr>
          <w:lang w:val="es-ES"/>
        </w:rPr>
      </w:pPr>
      <w:r w:rsidRPr="00E55C49">
        <w:rPr>
          <w:lang w:val="es-ES"/>
        </w:rPr>
        <w:t>Prevención de dispositivos de defensa de: arbolado vecino que no deba ser talado, prados, riberas y cauces de agua.</w:t>
      </w:r>
    </w:p>
    <w:p w14:paraId="1F638B57" w14:textId="77777777" w:rsidR="008E5353" w:rsidRPr="00E55C49" w:rsidRDefault="008E5353" w:rsidP="00E01981">
      <w:pPr>
        <w:pStyle w:val="NORMAL12"/>
        <w:numPr>
          <w:ilvl w:val="0"/>
          <w:numId w:val="56"/>
        </w:numPr>
        <w:rPr>
          <w:lang w:val="es-ES"/>
        </w:rPr>
      </w:pPr>
      <w:r w:rsidRPr="00E55C49">
        <w:rPr>
          <w:lang w:val="es-ES"/>
        </w:rPr>
        <w:t>Delimitación de zonas de proyección o derrame de materiales. Las proyecciones y derrames serán evitados especialmente sobre las laderas aguas abajo de la obra al resultar su posterior retirada difícil y costosa.</w:t>
      </w:r>
    </w:p>
    <w:p w14:paraId="48E54705" w14:textId="77777777" w:rsidR="008E5353" w:rsidRPr="00E55C49" w:rsidRDefault="008E5353" w:rsidP="00AC3E0F">
      <w:pPr>
        <w:pStyle w:val="NORMAL12"/>
        <w:rPr>
          <w:lang w:val="es-ES"/>
        </w:rPr>
      </w:pPr>
      <w:r w:rsidRPr="00E55C49">
        <w:rPr>
          <w:lang w:val="es-ES"/>
        </w:rPr>
        <w:t>Desocupado el lugar y corregidas las formas si fuera el caso, se extenderá la tierra vegetal previamente acopiada y se repondrá la cubierta vegetal anterior o la que determine la Dirección de las obras.</w:t>
      </w:r>
    </w:p>
    <w:p w14:paraId="1EE2706C" w14:textId="77777777" w:rsidR="008E5353" w:rsidRPr="00E55C49" w:rsidRDefault="008E5353" w:rsidP="000313DD">
      <w:pPr>
        <w:pStyle w:val="TITU2"/>
      </w:pPr>
      <w:bookmarkStart w:id="1681" w:name="_Toc206382303"/>
      <w:bookmarkStart w:id="1682" w:name="_Toc277523489"/>
      <w:bookmarkStart w:id="1683" w:name="_Toc404839"/>
      <w:r w:rsidRPr="00E55C49">
        <w:t>990.2.</w:t>
      </w:r>
      <w:r w:rsidRPr="00E55C49">
        <w:tab/>
      </w:r>
      <w:r w:rsidR="00C50108" w:rsidRPr="00E55C49">
        <w:t xml:space="preserve"> </w:t>
      </w:r>
      <w:r w:rsidRPr="00E55C49">
        <w:t>Cuidado de la cubierta vegetal existente</w:t>
      </w:r>
      <w:bookmarkEnd w:id="1681"/>
      <w:bookmarkEnd w:id="1682"/>
      <w:bookmarkEnd w:id="1683"/>
    </w:p>
    <w:p w14:paraId="6FFF9E65" w14:textId="77777777" w:rsidR="008E5353" w:rsidRPr="00E55C49" w:rsidRDefault="008E5353" w:rsidP="00712627">
      <w:pPr>
        <w:pStyle w:val="NORMAL12"/>
        <w:rPr>
          <w:lang w:val="es-ES"/>
        </w:rPr>
      </w:pPr>
      <w:r w:rsidRPr="00E55C49">
        <w:rPr>
          <w:lang w:val="es-ES"/>
        </w:rPr>
        <w:t>El Contratista presentará, en el momento del replanteo, el plan y dispositivos de defensa para su consideración y aprobación en su caso por la Dirección de las obras, incluyendo la delimitación de las superficies a alterar, tanto por la propia explanación como por las pistas de trabajo, superficies auxiliares, zonas de préstamo, áreas de depósito temporal de tierra o sobrantes y depósitos de sobrantes definitivos.</w:t>
      </w:r>
    </w:p>
    <w:p w14:paraId="3C6C8D9D" w14:textId="77777777" w:rsidR="008E5353" w:rsidRPr="00E55C49" w:rsidRDefault="008E5353" w:rsidP="00712627">
      <w:pPr>
        <w:pStyle w:val="NORMAL12"/>
        <w:rPr>
          <w:lang w:val="es-ES"/>
        </w:rPr>
      </w:pPr>
      <w:r w:rsidRPr="00E55C49">
        <w:rPr>
          <w:lang w:val="es-ES"/>
        </w:rPr>
        <w:t>Se señala la adopción de las siguientes precauciones y cuidados:</w:t>
      </w:r>
    </w:p>
    <w:p w14:paraId="2B81A2DE" w14:textId="77777777" w:rsidR="008E5353" w:rsidRPr="00E55C49" w:rsidRDefault="008E5353" w:rsidP="00E01981">
      <w:pPr>
        <w:pStyle w:val="NORMAL12"/>
        <w:numPr>
          <w:ilvl w:val="0"/>
          <w:numId w:val="56"/>
        </w:numPr>
        <w:rPr>
          <w:lang w:val="es-ES"/>
        </w:rPr>
      </w:pPr>
      <w:r w:rsidRPr="00E55C49">
        <w:rPr>
          <w:lang w:val="es-ES"/>
        </w:rPr>
        <w:t>Protección de la vegetación adyacente mediante barreras frente a caídas de piedras o tierra.</w:t>
      </w:r>
    </w:p>
    <w:p w14:paraId="2751E888" w14:textId="77777777" w:rsidR="008E5353" w:rsidRPr="00E55C49" w:rsidRDefault="008E5353" w:rsidP="00E01981">
      <w:pPr>
        <w:pStyle w:val="NORMAL12"/>
        <w:numPr>
          <w:ilvl w:val="0"/>
          <w:numId w:val="56"/>
        </w:numPr>
        <w:rPr>
          <w:lang w:val="es-ES"/>
        </w:rPr>
      </w:pPr>
      <w:r w:rsidRPr="00E55C49">
        <w:rPr>
          <w:lang w:val="es-ES"/>
        </w:rPr>
        <w:t>Se evitará:</w:t>
      </w:r>
    </w:p>
    <w:p w14:paraId="0C5260A2" w14:textId="77777777" w:rsidR="008E5353" w:rsidRPr="00E55C49" w:rsidRDefault="008E5353" w:rsidP="003263C3">
      <w:pPr>
        <w:pStyle w:val="NORMAL12"/>
        <w:numPr>
          <w:ilvl w:val="0"/>
          <w:numId w:val="57"/>
        </w:numPr>
        <w:rPr>
          <w:lang w:val="es-ES"/>
        </w:rPr>
      </w:pPr>
      <w:r w:rsidRPr="00E55C49">
        <w:rPr>
          <w:lang w:val="es-ES"/>
        </w:rPr>
        <w:t>Colocar clavos, clavijas, cuerdas, cables o cadenas, etc. en árboles y arbustos.</w:t>
      </w:r>
    </w:p>
    <w:p w14:paraId="4F51D54E" w14:textId="77777777" w:rsidR="008E5353" w:rsidRPr="00E55C49" w:rsidRDefault="008E5353" w:rsidP="003263C3">
      <w:pPr>
        <w:pStyle w:val="NORMAL12"/>
        <w:numPr>
          <w:ilvl w:val="0"/>
          <w:numId w:val="57"/>
        </w:numPr>
        <w:rPr>
          <w:lang w:val="es-ES"/>
        </w:rPr>
      </w:pPr>
      <w:r w:rsidRPr="00E55C49">
        <w:rPr>
          <w:lang w:val="es-ES"/>
        </w:rPr>
        <w:t>Encender fuego cerca de árboles y arbustos.</w:t>
      </w:r>
    </w:p>
    <w:p w14:paraId="117102DB" w14:textId="77777777" w:rsidR="008E5353" w:rsidRPr="00E55C49" w:rsidRDefault="008E5353" w:rsidP="003263C3">
      <w:pPr>
        <w:pStyle w:val="NORMAL12"/>
        <w:numPr>
          <w:ilvl w:val="0"/>
          <w:numId w:val="57"/>
        </w:numPr>
        <w:rPr>
          <w:lang w:val="es-ES"/>
        </w:rPr>
      </w:pPr>
      <w:r w:rsidRPr="00E55C49">
        <w:rPr>
          <w:lang w:val="es-ES"/>
        </w:rPr>
        <w:t>Manipular combustibles, aceites y productos químicos en zona de raíces.</w:t>
      </w:r>
    </w:p>
    <w:p w14:paraId="37874627" w14:textId="77777777" w:rsidR="008E5353" w:rsidRPr="00E55C49" w:rsidRDefault="008E5353" w:rsidP="003263C3">
      <w:pPr>
        <w:pStyle w:val="NORMAL12"/>
        <w:numPr>
          <w:ilvl w:val="0"/>
          <w:numId w:val="57"/>
        </w:numPr>
        <w:rPr>
          <w:lang w:val="es-ES"/>
        </w:rPr>
      </w:pPr>
      <w:r w:rsidRPr="00E55C49">
        <w:rPr>
          <w:lang w:val="es-ES"/>
        </w:rPr>
        <w:t>Apilar materiales contra troncos.</w:t>
      </w:r>
    </w:p>
    <w:p w14:paraId="5B9B21A7" w14:textId="77777777" w:rsidR="008E5353" w:rsidRPr="00E55C49" w:rsidRDefault="008E5353" w:rsidP="003263C3">
      <w:pPr>
        <w:pStyle w:val="NORMAL12"/>
        <w:numPr>
          <w:ilvl w:val="0"/>
          <w:numId w:val="57"/>
        </w:numPr>
        <w:rPr>
          <w:lang w:val="es-ES"/>
        </w:rPr>
      </w:pPr>
      <w:r w:rsidRPr="00E55C49">
        <w:rPr>
          <w:lang w:val="es-ES"/>
        </w:rPr>
        <w:t>Circular con maquinaria fuera de los lugares previstos.</w:t>
      </w:r>
    </w:p>
    <w:p w14:paraId="6966FB8D" w14:textId="77777777" w:rsidR="008E5353" w:rsidRPr="00E55C49" w:rsidRDefault="008E5353" w:rsidP="00E01981">
      <w:pPr>
        <w:pStyle w:val="NORMAL12"/>
        <w:numPr>
          <w:ilvl w:val="0"/>
          <w:numId w:val="57"/>
        </w:numPr>
        <w:rPr>
          <w:lang w:val="es-ES"/>
        </w:rPr>
      </w:pPr>
      <w:r w:rsidRPr="00E55C49">
        <w:rPr>
          <w:lang w:val="es-ES"/>
        </w:rPr>
        <w:t>Con objeto de alterar mínimamente los ecosistemas de interés próximos al trazado, se señalizará previamente a la construcción del tramo, la zona de ocupación de las obras para que el tráfico de maquinaria y las instalaciones se ciñan al interior de la zona acotada.</w:t>
      </w:r>
    </w:p>
    <w:p w14:paraId="2ECD420A" w14:textId="77777777" w:rsidR="000271F3" w:rsidRPr="00E55C49" w:rsidRDefault="008E5353" w:rsidP="00712627">
      <w:pPr>
        <w:pStyle w:val="NORMAL12"/>
        <w:rPr>
          <w:lang w:val="es-ES"/>
        </w:rPr>
      </w:pPr>
      <w:r w:rsidRPr="00E55C49">
        <w:rPr>
          <w:lang w:val="es-ES"/>
        </w:rPr>
        <w:t xml:space="preserve">Prevención y extinción de </w:t>
      </w:r>
      <w:proofErr w:type="gramStart"/>
      <w:r w:rsidRPr="00E55C49">
        <w:rPr>
          <w:lang w:val="es-ES"/>
        </w:rPr>
        <w:t>incendios.-</w:t>
      </w:r>
      <w:proofErr w:type="gramEnd"/>
      <w:r w:rsidRPr="00E55C49">
        <w:rPr>
          <w:lang w:val="es-ES"/>
        </w:rPr>
        <w:t xml:space="preserve"> El contratista presentará un Sistema de Gestión Medioambiental en el que se recojan las instrucciones y medidas de prevención y extinción de incendios forestales que pudieran generarse como consecuencia de las obras. </w:t>
      </w:r>
      <w:r w:rsidR="000271F3" w:rsidRPr="00E55C49">
        <w:rPr>
          <w:lang w:val="es-ES"/>
        </w:rPr>
        <w:t>Se tendrá en cuenta las indicaciones establecidas en la Estrategia Integral de Prevención y Lucha Contra los Incendios Forestales en Asturias y la normativa vigente de aplicación</w:t>
      </w:r>
    </w:p>
    <w:p w14:paraId="136B501A" w14:textId="77777777" w:rsidR="008E5353" w:rsidRPr="00E55C49" w:rsidRDefault="000271F3" w:rsidP="00712627">
      <w:pPr>
        <w:pStyle w:val="NORMAL12"/>
        <w:rPr>
          <w:lang w:val="es-ES"/>
        </w:rPr>
      </w:pPr>
      <w:r w:rsidRPr="00E55C49">
        <w:rPr>
          <w:lang w:val="es-ES"/>
        </w:rPr>
        <w:t xml:space="preserve">Con carácter general se deberá cumplir: </w:t>
      </w:r>
    </w:p>
    <w:p w14:paraId="16ECC074" w14:textId="77777777" w:rsidR="008E5353" w:rsidRPr="00E55C49" w:rsidRDefault="008E5353" w:rsidP="00E01981">
      <w:pPr>
        <w:pStyle w:val="NORMAL12"/>
        <w:numPr>
          <w:ilvl w:val="0"/>
          <w:numId w:val="57"/>
        </w:numPr>
        <w:rPr>
          <w:lang w:val="es-ES"/>
        </w:rPr>
      </w:pPr>
      <w:r w:rsidRPr="00E55C49">
        <w:rPr>
          <w:lang w:val="es-ES"/>
        </w:rPr>
        <w:t xml:space="preserve">Durante los periodos de mayor riesgo de incendio, en la obra se dispondrán al menos dos cisternas de agua para incendios con salida de manguera a presión de longitud no inferior a </w:t>
      </w:r>
      <w:smartTag w:uri="urn:schemas-microsoft-com:office:smarttags" w:element="metricconverter">
        <w:smartTagPr>
          <w:attr w:name="ProductID" w:val="25 m"/>
        </w:smartTagPr>
        <w:r w:rsidRPr="00E55C49">
          <w:rPr>
            <w:lang w:val="es-ES"/>
          </w:rPr>
          <w:t>25 m</w:t>
        </w:r>
      </w:smartTag>
      <w:r w:rsidRPr="00E55C49">
        <w:rPr>
          <w:lang w:val="es-ES"/>
        </w:rPr>
        <w:t xml:space="preserve"> y capacidad no inferior a los </w:t>
      </w:r>
      <w:smartTag w:uri="urn:schemas-microsoft-com:office:smarttags" w:element="metricconverter">
        <w:smartTagPr>
          <w:attr w:name="ProductID" w:val="6.000 litros"/>
        </w:smartTagPr>
        <w:r w:rsidRPr="00E55C49">
          <w:rPr>
            <w:lang w:val="es-ES"/>
          </w:rPr>
          <w:t>6.000 litros</w:t>
        </w:r>
      </w:smartTag>
      <w:r w:rsidRPr="00E55C49">
        <w:rPr>
          <w:lang w:val="es-ES"/>
        </w:rPr>
        <w:t xml:space="preserve">. Se garantizará que en los periodos de parada esta cisterna estará siempre llena. </w:t>
      </w:r>
    </w:p>
    <w:p w14:paraId="139FCECD" w14:textId="77777777" w:rsidR="008E5353" w:rsidRPr="00E55C49" w:rsidRDefault="008E5353" w:rsidP="00E01981">
      <w:pPr>
        <w:pStyle w:val="NORMAL12"/>
        <w:numPr>
          <w:ilvl w:val="0"/>
          <w:numId w:val="57"/>
        </w:numPr>
        <w:rPr>
          <w:lang w:val="es-ES"/>
        </w:rPr>
      </w:pPr>
      <w:r w:rsidRPr="00E55C49">
        <w:rPr>
          <w:lang w:val="es-ES"/>
        </w:rPr>
        <w:t xml:space="preserve">La maquinaria y vehículos de obra transcurrirán por los viales preparados al efecto sin salirse de los mismos. Este viario de obra tendrá una franja limpia de matorral arbustivo o </w:t>
      </w:r>
      <w:proofErr w:type="spellStart"/>
      <w:proofErr w:type="gramStart"/>
      <w:r w:rsidRPr="00E55C49">
        <w:rPr>
          <w:lang w:val="es-ES"/>
        </w:rPr>
        <w:t>subarbustivo</w:t>
      </w:r>
      <w:proofErr w:type="spellEnd"/>
      <w:proofErr w:type="gramEnd"/>
      <w:r w:rsidRPr="00E55C49">
        <w:rPr>
          <w:lang w:val="es-ES"/>
        </w:rPr>
        <w:t xml:space="preserve"> así como de vegetación herbácea en un ancho de </w:t>
      </w:r>
      <w:smartTag w:uri="urn:schemas-microsoft-com:office:smarttags" w:element="metricconverter">
        <w:smartTagPr>
          <w:attr w:name="ProductID" w:val="1 m"/>
        </w:smartTagPr>
        <w:r w:rsidRPr="00E55C49">
          <w:rPr>
            <w:lang w:val="es-ES"/>
          </w:rPr>
          <w:t>1 m</w:t>
        </w:r>
      </w:smartTag>
      <w:r w:rsidRPr="00E55C49">
        <w:rPr>
          <w:lang w:val="es-ES"/>
        </w:rPr>
        <w:t xml:space="preserve"> a ambos lados. Este estado de limpieza se mantendrá durante toda la obra.</w:t>
      </w:r>
    </w:p>
    <w:p w14:paraId="74CD4BD6" w14:textId="77777777" w:rsidR="008E5353" w:rsidRPr="00E55C49" w:rsidRDefault="008E5353" w:rsidP="00E01981">
      <w:pPr>
        <w:pStyle w:val="NORMAL12"/>
        <w:numPr>
          <w:ilvl w:val="0"/>
          <w:numId w:val="57"/>
        </w:numPr>
        <w:rPr>
          <w:lang w:val="es-ES"/>
        </w:rPr>
      </w:pPr>
      <w:r w:rsidRPr="00E55C49">
        <w:rPr>
          <w:lang w:val="es-ES"/>
        </w:rPr>
        <w:t xml:space="preserve">La zona de instalaciones auxiliares dispondrá de una zona de protección, sin vegetación herbácea ni arbustiva o </w:t>
      </w:r>
      <w:proofErr w:type="spellStart"/>
      <w:r w:rsidRPr="00E55C49">
        <w:rPr>
          <w:lang w:val="es-ES"/>
        </w:rPr>
        <w:t>semiarbustiva</w:t>
      </w:r>
      <w:proofErr w:type="spellEnd"/>
      <w:r w:rsidRPr="00E55C49">
        <w:rPr>
          <w:lang w:val="es-ES"/>
        </w:rPr>
        <w:t xml:space="preserve">, en una banda perimetral de </w:t>
      </w:r>
      <w:smartTag w:uri="urn:schemas-microsoft-com:office:smarttags" w:element="metricconverter">
        <w:smartTagPr>
          <w:attr w:name="ProductID" w:val="25 m"/>
        </w:smartTagPr>
        <w:r w:rsidRPr="00E55C49">
          <w:rPr>
            <w:lang w:val="es-ES"/>
          </w:rPr>
          <w:t>25 m</w:t>
        </w:r>
      </w:smartTag>
      <w:r w:rsidRPr="00E55C49">
        <w:rPr>
          <w:lang w:val="es-ES"/>
        </w:rPr>
        <w:t xml:space="preserve"> de ancho. En este sentido, la selección de zonas auxiliares para ubicación del parque de maquinaria se ha realizado buscando un sitio alejado de zonas arboladas o de matorral.</w:t>
      </w:r>
    </w:p>
    <w:p w14:paraId="02E347E2" w14:textId="77777777" w:rsidR="008E5353" w:rsidRPr="00E55C49" w:rsidRDefault="008E5353" w:rsidP="00E01981">
      <w:pPr>
        <w:pStyle w:val="NORMAL12"/>
        <w:numPr>
          <w:ilvl w:val="0"/>
          <w:numId w:val="57"/>
        </w:numPr>
        <w:rPr>
          <w:lang w:val="es-ES"/>
        </w:rPr>
      </w:pPr>
      <w:r w:rsidRPr="00E55C49">
        <w:rPr>
          <w:lang w:val="es-ES"/>
        </w:rPr>
        <w:lastRenderedPageBreak/>
        <w:t>Se tomarán las medidas necesarias no sólo para no entorpecer las actuaciones de prevención, detección y extinción de incendios vigentes en la zona, sino también para prevenir su declaración durante los trabajos de construcción.</w:t>
      </w:r>
    </w:p>
    <w:p w14:paraId="64495562" w14:textId="77777777" w:rsidR="008E5353" w:rsidRPr="00E55C49" w:rsidRDefault="008E5353" w:rsidP="00E01981">
      <w:pPr>
        <w:pStyle w:val="NORMAL12"/>
        <w:numPr>
          <w:ilvl w:val="0"/>
          <w:numId w:val="57"/>
        </w:numPr>
        <w:rPr>
          <w:lang w:val="es-ES"/>
        </w:rPr>
      </w:pPr>
      <w:r w:rsidRPr="00E55C49">
        <w:rPr>
          <w:lang w:val="es-ES"/>
        </w:rPr>
        <w:t>Como norma general, se evitará la quema de residuos de cualquier tipo. En caso de que fuera imprescindible, se realizará siempre en zonas carentes de vegetación, lo más alejadas que sea posible del límite del jalonado y despejando siempre antes la zona circundante de materiales combustibles.</w:t>
      </w:r>
    </w:p>
    <w:p w14:paraId="6C5D77DA" w14:textId="77777777" w:rsidR="008E5353" w:rsidRPr="00E55C49" w:rsidRDefault="008E5353" w:rsidP="00E01981">
      <w:pPr>
        <w:pStyle w:val="NORMAL12"/>
        <w:numPr>
          <w:ilvl w:val="0"/>
          <w:numId w:val="57"/>
        </w:numPr>
        <w:rPr>
          <w:lang w:val="es-ES"/>
        </w:rPr>
      </w:pPr>
      <w:r w:rsidRPr="00E55C49">
        <w:rPr>
          <w:lang w:val="es-ES"/>
        </w:rPr>
        <w:t>El manejo de aceites, gasolinas y cualquier otro líquido inflamable deberá realizarse extremando las precauciones y limitando este tipo de operaciones a las instalaciones destinadas específicamente a ello. Dentro de estas zonas la gasolina y los gases licuados del petróleo deben almacenarse siempre en lugares adaptados para ello cumpliendo la normativa específica vigente. El transporte de cualquier material inflamable se prohibirá en todas las operaciones donde exista riesgo de fuego o explosión.</w:t>
      </w:r>
    </w:p>
    <w:p w14:paraId="58CBE293" w14:textId="77777777" w:rsidR="008E5353" w:rsidRPr="00E55C49" w:rsidRDefault="008E5353" w:rsidP="00E01981">
      <w:pPr>
        <w:pStyle w:val="NORMAL12"/>
        <w:numPr>
          <w:ilvl w:val="0"/>
          <w:numId w:val="57"/>
        </w:numPr>
        <w:rPr>
          <w:lang w:val="es-ES"/>
        </w:rPr>
      </w:pPr>
      <w:r w:rsidRPr="00E55C49">
        <w:rPr>
          <w:lang w:val="es-ES"/>
        </w:rPr>
        <w:t xml:space="preserve">El equipo contra incendios en las áreas de trabajo debe estar estratégicamente localizado. Cuando se suelde con arco eléctrico, o mediante soplete, se dispondrá de un extintor químico seco. </w:t>
      </w:r>
    </w:p>
    <w:p w14:paraId="20C00F53" w14:textId="77777777" w:rsidR="008E5353" w:rsidRPr="00E55C49" w:rsidRDefault="008E5353" w:rsidP="00E01981">
      <w:pPr>
        <w:pStyle w:val="NORMAL12"/>
        <w:numPr>
          <w:ilvl w:val="0"/>
          <w:numId w:val="57"/>
        </w:numPr>
        <w:rPr>
          <w:lang w:val="es-ES"/>
        </w:rPr>
      </w:pPr>
      <w:r w:rsidRPr="00E55C49">
        <w:rPr>
          <w:lang w:val="es-ES"/>
        </w:rPr>
        <w:t>Se colocarán señales de advertencia y prohibición contra todo tipo de llama en aquellas zonas donde pudiera existir riesgo: áreas de obra contiguas a zonas arboladas y de matorral, señaladas en el Plano de Análisis Ambiental.</w:t>
      </w:r>
    </w:p>
    <w:p w14:paraId="0318A88A" w14:textId="77777777" w:rsidR="008E5353" w:rsidRPr="00E55C49" w:rsidRDefault="008E5353" w:rsidP="000313DD">
      <w:pPr>
        <w:pStyle w:val="TITU2"/>
      </w:pPr>
      <w:bookmarkStart w:id="1684" w:name="_Toc206382304"/>
      <w:bookmarkStart w:id="1685" w:name="_Toc277523490"/>
      <w:bookmarkStart w:id="1686" w:name="_Toc404840"/>
      <w:r w:rsidRPr="00E55C49">
        <w:t>990.3.</w:t>
      </w:r>
      <w:r w:rsidRPr="00E55C49">
        <w:tab/>
      </w:r>
      <w:r w:rsidR="00C50108" w:rsidRPr="00E55C49">
        <w:t xml:space="preserve"> </w:t>
      </w:r>
      <w:r w:rsidRPr="00E55C49">
        <w:t>Acabado superficial de las áreas remodeladas</w:t>
      </w:r>
      <w:bookmarkEnd w:id="1684"/>
      <w:bookmarkEnd w:id="1685"/>
      <w:bookmarkEnd w:id="1686"/>
    </w:p>
    <w:p w14:paraId="64067140" w14:textId="77777777" w:rsidR="008E5353" w:rsidRPr="00E55C49" w:rsidRDefault="008E5353" w:rsidP="00712627">
      <w:pPr>
        <w:pStyle w:val="NORMAL12"/>
        <w:rPr>
          <w:lang w:val="es-ES"/>
        </w:rPr>
      </w:pPr>
      <w:r w:rsidRPr="00E55C49">
        <w:rPr>
          <w:lang w:val="es-ES"/>
        </w:rPr>
        <w:t>La Dirección de las obras exigirá un rematado redondeado en las aristas, tanto horizontales como inclinadas, de contacto entre la explanación y el terreno natural o en las aristas entre planos de la explanación debiendo en todo caso el Contratista evitar la aparición de formas geométricas de ángulos vivos.</w:t>
      </w:r>
    </w:p>
    <w:p w14:paraId="66338A27" w14:textId="77777777" w:rsidR="008E5353" w:rsidRPr="00E55C49" w:rsidRDefault="008E5353" w:rsidP="00712627">
      <w:pPr>
        <w:pStyle w:val="NORMAL12"/>
        <w:rPr>
          <w:lang w:val="es-ES"/>
        </w:rPr>
      </w:pPr>
      <w:r w:rsidRPr="00E55C49">
        <w:rPr>
          <w:lang w:val="es-ES"/>
        </w:rPr>
        <w:t>En los taludes que vayan a quedar a la vista y que por tanto vayan a ser provistos de cubierta vegetal, la superficie no deberá ser alisada ni compactada, no sufrirá ningún tratamiento final, siendo incluso deseable la conservación de las huellas de paso de la maquinaria, todo ello sin menoscabo de la seguridad frente a la caída de piedras, etc.</w:t>
      </w:r>
    </w:p>
    <w:p w14:paraId="6247EC35" w14:textId="77777777" w:rsidR="008E5353" w:rsidRPr="00E55C49" w:rsidRDefault="008E5353" w:rsidP="000313DD">
      <w:pPr>
        <w:pStyle w:val="TITU2"/>
      </w:pPr>
      <w:bookmarkStart w:id="1687" w:name="_Toc206382305"/>
      <w:bookmarkStart w:id="1688" w:name="_Toc277523491"/>
      <w:bookmarkStart w:id="1689" w:name="_Toc404841"/>
      <w:r w:rsidRPr="00E55C49">
        <w:t>990.4.</w:t>
      </w:r>
      <w:r w:rsidR="00AF6096" w:rsidRPr="00E55C49">
        <w:t xml:space="preserve"> </w:t>
      </w:r>
      <w:r w:rsidRPr="00E55C49">
        <w:tab/>
        <w:t>Protección del entorno paisajístico durante las obras</w:t>
      </w:r>
      <w:bookmarkEnd w:id="1687"/>
      <w:bookmarkEnd w:id="1688"/>
      <w:bookmarkEnd w:id="1689"/>
    </w:p>
    <w:p w14:paraId="7C3D989F" w14:textId="77777777" w:rsidR="008E5353" w:rsidRPr="00E55C49" w:rsidRDefault="008E5353" w:rsidP="00712627">
      <w:pPr>
        <w:pStyle w:val="NORMAL12"/>
        <w:rPr>
          <w:lang w:val="es-ES"/>
        </w:rPr>
      </w:pPr>
      <w:r w:rsidRPr="00E55C49">
        <w:rPr>
          <w:lang w:val="es-ES"/>
        </w:rPr>
        <w:t>De forma general, salvo autorización de la Dirección de las obras, queda prohibido el vertido o el depósito temporal o definitivo de materiales procedentes de excavación o materiales residuales de las obras, debiendo ser trasladados a los lugares aprobados e indicados en el Proyecto. Se tendrá el máximo cuidado para evitar el derrame de materiales por las laderas que, en todo caso, serán retirados.</w:t>
      </w:r>
    </w:p>
    <w:p w14:paraId="62151720" w14:textId="77777777" w:rsidR="008E5353" w:rsidRPr="00E55C49" w:rsidRDefault="008E5353" w:rsidP="00712627">
      <w:pPr>
        <w:pStyle w:val="NORMAL12"/>
        <w:rPr>
          <w:lang w:val="es-ES"/>
        </w:rPr>
      </w:pPr>
      <w:r w:rsidRPr="00E55C49">
        <w:rPr>
          <w:lang w:val="es-ES"/>
        </w:rPr>
        <w:t>En el caso de vertederos temporales o lugares de depósito de materiales a utilizar o plantas de machaqueo, asfálticas, etc., si el sustrato fuera a quedar previsiblemente dañado y compactado, se procederá a su corte previo (20-</w:t>
      </w:r>
      <w:smartTag w:uri="urn:schemas-microsoft-com:office:smarttags" w:element="metricconverter">
        <w:smartTagPr>
          <w:attr w:name="ProductID" w:val="25 cm"/>
        </w:smartTagPr>
        <w:r w:rsidRPr="00E55C49">
          <w:rPr>
            <w:lang w:val="es-ES"/>
          </w:rPr>
          <w:t>25 cm</w:t>
        </w:r>
      </w:smartTag>
      <w:r w:rsidRPr="00E55C49">
        <w:rPr>
          <w:lang w:val="es-ES"/>
        </w:rPr>
        <w:t xml:space="preserve"> de profundidad) para restituir esta tierra tras la desocupación del área.</w:t>
      </w:r>
    </w:p>
    <w:p w14:paraId="5E252122" w14:textId="77777777" w:rsidR="008E5353" w:rsidRPr="00E55C49" w:rsidRDefault="008E5353" w:rsidP="000313DD">
      <w:pPr>
        <w:pStyle w:val="TITU2"/>
      </w:pPr>
      <w:bookmarkStart w:id="1690" w:name="_Toc206382306"/>
      <w:bookmarkStart w:id="1691" w:name="_Toc277523492"/>
      <w:bookmarkStart w:id="1692" w:name="_Toc404842"/>
      <w:r w:rsidRPr="00E55C49">
        <w:t>990.5.</w:t>
      </w:r>
      <w:r w:rsidR="00AF6096" w:rsidRPr="00E55C49">
        <w:t xml:space="preserve"> </w:t>
      </w:r>
      <w:r w:rsidRPr="00E55C49">
        <w:tab/>
        <w:t>Protección del agua, cauces y riberas de los cursos de agua atravesados por la traza o próximos a ésta</w:t>
      </w:r>
      <w:bookmarkEnd w:id="1690"/>
      <w:bookmarkEnd w:id="1691"/>
      <w:bookmarkEnd w:id="1692"/>
    </w:p>
    <w:p w14:paraId="5174EE84" w14:textId="77777777" w:rsidR="008E5353" w:rsidRPr="00E55C49" w:rsidRDefault="008E5353" w:rsidP="00712627">
      <w:pPr>
        <w:pStyle w:val="NORMAL12"/>
        <w:rPr>
          <w:lang w:val="es-ES"/>
        </w:rPr>
      </w:pPr>
      <w:r w:rsidRPr="00E55C49">
        <w:rPr>
          <w:lang w:val="es-ES"/>
        </w:rPr>
        <w:t>Se cumplirán las condiciones siguientes:</w:t>
      </w:r>
    </w:p>
    <w:p w14:paraId="0DEF1DA4" w14:textId="77777777" w:rsidR="008E5353" w:rsidRPr="00E55C49" w:rsidRDefault="008E5353" w:rsidP="00E01981">
      <w:pPr>
        <w:pStyle w:val="NORMAL12"/>
        <w:numPr>
          <w:ilvl w:val="0"/>
          <w:numId w:val="57"/>
        </w:numPr>
        <w:rPr>
          <w:lang w:val="es-ES"/>
        </w:rPr>
      </w:pPr>
      <w:r w:rsidRPr="00E55C49">
        <w:rPr>
          <w:lang w:val="es-ES"/>
        </w:rPr>
        <w:t>Durante la construcción de viaductos y encauzamientos, se tendrá en cuenta que la franja de afección se mantenga en los límites de ocupación del trazado de la autovía, con objeto de evitar la afección a las márgenes.</w:t>
      </w:r>
    </w:p>
    <w:p w14:paraId="2950CE55" w14:textId="77777777" w:rsidR="008E5353" w:rsidRPr="00E55C49" w:rsidRDefault="008E5353" w:rsidP="00E01981">
      <w:pPr>
        <w:pStyle w:val="NORMAL12"/>
        <w:numPr>
          <w:ilvl w:val="0"/>
          <w:numId w:val="57"/>
        </w:numPr>
        <w:rPr>
          <w:lang w:val="es-ES"/>
        </w:rPr>
      </w:pPr>
      <w:r w:rsidRPr="00E55C49">
        <w:rPr>
          <w:lang w:val="es-ES"/>
        </w:rPr>
        <w:t xml:space="preserve">No se emplearán las riberas (entendiendo como tales la banda de </w:t>
      </w:r>
      <w:smartTag w:uri="urn:schemas-microsoft-com:office:smarttags" w:element="metricconverter">
        <w:smartTagPr>
          <w:attr w:name="ProductID" w:val="20 m"/>
        </w:smartTagPr>
        <w:r w:rsidRPr="00E55C49">
          <w:rPr>
            <w:lang w:val="es-ES"/>
          </w:rPr>
          <w:t>20 m</w:t>
        </w:r>
      </w:smartTag>
      <w:r w:rsidRPr="00E55C49">
        <w:rPr>
          <w:lang w:val="es-ES"/>
        </w:rPr>
        <w:t xml:space="preserve"> en ambas márgenes a lo largo del cauce) para el depósito de materiales y se protegerán, en su caso, de los derrames de otros materiales, procediendo a su limpieza y acondicionamiento según el estado inicial.</w:t>
      </w:r>
    </w:p>
    <w:p w14:paraId="1C085DBC" w14:textId="77777777" w:rsidR="008E5353" w:rsidRPr="00E55C49" w:rsidRDefault="008E5353" w:rsidP="00E01981">
      <w:pPr>
        <w:pStyle w:val="NORMAL12"/>
        <w:numPr>
          <w:ilvl w:val="0"/>
          <w:numId w:val="57"/>
        </w:numPr>
        <w:rPr>
          <w:lang w:val="es-ES"/>
        </w:rPr>
      </w:pPr>
      <w:r w:rsidRPr="00E55C49">
        <w:rPr>
          <w:lang w:val="es-ES"/>
        </w:rPr>
        <w:t>Durante las obras de construcción, se evitará el vertido de grasas y aceites de motores de maquinaria en los cauces, así como todo tipo de vertidos.</w:t>
      </w:r>
    </w:p>
    <w:p w14:paraId="0800BA62" w14:textId="77777777" w:rsidR="008E5353" w:rsidRPr="00E55C49" w:rsidRDefault="008E5353" w:rsidP="00E01981">
      <w:pPr>
        <w:pStyle w:val="NORMAL12"/>
        <w:numPr>
          <w:ilvl w:val="0"/>
          <w:numId w:val="57"/>
        </w:numPr>
        <w:rPr>
          <w:lang w:val="es-ES"/>
        </w:rPr>
      </w:pPr>
      <w:r w:rsidRPr="00E55C49">
        <w:rPr>
          <w:lang w:val="es-ES"/>
        </w:rPr>
        <w:t>El Contratista presentará a la Dirección de las obras un plan con los cuidados, precauciones, dispositivos de defensa y en su caso, operaciones de restauración para el cauce y riberas de los cursos de agua alterables, a fin de conservar en los tramos no ocupados, las actuales condiciones de flujo, biológicas, calidad de las aguas, morfología y granulometría de los materiales y sección útil de estiaje.</w:t>
      </w:r>
    </w:p>
    <w:p w14:paraId="1EFB0736" w14:textId="77777777" w:rsidR="008E5353" w:rsidRPr="00E55C49" w:rsidRDefault="008E5353" w:rsidP="00E01981">
      <w:pPr>
        <w:pStyle w:val="NORMAL12"/>
        <w:numPr>
          <w:ilvl w:val="0"/>
          <w:numId w:val="57"/>
        </w:numPr>
        <w:rPr>
          <w:lang w:val="es-ES"/>
        </w:rPr>
      </w:pPr>
      <w:r w:rsidRPr="00E55C49">
        <w:rPr>
          <w:lang w:val="es-ES"/>
        </w:rPr>
        <w:t>Los daños innecesarios en la vegetación de ribera no señalados en el replanteo de las obras, serán repuestos a cargo del Contratista.</w:t>
      </w:r>
    </w:p>
    <w:p w14:paraId="1F5072A5" w14:textId="77777777" w:rsidR="008E5353" w:rsidRPr="00E55C49" w:rsidRDefault="008E5353" w:rsidP="00E01981">
      <w:pPr>
        <w:pStyle w:val="NORMAL12"/>
        <w:numPr>
          <w:ilvl w:val="0"/>
          <w:numId w:val="57"/>
        </w:numPr>
        <w:rPr>
          <w:lang w:val="es-ES"/>
        </w:rPr>
      </w:pPr>
      <w:r w:rsidRPr="00E55C49">
        <w:rPr>
          <w:lang w:val="es-ES"/>
        </w:rPr>
        <w:t xml:space="preserve">Las medidas preventivas a </w:t>
      </w:r>
      <w:proofErr w:type="gramStart"/>
      <w:r w:rsidRPr="00E55C49">
        <w:rPr>
          <w:lang w:val="es-ES"/>
        </w:rPr>
        <w:t>adoptar,</w:t>
      </w:r>
      <w:proofErr w:type="gramEnd"/>
      <w:r w:rsidRPr="00E55C49">
        <w:rPr>
          <w:lang w:val="es-ES"/>
        </w:rPr>
        <w:t xml:space="preserve"> serán las siguientes:</w:t>
      </w:r>
    </w:p>
    <w:p w14:paraId="6C4AD71D" w14:textId="77777777" w:rsidR="008E5353" w:rsidRPr="00E55C49" w:rsidRDefault="008E5353" w:rsidP="00E01981">
      <w:pPr>
        <w:pStyle w:val="NORMAL12"/>
        <w:numPr>
          <w:ilvl w:val="0"/>
          <w:numId w:val="57"/>
        </w:numPr>
        <w:rPr>
          <w:lang w:val="es-ES"/>
        </w:rPr>
      </w:pPr>
      <w:r w:rsidRPr="00E55C49">
        <w:rPr>
          <w:lang w:val="es-ES"/>
        </w:rPr>
        <w:lastRenderedPageBreak/>
        <w:t>No afectar más superficie de la prevista en cauces y riberas cuando se construya un relleno.</w:t>
      </w:r>
    </w:p>
    <w:p w14:paraId="0E2B7610" w14:textId="77777777" w:rsidR="008E5353" w:rsidRPr="00E55C49" w:rsidRDefault="008E5353" w:rsidP="00E01981">
      <w:pPr>
        <w:pStyle w:val="NORMAL12"/>
        <w:numPr>
          <w:ilvl w:val="0"/>
          <w:numId w:val="57"/>
        </w:numPr>
        <w:rPr>
          <w:lang w:val="es-ES"/>
        </w:rPr>
      </w:pPr>
      <w:r w:rsidRPr="00E55C49">
        <w:rPr>
          <w:lang w:val="es-ES"/>
        </w:rPr>
        <w:t>No verter materiales por las laderas hacia las regatas.</w:t>
      </w:r>
    </w:p>
    <w:p w14:paraId="345D0779" w14:textId="77777777" w:rsidR="008E5353" w:rsidRPr="00E55C49" w:rsidRDefault="008E5353" w:rsidP="00E01981">
      <w:pPr>
        <w:pStyle w:val="NORMAL12"/>
        <w:numPr>
          <w:ilvl w:val="0"/>
          <w:numId w:val="57"/>
        </w:numPr>
        <w:rPr>
          <w:lang w:val="es-ES"/>
        </w:rPr>
      </w:pPr>
      <w:r w:rsidRPr="00E55C49">
        <w:rPr>
          <w:lang w:val="es-ES"/>
        </w:rPr>
        <w:t>No cubrir los cauces con materiales derramados.</w:t>
      </w:r>
    </w:p>
    <w:p w14:paraId="6FF4879E" w14:textId="77777777" w:rsidR="008E5353" w:rsidRPr="00E55C49" w:rsidRDefault="008E5353" w:rsidP="00E01981">
      <w:pPr>
        <w:pStyle w:val="NORMAL12"/>
        <w:numPr>
          <w:ilvl w:val="0"/>
          <w:numId w:val="57"/>
        </w:numPr>
        <w:rPr>
          <w:lang w:val="es-ES"/>
        </w:rPr>
      </w:pPr>
      <w:r w:rsidRPr="00E55C49">
        <w:rPr>
          <w:lang w:val="es-ES"/>
        </w:rPr>
        <w:t>Controlar los movimientos de tierra.</w:t>
      </w:r>
    </w:p>
    <w:p w14:paraId="1303B05D" w14:textId="77777777" w:rsidR="008E5353" w:rsidRPr="00E55C49" w:rsidRDefault="008E5353" w:rsidP="00E01981">
      <w:pPr>
        <w:pStyle w:val="NORMAL12"/>
        <w:numPr>
          <w:ilvl w:val="0"/>
          <w:numId w:val="57"/>
        </w:numPr>
        <w:rPr>
          <w:lang w:val="es-ES"/>
        </w:rPr>
      </w:pPr>
      <w:r w:rsidRPr="00E55C49">
        <w:rPr>
          <w:lang w:val="es-ES"/>
        </w:rPr>
        <w:t>Evitar rodar innecesariamente con la maquinaria por los cauces y travesías siempre perpendiculares.</w:t>
      </w:r>
    </w:p>
    <w:p w14:paraId="0F918BEC" w14:textId="77777777" w:rsidR="008E5353" w:rsidRPr="00E55C49" w:rsidRDefault="008E5353" w:rsidP="00E01981">
      <w:pPr>
        <w:pStyle w:val="NORMAL12"/>
        <w:numPr>
          <w:ilvl w:val="0"/>
          <w:numId w:val="57"/>
        </w:numPr>
        <w:rPr>
          <w:lang w:val="es-ES"/>
        </w:rPr>
      </w:pPr>
      <w:r w:rsidRPr="00E55C49">
        <w:rPr>
          <w:lang w:val="es-ES"/>
        </w:rPr>
        <w:t>Controlar estrictamente las operaciones de cambio de aceites, recarga de combustible y lavado de la maquinaria, impidiendo siempre que se realice en los cursos de agua y sus proximidades. Prohibición de cualquier tipo de vertido, sólido y líquido.</w:t>
      </w:r>
    </w:p>
    <w:p w14:paraId="5DB18FAF" w14:textId="77777777" w:rsidR="008E5353" w:rsidRPr="00E55C49" w:rsidRDefault="008E5353" w:rsidP="00712627">
      <w:pPr>
        <w:pStyle w:val="NORMAL12"/>
        <w:rPr>
          <w:lang w:val="es-ES"/>
        </w:rPr>
      </w:pPr>
      <w:r w:rsidRPr="00E55C49">
        <w:rPr>
          <w:b/>
          <w:lang w:val="es-ES"/>
        </w:rPr>
        <w:t xml:space="preserve">Medidas de emergencia en caso de vertidos </w:t>
      </w:r>
      <w:proofErr w:type="gramStart"/>
      <w:r w:rsidRPr="00E55C49">
        <w:rPr>
          <w:b/>
          <w:lang w:val="es-ES"/>
        </w:rPr>
        <w:t>accidentales.-</w:t>
      </w:r>
      <w:proofErr w:type="gramEnd"/>
      <w:r w:rsidRPr="00E55C49">
        <w:rPr>
          <w:lang w:val="es-ES"/>
        </w:rPr>
        <w:t xml:space="preserve"> Partiendo de la base de que todas las medidas preventivas se han definido y están operativas (dispositivos de retención de contaminantes o instalaciones de depuración y de las medidas de seguridad adoptadas para evitar vertidos accidentales), el Contratista presentará en su Sistema de Gestión Medioambiental las instrucciones y medidas de emergencia en caso de vertidos que pudieran producirse como consecuencia de las obras.</w:t>
      </w:r>
    </w:p>
    <w:p w14:paraId="7FE21A31" w14:textId="77777777" w:rsidR="008E5353" w:rsidRPr="00E55C49" w:rsidRDefault="008E5353" w:rsidP="00712627">
      <w:pPr>
        <w:pStyle w:val="NORMAL12"/>
        <w:rPr>
          <w:lang w:val="es-ES"/>
        </w:rPr>
      </w:pPr>
      <w:r w:rsidRPr="00E55C49">
        <w:rPr>
          <w:lang w:val="es-ES"/>
        </w:rPr>
        <w:t>Se trata de controlar la posible contaminación derivada de un accidente o fuga accidental de sustancias peligrosas. Los incidentes pueden variar desde un simple vertido de combustible (y, en su caso, de lubricantes o aceites), que se produce como consecuencia de un accidente, hasta incidentes de gran envergadura que impliquen el vertido de sustancias químicas u otros materiales potencialmente peligrosos transportados por vehículos especiales. Desde una perspectiva ambiental, el planteamiento inicial ante incidentes de este tipo es que todos los vertidos accidentales sean aislados y retenidos.</w:t>
      </w:r>
    </w:p>
    <w:p w14:paraId="2013C00A" w14:textId="77777777" w:rsidR="008E5353" w:rsidRPr="00E55C49" w:rsidRDefault="008E5353" w:rsidP="00712627">
      <w:pPr>
        <w:pStyle w:val="NORMAL12"/>
        <w:rPr>
          <w:lang w:val="es-ES"/>
        </w:rPr>
      </w:pPr>
      <w:r w:rsidRPr="00E55C49">
        <w:rPr>
          <w:lang w:val="es-ES"/>
        </w:rPr>
        <w:t>Se tendrá en cuenta de forma genérica la legislación en materia de Protección Civil, considerando que los Centros de Coordinación Operativa (</w:t>
      </w:r>
      <w:proofErr w:type="spellStart"/>
      <w:r w:rsidRPr="00E55C49">
        <w:rPr>
          <w:lang w:val="es-ES"/>
        </w:rPr>
        <w:t>CECOP´s</w:t>
      </w:r>
      <w:proofErr w:type="spellEnd"/>
      <w:r w:rsidRPr="00E55C49">
        <w:rPr>
          <w:lang w:val="es-ES"/>
        </w:rPr>
        <w:t>) de las CC.AA</w:t>
      </w:r>
      <w:r w:rsidR="001A25FE">
        <w:rPr>
          <w:lang w:val="es-ES"/>
        </w:rPr>
        <w:t>.</w:t>
      </w:r>
      <w:r w:rsidRPr="00E55C49">
        <w:rPr>
          <w:lang w:val="es-ES"/>
        </w:rPr>
        <w:t xml:space="preserve"> que tienen asumidas las competencias de gestión de emergencias producidas por accidentes en el transporte de mercancías peligrosas, disponen de unos números telefónicos a utilizar para la notificación de accidentes (y otros datos de interés en los transportes de mercancías peligrosas por carretera y ferrocarril).</w:t>
      </w:r>
    </w:p>
    <w:p w14:paraId="30BB0B63" w14:textId="77777777" w:rsidR="008E5353" w:rsidRPr="00E55C49" w:rsidRDefault="008E5353" w:rsidP="00712627">
      <w:pPr>
        <w:pStyle w:val="NORMAL12"/>
        <w:rPr>
          <w:lang w:val="es-ES"/>
        </w:rPr>
      </w:pPr>
      <w:r w:rsidRPr="00E55C49">
        <w:rPr>
          <w:lang w:val="es-ES"/>
        </w:rPr>
        <w:t>Las medidas de emergencia en caso de vertidos accidentales se basarán fundamentalmente en los principios siguientes:</w:t>
      </w:r>
    </w:p>
    <w:p w14:paraId="12B0A0F2" w14:textId="77777777" w:rsidR="008E5353" w:rsidRPr="00E55C49" w:rsidRDefault="008E5353" w:rsidP="00E01981">
      <w:pPr>
        <w:pStyle w:val="NORMAL12"/>
        <w:numPr>
          <w:ilvl w:val="0"/>
          <w:numId w:val="57"/>
        </w:numPr>
        <w:rPr>
          <w:lang w:val="es-ES"/>
        </w:rPr>
      </w:pPr>
      <w:r w:rsidRPr="00E55C49">
        <w:rPr>
          <w:lang w:val="es-ES"/>
        </w:rPr>
        <w:t>Se diferenciarán las correspondientes medidas de alerta tras la verificación del suceso de las posteriores actuaciones sobre el terreno o las aguas afectadas.</w:t>
      </w:r>
    </w:p>
    <w:p w14:paraId="1D1B1E6F" w14:textId="77777777" w:rsidR="008E5353" w:rsidRPr="00E55C49" w:rsidRDefault="008E5353" w:rsidP="00E01981">
      <w:pPr>
        <w:pStyle w:val="NORMAL12"/>
        <w:numPr>
          <w:ilvl w:val="0"/>
          <w:numId w:val="57"/>
        </w:numPr>
        <w:rPr>
          <w:lang w:val="es-ES"/>
        </w:rPr>
      </w:pPr>
      <w:r w:rsidRPr="00E55C49">
        <w:rPr>
          <w:lang w:val="es-ES"/>
        </w:rPr>
        <w:t>Se dará prioridad a la recuperación por medios mecánicos tan cerca como sea posible de la fuente del vertido.</w:t>
      </w:r>
    </w:p>
    <w:p w14:paraId="346B5CD8" w14:textId="77777777" w:rsidR="008E5353" w:rsidRPr="00E55C49" w:rsidRDefault="008E5353" w:rsidP="00E01981">
      <w:pPr>
        <w:pStyle w:val="NORMAL12"/>
        <w:numPr>
          <w:ilvl w:val="0"/>
          <w:numId w:val="57"/>
        </w:numPr>
        <w:rPr>
          <w:lang w:val="es-ES"/>
        </w:rPr>
      </w:pPr>
      <w:r w:rsidRPr="00E55C49">
        <w:rPr>
          <w:lang w:val="es-ES"/>
        </w:rPr>
        <w:t>Los dispersantes sólo se utilizarán cuando la recuperación por medios mecánicos sea imposible, o bien en combinación con ésta, cuando no se pueda lograr un beneficio medioambiental neto. La aplicación de dispersantes se realizará mediante la correspondiente autorización previa del organismo competente y con los productos autorizados.</w:t>
      </w:r>
    </w:p>
    <w:p w14:paraId="15D5A01D" w14:textId="77777777" w:rsidR="008E5353" w:rsidRPr="00E55C49" w:rsidRDefault="008E5353" w:rsidP="00E01981">
      <w:pPr>
        <w:pStyle w:val="NORMAL12"/>
        <w:numPr>
          <w:ilvl w:val="0"/>
          <w:numId w:val="57"/>
        </w:numPr>
        <w:rPr>
          <w:lang w:val="es-ES"/>
        </w:rPr>
      </w:pPr>
      <w:r w:rsidRPr="00E55C49">
        <w:rPr>
          <w:lang w:val="es-ES"/>
        </w:rPr>
        <w:t>Hay diversos tipos de materiales y equipos que pueden ayudar</w:t>
      </w:r>
      <w:r w:rsidR="001944DF" w:rsidRPr="00E55C49">
        <w:rPr>
          <w:lang w:val="es-ES"/>
        </w:rPr>
        <w:t xml:space="preserve"> </w:t>
      </w:r>
      <w:r w:rsidRPr="00E55C49">
        <w:rPr>
          <w:lang w:val="es-ES"/>
        </w:rPr>
        <w:t xml:space="preserve">a contener y eliminar los materiales vertidos sobre superficies pavimentadas: arena, sacos de arena, absorbentes (de diferente composición y presentación) especialmente para el caso de vertidos de hidrocarburos y compuestos químicos acuosos, barreras flotantes (que pueden ser de materiales absorbentes o impermeables, llenas de aire o agua), sellos superficiales y subterráneos. En este sentido, el acopio en la cercanía de los puntos sensibles de materiales (serrín, absorbentes, retenedores de materias </w:t>
      </w:r>
      <w:proofErr w:type="gramStart"/>
      <w:r w:rsidRPr="00E55C49">
        <w:rPr>
          <w:lang w:val="es-ES"/>
        </w:rPr>
        <w:t>grasas</w:t>
      </w:r>
      <w:r w:rsidR="00274DD0" w:rsidRPr="00E55C49">
        <w:rPr>
          <w:lang w:val="es-ES"/>
        </w:rPr>
        <w:t>,...</w:t>
      </w:r>
      <w:proofErr w:type="gramEnd"/>
      <w:r w:rsidRPr="00E55C49">
        <w:rPr>
          <w:lang w:val="es-ES"/>
        </w:rPr>
        <w:t xml:space="preserve">) y dispositivos de gestión del vertido (barreras </w:t>
      </w:r>
      <w:proofErr w:type="gramStart"/>
      <w:r w:rsidRPr="00E55C49">
        <w:rPr>
          <w:lang w:val="es-ES"/>
        </w:rPr>
        <w:t>flotantes</w:t>
      </w:r>
      <w:r w:rsidR="00274DD0" w:rsidRPr="00E55C49">
        <w:rPr>
          <w:lang w:val="es-ES"/>
        </w:rPr>
        <w:t>,...</w:t>
      </w:r>
      <w:proofErr w:type="gramEnd"/>
      <w:r w:rsidRPr="00E55C49">
        <w:rPr>
          <w:lang w:val="es-ES"/>
        </w:rPr>
        <w:t>) pueden ayudar a reducir el tiempo de intervención en la emergencia.</w:t>
      </w:r>
    </w:p>
    <w:p w14:paraId="3F6C439D" w14:textId="77777777" w:rsidR="008E5353" w:rsidRPr="00E55C49" w:rsidRDefault="008E5353" w:rsidP="00E01981">
      <w:pPr>
        <w:pStyle w:val="NORMAL12"/>
        <w:numPr>
          <w:ilvl w:val="0"/>
          <w:numId w:val="57"/>
        </w:numPr>
        <w:rPr>
          <w:lang w:val="es-ES"/>
        </w:rPr>
      </w:pPr>
      <w:r w:rsidRPr="00E55C49">
        <w:rPr>
          <w:lang w:val="es-ES"/>
        </w:rPr>
        <w:t>Una vez que el vertido ha sido controlado y se ha retenido el material en los dispositivos permanentes o improvisados tras el accidente, debe tenerse en cuenta el destino que se le da a estos materiales, pues se trata de residuos contaminados y contaminantes.</w:t>
      </w:r>
    </w:p>
    <w:p w14:paraId="376AB806" w14:textId="77777777" w:rsidR="008E5353" w:rsidRPr="00E55C49" w:rsidRDefault="008E5353" w:rsidP="00712627">
      <w:pPr>
        <w:pStyle w:val="NORMAL12"/>
        <w:rPr>
          <w:lang w:val="es-ES"/>
        </w:rPr>
      </w:pPr>
      <w:r w:rsidRPr="00E55C49">
        <w:rPr>
          <w:b/>
          <w:lang w:val="es-ES"/>
        </w:rPr>
        <w:t>Sistemas de depuración primaria en las instalaciones de obra.-</w:t>
      </w:r>
      <w:r w:rsidRPr="00E55C49">
        <w:rPr>
          <w:lang w:val="es-ES"/>
        </w:rPr>
        <w:t xml:space="preserve"> De manera general, asociadas a las instalaciones en las que pueda generarse cualquier tipo de aguas residuales (especialmente los parques de maquinaria, plantas de tratamiento y zonas de vertido o acopio de tierras) el Contratista diseñará y ejecutará a su cargo las instalaciones adecuadas correctamente dimensionadas, (lo que se estudiará y reflejará explícitamente), para el desbaste y decantación de sólidos (balsas de decantación).</w:t>
      </w:r>
    </w:p>
    <w:p w14:paraId="14229DCB" w14:textId="77777777" w:rsidR="008E5353" w:rsidRPr="00E55C49" w:rsidRDefault="008E5353" w:rsidP="00712627">
      <w:pPr>
        <w:pStyle w:val="NORMAL12"/>
        <w:rPr>
          <w:lang w:val="es-ES"/>
        </w:rPr>
      </w:pPr>
      <w:r w:rsidRPr="00E55C49">
        <w:rPr>
          <w:lang w:val="es-ES"/>
        </w:rPr>
        <w:lastRenderedPageBreak/>
        <w:t xml:space="preserve">Dichos sistemas se localizarán detalladamente y se </w:t>
      </w:r>
      <w:r w:rsidR="00274DD0" w:rsidRPr="00E55C49">
        <w:rPr>
          <w:lang w:val="es-ES"/>
        </w:rPr>
        <w:t>incluirán en</w:t>
      </w:r>
      <w:r w:rsidRPr="00E55C49">
        <w:rPr>
          <w:lang w:val="es-ES"/>
        </w:rPr>
        <w:t xml:space="preserve"> la propuesta del Contratista los planos de detalles constructivos, presentados de modo claro y homogéneo a la conformidad de la Dirección de Obra.</w:t>
      </w:r>
    </w:p>
    <w:p w14:paraId="0F0C1F89" w14:textId="77777777" w:rsidR="008E5353" w:rsidRPr="00E55C49" w:rsidRDefault="008E5353" w:rsidP="00712627">
      <w:pPr>
        <w:pStyle w:val="NORMAL12"/>
        <w:rPr>
          <w:lang w:val="es-ES"/>
        </w:rPr>
      </w:pPr>
      <w:r w:rsidRPr="00E55C49">
        <w:rPr>
          <w:lang w:val="es-ES"/>
        </w:rPr>
        <w:t xml:space="preserve">Para la localización y diseño de dichos sistemas se tendrá en cuenta la posible fuente de contaminación, se identificarán y cuantificarán los efluentes y se determinarán las posibles vías de incorporación de éstos a las aguas receptoras, todo ello contemplando la normativa aplicable (Reglamento del Dominio Público Hidráulico y normas complementarias). </w:t>
      </w:r>
    </w:p>
    <w:p w14:paraId="5F227361" w14:textId="77777777" w:rsidR="008E5353" w:rsidRPr="00E55C49" w:rsidRDefault="008E5353" w:rsidP="00712627">
      <w:pPr>
        <w:pStyle w:val="NORMAL12"/>
        <w:rPr>
          <w:lang w:val="es-ES"/>
        </w:rPr>
      </w:pPr>
      <w:r w:rsidRPr="00E55C49">
        <w:rPr>
          <w:lang w:val="es-ES"/>
        </w:rPr>
        <w:t>Las balsas de decantación podrán ser de dos tipos: excavadas en el propio terreno, con o sin revestimiento, y construidas como pequeñas presas de tierra. Las presas o diques se llevarán a cabo con materiales limpios (sin raíces, restos de vegetación o gravas muy permeables). Los taludes máximos permitidos son de 2H:1V y la suma aritmética de los taludes aguas abajo y aguas arriba no debe ser menor de 5H:1V. El talud aguas abajo deberá protegerse con vegetación. Antes de construir el dique, es necesario limpiar la base de suelo y vegetación, así como excavar una zanja de al menos medio metro de ancho a todo lo largo de la presa y con taludes laterales de 1H:1V.</w:t>
      </w:r>
    </w:p>
    <w:p w14:paraId="47B13B50" w14:textId="77777777" w:rsidR="008E5353" w:rsidRPr="00E55C49" w:rsidRDefault="008E5353" w:rsidP="00712627">
      <w:pPr>
        <w:pStyle w:val="NORMAL12"/>
        <w:rPr>
          <w:lang w:val="es-ES"/>
        </w:rPr>
      </w:pPr>
      <w:r w:rsidRPr="00E55C49">
        <w:rPr>
          <w:lang w:val="es-ES"/>
        </w:rPr>
        <w:t>La ubicación será cerca de las zonas de instalaciones y donde pudiera preverse agua de escorrentía con un gran acúmulo de sedimentos o con materiales contaminantes por vertido accidental.</w:t>
      </w:r>
    </w:p>
    <w:p w14:paraId="753D3531" w14:textId="77777777" w:rsidR="008E5353" w:rsidRPr="00E55C49" w:rsidRDefault="008E5353" w:rsidP="00712627">
      <w:pPr>
        <w:pStyle w:val="NORMAL12"/>
        <w:rPr>
          <w:lang w:val="es-ES"/>
        </w:rPr>
      </w:pPr>
      <w:r w:rsidRPr="00E55C49">
        <w:rPr>
          <w:lang w:val="es-ES"/>
        </w:rPr>
        <w:t>Es necesario asegurar el acceso a las balsas para permitir su limpieza y mantenimiento.</w:t>
      </w:r>
    </w:p>
    <w:p w14:paraId="482E7D6E" w14:textId="77777777" w:rsidR="008E5353" w:rsidRPr="00E55C49" w:rsidRDefault="008E5353" w:rsidP="00712627">
      <w:pPr>
        <w:pStyle w:val="NORMAL12"/>
        <w:rPr>
          <w:lang w:val="es-ES"/>
        </w:rPr>
      </w:pPr>
      <w:r w:rsidRPr="00E55C49">
        <w:rPr>
          <w:lang w:val="es-ES"/>
        </w:rPr>
        <w:t>La capacidad de las balsas debe ser tal que permita contener un volumen suficiente de líquido durante el tiempo necesario para que se retenga un porcentaje suficiente de los sólidos en suspensión. Para determinar su capacidad se tendrá en cuenta, además de los afluentes recibidos con sus partículas acarreadas y los posibles vertidos accidentales, el caudal de escorrentía que llegaría a la balsa conociendo la superficie a drenar y la precipitación máxima esperada para un tiempo de retorno dado.</w:t>
      </w:r>
    </w:p>
    <w:p w14:paraId="3A8EBCB4" w14:textId="77777777" w:rsidR="008E5353" w:rsidRPr="00E55C49" w:rsidRDefault="008E5353" w:rsidP="00712627">
      <w:pPr>
        <w:pStyle w:val="NORMAL12"/>
        <w:rPr>
          <w:lang w:val="es-ES"/>
        </w:rPr>
      </w:pPr>
      <w:r w:rsidRPr="00E55C49">
        <w:rPr>
          <w:lang w:val="es-ES"/>
        </w:rPr>
        <w:t>Como alternativa a las balsas, en las cercanías de los sistemas fluviales y en previsión de arrastres de sólidos en determinados puntos durante la realización de las obras puede ser conveniente la instalación de barreras de sedimentos.</w:t>
      </w:r>
    </w:p>
    <w:p w14:paraId="10EA13C5" w14:textId="77777777" w:rsidR="008E5353" w:rsidRPr="00E55C49" w:rsidRDefault="008E5353" w:rsidP="00712627">
      <w:pPr>
        <w:pStyle w:val="NORMAL12"/>
        <w:rPr>
          <w:lang w:val="es-ES"/>
        </w:rPr>
      </w:pPr>
      <w:r w:rsidRPr="00E55C49">
        <w:rPr>
          <w:lang w:val="es-ES"/>
        </w:rPr>
        <w:t xml:space="preserve">Las barreras de sedimentos son obras provisionales construidas de distintas formas y materiales, láminas filtrantes, sacos terreros, balas de paja, etc. El objetivo de estas barreras es contener los sedimentos excesivos, en lugares establecidos antes de que el </w:t>
      </w:r>
      <w:r w:rsidRPr="00E55C49">
        <w:rPr>
          <w:lang w:val="es-ES"/>
        </w:rPr>
        <w:t>agua pase a las vías de drenaje naturales o artificiales, y reducir la energía erosiva de las aguas de escorrentía que las atraviesan. Se utilizan cuando las áreas a proteger son pequeñas y cuando no se produce una elevada cantidad de sedimentos.</w:t>
      </w:r>
    </w:p>
    <w:p w14:paraId="7F051FE4" w14:textId="77777777" w:rsidR="008E5353" w:rsidRPr="00E55C49" w:rsidRDefault="008E5353" w:rsidP="00712627">
      <w:pPr>
        <w:pStyle w:val="NORMAL12"/>
        <w:rPr>
          <w:lang w:val="es-ES"/>
        </w:rPr>
      </w:pPr>
      <w:r w:rsidRPr="00E55C49">
        <w:rPr>
          <w:lang w:val="es-ES"/>
        </w:rPr>
        <w:t xml:space="preserve">Si las aguas que salen de las balsas sobrepasan los valores límites establecidos por la legislación vigente serán necesarios tratamientos adicionales (coagulación, </w:t>
      </w:r>
      <w:proofErr w:type="gramStart"/>
      <w:r w:rsidRPr="00E55C49">
        <w:rPr>
          <w:lang w:val="es-ES"/>
        </w:rPr>
        <w:t>floculación,...</w:t>
      </w:r>
      <w:proofErr w:type="gramEnd"/>
      <w:r w:rsidRPr="00E55C49">
        <w:rPr>
          <w:lang w:val="es-ES"/>
        </w:rPr>
        <w:t>).</w:t>
      </w:r>
    </w:p>
    <w:p w14:paraId="02A557EE" w14:textId="77777777" w:rsidR="008E5353" w:rsidRPr="00E55C49" w:rsidRDefault="008E5353" w:rsidP="00712627">
      <w:pPr>
        <w:pStyle w:val="NORMAL12"/>
        <w:rPr>
          <w:lang w:val="es-ES"/>
        </w:rPr>
      </w:pPr>
      <w:r w:rsidRPr="00E55C49">
        <w:rPr>
          <w:lang w:val="es-ES"/>
        </w:rPr>
        <w:t xml:space="preserve">Para asegurar la eficacia de los sistemas de depuración primaria se preverán las correspondientes labores de mantenimiento de las balsas. Estas labores han de incluir la extracción, transporte y el depósito de los lodos. Debe tenerse en cuenta también las posibles propiedades </w:t>
      </w:r>
      <w:proofErr w:type="gramStart"/>
      <w:r w:rsidRPr="00E55C49">
        <w:rPr>
          <w:lang w:val="es-ES"/>
        </w:rPr>
        <w:t>físico-químicas</w:t>
      </w:r>
      <w:proofErr w:type="gramEnd"/>
      <w:r w:rsidRPr="00E55C49">
        <w:rPr>
          <w:lang w:val="es-ES"/>
        </w:rPr>
        <w:t xml:space="preserve"> de estos lodos (por su posible contaminación) y las zonas posibles para su acopio.</w:t>
      </w:r>
    </w:p>
    <w:p w14:paraId="1C2B00BB" w14:textId="77777777" w:rsidR="008E5353" w:rsidRPr="00E55C49" w:rsidRDefault="008E5353" w:rsidP="00712627">
      <w:pPr>
        <w:pStyle w:val="NORMAL12"/>
        <w:rPr>
          <w:lang w:val="es-ES"/>
        </w:rPr>
      </w:pPr>
      <w:r w:rsidRPr="00E55C49">
        <w:rPr>
          <w:lang w:val="es-ES"/>
        </w:rPr>
        <w:t>Finalmente, deben estar también previstas las labores de desmantelamiento de los sistemas de depuración que, una vez finalizadas las obras, ya no se utilicen, y el tratamiento que recibirán dichas áreas. Se propone un diseño cuidadoso de manera que puedan servir como zonas húmedas temporales con una adecuada restauración vegetal.</w:t>
      </w:r>
    </w:p>
    <w:p w14:paraId="38C7D36A" w14:textId="77777777" w:rsidR="008E5353" w:rsidRPr="00E55C49" w:rsidRDefault="008E5353" w:rsidP="000313DD">
      <w:pPr>
        <w:pStyle w:val="TITU2"/>
      </w:pPr>
      <w:bookmarkStart w:id="1693" w:name="_Toc206382307"/>
      <w:bookmarkStart w:id="1694" w:name="_Toc277523493"/>
      <w:bookmarkStart w:id="1695" w:name="_Toc404843"/>
      <w:r w:rsidRPr="00E55C49">
        <w:t>990.6.</w:t>
      </w:r>
      <w:r w:rsidR="000271F3" w:rsidRPr="00E55C49">
        <w:t xml:space="preserve"> </w:t>
      </w:r>
      <w:r w:rsidRPr="00E55C49">
        <w:tab/>
        <w:t>Tratamiento y gestión de residuos</w:t>
      </w:r>
      <w:bookmarkEnd w:id="1693"/>
      <w:bookmarkEnd w:id="1694"/>
      <w:bookmarkEnd w:id="1695"/>
    </w:p>
    <w:p w14:paraId="65064CF1" w14:textId="77777777" w:rsidR="008E5353" w:rsidRPr="00E55C49" w:rsidRDefault="008E5353" w:rsidP="00712627">
      <w:pPr>
        <w:pStyle w:val="NORMAL12"/>
        <w:rPr>
          <w:lang w:val="es-ES"/>
        </w:rPr>
      </w:pPr>
      <w:r w:rsidRPr="00E55C49">
        <w:rPr>
          <w:lang w:val="es-ES"/>
        </w:rPr>
        <w:t>Los vertidos de aceites, combustibles, cementos y otros sólidos procedentes de las zonas de instalaciones no serán en ningún caso vertidos a los cursos de agua. La gestión de esos productos residuales deberá estar de acuerdo con la normativa aplicable en cada caso (residuos sólidos urbanos, residuos tóxicos y peligrosos, residuos inertes, etc.). En este sentido el Contratista incorporará a su cargo las medidas para la adecuada gestión y tratamiento en cada caso.</w:t>
      </w:r>
    </w:p>
    <w:p w14:paraId="3DC2A5AC" w14:textId="77777777" w:rsidR="008E5353" w:rsidRPr="00E55C49" w:rsidRDefault="008E5353" w:rsidP="00712627">
      <w:pPr>
        <w:pStyle w:val="NORMAL12"/>
        <w:rPr>
          <w:lang w:val="es-ES"/>
        </w:rPr>
      </w:pPr>
      <w:r w:rsidRPr="00E55C49">
        <w:rPr>
          <w:lang w:val="es-ES"/>
        </w:rPr>
        <w:t>Los parques de maquinaria incorporarán plataformas completamente impermeabilizadas -y con sistemas de recogida de residuos y específicamente de aceites usados- para las operaciones de repostaje, cambio de lubricantes y lavado.</w:t>
      </w:r>
    </w:p>
    <w:p w14:paraId="6F5A9571" w14:textId="77777777" w:rsidR="008E5353" w:rsidRPr="00E55C49" w:rsidRDefault="008E5353" w:rsidP="00712627">
      <w:pPr>
        <w:pStyle w:val="NORMAL12"/>
        <w:rPr>
          <w:lang w:val="es-ES"/>
        </w:rPr>
      </w:pPr>
      <w:r w:rsidRPr="00E55C49">
        <w:rPr>
          <w:lang w:val="es-ES"/>
        </w:rPr>
        <w:t xml:space="preserve">De manera específica se deberán definir los lugares y sistemas de tratamiento de las aguas procedentes del lavado de hormigoneras. </w:t>
      </w:r>
    </w:p>
    <w:p w14:paraId="012407B7" w14:textId="77777777" w:rsidR="008E5353" w:rsidRPr="00E55C49" w:rsidRDefault="008E5353" w:rsidP="00712627">
      <w:pPr>
        <w:pStyle w:val="NORMAL12"/>
        <w:rPr>
          <w:lang w:val="es-ES"/>
        </w:rPr>
      </w:pPr>
      <w:r w:rsidRPr="00E55C49">
        <w:rPr>
          <w:lang w:val="es-ES"/>
        </w:rPr>
        <w:t xml:space="preserve">Para evitar la contaminación de las aguas y del suelo por vertidos accidentales las superficies sobre las que se ubiquen las instalaciones auxiliares deberán tener un sistema de drenaje superficial, de modo que los líquidos circulen por gravedad y se pueda recoger en las balsas de decantación cualquier derrame accidental antes de su infiltración en el </w:t>
      </w:r>
      <w:r w:rsidRPr="00E55C49">
        <w:rPr>
          <w:lang w:val="es-ES"/>
        </w:rPr>
        <w:lastRenderedPageBreak/>
        <w:t>suelo.</w:t>
      </w:r>
      <w:r w:rsidR="00C50108" w:rsidRPr="00E55C49">
        <w:rPr>
          <w:lang w:val="es-ES"/>
        </w:rPr>
        <w:t xml:space="preserve"> En cuanto a la gestión de residuos se seguirán las Directrices establecidas en el Plan Estratégico de Residuos del Principado de Asturias (PERPA)</w:t>
      </w:r>
      <w:r w:rsidRPr="00E55C49">
        <w:rPr>
          <w:lang w:val="es-ES"/>
        </w:rPr>
        <w:t>.</w:t>
      </w:r>
    </w:p>
    <w:p w14:paraId="5E48AE1A" w14:textId="77777777" w:rsidR="008E5353" w:rsidRPr="00E55C49" w:rsidRDefault="008E5353" w:rsidP="000313DD">
      <w:pPr>
        <w:pStyle w:val="TITU2"/>
      </w:pPr>
      <w:bookmarkStart w:id="1696" w:name="_Toc206382308"/>
      <w:bookmarkStart w:id="1697" w:name="_Toc277523494"/>
      <w:bookmarkStart w:id="1698" w:name="_Toc404844"/>
      <w:r w:rsidRPr="00E55C49">
        <w:t>990.7.</w:t>
      </w:r>
      <w:r w:rsidR="00AF6096" w:rsidRPr="00E55C49">
        <w:t xml:space="preserve"> </w:t>
      </w:r>
      <w:r w:rsidRPr="00E55C49">
        <w:t>Directrices para la maquinaria a utilizar y de prevención de la contaminación atmosférica</w:t>
      </w:r>
      <w:bookmarkEnd w:id="1696"/>
      <w:bookmarkEnd w:id="1697"/>
      <w:bookmarkEnd w:id="1698"/>
    </w:p>
    <w:p w14:paraId="254C053F" w14:textId="77777777" w:rsidR="008E5353" w:rsidRPr="00E55C49" w:rsidRDefault="008E5353" w:rsidP="00E01981">
      <w:pPr>
        <w:pStyle w:val="NORMAL12"/>
        <w:numPr>
          <w:ilvl w:val="0"/>
          <w:numId w:val="57"/>
        </w:numPr>
        <w:rPr>
          <w:lang w:val="es-ES"/>
        </w:rPr>
      </w:pPr>
      <w:r w:rsidRPr="00E55C49">
        <w:rPr>
          <w:lang w:val="es-ES"/>
        </w:rPr>
        <w:t>El primer control de la adecuación de la maquinaria de obra comenzará con la correcta selección de maquinaria con características ambientales favorables (empleo de catalizadores) y con la adecuación de la potencia de la máquina al trabajo a realizar.</w:t>
      </w:r>
    </w:p>
    <w:p w14:paraId="7072131B" w14:textId="77777777" w:rsidR="008E5353" w:rsidRPr="00E55C49" w:rsidRDefault="008E5353" w:rsidP="00E01981">
      <w:pPr>
        <w:pStyle w:val="NORMAL12"/>
        <w:numPr>
          <w:ilvl w:val="0"/>
          <w:numId w:val="57"/>
        </w:numPr>
        <w:rPr>
          <w:lang w:val="es-ES"/>
        </w:rPr>
      </w:pPr>
      <w:r w:rsidRPr="00E55C49">
        <w:rPr>
          <w:lang w:val="es-ES"/>
        </w:rPr>
        <w:t>La maquinaria pesada circulará por las vías de servicio paralelas a la autovía siempre que sea posible, en caso contrario se utilizarán las bandas de dominio de la autovía.</w:t>
      </w:r>
    </w:p>
    <w:p w14:paraId="6353EF1D" w14:textId="77777777" w:rsidR="008E5353" w:rsidRPr="00E55C49" w:rsidRDefault="008E5353" w:rsidP="00E01981">
      <w:pPr>
        <w:pStyle w:val="NORMAL12"/>
        <w:numPr>
          <w:ilvl w:val="0"/>
          <w:numId w:val="57"/>
        </w:numPr>
        <w:rPr>
          <w:lang w:val="es-ES"/>
        </w:rPr>
      </w:pPr>
      <w:r w:rsidRPr="00E55C49">
        <w:rPr>
          <w:lang w:val="es-ES"/>
        </w:rPr>
        <w:t xml:space="preserve">Se han establecido jalonamientos diferenciales de tal forma que se restrinja el acceso de la maquinaria a las zonas sensibles. </w:t>
      </w:r>
    </w:p>
    <w:p w14:paraId="26091290" w14:textId="77777777" w:rsidR="008E5353" w:rsidRPr="00AC5FFD" w:rsidRDefault="00AC5FFD" w:rsidP="00E01981">
      <w:pPr>
        <w:pStyle w:val="NORMAL12"/>
        <w:numPr>
          <w:ilvl w:val="0"/>
          <w:numId w:val="57"/>
        </w:numPr>
        <w:rPr>
          <w:lang w:val="es-ES"/>
        </w:rPr>
      </w:pPr>
      <w:r w:rsidRPr="00AC5FFD">
        <w:rPr>
          <w:lang w:val="es-ES"/>
        </w:rPr>
        <w:t xml:space="preserve">Se establecerán pasos para la maquinaria, quedan </w:t>
      </w:r>
      <w:r w:rsidR="008E5353" w:rsidRPr="00AC5FFD">
        <w:rPr>
          <w:lang w:val="es-ES"/>
        </w:rPr>
        <w:t>totalmente prohibido el cruce de l</w:t>
      </w:r>
      <w:r w:rsidRPr="00AC5FFD">
        <w:rPr>
          <w:lang w:val="es-ES"/>
        </w:rPr>
        <w:t xml:space="preserve">os cauces </w:t>
      </w:r>
      <w:r w:rsidR="008E5353" w:rsidRPr="00AC5FFD">
        <w:rPr>
          <w:lang w:val="es-ES"/>
        </w:rPr>
        <w:t xml:space="preserve">por zonas no delimitadas para tal fin. </w:t>
      </w:r>
    </w:p>
    <w:p w14:paraId="4519EEC9" w14:textId="77777777" w:rsidR="008E5353" w:rsidRPr="00E55C49" w:rsidRDefault="008E5353" w:rsidP="00E01981">
      <w:pPr>
        <w:pStyle w:val="NORMAL12"/>
        <w:numPr>
          <w:ilvl w:val="0"/>
          <w:numId w:val="57"/>
        </w:numPr>
        <w:rPr>
          <w:lang w:val="es-ES"/>
        </w:rPr>
      </w:pPr>
      <w:r w:rsidRPr="00E55C49">
        <w:rPr>
          <w:lang w:val="es-ES"/>
        </w:rPr>
        <w:t xml:space="preserve">Las directrices para la correcta circulación de la maquinaria pesada se incluirán en </w:t>
      </w:r>
      <w:r w:rsidR="006F6223" w:rsidRPr="00E55C49">
        <w:rPr>
          <w:lang w:val="es-ES"/>
        </w:rPr>
        <w:t>el manual</w:t>
      </w:r>
      <w:r w:rsidRPr="00E55C49">
        <w:rPr>
          <w:lang w:val="es-ES"/>
        </w:rPr>
        <w:t xml:space="preserve"> de buenas prácticas ambientales.</w:t>
      </w:r>
    </w:p>
    <w:p w14:paraId="0EEA7202" w14:textId="77777777" w:rsidR="008E5353" w:rsidRPr="00E55C49" w:rsidRDefault="008E5353" w:rsidP="00E01981">
      <w:pPr>
        <w:pStyle w:val="NORMAL12"/>
        <w:numPr>
          <w:ilvl w:val="0"/>
          <w:numId w:val="57"/>
        </w:numPr>
        <w:rPr>
          <w:lang w:val="es-ES"/>
        </w:rPr>
      </w:pPr>
      <w:r w:rsidRPr="00E55C49">
        <w:rPr>
          <w:lang w:val="es-ES"/>
        </w:rPr>
        <w:t>La maquinaria de obra estará homologada según el R.D. 245/89 de 27 de febrero, que regula los niveles de emisión de ruidos de la maquinaria de obra. Se aplicarán las medidas pertinentes de mantenimiento de la maquinaria, haciendo especial incidencia en el empleo de silenciadores homologados por las empresas constructoras de los mismos y el paso por la Inspección Técnica de Vehículos en los plazos reglamentarios.</w:t>
      </w:r>
    </w:p>
    <w:p w14:paraId="53247A29" w14:textId="77777777" w:rsidR="008E5353" w:rsidRPr="00E55C49" w:rsidRDefault="008E5353" w:rsidP="00E01981">
      <w:pPr>
        <w:pStyle w:val="NORMAL12"/>
        <w:numPr>
          <w:ilvl w:val="0"/>
          <w:numId w:val="57"/>
        </w:numPr>
        <w:rPr>
          <w:lang w:val="es-ES"/>
        </w:rPr>
      </w:pPr>
      <w:r w:rsidRPr="00E55C49">
        <w:rPr>
          <w:lang w:val="es-ES"/>
        </w:rPr>
        <w:t>Se realizarán las revisiones y labores de mantenimiento en la maquinaria de obra para asegurar una emisión de ruido dentro de los niveles aceptables.</w:t>
      </w:r>
    </w:p>
    <w:p w14:paraId="396F6304" w14:textId="77777777" w:rsidR="008E5353" w:rsidRPr="00E55C49" w:rsidRDefault="008E5353" w:rsidP="00E01981">
      <w:pPr>
        <w:pStyle w:val="NORMAL12"/>
        <w:numPr>
          <w:ilvl w:val="0"/>
          <w:numId w:val="57"/>
        </w:numPr>
        <w:rPr>
          <w:lang w:val="es-ES"/>
        </w:rPr>
      </w:pPr>
      <w:r w:rsidRPr="00E55C49">
        <w:rPr>
          <w:lang w:val="es-ES"/>
        </w:rPr>
        <w:t>Se utilizará preferentemente maquinaria con especificaciones de bajos niveles de ruido en funcionamiento en los regímenes normales de obra (a partir de los datos aportados por los fabricantes) e insonorizada, en lo posible, según normativa específica.</w:t>
      </w:r>
    </w:p>
    <w:p w14:paraId="01366E6B" w14:textId="77777777" w:rsidR="008E5353" w:rsidRPr="00E55C49" w:rsidRDefault="008E5353" w:rsidP="00E01981">
      <w:pPr>
        <w:pStyle w:val="NORMAL12"/>
        <w:numPr>
          <w:ilvl w:val="0"/>
          <w:numId w:val="57"/>
        </w:numPr>
        <w:rPr>
          <w:lang w:val="es-ES"/>
        </w:rPr>
      </w:pPr>
      <w:r w:rsidRPr="00E55C49">
        <w:rPr>
          <w:lang w:val="es-ES"/>
        </w:rPr>
        <w:t>Se realizarán las operaciones de perforación con equipos de bajo nivel de emisión sonora y fuera de las horas de descanso de la población (en horario diurno). Los compresores y martillos neumáticos utilizados dispondrán de un dispositivo silenciador, tanto en horario nocturno como diurno. Los compresores deberán funcionar con el capó cerrado al localizarse la obra en las proximidades de viviendas.</w:t>
      </w:r>
    </w:p>
    <w:p w14:paraId="2036A9CF" w14:textId="77777777" w:rsidR="008E5353" w:rsidRPr="00E55C49" w:rsidRDefault="008E5353" w:rsidP="00E01981">
      <w:pPr>
        <w:pStyle w:val="NORMAL12"/>
        <w:numPr>
          <w:ilvl w:val="0"/>
          <w:numId w:val="57"/>
        </w:numPr>
        <w:rPr>
          <w:lang w:val="es-ES"/>
        </w:rPr>
      </w:pPr>
      <w:r w:rsidRPr="00E55C49">
        <w:rPr>
          <w:lang w:val="es-ES"/>
        </w:rPr>
        <w:t>Se instalarán dispositivos de protección sonora en los elementos más ruidosos de las plantas auxiliares de obra. Los citados dispositivos procurarán protección a la trasmisión del ruido situándose alrededor de las tolvas de descarga, las unidades dosificadoras y amasadoras, etc.</w:t>
      </w:r>
    </w:p>
    <w:p w14:paraId="6C1D20BF" w14:textId="77777777" w:rsidR="008E5353" w:rsidRPr="00E55C49" w:rsidRDefault="008E5353" w:rsidP="00E01981">
      <w:pPr>
        <w:pStyle w:val="NORMAL12"/>
        <w:numPr>
          <w:ilvl w:val="0"/>
          <w:numId w:val="57"/>
        </w:numPr>
        <w:rPr>
          <w:lang w:val="es-ES"/>
        </w:rPr>
      </w:pPr>
      <w:r w:rsidRPr="00E55C49">
        <w:rPr>
          <w:lang w:val="es-ES"/>
        </w:rPr>
        <w:t xml:space="preserve">De manera complementaria, los acopios de materiales en </w:t>
      </w:r>
      <w:proofErr w:type="gramStart"/>
      <w:r w:rsidRPr="00E55C49">
        <w:rPr>
          <w:lang w:val="es-ES"/>
        </w:rPr>
        <w:t>caballones,</w:t>
      </w:r>
      <w:proofErr w:type="gramEnd"/>
      <w:r w:rsidRPr="00E55C49">
        <w:rPr>
          <w:lang w:val="es-ES"/>
        </w:rPr>
        <w:t xml:space="preserve"> se ubicarán, cuando las condiciones de la obra y ambientales lo permitan, en disposición perimetral a aquellas actuaciones con mayor generación de ruido, de tal manera que mejoren la protección acústica del entorno.</w:t>
      </w:r>
    </w:p>
    <w:p w14:paraId="347E2DB8" w14:textId="77777777" w:rsidR="008E5353" w:rsidRPr="00E55C49" w:rsidRDefault="008E5353" w:rsidP="00E01981">
      <w:pPr>
        <w:pStyle w:val="NORMAL12"/>
        <w:numPr>
          <w:ilvl w:val="0"/>
          <w:numId w:val="57"/>
        </w:numPr>
        <w:rPr>
          <w:lang w:val="es-ES"/>
        </w:rPr>
      </w:pPr>
      <w:r w:rsidRPr="00E55C49">
        <w:rPr>
          <w:lang w:val="es-ES"/>
        </w:rPr>
        <w:t xml:space="preserve">Si bien en atmósferas abiertas, como es el caso, la contaminación producida por gases es de escasa importancia, se deberá efectuar la revisión periódica de la maquinaria y vehículos de obra (ITV), su reglaje y su puesta a punto (correcto ajuste de los motores), a fin de evitar funcionamientos defectuosos que causen emisiones excesivas de gases a la atmósfera. </w:t>
      </w:r>
    </w:p>
    <w:p w14:paraId="67ACC47B" w14:textId="77777777" w:rsidR="008E5353" w:rsidRPr="00E55C49" w:rsidRDefault="008E5353" w:rsidP="00E01981">
      <w:pPr>
        <w:pStyle w:val="NORMAL12"/>
        <w:numPr>
          <w:ilvl w:val="0"/>
          <w:numId w:val="57"/>
        </w:numPr>
        <w:rPr>
          <w:lang w:val="es-ES"/>
        </w:rPr>
      </w:pPr>
      <w:r w:rsidRPr="00E55C49">
        <w:rPr>
          <w:lang w:val="es-ES"/>
        </w:rPr>
        <w:t>El cumplimiento de estas directrices será objeto de seguimiento por parte del Plan de Vigilancia Ambiental.</w:t>
      </w:r>
    </w:p>
    <w:p w14:paraId="69FA9E50" w14:textId="77777777" w:rsidR="008E5353" w:rsidRPr="00E55C49" w:rsidRDefault="008E5353" w:rsidP="00712627">
      <w:pPr>
        <w:pStyle w:val="NORMAL12"/>
        <w:rPr>
          <w:lang w:val="es-ES"/>
        </w:rPr>
      </w:pPr>
      <w:r w:rsidRPr="00E55C49">
        <w:rPr>
          <w:b/>
          <w:lang w:val="es-ES"/>
        </w:rPr>
        <w:t xml:space="preserve">Restricción de actividades de obra por motivo de </w:t>
      </w:r>
      <w:proofErr w:type="gramStart"/>
      <w:r w:rsidRPr="00E55C49">
        <w:rPr>
          <w:b/>
          <w:lang w:val="es-ES"/>
        </w:rPr>
        <w:t>ruido.-</w:t>
      </w:r>
      <w:proofErr w:type="gramEnd"/>
      <w:r w:rsidRPr="00E55C49">
        <w:rPr>
          <w:lang w:val="es-ES"/>
        </w:rPr>
        <w:t xml:space="preserve"> En la fase de obra, la emisión de ruido vendrá producida principalmente por la circulación de maquinaria pesada, así como de las voladuras necesarias para las excavaciones.</w:t>
      </w:r>
    </w:p>
    <w:p w14:paraId="4E985806" w14:textId="77777777" w:rsidR="008E5353" w:rsidRPr="00E55C49" w:rsidRDefault="008E5353" w:rsidP="00712627">
      <w:pPr>
        <w:pStyle w:val="NORMAL12"/>
        <w:rPr>
          <w:lang w:val="es-ES"/>
        </w:rPr>
      </w:pPr>
      <w:r w:rsidRPr="00E55C49">
        <w:rPr>
          <w:lang w:val="es-ES"/>
        </w:rPr>
        <w:t>En todo caso, se controlará cuidadosamente las actividades que sea necesario realizar en horario nocturno, a fin de que éstas se reduzcan a las imprescindibles. Se trazarán además las rutas de suministro de materiales de modo que eviten, en la medida de lo posible, su paso por núcleos habitados.</w:t>
      </w:r>
    </w:p>
    <w:p w14:paraId="4575CCC6" w14:textId="77777777" w:rsidR="008E5353" w:rsidRPr="00E55C49" w:rsidRDefault="008E5353" w:rsidP="00712627">
      <w:pPr>
        <w:pStyle w:val="NORMAL12"/>
        <w:rPr>
          <w:lang w:val="es-ES"/>
        </w:rPr>
      </w:pPr>
      <w:r w:rsidRPr="00E55C49">
        <w:rPr>
          <w:lang w:val="es-ES"/>
        </w:rPr>
        <w:t>Finalmente, se limitará la velocidad máxima de los vehículos y de la maquinaria utilizados, sobre todo en las inmediaciones de las zonas urbanas cercanas a la zona de obras.</w:t>
      </w:r>
    </w:p>
    <w:p w14:paraId="533DA5AA" w14:textId="77777777" w:rsidR="008E5353" w:rsidRPr="00E55C49" w:rsidRDefault="00AB76B4" w:rsidP="00712627">
      <w:pPr>
        <w:pStyle w:val="NORMAL12"/>
        <w:rPr>
          <w:lang w:val="es-ES"/>
        </w:rPr>
      </w:pPr>
      <w:r>
        <w:rPr>
          <w:b/>
          <w:lang w:val="es-ES"/>
        </w:rPr>
        <w:br w:type="column"/>
      </w:r>
      <w:r w:rsidR="008E5353" w:rsidRPr="00E55C49">
        <w:rPr>
          <w:b/>
          <w:lang w:val="es-ES"/>
        </w:rPr>
        <w:lastRenderedPageBreak/>
        <w:t xml:space="preserve">Definición de riegos periódicos en zonas </w:t>
      </w:r>
      <w:proofErr w:type="gramStart"/>
      <w:r w:rsidR="008E5353" w:rsidRPr="00E55C49">
        <w:rPr>
          <w:b/>
          <w:lang w:val="es-ES"/>
        </w:rPr>
        <w:t>sensibles.-</w:t>
      </w:r>
      <w:proofErr w:type="gramEnd"/>
      <w:r w:rsidR="008E5353" w:rsidRPr="00E55C49">
        <w:rPr>
          <w:lang w:val="es-ES"/>
        </w:rPr>
        <w:t xml:space="preserve"> Los puntos de mayor riesgo de sufrir efectos derivados de la emisión de partículas de la obra son las zonas habitadas próximas a la traza, por lo que se procederá al riego periódico, mediante camiones cuba, de todos los caminos de acceso a obra, a instalaciones auxiliares y a zonas de préstamos situadas junto a zonas habitadas. La periodicidad de los riegos se adaptará a las características del suelo y de la climatología, para mantener permanentemente húmedos los caminos utilizados.</w:t>
      </w:r>
    </w:p>
    <w:p w14:paraId="7F094D83" w14:textId="77777777" w:rsidR="008E5353" w:rsidRPr="00E55C49" w:rsidRDefault="008E5353" w:rsidP="000313DD">
      <w:pPr>
        <w:pStyle w:val="TITU2"/>
      </w:pPr>
      <w:bookmarkStart w:id="1699" w:name="_Toc206382309"/>
      <w:bookmarkStart w:id="1700" w:name="_Toc277523495"/>
      <w:bookmarkStart w:id="1701" w:name="_Toc404845"/>
      <w:r w:rsidRPr="00E55C49">
        <w:t>990.8.</w:t>
      </w:r>
      <w:r w:rsidR="00115879">
        <w:t>-</w:t>
      </w:r>
      <w:r w:rsidRPr="00E55C49">
        <w:tab/>
      </w:r>
      <w:r w:rsidR="00C50108" w:rsidRPr="00E55C49">
        <w:t xml:space="preserve"> </w:t>
      </w:r>
      <w:r w:rsidRPr="00E55C49">
        <w:t>Medición y abono</w:t>
      </w:r>
      <w:bookmarkEnd w:id="1699"/>
      <w:bookmarkEnd w:id="1700"/>
      <w:bookmarkEnd w:id="1701"/>
      <w:r w:rsidR="00C50108" w:rsidRPr="00E55C49">
        <w:t xml:space="preserve">       </w:t>
      </w:r>
    </w:p>
    <w:p w14:paraId="22EF83DE" w14:textId="77777777" w:rsidR="008E5353" w:rsidRPr="00E55C49" w:rsidRDefault="008E5353" w:rsidP="00712627">
      <w:pPr>
        <w:pStyle w:val="NORMAL12"/>
        <w:rPr>
          <w:lang w:val="es-ES"/>
        </w:rPr>
      </w:pPr>
      <w:r w:rsidRPr="00E55C49">
        <w:rPr>
          <w:lang w:val="es-ES"/>
        </w:rPr>
        <w:t>Se medirán mediante una única partida alzada (PA) de abono íntegro de acuerdo con lo indicado en los epígrafes anteriores.</w:t>
      </w:r>
    </w:p>
    <w:p w14:paraId="59A29711" w14:textId="77777777" w:rsidR="008E5353" w:rsidRDefault="008E5353" w:rsidP="00712627">
      <w:pPr>
        <w:pStyle w:val="NORMAL12"/>
        <w:rPr>
          <w:lang w:val="es-ES"/>
        </w:rPr>
      </w:pPr>
      <w:r w:rsidRPr="00E55C49">
        <w:rPr>
          <w:lang w:val="es-ES"/>
        </w:rPr>
        <w:t>Se abonará según los siguientes precios:</w:t>
      </w:r>
    </w:p>
    <w:p w14:paraId="4D8A4296" w14:textId="77777777" w:rsidR="003263C3" w:rsidRDefault="003263C3" w:rsidP="00712627">
      <w:pPr>
        <w:pStyle w:val="NORMAL12"/>
        <w:rPr>
          <w:lang w:val="es-ES"/>
        </w:rPr>
      </w:pPr>
    </w:p>
    <w:tbl>
      <w:tblPr>
        <w:tblW w:w="5000" w:type="pct"/>
        <w:tblCellMar>
          <w:left w:w="70" w:type="dxa"/>
          <w:right w:w="70" w:type="dxa"/>
        </w:tblCellMar>
        <w:tblLook w:val="04A0" w:firstRow="1" w:lastRow="0" w:firstColumn="1" w:lastColumn="0" w:noHBand="0" w:noVBand="1"/>
      </w:tblPr>
      <w:tblGrid>
        <w:gridCol w:w="2923"/>
        <w:gridCol w:w="946"/>
        <w:gridCol w:w="6051"/>
      </w:tblGrid>
      <w:tr w:rsidR="00E519B5" w:rsidRPr="00DF2D84" w14:paraId="1C0DA9CA" w14:textId="77777777" w:rsidTr="003263C3">
        <w:trPr>
          <w:trHeight w:val="300"/>
        </w:trPr>
        <w:tc>
          <w:tcPr>
            <w:tcW w:w="1473" w:type="pct"/>
            <w:tcBorders>
              <w:top w:val="nil"/>
              <w:left w:val="nil"/>
              <w:bottom w:val="nil"/>
              <w:right w:val="nil"/>
            </w:tcBorders>
            <w:noWrap/>
            <w:hideMark/>
          </w:tcPr>
          <w:p w14:paraId="4C296569" w14:textId="77777777" w:rsidR="00E519B5" w:rsidRPr="00F74B11" w:rsidRDefault="00E519B5">
            <w:pPr>
              <w:rPr>
                <w:rFonts w:ascii="Calibri" w:hAnsi="Calibri" w:cs="Calibri"/>
                <w:color w:val="000000"/>
              </w:rPr>
            </w:pPr>
            <w:r w:rsidRPr="00F74B11">
              <w:rPr>
                <w:rFonts w:ascii="Calibri" w:hAnsi="Calibri" w:cs="Calibri"/>
                <w:color w:val="000000"/>
              </w:rPr>
              <w:t xml:space="preserve">800.0001          </w:t>
            </w:r>
          </w:p>
        </w:tc>
        <w:tc>
          <w:tcPr>
            <w:tcW w:w="477" w:type="pct"/>
            <w:tcBorders>
              <w:top w:val="nil"/>
              <w:left w:val="nil"/>
              <w:bottom w:val="nil"/>
              <w:right w:val="nil"/>
            </w:tcBorders>
            <w:noWrap/>
            <w:hideMark/>
          </w:tcPr>
          <w:p w14:paraId="6B243CB7" w14:textId="77777777" w:rsidR="00E519B5" w:rsidRPr="00F74B11" w:rsidRDefault="00E519B5">
            <w:pPr>
              <w:rPr>
                <w:rFonts w:ascii="Calibri" w:hAnsi="Calibri" w:cs="Calibri"/>
                <w:color w:val="000000"/>
              </w:rPr>
            </w:pPr>
            <w:proofErr w:type="gramStart"/>
            <w:r w:rsidRPr="00F74B11">
              <w:rPr>
                <w:rFonts w:ascii="Calibri" w:hAnsi="Calibri" w:cs="Calibri"/>
                <w:color w:val="000000"/>
              </w:rPr>
              <w:t>P.A</w:t>
            </w:r>
            <w:proofErr w:type="gramEnd"/>
          </w:p>
        </w:tc>
        <w:tc>
          <w:tcPr>
            <w:tcW w:w="3050" w:type="pct"/>
            <w:tcBorders>
              <w:top w:val="nil"/>
              <w:left w:val="nil"/>
              <w:bottom w:val="nil"/>
              <w:right w:val="nil"/>
            </w:tcBorders>
            <w:hideMark/>
          </w:tcPr>
          <w:p w14:paraId="683A34EF" w14:textId="77777777" w:rsidR="00E519B5" w:rsidRPr="00F74B11" w:rsidRDefault="00E9144F">
            <w:pPr>
              <w:rPr>
                <w:rFonts w:ascii="Calibri" w:hAnsi="Calibri" w:cs="Calibri"/>
                <w:color w:val="000000"/>
              </w:rPr>
            </w:pPr>
            <w:r w:rsidRPr="00F74B11">
              <w:rPr>
                <w:rFonts w:ascii="Calibri" w:hAnsi="Calibri" w:cs="Calibri"/>
                <w:color w:val="000000"/>
              </w:rPr>
              <w:t>PARTIDA ALZADA DE ABONO INTEGRO PARA LIMPIEZA DE OBRA.</w:t>
            </w:r>
          </w:p>
        </w:tc>
      </w:tr>
    </w:tbl>
    <w:p w14:paraId="5337729D" w14:textId="77777777" w:rsidR="003263C3" w:rsidRPr="00E55C49" w:rsidRDefault="003263C3" w:rsidP="00712627">
      <w:pPr>
        <w:pStyle w:val="NORMAL12"/>
        <w:rPr>
          <w:lang w:val="es-ES"/>
        </w:rPr>
      </w:pPr>
    </w:p>
    <w:p w14:paraId="1134CEC6" w14:textId="77777777" w:rsidR="008E5353" w:rsidRPr="00E55C49" w:rsidRDefault="008E5353" w:rsidP="00712627">
      <w:pPr>
        <w:pStyle w:val="NORMAL12"/>
        <w:rPr>
          <w:lang w:val="es-ES"/>
        </w:rPr>
      </w:pPr>
      <w:r w:rsidRPr="00E55C49">
        <w:rPr>
          <w:lang w:val="es-ES"/>
        </w:rPr>
        <w:t xml:space="preserve">Estos precios incluyen todos los trabajos, materiales y actividades necesarias para realizar correctamente la </w:t>
      </w:r>
      <w:r w:rsidR="00AC4B86">
        <w:rPr>
          <w:lang w:val="es-ES"/>
        </w:rPr>
        <w:t>limpieza de la zona de obras.</w:t>
      </w:r>
    </w:p>
    <w:p w14:paraId="31ED3E53" w14:textId="77777777" w:rsidR="0006561B" w:rsidRDefault="0006561B" w:rsidP="0008725F">
      <w:pPr>
        <w:pStyle w:val="NORMAL12"/>
        <w:rPr>
          <w:color w:val="365F91" w:themeColor="accent1" w:themeShade="BF"/>
        </w:rPr>
      </w:pPr>
    </w:p>
    <w:p w14:paraId="757CB90F" w14:textId="77777777" w:rsidR="00A94F24" w:rsidRDefault="00A94F24" w:rsidP="0008725F">
      <w:pPr>
        <w:pStyle w:val="NORMAL12"/>
        <w:rPr>
          <w:color w:val="365F91" w:themeColor="accent1" w:themeShade="BF"/>
        </w:rPr>
      </w:pPr>
    </w:p>
    <w:tbl>
      <w:tblPr>
        <w:tblW w:w="0" w:type="auto"/>
        <w:jc w:val="center"/>
        <w:tblLook w:val="04A0" w:firstRow="1" w:lastRow="0" w:firstColumn="1" w:lastColumn="0" w:noHBand="0" w:noVBand="1"/>
      </w:tblPr>
      <w:tblGrid>
        <w:gridCol w:w="4504"/>
        <w:gridCol w:w="4496"/>
      </w:tblGrid>
      <w:tr w:rsidR="00F65EDE" w:rsidRPr="00B5347F" w14:paraId="093DDD85" w14:textId="77777777" w:rsidTr="00EA559F">
        <w:trPr>
          <w:trHeight w:val="643"/>
          <w:jc w:val="center"/>
        </w:trPr>
        <w:tc>
          <w:tcPr>
            <w:tcW w:w="9000" w:type="dxa"/>
            <w:gridSpan w:val="2"/>
          </w:tcPr>
          <w:p w14:paraId="4CD47C85" w14:textId="77777777" w:rsidR="00F65EDE" w:rsidRPr="00B5347F" w:rsidRDefault="00F65EDE" w:rsidP="00EA559F">
            <w:pPr>
              <w:keepNext/>
              <w:tabs>
                <w:tab w:val="center" w:pos="6663"/>
              </w:tabs>
              <w:spacing w:before="120" w:after="120" w:line="360" w:lineRule="auto"/>
              <w:jc w:val="center"/>
              <w:rPr>
                <w:rFonts w:ascii="Arial" w:hAnsi="Arial" w:cs="Arial"/>
              </w:rPr>
            </w:pPr>
            <w:r w:rsidRPr="00B5347F">
              <w:rPr>
                <w:rFonts w:ascii="Arial" w:hAnsi="Arial" w:cs="Arial"/>
              </w:rPr>
              <w:t>Madrid, noviembre de 2018</w:t>
            </w:r>
          </w:p>
          <w:p w14:paraId="0EB9CEC4" w14:textId="77777777" w:rsidR="00F65EDE" w:rsidRPr="00B5347F" w:rsidRDefault="00F65EDE" w:rsidP="00EA559F">
            <w:pPr>
              <w:keepNext/>
              <w:tabs>
                <w:tab w:val="center" w:pos="6663"/>
              </w:tabs>
              <w:spacing w:before="120" w:after="120" w:line="360" w:lineRule="auto"/>
              <w:jc w:val="center"/>
              <w:rPr>
                <w:rFonts w:ascii="Arial" w:hAnsi="Arial" w:cs="Arial"/>
              </w:rPr>
            </w:pPr>
          </w:p>
        </w:tc>
      </w:tr>
      <w:tr w:rsidR="00F65EDE" w:rsidRPr="00B5347F" w14:paraId="473E4A4C" w14:textId="77777777" w:rsidTr="00EA559F">
        <w:trPr>
          <w:jc w:val="center"/>
        </w:trPr>
        <w:tc>
          <w:tcPr>
            <w:tcW w:w="4504" w:type="dxa"/>
          </w:tcPr>
          <w:p w14:paraId="2567E027" w14:textId="77777777" w:rsidR="00F65EDE" w:rsidRPr="00B5347F" w:rsidRDefault="00F65EDE" w:rsidP="00EA559F">
            <w:pPr>
              <w:keepNext/>
              <w:jc w:val="center"/>
              <w:rPr>
                <w:rFonts w:ascii="Arial" w:hAnsi="Arial" w:cs="Arial"/>
              </w:rPr>
            </w:pPr>
            <w:r w:rsidRPr="00B5347F">
              <w:rPr>
                <w:rFonts w:ascii="Arial" w:hAnsi="Arial" w:cs="Arial"/>
              </w:rPr>
              <w:t xml:space="preserve">Ingeniero </w:t>
            </w:r>
            <w:proofErr w:type="gramStart"/>
            <w:r w:rsidRPr="00B5347F">
              <w:rPr>
                <w:rFonts w:ascii="Arial" w:hAnsi="Arial" w:cs="Arial"/>
              </w:rPr>
              <w:t>Director</w:t>
            </w:r>
            <w:proofErr w:type="gramEnd"/>
            <w:r w:rsidRPr="00B5347F">
              <w:rPr>
                <w:rFonts w:ascii="Arial" w:hAnsi="Arial" w:cs="Arial"/>
              </w:rPr>
              <w:t xml:space="preserve"> del Proyecto</w:t>
            </w:r>
          </w:p>
          <w:p w14:paraId="1D0F11C9" w14:textId="77777777" w:rsidR="00F65EDE" w:rsidRPr="00B5347F" w:rsidRDefault="00F65EDE" w:rsidP="00EA559F">
            <w:pPr>
              <w:keepNext/>
              <w:tabs>
                <w:tab w:val="center" w:pos="6663"/>
              </w:tabs>
              <w:jc w:val="center"/>
              <w:rPr>
                <w:rFonts w:ascii="Arial" w:hAnsi="Arial" w:cs="Arial"/>
              </w:rPr>
            </w:pPr>
            <w:r w:rsidRPr="00B5347F">
              <w:rPr>
                <w:iCs/>
                <w:noProof/>
              </w:rPr>
              <w:drawing>
                <wp:inline distT="0" distB="0" distL="0" distR="0" wp14:anchorId="15A164CE" wp14:editId="6BA4EA81">
                  <wp:extent cx="1868400" cy="1072800"/>
                  <wp:effectExtent l="0" t="0" r="0" b="0"/>
                  <wp:docPr id="1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12572" b="5378"/>
                          <a:stretch/>
                        </pic:blipFill>
                        <pic:spPr bwMode="auto">
                          <a:xfrm>
                            <a:off x="0" y="0"/>
                            <a:ext cx="1868400" cy="10728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496" w:type="dxa"/>
            <w:hideMark/>
          </w:tcPr>
          <w:p w14:paraId="662A08C9" w14:textId="77777777" w:rsidR="00F65EDE" w:rsidRPr="00B5347F" w:rsidRDefault="00F65EDE" w:rsidP="00EA559F">
            <w:pPr>
              <w:keepNext/>
              <w:tabs>
                <w:tab w:val="center" w:pos="6663"/>
              </w:tabs>
              <w:jc w:val="center"/>
              <w:rPr>
                <w:rFonts w:ascii="Arial" w:hAnsi="Arial" w:cs="Arial"/>
              </w:rPr>
            </w:pPr>
            <w:r w:rsidRPr="00B5347F">
              <w:rPr>
                <w:rFonts w:ascii="Arial" w:hAnsi="Arial" w:cs="Arial"/>
              </w:rPr>
              <w:t>Ingeniero Autor del Proyecto</w:t>
            </w:r>
          </w:p>
          <w:p w14:paraId="759FECC5" w14:textId="77777777" w:rsidR="00F65EDE" w:rsidRPr="00B5347F" w:rsidRDefault="00F65EDE" w:rsidP="00EA559F">
            <w:pPr>
              <w:keepNext/>
              <w:tabs>
                <w:tab w:val="center" w:pos="6663"/>
              </w:tabs>
              <w:jc w:val="center"/>
              <w:rPr>
                <w:rFonts w:ascii="Arial" w:hAnsi="Arial" w:cs="Arial"/>
              </w:rPr>
            </w:pPr>
          </w:p>
          <w:p w14:paraId="134B3509" w14:textId="77777777" w:rsidR="00F65EDE" w:rsidRPr="00B5347F" w:rsidRDefault="00F65EDE" w:rsidP="00EA559F">
            <w:pPr>
              <w:keepNext/>
              <w:tabs>
                <w:tab w:val="center" w:pos="6663"/>
              </w:tabs>
              <w:jc w:val="center"/>
              <w:rPr>
                <w:rFonts w:ascii="Arial" w:hAnsi="Arial" w:cs="Arial"/>
              </w:rPr>
            </w:pPr>
            <w:r w:rsidRPr="00B5347F">
              <w:rPr>
                <w:noProof/>
              </w:rPr>
              <w:drawing>
                <wp:inline distT="0" distB="0" distL="0" distR="0" wp14:anchorId="30C5557E" wp14:editId="1D6D9BB7">
                  <wp:extent cx="1789200" cy="720000"/>
                  <wp:effectExtent l="0" t="0" r="1905" b="4445"/>
                  <wp:docPr id="20" name="Imagen 27" descr="firma To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firma Tomas.jpg"/>
                          <pic:cNvPicPr/>
                        </pic:nvPicPr>
                        <pic:blipFill>
                          <a:blip r:embed="rId61" cstate="print"/>
                          <a:stretch>
                            <a:fillRect/>
                          </a:stretch>
                        </pic:blipFill>
                        <pic:spPr>
                          <a:xfrm>
                            <a:off x="0" y="0"/>
                            <a:ext cx="1789200" cy="720000"/>
                          </a:xfrm>
                          <a:prstGeom prst="rect">
                            <a:avLst/>
                          </a:prstGeom>
                        </pic:spPr>
                      </pic:pic>
                    </a:graphicData>
                  </a:graphic>
                </wp:inline>
              </w:drawing>
            </w:r>
          </w:p>
        </w:tc>
      </w:tr>
      <w:tr w:rsidR="00F65EDE" w:rsidRPr="00B5347F" w14:paraId="67942D21" w14:textId="77777777" w:rsidTr="00EA559F">
        <w:trPr>
          <w:trHeight w:val="976"/>
          <w:jc w:val="center"/>
        </w:trPr>
        <w:tc>
          <w:tcPr>
            <w:tcW w:w="4504" w:type="dxa"/>
          </w:tcPr>
          <w:p w14:paraId="3BB53002" w14:textId="77777777" w:rsidR="00F65EDE" w:rsidRPr="00B5347F" w:rsidRDefault="00F65EDE" w:rsidP="00EA559F">
            <w:pPr>
              <w:keepNext/>
              <w:jc w:val="center"/>
              <w:rPr>
                <w:rFonts w:ascii="Arial" w:hAnsi="Arial" w:cs="Arial"/>
              </w:rPr>
            </w:pPr>
            <w:r w:rsidRPr="00B5347F">
              <w:rPr>
                <w:rFonts w:ascii="Arial" w:hAnsi="Arial" w:cs="Arial"/>
              </w:rPr>
              <w:t>Fdo.: D. José Luis Carrera Rodríguez</w:t>
            </w:r>
          </w:p>
          <w:p w14:paraId="30FF93DF" w14:textId="77777777" w:rsidR="00F65EDE" w:rsidRPr="00B5347F" w:rsidRDefault="00F65EDE" w:rsidP="00EA559F">
            <w:pPr>
              <w:keepNext/>
              <w:tabs>
                <w:tab w:val="center" w:pos="6663"/>
              </w:tabs>
              <w:jc w:val="center"/>
              <w:rPr>
                <w:rFonts w:ascii="Arial" w:hAnsi="Arial" w:cs="Arial"/>
              </w:rPr>
            </w:pPr>
          </w:p>
        </w:tc>
        <w:tc>
          <w:tcPr>
            <w:tcW w:w="4496" w:type="dxa"/>
          </w:tcPr>
          <w:p w14:paraId="57D88F01" w14:textId="77777777" w:rsidR="00F65EDE" w:rsidRPr="00B5347F" w:rsidRDefault="00F65EDE" w:rsidP="00EA559F">
            <w:pPr>
              <w:keepNext/>
              <w:jc w:val="center"/>
              <w:rPr>
                <w:rFonts w:ascii="Arial" w:hAnsi="Arial" w:cs="Arial"/>
              </w:rPr>
            </w:pPr>
            <w:r w:rsidRPr="00B5347F">
              <w:rPr>
                <w:rFonts w:ascii="Arial" w:hAnsi="Arial" w:cs="Arial"/>
              </w:rPr>
              <w:t>Fdo.: D. Tomás Ripa Alonso</w:t>
            </w:r>
          </w:p>
          <w:p w14:paraId="29F2EDA9" w14:textId="77777777" w:rsidR="00F65EDE" w:rsidRPr="00B5347F" w:rsidRDefault="00F65EDE" w:rsidP="00EA559F">
            <w:pPr>
              <w:keepNext/>
              <w:tabs>
                <w:tab w:val="center" w:pos="6663"/>
              </w:tabs>
              <w:jc w:val="center"/>
              <w:rPr>
                <w:rFonts w:ascii="Arial" w:hAnsi="Arial" w:cs="Arial"/>
              </w:rPr>
            </w:pPr>
          </w:p>
        </w:tc>
      </w:tr>
    </w:tbl>
    <w:p w14:paraId="3A9448CB" w14:textId="77777777" w:rsidR="00F32FBF" w:rsidRPr="005864C2" w:rsidRDefault="00F32FBF" w:rsidP="0008725F">
      <w:pPr>
        <w:pStyle w:val="NORMAL12"/>
        <w:rPr>
          <w:color w:val="365F91" w:themeColor="accent1" w:themeShade="BF"/>
        </w:rPr>
        <w:sectPr w:rsidR="00F32FBF" w:rsidRPr="005864C2" w:rsidSect="003069BA">
          <w:type w:val="oddPage"/>
          <w:pgSz w:w="23814" w:h="16840" w:orient="landscape" w:code="8"/>
          <w:pgMar w:top="992" w:right="851" w:bottom="1418" w:left="851" w:header="567" w:footer="1021" w:gutter="1418"/>
          <w:cols w:num="2" w:space="1134"/>
        </w:sectPr>
      </w:pPr>
    </w:p>
    <w:p w14:paraId="65B96C9C" w14:textId="77777777" w:rsidR="00BD5A4B" w:rsidRPr="005864C2" w:rsidRDefault="00BD5A4B" w:rsidP="006F6223">
      <w:pPr>
        <w:pStyle w:val="TITU1"/>
        <w:rPr>
          <w:color w:val="365F91" w:themeColor="accent1" w:themeShade="BF"/>
        </w:rPr>
      </w:pPr>
    </w:p>
    <w:sectPr w:rsidR="00BD5A4B" w:rsidRPr="005864C2" w:rsidSect="003069BA">
      <w:pgSz w:w="23814" w:h="16840" w:orient="landscape" w:code="8"/>
      <w:pgMar w:top="992" w:right="851" w:bottom="1418" w:left="851" w:header="567" w:footer="1021" w:gutter="1418"/>
      <w:cols w:num="2" w:space="11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8D49A4" w14:textId="77777777" w:rsidR="00BE3EFE" w:rsidRDefault="00BE3EFE" w:rsidP="007C1C9A">
      <w:r>
        <w:separator/>
      </w:r>
    </w:p>
  </w:endnote>
  <w:endnote w:type="continuationSeparator" w:id="0">
    <w:p w14:paraId="7B8E5AD7" w14:textId="77777777" w:rsidR="00BE3EFE" w:rsidRDefault="00BE3EFE" w:rsidP="007C1C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Negrit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altName w:val="Arial"/>
    <w:panose1 w:val="020B0604020202020204"/>
    <w:charset w:val="80"/>
    <w:family w:val="swiss"/>
    <w:pitch w:val="variable"/>
    <w:sig w:usb0="F7FFAFFF" w:usb1="E9DFFFFF" w:usb2="0000003F" w:usb3="00000000" w:csb0="003F01FF" w:csb1="00000000"/>
  </w:font>
  <w:font w:name="Boldface P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ourier">
    <w:panose1 w:val="02070409020205020404"/>
    <w:charset w:val="00"/>
    <w:family w:val="modern"/>
    <w:pitch w:val="fixed"/>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Courier PS">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CG Times (WN)">
    <w:altName w:val="Times New Roman"/>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FEGLQN+Verdana-Bold">
    <w:altName w:val="Verdana"/>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833E7" w14:textId="77777777" w:rsidR="001B26B5" w:rsidRDefault="001B26B5" w:rsidP="001B6DC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E0BEFC5" w14:textId="77777777" w:rsidR="001B26B5" w:rsidRDefault="001B26B5" w:rsidP="001B6DC7">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01310" w14:textId="3BF3E5FB" w:rsidR="001B26B5" w:rsidRPr="00213708" w:rsidRDefault="00870DBA" w:rsidP="0002740B">
    <w:pPr>
      <w:pStyle w:val="Piedepgina"/>
      <w:pBdr>
        <w:top w:val="single" w:sz="4" w:space="1" w:color="auto"/>
      </w:pBdr>
      <w:tabs>
        <w:tab w:val="clear" w:pos="4252"/>
        <w:tab w:val="clear" w:pos="8504"/>
        <w:tab w:val="left" w:pos="14175"/>
        <w:tab w:val="right" w:pos="20696"/>
      </w:tabs>
      <w:rPr>
        <w:rFonts w:ascii="Arial" w:hAnsi="Arial" w:cs="Arial"/>
        <w:sz w:val="16"/>
        <w:szCs w:val="16"/>
      </w:rPr>
    </w:pPr>
    <w:r>
      <w:rPr>
        <w:rFonts w:ascii="Arial" w:hAnsi="Arial" w:cs="Arial"/>
        <w:sz w:val="14"/>
      </w:rPr>
      <w:t>TITULO DEL PROYECTO</w:t>
    </w:r>
    <w:r w:rsidR="001B26B5">
      <w:rPr>
        <w:rFonts w:ascii="Arial" w:hAnsi="Arial" w:cs="Arial"/>
        <w:sz w:val="14"/>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2D5E0" w14:textId="7B3E0865" w:rsidR="001B26B5" w:rsidRPr="00377F51" w:rsidRDefault="00870DBA" w:rsidP="00693EA3">
    <w:pPr>
      <w:pStyle w:val="Piedepgina"/>
      <w:pBdr>
        <w:top w:val="single" w:sz="4" w:space="1" w:color="auto"/>
      </w:pBdr>
      <w:tabs>
        <w:tab w:val="clear" w:pos="4252"/>
        <w:tab w:val="clear" w:pos="8504"/>
        <w:tab w:val="left" w:pos="14175"/>
        <w:tab w:val="left" w:pos="19278"/>
        <w:tab w:val="right" w:pos="20554"/>
      </w:tabs>
      <w:rPr>
        <w:rFonts w:ascii="Arial" w:hAnsi="Arial" w:cs="Arial"/>
        <w:sz w:val="14"/>
        <w:szCs w:val="14"/>
      </w:rPr>
    </w:pPr>
    <w:r>
      <w:rPr>
        <w:rFonts w:ascii="Arial" w:hAnsi="Arial" w:cs="Arial"/>
        <w:sz w:val="14"/>
      </w:rPr>
      <w:t>TITULO DEL PROYECTO</w:t>
    </w:r>
    <w:r w:rsidRPr="00377F51">
      <w:rPr>
        <w:rFonts w:ascii="Arial" w:hAnsi="Arial" w:cs="Arial"/>
        <w:sz w:val="14"/>
        <w:szCs w:val="14"/>
      </w:rPr>
      <w:t xml:space="preserve"> </w:t>
    </w:r>
    <w:r>
      <w:rPr>
        <w:rFonts w:ascii="Arial" w:hAnsi="Arial" w:cs="Arial"/>
        <w:sz w:val="14"/>
        <w:szCs w:val="14"/>
      </w:rPr>
      <w:tab/>
    </w:r>
    <w:r>
      <w:rPr>
        <w:rFonts w:ascii="Arial" w:hAnsi="Arial" w:cs="Arial"/>
        <w:sz w:val="14"/>
        <w:szCs w:val="14"/>
      </w:rPr>
      <w:tab/>
    </w:r>
    <w:r w:rsidR="001B26B5" w:rsidRPr="00377F51">
      <w:rPr>
        <w:rFonts w:ascii="Arial" w:hAnsi="Arial" w:cs="Arial"/>
        <w:sz w:val="14"/>
        <w:szCs w:val="14"/>
      </w:rPr>
      <w:t>PÁGINA:</w:t>
    </w:r>
    <w:r w:rsidR="001B26B5" w:rsidRPr="00377F51">
      <w:rPr>
        <w:rFonts w:ascii="Arial" w:hAnsi="Arial" w:cs="Arial"/>
        <w:sz w:val="14"/>
        <w:szCs w:val="14"/>
      </w:rPr>
      <w:tab/>
    </w:r>
    <w:r w:rsidR="001B26B5" w:rsidRPr="00377F51">
      <w:rPr>
        <w:rFonts w:ascii="Arial" w:hAnsi="Arial" w:cs="Arial"/>
        <w:sz w:val="14"/>
        <w:szCs w:val="14"/>
      </w:rPr>
      <w:fldChar w:fldCharType="begin"/>
    </w:r>
    <w:r w:rsidR="001B26B5" w:rsidRPr="00377F51">
      <w:rPr>
        <w:rFonts w:ascii="Arial" w:hAnsi="Arial" w:cs="Arial"/>
        <w:sz w:val="14"/>
        <w:szCs w:val="14"/>
      </w:rPr>
      <w:instrText xml:space="preserve"> PAGE   \* MERGEFORMAT </w:instrText>
    </w:r>
    <w:r w:rsidR="001B26B5" w:rsidRPr="00377F51">
      <w:rPr>
        <w:rFonts w:ascii="Arial" w:hAnsi="Arial" w:cs="Arial"/>
        <w:sz w:val="14"/>
        <w:szCs w:val="14"/>
      </w:rPr>
      <w:fldChar w:fldCharType="separate"/>
    </w:r>
    <w:r w:rsidR="00CC4ED6">
      <w:rPr>
        <w:rFonts w:ascii="Arial" w:hAnsi="Arial" w:cs="Arial"/>
        <w:noProof/>
        <w:sz w:val="14"/>
        <w:szCs w:val="14"/>
      </w:rPr>
      <w:t>16</w:t>
    </w:r>
    <w:r w:rsidR="001B26B5" w:rsidRPr="00377F51">
      <w:rPr>
        <w:rFonts w:ascii="Arial" w:hAnsi="Arial" w:cs="Arial"/>
        <w:sz w:val="14"/>
        <w:szCs w:val="1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D52E0" w14:textId="77777777" w:rsidR="001B26B5" w:rsidRDefault="001B26B5">
    <w:pPr>
      <w:pStyle w:val="Piedepgina"/>
      <w:pBdr>
        <w:bottom w:val="single" w:sz="6" w:space="0" w:color="auto"/>
      </w:pBdr>
      <w:tabs>
        <w:tab w:val="right" w:pos="20837"/>
      </w:tabs>
      <w:rPr>
        <w:rFonts w:ascii="Arial" w:hAnsi="Arial"/>
        <w:sz w:val="16"/>
      </w:rPr>
    </w:pPr>
  </w:p>
  <w:p w14:paraId="67E148FE" w14:textId="77777777" w:rsidR="001B26B5" w:rsidRDefault="001B26B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7112A" w14:textId="779B9C72" w:rsidR="001B26B5" w:rsidRPr="003069BA" w:rsidRDefault="00C22813" w:rsidP="0002740B">
    <w:pPr>
      <w:pStyle w:val="Piedepgina"/>
      <w:pBdr>
        <w:top w:val="single" w:sz="4" w:space="1" w:color="auto"/>
      </w:pBdr>
      <w:tabs>
        <w:tab w:val="clear" w:pos="4252"/>
        <w:tab w:val="clear" w:pos="8504"/>
        <w:tab w:val="left" w:pos="14175"/>
        <w:tab w:val="left" w:pos="19278"/>
        <w:tab w:val="right" w:pos="20696"/>
      </w:tabs>
      <w:rPr>
        <w:rFonts w:ascii="Arial" w:hAnsi="Arial" w:cs="Arial"/>
        <w:sz w:val="14"/>
      </w:rPr>
    </w:pPr>
    <w:r>
      <w:rPr>
        <w:rFonts w:ascii="Arial" w:hAnsi="Arial" w:cs="Arial"/>
        <w:sz w:val="14"/>
      </w:rPr>
      <w:t>TITULO DEL PROYECTO</w:t>
    </w:r>
    <w:r w:rsidR="001B26B5">
      <w:rPr>
        <w:rFonts w:ascii="Arial" w:hAnsi="Arial" w:cs="Arial"/>
        <w:sz w:val="14"/>
      </w:rPr>
      <w:tab/>
    </w:r>
    <w:r w:rsidR="001B26B5" w:rsidRPr="00213708">
      <w:rPr>
        <w:rFonts w:ascii="Arial" w:hAnsi="Arial" w:cs="Arial"/>
        <w:sz w:val="14"/>
      </w:rPr>
      <w:tab/>
    </w:r>
    <w:r w:rsidR="001B26B5" w:rsidRPr="003069BA">
      <w:rPr>
        <w:rFonts w:ascii="Arial" w:hAnsi="Arial" w:cs="Arial"/>
        <w:sz w:val="14"/>
      </w:rPr>
      <w:t>PÁGINA:</w:t>
    </w:r>
    <w:r w:rsidR="001B26B5" w:rsidRPr="003069BA">
      <w:rPr>
        <w:rFonts w:ascii="Arial" w:hAnsi="Arial" w:cs="Arial"/>
        <w:sz w:val="14"/>
      </w:rPr>
      <w:tab/>
    </w:r>
    <w:r w:rsidR="001B26B5" w:rsidRPr="003069BA">
      <w:rPr>
        <w:rFonts w:ascii="Arial" w:hAnsi="Arial" w:cs="Arial"/>
        <w:sz w:val="14"/>
      </w:rPr>
      <w:fldChar w:fldCharType="begin"/>
    </w:r>
    <w:r w:rsidR="001B26B5" w:rsidRPr="003069BA">
      <w:rPr>
        <w:rFonts w:ascii="Arial" w:hAnsi="Arial" w:cs="Arial"/>
        <w:sz w:val="14"/>
      </w:rPr>
      <w:instrText xml:space="preserve"> PAGE   \* MERGEFORMAT </w:instrText>
    </w:r>
    <w:r w:rsidR="001B26B5" w:rsidRPr="003069BA">
      <w:rPr>
        <w:rFonts w:ascii="Arial" w:hAnsi="Arial" w:cs="Arial"/>
        <w:sz w:val="14"/>
      </w:rPr>
      <w:fldChar w:fldCharType="separate"/>
    </w:r>
    <w:r w:rsidR="001B26B5">
      <w:rPr>
        <w:rFonts w:ascii="Arial" w:hAnsi="Arial" w:cs="Arial"/>
        <w:noProof/>
        <w:sz w:val="14"/>
      </w:rPr>
      <w:t>431</w:t>
    </w:r>
    <w:r w:rsidR="001B26B5" w:rsidRPr="003069BA">
      <w:rPr>
        <w:rFonts w:ascii="Arial" w:hAnsi="Arial" w:cs="Arial"/>
        <w:sz w:val="1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170" w:type="dxa"/>
      </w:tblCellMar>
      <w:tblLook w:val="01E0" w:firstRow="1" w:lastRow="1" w:firstColumn="1" w:lastColumn="1" w:noHBand="0" w:noVBand="0"/>
    </w:tblPr>
    <w:tblGrid>
      <w:gridCol w:w="5775"/>
      <w:gridCol w:w="15135"/>
    </w:tblGrid>
    <w:tr w:rsidR="001B26B5" w:rsidRPr="007147E7" w14:paraId="0F8D9070" w14:textId="77777777" w:rsidTr="00D109DE">
      <w:trPr>
        <w:trHeight w:val="567"/>
      </w:trPr>
      <w:tc>
        <w:tcPr>
          <w:tcW w:w="1381" w:type="pct"/>
          <w:tcBorders>
            <w:top w:val="single" w:sz="4" w:space="0" w:color="auto"/>
          </w:tcBorders>
        </w:tcPr>
        <w:p w14:paraId="70EAA8F3" w14:textId="77777777" w:rsidR="001B26B5" w:rsidRPr="00956044" w:rsidRDefault="001B26B5" w:rsidP="00D109DE">
          <w:pPr>
            <w:pStyle w:val="Encabezado"/>
          </w:pPr>
          <w:r>
            <w:fldChar w:fldCharType="begin"/>
          </w:r>
          <w:r>
            <w:instrText xml:space="preserve"> PAGE   \* MERGEFORMAT </w:instrText>
          </w:r>
          <w:r>
            <w:fldChar w:fldCharType="separate"/>
          </w:r>
          <w:r>
            <w:rPr>
              <w:noProof/>
            </w:rPr>
            <w:t>8</w:t>
          </w:r>
          <w:r>
            <w:rPr>
              <w:noProof/>
            </w:rPr>
            <w:fldChar w:fldCharType="end"/>
          </w:r>
        </w:p>
      </w:tc>
      <w:tc>
        <w:tcPr>
          <w:tcW w:w="3619" w:type="pct"/>
          <w:tcBorders>
            <w:top w:val="single" w:sz="4" w:space="0" w:color="auto"/>
          </w:tcBorders>
        </w:tcPr>
        <w:p w14:paraId="75606EF5" w14:textId="77777777" w:rsidR="001B26B5" w:rsidRPr="00205EF4" w:rsidRDefault="001B26B5" w:rsidP="00D109DE"/>
      </w:tc>
    </w:tr>
  </w:tbl>
  <w:p w14:paraId="44EACDA9" w14:textId="77777777" w:rsidR="001B26B5" w:rsidRDefault="001B26B5" w:rsidP="00D109DE">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170" w:type="dxa"/>
      </w:tblCellMar>
      <w:tblLook w:val="01E0" w:firstRow="1" w:lastRow="1" w:firstColumn="1" w:lastColumn="1" w:noHBand="0" w:noVBand="0"/>
    </w:tblPr>
    <w:tblGrid>
      <w:gridCol w:w="5775"/>
      <w:gridCol w:w="15135"/>
    </w:tblGrid>
    <w:tr w:rsidR="001B26B5" w:rsidRPr="007147E7" w14:paraId="15DC8E92" w14:textId="77777777" w:rsidTr="00D109DE">
      <w:trPr>
        <w:trHeight w:val="567"/>
      </w:trPr>
      <w:tc>
        <w:tcPr>
          <w:tcW w:w="1381" w:type="pct"/>
          <w:tcBorders>
            <w:top w:val="single" w:sz="4" w:space="0" w:color="auto"/>
          </w:tcBorders>
        </w:tcPr>
        <w:p w14:paraId="75357CA5" w14:textId="77777777" w:rsidR="001B26B5" w:rsidRPr="00956044" w:rsidRDefault="001B26B5" w:rsidP="00D109DE">
          <w:pPr>
            <w:pStyle w:val="Encabezado"/>
          </w:pPr>
          <w:r>
            <w:fldChar w:fldCharType="begin"/>
          </w:r>
          <w:r>
            <w:instrText xml:space="preserve"> PAGE   \* MERGEFORMAT </w:instrText>
          </w:r>
          <w:r>
            <w:fldChar w:fldCharType="separate"/>
          </w:r>
          <w:r>
            <w:rPr>
              <w:noProof/>
            </w:rPr>
            <w:t>8</w:t>
          </w:r>
          <w:r>
            <w:rPr>
              <w:noProof/>
            </w:rPr>
            <w:fldChar w:fldCharType="end"/>
          </w:r>
        </w:p>
      </w:tc>
      <w:tc>
        <w:tcPr>
          <w:tcW w:w="3619" w:type="pct"/>
          <w:tcBorders>
            <w:top w:val="single" w:sz="4" w:space="0" w:color="auto"/>
          </w:tcBorders>
        </w:tcPr>
        <w:p w14:paraId="1FFBB1B1" w14:textId="77777777" w:rsidR="001B26B5" w:rsidRPr="00205EF4" w:rsidRDefault="001B26B5" w:rsidP="00D109DE"/>
      </w:tc>
    </w:tr>
  </w:tbl>
  <w:p w14:paraId="49564484" w14:textId="77777777" w:rsidR="001B26B5" w:rsidRDefault="001B26B5" w:rsidP="00D109DE">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301CD" w14:textId="77777777" w:rsidR="001B26B5" w:rsidRDefault="001B26B5"/>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2E77A" w14:textId="77777777" w:rsidR="001B26B5" w:rsidRDefault="001B26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4F85C" w14:textId="77777777" w:rsidR="00BE3EFE" w:rsidRDefault="00BE3EFE" w:rsidP="007C1C9A">
      <w:r>
        <w:separator/>
      </w:r>
    </w:p>
  </w:footnote>
  <w:footnote w:type="continuationSeparator" w:id="0">
    <w:p w14:paraId="30AF00DE" w14:textId="77777777" w:rsidR="00BE3EFE" w:rsidRDefault="00BE3EFE" w:rsidP="007C1C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bottom w:val="single" w:sz="6" w:space="0" w:color="auto"/>
      </w:tblBorders>
      <w:tblLook w:val="04A0" w:firstRow="1" w:lastRow="0" w:firstColumn="1" w:lastColumn="0" w:noHBand="0" w:noVBand="1"/>
    </w:tblPr>
    <w:tblGrid>
      <w:gridCol w:w="4521"/>
      <w:gridCol w:w="16389"/>
    </w:tblGrid>
    <w:tr w:rsidR="001B26B5" w14:paraId="52273F0C" w14:textId="77777777" w:rsidTr="00CE424A">
      <w:tc>
        <w:tcPr>
          <w:tcW w:w="1081" w:type="pct"/>
        </w:tcPr>
        <w:p w14:paraId="6683EDAA" w14:textId="77777777" w:rsidR="001B26B5" w:rsidRDefault="001B26B5" w:rsidP="004079C9">
          <w:pPr>
            <w:tabs>
              <w:tab w:val="left" w:pos="1701"/>
              <w:tab w:val="right" w:pos="8364"/>
              <w:tab w:val="left" w:pos="8647"/>
              <w:tab w:val="left" w:pos="18428"/>
              <w:tab w:val="right" w:pos="20411"/>
            </w:tabs>
            <w:spacing w:line="312" w:lineRule="auto"/>
            <w:rPr>
              <w:rFonts w:ascii="Arial" w:hAnsi="Arial" w:cs="Arial"/>
              <w:spacing w:val="-2"/>
              <w:sz w:val="16"/>
              <w:szCs w:val="16"/>
            </w:rPr>
          </w:pPr>
          <w:r w:rsidRPr="001A25FE">
            <w:rPr>
              <w:noProof/>
            </w:rPr>
            <w:drawing>
              <wp:inline distT="0" distB="0" distL="0" distR="0" wp14:anchorId="5AE57EA0" wp14:editId="3137B996">
                <wp:extent cx="1430655" cy="398145"/>
                <wp:effectExtent l="0" t="0" r="0" b="1905"/>
                <wp:docPr id="23" name="Imagen 23" descr="LOGOTIPO LRA-LC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IPO LRA-LC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0655" cy="398145"/>
                        </a:xfrm>
                        <a:prstGeom prst="rect">
                          <a:avLst/>
                        </a:prstGeom>
                        <a:noFill/>
                        <a:ln>
                          <a:noFill/>
                        </a:ln>
                      </pic:spPr>
                    </pic:pic>
                  </a:graphicData>
                </a:graphic>
              </wp:inline>
            </w:drawing>
          </w:r>
        </w:p>
      </w:tc>
      <w:tc>
        <w:tcPr>
          <w:tcW w:w="3919" w:type="pct"/>
          <w:vAlign w:val="bottom"/>
        </w:tcPr>
        <w:p w14:paraId="6E41925C" w14:textId="77777777" w:rsidR="001B26B5" w:rsidRDefault="001B26B5" w:rsidP="006A1DE0">
          <w:pPr>
            <w:tabs>
              <w:tab w:val="right" w:pos="8364"/>
              <w:tab w:val="left" w:pos="8647"/>
              <w:tab w:val="left" w:pos="18428"/>
              <w:tab w:val="right" w:pos="20411"/>
            </w:tabs>
            <w:spacing w:line="312" w:lineRule="auto"/>
            <w:jc w:val="right"/>
            <w:rPr>
              <w:rFonts w:ascii="Arial" w:hAnsi="Arial" w:cs="Arial"/>
              <w:spacing w:val="-2"/>
              <w:sz w:val="16"/>
              <w:szCs w:val="16"/>
            </w:rPr>
          </w:pPr>
        </w:p>
        <w:p w14:paraId="6498BA12" w14:textId="77777777" w:rsidR="001B26B5" w:rsidRDefault="001B26B5" w:rsidP="009940B7">
          <w:pPr>
            <w:tabs>
              <w:tab w:val="right" w:pos="8364"/>
              <w:tab w:val="left" w:pos="8647"/>
              <w:tab w:val="left" w:pos="18428"/>
              <w:tab w:val="right" w:pos="20411"/>
            </w:tabs>
            <w:spacing w:line="312" w:lineRule="auto"/>
            <w:jc w:val="right"/>
            <w:rPr>
              <w:rFonts w:ascii="Arial" w:hAnsi="Arial" w:cs="Arial"/>
              <w:spacing w:val="-2"/>
              <w:sz w:val="16"/>
              <w:szCs w:val="16"/>
            </w:rPr>
          </w:pPr>
          <w:r>
            <w:rPr>
              <w:rFonts w:ascii="Arial" w:hAnsi="Arial"/>
              <w:caps/>
              <w:sz w:val="16"/>
              <w:szCs w:val="16"/>
            </w:rPr>
            <w:t>pliego de PRESCRIPCIONES TÉCNICAS PARTICULARES</w:t>
          </w:r>
        </w:p>
      </w:tc>
    </w:tr>
  </w:tbl>
  <w:p w14:paraId="46AA8886" w14:textId="77777777" w:rsidR="001B26B5" w:rsidRPr="00B52660" w:rsidRDefault="001B26B5" w:rsidP="00C20968">
    <w:pPr>
      <w:tabs>
        <w:tab w:val="left" w:pos="8931"/>
      </w:tabs>
      <w:rPr>
        <w:rFonts w:ascii="Arial" w:hAnsi="Arial"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4CA2D7C"/>
    <w:lvl w:ilvl="0">
      <w:start w:val="1"/>
      <w:numFmt w:val="bullet"/>
      <w:lvlText w:val="-"/>
      <w:lvlJc w:val="left"/>
      <w:pPr>
        <w:ind w:left="720" w:hanging="360"/>
      </w:pPr>
      <w:rPr>
        <w:rFonts w:ascii="Courier New" w:hAnsi="Courier New" w:hint="default"/>
      </w:rPr>
    </w:lvl>
  </w:abstractNum>
  <w:abstractNum w:abstractNumId="1" w15:restartNumberingAfterBreak="0">
    <w:nsid w:val="FFFFFF89"/>
    <w:multiLevelType w:val="singleLevel"/>
    <w:tmpl w:val="82546FCC"/>
    <w:lvl w:ilvl="0">
      <w:start w:val="1"/>
      <w:numFmt w:val="bullet"/>
      <w:pStyle w:val="Ttulo6modificado"/>
      <w:lvlText w:val=""/>
      <w:lvlJc w:val="left"/>
      <w:pPr>
        <w:tabs>
          <w:tab w:val="num" w:pos="360"/>
        </w:tabs>
        <w:ind w:left="360" w:hanging="360"/>
      </w:pPr>
      <w:rPr>
        <w:rFonts w:ascii="Symbol" w:hAnsi="Symbol" w:hint="default"/>
      </w:rPr>
    </w:lvl>
  </w:abstractNum>
  <w:abstractNum w:abstractNumId="2" w15:restartNumberingAfterBreak="0">
    <w:nsid w:val="008C1768"/>
    <w:multiLevelType w:val="hybridMultilevel"/>
    <w:tmpl w:val="507E5066"/>
    <w:lvl w:ilvl="0" w:tplc="E86051D6">
      <w:start w:val="1"/>
      <w:numFmt w:val="bullet"/>
      <w:lvlText w:val=""/>
      <w:lvlJc w:val="left"/>
      <w:pPr>
        <w:ind w:left="720" w:hanging="360"/>
      </w:pPr>
      <w:rPr>
        <w:rFonts w:ascii="Symbol" w:hAnsi="Symbol" w:hint="default"/>
      </w:rPr>
    </w:lvl>
    <w:lvl w:ilvl="1" w:tplc="05887776" w:tentative="1">
      <w:start w:val="1"/>
      <w:numFmt w:val="bullet"/>
      <w:lvlText w:val="o"/>
      <w:lvlJc w:val="left"/>
      <w:pPr>
        <w:ind w:left="1440" w:hanging="360"/>
      </w:pPr>
      <w:rPr>
        <w:rFonts w:ascii="Courier New" w:hAnsi="Courier New" w:cs="Courier New" w:hint="default"/>
      </w:rPr>
    </w:lvl>
    <w:lvl w:ilvl="2" w:tplc="7BC80D20" w:tentative="1">
      <w:start w:val="1"/>
      <w:numFmt w:val="bullet"/>
      <w:lvlText w:val=""/>
      <w:lvlJc w:val="left"/>
      <w:pPr>
        <w:ind w:left="2160" w:hanging="360"/>
      </w:pPr>
      <w:rPr>
        <w:rFonts w:ascii="Wingdings" w:hAnsi="Wingdings" w:hint="default"/>
      </w:rPr>
    </w:lvl>
    <w:lvl w:ilvl="3" w:tplc="E0547DBA" w:tentative="1">
      <w:start w:val="1"/>
      <w:numFmt w:val="bullet"/>
      <w:lvlText w:val=""/>
      <w:lvlJc w:val="left"/>
      <w:pPr>
        <w:ind w:left="2880" w:hanging="360"/>
      </w:pPr>
      <w:rPr>
        <w:rFonts w:ascii="Symbol" w:hAnsi="Symbol" w:hint="default"/>
      </w:rPr>
    </w:lvl>
    <w:lvl w:ilvl="4" w:tplc="DA8EFD60" w:tentative="1">
      <w:start w:val="1"/>
      <w:numFmt w:val="bullet"/>
      <w:lvlText w:val="o"/>
      <w:lvlJc w:val="left"/>
      <w:pPr>
        <w:ind w:left="3600" w:hanging="360"/>
      </w:pPr>
      <w:rPr>
        <w:rFonts w:ascii="Courier New" w:hAnsi="Courier New" w:cs="Courier New" w:hint="default"/>
      </w:rPr>
    </w:lvl>
    <w:lvl w:ilvl="5" w:tplc="0330944E" w:tentative="1">
      <w:start w:val="1"/>
      <w:numFmt w:val="bullet"/>
      <w:lvlText w:val=""/>
      <w:lvlJc w:val="left"/>
      <w:pPr>
        <w:ind w:left="4320" w:hanging="360"/>
      </w:pPr>
      <w:rPr>
        <w:rFonts w:ascii="Wingdings" w:hAnsi="Wingdings" w:hint="default"/>
      </w:rPr>
    </w:lvl>
    <w:lvl w:ilvl="6" w:tplc="EE7A3E04" w:tentative="1">
      <w:start w:val="1"/>
      <w:numFmt w:val="bullet"/>
      <w:lvlText w:val=""/>
      <w:lvlJc w:val="left"/>
      <w:pPr>
        <w:ind w:left="5040" w:hanging="360"/>
      </w:pPr>
      <w:rPr>
        <w:rFonts w:ascii="Symbol" w:hAnsi="Symbol" w:hint="default"/>
      </w:rPr>
    </w:lvl>
    <w:lvl w:ilvl="7" w:tplc="76D67B4A" w:tentative="1">
      <w:start w:val="1"/>
      <w:numFmt w:val="bullet"/>
      <w:lvlText w:val="o"/>
      <w:lvlJc w:val="left"/>
      <w:pPr>
        <w:ind w:left="5760" w:hanging="360"/>
      </w:pPr>
      <w:rPr>
        <w:rFonts w:ascii="Courier New" w:hAnsi="Courier New" w:cs="Courier New" w:hint="default"/>
      </w:rPr>
    </w:lvl>
    <w:lvl w:ilvl="8" w:tplc="44EA18C2" w:tentative="1">
      <w:start w:val="1"/>
      <w:numFmt w:val="bullet"/>
      <w:lvlText w:val=""/>
      <w:lvlJc w:val="left"/>
      <w:pPr>
        <w:ind w:left="6480" w:hanging="360"/>
      </w:pPr>
      <w:rPr>
        <w:rFonts w:ascii="Wingdings" w:hAnsi="Wingdings" w:hint="default"/>
      </w:rPr>
    </w:lvl>
  </w:abstractNum>
  <w:abstractNum w:abstractNumId="3" w15:restartNumberingAfterBreak="0">
    <w:nsid w:val="0168215B"/>
    <w:multiLevelType w:val="hybridMultilevel"/>
    <w:tmpl w:val="BC3CCD9E"/>
    <w:lvl w:ilvl="0" w:tplc="4612AF58">
      <w:start w:val="1"/>
      <w:numFmt w:val="bullet"/>
      <w:lvlText w:val=""/>
      <w:lvlJc w:val="left"/>
      <w:pPr>
        <w:ind w:left="720" w:hanging="360"/>
      </w:pPr>
      <w:rPr>
        <w:rFonts w:ascii="Symbol" w:hAnsi="Symbol" w:hint="default"/>
      </w:rPr>
    </w:lvl>
    <w:lvl w:ilvl="1" w:tplc="4830C9A0" w:tentative="1">
      <w:start w:val="1"/>
      <w:numFmt w:val="bullet"/>
      <w:lvlText w:val="o"/>
      <w:lvlJc w:val="left"/>
      <w:pPr>
        <w:ind w:left="1440" w:hanging="360"/>
      </w:pPr>
      <w:rPr>
        <w:rFonts w:ascii="Courier New" w:hAnsi="Courier New" w:cs="Courier New" w:hint="default"/>
      </w:rPr>
    </w:lvl>
    <w:lvl w:ilvl="2" w:tplc="8D90749A" w:tentative="1">
      <w:start w:val="1"/>
      <w:numFmt w:val="bullet"/>
      <w:lvlText w:val=""/>
      <w:lvlJc w:val="left"/>
      <w:pPr>
        <w:ind w:left="2160" w:hanging="360"/>
      </w:pPr>
      <w:rPr>
        <w:rFonts w:ascii="Wingdings" w:hAnsi="Wingdings" w:hint="default"/>
      </w:rPr>
    </w:lvl>
    <w:lvl w:ilvl="3" w:tplc="B9CE9B84" w:tentative="1">
      <w:start w:val="1"/>
      <w:numFmt w:val="bullet"/>
      <w:lvlText w:val=""/>
      <w:lvlJc w:val="left"/>
      <w:pPr>
        <w:ind w:left="2880" w:hanging="360"/>
      </w:pPr>
      <w:rPr>
        <w:rFonts w:ascii="Symbol" w:hAnsi="Symbol" w:hint="default"/>
      </w:rPr>
    </w:lvl>
    <w:lvl w:ilvl="4" w:tplc="B0DC9C90" w:tentative="1">
      <w:start w:val="1"/>
      <w:numFmt w:val="bullet"/>
      <w:lvlText w:val="o"/>
      <w:lvlJc w:val="left"/>
      <w:pPr>
        <w:ind w:left="3600" w:hanging="360"/>
      </w:pPr>
      <w:rPr>
        <w:rFonts w:ascii="Courier New" w:hAnsi="Courier New" w:cs="Courier New" w:hint="default"/>
      </w:rPr>
    </w:lvl>
    <w:lvl w:ilvl="5" w:tplc="E3D02B92" w:tentative="1">
      <w:start w:val="1"/>
      <w:numFmt w:val="bullet"/>
      <w:lvlText w:val=""/>
      <w:lvlJc w:val="left"/>
      <w:pPr>
        <w:ind w:left="4320" w:hanging="360"/>
      </w:pPr>
      <w:rPr>
        <w:rFonts w:ascii="Wingdings" w:hAnsi="Wingdings" w:hint="default"/>
      </w:rPr>
    </w:lvl>
    <w:lvl w:ilvl="6" w:tplc="E6E0E5AE" w:tentative="1">
      <w:start w:val="1"/>
      <w:numFmt w:val="bullet"/>
      <w:lvlText w:val=""/>
      <w:lvlJc w:val="left"/>
      <w:pPr>
        <w:ind w:left="5040" w:hanging="360"/>
      </w:pPr>
      <w:rPr>
        <w:rFonts w:ascii="Symbol" w:hAnsi="Symbol" w:hint="default"/>
      </w:rPr>
    </w:lvl>
    <w:lvl w:ilvl="7" w:tplc="CF78D030" w:tentative="1">
      <w:start w:val="1"/>
      <w:numFmt w:val="bullet"/>
      <w:lvlText w:val="o"/>
      <w:lvlJc w:val="left"/>
      <w:pPr>
        <w:ind w:left="5760" w:hanging="360"/>
      </w:pPr>
      <w:rPr>
        <w:rFonts w:ascii="Courier New" w:hAnsi="Courier New" w:cs="Courier New" w:hint="default"/>
      </w:rPr>
    </w:lvl>
    <w:lvl w:ilvl="8" w:tplc="3872D7EC" w:tentative="1">
      <w:start w:val="1"/>
      <w:numFmt w:val="bullet"/>
      <w:lvlText w:val=""/>
      <w:lvlJc w:val="left"/>
      <w:pPr>
        <w:ind w:left="6480" w:hanging="360"/>
      </w:pPr>
      <w:rPr>
        <w:rFonts w:ascii="Wingdings" w:hAnsi="Wingdings" w:hint="default"/>
      </w:rPr>
    </w:lvl>
  </w:abstractNum>
  <w:abstractNum w:abstractNumId="4" w15:restartNumberingAfterBreak="0">
    <w:nsid w:val="026B661E"/>
    <w:multiLevelType w:val="hybridMultilevel"/>
    <w:tmpl w:val="AC62ADC8"/>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2BA5175"/>
    <w:multiLevelType w:val="hybridMultilevel"/>
    <w:tmpl w:val="57D4D620"/>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316091B"/>
    <w:multiLevelType w:val="hybridMultilevel"/>
    <w:tmpl w:val="E6F26806"/>
    <w:lvl w:ilvl="0" w:tplc="EFF04B86">
      <w:start w:val="1"/>
      <w:numFmt w:val="bullet"/>
      <w:lvlText w:val="-"/>
      <w:lvlJc w:val="left"/>
      <w:pPr>
        <w:ind w:left="720" w:hanging="360"/>
      </w:pPr>
      <w:rPr>
        <w:rFonts w:ascii="Courier New" w:hAnsi="Courier New" w:hint="default"/>
      </w:rPr>
    </w:lvl>
    <w:lvl w:ilvl="1" w:tplc="DD1E567E" w:tentative="1">
      <w:start w:val="1"/>
      <w:numFmt w:val="bullet"/>
      <w:lvlText w:val="o"/>
      <w:lvlJc w:val="left"/>
      <w:pPr>
        <w:ind w:left="1440" w:hanging="360"/>
      </w:pPr>
      <w:rPr>
        <w:rFonts w:ascii="Courier New" w:hAnsi="Courier New" w:cs="Courier New" w:hint="default"/>
      </w:rPr>
    </w:lvl>
    <w:lvl w:ilvl="2" w:tplc="8A0C6E82" w:tentative="1">
      <w:start w:val="1"/>
      <w:numFmt w:val="bullet"/>
      <w:lvlText w:val=""/>
      <w:lvlJc w:val="left"/>
      <w:pPr>
        <w:ind w:left="2160" w:hanging="360"/>
      </w:pPr>
      <w:rPr>
        <w:rFonts w:ascii="Wingdings" w:hAnsi="Wingdings" w:hint="default"/>
      </w:rPr>
    </w:lvl>
    <w:lvl w:ilvl="3" w:tplc="E0E40A86" w:tentative="1">
      <w:start w:val="1"/>
      <w:numFmt w:val="bullet"/>
      <w:lvlText w:val=""/>
      <w:lvlJc w:val="left"/>
      <w:pPr>
        <w:ind w:left="2880" w:hanging="360"/>
      </w:pPr>
      <w:rPr>
        <w:rFonts w:ascii="Symbol" w:hAnsi="Symbol" w:hint="default"/>
      </w:rPr>
    </w:lvl>
    <w:lvl w:ilvl="4" w:tplc="18CED644" w:tentative="1">
      <w:start w:val="1"/>
      <w:numFmt w:val="bullet"/>
      <w:lvlText w:val="o"/>
      <w:lvlJc w:val="left"/>
      <w:pPr>
        <w:ind w:left="3600" w:hanging="360"/>
      </w:pPr>
      <w:rPr>
        <w:rFonts w:ascii="Courier New" w:hAnsi="Courier New" w:cs="Courier New" w:hint="default"/>
      </w:rPr>
    </w:lvl>
    <w:lvl w:ilvl="5" w:tplc="6B541056" w:tentative="1">
      <w:start w:val="1"/>
      <w:numFmt w:val="bullet"/>
      <w:lvlText w:val=""/>
      <w:lvlJc w:val="left"/>
      <w:pPr>
        <w:ind w:left="4320" w:hanging="360"/>
      </w:pPr>
      <w:rPr>
        <w:rFonts w:ascii="Wingdings" w:hAnsi="Wingdings" w:hint="default"/>
      </w:rPr>
    </w:lvl>
    <w:lvl w:ilvl="6" w:tplc="38F221D6" w:tentative="1">
      <w:start w:val="1"/>
      <w:numFmt w:val="bullet"/>
      <w:lvlText w:val=""/>
      <w:lvlJc w:val="left"/>
      <w:pPr>
        <w:ind w:left="5040" w:hanging="360"/>
      </w:pPr>
      <w:rPr>
        <w:rFonts w:ascii="Symbol" w:hAnsi="Symbol" w:hint="default"/>
      </w:rPr>
    </w:lvl>
    <w:lvl w:ilvl="7" w:tplc="938CD906" w:tentative="1">
      <w:start w:val="1"/>
      <w:numFmt w:val="bullet"/>
      <w:lvlText w:val="o"/>
      <w:lvlJc w:val="left"/>
      <w:pPr>
        <w:ind w:left="5760" w:hanging="360"/>
      </w:pPr>
      <w:rPr>
        <w:rFonts w:ascii="Courier New" w:hAnsi="Courier New" w:cs="Courier New" w:hint="default"/>
      </w:rPr>
    </w:lvl>
    <w:lvl w:ilvl="8" w:tplc="6BD2DB6C" w:tentative="1">
      <w:start w:val="1"/>
      <w:numFmt w:val="bullet"/>
      <w:lvlText w:val=""/>
      <w:lvlJc w:val="left"/>
      <w:pPr>
        <w:ind w:left="6480" w:hanging="360"/>
      </w:pPr>
      <w:rPr>
        <w:rFonts w:ascii="Wingdings" w:hAnsi="Wingdings" w:hint="default"/>
      </w:rPr>
    </w:lvl>
  </w:abstractNum>
  <w:abstractNum w:abstractNumId="7" w15:restartNumberingAfterBreak="0">
    <w:nsid w:val="03CB3651"/>
    <w:multiLevelType w:val="hybridMultilevel"/>
    <w:tmpl w:val="C9DC806C"/>
    <w:lvl w:ilvl="0" w:tplc="C80AD716">
      <w:start w:val="1"/>
      <w:numFmt w:val="bullet"/>
      <w:pStyle w:val="Flecha"/>
      <w:lvlText w:val=""/>
      <w:lvlJc w:val="left"/>
      <w:pPr>
        <w:tabs>
          <w:tab w:val="num" w:pos="360"/>
        </w:tabs>
        <w:ind w:left="340" w:hanging="340"/>
      </w:pPr>
      <w:rPr>
        <w:rFonts w:ascii="Wingdings" w:hAnsi="Wingdings" w:hint="default"/>
      </w:rPr>
    </w:lvl>
    <w:lvl w:ilvl="1" w:tplc="FD18434A">
      <w:start w:val="1"/>
      <w:numFmt w:val="bullet"/>
      <w:lvlText w:val="–"/>
      <w:lvlJc w:val="left"/>
      <w:pPr>
        <w:tabs>
          <w:tab w:val="num" w:pos="1785"/>
        </w:tabs>
        <w:ind w:left="1785" w:hanging="705"/>
      </w:pPr>
      <w:rPr>
        <w:rFonts w:ascii="Times New Roman" w:eastAsia="Times New Roman" w:hAnsi="Times New Roman" w:cs="Times New Roman" w:hint="default"/>
      </w:rPr>
    </w:lvl>
    <w:lvl w:ilvl="2" w:tplc="BC8610F6">
      <w:start w:val="1"/>
      <w:numFmt w:val="bullet"/>
      <w:lvlText w:val=""/>
      <w:lvlJc w:val="left"/>
      <w:pPr>
        <w:tabs>
          <w:tab w:val="num" w:pos="2160"/>
        </w:tabs>
        <w:ind w:left="2160" w:hanging="360"/>
      </w:pPr>
      <w:rPr>
        <w:rFonts w:ascii="Wingdings" w:hAnsi="Wingdings" w:hint="default"/>
      </w:rPr>
    </w:lvl>
    <w:lvl w:ilvl="3" w:tplc="312E3FF4" w:tentative="1">
      <w:start w:val="1"/>
      <w:numFmt w:val="bullet"/>
      <w:lvlText w:val=""/>
      <w:lvlJc w:val="left"/>
      <w:pPr>
        <w:tabs>
          <w:tab w:val="num" w:pos="2880"/>
        </w:tabs>
        <w:ind w:left="2880" w:hanging="360"/>
      </w:pPr>
      <w:rPr>
        <w:rFonts w:ascii="Symbol" w:hAnsi="Symbol" w:hint="default"/>
      </w:rPr>
    </w:lvl>
    <w:lvl w:ilvl="4" w:tplc="C8C82BF2" w:tentative="1">
      <w:start w:val="1"/>
      <w:numFmt w:val="bullet"/>
      <w:lvlText w:val="o"/>
      <w:lvlJc w:val="left"/>
      <w:pPr>
        <w:tabs>
          <w:tab w:val="num" w:pos="3600"/>
        </w:tabs>
        <w:ind w:left="3600" w:hanging="360"/>
      </w:pPr>
      <w:rPr>
        <w:rFonts w:ascii="Courier New" w:hAnsi="Courier New" w:hint="default"/>
      </w:rPr>
    </w:lvl>
    <w:lvl w:ilvl="5" w:tplc="315854A4" w:tentative="1">
      <w:start w:val="1"/>
      <w:numFmt w:val="bullet"/>
      <w:lvlText w:val=""/>
      <w:lvlJc w:val="left"/>
      <w:pPr>
        <w:tabs>
          <w:tab w:val="num" w:pos="4320"/>
        </w:tabs>
        <w:ind w:left="4320" w:hanging="360"/>
      </w:pPr>
      <w:rPr>
        <w:rFonts w:ascii="Wingdings" w:hAnsi="Wingdings" w:hint="default"/>
      </w:rPr>
    </w:lvl>
    <w:lvl w:ilvl="6" w:tplc="8F84367A" w:tentative="1">
      <w:start w:val="1"/>
      <w:numFmt w:val="bullet"/>
      <w:lvlText w:val=""/>
      <w:lvlJc w:val="left"/>
      <w:pPr>
        <w:tabs>
          <w:tab w:val="num" w:pos="5040"/>
        </w:tabs>
        <w:ind w:left="5040" w:hanging="360"/>
      </w:pPr>
      <w:rPr>
        <w:rFonts w:ascii="Symbol" w:hAnsi="Symbol" w:hint="default"/>
      </w:rPr>
    </w:lvl>
    <w:lvl w:ilvl="7" w:tplc="49941158" w:tentative="1">
      <w:start w:val="1"/>
      <w:numFmt w:val="bullet"/>
      <w:lvlText w:val="o"/>
      <w:lvlJc w:val="left"/>
      <w:pPr>
        <w:tabs>
          <w:tab w:val="num" w:pos="5760"/>
        </w:tabs>
        <w:ind w:left="5760" w:hanging="360"/>
      </w:pPr>
      <w:rPr>
        <w:rFonts w:ascii="Courier New" w:hAnsi="Courier New" w:hint="default"/>
      </w:rPr>
    </w:lvl>
    <w:lvl w:ilvl="8" w:tplc="C8B8B5E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3D37368"/>
    <w:multiLevelType w:val="hybridMultilevel"/>
    <w:tmpl w:val="F612C74C"/>
    <w:lvl w:ilvl="0" w:tplc="094633F4">
      <w:start w:val="1"/>
      <w:numFmt w:val="bullet"/>
      <w:lvlText w:val="-"/>
      <w:lvlJc w:val="left"/>
      <w:pPr>
        <w:ind w:left="720" w:hanging="360"/>
      </w:pPr>
      <w:rPr>
        <w:rFonts w:ascii="Courier New" w:hAnsi="Courier New" w:hint="default"/>
      </w:rPr>
    </w:lvl>
    <w:lvl w:ilvl="1" w:tplc="7BCEFFDE" w:tentative="1">
      <w:start w:val="1"/>
      <w:numFmt w:val="bullet"/>
      <w:lvlText w:val="o"/>
      <w:lvlJc w:val="left"/>
      <w:pPr>
        <w:ind w:left="1440" w:hanging="360"/>
      </w:pPr>
      <w:rPr>
        <w:rFonts w:ascii="Courier New" w:hAnsi="Courier New" w:cs="Courier New" w:hint="default"/>
      </w:rPr>
    </w:lvl>
    <w:lvl w:ilvl="2" w:tplc="6E04F170" w:tentative="1">
      <w:start w:val="1"/>
      <w:numFmt w:val="bullet"/>
      <w:lvlText w:val=""/>
      <w:lvlJc w:val="left"/>
      <w:pPr>
        <w:ind w:left="2160" w:hanging="360"/>
      </w:pPr>
      <w:rPr>
        <w:rFonts w:ascii="Wingdings" w:hAnsi="Wingdings" w:hint="default"/>
      </w:rPr>
    </w:lvl>
    <w:lvl w:ilvl="3" w:tplc="120C9A08" w:tentative="1">
      <w:start w:val="1"/>
      <w:numFmt w:val="bullet"/>
      <w:lvlText w:val=""/>
      <w:lvlJc w:val="left"/>
      <w:pPr>
        <w:ind w:left="2880" w:hanging="360"/>
      </w:pPr>
      <w:rPr>
        <w:rFonts w:ascii="Symbol" w:hAnsi="Symbol" w:hint="default"/>
      </w:rPr>
    </w:lvl>
    <w:lvl w:ilvl="4" w:tplc="B7560608" w:tentative="1">
      <w:start w:val="1"/>
      <w:numFmt w:val="bullet"/>
      <w:lvlText w:val="o"/>
      <w:lvlJc w:val="left"/>
      <w:pPr>
        <w:ind w:left="3600" w:hanging="360"/>
      </w:pPr>
      <w:rPr>
        <w:rFonts w:ascii="Courier New" w:hAnsi="Courier New" w:cs="Courier New" w:hint="default"/>
      </w:rPr>
    </w:lvl>
    <w:lvl w:ilvl="5" w:tplc="D99246CA" w:tentative="1">
      <w:start w:val="1"/>
      <w:numFmt w:val="bullet"/>
      <w:lvlText w:val=""/>
      <w:lvlJc w:val="left"/>
      <w:pPr>
        <w:ind w:left="4320" w:hanging="360"/>
      </w:pPr>
      <w:rPr>
        <w:rFonts w:ascii="Wingdings" w:hAnsi="Wingdings" w:hint="default"/>
      </w:rPr>
    </w:lvl>
    <w:lvl w:ilvl="6" w:tplc="0D6E9E7E" w:tentative="1">
      <w:start w:val="1"/>
      <w:numFmt w:val="bullet"/>
      <w:lvlText w:val=""/>
      <w:lvlJc w:val="left"/>
      <w:pPr>
        <w:ind w:left="5040" w:hanging="360"/>
      </w:pPr>
      <w:rPr>
        <w:rFonts w:ascii="Symbol" w:hAnsi="Symbol" w:hint="default"/>
      </w:rPr>
    </w:lvl>
    <w:lvl w:ilvl="7" w:tplc="C3064FBA" w:tentative="1">
      <w:start w:val="1"/>
      <w:numFmt w:val="bullet"/>
      <w:lvlText w:val="o"/>
      <w:lvlJc w:val="left"/>
      <w:pPr>
        <w:ind w:left="5760" w:hanging="360"/>
      </w:pPr>
      <w:rPr>
        <w:rFonts w:ascii="Courier New" w:hAnsi="Courier New" w:cs="Courier New" w:hint="default"/>
      </w:rPr>
    </w:lvl>
    <w:lvl w:ilvl="8" w:tplc="2876B082" w:tentative="1">
      <w:start w:val="1"/>
      <w:numFmt w:val="bullet"/>
      <w:lvlText w:val=""/>
      <w:lvlJc w:val="left"/>
      <w:pPr>
        <w:ind w:left="6480" w:hanging="360"/>
      </w:pPr>
      <w:rPr>
        <w:rFonts w:ascii="Wingdings" w:hAnsi="Wingdings" w:hint="default"/>
      </w:rPr>
    </w:lvl>
  </w:abstractNum>
  <w:abstractNum w:abstractNumId="9" w15:restartNumberingAfterBreak="0">
    <w:nsid w:val="04126818"/>
    <w:multiLevelType w:val="hybridMultilevel"/>
    <w:tmpl w:val="C9F8BF6A"/>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48F0F25"/>
    <w:multiLevelType w:val="hybridMultilevel"/>
    <w:tmpl w:val="21A895EA"/>
    <w:lvl w:ilvl="0" w:tplc="64CA2D7C">
      <w:start w:val="1"/>
      <w:numFmt w:val="bullet"/>
      <w:lvlText w:val="-"/>
      <w:lvlJc w:val="left"/>
      <w:pPr>
        <w:ind w:left="720" w:hanging="360"/>
      </w:pPr>
      <w:rPr>
        <w:rFonts w:ascii="Courier New" w:hAnsi="Courier New" w:hint="default"/>
      </w:rPr>
    </w:lvl>
    <w:lvl w:ilvl="1" w:tplc="E690E132" w:tentative="1">
      <w:start w:val="1"/>
      <w:numFmt w:val="bullet"/>
      <w:lvlText w:val="o"/>
      <w:lvlJc w:val="left"/>
      <w:pPr>
        <w:ind w:left="1440" w:hanging="360"/>
      </w:pPr>
      <w:rPr>
        <w:rFonts w:ascii="Courier New" w:hAnsi="Courier New" w:cs="Courier New" w:hint="default"/>
      </w:rPr>
    </w:lvl>
    <w:lvl w:ilvl="2" w:tplc="F5C41EF2" w:tentative="1">
      <w:start w:val="1"/>
      <w:numFmt w:val="bullet"/>
      <w:lvlText w:val=""/>
      <w:lvlJc w:val="left"/>
      <w:pPr>
        <w:ind w:left="2160" w:hanging="360"/>
      </w:pPr>
      <w:rPr>
        <w:rFonts w:ascii="Wingdings" w:hAnsi="Wingdings" w:hint="default"/>
      </w:rPr>
    </w:lvl>
    <w:lvl w:ilvl="3" w:tplc="928CA016" w:tentative="1">
      <w:start w:val="1"/>
      <w:numFmt w:val="bullet"/>
      <w:lvlText w:val=""/>
      <w:lvlJc w:val="left"/>
      <w:pPr>
        <w:ind w:left="2880" w:hanging="360"/>
      </w:pPr>
      <w:rPr>
        <w:rFonts w:ascii="Symbol" w:hAnsi="Symbol" w:hint="default"/>
      </w:rPr>
    </w:lvl>
    <w:lvl w:ilvl="4" w:tplc="1CDC68D0" w:tentative="1">
      <w:start w:val="1"/>
      <w:numFmt w:val="bullet"/>
      <w:lvlText w:val="o"/>
      <w:lvlJc w:val="left"/>
      <w:pPr>
        <w:ind w:left="3600" w:hanging="360"/>
      </w:pPr>
      <w:rPr>
        <w:rFonts w:ascii="Courier New" w:hAnsi="Courier New" w:cs="Courier New" w:hint="default"/>
      </w:rPr>
    </w:lvl>
    <w:lvl w:ilvl="5" w:tplc="626AD172" w:tentative="1">
      <w:start w:val="1"/>
      <w:numFmt w:val="bullet"/>
      <w:lvlText w:val=""/>
      <w:lvlJc w:val="left"/>
      <w:pPr>
        <w:ind w:left="4320" w:hanging="360"/>
      </w:pPr>
      <w:rPr>
        <w:rFonts w:ascii="Wingdings" w:hAnsi="Wingdings" w:hint="default"/>
      </w:rPr>
    </w:lvl>
    <w:lvl w:ilvl="6" w:tplc="C1C40A48" w:tentative="1">
      <w:start w:val="1"/>
      <w:numFmt w:val="bullet"/>
      <w:lvlText w:val=""/>
      <w:lvlJc w:val="left"/>
      <w:pPr>
        <w:ind w:left="5040" w:hanging="360"/>
      </w:pPr>
      <w:rPr>
        <w:rFonts w:ascii="Symbol" w:hAnsi="Symbol" w:hint="default"/>
      </w:rPr>
    </w:lvl>
    <w:lvl w:ilvl="7" w:tplc="D0222CE6" w:tentative="1">
      <w:start w:val="1"/>
      <w:numFmt w:val="bullet"/>
      <w:lvlText w:val="o"/>
      <w:lvlJc w:val="left"/>
      <w:pPr>
        <w:ind w:left="5760" w:hanging="360"/>
      </w:pPr>
      <w:rPr>
        <w:rFonts w:ascii="Courier New" w:hAnsi="Courier New" w:cs="Courier New" w:hint="default"/>
      </w:rPr>
    </w:lvl>
    <w:lvl w:ilvl="8" w:tplc="E74E2848" w:tentative="1">
      <w:start w:val="1"/>
      <w:numFmt w:val="bullet"/>
      <w:lvlText w:val=""/>
      <w:lvlJc w:val="left"/>
      <w:pPr>
        <w:ind w:left="6480" w:hanging="360"/>
      </w:pPr>
      <w:rPr>
        <w:rFonts w:ascii="Wingdings" w:hAnsi="Wingdings" w:hint="default"/>
      </w:rPr>
    </w:lvl>
  </w:abstractNum>
  <w:abstractNum w:abstractNumId="11" w15:restartNumberingAfterBreak="0">
    <w:nsid w:val="05B5200D"/>
    <w:multiLevelType w:val="hybridMultilevel"/>
    <w:tmpl w:val="86F49F22"/>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64E02C8"/>
    <w:multiLevelType w:val="hybridMultilevel"/>
    <w:tmpl w:val="AABEAA9A"/>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6615DEC"/>
    <w:multiLevelType w:val="hybridMultilevel"/>
    <w:tmpl w:val="F9E2E448"/>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67847AD"/>
    <w:multiLevelType w:val="singleLevel"/>
    <w:tmpl w:val="64CA2D7C"/>
    <w:lvl w:ilvl="0">
      <w:start w:val="1"/>
      <w:numFmt w:val="bullet"/>
      <w:lvlText w:val="-"/>
      <w:lvlJc w:val="left"/>
      <w:pPr>
        <w:ind w:left="720" w:hanging="360"/>
      </w:pPr>
      <w:rPr>
        <w:rFonts w:ascii="Courier New" w:hAnsi="Courier New" w:hint="default"/>
      </w:rPr>
    </w:lvl>
  </w:abstractNum>
  <w:abstractNum w:abstractNumId="15" w15:restartNumberingAfterBreak="0">
    <w:nsid w:val="06A51870"/>
    <w:multiLevelType w:val="hybridMultilevel"/>
    <w:tmpl w:val="C2E6A8CE"/>
    <w:lvl w:ilvl="0" w:tplc="64CA2D7C">
      <w:start w:val="1"/>
      <w:numFmt w:val="bullet"/>
      <w:lvlText w:val="-"/>
      <w:lvlJc w:val="left"/>
      <w:pPr>
        <w:ind w:left="720" w:hanging="360"/>
      </w:pPr>
      <w:rPr>
        <w:rFonts w:ascii="Courier New" w:hAnsi="Courier Ne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06E35DC5"/>
    <w:multiLevelType w:val="hybridMultilevel"/>
    <w:tmpl w:val="475E5176"/>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076F6479"/>
    <w:multiLevelType w:val="hybridMultilevel"/>
    <w:tmpl w:val="77E4F00E"/>
    <w:lvl w:ilvl="0" w:tplc="0C0A0001">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0940205A"/>
    <w:multiLevelType w:val="hybridMultilevel"/>
    <w:tmpl w:val="AC14E744"/>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095D618D"/>
    <w:multiLevelType w:val="hybridMultilevel"/>
    <w:tmpl w:val="C6182870"/>
    <w:lvl w:ilvl="0" w:tplc="06C2B6B4">
      <w:start w:val="1"/>
      <w:numFmt w:val="bullet"/>
      <w:lvlText w:val=""/>
      <w:lvlJc w:val="left"/>
      <w:pPr>
        <w:ind w:left="720" w:hanging="360"/>
      </w:pPr>
      <w:rPr>
        <w:rFonts w:ascii="Symbol" w:hAnsi="Symbol"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0" w15:restartNumberingAfterBreak="0">
    <w:nsid w:val="09861BBF"/>
    <w:multiLevelType w:val="hybridMultilevel"/>
    <w:tmpl w:val="E04685AE"/>
    <w:lvl w:ilvl="0" w:tplc="06C2B6B4">
      <w:start w:val="1"/>
      <w:numFmt w:val="bullet"/>
      <w:lvlText w:val=""/>
      <w:lvlJc w:val="left"/>
      <w:pPr>
        <w:ind w:left="720" w:hanging="360"/>
      </w:pPr>
      <w:rPr>
        <w:rFonts w:ascii="Symbol" w:hAnsi="Symbol"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1" w15:restartNumberingAfterBreak="0">
    <w:nsid w:val="09A81F60"/>
    <w:multiLevelType w:val="hybridMultilevel"/>
    <w:tmpl w:val="62C6A5BE"/>
    <w:lvl w:ilvl="0" w:tplc="06C2B6B4">
      <w:start w:val="1"/>
      <w:numFmt w:val="bullet"/>
      <w:lvlText w:val=""/>
      <w:lvlJc w:val="left"/>
      <w:pPr>
        <w:ind w:left="1287"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0B8D41E9"/>
    <w:multiLevelType w:val="hybridMultilevel"/>
    <w:tmpl w:val="8B3E2BC4"/>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0BDC1E2C"/>
    <w:multiLevelType w:val="hybridMultilevel"/>
    <w:tmpl w:val="80E2D212"/>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0C1A72A3"/>
    <w:multiLevelType w:val="singleLevel"/>
    <w:tmpl w:val="ED766D1E"/>
    <w:lvl w:ilvl="0">
      <w:start w:val="2"/>
      <w:numFmt w:val="bullet"/>
      <w:lvlText w:val="-"/>
      <w:lvlJc w:val="left"/>
      <w:pPr>
        <w:tabs>
          <w:tab w:val="num" w:pos="785"/>
        </w:tabs>
        <w:ind w:left="785" w:hanging="360"/>
      </w:pPr>
      <w:rPr>
        <w:rFonts w:hint="default"/>
      </w:rPr>
    </w:lvl>
  </w:abstractNum>
  <w:abstractNum w:abstractNumId="25" w15:restartNumberingAfterBreak="0">
    <w:nsid w:val="0C472C53"/>
    <w:multiLevelType w:val="hybridMultilevel"/>
    <w:tmpl w:val="41A01A72"/>
    <w:lvl w:ilvl="0" w:tplc="0496632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0CBA7FAB"/>
    <w:multiLevelType w:val="hybridMultilevel"/>
    <w:tmpl w:val="1084DE34"/>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0F321FF8"/>
    <w:multiLevelType w:val="hybridMultilevel"/>
    <w:tmpl w:val="6B9CAB7C"/>
    <w:lvl w:ilvl="0" w:tplc="06C2B6B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0F3A675A"/>
    <w:multiLevelType w:val="hybridMultilevel"/>
    <w:tmpl w:val="720E1A9C"/>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10473997"/>
    <w:multiLevelType w:val="hybridMultilevel"/>
    <w:tmpl w:val="3F725BC6"/>
    <w:lvl w:ilvl="0" w:tplc="0C0A000F">
      <w:start w:val="1"/>
      <w:numFmt w:val="bullet"/>
      <w:lvlText w:val="-"/>
      <w:lvlJc w:val="left"/>
      <w:pPr>
        <w:ind w:left="720" w:hanging="360"/>
      </w:pPr>
      <w:rPr>
        <w:rFonts w:ascii="Courier New" w:hAnsi="Courier New" w:hint="default"/>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abstractNum w:abstractNumId="30" w15:restartNumberingAfterBreak="0">
    <w:nsid w:val="10AF4BF7"/>
    <w:multiLevelType w:val="hybridMultilevel"/>
    <w:tmpl w:val="11240B6A"/>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12254CBF"/>
    <w:multiLevelType w:val="hybridMultilevel"/>
    <w:tmpl w:val="270C3FE6"/>
    <w:lvl w:ilvl="0" w:tplc="372ACBD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12964886"/>
    <w:multiLevelType w:val="hybridMultilevel"/>
    <w:tmpl w:val="03F4E136"/>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132B1E63"/>
    <w:multiLevelType w:val="hybridMultilevel"/>
    <w:tmpl w:val="01EC27D4"/>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13D17734"/>
    <w:multiLevelType w:val="hybridMultilevel"/>
    <w:tmpl w:val="94B0C18C"/>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14EC6051"/>
    <w:multiLevelType w:val="hybridMultilevel"/>
    <w:tmpl w:val="A9FA7ED0"/>
    <w:lvl w:ilvl="0" w:tplc="06C2B6B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40C001B">
      <w:start w:val="1"/>
      <w:numFmt w:val="bullet"/>
      <w:lvlText w:val=""/>
      <w:lvlJc w:val="left"/>
      <w:pPr>
        <w:ind w:left="2160" w:hanging="360"/>
      </w:pPr>
      <w:rPr>
        <w:rFonts w:ascii="Wingdings" w:hAnsi="Wingdings" w:hint="default"/>
      </w:rPr>
    </w:lvl>
    <w:lvl w:ilvl="3" w:tplc="040C000F" w:tentative="1">
      <w:start w:val="1"/>
      <w:numFmt w:val="bullet"/>
      <w:lvlText w:val=""/>
      <w:lvlJc w:val="left"/>
      <w:pPr>
        <w:ind w:left="2880" w:hanging="360"/>
      </w:pPr>
      <w:rPr>
        <w:rFonts w:ascii="Symbol" w:hAnsi="Symbol" w:hint="default"/>
      </w:rPr>
    </w:lvl>
    <w:lvl w:ilvl="4" w:tplc="040C0019" w:tentative="1">
      <w:start w:val="1"/>
      <w:numFmt w:val="bullet"/>
      <w:lvlText w:val="o"/>
      <w:lvlJc w:val="left"/>
      <w:pPr>
        <w:ind w:left="3600" w:hanging="360"/>
      </w:pPr>
      <w:rPr>
        <w:rFonts w:ascii="Courier New" w:hAnsi="Courier New" w:cs="Courier New" w:hint="default"/>
      </w:rPr>
    </w:lvl>
    <w:lvl w:ilvl="5" w:tplc="040C001B" w:tentative="1">
      <w:start w:val="1"/>
      <w:numFmt w:val="bullet"/>
      <w:lvlText w:val=""/>
      <w:lvlJc w:val="left"/>
      <w:pPr>
        <w:ind w:left="4320" w:hanging="360"/>
      </w:pPr>
      <w:rPr>
        <w:rFonts w:ascii="Wingdings" w:hAnsi="Wingdings" w:hint="default"/>
      </w:rPr>
    </w:lvl>
    <w:lvl w:ilvl="6" w:tplc="040C000F" w:tentative="1">
      <w:start w:val="1"/>
      <w:numFmt w:val="bullet"/>
      <w:lvlText w:val=""/>
      <w:lvlJc w:val="left"/>
      <w:pPr>
        <w:ind w:left="5040" w:hanging="360"/>
      </w:pPr>
      <w:rPr>
        <w:rFonts w:ascii="Symbol" w:hAnsi="Symbol" w:hint="default"/>
      </w:rPr>
    </w:lvl>
    <w:lvl w:ilvl="7" w:tplc="040C0019" w:tentative="1">
      <w:start w:val="1"/>
      <w:numFmt w:val="bullet"/>
      <w:lvlText w:val="o"/>
      <w:lvlJc w:val="left"/>
      <w:pPr>
        <w:ind w:left="5760" w:hanging="360"/>
      </w:pPr>
      <w:rPr>
        <w:rFonts w:ascii="Courier New" w:hAnsi="Courier New" w:cs="Courier New" w:hint="default"/>
      </w:rPr>
    </w:lvl>
    <w:lvl w:ilvl="8" w:tplc="040C001B" w:tentative="1">
      <w:start w:val="1"/>
      <w:numFmt w:val="bullet"/>
      <w:lvlText w:val=""/>
      <w:lvlJc w:val="left"/>
      <w:pPr>
        <w:ind w:left="6480" w:hanging="360"/>
      </w:pPr>
      <w:rPr>
        <w:rFonts w:ascii="Wingdings" w:hAnsi="Wingdings" w:hint="default"/>
      </w:rPr>
    </w:lvl>
  </w:abstractNum>
  <w:abstractNum w:abstractNumId="36" w15:restartNumberingAfterBreak="0">
    <w:nsid w:val="154779FB"/>
    <w:multiLevelType w:val="hybridMultilevel"/>
    <w:tmpl w:val="E5CC69E6"/>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15FA41A3"/>
    <w:multiLevelType w:val="hybridMultilevel"/>
    <w:tmpl w:val="67D2503E"/>
    <w:lvl w:ilvl="0" w:tplc="64CA2D7C">
      <w:start w:val="1"/>
      <w:numFmt w:val="bullet"/>
      <w:lvlText w:val="-"/>
      <w:lvlJc w:val="left"/>
      <w:pPr>
        <w:ind w:left="720" w:hanging="360"/>
      </w:pPr>
      <w:rPr>
        <w:rFonts w:ascii="Courier New" w:hAnsi="Courier New" w:hint="default"/>
      </w:rPr>
    </w:lvl>
    <w:lvl w:ilvl="1" w:tplc="0C0A0003">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16724C83"/>
    <w:multiLevelType w:val="hybridMultilevel"/>
    <w:tmpl w:val="05107648"/>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16F13F0F"/>
    <w:multiLevelType w:val="hybridMultilevel"/>
    <w:tmpl w:val="A1640362"/>
    <w:lvl w:ilvl="0" w:tplc="64CA2D7C">
      <w:start w:val="1"/>
      <w:numFmt w:val="bullet"/>
      <w:lvlText w:val=""/>
      <w:lvlJc w:val="left"/>
      <w:pPr>
        <w:ind w:left="1429" w:hanging="360"/>
      </w:pPr>
      <w:rPr>
        <w:rFonts w:ascii="Symbol" w:hAnsi="Symbol" w:hint="default"/>
      </w:rPr>
    </w:lvl>
    <w:lvl w:ilvl="1" w:tplc="0C0A0003">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0" w15:restartNumberingAfterBreak="0">
    <w:nsid w:val="1751310F"/>
    <w:multiLevelType w:val="hybridMultilevel"/>
    <w:tmpl w:val="8F4009E8"/>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18732D48"/>
    <w:multiLevelType w:val="hybridMultilevel"/>
    <w:tmpl w:val="A178F540"/>
    <w:lvl w:ilvl="0" w:tplc="0C0A0001">
      <w:start w:val="1"/>
      <w:numFmt w:val="bullet"/>
      <w:lvlText w:val=""/>
      <w:lvlJc w:val="left"/>
      <w:pPr>
        <w:ind w:left="720" w:hanging="360"/>
      </w:pPr>
      <w:rPr>
        <w:rFonts w:ascii="Symbol" w:hAnsi="Symbol" w:hint="default"/>
      </w:rPr>
    </w:lvl>
    <w:lvl w:ilvl="1" w:tplc="04966324"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18C206CF"/>
    <w:multiLevelType w:val="hybridMultilevel"/>
    <w:tmpl w:val="CBA4014C"/>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18E249B5"/>
    <w:multiLevelType w:val="hybridMultilevel"/>
    <w:tmpl w:val="D11815D2"/>
    <w:lvl w:ilvl="0" w:tplc="06C2B6B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1905010D"/>
    <w:multiLevelType w:val="hybridMultilevel"/>
    <w:tmpl w:val="FF3655C2"/>
    <w:lvl w:ilvl="0" w:tplc="312CF302">
      <w:start w:val="1"/>
      <w:numFmt w:val="bullet"/>
      <w:lvlText w:val=""/>
      <w:lvlJc w:val="left"/>
      <w:pPr>
        <w:ind w:left="720" w:hanging="360"/>
      </w:pPr>
      <w:rPr>
        <w:rFonts w:ascii="Symbol" w:hAnsi="Symbol" w:hint="default"/>
      </w:rPr>
    </w:lvl>
    <w:lvl w:ilvl="1" w:tplc="368037AE" w:tentative="1">
      <w:start w:val="1"/>
      <w:numFmt w:val="bullet"/>
      <w:lvlText w:val="o"/>
      <w:lvlJc w:val="left"/>
      <w:pPr>
        <w:ind w:left="1440" w:hanging="360"/>
      </w:pPr>
      <w:rPr>
        <w:rFonts w:ascii="Courier New" w:hAnsi="Courier New" w:cs="Courier New" w:hint="default"/>
      </w:rPr>
    </w:lvl>
    <w:lvl w:ilvl="2" w:tplc="838ADD4C" w:tentative="1">
      <w:start w:val="1"/>
      <w:numFmt w:val="bullet"/>
      <w:lvlText w:val=""/>
      <w:lvlJc w:val="left"/>
      <w:pPr>
        <w:ind w:left="2160" w:hanging="360"/>
      </w:pPr>
      <w:rPr>
        <w:rFonts w:ascii="Wingdings" w:hAnsi="Wingdings" w:hint="default"/>
      </w:rPr>
    </w:lvl>
    <w:lvl w:ilvl="3" w:tplc="3366215A" w:tentative="1">
      <w:start w:val="1"/>
      <w:numFmt w:val="bullet"/>
      <w:lvlText w:val=""/>
      <w:lvlJc w:val="left"/>
      <w:pPr>
        <w:ind w:left="2880" w:hanging="360"/>
      </w:pPr>
      <w:rPr>
        <w:rFonts w:ascii="Symbol" w:hAnsi="Symbol" w:hint="default"/>
      </w:rPr>
    </w:lvl>
    <w:lvl w:ilvl="4" w:tplc="ECE46D62" w:tentative="1">
      <w:start w:val="1"/>
      <w:numFmt w:val="bullet"/>
      <w:lvlText w:val="o"/>
      <w:lvlJc w:val="left"/>
      <w:pPr>
        <w:ind w:left="3600" w:hanging="360"/>
      </w:pPr>
      <w:rPr>
        <w:rFonts w:ascii="Courier New" w:hAnsi="Courier New" w:cs="Courier New" w:hint="default"/>
      </w:rPr>
    </w:lvl>
    <w:lvl w:ilvl="5" w:tplc="D682C2CC" w:tentative="1">
      <w:start w:val="1"/>
      <w:numFmt w:val="bullet"/>
      <w:lvlText w:val=""/>
      <w:lvlJc w:val="left"/>
      <w:pPr>
        <w:ind w:left="4320" w:hanging="360"/>
      </w:pPr>
      <w:rPr>
        <w:rFonts w:ascii="Wingdings" w:hAnsi="Wingdings" w:hint="default"/>
      </w:rPr>
    </w:lvl>
    <w:lvl w:ilvl="6" w:tplc="B71AFC24" w:tentative="1">
      <w:start w:val="1"/>
      <w:numFmt w:val="bullet"/>
      <w:lvlText w:val=""/>
      <w:lvlJc w:val="left"/>
      <w:pPr>
        <w:ind w:left="5040" w:hanging="360"/>
      </w:pPr>
      <w:rPr>
        <w:rFonts w:ascii="Symbol" w:hAnsi="Symbol" w:hint="default"/>
      </w:rPr>
    </w:lvl>
    <w:lvl w:ilvl="7" w:tplc="72C8CDFE" w:tentative="1">
      <w:start w:val="1"/>
      <w:numFmt w:val="bullet"/>
      <w:lvlText w:val="o"/>
      <w:lvlJc w:val="left"/>
      <w:pPr>
        <w:ind w:left="5760" w:hanging="360"/>
      </w:pPr>
      <w:rPr>
        <w:rFonts w:ascii="Courier New" w:hAnsi="Courier New" w:cs="Courier New" w:hint="default"/>
      </w:rPr>
    </w:lvl>
    <w:lvl w:ilvl="8" w:tplc="42787702" w:tentative="1">
      <w:start w:val="1"/>
      <w:numFmt w:val="bullet"/>
      <w:lvlText w:val=""/>
      <w:lvlJc w:val="left"/>
      <w:pPr>
        <w:ind w:left="6480" w:hanging="360"/>
      </w:pPr>
      <w:rPr>
        <w:rFonts w:ascii="Wingdings" w:hAnsi="Wingdings" w:hint="default"/>
      </w:rPr>
    </w:lvl>
  </w:abstractNum>
  <w:abstractNum w:abstractNumId="45" w15:restartNumberingAfterBreak="0">
    <w:nsid w:val="19157CD1"/>
    <w:multiLevelType w:val="hybridMultilevel"/>
    <w:tmpl w:val="B07AEC52"/>
    <w:lvl w:ilvl="0" w:tplc="B3DC8DF0">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6" w15:restartNumberingAfterBreak="0">
    <w:nsid w:val="1998068D"/>
    <w:multiLevelType w:val="hybridMultilevel"/>
    <w:tmpl w:val="E74AA8F2"/>
    <w:lvl w:ilvl="0" w:tplc="64CA2D7C">
      <w:start w:val="1"/>
      <w:numFmt w:val="bullet"/>
      <w:lvlText w:val="-"/>
      <w:lvlJc w:val="left"/>
      <w:pPr>
        <w:ind w:left="720" w:hanging="360"/>
      </w:pPr>
      <w:rPr>
        <w:rFonts w:ascii="Courier New" w:hAnsi="Courier New" w:hint="default"/>
      </w:rPr>
    </w:lvl>
    <w:lvl w:ilvl="1" w:tplc="0C0A000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1A171837"/>
    <w:multiLevelType w:val="hybridMultilevel"/>
    <w:tmpl w:val="E16A5708"/>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1A8A620A"/>
    <w:multiLevelType w:val="hybridMultilevel"/>
    <w:tmpl w:val="BB7050D8"/>
    <w:lvl w:ilvl="0" w:tplc="372ACBD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1AF02D22"/>
    <w:multiLevelType w:val="hybridMultilevel"/>
    <w:tmpl w:val="61EE759E"/>
    <w:lvl w:ilvl="0" w:tplc="06C2B6B4">
      <w:start w:val="1"/>
      <w:numFmt w:val="bullet"/>
      <w:lvlText w:val="-"/>
      <w:lvlJc w:val="left"/>
      <w:pPr>
        <w:ind w:left="1571" w:hanging="360"/>
      </w:pPr>
      <w:rPr>
        <w:rFonts w:ascii="Vladimir Script" w:hAnsi="Vladimir Script"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50" w15:restartNumberingAfterBreak="0">
    <w:nsid w:val="1AF90A5C"/>
    <w:multiLevelType w:val="hybridMultilevel"/>
    <w:tmpl w:val="FBD477F0"/>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1B037237"/>
    <w:multiLevelType w:val="hybridMultilevel"/>
    <w:tmpl w:val="D1CC04F4"/>
    <w:lvl w:ilvl="0" w:tplc="06C2B6B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1C33103D"/>
    <w:multiLevelType w:val="hybridMultilevel"/>
    <w:tmpl w:val="48F0878E"/>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1CA05341"/>
    <w:multiLevelType w:val="hybridMultilevel"/>
    <w:tmpl w:val="63D8D416"/>
    <w:lvl w:ilvl="0" w:tplc="ED766D1E">
      <w:start w:val="2"/>
      <w:numFmt w:val="bullet"/>
      <w:lvlText w:val="-"/>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1CF4699F"/>
    <w:multiLevelType w:val="hybridMultilevel"/>
    <w:tmpl w:val="B08A23BE"/>
    <w:lvl w:ilvl="0" w:tplc="64CA2D7C">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1D60135F"/>
    <w:multiLevelType w:val="hybridMultilevel"/>
    <w:tmpl w:val="AA1C6A38"/>
    <w:lvl w:ilvl="0" w:tplc="06C2B6B4">
      <w:start w:val="1"/>
      <w:numFmt w:val="bullet"/>
      <w:lvlText w:val=""/>
      <w:lvlJc w:val="left"/>
      <w:pPr>
        <w:ind w:left="720" w:hanging="360"/>
      </w:pPr>
      <w:rPr>
        <w:rFonts w:ascii="Symbol" w:hAnsi="Symbol"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56" w15:restartNumberingAfterBreak="0">
    <w:nsid w:val="1D626D29"/>
    <w:multiLevelType w:val="hybridMultilevel"/>
    <w:tmpl w:val="4824FB60"/>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1E92044B"/>
    <w:multiLevelType w:val="hybridMultilevel"/>
    <w:tmpl w:val="CCD2208A"/>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1F110987"/>
    <w:multiLevelType w:val="hybridMultilevel"/>
    <w:tmpl w:val="518E486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59" w15:restartNumberingAfterBreak="0">
    <w:nsid w:val="1F3A3594"/>
    <w:multiLevelType w:val="hybridMultilevel"/>
    <w:tmpl w:val="549AFC42"/>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1F5545D8"/>
    <w:multiLevelType w:val="hybridMultilevel"/>
    <w:tmpl w:val="4432BFE8"/>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1FF24369"/>
    <w:multiLevelType w:val="hybridMultilevel"/>
    <w:tmpl w:val="8CF883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2083724F"/>
    <w:multiLevelType w:val="hybridMultilevel"/>
    <w:tmpl w:val="2B746028"/>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15:restartNumberingAfterBreak="0">
    <w:nsid w:val="208543FE"/>
    <w:multiLevelType w:val="hybridMultilevel"/>
    <w:tmpl w:val="563A8158"/>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21086069"/>
    <w:multiLevelType w:val="hybridMultilevel"/>
    <w:tmpl w:val="ADD66F0A"/>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15:restartNumberingAfterBreak="0">
    <w:nsid w:val="21A32CF5"/>
    <w:multiLevelType w:val="hybridMultilevel"/>
    <w:tmpl w:val="94C6DAE0"/>
    <w:lvl w:ilvl="0" w:tplc="64CA2D7C">
      <w:start w:val="804"/>
      <w:numFmt w:val="bullet"/>
      <w:lvlText w:val="-"/>
      <w:lvlJc w:val="left"/>
      <w:pPr>
        <w:ind w:left="1211" w:hanging="360"/>
      </w:pPr>
      <w:rPr>
        <w:rFonts w:ascii="Arial" w:eastAsia="Times New Roman" w:hAnsi="Arial" w:cs="Arial" w:hint="default"/>
        <w:lang w:val="es-ES_tradnl"/>
      </w:rPr>
    </w:lvl>
    <w:lvl w:ilvl="1" w:tplc="0C0A0003">
      <w:start w:val="1"/>
      <w:numFmt w:val="bullet"/>
      <w:lvlText w:val="o"/>
      <w:lvlJc w:val="left"/>
      <w:pPr>
        <w:ind w:left="1931" w:hanging="360"/>
      </w:pPr>
      <w:rPr>
        <w:rFonts w:ascii="Courier New" w:hAnsi="Courier New" w:cs="Courier New" w:hint="default"/>
      </w:rPr>
    </w:lvl>
    <w:lvl w:ilvl="2" w:tplc="0C0A0005">
      <w:start w:val="1"/>
      <w:numFmt w:val="bullet"/>
      <w:lvlText w:val=""/>
      <w:lvlJc w:val="left"/>
      <w:pPr>
        <w:ind w:left="2651" w:hanging="360"/>
      </w:pPr>
      <w:rPr>
        <w:rFonts w:ascii="Wingdings" w:hAnsi="Wingdings" w:hint="default"/>
      </w:rPr>
    </w:lvl>
    <w:lvl w:ilvl="3" w:tplc="0C0A0001">
      <w:start w:val="1"/>
      <w:numFmt w:val="bullet"/>
      <w:lvlText w:val=""/>
      <w:lvlJc w:val="left"/>
      <w:pPr>
        <w:ind w:left="3371" w:hanging="360"/>
      </w:pPr>
      <w:rPr>
        <w:rFonts w:ascii="Symbol" w:hAnsi="Symbol" w:hint="default"/>
      </w:rPr>
    </w:lvl>
    <w:lvl w:ilvl="4" w:tplc="0C0A0003">
      <w:start w:val="1"/>
      <w:numFmt w:val="bullet"/>
      <w:lvlText w:val="o"/>
      <w:lvlJc w:val="left"/>
      <w:pPr>
        <w:ind w:left="4091" w:hanging="360"/>
      </w:pPr>
      <w:rPr>
        <w:rFonts w:ascii="Courier New" w:hAnsi="Courier New" w:cs="Courier New" w:hint="default"/>
      </w:rPr>
    </w:lvl>
    <w:lvl w:ilvl="5" w:tplc="0C0A0005">
      <w:start w:val="1"/>
      <w:numFmt w:val="bullet"/>
      <w:lvlText w:val=""/>
      <w:lvlJc w:val="left"/>
      <w:pPr>
        <w:ind w:left="4811" w:hanging="360"/>
      </w:pPr>
      <w:rPr>
        <w:rFonts w:ascii="Wingdings" w:hAnsi="Wingdings" w:hint="default"/>
      </w:rPr>
    </w:lvl>
    <w:lvl w:ilvl="6" w:tplc="0C0A0001">
      <w:start w:val="1"/>
      <w:numFmt w:val="bullet"/>
      <w:lvlText w:val=""/>
      <w:lvlJc w:val="left"/>
      <w:pPr>
        <w:ind w:left="5531" w:hanging="360"/>
      </w:pPr>
      <w:rPr>
        <w:rFonts w:ascii="Symbol" w:hAnsi="Symbol" w:hint="default"/>
      </w:rPr>
    </w:lvl>
    <w:lvl w:ilvl="7" w:tplc="0C0A0003">
      <w:start w:val="1"/>
      <w:numFmt w:val="bullet"/>
      <w:lvlText w:val="o"/>
      <w:lvlJc w:val="left"/>
      <w:pPr>
        <w:ind w:left="6251" w:hanging="360"/>
      </w:pPr>
      <w:rPr>
        <w:rFonts w:ascii="Courier New" w:hAnsi="Courier New" w:cs="Courier New" w:hint="default"/>
      </w:rPr>
    </w:lvl>
    <w:lvl w:ilvl="8" w:tplc="0C0A0005">
      <w:start w:val="1"/>
      <w:numFmt w:val="bullet"/>
      <w:lvlText w:val=""/>
      <w:lvlJc w:val="left"/>
      <w:pPr>
        <w:ind w:left="6971" w:hanging="360"/>
      </w:pPr>
      <w:rPr>
        <w:rFonts w:ascii="Wingdings" w:hAnsi="Wingdings" w:hint="default"/>
      </w:rPr>
    </w:lvl>
  </w:abstractNum>
  <w:abstractNum w:abstractNumId="66" w15:restartNumberingAfterBreak="0">
    <w:nsid w:val="21CC4F7E"/>
    <w:multiLevelType w:val="hybridMultilevel"/>
    <w:tmpl w:val="B55C27E4"/>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23954A56"/>
    <w:multiLevelType w:val="hybridMultilevel"/>
    <w:tmpl w:val="196CC9EA"/>
    <w:lvl w:ilvl="0" w:tplc="06C2B6B4">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15:restartNumberingAfterBreak="0">
    <w:nsid w:val="23A52901"/>
    <w:multiLevelType w:val="hybridMultilevel"/>
    <w:tmpl w:val="7B6448DA"/>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 w15:restartNumberingAfterBreak="0">
    <w:nsid w:val="23AC3EA7"/>
    <w:multiLevelType w:val="hybridMultilevel"/>
    <w:tmpl w:val="AABA3194"/>
    <w:lvl w:ilvl="0" w:tplc="87C4CBBA">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15:restartNumberingAfterBreak="0">
    <w:nsid w:val="24120951"/>
    <w:multiLevelType w:val="hybridMultilevel"/>
    <w:tmpl w:val="FBE64BE6"/>
    <w:lvl w:ilvl="0" w:tplc="06C2B6B4">
      <w:start w:val="1"/>
      <w:numFmt w:val="bullet"/>
      <w:lvlText w:val=""/>
      <w:lvlJc w:val="left"/>
      <w:pPr>
        <w:ind w:left="1254" w:hanging="284"/>
      </w:pPr>
      <w:rPr>
        <w:rFonts w:ascii="Symbol" w:hAnsi="Symbol" w:hint="default"/>
        <w:color w:val="231F20"/>
        <w:w w:val="99"/>
        <w:sz w:val="22"/>
        <w:szCs w:val="22"/>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248D68D0"/>
    <w:multiLevelType w:val="hybridMultilevel"/>
    <w:tmpl w:val="8F32E832"/>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15:restartNumberingAfterBreak="0">
    <w:nsid w:val="248F4B9E"/>
    <w:multiLevelType w:val="hybridMultilevel"/>
    <w:tmpl w:val="516AB2BE"/>
    <w:lvl w:ilvl="0" w:tplc="0C0A000F">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2540505A"/>
    <w:multiLevelType w:val="hybridMultilevel"/>
    <w:tmpl w:val="0FA8FC86"/>
    <w:lvl w:ilvl="0" w:tplc="64CA2D7C">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15:restartNumberingAfterBreak="0">
    <w:nsid w:val="25416077"/>
    <w:multiLevelType w:val="hybridMultilevel"/>
    <w:tmpl w:val="0E56698C"/>
    <w:lvl w:ilvl="0" w:tplc="06C2B6B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15:restartNumberingAfterBreak="0">
    <w:nsid w:val="256E260E"/>
    <w:multiLevelType w:val="hybridMultilevel"/>
    <w:tmpl w:val="2356F950"/>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15:restartNumberingAfterBreak="0">
    <w:nsid w:val="2583544A"/>
    <w:multiLevelType w:val="hybridMultilevel"/>
    <w:tmpl w:val="B89E0F8E"/>
    <w:lvl w:ilvl="0" w:tplc="06C2B6B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15:restartNumberingAfterBreak="0">
    <w:nsid w:val="264F6EB8"/>
    <w:multiLevelType w:val="hybridMultilevel"/>
    <w:tmpl w:val="BB9E16BE"/>
    <w:lvl w:ilvl="0" w:tplc="126C2EFC">
      <w:start w:val="1"/>
      <w:numFmt w:val="bullet"/>
      <w:lvlText w:val=""/>
      <w:lvlJc w:val="left"/>
      <w:pPr>
        <w:ind w:left="720" w:hanging="360"/>
      </w:pPr>
      <w:rPr>
        <w:rFonts w:ascii="Symbol" w:hAnsi="Symbol" w:hint="default"/>
      </w:rPr>
    </w:lvl>
    <w:lvl w:ilvl="1" w:tplc="F054641A" w:tentative="1">
      <w:start w:val="1"/>
      <w:numFmt w:val="bullet"/>
      <w:lvlText w:val="o"/>
      <w:lvlJc w:val="left"/>
      <w:pPr>
        <w:ind w:left="1440" w:hanging="360"/>
      </w:pPr>
      <w:rPr>
        <w:rFonts w:ascii="Courier New" w:hAnsi="Courier New" w:cs="Courier New" w:hint="default"/>
      </w:rPr>
    </w:lvl>
    <w:lvl w:ilvl="2" w:tplc="AA96DC2C" w:tentative="1">
      <w:start w:val="1"/>
      <w:numFmt w:val="bullet"/>
      <w:lvlText w:val=""/>
      <w:lvlJc w:val="left"/>
      <w:pPr>
        <w:ind w:left="2160" w:hanging="360"/>
      </w:pPr>
      <w:rPr>
        <w:rFonts w:ascii="Wingdings" w:hAnsi="Wingdings" w:hint="default"/>
      </w:rPr>
    </w:lvl>
    <w:lvl w:ilvl="3" w:tplc="24D087CA" w:tentative="1">
      <w:start w:val="1"/>
      <w:numFmt w:val="bullet"/>
      <w:lvlText w:val=""/>
      <w:lvlJc w:val="left"/>
      <w:pPr>
        <w:ind w:left="2880" w:hanging="360"/>
      </w:pPr>
      <w:rPr>
        <w:rFonts w:ascii="Symbol" w:hAnsi="Symbol" w:hint="default"/>
      </w:rPr>
    </w:lvl>
    <w:lvl w:ilvl="4" w:tplc="B712AD56" w:tentative="1">
      <w:start w:val="1"/>
      <w:numFmt w:val="bullet"/>
      <w:lvlText w:val="o"/>
      <w:lvlJc w:val="left"/>
      <w:pPr>
        <w:ind w:left="3600" w:hanging="360"/>
      </w:pPr>
      <w:rPr>
        <w:rFonts w:ascii="Courier New" w:hAnsi="Courier New" w:cs="Courier New" w:hint="default"/>
      </w:rPr>
    </w:lvl>
    <w:lvl w:ilvl="5" w:tplc="5B1219A2" w:tentative="1">
      <w:start w:val="1"/>
      <w:numFmt w:val="bullet"/>
      <w:lvlText w:val=""/>
      <w:lvlJc w:val="left"/>
      <w:pPr>
        <w:ind w:left="4320" w:hanging="360"/>
      </w:pPr>
      <w:rPr>
        <w:rFonts w:ascii="Wingdings" w:hAnsi="Wingdings" w:hint="default"/>
      </w:rPr>
    </w:lvl>
    <w:lvl w:ilvl="6" w:tplc="DF1E1D5E" w:tentative="1">
      <w:start w:val="1"/>
      <w:numFmt w:val="bullet"/>
      <w:lvlText w:val=""/>
      <w:lvlJc w:val="left"/>
      <w:pPr>
        <w:ind w:left="5040" w:hanging="360"/>
      </w:pPr>
      <w:rPr>
        <w:rFonts w:ascii="Symbol" w:hAnsi="Symbol" w:hint="default"/>
      </w:rPr>
    </w:lvl>
    <w:lvl w:ilvl="7" w:tplc="FF9249BC" w:tentative="1">
      <w:start w:val="1"/>
      <w:numFmt w:val="bullet"/>
      <w:lvlText w:val="o"/>
      <w:lvlJc w:val="left"/>
      <w:pPr>
        <w:ind w:left="5760" w:hanging="360"/>
      </w:pPr>
      <w:rPr>
        <w:rFonts w:ascii="Courier New" w:hAnsi="Courier New" w:cs="Courier New" w:hint="default"/>
      </w:rPr>
    </w:lvl>
    <w:lvl w:ilvl="8" w:tplc="40D81C18" w:tentative="1">
      <w:start w:val="1"/>
      <w:numFmt w:val="bullet"/>
      <w:lvlText w:val=""/>
      <w:lvlJc w:val="left"/>
      <w:pPr>
        <w:ind w:left="6480" w:hanging="360"/>
      </w:pPr>
      <w:rPr>
        <w:rFonts w:ascii="Wingdings" w:hAnsi="Wingdings" w:hint="default"/>
      </w:rPr>
    </w:lvl>
  </w:abstractNum>
  <w:abstractNum w:abstractNumId="78" w15:restartNumberingAfterBreak="0">
    <w:nsid w:val="272328B0"/>
    <w:multiLevelType w:val="hybridMultilevel"/>
    <w:tmpl w:val="5F1AC35E"/>
    <w:lvl w:ilvl="0" w:tplc="F91A18A0">
      <w:start w:val="1"/>
      <w:numFmt w:val="bullet"/>
      <w:pStyle w:val="Listaconvietas3b"/>
      <w:lvlText w:val="o"/>
      <w:lvlJc w:val="left"/>
      <w:pPr>
        <w:ind w:left="1286" w:hanging="360"/>
      </w:pPr>
      <w:rPr>
        <w:rFonts w:ascii="Courier New" w:hAnsi="Courier New" w:cs="Courier New" w:hint="default"/>
      </w:rPr>
    </w:lvl>
    <w:lvl w:ilvl="1" w:tplc="0C0A0003" w:tentative="1">
      <w:start w:val="1"/>
      <w:numFmt w:val="bullet"/>
      <w:lvlText w:val="o"/>
      <w:lvlJc w:val="left"/>
      <w:pPr>
        <w:ind w:left="2006" w:hanging="360"/>
      </w:pPr>
      <w:rPr>
        <w:rFonts w:ascii="Courier New" w:hAnsi="Courier New" w:cs="Courier New" w:hint="default"/>
      </w:rPr>
    </w:lvl>
    <w:lvl w:ilvl="2" w:tplc="0C0A0005" w:tentative="1">
      <w:start w:val="1"/>
      <w:numFmt w:val="bullet"/>
      <w:lvlText w:val=""/>
      <w:lvlJc w:val="left"/>
      <w:pPr>
        <w:ind w:left="2726" w:hanging="360"/>
      </w:pPr>
      <w:rPr>
        <w:rFonts w:ascii="Wingdings" w:hAnsi="Wingdings" w:hint="default"/>
      </w:rPr>
    </w:lvl>
    <w:lvl w:ilvl="3" w:tplc="0C0A0001" w:tentative="1">
      <w:start w:val="1"/>
      <w:numFmt w:val="bullet"/>
      <w:lvlText w:val=""/>
      <w:lvlJc w:val="left"/>
      <w:pPr>
        <w:ind w:left="3446" w:hanging="360"/>
      </w:pPr>
      <w:rPr>
        <w:rFonts w:ascii="Symbol" w:hAnsi="Symbol" w:hint="default"/>
      </w:rPr>
    </w:lvl>
    <w:lvl w:ilvl="4" w:tplc="0C0A0003" w:tentative="1">
      <w:start w:val="1"/>
      <w:numFmt w:val="bullet"/>
      <w:lvlText w:val="o"/>
      <w:lvlJc w:val="left"/>
      <w:pPr>
        <w:ind w:left="4166" w:hanging="360"/>
      </w:pPr>
      <w:rPr>
        <w:rFonts w:ascii="Courier New" w:hAnsi="Courier New" w:cs="Courier New" w:hint="default"/>
      </w:rPr>
    </w:lvl>
    <w:lvl w:ilvl="5" w:tplc="0C0A0005" w:tentative="1">
      <w:start w:val="1"/>
      <w:numFmt w:val="bullet"/>
      <w:lvlText w:val=""/>
      <w:lvlJc w:val="left"/>
      <w:pPr>
        <w:ind w:left="4886" w:hanging="360"/>
      </w:pPr>
      <w:rPr>
        <w:rFonts w:ascii="Wingdings" w:hAnsi="Wingdings" w:hint="default"/>
      </w:rPr>
    </w:lvl>
    <w:lvl w:ilvl="6" w:tplc="0C0A0001" w:tentative="1">
      <w:start w:val="1"/>
      <w:numFmt w:val="bullet"/>
      <w:lvlText w:val=""/>
      <w:lvlJc w:val="left"/>
      <w:pPr>
        <w:ind w:left="5606" w:hanging="360"/>
      </w:pPr>
      <w:rPr>
        <w:rFonts w:ascii="Symbol" w:hAnsi="Symbol" w:hint="default"/>
      </w:rPr>
    </w:lvl>
    <w:lvl w:ilvl="7" w:tplc="0C0A0003" w:tentative="1">
      <w:start w:val="1"/>
      <w:numFmt w:val="bullet"/>
      <w:lvlText w:val="o"/>
      <w:lvlJc w:val="left"/>
      <w:pPr>
        <w:ind w:left="6326" w:hanging="360"/>
      </w:pPr>
      <w:rPr>
        <w:rFonts w:ascii="Courier New" w:hAnsi="Courier New" w:cs="Courier New" w:hint="default"/>
      </w:rPr>
    </w:lvl>
    <w:lvl w:ilvl="8" w:tplc="0C0A0005" w:tentative="1">
      <w:start w:val="1"/>
      <w:numFmt w:val="bullet"/>
      <w:lvlText w:val=""/>
      <w:lvlJc w:val="left"/>
      <w:pPr>
        <w:ind w:left="7046" w:hanging="360"/>
      </w:pPr>
      <w:rPr>
        <w:rFonts w:ascii="Wingdings" w:hAnsi="Wingdings" w:hint="default"/>
      </w:rPr>
    </w:lvl>
  </w:abstractNum>
  <w:abstractNum w:abstractNumId="79" w15:restartNumberingAfterBreak="0">
    <w:nsid w:val="27E76FF1"/>
    <w:multiLevelType w:val="hybridMultilevel"/>
    <w:tmpl w:val="6D8E6C94"/>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282D0AEB"/>
    <w:multiLevelType w:val="hybridMultilevel"/>
    <w:tmpl w:val="042ED35E"/>
    <w:lvl w:ilvl="0" w:tplc="F186252C">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28B3134C"/>
    <w:multiLevelType w:val="hybridMultilevel"/>
    <w:tmpl w:val="D828166E"/>
    <w:lvl w:ilvl="0" w:tplc="64CA2D7C">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15:restartNumberingAfterBreak="0">
    <w:nsid w:val="290E2CA9"/>
    <w:multiLevelType w:val="hybridMultilevel"/>
    <w:tmpl w:val="F178372A"/>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15:restartNumberingAfterBreak="0">
    <w:nsid w:val="29CE6FF5"/>
    <w:multiLevelType w:val="hybridMultilevel"/>
    <w:tmpl w:val="51C2ED6E"/>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2B5046C5"/>
    <w:multiLevelType w:val="hybridMultilevel"/>
    <w:tmpl w:val="602A80A6"/>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2B66184C"/>
    <w:multiLevelType w:val="hybridMultilevel"/>
    <w:tmpl w:val="03504C50"/>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2B687E30"/>
    <w:multiLevelType w:val="hybridMultilevel"/>
    <w:tmpl w:val="71B6DF88"/>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15:restartNumberingAfterBreak="0">
    <w:nsid w:val="2B966730"/>
    <w:multiLevelType w:val="hybridMultilevel"/>
    <w:tmpl w:val="C282A47E"/>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15:restartNumberingAfterBreak="0">
    <w:nsid w:val="2CDA6B47"/>
    <w:multiLevelType w:val="hybridMultilevel"/>
    <w:tmpl w:val="879E5BD0"/>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9" w15:restartNumberingAfterBreak="0">
    <w:nsid w:val="2DCC1EB0"/>
    <w:multiLevelType w:val="hybridMultilevel"/>
    <w:tmpl w:val="8CCABF1E"/>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15:restartNumberingAfterBreak="0">
    <w:nsid w:val="2DD8668F"/>
    <w:multiLevelType w:val="hybridMultilevel"/>
    <w:tmpl w:val="21E6BDBC"/>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15:restartNumberingAfterBreak="0">
    <w:nsid w:val="2E192C18"/>
    <w:multiLevelType w:val="hybridMultilevel"/>
    <w:tmpl w:val="AE906CA2"/>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2" w15:restartNumberingAfterBreak="0">
    <w:nsid w:val="2EBF0B42"/>
    <w:multiLevelType w:val="hybridMultilevel"/>
    <w:tmpl w:val="4B1622FE"/>
    <w:lvl w:ilvl="0" w:tplc="0C0A0003">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15:restartNumberingAfterBreak="0">
    <w:nsid w:val="2F121449"/>
    <w:multiLevelType w:val="hybridMultilevel"/>
    <w:tmpl w:val="92BA9108"/>
    <w:lvl w:ilvl="0" w:tplc="0C0A0001">
      <w:start w:val="1"/>
      <w:numFmt w:val="decimal"/>
      <w:pStyle w:val="GTTListanumerada"/>
      <w:lvlText w:val="%1)"/>
      <w:lvlJc w:val="left"/>
      <w:pPr>
        <w:tabs>
          <w:tab w:val="num" w:pos="680"/>
        </w:tabs>
        <w:ind w:left="709" w:hanging="349"/>
      </w:pPr>
      <w:rPr>
        <w:rFonts w:hint="default"/>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94" w15:restartNumberingAfterBreak="0">
    <w:nsid w:val="30B42E65"/>
    <w:multiLevelType w:val="hybridMultilevel"/>
    <w:tmpl w:val="1D56BC54"/>
    <w:lvl w:ilvl="0" w:tplc="64CA2D7C">
      <w:start w:val="1"/>
      <w:numFmt w:val="bullet"/>
      <w:lvlText w:val="-"/>
      <w:lvlJc w:val="left"/>
      <w:pPr>
        <w:ind w:left="720" w:hanging="360"/>
      </w:pPr>
      <w:rPr>
        <w:rFonts w:ascii="Courier New" w:hAnsi="Courier New"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15:restartNumberingAfterBreak="0">
    <w:nsid w:val="31262B8C"/>
    <w:multiLevelType w:val="hybridMultilevel"/>
    <w:tmpl w:val="8DB043E4"/>
    <w:lvl w:ilvl="0" w:tplc="0C0A0001">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15:restartNumberingAfterBreak="0">
    <w:nsid w:val="33131775"/>
    <w:multiLevelType w:val="hybridMultilevel"/>
    <w:tmpl w:val="27E273F6"/>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33917083"/>
    <w:multiLevelType w:val="hybridMultilevel"/>
    <w:tmpl w:val="66B0C8E4"/>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 w15:restartNumberingAfterBreak="0">
    <w:nsid w:val="33F165CC"/>
    <w:multiLevelType w:val="hybridMultilevel"/>
    <w:tmpl w:val="0B2624D8"/>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15:restartNumberingAfterBreak="0">
    <w:nsid w:val="34CB20ED"/>
    <w:multiLevelType w:val="hybridMultilevel"/>
    <w:tmpl w:val="3EF6B052"/>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15:restartNumberingAfterBreak="0">
    <w:nsid w:val="35B75F96"/>
    <w:multiLevelType w:val="hybridMultilevel"/>
    <w:tmpl w:val="92C06CC2"/>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15:restartNumberingAfterBreak="0">
    <w:nsid w:val="371902C3"/>
    <w:multiLevelType w:val="hybridMultilevel"/>
    <w:tmpl w:val="ED4880F6"/>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 w15:restartNumberingAfterBreak="0">
    <w:nsid w:val="37D24080"/>
    <w:multiLevelType w:val="hybridMultilevel"/>
    <w:tmpl w:val="51F2129C"/>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15:restartNumberingAfterBreak="0">
    <w:nsid w:val="37EB62B4"/>
    <w:multiLevelType w:val="hybridMultilevel"/>
    <w:tmpl w:val="A386D26C"/>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15:restartNumberingAfterBreak="0">
    <w:nsid w:val="39077001"/>
    <w:multiLevelType w:val="hybridMultilevel"/>
    <w:tmpl w:val="2AB84664"/>
    <w:lvl w:ilvl="0" w:tplc="372ACBD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 w15:restartNumberingAfterBreak="0">
    <w:nsid w:val="3930177C"/>
    <w:multiLevelType w:val="hybridMultilevel"/>
    <w:tmpl w:val="33AEF646"/>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 w15:restartNumberingAfterBreak="0">
    <w:nsid w:val="3A1F7425"/>
    <w:multiLevelType w:val="hybridMultilevel"/>
    <w:tmpl w:val="EBDC04F0"/>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 w15:restartNumberingAfterBreak="0">
    <w:nsid w:val="3A8E1FB2"/>
    <w:multiLevelType w:val="hybridMultilevel"/>
    <w:tmpl w:val="8D186E9E"/>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 w15:restartNumberingAfterBreak="0">
    <w:nsid w:val="3AF51B0B"/>
    <w:multiLevelType w:val="hybridMultilevel"/>
    <w:tmpl w:val="6D54B558"/>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 w15:restartNumberingAfterBreak="0">
    <w:nsid w:val="3AFC030C"/>
    <w:multiLevelType w:val="hybridMultilevel"/>
    <w:tmpl w:val="A64C3E5A"/>
    <w:lvl w:ilvl="0" w:tplc="64CA2D7C">
      <w:start w:val="1"/>
      <w:numFmt w:val="bullet"/>
      <w:lvlText w:val="-"/>
      <w:lvlJc w:val="left"/>
      <w:pPr>
        <w:ind w:left="1286"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0" w15:restartNumberingAfterBreak="0">
    <w:nsid w:val="3BA02603"/>
    <w:multiLevelType w:val="hybridMultilevel"/>
    <w:tmpl w:val="F3B0348C"/>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15:restartNumberingAfterBreak="0">
    <w:nsid w:val="3BA42FEC"/>
    <w:multiLevelType w:val="hybridMultilevel"/>
    <w:tmpl w:val="7B643680"/>
    <w:lvl w:ilvl="0" w:tplc="06C2B6B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2" w15:restartNumberingAfterBreak="0">
    <w:nsid w:val="3C1B1345"/>
    <w:multiLevelType w:val="hybridMultilevel"/>
    <w:tmpl w:val="CF407392"/>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15:restartNumberingAfterBreak="0">
    <w:nsid w:val="3C1F37C0"/>
    <w:multiLevelType w:val="hybridMultilevel"/>
    <w:tmpl w:val="02888040"/>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4" w15:restartNumberingAfterBreak="0">
    <w:nsid w:val="3C64051C"/>
    <w:multiLevelType w:val="hybridMultilevel"/>
    <w:tmpl w:val="4B7A04C6"/>
    <w:lvl w:ilvl="0" w:tplc="3AC4C9B2">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 w15:restartNumberingAfterBreak="0">
    <w:nsid w:val="3D361190"/>
    <w:multiLevelType w:val="hybridMultilevel"/>
    <w:tmpl w:val="32509F9E"/>
    <w:lvl w:ilvl="0" w:tplc="06C2B6B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6" w15:restartNumberingAfterBreak="0">
    <w:nsid w:val="3D5D5CEB"/>
    <w:multiLevelType w:val="hybridMultilevel"/>
    <w:tmpl w:val="8E9435B2"/>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 w15:restartNumberingAfterBreak="0">
    <w:nsid w:val="3D6A3F02"/>
    <w:multiLevelType w:val="hybridMultilevel"/>
    <w:tmpl w:val="C77EB802"/>
    <w:lvl w:ilvl="0" w:tplc="372ACBD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 w15:restartNumberingAfterBreak="0">
    <w:nsid w:val="3D6A4CCB"/>
    <w:multiLevelType w:val="hybridMultilevel"/>
    <w:tmpl w:val="12C674AE"/>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 w15:restartNumberingAfterBreak="0">
    <w:nsid w:val="3E532A7A"/>
    <w:multiLevelType w:val="hybridMultilevel"/>
    <w:tmpl w:val="6646258C"/>
    <w:lvl w:ilvl="0" w:tplc="64CA2D7C">
      <w:start w:val="1"/>
      <w:numFmt w:val="bullet"/>
      <w:lvlText w:val="-"/>
      <w:lvlJc w:val="left"/>
      <w:pPr>
        <w:ind w:left="1286"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0" w15:restartNumberingAfterBreak="0">
    <w:nsid w:val="3E9D5892"/>
    <w:multiLevelType w:val="hybridMultilevel"/>
    <w:tmpl w:val="518E4868"/>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21" w15:restartNumberingAfterBreak="0">
    <w:nsid w:val="3F0D0A0A"/>
    <w:multiLevelType w:val="hybridMultilevel"/>
    <w:tmpl w:val="A3187D9A"/>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 w15:restartNumberingAfterBreak="0">
    <w:nsid w:val="3F5C68F3"/>
    <w:multiLevelType w:val="multilevel"/>
    <w:tmpl w:val="791486D4"/>
    <w:lvl w:ilvl="0">
      <w:start w:val="2"/>
      <w:numFmt w:val="bullet"/>
      <w:pStyle w:val="LCAListaGuiones"/>
      <w:lvlText w:val="-"/>
      <w:lvlJc w:val="left"/>
      <w:pPr>
        <w:tabs>
          <w:tab w:val="num" w:pos="1361"/>
        </w:tabs>
        <w:ind w:left="567" w:hanging="567"/>
      </w:pPr>
      <w:rPr>
        <w:rFonts w:ascii="Arial Narrow" w:hAnsi="Arial Narrow"/>
        <w:sz w:val="22"/>
      </w:rPr>
    </w:lvl>
    <w:lvl w:ilvl="1">
      <w:start w:val="1"/>
      <w:numFmt w:val="bullet"/>
      <w:lvlText w:val="o"/>
      <w:lvlJc w:val="left"/>
      <w:pPr>
        <w:tabs>
          <w:tab w:val="num" w:pos="1440"/>
        </w:tabs>
        <w:ind w:left="1069" w:hanging="360"/>
      </w:pPr>
      <w:rPr>
        <w:rFonts w:ascii="Courier New" w:hAnsi="Courier New" w:cs="Courier New" w:hint="default"/>
      </w:rPr>
    </w:lvl>
    <w:lvl w:ilvl="2">
      <w:start w:val="1"/>
      <w:numFmt w:val="bullet"/>
      <w:lvlText w:val=""/>
      <w:lvlJc w:val="left"/>
      <w:pPr>
        <w:tabs>
          <w:tab w:val="num" w:pos="2160"/>
        </w:tabs>
        <w:ind w:left="1778"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3F82200B"/>
    <w:multiLevelType w:val="hybridMultilevel"/>
    <w:tmpl w:val="DB806508"/>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15:restartNumberingAfterBreak="0">
    <w:nsid w:val="412D0A71"/>
    <w:multiLevelType w:val="hybridMultilevel"/>
    <w:tmpl w:val="11928128"/>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 w15:restartNumberingAfterBreak="0">
    <w:nsid w:val="41C013C6"/>
    <w:multiLevelType w:val="hybridMultilevel"/>
    <w:tmpl w:val="9434FE72"/>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 w15:restartNumberingAfterBreak="0">
    <w:nsid w:val="41E53055"/>
    <w:multiLevelType w:val="hybridMultilevel"/>
    <w:tmpl w:val="C5F83800"/>
    <w:lvl w:ilvl="0" w:tplc="FEE0617E">
      <w:start w:val="1"/>
      <w:numFmt w:val="decimal"/>
      <w:lvlText w:val="%1)"/>
      <w:lvlJc w:val="left"/>
      <w:pPr>
        <w:ind w:left="1421" w:hanging="570"/>
      </w:pPr>
      <w:rPr>
        <w:rFonts w:hint="default"/>
      </w:rPr>
    </w:lvl>
    <w:lvl w:ilvl="1" w:tplc="938E4984">
      <w:start w:val="1"/>
      <w:numFmt w:val="lowerLetter"/>
      <w:lvlText w:val="%2)"/>
      <w:lvlJc w:val="left"/>
      <w:pPr>
        <w:ind w:left="2771" w:hanging="1200"/>
      </w:pPr>
      <w:rPr>
        <w:rFonts w:hint="default"/>
      </w:rPr>
    </w:lvl>
    <w:lvl w:ilvl="2" w:tplc="B78AC7AE">
      <w:start w:val="1"/>
      <w:numFmt w:val="upperLetter"/>
      <w:lvlText w:val="%3)"/>
      <w:lvlJc w:val="left"/>
      <w:pPr>
        <w:ind w:left="3041" w:hanging="570"/>
      </w:pPr>
      <w:rPr>
        <w:rFonts w:hint="default"/>
      </w:rPr>
    </w:lvl>
    <w:lvl w:ilvl="3" w:tplc="1C9C166C" w:tentative="1">
      <w:start w:val="1"/>
      <w:numFmt w:val="decimal"/>
      <w:lvlText w:val="%4."/>
      <w:lvlJc w:val="left"/>
      <w:pPr>
        <w:ind w:left="3371" w:hanging="360"/>
      </w:pPr>
    </w:lvl>
    <w:lvl w:ilvl="4" w:tplc="8AFC4AC2" w:tentative="1">
      <w:start w:val="1"/>
      <w:numFmt w:val="lowerLetter"/>
      <w:lvlText w:val="%5."/>
      <w:lvlJc w:val="left"/>
      <w:pPr>
        <w:ind w:left="4091" w:hanging="360"/>
      </w:pPr>
    </w:lvl>
    <w:lvl w:ilvl="5" w:tplc="477CE970" w:tentative="1">
      <w:start w:val="1"/>
      <w:numFmt w:val="lowerRoman"/>
      <w:lvlText w:val="%6."/>
      <w:lvlJc w:val="right"/>
      <w:pPr>
        <w:ind w:left="4811" w:hanging="180"/>
      </w:pPr>
    </w:lvl>
    <w:lvl w:ilvl="6" w:tplc="1B32BA2A" w:tentative="1">
      <w:start w:val="1"/>
      <w:numFmt w:val="decimal"/>
      <w:lvlText w:val="%7."/>
      <w:lvlJc w:val="left"/>
      <w:pPr>
        <w:ind w:left="5531" w:hanging="360"/>
      </w:pPr>
    </w:lvl>
    <w:lvl w:ilvl="7" w:tplc="614866C0" w:tentative="1">
      <w:start w:val="1"/>
      <w:numFmt w:val="lowerLetter"/>
      <w:lvlText w:val="%8."/>
      <w:lvlJc w:val="left"/>
      <w:pPr>
        <w:ind w:left="6251" w:hanging="360"/>
      </w:pPr>
    </w:lvl>
    <w:lvl w:ilvl="8" w:tplc="2E749D20" w:tentative="1">
      <w:start w:val="1"/>
      <w:numFmt w:val="lowerRoman"/>
      <w:lvlText w:val="%9."/>
      <w:lvlJc w:val="right"/>
      <w:pPr>
        <w:ind w:left="6971" w:hanging="180"/>
      </w:pPr>
    </w:lvl>
  </w:abstractNum>
  <w:abstractNum w:abstractNumId="127" w15:restartNumberingAfterBreak="0">
    <w:nsid w:val="42E50519"/>
    <w:multiLevelType w:val="hybridMultilevel"/>
    <w:tmpl w:val="A3CA10FC"/>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 w15:restartNumberingAfterBreak="0">
    <w:nsid w:val="4316556D"/>
    <w:multiLevelType w:val="hybridMultilevel"/>
    <w:tmpl w:val="0B68D19E"/>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 w15:restartNumberingAfterBreak="0">
    <w:nsid w:val="434B65C4"/>
    <w:multiLevelType w:val="hybridMultilevel"/>
    <w:tmpl w:val="DC2639C4"/>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 w15:restartNumberingAfterBreak="0">
    <w:nsid w:val="43AB2789"/>
    <w:multiLevelType w:val="hybridMultilevel"/>
    <w:tmpl w:val="B3BCD494"/>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 w15:restartNumberingAfterBreak="0">
    <w:nsid w:val="442C7C1E"/>
    <w:multiLevelType w:val="hybridMultilevel"/>
    <w:tmpl w:val="04E07F80"/>
    <w:lvl w:ilvl="0" w:tplc="8FFA0B90">
      <w:start w:val="1"/>
      <w:numFmt w:val="decimal"/>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32" w15:restartNumberingAfterBreak="0">
    <w:nsid w:val="44C03BD2"/>
    <w:multiLevelType w:val="hybridMultilevel"/>
    <w:tmpl w:val="33B8736C"/>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 w15:restartNumberingAfterBreak="0">
    <w:nsid w:val="44DC6D40"/>
    <w:multiLevelType w:val="multilevel"/>
    <w:tmpl w:val="95CC3D40"/>
    <w:lvl w:ilvl="0">
      <w:start w:val="1"/>
      <w:numFmt w:val="decimal"/>
      <w:pStyle w:val="ARTCULOTIT1"/>
      <w:lvlText w:val="ARTÍCULO %1"/>
      <w:lvlJc w:val="left"/>
      <w:pPr>
        <w:tabs>
          <w:tab w:val="num" w:pos="360"/>
        </w:tabs>
        <w:ind w:left="360" w:hanging="360"/>
      </w:pPr>
      <w:rPr>
        <w:rFonts w:hint="default"/>
      </w:rPr>
    </w:lvl>
    <w:lvl w:ilvl="1">
      <w:start w:val="1"/>
      <w:numFmt w:val="decimal"/>
      <w:pStyle w:val="ArtculoTit2"/>
      <w:lvlText w:val="%1.%2"/>
      <w:lvlJc w:val="left"/>
      <w:pPr>
        <w:tabs>
          <w:tab w:val="num" w:pos="907"/>
        </w:tabs>
        <w:ind w:left="907" w:hanging="54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4" w15:restartNumberingAfterBreak="0">
    <w:nsid w:val="45702BF5"/>
    <w:multiLevelType w:val="hybridMultilevel"/>
    <w:tmpl w:val="39C22B54"/>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5" w15:restartNumberingAfterBreak="0">
    <w:nsid w:val="45935596"/>
    <w:multiLevelType w:val="hybridMultilevel"/>
    <w:tmpl w:val="4B3CD29E"/>
    <w:lvl w:ilvl="0" w:tplc="79E0FDF6">
      <w:start w:val="1"/>
      <w:numFmt w:val="bullet"/>
      <w:lvlText w:val="-"/>
      <w:lvlJc w:val="left"/>
      <w:pPr>
        <w:ind w:left="720" w:hanging="360"/>
      </w:pPr>
      <w:rPr>
        <w:rFonts w:ascii="Courier New" w:hAnsi="Courier New" w:hint="default"/>
      </w:rPr>
    </w:lvl>
    <w:lvl w:ilvl="1" w:tplc="7A1A9370" w:tentative="1">
      <w:start w:val="1"/>
      <w:numFmt w:val="bullet"/>
      <w:lvlText w:val="o"/>
      <w:lvlJc w:val="left"/>
      <w:pPr>
        <w:ind w:left="1440" w:hanging="360"/>
      </w:pPr>
      <w:rPr>
        <w:rFonts w:ascii="Courier New" w:hAnsi="Courier New" w:cs="Courier New" w:hint="default"/>
      </w:rPr>
    </w:lvl>
    <w:lvl w:ilvl="2" w:tplc="98101950" w:tentative="1">
      <w:start w:val="1"/>
      <w:numFmt w:val="bullet"/>
      <w:lvlText w:val=""/>
      <w:lvlJc w:val="left"/>
      <w:pPr>
        <w:ind w:left="2160" w:hanging="360"/>
      </w:pPr>
      <w:rPr>
        <w:rFonts w:ascii="Wingdings" w:hAnsi="Wingdings" w:hint="default"/>
      </w:rPr>
    </w:lvl>
    <w:lvl w:ilvl="3" w:tplc="669AB12A" w:tentative="1">
      <w:start w:val="1"/>
      <w:numFmt w:val="bullet"/>
      <w:lvlText w:val=""/>
      <w:lvlJc w:val="left"/>
      <w:pPr>
        <w:ind w:left="2880" w:hanging="360"/>
      </w:pPr>
      <w:rPr>
        <w:rFonts w:ascii="Symbol" w:hAnsi="Symbol" w:hint="default"/>
      </w:rPr>
    </w:lvl>
    <w:lvl w:ilvl="4" w:tplc="1B7CBC9C" w:tentative="1">
      <w:start w:val="1"/>
      <w:numFmt w:val="bullet"/>
      <w:lvlText w:val="o"/>
      <w:lvlJc w:val="left"/>
      <w:pPr>
        <w:ind w:left="3600" w:hanging="360"/>
      </w:pPr>
      <w:rPr>
        <w:rFonts w:ascii="Courier New" w:hAnsi="Courier New" w:cs="Courier New" w:hint="default"/>
      </w:rPr>
    </w:lvl>
    <w:lvl w:ilvl="5" w:tplc="5100CAD4" w:tentative="1">
      <w:start w:val="1"/>
      <w:numFmt w:val="bullet"/>
      <w:lvlText w:val=""/>
      <w:lvlJc w:val="left"/>
      <w:pPr>
        <w:ind w:left="4320" w:hanging="360"/>
      </w:pPr>
      <w:rPr>
        <w:rFonts w:ascii="Wingdings" w:hAnsi="Wingdings" w:hint="default"/>
      </w:rPr>
    </w:lvl>
    <w:lvl w:ilvl="6" w:tplc="ABD6E5DC" w:tentative="1">
      <w:start w:val="1"/>
      <w:numFmt w:val="bullet"/>
      <w:lvlText w:val=""/>
      <w:lvlJc w:val="left"/>
      <w:pPr>
        <w:ind w:left="5040" w:hanging="360"/>
      </w:pPr>
      <w:rPr>
        <w:rFonts w:ascii="Symbol" w:hAnsi="Symbol" w:hint="default"/>
      </w:rPr>
    </w:lvl>
    <w:lvl w:ilvl="7" w:tplc="E5662B86" w:tentative="1">
      <w:start w:val="1"/>
      <w:numFmt w:val="bullet"/>
      <w:lvlText w:val="o"/>
      <w:lvlJc w:val="left"/>
      <w:pPr>
        <w:ind w:left="5760" w:hanging="360"/>
      </w:pPr>
      <w:rPr>
        <w:rFonts w:ascii="Courier New" w:hAnsi="Courier New" w:cs="Courier New" w:hint="default"/>
      </w:rPr>
    </w:lvl>
    <w:lvl w:ilvl="8" w:tplc="174AC676" w:tentative="1">
      <w:start w:val="1"/>
      <w:numFmt w:val="bullet"/>
      <w:lvlText w:val=""/>
      <w:lvlJc w:val="left"/>
      <w:pPr>
        <w:ind w:left="6480" w:hanging="360"/>
      </w:pPr>
      <w:rPr>
        <w:rFonts w:ascii="Wingdings" w:hAnsi="Wingdings" w:hint="default"/>
      </w:rPr>
    </w:lvl>
  </w:abstractNum>
  <w:abstractNum w:abstractNumId="136" w15:restartNumberingAfterBreak="0">
    <w:nsid w:val="46492144"/>
    <w:multiLevelType w:val="hybridMultilevel"/>
    <w:tmpl w:val="B96E5E78"/>
    <w:lvl w:ilvl="0" w:tplc="648E2368">
      <w:start w:val="1"/>
      <w:numFmt w:val="bullet"/>
      <w:pStyle w:val="GTTListaVietas2"/>
      <w:lvlText w:val=""/>
      <w:lvlJc w:val="left"/>
      <w:pPr>
        <w:tabs>
          <w:tab w:val="num" w:pos="1664"/>
        </w:tabs>
        <w:ind w:left="1664" w:hanging="360"/>
      </w:pPr>
      <w:rPr>
        <w:rFonts w:ascii="Symbol" w:hAnsi="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37" w15:restartNumberingAfterBreak="0">
    <w:nsid w:val="468E041C"/>
    <w:multiLevelType w:val="hybridMultilevel"/>
    <w:tmpl w:val="AB34706A"/>
    <w:lvl w:ilvl="0" w:tplc="64CA2D7C">
      <w:start w:val="1"/>
      <w:numFmt w:val="bullet"/>
      <w:lvlText w:val="-"/>
      <w:lvlJc w:val="left"/>
      <w:pPr>
        <w:tabs>
          <w:tab w:val="num" w:pos="1996"/>
        </w:tabs>
        <w:ind w:left="1996" w:hanging="360"/>
      </w:pPr>
      <w:rPr>
        <w:rFonts w:ascii="Courier New" w:hAnsi="Courier New" w:hint="default"/>
      </w:rPr>
    </w:lvl>
    <w:lvl w:ilvl="1" w:tplc="0C0A0003">
      <w:start w:val="1"/>
      <w:numFmt w:val="bullet"/>
      <w:lvlText w:val=""/>
      <w:lvlJc w:val="left"/>
      <w:pPr>
        <w:tabs>
          <w:tab w:val="num" w:pos="2716"/>
        </w:tabs>
        <w:ind w:left="2716" w:hanging="360"/>
      </w:pPr>
      <w:rPr>
        <w:rFonts w:ascii="Symbol" w:hAnsi="Symbol" w:hint="default"/>
        <w:sz w:val="20"/>
        <w:szCs w:val="20"/>
      </w:rPr>
    </w:lvl>
    <w:lvl w:ilvl="2" w:tplc="0C0A0005">
      <w:start w:val="1"/>
      <w:numFmt w:val="bullet"/>
      <w:lvlText w:val=""/>
      <w:lvlJc w:val="left"/>
      <w:pPr>
        <w:tabs>
          <w:tab w:val="num" w:pos="3436"/>
        </w:tabs>
        <w:ind w:left="3436" w:hanging="360"/>
      </w:pPr>
      <w:rPr>
        <w:rFonts w:ascii="Wingdings" w:hAnsi="Wingdings" w:hint="default"/>
      </w:rPr>
    </w:lvl>
    <w:lvl w:ilvl="3" w:tplc="0C0A0001">
      <w:start w:val="1"/>
      <w:numFmt w:val="bullet"/>
      <w:lvlText w:val=""/>
      <w:lvlJc w:val="left"/>
      <w:pPr>
        <w:tabs>
          <w:tab w:val="num" w:pos="4156"/>
        </w:tabs>
        <w:ind w:left="4156" w:hanging="360"/>
      </w:pPr>
      <w:rPr>
        <w:rFonts w:ascii="Symbol" w:hAnsi="Symbol" w:hint="default"/>
      </w:rPr>
    </w:lvl>
    <w:lvl w:ilvl="4" w:tplc="0C0A0003">
      <w:start w:val="1"/>
      <w:numFmt w:val="bullet"/>
      <w:lvlText w:val="o"/>
      <w:lvlJc w:val="left"/>
      <w:pPr>
        <w:tabs>
          <w:tab w:val="num" w:pos="4876"/>
        </w:tabs>
        <w:ind w:left="4876" w:hanging="360"/>
      </w:pPr>
      <w:rPr>
        <w:rFonts w:ascii="Courier New" w:hAnsi="Courier New" w:cs="Courier New" w:hint="default"/>
      </w:rPr>
    </w:lvl>
    <w:lvl w:ilvl="5" w:tplc="0C0A0005">
      <w:start w:val="1"/>
      <w:numFmt w:val="bullet"/>
      <w:lvlText w:val=""/>
      <w:lvlJc w:val="left"/>
      <w:pPr>
        <w:tabs>
          <w:tab w:val="num" w:pos="5596"/>
        </w:tabs>
        <w:ind w:left="5596" w:hanging="360"/>
      </w:pPr>
      <w:rPr>
        <w:rFonts w:ascii="Wingdings" w:hAnsi="Wingdings" w:hint="default"/>
      </w:rPr>
    </w:lvl>
    <w:lvl w:ilvl="6" w:tplc="0C0A0001">
      <w:start w:val="1"/>
      <w:numFmt w:val="bullet"/>
      <w:lvlText w:val=""/>
      <w:lvlJc w:val="left"/>
      <w:pPr>
        <w:tabs>
          <w:tab w:val="num" w:pos="6316"/>
        </w:tabs>
        <w:ind w:left="6316" w:hanging="360"/>
      </w:pPr>
      <w:rPr>
        <w:rFonts w:ascii="Symbol" w:hAnsi="Symbol" w:hint="default"/>
      </w:rPr>
    </w:lvl>
    <w:lvl w:ilvl="7" w:tplc="0C0A0003">
      <w:start w:val="1"/>
      <w:numFmt w:val="bullet"/>
      <w:lvlText w:val="o"/>
      <w:lvlJc w:val="left"/>
      <w:pPr>
        <w:tabs>
          <w:tab w:val="num" w:pos="7036"/>
        </w:tabs>
        <w:ind w:left="7036" w:hanging="360"/>
      </w:pPr>
      <w:rPr>
        <w:rFonts w:ascii="Courier New" w:hAnsi="Courier New" w:cs="Courier New" w:hint="default"/>
      </w:rPr>
    </w:lvl>
    <w:lvl w:ilvl="8" w:tplc="0C0A0005">
      <w:start w:val="1"/>
      <w:numFmt w:val="bullet"/>
      <w:lvlText w:val=""/>
      <w:lvlJc w:val="left"/>
      <w:pPr>
        <w:tabs>
          <w:tab w:val="num" w:pos="7756"/>
        </w:tabs>
        <w:ind w:left="7756" w:hanging="360"/>
      </w:pPr>
      <w:rPr>
        <w:rFonts w:ascii="Wingdings" w:hAnsi="Wingdings" w:hint="default"/>
      </w:rPr>
    </w:lvl>
  </w:abstractNum>
  <w:abstractNum w:abstractNumId="138" w15:restartNumberingAfterBreak="0">
    <w:nsid w:val="47026D5C"/>
    <w:multiLevelType w:val="hybridMultilevel"/>
    <w:tmpl w:val="420C1A1E"/>
    <w:lvl w:ilvl="0" w:tplc="0C0A0005">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15:restartNumberingAfterBreak="0">
    <w:nsid w:val="473328EF"/>
    <w:multiLevelType w:val="hybridMultilevel"/>
    <w:tmpl w:val="3FC86226"/>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 w15:restartNumberingAfterBreak="0">
    <w:nsid w:val="481E6EA7"/>
    <w:multiLevelType w:val="hybridMultilevel"/>
    <w:tmpl w:val="D2B630BC"/>
    <w:lvl w:ilvl="0" w:tplc="0C0A0001">
      <w:start w:val="1"/>
      <w:numFmt w:val="bullet"/>
      <w:pStyle w:val="VIETAS1"/>
      <w:lvlText w:val=""/>
      <w:lvlJc w:val="left"/>
      <w:pPr>
        <w:tabs>
          <w:tab w:val="num" w:pos="1571"/>
        </w:tabs>
        <w:ind w:left="1571" w:hanging="360"/>
      </w:pPr>
      <w:rPr>
        <w:rFonts w:ascii="Symbol" w:hAnsi="Symbol" w:hint="default"/>
      </w:rPr>
    </w:lvl>
    <w:lvl w:ilvl="1" w:tplc="0C0A0003">
      <w:start w:val="1"/>
      <w:numFmt w:val="bullet"/>
      <w:pStyle w:val="VIETAS2"/>
      <w:lvlText w:val="o"/>
      <w:lvlJc w:val="left"/>
      <w:pPr>
        <w:tabs>
          <w:tab w:val="num" w:pos="2291"/>
        </w:tabs>
        <w:ind w:left="2291" w:hanging="360"/>
      </w:pPr>
      <w:rPr>
        <w:rFonts w:ascii="Courier New" w:hAnsi="Courier New" w:cs="Courier New" w:hint="default"/>
      </w:rPr>
    </w:lvl>
    <w:lvl w:ilvl="2" w:tplc="0C0A0005">
      <w:numFmt w:val="bullet"/>
      <w:lvlText w:val="-"/>
      <w:lvlJc w:val="left"/>
      <w:pPr>
        <w:tabs>
          <w:tab w:val="num" w:pos="3071"/>
        </w:tabs>
        <w:ind w:left="3071" w:hanging="420"/>
      </w:pPr>
      <w:rPr>
        <w:rFonts w:hint="default"/>
      </w:rPr>
    </w:lvl>
    <w:lvl w:ilvl="3" w:tplc="0C0A0001" w:tentative="1">
      <w:start w:val="1"/>
      <w:numFmt w:val="bullet"/>
      <w:lvlText w:val=""/>
      <w:lvlJc w:val="left"/>
      <w:pPr>
        <w:tabs>
          <w:tab w:val="num" w:pos="3731"/>
        </w:tabs>
        <w:ind w:left="3731" w:hanging="360"/>
      </w:pPr>
      <w:rPr>
        <w:rFonts w:ascii="Symbol" w:hAnsi="Symbol" w:hint="default"/>
      </w:rPr>
    </w:lvl>
    <w:lvl w:ilvl="4" w:tplc="0C0A0003">
      <w:start w:val="1"/>
      <w:numFmt w:val="bullet"/>
      <w:lvlText w:val="o"/>
      <w:lvlJc w:val="left"/>
      <w:pPr>
        <w:tabs>
          <w:tab w:val="num" w:pos="4451"/>
        </w:tabs>
        <w:ind w:left="4451" w:hanging="360"/>
      </w:pPr>
      <w:rPr>
        <w:rFonts w:ascii="Courier New" w:hAnsi="Courier New" w:cs="Courier New" w:hint="default"/>
      </w:rPr>
    </w:lvl>
    <w:lvl w:ilvl="5" w:tplc="0C0A0005" w:tentative="1">
      <w:start w:val="1"/>
      <w:numFmt w:val="bullet"/>
      <w:lvlText w:val=""/>
      <w:lvlJc w:val="left"/>
      <w:pPr>
        <w:tabs>
          <w:tab w:val="num" w:pos="5171"/>
        </w:tabs>
        <w:ind w:left="5171" w:hanging="360"/>
      </w:pPr>
      <w:rPr>
        <w:rFonts w:ascii="Wingdings" w:hAnsi="Wingdings" w:hint="default"/>
      </w:rPr>
    </w:lvl>
    <w:lvl w:ilvl="6" w:tplc="0C0A0001" w:tentative="1">
      <w:start w:val="1"/>
      <w:numFmt w:val="bullet"/>
      <w:lvlText w:val=""/>
      <w:lvlJc w:val="left"/>
      <w:pPr>
        <w:tabs>
          <w:tab w:val="num" w:pos="5891"/>
        </w:tabs>
        <w:ind w:left="5891" w:hanging="360"/>
      </w:pPr>
      <w:rPr>
        <w:rFonts w:ascii="Symbol" w:hAnsi="Symbol" w:hint="default"/>
      </w:rPr>
    </w:lvl>
    <w:lvl w:ilvl="7" w:tplc="0C0A0003" w:tentative="1">
      <w:start w:val="1"/>
      <w:numFmt w:val="bullet"/>
      <w:lvlText w:val="o"/>
      <w:lvlJc w:val="left"/>
      <w:pPr>
        <w:tabs>
          <w:tab w:val="num" w:pos="6611"/>
        </w:tabs>
        <w:ind w:left="6611" w:hanging="360"/>
      </w:pPr>
      <w:rPr>
        <w:rFonts w:ascii="Courier New" w:hAnsi="Courier New" w:cs="Courier New" w:hint="default"/>
      </w:rPr>
    </w:lvl>
    <w:lvl w:ilvl="8" w:tplc="0C0A0005" w:tentative="1">
      <w:start w:val="1"/>
      <w:numFmt w:val="bullet"/>
      <w:lvlText w:val=""/>
      <w:lvlJc w:val="left"/>
      <w:pPr>
        <w:tabs>
          <w:tab w:val="num" w:pos="7331"/>
        </w:tabs>
        <w:ind w:left="7331" w:hanging="360"/>
      </w:pPr>
      <w:rPr>
        <w:rFonts w:ascii="Wingdings" w:hAnsi="Wingdings" w:hint="default"/>
      </w:rPr>
    </w:lvl>
  </w:abstractNum>
  <w:abstractNum w:abstractNumId="141" w15:restartNumberingAfterBreak="0">
    <w:nsid w:val="48645905"/>
    <w:multiLevelType w:val="hybridMultilevel"/>
    <w:tmpl w:val="C32AB3DC"/>
    <w:lvl w:ilvl="0" w:tplc="0C0A0001">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2" w15:restartNumberingAfterBreak="0">
    <w:nsid w:val="48AF25F2"/>
    <w:multiLevelType w:val="hybridMultilevel"/>
    <w:tmpl w:val="FA506EBC"/>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 w15:restartNumberingAfterBreak="0">
    <w:nsid w:val="4914519F"/>
    <w:multiLevelType w:val="hybridMultilevel"/>
    <w:tmpl w:val="EDD6B91C"/>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4" w15:restartNumberingAfterBreak="0">
    <w:nsid w:val="495327CF"/>
    <w:multiLevelType w:val="hybridMultilevel"/>
    <w:tmpl w:val="64740D96"/>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5" w15:restartNumberingAfterBreak="0">
    <w:nsid w:val="498F3747"/>
    <w:multiLevelType w:val="hybridMultilevel"/>
    <w:tmpl w:val="B964B0D6"/>
    <w:lvl w:ilvl="0" w:tplc="ED766D1E">
      <w:start w:val="2"/>
      <w:numFmt w:val="bullet"/>
      <w:lvlText w:val="-"/>
      <w:lvlJc w:val="left"/>
      <w:pPr>
        <w:tabs>
          <w:tab w:val="num" w:pos="785"/>
        </w:tabs>
        <w:ind w:left="785"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6" w15:restartNumberingAfterBreak="0">
    <w:nsid w:val="49CB23A3"/>
    <w:multiLevelType w:val="hybridMultilevel"/>
    <w:tmpl w:val="A7561A5A"/>
    <w:lvl w:ilvl="0" w:tplc="20F0D9E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7" w15:restartNumberingAfterBreak="0">
    <w:nsid w:val="49E34FB1"/>
    <w:multiLevelType w:val="hybridMultilevel"/>
    <w:tmpl w:val="A226FA74"/>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8" w15:restartNumberingAfterBreak="0">
    <w:nsid w:val="4A0735F7"/>
    <w:multiLevelType w:val="hybridMultilevel"/>
    <w:tmpl w:val="5F468D40"/>
    <w:lvl w:ilvl="0" w:tplc="06C2B6B4">
      <w:start w:val="1"/>
      <w:numFmt w:val="bullet"/>
      <w:lvlText w:val=""/>
      <w:lvlJc w:val="left"/>
      <w:pPr>
        <w:ind w:left="720" w:hanging="360"/>
      </w:pPr>
      <w:rPr>
        <w:rFonts w:ascii="Symbol" w:hAnsi="Symbol"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149" w15:restartNumberingAfterBreak="0">
    <w:nsid w:val="4A2B1D12"/>
    <w:multiLevelType w:val="hybridMultilevel"/>
    <w:tmpl w:val="DE6A0BEE"/>
    <w:lvl w:ilvl="0" w:tplc="7690E8D8">
      <w:start w:val="1"/>
      <w:numFmt w:val="bullet"/>
      <w:lvlText w:val="-"/>
      <w:lvlJc w:val="left"/>
      <w:pPr>
        <w:ind w:left="1286" w:hanging="360"/>
      </w:pPr>
      <w:rPr>
        <w:rFonts w:ascii="Courier New" w:hAnsi="Courier New" w:hint="default"/>
      </w:rPr>
    </w:lvl>
    <w:lvl w:ilvl="1" w:tplc="6F103E3E" w:tentative="1">
      <w:start w:val="1"/>
      <w:numFmt w:val="bullet"/>
      <w:lvlText w:val="o"/>
      <w:lvlJc w:val="left"/>
      <w:pPr>
        <w:ind w:left="1440" w:hanging="360"/>
      </w:pPr>
      <w:rPr>
        <w:rFonts w:ascii="Courier New" w:hAnsi="Courier New" w:cs="Courier New" w:hint="default"/>
      </w:rPr>
    </w:lvl>
    <w:lvl w:ilvl="2" w:tplc="1ED8B8D4" w:tentative="1">
      <w:start w:val="1"/>
      <w:numFmt w:val="bullet"/>
      <w:lvlText w:val=""/>
      <w:lvlJc w:val="left"/>
      <w:pPr>
        <w:ind w:left="2160" w:hanging="360"/>
      </w:pPr>
      <w:rPr>
        <w:rFonts w:ascii="Wingdings" w:hAnsi="Wingdings" w:hint="default"/>
      </w:rPr>
    </w:lvl>
    <w:lvl w:ilvl="3" w:tplc="0CCC2C8C" w:tentative="1">
      <w:start w:val="1"/>
      <w:numFmt w:val="bullet"/>
      <w:lvlText w:val=""/>
      <w:lvlJc w:val="left"/>
      <w:pPr>
        <w:ind w:left="2880" w:hanging="360"/>
      </w:pPr>
      <w:rPr>
        <w:rFonts w:ascii="Symbol" w:hAnsi="Symbol" w:hint="default"/>
      </w:rPr>
    </w:lvl>
    <w:lvl w:ilvl="4" w:tplc="42342132" w:tentative="1">
      <w:start w:val="1"/>
      <w:numFmt w:val="bullet"/>
      <w:lvlText w:val="o"/>
      <w:lvlJc w:val="left"/>
      <w:pPr>
        <w:ind w:left="3600" w:hanging="360"/>
      </w:pPr>
      <w:rPr>
        <w:rFonts w:ascii="Courier New" w:hAnsi="Courier New" w:cs="Courier New" w:hint="default"/>
      </w:rPr>
    </w:lvl>
    <w:lvl w:ilvl="5" w:tplc="CFBAC060" w:tentative="1">
      <w:start w:val="1"/>
      <w:numFmt w:val="bullet"/>
      <w:lvlText w:val=""/>
      <w:lvlJc w:val="left"/>
      <w:pPr>
        <w:ind w:left="4320" w:hanging="360"/>
      </w:pPr>
      <w:rPr>
        <w:rFonts w:ascii="Wingdings" w:hAnsi="Wingdings" w:hint="default"/>
      </w:rPr>
    </w:lvl>
    <w:lvl w:ilvl="6" w:tplc="D6BA4D2C" w:tentative="1">
      <w:start w:val="1"/>
      <w:numFmt w:val="bullet"/>
      <w:lvlText w:val=""/>
      <w:lvlJc w:val="left"/>
      <w:pPr>
        <w:ind w:left="5040" w:hanging="360"/>
      </w:pPr>
      <w:rPr>
        <w:rFonts w:ascii="Symbol" w:hAnsi="Symbol" w:hint="default"/>
      </w:rPr>
    </w:lvl>
    <w:lvl w:ilvl="7" w:tplc="E48A2CF2" w:tentative="1">
      <w:start w:val="1"/>
      <w:numFmt w:val="bullet"/>
      <w:lvlText w:val="o"/>
      <w:lvlJc w:val="left"/>
      <w:pPr>
        <w:ind w:left="5760" w:hanging="360"/>
      </w:pPr>
      <w:rPr>
        <w:rFonts w:ascii="Courier New" w:hAnsi="Courier New" w:cs="Courier New" w:hint="default"/>
      </w:rPr>
    </w:lvl>
    <w:lvl w:ilvl="8" w:tplc="AE6607A8" w:tentative="1">
      <w:start w:val="1"/>
      <w:numFmt w:val="bullet"/>
      <w:lvlText w:val=""/>
      <w:lvlJc w:val="left"/>
      <w:pPr>
        <w:ind w:left="6480" w:hanging="360"/>
      </w:pPr>
      <w:rPr>
        <w:rFonts w:ascii="Wingdings" w:hAnsi="Wingdings" w:hint="default"/>
      </w:rPr>
    </w:lvl>
  </w:abstractNum>
  <w:abstractNum w:abstractNumId="150" w15:restartNumberingAfterBreak="0">
    <w:nsid w:val="4ABE23B0"/>
    <w:multiLevelType w:val="hybridMultilevel"/>
    <w:tmpl w:val="C3C26388"/>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1" w15:restartNumberingAfterBreak="0">
    <w:nsid w:val="4BD3103D"/>
    <w:multiLevelType w:val="hybridMultilevel"/>
    <w:tmpl w:val="31284A18"/>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2" w15:restartNumberingAfterBreak="0">
    <w:nsid w:val="4C120E5A"/>
    <w:multiLevelType w:val="hybridMultilevel"/>
    <w:tmpl w:val="89A2AD6A"/>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3" w15:restartNumberingAfterBreak="0">
    <w:nsid w:val="4C28580F"/>
    <w:multiLevelType w:val="hybridMultilevel"/>
    <w:tmpl w:val="22DEFCC4"/>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4" w15:restartNumberingAfterBreak="0">
    <w:nsid w:val="4CAA5DEA"/>
    <w:multiLevelType w:val="hybridMultilevel"/>
    <w:tmpl w:val="657A7412"/>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5" w15:restartNumberingAfterBreak="0">
    <w:nsid w:val="4D794FF0"/>
    <w:multiLevelType w:val="hybridMultilevel"/>
    <w:tmpl w:val="E574222E"/>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6" w15:restartNumberingAfterBreak="0">
    <w:nsid w:val="4DA451DB"/>
    <w:multiLevelType w:val="hybridMultilevel"/>
    <w:tmpl w:val="12B89C36"/>
    <w:lvl w:ilvl="0" w:tplc="06C2B6B4">
      <w:start w:val="1"/>
      <w:numFmt w:val="decimal"/>
      <w:pStyle w:val="Gif1-corre"/>
      <w:lvlText w:val="Fotografía %1.-"/>
      <w:lvlJc w:val="left"/>
      <w:pPr>
        <w:tabs>
          <w:tab w:val="num" w:pos="1800"/>
        </w:tabs>
        <w:ind w:left="0" w:firstLine="0"/>
      </w:pPr>
      <w:rPr>
        <w:rFonts w:ascii="Arial Negrita" w:hAnsi="Arial Negrita" w:hint="default"/>
        <w:b/>
        <w:i w:val="0"/>
        <w:sz w:val="20"/>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57" w15:restartNumberingAfterBreak="0">
    <w:nsid w:val="4DA90915"/>
    <w:multiLevelType w:val="hybridMultilevel"/>
    <w:tmpl w:val="611253E6"/>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8" w15:restartNumberingAfterBreak="0">
    <w:nsid w:val="4F2D2CD6"/>
    <w:multiLevelType w:val="hybridMultilevel"/>
    <w:tmpl w:val="A71A2596"/>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9" w15:restartNumberingAfterBreak="0">
    <w:nsid w:val="50F62E9C"/>
    <w:multiLevelType w:val="hybridMultilevel"/>
    <w:tmpl w:val="B462B5D0"/>
    <w:lvl w:ilvl="0" w:tplc="64CA2D7C">
      <w:start w:val="1"/>
      <w:numFmt w:val="bullet"/>
      <w:pStyle w:val="listaguiones"/>
      <w:lvlText w:val="-"/>
      <w:lvlJc w:val="left"/>
      <w:pPr>
        <w:ind w:left="1287" w:hanging="360"/>
      </w:pPr>
      <w:rPr>
        <w:rFonts w:ascii="Segoe UI" w:hAnsi="Segoe UI" w:cs="Times New Roman" w:hint="default"/>
      </w:rPr>
    </w:lvl>
    <w:lvl w:ilvl="1" w:tplc="0C0A0003">
      <w:start w:val="1"/>
      <w:numFmt w:val="bullet"/>
      <w:lvlText w:val="o"/>
      <w:lvlJc w:val="left"/>
      <w:pPr>
        <w:ind w:left="2007" w:hanging="360"/>
      </w:pPr>
      <w:rPr>
        <w:rFonts w:ascii="Courier New" w:hAnsi="Courier New" w:cs="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cs="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cs="Courier New" w:hint="default"/>
      </w:rPr>
    </w:lvl>
    <w:lvl w:ilvl="8" w:tplc="0C0A0005">
      <w:start w:val="1"/>
      <w:numFmt w:val="bullet"/>
      <w:lvlText w:val=""/>
      <w:lvlJc w:val="left"/>
      <w:pPr>
        <w:ind w:left="7047" w:hanging="360"/>
      </w:pPr>
      <w:rPr>
        <w:rFonts w:ascii="Wingdings" w:hAnsi="Wingdings" w:hint="default"/>
      </w:rPr>
    </w:lvl>
  </w:abstractNum>
  <w:abstractNum w:abstractNumId="160" w15:restartNumberingAfterBreak="0">
    <w:nsid w:val="50F80C7E"/>
    <w:multiLevelType w:val="hybridMultilevel"/>
    <w:tmpl w:val="CE24F510"/>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1" w15:restartNumberingAfterBreak="0">
    <w:nsid w:val="514465C0"/>
    <w:multiLevelType w:val="hybridMultilevel"/>
    <w:tmpl w:val="D12E6A5A"/>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2" w15:restartNumberingAfterBreak="0">
    <w:nsid w:val="523453FB"/>
    <w:multiLevelType w:val="multilevel"/>
    <w:tmpl w:val="ECAADB62"/>
    <w:lvl w:ilvl="0">
      <w:start w:val="1"/>
      <w:numFmt w:val="decimal"/>
      <w:lvlText w:val="%1."/>
      <w:lvlJc w:val="left"/>
      <w:pPr>
        <w:tabs>
          <w:tab w:val="num" w:pos="360"/>
        </w:tabs>
        <w:ind w:left="283" w:hanging="283"/>
      </w:pPr>
      <w:rPr>
        <w:rFonts w:hint="default"/>
      </w:rPr>
    </w:lvl>
    <w:lvl w:ilvl="1">
      <w:start w:val="1"/>
      <w:numFmt w:val="decimal"/>
      <w:suff w:val="space"/>
      <w:lvlText w:val="%1.%2."/>
      <w:lvlJc w:val="left"/>
      <w:pPr>
        <w:ind w:left="-284" w:firstLine="284"/>
      </w:pPr>
      <w:rPr>
        <w:rFonts w:hint="default"/>
      </w:rPr>
    </w:lvl>
    <w:lvl w:ilvl="2">
      <w:start w:val="1"/>
      <w:numFmt w:val="decimal"/>
      <w:suff w:val="space"/>
      <w:lvlText w:val="%1.%2.%3."/>
      <w:lvlJc w:val="left"/>
      <w:pPr>
        <w:ind w:left="-284" w:firstLine="284"/>
      </w:pPr>
      <w:rPr>
        <w:rFonts w:hint="default"/>
      </w:rPr>
    </w:lvl>
    <w:lvl w:ilvl="3">
      <w:start w:val="1"/>
      <w:numFmt w:val="decimal"/>
      <w:suff w:val="space"/>
      <w:lvlText w:val="%1.%2.%3.%4"/>
      <w:lvlJc w:val="left"/>
      <w:pPr>
        <w:ind w:left="-284" w:firstLine="284"/>
      </w:pPr>
      <w:rPr>
        <w:rFonts w:hint="default"/>
      </w:rPr>
    </w:lvl>
    <w:lvl w:ilvl="4">
      <w:start w:val="1"/>
      <w:numFmt w:val="decimal"/>
      <w:lvlText w:val="%1.%2.%3.%4.%5"/>
      <w:lvlJc w:val="left"/>
      <w:pPr>
        <w:tabs>
          <w:tab w:val="num" w:pos="1156"/>
        </w:tabs>
        <w:ind w:left="724" w:hanging="1008"/>
      </w:pPr>
      <w:rPr>
        <w:rFonts w:hint="default"/>
      </w:rPr>
    </w:lvl>
    <w:lvl w:ilvl="5">
      <w:start w:val="1"/>
      <w:numFmt w:val="decimal"/>
      <w:pStyle w:val="Ttulo6"/>
      <w:lvlText w:val="%1.%2.%3.%4.%5.%6"/>
      <w:lvlJc w:val="left"/>
      <w:pPr>
        <w:tabs>
          <w:tab w:val="num" w:pos="868"/>
        </w:tabs>
        <w:ind w:left="868" w:hanging="1152"/>
      </w:pPr>
      <w:rPr>
        <w:rFonts w:hint="default"/>
      </w:rPr>
    </w:lvl>
    <w:lvl w:ilvl="6">
      <w:start w:val="1"/>
      <w:numFmt w:val="decimal"/>
      <w:pStyle w:val="Ttulo7"/>
      <w:lvlText w:val="%1.%2.%3.%4.%5.%6.%7"/>
      <w:lvlJc w:val="left"/>
      <w:pPr>
        <w:tabs>
          <w:tab w:val="num" w:pos="1012"/>
        </w:tabs>
        <w:ind w:left="1012" w:hanging="1296"/>
      </w:pPr>
      <w:rPr>
        <w:rFonts w:hint="default"/>
      </w:rPr>
    </w:lvl>
    <w:lvl w:ilvl="7">
      <w:start w:val="1"/>
      <w:numFmt w:val="decimal"/>
      <w:pStyle w:val="Ttulo8"/>
      <w:lvlText w:val="%1.%2.%3.%4.%5.%6.%7.%8"/>
      <w:lvlJc w:val="left"/>
      <w:pPr>
        <w:tabs>
          <w:tab w:val="num" w:pos="1156"/>
        </w:tabs>
        <w:ind w:left="1156" w:hanging="1440"/>
      </w:pPr>
      <w:rPr>
        <w:rFonts w:hint="default"/>
      </w:rPr>
    </w:lvl>
    <w:lvl w:ilvl="8">
      <w:start w:val="1"/>
      <w:numFmt w:val="decimal"/>
      <w:pStyle w:val="Ttulo9"/>
      <w:lvlText w:val="%1.%2.%3.%4.%5.%6.%7.%8.%9"/>
      <w:lvlJc w:val="left"/>
      <w:pPr>
        <w:tabs>
          <w:tab w:val="num" w:pos="1300"/>
        </w:tabs>
        <w:ind w:left="1300" w:hanging="1584"/>
      </w:pPr>
      <w:rPr>
        <w:rFonts w:hint="default"/>
      </w:rPr>
    </w:lvl>
  </w:abstractNum>
  <w:abstractNum w:abstractNumId="163" w15:restartNumberingAfterBreak="0">
    <w:nsid w:val="52A7118D"/>
    <w:multiLevelType w:val="hybridMultilevel"/>
    <w:tmpl w:val="F566D1CA"/>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4" w15:restartNumberingAfterBreak="0">
    <w:nsid w:val="53371EAF"/>
    <w:multiLevelType w:val="hybridMultilevel"/>
    <w:tmpl w:val="BF5EF6FE"/>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5" w15:restartNumberingAfterBreak="0">
    <w:nsid w:val="537F04E8"/>
    <w:multiLevelType w:val="hybridMultilevel"/>
    <w:tmpl w:val="4CE2F6A4"/>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6" w15:restartNumberingAfterBreak="0">
    <w:nsid w:val="541158DD"/>
    <w:multiLevelType w:val="hybridMultilevel"/>
    <w:tmpl w:val="99062B04"/>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7" w15:restartNumberingAfterBreak="0">
    <w:nsid w:val="54A326AD"/>
    <w:multiLevelType w:val="hybridMultilevel"/>
    <w:tmpl w:val="2FA89BF0"/>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8" w15:restartNumberingAfterBreak="0">
    <w:nsid w:val="54A743B7"/>
    <w:multiLevelType w:val="hybridMultilevel"/>
    <w:tmpl w:val="FD7E7D2E"/>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9" w15:restartNumberingAfterBreak="0">
    <w:nsid w:val="551978DA"/>
    <w:multiLevelType w:val="hybridMultilevel"/>
    <w:tmpl w:val="8C4A8B66"/>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0" w15:restartNumberingAfterBreak="0">
    <w:nsid w:val="55BF4243"/>
    <w:multiLevelType w:val="hybridMultilevel"/>
    <w:tmpl w:val="6D1EAF54"/>
    <w:lvl w:ilvl="0" w:tplc="06C2B6B4">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1" w15:restartNumberingAfterBreak="0">
    <w:nsid w:val="56053FC4"/>
    <w:multiLevelType w:val="hybridMultilevel"/>
    <w:tmpl w:val="2820B4BA"/>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2" w15:restartNumberingAfterBreak="0">
    <w:nsid w:val="56FA6BE6"/>
    <w:multiLevelType w:val="hybridMultilevel"/>
    <w:tmpl w:val="4F36405E"/>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3" w15:restartNumberingAfterBreak="0">
    <w:nsid w:val="578258C7"/>
    <w:multiLevelType w:val="hybridMultilevel"/>
    <w:tmpl w:val="2E027184"/>
    <w:lvl w:ilvl="0" w:tplc="64CA2D7C">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4" w15:restartNumberingAfterBreak="0">
    <w:nsid w:val="58B271EA"/>
    <w:multiLevelType w:val="hybridMultilevel"/>
    <w:tmpl w:val="D10C4C66"/>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5" w15:restartNumberingAfterBreak="0">
    <w:nsid w:val="59751997"/>
    <w:multiLevelType w:val="hybridMultilevel"/>
    <w:tmpl w:val="EC82BF08"/>
    <w:lvl w:ilvl="0" w:tplc="06C2B6B4">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6" w15:restartNumberingAfterBreak="0">
    <w:nsid w:val="59BD6D20"/>
    <w:multiLevelType w:val="hybridMultilevel"/>
    <w:tmpl w:val="6DBEA9BC"/>
    <w:lvl w:ilvl="0" w:tplc="EFD8E09A">
      <w:start w:val="1"/>
      <w:numFmt w:val="bullet"/>
      <w:lvlText w:val="-"/>
      <w:lvlJc w:val="left"/>
      <w:pPr>
        <w:ind w:left="720" w:hanging="360"/>
      </w:pPr>
      <w:rPr>
        <w:rFonts w:ascii="Courier New" w:hAnsi="Courier New" w:hint="default"/>
      </w:rPr>
    </w:lvl>
    <w:lvl w:ilvl="1" w:tplc="21B8E6B0" w:tentative="1">
      <w:start w:val="1"/>
      <w:numFmt w:val="bullet"/>
      <w:lvlText w:val="o"/>
      <w:lvlJc w:val="left"/>
      <w:pPr>
        <w:ind w:left="1440" w:hanging="360"/>
      </w:pPr>
      <w:rPr>
        <w:rFonts w:ascii="Courier New" w:hAnsi="Courier New" w:cs="Courier New" w:hint="default"/>
      </w:rPr>
    </w:lvl>
    <w:lvl w:ilvl="2" w:tplc="9D44CEE2" w:tentative="1">
      <w:start w:val="1"/>
      <w:numFmt w:val="bullet"/>
      <w:lvlText w:val=""/>
      <w:lvlJc w:val="left"/>
      <w:pPr>
        <w:ind w:left="2160" w:hanging="360"/>
      </w:pPr>
      <w:rPr>
        <w:rFonts w:ascii="Wingdings" w:hAnsi="Wingdings" w:hint="default"/>
      </w:rPr>
    </w:lvl>
    <w:lvl w:ilvl="3" w:tplc="29E6AAF8" w:tentative="1">
      <w:start w:val="1"/>
      <w:numFmt w:val="bullet"/>
      <w:lvlText w:val=""/>
      <w:lvlJc w:val="left"/>
      <w:pPr>
        <w:ind w:left="2880" w:hanging="360"/>
      </w:pPr>
      <w:rPr>
        <w:rFonts w:ascii="Symbol" w:hAnsi="Symbol" w:hint="default"/>
      </w:rPr>
    </w:lvl>
    <w:lvl w:ilvl="4" w:tplc="7A80E302" w:tentative="1">
      <w:start w:val="1"/>
      <w:numFmt w:val="bullet"/>
      <w:lvlText w:val="o"/>
      <w:lvlJc w:val="left"/>
      <w:pPr>
        <w:ind w:left="3600" w:hanging="360"/>
      </w:pPr>
      <w:rPr>
        <w:rFonts w:ascii="Courier New" w:hAnsi="Courier New" w:cs="Courier New" w:hint="default"/>
      </w:rPr>
    </w:lvl>
    <w:lvl w:ilvl="5" w:tplc="71CAF092" w:tentative="1">
      <w:start w:val="1"/>
      <w:numFmt w:val="bullet"/>
      <w:lvlText w:val=""/>
      <w:lvlJc w:val="left"/>
      <w:pPr>
        <w:ind w:left="4320" w:hanging="360"/>
      </w:pPr>
      <w:rPr>
        <w:rFonts w:ascii="Wingdings" w:hAnsi="Wingdings" w:hint="default"/>
      </w:rPr>
    </w:lvl>
    <w:lvl w:ilvl="6" w:tplc="A62C922E" w:tentative="1">
      <w:start w:val="1"/>
      <w:numFmt w:val="bullet"/>
      <w:lvlText w:val=""/>
      <w:lvlJc w:val="left"/>
      <w:pPr>
        <w:ind w:left="5040" w:hanging="360"/>
      </w:pPr>
      <w:rPr>
        <w:rFonts w:ascii="Symbol" w:hAnsi="Symbol" w:hint="default"/>
      </w:rPr>
    </w:lvl>
    <w:lvl w:ilvl="7" w:tplc="7744D0D0" w:tentative="1">
      <w:start w:val="1"/>
      <w:numFmt w:val="bullet"/>
      <w:lvlText w:val="o"/>
      <w:lvlJc w:val="left"/>
      <w:pPr>
        <w:ind w:left="5760" w:hanging="360"/>
      </w:pPr>
      <w:rPr>
        <w:rFonts w:ascii="Courier New" w:hAnsi="Courier New" w:cs="Courier New" w:hint="default"/>
      </w:rPr>
    </w:lvl>
    <w:lvl w:ilvl="8" w:tplc="405C54E8" w:tentative="1">
      <w:start w:val="1"/>
      <w:numFmt w:val="bullet"/>
      <w:lvlText w:val=""/>
      <w:lvlJc w:val="left"/>
      <w:pPr>
        <w:ind w:left="6480" w:hanging="360"/>
      </w:pPr>
      <w:rPr>
        <w:rFonts w:ascii="Wingdings" w:hAnsi="Wingdings" w:hint="default"/>
      </w:rPr>
    </w:lvl>
  </w:abstractNum>
  <w:abstractNum w:abstractNumId="177" w15:restartNumberingAfterBreak="0">
    <w:nsid w:val="5AD019BB"/>
    <w:multiLevelType w:val="hybridMultilevel"/>
    <w:tmpl w:val="28AC937C"/>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8" w15:restartNumberingAfterBreak="0">
    <w:nsid w:val="5B982C99"/>
    <w:multiLevelType w:val="hybridMultilevel"/>
    <w:tmpl w:val="6D40AEFA"/>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9" w15:restartNumberingAfterBreak="0">
    <w:nsid w:val="5C347BF7"/>
    <w:multiLevelType w:val="hybridMultilevel"/>
    <w:tmpl w:val="023C17C0"/>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0" w15:restartNumberingAfterBreak="0">
    <w:nsid w:val="5C572CCE"/>
    <w:multiLevelType w:val="hybridMultilevel"/>
    <w:tmpl w:val="140C7164"/>
    <w:lvl w:ilvl="0" w:tplc="372ACBD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1" w15:restartNumberingAfterBreak="0">
    <w:nsid w:val="5D2D5375"/>
    <w:multiLevelType w:val="hybridMultilevel"/>
    <w:tmpl w:val="DE482806"/>
    <w:lvl w:ilvl="0" w:tplc="64CA2D7C">
      <w:numFmt w:val="bullet"/>
      <w:lvlText w:val="—"/>
      <w:lvlJc w:val="left"/>
      <w:pPr>
        <w:ind w:left="1254" w:hanging="284"/>
      </w:pPr>
      <w:rPr>
        <w:rFonts w:ascii="Calibri" w:eastAsia="Calibri" w:hAnsi="Calibri" w:cs="Calibri" w:hint="default"/>
        <w:color w:val="231F20"/>
        <w:w w:val="99"/>
        <w:sz w:val="22"/>
        <w:szCs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2" w15:restartNumberingAfterBreak="0">
    <w:nsid w:val="5E344027"/>
    <w:multiLevelType w:val="hybridMultilevel"/>
    <w:tmpl w:val="D8409D82"/>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3" w15:restartNumberingAfterBreak="0">
    <w:nsid w:val="5E466BBA"/>
    <w:multiLevelType w:val="hybridMultilevel"/>
    <w:tmpl w:val="52F4AAAA"/>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4" w15:restartNumberingAfterBreak="0">
    <w:nsid w:val="5E82622D"/>
    <w:multiLevelType w:val="hybridMultilevel"/>
    <w:tmpl w:val="51547B92"/>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5" w15:restartNumberingAfterBreak="0">
    <w:nsid w:val="5ECD30EC"/>
    <w:multiLevelType w:val="hybridMultilevel"/>
    <w:tmpl w:val="FF6EB626"/>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6" w15:restartNumberingAfterBreak="0">
    <w:nsid w:val="5FD65622"/>
    <w:multiLevelType w:val="hybridMultilevel"/>
    <w:tmpl w:val="167AC3DE"/>
    <w:lvl w:ilvl="0" w:tplc="64CA2D7C">
      <w:start w:val="1"/>
      <w:numFmt w:val="bullet"/>
      <w:pStyle w:val="Titulodefigura"/>
      <w:lvlText w:val="-"/>
      <w:lvlJc w:val="left"/>
      <w:pPr>
        <w:tabs>
          <w:tab w:val="num" w:pos="567"/>
        </w:tabs>
        <w:ind w:left="567" w:hanging="567"/>
      </w:pPr>
      <w:rPr>
        <w:rFonts w:hAnsi="Arial"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5FDC45CE"/>
    <w:multiLevelType w:val="hybridMultilevel"/>
    <w:tmpl w:val="735AD578"/>
    <w:lvl w:ilvl="0" w:tplc="0C0A000D">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8" w15:restartNumberingAfterBreak="0">
    <w:nsid w:val="5FE51FB0"/>
    <w:multiLevelType w:val="hybridMultilevel"/>
    <w:tmpl w:val="C0B0C14C"/>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9" w15:restartNumberingAfterBreak="0">
    <w:nsid w:val="60061E26"/>
    <w:multiLevelType w:val="multilevel"/>
    <w:tmpl w:val="9ED61B9C"/>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0" w15:restartNumberingAfterBreak="0">
    <w:nsid w:val="602250AF"/>
    <w:multiLevelType w:val="hybridMultilevel"/>
    <w:tmpl w:val="16A4FDF0"/>
    <w:lvl w:ilvl="0" w:tplc="64CA2D7C">
      <w:start w:val="1"/>
      <w:numFmt w:val="decimal"/>
      <w:pStyle w:val="Ttulo7modificado"/>
      <w:lvlText w:val="Tabla %1.-"/>
      <w:lvlJc w:val="left"/>
      <w:pPr>
        <w:tabs>
          <w:tab w:val="num" w:pos="1080"/>
        </w:tabs>
        <w:ind w:left="0" w:firstLine="0"/>
      </w:pPr>
      <w:rPr>
        <w:rFonts w:ascii="Arial Negrita" w:hAnsi="Arial Negrita" w:hint="default"/>
        <w:b/>
        <w:i w:val="0"/>
        <w:sz w:val="20"/>
      </w:rPr>
    </w:lvl>
    <w:lvl w:ilvl="1" w:tplc="0C0A0003" w:tentative="1">
      <w:start w:val="1"/>
      <w:numFmt w:val="lowerLetter"/>
      <w:lvlText w:val="%2."/>
      <w:lvlJc w:val="left"/>
      <w:pPr>
        <w:tabs>
          <w:tab w:val="num" w:pos="1440"/>
        </w:tabs>
        <w:ind w:left="1440" w:hanging="360"/>
      </w:pPr>
    </w:lvl>
    <w:lvl w:ilvl="2" w:tplc="0C0A0005" w:tentative="1">
      <w:start w:val="1"/>
      <w:numFmt w:val="lowerRoman"/>
      <w:lvlText w:val="%3."/>
      <w:lvlJc w:val="right"/>
      <w:pPr>
        <w:tabs>
          <w:tab w:val="num" w:pos="2160"/>
        </w:tabs>
        <w:ind w:left="2160" w:hanging="180"/>
      </w:pPr>
    </w:lvl>
    <w:lvl w:ilvl="3" w:tplc="0C0A0001" w:tentative="1">
      <w:start w:val="1"/>
      <w:numFmt w:val="decimal"/>
      <w:lvlText w:val="%4."/>
      <w:lvlJc w:val="left"/>
      <w:pPr>
        <w:tabs>
          <w:tab w:val="num" w:pos="2880"/>
        </w:tabs>
        <w:ind w:left="2880" w:hanging="360"/>
      </w:pPr>
    </w:lvl>
    <w:lvl w:ilvl="4" w:tplc="0C0A0003" w:tentative="1">
      <w:start w:val="1"/>
      <w:numFmt w:val="lowerLetter"/>
      <w:lvlText w:val="%5."/>
      <w:lvlJc w:val="left"/>
      <w:pPr>
        <w:tabs>
          <w:tab w:val="num" w:pos="3600"/>
        </w:tabs>
        <w:ind w:left="3600" w:hanging="360"/>
      </w:pPr>
    </w:lvl>
    <w:lvl w:ilvl="5" w:tplc="0C0A0005" w:tentative="1">
      <w:start w:val="1"/>
      <w:numFmt w:val="lowerRoman"/>
      <w:lvlText w:val="%6."/>
      <w:lvlJc w:val="right"/>
      <w:pPr>
        <w:tabs>
          <w:tab w:val="num" w:pos="4320"/>
        </w:tabs>
        <w:ind w:left="4320" w:hanging="180"/>
      </w:pPr>
    </w:lvl>
    <w:lvl w:ilvl="6" w:tplc="0C0A0001" w:tentative="1">
      <w:start w:val="1"/>
      <w:numFmt w:val="decimal"/>
      <w:lvlText w:val="%7."/>
      <w:lvlJc w:val="left"/>
      <w:pPr>
        <w:tabs>
          <w:tab w:val="num" w:pos="5040"/>
        </w:tabs>
        <w:ind w:left="5040" w:hanging="360"/>
      </w:pPr>
    </w:lvl>
    <w:lvl w:ilvl="7" w:tplc="0C0A0003" w:tentative="1">
      <w:start w:val="1"/>
      <w:numFmt w:val="lowerLetter"/>
      <w:lvlText w:val="%8."/>
      <w:lvlJc w:val="left"/>
      <w:pPr>
        <w:tabs>
          <w:tab w:val="num" w:pos="5760"/>
        </w:tabs>
        <w:ind w:left="5760" w:hanging="360"/>
      </w:pPr>
    </w:lvl>
    <w:lvl w:ilvl="8" w:tplc="0C0A0005" w:tentative="1">
      <w:start w:val="1"/>
      <w:numFmt w:val="lowerRoman"/>
      <w:lvlText w:val="%9."/>
      <w:lvlJc w:val="right"/>
      <w:pPr>
        <w:tabs>
          <w:tab w:val="num" w:pos="6480"/>
        </w:tabs>
        <w:ind w:left="6480" w:hanging="180"/>
      </w:pPr>
    </w:lvl>
  </w:abstractNum>
  <w:abstractNum w:abstractNumId="191" w15:restartNumberingAfterBreak="0">
    <w:nsid w:val="60B54395"/>
    <w:multiLevelType w:val="hybridMultilevel"/>
    <w:tmpl w:val="E5B86838"/>
    <w:lvl w:ilvl="0" w:tplc="06C2B6B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2" w15:restartNumberingAfterBreak="0">
    <w:nsid w:val="60C35588"/>
    <w:multiLevelType w:val="hybridMultilevel"/>
    <w:tmpl w:val="31002474"/>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3" w15:restartNumberingAfterBreak="0">
    <w:nsid w:val="60D76C41"/>
    <w:multiLevelType w:val="hybridMultilevel"/>
    <w:tmpl w:val="EFB0F7A4"/>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4" w15:restartNumberingAfterBreak="0">
    <w:nsid w:val="61820F90"/>
    <w:multiLevelType w:val="hybridMultilevel"/>
    <w:tmpl w:val="642C5B38"/>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5" w15:restartNumberingAfterBreak="0">
    <w:nsid w:val="61EA0C3F"/>
    <w:multiLevelType w:val="hybridMultilevel"/>
    <w:tmpl w:val="EF9CF0A4"/>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6" w15:restartNumberingAfterBreak="0">
    <w:nsid w:val="6251079E"/>
    <w:multiLevelType w:val="hybridMultilevel"/>
    <w:tmpl w:val="DF00A598"/>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7" w15:restartNumberingAfterBreak="0">
    <w:nsid w:val="62BE69EC"/>
    <w:multiLevelType w:val="hybridMultilevel"/>
    <w:tmpl w:val="AB58F812"/>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8" w15:restartNumberingAfterBreak="0">
    <w:nsid w:val="63464E20"/>
    <w:multiLevelType w:val="hybridMultilevel"/>
    <w:tmpl w:val="D2ACB52C"/>
    <w:lvl w:ilvl="0" w:tplc="64CA2D7C">
      <w:start w:val="1"/>
      <w:numFmt w:val="bullet"/>
      <w:pStyle w:val="Textonotapie"/>
      <w:lvlText w:val="-"/>
      <w:lvlJc w:val="left"/>
      <w:pPr>
        <w:tabs>
          <w:tab w:val="num" w:pos="567"/>
        </w:tabs>
        <w:ind w:left="567" w:hanging="567"/>
      </w:pPr>
      <w:rPr>
        <w:rFonts w:hAnsi="Arial"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9" w15:restartNumberingAfterBreak="0">
    <w:nsid w:val="63AA2AAB"/>
    <w:multiLevelType w:val="hybridMultilevel"/>
    <w:tmpl w:val="185C0060"/>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0" w15:restartNumberingAfterBreak="0">
    <w:nsid w:val="655C45D8"/>
    <w:multiLevelType w:val="hybridMultilevel"/>
    <w:tmpl w:val="84AE750A"/>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1" w15:restartNumberingAfterBreak="0">
    <w:nsid w:val="66F64118"/>
    <w:multiLevelType w:val="hybridMultilevel"/>
    <w:tmpl w:val="D8F859DC"/>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2" w15:restartNumberingAfterBreak="0">
    <w:nsid w:val="670C795A"/>
    <w:multiLevelType w:val="hybridMultilevel"/>
    <w:tmpl w:val="E87EEBE0"/>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3" w15:restartNumberingAfterBreak="0">
    <w:nsid w:val="672C4F52"/>
    <w:multiLevelType w:val="hybridMultilevel"/>
    <w:tmpl w:val="76E25256"/>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4" w15:restartNumberingAfterBreak="0">
    <w:nsid w:val="6801467E"/>
    <w:multiLevelType w:val="hybridMultilevel"/>
    <w:tmpl w:val="179295F8"/>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5" w15:restartNumberingAfterBreak="0">
    <w:nsid w:val="6805600B"/>
    <w:multiLevelType w:val="hybridMultilevel"/>
    <w:tmpl w:val="C584F622"/>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6" w15:restartNumberingAfterBreak="0">
    <w:nsid w:val="688F767C"/>
    <w:multiLevelType w:val="hybridMultilevel"/>
    <w:tmpl w:val="689A67D0"/>
    <w:lvl w:ilvl="0" w:tplc="64CA2D7C">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07" w15:restartNumberingAfterBreak="0">
    <w:nsid w:val="694F37CE"/>
    <w:multiLevelType w:val="hybridMultilevel"/>
    <w:tmpl w:val="34E6C578"/>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8" w15:restartNumberingAfterBreak="0">
    <w:nsid w:val="6A99462F"/>
    <w:multiLevelType w:val="hybridMultilevel"/>
    <w:tmpl w:val="5A108320"/>
    <w:lvl w:ilvl="0" w:tplc="0496632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9" w15:restartNumberingAfterBreak="0">
    <w:nsid w:val="6B986376"/>
    <w:multiLevelType w:val="hybridMultilevel"/>
    <w:tmpl w:val="FA4256E6"/>
    <w:lvl w:ilvl="0" w:tplc="F01C2C54">
      <w:start w:val="1"/>
      <w:numFmt w:val="bullet"/>
      <w:lvlText w:val=""/>
      <w:lvlJc w:val="left"/>
      <w:pPr>
        <w:ind w:left="720" w:hanging="360"/>
      </w:pPr>
      <w:rPr>
        <w:rFonts w:ascii="Symbol" w:hAnsi="Symbol" w:hint="default"/>
      </w:rPr>
    </w:lvl>
    <w:lvl w:ilvl="1" w:tplc="EF9A91F8" w:tentative="1">
      <w:start w:val="1"/>
      <w:numFmt w:val="bullet"/>
      <w:lvlText w:val="o"/>
      <w:lvlJc w:val="left"/>
      <w:pPr>
        <w:ind w:left="1440" w:hanging="360"/>
      </w:pPr>
      <w:rPr>
        <w:rFonts w:ascii="Courier New" w:hAnsi="Courier New" w:cs="Courier New" w:hint="default"/>
      </w:rPr>
    </w:lvl>
    <w:lvl w:ilvl="2" w:tplc="6E506722" w:tentative="1">
      <w:start w:val="1"/>
      <w:numFmt w:val="bullet"/>
      <w:lvlText w:val=""/>
      <w:lvlJc w:val="left"/>
      <w:pPr>
        <w:ind w:left="2160" w:hanging="360"/>
      </w:pPr>
      <w:rPr>
        <w:rFonts w:ascii="Wingdings" w:hAnsi="Wingdings" w:hint="default"/>
      </w:rPr>
    </w:lvl>
    <w:lvl w:ilvl="3" w:tplc="FC44709C" w:tentative="1">
      <w:start w:val="1"/>
      <w:numFmt w:val="bullet"/>
      <w:lvlText w:val=""/>
      <w:lvlJc w:val="left"/>
      <w:pPr>
        <w:ind w:left="2880" w:hanging="360"/>
      </w:pPr>
      <w:rPr>
        <w:rFonts w:ascii="Symbol" w:hAnsi="Symbol" w:hint="default"/>
      </w:rPr>
    </w:lvl>
    <w:lvl w:ilvl="4" w:tplc="AC18BE58" w:tentative="1">
      <w:start w:val="1"/>
      <w:numFmt w:val="bullet"/>
      <w:lvlText w:val="o"/>
      <w:lvlJc w:val="left"/>
      <w:pPr>
        <w:ind w:left="3600" w:hanging="360"/>
      </w:pPr>
      <w:rPr>
        <w:rFonts w:ascii="Courier New" w:hAnsi="Courier New" w:cs="Courier New" w:hint="default"/>
      </w:rPr>
    </w:lvl>
    <w:lvl w:ilvl="5" w:tplc="E556A7B6" w:tentative="1">
      <w:start w:val="1"/>
      <w:numFmt w:val="bullet"/>
      <w:lvlText w:val=""/>
      <w:lvlJc w:val="left"/>
      <w:pPr>
        <w:ind w:left="4320" w:hanging="360"/>
      </w:pPr>
      <w:rPr>
        <w:rFonts w:ascii="Wingdings" w:hAnsi="Wingdings" w:hint="default"/>
      </w:rPr>
    </w:lvl>
    <w:lvl w:ilvl="6" w:tplc="8FCACF8E" w:tentative="1">
      <w:start w:val="1"/>
      <w:numFmt w:val="bullet"/>
      <w:lvlText w:val=""/>
      <w:lvlJc w:val="left"/>
      <w:pPr>
        <w:ind w:left="5040" w:hanging="360"/>
      </w:pPr>
      <w:rPr>
        <w:rFonts w:ascii="Symbol" w:hAnsi="Symbol" w:hint="default"/>
      </w:rPr>
    </w:lvl>
    <w:lvl w:ilvl="7" w:tplc="225EDB14" w:tentative="1">
      <w:start w:val="1"/>
      <w:numFmt w:val="bullet"/>
      <w:lvlText w:val="o"/>
      <w:lvlJc w:val="left"/>
      <w:pPr>
        <w:ind w:left="5760" w:hanging="360"/>
      </w:pPr>
      <w:rPr>
        <w:rFonts w:ascii="Courier New" w:hAnsi="Courier New" w:cs="Courier New" w:hint="default"/>
      </w:rPr>
    </w:lvl>
    <w:lvl w:ilvl="8" w:tplc="480E91AA" w:tentative="1">
      <w:start w:val="1"/>
      <w:numFmt w:val="bullet"/>
      <w:lvlText w:val=""/>
      <w:lvlJc w:val="left"/>
      <w:pPr>
        <w:ind w:left="6480" w:hanging="360"/>
      </w:pPr>
      <w:rPr>
        <w:rFonts w:ascii="Wingdings" w:hAnsi="Wingdings" w:hint="default"/>
      </w:rPr>
    </w:lvl>
  </w:abstractNum>
  <w:abstractNum w:abstractNumId="210" w15:restartNumberingAfterBreak="0">
    <w:nsid w:val="6BFD18BA"/>
    <w:multiLevelType w:val="hybridMultilevel"/>
    <w:tmpl w:val="BEC06718"/>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1" w15:restartNumberingAfterBreak="0">
    <w:nsid w:val="6C8E5849"/>
    <w:multiLevelType w:val="hybridMultilevel"/>
    <w:tmpl w:val="393060C0"/>
    <w:lvl w:ilvl="0" w:tplc="06C2B6B4">
      <w:start w:val="1"/>
      <w:numFmt w:val="bullet"/>
      <w:lvlText w:val=""/>
      <w:lvlJc w:val="left"/>
      <w:pPr>
        <w:ind w:left="720" w:hanging="360"/>
      </w:pPr>
      <w:rPr>
        <w:rFonts w:ascii="Symbol" w:hAnsi="Symbol"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12" w15:restartNumberingAfterBreak="0">
    <w:nsid w:val="6CC809FA"/>
    <w:multiLevelType w:val="hybridMultilevel"/>
    <w:tmpl w:val="A0A0B2D0"/>
    <w:lvl w:ilvl="0" w:tplc="375AE8B8">
      <w:start w:val="1"/>
      <w:numFmt w:val="bullet"/>
      <w:lvlText w:val="-"/>
      <w:lvlJc w:val="left"/>
      <w:pPr>
        <w:ind w:left="1069" w:hanging="360"/>
      </w:pPr>
      <w:rPr>
        <w:rFonts w:ascii="Courier New" w:hAnsi="Courier New" w:hint="default"/>
      </w:rPr>
    </w:lvl>
    <w:lvl w:ilvl="1" w:tplc="6212D594">
      <w:start w:val="1"/>
      <w:numFmt w:val="bullet"/>
      <w:lvlText w:val=""/>
      <w:lvlJc w:val="left"/>
      <w:pPr>
        <w:ind w:left="1789" w:hanging="360"/>
      </w:pPr>
      <w:rPr>
        <w:rFonts w:ascii="Symbol" w:hAnsi="Symbol" w:hint="default"/>
      </w:rPr>
    </w:lvl>
    <w:lvl w:ilvl="2" w:tplc="2F400ACE" w:tentative="1">
      <w:start w:val="1"/>
      <w:numFmt w:val="bullet"/>
      <w:lvlText w:val=""/>
      <w:lvlJc w:val="left"/>
      <w:pPr>
        <w:ind w:left="2509" w:hanging="360"/>
      </w:pPr>
      <w:rPr>
        <w:rFonts w:ascii="Wingdings" w:hAnsi="Wingdings" w:hint="default"/>
      </w:rPr>
    </w:lvl>
    <w:lvl w:ilvl="3" w:tplc="FC607118" w:tentative="1">
      <w:start w:val="1"/>
      <w:numFmt w:val="bullet"/>
      <w:lvlText w:val=""/>
      <w:lvlJc w:val="left"/>
      <w:pPr>
        <w:ind w:left="3229" w:hanging="360"/>
      </w:pPr>
      <w:rPr>
        <w:rFonts w:ascii="Symbol" w:hAnsi="Symbol" w:hint="default"/>
      </w:rPr>
    </w:lvl>
    <w:lvl w:ilvl="4" w:tplc="1F44CE20" w:tentative="1">
      <w:start w:val="1"/>
      <w:numFmt w:val="bullet"/>
      <w:lvlText w:val="o"/>
      <w:lvlJc w:val="left"/>
      <w:pPr>
        <w:ind w:left="3949" w:hanging="360"/>
      </w:pPr>
      <w:rPr>
        <w:rFonts w:ascii="Courier New" w:hAnsi="Courier New" w:cs="Courier New" w:hint="default"/>
      </w:rPr>
    </w:lvl>
    <w:lvl w:ilvl="5" w:tplc="4CF6E50A" w:tentative="1">
      <w:start w:val="1"/>
      <w:numFmt w:val="bullet"/>
      <w:lvlText w:val=""/>
      <w:lvlJc w:val="left"/>
      <w:pPr>
        <w:ind w:left="4669" w:hanging="360"/>
      </w:pPr>
      <w:rPr>
        <w:rFonts w:ascii="Wingdings" w:hAnsi="Wingdings" w:hint="default"/>
      </w:rPr>
    </w:lvl>
    <w:lvl w:ilvl="6" w:tplc="3CCE394A" w:tentative="1">
      <w:start w:val="1"/>
      <w:numFmt w:val="bullet"/>
      <w:lvlText w:val=""/>
      <w:lvlJc w:val="left"/>
      <w:pPr>
        <w:ind w:left="5389" w:hanging="360"/>
      </w:pPr>
      <w:rPr>
        <w:rFonts w:ascii="Symbol" w:hAnsi="Symbol" w:hint="default"/>
      </w:rPr>
    </w:lvl>
    <w:lvl w:ilvl="7" w:tplc="553C4B4A" w:tentative="1">
      <w:start w:val="1"/>
      <w:numFmt w:val="bullet"/>
      <w:lvlText w:val="o"/>
      <w:lvlJc w:val="left"/>
      <w:pPr>
        <w:ind w:left="6109" w:hanging="360"/>
      </w:pPr>
      <w:rPr>
        <w:rFonts w:ascii="Courier New" w:hAnsi="Courier New" w:cs="Courier New" w:hint="default"/>
      </w:rPr>
    </w:lvl>
    <w:lvl w:ilvl="8" w:tplc="DD28E998" w:tentative="1">
      <w:start w:val="1"/>
      <w:numFmt w:val="bullet"/>
      <w:lvlText w:val=""/>
      <w:lvlJc w:val="left"/>
      <w:pPr>
        <w:ind w:left="6829" w:hanging="360"/>
      </w:pPr>
      <w:rPr>
        <w:rFonts w:ascii="Wingdings" w:hAnsi="Wingdings" w:hint="default"/>
      </w:rPr>
    </w:lvl>
  </w:abstractNum>
  <w:abstractNum w:abstractNumId="213" w15:restartNumberingAfterBreak="0">
    <w:nsid w:val="6CE15060"/>
    <w:multiLevelType w:val="hybridMultilevel"/>
    <w:tmpl w:val="5E846942"/>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4" w15:restartNumberingAfterBreak="0">
    <w:nsid w:val="6D9413DA"/>
    <w:multiLevelType w:val="hybridMultilevel"/>
    <w:tmpl w:val="A49C84AA"/>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5" w15:restartNumberingAfterBreak="0">
    <w:nsid w:val="6DB348E3"/>
    <w:multiLevelType w:val="hybridMultilevel"/>
    <w:tmpl w:val="18B06B22"/>
    <w:lvl w:ilvl="0" w:tplc="640CA128">
      <w:start w:val="1"/>
      <w:numFmt w:val="bullet"/>
      <w:lvlText w:val="-"/>
      <w:lvlJc w:val="left"/>
      <w:pPr>
        <w:ind w:left="720" w:hanging="360"/>
      </w:pPr>
      <w:rPr>
        <w:rFonts w:ascii="Courier New" w:hAnsi="Courier New" w:hint="default"/>
      </w:rPr>
    </w:lvl>
    <w:lvl w:ilvl="1" w:tplc="0928C878" w:tentative="1">
      <w:start w:val="1"/>
      <w:numFmt w:val="bullet"/>
      <w:lvlText w:val="o"/>
      <w:lvlJc w:val="left"/>
      <w:pPr>
        <w:ind w:left="1440" w:hanging="360"/>
      </w:pPr>
      <w:rPr>
        <w:rFonts w:ascii="Courier New" w:hAnsi="Courier New" w:cs="Courier New" w:hint="default"/>
      </w:rPr>
    </w:lvl>
    <w:lvl w:ilvl="2" w:tplc="3AA664DC" w:tentative="1">
      <w:start w:val="1"/>
      <w:numFmt w:val="bullet"/>
      <w:lvlText w:val=""/>
      <w:lvlJc w:val="left"/>
      <w:pPr>
        <w:ind w:left="2160" w:hanging="360"/>
      </w:pPr>
      <w:rPr>
        <w:rFonts w:ascii="Wingdings" w:hAnsi="Wingdings" w:hint="default"/>
      </w:rPr>
    </w:lvl>
    <w:lvl w:ilvl="3" w:tplc="DA52FE94" w:tentative="1">
      <w:start w:val="1"/>
      <w:numFmt w:val="bullet"/>
      <w:lvlText w:val=""/>
      <w:lvlJc w:val="left"/>
      <w:pPr>
        <w:ind w:left="2880" w:hanging="360"/>
      </w:pPr>
      <w:rPr>
        <w:rFonts w:ascii="Symbol" w:hAnsi="Symbol" w:hint="default"/>
      </w:rPr>
    </w:lvl>
    <w:lvl w:ilvl="4" w:tplc="3E9671D6" w:tentative="1">
      <w:start w:val="1"/>
      <w:numFmt w:val="bullet"/>
      <w:lvlText w:val="o"/>
      <w:lvlJc w:val="left"/>
      <w:pPr>
        <w:ind w:left="3600" w:hanging="360"/>
      </w:pPr>
      <w:rPr>
        <w:rFonts w:ascii="Courier New" w:hAnsi="Courier New" w:cs="Courier New" w:hint="default"/>
      </w:rPr>
    </w:lvl>
    <w:lvl w:ilvl="5" w:tplc="B37ABFD6" w:tentative="1">
      <w:start w:val="1"/>
      <w:numFmt w:val="bullet"/>
      <w:lvlText w:val=""/>
      <w:lvlJc w:val="left"/>
      <w:pPr>
        <w:ind w:left="4320" w:hanging="360"/>
      </w:pPr>
      <w:rPr>
        <w:rFonts w:ascii="Wingdings" w:hAnsi="Wingdings" w:hint="default"/>
      </w:rPr>
    </w:lvl>
    <w:lvl w:ilvl="6" w:tplc="1982CE7C" w:tentative="1">
      <w:start w:val="1"/>
      <w:numFmt w:val="bullet"/>
      <w:lvlText w:val=""/>
      <w:lvlJc w:val="left"/>
      <w:pPr>
        <w:ind w:left="5040" w:hanging="360"/>
      </w:pPr>
      <w:rPr>
        <w:rFonts w:ascii="Symbol" w:hAnsi="Symbol" w:hint="default"/>
      </w:rPr>
    </w:lvl>
    <w:lvl w:ilvl="7" w:tplc="1A688672" w:tentative="1">
      <w:start w:val="1"/>
      <w:numFmt w:val="bullet"/>
      <w:lvlText w:val="o"/>
      <w:lvlJc w:val="left"/>
      <w:pPr>
        <w:ind w:left="5760" w:hanging="360"/>
      </w:pPr>
      <w:rPr>
        <w:rFonts w:ascii="Courier New" w:hAnsi="Courier New" w:cs="Courier New" w:hint="default"/>
      </w:rPr>
    </w:lvl>
    <w:lvl w:ilvl="8" w:tplc="676291AA" w:tentative="1">
      <w:start w:val="1"/>
      <w:numFmt w:val="bullet"/>
      <w:lvlText w:val=""/>
      <w:lvlJc w:val="left"/>
      <w:pPr>
        <w:ind w:left="6480" w:hanging="360"/>
      </w:pPr>
      <w:rPr>
        <w:rFonts w:ascii="Wingdings" w:hAnsi="Wingdings" w:hint="default"/>
      </w:rPr>
    </w:lvl>
  </w:abstractNum>
  <w:abstractNum w:abstractNumId="216" w15:restartNumberingAfterBreak="0">
    <w:nsid w:val="6E08760D"/>
    <w:multiLevelType w:val="hybridMultilevel"/>
    <w:tmpl w:val="64E29012"/>
    <w:lvl w:ilvl="0" w:tplc="9CF04A70">
      <w:start w:val="1"/>
      <w:numFmt w:val="bullet"/>
      <w:lvlText w:val="-"/>
      <w:lvlJc w:val="left"/>
      <w:pPr>
        <w:ind w:left="720" w:hanging="360"/>
      </w:pPr>
      <w:rPr>
        <w:rFonts w:ascii="Courier New" w:hAnsi="Courier New" w:hint="default"/>
      </w:rPr>
    </w:lvl>
    <w:lvl w:ilvl="1" w:tplc="2F90F0A2" w:tentative="1">
      <w:start w:val="1"/>
      <w:numFmt w:val="bullet"/>
      <w:lvlText w:val="o"/>
      <w:lvlJc w:val="left"/>
      <w:pPr>
        <w:ind w:left="1440" w:hanging="360"/>
      </w:pPr>
      <w:rPr>
        <w:rFonts w:ascii="Courier New" w:hAnsi="Courier New" w:cs="Courier New" w:hint="default"/>
      </w:rPr>
    </w:lvl>
    <w:lvl w:ilvl="2" w:tplc="274AAACA" w:tentative="1">
      <w:start w:val="1"/>
      <w:numFmt w:val="bullet"/>
      <w:lvlText w:val=""/>
      <w:lvlJc w:val="left"/>
      <w:pPr>
        <w:ind w:left="2160" w:hanging="360"/>
      </w:pPr>
      <w:rPr>
        <w:rFonts w:ascii="Wingdings" w:hAnsi="Wingdings" w:hint="default"/>
      </w:rPr>
    </w:lvl>
    <w:lvl w:ilvl="3" w:tplc="AF5864C6" w:tentative="1">
      <w:start w:val="1"/>
      <w:numFmt w:val="bullet"/>
      <w:lvlText w:val=""/>
      <w:lvlJc w:val="left"/>
      <w:pPr>
        <w:ind w:left="2880" w:hanging="360"/>
      </w:pPr>
      <w:rPr>
        <w:rFonts w:ascii="Symbol" w:hAnsi="Symbol" w:hint="default"/>
      </w:rPr>
    </w:lvl>
    <w:lvl w:ilvl="4" w:tplc="689A6A8E" w:tentative="1">
      <w:start w:val="1"/>
      <w:numFmt w:val="bullet"/>
      <w:lvlText w:val="o"/>
      <w:lvlJc w:val="left"/>
      <w:pPr>
        <w:ind w:left="3600" w:hanging="360"/>
      </w:pPr>
      <w:rPr>
        <w:rFonts w:ascii="Courier New" w:hAnsi="Courier New" w:cs="Courier New" w:hint="default"/>
      </w:rPr>
    </w:lvl>
    <w:lvl w:ilvl="5" w:tplc="564E66AC" w:tentative="1">
      <w:start w:val="1"/>
      <w:numFmt w:val="bullet"/>
      <w:lvlText w:val=""/>
      <w:lvlJc w:val="left"/>
      <w:pPr>
        <w:ind w:left="4320" w:hanging="360"/>
      </w:pPr>
      <w:rPr>
        <w:rFonts w:ascii="Wingdings" w:hAnsi="Wingdings" w:hint="default"/>
      </w:rPr>
    </w:lvl>
    <w:lvl w:ilvl="6" w:tplc="3B848210" w:tentative="1">
      <w:start w:val="1"/>
      <w:numFmt w:val="bullet"/>
      <w:lvlText w:val=""/>
      <w:lvlJc w:val="left"/>
      <w:pPr>
        <w:ind w:left="5040" w:hanging="360"/>
      </w:pPr>
      <w:rPr>
        <w:rFonts w:ascii="Symbol" w:hAnsi="Symbol" w:hint="default"/>
      </w:rPr>
    </w:lvl>
    <w:lvl w:ilvl="7" w:tplc="047201DA" w:tentative="1">
      <w:start w:val="1"/>
      <w:numFmt w:val="bullet"/>
      <w:lvlText w:val="o"/>
      <w:lvlJc w:val="left"/>
      <w:pPr>
        <w:ind w:left="5760" w:hanging="360"/>
      </w:pPr>
      <w:rPr>
        <w:rFonts w:ascii="Courier New" w:hAnsi="Courier New" w:cs="Courier New" w:hint="default"/>
      </w:rPr>
    </w:lvl>
    <w:lvl w:ilvl="8" w:tplc="4EFA5458" w:tentative="1">
      <w:start w:val="1"/>
      <w:numFmt w:val="bullet"/>
      <w:lvlText w:val=""/>
      <w:lvlJc w:val="left"/>
      <w:pPr>
        <w:ind w:left="6480" w:hanging="360"/>
      </w:pPr>
      <w:rPr>
        <w:rFonts w:ascii="Wingdings" w:hAnsi="Wingdings" w:hint="default"/>
      </w:rPr>
    </w:lvl>
  </w:abstractNum>
  <w:abstractNum w:abstractNumId="217" w15:restartNumberingAfterBreak="0">
    <w:nsid w:val="6FAD20DA"/>
    <w:multiLevelType w:val="hybridMultilevel"/>
    <w:tmpl w:val="F27E75A0"/>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8" w15:restartNumberingAfterBreak="0">
    <w:nsid w:val="6FE45941"/>
    <w:multiLevelType w:val="hybridMultilevel"/>
    <w:tmpl w:val="BD8C1D20"/>
    <w:lvl w:ilvl="0" w:tplc="0C0A000D">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9" w15:restartNumberingAfterBreak="0">
    <w:nsid w:val="70414793"/>
    <w:multiLevelType w:val="hybridMultilevel"/>
    <w:tmpl w:val="E8F23262"/>
    <w:lvl w:ilvl="0" w:tplc="06C2B6B4">
      <w:start w:val="1"/>
      <w:numFmt w:val="bullet"/>
      <w:lvlText w:val=""/>
      <w:lvlJc w:val="left"/>
      <w:pPr>
        <w:ind w:left="720" w:hanging="360"/>
      </w:pPr>
      <w:rPr>
        <w:rFonts w:ascii="Symbol" w:hAnsi="Symbol"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20" w15:restartNumberingAfterBreak="0">
    <w:nsid w:val="70606C13"/>
    <w:multiLevelType w:val="hybridMultilevel"/>
    <w:tmpl w:val="A50084F2"/>
    <w:lvl w:ilvl="0" w:tplc="06C2B6B4">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1" w15:restartNumberingAfterBreak="0">
    <w:nsid w:val="711B64D8"/>
    <w:multiLevelType w:val="hybridMultilevel"/>
    <w:tmpl w:val="D55E0F04"/>
    <w:lvl w:ilvl="0" w:tplc="0C0A000F">
      <w:start w:val="1"/>
      <w:numFmt w:val="bullet"/>
      <w:pStyle w:val="GTTListaVietas20"/>
      <w:lvlText w:val=""/>
      <w:lvlJc w:val="left"/>
      <w:pPr>
        <w:tabs>
          <w:tab w:val="num" w:pos="1429"/>
        </w:tabs>
        <w:ind w:left="1429" w:hanging="360"/>
      </w:pPr>
      <w:rPr>
        <w:rFonts w:ascii="Wingdings" w:hAnsi="Wingdings" w:hint="default"/>
      </w:rPr>
    </w:lvl>
    <w:lvl w:ilvl="1" w:tplc="0C0A0019">
      <w:start w:val="1"/>
      <w:numFmt w:val="bullet"/>
      <w:lvlText w:val="o"/>
      <w:lvlJc w:val="left"/>
      <w:pPr>
        <w:tabs>
          <w:tab w:val="num" w:pos="2149"/>
        </w:tabs>
        <w:ind w:left="2149" w:hanging="360"/>
      </w:pPr>
      <w:rPr>
        <w:rFonts w:ascii="Courier New" w:hAnsi="Courier New" w:cs="Courier New" w:hint="default"/>
      </w:rPr>
    </w:lvl>
    <w:lvl w:ilvl="2" w:tplc="0C0A001B">
      <w:start w:val="1"/>
      <w:numFmt w:val="bullet"/>
      <w:lvlText w:val=""/>
      <w:lvlJc w:val="left"/>
      <w:pPr>
        <w:tabs>
          <w:tab w:val="num" w:pos="2869"/>
        </w:tabs>
        <w:ind w:left="2869" w:hanging="360"/>
      </w:pPr>
      <w:rPr>
        <w:rFonts w:ascii="Wingdings" w:hAnsi="Wingdings" w:hint="default"/>
      </w:rPr>
    </w:lvl>
    <w:lvl w:ilvl="3" w:tplc="0C0A000F" w:tentative="1">
      <w:start w:val="1"/>
      <w:numFmt w:val="bullet"/>
      <w:lvlText w:val=""/>
      <w:lvlJc w:val="left"/>
      <w:pPr>
        <w:tabs>
          <w:tab w:val="num" w:pos="3589"/>
        </w:tabs>
        <w:ind w:left="3589" w:hanging="360"/>
      </w:pPr>
      <w:rPr>
        <w:rFonts w:ascii="Symbol" w:hAnsi="Symbol" w:hint="default"/>
      </w:rPr>
    </w:lvl>
    <w:lvl w:ilvl="4" w:tplc="0C0A0019" w:tentative="1">
      <w:start w:val="1"/>
      <w:numFmt w:val="bullet"/>
      <w:lvlText w:val="o"/>
      <w:lvlJc w:val="left"/>
      <w:pPr>
        <w:tabs>
          <w:tab w:val="num" w:pos="4309"/>
        </w:tabs>
        <w:ind w:left="4309" w:hanging="360"/>
      </w:pPr>
      <w:rPr>
        <w:rFonts w:ascii="Courier New" w:hAnsi="Courier New" w:cs="Courier New" w:hint="default"/>
      </w:rPr>
    </w:lvl>
    <w:lvl w:ilvl="5" w:tplc="0C0A001B" w:tentative="1">
      <w:start w:val="1"/>
      <w:numFmt w:val="bullet"/>
      <w:lvlText w:val=""/>
      <w:lvlJc w:val="left"/>
      <w:pPr>
        <w:tabs>
          <w:tab w:val="num" w:pos="5029"/>
        </w:tabs>
        <w:ind w:left="5029" w:hanging="360"/>
      </w:pPr>
      <w:rPr>
        <w:rFonts w:ascii="Wingdings" w:hAnsi="Wingdings" w:hint="default"/>
      </w:rPr>
    </w:lvl>
    <w:lvl w:ilvl="6" w:tplc="0C0A000F" w:tentative="1">
      <w:start w:val="1"/>
      <w:numFmt w:val="bullet"/>
      <w:lvlText w:val=""/>
      <w:lvlJc w:val="left"/>
      <w:pPr>
        <w:tabs>
          <w:tab w:val="num" w:pos="5749"/>
        </w:tabs>
        <w:ind w:left="5749" w:hanging="360"/>
      </w:pPr>
      <w:rPr>
        <w:rFonts w:ascii="Symbol" w:hAnsi="Symbol" w:hint="default"/>
      </w:rPr>
    </w:lvl>
    <w:lvl w:ilvl="7" w:tplc="0C0A0019" w:tentative="1">
      <w:start w:val="1"/>
      <w:numFmt w:val="bullet"/>
      <w:lvlText w:val="o"/>
      <w:lvlJc w:val="left"/>
      <w:pPr>
        <w:tabs>
          <w:tab w:val="num" w:pos="6469"/>
        </w:tabs>
        <w:ind w:left="6469" w:hanging="360"/>
      </w:pPr>
      <w:rPr>
        <w:rFonts w:ascii="Courier New" w:hAnsi="Courier New" w:cs="Courier New" w:hint="default"/>
      </w:rPr>
    </w:lvl>
    <w:lvl w:ilvl="8" w:tplc="0C0A001B" w:tentative="1">
      <w:start w:val="1"/>
      <w:numFmt w:val="bullet"/>
      <w:lvlText w:val=""/>
      <w:lvlJc w:val="left"/>
      <w:pPr>
        <w:tabs>
          <w:tab w:val="num" w:pos="7189"/>
        </w:tabs>
        <w:ind w:left="7189" w:hanging="360"/>
      </w:pPr>
      <w:rPr>
        <w:rFonts w:ascii="Wingdings" w:hAnsi="Wingdings" w:hint="default"/>
      </w:rPr>
    </w:lvl>
  </w:abstractNum>
  <w:abstractNum w:abstractNumId="222" w15:restartNumberingAfterBreak="0">
    <w:nsid w:val="720036CF"/>
    <w:multiLevelType w:val="hybridMultilevel"/>
    <w:tmpl w:val="4D3A2904"/>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3" w15:restartNumberingAfterBreak="0">
    <w:nsid w:val="72015943"/>
    <w:multiLevelType w:val="hybridMultilevel"/>
    <w:tmpl w:val="593CCF66"/>
    <w:lvl w:ilvl="0" w:tplc="64CA2D7C">
      <w:start w:val="1"/>
      <w:numFmt w:val="bullet"/>
      <w:pStyle w:val="VIETA1"/>
      <w:lvlText w:val=""/>
      <w:lvlJc w:val="left"/>
      <w:pPr>
        <w:tabs>
          <w:tab w:val="num" w:pos="567"/>
        </w:tabs>
        <w:ind w:left="567" w:hanging="567"/>
      </w:pPr>
      <w:rPr>
        <w:rFonts w:ascii="Symbol" w:hAnsi="Symbol" w:hint="default"/>
        <w:sz w:val="20"/>
      </w:rPr>
    </w:lvl>
    <w:lvl w:ilvl="1" w:tplc="0C0A0003">
      <w:start w:val="1"/>
      <w:numFmt w:val="bullet"/>
      <w:lvlText w:val=""/>
      <w:lvlJc w:val="left"/>
      <w:pPr>
        <w:tabs>
          <w:tab w:val="num" w:pos="1247"/>
        </w:tabs>
        <w:ind w:left="1247" w:hanging="396"/>
      </w:pPr>
      <w:rPr>
        <w:rFonts w:ascii="Webdings" w:hAnsi="Webdings" w:hint="default"/>
        <w:sz w:val="24"/>
      </w:rPr>
    </w:lvl>
    <w:lvl w:ilvl="2" w:tplc="0C0A0005">
      <w:numFmt w:val="bullet"/>
      <w:lvlText w:val="-"/>
      <w:lvlJc w:val="left"/>
      <w:pPr>
        <w:tabs>
          <w:tab w:val="num" w:pos="2160"/>
        </w:tabs>
        <w:ind w:left="2160" w:hanging="360"/>
      </w:pPr>
      <w:rPr>
        <w:rFonts w:ascii="Times New Roman" w:eastAsia="Times New Roman" w:hAnsi="Times New Roman" w:cs="Times New Roman"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4" w15:restartNumberingAfterBreak="0">
    <w:nsid w:val="725D20AE"/>
    <w:multiLevelType w:val="hybridMultilevel"/>
    <w:tmpl w:val="BC220598"/>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5" w15:restartNumberingAfterBreak="0">
    <w:nsid w:val="729D3154"/>
    <w:multiLevelType w:val="hybridMultilevel"/>
    <w:tmpl w:val="4C888BEC"/>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6" w15:restartNumberingAfterBreak="0">
    <w:nsid w:val="73A3132B"/>
    <w:multiLevelType w:val="hybridMultilevel"/>
    <w:tmpl w:val="16565B48"/>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7" w15:restartNumberingAfterBreak="0">
    <w:nsid w:val="74676EF4"/>
    <w:multiLevelType w:val="hybridMultilevel"/>
    <w:tmpl w:val="375AD66E"/>
    <w:lvl w:ilvl="0" w:tplc="06C2B6B4">
      <w:start w:val="1"/>
      <w:numFmt w:val="bullet"/>
      <w:lvlText w:val="-"/>
      <w:lvlJc w:val="left"/>
      <w:pPr>
        <w:ind w:left="1286" w:hanging="360"/>
      </w:pPr>
      <w:rPr>
        <w:rFonts w:ascii="Courier New" w:hAnsi="Courier New" w:hint="default"/>
      </w:rPr>
    </w:lvl>
    <w:lvl w:ilvl="1" w:tplc="0C0A0003">
      <w:start w:val="1"/>
      <w:numFmt w:val="bullet"/>
      <w:lvlText w:val="o"/>
      <w:lvlJc w:val="left"/>
      <w:pPr>
        <w:ind w:left="2006" w:hanging="360"/>
      </w:pPr>
      <w:rPr>
        <w:rFonts w:ascii="Courier New" w:hAnsi="Courier New" w:cs="Courier New" w:hint="default"/>
      </w:rPr>
    </w:lvl>
    <w:lvl w:ilvl="2" w:tplc="0C0A0005" w:tentative="1">
      <w:start w:val="1"/>
      <w:numFmt w:val="bullet"/>
      <w:lvlText w:val=""/>
      <w:lvlJc w:val="left"/>
      <w:pPr>
        <w:ind w:left="2726" w:hanging="360"/>
      </w:pPr>
      <w:rPr>
        <w:rFonts w:ascii="Wingdings" w:hAnsi="Wingdings" w:hint="default"/>
      </w:rPr>
    </w:lvl>
    <w:lvl w:ilvl="3" w:tplc="0C0A0001" w:tentative="1">
      <w:start w:val="1"/>
      <w:numFmt w:val="bullet"/>
      <w:lvlText w:val=""/>
      <w:lvlJc w:val="left"/>
      <w:pPr>
        <w:ind w:left="3446" w:hanging="360"/>
      </w:pPr>
      <w:rPr>
        <w:rFonts w:ascii="Symbol" w:hAnsi="Symbol" w:hint="default"/>
      </w:rPr>
    </w:lvl>
    <w:lvl w:ilvl="4" w:tplc="0C0A0003" w:tentative="1">
      <w:start w:val="1"/>
      <w:numFmt w:val="bullet"/>
      <w:lvlText w:val="o"/>
      <w:lvlJc w:val="left"/>
      <w:pPr>
        <w:ind w:left="4166" w:hanging="360"/>
      </w:pPr>
      <w:rPr>
        <w:rFonts w:ascii="Courier New" w:hAnsi="Courier New" w:cs="Courier New" w:hint="default"/>
      </w:rPr>
    </w:lvl>
    <w:lvl w:ilvl="5" w:tplc="0C0A0005" w:tentative="1">
      <w:start w:val="1"/>
      <w:numFmt w:val="bullet"/>
      <w:lvlText w:val=""/>
      <w:lvlJc w:val="left"/>
      <w:pPr>
        <w:ind w:left="4886" w:hanging="360"/>
      </w:pPr>
      <w:rPr>
        <w:rFonts w:ascii="Wingdings" w:hAnsi="Wingdings" w:hint="default"/>
      </w:rPr>
    </w:lvl>
    <w:lvl w:ilvl="6" w:tplc="0C0A0001" w:tentative="1">
      <w:start w:val="1"/>
      <w:numFmt w:val="bullet"/>
      <w:lvlText w:val=""/>
      <w:lvlJc w:val="left"/>
      <w:pPr>
        <w:ind w:left="5606" w:hanging="360"/>
      </w:pPr>
      <w:rPr>
        <w:rFonts w:ascii="Symbol" w:hAnsi="Symbol" w:hint="default"/>
      </w:rPr>
    </w:lvl>
    <w:lvl w:ilvl="7" w:tplc="0C0A0003" w:tentative="1">
      <w:start w:val="1"/>
      <w:numFmt w:val="bullet"/>
      <w:lvlText w:val="o"/>
      <w:lvlJc w:val="left"/>
      <w:pPr>
        <w:ind w:left="6326" w:hanging="360"/>
      </w:pPr>
      <w:rPr>
        <w:rFonts w:ascii="Courier New" w:hAnsi="Courier New" w:cs="Courier New" w:hint="default"/>
      </w:rPr>
    </w:lvl>
    <w:lvl w:ilvl="8" w:tplc="0C0A0005" w:tentative="1">
      <w:start w:val="1"/>
      <w:numFmt w:val="bullet"/>
      <w:lvlText w:val=""/>
      <w:lvlJc w:val="left"/>
      <w:pPr>
        <w:ind w:left="7046" w:hanging="360"/>
      </w:pPr>
      <w:rPr>
        <w:rFonts w:ascii="Wingdings" w:hAnsi="Wingdings" w:hint="default"/>
      </w:rPr>
    </w:lvl>
  </w:abstractNum>
  <w:abstractNum w:abstractNumId="228" w15:restartNumberingAfterBreak="0">
    <w:nsid w:val="74B4686A"/>
    <w:multiLevelType w:val="hybridMultilevel"/>
    <w:tmpl w:val="13EA6E58"/>
    <w:lvl w:ilvl="0" w:tplc="64CA2D7C">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9" w15:restartNumberingAfterBreak="0">
    <w:nsid w:val="75160BB3"/>
    <w:multiLevelType w:val="hybridMultilevel"/>
    <w:tmpl w:val="EC3E8538"/>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0" w15:restartNumberingAfterBreak="0">
    <w:nsid w:val="75365E8B"/>
    <w:multiLevelType w:val="hybridMultilevel"/>
    <w:tmpl w:val="6860BDCC"/>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1" w15:restartNumberingAfterBreak="0">
    <w:nsid w:val="75383D00"/>
    <w:multiLevelType w:val="hybridMultilevel"/>
    <w:tmpl w:val="F8683BA8"/>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2" w15:restartNumberingAfterBreak="0">
    <w:nsid w:val="75DB3059"/>
    <w:multiLevelType w:val="hybridMultilevel"/>
    <w:tmpl w:val="2918CB54"/>
    <w:lvl w:ilvl="0" w:tplc="64CA2D7C">
      <w:start w:val="1"/>
      <w:numFmt w:val="bullet"/>
      <w:lvlText w:val="­"/>
      <w:lvlJc w:val="left"/>
      <w:pPr>
        <w:ind w:left="720" w:hanging="360"/>
      </w:pPr>
      <w:rPr>
        <w:rFonts w:ascii="Courier New" w:hAnsi="Courier New" w:hint="default"/>
      </w:rPr>
    </w:lvl>
    <w:lvl w:ilvl="1" w:tplc="0C0A0001"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3" w15:restartNumberingAfterBreak="0">
    <w:nsid w:val="75E64526"/>
    <w:multiLevelType w:val="singleLevel"/>
    <w:tmpl w:val="D7BE520C"/>
    <w:lvl w:ilvl="0">
      <w:start w:val="1"/>
      <w:numFmt w:val="decimal"/>
      <w:pStyle w:val="Titulo1"/>
      <w:lvlText w:val="%1."/>
      <w:lvlJc w:val="left"/>
      <w:pPr>
        <w:tabs>
          <w:tab w:val="num" w:pos="454"/>
        </w:tabs>
        <w:ind w:left="454" w:hanging="454"/>
      </w:pPr>
    </w:lvl>
  </w:abstractNum>
  <w:abstractNum w:abstractNumId="234" w15:restartNumberingAfterBreak="0">
    <w:nsid w:val="76375AE6"/>
    <w:multiLevelType w:val="hybridMultilevel"/>
    <w:tmpl w:val="14427D3E"/>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5" w15:restartNumberingAfterBreak="0">
    <w:nsid w:val="76A60DB7"/>
    <w:multiLevelType w:val="hybridMultilevel"/>
    <w:tmpl w:val="B7E8D64E"/>
    <w:lvl w:ilvl="0" w:tplc="64CA2D7C">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6" w15:restartNumberingAfterBreak="0">
    <w:nsid w:val="770C606B"/>
    <w:multiLevelType w:val="hybridMultilevel"/>
    <w:tmpl w:val="479CA34E"/>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7" w15:restartNumberingAfterBreak="0">
    <w:nsid w:val="777F2105"/>
    <w:multiLevelType w:val="hybridMultilevel"/>
    <w:tmpl w:val="0D1E746E"/>
    <w:lvl w:ilvl="0" w:tplc="372ACBD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8" w15:restartNumberingAfterBreak="0">
    <w:nsid w:val="77D276BD"/>
    <w:multiLevelType w:val="hybridMultilevel"/>
    <w:tmpl w:val="0F34816A"/>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9" w15:restartNumberingAfterBreak="0">
    <w:nsid w:val="77F3022A"/>
    <w:multiLevelType w:val="hybridMultilevel"/>
    <w:tmpl w:val="4A1EEB5A"/>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0" w15:restartNumberingAfterBreak="0">
    <w:nsid w:val="7833051F"/>
    <w:multiLevelType w:val="hybridMultilevel"/>
    <w:tmpl w:val="65584F4A"/>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1" w15:restartNumberingAfterBreak="0">
    <w:nsid w:val="784E1269"/>
    <w:multiLevelType w:val="hybridMultilevel"/>
    <w:tmpl w:val="CE08877E"/>
    <w:lvl w:ilvl="0" w:tplc="64CA2D7C">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2" w15:restartNumberingAfterBreak="0">
    <w:nsid w:val="7856465B"/>
    <w:multiLevelType w:val="hybridMultilevel"/>
    <w:tmpl w:val="53EE6364"/>
    <w:lvl w:ilvl="0" w:tplc="06C2B6B4">
      <w:start w:val="1"/>
      <w:numFmt w:val="bullet"/>
      <w:pStyle w:val="Normalconvietas"/>
      <w:lvlText w:val=""/>
      <w:lvlJc w:val="left"/>
      <w:pPr>
        <w:tabs>
          <w:tab w:val="num" w:pos="1418"/>
        </w:tabs>
        <w:ind w:left="1418" w:hanging="340"/>
      </w:pPr>
      <w:rPr>
        <w:rFonts w:ascii="Wingdings" w:hAnsi="Wingdings" w:hint="default"/>
      </w:rPr>
    </w:lvl>
    <w:lvl w:ilvl="1" w:tplc="0C0A0003">
      <w:start w:val="1"/>
      <w:numFmt w:val="bullet"/>
      <w:lvlText w:val="o"/>
      <w:lvlJc w:val="left"/>
      <w:pPr>
        <w:tabs>
          <w:tab w:val="num" w:pos="2291"/>
        </w:tabs>
        <w:ind w:left="2291" w:hanging="360"/>
      </w:pPr>
      <w:rPr>
        <w:rFonts w:ascii="Courier New" w:hAnsi="Courier New" w:cs="Courier New" w:hint="default"/>
      </w:rPr>
    </w:lvl>
    <w:lvl w:ilvl="2" w:tplc="0C0A0005" w:tentative="1">
      <w:start w:val="1"/>
      <w:numFmt w:val="bullet"/>
      <w:lvlText w:val=""/>
      <w:lvlJc w:val="left"/>
      <w:pPr>
        <w:tabs>
          <w:tab w:val="num" w:pos="3011"/>
        </w:tabs>
        <w:ind w:left="3011" w:hanging="360"/>
      </w:pPr>
      <w:rPr>
        <w:rFonts w:ascii="Wingdings" w:hAnsi="Wingdings" w:hint="default"/>
      </w:rPr>
    </w:lvl>
    <w:lvl w:ilvl="3" w:tplc="0C0A0001" w:tentative="1">
      <w:start w:val="1"/>
      <w:numFmt w:val="bullet"/>
      <w:lvlText w:val=""/>
      <w:lvlJc w:val="left"/>
      <w:pPr>
        <w:tabs>
          <w:tab w:val="num" w:pos="3731"/>
        </w:tabs>
        <w:ind w:left="3731" w:hanging="360"/>
      </w:pPr>
      <w:rPr>
        <w:rFonts w:ascii="Symbol" w:hAnsi="Symbol" w:hint="default"/>
      </w:rPr>
    </w:lvl>
    <w:lvl w:ilvl="4" w:tplc="0C0A0003" w:tentative="1">
      <w:start w:val="1"/>
      <w:numFmt w:val="bullet"/>
      <w:lvlText w:val="o"/>
      <w:lvlJc w:val="left"/>
      <w:pPr>
        <w:tabs>
          <w:tab w:val="num" w:pos="4451"/>
        </w:tabs>
        <w:ind w:left="4451" w:hanging="360"/>
      </w:pPr>
      <w:rPr>
        <w:rFonts w:ascii="Courier New" w:hAnsi="Courier New" w:cs="Courier New" w:hint="default"/>
      </w:rPr>
    </w:lvl>
    <w:lvl w:ilvl="5" w:tplc="0C0A0005" w:tentative="1">
      <w:start w:val="1"/>
      <w:numFmt w:val="bullet"/>
      <w:lvlText w:val=""/>
      <w:lvlJc w:val="left"/>
      <w:pPr>
        <w:tabs>
          <w:tab w:val="num" w:pos="5171"/>
        </w:tabs>
        <w:ind w:left="5171" w:hanging="360"/>
      </w:pPr>
      <w:rPr>
        <w:rFonts w:ascii="Wingdings" w:hAnsi="Wingdings" w:hint="default"/>
      </w:rPr>
    </w:lvl>
    <w:lvl w:ilvl="6" w:tplc="0C0A0001" w:tentative="1">
      <w:start w:val="1"/>
      <w:numFmt w:val="bullet"/>
      <w:lvlText w:val=""/>
      <w:lvlJc w:val="left"/>
      <w:pPr>
        <w:tabs>
          <w:tab w:val="num" w:pos="5891"/>
        </w:tabs>
        <w:ind w:left="5891" w:hanging="360"/>
      </w:pPr>
      <w:rPr>
        <w:rFonts w:ascii="Symbol" w:hAnsi="Symbol" w:hint="default"/>
      </w:rPr>
    </w:lvl>
    <w:lvl w:ilvl="7" w:tplc="0C0A0003" w:tentative="1">
      <w:start w:val="1"/>
      <w:numFmt w:val="bullet"/>
      <w:lvlText w:val="o"/>
      <w:lvlJc w:val="left"/>
      <w:pPr>
        <w:tabs>
          <w:tab w:val="num" w:pos="6611"/>
        </w:tabs>
        <w:ind w:left="6611" w:hanging="360"/>
      </w:pPr>
      <w:rPr>
        <w:rFonts w:ascii="Courier New" w:hAnsi="Courier New" w:cs="Courier New" w:hint="default"/>
      </w:rPr>
    </w:lvl>
    <w:lvl w:ilvl="8" w:tplc="0C0A0005" w:tentative="1">
      <w:start w:val="1"/>
      <w:numFmt w:val="bullet"/>
      <w:lvlText w:val=""/>
      <w:lvlJc w:val="left"/>
      <w:pPr>
        <w:tabs>
          <w:tab w:val="num" w:pos="7331"/>
        </w:tabs>
        <w:ind w:left="7331" w:hanging="360"/>
      </w:pPr>
      <w:rPr>
        <w:rFonts w:ascii="Wingdings" w:hAnsi="Wingdings" w:hint="default"/>
      </w:rPr>
    </w:lvl>
  </w:abstractNum>
  <w:abstractNum w:abstractNumId="243" w15:restartNumberingAfterBreak="0">
    <w:nsid w:val="7865021B"/>
    <w:multiLevelType w:val="hybridMultilevel"/>
    <w:tmpl w:val="F600F874"/>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4" w15:restartNumberingAfterBreak="0">
    <w:nsid w:val="79310FC9"/>
    <w:multiLevelType w:val="hybridMultilevel"/>
    <w:tmpl w:val="630AF904"/>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5" w15:restartNumberingAfterBreak="0">
    <w:nsid w:val="7932581B"/>
    <w:multiLevelType w:val="hybridMultilevel"/>
    <w:tmpl w:val="9FD65F86"/>
    <w:lvl w:ilvl="0" w:tplc="372ACBD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6" w15:restartNumberingAfterBreak="0">
    <w:nsid w:val="79440408"/>
    <w:multiLevelType w:val="multilevel"/>
    <w:tmpl w:val="B894B9A0"/>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pStyle w:val="TITU3"/>
      <w:isLgl/>
      <w:lvlText w:val="%1.%2.%3."/>
      <w:lvlJc w:val="left"/>
      <w:pPr>
        <w:ind w:left="720" w:hanging="720"/>
      </w:pPr>
      <w:rPr>
        <w:rFonts w:hint="default"/>
      </w:rPr>
    </w:lvl>
    <w:lvl w:ilvl="3">
      <w:start w:val="1"/>
      <w:numFmt w:val="decimal"/>
      <w:pStyle w:val="TITU4"/>
      <w:isLgl/>
      <w:lvlText w:val="%1.%2.%3.%4."/>
      <w:lvlJc w:val="left"/>
      <w:pPr>
        <w:ind w:left="1288" w:hanging="720"/>
      </w:pPr>
      <w:rPr>
        <w:rFonts w:hint="default"/>
      </w:rPr>
    </w:lvl>
    <w:lvl w:ilvl="4">
      <w:start w:val="1"/>
      <w:numFmt w:val="decimal"/>
      <w:pStyle w:val="TITU5"/>
      <w:isLgl/>
      <w:lvlText w:val="%1.%2.%3.%4.%5."/>
      <w:lvlJc w:val="left"/>
      <w:pPr>
        <w:ind w:left="720" w:hanging="720"/>
      </w:pPr>
      <w:rPr>
        <w:rFonts w:hint="default"/>
      </w:rPr>
    </w:lvl>
    <w:lvl w:ilvl="5">
      <w:start w:val="1"/>
      <w:numFmt w:val="decimal"/>
      <w:pStyle w:val="TITU6"/>
      <w:isLgl/>
      <w:lvlText w:val="%1.%2.%3.%4.%5.%6."/>
      <w:lvlJc w:val="left"/>
      <w:pPr>
        <w:ind w:left="720" w:hanging="720"/>
      </w:pPr>
      <w:rPr>
        <w:rFonts w:hint="default"/>
      </w:rPr>
    </w:lvl>
    <w:lvl w:ilvl="6">
      <w:start w:val="1"/>
      <w:numFmt w:val="decimal"/>
      <w:isLgl/>
      <w:lvlText w:val="%1.%2.%3.%4.%5.%6.%7."/>
      <w:lvlJc w:val="left"/>
      <w:pPr>
        <w:ind w:left="720" w:hanging="720"/>
      </w:pPr>
      <w:rPr>
        <w:rFonts w:hint="default"/>
      </w:rPr>
    </w:lvl>
    <w:lvl w:ilvl="7">
      <w:start w:val="1"/>
      <w:numFmt w:val="decimal"/>
      <w:isLgl/>
      <w:lvlText w:val="%1.%2.%3.%4.%5.%6.%7.%8."/>
      <w:lvlJc w:val="left"/>
      <w:pPr>
        <w:ind w:left="720" w:hanging="720"/>
      </w:pPr>
      <w:rPr>
        <w:rFonts w:hint="default"/>
      </w:rPr>
    </w:lvl>
    <w:lvl w:ilvl="8">
      <w:start w:val="1"/>
      <w:numFmt w:val="decimal"/>
      <w:isLgl/>
      <w:lvlText w:val="%1.%2.%3.%4.%5.%6.%7.%8.%9."/>
      <w:lvlJc w:val="left"/>
      <w:pPr>
        <w:ind w:left="720" w:hanging="720"/>
      </w:pPr>
      <w:rPr>
        <w:rFonts w:hint="default"/>
      </w:rPr>
    </w:lvl>
  </w:abstractNum>
  <w:abstractNum w:abstractNumId="247" w15:restartNumberingAfterBreak="0">
    <w:nsid w:val="79C26AE5"/>
    <w:multiLevelType w:val="hybridMultilevel"/>
    <w:tmpl w:val="CCC069A0"/>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8" w15:restartNumberingAfterBreak="0">
    <w:nsid w:val="7AAF4F58"/>
    <w:multiLevelType w:val="hybridMultilevel"/>
    <w:tmpl w:val="FECEEBDE"/>
    <w:lvl w:ilvl="0" w:tplc="06C2B6B4">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9" w15:restartNumberingAfterBreak="0">
    <w:nsid w:val="7ABD67D9"/>
    <w:multiLevelType w:val="hybridMultilevel"/>
    <w:tmpl w:val="6142BBCC"/>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0" w15:restartNumberingAfterBreak="0">
    <w:nsid w:val="7B426C6F"/>
    <w:multiLevelType w:val="hybridMultilevel"/>
    <w:tmpl w:val="52E486EC"/>
    <w:lvl w:ilvl="0" w:tplc="06C2B6B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1" w15:restartNumberingAfterBreak="0">
    <w:nsid w:val="7B664749"/>
    <w:multiLevelType w:val="hybridMultilevel"/>
    <w:tmpl w:val="DF32FBAA"/>
    <w:lvl w:ilvl="0" w:tplc="64CA2D7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2" w15:restartNumberingAfterBreak="0">
    <w:nsid w:val="7BAC56D5"/>
    <w:multiLevelType w:val="hybridMultilevel"/>
    <w:tmpl w:val="08BECEB6"/>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3" w15:restartNumberingAfterBreak="0">
    <w:nsid w:val="7C0D5F74"/>
    <w:multiLevelType w:val="hybridMultilevel"/>
    <w:tmpl w:val="2B3E3A74"/>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4" w15:restartNumberingAfterBreak="0">
    <w:nsid w:val="7C3F43E9"/>
    <w:multiLevelType w:val="hybridMultilevel"/>
    <w:tmpl w:val="E2324474"/>
    <w:lvl w:ilvl="0" w:tplc="06C2B6B4">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5" w15:restartNumberingAfterBreak="0">
    <w:nsid w:val="7C644F53"/>
    <w:multiLevelType w:val="hybridMultilevel"/>
    <w:tmpl w:val="2EAE3658"/>
    <w:lvl w:ilvl="0" w:tplc="64CA2D7C">
      <w:start w:val="1"/>
      <w:numFmt w:val="bullet"/>
      <w:lvlText w:val="-"/>
      <w:lvlJc w:val="left"/>
      <w:pPr>
        <w:ind w:left="720" w:hanging="360"/>
      </w:pPr>
      <w:rPr>
        <w:rFonts w:ascii="Courier New" w:hAnsi="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6" w15:restartNumberingAfterBreak="0">
    <w:nsid w:val="7D784029"/>
    <w:multiLevelType w:val="hybridMultilevel"/>
    <w:tmpl w:val="50787286"/>
    <w:lvl w:ilvl="0" w:tplc="64CA2D7C">
      <w:start w:val="1"/>
      <w:numFmt w:val="bullet"/>
      <w:pStyle w:val="Titulodefotografa"/>
      <w:lvlText w:val="-"/>
      <w:lvlJc w:val="left"/>
      <w:pPr>
        <w:tabs>
          <w:tab w:val="num" w:pos="567"/>
        </w:tabs>
        <w:ind w:left="567" w:hanging="567"/>
      </w:pPr>
      <w:rPr>
        <w:rFonts w:hAnsi="Arial" w:hint="default"/>
        <w:sz w:val="16"/>
      </w:rPr>
    </w:lvl>
    <w:lvl w:ilvl="1" w:tplc="0C0A0003">
      <w:start w:val="1"/>
      <w:numFmt w:val="bullet"/>
      <w:lvlText w:val=""/>
      <w:lvlJc w:val="left"/>
      <w:pPr>
        <w:tabs>
          <w:tab w:val="num" w:pos="1440"/>
        </w:tabs>
        <w:ind w:left="1440" w:hanging="360"/>
      </w:pPr>
      <w:rPr>
        <w:rFonts w:ascii="Symbol" w:hAnsi="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7" w15:restartNumberingAfterBreak="0">
    <w:nsid w:val="7E0F6875"/>
    <w:multiLevelType w:val="hybridMultilevel"/>
    <w:tmpl w:val="588A0D78"/>
    <w:lvl w:ilvl="0" w:tplc="64CA2D7C">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8" w15:restartNumberingAfterBreak="0">
    <w:nsid w:val="7E973FE1"/>
    <w:multiLevelType w:val="hybridMultilevel"/>
    <w:tmpl w:val="B4943590"/>
    <w:lvl w:ilvl="0" w:tplc="EE3C3B78">
      <w:start w:val="1"/>
      <w:numFmt w:val="bullet"/>
      <w:lvlText w:val=""/>
      <w:lvlJc w:val="left"/>
      <w:pPr>
        <w:ind w:left="720" w:hanging="360"/>
      </w:pPr>
      <w:rPr>
        <w:rFonts w:ascii="Symbol" w:hAnsi="Symbol" w:hint="default"/>
      </w:rPr>
    </w:lvl>
    <w:lvl w:ilvl="1" w:tplc="E1F4F102" w:tentative="1">
      <w:start w:val="1"/>
      <w:numFmt w:val="bullet"/>
      <w:lvlText w:val="o"/>
      <w:lvlJc w:val="left"/>
      <w:pPr>
        <w:ind w:left="1440" w:hanging="360"/>
      </w:pPr>
      <w:rPr>
        <w:rFonts w:ascii="Courier New" w:hAnsi="Courier New" w:cs="Courier New" w:hint="default"/>
      </w:rPr>
    </w:lvl>
    <w:lvl w:ilvl="2" w:tplc="69460EA2" w:tentative="1">
      <w:start w:val="1"/>
      <w:numFmt w:val="bullet"/>
      <w:lvlText w:val=""/>
      <w:lvlJc w:val="left"/>
      <w:pPr>
        <w:ind w:left="2160" w:hanging="360"/>
      </w:pPr>
      <w:rPr>
        <w:rFonts w:ascii="Wingdings" w:hAnsi="Wingdings" w:hint="default"/>
      </w:rPr>
    </w:lvl>
    <w:lvl w:ilvl="3" w:tplc="B77201EC" w:tentative="1">
      <w:start w:val="1"/>
      <w:numFmt w:val="bullet"/>
      <w:lvlText w:val=""/>
      <w:lvlJc w:val="left"/>
      <w:pPr>
        <w:ind w:left="2880" w:hanging="360"/>
      </w:pPr>
      <w:rPr>
        <w:rFonts w:ascii="Symbol" w:hAnsi="Symbol" w:hint="default"/>
      </w:rPr>
    </w:lvl>
    <w:lvl w:ilvl="4" w:tplc="061CDC88" w:tentative="1">
      <w:start w:val="1"/>
      <w:numFmt w:val="bullet"/>
      <w:lvlText w:val="o"/>
      <w:lvlJc w:val="left"/>
      <w:pPr>
        <w:ind w:left="3600" w:hanging="360"/>
      </w:pPr>
      <w:rPr>
        <w:rFonts w:ascii="Courier New" w:hAnsi="Courier New" w:cs="Courier New" w:hint="default"/>
      </w:rPr>
    </w:lvl>
    <w:lvl w:ilvl="5" w:tplc="D1EA8236" w:tentative="1">
      <w:start w:val="1"/>
      <w:numFmt w:val="bullet"/>
      <w:lvlText w:val=""/>
      <w:lvlJc w:val="left"/>
      <w:pPr>
        <w:ind w:left="4320" w:hanging="360"/>
      </w:pPr>
      <w:rPr>
        <w:rFonts w:ascii="Wingdings" w:hAnsi="Wingdings" w:hint="default"/>
      </w:rPr>
    </w:lvl>
    <w:lvl w:ilvl="6" w:tplc="B6E4E0DA" w:tentative="1">
      <w:start w:val="1"/>
      <w:numFmt w:val="bullet"/>
      <w:lvlText w:val=""/>
      <w:lvlJc w:val="left"/>
      <w:pPr>
        <w:ind w:left="5040" w:hanging="360"/>
      </w:pPr>
      <w:rPr>
        <w:rFonts w:ascii="Symbol" w:hAnsi="Symbol" w:hint="default"/>
      </w:rPr>
    </w:lvl>
    <w:lvl w:ilvl="7" w:tplc="8C1EBB86" w:tentative="1">
      <w:start w:val="1"/>
      <w:numFmt w:val="bullet"/>
      <w:lvlText w:val="o"/>
      <w:lvlJc w:val="left"/>
      <w:pPr>
        <w:ind w:left="5760" w:hanging="360"/>
      </w:pPr>
      <w:rPr>
        <w:rFonts w:ascii="Courier New" w:hAnsi="Courier New" w:cs="Courier New" w:hint="default"/>
      </w:rPr>
    </w:lvl>
    <w:lvl w:ilvl="8" w:tplc="BA34E9C8" w:tentative="1">
      <w:start w:val="1"/>
      <w:numFmt w:val="bullet"/>
      <w:lvlText w:val=""/>
      <w:lvlJc w:val="left"/>
      <w:pPr>
        <w:ind w:left="6480" w:hanging="360"/>
      </w:pPr>
      <w:rPr>
        <w:rFonts w:ascii="Wingdings" w:hAnsi="Wingdings" w:hint="default"/>
      </w:rPr>
    </w:lvl>
  </w:abstractNum>
  <w:abstractNum w:abstractNumId="259" w15:restartNumberingAfterBreak="0">
    <w:nsid w:val="7E9917D8"/>
    <w:multiLevelType w:val="hybridMultilevel"/>
    <w:tmpl w:val="B9489A6A"/>
    <w:lvl w:ilvl="0" w:tplc="0C0A000D">
      <w:start w:val="1"/>
      <w:numFmt w:val="bullet"/>
      <w:lvlText w:val="-"/>
      <w:lvlJc w:val="left"/>
      <w:pPr>
        <w:ind w:left="720" w:hanging="360"/>
      </w:pPr>
      <w:rPr>
        <w:rFonts w:ascii="Courier New" w:hAnsi="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0" w15:restartNumberingAfterBreak="0">
    <w:nsid w:val="7F3B55E5"/>
    <w:multiLevelType w:val="hybridMultilevel"/>
    <w:tmpl w:val="E0E414BE"/>
    <w:lvl w:ilvl="0" w:tplc="06C2B6B4">
      <w:start w:val="1"/>
      <w:numFmt w:val="bullet"/>
      <w:pStyle w:val="Titulo1GIF"/>
      <w:lvlText w:val=""/>
      <w:lvlJc w:val="left"/>
      <w:pPr>
        <w:tabs>
          <w:tab w:val="num" w:pos="360"/>
        </w:tabs>
        <w:ind w:left="360" w:hanging="360"/>
      </w:pPr>
      <w:rPr>
        <w:rFonts w:ascii="Symbol" w:hAnsi="Symbol" w:hint="default"/>
      </w:rPr>
    </w:lvl>
    <w:lvl w:ilvl="1" w:tplc="0C0A0003" w:tentative="1">
      <w:start w:val="1"/>
      <w:numFmt w:val="bullet"/>
      <w:pStyle w:val="Titulo2GIF"/>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61" w15:restartNumberingAfterBreak="0">
    <w:nsid w:val="7F972670"/>
    <w:multiLevelType w:val="hybridMultilevel"/>
    <w:tmpl w:val="C0946E10"/>
    <w:lvl w:ilvl="0" w:tplc="5A52871C">
      <w:numFmt w:val="bullet"/>
      <w:lvlText w:val="—"/>
      <w:lvlJc w:val="left"/>
      <w:pPr>
        <w:ind w:left="1254" w:hanging="284"/>
      </w:pPr>
      <w:rPr>
        <w:rFonts w:ascii="Calibri" w:eastAsia="Calibri" w:hAnsi="Calibri" w:cs="Calibri" w:hint="default"/>
        <w:color w:val="231F20"/>
        <w:w w:val="99"/>
        <w:sz w:val="22"/>
        <w:szCs w:val="22"/>
      </w:rPr>
    </w:lvl>
    <w:lvl w:ilvl="1" w:tplc="BAECA9B6" w:tentative="1">
      <w:start w:val="1"/>
      <w:numFmt w:val="bullet"/>
      <w:lvlText w:val="o"/>
      <w:lvlJc w:val="left"/>
      <w:pPr>
        <w:ind w:left="1440" w:hanging="360"/>
      </w:pPr>
      <w:rPr>
        <w:rFonts w:ascii="Courier New" w:hAnsi="Courier New" w:cs="Courier New" w:hint="default"/>
      </w:rPr>
    </w:lvl>
    <w:lvl w:ilvl="2" w:tplc="579A2068" w:tentative="1">
      <w:start w:val="1"/>
      <w:numFmt w:val="bullet"/>
      <w:lvlText w:val=""/>
      <w:lvlJc w:val="left"/>
      <w:pPr>
        <w:ind w:left="2160" w:hanging="360"/>
      </w:pPr>
      <w:rPr>
        <w:rFonts w:ascii="Wingdings" w:hAnsi="Wingdings" w:hint="default"/>
      </w:rPr>
    </w:lvl>
    <w:lvl w:ilvl="3" w:tplc="BA2A68DA" w:tentative="1">
      <w:start w:val="1"/>
      <w:numFmt w:val="bullet"/>
      <w:lvlText w:val=""/>
      <w:lvlJc w:val="left"/>
      <w:pPr>
        <w:ind w:left="2880" w:hanging="360"/>
      </w:pPr>
      <w:rPr>
        <w:rFonts w:ascii="Symbol" w:hAnsi="Symbol" w:hint="default"/>
      </w:rPr>
    </w:lvl>
    <w:lvl w:ilvl="4" w:tplc="E0440E80" w:tentative="1">
      <w:start w:val="1"/>
      <w:numFmt w:val="bullet"/>
      <w:lvlText w:val="o"/>
      <w:lvlJc w:val="left"/>
      <w:pPr>
        <w:ind w:left="3600" w:hanging="360"/>
      </w:pPr>
      <w:rPr>
        <w:rFonts w:ascii="Courier New" w:hAnsi="Courier New" w:cs="Courier New" w:hint="default"/>
      </w:rPr>
    </w:lvl>
    <w:lvl w:ilvl="5" w:tplc="85E053F2" w:tentative="1">
      <w:start w:val="1"/>
      <w:numFmt w:val="bullet"/>
      <w:lvlText w:val=""/>
      <w:lvlJc w:val="left"/>
      <w:pPr>
        <w:ind w:left="4320" w:hanging="360"/>
      </w:pPr>
      <w:rPr>
        <w:rFonts w:ascii="Wingdings" w:hAnsi="Wingdings" w:hint="default"/>
      </w:rPr>
    </w:lvl>
    <w:lvl w:ilvl="6" w:tplc="D3EE12E2" w:tentative="1">
      <w:start w:val="1"/>
      <w:numFmt w:val="bullet"/>
      <w:lvlText w:val=""/>
      <w:lvlJc w:val="left"/>
      <w:pPr>
        <w:ind w:left="5040" w:hanging="360"/>
      </w:pPr>
      <w:rPr>
        <w:rFonts w:ascii="Symbol" w:hAnsi="Symbol" w:hint="default"/>
      </w:rPr>
    </w:lvl>
    <w:lvl w:ilvl="7" w:tplc="E490232C" w:tentative="1">
      <w:start w:val="1"/>
      <w:numFmt w:val="bullet"/>
      <w:lvlText w:val="o"/>
      <w:lvlJc w:val="left"/>
      <w:pPr>
        <w:ind w:left="5760" w:hanging="360"/>
      </w:pPr>
      <w:rPr>
        <w:rFonts w:ascii="Courier New" w:hAnsi="Courier New" w:cs="Courier New" w:hint="default"/>
      </w:rPr>
    </w:lvl>
    <w:lvl w:ilvl="8" w:tplc="C36A6284" w:tentative="1">
      <w:start w:val="1"/>
      <w:numFmt w:val="bullet"/>
      <w:lvlText w:val=""/>
      <w:lvlJc w:val="left"/>
      <w:pPr>
        <w:ind w:left="6480" w:hanging="360"/>
      </w:pPr>
      <w:rPr>
        <w:rFonts w:ascii="Wingdings" w:hAnsi="Wingdings" w:hint="default"/>
      </w:rPr>
    </w:lvl>
  </w:abstractNum>
  <w:abstractNum w:abstractNumId="262" w15:restartNumberingAfterBreak="0">
    <w:nsid w:val="7FE53ACA"/>
    <w:multiLevelType w:val="multilevel"/>
    <w:tmpl w:val="85BC1E9E"/>
    <w:lvl w:ilvl="0">
      <w:start w:val="1"/>
      <w:numFmt w:val="decimal"/>
      <w:pStyle w:val="GTTTitulo1"/>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sz w:val="28"/>
        <w:szCs w:val="28"/>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16cid:durableId="2060275119">
    <w:abstractNumId w:val="233"/>
  </w:num>
  <w:num w:numId="2" w16cid:durableId="542983183">
    <w:abstractNumId w:val="256"/>
  </w:num>
  <w:num w:numId="3" w16cid:durableId="105345065">
    <w:abstractNumId w:val="186"/>
  </w:num>
  <w:num w:numId="4" w16cid:durableId="972904828">
    <w:abstractNumId w:val="198"/>
  </w:num>
  <w:num w:numId="5" w16cid:durableId="1472403239">
    <w:abstractNumId w:val="260"/>
  </w:num>
  <w:num w:numId="6" w16cid:durableId="1319110070">
    <w:abstractNumId w:val="1"/>
  </w:num>
  <w:num w:numId="7" w16cid:durableId="1389576091">
    <w:abstractNumId w:val="190"/>
  </w:num>
  <w:num w:numId="8" w16cid:durableId="1625891784">
    <w:abstractNumId w:val="156"/>
  </w:num>
  <w:num w:numId="9" w16cid:durableId="1422026257">
    <w:abstractNumId w:val="223"/>
  </w:num>
  <w:num w:numId="10" w16cid:durableId="544413565">
    <w:abstractNumId w:val="242"/>
  </w:num>
  <w:num w:numId="11" w16cid:durableId="1280454776">
    <w:abstractNumId w:val="162"/>
  </w:num>
  <w:num w:numId="12" w16cid:durableId="2141652133">
    <w:abstractNumId w:val="7"/>
  </w:num>
  <w:num w:numId="13" w16cid:durableId="967590303">
    <w:abstractNumId w:val="246"/>
  </w:num>
  <w:num w:numId="14" w16cid:durableId="411245446">
    <w:abstractNumId w:val="246"/>
    <w:lvlOverride w:ilvl="0">
      <w:lvl w:ilvl="0">
        <w:start w:val="1"/>
        <w:numFmt w:val="decimal"/>
        <w:lvlText w:val="%1."/>
        <w:lvlJc w:val="left"/>
        <w:pPr>
          <w:ind w:left="720" w:hanging="720"/>
        </w:pPr>
        <w:rPr>
          <w:rFonts w:hint="default"/>
        </w:rPr>
      </w:lvl>
    </w:lvlOverride>
    <w:lvlOverride w:ilvl="1">
      <w:lvl w:ilvl="1">
        <w:start w:val="1"/>
        <w:numFmt w:val="decimal"/>
        <w:isLgl/>
        <w:lvlText w:val="%1.%2."/>
        <w:lvlJc w:val="left"/>
        <w:pPr>
          <w:ind w:left="720" w:hanging="720"/>
        </w:pPr>
        <w:rPr>
          <w:rFonts w:hint="default"/>
        </w:rPr>
      </w:lvl>
    </w:lvlOverride>
    <w:lvlOverride w:ilvl="2">
      <w:lvl w:ilvl="2">
        <w:start w:val="1"/>
        <w:numFmt w:val="decimal"/>
        <w:pStyle w:val="TITU3"/>
        <w:isLgl/>
        <w:lvlText w:val="%1.%2.%3."/>
        <w:lvlJc w:val="left"/>
        <w:pPr>
          <w:ind w:left="720" w:hanging="720"/>
        </w:pPr>
        <w:rPr>
          <w:rFonts w:hint="default"/>
        </w:rPr>
      </w:lvl>
    </w:lvlOverride>
    <w:lvlOverride w:ilvl="3">
      <w:lvl w:ilvl="3">
        <w:start w:val="1"/>
        <w:numFmt w:val="decimal"/>
        <w:pStyle w:val="TITU4"/>
        <w:isLgl/>
        <w:lvlText w:val="%1.%2.%3.%4."/>
        <w:lvlJc w:val="left"/>
        <w:pPr>
          <w:ind w:left="720" w:hanging="720"/>
        </w:pPr>
        <w:rPr>
          <w:rFonts w:hint="default"/>
        </w:rPr>
      </w:lvl>
    </w:lvlOverride>
    <w:lvlOverride w:ilvl="4">
      <w:lvl w:ilvl="4">
        <w:start w:val="1"/>
        <w:numFmt w:val="decimal"/>
        <w:pStyle w:val="TITU5"/>
        <w:isLgl/>
        <w:lvlText w:val="%1.%2.%3.%4.%5."/>
        <w:lvlJc w:val="left"/>
        <w:pPr>
          <w:ind w:left="1418" w:hanging="1418"/>
        </w:pPr>
        <w:rPr>
          <w:rFonts w:hint="default"/>
        </w:rPr>
      </w:lvl>
    </w:lvlOverride>
    <w:lvlOverride w:ilvl="5">
      <w:lvl w:ilvl="5">
        <w:start w:val="1"/>
        <w:numFmt w:val="decimal"/>
        <w:pStyle w:val="TITU6"/>
        <w:isLgl/>
        <w:lvlText w:val="%1.%2.%3.%4.%5.%6."/>
        <w:lvlJc w:val="left"/>
        <w:pPr>
          <w:ind w:left="1418" w:hanging="1418"/>
        </w:pPr>
        <w:rPr>
          <w:rFonts w:hint="default"/>
        </w:rPr>
      </w:lvl>
    </w:lvlOverride>
    <w:lvlOverride w:ilvl="6">
      <w:lvl w:ilvl="6">
        <w:start w:val="1"/>
        <w:numFmt w:val="decimal"/>
        <w:isLgl/>
        <w:lvlText w:val="%1.%2.%3.%4.%5.%6.%7."/>
        <w:lvlJc w:val="left"/>
        <w:pPr>
          <w:ind w:left="720" w:hanging="720"/>
        </w:pPr>
        <w:rPr>
          <w:rFonts w:hint="default"/>
        </w:rPr>
      </w:lvl>
    </w:lvlOverride>
    <w:lvlOverride w:ilvl="7">
      <w:lvl w:ilvl="7">
        <w:start w:val="1"/>
        <w:numFmt w:val="decimal"/>
        <w:isLgl/>
        <w:lvlText w:val="%1.%2.%3.%4.%5.%6.%7.%8."/>
        <w:lvlJc w:val="left"/>
        <w:pPr>
          <w:ind w:left="720" w:hanging="720"/>
        </w:pPr>
        <w:rPr>
          <w:rFonts w:hint="default"/>
        </w:rPr>
      </w:lvl>
    </w:lvlOverride>
    <w:lvlOverride w:ilvl="8">
      <w:lvl w:ilvl="8">
        <w:start w:val="1"/>
        <w:numFmt w:val="decimal"/>
        <w:isLgl/>
        <w:lvlText w:val="%1.%2.%3.%4.%5.%6.%7.%8.%9."/>
        <w:lvlJc w:val="left"/>
        <w:pPr>
          <w:ind w:left="720" w:hanging="720"/>
        </w:pPr>
        <w:rPr>
          <w:rFonts w:hint="default"/>
        </w:rPr>
      </w:lvl>
    </w:lvlOverride>
  </w:num>
  <w:num w:numId="15" w16cid:durableId="1256524373">
    <w:abstractNumId w:val="61"/>
  </w:num>
  <w:num w:numId="16" w16cid:durableId="443118631">
    <w:abstractNumId w:val="27"/>
  </w:num>
  <w:num w:numId="17" w16cid:durableId="85272570">
    <w:abstractNumId w:val="187"/>
  </w:num>
  <w:num w:numId="18" w16cid:durableId="255787934">
    <w:abstractNumId w:val="142"/>
  </w:num>
  <w:num w:numId="19" w16cid:durableId="203950257">
    <w:abstractNumId w:val="218"/>
  </w:num>
  <w:num w:numId="20" w16cid:durableId="288631499">
    <w:abstractNumId w:val="121"/>
  </w:num>
  <w:num w:numId="21" w16cid:durableId="2089421048">
    <w:abstractNumId w:val="243"/>
  </w:num>
  <w:num w:numId="22" w16cid:durableId="1297637475">
    <w:abstractNumId w:val="18"/>
  </w:num>
  <w:num w:numId="23" w16cid:durableId="120153444">
    <w:abstractNumId w:val="261"/>
  </w:num>
  <w:num w:numId="24" w16cid:durableId="690112026">
    <w:abstractNumId w:val="181"/>
  </w:num>
  <w:num w:numId="25" w16cid:durableId="1751660779">
    <w:abstractNumId w:val="70"/>
  </w:num>
  <w:num w:numId="26" w16cid:durableId="2074767489">
    <w:abstractNumId w:val="69"/>
  </w:num>
  <w:num w:numId="27" w16cid:durableId="1720087035">
    <w:abstractNumId w:val="44"/>
  </w:num>
  <w:num w:numId="28" w16cid:durableId="1749959791">
    <w:abstractNumId w:val="77"/>
  </w:num>
  <w:num w:numId="29" w16cid:durableId="1958173934">
    <w:abstractNumId w:val="33"/>
  </w:num>
  <w:num w:numId="30" w16cid:durableId="2134401596">
    <w:abstractNumId w:val="46"/>
  </w:num>
  <w:num w:numId="31" w16cid:durableId="1557206989">
    <w:abstractNumId w:val="8"/>
  </w:num>
  <w:num w:numId="32" w16cid:durableId="1752005785">
    <w:abstractNumId w:val="6"/>
  </w:num>
  <w:num w:numId="33" w16cid:durableId="1256478091">
    <w:abstractNumId w:val="54"/>
  </w:num>
  <w:num w:numId="34" w16cid:durableId="1723676459">
    <w:abstractNumId w:val="134"/>
  </w:num>
  <w:num w:numId="35" w16cid:durableId="1634405074">
    <w:abstractNumId w:val="63"/>
  </w:num>
  <w:num w:numId="36" w16cid:durableId="1459298357">
    <w:abstractNumId w:val="147"/>
  </w:num>
  <w:num w:numId="37" w16cid:durableId="143090291">
    <w:abstractNumId w:val="95"/>
  </w:num>
  <w:num w:numId="38" w16cid:durableId="956565056">
    <w:abstractNumId w:val="97"/>
  </w:num>
  <w:num w:numId="39" w16cid:durableId="739062626">
    <w:abstractNumId w:val="236"/>
  </w:num>
  <w:num w:numId="40" w16cid:durableId="1191384207">
    <w:abstractNumId w:val="91"/>
  </w:num>
  <w:num w:numId="41" w16cid:durableId="1028027236">
    <w:abstractNumId w:val="118"/>
  </w:num>
  <w:num w:numId="42" w16cid:durableId="758253880">
    <w:abstractNumId w:val="102"/>
  </w:num>
  <w:num w:numId="43" w16cid:durableId="2062048133">
    <w:abstractNumId w:val="17"/>
  </w:num>
  <w:num w:numId="44" w16cid:durableId="37895440">
    <w:abstractNumId w:val="138"/>
  </w:num>
  <w:num w:numId="45" w16cid:durableId="2034765319">
    <w:abstractNumId w:val="178"/>
  </w:num>
  <w:num w:numId="46" w16cid:durableId="165949904">
    <w:abstractNumId w:val="215"/>
  </w:num>
  <w:num w:numId="47" w16cid:durableId="2131125535">
    <w:abstractNumId w:val="227"/>
  </w:num>
  <w:num w:numId="48" w16cid:durableId="748498816">
    <w:abstractNumId w:val="85"/>
  </w:num>
  <w:num w:numId="49" w16cid:durableId="1532183234">
    <w:abstractNumId w:val="135"/>
  </w:num>
  <w:num w:numId="50" w16cid:durableId="1679892916">
    <w:abstractNumId w:val="31"/>
  </w:num>
  <w:num w:numId="51" w16cid:durableId="260533249">
    <w:abstractNumId w:val="105"/>
  </w:num>
  <w:num w:numId="52" w16cid:durableId="1384906826">
    <w:abstractNumId w:val="127"/>
  </w:num>
  <w:num w:numId="53" w16cid:durableId="595021210">
    <w:abstractNumId w:val="154"/>
  </w:num>
  <w:num w:numId="54" w16cid:durableId="1571454928">
    <w:abstractNumId w:val="180"/>
  </w:num>
  <w:num w:numId="55" w16cid:durableId="1249579372">
    <w:abstractNumId w:val="48"/>
  </w:num>
  <w:num w:numId="56" w16cid:durableId="1365910917">
    <w:abstractNumId w:val="37"/>
  </w:num>
  <w:num w:numId="57" w16cid:durableId="945960663">
    <w:abstractNumId w:val="212"/>
  </w:num>
  <w:num w:numId="58" w16cid:durableId="137697904">
    <w:abstractNumId w:val="239"/>
  </w:num>
  <w:num w:numId="59" w16cid:durableId="1569996735">
    <w:abstractNumId w:val="206"/>
  </w:num>
  <w:num w:numId="60" w16cid:durableId="2052028439">
    <w:abstractNumId w:val="42"/>
  </w:num>
  <w:num w:numId="61" w16cid:durableId="108280122">
    <w:abstractNumId w:val="80"/>
  </w:num>
  <w:num w:numId="62" w16cid:durableId="797340760">
    <w:abstractNumId w:val="196"/>
  </w:num>
  <w:num w:numId="63" w16cid:durableId="470563863">
    <w:abstractNumId w:val="200"/>
  </w:num>
  <w:num w:numId="64" w16cid:durableId="632562151">
    <w:abstractNumId w:val="183"/>
  </w:num>
  <w:num w:numId="65" w16cid:durableId="1472164464">
    <w:abstractNumId w:val="84"/>
  </w:num>
  <w:num w:numId="66" w16cid:durableId="1872104735">
    <w:abstractNumId w:val="137"/>
  </w:num>
  <w:num w:numId="67" w16cid:durableId="651102852">
    <w:abstractNumId w:val="159"/>
  </w:num>
  <w:num w:numId="68" w16cid:durableId="67382309">
    <w:abstractNumId w:val="65"/>
  </w:num>
  <w:num w:numId="69" w16cid:durableId="980572506">
    <w:abstractNumId w:val="188"/>
  </w:num>
  <w:num w:numId="70" w16cid:durableId="2045473120">
    <w:abstractNumId w:val="229"/>
  </w:num>
  <w:num w:numId="71" w16cid:durableId="2105684636">
    <w:abstractNumId w:val="175"/>
  </w:num>
  <w:num w:numId="72" w16cid:durableId="1328747940">
    <w:abstractNumId w:val="71"/>
  </w:num>
  <w:num w:numId="73" w16cid:durableId="1647784373">
    <w:abstractNumId w:val="216"/>
  </w:num>
  <w:num w:numId="74" w16cid:durableId="2139562704">
    <w:abstractNumId w:val="201"/>
  </w:num>
  <w:num w:numId="75" w16cid:durableId="1987779070">
    <w:abstractNumId w:val="112"/>
  </w:num>
  <w:num w:numId="76" w16cid:durableId="949702816">
    <w:abstractNumId w:val="204"/>
  </w:num>
  <w:num w:numId="77" w16cid:durableId="1568571034">
    <w:abstractNumId w:val="170"/>
  </w:num>
  <w:num w:numId="78" w16cid:durableId="636497531">
    <w:abstractNumId w:val="32"/>
  </w:num>
  <w:num w:numId="79" w16cid:durableId="219443821">
    <w:abstractNumId w:val="141"/>
  </w:num>
  <w:num w:numId="80" w16cid:durableId="2055620166">
    <w:abstractNumId w:val="38"/>
  </w:num>
  <w:num w:numId="81" w16cid:durableId="31081584">
    <w:abstractNumId w:val="237"/>
  </w:num>
  <w:num w:numId="82" w16cid:durableId="199244314">
    <w:abstractNumId w:val="192"/>
  </w:num>
  <w:num w:numId="83" w16cid:durableId="97528480">
    <w:abstractNumId w:val="133"/>
  </w:num>
  <w:num w:numId="84" w16cid:durableId="1283926109">
    <w:abstractNumId w:val="217"/>
  </w:num>
  <w:num w:numId="85" w16cid:durableId="1580866443">
    <w:abstractNumId w:val="11"/>
  </w:num>
  <w:num w:numId="86" w16cid:durableId="242180557">
    <w:abstractNumId w:val="232"/>
  </w:num>
  <w:num w:numId="87" w16cid:durableId="27488659">
    <w:abstractNumId w:val="25"/>
  </w:num>
  <w:num w:numId="88" w16cid:durableId="1695501761">
    <w:abstractNumId w:val="106"/>
  </w:num>
  <w:num w:numId="89" w16cid:durableId="464978671">
    <w:abstractNumId w:val="166"/>
  </w:num>
  <w:num w:numId="90" w16cid:durableId="1202329607">
    <w:abstractNumId w:val="257"/>
  </w:num>
  <w:num w:numId="91" w16cid:durableId="1960254435">
    <w:abstractNumId w:val="40"/>
  </w:num>
  <w:num w:numId="92" w16cid:durableId="656304041">
    <w:abstractNumId w:val="92"/>
  </w:num>
  <w:num w:numId="93" w16cid:durableId="975338190">
    <w:abstractNumId w:val="83"/>
  </w:num>
  <w:num w:numId="94" w16cid:durableId="1360471414">
    <w:abstractNumId w:val="73"/>
  </w:num>
  <w:num w:numId="95" w16cid:durableId="1109544186">
    <w:abstractNumId w:val="253"/>
  </w:num>
  <w:num w:numId="96" w16cid:durableId="687097261">
    <w:abstractNumId w:val="197"/>
  </w:num>
  <w:num w:numId="97" w16cid:durableId="594902647">
    <w:abstractNumId w:val="98"/>
  </w:num>
  <w:num w:numId="98" w16cid:durableId="405420327">
    <w:abstractNumId w:val="104"/>
  </w:num>
  <w:num w:numId="99" w16cid:durableId="537476698">
    <w:abstractNumId w:val="245"/>
  </w:num>
  <w:num w:numId="100" w16cid:durableId="2073194015">
    <w:abstractNumId w:val="75"/>
  </w:num>
  <w:num w:numId="101" w16cid:durableId="1241019467">
    <w:abstractNumId w:val="130"/>
  </w:num>
  <w:num w:numId="102" w16cid:durableId="1450389594">
    <w:abstractNumId w:val="39"/>
  </w:num>
  <w:num w:numId="103" w16cid:durableId="1986817400">
    <w:abstractNumId w:val="207"/>
  </w:num>
  <w:num w:numId="104" w16cid:durableId="303431849">
    <w:abstractNumId w:val="96"/>
  </w:num>
  <w:num w:numId="105" w16cid:durableId="1614050058">
    <w:abstractNumId w:val="117"/>
  </w:num>
  <w:num w:numId="106" w16cid:durableId="414985360">
    <w:abstractNumId w:val="139"/>
  </w:num>
  <w:num w:numId="107" w16cid:durableId="1977370595">
    <w:abstractNumId w:val="203"/>
  </w:num>
  <w:num w:numId="108" w16cid:durableId="1967420461">
    <w:abstractNumId w:val="51"/>
  </w:num>
  <w:num w:numId="109" w16cid:durableId="212541332">
    <w:abstractNumId w:val="21"/>
  </w:num>
  <w:num w:numId="110" w16cid:durableId="412243283">
    <w:abstractNumId w:val="164"/>
  </w:num>
  <w:num w:numId="111" w16cid:durableId="751708500">
    <w:abstractNumId w:val="41"/>
  </w:num>
  <w:num w:numId="112" w16cid:durableId="1810170465">
    <w:abstractNumId w:val="153"/>
  </w:num>
  <w:num w:numId="113" w16cid:durableId="359480592">
    <w:abstractNumId w:val="3"/>
  </w:num>
  <w:num w:numId="114" w16cid:durableId="55056036">
    <w:abstractNumId w:val="258"/>
  </w:num>
  <w:num w:numId="115" w16cid:durableId="1591574415">
    <w:abstractNumId w:val="2"/>
  </w:num>
  <w:num w:numId="116" w16cid:durableId="1935019373">
    <w:abstractNumId w:val="222"/>
  </w:num>
  <w:num w:numId="117" w16cid:durableId="420420020">
    <w:abstractNumId w:val="87"/>
  </w:num>
  <w:num w:numId="118" w16cid:durableId="1777098991">
    <w:abstractNumId w:val="52"/>
  </w:num>
  <w:num w:numId="119" w16cid:durableId="1114859575">
    <w:abstractNumId w:val="30"/>
  </w:num>
  <w:num w:numId="120" w16cid:durableId="333146693">
    <w:abstractNumId w:val="248"/>
  </w:num>
  <w:num w:numId="121" w16cid:durableId="1826817549">
    <w:abstractNumId w:val="173"/>
  </w:num>
  <w:num w:numId="122" w16cid:durableId="1850830444">
    <w:abstractNumId w:val="113"/>
  </w:num>
  <w:num w:numId="123" w16cid:durableId="167720764">
    <w:abstractNumId w:val="252"/>
  </w:num>
  <w:num w:numId="124" w16cid:durableId="846480872">
    <w:abstractNumId w:val="157"/>
  </w:num>
  <w:num w:numId="125" w16cid:durableId="599489286">
    <w:abstractNumId w:val="209"/>
  </w:num>
  <w:num w:numId="126" w16cid:durableId="1455637409">
    <w:abstractNumId w:val="132"/>
  </w:num>
  <w:num w:numId="127" w16cid:durableId="1927807327">
    <w:abstractNumId w:val="16"/>
  </w:num>
  <w:num w:numId="128" w16cid:durableId="921450382">
    <w:abstractNumId w:val="241"/>
  </w:num>
  <w:num w:numId="129" w16cid:durableId="1421759969">
    <w:abstractNumId w:val="240"/>
  </w:num>
  <w:num w:numId="130" w16cid:durableId="271742927">
    <w:abstractNumId w:val="234"/>
  </w:num>
  <w:num w:numId="131" w16cid:durableId="628777504">
    <w:abstractNumId w:val="36"/>
  </w:num>
  <w:num w:numId="132" w16cid:durableId="1851022265">
    <w:abstractNumId w:val="251"/>
  </w:num>
  <w:num w:numId="133" w16cid:durableId="354504666">
    <w:abstractNumId w:val="224"/>
  </w:num>
  <w:num w:numId="134" w16cid:durableId="1901358544">
    <w:abstractNumId w:val="161"/>
  </w:num>
  <w:num w:numId="135" w16cid:durableId="301931488">
    <w:abstractNumId w:val="107"/>
  </w:num>
  <w:num w:numId="136" w16cid:durableId="854538619">
    <w:abstractNumId w:val="115"/>
  </w:num>
  <w:num w:numId="137" w16cid:durableId="6639046">
    <w:abstractNumId w:val="60"/>
  </w:num>
  <w:num w:numId="138" w16cid:durableId="934752575">
    <w:abstractNumId w:val="10"/>
  </w:num>
  <w:num w:numId="139" w16cid:durableId="1911232782">
    <w:abstractNumId w:val="99"/>
  </w:num>
  <w:num w:numId="140" w16cid:durableId="416899092">
    <w:abstractNumId w:val="109"/>
  </w:num>
  <w:num w:numId="141" w16cid:durableId="52584940">
    <w:abstractNumId w:val="119"/>
  </w:num>
  <w:num w:numId="142" w16cid:durableId="689450360">
    <w:abstractNumId w:val="149"/>
  </w:num>
  <w:num w:numId="143" w16cid:durableId="1923446971">
    <w:abstractNumId w:val="259"/>
  </w:num>
  <w:num w:numId="144" w16cid:durableId="507451592">
    <w:abstractNumId w:val="150"/>
  </w:num>
  <w:num w:numId="145" w16cid:durableId="677658702">
    <w:abstractNumId w:val="254"/>
  </w:num>
  <w:num w:numId="146" w16cid:durableId="321198664">
    <w:abstractNumId w:val="114"/>
  </w:num>
  <w:num w:numId="147" w16cid:durableId="1998608792">
    <w:abstractNumId w:val="158"/>
  </w:num>
  <w:num w:numId="148" w16cid:durableId="230312873">
    <w:abstractNumId w:val="176"/>
  </w:num>
  <w:num w:numId="149" w16cid:durableId="2123185643">
    <w:abstractNumId w:val="208"/>
  </w:num>
  <w:num w:numId="150" w16cid:durableId="1257323983">
    <w:abstractNumId w:val="28"/>
  </w:num>
  <w:num w:numId="151" w16cid:durableId="1099721529">
    <w:abstractNumId w:val="19"/>
  </w:num>
  <w:num w:numId="152" w16cid:durableId="964896228">
    <w:abstractNumId w:val="167"/>
  </w:num>
  <w:num w:numId="153" w16cid:durableId="1578712802">
    <w:abstractNumId w:val="29"/>
  </w:num>
  <w:num w:numId="154" w16cid:durableId="2122843108">
    <w:abstractNumId w:val="47"/>
  </w:num>
  <w:num w:numId="155" w16cid:durableId="448857338">
    <w:abstractNumId w:val="35"/>
  </w:num>
  <w:num w:numId="156" w16cid:durableId="854344146">
    <w:abstractNumId w:val="155"/>
  </w:num>
  <w:num w:numId="157" w16cid:durableId="1098334317">
    <w:abstractNumId w:val="123"/>
  </w:num>
  <w:num w:numId="158" w16cid:durableId="8725926">
    <w:abstractNumId w:val="230"/>
  </w:num>
  <w:num w:numId="159" w16cid:durableId="1284271011">
    <w:abstractNumId w:val="49"/>
  </w:num>
  <w:num w:numId="160" w16cid:durableId="982387858">
    <w:abstractNumId w:val="78"/>
  </w:num>
  <w:num w:numId="161" w16cid:durableId="1073510190">
    <w:abstractNumId w:val="140"/>
  </w:num>
  <w:num w:numId="162" w16cid:durableId="1640719818">
    <w:abstractNumId w:val="136"/>
  </w:num>
  <w:num w:numId="163" w16cid:durableId="1724407609">
    <w:abstractNumId w:val="93"/>
  </w:num>
  <w:num w:numId="164" w16cid:durableId="189537051">
    <w:abstractNumId w:val="262"/>
  </w:num>
  <w:num w:numId="165" w16cid:durableId="1064795957">
    <w:abstractNumId w:val="221"/>
  </w:num>
  <w:num w:numId="166" w16cid:durableId="719980145">
    <w:abstractNumId w:val="122"/>
  </w:num>
  <w:num w:numId="167" w16cid:durableId="624387904">
    <w:abstractNumId w:val="108"/>
  </w:num>
  <w:num w:numId="168" w16cid:durableId="410275195">
    <w:abstractNumId w:val="179"/>
  </w:num>
  <w:num w:numId="169" w16cid:durableId="1915893873">
    <w:abstractNumId w:val="235"/>
  </w:num>
  <w:num w:numId="170" w16cid:durableId="275909517">
    <w:abstractNumId w:val="81"/>
  </w:num>
  <w:num w:numId="171" w16cid:durableId="611211231">
    <w:abstractNumId w:val="86"/>
  </w:num>
  <w:num w:numId="172" w16cid:durableId="962417821">
    <w:abstractNumId w:val="148"/>
  </w:num>
  <w:num w:numId="173" w16cid:durableId="19934538">
    <w:abstractNumId w:val="126"/>
  </w:num>
  <w:num w:numId="174" w16cid:durableId="1181357068">
    <w:abstractNumId w:val="249"/>
  </w:num>
  <w:num w:numId="175" w16cid:durableId="1591351589">
    <w:abstractNumId w:val="214"/>
  </w:num>
  <w:num w:numId="176" w16cid:durableId="210118181">
    <w:abstractNumId w:val="13"/>
  </w:num>
  <w:num w:numId="177" w16cid:durableId="463888074">
    <w:abstractNumId w:val="26"/>
  </w:num>
  <w:num w:numId="178" w16cid:durableId="395669920">
    <w:abstractNumId w:val="184"/>
  </w:num>
  <w:num w:numId="179" w16cid:durableId="1202668461">
    <w:abstractNumId w:val="74"/>
  </w:num>
  <w:num w:numId="180" w16cid:durableId="1424838281">
    <w:abstractNumId w:val="191"/>
  </w:num>
  <w:num w:numId="181" w16cid:durableId="430007686">
    <w:abstractNumId w:val="189"/>
  </w:num>
  <w:num w:numId="182" w16cid:durableId="212691395">
    <w:abstractNumId w:val="205"/>
  </w:num>
  <w:num w:numId="183" w16cid:durableId="456291521">
    <w:abstractNumId w:val="0"/>
  </w:num>
  <w:num w:numId="184" w16cid:durableId="1686664440">
    <w:abstractNumId w:val="14"/>
  </w:num>
  <w:num w:numId="185" w16cid:durableId="645663502">
    <w:abstractNumId w:val="24"/>
  </w:num>
  <w:num w:numId="186" w16cid:durableId="1733429153">
    <w:abstractNumId w:val="219"/>
  </w:num>
  <w:num w:numId="187" w16cid:durableId="1605770600">
    <w:abstractNumId w:val="193"/>
  </w:num>
  <w:num w:numId="188" w16cid:durableId="565451913">
    <w:abstractNumId w:val="145"/>
  </w:num>
  <w:num w:numId="189" w16cid:durableId="1837185504">
    <w:abstractNumId w:val="53"/>
  </w:num>
  <w:num w:numId="190" w16cid:durableId="1307584163">
    <w:abstractNumId w:val="211"/>
  </w:num>
  <w:num w:numId="191" w16cid:durableId="494535805">
    <w:abstractNumId w:val="55"/>
  </w:num>
  <w:num w:numId="192" w16cid:durableId="1508523265">
    <w:abstractNumId w:val="20"/>
  </w:num>
  <w:num w:numId="193" w16cid:durableId="2039575408">
    <w:abstractNumId w:val="67"/>
  </w:num>
  <w:num w:numId="194" w16cid:durableId="959262956">
    <w:abstractNumId w:val="72"/>
  </w:num>
  <w:num w:numId="195" w16cid:durableId="1578636196">
    <w:abstractNumId w:val="110"/>
  </w:num>
  <w:num w:numId="196" w16cid:durableId="2066567967">
    <w:abstractNumId w:val="231"/>
  </w:num>
  <w:num w:numId="197" w16cid:durableId="143553033">
    <w:abstractNumId w:val="59"/>
  </w:num>
  <w:num w:numId="198" w16cid:durableId="690306029">
    <w:abstractNumId w:val="160"/>
  </w:num>
  <w:num w:numId="199" w16cid:durableId="398017506">
    <w:abstractNumId w:val="5"/>
  </w:num>
  <w:num w:numId="200" w16cid:durableId="819149419">
    <w:abstractNumId w:val="23"/>
  </w:num>
  <w:num w:numId="201" w16cid:durableId="1917325812">
    <w:abstractNumId w:val="168"/>
  </w:num>
  <w:num w:numId="202" w16cid:durableId="56713450">
    <w:abstractNumId w:val="57"/>
  </w:num>
  <w:num w:numId="203" w16cid:durableId="1482696637">
    <w:abstractNumId w:val="228"/>
  </w:num>
  <w:num w:numId="204" w16cid:durableId="117115411">
    <w:abstractNumId w:val="226"/>
  </w:num>
  <w:num w:numId="205" w16cid:durableId="1206600320">
    <w:abstractNumId w:val="195"/>
  </w:num>
  <w:num w:numId="206" w16cid:durableId="74330690">
    <w:abstractNumId w:val="101"/>
  </w:num>
  <w:num w:numId="207" w16cid:durableId="314340453">
    <w:abstractNumId w:val="4"/>
  </w:num>
  <w:num w:numId="208" w16cid:durableId="236285725">
    <w:abstractNumId w:val="76"/>
  </w:num>
  <w:num w:numId="209" w16cid:durableId="1488742221">
    <w:abstractNumId w:val="89"/>
  </w:num>
  <w:num w:numId="210" w16cid:durableId="1566991382">
    <w:abstractNumId w:val="82"/>
  </w:num>
  <w:num w:numId="211" w16cid:durableId="517700873">
    <w:abstractNumId w:val="250"/>
  </w:num>
  <w:num w:numId="212" w16cid:durableId="640888983">
    <w:abstractNumId w:val="238"/>
  </w:num>
  <w:num w:numId="213" w16cid:durableId="1739746992">
    <w:abstractNumId w:val="64"/>
  </w:num>
  <w:num w:numId="214" w16cid:durableId="921572040">
    <w:abstractNumId w:val="210"/>
  </w:num>
  <w:num w:numId="215" w16cid:durableId="883559364">
    <w:abstractNumId w:val="43"/>
  </w:num>
  <w:num w:numId="216" w16cid:durableId="168830901">
    <w:abstractNumId w:val="128"/>
  </w:num>
  <w:num w:numId="217" w16cid:durableId="106003679">
    <w:abstractNumId w:val="220"/>
  </w:num>
  <w:num w:numId="218" w16cid:durableId="777288770">
    <w:abstractNumId w:val="68"/>
  </w:num>
  <w:num w:numId="219" w16cid:durableId="1391074537">
    <w:abstractNumId w:val="100"/>
  </w:num>
  <w:num w:numId="220" w16cid:durableId="1527714961">
    <w:abstractNumId w:val="116"/>
  </w:num>
  <w:num w:numId="221" w16cid:durableId="1713075670">
    <w:abstractNumId w:val="255"/>
  </w:num>
  <w:num w:numId="222" w16cid:durableId="1841701918">
    <w:abstractNumId w:val="144"/>
  </w:num>
  <w:num w:numId="223" w16cid:durableId="237710436">
    <w:abstractNumId w:val="151"/>
  </w:num>
  <w:num w:numId="224" w16cid:durableId="575549987">
    <w:abstractNumId w:val="174"/>
  </w:num>
  <w:num w:numId="225" w16cid:durableId="130295265">
    <w:abstractNumId w:val="213"/>
  </w:num>
  <w:num w:numId="226" w16cid:durableId="113136748">
    <w:abstractNumId w:val="225"/>
  </w:num>
  <w:num w:numId="227" w16cid:durableId="221794051">
    <w:abstractNumId w:val="12"/>
  </w:num>
  <w:num w:numId="228" w16cid:durableId="2080246514">
    <w:abstractNumId w:val="103"/>
  </w:num>
  <w:num w:numId="229" w16cid:durableId="1189681147">
    <w:abstractNumId w:val="177"/>
  </w:num>
  <w:num w:numId="230" w16cid:durableId="1396078545">
    <w:abstractNumId w:val="88"/>
  </w:num>
  <w:num w:numId="231" w16cid:durableId="1563715515">
    <w:abstractNumId w:val="111"/>
  </w:num>
  <w:num w:numId="232" w16cid:durableId="923877531">
    <w:abstractNumId w:val="202"/>
  </w:num>
  <w:num w:numId="233" w16cid:durableId="980385384">
    <w:abstractNumId w:val="9"/>
  </w:num>
  <w:num w:numId="234" w16cid:durableId="428817344">
    <w:abstractNumId w:val="169"/>
  </w:num>
  <w:num w:numId="235" w16cid:durableId="928849075">
    <w:abstractNumId w:val="172"/>
  </w:num>
  <w:num w:numId="236" w16cid:durableId="1381396537">
    <w:abstractNumId w:val="247"/>
  </w:num>
  <w:num w:numId="237" w16cid:durableId="325859954">
    <w:abstractNumId w:val="165"/>
  </w:num>
  <w:num w:numId="238" w16cid:durableId="1928921938">
    <w:abstractNumId w:val="152"/>
  </w:num>
  <w:num w:numId="239" w16cid:durableId="13464327">
    <w:abstractNumId w:val="56"/>
  </w:num>
  <w:num w:numId="240" w16cid:durableId="1291865242">
    <w:abstractNumId w:val="244"/>
  </w:num>
  <w:num w:numId="241" w16cid:durableId="1550722770">
    <w:abstractNumId w:val="58"/>
  </w:num>
  <w:num w:numId="242" w16cid:durableId="736634954">
    <w:abstractNumId w:val="120"/>
  </w:num>
  <w:num w:numId="243" w16cid:durableId="1266041340">
    <w:abstractNumId w:val="94"/>
  </w:num>
  <w:num w:numId="244" w16cid:durableId="36705500">
    <w:abstractNumId w:val="15"/>
  </w:num>
  <w:num w:numId="245" w16cid:durableId="1413818254">
    <w:abstractNumId w:val="185"/>
  </w:num>
  <w:num w:numId="246" w16cid:durableId="970865219">
    <w:abstractNumId w:val="34"/>
  </w:num>
  <w:num w:numId="247" w16cid:durableId="102767323">
    <w:abstractNumId w:val="66"/>
  </w:num>
  <w:num w:numId="248" w16cid:durableId="1061489808">
    <w:abstractNumId w:val="171"/>
  </w:num>
  <w:num w:numId="249" w16cid:durableId="2112773262">
    <w:abstractNumId w:val="50"/>
  </w:num>
  <w:num w:numId="250" w16cid:durableId="2052915849">
    <w:abstractNumId w:val="125"/>
  </w:num>
  <w:num w:numId="251" w16cid:durableId="1784613006">
    <w:abstractNumId w:val="22"/>
  </w:num>
  <w:num w:numId="252" w16cid:durableId="388580914">
    <w:abstractNumId w:val="182"/>
  </w:num>
  <w:num w:numId="253" w16cid:durableId="1424834261">
    <w:abstractNumId w:val="62"/>
  </w:num>
  <w:num w:numId="254" w16cid:durableId="2014069665">
    <w:abstractNumId w:val="163"/>
  </w:num>
  <w:num w:numId="255" w16cid:durableId="337080313">
    <w:abstractNumId w:val="199"/>
  </w:num>
  <w:num w:numId="256" w16cid:durableId="1231816378">
    <w:abstractNumId w:val="194"/>
  </w:num>
  <w:num w:numId="257" w16cid:durableId="1182547545">
    <w:abstractNumId w:val="124"/>
  </w:num>
  <w:num w:numId="258" w16cid:durableId="1913926378">
    <w:abstractNumId w:val="79"/>
  </w:num>
  <w:num w:numId="259" w16cid:durableId="1523784503">
    <w:abstractNumId w:val="129"/>
  </w:num>
  <w:num w:numId="260" w16cid:durableId="339041534">
    <w:abstractNumId w:val="146"/>
  </w:num>
  <w:num w:numId="261" w16cid:durableId="1851793519">
    <w:abstractNumId w:val="131"/>
  </w:num>
  <w:num w:numId="262" w16cid:durableId="1941601160">
    <w:abstractNumId w:val="45"/>
  </w:num>
  <w:num w:numId="263" w16cid:durableId="498663842">
    <w:abstractNumId w:val="143"/>
  </w:num>
  <w:num w:numId="264" w16cid:durableId="316765828">
    <w:abstractNumId w:val="90"/>
  </w:num>
  <w:numIdMacAtCleanup w:val="2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hideSpellingErrors/>
  <w:hideGrammaticalErrors/>
  <w:activeWritingStyle w:appName="MSWord" w:lang="es-ES_tradnl" w:vendorID="9" w:dllVersion="512" w:checkStyle="1"/>
  <w:activeWritingStyle w:appName="MSWord" w:lang="fr-FR" w:vendorID="9" w:dllVersion="512" w:checkStyle="1"/>
  <w:activeWritingStyle w:appName="MSWord" w:lang="pt-BR" w:vendorID="1" w:dllVersion="513" w:checkStyle="1"/>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o:colormru v:ext="edit" colors="#060,#36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C6C69"/>
    <w:rsid w:val="00000278"/>
    <w:rsid w:val="00000993"/>
    <w:rsid w:val="000009ED"/>
    <w:rsid w:val="000033F4"/>
    <w:rsid w:val="0000436B"/>
    <w:rsid w:val="00004AB3"/>
    <w:rsid w:val="00004F4A"/>
    <w:rsid w:val="00007037"/>
    <w:rsid w:val="00007078"/>
    <w:rsid w:val="00007690"/>
    <w:rsid w:val="00010309"/>
    <w:rsid w:val="000110B4"/>
    <w:rsid w:val="000110EC"/>
    <w:rsid w:val="00012C90"/>
    <w:rsid w:val="000132F5"/>
    <w:rsid w:val="00014463"/>
    <w:rsid w:val="00014676"/>
    <w:rsid w:val="000161B8"/>
    <w:rsid w:val="00016787"/>
    <w:rsid w:val="00016866"/>
    <w:rsid w:val="0001688C"/>
    <w:rsid w:val="000169FF"/>
    <w:rsid w:val="00016A9F"/>
    <w:rsid w:val="00020222"/>
    <w:rsid w:val="000202A1"/>
    <w:rsid w:val="00020F1F"/>
    <w:rsid w:val="00020F26"/>
    <w:rsid w:val="00021694"/>
    <w:rsid w:val="00021D8B"/>
    <w:rsid w:val="00022F31"/>
    <w:rsid w:val="00022FF5"/>
    <w:rsid w:val="0002358F"/>
    <w:rsid w:val="00023F59"/>
    <w:rsid w:val="00024F0A"/>
    <w:rsid w:val="000250F3"/>
    <w:rsid w:val="00025D5D"/>
    <w:rsid w:val="00026DB0"/>
    <w:rsid w:val="000271F3"/>
    <w:rsid w:val="0002740B"/>
    <w:rsid w:val="000279D3"/>
    <w:rsid w:val="00030597"/>
    <w:rsid w:val="00030673"/>
    <w:rsid w:val="000313DD"/>
    <w:rsid w:val="00032577"/>
    <w:rsid w:val="000341BA"/>
    <w:rsid w:val="00034507"/>
    <w:rsid w:val="00034A62"/>
    <w:rsid w:val="00034D35"/>
    <w:rsid w:val="00035413"/>
    <w:rsid w:val="000366C7"/>
    <w:rsid w:val="00036AFF"/>
    <w:rsid w:val="00036C21"/>
    <w:rsid w:val="00036CD7"/>
    <w:rsid w:val="000377EE"/>
    <w:rsid w:val="00040515"/>
    <w:rsid w:val="000405D7"/>
    <w:rsid w:val="00040CF5"/>
    <w:rsid w:val="00041C39"/>
    <w:rsid w:val="00041D71"/>
    <w:rsid w:val="00042178"/>
    <w:rsid w:val="0004255B"/>
    <w:rsid w:val="000440AF"/>
    <w:rsid w:val="000449FD"/>
    <w:rsid w:val="000452D3"/>
    <w:rsid w:val="00046286"/>
    <w:rsid w:val="00047085"/>
    <w:rsid w:val="00050087"/>
    <w:rsid w:val="00050429"/>
    <w:rsid w:val="000512AB"/>
    <w:rsid w:val="00051823"/>
    <w:rsid w:val="00051B6B"/>
    <w:rsid w:val="00052614"/>
    <w:rsid w:val="0005291D"/>
    <w:rsid w:val="00053A47"/>
    <w:rsid w:val="00053EE8"/>
    <w:rsid w:val="00054AA8"/>
    <w:rsid w:val="00054CB4"/>
    <w:rsid w:val="00055FBE"/>
    <w:rsid w:val="00056B5A"/>
    <w:rsid w:val="00057888"/>
    <w:rsid w:val="00057C47"/>
    <w:rsid w:val="00060353"/>
    <w:rsid w:val="00060771"/>
    <w:rsid w:val="00060B58"/>
    <w:rsid w:val="0006126B"/>
    <w:rsid w:val="0006143B"/>
    <w:rsid w:val="00061AC3"/>
    <w:rsid w:val="00062A41"/>
    <w:rsid w:val="00062E1C"/>
    <w:rsid w:val="00063E4A"/>
    <w:rsid w:val="00065170"/>
    <w:rsid w:val="0006561B"/>
    <w:rsid w:val="00066BA3"/>
    <w:rsid w:val="00067480"/>
    <w:rsid w:val="00067EF0"/>
    <w:rsid w:val="00070A45"/>
    <w:rsid w:val="00071299"/>
    <w:rsid w:val="00071C3F"/>
    <w:rsid w:val="000724D1"/>
    <w:rsid w:val="00072BDF"/>
    <w:rsid w:val="00073309"/>
    <w:rsid w:val="00074497"/>
    <w:rsid w:val="00074A06"/>
    <w:rsid w:val="00074AFF"/>
    <w:rsid w:val="00074E8B"/>
    <w:rsid w:val="00074F7E"/>
    <w:rsid w:val="0007504D"/>
    <w:rsid w:val="000757E3"/>
    <w:rsid w:val="000760DB"/>
    <w:rsid w:val="00076606"/>
    <w:rsid w:val="00076952"/>
    <w:rsid w:val="00076A48"/>
    <w:rsid w:val="00076E49"/>
    <w:rsid w:val="00076FC3"/>
    <w:rsid w:val="00077AAA"/>
    <w:rsid w:val="00080847"/>
    <w:rsid w:val="00081934"/>
    <w:rsid w:val="00082BE9"/>
    <w:rsid w:val="00082D47"/>
    <w:rsid w:val="00083D10"/>
    <w:rsid w:val="00083F49"/>
    <w:rsid w:val="0008569C"/>
    <w:rsid w:val="000859FD"/>
    <w:rsid w:val="00085FBD"/>
    <w:rsid w:val="0008725F"/>
    <w:rsid w:val="00087505"/>
    <w:rsid w:val="00090534"/>
    <w:rsid w:val="00090604"/>
    <w:rsid w:val="000925C5"/>
    <w:rsid w:val="000935D5"/>
    <w:rsid w:val="00093C68"/>
    <w:rsid w:val="000940FC"/>
    <w:rsid w:val="000949B0"/>
    <w:rsid w:val="0009501F"/>
    <w:rsid w:val="0009636B"/>
    <w:rsid w:val="0009679B"/>
    <w:rsid w:val="00096A94"/>
    <w:rsid w:val="00097BC8"/>
    <w:rsid w:val="00097C55"/>
    <w:rsid w:val="000A0D8B"/>
    <w:rsid w:val="000A152A"/>
    <w:rsid w:val="000A152C"/>
    <w:rsid w:val="000A2C6F"/>
    <w:rsid w:val="000A3EF3"/>
    <w:rsid w:val="000A4040"/>
    <w:rsid w:val="000A4DF2"/>
    <w:rsid w:val="000A4E04"/>
    <w:rsid w:val="000A6207"/>
    <w:rsid w:val="000A67B1"/>
    <w:rsid w:val="000A692F"/>
    <w:rsid w:val="000B16A5"/>
    <w:rsid w:val="000B181E"/>
    <w:rsid w:val="000B1EE8"/>
    <w:rsid w:val="000B20BF"/>
    <w:rsid w:val="000B2275"/>
    <w:rsid w:val="000B2493"/>
    <w:rsid w:val="000B2E59"/>
    <w:rsid w:val="000B2E86"/>
    <w:rsid w:val="000B3B43"/>
    <w:rsid w:val="000B54CE"/>
    <w:rsid w:val="000B5A58"/>
    <w:rsid w:val="000B6DB4"/>
    <w:rsid w:val="000B7360"/>
    <w:rsid w:val="000B7502"/>
    <w:rsid w:val="000C084C"/>
    <w:rsid w:val="000C08BE"/>
    <w:rsid w:val="000C0EF6"/>
    <w:rsid w:val="000C1D27"/>
    <w:rsid w:val="000C1FD9"/>
    <w:rsid w:val="000C5CCE"/>
    <w:rsid w:val="000C5D07"/>
    <w:rsid w:val="000C65D9"/>
    <w:rsid w:val="000C6723"/>
    <w:rsid w:val="000C6A26"/>
    <w:rsid w:val="000D291B"/>
    <w:rsid w:val="000D3FA5"/>
    <w:rsid w:val="000D4847"/>
    <w:rsid w:val="000D551C"/>
    <w:rsid w:val="000D655B"/>
    <w:rsid w:val="000D77A3"/>
    <w:rsid w:val="000E0236"/>
    <w:rsid w:val="000E063C"/>
    <w:rsid w:val="000E0FEA"/>
    <w:rsid w:val="000E1700"/>
    <w:rsid w:val="000E174F"/>
    <w:rsid w:val="000E399E"/>
    <w:rsid w:val="000E3EE5"/>
    <w:rsid w:val="000E427E"/>
    <w:rsid w:val="000E4FE7"/>
    <w:rsid w:val="000E5832"/>
    <w:rsid w:val="000E6461"/>
    <w:rsid w:val="000E6E7D"/>
    <w:rsid w:val="000E7B62"/>
    <w:rsid w:val="000F0115"/>
    <w:rsid w:val="000F0D50"/>
    <w:rsid w:val="000F0EE2"/>
    <w:rsid w:val="000F28E8"/>
    <w:rsid w:val="000F3B1D"/>
    <w:rsid w:val="000F4B58"/>
    <w:rsid w:val="000F4CF9"/>
    <w:rsid w:val="000F5929"/>
    <w:rsid w:val="000F6B7F"/>
    <w:rsid w:val="000F701E"/>
    <w:rsid w:val="000F752B"/>
    <w:rsid w:val="000F7848"/>
    <w:rsid w:val="000F7F89"/>
    <w:rsid w:val="00100BB3"/>
    <w:rsid w:val="001013FE"/>
    <w:rsid w:val="0010179F"/>
    <w:rsid w:val="00101DD7"/>
    <w:rsid w:val="00102CE0"/>
    <w:rsid w:val="0010319D"/>
    <w:rsid w:val="00103474"/>
    <w:rsid w:val="00105E74"/>
    <w:rsid w:val="001072B7"/>
    <w:rsid w:val="001075A9"/>
    <w:rsid w:val="00110177"/>
    <w:rsid w:val="001105E8"/>
    <w:rsid w:val="001106C5"/>
    <w:rsid w:val="00110A6A"/>
    <w:rsid w:val="001113A8"/>
    <w:rsid w:val="00111420"/>
    <w:rsid w:val="00111B52"/>
    <w:rsid w:val="00112381"/>
    <w:rsid w:val="001128C1"/>
    <w:rsid w:val="00113E1E"/>
    <w:rsid w:val="00114597"/>
    <w:rsid w:val="00114901"/>
    <w:rsid w:val="00115879"/>
    <w:rsid w:val="0011731D"/>
    <w:rsid w:val="001176DD"/>
    <w:rsid w:val="001178F0"/>
    <w:rsid w:val="001205AF"/>
    <w:rsid w:val="001205F7"/>
    <w:rsid w:val="00121018"/>
    <w:rsid w:val="001210E7"/>
    <w:rsid w:val="001223FC"/>
    <w:rsid w:val="00122F0E"/>
    <w:rsid w:val="0012317C"/>
    <w:rsid w:val="00123DFC"/>
    <w:rsid w:val="001245C9"/>
    <w:rsid w:val="001245DE"/>
    <w:rsid w:val="001246F1"/>
    <w:rsid w:val="00124D5B"/>
    <w:rsid w:val="00125250"/>
    <w:rsid w:val="00127A69"/>
    <w:rsid w:val="00130B56"/>
    <w:rsid w:val="00130FF4"/>
    <w:rsid w:val="00132069"/>
    <w:rsid w:val="001320AE"/>
    <w:rsid w:val="001323D5"/>
    <w:rsid w:val="001324FB"/>
    <w:rsid w:val="00133CB5"/>
    <w:rsid w:val="0013539D"/>
    <w:rsid w:val="00135637"/>
    <w:rsid w:val="00135A0B"/>
    <w:rsid w:val="00135D8F"/>
    <w:rsid w:val="00136359"/>
    <w:rsid w:val="00140225"/>
    <w:rsid w:val="00140246"/>
    <w:rsid w:val="001413C5"/>
    <w:rsid w:val="00141452"/>
    <w:rsid w:val="001414BE"/>
    <w:rsid w:val="001416E5"/>
    <w:rsid w:val="001425D2"/>
    <w:rsid w:val="00143397"/>
    <w:rsid w:val="00143A75"/>
    <w:rsid w:val="001442DB"/>
    <w:rsid w:val="0014436D"/>
    <w:rsid w:val="001444C7"/>
    <w:rsid w:val="00144A7B"/>
    <w:rsid w:val="00144BA7"/>
    <w:rsid w:val="00144C3D"/>
    <w:rsid w:val="0014556E"/>
    <w:rsid w:val="001464AF"/>
    <w:rsid w:val="00151841"/>
    <w:rsid w:val="00152170"/>
    <w:rsid w:val="001526FC"/>
    <w:rsid w:val="0015314C"/>
    <w:rsid w:val="00153344"/>
    <w:rsid w:val="0015386F"/>
    <w:rsid w:val="0015400D"/>
    <w:rsid w:val="00154596"/>
    <w:rsid w:val="00154E71"/>
    <w:rsid w:val="001551C7"/>
    <w:rsid w:val="00155311"/>
    <w:rsid w:val="00156D00"/>
    <w:rsid w:val="00156FF8"/>
    <w:rsid w:val="00157479"/>
    <w:rsid w:val="001574E4"/>
    <w:rsid w:val="00157701"/>
    <w:rsid w:val="00157D99"/>
    <w:rsid w:val="0016074C"/>
    <w:rsid w:val="0016082D"/>
    <w:rsid w:val="00161BFB"/>
    <w:rsid w:val="0016224E"/>
    <w:rsid w:val="001622F9"/>
    <w:rsid w:val="0016245A"/>
    <w:rsid w:val="00163185"/>
    <w:rsid w:val="001633AB"/>
    <w:rsid w:val="001636DA"/>
    <w:rsid w:val="00164208"/>
    <w:rsid w:val="00164335"/>
    <w:rsid w:val="00164A24"/>
    <w:rsid w:val="001661AF"/>
    <w:rsid w:val="00166B3B"/>
    <w:rsid w:val="00166BBA"/>
    <w:rsid w:val="00167820"/>
    <w:rsid w:val="0017106C"/>
    <w:rsid w:val="00172482"/>
    <w:rsid w:val="00173F26"/>
    <w:rsid w:val="00174ED1"/>
    <w:rsid w:val="0017526C"/>
    <w:rsid w:val="0017601C"/>
    <w:rsid w:val="0017668C"/>
    <w:rsid w:val="001766D9"/>
    <w:rsid w:val="001769CE"/>
    <w:rsid w:val="001774AE"/>
    <w:rsid w:val="001776AB"/>
    <w:rsid w:val="00177852"/>
    <w:rsid w:val="00180127"/>
    <w:rsid w:val="00180F67"/>
    <w:rsid w:val="001811ED"/>
    <w:rsid w:val="001814B2"/>
    <w:rsid w:val="00181618"/>
    <w:rsid w:val="001835C9"/>
    <w:rsid w:val="0018394E"/>
    <w:rsid w:val="001844DF"/>
    <w:rsid w:val="001857C7"/>
    <w:rsid w:val="00185DB6"/>
    <w:rsid w:val="00185EA6"/>
    <w:rsid w:val="00185F8C"/>
    <w:rsid w:val="00187CD9"/>
    <w:rsid w:val="001904B0"/>
    <w:rsid w:val="0019180C"/>
    <w:rsid w:val="00193177"/>
    <w:rsid w:val="001933A0"/>
    <w:rsid w:val="001933DD"/>
    <w:rsid w:val="001936C1"/>
    <w:rsid w:val="001944DF"/>
    <w:rsid w:val="00194B9D"/>
    <w:rsid w:val="00195473"/>
    <w:rsid w:val="00195653"/>
    <w:rsid w:val="001959D4"/>
    <w:rsid w:val="00195FB9"/>
    <w:rsid w:val="001965F0"/>
    <w:rsid w:val="00196DDE"/>
    <w:rsid w:val="00197C56"/>
    <w:rsid w:val="00197E1C"/>
    <w:rsid w:val="001A0D50"/>
    <w:rsid w:val="001A25FE"/>
    <w:rsid w:val="001A3051"/>
    <w:rsid w:val="001A49A5"/>
    <w:rsid w:val="001A5B2B"/>
    <w:rsid w:val="001A5ECD"/>
    <w:rsid w:val="001B0522"/>
    <w:rsid w:val="001B0531"/>
    <w:rsid w:val="001B0976"/>
    <w:rsid w:val="001B0B5A"/>
    <w:rsid w:val="001B10F9"/>
    <w:rsid w:val="001B1993"/>
    <w:rsid w:val="001B1CBC"/>
    <w:rsid w:val="001B1CCA"/>
    <w:rsid w:val="001B1CF6"/>
    <w:rsid w:val="001B26B5"/>
    <w:rsid w:val="001B4AEC"/>
    <w:rsid w:val="001B509E"/>
    <w:rsid w:val="001B51D9"/>
    <w:rsid w:val="001B5A04"/>
    <w:rsid w:val="001B6DC7"/>
    <w:rsid w:val="001B6FCC"/>
    <w:rsid w:val="001B7410"/>
    <w:rsid w:val="001B7C1E"/>
    <w:rsid w:val="001C0A7A"/>
    <w:rsid w:val="001C0B16"/>
    <w:rsid w:val="001C4422"/>
    <w:rsid w:val="001C4931"/>
    <w:rsid w:val="001C4D39"/>
    <w:rsid w:val="001C4E7D"/>
    <w:rsid w:val="001C4F11"/>
    <w:rsid w:val="001C57B4"/>
    <w:rsid w:val="001C603A"/>
    <w:rsid w:val="001C6452"/>
    <w:rsid w:val="001C6BD2"/>
    <w:rsid w:val="001C6CDC"/>
    <w:rsid w:val="001C7016"/>
    <w:rsid w:val="001C734E"/>
    <w:rsid w:val="001D06C7"/>
    <w:rsid w:val="001D06E6"/>
    <w:rsid w:val="001D076B"/>
    <w:rsid w:val="001D0B6D"/>
    <w:rsid w:val="001D1072"/>
    <w:rsid w:val="001D22D2"/>
    <w:rsid w:val="001D24A1"/>
    <w:rsid w:val="001D4F04"/>
    <w:rsid w:val="001D5107"/>
    <w:rsid w:val="001D5DA0"/>
    <w:rsid w:val="001D60BD"/>
    <w:rsid w:val="001D6268"/>
    <w:rsid w:val="001D69D2"/>
    <w:rsid w:val="001E0870"/>
    <w:rsid w:val="001E0C26"/>
    <w:rsid w:val="001E1459"/>
    <w:rsid w:val="001E16F1"/>
    <w:rsid w:val="001E1A1E"/>
    <w:rsid w:val="001E2734"/>
    <w:rsid w:val="001E2E7C"/>
    <w:rsid w:val="001E30AB"/>
    <w:rsid w:val="001E3601"/>
    <w:rsid w:val="001E3C7E"/>
    <w:rsid w:val="001E41AE"/>
    <w:rsid w:val="001E4966"/>
    <w:rsid w:val="001E4BE3"/>
    <w:rsid w:val="001E504C"/>
    <w:rsid w:val="001E514C"/>
    <w:rsid w:val="001E5208"/>
    <w:rsid w:val="001E5C25"/>
    <w:rsid w:val="001E6577"/>
    <w:rsid w:val="001E6CAF"/>
    <w:rsid w:val="001E6DC7"/>
    <w:rsid w:val="001E705D"/>
    <w:rsid w:val="001F0960"/>
    <w:rsid w:val="001F0DA9"/>
    <w:rsid w:val="001F1CA7"/>
    <w:rsid w:val="001F2601"/>
    <w:rsid w:val="001F3E93"/>
    <w:rsid w:val="001F47C1"/>
    <w:rsid w:val="001F5313"/>
    <w:rsid w:val="001F534A"/>
    <w:rsid w:val="001F570C"/>
    <w:rsid w:val="001F5C1A"/>
    <w:rsid w:val="001F5C4D"/>
    <w:rsid w:val="001F5F94"/>
    <w:rsid w:val="001F689B"/>
    <w:rsid w:val="001F79DE"/>
    <w:rsid w:val="001F7B29"/>
    <w:rsid w:val="002018BA"/>
    <w:rsid w:val="00201B7D"/>
    <w:rsid w:val="00202C47"/>
    <w:rsid w:val="00202D78"/>
    <w:rsid w:val="00203699"/>
    <w:rsid w:val="0020394B"/>
    <w:rsid w:val="002047C6"/>
    <w:rsid w:val="00205340"/>
    <w:rsid w:val="00205C8F"/>
    <w:rsid w:val="00205D2A"/>
    <w:rsid w:val="00205F6F"/>
    <w:rsid w:val="00206511"/>
    <w:rsid w:val="00206D92"/>
    <w:rsid w:val="00207967"/>
    <w:rsid w:val="00207BBC"/>
    <w:rsid w:val="00210C3E"/>
    <w:rsid w:val="002115BB"/>
    <w:rsid w:val="00211EF9"/>
    <w:rsid w:val="0021220A"/>
    <w:rsid w:val="0021222A"/>
    <w:rsid w:val="00213708"/>
    <w:rsid w:val="00214156"/>
    <w:rsid w:val="00215226"/>
    <w:rsid w:val="0021686E"/>
    <w:rsid w:val="00217216"/>
    <w:rsid w:val="00220945"/>
    <w:rsid w:val="00221E1A"/>
    <w:rsid w:val="00222738"/>
    <w:rsid w:val="00222D20"/>
    <w:rsid w:val="002236AE"/>
    <w:rsid w:val="00223A7E"/>
    <w:rsid w:val="00224ACB"/>
    <w:rsid w:val="00225E5F"/>
    <w:rsid w:val="00226285"/>
    <w:rsid w:val="00226355"/>
    <w:rsid w:val="002269D9"/>
    <w:rsid w:val="00226EE4"/>
    <w:rsid w:val="00227E48"/>
    <w:rsid w:val="00227EED"/>
    <w:rsid w:val="0023001C"/>
    <w:rsid w:val="002305C1"/>
    <w:rsid w:val="00230939"/>
    <w:rsid w:val="00231486"/>
    <w:rsid w:val="0023157C"/>
    <w:rsid w:val="00231926"/>
    <w:rsid w:val="0023196E"/>
    <w:rsid w:val="002320A2"/>
    <w:rsid w:val="0023240D"/>
    <w:rsid w:val="00232888"/>
    <w:rsid w:val="00232C65"/>
    <w:rsid w:val="00232F6B"/>
    <w:rsid w:val="002335A3"/>
    <w:rsid w:val="00234637"/>
    <w:rsid w:val="00234E5C"/>
    <w:rsid w:val="0023575E"/>
    <w:rsid w:val="002368C6"/>
    <w:rsid w:val="00237078"/>
    <w:rsid w:val="00237DB9"/>
    <w:rsid w:val="00237E45"/>
    <w:rsid w:val="0024028D"/>
    <w:rsid w:val="002403CF"/>
    <w:rsid w:val="00240936"/>
    <w:rsid w:val="00240F27"/>
    <w:rsid w:val="002419DC"/>
    <w:rsid w:val="00241CBC"/>
    <w:rsid w:val="002426BA"/>
    <w:rsid w:val="00242C60"/>
    <w:rsid w:val="00243984"/>
    <w:rsid w:val="002449D4"/>
    <w:rsid w:val="00244C79"/>
    <w:rsid w:val="00244F36"/>
    <w:rsid w:val="002451E4"/>
    <w:rsid w:val="0024522F"/>
    <w:rsid w:val="00245D77"/>
    <w:rsid w:val="00245F29"/>
    <w:rsid w:val="0024646E"/>
    <w:rsid w:val="00246584"/>
    <w:rsid w:val="0024770C"/>
    <w:rsid w:val="002504F7"/>
    <w:rsid w:val="0025105A"/>
    <w:rsid w:val="0025209D"/>
    <w:rsid w:val="00252C1E"/>
    <w:rsid w:val="00253F30"/>
    <w:rsid w:val="002541E8"/>
    <w:rsid w:val="0025439C"/>
    <w:rsid w:val="0025454A"/>
    <w:rsid w:val="00255A6F"/>
    <w:rsid w:val="00256318"/>
    <w:rsid w:val="0025704A"/>
    <w:rsid w:val="00260112"/>
    <w:rsid w:val="0026100C"/>
    <w:rsid w:val="0026189F"/>
    <w:rsid w:val="0026195C"/>
    <w:rsid w:val="00261FC9"/>
    <w:rsid w:val="00262F4D"/>
    <w:rsid w:val="00263AFC"/>
    <w:rsid w:val="00264472"/>
    <w:rsid w:val="00264F1D"/>
    <w:rsid w:val="00264F63"/>
    <w:rsid w:val="002650C3"/>
    <w:rsid w:val="0026604C"/>
    <w:rsid w:val="00266CDB"/>
    <w:rsid w:val="00266DCA"/>
    <w:rsid w:val="00270413"/>
    <w:rsid w:val="002707D4"/>
    <w:rsid w:val="00273192"/>
    <w:rsid w:val="002737C4"/>
    <w:rsid w:val="0027440A"/>
    <w:rsid w:val="00274DD0"/>
    <w:rsid w:val="0027694F"/>
    <w:rsid w:val="00276EC8"/>
    <w:rsid w:val="00277091"/>
    <w:rsid w:val="0028014D"/>
    <w:rsid w:val="00280916"/>
    <w:rsid w:val="0028124B"/>
    <w:rsid w:val="00282854"/>
    <w:rsid w:val="00282A9C"/>
    <w:rsid w:val="00283347"/>
    <w:rsid w:val="002851EF"/>
    <w:rsid w:val="00285E0E"/>
    <w:rsid w:val="00285E63"/>
    <w:rsid w:val="00287216"/>
    <w:rsid w:val="00291982"/>
    <w:rsid w:val="0029293B"/>
    <w:rsid w:val="002933FD"/>
    <w:rsid w:val="00293F13"/>
    <w:rsid w:val="0029428A"/>
    <w:rsid w:val="00294338"/>
    <w:rsid w:val="00294E01"/>
    <w:rsid w:val="00295401"/>
    <w:rsid w:val="00295963"/>
    <w:rsid w:val="00295DAD"/>
    <w:rsid w:val="00296718"/>
    <w:rsid w:val="002969BE"/>
    <w:rsid w:val="00296E43"/>
    <w:rsid w:val="0029729D"/>
    <w:rsid w:val="00297C2C"/>
    <w:rsid w:val="002A0432"/>
    <w:rsid w:val="002A0F13"/>
    <w:rsid w:val="002A126E"/>
    <w:rsid w:val="002A16DF"/>
    <w:rsid w:val="002A2022"/>
    <w:rsid w:val="002A26EA"/>
    <w:rsid w:val="002A5663"/>
    <w:rsid w:val="002A5908"/>
    <w:rsid w:val="002A67A1"/>
    <w:rsid w:val="002A686B"/>
    <w:rsid w:val="002A6C85"/>
    <w:rsid w:val="002A719F"/>
    <w:rsid w:val="002A7233"/>
    <w:rsid w:val="002A7A61"/>
    <w:rsid w:val="002B0441"/>
    <w:rsid w:val="002B08F5"/>
    <w:rsid w:val="002B0D5B"/>
    <w:rsid w:val="002B1937"/>
    <w:rsid w:val="002B19F2"/>
    <w:rsid w:val="002B1E4B"/>
    <w:rsid w:val="002B21EC"/>
    <w:rsid w:val="002B2756"/>
    <w:rsid w:val="002B3823"/>
    <w:rsid w:val="002B3C8A"/>
    <w:rsid w:val="002B40AF"/>
    <w:rsid w:val="002B430C"/>
    <w:rsid w:val="002B45B3"/>
    <w:rsid w:val="002B4853"/>
    <w:rsid w:val="002B4B7C"/>
    <w:rsid w:val="002B5029"/>
    <w:rsid w:val="002C001B"/>
    <w:rsid w:val="002C0962"/>
    <w:rsid w:val="002C0C05"/>
    <w:rsid w:val="002C0CF3"/>
    <w:rsid w:val="002C143B"/>
    <w:rsid w:val="002C18AA"/>
    <w:rsid w:val="002C2C6E"/>
    <w:rsid w:val="002C3724"/>
    <w:rsid w:val="002C428D"/>
    <w:rsid w:val="002C4CFB"/>
    <w:rsid w:val="002C5B2A"/>
    <w:rsid w:val="002C618E"/>
    <w:rsid w:val="002C642C"/>
    <w:rsid w:val="002C6AE5"/>
    <w:rsid w:val="002C7779"/>
    <w:rsid w:val="002C7DBC"/>
    <w:rsid w:val="002C7E8D"/>
    <w:rsid w:val="002D005A"/>
    <w:rsid w:val="002D0181"/>
    <w:rsid w:val="002D0D3E"/>
    <w:rsid w:val="002D1457"/>
    <w:rsid w:val="002D1A43"/>
    <w:rsid w:val="002D1B57"/>
    <w:rsid w:val="002D26C0"/>
    <w:rsid w:val="002D3420"/>
    <w:rsid w:val="002D4058"/>
    <w:rsid w:val="002D4F98"/>
    <w:rsid w:val="002D543C"/>
    <w:rsid w:val="002D58F5"/>
    <w:rsid w:val="002D6233"/>
    <w:rsid w:val="002D776E"/>
    <w:rsid w:val="002D7885"/>
    <w:rsid w:val="002D78A2"/>
    <w:rsid w:val="002E05AD"/>
    <w:rsid w:val="002E0BC1"/>
    <w:rsid w:val="002E14D0"/>
    <w:rsid w:val="002E1A7B"/>
    <w:rsid w:val="002E1B4E"/>
    <w:rsid w:val="002E3084"/>
    <w:rsid w:val="002E3333"/>
    <w:rsid w:val="002E3775"/>
    <w:rsid w:val="002E3A30"/>
    <w:rsid w:val="002E3A56"/>
    <w:rsid w:val="002E4327"/>
    <w:rsid w:val="002E4409"/>
    <w:rsid w:val="002E4739"/>
    <w:rsid w:val="002E4C8E"/>
    <w:rsid w:val="002E5047"/>
    <w:rsid w:val="002E5D44"/>
    <w:rsid w:val="002E628C"/>
    <w:rsid w:val="002E6715"/>
    <w:rsid w:val="002E6FF7"/>
    <w:rsid w:val="002E7733"/>
    <w:rsid w:val="002E788F"/>
    <w:rsid w:val="002E7C4B"/>
    <w:rsid w:val="002F07B9"/>
    <w:rsid w:val="002F09C3"/>
    <w:rsid w:val="002F141E"/>
    <w:rsid w:val="002F1C81"/>
    <w:rsid w:val="002F2906"/>
    <w:rsid w:val="002F2FD6"/>
    <w:rsid w:val="002F3D7C"/>
    <w:rsid w:val="002F4482"/>
    <w:rsid w:val="002F4AAF"/>
    <w:rsid w:val="002F61BD"/>
    <w:rsid w:val="002F683C"/>
    <w:rsid w:val="002F7B8E"/>
    <w:rsid w:val="0030063D"/>
    <w:rsid w:val="0030168A"/>
    <w:rsid w:val="0030237D"/>
    <w:rsid w:val="003029A8"/>
    <w:rsid w:val="00302DC1"/>
    <w:rsid w:val="00303581"/>
    <w:rsid w:val="00303821"/>
    <w:rsid w:val="00305451"/>
    <w:rsid w:val="003068D0"/>
    <w:rsid w:val="003068EC"/>
    <w:rsid w:val="003069BA"/>
    <w:rsid w:val="00311F4D"/>
    <w:rsid w:val="003134D4"/>
    <w:rsid w:val="00313C8E"/>
    <w:rsid w:val="00313DFB"/>
    <w:rsid w:val="003144A3"/>
    <w:rsid w:val="00314A1E"/>
    <w:rsid w:val="0031577D"/>
    <w:rsid w:val="00315C47"/>
    <w:rsid w:val="00316114"/>
    <w:rsid w:val="003165F3"/>
    <w:rsid w:val="00316C45"/>
    <w:rsid w:val="00316D62"/>
    <w:rsid w:val="00316D7E"/>
    <w:rsid w:val="0031718D"/>
    <w:rsid w:val="00317D14"/>
    <w:rsid w:val="0032062D"/>
    <w:rsid w:val="003211C9"/>
    <w:rsid w:val="003213B9"/>
    <w:rsid w:val="00322695"/>
    <w:rsid w:val="003234D0"/>
    <w:rsid w:val="00323CE9"/>
    <w:rsid w:val="003242A5"/>
    <w:rsid w:val="00325A8B"/>
    <w:rsid w:val="00325AC2"/>
    <w:rsid w:val="003263C3"/>
    <w:rsid w:val="003263DB"/>
    <w:rsid w:val="003272B9"/>
    <w:rsid w:val="00327EC4"/>
    <w:rsid w:val="00330401"/>
    <w:rsid w:val="00332312"/>
    <w:rsid w:val="003327CC"/>
    <w:rsid w:val="003328F5"/>
    <w:rsid w:val="00332C84"/>
    <w:rsid w:val="003334CC"/>
    <w:rsid w:val="0033419C"/>
    <w:rsid w:val="003341FF"/>
    <w:rsid w:val="003343A4"/>
    <w:rsid w:val="003345E4"/>
    <w:rsid w:val="0033481F"/>
    <w:rsid w:val="00335B80"/>
    <w:rsid w:val="00335C75"/>
    <w:rsid w:val="003365B3"/>
    <w:rsid w:val="003367B5"/>
    <w:rsid w:val="003375C8"/>
    <w:rsid w:val="003378A7"/>
    <w:rsid w:val="00340007"/>
    <w:rsid w:val="003401A8"/>
    <w:rsid w:val="0034024B"/>
    <w:rsid w:val="00340697"/>
    <w:rsid w:val="00340A4D"/>
    <w:rsid w:val="00340E7D"/>
    <w:rsid w:val="003414AC"/>
    <w:rsid w:val="00341B57"/>
    <w:rsid w:val="00341B5C"/>
    <w:rsid w:val="003421DA"/>
    <w:rsid w:val="00342B08"/>
    <w:rsid w:val="003438AE"/>
    <w:rsid w:val="00343C26"/>
    <w:rsid w:val="00343CB4"/>
    <w:rsid w:val="0034436F"/>
    <w:rsid w:val="00344828"/>
    <w:rsid w:val="00345464"/>
    <w:rsid w:val="00346200"/>
    <w:rsid w:val="003462A0"/>
    <w:rsid w:val="003469AE"/>
    <w:rsid w:val="00346F80"/>
    <w:rsid w:val="0034720B"/>
    <w:rsid w:val="003474B2"/>
    <w:rsid w:val="003475C9"/>
    <w:rsid w:val="00347686"/>
    <w:rsid w:val="003479EB"/>
    <w:rsid w:val="00347F9C"/>
    <w:rsid w:val="00350543"/>
    <w:rsid w:val="00350F18"/>
    <w:rsid w:val="0035169F"/>
    <w:rsid w:val="00351F9D"/>
    <w:rsid w:val="0035263E"/>
    <w:rsid w:val="00352E4B"/>
    <w:rsid w:val="003565C1"/>
    <w:rsid w:val="003565EB"/>
    <w:rsid w:val="00356904"/>
    <w:rsid w:val="00357E41"/>
    <w:rsid w:val="003605F9"/>
    <w:rsid w:val="003606CA"/>
    <w:rsid w:val="0036157E"/>
    <w:rsid w:val="00361637"/>
    <w:rsid w:val="00361D0F"/>
    <w:rsid w:val="00363016"/>
    <w:rsid w:val="003647D5"/>
    <w:rsid w:val="003659D7"/>
    <w:rsid w:val="00365AED"/>
    <w:rsid w:val="00366AC6"/>
    <w:rsid w:val="00366BAF"/>
    <w:rsid w:val="00366C5C"/>
    <w:rsid w:val="00366E15"/>
    <w:rsid w:val="00367B44"/>
    <w:rsid w:val="003708DA"/>
    <w:rsid w:val="00370C91"/>
    <w:rsid w:val="00371ACF"/>
    <w:rsid w:val="00371F52"/>
    <w:rsid w:val="00372A51"/>
    <w:rsid w:val="0037404A"/>
    <w:rsid w:val="0037448F"/>
    <w:rsid w:val="00374E28"/>
    <w:rsid w:val="003750BD"/>
    <w:rsid w:val="0037532F"/>
    <w:rsid w:val="003757E0"/>
    <w:rsid w:val="00375DBE"/>
    <w:rsid w:val="00375F1A"/>
    <w:rsid w:val="0037636D"/>
    <w:rsid w:val="003765F1"/>
    <w:rsid w:val="00376C4F"/>
    <w:rsid w:val="00377A0B"/>
    <w:rsid w:val="00377F51"/>
    <w:rsid w:val="00380357"/>
    <w:rsid w:val="00380FC6"/>
    <w:rsid w:val="0038190B"/>
    <w:rsid w:val="00381B4B"/>
    <w:rsid w:val="00381E7C"/>
    <w:rsid w:val="00382270"/>
    <w:rsid w:val="00383CE8"/>
    <w:rsid w:val="0038402B"/>
    <w:rsid w:val="003843EE"/>
    <w:rsid w:val="003844B4"/>
    <w:rsid w:val="00384570"/>
    <w:rsid w:val="003849F6"/>
    <w:rsid w:val="00384EC7"/>
    <w:rsid w:val="00385BA2"/>
    <w:rsid w:val="00386DC0"/>
    <w:rsid w:val="00386FBD"/>
    <w:rsid w:val="00387A07"/>
    <w:rsid w:val="00387FA6"/>
    <w:rsid w:val="00390126"/>
    <w:rsid w:val="00390145"/>
    <w:rsid w:val="0039078D"/>
    <w:rsid w:val="003907DA"/>
    <w:rsid w:val="00390955"/>
    <w:rsid w:val="00392B4E"/>
    <w:rsid w:val="00395DF9"/>
    <w:rsid w:val="00397D79"/>
    <w:rsid w:val="00397FB0"/>
    <w:rsid w:val="003A08E3"/>
    <w:rsid w:val="003A1560"/>
    <w:rsid w:val="003A4B75"/>
    <w:rsid w:val="003A4D91"/>
    <w:rsid w:val="003A570E"/>
    <w:rsid w:val="003A6A4A"/>
    <w:rsid w:val="003A7D0F"/>
    <w:rsid w:val="003B0232"/>
    <w:rsid w:val="003B1636"/>
    <w:rsid w:val="003B1816"/>
    <w:rsid w:val="003B1CFC"/>
    <w:rsid w:val="003B2006"/>
    <w:rsid w:val="003B23E9"/>
    <w:rsid w:val="003B2BDE"/>
    <w:rsid w:val="003B2C06"/>
    <w:rsid w:val="003B2CD9"/>
    <w:rsid w:val="003B2D9C"/>
    <w:rsid w:val="003B4E71"/>
    <w:rsid w:val="003B5C79"/>
    <w:rsid w:val="003B607A"/>
    <w:rsid w:val="003B692F"/>
    <w:rsid w:val="003B6AB7"/>
    <w:rsid w:val="003B7191"/>
    <w:rsid w:val="003B7869"/>
    <w:rsid w:val="003C025B"/>
    <w:rsid w:val="003C0822"/>
    <w:rsid w:val="003C1CE9"/>
    <w:rsid w:val="003C21AB"/>
    <w:rsid w:val="003C2775"/>
    <w:rsid w:val="003C3C1F"/>
    <w:rsid w:val="003C458B"/>
    <w:rsid w:val="003C4B7C"/>
    <w:rsid w:val="003C74FC"/>
    <w:rsid w:val="003C770E"/>
    <w:rsid w:val="003D292B"/>
    <w:rsid w:val="003D2F97"/>
    <w:rsid w:val="003D3039"/>
    <w:rsid w:val="003D3B2A"/>
    <w:rsid w:val="003D4888"/>
    <w:rsid w:val="003D5CD2"/>
    <w:rsid w:val="003D5D9A"/>
    <w:rsid w:val="003D7CF1"/>
    <w:rsid w:val="003E146D"/>
    <w:rsid w:val="003E1715"/>
    <w:rsid w:val="003E2B6D"/>
    <w:rsid w:val="003E2F48"/>
    <w:rsid w:val="003E3C89"/>
    <w:rsid w:val="003E400D"/>
    <w:rsid w:val="003F0EA7"/>
    <w:rsid w:val="003F1689"/>
    <w:rsid w:val="003F23C9"/>
    <w:rsid w:val="003F25FE"/>
    <w:rsid w:val="003F2FE9"/>
    <w:rsid w:val="003F35ED"/>
    <w:rsid w:val="003F4488"/>
    <w:rsid w:val="003F4580"/>
    <w:rsid w:val="003F5C74"/>
    <w:rsid w:val="003F6C0E"/>
    <w:rsid w:val="00400533"/>
    <w:rsid w:val="004009A0"/>
    <w:rsid w:val="00400F84"/>
    <w:rsid w:val="00401D51"/>
    <w:rsid w:val="0040243B"/>
    <w:rsid w:val="004024D6"/>
    <w:rsid w:val="00402ABE"/>
    <w:rsid w:val="00402B5C"/>
    <w:rsid w:val="00402B6C"/>
    <w:rsid w:val="00402D5B"/>
    <w:rsid w:val="0040317B"/>
    <w:rsid w:val="0040355B"/>
    <w:rsid w:val="00403CBB"/>
    <w:rsid w:val="004049BE"/>
    <w:rsid w:val="00404B0F"/>
    <w:rsid w:val="004062C1"/>
    <w:rsid w:val="0040641F"/>
    <w:rsid w:val="004077DA"/>
    <w:rsid w:val="004078A9"/>
    <w:rsid w:val="004079C9"/>
    <w:rsid w:val="004100D3"/>
    <w:rsid w:val="004103F3"/>
    <w:rsid w:val="00410CC2"/>
    <w:rsid w:val="00410D06"/>
    <w:rsid w:val="004114B8"/>
    <w:rsid w:val="0041192E"/>
    <w:rsid w:val="004121F6"/>
    <w:rsid w:val="00412689"/>
    <w:rsid w:val="004130B2"/>
    <w:rsid w:val="00414A43"/>
    <w:rsid w:val="00415C20"/>
    <w:rsid w:val="004162EA"/>
    <w:rsid w:val="00417D21"/>
    <w:rsid w:val="00417D83"/>
    <w:rsid w:val="0042180E"/>
    <w:rsid w:val="00422268"/>
    <w:rsid w:val="00422457"/>
    <w:rsid w:val="00422687"/>
    <w:rsid w:val="00422B86"/>
    <w:rsid w:val="00423608"/>
    <w:rsid w:val="00423E36"/>
    <w:rsid w:val="0042506C"/>
    <w:rsid w:val="004253D9"/>
    <w:rsid w:val="0042549F"/>
    <w:rsid w:val="004256D6"/>
    <w:rsid w:val="004269B4"/>
    <w:rsid w:val="004274D3"/>
    <w:rsid w:val="00427646"/>
    <w:rsid w:val="00427AD7"/>
    <w:rsid w:val="00430036"/>
    <w:rsid w:val="00431482"/>
    <w:rsid w:val="00431D17"/>
    <w:rsid w:val="00431E76"/>
    <w:rsid w:val="00432BE1"/>
    <w:rsid w:val="00433587"/>
    <w:rsid w:val="00433DD3"/>
    <w:rsid w:val="0043412B"/>
    <w:rsid w:val="004342C8"/>
    <w:rsid w:val="00434926"/>
    <w:rsid w:val="00434C9E"/>
    <w:rsid w:val="00435B61"/>
    <w:rsid w:val="004369B3"/>
    <w:rsid w:val="00436CEB"/>
    <w:rsid w:val="00437772"/>
    <w:rsid w:val="00437E12"/>
    <w:rsid w:val="00441B05"/>
    <w:rsid w:val="00442820"/>
    <w:rsid w:val="004431BE"/>
    <w:rsid w:val="00444240"/>
    <w:rsid w:val="0044439A"/>
    <w:rsid w:val="00444DA7"/>
    <w:rsid w:val="0044727E"/>
    <w:rsid w:val="00447CFB"/>
    <w:rsid w:val="00451A88"/>
    <w:rsid w:val="0045241C"/>
    <w:rsid w:val="00452565"/>
    <w:rsid w:val="00452906"/>
    <w:rsid w:val="00453715"/>
    <w:rsid w:val="00454045"/>
    <w:rsid w:val="00455615"/>
    <w:rsid w:val="00455998"/>
    <w:rsid w:val="0045654C"/>
    <w:rsid w:val="0045656C"/>
    <w:rsid w:val="00456613"/>
    <w:rsid w:val="00456C9A"/>
    <w:rsid w:val="00457979"/>
    <w:rsid w:val="00457FF3"/>
    <w:rsid w:val="00460A5E"/>
    <w:rsid w:val="0046154C"/>
    <w:rsid w:val="0046299F"/>
    <w:rsid w:val="0046359B"/>
    <w:rsid w:val="004638FB"/>
    <w:rsid w:val="00463C10"/>
    <w:rsid w:val="00464A3A"/>
    <w:rsid w:val="00465359"/>
    <w:rsid w:val="00466176"/>
    <w:rsid w:val="00466B1C"/>
    <w:rsid w:val="00466EAF"/>
    <w:rsid w:val="00466EF6"/>
    <w:rsid w:val="00467B2B"/>
    <w:rsid w:val="00470735"/>
    <w:rsid w:val="00470C92"/>
    <w:rsid w:val="00470F26"/>
    <w:rsid w:val="004712AC"/>
    <w:rsid w:val="0047135E"/>
    <w:rsid w:val="0047222E"/>
    <w:rsid w:val="00472B97"/>
    <w:rsid w:val="00472C05"/>
    <w:rsid w:val="00472DD6"/>
    <w:rsid w:val="004731CA"/>
    <w:rsid w:val="00473E11"/>
    <w:rsid w:val="004747B1"/>
    <w:rsid w:val="00474881"/>
    <w:rsid w:val="0047528E"/>
    <w:rsid w:val="00475449"/>
    <w:rsid w:val="004768BA"/>
    <w:rsid w:val="0047697A"/>
    <w:rsid w:val="0048223E"/>
    <w:rsid w:val="004829B6"/>
    <w:rsid w:val="00482F3D"/>
    <w:rsid w:val="00483268"/>
    <w:rsid w:val="00485EE6"/>
    <w:rsid w:val="00486071"/>
    <w:rsid w:val="00486138"/>
    <w:rsid w:val="0048688F"/>
    <w:rsid w:val="004878B4"/>
    <w:rsid w:val="00491BB3"/>
    <w:rsid w:val="0049209F"/>
    <w:rsid w:val="004924F0"/>
    <w:rsid w:val="00492D3F"/>
    <w:rsid w:val="00493D96"/>
    <w:rsid w:val="00494163"/>
    <w:rsid w:val="00496A8A"/>
    <w:rsid w:val="00496E8D"/>
    <w:rsid w:val="00497B45"/>
    <w:rsid w:val="00497D79"/>
    <w:rsid w:val="00497F3F"/>
    <w:rsid w:val="004A0385"/>
    <w:rsid w:val="004A118C"/>
    <w:rsid w:val="004A19EA"/>
    <w:rsid w:val="004A1E04"/>
    <w:rsid w:val="004A212C"/>
    <w:rsid w:val="004A2BFC"/>
    <w:rsid w:val="004A42FC"/>
    <w:rsid w:val="004A6733"/>
    <w:rsid w:val="004A68FC"/>
    <w:rsid w:val="004A7677"/>
    <w:rsid w:val="004B199B"/>
    <w:rsid w:val="004B1BC6"/>
    <w:rsid w:val="004B1ED9"/>
    <w:rsid w:val="004B2F01"/>
    <w:rsid w:val="004B37A3"/>
    <w:rsid w:val="004B3E88"/>
    <w:rsid w:val="004B4423"/>
    <w:rsid w:val="004B6DD1"/>
    <w:rsid w:val="004B6FCF"/>
    <w:rsid w:val="004B78E2"/>
    <w:rsid w:val="004C220B"/>
    <w:rsid w:val="004C30E0"/>
    <w:rsid w:val="004C3A80"/>
    <w:rsid w:val="004C3D6D"/>
    <w:rsid w:val="004C457F"/>
    <w:rsid w:val="004C4F9D"/>
    <w:rsid w:val="004C50D8"/>
    <w:rsid w:val="004C51C3"/>
    <w:rsid w:val="004C5A96"/>
    <w:rsid w:val="004C6814"/>
    <w:rsid w:val="004C6F1F"/>
    <w:rsid w:val="004C7DB9"/>
    <w:rsid w:val="004C7DF7"/>
    <w:rsid w:val="004C7EAC"/>
    <w:rsid w:val="004D01E2"/>
    <w:rsid w:val="004D0867"/>
    <w:rsid w:val="004D147E"/>
    <w:rsid w:val="004D1ADC"/>
    <w:rsid w:val="004D2150"/>
    <w:rsid w:val="004D29D5"/>
    <w:rsid w:val="004D2FC9"/>
    <w:rsid w:val="004D3C9F"/>
    <w:rsid w:val="004D3F9F"/>
    <w:rsid w:val="004D4165"/>
    <w:rsid w:val="004D43A6"/>
    <w:rsid w:val="004D487C"/>
    <w:rsid w:val="004D5E16"/>
    <w:rsid w:val="004D6F29"/>
    <w:rsid w:val="004E12EE"/>
    <w:rsid w:val="004E2933"/>
    <w:rsid w:val="004E38CE"/>
    <w:rsid w:val="004E3FA3"/>
    <w:rsid w:val="004E419F"/>
    <w:rsid w:val="004E4FA7"/>
    <w:rsid w:val="004E59E3"/>
    <w:rsid w:val="004E6173"/>
    <w:rsid w:val="004E64BD"/>
    <w:rsid w:val="004F09A2"/>
    <w:rsid w:val="004F0B72"/>
    <w:rsid w:val="004F1CE2"/>
    <w:rsid w:val="004F1F4F"/>
    <w:rsid w:val="004F556F"/>
    <w:rsid w:val="004F5BC9"/>
    <w:rsid w:val="004F60D6"/>
    <w:rsid w:val="004F6110"/>
    <w:rsid w:val="004F6428"/>
    <w:rsid w:val="004F6EBF"/>
    <w:rsid w:val="00500A9E"/>
    <w:rsid w:val="00503563"/>
    <w:rsid w:val="0050416F"/>
    <w:rsid w:val="00504C2E"/>
    <w:rsid w:val="00504DAB"/>
    <w:rsid w:val="00504EC6"/>
    <w:rsid w:val="005061F8"/>
    <w:rsid w:val="00506238"/>
    <w:rsid w:val="00506430"/>
    <w:rsid w:val="00506EDE"/>
    <w:rsid w:val="00506EE2"/>
    <w:rsid w:val="00507AB0"/>
    <w:rsid w:val="00510276"/>
    <w:rsid w:val="005108C7"/>
    <w:rsid w:val="005109E2"/>
    <w:rsid w:val="00511C9A"/>
    <w:rsid w:val="0051221A"/>
    <w:rsid w:val="00512391"/>
    <w:rsid w:val="00512AA4"/>
    <w:rsid w:val="00512D7B"/>
    <w:rsid w:val="00512EB4"/>
    <w:rsid w:val="00513092"/>
    <w:rsid w:val="00513E4F"/>
    <w:rsid w:val="00514F49"/>
    <w:rsid w:val="00515A60"/>
    <w:rsid w:val="0051600A"/>
    <w:rsid w:val="00516184"/>
    <w:rsid w:val="0051666B"/>
    <w:rsid w:val="005170E7"/>
    <w:rsid w:val="0052049A"/>
    <w:rsid w:val="00520F1E"/>
    <w:rsid w:val="00521AD4"/>
    <w:rsid w:val="0052208F"/>
    <w:rsid w:val="00523526"/>
    <w:rsid w:val="005239C8"/>
    <w:rsid w:val="00524011"/>
    <w:rsid w:val="005240FA"/>
    <w:rsid w:val="005255CC"/>
    <w:rsid w:val="0052735E"/>
    <w:rsid w:val="005309B4"/>
    <w:rsid w:val="00530CF0"/>
    <w:rsid w:val="005314E7"/>
    <w:rsid w:val="00531952"/>
    <w:rsid w:val="005319EE"/>
    <w:rsid w:val="00532340"/>
    <w:rsid w:val="0053403E"/>
    <w:rsid w:val="0053411B"/>
    <w:rsid w:val="0053473D"/>
    <w:rsid w:val="0053478E"/>
    <w:rsid w:val="00534B6E"/>
    <w:rsid w:val="00534EFF"/>
    <w:rsid w:val="00536911"/>
    <w:rsid w:val="0054007D"/>
    <w:rsid w:val="005414C9"/>
    <w:rsid w:val="00541F69"/>
    <w:rsid w:val="0054392D"/>
    <w:rsid w:val="00543BEF"/>
    <w:rsid w:val="00543D1B"/>
    <w:rsid w:val="00543F9F"/>
    <w:rsid w:val="005447BC"/>
    <w:rsid w:val="00544AB3"/>
    <w:rsid w:val="00544B58"/>
    <w:rsid w:val="00544E42"/>
    <w:rsid w:val="00545529"/>
    <w:rsid w:val="00546973"/>
    <w:rsid w:val="00546DA0"/>
    <w:rsid w:val="00550899"/>
    <w:rsid w:val="00552130"/>
    <w:rsid w:val="00552382"/>
    <w:rsid w:val="00552D4A"/>
    <w:rsid w:val="00553114"/>
    <w:rsid w:val="00553424"/>
    <w:rsid w:val="00553FF2"/>
    <w:rsid w:val="00554AF4"/>
    <w:rsid w:val="00555266"/>
    <w:rsid w:val="005554E5"/>
    <w:rsid w:val="00555515"/>
    <w:rsid w:val="00555F1B"/>
    <w:rsid w:val="0055750E"/>
    <w:rsid w:val="00557B89"/>
    <w:rsid w:val="00557C6E"/>
    <w:rsid w:val="00560111"/>
    <w:rsid w:val="005609C2"/>
    <w:rsid w:val="005609D6"/>
    <w:rsid w:val="00561CB5"/>
    <w:rsid w:val="005620E9"/>
    <w:rsid w:val="00563428"/>
    <w:rsid w:val="00563673"/>
    <w:rsid w:val="00563757"/>
    <w:rsid w:val="005657C5"/>
    <w:rsid w:val="0056597C"/>
    <w:rsid w:val="00565C50"/>
    <w:rsid w:val="005669AF"/>
    <w:rsid w:val="00567340"/>
    <w:rsid w:val="00567641"/>
    <w:rsid w:val="00567CAF"/>
    <w:rsid w:val="00570390"/>
    <w:rsid w:val="00571C2F"/>
    <w:rsid w:val="00572E80"/>
    <w:rsid w:val="00573F14"/>
    <w:rsid w:val="0057415F"/>
    <w:rsid w:val="00574B96"/>
    <w:rsid w:val="00574F61"/>
    <w:rsid w:val="005754E1"/>
    <w:rsid w:val="005757F9"/>
    <w:rsid w:val="00575900"/>
    <w:rsid w:val="00575A68"/>
    <w:rsid w:val="00577432"/>
    <w:rsid w:val="0057758D"/>
    <w:rsid w:val="0058394A"/>
    <w:rsid w:val="00583ADC"/>
    <w:rsid w:val="00583DCC"/>
    <w:rsid w:val="005843D9"/>
    <w:rsid w:val="00584FE3"/>
    <w:rsid w:val="005864C2"/>
    <w:rsid w:val="00586BE6"/>
    <w:rsid w:val="00590118"/>
    <w:rsid w:val="00590BAD"/>
    <w:rsid w:val="00591308"/>
    <w:rsid w:val="005927B3"/>
    <w:rsid w:val="00593001"/>
    <w:rsid w:val="00593D99"/>
    <w:rsid w:val="005948BF"/>
    <w:rsid w:val="00594973"/>
    <w:rsid w:val="00595397"/>
    <w:rsid w:val="00595554"/>
    <w:rsid w:val="00595833"/>
    <w:rsid w:val="00595D77"/>
    <w:rsid w:val="00597F1D"/>
    <w:rsid w:val="005A0D65"/>
    <w:rsid w:val="005A2B8A"/>
    <w:rsid w:val="005A2F92"/>
    <w:rsid w:val="005A3268"/>
    <w:rsid w:val="005A475D"/>
    <w:rsid w:val="005A5696"/>
    <w:rsid w:val="005A630B"/>
    <w:rsid w:val="005A6912"/>
    <w:rsid w:val="005A6BF9"/>
    <w:rsid w:val="005B07F0"/>
    <w:rsid w:val="005B0BB7"/>
    <w:rsid w:val="005B1C42"/>
    <w:rsid w:val="005B1EF4"/>
    <w:rsid w:val="005B3230"/>
    <w:rsid w:val="005B3793"/>
    <w:rsid w:val="005B425D"/>
    <w:rsid w:val="005B4A2C"/>
    <w:rsid w:val="005B4B08"/>
    <w:rsid w:val="005B53D9"/>
    <w:rsid w:val="005B58CB"/>
    <w:rsid w:val="005B5A03"/>
    <w:rsid w:val="005B5A43"/>
    <w:rsid w:val="005B79AD"/>
    <w:rsid w:val="005B7F7A"/>
    <w:rsid w:val="005C0829"/>
    <w:rsid w:val="005C0A08"/>
    <w:rsid w:val="005C130B"/>
    <w:rsid w:val="005C178A"/>
    <w:rsid w:val="005C1BB7"/>
    <w:rsid w:val="005C3BAA"/>
    <w:rsid w:val="005C3D84"/>
    <w:rsid w:val="005C41B9"/>
    <w:rsid w:val="005C4B71"/>
    <w:rsid w:val="005C5AF9"/>
    <w:rsid w:val="005C7582"/>
    <w:rsid w:val="005C7A38"/>
    <w:rsid w:val="005D0632"/>
    <w:rsid w:val="005D063D"/>
    <w:rsid w:val="005D1070"/>
    <w:rsid w:val="005D10AE"/>
    <w:rsid w:val="005D243B"/>
    <w:rsid w:val="005D4F6F"/>
    <w:rsid w:val="005D4FAF"/>
    <w:rsid w:val="005D515B"/>
    <w:rsid w:val="005D517C"/>
    <w:rsid w:val="005D6EC5"/>
    <w:rsid w:val="005D70D4"/>
    <w:rsid w:val="005D7594"/>
    <w:rsid w:val="005D7B72"/>
    <w:rsid w:val="005E00FA"/>
    <w:rsid w:val="005E0960"/>
    <w:rsid w:val="005E1489"/>
    <w:rsid w:val="005E224E"/>
    <w:rsid w:val="005E2D8C"/>
    <w:rsid w:val="005E3AEE"/>
    <w:rsid w:val="005E3B47"/>
    <w:rsid w:val="005E43C8"/>
    <w:rsid w:val="005E4628"/>
    <w:rsid w:val="005E4947"/>
    <w:rsid w:val="005E4D9A"/>
    <w:rsid w:val="005E50F6"/>
    <w:rsid w:val="005E52F0"/>
    <w:rsid w:val="005E65E0"/>
    <w:rsid w:val="005E6B19"/>
    <w:rsid w:val="005E6C64"/>
    <w:rsid w:val="005E7162"/>
    <w:rsid w:val="005E758E"/>
    <w:rsid w:val="005F02AF"/>
    <w:rsid w:val="005F14B6"/>
    <w:rsid w:val="005F1963"/>
    <w:rsid w:val="005F2E0F"/>
    <w:rsid w:val="005F2FC8"/>
    <w:rsid w:val="005F3FC8"/>
    <w:rsid w:val="005F4155"/>
    <w:rsid w:val="005F442A"/>
    <w:rsid w:val="005F5106"/>
    <w:rsid w:val="005F54F2"/>
    <w:rsid w:val="005F602F"/>
    <w:rsid w:val="005F6B0F"/>
    <w:rsid w:val="005F6C1C"/>
    <w:rsid w:val="005F6C69"/>
    <w:rsid w:val="0060147E"/>
    <w:rsid w:val="006018C0"/>
    <w:rsid w:val="006019AE"/>
    <w:rsid w:val="0060416D"/>
    <w:rsid w:val="006046D4"/>
    <w:rsid w:val="00605BB3"/>
    <w:rsid w:val="006060A1"/>
    <w:rsid w:val="00606AE7"/>
    <w:rsid w:val="006073CD"/>
    <w:rsid w:val="006107F5"/>
    <w:rsid w:val="00610954"/>
    <w:rsid w:val="006112B7"/>
    <w:rsid w:val="00611EE6"/>
    <w:rsid w:val="00612024"/>
    <w:rsid w:val="00613F2D"/>
    <w:rsid w:val="006153D5"/>
    <w:rsid w:val="00615A32"/>
    <w:rsid w:val="00615B54"/>
    <w:rsid w:val="00617014"/>
    <w:rsid w:val="006179AD"/>
    <w:rsid w:val="00617C08"/>
    <w:rsid w:val="00617D37"/>
    <w:rsid w:val="0062057D"/>
    <w:rsid w:val="00620A4F"/>
    <w:rsid w:val="00621857"/>
    <w:rsid w:val="006218CA"/>
    <w:rsid w:val="00621A44"/>
    <w:rsid w:val="00622514"/>
    <w:rsid w:val="00622571"/>
    <w:rsid w:val="00624617"/>
    <w:rsid w:val="00624C97"/>
    <w:rsid w:val="006254FC"/>
    <w:rsid w:val="006256FD"/>
    <w:rsid w:val="00625E19"/>
    <w:rsid w:val="00625F03"/>
    <w:rsid w:val="006262AD"/>
    <w:rsid w:val="00626A0C"/>
    <w:rsid w:val="00627CC6"/>
    <w:rsid w:val="006306A4"/>
    <w:rsid w:val="00630C73"/>
    <w:rsid w:val="006317C0"/>
    <w:rsid w:val="00632857"/>
    <w:rsid w:val="006330F0"/>
    <w:rsid w:val="00633867"/>
    <w:rsid w:val="00633E94"/>
    <w:rsid w:val="00634481"/>
    <w:rsid w:val="006352CF"/>
    <w:rsid w:val="0063631F"/>
    <w:rsid w:val="00636667"/>
    <w:rsid w:val="00636775"/>
    <w:rsid w:val="00636928"/>
    <w:rsid w:val="00636DFD"/>
    <w:rsid w:val="0064069E"/>
    <w:rsid w:val="00640845"/>
    <w:rsid w:val="00641A60"/>
    <w:rsid w:val="00643C9F"/>
    <w:rsid w:val="00644BD4"/>
    <w:rsid w:val="0064544D"/>
    <w:rsid w:val="006455AE"/>
    <w:rsid w:val="006458C3"/>
    <w:rsid w:val="00646678"/>
    <w:rsid w:val="006476B8"/>
    <w:rsid w:val="00647F97"/>
    <w:rsid w:val="0065022B"/>
    <w:rsid w:val="0065187F"/>
    <w:rsid w:val="00652B73"/>
    <w:rsid w:val="00653662"/>
    <w:rsid w:val="006541B3"/>
    <w:rsid w:val="0065459A"/>
    <w:rsid w:val="006550D8"/>
    <w:rsid w:val="00655507"/>
    <w:rsid w:val="00655891"/>
    <w:rsid w:val="00655B04"/>
    <w:rsid w:val="00655C6E"/>
    <w:rsid w:val="00656627"/>
    <w:rsid w:val="00656901"/>
    <w:rsid w:val="00656970"/>
    <w:rsid w:val="0065710A"/>
    <w:rsid w:val="006603C3"/>
    <w:rsid w:val="00660C85"/>
    <w:rsid w:val="00660CE0"/>
    <w:rsid w:val="00661A5F"/>
    <w:rsid w:val="00661F46"/>
    <w:rsid w:val="006623E1"/>
    <w:rsid w:val="00663425"/>
    <w:rsid w:val="00664164"/>
    <w:rsid w:val="006647A7"/>
    <w:rsid w:val="006647CC"/>
    <w:rsid w:val="00664BA2"/>
    <w:rsid w:val="00664E2D"/>
    <w:rsid w:val="006666D5"/>
    <w:rsid w:val="00666B72"/>
    <w:rsid w:val="0066707C"/>
    <w:rsid w:val="00667297"/>
    <w:rsid w:val="00670D86"/>
    <w:rsid w:val="006710E9"/>
    <w:rsid w:val="0067129E"/>
    <w:rsid w:val="00671C5C"/>
    <w:rsid w:val="00672B81"/>
    <w:rsid w:val="0067460F"/>
    <w:rsid w:val="0067540B"/>
    <w:rsid w:val="00675909"/>
    <w:rsid w:val="00675DCB"/>
    <w:rsid w:val="006768E9"/>
    <w:rsid w:val="00676B46"/>
    <w:rsid w:val="00676CE7"/>
    <w:rsid w:val="00677962"/>
    <w:rsid w:val="00677D23"/>
    <w:rsid w:val="006801B0"/>
    <w:rsid w:val="006804DF"/>
    <w:rsid w:val="00681862"/>
    <w:rsid w:val="0068235F"/>
    <w:rsid w:val="00682682"/>
    <w:rsid w:val="00684820"/>
    <w:rsid w:val="00684A3E"/>
    <w:rsid w:val="00685088"/>
    <w:rsid w:val="0068565A"/>
    <w:rsid w:val="00685F00"/>
    <w:rsid w:val="00686681"/>
    <w:rsid w:val="006867A0"/>
    <w:rsid w:val="00687596"/>
    <w:rsid w:val="006879C1"/>
    <w:rsid w:val="00687A43"/>
    <w:rsid w:val="00687BE7"/>
    <w:rsid w:val="00687CE8"/>
    <w:rsid w:val="006914AA"/>
    <w:rsid w:val="00692FB6"/>
    <w:rsid w:val="00693037"/>
    <w:rsid w:val="00693EA3"/>
    <w:rsid w:val="0069470F"/>
    <w:rsid w:val="00694BFB"/>
    <w:rsid w:val="00694E22"/>
    <w:rsid w:val="00696316"/>
    <w:rsid w:val="0069639C"/>
    <w:rsid w:val="00696505"/>
    <w:rsid w:val="006967A8"/>
    <w:rsid w:val="0069682D"/>
    <w:rsid w:val="00696C88"/>
    <w:rsid w:val="00696EE1"/>
    <w:rsid w:val="00696EE5"/>
    <w:rsid w:val="0069772A"/>
    <w:rsid w:val="006A0DA3"/>
    <w:rsid w:val="006A170F"/>
    <w:rsid w:val="006A1DE0"/>
    <w:rsid w:val="006A26DB"/>
    <w:rsid w:val="006A3687"/>
    <w:rsid w:val="006A3A82"/>
    <w:rsid w:val="006A3EFF"/>
    <w:rsid w:val="006A3F18"/>
    <w:rsid w:val="006A3F5E"/>
    <w:rsid w:val="006A4A54"/>
    <w:rsid w:val="006A5C7F"/>
    <w:rsid w:val="006A5CB9"/>
    <w:rsid w:val="006A5CC0"/>
    <w:rsid w:val="006A6762"/>
    <w:rsid w:val="006A6BD0"/>
    <w:rsid w:val="006A6EF5"/>
    <w:rsid w:val="006B0E74"/>
    <w:rsid w:val="006B2265"/>
    <w:rsid w:val="006B26D5"/>
    <w:rsid w:val="006B2AC6"/>
    <w:rsid w:val="006B2C29"/>
    <w:rsid w:val="006B30E4"/>
    <w:rsid w:val="006B3D74"/>
    <w:rsid w:val="006B4A7D"/>
    <w:rsid w:val="006B4F29"/>
    <w:rsid w:val="006B5352"/>
    <w:rsid w:val="006B7EDC"/>
    <w:rsid w:val="006C023C"/>
    <w:rsid w:val="006C0D92"/>
    <w:rsid w:val="006C19F8"/>
    <w:rsid w:val="006C1E34"/>
    <w:rsid w:val="006C3003"/>
    <w:rsid w:val="006C3018"/>
    <w:rsid w:val="006C3702"/>
    <w:rsid w:val="006C3C00"/>
    <w:rsid w:val="006C4526"/>
    <w:rsid w:val="006C453B"/>
    <w:rsid w:val="006C4944"/>
    <w:rsid w:val="006C657B"/>
    <w:rsid w:val="006C6D60"/>
    <w:rsid w:val="006C7AF0"/>
    <w:rsid w:val="006D112E"/>
    <w:rsid w:val="006D13F9"/>
    <w:rsid w:val="006D1638"/>
    <w:rsid w:val="006D1BBF"/>
    <w:rsid w:val="006D20A0"/>
    <w:rsid w:val="006D23AF"/>
    <w:rsid w:val="006D35EE"/>
    <w:rsid w:val="006D38DC"/>
    <w:rsid w:val="006D3BCE"/>
    <w:rsid w:val="006D4611"/>
    <w:rsid w:val="006D4837"/>
    <w:rsid w:val="006D4EB2"/>
    <w:rsid w:val="006D66ED"/>
    <w:rsid w:val="006D6D8B"/>
    <w:rsid w:val="006D7255"/>
    <w:rsid w:val="006D730F"/>
    <w:rsid w:val="006E0556"/>
    <w:rsid w:val="006E0597"/>
    <w:rsid w:val="006E1307"/>
    <w:rsid w:val="006E2057"/>
    <w:rsid w:val="006E2D0D"/>
    <w:rsid w:val="006E3C3F"/>
    <w:rsid w:val="006E3E3C"/>
    <w:rsid w:val="006E3E9E"/>
    <w:rsid w:val="006E4840"/>
    <w:rsid w:val="006E4B79"/>
    <w:rsid w:val="006E50C1"/>
    <w:rsid w:val="006E513B"/>
    <w:rsid w:val="006E5244"/>
    <w:rsid w:val="006E5C7C"/>
    <w:rsid w:val="006E6587"/>
    <w:rsid w:val="006E75E7"/>
    <w:rsid w:val="006E7873"/>
    <w:rsid w:val="006E7FB4"/>
    <w:rsid w:val="006F049E"/>
    <w:rsid w:val="006F30CB"/>
    <w:rsid w:val="006F3BA4"/>
    <w:rsid w:val="006F433D"/>
    <w:rsid w:val="006F44FD"/>
    <w:rsid w:val="006F4BAF"/>
    <w:rsid w:val="006F4CE1"/>
    <w:rsid w:val="006F4D04"/>
    <w:rsid w:val="006F51D4"/>
    <w:rsid w:val="006F5447"/>
    <w:rsid w:val="006F6223"/>
    <w:rsid w:val="006F6FB5"/>
    <w:rsid w:val="006F74F1"/>
    <w:rsid w:val="00700A29"/>
    <w:rsid w:val="00700F81"/>
    <w:rsid w:val="00701812"/>
    <w:rsid w:val="00702A6B"/>
    <w:rsid w:val="0070444B"/>
    <w:rsid w:val="00704E8E"/>
    <w:rsid w:val="0070517A"/>
    <w:rsid w:val="00705DD1"/>
    <w:rsid w:val="00706C53"/>
    <w:rsid w:val="00707B9C"/>
    <w:rsid w:val="00707BB6"/>
    <w:rsid w:val="00710467"/>
    <w:rsid w:val="007109BC"/>
    <w:rsid w:val="00710F01"/>
    <w:rsid w:val="00712627"/>
    <w:rsid w:val="0071280A"/>
    <w:rsid w:val="00714E70"/>
    <w:rsid w:val="0071527F"/>
    <w:rsid w:val="0071569B"/>
    <w:rsid w:val="00720BB6"/>
    <w:rsid w:val="00720F1B"/>
    <w:rsid w:val="00721881"/>
    <w:rsid w:val="00721FDD"/>
    <w:rsid w:val="0072215B"/>
    <w:rsid w:val="0072225E"/>
    <w:rsid w:val="007224E6"/>
    <w:rsid w:val="00722A1E"/>
    <w:rsid w:val="0072361E"/>
    <w:rsid w:val="00724331"/>
    <w:rsid w:val="007248D6"/>
    <w:rsid w:val="00724ABC"/>
    <w:rsid w:val="00725D13"/>
    <w:rsid w:val="007271B4"/>
    <w:rsid w:val="00730796"/>
    <w:rsid w:val="00730D10"/>
    <w:rsid w:val="0073177E"/>
    <w:rsid w:val="007323B3"/>
    <w:rsid w:val="007328E4"/>
    <w:rsid w:val="00732AAD"/>
    <w:rsid w:val="00733A15"/>
    <w:rsid w:val="007342B6"/>
    <w:rsid w:val="00734EA6"/>
    <w:rsid w:val="007354B4"/>
    <w:rsid w:val="00735EAE"/>
    <w:rsid w:val="007371A6"/>
    <w:rsid w:val="00737278"/>
    <w:rsid w:val="007411E0"/>
    <w:rsid w:val="00741D6C"/>
    <w:rsid w:val="00741E3E"/>
    <w:rsid w:val="00741ED5"/>
    <w:rsid w:val="00743579"/>
    <w:rsid w:val="00744F8D"/>
    <w:rsid w:val="00746623"/>
    <w:rsid w:val="00746E1F"/>
    <w:rsid w:val="007475C0"/>
    <w:rsid w:val="00747D43"/>
    <w:rsid w:val="00750D3A"/>
    <w:rsid w:val="00750EA8"/>
    <w:rsid w:val="007515A8"/>
    <w:rsid w:val="00752D68"/>
    <w:rsid w:val="0075358C"/>
    <w:rsid w:val="0075391C"/>
    <w:rsid w:val="00753FEC"/>
    <w:rsid w:val="00754929"/>
    <w:rsid w:val="00754A36"/>
    <w:rsid w:val="00754E17"/>
    <w:rsid w:val="00755566"/>
    <w:rsid w:val="00755A7C"/>
    <w:rsid w:val="007560AB"/>
    <w:rsid w:val="0075642C"/>
    <w:rsid w:val="00756707"/>
    <w:rsid w:val="00756B52"/>
    <w:rsid w:val="00756B9E"/>
    <w:rsid w:val="0075714C"/>
    <w:rsid w:val="00757F36"/>
    <w:rsid w:val="00760218"/>
    <w:rsid w:val="00760561"/>
    <w:rsid w:val="007612E3"/>
    <w:rsid w:val="00762AFB"/>
    <w:rsid w:val="00762E76"/>
    <w:rsid w:val="00763C0E"/>
    <w:rsid w:val="00764319"/>
    <w:rsid w:val="007659C7"/>
    <w:rsid w:val="00766179"/>
    <w:rsid w:val="00766C85"/>
    <w:rsid w:val="00767278"/>
    <w:rsid w:val="00767B37"/>
    <w:rsid w:val="00767E5B"/>
    <w:rsid w:val="00771B21"/>
    <w:rsid w:val="00771FAF"/>
    <w:rsid w:val="0077236B"/>
    <w:rsid w:val="007724F7"/>
    <w:rsid w:val="00772BC4"/>
    <w:rsid w:val="00773198"/>
    <w:rsid w:val="007734F5"/>
    <w:rsid w:val="007734F9"/>
    <w:rsid w:val="007739DA"/>
    <w:rsid w:val="00773DFD"/>
    <w:rsid w:val="00773E1E"/>
    <w:rsid w:val="007743DF"/>
    <w:rsid w:val="00774468"/>
    <w:rsid w:val="00774D02"/>
    <w:rsid w:val="007768A9"/>
    <w:rsid w:val="007779D2"/>
    <w:rsid w:val="00777FB6"/>
    <w:rsid w:val="00780BE8"/>
    <w:rsid w:val="00780C79"/>
    <w:rsid w:val="00780D29"/>
    <w:rsid w:val="00781915"/>
    <w:rsid w:val="00781B71"/>
    <w:rsid w:val="00781DD7"/>
    <w:rsid w:val="00782D1A"/>
    <w:rsid w:val="00783A7C"/>
    <w:rsid w:val="0078534D"/>
    <w:rsid w:val="00785503"/>
    <w:rsid w:val="0078576E"/>
    <w:rsid w:val="00785C09"/>
    <w:rsid w:val="00785D56"/>
    <w:rsid w:val="0078686C"/>
    <w:rsid w:val="00786B9B"/>
    <w:rsid w:val="00787C77"/>
    <w:rsid w:val="007920B4"/>
    <w:rsid w:val="00793CAD"/>
    <w:rsid w:val="00793E16"/>
    <w:rsid w:val="007946DF"/>
    <w:rsid w:val="00795289"/>
    <w:rsid w:val="00795641"/>
    <w:rsid w:val="00796186"/>
    <w:rsid w:val="00796D7C"/>
    <w:rsid w:val="00797F10"/>
    <w:rsid w:val="007A0B4F"/>
    <w:rsid w:val="007A1289"/>
    <w:rsid w:val="007A541E"/>
    <w:rsid w:val="007A555E"/>
    <w:rsid w:val="007A5BDE"/>
    <w:rsid w:val="007A5EE9"/>
    <w:rsid w:val="007A6087"/>
    <w:rsid w:val="007A63D2"/>
    <w:rsid w:val="007A6B43"/>
    <w:rsid w:val="007A73D5"/>
    <w:rsid w:val="007A7843"/>
    <w:rsid w:val="007B0366"/>
    <w:rsid w:val="007B200B"/>
    <w:rsid w:val="007B22CE"/>
    <w:rsid w:val="007B2A06"/>
    <w:rsid w:val="007B2A09"/>
    <w:rsid w:val="007B35D6"/>
    <w:rsid w:val="007B382B"/>
    <w:rsid w:val="007B39A6"/>
    <w:rsid w:val="007B4914"/>
    <w:rsid w:val="007B4B5B"/>
    <w:rsid w:val="007B4B60"/>
    <w:rsid w:val="007B5873"/>
    <w:rsid w:val="007B6DC6"/>
    <w:rsid w:val="007B6F62"/>
    <w:rsid w:val="007B7076"/>
    <w:rsid w:val="007B7865"/>
    <w:rsid w:val="007C0016"/>
    <w:rsid w:val="007C0AE2"/>
    <w:rsid w:val="007C1C9A"/>
    <w:rsid w:val="007C2354"/>
    <w:rsid w:val="007C2544"/>
    <w:rsid w:val="007C2671"/>
    <w:rsid w:val="007C3275"/>
    <w:rsid w:val="007C34DD"/>
    <w:rsid w:val="007C3E01"/>
    <w:rsid w:val="007C6948"/>
    <w:rsid w:val="007C72D3"/>
    <w:rsid w:val="007D0688"/>
    <w:rsid w:val="007D0F89"/>
    <w:rsid w:val="007D15FB"/>
    <w:rsid w:val="007D19E9"/>
    <w:rsid w:val="007D1CB8"/>
    <w:rsid w:val="007D319E"/>
    <w:rsid w:val="007D3477"/>
    <w:rsid w:val="007D3582"/>
    <w:rsid w:val="007D3EB8"/>
    <w:rsid w:val="007D504F"/>
    <w:rsid w:val="007D6044"/>
    <w:rsid w:val="007D6731"/>
    <w:rsid w:val="007D7034"/>
    <w:rsid w:val="007D7198"/>
    <w:rsid w:val="007D7624"/>
    <w:rsid w:val="007D7647"/>
    <w:rsid w:val="007E00DA"/>
    <w:rsid w:val="007E08F5"/>
    <w:rsid w:val="007E0C26"/>
    <w:rsid w:val="007E2B4D"/>
    <w:rsid w:val="007E33DF"/>
    <w:rsid w:val="007E3439"/>
    <w:rsid w:val="007E3623"/>
    <w:rsid w:val="007E36EA"/>
    <w:rsid w:val="007E3BC9"/>
    <w:rsid w:val="007E5099"/>
    <w:rsid w:val="007E5799"/>
    <w:rsid w:val="007E5D9C"/>
    <w:rsid w:val="007E5FA5"/>
    <w:rsid w:val="007E66AA"/>
    <w:rsid w:val="007E6B7D"/>
    <w:rsid w:val="007E77B5"/>
    <w:rsid w:val="007E7985"/>
    <w:rsid w:val="007F17AA"/>
    <w:rsid w:val="007F19E0"/>
    <w:rsid w:val="007F1D49"/>
    <w:rsid w:val="007F1DDB"/>
    <w:rsid w:val="007F3BFC"/>
    <w:rsid w:val="007F3F8A"/>
    <w:rsid w:val="007F6346"/>
    <w:rsid w:val="007F7E3C"/>
    <w:rsid w:val="007F7F17"/>
    <w:rsid w:val="00801188"/>
    <w:rsid w:val="00801C84"/>
    <w:rsid w:val="008030C3"/>
    <w:rsid w:val="008030ED"/>
    <w:rsid w:val="00803234"/>
    <w:rsid w:val="00803477"/>
    <w:rsid w:val="008037E9"/>
    <w:rsid w:val="00803FFC"/>
    <w:rsid w:val="00804F6A"/>
    <w:rsid w:val="00804F8D"/>
    <w:rsid w:val="0080583A"/>
    <w:rsid w:val="00805C96"/>
    <w:rsid w:val="00806207"/>
    <w:rsid w:val="0080637F"/>
    <w:rsid w:val="008066EF"/>
    <w:rsid w:val="008073AB"/>
    <w:rsid w:val="00807C31"/>
    <w:rsid w:val="00807D0E"/>
    <w:rsid w:val="00807F50"/>
    <w:rsid w:val="00810099"/>
    <w:rsid w:val="008104E9"/>
    <w:rsid w:val="00810A5F"/>
    <w:rsid w:val="00811155"/>
    <w:rsid w:val="0081264B"/>
    <w:rsid w:val="008133B0"/>
    <w:rsid w:val="0081369E"/>
    <w:rsid w:val="0081605B"/>
    <w:rsid w:val="008166A6"/>
    <w:rsid w:val="00817FE6"/>
    <w:rsid w:val="008203E1"/>
    <w:rsid w:val="008205EF"/>
    <w:rsid w:val="00820F8B"/>
    <w:rsid w:val="008215E1"/>
    <w:rsid w:val="00822571"/>
    <w:rsid w:val="00822862"/>
    <w:rsid w:val="008241D4"/>
    <w:rsid w:val="00825482"/>
    <w:rsid w:val="008254F6"/>
    <w:rsid w:val="00826231"/>
    <w:rsid w:val="00826605"/>
    <w:rsid w:val="00827015"/>
    <w:rsid w:val="008303B4"/>
    <w:rsid w:val="008304FD"/>
    <w:rsid w:val="008305AF"/>
    <w:rsid w:val="008312C7"/>
    <w:rsid w:val="00832D00"/>
    <w:rsid w:val="00834014"/>
    <w:rsid w:val="0083474F"/>
    <w:rsid w:val="00834F3E"/>
    <w:rsid w:val="008356C6"/>
    <w:rsid w:val="00835916"/>
    <w:rsid w:val="00835A51"/>
    <w:rsid w:val="00836AB6"/>
    <w:rsid w:val="00837CB3"/>
    <w:rsid w:val="00840716"/>
    <w:rsid w:val="00840E80"/>
    <w:rsid w:val="0084140D"/>
    <w:rsid w:val="00842A29"/>
    <w:rsid w:val="00843E61"/>
    <w:rsid w:val="0084421A"/>
    <w:rsid w:val="00844538"/>
    <w:rsid w:val="00844D75"/>
    <w:rsid w:val="00845BC9"/>
    <w:rsid w:val="0084618E"/>
    <w:rsid w:val="00846BC6"/>
    <w:rsid w:val="008474EF"/>
    <w:rsid w:val="00847951"/>
    <w:rsid w:val="00847B90"/>
    <w:rsid w:val="00847EB1"/>
    <w:rsid w:val="00850209"/>
    <w:rsid w:val="00852829"/>
    <w:rsid w:val="00852CB3"/>
    <w:rsid w:val="00853D7F"/>
    <w:rsid w:val="008542B8"/>
    <w:rsid w:val="0085450C"/>
    <w:rsid w:val="00854E70"/>
    <w:rsid w:val="00855D02"/>
    <w:rsid w:val="00855E0D"/>
    <w:rsid w:val="008562D1"/>
    <w:rsid w:val="00856F5B"/>
    <w:rsid w:val="00857242"/>
    <w:rsid w:val="00861B66"/>
    <w:rsid w:val="00862206"/>
    <w:rsid w:val="00862436"/>
    <w:rsid w:val="00862A51"/>
    <w:rsid w:val="008631D0"/>
    <w:rsid w:val="00864B85"/>
    <w:rsid w:val="00864E2F"/>
    <w:rsid w:val="00866188"/>
    <w:rsid w:val="00866581"/>
    <w:rsid w:val="0086663D"/>
    <w:rsid w:val="00866A05"/>
    <w:rsid w:val="00866AD0"/>
    <w:rsid w:val="00866FC4"/>
    <w:rsid w:val="008676B1"/>
    <w:rsid w:val="00870A60"/>
    <w:rsid w:val="00870DBA"/>
    <w:rsid w:val="008716FB"/>
    <w:rsid w:val="00871AA4"/>
    <w:rsid w:val="00872465"/>
    <w:rsid w:val="008728DD"/>
    <w:rsid w:val="00872A22"/>
    <w:rsid w:val="00873617"/>
    <w:rsid w:val="00873849"/>
    <w:rsid w:val="00874C55"/>
    <w:rsid w:val="00875329"/>
    <w:rsid w:val="0087576F"/>
    <w:rsid w:val="00875782"/>
    <w:rsid w:val="00876435"/>
    <w:rsid w:val="00876E39"/>
    <w:rsid w:val="0087745A"/>
    <w:rsid w:val="00877778"/>
    <w:rsid w:val="00877997"/>
    <w:rsid w:val="00877AB3"/>
    <w:rsid w:val="00877CA2"/>
    <w:rsid w:val="00877D5C"/>
    <w:rsid w:val="00880245"/>
    <w:rsid w:val="00880302"/>
    <w:rsid w:val="0088101C"/>
    <w:rsid w:val="008828A2"/>
    <w:rsid w:val="00883387"/>
    <w:rsid w:val="00883CFD"/>
    <w:rsid w:val="00884C12"/>
    <w:rsid w:val="00885DEC"/>
    <w:rsid w:val="008863A6"/>
    <w:rsid w:val="00886A74"/>
    <w:rsid w:val="00886C21"/>
    <w:rsid w:val="00886F1A"/>
    <w:rsid w:val="0088754D"/>
    <w:rsid w:val="0088794E"/>
    <w:rsid w:val="00887BEE"/>
    <w:rsid w:val="00890F92"/>
    <w:rsid w:val="00891797"/>
    <w:rsid w:val="008919F7"/>
    <w:rsid w:val="00891EB2"/>
    <w:rsid w:val="00891FDB"/>
    <w:rsid w:val="0089297C"/>
    <w:rsid w:val="00894036"/>
    <w:rsid w:val="008951AA"/>
    <w:rsid w:val="00896418"/>
    <w:rsid w:val="008965B8"/>
    <w:rsid w:val="00896C72"/>
    <w:rsid w:val="00897709"/>
    <w:rsid w:val="00897E26"/>
    <w:rsid w:val="00897F0A"/>
    <w:rsid w:val="008A07DA"/>
    <w:rsid w:val="008A0F3B"/>
    <w:rsid w:val="008A112A"/>
    <w:rsid w:val="008A1401"/>
    <w:rsid w:val="008A189D"/>
    <w:rsid w:val="008A319D"/>
    <w:rsid w:val="008A34D2"/>
    <w:rsid w:val="008A44B9"/>
    <w:rsid w:val="008A4616"/>
    <w:rsid w:val="008A4959"/>
    <w:rsid w:val="008A52CC"/>
    <w:rsid w:val="008A5E50"/>
    <w:rsid w:val="008A7165"/>
    <w:rsid w:val="008A74E8"/>
    <w:rsid w:val="008A7579"/>
    <w:rsid w:val="008A75E5"/>
    <w:rsid w:val="008A7B3E"/>
    <w:rsid w:val="008B0305"/>
    <w:rsid w:val="008B041F"/>
    <w:rsid w:val="008B0D1E"/>
    <w:rsid w:val="008B20D6"/>
    <w:rsid w:val="008B255C"/>
    <w:rsid w:val="008B28A3"/>
    <w:rsid w:val="008B2B05"/>
    <w:rsid w:val="008B2D86"/>
    <w:rsid w:val="008B3072"/>
    <w:rsid w:val="008B3252"/>
    <w:rsid w:val="008B3531"/>
    <w:rsid w:val="008B57AE"/>
    <w:rsid w:val="008B7069"/>
    <w:rsid w:val="008B70AE"/>
    <w:rsid w:val="008C08D8"/>
    <w:rsid w:val="008C14E8"/>
    <w:rsid w:val="008C1EC2"/>
    <w:rsid w:val="008C3362"/>
    <w:rsid w:val="008C33D6"/>
    <w:rsid w:val="008C344A"/>
    <w:rsid w:val="008C406B"/>
    <w:rsid w:val="008C535E"/>
    <w:rsid w:val="008C5D8E"/>
    <w:rsid w:val="008C69F8"/>
    <w:rsid w:val="008C760A"/>
    <w:rsid w:val="008C7D19"/>
    <w:rsid w:val="008D0820"/>
    <w:rsid w:val="008D185D"/>
    <w:rsid w:val="008D3118"/>
    <w:rsid w:val="008D4238"/>
    <w:rsid w:val="008D55CF"/>
    <w:rsid w:val="008D5EE7"/>
    <w:rsid w:val="008D655D"/>
    <w:rsid w:val="008D673E"/>
    <w:rsid w:val="008E119A"/>
    <w:rsid w:val="008E15B1"/>
    <w:rsid w:val="008E3664"/>
    <w:rsid w:val="008E3ED8"/>
    <w:rsid w:val="008E499C"/>
    <w:rsid w:val="008E5353"/>
    <w:rsid w:val="008E6806"/>
    <w:rsid w:val="008E698F"/>
    <w:rsid w:val="008E7374"/>
    <w:rsid w:val="008F128A"/>
    <w:rsid w:val="008F1902"/>
    <w:rsid w:val="008F328B"/>
    <w:rsid w:val="008F3B6B"/>
    <w:rsid w:val="008F3C6E"/>
    <w:rsid w:val="008F7D89"/>
    <w:rsid w:val="0090006A"/>
    <w:rsid w:val="00900CBD"/>
    <w:rsid w:val="00900D65"/>
    <w:rsid w:val="00900DF9"/>
    <w:rsid w:val="00901FE5"/>
    <w:rsid w:val="00902FB4"/>
    <w:rsid w:val="0090366F"/>
    <w:rsid w:val="009048FD"/>
    <w:rsid w:val="009054B3"/>
    <w:rsid w:val="00905AA9"/>
    <w:rsid w:val="00905D39"/>
    <w:rsid w:val="009060E2"/>
    <w:rsid w:val="0090638F"/>
    <w:rsid w:val="00906B50"/>
    <w:rsid w:val="0091183C"/>
    <w:rsid w:val="00911962"/>
    <w:rsid w:val="009140DA"/>
    <w:rsid w:val="00914587"/>
    <w:rsid w:val="00914B7C"/>
    <w:rsid w:val="009157A2"/>
    <w:rsid w:val="009159F9"/>
    <w:rsid w:val="00915AB0"/>
    <w:rsid w:val="00915AF8"/>
    <w:rsid w:val="00915CF6"/>
    <w:rsid w:val="00917786"/>
    <w:rsid w:val="00917C9C"/>
    <w:rsid w:val="00917E59"/>
    <w:rsid w:val="009200BE"/>
    <w:rsid w:val="0092179C"/>
    <w:rsid w:val="00921FA4"/>
    <w:rsid w:val="00921FE1"/>
    <w:rsid w:val="009220FD"/>
    <w:rsid w:val="0092291B"/>
    <w:rsid w:val="00922D9C"/>
    <w:rsid w:val="00922E87"/>
    <w:rsid w:val="00923709"/>
    <w:rsid w:val="00924452"/>
    <w:rsid w:val="00925520"/>
    <w:rsid w:val="00927BE1"/>
    <w:rsid w:val="00927CC1"/>
    <w:rsid w:val="00927F4F"/>
    <w:rsid w:val="00930053"/>
    <w:rsid w:val="009305DF"/>
    <w:rsid w:val="00931385"/>
    <w:rsid w:val="00931642"/>
    <w:rsid w:val="00933F0A"/>
    <w:rsid w:val="0093579E"/>
    <w:rsid w:val="00936A7A"/>
    <w:rsid w:val="0093727C"/>
    <w:rsid w:val="0093731C"/>
    <w:rsid w:val="009378A4"/>
    <w:rsid w:val="00937A3C"/>
    <w:rsid w:val="00940AA3"/>
    <w:rsid w:val="00940E16"/>
    <w:rsid w:val="0094167C"/>
    <w:rsid w:val="00941780"/>
    <w:rsid w:val="00942874"/>
    <w:rsid w:val="00942A0D"/>
    <w:rsid w:val="00942B68"/>
    <w:rsid w:val="009437C2"/>
    <w:rsid w:val="0094425A"/>
    <w:rsid w:val="009447EF"/>
    <w:rsid w:val="00945C9D"/>
    <w:rsid w:val="0095111F"/>
    <w:rsid w:val="00951171"/>
    <w:rsid w:val="009517BF"/>
    <w:rsid w:val="0095201D"/>
    <w:rsid w:val="009531B8"/>
    <w:rsid w:val="009532BA"/>
    <w:rsid w:val="009535DB"/>
    <w:rsid w:val="00953A66"/>
    <w:rsid w:val="00954524"/>
    <w:rsid w:val="00954F4B"/>
    <w:rsid w:val="00957682"/>
    <w:rsid w:val="00957AF7"/>
    <w:rsid w:val="00960095"/>
    <w:rsid w:val="009603C9"/>
    <w:rsid w:val="009604CC"/>
    <w:rsid w:val="009609D0"/>
    <w:rsid w:val="00960D23"/>
    <w:rsid w:val="0096129D"/>
    <w:rsid w:val="00961613"/>
    <w:rsid w:val="00961CAF"/>
    <w:rsid w:val="009622F8"/>
    <w:rsid w:val="00963F2E"/>
    <w:rsid w:val="00963F38"/>
    <w:rsid w:val="00964D4E"/>
    <w:rsid w:val="00964EDC"/>
    <w:rsid w:val="00966359"/>
    <w:rsid w:val="00966C36"/>
    <w:rsid w:val="00967206"/>
    <w:rsid w:val="0097183C"/>
    <w:rsid w:val="00972E86"/>
    <w:rsid w:val="009736DE"/>
    <w:rsid w:val="00973B37"/>
    <w:rsid w:val="00974D9D"/>
    <w:rsid w:val="00977074"/>
    <w:rsid w:val="009771E6"/>
    <w:rsid w:val="00977233"/>
    <w:rsid w:val="00977BE2"/>
    <w:rsid w:val="0098026B"/>
    <w:rsid w:val="00980ED8"/>
    <w:rsid w:val="00981729"/>
    <w:rsid w:val="00981E83"/>
    <w:rsid w:val="00982DD5"/>
    <w:rsid w:val="00983C26"/>
    <w:rsid w:val="00984447"/>
    <w:rsid w:val="00984BBE"/>
    <w:rsid w:val="009861E7"/>
    <w:rsid w:val="0098679D"/>
    <w:rsid w:val="00986A13"/>
    <w:rsid w:val="00990084"/>
    <w:rsid w:val="00990393"/>
    <w:rsid w:val="009903EA"/>
    <w:rsid w:val="00991232"/>
    <w:rsid w:val="009913AF"/>
    <w:rsid w:val="00991D8E"/>
    <w:rsid w:val="009921F2"/>
    <w:rsid w:val="0099258F"/>
    <w:rsid w:val="00993453"/>
    <w:rsid w:val="009940B7"/>
    <w:rsid w:val="009940FD"/>
    <w:rsid w:val="00994D1A"/>
    <w:rsid w:val="00995F68"/>
    <w:rsid w:val="00997556"/>
    <w:rsid w:val="009A0D25"/>
    <w:rsid w:val="009A3351"/>
    <w:rsid w:val="009A3E4D"/>
    <w:rsid w:val="009A457B"/>
    <w:rsid w:val="009A4D0D"/>
    <w:rsid w:val="009A55F6"/>
    <w:rsid w:val="009B055D"/>
    <w:rsid w:val="009B0700"/>
    <w:rsid w:val="009B1081"/>
    <w:rsid w:val="009B2080"/>
    <w:rsid w:val="009B2329"/>
    <w:rsid w:val="009B2C8F"/>
    <w:rsid w:val="009B39DF"/>
    <w:rsid w:val="009B4392"/>
    <w:rsid w:val="009B4CEE"/>
    <w:rsid w:val="009B56D0"/>
    <w:rsid w:val="009B5EE1"/>
    <w:rsid w:val="009B62F6"/>
    <w:rsid w:val="009B63FC"/>
    <w:rsid w:val="009B6EFE"/>
    <w:rsid w:val="009C09E5"/>
    <w:rsid w:val="009C0B73"/>
    <w:rsid w:val="009C0D04"/>
    <w:rsid w:val="009C0F0E"/>
    <w:rsid w:val="009C1D41"/>
    <w:rsid w:val="009C2B18"/>
    <w:rsid w:val="009C39D3"/>
    <w:rsid w:val="009C3D93"/>
    <w:rsid w:val="009C4276"/>
    <w:rsid w:val="009C463D"/>
    <w:rsid w:val="009C4C6C"/>
    <w:rsid w:val="009C4D19"/>
    <w:rsid w:val="009C52EB"/>
    <w:rsid w:val="009C5CD0"/>
    <w:rsid w:val="009C64EC"/>
    <w:rsid w:val="009D03BC"/>
    <w:rsid w:val="009D1D1B"/>
    <w:rsid w:val="009D468C"/>
    <w:rsid w:val="009D46F7"/>
    <w:rsid w:val="009D55C9"/>
    <w:rsid w:val="009D5A6D"/>
    <w:rsid w:val="009D6FB0"/>
    <w:rsid w:val="009D78C4"/>
    <w:rsid w:val="009D7E73"/>
    <w:rsid w:val="009E00A4"/>
    <w:rsid w:val="009E041C"/>
    <w:rsid w:val="009E11F2"/>
    <w:rsid w:val="009E1BDA"/>
    <w:rsid w:val="009E1D37"/>
    <w:rsid w:val="009E299F"/>
    <w:rsid w:val="009E345F"/>
    <w:rsid w:val="009E394F"/>
    <w:rsid w:val="009E470E"/>
    <w:rsid w:val="009E4882"/>
    <w:rsid w:val="009E6C91"/>
    <w:rsid w:val="009E74C5"/>
    <w:rsid w:val="009F10C9"/>
    <w:rsid w:val="009F1466"/>
    <w:rsid w:val="009F178C"/>
    <w:rsid w:val="009F2178"/>
    <w:rsid w:val="009F36C5"/>
    <w:rsid w:val="009F3E93"/>
    <w:rsid w:val="009F4206"/>
    <w:rsid w:val="009F4DEB"/>
    <w:rsid w:val="009F6E13"/>
    <w:rsid w:val="009F73BD"/>
    <w:rsid w:val="009F78E4"/>
    <w:rsid w:val="00A003E6"/>
    <w:rsid w:val="00A00496"/>
    <w:rsid w:val="00A016B3"/>
    <w:rsid w:val="00A0180D"/>
    <w:rsid w:val="00A01B43"/>
    <w:rsid w:val="00A03D50"/>
    <w:rsid w:val="00A0481B"/>
    <w:rsid w:val="00A051B7"/>
    <w:rsid w:val="00A06B62"/>
    <w:rsid w:val="00A06F88"/>
    <w:rsid w:val="00A10C45"/>
    <w:rsid w:val="00A11F70"/>
    <w:rsid w:val="00A12112"/>
    <w:rsid w:val="00A12237"/>
    <w:rsid w:val="00A12BEC"/>
    <w:rsid w:val="00A12E23"/>
    <w:rsid w:val="00A13615"/>
    <w:rsid w:val="00A13BB5"/>
    <w:rsid w:val="00A13EF8"/>
    <w:rsid w:val="00A14076"/>
    <w:rsid w:val="00A14DB5"/>
    <w:rsid w:val="00A150E4"/>
    <w:rsid w:val="00A15BE8"/>
    <w:rsid w:val="00A16D09"/>
    <w:rsid w:val="00A177CF"/>
    <w:rsid w:val="00A17ABE"/>
    <w:rsid w:val="00A17D04"/>
    <w:rsid w:val="00A2123C"/>
    <w:rsid w:val="00A212A3"/>
    <w:rsid w:val="00A231B8"/>
    <w:rsid w:val="00A2323D"/>
    <w:rsid w:val="00A23752"/>
    <w:rsid w:val="00A24B4E"/>
    <w:rsid w:val="00A24FD6"/>
    <w:rsid w:val="00A26AEF"/>
    <w:rsid w:val="00A27148"/>
    <w:rsid w:val="00A27994"/>
    <w:rsid w:val="00A308AC"/>
    <w:rsid w:val="00A30D35"/>
    <w:rsid w:val="00A325F5"/>
    <w:rsid w:val="00A327F2"/>
    <w:rsid w:val="00A334F0"/>
    <w:rsid w:val="00A3422A"/>
    <w:rsid w:val="00A347D5"/>
    <w:rsid w:val="00A34E68"/>
    <w:rsid w:val="00A34EBF"/>
    <w:rsid w:val="00A350B5"/>
    <w:rsid w:val="00A3518D"/>
    <w:rsid w:val="00A35C45"/>
    <w:rsid w:val="00A35F35"/>
    <w:rsid w:val="00A3649E"/>
    <w:rsid w:val="00A36A9E"/>
    <w:rsid w:val="00A36E17"/>
    <w:rsid w:val="00A37590"/>
    <w:rsid w:val="00A377F6"/>
    <w:rsid w:val="00A37FC2"/>
    <w:rsid w:val="00A401A3"/>
    <w:rsid w:val="00A40863"/>
    <w:rsid w:val="00A40DF3"/>
    <w:rsid w:val="00A41561"/>
    <w:rsid w:val="00A41A01"/>
    <w:rsid w:val="00A424EA"/>
    <w:rsid w:val="00A42DBC"/>
    <w:rsid w:val="00A4326A"/>
    <w:rsid w:val="00A45C9C"/>
    <w:rsid w:val="00A46700"/>
    <w:rsid w:val="00A46C70"/>
    <w:rsid w:val="00A46F2D"/>
    <w:rsid w:val="00A46F83"/>
    <w:rsid w:val="00A5030E"/>
    <w:rsid w:val="00A5069C"/>
    <w:rsid w:val="00A5142C"/>
    <w:rsid w:val="00A51BDE"/>
    <w:rsid w:val="00A52445"/>
    <w:rsid w:val="00A52CD3"/>
    <w:rsid w:val="00A52CFA"/>
    <w:rsid w:val="00A53A6D"/>
    <w:rsid w:val="00A54C1B"/>
    <w:rsid w:val="00A5501B"/>
    <w:rsid w:val="00A5751E"/>
    <w:rsid w:val="00A57589"/>
    <w:rsid w:val="00A57A9D"/>
    <w:rsid w:val="00A60F52"/>
    <w:rsid w:val="00A6107F"/>
    <w:rsid w:val="00A611A4"/>
    <w:rsid w:val="00A6128D"/>
    <w:rsid w:val="00A6134D"/>
    <w:rsid w:val="00A61A2B"/>
    <w:rsid w:val="00A625B0"/>
    <w:rsid w:val="00A62AA1"/>
    <w:rsid w:val="00A62EA1"/>
    <w:rsid w:val="00A6326B"/>
    <w:rsid w:val="00A633F3"/>
    <w:rsid w:val="00A63BF1"/>
    <w:rsid w:val="00A64E8D"/>
    <w:rsid w:val="00A65977"/>
    <w:rsid w:val="00A65A21"/>
    <w:rsid w:val="00A66F1A"/>
    <w:rsid w:val="00A67295"/>
    <w:rsid w:val="00A67D4F"/>
    <w:rsid w:val="00A7006F"/>
    <w:rsid w:val="00A70594"/>
    <w:rsid w:val="00A71EAD"/>
    <w:rsid w:val="00A73BE8"/>
    <w:rsid w:val="00A74041"/>
    <w:rsid w:val="00A75761"/>
    <w:rsid w:val="00A76B28"/>
    <w:rsid w:val="00A7782E"/>
    <w:rsid w:val="00A81030"/>
    <w:rsid w:val="00A8276C"/>
    <w:rsid w:val="00A8316A"/>
    <w:rsid w:val="00A8499D"/>
    <w:rsid w:val="00A84D98"/>
    <w:rsid w:val="00A85075"/>
    <w:rsid w:val="00A8590F"/>
    <w:rsid w:val="00A85E58"/>
    <w:rsid w:val="00A85F7D"/>
    <w:rsid w:val="00A86777"/>
    <w:rsid w:val="00A872B4"/>
    <w:rsid w:val="00A87D99"/>
    <w:rsid w:val="00A9218A"/>
    <w:rsid w:val="00A921C7"/>
    <w:rsid w:val="00A939EF"/>
    <w:rsid w:val="00A93D38"/>
    <w:rsid w:val="00A940FF"/>
    <w:rsid w:val="00A943DD"/>
    <w:rsid w:val="00A944D3"/>
    <w:rsid w:val="00A94942"/>
    <w:rsid w:val="00A94F24"/>
    <w:rsid w:val="00A951CF"/>
    <w:rsid w:val="00A95E40"/>
    <w:rsid w:val="00AA04B2"/>
    <w:rsid w:val="00AA0922"/>
    <w:rsid w:val="00AA2B8B"/>
    <w:rsid w:val="00AA3572"/>
    <w:rsid w:val="00AA36D3"/>
    <w:rsid w:val="00AA5AA6"/>
    <w:rsid w:val="00AA5AE4"/>
    <w:rsid w:val="00AA5B5D"/>
    <w:rsid w:val="00AA60BA"/>
    <w:rsid w:val="00AA6379"/>
    <w:rsid w:val="00AB0341"/>
    <w:rsid w:val="00AB0476"/>
    <w:rsid w:val="00AB0591"/>
    <w:rsid w:val="00AB0BA0"/>
    <w:rsid w:val="00AB0BDD"/>
    <w:rsid w:val="00AB0C7A"/>
    <w:rsid w:val="00AB15F1"/>
    <w:rsid w:val="00AB1F50"/>
    <w:rsid w:val="00AB2427"/>
    <w:rsid w:val="00AB24D4"/>
    <w:rsid w:val="00AB3D7A"/>
    <w:rsid w:val="00AB3E45"/>
    <w:rsid w:val="00AB557F"/>
    <w:rsid w:val="00AB5CD0"/>
    <w:rsid w:val="00AB633D"/>
    <w:rsid w:val="00AB6DB4"/>
    <w:rsid w:val="00AB7208"/>
    <w:rsid w:val="00AB76B4"/>
    <w:rsid w:val="00AB7AFA"/>
    <w:rsid w:val="00AC1684"/>
    <w:rsid w:val="00AC16FA"/>
    <w:rsid w:val="00AC205C"/>
    <w:rsid w:val="00AC2A9A"/>
    <w:rsid w:val="00AC3E0F"/>
    <w:rsid w:val="00AC4B86"/>
    <w:rsid w:val="00AC51E2"/>
    <w:rsid w:val="00AC5D72"/>
    <w:rsid w:val="00AC5E45"/>
    <w:rsid w:val="00AC5FFD"/>
    <w:rsid w:val="00AC6064"/>
    <w:rsid w:val="00AC73E5"/>
    <w:rsid w:val="00AD04C2"/>
    <w:rsid w:val="00AD0781"/>
    <w:rsid w:val="00AD0F68"/>
    <w:rsid w:val="00AD13FA"/>
    <w:rsid w:val="00AD233E"/>
    <w:rsid w:val="00AD2627"/>
    <w:rsid w:val="00AD27F0"/>
    <w:rsid w:val="00AD2A72"/>
    <w:rsid w:val="00AD4076"/>
    <w:rsid w:val="00AD4B23"/>
    <w:rsid w:val="00AD556B"/>
    <w:rsid w:val="00AD700E"/>
    <w:rsid w:val="00AD74D1"/>
    <w:rsid w:val="00AD76AA"/>
    <w:rsid w:val="00AD7EF1"/>
    <w:rsid w:val="00AE0F78"/>
    <w:rsid w:val="00AE1331"/>
    <w:rsid w:val="00AE15E0"/>
    <w:rsid w:val="00AE2129"/>
    <w:rsid w:val="00AE285D"/>
    <w:rsid w:val="00AE32BD"/>
    <w:rsid w:val="00AE4107"/>
    <w:rsid w:val="00AE4378"/>
    <w:rsid w:val="00AE4CF3"/>
    <w:rsid w:val="00AE7626"/>
    <w:rsid w:val="00AE78F5"/>
    <w:rsid w:val="00AF0AFA"/>
    <w:rsid w:val="00AF0EDC"/>
    <w:rsid w:val="00AF0EE4"/>
    <w:rsid w:val="00AF1D12"/>
    <w:rsid w:val="00AF1E08"/>
    <w:rsid w:val="00AF1EB3"/>
    <w:rsid w:val="00AF2090"/>
    <w:rsid w:val="00AF2335"/>
    <w:rsid w:val="00AF3142"/>
    <w:rsid w:val="00AF3801"/>
    <w:rsid w:val="00AF3C77"/>
    <w:rsid w:val="00AF3F98"/>
    <w:rsid w:val="00AF41C3"/>
    <w:rsid w:val="00AF4EA6"/>
    <w:rsid w:val="00AF4FBD"/>
    <w:rsid w:val="00AF4FC8"/>
    <w:rsid w:val="00AF6096"/>
    <w:rsid w:val="00AF61EE"/>
    <w:rsid w:val="00AF65D3"/>
    <w:rsid w:val="00B0050B"/>
    <w:rsid w:val="00B01001"/>
    <w:rsid w:val="00B0130C"/>
    <w:rsid w:val="00B01658"/>
    <w:rsid w:val="00B01860"/>
    <w:rsid w:val="00B020E2"/>
    <w:rsid w:val="00B02BCE"/>
    <w:rsid w:val="00B02E07"/>
    <w:rsid w:val="00B02EA1"/>
    <w:rsid w:val="00B0301A"/>
    <w:rsid w:val="00B03972"/>
    <w:rsid w:val="00B0401C"/>
    <w:rsid w:val="00B041F8"/>
    <w:rsid w:val="00B04240"/>
    <w:rsid w:val="00B05DCE"/>
    <w:rsid w:val="00B064F0"/>
    <w:rsid w:val="00B065A9"/>
    <w:rsid w:val="00B076DD"/>
    <w:rsid w:val="00B105FD"/>
    <w:rsid w:val="00B10A13"/>
    <w:rsid w:val="00B12F56"/>
    <w:rsid w:val="00B134D9"/>
    <w:rsid w:val="00B13773"/>
    <w:rsid w:val="00B14C0E"/>
    <w:rsid w:val="00B16302"/>
    <w:rsid w:val="00B16501"/>
    <w:rsid w:val="00B16D76"/>
    <w:rsid w:val="00B170F2"/>
    <w:rsid w:val="00B20378"/>
    <w:rsid w:val="00B20448"/>
    <w:rsid w:val="00B208BF"/>
    <w:rsid w:val="00B20A15"/>
    <w:rsid w:val="00B20B4B"/>
    <w:rsid w:val="00B21F34"/>
    <w:rsid w:val="00B22766"/>
    <w:rsid w:val="00B24A31"/>
    <w:rsid w:val="00B24CF1"/>
    <w:rsid w:val="00B24D07"/>
    <w:rsid w:val="00B25CC4"/>
    <w:rsid w:val="00B26829"/>
    <w:rsid w:val="00B2754A"/>
    <w:rsid w:val="00B27A44"/>
    <w:rsid w:val="00B3079E"/>
    <w:rsid w:val="00B30A44"/>
    <w:rsid w:val="00B30BA3"/>
    <w:rsid w:val="00B3124C"/>
    <w:rsid w:val="00B325B4"/>
    <w:rsid w:val="00B32C82"/>
    <w:rsid w:val="00B33585"/>
    <w:rsid w:val="00B338BE"/>
    <w:rsid w:val="00B34F50"/>
    <w:rsid w:val="00B356FA"/>
    <w:rsid w:val="00B364CF"/>
    <w:rsid w:val="00B364DC"/>
    <w:rsid w:val="00B36A6D"/>
    <w:rsid w:val="00B36C1E"/>
    <w:rsid w:val="00B37993"/>
    <w:rsid w:val="00B40590"/>
    <w:rsid w:val="00B415D7"/>
    <w:rsid w:val="00B42817"/>
    <w:rsid w:val="00B44009"/>
    <w:rsid w:val="00B4423F"/>
    <w:rsid w:val="00B46AC1"/>
    <w:rsid w:val="00B47AE5"/>
    <w:rsid w:val="00B50BA4"/>
    <w:rsid w:val="00B517AB"/>
    <w:rsid w:val="00B51BA1"/>
    <w:rsid w:val="00B52660"/>
    <w:rsid w:val="00B54353"/>
    <w:rsid w:val="00B54AB4"/>
    <w:rsid w:val="00B54C79"/>
    <w:rsid w:val="00B54DE7"/>
    <w:rsid w:val="00B54E9C"/>
    <w:rsid w:val="00B5644C"/>
    <w:rsid w:val="00B57193"/>
    <w:rsid w:val="00B57A0C"/>
    <w:rsid w:val="00B6013E"/>
    <w:rsid w:val="00B601F2"/>
    <w:rsid w:val="00B60338"/>
    <w:rsid w:val="00B60446"/>
    <w:rsid w:val="00B605E2"/>
    <w:rsid w:val="00B608AB"/>
    <w:rsid w:val="00B613D5"/>
    <w:rsid w:val="00B62843"/>
    <w:rsid w:val="00B62E22"/>
    <w:rsid w:val="00B6351D"/>
    <w:rsid w:val="00B639D9"/>
    <w:rsid w:val="00B63B88"/>
    <w:rsid w:val="00B63E97"/>
    <w:rsid w:val="00B65791"/>
    <w:rsid w:val="00B65C8A"/>
    <w:rsid w:val="00B66814"/>
    <w:rsid w:val="00B67513"/>
    <w:rsid w:val="00B67DB1"/>
    <w:rsid w:val="00B70541"/>
    <w:rsid w:val="00B70835"/>
    <w:rsid w:val="00B70DCD"/>
    <w:rsid w:val="00B70E50"/>
    <w:rsid w:val="00B71213"/>
    <w:rsid w:val="00B712BB"/>
    <w:rsid w:val="00B71774"/>
    <w:rsid w:val="00B71B0B"/>
    <w:rsid w:val="00B736B3"/>
    <w:rsid w:val="00B7472E"/>
    <w:rsid w:val="00B74B9D"/>
    <w:rsid w:val="00B75EAE"/>
    <w:rsid w:val="00B76C9B"/>
    <w:rsid w:val="00B77355"/>
    <w:rsid w:val="00B809D9"/>
    <w:rsid w:val="00B8112A"/>
    <w:rsid w:val="00B8121D"/>
    <w:rsid w:val="00B81363"/>
    <w:rsid w:val="00B85592"/>
    <w:rsid w:val="00B8590D"/>
    <w:rsid w:val="00B86EBF"/>
    <w:rsid w:val="00B87A71"/>
    <w:rsid w:val="00B9022F"/>
    <w:rsid w:val="00B90476"/>
    <w:rsid w:val="00B9186A"/>
    <w:rsid w:val="00B921E7"/>
    <w:rsid w:val="00B92AE8"/>
    <w:rsid w:val="00B92D11"/>
    <w:rsid w:val="00B9304C"/>
    <w:rsid w:val="00B944D6"/>
    <w:rsid w:val="00BA1C71"/>
    <w:rsid w:val="00BA3CF5"/>
    <w:rsid w:val="00BA427F"/>
    <w:rsid w:val="00BA4495"/>
    <w:rsid w:val="00BA4509"/>
    <w:rsid w:val="00BA4DD1"/>
    <w:rsid w:val="00BA680E"/>
    <w:rsid w:val="00BA70F8"/>
    <w:rsid w:val="00BA7F4B"/>
    <w:rsid w:val="00BB087D"/>
    <w:rsid w:val="00BB0931"/>
    <w:rsid w:val="00BB0A79"/>
    <w:rsid w:val="00BB2B1B"/>
    <w:rsid w:val="00BB4777"/>
    <w:rsid w:val="00BB4898"/>
    <w:rsid w:val="00BB5F4D"/>
    <w:rsid w:val="00BC0A19"/>
    <w:rsid w:val="00BC0C1D"/>
    <w:rsid w:val="00BC0F28"/>
    <w:rsid w:val="00BC14BD"/>
    <w:rsid w:val="00BC2629"/>
    <w:rsid w:val="00BC28C4"/>
    <w:rsid w:val="00BC342B"/>
    <w:rsid w:val="00BC3708"/>
    <w:rsid w:val="00BC4F33"/>
    <w:rsid w:val="00BC5561"/>
    <w:rsid w:val="00BC5AC7"/>
    <w:rsid w:val="00BC75EB"/>
    <w:rsid w:val="00BC79AB"/>
    <w:rsid w:val="00BC7B21"/>
    <w:rsid w:val="00BD08A9"/>
    <w:rsid w:val="00BD22FA"/>
    <w:rsid w:val="00BD3E82"/>
    <w:rsid w:val="00BD41E4"/>
    <w:rsid w:val="00BD4ED5"/>
    <w:rsid w:val="00BD5A4B"/>
    <w:rsid w:val="00BD6303"/>
    <w:rsid w:val="00BD72A3"/>
    <w:rsid w:val="00BD7DE3"/>
    <w:rsid w:val="00BE0E47"/>
    <w:rsid w:val="00BE1547"/>
    <w:rsid w:val="00BE1818"/>
    <w:rsid w:val="00BE1C97"/>
    <w:rsid w:val="00BE2E81"/>
    <w:rsid w:val="00BE35D4"/>
    <w:rsid w:val="00BE37E1"/>
    <w:rsid w:val="00BE3EFE"/>
    <w:rsid w:val="00BE4234"/>
    <w:rsid w:val="00BE4875"/>
    <w:rsid w:val="00BE50FA"/>
    <w:rsid w:val="00BE5CFF"/>
    <w:rsid w:val="00BE796B"/>
    <w:rsid w:val="00BF0570"/>
    <w:rsid w:val="00BF0DD9"/>
    <w:rsid w:val="00BF1C27"/>
    <w:rsid w:val="00BF21B4"/>
    <w:rsid w:val="00BF3B76"/>
    <w:rsid w:val="00BF3F47"/>
    <w:rsid w:val="00BF41B4"/>
    <w:rsid w:val="00BF48B2"/>
    <w:rsid w:val="00BF52EE"/>
    <w:rsid w:val="00BF5766"/>
    <w:rsid w:val="00BF6048"/>
    <w:rsid w:val="00BF64BD"/>
    <w:rsid w:val="00BF6A1E"/>
    <w:rsid w:val="00BF720E"/>
    <w:rsid w:val="00BF78B7"/>
    <w:rsid w:val="00BF7C47"/>
    <w:rsid w:val="00C006EE"/>
    <w:rsid w:val="00C0092C"/>
    <w:rsid w:val="00C023F2"/>
    <w:rsid w:val="00C032F0"/>
    <w:rsid w:val="00C03B12"/>
    <w:rsid w:val="00C03B31"/>
    <w:rsid w:val="00C04157"/>
    <w:rsid w:val="00C04251"/>
    <w:rsid w:val="00C05235"/>
    <w:rsid w:val="00C057F9"/>
    <w:rsid w:val="00C05D97"/>
    <w:rsid w:val="00C06A2C"/>
    <w:rsid w:val="00C06F30"/>
    <w:rsid w:val="00C10376"/>
    <w:rsid w:val="00C10561"/>
    <w:rsid w:val="00C13365"/>
    <w:rsid w:val="00C135D0"/>
    <w:rsid w:val="00C1390D"/>
    <w:rsid w:val="00C13E63"/>
    <w:rsid w:val="00C14B89"/>
    <w:rsid w:val="00C163CB"/>
    <w:rsid w:val="00C16620"/>
    <w:rsid w:val="00C16D4A"/>
    <w:rsid w:val="00C17B5C"/>
    <w:rsid w:val="00C20968"/>
    <w:rsid w:val="00C2098F"/>
    <w:rsid w:val="00C20EF0"/>
    <w:rsid w:val="00C21E7A"/>
    <w:rsid w:val="00C22813"/>
    <w:rsid w:val="00C23001"/>
    <w:rsid w:val="00C23011"/>
    <w:rsid w:val="00C23674"/>
    <w:rsid w:val="00C23D51"/>
    <w:rsid w:val="00C240C4"/>
    <w:rsid w:val="00C268CD"/>
    <w:rsid w:val="00C309F7"/>
    <w:rsid w:val="00C30FF2"/>
    <w:rsid w:val="00C31765"/>
    <w:rsid w:val="00C32356"/>
    <w:rsid w:val="00C32626"/>
    <w:rsid w:val="00C32EF3"/>
    <w:rsid w:val="00C33819"/>
    <w:rsid w:val="00C33CF8"/>
    <w:rsid w:val="00C33D52"/>
    <w:rsid w:val="00C33F21"/>
    <w:rsid w:val="00C34415"/>
    <w:rsid w:val="00C3441B"/>
    <w:rsid w:val="00C34AAE"/>
    <w:rsid w:val="00C35581"/>
    <w:rsid w:val="00C35C54"/>
    <w:rsid w:val="00C35E4C"/>
    <w:rsid w:val="00C35FAC"/>
    <w:rsid w:val="00C3696D"/>
    <w:rsid w:val="00C36ABC"/>
    <w:rsid w:val="00C3708D"/>
    <w:rsid w:val="00C37957"/>
    <w:rsid w:val="00C37D5E"/>
    <w:rsid w:val="00C37F22"/>
    <w:rsid w:val="00C4014D"/>
    <w:rsid w:val="00C402BD"/>
    <w:rsid w:val="00C41418"/>
    <w:rsid w:val="00C41FDB"/>
    <w:rsid w:val="00C43BD0"/>
    <w:rsid w:val="00C43FE2"/>
    <w:rsid w:val="00C44674"/>
    <w:rsid w:val="00C44813"/>
    <w:rsid w:val="00C461AD"/>
    <w:rsid w:val="00C46266"/>
    <w:rsid w:val="00C462B3"/>
    <w:rsid w:val="00C4662C"/>
    <w:rsid w:val="00C47319"/>
    <w:rsid w:val="00C47C75"/>
    <w:rsid w:val="00C50108"/>
    <w:rsid w:val="00C51C35"/>
    <w:rsid w:val="00C5212F"/>
    <w:rsid w:val="00C5223B"/>
    <w:rsid w:val="00C52B82"/>
    <w:rsid w:val="00C535AD"/>
    <w:rsid w:val="00C55A0C"/>
    <w:rsid w:val="00C55AC2"/>
    <w:rsid w:val="00C561BF"/>
    <w:rsid w:val="00C563C3"/>
    <w:rsid w:val="00C57236"/>
    <w:rsid w:val="00C60A97"/>
    <w:rsid w:val="00C60C79"/>
    <w:rsid w:val="00C60DCE"/>
    <w:rsid w:val="00C61192"/>
    <w:rsid w:val="00C6191B"/>
    <w:rsid w:val="00C61E14"/>
    <w:rsid w:val="00C63584"/>
    <w:rsid w:val="00C63896"/>
    <w:rsid w:val="00C63ED2"/>
    <w:rsid w:val="00C654E6"/>
    <w:rsid w:val="00C65A0A"/>
    <w:rsid w:val="00C65CF0"/>
    <w:rsid w:val="00C65FA1"/>
    <w:rsid w:val="00C6639E"/>
    <w:rsid w:val="00C66806"/>
    <w:rsid w:val="00C670CB"/>
    <w:rsid w:val="00C67968"/>
    <w:rsid w:val="00C70363"/>
    <w:rsid w:val="00C7042B"/>
    <w:rsid w:val="00C7111F"/>
    <w:rsid w:val="00C71359"/>
    <w:rsid w:val="00C713CE"/>
    <w:rsid w:val="00C71AF3"/>
    <w:rsid w:val="00C72006"/>
    <w:rsid w:val="00C727EC"/>
    <w:rsid w:val="00C72AD4"/>
    <w:rsid w:val="00C73294"/>
    <w:rsid w:val="00C73F6C"/>
    <w:rsid w:val="00C774C4"/>
    <w:rsid w:val="00C80C11"/>
    <w:rsid w:val="00C80F6A"/>
    <w:rsid w:val="00C816D2"/>
    <w:rsid w:val="00C81D97"/>
    <w:rsid w:val="00C81F03"/>
    <w:rsid w:val="00C82844"/>
    <w:rsid w:val="00C82EB9"/>
    <w:rsid w:val="00C83B5C"/>
    <w:rsid w:val="00C8471B"/>
    <w:rsid w:val="00C859A5"/>
    <w:rsid w:val="00C86CCF"/>
    <w:rsid w:val="00C874F7"/>
    <w:rsid w:val="00C91263"/>
    <w:rsid w:val="00C9186F"/>
    <w:rsid w:val="00C91A29"/>
    <w:rsid w:val="00C91AB8"/>
    <w:rsid w:val="00C9254C"/>
    <w:rsid w:val="00C92681"/>
    <w:rsid w:val="00C92E1E"/>
    <w:rsid w:val="00C9353E"/>
    <w:rsid w:val="00C942B5"/>
    <w:rsid w:val="00C961B3"/>
    <w:rsid w:val="00C97359"/>
    <w:rsid w:val="00C97513"/>
    <w:rsid w:val="00C97976"/>
    <w:rsid w:val="00C97C31"/>
    <w:rsid w:val="00C97E29"/>
    <w:rsid w:val="00CA0E21"/>
    <w:rsid w:val="00CA13DB"/>
    <w:rsid w:val="00CA1C22"/>
    <w:rsid w:val="00CA231C"/>
    <w:rsid w:val="00CA2BE9"/>
    <w:rsid w:val="00CA3EAB"/>
    <w:rsid w:val="00CA3FDF"/>
    <w:rsid w:val="00CA43D6"/>
    <w:rsid w:val="00CA45E0"/>
    <w:rsid w:val="00CA461E"/>
    <w:rsid w:val="00CA4B7C"/>
    <w:rsid w:val="00CA7035"/>
    <w:rsid w:val="00CB02CD"/>
    <w:rsid w:val="00CB12D4"/>
    <w:rsid w:val="00CB15DA"/>
    <w:rsid w:val="00CB164A"/>
    <w:rsid w:val="00CB244A"/>
    <w:rsid w:val="00CB7C74"/>
    <w:rsid w:val="00CB7CE8"/>
    <w:rsid w:val="00CB7DA4"/>
    <w:rsid w:val="00CC108B"/>
    <w:rsid w:val="00CC11EC"/>
    <w:rsid w:val="00CC12B5"/>
    <w:rsid w:val="00CC17EF"/>
    <w:rsid w:val="00CC29DC"/>
    <w:rsid w:val="00CC3D19"/>
    <w:rsid w:val="00CC47FE"/>
    <w:rsid w:val="00CC4E16"/>
    <w:rsid w:val="00CC4ED6"/>
    <w:rsid w:val="00CC591B"/>
    <w:rsid w:val="00CC63C6"/>
    <w:rsid w:val="00CC738C"/>
    <w:rsid w:val="00CD2624"/>
    <w:rsid w:val="00CD3435"/>
    <w:rsid w:val="00CD3644"/>
    <w:rsid w:val="00CD38EA"/>
    <w:rsid w:val="00CD3BAD"/>
    <w:rsid w:val="00CD3BF0"/>
    <w:rsid w:val="00CD5A0E"/>
    <w:rsid w:val="00CD60E7"/>
    <w:rsid w:val="00CD670C"/>
    <w:rsid w:val="00CD7DD0"/>
    <w:rsid w:val="00CE0780"/>
    <w:rsid w:val="00CE0B98"/>
    <w:rsid w:val="00CE0BBA"/>
    <w:rsid w:val="00CE0D2C"/>
    <w:rsid w:val="00CE2F0B"/>
    <w:rsid w:val="00CE307D"/>
    <w:rsid w:val="00CE424A"/>
    <w:rsid w:val="00CE4C63"/>
    <w:rsid w:val="00CE4E82"/>
    <w:rsid w:val="00CE50B2"/>
    <w:rsid w:val="00CE55A2"/>
    <w:rsid w:val="00CE5801"/>
    <w:rsid w:val="00CE5D15"/>
    <w:rsid w:val="00CE729B"/>
    <w:rsid w:val="00CF12D6"/>
    <w:rsid w:val="00CF1311"/>
    <w:rsid w:val="00CF14A5"/>
    <w:rsid w:val="00CF1656"/>
    <w:rsid w:val="00CF1B68"/>
    <w:rsid w:val="00CF1D9C"/>
    <w:rsid w:val="00CF2B36"/>
    <w:rsid w:val="00CF2D86"/>
    <w:rsid w:val="00CF37B9"/>
    <w:rsid w:val="00CF3970"/>
    <w:rsid w:val="00CF469A"/>
    <w:rsid w:val="00CF550E"/>
    <w:rsid w:val="00CF6853"/>
    <w:rsid w:val="00CF6C92"/>
    <w:rsid w:val="00CF735A"/>
    <w:rsid w:val="00CF7652"/>
    <w:rsid w:val="00CF7E84"/>
    <w:rsid w:val="00D00045"/>
    <w:rsid w:val="00D0143C"/>
    <w:rsid w:val="00D02710"/>
    <w:rsid w:val="00D056FF"/>
    <w:rsid w:val="00D06495"/>
    <w:rsid w:val="00D067D8"/>
    <w:rsid w:val="00D07088"/>
    <w:rsid w:val="00D1013C"/>
    <w:rsid w:val="00D109DE"/>
    <w:rsid w:val="00D10B25"/>
    <w:rsid w:val="00D10D85"/>
    <w:rsid w:val="00D11AB9"/>
    <w:rsid w:val="00D123BE"/>
    <w:rsid w:val="00D125F5"/>
    <w:rsid w:val="00D12BE4"/>
    <w:rsid w:val="00D12DEC"/>
    <w:rsid w:val="00D1321D"/>
    <w:rsid w:val="00D13EB4"/>
    <w:rsid w:val="00D144EF"/>
    <w:rsid w:val="00D1455C"/>
    <w:rsid w:val="00D14AE9"/>
    <w:rsid w:val="00D15651"/>
    <w:rsid w:val="00D162E5"/>
    <w:rsid w:val="00D16EF6"/>
    <w:rsid w:val="00D179DF"/>
    <w:rsid w:val="00D17B70"/>
    <w:rsid w:val="00D17E67"/>
    <w:rsid w:val="00D20338"/>
    <w:rsid w:val="00D211E5"/>
    <w:rsid w:val="00D216E7"/>
    <w:rsid w:val="00D2176B"/>
    <w:rsid w:val="00D239E2"/>
    <w:rsid w:val="00D24A05"/>
    <w:rsid w:val="00D27F5B"/>
    <w:rsid w:val="00D30087"/>
    <w:rsid w:val="00D30945"/>
    <w:rsid w:val="00D30A1B"/>
    <w:rsid w:val="00D313CD"/>
    <w:rsid w:val="00D31471"/>
    <w:rsid w:val="00D314F6"/>
    <w:rsid w:val="00D319E0"/>
    <w:rsid w:val="00D31B6B"/>
    <w:rsid w:val="00D3218F"/>
    <w:rsid w:val="00D33128"/>
    <w:rsid w:val="00D331B9"/>
    <w:rsid w:val="00D340D9"/>
    <w:rsid w:val="00D3491E"/>
    <w:rsid w:val="00D36049"/>
    <w:rsid w:val="00D36AD2"/>
    <w:rsid w:val="00D37453"/>
    <w:rsid w:val="00D37D22"/>
    <w:rsid w:val="00D37F47"/>
    <w:rsid w:val="00D37FD5"/>
    <w:rsid w:val="00D40ADD"/>
    <w:rsid w:val="00D41278"/>
    <w:rsid w:val="00D41C0C"/>
    <w:rsid w:val="00D42390"/>
    <w:rsid w:val="00D424A3"/>
    <w:rsid w:val="00D428D3"/>
    <w:rsid w:val="00D429D0"/>
    <w:rsid w:val="00D4381C"/>
    <w:rsid w:val="00D449F2"/>
    <w:rsid w:val="00D4503B"/>
    <w:rsid w:val="00D45EA7"/>
    <w:rsid w:val="00D463BD"/>
    <w:rsid w:val="00D46932"/>
    <w:rsid w:val="00D46D77"/>
    <w:rsid w:val="00D46E49"/>
    <w:rsid w:val="00D50357"/>
    <w:rsid w:val="00D50726"/>
    <w:rsid w:val="00D510AC"/>
    <w:rsid w:val="00D51625"/>
    <w:rsid w:val="00D522AB"/>
    <w:rsid w:val="00D52B49"/>
    <w:rsid w:val="00D53134"/>
    <w:rsid w:val="00D5368A"/>
    <w:rsid w:val="00D558D7"/>
    <w:rsid w:val="00D55EE4"/>
    <w:rsid w:val="00D563C0"/>
    <w:rsid w:val="00D56884"/>
    <w:rsid w:val="00D607F8"/>
    <w:rsid w:val="00D61146"/>
    <w:rsid w:val="00D615E3"/>
    <w:rsid w:val="00D618A8"/>
    <w:rsid w:val="00D61996"/>
    <w:rsid w:val="00D61A1E"/>
    <w:rsid w:val="00D62492"/>
    <w:rsid w:val="00D63504"/>
    <w:rsid w:val="00D63E39"/>
    <w:rsid w:val="00D64E5F"/>
    <w:rsid w:val="00D65551"/>
    <w:rsid w:val="00D65A15"/>
    <w:rsid w:val="00D66C5E"/>
    <w:rsid w:val="00D66E67"/>
    <w:rsid w:val="00D676F3"/>
    <w:rsid w:val="00D7000F"/>
    <w:rsid w:val="00D70413"/>
    <w:rsid w:val="00D70DF6"/>
    <w:rsid w:val="00D70F5F"/>
    <w:rsid w:val="00D72A5F"/>
    <w:rsid w:val="00D72BD2"/>
    <w:rsid w:val="00D739D9"/>
    <w:rsid w:val="00D74DC0"/>
    <w:rsid w:val="00D75186"/>
    <w:rsid w:val="00D752A9"/>
    <w:rsid w:val="00D7542B"/>
    <w:rsid w:val="00D756EA"/>
    <w:rsid w:val="00D75A5C"/>
    <w:rsid w:val="00D75F5A"/>
    <w:rsid w:val="00D76061"/>
    <w:rsid w:val="00D7632A"/>
    <w:rsid w:val="00D763F5"/>
    <w:rsid w:val="00D766CF"/>
    <w:rsid w:val="00D776D6"/>
    <w:rsid w:val="00D77895"/>
    <w:rsid w:val="00D7794C"/>
    <w:rsid w:val="00D8019F"/>
    <w:rsid w:val="00D8065C"/>
    <w:rsid w:val="00D80CBD"/>
    <w:rsid w:val="00D817D8"/>
    <w:rsid w:val="00D81C53"/>
    <w:rsid w:val="00D8348B"/>
    <w:rsid w:val="00D83F68"/>
    <w:rsid w:val="00D84170"/>
    <w:rsid w:val="00D84836"/>
    <w:rsid w:val="00D84919"/>
    <w:rsid w:val="00D84ED8"/>
    <w:rsid w:val="00D85173"/>
    <w:rsid w:val="00D85AB3"/>
    <w:rsid w:val="00D863A8"/>
    <w:rsid w:val="00D86D43"/>
    <w:rsid w:val="00D9029C"/>
    <w:rsid w:val="00D9113B"/>
    <w:rsid w:val="00D921B6"/>
    <w:rsid w:val="00D92401"/>
    <w:rsid w:val="00D9251B"/>
    <w:rsid w:val="00D925C7"/>
    <w:rsid w:val="00D93E76"/>
    <w:rsid w:val="00D9475D"/>
    <w:rsid w:val="00D949B1"/>
    <w:rsid w:val="00D95115"/>
    <w:rsid w:val="00D95551"/>
    <w:rsid w:val="00D95AF1"/>
    <w:rsid w:val="00D95BD5"/>
    <w:rsid w:val="00D960C1"/>
    <w:rsid w:val="00D96919"/>
    <w:rsid w:val="00D97D43"/>
    <w:rsid w:val="00DA124B"/>
    <w:rsid w:val="00DA1AA9"/>
    <w:rsid w:val="00DA280F"/>
    <w:rsid w:val="00DA324C"/>
    <w:rsid w:val="00DA48AF"/>
    <w:rsid w:val="00DA4AF2"/>
    <w:rsid w:val="00DA5050"/>
    <w:rsid w:val="00DA50ED"/>
    <w:rsid w:val="00DA6636"/>
    <w:rsid w:val="00DA6B25"/>
    <w:rsid w:val="00DA78D9"/>
    <w:rsid w:val="00DB0072"/>
    <w:rsid w:val="00DB0563"/>
    <w:rsid w:val="00DB14A5"/>
    <w:rsid w:val="00DB14C4"/>
    <w:rsid w:val="00DB14F6"/>
    <w:rsid w:val="00DB1932"/>
    <w:rsid w:val="00DB1EA8"/>
    <w:rsid w:val="00DB2235"/>
    <w:rsid w:val="00DB257E"/>
    <w:rsid w:val="00DB27BE"/>
    <w:rsid w:val="00DB2E7E"/>
    <w:rsid w:val="00DB306B"/>
    <w:rsid w:val="00DB31F3"/>
    <w:rsid w:val="00DB3FA1"/>
    <w:rsid w:val="00DB54B0"/>
    <w:rsid w:val="00DB5BFA"/>
    <w:rsid w:val="00DB63D1"/>
    <w:rsid w:val="00DB6778"/>
    <w:rsid w:val="00DB7FDD"/>
    <w:rsid w:val="00DC0ACB"/>
    <w:rsid w:val="00DC1529"/>
    <w:rsid w:val="00DC1B4B"/>
    <w:rsid w:val="00DC216E"/>
    <w:rsid w:val="00DC3420"/>
    <w:rsid w:val="00DC4CCB"/>
    <w:rsid w:val="00DC5083"/>
    <w:rsid w:val="00DC6433"/>
    <w:rsid w:val="00DC716C"/>
    <w:rsid w:val="00DD020B"/>
    <w:rsid w:val="00DD0438"/>
    <w:rsid w:val="00DD0539"/>
    <w:rsid w:val="00DD2C71"/>
    <w:rsid w:val="00DD3172"/>
    <w:rsid w:val="00DD318E"/>
    <w:rsid w:val="00DD3BD1"/>
    <w:rsid w:val="00DD5066"/>
    <w:rsid w:val="00DD52AD"/>
    <w:rsid w:val="00DD5B6F"/>
    <w:rsid w:val="00DD5C4D"/>
    <w:rsid w:val="00DD6988"/>
    <w:rsid w:val="00DD6D1D"/>
    <w:rsid w:val="00DE2F50"/>
    <w:rsid w:val="00DE37ED"/>
    <w:rsid w:val="00DE54E6"/>
    <w:rsid w:val="00DE5E65"/>
    <w:rsid w:val="00DE5F6D"/>
    <w:rsid w:val="00DE6646"/>
    <w:rsid w:val="00DE7006"/>
    <w:rsid w:val="00DE7A1F"/>
    <w:rsid w:val="00DF005D"/>
    <w:rsid w:val="00DF07F3"/>
    <w:rsid w:val="00DF11FC"/>
    <w:rsid w:val="00DF2648"/>
    <w:rsid w:val="00DF281B"/>
    <w:rsid w:val="00DF2D84"/>
    <w:rsid w:val="00DF34D5"/>
    <w:rsid w:val="00DF35AE"/>
    <w:rsid w:val="00DF361B"/>
    <w:rsid w:val="00DF378E"/>
    <w:rsid w:val="00DF4084"/>
    <w:rsid w:val="00DF4D49"/>
    <w:rsid w:val="00DF5510"/>
    <w:rsid w:val="00DF6CFA"/>
    <w:rsid w:val="00DF7E45"/>
    <w:rsid w:val="00E00897"/>
    <w:rsid w:val="00E008E1"/>
    <w:rsid w:val="00E01981"/>
    <w:rsid w:val="00E02496"/>
    <w:rsid w:val="00E02760"/>
    <w:rsid w:val="00E02E87"/>
    <w:rsid w:val="00E031BA"/>
    <w:rsid w:val="00E032E2"/>
    <w:rsid w:val="00E0396C"/>
    <w:rsid w:val="00E054DE"/>
    <w:rsid w:val="00E06308"/>
    <w:rsid w:val="00E0632A"/>
    <w:rsid w:val="00E064B3"/>
    <w:rsid w:val="00E07622"/>
    <w:rsid w:val="00E1003E"/>
    <w:rsid w:val="00E1062E"/>
    <w:rsid w:val="00E10994"/>
    <w:rsid w:val="00E10B4F"/>
    <w:rsid w:val="00E11842"/>
    <w:rsid w:val="00E12298"/>
    <w:rsid w:val="00E128F9"/>
    <w:rsid w:val="00E136FA"/>
    <w:rsid w:val="00E13EA5"/>
    <w:rsid w:val="00E141E6"/>
    <w:rsid w:val="00E1512D"/>
    <w:rsid w:val="00E15D87"/>
    <w:rsid w:val="00E160D9"/>
    <w:rsid w:val="00E166ED"/>
    <w:rsid w:val="00E16C41"/>
    <w:rsid w:val="00E171C9"/>
    <w:rsid w:val="00E1754B"/>
    <w:rsid w:val="00E17799"/>
    <w:rsid w:val="00E20599"/>
    <w:rsid w:val="00E20898"/>
    <w:rsid w:val="00E21AE7"/>
    <w:rsid w:val="00E21B82"/>
    <w:rsid w:val="00E220BB"/>
    <w:rsid w:val="00E226EF"/>
    <w:rsid w:val="00E22849"/>
    <w:rsid w:val="00E22AE3"/>
    <w:rsid w:val="00E27507"/>
    <w:rsid w:val="00E31295"/>
    <w:rsid w:val="00E31529"/>
    <w:rsid w:val="00E331D7"/>
    <w:rsid w:val="00E3323A"/>
    <w:rsid w:val="00E33506"/>
    <w:rsid w:val="00E335E1"/>
    <w:rsid w:val="00E33F47"/>
    <w:rsid w:val="00E34DE7"/>
    <w:rsid w:val="00E3516B"/>
    <w:rsid w:val="00E35340"/>
    <w:rsid w:val="00E35797"/>
    <w:rsid w:val="00E363B8"/>
    <w:rsid w:val="00E36522"/>
    <w:rsid w:val="00E36E1C"/>
    <w:rsid w:val="00E3744C"/>
    <w:rsid w:val="00E37538"/>
    <w:rsid w:val="00E37812"/>
    <w:rsid w:val="00E378C6"/>
    <w:rsid w:val="00E37ABF"/>
    <w:rsid w:val="00E40C54"/>
    <w:rsid w:val="00E41308"/>
    <w:rsid w:val="00E41457"/>
    <w:rsid w:val="00E41462"/>
    <w:rsid w:val="00E4150F"/>
    <w:rsid w:val="00E41992"/>
    <w:rsid w:val="00E41B77"/>
    <w:rsid w:val="00E4231A"/>
    <w:rsid w:val="00E43ABE"/>
    <w:rsid w:val="00E43F4F"/>
    <w:rsid w:val="00E43FA5"/>
    <w:rsid w:val="00E44574"/>
    <w:rsid w:val="00E451B7"/>
    <w:rsid w:val="00E45395"/>
    <w:rsid w:val="00E4556D"/>
    <w:rsid w:val="00E45A0C"/>
    <w:rsid w:val="00E46806"/>
    <w:rsid w:val="00E46F42"/>
    <w:rsid w:val="00E47492"/>
    <w:rsid w:val="00E47B91"/>
    <w:rsid w:val="00E47EBB"/>
    <w:rsid w:val="00E50149"/>
    <w:rsid w:val="00E5046D"/>
    <w:rsid w:val="00E50725"/>
    <w:rsid w:val="00E5194A"/>
    <w:rsid w:val="00E519B5"/>
    <w:rsid w:val="00E5242B"/>
    <w:rsid w:val="00E52DCB"/>
    <w:rsid w:val="00E53CF9"/>
    <w:rsid w:val="00E55627"/>
    <w:rsid w:val="00E55C49"/>
    <w:rsid w:val="00E55CD8"/>
    <w:rsid w:val="00E5794F"/>
    <w:rsid w:val="00E57B46"/>
    <w:rsid w:val="00E61F2C"/>
    <w:rsid w:val="00E62154"/>
    <w:rsid w:val="00E622CC"/>
    <w:rsid w:val="00E629BF"/>
    <w:rsid w:val="00E62DDC"/>
    <w:rsid w:val="00E653D0"/>
    <w:rsid w:val="00E6583C"/>
    <w:rsid w:val="00E65DBC"/>
    <w:rsid w:val="00E66383"/>
    <w:rsid w:val="00E66F2C"/>
    <w:rsid w:val="00E66FCD"/>
    <w:rsid w:val="00E67FD2"/>
    <w:rsid w:val="00E70D17"/>
    <w:rsid w:val="00E70D5B"/>
    <w:rsid w:val="00E71B8E"/>
    <w:rsid w:val="00E72590"/>
    <w:rsid w:val="00E74B2D"/>
    <w:rsid w:val="00E74FCD"/>
    <w:rsid w:val="00E75517"/>
    <w:rsid w:val="00E75B4D"/>
    <w:rsid w:val="00E7634C"/>
    <w:rsid w:val="00E80A65"/>
    <w:rsid w:val="00E816CE"/>
    <w:rsid w:val="00E819FB"/>
    <w:rsid w:val="00E8224C"/>
    <w:rsid w:val="00E82276"/>
    <w:rsid w:val="00E82341"/>
    <w:rsid w:val="00E82B40"/>
    <w:rsid w:val="00E8368C"/>
    <w:rsid w:val="00E8370A"/>
    <w:rsid w:val="00E83996"/>
    <w:rsid w:val="00E83F52"/>
    <w:rsid w:val="00E842AA"/>
    <w:rsid w:val="00E84C0C"/>
    <w:rsid w:val="00E850F6"/>
    <w:rsid w:val="00E85A5F"/>
    <w:rsid w:val="00E869A9"/>
    <w:rsid w:val="00E86B5F"/>
    <w:rsid w:val="00E87058"/>
    <w:rsid w:val="00E87246"/>
    <w:rsid w:val="00E873D3"/>
    <w:rsid w:val="00E902A5"/>
    <w:rsid w:val="00E903A3"/>
    <w:rsid w:val="00E90F2F"/>
    <w:rsid w:val="00E913B5"/>
    <w:rsid w:val="00E9144F"/>
    <w:rsid w:val="00E91CA0"/>
    <w:rsid w:val="00E91ED9"/>
    <w:rsid w:val="00E92062"/>
    <w:rsid w:val="00E925DB"/>
    <w:rsid w:val="00E93B69"/>
    <w:rsid w:val="00E93DD4"/>
    <w:rsid w:val="00E96375"/>
    <w:rsid w:val="00E964DC"/>
    <w:rsid w:val="00E969D6"/>
    <w:rsid w:val="00E9785D"/>
    <w:rsid w:val="00E97EE4"/>
    <w:rsid w:val="00E97F3D"/>
    <w:rsid w:val="00EA0DCF"/>
    <w:rsid w:val="00EA1F6F"/>
    <w:rsid w:val="00EA2DBE"/>
    <w:rsid w:val="00EA3712"/>
    <w:rsid w:val="00EA4416"/>
    <w:rsid w:val="00EA514B"/>
    <w:rsid w:val="00EA5226"/>
    <w:rsid w:val="00EA559F"/>
    <w:rsid w:val="00EB06BA"/>
    <w:rsid w:val="00EB0D46"/>
    <w:rsid w:val="00EB1668"/>
    <w:rsid w:val="00EB2651"/>
    <w:rsid w:val="00EB292A"/>
    <w:rsid w:val="00EB3D7A"/>
    <w:rsid w:val="00EB3E8F"/>
    <w:rsid w:val="00EB3EE1"/>
    <w:rsid w:val="00EB4FDD"/>
    <w:rsid w:val="00EB501B"/>
    <w:rsid w:val="00EB5DEF"/>
    <w:rsid w:val="00EB60BB"/>
    <w:rsid w:val="00EB75FA"/>
    <w:rsid w:val="00EB774D"/>
    <w:rsid w:val="00EC0675"/>
    <w:rsid w:val="00EC086D"/>
    <w:rsid w:val="00EC172F"/>
    <w:rsid w:val="00EC1B02"/>
    <w:rsid w:val="00EC256C"/>
    <w:rsid w:val="00EC260E"/>
    <w:rsid w:val="00EC279F"/>
    <w:rsid w:val="00EC2F0F"/>
    <w:rsid w:val="00EC3E27"/>
    <w:rsid w:val="00EC44F4"/>
    <w:rsid w:val="00EC4928"/>
    <w:rsid w:val="00EC54A6"/>
    <w:rsid w:val="00EC557E"/>
    <w:rsid w:val="00EC5CE0"/>
    <w:rsid w:val="00EC60DF"/>
    <w:rsid w:val="00EC6C69"/>
    <w:rsid w:val="00ED1B97"/>
    <w:rsid w:val="00ED2D24"/>
    <w:rsid w:val="00ED3064"/>
    <w:rsid w:val="00ED3901"/>
    <w:rsid w:val="00ED438D"/>
    <w:rsid w:val="00ED4B37"/>
    <w:rsid w:val="00ED502F"/>
    <w:rsid w:val="00ED5595"/>
    <w:rsid w:val="00ED5E1A"/>
    <w:rsid w:val="00ED6EF7"/>
    <w:rsid w:val="00EE03BE"/>
    <w:rsid w:val="00EE1D80"/>
    <w:rsid w:val="00EE2152"/>
    <w:rsid w:val="00EE25A3"/>
    <w:rsid w:val="00EE4041"/>
    <w:rsid w:val="00EE43FC"/>
    <w:rsid w:val="00EE4730"/>
    <w:rsid w:val="00EE4D4E"/>
    <w:rsid w:val="00EE5498"/>
    <w:rsid w:val="00EE59DA"/>
    <w:rsid w:val="00EE6BDC"/>
    <w:rsid w:val="00EE7469"/>
    <w:rsid w:val="00EF013B"/>
    <w:rsid w:val="00EF06D8"/>
    <w:rsid w:val="00EF15FA"/>
    <w:rsid w:val="00EF1AE7"/>
    <w:rsid w:val="00EF1D61"/>
    <w:rsid w:val="00EF2105"/>
    <w:rsid w:val="00EF2140"/>
    <w:rsid w:val="00EF277D"/>
    <w:rsid w:val="00EF406C"/>
    <w:rsid w:val="00EF41EE"/>
    <w:rsid w:val="00EF446D"/>
    <w:rsid w:val="00EF48B0"/>
    <w:rsid w:val="00EF5048"/>
    <w:rsid w:val="00EF5B85"/>
    <w:rsid w:val="00EF682B"/>
    <w:rsid w:val="00EF6975"/>
    <w:rsid w:val="00EF6CDA"/>
    <w:rsid w:val="00EF7694"/>
    <w:rsid w:val="00EF7871"/>
    <w:rsid w:val="00F0003E"/>
    <w:rsid w:val="00F020BC"/>
    <w:rsid w:val="00F02221"/>
    <w:rsid w:val="00F027D9"/>
    <w:rsid w:val="00F02A5B"/>
    <w:rsid w:val="00F04B51"/>
    <w:rsid w:val="00F04F16"/>
    <w:rsid w:val="00F059B4"/>
    <w:rsid w:val="00F05B80"/>
    <w:rsid w:val="00F06086"/>
    <w:rsid w:val="00F06B43"/>
    <w:rsid w:val="00F06D96"/>
    <w:rsid w:val="00F0765E"/>
    <w:rsid w:val="00F078C9"/>
    <w:rsid w:val="00F07CBE"/>
    <w:rsid w:val="00F1101E"/>
    <w:rsid w:val="00F114F3"/>
    <w:rsid w:val="00F12B6C"/>
    <w:rsid w:val="00F12C41"/>
    <w:rsid w:val="00F139D5"/>
    <w:rsid w:val="00F141F6"/>
    <w:rsid w:val="00F14701"/>
    <w:rsid w:val="00F14F07"/>
    <w:rsid w:val="00F15363"/>
    <w:rsid w:val="00F1580D"/>
    <w:rsid w:val="00F166B6"/>
    <w:rsid w:val="00F16D49"/>
    <w:rsid w:val="00F16DCB"/>
    <w:rsid w:val="00F17841"/>
    <w:rsid w:val="00F17F04"/>
    <w:rsid w:val="00F21084"/>
    <w:rsid w:val="00F21582"/>
    <w:rsid w:val="00F21B27"/>
    <w:rsid w:val="00F21FA5"/>
    <w:rsid w:val="00F23370"/>
    <w:rsid w:val="00F23C7C"/>
    <w:rsid w:val="00F23F69"/>
    <w:rsid w:val="00F25AE1"/>
    <w:rsid w:val="00F25DD4"/>
    <w:rsid w:val="00F26EA0"/>
    <w:rsid w:val="00F27B28"/>
    <w:rsid w:val="00F3082B"/>
    <w:rsid w:val="00F30AA8"/>
    <w:rsid w:val="00F30E6E"/>
    <w:rsid w:val="00F3214A"/>
    <w:rsid w:val="00F3260E"/>
    <w:rsid w:val="00F32FBF"/>
    <w:rsid w:val="00F33F7F"/>
    <w:rsid w:val="00F346B9"/>
    <w:rsid w:val="00F34E10"/>
    <w:rsid w:val="00F350A2"/>
    <w:rsid w:val="00F35436"/>
    <w:rsid w:val="00F3615C"/>
    <w:rsid w:val="00F36505"/>
    <w:rsid w:val="00F40D05"/>
    <w:rsid w:val="00F40DFB"/>
    <w:rsid w:val="00F4126E"/>
    <w:rsid w:val="00F4134F"/>
    <w:rsid w:val="00F417EC"/>
    <w:rsid w:val="00F42B32"/>
    <w:rsid w:val="00F42F2A"/>
    <w:rsid w:val="00F43149"/>
    <w:rsid w:val="00F4369E"/>
    <w:rsid w:val="00F43FA8"/>
    <w:rsid w:val="00F4411D"/>
    <w:rsid w:val="00F444EE"/>
    <w:rsid w:val="00F44804"/>
    <w:rsid w:val="00F476CB"/>
    <w:rsid w:val="00F5036D"/>
    <w:rsid w:val="00F52AAF"/>
    <w:rsid w:val="00F52CA0"/>
    <w:rsid w:val="00F52D29"/>
    <w:rsid w:val="00F53802"/>
    <w:rsid w:val="00F53F1A"/>
    <w:rsid w:val="00F5432D"/>
    <w:rsid w:val="00F550E8"/>
    <w:rsid w:val="00F55250"/>
    <w:rsid w:val="00F553B7"/>
    <w:rsid w:val="00F558CB"/>
    <w:rsid w:val="00F56A15"/>
    <w:rsid w:val="00F56FD4"/>
    <w:rsid w:val="00F5705E"/>
    <w:rsid w:val="00F57470"/>
    <w:rsid w:val="00F60ED6"/>
    <w:rsid w:val="00F616A6"/>
    <w:rsid w:val="00F61ECD"/>
    <w:rsid w:val="00F62A80"/>
    <w:rsid w:val="00F62F0F"/>
    <w:rsid w:val="00F62FA9"/>
    <w:rsid w:val="00F630AB"/>
    <w:rsid w:val="00F6324B"/>
    <w:rsid w:val="00F63765"/>
    <w:rsid w:val="00F64464"/>
    <w:rsid w:val="00F6460D"/>
    <w:rsid w:val="00F64E0A"/>
    <w:rsid w:val="00F6520D"/>
    <w:rsid w:val="00F65EDE"/>
    <w:rsid w:val="00F67F6D"/>
    <w:rsid w:val="00F70AB4"/>
    <w:rsid w:val="00F70DF6"/>
    <w:rsid w:val="00F71371"/>
    <w:rsid w:val="00F7187B"/>
    <w:rsid w:val="00F72BDA"/>
    <w:rsid w:val="00F73719"/>
    <w:rsid w:val="00F74B11"/>
    <w:rsid w:val="00F753D9"/>
    <w:rsid w:val="00F803A4"/>
    <w:rsid w:val="00F806E3"/>
    <w:rsid w:val="00F80DB1"/>
    <w:rsid w:val="00F81435"/>
    <w:rsid w:val="00F829BC"/>
    <w:rsid w:val="00F83485"/>
    <w:rsid w:val="00F83B62"/>
    <w:rsid w:val="00F83FCA"/>
    <w:rsid w:val="00F84CD2"/>
    <w:rsid w:val="00F850FB"/>
    <w:rsid w:val="00F852B8"/>
    <w:rsid w:val="00F856C6"/>
    <w:rsid w:val="00F85AD4"/>
    <w:rsid w:val="00F86268"/>
    <w:rsid w:val="00F9009A"/>
    <w:rsid w:val="00F91072"/>
    <w:rsid w:val="00F91913"/>
    <w:rsid w:val="00F92B25"/>
    <w:rsid w:val="00F9475A"/>
    <w:rsid w:val="00F9514A"/>
    <w:rsid w:val="00F951C2"/>
    <w:rsid w:val="00F956E6"/>
    <w:rsid w:val="00F95C5C"/>
    <w:rsid w:val="00F965A2"/>
    <w:rsid w:val="00F97134"/>
    <w:rsid w:val="00F976C2"/>
    <w:rsid w:val="00F97863"/>
    <w:rsid w:val="00FA0108"/>
    <w:rsid w:val="00FA0927"/>
    <w:rsid w:val="00FA172F"/>
    <w:rsid w:val="00FA1AD5"/>
    <w:rsid w:val="00FA26C5"/>
    <w:rsid w:val="00FA2C2E"/>
    <w:rsid w:val="00FA2CD1"/>
    <w:rsid w:val="00FA2E1F"/>
    <w:rsid w:val="00FA2EA4"/>
    <w:rsid w:val="00FA2ED1"/>
    <w:rsid w:val="00FA3374"/>
    <w:rsid w:val="00FA3D85"/>
    <w:rsid w:val="00FA40F3"/>
    <w:rsid w:val="00FA416D"/>
    <w:rsid w:val="00FA438B"/>
    <w:rsid w:val="00FA4B15"/>
    <w:rsid w:val="00FA58A8"/>
    <w:rsid w:val="00FA5956"/>
    <w:rsid w:val="00FA708A"/>
    <w:rsid w:val="00FA717A"/>
    <w:rsid w:val="00FA75DF"/>
    <w:rsid w:val="00FB0603"/>
    <w:rsid w:val="00FB1DCE"/>
    <w:rsid w:val="00FB3941"/>
    <w:rsid w:val="00FB4196"/>
    <w:rsid w:val="00FB4E39"/>
    <w:rsid w:val="00FB4F83"/>
    <w:rsid w:val="00FB4FED"/>
    <w:rsid w:val="00FB5815"/>
    <w:rsid w:val="00FB582F"/>
    <w:rsid w:val="00FB5E4C"/>
    <w:rsid w:val="00FB6065"/>
    <w:rsid w:val="00FB7004"/>
    <w:rsid w:val="00FB7B13"/>
    <w:rsid w:val="00FB7B47"/>
    <w:rsid w:val="00FC060E"/>
    <w:rsid w:val="00FC0957"/>
    <w:rsid w:val="00FC2616"/>
    <w:rsid w:val="00FC27BD"/>
    <w:rsid w:val="00FC2AD4"/>
    <w:rsid w:val="00FC2BB5"/>
    <w:rsid w:val="00FC2CE9"/>
    <w:rsid w:val="00FC3390"/>
    <w:rsid w:val="00FC4738"/>
    <w:rsid w:val="00FC4D73"/>
    <w:rsid w:val="00FC6035"/>
    <w:rsid w:val="00FC79C0"/>
    <w:rsid w:val="00FC7B9D"/>
    <w:rsid w:val="00FD0C96"/>
    <w:rsid w:val="00FD1F5F"/>
    <w:rsid w:val="00FD2BC2"/>
    <w:rsid w:val="00FD3471"/>
    <w:rsid w:val="00FD3E82"/>
    <w:rsid w:val="00FD4B8E"/>
    <w:rsid w:val="00FD4C28"/>
    <w:rsid w:val="00FD6931"/>
    <w:rsid w:val="00FD739E"/>
    <w:rsid w:val="00FD757E"/>
    <w:rsid w:val="00FD7620"/>
    <w:rsid w:val="00FD774A"/>
    <w:rsid w:val="00FE0060"/>
    <w:rsid w:val="00FE0962"/>
    <w:rsid w:val="00FE1AED"/>
    <w:rsid w:val="00FE3A82"/>
    <w:rsid w:val="00FE49A9"/>
    <w:rsid w:val="00FE4B2F"/>
    <w:rsid w:val="00FE56BA"/>
    <w:rsid w:val="00FE583F"/>
    <w:rsid w:val="00FE5BBE"/>
    <w:rsid w:val="00FE5BE3"/>
    <w:rsid w:val="00FE717A"/>
    <w:rsid w:val="00FE781F"/>
    <w:rsid w:val="00FF0836"/>
    <w:rsid w:val="00FF0B2D"/>
    <w:rsid w:val="00FF0DE2"/>
    <w:rsid w:val="00FF166B"/>
    <w:rsid w:val="00FF1A57"/>
    <w:rsid w:val="00FF214F"/>
    <w:rsid w:val="00FF2572"/>
    <w:rsid w:val="00FF274D"/>
    <w:rsid w:val="00FF30D5"/>
    <w:rsid w:val="00FF388F"/>
    <w:rsid w:val="00FF3C96"/>
    <w:rsid w:val="00FF3E90"/>
    <w:rsid w:val="00FF4448"/>
    <w:rsid w:val="00FF4AA1"/>
    <w:rsid w:val="00FF568C"/>
    <w:rsid w:val="00FF5F4E"/>
    <w:rsid w:val="00FF68C5"/>
    <w:rsid w:val="00FF7B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2050">
      <o:colormru v:ext="edit" colors="#060,#360"/>
    </o:shapedefaults>
    <o:shapelayout v:ext="edit">
      <o:idmap v:ext="edit" data="2"/>
    </o:shapelayout>
  </w:shapeDefaults>
  <w:decimalSymbol w:val=","/>
  <w:listSeparator w:val=";"/>
  <w14:docId w14:val="6FAD49C0"/>
  <w15:docId w15:val="{DE00533F-95CE-474E-B6A2-61AE6381A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COURIER NORMAL"/>
    <w:qFormat/>
    <w:rsid w:val="0077236B"/>
    <w:rPr>
      <w:sz w:val="24"/>
      <w:szCs w:val="24"/>
      <w:lang w:eastAsia="es-ES"/>
    </w:rPr>
  </w:style>
  <w:style w:type="paragraph" w:styleId="Ttulo1">
    <w:name w:val="heading 1"/>
    <w:aliases w:val="título 1,Parte,ARTÍCULO,título1,CAPÍTULO,APARTADO 1,CAPÍTULO1,CAPÍTULO2,CAPÍTULO3,CAPÍTULO4,CAPÍTULO5,CAPÍTULO6,CAPÍTULO7,CAPÍTULO8,DOCUMENTO Nº 1,DOCUMENTO Nº 11,Sener 1,Título 1. Sener,CAPÍTULO11,CAPÍTULO21,CAPÍTULO31,CAPÍTULO12,CAPÍTULO22,H1"/>
    <w:next w:val="Normal"/>
    <w:link w:val="Ttulo1Car"/>
    <w:qFormat/>
    <w:rsid w:val="009517BF"/>
    <w:pPr>
      <w:widowControl w:val="0"/>
      <w:spacing w:before="360" w:after="240" w:line="360" w:lineRule="auto"/>
      <w:outlineLvl w:val="0"/>
    </w:pPr>
    <w:rPr>
      <w:rFonts w:ascii="Arial" w:hAnsi="Arial" w:cs="Arial"/>
      <w:b/>
      <w:noProof/>
      <w:kern w:val="28"/>
      <w:sz w:val="22"/>
      <w:szCs w:val="22"/>
    </w:rPr>
  </w:style>
  <w:style w:type="paragraph" w:styleId="Ttulo2">
    <w:name w:val="heading 2"/>
    <w:aliases w:val="Título 2 modificado,título 2,Capítulo,Título apartado,TIT-PLIEGO PAC,Car Car,Apartado,Título nivel 2,SUBAPARTAD 1.1,Apartado1,Apartado2,Apartado3,Apartado4,Apartado5,Apartado6,Apartado7,Apartado8,TITULO ANEJO,TÍTULO 2 DIG,Título 2+"/>
    <w:basedOn w:val="Normal"/>
    <w:next w:val="Normal"/>
    <w:link w:val="Ttulo2Car"/>
    <w:qFormat/>
    <w:rsid w:val="00864E2F"/>
    <w:pPr>
      <w:keepNext/>
      <w:spacing w:before="360" w:after="240" w:line="360" w:lineRule="auto"/>
      <w:outlineLvl w:val="1"/>
    </w:pPr>
    <w:rPr>
      <w:rFonts w:ascii="Arial" w:hAnsi="Arial" w:cs="Arial"/>
      <w:b/>
      <w:sz w:val="22"/>
      <w:szCs w:val="22"/>
      <w:lang w:eastAsia="en-US"/>
    </w:rPr>
  </w:style>
  <w:style w:type="paragraph" w:styleId="Ttulo3">
    <w:name w:val="heading 3"/>
    <w:aliases w:val="Título proyecto,Título 3 Car Car Car,Título 3 Car Car Car Car Car Car,Título 3 Car Car Car Car Car,Título 3 Car Car Car Car,1.1.1 Car,1.1.1,Bold Head,bh,título 3,Titre3,heading 3,Portadilla 3,h3,H31,H32,Subhead B,3 bullet,b,3,H3,Bullet 1°,l3."/>
    <w:basedOn w:val="Normal"/>
    <w:next w:val="Normal"/>
    <w:link w:val="Ttulo3Car"/>
    <w:qFormat/>
    <w:rsid w:val="00BE1818"/>
    <w:pPr>
      <w:keepNext/>
      <w:spacing w:before="240" w:after="160" w:line="360" w:lineRule="auto"/>
      <w:outlineLvl w:val="2"/>
    </w:pPr>
    <w:rPr>
      <w:rFonts w:ascii="Arial" w:hAnsi="Arial" w:cs="Arial"/>
      <w:b/>
      <w:i/>
      <w:sz w:val="22"/>
      <w:szCs w:val="22"/>
      <w:lang w:eastAsia="en-US"/>
    </w:rPr>
  </w:style>
  <w:style w:type="paragraph" w:styleId="Ttulo4">
    <w:name w:val="heading 4"/>
    <w:aliases w:val="Título 4 Car Car Car Car Car Car Car Car,titulo graficas,GATT titulo 3,Título 4_Genérico_A3,SubArticulo,Título 4_Genérico_A4,Título 4 Car Car,Requisito,proj4,proj41,proj42,proj43,proj44,proj45,proj46,proj47,proj48,proj49,proj410,Sub-subaptdo"/>
    <w:basedOn w:val="Normal"/>
    <w:next w:val="Normal"/>
    <w:link w:val="Ttulo4Car"/>
    <w:qFormat/>
    <w:rsid w:val="00BE1818"/>
    <w:pPr>
      <w:keepNext/>
      <w:spacing w:before="240" w:after="60"/>
      <w:outlineLvl w:val="3"/>
    </w:pPr>
    <w:rPr>
      <w:rFonts w:ascii="Arial" w:hAnsi="Arial" w:cs="Arial"/>
      <w:i/>
      <w:sz w:val="22"/>
      <w:szCs w:val="22"/>
      <w:lang w:eastAsia="en-US"/>
    </w:rPr>
  </w:style>
  <w:style w:type="paragraph" w:styleId="Ttulo5">
    <w:name w:val="heading 5"/>
    <w:aliases w:val="MOVE-it 5,Título 5:1.1.1.1.1,Sub-sub-subaptdo,PORTADILLA,3.1.1.1.1.Título 5,Ofertas alfa-numérico,TITULO 5 SENER BOADILLA,Titulo 5"/>
    <w:basedOn w:val="Normal"/>
    <w:next w:val="Normal"/>
    <w:link w:val="Ttulo5Car"/>
    <w:qFormat/>
    <w:rsid w:val="00392B4E"/>
    <w:pPr>
      <w:spacing w:before="120" w:after="120" w:line="360" w:lineRule="auto"/>
      <w:ind w:left="1435" w:hanging="726"/>
      <w:outlineLvl w:val="4"/>
    </w:pPr>
    <w:rPr>
      <w:rFonts w:ascii="Arial" w:hAnsi="Arial"/>
      <w:sz w:val="22"/>
      <w:szCs w:val="20"/>
      <w:u w:val="single"/>
      <w:lang w:eastAsia="en-US"/>
    </w:rPr>
  </w:style>
  <w:style w:type="paragraph" w:styleId="Ttulo6">
    <w:name w:val="heading 6"/>
    <w:aliases w:val="Título 6 Car Car"/>
    <w:basedOn w:val="Normal"/>
    <w:next w:val="Normal"/>
    <w:link w:val="Ttulo6Car"/>
    <w:qFormat/>
    <w:rsid w:val="00696EE1"/>
    <w:pPr>
      <w:numPr>
        <w:ilvl w:val="5"/>
        <w:numId w:val="11"/>
      </w:numPr>
      <w:spacing w:before="240" w:after="60"/>
      <w:outlineLvl w:val="5"/>
    </w:pPr>
    <w:rPr>
      <w:rFonts w:ascii="Arial" w:hAnsi="Arial"/>
      <w:i/>
      <w:sz w:val="22"/>
      <w:szCs w:val="20"/>
      <w:lang w:eastAsia="en-US"/>
    </w:rPr>
  </w:style>
  <w:style w:type="paragraph" w:styleId="Ttulo7">
    <w:name w:val="heading 7"/>
    <w:aliases w:val="Título 7 Pliego,Título 6_TIPO 2,ANEXO 1"/>
    <w:basedOn w:val="Normal"/>
    <w:next w:val="Normal"/>
    <w:link w:val="Ttulo7Car"/>
    <w:qFormat/>
    <w:rsid w:val="00696EE1"/>
    <w:pPr>
      <w:numPr>
        <w:ilvl w:val="6"/>
        <w:numId w:val="11"/>
      </w:numPr>
      <w:spacing w:before="240" w:after="60"/>
      <w:outlineLvl w:val="6"/>
    </w:pPr>
    <w:rPr>
      <w:rFonts w:ascii="Arial" w:hAnsi="Arial"/>
      <w:sz w:val="20"/>
      <w:szCs w:val="20"/>
      <w:lang w:eastAsia="en-US"/>
    </w:rPr>
  </w:style>
  <w:style w:type="paragraph" w:styleId="Ttulo8">
    <w:name w:val="heading 8"/>
    <w:aliases w:val="Título 8 Pliego,Título 8 ANEXO 2"/>
    <w:basedOn w:val="Normal"/>
    <w:next w:val="Normal"/>
    <w:link w:val="Ttulo8Car"/>
    <w:qFormat/>
    <w:rsid w:val="00696EE1"/>
    <w:pPr>
      <w:numPr>
        <w:ilvl w:val="7"/>
        <w:numId w:val="11"/>
      </w:numPr>
      <w:spacing w:before="240" w:after="60"/>
      <w:outlineLvl w:val="7"/>
    </w:pPr>
    <w:rPr>
      <w:rFonts w:ascii="Arial" w:hAnsi="Arial"/>
      <w:i/>
      <w:sz w:val="20"/>
      <w:szCs w:val="20"/>
      <w:lang w:eastAsia="en-US"/>
    </w:rPr>
  </w:style>
  <w:style w:type="paragraph" w:styleId="Ttulo9">
    <w:name w:val="heading 9"/>
    <w:aliases w:val="T9"/>
    <w:basedOn w:val="Normal"/>
    <w:next w:val="Normal"/>
    <w:link w:val="Ttulo9Car"/>
    <w:qFormat/>
    <w:rsid w:val="00696EE1"/>
    <w:pPr>
      <w:numPr>
        <w:ilvl w:val="8"/>
        <w:numId w:val="11"/>
      </w:numPr>
      <w:spacing w:before="240" w:after="60"/>
      <w:outlineLvl w:val="8"/>
    </w:pPr>
    <w:rPr>
      <w:rFonts w:ascii="Arial" w:hAnsi="Arial"/>
      <w:i/>
      <w:sz w:val="1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Car,Parte Car,ARTÍCULO Car,título1 Car,CAPÍTULO Car,APARTADO 1 Car,CAPÍTULO1 Car,CAPÍTULO2 Car,CAPÍTULO3 Car,CAPÍTULO4 Car,CAPÍTULO5 Car,CAPÍTULO6 Car,CAPÍTULO7 Car,CAPÍTULO8 Car,DOCUMENTO Nº 1 Car,DOCUMENTO Nº 11 Car,Sener 1 Car"/>
    <w:basedOn w:val="Fuentedeprrafopredeter"/>
    <w:link w:val="Ttulo1"/>
    <w:rsid w:val="00D109DE"/>
    <w:rPr>
      <w:rFonts w:ascii="Arial" w:hAnsi="Arial" w:cs="Arial"/>
      <w:b/>
      <w:noProof/>
      <w:kern w:val="28"/>
      <w:sz w:val="22"/>
      <w:szCs w:val="22"/>
    </w:rPr>
  </w:style>
  <w:style w:type="character" w:customStyle="1" w:styleId="Ttulo2Car">
    <w:name w:val="Título 2 Car"/>
    <w:aliases w:val="Título 2 modificado Car,título 2 Car,Capítulo Car,Título apartado Car,TIT-PLIEGO PAC Car,Car Car Car,Apartado Car,Título nivel 2 Car,SUBAPARTAD 1.1 Car,Apartado1 Car,Apartado2 Car,Apartado3 Car,Apartado4 Car,Apartado5 Car,Apartado6 Car"/>
    <w:link w:val="Ttulo2"/>
    <w:rsid w:val="00D109DE"/>
    <w:rPr>
      <w:rFonts w:ascii="Arial" w:hAnsi="Arial" w:cs="Arial"/>
      <w:b/>
      <w:sz w:val="22"/>
      <w:szCs w:val="22"/>
    </w:rPr>
  </w:style>
  <w:style w:type="character" w:customStyle="1" w:styleId="Ttulo3Car">
    <w:name w:val="Título 3 Car"/>
    <w:aliases w:val="Título proyecto Car,Título 3 Car Car Car Car1,Título 3 Car Car Car Car Car Car Car,Título 3 Car Car Car Car Car Car1,Título 3 Car Car Car Car Car1,1.1.1 Car Car,1.1.1 Car1,Bold Head Car,bh Car,título 3 Car,Titre3 Car,heading 3 Car,h3 Car"/>
    <w:link w:val="Ttulo3"/>
    <w:rsid w:val="00D109DE"/>
    <w:rPr>
      <w:rFonts w:ascii="Arial" w:hAnsi="Arial" w:cs="Arial"/>
      <w:b/>
      <w:i/>
      <w:sz w:val="22"/>
      <w:szCs w:val="22"/>
    </w:rPr>
  </w:style>
  <w:style w:type="character" w:customStyle="1" w:styleId="Ttulo4Car">
    <w:name w:val="Título 4 Car"/>
    <w:aliases w:val="Título 4 Car Car Car Car Car Car Car Car Car,titulo graficas Car,GATT titulo 3 Car,Título 4_Genérico_A3 Car,SubArticulo Car,Título 4_Genérico_A4 Car,Título 4 Car Car Car,Requisito Car,proj4 Car,proj41 Car,proj42 Car,proj43 Car,proj44 Car"/>
    <w:basedOn w:val="Fuentedeprrafopredeter"/>
    <w:link w:val="Ttulo4"/>
    <w:rsid w:val="00D109DE"/>
    <w:rPr>
      <w:rFonts w:ascii="Arial" w:hAnsi="Arial" w:cs="Arial"/>
      <w:i/>
      <w:sz w:val="22"/>
      <w:szCs w:val="22"/>
    </w:rPr>
  </w:style>
  <w:style w:type="character" w:customStyle="1" w:styleId="Ttulo5Car">
    <w:name w:val="Título 5 Car"/>
    <w:aliases w:val="MOVE-it 5 Car,Título 5:1.1.1.1.1 Car,Sub-sub-subaptdo Car,PORTADILLA Car,3.1.1.1.1.Título 5 Car,Ofertas alfa-numérico Car,TITULO 5 SENER BOADILLA Car,Titulo 5 Car"/>
    <w:basedOn w:val="Fuentedeprrafopredeter"/>
    <w:link w:val="Ttulo5"/>
    <w:rsid w:val="00D109DE"/>
    <w:rPr>
      <w:rFonts w:ascii="Arial" w:hAnsi="Arial"/>
      <w:sz w:val="22"/>
      <w:u w:val="single"/>
    </w:rPr>
  </w:style>
  <w:style w:type="character" w:customStyle="1" w:styleId="Ttulo6Car">
    <w:name w:val="Título 6 Car"/>
    <w:aliases w:val="Título 6 Car Car Car"/>
    <w:basedOn w:val="Fuentedeprrafopredeter"/>
    <w:link w:val="Ttulo6"/>
    <w:rsid w:val="00D109DE"/>
    <w:rPr>
      <w:rFonts w:ascii="Arial" w:hAnsi="Arial"/>
      <w:i/>
      <w:sz w:val="22"/>
    </w:rPr>
  </w:style>
  <w:style w:type="character" w:customStyle="1" w:styleId="Ttulo7Car">
    <w:name w:val="Título 7 Car"/>
    <w:aliases w:val="Título 7 Pliego Car,Título 6_TIPO 2 Car,ANEXO 1 Car"/>
    <w:basedOn w:val="Fuentedeprrafopredeter"/>
    <w:link w:val="Ttulo7"/>
    <w:rsid w:val="00D109DE"/>
    <w:rPr>
      <w:rFonts w:ascii="Arial" w:hAnsi="Arial"/>
    </w:rPr>
  </w:style>
  <w:style w:type="character" w:customStyle="1" w:styleId="Ttulo8Car">
    <w:name w:val="Título 8 Car"/>
    <w:aliases w:val="Título 8 Pliego Car,Título 8 ANEXO 2 Car"/>
    <w:basedOn w:val="Fuentedeprrafopredeter"/>
    <w:link w:val="Ttulo8"/>
    <w:rsid w:val="00D109DE"/>
    <w:rPr>
      <w:rFonts w:ascii="Arial" w:hAnsi="Arial"/>
      <w:i/>
    </w:rPr>
  </w:style>
  <w:style w:type="character" w:customStyle="1" w:styleId="Ttulo9Car">
    <w:name w:val="Título 9 Car"/>
    <w:aliases w:val="T9 Car"/>
    <w:basedOn w:val="Fuentedeprrafopredeter"/>
    <w:link w:val="Ttulo9"/>
    <w:rsid w:val="00D109DE"/>
    <w:rPr>
      <w:rFonts w:ascii="Arial" w:hAnsi="Arial"/>
      <w:i/>
      <w:sz w:val="18"/>
    </w:rPr>
  </w:style>
  <w:style w:type="paragraph" w:customStyle="1" w:styleId="ARIALPARRAFO">
    <w:name w:val="ARIAL PARRAFO"/>
    <w:link w:val="ARIALPARRAFOCar"/>
    <w:rsid w:val="00696EE1"/>
    <w:pPr>
      <w:suppressAutoHyphens/>
      <w:spacing w:after="360" w:line="360" w:lineRule="auto"/>
      <w:jc w:val="both"/>
    </w:pPr>
    <w:rPr>
      <w:rFonts w:ascii="Arial" w:hAnsi="Arial"/>
      <w:sz w:val="22"/>
      <w:lang w:val="es-ES_tradnl"/>
    </w:rPr>
  </w:style>
  <w:style w:type="character" w:customStyle="1" w:styleId="ARIALPARRAFOCar">
    <w:name w:val="ARIAL PARRAFO Car"/>
    <w:link w:val="ARIALPARRAFO"/>
    <w:rsid w:val="00FC2616"/>
    <w:rPr>
      <w:rFonts w:ascii="Arial" w:hAnsi="Arial"/>
      <w:sz w:val="22"/>
      <w:lang w:val="es-ES_tradnl" w:eastAsia="es-ES" w:bidi="ar-SA"/>
    </w:rPr>
  </w:style>
  <w:style w:type="paragraph" w:customStyle="1" w:styleId="ARIALTITULO">
    <w:name w:val="ARIAL TITULO"/>
    <w:next w:val="ARIALPARRAFO"/>
    <w:rsid w:val="00696EE1"/>
    <w:pPr>
      <w:suppressAutoHyphens/>
    </w:pPr>
    <w:rPr>
      <w:rFonts w:ascii="Arial" w:hAnsi="Arial"/>
      <w:b/>
      <w:sz w:val="22"/>
      <w:lang w:val="es-ES_tradnl"/>
    </w:rPr>
  </w:style>
  <w:style w:type="paragraph" w:customStyle="1" w:styleId="INDICE1">
    <w:name w:val="INDICE1"/>
    <w:next w:val="Normal"/>
    <w:link w:val="INDICE1Car"/>
    <w:rsid w:val="00696EE1"/>
    <w:pPr>
      <w:suppressAutoHyphens/>
    </w:pPr>
    <w:rPr>
      <w:rFonts w:ascii="Arial Negrita" w:hAnsi="Arial Negrita"/>
      <w:b/>
      <w:caps/>
      <w:sz w:val="22"/>
      <w:lang w:val="es-ES_tradnl"/>
    </w:rPr>
  </w:style>
  <w:style w:type="character" w:customStyle="1" w:styleId="INDICE1Car">
    <w:name w:val="INDICE1 Car"/>
    <w:link w:val="INDICE1"/>
    <w:rsid w:val="003474B2"/>
    <w:rPr>
      <w:rFonts w:ascii="Arial Negrita" w:hAnsi="Arial Negrita"/>
      <w:b/>
      <w:caps/>
      <w:sz w:val="22"/>
      <w:lang w:val="es-ES_tradnl" w:eastAsia="es-ES" w:bidi="ar-SA"/>
    </w:rPr>
  </w:style>
  <w:style w:type="paragraph" w:customStyle="1" w:styleId="INDICE2">
    <w:name w:val="INDICE2"/>
    <w:basedOn w:val="INDICE1"/>
    <w:next w:val="Normal"/>
    <w:rsid w:val="00696EE1"/>
    <w:pPr>
      <w:tabs>
        <w:tab w:val="left" w:pos="709"/>
        <w:tab w:val="left" w:leader="dot" w:pos="9781"/>
      </w:tabs>
    </w:pPr>
    <w:rPr>
      <w:caps w:val="0"/>
    </w:rPr>
  </w:style>
  <w:style w:type="paragraph" w:customStyle="1" w:styleId="INDICE3">
    <w:name w:val="INDICE3"/>
    <w:basedOn w:val="INDICE1"/>
    <w:next w:val="ARIALPARRAFO"/>
    <w:autoRedefine/>
    <w:rsid w:val="00A6107F"/>
    <w:pPr>
      <w:spacing w:before="360" w:after="240" w:line="360" w:lineRule="auto"/>
      <w:ind w:left="720" w:hanging="720"/>
      <w:jc w:val="both"/>
      <w:outlineLvl w:val="2"/>
    </w:pPr>
    <w:rPr>
      <w:rFonts w:ascii="Arial" w:hAnsi="Arial" w:cs="Arial"/>
      <w:caps w:val="0"/>
    </w:rPr>
  </w:style>
  <w:style w:type="paragraph" w:customStyle="1" w:styleId="INDICE4">
    <w:name w:val="INDICE4"/>
    <w:basedOn w:val="INDICE1"/>
    <w:next w:val="Normal"/>
    <w:rsid w:val="00696EE1"/>
    <w:pPr>
      <w:tabs>
        <w:tab w:val="left" w:pos="992"/>
      </w:tabs>
    </w:pPr>
    <w:rPr>
      <w:caps w:val="0"/>
    </w:rPr>
  </w:style>
  <w:style w:type="paragraph" w:styleId="TDC1">
    <w:name w:val="toc 1"/>
    <w:autoRedefine/>
    <w:uiPriority w:val="39"/>
    <w:qFormat/>
    <w:rsid w:val="004C6814"/>
    <w:pPr>
      <w:tabs>
        <w:tab w:val="left" w:pos="567"/>
        <w:tab w:val="left" w:pos="1418"/>
        <w:tab w:val="right" w:leader="dot" w:pos="9781"/>
      </w:tabs>
      <w:suppressAutoHyphens/>
      <w:spacing w:before="120" w:after="120" w:line="360" w:lineRule="auto"/>
      <w:ind w:left="567" w:right="282" w:hanging="567"/>
      <w:jc w:val="both"/>
    </w:pPr>
    <w:rPr>
      <w:rFonts w:ascii="Arial" w:hAnsi="Arial" w:cs="Arial"/>
      <w:b/>
      <w:noProof/>
      <w:sz w:val="24"/>
      <w:szCs w:val="24"/>
      <w:lang w:val="es-ES_tradnl"/>
    </w:rPr>
  </w:style>
  <w:style w:type="paragraph" w:styleId="TDC2">
    <w:name w:val="toc 2"/>
    <w:uiPriority w:val="39"/>
    <w:qFormat/>
    <w:rsid w:val="004F6EBF"/>
    <w:pPr>
      <w:tabs>
        <w:tab w:val="left" w:pos="993"/>
        <w:tab w:val="left" w:pos="1276"/>
        <w:tab w:val="right" w:leader="dot" w:pos="9781"/>
      </w:tabs>
      <w:suppressAutoHyphens/>
      <w:spacing w:before="120" w:after="120" w:line="360" w:lineRule="auto"/>
      <w:ind w:left="993" w:hanging="568"/>
      <w:jc w:val="both"/>
    </w:pPr>
    <w:rPr>
      <w:rFonts w:ascii="Arial" w:hAnsi="Arial" w:cs="Arial"/>
      <w:noProof/>
      <w:sz w:val="22"/>
      <w:szCs w:val="24"/>
      <w:lang w:val="es-ES_tradnl"/>
    </w:rPr>
  </w:style>
  <w:style w:type="paragraph" w:styleId="TDC3">
    <w:name w:val="toc 3"/>
    <w:autoRedefine/>
    <w:uiPriority w:val="39"/>
    <w:qFormat/>
    <w:rsid w:val="004C6814"/>
    <w:pPr>
      <w:tabs>
        <w:tab w:val="left" w:pos="1276"/>
        <w:tab w:val="left" w:pos="1920"/>
        <w:tab w:val="right" w:leader="dot" w:pos="9781"/>
      </w:tabs>
      <w:suppressAutoHyphens/>
      <w:spacing w:before="120" w:after="120" w:line="360" w:lineRule="auto"/>
      <w:ind w:left="1843" w:right="282" w:hanging="851"/>
      <w:jc w:val="both"/>
    </w:pPr>
    <w:rPr>
      <w:rFonts w:ascii="Arial" w:hAnsi="Arial" w:cs="Arial"/>
      <w:noProof/>
      <w:sz w:val="24"/>
      <w:szCs w:val="24"/>
      <w:lang w:val="es-ES_tradnl"/>
    </w:rPr>
  </w:style>
  <w:style w:type="paragraph" w:styleId="TDC4">
    <w:name w:val="toc 4"/>
    <w:autoRedefine/>
    <w:uiPriority w:val="39"/>
    <w:rsid w:val="004C6814"/>
    <w:pPr>
      <w:tabs>
        <w:tab w:val="left" w:pos="1276"/>
        <w:tab w:val="left" w:pos="2835"/>
        <w:tab w:val="right" w:leader="dot" w:pos="9781"/>
      </w:tabs>
      <w:suppressAutoHyphens/>
      <w:spacing w:line="360" w:lineRule="auto"/>
      <w:ind w:left="2835" w:right="282" w:hanging="992"/>
      <w:jc w:val="both"/>
    </w:pPr>
    <w:rPr>
      <w:rFonts w:ascii="Arial" w:hAnsi="Arial" w:cs="Arial"/>
      <w:i/>
      <w:noProof/>
      <w:sz w:val="24"/>
      <w:szCs w:val="24"/>
      <w:lang w:val="es-ES_tradnl"/>
    </w:rPr>
  </w:style>
  <w:style w:type="paragraph" w:customStyle="1" w:styleId="TIMESCAJA">
    <w:name w:val="TIMES CAJA"/>
    <w:rsid w:val="00696EE1"/>
    <w:pPr>
      <w:spacing w:line="360" w:lineRule="auto"/>
      <w:jc w:val="both"/>
    </w:pPr>
    <w:rPr>
      <w:sz w:val="24"/>
      <w:lang w:val="es-ES_tradnl"/>
    </w:rPr>
  </w:style>
  <w:style w:type="paragraph" w:customStyle="1" w:styleId="TIMESNORMAL">
    <w:name w:val="TIMES NORMAL"/>
    <w:link w:val="TIMESNORMALCar"/>
    <w:rsid w:val="00696EE1"/>
    <w:pPr>
      <w:spacing w:line="360" w:lineRule="auto"/>
      <w:ind w:firstLine="709"/>
      <w:jc w:val="both"/>
    </w:pPr>
    <w:rPr>
      <w:sz w:val="24"/>
      <w:lang w:val="es-ES_tradnl"/>
    </w:rPr>
  </w:style>
  <w:style w:type="character" w:customStyle="1" w:styleId="TIMESNORMALCar">
    <w:name w:val="TIMES NORMAL Car"/>
    <w:link w:val="TIMESNORMAL"/>
    <w:rsid w:val="00C35581"/>
    <w:rPr>
      <w:sz w:val="24"/>
      <w:lang w:val="es-ES_tradnl" w:eastAsia="es-ES" w:bidi="ar-SA"/>
    </w:rPr>
  </w:style>
  <w:style w:type="paragraph" w:customStyle="1" w:styleId="TIMESSANG2">
    <w:name w:val="TIMES SANG 2"/>
    <w:rsid w:val="00696EE1"/>
    <w:pPr>
      <w:suppressAutoHyphens/>
      <w:spacing w:line="360" w:lineRule="auto"/>
      <w:ind w:left="1276" w:hanging="709"/>
      <w:jc w:val="both"/>
    </w:pPr>
    <w:rPr>
      <w:spacing w:val="-2"/>
      <w:sz w:val="24"/>
      <w:lang w:val="es-ES_tradnl"/>
    </w:rPr>
  </w:style>
  <w:style w:type="paragraph" w:customStyle="1" w:styleId="TIMESSANG3">
    <w:name w:val="TIMES SANG 3"/>
    <w:rsid w:val="00696EE1"/>
    <w:pPr>
      <w:spacing w:line="360" w:lineRule="auto"/>
      <w:ind w:left="1843" w:hanging="709"/>
      <w:jc w:val="both"/>
    </w:pPr>
    <w:rPr>
      <w:sz w:val="24"/>
      <w:lang w:val="es-ES_tradnl"/>
    </w:rPr>
  </w:style>
  <w:style w:type="paragraph" w:customStyle="1" w:styleId="TIMESSANGRIA">
    <w:name w:val="TIMES SANGRIA"/>
    <w:rsid w:val="00696EE1"/>
    <w:pPr>
      <w:tabs>
        <w:tab w:val="left" w:pos="567"/>
      </w:tabs>
      <w:spacing w:line="360" w:lineRule="auto"/>
      <w:ind w:left="567" w:hanging="567"/>
      <w:jc w:val="both"/>
    </w:pPr>
    <w:rPr>
      <w:sz w:val="24"/>
      <w:lang w:val="es-ES_tradnl"/>
    </w:rPr>
  </w:style>
  <w:style w:type="paragraph" w:customStyle="1" w:styleId="TIMESTABULAR">
    <w:name w:val="TIMES TABULAR"/>
    <w:rsid w:val="00696EE1"/>
    <w:pPr>
      <w:tabs>
        <w:tab w:val="left" w:pos="432"/>
        <w:tab w:val="right" w:pos="7938"/>
      </w:tabs>
      <w:spacing w:before="120" w:line="360" w:lineRule="auto"/>
      <w:jc w:val="both"/>
    </w:pPr>
    <w:rPr>
      <w:spacing w:val="-3"/>
      <w:sz w:val="24"/>
      <w:lang w:val="es-ES_tradnl"/>
    </w:rPr>
  </w:style>
  <w:style w:type="paragraph" w:customStyle="1" w:styleId="TIMESTITULO">
    <w:name w:val="TIMES TITULO"/>
    <w:next w:val="TIMESNORMAL"/>
    <w:rsid w:val="00696EE1"/>
    <w:pPr>
      <w:keepLines/>
      <w:spacing w:line="360" w:lineRule="auto"/>
      <w:ind w:left="709" w:hanging="709"/>
      <w:jc w:val="both"/>
    </w:pPr>
    <w:rPr>
      <w:b/>
      <w:sz w:val="24"/>
      <w:lang w:val="es-ES_tradnl"/>
    </w:rPr>
  </w:style>
  <w:style w:type="paragraph" w:customStyle="1" w:styleId="ARIALNORMAL">
    <w:name w:val="ARIAL NORMAL"/>
    <w:basedOn w:val="TIMESNORMAL"/>
    <w:link w:val="ARIALNORMALCar"/>
    <w:rsid w:val="00864E2F"/>
    <w:pPr>
      <w:suppressAutoHyphens/>
      <w:spacing w:before="120" w:after="120"/>
      <w:ind w:firstLine="0"/>
    </w:pPr>
    <w:rPr>
      <w:rFonts w:ascii="Arial" w:hAnsi="Arial" w:cs="Arial"/>
      <w:sz w:val="22"/>
    </w:rPr>
  </w:style>
  <w:style w:type="character" w:customStyle="1" w:styleId="ARIALNORMALCar">
    <w:name w:val="ARIAL NORMAL Car"/>
    <w:link w:val="ARIALNORMAL"/>
    <w:rsid w:val="00864E2F"/>
    <w:rPr>
      <w:rFonts w:ascii="Arial" w:hAnsi="Arial" w:cs="Arial"/>
      <w:sz w:val="22"/>
      <w:lang w:val="es-ES_tradnl"/>
    </w:rPr>
  </w:style>
  <w:style w:type="paragraph" w:customStyle="1" w:styleId="Apndice">
    <w:name w:val="Apéndice"/>
    <w:basedOn w:val="Ttulo1"/>
    <w:link w:val="ApndiceCar"/>
    <w:autoRedefine/>
    <w:rsid w:val="00696EE1"/>
    <w:pPr>
      <w:keepNext/>
      <w:widowControl/>
      <w:tabs>
        <w:tab w:val="left" w:pos="1247"/>
      </w:tabs>
      <w:spacing w:after="100" w:afterAutospacing="1"/>
      <w:jc w:val="both"/>
    </w:pPr>
    <w:rPr>
      <w:noProof w:val="0"/>
      <w:sz w:val="36"/>
      <w:lang w:val="es-ES_tradnl"/>
    </w:rPr>
  </w:style>
  <w:style w:type="character" w:customStyle="1" w:styleId="ApndiceCar">
    <w:name w:val="Apéndice Car"/>
    <w:link w:val="Apndice"/>
    <w:rsid w:val="0075358C"/>
    <w:rPr>
      <w:rFonts w:ascii="Arial" w:hAnsi="Arial"/>
      <w:b/>
      <w:kern w:val="28"/>
      <w:sz w:val="36"/>
      <w:lang w:val="es-ES_tradnl" w:eastAsia="es-ES" w:bidi="ar-SA"/>
    </w:rPr>
  </w:style>
  <w:style w:type="paragraph" w:customStyle="1" w:styleId="INDI1">
    <w:name w:val="INDI1"/>
    <w:basedOn w:val="TIMESCAJA"/>
    <w:next w:val="TIMESNORMAL"/>
    <w:autoRedefine/>
    <w:rsid w:val="00696EE1"/>
    <w:pPr>
      <w:keepLines/>
      <w:tabs>
        <w:tab w:val="left" w:pos="426"/>
      </w:tabs>
      <w:ind w:left="425" w:hanging="425"/>
    </w:pPr>
    <w:rPr>
      <w:b/>
    </w:rPr>
  </w:style>
  <w:style w:type="paragraph" w:customStyle="1" w:styleId="INDI2">
    <w:name w:val="INDI2"/>
    <w:basedOn w:val="TIMESCAJA"/>
    <w:next w:val="TIMESNORMAL"/>
    <w:autoRedefine/>
    <w:rsid w:val="00696EE1"/>
    <w:pPr>
      <w:keepLines/>
      <w:tabs>
        <w:tab w:val="left" w:pos="709"/>
      </w:tabs>
      <w:ind w:left="709" w:hanging="709"/>
    </w:pPr>
    <w:rPr>
      <w:b/>
    </w:rPr>
  </w:style>
  <w:style w:type="paragraph" w:customStyle="1" w:styleId="INDI3">
    <w:name w:val="INDI3"/>
    <w:basedOn w:val="TIMESCAJA"/>
    <w:next w:val="TIMESNORMAL"/>
    <w:rsid w:val="00696EE1"/>
    <w:pPr>
      <w:keepLines/>
      <w:tabs>
        <w:tab w:val="left" w:pos="851"/>
      </w:tabs>
      <w:ind w:left="851" w:hanging="851"/>
    </w:pPr>
    <w:rPr>
      <w:b/>
    </w:rPr>
  </w:style>
  <w:style w:type="paragraph" w:customStyle="1" w:styleId="INDI4">
    <w:name w:val="INDI4"/>
    <w:basedOn w:val="TIMESCAJA"/>
    <w:next w:val="TIMESNORMAL"/>
    <w:autoRedefine/>
    <w:rsid w:val="00696EE1"/>
    <w:pPr>
      <w:tabs>
        <w:tab w:val="left" w:pos="992"/>
      </w:tabs>
      <w:suppressAutoHyphens/>
      <w:spacing w:line="240" w:lineRule="auto"/>
      <w:ind w:left="992" w:hanging="992"/>
    </w:pPr>
    <w:rPr>
      <w:rFonts w:ascii="Arial" w:hAnsi="Arial" w:cs="Arial"/>
      <w:b/>
      <w:sz w:val="22"/>
    </w:rPr>
  </w:style>
  <w:style w:type="paragraph" w:styleId="Encabezado">
    <w:name w:val="header"/>
    <w:aliases w:val="encabezado,Encabezado 2"/>
    <w:basedOn w:val="Normal"/>
    <w:link w:val="EncabezadoCar"/>
    <w:rsid w:val="00696EE1"/>
    <w:pPr>
      <w:tabs>
        <w:tab w:val="center" w:pos="4252"/>
        <w:tab w:val="right" w:pos="8504"/>
      </w:tabs>
    </w:pPr>
    <w:rPr>
      <w:sz w:val="20"/>
      <w:szCs w:val="20"/>
      <w:lang w:eastAsia="en-US"/>
    </w:rPr>
  </w:style>
  <w:style w:type="character" w:customStyle="1" w:styleId="EncabezadoCar">
    <w:name w:val="Encabezado Car"/>
    <w:aliases w:val="encabezado Car,Encabezado 2 Car"/>
    <w:basedOn w:val="Fuentedeprrafopredeter"/>
    <w:link w:val="Encabezado"/>
    <w:rsid w:val="0093579E"/>
  </w:style>
  <w:style w:type="paragraph" w:styleId="Piedepgina">
    <w:name w:val="footer"/>
    <w:aliases w:val="pie de página"/>
    <w:basedOn w:val="Normal"/>
    <w:link w:val="PiedepginaCar"/>
    <w:rsid w:val="00696EE1"/>
    <w:pPr>
      <w:tabs>
        <w:tab w:val="center" w:pos="4252"/>
        <w:tab w:val="right" w:pos="8504"/>
      </w:tabs>
    </w:pPr>
    <w:rPr>
      <w:sz w:val="20"/>
      <w:szCs w:val="20"/>
      <w:lang w:eastAsia="en-US"/>
    </w:rPr>
  </w:style>
  <w:style w:type="character" w:customStyle="1" w:styleId="PiedepginaCar">
    <w:name w:val="Pie de página Car"/>
    <w:aliases w:val="pie de página Car"/>
    <w:basedOn w:val="Fuentedeprrafopredeter"/>
    <w:link w:val="Piedepgina"/>
    <w:rsid w:val="00D211E5"/>
  </w:style>
  <w:style w:type="paragraph" w:styleId="TDC5">
    <w:name w:val="toc 5"/>
    <w:basedOn w:val="Normal"/>
    <w:next w:val="Normal"/>
    <w:autoRedefine/>
    <w:uiPriority w:val="39"/>
    <w:rsid w:val="004C6814"/>
    <w:pPr>
      <w:tabs>
        <w:tab w:val="left" w:pos="1276"/>
        <w:tab w:val="left" w:pos="3686"/>
        <w:tab w:val="right" w:leader="dot" w:pos="9781"/>
      </w:tabs>
      <w:spacing w:line="360" w:lineRule="auto"/>
      <w:ind w:left="2552"/>
      <w:jc w:val="both"/>
    </w:pPr>
    <w:rPr>
      <w:rFonts w:ascii="Arial" w:hAnsi="Arial" w:cs="Arial"/>
      <w:noProof/>
      <w:lang w:eastAsia="en-US"/>
    </w:rPr>
  </w:style>
  <w:style w:type="paragraph" w:styleId="TDC6">
    <w:name w:val="toc 6"/>
    <w:basedOn w:val="Normal"/>
    <w:next w:val="Normal"/>
    <w:autoRedefine/>
    <w:uiPriority w:val="39"/>
    <w:rsid w:val="004C6814"/>
    <w:pPr>
      <w:tabs>
        <w:tab w:val="left" w:pos="4962"/>
        <w:tab w:val="right" w:leader="dot" w:pos="9628"/>
      </w:tabs>
      <w:ind w:left="3686"/>
      <w:jc w:val="both"/>
    </w:pPr>
    <w:rPr>
      <w:rFonts w:ascii="Arial" w:hAnsi="Arial" w:cs="Arial"/>
      <w:noProof/>
      <w:sz w:val="22"/>
      <w:lang w:eastAsia="en-US"/>
    </w:rPr>
  </w:style>
  <w:style w:type="paragraph" w:styleId="TDC7">
    <w:name w:val="toc 7"/>
    <w:basedOn w:val="Normal"/>
    <w:next w:val="Normal"/>
    <w:autoRedefine/>
    <w:uiPriority w:val="39"/>
    <w:rsid w:val="00696EE1"/>
    <w:pPr>
      <w:ind w:left="1440"/>
    </w:pPr>
    <w:rPr>
      <w:sz w:val="20"/>
      <w:szCs w:val="20"/>
      <w:lang w:eastAsia="en-US"/>
    </w:rPr>
  </w:style>
  <w:style w:type="paragraph" w:styleId="TDC8">
    <w:name w:val="toc 8"/>
    <w:basedOn w:val="Normal"/>
    <w:next w:val="Normal"/>
    <w:autoRedefine/>
    <w:uiPriority w:val="39"/>
    <w:rsid w:val="00696EE1"/>
    <w:pPr>
      <w:ind w:left="1680"/>
    </w:pPr>
    <w:rPr>
      <w:sz w:val="20"/>
      <w:szCs w:val="20"/>
      <w:lang w:eastAsia="en-US"/>
    </w:rPr>
  </w:style>
  <w:style w:type="paragraph" w:styleId="TDC9">
    <w:name w:val="toc 9"/>
    <w:basedOn w:val="Normal"/>
    <w:next w:val="Normal"/>
    <w:autoRedefine/>
    <w:uiPriority w:val="39"/>
    <w:rsid w:val="00696EE1"/>
    <w:pPr>
      <w:ind w:left="1920"/>
    </w:pPr>
    <w:rPr>
      <w:sz w:val="20"/>
      <w:szCs w:val="20"/>
      <w:lang w:eastAsia="en-US"/>
    </w:rPr>
  </w:style>
  <w:style w:type="character" w:styleId="Hipervnculo">
    <w:name w:val="Hyperlink"/>
    <w:uiPriority w:val="99"/>
    <w:rsid w:val="00696EE1"/>
    <w:rPr>
      <w:color w:val="0000FF"/>
      <w:u w:val="single"/>
    </w:rPr>
  </w:style>
  <w:style w:type="paragraph" w:styleId="Textoindependiente">
    <w:name w:val="Body Text"/>
    <w:aliases w:val="PlantA3"/>
    <w:basedOn w:val="Normal"/>
    <w:link w:val="TextoindependienteCar"/>
    <w:rsid w:val="00696EE1"/>
    <w:rPr>
      <w:rFonts w:ascii="Arial" w:hAnsi="Arial" w:cs="Arial"/>
      <w:sz w:val="22"/>
      <w:szCs w:val="20"/>
      <w:lang w:val="es-ES_tradnl" w:eastAsia="en-US"/>
    </w:rPr>
  </w:style>
  <w:style w:type="character" w:customStyle="1" w:styleId="TextoindependienteCar">
    <w:name w:val="Texto independiente Car"/>
    <w:aliases w:val="PlantA3 Car"/>
    <w:basedOn w:val="Fuentedeprrafopredeter"/>
    <w:link w:val="Textoindependiente"/>
    <w:rsid w:val="00D109DE"/>
    <w:rPr>
      <w:rFonts w:ascii="Arial" w:hAnsi="Arial" w:cs="Arial"/>
      <w:sz w:val="22"/>
      <w:lang w:val="es-ES_tradnl"/>
    </w:rPr>
  </w:style>
  <w:style w:type="paragraph" w:customStyle="1" w:styleId="toa">
    <w:name w:val="toa"/>
    <w:basedOn w:val="Normal"/>
    <w:rsid w:val="00696EE1"/>
    <w:pPr>
      <w:tabs>
        <w:tab w:val="left" w:pos="9000"/>
        <w:tab w:val="right" w:pos="9360"/>
      </w:tabs>
      <w:suppressAutoHyphens/>
    </w:pPr>
    <w:rPr>
      <w:sz w:val="20"/>
      <w:szCs w:val="20"/>
      <w:lang w:val="en-US" w:eastAsia="en-US"/>
    </w:rPr>
  </w:style>
  <w:style w:type="paragraph" w:customStyle="1" w:styleId="Titulo1">
    <w:name w:val="Titulo 1"/>
    <w:basedOn w:val="Normal"/>
    <w:next w:val="Normal"/>
    <w:rsid w:val="00696EE1"/>
    <w:pPr>
      <w:numPr>
        <w:numId w:val="1"/>
      </w:numPr>
      <w:jc w:val="both"/>
    </w:pPr>
    <w:rPr>
      <w:rFonts w:ascii="Garamond" w:hAnsi="Garamond"/>
      <w:b/>
      <w:caps/>
      <w:sz w:val="32"/>
      <w:szCs w:val="20"/>
      <w:lang w:val="es-ES_tradnl" w:eastAsia="en-US"/>
    </w:rPr>
  </w:style>
  <w:style w:type="paragraph" w:customStyle="1" w:styleId="comun">
    <w:name w:val="comun"/>
    <w:rsid w:val="00696EE1"/>
    <w:pPr>
      <w:tabs>
        <w:tab w:val="left" w:pos="709"/>
        <w:tab w:val="left" w:pos="2552"/>
      </w:tabs>
      <w:spacing w:after="240" w:line="288" w:lineRule="auto"/>
      <w:jc w:val="both"/>
    </w:pPr>
    <w:rPr>
      <w:sz w:val="25"/>
      <w:lang w:val="es-ES_tradnl"/>
    </w:rPr>
  </w:style>
  <w:style w:type="paragraph" w:customStyle="1" w:styleId="vraya">
    <w:name w:val="vraya"/>
    <w:basedOn w:val="comun"/>
    <w:rsid w:val="00696EE1"/>
    <w:pPr>
      <w:tabs>
        <w:tab w:val="clear" w:pos="709"/>
        <w:tab w:val="left" w:pos="851"/>
      </w:tabs>
    </w:pPr>
  </w:style>
  <w:style w:type="paragraph" w:customStyle="1" w:styleId="Textodenotaalfinal">
    <w:name w:val="Texto de nota al final"/>
    <w:basedOn w:val="Normal"/>
    <w:rsid w:val="00696EE1"/>
    <w:pPr>
      <w:widowControl w:val="0"/>
    </w:pPr>
    <w:rPr>
      <w:snapToGrid w:val="0"/>
      <w:sz w:val="20"/>
      <w:szCs w:val="20"/>
      <w:lang w:eastAsia="en-US"/>
    </w:rPr>
  </w:style>
  <w:style w:type="paragraph" w:customStyle="1" w:styleId="NormalCOURIERNORMAL">
    <w:name w:val="Normal.COURIER NORMAL"/>
    <w:rsid w:val="00696EE1"/>
    <w:pPr>
      <w:spacing w:line="360" w:lineRule="auto"/>
      <w:ind w:firstLine="567"/>
    </w:pPr>
    <w:rPr>
      <w:rFonts w:ascii="Courier New" w:hAnsi="Courier New"/>
      <w:sz w:val="24"/>
      <w:lang w:val="es-ES_tradnl"/>
    </w:rPr>
  </w:style>
  <w:style w:type="paragraph" w:customStyle="1" w:styleId="xl22">
    <w:name w:val="xl22"/>
    <w:basedOn w:val="Normal"/>
    <w:rsid w:val="00696EE1"/>
    <w:pPr>
      <w:spacing w:before="100" w:beforeAutospacing="1" w:after="100" w:afterAutospacing="1"/>
    </w:pPr>
    <w:rPr>
      <w:rFonts w:ascii="Arial" w:eastAsia="Arial Unicode MS" w:hAnsi="Arial" w:cs="Arial"/>
      <w:sz w:val="16"/>
      <w:szCs w:val="16"/>
      <w:lang w:eastAsia="en-US"/>
    </w:rPr>
  </w:style>
  <w:style w:type="paragraph" w:customStyle="1" w:styleId="029titulo1">
    <w:name w:val="029 titulo1"/>
    <w:basedOn w:val="Normal"/>
    <w:rsid w:val="00696EE1"/>
    <w:rPr>
      <w:b/>
      <w:sz w:val="16"/>
      <w:szCs w:val="20"/>
      <w:lang w:val="es-ES_tradnl" w:eastAsia="en-US"/>
    </w:rPr>
  </w:style>
  <w:style w:type="paragraph" w:customStyle="1" w:styleId="029titulo2">
    <w:name w:val="029 titulo 2"/>
    <w:basedOn w:val="029titulo1"/>
    <w:rsid w:val="00696EE1"/>
  </w:style>
  <w:style w:type="paragraph" w:customStyle="1" w:styleId="029titulo3">
    <w:name w:val="029 titulo 3"/>
    <w:basedOn w:val="029titulo2"/>
    <w:rsid w:val="00696EE1"/>
  </w:style>
  <w:style w:type="paragraph" w:customStyle="1" w:styleId="029titulo4">
    <w:name w:val="029 titulo 4"/>
    <w:basedOn w:val="029titulo3"/>
    <w:rsid w:val="00696EE1"/>
  </w:style>
  <w:style w:type="paragraph" w:customStyle="1" w:styleId="Normal029">
    <w:name w:val="Normal029"/>
    <w:basedOn w:val="Normal"/>
    <w:rsid w:val="00696EE1"/>
    <w:rPr>
      <w:sz w:val="16"/>
      <w:szCs w:val="20"/>
      <w:lang w:val="es-ES_tradnl" w:eastAsia="en-US"/>
    </w:rPr>
  </w:style>
  <w:style w:type="paragraph" w:customStyle="1" w:styleId="J1">
    <w:name w:val="J1"/>
    <w:basedOn w:val="Normal"/>
    <w:next w:val="Normal"/>
    <w:rsid w:val="00696EE1"/>
    <w:pPr>
      <w:tabs>
        <w:tab w:val="left" w:pos="-2160"/>
        <w:tab w:val="left" w:pos="-1440"/>
        <w:tab w:val="left" w:pos="-720"/>
        <w:tab w:val="left" w:pos="-288"/>
        <w:tab w:val="left" w:pos="0"/>
      </w:tabs>
      <w:jc w:val="both"/>
    </w:pPr>
    <w:rPr>
      <w:spacing w:val="-3"/>
      <w:sz w:val="20"/>
      <w:szCs w:val="20"/>
      <w:lang w:val="es-ES_tradnl" w:eastAsia="en-US"/>
    </w:rPr>
  </w:style>
  <w:style w:type="paragraph" w:customStyle="1" w:styleId="J2">
    <w:name w:val="J2"/>
    <w:basedOn w:val="Normal"/>
    <w:next w:val="Normal"/>
    <w:rsid w:val="00696EE1"/>
    <w:pPr>
      <w:tabs>
        <w:tab w:val="left" w:pos="-2160"/>
        <w:tab w:val="left" w:pos="-1440"/>
        <w:tab w:val="left" w:pos="-720"/>
        <w:tab w:val="left" w:pos="-288"/>
        <w:tab w:val="left" w:pos="0"/>
      </w:tabs>
      <w:jc w:val="both"/>
    </w:pPr>
    <w:rPr>
      <w:b/>
      <w:spacing w:val="-3"/>
      <w:sz w:val="20"/>
      <w:szCs w:val="20"/>
      <w:lang w:val="es-ES_tradnl" w:eastAsia="en-US"/>
    </w:rPr>
  </w:style>
  <w:style w:type="paragraph" w:customStyle="1" w:styleId="J3">
    <w:name w:val="J3"/>
    <w:basedOn w:val="Normal"/>
    <w:rsid w:val="00696EE1"/>
    <w:pPr>
      <w:tabs>
        <w:tab w:val="left" w:pos="-2160"/>
        <w:tab w:val="left" w:pos="-1440"/>
        <w:tab w:val="left" w:pos="-720"/>
        <w:tab w:val="left" w:pos="-288"/>
        <w:tab w:val="left" w:pos="0"/>
      </w:tabs>
      <w:jc w:val="both"/>
    </w:pPr>
    <w:rPr>
      <w:b/>
      <w:spacing w:val="-3"/>
      <w:sz w:val="20"/>
      <w:szCs w:val="20"/>
      <w:lang w:val="es-ES_tradnl" w:eastAsia="en-US"/>
    </w:rPr>
  </w:style>
  <w:style w:type="character" w:customStyle="1" w:styleId="Fuentedeencabezadopredeter">
    <w:name w:val="Fuente de encabezado predeter."/>
    <w:rsid w:val="00696EE1"/>
  </w:style>
  <w:style w:type="paragraph" w:customStyle="1" w:styleId="ndice1">
    <w:name w:val="índice 1"/>
    <w:basedOn w:val="Normal"/>
    <w:rsid w:val="00696EE1"/>
    <w:pPr>
      <w:tabs>
        <w:tab w:val="left" w:leader="dot" w:pos="9000"/>
        <w:tab w:val="right" w:pos="9360"/>
      </w:tabs>
      <w:suppressAutoHyphens/>
      <w:ind w:left="1440" w:right="720" w:hanging="1440"/>
    </w:pPr>
    <w:rPr>
      <w:sz w:val="20"/>
      <w:szCs w:val="20"/>
      <w:lang w:val="en-US" w:eastAsia="en-US"/>
    </w:rPr>
  </w:style>
  <w:style w:type="paragraph" w:customStyle="1" w:styleId="ndice2">
    <w:name w:val="índice 2"/>
    <w:basedOn w:val="Normal"/>
    <w:rsid w:val="00696EE1"/>
    <w:pPr>
      <w:tabs>
        <w:tab w:val="left" w:leader="dot" w:pos="9000"/>
        <w:tab w:val="right" w:pos="9360"/>
      </w:tabs>
      <w:suppressAutoHyphens/>
      <w:ind w:left="1440" w:right="720" w:hanging="720"/>
    </w:pPr>
    <w:rPr>
      <w:sz w:val="20"/>
      <w:szCs w:val="20"/>
      <w:lang w:val="en-US" w:eastAsia="en-US"/>
    </w:rPr>
  </w:style>
  <w:style w:type="paragraph" w:customStyle="1" w:styleId="epgrafe">
    <w:name w:val="epígrafe"/>
    <w:basedOn w:val="Normal"/>
    <w:rsid w:val="00696EE1"/>
    <w:rPr>
      <w:sz w:val="20"/>
      <w:szCs w:val="20"/>
      <w:lang w:val="es-ES_tradnl" w:eastAsia="en-US"/>
    </w:rPr>
  </w:style>
  <w:style w:type="character" w:customStyle="1" w:styleId="EquationCaption">
    <w:name w:val="_Equation Caption"/>
    <w:rsid w:val="00696EE1"/>
  </w:style>
  <w:style w:type="paragraph" w:customStyle="1" w:styleId="COURIERTITULO">
    <w:name w:val="COURIER TITULO"/>
    <w:basedOn w:val="Normal"/>
    <w:next w:val="Normal"/>
    <w:rsid w:val="00696EE1"/>
    <w:pPr>
      <w:ind w:left="567" w:hanging="567"/>
    </w:pPr>
    <w:rPr>
      <w:b/>
      <w:sz w:val="20"/>
      <w:szCs w:val="20"/>
      <w:lang w:val="es-ES_tradnl" w:eastAsia="en-US"/>
    </w:rPr>
  </w:style>
  <w:style w:type="paragraph" w:customStyle="1" w:styleId="ESPESANGRIA">
    <w:name w:val="ESPE.SANGRIA"/>
    <w:rsid w:val="00696EE1"/>
    <w:pPr>
      <w:widowControl w:val="0"/>
      <w:spacing w:line="360" w:lineRule="auto"/>
      <w:ind w:left="397" w:hanging="397"/>
      <w:jc w:val="both"/>
    </w:pPr>
    <w:rPr>
      <w:lang w:val="es-ES_tradnl"/>
    </w:rPr>
  </w:style>
  <w:style w:type="paragraph" w:customStyle="1" w:styleId="COURIERSANGRIA">
    <w:name w:val="COURIER SANGRIA"/>
    <w:next w:val="Normal"/>
    <w:rsid w:val="00696EE1"/>
    <w:pPr>
      <w:tabs>
        <w:tab w:val="left" w:pos="851"/>
        <w:tab w:val="right" w:pos="6804"/>
        <w:tab w:val="left" w:pos="7088"/>
      </w:tabs>
      <w:spacing w:line="360" w:lineRule="auto"/>
      <w:ind w:left="567" w:hanging="567"/>
      <w:jc w:val="both"/>
    </w:pPr>
    <w:rPr>
      <w:noProof/>
      <w:sz w:val="24"/>
    </w:rPr>
  </w:style>
  <w:style w:type="paragraph" w:customStyle="1" w:styleId="NORMALDOCUMENTOS">
    <w:name w:val="NORMAL DOCUMENTOS"/>
    <w:basedOn w:val="Normal"/>
    <w:rsid w:val="00696EE1"/>
    <w:pPr>
      <w:jc w:val="both"/>
    </w:pPr>
    <w:rPr>
      <w:rFonts w:ascii="Boldface PS" w:hAnsi="Boldface PS"/>
      <w:sz w:val="20"/>
      <w:szCs w:val="20"/>
      <w:lang w:val="es-ES_tradnl" w:eastAsia="en-US"/>
    </w:rPr>
  </w:style>
  <w:style w:type="paragraph" w:customStyle="1" w:styleId="Textoindependiente21">
    <w:name w:val="Texto independiente 21"/>
    <w:basedOn w:val="Normal"/>
    <w:rsid w:val="00696EE1"/>
    <w:pPr>
      <w:tabs>
        <w:tab w:val="left" w:pos="567"/>
        <w:tab w:val="left" w:pos="1418"/>
        <w:tab w:val="left" w:pos="1985"/>
        <w:tab w:val="right" w:leader="dot" w:pos="9072"/>
      </w:tabs>
      <w:overflowPunct w:val="0"/>
      <w:autoSpaceDE w:val="0"/>
      <w:autoSpaceDN w:val="0"/>
      <w:adjustRightInd w:val="0"/>
      <w:ind w:left="-426" w:firstLine="426"/>
      <w:jc w:val="both"/>
      <w:textAlignment w:val="baseline"/>
    </w:pPr>
    <w:rPr>
      <w:sz w:val="20"/>
      <w:szCs w:val="20"/>
      <w:lang w:val="es-ES_tradnl" w:eastAsia="en-US"/>
    </w:rPr>
  </w:style>
  <w:style w:type="table" w:styleId="Tablaconcuadrcula">
    <w:name w:val="Table Grid"/>
    <w:basedOn w:val="Tablanormal"/>
    <w:rsid w:val="004B1BC6"/>
    <w:pPr>
      <w:tabs>
        <w:tab w:val="left" w:pos="567"/>
        <w:tab w:val="left" w:pos="1418"/>
        <w:tab w:val="left" w:pos="1985"/>
        <w:tab w:val="right" w:leader="dot" w:pos="9072"/>
      </w:tabs>
      <w:overflowPunct w:val="0"/>
      <w:autoSpaceDE w:val="0"/>
      <w:autoSpaceDN w:val="0"/>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1"/>
    <w:rsid w:val="004B1BC6"/>
    <w:pPr>
      <w:spacing w:after="120"/>
      <w:ind w:left="283"/>
    </w:pPr>
    <w:rPr>
      <w:sz w:val="20"/>
      <w:szCs w:val="20"/>
      <w:lang w:eastAsia="en-US"/>
    </w:rPr>
  </w:style>
  <w:style w:type="character" w:customStyle="1" w:styleId="SangradetextonormalCar1">
    <w:name w:val="Sangría de texto normal Car1"/>
    <w:basedOn w:val="Fuentedeprrafopredeter"/>
    <w:link w:val="Sangradetextonormal"/>
    <w:rsid w:val="00D109DE"/>
  </w:style>
  <w:style w:type="character" w:styleId="Nmerodepgina">
    <w:name w:val="page number"/>
    <w:basedOn w:val="Fuentedeprrafopredeter"/>
    <w:rsid w:val="000A2C6F"/>
  </w:style>
  <w:style w:type="paragraph" w:customStyle="1" w:styleId="Apendice2">
    <w:name w:val="Apendice2"/>
    <w:basedOn w:val="Apndice"/>
    <w:rsid w:val="007768A9"/>
    <w:pPr>
      <w:jc w:val="center"/>
    </w:pPr>
    <w:rPr>
      <w:rFonts w:ascii="Arial Negrita" w:hAnsi="Arial Negrita"/>
      <w:sz w:val="32"/>
    </w:rPr>
  </w:style>
  <w:style w:type="paragraph" w:styleId="Sangra2detindependiente">
    <w:name w:val="Body Text Indent 2"/>
    <w:basedOn w:val="Normal"/>
    <w:link w:val="Sangra2detindependienteCar"/>
    <w:rsid w:val="003474B2"/>
    <w:pPr>
      <w:suppressAutoHyphens/>
      <w:spacing w:line="360" w:lineRule="auto"/>
      <w:ind w:left="284"/>
      <w:jc w:val="both"/>
    </w:pPr>
    <w:rPr>
      <w:color w:val="000000"/>
      <w:spacing w:val="-3"/>
      <w:sz w:val="16"/>
      <w:szCs w:val="20"/>
      <w:lang w:val="es-ES_tradnl" w:eastAsia="en-US"/>
    </w:rPr>
  </w:style>
  <w:style w:type="character" w:customStyle="1" w:styleId="Sangra2detindependienteCar">
    <w:name w:val="Sangría 2 de t. independiente Car"/>
    <w:basedOn w:val="Fuentedeprrafopredeter"/>
    <w:link w:val="Sangra2detindependiente"/>
    <w:rsid w:val="00D109DE"/>
    <w:rPr>
      <w:color w:val="000000"/>
      <w:spacing w:val="-3"/>
      <w:sz w:val="16"/>
      <w:lang w:val="es-ES_tradnl"/>
    </w:rPr>
  </w:style>
  <w:style w:type="character" w:styleId="Hipervnculovisitado">
    <w:name w:val="FollowedHyperlink"/>
    <w:rsid w:val="003474B2"/>
    <w:rPr>
      <w:color w:val="800080"/>
      <w:u w:val="single"/>
    </w:rPr>
  </w:style>
  <w:style w:type="paragraph" w:styleId="Textoindependiente2">
    <w:name w:val="Body Text 2"/>
    <w:basedOn w:val="Normal"/>
    <w:link w:val="Textoindependiente2Car"/>
    <w:rsid w:val="003474B2"/>
    <w:pPr>
      <w:pBdr>
        <w:top w:val="single" w:sz="4" w:space="1" w:color="auto"/>
        <w:left w:val="single" w:sz="4" w:space="4" w:color="auto"/>
        <w:bottom w:val="single" w:sz="4" w:space="1" w:color="auto"/>
        <w:right w:val="single" w:sz="4" w:space="4" w:color="auto"/>
      </w:pBdr>
      <w:autoSpaceDE w:val="0"/>
      <w:autoSpaceDN w:val="0"/>
      <w:adjustRightInd w:val="0"/>
    </w:pPr>
    <w:rPr>
      <w:rFonts w:ascii="Courier New" w:hAnsi="Courier New" w:cs="Courier New"/>
      <w:sz w:val="16"/>
      <w:szCs w:val="20"/>
      <w:lang w:eastAsia="en-US"/>
    </w:rPr>
  </w:style>
  <w:style w:type="character" w:customStyle="1" w:styleId="Textoindependiente2Car">
    <w:name w:val="Texto independiente 2 Car"/>
    <w:basedOn w:val="Fuentedeprrafopredeter"/>
    <w:link w:val="Textoindependiente2"/>
    <w:rsid w:val="00D109DE"/>
    <w:rPr>
      <w:rFonts w:ascii="Courier New" w:hAnsi="Courier New" w:cs="Courier New"/>
      <w:sz w:val="16"/>
    </w:rPr>
  </w:style>
  <w:style w:type="paragraph" w:customStyle="1" w:styleId="Titulodefotografa">
    <w:name w:val="Titulo de fotografía"/>
    <w:basedOn w:val="Normal"/>
    <w:rsid w:val="003474B2"/>
    <w:pPr>
      <w:numPr>
        <w:numId w:val="2"/>
      </w:numPr>
      <w:tabs>
        <w:tab w:val="left" w:pos="1134"/>
      </w:tabs>
      <w:suppressAutoHyphens/>
      <w:spacing w:before="120" w:after="240" w:line="360" w:lineRule="auto"/>
      <w:jc w:val="center"/>
    </w:pPr>
    <w:rPr>
      <w:rFonts w:ascii="Arial Negrita" w:hAnsi="Arial Negrita"/>
      <w:b/>
      <w:sz w:val="20"/>
      <w:szCs w:val="20"/>
      <w:lang w:eastAsia="en-US"/>
    </w:rPr>
  </w:style>
  <w:style w:type="paragraph" w:customStyle="1" w:styleId="Titulodefigura">
    <w:name w:val="Titulo de figura"/>
    <w:basedOn w:val="Normal"/>
    <w:rsid w:val="003474B2"/>
    <w:pPr>
      <w:numPr>
        <w:numId w:val="3"/>
      </w:numPr>
      <w:tabs>
        <w:tab w:val="num" w:pos="1134"/>
      </w:tabs>
      <w:suppressAutoHyphens/>
      <w:spacing w:before="120" w:after="240" w:line="360" w:lineRule="auto"/>
      <w:jc w:val="center"/>
    </w:pPr>
    <w:rPr>
      <w:rFonts w:ascii="Arial Negrita" w:hAnsi="Arial Negrita"/>
      <w:b/>
      <w:sz w:val="20"/>
      <w:szCs w:val="20"/>
      <w:lang w:eastAsia="en-US"/>
    </w:rPr>
  </w:style>
  <w:style w:type="paragraph" w:styleId="Textonotapie">
    <w:name w:val="footnote text"/>
    <w:basedOn w:val="Normal"/>
    <w:link w:val="TextonotapieCar"/>
    <w:rsid w:val="003474B2"/>
    <w:pPr>
      <w:numPr>
        <w:numId w:val="4"/>
      </w:numPr>
      <w:tabs>
        <w:tab w:val="left" w:pos="284"/>
      </w:tabs>
      <w:spacing w:after="120"/>
      <w:ind w:left="284" w:hanging="284"/>
      <w:jc w:val="both"/>
    </w:pPr>
    <w:rPr>
      <w:rFonts w:ascii="Arial" w:hAnsi="Arial"/>
      <w:sz w:val="20"/>
      <w:szCs w:val="20"/>
      <w:lang w:eastAsia="en-US"/>
    </w:rPr>
  </w:style>
  <w:style w:type="character" w:customStyle="1" w:styleId="TextonotapieCar">
    <w:name w:val="Texto nota pie Car"/>
    <w:basedOn w:val="Fuentedeprrafopredeter"/>
    <w:link w:val="Textonotapie"/>
    <w:rsid w:val="00D109DE"/>
    <w:rPr>
      <w:rFonts w:ascii="Arial" w:hAnsi="Arial"/>
    </w:rPr>
  </w:style>
  <w:style w:type="paragraph" w:customStyle="1" w:styleId="Titulo1GIF">
    <w:name w:val="Titulo 1 GIF"/>
    <w:basedOn w:val="NormalGIF"/>
    <w:next w:val="NormalGIF"/>
    <w:autoRedefine/>
    <w:rsid w:val="003474B2"/>
    <w:pPr>
      <w:numPr>
        <w:numId w:val="5"/>
      </w:numPr>
      <w:tabs>
        <w:tab w:val="left" w:pos="851"/>
      </w:tabs>
      <w:suppressAutoHyphens w:val="0"/>
      <w:jc w:val="left"/>
      <w:outlineLvl w:val="0"/>
    </w:pPr>
    <w:rPr>
      <w:rFonts w:ascii="Arial" w:hAnsi="Arial" w:cs="Arial"/>
      <w:b/>
      <w:caps/>
      <w:sz w:val="22"/>
      <w:szCs w:val="22"/>
    </w:rPr>
  </w:style>
  <w:style w:type="paragraph" w:customStyle="1" w:styleId="NormalGIF">
    <w:name w:val="Normal GIF"/>
    <w:basedOn w:val="Normal"/>
    <w:rsid w:val="003474B2"/>
    <w:pPr>
      <w:suppressAutoHyphens/>
      <w:spacing w:line="360" w:lineRule="auto"/>
      <w:jc w:val="both"/>
    </w:pPr>
    <w:rPr>
      <w:szCs w:val="20"/>
      <w:lang w:val="es-ES_tradnl" w:eastAsia="en-US"/>
    </w:rPr>
  </w:style>
  <w:style w:type="paragraph" w:customStyle="1" w:styleId="Titulo2GIF">
    <w:name w:val="Titulo 2 GIF"/>
    <w:basedOn w:val="NormalGIF"/>
    <w:next w:val="NormalGIF"/>
    <w:autoRedefine/>
    <w:rsid w:val="003474B2"/>
    <w:pPr>
      <w:numPr>
        <w:ilvl w:val="1"/>
        <w:numId w:val="5"/>
      </w:numPr>
      <w:tabs>
        <w:tab w:val="left" w:pos="1134"/>
      </w:tabs>
      <w:suppressAutoHyphens w:val="0"/>
      <w:jc w:val="left"/>
    </w:pPr>
    <w:rPr>
      <w:rFonts w:ascii="Arial" w:hAnsi="Arial" w:cs="Arial"/>
      <w:b/>
      <w:caps/>
      <w:sz w:val="22"/>
      <w:szCs w:val="22"/>
    </w:rPr>
  </w:style>
  <w:style w:type="paragraph" w:customStyle="1" w:styleId="Ttulo6modificado">
    <w:name w:val="Título 6 modificado"/>
    <w:next w:val="Ttulo7modificado"/>
    <w:rsid w:val="003474B2"/>
    <w:pPr>
      <w:numPr>
        <w:ilvl w:val="5"/>
        <w:numId w:val="6"/>
      </w:numPr>
      <w:tabs>
        <w:tab w:val="left" w:pos="851"/>
      </w:tabs>
      <w:spacing w:after="240"/>
      <w:outlineLvl w:val="5"/>
    </w:pPr>
    <w:rPr>
      <w:b/>
      <w:smallCaps/>
      <w:noProof/>
      <w:sz w:val="24"/>
    </w:rPr>
  </w:style>
  <w:style w:type="paragraph" w:customStyle="1" w:styleId="Ttulo7modificado">
    <w:name w:val="Título 7 modificado"/>
    <w:basedOn w:val="Ttulo7"/>
    <w:next w:val="Normal"/>
    <w:rsid w:val="003474B2"/>
    <w:pPr>
      <w:keepNext/>
      <w:keepLines/>
      <w:numPr>
        <w:ilvl w:val="0"/>
        <w:numId w:val="7"/>
      </w:numPr>
      <w:tabs>
        <w:tab w:val="clear" w:pos="1080"/>
        <w:tab w:val="left" w:pos="851"/>
      </w:tabs>
      <w:suppressAutoHyphens/>
      <w:spacing w:before="0" w:after="240"/>
      <w:jc w:val="both"/>
    </w:pPr>
    <w:rPr>
      <w:rFonts w:ascii="Times New Roman" w:hAnsi="Times New Roman"/>
      <w:smallCaps/>
      <w:sz w:val="24"/>
      <w:u w:val="single"/>
      <w:lang w:val="es-ES_tradnl"/>
    </w:rPr>
  </w:style>
  <w:style w:type="paragraph" w:customStyle="1" w:styleId="Gif1-corre">
    <w:name w:val="Gif 1-corre"/>
    <w:basedOn w:val="Normal"/>
    <w:next w:val="Normal"/>
    <w:rsid w:val="003474B2"/>
    <w:pPr>
      <w:numPr>
        <w:numId w:val="8"/>
      </w:numPr>
      <w:tabs>
        <w:tab w:val="clear" w:pos="1800"/>
        <w:tab w:val="num" w:pos="360"/>
        <w:tab w:val="left" w:pos="567"/>
      </w:tabs>
      <w:spacing w:line="360" w:lineRule="auto"/>
      <w:jc w:val="both"/>
      <w:outlineLvl w:val="0"/>
    </w:pPr>
    <w:rPr>
      <w:b/>
      <w:szCs w:val="20"/>
      <w:u w:val="words"/>
      <w:lang w:val="es-ES_tradnl" w:eastAsia="en-US"/>
    </w:rPr>
  </w:style>
  <w:style w:type="paragraph" w:styleId="Listaconvietas">
    <w:name w:val="List Bullet"/>
    <w:basedOn w:val="Normal"/>
    <w:autoRedefine/>
    <w:rsid w:val="003474B2"/>
    <w:pPr>
      <w:spacing w:line="360" w:lineRule="auto"/>
      <w:jc w:val="both"/>
    </w:pPr>
    <w:rPr>
      <w:szCs w:val="20"/>
      <w:lang w:val="es-ES_tradnl" w:eastAsia="en-US"/>
    </w:rPr>
  </w:style>
  <w:style w:type="paragraph" w:customStyle="1" w:styleId="VIETA1">
    <w:name w:val="VIÑETA 1"/>
    <w:basedOn w:val="Normal"/>
    <w:rsid w:val="003474B2"/>
    <w:pPr>
      <w:numPr>
        <w:numId w:val="9"/>
      </w:numPr>
      <w:tabs>
        <w:tab w:val="right" w:leader="dot" w:pos="9639"/>
      </w:tabs>
      <w:spacing w:after="240" w:line="312" w:lineRule="auto"/>
      <w:jc w:val="both"/>
    </w:pPr>
    <w:rPr>
      <w:i/>
      <w:szCs w:val="20"/>
      <w:lang w:eastAsia="en-US"/>
    </w:rPr>
  </w:style>
  <w:style w:type="paragraph" w:customStyle="1" w:styleId="xl48">
    <w:name w:val="xl48"/>
    <w:basedOn w:val="Normal"/>
    <w:rsid w:val="003474B2"/>
    <w:pPr>
      <w:spacing w:before="100" w:beforeAutospacing="1" w:after="100" w:afterAutospacing="1"/>
      <w:jc w:val="center"/>
      <w:textAlignment w:val="center"/>
    </w:pPr>
    <w:rPr>
      <w:rFonts w:ascii="Arial" w:eastAsia="Arial Unicode MS" w:hAnsi="Arial" w:cs="Arial"/>
      <w:b/>
      <w:bCs/>
      <w:sz w:val="18"/>
      <w:szCs w:val="18"/>
      <w:lang w:eastAsia="en-US"/>
    </w:rPr>
  </w:style>
  <w:style w:type="paragraph" w:customStyle="1" w:styleId="xl32">
    <w:name w:val="xl32"/>
    <w:basedOn w:val="Normal"/>
    <w:rsid w:val="003474B2"/>
    <w:pPr>
      <w:pBdr>
        <w:left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lang w:eastAsia="en-US"/>
    </w:rPr>
  </w:style>
  <w:style w:type="paragraph" w:customStyle="1" w:styleId="xl50">
    <w:name w:val="xl50"/>
    <w:basedOn w:val="Normal"/>
    <w:rsid w:val="003474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color w:val="000000"/>
      <w:sz w:val="18"/>
      <w:szCs w:val="18"/>
      <w:lang w:eastAsia="en-US"/>
    </w:rPr>
  </w:style>
  <w:style w:type="paragraph" w:customStyle="1" w:styleId="xl24">
    <w:name w:val="xl24"/>
    <w:basedOn w:val="Normal"/>
    <w:rsid w:val="00347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color w:val="000000"/>
      <w:lang w:eastAsia="en-US"/>
    </w:rPr>
  </w:style>
  <w:style w:type="paragraph" w:customStyle="1" w:styleId="xl25">
    <w:name w:val="xl25"/>
    <w:basedOn w:val="Normal"/>
    <w:rsid w:val="00347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color w:val="000000"/>
      <w:lang w:eastAsia="en-US"/>
    </w:rPr>
  </w:style>
  <w:style w:type="paragraph" w:customStyle="1" w:styleId="xl26">
    <w:name w:val="xl26"/>
    <w:basedOn w:val="Normal"/>
    <w:rsid w:val="00347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color w:val="000000"/>
      <w:lang w:eastAsia="en-US"/>
    </w:rPr>
  </w:style>
  <w:style w:type="paragraph" w:customStyle="1" w:styleId="xl27">
    <w:name w:val="xl27"/>
    <w:basedOn w:val="Normal"/>
    <w:rsid w:val="00347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color w:val="000000"/>
      <w:lang w:eastAsia="en-US"/>
    </w:rPr>
  </w:style>
  <w:style w:type="paragraph" w:customStyle="1" w:styleId="xl28">
    <w:name w:val="xl28"/>
    <w:basedOn w:val="Normal"/>
    <w:rsid w:val="00347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color w:val="000000"/>
      <w:lang w:eastAsia="en-US"/>
    </w:rPr>
  </w:style>
  <w:style w:type="paragraph" w:customStyle="1" w:styleId="font5">
    <w:name w:val="font5"/>
    <w:basedOn w:val="Normal"/>
    <w:rsid w:val="003474B2"/>
    <w:pPr>
      <w:spacing w:before="100" w:beforeAutospacing="1" w:after="100" w:afterAutospacing="1"/>
    </w:pPr>
    <w:rPr>
      <w:rFonts w:ascii="Tahoma" w:eastAsia="Arial Unicode MS" w:hAnsi="Tahoma"/>
      <w:b/>
      <w:bCs/>
      <w:color w:val="000000"/>
      <w:sz w:val="16"/>
      <w:szCs w:val="16"/>
      <w:lang w:eastAsia="en-US"/>
    </w:rPr>
  </w:style>
  <w:style w:type="paragraph" w:customStyle="1" w:styleId="font6">
    <w:name w:val="font6"/>
    <w:basedOn w:val="Normal"/>
    <w:rsid w:val="003474B2"/>
    <w:pPr>
      <w:spacing w:before="100" w:beforeAutospacing="1" w:after="100" w:afterAutospacing="1"/>
    </w:pPr>
    <w:rPr>
      <w:rFonts w:ascii="Tahoma" w:eastAsia="Arial Unicode MS" w:hAnsi="Tahoma"/>
      <w:color w:val="000000"/>
      <w:sz w:val="16"/>
      <w:szCs w:val="16"/>
      <w:lang w:eastAsia="en-US"/>
    </w:rPr>
  </w:style>
  <w:style w:type="paragraph" w:customStyle="1" w:styleId="font7">
    <w:name w:val="font7"/>
    <w:basedOn w:val="Normal"/>
    <w:rsid w:val="003474B2"/>
    <w:pPr>
      <w:spacing w:before="100" w:beforeAutospacing="1" w:after="100" w:afterAutospacing="1"/>
    </w:pPr>
    <w:rPr>
      <w:rFonts w:ascii="Tahoma" w:eastAsia="Arial Unicode MS" w:hAnsi="Tahoma"/>
      <w:color w:val="000000"/>
      <w:sz w:val="18"/>
      <w:szCs w:val="18"/>
      <w:lang w:eastAsia="en-US"/>
    </w:rPr>
  </w:style>
  <w:style w:type="paragraph" w:customStyle="1" w:styleId="font8">
    <w:name w:val="font8"/>
    <w:basedOn w:val="Normal"/>
    <w:rsid w:val="003474B2"/>
    <w:pPr>
      <w:spacing w:before="100" w:beforeAutospacing="1" w:after="100" w:afterAutospacing="1"/>
    </w:pPr>
    <w:rPr>
      <w:rFonts w:ascii="Tahoma" w:eastAsia="Arial Unicode MS" w:hAnsi="Tahoma"/>
      <w:b/>
      <w:bCs/>
      <w:color w:val="000000"/>
      <w:sz w:val="18"/>
      <w:szCs w:val="18"/>
      <w:lang w:eastAsia="en-US"/>
    </w:rPr>
  </w:style>
  <w:style w:type="paragraph" w:customStyle="1" w:styleId="font9">
    <w:name w:val="font9"/>
    <w:basedOn w:val="Normal"/>
    <w:rsid w:val="003474B2"/>
    <w:pPr>
      <w:spacing w:before="100" w:beforeAutospacing="1" w:after="100" w:afterAutospacing="1"/>
    </w:pPr>
    <w:rPr>
      <w:rFonts w:ascii="Arial" w:eastAsia="Arial Unicode MS" w:hAnsi="Arial" w:cs="Arial"/>
      <w:sz w:val="14"/>
      <w:szCs w:val="14"/>
      <w:lang w:eastAsia="en-US"/>
    </w:rPr>
  </w:style>
  <w:style w:type="paragraph" w:customStyle="1" w:styleId="xl29">
    <w:name w:val="xl29"/>
    <w:basedOn w:val="Normal"/>
    <w:rsid w:val="00347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color w:val="FF0000"/>
      <w:sz w:val="18"/>
      <w:szCs w:val="18"/>
      <w:lang w:eastAsia="en-US"/>
    </w:rPr>
  </w:style>
  <w:style w:type="paragraph" w:customStyle="1" w:styleId="xl30">
    <w:name w:val="xl30"/>
    <w:basedOn w:val="Normal"/>
    <w:rsid w:val="00347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lang w:eastAsia="en-US"/>
    </w:rPr>
  </w:style>
  <w:style w:type="paragraph" w:customStyle="1" w:styleId="xl31">
    <w:name w:val="xl31"/>
    <w:basedOn w:val="Normal"/>
    <w:rsid w:val="00347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lang w:eastAsia="en-US"/>
    </w:rPr>
  </w:style>
  <w:style w:type="paragraph" w:customStyle="1" w:styleId="xl33">
    <w:name w:val="xl33"/>
    <w:basedOn w:val="Normal"/>
    <w:rsid w:val="00347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sz w:val="18"/>
      <w:szCs w:val="18"/>
      <w:lang w:eastAsia="en-US"/>
    </w:rPr>
  </w:style>
  <w:style w:type="paragraph" w:customStyle="1" w:styleId="xl34">
    <w:name w:val="xl34"/>
    <w:basedOn w:val="Normal"/>
    <w:rsid w:val="003474B2"/>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w:color w:val="000000"/>
      <w:sz w:val="18"/>
      <w:szCs w:val="18"/>
      <w:lang w:eastAsia="en-US"/>
    </w:rPr>
  </w:style>
  <w:style w:type="paragraph" w:customStyle="1" w:styleId="xl35">
    <w:name w:val="xl35"/>
    <w:basedOn w:val="Normal"/>
    <w:rsid w:val="003474B2"/>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w:color w:val="FF0000"/>
      <w:sz w:val="18"/>
      <w:szCs w:val="18"/>
      <w:lang w:eastAsia="en-US"/>
    </w:rPr>
  </w:style>
  <w:style w:type="paragraph" w:customStyle="1" w:styleId="xl36">
    <w:name w:val="xl36"/>
    <w:basedOn w:val="Normal"/>
    <w:rsid w:val="003474B2"/>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w:sz w:val="18"/>
      <w:szCs w:val="18"/>
      <w:lang w:eastAsia="en-US"/>
    </w:rPr>
  </w:style>
  <w:style w:type="paragraph" w:customStyle="1" w:styleId="xl37">
    <w:name w:val="xl37"/>
    <w:basedOn w:val="Normal"/>
    <w:rsid w:val="003474B2"/>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w:sz w:val="18"/>
      <w:szCs w:val="18"/>
      <w:lang w:eastAsia="en-US"/>
    </w:rPr>
  </w:style>
  <w:style w:type="paragraph" w:customStyle="1" w:styleId="xl38">
    <w:name w:val="xl38"/>
    <w:basedOn w:val="Normal"/>
    <w:rsid w:val="003474B2"/>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w:sz w:val="18"/>
      <w:szCs w:val="18"/>
      <w:lang w:eastAsia="en-US"/>
    </w:rPr>
  </w:style>
  <w:style w:type="paragraph" w:customStyle="1" w:styleId="xl39">
    <w:name w:val="xl39"/>
    <w:basedOn w:val="Normal"/>
    <w:rsid w:val="003474B2"/>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Arial" w:eastAsia="Arial Unicode MS" w:hAnsi="Arial" w:cs="Arial"/>
      <w:sz w:val="18"/>
      <w:szCs w:val="18"/>
      <w:lang w:eastAsia="en-US"/>
    </w:rPr>
  </w:style>
  <w:style w:type="paragraph" w:styleId="Ttulo">
    <w:name w:val="Title"/>
    <w:basedOn w:val="Normal"/>
    <w:link w:val="TtuloCar"/>
    <w:qFormat/>
    <w:rsid w:val="003474B2"/>
    <w:pPr>
      <w:suppressAutoHyphens/>
      <w:spacing w:line="288" w:lineRule="auto"/>
      <w:jc w:val="center"/>
    </w:pPr>
    <w:rPr>
      <w:b/>
      <w:szCs w:val="20"/>
      <w:lang w:val="es-ES_tradnl" w:eastAsia="en-US"/>
    </w:rPr>
  </w:style>
  <w:style w:type="character" w:customStyle="1" w:styleId="TtuloCar">
    <w:name w:val="Título Car"/>
    <w:basedOn w:val="Fuentedeprrafopredeter"/>
    <w:link w:val="Ttulo"/>
    <w:rsid w:val="00D109DE"/>
    <w:rPr>
      <w:b/>
      <w:sz w:val="24"/>
      <w:lang w:val="es-ES_tradnl"/>
    </w:rPr>
  </w:style>
  <w:style w:type="paragraph" w:customStyle="1" w:styleId="xl40">
    <w:name w:val="xl40"/>
    <w:basedOn w:val="Normal"/>
    <w:rsid w:val="003474B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9"/>
      <w:szCs w:val="19"/>
      <w:lang w:eastAsia="en-US"/>
    </w:rPr>
  </w:style>
  <w:style w:type="paragraph" w:customStyle="1" w:styleId="xl41">
    <w:name w:val="xl41"/>
    <w:basedOn w:val="Normal"/>
    <w:rsid w:val="003474B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9"/>
      <w:szCs w:val="19"/>
      <w:lang w:eastAsia="en-US"/>
    </w:rPr>
  </w:style>
  <w:style w:type="paragraph" w:customStyle="1" w:styleId="Mapadeldocumento1">
    <w:name w:val="Mapa del documento1"/>
    <w:basedOn w:val="Normal"/>
    <w:rsid w:val="003474B2"/>
    <w:pPr>
      <w:shd w:val="clear" w:color="auto" w:fill="000080"/>
      <w:tabs>
        <w:tab w:val="left" w:pos="567"/>
        <w:tab w:val="left" w:pos="1418"/>
        <w:tab w:val="left" w:pos="1985"/>
        <w:tab w:val="right" w:leader="dot" w:pos="9072"/>
      </w:tabs>
      <w:overflowPunct w:val="0"/>
      <w:autoSpaceDE w:val="0"/>
      <w:autoSpaceDN w:val="0"/>
      <w:adjustRightInd w:val="0"/>
      <w:spacing w:line="360" w:lineRule="auto"/>
      <w:jc w:val="both"/>
      <w:textAlignment w:val="baseline"/>
    </w:pPr>
    <w:rPr>
      <w:rFonts w:ascii="Tahoma" w:hAnsi="Tahoma"/>
      <w:szCs w:val="20"/>
      <w:lang w:eastAsia="en-US"/>
    </w:rPr>
  </w:style>
  <w:style w:type="paragraph" w:customStyle="1" w:styleId="Sangra2detindependiente1">
    <w:name w:val="Sangría 2 de t. independiente1"/>
    <w:basedOn w:val="Normal"/>
    <w:rsid w:val="003474B2"/>
    <w:pPr>
      <w:tabs>
        <w:tab w:val="left" w:pos="567"/>
        <w:tab w:val="left" w:pos="1418"/>
        <w:tab w:val="left" w:pos="1985"/>
        <w:tab w:val="right" w:leader="dot" w:pos="9072"/>
      </w:tabs>
      <w:overflowPunct w:val="0"/>
      <w:autoSpaceDE w:val="0"/>
      <w:autoSpaceDN w:val="0"/>
      <w:adjustRightInd w:val="0"/>
      <w:spacing w:line="360" w:lineRule="auto"/>
      <w:ind w:firstLine="709"/>
      <w:jc w:val="both"/>
      <w:textAlignment w:val="baseline"/>
    </w:pPr>
    <w:rPr>
      <w:szCs w:val="20"/>
      <w:lang w:val="es-ES_tradnl" w:eastAsia="en-US"/>
    </w:rPr>
  </w:style>
  <w:style w:type="paragraph" w:customStyle="1" w:styleId="Sangra3detindependiente1">
    <w:name w:val="Sangría 3 de t. independiente1"/>
    <w:basedOn w:val="Normal"/>
    <w:rsid w:val="003474B2"/>
    <w:pPr>
      <w:tabs>
        <w:tab w:val="left" w:pos="567"/>
        <w:tab w:val="left" w:pos="1418"/>
        <w:tab w:val="left" w:pos="1985"/>
        <w:tab w:val="right" w:leader="dot" w:pos="9072"/>
      </w:tabs>
      <w:overflowPunct w:val="0"/>
      <w:autoSpaceDE w:val="0"/>
      <w:autoSpaceDN w:val="0"/>
      <w:adjustRightInd w:val="0"/>
      <w:spacing w:line="360" w:lineRule="auto"/>
      <w:ind w:left="709" w:hanging="1"/>
      <w:jc w:val="both"/>
      <w:textAlignment w:val="baseline"/>
    </w:pPr>
    <w:rPr>
      <w:szCs w:val="20"/>
      <w:lang w:eastAsia="en-US"/>
    </w:rPr>
  </w:style>
  <w:style w:type="paragraph" w:customStyle="1" w:styleId="Textosinformato1">
    <w:name w:val="Texto sin formato1"/>
    <w:basedOn w:val="Normal"/>
    <w:rsid w:val="003474B2"/>
    <w:pPr>
      <w:overflowPunct w:val="0"/>
      <w:autoSpaceDE w:val="0"/>
      <w:autoSpaceDN w:val="0"/>
      <w:adjustRightInd w:val="0"/>
      <w:spacing w:line="360" w:lineRule="auto"/>
      <w:ind w:firstLine="567"/>
      <w:textAlignment w:val="baseline"/>
    </w:pPr>
    <w:rPr>
      <w:rFonts w:ascii="Courier New" w:hAnsi="Courier New"/>
      <w:sz w:val="20"/>
      <w:szCs w:val="20"/>
      <w:lang w:val="es-ES_tradnl" w:eastAsia="en-US"/>
    </w:rPr>
  </w:style>
  <w:style w:type="paragraph" w:customStyle="1" w:styleId="Pidefoto">
    <w:name w:val="Pié de foto"/>
    <w:basedOn w:val="Normal"/>
    <w:next w:val="Normal"/>
    <w:rsid w:val="003474B2"/>
    <w:pPr>
      <w:tabs>
        <w:tab w:val="left" w:pos="851"/>
        <w:tab w:val="left" w:pos="2552"/>
      </w:tabs>
      <w:overflowPunct w:val="0"/>
      <w:autoSpaceDE w:val="0"/>
      <w:autoSpaceDN w:val="0"/>
      <w:adjustRightInd w:val="0"/>
      <w:spacing w:before="240" w:after="240" w:line="288" w:lineRule="auto"/>
      <w:jc w:val="center"/>
      <w:textAlignment w:val="baseline"/>
    </w:pPr>
    <w:rPr>
      <w:b/>
      <w:sz w:val="25"/>
      <w:szCs w:val="20"/>
      <w:lang w:val="es-ES_tradnl" w:eastAsia="en-US"/>
    </w:rPr>
  </w:style>
  <w:style w:type="paragraph" w:customStyle="1" w:styleId="TITULOS">
    <w:name w:val="TITULOS"/>
    <w:basedOn w:val="Normal"/>
    <w:next w:val="Normal"/>
    <w:rsid w:val="003474B2"/>
    <w:pPr>
      <w:overflowPunct w:val="0"/>
      <w:autoSpaceDE w:val="0"/>
      <w:autoSpaceDN w:val="0"/>
      <w:adjustRightInd w:val="0"/>
      <w:spacing w:line="300" w:lineRule="auto"/>
      <w:jc w:val="center"/>
      <w:textAlignment w:val="baseline"/>
    </w:pPr>
    <w:rPr>
      <w:b/>
      <w:caps/>
      <w:sz w:val="32"/>
      <w:szCs w:val="20"/>
      <w:lang w:val="es-ES_tradnl" w:eastAsia="en-US"/>
    </w:rPr>
  </w:style>
  <w:style w:type="paragraph" w:customStyle="1" w:styleId="xl23">
    <w:name w:val="xl23"/>
    <w:basedOn w:val="Normal"/>
    <w:rsid w:val="003474B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b/>
      <w:sz w:val="16"/>
      <w:szCs w:val="20"/>
      <w:lang w:eastAsia="en-US"/>
    </w:rPr>
  </w:style>
  <w:style w:type="paragraph" w:customStyle="1" w:styleId="xl42">
    <w:name w:val="xl42"/>
    <w:basedOn w:val="Normal"/>
    <w:rsid w:val="003474B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sz w:val="16"/>
      <w:szCs w:val="20"/>
      <w:lang w:eastAsia="en-US"/>
    </w:rPr>
  </w:style>
  <w:style w:type="paragraph" w:customStyle="1" w:styleId="xl43">
    <w:name w:val="xl43"/>
    <w:basedOn w:val="Normal"/>
    <w:rsid w:val="003474B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textAlignment w:val="baseline"/>
    </w:pPr>
    <w:rPr>
      <w:sz w:val="16"/>
      <w:szCs w:val="20"/>
      <w:lang w:eastAsia="en-US"/>
    </w:rPr>
  </w:style>
  <w:style w:type="paragraph" w:customStyle="1" w:styleId="xl44">
    <w:name w:val="xl44"/>
    <w:basedOn w:val="Normal"/>
    <w:rsid w:val="003474B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sz w:val="16"/>
      <w:szCs w:val="20"/>
      <w:lang w:eastAsia="en-US"/>
    </w:rPr>
  </w:style>
  <w:style w:type="paragraph" w:customStyle="1" w:styleId="xl45">
    <w:name w:val="xl45"/>
    <w:basedOn w:val="Normal"/>
    <w:rsid w:val="003474B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sz w:val="16"/>
      <w:szCs w:val="20"/>
      <w:lang w:eastAsia="en-US"/>
    </w:rPr>
  </w:style>
  <w:style w:type="paragraph" w:customStyle="1" w:styleId="xl46">
    <w:name w:val="xl46"/>
    <w:basedOn w:val="Normal"/>
    <w:rsid w:val="003474B2"/>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b/>
      <w:sz w:val="18"/>
      <w:szCs w:val="20"/>
      <w:lang w:eastAsia="en-US"/>
    </w:rPr>
  </w:style>
  <w:style w:type="paragraph" w:customStyle="1" w:styleId="xl47">
    <w:name w:val="xl47"/>
    <w:basedOn w:val="Normal"/>
    <w:rsid w:val="003474B2"/>
    <w:pPr>
      <w:pBdr>
        <w:top w:val="single" w:sz="6" w:space="0" w:color="auto"/>
        <w:bottom w:val="single" w:sz="6" w:space="0" w:color="auto"/>
      </w:pBdr>
      <w:overflowPunct w:val="0"/>
      <w:autoSpaceDE w:val="0"/>
      <w:autoSpaceDN w:val="0"/>
      <w:adjustRightInd w:val="0"/>
      <w:spacing w:before="100" w:after="100"/>
      <w:jc w:val="center"/>
      <w:textAlignment w:val="baseline"/>
    </w:pPr>
    <w:rPr>
      <w:b/>
      <w:sz w:val="18"/>
      <w:szCs w:val="20"/>
      <w:lang w:eastAsia="en-US"/>
    </w:rPr>
  </w:style>
  <w:style w:type="paragraph" w:customStyle="1" w:styleId="xl49">
    <w:name w:val="xl49"/>
    <w:basedOn w:val="Normal"/>
    <w:rsid w:val="003474B2"/>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b/>
      <w:sz w:val="18"/>
      <w:szCs w:val="20"/>
      <w:lang w:eastAsia="en-US"/>
    </w:rPr>
  </w:style>
  <w:style w:type="paragraph" w:customStyle="1" w:styleId="xl51">
    <w:name w:val="xl51"/>
    <w:basedOn w:val="Normal"/>
    <w:rsid w:val="003474B2"/>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b/>
      <w:szCs w:val="20"/>
      <w:lang w:eastAsia="en-US"/>
    </w:rPr>
  </w:style>
  <w:style w:type="paragraph" w:customStyle="1" w:styleId="xl52">
    <w:name w:val="xl52"/>
    <w:basedOn w:val="Normal"/>
    <w:rsid w:val="003474B2"/>
    <w:pPr>
      <w:pBdr>
        <w:top w:val="single" w:sz="6" w:space="0" w:color="auto"/>
        <w:bottom w:val="single" w:sz="6" w:space="0" w:color="auto"/>
      </w:pBdr>
      <w:overflowPunct w:val="0"/>
      <w:autoSpaceDE w:val="0"/>
      <w:autoSpaceDN w:val="0"/>
      <w:adjustRightInd w:val="0"/>
      <w:spacing w:before="100" w:after="100"/>
      <w:jc w:val="center"/>
      <w:textAlignment w:val="baseline"/>
    </w:pPr>
    <w:rPr>
      <w:b/>
      <w:szCs w:val="20"/>
      <w:lang w:eastAsia="en-US"/>
    </w:rPr>
  </w:style>
  <w:style w:type="paragraph" w:customStyle="1" w:styleId="xl53">
    <w:name w:val="xl53"/>
    <w:basedOn w:val="Normal"/>
    <w:rsid w:val="003474B2"/>
    <w:pPr>
      <w:pBdr>
        <w:top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b/>
      <w:szCs w:val="20"/>
      <w:lang w:eastAsia="en-US"/>
    </w:rPr>
  </w:style>
  <w:style w:type="paragraph" w:customStyle="1" w:styleId="xl54">
    <w:name w:val="xl54"/>
    <w:basedOn w:val="Normal"/>
    <w:rsid w:val="003474B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b/>
      <w:sz w:val="18"/>
      <w:szCs w:val="20"/>
      <w:lang w:eastAsia="en-US"/>
    </w:rPr>
  </w:style>
  <w:style w:type="paragraph" w:customStyle="1" w:styleId="xl55">
    <w:name w:val="xl55"/>
    <w:basedOn w:val="Normal"/>
    <w:rsid w:val="003474B2"/>
    <w:pPr>
      <w:pBdr>
        <w:top w:val="single" w:sz="6" w:space="0" w:color="auto"/>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b/>
      <w:sz w:val="18"/>
      <w:szCs w:val="20"/>
      <w:lang w:eastAsia="en-US"/>
    </w:rPr>
  </w:style>
  <w:style w:type="paragraph" w:customStyle="1" w:styleId="xl56">
    <w:name w:val="xl56"/>
    <w:basedOn w:val="Normal"/>
    <w:rsid w:val="003474B2"/>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b/>
      <w:sz w:val="18"/>
      <w:szCs w:val="20"/>
      <w:lang w:eastAsia="en-US"/>
    </w:rPr>
  </w:style>
  <w:style w:type="paragraph" w:customStyle="1" w:styleId="xl57">
    <w:name w:val="xl57"/>
    <w:basedOn w:val="Normal"/>
    <w:rsid w:val="003474B2"/>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b/>
      <w:sz w:val="18"/>
      <w:szCs w:val="20"/>
      <w:lang w:eastAsia="en-US"/>
    </w:rPr>
  </w:style>
  <w:style w:type="paragraph" w:customStyle="1" w:styleId="NormalCOURIERNORMAL1">
    <w:name w:val="Normal.COURIER NORMAL1"/>
    <w:rsid w:val="003474B2"/>
    <w:pPr>
      <w:overflowPunct w:val="0"/>
      <w:autoSpaceDE w:val="0"/>
      <w:autoSpaceDN w:val="0"/>
      <w:adjustRightInd w:val="0"/>
      <w:spacing w:line="360" w:lineRule="auto"/>
      <w:ind w:firstLine="567"/>
      <w:textAlignment w:val="baseline"/>
    </w:pPr>
    <w:rPr>
      <w:rFonts w:ascii="Courier New" w:hAnsi="Courier New"/>
      <w:sz w:val="24"/>
      <w:lang w:val="es-ES_tradnl"/>
    </w:rPr>
  </w:style>
  <w:style w:type="paragraph" w:customStyle="1" w:styleId="Elemento1">
    <w:name w:val="Elemento 1"/>
    <w:uiPriority w:val="99"/>
    <w:rsid w:val="003474B2"/>
    <w:pPr>
      <w:widowControl w:val="0"/>
      <w:overflowPunct w:val="0"/>
      <w:autoSpaceDE w:val="0"/>
      <w:autoSpaceDN w:val="0"/>
      <w:adjustRightInd w:val="0"/>
      <w:textAlignment w:val="baseline"/>
    </w:pPr>
    <w:rPr>
      <w:rFonts w:ascii="Arial Narrow" w:hAnsi="Arial Narrow"/>
      <w:sz w:val="16"/>
    </w:rPr>
  </w:style>
  <w:style w:type="paragraph" w:styleId="Listaconnmeros">
    <w:name w:val="List Number"/>
    <w:basedOn w:val="Normal"/>
    <w:rsid w:val="003474B2"/>
    <w:pPr>
      <w:tabs>
        <w:tab w:val="left" w:pos="360"/>
      </w:tabs>
      <w:overflowPunct w:val="0"/>
      <w:autoSpaceDE w:val="0"/>
      <w:autoSpaceDN w:val="0"/>
      <w:adjustRightInd w:val="0"/>
      <w:ind w:left="360" w:hanging="360"/>
      <w:textAlignment w:val="baseline"/>
    </w:pPr>
    <w:rPr>
      <w:sz w:val="20"/>
      <w:szCs w:val="20"/>
      <w:lang w:val="es-ES_tradnl" w:eastAsia="en-US"/>
    </w:rPr>
  </w:style>
  <w:style w:type="paragraph" w:styleId="Listaconnmeros2">
    <w:name w:val="List Number 2"/>
    <w:basedOn w:val="Normal"/>
    <w:rsid w:val="003474B2"/>
    <w:pPr>
      <w:tabs>
        <w:tab w:val="left" w:pos="643"/>
      </w:tabs>
      <w:overflowPunct w:val="0"/>
      <w:autoSpaceDE w:val="0"/>
      <w:autoSpaceDN w:val="0"/>
      <w:adjustRightInd w:val="0"/>
      <w:ind w:left="643" w:hanging="360"/>
      <w:textAlignment w:val="baseline"/>
    </w:pPr>
    <w:rPr>
      <w:sz w:val="20"/>
      <w:szCs w:val="20"/>
      <w:lang w:val="es-ES_tradnl" w:eastAsia="en-US"/>
    </w:rPr>
  </w:style>
  <w:style w:type="paragraph" w:styleId="Listaconnmeros3">
    <w:name w:val="List Number 3"/>
    <w:basedOn w:val="Normal"/>
    <w:rsid w:val="003474B2"/>
    <w:pPr>
      <w:tabs>
        <w:tab w:val="left" w:pos="926"/>
      </w:tabs>
      <w:overflowPunct w:val="0"/>
      <w:autoSpaceDE w:val="0"/>
      <w:autoSpaceDN w:val="0"/>
      <w:adjustRightInd w:val="0"/>
      <w:ind w:left="926" w:hanging="360"/>
      <w:textAlignment w:val="baseline"/>
    </w:pPr>
    <w:rPr>
      <w:sz w:val="20"/>
      <w:szCs w:val="20"/>
      <w:lang w:val="es-ES_tradnl" w:eastAsia="en-US"/>
    </w:rPr>
  </w:style>
  <w:style w:type="paragraph" w:styleId="Listaconnmeros4">
    <w:name w:val="List Number 4"/>
    <w:basedOn w:val="Normal"/>
    <w:rsid w:val="003474B2"/>
    <w:pPr>
      <w:tabs>
        <w:tab w:val="left" w:pos="1209"/>
      </w:tabs>
      <w:overflowPunct w:val="0"/>
      <w:autoSpaceDE w:val="0"/>
      <w:autoSpaceDN w:val="0"/>
      <w:adjustRightInd w:val="0"/>
      <w:ind w:left="1209" w:hanging="360"/>
      <w:textAlignment w:val="baseline"/>
    </w:pPr>
    <w:rPr>
      <w:sz w:val="20"/>
      <w:szCs w:val="20"/>
      <w:lang w:val="es-ES_tradnl" w:eastAsia="en-US"/>
    </w:rPr>
  </w:style>
  <w:style w:type="paragraph" w:styleId="Listaconnmeros5">
    <w:name w:val="List Number 5"/>
    <w:basedOn w:val="Normal"/>
    <w:rsid w:val="003474B2"/>
    <w:pPr>
      <w:tabs>
        <w:tab w:val="left" w:pos="1492"/>
      </w:tabs>
      <w:overflowPunct w:val="0"/>
      <w:autoSpaceDE w:val="0"/>
      <w:autoSpaceDN w:val="0"/>
      <w:adjustRightInd w:val="0"/>
      <w:ind w:left="1492" w:hanging="360"/>
      <w:textAlignment w:val="baseline"/>
    </w:pPr>
    <w:rPr>
      <w:sz w:val="20"/>
      <w:szCs w:val="20"/>
      <w:lang w:val="es-ES_tradnl" w:eastAsia="en-US"/>
    </w:rPr>
  </w:style>
  <w:style w:type="paragraph" w:styleId="Listaconvietas2">
    <w:name w:val="List Bullet 2"/>
    <w:basedOn w:val="Normal"/>
    <w:rsid w:val="003474B2"/>
    <w:pPr>
      <w:tabs>
        <w:tab w:val="left" w:pos="643"/>
      </w:tabs>
      <w:overflowPunct w:val="0"/>
      <w:autoSpaceDE w:val="0"/>
      <w:autoSpaceDN w:val="0"/>
      <w:adjustRightInd w:val="0"/>
      <w:ind w:left="643" w:hanging="360"/>
      <w:textAlignment w:val="baseline"/>
    </w:pPr>
    <w:rPr>
      <w:sz w:val="20"/>
      <w:szCs w:val="20"/>
      <w:lang w:val="es-ES_tradnl" w:eastAsia="en-US"/>
    </w:rPr>
  </w:style>
  <w:style w:type="paragraph" w:styleId="Listaconvietas3">
    <w:name w:val="List Bullet 3"/>
    <w:basedOn w:val="Normal"/>
    <w:rsid w:val="003474B2"/>
    <w:pPr>
      <w:tabs>
        <w:tab w:val="left" w:pos="926"/>
      </w:tabs>
      <w:overflowPunct w:val="0"/>
      <w:autoSpaceDE w:val="0"/>
      <w:autoSpaceDN w:val="0"/>
      <w:adjustRightInd w:val="0"/>
      <w:ind w:left="926" w:hanging="360"/>
      <w:textAlignment w:val="baseline"/>
    </w:pPr>
    <w:rPr>
      <w:sz w:val="20"/>
      <w:szCs w:val="20"/>
      <w:lang w:val="es-ES_tradnl" w:eastAsia="en-US"/>
    </w:rPr>
  </w:style>
  <w:style w:type="paragraph" w:styleId="Listaconvietas4">
    <w:name w:val="List Bullet 4"/>
    <w:basedOn w:val="Normal"/>
    <w:rsid w:val="003474B2"/>
    <w:pPr>
      <w:tabs>
        <w:tab w:val="left" w:pos="1209"/>
      </w:tabs>
      <w:overflowPunct w:val="0"/>
      <w:autoSpaceDE w:val="0"/>
      <w:autoSpaceDN w:val="0"/>
      <w:adjustRightInd w:val="0"/>
      <w:ind w:left="1209" w:hanging="360"/>
      <w:textAlignment w:val="baseline"/>
    </w:pPr>
    <w:rPr>
      <w:sz w:val="20"/>
      <w:szCs w:val="20"/>
      <w:lang w:val="es-ES_tradnl" w:eastAsia="en-US"/>
    </w:rPr>
  </w:style>
  <w:style w:type="paragraph" w:styleId="Listaconvietas5">
    <w:name w:val="List Bullet 5"/>
    <w:aliases w:val="GTT Lista con viñetas 5"/>
    <w:basedOn w:val="Normal"/>
    <w:rsid w:val="003474B2"/>
    <w:pPr>
      <w:tabs>
        <w:tab w:val="left" w:pos="1492"/>
      </w:tabs>
      <w:overflowPunct w:val="0"/>
      <w:autoSpaceDE w:val="0"/>
      <w:autoSpaceDN w:val="0"/>
      <w:adjustRightInd w:val="0"/>
      <w:ind w:left="1492" w:hanging="360"/>
      <w:textAlignment w:val="baseline"/>
    </w:pPr>
    <w:rPr>
      <w:sz w:val="20"/>
      <w:szCs w:val="20"/>
      <w:lang w:val="es-ES_tradnl" w:eastAsia="en-US"/>
    </w:rPr>
  </w:style>
  <w:style w:type="paragraph" w:customStyle="1" w:styleId="p8">
    <w:name w:val="p8"/>
    <w:basedOn w:val="Normal"/>
    <w:rsid w:val="003474B2"/>
    <w:pPr>
      <w:widowControl w:val="0"/>
      <w:tabs>
        <w:tab w:val="left" w:pos="1460"/>
      </w:tabs>
      <w:overflowPunct w:val="0"/>
      <w:autoSpaceDE w:val="0"/>
      <w:autoSpaceDN w:val="0"/>
      <w:adjustRightInd w:val="0"/>
      <w:spacing w:line="360" w:lineRule="atLeast"/>
      <w:ind w:left="1440" w:firstLine="1440"/>
      <w:jc w:val="both"/>
      <w:textAlignment w:val="baseline"/>
    </w:pPr>
    <w:rPr>
      <w:szCs w:val="20"/>
      <w:lang w:eastAsia="en-US"/>
    </w:rPr>
  </w:style>
  <w:style w:type="paragraph" w:customStyle="1" w:styleId="Textoindependiente31">
    <w:name w:val="Texto independiente 31"/>
    <w:basedOn w:val="Normal"/>
    <w:rsid w:val="003474B2"/>
    <w:pPr>
      <w:overflowPunct w:val="0"/>
      <w:autoSpaceDE w:val="0"/>
      <w:autoSpaceDN w:val="0"/>
      <w:adjustRightInd w:val="0"/>
      <w:spacing w:line="360" w:lineRule="auto"/>
      <w:jc w:val="both"/>
      <w:textAlignment w:val="baseline"/>
    </w:pPr>
    <w:rPr>
      <w:rFonts w:ascii="Arial" w:hAnsi="Arial"/>
      <w:spacing w:val="-3"/>
      <w:sz w:val="22"/>
      <w:szCs w:val="20"/>
      <w:lang w:val="es-ES_tradnl" w:eastAsia="en-US"/>
    </w:rPr>
  </w:style>
  <w:style w:type="paragraph" w:customStyle="1" w:styleId="Tdc90">
    <w:name w:val="Tdc 9"/>
    <w:basedOn w:val="Normal"/>
    <w:rsid w:val="003474B2"/>
    <w:pPr>
      <w:widowControl w:val="0"/>
      <w:tabs>
        <w:tab w:val="right" w:leader="dot" w:pos="9360"/>
      </w:tabs>
      <w:suppressAutoHyphens/>
      <w:overflowPunct w:val="0"/>
      <w:autoSpaceDE w:val="0"/>
      <w:autoSpaceDN w:val="0"/>
      <w:adjustRightInd w:val="0"/>
      <w:ind w:left="720" w:hanging="720"/>
      <w:textAlignment w:val="baseline"/>
    </w:pPr>
    <w:rPr>
      <w:rFonts w:ascii="Courier New" w:hAnsi="Courier New"/>
      <w:szCs w:val="20"/>
      <w:lang w:val="en-US" w:eastAsia="en-US"/>
    </w:rPr>
  </w:style>
  <w:style w:type="paragraph" w:customStyle="1" w:styleId="Vieta10">
    <w:name w:val="Viñeta1"/>
    <w:basedOn w:val="Normal"/>
    <w:rsid w:val="003474B2"/>
    <w:pPr>
      <w:tabs>
        <w:tab w:val="left" w:pos="709"/>
      </w:tabs>
      <w:overflowPunct w:val="0"/>
      <w:autoSpaceDE w:val="0"/>
      <w:autoSpaceDN w:val="0"/>
      <w:adjustRightInd w:val="0"/>
      <w:spacing w:line="360" w:lineRule="auto"/>
      <w:ind w:left="709" w:hanging="709"/>
      <w:textAlignment w:val="baseline"/>
    </w:pPr>
    <w:rPr>
      <w:rFonts w:ascii="Courier New" w:hAnsi="Courier New"/>
      <w:szCs w:val="20"/>
      <w:lang w:val="es-ES_tradnl" w:eastAsia="en-US"/>
    </w:rPr>
  </w:style>
  <w:style w:type="character" w:customStyle="1" w:styleId="Hipervnculo1">
    <w:name w:val="Hipervínculo1"/>
    <w:rsid w:val="003474B2"/>
    <w:rPr>
      <w:color w:val="0000FF"/>
      <w:u w:val="single"/>
    </w:rPr>
  </w:style>
  <w:style w:type="paragraph" w:customStyle="1" w:styleId="Encabezadodetda">
    <w:name w:val="Encabezado de tda"/>
    <w:basedOn w:val="Normal"/>
    <w:rsid w:val="003474B2"/>
    <w:pPr>
      <w:widowControl w:val="0"/>
      <w:tabs>
        <w:tab w:val="right" w:pos="9360"/>
      </w:tabs>
      <w:suppressAutoHyphens/>
      <w:overflowPunct w:val="0"/>
      <w:autoSpaceDE w:val="0"/>
      <w:autoSpaceDN w:val="0"/>
      <w:adjustRightInd w:val="0"/>
      <w:textAlignment w:val="baseline"/>
    </w:pPr>
    <w:rPr>
      <w:rFonts w:ascii="Courier New" w:hAnsi="Courier New"/>
      <w:szCs w:val="20"/>
      <w:lang w:val="en-US" w:eastAsia="en-US"/>
    </w:rPr>
  </w:style>
  <w:style w:type="paragraph" w:customStyle="1" w:styleId="Tdc40">
    <w:name w:val="Tdc 4"/>
    <w:basedOn w:val="Normal"/>
    <w:rsid w:val="003474B2"/>
    <w:pPr>
      <w:widowControl w:val="0"/>
      <w:tabs>
        <w:tab w:val="right" w:leader="dot" w:pos="9360"/>
      </w:tabs>
      <w:suppressAutoHyphens/>
      <w:overflowPunct w:val="0"/>
      <w:autoSpaceDE w:val="0"/>
      <w:autoSpaceDN w:val="0"/>
      <w:adjustRightInd w:val="0"/>
      <w:ind w:left="2880" w:right="720" w:hanging="720"/>
      <w:textAlignment w:val="baseline"/>
    </w:pPr>
    <w:rPr>
      <w:rFonts w:ascii="Courier New" w:hAnsi="Courier New"/>
      <w:szCs w:val="20"/>
      <w:lang w:val="en-US" w:eastAsia="en-US"/>
    </w:rPr>
  </w:style>
  <w:style w:type="paragraph" w:customStyle="1" w:styleId="Tdc50">
    <w:name w:val="Tdc 5"/>
    <w:basedOn w:val="Normal"/>
    <w:rsid w:val="003474B2"/>
    <w:pPr>
      <w:widowControl w:val="0"/>
      <w:tabs>
        <w:tab w:val="right" w:leader="dot" w:pos="9360"/>
      </w:tabs>
      <w:suppressAutoHyphens/>
      <w:overflowPunct w:val="0"/>
      <w:autoSpaceDE w:val="0"/>
      <w:autoSpaceDN w:val="0"/>
      <w:adjustRightInd w:val="0"/>
      <w:ind w:left="3600" w:right="720" w:hanging="720"/>
      <w:textAlignment w:val="baseline"/>
    </w:pPr>
    <w:rPr>
      <w:rFonts w:ascii="Courier New" w:hAnsi="Courier New"/>
      <w:szCs w:val="20"/>
      <w:lang w:val="en-US" w:eastAsia="en-US"/>
    </w:rPr>
  </w:style>
  <w:style w:type="paragraph" w:customStyle="1" w:styleId="Textodebloque1">
    <w:name w:val="Texto de bloque1"/>
    <w:basedOn w:val="Normal"/>
    <w:rsid w:val="003474B2"/>
    <w:pPr>
      <w:tabs>
        <w:tab w:val="left" w:pos="-1440"/>
        <w:tab w:val="left" w:pos="-720"/>
        <w:tab w:val="left" w:pos="19562"/>
        <w:tab w:val="left" w:pos="19704"/>
      </w:tabs>
      <w:overflowPunct w:val="0"/>
      <w:autoSpaceDE w:val="0"/>
      <w:autoSpaceDN w:val="0"/>
      <w:adjustRightInd w:val="0"/>
      <w:spacing w:line="360" w:lineRule="auto"/>
      <w:ind w:left="1276" w:right="992"/>
      <w:jc w:val="both"/>
      <w:textAlignment w:val="baseline"/>
    </w:pPr>
    <w:rPr>
      <w:spacing w:val="-2"/>
      <w:szCs w:val="20"/>
      <w:lang w:val="es-ES_tradnl" w:eastAsia="en-US"/>
    </w:rPr>
  </w:style>
  <w:style w:type="character" w:customStyle="1" w:styleId="Hipervnculovisitado1">
    <w:name w:val="Hipervínculo visitado1"/>
    <w:rsid w:val="003474B2"/>
    <w:rPr>
      <w:color w:val="0000FF"/>
      <w:u w:val="single"/>
    </w:rPr>
  </w:style>
  <w:style w:type="paragraph" w:customStyle="1" w:styleId="xl58">
    <w:name w:val="xl58"/>
    <w:basedOn w:val="Normal"/>
    <w:rsid w:val="003474B2"/>
    <w:pPr>
      <w:pBdr>
        <w:left w:val="single" w:sz="6" w:space="0" w:color="auto"/>
        <w:bottom w:val="single" w:sz="6" w:space="0" w:color="auto"/>
        <w:right w:val="dotted" w:sz="6" w:space="0" w:color="auto"/>
      </w:pBdr>
      <w:overflowPunct w:val="0"/>
      <w:autoSpaceDE w:val="0"/>
      <w:autoSpaceDN w:val="0"/>
      <w:adjustRightInd w:val="0"/>
      <w:spacing w:before="100" w:after="100"/>
      <w:jc w:val="center"/>
      <w:textAlignment w:val="baseline"/>
    </w:pPr>
    <w:rPr>
      <w:color w:val="0000FF"/>
      <w:szCs w:val="20"/>
      <w:lang w:eastAsia="en-US"/>
    </w:rPr>
  </w:style>
  <w:style w:type="paragraph" w:customStyle="1" w:styleId="xl59">
    <w:name w:val="xl59"/>
    <w:basedOn w:val="Normal"/>
    <w:rsid w:val="003474B2"/>
    <w:pPr>
      <w:pBdr>
        <w:left w:val="dotted"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color w:val="0000FF"/>
      <w:szCs w:val="20"/>
      <w:lang w:eastAsia="en-US"/>
    </w:rPr>
  </w:style>
  <w:style w:type="paragraph" w:customStyle="1" w:styleId="xl60">
    <w:name w:val="xl60"/>
    <w:basedOn w:val="Normal"/>
    <w:rsid w:val="003474B2"/>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color w:val="0000FF"/>
      <w:szCs w:val="20"/>
      <w:lang w:eastAsia="en-US"/>
    </w:rPr>
  </w:style>
  <w:style w:type="paragraph" w:customStyle="1" w:styleId="xl61">
    <w:name w:val="xl61"/>
    <w:basedOn w:val="Normal"/>
    <w:rsid w:val="003474B2"/>
    <w:pPr>
      <w:pBdr>
        <w:left w:val="single" w:sz="6" w:space="0" w:color="auto"/>
        <w:right w:val="single" w:sz="6" w:space="0" w:color="auto"/>
      </w:pBdr>
      <w:overflowPunct w:val="0"/>
      <w:autoSpaceDE w:val="0"/>
      <w:autoSpaceDN w:val="0"/>
      <w:adjustRightInd w:val="0"/>
      <w:spacing w:before="100" w:after="100"/>
      <w:jc w:val="center"/>
      <w:textAlignment w:val="baseline"/>
    </w:pPr>
    <w:rPr>
      <w:szCs w:val="20"/>
      <w:lang w:eastAsia="en-US"/>
    </w:rPr>
  </w:style>
  <w:style w:type="paragraph" w:customStyle="1" w:styleId="xl62">
    <w:name w:val="xl62"/>
    <w:basedOn w:val="Normal"/>
    <w:rsid w:val="003474B2"/>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color w:val="000000"/>
      <w:szCs w:val="20"/>
      <w:lang w:eastAsia="en-US"/>
    </w:rPr>
  </w:style>
  <w:style w:type="paragraph" w:customStyle="1" w:styleId="xl63">
    <w:name w:val="xl63"/>
    <w:basedOn w:val="Normal"/>
    <w:rsid w:val="003474B2"/>
    <w:pPr>
      <w:pBdr>
        <w:left w:val="single" w:sz="6" w:space="0" w:color="auto"/>
        <w:bottom w:val="single" w:sz="6" w:space="0" w:color="auto"/>
        <w:right w:val="dotted" w:sz="6" w:space="0" w:color="auto"/>
      </w:pBdr>
      <w:overflowPunct w:val="0"/>
      <w:autoSpaceDE w:val="0"/>
      <w:autoSpaceDN w:val="0"/>
      <w:adjustRightInd w:val="0"/>
      <w:spacing w:before="100" w:after="100"/>
      <w:jc w:val="right"/>
      <w:textAlignment w:val="baseline"/>
    </w:pPr>
    <w:rPr>
      <w:color w:val="000000"/>
      <w:szCs w:val="20"/>
      <w:lang w:eastAsia="en-US"/>
    </w:rPr>
  </w:style>
  <w:style w:type="paragraph" w:customStyle="1" w:styleId="xl64">
    <w:name w:val="xl64"/>
    <w:basedOn w:val="Normal"/>
    <w:rsid w:val="003474B2"/>
    <w:pPr>
      <w:pBdr>
        <w:left w:val="dotted" w:sz="6" w:space="0" w:color="auto"/>
        <w:bottom w:val="single" w:sz="6" w:space="0" w:color="auto"/>
      </w:pBdr>
      <w:overflowPunct w:val="0"/>
      <w:autoSpaceDE w:val="0"/>
      <w:autoSpaceDN w:val="0"/>
      <w:adjustRightInd w:val="0"/>
      <w:spacing w:before="100" w:after="100"/>
      <w:jc w:val="right"/>
      <w:textAlignment w:val="baseline"/>
    </w:pPr>
    <w:rPr>
      <w:color w:val="000000"/>
      <w:szCs w:val="20"/>
      <w:lang w:eastAsia="en-US"/>
    </w:rPr>
  </w:style>
  <w:style w:type="paragraph" w:customStyle="1" w:styleId="xl65">
    <w:name w:val="xl65"/>
    <w:basedOn w:val="Normal"/>
    <w:rsid w:val="003474B2"/>
    <w:pPr>
      <w:pBdr>
        <w:left w:val="single" w:sz="6" w:space="0" w:color="auto"/>
        <w:bottom w:val="single" w:sz="6" w:space="0" w:color="auto"/>
        <w:right w:val="dotted" w:sz="6" w:space="0" w:color="auto"/>
      </w:pBdr>
      <w:overflowPunct w:val="0"/>
      <w:autoSpaceDE w:val="0"/>
      <w:autoSpaceDN w:val="0"/>
      <w:adjustRightInd w:val="0"/>
      <w:spacing w:before="100" w:after="100"/>
      <w:jc w:val="right"/>
      <w:textAlignment w:val="baseline"/>
    </w:pPr>
    <w:rPr>
      <w:color w:val="000000"/>
      <w:szCs w:val="20"/>
      <w:lang w:eastAsia="en-US"/>
    </w:rPr>
  </w:style>
  <w:style w:type="paragraph" w:customStyle="1" w:styleId="xl66">
    <w:name w:val="xl66"/>
    <w:basedOn w:val="Normal"/>
    <w:rsid w:val="003474B2"/>
    <w:pPr>
      <w:pBdr>
        <w:top w:val="single" w:sz="6" w:space="0" w:color="auto"/>
        <w:right w:val="single" w:sz="6" w:space="0" w:color="auto"/>
      </w:pBdr>
      <w:overflowPunct w:val="0"/>
      <w:autoSpaceDE w:val="0"/>
      <w:autoSpaceDN w:val="0"/>
      <w:adjustRightInd w:val="0"/>
      <w:spacing w:before="100" w:after="100"/>
      <w:jc w:val="center"/>
      <w:textAlignment w:val="baseline"/>
    </w:pPr>
    <w:rPr>
      <w:b/>
      <w:sz w:val="16"/>
      <w:szCs w:val="20"/>
      <w:lang w:eastAsia="en-US"/>
    </w:rPr>
  </w:style>
  <w:style w:type="paragraph" w:customStyle="1" w:styleId="xl67">
    <w:name w:val="xl67"/>
    <w:basedOn w:val="Normal"/>
    <w:rsid w:val="003474B2"/>
    <w:pPr>
      <w:pBdr>
        <w:top w:val="single" w:sz="6" w:space="0" w:color="auto"/>
        <w:left w:val="single" w:sz="6" w:space="0" w:color="auto"/>
      </w:pBdr>
      <w:overflowPunct w:val="0"/>
      <w:autoSpaceDE w:val="0"/>
      <w:autoSpaceDN w:val="0"/>
      <w:adjustRightInd w:val="0"/>
      <w:spacing w:before="100" w:after="100"/>
      <w:jc w:val="center"/>
      <w:textAlignment w:val="baseline"/>
    </w:pPr>
    <w:rPr>
      <w:b/>
      <w:sz w:val="16"/>
      <w:szCs w:val="20"/>
      <w:lang w:eastAsia="en-US"/>
    </w:rPr>
  </w:style>
  <w:style w:type="paragraph" w:customStyle="1" w:styleId="xl68">
    <w:name w:val="xl68"/>
    <w:basedOn w:val="Normal"/>
    <w:rsid w:val="003474B2"/>
    <w:pPr>
      <w:pBdr>
        <w:top w:val="single" w:sz="6" w:space="0" w:color="auto"/>
        <w:right w:val="single" w:sz="6" w:space="0" w:color="auto"/>
      </w:pBdr>
      <w:overflowPunct w:val="0"/>
      <w:autoSpaceDE w:val="0"/>
      <w:autoSpaceDN w:val="0"/>
      <w:adjustRightInd w:val="0"/>
      <w:spacing w:before="100" w:after="100"/>
      <w:jc w:val="center"/>
      <w:textAlignment w:val="baseline"/>
    </w:pPr>
    <w:rPr>
      <w:b/>
      <w:sz w:val="16"/>
      <w:szCs w:val="20"/>
      <w:lang w:eastAsia="en-US"/>
    </w:rPr>
  </w:style>
  <w:style w:type="paragraph" w:customStyle="1" w:styleId="xl69">
    <w:name w:val="xl69"/>
    <w:basedOn w:val="Normal"/>
    <w:rsid w:val="003474B2"/>
    <w:pPr>
      <w:pBdr>
        <w:left w:val="single" w:sz="6" w:space="0" w:color="auto"/>
        <w:bottom w:val="single" w:sz="6" w:space="0" w:color="auto"/>
      </w:pBdr>
      <w:overflowPunct w:val="0"/>
      <w:autoSpaceDE w:val="0"/>
      <w:autoSpaceDN w:val="0"/>
      <w:adjustRightInd w:val="0"/>
      <w:spacing w:before="100" w:after="100"/>
      <w:jc w:val="center"/>
      <w:textAlignment w:val="baseline"/>
    </w:pPr>
    <w:rPr>
      <w:b/>
      <w:sz w:val="16"/>
      <w:szCs w:val="20"/>
      <w:lang w:eastAsia="en-US"/>
    </w:rPr>
  </w:style>
  <w:style w:type="paragraph" w:customStyle="1" w:styleId="xl70">
    <w:name w:val="xl70"/>
    <w:basedOn w:val="Normal"/>
    <w:rsid w:val="003474B2"/>
    <w:pPr>
      <w:pBdr>
        <w:bottom w:val="single" w:sz="6" w:space="0" w:color="auto"/>
        <w:right w:val="single" w:sz="6" w:space="0" w:color="auto"/>
      </w:pBdr>
      <w:overflowPunct w:val="0"/>
      <w:autoSpaceDE w:val="0"/>
      <w:autoSpaceDN w:val="0"/>
      <w:adjustRightInd w:val="0"/>
      <w:spacing w:before="100" w:after="100"/>
      <w:jc w:val="center"/>
      <w:textAlignment w:val="baseline"/>
    </w:pPr>
    <w:rPr>
      <w:b/>
      <w:sz w:val="16"/>
      <w:szCs w:val="20"/>
      <w:lang w:eastAsia="en-US"/>
    </w:rPr>
  </w:style>
  <w:style w:type="paragraph" w:customStyle="1" w:styleId="xl71">
    <w:name w:val="xl71"/>
    <w:basedOn w:val="Normal"/>
    <w:rsid w:val="003474B2"/>
    <w:pPr>
      <w:pBdr>
        <w:left w:val="single" w:sz="6" w:space="0" w:color="auto"/>
        <w:bottom w:val="single" w:sz="6" w:space="0" w:color="auto"/>
      </w:pBdr>
      <w:overflowPunct w:val="0"/>
      <w:autoSpaceDE w:val="0"/>
      <w:autoSpaceDN w:val="0"/>
      <w:adjustRightInd w:val="0"/>
      <w:spacing w:before="100" w:after="100"/>
      <w:jc w:val="center"/>
      <w:textAlignment w:val="baseline"/>
    </w:pPr>
    <w:rPr>
      <w:b/>
      <w:sz w:val="16"/>
      <w:szCs w:val="20"/>
      <w:lang w:eastAsia="en-US"/>
    </w:rPr>
  </w:style>
  <w:style w:type="paragraph" w:customStyle="1" w:styleId="xl72">
    <w:name w:val="xl72"/>
    <w:basedOn w:val="Normal"/>
    <w:rsid w:val="003474B2"/>
    <w:pPr>
      <w:pBdr>
        <w:bottom w:val="single" w:sz="6" w:space="0" w:color="auto"/>
        <w:right w:val="single" w:sz="6" w:space="0" w:color="auto"/>
      </w:pBdr>
      <w:overflowPunct w:val="0"/>
      <w:autoSpaceDE w:val="0"/>
      <w:autoSpaceDN w:val="0"/>
      <w:adjustRightInd w:val="0"/>
      <w:spacing w:before="100" w:after="100"/>
      <w:jc w:val="center"/>
      <w:textAlignment w:val="baseline"/>
    </w:pPr>
    <w:rPr>
      <w:b/>
      <w:sz w:val="16"/>
      <w:szCs w:val="20"/>
      <w:lang w:eastAsia="en-US"/>
    </w:rPr>
  </w:style>
  <w:style w:type="paragraph" w:customStyle="1" w:styleId="xl73">
    <w:name w:val="xl73"/>
    <w:basedOn w:val="Normal"/>
    <w:rsid w:val="003474B2"/>
    <w:pPr>
      <w:pBdr>
        <w:top w:val="single" w:sz="6" w:space="0" w:color="auto"/>
        <w:left w:val="single" w:sz="6" w:space="0" w:color="auto"/>
        <w:right w:val="single" w:sz="6" w:space="0" w:color="auto"/>
      </w:pBdr>
      <w:overflowPunct w:val="0"/>
      <w:autoSpaceDE w:val="0"/>
      <w:autoSpaceDN w:val="0"/>
      <w:adjustRightInd w:val="0"/>
      <w:spacing w:before="100" w:after="100"/>
      <w:jc w:val="center"/>
      <w:textAlignment w:val="baseline"/>
    </w:pPr>
    <w:rPr>
      <w:b/>
      <w:sz w:val="16"/>
      <w:szCs w:val="20"/>
      <w:lang w:eastAsia="en-US"/>
    </w:rPr>
  </w:style>
  <w:style w:type="paragraph" w:customStyle="1" w:styleId="xl74">
    <w:name w:val="xl74"/>
    <w:basedOn w:val="Normal"/>
    <w:rsid w:val="003474B2"/>
    <w:pPr>
      <w:pBdr>
        <w:left w:val="single"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b/>
      <w:sz w:val="16"/>
      <w:szCs w:val="20"/>
      <w:lang w:eastAsia="en-US"/>
    </w:rPr>
  </w:style>
  <w:style w:type="paragraph" w:customStyle="1" w:styleId="xl75">
    <w:name w:val="xl75"/>
    <w:basedOn w:val="Normal"/>
    <w:rsid w:val="003474B2"/>
    <w:pPr>
      <w:pBdr>
        <w:top w:val="single" w:sz="6" w:space="0" w:color="auto"/>
        <w:left w:val="single" w:sz="6" w:space="0" w:color="auto"/>
        <w:bottom w:val="single" w:sz="6" w:space="0" w:color="auto"/>
      </w:pBdr>
      <w:overflowPunct w:val="0"/>
      <w:autoSpaceDE w:val="0"/>
      <w:autoSpaceDN w:val="0"/>
      <w:adjustRightInd w:val="0"/>
      <w:spacing w:before="100" w:after="100"/>
      <w:jc w:val="center"/>
      <w:textAlignment w:val="baseline"/>
    </w:pPr>
    <w:rPr>
      <w:b/>
      <w:sz w:val="16"/>
      <w:szCs w:val="20"/>
      <w:lang w:eastAsia="en-US"/>
    </w:rPr>
  </w:style>
  <w:style w:type="paragraph" w:customStyle="1" w:styleId="xl76">
    <w:name w:val="xl76"/>
    <w:basedOn w:val="Normal"/>
    <w:rsid w:val="003474B2"/>
    <w:pPr>
      <w:pBdr>
        <w:top w:val="single" w:sz="6" w:space="0" w:color="auto"/>
        <w:left w:val="dotted"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b/>
      <w:sz w:val="18"/>
      <w:szCs w:val="20"/>
      <w:lang w:eastAsia="en-US"/>
    </w:rPr>
  </w:style>
  <w:style w:type="paragraph" w:customStyle="1" w:styleId="xl77">
    <w:name w:val="xl77"/>
    <w:basedOn w:val="Normal"/>
    <w:rsid w:val="003474B2"/>
    <w:pPr>
      <w:pBdr>
        <w:top w:val="single" w:sz="6" w:space="0" w:color="auto"/>
        <w:bottom w:val="single" w:sz="6" w:space="0" w:color="auto"/>
        <w:right w:val="dotted" w:sz="6" w:space="0" w:color="auto"/>
      </w:pBdr>
      <w:overflowPunct w:val="0"/>
      <w:autoSpaceDE w:val="0"/>
      <w:autoSpaceDN w:val="0"/>
      <w:adjustRightInd w:val="0"/>
      <w:spacing w:before="100" w:after="100"/>
      <w:jc w:val="center"/>
      <w:textAlignment w:val="baseline"/>
    </w:pPr>
    <w:rPr>
      <w:b/>
      <w:sz w:val="16"/>
      <w:szCs w:val="20"/>
      <w:lang w:eastAsia="en-US"/>
    </w:rPr>
  </w:style>
  <w:style w:type="paragraph" w:customStyle="1" w:styleId="xl78">
    <w:name w:val="xl78"/>
    <w:basedOn w:val="Normal"/>
    <w:rsid w:val="003474B2"/>
    <w:pPr>
      <w:pBdr>
        <w:top w:val="single" w:sz="6" w:space="0" w:color="auto"/>
        <w:left w:val="dotted" w:sz="6" w:space="0" w:color="auto"/>
        <w:bottom w:val="single" w:sz="6" w:space="0" w:color="auto"/>
        <w:right w:val="single" w:sz="6" w:space="0" w:color="auto"/>
      </w:pBdr>
      <w:overflowPunct w:val="0"/>
      <w:autoSpaceDE w:val="0"/>
      <w:autoSpaceDN w:val="0"/>
      <w:adjustRightInd w:val="0"/>
      <w:spacing w:before="100" w:after="100"/>
      <w:jc w:val="center"/>
      <w:textAlignment w:val="baseline"/>
    </w:pPr>
    <w:rPr>
      <w:b/>
      <w:sz w:val="18"/>
      <w:szCs w:val="20"/>
      <w:lang w:eastAsia="en-US"/>
    </w:rPr>
  </w:style>
  <w:style w:type="paragraph" w:customStyle="1" w:styleId="Apendice">
    <w:name w:val="Apendice"/>
    <w:basedOn w:val="INDI1"/>
    <w:next w:val="TIMESNORMAL"/>
    <w:rsid w:val="003474B2"/>
    <w:pPr>
      <w:tabs>
        <w:tab w:val="clear" w:pos="426"/>
        <w:tab w:val="left" w:pos="284"/>
        <w:tab w:val="left" w:pos="2268"/>
        <w:tab w:val="left" w:pos="2694"/>
      </w:tabs>
      <w:overflowPunct w:val="0"/>
      <w:autoSpaceDE w:val="0"/>
      <w:autoSpaceDN w:val="0"/>
      <w:adjustRightInd w:val="0"/>
      <w:spacing w:line="240" w:lineRule="auto"/>
      <w:ind w:left="709" w:right="-1" w:firstLine="0"/>
      <w:jc w:val="center"/>
      <w:textAlignment w:val="baseline"/>
    </w:pPr>
    <w:rPr>
      <w:rFonts w:ascii="Arial" w:hAnsi="Arial"/>
      <w:sz w:val="36"/>
    </w:rPr>
  </w:style>
  <w:style w:type="paragraph" w:styleId="Textoindependiente3">
    <w:name w:val="Body Text 3"/>
    <w:basedOn w:val="Normal"/>
    <w:link w:val="Textoindependiente3Car"/>
    <w:rsid w:val="003474B2"/>
    <w:pPr>
      <w:spacing w:line="360" w:lineRule="auto"/>
      <w:jc w:val="both"/>
    </w:pPr>
    <w:rPr>
      <w:rFonts w:ascii="Arial" w:hAnsi="Arial" w:cs="Arial"/>
      <w:spacing w:val="-3"/>
      <w:sz w:val="22"/>
      <w:szCs w:val="20"/>
      <w:lang w:val="es-ES_tradnl" w:eastAsia="en-US"/>
    </w:rPr>
  </w:style>
  <w:style w:type="character" w:customStyle="1" w:styleId="Textoindependiente3Car">
    <w:name w:val="Texto independiente 3 Car"/>
    <w:basedOn w:val="Fuentedeprrafopredeter"/>
    <w:link w:val="Textoindependiente3"/>
    <w:rsid w:val="00D109DE"/>
    <w:rPr>
      <w:rFonts w:ascii="Arial" w:hAnsi="Arial" w:cs="Arial"/>
      <w:spacing w:val="-3"/>
      <w:sz w:val="22"/>
      <w:lang w:val="es-ES_tradnl"/>
    </w:rPr>
  </w:style>
  <w:style w:type="paragraph" w:styleId="Sangra3detindependiente">
    <w:name w:val="Body Text Indent 3"/>
    <w:basedOn w:val="Normal"/>
    <w:link w:val="Sangra3detindependienteCar"/>
    <w:rsid w:val="003474B2"/>
    <w:pPr>
      <w:tabs>
        <w:tab w:val="left" w:pos="-1440"/>
        <w:tab w:val="left" w:pos="-720"/>
        <w:tab w:val="left" w:pos="0"/>
        <w:tab w:val="left" w:pos="720"/>
        <w:tab w:val="left" w:pos="1440"/>
        <w:tab w:val="left" w:pos="2160"/>
      </w:tabs>
      <w:spacing w:line="360" w:lineRule="auto"/>
      <w:ind w:left="1418" w:hanging="1418"/>
      <w:jc w:val="both"/>
    </w:pPr>
    <w:rPr>
      <w:snapToGrid w:val="0"/>
      <w:spacing w:val="-3"/>
      <w:szCs w:val="20"/>
      <w:lang w:val="es-ES_tradnl" w:eastAsia="en-US"/>
    </w:rPr>
  </w:style>
  <w:style w:type="character" w:customStyle="1" w:styleId="Sangra3detindependienteCar">
    <w:name w:val="Sangría 3 de t. independiente Car"/>
    <w:basedOn w:val="Fuentedeprrafopredeter"/>
    <w:link w:val="Sangra3detindependiente"/>
    <w:rsid w:val="00D109DE"/>
    <w:rPr>
      <w:snapToGrid w:val="0"/>
      <w:spacing w:val="-3"/>
      <w:sz w:val="24"/>
      <w:lang w:val="es-ES_tradnl"/>
    </w:rPr>
  </w:style>
  <w:style w:type="paragraph" w:customStyle="1" w:styleId="xl79">
    <w:name w:val="xl79"/>
    <w:basedOn w:val="Normal"/>
    <w:rsid w:val="003474B2"/>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eastAsia="Arial Unicode MS" w:hAnsi="Arial" w:cs="Arial"/>
      <w:b/>
      <w:bCs/>
      <w:sz w:val="22"/>
      <w:szCs w:val="22"/>
      <w:lang w:eastAsia="en-US"/>
    </w:rPr>
  </w:style>
  <w:style w:type="paragraph" w:customStyle="1" w:styleId="xl80">
    <w:name w:val="xl80"/>
    <w:basedOn w:val="Normal"/>
    <w:rsid w:val="003474B2"/>
    <w:pPr>
      <w:pBdr>
        <w:top w:val="single" w:sz="8" w:space="0" w:color="auto"/>
        <w:bottom w:val="single" w:sz="8" w:space="0" w:color="auto"/>
      </w:pBdr>
      <w:spacing w:before="100" w:beforeAutospacing="1" w:after="100" w:afterAutospacing="1"/>
      <w:jc w:val="center"/>
      <w:textAlignment w:val="center"/>
    </w:pPr>
    <w:rPr>
      <w:rFonts w:ascii="Arial" w:eastAsia="Arial Unicode MS" w:hAnsi="Arial" w:cs="Arial"/>
      <w:b/>
      <w:bCs/>
      <w:sz w:val="22"/>
      <w:szCs w:val="22"/>
      <w:lang w:eastAsia="en-US"/>
    </w:rPr>
  </w:style>
  <w:style w:type="paragraph" w:styleId="Textosinformato">
    <w:name w:val="Plain Text"/>
    <w:basedOn w:val="Normal"/>
    <w:link w:val="TextosinformatoCar"/>
    <w:rsid w:val="003474B2"/>
    <w:pPr>
      <w:spacing w:line="360" w:lineRule="auto"/>
      <w:ind w:firstLine="567"/>
    </w:pPr>
    <w:rPr>
      <w:rFonts w:ascii="Courier New" w:hAnsi="Courier New" w:cs="Courier New"/>
      <w:sz w:val="20"/>
      <w:szCs w:val="20"/>
      <w:lang w:eastAsia="en-US"/>
    </w:rPr>
  </w:style>
  <w:style w:type="paragraph" w:customStyle="1" w:styleId="xl81">
    <w:name w:val="xl81"/>
    <w:basedOn w:val="Normal"/>
    <w:rsid w:val="003474B2"/>
    <w:pPr>
      <w:pBdr>
        <w:bottom w:val="single" w:sz="8" w:space="0" w:color="auto"/>
        <w:right w:val="single" w:sz="8" w:space="0" w:color="auto"/>
      </w:pBdr>
      <w:spacing w:before="100" w:beforeAutospacing="1" w:after="100" w:afterAutospacing="1"/>
      <w:jc w:val="center"/>
    </w:pPr>
    <w:rPr>
      <w:rFonts w:ascii="Arial" w:eastAsia="Arial Unicode MS" w:hAnsi="Arial" w:cs="Arial"/>
      <w:b/>
      <w:bCs/>
      <w:sz w:val="22"/>
      <w:szCs w:val="22"/>
      <w:lang w:eastAsia="en-US"/>
    </w:rPr>
  </w:style>
  <w:style w:type="paragraph" w:styleId="ndice10">
    <w:name w:val="index 1"/>
    <w:basedOn w:val="Normal"/>
    <w:next w:val="Normal"/>
    <w:rsid w:val="003474B2"/>
    <w:pPr>
      <w:tabs>
        <w:tab w:val="left" w:pos="9000"/>
        <w:tab w:val="right" w:pos="9360"/>
      </w:tabs>
      <w:suppressAutoHyphens/>
      <w:overflowPunct w:val="0"/>
      <w:autoSpaceDE w:val="0"/>
      <w:autoSpaceDN w:val="0"/>
      <w:adjustRightInd w:val="0"/>
      <w:spacing w:line="360" w:lineRule="auto"/>
      <w:ind w:left="240" w:hanging="240"/>
      <w:jc w:val="both"/>
      <w:textAlignment w:val="baseline"/>
    </w:pPr>
    <w:rPr>
      <w:szCs w:val="20"/>
      <w:lang w:val="en-US" w:eastAsia="en-US"/>
    </w:rPr>
  </w:style>
  <w:style w:type="paragraph" w:styleId="Descripcin">
    <w:name w:val="caption"/>
    <w:basedOn w:val="Normal"/>
    <w:next w:val="Normal"/>
    <w:link w:val="DescripcinCar"/>
    <w:qFormat/>
    <w:rsid w:val="003474B2"/>
    <w:pPr>
      <w:overflowPunct w:val="0"/>
      <w:autoSpaceDE w:val="0"/>
      <w:autoSpaceDN w:val="0"/>
      <w:adjustRightInd w:val="0"/>
      <w:jc w:val="both"/>
      <w:textAlignment w:val="baseline"/>
    </w:pPr>
    <w:rPr>
      <w:b/>
      <w:noProof/>
      <w:szCs w:val="20"/>
      <w:lang w:eastAsia="en-US"/>
    </w:rPr>
  </w:style>
  <w:style w:type="character" w:customStyle="1" w:styleId="DescripcinCar">
    <w:name w:val="Descripción Car"/>
    <w:basedOn w:val="Fuentedeprrafopredeter"/>
    <w:link w:val="Descripcin"/>
    <w:rsid w:val="00224ACB"/>
    <w:rPr>
      <w:b/>
      <w:noProof/>
      <w:sz w:val="24"/>
    </w:rPr>
  </w:style>
  <w:style w:type="paragraph" w:customStyle="1" w:styleId="Tdc60">
    <w:name w:val="Tdc 6"/>
    <w:basedOn w:val="Normal"/>
    <w:rsid w:val="003474B2"/>
    <w:pPr>
      <w:widowControl w:val="0"/>
      <w:tabs>
        <w:tab w:val="right" w:pos="9360"/>
      </w:tabs>
      <w:suppressAutoHyphens/>
      <w:ind w:left="720" w:hanging="720"/>
    </w:pPr>
    <w:rPr>
      <w:rFonts w:ascii="Univers" w:hAnsi="Univers"/>
      <w:snapToGrid w:val="0"/>
      <w:sz w:val="22"/>
      <w:szCs w:val="20"/>
      <w:lang w:val="en-US" w:eastAsia="en-US"/>
    </w:rPr>
  </w:style>
  <w:style w:type="paragraph" w:customStyle="1" w:styleId="Tdc10">
    <w:name w:val="Tdc 1"/>
    <w:basedOn w:val="Normal"/>
    <w:rsid w:val="003474B2"/>
    <w:pPr>
      <w:widowControl w:val="0"/>
      <w:tabs>
        <w:tab w:val="right" w:leader="dot" w:pos="9360"/>
      </w:tabs>
      <w:suppressAutoHyphens/>
      <w:spacing w:before="480"/>
      <w:ind w:left="720" w:right="720" w:hanging="720"/>
    </w:pPr>
    <w:rPr>
      <w:rFonts w:ascii="Univers" w:hAnsi="Univers"/>
      <w:snapToGrid w:val="0"/>
      <w:sz w:val="22"/>
      <w:szCs w:val="20"/>
      <w:lang w:val="en-US" w:eastAsia="en-US"/>
    </w:rPr>
  </w:style>
  <w:style w:type="paragraph" w:styleId="NormalWeb">
    <w:name w:val="Normal (Web)"/>
    <w:basedOn w:val="Normal"/>
    <w:uiPriority w:val="99"/>
    <w:rsid w:val="003474B2"/>
    <w:pPr>
      <w:spacing w:before="100" w:beforeAutospacing="1" w:after="100" w:afterAutospacing="1"/>
    </w:pPr>
    <w:rPr>
      <w:lang w:eastAsia="en-US"/>
    </w:rPr>
  </w:style>
  <w:style w:type="character" w:styleId="Textoennegrita">
    <w:name w:val="Strong"/>
    <w:uiPriority w:val="22"/>
    <w:qFormat/>
    <w:rsid w:val="003474B2"/>
    <w:rPr>
      <w:b/>
      <w:bCs/>
    </w:rPr>
  </w:style>
  <w:style w:type="table" w:styleId="Tablabsica2">
    <w:name w:val="Table Simple 2"/>
    <w:basedOn w:val="Tablanormal"/>
    <w:rsid w:val="00166BB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paragraph" w:styleId="Mapadeldocumento">
    <w:name w:val="Document Map"/>
    <w:basedOn w:val="Normal"/>
    <w:link w:val="MapadeldocumentoCar"/>
    <w:rsid w:val="0067540B"/>
    <w:pPr>
      <w:shd w:val="clear" w:color="auto" w:fill="000080"/>
    </w:pPr>
    <w:rPr>
      <w:rFonts w:ascii="Tahoma" w:hAnsi="Tahoma" w:cs="Tahoma"/>
      <w:sz w:val="20"/>
      <w:szCs w:val="20"/>
      <w:lang w:eastAsia="en-US"/>
    </w:rPr>
  </w:style>
  <w:style w:type="character" w:customStyle="1" w:styleId="MapadeldocumentoCar">
    <w:name w:val="Mapa del documento Car"/>
    <w:basedOn w:val="Fuentedeprrafopredeter"/>
    <w:link w:val="Mapadeldocumento"/>
    <w:rsid w:val="00D109DE"/>
    <w:rPr>
      <w:rFonts w:ascii="Tahoma" w:hAnsi="Tahoma" w:cs="Tahoma"/>
      <w:shd w:val="clear" w:color="auto" w:fill="000080"/>
    </w:rPr>
  </w:style>
  <w:style w:type="paragraph" w:customStyle="1" w:styleId="Normal1">
    <w:name w:val="Normal1"/>
    <w:basedOn w:val="Normal"/>
    <w:next w:val="Normal"/>
    <w:rsid w:val="0075358C"/>
    <w:pPr>
      <w:autoSpaceDE w:val="0"/>
      <w:autoSpaceDN w:val="0"/>
      <w:adjustRightInd w:val="0"/>
    </w:pPr>
    <w:rPr>
      <w:rFonts w:ascii="Arial" w:hAnsi="Arial"/>
      <w:lang w:eastAsia="en-US"/>
    </w:rPr>
  </w:style>
  <w:style w:type="paragraph" w:customStyle="1" w:styleId="Default">
    <w:name w:val="Default"/>
    <w:rsid w:val="004B4423"/>
    <w:pPr>
      <w:widowControl w:val="0"/>
      <w:autoSpaceDE w:val="0"/>
      <w:autoSpaceDN w:val="0"/>
      <w:adjustRightInd w:val="0"/>
    </w:pPr>
    <w:rPr>
      <w:color w:val="000000"/>
      <w:sz w:val="24"/>
      <w:szCs w:val="24"/>
    </w:rPr>
  </w:style>
  <w:style w:type="paragraph" w:customStyle="1" w:styleId="Normalconvietas">
    <w:name w:val="Normal con viñetas"/>
    <w:basedOn w:val="Normal"/>
    <w:rsid w:val="007E5799"/>
    <w:pPr>
      <w:numPr>
        <w:numId w:val="10"/>
      </w:numPr>
      <w:spacing w:before="100" w:after="100" w:line="360" w:lineRule="auto"/>
      <w:jc w:val="both"/>
    </w:pPr>
    <w:rPr>
      <w:rFonts w:ascii="Arial" w:hAnsi="Arial"/>
      <w:sz w:val="22"/>
      <w:szCs w:val="20"/>
      <w:lang w:eastAsia="en-US"/>
    </w:rPr>
  </w:style>
  <w:style w:type="paragraph" w:customStyle="1" w:styleId="CarattereCar">
    <w:name w:val="Carattere Car"/>
    <w:basedOn w:val="Normal"/>
    <w:rsid w:val="00BB5F4D"/>
    <w:pPr>
      <w:spacing w:after="160" w:line="240" w:lineRule="exact"/>
    </w:pPr>
    <w:rPr>
      <w:rFonts w:ascii="Tahoma" w:hAnsi="Tahoma" w:cs="Tahoma"/>
      <w:sz w:val="20"/>
      <w:szCs w:val="20"/>
      <w:lang w:val="en-US" w:eastAsia="zh-CN"/>
    </w:rPr>
  </w:style>
  <w:style w:type="paragraph" w:styleId="Textodeglobo">
    <w:name w:val="Balloon Text"/>
    <w:basedOn w:val="Normal"/>
    <w:link w:val="TextodegloboCar"/>
    <w:rsid w:val="006801B0"/>
    <w:rPr>
      <w:rFonts w:ascii="Tahoma" w:hAnsi="Tahoma" w:cs="Tahoma"/>
      <w:sz w:val="16"/>
      <w:szCs w:val="16"/>
      <w:lang w:eastAsia="en-US"/>
    </w:rPr>
  </w:style>
  <w:style w:type="character" w:customStyle="1" w:styleId="TextodegloboCar">
    <w:name w:val="Texto de globo Car"/>
    <w:basedOn w:val="Fuentedeprrafopredeter"/>
    <w:link w:val="Textodeglobo"/>
    <w:rsid w:val="00D109DE"/>
    <w:rPr>
      <w:rFonts w:ascii="Tahoma" w:hAnsi="Tahoma" w:cs="Tahoma"/>
      <w:sz w:val="16"/>
      <w:szCs w:val="16"/>
    </w:rPr>
  </w:style>
  <w:style w:type="paragraph" w:styleId="Textocomentario">
    <w:name w:val="annotation text"/>
    <w:basedOn w:val="Normal"/>
    <w:link w:val="TextocomentarioCar"/>
    <w:rsid w:val="00293F13"/>
    <w:rPr>
      <w:sz w:val="20"/>
      <w:szCs w:val="20"/>
      <w:lang w:eastAsia="en-US"/>
    </w:rPr>
  </w:style>
  <w:style w:type="character" w:customStyle="1" w:styleId="TextocomentarioCar">
    <w:name w:val="Texto comentario Car"/>
    <w:link w:val="Textocomentario"/>
    <w:rsid w:val="00D109DE"/>
  </w:style>
  <w:style w:type="paragraph" w:styleId="Asuntodelcomentario">
    <w:name w:val="annotation subject"/>
    <w:basedOn w:val="Textocomentario"/>
    <w:next w:val="Textocomentario"/>
    <w:link w:val="AsuntodelcomentarioCar"/>
    <w:rsid w:val="00293F13"/>
    <w:rPr>
      <w:b/>
      <w:bCs/>
    </w:rPr>
  </w:style>
  <w:style w:type="character" w:customStyle="1" w:styleId="AsuntodelcomentarioCar">
    <w:name w:val="Asunto del comentario Car"/>
    <w:basedOn w:val="TextocomentarioCar"/>
    <w:link w:val="Asuntodelcomentario"/>
    <w:rsid w:val="00D109DE"/>
    <w:rPr>
      <w:b/>
      <w:bCs/>
    </w:rPr>
  </w:style>
  <w:style w:type="paragraph" w:styleId="Cierre">
    <w:name w:val="Closing"/>
    <w:basedOn w:val="Normal"/>
    <w:link w:val="CierreCar"/>
    <w:rsid w:val="00293F13"/>
    <w:pPr>
      <w:ind w:left="4252"/>
    </w:pPr>
    <w:rPr>
      <w:sz w:val="20"/>
      <w:szCs w:val="20"/>
      <w:lang w:eastAsia="en-US"/>
    </w:rPr>
  </w:style>
  <w:style w:type="paragraph" w:styleId="Continuarlista">
    <w:name w:val="List Continue"/>
    <w:basedOn w:val="Normal"/>
    <w:rsid w:val="00293F13"/>
    <w:pPr>
      <w:spacing w:after="120"/>
      <w:ind w:left="283"/>
    </w:pPr>
    <w:rPr>
      <w:sz w:val="20"/>
      <w:szCs w:val="20"/>
      <w:lang w:eastAsia="en-US"/>
    </w:rPr>
  </w:style>
  <w:style w:type="paragraph" w:styleId="Continuarlista2">
    <w:name w:val="List Continue 2"/>
    <w:basedOn w:val="Normal"/>
    <w:rsid w:val="00293F13"/>
    <w:pPr>
      <w:spacing w:after="120"/>
      <w:ind w:left="566"/>
    </w:pPr>
    <w:rPr>
      <w:sz w:val="20"/>
      <w:szCs w:val="20"/>
      <w:lang w:eastAsia="en-US"/>
    </w:rPr>
  </w:style>
  <w:style w:type="paragraph" w:styleId="Continuarlista3">
    <w:name w:val="List Continue 3"/>
    <w:basedOn w:val="Normal"/>
    <w:rsid w:val="00293F13"/>
    <w:pPr>
      <w:spacing w:after="120"/>
      <w:ind w:left="849"/>
    </w:pPr>
    <w:rPr>
      <w:sz w:val="20"/>
      <w:szCs w:val="20"/>
      <w:lang w:eastAsia="en-US"/>
    </w:rPr>
  </w:style>
  <w:style w:type="paragraph" w:styleId="Continuarlista4">
    <w:name w:val="List Continue 4"/>
    <w:basedOn w:val="Normal"/>
    <w:rsid w:val="00293F13"/>
    <w:pPr>
      <w:spacing w:after="120"/>
      <w:ind w:left="1132"/>
    </w:pPr>
    <w:rPr>
      <w:sz w:val="20"/>
      <w:szCs w:val="20"/>
      <w:lang w:eastAsia="en-US"/>
    </w:rPr>
  </w:style>
  <w:style w:type="paragraph" w:styleId="Continuarlista5">
    <w:name w:val="List Continue 5"/>
    <w:basedOn w:val="Normal"/>
    <w:rsid w:val="00293F13"/>
    <w:pPr>
      <w:spacing w:after="120"/>
      <w:ind w:left="1415"/>
    </w:pPr>
    <w:rPr>
      <w:sz w:val="20"/>
      <w:szCs w:val="20"/>
      <w:lang w:eastAsia="en-US"/>
    </w:rPr>
  </w:style>
  <w:style w:type="paragraph" w:styleId="DireccinHTML">
    <w:name w:val="HTML Address"/>
    <w:basedOn w:val="Normal"/>
    <w:link w:val="DireccinHTMLCar"/>
    <w:rsid w:val="00293F13"/>
    <w:rPr>
      <w:i/>
      <w:iCs/>
      <w:sz w:val="20"/>
      <w:szCs w:val="20"/>
      <w:lang w:eastAsia="en-US"/>
    </w:rPr>
  </w:style>
  <w:style w:type="paragraph" w:styleId="Direccinsobre">
    <w:name w:val="envelope address"/>
    <w:basedOn w:val="Normal"/>
    <w:rsid w:val="00293F13"/>
    <w:pPr>
      <w:framePr w:w="7920" w:h="1980" w:hRule="exact" w:hSpace="141" w:wrap="auto" w:hAnchor="page" w:xAlign="center" w:yAlign="bottom"/>
      <w:ind w:left="2880"/>
    </w:pPr>
    <w:rPr>
      <w:rFonts w:ascii="Arial" w:hAnsi="Arial" w:cs="Arial"/>
      <w:lang w:eastAsia="en-US"/>
    </w:rPr>
  </w:style>
  <w:style w:type="paragraph" w:styleId="Encabezadodelista">
    <w:name w:val="toa heading"/>
    <w:basedOn w:val="Normal"/>
    <w:next w:val="Normal"/>
    <w:rsid w:val="00293F13"/>
    <w:pPr>
      <w:spacing w:before="120"/>
    </w:pPr>
    <w:rPr>
      <w:rFonts w:ascii="Arial" w:hAnsi="Arial" w:cs="Arial"/>
      <w:b/>
      <w:bCs/>
      <w:lang w:eastAsia="en-US"/>
    </w:rPr>
  </w:style>
  <w:style w:type="paragraph" w:styleId="Encabezadodemensaje">
    <w:name w:val="Message Header"/>
    <w:basedOn w:val="Normal"/>
    <w:link w:val="EncabezadodemensajeCar"/>
    <w:rsid w:val="00293F1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lang w:eastAsia="en-US"/>
    </w:rPr>
  </w:style>
  <w:style w:type="paragraph" w:styleId="Encabezadodenota">
    <w:name w:val="Note Heading"/>
    <w:basedOn w:val="Normal"/>
    <w:next w:val="Normal"/>
    <w:link w:val="EncabezadodenotaCar"/>
    <w:rsid w:val="00293F13"/>
    <w:rPr>
      <w:sz w:val="20"/>
      <w:szCs w:val="20"/>
      <w:lang w:eastAsia="en-US"/>
    </w:rPr>
  </w:style>
  <w:style w:type="paragraph" w:styleId="Fecha">
    <w:name w:val="Date"/>
    <w:basedOn w:val="Normal"/>
    <w:next w:val="Normal"/>
    <w:link w:val="FechaCar"/>
    <w:rsid w:val="00293F13"/>
    <w:rPr>
      <w:sz w:val="20"/>
      <w:szCs w:val="20"/>
      <w:lang w:eastAsia="en-US"/>
    </w:rPr>
  </w:style>
  <w:style w:type="character" w:customStyle="1" w:styleId="FechaCar">
    <w:name w:val="Fecha Car"/>
    <w:basedOn w:val="Fuentedeprrafopredeter"/>
    <w:link w:val="Fecha"/>
    <w:rsid w:val="00D109DE"/>
  </w:style>
  <w:style w:type="paragraph" w:styleId="Firma">
    <w:name w:val="Signature"/>
    <w:basedOn w:val="Normal"/>
    <w:link w:val="FirmaCar"/>
    <w:rsid w:val="00293F13"/>
    <w:pPr>
      <w:ind w:left="4252"/>
    </w:pPr>
    <w:rPr>
      <w:sz w:val="20"/>
      <w:szCs w:val="20"/>
      <w:lang w:eastAsia="en-US"/>
    </w:rPr>
  </w:style>
  <w:style w:type="paragraph" w:styleId="Firmadecorreoelectrnico">
    <w:name w:val="E-mail Signature"/>
    <w:basedOn w:val="Normal"/>
    <w:link w:val="FirmadecorreoelectrnicoCar"/>
    <w:rsid w:val="00293F13"/>
    <w:rPr>
      <w:sz w:val="20"/>
      <w:szCs w:val="20"/>
      <w:lang w:eastAsia="en-US"/>
    </w:rPr>
  </w:style>
  <w:style w:type="paragraph" w:styleId="HTMLconformatoprevio">
    <w:name w:val="HTML Preformatted"/>
    <w:basedOn w:val="Normal"/>
    <w:link w:val="HTMLconformatoprevioCar"/>
    <w:rsid w:val="00293F13"/>
    <w:rPr>
      <w:rFonts w:ascii="Courier New" w:hAnsi="Courier New" w:cs="Courier New"/>
      <w:sz w:val="20"/>
      <w:szCs w:val="20"/>
      <w:lang w:eastAsia="en-US"/>
    </w:rPr>
  </w:style>
  <w:style w:type="paragraph" w:styleId="ndice20">
    <w:name w:val="index 2"/>
    <w:basedOn w:val="Normal"/>
    <w:next w:val="Normal"/>
    <w:autoRedefine/>
    <w:rsid w:val="00293F13"/>
    <w:pPr>
      <w:ind w:left="400" w:hanging="200"/>
    </w:pPr>
    <w:rPr>
      <w:sz w:val="20"/>
      <w:szCs w:val="20"/>
      <w:lang w:eastAsia="en-US"/>
    </w:rPr>
  </w:style>
  <w:style w:type="paragraph" w:styleId="ndice3">
    <w:name w:val="index 3"/>
    <w:basedOn w:val="Normal"/>
    <w:next w:val="Normal"/>
    <w:autoRedefine/>
    <w:rsid w:val="00293F13"/>
    <w:pPr>
      <w:ind w:left="600" w:hanging="200"/>
    </w:pPr>
    <w:rPr>
      <w:sz w:val="20"/>
      <w:szCs w:val="20"/>
      <w:lang w:eastAsia="en-US"/>
    </w:rPr>
  </w:style>
  <w:style w:type="paragraph" w:styleId="ndice4">
    <w:name w:val="index 4"/>
    <w:basedOn w:val="Normal"/>
    <w:next w:val="Normal"/>
    <w:autoRedefine/>
    <w:rsid w:val="00293F13"/>
    <w:pPr>
      <w:ind w:left="800" w:hanging="200"/>
    </w:pPr>
    <w:rPr>
      <w:sz w:val="20"/>
      <w:szCs w:val="20"/>
      <w:lang w:eastAsia="en-US"/>
    </w:rPr>
  </w:style>
  <w:style w:type="paragraph" w:styleId="ndice5">
    <w:name w:val="index 5"/>
    <w:basedOn w:val="Normal"/>
    <w:next w:val="Normal"/>
    <w:autoRedefine/>
    <w:rsid w:val="00293F13"/>
    <w:pPr>
      <w:ind w:left="1000" w:hanging="200"/>
    </w:pPr>
    <w:rPr>
      <w:sz w:val="20"/>
      <w:szCs w:val="20"/>
      <w:lang w:eastAsia="en-US"/>
    </w:rPr>
  </w:style>
  <w:style w:type="paragraph" w:styleId="ndice6">
    <w:name w:val="index 6"/>
    <w:basedOn w:val="Normal"/>
    <w:next w:val="Normal"/>
    <w:autoRedefine/>
    <w:rsid w:val="00293F13"/>
    <w:pPr>
      <w:ind w:left="1200" w:hanging="200"/>
    </w:pPr>
    <w:rPr>
      <w:sz w:val="20"/>
      <w:szCs w:val="20"/>
      <w:lang w:eastAsia="en-US"/>
    </w:rPr>
  </w:style>
  <w:style w:type="paragraph" w:styleId="ndice7">
    <w:name w:val="index 7"/>
    <w:basedOn w:val="Normal"/>
    <w:next w:val="Normal"/>
    <w:autoRedefine/>
    <w:rsid w:val="00293F13"/>
    <w:pPr>
      <w:ind w:left="1400" w:hanging="200"/>
    </w:pPr>
    <w:rPr>
      <w:sz w:val="20"/>
      <w:szCs w:val="20"/>
      <w:lang w:eastAsia="en-US"/>
    </w:rPr>
  </w:style>
  <w:style w:type="paragraph" w:styleId="ndice8">
    <w:name w:val="index 8"/>
    <w:basedOn w:val="Normal"/>
    <w:next w:val="Normal"/>
    <w:autoRedefine/>
    <w:rsid w:val="00293F13"/>
    <w:pPr>
      <w:ind w:left="1600" w:hanging="200"/>
    </w:pPr>
    <w:rPr>
      <w:sz w:val="20"/>
      <w:szCs w:val="20"/>
      <w:lang w:eastAsia="en-US"/>
    </w:rPr>
  </w:style>
  <w:style w:type="paragraph" w:styleId="ndice9">
    <w:name w:val="index 9"/>
    <w:basedOn w:val="Normal"/>
    <w:next w:val="Normal"/>
    <w:autoRedefine/>
    <w:rsid w:val="00293F13"/>
    <w:pPr>
      <w:ind w:left="1800" w:hanging="200"/>
    </w:pPr>
    <w:rPr>
      <w:sz w:val="20"/>
      <w:szCs w:val="20"/>
      <w:lang w:eastAsia="en-US"/>
    </w:rPr>
  </w:style>
  <w:style w:type="paragraph" w:styleId="Lista">
    <w:name w:val="List"/>
    <w:basedOn w:val="Normal"/>
    <w:rsid w:val="00293F13"/>
    <w:pPr>
      <w:ind w:left="283" w:hanging="283"/>
    </w:pPr>
    <w:rPr>
      <w:sz w:val="20"/>
      <w:szCs w:val="20"/>
      <w:lang w:eastAsia="en-US"/>
    </w:rPr>
  </w:style>
  <w:style w:type="paragraph" w:styleId="Lista2">
    <w:name w:val="List 2"/>
    <w:basedOn w:val="Normal"/>
    <w:rsid w:val="00293F13"/>
    <w:pPr>
      <w:ind w:left="566" w:hanging="283"/>
    </w:pPr>
    <w:rPr>
      <w:sz w:val="20"/>
      <w:szCs w:val="20"/>
      <w:lang w:eastAsia="en-US"/>
    </w:rPr>
  </w:style>
  <w:style w:type="paragraph" w:styleId="Lista3">
    <w:name w:val="List 3"/>
    <w:basedOn w:val="Normal"/>
    <w:rsid w:val="00293F13"/>
    <w:pPr>
      <w:ind w:left="849" w:hanging="283"/>
    </w:pPr>
    <w:rPr>
      <w:sz w:val="20"/>
      <w:szCs w:val="20"/>
      <w:lang w:eastAsia="en-US"/>
    </w:rPr>
  </w:style>
  <w:style w:type="paragraph" w:styleId="Lista4">
    <w:name w:val="List 4"/>
    <w:basedOn w:val="Normal"/>
    <w:rsid w:val="00293F13"/>
    <w:pPr>
      <w:ind w:left="1132" w:hanging="283"/>
    </w:pPr>
    <w:rPr>
      <w:sz w:val="20"/>
      <w:szCs w:val="20"/>
      <w:lang w:eastAsia="en-US"/>
    </w:rPr>
  </w:style>
  <w:style w:type="paragraph" w:styleId="Lista5">
    <w:name w:val="List 5"/>
    <w:basedOn w:val="Normal"/>
    <w:rsid w:val="00293F13"/>
    <w:pPr>
      <w:ind w:left="1415" w:hanging="283"/>
    </w:pPr>
    <w:rPr>
      <w:sz w:val="20"/>
      <w:szCs w:val="20"/>
      <w:lang w:eastAsia="en-US"/>
    </w:rPr>
  </w:style>
  <w:style w:type="paragraph" w:styleId="Remitedesobre">
    <w:name w:val="envelope return"/>
    <w:basedOn w:val="Normal"/>
    <w:rsid w:val="00293F13"/>
    <w:rPr>
      <w:rFonts w:ascii="Arial" w:hAnsi="Arial" w:cs="Arial"/>
      <w:sz w:val="20"/>
      <w:szCs w:val="20"/>
      <w:lang w:eastAsia="en-US"/>
    </w:rPr>
  </w:style>
  <w:style w:type="paragraph" w:styleId="Saludo">
    <w:name w:val="Salutation"/>
    <w:basedOn w:val="Normal"/>
    <w:next w:val="Normal"/>
    <w:link w:val="SaludoCar"/>
    <w:rsid w:val="00293F13"/>
    <w:rPr>
      <w:sz w:val="20"/>
      <w:szCs w:val="20"/>
      <w:lang w:eastAsia="en-US"/>
    </w:rPr>
  </w:style>
  <w:style w:type="character" w:customStyle="1" w:styleId="SaludoCar">
    <w:name w:val="Saludo Car"/>
    <w:basedOn w:val="Fuentedeprrafopredeter"/>
    <w:link w:val="Saludo"/>
    <w:rsid w:val="00D109DE"/>
  </w:style>
  <w:style w:type="paragraph" w:styleId="Sangranormal">
    <w:name w:val="Normal Indent"/>
    <w:basedOn w:val="Normal"/>
    <w:rsid w:val="00293F13"/>
    <w:pPr>
      <w:ind w:left="708"/>
    </w:pPr>
    <w:rPr>
      <w:sz w:val="20"/>
      <w:szCs w:val="20"/>
      <w:lang w:eastAsia="en-US"/>
    </w:rPr>
  </w:style>
  <w:style w:type="paragraph" w:styleId="Subttulo">
    <w:name w:val="Subtitle"/>
    <w:basedOn w:val="Normal"/>
    <w:link w:val="SubttuloCar"/>
    <w:qFormat/>
    <w:rsid w:val="00293F13"/>
    <w:pPr>
      <w:spacing w:after="60"/>
      <w:jc w:val="center"/>
      <w:outlineLvl w:val="1"/>
    </w:pPr>
    <w:rPr>
      <w:rFonts w:ascii="Arial" w:hAnsi="Arial" w:cs="Arial"/>
      <w:lang w:eastAsia="en-US"/>
    </w:rPr>
  </w:style>
  <w:style w:type="character" w:customStyle="1" w:styleId="SubttuloCar">
    <w:name w:val="Subtítulo Car"/>
    <w:basedOn w:val="Fuentedeprrafopredeter"/>
    <w:link w:val="Subttulo"/>
    <w:rsid w:val="00D109DE"/>
    <w:rPr>
      <w:rFonts w:ascii="Arial" w:hAnsi="Arial" w:cs="Arial"/>
      <w:sz w:val="24"/>
      <w:szCs w:val="24"/>
    </w:rPr>
  </w:style>
  <w:style w:type="paragraph" w:styleId="Tabladeilustraciones">
    <w:name w:val="table of figures"/>
    <w:basedOn w:val="Normal"/>
    <w:next w:val="Normal"/>
    <w:rsid w:val="00293F13"/>
    <w:rPr>
      <w:sz w:val="20"/>
      <w:szCs w:val="20"/>
      <w:lang w:eastAsia="en-US"/>
    </w:rPr>
  </w:style>
  <w:style w:type="paragraph" w:styleId="Textoconsangra">
    <w:name w:val="table of authorities"/>
    <w:basedOn w:val="Normal"/>
    <w:next w:val="Normal"/>
    <w:rsid w:val="00293F13"/>
    <w:pPr>
      <w:ind w:left="200" w:hanging="200"/>
    </w:pPr>
    <w:rPr>
      <w:sz w:val="20"/>
      <w:szCs w:val="20"/>
      <w:lang w:eastAsia="en-US"/>
    </w:rPr>
  </w:style>
  <w:style w:type="paragraph" w:styleId="Textodebloque">
    <w:name w:val="Block Text"/>
    <w:basedOn w:val="Normal"/>
    <w:rsid w:val="00293F13"/>
    <w:pPr>
      <w:spacing w:after="120"/>
      <w:ind w:left="1440" w:right="1440"/>
    </w:pPr>
    <w:rPr>
      <w:sz w:val="20"/>
      <w:szCs w:val="20"/>
      <w:lang w:eastAsia="en-US"/>
    </w:rPr>
  </w:style>
  <w:style w:type="paragraph" w:styleId="Textoindependienteprimerasangra">
    <w:name w:val="Body Text First Indent"/>
    <w:basedOn w:val="Textoindependiente"/>
    <w:link w:val="TextoindependienteprimerasangraCar"/>
    <w:rsid w:val="00293F13"/>
    <w:pPr>
      <w:spacing w:after="120"/>
      <w:ind w:firstLine="210"/>
    </w:pPr>
    <w:rPr>
      <w:rFonts w:ascii="Times New Roman" w:hAnsi="Times New Roman" w:cs="Times New Roman"/>
      <w:sz w:val="20"/>
      <w:lang w:val="es-ES"/>
    </w:rPr>
  </w:style>
  <w:style w:type="paragraph" w:styleId="Textoindependienteprimerasangra2">
    <w:name w:val="Body Text First Indent 2"/>
    <w:basedOn w:val="Sangradetextonormal"/>
    <w:link w:val="Textoindependienteprimerasangra2Car"/>
    <w:rsid w:val="00293F13"/>
    <w:pPr>
      <w:ind w:firstLine="210"/>
    </w:pPr>
  </w:style>
  <w:style w:type="character" w:customStyle="1" w:styleId="Textoindependienteprimerasangra2Car">
    <w:name w:val="Texto independiente primera sangría 2 Car"/>
    <w:basedOn w:val="SangradetextonormalCar1"/>
    <w:link w:val="Textoindependienteprimerasangra2"/>
    <w:rsid w:val="00D109DE"/>
  </w:style>
  <w:style w:type="paragraph" w:styleId="Textomacro">
    <w:name w:val="macro"/>
    <w:link w:val="TextomacroCar"/>
    <w:rsid w:val="00293F13"/>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Textonotaalfinal">
    <w:name w:val="endnote text"/>
    <w:basedOn w:val="Normal"/>
    <w:link w:val="TextonotaalfinalCar"/>
    <w:rsid w:val="00293F13"/>
    <w:rPr>
      <w:sz w:val="20"/>
      <w:szCs w:val="20"/>
      <w:lang w:eastAsia="en-US"/>
    </w:rPr>
  </w:style>
  <w:style w:type="paragraph" w:styleId="Ttulodendice">
    <w:name w:val="index heading"/>
    <w:basedOn w:val="Normal"/>
    <w:next w:val="ndice10"/>
    <w:rsid w:val="00293F13"/>
    <w:rPr>
      <w:rFonts w:ascii="Arial" w:hAnsi="Arial" w:cs="Arial"/>
      <w:b/>
      <w:bCs/>
      <w:sz w:val="20"/>
      <w:szCs w:val="20"/>
      <w:lang w:eastAsia="en-US"/>
    </w:rPr>
  </w:style>
  <w:style w:type="paragraph" w:styleId="Prrafodelista">
    <w:name w:val="List Paragraph"/>
    <w:basedOn w:val="Normal"/>
    <w:link w:val="PrrafodelistaCar"/>
    <w:uiPriority w:val="34"/>
    <w:qFormat/>
    <w:rsid w:val="001E504C"/>
    <w:pPr>
      <w:ind w:left="708"/>
    </w:pPr>
    <w:rPr>
      <w:sz w:val="20"/>
      <w:szCs w:val="20"/>
      <w:lang w:eastAsia="en-US"/>
    </w:rPr>
  </w:style>
  <w:style w:type="character" w:customStyle="1" w:styleId="PrrafodelistaCar">
    <w:name w:val="Párrafo de lista Car"/>
    <w:basedOn w:val="Fuentedeprrafopredeter"/>
    <w:link w:val="Prrafodelista"/>
    <w:uiPriority w:val="34"/>
    <w:rsid w:val="00224ACB"/>
  </w:style>
  <w:style w:type="paragraph" w:styleId="TtuloTDC">
    <w:name w:val="TOC Heading"/>
    <w:basedOn w:val="Ttulo1"/>
    <w:next w:val="Normal"/>
    <w:uiPriority w:val="39"/>
    <w:unhideWhenUsed/>
    <w:qFormat/>
    <w:rsid w:val="004B37A3"/>
    <w:pPr>
      <w:keepNext/>
      <w:keepLines/>
      <w:widowControl/>
      <w:spacing w:before="480" w:line="276" w:lineRule="auto"/>
      <w:outlineLvl w:val="9"/>
    </w:pPr>
    <w:rPr>
      <w:rFonts w:asciiTheme="majorHAnsi" w:eastAsiaTheme="majorEastAsia" w:hAnsiTheme="majorHAnsi" w:cstheme="majorBidi"/>
      <w:bCs/>
      <w:noProof w:val="0"/>
      <w:color w:val="365F91" w:themeColor="accent1" w:themeShade="BF"/>
      <w:kern w:val="0"/>
      <w:sz w:val="28"/>
      <w:szCs w:val="28"/>
    </w:rPr>
  </w:style>
  <w:style w:type="paragraph" w:customStyle="1" w:styleId="INDICE212">
    <w:name w:val="INDICE2 12"/>
    <w:basedOn w:val="INDICE2"/>
    <w:next w:val="Normal"/>
    <w:rsid w:val="00C309F7"/>
    <w:pPr>
      <w:ind w:left="709" w:hanging="709"/>
      <w:jc w:val="both"/>
    </w:pPr>
    <w:rPr>
      <w:rFonts w:cs="Arial"/>
      <w:bCs/>
      <w:sz w:val="24"/>
      <w:szCs w:val="24"/>
    </w:rPr>
  </w:style>
  <w:style w:type="character" w:customStyle="1" w:styleId="ARIALNORMALCar1">
    <w:name w:val="ARIAL NORMAL Car1"/>
    <w:basedOn w:val="Fuentedeprrafopredeter"/>
    <w:rsid w:val="00D211E5"/>
    <w:rPr>
      <w:rFonts w:ascii="Arial" w:hAnsi="Arial"/>
      <w:sz w:val="22"/>
      <w:lang w:val="es-ES_tradnl"/>
    </w:rPr>
  </w:style>
  <w:style w:type="paragraph" w:customStyle="1" w:styleId="TIMESSANGRI">
    <w:name w:val="TIMES SANGRI"/>
    <w:rsid w:val="002320A2"/>
    <w:pPr>
      <w:tabs>
        <w:tab w:val="left" w:pos="0"/>
        <w:tab w:val="left" w:pos="153"/>
        <w:tab w:val="left" w:pos="873"/>
        <w:tab w:val="left" w:pos="1593"/>
        <w:tab w:val="left" w:pos="2313"/>
        <w:tab w:val="left" w:pos="3033"/>
        <w:tab w:val="left" w:pos="3753"/>
        <w:tab w:val="left" w:pos="4473"/>
        <w:tab w:val="left" w:pos="5193"/>
        <w:tab w:val="left" w:pos="5913"/>
        <w:tab w:val="left" w:pos="6633"/>
        <w:tab w:val="left" w:pos="7353"/>
        <w:tab w:val="left" w:pos="8073"/>
        <w:tab w:val="left" w:pos="8793"/>
        <w:tab w:val="left" w:pos="9513"/>
        <w:tab w:val="left" w:pos="10233"/>
        <w:tab w:val="left" w:pos="10953"/>
        <w:tab w:val="left" w:pos="11673"/>
        <w:tab w:val="left" w:pos="12393"/>
      </w:tabs>
      <w:ind w:left="566" w:hanging="566"/>
      <w:jc w:val="both"/>
    </w:pPr>
    <w:rPr>
      <w:snapToGrid w:val="0"/>
      <w:sz w:val="24"/>
    </w:rPr>
  </w:style>
  <w:style w:type="paragraph" w:customStyle="1" w:styleId="BodyTextIn">
    <w:name w:val="Body Text In"/>
    <w:rsid w:val="002320A2"/>
    <w:pPr>
      <w:tabs>
        <w:tab w:val="left" w:pos="0"/>
        <w:tab w:val="left" w:pos="274"/>
        <w:tab w:val="left" w:pos="1149"/>
        <w:tab w:val="left" w:pos="1394"/>
        <w:tab w:val="left" w:pos="3885"/>
        <w:tab w:val="left" w:pos="4605"/>
        <w:tab w:val="left" w:pos="5325"/>
        <w:tab w:val="left" w:pos="6045"/>
        <w:tab w:val="left" w:pos="6765"/>
        <w:tab w:val="left" w:pos="7485"/>
        <w:tab w:val="left" w:pos="8205"/>
        <w:tab w:val="left" w:pos="8925"/>
        <w:tab w:val="left" w:pos="9645"/>
        <w:tab w:val="left" w:pos="10365"/>
        <w:tab w:val="left" w:pos="11085"/>
        <w:tab w:val="left" w:pos="11805"/>
        <w:tab w:val="left" w:pos="12525"/>
        <w:tab w:val="left" w:pos="13245"/>
      </w:tabs>
      <w:ind w:left="434"/>
      <w:jc w:val="both"/>
    </w:pPr>
    <w:rPr>
      <w:snapToGrid w:val="0"/>
      <w:sz w:val="24"/>
    </w:rPr>
  </w:style>
  <w:style w:type="paragraph" w:customStyle="1" w:styleId="1">
    <w:name w:val="1"/>
    <w:rsid w:val="002320A2"/>
    <w:pPr>
      <w:tabs>
        <w:tab w:val="left" w:pos="0"/>
        <w:tab w:val="left" w:pos="278"/>
        <w:tab w:val="left" w:pos="1153"/>
        <w:tab w:val="left" w:pos="1441"/>
        <w:tab w:val="left" w:pos="6049"/>
        <w:tab w:val="left" w:pos="6769"/>
        <w:tab w:val="left" w:pos="7489"/>
        <w:tab w:val="left" w:pos="8209"/>
        <w:tab w:val="left" w:pos="8929"/>
        <w:tab w:val="left" w:pos="9649"/>
        <w:tab w:val="left" w:pos="10369"/>
        <w:tab w:val="left" w:pos="11089"/>
        <w:tab w:val="left" w:pos="11809"/>
        <w:tab w:val="left" w:pos="12529"/>
        <w:tab w:val="left" w:pos="13249"/>
        <w:tab w:val="left" w:pos="13969"/>
        <w:tab w:val="left" w:pos="14689"/>
        <w:tab w:val="left" w:pos="15409"/>
      </w:tabs>
      <w:ind w:left="430" w:hanging="430"/>
      <w:jc w:val="both"/>
    </w:pPr>
    <w:rPr>
      <w:snapToGrid w:val="0"/>
      <w:sz w:val="24"/>
    </w:rPr>
  </w:style>
  <w:style w:type="paragraph" w:customStyle="1" w:styleId="2">
    <w:name w:val="2"/>
    <w:rsid w:val="002320A2"/>
    <w:pPr>
      <w:jc w:val="both"/>
    </w:pPr>
    <w:rPr>
      <w:snapToGrid w:val="0"/>
      <w:sz w:val="24"/>
    </w:rPr>
  </w:style>
  <w:style w:type="paragraph" w:customStyle="1" w:styleId="1AutoList2">
    <w:name w:val="1AutoList2"/>
    <w:rsid w:val="002320A2"/>
    <w:pPr>
      <w:tabs>
        <w:tab w:val="left" w:pos="0"/>
        <w:tab w:val="left" w:pos="720"/>
        <w:tab w:val="left" w:pos="1440"/>
        <w:tab w:val="left" w:pos="2160"/>
        <w:tab w:val="left" w:pos="2880"/>
        <w:tab w:val="left" w:pos="3600"/>
        <w:tab w:val="left" w:pos="4320"/>
        <w:tab w:val="left" w:pos="5040"/>
        <w:tab w:val="left" w:pos="5760"/>
        <w:tab w:val="left" w:pos="6480"/>
        <w:tab w:val="left" w:pos="7200"/>
      </w:tabs>
      <w:ind w:left="720" w:hanging="720"/>
      <w:jc w:val="both"/>
    </w:pPr>
    <w:rPr>
      <w:snapToGrid w:val="0"/>
      <w:sz w:val="24"/>
    </w:rPr>
  </w:style>
  <w:style w:type="paragraph" w:customStyle="1" w:styleId="Documento1">
    <w:name w:val="Documento 1"/>
    <w:rsid w:val="002320A2"/>
    <w:pPr>
      <w:keepNext/>
      <w:keepLines/>
      <w:tabs>
        <w:tab w:val="left" w:pos="-720"/>
      </w:tabs>
      <w:suppressAutoHyphens/>
    </w:pPr>
    <w:rPr>
      <w:rFonts w:ascii="Courier New" w:hAnsi="Courier New"/>
      <w:sz w:val="24"/>
      <w:lang w:val="en-US"/>
    </w:rPr>
  </w:style>
  <w:style w:type="character" w:customStyle="1" w:styleId="Tcnico2">
    <w:name w:val="TÀ)Àcnico 2"/>
    <w:basedOn w:val="Fuentedeencabezadopredeter"/>
    <w:rsid w:val="002320A2"/>
    <w:rPr>
      <w:rFonts w:ascii="Courier New" w:hAnsi="Courier New"/>
      <w:noProof w:val="0"/>
      <w:sz w:val="24"/>
      <w:lang w:val="en-US"/>
    </w:rPr>
  </w:style>
  <w:style w:type="paragraph" w:customStyle="1" w:styleId="Tcnico4">
    <w:name w:val="TÀ)Àcnico 4"/>
    <w:rsid w:val="002320A2"/>
    <w:pPr>
      <w:tabs>
        <w:tab w:val="left" w:pos="-720"/>
      </w:tabs>
      <w:suppressAutoHyphens/>
    </w:pPr>
    <w:rPr>
      <w:rFonts w:ascii="Courier New" w:hAnsi="Courier New"/>
      <w:b/>
      <w:snapToGrid w:val="0"/>
      <w:sz w:val="24"/>
      <w:lang w:val="en-US"/>
    </w:rPr>
  </w:style>
  <w:style w:type="character" w:customStyle="1" w:styleId="Documento5">
    <w:name w:val="Documento 5"/>
    <w:basedOn w:val="Fuentedeencabezadopredeter"/>
    <w:rsid w:val="002320A2"/>
  </w:style>
  <w:style w:type="paragraph" w:customStyle="1" w:styleId="Technical8">
    <w:name w:val="Technical[8]"/>
    <w:rsid w:val="002320A2"/>
    <w:pPr>
      <w:tabs>
        <w:tab w:val="left" w:pos="-720"/>
        <w:tab w:val="left" w:pos="0"/>
      </w:tabs>
      <w:suppressAutoHyphens/>
      <w:ind w:left="720"/>
    </w:pPr>
    <w:rPr>
      <w:rFonts w:ascii="Courier New" w:hAnsi="Courier New"/>
      <w:snapToGrid w:val="0"/>
      <w:sz w:val="24"/>
      <w:lang w:val="en-US"/>
    </w:rPr>
  </w:style>
  <w:style w:type="paragraph" w:customStyle="1" w:styleId="Textodenotaalfin">
    <w:name w:val="Texto de nota al fin"/>
    <w:rsid w:val="002320A2"/>
    <w:pPr>
      <w:tabs>
        <w:tab w:val="left" w:pos="-720"/>
      </w:tabs>
      <w:suppressAutoHyphens/>
    </w:pPr>
    <w:rPr>
      <w:rFonts w:ascii="Courier New" w:hAnsi="Courier New"/>
      <w:snapToGrid w:val="0"/>
    </w:rPr>
  </w:style>
  <w:style w:type="character" w:customStyle="1" w:styleId="a1">
    <w:name w:val="a1"/>
    <w:basedOn w:val="Fuentedeencabezadopredeter"/>
    <w:rsid w:val="002320A2"/>
    <w:rPr>
      <w:rFonts w:ascii="Courier New" w:hAnsi="Courier New"/>
      <w:noProof w:val="0"/>
      <w:sz w:val="24"/>
      <w:lang w:val="en-US"/>
    </w:rPr>
  </w:style>
  <w:style w:type="character" w:customStyle="1" w:styleId="Documento4">
    <w:name w:val="Documento 4"/>
    <w:basedOn w:val="Fuentedeencabezadopredeter"/>
    <w:rsid w:val="002320A2"/>
    <w:rPr>
      <w:b/>
      <w:i/>
      <w:sz w:val="24"/>
    </w:rPr>
  </w:style>
  <w:style w:type="character" w:customStyle="1" w:styleId="Bibliogr">
    <w:name w:val="Bibliogr."/>
    <w:basedOn w:val="Fuentedeencabezadopredeter"/>
    <w:rsid w:val="002320A2"/>
  </w:style>
  <w:style w:type="character" w:customStyle="1" w:styleId="Documento2">
    <w:name w:val="Documento 2"/>
    <w:basedOn w:val="Fuentedeencabezadopredeter"/>
    <w:rsid w:val="002320A2"/>
    <w:rPr>
      <w:rFonts w:ascii="Courier New" w:hAnsi="Courier New"/>
      <w:noProof w:val="0"/>
      <w:sz w:val="24"/>
      <w:lang w:val="en-US"/>
    </w:rPr>
  </w:style>
  <w:style w:type="character" w:customStyle="1" w:styleId="Documento6">
    <w:name w:val="Documento 6"/>
    <w:basedOn w:val="Fuentedeencabezadopredeter"/>
    <w:rsid w:val="002320A2"/>
  </w:style>
  <w:style w:type="character" w:customStyle="1" w:styleId="Documento7">
    <w:name w:val="Documento 7"/>
    <w:basedOn w:val="Fuentedeencabezadopredeter"/>
    <w:rsid w:val="002320A2"/>
  </w:style>
  <w:style w:type="character" w:customStyle="1" w:styleId="Documento8">
    <w:name w:val="Documento 8"/>
    <w:basedOn w:val="Fuentedeencabezadopredeter"/>
    <w:rsid w:val="002320A2"/>
  </w:style>
  <w:style w:type="character" w:customStyle="1" w:styleId="Documento3">
    <w:name w:val="Documento 3"/>
    <w:basedOn w:val="Fuentedeencabezadopredeter"/>
    <w:rsid w:val="002320A2"/>
    <w:rPr>
      <w:rFonts w:ascii="Courier New" w:hAnsi="Courier New"/>
      <w:noProof w:val="0"/>
      <w:sz w:val="24"/>
      <w:lang w:val="en-US"/>
    </w:rPr>
  </w:style>
  <w:style w:type="paragraph" w:customStyle="1" w:styleId="Prder1">
    <w:name w:val="PÀÀr. der. 1"/>
    <w:rsid w:val="002320A2"/>
    <w:pPr>
      <w:tabs>
        <w:tab w:val="left" w:pos="-720"/>
        <w:tab w:val="left" w:pos="0"/>
        <w:tab w:val="decimal" w:pos="720"/>
      </w:tabs>
      <w:suppressAutoHyphens/>
      <w:ind w:left="720" w:hanging="208"/>
    </w:pPr>
    <w:rPr>
      <w:rFonts w:ascii="Courier New" w:hAnsi="Courier New"/>
      <w:snapToGrid w:val="0"/>
      <w:sz w:val="24"/>
      <w:lang w:val="en-US"/>
    </w:rPr>
  </w:style>
  <w:style w:type="paragraph" w:customStyle="1" w:styleId="Prder2">
    <w:name w:val="PÀÀr. der. 2"/>
    <w:rsid w:val="002320A2"/>
    <w:pPr>
      <w:tabs>
        <w:tab w:val="left" w:pos="-720"/>
        <w:tab w:val="left" w:pos="0"/>
        <w:tab w:val="left" w:pos="720"/>
        <w:tab w:val="decimal" w:pos="1440"/>
      </w:tabs>
      <w:suppressAutoHyphens/>
      <w:ind w:left="1440" w:hanging="294"/>
    </w:pPr>
    <w:rPr>
      <w:rFonts w:ascii="Courier New" w:hAnsi="Courier New"/>
      <w:snapToGrid w:val="0"/>
      <w:sz w:val="24"/>
      <w:lang w:val="en-US"/>
    </w:rPr>
  </w:style>
  <w:style w:type="paragraph" w:customStyle="1" w:styleId="Prder3">
    <w:name w:val="PÀÀr. der. 3"/>
    <w:rsid w:val="002320A2"/>
    <w:pPr>
      <w:tabs>
        <w:tab w:val="left" w:pos="-720"/>
        <w:tab w:val="left" w:pos="0"/>
        <w:tab w:val="left" w:pos="720"/>
        <w:tab w:val="left" w:pos="1440"/>
        <w:tab w:val="decimal" w:pos="2160"/>
      </w:tabs>
      <w:suppressAutoHyphens/>
      <w:ind w:left="2160" w:hanging="236"/>
    </w:pPr>
    <w:rPr>
      <w:rFonts w:ascii="Courier New" w:hAnsi="Courier New"/>
      <w:snapToGrid w:val="0"/>
      <w:sz w:val="24"/>
      <w:lang w:val="en-US"/>
    </w:rPr>
  </w:style>
  <w:style w:type="paragraph" w:customStyle="1" w:styleId="Prder4">
    <w:name w:val="PÀÀr. der. 4"/>
    <w:rsid w:val="002320A2"/>
    <w:pPr>
      <w:tabs>
        <w:tab w:val="left" w:pos="-720"/>
        <w:tab w:val="left" w:pos="0"/>
        <w:tab w:val="left" w:pos="720"/>
        <w:tab w:val="left" w:pos="1440"/>
        <w:tab w:val="left" w:pos="2160"/>
        <w:tab w:val="decimal" w:pos="2880"/>
      </w:tabs>
      <w:suppressAutoHyphens/>
      <w:ind w:left="2880" w:hanging="236"/>
    </w:pPr>
    <w:rPr>
      <w:rFonts w:ascii="Courier New" w:hAnsi="Courier New"/>
      <w:snapToGrid w:val="0"/>
      <w:sz w:val="24"/>
      <w:lang w:val="en-US"/>
    </w:rPr>
  </w:style>
  <w:style w:type="paragraph" w:customStyle="1" w:styleId="Prder5">
    <w:name w:val="PÀÀr. der. 5"/>
    <w:rsid w:val="002320A2"/>
    <w:pPr>
      <w:tabs>
        <w:tab w:val="left" w:pos="-720"/>
        <w:tab w:val="left" w:pos="0"/>
        <w:tab w:val="left" w:pos="720"/>
        <w:tab w:val="left" w:pos="1440"/>
        <w:tab w:val="left" w:pos="2160"/>
        <w:tab w:val="left" w:pos="2880"/>
        <w:tab w:val="decimal" w:pos="3600"/>
      </w:tabs>
      <w:suppressAutoHyphens/>
      <w:ind w:left="3600" w:hanging="356"/>
    </w:pPr>
    <w:rPr>
      <w:rFonts w:ascii="Courier New" w:hAnsi="Courier New"/>
      <w:snapToGrid w:val="0"/>
      <w:sz w:val="24"/>
      <w:lang w:val="en-US"/>
    </w:rPr>
  </w:style>
  <w:style w:type="paragraph" w:customStyle="1" w:styleId="Prder6">
    <w:name w:val="PÀÀr. der. 6"/>
    <w:rsid w:val="002320A2"/>
    <w:pPr>
      <w:tabs>
        <w:tab w:val="left" w:pos="-720"/>
        <w:tab w:val="left" w:pos="0"/>
        <w:tab w:val="left" w:pos="720"/>
        <w:tab w:val="left" w:pos="1440"/>
        <w:tab w:val="left" w:pos="2160"/>
        <w:tab w:val="left" w:pos="2880"/>
        <w:tab w:val="left" w:pos="3600"/>
        <w:tab w:val="decimal" w:pos="4320"/>
      </w:tabs>
      <w:suppressAutoHyphens/>
      <w:ind w:left="4320" w:hanging="356"/>
    </w:pPr>
    <w:rPr>
      <w:rFonts w:ascii="Courier New" w:hAnsi="Courier New"/>
      <w:snapToGrid w:val="0"/>
      <w:sz w:val="24"/>
      <w:lang w:val="en-US"/>
    </w:rPr>
  </w:style>
  <w:style w:type="paragraph" w:customStyle="1" w:styleId="Prder7">
    <w:name w:val="PÀÀr. der. 7"/>
    <w:rsid w:val="002320A2"/>
    <w:pPr>
      <w:tabs>
        <w:tab w:val="left" w:pos="-720"/>
        <w:tab w:val="left" w:pos="0"/>
        <w:tab w:val="left" w:pos="720"/>
        <w:tab w:val="left" w:pos="1440"/>
        <w:tab w:val="left" w:pos="2160"/>
        <w:tab w:val="left" w:pos="2880"/>
        <w:tab w:val="left" w:pos="3600"/>
        <w:tab w:val="left" w:pos="4320"/>
        <w:tab w:val="decimal" w:pos="5040"/>
      </w:tabs>
      <w:suppressAutoHyphens/>
      <w:ind w:left="5040" w:hanging="222"/>
    </w:pPr>
    <w:rPr>
      <w:rFonts w:ascii="Courier New" w:hAnsi="Courier New"/>
      <w:snapToGrid w:val="0"/>
      <w:sz w:val="24"/>
      <w:lang w:val="en-US"/>
    </w:rPr>
  </w:style>
  <w:style w:type="paragraph" w:customStyle="1" w:styleId="Prder8">
    <w:name w:val="PÀÀr. der. 8"/>
    <w:rsid w:val="002320A2"/>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270"/>
    </w:pPr>
    <w:rPr>
      <w:rFonts w:ascii="Courier New" w:hAnsi="Courier New"/>
      <w:snapToGrid w:val="0"/>
      <w:sz w:val="24"/>
      <w:lang w:val="en-US"/>
    </w:rPr>
  </w:style>
  <w:style w:type="character" w:customStyle="1" w:styleId="Tcnico3">
    <w:name w:val="TÀ)Àcnico 3"/>
    <w:basedOn w:val="Fuentedeencabezadopredeter"/>
    <w:rsid w:val="002320A2"/>
    <w:rPr>
      <w:rFonts w:ascii="Courier New" w:hAnsi="Courier New"/>
      <w:noProof w:val="0"/>
      <w:sz w:val="24"/>
      <w:lang w:val="en-US"/>
    </w:rPr>
  </w:style>
  <w:style w:type="character" w:customStyle="1" w:styleId="Tcnico1">
    <w:name w:val="TÀ)Àcnico 1"/>
    <w:basedOn w:val="Fuentedeencabezadopredeter"/>
    <w:rsid w:val="002320A2"/>
    <w:rPr>
      <w:rFonts w:ascii="Courier New" w:hAnsi="Courier New"/>
      <w:noProof w:val="0"/>
      <w:sz w:val="24"/>
      <w:lang w:val="en-US"/>
    </w:rPr>
  </w:style>
  <w:style w:type="character" w:customStyle="1" w:styleId="Inicdoc">
    <w:name w:val="Inic. doc."/>
    <w:basedOn w:val="Fuentedeencabezadopredeter"/>
    <w:rsid w:val="002320A2"/>
  </w:style>
  <w:style w:type="paragraph" w:customStyle="1" w:styleId="Tcnico5">
    <w:name w:val="TÀ)Àcnico 5"/>
    <w:rsid w:val="002320A2"/>
    <w:pPr>
      <w:tabs>
        <w:tab w:val="left" w:pos="-720"/>
      </w:tabs>
      <w:suppressAutoHyphens/>
      <w:ind w:firstLine="720"/>
    </w:pPr>
    <w:rPr>
      <w:rFonts w:ascii="Courier New" w:hAnsi="Courier New"/>
      <w:b/>
      <w:snapToGrid w:val="0"/>
      <w:sz w:val="24"/>
      <w:lang w:val="en-US"/>
    </w:rPr>
  </w:style>
  <w:style w:type="paragraph" w:customStyle="1" w:styleId="Tcnico6">
    <w:name w:val="TÀ)Àcnico 6"/>
    <w:rsid w:val="002320A2"/>
    <w:pPr>
      <w:tabs>
        <w:tab w:val="left" w:pos="-720"/>
      </w:tabs>
      <w:suppressAutoHyphens/>
      <w:ind w:firstLine="720"/>
    </w:pPr>
    <w:rPr>
      <w:rFonts w:ascii="Courier New" w:hAnsi="Courier New"/>
      <w:b/>
      <w:snapToGrid w:val="0"/>
      <w:sz w:val="24"/>
      <w:lang w:val="en-US"/>
    </w:rPr>
  </w:style>
  <w:style w:type="paragraph" w:customStyle="1" w:styleId="Tcnico7">
    <w:name w:val="TÀ)Àcnico 7"/>
    <w:rsid w:val="002320A2"/>
    <w:pPr>
      <w:tabs>
        <w:tab w:val="left" w:pos="-720"/>
      </w:tabs>
      <w:suppressAutoHyphens/>
      <w:ind w:firstLine="720"/>
    </w:pPr>
    <w:rPr>
      <w:rFonts w:ascii="Courier New" w:hAnsi="Courier New"/>
      <w:b/>
      <w:snapToGrid w:val="0"/>
      <w:sz w:val="24"/>
      <w:lang w:val="en-US"/>
    </w:rPr>
  </w:style>
  <w:style w:type="paragraph" w:customStyle="1" w:styleId="Tcnico8">
    <w:name w:val="TÀ)Àcnico 8"/>
    <w:rsid w:val="002320A2"/>
    <w:pPr>
      <w:tabs>
        <w:tab w:val="left" w:pos="-720"/>
      </w:tabs>
      <w:suppressAutoHyphens/>
      <w:ind w:firstLine="720"/>
    </w:pPr>
    <w:rPr>
      <w:rFonts w:ascii="Courier New" w:hAnsi="Courier New"/>
      <w:b/>
      <w:snapToGrid w:val="0"/>
      <w:sz w:val="24"/>
      <w:lang w:val="en-US"/>
    </w:rPr>
  </w:style>
  <w:style w:type="character" w:customStyle="1" w:styleId="Inicestt">
    <w:name w:val="Inic. est. t"/>
    <w:basedOn w:val="Fuentedeencabezadopredeter"/>
    <w:rsid w:val="002320A2"/>
    <w:rPr>
      <w:rFonts w:ascii="Courier New" w:hAnsi="Courier New"/>
      <w:noProof w:val="0"/>
      <w:sz w:val="24"/>
      <w:lang w:val="en-US"/>
    </w:rPr>
  </w:style>
  <w:style w:type="paragraph" w:customStyle="1" w:styleId="Escrlegal">
    <w:name w:val="Escr. legal"/>
    <w:rsid w:val="002320A2"/>
    <w:pPr>
      <w:tabs>
        <w:tab w:val="left" w:pos="-720"/>
      </w:tabs>
      <w:suppressAutoHyphens/>
      <w:spacing w:line="240" w:lineRule="exact"/>
    </w:pPr>
    <w:rPr>
      <w:rFonts w:ascii="Courier New" w:hAnsi="Courier New"/>
      <w:snapToGrid w:val="0"/>
      <w:sz w:val="24"/>
      <w:lang w:val="en-US"/>
    </w:rPr>
  </w:style>
  <w:style w:type="character" w:customStyle="1" w:styleId="Documento40">
    <w:name w:val="Documento[4]"/>
    <w:basedOn w:val="Fuentedeencabezadopredeter"/>
    <w:rsid w:val="002320A2"/>
    <w:rPr>
      <w:b/>
      <w:i/>
      <w:sz w:val="24"/>
    </w:rPr>
  </w:style>
  <w:style w:type="character" w:customStyle="1" w:styleId="Documento50">
    <w:name w:val="Documento[5]"/>
    <w:basedOn w:val="Fuentedeencabezadopredeter"/>
    <w:rsid w:val="002320A2"/>
  </w:style>
  <w:style w:type="character" w:customStyle="1" w:styleId="Documento20">
    <w:name w:val="Documento[2]"/>
    <w:basedOn w:val="Fuentedeencabezadopredeter"/>
    <w:rsid w:val="002320A2"/>
    <w:rPr>
      <w:rFonts w:ascii="Courier New" w:hAnsi="Courier New"/>
      <w:noProof w:val="0"/>
      <w:sz w:val="24"/>
      <w:lang w:val="en-US"/>
    </w:rPr>
  </w:style>
  <w:style w:type="character" w:customStyle="1" w:styleId="Documento60">
    <w:name w:val="Documento[6]"/>
    <w:basedOn w:val="Fuentedeencabezadopredeter"/>
    <w:rsid w:val="002320A2"/>
  </w:style>
  <w:style w:type="character" w:customStyle="1" w:styleId="Documento70">
    <w:name w:val="Documento[7]"/>
    <w:basedOn w:val="Fuentedeencabezadopredeter"/>
    <w:rsid w:val="002320A2"/>
  </w:style>
  <w:style w:type="character" w:customStyle="1" w:styleId="Documento80">
    <w:name w:val="Documento[8]"/>
    <w:basedOn w:val="Fuentedeencabezadopredeter"/>
    <w:rsid w:val="002320A2"/>
  </w:style>
  <w:style w:type="character" w:customStyle="1" w:styleId="Documento30">
    <w:name w:val="Documento[3]"/>
    <w:basedOn w:val="Fuentedeencabezadopredeter"/>
    <w:rsid w:val="002320A2"/>
    <w:rPr>
      <w:rFonts w:ascii="Courier New" w:hAnsi="Courier New"/>
      <w:noProof w:val="0"/>
      <w:sz w:val="24"/>
      <w:lang w:val="en-US"/>
    </w:rPr>
  </w:style>
  <w:style w:type="paragraph" w:customStyle="1" w:styleId="Prder10">
    <w:name w:val="PÀÀr. der.[1]"/>
    <w:rsid w:val="002320A2"/>
    <w:pPr>
      <w:tabs>
        <w:tab w:val="left" w:pos="-720"/>
        <w:tab w:val="left" w:pos="0"/>
        <w:tab w:val="decimal" w:pos="720"/>
      </w:tabs>
      <w:suppressAutoHyphens/>
      <w:ind w:firstLine="720"/>
    </w:pPr>
    <w:rPr>
      <w:rFonts w:ascii="Courier New" w:hAnsi="Courier New"/>
      <w:snapToGrid w:val="0"/>
      <w:sz w:val="24"/>
      <w:lang w:val="en-US"/>
    </w:rPr>
  </w:style>
  <w:style w:type="paragraph" w:customStyle="1" w:styleId="Prder20">
    <w:name w:val="PÀÀr. der.[2]"/>
    <w:rsid w:val="002320A2"/>
    <w:pPr>
      <w:tabs>
        <w:tab w:val="left" w:pos="-720"/>
        <w:tab w:val="left" w:pos="0"/>
        <w:tab w:val="left" w:pos="720"/>
        <w:tab w:val="decimal" w:pos="1440"/>
      </w:tabs>
      <w:suppressAutoHyphens/>
      <w:ind w:firstLine="1440"/>
    </w:pPr>
    <w:rPr>
      <w:rFonts w:ascii="Courier New" w:hAnsi="Courier New"/>
      <w:snapToGrid w:val="0"/>
      <w:sz w:val="24"/>
      <w:lang w:val="en-US"/>
    </w:rPr>
  </w:style>
  <w:style w:type="paragraph" w:customStyle="1" w:styleId="Prder30">
    <w:name w:val="PÀÀr. der.[3]"/>
    <w:rsid w:val="002320A2"/>
    <w:pPr>
      <w:tabs>
        <w:tab w:val="left" w:pos="-720"/>
        <w:tab w:val="left" w:pos="0"/>
        <w:tab w:val="left" w:pos="720"/>
        <w:tab w:val="left" w:pos="1440"/>
        <w:tab w:val="decimal" w:pos="2160"/>
      </w:tabs>
      <w:suppressAutoHyphens/>
      <w:ind w:firstLine="2160"/>
    </w:pPr>
    <w:rPr>
      <w:rFonts w:ascii="Courier New" w:hAnsi="Courier New"/>
      <w:snapToGrid w:val="0"/>
      <w:sz w:val="24"/>
      <w:lang w:val="en-US"/>
    </w:rPr>
  </w:style>
  <w:style w:type="paragraph" w:customStyle="1" w:styleId="Prder40">
    <w:name w:val="PÀÀr. der.[4]"/>
    <w:rsid w:val="002320A2"/>
    <w:pPr>
      <w:tabs>
        <w:tab w:val="left" w:pos="-720"/>
        <w:tab w:val="left" w:pos="0"/>
        <w:tab w:val="left" w:pos="720"/>
        <w:tab w:val="left" w:pos="1440"/>
        <w:tab w:val="left" w:pos="2160"/>
        <w:tab w:val="decimal" w:pos="2880"/>
      </w:tabs>
      <w:suppressAutoHyphens/>
      <w:ind w:firstLine="2880"/>
    </w:pPr>
    <w:rPr>
      <w:rFonts w:ascii="Courier New" w:hAnsi="Courier New"/>
      <w:snapToGrid w:val="0"/>
      <w:sz w:val="24"/>
      <w:lang w:val="en-US"/>
    </w:rPr>
  </w:style>
  <w:style w:type="paragraph" w:customStyle="1" w:styleId="Documento10">
    <w:name w:val="Documento[1]"/>
    <w:rsid w:val="002320A2"/>
    <w:pPr>
      <w:keepNext/>
      <w:keepLines/>
      <w:tabs>
        <w:tab w:val="left" w:pos="-720"/>
      </w:tabs>
      <w:suppressAutoHyphens/>
    </w:pPr>
    <w:rPr>
      <w:rFonts w:ascii="Courier New" w:hAnsi="Courier New"/>
      <w:snapToGrid w:val="0"/>
      <w:sz w:val="24"/>
      <w:lang w:val="en-US"/>
    </w:rPr>
  </w:style>
  <w:style w:type="paragraph" w:customStyle="1" w:styleId="Prder50">
    <w:name w:val="PÀÀr. der.[5]"/>
    <w:rsid w:val="002320A2"/>
    <w:pPr>
      <w:tabs>
        <w:tab w:val="left" w:pos="-720"/>
        <w:tab w:val="left" w:pos="0"/>
        <w:tab w:val="left" w:pos="720"/>
        <w:tab w:val="left" w:pos="1440"/>
        <w:tab w:val="left" w:pos="2160"/>
        <w:tab w:val="left" w:pos="2880"/>
        <w:tab w:val="decimal" w:pos="3600"/>
      </w:tabs>
      <w:suppressAutoHyphens/>
      <w:ind w:firstLine="3600"/>
    </w:pPr>
    <w:rPr>
      <w:rFonts w:ascii="Courier New" w:hAnsi="Courier New"/>
      <w:snapToGrid w:val="0"/>
      <w:sz w:val="24"/>
      <w:lang w:val="en-US"/>
    </w:rPr>
  </w:style>
  <w:style w:type="paragraph" w:customStyle="1" w:styleId="Prder60">
    <w:name w:val="PÀÀr. der.[6]"/>
    <w:rsid w:val="002320A2"/>
    <w:pPr>
      <w:tabs>
        <w:tab w:val="left" w:pos="-720"/>
        <w:tab w:val="left" w:pos="0"/>
        <w:tab w:val="left" w:pos="720"/>
        <w:tab w:val="left" w:pos="1440"/>
        <w:tab w:val="left" w:pos="2160"/>
        <w:tab w:val="left" w:pos="2880"/>
        <w:tab w:val="left" w:pos="3600"/>
        <w:tab w:val="decimal" w:pos="4320"/>
      </w:tabs>
      <w:suppressAutoHyphens/>
      <w:ind w:firstLine="4320"/>
    </w:pPr>
    <w:rPr>
      <w:rFonts w:ascii="Courier New" w:hAnsi="Courier New"/>
      <w:snapToGrid w:val="0"/>
      <w:sz w:val="24"/>
      <w:lang w:val="en-US"/>
    </w:rPr>
  </w:style>
  <w:style w:type="paragraph" w:customStyle="1" w:styleId="Prder70">
    <w:name w:val="PÀÀr. der.[7]"/>
    <w:rsid w:val="002320A2"/>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Courier New" w:hAnsi="Courier New"/>
      <w:snapToGrid w:val="0"/>
      <w:sz w:val="24"/>
      <w:lang w:val="en-US"/>
    </w:rPr>
  </w:style>
  <w:style w:type="paragraph" w:customStyle="1" w:styleId="Prder80">
    <w:name w:val="PÀÀr. der.[8]"/>
    <w:rsid w:val="002320A2"/>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Courier New" w:hAnsi="Courier New"/>
      <w:snapToGrid w:val="0"/>
      <w:sz w:val="24"/>
      <w:lang w:val="en-US"/>
    </w:rPr>
  </w:style>
  <w:style w:type="character" w:customStyle="1" w:styleId="Tcnico20">
    <w:name w:val="TÀ)Àcnico[2]"/>
    <w:basedOn w:val="Fuentedeencabezadopredeter"/>
    <w:rsid w:val="002320A2"/>
    <w:rPr>
      <w:rFonts w:ascii="Courier New" w:hAnsi="Courier New"/>
      <w:noProof w:val="0"/>
      <w:sz w:val="24"/>
      <w:lang w:val="en-US"/>
    </w:rPr>
  </w:style>
  <w:style w:type="character" w:customStyle="1" w:styleId="Tcnico30">
    <w:name w:val="TÀ)Àcnico[3]"/>
    <w:basedOn w:val="Fuentedeencabezadopredeter"/>
    <w:rsid w:val="002320A2"/>
    <w:rPr>
      <w:rFonts w:ascii="Courier New" w:hAnsi="Courier New"/>
      <w:noProof w:val="0"/>
      <w:sz w:val="24"/>
      <w:lang w:val="en-US"/>
    </w:rPr>
  </w:style>
  <w:style w:type="paragraph" w:customStyle="1" w:styleId="Tcnico40">
    <w:name w:val="TÀ)Àcnico[4]"/>
    <w:rsid w:val="002320A2"/>
    <w:pPr>
      <w:tabs>
        <w:tab w:val="left" w:pos="-720"/>
      </w:tabs>
      <w:suppressAutoHyphens/>
    </w:pPr>
    <w:rPr>
      <w:rFonts w:ascii="Courier New" w:hAnsi="Courier New"/>
      <w:b/>
      <w:snapToGrid w:val="0"/>
      <w:sz w:val="24"/>
      <w:lang w:val="en-US"/>
    </w:rPr>
  </w:style>
  <w:style w:type="character" w:customStyle="1" w:styleId="Tcnico10">
    <w:name w:val="TÀ)Àcnico[1]"/>
    <w:basedOn w:val="Fuentedeencabezadopredeter"/>
    <w:rsid w:val="002320A2"/>
    <w:rPr>
      <w:rFonts w:ascii="Courier New" w:hAnsi="Courier New"/>
      <w:noProof w:val="0"/>
      <w:sz w:val="24"/>
      <w:lang w:val="en-US"/>
    </w:rPr>
  </w:style>
  <w:style w:type="paragraph" w:customStyle="1" w:styleId="Document1">
    <w:name w:val="Document 1"/>
    <w:rsid w:val="002320A2"/>
    <w:pPr>
      <w:tabs>
        <w:tab w:val="left" w:pos="-720"/>
        <w:tab w:val="left" w:pos="0"/>
      </w:tabs>
      <w:suppressAutoHyphens/>
      <w:ind w:left="720"/>
    </w:pPr>
    <w:rPr>
      <w:rFonts w:ascii="Courier New" w:hAnsi="Courier New"/>
      <w:snapToGrid w:val="0"/>
      <w:sz w:val="24"/>
      <w:lang w:val="en-US"/>
    </w:rPr>
  </w:style>
  <w:style w:type="paragraph" w:customStyle="1" w:styleId="Document2">
    <w:name w:val="Document 2"/>
    <w:rsid w:val="002320A2"/>
    <w:pPr>
      <w:tabs>
        <w:tab w:val="left" w:pos="-720"/>
        <w:tab w:val="left" w:pos="0"/>
      </w:tabs>
      <w:suppressAutoHyphens/>
      <w:ind w:left="720"/>
    </w:pPr>
    <w:rPr>
      <w:rFonts w:ascii="Courier New" w:hAnsi="Courier New"/>
      <w:snapToGrid w:val="0"/>
      <w:sz w:val="24"/>
      <w:lang w:val="en-US"/>
    </w:rPr>
  </w:style>
  <w:style w:type="paragraph" w:customStyle="1" w:styleId="Document3">
    <w:name w:val="Document 3"/>
    <w:rsid w:val="002320A2"/>
    <w:pPr>
      <w:tabs>
        <w:tab w:val="left" w:pos="-720"/>
        <w:tab w:val="left" w:pos="0"/>
      </w:tabs>
      <w:suppressAutoHyphens/>
      <w:ind w:left="720"/>
    </w:pPr>
    <w:rPr>
      <w:rFonts w:ascii="Courier New" w:hAnsi="Courier New"/>
      <w:snapToGrid w:val="0"/>
      <w:sz w:val="24"/>
      <w:lang w:val="en-US"/>
    </w:rPr>
  </w:style>
  <w:style w:type="paragraph" w:customStyle="1" w:styleId="Document4">
    <w:name w:val="Document 4"/>
    <w:rsid w:val="002320A2"/>
    <w:pPr>
      <w:tabs>
        <w:tab w:val="left" w:pos="-720"/>
        <w:tab w:val="left" w:pos="0"/>
      </w:tabs>
      <w:suppressAutoHyphens/>
      <w:ind w:left="720"/>
    </w:pPr>
    <w:rPr>
      <w:rFonts w:ascii="Courier New" w:hAnsi="Courier New"/>
      <w:snapToGrid w:val="0"/>
      <w:sz w:val="24"/>
      <w:lang w:val="en-US"/>
    </w:rPr>
  </w:style>
  <w:style w:type="paragraph" w:customStyle="1" w:styleId="Document5">
    <w:name w:val="Document 5"/>
    <w:rsid w:val="002320A2"/>
    <w:pPr>
      <w:tabs>
        <w:tab w:val="left" w:pos="-720"/>
        <w:tab w:val="left" w:pos="0"/>
      </w:tabs>
      <w:suppressAutoHyphens/>
      <w:ind w:left="720"/>
    </w:pPr>
    <w:rPr>
      <w:rFonts w:ascii="Courier New" w:hAnsi="Courier New"/>
      <w:snapToGrid w:val="0"/>
      <w:sz w:val="24"/>
      <w:lang w:val="en-US"/>
    </w:rPr>
  </w:style>
  <w:style w:type="paragraph" w:customStyle="1" w:styleId="Document6">
    <w:name w:val="Document 6"/>
    <w:rsid w:val="002320A2"/>
    <w:pPr>
      <w:tabs>
        <w:tab w:val="left" w:pos="-720"/>
        <w:tab w:val="left" w:pos="0"/>
      </w:tabs>
      <w:suppressAutoHyphens/>
      <w:ind w:left="720"/>
    </w:pPr>
    <w:rPr>
      <w:rFonts w:ascii="Courier New" w:hAnsi="Courier New"/>
      <w:snapToGrid w:val="0"/>
      <w:sz w:val="24"/>
      <w:lang w:val="en-US"/>
    </w:rPr>
  </w:style>
  <w:style w:type="paragraph" w:customStyle="1" w:styleId="Document7">
    <w:name w:val="Document 7"/>
    <w:rsid w:val="002320A2"/>
    <w:pPr>
      <w:tabs>
        <w:tab w:val="left" w:pos="-720"/>
        <w:tab w:val="left" w:pos="0"/>
      </w:tabs>
      <w:suppressAutoHyphens/>
      <w:ind w:left="720"/>
    </w:pPr>
    <w:rPr>
      <w:rFonts w:ascii="Courier New" w:hAnsi="Courier New"/>
      <w:snapToGrid w:val="0"/>
      <w:sz w:val="24"/>
      <w:lang w:val="en-US"/>
    </w:rPr>
  </w:style>
  <w:style w:type="paragraph" w:customStyle="1" w:styleId="Document8">
    <w:name w:val="Document 8"/>
    <w:rsid w:val="002320A2"/>
    <w:pPr>
      <w:tabs>
        <w:tab w:val="left" w:pos="-720"/>
        <w:tab w:val="left" w:pos="0"/>
      </w:tabs>
      <w:suppressAutoHyphens/>
      <w:ind w:left="720"/>
    </w:pPr>
    <w:rPr>
      <w:rFonts w:ascii="Courier New" w:hAnsi="Courier New"/>
      <w:snapToGrid w:val="0"/>
      <w:sz w:val="24"/>
      <w:lang w:val="en-US"/>
    </w:rPr>
  </w:style>
  <w:style w:type="paragraph" w:customStyle="1" w:styleId="Tcnico50">
    <w:name w:val="TÀ)Àcnico[5]"/>
    <w:rsid w:val="002320A2"/>
    <w:pPr>
      <w:tabs>
        <w:tab w:val="left" w:pos="-720"/>
      </w:tabs>
      <w:suppressAutoHyphens/>
      <w:ind w:firstLine="720"/>
    </w:pPr>
    <w:rPr>
      <w:rFonts w:ascii="Courier New" w:hAnsi="Courier New"/>
      <w:b/>
      <w:snapToGrid w:val="0"/>
      <w:sz w:val="24"/>
      <w:lang w:val="en-US"/>
    </w:rPr>
  </w:style>
  <w:style w:type="paragraph" w:customStyle="1" w:styleId="Tcnico60">
    <w:name w:val="TÀ)Àcnico[6]"/>
    <w:rsid w:val="002320A2"/>
    <w:pPr>
      <w:tabs>
        <w:tab w:val="left" w:pos="-720"/>
      </w:tabs>
      <w:suppressAutoHyphens/>
      <w:ind w:firstLine="720"/>
    </w:pPr>
    <w:rPr>
      <w:rFonts w:ascii="Courier New" w:hAnsi="Courier New"/>
      <w:b/>
      <w:snapToGrid w:val="0"/>
      <w:sz w:val="24"/>
      <w:lang w:val="en-US"/>
    </w:rPr>
  </w:style>
  <w:style w:type="paragraph" w:customStyle="1" w:styleId="Tcnico70">
    <w:name w:val="TÀ)Àcnico[7]"/>
    <w:rsid w:val="002320A2"/>
    <w:pPr>
      <w:tabs>
        <w:tab w:val="left" w:pos="-720"/>
      </w:tabs>
      <w:suppressAutoHyphens/>
      <w:ind w:firstLine="720"/>
    </w:pPr>
    <w:rPr>
      <w:rFonts w:ascii="Courier New" w:hAnsi="Courier New"/>
      <w:b/>
      <w:snapToGrid w:val="0"/>
      <w:sz w:val="24"/>
      <w:lang w:val="en-US"/>
    </w:rPr>
  </w:style>
  <w:style w:type="paragraph" w:customStyle="1" w:styleId="Tcnico80">
    <w:name w:val="TÀ)Àcnico[8]"/>
    <w:rsid w:val="002320A2"/>
    <w:pPr>
      <w:tabs>
        <w:tab w:val="left" w:pos="-720"/>
      </w:tabs>
      <w:suppressAutoHyphens/>
      <w:ind w:firstLine="720"/>
    </w:pPr>
    <w:rPr>
      <w:rFonts w:ascii="Courier New" w:hAnsi="Courier New"/>
      <w:b/>
      <w:snapToGrid w:val="0"/>
      <w:sz w:val="24"/>
      <w:lang w:val="en-US"/>
    </w:rPr>
  </w:style>
  <w:style w:type="paragraph" w:customStyle="1" w:styleId="Technical1">
    <w:name w:val="Technical 1"/>
    <w:rsid w:val="002320A2"/>
    <w:pPr>
      <w:tabs>
        <w:tab w:val="left" w:pos="-720"/>
        <w:tab w:val="left" w:pos="0"/>
      </w:tabs>
      <w:suppressAutoHyphens/>
      <w:ind w:left="720"/>
    </w:pPr>
    <w:rPr>
      <w:rFonts w:ascii="Courier New" w:hAnsi="Courier New"/>
      <w:snapToGrid w:val="0"/>
      <w:sz w:val="24"/>
      <w:lang w:val="en-US"/>
    </w:rPr>
  </w:style>
  <w:style w:type="paragraph" w:customStyle="1" w:styleId="Technical2">
    <w:name w:val="Technical 2"/>
    <w:rsid w:val="002320A2"/>
    <w:pPr>
      <w:tabs>
        <w:tab w:val="left" w:pos="-720"/>
        <w:tab w:val="left" w:pos="0"/>
      </w:tabs>
      <w:suppressAutoHyphens/>
      <w:ind w:left="720"/>
    </w:pPr>
    <w:rPr>
      <w:rFonts w:ascii="Courier New" w:hAnsi="Courier New"/>
      <w:snapToGrid w:val="0"/>
      <w:sz w:val="24"/>
      <w:lang w:val="en-US"/>
    </w:rPr>
  </w:style>
  <w:style w:type="paragraph" w:customStyle="1" w:styleId="Technical3">
    <w:name w:val="Technical 3"/>
    <w:rsid w:val="002320A2"/>
    <w:pPr>
      <w:tabs>
        <w:tab w:val="left" w:pos="-720"/>
        <w:tab w:val="left" w:pos="0"/>
      </w:tabs>
      <w:suppressAutoHyphens/>
      <w:ind w:left="720"/>
    </w:pPr>
    <w:rPr>
      <w:rFonts w:ascii="Courier New" w:hAnsi="Courier New"/>
      <w:snapToGrid w:val="0"/>
      <w:sz w:val="24"/>
      <w:lang w:val="en-US"/>
    </w:rPr>
  </w:style>
  <w:style w:type="paragraph" w:customStyle="1" w:styleId="Technical4">
    <w:name w:val="Technical 4"/>
    <w:rsid w:val="002320A2"/>
    <w:pPr>
      <w:tabs>
        <w:tab w:val="left" w:pos="-720"/>
        <w:tab w:val="left" w:pos="0"/>
      </w:tabs>
      <w:suppressAutoHyphens/>
      <w:ind w:left="720"/>
    </w:pPr>
    <w:rPr>
      <w:rFonts w:ascii="Courier New" w:hAnsi="Courier New"/>
      <w:snapToGrid w:val="0"/>
      <w:sz w:val="24"/>
      <w:lang w:val="en-US"/>
    </w:rPr>
  </w:style>
  <w:style w:type="paragraph" w:customStyle="1" w:styleId="Technical5">
    <w:name w:val="Technical 5"/>
    <w:rsid w:val="002320A2"/>
    <w:pPr>
      <w:tabs>
        <w:tab w:val="left" w:pos="-720"/>
        <w:tab w:val="left" w:pos="0"/>
      </w:tabs>
      <w:suppressAutoHyphens/>
      <w:ind w:left="720"/>
    </w:pPr>
    <w:rPr>
      <w:rFonts w:ascii="Courier New" w:hAnsi="Courier New"/>
      <w:snapToGrid w:val="0"/>
      <w:sz w:val="24"/>
      <w:lang w:val="en-US"/>
    </w:rPr>
  </w:style>
  <w:style w:type="paragraph" w:customStyle="1" w:styleId="Technical6">
    <w:name w:val="Technical 6"/>
    <w:rsid w:val="002320A2"/>
    <w:pPr>
      <w:tabs>
        <w:tab w:val="left" w:pos="-720"/>
        <w:tab w:val="left" w:pos="0"/>
      </w:tabs>
      <w:suppressAutoHyphens/>
      <w:ind w:left="720"/>
    </w:pPr>
    <w:rPr>
      <w:rFonts w:ascii="Courier New" w:hAnsi="Courier New"/>
      <w:snapToGrid w:val="0"/>
      <w:sz w:val="24"/>
      <w:lang w:val="en-US"/>
    </w:rPr>
  </w:style>
  <w:style w:type="paragraph" w:customStyle="1" w:styleId="Technical7">
    <w:name w:val="Technical 7"/>
    <w:rsid w:val="002320A2"/>
    <w:pPr>
      <w:tabs>
        <w:tab w:val="left" w:pos="-720"/>
        <w:tab w:val="left" w:pos="0"/>
      </w:tabs>
      <w:suppressAutoHyphens/>
      <w:ind w:left="720"/>
    </w:pPr>
    <w:rPr>
      <w:rFonts w:ascii="Courier New" w:hAnsi="Courier New"/>
      <w:snapToGrid w:val="0"/>
      <w:sz w:val="24"/>
      <w:lang w:val="en-US"/>
    </w:rPr>
  </w:style>
  <w:style w:type="paragraph" w:customStyle="1" w:styleId="Technical80">
    <w:name w:val="Technical 8"/>
    <w:rsid w:val="002320A2"/>
    <w:pPr>
      <w:tabs>
        <w:tab w:val="left" w:pos="-720"/>
        <w:tab w:val="left" w:pos="0"/>
      </w:tabs>
      <w:suppressAutoHyphens/>
      <w:ind w:left="720"/>
    </w:pPr>
    <w:rPr>
      <w:rFonts w:ascii="Courier New" w:hAnsi="Courier New"/>
      <w:snapToGrid w:val="0"/>
      <w:sz w:val="24"/>
      <w:lang w:val="en-US"/>
    </w:rPr>
  </w:style>
  <w:style w:type="paragraph" w:customStyle="1" w:styleId="formato">
    <w:name w:val="formato"/>
    <w:rsid w:val="002320A2"/>
    <w:pPr>
      <w:tabs>
        <w:tab w:val="left" w:pos="-720"/>
      </w:tabs>
      <w:suppressAutoHyphens/>
      <w:spacing w:line="360" w:lineRule="auto"/>
    </w:pPr>
    <w:rPr>
      <w:rFonts w:ascii="Courier New" w:hAnsi="Courier New"/>
      <w:snapToGrid w:val="0"/>
      <w:sz w:val="24"/>
      <w:lang w:val="en-US"/>
    </w:rPr>
  </w:style>
  <w:style w:type="paragraph" w:customStyle="1" w:styleId="Document10">
    <w:name w:val="Document[1]"/>
    <w:rsid w:val="002320A2"/>
    <w:pPr>
      <w:tabs>
        <w:tab w:val="left" w:pos="-720"/>
        <w:tab w:val="left" w:pos="0"/>
      </w:tabs>
      <w:suppressAutoHyphens/>
      <w:ind w:left="720"/>
    </w:pPr>
    <w:rPr>
      <w:rFonts w:ascii="Courier New" w:hAnsi="Courier New"/>
      <w:snapToGrid w:val="0"/>
      <w:sz w:val="24"/>
      <w:lang w:val="en-US"/>
    </w:rPr>
  </w:style>
  <w:style w:type="paragraph" w:customStyle="1" w:styleId="Document20">
    <w:name w:val="Document[2]"/>
    <w:rsid w:val="002320A2"/>
    <w:pPr>
      <w:tabs>
        <w:tab w:val="left" w:pos="-720"/>
        <w:tab w:val="left" w:pos="0"/>
      </w:tabs>
      <w:suppressAutoHyphens/>
      <w:ind w:left="720"/>
    </w:pPr>
    <w:rPr>
      <w:rFonts w:ascii="Courier New" w:hAnsi="Courier New"/>
      <w:snapToGrid w:val="0"/>
      <w:sz w:val="24"/>
      <w:lang w:val="en-US"/>
    </w:rPr>
  </w:style>
  <w:style w:type="paragraph" w:customStyle="1" w:styleId="Document30">
    <w:name w:val="Document[3]"/>
    <w:rsid w:val="002320A2"/>
    <w:pPr>
      <w:tabs>
        <w:tab w:val="left" w:pos="-720"/>
        <w:tab w:val="left" w:pos="0"/>
      </w:tabs>
      <w:suppressAutoHyphens/>
      <w:ind w:left="720"/>
    </w:pPr>
    <w:rPr>
      <w:rFonts w:ascii="Courier New" w:hAnsi="Courier New"/>
      <w:snapToGrid w:val="0"/>
      <w:sz w:val="24"/>
      <w:lang w:val="en-US"/>
    </w:rPr>
  </w:style>
  <w:style w:type="paragraph" w:customStyle="1" w:styleId="Document40">
    <w:name w:val="Document[4]"/>
    <w:rsid w:val="002320A2"/>
    <w:pPr>
      <w:tabs>
        <w:tab w:val="left" w:pos="-720"/>
        <w:tab w:val="left" w:pos="0"/>
      </w:tabs>
      <w:suppressAutoHyphens/>
      <w:ind w:left="720"/>
    </w:pPr>
    <w:rPr>
      <w:rFonts w:ascii="Courier New" w:hAnsi="Courier New"/>
      <w:snapToGrid w:val="0"/>
      <w:sz w:val="24"/>
      <w:lang w:val="en-US"/>
    </w:rPr>
  </w:style>
  <w:style w:type="paragraph" w:customStyle="1" w:styleId="Document50">
    <w:name w:val="Document[5]"/>
    <w:rsid w:val="002320A2"/>
    <w:pPr>
      <w:tabs>
        <w:tab w:val="left" w:pos="-720"/>
        <w:tab w:val="left" w:pos="0"/>
      </w:tabs>
      <w:suppressAutoHyphens/>
      <w:ind w:left="720"/>
    </w:pPr>
    <w:rPr>
      <w:rFonts w:ascii="Courier New" w:hAnsi="Courier New"/>
      <w:snapToGrid w:val="0"/>
      <w:sz w:val="24"/>
      <w:lang w:val="en-US"/>
    </w:rPr>
  </w:style>
  <w:style w:type="paragraph" w:customStyle="1" w:styleId="Document60">
    <w:name w:val="Document[6]"/>
    <w:rsid w:val="002320A2"/>
    <w:pPr>
      <w:tabs>
        <w:tab w:val="left" w:pos="-720"/>
        <w:tab w:val="left" w:pos="0"/>
      </w:tabs>
      <w:suppressAutoHyphens/>
      <w:ind w:left="720"/>
    </w:pPr>
    <w:rPr>
      <w:rFonts w:ascii="Courier New" w:hAnsi="Courier New"/>
      <w:snapToGrid w:val="0"/>
      <w:sz w:val="24"/>
      <w:lang w:val="en-US"/>
    </w:rPr>
  </w:style>
  <w:style w:type="paragraph" w:customStyle="1" w:styleId="Document70">
    <w:name w:val="Document[7]"/>
    <w:rsid w:val="002320A2"/>
    <w:pPr>
      <w:tabs>
        <w:tab w:val="left" w:pos="-720"/>
        <w:tab w:val="left" w:pos="0"/>
      </w:tabs>
      <w:suppressAutoHyphens/>
      <w:ind w:left="720"/>
    </w:pPr>
    <w:rPr>
      <w:rFonts w:ascii="Courier New" w:hAnsi="Courier New"/>
      <w:snapToGrid w:val="0"/>
      <w:sz w:val="24"/>
      <w:lang w:val="en-US"/>
    </w:rPr>
  </w:style>
  <w:style w:type="paragraph" w:customStyle="1" w:styleId="Document80">
    <w:name w:val="Document[8]"/>
    <w:rsid w:val="002320A2"/>
    <w:pPr>
      <w:tabs>
        <w:tab w:val="left" w:pos="-720"/>
        <w:tab w:val="left" w:pos="0"/>
      </w:tabs>
      <w:suppressAutoHyphens/>
      <w:ind w:left="720"/>
    </w:pPr>
    <w:rPr>
      <w:rFonts w:ascii="Courier New" w:hAnsi="Courier New"/>
      <w:snapToGrid w:val="0"/>
      <w:sz w:val="24"/>
      <w:lang w:val="en-US"/>
    </w:rPr>
  </w:style>
  <w:style w:type="paragraph" w:customStyle="1" w:styleId="Technical10">
    <w:name w:val="Technical[1]"/>
    <w:rsid w:val="002320A2"/>
    <w:pPr>
      <w:tabs>
        <w:tab w:val="left" w:pos="-720"/>
        <w:tab w:val="left" w:pos="0"/>
      </w:tabs>
      <w:suppressAutoHyphens/>
      <w:ind w:left="720"/>
    </w:pPr>
    <w:rPr>
      <w:rFonts w:ascii="Courier New" w:hAnsi="Courier New"/>
      <w:snapToGrid w:val="0"/>
      <w:sz w:val="24"/>
      <w:lang w:val="en-US"/>
    </w:rPr>
  </w:style>
  <w:style w:type="paragraph" w:customStyle="1" w:styleId="Technical20">
    <w:name w:val="Technical[2]"/>
    <w:rsid w:val="002320A2"/>
    <w:pPr>
      <w:tabs>
        <w:tab w:val="left" w:pos="-720"/>
        <w:tab w:val="left" w:pos="0"/>
      </w:tabs>
      <w:suppressAutoHyphens/>
      <w:ind w:left="720"/>
    </w:pPr>
    <w:rPr>
      <w:rFonts w:ascii="Courier New" w:hAnsi="Courier New"/>
      <w:snapToGrid w:val="0"/>
      <w:sz w:val="24"/>
      <w:lang w:val="en-US"/>
    </w:rPr>
  </w:style>
  <w:style w:type="paragraph" w:customStyle="1" w:styleId="Technical30">
    <w:name w:val="Technical[3]"/>
    <w:rsid w:val="002320A2"/>
    <w:pPr>
      <w:tabs>
        <w:tab w:val="left" w:pos="-720"/>
        <w:tab w:val="left" w:pos="0"/>
      </w:tabs>
      <w:suppressAutoHyphens/>
      <w:ind w:left="720"/>
    </w:pPr>
    <w:rPr>
      <w:rFonts w:ascii="Courier New" w:hAnsi="Courier New"/>
      <w:snapToGrid w:val="0"/>
      <w:sz w:val="24"/>
      <w:lang w:val="en-US"/>
    </w:rPr>
  </w:style>
  <w:style w:type="paragraph" w:customStyle="1" w:styleId="Technical40">
    <w:name w:val="Technical[4]"/>
    <w:rsid w:val="002320A2"/>
    <w:pPr>
      <w:tabs>
        <w:tab w:val="left" w:pos="-720"/>
        <w:tab w:val="left" w:pos="0"/>
      </w:tabs>
      <w:suppressAutoHyphens/>
      <w:ind w:left="720"/>
    </w:pPr>
    <w:rPr>
      <w:rFonts w:ascii="Courier New" w:hAnsi="Courier New"/>
      <w:snapToGrid w:val="0"/>
      <w:sz w:val="24"/>
      <w:lang w:val="en-US"/>
    </w:rPr>
  </w:style>
  <w:style w:type="paragraph" w:customStyle="1" w:styleId="Technical50">
    <w:name w:val="Technical[5]"/>
    <w:rsid w:val="002320A2"/>
    <w:pPr>
      <w:tabs>
        <w:tab w:val="left" w:pos="-720"/>
        <w:tab w:val="left" w:pos="0"/>
      </w:tabs>
      <w:suppressAutoHyphens/>
      <w:ind w:left="720"/>
    </w:pPr>
    <w:rPr>
      <w:rFonts w:ascii="Courier New" w:hAnsi="Courier New"/>
      <w:snapToGrid w:val="0"/>
      <w:sz w:val="24"/>
      <w:lang w:val="en-US"/>
    </w:rPr>
  </w:style>
  <w:style w:type="paragraph" w:customStyle="1" w:styleId="Technical60">
    <w:name w:val="Technical[6]"/>
    <w:rsid w:val="002320A2"/>
    <w:pPr>
      <w:tabs>
        <w:tab w:val="left" w:pos="-720"/>
        <w:tab w:val="left" w:pos="0"/>
      </w:tabs>
      <w:suppressAutoHyphens/>
      <w:ind w:left="720"/>
    </w:pPr>
    <w:rPr>
      <w:rFonts w:ascii="Courier New" w:hAnsi="Courier New"/>
      <w:snapToGrid w:val="0"/>
      <w:sz w:val="24"/>
      <w:lang w:val="en-US"/>
    </w:rPr>
  </w:style>
  <w:style w:type="paragraph" w:customStyle="1" w:styleId="Technical70">
    <w:name w:val="Technical[7]"/>
    <w:rsid w:val="002320A2"/>
    <w:pPr>
      <w:tabs>
        <w:tab w:val="left" w:pos="-720"/>
        <w:tab w:val="left" w:pos="0"/>
      </w:tabs>
      <w:suppressAutoHyphens/>
      <w:ind w:left="720"/>
    </w:pPr>
    <w:rPr>
      <w:rFonts w:ascii="Courier New" w:hAnsi="Courier New"/>
      <w:snapToGrid w:val="0"/>
      <w:sz w:val="24"/>
      <w:lang w:val="en-US"/>
    </w:rPr>
  </w:style>
  <w:style w:type="character" w:customStyle="1" w:styleId="DefaultParagraphFo">
    <w:name w:val="Default Paragraph Fo"/>
    <w:basedOn w:val="Fuentedeencabezadopredeter"/>
    <w:rsid w:val="002320A2"/>
  </w:style>
  <w:style w:type="paragraph" w:customStyle="1" w:styleId="Textodenotaalpie">
    <w:name w:val="Texto de nota al pie"/>
    <w:rsid w:val="002320A2"/>
    <w:pPr>
      <w:tabs>
        <w:tab w:val="left" w:pos="-720"/>
      </w:tabs>
      <w:suppressAutoHyphens/>
    </w:pPr>
    <w:rPr>
      <w:rFonts w:ascii="Courier New" w:hAnsi="Courier New"/>
      <w:snapToGrid w:val="0"/>
    </w:rPr>
  </w:style>
  <w:style w:type="paragraph" w:customStyle="1" w:styleId="Tdc20">
    <w:name w:val="Tdc 2"/>
    <w:rsid w:val="002320A2"/>
    <w:pPr>
      <w:tabs>
        <w:tab w:val="left" w:pos="0"/>
      </w:tabs>
      <w:suppressAutoHyphens/>
    </w:pPr>
    <w:rPr>
      <w:rFonts w:ascii="Courier New" w:hAnsi="Courier New"/>
      <w:snapToGrid w:val="0"/>
      <w:lang w:val="en-US"/>
    </w:rPr>
  </w:style>
  <w:style w:type="paragraph" w:customStyle="1" w:styleId="Tdc30">
    <w:name w:val="Tdc 3"/>
    <w:rsid w:val="002320A2"/>
    <w:pPr>
      <w:tabs>
        <w:tab w:val="left" w:pos="0"/>
      </w:tabs>
      <w:suppressAutoHyphens/>
    </w:pPr>
    <w:rPr>
      <w:rFonts w:ascii="Courier New" w:hAnsi="Courier New"/>
      <w:snapToGrid w:val="0"/>
      <w:lang w:val="en-US"/>
    </w:rPr>
  </w:style>
  <w:style w:type="paragraph" w:customStyle="1" w:styleId="Tdc70">
    <w:name w:val="Tdc 7"/>
    <w:rsid w:val="002320A2"/>
    <w:pPr>
      <w:tabs>
        <w:tab w:val="left" w:pos="-720"/>
      </w:tabs>
      <w:suppressAutoHyphens/>
    </w:pPr>
    <w:rPr>
      <w:rFonts w:ascii="Courier New" w:hAnsi="Courier New"/>
      <w:snapToGrid w:val="0"/>
      <w:lang w:val="en-US"/>
    </w:rPr>
  </w:style>
  <w:style w:type="paragraph" w:customStyle="1" w:styleId="Tdc80">
    <w:name w:val="Tdc 8"/>
    <w:rsid w:val="002320A2"/>
    <w:pPr>
      <w:tabs>
        <w:tab w:val="left" w:pos="0"/>
      </w:tabs>
      <w:suppressAutoHyphens/>
    </w:pPr>
    <w:rPr>
      <w:rFonts w:ascii="Courier New" w:hAnsi="Courier New"/>
      <w:snapToGrid w:val="0"/>
      <w:lang w:val="en-US"/>
    </w:rPr>
  </w:style>
  <w:style w:type="character" w:customStyle="1" w:styleId="EquationCaption1">
    <w:name w:val="_Equation Caption1"/>
    <w:rsid w:val="002320A2"/>
  </w:style>
  <w:style w:type="character" w:customStyle="1" w:styleId="EquationCa">
    <w:name w:val="_Equation Ca"/>
    <w:rsid w:val="002320A2"/>
  </w:style>
  <w:style w:type="paragraph" w:customStyle="1" w:styleId="5">
    <w:name w:val="5"/>
    <w:rsid w:val="002320A2"/>
    <w:pPr>
      <w:tabs>
        <w:tab w:val="left" w:pos="0"/>
        <w:tab w:val="left" w:pos="152"/>
        <w:tab w:val="left" w:pos="872"/>
        <w:tab w:val="left" w:pos="1592"/>
        <w:tab w:val="left" w:pos="2312"/>
        <w:tab w:val="left" w:pos="3032"/>
        <w:tab w:val="left" w:pos="3752"/>
        <w:tab w:val="left" w:pos="4472"/>
        <w:tab w:val="left" w:pos="5192"/>
        <w:tab w:val="left" w:pos="5912"/>
        <w:tab w:val="left" w:pos="6632"/>
        <w:tab w:val="left" w:pos="7352"/>
        <w:tab w:val="left" w:pos="8072"/>
      </w:tabs>
      <w:ind w:left="566"/>
      <w:jc w:val="both"/>
    </w:pPr>
    <w:rPr>
      <w:snapToGrid w:val="0"/>
      <w:sz w:val="24"/>
    </w:rPr>
  </w:style>
  <w:style w:type="paragraph" w:customStyle="1" w:styleId="Textodenot">
    <w:name w:val="Texto de not"/>
    <w:rsid w:val="002320A2"/>
    <w:rPr>
      <w:rFonts w:ascii="Courier" w:hAnsi="Courier"/>
      <w:snapToGrid w:val="0"/>
      <w:sz w:val="24"/>
    </w:rPr>
  </w:style>
  <w:style w:type="paragraph" w:customStyle="1" w:styleId="Textonormal">
    <w:name w:val="Texto normal"/>
    <w:rsid w:val="002320A2"/>
    <w:pPr>
      <w:spacing w:before="140" w:after="140" w:line="288" w:lineRule="auto"/>
      <w:ind w:firstLine="851"/>
      <w:jc w:val="both"/>
    </w:pPr>
    <w:rPr>
      <w:sz w:val="24"/>
      <w:lang w:val="es-ES_tradnl"/>
    </w:rPr>
  </w:style>
  <w:style w:type="paragraph" w:customStyle="1" w:styleId="3Paragraph">
    <w:name w:val="3Paragraph"/>
    <w:rsid w:val="002320A2"/>
    <w:pPr>
      <w:tabs>
        <w:tab w:val="left" w:pos="720"/>
        <w:tab w:val="left" w:pos="1440"/>
        <w:tab w:val="left" w:pos="2160"/>
      </w:tabs>
      <w:ind w:left="2160" w:hanging="720"/>
    </w:pPr>
    <w:rPr>
      <w:snapToGrid w:val="0"/>
      <w:sz w:val="24"/>
      <w:lang w:val="es-MX"/>
    </w:rPr>
  </w:style>
  <w:style w:type="paragraph" w:customStyle="1" w:styleId="ParrafoN">
    <w:name w:val="Parrafo N"/>
    <w:basedOn w:val="Normal"/>
    <w:rsid w:val="002320A2"/>
    <w:pPr>
      <w:widowControl w:val="0"/>
      <w:spacing w:line="360" w:lineRule="auto"/>
      <w:jc w:val="both"/>
    </w:pPr>
    <w:rPr>
      <w:rFonts w:ascii="Arial" w:hAnsi="Arial"/>
      <w:szCs w:val="20"/>
      <w:lang w:eastAsia="en-US"/>
    </w:rPr>
  </w:style>
  <w:style w:type="paragraph" w:customStyle="1" w:styleId="Parrafo">
    <w:name w:val="Parrafo"/>
    <w:basedOn w:val="Normal"/>
    <w:rsid w:val="002320A2"/>
    <w:pPr>
      <w:suppressAutoHyphens/>
      <w:spacing w:line="360" w:lineRule="auto"/>
      <w:ind w:firstLine="709"/>
      <w:jc w:val="both"/>
    </w:pPr>
    <w:rPr>
      <w:szCs w:val="20"/>
      <w:lang w:eastAsia="en-US"/>
    </w:rPr>
  </w:style>
  <w:style w:type="paragraph" w:customStyle="1" w:styleId="TTULOPORTADAS">
    <w:name w:val="TÍTULO PORTADAS"/>
    <w:basedOn w:val="Normal"/>
    <w:next w:val="Normal"/>
    <w:rsid w:val="002320A2"/>
    <w:pPr>
      <w:spacing w:line="360" w:lineRule="auto"/>
      <w:jc w:val="center"/>
    </w:pPr>
    <w:rPr>
      <w:rFonts w:ascii="Stencil" w:hAnsi="Stencil"/>
      <w:b/>
      <w:caps/>
      <w:sz w:val="44"/>
      <w:lang w:eastAsia="en-US"/>
    </w:rPr>
  </w:style>
  <w:style w:type="paragraph" w:customStyle="1" w:styleId="EMPRESA">
    <w:name w:val="EMPRESA"/>
    <w:basedOn w:val="Normal"/>
    <w:next w:val="Normal"/>
    <w:rsid w:val="002320A2"/>
    <w:pPr>
      <w:spacing w:line="360" w:lineRule="auto"/>
      <w:jc w:val="center"/>
    </w:pPr>
    <w:rPr>
      <w:rFonts w:ascii="Stencil" w:hAnsi="Stencil"/>
      <w:b/>
      <w:caps/>
      <w:color w:val="0000FF"/>
      <w:sz w:val="32"/>
      <w:lang w:eastAsia="en-US"/>
    </w:rPr>
  </w:style>
  <w:style w:type="paragraph" w:customStyle="1" w:styleId="PROVISIONAL">
    <w:name w:val="PROVISIONAL"/>
    <w:basedOn w:val="Normal"/>
    <w:next w:val="Normal"/>
    <w:rsid w:val="002320A2"/>
    <w:pPr>
      <w:spacing w:line="360" w:lineRule="auto"/>
      <w:jc w:val="both"/>
    </w:pPr>
    <w:rPr>
      <w:rFonts w:ascii="Bradley Hand ITC" w:hAnsi="Bradley Hand ITC"/>
      <w:b/>
      <w:caps/>
      <w:color w:val="0000FF"/>
      <w:sz w:val="72"/>
      <w:lang w:eastAsia="en-US"/>
    </w:rPr>
  </w:style>
  <w:style w:type="paragraph" w:customStyle="1" w:styleId="timesnormal0">
    <w:name w:val="times normal"/>
    <w:basedOn w:val="Normal"/>
    <w:rsid w:val="002320A2"/>
    <w:pPr>
      <w:spacing w:line="360" w:lineRule="auto"/>
      <w:jc w:val="both"/>
    </w:pPr>
    <w:rPr>
      <w:lang w:eastAsia="en-US"/>
    </w:rPr>
  </w:style>
  <w:style w:type="paragraph" w:customStyle="1" w:styleId="Style2">
    <w:name w:val="Style 2"/>
    <w:basedOn w:val="Normal"/>
    <w:rsid w:val="002320A2"/>
    <w:pPr>
      <w:widowControl w:val="0"/>
      <w:spacing w:line="156" w:lineRule="exact"/>
      <w:ind w:firstLine="216"/>
      <w:jc w:val="both"/>
    </w:pPr>
    <w:rPr>
      <w:noProof/>
      <w:color w:val="000000"/>
      <w:sz w:val="20"/>
      <w:szCs w:val="20"/>
      <w:lang w:eastAsia="en-US"/>
    </w:rPr>
  </w:style>
  <w:style w:type="paragraph" w:customStyle="1" w:styleId="Style1">
    <w:name w:val="Style 1"/>
    <w:basedOn w:val="Normal"/>
    <w:rsid w:val="002320A2"/>
    <w:pPr>
      <w:widowControl w:val="0"/>
      <w:spacing w:line="156" w:lineRule="atLeast"/>
      <w:ind w:firstLine="216"/>
      <w:jc w:val="both"/>
    </w:pPr>
    <w:rPr>
      <w:noProof/>
      <w:color w:val="000000"/>
      <w:sz w:val="20"/>
      <w:szCs w:val="20"/>
      <w:lang w:eastAsia="en-US"/>
    </w:rPr>
  </w:style>
  <w:style w:type="character" w:customStyle="1" w:styleId="TIMESNORMALCarCar">
    <w:name w:val="TIMES NORMAL Car Car"/>
    <w:basedOn w:val="Fuentedeprrafopredeter"/>
    <w:rsid w:val="002320A2"/>
    <w:rPr>
      <w:sz w:val="24"/>
      <w:lang w:val="es-ES_tradnl" w:eastAsia="es-ES" w:bidi="ar-SA"/>
    </w:rPr>
  </w:style>
  <w:style w:type="paragraph" w:customStyle="1" w:styleId="Style3">
    <w:name w:val="Style 3"/>
    <w:basedOn w:val="Normal"/>
    <w:rsid w:val="002320A2"/>
    <w:pPr>
      <w:widowControl w:val="0"/>
      <w:spacing w:before="216"/>
      <w:ind w:left="504" w:right="72"/>
      <w:jc w:val="both"/>
    </w:pPr>
    <w:rPr>
      <w:noProof/>
      <w:color w:val="000000"/>
      <w:sz w:val="20"/>
      <w:szCs w:val="20"/>
      <w:lang w:eastAsia="en-US"/>
    </w:rPr>
  </w:style>
  <w:style w:type="paragraph" w:customStyle="1" w:styleId="Titulodetabla">
    <w:name w:val="Titulo de tabla"/>
    <w:basedOn w:val="Normal"/>
    <w:next w:val="Normal"/>
    <w:rsid w:val="002320A2"/>
    <w:pPr>
      <w:tabs>
        <w:tab w:val="left" w:pos="851"/>
        <w:tab w:val="num" w:pos="1065"/>
      </w:tabs>
      <w:suppressAutoHyphens/>
      <w:spacing w:before="120" w:after="240" w:line="360" w:lineRule="auto"/>
      <w:ind w:left="1065" w:hanging="705"/>
      <w:jc w:val="center"/>
    </w:pPr>
    <w:rPr>
      <w:rFonts w:ascii="Arial Negrita" w:hAnsi="Arial Negrita"/>
      <w:b/>
      <w:sz w:val="20"/>
      <w:szCs w:val="20"/>
      <w:lang w:eastAsia="en-US"/>
    </w:rPr>
  </w:style>
  <w:style w:type="paragraph" w:customStyle="1" w:styleId="EstiloTtulo1Antes0ptoDespus0pto">
    <w:name w:val="Estilo Título 1 + Antes:  0 pto Después:  0 pto"/>
    <w:basedOn w:val="Ttulo1"/>
    <w:rsid w:val="002320A2"/>
    <w:pPr>
      <w:keepNext/>
      <w:widowControl/>
      <w:tabs>
        <w:tab w:val="num" w:pos="709"/>
        <w:tab w:val="left" w:pos="1134"/>
      </w:tabs>
      <w:suppressAutoHyphens/>
      <w:ind w:left="709" w:hanging="709"/>
      <w:jc w:val="both"/>
    </w:pPr>
    <w:rPr>
      <w:rFonts w:ascii="Times New Roman" w:hAnsi="Times New Roman"/>
      <w:bCs/>
      <w:caps/>
      <w:noProof w:val="0"/>
      <w:kern w:val="0"/>
      <w:sz w:val="24"/>
      <w:szCs w:val="28"/>
      <w:lang w:val="es-ES_tradnl"/>
    </w:rPr>
  </w:style>
  <w:style w:type="paragraph" w:customStyle="1" w:styleId="Ttulo1GIF">
    <w:name w:val="Título 1 GIF"/>
    <w:basedOn w:val="EstiloTtulo1Antes0ptoDespus0pto"/>
    <w:next w:val="NormalGIF"/>
    <w:rsid w:val="002320A2"/>
    <w:rPr>
      <w:u w:val="single"/>
    </w:rPr>
  </w:style>
  <w:style w:type="paragraph" w:customStyle="1" w:styleId="Ttulo2GIF">
    <w:name w:val="Título 2 GIF"/>
    <w:basedOn w:val="Ttulo2"/>
    <w:next w:val="NormalGIF"/>
    <w:rsid w:val="002320A2"/>
    <w:pPr>
      <w:keepNext w:val="0"/>
      <w:tabs>
        <w:tab w:val="left" w:pos="709"/>
      </w:tabs>
      <w:suppressAutoHyphens/>
      <w:ind w:left="720" w:hanging="360"/>
      <w:jc w:val="both"/>
    </w:pPr>
    <w:rPr>
      <w:rFonts w:ascii="Times New Roman" w:hAnsi="Times New Roman"/>
      <w:caps/>
      <w:sz w:val="24"/>
      <w:lang w:val="es-ES_tradnl"/>
    </w:rPr>
  </w:style>
  <w:style w:type="paragraph" w:customStyle="1" w:styleId="Ttulo6GIF">
    <w:name w:val="Título 6 GIF"/>
    <w:basedOn w:val="Ttulo6"/>
    <w:next w:val="NormalGIF"/>
    <w:rsid w:val="002320A2"/>
    <w:pPr>
      <w:numPr>
        <w:ilvl w:val="0"/>
        <w:numId w:val="0"/>
      </w:numPr>
      <w:tabs>
        <w:tab w:val="num" w:pos="1440"/>
      </w:tabs>
      <w:suppressAutoHyphens/>
      <w:spacing w:before="0" w:after="0" w:line="360" w:lineRule="auto"/>
      <w:ind w:left="1276" w:hanging="1276"/>
      <w:jc w:val="both"/>
    </w:pPr>
    <w:rPr>
      <w:rFonts w:ascii="Times New Roman" w:hAnsi="Times New Roman"/>
      <w:b/>
      <w:i w:val="0"/>
      <w:sz w:val="24"/>
      <w:szCs w:val="22"/>
    </w:rPr>
  </w:style>
  <w:style w:type="paragraph" w:customStyle="1" w:styleId="Ttulo7GIF">
    <w:name w:val="Título 7 GIF"/>
    <w:basedOn w:val="Ttulo6GIF"/>
    <w:next w:val="NormalGIF"/>
    <w:rsid w:val="002320A2"/>
    <w:pPr>
      <w:tabs>
        <w:tab w:val="clear" w:pos="1440"/>
        <w:tab w:val="num" w:pos="1800"/>
      </w:tabs>
      <w:ind w:left="1559" w:hanging="1559"/>
    </w:pPr>
  </w:style>
  <w:style w:type="paragraph" w:customStyle="1" w:styleId="Titulo3GIF">
    <w:name w:val="Titulo 3 GIF"/>
    <w:basedOn w:val="NormalGIF"/>
    <w:next w:val="NormalGIF"/>
    <w:autoRedefine/>
    <w:rsid w:val="002320A2"/>
    <w:pPr>
      <w:tabs>
        <w:tab w:val="left" w:pos="1134"/>
      </w:tabs>
      <w:suppressAutoHyphens w:val="0"/>
    </w:pPr>
    <w:rPr>
      <w:rFonts w:ascii="Arial" w:hAnsi="Arial" w:cs="Arial"/>
      <w:b/>
      <w:sz w:val="22"/>
      <w:szCs w:val="22"/>
    </w:rPr>
  </w:style>
  <w:style w:type="paragraph" w:customStyle="1" w:styleId="EncabezadoencabezadoEncabezado2">
    <w:name w:val="Encabezado.encabezado.Encabezado 2"/>
    <w:basedOn w:val="Normal"/>
    <w:rsid w:val="002320A2"/>
    <w:pPr>
      <w:tabs>
        <w:tab w:val="center" w:pos="4252"/>
        <w:tab w:val="right" w:pos="8504"/>
      </w:tabs>
      <w:spacing w:line="312" w:lineRule="auto"/>
      <w:jc w:val="both"/>
    </w:pPr>
    <w:rPr>
      <w:szCs w:val="20"/>
      <w:lang w:eastAsia="en-US"/>
    </w:rPr>
  </w:style>
  <w:style w:type="paragraph" w:customStyle="1" w:styleId="Estndar">
    <w:name w:val="Estándar"/>
    <w:basedOn w:val="Normal"/>
    <w:rsid w:val="002320A2"/>
    <w:rPr>
      <w:rFonts w:ascii="Courier PS" w:hAnsi="Courier PS"/>
      <w:sz w:val="20"/>
      <w:szCs w:val="20"/>
      <w:lang w:val="en-GB" w:eastAsia="en-US"/>
    </w:rPr>
  </w:style>
  <w:style w:type="paragraph" w:customStyle="1" w:styleId="viestrella">
    <w:name w:val="viñestrella"/>
    <w:basedOn w:val="Normal"/>
    <w:rsid w:val="002320A2"/>
    <w:pPr>
      <w:tabs>
        <w:tab w:val="left" w:pos="2552"/>
      </w:tabs>
      <w:spacing w:after="160" w:line="288" w:lineRule="auto"/>
      <w:ind w:left="1985" w:hanging="567"/>
      <w:jc w:val="both"/>
    </w:pPr>
    <w:rPr>
      <w:sz w:val="25"/>
      <w:szCs w:val="20"/>
      <w:lang w:val="es-ES_tradnl" w:eastAsia="en-US"/>
    </w:rPr>
  </w:style>
  <w:style w:type="paragraph" w:customStyle="1" w:styleId="vieraya">
    <w:name w:val="viñeraya"/>
    <w:basedOn w:val="Normal"/>
    <w:rsid w:val="002320A2"/>
    <w:pPr>
      <w:tabs>
        <w:tab w:val="left" w:pos="2552"/>
      </w:tabs>
      <w:spacing w:after="240" w:line="288" w:lineRule="auto"/>
      <w:ind w:left="1134" w:hanging="567"/>
      <w:jc w:val="both"/>
    </w:pPr>
    <w:rPr>
      <w:sz w:val="25"/>
      <w:szCs w:val="20"/>
      <w:lang w:val="es-ES_tradnl" w:eastAsia="en-US"/>
    </w:rPr>
  </w:style>
  <w:style w:type="paragraph" w:customStyle="1" w:styleId="viepunto">
    <w:name w:val="viñepunto"/>
    <w:basedOn w:val="Normal"/>
    <w:rsid w:val="002320A2"/>
    <w:pPr>
      <w:spacing w:after="180" w:line="288" w:lineRule="auto"/>
      <w:ind w:left="1021" w:hanging="454"/>
      <w:jc w:val="both"/>
    </w:pPr>
    <w:rPr>
      <w:sz w:val="25"/>
      <w:szCs w:val="20"/>
      <w:lang w:val="es-ES_tradnl" w:eastAsia="en-US"/>
    </w:rPr>
  </w:style>
  <w:style w:type="paragraph" w:customStyle="1" w:styleId="Ttulo50">
    <w:name w:val="Título5"/>
    <w:basedOn w:val="Ttulo4"/>
    <w:next w:val="comun"/>
    <w:rsid w:val="002320A2"/>
    <w:pPr>
      <w:spacing w:before="300" w:after="240"/>
      <w:ind w:left="567"/>
    </w:pPr>
    <w:rPr>
      <w:i w:val="0"/>
      <w:sz w:val="25"/>
      <w:lang w:val="es-ES_tradnl"/>
    </w:rPr>
  </w:style>
  <w:style w:type="paragraph" w:customStyle="1" w:styleId="Paco12-5">
    <w:name w:val="Paco12-5"/>
    <w:basedOn w:val="Normal"/>
    <w:rsid w:val="002320A2"/>
    <w:pPr>
      <w:widowControl w:val="0"/>
      <w:jc w:val="both"/>
    </w:pPr>
    <w:rPr>
      <w:snapToGrid w:val="0"/>
      <w:sz w:val="25"/>
      <w:szCs w:val="20"/>
      <w:lang w:val="es-ES_tradnl" w:eastAsia="en-US"/>
    </w:rPr>
  </w:style>
  <w:style w:type="paragraph" w:customStyle="1" w:styleId="Normalyo">
    <w:name w:val="Normalyo"/>
    <w:basedOn w:val="Normal"/>
    <w:rsid w:val="002320A2"/>
    <w:pPr>
      <w:widowControl w:val="0"/>
      <w:spacing w:before="120" w:after="120" w:line="360" w:lineRule="auto"/>
      <w:jc w:val="both"/>
    </w:pPr>
    <w:rPr>
      <w:snapToGrid w:val="0"/>
      <w:szCs w:val="20"/>
      <w:lang w:val="es-ES_tradnl" w:eastAsia="en-US"/>
    </w:rPr>
  </w:style>
  <w:style w:type="paragraph" w:customStyle="1" w:styleId="TextoindependientewKPbtoD">
    <w:name w:val="Texto independientewKPbto%/D"/>
    <w:basedOn w:val="Normal"/>
    <w:rsid w:val="002320A2"/>
    <w:pPr>
      <w:widowControl w:val="0"/>
      <w:tabs>
        <w:tab w:val="left" w:pos="0"/>
        <w:tab w:val="left" w:pos="851"/>
        <w:tab w:val="left" w:pos="1559"/>
        <w:tab w:val="left" w:pos="2267"/>
        <w:tab w:val="left" w:pos="2975"/>
        <w:tab w:val="left" w:pos="3683"/>
        <w:tab w:val="left" w:pos="4391"/>
        <w:tab w:val="left" w:pos="5099"/>
        <w:tab w:val="left" w:pos="5807"/>
        <w:tab w:val="left" w:pos="6515"/>
        <w:tab w:val="left" w:pos="7223"/>
        <w:tab w:val="left" w:pos="7931"/>
        <w:tab w:val="left" w:pos="8639"/>
      </w:tabs>
      <w:suppressAutoHyphens/>
      <w:spacing w:line="312" w:lineRule="auto"/>
      <w:jc w:val="both"/>
    </w:pPr>
    <w:rPr>
      <w:rFonts w:ascii="CG Times (W1)" w:hAnsi="CG Times (W1)"/>
      <w:snapToGrid w:val="0"/>
      <w:spacing w:val="-3"/>
      <w:szCs w:val="20"/>
      <w:lang w:val="es-ES_tradnl" w:eastAsia="en-US"/>
    </w:rPr>
  </w:style>
  <w:style w:type="paragraph" w:customStyle="1" w:styleId="vieta11">
    <w:name w:val="viñeta1"/>
    <w:basedOn w:val="Listaconvietas2"/>
    <w:next w:val="Normal"/>
    <w:autoRedefine/>
    <w:rsid w:val="002320A2"/>
    <w:pPr>
      <w:tabs>
        <w:tab w:val="clear" w:pos="643"/>
        <w:tab w:val="left" w:pos="1134"/>
        <w:tab w:val="left" w:pos="1418"/>
      </w:tabs>
      <w:overflowPunct/>
      <w:autoSpaceDE/>
      <w:autoSpaceDN/>
      <w:adjustRightInd/>
      <w:spacing w:line="312" w:lineRule="auto"/>
      <w:ind w:left="0" w:firstLine="0"/>
      <w:jc w:val="center"/>
      <w:textAlignment w:val="auto"/>
    </w:pPr>
    <w:rPr>
      <w:sz w:val="15"/>
    </w:rPr>
  </w:style>
  <w:style w:type="paragraph" w:customStyle="1" w:styleId="font0">
    <w:name w:val="font0"/>
    <w:basedOn w:val="Normal"/>
    <w:rsid w:val="002320A2"/>
    <w:pPr>
      <w:spacing w:before="100" w:after="100"/>
    </w:pPr>
    <w:rPr>
      <w:rFonts w:ascii="Arial" w:hAnsi="Arial"/>
      <w:sz w:val="20"/>
      <w:szCs w:val="20"/>
      <w:lang w:eastAsia="en-US"/>
    </w:rPr>
  </w:style>
  <w:style w:type="paragraph" w:customStyle="1" w:styleId="Textoconsangria">
    <w:name w:val="Texto con sangria"/>
    <w:basedOn w:val="Normal"/>
    <w:next w:val="Normal"/>
    <w:rsid w:val="002320A2"/>
    <w:pPr>
      <w:tabs>
        <w:tab w:val="left" w:pos="1560"/>
      </w:tabs>
      <w:spacing w:line="264" w:lineRule="auto"/>
      <w:ind w:left="1134" w:right="1134"/>
      <w:jc w:val="both"/>
    </w:pPr>
    <w:rPr>
      <w:i/>
      <w:szCs w:val="20"/>
      <w:lang w:eastAsia="en-US"/>
    </w:rPr>
  </w:style>
  <w:style w:type="paragraph" w:customStyle="1" w:styleId="Encabezadoencabezado">
    <w:name w:val="Encabezado.encabezado"/>
    <w:basedOn w:val="Normal"/>
    <w:rsid w:val="002320A2"/>
    <w:pPr>
      <w:tabs>
        <w:tab w:val="center" w:pos="4252"/>
        <w:tab w:val="right" w:pos="8504"/>
      </w:tabs>
      <w:spacing w:after="240" w:line="360" w:lineRule="auto"/>
      <w:jc w:val="both"/>
    </w:pPr>
    <w:rPr>
      <w:rFonts w:ascii="Arial" w:hAnsi="Arial"/>
      <w:snapToGrid w:val="0"/>
      <w:sz w:val="23"/>
      <w:szCs w:val="20"/>
      <w:lang w:val="es-ES_tradnl" w:eastAsia="en-US"/>
    </w:rPr>
  </w:style>
  <w:style w:type="paragraph" w:customStyle="1" w:styleId="Piedepginapiedepgina">
    <w:name w:val="Pie de página.pie de página"/>
    <w:basedOn w:val="Normal"/>
    <w:rsid w:val="002320A2"/>
    <w:pPr>
      <w:tabs>
        <w:tab w:val="center" w:pos="4252"/>
        <w:tab w:val="right" w:pos="8504"/>
      </w:tabs>
      <w:spacing w:line="312" w:lineRule="auto"/>
      <w:jc w:val="both"/>
    </w:pPr>
    <w:rPr>
      <w:szCs w:val="20"/>
      <w:lang w:eastAsia="en-US"/>
    </w:rPr>
  </w:style>
  <w:style w:type="paragraph" w:customStyle="1" w:styleId="SangradetindependienteTextoCuadros">
    <w:name w:val="Sangría de t. independiente.Texto Cuadros"/>
    <w:basedOn w:val="Normal"/>
    <w:rsid w:val="002320A2"/>
    <w:pPr>
      <w:tabs>
        <w:tab w:val="left" w:pos="851"/>
      </w:tabs>
      <w:spacing w:line="312" w:lineRule="auto"/>
      <w:jc w:val="both"/>
    </w:pPr>
    <w:rPr>
      <w:rFonts w:ascii="CG Times" w:hAnsi="CG Times"/>
      <w:szCs w:val="20"/>
      <w:lang w:eastAsia="en-US"/>
    </w:rPr>
  </w:style>
  <w:style w:type="paragraph" w:customStyle="1" w:styleId="EncabezadoencabezadoEncabezado21">
    <w:name w:val="Encabezado.encabezado.Encabezado 21"/>
    <w:basedOn w:val="Normal"/>
    <w:rsid w:val="002320A2"/>
    <w:pPr>
      <w:tabs>
        <w:tab w:val="center" w:pos="4252"/>
        <w:tab w:val="right" w:pos="8504"/>
      </w:tabs>
      <w:spacing w:line="312" w:lineRule="auto"/>
      <w:jc w:val="both"/>
    </w:pPr>
    <w:rPr>
      <w:szCs w:val="20"/>
      <w:lang w:eastAsia="en-US"/>
    </w:rPr>
  </w:style>
  <w:style w:type="paragraph" w:customStyle="1" w:styleId="Portada">
    <w:name w:val="Portada"/>
    <w:basedOn w:val="Normal"/>
    <w:rsid w:val="002320A2"/>
    <w:pPr>
      <w:tabs>
        <w:tab w:val="left" w:pos="0"/>
      </w:tabs>
      <w:suppressAutoHyphens/>
      <w:spacing w:line="312" w:lineRule="auto"/>
      <w:jc w:val="center"/>
    </w:pPr>
    <w:rPr>
      <w:b/>
      <w:spacing w:val="-3"/>
      <w:sz w:val="44"/>
      <w:szCs w:val="20"/>
      <w:lang w:val="es-ES_tradnl" w:eastAsia="en-US"/>
    </w:rPr>
  </w:style>
  <w:style w:type="paragraph" w:customStyle="1" w:styleId="TituloFigura">
    <w:name w:val="Titulo Figura"/>
    <w:basedOn w:val="Normal"/>
    <w:next w:val="Normal"/>
    <w:rsid w:val="002320A2"/>
    <w:pPr>
      <w:tabs>
        <w:tab w:val="num" w:pos="567"/>
        <w:tab w:val="num" w:pos="1080"/>
        <w:tab w:val="left" w:pos="1134"/>
      </w:tabs>
      <w:spacing w:after="240" w:line="312" w:lineRule="auto"/>
      <w:jc w:val="center"/>
    </w:pPr>
    <w:rPr>
      <w:rFonts w:ascii="Arial" w:hAnsi="Arial"/>
      <w:b/>
      <w:snapToGrid w:val="0"/>
      <w:sz w:val="22"/>
      <w:szCs w:val="20"/>
      <w:lang w:val="es-ES_tradnl" w:eastAsia="en-US"/>
    </w:rPr>
  </w:style>
  <w:style w:type="paragraph" w:customStyle="1" w:styleId="Figura">
    <w:name w:val="Figura"/>
    <w:basedOn w:val="Titulodecuadro"/>
    <w:autoRedefine/>
    <w:rsid w:val="002320A2"/>
    <w:pPr>
      <w:tabs>
        <w:tab w:val="clear" w:pos="1191"/>
        <w:tab w:val="num" w:pos="567"/>
        <w:tab w:val="num" w:pos="1800"/>
      </w:tabs>
      <w:ind w:left="0" w:firstLine="0"/>
    </w:pPr>
    <w:rPr>
      <w:noProof/>
      <w:snapToGrid/>
    </w:rPr>
  </w:style>
  <w:style w:type="paragraph" w:customStyle="1" w:styleId="Titulodecuadro">
    <w:name w:val="Titulo de cuadro"/>
    <w:basedOn w:val="Normal"/>
    <w:next w:val="Normal"/>
    <w:autoRedefine/>
    <w:rsid w:val="002320A2"/>
    <w:pPr>
      <w:tabs>
        <w:tab w:val="num" w:pos="1191"/>
      </w:tabs>
      <w:spacing w:after="240" w:line="312" w:lineRule="auto"/>
      <w:ind w:left="1191" w:hanging="1191"/>
      <w:jc w:val="center"/>
    </w:pPr>
    <w:rPr>
      <w:rFonts w:ascii="Arial" w:hAnsi="Arial"/>
      <w:b/>
      <w:snapToGrid w:val="0"/>
      <w:sz w:val="22"/>
      <w:szCs w:val="20"/>
      <w:lang w:val="fr-FR" w:eastAsia="en-US"/>
    </w:rPr>
  </w:style>
  <w:style w:type="paragraph" w:customStyle="1" w:styleId="vietas">
    <w:name w:val="viñetas"/>
    <w:basedOn w:val="Normal"/>
    <w:next w:val="Normal"/>
    <w:rsid w:val="002320A2"/>
    <w:pPr>
      <w:tabs>
        <w:tab w:val="left" w:pos="1134"/>
      </w:tabs>
      <w:spacing w:after="240" w:line="312" w:lineRule="auto"/>
      <w:jc w:val="both"/>
    </w:pPr>
    <w:rPr>
      <w:rFonts w:ascii="Arial" w:hAnsi="Arial"/>
      <w:b/>
      <w:snapToGrid w:val="0"/>
      <w:sz w:val="23"/>
      <w:szCs w:val="20"/>
      <w:lang w:val="es-ES_tradnl" w:eastAsia="en-US"/>
    </w:rPr>
  </w:style>
  <w:style w:type="paragraph" w:customStyle="1" w:styleId="Blockquote">
    <w:name w:val="Blockquote"/>
    <w:basedOn w:val="Normal"/>
    <w:rsid w:val="002320A2"/>
    <w:pPr>
      <w:spacing w:before="100" w:after="100"/>
      <w:ind w:left="360" w:right="360"/>
    </w:pPr>
    <w:rPr>
      <w:snapToGrid w:val="0"/>
      <w:szCs w:val="20"/>
      <w:lang w:eastAsia="en-US"/>
    </w:rPr>
  </w:style>
  <w:style w:type="character" w:customStyle="1" w:styleId="primera1">
    <w:name w:val="primera1"/>
    <w:basedOn w:val="Fuentedeprrafopredeter"/>
    <w:rsid w:val="002320A2"/>
    <w:rPr>
      <w:b/>
      <w:bCs/>
      <w:color w:val="FF0000"/>
      <w:sz w:val="32"/>
      <w:szCs w:val="32"/>
    </w:rPr>
  </w:style>
  <w:style w:type="paragraph" w:customStyle="1" w:styleId="APENDICE0">
    <w:name w:val="APENDICE"/>
    <w:basedOn w:val="INDICE1"/>
    <w:rsid w:val="002320A2"/>
    <w:pPr>
      <w:spacing w:line="360" w:lineRule="auto"/>
      <w:ind w:left="709" w:hanging="709"/>
      <w:jc w:val="both"/>
    </w:pPr>
    <w:rPr>
      <w:caps w:val="0"/>
      <w:sz w:val="36"/>
      <w:lang w:val="es-ES"/>
    </w:rPr>
  </w:style>
  <w:style w:type="paragraph" w:customStyle="1" w:styleId="ARIALNORMAL12">
    <w:name w:val="ARIAL NORMAL 12"/>
    <w:basedOn w:val="ARIALNORMAL"/>
    <w:rsid w:val="002320A2"/>
    <w:rPr>
      <w:sz w:val="24"/>
      <w:szCs w:val="24"/>
    </w:rPr>
  </w:style>
  <w:style w:type="paragraph" w:customStyle="1" w:styleId="INDICE112">
    <w:name w:val="INDICE1 12"/>
    <w:basedOn w:val="INDICE1"/>
    <w:next w:val="ARIALNORMAL12"/>
    <w:rsid w:val="002320A2"/>
    <w:pPr>
      <w:tabs>
        <w:tab w:val="left" w:pos="709"/>
      </w:tabs>
      <w:ind w:left="709" w:hanging="709"/>
      <w:jc w:val="both"/>
    </w:pPr>
    <w:rPr>
      <w:rFonts w:ascii="Arial" w:hAnsi="Arial" w:cs="Arial"/>
      <w:bCs/>
      <w:caps w:val="0"/>
      <w:sz w:val="24"/>
      <w:szCs w:val="24"/>
    </w:rPr>
  </w:style>
  <w:style w:type="paragraph" w:customStyle="1" w:styleId="INDICE312">
    <w:name w:val="INDICE 3 12"/>
    <w:basedOn w:val="INDICE3"/>
    <w:next w:val="ARIALNORMAL12"/>
    <w:rsid w:val="002320A2"/>
    <w:pPr>
      <w:tabs>
        <w:tab w:val="left" w:pos="709"/>
      </w:tabs>
      <w:spacing w:before="0" w:after="0"/>
      <w:ind w:left="709" w:hanging="709"/>
      <w:outlineLvl w:val="9"/>
    </w:pPr>
    <w:rPr>
      <w:bCs/>
      <w:sz w:val="24"/>
      <w:szCs w:val="24"/>
    </w:rPr>
  </w:style>
  <w:style w:type="paragraph" w:customStyle="1" w:styleId="INDICE412">
    <w:name w:val="INDICE4 12"/>
    <w:basedOn w:val="INDICE4"/>
    <w:next w:val="ARIALNORMAL12"/>
    <w:rsid w:val="002320A2"/>
    <w:pPr>
      <w:ind w:left="992" w:hanging="992"/>
      <w:jc w:val="both"/>
    </w:pPr>
    <w:rPr>
      <w:sz w:val="24"/>
      <w:szCs w:val="24"/>
      <w:lang w:eastAsia="es-ES_tradnl"/>
    </w:rPr>
  </w:style>
  <w:style w:type="paragraph" w:customStyle="1" w:styleId="Flecha">
    <w:name w:val="Flecha"/>
    <w:basedOn w:val="Normal"/>
    <w:rsid w:val="002320A2"/>
    <w:pPr>
      <w:keepNext/>
      <w:numPr>
        <w:numId w:val="12"/>
      </w:numPr>
      <w:spacing w:before="240" w:after="120" w:line="360" w:lineRule="auto"/>
      <w:jc w:val="both"/>
    </w:pPr>
    <w:rPr>
      <w:rFonts w:ascii="Arial" w:hAnsi="Arial"/>
      <w:b/>
      <w:i/>
      <w:sz w:val="22"/>
      <w:szCs w:val="20"/>
      <w:lang w:eastAsia="en-US"/>
    </w:rPr>
  </w:style>
  <w:style w:type="character" w:customStyle="1" w:styleId="txt07gr3">
    <w:name w:val="txt07gr3"/>
    <w:basedOn w:val="Fuentedeprrafopredeter"/>
    <w:rsid w:val="002320A2"/>
  </w:style>
  <w:style w:type="character" w:customStyle="1" w:styleId="telefono">
    <w:name w:val="telefono"/>
    <w:basedOn w:val="Fuentedeprrafopredeter"/>
    <w:rsid w:val="002320A2"/>
  </w:style>
  <w:style w:type="character" w:customStyle="1" w:styleId="txt08gr3">
    <w:name w:val="txt08gr3"/>
    <w:basedOn w:val="Fuentedeprrafopredeter"/>
    <w:rsid w:val="002320A2"/>
  </w:style>
  <w:style w:type="character" w:customStyle="1" w:styleId="tel">
    <w:name w:val="tel"/>
    <w:basedOn w:val="Fuentedeprrafopredeter"/>
    <w:rsid w:val="002320A2"/>
  </w:style>
  <w:style w:type="paragraph" w:customStyle="1" w:styleId="Estilo1">
    <w:name w:val="Estilo1"/>
    <w:basedOn w:val="ARIALNORMAL"/>
    <w:qFormat/>
    <w:rsid w:val="00FD4C28"/>
    <w:rPr>
      <w:sz w:val="24"/>
    </w:rPr>
  </w:style>
  <w:style w:type="paragraph" w:customStyle="1" w:styleId="NORMAL12">
    <w:name w:val="NORMAL12"/>
    <w:basedOn w:val="Estilo1"/>
    <w:link w:val="NORMAL12Car"/>
    <w:qFormat/>
    <w:rsid w:val="00FD4C28"/>
    <w:rPr>
      <w:szCs w:val="24"/>
    </w:rPr>
  </w:style>
  <w:style w:type="character" w:customStyle="1" w:styleId="NORMAL12Car">
    <w:name w:val="NORMAL12 Car"/>
    <w:basedOn w:val="Fuentedeprrafopredeter"/>
    <w:link w:val="NORMAL12"/>
    <w:locked/>
    <w:rsid w:val="008C1EC2"/>
    <w:rPr>
      <w:rFonts w:ascii="Arial" w:hAnsi="Arial" w:cs="Arial"/>
      <w:sz w:val="24"/>
      <w:szCs w:val="24"/>
      <w:lang w:val="es-ES_tradnl"/>
    </w:rPr>
  </w:style>
  <w:style w:type="paragraph" w:customStyle="1" w:styleId="TITU1">
    <w:name w:val="TITU1"/>
    <w:basedOn w:val="Ttulo1"/>
    <w:next w:val="NORMAL12"/>
    <w:qFormat/>
    <w:rsid w:val="009157A2"/>
    <w:pPr>
      <w:keepNext/>
      <w:pageBreakBefore/>
      <w:jc w:val="both"/>
    </w:pPr>
    <w:rPr>
      <w:sz w:val="24"/>
      <w:szCs w:val="24"/>
    </w:rPr>
  </w:style>
  <w:style w:type="paragraph" w:customStyle="1" w:styleId="TITU2">
    <w:name w:val="TITU2"/>
    <w:basedOn w:val="Ttulo2"/>
    <w:next w:val="NORMAL12"/>
    <w:autoRedefine/>
    <w:qFormat/>
    <w:rsid w:val="000313DD"/>
    <w:pPr>
      <w:tabs>
        <w:tab w:val="center" w:pos="851"/>
      </w:tabs>
      <w:spacing w:before="240" w:after="120"/>
      <w:jc w:val="both"/>
    </w:pPr>
    <w:rPr>
      <w:sz w:val="24"/>
      <w:szCs w:val="24"/>
    </w:rPr>
  </w:style>
  <w:style w:type="paragraph" w:customStyle="1" w:styleId="TITU3">
    <w:name w:val="TITU3"/>
    <w:basedOn w:val="Ttulo2"/>
    <w:next w:val="NORMAL12"/>
    <w:qFormat/>
    <w:rsid w:val="002F7B8E"/>
    <w:pPr>
      <w:numPr>
        <w:ilvl w:val="2"/>
        <w:numId w:val="13"/>
      </w:numPr>
      <w:tabs>
        <w:tab w:val="left" w:pos="851"/>
      </w:tabs>
      <w:spacing w:before="120" w:after="120"/>
      <w:jc w:val="both"/>
      <w:outlineLvl w:val="2"/>
    </w:pPr>
    <w:rPr>
      <w:i/>
      <w:sz w:val="24"/>
      <w:szCs w:val="24"/>
    </w:rPr>
  </w:style>
  <w:style w:type="paragraph" w:customStyle="1" w:styleId="TITU4">
    <w:name w:val="TITU4"/>
    <w:basedOn w:val="TITU3"/>
    <w:next w:val="NORMAL12"/>
    <w:qFormat/>
    <w:rsid w:val="00205F6F"/>
    <w:pPr>
      <w:numPr>
        <w:ilvl w:val="3"/>
      </w:numPr>
      <w:outlineLvl w:val="3"/>
    </w:pPr>
    <w:rPr>
      <w:b w:val="0"/>
      <w:u w:val="single"/>
    </w:rPr>
  </w:style>
  <w:style w:type="paragraph" w:customStyle="1" w:styleId="TITU5">
    <w:name w:val="TITU5"/>
    <w:basedOn w:val="TITU4"/>
    <w:next w:val="NORMAL12"/>
    <w:qFormat/>
    <w:rsid w:val="00205F6F"/>
    <w:pPr>
      <w:numPr>
        <w:ilvl w:val="4"/>
      </w:numPr>
      <w:tabs>
        <w:tab w:val="clear" w:pos="851"/>
        <w:tab w:val="left" w:pos="1418"/>
      </w:tabs>
      <w:outlineLvl w:val="4"/>
    </w:pPr>
    <w:rPr>
      <w:u w:val="none"/>
    </w:rPr>
  </w:style>
  <w:style w:type="paragraph" w:customStyle="1" w:styleId="TITU6">
    <w:name w:val="TITU6"/>
    <w:basedOn w:val="TITU5"/>
    <w:next w:val="NORMAL12"/>
    <w:qFormat/>
    <w:rsid w:val="00FA2E1F"/>
    <w:pPr>
      <w:numPr>
        <w:ilvl w:val="5"/>
        <w:numId w:val="14"/>
      </w:numPr>
      <w:outlineLvl w:val="5"/>
    </w:pPr>
    <w:rPr>
      <w:i w:val="0"/>
    </w:rPr>
  </w:style>
  <w:style w:type="table" w:customStyle="1" w:styleId="TableNormal">
    <w:name w:val="Table Normal"/>
    <w:uiPriority w:val="2"/>
    <w:semiHidden/>
    <w:unhideWhenUsed/>
    <w:qFormat/>
    <w:rsid w:val="00454045"/>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54045"/>
    <w:pPr>
      <w:widowControl w:val="0"/>
      <w:autoSpaceDE w:val="0"/>
      <w:autoSpaceDN w:val="0"/>
    </w:pPr>
    <w:rPr>
      <w:rFonts w:ascii="Calibri" w:eastAsia="Calibri" w:hAnsi="Calibri" w:cs="Calibri"/>
      <w:sz w:val="22"/>
      <w:szCs w:val="22"/>
      <w:lang w:val="en-US" w:eastAsia="en-US"/>
    </w:rPr>
  </w:style>
  <w:style w:type="paragraph" w:customStyle="1" w:styleId="TtuloPortada">
    <w:name w:val="Título Portada"/>
    <w:basedOn w:val="Normal"/>
    <w:rsid w:val="00FC7B9D"/>
    <w:pPr>
      <w:pageBreakBefore/>
      <w:pBdr>
        <w:bottom w:val="single" w:sz="18" w:space="1" w:color="auto"/>
      </w:pBdr>
      <w:spacing w:before="6400"/>
      <w:ind w:left="425" w:right="425"/>
      <w:jc w:val="center"/>
    </w:pPr>
    <w:rPr>
      <w:rFonts w:ascii="Arial Negrita" w:hAnsi="Arial Negrita"/>
      <w:b/>
      <w:bCs/>
      <w:smallCaps/>
      <w:noProof/>
      <w:sz w:val="44"/>
      <w:szCs w:val="20"/>
    </w:rPr>
  </w:style>
  <w:style w:type="paragraph" w:customStyle="1" w:styleId="LCATabla">
    <w:name w:val="LCA_Tabla"/>
    <w:basedOn w:val="Normal"/>
    <w:rsid w:val="008E5353"/>
    <w:pPr>
      <w:spacing w:before="120" w:after="120"/>
    </w:pPr>
    <w:rPr>
      <w:rFonts w:asciiTheme="minorHAnsi" w:hAnsiTheme="minorHAnsi"/>
      <w:sz w:val="22"/>
      <w:szCs w:val="20"/>
    </w:rPr>
  </w:style>
  <w:style w:type="paragraph" w:customStyle="1" w:styleId="TtuloCaptulo">
    <w:name w:val="Título_Capítulo"/>
    <w:basedOn w:val="Ttulo1"/>
    <w:qFormat/>
    <w:rsid w:val="008E5353"/>
    <w:pPr>
      <w:keepNext/>
      <w:pageBreakBefore/>
      <w:widowControl/>
    </w:pPr>
    <w:rPr>
      <w:noProof w:val="0"/>
      <w:kern w:val="0"/>
      <w:sz w:val="32"/>
      <w:szCs w:val="20"/>
      <w:lang w:val="es-ES_tradnl" w:eastAsia="es-ES"/>
    </w:rPr>
  </w:style>
  <w:style w:type="paragraph" w:customStyle="1" w:styleId="LCAUnidaddeobra">
    <w:name w:val="LCA_Unidad de obra"/>
    <w:basedOn w:val="Normal"/>
    <w:qFormat/>
    <w:rsid w:val="008E5353"/>
    <w:pPr>
      <w:tabs>
        <w:tab w:val="left" w:pos="1440"/>
      </w:tabs>
      <w:spacing w:before="240" w:after="240"/>
      <w:ind w:left="2517" w:hanging="2517"/>
      <w:jc w:val="both"/>
    </w:pPr>
    <w:rPr>
      <w:rFonts w:ascii="Arial" w:hAnsi="Arial"/>
      <w:i/>
      <w:iCs/>
      <w:sz w:val="22"/>
      <w:szCs w:val="20"/>
    </w:rPr>
  </w:style>
  <w:style w:type="paragraph" w:customStyle="1" w:styleId="EstiloGTTUnidaddeObraIzquierda0cmSangrafrancesa44">
    <w:name w:val="Estilo GTT_Unidad de Obra + Izquierda:  0 cm Sangría francesa:  4.4..."/>
    <w:basedOn w:val="Normal"/>
    <w:rsid w:val="008E5353"/>
    <w:pPr>
      <w:tabs>
        <w:tab w:val="left" w:pos="1440"/>
      </w:tabs>
      <w:spacing w:before="240" w:after="120"/>
      <w:ind w:left="2517" w:hanging="2517"/>
      <w:jc w:val="both"/>
    </w:pPr>
    <w:rPr>
      <w:rFonts w:ascii="Arial" w:hAnsi="Arial"/>
      <w:bCs/>
      <w:i/>
      <w:sz w:val="20"/>
      <w:szCs w:val="20"/>
    </w:rPr>
  </w:style>
  <w:style w:type="paragraph" w:customStyle="1" w:styleId="Listaconvietas3c">
    <w:name w:val="Lista con viñetas 3c"/>
    <w:basedOn w:val="Listaconvietas3"/>
    <w:qFormat/>
    <w:rsid w:val="008E5353"/>
    <w:pPr>
      <w:tabs>
        <w:tab w:val="clear" w:pos="926"/>
      </w:tabs>
      <w:overflowPunct/>
      <w:autoSpaceDE/>
      <w:autoSpaceDN/>
      <w:adjustRightInd/>
      <w:spacing w:before="120" w:after="120" w:line="360" w:lineRule="auto"/>
      <w:ind w:left="0" w:firstLine="0"/>
      <w:jc w:val="both"/>
      <w:textAlignment w:val="auto"/>
    </w:pPr>
    <w:rPr>
      <w:rFonts w:ascii="Arial" w:hAnsi="Arial"/>
      <w:noProof/>
      <w:sz w:val="22"/>
      <w:lang w:val="es-ES" w:eastAsia="es-ES"/>
    </w:rPr>
  </w:style>
  <w:style w:type="paragraph" w:customStyle="1" w:styleId="EstiloTextoindependienteTimesNewRoman">
    <w:name w:val="Estilo Texto independiente + Times New Roman"/>
    <w:basedOn w:val="Textoindependiente"/>
    <w:rsid w:val="008E5353"/>
    <w:pPr>
      <w:spacing w:before="60" w:after="120" w:line="360" w:lineRule="auto"/>
      <w:ind w:firstLine="851"/>
      <w:jc w:val="both"/>
    </w:pPr>
    <w:rPr>
      <w:rFonts w:cs="Times New Roman"/>
      <w:lang w:eastAsia="es-ES"/>
    </w:rPr>
  </w:style>
  <w:style w:type="paragraph" w:customStyle="1" w:styleId="GTTEpgrafe2">
    <w:name w:val="GTT Epígrafe 2"/>
    <w:basedOn w:val="Normal"/>
    <w:rsid w:val="008E5353"/>
    <w:pPr>
      <w:tabs>
        <w:tab w:val="num" w:pos="2563"/>
      </w:tabs>
      <w:spacing w:before="60" w:after="120" w:line="360" w:lineRule="auto"/>
      <w:ind w:left="2563" w:hanging="360"/>
      <w:jc w:val="both"/>
    </w:pPr>
    <w:rPr>
      <w:rFonts w:ascii="Arial" w:hAnsi="Arial"/>
      <w:sz w:val="22"/>
      <w:szCs w:val="20"/>
      <w:lang w:val="es-ES_tradnl"/>
    </w:rPr>
  </w:style>
  <w:style w:type="character" w:customStyle="1" w:styleId="primera">
    <w:name w:val="primera"/>
    <w:basedOn w:val="Fuentedeprrafopredeter"/>
    <w:rsid w:val="00DB63D1"/>
  </w:style>
  <w:style w:type="paragraph" w:customStyle="1" w:styleId="Tabla">
    <w:name w:val="Tabla"/>
    <w:basedOn w:val="Textoindependiente"/>
    <w:link w:val="TablaCar"/>
    <w:qFormat/>
    <w:rsid w:val="00224ACB"/>
    <w:pPr>
      <w:spacing w:before="40" w:after="40" w:line="264" w:lineRule="auto"/>
      <w:jc w:val="center"/>
    </w:pPr>
    <w:rPr>
      <w:sz w:val="20"/>
      <w:lang w:val="es-ES" w:eastAsia="es-ES"/>
    </w:rPr>
  </w:style>
  <w:style w:type="character" w:customStyle="1" w:styleId="TablaCar">
    <w:name w:val="Tabla Car"/>
    <w:basedOn w:val="Fuentedeprrafopredeter"/>
    <w:link w:val="Tabla"/>
    <w:rsid w:val="00224ACB"/>
    <w:rPr>
      <w:rFonts w:ascii="Arial" w:hAnsi="Arial" w:cs="Arial"/>
      <w:lang w:eastAsia="es-ES"/>
    </w:rPr>
  </w:style>
  <w:style w:type="character" w:customStyle="1" w:styleId="apple-converted-space">
    <w:name w:val="apple-converted-space"/>
    <w:basedOn w:val="Fuentedeprrafopredeter"/>
    <w:rsid w:val="00224ACB"/>
  </w:style>
  <w:style w:type="paragraph" w:customStyle="1" w:styleId="Tabla1">
    <w:name w:val="Tabla 1"/>
    <w:basedOn w:val="Normal"/>
    <w:link w:val="Tabla1Car"/>
    <w:qFormat/>
    <w:rsid w:val="00224ACB"/>
    <w:pPr>
      <w:spacing w:before="120" w:after="40" w:line="276" w:lineRule="auto"/>
      <w:jc w:val="both"/>
    </w:pPr>
    <w:rPr>
      <w:rFonts w:ascii="Arial" w:hAnsi="Arial" w:cs="Arial"/>
      <w:sz w:val="22"/>
    </w:rPr>
  </w:style>
  <w:style w:type="character" w:customStyle="1" w:styleId="Tabla1Car">
    <w:name w:val="Tabla 1 Car"/>
    <w:basedOn w:val="Fuentedeprrafopredeter"/>
    <w:link w:val="Tabla1"/>
    <w:rsid w:val="00224ACB"/>
    <w:rPr>
      <w:rFonts w:ascii="Arial" w:hAnsi="Arial" w:cs="Arial"/>
      <w:sz w:val="22"/>
      <w:szCs w:val="24"/>
      <w:lang w:eastAsia="es-ES"/>
    </w:rPr>
  </w:style>
  <w:style w:type="paragraph" w:customStyle="1" w:styleId="LCATextoIndependiente">
    <w:name w:val="LCA Texto Independiente"/>
    <w:basedOn w:val="Normal"/>
    <w:link w:val="LCATextoIndependienteCar"/>
    <w:qFormat/>
    <w:rsid w:val="00224ACB"/>
    <w:pPr>
      <w:spacing w:before="120" w:after="120" w:line="360" w:lineRule="auto"/>
      <w:ind w:firstLine="709"/>
      <w:jc w:val="both"/>
    </w:pPr>
    <w:rPr>
      <w:rFonts w:ascii="Arial" w:hAnsi="Arial"/>
      <w:sz w:val="22"/>
      <w:lang w:val="es-ES_tradnl"/>
    </w:rPr>
  </w:style>
  <w:style w:type="character" w:customStyle="1" w:styleId="LCATextoIndependienteCar">
    <w:name w:val="LCA Texto Independiente Car"/>
    <w:basedOn w:val="Fuentedeprrafopredeter"/>
    <w:link w:val="LCATextoIndependiente"/>
    <w:rsid w:val="00224ACB"/>
    <w:rPr>
      <w:rFonts w:ascii="Arial" w:hAnsi="Arial"/>
      <w:sz w:val="22"/>
      <w:szCs w:val="24"/>
      <w:lang w:val="es-ES_tradnl" w:eastAsia="es-ES"/>
    </w:rPr>
  </w:style>
  <w:style w:type="paragraph" w:customStyle="1" w:styleId="Elemento7">
    <w:name w:val="Elemento 7"/>
    <w:uiPriority w:val="99"/>
    <w:rsid w:val="00DB54B0"/>
    <w:pPr>
      <w:widowControl w:val="0"/>
      <w:autoSpaceDE w:val="0"/>
      <w:autoSpaceDN w:val="0"/>
      <w:adjustRightInd w:val="0"/>
    </w:pPr>
    <w:rPr>
      <w:rFonts w:ascii="Arial" w:eastAsiaTheme="minorEastAsia" w:hAnsi="Arial" w:cs="Arial"/>
      <w:sz w:val="24"/>
      <w:szCs w:val="24"/>
      <w:lang w:eastAsia="es-ES"/>
    </w:rPr>
  </w:style>
  <w:style w:type="paragraph" w:customStyle="1" w:styleId="Unidaddeobra">
    <w:name w:val="Unidad de obra"/>
    <w:basedOn w:val="Tabla"/>
    <w:link w:val="UnidaddeobraCar"/>
    <w:qFormat/>
    <w:rsid w:val="006B7EDC"/>
    <w:pPr>
      <w:spacing w:line="288" w:lineRule="auto"/>
      <w:jc w:val="left"/>
    </w:pPr>
    <w:rPr>
      <w:i/>
      <w:szCs w:val="18"/>
    </w:rPr>
  </w:style>
  <w:style w:type="character" w:customStyle="1" w:styleId="UnidaddeobraCar">
    <w:name w:val="Unidad de obra Car"/>
    <w:basedOn w:val="TablaCar"/>
    <w:link w:val="Unidaddeobra"/>
    <w:rsid w:val="006B7EDC"/>
    <w:rPr>
      <w:rFonts w:ascii="Arial" w:hAnsi="Arial" w:cs="Arial"/>
      <w:i/>
      <w:szCs w:val="18"/>
      <w:lang w:eastAsia="es-ES"/>
    </w:rPr>
  </w:style>
  <w:style w:type="paragraph" w:customStyle="1" w:styleId="GTTTextoIndependiente">
    <w:name w:val="GTT Texto Independiente"/>
    <w:basedOn w:val="Normal"/>
    <w:link w:val="GTTTextoIndependienteCar1"/>
    <w:rsid w:val="008A189D"/>
    <w:pPr>
      <w:spacing w:before="120" w:after="120" w:line="360" w:lineRule="auto"/>
      <w:ind w:firstLine="709"/>
      <w:jc w:val="both"/>
    </w:pPr>
    <w:rPr>
      <w:sz w:val="22"/>
    </w:rPr>
  </w:style>
  <w:style w:type="character" w:customStyle="1" w:styleId="GTTTextoIndependienteCar1">
    <w:name w:val="GTT Texto Independiente Car1"/>
    <w:basedOn w:val="Fuentedeprrafopredeter"/>
    <w:link w:val="GTTTextoIndependiente"/>
    <w:rsid w:val="008A189D"/>
    <w:rPr>
      <w:sz w:val="22"/>
      <w:szCs w:val="24"/>
      <w:lang w:eastAsia="es-ES"/>
    </w:rPr>
  </w:style>
  <w:style w:type="paragraph" w:customStyle="1" w:styleId="GTTTtuloTabla">
    <w:name w:val="GTT Título Tabla"/>
    <w:basedOn w:val="Normal"/>
    <w:rsid w:val="008A189D"/>
    <w:pPr>
      <w:tabs>
        <w:tab w:val="left" w:pos="1134"/>
      </w:tabs>
      <w:spacing w:line="288" w:lineRule="auto"/>
      <w:jc w:val="center"/>
    </w:pPr>
    <w:rPr>
      <w:b/>
      <w:sz w:val="22"/>
    </w:rPr>
  </w:style>
  <w:style w:type="paragraph" w:customStyle="1" w:styleId="GTTTabla">
    <w:name w:val="GTT Tabla"/>
    <w:basedOn w:val="Normal"/>
    <w:link w:val="GTTTablaCar"/>
    <w:rsid w:val="008A189D"/>
    <w:pPr>
      <w:spacing w:before="120" w:after="120" w:line="288" w:lineRule="auto"/>
    </w:pPr>
    <w:rPr>
      <w:sz w:val="22"/>
      <w:szCs w:val="22"/>
    </w:rPr>
  </w:style>
  <w:style w:type="character" w:customStyle="1" w:styleId="GTTTablaCar">
    <w:name w:val="GTT Tabla Car"/>
    <w:basedOn w:val="Fuentedeprrafopredeter"/>
    <w:link w:val="GTTTabla"/>
    <w:rsid w:val="008A189D"/>
    <w:rPr>
      <w:sz w:val="22"/>
      <w:szCs w:val="22"/>
      <w:lang w:eastAsia="es-ES"/>
    </w:rPr>
  </w:style>
  <w:style w:type="paragraph" w:customStyle="1" w:styleId="GTTListaVietas">
    <w:name w:val="GTT Lista Viñetas"/>
    <w:basedOn w:val="Normal"/>
    <w:link w:val="GTTListaVietasCar"/>
    <w:rsid w:val="00076E49"/>
    <w:pPr>
      <w:tabs>
        <w:tab w:val="num" w:pos="2716"/>
      </w:tabs>
      <w:spacing w:before="120" w:after="120" w:line="360" w:lineRule="auto"/>
      <w:ind w:left="2716" w:hanging="360"/>
      <w:jc w:val="both"/>
    </w:pPr>
    <w:rPr>
      <w:rFonts w:ascii="Arial" w:hAnsi="Arial"/>
      <w:noProof/>
      <w:sz w:val="22"/>
      <w:szCs w:val="20"/>
    </w:rPr>
  </w:style>
  <w:style w:type="character" w:customStyle="1" w:styleId="GTTListaVietasCar">
    <w:name w:val="GTT Lista Viñetas Car"/>
    <w:basedOn w:val="Fuentedeprrafopredeter"/>
    <w:link w:val="GTTListaVietas"/>
    <w:rsid w:val="00D109DE"/>
    <w:rPr>
      <w:rFonts w:ascii="Arial" w:hAnsi="Arial"/>
      <w:noProof/>
      <w:sz w:val="22"/>
      <w:lang w:eastAsia="es-ES"/>
    </w:rPr>
  </w:style>
  <w:style w:type="paragraph" w:customStyle="1" w:styleId="GTTListaNumerada0">
    <w:name w:val="GTT_Lista Numerada"/>
    <w:basedOn w:val="Normal"/>
    <w:rsid w:val="00076E49"/>
    <w:pPr>
      <w:tabs>
        <w:tab w:val="num" w:pos="1996"/>
      </w:tabs>
      <w:spacing w:before="120" w:after="120" w:line="360" w:lineRule="auto"/>
      <w:ind w:left="1996" w:hanging="360"/>
      <w:jc w:val="both"/>
    </w:pPr>
    <w:rPr>
      <w:rFonts w:ascii="Arial" w:hAnsi="Arial"/>
      <w:noProof/>
      <w:sz w:val="22"/>
      <w:szCs w:val="22"/>
    </w:rPr>
  </w:style>
  <w:style w:type="character" w:customStyle="1" w:styleId="listaguionesCar">
    <w:name w:val="lista guiones Car"/>
    <w:basedOn w:val="Fuentedeprrafopredeter"/>
    <w:link w:val="listaguiones"/>
    <w:locked/>
    <w:rsid w:val="002B430C"/>
    <w:rPr>
      <w:rFonts w:ascii="Arial" w:hAnsi="Arial" w:cs="Arial"/>
      <w:sz w:val="22"/>
      <w:szCs w:val="22"/>
      <w:lang w:eastAsia="ar-SA"/>
    </w:rPr>
  </w:style>
  <w:style w:type="paragraph" w:customStyle="1" w:styleId="listaguiones">
    <w:name w:val="lista guiones"/>
    <w:basedOn w:val="Prrafodelista"/>
    <w:link w:val="listaguionesCar"/>
    <w:qFormat/>
    <w:rsid w:val="002B430C"/>
    <w:pPr>
      <w:numPr>
        <w:numId w:val="67"/>
      </w:numPr>
      <w:tabs>
        <w:tab w:val="num" w:pos="360"/>
      </w:tabs>
      <w:suppressAutoHyphens/>
      <w:spacing w:before="60" w:after="120" w:line="360" w:lineRule="auto"/>
      <w:ind w:left="720" w:firstLine="851"/>
      <w:contextualSpacing/>
      <w:jc w:val="both"/>
    </w:pPr>
    <w:rPr>
      <w:rFonts w:ascii="Arial" w:hAnsi="Arial" w:cs="Arial"/>
      <w:sz w:val="22"/>
      <w:szCs w:val="22"/>
      <w:lang w:eastAsia="ar-SA"/>
    </w:rPr>
  </w:style>
  <w:style w:type="table" w:styleId="Tablaclsica4">
    <w:name w:val="Table Classic 4"/>
    <w:basedOn w:val="Tablanormal"/>
    <w:unhideWhenUsed/>
    <w:rsid w:val="002B430C"/>
    <w:pPr>
      <w:spacing w:before="120" w:after="120" w:line="360" w:lineRule="auto"/>
      <w:ind w:firstLine="851"/>
      <w:jc w:val="both"/>
    </w:pPr>
    <w:rPr>
      <w:lang w:eastAsia="es-E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Ttulo20">
    <w:name w:val="Título2"/>
    <w:aliases w:val="sin"/>
    <w:basedOn w:val="Ttulo2"/>
    <w:autoRedefine/>
    <w:rsid w:val="00700F81"/>
    <w:pPr>
      <w:tabs>
        <w:tab w:val="left" w:pos="1560"/>
      </w:tabs>
      <w:spacing w:before="240"/>
      <w:ind w:left="851" w:hanging="851"/>
      <w:jc w:val="both"/>
    </w:pPr>
    <w:rPr>
      <w:rFonts w:ascii="Arial Negrita" w:hAnsi="Arial Negrita" w:cs="Times New Roman"/>
      <w:sz w:val="24"/>
      <w:szCs w:val="28"/>
      <w:u w:val="single"/>
      <w:lang w:val="es-ES_tradnl" w:eastAsia="es-ES"/>
    </w:rPr>
  </w:style>
  <w:style w:type="paragraph" w:customStyle="1" w:styleId="DENDROS">
    <w:name w:val="DENDROS"/>
    <w:basedOn w:val="Normal"/>
    <w:rsid w:val="00AF0AFA"/>
    <w:pPr>
      <w:spacing w:line="360" w:lineRule="auto"/>
      <w:jc w:val="both"/>
    </w:pPr>
    <w:rPr>
      <w:rFonts w:ascii="Tahoma" w:hAnsi="Tahoma" w:cs="Tahoma"/>
      <w:b/>
      <w:bCs/>
      <w:sz w:val="20"/>
      <w:szCs w:val="20"/>
      <w:lang w:val="es-ES_tradnl"/>
    </w:rPr>
  </w:style>
  <w:style w:type="paragraph" w:customStyle="1" w:styleId="ARTCULOTIT1">
    <w:name w:val="ARTÍCULO_TIT1"/>
    <w:basedOn w:val="Normal"/>
    <w:next w:val="GTTTextoIndependiente"/>
    <w:rsid w:val="003345E4"/>
    <w:pPr>
      <w:pageBreakBefore/>
      <w:widowControl w:val="0"/>
      <w:numPr>
        <w:numId w:val="83"/>
      </w:numPr>
      <w:spacing w:after="240"/>
    </w:pPr>
    <w:rPr>
      <w:rFonts w:ascii="Arial Negrita" w:hAnsi="Arial Negrita"/>
      <w:b/>
      <w:caps/>
      <w:sz w:val="22"/>
      <w:szCs w:val="28"/>
    </w:rPr>
  </w:style>
  <w:style w:type="paragraph" w:customStyle="1" w:styleId="ArtculoTit2">
    <w:name w:val="Artículo_Tit2"/>
    <w:basedOn w:val="Normal"/>
    <w:next w:val="Normal"/>
    <w:autoRedefine/>
    <w:rsid w:val="003345E4"/>
    <w:pPr>
      <w:keepNext/>
      <w:numPr>
        <w:ilvl w:val="1"/>
        <w:numId w:val="83"/>
      </w:numPr>
      <w:spacing w:before="360" w:after="240"/>
    </w:pPr>
    <w:rPr>
      <w:rFonts w:ascii="Arial" w:hAnsi="Arial"/>
      <w:b/>
      <w:sz w:val="22"/>
      <w:szCs w:val="28"/>
    </w:rPr>
  </w:style>
  <w:style w:type="character" w:customStyle="1" w:styleId="GTTTablaCarCar1">
    <w:name w:val="GTT Tabla Car Car1"/>
    <w:basedOn w:val="Fuentedeprrafopredeter"/>
    <w:rsid w:val="003345E4"/>
    <w:rPr>
      <w:sz w:val="22"/>
      <w:szCs w:val="22"/>
      <w:lang w:val="es-ES" w:eastAsia="es-ES" w:bidi="ar-SA"/>
    </w:rPr>
  </w:style>
  <w:style w:type="paragraph" w:customStyle="1" w:styleId="ndice">
    <w:name w:val="Índice"/>
    <w:basedOn w:val="Normal"/>
    <w:rsid w:val="00D109DE"/>
    <w:pPr>
      <w:suppressLineNumbers/>
      <w:suppressAutoHyphens/>
      <w:spacing w:before="60" w:after="120" w:line="360" w:lineRule="auto"/>
      <w:ind w:firstLine="567"/>
      <w:jc w:val="both"/>
    </w:pPr>
    <w:rPr>
      <w:rFonts w:ascii="Arial" w:hAnsi="Arial" w:cs="Tahoma"/>
      <w:sz w:val="22"/>
      <w:szCs w:val="20"/>
      <w:lang w:val="es-ES_tradnl" w:eastAsia="ar-SA"/>
    </w:rPr>
  </w:style>
  <w:style w:type="paragraph" w:customStyle="1" w:styleId="INDICE">
    <w:name w:val="INDICE"/>
    <w:basedOn w:val="Ttulo2"/>
    <w:rsid w:val="00D109DE"/>
    <w:pPr>
      <w:spacing w:before="240"/>
      <w:jc w:val="center"/>
    </w:pPr>
    <w:rPr>
      <w:rFonts w:ascii="Arial Negrita" w:hAnsi="Arial Negrita" w:cs="Times New Roman"/>
      <w:caps/>
      <w:szCs w:val="20"/>
      <w:u w:val="single"/>
      <w:lang w:val="es-ES_tradnl" w:eastAsia="es-ES"/>
    </w:rPr>
  </w:style>
  <w:style w:type="paragraph" w:customStyle="1" w:styleId="TextoIndependiente0">
    <w:name w:val="Texto Independiente"/>
    <w:basedOn w:val="Normal"/>
    <w:rsid w:val="00D109DE"/>
    <w:pPr>
      <w:suppressAutoHyphens/>
      <w:spacing w:before="60" w:after="120" w:line="360" w:lineRule="auto"/>
      <w:ind w:firstLine="567"/>
      <w:jc w:val="both"/>
    </w:pPr>
    <w:rPr>
      <w:rFonts w:ascii="Arial" w:hAnsi="Arial"/>
      <w:sz w:val="22"/>
      <w:szCs w:val="20"/>
      <w:lang w:val="es-ES_tradnl" w:eastAsia="ar-SA"/>
    </w:rPr>
  </w:style>
  <w:style w:type="paragraph" w:customStyle="1" w:styleId="Listaconvietas3b">
    <w:name w:val="Lista con viñetas 3b"/>
    <w:basedOn w:val="Listaconvietas3"/>
    <w:rsid w:val="00D109DE"/>
    <w:pPr>
      <w:numPr>
        <w:numId w:val="160"/>
      </w:numPr>
      <w:tabs>
        <w:tab w:val="clear" w:pos="926"/>
      </w:tabs>
      <w:overflowPunct/>
      <w:autoSpaceDE/>
      <w:autoSpaceDN/>
      <w:adjustRightInd/>
      <w:spacing w:before="120" w:after="120" w:line="360" w:lineRule="auto"/>
      <w:jc w:val="both"/>
      <w:textAlignment w:val="auto"/>
    </w:pPr>
    <w:rPr>
      <w:rFonts w:ascii="Arial" w:hAnsi="Arial"/>
      <w:noProof/>
      <w:sz w:val="22"/>
      <w:lang w:val="es-ES" w:eastAsia="es-ES"/>
    </w:rPr>
  </w:style>
  <w:style w:type="paragraph" w:customStyle="1" w:styleId="TTULOPortadilla1">
    <w:name w:val="TÍTULO_Portadilla 1"/>
    <w:basedOn w:val="Normal"/>
    <w:qFormat/>
    <w:rsid w:val="00D109DE"/>
    <w:pPr>
      <w:pageBreakBefore/>
      <w:pBdr>
        <w:bottom w:val="single" w:sz="18" w:space="1" w:color="auto"/>
      </w:pBdr>
      <w:spacing w:before="6400"/>
      <w:ind w:right="1416"/>
      <w:jc w:val="right"/>
    </w:pPr>
    <w:rPr>
      <w:rFonts w:ascii="Arial Negrita" w:hAnsi="Arial Negrita"/>
      <w:b/>
      <w:bCs/>
      <w:smallCaps/>
      <w:noProof/>
      <w:sz w:val="40"/>
      <w:szCs w:val="20"/>
    </w:rPr>
  </w:style>
  <w:style w:type="paragraph" w:customStyle="1" w:styleId="TtuloDocumento">
    <w:name w:val="Título Documento"/>
    <w:basedOn w:val="TtuloPortada"/>
    <w:qFormat/>
    <w:rsid w:val="00D109DE"/>
    <w:pPr>
      <w:pBdr>
        <w:top w:val="double" w:sz="4" w:space="1" w:color="auto"/>
        <w:left w:val="double" w:sz="4" w:space="4" w:color="auto"/>
        <w:bottom w:val="double" w:sz="4" w:space="1" w:color="auto"/>
        <w:right w:val="double" w:sz="4" w:space="4" w:color="auto"/>
      </w:pBdr>
    </w:pPr>
    <w:rPr>
      <w:caps/>
      <w:smallCaps w:val="0"/>
    </w:rPr>
  </w:style>
  <w:style w:type="paragraph" w:customStyle="1" w:styleId="TtuloSubdocumento">
    <w:name w:val="Título Subdocumento"/>
    <w:basedOn w:val="TtuloPortada"/>
    <w:qFormat/>
    <w:rsid w:val="00D109DE"/>
    <w:pPr>
      <w:pBdr>
        <w:bottom w:val="double" w:sz="4" w:space="1" w:color="auto"/>
      </w:pBdr>
    </w:pPr>
    <w:rPr>
      <w:caps/>
      <w:smallCaps w:val="0"/>
    </w:rPr>
  </w:style>
  <w:style w:type="character" w:styleId="nfasis">
    <w:name w:val="Emphasis"/>
    <w:uiPriority w:val="20"/>
    <w:qFormat/>
    <w:rsid w:val="00D109DE"/>
    <w:rPr>
      <w:i/>
      <w:iCs/>
    </w:rPr>
  </w:style>
  <w:style w:type="paragraph" w:customStyle="1" w:styleId="LCAEpgrafe">
    <w:name w:val="LCA Epígrafe"/>
    <w:basedOn w:val="Normal"/>
    <w:next w:val="Normal"/>
    <w:qFormat/>
    <w:rsid w:val="00D109DE"/>
    <w:pPr>
      <w:spacing w:before="240" w:after="120"/>
      <w:ind w:left="1792" w:hanging="1366"/>
      <w:jc w:val="both"/>
    </w:pPr>
    <w:rPr>
      <w:rFonts w:ascii="Arial Negrita" w:hAnsi="Arial Negrita"/>
      <w:b/>
      <w:iCs/>
      <w:snapToGrid w:val="0"/>
      <w:sz w:val="20"/>
      <w:szCs w:val="20"/>
      <w:lang w:val="es-ES_tradnl" w:eastAsia="en-US" w:bidi="en-US"/>
    </w:rPr>
  </w:style>
  <w:style w:type="paragraph" w:customStyle="1" w:styleId="GTTListaVietas1">
    <w:name w:val="GTT Lista Viñetas1"/>
    <w:basedOn w:val="Normal"/>
    <w:rsid w:val="00D109DE"/>
    <w:pPr>
      <w:tabs>
        <w:tab w:val="num" w:pos="540"/>
        <w:tab w:val="left" w:pos="900"/>
      </w:tabs>
      <w:spacing w:beforeLines="40" w:afterLines="40" w:line="360" w:lineRule="auto"/>
      <w:ind w:left="540" w:right="-318" w:hanging="360"/>
      <w:jc w:val="both"/>
    </w:pPr>
    <w:rPr>
      <w:rFonts w:ascii="Arial" w:eastAsia="Calibri" w:hAnsi="Arial" w:cs="Arial"/>
      <w:bCs/>
      <w:spacing w:val="-3"/>
      <w:sz w:val="20"/>
      <w:szCs w:val="22"/>
      <w:lang w:eastAsia="en-US"/>
    </w:rPr>
  </w:style>
  <w:style w:type="paragraph" w:customStyle="1" w:styleId="TTULOPortadilla">
    <w:name w:val="TÍTULO_Portadilla"/>
    <w:basedOn w:val="Normal"/>
    <w:qFormat/>
    <w:rsid w:val="00D109DE"/>
    <w:pPr>
      <w:pageBreakBefore/>
      <w:pBdr>
        <w:bottom w:val="single" w:sz="18" w:space="1" w:color="auto"/>
      </w:pBdr>
      <w:spacing w:before="6400"/>
      <w:ind w:right="1416"/>
      <w:jc w:val="right"/>
    </w:pPr>
    <w:rPr>
      <w:rFonts w:ascii="Arial Negrita" w:hAnsi="Arial Negrita"/>
      <w:b/>
      <w:bCs/>
      <w:smallCaps/>
      <w:noProof/>
      <w:sz w:val="40"/>
      <w:szCs w:val="20"/>
    </w:rPr>
  </w:style>
  <w:style w:type="character" w:styleId="Nmerodelnea">
    <w:name w:val="line number"/>
    <w:basedOn w:val="Fuentedeprrafopredeter"/>
    <w:rsid w:val="00D109DE"/>
    <w:rPr>
      <w:rFonts w:ascii="Tahoma" w:hAnsi="Tahoma"/>
      <w:sz w:val="20"/>
    </w:rPr>
  </w:style>
  <w:style w:type="paragraph" w:customStyle="1" w:styleId="Pietabla">
    <w:name w:val="Pie tabla"/>
    <w:basedOn w:val="Normal"/>
    <w:rsid w:val="00D109DE"/>
    <w:pPr>
      <w:spacing w:before="120" w:after="120"/>
      <w:ind w:firstLine="851"/>
      <w:jc w:val="center"/>
    </w:pPr>
    <w:rPr>
      <w:rFonts w:ascii="Arial" w:hAnsi="Arial"/>
      <w:i/>
      <w:sz w:val="20"/>
      <w:szCs w:val="20"/>
    </w:rPr>
  </w:style>
  <w:style w:type="paragraph" w:customStyle="1" w:styleId="TTULOGENERAL">
    <w:name w:val="TÍTULO GENERAL"/>
    <w:basedOn w:val="Normal"/>
    <w:rsid w:val="00D109DE"/>
    <w:pPr>
      <w:widowControl w:val="0"/>
      <w:spacing w:line="360" w:lineRule="auto"/>
      <w:jc w:val="center"/>
    </w:pPr>
    <w:rPr>
      <w:rFonts w:ascii="Arial" w:hAnsi="Arial" w:cs="Arial"/>
      <w:b/>
      <w:caps/>
      <w:snapToGrid w:val="0"/>
      <w:sz w:val="28"/>
      <w:szCs w:val="20"/>
    </w:rPr>
  </w:style>
  <w:style w:type="paragraph" w:customStyle="1" w:styleId="Piefoto">
    <w:name w:val="Pie foto"/>
    <w:basedOn w:val="Normal"/>
    <w:next w:val="Normal"/>
    <w:rsid w:val="00D109DE"/>
    <w:pPr>
      <w:tabs>
        <w:tab w:val="left" w:pos="1260"/>
      </w:tabs>
      <w:jc w:val="center"/>
    </w:pPr>
    <w:rPr>
      <w:b/>
      <w:sz w:val="22"/>
      <w:szCs w:val="20"/>
    </w:rPr>
  </w:style>
  <w:style w:type="paragraph" w:customStyle="1" w:styleId="MTDisplayEquation">
    <w:name w:val="MTDisplayEquation"/>
    <w:basedOn w:val="Normal"/>
    <w:next w:val="Normal"/>
    <w:rsid w:val="00D109DE"/>
    <w:pPr>
      <w:tabs>
        <w:tab w:val="center" w:pos="3960"/>
        <w:tab w:val="right" w:pos="7940"/>
      </w:tabs>
      <w:spacing w:before="120" w:after="120" w:line="360" w:lineRule="auto"/>
      <w:ind w:firstLine="851"/>
      <w:jc w:val="both"/>
    </w:pPr>
    <w:rPr>
      <w:rFonts w:ascii="Arial" w:hAnsi="Arial"/>
      <w:sz w:val="22"/>
      <w:szCs w:val="20"/>
      <w:lang w:val="es-ES_tradnl"/>
    </w:rPr>
  </w:style>
  <w:style w:type="paragraph" w:customStyle="1" w:styleId="z-BottomofForm">
    <w:name w:val="z-Bottom of Form"/>
    <w:next w:val="Normal"/>
    <w:hidden/>
    <w:rsid w:val="00D109DE"/>
    <w:pPr>
      <w:pBdr>
        <w:top w:val="double" w:sz="2" w:space="0" w:color="000000"/>
      </w:pBdr>
      <w:autoSpaceDE w:val="0"/>
      <w:autoSpaceDN w:val="0"/>
      <w:adjustRightInd w:val="0"/>
      <w:jc w:val="center"/>
    </w:pPr>
    <w:rPr>
      <w:rFonts w:ascii="Arial" w:hAnsi="Arial" w:cs="Arial"/>
      <w:vanish/>
      <w:sz w:val="16"/>
      <w:szCs w:val="16"/>
      <w:lang w:eastAsia="es-ES"/>
    </w:rPr>
  </w:style>
  <w:style w:type="paragraph" w:customStyle="1" w:styleId="z-TopofForm">
    <w:name w:val="z-Top of Form"/>
    <w:next w:val="Normal"/>
    <w:hidden/>
    <w:rsid w:val="00D109DE"/>
    <w:pPr>
      <w:pBdr>
        <w:bottom w:val="double" w:sz="2" w:space="0" w:color="000000"/>
      </w:pBdr>
      <w:autoSpaceDE w:val="0"/>
      <w:autoSpaceDN w:val="0"/>
      <w:adjustRightInd w:val="0"/>
      <w:jc w:val="center"/>
    </w:pPr>
    <w:rPr>
      <w:rFonts w:ascii="Arial" w:hAnsi="Arial" w:cs="Arial"/>
      <w:vanish/>
      <w:sz w:val="16"/>
      <w:szCs w:val="16"/>
      <w:lang w:eastAsia="es-ES"/>
    </w:rPr>
  </w:style>
  <w:style w:type="paragraph" w:customStyle="1" w:styleId="listaconvietas1">
    <w:name w:val="lista con viñetas1"/>
    <w:basedOn w:val="Normal"/>
    <w:rsid w:val="00D109DE"/>
    <w:pPr>
      <w:tabs>
        <w:tab w:val="num" w:pos="1209"/>
      </w:tabs>
      <w:spacing w:before="60" w:line="312" w:lineRule="auto"/>
      <w:ind w:left="1209" w:hanging="360"/>
      <w:jc w:val="both"/>
    </w:pPr>
    <w:rPr>
      <w:rFonts w:ascii="Arial" w:hAnsi="Arial"/>
      <w:sz w:val="22"/>
      <w:szCs w:val="20"/>
    </w:rPr>
  </w:style>
  <w:style w:type="paragraph" w:customStyle="1" w:styleId="VIETAS1">
    <w:name w:val="VIÑETAS 1"/>
    <w:basedOn w:val="Normal"/>
    <w:rsid w:val="00D109DE"/>
    <w:pPr>
      <w:numPr>
        <w:numId w:val="161"/>
      </w:numPr>
      <w:spacing w:before="120" w:after="120" w:line="360" w:lineRule="auto"/>
      <w:jc w:val="both"/>
    </w:pPr>
    <w:rPr>
      <w:rFonts w:ascii="Arial" w:hAnsi="Arial"/>
      <w:sz w:val="22"/>
      <w:szCs w:val="20"/>
      <w:lang w:val="es-ES_tradnl"/>
    </w:rPr>
  </w:style>
  <w:style w:type="paragraph" w:customStyle="1" w:styleId="VIETAS2">
    <w:name w:val="VIÑETAS 2"/>
    <w:basedOn w:val="Normal"/>
    <w:rsid w:val="00D109DE"/>
    <w:pPr>
      <w:numPr>
        <w:ilvl w:val="1"/>
        <w:numId w:val="161"/>
      </w:numPr>
      <w:spacing w:before="120" w:after="120" w:line="360" w:lineRule="auto"/>
      <w:jc w:val="both"/>
    </w:pPr>
    <w:rPr>
      <w:rFonts w:ascii="Arial" w:hAnsi="Arial"/>
      <w:sz w:val="22"/>
      <w:szCs w:val="20"/>
      <w:lang w:val="es-ES_tradnl"/>
    </w:rPr>
  </w:style>
  <w:style w:type="paragraph" w:customStyle="1" w:styleId="titulo5">
    <w:name w:val="titulo 5"/>
    <w:basedOn w:val="Normal"/>
    <w:next w:val="Normal"/>
    <w:rsid w:val="00D109DE"/>
    <w:pPr>
      <w:spacing w:before="360" w:after="240" w:line="360" w:lineRule="auto"/>
      <w:jc w:val="both"/>
    </w:pPr>
    <w:rPr>
      <w:rFonts w:ascii="Arial" w:hAnsi="Arial"/>
      <w:sz w:val="22"/>
    </w:rPr>
  </w:style>
  <w:style w:type="paragraph" w:customStyle="1" w:styleId="Tablafigura">
    <w:name w:val="Tabla ó figura"/>
    <w:basedOn w:val="Normal"/>
    <w:rsid w:val="00D109DE"/>
    <w:pPr>
      <w:keepNext/>
      <w:jc w:val="center"/>
    </w:pPr>
    <w:rPr>
      <w:rFonts w:ascii="Arial" w:hAnsi="Arial"/>
      <w:sz w:val="22"/>
      <w:szCs w:val="20"/>
      <w:lang w:val="es-ES_tradnl"/>
    </w:rPr>
  </w:style>
  <w:style w:type="character" w:customStyle="1" w:styleId="Ttulo2Car1">
    <w:name w:val="Título 2 Car1"/>
    <w:basedOn w:val="Fuentedeprrafopredeter"/>
    <w:rsid w:val="00D109DE"/>
    <w:rPr>
      <w:rFonts w:ascii="Arial Negrita" w:hAnsi="Arial Negrita"/>
      <w:b/>
      <w:smallCaps/>
      <w:noProof/>
      <w:sz w:val="24"/>
    </w:rPr>
  </w:style>
  <w:style w:type="paragraph" w:customStyle="1" w:styleId="EPTextoIndependiente">
    <w:name w:val="EP_Texto Independiente"/>
    <w:basedOn w:val="Normal"/>
    <w:link w:val="EPTextoIndependienteCar"/>
    <w:rsid w:val="00D109DE"/>
    <w:pPr>
      <w:spacing w:before="120" w:after="120" w:line="360" w:lineRule="auto"/>
      <w:ind w:firstLine="851"/>
      <w:jc w:val="both"/>
    </w:pPr>
    <w:rPr>
      <w:rFonts w:ascii="Arial" w:hAnsi="Arial"/>
      <w:noProof/>
      <w:sz w:val="22"/>
      <w:szCs w:val="20"/>
    </w:rPr>
  </w:style>
  <w:style w:type="character" w:customStyle="1" w:styleId="EPTextoIndependienteCar">
    <w:name w:val="EP_Texto Independiente Car"/>
    <w:basedOn w:val="Fuentedeprrafopredeter"/>
    <w:link w:val="EPTextoIndependiente"/>
    <w:rsid w:val="00D109DE"/>
    <w:rPr>
      <w:rFonts w:ascii="Arial" w:hAnsi="Arial"/>
      <w:noProof/>
      <w:sz w:val="22"/>
      <w:lang w:eastAsia="es-ES"/>
    </w:rPr>
  </w:style>
  <w:style w:type="paragraph" w:customStyle="1" w:styleId="Rpido">
    <w:name w:val="Rápido ­"/>
    <w:basedOn w:val="Normal"/>
    <w:rsid w:val="00D109DE"/>
    <w:pPr>
      <w:widowControl w:val="0"/>
      <w:autoSpaceDE w:val="0"/>
      <w:autoSpaceDN w:val="0"/>
      <w:adjustRightInd w:val="0"/>
      <w:ind w:left="396" w:hanging="396"/>
    </w:pPr>
    <w:rPr>
      <w:sz w:val="20"/>
      <w:lang w:val="en-US"/>
    </w:rPr>
  </w:style>
  <w:style w:type="paragraph" w:customStyle="1" w:styleId="GTTVIETAS">
    <w:name w:val="GTT VIÑETAS"/>
    <w:basedOn w:val="Normal"/>
    <w:rsid w:val="00D109DE"/>
    <w:pPr>
      <w:spacing w:before="120" w:after="120" w:line="360" w:lineRule="auto"/>
      <w:ind w:firstLine="851"/>
      <w:jc w:val="both"/>
    </w:pPr>
    <w:rPr>
      <w:rFonts w:ascii="Arial" w:hAnsi="Arial"/>
      <w:noProof/>
      <w:sz w:val="22"/>
      <w:szCs w:val="20"/>
    </w:rPr>
  </w:style>
  <w:style w:type="paragraph" w:customStyle="1" w:styleId="Apndice3">
    <w:name w:val="Apéndice 3"/>
    <w:basedOn w:val="Normal"/>
    <w:next w:val="Normal"/>
    <w:rsid w:val="00D109DE"/>
    <w:pPr>
      <w:widowControl w:val="0"/>
      <w:tabs>
        <w:tab w:val="num" w:pos="4003"/>
      </w:tabs>
      <w:suppressAutoHyphens/>
      <w:spacing w:before="240" w:after="360" w:line="360" w:lineRule="auto"/>
      <w:ind w:left="4003" w:hanging="180"/>
      <w:jc w:val="center"/>
      <w:outlineLvl w:val="3"/>
    </w:pPr>
    <w:rPr>
      <w:rFonts w:ascii="Arial" w:hAnsi="Arial"/>
      <w:caps/>
      <w:snapToGrid w:val="0"/>
      <w:sz w:val="22"/>
      <w:szCs w:val="20"/>
    </w:rPr>
  </w:style>
  <w:style w:type="paragraph" w:customStyle="1" w:styleId="Titulo1111">
    <w:name w:val="Titulo1.1.1.1."/>
    <w:basedOn w:val="Normal"/>
    <w:next w:val="Normal"/>
    <w:rsid w:val="00D109DE"/>
    <w:pPr>
      <w:tabs>
        <w:tab w:val="num" w:pos="2160"/>
      </w:tabs>
      <w:spacing w:before="60" w:line="312" w:lineRule="auto"/>
      <w:ind w:left="1728" w:hanging="648"/>
      <w:jc w:val="both"/>
    </w:pPr>
    <w:rPr>
      <w:rFonts w:ascii="Arial" w:hAnsi="Arial"/>
      <w:sz w:val="22"/>
      <w:szCs w:val="20"/>
      <w:u w:val="single"/>
    </w:rPr>
  </w:style>
  <w:style w:type="paragraph" w:customStyle="1" w:styleId="Ttulo4Arial">
    <w:name w:val="Título 4 + Arial"/>
    <w:aliases w:val="Versales,Izquierda,Izquierda:  0 cm,Primera línea:  0 cm..."/>
    <w:basedOn w:val="Ttulo4"/>
    <w:rsid w:val="00D109DE"/>
    <w:pPr>
      <w:tabs>
        <w:tab w:val="left" w:pos="993"/>
      </w:tabs>
      <w:spacing w:after="180" w:line="360" w:lineRule="auto"/>
    </w:pPr>
    <w:rPr>
      <w:rFonts w:cs="Times New Roman"/>
      <w:b/>
      <w:bCs/>
      <w:i w:val="0"/>
      <w:smallCaps/>
      <w:szCs w:val="20"/>
      <w:lang w:val="es-ES_tradnl" w:eastAsia="es-ES"/>
    </w:rPr>
  </w:style>
  <w:style w:type="character" w:customStyle="1" w:styleId="PersonalCarCarCarCarCarCarCarCarCarCarCarCarCarCarCarCarCarCarCarCarCarCarCarCarCarCarCarCarCarCarCarCarCarCarCarCarCarCarCarCarCarCarCarCarCarCarCarCarCarCarCarCarCarCarCarCarCa">
    <w:name w:val="Personal Car Car Car Car Car Car Car Car Car Car Car Car Car Car Car Car Car Car Car Car Car Car Car Car Car Car Car Car Car Car Car Car Car Car Car Car Car Car Car Car Car Car Car Car Car Car Car Car Car Car Car Car Car Car Car Car Ca"/>
    <w:basedOn w:val="Fuentedeprrafopredeter"/>
    <w:rsid w:val="00D109DE"/>
    <w:rPr>
      <w:rFonts w:ascii="CG Times (WN)" w:hAnsi="CG Times (WN)"/>
      <w:noProof w:val="0"/>
      <w:sz w:val="22"/>
      <w:lang w:val="es-ES_tradnl" w:eastAsia="es-ES" w:bidi="ar-SA"/>
    </w:rPr>
  </w:style>
  <w:style w:type="paragraph" w:customStyle="1" w:styleId="Estilo12ptNegritaCursivaSubrayadoAntes12ptoDespus">
    <w:name w:val="Estilo 12 pt Negrita Cursiva Subrayado Antes:  12 pto Después: ..."/>
    <w:basedOn w:val="Normal"/>
    <w:rsid w:val="00D109DE"/>
    <w:pPr>
      <w:tabs>
        <w:tab w:val="left" w:pos="567"/>
        <w:tab w:val="left" w:pos="851"/>
        <w:tab w:val="left" w:pos="1134"/>
        <w:tab w:val="left" w:pos="1418"/>
        <w:tab w:val="left" w:pos="1701"/>
      </w:tabs>
      <w:spacing w:before="240" w:after="300" w:line="360" w:lineRule="auto"/>
      <w:jc w:val="both"/>
    </w:pPr>
    <w:rPr>
      <w:rFonts w:ascii="Univers" w:hAnsi="Univers"/>
      <w:b/>
      <w:bCs/>
      <w:i/>
      <w:iCs/>
      <w:sz w:val="22"/>
      <w:szCs w:val="20"/>
      <w:u w:val="single"/>
    </w:rPr>
  </w:style>
  <w:style w:type="paragraph" w:customStyle="1" w:styleId="EstiloRpidoArial12pto">
    <w:name w:val="Estilo Rápido ­ + Arial 12 pto"/>
    <w:basedOn w:val="Rpido"/>
    <w:rsid w:val="00D109DE"/>
    <w:rPr>
      <w:rFonts w:ascii="Arial" w:hAnsi="Arial"/>
      <w:sz w:val="22"/>
    </w:rPr>
  </w:style>
  <w:style w:type="paragraph" w:customStyle="1" w:styleId="GTTTextoIndependienteCarCar">
    <w:name w:val="GTT Texto Independiente Car Car"/>
    <w:basedOn w:val="Normal"/>
    <w:link w:val="GTTTextoIndependienteCarCarCar"/>
    <w:rsid w:val="00D109DE"/>
    <w:pPr>
      <w:spacing w:before="120" w:after="120" w:line="360" w:lineRule="auto"/>
      <w:ind w:firstLine="709"/>
      <w:jc w:val="both"/>
    </w:pPr>
  </w:style>
  <w:style w:type="character" w:customStyle="1" w:styleId="GTTTextoIndependienteCarCarCar">
    <w:name w:val="GTT Texto Independiente Car Car Car"/>
    <w:basedOn w:val="Fuentedeprrafopredeter"/>
    <w:link w:val="GTTTextoIndependienteCarCar"/>
    <w:rsid w:val="00D109DE"/>
    <w:rPr>
      <w:sz w:val="24"/>
      <w:szCs w:val="24"/>
      <w:lang w:eastAsia="es-ES"/>
    </w:rPr>
  </w:style>
  <w:style w:type="paragraph" w:customStyle="1" w:styleId="Normal2">
    <w:name w:val="Normal+2"/>
    <w:basedOn w:val="Default"/>
    <w:next w:val="Default"/>
    <w:uiPriority w:val="99"/>
    <w:rsid w:val="00D109DE"/>
    <w:pPr>
      <w:widowControl/>
    </w:pPr>
    <w:rPr>
      <w:rFonts w:ascii="Century Gothic" w:hAnsi="Century Gothic"/>
      <w:color w:val="auto"/>
      <w:lang w:eastAsia="es-ES"/>
    </w:rPr>
  </w:style>
  <w:style w:type="paragraph" w:customStyle="1" w:styleId="Nivel4">
    <w:name w:val="Nivel 4"/>
    <w:basedOn w:val="Normal"/>
    <w:rsid w:val="00D109DE"/>
    <w:pPr>
      <w:tabs>
        <w:tab w:val="num" w:pos="720"/>
      </w:tabs>
      <w:spacing w:line="360" w:lineRule="auto"/>
      <w:ind w:left="720" w:hanging="360"/>
      <w:jc w:val="both"/>
    </w:pPr>
    <w:rPr>
      <w:rFonts w:ascii="Arial" w:hAnsi="Arial"/>
      <w:sz w:val="22"/>
      <w:szCs w:val="20"/>
    </w:rPr>
  </w:style>
  <w:style w:type="paragraph" w:customStyle="1" w:styleId="TITULOPRPAL">
    <w:name w:val="TITULO PRPAL"/>
    <w:basedOn w:val="Ttulo1"/>
    <w:next w:val="Ttulo1"/>
    <w:rsid w:val="00D109DE"/>
    <w:pPr>
      <w:pageBreakBefore/>
      <w:widowControl/>
      <w:tabs>
        <w:tab w:val="num" w:pos="432"/>
      </w:tabs>
      <w:spacing w:before="120"/>
      <w:ind w:left="431" w:hanging="431"/>
      <w:jc w:val="center"/>
    </w:pPr>
    <w:rPr>
      <w:rFonts w:ascii="Arial Negrita" w:eastAsiaTheme="minorHAnsi" w:hAnsi="Arial Negrita" w:cstheme="minorBidi"/>
      <w:noProof w:val="0"/>
      <w:kern w:val="0"/>
      <w:sz w:val="24"/>
    </w:rPr>
  </w:style>
  <w:style w:type="paragraph" w:customStyle="1" w:styleId="Ttulo51">
    <w:name w:val="Título_5"/>
    <w:basedOn w:val="LCATextoIndependiente"/>
    <w:link w:val="Ttulo5Car0"/>
    <w:rsid w:val="00D109DE"/>
    <w:pPr>
      <w:spacing w:after="200"/>
      <w:jc w:val="left"/>
    </w:pPr>
    <w:rPr>
      <w:rFonts w:eastAsiaTheme="minorHAnsi" w:cstheme="minorBidi"/>
      <w:b/>
      <w:bCs/>
      <w:szCs w:val="22"/>
      <w:u w:val="single"/>
      <w:lang w:eastAsia="en-US"/>
    </w:rPr>
  </w:style>
  <w:style w:type="character" w:customStyle="1" w:styleId="Ttulo5Car0">
    <w:name w:val="Título_5 Car"/>
    <w:basedOn w:val="LCATextoIndependienteCar"/>
    <w:link w:val="Ttulo51"/>
    <w:rsid w:val="00D109DE"/>
    <w:rPr>
      <w:rFonts w:ascii="Arial" w:eastAsiaTheme="minorHAnsi" w:hAnsi="Arial" w:cstheme="minorBidi"/>
      <w:b/>
      <w:bCs/>
      <w:sz w:val="22"/>
      <w:szCs w:val="22"/>
      <w:u w:val="single"/>
      <w:lang w:val="es-ES_tradnl" w:eastAsia="es-ES"/>
    </w:rPr>
  </w:style>
  <w:style w:type="paragraph" w:customStyle="1" w:styleId="PORTADA0">
    <w:name w:val="PORTADA"/>
    <w:basedOn w:val="LCATextoIndependiente"/>
    <w:rsid w:val="00D109DE"/>
    <w:pPr>
      <w:spacing w:after="200"/>
      <w:ind w:firstLine="0"/>
      <w:jc w:val="right"/>
    </w:pPr>
    <w:rPr>
      <w:rFonts w:eastAsiaTheme="minorHAnsi" w:cstheme="minorBidi"/>
      <w:b/>
      <w:i/>
      <w:sz w:val="36"/>
      <w:szCs w:val="22"/>
      <w:lang w:val="es-ES" w:eastAsia="en-US"/>
    </w:rPr>
  </w:style>
  <w:style w:type="paragraph" w:customStyle="1" w:styleId="Titulo4">
    <w:name w:val="Titulo 4"/>
    <w:basedOn w:val="Ttulo4"/>
    <w:rsid w:val="00D109DE"/>
    <w:pPr>
      <w:tabs>
        <w:tab w:val="left" w:pos="2160"/>
      </w:tabs>
      <w:spacing w:after="180" w:line="360" w:lineRule="auto"/>
    </w:pPr>
    <w:rPr>
      <w:rFonts w:ascii="Helvetica" w:eastAsiaTheme="minorHAnsi" w:hAnsi="Helvetica" w:cstheme="minorBidi"/>
      <w:b/>
      <w:i w:val="0"/>
      <w:iCs/>
      <w:spacing w:val="-3"/>
    </w:rPr>
  </w:style>
  <w:style w:type="paragraph" w:customStyle="1" w:styleId="GTTTextoIndependiente0">
    <w:name w:val="GTT_Texto Independiente"/>
    <w:basedOn w:val="Normal"/>
    <w:rsid w:val="00D109DE"/>
    <w:pPr>
      <w:tabs>
        <w:tab w:val="left" w:pos="709"/>
      </w:tabs>
      <w:spacing w:before="120" w:after="200" w:line="360" w:lineRule="auto"/>
      <w:ind w:firstLine="709"/>
    </w:pPr>
    <w:rPr>
      <w:rFonts w:ascii="Arial" w:eastAsiaTheme="minorHAnsi" w:hAnsi="Arial" w:cstheme="minorBidi"/>
      <w:sz w:val="22"/>
      <w:szCs w:val="22"/>
      <w:lang w:eastAsia="en-US"/>
    </w:rPr>
  </w:style>
  <w:style w:type="paragraph" w:customStyle="1" w:styleId="GTTListaVietas2">
    <w:name w:val="GTT_Lista Viñetas 2"/>
    <w:basedOn w:val="GTTTextoIndependiente0"/>
    <w:rsid w:val="00D109DE"/>
    <w:pPr>
      <w:numPr>
        <w:numId w:val="162"/>
      </w:numPr>
      <w:tabs>
        <w:tab w:val="clear" w:pos="709"/>
        <w:tab w:val="left" w:pos="0"/>
      </w:tabs>
    </w:pPr>
  </w:style>
  <w:style w:type="paragraph" w:customStyle="1" w:styleId="GTTListanumerada">
    <w:name w:val="GTT_Lista numerada"/>
    <w:basedOn w:val="Normal"/>
    <w:rsid w:val="00D109DE"/>
    <w:pPr>
      <w:numPr>
        <w:numId w:val="163"/>
      </w:numPr>
      <w:spacing w:before="120" w:after="200" w:line="360" w:lineRule="auto"/>
    </w:pPr>
    <w:rPr>
      <w:rFonts w:ascii="Arial" w:eastAsiaTheme="minorHAnsi" w:hAnsi="Arial" w:cstheme="minorBidi"/>
      <w:sz w:val="22"/>
      <w:szCs w:val="22"/>
      <w:lang w:eastAsia="en-US"/>
    </w:rPr>
  </w:style>
  <w:style w:type="paragraph" w:customStyle="1" w:styleId="Apndices">
    <w:name w:val="Apéndices"/>
    <w:basedOn w:val="Ttulo"/>
    <w:next w:val="Normal"/>
    <w:rsid w:val="00D109DE"/>
    <w:pPr>
      <w:pageBreakBefore/>
      <w:pBdr>
        <w:bottom w:val="single" w:sz="4" w:space="1" w:color="auto"/>
      </w:pBdr>
      <w:suppressAutoHyphens w:val="0"/>
      <w:spacing w:before="6480" w:line="360" w:lineRule="auto"/>
      <w:ind w:left="3119" w:right="-142"/>
      <w:jc w:val="right"/>
    </w:pPr>
    <w:rPr>
      <w:rFonts w:ascii="Arial Negrita" w:eastAsiaTheme="minorHAnsi" w:hAnsi="Arial Negrita"/>
      <w:caps/>
      <w:sz w:val="36"/>
      <w:szCs w:val="36"/>
      <w:lang w:val="es-ES"/>
    </w:rPr>
  </w:style>
  <w:style w:type="paragraph" w:customStyle="1" w:styleId="EstiloPiedepginaCentrado">
    <w:name w:val="Estilo Pie de página + Centrado"/>
    <w:basedOn w:val="Piedepgina"/>
    <w:rsid w:val="00D109DE"/>
    <w:pPr>
      <w:spacing w:after="200" w:line="360" w:lineRule="auto"/>
      <w:jc w:val="center"/>
    </w:pPr>
    <w:rPr>
      <w:rFonts w:ascii="Arial" w:eastAsiaTheme="minorHAnsi" w:hAnsi="Arial" w:cstheme="minorBidi"/>
      <w:b/>
      <w:i/>
      <w:szCs w:val="22"/>
    </w:rPr>
  </w:style>
  <w:style w:type="paragraph" w:customStyle="1" w:styleId="GTTListaVietas20">
    <w:name w:val="GTT Lista Viñetas2"/>
    <w:basedOn w:val="Normal"/>
    <w:rsid w:val="00D109DE"/>
    <w:pPr>
      <w:numPr>
        <w:numId w:val="165"/>
      </w:numPr>
      <w:spacing w:after="200" w:line="360" w:lineRule="auto"/>
    </w:pPr>
    <w:rPr>
      <w:rFonts w:ascii="Arial" w:eastAsiaTheme="minorHAnsi" w:hAnsi="Arial" w:cstheme="minorBidi"/>
      <w:sz w:val="22"/>
      <w:szCs w:val="22"/>
      <w:lang w:eastAsia="en-US"/>
    </w:rPr>
  </w:style>
  <w:style w:type="paragraph" w:customStyle="1" w:styleId="GTTTitulo1">
    <w:name w:val="GTT_Titulo1"/>
    <w:basedOn w:val="Normal"/>
    <w:next w:val="Textoindependienteprimerasangra2"/>
    <w:rsid w:val="00D109DE"/>
    <w:pPr>
      <w:numPr>
        <w:numId w:val="164"/>
      </w:numPr>
      <w:spacing w:before="360" w:after="200" w:line="312" w:lineRule="auto"/>
    </w:pPr>
    <w:rPr>
      <w:rFonts w:ascii="Arial Negrita" w:eastAsiaTheme="minorHAnsi" w:hAnsi="Arial Negrita" w:cstheme="minorBidi"/>
      <w:b/>
      <w:sz w:val="28"/>
      <w:szCs w:val="28"/>
      <w:lang w:eastAsia="en-US"/>
    </w:rPr>
  </w:style>
  <w:style w:type="character" w:customStyle="1" w:styleId="SangradetextonormalCar">
    <w:name w:val="Sangría de texto normal Car"/>
    <w:basedOn w:val="Fuentedeprrafopredeter"/>
    <w:rsid w:val="00D109DE"/>
    <w:rPr>
      <w:rFonts w:ascii="Arial" w:eastAsiaTheme="minorHAnsi" w:hAnsi="Arial" w:cstheme="minorBidi"/>
      <w:sz w:val="22"/>
      <w:szCs w:val="22"/>
      <w:lang w:eastAsia="en-US"/>
    </w:rPr>
  </w:style>
  <w:style w:type="paragraph" w:customStyle="1" w:styleId="EstiloGTTListaVietas1Derecha008cmAntes04lneaDe">
    <w:name w:val="Estilo GTT Lista Viñetas1 + Derecha:  0.08 cm Antes:  0.4 línea De..."/>
    <w:basedOn w:val="GTTListaVietas1"/>
    <w:rsid w:val="00D109DE"/>
    <w:pPr>
      <w:tabs>
        <w:tab w:val="clear" w:pos="540"/>
      </w:tabs>
      <w:spacing w:before="120"/>
      <w:ind w:left="0" w:right="0" w:firstLine="0"/>
      <w:jc w:val="left"/>
    </w:pPr>
    <w:rPr>
      <w:rFonts w:eastAsiaTheme="minorHAnsi" w:cs="Times New Roman"/>
      <w:bCs w:val="0"/>
      <w:sz w:val="22"/>
    </w:rPr>
  </w:style>
  <w:style w:type="paragraph" w:customStyle="1" w:styleId="EstiloGTTListaVietas1Antes04lneaDespus04lnea">
    <w:name w:val="Estilo GTT Lista Viñetas1 + Antes:  0.4 línea Después:  0.4 línea"/>
    <w:basedOn w:val="GTTListaVietas1"/>
    <w:rsid w:val="00D109DE"/>
    <w:pPr>
      <w:tabs>
        <w:tab w:val="clear" w:pos="540"/>
      </w:tabs>
      <w:spacing w:before="120"/>
      <w:ind w:left="0" w:right="0" w:firstLine="0"/>
      <w:jc w:val="left"/>
    </w:pPr>
    <w:rPr>
      <w:rFonts w:eastAsiaTheme="minorHAnsi" w:cs="Times New Roman"/>
      <w:bCs w:val="0"/>
      <w:sz w:val="22"/>
    </w:rPr>
  </w:style>
  <w:style w:type="paragraph" w:styleId="Sinespaciado">
    <w:name w:val="No Spacing"/>
    <w:link w:val="SinespaciadoCar"/>
    <w:uiPriority w:val="1"/>
    <w:qFormat/>
    <w:rsid w:val="00D109DE"/>
    <w:pPr>
      <w:spacing w:before="120" w:line="360" w:lineRule="auto"/>
      <w:ind w:right="-289"/>
      <w:jc w:val="both"/>
    </w:pPr>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D109DE"/>
    <w:rPr>
      <w:rFonts w:asciiTheme="minorHAnsi" w:eastAsiaTheme="minorEastAsia" w:hAnsiTheme="minorHAnsi" w:cstheme="minorBidi"/>
      <w:sz w:val="22"/>
      <w:szCs w:val="22"/>
    </w:rPr>
  </w:style>
  <w:style w:type="paragraph" w:customStyle="1" w:styleId="p22">
    <w:name w:val="p22"/>
    <w:basedOn w:val="Normal"/>
    <w:rsid w:val="00D109DE"/>
    <w:pPr>
      <w:widowControl w:val="0"/>
      <w:tabs>
        <w:tab w:val="left" w:pos="720"/>
      </w:tabs>
      <w:spacing w:before="240" w:after="240" w:line="360" w:lineRule="auto"/>
      <w:ind w:firstLine="357"/>
    </w:pPr>
    <w:rPr>
      <w:rFonts w:ascii="Arial" w:hAnsi="Arial" w:cs="Arial"/>
    </w:rPr>
  </w:style>
  <w:style w:type="paragraph" w:customStyle="1" w:styleId="p26">
    <w:name w:val="p26"/>
    <w:basedOn w:val="Normal"/>
    <w:rsid w:val="00D109DE"/>
    <w:pPr>
      <w:widowControl w:val="0"/>
      <w:tabs>
        <w:tab w:val="left" w:pos="720"/>
      </w:tabs>
      <w:spacing w:before="240" w:after="240" w:line="300" w:lineRule="auto"/>
      <w:ind w:firstLine="357"/>
    </w:pPr>
    <w:rPr>
      <w:rFonts w:ascii="Arial" w:hAnsi="Arial" w:cs="Arial"/>
    </w:rPr>
  </w:style>
  <w:style w:type="paragraph" w:customStyle="1" w:styleId="p36">
    <w:name w:val="p36"/>
    <w:basedOn w:val="Normal"/>
    <w:rsid w:val="00D109DE"/>
    <w:pPr>
      <w:widowControl w:val="0"/>
      <w:tabs>
        <w:tab w:val="left" w:pos="320"/>
        <w:tab w:val="left" w:pos="580"/>
      </w:tabs>
      <w:spacing w:before="240" w:after="240" w:line="320" w:lineRule="auto"/>
      <w:ind w:left="864" w:hanging="288"/>
    </w:pPr>
    <w:rPr>
      <w:rFonts w:ascii="Arial" w:hAnsi="Arial" w:cs="Arial"/>
    </w:rPr>
  </w:style>
  <w:style w:type="paragraph" w:customStyle="1" w:styleId="p18">
    <w:name w:val="p18"/>
    <w:basedOn w:val="Normal"/>
    <w:rsid w:val="00D109DE"/>
    <w:pPr>
      <w:widowControl w:val="0"/>
      <w:tabs>
        <w:tab w:val="left" w:pos="720"/>
      </w:tabs>
      <w:spacing w:before="240" w:after="240" w:line="300" w:lineRule="auto"/>
      <w:ind w:firstLine="357"/>
    </w:pPr>
    <w:rPr>
      <w:rFonts w:ascii="Arial" w:hAnsi="Arial" w:cs="Arial"/>
    </w:rPr>
  </w:style>
  <w:style w:type="paragraph" w:customStyle="1" w:styleId="p5">
    <w:name w:val="p5"/>
    <w:basedOn w:val="Normal"/>
    <w:rsid w:val="00D109DE"/>
    <w:pPr>
      <w:widowControl w:val="0"/>
      <w:tabs>
        <w:tab w:val="left" w:pos="2780"/>
      </w:tabs>
      <w:spacing w:before="240" w:after="240" w:line="360" w:lineRule="auto"/>
      <w:ind w:left="1340" w:firstLine="357"/>
    </w:pPr>
    <w:rPr>
      <w:rFonts w:ascii="Arial" w:hAnsi="Arial" w:cs="Arial"/>
    </w:rPr>
  </w:style>
  <w:style w:type="paragraph" w:customStyle="1" w:styleId="p9">
    <w:name w:val="p9"/>
    <w:basedOn w:val="Normal"/>
    <w:rsid w:val="00D109DE"/>
    <w:pPr>
      <w:widowControl w:val="0"/>
      <w:tabs>
        <w:tab w:val="left" w:pos="720"/>
      </w:tabs>
      <w:spacing w:before="240" w:after="240" w:line="360" w:lineRule="auto"/>
      <w:ind w:firstLine="357"/>
    </w:pPr>
    <w:rPr>
      <w:rFonts w:ascii="Arial" w:hAnsi="Arial" w:cs="Arial"/>
    </w:rPr>
  </w:style>
  <w:style w:type="paragraph" w:customStyle="1" w:styleId="p15">
    <w:name w:val="p15"/>
    <w:basedOn w:val="Normal"/>
    <w:rsid w:val="00D109DE"/>
    <w:pPr>
      <w:widowControl w:val="0"/>
      <w:tabs>
        <w:tab w:val="left" w:pos="2660"/>
      </w:tabs>
      <w:spacing w:before="240" w:after="240" w:line="360" w:lineRule="auto"/>
      <w:ind w:left="1220" w:firstLine="357"/>
    </w:pPr>
    <w:rPr>
      <w:rFonts w:ascii="Arial" w:hAnsi="Arial" w:cs="Arial"/>
    </w:rPr>
  </w:style>
  <w:style w:type="paragraph" w:customStyle="1" w:styleId="p25">
    <w:name w:val="p25"/>
    <w:basedOn w:val="Normal"/>
    <w:rsid w:val="00D109DE"/>
    <w:pPr>
      <w:widowControl w:val="0"/>
      <w:tabs>
        <w:tab w:val="left" w:pos="720"/>
      </w:tabs>
      <w:spacing w:before="240" w:after="240" w:line="360" w:lineRule="auto"/>
      <w:ind w:firstLine="357"/>
    </w:pPr>
    <w:rPr>
      <w:rFonts w:ascii="Arial" w:hAnsi="Arial" w:cs="Arial"/>
    </w:rPr>
  </w:style>
  <w:style w:type="paragraph" w:customStyle="1" w:styleId="p32">
    <w:name w:val="p32"/>
    <w:basedOn w:val="Normal"/>
    <w:rsid w:val="00D109DE"/>
    <w:pPr>
      <w:widowControl w:val="0"/>
      <w:tabs>
        <w:tab w:val="left" w:pos="3240"/>
        <w:tab w:val="left" w:pos="3320"/>
      </w:tabs>
      <w:spacing w:before="240" w:after="240" w:line="300" w:lineRule="auto"/>
      <w:ind w:left="1872" w:firstLine="357"/>
    </w:pPr>
    <w:rPr>
      <w:rFonts w:ascii="Arial" w:hAnsi="Arial" w:cs="Arial"/>
    </w:rPr>
  </w:style>
  <w:style w:type="paragraph" w:customStyle="1" w:styleId="p37">
    <w:name w:val="p37"/>
    <w:basedOn w:val="Normal"/>
    <w:rsid w:val="00D109DE"/>
    <w:pPr>
      <w:widowControl w:val="0"/>
      <w:tabs>
        <w:tab w:val="left" w:pos="720"/>
      </w:tabs>
      <w:spacing w:before="240" w:after="240" w:line="360" w:lineRule="auto"/>
      <w:ind w:firstLine="357"/>
    </w:pPr>
    <w:rPr>
      <w:rFonts w:ascii="Arial" w:hAnsi="Arial" w:cs="Arial"/>
    </w:rPr>
  </w:style>
  <w:style w:type="paragraph" w:customStyle="1" w:styleId="t97">
    <w:name w:val="t97"/>
    <w:basedOn w:val="Normal"/>
    <w:rsid w:val="00D109DE"/>
    <w:pPr>
      <w:widowControl w:val="0"/>
      <w:spacing w:before="240" w:after="240" w:line="360" w:lineRule="auto"/>
      <w:ind w:firstLine="357"/>
    </w:pPr>
    <w:rPr>
      <w:rFonts w:ascii="Arial" w:hAnsi="Arial" w:cs="Arial"/>
    </w:rPr>
  </w:style>
  <w:style w:type="paragraph" w:customStyle="1" w:styleId="p98">
    <w:name w:val="p98"/>
    <w:basedOn w:val="Normal"/>
    <w:rsid w:val="00D109DE"/>
    <w:pPr>
      <w:widowControl w:val="0"/>
      <w:tabs>
        <w:tab w:val="left" w:pos="720"/>
      </w:tabs>
      <w:spacing w:before="240" w:after="240" w:line="300" w:lineRule="auto"/>
      <w:ind w:firstLine="357"/>
    </w:pPr>
    <w:rPr>
      <w:rFonts w:ascii="Arial" w:hAnsi="Arial" w:cs="Arial"/>
    </w:rPr>
  </w:style>
  <w:style w:type="paragraph" w:customStyle="1" w:styleId="t49">
    <w:name w:val="t49"/>
    <w:basedOn w:val="Normal"/>
    <w:rsid w:val="00D109DE"/>
    <w:pPr>
      <w:widowControl w:val="0"/>
      <w:spacing w:before="240" w:after="240" w:line="320" w:lineRule="auto"/>
      <w:ind w:firstLine="357"/>
    </w:pPr>
    <w:rPr>
      <w:rFonts w:ascii="Arial" w:hAnsi="Arial" w:cs="Arial"/>
    </w:rPr>
  </w:style>
  <w:style w:type="paragraph" w:customStyle="1" w:styleId="p52">
    <w:name w:val="p52"/>
    <w:basedOn w:val="Normal"/>
    <w:rsid w:val="00D109DE"/>
    <w:pPr>
      <w:widowControl w:val="0"/>
      <w:tabs>
        <w:tab w:val="left" w:pos="3620"/>
        <w:tab w:val="left" w:pos="3960"/>
      </w:tabs>
      <w:spacing w:before="240" w:after="240" w:line="360" w:lineRule="auto"/>
      <w:ind w:left="2592" w:hanging="432"/>
    </w:pPr>
    <w:rPr>
      <w:rFonts w:ascii="Arial" w:hAnsi="Arial" w:cs="Arial"/>
    </w:rPr>
  </w:style>
  <w:style w:type="paragraph" w:customStyle="1" w:styleId="p64">
    <w:name w:val="p64"/>
    <w:basedOn w:val="Normal"/>
    <w:rsid w:val="00D109DE"/>
    <w:pPr>
      <w:widowControl w:val="0"/>
      <w:tabs>
        <w:tab w:val="left" w:pos="320"/>
      </w:tabs>
      <w:spacing w:before="240" w:after="240" w:line="360" w:lineRule="auto"/>
      <w:ind w:left="1152" w:hanging="288"/>
    </w:pPr>
    <w:rPr>
      <w:rFonts w:ascii="Arial" w:hAnsi="Arial" w:cs="Arial"/>
    </w:rPr>
  </w:style>
  <w:style w:type="paragraph" w:customStyle="1" w:styleId="t65">
    <w:name w:val="t65"/>
    <w:basedOn w:val="Normal"/>
    <w:rsid w:val="00D109DE"/>
    <w:pPr>
      <w:widowControl w:val="0"/>
      <w:spacing w:before="240" w:after="240" w:line="360" w:lineRule="auto"/>
      <w:ind w:firstLine="357"/>
    </w:pPr>
    <w:rPr>
      <w:rFonts w:ascii="Arial" w:hAnsi="Arial" w:cs="Arial"/>
    </w:rPr>
  </w:style>
  <w:style w:type="paragraph" w:customStyle="1" w:styleId="t70">
    <w:name w:val="t70"/>
    <w:basedOn w:val="Normal"/>
    <w:rsid w:val="00D109DE"/>
    <w:pPr>
      <w:widowControl w:val="0"/>
      <w:spacing w:before="240" w:after="240" w:line="360" w:lineRule="auto"/>
      <w:ind w:firstLine="357"/>
    </w:pPr>
    <w:rPr>
      <w:rFonts w:ascii="Arial" w:hAnsi="Arial" w:cs="Arial"/>
    </w:rPr>
  </w:style>
  <w:style w:type="paragraph" w:customStyle="1" w:styleId="t71">
    <w:name w:val="t71"/>
    <w:basedOn w:val="Normal"/>
    <w:rsid w:val="00D109DE"/>
    <w:pPr>
      <w:widowControl w:val="0"/>
      <w:spacing w:before="240" w:after="240" w:line="360" w:lineRule="auto"/>
      <w:ind w:firstLine="357"/>
    </w:pPr>
    <w:rPr>
      <w:rFonts w:ascii="Arial" w:hAnsi="Arial" w:cs="Arial"/>
    </w:rPr>
  </w:style>
  <w:style w:type="paragraph" w:customStyle="1" w:styleId="t72">
    <w:name w:val="t72"/>
    <w:basedOn w:val="Normal"/>
    <w:rsid w:val="00D109DE"/>
    <w:pPr>
      <w:widowControl w:val="0"/>
      <w:spacing w:before="240" w:after="240" w:line="360" w:lineRule="auto"/>
      <w:ind w:firstLine="357"/>
    </w:pPr>
    <w:rPr>
      <w:rFonts w:ascii="Arial" w:hAnsi="Arial" w:cs="Arial"/>
    </w:rPr>
  </w:style>
  <w:style w:type="paragraph" w:customStyle="1" w:styleId="t73">
    <w:name w:val="t73"/>
    <w:basedOn w:val="Normal"/>
    <w:rsid w:val="00D109DE"/>
    <w:pPr>
      <w:widowControl w:val="0"/>
      <w:spacing w:before="240" w:after="240" w:line="360" w:lineRule="auto"/>
      <w:ind w:firstLine="357"/>
    </w:pPr>
    <w:rPr>
      <w:rFonts w:ascii="Arial" w:hAnsi="Arial" w:cs="Arial"/>
    </w:rPr>
  </w:style>
  <w:style w:type="paragraph" w:customStyle="1" w:styleId="t74">
    <w:name w:val="t74"/>
    <w:basedOn w:val="Normal"/>
    <w:rsid w:val="00D109DE"/>
    <w:pPr>
      <w:widowControl w:val="0"/>
      <w:spacing w:before="240" w:after="240" w:line="360" w:lineRule="auto"/>
      <w:ind w:firstLine="357"/>
    </w:pPr>
    <w:rPr>
      <w:rFonts w:ascii="Arial" w:hAnsi="Arial" w:cs="Arial"/>
    </w:rPr>
  </w:style>
  <w:style w:type="paragraph" w:customStyle="1" w:styleId="t77">
    <w:name w:val="t77"/>
    <w:basedOn w:val="Normal"/>
    <w:rsid w:val="00D109DE"/>
    <w:pPr>
      <w:widowControl w:val="0"/>
      <w:spacing w:before="240" w:after="240" w:line="300" w:lineRule="auto"/>
      <w:ind w:firstLine="357"/>
    </w:pPr>
    <w:rPr>
      <w:rFonts w:ascii="Arial" w:hAnsi="Arial" w:cs="Arial"/>
    </w:rPr>
  </w:style>
  <w:style w:type="paragraph" w:customStyle="1" w:styleId="t78">
    <w:name w:val="t78"/>
    <w:basedOn w:val="Normal"/>
    <w:rsid w:val="00D109DE"/>
    <w:pPr>
      <w:widowControl w:val="0"/>
      <w:spacing w:before="240" w:after="240" w:line="360" w:lineRule="auto"/>
      <w:ind w:firstLine="357"/>
    </w:pPr>
    <w:rPr>
      <w:rFonts w:ascii="Arial" w:hAnsi="Arial" w:cs="Arial"/>
    </w:rPr>
  </w:style>
  <w:style w:type="paragraph" w:customStyle="1" w:styleId="t79">
    <w:name w:val="t79"/>
    <w:basedOn w:val="Normal"/>
    <w:rsid w:val="00D109DE"/>
    <w:pPr>
      <w:widowControl w:val="0"/>
      <w:spacing w:before="240" w:after="240" w:line="360" w:lineRule="auto"/>
      <w:ind w:firstLine="357"/>
    </w:pPr>
    <w:rPr>
      <w:rFonts w:ascii="Arial" w:hAnsi="Arial" w:cs="Arial"/>
    </w:rPr>
  </w:style>
  <w:style w:type="paragraph" w:customStyle="1" w:styleId="p81">
    <w:name w:val="p81"/>
    <w:basedOn w:val="Normal"/>
    <w:rsid w:val="00D109DE"/>
    <w:pPr>
      <w:widowControl w:val="0"/>
      <w:tabs>
        <w:tab w:val="left" w:pos="1000"/>
        <w:tab w:val="left" w:pos="1320"/>
      </w:tabs>
      <w:spacing w:before="240" w:after="240" w:line="360" w:lineRule="auto"/>
      <w:ind w:left="144" w:hanging="288"/>
    </w:pPr>
    <w:rPr>
      <w:rFonts w:ascii="Arial" w:hAnsi="Arial" w:cs="Arial"/>
    </w:rPr>
  </w:style>
  <w:style w:type="paragraph" w:customStyle="1" w:styleId="t82">
    <w:name w:val="t82"/>
    <w:basedOn w:val="Normal"/>
    <w:rsid w:val="00D109DE"/>
    <w:pPr>
      <w:widowControl w:val="0"/>
      <w:spacing w:before="240" w:after="240" w:line="360" w:lineRule="auto"/>
      <w:ind w:firstLine="357"/>
    </w:pPr>
    <w:rPr>
      <w:rFonts w:ascii="Arial" w:hAnsi="Arial" w:cs="Arial"/>
    </w:rPr>
  </w:style>
  <w:style w:type="paragraph" w:customStyle="1" w:styleId="t83">
    <w:name w:val="t83"/>
    <w:basedOn w:val="Normal"/>
    <w:rsid w:val="00D109DE"/>
    <w:pPr>
      <w:widowControl w:val="0"/>
      <w:spacing w:before="240" w:after="240" w:line="360" w:lineRule="auto"/>
      <w:ind w:firstLine="357"/>
    </w:pPr>
    <w:rPr>
      <w:rFonts w:ascii="Arial" w:hAnsi="Arial" w:cs="Arial"/>
    </w:rPr>
  </w:style>
  <w:style w:type="paragraph" w:customStyle="1" w:styleId="t84">
    <w:name w:val="t84"/>
    <w:basedOn w:val="Normal"/>
    <w:rsid w:val="00D109DE"/>
    <w:pPr>
      <w:widowControl w:val="0"/>
      <w:spacing w:before="240" w:after="240" w:line="160" w:lineRule="auto"/>
      <w:ind w:firstLine="357"/>
    </w:pPr>
    <w:rPr>
      <w:rFonts w:ascii="Arial" w:hAnsi="Arial" w:cs="Arial"/>
    </w:rPr>
  </w:style>
  <w:style w:type="paragraph" w:customStyle="1" w:styleId="t85">
    <w:name w:val="t85"/>
    <w:basedOn w:val="Normal"/>
    <w:rsid w:val="00D109DE"/>
    <w:pPr>
      <w:widowControl w:val="0"/>
      <w:spacing w:before="240" w:after="240" w:line="140" w:lineRule="auto"/>
      <w:ind w:firstLine="357"/>
    </w:pPr>
    <w:rPr>
      <w:rFonts w:ascii="Arial" w:hAnsi="Arial" w:cs="Arial"/>
    </w:rPr>
  </w:style>
  <w:style w:type="paragraph" w:customStyle="1" w:styleId="t86">
    <w:name w:val="t86"/>
    <w:basedOn w:val="Normal"/>
    <w:rsid w:val="00D109DE"/>
    <w:pPr>
      <w:widowControl w:val="0"/>
      <w:spacing w:before="240" w:after="240" w:line="360" w:lineRule="auto"/>
      <w:ind w:firstLine="357"/>
    </w:pPr>
    <w:rPr>
      <w:rFonts w:ascii="Arial" w:hAnsi="Arial" w:cs="Arial"/>
    </w:rPr>
  </w:style>
  <w:style w:type="paragraph" w:customStyle="1" w:styleId="t87">
    <w:name w:val="t87"/>
    <w:basedOn w:val="Normal"/>
    <w:rsid w:val="00D109DE"/>
    <w:pPr>
      <w:widowControl w:val="0"/>
      <w:spacing w:before="240" w:after="240" w:line="260" w:lineRule="auto"/>
      <w:ind w:firstLine="357"/>
    </w:pPr>
    <w:rPr>
      <w:rFonts w:ascii="Arial" w:hAnsi="Arial" w:cs="Arial"/>
    </w:rPr>
  </w:style>
  <w:style w:type="paragraph" w:customStyle="1" w:styleId="t92">
    <w:name w:val="t92"/>
    <w:basedOn w:val="Normal"/>
    <w:rsid w:val="00D109DE"/>
    <w:pPr>
      <w:widowControl w:val="0"/>
      <w:spacing w:before="240" w:after="240" w:line="360" w:lineRule="auto"/>
      <w:ind w:firstLine="357"/>
    </w:pPr>
    <w:rPr>
      <w:rFonts w:ascii="Arial" w:hAnsi="Arial" w:cs="Arial"/>
    </w:rPr>
  </w:style>
  <w:style w:type="paragraph" w:customStyle="1" w:styleId="t93">
    <w:name w:val="t93"/>
    <w:basedOn w:val="Normal"/>
    <w:rsid w:val="00D109DE"/>
    <w:pPr>
      <w:widowControl w:val="0"/>
      <w:spacing w:before="240" w:after="240" w:line="360" w:lineRule="auto"/>
      <w:ind w:firstLine="357"/>
    </w:pPr>
    <w:rPr>
      <w:rFonts w:ascii="Arial" w:hAnsi="Arial" w:cs="Arial"/>
    </w:rPr>
  </w:style>
  <w:style w:type="paragraph" w:customStyle="1" w:styleId="t94">
    <w:name w:val="t94"/>
    <w:basedOn w:val="Normal"/>
    <w:rsid w:val="00D109DE"/>
    <w:pPr>
      <w:widowControl w:val="0"/>
      <w:spacing w:before="240" w:after="240" w:line="360" w:lineRule="auto"/>
      <w:ind w:firstLine="357"/>
    </w:pPr>
    <w:rPr>
      <w:rFonts w:ascii="Arial" w:hAnsi="Arial" w:cs="Arial"/>
    </w:rPr>
  </w:style>
  <w:style w:type="paragraph" w:customStyle="1" w:styleId="t95">
    <w:name w:val="t95"/>
    <w:basedOn w:val="Normal"/>
    <w:rsid w:val="00D109DE"/>
    <w:pPr>
      <w:widowControl w:val="0"/>
      <w:spacing w:before="240" w:after="240" w:line="360" w:lineRule="auto"/>
      <w:ind w:firstLine="357"/>
    </w:pPr>
    <w:rPr>
      <w:rFonts w:ascii="Arial" w:hAnsi="Arial" w:cs="Arial"/>
    </w:rPr>
  </w:style>
  <w:style w:type="paragraph" w:customStyle="1" w:styleId="p44">
    <w:name w:val="p44"/>
    <w:basedOn w:val="Normal"/>
    <w:rsid w:val="00D109DE"/>
    <w:pPr>
      <w:widowControl w:val="0"/>
      <w:tabs>
        <w:tab w:val="left" w:pos="720"/>
      </w:tabs>
      <w:spacing w:before="240" w:after="240" w:line="360" w:lineRule="auto"/>
      <w:ind w:firstLine="357"/>
    </w:pPr>
    <w:rPr>
      <w:rFonts w:ascii="Arial" w:hAnsi="Arial" w:cs="Arial"/>
    </w:rPr>
  </w:style>
  <w:style w:type="paragraph" w:customStyle="1" w:styleId="p45">
    <w:name w:val="p45"/>
    <w:basedOn w:val="Normal"/>
    <w:rsid w:val="00D109DE"/>
    <w:pPr>
      <w:widowControl w:val="0"/>
      <w:tabs>
        <w:tab w:val="left" w:pos="320"/>
      </w:tabs>
      <w:spacing w:before="240" w:after="240" w:line="360" w:lineRule="auto"/>
      <w:ind w:left="1152" w:hanging="288"/>
    </w:pPr>
    <w:rPr>
      <w:rFonts w:ascii="Arial" w:hAnsi="Arial" w:cs="Arial"/>
    </w:rPr>
  </w:style>
  <w:style w:type="paragraph" w:customStyle="1" w:styleId="p46">
    <w:name w:val="p46"/>
    <w:basedOn w:val="Normal"/>
    <w:rsid w:val="00D109DE"/>
    <w:pPr>
      <w:widowControl w:val="0"/>
      <w:tabs>
        <w:tab w:val="left" w:pos="3020"/>
        <w:tab w:val="left" w:pos="3300"/>
      </w:tabs>
      <w:spacing w:before="240" w:after="240" w:line="360" w:lineRule="auto"/>
      <w:ind w:left="1872" w:hanging="288"/>
    </w:pPr>
    <w:rPr>
      <w:rFonts w:ascii="Arial" w:hAnsi="Arial" w:cs="Arial"/>
    </w:rPr>
  </w:style>
  <w:style w:type="paragraph" w:customStyle="1" w:styleId="p47">
    <w:name w:val="p47"/>
    <w:basedOn w:val="Normal"/>
    <w:rsid w:val="00D109DE"/>
    <w:pPr>
      <w:widowControl w:val="0"/>
      <w:tabs>
        <w:tab w:val="left" w:pos="720"/>
      </w:tabs>
      <w:spacing w:before="240" w:after="240" w:line="360" w:lineRule="auto"/>
      <w:ind w:firstLine="357"/>
    </w:pPr>
    <w:rPr>
      <w:rFonts w:ascii="Arial" w:hAnsi="Arial" w:cs="Arial"/>
    </w:rPr>
  </w:style>
  <w:style w:type="paragraph" w:customStyle="1" w:styleId="p2">
    <w:name w:val="p2"/>
    <w:basedOn w:val="Normal"/>
    <w:rsid w:val="00D109DE"/>
    <w:pPr>
      <w:widowControl w:val="0"/>
      <w:tabs>
        <w:tab w:val="left" w:pos="720"/>
      </w:tabs>
      <w:spacing w:before="240" w:after="240" w:line="360" w:lineRule="auto"/>
      <w:ind w:firstLine="357"/>
    </w:pPr>
    <w:rPr>
      <w:rFonts w:cs="Arial"/>
      <w:bCs/>
      <w:sz w:val="22"/>
    </w:rPr>
  </w:style>
  <w:style w:type="paragraph" w:customStyle="1" w:styleId="c22">
    <w:name w:val="c22"/>
    <w:basedOn w:val="Normal"/>
    <w:rsid w:val="00D109DE"/>
    <w:pPr>
      <w:widowControl w:val="0"/>
      <w:spacing w:before="240" w:after="240" w:line="360" w:lineRule="auto"/>
      <w:ind w:firstLine="357"/>
      <w:jc w:val="center"/>
    </w:pPr>
    <w:rPr>
      <w:rFonts w:cs="Arial"/>
      <w:bCs/>
      <w:sz w:val="22"/>
    </w:rPr>
  </w:style>
  <w:style w:type="paragraph" w:customStyle="1" w:styleId="LCAListaGuiones">
    <w:name w:val="LCA Lista Guiones"/>
    <w:basedOn w:val="Normal"/>
    <w:rsid w:val="00D109DE"/>
    <w:pPr>
      <w:numPr>
        <w:numId w:val="166"/>
      </w:numPr>
      <w:spacing w:after="30" w:line="360" w:lineRule="auto"/>
      <w:contextualSpacing/>
    </w:pPr>
    <w:rPr>
      <w:rFonts w:ascii="Arial Narrow" w:hAnsi="Arial Narrow" w:cs="Arial"/>
      <w:sz w:val="20"/>
      <w:szCs w:val="22"/>
      <w:lang w:eastAsia="en-US" w:bidi="en-US"/>
    </w:rPr>
  </w:style>
  <w:style w:type="paragraph" w:customStyle="1" w:styleId="LCAPiedepgina">
    <w:name w:val="LCA Pie de página"/>
    <w:basedOn w:val="Normal"/>
    <w:rsid w:val="00D109DE"/>
    <w:pPr>
      <w:spacing w:before="360" w:after="120" w:line="360" w:lineRule="auto"/>
      <w:ind w:firstLine="357"/>
      <w:jc w:val="center"/>
    </w:pPr>
    <w:rPr>
      <w:rFonts w:ascii="Arial" w:hAnsi="Arial" w:cs="Arial"/>
      <w:iCs/>
      <w:color w:val="6666FF"/>
      <w:sz w:val="14"/>
      <w:szCs w:val="14"/>
      <w:lang w:val="es-ES_tradnl" w:eastAsia="en-US" w:bidi="en-US"/>
    </w:rPr>
  </w:style>
  <w:style w:type="paragraph" w:customStyle="1" w:styleId="LCAPortadaAnejo">
    <w:name w:val="LCA Portada Anejo"/>
    <w:basedOn w:val="LCATextoIndependiente"/>
    <w:rsid w:val="00D109DE"/>
    <w:pPr>
      <w:ind w:firstLine="0"/>
      <w:jc w:val="right"/>
    </w:pPr>
    <w:rPr>
      <w:rFonts w:cs="Arial"/>
      <w:b/>
      <w:i/>
      <w:sz w:val="36"/>
    </w:rPr>
  </w:style>
  <w:style w:type="paragraph" w:customStyle="1" w:styleId="LCATabla0">
    <w:name w:val="LCA Tabla"/>
    <w:basedOn w:val="Normal"/>
    <w:rsid w:val="00D109DE"/>
    <w:pPr>
      <w:spacing w:after="200" w:line="360" w:lineRule="auto"/>
      <w:ind w:firstLine="357"/>
    </w:pPr>
    <w:rPr>
      <w:rFonts w:ascii="Calibri" w:hAnsi="Calibri" w:cs="Arial"/>
      <w:iCs/>
      <w:sz w:val="16"/>
      <w:szCs w:val="16"/>
      <w:lang w:val="es-ES_tradnl" w:eastAsia="en-US" w:bidi="en-US"/>
    </w:rPr>
  </w:style>
  <w:style w:type="paragraph" w:customStyle="1" w:styleId="CM10">
    <w:name w:val="CM10"/>
    <w:basedOn w:val="Normal"/>
    <w:next w:val="Normal"/>
    <w:uiPriority w:val="99"/>
    <w:rsid w:val="00D109DE"/>
    <w:pPr>
      <w:widowControl w:val="0"/>
      <w:autoSpaceDE w:val="0"/>
      <w:autoSpaceDN w:val="0"/>
      <w:adjustRightInd w:val="0"/>
    </w:pPr>
    <w:rPr>
      <w:rFonts w:ascii="FEGLQN+Verdana-Bold" w:eastAsiaTheme="minorEastAsia" w:hAnsi="FEGLQN+Verdana-Bold" w:cstheme="minorBidi"/>
    </w:rPr>
  </w:style>
  <w:style w:type="paragraph" w:customStyle="1" w:styleId="CM9">
    <w:name w:val="CM9"/>
    <w:basedOn w:val="Normal"/>
    <w:next w:val="Normal"/>
    <w:uiPriority w:val="99"/>
    <w:rsid w:val="00D109DE"/>
    <w:pPr>
      <w:widowControl w:val="0"/>
      <w:autoSpaceDE w:val="0"/>
      <w:autoSpaceDN w:val="0"/>
      <w:adjustRightInd w:val="0"/>
    </w:pPr>
    <w:rPr>
      <w:rFonts w:ascii="FEGLQN+Verdana-Bold" w:eastAsiaTheme="minorEastAsia" w:hAnsi="FEGLQN+Verdana-Bold" w:cstheme="minorBidi"/>
    </w:rPr>
  </w:style>
  <w:style w:type="paragraph" w:customStyle="1" w:styleId="CM6">
    <w:name w:val="CM6"/>
    <w:basedOn w:val="Normal"/>
    <w:next w:val="Normal"/>
    <w:uiPriority w:val="99"/>
    <w:rsid w:val="00D109DE"/>
    <w:pPr>
      <w:widowControl w:val="0"/>
      <w:autoSpaceDE w:val="0"/>
      <w:autoSpaceDN w:val="0"/>
      <w:adjustRightInd w:val="0"/>
      <w:spacing w:line="280" w:lineRule="atLeast"/>
    </w:pPr>
    <w:rPr>
      <w:rFonts w:ascii="FEGLQN+Verdana-Bold" w:eastAsiaTheme="minorEastAsia" w:hAnsi="FEGLQN+Verdana-Bold" w:cstheme="minorBidi"/>
    </w:rPr>
  </w:style>
  <w:style w:type="paragraph" w:customStyle="1" w:styleId="Estilo2">
    <w:name w:val="Estilo2"/>
    <w:basedOn w:val="Normal"/>
    <w:qFormat/>
    <w:rsid w:val="00D109DE"/>
    <w:pPr>
      <w:widowControl w:val="0"/>
      <w:spacing w:before="4" w:line="360" w:lineRule="auto"/>
    </w:pPr>
    <w:rPr>
      <w:rFonts w:ascii="Arial" w:eastAsiaTheme="minorHAnsi" w:hAnsi="Arial" w:cstheme="minorBidi"/>
      <w:sz w:val="22"/>
      <w:szCs w:val="15"/>
      <w:lang w:val="en-US" w:eastAsia="en-US"/>
    </w:rPr>
  </w:style>
  <w:style w:type="numbering" w:customStyle="1" w:styleId="Sinlista1">
    <w:name w:val="Sin lista1"/>
    <w:next w:val="Sinlista"/>
    <w:uiPriority w:val="99"/>
    <w:semiHidden/>
    <w:unhideWhenUsed/>
    <w:rsid w:val="00D50726"/>
  </w:style>
  <w:style w:type="character" w:styleId="Refdenotaalpie">
    <w:name w:val="footnote reference"/>
    <w:basedOn w:val="Fuentedeprrafopredeter"/>
    <w:semiHidden/>
    <w:rsid w:val="00D50726"/>
    <w:rPr>
      <w:vertAlign w:val="superscript"/>
    </w:rPr>
  </w:style>
  <w:style w:type="character" w:styleId="Refdecomentario">
    <w:name w:val="annotation reference"/>
    <w:basedOn w:val="Fuentedeprrafopredeter"/>
    <w:semiHidden/>
    <w:rsid w:val="00D50726"/>
    <w:rPr>
      <w:sz w:val="16"/>
      <w:szCs w:val="16"/>
    </w:rPr>
  </w:style>
  <w:style w:type="table" w:customStyle="1" w:styleId="Tablaconcuadrcula1">
    <w:name w:val="Tabla con cuadrícula1"/>
    <w:basedOn w:val="Tablanormal"/>
    <w:next w:val="Tablaconcuadrcula"/>
    <w:rsid w:val="00D50726"/>
    <w:pPr>
      <w:spacing w:before="360" w:after="240" w:line="360" w:lineRule="auto"/>
    </w:pPr>
    <w:rPr>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Textodelmarcadordeposicin">
    <w:name w:val="Placeholder Text"/>
    <w:basedOn w:val="Fuentedeprrafopredeter"/>
    <w:uiPriority w:val="99"/>
    <w:semiHidden/>
    <w:rsid w:val="00D50726"/>
    <w:rPr>
      <w:color w:val="808080"/>
    </w:rPr>
  </w:style>
  <w:style w:type="paragraph" w:customStyle="1" w:styleId="Ttulo10">
    <w:name w:val="Título1"/>
    <w:basedOn w:val="Normal"/>
    <w:next w:val="Normal"/>
    <w:rsid w:val="00D50726"/>
    <w:pPr>
      <w:pBdr>
        <w:bottom w:val="single" w:sz="8" w:space="4" w:color="4F81BD"/>
      </w:pBdr>
      <w:spacing w:after="300"/>
      <w:ind w:firstLine="851"/>
      <w:contextualSpacing/>
      <w:jc w:val="both"/>
    </w:pPr>
    <w:rPr>
      <w:rFonts w:ascii="Cambria" w:hAnsi="Cambria"/>
      <w:color w:val="17365D"/>
      <w:spacing w:val="5"/>
      <w:kern w:val="28"/>
      <w:sz w:val="52"/>
      <w:szCs w:val="52"/>
    </w:rPr>
  </w:style>
  <w:style w:type="paragraph" w:styleId="Revisin">
    <w:name w:val="Revision"/>
    <w:hidden/>
    <w:uiPriority w:val="99"/>
    <w:semiHidden/>
    <w:rsid w:val="00D50726"/>
    <w:pPr>
      <w:spacing w:before="360" w:after="240" w:line="360" w:lineRule="auto"/>
    </w:pPr>
    <w:rPr>
      <w:rFonts w:ascii="Arial" w:hAnsi="Arial"/>
      <w:noProof/>
      <w:sz w:val="24"/>
      <w:lang w:eastAsia="es-ES"/>
    </w:rPr>
  </w:style>
  <w:style w:type="paragraph" w:customStyle="1" w:styleId="Normal20">
    <w:name w:val="Normal2"/>
    <w:basedOn w:val="Normal"/>
    <w:semiHidden/>
    <w:rsid w:val="00D50726"/>
    <w:pPr>
      <w:widowControl w:val="0"/>
      <w:suppressAutoHyphens/>
      <w:spacing w:before="240" w:after="360" w:line="360" w:lineRule="auto"/>
      <w:jc w:val="both"/>
    </w:pPr>
    <w:rPr>
      <w:rFonts w:ascii="Arial" w:hAnsi="Arial"/>
      <w:snapToGrid w:val="0"/>
      <w:sz w:val="22"/>
      <w:szCs w:val="20"/>
      <w:lang w:val="es-ES_tradnl"/>
    </w:rPr>
  </w:style>
  <w:style w:type="character" w:customStyle="1" w:styleId="hps">
    <w:name w:val="hps"/>
    <w:basedOn w:val="Fuentedeprrafopredeter"/>
    <w:rsid w:val="00D50726"/>
  </w:style>
  <w:style w:type="paragraph" w:customStyle="1" w:styleId="LCATexto">
    <w:name w:val="LCA Texto"/>
    <w:basedOn w:val="Normal"/>
    <w:link w:val="LCATextoCar"/>
    <w:qFormat/>
    <w:rsid w:val="00D50726"/>
    <w:pPr>
      <w:spacing w:before="60" w:after="120" w:line="360" w:lineRule="auto"/>
      <w:ind w:firstLine="567"/>
      <w:jc w:val="both"/>
    </w:pPr>
    <w:rPr>
      <w:rFonts w:ascii="Arial" w:eastAsiaTheme="minorHAnsi" w:hAnsi="Arial" w:cs="Arial"/>
      <w:sz w:val="22"/>
      <w:szCs w:val="22"/>
      <w:lang w:eastAsia="en-US"/>
    </w:rPr>
  </w:style>
  <w:style w:type="character" w:customStyle="1" w:styleId="LCATextoCar">
    <w:name w:val="LCA Texto Car"/>
    <w:basedOn w:val="Fuentedeprrafopredeter"/>
    <w:link w:val="LCATexto"/>
    <w:rsid w:val="00D50726"/>
    <w:rPr>
      <w:rFonts w:ascii="Arial" w:eastAsiaTheme="minorHAnsi" w:hAnsi="Arial" w:cs="Arial"/>
      <w:sz w:val="22"/>
      <w:szCs w:val="22"/>
    </w:rPr>
  </w:style>
  <w:style w:type="paragraph" w:customStyle="1" w:styleId="TtulodeTDC1">
    <w:name w:val="Título de TDC1"/>
    <w:basedOn w:val="Ttulo1"/>
    <w:next w:val="Normal"/>
    <w:uiPriority w:val="39"/>
    <w:semiHidden/>
    <w:unhideWhenUsed/>
    <w:qFormat/>
    <w:rsid w:val="00D50726"/>
    <w:pPr>
      <w:keepNext/>
      <w:keepLines/>
      <w:widowControl/>
      <w:spacing w:before="480" w:after="0" w:line="276" w:lineRule="auto"/>
      <w:outlineLvl w:val="9"/>
    </w:pPr>
    <w:rPr>
      <w:rFonts w:ascii="Cambria" w:hAnsi="Cambria" w:cs="Times New Roman"/>
      <w:bCs/>
      <w:noProof w:val="0"/>
      <w:color w:val="365F91"/>
      <w:kern w:val="0"/>
      <w:sz w:val="28"/>
      <w:szCs w:val="28"/>
    </w:rPr>
  </w:style>
  <w:style w:type="character" w:customStyle="1" w:styleId="nfasisintenso1">
    <w:name w:val="Énfasis intenso1"/>
    <w:basedOn w:val="Fuentedeprrafopredeter"/>
    <w:uiPriority w:val="21"/>
    <w:qFormat/>
    <w:rsid w:val="00D50726"/>
    <w:rPr>
      <w:b/>
      <w:bCs/>
      <w:i/>
      <w:iCs/>
      <w:color w:val="4F81BD"/>
    </w:rPr>
  </w:style>
  <w:style w:type="paragraph" w:customStyle="1" w:styleId="Numeracin">
    <w:name w:val="Numeración"/>
    <w:basedOn w:val="Normal"/>
    <w:link w:val="NumeracinCar"/>
    <w:qFormat/>
    <w:rsid w:val="00D50726"/>
    <w:pPr>
      <w:spacing w:after="200" w:line="360" w:lineRule="auto"/>
      <w:ind w:left="717" w:hanging="360"/>
    </w:pPr>
    <w:rPr>
      <w:rFonts w:ascii="Arial" w:hAnsi="Arial" w:cs="Arial"/>
      <w:sz w:val="22"/>
    </w:rPr>
  </w:style>
  <w:style w:type="paragraph" w:customStyle="1" w:styleId="Epigrafe2">
    <w:name w:val="Epigrafe2"/>
    <w:basedOn w:val="Descripcin"/>
    <w:link w:val="Epigrafe2Car"/>
    <w:qFormat/>
    <w:rsid w:val="00D50726"/>
    <w:pPr>
      <w:keepNext/>
      <w:overflowPunct/>
      <w:autoSpaceDE/>
      <w:autoSpaceDN/>
      <w:adjustRightInd/>
      <w:spacing w:before="360" w:after="120" w:line="360" w:lineRule="auto"/>
      <w:ind w:left="851"/>
      <w:textAlignment w:val="auto"/>
    </w:pPr>
    <w:rPr>
      <w:rFonts w:ascii="Arial" w:hAnsi="Arial"/>
      <w:b w:val="0"/>
      <w:bCs/>
      <w:i/>
      <w:sz w:val="22"/>
      <w:u w:val="single"/>
      <w:lang w:eastAsia="es-ES"/>
    </w:rPr>
  </w:style>
  <w:style w:type="character" w:customStyle="1" w:styleId="NumeracinCar">
    <w:name w:val="Numeración Car"/>
    <w:basedOn w:val="Fuentedeprrafopredeter"/>
    <w:link w:val="Numeracin"/>
    <w:rsid w:val="00D50726"/>
    <w:rPr>
      <w:rFonts w:ascii="Arial" w:hAnsi="Arial" w:cs="Arial"/>
      <w:sz w:val="22"/>
      <w:szCs w:val="24"/>
      <w:lang w:eastAsia="es-ES"/>
    </w:rPr>
  </w:style>
  <w:style w:type="character" w:customStyle="1" w:styleId="Epigrafe2Car">
    <w:name w:val="Epigrafe2 Car"/>
    <w:basedOn w:val="DescripcinCar"/>
    <w:link w:val="Epigrafe2"/>
    <w:rsid w:val="00D50726"/>
    <w:rPr>
      <w:rFonts w:ascii="Arial" w:hAnsi="Arial"/>
      <w:b w:val="0"/>
      <w:bCs/>
      <w:i/>
      <w:noProof/>
      <w:sz w:val="22"/>
      <w:u w:val="single"/>
      <w:lang w:eastAsia="es-ES"/>
    </w:rPr>
  </w:style>
  <w:style w:type="paragraph" w:customStyle="1" w:styleId="Tabla2">
    <w:name w:val="Tabla 2"/>
    <w:basedOn w:val="GTTTabla"/>
    <w:link w:val="Tabla2Car"/>
    <w:qFormat/>
    <w:rsid w:val="00D50726"/>
    <w:pPr>
      <w:jc w:val="both"/>
    </w:pPr>
    <w:rPr>
      <w:rFonts w:ascii="Arial" w:hAnsi="Arial" w:cs="Arial"/>
    </w:rPr>
  </w:style>
  <w:style w:type="character" w:customStyle="1" w:styleId="Tabla2Car">
    <w:name w:val="Tabla 2 Car"/>
    <w:basedOn w:val="GTTTablaCar"/>
    <w:link w:val="Tabla2"/>
    <w:rsid w:val="00D50726"/>
    <w:rPr>
      <w:rFonts w:ascii="Arial" w:hAnsi="Arial" w:cs="Arial"/>
      <w:sz w:val="22"/>
      <w:szCs w:val="22"/>
      <w:lang w:eastAsia="es-ES"/>
    </w:rPr>
  </w:style>
  <w:style w:type="paragraph" w:customStyle="1" w:styleId="texto3">
    <w:name w:val="texto3"/>
    <w:basedOn w:val="Normal"/>
    <w:rsid w:val="00D50726"/>
    <w:pPr>
      <w:spacing w:before="100" w:beforeAutospacing="1" w:after="100" w:afterAutospacing="1"/>
    </w:pPr>
  </w:style>
  <w:style w:type="paragraph" w:customStyle="1" w:styleId="texto3mi60">
    <w:name w:val="texto3mi60"/>
    <w:basedOn w:val="Normal"/>
    <w:rsid w:val="00D50726"/>
    <w:pPr>
      <w:spacing w:before="100" w:beforeAutospacing="1" w:after="100" w:afterAutospacing="1"/>
    </w:pPr>
  </w:style>
  <w:style w:type="paragraph" w:styleId="Bibliografa">
    <w:name w:val="Bibliography"/>
    <w:basedOn w:val="Normal"/>
    <w:next w:val="Normal"/>
    <w:uiPriority w:val="37"/>
    <w:semiHidden/>
    <w:unhideWhenUsed/>
    <w:rsid w:val="00D50726"/>
    <w:pPr>
      <w:spacing w:before="120" w:after="120" w:line="360" w:lineRule="auto"/>
      <w:ind w:firstLine="851"/>
      <w:jc w:val="both"/>
    </w:pPr>
    <w:rPr>
      <w:rFonts w:ascii="Arial" w:hAnsi="Arial"/>
      <w:sz w:val="22"/>
      <w:szCs w:val="20"/>
    </w:rPr>
  </w:style>
  <w:style w:type="character" w:customStyle="1" w:styleId="CierreCar">
    <w:name w:val="Cierre Car"/>
    <w:basedOn w:val="Fuentedeprrafopredeter"/>
    <w:link w:val="Cierre"/>
    <w:rsid w:val="00D50726"/>
  </w:style>
  <w:style w:type="paragraph" w:styleId="Cita">
    <w:name w:val="Quote"/>
    <w:basedOn w:val="Normal"/>
    <w:next w:val="Normal"/>
    <w:link w:val="CitaCar"/>
    <w:uiPriority w:val="29"/>
    <w:qFormat/>
    <w:rsid w:val="00D50726"/>
    <w:pPr>
      <w:spacing w:before="120" w:after="120" w:line="360" w:lineRule="auto"/>
      <w:ind w:firstLine="851"/>
      <w:jc w:val="both"/>
    </w:pPr>
    <w:rPr>
      <w:rFonts w:ascii="Arial" w:hAnsi="Arial"/>
      <w:i/>
      <w:iCs/>
      <w:color w:val="000000"/>
      <w:sz w:val="22"/>
      <w:szCs w:val="20"/>
    </w:rPr>
  </w:style>
  <w:style w:type="character" w:customStyle="1" w:styleId="CitaCar">
    <w:name w:val="Cita Car"/>
    <w:basedOn w:val="Fuentedeprrafopredeter"/>
    <w:link w:val="Cita"/>
    <w:uiPriority w:val="29"/>
    <w:rsid w:val="00D50726"/>
    <w:rPr>
      <w:rFonts w:ascii="Arial" w:hAnsi="Arial"/>
      <w:i/>
      <w:iCs/>
      <w:color w:val="000000"/>
      <w:sz w:val="22"/>
      <w:lang w:eastAsia="es-ES"/>
    </w:rPr>
  </w:style>
  <w:style w:type="paragraph" w:styleId="Citadestacada">
    <w:name w:val="Intense Quote"/>
    <w:basedOn w:val="Normal"/>
    <w:next w:val="Normal"/>
    <w:link w:val="CitadestacadaCar"/>
    <w:uiPriority w:val="30"/>
    <w:qFormat/>
    <w:rsid w:val="00D50726"/>
    <w:pPr>
      <w:pBdr>
        <w:bottom w:val="single" w:sz="4" w:space="4" w:color="4F81BD"/>
      </w:pBdr>
      <w:spacing w:before="200" w:after="280" w:line="360" w:lineRule="auto"/>
      <w:ind w:left="936" w:right="936" w:firstLine="851"/>
      <w:jc w:val="both"/>
    </w:pPr>
    <w:rPr>
      <w:rFonts w:ascii="Arial" w:hAnsi="Arial"/>
      <w:b/>
      <w:bCs/>
      <w:i/>
      <w:iCs/>
      <w:color w:val="4F81BD"/>
      <w:sz w:val="22"/>
      <w:szCs w:val="20"/>
    </w:rPr>
  </w:style>
  <w:style w:type="character" w:customStyle="1" w:styleId="CitadestacadaCar">
    <w:name w:val="Cita destacada Car"/>
    <w:basedOn w:val="Fuentedeprrafopredeter"/>
    <w:link w:val="Citadestacada"/>
    <w:uiPriority w:val="30"/>
    <w:rsid w:val="00D50726"/>
    <w:rPr>
      <w:rFonts w:ascii="Arial" w:hAnsi="Arial"/>
      <w:b/>
      <w:bCs/>
      <w:i/>
      <w:iCs/>
      <w:color w:val="4F81BD"/>
      <w:sz w:val="22"/>
      <w:lang w:eastAsia="es-ES"/>
    </w:rPr>
  </w:style>
  <w:style w:type="character" w:customStyle="1" w:styleId="DireccinHTMLCar">
    <w:name w:val="Dirección HTML Car"/>
    <w:basedOn w:val="Fuentedeprrafopredeter"/>
    <w:link w:val="DireccinHTML"/>
    <w:rsid w:val="00D50726"/>
    <w:rPr>
      <w:i/>
      <w:iCs/>
    </w:rPr>
  </w:style>
  <w:style w:type="character" w:customStyle="1" w:styleId="EncabezadodemensajeCar">
    <w:name w:val="Encabezado de mensaje Car"/>
    <w:basedOn w:val="Fuentedeprrafopredeter"/>
    <w:link w:val="Encabezadodemensaje"/>
    <w:rsid w:val="00D50726"/>
    <w:rPr>
      <w:rFonts w:ascii="Arial" w:hAnsi="Arial" w:cs="Arial"/>
      <w:sz w:val="24"/>
      <w:szCs w:val="24"/>
      <w:shd w:val="pct20" w:color="auto" w:fill="auto"/>
    </w:rPr>
  </w:style>
  <w:style w:type="character" w:customStyle="1" w:styleId="EncabezadodenotaCar">
    <w:name w:val="Encabezado de nota Car"/>
    <w:basedOn w:val="Fuentedeprrafopredeter"/>
    <w:link w:val="Encabezadodenota"/>
    <w:rsid w:val="00D50726"/>
  </w:style>
  <w:style w:type="character" w:customStyle="1" w:styleId="FirmaCar">
    <w:name w:val="Firma Car"/>
    <w:basedOn w:val="Fuentedeprrafopredeter"/>
    <w:link w:val="Firma"/>
    <w:rsid w:val="00D50726"/>
  </w:style>
  <w:style w:type="character" w:customStyle="1" w:styleId="FirmadecorreoelectrnicoCar">
    <w:name w:val="Firma de correo electrónico Car"/>
    <w:basedOn w:val="Fuentedeprrafopredeter"/>
    <w:link w:val="Firmadecorreoelectrnico"/>
    <w:rsid w:val="00D50726"/>
  </w:style>
  <w:style w:type="character" w:customStyle="1" w:styleId="HTMLconformatoprevioCar">
    <w:name w:val="HTML con formato previo Car"/>
    <w:basedOn w:val="Fuentedeprrafopredeter"/>
    <w:link w:val="HTMLconformatoprevio"/>
    <w:rsid w:val="00D50726"/>
    <w:rPr>
      <w:rFonts w:ascii="Courier New" w:hAnsi="Courier New" w:cs="Courier New"/>
    </w:rPr>
  </w:style>
  <w:style w:type="character" w:customStyle="1" w:styleId="TextoindependienteprimerasangraCar">
    <w:name w:val="Texto independiente primera sangría Car"/>
    <w:basedOn w:val="TextoindependienteCar"/>
    <w:link w:val="Textoindependienteprimerasangra"/>
    <w:rsid w:val="00D50726"/>
    <w:rPr>
      <w:rFonts w:ascii="Arial" w:hAnsi="Arial" w:cs="Arial"/>
      <w:sz w:val="22"/>
      <w:lang w:val="es-ES_tradnl"/>
    </w:rPr>
  </w:style>
  <w:style w:type="character" w:customStyle="1" w:styleId="TextomacroCar">
    <w:name w:val="Texto macro Car"/>
    <w:basedOn w:val="Fuentedeprrafopredeter"/>
    <w:link w:val="Textomacro"/>
    <w:rsid w:val="00D50726"/>
    <w:rPr>
      <w:rFonts w:ascii="Courier New" w:hAnsi="Courier New" w:cs="Courier New"/>
    </w:rPr>
  </w:style>
  <w:style w:type="character" w:customStyle="1" w:styleId="TextonotaalfinalCar">
    <w:name w:val="Texto nota al final Car"/>
    <w:basedOn w:val="Fuentedeprrafopredeter"/>
    <w:link w:val="Textonotaalfinal"/>
    <w:rsid w:val="00D50726"/>
  </w:style>
  <w:style w:type="character" w:customStyle="1" w:styleId="TextosinformatoCar">
    <w:name w:val="Texto sin formato Car"/>
    <w:basedOn w:val="Fuentedeprrafopredeter"/>
    <w:link w:val="Textosinformato"/>
    <w:rsid w:val="00D50726"/>
    <w:rPr>
      <w:rFonts w:ascii="Courier New" w:hAnsi="Courier New" w:cs="Courier New"/>
    </w:rPr>
  </w:style>
  <w:style w:type="paragraph" w:customStyle="1" w:styleId="parrafo2">
    <w:name w:val="parrafo_2"/>
    <w:basedOn w:val="Normal"/>
    <w:rsid w:val="00D50726"/>
    <w:pPr>
      <w:spacing w:before="100" w:beforeAutospacing="1" w:after="100" w:afterAutospacing="1"/>
    </w:pPr>
  </w:style>
  <w:style w:type="paragraph" w:customStyle="1" w:styleId="parrafo0">
    <w:name w:val="parrafo"/>
    <w:basedOn w:val="Normal"/>
    <w:rsid w:val="00D50726"/>
    <w:pPr>
      <w:spacing w:before="100" w:beforeAutospacing="1" w:after="100" w:afterAutospacing="1"/>
    </w:pPr>
  </w:style>
  <w:style w:type="paragraph" w:customStyle="1" w:styleId="Texto">
    <w:name w:val="Texto"/>
    <w:basedOn w:val="Textoindependiente"/>
    <w:rsid w:val="00D50726"/>
    <w:pPr>
      <w:jc w:val="both"/>
    </w:pPr>
    <w:rPr>
      <w:rFonts w:ascii="CG Times (WN)" w:hAnsi="CG Times (WN)" w:cs="Times New Roman"/>
      <w:lang w:eastAsia="es-ES"/>
    </w:rPr>
  </w:style>
  <w:style w:type="character" w:customStyle="1" w:styleId="subrayado">
    <w:name w:val="subrayado"/>
    <w:basedOn w:val="Fuentedeprrafopredeter"/>
    <w:rsid w:val="00D50726"/>
    <w:rPr>
      <w:rFonts w:ascii="CG Times (WN)" w:hAnsi="CG Times (WN)"/>
      <w:sz w:val="22"/>
      <w:u w:val="single"/>
    </w:rPr>
  </w:style>
  <w:style w:type="paragraph" w:customStyle="1" w:styleId="Textounidad">
    <w:name w:val="Texto unidad"/>
    <w:basedOn w:val="Textoindependiente"/>
    <w:rsid w:val="00D50726"/>
    <w:pPr>
      <w:tabs>
        <w:tab w:val="left" w:pos="284"/>
      </w:tabs>
      <w:spacing w:before="120" w:after="120" w:line="288" w:lineRule="auto"/>
      <w:ind w:left="709" w:hanging="709"/>
      <w:jc w:val="both"/>
    </w:pPr>
    <w:rPr>
      <w:rFonts w:ascii="CG Times" w:hAnsi="CG Times" w:cs="Times New Roman"/>
      <w:b/>
      <w:spacing w:val="-3"/>
      <w:sz w:val="24"/>
      <w:lang w:eastAsia="es-ES"/>
    </w:rPr>
  </w:style>
  <w:style w:type="paragraph" w:customStyle="1" w:styleId="CM25">
    <w:name w:val="CM25"/>
    <w:basedOn w:val="Default"/>
    <w:next w:val="Default"/>
    <w:uiPriority w:val="99"/>
    <w:rsid w:val="00D50726"/>
    <w:rPr>
      <w:rFonts w:ascii="Arial" w:hAnsi="Arial" w:cs="Arial"/>
      <w:color w:val="auto"/>
      <w:lang w:eastAsia="es-ES"/>
    </w:rPr>
  </w:style>
  <w:style w:type="character" w:customStyle="1" w:styleId="TtuloCar1">
    <w:name w:val="Título Car1"/>
    <w:basedOn w:val="Fuentedeprrafopredeter"/>
    <w:uiPriority w:val="10"/>
    <w:rsid w:val="00D50726"/>
    <w:rPr>
      <w:rFonts w:asciiTheme="majorHAnsi" w:eastAsiaTheme="majorEastAsia" w:hAnsiTheme="majorHAnsi" w:cstheme="majorBidi"/>
      <w:color w:val="17365D" w:themeColor="text2" w:themeShade="BF"/>
      <w:spacing w:val="5"/>
      <w:kern w:val="28"/>
      <w:sz w:val="52"/>
      <w:szCs w:val="52"/>
    </w:rPr>
  </w:style>
  <w:style w:type="character" w:styleId="nfasisintenso">
    <w:name w:val="Intense Emphasis"/>
    <w:basedOn w:val="Fuentedeprrafopredeter"/>
    <w:uiPriority w:val="21"/>
    <w:qFormat/>
    <w:rsid w:val="00D50726"/>
    <w:rPr>
      <w:b/>
      <w:bCs/>
      <w:i/>
      <w:iCs/>
      <w:color w:val="4F81BD" w:themeColor="accent1"/>
    </w:rPr>
  </w:style>
  <w:style w:type="paragraph" w:customStyle="1" w:styleId="Finelemento2">
    <w:name w:val="Fin elemento 2"/>
    <w:uiPriority w:val="99"/>
    <w:rsid w:val="00563428"/>
    <w:pPr>
      <w:widowControl w:val="0"/>
      <w:autoSpaceDE w:val="0"/>
      <w:autoSpaceDN w:val="0"/>
      <w:adjustRightInd w:val="0"/>
    </w:pPr>
    <w:rPr>
      <w:rFonts w:ascii="Arial" w:eastAsiaTheme="minorEastAsia" w:hAnsi="Arial" w:cs="Arial"/>
      <w:sz w:val="24"/>
      <w:szCs w:val="24"/>
      <w:lang w:eastAsia="es-ES"/>
    </w:rPr>
  </w:style>
  <w:style w:type="table" w:customStyle="1" w:styleId="Tablaconcuadrcula2">
    <w:name w:val="Tabla con cuadrícula2"/>
    <w:basedOn w:val="Tablanormal"/>
    <w:next w:val="Tablaconcuadrcula"/>
    <w:rsid w:val="00316114"/>
    <w:pPr>
      <w:spacing w:before="360" w:after="240" w:line="360" w:lineRule="auto"/>
    </w:pPr>
    <w:rPr>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rsid w:val="006D3BCE"/>
    <w:pPr>
      <w:spacing w:before="360" w:after="240" w:line="360" w:lineRule="auto"/>
    </w:pPr>
    <w:rPr>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troNormal">
    <w:name w:val="Metro Normal"/>
    <w:basedOn w:val="Normal"/>
    <w:link w:val="MetroNormalCar"/>
    <w:qFormat/>
    <w:rsid w:val="00303581"/>
    <w:pPr>
      <w:overflowPunct w:val="0"/>
      <w:autoSpaceDE w:val="0"/>
      <w:autoSpaceDN w:val="0"/>
      <w:adjustRightInd w:val="0"/>
      <w:spacing w:before="60" w:after="120" w:line="360" w:lineRule="auto"/>
      <w:jc w:val="both"/>
      <w:textAlignment w:val="baseline"/>
    </w:pPr>
    <w:rPr>
      <w:rFonts w:ascii="Calibri" w:hAnsi="Calibri"/>
      <w:spacing w:val="-3"/>
      <w:sz w:val="22"/>
      <w:szCs w:val="22"/>
      <w:lang w:val="es-ES_tradnl" w:eastAsia="x-none"/>
    </w:rPr>
  </w:style>
  <w:style w:type="character" w:customStyle="1" w:styleId="MetroNormalCar">
    <w:name w:val="Metro Normal Car"/>
    <w:link w:val="MetroNormal"/>
    <w:rsid w:val="00303581"/>
    <w:rPr>
      <w:rFonts w:ascii="Calibri" w:hAnsi="Calibri"/>
      <w:spacing w:val="-3"/>
      <w:sz w:val="22"/>
      <w:szCs w:val="22"/>
      <w:lang w:val="es-ES_tradnl" w:eastAsia="x-none"/>
    </w:rPr>
  </w:style>
  <w:style w:type="table" w:customStyle="1" w:styleId="Tablaconcuadrcula8">
    <w:name w:val="Tabla con cuadrícula8"/>
    <w:basedOn w:val="Tablanormal"/>
    <w:next w:val="Tablaconcuadrcula"/>
    <w:rsid w:val="007B35D6"/>
    <w:pPr>
      <w:tabs>
        <w:tab w:val="left" w:pos="567"/>
        <w:tab w:val="left" w:pos="1418"/>
        <w:tab w:val="left" w:pos="1985"/>
        <w:tab w:val="right" w:leader="dot" w:pos="9072"/>
      </w:tabs>
      <w:overflowPunct w:val="0"/>
      <w:autoSpaceDE w:val="0"/>
      <w:autoSpaceDN w:val="0"/>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6655">
      <w:bodyDiv w:val="1"/>
      <w:marLeft w:val="0"/>
      <w:marRight w:val="0"/>
      <w:marTop w:val="0"/>
      <w:marBottom w:val="0"/>
      <w:divBdr>
        <w:top w:val="none" w:sz="0" w:space="0" w:color="auto"/>
        <w:left w:val="none" w:sz="0" w:space="0" w:color="auto"/>
        <w:bottom w:val="none" w:sz="0" w:space="0" w:color="auto"/>
        <w:right w:val="none" w:sz="0" w:space="0" w:color="auto"/>
      </w:divBdr>
    </w:div>
    <w:div w:id="3363038">
      <w:bodyDiv w:val="1"/>
      <w:marLeft w:val="0"/>
      <w:marRight w:val="0"/>
      <w:marTop w:val="0"/>
      <w:marBottom w:val="0"/>
      <w:divBdr>
        <w:top w:val="none" w:sz="0" w:space="0" w:color="auto"/>
        <w:left w:val="none" w:sz="0" w:space="0" w:color="auto"/>
        <w:bottom w:val="none" w:sz="0" w:space="0" w:color="auto"/>
        <w:right w:val="none" w:sz="0" w:space="0" w:color="auto"/>
      </w:divBdr>
    </w:div>
    <w:div w:id="3434052">
      <w:bodyDiv w:val="1"/>
      <w:marLeft w:val="0"/>
      <w:marRight w:val="0"/>
      <w:marTop w:val="0"/>
      <w:marBottom w:val="0"/>
      <w:divBdr>
        <w:top w:val="none" w:sz="0" w:space="0" w:color="auto"/>
        <w:left w:val="none" w:sz="0" w:space="0" w:color="auto"/>
        <w:bottom w:val="none" w:sz="0" w:space="0" w:color="auto"/>
        <w:right w:val="none" w:sz="0" w:space="0" w:color="auto"/>
      </w:divBdr>
    </w:div>
    <w:div w:id="6449012">
      <w:bodyDiv w:val="1"/>
      <w:marLeft w:val="0"/>
      <w:marRight w:val="0"/>
      <w:marTop w:val="0"/>
      <w:marBottom w:val="0"/>
      <w:divBdr>
        <w:top w:val="none" w:sz="0" w:space="0" w:color="auto"/>
        <w:left w:val="none" w:sz="0" w:space="0" w:color="auto"/>
        <w:bottom w:val="none" w:sz="0" w:space="0" w:color="auto"/>
        <w:right w:val="none" w:sz="0" w:space="0" w:color="auto"/>
      </w:divBdr>
    </w:div>
    <w:div w:id="11422045">
      <w:bodyDiv w:val="1"/>
      <w:marLeft w:val="0"/>
      <w:marRight w:val="0"/>
      <w:marTop w:val="0"/>
      <w:marBottom w:val="0"/>
      <w:divBdr>
        <w:top w:val="none" w:sz="0" w:space="0" w:color="auto"/>
        <w:left w:val="none" w:sz="0" w:space="0" w:color="auto"/>
        <w:bottom w:val="none" w:sz="0" w:space="0" w:color="auto"/>
        <w:right w:val="none" w:sz="0" w:space="0" w:color="auto"/>
      </w:divBdr>
    </w:div>
    <w:div w:id="12613496">
      <w:bodyDiv w:val="1"/>
      <w:marLeft w:val="0"/>
      <w:marRight w:val="0"/>
      <w:marTop w:val="0"/>
      <w:marBottom w:val="0"/>
      <w:divBdr>
        <w:top w:val="none" w:sz="0" w:space="0" w:color="auto"/>
        <w:left w:val="none" w:sz="0" w:space="0" w:color="auto"/>
        <w:bottom w:val="none" w:sz="0" w:space="0" w:color="auto"/>
        <w:right w:val="none" w:sz="0" w:space="0" w:color="auto"/>
      </w:divBdr>
    </w:div>
    <w:div w:id="14432185">
      <w:bodyDiv w:val="1"/>
      <w:marLeft w:val="0"/>
      <w:marRight w:val="0"/>
      <w:marTop w:val="0"/>
      <w:marBottom w:val="0"/>
      <w:divBdr>
        <w:top w:val="none" w:sz="0" w:space="0" w:color="auto"/>
        <w:left w:val="none" w:sz="0" w:space="0" w:color="auto"/>
        <w:bottom w:val="none" w:sz="0" w:space="0" w:color="auto"/>
        <w:right w:val="none" w:sz="0" w:space="0" w:color="auto"/>
      </w:divBdr>
    </w:div>
    <w:div w:id="18120510">
      <w:bodyDiv w:val="1"/>
      <w:marLeft w:val="0"/>
      <w:marRight w:val="0"/>
      <w:marTop w:val="0"/>
      <w:marBottom w:val="0"/>
      <w:divBdr>
        <w:top w:val="none" w:sz="0" w:space="0" w:color="auto"/>
        <w:left w:val="none" w:sz="0" w:space="0" w:color="auto"/>
        <w:bottom w:val="none" w:sz="0" w:space="0" w:color="auto"/>
        <w:right w:val="none" w:sz="0" w:space="0" w:color="auto"/>
      </w:divBdr>
    </w:div>
    <w:div w:id="19865551">
      <w:bodyDiv w:val="1"/>
      <w:marLeft w:val="0"/>
      <w:marRight w:val="0"/>
      <w:marTop w:val="0"/>
      <w:marBottom w:val="0"/>
      <w:divBdr>
        <w:top w:val="none" w:sz="0" w:space="0" w:color="auto"/>
        <w:left w:val="none" w:sz="0" w:space="0" w:color="auto"/>
        <w:bottom w:val="none" w:sz="0" w:space="0" w:color="auto"/>
        <w:right w:val="none" w:sz="0" w:space="0" w:color="auto"/>
      </w:divBdr>
    </w:div>
    <w:div w:id="20054088">
      <w:bodyDiv w:val="1"/>
      <w:marLeft w:val="0"/>
      <w:marRight w:val="0"/>
      <w:marTop w:val="0"/>
      <w:marBottom w:val="0"/>
      <w:divBdr>
        <w:top w:val="none" w:sz="0" w:space="0" w:color="auto"/>
        <w:left w:val="none" w:sz="0" w:space="0" w:color="auto"/>
        <w:bottom w:val="none" w:sz="0" w:space="0" w:color="auto"/>
        <w:right w:val="none" w:sz="0" w:space="0" w:color="auto"/>
      </w:divBdr>
    </w:div>
    <w:div w:id="25957526">
      <w:bodyDiv w:val="1"/>
      <w:marLeft w:val="0"/>
      <w:marRight w:val="0"/>
      <w:marTop w:val="0"/>
      <w:marBottom w:val="0"/>
      <w:divBdr>
        <w:top w:val="none" w:sz="0" w:space="0" w:color="auto"/>
        <w:left w:val="none" w:sz="0" w:space="0" w:color="auto"/>
        <w:bottom w:val="none" w:sz="0" w:space="0" w:color="auto"/>
        <w:right w:val="none" w:sz="0" w:space="0" w:color="auto"/>
      </w:divBdr>
    </w:div>
    <w:div w:id="27537018">
      <w:bodyDiv w:val="1"/>
      <w:marLeft w:val="0"/>
      <w:marRight w:val="0"/>
      <w:marTop w:val="0"/>
      <w:marBottom w:val="0"/>
      <w:divBdr>
        <w:top w:val="none" w:sz="0" w:space="0" w:color="auto"/>
        <w:left w:val="none" w:sz="0" w:space="0" w:color="auto"/>
        <w:bottom w:val="none" w:sz="0" w:space="0" w:color="auto"/>
        <w:right w:val="none" w:sz="0" w:space="0" w:color="auto"/>
      </w:divBdr>
    </w:div>
    <w:div w:id="28385719">
      <w:bodyDiv w:val="1"/>
      <w:marLeft w:val="0"/>
      <w:marRight w:val="0"/>
      <w:marTop w:val="0"/>
      <w:marBottom w:val="0"/>
      <w:divBdr>
        <w:top w:val="none" w:sz="0" w:space="0" w:color="auto"/>
        <w:left w:val="none" w:sz="0" w:space="0" w:color="auto"/>
        <w:bottom w:val="none" w:sz="0" w:space="0" w:color="auto"/>
        <w:right w:val="none" w:sz="0" w:space="0" w:color="auto"/>
      </w:divBdr>
    </w:div>
    <w:div w:id="30805535">
      <w:bodyDiv w:val="1"/>
      <w:marLeft w:val="0"/>
      <w:marRight w:val="0"/>
      <w:marTop w:val="0"/>
      <w:marBottom w:val="0"/>
      <w:divBdr>
        <w:top w:val="none" w:sz="0" w:space="0" w:color="auto"/>
        <w:left w:val="none" w:sz="0" w:space="0" w:color="auto"/>
        <w:bottom w:val="none" w:sz="0" w:space="0" w:color="auto"/>
        <w:right w:val="none" w:sz="0" w:space="0" w:color="auto"/>
      </w:divBdr>
    </w:div>
    <w:div w:id="33240394">
      <w:bodyDiv w:val="1"/>
      <w:marLeft w:val="0"/>
      <w:marRight w:val="0"/>
      <w:marTop w:val="0"/>
      <w:marBottom w:val="0"/>
      <w:divBdr>
        <w:top w:val="none" w:sz="0" w:space="0" w:color="auto"/>
        <w:left w:val="none" w:sz="0" w:space="0" w:color="auto"/>
        <w:bottom w:val="none" w:sz="0" w:space="0" w:color="auto"/>
        <w:right w:val="none" w:sz="0" w:space="0" w:color="auto"/>
      </w:divBdr>
    </w:div>
    <w:div w:id="35200527">
      <w:bodyDiv w:val="1"/>
      <w:marLeft w:val="0"/>
      <w:marRight w:val="0"/>
      <w:marTop w:val="0"/>
      <w:marBottom w:val="0"/>
      <w:divBdr>
        <w:top w:val="none" w:sz="0" w:space="0" w:color="auto"/>
        <w:left w:val="none" w:sz="0" w:space="0" w:color="auto"/>
        <w:bottom w:val="none" w:sz="0" w:space="0" w:color="auto"/>
        <w:right w:val="none" w:sz="0" w:space="0" w:color="auto"/>
      </w:divBdr>
    </w:div>
    <w:div w:id="35467142">
      <w:bodyDiv w:val="1"/>
      <w:marLeft w:val="0"/>
      <w:marRight w:val="0"/>
      <w:marTop w:val="0"/>
      <w:marBottom w:val="0"/>
      <w:divBdr>
        <w:top w:val="none" w:sz="0" w:space="0" w:color="auto"/>
        <w:left w:val="none" w:sz="0" w:space="0" w:color="auto"/>
        <w:bottom w:val="none" w:sz="0" w:space="0" w:color="auto"/>
        <w:right w:val="none" w:sz="0" w:space="0" w:color="auto"/>
      </w:divBdr>
    </w:div>
    <w:div w:id="40371466">
      <w:bodyDiv w:val="1"/>
      <w:marLeft w:val="0"/>
      <w:marRight w:val="0"/>
      <w:marTop w:val="0"/>
      <w:marBottom w:val="0"/>
      <w:divBdr>
        <w:top w:val="none" w:sz="0" w:space="0" w:color="auto"/>
        <w:left w:val="none" w:sz="0" w:space="0" w:color="auto"/>
        <w:bottom w:val="none" w:sz="0" w:space="0" w:color="auto"/>
        <w:right w:val="none" w:sz="0" w:space="0" w:color="auto"/>
      </w:divBdr>
    </w:div>
    <w:div w:id="43987208">
      <w:bodyDiv w:val="1"/>
      <w:marLeft w:val="0"/>
      <w:marRight w:val="0"/>
      <w:marTop w:val="0"/>
      <w:marBottom w:val="0"/>
      <w:divBdr>
        <w:top w:val="none" w:sz="0" w:space="0" w:color="auto"/>
        <w:left w:val="none" w:sz="0" w:space="0" w:color="auto"/>
        <w:bottom w:val="none" w:sz="0" w:space="0" w:color="auto"/>
        <w:right w:val="none" w:sz="0" w:space="0" w:color="auto"/>
      </w:divBdr>
    </w:div>
    <w:div w:id="50617525">
      <w:bodyDiv w:val="1"/>
      <w:marLeft w:val="0"/>
      <w:marRight w:val="0"/>
      <w:marTop w:val="0"/>
      <w:marBottom w:val="0"/>
      <w:divBdr>
        <w:top w:val="none" w:sz="0" w:space="0" w:color="auto"/>
        <w:left w:val="none" w:sz="0" w:space="0" w:color="auto"/>
        <w:bottom w:val="none" w:sz="0" w:space="0" w:color="auto"/>
        <w:right w:val="none" w:sz="0" w:space="0" w:color="auto"/>
      </w:divBdr>
    </w:div>
    <w:div w:id="55395313">
      <w:bodyDiv w:val="1"/>
      <w:marLeft w:val="0"/>
      <w:marRight w:val="0"/>
      <w:marTop w:val="0"/>
      <w:marBottom w:val="0"/>
      <w:divBdr>
        <w:top w:val="none" w:sz="0" w:space="0" w:color="auto"/>
        <w:left w:val="none" w:sz="0" w:space="0" w:color="auto"/>
        <w:bottom w:val="none" w:sz="0" w:space="0" w:color="auto"/>
        <w:right w:val="none" w:sz="0" w:space="0" w:color="auto"/>
      </w:divBdr>
    </w:div>
    <w:div w:id="68433099">
      <w:bodyDiv w:val="1"/>
      <w:marLeft w:val="0"/>
      <w:marRight w:val="0"/>
      <w:marTop w:val="0"/>
      <w:marBottom w:val="0"/>
      <w:divBdr>
        <w:top w:val="none" w:sz="0" w:space="0" w:color="auto"/>
        <w:left w:val="none" w:sz="0" w:space="0" w:color="auto"/>
        <w:bottom w:val="none" w:sz="0" w:space="0" w:color="auto"/>
        <w:right w:val="none" w:sz="0" w:space="0" w:color="auto"/>
      </w:divBdr>
    </w:div>
    <w:div w:id="70857937">
      <w:bodyDiv w:val="1"/>
      <w:marLeft w:val="0"/>
      <w:marRight w:val="0"/>
      <w:marTop w:val="0"/>
      <w:marBottom w:val="0"/>
      <w:divBdr>
        <w:top w:val="none" w:sz="0" w:space="0" w:color="auto"/>
        <w:left w:val="none" w:sz="0" w:space="0" w:color="auto"/>
        <w:bottom w:val="none" w:sz="0" w:space="0" w:color="auto"/>
        <w:right w:val="none" w:sz="0" w:space="0" w:color="auto"/>
      </w:divBdr>
    </w:div>
    <w:div w:id="77213588">
      <w:bodyDiv w:val="1"/>
      <w:marLeft w:val="0"/>
      <w:marRight w:val="0"/>
      <w:marTop w:val="0"/>
      <w:marBottom w:val="0"/>
      <w:divBdr>
        <w:top w:val="none" w:sz="0" w:space="0" w:color="auto"/>
        <w:left w:val="none" w:sz="0" w:space="0" w:color="auto"/>
        <w:bottom w:val="none" w:sz="0" w:space="0" w:color="auto"/>
        <w:right w:val="none" w:sz="0" w:space="0" w:color="auto"/>
      </w:divBdr>
    </w:div>
    <w:div w:id="84500839">
      <w:bodyDiv w:val="1"/>
      <w:marLeft w:val="0"/>
      <w:marRight w:val="0"/>
      <w:marTop w:val="0"/>
      <w:marBottom w:val="0"/>
      <w:divBdr>
        <w:top w:val="none" w:sz="0" w:space="0" w:color="auto"/>
        <w:left w:val="none" w:sz="0" w:space="0" w:color="auto"/>
        <w:bottom w:val="none" w:sz="0" w:space="0" w:color="auto"/>
        <w:right w:val="none" w:sz="0" w:space="0" w:color="auto"/>
      </w:divBdr>
    </w:div>
    <w:div w:id="89274355">
      <w:bodyDiv w:val="1"/>
      <w:marLeft w:val="0"/>
      <w:marRight w:val="0"/>
      <w:marTop w:val="0"/>
      <w:marBottom w:val="0"/>
      <w:divBdr>
        <w:top w:val="none" w:sz="0" w:space="0" w:color="auto"/>
        <w:left w:val="none" w:sz="0" w:space="0" w:color="auto"/>
        <w:bottom w:val="none" w:sz="0" w:space="0" w:color="auto"/>
        <w:right w:val="none" w:sz="0" w:space="0" w:color="auto"/>
      </w:divBdr>
    </w:div>
    <w:div w:id="89785410">
      <w:bodyDiv w:val="1"/>
      <w:marLeft w:val="0"/>
      <w:marRight w:val="0"/>
      <w:marTop w:val="0"/>
      <w:marBottom w:val="0"/>
      <w:divBdr>
        <w:top w:val="none" w:sz="0" w:space="0" w:color="auto"/>
        <w:left w:val="none" w:sz="0" w:space="0" w:color="auto"/>
        <w:bottom w:val="none" w:sz="0" w:space="0" w:color="auto"/>
        <w:right w:val="none" w:sz="0" w:space="0" w:color="auto"/>
      </w:divBdr>
    </w:div>
    <w:div w:id="89812325">
      <w:bodyDiv w:val="1"/>
      <w:marLeft w:val="0"/>
      <w:marRight w:val="0"/>
      <w:marTop w:val="0"/>
      <w:marBottom w:val="0"/>
      <w:divBdr>
        <w:top w:val="none" w:sz="0" w:space="0" w:color="auto"/>
        <w:left w:val="none" w:sz="0" w:space="0" w:color="auto"/>
        <w:bottom w:val="none" w:sz="0" w:space="0" w:color="auto"/>
        <w:right w:val="none" w:sz="0" w:space="0" w:color="auto"/>
      </w:divBdr>
    </w:div>
    <w:div w:id="94788838">
      <w:bodyDiv w:val="1"/>
      <w:marLeft w:val="0"/>
      <w:marRight w:val="0"/>
      <w:marTop w:val="0"/>
      <w:marBottom w:val="0"/>
      <w:divBdr>
        <w:top w:val="none" w:sz="0" w:space="0" w:color="auto"/>
        <w:left w:val="none" w:sz="0" w:space="0" w:color="auto"/>
        <w:bottom w:val="none" w:sz="0" w:space="0" w:color="auto"/>
        <w:right w:val="none" w:sz="0" w:space="0" w:color="auto"/>
      </w:divBdr>
    </w:div>
    <w:div w:id="95713825">
      <w:bodyDiv w:val="1"/>
      <w:marLeft w:val="0"/>
      <w:marRight w:val="0"/>
      <w:marTop w:val="0"/>
      <w:marBottom w:val="0"/>
      <w:divBdr>
        <w:top w:val="none" w:sz="0" w:space="0" w:color="auto"/>
        <w:left w:val="none" w:sz="0" w:space="0" w:color="auto"/>
        <w:bottom w:val="none" w:sz="0" w:space="0" w:color="auto"/>
        <w:right w:val="none" w:sz="0" w:space="0" w:color="auto"/>
      </w:divBdr>
    </w:div>
    <w:div w:id="103815547">
      <w:bodyDiv w:val="1"/>
      <w:marLeft w:val="0"/>
      <w:marRight w:val="0"/>
      <w:marTop w:val="0"/>
      <w:marBottom w:val="0"/>
      <w:divBdr>
        <w:top w:val="none" w:sz="0" w:space="0" w:color="auto"/>
        <w:left w:val="none" w:sz="0" w:space="0" w:color="auto"/>
        <w:bottom w:val="none" w:sz="0" w:space="0" w:color="auto"/>
        <w:right w:val="none" w:sz="0" w:space="0" w:color="auto"/>
      </w:divBdr>
    </w:div>
    <w:div w:id="110326715">
      <w:bodyDiv w:val="1"/>
      <w:marLeft w:val="0"/>
      <w:marRight w:val="0"/>
      <w:marTop w:val="0"/>
      <w:marBottom w:val="0"/>
      <w:divBdr>
        <w:top w:val="none" w:sz="0" w:space="0" w:color="auto"/>
        <w:left w:val="none" w:sz="0" w:space="0" w:color="auto"/>
        <w:bottom w:val="none" w:sz="0" w:space="0" w:color="auto"/>
        <w:right w:val="none" w:sz="0" w:space="0" w:color="auto"/>
      </w:divBdr>
    </w:div>
    <w:div w:id="123472127">
      <w:bodyDiv w:val="1"/>
      <w:marLeft w:val="0"/>
      <w:marRight w:val="0"/>
      <w:marTop w:val="0"/>
      <w:marBottom w:val="0"/>
      <w:divBdr>
        <w:top w:val="none" w:sz="0" w:space="0" w:color="auto"/>
        <w:left w:val="none" w:sz="0" w:space="0" w:color="auto"/>
        <w:bottom w:val="none" w:sz="0" w:space="0" w:color="auto"/>
        <w:right w:val="none" w:sz="0" w:space="0" w:color="auto"/>
      </w:divBdr>
    </w:div>
    <w:div w:id="124662534">
      <w:bodyDiv w:val="1"/>
      <w:marLeft w:val="0"/>
      <w:marRight w:val="0"/>
      <w:marTop w:val="0"/>
      <w:marBottom w:val="0"/>
      <w:divBdr>
        <w:top w:val="none" w:sz="0" w:space="0" w:color="auto"/>
        <w:left w:val="none" w:sz="0" w:space="0" w:color="auto"/>
        <w:bottom w:val="none" w:sz="0" w:space="0" w:color="auto"/>
        <w:right w:val="none" w:sz="0" w:space="0" w:color="auto"/>
      </w:divBdr>
    </w:div>
    <w:div w:id="133067906">
      <w:bodyDiv w:val="1"/>
      <w:marLeft w:val="0"/>
      <w:marRight w:val="0"/>
      <w:marTop w:val="0"/>
      <w:marBottom w:val="0"/>
      <w:divBdr>
        <w:top w:val="none" w:sz="0" w:space="0" w:color="auto"/>
        <w:left w:val="none" w:sz="0" w:space="0" w:color="auto"/>
        <w:bottom w:val="none" w:sz="0" w:space="0" w:color="auto"/>
        <w:right w:val="none" w:sz="0" w:space="0" w:color="auto"/>
      </w:divBdr>
    </w:div>
    <w:div w:id="134639931">
      <w:bodyDiv w:val="1"/>
      <w:marLeft w:val="0"/>
      <w:marRight w:val="0"/>
      <w:marTop w:val="0"/>
      <w:marBottom w:val="0"/>
      <w:divBdr>
        <w:top w:val="none" w:sz="0" w:space="0" w:color="auto"/>
        <w:left w:val="none" w:sz="0" w:space="0" w:color="auto"/>
        <w:bottom w:val="none" w:sz="0" w:space="0" w:color="auto"/>
        <w:right w:val="none" w:sz="0" w:space="0" w:color="auto"/>
      </w:divBdr>
    </w:div>
    <w:div w:id="139807306">
      <w:bodyDiv w:val="1"/>
      <w:marLeft w:val="0"/>
      <w:marRight w:val="0"/>
      <w:marTop w:val="0"/>
      <w:marBottom w:val="0"/>
      <w:divBdr>
        <w:top w:val="none" w:sz="0" w:space="0" w:color="auto"/>
        <w:left w:val="none" w:sz="0" w:space="0" w:color="auto"/>
        <w:bottom w:val="none" w:sz="0" w:space="0" w:color="auto"/>
        <w:right w:val="none" w:sz="0" w:space="0" w:color="auto"/>
      </w:divBdr>
    </w:div>
    <w:div w:id="150408201">
      <w:bodyDiv w:val="1"/>
      <w:marLeft w:val="0"/>
      <w:marRight w:val="0"/>
      <w:marTop w:val="0"/>
      <w:marBottom w:val="0"/>
      <w:divBdr>
        <w:top w:val="none" w:sz="0" w:space="0" w:color="auto"/>
        <w:left w:val="none" w:sz="0" w:space="0" w:color="auto"/>
        <w:bottom w:val="none" w:sz="0" w:space="0" w:color="auto"/>
        <w:right w:val="none" w:sz="0" w:space="0" w:color="auto"/>
      </w:divBdr>
    </w:div>
    <w:div w:id="155539298">
      <w:bodyDiv w:val="1"/>
      <w:marLeft w:val="0"/>
      <w:marRight w:val="0"/>
      <w:marTop w:val="0"/>
      <w:marBottom w:val="0"/>
      <w:divBdr>
        <w:top w:val="none" w:sz="0" w:space="0" w:color="auto"/>
        <w:left w:val="none" w:sz="0" w:space="0" w:color="auto"/>
        <w:bottom w:val="none" w:sz="0" w:space="0" w:color="auto"/>
        <w:right w:val="none" w:sz="0" w:space="0" w:color="auto"/>
      </w:divBdr>
    </w:div>
    <w:div w:id="158427453">
      <w:bodyDiv w:val="1"/>
      <w:marLeft w:val="0"/>
      <w:marRight w:val="0"/>
      <w:marTop w:val="0"/>
      <w:marBottom w:val="0"/>
      <w:divBdr>
        <w:top w:val="none" w:sz="0" w:space="0" w:color="auto"/>
        <w:left w:val="none" w:sz="0" w:space="0" w:color="auto"/>
        <w:bottom w:val="none" w:sz="0" w:space="0" w:color="auto"/>
        <w:right w:val="none" w:sz="0" w:space="0" w:color="auto"/>
      </w:divBdr>
    </w:div>
    <w:div w:id="160972216">
      <w:bodyDiv w:val="1"/>
      <w:marLeft w:val="0"/>
      <w:marRight w:val="0"/>
      <w:marTop w:val="0"/>
      <w:marBottom w:val="0"/>
      <w:divBdr>
        <w:top w:val="none" w:sz="0" w:space="0" w:color="auto"/>
        <w:left w:val="none" w:sz="0" w:space="0" w:color="auto"/>
        <w:bottom w:val="none" w:sz="0" w:space="0" w:color="auto"/>
        <w:right w:val="none" w:sz="0" w:space="0" w:color="auto"/>
      </w:divBdr>
    </w:div>
    <w:div w:id="166602315">
      <w:bodyDiv w:val="1"/>
      <w:marLeft w:val="0"/>
      <w:marRight w:val="0"/>
      <w:marTop w:val="0"/>
      <w:marBottom w:val="0"/>
      <w:divBdr>
        <w:top w:val="none" w:sz="0" w:space="0" w:color="auto"/>
        <w:left w:val="none" w:sz="0" w:space="0" w:color="auto"/>
        <w:bottom w:val="none" w:sz="0" w:space="0" w:color="auto"/>
        <w:right w:val="none" w:sz="0" w:space="0" w:color="auto"/>
      </w:divBdr>
    </w:div>
    <w:div w:id="171722994">
      <w:bodyDiv w:val="1"/>
      <w:marLeft w:val="0"/>
      <w:marRight w:val="0"/>
      <w:marTop w:val="0"/>
      <w:marBottom w:val="0"/>
      <w:divBdr>
        <w:top w:val="none" w:sz="0" w:space="0" w:color="auto"/>
        <w:left w:val="none" w:sz="0" w:space="0" w:color="auto"/>
        <w:bottom w:val="none" w:sz="0" w:space="0" w:color="auto"/>
        <w:right w:val="none" w:sz="0" w:space="0" w:color="auto"/>
      </w:divBdr>
    </w:div>
    <w:div w:id="175851080">
      <w:bodyDiv w:val="1"/>
      <w:marLeft w:val="0"/>
      <w:marRight w:val="0"/>
      <w:marTop w:val="0"/>
      <w:marBottom w:val="0"/>
      <w:divBdr>
        <w:top w:val="none" w:sz="0" w:space="0" w:color="auto"/>
        <w:left w:val="none" w:sz="0" w:space="0" w:color="auto"/>
        <w:bottom w:val="none" w:sz="0" w:space="0" w:color="auto"/>
        <w:right w:val="none" w:sz="0" w:space="0" w:color="auto"/>
      </w:divBdr>
    </w:div>
    <w:div w:id="180242149">
      <w:bodyDiv w:val="1"/>
      <w:marLeft w:val="0"/>
      <w:marRight w:val="0"/>
      <w:marTop w:val="0"/>
      <w:marBottom w:val="0"/>
      <w:divBdr>
        <w:top w:val="none" w:sz="0" w:space="0" w:color="auto"/>
        <w:left w:val="none" w:sz="0" w:space="0" w:color="auto"/>
        <w:bottom w:val="none" w:sz="0" w:space="0" w:color="auto"/>
        <w:right w:val="none" w:sz="0" w:space="0" w:color="auto"/>
      </w:divBdr>
    </w:div>
    <w:div w:id="183371414">
      <w:bodyDiv w:val="1"/>
      <w:marLeft w:val="0"/>
      <w:marRight w:val="0"/>
      <w:marTop w:val="0"/>
      <w:marBottom w:val="0"/>
      <w:divBdr>
        <w:top w:val="none" w:sz="0" w:space="0" w:color="auto"/>
        <w:left w:val="none" w:sz="0" w:space="0" w:color="auto"/>
        <w:bottom w:val="none" w:sz="0" w:space="0" w:color="auto"/>
        <w:right w:val="none" w:sz="0" w:space="0" w:color="auto"/>
      </w:divBdr>
    </w:div>
    <w:div w:id="186216724">
      <w:bodyDiv w:val="1"/>
      <w:marLeft w:val="0"/>
      <w:marRight w:val="0"/>
      <w:marTop w:val="0"/>
      <w:marBottom w:val="0"/>
      <w:divBdr>
        <w:top w:val="none" w:sz="0" w:space="0" w:color="auto"/>
        <w:left w:val="none" w:sz="0" w:space="0" w:color="auto"/>
        <w:bottom w:val="none" w:sz="0" w:space="0" w:color="auto"/>
        <w:right w:val="none" w:sz="0" w:space="0" w:color="auto"/>
      </w:divBdr>
    </w:div>
    <w:div w:id="186409626">
      <w:bodyDiv w:val="1"/>
      <w:marLeft w:val="0"/>
      <w:marRight w:val="0"/>
      <w:marTop w:val="0"/>
      <w:marBottom w:val="0"/>
      <w:divBdr>
        <w:top w:val="none" w:sz="0" w:space="0" w:color="auto"/>
        <w:left w:val="none" w:sz="0" w:space="0" w:color="auto"/>
        <w:bottom w:val="none" w:sz="0" w:space="0" w:color="auto"/>
        <w:right w:val="none" w:sz="0" w:space="0" w:color="auto"/>
      </w:divBdr>
    </w:div>
    <w:div w:id="187641078">
      <w:bodyDiv w:val="1"/>
      <w:marLeft w:val="0"/>
      <w:marRight w:val="0"/>
      <w:marTop w:val="0"/>
      <w:marBottom w:val="0"/>
      <w:divBdr>
        <w:top w:val="none" w:sz="0" w:space="0" w:color="auto"/>
        <w:left w:val="none" w:sz="0" w:space="0" w:color="auto"/>
        <w:bottom w:val="none" w:sz="0" w:space="0" w:color="auto"/>
        <w:right w:val="none" w:sz="0" w:space="0" w:color="auto"/>
      </w:divBdr>
    </w:div>
    <w:div w:id="191385882">
      <w:bodyDiv w:val="1"/>
      <w:marLeft w:val="0"/>
      <w:marRight w:val="0"/>
      <w:marTop w:val="0"/>
      <w:marBottom w:val="0"/>
      <w:divBdr>
        <w:top w:val="none" w:sz="0" w:space="0" w:color="auto"/>
        <w:left w:val="none" w:sz="0" w:space="0" w:color="auto"/>
        <w:bottom w:val="none" w:sz="0" w:space="0" w:color="auto"/>
        <w:right w:val="none" w:sz="0" w:space="0" w:color="auto"/>
      </w:divBdr>
    </w:div>
    <w:div w:id="193545990">
      <w:bodyDiv w:val="1"/>
      <w:marLeft w:val="0"/>
      <w:marRight w:val="0"/>
      <w:marTop w:val="0"/>
      <w:marBottom w:val="0"/>
      <w:divBdr>
        <w:top w:val="none" w:sz="0" w:space="0" w:color="auto"/>
        <w:left w:val="none" w:sz="0" w:space="0" w:color="auto"/>
        <w:bottom w:val="none" w:sz="0" w:space="0" w:color="auto"/>
        <w:right w:val="none" w:sz="0" w:space="0" w:color="auto"/>
      </w:divBdr>
    </w:div>
    <w:div w:id="204176055">
      <w:bodyDiv w:val="1"/>
      <w:marLeft w:val="0"/>
      <w:marRight w:val="0"/>
      <w:marTop w:val="0"/>
      <w:marBottom w:val="0"/>
      <w:divBdr>
        <w:top w:val="none" w:sz="0" w:space="0" w:color="auto"/>
        <w:left w:val="none" w:sz="0" w:space="0" w:color="auto"/>
        <w:bottom w:val="none" w:sz="0" w:space="0" w:color="auto"/>
        <w:right w:val="none" w:sz="0" w:space="0" w:color="auto"/>
      </w:divBdr>
    </w:div>
    <w:div w:id="205723138">
      <w:bodyDiv w:val="1"/>
      <w:marLeft w:val="0"/>
      <w:marRight w:val="0"/>
      <w:marTop w:val="0"/>
      <w:marBottom w:val="0"/>
      <w:divBdr>
        <w:top w:val="none" w:sz="0" w:space="0" w:color="auto"/>
        <w:left w:val="none" w:sz="0" w:space="0" w:color="auto"/>
        <w:bottom w:val="none" w:sz="0" w:space="0" w:color="auto"/>
        <w:right w:val="none" w:sz="0" w:space="0" w:color="auto"/>
      </w:divBdr>
    </w:div>
    <w:div w:id="213007655">
      <w:bodyDiv w:val="1"/>
      <w:marLeft w:val="0"/>
      <w:marRight w:val="0"/>
      <w:marTop w:val="0"/>
      <w:marBottom w:val="0"/>
      <w:divBdr>
        <w:top w:val="none" w:sz="0" w:space="0" w:color="auto"/>
        <w:left w:val="none" w:sz="0" w:space="0" w:color="auto"/>
        <w:bottom w:val="none" w:sz="0" w:space="0" w:color="auto"/>
        <w:right w:val="none" w:sz="0" w:space="0" w:color="auto"/>
      </w:divBdr>
    </w:div>
    <w:div w:id="215745561">
      <w:bodyDiv w:val="1"/>
      <w:marLeft w:val="0"/>
      <w:marRight w:val="0"/>
      <w:marTop w:val="0"/>
      <w:marBottom w:val="0"/>
      <w:divBdr>
        <w:top w:val="none" w:sz="0" w:space="0" w:color="auto"/>
        <w:left w:val="none" w:sz="0" w:space="0" w:color="auto"/>
        <w:bottom w:val="none" w:sz="0" w:space="0" w:color="auto"/>
        <w:right w:val="none" w:sz="0" w:space="0" w:color="auto"/>
      </w:divBdr>
    </w:div>
    <w:div w:id="221865816">
      <w:bodyDiv w:val="1"/>
      <w:marLeft w:val="0"/>
      <w:marRight w:val="0"/>
      <w:marTop w:val="0"/>
      <w:marBottom w:val="0"/>
      <w:divBdr>
        <w:top w:val="none" w:sz="0" w:space="0" w:color="auto"/>
        <w:left w:val="none" w:sz="0" w:space="0" w:color="auto"/>
        <w:bottom w:val="none" w:sz="0" w:space="0" w:color="auto"/>
        <w:right w:val="none" w:sz="0" w:space="0" w:color="auto"/>
      </w:divBdr>
    </w:div>
    <w:div w:id="223834474">
      <w:bodyDiv w:val="1"/>
      <w:marLeft w:val="0"/>
      <w:marRight w:val="0"/>
      <w:marTop w:val="0"/>
      <w:marBottom w:val="0"/>
      <w:divBdr>
        <w:top w:val="none" w:sz="0" w:space="0" w:color="auto"/>
        <w:left w:val="none" w:sz="0" w:space="0" w:color="auto"/>
        <w:bottom w:val="none" w:sz="0" w:space="0" w:color="auto"/>
        <w:right w:val="none" w:sz="0" w:space="0" w:color="auto"/>
      </w:divBdr>
    </w:div>
    <w:div w:id="226888858">
      <w:bodyDiv w:val="1"/>
      <w:marLeft w:val="0"/>
      <w:marRight w:val="0"/>
      <w:marTop w:val="0"/>
      <w:marBottom w:val="0"/>
      <w:divBdr>
        <w:top w:val="none" w:sz="0" w:space="0" w:color="auto"/>
        <w:left w:val="none" w:sz="0" w:space="0" w:color="auto"/>
        <w:bottom w:val="none" w:sz="0" w:space="0" w:color="auto"/>
        <w:right w:val="none" w:sz="0" w:space="0" w:color="auto"/>
      </w:divBdr>
    </w:div>
    <w:div w:id="226956390">
      <w:bodyDiv w:val="1"/>
      <w:marLeft w:val="0"/>
      <w:marRight w:val="0"/>
      <w:marTop w:val="0"/>
      <w:marBottom w:val="0"/>
      <w:divBdr>
        <w:top w:val="none" w:sz="0" w:space="0" w:color="auto"/>
        <w:left w:val="none" w:sz="0" w:space="0" w:color="auto"/>
        <w:bottom w:val="none" w:sz="0" w:space="0" w:color="auto"/>
        <w:right w:val="none" w:sz="0" w:space="0" w:color="auto"/>
      </w:divBdr>
    </w:div>
    <w:div w:id="227039998">
      <w:bodyDiv w:val="1"/>
      <w:marLeft w:val="0"/>
      <w:marRight w:val="0"/>
      <w:marTop w:val="0"/>
      <w:marBottom w:val="0"/>
      <w:divBdr>
        <w:top w:val="none" w:sz="0" w:space="0" w:color="auto"/>
        <w:left w:val="none" w:sz="0" w:space="0" w:color="auto"/>
        <w:bottom w:val="none" w:sz="0" w:space="0" w:color="auto"/>
        <w:right w:val="none" w:sz="0" w:space="0" w:color="auto"/>
      </w:divBdr>
    </w:div>
    <w:div w:id="227686905">
      <w:bodyDiv w:val="1"/>
      <w:marLeft w:val="0"/>
      <w:marRight w:val="0"/>
      <w:marTop w:val="0"/>
      <w:marBottom w:val="0"/>
      <w:divBdr>
        <w:top w:val="none" w:sz="0" w:space="0" w:color="auto"/>
        <w:left w:val="none" w:sz="0" w:space="0" w:color="auto"/>
        <w:bottom w:val="none" w:sz="0" w:space="0" w:color="auto"/>
        <w:right w:val="none" w:sz="0" w:space="0" w:color="auto"/>
      </w:divBdr>
    </w:div>
    <w:div w:id="231233305">
      <w:bodyDiv w:val="1"/>
      <w:marLeft w:val="0"/>
      <w:marRight w:val="0"/>
      <w:marTop w:val="0"/>
      <w:marBottom w:val="0"/>
      <w:divBdr>
        <w:top w:val="none" w:sz="0" w:space="0" w:color="auto"/>
        <w:left w:val="none" w:sz="0" w:space="0" w:color="auto"/>
        <w:bottom w:val="none" w:sz="0" w:space="0" w:color="auto"/>
        <w:right w:val="none" w:sz="0" w:space="0" w:color="auto"/>
      </w:divBdr>
    </w:div>
    <w:div w:id="233784337">
      <w:bodyDiv w:val="1"/>
      <w:marLeft w:val="0"/>
      <w:marRight w:val="0"/>
      <w:marTop w:val="0"/>
      <w:marBottom w:val="0"/>
      <w:divBdr>
        <w:top w:val="none" w:sz="0" w:space="0" w:color="auto"/>
        <w:left w:val="none" w:sz="0" w:space="0" w:color="auto"/>
        <w:bottom w:val="none" w:sz="0" w:space="0" w:color="auto"/>
        <w:right w:val="none" w:sz="0" w:space="0" w:color="auto"/>
      </w:divBdr>
    </w:div>
    <w:div w:id="234510725">
      <w:bodyDiv w:val="1"/>
      <w:marLeft w:val="0"/>
      <w:marRight w:val="0"/>
      <w:marTop w:val="0"/>
      <w:marBottom w:val="0"/>
      <w:divBdr>
        <w:top w:val="none" w:sz="0" w:space="0" w:color="auto"/>
        <w:left w:val="none" w:sz="0" w:space="0" w:color="auto"/>
        <w:bottom w:val="none" w:sz="0" w:space="0" w:color="auto"/>
        <w:right w:val="none" w:sz="0" w:space="0" w:color="auto"/>
      </w:divBdr>
    </w:div>
    <w:div w:id="236018583">
      <w:bodyDiv w:val="1"/>
      <w:marLeft w:val="0"/>
      <w:marRight w:val="0"/>
      <w:marTop w:val="0"/>
      <w:marBottom w:val="0"/>
      <w:divBdr>
        <w:top w:val="none" w:sz="0" w:space="0" w:color="auto"/>
        <w:left w:val="none" w:sz="0" w:space="0" w:color="auto"/>
        <w:bottom w:val="none" w:sz="0" w:space="0" w:color="auto"/>
        <w:right w:val="none" w:sz="0" w:space="0" w:color="auto"/>
      </w:divBdr>
    </w:div>
    <w:div w:id="240675678">
      <w:bodyDiv w:val="1"/>
      <w:marLeft w:val="0"/>
      <w:marRight w:val="0"/>
      <w:marTop w:val="0"/>
      <w:marBottom w:val="0"/>
      <w:divBdr>
        <w:top w:val="none" w:sz="0" w:space="0" w:color="auto"/>
        <w:left w:val="none" w:sz="0" w:space="0" w:color="auto"/>
        <w:bottom w:val="none" w:sz="0" w:space="0" w:color="auto"/>
        <w:right w:val="none" w:sz="0" w:space="0" w:color="auto"/>
      </w:divBdr>
    </w:div>
    <w:div w:id="241064980">
      <w:bodyDiv w:val="1"/>
      <w:marLeft w:val="0"/>
      <w:marRight w:val="0"/>
      <w:marTop w:val="0"/>
      <w:marBottom w:val="0"/>
      <w:divBdr>
        <w:top w:val="none" w:sz="0" w:space="0" w:color="auto"/>
        <w:left w:val="none" w:sz="0" w:space="0" w:color="auto"/>
        <w:bottom w:val="none" w:sz="0" w:space="0" w:color="auto"/>
        <w:right w:val="none" w:sz="0" w:space="0" w:color="auto"/>
      </w:divBdr>
    </w:div>
    <w:div w:id="244192650">
      <w:bodyDiv w:val="1"/>
      <w:marLeft w:val="0"/>
      <w:marRight w:val="0"/>
      <w:marTop w:val="0"/>
      <w:marBottom w:val="0"/>
      <w:divBdr>
        <w:top w:val="none" w:sz="0" w:space="0" w:color="auto"/>
        <w:left w:val="none" w:sz="0" w:space="0" w:color="auto"/>
        <w:bottom w:val="none" w:sz="0" w:space="0" w:color="auto"/>
        <w:right w:val="none" w:sz="0" w:space="0" w:color="auto"/>
      </w:divBdr>
    </w:div>
    <w:div w:id="258948077">
      <w:bodyDiv w:val="1"/>
      <w:marLeft w:val="0"/>
      <w:marRight w:val="0"/>
      <w:marTop w:val="0"/>
      <w:marBottom w:val="0"/>
      <w:divBdr>
        <w:top w:val="none" w:sz="0" w:space="0" w:color="auto"/>
        <w:left w:val="none" w:sz="0" w:space="0" w:color="auto"/>
        <w:bottom w:val="none" w:sz="0" w:space="0" w:color="auto"/>
        <w:right w:val="none" w:sz="0" w:space="0" w:color="auto"/>
      </w:divBdr>
    </w:div>
    <w:div w:id="260534620">
      <w:bodyDiv w:val="1"/>
      <w:marLeft w:val="0"/>
      <w:marRight w:val="0"/>
      <w:marTop w:val="0"/>
      <w:marBottom w:val="0"/>
      <w:divBdr>
        <w:top w:val="none" w:sz="0" w:space="0" w:color="auto"/>
        <w:left w:val="none" w:sz="0" w:space="0" w:color="auto"/>
        <w:bottom w:val="none" w:sz="0" w:space="0" w:color="auto"/>
        <w:right w:val="none" w:sz="0" w:space="0" w:color="auto"/>
      </w:divBdr>
    </w:div>
    <w:div w:id="261228983">
      <w:bodyDiv w:val="1"/>
      <w:marLeft w:val="0"/>
      <w:marRight w:val="0"/>
      <w:marTop w:val="0"/>
      <w:marBottom w:val="0"/>
      <w:divBdr>
        <w:top w:val="none" w:sz="0" w:space="0" w:color="auto"/>
        <w:left w:val="none" w:sz="0" w:space="0" w:color="auto"/>
        <w:bottom w:val="none" w:sz="0" w:space="0" w:color="auto"/>
        <w:right w:val="none" w:sz="0" w:space="0" w:color="auto"/>
      </w:divBdr>
    </w:div>
    <w:div w:id="264507514">
      <w:bodyDiv w:val="1"/>
      <w:marLeft w:val="0"/>
      <w:marRight w:val="0"/>
      <w:marTop w:val="0"/>
      <w:marBottom w:val="0"/>
      <w:divBdr>
        <w:top w:val="none" w:sz="0" w:space="0" w:color="auto"/>
        <w:left w:val="none" w:sz="0" w:space="0" w:color="auto"/>
        <w:bottom w:val="none" w:sz="0" w:space="0" w:color="auto"/>
        <w:right w:val="none" w:sz="0" w:space="0" w:color="auto"/>
      </w:divBdr>
    </w:div>
    <w:div w:id="265846002">
      <w:bodyDiv w:val="1"/>
      <w:marLeft w:val="0"/>
      <w:marRight w:val="0"/>
      <w:marTop w:val="0"/>
      <w:marBottom w:val="0"/>
      <w:divBdr>
        <w:top w:val="none" w:sz="0" w:space="0" w:color="auto"/>
        <w:left w:val="none" w:sz="0" w:space="0" w:color="auto"/>
        <w:bottom w:val="none" w:sz="0" w:space="0" w:color="auto"/>
        <w:right w:val="none" w:sz="0" w:space="0" w:color="auto"/>
      </w:divBdr>
    </w:div>
    <w:div w:id="272176435">
      <w:bodyDiv w:val="1"/>
      <w:marLeft w:val="0"/>
      <w:marRight w:val="0"/>
      <w:marTop w:val="0"/>
      <w:marBottom w:val="0"/>
      <w:divBdr>
        <w:top w:val="none" w:sz="0" w:space="0" w:color="auto"/>
        <w:left w:val="none" w:sz="0" w:space="0" w:color="auto"/>
        <w:bottom w:val="none" w:sz="0" w:space="0" w:color="auto"/>
        <w:right w:val="none" w:sz="0" w:space="0" w:color="auto"/>
      </w:divBdr>
    </w:div>
    <w:div w:id="278227096">
      <w:bodyDiv w:val="1"/>
      <w:marLeft w:val="0"/>
      <w:marRight w:val="0"/>
      <w:marTop w:val="0"/>
      <w:marBottom w:val="0"/>
      <w:divBdr>
        <w:top w:val="none" w:sz="0" w:space="0" w:color="auto"/>
        <w:left w:val="none" w:sz="0" w:space="0" w:color="auto"/>
        <w:bottom w:val="none" w:sz="0" w:space="0" w:color="auto"/>
        <w:right w:val="none" w:sz="0" w:space="0" w:color="auto"/>
      </w:divBdr>
    </w:div>
    <w:div w:id="288704247">
      <w:bodyDiv w:val="1"/>
      <w:marLeft w:val="0"/>
      <w:marRight w:val="0"/>
      <w:marTop w:val="0"/>
      <w:marBottom w:val="0"/>
      <w:divBdr>
        <w:top w:val="none" w:sz="0" w:space="0" w:color="auto"/>
        <w:left w:val="none" w:sz="0" w:space="0" w:color="auto"/>
        <w:bottom w:val="none" w:sz="0" w:space="0" w:color="auto"/>
        <w:right w:val="none" w:sz="0" w:space="0" w:color="auto"/>
      </w:divBdr>
    </w:div>
    <w:div w:id="292098683">
      <w:bodyDiv w:val="1"/>
      <w:marLeft w:val="0"/>
      <w:marRight w:val="0"/>
      <w:marTop w:val="0"/>
      <w:marBottom w:val="0"/>
      <w:divBdr>
        <w:top w:val="none" w:sz="0" w:space="0" w:color="auto"/>
        <w:left w:val="none" w:sz="0" w:space="0" w:color="auto"/>
        <w:bottom w:val="none" w:sz="0" w:space="0" w:color="auto"/>
        <w:right w:val="none" w:sz="0" w:space="0" w:color="auto"/>
      </w:divBdr>
    </w:div>
    <w:div w:id="299001298">
      <w:bodyDiv w:val="1"/>
      <w:marLeft w:val="0"/>
      <w:marRight w:val="0"/>
      <w:marTop w:val="0"/>
      <w:marBottom w:val="0"/>
      <w:divBdr>
        <w:top w:val="none" w:sz="0" w:space="0" w:color="auto"/>
        <w:left w:val="none" w:sz="0" w:space="0" w:color="auto"/>
        <w:bottom w:val="none" w:sz="0" w:space="0" w:color="auto"/>
        <w:right w:val="none" w:sz="0" w:space="0" w:color="auto"/>
      </w:divBdr>
    </w:div>
    <w:div w:id="299918859">
      <w:bodyDiv w:val="1"/>
      <w:marLeft w:val="0"/>
      <w:marRight w:val="0"/>
      <w:marTop w:val="0"/>
      <w:marBottom w:val="0"/>
      <w:divBdr>
        <w:top w:val="none" w:sz="0" w:space="0" w:color="auto"/>
        <w:left w:val="none" w:sz="0" w:space="0" w:color="auto"/>
        <w:bottom w:val="none" w:sz="0" w:space="0" w:color="auto"/>
        <w:right w:val="none" w:sz="0" w:space="0" w:color="auto"/>
      </w:divBdr>
    </w:div>
    <w:div w:id="301927741">
      <w:bodyDiv w:val="1"/>
      <w:marLeft w:val="0"/>
      <w:marRight w:val="0"/>
      <w:marTop w:val="0"/>
      <w:marBottom w:val="0"/>
      <w:divBdr>
        <w:top w:val="none" w:sz="0" w:space="0" w:color="auto"/>
        <w:left w:val="none" w:sz="0" w:space="0" w:color="auto"/>
        <w:bottom w:val="none" w:sz="0" w:space="0" w:color="auto"/>
        <w:right w:val="none" w:sz="0" w:space="0" w:color="auto"/>
      </w:divBdr>
    </w:div>
    <w:div w:id="306250959">
      <w:bodyDiv w:val="1"/>
      <w:marLeft w:val="0"/>
      <w:marRight w:val="0"/>
      <w:marTop w:val="0"/>
      <w:marBottom w:val="0"/>
      <w:divBdr>
        <w:top w:val="none" w:sz="0" w:space="0" w:color="auto"/>
        <w:left w:val="none" w:sz="0" w:space="0" w:color="auto"/>
        <w:bottom w:val="none" w:sz="0" w:space="0" w:color="auto"/>
        <w:right w:val="none" w:sz="0" w:space="0" w:color="auto"/>
      </w:divBdr>
    </w:div>
    <w:div w:id="306513041">
      <w:bodyDiv w:val="1"/>
      <w:marLeft w:val="0"/>
      <w:marRight w:val="0"/>
      <w:marTop w:val="0"/>
      <w:marBottom w:val="0"/>
      <w:divBdr>
        <w:top w:val="none" w:sz="0" w:space="0" w:color="auto"/>
        <w:left w:val="none" w:sz="0" w:space="0" w:color="auto"/>
        <w:bottom w:val="none" w:sz="0" w:space="0" w:color="auto"/>
        <w:right w:val="none" w:sz="0" w:space="0" w:color="auto"/>
      </w:divBdr>
    </w:div>
    <w:div w:id="306864603">
      <w:bodyDiv w:val="1"/>
      <w:marLeft w:val="0"/>
      <w:marRight w:val="0"/>
      <w:marTop w:val="0"/>
      <w:marBottom w:val="0"/>
      <w:divBdr>
        <w:top w:val="none" w:sz="0" w:space="0" w:color="auto"/>
        <w:left w:val="none" w:sz="0" w:space="0" w:color="auto"/>
        <w:bottom w:val="none" w:sz="0" w:space="0" w:color="auto"/>
        <w:right w:val="none" w:sz="0" w:space="0" w:color="auto"/>
      </w:divBdr>
    </w:div>
    <w:div w:id="312225870">
      <w:bodyDiv w:val="1"/>
      <w:marLeft w:val="0"/>
      <w:marRight w:val="0"/>
      <w:marTop w:val="0"/>
      <w:marBottom w:val="0"/>
      <w:divBdr>
        <w:top w:val="none" w:sz="0" w:space="0" w:color="auto"/>
        <w:left w:val="none" w:sz="0" w:space="0" w:color="auto"/>
        <w:bottom w:val="none" w:sz="0" w:space="0" w:color="auto"/>
        <w:right w:val="none" w:sz="0" w:space="0" w:color="auto"/>
      </w:divBdr>
    </w:div>
    <w:div w:id="313681980">
      <w:bodyDiv w:val="1"/>
      <w:marLeft w:val="0"/>
      <w:marRight w:val="0"/>
      <w:marTop w:val="0"/>
      <w:marBottom w:val="0"/>
      <w:divBdr>
        <w:top w:val="none" w:sz="0" w:space="0" w:color="auto"/>
        <w:left w:val="none" w:sz="0" w:space="0" w:color="auto"/>
        <w:bottom w:val="none" w:sz="0" w:space="0" w:color="auto"/>
        <w:right w:val="none" w:sz="0" w:space="0" w:color="auto"/>
      </w:divBdr>
    </w:div>
    <w:div w:id="314341851">
      <w:bodyDiv w:val="1"/>
      <w:marLeft w:val="0"/>
      <w:marRight w:val="0"/>
      <w:marTop w:val="0"/>
      <w:marBottom w:val="0"/>
      <w:divBdr>
        <w:top w:val="none" w:sz="0" w:space="0" w:color="auto"/>
        <w:left w:val="none" w:sz="0" w:space="0" w:color="auto"/>
        <w:bottom w:val="none" w:sz="0" w:space="0" w:color="auto"/>
        <w:right w:val="none" w:sz="0" w:space="0" w:color="auto"/>
      </w:divBdr>
    </w:div>
    <w:div w:id="316543582">
      <w:bodyDiv w:val="1"/>
      <w:marLeft w:val="0"/>
      <w:marRight w:val="0"/>
      <w:marTop w:val="0"/>
      <w:marBottom w:val="0"/>
      <w:divBdr>
        <w:top w:val="none" w:sz="0" w:space="0" w:color="auto"/>
        <w:left w:val="none" w:sz="0" w:space="0" w:color="auto"/>
        <w:bottom w:val="none" w:sz="0" w:space="0" w:color="auto"/>
        <w:right w:val="none" w:sz="0" w:space="0" w:color="auto"/>
      </w:divBdr>
    </w:div>
    <w:div w:id="317148255">
      <w:bodyDiv w:val="1"/>
      <w:marLeft w:val="0"/>
      <w:marRight w:val="0"/>
      <w:marTop w:val="0"/>
      <w:marBottom w:val="0"/>
      <w:divBdr>
        <w:top w:val="none" w:sz="0" w:space="0" w:color="auto"/>
        <w:left w:val="none" w:sz="0" w:space="0" w:color="auto"/>
        <w:bottom w:val="none" w:sz="0" w:space="0" w:color="auto"/>
        <w:right w:val="none" w:sz="0" w:space="0" w:color="auto"/>
      </w:divBdr>
    </w:div>
    <w:div w:id="317534901">
      <w:bodyDiv w:val="1"/>
      <w:marLeft w:val="0"/>
      <w:marRight w:val="0"/>
      <w:marTop w:val="0"/>
      <w:marBottom w:val="0"/>
      <w:divBdr>
        <w:top w:val="none" w:sz="0" w:space="0" w:color="auto"/>
        <w:left w:val="none" w:sz="0" w:space="0" w:color="auto"/>
        <w:bottom w:val="none" w:sz="0" w:space="0" w:color="auto"/>
        <w:right w:val="none" w:sz="0" w:space="0" w:color="auto"/>
      </w:divBdr>
    </w:div>
    <w:div w:id="335962259">
      <w:bodyDiv w:val="1"/>
      <w:marLeft w:val="0"/>
      <w:marRight w:val="0"/>
      <w:marTop w:val="0"/>
      <w:marBottom w:val="0"/>
      <w:divBdr>
        <w:top w:val="none" w:sz="0" w:space="0" w:color="auto"/>
        <w:left w:val="none" w:sz="0" w:space="0" w:color="auto"/>
        <w:bottom w:val="none" w:sz="0" w:space="0" w:color="auto"/>
        <w:right w:val="none" w:sz="0" w:space="0" w:color="auto"/>
      </w:divBdr>
    </w:div>
    <w:div w:id="336923716">
      <w:bodyDiv w:val="1"/>
      <w:marLeft w:val="0"/>
      <w:marRight w:val="0"/>
      <w:marTop w:val="0"/>
      <w:marBottom w:val="0"/>
      <w:divBdr>
        <w:top w:val="none" w:sz="0" w:space="0" w:color="auto"/>
        <w:left w:val="none" w:sz="0" w:space="0" w:color="auto"/>
        <w:bottom w:val="none" w:sz="0" w:space="0" w:color="auto"/>
        <w:right w:val="none" w:sz="0" w:space="0" w:color="auto"/>
      </w:divBdr>
    </w:div>
    <w:div w:id="349796950">
      <w:bodyDiv w:val="1"/>
      <w:marLeft w:val="0"/>
      <w:marRight w:val="0"/>
      <w:marTop w:val="0"/>
      <w:marBottom w:val="0"/>
      <w:divBdr>
        <w:top w:val="none" w:sz="0" w:space="0" w:color="auto"/>
        <w:left w:val="none" w:sz="0" w:space="0" w:color="auto"/>
        <w:bottom w:val="none" w:sz="0" w:space="0" w:color="auto"/>
        <w:right w:val="none" w:sz="0" w:space="0" w:color="auto"/>
      </w:divBdr>
    </w:div>
    <w:div w:id="352390679">
      <w:bodyDiv w:val="1"/>
      <w:marLeft w:val="0"/>
      <w:marRight w:val="0"/>
      <w:marTop w:val="0"/>
      <w:marBottom w:val="0"/>
      <w:divBdr>
        <w:top w:val="none" w:sz="0" w:space="0" w:color="auto"/>
        <w:left w:val="none" w:sz="0" w:space="0" w:color="auto"/>
        <w:bottom w:val="none" w:sz="0" w:space="0" w:color="auto"/>
        <w:right w:val="none" w:sz="0" w:space="0" w:color="auto"/>
      </w:divBdr>
    </w:div>
    <w:div w:id="356467838">
      <w:bodyDiv w:val="1"/>
      <w:marLeft w:val="0"/>
      <w:marRight w:val="0"/>
      <w:marTop w:val="0"/>
      <w:marBottom w:val="0"/>
      <w:divBdr>
        <w:top w:val="none" w:sz="0" w:space="0" w:color="auto"/>
        <w:left w:val="none" w:sz="0" w:space="0" w:color="auto"/>
        <w:bottom w:val="none" w:sz="0" w:space="0" w:color="auto"/>
        <w:right w:val="none" w:sz="0" w:space="0" w:color="auto"/>
      </w:divBdr>
    </w:div>
    <w:div w:id="364137832">
      <w:bodyDiv w:val="1"/>
      <w:marLeft w:val="0"/>
      <w:marRight w:val="0"/>
      <w:marTop w:val="0"/>
      <w:marBottom w:val="0"/>
      <w:divBdr>
        <w:top w:val="none" w:sz="0" w:space="0" w:color="auto"/>
        <w:left w:val="none" w:sz="0" w:space="0" w:color="auto"/>
        <w:bottom w:val="none" w:sz="0" w:space="0" w:color="auto"/>
        <w:right w:val="none" w:sz="0" w:space="0" w:color="auto"/>
      </w:divBdr>
    </w:div>
    <w:div w:id="366836837">
      <w:bodyDiv w:val="1"/>
      <w:marLeft w:val="0"/>
      <w:marRight w:val="0"/>
      <w:marTop w:val="0"/>
      <w:marBottom w:val="0"/>
      <w:divBdr>
        <w:top w:val="none" w:sz="0" w:space="0" w:color="auto"/>
        <w:left w:val="none" w:sz="0" w:space="0" w:color="auto"/>
        <w:bottom w:val="none" w:sz="0" w:space="0" w:color="auto"/>
        <w:right w:val="none" w:sz="0" w:space="0" w:color="auto"/>
      </w:divBdr>
    </w:div>
    <w:div w:id="371272904">
      <w:bodyDiv w:val="1"/>
      <w:marLeft w:val="0"/>
      <w:marRight w:val="0"/>
      <w:marTop w:val="0"/>
      <w:marBottom w:val="0"/>
      <w:divBdr>
        <w:top w:val="none" w:sz="0" w:space="0" w:color="auto"/>
        <w:left w:val="none" w:sz="0" w:space="0" w:color="auto"/>
        <w:bottom w:val="none" w:sz="0" w:space="0" w:color="auto"/>
        <w:right w:val="none" w:sz="0" w:space="0" w:color="auto"/>
      </w:divBdr>
    </w:div>
    <w:div w:id="372314385">
      <w:bodyDiv w:val="1"/>
      <w:marLeft w:val="0"/>
      <w:marRight w:val="0"/>
      <w:marTop w:val="0"/>
      <w:marBottom w:val="0"/>
      <w:divBdr>
        <w:top w:val="none" w:sz="0" w:space="0" w:color="auto"/>
        <w:left w:val="none" w:sz="0" w:space="0" w:color="auto"/>
        <w:bottom w:val="none" w:sz="0" w:space="0" w:color="auto"/>
        <w:right w:val="none" w:sz="0" w:space="0" w:color="auto"/>
      </w:divBdr>
    </w:div>
    <w:div w:id="372925829">
      <w:bodyDiv w:val="1"/>
      <w:marLeft w:val="0"/>
      <w:marRight w:val="0"/>
      <w:marTop w:val="0"/>
      <w:marBottom w:val="0"/>
      <w:divBdr>
        <w:top w:val="none" w:sz="0" w:space="0" w:color="auto"/>
        <w:left w:val="none" w:sz="0" w:space="0" w:color="auto"/>
        <w:bottom w:val="none" w:sz="0" w:space="0" w:color="auto"/>
        <w:right w:val="none" w:sz="0" w:space="0" w:color="auto"/>
      </w:divBdr>
    </w:div>
    <w:div w:id="379402534">
      <w:bodyDiv w:val="1"/>
      <w:marLeft w:val="0"/>
      <w:marRight w:val="0"/>
      <w:marTop w:val="0"/>
      <w:marBottom w:val="0"/>
      <w:divBdr>
        <w:top w:val="none" w:sz="0" w:space="0" w:color="auto"/>
        <w:left w:val="none" w:sz="0" w:space="0" w:color="auto"/>
        <w:bottom w:val="none" w:sz="0" w:space="0" w:color="auto"/>
        <w:right w:val="none" w:sz="0" w:space="0" w:color="auto"/>
      </w:divBdr>
    </w:div>
    <w:div w:id="380322608">
      <w:bodyDiv w:val="1"/>
      <w:marLeft w:val="0"/>
      <w:marRight w:val="0"/>
      <w:marTop w:val="0"/>
      <w:marBottom w:val="0"/>
      <w:divBdr>
        <w:top w:val="none" w:sz="0" w:space="0" w:color="auto"/>
        <w:left w:val="none" w:sz="0" w:space="0" w:color="auto"/>
        <w:bottom w:val="none" w:sz="0" w:space="0" w:color="auto"/>
        <w:right w:val="none" w:sz="0" w:space="0" w:color="auto"/>
      </w:divBdr>
    </w:div>
    <w:div w:id="380448730">
      <w:bodyDiv w:val="1"/>
      <w:marLeft w:val="0"/>
      <w:marRight w:val="0"/>
      <w:marTop w:val="0"/>
      <w:marBottom w:val="0"/>
      <w:divBdr>
        <w:top w:val="none" w:sz="0" w:space="0" w:color="auto"/>
        <w:left w:val="none" w:sz="0" w:space="0" w:color="auto"/>
        <w:bottom w:val="none" w:sz="0" w:space="0" w:color="auto"/>
        <w:right w:val="none" w:sz="0" w:space="0" w:color="auto"/>
      </w:divBdr>
    </w:div>
    <w:div w:id="382559489">
      <w:bodyDiv w:val="1"/>
      <w:marLeft w:val="0"/>
      <w:marRight w:val="0"/>
      <w:marTop w:val="0"/>
      <w:marBottom w:val="0"/>
      <w:divBdr>
        <w:top w:val="none" w:sz="0" w:space="0" w:color="auto"/>
        <w:left w:val="none" w:sz="0" w:space="0" w:color="auto"/>
        <w:bottom w:val="none" w:sz="0" w:space="0" w:color="auto"/>
        <w:right w:val="none" w:sz="0" w:space="0" w:color="auto"/>
      </w:divBdr>
    </w:div>
    <w:div w:id="385029640">
      <w:bodyDiv w:val="1"/>
      <w:marLeft w:val="0"/>
      <w:marRight w:val="0"/>
      <w:marTop w:val="0"/>
      <w:marBottom w:val="0"/>
      <w:divBdr>
        <w:top w:val="none" w:sz="0" w:space="0" w:color="auto"/>
        <w:left w:val="none" w:sz="0" w:space="0" w:color="auto"/>
        <w:bottom w:val="none" w:sz="0" w:space="0" w:color="auto"/>
        <w:right w:val="none" w:sz="0" w:space="0" w:color="auto"/>
      </w:divBdr>
    </w:div>
    <w:div w:id="391663432">
      <w:bodyDiv w:val="1"/>
      <w:marLeft w:val="0"/>
      <w:marRight w:val="0"/>
      <w:marTop w:val="0"/>
      <w:marBottom w:val="0"/>
      <w:divBdr>
        <w:top w:val="none" w:sz="0" w:space="0" w:color="auto"/>
        <w:left w:val="none" w:sz="0" w:space="0" w:color="auto"/>
        <w:bottom w:val="none" w:sz="0" w:space="0" w:color="auto"/>
        <w:right w:val="none" w:sz="0" w:space="0" w:color="auto"/>
      </w:divBdr>
    </w:div>
    <w:div w:id="392117396">
      <w:bodyDiv w:val="1"/>
      <w:marLeft w:val="0"/>
      <w:marRight w:val="0"/>
      <w:marTop w:val="0"/>
      <w:marBottom w:val="0"/>
      <w:divBdr>
        <w:top w:val="none" w:sz="0" w:space="0" w:color="auto"/>
        <w:left w:val="none" w:sz="0" w:space="0" w:color="auto"/>
        <w:bottom w:val="none" w:sz="0" w:space="0" w:color="auto"/>
        <w:right w:val="none" w:sz="0" w:space="0" w:color="auto"/>
      </w:divBdr>
    </w:div>
    <w:div w:id="394279367">
      <w:bodyDiv w:val="1"/>
      <w:marLeft w:val="0"/>
      <w:marRight w:val="0"/>
      <w:marTop w:val="0"/>
      <w:marBottom w:val="0"/>
      <w:divBdr>
        <w:top w:val="none" w:sz="0" w:space="0" w:color="auto"/>
        <w:left w:val="none" w:sz="0" w:space="0" w:color="auto"/>
        <w:bottom w:val="none" w:sz="0" w:space="0" w:color="auto"/>
        <w:right w:val="none" w:sz="0" w:space="0" w:color="auto"/>
      </w:divBdr>
    </w:div>
    <w:div w:id="398093577">
      <w:bodyDiv w:val="1"/>
      <w:marLeft w:val="0"/>
      <w:marRight w:val="0"/>
      <w:marTop w:val="0"/>
      <w:marBottom w:val="0"/>
      <w:divBdr>
        <w:top w:val="none" w:sz="0" w:space="0" w:color="auto"/>
        <w:left w:val="none" w:sz="0" w:space="0" w:color="auto"/>
        <w:bottom w:val="none" w:sz="0" w:space="0" w:color="auto"/>
        <w:right w:val="none" w:sz="0" w:space="0" w:color="auto"/>
      </w:divBdr>
    </w:div>
    <w:div w:id="398669440">
      <w:bodyDiv w:val="1"/>
      <w:marLeft w:val="0"/>
      <w:marRight w:val="0"/>
      <w:marTop w:val="0"/>
      <w:marBottom w:val="0"/>
      <w:divBdr>
        <w:top w:val="none" w:sz="0" w:space="0" w:color="auto"/>
        <w:left w:val="none" w:sz="0" w:space="0" w:color="auto"/>
        <w:bottom w:val="none" w:sz="0" w:space="0" w:color="auto"/>
        <w:right w:val="none" w:sz="0" w:space="0" w:color="auto"/>
      </w:divBdr>
    </w:div>
    <w:div w:id="400641740">
      <w:bodyDiv w:val="1"/>
      <w:marLeft w:val="0"/>
      <w:marRight w:val="0"/>
      <w:marTop w:val="0"/>
      <w:marBottom w:val="0"/>
      <w:divBdr>
        <w:top w:val="none" w:sz="0" w:space="0" w:color="auto"/>
        <w:left w:val="none" w:sz="0" w:space="0" w:color="auto"/>
        <w:bottom w:val="none" w:sz="0" w:space="0" w:color="auto"/>
        <w:right w:val="none" w:sz="0" w:space="0" w:color="auto"/>
      </w:divBdr>
    </w:div>
    <w:div w:id="402218650">
      <w:bodyDiv w:val="1"/>
      <w:marLeft w:val="0"/>
      <w:marRight w:val="0"/>
      <w:marTop w:val="0"/>
      <w:marBottom w:val="0"/>
      <w:divBdr>
        <w:top w:val="none" w:sz="0" w:space="0" w:color="auto"/>
        <w:left w:val="none" w:sz="0" w:space="0" w:color="auto"/>
        <w:bottom w:val="none" w:sz="0" w:space="0" w:color="auto"/>
        <w:right w:val="none" w:sz="0" w:space="0" w:color="auto"/>
      </w:divBdr>
    </w:div>
    <w:div w:id="410934971">
      <w:bodyDiv w:val="1"/>
      <w:marLeft w:val="0"/>
      <w:marRight w:val="0"/>
      <w:marTop w:val="0"/>
      <w:marBottom w:val="0"/>
      <w:divBdr>
        <w:top w:val="none" w:sz="0" w:space="0" w:color="auto"/>
        <w:left w:val="none" w:sz="0" w:space="0" w:color="auto"/>
        <w:bottom w:val="none" w:sz="0" w:space="0" w:color="auto"/>
        <w:right w:val="none" w:sz="0" w:space="0" w:color="auto"/>
      </w:divBdr>
    </w:div>
    <w:div w:id="415130768">
      <w:bodyDiv w:val="1"/>
      <w:marLeft w:val="0"/>
      <w:marRight w:val="0"/>
      <w:marTop w:val="0"/>
      <w:marBottom w:val="0"/>
      <w:divBdr>
        <w:top w:val="none" w:sz="0" w:space="0" w:color="auto"/>
        <w:left w:val="none" w:sz="0" w:space="0" w:color="auto"/>
        <w:bottom w:val="none" w:sz="0" w:space="0" w:color="auto"/>
        <w:right w:val="none" w:sz="0" w:space="0" w:color="auto"/>
      </w:divBdr>
    </w:div>
    <w:div w:id="425614223">
      <w:bodyDiv w:val="1"/>
      <w:marLeft w:val="0"/>
      <w:marRight w:val="0"/>
      <w:marTop w:val="0"/>
      <w:marBottom w:val="0"/>
      <w:divBdr>
        <w:top w:val="none" w:sz="0" w:space="0" w:color="auto"/>
        <w:left w:val="none" w:sz="0" w:space="0" w:color="auto"/>
        <w:bottom w:val="none" w:sz="0" w:space="0" w:color="auto"/>
        <w:right w:val="none" w:sz="0" w:space="0" w:color="auto"/>
      </w:divBdr>
    </w:div>
    <w:div w:id="426462633">
      <w:bodyDiv w:val="1"/>
      <w:marLeft w:val="0"/>
      <w:marRight w:val="0"/>
      <w:marTop w:val="0"/>
      <w:marBottom w:val="0"/>
      <w:divBdr>
        <w:top w:val="none" w:sz="0" w:space="0" w:color="auto"/>
        <w:left w:val="none" w:sz="0" w:space="0" w:color="auto"/>
        <w:bottom w:val="none" w:sz="0" w:space="0" w:color="auto"/>
        <w:right w:val="none" w:sz="0" w:space="0" w:color="auto"/>
      </w:divBdr>
    </w:div>
    <w:div w:id="426539933">
      <w:bodyDiv w:val="1"/>
      <w:marLeft w:val="0"/>
      <w:marRight w:val="0"/>
      <w:marTop w:val="0"/>
      <w:marBottom w:val="0"/>
      <w:divBdr>
        <w:top w:val="none" w:sz="0" w:space="0" w:color="auto"/>
        <w:left w:val="none" w:sz="0" w:space="0" w:color="auto"/>
        <w:bottom w:val="none" w:sz="0" w:space="0" w:color="auto"/>
        <w:right w:val="none" w:sz="0" w:space="0" w:color="auto"/>
      </w:divBdr>
    </w:div>
    <w:div w:id="432628013">
      <w:bodyDiv w:val="1"/>
      <w:marLeft w:val="0"/>
      <w:marRight w:val="0"/>
      <w:marTop w:val="0"/>
      <w:marBottom w:val="0"/>
      <w:divBdr>
        <w:top w:val="none" w:sz="0" w:space="0" w:color="auto"/>
        <w:left w:val="none" w:sz="0" w:space="0" w:color="auto"/>
        <w:bottom w:val="none" w:sz="0" w:space="0" w:color="auto"/>
        <w:right w:val="none" w:sz="0" w:space="0" w:color="auto"/>
      </w:divBdr>
    </w:div>
    <w:div w:id="444621610">
      <w:bodyDiv w:val="1"/>
      <w:marLeft w:val="0"/>
      <w:marRight w:val="0"/>
      <w:marTop w:val="0"/>
      <w:marBottom w:val="0"/>
      <w:divBdr>
        <w:top w:val="none" w:sz="0" w:space="0" w:color="auto"/>
        <w:left w:val="none" w:sz="0" w:space="0" w:color="auto"/>
        <w:bottom w:val="none" w:sz="0" w:space="0" w:color="auto"/>
        <w:right w:val="none" w:sz="0" w:space="0" w:color="auto"/>
      </w:divBdr>
    </w:div>
    <w:div w:id="449084795">
      <w:bodyDiv w:val="1"/>
      <w:marLeft w:val="0"/>
      <w:marRight w:val="0"/>
      <w:marTop w:val="0"/>
      <w:marBottom w:val="0"/>
      <w:divBdr>
        <w:top w:val="none" w:sz="0" w:space="0" w:color="auto"/>
        <w:left w:val="none" w:sz="0" w:space="0" w:color="auto"/>
        <w:bottom w:val="none" w:sz="0" w:space="0" w:color="auto"/>
        <w:right w:val="none" w:sz="0" w:space="0" w:color="auto"/>
      </w:divBdr>
    </w:div>
    <w:div w:id="450395325">
      <w:bodyDiv w:val="1"/>
      <w:marLeft w:val="0"/>
      <w:marRight w:val="0"/>
      <w:marTop w:val="0"/>
      <w:marBottom w:val="0"/>
      <w:divBdr>
        <w:top w:val="none" w:sz="0" w:space="0" w:color="auto"/>
        <w:left w:val="none" w:sz="0" w:space="0" w:color="auto"/>
        <w:bottom w:val="none" w:sz="0" w:space="0" w:color="auto"/>
        <w:right w:val="none" w:sz="0" w:space="0" w:color="auto"/>
      </w:divBdr>
    </w:div>
    <w:div w:id="452558509">
      <w:bodyDiv w:val="1"/>
      <w:marLeft w:val="0"/>
      <w:marRight w:val="0"/>
      <w:marTop w:val="0"/>
      <w:marBottom w:val="0"/>
      <w:divBdr>
        <w:top w:val="none" w:sz="0" w:space="0" w:color="auto"/>
        <w:left w:val="none" w:sz="0" w:space="0" w:color="auto"/>
        <w:bottom w:val="none" w:sz="0" w:space="0" w:color="auto"/>
        <w:right w:val="none" w:sz="0" w:space="0" w:color="auto"/>
      </w:divBdr>
    </w:div>
    <w:div w:id="452946375">
      <w:bodyDiv w:val="1"/>
      <w:marLeft w:val="0"/>
      <w:marRight w:val="0"/>
      <w:marTop w:val="0"/>
      <w:marBottom w:val="0"/>
      <w:divBdr>
        <w:top w:val="none" w:sz="0" w:space="0" w:color="auto"/>
        <w:left w:val="none" w:sz="0" w:space="0" w:color="auto"/>
        <w:bottom w:val="none" w:sz="0" w:space="0" w:color="auto"/>
        <w:right w:val="none" w:sz="0" w:space="0" w:color="auto"/>
      </w:divBdr>
    </w:div>
    <w:div w:id="467556709">
      <w:bodyDiv w:val="1"/>
      <w:marLeft w:val="0"/>
      <w:marRight w:val="0"/>
      <w:marTop w:val="0"/>
      <w:marBottom w:val="0"/>
      <w:divBdr>
        <w:top w:val="none" w:sz="0" w:space="0" w:color="auto"/>
        <w:left w:val="none" w:sz="0" w:space="0" w:color="auto"/>
        <w:bottom w:val="none" w:sz="0" w:space="0" w:color="auto"/>
        <w:right w:val="none" w:sz="0" w:space="0" w:color="auto"/>
      </w:divBdr>
    </w:div>
    <w:div w:id="471749596">
      <w:bodyDiv w:val="1"/>
      <w:marLeft w:val="0"/>
      <w:marRight w:val="0"/>
      <w:marTop w:val="0"/>
      <w:marBottom w:val="0"/>
      <w:divBdr>
        <w:top w:val="none" w:sz="0" w:space="0" w:color="auto"/>
        <w:left w:val="none" w:sz="0" w:space="0" w:color="auto"/>
        <w:bottom w:val="none" w:sz="0" w:space="0" w:color="auto"/>
        <w:right w:val="none" w:sz="0" w:space="0" w:color="auto"/>
      </w:divBdr>
    </w:div>
    <w:div w:id="477455506">
      <w:bodyDiv w:val="1"/>
      <w:marLeft w:val="0"/>
      <w:marRight w:val="0"/>
      <w:marTop w:val="0"/>
      <w:marBottom w:val="0"/>
      <w:divBdr>
        <w:top w:val="none" w:sz="0" w:space="0" w:color="auto"/>
        <w:left w:val="none" w:sz="0" w:space="0" w:color="auto"/>
        <w:bottom w:val="none" w:sz="0" w:space="0" w:color="auto"/>
        <w:right w:val="none" w:sz="0" w:space="0" w:color="auto"/>
      </w:divBdr>
    </w:div>
    <w:div w:id="485324480">
      <w:bodyDiv w:val="1"/>
      <w:marLeft w:val="0"/>
      <w:marRight w:val="0"/>
      <w:marTop w:val="0"/>
      <w:marBottom w:val="0"/>
      <w:divBdr>
        <w:top w:val="none" w:sz="0" w:space="0" w:color="auto"/>
        <w:left w:val="none" w:sz="0" w:space="0" w:color="auto"/>
        <w:bottom w:val="none" w:sz="0" w:space="0" w:color="auto"/>
        <w:right w:val="none" w:sz="0" w:space="0" w:color="auto"/>
      </w:divBdr>
    </w:div>
    <w:div w:id="486938537">
      <w:bodyDiv w:val="1"/>
      <w:marLeft w:val="0"/>
      <w:marRight w:val="0"/>
      <w:marTop w:val="0"/>
      <w:marBottom w:val="0"/>
      <w:divBdr>
        <w:top w:val="none" w:sz="0" w:space="0" w:color="auto"/>
        <w:left w:val="none" w:sz="0" w:space="0" w:color="auto"/>
        <w:bottom w:val="none" w:sz="0" w:space="0" w:color="auto"/>
        <w:right w:val="none" w:sz="0" w:space="0" w:color="auto"/>
      </w:divBdr>
    </w:div>
    <w:div w:id="492373019">
      <w:bodyDiv w:val="1"/>
      <w:marLeft w:val="0"/>
      <w:marRight w:val="0"/>
      <w:marTop w:val="0"/>
      <w:marBottom w:val="0"/>
      <w:divBdr>
        <w:top w:val="none" w:sz="0" w:space="0" w:color="auto"/>
        <w:left w:val="none" w:sz="0" w:space="0" w:color="auto"/>
        <w:bottom w:val="none" w:sz="0" w:space="0" w:color="auto"/>
        <w:right w:val="none" w:sz="0" w:space="0" w:color="auto"/>
      </w:divBdr>
    </w:div>
    <w:div w:id="499153105">
      <w:bodyDiv w:val="1"/>
      <w:marLeft w:val="0"/>
      <w:marRight w:val="0"/>
      <w:marTop w:val="0"/>
      <w:marBottom w:val="0"/>
      <w:divBdr>
        <w:top w:val="none" w:sz="0" w:space="0" w:color="auto"/>
        <w:left w:val="none" w:sz="0" w:space="0" w:color="auto"/>
        <w:bottom w:val="none" w:sz="0" w:space="0" w:color="auto"/>
        <w:right w:val="none" w:sz="0" w:space="0" w:color="auto"/>
      </w:divBdr>
    </w:div>
    <w:div w:id="499539851">
      <w:bodyDiv w:val="1"/>
      <w:marLeft w:val="0"/>
      <w:marRight w:val="0"/>
      <w:marTop w:val="0"/>
      <w:marBottom w:val="0"/>
      <w:divBdr>
        <w:top w:val="none" w:sz="0" w:space="0" w:color="auto"/>
        <w:left w:val="none" w:sz="0" w:space="0" w:color="auto"/>
        <w:bottom w:val="none" w:sz="0" w:space="0" w:color="auto"/>
        <w:right w:val="none" w:sz="0" w:space="0" w:color="auto"/>
      </w:divBdr>
    </w:div>
    <w:div w:id="504824337">
      <w:bodyDiv w:val="1"/>
      <w:marLeft w:val="0"/>
      <w:marRight w:val="0"/>
      <w:marTop w:val="0"/>
      <w:marBottom w:val="0"/>
      <w:divBdr>
        <w:top w:val="none" w:sz="0" w:space="0" w:color="auto"/>
        <w:left w:val="none" w:sz="0" w:space="0" w:color="auto"/>
        <w:bottom w:val="none" w:sz="0" w:space="0" w:color="auto"/>
        <w:right w:val="none" w:sz="0" w:space="0" w:color="auto"/>
      </w:divBdr>
    </w:div>
    <w:div w:id="505290939">
      <w:bodyDiv w:val="1"/>
      <w:marLeft w:val="0"/>
      <w:marRight w:val="0"/>
      <w:marTop w:val="0"/>
      <w:marBottom w:val="0"/>
      <w:divBdr>
        <w:top w:val="none" w:sz="0" w:space="0" w:color="auto"/>
        <w:left w:val="none" w:sz="0" w:space="0" w:color="auto"/>
        <w:bottom w:val="none" w:sz="0" w:space="0" w:color="auto"/>
        <w:right w:val="none" w:sz="0" w:space="0" w:color="auto"/>
      </w:divBdr>
    </w:div>
    <w:div w:id="512959724">
      <w:bodyDiv w:val="1"/>
      <w:marLeft w:val="0"/>
      <w:marRight w:val="0"/>
      <w:marTop w:val="0"/>
      <w:marBottom w:val="0"/>
      <w:divBdr>
        <w:top w:val="none" w:sz="0" w:space="0" w:color="auto"/>
        <w:left w:val="none" w:sz="0" w:space="0" w:color="auto"/>
        <w:bottom w:val="none" w:sz="0" w:space="0" w:color="auto"/>
        <w:right w:val="none" w:sz="0" w:space="0" w:color="auto"/>
      </w:divBdr>
    </w:div>
    <w:div w:id="519659401">
      <w:bodyDiv w:val="1"/>
      <w:marLeft w:val="0"/>
      <w:marRight w:val="0"/>
      <w:marTop w:val="0"/>
      <w:marBottom w:val="0"/>
      <w:divBdr>
        <w:top w:val="none" w:sz="0" w:space="0" w:color="auto"/>
        <w:left w:val="none" w:sz="0" w:space="0" w:color="auto"/>
        <w:bottom w:val="none" w:sz="0" w:space="0" w:color="auto"/>
        <w:right w:val="none" w:sz="0" w:space="0" w:color="auto"/>
      </w:divBdr>
    </w:div>
    <w:div w:id="521866423">
      <w:bodyDiv w:val="1"/>
      <w:marLeft w:val="0"/>
      <w:marRight w:val="0"/>
      <w:marTop w:val="0"/>
      <w:marBottom w:val="0"/>
      <w:divBdr>
        <w:top w:val="none" w:sz="0" w:space="0" w:color="auto"/>
        <w:left w:val="none" w:sz="0" w:space="0" w:color="auto"/>
        <w:bottom w:val="none" w:sz="0" w:space="0" w:color="auto"/>
        <w:right w:val="none" w:sz="0" w:space="0" w:color="auto"/>
      </w:divBdr>
    </w:div>
    <w:div w:id="524683339">
      <w:bodyDiv w:val="1"/>
      <w:marLeft w:val="0"/>
      <w:marRight w:val="0"/>
      <w:marTop w:val="0"/>
      <w:marBottom w:val="0"/>
      <w:divBdr>
        <w:top w:val="none" w:sz="0" w:space="0" w:color="auto"/>
        <w:left w:val="none" w:sz="0" w:space="0" w:color="auto"/>
        <w:bottom w:val="none" w:sz="0" w:space="0" w:color="auto"/>
        <w:right w:val="none" w:sz="0" w:space="0" w:color="auto"/>
      </w:divBdr>
    </w:div>
    <w:div w:id="524947596">
      <w:bodyDiv w:val="1"/>
      <w:marLeft w:val="0"/>
      <w:marRight w:val="0"/>
      <w:marTop w:val="0"/>
      <w:marBottom w:val="0"/>
      <w:divBdr>
        <w:top w:val="none" w:sz="0" w:space="0" w:color="auto"/>
        <w:left w:val="none" w:sz="0" w:space="0" w:color="auto"/>
        <w:bottom w:val="none" w:sz="0" w:space="0" w:color="auto"/>
        <w:right w:val="none" w:sz="0" w:space="0" w:color="auto"/>
      </w:divBdr>
    </w:div>
    <w:div w:id="526258737">
      <w:bodyDiv w:val="1"/>
      <w:marLeft w:val="0"/>
      <w:marRight w:val="0"/>
      <w:marTop w:val="0"/>
      <w:marBottom w:val="0"/>
      <w:divBdr>
        <w:top w:val="none" w:sz="0" w:space="0" w:color="auto"/>
        <w:left w:val="none" w:sz="0" w:space="0" w:color="auto"/>
        <w:bottom w:val="none" w:sz="0" w:space="0" w:color="auto"/>
        <w:right w:val="none" w:sz="0" w:space="0" w:color="auto"/>
      </w:divBdr>
    </w:div>
    <w:div w:id="528878299">
      <w:bodyDiv w:val="1"/>
      <w:marLeft w:val="0"/>
      <w:marRight w:val="0"/>
      <w:marTop w:val="0"/>
      <w:marBottom w:val="0"/>
      <w:divBdr>
        <w:top w:val="none" w:sz="0" w:space="0" w:color="auto"/>
        <w:left w:val="none" w:sz="0" w:space="0" w:color="auto"/>
        <w:bottom w:val="none" w:sz="0" w:space="0" w:color="auto"/>
        <w:right w:val="none" w:sz="0" w:space="0" w:color="auto"/>
      </w:divBdr>
    </w:div>
    <w:div w:id="532155005">
      <w:bodyDiv w:val="1"/>
      <w:marLeft w:val="0"/>
      <w:marRight w:val="0"/>
      <w:marTop w:val="0"/>
      <w:marBottom w:val="0"/>
      <w:divBdr>
        <w:top w:val="none" w:sz="0" w:space="0" w:color="auto"/>
        <w:left w:val="none" w:sz="0" w:space="0" w:color="auto"/>
        <w:bottom w:val="none" w:sz="0" w:space="0" w:color="auto"/>
        <w:right w:val="none" w:sz="0" w:space="0" w:color="auto"/>
      </w:divBdr>
    </w:div>
    <w:div w:id="534781415">
      <w:bodyDiv w:val="1"/>
      <w:marLeft w:val="0"/>
      <w:marRight w:val="0"/>
      <w:marTop w:val="0"/>
      <w:marBottom w:val="0"/>
      <w:divBdr>
        <w:top w:val="none" w:sz="0" w:space="0" w:color="auto"/>
        <w:left w:val="none" w:sz="0" w:space="0" w:color="auto"/>
        <w:bottom w:val="none" w:sz="0" w:space="0" w:color="auto"/>
        <w:right w:val="none" w:sz="0" w:space="0" w:color="auto"/>
      </w:divBdr>
    </w:div>
    <w:div w:id="537858450">
      <w:bodyDiv w:val="1"/>
      <w:marLeft w:val="0"/>
      <w:marRight w:val="0"/>
      <w:marTop w:val="0"/>
      <w:marBottom w:val="0"/>
      <w:divBdr>
        <w:top w:val="none" w:sz="0" w:space="0" w:color="auto"/>
        <w:left w:val="none" w:sz="0" w:space="0" w:color="auto"/>
        <w:bottom w:val="none" w:sz="0" w:space="0" w:color="auto"/>
        <w:right w:val="none" w:sz="0" w:space="0" w:color="auto"/>
      </w:divBdr>
    </w:div>
    <w:div w:id="546912730">
      <w:bodyDiv w:val="1"/>
      <w:marLeft w:val="0"/>
      <w:marRight w:val="0"/>
      <w:marTop w:val="0"/>
      <w:marBottom w:val="0"/>
      <w:divBdr>
        <w:top w:val="none" w:sz="0" w:space="0" w:color="auto"/>
        <w:left w:val="none" w:sz="0" w:space="0" w:color="auto"/>
        <w:bottom w:val="none" w:sz="0" w:space="0" w:color="auto"/>
        <w:right w:val="none" w:sz="0" w:space="0" w:color="auto"/>
      </w:divBdr>
    </w:div>
    <w:div w:id="548107114">
      <w:bodyDiv w:val="1"/>
      <w:marLeft w:val="0"/>
      <w:marRight w:val="0"/>
      <w:marTop w:val="0"/>
      <w:marBottom w:val="0"/>
      <w:divBdr>
        <w:top w:val="none" w:sz="0" w:space="0" w:color="auto"/>
        <w:left w:val="none" w:sz="0" w:space="0" w:color="auto"/>
        <w:bottom w:val="none" w:sz="0" w:space="0" w:color="auto"/>
        <w:right w:val="none" w:sz="0" w:space="0" w:color="auto"/>
      </w:divBdr>
    </w:div>
    <w:div w:id="550773176">
      <w:bodyDiv w:val="1"/>
      <w:marLeft w:val="0"/>
      <w:marRight w:val="0"/>
      <w:marTop w:val="0"/>
      <w:marBottom w:val="0"/>
      <w:divBdr>
        <w:top w:val="none" w:sz="0" w:space="0" w:color="auto"/>
        <w:left w:val="none" w:sz="0" w:space="0" w:color="auto"/>
        <w:bottom w:val="none" w:sz="0" w:space="0" w:color="auto"/>
        <w:right w:val="none" w:sz="0" w:space="0" w:color="auto"/>
      </w:divBdr>
    </w:div>
    <w:div w:id="560559539">
      <w:bodyDiv w:val="1"/>
      <w:marLeft w:val="0"/>
      <w:marRight w:val="0"/>
      <w:marTop w:val="0"/>
      <w:marBottom w:val="0"/>
      <w:divBdr>
        <w:top w:val="none" w:sz="0" w:space="0" w:color="auto"/>
        <w:left w:val="none" w:sz="0" w:space="0" w:color="auto"/>
        <w:bottom w:val="none" w:sz="0" w:space="0" w:color="auto"/>
        <w:right w:val="none" w:sz="0" w:space="0" w:color="auto"/>
      </w:divBdr>
    </w:div>
    <w:div w:id="564486980">
      <w:bodyDiv w:val="1"/>
      <w:marLeft w:val="0"/>
      <w:marRight w:val="0"/>
      <w:marTop w:val="0"/>
      <w:marBottom w:val="0"/>
      <w:divBdr>
        <w:top w:val="none" w:sz="0" w:space="0" w:color="auto"/>
        <w:left w:val="none" w:sz="0" w:space="0" w:color="auto"/>
        <w:bottom w:val="none" w:sz="0" w:space="0" w:color="auto"/>
        <w:right w:val="none" w:sz="0" w:space="0" w:color="auto"/>
      </w:divBdr>
    </w:div>
    <w:div w:id="564728732">
      <w:bodyDiv w:val="1"/>
      <w:marLeft w:val="0"/>
      <w:marRight w:val="0"/>
      <w:marTop w:val="0"/>
      <w:marBottom w:val="0"/>
      <w:divBdr>
        <w:top w:val="none" w:sz="0" w:space="0" w:color="auto"/>
        <w:left w:val="none" w:sz="0" w:space="0" w:color="auto"/>
        <w:bottom w:val="none" w:sz="0" w:space="0" w:color="auto"/>
        <w:right w:val="none" w:sz="0" w:space="0" w:color="auto"/>
      </w:divBdr>
    </w:div>
    <w:div w:id="565453476">
      <w:bodyDiv w:val="1"/>
      <w:marLeft w:val="0"/>
      <w:marRight w:val="0"/>
      <w:marTop w:val="0"/>
      <w:marBottom w:val="0"/>
      <w:divBdr>
        <w:top w:val="none" w:sz="0" w:space="0" w:color="auto"/>
        <w:left w:val="none" w:sz="0" w:space="0" w:color="auto"/>
        <w:bottom w:val="none" w:sz="0" w:space="0" w:color="auto"/>
        <w:right w:val="none" w:sz="0" w:space="0" w:color="auto"/>
      </w:divBdr>
    </w:div>
    <w:div w:id="570122067">
      <w:bodyDiv w:val="1"/>
      <w:marLeft w:val="0"/>
      <w:marRight w:val="0"/>
      <w:marTop w:val="0"/>
      <w:marBottom w:val="0"/>
      <w:divBdr>
        <w:top w:val="none" w:sz="0" w:space="0" w:color="auto"/>
        <w:left w:val="none" w:sz="0" w:space="0" w:color="auto"/>
        <w:bottom w:val="none" w:sz="0" w:space="0" w:color="auto"/>
        <w:right w:val="none" w:sz="0" w:space="0" w:color="auto"/>
      </w:divBdr>
    </w:div>
    <w:div w:id="570889216">
      <w:bodyDiv w:val="1"/>
      <w:marLeft w:val="0"/>
      <w:marRight w:val="0"/>
      <w:marTop w:val="0"/>
      <w:marBottom w:val="0"/>
      <w:divBdr>
        <w:top w:val="none" w:sz="0" w:space="0" w:color="auto"/>
        <w:left w:val="none" w:sz="0" w:space="0" w:color="auto"/>
        <w:bottom w:val="none" w:sz="0" w:space="0" w:color="auto"/>
        <w:right w:val="none" w:sz="0" w:space="0" w:color="auto"/>
      </w:divBdr>
    </w:div>
    <w:div w:id="579604974">
      <w:bodyDiv w:val="1"/>
      <w:marLeft w:val="0"/>
      <w:marRight w:val="0"/>
      <w:marTop w:val="0"/>
      <w:marBottom w:val="0"/>
      <w:divBdr>
        <w:top w:val="none" w:sz="0" w:space="0" w:color="auto"/>
        <w:left w:val="none" w:sz="0" w:space="0" w:color="auto"/>
        <w:bottom w:val="none" w:sz="0" w:space="0" w:color="auto"/>
        <w:right w:val="none" w:sz="0" w:space="0" w:color="auto"/>
      </w:divBdr>
    </w:div>
    <w:div w:id="584536625">
      <w:bodyDiv w:val="1"/>
      <w:marLeft w:val="0"/>
      <w:marRight w:val="0"/>
      <w:marTop w:val="0"/>
      <w:marBottom w:val="0"/>
      <w:divBdr>
        <w:top w:val="none" w:sz="0" w:space="0" w:color="auto"/>
        <w:left w:val="none" w:sz="0" w:space="0" w:color="auto"/>
        <w:bottom w:val="none" w:sz="0" w:space="0" w:color="auto"/>
        <w:right w:val="none" w:sz="0" w:space="0" w:color="auto"/>
      </w:divBdr>
    </w:div>
    <w:div w:id="590550246">
      <w:bodyDiv w:val="1"/>
      <w:marLeft w:val="0"/>
      <w:marRight w:val="0"/>
      <w:marTop w:val="0"/>
      <w:marBottom w:val="0"/>
      <w:divBdr>
        <w:top w:val="none" w:sz="0" w:space="0" w:color="auto"/>
        <w:left w:val="none" w:sz="0" w:space="0" w:color="auto"/>
        <w:bottom w:val="none" w:sz="0" w:space="0" w:color="auto"/>
        <w:right w:val="none" w:sz="0" w:space="0" w:color="auto"/>
      </w:divBdr>
    </w:div>
    <w:div w:id="590970147">
      <w:bodyDiv w:val="1"/>
      <w:marLeft w:val="0"/>
      <w:marRight w:val="0"/>
      <w:marTop w:val="0"/>
      <w:marBottom w:val="0"/>
      <w:divBdr>
        <w:top w:val="none" w:sz="0" w:space="0" w:color="auto"/>
        <w:left w:val="none" w:sz="0" w:space="0" w:color="auto"/>
        <w:bottom w:val="none" w:sz="0" w:space="0" w:color="auto"/>
        <w:right w:val="none" w:sz="0" w:space="0" w:color="auto"/>
      </w:divBdr>
    </w:div>
    <w:div w:id="591471083">
      <w:bodyDiv w:val="1"/>
      <w:marLeft w:val="0"/>
      <w:marRight w:val="0"/>
      <w:marTop w:val="0"/>
      <w:marBottom w:val="0"/>
      <w:divBdr>
        <w:top w:val="none" w:sz="0" w:space="0" w:color="auto"/>
        <w:left w:val="none" w:sz="0" w:space="0" w:color="auto"/>
        <w:bottom w:val="none" w:sz="0" w:space="0" w:color="auto"/>
        <w:right w:val="none" w:sz="0" w:space="0" w:color="auto"/>
      </w:divBdr>
    </w:div>
    <w:div w:id="604771811">
      <w:bodyDiv w:val="1"/>
      <w:marLeft w:val="0"/>
      <w:marRight w:val="0"/>
      <w:marTop w:val="0"/>
      <w:marBottom w:val="0"/>
      <w:divBdr>
        <w:top w:val="none" w:sz="0" w:space="0" w:color="auto"/>
        <w:left w:val="none" w:sz="0" w:space="0" w:color="auto"/>
        <w:bottom w:val="none" w:sz="0" w:space="0" w:color="auto"/>
        <w:right w:val="none" w:sz="0" w:space="0" w:color="auto"/>
      </w:divBdr>
    </w:div>
    <w:div w:id="610741947">
      <w:bodyDiv w:val="1"/>
      <w:marLeft w:val="0"/>
      <w:marRight w:val="0"/>
      <w:marTop w:val="0"/>
      <w:marBottom w:val="0"/>
      <w:divBdr>
        <w:top w:val="none" w:sz="0" w:space="0" w:color="auto"/>
        <w:left w:val="none" w:sz="0" w:space="0" w:color="auto"/>
        <w:bottom w:val="none" w:sz="0" w:space="0" w:color="auto"/>
        <w:right w:val="none" w:sz="0" w:space="0" w:color="auto"/>
      </w:divBdr>
    </w:div>
    <w:div w:id="611402434">
      <w:bodyDiv w:val="1"/>
      <w:marLeft w:val="0"/>
      <w:marRight w:val="0"/>
      <w:marTop w:val="0"/>
      <w:marBottom w:val="0"/>
      <w:divBdr>
        <w:top w:val="none" w:sz="0" w:space="0" w:color="auto"/>
        <w:left w:val="none" w:sz="0" w:space="0" w:color="auto"/>
        <w:bottom w:val="none" w:sz="0" w:space="0" w:color="auto"/>
        <w:right w:val="none" w:sz="0" w:space="0" w:color="auto"/>
      </w:divBdr>
    </w:div>
    <w:div w:id="619190575">
      <w:bodyDiv w:val="1"/>
      <w:marLeft w:val="0"/>
      <w:marRight w:val="0"/>
      <w:marTop w:val="0"/>
      <w:marBottom w:val="0"/>
      <w:divBdr>
        <w:top w:val="none" w:sz="0" w:space="0" w:color="auto"/>
        <w:left w:val="none" w:sz="0" w:space="0" w:color="auto"/>
        <w:bottom w:val="none" w:sz="0" w:space="0" w:color="auto"/>
        <w:right w:val="none" w:sz="0" w:space="0" w:color="auto"/>
      </w:divBdr>
    </w:div>
    <w:div w:id="620721235">
      <w:bodyDiv w:val="1"/>
      <w:marLeft w:val="0"/>
      <w:marRight w:val="0"/>
      <w:marTop w:val="0"/>
      <w:marBottom w:val="0"/>
      <w:divBdr>
        <w:top w:val="none" w:sz="0" w:space="0" w:color="auto"/>
        <w:left w:val="none" w:sz="0" w:space="0" w:color="auto"/>
        <w:bottom w:val="none" w:sz="0" w:space="0" w:color="auto"/>
        <w:right w:val="none" w:sz="0" w:space="0" w:color="auto"/>
      </w:divBdr>
    </w:div>
    <w:div w:id="621230289">
      <w:bodyDiv w:val="1"/>
      <w:marLeft w:val="0"/>
      <w:marRight w:val="0"/>
      <w:marTop w:val="0"/>
      <w:marBottom w:val="0"/>
      <w:divBdr>
        <w:top w:val="none" w:sz="0" w:space="0" w:color="auto"/>
        <w:left w:val="none" w:sz="0" w:space="0" w:color="auto"/>
        <w:bottom w:val="none" w:sz="0" w:space="0" w:color="auto"/>
        <w:right w:val="none" w:sz="0" w:space="0" w:color="auto"/>
      </w:divBdr>
    </w:div>
    <w:div w:id="622925067">
      <w:bodyDiv w:val="1"/>
      <w:marLeft w:val="0"/>
      <w:marRight w:val="0"/>
      <w:marTop w:val="0"/>
      <w:marBottom w:val="0"/>
      <w:divBdr>
        <w:top w:val="none" w:sz="0" w:space="0" w:color="auto"/>
        <w:left w:val="none" w:sz="0" w:space="0" w:color="auto"/>
        <w:bottom w:val="none" w:sz="0" w:space="0" w:color="auto"/>
        <w:right w:val="none" w:sz="0" w:space="0" w:color="auto"/>
      </w:divBdr>
    </w:div>
    <w:div w:id="632753012">
      <w:bodyDiv w:val="1"/>
      <w:marLeft w:val="0"/>
      <w:marRight w:val="0"/>
      <w:marTop w:val="0"/>
      <w:marBottom w:val="0"/>
      <w:divBdr>
        <w:top w:val="none" w:sz="0" w:space="0" w:color="auto"/>
        <w:left w:val="none" w:sz="0" w:space="0" w:color="auto"/>
        <w:bottom w:val="none" w:sz="0" w:space="0" w:color="auto"/>
        <w:right w:val="none" w:sz="0" w:space="0" w:color="auto"/>
      </w:divBdr>
    </w:div>
    <w:div w:id="649559063">
      <w:bodyDiv w:val="1"/>
      <w:marLeft w:val="0"/>
      <w:marRight w:val="0"/>
      <w:marTop w:val="0"/>
      <w:marBottom w:val="0"/>
      <w:divBdr>
        <w:top w:val="none" w:sz="0" w:space="0" w:color="auto"/>
        <w:left w:val="none" w:sz="0" w:space="0" w:color="auto"/>
        <w:bottom w:val="none" w:sz="0" w:space="0" w:color="auto"/>
        <w:right w:val="none" w:sz="0" w:space="0" w:color="auto"/>
      </w:divBdr>
    </w:div>
    <w:div w:id="650790742">
      <w:bodyDiv w:val="1"/>
      <w:marLeft w:val="0"/>
      <w:marRight w:val="0"/>
      <w:marTop w:val="0"/>
      <w:marBottom w:val="0"/>
      <w:divBdr>
        <w:top w:val="none" w:sz="0" w:space="0" w:color="auto"/>
        <w:left w:val="none" w:sz="0" w:space="0" w:color="auto"/>
        <w:bottom w:val="none" w:sz="0" w:space="0" w:color="auto"/>
        <w:right w:val="none" w:sz="0" w:space="0" w:color="auto"/>
      </w:divBdr>
    </w:div>
    <w:div w:id="662002818">
      <w:bodyDiv w:val="1"/>
      <w:marLeft w:val="0"/>
      <w:marRight w:val="0"/>
      <w:marTop w:val="0"/>
      <w:marBottom w:val="0"/>
      <w:divBdr>
        <w:top w:val="none" w:sz="0" w:space="0" w:color="auto"/>
        <w:left w:val="none" w:sz="0" w:space="0" w:color="auto"/>
        <w:bottom w:val="none" w:sz="0" w:space="0" w:color="auto"/>
        <w:right w:val="none" w:sz="0" w:space="0" w:color="auto"/>
      </w:divBdr>
    </w:div>
    <w:div w:id="664473310">
      <w:bodyDiv w:val="1"/>
      <w:marLeft w:val="0"/>
      <w:marRight w:val="0"/>
      <w:marTop w:val="0"/>
      <w:marBottom w:val="0"/>
      <w:divBdr>
        <w:top w:val="none" w:sz="0" w:space="0" w:color="auto"/>
        <w:left w:val="none" w:sz="0" w:space="0" w:color="auto"/>
        <w:bottom w:val="none" w:sz="0" w:space="0" w:color="auto"/>
        <w:right w:val="none" w:sz="0" w:space="0" w:color="auto"/>
      </w:divBdr>
    </w:div>
    <w:div w:id="675694341">
      <w:bodyDiv w:val="1"/>
      <w:marLeft w:val="0"/>
      <w:marRight w:val="0"/>
      <w:marTop w:val="0"/>
      <w:marBottom w:val="0"/>
      <w:divBdr>
        <w:top w:val="none" w:sz="0" w:space="0" w:color="auto"/>
        <w:left w:val="none" w:sz="0" w:space="0" w:color="auto"/>
        <w:bottom w:val="none" w:sz="0" w:space="0" w:color="auto"/>
        <w:right w:val="none" w:sz="0" w:space="0" w:color="auto"/>
      </w:divBdr>
    </w:div>
    <w:div w:id="676619637">
      <w:bodyDiv w:val="1"/>
      <w:marLeft w:val="0"/>
      <w:marRight w:val="0"/>
      <w:marTop w:val="0"/>
      <w:marBottom w:val="0"/>
      <w:divBdr>
        <w:top w:val="none" w:sz="0" w:space="0" w:color="auto"/>
        <w:left w:val="none" w:sz="0" w:space="0" w:color="auto"/>
        <w:bottom w:val="none" w:sz="0" w:space="0" w:color="auto"/>
        <w:right w:val="none" w:sz="0" w:space="0" w:color="auto"/>
      </w:divBdr>
    </w:div>
    <w:div w:id="686367175">
      <w:bodyDiv w:val="1"/>
      <w:marLeft w:val="0"/>
      <w:marRight w:val="0"/>
      <w:marTop w:val="0"/>
      <w:marBottom w:val="0"/>
      <w:divBdr>
        <w:top w:val="none" w:sz="0" w:space="0" w:color="auto"/>
        <w:left w:val="none" w:sz="0" w:space="0" w:color="auto"/>
        <w:bottom w:val="none" w:sz="0" w:space="0" w:color="auto"/>
        <w:right w:val="none" w:sz="0" w:space="0" w:color="auto"/>
      </w:divBdr>
    </w:div>
    <w:div w:id="698630412">
      <w:bodyDiv w:val="1"/>
      <w:marLeft w:val="0"/>
      <w:marRight w:val="0"/>
      <w:marTop w:val="0"/>
      <w:marBottom w:val="0"/>
      <w:divBdr>
        <w:top w:val="none" w:sz="0" w:space="0" w:color="auto"/>
        <w:left w:val="none" w:sz="0" w:space="0" w:color="auto"/>
        <w:bottom w:val="none" w:sz="0" w:space="0" w:color="auto"/>
        <w:right w:val="none" w:sz="0" w:space="0" w:color="auto"/>
      </w:divBdr>
    </w:div>
    <w:div w:id="703869107">
      <w:bodyDiv w:val="1"/>
      <w:marLeft w:val="0"/>
      <w:marRight w:val="0"/>
      <w:marTop w:val="0"/>
      <w:marBottom w:val="0"/>
      <w:divBdr>
        <w:top w:val="none" w:sz="0" w:space="0" w:color="auto"/>
        <w:left w:val="none" w:sz="0" w:space="0" w:color="auto"/>
        <w:bottom w:val="none" w:sz="0" w:space="0" w:color="auto"/>
        <w:right w:val="none" w:sz="0" w:space="0" w:color="auto"/>
      </w:divBdr>
    </w:div>
    <w:div w:id="705836434">
      <w:bodyDiv w:val="1"/>
      <w:marLeft w:val="0"/>
      <w:marRight w:val="0"/>
      <w:marTop w:val="0"/>
      <w:marBottom w:val="0"/>
      <w:divBdr>
        <w:top w:val="none" w:sz="0" w:space="0" w:color="auto"/>
        <w:left w:val="none" w:sz="0" w:space="0" w:color="auto"/>
        <w:bottom w:val="none" w:sz="0" w:space="0" w:color="auto"/>
        <w:right w:val="none" w:sz="0" w:space="0" w:color="auto"/>
      </w:divBdr>
    </w:div>
    <w:div w:id="708535740">
      <w:bodyDiv w:val="1"/>
      <w:marLeft w:val="0"/>
      <w:marRight w:val="0"/>
      <w:marTop w:val="0"/>
      <w:marBottom w:val="0"/>
      <w:divBdr>
        <w:top w:val="none" w:sz="0" w:space="0" w:color="auto"/>
        <w:left w:val="none" w:sz="0" w:space="0" w:color="auto"/>
        <w:bottom w:val="none" w:sz="0" w:space="0" w:color="auto"/>
        <w:right w:val="none" w:sz="0" w:space="0" w:color="auto"/>
      </w:divBdr>
    </w:div>
    <w:div w:id="713770866">
      <w:bodyDiv w:val="1"/>
      <w:marLeft w:val="0"/>
      <w:marRight w:val="0"/>
      <w:marTop w:val="0"/>
      <w:marBottom w:val="0"/>
      <w:divBdr>
        <w:top w:val="none" w:sz="0" w:space="0" w:color="auto"/>
        <w:left w:val="none" w:sz="0" w:space="0" w:color="auto"/>
        <w:bottom w:val="none" w:sz="0" w:space="0" w:color="auto"/>
        <w:right w:val="none" w:sz="0" w:space="0" w:color="auto"/>
      </w:divBdr>
    </w:div>
    <w:div w:id="716054819">
      <w:bodyDiv w:val="1"/>
      <w:marLeft w:val="0"/>
      <w:marRight w:val="0"/>
      <w:marTop w:val="0"/>
      <w:marBottom w:val="0"/>
      <w:divBdr>
        <w:top w:val="none" w:sz="0" w:space="0" w:color="auto"/>
        <w:left w:val="none" w:sz="0" w:space="0" w:color="auto"/>
        <w:bottom w:val="none" w:sz="0" w:space="0" w:color="auto"/>
        <w:right w:val="none" w:sz="0" w:space="0" w:color="auto"/>
      </w:divBdr>
    </w:div>
    <w:div w:id="717554143">
      <w:bodyDiv w:val="1"/>
      <w:marLeft w:val="0"/>
      <w:marRight w:val="0"/>
      <w:marTop w:val="0"/>
      <w:marBottom w:val="0"/>
      <w:divBdr>
        <w:top w:val="none" w:sz="0" w:space="0" w:color="auto"/>
        <w:left w:val="none" w:sz="0" w:space="0" w:color="auto"/>
        <w:bottom w:val="none" w:sz="0" w:space="0" w:color="auto"/>
        <w:right w:val="none" w:sz="0" w:space="0" w:color="auto"/>
      </w:divBdr>
    </w:div>
    <w:div w:id="717900529">
      <w:bodyDiv w:val="1"/>
      <w:marLeft w:val="0"/>
      <w:marRight w:val="0"/>
      <w:marTop w:val="0"/>
      <w:marBottom w:val="0"/>
      <w:divBdr>
        <w:top w:val="none" w:sz="0" w:space="0" w:color="auto"/>
        <w:left w:val="none" w:sz="0" w:space="0" w:color="auto"/>
        <w:bottom w:val="none" w:sz="0" w:space="0" w:color="auto"/>
        <w:right w:val="none" w:sz="0" w:space="0" w:color="auto"/>
      </w:divBdr>
    </w:div>
    <w:div w:id="722288755">
      <w:bodyDiv w:val="1"/>
      <w:marLeft w:val="0"/>
      <w:marRight w:val="0"/>
      <w:marTop w:val="0"/>
      <w:marBottom w:val="0"/>
      <w:divBdr>
        <w:top w:val="none" w:sz="0" w:space="0" w:color="auto"/>
        <w:left w:val="none" w:sz="0" w:space="0" w:color="auto"/>
        <w:bottom w:val="none" w:sz="0" w:space="0" w:color="auto"/>
        <w:right w:val="none" w:sz="0" w:space="0" w:color="auto"/>
      </w:divBdr>
    </w:div>
    <w:div w:id="722560358">
      <w:bodyDiv w:val="1"/>
      <w:marLeft w:val="0"/>
      <w:marRight w:val="0"/>
      <w:marTop w:val="0"/>
      <w:marBottom w:val="0"/>
      <w:divBdr>
        <w:top w:val="none" w:sz="0" w:space="0" w:color="auto"/>
        <w:left w:val="none" w:sz="0" w:space="0" w:color="auto"/>
        <w:bottom w:val="none" w:sz="0" w:space="0" w:color="auto"/>
        <w:right w:val="none" w:sz="0" w:space="0" w:color="auto"/>
      </w:divBdr>
    </w:div>
    <w:div w:id="722754459">
      <w:bodyDiv w:val="1"/>
      <w:marLeft w:val="0"/>
      <w:marRight w:val="0"/>
      <w:marTop w:val="0"/>
      <w:marBottom w:val="0"/>
      <w:divBdr>
        <w:top w:val="none" w:sz="0" w:space="0" w:color="auto"/>
        <w:left w:val="none" w:sz="0" w:space="0" w:color="auto"/>
        <w:bottom w:val="none" w:sz="0" w:space="0" w:color="auto"/>
        <w:right w:val="none" w:sz="0" w:space="0" w:color="auto"/>
      </w:divBdr>
    </w:div>
    <w:div w:id="725757086">
      <w:bodyDiv w:val="1"/>
      <w:marLeft w:val="0"/>
      <w:marRight w:val="0"/>
      <w:marTop w:val="0"/>
      <w:marBottom w:val="0"/>
      <w:divBdr>
        <w:top w:val="none" w:sz="0" w:space="0" w:color="auto"/>
        <w:left w:val="none" w:sz="0" w:space="0" w:color="auto"/>
        <w:bottom w:val="none" w:sz="0" w:space="0" w:color="auto"/>
        <w:right w:val="none" w:sz="0" w:space="0" w:color="auto"/>
      </w:divBdr>
    </w:div>
    <w:div w:id="728923207">
      <w:bodyDiv w:val="1"/>
      <w:marLeft w:val="0"/>
      <w:marRight w:val="0"/>
      <w:marTop w:val="0"/>
      <w:marBottom w:val="0"/>
      <w:divBdr>
        <w:top w:val="none" w:sz="0" w:space="0" w:color="auto"/>
        <w:left w:val="none" w:sz="0" w:space="0" w:color="auto"/>
        <w:bottom w:val="none" w:sz="0" w:space="0" w:color="auto"/>
        <w:right w:val="none" w:sz="0" w:space="0" w:color="auto"/>
      </w:divBdr>
    </w:div>
    <w:div w:id="738947068">
      <w:bodyDiv w:val="1"/>
      <w:marLeft w:val="0"/>
      <w:marRight w:val="0"/>
      <w:marTop w:val="0"/>
      <w:marBottom w:val="0"/>
      <w:divBdr>
        <w:top w:val="none" w:sz="0" w:space="0" w:color="auto"/>
        <w:left w:val="none" w:sz="0" w:space="0" w:color="auto"/>
        <w:bottom w:val="none" w:sz="0" w:space="0" w:color="auto"/>
        <w:right w:val="none" w:sz="0" w:space="0" w:color="auto"/>
      </w:divBdr>
    </w:div>
    <w:div w:id="757479940">
      <w:bodyDiv w:val="1"/>
      <w:marLeft w:val="0"/>
      <w:marRight w:val="0"/>
      <w:marTop w:val="0"/>
      <w:marBottom w:val="0"/>
      <w:divBdr>
        <w:top w:val="none" w:sz="0" w:space="0" w:color="auto"/>
        <w:left w:val="none" w:sz="0" w:space="0" w:color="auto"/>
        <w:bottom w:val="none" w:sz="0" w:space="0" w:color="auto"/>
        <w:right w:val="none" w:sz="0" w:space="0" w:color="auto"/>
      </w:divBdr>
    </w:div>
    <w:div w:id="757680763">
      <w:bodyDiv w:val="1"/>
      <w:marLeft w:val="0"/>
      <w:marRight w:val="0"/>
      <w:marTop w:val="0"/>
      <w:marBottom w:val="0"/>
      <w:divBdr>
        <w:top w:val="none" w:sz="0" w:space="0" w:color="auto"/>
        <w:left w:val="none" w:sz="0" w:space="0" w:color="auto"/>
        <w:bottom w:val="none" w:sz="0" w:space="0" w:color="auto"/>
        <w:right w:val="none" w:sz="0" w:space="0" w:color="auto"/>
      </w:divBdr>
    </w:div>
    <w:div w:id="765226088">
      <w:bodyDiv w:val="1"/>
      <w:marLeft w:val="0"/>
      <w:marRight w:val="0"/>
      <w:marTop w:val="0"/>
      <w:marBottom w:val="0"/>
      <w:divBdr>
        <w:top w:val="none" w:sz="0" w:space="0" w:color="auto"/>
        <w:left w:val="none" w:sz="0" w:space="0" w:color="auto"/>
        <w:bottom w:val="none" w:sz="0" w:space="0" w:color="auto"/>
        <w:right w:val="none" w:sz="0" w:space="0" w:color="auto"/>
      </w:divBdr>
    </w:div>
    <w:div w:id="765462893">
      <w:bodyDiv w:val="1"/>
      <w:marLeft w:val="0"/>
      <w:marRight w:val="0"/>
      <w:marTop w:val="0"/>
      <w:marBottom w:val="0"/>
      <w:divBdr>
        <w:top w:val="none" w:sz="0" w:space="0" w:color="auto"/>
        <w:left w:val="none" w:sz="0" w:space="0" w:color="auto"/>
        <w:bottom w:val="none" w:sz="0" w:space="0" w:color="auto"/>
        <w:right w:val="none" w:sz="0" w:space="0" w:color="auto"/>
      </w:divBdr>
    </w:div>
    <w:div w:id="773748706">
      <w:bodyDiv w:val="1"/>
      <w:marLeft w:val="0"/>
      <w:marRight w:val="0"/>
      <w:marTop w:val="0"/>
      <w:marBottom w:val="0"/>
      <w:divBdr>
        <w:top w:val="none" w:sz="0" w:space="0" w:color="auto"/>
        <w:left w:val="none" w:sz="0" w:space="0" w:color="auto"/>
        <w:bottom w:val="none" w:sz="0" w:space="0" w:color="auto"/>
        <w:right w:val="none" w:sz="0" w:space="0" w:color="auto"/>
      </w:divBdr>
    </w:div>
    <w:div w:id="776022075">
      <w:bodyDiv w:val="1"/>
      <w:marLeft w:val="0"/>
      <w:marRight w:val="0"/>
      <w:marTop w:val="0"/>
      <w:marBottom w:val="0"/>
      <w:divBdr>
        <w:top w:val="none" w:sz="0" w:space="0" w:color="auto"/>
        <w:left w:val="none" w:sz="0" w:space="0" w:color="auto"/>
        <w:bottom w:val="none" w:sz="0" w:space="0" w:color="auto"/>
        <w:right w:val="none" w:sz="0" w:space="0" w:color="auto"/>
      </w:divBdr>
    </w:div>
    <w:div w:id="782765817">
      <w:bodyDiv w:val="1"/>
      <w:marLeft w:val="0"/>
      <w:marRight w:val="0"/>
      <w:marTop w:val="0"/>
      <w:marBottom w:val="0"/>
      <w:divBdr>
        <w:top w:val="none" w:sz="0" w:space="0" w:color="auto"/>
        <w:left w:val="none" w:sz="0" w:space="0" w:color="auto"/>
        <w:bottom w:val="none" w:sz="0" w:space="0" w:color="auto"/>
        <w:right w:val="none" w:sz="0" w:space="0" w:color="auto"/>
      </w:divBdr>
    </w:div>
    <w:div w:id="783694316">
      <w:bodyDiv w:val="1"/>
      <w:marLeft w:val="0"/>
      <w:marRight w:val="0"/>
      <w:marTop w:val="0"/>
      <w:marBottom w:val="0"/>
      <w:divBdr>
        <w:top w:val="none" w:sz="0" w:space="0" w:color="auto"/>
        <w:left w:val="none" w:sz="0" w:space="0" w:color="auto"/>
        <w:bottom w:val="none" w:sz="0" w:space="0" w:color="auto"/>
        <w:right w:val="none" w:sz="0" w:space="0" w:color="auto"/>
      </w:divBdr>
    </w:div>
    <w:div w:id="783883343">
      <w:bodyDiv w:val="1"/>
      <w:marLeft w:val="0"/>
      <w:marRight w:val="0"/>
      <w:marTop w:val="0"/>
      <w:marBottom w:val="0"/>
      <w:divBdr>
        <w:top w:val="none" w:sz="0" w:space="0" w:color="auto"/>
        <w:left w:val="none" w:sz="0" w:space="0" w:color="auto"/>
        <w:bottom w:val="none" w:sz="0" w:space="0" w:color="auto"/>
        <w:right w:val="none" w:sz="0" w:space="0" w:color="auto"/>
      </w:divBdr>
    </w:div>
    <w:div w:id="784813851">
      <w:bodyDiv w:val="1"/>
      <w:marLeft w:val="0"/>
      <w:marRight w:val="0"/>
      <w:marTop w:val="0"/>
      <w:marBottom w:val="0"/>
      <w:divBdr>
        <w:top w:val="none" w:sz="0" w:space="0" w:color="auto"/>
        <w:left w:val="none" w:sz="0" w:space="0" w:color="auto"/>
        <w:bottom w:val="none" w:sz="0" w:space="0" w:color="auto"/>
        <w:right w:val="none" w:sz="0" w:space="0" w:color="auto"/>
      </w:divBdr>
    </w:div>
    <w:div w:id="785318205">
      <w:bodyDiv w:val="1"/>
      <w:marLeft w:val="0"/>
      <w:marRight w:val="0"/>
      <w:marTop w:val="0"/>
      <w:marBottom w:val="0"/>
      <w:divBdr>
        <w:top w:val="none" w:sz="0" w:space="0" w:color="auto"/>
        <w:left w:val="none" w:sz="0" w:space="0" w:color="auto"/>
        <w:bottom w:val="none" w:sz="0" w:space="0" w:color="auto"/>
        <w:right w:val="none" w:sz="0" w:space="0" w:color="auto"/>
      </w:divBdr>
    </w:div>
    <w:div w:id="787118761">
      <w:bodyDiv w:val="1"/>
      <w:marLeft w:val="0"/>
      <w:marRight w:val="0"/>
      <w:marTop w:val="0"/>
      <w:marBottom w:val="0"/>
      <w:divBdr>
        <w:top w:val="none" w:sz="0" w:space="0" w:color="auto"/>
        <w:left w:val="none" w:sz="0" w:space="0" w:color="auto"/>
        <w:bottom w:val="none" w:sz="0" w:space="0" w:color="auto"/>
        <w:right w:val="none" w:sz="0" w:space="0" w:color="auto"/>
      </w:divBdr>
    </w:div>
    <w:div w:id="796067717">
      <w:bodyDiv w:val="1"/>
      <w:marLeft w:val="0"/>
      <w:marRight w:val="0"/>
      <w:marTop w:val="0"/>
      <w:marBottom w:val="0"/>
      <w:divBdr>
        <w:top w:val="none" w:sz="0" w:space="0" w:color="auto"/>
        <w:left w:val="none" w:sz="0" w:space="0" w:color="auto"/>
        <w:bottom w:val="none" w:sz="0" w:space="0" w:color="auto"/>
        <w:right w:val="none" w:sz="0" w:space="0" w:color="auto"/>
      </w:divBdr>
    </w:div>
    <w:div w:id="797920263">
      <w:bodyDiv w:val="1"/>
      <w:marLeft w:val="0"/>
      <w:marRight w:val="0"/>
      <w:marTop w:val="0"/>
      <w:marBottom w:val="0"/>
      <w:divBdr>
        <w:top w:val="none" w:sz="0" w:space="0" w:color="auto"/>
        <w:left w:val="none" w:sz="0" w:space="0" w:color="auto"/>
        <w:bottom w:val="none" w:sz="0" w:space="0" w:color="auto"/>
        <w:right w:val="none" w:sz="0" w:space="0" w:color="auto"/>
      </w:divBdr>
    </w:div>
    <w:div w:id="805391541">
      <w:bodyDiv w:val="1"/>
      <w:marLeft w:val="0"/>
      <w:marRight w:val="0"/>
      <w:marTop w:val="0"/>
      <w:marBottom w:val="0"/>
      <w:divBdr>
        <w:top w:val="none" w:sz="0" w:space="0" w:color="auto"/>
        <w:left w:val="none" w:sz="0" w:space="0" w:color="auto"/>
        <w:bottom w:val="none" w:sz="0" w:space="0" w:color="auto"/>
        <w:right w:val="none" w:sz="0" w:space="0" w:color="auto"/>
      </w:divBdr>
    </w:div>
    <w:div w:id="810243957">
      <w:bodyDiv w:val="1"/>
      <w:marLeft w:val="0"/>
      <w:marRight w:val="0"/>
      <w:marTop w:val="0"/>
      <w:marBottom w:val="0"/>
      <w:divBdr>
        <w:top w:val="none" w:sz="0" w:space="0" w:color="auto"/>
        <w:left w:val="none" w:sz="0" w:space="0" w:color="auto"/>
        <w:bottom w:val="none" w:sz="0" w:space="0" w:color="auto"/>
        <w:right w:val="none" w:sz="0" w:space="0" w:color="auto"/>
      </w:divBdr>
    </w:div>
    <w:div w:id="812409520">
      <w:bodyDiv w:val="1"/>
      <w:marLeft w:val="0"/>
      <w:marRight w:val="0"/>
      <w:marTop w:val="0"/>
      <w:marBottom w:val="0"/>
      <w:divBdr>
        <w:top w:val="none" w:sz="0" w:space="0" w:color="auto"/>
        <w:left w:val="none" w:sz="0" w:space="0" w:color="auto"/>
        <w:bottom w:val="none" w:sz="0" w:space="0" w:color="auto"/>
        <w:right w:val="none" w:sz="0" w:space="0" w:color="auto"/>
      </w:divBdr>
    </w:div>
    <w:div w:id="816920910">
      <w:bodyDiv w:val="1"/>
      <w:marLeft w:val="0"/>
      <w:marRight w:val="0"/>
      <w:marTop w:val="0"/>
      <w:marBottom w:val="0"/>
      <w:divBdr>
        <w:top w:val="none" w:sz="0" w:space="0" w:color="auto"/>
        <w:left w:val="none" w:sz="0" w:space="0" w:color="auto"/>
        <w:bottom w:val="none" w:sz="0" w:space="0" w:color="auto"/>
        <w:right w:val="none" w:sz="0" w:space="0" w:color="auto"/>
      </w:divBdr>
      <w:divsChild>
        <w:div w:id="1512986335">
          <w:marLeft w:val="0"/>
          <w:marRight w:val="0"/>
          <w:marTop w:val="0"/>
          <w:marBottom w:val="0"/>
          <w:divBdr>
            <w:top w:val="none" w:sz="0" w:space="0" w:color="auto"/>
            <w:left w:val="none" w:sz="0" w:space="0" w:color="auto"/>
            <w:bottom w:val="none" w:sz="0" w:space="0" w:color="auto"/>
            <w:right w:val="none" w:sz="0" w:space="0" w:color="auto"/>
          </w:divBdr>
        </w:div>
        <w:div w:id="1051657911">
          <w:marLeft w:val="0"/>
          <w:marRight w:val="0"/>
          <w:marTop w:val="0"/>
          <w:marBottom w:val="0"/>
          <w:divBdr>
            <w:top w:val="none" w:sz="0" w:space="0" w:color="auto"/>
            <w:left w:val="none" w:sz="0" w:space="0" w:color="auto"/>
            <w:bottom w:val="none" w:sz="0" w:space="0" w:color="auto"/>
            <w:right w:val="none" w:sz="0" w:space="0" w:color="auto"/>
          </w:divBdr>
        </w:div>
        <w:div w:id="383141135">
          <w:marLeft w:val="0"/>
          <w:marRight w:val="0"/>
          <w:marTop w:val="0"/>
          <w:marBottom w:val="0"/>
          <w:divBdr>
            <w:top w:val="none" w:sz="0" w:space="0" w:color="auto"/>
            <w:left w:val="none" w:sz="0" w:space="0" w:color="auto"/>
            <w:bottom w:val="none" w:sz="0" w:space="0" w:color="auto"/>
            <w:right w:val="none" w:sz="0" w:space="0" w:color="auto"/>
          </w:divBdr>
        </w:div>
        <w:div w:id="1756777352">
          <w:marLeft w:val="0"/>
          <w:marRight w:val="0"/>
          <w:marTop w:val="0"/>
          <w:marBottom w:val="0"/>
          <w:divBdr>
            <w:top w:val="none" w:sz="0" w:space="0" w:color="auto"/>
            <w:left w:val="none" w:sz="0" w:space="0" w:color="auto"/>
            <w:bottom w:val="none" w:sz="0" w:space="0" w:color="auto"/>
            <w:right w:val="none" w:sz="0" w:space="0" w:color="auto"/>
          </w:divBdr>
        </w:div>
        <w:div w:id="870415174">
          <w:marLeft w:val="0"/>
          <w:marRight w:val="0"/>
          <w:marTop w:val="0"/>
          <w:marBottom w:val="0"/>
          <w:divBdr>
            <w:top w:val="none" w:sz="0" w:space="0" w:color="auto"/>
            <w:left w:val="none" w:sz="0" w:space="0" w:color="auto"/>
            <w:bottom w:val="none" w:sz="0" w:space="0" w:color="auto"/>
            <w:right w:val="none" w:sz="0" w:space="0" w:color="auto"/>
          </w:divBdr>
        </w:div>
        <w:div w:id="1625385952">
          <w:marLeft w:val="0"/>
          <w:marRight w:val="0"/>
          <w:marTop w:val="0"/>
          <w:marBottom w:val="0"/>
          <w:divBdr>
            <w:top w:val="none" w:sz="0" w:space="0" w:color="auto"/>
            <w:left w:val="none" w:sz="0" w:space="0" w:color="auto"/>
            <w:bottom w:val="none" w:sz="0" w:space="0" w:color="auto"/>
            <w:right w:val="none" w:sz="0" w:space="0" w:color="auto"/>
          </w:divBdr>
        </w:div>
        <w:div w:id="512114257">
          <w:marLeft w:val="0"/>
          <w:marRight w:val="0"/>
          <w:marTop w:val="0"/>
          <w:marBottom w:val="0"/>
          <w:divBdr>
            <w:top w:val="none" w:sz="0" w:space="0" w:color="auto"/>
            <w:left w:val="none" w:sz="0" w:space="0" w:color="auto"/>
            <w:bottom w:val="none" w:sz="0" w:space="0" w:color="auto"/>
            <w:right w:val="none" w:sz="0" w:space="0" w:color="auto"/>
          </w:divBdr>
        </w:div>
        <w:div w:id="1162546963">
          <w:marLeft w:val="0"/>
          <w:marRight w:val="0"/>
          <w:marTop w:val="0"/>
          <w:marBottom w:val="0"/>
          <w:divBdr>
            <w:top w:val="none" w:sz="0" w:space="0" w:color="auto"/>
            <w:left w:val="none" w:sz="0" w:space="0" w:color="auto"/>
            <w:bottom w:val="none" w:sz="0" w:space="0" w:color="auto"/>
            <w:right w:val="none" w:sz="0" w:space="0" w:color="auto"/>
          </w:divBdr>
        </w:div>
        <w:div w:id="1280140773">
          <w:marLeft w:val="0"/>
          <w:marRight w:val="0"/>
          <w:marTop w:val="0"/>
          <w:marBottom w:val="0"/>
          <w:divBdr>
            <w:top w:val="none" w:sz="0" w:space="0" w:color="auto"/>
            <w:left w:val="none" w:sz="0" w:space="0" w:color="auto"/>
            <w:bottom w:val="none" w:sz="0" w:space="0" w:color="auto"/>
            <w:right w:val="none" w:sz="0" w:space="0" w:color="auto"/>
          </w:divBdr>
        </w:div>
        <w:div w:id="680468902">
          <w:marLeft w:val="0"/>
          <w:marRight w:val="0"/>
          <w:marTop w:val="0"/>
          <w:marBottom w:val="0"/>
          <w:divBdr>
            <w:top w:val="none" w:sz="0" w:space="0" w:color="auto"/>
            <w:left w:val="none" w:sz="0" w:space="0" w:color="auto"/>
            <w:bottom w:val="none" w:sz="0" w:space="0" w:color="auto"/>
            <w:right w:val="none" w:sz="0" w:space="0" w:color="auto"/>
          </w:divBdr>
        </w:div>
        <w:div w:id="1556087551">
          <w:marLeft w:val="0"/>
          <w:marRight w:val="0"/>
          <w:marTop w:val="0"/>
          <w:marBottom w:val="0"/>
          <w:divBdr>
            <w:top w:val="none" w:sz="0" w:space="0" w:color="auto"/>
            <w:left w:val="none" w:sz="0" w:space="0" w:color="auto"/>
            <w:bottom w:val="none" w:sz="0" w:space="0" w:color="auto"/>
            <w:right w:val="none" w:sz="0" w:space="0" w:color="auto"/>
          </w:divBdr>
        </w:div>
        <w:div w:id="1801992771">
          <w:marLeft w:val="0"/>
          <w:marRight w:val="0"/>
          <w:marTop w:val="0"/>
          <w:marBottom w:val="0"/>
          <w:divBdr>
            <w:top w:val="none" w:sz="0" w:space="0" w:color="auto"/>
            <w:left w:val="none" w:sz="0" w:space="0" w:color="auto"/>
            <w:bottom w:val="none" w:sz="0" w:space="0" w:color="auto"/>
            <w:right w:val="none" w:sz="0" w:space="0" w:color="auto"/>
          </w:divBdr>
        </w:div>
        <w:div w:id="1221557825">
          <w:marLeft w:val="0"/>
          <w:marRight w:val="0"/>
          <w:marTop w:val="0"/>
          <w:marBottom w:val="0"/>
          <w:divBdr>
            <w:top w:val="none" w:sz="0" w:space="0" w:color="auto"/>
            <w:left w:val="none" w:sz="0" w:space="0" w:color="auto"/>
            <w:bottom w:val="none" w:sz="0" w:space="0" w:color="auto"/>
            <w:right w:val="none" w:sz="0" w:space="0" w:color="auto"/>
          </w:divBdr>
        </w:div>
      </w:divsChild>
    </w:div>
    <w:div w:id="817111025">
      <w:bodyDiv w:val="1"/>
      <w:marLeft w:val="0"/>
      <w:marRight w:val="0"/>
      <w:marTop w:val="0"/>
      <w:marBottom w:val="0"/>
      <w:divBdr>
        <w:top w:val="none" w:sz="0" w:space="0" w:color="auto"/>
        <w:left w:val="none" w:sz="0" w:space="0" w:color="auto"/>
        <w:bottom w:val="none" w:sz="0" w:space="0" w:color="auto"/>
        <w:right w:val="none" w:sz="0" w:space="0" w:color="auto"/>
      </w:divBdr>
    </w:div>
    <w:div w:id="819275315">
      <w:bodyDiv w:val="1"/>
      <w:marLeft w:val="0"/>
      <w:marRight w:val="0"/>
      <w:marTop w:val="0"/>
      <w:marBottom w:val="0"/>
      <w:divBdr>
        <w:top w:val="none" w:sz="0" w:space="0" w:color="auto"/>
        <w:left w:val="none" w:sz="0" w:space="0" w:color="auto"/>
        <w:bottom w:val="none" w:sz="0" w:space="0" w:color="auto"/>
        <w:right w:val="none" w:sz="0" w:space="0" w:color="auto"/>
      </w:divBdr>
    </w:div>
    <w:div w:id="827016990">
      <w:bodyDiv w:val="1"/>
      <w:marLeft w:val="0"/>
      <w:marRight w:val="0"/>
      <w:marTop w:val="0"/>
      <w:marBottom w:val="0"/>
      <w:divBdr>
        <w:top w:val="none" w:sz="0" w:space="0" w:color="auto"/>
        <w:left w:val="none" w:sz="0" w:space="0" w:color="auto"/>
        <w:bottom w:val="none" w:sz="0" w:space="0" w:color="auto"/>
        <w:right w:val="none" w:sz="0" w:space="0" w:color="auto"/>
      </w:divBdr>
    </w:div>
    <w:div w:id="830293858">
      <w:bodyDiv w:val="1"/>
      <w:marLeft w:val="0"/>
      <w:marRight w:val="0"/>
      <w:marTop w:val="0"/>
      <w:marBottom w:val="0"/>
      <w:divBdr>
        <w:top w:val="none" w:sz="0" w:space="0" w:color="auto"/>
        <w:left w:val="none" w:sz="0" w:space="0" w:color="auto"/>
        <w:bottom w:val="none" w:sz="0" w:space="0" w:color="auto"/>
        <w:right w:val="none" w:sz="0" w:space="0" w:color="auto"/>
      </w:divBdr>
    </w:div>
    <w:div w:id="845441802">
      <w:bodyDiv w:val="1"/>
      <w:marLeft w:val="0"/>
      <w:marRight w:val="0"/>
      <w:marTop w:val="0"/>
      <w:marBottom w:val="0"/>
      <w:divBdr>
        <w:top w:val="none" w:sz="0" w:space="0" w:color="auto"/>
        <w:left w:val="none" w:sz="0" w:space="0" w:color="auto"/>
        <w:bottom w:val="none" w:sz="0" w:space="0" w:color="auto"/>
        <w:right w:val="none" w:sz="0" w:space="0" w:color="auto"/>
      </w:divBdr>
    </w:div>
    <w:div w:id="848524371">
      <w:bodyDiv w:val="1"/>
      <w:marLeft w:val="0"/>
      <w:marRight w:val="0"/>
      <w:marTop w:val="0"/>
      <w:marBottom w:val="0"/>
      <w:divBdr>
        <w:top w:val="none" w:sz="0" w:space="0" w:color="auto"/>
        <w:left w:val="none" w:sz="0" w:space="0" w:color="auto"/>
        <w:bottom w:val="none" w:sz="0" w:space="0" w:color="auto"/>
        <w:right w:val="none" w:sz="0" w:space="0" w:color="auto"/>
      </w:divBdr>
    </w:div>
    <w:div w:id="853762474">
      <w:bodyDiv w:val="1"/>
      <w:marLeft w:val="0"/>
      <w:marRight w:val="0"/>
      <w:marTop w:val="0"/>
      <w:marBottom w:val="0"/>
      <w:divBdr>
        <w:top w:val="none" w:sz="0" w:space="0" w:color="auto"/>
        <w:left w:val="none" w:sz="0" w:space="0" w:color="auto"/>
        <w:bottom w:val="none" w:sz="0" w:space="0" w:color="auto"/>
        <w:right w:val="none" w:sz="0" w:space="0" w:color="auto"/>
      </w:divBdr>
    </w:div>
    <w:div w:id="858616435">
      <w:bodyDiv w:val="1"/>
      <w:marLeft w:val="0"/>
      <w:marRight w:val="0"/>
      <w:marTop w:val="0"/>
      <w:marBottom w:val="0"/>
      <w:divBdr>
        <w:top w:val="none" w:sz="0" w:space="0" w:color="auto"/>
        <w:left w:val="none" w:sz="0" w:space="0" w:color="auto"/>
        <w:bottom w:val="none" w:sz="0" w:space="0" w:color="auto"/>
        <w:right w:val="none" w:sz="0" w:space="0" w:color="auto"/>
      </w:divBdr>
    </w:div>
    <w:div w:id="867722130">
      <w:bodyDiv w:val="1"/>
      <w:marLeft w:val="0"/>
      <w:marRight w:val="0"/>
      <w:marTop w:val="0"/>
      <w:marBottom w:val="0"/>
      <w:divBdr>
        <w:top w:val="none" w:sz="0" w:space="0" w:color="auto"/>
        <w:left w:val="none" w:sz="0" w:space="0" w:color="auto"/>
        <w:bottom w:val="none" w:sz="0" w:space="0" w:color="auto"/>
        <w:right w:val="none" w:sz="0" w:space="0" w:color="auto"/>
      </w:divBdr>
    </w:div>
    <w:div w:id="872957508">
      <w:bodyDiv w:val="1"/>
      <w:marLeft w:val="0"/>
      <w:marRight w:val="0"/>
      <w:marTop w:val="0"/>
      <w:marBottom w:val="0"/>
      <w:divBdr>
        <w:top w:val="none" w:sz="0" w:space="0" w:color="auto"/>
        <w:left w:val="none" w:sz="0" w:space="0" w:color="auto"/>
        <w:bottom w:val="none" w:sz="0" w:space="0" w:color="auto"/>
        <w:right w:val="none" w:sz="0" w:space="0" w:color="auto"/>
      </w:divBdr>
    </w:div>
    <w:div w:id="875123302">
      <w:bodyDiv w:val="1"/>
      <w:marLeft w:val="0"/>
      <w:marRight w:val="0"/>
      <w:marTop w:val="0"/>
      <w:marBottom w:val="0"/>
      <w:divBdr>
        <w:top w:val="none" w:sz="0" w:space="0" w:color="auto"/>
        <w:left w:val="none" w:sz="0" w:space="0" w:color="auto"/>
        <w:bottom w:val="none" w:sz="0" w:space="0" w:color="auto"/>
        <w:right w:val="none" w:sz="0" w:space="0" w:color="auto"/>
      </w:divBdr>
    </w:div>
    <w:div w:id="878200641">
      <w:bodyDiv w:val="1"/>
      <w:marLeft w:val="0"/>
      <w:marRight w:val="0"/>
      <w:marTop w:val="0"/>
      <w:marBottom w:val="0"/>
      <w:divBdr>
        <w:top w:val="none" w:sz="0" w:space="0" w:color="auto"/>
        <w:left w:val="none" w:sz="0" w:space="0" w:color="auto"/>
        <w:bottom w:val="none" w:sz="0" w:space="0" w:color="auto"/>
        <w:right w:val="none" w:sz="0" w:space="0" w:color="auto"/>
      </w:divBdr>
    </w:div>
    <w:div w:id="879434731">
      <w:bodyDiv w:val="1"/>
      <w:marLeft w:val="0"/>
      <w:marRight w:val="0"/>
      <w:marTop w:val="0"/>
      <w:marBottom w:val="0"/>
      <w:divBdr>
        <w:top w:val="none" w:sz="0" w:space="0" w:color="auto"/>
        <w:left w:val="none" w:sz="0" w:space="0" w:color="auto"/>
        <w:bottom w:val="none" w:sz="0" w:space="0" w:color="auto"/>
        <w:right w:val="none" w:sz="0" w:space="0" w:color="auto"/>
      </w:divBdr>
    </w:div>
    <w:div w:id="885608458">
      <w:bodyDiv w:val="1"/>
      <w:marLeft w:val="0"/>
      <w:marRight w:val="0"/>
      <w:marTop w:val="0"/>
      <w:marBottom w:val="0"/>
      <w:divBdr>
        <w:top w:val="none" w:sz="0" w:space="0" w:color="auto"/>
        <w:left w:val="none" w:sz="0" w:space="0" w:color="auto"/>
        <w:bottom w:val="none" w:sz="0" w:space="0" w:color="auto"/>
        <w:right w:val="none" w:sz="0" w:space="0" w:color="auto"/>
      </w:divBdr>
    </w:div>
    <w:div w:id="888958014">
      <w:bodyDiv w:val="1"/>
      <w:marLeft w:val="0"/>
      <w:marRight w:val="0"/>
      <w:marTop w:val="0"/>
      <w:marBottom w:val="0"/>
      <w:divBdr>
        <w:top w:val="none" w:sz="0" w:space="0" w:color="auto"/>
        <w:left w:val="none" w:sz="0" w:space="0" w:color="auto"/>
        <w:bottom w:val="none" w:sz="0" w:space="0" w:color="auto"/>
        <w:right w:val="none" w:sz="0" w:space="0" w:color="auto"/>
      </w:divBdr>
    </w:div>
    <w:div w:id="893274286">
      <w:bodyDiv w:val="1"/>
      <w:marLeft w:val="0"/>
      <w:marRight w:val="0"/>
      <w:marTop w:val="0"/>
      <w:marBottom w:val="0"/>
      <w:divBdr>
        <w:top w:val="none" w:sz="0" w:space="0" w:color="auto"/>
        <w:left w:val="none" w:sz="0" w:space="0" w:color="auto"/>
        <w:bottom w:val="none" w:sz="0" w:space="0" w:color="auto"/>
        <w:right w:val="none" w:sz="0" w:space="0" w:color="auto"/>
      </w:divBdr>
      <w:divsChild>
        <w:div w:id="1673725316">
          <w:marLeft w:val="0"/>
          <w:marRight w:val="0"/>
          <w:marTop w:val="0"/>
          <w:marBottom w:val="0"/>
          <w:divBdr>
            <w:top w:val="none" w:sz="0" w:space="0" w:color="auto"/>
            <w:left w:val="none" w:sz="0" w:space="0" w:color="auto"/>
            <w:bottom w:val="none" w:sz="0" w:space="0" w:color="auto"/>
            <w:right w:val="none" w:sz="0" w:space="0" w:color="auto"/>
          </w:divBdr>
        </w:div>
        <w:div w:id="328749379">
          <w:marLeft w:val="0"/>
          <w:marRight w:val="0"/>
          <w:marTop w:val="0"/>
          <w:marBottom w:val="0"/>
          <w:divBdr>
            <w:top w:val="none" w:sz="0" w:space="0" w:color="auto"/>
            <w:left w:val="none" w:sz="0" w:space="0" w:color="auto"/>
            <w:bottom w:val="none" w:sz="0" w:space="0" w:color="auto"/>
            <w:right w:val="none" w:sz="0" w:space="0" w:color="auto"/>
          </w:divBdr>
        </w:div>
        <w:div w:id="203324180">
          <w:marLeft w:val="0"/>
          <w:marRight w:val="0"/>
          <w:marTop w:val="0"/>
          <w:marBottom w:val="0"/>
          <w:divBdr>
            <w:top w:val="none" w:sz="0" w:space="0" w:color="auto"/>
            <w:left w:val="none" w:sz="0" w:space="0" w:color="auto"/>
            <w:bottom w:val="none" w:sz="0" w:space="0" w:color="auto"/>
            <w:right w:val="none" w:sz="0" w:space="0" w:color="auto"/>
          </w:divBdr>
        </w:div>
        <w:div w:id="1281909888">
          <w:marLeft w:val="0"/>
          <w:marRight w:val="0"/>
          <w:marTop w:val="0"/>
          <w:marBottom w:val="0"/>
          <w:divBdr>
            <w:top w:val="none" w:sz="0" w:space="0" w:color="auto"/>
            <w:left w:val="none" w:sz="0" w:space="0" w:color="auto"/>
            <w:bottom w:val="none" w:sz="0" w:space="0" w:color="auto"/>
            <w:right w:val="none" w:sz="0" w:space="0" w:color="auto"/>
          </w:divBdr>
        </w:div>
        <w:div w:id="358118090">
          <w:marLeft w:val="0"/>
          <w:marRight w:val="0"/>
          <w:marTop w:val="0"/>
          <w:marBottom w:val="0"/>
          <w:divBdr>
            <w:top w:val="none" w:sz="0" w:space="0" w:color="auto"/>
            <w:left w:val="none" w:sz="0" w:space="0" w:color="auto"/>
            <w:bottom w:val="none" w:sz="0" w:space="0" w:color="auto"/>
            <w:right w:val="none" w:sz="0" w:space="0" w:color="auto"/>
          </w:divBdr>
        </w:div>
        <w:div w:id="1409301778">
          <w:marLeft w:val="0"/>
          <w:marRight w:val="0"/>
          <w:marTop w:val="0"/>
          <w:marBottom w:val="0"/>
          <w:divBdr>
            <w:top w:val="none" w:sz="0" w:space="0" w:color="auto"/>
            <w:left w:val="none" w:sz="0" w:space="0" w:color="auto"/>
            <w:bottom w:val="none" w:sz="0" w:space="0" w:color="auto"/>
            <w:right w:val="none" w:sz="0" w:space="0" w:color="auto"/>
          </w:divBdr>
        </w:div>
        <w:div w:id="1780221168">
          <w:marLeft w:val="0"/>
          <w:marRight w:val="0"/>
          <w:marTop w:val="0"/>
          <w:marBottom w:val="0"/>
          <w:divBdr>
            <w:top w:val="none" w:sz="0" w:space="0" w:color="auto"/>
            <w:left w:val="none" w:sz="0" w:space="0" w:color="auto"/>
            <w:bottom w:val="none" w:sz="0" w:space="0" w:color="auto"/>
            <w:right w:val="none" w:sz="0" w:space="0" w:color="auto"/>
          </w:divBdr>
        </w:div>
        <w:div w:id="24991375">
          <w:marLeft w:val="0"/>
          <w:marRight w:val="0"/>
          <w:marTop w:val="0"/>
          <w:marBottom w:val="0"/>
          <w:divBdr>
            <w:top w:val="none" w:sz="0" w:space="0" w:color="auto"/>
            <w:left w:val="none" w:sz="0" w:space="0" w:color="auto"/>
            <w:bottom w:val="none" w:sz="0" w:space="0" w:color="auto"/>
            <w:right w:val="none" w:sz="0" w:space="0" w:color="auto"/>
          </w:divBdr>
        </w:div>
        <w:div w:id="1010374979">
          <w:marLeft w:val="0"/>
          <w:marRight w:val="0"/>
          <w:marTop w:val="0"/>
          <w:marBottom w:val="0"/>
          <w:divBdr>
            <w:top w:val="none" w:sz="0" w:space="0" w:color="auto"/>
            <w:left w:val="none" w:sz="0" w:space="0" w:color="auto"/>
            <w:bottom w:val="none" w:sz="0" w:space="0" w:color="auto"/>
            <w:right w:val="none" w:sz="0" w:space="0" w:color="auto"/>
          </w:divBdr>
        </w:div>
        <w:div w:id="674846360">
          <w:marLeft w:val="0"/>
          <w:marRight w:val="0"/>
          <w:marTop w:val="0"/>
          <w:marBottom w:val="0"/>
          <w:divBdr>
            <w:top w:val="none" w:sz="0" w:space="0" w:color="auto"/>
            <w:left w:val="none" w:sz="0" w:space="0" w:color="auto"/>
            <w:bottom w:val="none" w:sz="0" w:space="0" w:color="auto"/>
            <w:right w:val="none" w:sz="0" w:space="0" w:color="auto"/>
          </w:divBdr>
        </w:div>
        <w:div w:id="624896847">
          <w:marLeft w:val="0"/>
          <w:marRight w:val="0"/>
          <w:marTop w:val="0"/>
          <w:marBottom w:val="0"/>
          <w:divBdr>
            <w:top w:val="none" w:sz="0" w:space="0" w:color="auto"/>
            <w:left w:val="none" w:sz="0" w:space="0" w:color="auto"/>
            <w:bottom w:val="none" w:sz="0" w:space="0" w:color="auto"/>
            <w:right w:val="none" w:sz="0" w:space="0" w:color="auto"/>
          </w:divBdr>
        </w:div>
        <w:div w:id="350910985">
          <w:marLeft w:val="0"/>
          <w:marRight w:val="0"/>
          <w:marTop w:val="0"/>
          <w:marBottom w:val="0"/>
          <w:divBdr>
            <w:top w:val="none" w:sz="0" w:space="0" w:color="auto"/>
            <w:left w:val="none" w:sz="0" w:space="0" w:color="auto"/>
            <w:bottom w:val="none" w:sz="0" w:space="0" w:color="auto"/>
            <w:right w:val="none" w:sz="0" w:space="0" w:color="auto"/>
          </w:divBdr>
        </w:div>
        <w:div w:id="1503397760">
          <w:marLeft w:val="0"/>
          <w:marRight w:val="0"/>
          <w:marTop w:val="0"/>
          <w:marBottom w:val="0"/>
          <w:divBdr>
            <w:top w:val="none" w:sz="0" w:space="0" w:color="auto"/>
            <w:left w:val="none" w:sz="0" w:space="0" w:color="auto"/>
            <w:bottom w:val="none" w:sz="0" w:space="0" w:color="auto"/>
            <w:right w:val="none" w:sz="0" w:space="0" w:color="auto"/>
          </w:divBdr>
        </w:div>
      </w:divsChild>
    </w:div>
    <w:div w:id="893741309">
      <w:bodyDiv w:val="1"/>
      <w:marLeft w:val="0"/>
      <w:marRight w:val="0"/>
      <w:marTop w:val="0"/>
      <w:marBottom w:val="0"/>
      <w:divBdr>
        <w:top w:val="none" w:sz="0" w:space="0" w:color="auto"/>
        <w:left w:val="none" w:sz="0" w:space="0" w:color="auto"/>
        <w:bottom w:val="none" w:sz="0" w:space="0" w:color="auto"/>
        <w:right w:val="none" w:sz="0" w:space="0" w:color="auto"/>
      </w:divBdr>
    </w:div>
    <w:div w:id="895703341">
      <w:bodyDiv w:val="1"/>
      <w:marLeft w:val="0"/>
      <w:marRight w:val="0"/>
      <w:marTop w:val="0"/>
      <w:marBottom w:val="0"/>
      <w:divBdr>
        <w:top w:val="none" w:sz="0" w:space="0" w:color="auto"/>
        <w:left w:val="none" w:sz="0" w:space="0" w:color="auto"/>
        <w:bottom w:val="none" w:sz="0" w:space="0" w:color="auto"/>
        <w:right w:val="none" w:sz="0" w:space="0" w:color="auto"/>
      </w:divBdr>
    </w:div>
    <w:div w:id="904409262">
      <w:bodyDiv w:val="1"/>
      <w:marLeft w:val="0"/>
      <w:marRight w:val="0"/>
      <w:marTop w:val="0"/>
      <w:marBottom w:val="0"/>
      <w:divBdr>
        <w:top w:val="none" w:sz="0" w:space="0" w:color="auto"/>
        <w:left w:val="none" w:sz="0" w:space="0" w:color="auto"/>
        <w:bottom w:val="none" w:sz="0" w:space="0" w:color="auto"/>
        <w:right w:val="none" w:sz="0" w:space="0" w:color="auto"/>
      </w:divBdr>
    </w:div>
    <w:div w:id="908227222">
      <w:bodyDiv w:val="1"/>
      <w:marLeft w:val="0"/>
      <w:marRight w:val="0"/>
      <w:marTop w:val="0"/>
      <w:marBottom w:val="0"/>
      <w:divBdr>
        <w:top w:val="none" w:sz="0" w:space="0" w:color="auto"/>
        <w:left w:val="none" w:sz="0" w:space="0" w:color="auto"/>
        <w:bottom w:val="none" w:sz="0" w:space="0" w:color="auto"/>
        <w:right w:val="none" w:sz="0" w:space="0" w:color="auto"/>
      </w:divBdr>
    </w:div>
    <w:div w:id="910775013">
      <w:bodyDiv w:val="1"/>
      <w:marLeft w:val="0"/>
      <w:marRight w:val="0"/>
      <w:marTop w:val="0"/>
      <w:marBottom w:val="0"/>
      <w:divBdr>
        <w:top w:val="none" w:sz="0" w:space="0" w:color="auto"/>
        <w:left w:val="none" w:sz="0" w:space="0" w:color="auto"/>
        <w:bottom w:val="none" w:sz="0" w:space="0" w:color="auto"/>
        <w:right w:val="none" w:sz="0" w:space="0" w:color="auto"/>
      </w:divBdr>
    </w:div>
    <w:div w:id="918637744">
      <w:bodyDiv w:val="1"/>
      <w:marLeft w:val="0"/>
      <w:marRight w:val="0"/>
      <w:marTop w:val="0"/>
      <w:marBottom w:val="0"/>
      <w:divBdr>
        <w:top w:val="none" w:sz="0" w:space="0" w:color="auto"/>
        <w:left w:val="none" w:sz="0" w:space="0" w:color="auto"/>
        <w:bottom w:val="none" w:sz="0" w:space="0" w:color="auto"/>
        <w:right w:val="none" w:sz="0" w:space="0" w:color="auto"/>
      </w:divBdr>
    </w:div>
    <w:div w:id="924342116">
      <w:bodyDiv w:val="1"/>
      <w:marLeft w:val="0"/>
      <w:marRight w:val="0"/>
      <w:marTop w:val="0"/>
      <w:marBottom w:val="0"/>
      <w:divBdr>
        <w:top w:val="none" w:sz="0" w:space="0" w:color="auto"/>
        <w:left w:val="none" w:sz="0" w:space="0" w:color="auto"/>
        <w:bottom w:val="none" w:sz="0" w:space="0" w:color="auto"/>
        <w:right w:val="none" w:sz="0" w:space="0" w:color="auto"/>
      </w:divBdr>
    </w:div>
    <w:div w:id="937327574">
      <w:bodyDiv w:val="1"/>
      <w:marLeft w:val="0"/>
      <w:marRight w:val="0"/>
      <w:marTop w:val="0"/>
      <w:marBottom w:val="0"/>
      <w:divBdr>
        <w:top w:val="none" w:sz="0" w:space="0" w:color="auto"/>
        <w:left w:val="none" w:sz="0" w:space="0" w:color="auto"/>
        <w:bottom w:val="none" w:sz="0" w:space="0" w:color="auto"/>
        <w:right w:val="none" w:sz="0" w:space="0" w:color="auto"/>
      </w:divBdr>
    </w:div>
    <w:div w:id="938678706">
      <w:bodyDiv w:val="1"/>
      <w:marLeft w:val="0"/>
      <w:marRight w:val="0"/>
      <w:marTop w:val="0"/>
      <w:marBottom w:val="0"/>
      <w:divBdr>
        <w:top w:val="none" w:sz="0" w:space="0" w:color="auto"/>
        <w:left w:val="none" w:sz="0" w:space="0" w:color="auto"/>
        <w:bottom w:val="none" w:sz="0" w:space="0" w:color="auto"/>
        <w:right w:val="none" w:sz="0" w:space="0" w:color="auto"/>
      </w:divBdr>
    </w:div>
    <w:div w:id="942613525">
      <w:bodyDiv w:val="1"/>
      <w:marLeft w:val="0"/>
      <w:marRight w:val="0"/>
      <w:marTop w:val="0"/>
      <w:marBottom w:val="0"/>
      <w:divBdr>
        <w:top w:val="none" w:sz="0" w:space="0" w:color="auto"/>
        <w:left w:val="none" w:sz="0" w:space="0" w:color="auto"/>
        <w:bottom w:val="none" w:sz="0" w:space="0" w:color="auto"/>
        <w:right w:val="none" w:sz="0" w:space="0" w:color="auto"/>
      </w:divBdr>
    </w:div>
    <w:div w:id="946424004">
      <w:bodyDiv w:val="1"/>
      <w:marLeft w:val="0"/>
      <w:marRight w:val="0"/>
      <w:marTop w:val="0"/>
      <w:marBottom w:val="0"/>
      <w:divBdr>
        <w:top w:val="none" w:sz="0" w:space="0" w:color="auto"/>
        <w:left w:val="none" w:sz="0" w:space="0" w:color="auto"/>
        <w:bottom w:val="none" w:sz="0" w:space="0" w:color="auto"/>
        <w:right w:val="none" w:sz="0" w:space="0" w:color="auto"/>
      </w:divBdr>
    </w:div>
    <w:div w:id="947468175">
      <w:bodyDiv w:val="1"/>
      <w:marLeft w:val="0"/>
      <w:marRight w:val="0"/>
      <w:marTop w:val="0"/>
      <w:marBottom w:val="0"/>
      <w:divBdr>
        <w:top w:val="none" w:sz="0" w:space="0" w:color="auto"/>
        <w:left w:val="none" w:sz="0" w:space="0" w:color="auto"/>
        <w:bottom w:val="none" w:sz="0" w:space="0" w:color="auto"/>
        <w:right w:val="none" w:sz="0" w:space="0" w:color="auto"/>
      </w:divBdr>
    </w:div>
    <w:div w:id="948201795">
      <w:bodyDiv w:val="1"/>
      <w:marLeft w:val="0"/>
      <w:marRight w:val="0"/>
      <w:marTop w:val="0"/>
      <w:marBottom w:val="0"/>
      <w:divBdr>
        <w:top w:val="none" w:sz="0" w:space="0" w:color="auto"/>
        <w:left w:val="none" w:sz="0" w:space="0" w:color="auto"/>
        <w:bottom w:val="none" w:sz="0" w:space="0" w:color="auto"/>
        <w:right w:val="none" w:sz="0" w:space="0" w:color="auto"/>
      </w:divBdr>
    </w:div>
    <w:div w:id="948245905">
      <w:bodyDiv w:val="1"/>
      <w:marLeft w:val="0"/>
      <w:marRight w:val="0"/>
      <w:marTop w:val="0"/>
      <w:marBottom w:val="0"/>
      <w:divBdr>
        <w:top w:val="none" w:sz="0" w:space="0" w:color="auto"/>
        <w:left w:val="none" w:sz="0" w:space="0" w:color="auto"/>
        <w:bottom w:val="none" w:sz="0" w:space="0" w:color="auto"/>
        <w:right w:val="none" w:sz="0" w:space="0" w:color="auto"/>
      </w:divBdr>
    </w:div>
    <w:div w:id="950669075">
      <w:bodyDiv w:val="1"/>
      <w:marLeft w:val="0"/>
      <w:marRight w:val="0"/>
      <w:marTop w:val="0"/>
      <w:marBottom w:val="0"/>
      <w:divBdr>
        <w:top w:val="none" w:sz="0" w:space="0" w:color="auto"/>
        <w:left w:val="none" w:sz="0" w:space="0" w:color="auto"/>
        <w:bottom w:val="none" w:sz="0" w:space="0" w:color="auto"/>
        <w:right w:val="none" w:sz="0" w:space="0" w:color="auto"/>
      </w:divBdr>
    </w:div>
    <w:div w:id="952130816">
      <w:bodyDiv w:val="1"/>
      <w:marLeft w:val="0"/>
      <w:marRight w:val="0"/>
      <w:marTop w:val="0"/>
      <w:marBottom w:val="0"/>
      <w:divBdr>
        <w:top w:val="none" w:sz="0" w:space="0" w:color="auto"/>
        <w:left w:val="none" w:sz="0" w:space="0" w:color="auto"/>
        <w:bottom w:val="none" w:sz="0" w:space="0" w:color="auto"/>
        <w:right w:val="none" w:sz="0" w:space="0" w:color="auto"/>
      </w:divBdr>
    </w:div>
    <w:div w:id="954747885">
      <w:bodyDiv w:val="1"/>
      <w:marLeft w:val="0"/>
      <w:marRight w:val="0"/>
      <w:marTop w:val="0"/>
      <w:marBottom w:val="0"/>
      <w:divBdr>
        <w:top w:val="none" w:sz="0" w:space="0" w:color="auto"/>
        <w:left w:val="none" w:sz="0" w:space="0" w:color="auto"/>
        <w:bottom w:val="none" w:sz="0" w:space="0" w:color="auto"/>
        <w:right w:val="none" w:sz="0" w:space="0" w:color="auto"/>
      </w:divBdr>
    </w:div>
    <w:div w:id="962685736">
      <w:bodyDiv w:val="1"/>
      <w:marLeft w:val="0"/>
      <w:marRight w:val="0"/>
      <w:marTop w:val="0"/>
      <w:marBottom w:val="0"/>
      <w:divBdr>
        <w:top w:val="none" w:sz="0" w:space="0" w:color="auto"/>
        <w:left w:val="none" w:sz="0" w:space="0" w:color="auto"/>
        <w:bottom w:val="none" w:sz="0" w:space="0" w:color="auto"/>
        <w:right w:val="none" w:sz="0" w:space="0" w:color="auto"/>
      </w:divBdr>
    </w:div>
    <w:div w:id="964232688">
      <w:bodyDiv w:val="1"/>
      <w:marLeft w:val="0"/>
      <w:marRight w:val="0"/>
      <w:marTop w:val="0"/>
      <w:marBottom w:val="0"/>
      <w:divBdr>
        <w:top w:val="none" w:sz="0" w:space="0" w:color="auto"/>
        <w:left w:val="none" w:sz="0" w:space="0" w:color="auto"/>
        <w:bottom w:val="none" w:sz="0" w:space="0" w:color="auto"/>
        <w:right w:val="none" w:sz="0" w:space="0" w:color="auto"/>
      </w:divBdr>
    </w:div>
    <w:div w:id="971204414">
      <w:bodyDiv w:val="1"/>
      <w:marLeft w:val="0"/>
      <w:marRight w:val="0"/>
      <w:marTop w:val="0"/>
      <w:marBottom w:val="0"/>
      <w:divBdr>
        <w:top w:val="none" w:sz="0" w:space="0" w:color="auto"/>
        <w:left w:val="none" w:sz="0" w:space="0" w:color="auto"/>
        <w:bottom w:val="none" w:sz="0" w:space="0" w:color="auto"/>
        <w:right w:val="none" w:sz="0" w:space="0" w:color="auto"/>
      </w:divBdr>
    </w:div>
    <w:div w:id="980695295">
      <w:bodyDiv w:val="1"/>
      <w:marLeft w:val="0"/>
      <w:marRight w:val="0"/>
      <w:marTop w:val="0"/>
      <w:marBottom w:val="0"/>
      <w:divBdr>
        <w:top w:val="none" w:sz="0" w:space="0" w:color="auto"/>
        <w:left w:val="none" w:sz="0" w:space="0" w:color="auto"/>
        <w:bottom w:val="none" w:sz="0" w:space="0" w:color="auto"/>
        <w:right w:val="none" w:sz="0" w:space="0" w:color="auto"/>
      </w:divBdr>
    </w:div>
    <w:div w:id="995647079">
      <w:bodyDiv w:val="1"/>
      <w:marLeft w:val="0"/>
      <w:marRight w:val="0"/>
      <w:marTop w:val="0"/>
      <w:marBottom w:val="0"/>
      <w:divBdr>
        <w:top w:val="none" w:sz="0" w:space="0" w:color="auto"/>
        <w:left w:val="none" w:sz="0" w:space="0" w:color="auto"/>
        <w:bottom w:val="none" w:sz="0" w:space="0" w:color="auto"/>
        <w:right w:val="none" w:sz="0" w:space="0" w:color="auto"/>
      </w:divBdr>
    </w:div>
    <w:div w:id="1002010338">
      <w:bodyDiv w:val="1"/>
      <w:marLeft w:val="0"/>
      <w:marRight w:val="0"/>
      <w:marTop w:val="0"/>
      <w:marBottom w:val="0"/>
      <w:divBdr>
        <w:top w:val="none" w:sz="0" w:space="0" w:color="auto"/>
        <w:left w:val="none" w:sz="0" w:space="0" w:color="auto"/>
        <w:bottom w:val="none" w:sz="0" w:space="0" w:color="auto"/>
        <w:right w:val="none" w:sz="0" w:space="0" w:color="auto"/>
      </w:divBdr>
    </w:div>
    <w:div w:id="1009873039">
      <w:bodyDiv w:val="1"/>
      <w:marLeft w:val="0"/>
      <w:marRight w:val="0"/>
      <w:marTop w:val="0"/>
      <w:marBottom w:val="0"/>
      <w:divBdr>
        <w:top w:val="none" w:sz="0" w:space="0" w:color="auto"/>
        <w:left w:val="none" w:sz="0" w:space="0" w:color="auto"/>
        <w:bottom w:val="none" w:sz="0" w:space="0" w:color="auto"/>
        <w:right w:val="none" w:sz="0" w:space="0" w:color="auto"/>
      </w:divBdr>
    </w:div>
    <w:div w:id="1013458962">
      <w:bodyDiv w:val="1"/>
      <w:marLeft w:val="0"/>
      <w:marRight w:val="0"/>
      <w:marTop w:val="0"/>
      <w:marBottom w:val="0"/>
      <w:divBdr>
        <w:top w:val="none" w:sz="0" w:space="0" w:color="auto"/>
        <w:left w:val="none" w:sz="0" w:space="0" w:color="auto"/>
        <w:bottom w:val="none" w:sz="0" w:space="0" w:color="auto"/>
        <w:right w:val="none" w:sz="0" w:space="0" w:color="auto"/>
      </w:divBdr>
    </w:div>
    <w:div w:id="1013459550">
      <w:bodyDiv w:val="1"/>
      <w:marLeft w:val="0"/>
      <w:marRight w:val="0"/>
      <w:marTop w:val="0"/>
      <w:marBottom w:val="0"/>
      <w:divBdr>
        <w:top w:val="none" w:sz="0" w:space="0" w:color="auto"/>
        <w:left w:val="none" w:sz="0" w:space="0" w:color="auto"/>
        <w:bottom w:val="none" w:sz="0" w:space="0" w:color="auto"/>
        <w:right w:val="none" w:sz="0" w:space="0" w:color="auto"/>
      </w:divBdr>
    </w:div>
    <w:div w:id="1018045250">
      <w:bodyDiv w:val="1"/>
      <w:marLeft w:val="0"/>
      <w:marRight w:val="0"/>
      <w:marTop w:val="0"/>
      <w:marBottom w:val="0"/>
      <w:divBdr>
        <w:top w:val="none" w:sz="0" w:space="0" w:color="auto"/>
        <w:left w:val="none" w:sz="0" w:space="0" w:color="auto"/>
        <w:bottom w:val="none" w:sz="0" w:space="0" w:color="auto"/>
        <w:right w:val="none" w:sz="0" w:space="0" w:color="auto"/>
      </w:divBdr>
    </w:div>
    <w:div w:id="1028144837">
      <w:bodyDiv w:val="1"/>
      <w:marLeft w:val="0"/>
      <w:marRight w:val="0"/>
      <w:marTop w:val="0"/>
      <w:marBottom w:val="0"/>
      <w:divBdr>
        <w:top w:val="none" w:sz="0" w:space="0" w:color="auto"/>
        <w:left w:val="none" w:sz="0" w:space="0" w:color="auto"/>
        <w:bottom w:val="none" w:sz="0" w:space="0" w:color="auto"/>
        <w:right w:val="none" w:sz="0" w:space="0" w:color="auto"/>
      </w:divBdr>
    </w:div>
    <w:div w:id="1031566576">
      <w:bodyDiv w:val="1"/>
      <w:marLeft w:val="0"/>
      <w:marRight w:val="0"/>
      <w:marTop w:val="0"/>
      <w:marBottom w:val="0"/>
      <w:divBdr>
        <w:top w:val="none" w:sz="0" w:space="0" w:color="auto"/>
        <w:left w:val="none" w:sz="0" w:space="0" w:color="auto"/>
        <w:bottom w:val="none" w:sz="0" w:space="0" w:color="auto"/>
        <w:right w:val="none" w:sz="0" w:space="0" w:color="auto"/>
      </w:divBdr>
    </w:div>
    <w:div w:id="1036541163">
      <w:bodyDiv w:val="1"/>
      <w:marLeft w:val="0"/>
      <w:marRight w:val="0"/>
      <w:marTop w:val="0"/>
      <w:marBottom w:val="0"/>
      <w:divBdr>
        <w:top w:val="none" w:sz="0" w:space="0" w:color="auto"/>
        <w:left w:val="none" w:sz="0" w:space="0" w:color="auto"/>
        <w:bottom w:val="none" w:sz="0" w:space="0" w:color="auto"/>
        <w:right w:val="none" w:sz="0" w:space="0" w:color="auto"/>
      </w:divBdr>
    </w:div>
    <w:div w:id="1039276961">
      <w:bodyDiv w:val="1"/>
      <w:marLeft w:val="0"/>
      <w:marRight w:val="0"/>
      <w:marTop w:val="0"/>
      <w:marBottom w:val="0"/>
      <w:divBdr>
        <w:top w:val="none" w:sz="0" w:space="0" w:color="auto"/>
        <w:left w:val="none" w:sz="0" w:space="0" w:color="auto"/>
        <w:bottom w:val="none" w:sz="0" w:space="0" w:color="auto"/>
        <w:right w:val="none" w:sz="0" w:space="0" w:color="auto"/>
      </w:divBdr>
    </w:div>
    <w:div w:id="1049917068">
      <w:bodyDiv w:val="1"/>
      <w:marLeft w:val="0"/>
      <w:marRight w:val="0"/>
      <w:marTop w:val="0"/>
      <w:marBottom w:val="0"/>
      <w:divBdr>
        <w:top w:val="none" w:sz="0" w:space="0" w:color="auto"/>
        <w:left w:val="none" w:sz="0" w:space="0" w:color="auto"/>
        <w:bottom w:val="none" w:sz="0" w:space="0" w:color="auto"/>
        <w:right w:val="none" w:sz="0" w:space="0" w:color="auto"/>
      </w:divBdr>
    </w:div>
    <w:div w:id="1052847890">
      <w:bodyDiv w:val="1"/>
      <w:marLeft w:val="0"/>
      <w:marRight w:val="0"/>
      <w:marTop w:val="0"/>
      <w:marBottom w:val="0"/>
      <w:divBdr>
        <w:top w:val="none" w:sz="0" w:space="0" w:color="auto"/>
        <w:left w:val="none" w:sz="0" w:space="0" w:color="auto"/>
        <w:bottom w:val="none" w:sz="0" w:space="0" w:color="auto"/>
        <w:right w:val="none" w:sz="0" w:space="0" w:color="auto"/>
      </w:divBdr>
    </w:div>
    <w:div w:id="1066806144">
      <w:bodyDiv w:val="1"/>
      <w:marLeft w:val="0"/>
      <w:marRight w:val="0"/>
      <w:marTop w:val="0"/>
      <w:marBottom w:val="0"/>
      <w:divBdr>
        <w:top w:val="none" w:sz="0" w:space="0" w:color="auto"/>
        <w:left w:val="none" w:sz="0" w:space="0" w:color="auto"/>
        <w:bottom w:val="none" w:sz="0" w:space="0" w:color="auto"/>
        <w:right w:val="none" w:sz="0" w:space="0" w:color="auto"/>
      </w:divBdr>
    </w:div>
    <w:div w:id="1067846705">
      <w:bodyDiv w:val="1"/>
      <w:marLeft w:val="0"/>
      <w:marRight w:val="0"/>
      <w:marTop w:val="0"/>
      <w:marBottom w:val="0"/>
      <w:divBdr>
        <w:top w:val="none" w:sz="0" w:space="0" w:color="auto"/>
        <w:left w:val="none" w:sz="0" w:space="0" w:color="auto"/>
        <w:bottom w:val="none" w:sz="0" w:space="0" w:color="auto"/>
        <w:right w:val="none" w:sz="0" w:space="0" w:color="auto"/>
      </w:divBdr>
    </w:div>
    <w:div w:id="1068648485">
      <w:bodyDiv w:val="1"/>
      <w:marLeft w:val="0"/>
      <w:marRight w:val="0"/>
      <w:marTop w:val="0"/>
      <w:marBottom w:val="0"/>
      <w:divBdr>
        <w:top w:val="none" w:sz="0" w:space="0" w:color="auto"/>
        <w:left w:val="none" w:sz="0" w:space="0" w:color="auto"/>
        <w:bottom w:val="none" w:sz="0" w:space="0" w:color="auto"/>
        <w:right w:val="none" w:sz="0" w:space="0" w:color="auto"/>
      </w:divBdr>
    </w:div>
    <w:div w:id="1069157120">
      <w:bodyDiv w:val="1"/>
      <w:marLeft w:val="0"/>
      <w:marRight w:val="0"/>
      <w:marTop w:val="0"/>
      <w:marBottom w:val="0"/>
      <w:divBdr>
        <w:top w:val="none" w:sz="0" w:space="0" w:color="auto"/>
        <w:left w:val="none" w:sz="0" w:space="0" w:color="auto"/>
        <w:bottom w:val="none" w:sz="0" w:space="0" w:color="auto"/>
        <w:right w:val="none" w:sz="0" w:space="0" w:color="auto"/>
      </w:divBdr>
    </w:div>
    <w:div w:id="1073619687">
      <w:bodyDiv w:val="1"/>
      <w:marLeft w:val="0"/>
      <w:marRight w:val="0"/>
      <w:marTop w:val="0"/>
      <w:marBottom w:val="0"/>
      <w:divBdr>
        <w:top w:val="none" w:sz="0" w:space="0" w:color="auto"/>
        <w:left w:val="none" w:sz="0" w:space="0" w:color="auto"/>
        <w:bottom w:val="none" w:sz="0" w:space="0" w:color="auto"/>
        <w:right w:val="none" w:sz="0" w:space="0" w:color="auto"/>
      </w:divBdr>
    </w:div>
    <w:div w:id="1079642077">
      <w:bodyDiv w:val="1"/>
      <w:marLeft w:val="0"/>
      <w:marRight w:val="0"/>
      <w:marTop w:val="0"/>
      <w:marBottom w:val="0"/>
      <w:divBdr>
        <w:top w:val="none" w:sz="0" w:space="0" w:color="auto"/>
        <w:left w:val="none" w:sz="0" w:space="0" w:color="auto"/>
        <w:bottom w:val="none" w:sz="0" w:space="0" w:color="auto"/>
        <w:right w:val="none" w:sz="0" w:space="0" w:color="auto"/>
      </w:divBdr>
    </w:div>
    <w:div w:id="1086194467">
      <w:bodyDiv w:val="1"/>
      <w:marLeft w:val="0"/>
      <w:marRight w:val="0"/>
      <w:marTop w:val="0"/>
      <w:marBottom w:val="0"/>
      <w:divBdr>
        <w:top w:val="none" w:sz="0" w:space="0" w:color="auto"/>
        <w:left w:val="none" w:sz="0" w:space="0" w:color="auto"/>
        <w:bottom w:val="none" w:sz="0" w:space="0" w:color="auto"/>
        <w:right w:val="none" w:sz="0" w:space="0" w:color="auto"/>
      </w:divBdr>
    </w:div>
    <w:div w:id="1091203461">
      <w:bodyDiv w:val="1"/>
      <w:marLeft w:val="0"/>
      <w:marRight w:val="0"/>
      <w:marTop w:val="0"/>
      <w:marBottom w:val="0"/>
      <w:divBdr>
        <w:top w:val="none" w:sz="0" w:space="0" w:color="auto"/>
        <w:left w:val="none" w:sz="0" w:space="0" w:color="auto"/>
        <w:bottom w:val="none" w:sz="0" w:space="0" w:color="auto"/>
        <w:right w:val="none" w:sz="0" w:space="0" w:color="auto"/>
      </w:divBdr>
    </w:div>
    <w:div w:id="1100683644">
      <w:bodyDiv w:val="1"/>
      <w:marLeft w:val="0"/>
      <w:marRight w:val="0"/>
      <w:marTop w:val="0"/>
      <w:marBottom w:val="0"/>
      <w:divBdr>
        <w:top w:val="none" w:sz="0" w:space="0" w:color="auto"/>
        <w:left w:val="none" w:sz="0" w:space="0" w:color="auto"/>
        <w:bottom w:val="none" w:sz="0" w:space="0" w:color="auto"/>
        <w:right w:val="none" w:sz="0" w:space="0" w:color="auto"/>
      </w:divBdr>
    </w:div>
    <w:div w:id="1102264087">
      <w:bodyDiv w:val="1"/>
      <w:marLeft w:val="0"/>
      <w:marRight w:val="0"/>
      <w:marTop w:val="0"/>
      <w:marBottom w:val="0"/>
      <w:divBdr>
        <w:top w:val="none" w:sz="0" w:space="0" w:color="auto"/>
        <w:left w:val="none" w:sz="0" w:space="0" w:color="auto"/>
        <w:bottom w:val="none" w:sz="0" w:space="0" w:color="auto"/>
        <w:right w:val="none" w:sz="0" w:space="0" w:color="auto"/>
      </w:divBdr>
    </w:div>
    <w:div w:id="1111629747">
      <w:bodyDiv w:val="1"/>
      <w:marLeft w:val="0"/>
      <w:marRight w:val="0"/>
      <w:marTop w:val="0"/>
      <w:marBottom w:val="0"/>
      <w:divBdr>
        <w:top w:val="none" w:sz="0" w:space="0" w:color="auto"/>
        <w:left w:val="none" w:sz="0" w:space="0" w:color="auto"/>
        <w:bottom w:val="none" w:sz="0" w:space="0" w:color="auto"/>
        <w:right w:val="none" w:sz="0" w:space="0" w:color="auto"/>
      </w:divBdr>
    </w:div>
    <w:div w:id="1112438790">
      <w:bodyDiv w:val="1"/>
      <w:marLeft w:val="0"/>
      <w:marRight w:val="0"/>
      <w:marTop w:val="0"/>
      <w:marBottom w:val="0"/>
      <w:divBdr>
        <w:top w:val="none" w:sz="0" w:space="0" w:color="auto"/>
        <w:left w:val="none" w:sz="0" w:space="0" w:color="auto"/>
        <w:bottom w:val="none" w:sz="0" w:space="0" w:color="auto"/>
        <w:right w:val="none" w:sz="0" w:space="0" w:color="auto"/>
      </w:divBdr>
    </w:div>
    <w:div w:id="1115638929">
      <w:bodyDiv w:val="1"/>
      <w:marLeft w:val="0"/>
      <w:marRight w:val="0"/>
      <w:marTop w:val="0"/>
      <w:marBottom w:val="0"/>
      <w:divBdr>
        <w:top w:val="none" w:sz="0" w:space="0" w:color="auto"/>
        <w:left w:val="none" w:sz="0" w:space="0" w:color="auto"/>
        <w:bottom w:val="none" w:sz="0" w:space="0" w:color="auto"/>
        <w:right w:val="none" w:sz="0" w:space="0" w:color="auto"/>
      </w:divBdr>
    </w:div>
    <w:div w:id="1123156718">
      <w:bodyDiv w:val="1"/>
      <w:marLeft w:val="0"/>
      <w:marRight w:val="0"/>
      <w:marTop w:val="0"/>
      <w:marBottom w:val="0"/>
      <w:divBdr>
        <w:top w:val="none" w:sz="0" w:space="0" w:color="auto"/>
        <w:left w:val="none" w:sz="0" w:space="0" w:color="auto"/>
        <w:bottom w:val="none" w:sz="0" w:space="0" w:color="auto"/>
        <w:right w:val="none" w:sz="0" w:space="0" w:color="auto"/>
      </w:divBdr>
    </w:div>
    <w:div w:id="1123427147">
      <w:bodyDiv w:val="1"/>
      <w:marLeft w:val="0"/>
      <w:marRight w:val="0"/>
      <w:marTop w:val="0"/>
      <w:marBottom w:val="0"/>
      <w:divBdr>
        <w:top w:val="none" w:sz="0" w:space="0" w:color="auto"/>
        <w:left w:val="none" w:sz="0" w:space="0" w:color="auto"/>
        <w:bottom w:val="none" w:sz="0" w:space="0" w:color="auto"/>
        <w:right w:val="none" w:sz="0" w:space="0" w:color="auto"/>
      </w:divBdr>
    </w:div>
    <w:div w:id="1128471631">
      <w:bodyDiv w:val="1"/>
      <w:marLeft w:val="0"/>
      <w:marRight w:val="0"/>
      <w:marTop w:val="0"/>
      <w:marBottom w:val="0"/>
      <w:divBdr>
        <w:top w:val="none" w:sz="0" w:space="0" w:color="auto"/>
        <w:left w:val="none" w:sz="0" w:space="0" w:color="auto"/>
        <w:bottom w:val="none" w:sz="0" w:space="0" w:color="auto"/>
        <w:right w:val="none" w:sz="0" w:space="0" w:color="auto"/>
      </w:divBdr>
    </w:div>
    <w:div w:id="1139225754">
      <w:bodyDiv w:val="1"/>
      <w:marLeft w:val="0"/>
      <w:marRight w:val="0"/>
      <w:marTop w:val="0"/>
      <w:marBottom w:val="0"/>
      <w:divBdr>
        <w:top w:val="none" w:sz="0" w:space="0" w:color="auto"/>
        <w:left w:val="none" w:sz="0" w:space="0" w:color="auto"/>
        <w:bottom w:val="none" w:sz="0" w:space="0" w:color="auto"/>
        <w:right w:val="none" w:sz="0" w:space="0" w:color="auto"/>
      </w:divBdr>
    </w:div>
    <w:div w:id="1139617366">
      <w:bodyDiv w:val="1"/>
      <w:marLeft w:val="0"/>
      <w:marRight w:val="0"/>
      <w:marTop w:val="0"/>
      <w:marBottom w:val="0"/>
      <w:divBdr>
        <w:top w:val="none" w:sz="0" w:space="0" w:color="auto"/>
        <w:left w:val="none" w:sz="0" w:space="0" w:color="auto"/>
        <w:bottom w:val="none" w:sz="0" w:space="0" w:color="auto"/>
        <w:right w:val="none" w:sz="0" w:space="0" w:color="auto"/>
      </w:divBdr>
    </w:div>
    <w:div w:id="1144272686">
      <w:bodyDiv w:val="1"/>
      <w:marLeft w:val="0"/>
      <w:marRight w:val="0"/>
      <w:marTop w:val="0"/>
      <w:marBottom w:val="0"/>
      <w:divBdr>
        <w:top w:val="none" w:sz="0" w:space="0" w:color="auto"/>
        <w:left w:val="none" w:sz="0" w:space="0" w:color="auto"/>
        <w:bottom w:val="none" w:sz="0" w:space="0" w:color="auto"/>
        <w:right w:val="none" w:sz="0" w:space="0" w:color="auto"/>
      </w:divBdr>
    </w:div>
    <w:div w:id="1153832969">
      <w:bodyDiv w:val="1"/>
      <w:marLeft w:val="0"/>
      <w:marRight w:val="0"/>
      <w:marTop w:val="0"/>
      <w:marBottom w:val="0"/>
      <w:divBdr>
        <w:top w:val="none" w:sz="0" w:space="0" w:color="auto"/>
        <w:left w:val="none" w:sz="0" w:space="0" w:color="auto"/>
        <w:bottom w:val="none" w:sz="0" w:space="0" w:color="auto"/>
        <w:right w:val="none" w:sz="0" w:space="0" w:color="auto"/>
      </w:divBdr>
    </w:div>
    <w:div w:id="1161117387">
      <w:bodyDiv w:val="1"/>
      <w:marLeft w:val="0"/>
      <w:marRight w:val="0"/>
      <w:marTop w:val="0"/>
      <w:marBottom w:val="0"/>
      <w:divBdr>
        <w:top w:val="none" w:sz="0" w:space="0" w:color="auto"/>
        <w:left w:val="none" w:sz="0" w:space="0" w:color="auto"/>
        <w:bottom w:val="none" w:sz="0" w:space="0" w:color="auto"/>
        <w:right w:val="none" w:sz="0" w:space="0" w:color="auto"/>
      </w:divBdr>
    </w:div>
    <w:div w:id="1161889317">
      <w:bodyDiv w:val="1"/>
      <w:marLeft w:val="0"/>
      <w:marRight w:val="0"/>
      <w:marTop w:val="0"/>
      <w:marBottom w:val="0"/>
      <w:divBdr>
        <w:top w:val="none" w:sz="0" w:space="0" w:color="auto"/>
        <w:left w:val="none" w:sz="0" w:space="0" w:color="auto"/>
        <w:bottom w:val="none" w:sz="0" w:space="0" w:color="auto"/>
        <w:right w:val="none" w:sz="0" w:space="0" w:color="auto"/>
      </w:divBdr>
    </w:div>
    <w:div w:id="1166675928">
      <w:bodyDiv w:val="1"/>
      <w:marLeft w:val="0"/>
      <w:marRight w:val="0"/>
      <w:marTop w:val="0"/>
      <w:marBottom w:val="0"/>
      <w:divBdr>
        <w:top w:val="none" w:sz="0" w:space="0" w:color="auto"/>
        <w:left w:val="none" w:sz="0" w:space="0" w:color="auto"/>
        <w:bottom w:val="none" w:sz="0" w:space="0" w:color="auto"/>
        <w:right w:val="none" w:sz="0" w:space="0" w:color="auto"/>
      </w:divBdr>
    </w:div>
    <w:div w:id="1172798561">
      <w:bodyDiv w:val="1"/>
      <w:marLeft w:val="0"/>
      <w:marRight w:val="0"/>
      <w:marTop w:val="0"/>
      <w:marBottom w:val="0"/>
      <w:divBdr>
        <w:top w:val="none" w:sz="0" w:space="0" w:color="auto"/>
        <w:left w:val="none" w:sz="0" w:space="0" w:color="auto"/>
        <w:bottom w:val="none" w:sz="0" w:space="0" w:color="auto"/>
        <w:right w:val="none" w:sz="0" w:space="0" w:color="auto"/>
      </w:divBdr>
    </w:div>
    <w:div w:id="1176576122">
      <w:bodyDiv w:val="1"/>
      <w:marLeft w:val="0"/>
      <w:marRight w:val="0"/>
      <w:marTop w:val="0"/>
      <w:marBottom w:val="0"/>
      <w:divBdr>
        <w:top w:val="none" w:sz="0" w:space="0" w:color="auto"/>
        <w:left w:val="none" w:sz="0" w:space="0" w:color="auto"/>
        <w:bottom w:val="none" w:sz="0" w:space="0" w:color="auto"/>
        <w:right w:val="none" w:sz="0" w:space="0" w:color="auto"/>
      </w:divBdr>
    </w:div>
    <w:div w:id="1179272533">
      <w:bodyDiv w:val="1"/>
      <w:marLeft w:val="0"/>
      <w:marRight w:val="0"/>
      <w:marTop w:val="0"/>
      <w:marBottom w:val="0"/>
      <w:divBdr>
        <w:top w:val="none" w:sz="0" w:space="0" w:color="auto"/>
        <w:left w:val="none" w:sz="0" w:space="0" w:color="auto"/>
        <w:bottom w:val="none" w:sz="0" w:space="0" w:color="auto"/>
        <w:right w:val="none" w:sz="0" w:space="0" w:color="auto"/>
      </w:divBdr>
    </w:div>
    <w:div w:id="1180505192">
      <w:bodyDiv w:val="1"/>
      <w:marLeft w:val="0"/>
      <w:marRight w:val="0"/>
      <w:marTop w:val="0"/>
      <w:marBottom w:val="0"/>
      <w:divBdr>
        <w:top w:val="none" w:sz="0" w:space="0" w:color="auto"/>
        <w:left w:val="none" w:sz="0" w:space="0" w:color="auto"/>
        <w:bottom w:val="none" w:sz="0" w:space="0" w:color="auto"/>
        <w:right w:val="none" w:sz="0" w:space="0" w:color="auto"/>
      </w:divBdr>
    </w:div>
    <w:div w:id="1181161024">
      <w:bodyDiv w:val="1"/>
      <w:marLeft w:val="0"/>
      <w:marRight w:val="0"/>
      <w:marTop w:val="0"/>
      <w:marBottom w:val="0"/>
      <w:divBdr>
        <w:top w:val="none" w:sz="0" w:space="0" w:color="auto"/>
        <w:left w:val="none" w:sz="0" w:space="0" w:color="auto"/>
        <w:bottom w:val="none" w:sz="0" w:space="0" w:color="auto"/>
        <w:right w:val="none" w:sz="0" w:space="0" w:color="auto"/>
      </w:divBdr>
    </w:div>
    <w:div w:id="1183324490">
      <w:bodyDiv w:val="1"/>
      <w:marLeft w:val="0"/>
      <w:marRight w:val="0"/>
      <w:marTop w:val="0"/>
      <w:marBottom w:val="0"/>
      <w:divBdr>
        <w:top w:val="none" w:sz="0" w:space="0" w:color="auto"/>
        <w:left w:val="none" w:sz="0" w:space="0" w:color="auto"/>
        <w:bottom w:val="none" w:sz="0" w:space="0" w:color="auto"/>
        <w:right w:val="none" w:sz="0" w:space="0" w:color="auto"/>
      </w:divBdr>
    </w:div>
    <w:div w:id="1198082509">
      <w:bodyDiv w:val="1"/>
      <w:marLeft w:val="0"/>
      <w:marRight w:val="0"/>
      <w:marTop w:val="0"/>
      <w:marBottom w:val="0"/>
      <w:divBdr>
        <w:top w:val="none" w:sz="0" w:space="0" w:color="auto"/>
        <w:left w:val="none" w:sz="0" w:space="0" w:color="auto"/>
        <w:bottom w:val="none" w:sz="0" w:space="0" w:color="auto"/>
        <w:right w:val="none" w:sz="0" w:space="0" w:color="auto"/>
      </w:divBdr>
    </w:div>
    <w:div w:id="1202744378">
      <w:bodyDiv w:val="1"/>
      <w:marLeft w:val="0"/>
      <w:marRight w:val="0"/>
      <w:marTop w:val="0"/>
      <w:marBottom w:val="0"/>
      <w:divBdr>
        <w:top w:val="none" w:sz="0" w:space="0" w:color="auto"/>
        <w:left w:val="none" w:sz="0" w:space="0" w:color="auto"/>
        <w:bottom w:val="none" w:sz="0" w:space="0" w:color="auto"/>
        <w:right w:val="none" w:sz="0" w:space="0" w:color="auto"/>
      </w:divBdr>
      <w:divsChild>
        <w:div w:id="106433051">
          <w:marLeft w:val="0"/>
          <w:marRight w:val="0"/>
          <w:marTop w:val="0"/>
          <w:marBottom w:val="0"/>
          <w:divBdr>
            <w:top w:val="none" w:sz="0" w:space="0" w:color="auto"/>
            <w:left w:val="none" w:sz="0" w:space="0" w:color="auto"/>
            <w:bottom w:val="none" w:sz="0" w:space="0" w:color="auto"/>
            <w:right w:val="none" w:sz="0" w:space="0" w:color="auto"/>
          </w:divBdr>
        </w:div>
        <w:div w:id="1082682314">
          <w:marLeft w:val="0"/>
          <w:marRight w:val="0"/>
          <w:marTop w:val="0"/>
          <w:marBottom w:val="0"/>
          <w:divBdr>
            <w:top w:val="none" w:sz="0" w:space="0" w:color="auto"/>
            <w:left w:val="none" w:sz="0" w:space="0" w:color="auto"/>
            <w:bottom w:val="none" w:sz="0" w:space="0" w:color="auto"/>
            <w:right w:val="none" w:sz="0" w:space="0" w:color="auto"/>
          </w:divBdr>
        </w:div>
        <w:div w:id="1502040962">
          <w:marLeft w:val="0"/>
          <w:marRight w:val="0"/>
          <w:marTop w:val="0"/>
          <w:marBottom w:val="0"/>
          <w:divBdr>
            <w:top w:val="none" w:sz="0" w:space="0" w:color="auto"/>
            <w:left w:val="none" w:sz="0" w:space="0" w:color="auto"/>
            <w:bottom w:val="none" w:sz="0" w:space="0" w:color="auto"/>
            <w:right w:val="none" w:sz="0" w:space="0" w:color="auto"/>
          </w:divBdr>
        </w:div>
      </w:divsChild>
    </w:div>
    <w:div w:id="1202867294">
      <w:bodyDiv w:val="1"/>
      <w:marLeft w:val="0"/>
      <w:marRight w:val="0"/>
      <w:marTop w:val="0"/>
      <w:marBottom w:val="0"/>
      <w:divBdr>
        <w:top w:val="none" w:sz="0" w:space="0" w:color="auto"/>
        <w:left w:val="none" w:sz="0" w:space="0" w:color="auto"/>
        <w:bottom w:val="none" w:sz="0" w:space="0" w:color="auto"/>
        <w:right w:val="none" w:sz="0" w:space="0" w:color="auto"/>
      </w:divBdr>
    </w:div>
    <w:div w:id="1203706883">
      <w:bodyDiv w:val="1"/>
      <w:marLeft w:val="0"/>
      <w:marRight w:val="0"/>
      <w:marTop w:val="0"/>
      <w:marBottom w:val="0"/>
      <w:divBdr>
        <w:top w:val="none" w:sz="0" w:space="0" w:color="auto"/>
        <w:left w:val="none" w:sz="0" w:space="0" w:color="auto"/>
        <w:bottom w:val="none" w:sz="0" w:space="0" w:color="auto"/>
        <w:right w:val="none" w:sz="0" w:space="0" w:color="auto"/>
      </w:divBdr>
    </w:div>
    <w:div w:id="1204754055">
      <w:bodyDiv w:val="1"/>
      <w:marLeft w:val="0"/>
      <w:marRight w:val="0"/>
      <w:marTop w:val="0"/>
      <w:marBottom w:val="0"/>
      <w:divBdr>
        <w:top w:val="none" w:sz="0" w:space="0" w:color="auto"/>
        <w:left w:val="none" w:sz="0" w:space="0" w:color="auto"/>
        <w:bottom w:val="none" w:sz="0" w:space="0" w:color="auto"/>
        <w:right w:val="none" w:sz="0" w:space="0" w:color="auto"/>
      </w:divBdr>
    </w:div>
    <w:div w:id="1205868981">
      <w:bodyDiv w:val="1"/>
      <w:marLeft w:val="0"/>
      <w:marRight w:val="0"/>
      <w:marTop w:val="0"/>
      <w:marBottom w:val="0"/>
      <w:divBdr>
        <w:top w:val="none" w:sz="0" w:space="0" w:color="auto"/>
        <w:left w:val="none" w:sz="0" w:space="0" w:color="auto"/>
        <w:bottom w:val="none" w:sz="0" w:space="0" w:color="auto"/>
        <w:right w:val="none" w:sz="0" w:space="0" w:color="auto"/>
      </w:divBdr>
    </w:div>
    <w:div w:id="1209412350">
      <w:bodyDiv w:val="1"/>
      <w:marLeft w:val="0"/>
      <w:marRight w:val="0"/>
      <w:marTop w:val="0"/>
      <w:marBottom w:val="0"/>
      <w:divBdr>
        <w:top w:val="none" w:sz="0" w:space="0" w:color="auto"/>
        <w:left w:val="none" w:sz="0" w:space="0" w:color="auto"/>
        <w:bottom w:val="none" w:sz="0" w:space="0" w:color="auto"/>
        <w:right w:val="none" w:sz="0" w:space="0" w:color="auto"/>
      </w:divBdr>
    </w:div>
    <w:div w:id="1212616533">
      <w:bodyDiv w:val="1"/>
      <w:marLeft w:val="0"/>
      <w:marRight w:val="0"/>
      <w:marTop w:val="0"/>
      <w:marBottom w:val="0"/>
      <w:divBdr>
        <w:top w:val="none" w:sz="0" w:space="0" w:color="auto"/>
        <w:left w:val="none" w:sz="0" w:space="0" w:color="auto"/>
        <w:bottom w:val="none" w:sz="0" w:space="0" w:color="auto"/>
        <w:right w:val="none" w:sz="0" w:space="0" w:color="auto"/>
      </w:divBdr>
    </w:div>
    <w:div w:id="1215391470">
      <w:bodyDiv w:val="1"/>
      <w:marLeft w:val="0"/>
      <w:marRight w:val="0"/>
      <w:marTop w:val="0"/>
      <w:marBottom w:val="0"/>
      <w:divBdr>
        <w:top w:val="none" w:sz="0" w:space="0" w:color="auto"/>
        <w:left w:val="none" w:sz="0" w:space="0" w:color="auto"/>
        <w:bottom w:val="none" w:sz="0" w:space="0" w:color="auto"/>
        <w:right w:val="none" w:sz="0" w:space="0" w:color="auto"/>
      </w:divBdr>
    </w:div>
    <w:div w:id="1216046847">
      <w:bodyDiv w:val="1"/>
      <w:marLeft w:val="0"/>
      <w:marRight w:val="0"/>
      <w:marTop w:val="0"/>
      <w:marBottom w:val="0"/>
      <w:divBdr>
        <w:top w:val="none" w:sz="0" w:space="0" w:color="auto"/>
        <w:left w:val="none" w:sz="0" w:space="0" w:color="auto"/>
        <w:bottom w:val="none" w:sz="0" w:space="0" w:color="auto"/>
        <w:right w:val="none" w:sz="0" w:space="0" w:color="auto"/>
      </w:divBdr>
    </w:div>
    <w:div w:id="1218006362">
      <w:bodyDiv w:val="1"/>
      <w:marLeft w:val="0"/>
      <w:marRight w:val="0"/>
      <w:marTop w:val="0"/>
      <w:marBottom w:val="0"/>
      <w:divBdr>
        <w:top w:val="none" w:sz="0" w:space="0" w:color="auto"/>
        <w:left w:val="none" w:sz="0" w:space="0" w:color="auto"/>
        <w:bottom w:val="none" w:sz="0" w:space="0" w:color="auto"/>
        <w:right w:val="none" w:sz="0" w:space="0" w:color="auto"/>
      </w:divBdr>
    </w:div>
    <w:div w:id="1244101933">
      <w:bodyDiv w:val="1"/>
      <w:marLeft w:val="0"/>
      <w:marRight w:val="0"/>
      <w:marTop w:val="0"/>
      <w:marBottom w:val="0"/>
      <w:divBdr>
        <w:top w:val="none" w:sz="0" w:space="0" w:color="auto"/>
        <w:left w:val="none" w:sz="0" w:space="0" w:color="auto"/>
        <w:bottom w:val="none" w:sz="0" w:space="0" w:color="auto"/>
        <w:right w:val="none" w:sz="0" w:space="0" w:color="auto"/>
      </w:divBdr>
    </w:div>
    <w:div w:id="1245991181">
      <w:bodyDiv w:val="1"/>
      <w:marLeft w:val="0"/>
      <w:marRight w:val="0"/>
      <w:marTop w:val="0"/>
      <w:marBottom w:val="0"/>
      <w:divBdr>
        <w:top w:val="none" w:sz="0" w:space="0" w:color="auto"/>
        <w:left w:val="none" w:sz="0" w:space="0" w:color="auto"/>
        <w:bottom w:val="none" w:sz="0" w:space="0" w:color="auto"/>
        <w:right w:val="none" w:sz="0" w:space="0" w:color="auto"/>
      </w:divBdr>
    </w:div>
    <w:div w:id="1249536445">
      <w:bodyDiv w:val="1"/>
      <w:marLeft w:val="0"/>
      <w:marRight w:val="0"/>
      <w:marTop w:val="0"/>
      <w:marBottom w:val="0"/>
      <w:divBdr>
        <w:top w:val="none" w:sz="0" w:space="0" w:color="auto"/>
        <w:left w:val="none" w:sz="0" w:space="0" w:color="auto"/>
        <w:bottom w:val="none" w:sz="0" w:space="0" w:color="auto"/>
        <w:right w:val="none" w:sz="0" w:space="0" w:color="auto"/>
      </w:divBdr>
    </w:div>
    <w:div w:id="1250502174">
      <w:bodyDiv w:val="1"/>
      <w:marLeft w:val="0"/>
      <w:marRight w:val="0"/>
      <w:marTop w:val="0"/>
      <w:marBottom w:val="0"/>
      <w:divBdr>
        <w:top w:val="none" w:sz="0" w:space="0" w:color="auto"/>
        <w:left w:val="none" w:sz="0" w:space="0" w:color="auto"/>
        <w:bottom w:val="none" w:sz="0" w:space="0" w:color="auto"/>
        <w:right w:val="none" w:sz="0" w:space="0" w:color="auto"/>
      </w:divBdr>
    </w:div>
    <w:div w:id="1250846246">
      <w:bodyDiv w:val="1"/>
      <w:marLeft w:val="0"/>
      <w:marRight w:val="0"/>
      <w:marTop w:val="0"/>
      <w:marBottom w:val="0"/>
      <w:divBdr>
        <w:top w:val="none" w:sz="0" w:space="0" w:color="auto"/>
        <w:left w:val="none" w:sz="0" w:space="0" w:color="auto"/>
        <w:bottom w:val="none" w:sz="0" w:space="0" w:color="auto"/>
        <w:right w:val="none" w:sz="0" w:space="0" w:color="auto"/>
      </w:divBdr>
    </w:div>
    <w:div w:id="1258443503">
      <w:bodyDiv w:val="1"/>
      <w:marLeft w:val="0"/>
      <w:marRight w:val="0"/>
      <w:marTop w:val="0"/>
      <w:marBottom w:val="0"/>
      <w:divBdr>
        <w:top w:val="none" w:sz="0" w:space="0" w:color="auto"/>
        <w:left w:val="none" w:sz="0" w:space="0" w:color="auto"/>
        <w:bottom w:val="none" w:sz="0" w:space="0" w:color="auto"/>
        <w:right w:val="none" w:sz="0" w:space="0" w:color="auto"/>
      </w:divBdr>
    </w:div>
    <w:div w:id="1259564145">
      <w:bodyDiv w:val="1"/>
      <w:marLeft w:val="0"/>
      <w:marRight w:val="0"/>
      <w:marTop w:val="0"/>
      <w:marBottom w:val="0"/>
      <w:divBdr>
        <w:top w:val="none" w:sz="0" w:space="0" w:color="auto"/>
        <w:left w:val="none" w:sz="0" w:space="0" w:color="auto"/>
        <w:bottom w:val="none" w:sz="0" w:space="0" w:color="auto"/>
        <w:right w:val="none" w:sz="0" w:space="0" w:color="auto"/>
      </w:divBdr>
    </w:div>
    <w:div w:id="1262300412">
      <w:bodyDiv w:val="1"/>
      <w:marLeft w:val="0"/>
      <w:marRight w:val="0"/>
      <w:marTop w:val="0"/>
      <w:marBottom w:val="0"/>
      <w:divBdr>
        <w:top w:val="none" w:sz="0" w:space="0" w:color="auto"/>
        <w:left w:val="none" w:sz="0" w:space="0" w:color="auto"/>
        <w:bottom w:val="none" w:sz="0" w:space="0" w:color="auto"/>
        <w:right w:val="none" w:sz="0" w:space="0" w:color="auto"/>
      </w:divBdr>
    </w:div>
    <w:div w:id="1264462846">
      <w:bodyDiv w:val="1"/>
      <w:marLeft w:val="0"/>
      <w:marRight w:val="0"/>
      <w:marTop w:val="0"/>
      <w:marBottom w:val="0"/>
      <w:divBdr>
        <w:top w:val="none" w:sz="0" w:space="0" w:color="auto"/>
        <w:left w:val="none" w:sz="0" w:space="0" w:color="auto"/>
        <w:bottom w:val="none" w:sz="0" w:space="0" w:color="auto"/>
        <w:right w:val="none" w:sz="0" w:space="0" w:color="auto"/>
      </w:divBdr>
    </w:div>
    <w:div w:id="1273633743">
      <w:bodyDiv w:val="1"/>
      <w:marLeft w:val="0"/>
      <w:marRight w:val="0"/>
      <w:marTop w:val="0"/>
      <w:marBottom w:val="0"/>
      <w:divBdr>
        <w:top w:val="none" w:sz="0" w:space="0" w:color="auto"/>
        <w:left w:val="none" w:sz="0" w:space="0" w:color="auto"/>
        <w:bottom w:val="none" w:sz="0" w:space="0" w:color="auto"/>
        <w:right w:val="none" w:sz="0" w:space="0" w:color="auto"/>
      </w:divBdr>
    </w:div>
    <w:div w:id="1275020213">
      <w:bodyDiv w:val="1"/>
      <w:marLeft w:val="0"/>
      <w:marRight w:val="0"/>
      <w:marTop w:val="0"/>
      <w:marBottom w:val="0"/>
      <w:divBdr>
        <w:top w:val="none" w:sz="0" w:space="0" w:color="auto"/>
        <w:left w:val="none" w:sz="0" w:space="0" w:color="auto"/>
        <w:bottom w:val="none" w:sz="0" w:space="0" w:color="auto"/>
        <w:right w:val="none" w:sz="0" w:space="0" w:color="auto"/>
      </w:divBdr>
    </w:div>
    <w:div w:id="1279602429">
      <w:bodyDiv w:val="1"/>
      <w:marLeft w:val="0"/>
      <w:marRight w:val="0"/>
      <w:marTop w:val="0"/>
      <w:marBottom w:val="0"/>
      <w:divBdr>
        <w:top w:val="none" w:sz="0" w:space="0" w:color="auto"/>
        <w:left w:val="none" w:sz="0" w:space="0" w:color="auto"/>
        <w:bottom w:val="none" w:sz="0" w:space="0" w:color="auto"/>
        <w:right w:val="none" w:sz="0" w:space="0" w:color="auto"/>
      </w:divBdr>
    </w:div>
    <w:div w:id="1283268042">
      <w:bodyDiv w:val="1"/>
      <w:marLeft w:val="0"/>
      <w:marRight w:val="0"/>
      <w:marTop w:val="0"/>
      <w:marBottom w:val="0"/>
      <w:divBdr>
        <w:top w:val="none" w:sz="0" w:space="0" w:color="auto"/>
        <w:left w:val="none" w:sz="0" w:space="0" w:color="auto"/>
        <w:bottom w:val="none" w:sz="0" w:space="0" w:color="auto"/>
        <w:right w:val="none" w:sz="0" w:space="0" w:color="auto"/>
      </w:divBdr>
    </w:div>
    <w:div w:id="1287930639">
      <w:bodyDiv w:val="1"/>
      <w:marLeft w:val="0"/>
      <w:marRight w:val="0"/>
      <w:marTop w:val="0"/>
      <w:marBottom w:val="0"/>
      <w:divBdr>
        <w:top w:val="none" w:sz="0" w:space="0" w:color="auto"/>
        <w:left w:val="none" w:sz="0" w:space="0" w:color="auto"/>
        <w:bottom w:val="none" w:sz="0" w:space="0" w:color="auto"/>
        <w:right w:val="none" w:sz="0" w:space="0" w:color="auto"/>
      </w:divBdr>
    </w:div>
    <w:div w:id="1289241198">
      <w:bodyDiv w:val="1"/>
      <w:marLeft w:val="0"/>
      <w:marRight w:val="0"/>
      <w:marTop w:val="0"/>
      <w:marBottom w:val="0"/>
      <w:divBdr>
        <w:top w:val="none" w:sz="0" w:space="0" w:color="auto"/>
        <w:left w:val="none" w:sz="0" w:space="0" w:color="auto"/>
        <w:bottom w:val="none" w:sz="0" w:space="0" w:color="auto"/>
        <w:right w:val="none" w:sz="0" w:space="0" w:color="auto"/>
      </w:divBdr>
    </w:div>
    <w:div w:id="1294024708">
      <w:bodyDiv w:val="1"/>
      <w:marLeft w:val="0"/>
      <w:marRight w:val="0"/>
      <w:marTop w:val="0"/>
      <w:marBottom w:val="0"/>
      <w:divBdr>
        <w:top w:val="none" w:sz="0" w:space="0" w:color="auto"/>
        <w:left w:val="none" w:sz="0" w:space="0" w:color="auto"/>
        <w:bottom w:val="none" w:sz="0" w:space="0" w:color="auto"/>
        <w:right w:val="none" w:sz="0" w:space="0" w:color="auto"/>
      </w:divBdr>
    </w:div>
    <w:div w:id="1308243288">
      <w:bodyDiv w:val="1"/>
      <w:marLeft w:val="0"/>
      <w:marRight w:val="0"/>
      <w:marTop w:val="0"/>
      <w:marBottom w:val="0"/>
      <w:divBdr>
        <w:top w:val="none" w:sz="0" w:space="0" w:color="auto"/>
        <w:left w:val="none" w:sz="0" w:space="0" w:color="auto"/>
        <w:bottom w:val="none" w:sz="0" w:space="0" w:color="auto"/>
        <w:right w:val="none" w:sz="0" w:space="0" w:color="auto"/>
      </w:divBdr>
    </w:div>
    <w:div w:id="1309824809">
      <w:bodyDiv w:val="1"/>
      <w:marLeft w:val="0"/>
      <w:marRight w:val="0"/>
      <w:marTop w:val="0"/>
      <w:marBottom w:val="0"/>
      <w:divBdr>
        <w:top w:val="none" w:sz="0" w:space="0" w:color="auto"/>
        <w:left w:val="none" w:sz="0" w:space="0" w:color="auto"/>
        <w:bottom w:val="none" w:sz="0" w:space="0" w:color="auto"/>
        <w:right w:val="none" w:sz="0" w:space="0" w:color="auto"/>
      </w:divBdr>
    </w:div>
    <w:div w:id="1310135437">
      <w:bodyDiv w:val="1"/>
      <w:marLeft w:val="0"/>
      <w:marRight w:val="0"/>
      <w:marTop w:val="0"/>
      <w:marBottom w:val="0"/>
      <w:divBdr>
        <w:top w:val="none" w:sz="0" w:space="0" w:color="auto"/>
        <w:left w:val="none" w:sz="0" w:space="0" w:color="auto"/>
        <w:bottom w:val="none" w:sz="0" w:space="0" w:color="auto"/>
        <w:right w:val="none" w:sz="0" w:space="0" w:color="auto"/>
      </w:divBdr>
    </w:div>
    <w:div w:id="1318655579">
      <w:bodyDiv w:val="1"/>
      <w:marLeft w:val="0"/>
      <w:marRight w:val="0"/>
      <w:marTop w:val="0"/>
      <w:marBottom w:val="0"/>
      <w:divBdr>
        <w:top w:val="none" w:sz="0" w:space="0" w:color="auto"/>
        <w:left w:val="none" w:sz="0" w:space="0" w:color="auto"/>
        <w:bottom w:val="none" w:sz="0" w:space="0" w:color="auto"/>
        <w:right w:val="none" w:sz="0" w:space="0" w:color="auto"/>
      </w:divBdr>
    </w:div>
    <w:div w:id="1319574154">
      <w:bodyDiv w:val="1"/>
      <w:marLeft w:val="0"/>
      <w:marRight w:val="0"/>
      <w:marTop w:val="0"/>
      <w:marBottom w:val="0"/>
      <w:divBdr>
        <w:top w:val="none" w:sz="0" w:space="0" w:color="auto"/>
        <w:left w:val="none" w:sz="0" w:space="0" w:color="auto"/>
        <w:bottom w:val="none" w:sz="0" w:space="0" w:color="auto"/>
        <w:right w:val="none" w:sz="0" w:space="0" w:color="auto"/>
      </w:divBdr>
    </w:div>
    <w:div w:id="1323269891">
      <w:bodyDiv w:val="1"/>
      <w:marLeft w:val="0"/>
      <w:marRight w:val="0"/>
      <w:marTop w:val="0"/>
      <w:marBottom w:val="0"/>
      <w:divBdr>
        <w:top w:val="none" w:sz="0" w:space="0" w:color="auto"/>
        <w:left w:val="none" w:sz="0" w:space="0" w:color="auto"/>
        <w:bottom w:val="none" w:sz="0" w:space="0" w:color="auto"/>
        <w:right w:val="none" w:sz="0" w:space="0" w:color="auto"/>
      </w:divBdr>
    </w:div>
    <w:div w:id="1324043594">
      <w:bodyDiv w:val="1"/>
      <w:marLeft w:val="0"/>
      <w:marRight w:val="0"/>
      <w:marTop w:val="0"/>
      <w:marBottom w:val="0"/>
      <w:divBdr>
        <w:top w:val="none" w:sz="0" w:space="0" w:color="auto"/>
        <w:left w:val="none" w:sz="0" w:space="0" w:color="auto"/>
        <w:bottom w:val="none" w:sz="0" w:space="0" w:color="auto"/>
        <w:right w:val="none" w:sz="0" w:space="0" w:color="auto"/>
      </w:divBdr>
    </w:div>
    <w:div w:id="1325276230">
      <w:bodyDiv w:val="1"/>
      <w:marLeft w:val="0"/>
      <w:marRight w:val="0"/>
      <w:marTop w:val="0"/>
      <w:marBottom w:val="0"/>
      <w:divBdr>
        <w:top w:val="none" w:sz="0" w:space="0" w:color="auto"/>
        <w:left w:val="none" w:sz="0" w:space="0" w:color="auto"/>
        <w:bottom w:val="none" w:sz="0" w:space="0" w:color="auto"/>
        <w:right w:val="none" w:sz="0" w:space="0" w:color="auto"/>
      </w:divBdr>
    </w:div>
    <w:div w:id="1331911725">
      <w:bodyDiv w:val="1"/>
      <w:marLeft w:val="0"/>
      <w:marRight w:val="0"/>
      <w:marTop w:val="0"/>
      <w:marBottom w:val="0"/>
      <w:divBdr>
        <w:top w:val="none" w:sz="0" w:space="0" w:color="auto"/>
        <w:left w:val="none" w:sz="0" w:space="0" w:color="auto"/>
        <w:bottom w:val="none" w:sz="0" w:space="0" w:color="auto"/>
        <w:right w:val="none" w:sz="0" w:space="0" w:color="auto"/>
      </w:divBdr>
    </w:div>
    <w:div w:id="1333412251">
      <w:bodyDiv w:val="1"/>
      <w:marLeft w:val="0"/>
      <w:marRight w:val="0"/>
      <w:marTop w:val="0"/>
      <w:marBottom w:val="0"/>
      <w:divBdr>
        <w:top w:val="none" w:sz="0" w:space="0" w:color="auto"/>
        <w:left w:val="none" w:sz="0" w:space="0" w:color="auto"/>
        <w:bottom w:val="none" w:sz="0" w:space="0" w:color="auto"/>
        <w:right w:val="none" w:sz="0" w:space="0" w:color="auto"/>
      </w:divBdr>
    </w:div>
    <w:div w:id="1333875813">
      <w:bodyDiv w:val="1"/>
      <w:marLeft w:val="0"/>
      <w:marRight w:val="0"/>
      <w:marTop w:val="0"/>
      <w:marBottom w:val="0"/>
      <w:divBdr>
        <w:top w:val="none" w:sz="0" w:space="0" w:color="auto"/>
        <w:left w:val="none" w:sz="0" w:space="0" w:color="auto"/>
        <w:bottom w:val="none" w:sz="0" w:space="0" w:color="auto"/>
        <w:right w:val="none" w:sz="0" w:space="0" w:color="auto"/>
      </w:divBdr>
    </w:div>
    <w:div w:id="1345133338">
      <w:bodyDiv w:val="1"/>
      <w:marLeft w:val="0"/>
      <w:marRight w:val="0"/>
      <w:marTop w:val="0"/>
      <w:marBottom w:val="0"/>
      <w:divBdr>
        <w:top w:val="none" w:sz="0" w:space="0" w:color="auto"/>
        <w:left w:val="none" w:sz="0" w:space="0" w:color="auto"/>
        <w:bottom w:val="none" w:sz="0" w:space="0" w:color="auto"/>
        <w:right w:val="none" w:sz="0" w:space="0" w:color="auto"/>
      </w:divBdr>
    </w:div>
    <w:div w:id="1348562751">
      <w:bodyDiv w:val="1"/>
      <w:marLeft w:val="0"/>
      <w:marRight w:val="0"/>
      <w:marTop w:val="0"/>
      <w:marBottom w:val="0"/>
      <w:divBdr>
        <w:top w:val="none" w:sz="0" w:space="0" w:color="auto"/>
        <w:left w:val="none" w:sz="0" w:space="0" w:color="auto"/>
        <w:bottom w:val="none" w:sz="0" w:space="0" w:color="auto"/>
        <w:right w:val="none" w:sz="0" w:space="0" w:color="auto"/>
      </w:divBdr>
    </w:div>
    <w:div w:id="1351369275">
      <w:bodyDiv w:val="1"/>
      <w:marLeft w:val="0"/>
      <w:marRight w:val="0"/>
      <w:marTop w:val="0"/>
      <w:marBottom w:val="0"/>
      <w:divBdr>
        <w:top w:val="none" w:sz="0" w:space="0" w:color="auto"/>
        <w:left w:val="none" w:sz="0" w:space="0" w:color="auto"/>
        <w:bottom w:val="none" w:sz="0" w:space="0" w:color="auto"/>
        <w:right w:val="none" w:sz="0" w:space="0" w:color="auto"/>
      </w:divBdr>
    </w:div>
    <w:div w:id="1352298314">
      <w:bodyDiv w:val="1"/>
      <w:marLeft w:val="0"/>
      <w:marRight w:val="0"/>
      <w:marTop w:val="0"/>
      <w:marBottom w:val="0"/>
      <w:divBdr>
        <w:top w:val="none" w:sz="0" w:space="0" w:color="auto"/>
        <w:left w:val="none" w:sz="0" w:space="0" w:color="auto"/>
        <w:bottom w:val="none" w:sz="0" w:space="0" w:color="auto"/>
        <w:right w:val="none" w:sz="0" w:space="0" w:color="auto"/>
      </w:divBdr>
    </w:div>
    <w:div w:id="1352682716">
      <w:bodyDiv w:val="1"/>
      <w:marLeft w:val="0"/>
      <w:marRight w:val="0"/>
      <w:marTop w:val="0"/>
      <w:marBottom w:val="0"/>
      <w:divBdr>
        <w:top w:val="none" w:sz="0" w:space="0" w:color="auto"/>
        <w:left w:val="none" w:sz="0" w:space="0" w:color="auto"/>
        <w:bottom w:val="none" w:sz="0" w:space="0" w:color="auto"/>
        <w:right w:val="none" w:sz="0" w:space="0" w:color="auto"/>
      </w:divBdr>
    </w:div>
    <w:div w:id="1354064727">
      <w:bodyDiv w:val="1"/>
      <w:marLeft w:val="0"/>
      <w:marRight w:val="0"/>
      <w:marTop w:val="0"/>
      <w:marBottom w:val="0"/>
      <w:divBdr>
        <w:top w:val="none" w:sz="0" w:space="0" w:color="auto"/>
        <w:left w:val="none" w:sz="0" w:space="0" w:color="auto"/>
        <w:bottom w:val="none" w:sz="0" w:space="0" w:color="auto"/>
        <w:right w:val="none" w:sz="0" w:space="0" w:color="auto"/>
      </w:divBdr>
    </w:div>
    <w:div w:id="1358119811">
      <w:bodyDiv w:val="1"/>
      <w:marLeft w:val="0"/>
      <w:marRight w:val="0"/>
      <w:marTop w:val="0"/>
      <w:marBottom w:val="0"/>
      <w:divBdr>
        <w:top w:val="none" w:sz="0" w:space="0" w:color="auto"/>
        <w:left w:val="none" w:sz="0" w:space="0" w:color="auto"/>
        <w:bottom w:val="none" w:sz="0" w:space="0" w:color="auto"/>
        <w:right w:val="none" w:sz="0" w:space="0" w:color="auto"/>
      </w:divBdr>
    </w:div>
    <w:div w:id="1366254009">
      <w:bodyDiv w:val="1"/>
      <w:marLeft w:val="0"/>
      <w:marRight w:val="0"/>
      <w:marTop w:val="0"/>
      <w:marBottom w:val="0"/>
      <w:divBdr>
        <w:top w:val="none" w:sz="0" w:space="0" w:color="auto"/>
        <w:left w:val="none" w:sz="0" w:space="0" w:color="auto"/>
        <w:bottom w:val="none" w:sz="0" w:space="0" w:color="auto"/>
        <w:right w:val="none" w:sz="0" w:space="0" w:color="auto"/>
      </w:divBdr>
    </w:div>
    <w:div w:id="1374499418">
      <w:bodyDiv w:val="1"/>
      <w:marLeft w:val="0"/>
      <w:marRight w:val="0"/>
      <w:marTop w:val="0"/>
      <w:marBottom w:val="0"/>
      <w:divBdr>
        <w:top w:val="none" w:sz="0" w:space="0" w:color="auto"/>
        <w:left w:val="none" w:sz="0" w:space="0" w:color="auto"/>
        <w:bottom w:val="none" w:sz="0" w:space="0" w:color="auto"/>
        <w:right w:val="none" w:sz="0" w:space="0" w:color="auto"/>
      </w:divBdr>
    </w:div>
    <w:div w:id="1376154892">
      <w:bodyDiv w:val="1"/>
      <w:marLeft w:val="0"/>
      <w:marRight w:val="0"/>
      <w:marTop w:val="0"/>
      <w:marBottom w:val="0"/>
      <w:divBdr>
        <w:top w:val="none" w:sz="0" w:space="0" w:color="auto"/>
        <w:left w:val="none" w:sz="0" w:space="0" w:color="auto"/>
        <w:bottom w:val="none" w:sz="0" w:space="0" w:color="auto"/>
        <w:right w:val="none" w:sz="0" w:space="0" w:color="auto"/>
      </w:divBdr>
    </w:div>
    <w:div w:id="1382558387">
      <w:bodyDiv w:val="1"/>
      <w:marLeft w:val="0"/>
      <w:marRight w:val="0"/>
      <w:marTop w:val="0"/>
      <w:marBottom w:val="0"/>
      <w:divBdr>
        <w:top w:val="none" w:sz="0" w:space="0" w:color="auto"/>
        <w:left w:val="none" w:sz="0" w:space="0" w:color="auto"/>
        <w:bottom w:val="none" w:sz="0" w:space="0" w:color="auto"/>
        <w:right w:val="none" w:sz="0" w:space="0" w:color="auto"/>
      </w:divBdr>
    </w:div>
    <w:div w:id="1382750307">
      <w:bodyDiv w:val="1"/>
      <w:marLeft w:val="0"/>
      <w:marRight w:val="0"/>
      <w:marTop w:val="0"/>
      <w:marBottom w:val="0"/>
      <w:divBdr>
        <w:top w:val="none" w:sz="0" w:space="0" w:color="auto"/>
        <w:left w:val="none" w:sz="0" w:space="0" w:color="auto"/>
        <w:bottom w:val="none" w:sz="0" w:space="0" w:color="auto"/>
        <w:right w:val="none" w:sz="0" w:space="0" w:color="auto"/>
      </w:divBdr>
    </w:div>
    <w:div w:id="1392656918">
      <w:bodyDiv w:val="1"/>
      <w:marLeft w:val="0"/>
      <w:marRight w:val="0"/>
      <w:marTop w:val="0"/>
      <w:marBottom w:val="0"/>
      <w:divBdr>
        <w:top w:val="none" w:sz="0" w:space="0" w:color="auto"/>
        <w:left w:val="none" w:sz="0" w:space="0" w:color="auto"/>
        <w:bottom w:val="none" w:sz="0" w:space="0" w:color="auto"/>
        <w:right w:val="none" w:sz="0" w:space="0" w:color="auto"/>
      </w:divBdr>
    </w:div>
    <w:div w:id="1405958210">
      <w:bodyDiv w:val="1"/>
      <w:marLeft w:val="0"/>
      <w:marRight w:val="0"/>
      <w:marTop w:val="0"/>
      <w:marBottom w:val="0"/>
      <w:divBdr>
        <w:top w:val="none" w:sz="0" w:space="0" w:color="auto"/>
        <w:left w:val="none" w:sz="0" w:space="0" w:color="auto"/>
        <w:bottom w:val="none" w:sz="0" w:space="0" w:color="auto"/>
        <w:right w:val="none" w:sz="0" w:space="0" w:color="auto"/>
      </w:divBdr>
    </w:div>
    <w:div w:id="1407459703">
      <w:bodyDiv w:val="1"/>
      <w:marLeft w:val="0"/>
      <w:marRight w:val="0"/>
      <w:marTop w:val="0"/>
      <w:marBottom w:val="0"/>
      <w:divBdr>
        <w:top w:val="none" w:sz="0" w:space="0" w:color="auto"/>
        <w:left w:val="none" w:sz="0" w:space="0" w:color="auto"/>
        <w:bottom w:val="none" w:sz="0" w:space="0" w:color="auto"/>
        <w:right w:val="none" w:sz="0" w:space="0" w:color="auto"/>
      </w:divBdr>
    </w:div>
    <w:div w:id="1413163001">
      <w:bodyDiv w:val="1"/>
      <w:marLeft w:val="0"/>
      <w:marRight w:val="0"/>
      <w:marTop w:val="0"/>
      <w:marBottom w:val="0"/>
      <w:divBdr>
        <w:top w:val="none" w:sz="0" w:space="0" w:color="auto"/>
        <w:left w:val="none" w:sz="0" w:space="0" w:color="auto"/>
        <w:bottom w:val="none" w:sz="0" w:space="0" w:color="auto"/>
        <w:right w:val="none" w:sz="0" w:space="0" w:color="auto"/>
      </w:divBdr>
    </w:div>
    <w:div w:id="1416971552">
      <w:bodyDiv w:val="1"/>
      <w:marLeft w:val="0"/>
      <w:marRight w:val="0"/>
      <w:marTop w:val="0"/>
      <w:marBottom w:val="0"/>
      <w:divBdr>
        <w:top w:val="none" w:sz="0" w:space="0" w:color="auto"/>
        <w:left w:val="none" w:sz="0" w:space="0" w:color="auto"/>
        <w:bottom w:val="none" w:sz="0" w:space="0" w:color="auto"/>
        <w:right w:val="none" w:sz="0" w:space="0" w:color="auto"/>
      </w:divBdr>
    </w:div>
    <w:div w:id="1417553601">
      <w:bodyDiv w:val="1"/>
      <w:marLeft w:val="0"/>
      <w:marRight w:val="0"/>
      <w:marTop w:val="0"/>
      <w:marBottom w:val="0"/>
      <w:divBdr>
        <w:top w:val="none" w:sz="0" w:space="0" w:color="auto"/>
        <w:left w:val="none" w:sz="0" w:space="0" w:color="auto"/>
        <w:bottom w:val="none" w:sz="0" w:space="0" w:color="auto"/>
        <w:right w:val="none" w:sz="0" w:space="0" w:color="auto"/>
      </w:divBdr>
    </w:div>
    <w:div w:id="1419717357">
      <w:bodyDiv w:val="1"/>
      <w:marLeft w:val="0"/>
      <w:marRight w:val="0"/>
      <w:marTop w:val="0"/>
      <w:marBottom w:val="0"/>
      <w:divBdr>
        <w:top w:val="none" w:sz="0" w:space="0" w:color="auto"/>
        <w:left w:val="none" w:sz="0" w:space="0" w:color="auto"/>
        <w:bottom w:val="none" w:sz="0" w:space="0" w:color="auto"/>
        <w:right w:val="none" w:sz="0" w:space="0" w:color="auto"/>
      </w:divBdr>
    </w:div>
    <w:div w:id="1423183369">
      <w:bodyDiv w:val="1"/>
      <w:marLeft w:val="0"/>
      <w:marRight w:val="0"/>
      <w:marTop w:val="0"/>
      <w:marBottom w:val="0"/>
      <w:divBdr>
        <w:top w:val="none" w:sz="0" w:space="0" w:color="auto"/>
        <w:left w:val="none" w:sz="0" w:space="0" w:color="auto"/>
        <w:bottom w:val="none" w:sz="0" w:space="0" w:color="auto"/>
        <w:right w:val="none" w:sz="0" w:space="0" w:color="auto"/>
      </w:divBdr>
    </w:div>
    <w:div w:id="1427385179">
      <w:bodyDiv w:val="1"/>
      <w:marLeft w:val="500"/>
      <w:marRight w:val="0"/>
      <w:marTop w:val="0"/>
      <w:marBottom w:val="0"/>
      <w:divBdr>
        <w:top w:val="none" w:sz="0" w:space="0" w:color="auto"/>
        <w:left w:val="none" w:sz="0" w:space="0" w:color="auto"/>
        <w:bottom w:val="none" w:sz="0" w:space="0" w:color="auto"/>
        <w:right w:val="none" w:sz="0" w:space="0" w:color="auto"/>
      </w:divBdr>
    </w:div>
    <w:div w:id="1428114456">
      <w:bodyDiv w:val="1"/>
      <w:marLeft w:val="0"/>
      <w:marRight w:val="0"/>
      <w:marTop w:val="0"/>
      <w:marBottom w:val="0"/>
      <w:divBdr>
        <w:top w:val="none" w:sz="0" w:space="0" w:color="auto"/>
        <w:left w:val="none" w:sz="0" w:space="0" w:color="auto"/>
        <w:bottom w:val="none" w:sz="0" w:space="0" w:color="auto"/>
        <w:right w:val="none" w:sz="0" w:space="0" w:color="auto"/>
      </w:divBdr>
    </w:div>
    <w:div w:id="1428962062">
      <w:bodyDiv w:val="1"/>
      <w:marLeft w:val="0"/>
      <w:marRight w:val="0"/>
      <w:marTop w:val="0"/>
      <w:marBottom w:val="0"/>
      <w:divBdr>
        <w:top w:val="none" w:sz="0" w:space="0" w:color="auto"/>
        <w:left w:val="none" w:sz="0" w:space="0" w:color="auto"/>
        <w:bottom w:val="none" w:sz="0" w:space="0" w:color="auto"/>
        <w:right w:val="none" w:sz="0" w:space="0" w:color="auto"/>
      </w:divBdr>
    </w:div>
    <w:div w:id="1431123355">
      <w:bodyDiv w:val="1"/>
      <w:marLeft w:val="0"/>
      <w:marRight w:val="0"/>
      <w:marTop w:val="0"/>
      <w:marBottom w:val="0"/>
      <w:divBdr>
        <w:top w:val="none" w:sz="0" w:space="0" w:color="auto"/>
        <w:left w:val="none" w:sz="0" w:space="0" w:color="auto"/>
        <w:bottom w:val="none" w:sz="0" w:space="0" w:color="auto"/>
        <w:right w:val="none" w:sz="0" w:space="0" w:color="auto"/>
      </w:divBdr>
    </w:div>
    <w:div w:id="1440417267">
      <w:bodyDiv w:val="1"/>
      <w:marLeft w:val="0"/>
      <w:marRight w:val="0"/>
      <w:marTop w:val="0"/>
      <w:marBottom w:val="0"/>
      <w:divBdr>
        <w:top w:val="none" w:sz="0" w:space="0" w:color="auto"/>
        <w:left w:val="none" w:sz="0" w:space="0" w:color="auto"/>
        <w:bottom w:val="none" w:sz="0" w:space="0" w:color="auto"/>
        <w:right w:val="none" w:sz="0" w:space="0" w:color="auto"/>
      </w:divBdr>
    </w:div>
    <w:div w:id="1447313079">
      <w:bodyDiv w:val="1"/>
      <w:marLeft w:val="0"/>
      <w:marRight w:val="0"/>
      <w:marTop w:val="0"/>
      <w:marBottom w:val="0"/>
      <w:divBdr>
        <w:top w:val="none" w:sz="0" w:space="0" w:color="auto"/>
        <w:left w:val="none" w:sz="0" w:space="0" w:color="auto"/>
        <w:bottom w:val="none" w:sz="0" w:space="0" w:color="auto"/>
        <w:right w:val="none" w:sz="0" w:space="0" w:color="auto"/>
      </w:divBdr>
    </w:div>
    <w:div w:id="1455173691">
      <w:bodyDiv w:val="1"/>
      <w:marLeft w:val="0"/>
      <w:marRight w:val="0"/>
      <w:marTop w:val="0"/>
      <w:marBottom w:val="0"/>
      <w:divBdr>
        <w:top w:val="none" w:sz="0" w:space="0" w:color="auto"/>
        <w:left w:val="none" w:sz="0" w:space="0" w:color="auto"/>
        <w:bottom w:val="none" w:sz="0" w:space="0" w:color="auto"/>
        <w:right w:val="none" w:sz="0" w:space="0" w:color="auto"/>
      </w:divBdr>
    </w:div>
    <w:div w:id="1461454658">
      <w:bodyDiv w:val="1"/>
      <w:marLeft w:val="0"/>
      <w:marRight w:val="0"/>
      <w:marTop w:val="0"/>
      <w:marBottom w:val="0"/>
      <w:divBdr>
        <w:top w:val="none" w:sz="0" w:space="0" w:color="auto"/>
        <w:left w:val="none" w:sz="0" w:space="0" w:color="auto"/>
        <w:bottom w:val="none" w:sz="0" w:space="0" w:color="auto"/>
        <w:right w:val="none" w:sz="0" w:space="0" w:color="auto"/>
      </w:divBdr>
    </w:div>
    <w:div w:id="1462653864">
      <w:bodyDiv w:val="1"/>
      <w:marLeft w:val="0"/>
      <w:marRight w:val="0"/>
      <w:marTop w:val="0"/>
      <w:marBottom w:val="0"/>
      <w:divBdr>
        <w:top w:val="none" w:sz="0" w:space="0" w:color="auto"/>
        <w:left w:val="none" w:sz="0" w:space="0" w:color="auto"/>
        <w:bottom w:val="none" w:sz="0" w:space="0" w:color="auto"/>
        <w:right w:val="none" w:sz="0" w:space="0" w:color="auto"/>
      </w:divBdr>
    </w:div>
    <w:div w:id="1467698416">
      <w:bodyDiv w:val="1"/>
      <w:marLeft w:val="0"/>
      <w:marRight w:val="0"/>
      <w:marTop w:val="0"/>
      <w:marBottom w:val="0"/>
      <w:divBdr>
        <w:top w:val="none" w:sz="0" w:space="0" w:color="auto"/>
        <w:left w:val="none" w:sz="0" w:space="0" w:color="auto"/>
        <w:bottom w:val="none" w:sz="0" w:space="0" w:color="auto"/>
        <w:right w:val="none" w:sz="0" w:space="0" w:color="auto"/>
      </w:divBdr>
    </w:div>
    <w:div w:id="1467774842">
      <w:bodyDiv w:val="1"/>
      <w:marLeft w:val="0"/>
      <w:marRight w:val="0"/>
      <w:marTop w:val="0"/>
      <w:marBottom w:val="0"/>
      <w:divBdr>
        <w:top w:val="none" w:sz="0" w:space="0" w:color="auto"/>
        <w:left w:val="none" w:sz="0" w:space="0" w:color="auto"/>
        <w:bottom w:val="none" w:sz="0" w:space="0" w:color="auto"/>
        <w:right w:val="none" w:sz="0" w:space="0" w:color="auto"/>
      </w:divBdr>
    </w:div>
    <w:div w:id="1470709324">
      <w:bodyDiv w:val="1"/>
      <w:marLeft w:val="0"/>
      <w:marRight w:val="0"/>
      <w:marTop w:val="0"/>
      <w:marBottom w:val="0"/>
      <w:divBdr>
        <w:top w:val="none" w:sz="0" w:space="0" w:color="auto"/>
        <w:left w:val="none" w:sz="0" w:space="0" w:color="auto"/>
        <w:bottom w:val="none" w:sz="0" w:space="0" w:color="auto"/>
        <w:right w:val="none" w:sz="0" w:space="0" w:color="auto"/>
      </w:divBdr>
    </w:div>
    <w:div w:id="1478183252">
      <w:bodyDiv w:val="1"/>
      <w:marLeft w:val="0"/>
      <w:marRight w:val="0"/>
      <w:marTop w:val="0"/>
      <w:marBottom w:val="0"/>
      <w:divBdr>
        <w:top w:val="none" w:sz="0" w:space="0" w:color="auto"/>
        <w:left w:val="none" w:sz="0" w:space="0" w:color="auto"/>
        <w:bottom w:val="none" w:sz="0" w:space="0" w:color="auto"/>
        <w:right w:val="none" w:sz="0" w:space="0" w:color="auto"/>
      </w:divBdr>
    </w:div>
    <w:div w:id="1483959078">
      <w:bodyDiv w:val="1"/>
      <w:marLeft w:val="0"/>
      <w:marRight w:val="0"/>
      <w:marTop w:val="0"/>
      <w:marBottom w:val="0"/>
      <w:divBdr>
        <w:top w:val="none" w:sz="0" w:space="0" w:color="auto"/>
        <w:left w:val="none" w:sz="0" w:space="0" w:color="auto"/>
        <w:bottom w:val="none" w:sz="0" w:space="0" w:color="auto"/>
        <w:right w:val="none" w:sz="0" w:space="0" w:color="auto"/>
      </w:divBdr>
    </w:div>
    <w:div w:id="1485657206">
      <w:bodyDiv w:val="1"/>
      <w:marLeft w:val="0"/>
      <w:marRight w:val="0"/>
      <w:marTop w:val="0"/>
      <w:marBottom w:val="0"/>
      <w:divBdr>
        <w:top w:val="none" w:sz="0" w:space="0" w:color="auto"/>
        <w:left w:val="none" w:sz="0" w:space="0" w:color="auto"/>
        <w:bottom w:val="none" w:sz="0" w:space="0" w:color="auto"/>
        <w:right w:val="none" w:sz="0" w:space="0" w:color="auto"/>
      </w:divBdr>
    </w:div>
    <w:div w:id="1486975081">
      <w:bodyDiv w:val="1"/>
      <w:marLeft w:val="0"/>
      <w:marRight w:val="0"/>
      <w:marTop w:val="0"/>
      <w:marBottom w:val="0"/>
      <w:divBdr>
        <w:top w:val="none" w:sz="0" w:space="0" w:color="auto"/>
        <w:left w:val="none" w:sz="0" w:space="0" w:color="auto"/>
        <w:bottom w:val="none" w:sz="0" w:space="0" w:color="auto"/>
        <w:right w:val="none" w:sz="0" w:space="0" w:color="auto"/>
      </w:divBdr>
    </w:div>
    <w:div w:id="1487824054">
      <w:bodyDiv w:val="1"/>
      <w:marLeft w:val="0"/>
      <w:marRight w:val="0"/>
      <w:marTop w:val="0"/>
      <w:marBottom w:val="0"/>
      <w:divBdr>
        <w:top w:val="none" w:sz="0" w:space="0" w:color="auto"/>
        <w:left w:val="none" w:sz="0" w:space="0" w:color="auto"/>
        <w:bottom w:val="none" w:sz="0" w:space="0" w:color="auto"/>
        <w:right w:val="none" w:sz="0" w:space="0" w:color="auto"/>
      </w:divBdr>
    </w:div>
    <w:div w:id="1488980703">
      <w:bodyDiv w:val="1"/>
      <w:marLeft w:val="0"/>
      <w:marRight w:val="0"/>
      <w:marTop w:val="0"/>
      <w:marBottom w:val="0"/>
      <w:divBdr>
        <w:top w:val="none" w:sz="0" w:space="0" w:color="auto"/>
        <w:left w:val="none" w:sz="0" w:space="0" w:color="auto"/>
        <w:bottom w:val="none" w:sz="0" w:space="0" w:color="auto"/>
        <w:right w:val="none" w:sz="0" w:space="0" w:color="auto"/>
      </w:divBdr>
    </w:div>
    <w:div w:id="1490294516">
      <w:bodyDiv w:val="1"/>
      <w:marLeft w:val="0"/>
      <w:marRight w:val="0"/>
      <w:marTop w:val="0"/>
      <w:marBottom w:val="0"/>
      <w:divBdr>
        <w:top w:val="none" w:sz="0" w:space="0" w:color="auto"/>
        <w:left w:val="none" w:sz="0" w:space="0" w:color="auto"/>
        <w:bottom w:val="none" w:sz="0" w:space="0" w:color="auto"/>
        <w:right w:val="none" w:sz="0" w:space="0" w:color="auto"/>
      </w:divBdr>
    </w:div>
    <w:div w:id="1492603707">
      <w:bodyDiv w:val="1"/>
      <w:marLeft w:val="0"/>
      <w:marRight w:val="0"/>
      <w:marTop w:val="0"/>
      <w:marBottom w:val="0"/>
      <w:divBdr>
        <w:top w:val="none" w:sz="0" w:space="0" w:color="auto"/>
        <w:left w:val="none" w:sz="0" w:space="0" w:color="auto"/>
        <w:bottom w:val="none" w:sz="0" w:space="0" w:color="auto"/>
        <w:right w:val="none" w:sz="0" w:space="0" w:color="auto"/>
      </w:divBdr>
    </w:div>
    <w:div w:id="1499275410">
      <w:bodyDiv w:val="1"/>
      <w:marLeft w:val="0"/>
      <w:marRight w:val="0"/>
      <w:marTop w:val="0"/>
      <w:marBottom w:val="0"/>
      <w:divBdr>
        <w:top w:val="none" w:sz="0" w:space="0" w:color="auto"/>
        <w:left w:val="none" w:sz="0" w:space="0" w:color="auto"/>
        <w:bottom w:val="none" w:sz="0" w:space="0" w:color="auto"/>
        <w:right w:val="none" w:sz="0" w:space="0" w:color="auto"/>
      </w:divBdr>
    </w:div>
    <w:div w:id="1503274538">
      <w:bodyDiv w:val="1"/>
      <w:marLeft w:val="0"/>
      <w:marRight w:val="0"/>
      <w:marTop w:val="0"/>
      <w:marBottom w:val="0"/>
      <w:divBdr>
        <w:top w:val="none" w:sz="0" w:space="0" w:color="auto"/>
        <w:left w:val="none" w:sz="0" w:space="0" w:color="auto"/>
        <w:bottom w:val="none" w:sz="0" w:space="0" w:color="auto"/>
        <w:right w:val="none" w:sz="0" w:space="0" w:color="auto"/>
      </w:divBdr>
    </w:div>
    <w:div w:id="1511872214">
      <w:bodyDiv w:val="1"/>
      <w:marLeft w:val="0"/>
      <w:marRight w:val="0"/>
      <w:marTop w:val="0"/>
      <w:marBottom w:val="0"/>
      <w:divBdr>
        <w:top w:val="none" w:sz="0" w:space="0" w:color="auto"/>
        <w:left w:val="none" w:sz="0" w:space="0" w:color="auto"/>
        <w:bottom w:val="none" w:sz="0" w:space="0" w:color="auto"/>
        <w:right w:val="none" w:sz="0" w:space="0" w:color="auto"/>
      </w:divBdr>
    </w:div>
    <w:div w:id="1515415120">
      <w:bodyDiv w:val="1"/>
      <w:marLeft w:val="0"/>
      <w:marRight w:val="0"/>
      <w:marTop w:val="0"/>
      <w:marBottom w:val="0"/>
      <w:divBdr>
        <w:top w:val="none" w:sz="0" w:space="0" w:color="auto"/>
        <w:left w:val="none" w:sz="0" w:space="0" w:color="auto"/>
        <w:bottom w:val="none" w:sz="0" w:space="0" w:color="auto"/>
        <w:right w:val="none" w:sz="0" w:space="0" w:color="auto"/>
      </w:divBdr>
    </w:div>
    <w:div w:id="1520463678">
      <w:bodyDiv w:val="1"/>
      <w:marLeft w:val="0"/>
      <w:marRight w:val="0"/>
      <w:marTop w:val="0"/>
      <w:marBottom w:val="0"/>
      <w:divBdr>
        <w:top w:val="none" w:sz="0" w:space="0" w:color="auto"/>
        <w:left w:val="none" w:sz="0" w:space="0" w:color="auto"/>
        <w:bottom w:val="none" w:sz="0" w:space="0" w:color="auto"/>
        <w:right w:val="none" w:sz="0" w:space="0" w:color="auto"/>
      </w:divBdr>
    </w:div>
    <w:div w:id="1525360454">
      <w:bodyDiv w:val="1"/>
      <w:marLeft w:val="0"/>
      <w:marRight w:val="0"/>
      <w:marTop w:val="0"/>
      <w:marBottom w:val="0"/>
      <w:divBdr>
        <w:top w:val="none" w:sz="0" w:space="0" w:color="auto"/>
        <w:left w:val="none" w:sz="0" w:space="0" w:color="auto"/>
        <w:bottom w:val="none" w:sz="0" w:space="0" w:color="auto"/>
        <w:right w:val="none" w:sz="0" w:space="0" w:color="auto"/>
      </w:divBdr>
    </w:div>
    <w:div w:id="1535535901">
      <w:bodyDiv w:val="1"/>
      <w:marLeft w:val="0"/>
      <w:marRight w:val="0"/>
      <w:marTop w:val="0"/>
      <w:marBottom w:val="0"/>
      <w:divBdr>
        <w:top w:val="none" w:sz="0" w:space="0" w:color="auto"/>
        <w:left w:val="none" w:sz="0" w:space="0" w:color="auto"/>
        <w:bottom w:val="none" w:sz="0" w:space="0" w:color="auto"/>
        <w:right w:val="none" w:sz="0" w:space="0" w:color="auto"/>
      </w:divBdr>
    </w:div>
    <w:div w:id="1536045278">
      <w:bodyDiv w:val="1"/>
      <w:marLeft w:val="0"/>
      <w:marRight w:val="0"/>
      <w:marTop w:val="0"/>
      <w:marBottom w:val="0"/>
      <w:divBdr>
        <w:top w:val="none" w:sz="0" w:space="0" w:color="auto"/>
        <w:left w:val="none" w:sz="0" w:space="0" w:color="auto"/>
        <w:bottom w:val="none" w:sz="0" w:space="0" w:color="auto"/>
        <w:right w:val="none" w:sz="0" w:space="0" w:color="auto"/>
      </w:divBdr>
    </w:div>
    <w:div w:id="1540315120">
      <w:bodyDiv w:val="1"/>
      <w:marLeft w:val="0"/>
      <w:marRight w:val="0"/>
      <w:marTop w:val="0"/>
      <w:marBottom w:val="0"/>
      <w:divBdr>
        <w:top w:val="none" w:sz="0" w:space="0" w:color="auto"/>
        <w:left w:val="none" w:sz="0" w:space="0" w:color="auto"/>
        <w:bottom w:val="none" w:sz="0" w:space="0" w:color="auto"/>
        <w:right w:val="none" w:sz="0" w:space="0" w:color="auto"/>
      </w:divBdr>
    </w:div>
    <w:div w:id="1541236850">
      <w:bodyDiv w:val="1"/>
      <w:marLeft w:val="0"/>
      <w:marRight w:val="0"/>
      <w:marTop w:val="0"/>
      <w:marBottom w:val="0"/>
      <w:divBdr>
        <w:top w:val="none" w:sz="0" w:space="0" w:color="auto"/>
        <w:left w:val="none" w:sz="0" w:space="0" w:color="auto"/>
        <w:bottom w:val="none" w:sz="0" w:space="0" w:color="auto"/>
        <w:right w:val="none" w:sz="0" w:space="0" w:color="auto"/>
      </w:divBdr>
    </w:div>
    <w:div w:id="1546134960">
      <w:bodyDiv w:val="1"/>
      <w:marLeft w:val="0"/>
      <w:marRight w:val="0"/>
      <w:marTop w:val="0"/>
      <w:marBottom w:val="0"/>
      <w:divBdr>
        <w:top w:val="none" w:sz="0" w:space="0" w:color="auto"/>
        <w:left w:val="none" w:sz="0" w:space="0" w:color="auto"/>
        <w:bottom w:val="none" w:sz="0" w:space="0" w:color="auto"/>
        <w:right w:val="none" w:sz="0" w:space="0" w:color="auto"/>
      </w:divBdr>
    </w:div>
    <w:div w:id="1549951223">
      <w:bodyDiv w:val="1"/>
      <w:marLeft w:val="0"/>
      <w:marRight w:val="0"/>
      <w:marTop w:val="0"/>
      <w:marBottom w:val="0"/>
      <w:divBdr>
        <w:top w:val="none" w:sz="0" w:space="0" w:color="auto"/>
        <w:left w:val="none" w:sz="0" w:space="0" w:color="auto"/>
        <w:bottom w:val="none" w:sz="0" w:space="0" w:color="auto"/>
        <w:right w:val="none" w:sz="0" w:space="0" w:color="auto"/>
      </w:divBdr>
    </w:div>
    <w:div w:id="1550457577">
      <w:bodyDiv w:val="1"/>
      <w:marLeft w:val="0"/>
      <w:marRight w:val="0"/>
      <w:marTop w:val="0"/>
      <w:marBottom w:val="0"/>
      <w:divBdr>
        <w:top w:val="none" w:sz="0" w:space="0" w:color="auto"/>
        <w:left w:val="none" w:sz="0" w:space="0" w:color="auto"/>
        <w:bottom w:val="none" w:sz="0" w:space="0" w:color="auto"/>
        <w:right w:val="none" w:sz="0" w:space="0" w:color="auto"/>
      </w:divBdr>
    </w:div>
    <w:div w:id="1554459874">
      <w:bodyDiv w:val="1"/>
      <w:marLeft w:val="0"/>
      <w:marRight w:val="0"/>
      <w:marTop w:val="0"/>
      <w:marBottom w:val="0"/>
      <w:divBdr>
        <w:top w:val="none" w:sz="0" w:space="0" w:color="auto"/>
        <w:left w:val="none" w:sz="0" w:space="0" w:color="auto"/>
        <w:bottom w:val="none" w:sz="0" w:space="0" w:color="auto"/>
        <w:right w:val="none" w:sz="0" w:space="0" w:color="auto"/>
      </w:divBdr>
    </w:div>
    <w:div w:id="1558936288">
      <w:bodyDiv w:val="1"/>
      <w:marLeft w:val="0"/>
      <w:marRight w:val="0"/>
      <w:marTop w:val="0"/>
      <w:marBottom w:val="0"/>
      <w:divBdr>
        <w:top w:val="none" w:sz="0" w:space="0" w:color="auto"/>
        <w:left w:val="none" w:sz="0" w:space="0" w:color="auto"/>
        <w:bottom w:val="none" w:sz="0" w:space="0" w:color="auto"/>
        <w:right w:val="none" w:sz="0" w:space="0" w:color="auto"/>
      </w:divBdr>
    </w:div>
    <w:div w:id="1559704212">
      <w:bodyDiv w:val="1"/>
      <w:marLeft w:val="0"/>
      <w:marRight w:val="0"/>
      <w:marTop w:val="0"/>
      <w:marBottom w:val="0"/>
      <w:divBdr>
        <w:top w:val="none" w:sz="0" w:space="0" w:color="auto"/>
        <w:left w:val="none" w:sz="0" w:space="0" w:color="auto"/>
        <w:bottom w:val="none" w:sz="0" w:space="0" w:color="auto"/>
        <w:right w:val="none" w:sz="0" w:space="0" w:color="auto"/>
      </w:divBdr>
    </w:div>
    <w:div w:id="1562137315">
      <w:bodyDiv w:val="1"/>
      <w:marLeft w:val="0"/>
      <w:marRight w:val="0"/>
      <w:marTop w:val="0"/>
      <w:marBottom w:val="0"/>
      <w:divBdr>
        <w:top w:val="none" w:sz="0" w:space="0" w:color="auto"/>
        <w:left w:val="none" w:sz="0" w:space="0" w:color="auto"/>
        <w:bottom w:val="none" w:sz="0" w:space="0" w:color="auto"/>
        <w:right w:val="none" w:sz="0" w:space="0" w:color="auto"/>
      </w:divBdr>
    </w:div>
    <w:div w:id="1562247583">
      <w:bodyDiv w:val="1"/>
      <w:marLeft w:val="0"/>
      <w:marRight w:val="0"/>
      <w:marTop w:val="0"/>
      <w:marBottom w:val="0"/>
      <w:divBdr>
        <w:top w:val="none" w:sz="0" w:space="0" w:color="auto"/>
        <w:left w:val="none" w:sz="0" w:space="0" w:color="auto"/>
        <w:bottom w:val="none" w:sz="0" w:space="0" w:color="auto"/>
        <w:right w:val="none" w:sz="0" w:space="0" w:color="auto"/>
      </w:divBdr>
    </w:div>
    <w:div w:id="1571038532">
      <w:bodyDiv w:val="1"/>
      <w:marLeft w:val="0"/>
      <w:marRight w:val="0"/>
      <w:marTop w:val="0"/>
      <w:marBottom w:val="0"/>
      <w:divBdr>
        <w:top w:val="none" w:sz="0" w:space="0" w:color="auto"/>
        <w:left w:val="none" w:sz="0" w:space="0" w:color="auto"/>
        <w:bottom w:val="none" w:sz="0" w:space="0" w:color="auto"/>
        <w:right w:val="none" w:sz="0" w:space="0" w:color="auto"/>
      </w:divBdr>
    </w:div>
    <w:div w:id="1571496594">
      <w:bodyDiv w:val="1"/>
      <w:marLeft w:val="0"/>
      <w:marRight w:val="0"/>
      <w:marTop w:val="0"/>
      <w:marBottom w:val="0"/>
      <w:divBdr>
        <w:top w:val="none" w:sz="0" w:space="0" w:color="auto"/>
        <w:left w:val="none" w:sz="0" w:space="0" w:color="auto"/>
        <w:bottom w:val="none" w:sz="0" w:space="0" w:color="auto"/>
        <w:right w:val="none" w:sz="0" w:space="0" w:color="auto"/>
      </w:divBdr>
    </w:div>
    <w:div w:id="1572807379">
      <w:bodyDiv w:val="1"/>
      <w:marLeft w:val="0"/>
      <w:marRight w:val="0"/>
      <w:marTop w:val="0"/>
      <w:marBottom w:val="0"/>
      <w:divBdr>
        <w:top w:val="none" w:sz="0" w:space="0" w:color="auto"/>
        <w:left w:val="none" w:sz="0" w:space="0" w:color="auto"/>
        <w:bottom w:val="none" w:sz="0" w:space="0" w:color="auto"/>
        <w:right w:val="none" w:sz="0" w:space="0" w:color="auto"/>
      </w:divBdr>
    </w:div>
    <w:div w:id="1577783276">
      <w:bodyDiv w:val="1"/>
      <w:marLeft w:val="0"/>
      <w:marRight w:val="0"/>
      <w:marTop w:val="0"/>
      <w:marBottom w:val="0"/>
      <w:divBdr>
        <w:top w:val="none" w:sz="0" w:space="0" w:color="auto"/>
        <w:left w:val="none" w:sz="0" w:space="0" w:color="auto"/>
        <w:bottom w:val="none" w:sz="0" w:space="0" w:color="auto"/>
        <w:right w:val="none" w:sz="0" w:space="0" w:color="auto"/>
      </w:divBdr>
    </w:div>
    <w:div w:id="1582136409">
      <w:bodyDiv w:val="1"/>
      <w:marLeft w:val="0"/>
      <w:marRight w:val="0"/>
      <w:marTop w:val="0"/>
      <w:marBottom w:val="0"/>
      <w:divBdr>
        <w:top w:val="none" w:sz="0" w:space="0" w:color="auto"/>
        <w:left w:val="none" w:sz="0" w:space="0" w:color="auto"/>
        <w:bottom w:val="none" w:sz="0" w:space="0" w:color="auto"/>
        <w:right w:val="none" w:sz="0" w:space="0" w:color="auto"/>
      </w:divBdr>
    </w:div>
    <w:div w:id="1583833097">
      <w:bodyDiv w:val="1"/>
      <w:marLeft w:val="0"/>
      <w:marRight w:val="0"/>
      <w:marTop w:val="0"/>
      <w:marBottom w:val="0"/>
      <w:divBdr>
        <w:top w:val="none" w:sz="0" w:space="0" w:color="auto"/>
        <w:left w:val="none" w:sz="0" w:space="0" w:color="auto"/>
        <w:bottom w:val="none" w:sz="0" w:space="0" w:color="auto"/>
        <w:right w:val="none" w:sz="0" w:space="0" w:color="auto"/>
      </w:divBdr>
    </w:div>
    <w:div w:id="1584535819">
      <w:bodyDiv w:val="1"/>
      <w:marLeft w:val="0"/>
      <w:marRight w:val="0"/>
      <w:marTop w:val="0"/>
      <w:marBottom w:val="0"/>
      <w:divBdr>
        <w:top w:val="none" w:sz="0" w:space="0" w:color="auto"/>
        <w:left w:val="none" w:sz="0" w:space="0" w:color="auto"/>
        <w:bottom w:val="none" w:sz="0" w:space="0" w:color="auto"/>
        <w:right w:val="none" w:sz="0" w:space="0" w:color="auto"/>
      </w:divBdr>
    </w:div>
    <w:div w:id="1585407636">
      <w:bodyDiv w:val="1"/>
      <w:marLeft w:val="0"/>
      <w:marRight w:val="0"/>
      <w:marTop w:val="0"/>
      <w:marBottom w:val="0"/>
      <w:divBdr>
        <w:top w:val="none" w:sz="0" w:space="0" w:color="auto"/>
        <w:left w:val="none" w:sz="0" w:space="0" w:color="auto"/>
        <w:bottom w:val="none" w:sz="0" w:space="0" w:color="auto"/>
        <w:right w:val="none" w:sz="0" w:space="0" w:color="auto"/>
      </w:divBdr>
    </w:div>
    <w:div w:id="1587110407">
      <w:bodyDiv w:val="1"/>
      <w:marLeft w:val="0"/>
      <w:marRight w:val="0"/>
      <w:marTop w:val="0"/>
      <w:marBottom w:val="0"/>
      <w:divBdr>
        <w:top w:val="none" w:sz="0" w:space="0" w:color="auto"/>
        <w:left w:val="none" w:sz="0" w:space="0" w:color="auto"/>
        <w:bottom w:val="none" w:sz="0" w:space="0" w:color="auto"/>
        <w:right w:val="none" w:sz="0" w:space="0" w:color="auto"/>
      </w:divBdr>
    </w:div>
    <w:div w:id="1589580965">
      <w:bodyDiv w:val="1"/>
      <w:marLeft w:val="0"/>
      <w:marRight w:val="0"/>
      <w:marTop w:val="0"/>
      <w:marBottom w:val="0"/>
      <w:divBdr>
        <w:top w:val="none" w:sz="0" w:space="0" w:color="auto"/>
        <w:left w:val="none" w:sz="0" w:space="0" w:color="auto"/>
        <w:bottom w:val="none" w:sz="0" w:space="0" w:color="auto"/>
        <w:right w:val="none" w:sz="0" w:space="0" w:color="auto"/>
      </w:divBdr>
    </w:div>
    <w:div w:id="1593318674">
      <w:bodyDiv w:val="1"/>
      <w:marLeft w:val="0"/>
      <w:marRight w:val="0"/>
      <w:marTop w:val="0"/>
      <w:marBottom w:val="0"/>
      <w:divBdr>
        <w:top w:val="none" w:sz="0" w:space="0" w:color="auto"/>
        <w:left w:val="none" w:sz="0" w:space="0" w:color="auto"/>
        <w:bottom w:val="none" w:sz="0" w:space="0" w:color="auto"/>
        <w:right w:val="none" w:sz="0" w:space="0" w:color="auto"/>
      </w:divBdr>
    </w:div>
    <w:div w:id="1594514452">
      <w:bodyDiv w:val="1"/>
      <w:marLeft w:val="0"/>
      <w:marRight w:val="0"/>
      <w:marTop w:val="0"/>
      <w:marBottom w:val="0"/>
      <w:divBdr>
        <w:top w:val="none" w:sz="0" w:space="0" w:color="auto"/>
        <w:left w:val="none" w:sz="0" w:space="0" w:color="auto"/>
        <w:bottom w:val="none" w:sz="0" w:space="0" w:color="auto"/>
        <w:right w:val="none" w:sz="0" w:space="0" w:color="auto"/>
      </w:divBdr>
    </w:div>
    <w:div w:id="1596598820">
      <w:bodyDiv w:val="1"/>
      <w:marLeft w:val="0"/>
      <w:marRight w:val="0"/>
      <w:marTop w:val="0"/>
      <w:marBottom w:val="0"/>
      <w:divBdr>
        <w:top w:val="none" w:sz="0" w:space="0" w:color="auto"/>
        <w:left w:val="none" w:sz="0" w:space="0" w:color="auto"/>
        <w:bottom w:val="none" w:sz="0" w:space="0" w:color="auto"/>
        <w:right w:val="none" w:sz="0" w:space="0" w:color="auto"/>
      </w:divBdr>
    </w:div>
    <w:div w:id="1608082114">
      <w:bodyDiv w:val="1"/>
      <w:marLeft w:val="0"/>
      <w:marRight w:val="0"/>
      <w:marTop w:val="0"/>
      <w:marBottom w:val="0"/>
      <w:divBdr>
        <w:top w:val="none" w:sz="0" w:space="0" w:color="auto"/>
        <w:left w:val="none" w:sz="0" w:space="0" w:color="auto"/>
        <w:bottom w:val="none" w:sz="0" w:space="0" w:color="auto"/>
        <w:right w:val="none" w:sz="0" w:space="0" w:color="auto"/>
      </w:divBdr>
    </w:div>
    <w:div w:id="1610892681">
      <w:bodyDiv w:val="1"/>
      <w:marLeft w:val="0"/>
      <w:marRight w:val="0"/>
      <w:marTop w:val="0"/>
      <w:marBottom w:val="0"/>
      <w:divBdr>
        <w:top w:val="none" w:sz="0" w:space="0" w:color="auto"/>
        <w:left w:val="none" w:sz="0" w:space="0" w:color="auto"/>
        <w:bottom w:val="none" w:sz="0" w:space="0" w:color="auto"/>
        <w:right w:val="none" w:sz="0" w:space="0" w:color="auto"/>
      </w:divBdr>
    </w:div>
    <w:div w:id="1613707216">
      <w:bodyDiv w:val="1"/>
      <w:marLeft w:val="0"/>
      <w:marRight w:val="0"/>
      <w:marTop w:val="0"/>
      <w:marBottom w:val="0"/>
      <w:divBdr>
        <w:top w:val="none" w:sz="0" w:space="0" w:color="auto"/>
        <w:left w:val="none" w:sz="0" w:space="0" w:color="auto"/>
        <w:bottom w:val="none" w:sz="0" w:space="0" w:color="auto"/>
        <w:right w:val="none" w:sz="0" w:space="0" w:color="auto"/>
      </w:divBdr>
    </w:div>
    <w:div w:id="1614825402">
      <w:bodyDiv w:val="1"/>
      <w:marLeft w:val="0"/>
      <w:marRight w:val="0"/>
      <w:marTop w:val="0"/>
      <w:marBottom w:val="0"/>
      <w:divBdr>
        <w:top w:val="none" w:sz="0" w:space="0" w:color="auto"/>
        <w:left w:val="none" w:sz="0" w:space="0" w:color="auto"/>
        <w:bottom w:val="none" w:sz="0" w:space="0" w:color="auto"/>
        <w:right w:val="none" w:sz="0" w:space="0" w:color="auto"/>
      </w:divBdr>
    </w:div>
    <w:div w:id="1618482426">
      <w:bodyDiv w:val="1"/>
      <w:marLeft w:val="0"/>
      <w:marRight w:val="0"/>
      <w:marTop w:val="0"/>
      <w:marBottom w:val="0"/>
      <w:divBdr>
        <w:top w:val="none" w:sz="0" w:space="0" w:color="auto"/>
        <w:left w:val="none" w:sz="0" w:space="0" w:color="auto"/>
        <w:bottom w:val="none" w:sz="0" w:space="0" w:color="auto"/>
        <w:right w:val="none" w:sz="0" w:space="0" w:color="auto"/>
      </w:divBdr>
    </w:div>
    <w:div w:id="1623421346">
      <w:bodyDiv w:val="1"/>
      <w:marLeft w:val="0"/>
      <w:marRight w:val="0"/>
      <w:marTop w:val="0"/>
      <w:marBottom w:val="0"/>
      <w:divBdr>
        <w:top w:val="none" w:sz="0" w:space="0" w:color="auto"/>
        <w:left w:val="none" w:sz="0" w:space="0" w:color="auto"/>
        <w:bottom w:val="none" w:sz="0" w:space="0" w:color="auto"/>
        <w:right w:val="none" w:sz="0" w:space="0" w:color="auto"/>
      </w:divBdr>
    </w:div>
    <w:div w:id="1626813023">
      <w:bodyDiv w:val="1"/>
      <w:marLeft w:val="0"/>
      <w:marRight w:val="0"/>
      <w:marTop w:val="0"/>
      <w:marBottom w:val="0"/>
      <w:divBdr>
        <w:top w:val="none" w:sz="0" w:space="0" w:color="auto"/>
        <w:left w:val="none" w:sz="0" w:space="0" w:color="auto"/>
        <w:bottom w:val="none" w:sz="0" w:space="0" w:color="auto"/>
        <w:right w:val="none" w:sz="0" w:space="0" w:color="auto"/>
      </w:divBdr>
    </w:div>
    <w:div w:id="1629168210">
      <w:bodyDiv w:val="1"/>
      <w:marLeft w:val="0"/>
      <w:marRight w:val="0"/>
      <w:marTop w:val="0"/>
      <w:marBottom w:val="0"/>
      <w:divBdr>
        <w:top w:val="none" w:sz="0" w:space="0" w:color="auto"/>
        <w:left w:val="none" w:sz="0" w:space="0" w:color="auto"/>
        <w:bottom w:val="none" w:sz="0" w:space="0" w:color="auto"/>
        <w:right w:val="none" w:sz="0" w:space="0" w:color="auto"/>
      </w:divBdr>
    </w:div>
    <w:div w:id="1641181749">
      <w:bodyDiv w:val="1"/>
      <w:marLeft w:val="0"/>
      <w:marRight w:val="0"/>
      <w:marTop w:val="0"/>
      <w:marBottom w:val="0"/>
      <w:divBdr>
        <w:top w:val="none" w:sz="0" w:space="0" w:color="auto"/>
        <w:left w:val="none" w:sz="0" w:space="0" w:color="auto"/>
        <w:bottom w:val="none" w:sz="0" w:space="0" w:color="auto"/>
        <w:right w:val="none" w:sz="0" w:space="0" w:color="auto"/>
      </w:divBdr>
    </w:div>
    <w:div w:id="1644117478">
      <w:bodyDiv w:val="1"/>
      <w:marLeft w:val="0"/>
      <w:marRight w:val="0"/>
      <w:marTop w:val="0"/>
      <w:marBottom w:val="0"/>
      <w:divBdr>
        <w:top w:val="none" w:sz="0" w:space="0" w:color="auto"/>
        <w:left w:val="none" w:sz="0" w:space="0" w:color="auto"/>
        <w:bottom w:val="none" w:sz="0" w:space="0" w:color="auto"/>
        <w:right w:val="none" w:sz="0" w:space="0" w:color="auto"/>
      </w:divBdr>
    </w:div>
    <w:div w:id="1649506095">
      <w:bodyDiv w:val="1"/>
      <w:marLeft w:val="0"/>
      <w:marRight w:val="0"/>
      <w:marTop w:val="0"/>
      <w:marBottom w:val="0"/>
      <w:divBdr>
        <w:top w:val="none" w:sz="0" w:space="0" w:color="auto"/>
        <w:left w:val="none" w:sz="0" w:space="0" w:color="auto"/>
        <w:bottom w:val="none" w:sz="0" w:space="0" w:color="auto"/>
        <w:right w:val="none" w:sz="0" w:space="0" w:color="auto"/>
      </w:divBdr>
    </w:div>
    <w:div w:id="1655990238">
      <w:bodyDiv w:val="1"/>
      <w:marLeft w:val="0"/>
      <w:marRight w:val="0"/>
      <w:marTop w:val="0"/>
      <w:marBottom w:val="0"/>
      <w:divBdr>
        <w:top w:val="none" w:sz="0" w:space="0" w:color="auto"/>
        <w:left w:val="none" w:sz="0" w:space="0" w:color="auto"/>
        <w:bottom w:val="none" w:sz="0" w:space="0" w:color="auto"/>
        <w:right w:val="none" w:sz="0" w:space="0" w:color="auto"/>
      </w:divBdr>
    </w:div>
    <w:div w:id="1659653390">
      <w:bodyDiv w:val="1"/>
      <w:marLeft w:val="0"/>
      <w:marRight w:val="0"/>
      <w:marTop w:val="0"/>
      <w:marBottom w:val="0"/>
      <w:divBdr>
        <w:top w:val="none" w:sz="0" w:space="0" w:color="auto"/>
        <w:left w:val="none" w:sz="0" w:space="0" w:color="auto"/>
        <w:bottom w:val="none" w:sz="0" w:space="0" w:color="auto"/>
        <w:right w:val="none" w:sz="0" w:space="0" w:color="auto"/>
      </w:divBdr>
    </w:div>
    <w:div w:id="1663466234">
      <w:bodyDiv w:val="1"/>
      <w:marLeft w:val="0"/>
      <w:marRight w:val="0"/>
      <w:marTop w:val="0"/>
      <w:marBottom w:val="0"/>
      <w:divBdr>
        <w:top w:val="none" w:sz="0" w:space="0" w:color="auto"/>
        <w:left w:val="none" w:sz="0" w:space="0" w:color="auto"/>
        <w:bottom w:val="none" w:sz="0" w:space="0" w:color="auto"/>
        <w:right w:val="none" w:sz="0" w:space="0" w:color="auto"/>
      </w:divBdr>
    </w:div>
    <w:div w:id="1666784436">
      <w:bodyDiv w:val="1"/>
      <w:marLeft w:val="0"/>
      <w:marRight w:val="0"/>
      <w:marTop w:val="0"/>
      <w:marBottom w:val="0"/>
      <w:divBdr>
        <w:top w:val="none" w:sz="0" w:space="0" w:color="auto"/>
        <w:left w:val="none" w:sz="0" w:space="0" w:color="auto"/>
        <w:bottom w:val="none" w:sz="0" w:space="0" w:color="auto"/>
        <w:right w:val="none" w:sz="0" w:space="0" w:color="auto"/>
      </w:divBdr>
    </w:div>
    <w:div w:id="1668048050">
      <w:bodyDiv w:val="1"/>
      <w:marLeft w:val="0"/>
      <w:marRight w:val="0"/>
      <w:marTop w:val="0"/>
      <w:marBottom w:val="0"/>
      <w:divBdr>
        <w:top w:val="none" w:sz="0" w:space="0" w:color="auto"/>
        <w:left w:val="none" w:sz="0" w:space="0" w:color="auto"/>
        <w:bottom w:val="none" w:sz="0" w:space="0" w:color="auto"/>
        <w:right w:val="none" w:sz="0" w:space="0" w:color="auto"/>
      </w:divBdr>
    </w:div>
    <w:div w:id="1677151245">
      <w:bodyDiv w:val="1"/>
      <w:marLeft w:val="0"/>
      <w:marRight w:val="0"/>
      <w:marTop w:val="0"/>
      <w:marBottom w:val="0"/>
      <w:divBdr>
        <w:top w:val="none" w:sz="0" w:space="0" w:color="auto"/>
        <w:left w:val="none" w:sz="0" w:space="0" w:color="auto"/>
        <w:bottom w:val="none" w:sz="0" w:space="0" w:color="auto"/>
        <w:right w:val="none" w:sz="0" w:space="0" w:color="auto"/>
      </w:divBdr>
    </w:div>
    <w:div w:id="1680739311">
      <w:bodyDiv w:val="1"/>
      <w:marLeft w:val="0"/>
      <w:marRight w:val="0"/>
      <w:marTop w:val="0"/>
      <w:marBottom w:val="0"/>
      <w:divBdr>
        <w:top w:val="none" w:sz="0" w:space="0" w:color="auto"/>
        <w:left w:val="none" w:sz="0" w:space="0" w:color="auto"/>
        <w:bottom w:val="none" w:sz="0" w:space="0" w:color="auto"/>
        <w:right w:val="none" w:sz="0" w:space="0" w:color="auto"/>
      </w:divBdr>
    </w:div>
    <w:div w:id="1686862297">
      <w:bodyDiv w:val="1"/>
      <w:marLeft w:val="0"/>
      <w:marRight w:val="0"/>
      <w:marTop w:val="0"/>
      <w:marBottom w:val="0"/>
      <w:divBdr>
        <w:top w:val="none" w:sz="0" w:space="0" w:color="auto"/>
        <w:left w:val="none" w:sz="0" w:space="0" w:color="auto"/>
        <w:bottom w:val="none" w:sz="0" w:space="0" w:color="auto"/>
        <w:right w:val="none" w:sz="0" w:space="0" w:color="auto"/>
      </w:divBdr>
    </w:div>
    <w:div w:id="1687635054">
      <w:bodyDiv w:val="1"/>
      <w:marLeft w:val="0"/>
      <w:marRight w:val="0"/>
      <w:marTop w:val="0"/>
      <w:marBottom w:val="0"/>
      <w:divBdr>
        <w:top w:val="none" w:sz="0" w:space="0" w:color="auto"/>
        <w:left w:val="none" w:sz="0" w:space="0" w:color="auto"/>
        <w:bottom w:val="none" w:sz="0" w:space="0" w:color="auto"/>
        <w:right w:val="none" w:sz="0" w:space="0" w:color="auto"/>
      </w:divBdr>
    </w:div>
    <w:div w:id="1689287610">
      <w:bodyDiv w:val="1"/>
      <w:marLeft w:val="0"/>
      <w:marRight w:val="0"/>
      <w:marTop w:val="0"/>
      <w:marBottom w:val="0"/>
      <w:divBdr>
        <w:top w:val="none" w:sz="0" w:space="0" w:color="auto"/>
        <w:left w:val="none" w:sz="0" w:space="0" w:color="auto"/>
        <w:bottom w:val="none" w:sz="0" w:space="0" w:color="auto"/>
        <w:right w:val="none" w:sz="0" w:space="0" w:color="auto"/>
      </w:divBdr>
    </w:div>
    <w:div w:id="1693607783">
      <w:bodyDiv w:val="1"/>
      <w:marLeft w:val="0"/>
      <w:marRight w:val="0"/>
      <w:marTop w:val="0"/>
      <w:marBottom w:val="0"/>
      <w:divBdr>
        <w:top w:val="none" w:sz="0" w:space="0" w:color="auto"/>
        <w:left w:val="none" w:sz="0" w:space="0" w:color="auto"/>
        <w:bottom w:val="none" w:sz="0" w:space="0" w:color="auto"/>
        <w:right w:val="none" w:sz="0" w:space="0" w:color="auto"/>
      </w:divBdr>
    </w:div>
    <w:div w:id="1698777910">
      <w:bodyDiv w:val="1"/>
      <w:marLeft w:val="0"/>
      <w:marRight w:val="0"/>
      <w:marTop w:val="0"/>
      <w:marBottom w:val="0"/>
      <w:divBdr>
        <w:top w:val="none" w:sz="0" w:space="0" w:color="auto"/>
        <w:left w:val="none" w:sz="0" w:space="0" w:color="auto"/>
        <w:bottom w:val="none" w:sz="0" w:space="0" w:color="auto"/>
        <w:right w:val="none" w:sz="0" w:space="0" w:color="auto"/>
      </w:divBdr>
    </w:div>
    <w:div w:id="1698895788">
      <w:bodyDiv w:val="1"/>
      <w:marLeft w:val="0"/>
      <w:marRight w:val="0"/>
      <w:marTop w:val="0"/>
      <w:marBottom w:val="0"/>
      <w:divBdr>
        <w:top w:val="none" w:sz="0" w:space="0" w:color="auto"/>
        <w:left w:val="none" w:sz="0" w:space="0" w:color="auto"/>
        <w:bottom w:val="none" w:sz="0" w:space="0" w:color="auto"/>
        <w:right w:val="none" w:sz="0" w:space="0" w:color="auto"/>
      </w:divBdr>
    </w:div>
    <w:div w:id="1707178080">
      <w:bodyDiv w:val="1"/>
      <w:marLeft w:val="0"/>
      <w:marRight w:val="0"/>
      <w:marTop w:val="0"/>
      <w:marBottom w:val="0"/>
      <w:divBdr>
        <w:top w:val="none" w:sz="0" w:space="0" w:color="auto"/>
        <w:left w:val="none" w:sz="0" w:space="0" w:color="auto"/>
        <w:bottom w:val="none" w:sz="0" w:space="0" w:color="auto"/>
        <w:right w:val="none" w:sz="0" w:space="0" w:color="auto"/>
      </w:divBdr>
    </w:div>
    <w:div w:id="1709330717">
      <w:bodyDiv w:val="1"/>
      <w:marLeft w:val="0"/>
      <w:marRight w:val="0"/>
      <w:marTop w:val="0"/>
      <w:marBottom w:val="0"/>
      <w:divBdr>
        <w:top w:val="none" w:sz="0" w:space="0" w:color="auto"/>
        <w:left w:val="none" w:sz="0" w:space="0" w:color="auto"/>
        <w:bottom w:val="none" w:sz="0" w:space="0" w:color="auto"/>
        <w:right w:val="none" w:sz="0" w:space="0" w:color="auto"/>
      </w:divBdr>
    </w:div>
    <w:div w:id="1716925832">
      <w:bodyDiv w:val="1"/>
      <w:marLeft w:val="0"/>
      <w:marRight w:val="0"/>
      <w:marTop w:val="0"/>
      <w:marBottom w:val="0"/>
      <w:divBdr>
        <w:top w:val="none" w:sz="0" w:space="0" w:color="auto"/>
        <w:left w:val="none" w:sz="0" w:space="0" w:color="auto"/>
        <w:bottom w:val="none" w:sz="0" w:space="0" w:color="auto"/>
        <w:right w:val="none" w:sz="0" w:space="0" w:color="auto"/>
      </w:divBdr>
    </w:div>
    <w:div w:id="1722166361">
      <w:bodyDiv w:val="1"/>
      <w:marLeft w:val="0"/>
      <w:marRight w:val="0"/>
      <w:marTop w:val="0"/>
      <w:marBottom w:val="0"/>
      <w:divBdr>
        <w:top w:val="none" w:sz="0" w:space="0" w:color="auto"/>
        <w:left w:val="none" w:sz="0" w:space="0" w:color="auto"/>
        <w:bottom w:val="none" w:sz="0" w:space="0" w:color="auto"/>
        <w:right w:val="none" w:sz="0" w:space="0" w:color="auto"/>
      </w:divBdr>
    </w:div>
    <w:div w:id="1722362202">
      <w:bodyDiv w:val="1"/>
      <w:marLeft w:val="0"/>
      <w:marRight w:val="0"/>
      <w:marTop w:val="0"/>
      <w:marBottom w:val="0"/>
      <w:divBdr>
        <w:top w:val="none" w:sz="0" w:space="0" w:color="auto"/>
        <w:left w:val="none" w:sz="0" w:space="0" w:color="auto"/>
        <w:bottom w:val="none" w:sz="0" w:space="0" w:color="auto"/>
        <w:right w:val="none" w:sz="0" w:space="0" w:color="auto"/>
      </w:divBdr>
    </w:div>
    <w:div w:id="1722752388">
      <w:bodyDiv w:val="1"/>
      <w:marLeft w:val="0"/>
      <w:marRight w:val="0"/>
      <w:marTop w:val="0"/>
      <w:marBottom w:val="0"/>
      <w:divBdr>
        <w:top w:val="none" w:sz="0" w:space="0" w:color="auto"/>
        <w:left w:val="none" w:sz="0" w:space="0" w:color="auto"/>
        <w:bottom w:val="none" w:sz="0" w:space="0" w:color="auto"/>
        <w:right w:val="none" w:sz="0" w:space="0" w:color="auto"/>
      </w:divBdr>
    </w:div>
    <w:div w:id="1722899345">
      <w:bodyDiv w:val="1"/>
      <w:marLeft w:val="0"/>
      <w:marRight w:val="0"/>
      <w:marTop w:val="0"/>
      <w:marBottom w:val="0"/>
      <w:divBdr>
        <w:top w:val="none" w:sz="0" w:space="0" w:color="auto"/>
        <w:left w:val="none" w:sz="0" w:space="0" w:color="auto"/>
        <w:bottom w:val="none" w:sz="0" w:space="0" w:color="auto"/>
        <w:right w:val="none" w:sz="0" w:space="0" w:color="auto"/>
      </w:divBdr>
    </w:div>
    <w:div w:id="1723752460">
      <w:bodyDiv w:val="1"/>
      <w:marLeft w:val="0"/>
      <w:marRight w:val="0"/>
      <w:marTop w:val="0"/>
      <w:marBottom w:val="0"/>
      <w:divBdr>
        <w:top w:val="none" w:sz="0" w:space="0" w:color="auto"/>
        <w:left w:val="none" w:sz="0" w:space="0" w:color="auto"/>
        <w:bottom w:val="none" w:sz="0" w:space="0" w:color="auto"/>
        <w:right w:val="none" w:sz="0" w:space="0" w:color="auto"/>
      </w:divBdr>
    </w:div>
    <w:div w:id="1727027175">
      <w:bodyDiv w:val="1"/>
      <w:marLeft w:val="0"/>
      <w:marRight w:val="0"/>
      <w:marTop w:val="0"/>
      <w:marBottom w:val="0"/>
      <w:divBdr>
        <w:top w:val="none" w:sz="0" w:space="0" w:color="auto"/>
        <w:left w:val="none" w:sz="0" w:space="0" w:color="auto"/>
        <w:bottom w:val="none" w:sz="0" w:space="0" w:color="auto"/>
        <w:right w:val="none" w:sz="0" w:space="0" w:color="auto"/>
      </w:divBdr>
    </w:div>
    <w:div w:id="1730612520">
      <w:bodyDiv w:val="1"/>
      <w:marLeft w:val="0"/>
      <w:marRight w:val="0"/>
      <w:marTop w:val="0"/>
      <w:marBottom w:val="0"/>
      <w:divBdr>
        <w:top w:val="none" w:sz="0" w:space="0" w:color="auto"/>
        <w:left w:val="none" w:sz="0" w:space="0" w:color="auto"/>
        <w:bottom w:val="none" w:sz="0" w:space="0" w:color="auto"/>
        <w:right w:val="none" w:sz="0" w:space="0" w:color="auto"/>
      </w:divBdr>
    </w:div>
    <w:div w:id="1744377687">
      <w:bodyDiv w:val="1"/>
      <w:marLeft w:val="0"/>
      <w:marRight w:val="0"/>
      <w:marTop w:val="0"/>
      <w:marBottom w:val="0"/>
      <w:divBdr>
        <w:top w:val="none" w:sz="0" w:space="0" w:color="auto"/>
        <w:left w:val="none" w:sz="0" w:space="0" w:color="auto"/>
        <w:bottom w:val="none" w:sz="0" w:space="0" w:color="auto"/>
        <w:right w:val="none" w:sz="0" w:space="0" w:color="auto"/>
      </w:divBdr>
    </w:div>
    <w:div w:id="1744641757">
      <w:bodyDiv w:val="1"/>
      <w:marLeft w:val="0"/>
      <w:marRight w:val="0"/>
      <w:marTop w:val="0"/>
      <w:marBottom w:val="0"/>
      <w:divBdr>
        <w:top w:val="none" w:sz="0" w:space="0" w:color="auto"/>
        <w:left w:val="none" w:sz="0" w:space="0" w:color="auto"/>
        <w:bottom w:val="none" w:sz="0" w:space="0" w:color="auto"/>
        <w:right w:val="none" w:sz="0" w:space="0" w:color="auto"/>
      </w:divBdr>
    </w:div>
    <w:div w:id="1745570866">
      <w:bodyDiv w:val="1"/>
      <w:marLeft w:val="0"/>
      <w:marRight w:val="0"/>
      <w:marTop w:val="0"/>
      <w:marBottom w:val="0"/>
      <w:divBdr>
        <w:top w:val="none" w:sz="0" w:space="0" w:color="auto"/>
        <w:left w:val="none" w:sz="0" w:space="0" w:color="auto"/>
        <w:bottom w:val="none" w:sz="0" w:space="0" w:color="auto"/>
        <w:right w:val="none" w:sz="0" w:space="0" w:color="auto"/>
      </w:divBdr>
    </w:div>
    <w:div w:id="1758356447">
      <w:bodyDiv w:val="1"/>
      <w:marLeft w:val="0"/>
      <w:marRight w:val="0"/>
      <w:marTop w:val="0"/>
      <w:marBottom w:val="0"/>
      <w:divBdr>
        <w:top w:val="none" w:sz="0" w:space="0" w:color="auto"/>
        <w:left w:val="none" w:sz="0" w:space="0" w:color="auto"/>
        <w:bottom w:val="none" w:sz="0" w:space="0" w:color="auto"/>
        <w:right w:val="none" w:sz="0" w:space="0" w:color="auto"/>
      </w:divBdr>
    </w:div>
    <w:div w:id="1766459604">
      <w:bodyDiv w:val="1"/>
      <w:marLeft w:val="0"/>
      <w:marRight w:val="0"/>
      <w:marTop w:val="0"/>
      <w:marBottom w:val="0"/>
      <w:divBdr>
        <w:top w:val="none" w:sz="0" w:space="0" w:color="auto"/>
        <w:left w:val="none" w:sz="0" w:space="0" w:color="auto"/>
        <w:bottom w:val="none" w:sz="0" w:space="0" w:color="auto"/>
        <w:right w:val="none" w:sz="0" w:space="0" w:color="auto"/>
      </w:divBdr>
    </w:div>
    <w:div w:id="1770615978">
      <w:bodyDiv w:val="1"/>
      <w:marLeft w:val="0"/>
      <w:marRight w:val="0"/>
      <w:marTop w:val="0"/>
      <w:marBottom w:val="0"/>
      <w:divBdr>
        <w:top w:val="none" w:sz="0" w:space="0" w:color="auto"/>
        <w:left w:val="none" w:sz="0" w:space="0" w:color="auto"/>
        <w:bottom w:val="none" w:sz="0" w:space="0" w:color="auto"/>
        <w:right w:val="none" w:sz="0" w:space="0" w:color="auto"/>
      </w:divBdr>
    </w:div>
    <w:div w:id="1771201863">
      <w:bodyDiv w:val="1"/>
      <w:marLeft w:val="0"/>
      <w:marRight w:val="0"/>
      <w:marTop w:val="0"/>
      <w:marBottom w:val="0"/>
      <w:divBdr>
        <w:top w:val="none" w:sz="0" w:space="0" w:color="auto"/>
        <w:left w:val="none" w:sz="0" w:space="0" w:color="auto"/>
        <w:bottom w:val="none" w:sz="0" w:space="0" w:color="auto"/>
        <w:right w:val="none" w:sz="0" w:space="0" w:color="auto"/>
      </w:divBdr>
    </w:div>
    <w:div w:id="1775517631">
      <w:bodyDiv w:val="1"/>
      <w:marLeft w:val="0"/>
      <w:marRight w:val="0"/>
      <w:marTop w:val="0"/>
      <w:marBottom w:val="0"/>
      <w:divBdr>
        <w:top w:val="none" w:sz="0" w:space="0" w:color="auto"/>
        <w:left w:val="none" w:sz="0" w:space="0" w:color="auto"/>
        <w:bottom w:val="none" w:sz="0" w:space="0" w:color="auto"/>
        <w:right w:val="none" w:sz="0" w:space="0" w:color="auto"/>
      </w:divBdr>
    </w:div>
    <w:div w:id="1775861706">
      <w:bodyDiv w:val="1"/>
      <w:marLeft w:val="0"/>
      <w:marRight w:val="0"/>
      <w:marTop w:val="0"/>
      <w:marBottom w:val="0"/>
      <w:divBdr>
        <w:top w:val="none" w:sz="0" w:space="0" w:color="auto"/>
        <w:left w:val="none" w:sz="0" w:space="0" w:color="auto"/>
        <w:bottom w:val="none" w:sz="0" w:space="0" w:color="auto"/>
        <w:right w:val="none" w:sz="0" w:space="0" w:color="auto"/>
      </w:divBdr>
    </w:div>
    <w:div w:id="1784808405">
      <w:bodyDiv w:val="1"/>
      <w:marLeft w:val="0"/>
      <w:marRight w:val="0"/>
      <w:marTop w:val="0"/>
      <w:marBottom w:val="0"/>
      <w:divBdr>
        <w:top w:val="none" w:sz="0" w:space="0" w:color="auto"/>
        <w:left w:val="none" w:sz="0" w:space="0" w:color="auto"/>
        <w:bottom w:val="none" w:sz="0" w:space="0" w:color="auto"/>
        <w:right w:val="none" w:sz="0" w:space="0" w:color="auto"/>
      </w:divBdr>
    </w:div>
    <w:div w:id="1786776981">
      <w:bodyDiv w:val="1"/>
      <w:marLeft w:val="0"/>
      <w:marRight w:val="0"/>
      <w:marTop w:val="0"/>
      <w:marBottom w:val="0"/>
      <w:divBdr>
        <w:top w:val="none" w:sz="0" w:space="0" w:color="auto"/>
        <w:left w:val="none" w:sz="0" w:space="0" w:color="auto"/>
        <w:bottom w:val="none" w:sz="0" w:space="0" w:color="auto"/>
        <w:right w:val="none" w:sz="0" w:space="0" w:color="auto"/>
      </w:divBdr>
    </w:div>
    <w:div w:id="1794864656">
      <w:bodyDiv w:val="1"/>
      <w:marLeft w:val="0"/>
      <w:marRight w:val="0"/>
      <w:marTop w:val="0"/>
      <w:marBottom w:val="0"/>
      <w:divBdr>
        <w:top w:val="none" w:sz="0" w:space="0" w:color="auto"/>
        <w:left w:val="none" w:sz="0" w:space="0" w:color="auto"/>
        <w:bottom w:val="none" w:sz="0" w:space="0" w:color="auto"/>
        <w:right w:val="none" w:sz="0" w:space="0" w:color="auto"/>
      </w:divBdr>
    </w:div>
    <w:div w:id="1795446471">
      <w:bodyDiv w:val="1"/>
      <w:marLeft w:val="0"/>
      <w:marRight w:val="0"/>
      <w:marTop w:val="0"/>
      <w:marBottom w:val="0"/>
      <w:divBdr>
        <w:top w:val="none" w:sz="0" w:space="0" w:color="auto"/>
        <w:left w:val="none" w:sz="0" w:space="0" w:color="auto"/>
        <w:bottom w:val="none" w:sz="0" w:space="0" w:color="auto"/>
        <w:right w:val="none" w:sz="0" w:space="0" w:color="auto"/>
      </w:divBdr>
    </w:div>
    <w:div w:id="1797674493">
      <w:bodyDiv w:val="1"/>
      <w:marLeft w:val="0"/>
      <w:marRight w:val="0"/>
      <w:marTop w:val="0"/>
      <w:marBottom w:val="0"/>
      <w:divBdr>
        <w:top w:val="none" w:sz="0" w:space="0" w:color="auto"/>
        <w:left w:val="none" w:sz="0" w:space="0" w:color="auto"/>
        <w:bottom w:val="none" w:sz="0" w:space="0" w:color="auto"/>
        <w:right w:val="none" w:sz="0" w:space="0" w:color="auto"/>
      </w:divBdr>
    </w:div>
    <w:div w:id="1806266399">
      <w:bodyDiv w:val="1"/>
      <w:marLeft w:val="0"/>
      <w:marRight w:val="0"/>
      <w:marTop w:val="0"/>
      <w:marBottom w:val="0"/>
      <w:divBdr>
        <w:top w:val="none" w:sz="0" w:space="0" w:color="auto"/>
        <w:left w:val="none" w:sz="0" w:space="0" w:color="auto"/>
        <w:bottom w:val="none" w:sz="0" w:space="0" w:color="auto"/>
        <w:right w:val="none" w:sz="0" w:space="0" w:color="auto"/>
      </w:divBdr>
    </w:div>
    <w:div w:id="1809978377">
      <w:bodyDiv w:val="1"/>
      <w:marLeft w:val="0"/>
      <w:marRight w:val="0"/>
      <w:marTop w:val="0"/>
      <w:marBottom w:val="0"/>
      <w:divBdr>
        <w:top w:val="none" w:sz="0" w:space="0" w:color="auto"/>
        <w:left w:val="none" w:sz="0" w:space="0" w:color="auto"/>
        <w:bottom w:val="none" w:sz="0" w:space="0" w:color="auto"/>
        <w:right w:val="none" w:sz="0" w:space="0" w:color="auto"/>
      </w:divBdr>
    </w:div>
    <w:div w:id="1810827457">
      <w:bodyDiv w:val="1"/>
      <w:marLeft w:val="0"/>
      <w:marRight w:val="0"/>
      <w:marTop w:val="0"/>
      <w:marBottom w:val="0"/>
      <w:divBdr>
        <w:top w:val="none" w:sz="0" w:space="0" w:color="auto"/>
        <w:left w:val="none" w:sz="0" w:space="0" w:color="auto"/>
        <w:bottom w:val="none" w:sz="0" w:space="0" w:color="auto"/>
        <w:right w:val="none" w:sz="0" w:space="0" w:color="auto"/>
      </w:divBdr>
    </w:div>
    <w:div w:id="1813792865">
      <w:bodyDiv w:val="1"/>
      <w:marLeft w:val="0"/>
      <w:marRight w:val="0"/>
      <w:marTop w:val="0"/>
      <w:marBottom w:val="0"/>
      <w:divBdr>
        <w:top w:val="none" w:sz="0" w:space="0" w:color="auto"/>
        <w:left w:val="none" w:sz="0" w:space="0" w:color="auto"/>
        <w:bottom w:val="none" w:sz="0" w:space="0" w:color="auto"/>
        <w:right w:val="none" w:sz="0" w:space="0" w:color="auto"/>
      </w:divBdr>
    </w:div>
    <w:div w:id="1815219556">
      <w:bodyDiv w:val="1"/>
      <w:marLeft w:val="0"/>
      <w:marRight w:val="0"/>
      <w:marTop w:val="0"/>
      <w:marBottom w:val="0"/>
      <w:divBdr>
        <w:top w:val="none" w:sz="0" w:space="0" w:color="auto"/>
        <w:left w:val="none" w:sz="0" w:space="0" w:color="auto"/>
        <w:bottom w:val="none" w:sz="0" w:space="0" w:color="auto"/>
        <w:right w:val="none" w:sz="0" w:space="0" w:color="auto"/>
      </w:divBdr>
    </w:div>
    <w:div w:id="1824853216">
      <w:bodyDiv w:val="1"/>
      <w:marLeft w:val="0"/>
      <w:marRight w:val="0"/>
      <w:marTop w:val="0"/>
      <w:marBottom w:val="0"/>
      <w:divBdr>
        <w:top w:val="none" w:sz="0" w:space="0" w:color="auto"/>
        <w:left w:val="none" w:sz="0" w:space="0" w:color="auto"/>
        <w:bottom w:val="none" w:sz="0" w:space="0" w:color="auto"/>
        <w:right w:val="none" w:sz="0" w:space="0" w:color="auto"/>
      </w:divBdr>
    </w:div>
    <w:div w:id="1829858799">
      <w:bodyDiv w:val="1"/>
      <w:marLeft w:val="0"/>
      <w:marRight w:val="0"/>
      <w:marTop w:val="0"/>
      <w:marBottom w:val="0"/>
      <w:divBdr>
        <w:top w:val="none" w:sz="0" w:space="0" w:color="auto"/>
        <w:left w:val="none" w:sz="0" w:space="0" w:color="auto"/>
        <w:bottom w:val="none" w:sz="0" w:space="0" w:color="auto"/>
        <w:right w:val="none" w:sz="0" w:space="0" w:color="auto"/>
      </w:divBdr>
    </w:div>
    <w:div w:id="1829980156">
      <w:bodyDiv w:val="1"/>
      <w:marLeft w:val="0"/>
      <w:marRight w:val="0"/>
      <w:marTop w:val="0"/>
      <w:marBottom w:val="0"/>
      <w:divBdr>
        <w:top w:val="none" w:sz="0" w:space="0" w:color="auto"/>
        <w:left w:val="none" w:sz="0" w:space="0" w:color="auto"/>
        <w:bottom w:val="none" w:sz="0" w:space="0" w:color="auto"/>
        <w:right w:val="none" w:sz="0" w:space="0" w:color="auto"/>
      </w:divBdr>
    </w:div>
    <w:div w:id="1834756527">
      <w:bodyDiv w:val="1"/>
      <w:marLeft w:val="0"/>
      <w:marRight w:val="0"/>
      <w:marTop w:val="0"/>
      <w:marBottom w:val="0"/>
      <w:divBdr>
        <w:top w:val="none" w:sz="0" w:space="0" w:color="auto"/>
        <w:left w:val="none" w:sz="0" w:space="0" w:color="auto"/>
        <w:bottom w:val="none" w:sz="0" w:space="0" w:color="auto"/>
        <w:right w:val="none" w:sz="0" w:space="0" w:color="auto"/>
      </w:divBdr>
    </w:div>
    <w:div w:id="1851332236">
      <w:bodyDiv w:val="1"/>
      <w:marLeft w:val="0"/>
      <w:marRight w:val="0"/>
      <w:marTop w:val="0"/>
      <w:marBottom w:val="0"/>
      <w:divBdr>
        <w:top w:val="none" w:sz="0" w:space="0" w:color="auto"/>
        <w:left w:val="none" w:sz="0" w:space="0" w:color="auto"/>
        <w:bottom w:val="none" w:sz="0" w:space="0" w:color="auto"/>
        <w:right w:val="none" w:sz="0" w:space="0" w:color="auto"/>
      </w:divBdr>
    </w:div>
    <w:div w:id="1852793466">
      <w:bodyDiv w:val="1"/>
      <w:marLeft w:val="0"/>
      <w:marRight w:val="0"/>
      <w:marTop w:val="0"/>
      <w:marBottom w:val="0"/>
      <w:divBdr>
        <w:top w:val="none" w:sz="0" w:space="0" w:color="auto"/>
        <w:left w:val="none" w:sz="0" w:space="0" w:color="auto"/>
        <w:bottom w:val="none" w:sz="0" w:space="0" w:color="auto"/>
        <w:right w:val="none" w:sz="0" w:space="0" w:color="auto"/>
      </w:divBdr>
    </w:div>
    <w:div w:id="1855344128">
      <w:bodyDiv w:val="1"/>
      <w:marLeft w:val="0"/>
      <w:marRight w:val="0"/>
      <w:marTop w:val="0"/>
      <w:marBottom w:val="0"/>
      <w:divBdr>
        <w:top w:val="none" w:sz="0" w:space="0" w:color="auto"/>
        <w:left w:val="none" w:sz="0" w:space="0" w:color="auto"/>
        <w:bottom w:val="none" w:sz="0" w:space="0" w:color="auto"/>
        <w:right w:val="none" w:sz="0" w:space="0" w:color="auto"/>
      </w:divBdr>
    </w:div>
    <w:div w:id="1855459294">
      <w:bodyDiv w:val="1"/>
      <w:marLeft w:val="0"/>
      <w:marRight w:val="0"/>
      <w:marTop w:val="0"/>
      <w:marBottom w:val="0"/>
      <w:divBdr>
        <w:top w:val="none" w:sz="0" w:space="0" w:color="auto"/>
        <w:left w:val="none" w:sz="0" w:space="0" w:color="auto"/>
        <w:bottom w:val="none" w:sz="0" w:space="0" w:color="auto"/>
        <w:right w:val="none" w:sz="0" w:space="0" w:color="auto"/>
      </w:divBdr>
    </w:div>
    <w:div w:id="1858733182">
      <w:bodyDiv w:val="1"/>
      <w:marLeft w:val="0"/>
      <w:marRight w:val="0"/>
      <w:marTop w:val="0"/>
      <w:marBottom w:val="0"/>
      <w:divBdr>
        <w:top w:val="none" w:sz="0" w:space="0" w:color="auto"/>
        <w:left w:val="none" w:sz="0" w:space="0" w:color="auto"/>
        <w:bottom w:val="none" w:sz="0" w:space="0" w:color="auto"/>
        <w:right w:val="none" w:sz="0" w:space="0" w:color="auto"/>
      </w:divBdr>
    </w:div>
    <w:div w:id="1863855265">
      <w:bodyDiv w:val="1"/>
      <w:marLeft w:val="0"/>
      <w:marRight w:val="0"/>
      <w:marTop w:val="0"/>
      <w:marBottom w:val="0"/>
      <w:divBdr>
        <w:top w:val="none" w:sz="0" w:space="0" w:color="auto"/>
        <w:left w:val="none" w:sz="0" w:space="0" w:color="auto"/>
        <w:bottom w:val="none" w:sz="0" w:space="0" w:color="auto"/>
        <w:right w:val="none" w:sz="0" w:space="0" w:color="auto"/>
      </w:divBdr>
    </w:div>
    <w:div w:id="1866022518">
      <w:bodyDiv w:val="1"/>
      <w:marLeft w:val="0"/>
      <w:marRight w:val="0"/>
      <w:marTop w:val="0"/>
      <w:marBottom w:val="0"/>
      <w:divBdr>
        <w:top w:val="none" w:sz="0" w:space="0" w:color="auto"/>
        <w:left w:val="none" w:sz="0" w:space="0" w:color="auto"/>
        <w:bottom w:val="none" w:sz="0" w:space="0" w:color="auto"/>
        <w:right w:val="none" w:sz="0" w:space="0" w:color="auto"/>
      </w:divBdr>
    </w:div>
    <w:div w:id="1866164784">
      <w:bodyDiv w:val="1"/>
      <w:marLeft w:val="0"/>
      <w:marRight w:val="0"/>
      <w:marTop w:val="0"/>
      <w:marBottom w:val="0"/>
      <w:divBdr>
        <w:top w:val="none" w:sz="0" w:space="0" w:color="auto"/>
        <w:left w:val="none" w:sz="0" w:space="0" w:color="auto"/>
        <w:bottom w:val="none" w:sz="0" w:space="0" w:color="auto"/>
        <w:right w:val="none" w:sz="0" w:space="0" w:color="auto"/>
      </w:divBdr>
    </w:div>
    <w:div w:id="1867325197">
      <w:bodyDiv w:val="1"/>
      <w:marLeft w:val="0"/>
      <w:marRight w:val="0"/>
      <w:marTop w:val="0"/>
      <w:marBottom w:val="0"/>
      <w:divBdr>
        <w:top w:val="none" w:sz="0" w:space="0" w:color="auto"/>
        <w:left w:val="none" w:sz="0" w:space="0" w:color="auto"/>
        <w:bottom w:val="none" w:sz="0" w:space="0" w:color="auto"/>
        <w:right w:val="none" w:sz="0" w:space="0" w:color="auto"/>
      </w:divBdr>
    </w:div>
    <w:div w:id="1872760458">
      <w:bodyDiv w:val="1"/>
      <w:marLeft w:val="0"/>
      <w:marRight w:val="0"/>
      <w:marTop w:val="0"/>
      <w:marBottom w:val="0"/>
      <w:divBdr>
        <w:top w:val="none" w:sz="0" w:space="0" w:color="auto"/>
        <w:left w:val="none" w:sz="0" w:space="0" w:color="auto"/>
        <w:bottom w:val="none" w:sz="0" w:space="0" w:color="auto"/>
        <w:right w:val="none" w:sz="0" w:space="0" w:color="auto"/>
      </w:divBdr>
    </w:div>
    <w:div w:id="1879976888">
      <w:bodyDiv w:val="1"/>
      <w:marLeft w:val="0"/>
      <w:marRight w:val="0"/>
      <w:marTop w:val="0"/>
      <w:marBottom w:val="0"/>
      <w:divBdr>
        <w:top w:val="none" w:sz="0" w:space="0" w:color="auto"/>
        <w:left w:val="none" w:sz="0" w:space="0" w:color="auto"/>
        <w:bottom w:val="none" w:sz="0" w:space="0" w:color="auto"/>
        <w:right w:val="none" w:sz="0" w:space="0" w:color="auto"/>
      </w:divBdr>
    </w:div>
    <w:div w:id="1886023164">
      <w:bodyDiv w:val="1"/>
      <w:marLeft w:val="0"/>
      <w:marRight w:val="0"/>
      <w:marTop w:val="0"/>
      <w:marBottom w:val="0"/>
      <w:divBdr>
        <w:top w:val="none" w:sz="0" w:space="0" w:color="auto"/>
        <w:left w:val="none" w:sz="0" w:space="0" w:color="auto"/>
        <w:bottom w:val="none" w:sz="0" w:space="0" w:color="auto"/>
        <w:right w:val="none" w:sz="0" w:space="0" w:color="auto"/>
      </w:divBdr>
    </w:div>
    <w:div w:id="1887792845">
      <w:bodyDiv w:val="1"/>
      <w:marLeft w:val="0"/>
      <w:marRight w:val="0"/>
      <w:marTop w:val="0"/>
      <w:marBottom w:val="0"/>
      <w:divBdr>
        <w:top w:val="none" w:sz="0" w:space="0" w:color="auto"/>
        <w:left w:val="none" w:sz="0" w:space="0" w:color="auto"/>
        <w:bottom w:val="none" w:sz="0" w:space="0" w:color="auto"/>
        <w:right w:val="none" w:sz="0" w:space="0" w:color="auto"/>
      </w:divBdr>
    </w:div>
    <w:div w:id="1893690124">
      <w:bodyDiv w:val="1"/>
      <w:marLeft w:val="0"/>
      <w:marRight w:val="0"/>
      <w:marTop w:val="0"/>
      <w:marBottom w:val="0"/>
      <w:divBdr>
        <w:top w:val="none" w:sz="0" w:space="0" w:color="auto"/>
        <w:left w:val="none" w:sz="0" w:space="0" w:color="auto"/>
        <w:bottom w:val="none" w:sz="0" w:space="0" w:color="auto"/>
        <w:right w:val="none" w:sz="0" w:space="0" w:color="auto"/>
      </w:divBdr>
    </w:div>
    <w:div w:id="1906724283">
      <w:bodyDiv w:val="1"/>
      <w:marLeft w:val="0"/>
      <w:marRight w:val="0"/>
      <w:marTop w:val="0"/>
      <w:marBottom w:val="0"/>
      <w:divBdr>
        <w:top w:val="none" w:sz="0" w:space="0" w:color="auto"/>
        <w:left w:val="none" w:sz="0" w:space="0" w:color="auto"/>
        <w:bottom w:val="none" w:sz="0" w:space="0" w:color="auto"/>
        <w:right w:val="none" w:sz="0" w:space="0" w:color="auto"/>
      </w:divBdr>
    </w:div>
    <w:div w:id="1911308673">
      <w:bodyDiv w:val="1"/>
      <w:marLeft w:val="0"/>
      <w:marRight w:val="0"/>
      <w:marTop w:val="0"/>
      <w:marBottom w:val="0"/>
      <w:divBdr>
        <w:top w:val="none" w:sz="0" w:space="0" w:color="auto"/>
        <w:left w:val="none" w:sz="0" w:space="0" w:color="auto"/>
        <w:bottom w:val="none" w:sz="0" w:space="0" w:color="auto"/>
        <w:right w:val="none" w:sz="0" w:space="0" w:color="auto"/>
      </w:divBdr>
    </w:div>
    <w:div w:id="1916083578">
      <w:bodyDiv w:val="1"/>
      <w:marLeft w:val="0"/>
      <w:marRight w:val="0"/>
      <w:marTop w:val="0"/>
      <w:marBottom w:val="0"/>
      <w:divBdr>
        <w:top w:val="none" w:sz="0" w:space="0" w:color="auto"/>
        <w:left w:val="none" w:sz="0" w:space="0" w:color="auto"/>
        <w:bottom w:val="none" w:sz="0" w:space="0" w:color="auto"/>
        <w:right w:val="none" w:sz="0" w:space="0" w:color="auto"/>
      </w:divBdr>
    </w:div>
    <w:div w:id="1923755893">
      <w:bodyDiv w:val="1"/>
      <w:marLeft w:val="0"/>
      <w:marRight w:val="0"/>
      <w:marTop w:val="0"/>
      <w:marBottom w:val="0"/>
      <w:divBdr>
        <w:top w:val="none" w:sz="0" w:space="0" w:color="auto"/>
        <w:left w:val="none" w:sz="0" w:space="0" w:color="auto"/>
        <w:bottom w:val="none" w:sz="0" w:space="0" w:color="auto"/>
        <w:right w:val="none" w:sz="0" w:space="0" w:color="auto"/>
      </w:divBdr>
    </w:div>
    <w:div w:id="1925530026">
      <w:bodyDiv w:val="1"/>
      <w:marLeft w:val="0"/>
      <w:marRight w:val="0"/>
      <w:marTop w:val="0"/>
      <w:marBottom w:val="0"/>
      <w:divBdr>
        <w:top w:val="none" w:sz="0" w:space="0" w:color="auto"/>
        <w:left w:val="none" w:sz="0" w:space="0" w:color="auto"/>
        <w:bottom w:val="none" w:sz="0" w:space="0" w:color="auto"/>
        <w:right w:val="none" w:sz="0" w:space="0" w:color="auto"/>
      </w:divBdr>
    </w:div>
    <w:div w:id="1925870438">
      <w:bodyDiv w:val="1"/>
      <w:marLeft w:val="0"/>
      <w:marRight w:val="0"/>
      <w:marTop w:val="0"/>
      <w:marBottom w:val="0"/>
      <w:divBdr>
        <w:top w:val="none" w:sz="0" w:space="0" w:color="auto"/>
        <w:left w:val="none" w:sz="0" w:space="0" w:color="auto"/>
        <w:bottom w:val="none" w:sz="0" w:space="0" w:color="auto"/>
        <w:right w:val="none" w:sz="0" w:space="0" w:color="auto"/>
      </w:divBdr>
    </w:div>
    <w:div w:id="1939361782">
      <w:bodyDiv w:val="1"/>
      <w:marLeft w:val="0"/>
      <w:marRight w:val="0"/>
      <w:marTop w:val="0"/>
      <w:marBottom w:val="0"/>
      <w:divBdr>
        <w:top w:val="none" w:sz="0" w:space="0" w:color="auto"/>
        <w:left w:val="none" w:sz="0" w:space="0" w:color="auto"/>
        <w:bottom w:val="none" w:sz="0" w:space="0" w:color="auto"/>
        <w:right w:val="none" w:sz="0" w:space="0" w:color="auto"/>
      </w:divBdr>
    </w:div>
    <w:div w:id="1940916917">
      <w:bodyDiv w:val="1"/>
      <w:marLeft w:val="0"/>
      <w:marRight w:val="0"/>
      <w:marTop w:val="0"/>
      <w:marBottom w:val="0"/>
      <w:divBdr>
        <w:top w:val="none" w:sz="0" w:space="0" w:color="auto"/>
        <w:left w:val="none" w:sz="0" w:space="0" w:color="auto"/>
        <w:bottom w:val="none" w:sz="0" w:space="0" w:color="auto"/>
        <w:right w:val="none" w:sz="0" w:space="0" w:color="auto"/>
      </w:divBdr>
    </w:div>
    <w:div w:id="1942446698">
      <w:bodyDiv w:val="1"/>
      <w:marLeft w:val="0"/>
      <w:marRight w:val="0"/>
      <w:marTop w:val="0"/>
      <w:marBottom w:val="0"/>
      <w:divBdr>
        <w:top w:val="none" w:sz="0" w:space="0" w:color="auto"/>
        <w:left w:val="none" w:sz="0" w:space="0" w:color="auto"/>
        <w:bottom w:val="none" w:sz="0" w:space="0" w:color="auto"/>
        <w:right w:val="none" w:sz="0" w:space="0" w:color="auto"/>
      </w:divBdr>
    </w:div>
    <w:div w:id="1943486334">
      <w:bodyDiv w:val="1"/>
      <w:marLeft w:val="0"/>
      <w:marRight w:val="0"/>
      <w:marTop w:val="0"/>
      <w:marBottom w:val="0"/>
      <w:divBdr>
        <w:top w:val="none" w:sz="0" w:space="0" w:color="auto"/>
        <w:left w:val="none" w:sz="0" w:space="0" w:color="auto"/>
        <w:bottom w:val="none" w:sz="0" w:space="0" w:color="auto"/>
        <w:right w:val="none" w:sz="0" w:space="0" w:color="auto"/>
      </w:divBdr>
    </w:div>
    <w:div w:id="1946880250">
      <w:bodyDiv w:val="1"/>
      <w:marLeft w:val="0"/>
      <w:marRight w:val="0"/>
      <w:marTop w:val="0"/>
      <w:marBottom w:val="0"/>
      <w:divBdr>
        <w:top w:val="none" w:sz="0" w:space="0" w:color="auto"/>
        <w:left w:val="none" w:sz="0" w:space="0" w:color="auto"/>
        <w:bottom w:val="none" w:sz="0" w:space="0" w:color="auto"/>
        <w:right w:val="none" w:sz="0" w:space="0" w:color="auto"/>
      </w:divBdr>
    </w:div>
    <w:div w:id="1946883359">
      <w:bodyDiv w:val="1"/>
      <w:marLeft w:val="0"/>
      <w:marRight w:val="0"/>
      <w:marTop w:val="0"/>
      <w:marBottom w:val="0"/>
      <w:divBdr>
        <w:top w:val="none" w:sz="0" w:space="0" w:color="auto"/>
        <w:left w:val="none" w:sz="0" w:space="0" w:color="auto"/>
        <w:bottom w:val="none" w:sz="0" w:space="0" w:color="auto"/>
        <w:right w:val="none" w:sz="0" w:space="0" w:color="auto"/>
      </w:divBdr>
    </w:div>
    <w:div w:id="1952592566">
      <w:bodyDiv w:val="1"/>
      <w:marLeft w:val="0"/>
      <w:marRight w:val="0"/>
      <w:marTop w:val="0"/>
      <w:marBottom w:val="0"/>
      <w:divBdr>
        <w:top w:val="none" w:sz="0" w:space="0" w:color="auto"/>
        <w:left w:val="none" w:sz="0" w:space="0" w:color="auto"/>
        <w:bottom w:val="none" w:sz="0" w:space="0" w:color="auto"/>
        <w:right w:val="none" w:sz="0" w:space="0" w:color="auto"/>
      </w:divBdr>
    </w:div>
    <w:div w:id="1958019969">
      <w:bodyDiv w:val="1"/>
      <w:marLeft w:val="0"/>
      <w:marRight w:val="0"/>
      <w:marTop w:val="0"/>
      <w:marBottom w:val="0"/>
      <w:divBdr>
        <w:top w:val="none" w:sz="0" w:space="0" w:color="auto"/>
        <w:left w:val="none" w:sz="0" w:space="0" w:color="auto"/>
        <w:bottom w:val="none" w:sz="0" w:space="0" w:color="auto"/>
        <w:right w:val="none" w:sz="0" w:space="0" w:color="auto"/>
      </w:divBdr>
    </w:div>
    <w:div w:id="1958028734">
      <w:bodyDiv w:val="1"/>
      <w:marLeft w:val="0"/>
      <w:marRight w:val="0"/>
      <w:marTop w:val="0"/>
      <w:marBottom w:val="0"/>
      <w:divBdr>
        <w:top w:val="none" w:sz="0" w:space="0" w:color="auto"/>
        <w:left w:val="none" w:sz="0" w:space="0" w:color="auto"/>
        <w:bottom w:val="none" w:sz="0" w:space="0" w:color="auto"/>
        <w:right w:val="none" w:sz="0" w:space="0" w:color="auto"/>
      </w:divBdr>
    </w:div>
    <w:div w:id="1961297614">
      <w:bodyDiv w:val="1"/>
      <w:marLeft w:val="0"/>
      <w:marRight w:val="0"/>
      <w:marTop w:val="0"/>
      <w:marBottom w:val="0"/>
      <w:divBdr>
        <w:top w:val="none" w:sz="0" w:space="0" w:color="auto"/>
        <w:left w:val="none" w:sz="0" w:space="0" w:color="auto"/>
        <w:bottom w:val="none" w:sz="0" w:space="0" w:color="auto"/>
        <w:right w:val="none" w:sz="0" w:space="0" w:color="auto"/>
      </w:divBdr>
    </w:div>
    <w:div w:id="1964997599">
      <w:bodyDiv w:val="1"/>
      <w:marLeft w:val="0"/>
      <w:marRight w:val="0"/>
      <w:marTop w:val="0"/>
      <w:marBottom w:val="0"/>
      <w:divBdr>
        <w:top w:val="none" w:sz="0" w:space="0" w:color="auto"/>
        <w:left w:val="none" w:sz="0" w:space="0" w:color="auto"/>
        <w:bottom w:val="none" w:sz="0" w:space="0" w:color="auto"/>
        <w:right w:val="none" w:sz="0" w:space="0" w:color="auto"/>
      </w:divBdr>
    </w:div>
    <w:div w:id="1965383088">
      <w:bodyDiv w:val="1"/>
      <w:marLeft w:val="0"/>
      <w:marRight w:val="0"/>
      <w:marTop w:val="0"/>
      <w:marBottom w:val="0"/>
      <w:divBdr>
        <w:top w:val="none" w:sz="0" w:space="0" w:color="auto"/>
        <w:left w:val="none" w:sz="0" w:space="0" w:color="auto"/>
        <w:bottom w:val="none" w:sz="0" w:space="0" w:color="auto"/>
        <w:right w:val="none" w:sz="0" w:space="0" w:color="auto"/>
      </w:divBdr>
    </w:div>
    <w:div w:id="1965892057">
      <w:bodyDiv w:val="1"/>
      <w:marLeft w:val="0"/>
      <w:marRight w:val="0"/>
      <w:marTop w:val="0"/>
      <w:marBottom w:val="0"/>
      <w:divBdr>
        <w:top w:val="none" w:sz="0" w:space="0" w:color="auto"/>
        <w:left w:val="none" w:sz="0" w:space="0" w:color="auto"/>
        <w:bottom w:val="none" w:sz="0" w:space="0" w:color="auto"/>
        <w:right w:val="none" w:sz="0" w:space="0" w:color="auto"/>
      </w:divBdr>
    </w:div>
    <w:div w:id="1969700297">
      <w:bodyDiv w:val="1"/>
      <w:marLeft w:val="0"/>
      <w:marRight w:val="0"/>
      <w:marTop w:val="0"/>
      <w:marBottom w:val="0"/>
      <w:divBdr>
        <w:top w:val="none" w:sz="0" w:space="0" w:color="auto"/>
        <w:left w:val="none" w:sz="0" w:space="0" w:color="auto"/>
        <w:bottom w:val="none" w:sz="0" w:space="0" w:color="auto"/>
        <w:right w:val="none" w:sz="0" w:space="0" w:color="auto"/>
      </w:divBdr>
    </w:div>
    <w:div w:id="1970359602">
      <w:bodyDiv w:val="1"/>
      <w:marLeft w:val="0"/>
      <w:marRight w:val="0"/>
      <w:marTop w:val="0"/>
      <w:marBottom w:val="0"/>
      <w:divBdr>
        <w:top w:val="none" w:sz="0" w:space="0" w:color="auto"/>
        <w:left w:val="none" w:sz="0" w:space="0" w:color="auto"/>
        <w:bottom w:val="none" w:sz="0" w:space="0" w:color="auto"/>
        <w:right w:val="none" w:sz="0" w:space="0" w:color="auto"/>
      </w:divBdr>
    </w:div>
    <w:div w:id="1971863309">
      <w:bodyDiv w:val="1"/>
      <w:marLeft w:val="0"/>
      <w:marRight w:val="0"/>
      <w:marTop w:val="0"/>
      <w:marBottom w:val="0"/>
      <w:divBdr>
        <w:top w:val="none" w:sz="0" w:space="0" w:color="auto"/>
        <w:left w:val="none" w:sz="0" w:space="0" w:color="auto"/>
        <w:bottom w:val="none" w:sz="0" w:space="0" w:color="auto"/>
        <w:right w:val="none" w:sz="0" w:space="0" w:color="auto"/>
      </w:divBdr>
    </w:div>
    <w:div w:id="1972325155">
      <w:bodyDiv w:val="1"/>
      <w:marLeft w:val="0"/>
      <w:marRight w:val="0"/>
      <w:marTop w:val="0"/>
      <w:marBottom w:val="0"/>
      <w:divBdr>
        <w:top w:val="none" w:sz="0" w:space="0" w:color="auto"/>
        <w:left w:val="none" w:sz="0" w:space="0" w:color="auto"/>
        <w:bottom w:val="none" w:sz="0" w:space="0" w:color="auto"/>
        <w:right w:val="none" w:sz="0" w:space="0" w:color="auto"/>
      </w:divBdr>
    </w:div>
    <w:div w:id="1981034472">
      <w:bodyDiv w:val="1"/>
      <w:marLeft w:val="0"/>
      <w:marRight w:val="0"/>
      <w:marTop w:val="0"/>
      <w:marBottom w:val="0"/>
      <w:divBdr>
        <w:top w:val="none" w:sz="0" w:space="0" w:color="auto"/>
        <w:left w:val="none" w:sz="0" w:space="0" w:color="auto"/>
        <w:bottom w:val="none" w:sz="0" w:space="0" w:color="auto"/>
        <w:right w:val="none" w:sz="0" w:space="0" w:color="auto"/>
      </w:divBdr>
    </w:div>
    <w:div w:id="1983651451">
      <w:bodyDiv w:val="1"/>
      <w:marLeft w:val="0"/>
      <w:marRight w:val="0"/>
      <w:marTop w:val="0"/>
      <w:marBottom w:val="0"/>
      <w:divBdr>
        <w:top w:val="none" w:sz="0" w:space="0" w:color="auto"/>
        <w:left w:val="none" w:sz="0" w:space="0" w:color="auto"/>
        <w:bottom w:val="none" w:sz="0" w:space="0" w:color="auto"/>
        <w:right w:val="none" w:sz="0" w:space="0" w:color="auto"/>
      </w:divBdr>
    </w:div>
    <w:div w:id="1986814258">
      <w:bodyDiv w:val="1"/>
      <w:marLeft w:val="0"/>
      <w:marRight w:val="0"/>
      <w:marTop w:val="0"/>
      <w:marBottom w:val="0"/>
      <w:divBdr>
        <w:top w:val="none" w:sz="0" w:space="0" w:color="auto"/>
        <w:left w:val="none" w:sz="0" w:space="0" w:color="auto"/>
        <w:bottom w:val="none" w:sz="0" w:space="0" w:color="auto"/>
        <w:right w:val="none" w:sz="0" w:space="0" w:color="auto"/>
      </w:divBdr>
    </w:div>
    <w:div w:id="1989093302">
      <w:bodyDiv w:val="1"/>
      <w:marLeft w:val="0"/>
      <w:marRight w:val="0"/>
      <w:marTop w:val="0"/>
      <w:marBottom w:val="0"/>
      <w:divBdr>
        <w:top w:val="none" w:sz="0" w:space="0" w:color="auto"/>
        <w:left w:val="none" w:sz="0" w:space="0" w:color="auto"/>
        <w:bottom w:val="none" w:sz="0" w:space="0" w:color="auto"/>
        <w:right w:val="none" w:sz="0" w:space="0" w:color="auto"/>
      </w:divBdr>
    </w:div>
    <w:div w:id="1995454763">
      <w:bodyDiv w:val="1"/>
      <w:marLeft w:val="0"/>
      <w:marRight w:val="0"/>
      <w:marTop w:val="0"/>
      <w:marBottom w:val="0"/>
      <w:divBdr>
        <w:top w:val="none" w:sz="0" w:space="0" w:color="auto"/>
        <w:left w:val="none" w:sz="0" w:space="0" w:color="auto"/>
        <w:bottom w:val="none" w:sz="0" w:space="0" w:color="auto"/>
        <w:right w:val="none" w:sz="0" w:space="0" w:color="auto"/>
      </w:divBdr>
    </w:div>
    <w:div w:id="2003389636">
      <w:bodyDiv w:val="1"/>
      <w:marLeft w:val="0"/>
      <w:marRight w:val="0"/>
      <w:marTop w:val="0"/>
      <w:marBottom w:val="0"/>
      <w:divBdr>
        <w:top w:val="none" w:sz="0" w:space="0" w:color="auto"/>
        <w:left w:val="none" w:sz="0" w:space="0" w:color="auto"/>
        <w:bottom w:val="none" w:sz="0" w:space="0" w:color="auto"/>
        <w:right w:val="none" w:sz="0" w:space="0" w:color="auto"/>
      </w:divBdr>
    </w:div>
    <w:div w:id="2003661195">
      <w:bodyDiv w:val="1"/>
      <w:marLeft w:val="0"/>
      <w:marRight w:val="0"/>
      <w:marTop w:val="0"/>
      <w:marBottom w:val="0"/>
      <w:divBdr>
        <w:top w:val="none" w:sz="0" w:space="0" w:color="auto"/>
        <w:left w:val="none" w:sz="0" w:space="0" w:color="auto"/>
        <w:bottom w:val="none" w:sz="0" w:space="0" w:color="auto"/>
        <w:right w:val="none" w:sz="0" w:space="0" w:color="auto"/>
      </w:divBdr>
    </w:div>
    <w:div w:id="2004580892">
      <w:bodyDiv w:val="1"/>
      <w:marLeft w:val="0"/>
      <w:marRight w:val="0"/>
      <w:marTop w:val="0"/>
      <w:marBottom w:val="0"/>
      <w:divBdr>
        <w:top w:val="none" w:sz="0" w:space="0" w:color="auto"/>
        <w:left w:val="none" w:sz="0" w:space="0" w:color="auto"/>
        <w:bottom w:val="none" w:sz="0" w:space="0" w:color="auto"/>
        <w:right w:val="none" w:sz="0" w:space="0" w:color="auto"/>
      </w:divBdr>
    </w:div>
    <w:div w:id="2004890211">
      <w:bodyDiv w:val="1"/>
      <w:marLeft w:val="0"/>
      <w:marRight w:val="0"/>
      <w:marTop w:val="0"/>
      <w:marBottom w:val="0"/>
      <w:divBdr>
        <w:top w:val="none" w:sz="0" w:space="0" w:color="auto"/>
        <w:left w:val="none" w:sz="0" w:space="0" w:color="auto"/>
        <w:bottom w:val="none" w:sz="0" w:space="0" w:color="auto"/>
        <w:right w:val="none" w:sz="0" w:space="0" w:color="auto"/>
      </w:divBdr>
    </w:div>
    <w:div w:id="2007201678">
      <w:bodyDiv w:val="1"/>
      <w:marLeft w:val="0"/>
      <w:marRight w:val="0"/>
      <w:marTop w:val="0"/>
      <w:marBottom w:val="0"/>
      <w:divBdr>
        <w:top w:val="none" w:sz="0" w:space="0" w:color="auto"/>
        <w:left w:val="none" w:sz="0" w:space="0" w:color="auto"/>
        <w:bottom w:val="none" w:sz="0" w:space="0" w:color="auto"/>
        <w:right w:val="none" w:sz="0" w:space="0" w:color="auto"/>
      </w:divBdr>
    </w:div>
    <w:div w:id="2008435962">
      <w:bodyDiv w:val="1"/>
      <w:marLeft w:val="0"/>
      <w:marRight w:val="0"/>
      <w:marTop w:val="0"/>
      <w:marBottom w:val="0"/>
      <w:divBdr>
        <w:top w:val="none" w:sz="0" w:space="0" w:color="auto"/>
        <w:left w:val="none" w:sz="0" w:space="0" w:color="auto"/>
        <w:bottom w:val="none" w:sz="0" w:space="0" w:color="auto"/>
        <w:right w:val="none" w:sz="0" w:space="0" w:color="auto"/>
      </w:divBdr>
    </w:div>
    <w:div w:id="2014797829">
      <w:bodyDiv w:val="1"/>
      <w:marLeft w:val="0"/>
      <w:marRight w:val="0"/>
      <w:marTop w:val="0"/>
      <w:marBottom w:val="0"/>
      <w:divBdr>
        <w:top w:val="none" w:sz="0" w:space="0" w:color="auto"/>
        <w:left w:val="none" w:sz="0" w:space="0" w:color="auto"/>
        <w:bottom w:val="none" w:sz="0" w:space="0" w:color="auto"/>
        <w:right w:val="none" w:sz="0" w:space="0" w:color="auto"/>
      </w:divBdr>
    </w:div>
    <w:div w:id="2015297779">
      <w:bodyDiv w:val="1"/>
      <w:marLeft w:val="0"/>
      <w:marRight w:val="0"/>
      <w:marTop w:val="0"/>
      <w:marBottom w:val="0"/>
      <w:divBdr>
        <w:top w:val="none" w:sz="0" w:space="0" w:color="auto"/>
        <w:left w:val="none" w:sz="0" w:space="0" w:color="auto"/>
        <w:bottom w:val="none" w:sz="0" w:space="0" w:color="auto"/>
        <w:right w:val="none" w:sz="0" w:space="0" w:color="auto"/>
      </w:divBdr>
    </w:div>
    <w:div w:id="2015767159">
      <w:bodyDiv w:val="1"/>
      <w:marLeft w:val="0"/>
      <w:marRight w:val="0"/>
      <w:marTop w:val="0"/>
      <w:marBottom w:val="0"/>
      <w:divBdr>
        <w:top w:val="none" w:sz="0" w:space="0" w:color="auto"/>
        <w:left w:val="none" w:sz="0" w:space="0" w:color="auto"/>
        <w:bottom w:val="none" w:sz="0" w:space="0" w:color="auto"/>
        <w:right w:val="none" w:sz="0" w:space="0" w:color="auto"/>
      </w:divBdr>
    </w:div>
    <w:div w:id="2030139759">
      <w:bodyDiv w:val="1"/>
      <w:marLeft w:val="0"/>
      <w:marRight w:val="0"/>
      <w:marTop w:val="0"/>
      <w:marBottom w:val="0"/>
      <w:divBdr>
        <w:top w:val="none" w:sz="0" w:space="0" w:color="auto"/>
        <w:left w:val="none" w:sz="0" w:space="0" w:color="auto"/>
        <w:bottom w:val="none" w:sz="0" w:space="0" w:color="auto"/>
        <w:right w:val="none" w:sz="0" w:space="0" w:color="auto"/>
      </w:divBdr>
    </w:div>
    <w:div w:id="2034303010">
      <w:bodyDiv w:val="1"/>
      <w:marLeft w:val="0"/>
      <w:marRight w:val="0"/>
      <w:marTop w:val="0"/>
      <w:marBottom w:val="0"/>
      <w:divBdr>
        <w:top w:val="none" w:sz="0" w:space="0" w:color="auto"/>
        <w:left w:val="none" w:sz="0" w:space="0" w:color="auto"/>
        <w:bottom w:val="none" w:sz="0" w:space="0" w:color="auto"/>
        <w:right w:val="none" w:sz="0" w:space="0" w:color="auto"/>
      </w:divBdr>
    </w:div>
    <w:div w:id="2043282505">
      <w:bodyDiv w:val="1"/>
      <w:marLeft w:val="0"/>
      <w:marRight w:val="0"/>
      <w:marTop w:val="0"/>
      <w:marBottom w:val="0"/>
      <w:divBdr>
        <w:top w:val="none" w:sz="0" w:space="0" w:color="auto"/>
        <w:left w:val="none" w:sz="0" w:space="0" w:color="auto"/>
        <w:bottom w:val="none" w:sz="0" w:space="0" w:color="auto"/>
        <w:right w:val="none" w:sz="0" w:space="0" w:color="auto"/>
      </w:divBdr>
    </w:div>
    <w:div w:id="2049715503">
      <w:bodyDiv w:val="1"/>
      <w:marLeft w:val="0"/>
      <w:marRight w:val="0"/>
      <w:marTop w:val="0"/>
      <w:marBottom w:val="0"/>
      <w:divBdr>
        <w:top w:val="none" w:sz="0" w:space="0" w:color="auto"/>
        <w:left w:val="none" w:sz="0" w:space="0" w:color="auto"/>
        <w:bottom w:val="none" w:sz="0" w:space="0" w:color="auto"/>
        <w:right w:val="none" w:sz="0" w:space="0" w:color="auto"/>
      </w:divBdr>
    </w:div>
    <w:div w:id="2051878802">
      <w:bodyDiv w:val="1"/>
      <w:marLeft w:val="0"/>
      <w:marRight w:val="0"/>
      <w:marTop w:val="0"/>
      <w:marBottom w:val="0"/>
      <w:divBdr>
        <w:top w:val="none" w:sz="0" w:space="0" w:color="auto"/>
        <w:left w:val="none" w:sz="0" w:space="0" w:color="auto"/>
        <w:bottom w:val="none" w:sz="0" w:space="0" w:color="auto"/>
        <w:right w:val="none" w:sz="0" w:space="0" w:color="auto"/>
      </w:divBdr>
    </w:div>
    <w:div w:id="2052000670">
      <w:bodyDiv w:val="1"/>
      <w:marLeft w:val="0"/>
      <w:marRight w:val="0"/>
      <w:marTop w:val="0"/>
      <w:marBottom w:val="0"/>
      <w:divBdr>
        <w:top w:val="none" w:sz="0" w:space="0" w:color="auto"/>
        <w:left w:val="none" w:sz="0" w:space="0" w:color="auto"/>
        <w:bottom w:val="none" w:sz="0" w:space="0" w:color="auto"/>
        <w:right w:val="none" w:sz="0" w:space="0" w:color="auto"/>
      </w:divBdr>
    </w:div>
    <w:div w:id="2052489166">
      <w:bodyDiv w:val="1"/>
      <w:marLeft w:val="0"/>
      <w:marRight w:val="0"/>
      <w:marTop w:val="0"/>
      <w:marBottom w:val="0"/>
      <w:divBdr>
        <w:top w:val="none" w:sz="0" w:space="0" w:color="auto"/>
        <w:left w:val="none" w:sz="0" w:space="0" w:color="auto"/>
        <w:bottom w:val="none" w:sz="0" w:space="0" w:color="auto"/>
        <w:right w:val="none" w:sz="0" w:space="0" w:color="auto"/>
      </w:divBdr>
    </w:div>
    <w:div w:id="2052653749">
      <w:bodyDiv w:val="1"/>
      <w:marLeft w:val="0"/>
      <w:marRight w:val="0"/>
      <w:marTop w:val="0"/>
      <w:marBottom w:val="0"/>
      <w:divBdr>
        <w:top w:val="none" w:sz="0" w:space="0" w:color="auto"/>
        <w:left w:val="none" w:sz="0" w:space="0" w:color="auto"/>
        <w:bottom w:val="none" w:sz="0" w:space="0" w:color="auto"/>
        <w:right w:val="none" w:sz="0" w:space="0" w:color="auto"/>
      </w:divBdr>
    </w:div>
    <w:div w:id="2056200226">
      <w:bodyDiv w:val="1"/>
      <w:marLeft w:val="0"/>
      <w:marRight w:val="0"/>
      <w:marTop w:val="0"/>
      <w:marBottom w:val="0"/>
      <w:divBdr>
        <w:top w:val="none" w:sz="0" w:space="0" w:color="auto"/>
        <w:left w:val="none" w:sz="0" w:space="0" w:color="auto"/>
        <w:bottom w:val="none" w:sz="0" w:space="0" w:color="auto"/>
        <w:right w:val="none" w:sz="0" w:space="0" w:color="auto"/>
      </w:divBdr>
    </w:div>
    <w:div w:id="2057854755">
      <w:bodyDiv w:val="1"/>
      <w:marLeft w:val="0"/>
      <w:marRight w:val="0"/>
      <w:marTop w:val="0"/>
      <w:marBottom w:val="0"/>
      <w:divBdr>
        <w:top w:val="none" w:sz="0" w:space="0" w:color="auto"/>
        <w:left w:val="none" w:sz="0" w:space="0" w:color="auto"/>
        <w:bottom w:val="none" w:sz="0" w:space="0" w:color="auto"/>
        <w:right w:val="none" w:sz="0" w:space="0" w:color="auto"/>
      </w:divBdr>
    </w:div>
    <w:div w:id="2060009178">
      <w:bodyDiv w:val="1"/>
      <w:marLeft w:val="0"/>
      <w:marRight w:val="0"/>
      <w:marTop w:val="0"/>
      <w:marBottom w:val="0"/>
      <w:divBdr>
        <w:top w:val="none" w:sz="0" w:space="0" w:color="auto"/>
        <w:left w:val="none" w:sz="0" w:space="0" w:color="auto"/>
        <w:bottom w:val="none" w:sz="0" w:space="0" w:color="auto"/>
        <w:right w:val="none" w:sz="0" w:space="0" w:color="auto"/>
      </w:divBdr>
    </w:div>
    <w:div w:id="2060208674">
      <w:bodyDiv w:val="1"/>
      <w:marLeft w:val="0"/>
      <w:marRight w:val="0"/>
      <w:marTop w:val="0"/>
      <w:marBottom w:val="0"/>
      <w:divBdr>
        <w:top w:val="none" w:sz="0" w:space="0" w:color="auto"/>
        <w:left w:val="none" w:sz="0" w:space="0" w:color="auto"/>
        <w:bottom w:val="none" w:sz="0" w:space="0" w:color="auto"/>
        <w:right w:val="none" w:sz="0" w:space="0" w:color="auto"/>
      </w:divBdr>
    </w:div>
    <w:div w:id="2072070052">
      <w:bodyDiv w:val="1"/>
      <w:marLeft w:val="0"/>
      <w:marRight w:val="0"/>
      <w:marTop w:val="0"/>
      <w:marBottom w:val="0"/>
      <w:divBdr>
        <w:top w:val="none" w:sz="0" w:space="0" w:color="auto"/>
        <w:left w:val="none" w:sz="0" w:space="0" w:color="auto"/>
        <w:bottom w:val="none" w:sz="0" w:space="0" w:color="auto"/>
        <w:right w:val="none" w:sz="0" w:space="0" w:color="auto"/>
      </w:divBdr>
    </w:div>
    <w:div w:id="2076079570">
      <w:bodyDiv w:val="1"/>
      <w:marLeft w:val="0"/>
      <w:marRight w:val="0"/>
      <w:marTop w:val="0"/>
      <w:marBottom w:val="0"/>
      <w:divBdr>
        <w:top w:val="none" w:sz="0" w:space="0" w:color="auto"/>
        <w:left w:val="none" w:sz="0" w:space="0" w:color="auto"/>
        <w:bottom w:val="none" w:sz="0" w:space="0" w:color="auto"/>
        <w:right w:val="none" w:sz="0" w:space="0" w:color="auto"/>
      </w:divBdr>
    </w:div>
    <w:div w:id="2076580666">
      <w:bodyDiv w:val="1"/>
      <w:marLeft w:val="0"/>
      <w:marRight w:val="0"/>
      <w:marTop w:val="0"/>
      <w:marBottom w:val="0"/>
      <w:divBdr>
        <w:top w:val="none" w:sz="0" w:space="0" w:color="auto"/>
        <w:left w:val="none" w:sz="0" w:space="0" w:color="auto"/>
        <w:bottom w:val="none" w:sz="0" w:space="0" w:color="auto"/>
        <w:right w:val="none" w:sz="0" w:space="0" w:color="auto"/>
      </w:divBdr>
    </w:div>
    <w:div w:id="2076781956">
      <w:bodyDiv w:val="1"/>
      <w:marLeft w:val="0"/>
      <w:marRight w:val="0"/>
      <w:marTop w:val="0"/>
      <w:marBottom w:val="0"/>
      <w:divBdr>
        <w:top w:val="none" w:sz="0" w:space="0" w:color="auto"/>
        <w:left w:val="none" w:sz="0" w:space="0" w:color="auto"/>
        <w:bottom w:val="none" w:sz="0" w:space="0" w:color="auto"/>
        <w:right w:val="none" w:sz="0" w:space="0" w:color="auto"/>
      </w:divBdr>
    </w:div>
    <w:div w:id="2093575981">
      <w:bodyDiv w:val="1"/>
      <w:marLeft w:val="0"/>
      <w:marRight w:val="0"/>
      <w:marTop w:val="0"/>
      <w:marBottom w:val="0"/>
      <w:divBdr>
        <w:top w:val="none" w:sz="0" w:space="0" w:color="auto"/>
        <w:left w:val="none" w:sz="0" w:space="0" w:color="auto"/>
        <w:bottom w:val="none" w:sz="0" w:space="0" w:color="auto"/>
        <w:right w:val="none" w:sz="0" w:space="0" w:color="auto"/>
      </w:divBdr>
    </w:div>
    <w:div w:id="2095122371">
      <w:bodyDiv w:val="1"/>
      <w:marLeft w:val="0"/>
      <w:marRight w:val="0"/>
      <w:marTop w:val="0"/>
      <w:marBottom w:val="0"/>
      <w:divBdr>
        <w:top w:val="none" w:sz="0" w:space="0" w:color="auto"/>
        <w:left w:val="none" w:sz="0" w:space="0" w:color="auto"/>
        <w:bottom w:val="none" w:sz="0" w:space="0" w:color="auto"/>
        <w:right w:val="none" w:sz="0" w:space="0" w:color="auto"/>
      </w:divBdr>
    </w:div>
    <w:div w:id="2110078991">
      <w:bodyDiv w:val="1"/>
      <w:marLeft w:val="0"/>
      <w:marRight w:val="0"/>
      <w:marTop w:val="0"/>
      <w:marBottom w:val="0"/>
      <w:divBdr>
        <w:top w:val="none" w:sz="0" w:space="0" w:color="auto"/>
        <w:left w:val="none" w:sz="0" w:space="0" w:color="auto"/>
        <w:bottom w:val="none" w:sz="0" w:space="0" w:color="auto"/>
        <w:right w:val="none" w:sz="0" w:space="0" w:color="auto"/>
      </w:divBdr>
    </w:div>
    <w:div w:id="2113427354">
      <w:bodyDiv w:val="1"/>
      <w:marLeft w:val="0"/>
      <w:marRight w:val="0"/>
      <w:marTop w:val="0"/>
      <w:marBottom w:val="0"/>
      <w:divBdr>
        <w:top w:val="none" w:sz="0" w:space="0" w:color="auto"/>
        <w:left w:val="none" w:sz="0" w:space="0" w:color="auto"/>
        <w:bottom w:val="none" w:sz="0" w:space="0" w:color="auto"/>
        <w:right w:val="none" w:sz="0" w:space="0" w:color="auto"/>
      </w:divBdr>
    </w:div>
    <w:div w:id="2117943943">
      <w:bodyDiv w:val="1"/>
      <w:marLeft w:val="0"/>
      <w:marRight w:val="0"/>
      <w:marTop w:val="0"/>
      <w:marBottom w:val="0"/>
      <w:divBdr>
        <w:top w:val="none" w:sz="0" w:space="0" w:color="auto"/>
        <w:left w:val="none" w:sz="0" w:space="0" w:color="auto"/>
        <w:bottom w:val="none" w:sz="0" w:space="0" w:color="auto"/>
        <w:right w:val="none" w:sz="0" w:space="0" w:color="auto"/>
      </w:divBdr>
    </w:div>
    <w:div w:id="2130194943">
      <w:bodyDiv w:val="1"/>
      <w:marLeft w:val="0"/>
      <w:marRight w:val="0"/>
      <w:marTop w:val="0"/>
      <w:marBottom w:val="0"/>
      <w:divBdr>
        <w:top w:val="none" w:sz="0" w:space="0" w:color="auto"/>
        <w:left w:val="none" w:sz="0" w:space="0" w:color="auto"/>
        <w:bottom w:val="none" w:sz="0" w:space="0" w:color="auto"/>
        <w:right w:val="none" w:sz="0" w:space="0" w:color="auto"/>
      </w:divBdr>
    </w:div>
    <w:div w:id="2138331896">
      <w:bodyDiv w:val="1"/>
      <w:marLeft w:val="0"/>
      <w:marRight w:val="0"/>
      <w:marTop w:val="0"/>
      <w:marBottom w:val="0"/>
      <w:divBdr>
        <w:top w:val="none" w:sz="0" w:space="0" w:color="auto"/>
        <w:left w:val="none" w:sz="0" w:space="0" w:color="auto"/>
        <w:bottom w:val="none" w:sz="0" w:space="0" w:color="auto"/>
        <w:right w:val="none" w:sz="0" w:space="0" w:color="auto"/>
      </w:divBdr>
    </w:div>
    <w:div w:id="2146192957">
      <w:bodyDiv w:val="1"/>
      <w:marLeft w:val="0"/>
      <w:marRight w:val="0"/>
      <w:marTop w:val="0"/>
      <w:marBottom w:val="0"/>
      <w:divBdr>
        <w:top w:val="none" w:sz="0" w:space="0" w:color="auto"/>
        <w:left w:val="none" w:sz="0" w:space="0" w:color="auto"/>
        <w:bottom w:val="none" w:sz="0" w:space="0" w:color="auto"/>
        <w:right w:val="none" w:sz="0" w:space="0" w:color="auto"/>
      </w:divBdr>
    </w:div>
    <w:div w:id="2146509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5.png"/><Relationship Id="rId26" Type="http://schemas.openxmlformats.org/officeDocument/2006/relationships/image" Target="media/image10.png"/><Relationship Id="rId39" Type="http://schemas.openxmlformats.org/officeDocument/2006/relationships/image" Target="media/image21.png"/><Relationship Id="rId21" Type="http://schemas.openxmlformats.org/officeDocument/2006/relationships/oleObject" Target="embeddings/oleObject2.bin"/><Relationship Id="rId34" Type="http://schemas.openxmlformats.org/officeDocument/2006/relationships/image" Target="media/image17.png"/><Relationship Id="rId42" Type="http://schemas.openxmlformats.org/officeDocument/2006/relationships/image" Target="media/image24.jpeg"/><Relationship Id="rId47" Type="http://schemas.openxmlformats.org/officeDocument/2006/relationships/image" Target="media/image29.jpeg"/><Relationship Id="rId50" Type="http://schemas.openxmlformats.org/officeDocument/2006/relationships/image" Target="media/image32.jpeg"/><Relationship Id="rId55" Type="http://schemas.openxmlformats.org/officeDocument/2006/relationships/image" Target="media/image37.jpe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wmf"/><Relationship Id="rId29" Type="http://schemas.openxmlformats.org/officeDocument/2006/relationships/image" Target="media/image12.emf"/><Relationship Id="rId11" Type="http://schemas.openxmlformats.org/officeDocument/2006/relationships/footer" Target="footer3.xml"/><Relationship Id="rId24" Type="http://schemas.openxmlformats.org/officeDocument/2006/relationships/image" Target="media/image8.png"/><Relationship Id="rId32" Type="http://schemas.openxmlformats.org/officeDocument/2006/relationships/image" Target="media/image15.png"/><Relationship Id="rId37" Type="http://schemas.openxmlformats.org/officeDocument/2006/relationships/image" Target="media/image19.emf"/><Relationship Id="rId40" Type="http://schemas.openxmlformats.org/officeDocument/2006/relationships/image" Target="media/image22.emf"/><Relationship Id="rId45" Type="http://schemas.openxmlformats.org/officeDocument/2006/relationships/image" Target="media/image27.jpeg"/><Relationship Id="rId53" Type="http://schemas.openxmlformats.org/officeDocument/2006/relationships/image" Target="media/image35.jpeg"/><Relationship Id="rId58" Type="http://schemas.openxmlformats.org/officeDocument/2006/relationships/image" Target="media/image40.jpeg"/><Relationship Id="rId5" Type="http://schemas.openxmlformats.org/officeDocument/2006/relationships/webSettings" Target="webSettings.xml"/><Relationship Id="rId61" Type="http://schemas.openxmlformats.org/officeDocument/2006/relationships/image" Target="media/image42.jpeg"/><Relationship Id="rId19" Type="http://schemas.openxmlformats.org/officeDocument/2006/relationships/image" Target="media/image6.png"/><Relationship Id="rId14" Type="http://schemas.openxmlformats.org/officeDocument/2006/relationships/footer" Target="footer5.xml"/><Relationship Id="rId22" Type="http://schemas.openxmlformats.org/officeDocument/2006/relationships/footer" Target="footer6.xml"/><Relationship Id="rId27" Type="http://schemas.openxmlformats.org/officeDocument/2006/relationships/image" Target="media/image11.wmf"/><Relationship Id="rId30" Type="http://schemas.openxmlformats.org/officeDocument/2006/relationships/image" Target="media/image13.jpeg"/><Relationship Id="rId35" Type="http://schemas.openxmlformats.org/officeDocument/2006/relationships/image" Target="media/image18.png"/><Relationship Id="rId43" Type="http://schemas.openxmlformats.org/officeDocument/2006/relationships/image" Target="media/image25.jpeg"/><Relationship Id="rId48" Type="http://schemas.openxmlformats.org/officeDocument/2006/relationships/image" Target="media/image30.jpeg"/><Relationship Id="rId56" Type="http://schemas.openxmlformats.org/officeDocument/2006/relationships/image" Target="media/image38.jpeg"/><Relationship Id="rId8" Type="http://schemas.openxmlformats.org/officeDocument/2006/relationships/header" Target="header1.xml"/><Relationship Id="rId51" Type="http://schemas.openxmlformats.org/officeDocument/2006/relationships/image" Target="media/image33.jpeg"/><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oleObject" Target="embeddings/oleObject1.bin"/><Relationship Id="rId25" Type="http://schemas.openxmlformats.org/officeDocument/2006/relationships/image" Target="media/image9.png"/><Relationship Id="rId33" Type="http://schemas.openxmlformats.org/officeDocument/2006/relationships/image" Target="media/image16.png"/><Relationship Id="rId38" Type="http://schemas.openxmlformats.org/officeDocument/2006/relationships/image" Target="media/image20.emf"/><Relationship Id="rId46" Type="http://schemas.openxmlformats.org/officeDocument/2006/relationships/image" Target="media/image28.jpeg"/><Relationship Id="rId59" Type="http://schemas.openxmlformats.org/officeDocument/2006/relationships/footer" Target="footer9.xml"/><Relationship Id="rId20" Type="http://schemas.openxmlformats.org/officeDocument/2006/relationships/image" Target="media/image7.wmf"/><Relationship Id="rId41" Type="http://schemas.openxmlformats.org/officeDocument/2006/relationships/image" Target="media/image23.jpeg"/><Relationship Id="rId54" Type="http://schemas.openxmlformats.org/officeDocument/2006/relationships/image" Target="media/image36.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oter" Target="footer7.xml"/><Relationship Id="rId28" Type="http://schemas.openxmlformats.org/officeDocument/2006/relationships/oleObject" Target="embeddings/oleObject3.bin"/><Relationship Id="rId36" Type="http://schemas.openxmlformats.org/officeDocument/2006/relationships/footer" Target="footer8.xml"/><Relationship Id="rId49" Type="http://schemas.openxmlformats.org/officeDocument/2006/relationships/image" Target="media/image31.jpeg"/><Relationship Id="rId57" Type="http://schemas.openxmlformats.org/officeDocument/2006/relationships/image" Target="media/image39.jpeg"/><Relationship Id="rId10" Type="http://schemas.openxmlformats.org/officeDocument/2006/relationships/footer" Target="footer2.xml"/><Relationship Id="rId31" Type="http://schemas.openxmlformats.org/officeDocument/2006/relationships/image" Target="media/image14.emf"/><Relationship Id="rId44" Type="http://schemas.openxmlformats.org/officeDocument/2006/relationships/image" Target="media/image26.jpeg"/><Relationship Id="rId52" Type="http://schemas.openxmlformats.org/officeDocument/2006/relationships/image" Target="media/image34.jpeg"/><Relationship Id="rId60" Type="http://schemas.openxmlformats.org/officeDocument/2006/relationships/image" Target="media/image41.emf"/><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29880C-7ABE-41AE-99C3-5082990DC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431</Pages>
  <Words>190328</Words>
  <Characters>1046808</Characters>
  <Application>Microsoft Office Word</Application>
  <DocSecurity>0</DocSecurity>
  <Lines>8723</Lines>
  <Paragraphs>2469</Paragraphs>
  <ScaleCrop>false</ScaleCrop>
  <HeadingPairs>
    <vt:vector size="2" baseType="variant">
      <vt:variant>
        <vt:lpstr>Título</vt:lpstr>
      </vt:variant>
      <vt:variant>
        <vt:i4>1</vt:i4>
      </vt:variant>
    </vt:vector>
  </HeadingPairs>
  <TitlesOfParts>
    <vt:vector size="1" baseType="lpstr">
      <vt:lpstr/>
    </vt:vector>
  </TitlesOfParts>
  <Company>Proyectos y Servicios S. A.</Company>
  <LinksUpToDate>false</LinksUpToDate>
  <CharactersWithSpaces>1234667</CharactersWithSpaces>
  <SharedDoc>false</SharedDoc>
  <HLinks>
    <vt:vector size="138" baseType="variant">
      <vt:variant>
        <vt:i4>2031665</vt:i4>
      </vt:variant>
      <vt:variant>
        <vt:i4>134</vt:i4>
      </vt:variant>
      <vt:variant>
        <vt:i4>0</vt:i4>
      </vt:variant>
      <vt:variant>
        <vt:i4>5</vt:i4>
      </vt:variant>
      <vt:variant>
        <vt:lpwstr/>
      </vt:variant>
      <vt:variant>
        <vt:lpwstr>_Toc265147289</vt:lpwstr>
      </vt:variant>
      <vt:variant>
        <vt:i4>2031665</vt:i4>
      </vt:variant>
      <vt:variant>
        <vt:i4>128</vt:i4>
      </vt:variant>
      <vt:variant>
        <vt:i4>0</vt:i4>
      </vt:variant>
      <vt:variant>
        <vt:i4>5</vt:i4>
      </vt:variant>
      <vt:variant>
        <vt:lpwstr/>
      </vt:variant>
      <vt:variant>
        <vt:lpwstr>_Toc265147288</vt:lpwstr>
      </vt:variant>
      <vt:variant>
        <vt:i4>2031665</vt:i4>
      </vt:variant>
      <vt:variant>
        <vt:i4>122</vt:i4>
      </vt:variant>
      <vt:variant>
        <vt:i4>0</vt:i4>
      </vt:variant>
      <vt:variant>
        <vt:i4>5</vt:i4>
      </vt:variant>
      <vt:variant>
        <vt:lpwstr/>
      </vt:variant>
      <vt:variant>
        <vt:lpwstr>_Toc265147287</vt:lpwstr>
      </vt:variant>
      <vt:variant>
        <vt:i4>2031665</vt:i4>
      </vt:variant>
      <vt:variant>
        <vt:i4>116</vt:i4>
      </vt:variant>
      <vt:variant>
        <vt:i4>0</vt:i4>
      </vt:variant>
      <vt:variant>
        <vt:i4>5</vt:i4>
      </vt:variant>
      <vt:variant>
        <vt:lpwstr/>
      </vt:variant>
      <vt:variant>
        <vt:lpwstr>_Toc265147286</vt:lpwstr>
      </vt:variant>
      <vt:variant>
        <vt:i4>2031665</vt:i4>
      </vt:variant>
      <vt:variant>
        <vt:i4>110</vt:i4>
      </vt:variant>
      <vt:variant>
        <vt:i4>0</vt:i4>
      </vt:variant>
      <vt:variant>
        <vt:i4>5</vt:i4>
      </vt:variant>
      <vt:variant>
        <vt:lpwstr/>
      </vt:variant>
      <vt:variant>
        <vt:lpwstr>_Toc265147285</vt:lpwstr>
      </vt:variant>
      <vt:variant>
        <vt:i4>2031665</vt:i4>
      </vt:variant>
      <vt:variant>
        <vt:i4>104</vt:i4>
      </vt:variant>
      <vt:variant>
        <vt:i4>0</vt:i4>
      </vt:variant>
      <vt:variant>
        <vt:i4>5</vt:i4>
      </vt:variant>
      <vt:variant>
        <vt:lpwstr/>
      </vt:variant>
      <vt:variant>
        <vt:lpwstr>_Toc265147284</vt:lpwstr>
      </vt:variant>
      <vt:variant>
        <vt:i4>2031665</vt:i4>
      </vt:variant>
      <vt:variant>
        <vt:i4>98</vt:i4>
      </vt:variant>
      <vt:variant>
        <vt:i4>0</vt:i4>
      </vt:variant>
      <vt:variant>
        <vt:i4>5</vt:i4>
      </vt:variant>
      <vt:variant>
        <vt:lpwstr/>
      </vt:variant>
      <vt:variant>
        <vt:lpwstr>_Toc265147283</vt:lpwstr>
      </vt:variant>
      <vt:variant>
        <vt:i4>2031665</vt:i4>
      </vt:variant>
      <vt:variant>
        <vt:i4>92</vt:i4>
      </vt:variant>
      <vt:variant>
        <vt:i4>0</vt:i4>
      </vt:variant>
      <vt:variant>
        <vt:i4>5</vt:i4>
      </vt:variant>
      <vt:variant>
        <vt:lpwstr/>
      </vt:variant>
      <vt:variant>
        <vt:lpwstr>_Toc265147282</vt:lpwstr>
      </vt:variant>
      <vt:variant>
        <vt:i4>2031665</vt:i4>
      </vt:variant>
      <vt:variant>
        <vt:i4>86</vt:i4>
      </vt:variant>
      <vt:variant>
        <vt:i4>0</vt:i4>
      </vt:variant>
      <vt:variant>
        <vt:i4>5</vt:i4>
      </vt:variant>
      <vt:variant>
        <vt:lpwstr/>
      </vt:variant>
      <vt:variant>
        <vt:lpwstr>_Toc265147281</vt:lpwstr>
      </vt:variant>
      <vt:variant>
        <vt:i4>2031665</vt:i4>
      </vt:variant>
      <vt:variant>
        <vt:i4>80</vt:i4>
      </vt:variant>
      <vt:variant>
        <vt:i4>0</vt:i4>
      </vt:variant>
      <vt:variant>
        <vt:i4>5</vt:i4>
      </vt:variant>
      <vt:variant>
        <vt:lpwstr/>
      </vt:variant>
      <vt:variant>
        <vt:lpwstr>_Toc265147280</vt:lpwstr>
      </vt:variant>
      <vt:variant>
        <vt:i4>1048625</vt:i4>
      </vt:variant>
      <vt:variant>
        <vt:i4>74</vt:i4>
      </vt:variant>
      <vt:variant>
        <vt:i4>0</vt:i4>
      </vt:variant>
      <vt:variant>
        <vt:i4>5</vt:i4>
      </vt:variant>
      <vt:variant>
        <vt:lpwstr/>
      </vt:variant>
      <vt:variant>
        <vt:lpwstr>_Toc265147279</vt:lpwstr>
      </vt:variant>
      <vt:variant>
        <vt:i4>1048625</vt:i4>
      </vt:variant>
      <vt:variant>
        <vt:i4>68</vt:i4>
      </vt:variant>
      <vt:variant>
        <vt:i4>0</vt:i4>
      </vt:variant>
      <vt:variant>
        <vt:i4>5</vt:i4>
      </vt:variant>
      <vt:variant>
        <vt:lpwstr/>
      </vt:variant>
      <vt:variant>
        <vt:lpwstr>_Toc265147278</vt:lpwstr>
      </vt:variant>
      <vt:variant>
        <vt:i4>1048625</vt:i4>
      </vt:variant>
      <vt:variant>
        <vt:i4>62</vt:i4>
      </vt:variant>
      <vt:variant>
        <vt:i4>0</vt:i4>
      </vt:variant>
      <vt:variant>
        <vt:i4>5</vt:i4>
      </vt:variant>
      <vt:variant>
        <vt:lpwstr/>
      </vt:variant>
      <vt:variant>
        <vt:lpwstr>_Toc265147277</vt:lpwstr>
      </vt:variant>
      <vt:variant>
        <vt:i4>1048625</vt:i4>
      </vt:variant>
      <vt:variant>
        <vt:i4>56</vt:i4>
      </vt:variant>
      <vt:variant>
        <vt:i4>0</vt:i4>
      </vt:variant>
      <vt:variant>
        <vt:i4>5</vt:i4>
      </vt:variant>
      <vt:variant>
        <vt:lpwstr/>
      </vt:variant>
      <vt:variant>
        <vt:lpwstr>_Toc265147276</vt:lpwstr>
      </vt:variant>
      <vt:variant>
        <vt:i4>1048625</vt:i4>
      </vt:variant>
      <vt:variant>
        <vt:i4>50</vt:i4>
      </vt:variant>
      <vt:variant>
        <vt:i4>0</vt:i4>
      </vt:variant>
      <vt:variant>
        <vt:i4>5</vt:i4>
      </vt:variant>
      <vt:variant>
        <vt:lpwstr/>
      </vt:variant>
      <vt:variant>
        <vt:lpwstr>_Toc265147275</vt:lpwstr>
      </vt:variant>
      <vt:variant>
        <vt:i4>1048625</vt:i4>
      </vt:variant>
      <vt:variant>
        <vt:i4>44</vt:i4>
      </vt:variant>
      <vt:variant>
        <vt:i4>0</vt:i4>
      </vt:variant>
      <vt:variant>
        <vt:i4>5</vt:i4>
      </vt:variant>
      <vt:variant>
        <vt:lpwstr/>
      </vt:variant>
      <vt:variant>
        <vt:lpwstr>_Toc265147274</vt:lpwstr>
      </vt:variant>
      <vt:variant>
        <vt:i4>1048625</vt:i4>
      </vt:variant>
      <vt:variant>
        <vt:i4>38</vt:i4>
      </vt:variant>
      <vt:variant>
        <vt:i4>0</vt:i4>
      </vt:variant>
      <vt:variant>
        <vt:i4>5</vt:i4>
      </vt:variant>
      <vt:variant>
        <vt:lpwstr/>
      </vt:variant>
      <vt:variant>
        <vt:lpwstr>_Toc265147273</vt:lpwstr>
      </vt:variant>
      <vt:variant>
        <vt:i4>1048625</vt:i4>
      </vt:variant>
      <vt:variant>
        <vt:i4>32</vt:i4>
      </vt:variant>
      <vt:variant>
        <vt:i4>0</vt:i4>
      </vt:variant>
      <vt:variant>
        <vt:i4>5</vt:i4>
      </vt:variant>
      <vt:variant>
        <vt:lpwstr/>
      </vt:variant>
      <vt:variant>
        <vt:lpwstr>_Toc265147272</vt:lpwstr>
      </vt:variant>
      <vt:variant>
        <vt:i4>1048625</vt:i4>
      </vt:variant>
      <vt:variant>
        <vt:i4>26</vt:i4>
      </vt:variant>
      <vt:variant>
        <vt:i4>0</vt:i4>
      </vt:variant>
      <vt:variant>
        <vt:i4>5</vt:i4>
      </vt:variant>
      <vt:variant>
        <vt:lpwstr/>
      </vt:variant>
      <vt:variant>
        <vt:lpwstr>_Toc265147271</vt:lpwstr>
      </vt:variant>
      <vt:variant>
        <vt:i4>1048625</vt:i4>
      </vt:variant>
      <vt:variant>
        <vt:i4>20</vt:i4>
      </vt:variant>
      <vt:variant>
        <vt:i4>0</vt:i4>
      </vt:variant>
      <vt:variant>
        <vt:i4>5</vt:i4>
      </vt:variant>
      <vt:variant>
        <vt:lpwstr/>
      </vt:variant>
      <vt:variant>
        <vt:lpwstr>_Toc265147270</vt:lpwstr>
      </vt:variant>
      <vt:variant>
        <vt:i4>1114161</vt:i4>
      </vt:variant>
      <vt:variant>
        <vt:i4>14</vt:i4>
      </vt:variant>
      <vt:variant>
        <vt:i4>0</vt:i4>
      </vt:variant>
      <vt:variant>
        <vt:i4>5</vt:i4>
      </vt:variant>
      <vt:variant>
        <vt:lpwstr/>
      </vt:variant>
      <vt:variant>
        <vt:lpwstr>_Toc265147269</vt:lpwstr>
      </vt:variant>
      <vt:variant>
        <vt:i4>1114161</vt:i4>
      </vt:variant>
      <vt:variant>
        <vt:i4>8</vt:i4>
      </vt:variant>
      <vt:variant>
        <vt:i4>0</vt:i4>
      </vt:variant>
      <vt:variant>
        <vt:i4>5</vt:i4>
      </vt:variant>
      <vt:variant>
        <vt:lpwstr/>
      </vt:variant>
      <vt:variant>
        <vt:lpwstr>_Toc265147268</vt:lpwstr>
      </vt:variant>
      <vt:variant>
        <vt:i4>1114161</vt:i4>
      </vt:variant>
      <vt:variant>
        <vt:i4>2</vt:i4>
      </vt:variant>
      <vt:variant>
        <vt:i4>0</vt:i4>
      </vt:variant>
      <vt:variant>
        <vt:i4>5</vt:i4>
      </vt:variant>
      <vt:variant>
        <vt:lpwstr/>
      </vt:variant>
      <vt:variant>
        <vt:lpwstr>_Toc265147267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smoyanol</dc:creator>
  <cp:lastModifiedBy>Ernesto  Saez</cp:lastModifiedBy>
  <cp:revision>3</cp:revision>
  <cp:lastPrinted>2019-02-07T03:04:00Z</cp:lastPrinted>
  <dcterms:created xsi:type="dcterms:W3CDTF">2025-11-13T18:01:00Z</dcterms:created>
  <dcterms:modified xsi:type="dcterms:W3CDTF">2025-11-18T16:11:00Z</dcterms:modified>
</cp:coreProperties>
</file>